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footer8.xml" ContentType="application/vnd.openxmlformats-officedocument.wordprocessingml.footer+xml"/>
  <Default Extension="jpeg" ContentType="image/jpeg"/>
  <Override PartName="/word/theme/themeOverride1.xml" ContentType="application/vnd.openxmlformats-officedocument.themeOverride+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54F" w:rsidRDefault="008C054F" w:rsidP="008C054F">
      <w:pPr>
        <w:pStyle w:val="Nagwek1"/>
      </w:pPr>
      <w:bookmarkStart w:id="0" w:name="_Toc75242440"/>
      <w:bookmarkStart w:id="1" w:name="_Toc75242851"/>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C054F" w:rsidRDefault="008C054F" w:rsidP="008C054F">
      <w:pPr>
        <w:pStyle w:val="Nagwek1"/>
      </w:pPr>
    </w:p>
    <w:p w:rsidR="008927AB" w:rsidRPr="008C054F" w:rsidRDefault="008C054F" w:rsidP="008C054F">
      <w:pPr>
        <w:pStyle w:val="Nagwek1"/>
      </w:pPr>
      <w:bookmarkStart w:id="2" w:name="_Toc78189475"/>
      <w:r w:rsidRPr="008C054F">
        <w:t>S</w:t>
      </w:r>
      <w:r w:rsidR="008927AB" w:rsidRPr="008C054F">
        <w:t>PRAWOZDANIE</w:t>
      </w:r>
      <w:r>
        <w:t xml:space="preserve"> Z REALIZACJI ZADAŃ W 2020 ROKU PRZEZ URZĄD MIEJSKI WROCŁAWIA ORAZ MIEJSKIE JEDNOSTKI ORGANIZACYJNE</w:t>
      </w:r>
      <w:bookmarkEnd w:id="2"/>
    </w:p>
    <w:p w:rsidR="00E00B35" w:rsidRDefault="00E00B35" w:rsidP="00E00B35">
      <w:pPr>
        <w:pStyle w:val="Nagwek1"/>
        <w:spacing w:before="0" w:after="0" w:line="312" w:lineRule="auto"/>
        <w:rPr>
          <w:sz w:val="20"/>
          <w:szCs w:val="20"/>
        </w:rPr>
      </w:pPr>
    </w:p>
    <w:p w:rsidR="00E00B35" w:rsidRDefault="00E00B35" w:rsidP="00E00B35">
      <w:pPr>
        <w:pStyle w:val="Nagwek1"/>
        <w:spacing w:before="0" w:after="0" w:line="312" w:lineRule="auto"/>
        <w:rPr>
          <w:sz w:val="20"/>
          <w:szCs w:val="20"/>
        </w:rPr>
      </w:pPr>
    </w:p>
    <w:p w:rsidR="00E00B35" w:rsidRDefault="00E00B35" w:rsidP="00E00B35">
      <w:pPr>
        <w:pStyle w:val="Nagwek1"/>
        <w:spacing w:before="0" w:after="0" w:line="312" w:lineRule="auto"/>
        <w:rPr>
          <w:sz w:val="20"/>
          <w:szCs w:val="20"/>
        </w:rPr>
      </w:pPr>
    </w:p>
    <w:p w:rsidR="00861124" w:rsidRDefault="00E46FA5">
      <w:pPr>
        <w:pStyle w:val="Spistreci1"/>
        <w:rPr>
          <w:rFonts w:asciiTheme="minorHAnsi" w:eastAsiaTheme="minorEastAsia" w:hAnsiTheme="minorHAnsi" w:cstheme="minorBidi"/>
          <w:noProof/>
          <w:sz w:val="22"/>
          <w:lang w:val="pl-PL" w:eastAsia="pl-PL" w:bidi="ar-SA"/>
        </w:rPr>
      </w:pPr>
      <w:r w:rsidRPr="00E00B35">
        <w:rPr>
          <w:szCs w:val="20"/>
        </w:rPr>
        <w:fldChar w:fldCharType="begin"/>
      </w:r>
      <w:r w:rsidRPr="00E00B35">
        <w:rPr>
          <w:szCs w:val="20"/>
        </w:rPr>
        <w:instrText xml:space="preserve"> TOC \o "1-2" \h \z \u </w:instrText>
      </w:r>
      <w:r w:rsidRPr="00E00B35">
        <w:rPr>
          <w:szCs w:val="20"/>
        </w:rPr>
        <w:fldChar w:fldCharType="separate"/>
      </w:r>
      <w:hyperlink w:anchor="_Toc78189475" w:history="1">
        <w:r w:rsidR="00861124" w:rsidRPr="009A6D00">
          <w:rPr>
            <w:rStyle w:val="Hipercze"/>
            <w:noProof/>
          </w:rPr>
          <w:t>SPRAWOZDANIE Z REALIZACJI ZADAŃ W 2020 ROKU PRZEZ URZĄD MIEJSKI WROCŁAWIA ORAZ MIEJSKIE JEDNOSTKI ORGANIZACYJNE</w:t>
        </w:r>
        <w:r w:rsidR="00861124">
          <w:rPr>
            <w:noProof/>
            <w:webHidden/>
          </w:rPr>
          <w:tab/>
        </w:r>
        <w:r w:rsidR="00861124">
          <w:rPr>
            <w:noProof/>
            <w:webHidden/>
          </w:rPr>
          <w:fldChar w:fldCharType="begin"/>
        </w:r>
        <w:r w:rsidR="00861124">
          <w:rPr>
            <w:noProof/>
            <w:webHidden/>
          </w:rPr>
          <w:instrText xml:space="preserve"> PAGEREF _Toc78189475 \h </w:instrText>
        </w:r>
        <w:r w:rsidR="00861124">
          <w:rPr>
            <w:noProof/>
            <w:webHidden/>
          </w:rPr>
        </w:r>
        <w:r w:rsidR="00861124">
          <w:rPr>
            <w:noProof/>
            <w:webHidden/>
          </w:rPr>
          <w:fldChar w:fldCharType="separate"/>
        </w:r>
        <w:r w:rsidR="00861124">
          <w:rPr>
            <w:noProof/>
            <w:webHidden/>
          </w:rPr>
          <w:t>1</w:t>
        </w:r>
        <w:r w:rsidR="00861124">
          <w:rPr>
            <w:noProof/>
            <w:webHidden/>
          </w:rPr>
          <w:fldChar w:fldCharType="end"/>
        </w:r>
      </w:hyperlink>
    </w:p>
    <w:p w:rsidR="00861124" w:rsidRDefault="00861124">
      <w:pPr>
        <w:pStyle w:val="Spistreci2"/>
        <w:rPr>
          <w:rFonts w:asciiTheme="minorHAnsi" w:eastAsiaTheme="minorEastAsia" w:hAnsiTheme="minorHAnsi" w:cstheme="minorBidi"/>
          <w:noProof/>
          <w:sz w:val="22"/>
          <w:lang w:val="pl-PL" w:eastAsia="pl-PL" w:bidi="ar-SA"/>
        </w:rPr>
      </w:pPr>
      <w:hyperlink w:anchor="_Toc78189476" w:history="1">
        <w:r w:rsidRPr="009A6D00">
          <w:rPr>
            <w:rStyle w:val="Hipercze"/>
            <w:noProof/>
          </w:rPr>
          <w:t>BIURO PREZYDENTA</w:t>
        </w:r>
        <w:r>
          <w:rPr>
            <w:noProof/>
            <w:webHidden/>
          </w:rPr>
          <w:tab/>
        </w:r>
        <w:r>
          <w:rPr>
            <w:noProof/>
            <w:webHidden/>
          </w:rPr>
          <w:fldChar w:fldCharType="begin"/>
        </w:r>
        <w:r>
          <w:rPr>
            <w:noProof/>
            <w:webHidden/>
          </w:rPr>
          <w:instrText xml:space="preserve"> PAGEREF _Toc78189476 \h </w:instrText>
        </w:r>
        <w:r>
          <w:rPr>
            <w:noProof/>
            <w:webHidden/>
          </w:rPr>
        </w:r>
        <w:r>
          <w:rPr>
            <w:noProof/>
            <w:webHidden/>
          </w:rPr>
          <w:fldChar w:fldCharType="separate"/>
        </w:r>
        <w:r>
          <w:rPr>
            <w:noProof/>
            <w:webHidden/>
          </w:rPr>
          <w:t>3</w:t>
        </w:r>
        <w:r>
          <w:rPr>
            <w:noProof/>
            <w:webHidden/>
          </w:rPr>
          <w:fldChar w:fldCharType="end"/>
        </w:r>
      </w:hyperlink>
    </w:p>
    <w:p w:rsidR="00861124" w:rsidRDefault="00861124">
      <w:pPr>
        <w:pStyle w:val="Spistreci2"/>
        <w:rPr>
          <w:rFonts w:asciiTheme="minorHAnsi" w:eastAsiaTheme="minorEastAsia" w:hAnsiTheme="minorHAnsi" w:cstheme="minorBidi"/>
          <w:noProof/>
          <w:sz w:val="22"/>
          <w:lang w:val="pl-PL" w:eastAsia="pl-PL" w:bidi="ar-SA"/>
        </w:rPr>
      </w:pPr>
      <w:hyperlink w:anchor="_Toc78189477" w:history="1">
        <w:r w:rsidRPr="009A6D00">
          <w:rPr>
            <w:rStyle w:val="Hipercze"/>
            <w:noProof/>
          </w:rPr>
          <w:t>DEPARTAMENT PREZYDENTA</w:t>
        </w:r>
        <w:r>
          <w:rPr>
            <w:noProof/>
            <w:webHidden/>
          </w:rPr>
          <w:tab/>
        </w:r>
        <w:r>
          <w:rPr>
            <w:noProof/>
            <w:webHidden/>
          </w:rPr>
          <w:fldChar w:fldCharType="begin"/>
        </w:r>
        <w:r>
          <w:rPr>
            <w:noProof/>
            <w:webHidden/>
          </w:rPr>
          <w:instrText xml:space="preserve"> PAGEREF _Toc78189477 \h </w:instrText>
        </w:r>
        <w:r>
          <w:rPr>
            <w:noProof/>
            <w:webHidden/>
          </w:rPr>
        </w:r>
        <w:r>
          <w:rPr>
            <w:noProof/>
            <w:webHidden/>
          </w:rPr>
          <w:fldChar w:fldCharType="separate"/>
        </w:r>
        <w:r>
          <w:rPr>
            <w:noProof/>
            <w:webHidden/>
          </w:rPr>
          <w:t>25</w:t>
        </w:r>
        <w:r>
          <w:rPr>
            <w:noProof/>
            <w:webHidden/>
          </w:rPr>
          <w:fldChar w:fldCharType="end"/>
        </w:r>
      </w:hyperlink>
    </w:p>
    <w:p w:rsidR="00861124" w:rsidRDefault="00861124">
      <w:pPr>
        <w:pStyle w:val="Spistreci2"/>
        <w:rPr>
          <w:rFonts w:asciiTheme="minorHAnsi" w:eastAsiaTheme="minorEastAsia" w:hAnsiTheme="minorHAnsi" w:cstheme="minorBidi"/>
          <w:noProof/>
          <w:sz w:val="22"/>
          <w:lang w:val="pl-PL" w:eastAsia="pl-PL" w:bidi="ar-SA"/>
        </w:rPr>
      </w:pPr>
      <w:hyperlink w:anchor="_Toc78189478" w:history="1">
        <w:r w:rsidRPr="009A6D00">
          <w:rPr>
            <w:rStyle w:val="Hipercze"/>
            <w:noProof/>
          </w:rPr>
          <w:t>DEPARTAMENT FINANSÓW PUBLICZNYCH</w:t>
        </w:r>
        <w:r>
          <w:rPr>
            <w:noProof/>
            <w:webHidden/>
          </w:rPr>
          <w:tab/>
        </w:r>
        <w:r>
          <w:rPr>
            <w:noProof/>
            <w:webHidden/>
          </w:rPr>
          <w:fldChar w:fldCharType="begin"/>
        </w:r>
        <w:r>
          <w:rPr>
            <w:noProof/>
            <w:webHidden/>
          </w:rPr>
          <w:instrText xml:space="preserve"> PAGEREF _Toc78189478 \h </w:instrText>
        </w:r>
        <w:r>
          <w:rPr>
            <w:noProof/>
            <w:webHidden/>
          </w:rPr>
        </w:r>
        <w:r>
          <w:rPr>
            <w:noProof/>
            <w:webHidden/>
          </w:rPr>
          <w:fldChar w:fldCharType="separate"/>
        </w:r>
        <w:r>
          <w:rPr>
            <w:noProof/>
            <w:webHidden/>
          </w:rPr>
          <w:t>120</w:t>
        </w:r>
        <w:r>
          <w:rPr>
            <w:noProof/>
            <w:webHidden/>
          </w:rPr>
          <w:fldChar w:fldCharType="end"/>
        </w:r>
      </w:hyperlink>
    </w:p>
    <w:p w:rsidR="00861124" w:rsidRDefault="00861124">
      <w:pPr>
        <w:pStyle w:val="Spistreci2"/>
        <w:rPr>
          <w:rFonts w:asciiTheme="minorHAnsi" w:eastAsiaTheme="minorEastAsia" w:hAnsiTheme="minorHAnsi" w:cstheme="minorBidi"/>
          <w:noProof/>
          <w:sz w:val="22"/>
          <w:lang w:val="pl-PL" w:eastAsia="pl-PL" w:bidi="ar-SA"/>
        </w:rPr>
      </w:pPr>
      <w:hyperlink w:anchor="_Toc78189479" w:history="1">
        <w:r w:rsidRPr="009A6D00">
          <w:rPr>
            <w:rStyle w:val="Hipercze"/>
            <w:noProof/>
          </w:rPr>
          <w:t>DEPARTAMENT OBSŁUGI I ADMINISTRACJI</w:t>
        </w:r>
        <w:r>
          <w:rPr>
            <w:noProof/>
            <w:webHidden/>
          </w:rPr>
          <w:tab/>
        </w:r>
        <w:r>
          <w:rPr>
            <w:noProof/>
            <w:webHidden/>
          </w:rPr>
          <w:fldChar w:fldCharType="begin"/>
        </w:r>
        <w:r>
          <w:rPr>
            <w:noProof/>
            <w:webHidden/>
          </w:rPr>
          <w:instrText xml:space="preserve"> PAGEREF _Toc78189479 \h </w:instrText>
        </w:r>
        <w:r>
          <w:rPr>
            <w:noProof/>
            <w:webHidden/>
          </w:rPr>
        </w:r>
        <w:r>
          <w:rPr>
            <w:noProof/>
            <w:webHidden/>
          </w:rPr>
          <w:fldChar w:fldCharType="separate"/>
        </w:r>
        <w:r>
          <w:rPr>
            <w:noProof/>
            <w:webHidden/>
          </w:rPr>
          <w:t>212</w:t>
        </w:r>
        <w:r>
          <w:rPr>
            <w:noProof/>
            <w:webHidden/>
          </w:rPr>
          <w:fldChar w:fldCharType="end"/>
        </w:r>
      </w:hyperlink>
    </w:p>
    <w:p w:rsidR="00861124" w:rsidRDefault="00861124">
      <w:pPr>
        <w:pStyle w:val="Spistreci2"/>
        <w:rPr>
          <w:rFonts w:asciiTheme="minorHAnsi" w:eastAsiaTheme="minorEastAsia" w:hAnsiTheme="minorHAnsi" w:cstheme="minorBidi"/>
          <w:noProof/>
          <w:sz w:val="22"/>
          <w:lang w:val="pl-PL" w:eastAsia="pl-PL" w:bidi="ar-SA"/>
        </w:rPr>
      </w:pPr>
      <w:hyperlink w:anchor="_Toc78189480" w:history="1">
        <w:r w:rsidRPr="009A6D00">
          <w:rPr>
            <w:rStyle w:val="Hipercze"/>
            <w:noProof/>
            <w:lang w:val="pl-PL"/>
          </w:rPr>
          <w:t>DEPARTAMENT STRATEGII I ROZWOJU MIASTA</w:t>
        </w:r>
        <w:r>
          <w:rPr>
            <w:noProof/>
            <w:webHidden/>
          </w:rPr>
          <w:tab/>
        </w:r>
        <w:r>
          <w:rPr>
            <w:noProof/>
            <w:webHidden/>
          </w:rPr>
          <w:fldChar w:fldCharType="begin"/>
        </w:r>
        <w:r>
          <w:rPr>
            <w:noProof/>
            <w:webHidden/>
          </w:rPr>
          <w:instrText xml:space="preserve"> PAGEREF _Toc78189480 \h </w:instrText>
        </w:r>
        <w:r>
          <w:rPr>
            <w:noProof/>
            <w:webHidden/>
          </w:rPr>
        </w:r>
        <w:r>
          <w:rPr>
            <w:noProof/>
            <w:webHidden/>
          </w:rPr>
          <w:fldChar w:fldCharType="separate"/>
        </w:r>
        <w:r>
          <w:rPr>
            <w:noProof/>
            <w:webHidden/>
          </w:rPr>
          <w:t>325</w:t>
        </w:r>
        <w:r>
          <w:rPr>
            <w:noProof/>
            <w:webHidden/>
          </w:rPr>
          <w:fldChar w:fldCharType="end"/>
        </w:r>
      </w:hyperlink>
    </w:p>
    <w:p w:rsidR="00861124" w:rsidRDefault="00861124">
      <w:pPr>
        <w:pStyle w:val="Spistreci2"/>
        <w:rPr>
          <w:rFonts w:asciiTheme="minorHAnsi" w:eastAsiaTheme="minorEastAsia" w:hAnsiTheme="minorHAnsi" w:cstheme="minorBidi"/>
          <w:noProof/>
          <w:sz w:val="22"/>
          <w:lang w:val="pl-PL" w:eastAsia="pl-PL" w:bidi="ar-SA"/>
        </w:rPr>
      </w:pPr>
      <w:hyperlink w:anchor="_Toc78189481" w:history="1">
        <w:r w:rsidRPr="009A6D00">
          <w:rPr>
            <w:rStyle w:val="Hipercze"/>
            <w:noProof/>
          </w:rPr>
          <w:t>DEPARTAMENT EDUKACJI</w:t>
        </w:r>
        <w:r>
          <w:rPr>
            <w:noProof/>
            <w:webHidden/>
          </w:rPr>
          <w:tab/>
        </w:r>
        <w:r>
          <w:rPr>
            <w:noProof/>
            <w:webHidden/>
          </w:rPr>
          <w:fldChar w:fldCharType="begin"/>
        </w:r>
        <w:r>
          <w:rPr>
            <w:noProof/>
            <w:webHidden/>
          </w:rPr>
          <w:instrText xml:space="preserve"> PAGEREF _Toc78189481 \h </w:instrText>
        </w:r>
        <w:r>
          <w:rPr>
            <w:noProof/>
            <w:webHidden/>
          </w:rPr>
        </w:r>
        <w:r>
          <w:rPr>
            <w:noProof/>
            <w:webHidden/>
          </w:rPr>
          <w:fldChar w:fldCharType="separate"/>
        </w:r>
        <w:r>
          <w:rPr>
            <w:noProof/>
            <w:webHidden/>
          </w:rPr>
          <w:t>383</w:t>
        </w:r>
        <w:r>
          <w:rPr>
            <w:noProof/>
            <w:webHidden/>
          </w:rPr>
          <w:fldChar w:fldCharType="end"/>
        </w:r>
      </w:hyperlink>
    </w:p>
    <w:p w:rsidR="00861124" w:rsidRDefault="00861124">
      <w:pPr>
        <w:pStyle w:val="Spistreci2"/>
        <w:rPr>
          <w:rFonts w:asciiTheme="minorHAnsi" w:eastAsiaTheme="minorEastAsia" w:hAnsiTheme="minorHAnsi" w:cstheme="minorBidi"/>
          <w:noProof/>
          <w:sz w:val="22"/>
          <w:lang w:val="pl-PL" w:eastAsia="pl-PL" w:bidi="ar-SA"/>
        </w:rPr>
      </w:pPr>
      <w:hyperlink w:anchor="_Toc78189482" w:history="1">
        <w:r w:rsidRPr="009A6D00">
          <w:rPr>
            <w:rStyle w:val="Hipercze"/>
            <w:noProof/>
          </w:rPr>
          <w:t>DEPARTAMENT SPRAW SPOŁECZNYCH</w:t>
        </w:r>
        <w:r>
          <w:rPr>
            <w:noProof/>
            <w:webHidden/>
          </w:rPr>
          <w:tab/>
        </w:r>
        <w:r>
          <w:rPr>
            <w:noProof/>
            <w:webHidden/>
          </w:rPr>
          <w:fldChar w:fldCharType="begin"/>
        </w:r>
        <w:r>
          <w:rPr>
            <w:noProof/>
            <w:webHidden/>
          </w:rPr>
          <w:instrText xml:space="preserve"> PAGEREF _Toc78189482 \h </w:instrText>
        </w:r>
        <w:r>
          <w:rPr>
            <w:noProof/>
            <w:webHidden/>
          </w:rPr>
        </w:r>
        <w:r>
          <w:rPr>
            <w:noProof/>
            <w:webHidden/>
          </w:rPr>
          <w:fldChar w:fldCharType="separate"/>
        </w:r>
        <w:r>
          <w:rPr>
            <w:noProof/>
            <w:webHidden/>
          </w:rPr>
          <w:t>464</w:t>
        </w:r>
        <w:r>
          <w:rPr>
            <w:noProof/>
            <w:webHidden/>
          </w:rPr>
          <w:fldChar w:fldCharType="end"/>
        </w:r>
      </w:hyperlink>
    </w:p>
    <w:p w:rsidR="00861124" w:rsidRDefault="00861124">
      <w:pPr>
        <w:pStyle w:val="Spistreci2"/>
        <w:rPr>
          <w:rFonts w:asciiTheme="minorHAnsi" w:eastAsiaTheme="minorEastAsia" w:hAnsiTheme="minorHAnsi" w:cstheme="minorBidi"/>
          <w:noProof/>
          <w:sz w:val="22"/>
          <w:lang w:val="pl-PL" w:eastAsia="pl-PL" w:bidi="ar-SA"/>
        </w:rPr>
      </w:pPr>
      <w:hyperlink w:anchor="_Toc78189483" w:history="1">
        <w:r w:rsidRPr="009A6D00">
          <w:rPr>
            <w:rStyle w:val="Hipercze"/>
            <w:noProof/>
          </w:rPr>
          <w:t>DEPARTAMENT ZRÓWNOWAŻONEGO ROZWOJU</w:t>
        </w:r>
        <w:r>
          <w:rPr>
            <w:noProof/>
            <w:webHidden/>
          </w:rPr>
          <w:tab/>
        </w:r>
        <w:r>
          <w:rPr>
            <w:noProof/>
            <w:webHidden/>
          </w:rPr>
          <w:fldChar w:fldCharType="begin"/>
        </w:r>
        <w:r>
          <w:rPr>
            <w:noProof/>
            <w:webHidden/>
          </w:rPr>
          <w:instrText xml:space="preserve"> PAGEREF _Toc78189483 \h </w:instrText>
        </w:r>
        <w:r>
          <w:rPr>
            <w:noProof/>
            <w:webHidden/>
          </w:rPr>
        </w:r>
        <w:r>
          <w:rPr>
            <w:noProof/>
            <w:webHidden/>
          </w:rPr>
          <w:fldChar w:fldCharType="separate"/>
        </w:r>
        <w:r>
          <w:rPr>
            <w:noProof/>
            <w:webHidden/>
          </w:rPr>
          <w:t>923</w:t>
        </w:r>
        <w:r>
          <w:rPr>
            <w:noProof/>
            <w:webHidden/>
          </w:rPr>
          <w:fldChar w:fldCharType="end"/>
        </w:r>
      </w:hyperlink>
    </w:p>
    <w:p w:rsidR="00861124" w:rsidRDefault="00861124">
      <w:pPr>
        <w:pStyle w:val="Spistreci2"/>
        <w:rPr>
          <w:rFonts w:asciiTheme="minorHAnsi" w:eastAsiaTheme="minorEastAsia" w:hAnsiTheme="minorHAnsi" w:cstheme="minorBidi"/>
          <w:noProof/>
          <w:sz w:val="22"/>
          <w:lang w:val="pl-PL" w:eastAsia="pl-PL" w:bidi="ar-SA"/>
        </w:rPr>
      </w:pPr>
      <w:hyperlink w:anchor="_Toc78189484" w:history="1">
        <w:r w:rsidRPr="009A6D00">
          <w:rPr>
            <w:rStyle w:val="Hipercze"/>
            <w:noProof/>
          </w:rPr>
          <w:t>DEPARTAMENT INFRASTRUKTURY I TRANSPORTU</w:t>
        </w:r>
        <w:r>
          <w:rPr>
            <w:noProof/>
            <w:webHidden/>
          </w:rPr>
          <w:tab/>
        </w:r>
        <w:r>
          <w:rPr>
            <w:noProof/>
            <w:webHidden/>
          </w:rPr>
          <w:fldChar w:fldCharType="begin"/>
        </w:r>
        <w:r>
          <w:rPr>
            <w:noProof/>
            <w:webHidden/>
          </w:rPr>
          <w:instrText xml:space="preserve"> PAGEREF _Toc78189484 \h </w:instrText>
        </w:r>
        <w:r>
          <w:rPr>
            <w:noProof/>
            <w:webHidden/>
          </w:rPr>
        </w:r>
        <w:r>
          <w:rPr>
            <w:noProof/>
            <w:webHidden/>
          </w:rPr>
          <w:fldChar w:fldCharType="separate"/>
        </w:r>
        <w:r>
          <w:rPr>
            <w:noProof/>
            <w:webHidden/>
          </w:rPr>
          <w:t>1035</w:t>
        </w:r>
        <w:r>
          <w:rPr>
            <w:noProof/>
            <w:webHidden/>
          </w:rPr>
          <w:fldChar w:fldCharType="end"/>
        </w:r>
      </w:hyperlink>
    </w:p>
    <w:p w:rsidR="00861124" w:rsidRDefault="00861124">
      <w:pPr>
        <w:pStyle w:val="Spistreci2"/>
        <w:rPr>
          <w:rFonts w:asciiTheme="minorHAnsi" w:eastAsiaTheme="minorEastAsia" w:hAnsiTheme="minorHAnsi" w:cstheme="minorBidi"/>
          <w:noProof/>
          <w:sz w:val="22"/>
          <w:lang w:val="pl-PL" w:eastAsia="pl-PL" w:bidi="ar-SA"/>
        </w:rPr>
      </w:pPr>
      <w:hyperlink w:anchor="_Toc78189485" w:history="1">
        <w:r w:rsidRPr="009A6D00">
          <w:rPr>
            <w:rStyle w:val="Hipercze"/>
            <w:noProof/>
          </w:rPr>
          <w:t>DEPARTAMENT NIERUCHOMOŚCI I EKSPLOATACJI</w:t>
        </w:r>
        <w:r>
          <w:rPr>
            <w:noProof/>
            <w:webHidden/>
          </w:rPr>
          <w:tab/>
        </w:r>
        <w:r>
          <w:rPr>
            <w:noProof/>
            <w:webHidden/>
          </w:rPr>
          <w:fldChar w:fldCharType="begin"/>
        </w:r>
        <w:r>
          <w:rPr>
            <w:noProof/>
            <w:webHidden/>
          </w:rPr>
          <w:instrText xml:space="preserve"> PAGEREF _Toc78189485 \h </w:instrText>
        </w:r>
        <w:r>
          <w:rPr>
            <w:noProof/>
            <w:webHidden/>
          </w:rPr>
        </w:r>
        <w:r>
          <w:rPr>
            <w:noProof/>
            <w:webHidden/>
          </w:rPr>
          <w:fldChar w:fldCharType="separate"/>
        </w:r>
        <w:r>
          <w:rPr>
            <w:noProof/>
            <w:webHidden/>
          </w:rPr>
          <w:t>1145</w:t>
        </w:r>
        <w:r>
          <w:rPr>
            <w:noProof/>
            <w:webHidden/>
          </w:rPr>
          <w:fldChar w:fldCharType="end"/>
        </w:r>
      </w:hyperlink>
    </w:p>
    <w:p w:rsidR="00861124" w:rsidRDefault="00861124">
      <w:pPr>
        <w:pStyle w:val="Spistreci2"/>
        <w:rPr>
          <w:rFonts w:asciiTheme="minorHAnsi" w:eastAsiaTheme="minorEastAsia" w:hAnsiTheme="minorHAnsi" w:cstheme="minorBidi"/>
          <w:noProof/>
          <w:sz w:val="22"/>
          <w:lang w:val="pl-PL" w:eastAsia="pl-PL" w:bidi="ar-SA"/>
        </w:rPr>
      </w:pPr>
      <w:hyperlink w:anchor="_Toc78189486" w:history="1">
        <w:r w:rsidRPr="009A6D00">
          <w:rPr>
            <w:rStyle w:val="Hipercze"/>
            <w:noProof/>
          </w:rPr>
          <w:t>DECYZJE ADMINISTRACYJNE WYDANE PRZEZ KOMÓRKI UMW</w:t>
        </w:r>
        <w:r>
          <w:rPr>
            <w:noProof/>
            <w:webHidden/>
          </w:rPr>
          <w:tab/>
        </w:r>
        <w:r>
          <w:rPr>
            <w:noProof/>
            <w:webHidden/>
          </w:rPr>
          <w:fldChar w:fldCharType="begin"/>
        </w:r>
        <w:r>
          <w:rPr>
            <w:noProof/>
            <w:webHidden/>
          </w:rPr>
          <w:instrText xml:space="preserve"> PAGEREF _Toc78189486 \h </w:instrText>
        </w:r>
        <w:r>
          <w:rPr>
            <w:noProof/>
            <w:webHidden/>
          </w:rPr>
        </w:r>
        <w:r>
          <w:rPr>
            <w:noProof/>
            <w:webHidden/>
          </w:rPr>
          <w:fldChar w:fldCharType="separate"/>
        </w:r>
        <w:r>
          <w:rPr>
            <w:noProof/>
            <w:webHidden/>
          </w:rPr>
          <w:t>1175</w:t>
        </w:r>
        <w:r>
          <w:rPr>
            <w:noProof/>
            <w:webHidden/>
          </w:rPr>
          <w:fldChar w:fldCharType="end"/>
        </w:r>
      </w:hyperlink>
    </w:p>
    <w:p w:rsidR="008927AB" w:rsidRPr="00E00B35" w:rsidRDefault="00E46FA5" w:rsidP="00E00B35">
      <w:pPr>
        <w:pStyle w:val="Nagwek20"/>
        <w:spacing w:after="0" w:line="312" w:lineRule="auto"/>
        <w:rPr>
          <w:sz w:val="20"/>
          <w:szCs w:val="20"/>
        </w:rPr>
      </w:pPr>
      <w:r w:rsidRPr="00E00B35">
        <w:rPr>
          <w:sz w:val="20"/>
          <w:szCs w:val="20"/>
        </w:rPr>
        <w:fldChar w:fldCharType="end"/>
      </w: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CD5048" w:rsidRPr="00E00B35" w:rsidRDefault="00CD5048" w:rsidP="00E00B35">
      <w:pPr>
        <w:pStyle w:val="Nagwek20"/>
        <w:spacing w:after="0" w:line="312" w:lineRule="auto"/>
        <w:rPr>
          <w:sz w:val="20"/>
          <w:szCs w:val="20"/>
        </w:rPr>
      </w:pPr>
    </w:p>
    <w:p w:rsidR="00CD5048" w:rsidRPr="00E00B35" w:rsidRDefault="00CD5048" w:rsidP="00E00B35">
      <w:pPr>
        <w:pStyle w:val="Nagwek20"/>
        <w:spacing w:after="0" w:line="312" w:lineRule="auto"/>
        <w:rPr>
          <w:sz w:val="20"/>
          <w:szCs w:val="20"/>
        </w:rPr>
      </w:pPr>
    </w:p>
    <w:p w:rsidR="00CD5048" w:rsidRPr="00E00B35" w:rsidRDefault="00CD5048" w:rsidP="00E00B35">
      <w:pPr>
        <w:pStyle w:val="Nagwek20"/>
        <w:spacing w:after="0" w:line="312" w:lineRule="auto"/>
        <w:rPr>
          <w:sz w:val="20"/>
          <w:szCs w:val="20"/>
        </w:rPr>
      </w:pPr>
    </w:p>
    <w:p w:rsidR="00CD5048" w:rsidRPr="00E00B35" w:rsidRDefault="00CD5048" w:rsidP="00E00B35">
      <w:pPr>
        <w:pStyle w:val="Nagwek20"/>
        <w:spacing w:after="0" w:line="312" w:lineRule="auto"/>
        <w:rPr>
          <w:sz w:val="20"/>
          <w:szCs w:val="20"/>
        </w:rPr>
      </w:pPr>
    </w:p>
    <w:p w:rsidR="00CD5048" w:rsidRPr="00E00B35" w:rsidRDefault="00CD5048"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8927AB" w:rsidRPr="00E00B35" w:rsidRDefault="008927AB" w:rsidP="00E00B35">
      <w:pPr>
        <w:pStyle w:val="Nagwek20"/>
        <w:spacing w:after="0" w:line="312" w:lineRule="auto"/>
        <w:rPr>
          <w:sz w:val="20"/>
          <w:szCs w:val="20"/>
        </w:rPr>
      </w:pPr>
    </w:p>
    <w:p w:rsidR="00CD5048" w:rsidRPr="00E00B35" w:rsidRDefault="00CD5048"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Default="001E1346" w:rsidP="00E00B35">
      <w:pPr>
        <w:pStyle w:val="Nagwek20"/>
        <w:spacing w:after="0" w:line="312" w:lineRule="auto"/>
        <w:rPr>
          <w:sz w:val="20"/>
          <w:szCs w:val="20"/>
        </w:rPr>
      </w:pPr>
    </w:p>
    <w:p w:rsidR="00E00B35" w:rsidRDefault="00E00B35" w:rsidP="00E00B35">
      <w:pPr>
        <w:pStyle w:val="Nagwek20"/>
        <w:spacing w:after="0" w:line="312" w:lineRule="auto"/>
        <w:rPr>
          <w:sz w:val="20"/>
          <w:szCs w:val="20"/>
        </w:rPr>
      </w:pPr>
    </w:p>
    <w:p w:rsidR="00E00B35" w:rsidRDefault="00E00B35" w:rsidP="00E00B35">
      <w:pPr>
        <w:pStyle w:val="Nagwek20"/>
        <w:spacing w:after="0" w:line="312" w:lineRule="auto"/>
        <w:rPr>
          <w:sz w:val="20"/>
          <w:szCs w:val="20"/>
        </w:rPr>
      </w:pPr>
    </w:p>
    <w:p w:rsidR="00E00B35" w:rsidRDefault="00E00B35" w:rsidP="00E00B35">
      <w:pPr>
        <w:pStyle w:val="Nagwek20"/>
        <w:spacing w:after="0" w:line="312" w:lineRule="auto"/>
        <w:rPr>
          <w:sz w:val="20"/>
          <w:szCs w:val="20"/>
        </w:rPr>
      </w:pPr>
    </w:p>
    <w:p w:rsidR="00E00B35" w:rsidRPr="00E00B35" w:rsidRDefault="00E00B35"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8927AB" w:rsidRPr="00E00B35" w:rsidRDefault="008927AB" w:rsidP="00E00B35">
      <w:pPr>
        <w:pStyle w:val="Nagwek20"/>
      </w:pPr>
      <w:bookmarkStart w:id="3" w:name="_Toc78189476"/>
      <w:r w:rsidRPr="00E00B35">
        <w:t>BIURO PREZYDENTA</w:t>
      </w:r>
      <w:bookmarkEnd w:id="3"/>
    </w:p>
    <w:p w:rsidR="008927AB" w:rsidRPr="00E00B35" w:rsidRDefault="008927AB" w:rsidP="00E00B35">
      <w:pPr>
        <w:pStyle w:val="Nagwek20"/>
        <w:spacing w:after="0" w:line="312" w:lineRule="auto"/>
        <w:rPr>
          <w:sz w:val="20"/>
          <w:szCs w:val="20"/>
        </w:rPr>
      </w:pPr>
    </w:p>
    <w:p w:rsidR="006F0842" w:rsidRPr="00E00B35" w:rsidRDefault="006F0842" w:rsidP="00E00B35">
      <w:pPr>
        <w:pStyle w:val="Nagwek3"/>
        <w:spacing w:after="0" w:line="312" w:lineRule="auto"/>
        <w:rPr>
          <w:sz w:val="20"/>
        </w:rPr>
      </w:pPr>
      <w:r w:rsidRPr="00E00B35">
        <w:rPr>
          <w:sz w:val="20"/>
        </w:rPr>
        <w:t>Akty prawne wydane przez Prezydenta i Radę Miejską Wrocławia</w:t>
      </w:r>
      <w:bookmarkEnd w:id="0"/>
      <w:bookmarkEnd w:id="1"/>
    </w:p>
    <w:p w:rsidR="006F0842" w:rsidRPr="00E00B35" w:rsidRDefault="006F0842" w:rsidP="00E00B35">
      <w:pPr>
        <w:pStyle w:val="Nagwek3"/>
        <w:spacing w:after="0" w:line="312" w:lineRule="auto"/>
        <w:rPr>
          <w:sz w:val="20"/>
        </w:rPr>
      </w:pPr>
    </w:p>
    <w:p w:rsidR="006F0842" w:rsidRPr="00E00B35" w:rsidRDefault="006F0842" w:rsidP="00E00B35">
      <w:pPr>
        <w:spacing w:after="0" w:line="312" w:lineRule="auto"/>
        <w:rPr>
          <w:bCs/>
          <w:szCs w:val="20"/>
        </w:rPr>
      </w:pPr>
      <w:r w:rsidRPr="00E00B35">
        <w:rPr>
          <w:b/>
          <w:bCs/>
          <w:szCs w:val="20"/>
        </w:rPr>
        <w:t xml:space="preserve">W 2020 r. Prezydent Wrocławia </w:t>
      </w:r>
      <w:r w:rsidRPr="00E00B35">
        <w:rPr>
          <w:bCs/>
          <w:szCs w:val="20"/>
        </w:rPr>
        <w:t xml:space="preserve">wydał ogółem </w:t>
      </w:r>
      <w:r w:rsidRPr="00E00B35">
        <w:rPr>
          <w:b/>
          <w:szCs w:val="20"/>
        </w:rPr>
        <w:t xml:space="preserve">2.101 aktów prawnych, </w:t>
      </w:r>
      <w:r w:rsidRPr="00E00B35">
        <w:rPr>
          <w:szCs w:val="20"/>
        </w:rPr>
        <w:t>w tym</w:t>
      </w:r>
      <w:r w:rsidRPr="00E00B35">
        <w:rPr>
          <w:bCs/>
          <w:szCs w:val="20"/>
        </w:rPr>
        <w:t>:</w:t>
      </w:r>
    </w:p>
    <w:p w:rsidR="006F0842" w:rsidRPr="00E00B35" w:rsidRDefault="006F0842" w:rsidP="00E00B35">
      <w:pPr>
        <w:numPr>
          <w:ilvl w:val="0"/>
          <w:numId w:val="129"/>
        </w:numPr>
        <w:spacing w:after="0" w:line="312" w:lineRule="auto"/>
        <w:ind w:left="720"/>
        <w:rPr>
          <w:szCs w:val="20"/>
        </w:rPr>
      </w:pPr>
      <w:r w:rsidRPr="00E00B35">
        <w:rPr>
          <w:szCs w:val="20"/>
        </w:rPr>
        <w:t>2 059 zarządzeń organu wykonawczego miasta,</w:t>
      </w:r>
    </w:p>
    <w:p w:rsidR="006F0842" w:rsidRPr="00E00B35" w:rsidRDefault="006F0842" w:rsidP="00E00B35">
      <w:pPr>
        <w:numPr>
          <w:ilvl w:val="0"/>
          <w:numId w:val="129"/>
        </w:numPr>
        <w:spacing w:after="0" w:line="312" w:lineRule="auto"/>
        <w:ind w:left="720"/>
        <w:rPr>
          <w:bCs/>
          <w:szCs w:val="20"/>
        </w:rPr>
      </w:pPr>
      <w:r w:rsidRPr="00E00B35">
        <w:rPr>
          <w:bCs/>
          <w:szCs w:val="20"/>
        </w:rPr>
        <w:t>42 wewnętrzne akty kierownika urzędu, obejmujące 41 zarządzeń kierownika Urzędu i jedno pismo okólne.</w:t>
      </w:r>
    </w:p>
    <w:p w:rsidR="006F0842" w:rsidRPr="00E00B35" w:rsidRDefault="006F0842" w:rsidP="00E00B35">
      <w:pPr>
        <w:tabs>
          <w:tab w:val="left" w:pos="8789"/>
        </w:tabs>
        <w:spacing w:after="0" w:line="312" w:lineRule="auto"/>
        <w:rPr>
          <w:szCs w:val="20"/>
        </w:rPr>
      </w:pPr>
    </w:p>
    <w:p w:rsidR="006F0842" w:rsidRPr="00E00B35" w:rsidRDefault="006F0842" w:rsidP="00E00B35">
      <w:pPr>
        <w:tabs>
          <w:tab w:val="left" w:pos="8789"/>
        </w:tabs>
        <w:spacing w:after="0" w:line="312" w:lineRule="auto"/>
        <w:rPr>
          <w:szCs w:val="20"/>
        </w:rPr>
      </w:pPr>
      <w:r w:rsidRPr="00E00B35">
        <w:rPr>
          <w:szCs w:val="20"/>
        </w:rPr>
        <w:t>Zestawienie wydanych przez Prezydenta aktów prawnych w obecnej kadencji (</w:t>
      </w:r>
      <w:r w:rsidRPr="00E00B35">
        <w:rPr>
          <w:bCs/>
          <w:szCs w:val="20"/>
        </w:rPr>
        <w:t>Kadencja 2018-2023)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838"/>
        <w:gridCol w:w="1887"/>
        <w:gridCol w:w="1887"/>
        <w:gridCol w:w="1831"/>
      </w:tblGrid>
      <w:tr w:rsidR="006F0842" w:rsidRPr="00E00B35" w:rsidTr="00B86812">
        <w:trPr>
          <w:tblHeader/>
        </w:trPr>
        <w:tc>
          <w:tcPr>
            <w:tcW w:w="1843" w:type="dxa"/>
          </w:tcPr>
          <w:p w:rsidR="006F0842" w:rsidRPr="00E00B35" w:rsidRDefault="006F0842" w:rsidP="00E00B35">
            <w:pPr>
              <w:spacing w:after="0" w:line="312" w:lineRule="auto"/>
              <w:rPr>
                <w:szCs w:val="20"/>
              </w:rPr>
            </w:pPr>
            <w:r w:rsidRPr="00E00B35">
              <w:rPr>
                <w:szCs w:val="20"/>
              </w:rPr>
              <w:t>Rok</w:t>
            </w:r>
          </w:p>
        </w:tc>
        <w:tc>
          <w:tcPr>
            <w:tcW w:w="1838" w:type="dxa"/>
          </w:tcPr>
          <w:p w:rsidR="006F0842" w:rsidRPr="00E00B35" w:rsidRDefault="006F0842" w:rsidP="00E00B35">
            <w:pPr>
              <w:spacing w:after="0" w:line="312" w:lineRule="auto"/>
              <w:rPr>
                <w:szCs w:val="20"/>
              </w:rPr>
            </w:pPr>
            <w:r w:rsidRPr="00E00B35">
              <w:rPr>
                <w:szCs w:val="20"/>
              </w:rPr>
              <w:t>ogółem</w:t>
            </w:r>
          </w:p>
        </w:tc>
        <w:tc>
          <w:tcPr>
            <w:tcW w:w="1887" w:type="dxa"/>
          </w:tcPr>
          <w:p w:rsidR="006F0842" w:rsidRPr="00E00B35" w:rsidRDefault="006F0842" w:rsidP="00E00B35">
            <w:pPr>
              <w:spacing w:after="0" w:line="312" w:lineRule="auto"/>
              <w:rPr>
                <w:szCs w:val="20"/>
              </w:rPr>
            </w:pPr>
            <w:r w:rsidRPr="00E00B35">
              <w:rPr>
                <w:szCs w:val="20"/>
              </w:rPr>
              <w:t>w tym zarządzenia organu</w:t>
            </w:r>
          </w:p>
        </w:tc>
        <w:tc>
          <w:tcPr>
            <w:tcW w:w="1887" w:type="dxa"/>
          </w:tcPr>
          <w:p w:rsidR="006F0842" w:rsidRPr="00E00B35" w:rsidRDefault="006F0842" w:rsidP="00E00B35">
            <w:pPr>
              <w:spacing w:after="0" w:line="312" w:lineRule="auto"/>
              <w:rPr>
                <w:szCs w:val="20"/>
              </w:rPr>
            </w:pPr>
            <w:r w:rsidRPr="00E00B35">
              <w:rPr>
                <w:szCs w:val="20"/>
              </w:rPr>
              <w:t xml:space="preserve">w tym zarządzenia kierownika urzędu </w:t>
            </w:r>
          </w:p>
        </w:tc>
        <w:tc>
          <w:tcPr>
            <w:tcW w:w="1831" w:type="dxa"/>
          </w:tcPr>
          <w:p w:rsidR="006F0842" w:rsidRPr="00E00B35" w:rsidRDefault="006F0842" w:rsidP="00E00B35">
            <w:pPr>
              <w:spacing w:after="0" w:line="312" w:lineRule="auto"/>
              <w:rPr>
                <w:szCs w:val="20"/>
              </w:rPr>
            </w:pPr>
            <w:r w:rsidRPr="00E00B35">
              <w:rPr>
                <w:szCs w:val="20"/>
              </w:rPr>
              <w:t>w tym pisma okólne</w:t>
            </w:r>
          </w:p>
        </w:tc>
      </w:tr>
      <w:tr w:rsidR="006F0842" w:rsidRPr="00E00B35" w:rsidTr="00B86812">
        <w:tc>
          <w:tcPr>
            <w:tcW w:w="1843" w:type="dxa"/>
            <w:vAlign w:val="center"/>
          </w:tcPr>
          <w:p w:rsidR="006F0842" w:rsidRPr="00E00B35" w:rsidRDefault="006F0842" w:rsidP="00E00B35">
            <w:pPr>
              <w:spacing w:after="0" w:line="312" w:lineRule="auto"/>
              <w:rPr>
                <w:szCs w:val="20"/>
              </w:rPr>
            </w:pPr>
            <w:r w:rsidRPr="00E00B35">
              <w:rPr>
                <w:szCs w:val="20"/>
              </w:rPr>
              <w:t xml:space="preserve">2018 </w:t>
            </w:r>
          </w:p>
        </w:tc>
        <w:tc>
          <w:tcPr>
            <w:tcW w:w="1838" w:type="dxa"/>
            <w:vAlign w:val="center"/>
          </w:tcPr>
          <w:p w:rsidR="006F0842" w:rsidRPr="00E00B35" w:rsidRDefault="006F0842" w:rsidP="00E00B35">
            <w:pPr>
              <w:spacing w:after="0" w:line="312" w:lineRule="auto"/>
              <w:rPr>
                <w:szCs w:val="20"/>
              </w:rPr>
            </w:pPr>
            <w:r w:rsidRPr="00E00B35">
              <w:rPr>
                <w:szCs w:val="20"/>
              </w:rPr>
              <w:t>171</w:t>
            </w:r>
          </w:p>
        </w:tc>
        <w:tc>
          <w:tcPr>
            <w:tcW w:w="1887" w:type="dxa"/>
            <w:vAlign w:val="center"/>
          </w:tcPr>
          <w:p w:rsidR="006F0842" w:rsidRPr="00E00B35" w:rsidRDefault="006F0842" w:rsidP="00E00B35">
            <w:pPr>
              <w:spacing w:after="0" w:line="312" w:lineRule="auto"/>
              <w:rPr>
                <w:szCs w:val="20"/>
              </w:rPr>
            </w:pPr>
            <w:r w:rsidRPr="00E00B35">
              <w:rPr>
                <w:szCs w:val="20"/>
              </w:rPr>
              <w:t>163</w:t>
            </w:r>
          </w:p>
        </w:tc>
        <w:tc>
          <w:tcPr>
            <w:tcW w:w="1887" w:type="dxa"/>
            <w:vAlign w:val="center"/>
          </w:tcPr>
          <w:p w:rsidR="006F0842" w:rsidRPr="00E00B35" w:rsidRDefault="006F0842" w:rsidP="00E00B35">
            <w:pPr>
              <w:spacing w:after="0" w:line="312" w:lineRule="auto"/>
              <w:rPr>
                <w:szCs w:val="20"/>
              </w:rPr>
            </w:pPr>
            <w:r w:rsidRPr="00E00B35">
              <w:rPr>
                <w:szCs w:val="20"/>
              </w:rPr>
              <w:t xml:space="preserve">8 </w:t>
            </w:r>
          </w:p>
        </w:tc>
        <w:tc>
          <w:tcPr>
            <w:tcW w:w="1831" w:type="dxa"/>
            <w:vAlign w:val="center"/>
          </w:tcPr>
          <w:p w:rsidR="006F0842" w:rsidRPr="00E00B35" w:rsidRDefault="006F0842" w:rsidP="00E00B35">
            <w:pPr>
              <w:spacing w:after="0" w:line="312" w:lineRule="auto"/>
              <w:rPr>
                <w:szCs w:val="20"/>
              </w:rPr>
            </w:pPr>
            <w:r w:rsidRPr="00E00B35">
              <w:rPr>
                <w:szCs w:val="20"/>
              </w:rPr>
              <w:t>-</w:t>
            </w:r>
          </w:p>
        </w:tc>
      </w:tr>
      <w:tr w:rsidR="006F0842" w:rsidRPr="00E00B35" w:rsidTr="00B86812">
        <w:tc>
          <w:tcPr>
            <w:tcW w:w="1843" w:type="dxa"/>
            <w:vAlign w:val="center"/>
          </w:tcPr>
          <w:p w:rsidR="006F0842" w:rsidRPr="00E00B35" w:rsidRDefault="006F0842" w:rsidP="00E00B35">
            <w:pPr>
              <w:spacing w:after="0" w:line="312" w:lineRule="auto"/>
              <w:rPr>
                <w:szCs w:val="20"/>
              </w:rPr>
            </w:pPr>
            <w:r w:rsidRPr="00E00B35">
              <w:rPr>
                <w:szCs w:val="20"/>
              </w:rPr>
              <w:t>2019</w:t>
            </w:r>
          </w:p>
        </w:tc>
        <w:tc>
          <w:tcPr>
            <w:tcW w:w="1838" w:type="dxa"/>
            <w:vAlign w:val="center"/>
          </w:tcPr>
          <w:p w:rsidR="006F0842" w:rsidRPr="00E00B35" w:rsidRDefault="006F0842" w:rsidP="00E00B35">
            <w:pPr>
              <w:spacing w:after="0" w:line="312" w:lineRule="auto"/>
              <w:rPr>
                <w:szCs w:val="20"/>
              </w:rPr>
            </w:pPr>
            <w:r w:rsidRPr="00E00B35">
              <w:rPr>
                <w:szCs w:val="20"/>
              </w:rPr>
              <w:t>2 187</w:t>
            </w:r>
          </w:p>
        </w:tc>
        <w:tc>
          <w:tcPr>
            <w:tcW w:w="1887" w:type="dxa"/>
            <w:vAlign w:val="center"/>
          </w:tcPr>
          <w:p w:rsidR="006F0842" w:rsidRPr="00E00B35" w:rsidRDefault="006F0842" w:rsidP="00E00B35">
            <w:pPr>
              <w:spacing w:after="0" w:line="312" w:lineRule="auto"/>
              <w:rPr>
                <w:szCs w:val="20"/>
              </w:rPr>
            </w:pPr>
            <w:r w:rsidRPr="00E00B35">
              <w:rPr>
                <w:szCs w:val="20"/>
              </w:rPr>
              <w:t>2 148</w:t>
            </w:r>
          </w:p>
        </w:tc>
        <w:tc>
          <w:tcPr>
            <w:tcW w:w="1887" w:type="dxa"/>
            <w:vAlign w:val="center"/>
          </w:tcPr>
          <w:p w:rsidR="006F0842" w:rsidRPr="00E00B35" w:rsidRDefault="006F0842" w:rsidP="00E00B35">
            <w:pPr>
              <w:spacing w:after="0" w:line="312" w:lineRule="auto"/>
              <w:rPr>
                <w:szCs w:val="20"/>
              </w:rPr>
            </w:pPr>
            <w:r w:rsidRPr="00E00B35">
              <w:rPr>
                <w:szCs w:val="20"/>
              </w:rPr>
              <w:t>39</w:t>
            </w:r>
          </w:p>
        </w:tc>
        <w:tc>
          <w:tcPr>
            <w:tcW w:w="1831" w:type="dxa"/>
            <w:vAlign w:val="center"/>
          </w:tcPr>
          <w:p w:rsidR="006F0842" w:rsidRPr="00E00B35" w:rsidRDefault="006F0842" w:rsidP="00E00B35">
            <w:pPr>
              <w:spacing w:after="0" w:line="312" w:lineRule="auto"/>
              <w:rPr>
                <w:szCs w:val="20"/>
              </w:rPr>
            </w:pPr>
            <w:r w:rsidRPr="00E00B35">
              <w:rPr>
                <w:szCs w:val="20"/>
              </w:rPr>
              <w:t>-</w:t>
            </w:r>
          </w:p>
        </w:tc>
      </w:tr>
      <w:tr w:rsidR="006F0842" w:rsidRPr="00E00B35" w:rsidTr="00B86812">
        <w:tc>
          <w:tcPr>
            <w:tcW w:w="1843" w:type="dxa"/>
            <w:vAlign w:val="center"/>
          </w:tcPr>
          <w:p w:rsidR="006F0842" w:rsidRPr="00E00B35" w:rsidRDefault="006F0842" w:rsidP="00E00B35">
            <w:pPr>
              <w:spacing w:after="0" w:line="312" w:lineRule="auto"/>
              <w:rPr>
                <w:szCs w:val="20"/>
              </w:rPr>
            </w:pPr>
            <w:r w:rsidRPr="00E00B35">
              <w:rPr>
                <w:szCs w:val="20"/>
              </w:rPr>
              <w:t>2020</w:t>
            </w:r>
          </w:p>
        </w:tc>
        <w:tc>
          <w:tcPr>
            <w:tcW w:w="1838" w:type="dxa"/>
            <w:vAlign w:val="center"/>
          </w:tcPr>
          <w:p w:rsidR="006F0842" w:rsidRPr="00E00B35" w:rsidRDefault="006F0842" w:rsidP="00E00B35">
            <w:pPr>
              <w:spacing w:after="0" w:line="312" w:lineRule="auto"/>
              <w:rPr>
                <w:szCs w:val="20"/>
              </w:rPr>
            </w:pPr>
            <w:r w:rsidRPr="00E00B35">
              <w:rPr>
                <w:szCs w:val="20"/>
              </w:rPr>
              <w:t>2 101</w:t>
            </w:r>
          </w:p>
        </w:tc>
        <w:tc>
          <w:tcPr>
            <w:tcW w:w="1887" w:type="dxa"/>
            <w:vAlign w:val="center"/>
          </w:tcPr>
          <w:p w:rsidR="006F0842" w:rsidRPr="00E00B35" w:rsidRDefault="006F0842" w:rsidP="00E00B35">
            <w:pPr>
              <w:spacing w:after="0" w:line="312" w:lineRule="auto"/>
              <w:rPr>
                <w:szCs w:val="20"/>
              </w:rPr>
            </w:pPr>
            <w:r w:rsidRPr="00E00B35">
              <w:rPr>
                <w:szCs w:val="20"/>
              </w:rPr>
              <w:t>2 059</w:t>
            </w:r>
          </w:p>
        </w:tc>
        <w:tc>
          <w:tcPr>
            <w:tcW w:w="1887" w:type="dxa"/>
            <w:vAlign w:val="center"/>
          </w:tcPr>
          <w:p w:rsidR="006F0842" w:rsidRPr="00E00B35" w:rsidRDefault="006F0842" w:rsidP="00E00B35">
            <w:pPr>
              <w:spacing w:after="0" w:line="312" w:lineRule="auto"/>
              <w:rPr>
                <w:szCs w:val="20"/>
              </w:rPr>
            </w:pPr>
            <w:r w:rsidRPr="00E00B35">
              <w:rPr>
                <w:szCs w:val="20"/>
              </w:rPr>
              <w:t>41</w:t>
            </w:r>
          </w:p>
        </w:tc>
        <w:tc>
          <w:tcPr>
            <w:tcW w:w="1831" w:type="dxa"/>
            <w:vAlign w:val="center"/>
          </w:tcPr>
          <w:p w:rsidR="006F0842" w:rsidRPr="00E00B35" w:rsidRDefault="006F0842" w:rsidP="00E00B35">
            <w:pPr>
              <w:spacing w:after="0" w:line="312" w:lineRule="auto"/>
              <w:rPr>
                <w:szCs w:val="20"/>
              </w:rPr>
            </w:pPr>
            <w:r w:rsidRPr="00E00B35">
              <w:rPr>
                <w:szCs w:val="20"/>
              </w:rPr>
              <w:t>1</w:t>
            </w:r>
          </w:p>
        </w:tc>
      </w:tr>
      <w:tr w:rsidR="006F0842" w:rsidRPr="00E00B35" w:rsidTr="00B86812">
        <w:tc>
          <w:tcPr>
            <w:tcW w:w="1843" w:type="dxa"/>
            <w:vAlign w:val="center"/>
          </w:tcPr>
          <w:p w:rsidR="006F0842" w:rsidRPr="00E00B35" w:rsidRDefault="006F0842" w:rsidP="00E00B35">
            <w:pPr>
              <w:spacing w:after="0" w:line="312" w:lineRule="auto"/>
              <w:rPr>
                <w:szCs w:val="20"/>
              </w:rPr>
            </w:pPr>
            <w:r w:rsidRPr="00E00B35">
              <w:rPr>
                <w:szCs w:val="20"/>
              </w:rPr>
              <w:t>Ogółem</w:t>
            </w:r>
          </w:p>
        </w:tc>
        <w:tc>
          <w:tcPr>
            <w:tcW w:w="1838" w:type="dxa"/>
            <w:vAlign w:val="center"/>
          </w:tcPr>
          <w:p w:rsidR="006F0842" w:rsidRPr="00E00B35" w:rsidRDefault="006F0842" w:rsidP="00E00B35">
            <w:pPr>
              <w:spacing w:after="0" w:line="312" w:lineRule="auto"/>
              <w:rPr>
                <w:szCs w:val="20"/>
              </w:rPr>
            </w:pPr>
            <w:r w:rsidRPr="00E00B35">
              <w:rPr>
                <w:szCs w:val="20"/>
              </w:rPr>
              <w:t>4 459</w:t>
            </w:r>
          </w:p>
        </w:tc>
        <w:tc>
          <w:tcPr>
            <w:tcW w:w="1887" w:type="dxa"/>
            <w:vAlign w:val="center"/>
          </w:tcPr>
          <w:p w:rsidR="006F0842" w:rsidRPr="00E00B35" w:rsidRDefault="006F0842" w:rsidP="00E00B35">
            <w:pPr>
              <w:spacing w:after="0" w:line="312" w:lineRule="auto"/>
              <w:rPr>
                <w:szCs w:val="20"/>
              </w:rPr>
            </w:pPr>
            <w:r w:rsidRPr="00E00B35">
              <w:rPr>
                <w:szCs w:val="20"/>
              </w:rPr>
              <w:t>4 370</w:t>
            </w:r>
          </w:p>
        </w:tc>
        <w:tc>
          <w:tcPr>
            <w:tcW w:w="1887" w:type="dxa"/>
            <w:vAlign w:val="center"/>
          </w:tcPr>
          <w:p w:rsidR="006F0842" w:rsidRPr="00E00B35" w:rsidRDefault="006F0842" w:rsidP="00E00B35">
            <w:pPr>
              <w:spacing w:after="0" w:line="312" w:lineRule="auto"/>
              <w:rPr>
                <w:szCs w:val="20"/>
              </w:rPr>
            </w:pPr>
            <w:r w:rsidRPr="00E00B35">
              <w:rPr>
                <w:szCs w:val="20"/>
              </w:rPr>
              <w:t>88</w:t>
            </w:r>
          </w:p>
        </w:tc>
        <w:tc>
          <w:tcPr>
            <w:tcW w:w="1831" w:type="dxa"/>
            <w:vAlign w:val="center"/>
          </w:tcPr>
          <w:p w:rsidR="006F0842" w:rsidRPr="00E00B35" w:rsidRDefault="006F0842" w:rsidP="00E00B35">
            <w:pPr>
              <w:spacing w:after="0" w:line="312" w:lineRule="auto"/>
              <w:rPr>
                <w:szCs w:val="20"/>
              </w:rPr>
            </w:pPr>
            <w:r w:rsidRPr="00E00B35">
              <w:rPr>
                <w:szCs w:val="20"/>
              </w:rPr>
              <w:t>1</w:t>
            </w:r>
          </w:p>
        </w:tc>
      </w:tr>
    </w:tbl>
    <w:p w:rsidR="006F0842" w:rsidRPr="00E00B35" w:rsidRDefault="006F0842" w:rsidP="00E00B35">
      <w:pPr>
        <w:spacing w:after="0" w:line="312" w:lineRule="auto"/>
        <w:rPr>
          <w:b/>
          <w:szCs w:val="20"/>
        </w:rPr>
      </w:pPr>
    </w:p>
    <w:p w:rsidR="006F0842" w:rsidRPr="00E00B35" w:rsidRDefault="006F0842" w:rsidP="00E00B35">
      <w:pPr>
        <w:spacing w:after="0" w:line="312" w:lineRule="auto"/>
        <w:rPr>
          <w:szCs w:val="20"/>
        </w:rPr>
      </w:pPr>
      <w:r w:rsidRPr="00E00B35">
        <w:rPr>
          <w:szCs w:val="20"/>
        </w:rPr>
        <w:t xml:space="preserve">Główną problematyką wydanych w ubiegłym roku zarządzeń organu, podobnie jak w latach poprzednich, były sprawy z zakresu </w:t>
      </w:r>
      <w:r w:rsidRPr="00E00B35">
        <w:rPr>
          <w:b/>
          <w:szCs w:val="20"/>
        </w:rPr>
        <w:t>gospodarki nieruchomościami</w:t>
      </w:r>
      <w:r w:rsidRPr="00E00B35">
        <w:rPr>
          <w:szCs w:val="20"/>
        </w:rPr>
        <w:t xml:space="preserve"> obejmujące 74,2% ogółu wydanych zarządzeń.</w:t>
      </w:r>
    </w:p>
    <w:p w:rsidR="006F0842" w:rsidRPr="00E00B35" w:rsidRDefault="006F0842" w:rsidP="00E00B35">
      <w:pPr>
        <w:spacing w:after="0" w:line="312" w:lineRule="auto"/>
        <w:rPr>
          <w:bCs/>
          <w:szCs w:val="20"/>
        </w:rPr>
      </w:pPr>
      <w:r w:rsidRPr="00E00B35">
        <w:rPr>
          <w:bCs/>
          <w:szCs w:val="20"/>
        </w:rPr>
        <w:t>Około 21% zarządzeń to akty przeznaczające do sprzedaży nieruchomości gruntowe, wolne pomieszczenia, lokale użytkowe, niemieszkalne i mieszkalne, w tym lokale stanowiące przedmiot najmu, lokale niewyodrębnione jako samodzielne nieruchomości oraz udziały w nieruchomości, a także przeznaczające nieruchomości do oddania w użytkowanie wieczyste, dzierżawę i użyczenie.</w:t>
      </w:r>
    </w:p>
    <w:p w:rsidR="006F0842" w:rsidRPr="00E00B35" w:rsidRDefault="006F0842" w:rsidP="00E00B35">
      <w:pPr>
        <w:spacing w:after="0" w:line="312" w:lineRule="auto"/>
        <w:rPr>
          <w:bCs/>
          <w:szCs w:val="20"/>
        </w:rPr>
      </w:pPr>
      <w:r w:rsidRPr="00E00B35">
        <w:rPr>
          <w:bCs/>
          <w:szCs w:val="20"/>
        </w:rPr>
        <w:t>Przedmiotem ponad 17% zarządzeń są ogłoszenia przetargów na sprzedaż nieruchomości gruntowych, oddanie nieruchomości w użytkowanie wieczyste, sprzedaż wolnych lokali użytkowych, mieszkalnych i niemieszkalnych, pomieszczeń i lokali niewyodrębnionych jako samodzielne nieruchomości, sprzedaż udziału w prawie własności garaży i udziału w nieruchomości.</w:t>
      </w:r>
    </w:p>
    <w:p w:rsidR="006F0842" w:rsidRPr="00E00B35" w:rsidRDefault="006F0842" w:rsidP="00E00B35">
      <w:pPr>
        <w:spacing w:after="0" w:line="312" w:lineRule="auto"/>
        <w:rPr>
          <w:bCs/>
          <w:szCs w:val="20"/>
        </w:rPr>
      </w:pPr>
      <w:r w:rsidRPr="00E00B35">
        <w:rPr>
          <w:bCs/>
          <w:szCs w:val="20"/>
        </w:rPr>
        <w:t>Część regulacji dotyczy przesunięcia terminów na składanie ofert i wpłatę wadium i zmiany terminów przetargów ze względu na ograniczenia wprowadzone w związku z zagrożeniem wirusem SARS-CoV-2 oraz kontynuuje procedurę przetargową decydując o ogłoszeniu drugiego, trzeciego i czwartego przetargu.</w:t>
      </w:r>
    </w:p>
    <w:p w:rsidR="006F0842" w:rsidRPr="00E00B35" w:rsidRDefault="006F0842" w:rsidP="00E00B35">
      <w:pPr>
        <w:spacing w:after="0" w:line="312" w:lineRule="auto"/>
        <w:rPr>
          <w:bCs/>
          <w:szCs w:val="20"/>
        </w:rPr>
      </w:pPr>
      <w:r w:rsidRPr="00E00B35">
        <w:rPr>
          <w:bCs/>
          <w:szCs w:val="20"/>
        </w:rPr>
        <w:t>Prawie 14% zarządzeń stanowi o powołaniu komisji do przeprowadzenia przetargów na zbycie nieruchomości i lokali.</w:t>
      </w:r>
    </w:p>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Pozostałe zarządzenia obejmujące tematykę gospodarki nieruchomościami dotyczą w szczególności:</w:t>
      </w:r>
    </w:p>
    <w:p w:rsidR="006F0842" w:rsidRPr="00E00B35" w:rsidRDefault="006F0842" w:rsidP="00E00B35">
      <w:pPr>
        <w:numPr>
          <w:ilvl w:val="0"/>
          <w:numId w:val="132"/>
        </w:numPr>
        <w:spacing w:after="0" w:line="312" w:lineRule="auto"/>
        <w:rPr>
          <w:bCs/>
          <w:szCs w:val="20"/>
        </w:rPr>
      </w:pPr>
      <w:r w:rsidRPr="00E00B35">
        <w:rPr>
          <w:bCs/>
          <w:szCs w:val="20"/>
        </w:rPr>
        <w:t>zamiany nieruchomości gruntowych, lokali niemieszkalnych i praw do nieruchomości,</w:t>
      </w:r>
    </w:p>
    <w:p w:rsidR="006F0842" w:rsidRPr="00E00B35" w:rsidRDefault="006F0842" w:rsidP="00E00B35">
      <w:pPr>
        <w:numPr>
          <w:ilvl w:val="0"/>
          <w:numId w:val="132"/>
        </w:numPr>
        <w:spacing w:after="0" w:line="312" w:lineRule="auto"/>
        <w:rPr>
          <w:bCs/>
          <w:szCs w:val="20"/>
        </w:rPr>
      </w:pPr>
      <w:r w:rsidRPr="00E00B35">
        <w:rPr>
          <w:bCs/>
          <w:szCs w:val="20"/>
        </w:rPr>
        <w:t xml:space="preserve">odstąpienia od przeznaczenia do sprzedaży lokali mieszkalnych i niemieszkalnych, </w:t>
      </w:r>
    </w:p>
    <w:p w:rsidR="006F0842" w:rsidRPr="00E00B35" w:rsidRDefault="006F0842" w:rsidP="00E00B35">
      <w:pPr>
        <w:numPr>
          <w:ilvl w:val="0"/>
          <w:numId w:val="132"/>
        </w:numPr>
        <w:spacing w:after="0" w:line="312" w:lineRule="auto"/>
        <w:rPr>
          <w:bCs/>
          <w:szCs w:val="20"/>
        </w:rPr>
      </w:pPr>
      <w:r w:rsidRPr="00E00B35">
        <w:rPr>
          <w:bCs/>
          <w:szCs w:val="20"/>
        </w:rPr>
        <w:lastRenderedPageBreak/>
        <w:t>odwołania przetargów,</w:t>
      </w:r>
    </w:p>
    <w:p w:rsidR="006F0842" w:rsidRPr="00E00B35" w:rsidRDefault="006F0842" w:rsidP="00E00B35">
      <w:pPr>
        <w:numPr>
          <w:ilvl w:val="0"/>
          <w:numId w:val="132"/>
        </w:numPr>
        <w:spacing w:after="0" w:line="312" w:lineRule="auto"/>
        <w:rPr>
          <w:bCs/>
          <w:szCs w:val="20"/>
        </w:rPr>
      </w:pPr>
      <w:r w:rsidRPr="00E00B35">
        <w:rPr>
          <w:bCs/>
          <w:szCs w:val="20"/>
        </w:rPr>
        <w:t>zniesienia odrębnej własności lokalu mieszkalnego,</w:t>
      </w:r>
    </w:p>
    <w:p w:rsidR="006F0842" w:rsidRPr="00E00B35" w:rsidRDefault="006F0842" w:rsidP="00E00B35">
      <w:pPr>
        <w:numPr>
          <w:ilvl w:val="0"/>
          <w:numId w:val="132"/>
        </w:numPr>
        <w:spacing w:after="0" w:line="312" w:lineRule="auto"/>
        <w:rPr>
          <w:bCs/>
          <w:szCs w:val="20"/>
        </w:rPr>
      </w:pPr>
      <w:r w:rsidRPr="00E00B35">
        <w:rPr>
          <w:bCs/>
          <w:szCs w:val="20"/>
        </w:rPr>
        <w:t>wypłaty odszkodowania za wydzielone pod drogi publiczne działki gruntu oraz wynagrodzenia dla byłych użytkowników wieczystych,</w:t>
      </w:r>
    </w:p>
    <w:p w:rsidR="006F0842" w:rsidRPr="00E00B35" w:rsidRDefault="006F0842" w:rsidP="00E00B35">
      <w:pPr>
        <w:numPr>
          <w:ilvl w:val="0"/>
          <w:numId w:val="132"/>
        </w:numPr>
        <w:spacing w:after="0" w:line="312" w:lineRule="auto"/>
        <w:rPr>
          <w:bCs/>
          <w:szCs w:val="20"/>
        </w:rPr>
      </w:pPr>
      <w:r w:rsidRPr="00E00B35">
        <w:rPr>
          <w:bCs/>
          <w:szCs w:val="20"/>
        </w:rPr>
        <w:t>żądania zwrotu zwaloryzowanej kwoty bonifikaty lub jej części udzielonej z tytułu nabycia lokalu mieszkalnego w związku z jego zbyciem przed upływem 5 lat oraz odstąpienia od żądania zwrotu bonifikaty,</w:t>
      </w:r>
    </w:p>
    <w:p w:rsidR="006F0842" w:rsidRPr="00E00B35" w:rsidRDefault="006F0842" w:rsidP="00E00B35">
      <w:pPr>
        <w:numPr>
          <w:ilvl w:val="0"/>
          <w:numId w:val="132"/>
        </w:numPr>
        <w:spacing w:after="0" w:line="312" w:lineRule="auto"/>
        <w:rPr>
          <w:bCs/>
          <w:szCs w:val="20"/>
        </w:rPr>
      </w:pPr>
      <w:r w:rsidRPr="00E00B35">
        <w:rPr>
          <w:bCs/>
          <w:szCs w:val="20"/>
        </w:rPr>
        <w:t>nabycia do zasobu Gminy Wrocław prawa własności działek gruntu i lokali mieszkalnych oraz prawa użytkowania wieczystego - m.in. w drodze darowizny od Województwa Dolnośląskiego nabycie prawa własności nieruchomości przy ul. Skarbowców, Szybkiej oraz Jana Ewangelisty Purkyniego, od Skarbu Państwa – Agencji Mienia Wojskowego w Warszawie - prawa własności działki gruntu przy ul. Zwycięskiej oraz działek gruntu na Kępie Mieszczańskiej, nieodpłatne nabycie od Skarbu Państwa– Krajowego Ośrodka Wsparcia Rolnictwa gruntów w rejonie ul. Strachocińskiej oraz w obrębie Wojszyce przeznaczonych pod drogi publiczne,</w:t>
      </w:r>
    </w:p>
    <w:p w:rsidR="006F0842" w:rsidRPr="00E00B35" w:rsidRDefault="006F0842" w:rsidP="00E00B35">
      <w:pPr>
        <w:numPr>
          <w:ilvl w:val="0"/>
          <w:numId w:val="132"/>
        </w:numPr>
        <w:spacing w:after="0" w:line="312" w:lineRule="auto"/>
        <w:rPr>
          <w:bCs/>
          <w:szCs w:val="20"/>
        </w:rPr>
      </w:pPr>
      <w:r w:rsidRPr="00E00B35">
        <w:rPr>
          <w:bCs/>
          <w:szCs w:val="20"/>
        </w:rPr>
        <w:t>aktualizacji składu Zespołu Zadaniowego do opracowania projektu Porozumienia dotyczącego przekazania w zasób mienia Państwowego Gospodarstwa Wodnego Wody Polskie Regionalnego Zarządu Gospodarki Wodnej we Wrocławiu Jazu Małgorzata na rzece Oławie wraz z przepompownią,</w:t>
      </w:r>
    </w:p>
    <w:p w:rsidR="006F0842" w:rsidRPr="00E00B35" w:rsidRDefault="006F0842" w:rsidP="00E00B35">
      <w:pPr>
        <w:numPr>
          <w:ilvl w:val="0"/>
          <w:numId w:val="132"/>
        </w:numPr>
        <w:spacing w:after="0" w:line="312" w:lineRule="auto"/>
        <w:rPr>
          <w:bCs/>
          <w:szCs w:val="20"/>
        </w:rPr>
      </w:pPr>
      <w:r w:rsidRPr="00E00B35">
        <w:rPr>
          <w:bCs/>
          <w:szCs w:val="20"/>
        </w:rPr>
        <w:t>zgody na wykreślenie z księgi wieczystej zapisów dotyczących hipoteki, umownego prawa pierwokupu i prawa odkupu,</w:t>
      </w:r>
    </w:p>
    <w:p w:rsidR="006F0842" w:rsidRPr="00E00B35" w:rsidRDefault="006F0842" w:rsidP="00E00B35">
      <w:pPr>
        <w:numPr>
          <w:ilvl w:val="0"/>
          <w:numId w:val="132"/>
        </w:numPr>
        <w:spacing w:after="0" w:line="312" w:lineRule="auto"/>
        <w:rPr>
          <w:bCs/>
          <w:szCs w:val="20"/>
        </w:rPr>
      </w:pPr>
      <w:r w:rsidRPr="00E00B35">
        <w:rPr>
          <w:bCs/>
          <w:szCs w:val="20"/>
        </w:rPr>
        <w:t>zmiany wysokości udziałów we współwłasności nieruchomości,</w:t>
      </w:r>
    </w:p>
    <w:p w:rsidR="006F0842" w:rsidRPr="00E00B35" w:rsidRDefault="006F0842" w:rsidP="00E00B35">
      <w:pPr>
        <w:numPr>
          <w:ilvl w:val="0"/>
          <w:numId w:val="132"/>
        </w:numPr>
        <w:spacing w:after="0" w:line="312" w:lineRule="auto"/>
        <w:rPr>
          <w:bCs/>
          <w:szCs w:val="20"/>
        </w:rPr>
      </w:pPr>
      <w:r w:rsidRPr="00E00B35">
        <w:rPr>
          <w:bCs/>
          <w:szCs w:val="20"/>
        </w:rPr>
        <w:t>zgody na wyłączenie strychów, świetlików i innych pomieszczeń z części wspólnych budynku, na zmianę przeznaczenia części nieruchomości wspólnej oraz odmowy wyrażenia zgody na zmianę przeznaczenia części wspólnej,</w:t>
      </w:r>
    </w:p>
    <w:p w:rsidR="006F0842" w:rsidRPr="00E00B35" w:rsidRDefault="006F0842" w:rsidP="00E00B35">
      <w:pPr>
        <w:numPr>
          <w:ilvl w:val="0"/>
          <w:numId w:val="132"/>
        </w:numPr>
        <w:spacing w:after="0" w:line="312" w:lineRule="auto"/>
        <w:rPr>
          <w:bCs/>
          <w:szCs w:val="20"/>
        </w:rPr>
      </w:pPr>
      <w:r w:rsidRPr="00E00B35">
        <w:rPr>
          <w:bCs/>
          <w:szCs w:val="20"/>
        </w:rPr>
        <w:t>niewykonania przysługującego Gminie Wrocław prawa pierwokupu nieruchomości,</w:t>
      </w:r>
    </w:p>
    <w:p w:rsidR="006F0842" w:rsidRPr="00E00B35" w:rsidRDefault="006F0842" w:rsidP="00E00B35">
      <w:pPr>
        <w:numPr>
          <w:ilvl w:val="0"/>
          <w:numId w:val="132"/>
        </w:numPr>
        <w:spacing w:after="0" w:line="312" w:lineRule="auto"/>
        <w:rPr>
          <w:bCs/>
          <w:szCs w:val="20"/>
        </w:rPr>
      </w:pPr>
      <w:r w:rsidRPr="00E00B35">
        <w:rPr>
          <w:bCs/>
          <w:szCs w:val="20"/>
        </w:rPr>
        <w:t>zgody na użyczenie nieruchomości: przy ul. Żelaznej - Stowarzyszeniu Edukacji Integracyjnej, przy ul. Wszystkich Świętych - Wrocławskiemu Centrum Zdrowia Samodzielnego Publicznego Zakładu Opieki Zdrowotnej,</w:t>
      </w:r>
    </w:p>
    <w:p w:rsidR="006F0842" w:rsidRPr="00E00B35" w:rsidRDefault="006F0842" w:rsidP="00E00B35">
      <w:pPr>
        <w:numPr>
          <w:ilvl w:val="0"/>
          <w:numId w:val="132"/>
        </w:numPr>
        <w:spacing w:after="0" w:line="312" w:lineRule="auto"/>
        <w:rPr>
          <w:bCs/>
          <w:szCs w:val="20"/>
        </w:rPr>
      </w:pPr>
      <w:r w:rsidRPr="00E00B35">
        <w:rPr>
          <w:bCs/>
          <w:szCs w:val="20"/>
        </w:rPr>
        <w:t>zgody na ustanowienie odpłatnej służebności przesyłu na nieruchomościach gminy na rzecz przedsiębiorców przesyłowych Orange Polska S.A., TAURON Dystrybucja S.A., Netia S.A., Polska Spółka Gazownictwa Sp. z o.o.,</w:t>
      </w:r>
    </w:p>
    <w:p w:rsidR="006F0842" w:rsidRPr="00E00B35" w:rsidRDefault="006F0842" w:rsidP="00E00B35">
      <w:pPr>
        <w:numPr>
          <w:ilvl w:val="0"/>
          <w:numId w:val="132"/>
        </w:numPr>
        <w:spacing w:after="0" w:line="312" w:lineRule="auto"/>
        <w:rPr>
          <w:bCs/>
          <w:szCs w:val="20"/>
        </w:rPr>
      </w:pPr>
      <w:r w:rsidRPr="00E00B35">
        <w:rPr>
          <w:bCs/>
          <w:szCs w:val="20"/>
        </w:rPr>
        <w:t>zawarcia umowy użyczenia lokalu mieszkalnego z Wrocławskim Domem Literatury oraz z Fundacją „Drzwi Otwarte” oraz zgody na użyczenie lokalu przy pl. Św. Macieja Stowarzyszeniu Pomocy Dzieciom i Ich Rodzinom w Szczególnie Trudnej Sytuacji Życiowej „ISKIERKA” we Wrocławiu.</w:t>
      </w:r>
    </w:p>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W minionym roku wydano nowe zarządzenie regulujące zasad wydzierżawiania i udostępniania nieruchomości stanowiących zasób Gminy Wrocław oraz ustalania wysokości stawek czynszu za nieruchomości oddawane w dzierżawę i stawek opłat za korzystanie i udostępnianie tych nieruchomości w innej formie.</w:t>
      </w:r>
    </w:p>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lastRenderedPageBreak/>
        <w:t xml:space="preserve">W dalszej kolejności, stanowiąc 7,4% ubiegłorocznych zarządzeń organu, pozostają zarządzenia regulujące zagadnienia z obszaru </w:t>
      </w:r>
      <w:r w:rsidRPr="00E00B35">
        <w:rPr>
          <w:b/>
          <w:bCs/>
          <w:szCs w:val="20"/>
        </w:rPr>
        <w:t>edukacji</w:t>
      </w:r>
      <w:r w:rsidRPr="00E00B35">
        <w:rPr>
          <w:bCs/>
          <w:szCs w:val="20"/>
        </w:rPr>
        <w:t xml:space="preserve"> dotyczące w szczególności:</w:t>
      </w:r>
    </w:p>
    <w:p w:rsidR="006F0842" w:rsidRPr="00E00B35" w:rsidRDefault="006F0842" w:rsidP="00E00B35">
      <w:pPr>
        <w:numPr>
          <w:ilvl w:val="0"/>
          <w:numId w:val="137"/>
        </w:numPr>
        <w:spacing w:after="0" w:line="312" w:lineRule="auto"/>
        <w:rPr>
          <w:bCs/>
          <w:szCs w:val="20"/>
        </w:rPr>
      </w:pPr>
      <w:r w:rsidRPr="00E00B35">
        <w:rPr>
          <w:bCs/>
          <w:szCs w:val="20"/>
        </w:rPr>
        <w:t>obsady stanowisk dyrektorów jednostek oświaty, w tym powołania komisji konkursowych dla wyłonienia kandydata na stanowisko dyrektora, zatwierdzenia konkursów, unieważnienia konkursu, powierzenia pełnienia obowiązków i przedłużenia powierzenia pełnienia obowiązków dyrektora, powierzenia stanowiska i funkcji dyrektora, odwołania ze stanowiska dyrektora i odwołania z pełnienia obowiązków dyrektora,</w:t>
      </w:r>
    </w:p>
    <w:p w:rsidR="006F0842" w:rsidRPr="00E00B35" w:rsidRDefault="006F0842" w:rsidP="00E00B35">
      <w:pPr>
        <w:numPr>
          <w:ilvl w:val="0"/>
          <w:numId w:val="137"/>
        </w:numPr>
        <w:spacing w:after="0" w:line="312" w:lineRule="auto"/>
        <w:rPr>
          <w:bCs/>
          <w:szCs w:val="20"/>
        </w:rPr>
      </w:pPr>
      <w:r w:rsidRPr="00E00B35">
        <w:rPr>
          <w:bCs/>
          <w:szCs w:val="20"/>
        </w:rPr>
        <w:t>powołania komisji egzaminacyjnych dla nauczycieli szkół i placówek oświatowych, ubiegających się o awans na stopień nauczyciela mianowanego oraz powołania przewodniczących komisji egzaminacyjnych,</w:t>
      </w:r>
    </w:p>
    <w:p w:rsidR="006F0842" w:rsidRPr="00E00B35" w:rsidRDefault="006F0842" w:rsidP="00E00B35">
      <w:pPr>
        <w:numPr>
          <w:ilvl w:val="0"/>
          <w:numId w:val="137"/>
        </w:numPr>
        <w:spacing w:after="0" w:line="312" w:lineRule="auto"/>
        <w:rPr>
          <w:bCs/>
          <w:szCs w:val="20"/>
        </w:rPr>
      </w:pPr>
      <w:r w:rsidRPr="00E00B35">
        <w:rPr>
          <w:bCs/>
          <w:szCs w:val="20"/>
        </w:rPr>
        <w:t>przyznania nagród pieniężnych dla dyrektorów i nauczycieli szkół i placówek oświatowych, w tym powołania Komisji do oceny wniosków o przyznanie nagrody Prezydenta dla nauczycieli i dyrektorów,</w:t>
      </w:r>
    </w:p>
    <w:p w:rsidR="006F0842" w:rsidRPr="00E00B35" w:rsidRDefault="006F0842" w:rsidP="00E00B35">
      <w:pPr>
        <w:numPr>
          <w:ilvl w:val="0"/>
          <w:numId w:val="137"/>
        </w:numPr>
        <w:spacing w:after="0" w:line="312" w:lineRule="auto"/>
        <w:rPr>
          <w:bCs/>
          <w:szCs w:val="20"/>
        </w:rPr>
      </w:pPr>
      <w:r w:rsidRPr="00E00B35">
        <w:rPr>
          <w:bCs/>
          <w:szCs w:val="20"/>
        </w:rPr>
        <w:t>planu dofinansowania form doskonalenia zawodowego nauczycieli w 2020 r., ustalenia maksymalnej kwoty dofinansowania oraz form i specjalności kształcenia, na które dofinansowanie jest przyznawane,</w:t>
      </w:r>
    </w:p>
    <w:p w:rsidR="006F0842" w:rsidRPr="00E00B35" w:rsidRDefault="006F0842" w:rsidP="00E00B35">
      <w:pPr>
        <w:numPr>
          <w:ilvl w:val="0"/>
          <w:numId w:val="137"/>
        </w:numPr>
        <w:spacing w:after="0" w:line="312" w:lineRule="auto"/>
        <w:rPr>
          <w:bCs/>
          <w:szCs w:val="20"/>
        </w:rPr>
      </w:pPr>
      <w:r w:rsidRPr="00E00B35">
        <w:rPr>
          <w:bCs/>
          <w:szCs w:val="20"/>
        </w:rPr>
        <w:t>powołania Rady Programowej Wrocławskiego Centrum Doskonalenia Nauczycieli we Wrocławiu,</w:t>
      </w:r>
    </w:p>
    <w:p w:rsidR="006F0842" w:rsidRPr="00E00B35" w:rsidRDefault="006F0842" w:rsidP="00E00B35">
      <w:pPr>
        <w:numPr>
          <w:ilvl w:val="0"/>
          <w:numId w:val="137"/>
        </w:numPr>
        <w:spacing w:after="0" w:line="312" w:lineRule="auto"/>
        <w:rPr>
          <w:bCs/>
          <w:szCs w:val="20"/>
        </w:rPr>
      </w:pPr>
      <w:r w:rsidRPr="00E00B35">
        <w:rPr>
          <w:bCs/>
          <w:szCs w:val="20"/>
        </w:rPr>
        <w:t>przyznania stypendiów w ramach Studenckiego Programu Stypendialnego oraz w ramach „Wrocławskiego programu wspierania uzdolnionych – „PROMOVERE TALENTA”, a także powołania Komisji Stypendialnych działających w ramach tych programów,</w:t>
      </w:r>
    </w:p>
    <w:p w:rsidR="006F0842" w:rsidRPr="00E00B35" w:rsidRDefault="006F0842" w:rsidP="00E00B35">
      <w:pPr>
        <w:numPr>
          <w:ilvl w:val="0"/>
          <w:numId w:val="137"/>
        </w:numPr>
        <w:spacing w:after="0" w:line="312" w:lineRule="auto"/>
        <w:rPr>
          <w:bCs/>
          <w:szCs w:val="20"/>
        </w:rPr>
      </w:pPr>
      <w:r w:rsidRPr="00E00B35">
        <w:rPr>
          <w:bCs/>
          <w:szCs w:val="20"/>
        </w:rPr>
        <w:t xml:space="preserve">nowych zasad oraz regulaminu przeprowadzenia Konkursu na najlepszy wrocławski samorząd uczniowski i powołania jury Konkursu, </w:t>
      </w:r>
    </w:p>
    <w:p w:rsidR="006F0842" w:rsidRPr="00E00B35" w:rsidRDefault="006F0842" w:rsidP="00E00B35">
      <w:pPr>
        <w:numPr>
          <w:ilvl w:val="0"/>
          <w:numId w:val="137"/>
        </w:numPr>
        <w:spacing w:after="0" w:line="312" w:lineRule="auto"/>
        <w:rPr>
          <w:bCs/>
          <w:szCs w:val="20"/>
        </w:rPr>
      </w:pPr>
      <w:r w:rsidRPr="00E00B35">
        <w:rPr>
          <w:bCs/>
          <w:szCs w:val="20"/>
        </w:rPr>
        <w:t>organizacji pracy przedszkoli, szkół i placówek oświatowych od 1 września 2020 r.,</w:t>
      </w:r>
    </w:p>
    <w:p w:rsidR="006F0842" w:rsidRPr="00E00B35" w:rsidRDefault="006F0842" w:rsidP="00E00B35">
      <w:pPr>
        <w:numPr>
          <w:ilvl w:val="0"/>
          <w:numId w:val="137"/>
        </w:numPr>
        <w:spacing w:after="0" w:line="312" w:lineRule="auto"/>
        <w:rPr>
          <w:bCs/>
          <w:szCs w:val="20"/>
        </w:rPr>
      </w:pPr>
      <w:r w:rsidRPr="00E00B35">
        <w:rPr>
          <w:bCs/>
          <w:szCs w:val="20"/>
        </w:rPr>
        <w:t>terminów czynności w postępowaniu rekrutacyjnym oraz postępowaniu uzupełniającym do przedszkoli i oddziałów przedszkolnych w szkołach podstawowych, oddziałów integracyjnych w przedszkolach, integracyjnych oddziałów przedszkolnych w szkołach podstawowych oraz terminów przeprowadzania postępowania rekrutacyjnego i postępowania uzupełniającego, w tym terminów składania dokumentów do klas I publicznych szkół podstawowych prowadzonych przez miasto Wrocław, na rok szkolny 2020/2021,</w:t>
      </w:r>
    </w:p>
    <w:p w:rsidR="006F0842" w:rsidRPr="00E00B35" w:rsidRDefault="006F0842" w:rsidP="00E00B35">
      <w:pPr>
        <w:numPr>
          <w:ilvl w:val="0"/>
          <w:numId w:val="137"/>
        </w:numPr>
        <w:spacing w:after="0" w:line="312" w:lineRule="auto"/>
        <w:rPr>
          <w:bCs/>
          <w:szCs w:val="20"/>
        </w:rPr>
      </w:pPr>
      <w:r w:rsidRPr="00E00B35">
        <w:rPr>
          <w:bCs/>
          <w:szCs w:val="20"/>
        </w:rPr>
        <w:t>dopuszczenia możliwości składania wniosku o przyjęcie do publicznej szkoły ponadpodstawowej na rok szkolny 2020/2021, do więcej niż trzech wybranych publicznych szkół.</w:t>
      </w:r>
    </w:p>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 xml:space="preserve">Zarządzenia w sprawach </w:t>
      </w:r>
      <w:r w:rsidRPr="00E00B35">
        <w:rPr>
          <w:b/>
          <w:bCs/>
          <w:szCs w:val="20"/>
        </w:rPr>
        <w:t>finansowych i rachunkowości</w:t>
      </w:r>
      <w:r w:rsidRPr="00E00B35">
        <w:rPr>
          <w:bCs/>
          <w:szCs w:val="20"/>
        </w:rPr>
        <w:t xml:space="preserve"> stanowią w minionym roku 6,4% ogółu wydanych zarządzeń i dotyczą przede wszystkim:</w:t>
      </w:r>
    </w:p>
    <w:p w:rsidR="006F0842" w:rsidRPr="00E00B35" w:rsidRDefault="006F0842" w:rsidP="00E00B35">
      <w:pPr>
        <w:numPr>
          <w:ilvl w:val="0"/>
          <w:numId w:val="138"/>
        </w:numPr>
        <w:spacing w:after="0" w:line="312" w:lineRule="auto"/>
        <w:rPr>
          <w:bCs/>
          <w:szCs w:val="20"/>
        </w:rPr>
      </w:pPr>
      <w:r w:rsidRPr="00E00B35">
        <w:rPr>
          <w:bCs/>
          <w:szCs w:val="20"/>
        </w:rPr>
        <w:t>opracowania planu finansowego Miasta oraz zmian planu dochodów i wydatków budżetu Miasta i planu finansowego Miasta na 2020 r.,</w:t>
      </w:r>
    </w:p>
    <w:p w:rsidR="006F0842" w:rsidRPr="00E00B35" w:rsidRDefault="006F0842" w:rsidP="00E00B35">
      <w:pPr>
        <w:numPr>
          <w:ilvl w:val="0"/>
          <w:numId w:val="138"/>
        </w:numPr>
        <w:spacing w:after="0" w:line="312" w:lineRule="auto"/>
        <w:rPr>
          <w:bCs/>
          <w:szCs w:val="20"/>
        </w:rPr>
      </w:pPr>
      <w:r w:rsidRPr="00E00B35">
        <w:rPr>
          <w:bCs/>
          <w:szCs w:val="20"/>
        </w:rPr>
        <w:t>nowelizacji zasad i terminów obiegu dokumentów dotyczących zmian budżetu Miasta oraz wieloletniej prognozy finansowej Miasta,</w:t>
      </w:r>
    </w:p>
    <w:p w:rsidR="006F0842" w:rsidRPr="00E00B35" w:rsidRDefault="006F0842" w:rsidP="00E00B35">
      <w:pPr>
        <w:numPr>
          <w:ilvl w:val="0"/>
          <w:numId w:val="138"/>
        </w:numPr>
        <w:spacing w:after="0" w:line="312" w:lineRule="auto"/>
        <w:rPr>
          <w:bCs/>
          <w:szCs w:val="20"/>
        </w:rPr>
      </w:pPr>
      <w:r w:rsidRPr="00E00B35">
        <w:rPr>
          <w:bCs/>
          <w:szCs w:val="20"/>
        </w:rPr>
        <w:lastRenderedPageBreak/>
        <w:t xml:space="preserve"> przekazania uprawnień kierownikom jednostek organizacyjnych Miasta Wrocławia do zaciągania zobowiązań, </w:t>
      </w:r>
    </w:p>
    <w:p w:rsidR="006F0842" w:rsidRPr="00E00B35" w:rsidRDefault="006F0842" w:rsidP="00E00B35">
      <w:pPr>
        <w:numPr>
          <w:ilvl w:val="0"/>
          <w:numId w:val="138"/>
        </w:numPr>
        <w:spacing w:after="0" w:line="312" w:lineRule="auto"/>
        <w:rPr>
          <w:bCs/>
          <w:szCs w:val="20"/>
        </w:rPr>
      </w:pPr>
      <w:r w:rsidRPr="00E00B35">
        <w:rPr>
          <w:bCs/>
          <w:szCs w:val="20"/>
        </w:rPr>
        <w:t>ustalenia procedury składania wniosków o uruchomienie rezerw celowych zaplanowanych w budżecie Miasta na 2020 r. na zadania remontowe,</w:t>
      </w:r>
    </w:p>
    <w:p w:rsidR="006F0842" w:rsidRPr="00E00B35" w:rsidRDefault="006F0842" w:rsidP="00E00B35">
      <w:pPr>
        <w:numPr>
          <w:ilvl w:val="0"/>
          <w:numId w:val="138"/>
        </w:numPr>
        <w:spacing w:after="0" w:line="312" w:lineRule="auto"/>
        <w:rPr>
          <w:bCs/>
          <w:szCs w:val="20"/>
        </w:rPr>
      </w:pPr>
      <w:r w:rsidRPr="00E00B35">
        <w:rPr>
          <w:bCs/>
          <w:szCs w:val="20"/>
        </w:rPr>
        <w:t>przedłożenia Sprawozdania rocznego z wykonania budżetu Miasta Wrocławia za 2019 r.,</w:t>
      </w:r>
    </w:p>
    <w:p w:rsidR="006F0842" w:rsidRPr="00E00B35" w:rsidRDefault="006F0842" w:rsidP="00E00B35">
      <w:pPr>
        <w:numPr>
          <w:ilvl w:val="0"/>
          <w:numId w:val="138"/>
        </w:numPr>
        <w:spacing w:after="0" w:line="312" w:lineRule="auto"/>
        <w:rPr>
          <w:bCs/>
          <w:szCs w:val="20"/>
        </w:rPr>
      </w:pPr>
      <w:r w:rsidRPr="00E00B35">
        <w:rPr>
          <w:bCs/>
          <w:szCs w:val="20"/>
        </w:rPr>
        <w:t>opracowania materiałów planistycznych do projektu budżetu Miasta na 2021 r. oraz Wieloletniej Prognozy Finansowej Miasta,</w:t>
      </w:r>
    </w:p>
    <w:p w:rsidR="006F0842" w:rsidRPr="00E00B35" w:rsidRDefault="006F0842" w:rsidP="00E00B35">
      <w:pPr>
        <w:numPr>
          <w:ilvl w:val="0"/>
          <w:numId w:val="138"/>
        </w:numPr>
        <w:spacing w:after="0" w:line="312" w:lineRule="auto"/>
        <w:rPr>
          <w:bCs/>
          <w:szCs w:val="20"/>
        </w:rPr>
      </w:pPr>
      <w:r w:rsidRPr="00E00B35">
        <w:rPr>
          <w:bCs/>
          <w:szCs w:val="20"/>
        </w:rPr>
        <w:t>zmiany procedury rozliczania podatku VAT przez podatnika Gminę Wrocław,</w:t>
      </w:r>
    </w:p>
    <w:p w:rsidR="006F0842" w:rsidRPr="00E00B35" w:rsidRDefault="006F0842" w:rsidP="00E00B35">
      <w:pPr>
        <w:numPr>
          <w:ilvl w:val="0"/>
          <w:numId w:val="138"/>
        </w:numPr>
        <w:spacing w:after="0" w:line="312" w:lineRule="auto"/>
        <w:rPr>
          <w:bCs/>
          <w:szCs w:val="20"/>
        </w:rPr>
      </w:pPr>
      <w:r w:rsidRPr="00E00B35">
        <w:rPr>
          <w:bCs/>
          <w:szCs w:val="20"/>
        </w:rPr>
        <w:t>zatwierdzenia sprawozdań finansowych samorządowych instytucji kultury za rok obrotowy 2019,</w:t>
      </w:r>
    </w:p>
    <w:p w:rsidR="006F0842" w:rsidRPr="00E00B35" w:rsidRDefault="006F0842" w:rsidP="00E00B35">
      <w:pPr>
        <w:numPr>
          <w:ilvl w:val="0"/>
          <w:numId w:val="138"/>
        </w:numPr>
        <w:spacing w:after="0" w:line="312" w:lineRule="auto"/>
        <w:rPr>
          <w:bCs/>
          <w:szCs w:val="20"/>
        </w:rPr>
      </w:pPr>
      <w:r w:rsidRPr="00E00B35">
        <w:rPr>
          <w:bCs/>
          <w:szCs w:val="20"/>
        </w:rPr>
        <w:t>wyboru firm audytorskich do przeprowadzenia badania sprawozdania finansowego Ośrodka „Pamięć i Przyszłość”, Wrocławskiego Teatru Współczesnego im. Edmunda Wiercińskiego, Muzeum Miejskiego Wrocławia, Muzeum Architektury.</w:t>
      </w:r>
    </w:p>
    <w:p w:rsidR="00CD5048" w:rsidRPr="00E00B35" w:rsidRDefault="00CD5048"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 xml:space="preserve">Sprawy dotyczące </w:t>
      </w:r>
      <w:r w:rsidRPr="00E00B35">
        <w:rPr>
          <w:b/>
          <w:bCs/>
          <w:szCs w:val="20"/>
        </w:rPr>
        <w:t>organizacji i zarządzania</w:t>
      </w:r>
      <w:r w:rsidRPr="00E00B35">
        <w:rPr>
          <w:bCs/>
          <w:szCs w:val="20"/>
        </w:rPr>
        <w:t xml:space="preserve"> są przedmiotem 2,7% podjętych w ubiegłym roku zarządzeń, którymi między innymi:</w:t>
      </w:r>
    </w:p>
    <w:p w:rsidR="006F0842" w:rsidRPr="00E00B35" w:rsidRDefault="006F0842" w:rsidP="00E00B35">
      <w:pPr>
        <w:numPr>
          <w:ilvl w:val="0"/>
          <w:numId w:val="139"/>
        </w:numPr>
        <w:spacing w:after="0" w:line="312" w:lineRule="auto"/>
        <w:rPr>
          <w:bCs/>
          <w:szCs w:val="20"/>
        </w:rPr>
      </w:pPr>
      <w:r w:rsidRPr="00E00B35">
        <w:rPr>
          <w:bCs/>
          <w:szCs w:val="20"/>
        </w:rPr>
        <w:t>dokonano zmian oraz wprowadzono nowy Regulamin Organizacyjny Urzędu,</w:t>
      </w:r>
    </w:p>
    <w:p w:rsidR="006F0842" w:rsidRPr="00E00B35" w:rsidRDefault="006F0842" w:rsidP="00E00B35">
      <w:pPr>
        <w:numPr>
          <w:ilvl w:val="0"/>
          <w:numId w:val="139"/>
        </w:numPr>
        <w:spacing w:after="0" w:line="312" w:lineRule="auto"/>
        <w:rPr>
          <w:bCs/>
          <w:szCs w:val="20"/>
        </w:rPr>
      </w:pPr>
      <w:r w:rsidRPr="00E00B35">
        <w:rPr>
          <w:bCs/>
          <w:szCs w:val="20"/>
        </w:rPr>
        <w:t>utworzono Gminne Biuro Spisowe i Miejskie Biuro Wyborcze,</w:t>
      </w:r>
    </w:p>
    <w:p w:rsidR="006F0842" w:rsidRPr="00E00B35" w:rsidRDefault="006F0842" w:rsidP="00E00B35">
      <w:pPr>
        <w:numPr>
          <w:ilvl w:val="0"/>
          <w:numId w:val="139"/>
        </w:numPr>
        <w:spacing w:after="0" w:line="312" w:lineRule="auto"/>
        <w:rPr>
          <w:bCs/>
          <w:szCs w:val="20"/>
        </w:rPr>
      </w:pPr>
      <w:r w:rsidRPr="00E00B35">
        <w:rPr>
          <w:bCs/>
          <w:szCs w:val="20"/>
        </w:rPr>
        <w:t>ustanowiono pełnomocników Prezydenta Wrocławia ds. gospodarki cyrkularnej oraz ds. Mieszkańców Pochodzenia Białoruskiego,</w:t>
      </w:r>
    </w:p>
    <w:p w:rsidR="006F0842" w:rsidRPr="00E00B35" w:rsidRDefault="006F0842" w:rsidP="00E00B35">
      <w:pPr>
        <w:numPr>
          <w:ilvl w:val="0"/>
          <w:numId w:val="139"/>
        </w:numPr>
        <w:spacing w:after="0" w:line="312" w:lineRule="auto"/>
        <w:rPr>
          <w:bCs/>
          <w:szCs w:val="20"/>
        </w:rPr>
      </w:pPr>
      <w:r w:rsidRPr="00E00B35">
        <w:rPr>
          <w:bCs/>
          <w:szCs w:val="20"/>
        </w:rPr>
        <w:t>powołano rady, zespoły i inne gremia opiniodawczo-doradcze, w tym m.in. Zespół ds. rzek na terenie Wrocławia, Zespół ds. jakości powietrza i efektywności energetycznej, Zespół ds. transformacji cyfrowej Wrocławia, Wrocławski Zespół ds. Sprawiedliwości Naprawczej, Zespół ds. koordynacji strategii i działań reorganizacyjnych w zakresie udzielania świadczeń medycznych przez gminne osoby prawne, Zespół ds. zdalnego nauczania w szkołach i placówkach oświatowych we Wrocławiu, Wrocławską Rady Kultury, Radę ds. Szkolnictwa Wyższego i Nauki, Powiatową Społeczną Radę do Spraw Osób Niepełnosprawnych oraz dokonano zmian w składach: Wrocławskiej Rady ds. Przedsiębiorczości, Wrocławskiej Rady ds. Ekologii i Zieleni, Zespołu „Zielony Stół”, Wrocławskiej Rady Inspektorów Ochrony Danych; Wrocławskiej Rady Działalności Pożytku Publicznego, Grupy Doradczej i Zespołu Roboczego ds. Parku Kulturowego „Stare Miasto”, Powiatowego Zespołu ds. Orzekania o Niepełnosprawności, Zespołu Interdyscyplinarnego ds. Przeciwdziałania Przemocy w Rodzinie.</w:t>
      </w:r>
    </w:p>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Ponadto w zakresie obsady stanowisk kierowników miejskich jednostek organizacyjnych:</w:t>
      </w:r>
    </w:p>
    <w:p w:rsidR="006F0842" w:rsidRPr="00E00B35" w:rsidRDefault="006F0842" w:rsidP="00E00B35">
      <w:pPr>
        <w:numPr>
          <w:ilvl w:val="0"/>
          <w:numId w:val="140"/>
        </w:numPr>
        <w:spacing w:after="0" w:line="312" w:lineRule="auto"/>
        <w:rPr>
          <w:bCs/>
          <w:szCs w:val="20"/>
        </w:rPr>
      </w:pPr>
      <w:r w:rsidRPr="00E00B35">
        <w:rPr>
          <w:bCs/>
          <w:szCs w:val="20"/>
        </w:rPr>
        <w:t>przyjęto regulamin pracy komisji konkursowej przeprowadzającej konkurs na kandydata na stanowisko dyrektora Biura Wystaw Artystycznych we Wrocławiu - Galerie Sztuki Współczesnej oraz powołano komisję konkursowej w celu przeprowadzenia konkursu,</w:t>
      </w:r>
    </w:p>
    <w:p w:rsidR="006F0842" w:rsidRPr="00E00B35" w:rsidRDefault="006F0842" w:rsidP="00E00B35">
      <w:pPr>
        <w:numPr>
          <w:ilvl w:val="0"/>
          <w:numId w:val="140"/>
        </w:numPr>
        <w:spacing w:after="0" w:line="312" w:lineRule="auto"/>
        <w:rPr>
          <w:bCs/>
          <w:szCs w:val="20"/>
        </w:rPr>
      </w:pPr>
      <w:r w:rsidRPr="00E00B35">
        <w:rPr>
          <w:bCs/>
          <w:szCs w:val="20"/>
        </w:rPr>
        <w:lastRenderedPageBreak/>
        <w:t>ogłoszono konkursy w celu wyłonienie kandydata na stanowisko dyrektora Muzeum Współczesnego Wrocław (w organizacji), Dyrektora Zespołu Placówek Opiekuńczo-Wychowawczych „Dziecięcy Dom” i Dyrektora Powiatowego Urzędu Pracy.</w:t>
      </w:r>
    </w:p>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 xml:space="preserve">Wydane w poprzednim roku zarządzenia z zakresu </w:t>
      </w:r>
      <w:r w:rsidRPr="00E00B35">
        <w:rPr>
          <w:b/>
          <w:bCs/>
          <w:szCs w:val="20"/>
        </w:rPr>
        <w:t>gospodarki komunalnej</w:t>
      </w:r>
      <w:r w:rsidRPr="00E00B35">
        <w:rPr>
          <w:bCs/>
          <w:szCs w:val="20"/>
        </w:rPr>
        <w:t xml:space="preserve"> regulują w szczególności sprawy pokrycia podwyższonego kapitału zakładowego miejskich spółek, wyznaczenia członków rad nadzorczych i przedstawicieli gminy do rad nadzorczych spółek, powierzenia spółce zadań oraz zasad zlecania i rozliczania powierzonych zadań np. spółce Miejskie Przedsiębiorstwo Komunikacyjne zadania polegającego na bieżącym utrzymaniu i modernizacji torowisk tramwajowych służących do świadczenia usług w zakresie komunikacji tramwajowej oraz w zakresie Przewozu Zorganizowanego Dzieci i Uczniów Niepełnosprawnych.</w:t>
      </w:r>
    </w:p>
    <w:p w:rsidR="006F0842" w:rsidRPr="00E00B35" w:rsidRDefault="006F0842" w:rsidP="00E00B35">
      <w:pPr>
        <w:spacing w:after="0" w:line="312" w:lineRule="auto"/>
        <w:rPr>
          <w:bCs/>
          <w:szCs w:val="20"/>
        </w:rPr>
      </w:pPr>
      <w:r w:rsidRPr="00E00B35">
        <w:rPr>
          <w:bCs/>
          <w:szCs w:val="20"/>
        </w:rPr>
        <w:t xml:space="preserve">Przedmiotem zarządzeń wydanych w zakresie </w:t>
      </w:r>
      <w:r w:rsidRPr="00E00B35">
        <w:rPr>
          <w:b/>
          <w:bCs/>
          <w:szCs w:val="20"/>
        </w:rPr>
        <w:t>planowania i zagospodarowania przestrzennego</w:t>
      </w:r>
      <w:r w:rsidRPr="00E00B35">
        <w:rPr>
          <w:bCs/>
          <w:szCs w:val="20"/>
        </w:rPr>
        <w:t xml:space="preserve"> jest głównie rozpatrzenie uwag i wniosków złożonych do projektów miejscowych planów zagospodarowania przestrzennego. Ustalono również zasady </w:t>
      </w:r>
      <w:r w:rsidRPr="00E00B35">
        <w:rPr>
          <w:szCs w:val="20"/>
        </w:rPr>
        <w:t>prowadzenia Systemu Informacji Przestrzennej Wrocławia.</w:t>
      </w:r>
    </w:p>
    <w:p w:rsidR="006F0842" w:rsidRPr="00E00B35" w:rsidRDefault="006F0842" w:rsidP="00E00B35">
      <w:pPr>
        <w:spacing w:after="0" w:line="312" w:lineRule="auto"/>
        <w:rPr>
          <w:bCs/>
          <w:szCs w:val="20"/>
        </w:rPr>
      </w:pPr>
      <w:r w:rsidRPr="00E00B35">
        <w:rPr>
          <w:bCs/>
          <w:szCs w:val="20"/>
        </w:rPr>
        <w:t xml:space="preserve">Zarządzenia regulujące w minionym roku sprawy z zakresu </w:t>
      </w:r>
      <w:r w:rsidRPr="00E00B35">
        <w:rPr>
          <w:b/>
          <w:bCs/>
          <w:szCs w:val="20"/>
        </w:rPr>
        <w:t>gospodarowania mieszkaniowym zasobem gminy oraz najmu lokali użytkowych</w:t>
      </w:r>
      <w:r w:rsidRPr="00E00B35">
        <w:rPr>
          <w:bCs/>
          <w:szCs w:val="20"/>
        </w:rPr>
        <w:t xml:space="preserve"> dotyczą:</w:t>
      </w:r>
    </w:p>
    <w:p w:rsidR="006F0842" w:rsidRPr="00E00B35" w:rsidRDefault="006F0842" w:rsidP="00E00B35">
      <w:pPr>
        <w:numPr>
          <w:ilvl w:val="0"/>
          <w:numId w:val="134"/>
        </w:numPr>
        <w:spacing w:after="0" w:line="312" w:lineRule="auto"/>
        <w:rPr>
          <w:bCs/>
          <w:szCs w:val="20"/>
        </w:rPr>
      </w:pPr>
      <w:r w:rsidRPr="00E00B35">
        <w:rPr>
          <w:bCs/>
          <w:szCs w:val="20"/>
        </w:rPr>
        <w:t>ustalenia nowej wysokość stawki bazowej czynszu za najem lokali mieszkalnych,</w:t>
      </w:r>
    </w:p>
    <w:p w:rsidR="006F0842" w:rsidRPr="00E00B35" w:rsidRDefault="006F0842" w:rsidP="00E00B35">
      <w:pPr>
        <w:numPr>
          <w:ilvl w:val="0"/>
          <w:numId w:val="134"/>
        </w:numPr>
        <w:spacing w:after="0" w:line="312" w:lineRule="auto"/>
        <w:rPr>
          <w:bCs/>
          <w:szCs w:val="20"/>
        </w:rPr>
      </w:pPr>
      <w:r w:rsidRPr="00E00B35">
        <w:rPr>
          <w:bCs/>
          <w:szCs w:val="20"/>
        </w:rPr>
        <w:t>znowelizowania wytycznych do ustalania wysokości miesięcznego czynszu za najem lokali użytkowych stanowiących własność Gminy Wrocław oddawanych w najem w trybie przetargowym lub w trybie bezprzetargowym,</w:t>
      </w:r>
    </w:p>
    <w:p w:rsidR="006F0842" w:rsidRPr="00E00B35" w:rsidRDefault="006F0842" w:rsidP="00E00B35">
      <w:pPr>
        <w:numPr>
          <w:ilvl w:val="0"/>
          <w:numId w:val="134"/>
        </w:numPr>
        <w:spacing w:after="0" w:line="312" w:lineRule="auto"/>
        <w:rPr>
          <w:bCs/>
          <w:szCs w:val="20"/>
        </w:rPr>
      </w:pPr>
      <w:r w:rsidRPr="00E00B35">
        <w:rPr>
          <w:bCs/>
          <w:szCs w:val="20"/>
        </w:rPr>
        <w:t>uzupełnienia planu wykwaterowań z budynków na lata 2019-2020 oraz ustalenia planu wykwaterowań z budynków na lata 2020-2021,</w:t>
      </w:r>
    </w:p>
    <w:p w:rsidR="006F0842" w:rsidRPr="00E00B35" w:rsidRDefault="006F0842" w:rsidP="00E00B35">
      <w:pPr>
        <w:numPr>
          <w:ilvl w:val="0"/>
          <w:numId w:val="134"/>
        </w:numPr>
        <w:spacing w:after="0" w:line="312" w:lineRule="auto"/>
        <w:rPr>
          <w:bCs/>
          <w:szCs w:val="20"/>
        </w:rPr>
      </w:pPr>
      <w:r w:rsidRPr="00E00B35">
        <w:rPr>
          <w:bCs/>
          <w:szCs w:val="20"/>
        </w:rPr>
        <w:t>składu Komisji Weryfikacyjnej,</w:t>
      </w:r>
    </w:p>
    <w:p w:rsidR="006F0842" w:rsidRPr="00E00B35" w:rsidRDefault="006F0842" w:rsidP="00E00B35">
      <w:pPr>
        <w:numPr>
          <w:ilvl w:val="0"/>
          <w:numId w:val="134"/>
        </w:numPr>
        <w:spacing w:after="0" w:line="312" w:lineRule="auto"/>
        <w:rPr>
          <w:bCs/>
          <w:szCs w:val="20"/>
        </w:rPr>
      </w:pPr>
      <w:r w:rsidRPr="00E00B35">
        <w:rPr>
          <w:bCs/>
          <w:szCs w:val="20"/>
        </w:rPr>
        <w:t>zatwierdzenia projektu listy osób, z którymi może być zawarta umowa najmu lokalu do remontu wykonywanego we własnym zakresie i na koszt przyszłego najemcy oraz listy osób, zakwalifikowanych do otrzymania lokalu przeznaczonego do remontu, a także skreślenia z listy osób zakwalifikowanych do zawarcia umowy o remont lokalu,</w:t>
      </w:r>
    </w:p>
    <w:p w:rsidR="006F0842" w:rsidRPr="00E00B35" w:rsidRDefault="006F0842" w:rsidP="00E00B35">
      <w:pPr>
        <w:numPr>
          <w:ilvl w:val="0"/>
          <w:numId w:val="134"/>
        </w:numPr>
        <w:spacing w:after="0" w:line="312" w:lineRule="auto"/>
        <w:rPr>
          <w:bCs/>
          <w:szCs w:val="20"/>
        </w:rPr>
      </w:pPr>
      <w:r w:rsidRPr="00E00B35">
        <w:rPr>
          <w:bCs/>
          <w:szCs w:val="20"/>
        </w:rPr>
        <w:t>zgody na zawarcie porozumienia pomiędzy Gminą Wrocław a innymi podmiotami w związku z realizacją wyroków sądowych dot. lokali,</w:t>
      </w:r>
    </w:p>
    <w:p w:rsidR="006F0842" w:rsidRPr="00E00B35" w:rsidRDefault="006F0842" w:rsidP="00E00B35">
      <w:pPr>
        <w:numPr>
          <w:ilvl w:val="0"/>
          <w:numId w:val="134"/>
        </w:numPr>
        <w:spacing w:after="0" w:line="312" w:lineRule="auto"/>
        <w:rPr>
          <w:bCs/>
          <w:szCs w:val="20"/>
        </w:rPr>
      </w:pPr>
      <w:r w:rsidRPr="00E00B35">
        <w:rPr>
          <w:bCs/>
          <w:szCs w:val="20"/>
        </w:rPr>
        <w:t>zgody na wskazanie poza kolejnością lokalu w ramach najmu socjalnego osobie uprawnionej do jego otrzymania na mocy wyroku sądu,</w:t>
      </w:r>
    </w:p>
    <w:p w:rsidR="006F0842" w:rsidRPr="00E00B35" w:rsidRDefault="006F0842" w:rsidP="00E00B35">
      <w:pPr>
        <w:numPr>
          <w:ilvl w:val="0"/>
          <w:numId w:val="134"/>
        </w:numPr>
        <w:spacing w:after="0" w:line="312" w:lineRule="auto"/>
        <w:rPr>
          <w:bCs/>
          <w:szCs w:val="20"/>
        </w:rPr>
      </w:pPr>
      <w:r w:rsidRPr="00E00B35">
        <w:rPr>
          <w:bCs/>
          <w:szCs w:val="20"/>
        </w:rPr>
        <w:t>wyłączenia lokali z mieszkaniowego zasobu Gminy Wrocław oraz z zasobu lokali użytkowych Gminy Wrocław.</w:t>
      </w:r>
    </w:p>
    <w:p w:rsidR="006F0842" w:rsidRPr="00E00B35" w:rsidRDefault="006F0842" w:rsidP="00E00B35">
      <w:pPr>
        <w:spacing w:after="0" w:line="312" w:lineRule="auto"/>
        <w:rPr>
          <w:bCs/>
          <w:szCs w:val="20"/>
        </w:rPr>
      </w:pPr>
    </w:p>
    <w:p w:rsidR="006F0842" w:rsidRPr="00E00B35" w:rsidRDefault="006F0842" w:rsidP="00E00B35">
      <w:pPr>
        <w:spacing w:after="0" w:line="312" w:lineRule="auto"/>
        <w:rPr>
          <w:szCs w:val="20"/>
        </w:rPr>
      </w:pPr>
      <w:r w:rsidRPr="00E00B35">
        <w:rPr>
          <w:szCs w:val="20"/>
        </w:rPr>
        <w:t xml:space="preserve">Rok 2020 zapisał się jako okres regulacji zapobiegających skutkom </w:t>
      </w:r>
      <w:r w:rsidRPr="00E00B35">
        <w:rPr>
          <w:b/>
          <w:szCs w:val="20"/>
        </w:rPr>
        <w:t>pandemii</w:t>
      </w:r>
      <w:r w:rsidRPr="00E00B35">
        <w:rPr>
          <w:szCs w:val="20"/>
        </w:rPr>
        <w:t>.</w:t>
      </w:r>
    </w:p>
    <w:p w:rsidR="006F0842" w:rsidRPr="00E00B35" w:rsidRDefault="006F0842" w:rsidP="00E00B35">
      <w:pPr>
        <w:spacing w:after="0" w:line="312" w:lineRule="auto"/>
        <w:rPr>
          <w:szCs w:val="20"/>
        </w:rPr>
      </w:pPr>
      <w:r w:rsidRPr="00E00B35">
        <w:rPr>
          <w:szCs w:val="20"/>
        </w:rPr>
        <w:t xml:space="preserve">W związku z ogłoszeniem stanu zagrożenia epidemicznego a następnie stanu epidemii oraz zapobieganiem, przeciwdziałaniem i zwalczaniem </w:t>
      </w:r>
      <w:r w:rsidRPr="00E00B35">
        <w:rPr>
          <w:b/>
          <w:szCs w:val="20"/>
        </w:rPr>
        <w:t>COVID-19</w:t>
      </w:r>
      <w:r w:rsidRPr="00E00B35">
        <w:rPr>
          <w:szCs w:val="20"/>
        </w:rPr>
        <w:t>:</w:t>
      </w:r>
    </w:p>
    <w:p w:rsidR="006F0842" w:rsidRPr="00E00B35" w:rsidRDefault="006F0842" w:rsidP="00E00B35">
      <w:pPr>
        <w:numPr>
          <w:ilvl w:val="0"/>
          <w:numId w:val="136"/>
        </w:numPr>
        <w:spacing w:after="0" w:line="312" w:lineRule="auto"/>
        <w:rPr>
          <w:bCs/>
          <w:szCs w:val="20"/>
        </w:rPr>
      </w:pPr>
      <w:r w:rsidRPr="00E00B35">
        <w:rPr>
          <w:szCs w:val="20"/>
        </w:rPr>
        <w:t>wydano akty normujące zasad organizacji i funkcjonowania jednostek zwłaszcza żłobków, przedszkoli i szkół w okresie pandemii</w:t>
      </w:r>
      <w:r w:rsidRPr="00E00B35">
        <w:rPr>
          <w:bCs/>
          <w:szCs w:val="20"/>
        </w:rPr>
        <w:t>, w tym: zawieszono funkcjonowanie żłobków,</w:t>
      </w:r>
    </w:p>
    <w:p w:rsidR="006F0842" w:rsidRPr="00E00B35" w:rsidRDefault="006F0842" w:rsidP="00E00B35">
      <w:pPr>
        <w:numPr>
          <w:ilvl w:val="0"/>
          <w:numId w:val="136"/>
        </w:numPr>
        <w:spacing w:after="0" w:line="312" w:lineRule="auto"/>
        <w:rPr>
          <w:bCs/>
          <w:szCs w:val="20"/>
        </w:rPr>
      </w:pPr>
      <w:r w:rsidRPr="00E00B35">
        <w:rPr>
          <w:bCs/>
          <w:szCs w:val="20"/>
        </w:rPr>
        <w:lastRenderedPageBreak/>
        <w:t>u</w:t>
      </w:r>
      <w:r w:rsidRPr="00E00B35">
        <w:rPr>
          <w:szCs w:val="20"/>
        </w:rPr>
        <w:t xml:space="preserve">ruchomiono pakiety pomocowe dla przedsiębiorców i innych podmiotów, dotkniętych skutkami wprowadzonych obostrzeń – </w:t>
      </w:r>
      <w:r w:rsidRPr="00E00B35">
        <w:rPr>
          <w:bCs/>
          <w:szCs w:val="20"/>
        </w:rPr>
        <w:t>„Wrocławski Pakiet Pomocowy” oraz „Wrocławski Pakiet Pomocowy dla NGO”,</w:t>
      </w:r>
    </w:p>
    <w:p w:rsidR="006F0842" w:rsidRPr="00E00B35" w:rsidRDefault="006F0842" w:rsidP="00E00B35">
      <w:pPr>
        <w:numPr>
          <w:ilvl w:val="0"/>
          <w:numId w:val="136"/>
        </w:numPr>
        <w:spacing w:after="0" w:line="312" w:lineRule="auto"/>
        <w:rPr>
          <w:bCs/>
          <w:szCs w:val="20"/>
        </w:rPr>
      </w:pPr>
      <w:r w:rsidRPr="00E00B35">
        <w:rPr>
          <w:bCs/>
          <w:szCs w:val="20"/>
        </w:rPr>
        <w:t>uregulowano tryb postępowania o udzielenie dotacji, sposobu jej rozliczania oraz sposobu kontroli wykonywania zleconego zadania publicznego organizacjom pozarządowym w celu przeciwdziałania COVID-19, z pominięciem otwartego konkursu ofert,</w:t>
      </w:r>
    </w:p>
    <w:p w:rsidR="006F0842" w:rsidRPr="00E00B35" w:rsidRDefault="006F0842" w:rsidP="00E00B35">
      <w:pPr>
        <w:numPr>
          <w:ilvl w:val="0"/>
          <w:numId w:val="136"/>
        </w:numPr>
        <w:spacing w:after="0" w:line="312" w:lineRule="auto"/>
        <w:rPr>
          <w:bCs/>
          <w:szCs w:val="20"/>
        </w:rPr>
      </w:pPr>
      <w:r w:rsidRPr="00E00B35">
        <w:rPr>
          <w:bCs/>
          <w:szCs w:val="20"/>
        </w:rPr>
        <w:t>unormowano sprawę umorzenia odsetek za czas opóźnienia w zapłacie należności pieniężnych mających charakter cywilnoprawny przypadających Gminie Wrocław z tytułu czynszu najmu lub odszkodowania za bezumowne korzystanie z lokalu, opłat niezależnych od właściciela uiszczanych co miesiąc w formie zaliczek, związanych z korzystaniem z lokali mieszkalnych wchodzących w skład zasobu komunalnego Gminy Wrocław,</w:t>
      </w:r>
    </w:p>
    <w:p w:rsidR="006F0842" w:rsidRPr="00E00B35" w:rsidRDefault="006F0842" w:rsidP="00E00B35">
      <w:pPr>
        <w:numPr>
          <w:ilvl w:val="0"/>
          <w:numId w:val="136"/>
        </w:numPr>
        <w:spacing w:after="0" w:line="312" w:lineRule="auto"/>
        <w:rPr>
          <w:szCs w:val="20"/>
        </w:rPr>
      </w:pPr>
      <w:r w:rsidRPr="00E00B35">
        <w:rPr>
          <w:szCs w:val="20"/>
        </w:rPr>
        <w:t>wstrzymano sprawy niosące zagrożenie epidemiologiczne m.in. odwołano przetargi, unieważniono konkursy,</w:t>
      </w:r>
    </w:p>
    <w:p w:rsidR="006F0842" w:rsidRPr="00E00B35" w:rsidRDefault="006F0842" w:rsidP="00E00B35">
      <w:pPr>
        <w:numPr>
          <w:ilvl w:val="0"/>
          <w:numId w:val="136"/>
        </w:numPr>
        <w:spacing w:after="0" w:line="312" w:lineRule="auto"/>
        <w:rPr>
          <w:szCs w:val="20"/>
        </w:rPr>
      </w:pPr>
      <w:r w:rsidRPr="00E00B35">
        <w:rPr>
          <w:szCs w:val="20"/>
        </w:rPr>
        <w:t>zawieszono dokonywanie ocen sytuacji dziecka umieszczonego w pieczy zastępczej oraz ocen rodzin zastępczych i rodzinnych domów dziecka.</w:t>
      </w:r>
    </w:p>
    <w:p w:rsidR="00CD5048" w:rsidRPr="00E00B35" w:rsidRDefault="00CD5048"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Ponadto w ubiegłym roku w drodze zarządzenia:</w:t>
      </w:r>
    </w:p>
    <w:p w:rsidR="006F0842" w:rsidRPr="00E00B35" w:rsidRDefault="006F0842" w:rsidP="00E00B35">
      <w:pPr>
        <w:numPr>
          <w:ilvl w:val="0"/>
          <w:numId w:val="133"/>
        </w:numPr>
        <w:spacing w:after="0" w:line="312" w:lineRule="auto"/>
        <w:ind w:hanging="357"/>
        <w:rPr>
          <w:bCs/>
          <w:szCs w:val="20"/>
        </w:rPr>
      </w:pPr>
      <w:r w:rsidRPr="00E00B35">
        <w:rPr>
          <w:szCs w:val="20"/>
        </w:rPr>
        <w:t xml:space="preserve">ustalono w szczególności: </w:t>
      </w:r>
      <w:r w:rsidRPr="00E00B35">
        <w:rPr>
          <w:bCs/>
          <w:szCs w:val="20"/>
        </w:rPr>
        <w:t>nowe ceny biletów wstępu do Ogrodu Japońskiego w Parku Szczytnickim, ceny i opłaty za korzystanie z obiektów i urządzeń użyteczności publicznej zarządzanych przez Młodzieżowe Centrum Sportu Wrocław, nowy cennik opłat obowiązujących na cmentarzach komunalnych,</w:t>
      </w:r>
    </w:p>
    <w:p w:rsidR="006F0842" w:rsidRPr="00E00B35" w:rsidRDefault="006F0842" w:rsidP="00E00B35">
      <w:pPr>
        <w:numPr>
          <w:ilvl w:val="0"/>
          <w:numId w:val="133"/>
        </w:numPr>
        <w:spacing w:after="0" w:line="312" w:lineRule="auto"/>
        <w:ind w:hanging="357"/>
        <w:rPr>
          <w:bCs/>
          <w:szCs w:val="20"/>
        </w:rPr>
      </w:pPr>
      <w:r w:rsidRPr="00E00B35">
        <w:rPr>
          <w:bCs/>
          <w:szCs w:val="20"/>
        </w:rPr>
        <w:t>określono między innymi zasady:</w:t>
      </w:r>
    </w:p>
    <w:p w:rsidR="006F0842" w:rsidRPr="00E00B35" w:rsidRDefault="006F0842" w:rsidP="00E00B35">
      <w:pPr>
        <w:numPr>
          <w:ilvl w:val="0"/>
          <w:numId w:val="135"/>
        </w:numPr>
        <w:spacing w:after="0" w:line="312" w:lineRule="auto"/>
        <w:ind w:hanging="357"/>
        <w:rPr>
          <w:bCs/>
          <w:szCs w:val="20"/>
        </w:rPr>
      </w:pPr>
      <w:r w:rsidRPr="00E00B35">
        <w:rPr>
          <w:bCs/>
          <w:szCs w:val="20"/>
        </w:rPr>
        <w:t>postępowania przy kierowaniu osób w podeszłym wieku, niepełnosprawnych oraz niesamodzielnych do miejsc pobytu dostosowanych do ich potrzeb życiowych,</w:t>
      </w:r>
    </w:p>
    <w:p w:rsidR="006F0842" w:rsidRPr="00E00B35" w:rsidRDefault="006F0842" w:rsidP="00E00B35">
      <w:pPr>
        <w:numPr>
          <w:ilvl w:val="0"/>
          <w:numId w:val="135"/>
        </w:numPr>
        <w:spacing w:after="0" w:line="312" w:lineRule="auto"/>
        <w:ind w:hanging="357"/>
        <w:rPr>
          <w:szCs w:val="20"/>
        </w:rPr>
      </w:pPr>
      <w:r w:rsidRPr="00E00B35">
        <w:rPr>
          <w:szCs w:val="20"/>
        </w:rPr>
        <w:t>udostępniania miejsc przeznaczonych do handlu okrężnego oraz zasad ich funkcjonowania,</w:t>
      </w:r>
    </w:p>
    <w:p w:rsidR="006F0842" w:rsidRPr="00E00B35" w:rsidRDefault="006F0842" w:rsidP="00E00B35">
      <w:pPr>
        <w:numPr>
          <w:ilvl w:val="0"/>
          <w:numId w:val="135"/>
        </w:numPr>
        <w:spacing w:after="0" w:line="312" w:lineRule="auto"/>
        <w:ind w:hanging="357"/>
        <w:rPr>
          <w:bCs/>
          <w:szCs w:val="20"/>
        </w:rPr>
      </w:pPr>
      <w:r w:rsidRPr="00E00B35">
        <w:rPr>
          <w:bCs/>
          <w:szCs w:val="20"/>
        </w:rPr>
        <w:t>realizacji programu wsparcia inicjatyw studenckich „Fundusz Aktywności Studenckiej (FAST)” oraz powołano Komisję konkursową do oceny i wyłonienia najlepszych wniosków o dofinansowanie w ramach „Funduszu Aktywności Studenckiej”, zgłoszonych przez wrocławskie koła naukowe, organizacje i grupy studenckie,</w:t>
      </w:r>
    </w:p>
    <w:p w:rsidR="006F0842" w:rsidRPr="00E00B35" w:rsidRDefault="006F0842" w:rsidP="00E00B35">
      <w:pPr>
        <w:numPr>
          <w:ilvl w:val="0"/>
          <w:numId w:val="135"/>
        </w:numPr>
        <w:spacing w:after="0" w:line="312" w:lineRule="auto"/>
        <w:ind w:hanging="357"/>
        <w:rPr>
          <w:bCs/>
          <w:szCs w:val="20"/>
        </w:rPr>
      </w:pPr>
      <w:r w:rsidRPr="00E00B35">
        <w:rPr>
          <w:bCs/>
          <w:szCs w:val="20"/>
        </w:rPr>
        <w:t>realizacji Konkursu „WROCŁAWSKA MAGNOLIA” oraz powołano Komisję Konkursową do oceny prac konkursowych „WROCŁAWSKA MAGNOLIA”,</w:t>
      </w:r>
    </w:p>
    <w:p w:rsidR="006F0842" w:rsidRPr="00E00B35" w:rsidRDefault="006F0842" w:rsidP="00E00B35">
      <w:pPr>
        <w:numPr>
          <w:ilvl w:val="0"/>
          <w:numId w:val="135"/>
        </w:numPr>
        <w:spacing w:after="0" w:line="312" w:lineRule="auto"/>
        <w:ind w:hanging="357"/>
        <w:rPr>
          <w:bCs/>
          <w:szCs w:val="20"/>
        </w:rPr>
      </w:pPr>
      <w:r w:rsidRPr="00E00B35">
        <w:rPr>
          <w:bCs/>
          <w:szCs w:val="20"/>
        </w:rPr>
        <w:t>przyznawania stypendiów dla młodzieży uzdolnionej artystycznie oraz powołania Zespołu Oceniającego i określeniu trybu jego pracy, a także powołano Komisję Stypendialną i ogłoszono nabór wniosków o przyznanie stypendiów dla osób zajmującym się twórczością artystyczną oraz upowszechnianiem kultury na drugie półrocze 2020 r., pierwsze półrocze 2021 r. i cały 2021 r.,</w:t>
      </w:r>
    </w:p>
    <w:p w:rsidR="006F0842" w:rsidRPr="00E00B35" w:rsidRDefault="006F0842" w:rsidP="00E00B35">
      <w:pPr>
        <w:numPr>
          <w:ilvl w:val="0"/>
          <w:numId w:val="133"/>
        </w:numPr>
        <w:spacing w:after="0" w:line="312" w:lineRule="auto"/>
        <w:ind w:hanging="357"/>
        <w:rPr>
          <w:bCs/>
          <w:szCs w:val="20"/>
        </w:rPr>
      </w:pPr>
      <w:r w:rsidRPr="00E00B35">
        <w:rPr>
          <w:bCs/>
          <w:szCs w:val="20"/>
        </w:rPr>
        <w:t>powołano Komisję Konkursową do oceny wniosków o dofinansowanie w ramach realizacji programów Visiting Professors (Fundusz Scientiae Wratislaviensis) oraz Wrocławskie Konferencje Naukowe,</w:t>
      </w:r>
    </w:p>
    <w:p w:rsidR="006F0842" w:rsidRPr="00E00B35" w:rsidRDefault="006F0842" w:rsidP="00E00B35">
      <w:pPr>
        <w:numPr>
          <w:ilvl w:val="0"/>
          <w:numId w:val="133"/>
        </w:numPr>
        <w:spacing w:after="0" w:line="312" w:lineRule="auto"/>
        <w:ind w:hanging="357"/>
        <w:rPr>
          <w:bCs/>
          <w:szCs w:val="20"/>
        </w:rPr>
      </w:pPr>
      <w:r w:rsidRPr="00E00B35">
        <w:rPr>
          <w:bCs/>
          <w:szCs w:val="20"/>
        </w:rPr>
        <w:lastRenderedPageBreak/>
        <w:t>określono na rok 2020 średni miesięczny koszt utrzymania mieszkańca w domach pomocy społecznej, w domu dla matek z małoletnimi dziećmi i kobiet w ciąży oraz średnie miesięczne wydatki przeznaczone na utrzymanie dziecka w placówkach opiekuńczo-wychowawczych,</w:t>
      </w:r>
    </w:p>
    <w:p w:rsidR="006F0842" w:rsidRPr="00E00B35" w:rsidRDefault="006F0842" w:rsidP="00E00B35">
      <w:pPr>
        <w:numPr>
          <w:ilvl w:val="0"/>
          <w:numId w:val="133"/>
        </w:numPr>
        <w:spacing w:after="0" w:line="312" w:lineRule="auto"/>
        <w:ind w:hanging="357"/>
        <w:rPr>
          <w:bCs/>
          <w:szCs w:val="20"/>
        </w:rPr>
      </w:pPr>
      <w:r w:rsidRPr="00E00B35">
        <w:rPr>
          <w:bCs/>
          <w:szCs w:val="20"/>
        </w:rPr>
        <w:t>przyjęto nowy Regulamin Zakładowego Funduszu Aktywności Wrocławskiego Zakładu Aktywności Zawodowej,</w:t>
      </w:r>
    </w:p>
    <w:p w:rsidR="006F0842" w:rsidRPr="00E00B35" w:rsidRDefault="006F0842" w:rsidP="00E00B35">
      <w:pPr>
        <w:numPr>
          <w:ilvl w:val="0"/>
          <w:numId w:val="133"/>
        </w:numPr>
        <w:spacing w:after="0" w:line="312" w:lineRule="auto"/>
        <w:ind w:hanging="357"/>
        <w:rPr>
          <w:bCs/>
          <w:szCs w:val="20"/>
        </w:rPr>
      </w:pPr>
      <w:r w:rsidRPr="00E00B35">
        <w:rPr>
          <w:bCs/>
          <w:szCs w:val="20"/>
        </w:rPr>
        <w:t>określono harmonogram rekrutacji do żłobków wchodzących w skład Wrocławskiego Zespołu Żłobków oraz żłobków niepublicznych z miejscami dotowanymi przez gminę Wrocław na rok żłobkowy 2020/2021 oraz regulamin rekrutacji do Żłobka nr 16,</w:t>
      </w:r>
    </w:p>
    <w:p w:rsidR="006F0842" w:rsidRPr="00E00B35" w:rsidRDefault="006F0842" w:rsidP="00E00B35">
      <w:pPr>
        <w:numPr>
          <w:ilvl w:val="0"/>
          <w:numId w:val="133"/>
        </w:numPr>
        <w:spacing w:after="0" w:line="312" w:lineRule="auto"/>
        <w:ind w:hanging="357"/>
        <w:rPr>
          <w:bCs/>
          <w:szCs w:val="20"/>
        </w:rPr>
      </w:pPr>
      <w:r w:rsidRPr="00E00B35">
        <w:rPr>
          <w:bCs/>
          <w:szCs w:val="20"/>
        </w:rPr>
        <w:t>dokonano podziału środków Państwowego Funduszu Rehabilitacji Osób Niepełnosprawnych na zadania z zakresu rehabilitacji zawodowej i społecznej osób niepełnosprawnych realizowane przez Miasto Wrocław w 2020 r.,</w:t>
      </w:r>
    </w:p>
    <w:p w:rsidR="006F0842" w:rsidRPr="00E00B35" w:rsidRDefault="006F0842" w:rsidP="00E00B35">
      <w:pPr>
        <w:numPr>
          <w:ilvl w:val="0"/>
          <w:numId w:val="133"/>
        </w:numPr>
        <w:spacing w:after="0" w:line="312" w:lineRule="auto"/>
        <w:ind w:hanging="357"/>
        <w:rPr>
          <w:bCs/>
          <w:szCs w:val="20"/>
        </w:rPr>
      </w:pPr>
      <w:r w:rsidRPr="00E00B35">
        <w:rPr>
          <w:bCs/>
          <w:szCs w:val="20"/>
        </w:rPr>
        <w:t>wprowadzono Regulaminu zawierania umowy przewozu środkami miejskiej komunikacji zbiorowej we Wrocławiu poprzez nabycie biletów przy pomocy kasowników,</w:t>
      </w:r>
    </w:p>
    <w:p w:rsidR="006F0842" w:rsidRPr="00E00B35" w:rsidRDefault="006F0842" w:rsidP="00E00B35">
      <w:pPr>
        <w:numPr>
          <w:ilvl w:val="0"/>
          <w:numId w:val="133"/>
        </w:numPr>
        <w:spacing w:after="0" w:line="312" w:lineRule="auto"/>
        <w:ind w:hanging="357"/>
        <w:rPr>
          <w:bCs/>
          <w:szCs w:val="20"/>
        </w:rPr>
      </w:pPr>
      <w:r w:rsidRPr="00E00B35">
        <w:rPr>
          <w:bCs/>
          <w:szCs w:val="20"/>
        </w:rPr>
        <w:t>określono udział jednostek w realizacji przedsięwzięć przyjętych w dokumencie „Założenia polityki społeczno-gospodarczej Wrocławia na rok budżetowy 2020”,</w:t>
      </w:r>
    </w:p>
    <w:p w:rsidR="006F0842" w:rsidRPr="00E00B35" w:rsidRDefault="006F0842" w:rsidP="00E00B35">
      <w:pPr>
        <w:numPr>
          <w:ilvl w:val="0"/>
          <w:numId w:val="133"/>
        </w:numPr>
        <w:spacing w:after="0" w:line="312" w:lineRule="auto"/>
        <w:ind w:hanging="357"/>
        <w:rPr>
          <w:bCs/>
          <w:szCs w:val="20"/>
        </w:rPr>
      </w:pPr>
      <w:r w:rsidRPr="00E00B35">
        <w:rPr>
          <w:bCs/>
          <w:szCs w:val="20"/>
        </w:rPr>
        <w:t>wprowadzono nowe Standardy planowania i projektowania ulic z uwzględnieniem zielono-niebieskiej infrastruktury.</w:t>
      </w:r>
    </w:p>
    <w:p w:rsidR="006F0842" w:rsidRPr="00E00B35" w:rsidRDefault="006F0842" w:rsidP="00E00B35">
      <w:pPr>
        <w:spacing w:after="0" w:line="312" w:lineRule="auto"/>
        <w:rPr>
          <w:bCs/>
          <w:szCs w:val="20"/>
        </w:rPr>
      </w:pPr>
    </w:p>
    <w:p w:rsidR="006F0842" w:rsidRPr="00E00B35" w:rsidRDefault="006F0842" w:rsidP="00E00B35">
      <w:pPr>
        <w:spacing w:after="0" w:line="312" w:lineRule="auto"/>
        <w:rPr>
          <w:szCs w:val="20"/>
        </w:rPr>
      </w:pPr>
      <w:r w:rsidRPr="00E00B35">
        <w:rPr>
          <w:szCs w:val="20"/>
        </w:rPr>
        <w:t>Zarządzenia organu według przedmiotu regulacji w porównaniu do lat poprzednich</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4"/>
        <w:gridCol w:w="977"/>
        <w:gridCol w:w="955"/>
        <w:gridCol w:w="978"/>
        <w:gridCol w:w="955"/>
        <w:gridCol w:w="978"/>
        <w:gridCol w:w="955"/>
        <w:gridCol w:w="978"/>
        <w:gridCol w:w="955"/>
      </w:tblGrid>
      <w:tr w:rsidR="006F0842" w:rsidRPr="00E00B35" w:rsidTr="00B86812">
        <w:trPr>
          <w:tblHeader/>
        </w:trPr>
        <w:tc>
          <w:tcPr>
            <w:tcW w:w="1702" w:type="dxa"/>
            <w:vAlign w:val="center"/>
          </w:tcPr>
          <w:p w:rsidR="006F0842" w:rsidRPr="00E00B35" w:rsidRDefault="006F0842" w:rsidP="00E00B35">
            <w:pPr>
              <w:spacing w:after="0" w:line="312" w:lineRule="auto"/>
              <w:rPr>
                <w:szCs w:val="20"/>
              </w:rPr>
            </w:pPr>
            <w:r w:rsidRPr="00E00B35">
              <w:rPr>
                <w:bCs/>
                <w:szCs w:val="20"/>
              </w:rPr>
              <w:t>Podział tematyczny</w:t>
            </w:r>
          </w:p>
        </w:tc>
        <w:tc>
          <w:tcPr>
            <w:tcW w:w="1012" w:type="dxa"/>
          </w:tcPr>
          <w:p w:rsidR="006F0842" w:rsidRPr="00E00B35" w:rsidRDefault="006F0842" w:rsidP="00E00B35">
            <w:pPr>
              <w:spacing w:after="0" w:line="312" w:lineRule="auto"/>
              <w:rPr>
                <w:szCs w:val="20"/>
              </w:rPr>
            </w:pPr>
            <w:r w:rsidRPr="00E00B35">
              <w:rPr>
                <w:szCs w:val="20"/>
              </w:rPr>
              <w:t>Liczba w 2017 r.</w:t>
            </w:r>
          </w:p>
        </w:tc>
        <w:tc>
          <w:tcPr>
            <w:tcW w:w="1013" w:type="dxa"/>
          </w:tcPr>
          <w:p w:rsidR="006F0842" w:rsidRPr="00E00B35" w:rsidRDefault="006F0842" w:rsidP="00E00B35">
            <w:pPr>
              <w:spacing w:after="0" w:line="312" w:lineRule="auto"/>
              <w:rPr>
                <w:szCs w:val="20"/>
              </w:rPr>
            </w:pPr>
            <w:r w:rsidRPr="00E00B35">
              <w:rPr>
                <w:szCs w:val="20"/>
              </w:rPr>
              <w:t>% w 2017 r.</w:t>
            </w:r>
          </w:p>
        </w:tc>
        <w:tc>
          <w:tcPr>
            <w:tcW w:w="1013" w:type="dxa"/>
          </w:tcPr>
          <w:p w:rsidR="006F0842" w:rsidRPr="00E00B35" w:rsidRDefault="006F0842" w:rsidP="00E00B35">
            <w:pPr>
              <w:spacing w:after="0" w:line="312" w:lineRule="auto"/>
              <w:rPr>
                <w:szCs w:val="20"/>
              </w:rPr>
            </w:pPr>
            <w:r w:rsidRPr="00E00B35">
              <w:rPr>
                <w:szCs w:val="20"/>
              </w:rPr>
              <w:t>Liczba w 2018 r.</w:t>
            </w:r>
          </w:p>
        </w:tc>
        <w:tc>
          <w:tcPr>
            <w:tcW w:w="1013" w:type="dxa"/>
          </w:tcPr>
          <w:p w:rsidR="006F0842" w:rsidRPr="00E00B35" w:rsidRDefault="006F0842" w:rsidP="00E00B35">
            <w:pPr>
              <w:spacing w:after="0" w:line="312" w:lineRule="auto"/>
              <w:rPr>
                <w:szCs w:val="20"/>
              </w:rPr>
            </w:pPr>
            <w:r w:rsidRPr="00E00B35">
              <w:rPr>
                <w:szCs w:val="20"/>
              </w:rPr>
              <w:t>% w 2018 r.</w:t>
            </w:r>
          </w:p>
        </w:tc>
        <w:tc>
          <w:tcPr>
            <w:tcW w:w="1013" w:type="dxa"/>
          </w:tcPr>
          <w:p w:rsidR="006F0842" w:rsidRPr="00E00B35" w:rsidRDefault="006F0842" w:rsidP="00E00B35">
            <w:pPr>
              <w:spacing w:after="0" w:line="312" w:lineRule="auto"/>
              <w:rPr>
                <w:szCs w:val="20"/>
              </w:rPr>
            </w:pPr>
            <w:r w:rsidRPr="00E00B35">
              <w:rPr>
                <w:szCs w:val="20"/>
              </w:rPr>
              <w:t>Liczba w 2019 r.</w:t>
            </w:r>
          </w:p>
        </w:tc>
        <w:tc>
          <w:tcPr>
            <w:tcW w:w="1013" w:type="dxa"/>
          </w:tcPr>
          <w:p w:rsidR="006F0842" w:rsidRPr="00E00B35" w:rsidRDefault="006F0842" w:rsidP="00E00B35">
            <w:pPr>
              <w:spacing w:after="0" w:line="312" w:lineRule="auto"/>
              <w:rPr>
                <w:szCs w:val="20"/>
              </w:rPr>
            </w:pPr>
            <w:r w:rsidRPr="00E00B35">
              <w:rPr>
                <w:szCs w:val="20"/>
              </w:rPr>
              <w:t>% w 2019 r.</w:t>
            </w:r>
          </w:p>
        </w:tc>
        <w:tc>
          <w:tcPr>
            <w:tcW w:w="1013" w:type="dxa"/>
          </w:tcPr>
          <w:p w:rsidR="006F0842" w:rsidRPr="00E00B35" w:rsidRDefault="006F0842" w:rsidP="00E00B35">
            <w:pPr>
              <w:spacing w:after="0" w:line="312" w:lineRule="auto"/>
              <w:rPr>
                <w:szCs w:val="20"/>
              </w:rPr>
            </w:pPr>
            <w:r w:rsidRPr="00E00B35">
              <w:rPr>
                <w:szCs w:val="20"/>
              </w:rPr>
              <w:t>Liczba w 2020 r.</w:t>
            </w:r>
          </w:p>
        </w:tc>
        <w:tc>
          <w:tcPr>
            <w:tcW w:w="1013" w:type="dxa"/>
          </w:tcPr>
          <w:p w:rsidR="006F0842" w:rsidRPr="00E00B35" w:rsidRDefault="006F0842" w:rsidP="00E00B35">
            <w:pPr>
              <w:spacing w:after="0" w:line="312" w:lineRule="auto"/>
              <w:rPr>
                <w:szCs w:val="20"/>
              </w:rPr>
            </w:pPr>
            <w:r w:rsidRPr="00E00B35">
              <w:rPr>
                <w:szCs w:val="20"/>
              </w:rPr>
              <w:t>% w 2020 r.</w:t>
            </w:r>
          </w:p>
        </w:tc>
      </w:tr>
      <w:tr w:rsidR="006F0842" w:rsidRPr="00E00B35" w:rsidTr="00B86812">
        <w:tc>
          <w:tcPr>
            <w:tcW w:w="1702" w:type="dxa"/>
          </w:tcPr>
          <w:p w:rsidR="006F0842" w:rsidRPr="00E00B35" w:rsidRDefault="006F0842" w:rsidP="00E00B35">
            <w:pPr>
              <w:spacing w:after="0" w:line="312" w:lineRule="auto"/>
              <w:rPr>
                <w:szCs w:val="20"/>
              </w:rPr>
            </w:pPr>
            <w:r w:rsidRPr="00E00B35">
              <w:rPr>
                <w:bCs/>
                <w:szCs w:val="20"/>
              </w:rPr>
              <w:t>Gospodarka nieruchomościami</w:t>
            </w:r>
          </w:p>
        </w:tc>
        <w:tc>
          <w:tcPr>
            <w:tcW w:w="1012" w:type="dxa"/>
          </w:tcPr>
          <w:p w:rsidR="006F0842" w:rsidRPr="00E00B35" w:rsidRDefault="006F0842" w:rsidP="00E00B35">
            <w:pPr>
              <w:spacing w:after="0" w:line="312" w:lineRule="auto"/>
              <w:rPr>
                <w:szCs w:val="20"/>
              </w:rPr>
            </w:pPr>
            <w:r w:rsidRPr="00E00B35">
              <w:rPr>
                <w:bCs/>
                <w:szCs w:val="20"/>
              </w:rPr>
              <w:t>2 021</w:t>
            </w:r>
          </w:p>
        </w:tc>
        <w:tc>
          <w:tcPr>
            <w:tcW w:w="1013" w:type="dxa"/>
          </w:tcPr>
          <w:p w:rsidR="006F0842" w:rsidRPr="00E00B35" w:rsidRDefault="006F0842" w:rsidP="00E00B35">
            <w:pPr>
              <w:spacing w:after="0" w:line="312" w:lineRule="auto"/>
              <w:rPr>
                <w:szCs w:val="20"/>
              </w:rPr>
            </w:pPr>
            <w:r w:rsidRPr="00E00B35">
              <w:rPr>
                <w:bCs/>
                <w:szCs w:val="20"/>
              </w:rPr>
              <w:t>73,9</w:t>
            </w:r>
          </w:p>
        </w:tc>
        <w:tc>
          <w:tcPr>
            <w:tcW w:w="1013" w:type="dxa"/>
          </w:tcPr>
          <w:p w:rsidR="006F0842" w:rsidRPr="00E00B35" w:rsidRDefault="006F0842" w:rsidP="00E00B35">
            <w:pPr>
              <w:spacing w:after="0" w:line="312" w:lineRule="auto"/>
              <w:rPr>
                <w:szCs w:val="20"/>
              </w:rPr>
            </w:pPr>
            <w:r w:rsidRPr="00E00B35">
              <w:rPr>
                <w:bCs/>
                <w:szCs w:val="20"/>
              </w:rPr>
              <w:t>1 744</w:t>
            </w:r>
          </w:p>
        </w:tc>
        <w:tc>
          <w:tcPr>
            <w:tcW w:w="1013" w:type="dxa"/>
          </w:tcPr>
          <w:p w:rsidR="006F0842" w:rsidRPr="00E00B35" w:rsidRDefault="006F0842" w:rsidP="00E00B35">
            <w:pPr>
              <w:spacing w:after="0" w:line="312" w:lineRule="auto"/>
              <w:rPr>
                <w:szCs w:val="20"/>
              </w:rPr>
            </w:pPr>
            <w:r w:rsidRPr="00E00B35">
              <w:rPr>
                <w:bCs/>
                <w:szCs w:val="20"/>
              </w:rPr>
              <w:t>76,6</w:t>
            </w:r>
          </w:p>
        </w:tc>
        <w:tc>
          <w:tcPr>
            <w:tcW w:w="1013" w:type="dxa"/>
          </w:tcPr>
          <w:p w:rsidR="006F0842" w:rsidRPr="00E00B35" w:rsidRDefault="006F0842" w:rsidP="00E00B35">
            <w:pPr>
              <w:spacing w:after="0" w:line="312" w:lineRule="auto"/>
              <w:rPr>
                <w:szCs w:val="20"/>
              </w:rPr>
            </w:pPr>
            <w:r w:rsidRPr="00E00B35">
              <w:rPr>
                <w:bCs/>
                <w:szCs w:val="20"/>
              </w:rPr>
              <w:t>1 407</w:t>
            </w:r>
          </w:p>
        </w:tc>
        <w:tc>
          <w:tcPr>
            <w:tcW w:w="1013" w:type="dxa"/>
          </w:tcPr>
          <w:p w:rsidR="006F0842" w:rsidRPr="00E00B35" w:rsidRDefault="006F0842" w:rsidP="00E00B35">
            <w:pPr>
              <w:spacing w:after="0" w:line="312" w:lineRule="auto"/>
              <w:rPr>
                <w:szCs w:val="20"/>
              </w:rPr>
            </w:pPr>
            <w:r w:rsidRPr="00E00B35">
              <w:rPr>
                <w:bCs/>
                <w:szCs w:val="20"/>
              </w:rPr>
              <w:t>65,5</w:t>
            </w:r>
          </w:p>
        </w:tc>
        <w:tc>
          <w:tcPr>
            <w:tcW w:w="1013" w:type="dxa"/>
          </w:tcPr>
          <w:p w:rsidR="006F0842" w:rsidRPr="00E00B35" w:rsidRDefault="006F0842" w:rsidP="00E00B35">
            <w:pPr>
              <w:spacing w:after="0" w:line="312" w:lineRule="auto"/>
              <w:rPr>
                <w:szCs w:val="20"/>
              </w:rPr>
            </w:pPr>
            <w:r w:rsidRPr="00E00B35">
              <w:rPr>
                <w:bCs/>
                <w:szCs w:val="20"/>
              </w:rPr>
              <w:t>1 528</w:t>
            </w:r>
          </w:p>
        </w:tc>
        <w:tc>
          <w:tcPr>
            <w:tcW w:w="1013" w:type="dxa"/>
          </w:tcPr>
          <w:p w:rsidR="006F0842" w:rsidRPr="00E00B35" w:rsidRDefault="006F0842" w:rsidP="00E00B35">
            <w:pPr>
              <w:spacing w:after="0" w:line="312" w:lineRule="auto"/>
              <w:rPr>
                <w:szCs w:val="20"/>
              </w:rPr>
            </w:pPr>
            <w:r w:rsidRPr="00E00B35">
              <w:rPr>
                <w:bCs/>
                <w:szCs w:val="20"/>
              </w:rPr>
              <w:t>74,2</w:t>
            </w:r>
          </w:p>
        </w:tc>
      </w:tr>
      <w:tr w:rsidR="006F0842" w:rsidRPr="00E00B35" w:rsidTr="00B86812">
        <w:tc>
          <w:tcPr>
            <w:tcW w:w="1702" w:type="dxa"/>
          </w:tcPr>
          <w:p w:rsidR="006F0842" w:rsidRPr="00E00B35" w:rsidRDefault="006F0842" w:rsidP="00E00B35">
            <w:pPr>
              <w:spacing w:after="0" w:line="312" w:lineRule="auto"/>
              <w:rPr>
                <w:szCs w:val="20"/>
              </w:rPr>
            </w:pPr>
            <w:r w:rsidRPr="00E00B35">
              <w:rPr>
                <w:bCs/>
                <w:szCs w:val="20"/>
              </w:rPr>
              <w:t>Edukacja</w:t>
            </w:r>
          </w:p>
        </w:tc>
        <w:tc>
          <w:tcPr>
            <w:tcW w:w="1012" w:type="dxa"/>
          </w:tcPr>
          <w:p w:rsidR="006F0842" w:rsidRPr="00E00B35" w:rsidRDefault="006F0842" w:rsidP="00E00B35">
            <w:pPr>
              <w:spacing w:after="0" w:line="312" w:lineRule="auto"/>
              <w:rPr>
                <w:szCs w:val="20"/>
              </w:rPr>
            </w:pPr>
            <w:r w:rsidRPr="00E00B35">
              <w:rPr>
                <w:bCs/>
                <w:szCs w:val="20"/>
              </w:rPr>
              <w:t>370</w:t>
            </w:r>
          </w:p>
        </w:tc>
        <w:tc>
          <w:tcPr>
            <w:tcW w:w="1013" w:type="dxa"/>
          </w:tcPr>
          <w:p w:rsidR="006F0842" w:rsidRPr="00E00B35" w:rsidRDefault="006F0842" w:rsidP="00E00B35">
            <w:pPr>
              <w:spacing w:after="0" w:line="312" w:lineRule="auto"/>
              <w:rPr>
                <w:szCs w:val="20"/>
              </w:rPr>
            </w:pPr>
            <w:r w:rsidRPr="00E00B35">
              <w:rPr>
                <w:bCs/>
                <w:szCs w:val="20"/>
              </w:rPr>
              <w:t>13,5</w:t>
            </w:r>
          </w:p>
        </w:tc>
        <w:tc>
          <w:tcPr>
            <w:tcW w:w="1013" w:type="dxa"/>
          </w:tcPr>
          <w:p w:rsidR="006F0842" w:rsidRPr="00E00B35" w:rsidRDefault="006F0842" w:rsidP="00E00B35">
            <w:pPr>
              <w:spacing w:after="0" w:line="312" w:lineRule="auto"/>
              <w:rPr>
                <w:szCs w:val="20"/>
              </w:rPr>
            </w:pPr>
            <w:r w:rsidRPr="00E00B35">
              <w:rPr>
                <w:bCs/>
                <w:szCs w:val="20"/>
              </w:rPr>
              <w:t>184</w:t>
            </w:r>
          </w:p>
        </w:tc>
        <w:tc>
          <w:tcPr>
            <w:tcW w:w="1013" w:type="dxa"/>
          </w:tcPr>
          <w:p w:rsidR="006F0842" w:rsidRPr="00E00B35" w:rsidRDefault="006F0842" w:rsidP="00E00B35">
            <w:pPr>
              <w:spacing w:after="0" w:line="312" w:lineRule="auto"/>
              <w:rPr>
                <w:szCs w:val="20"/>
              </w:rPr>
            </w:pPr>
            <w:r w:rsidRPr="00E00B35">
              <w:rPr>
                <w:bCs/>
                <w:szCs w:val="20"/>
              </w:rPr>
              <w:t>8,1</w:t>
            </w:r>
          </w:p>
        </w:tc>
        <w:tc>
          <w:tcPr>
            <w:tcW w:w="1013" w:type="dxa"/>
          </w:tcPr>
          <w:p w:rsidR="006F0842" w:rsidRPr="00E00B35" w:rsidRDefault="006F0842" w:rsidP="00E00B35">
            <w:pPr>
              <w:spacing w:after="0" w:line="312" w:lineRule="auto"/>
              <w:rPr>
                <w:szCs w:val="20"/>
              </w:rPr>
            </w:pPr>
            <w:r w:rsidRPr="00E00B35">
              <w:rPr>
                <w:bCs/>
                <w:szCs w:val="20"/>
              </w:rPr>
              <w:t>305</w:t>
            </w:r>
          </w:p>
        </w:tc>
        <w:tc>
          <w:tcPr>
            <w:tcW w:w="1013" w:type="dxa"/>
          </w:tcPr>
          <w:p w:rsidR="006F0842" w:rsidRPr="00E00B35" w:rsidRDefault="006F0842" w:rsidP="00E00B35">
            <w:pPr>
              <w:spacing w:after="0" w:line="312" w:lineRule="auto"/>
              <w:rPr>
                <w:szCs w:val="20"/>
              </w:rPr>
            </w:pPr>
            <w:r w:rsidRPr="00E00B35">
              <w:rPr>
                <w:bCs/>
                <w:szCs w:val="20"/>
              </w:rPr>
              <w:t>14,2</w:t>
            </w:r>
          </w:p>
        </w:tc>
        <w:tc>
          <w:tcPr>
            <w:tcW w:w="1013" w:type="dxa"/>
          </w:tcPr>
          <w:p w:rsidR="006F0842" w:rsidRPr="00E00B35" w:rsidRDefault="006F0842" w:rsidP="00E00B35">
            <w:pPr>
              <w:spacing w:after="0" w:line="312" w:lineRule="auto"/>
              <w:rPr>
                <w:szCs w:val="20"/>
              </w:rPr>
            </w:pPr>
            <w:r w:rsidRPr="00E00B35">
              <w:rPr>
                <w:bCs/>
                <w:szCs w:val="20"/>
              </w:rPr>
              <w:t>153</w:t>
            </w:r>
          </w:p>
        </w:tc>
        <w:tc>
          <w:tcPr>
            <w:tcW w:w="1013" w:type="dxa"/>
          </w:tcPr>
          <w:p w:rsidR="006F0842" w:rsidRPr="00E00B35" w:rsidRDefault="006F0842" w:rsidP="00E00B35">
            <w:pPr>
              <w:spacing w:after="0" w:line="312" w:lineRule="auto"/>
              <w:rPr>
                <w:szCs w:val="20"/>
              </w:rPr>
            </w:pPr>
            <w:r w:rsidRPr="00E00B35">
              <w:rPr>
                <w:bCs/>
                <w:szCs w:val="20"/>
              </w:rPr>
              <w:t>7,4</w:t>
            </w:r>
          </w:p>
        </w:tc>
      </w:tr>
      <w:tr w:rsidR="006F0842" w:rsidRPr="00E00B35" w:rsidTr="00B86812">
        <w:tc>
          <w:tcPr>
            <w:tcW w:w="1702" w:type="dxa"/>
          </w:tcPr>
          <w:p w:rsidR="006F0842" w:rsidRPr="00E00B35" w:rsidRDefault="006F0842" w:rsidP="00E00B35">
            <w:pPr>
              <w:spacing w:after="0" w:line="312" w:lineRule="auto"/>
              <w:rPr>
                <w:szCs w:val="20"/>
              </w:rPr>
            </w:pPr>
            <w:r w:rsidRPr="00E00B35">
              <w:rPr>
                <w:szCs w:val="20"/>
              </w:rPr>
              <w:t>Finanse i rachunkowość</w:t>
            </w:r>
          </w:p>
        </w:tc>
        <w:tc>
          <w:tcPr>
            <w:tcW w:w="1012" w:type="dxa"/>
          </w:tcPr>
          <w:p w:rsidR="006F0842" w:rsidRPr="00E00B35" w:rsidRDefault="006F0842" w:rsidP="00E00B35">
            <w:pPr>
              <w:spacing w:after="0" w:line="312" w:lineRule="auto"/>
              <w:rPr>
                <w:szCs w:val="20"/>
              </w:rPr>
            </w:pPr>
            <w:r w:rsidRPr="00E00B35">
              <w:rPr>
                <w:bCs/>
                <w:szCs w:val="20"/>
              </w:rPr>
              <w:t>117</w:t>
            </w:r>
          </w:p>
        </w:tc>
        <w:tc>
          <w:tcPr>
            <w:tcW w:w="1013" w:type="dxa"/>
          </w:tcPr>
          <w:p w:rsidR="006F0842" w:rsidRPr="00E00B35" w:rsidRDefault="006F0842" w:rsidP="00E00B35">
            <w:pPr>
              <w:spacing w:after="0" w:line="312" w:lineRule="auto"/>
              <w:rPr>
                <w:szCs w:val="20"/>
              </w:rPr>
            </w:pPr>
            <w:r w:rsidRPr="00E00B35">
              <w:rPr>
                <w:bCs/>
                <w:szCs w:val="20"/>
              </w:rPr>
              <w:t>4,3</w:t>
            </w:r>
          </w:p>
        </w:tc>
        <w:tc>
          <w:tcPr>
            <w:tcW w:w="1013" w:type="dxa"/>
          </w:tcPr>
          <w:p w:rsidR="006F0842" w:rsidRPr="00E00B35" w:rsidRDefault="006F0842" w:rsidP="00E00B35">
            <w:pPr>
              <w:spacing w:after="0" w:line="312" w:lineRule="auto"/>
              <w:rPr>
                <w:szCs w:val="20"/>
              </w:rPr>
            </w:pPr>
            <w:r w:rsidRPr="00E00B35">
              <w:rPr>
                <w:bCs/>
                <w:szCs w:val="20"/>
              </w:rPr>
              <w:t>92</w:t>
            </w:r>
          </w:p>
        </w:tc>
        <w:tc>
          <w:tcPr>
            <w:tcW w:w="1013" w:type="dxa"/>
          </w:tcPr>
          <w:p w:rsidR="006F0842" w:rsidRPr="00E00B35" w:rsidRDefault="006F0842" w:rsidP="00E00B35">
            <w:pPr>
              <w:spacing w:after="0" w:line="312" w:lineRule="auto"/>
              <w:rPr>
                <w:szCs w:val="20"/>
              </w:rPr>
            </w:pPr>
            <w:r w:rsidRPr="00E00B35">
              <w:rPr>
                <w:bCs/>
                <w:szCs w:val="20"/>
              </w:rPr>
              <w:t>4</w:t>
            </w:r>
          </w:p>
        </w:tc>
        <w:tc>
          <w:tcPr>
            <w:tcW w:w="1013" w:type="dxa"/>
          </w:tcPr>
          <w:p w:rsidR="006F0842" w:rsidRPr="00E00B35" w:rsidRDefault="006F0842" w:rsidP="00E00B35">
            <w:pPr>
              <w:spacing w:after="0" w:line="312" w:lineRule="auto"/>
              <w:rPr>
                <w:szCs w:val="20"/>
              </w:rPr>
            </w:pPr>
            <w:r w:rsidRPr="00E00B35">
              <w:rPr>
                <w:bCs/>
                <w:szCs w:val="20"/>
              </w:rPr>
              <w:t>118</w:t>
            </w:r>
          </w:p>
        </w:tc>
        <w:tc>
          <w:tcPr>
            <w:tcW w:w="1013" w:type="dxa"/>
          </w:tcPr>
          <w:p w:rsidR="006F0842" w:rsidRPr="00E00B35" w:rsidRDefault="006F0842" w:rsidP="00E00B35">
            <w:pPr>
              <w:spacing w:after="0" w:line="312" w:lineRule="auto"/>
              <w:rPr>
                <w:szCs w:val="20"/>
              </w:rPr>
            </w:pPr>
            <w:r w:rsidRPr="00E00B35">
              <w:rPr>
                <w:bCs/>
                <w:szCs w:val="20"/>
              </w:rPr>
              <w:t>5,5</w:t>
            </w:r>
          </w:p>
        </w:tc>
        <w:tc>
          <w:tcPr>
            <w:tcW w:w="1013" w:type="dxa"/>
          </w:tcPr>
          <w:p w:rsidR="006F0842" w:rsidRPr="00E00B35" w:rsidRDefault="006F0842" w:rsidP="00E00B35">
            <w:pPr>
              <w:spacing w:after="0" w:line="312" w:lineRule="auto"/>
              <w:rPr>
                <w:szCs w:val="20"/>
              </w:rPr>
            </w:pPr>
            <w:r w:rsidRPr="00E00B35">
              <w:rPr>
                <w:bCs/>
                <w:szCs w:val="20"/>
              </w:rPr>
              <w:t>131</w:t>
            </w:r>
          </w:p>
        </w:tc>
        <w:tc>
          <w:tcPr>
            <w:tcW w:w="1013" w:type="dxa"/>
          </w:tcPr>
          <w:p w:rsidR="006F0842" w:rsidRPr="00E00B35" w:rsidRDefault="006F0842" w:rsidP="00E00B35">
            <w:pPr>
              <w:spacing w:after="0" w:line="312" w:lineRule="auto"/>
              <w:rPr>
                <w:szCs w:val="20"/>
              </w:rPr>
            </w:pPr>
            <w:r w:rsidRPr="00E00B35">
              <w:rPr>
                <w:bCs/>
                <w:szCs w:val="20"/>
              </w:rPr>
              <w:t>6,4</w:t>
            </w:r>
          </w:p>
        </w:tc>
      </w:tr>
      <w:tr w:rsidR="006F0842" w:rsidRPr="00E00B35" w:rsidTr="00B86812">
        <w:tc>
          <w:tcPr>
            <w:tcW w:w="1702" w:type="dxa"/>
          </w:tcPr>
          <w:p w:rsidR="006F0842" w:rsidRPr="00E00B35" w:rsidRDefault="006F0842" w:rsidP="00E00B35">
            <w:pPr>
              <w:spacing w:after="0" w:line="312" w:lineRule="auto"/>
              <w:rPr>
                <w:szCs w:val="20"/>
              </w:rPr>
            </w:pPr>
            <w:r w:rsidRPr="00E00B35">
              <w:rPr>
                <w:bCs/>
                <w:szCs w:val="20"/>
              </w:rPr>
              <w:t>Organizacja i zarządzanie</w:t>
            </w:r>
          </w:p>
        </w:tc>
        <w:tc>
          <w:tcPr>
            <w:tcW w:w="1012" w:type="dxa"/>
          </w:tcPr>
          <w:p w:rsidR="006F0842" w:rsidRPr="00E00B35" w:rsidRDefault="006F0842" w:rsidP="00E00B35">
            <w:pPr>
              <w:spacing w:after="0" w:line="312" w:lineRule="auto"/>
              <w:rPr>
                <w:szCs w:val="20"/>
              </w:rPr>
            </w:pPr>
            <w:r w:rsidRPr="00E00B35">
              <w:rPr>
                <w:bCs/>
                <w:szCs w:val="20"/>
              </w:rPr>
              <w:t>76</w:t>
            </w:r>
          </w:p>
        </w:tc>
        <w:tc>
          <w:tcPr>
            <w:tcW w:w="1013" w:type="dxa"/>
          </w:tcPr>
          <w:p w:rsidR="006F0842" w:rsidRPr="00E00B35" w:rsidRDefault="006F0842" w:rsidP="00E00B35">
            <w:pPr>
              <w:spacing w:after="0" w:line="312" w:lineRule="auto"/>
              <w:rPr>
                <w:szCs w:val="20"/>
              </w:rPr>
            </w:pPr>
            <w:r w:rsidRPr="00E00B35">
              <w:rPr>
                <w:bCs/>
                <w:szCs w:val="20"/>
              </w:rPr>
              <w:t>2,8</w:t>
            </w:r>
          </w:p>
        </w:tc>
        <w:tc>
          <w:tcPr>
            <w:tcW w:w="1013" w:type="dxa"/>
          </w:tcPr>
          <w:p w:rsidR="006F0842" w:rsidRPr="00E00B35" w:rsidRDefault="006F0842" w:rsidP="00E00B35">
            <w:pPr>
              <w:spacing w:after="0" w:line="312" w:lineRule="auto"/>
              <w:rPr>
                <w:szCs w:val="20"/>
              </w:rPr>
            </w:pPr>
            <w:r w:rsidRPr="00E00B35">
              <w:rPr>
                <w:bCs/>
                <w:szCs w:val="20"/>
              </w:rPr>
              <w:t>90</w:t>
            </w:r>
          </w:p>
        </w:tc>
        <w:tc>
          <w:tcPr>
            <w:tcW w:w="1013" w:type="dxa"/>
          </w:tcPr>
          <w:p w:rsidR="006F0842" w:rsidRPr="00E00B35" w:rsidRDefault="006F0842" w:rsidP="00E00B35">
            <w:pPr>
              <w:spacing w:after="0" w:line="312" w:lineRule="auto"/>
              <w:rPr>
                <w:szCs w:val="20"/>
              </w:rPr>
            </w:pPr>
            <w:r w:rsidRPr="00E00B35">
              <w:rPr>
                <w:bCs/>
                <w:szCs w:val="20"/>
              </w:rPr>
              <w:t>3,9</w:t>
            </w:r>
          </w:p>
        </w:tc>
        <w:tc>
          <w:tcPr>
            <w:tcW w:w="1013" w:type="dxa"/>
          </w:tcPr>
          <w:p w:rsidR="006F0842" w:rsidRPr="00E00B35" w:rsidRDefault="006F0842" w:rsidP="00E00B35">
            <w:pPr>
              <w:spacing w:after="0" w:line="312" w:lineRule="auto"/>
              <w:rPr>
                <w:szCs w:val="20"/>
              </w:rPr>
            </w:pPr>
            <w:r w:rsidRPr="00E00B35">
              <w:rPr>
                <w:bCs/>
                <w:szCs w:val="20"/>
              </w:rPr>
              <w:t>118</w:t>
            </w:r>
          </w:p>
        </w:tc>
        <w:tc>
          <w:tcPr>
            <w:tcW w:w="1013" w:type="dxa"/>
          </w:tcPr>
          <w:p w:rsidR="006F0842" w:rsidRPr="00E00B35" w:rsidRDefault="006F0842" w:rsidP="00E00B35">
            <w:pPr>
              <w:spacing w:after="0" w:line="312" w:lineRule="auto"/>
              <w:rPr>
                <w:szCs w:val="20"/>
              </w:rPr>
            </w:pPr>
            <w:r w:rsidRPr="00E00B35">
              <w:rPr>
                <w:bCs/>
                <w:szCs w:val="20"/>
              </w:rPr>
              <w:t>5,5</w:t>
            </w:r>
          </w:p>
        </w:tc>
        <w:tc>
          <w:tcPr>
            <w:tcW w:w="1013" w:type="dxa"/>
          </w:tcPr>
          <w:p w:rsidR="006F0842" w:rsidRPr="00E00B35" w:rsidRDefault="006F0842" w:rsidP="00E00B35">
            <w:pPr>
              <w:spacing w:after="0" w:line="312" w:lineRule="auto"/>
              <w:rPr>
                <w:szCs w:val="20"/>
              </w:rPr>
            </w:pPr>
            <w:r w:rsidRPr="00E00B35">
              <w:rPr>
                <w:bCs/>
                <w:szCs w:val="20"/>
              </w:rPr>
              <w:t>59</w:t>
            </w:r>
          </w:p>
        </w:tc>
        <w:tc>
          <w:tcPr>
            <w:tcW w:w="1013" w:type="dxa"/>
          </w:tcPr>
          <w:p w:rsidR="006F0842" w:rsidRPr="00E00B35" w:rsidRDefault="006F0842" w:rsidP="00E00B35">
            <w:pPr>
              <w:spacing w:after="0" w:line="312" w:lineRule="auto"/>
              <w:rPr>
                <w:szCs w:val="20"/>
              </w:rPr>
            </w:pPr>
            <w:r w:rsidRPr="00E00B35">
              <w:rPr>
                <w:bCs/>
                <w:szCs w:val="20"/>
              </w:rPr>
              <w:t>2,9</w:t>
            </w:r>
          </w:p>
        </w:tc>
      </w:tr>
      <w:tr w:rsidR="006F0842" w:rsidRPr="00E00B35" w:rsidTr="00B86812">
        <w:tc>
          <w:tcPr>
            <w:tcW w:w="1702" w:type="dxa"/>
          </w:tcPr>
          <w:p w:rsidR="006F0842" w:rsidRPr="00E00B35" w:rsidRDefault="006F0842" w:rsidP="00E00B35">
            <w:pPr>
              <w:spacing w:after="0" w:line="312" w:lineRule="auto"/>
              <w:rPr>
                <w:szCs w:val="20"/>
              </w:rPr>
            </w:pPr>
            <w:r w:rsidRPr="00E00B35">
              <w:rPr>
                <w:bCs/>
                <w:szCs w:val="20"/>
              </w:rPr>
              <w:t>Gospodarka komunalna</w:t>
            </w:r>
          </w:p>
        </w:tc>
        <w:tc>
          <w:tcPr>
            <w:tcW w:w="1012" w:type="dxa"/>
          </w:tcPr>
          <w:p w:rsidR="006F0842" w:rsidRPr="00E00B35" w:rsidRDefault="006F0842" w:rsidP="00E00B35">
            <w:pPr>
              <w:spacing w:after="0" w:line="312" w:lineRule="auto"/>
              <w:rPr>
                <w:szCs w:val="20"/>
              </w:rPr>
            </w:pPr>
            <w:r w:rsidRPr="00E00B35">
              <w:rPr>
                <w:bCs/>
                <w:szCs w:val="20"/>
              </w:rPr>
              <w:t>65</w:t>
            </w:r>
          </w:p>
        </w:tc>
        <w:tc>
          <w:tcPr>
            <w:tcW w:w="1013" w:type="dxa"/>
          </w:tcPr>
          <w:p w:rsidR="006F0842" w:rsidRPr="00E00B35" w:rsidRDefault="006F0842" w:rsidP="00E00B35">
            <w:pPr>
              <w:spacing w:after="0" w:line="312" w:lineRule="auto"/>
              <w:rPr>
                <w:szCs w:val="20"/>
              </w:rPr>
            </w:pPr>
            <w:r w:rsidRPr="00E00B35">
              <w:rPr>
                <w:bCs/>
                <w:szCs w:val="20"/>
              </w:rPr>
              <w:t>2,4</w:t>
            </w:r>
          </w:p>
        </w:tc>
        <w:tc>
          <w:tcPr>
            <w:tcW w:w="1013" w:type="dxa"/>
          </w:tcPr>
          <w:p w:rsidR="006F0842" w:rsidRPr="00E00B35" w:rsidRDefault="006F0842" w:rsidP="00E00B35">
            <w:pPr>
              <w:spacing w:after="0" w:line="312" w:lineRule="auto"/>
              <w:rPr>
                <w:szCs w:val="20"/>
              </w:rPr>
            </w:pPr>
            <w:r w:rsidRPr="00E00B35">
              <w:rPr>
                <w:bCs/>
                <w:szCs w:val="20"/>
              </w:rPr>
              <w:t>50</w:t>
            </w:r>
          </w:p>
        </w:tc>
        <w:tc>
          <w:tcPr>
            <w:tcW w:w="1013" w:type="dxa"/>
          </w:tcPr>
          <w:p w:rsidR="006F0842" w:rsidRPr="00E00B35" w:rsidRDefault="006F0842" w:rsidP="00E00B35">
            <w:pPr>
              <w:spacing w:after="0" w:line="312" w:lineRule="auto"/>
              <w:rPr>
                <w:szCs w:val="20"/>
              </w:rPr>
            </w:pPr>
            <w:r w:rsidRPr="00E00B35">
              <w:rPr>
                <w:bCs/>
                <w:szCs w:val="20"/>
              </w:rPr>
              <w:t>2,2</w:t>
            </w:r>
          </w:p>
        </w:tc>
        <w:tc>
          <w:tcPr>
            <w:tcW w:w="1013" w:type="dxa"/>
          </w:tcPr>
          <w:p w:rsidR="006F0842" w:rsidRPr="00E00B35" w:rsidRDefault="006F0842" w:rsidP="00E00B35">
            <w:pPr>
              <w:spacing w:after="0" w:line="312" w:lineRule="auto"/>
              <w:rPr>
                <w:szCs w:val="20"/>
              </w:rPr>
            </w:pPr>
            <w:r w:rsidRPr="00E00B35">
              <w:rPr>
                <w:bCs/>
                <w:szCs w:val="20"/>
              </w:rPr>
              <w:t>69</w:t>
            </w:r>
          </w:p>
        </w:tc>
        <w:tc>
          <w:tcPr>
            <w:tcW w:w="1013" w:type="dxa"/>
          </w:tcPr>
          <w:p w:rsidR="006F0842" w:rsidRPr="00E00B35" w:rsidRDefault="006F0842" w:rsidP="00E00B35">
            <w:pPr>
              <w:spacing w:after="0" w:line="312" w:lineRule="auto"/>
              <w:rPr>
                <w:szCs w:val="20"/>
              </w:rPr>
            </w:pPr>
            <w:r w:rsidRPr="00E00B35">
              <w:rPr>
                <w:bCs/>
                <w:szCs w:val="20"/>
              </w:rPr>
              <w:t>3,2</w:t>
            </w:r>
          </w:p>
        </w:tc>
        <w:tc>
          <w:tcPr>
            <w:tcW w:w="1013" w:type="dxa"/>
          </w:tcPr>
          <w:p w:rsidR="006F0842" w:rsidRPr="00E00B35" w:rsidRDefault="006F0842" w:rsidP="00E00B35">
            <w:pPr>
              <w:spacing w:after="0" w:line="312" w:lineRule="auto"/>
              <w:rPr>
                <w:szCs w:val="20"/>
              </w:rPr>
            </w:pPr>
            <w:r w:rsidRPr="00E00B35">
              <w:rPr>
                <w:bCs/>
                <w:szCs w:val="20"/>
              </w:rPr>
              <w:t>55</w:t>
            </w:r>
          </w:p>
        </w:tc>
        <w:tc>
          <w:tcPr>
            <w:tcW w:w="1013" w:type="dxa"/>
          </w:tcPr>
          <w:p w:rsidR="006F0842" w:rsidRPr="00E00B35" w:rsidRDefault="006F0842" w:rsidP="00E00B35">
            <w:pPr>
              <w:spacing w:after="0" w:line="312" w:lineRule="auto"/>
              <w:rPr>
                <w:szCs w:val="20"/>
              </w:rPr>
            </w:pPr>
            <w:r w:rsidRPr="00E00B35">
              <w:rPr>
                <w:bCs/>
                <w:szCs w:val="20"/>
              </w:rPr>
              <w:t>2,7</w:t>
            </w:r>
          </w:p>
        </w:tc>
      </w:tr>
      <w:tr w:rsidR="006F0842" w:rsidRPr="00E00B35" w:rsidTr="00B86812">
        <w:tc>
          <w:tcPr>
            <w:tcW w:w="1702" w:type="dxa"/>
          </w:tcPr>
          <w:p w:rsidR="006F0842" w:rsidRPr="00E00B35" w:rsidRDefault="006F0842" w:rsidP="00E00B35">
            <w:pPr>
              <w:spacing w:after="0" w:line="312" w:lineRule="auto"/>
              <w:rPr>
                <w:szCs w:val="20"/>
              </w:rPr>
            </w:pPr>
            <w:r w:rsidRPr="00E00B35">
              <w:rPr>
                <w:bCs/>
                <w:szCs w:val="20"/>
              </w:rPr>
              <w:t>Planowanie i zagospodarowanie przestrzenne</w:t>
            </w:r>
          </w:p>
        </w:tc>
        <w:tc>
          <w:tcPr>
            <w:tcW w:w="1012" w:type="dxa"/>
          </w:tcPr>
          <w:p w:rsidR="006F0842" w:rsidRPr="00E00B35" w:rsidRDefault="006F0842" w:rsidP="00E00B35">
            <w:pPr>
              <w:spacing w:after="0" w:line="312" w:lineRule="auto"/>
              <w:rPr>
                <w:szCs w:val="20"/>
              </w:rPr>
            </w:pPr>
            <w:r w:rsidRPr="00E00B35">
              <w:rPr>
                <w:bCs/>
                <w:szCs w:val="20"/>
              </w:rPr>
              <w:t>25</w:t>
            </w:r>
          </w:p>
        </w:tc>
        <w:tc>
          <w:tcPr>
            <w:tcW w:w="1013" w:type="dxa"/>
          </w:tcPr>
          <w:p w:rsidR="006F0842" w:rsidRPr="00E00B35" w:rsidRDefault="006F0842" w:rsidP="00E00B35">
            <w:pPr>
              <w:spacing w:after="0" w:line="312" w:lineRule="auto"/>
              <w:rPr>
                <w:szCs w:val="20"/>
              </w:rPr>
            </w:pPr>
            <w:r w:rsidRPr="00E00B35">
              <w:rPr>
                <w:bCs/>
                <w:szCs w:val="20"/>
              </w:rPr>
              <w:t>0,9</w:t>
            </w:r>
          </w:p>
        </w:tc>
        <w:tc>
          <w:tcPr>
            <w:tcW w:w="1013" w:type="dxa"/>
          </w:tcPr>
          <w:p w:rsidR="006F0842" w:rsidRPr="00E00B35" w:rsidRDefault="006F0842" w:rsidP="00E00B35">
            <w:pPr>
              <w:spacing w:after="0" w:line="312" w:lineRule="auto"/>
              <w:rPr>
                <w:szCs w:val="20"/>
              </w:rPr>
            </w:pPr>
            <w:r w:rsidRPr="00E00B35">
              <w:rPr>
                <w:bCs/>
                <w:szCs w:val="20"/>
              </w:rPr>
              <w:t>41</w:t>
            </w:r>
          </w:p>
        </w:tc>
        <w:tc>
          <w:tcPr>
            <w:tcW w:w="1013" w:type="dxa"/>
          </w:tcPr>
          <w:p w:rsidR="006F0842" w:rsidRPr="00E00B35" w:rsidRDefault="006F0842" w:rsidP="00E00B35">
            <w:pPr>
              <w:spacing w:after="0" w:line="312" w:lineRule="auto"/>
              <w:rPr>
                <w:szCs w:val="20"/>
              </w:rPr>
            </w:pPr>
            <w:r w:rsidRPr="00E00B35">
              <w:rPr>
                <w:bCs/>
                <w:szCs w:val="20"/>
              </w:rPr>
              <w:t>1,8</w:t>
            </w:r>
          </w:p>
        </w:tc>
        <w:tc>
          <w:tcPr>
            <w:tcW w:w="1013" w:type="dxa"/>
          </w:tcPr>
          <w:p w:rsidR="006F0842" w:rsidRPr="00E00B35" w:rsidRDefault="006F0842" w:rsidP="00E00B35">
            <w:pPr>
              <w:spacing w:after="0" w:line="312" w:lineRule="auto"/>
              <w:rPr>
                <w:szCs w:val="20"/>
              </w:rPr>
            </w:pPr>
            <w:r w:rsidRPr="00E00B35">
              <w:rPr>
                <w:bCs/>
                <w:szCs w:val="20"/>
              </w:rPr>
              <w:t>55</w:t>
            </w:r>
          </w:p>
        </w:tc>
        <w:tc>
          <w:tcPr>
            <w:tcW w:w="1013" w:type="dxa"/>
          </w:tcPr>
          <w:p w:rsidR="006F0842" w:rsidRPr="00E00B35" w:rsidRDefault="006F0842" w:rsidP="00E00B35">
            <w:pPr>
              <w:spacing w:after="0" w:line="312" w:lineRule="auto"/>
              <w:rPr>
                <w:szCs w:val="20"/>
              </w:rPr>
            </w:pPr>
            <w:r w:rsidRPr="00E00B35">
              <w:rPr>
                <w:bCs/>
                <w:szCs w:val="20"/>
              </w:rPr>
              <w:t>2,6</w:t>
            </w:r>
          </w:p>
        </w:tc>
        <w:tc>
          <w:tcPr>
            <w:tcW w:w="1013" w:type="dxa"/>
          </w:tcPr>
          <w:p w:rsidR="006F0842" w:rsidRPr="00E00B35" w:rsidRDefault="006F0842" w:rsidP="00E00B35">
            <w:pPr>
              <w:spacing w:after="0" w:line="312" w:lineRule="auto"/>
              <w:rPr>
                <w:szCs w:val="20"/>
              </w:rPr>
            </w:pPr>
            <w:r w:rsidRPr="00E00B35">
              <w:rPr>
                <w:bCs/>
                <w:szCs w:val="20"/>
              </w:rPr>
              <w:t>38</w:t>
            </w:r>
          </w:p>
        </w:tc>
        <w:tc>
          <w:tcPr>
            <w:tcW w:w="1013" w:type="dxa"/>
          </w:tcPr>
          <w:p w:rsidR="006F0842" w:rsidRPr="00E00B35" w:rsidRDefault="006F0842" w:rsidP="00E00B35">
            <w:pPr>
              <w:spacing w:after="0" w:line="312" w:lineRule="auto"/>
              <w:rPr>
                <w:szCs w:val="20"/>
              </w:rPr>
            </w:pPr>
            <w:r w:rsidRPr="00E00B35">
              <w:rPr>
                <w:bCs/>
                <w:szCs w:val="20"/>
              </w:rPr>
              <w:t>1,8</w:t>
            </w:r>
          </w:p>
        </w:tc>
      </w:tr>
      <w:tr w:rsidR="006F0842" w:rsidRPr="00E00B35" w:rsidTr="00B86812">
        <w:tc>
          <w:tcPr>
            <w:tcW w:w="1702" w:type="dxa"/>
          </w:tcPr>
          <w:p w:rsidR="006F0842" w:rsidRPr="00E00B35" w:rsidRDefault="006F0842" w:rsidP="00E00B35">
            <w:pPr>
              <w:spacing w:after="0" w:line="312" w:lineRule="auto"/>
              <w:rPr>
                <w:szCs w:val="20"/>
              </w:rPr>
            </w:pPr>
            <w:r w:rsidRPr="00E00B35">
              <w:rPr>
                <w:bCs/>
                <w:szCs w:val="20"/>
              </w:rPr>
              <w:t>Gospodarka zasobem mieszkaniowym</w:t>
            </w:r>
          </w:p>
        </w:tc>
        <w:tc>
          <w:tcPr>
            <w:tcW w:w="1012" w:type="dxa"/>
          </w:tcPr>
          <w:p w:rsidR="006F0842" w:rsidRPr="00E00B35" w:rsidRDefault="006F0842" w:rsidP="00E00B35">
            <w:pPr>
              <w:spacing w:after="0" w:line="312" w:lineRule="auto"/>
              <w:rPr>
                <w:szCs w:val="20"/>
              </w:rPr>
            </w:pPr>
            <w:r w:rsidRPr="00E00B35">
              <w:rPr>
                <w:bCs/>
                <w:szCs w:val="20"/>
              </w:rPr>
              <w:t>26</w:t>
            </w:r>
          </w:p>
        </w:tc>
        <w:tc>
          <w:tcPr>
            <w:tcW w:w="1013" w:type="dxa"/>
          </w:tcPr>
          <w:p w:rsidR="006F0842" w:rsidRPr="00E00B35" w:rsidRDefault="006F0842" w:rsidP="00E00B35">
            <w:pPr>
              <w:spacing w:after="0" w:line="312" w:lineRule="auto"/>
              <w:rPr>
                <w:szCs w:val="20"/>
              </w:rPr>
            </w:pPr>
            <w:r w:rsidRPr="00E00B35">
              <w:rPr>
                <w:bCs/>
                <w:szCs w:val="20"/>
              </w:rPr>
              <w:t>0,9</w:t>
            </w:r>
          </w:p>
        </w:tc>
        <w:tc>
          <w:tcPr>
            <w:tcW w:w="1013" w:type="dxa"/>
          </w:tcPr>
          <w:p w:rsidR="006F0842" w:rsidRPr="00E00B35" w:rsidRDefault="006F0842" w:rsidP="00E00B35">
            <w:pPr>
              <w:spacing w:after="0" w:line="312" w:lineRule="auto"/>
              <w:rPr>
                <w:szCs w:val="20"/>
              </w:rPr>
            </w:pPr>
            <w:r w:rsidRPr="00E00B35">
              <w:rPr>
                <w:bCs/>
                <w:szCs w:val="20"/>
              </w:rPr>
              <w:t>38</w:t>
            </w:r>
          </w:p>
        </w:tc>
        <w:tc>
          <w:tcPr>
            <w:tcW w:w="1013" w:type="dxa"/>
          </w:tcPr>
          <w:p w:rsidR="006F0842" w:rsidRPr="00E00B35" w:rsidRDefault="006F0842" w:rsidP="00E00B35">
            <w:pPr>
              <w:spacing w:after="0" w:line="312" w:lineRule="auto"/>
              <w:rPr>
                <w:szCs w:val="20"/>
              </w:rPr>
            </w:pPr>
            <w:r w:rsidRPr="00E00B35">
              <w:rPr>
                <w:bCs/>
                <w:szCs w:val="20"/>
              </w:rPr>
              <w:t>1,7</w:t>
            </w:r>
          </w:p>
        </w:tc>
        <w:tc>
          <w:tcPr>
            <w:tcW w:w="1013" w:type="dxa"/>
          </w:tcPr>
          <w:p w:rsidR="006F0842" w:rsidRPr="00E00B35" w:rsidRDefault="006F0842" w:rsidP="00E00B35">
            <w:pPr>
              <w:spacing w:after="0" w:line="312" w:lineRule="auto"/>
              <w:rPr>
                <w:szCs w:val="20"/>
              </w:rPr>
            </w:pPr>
            <w:r w:rsidRPr="00E00B35">
              <w:rPr>
                <w:bCs/>
                <w:szCs w:val="20"/>
              </w:rPr>
              <w:t>27</w:t>
            </w:r>
          </w:p>
        </w:tc>
        <w:tc>
          <w:tcPr>
            <w:tcW w:w="1013" w:type="dxa"/>
          </w:tcPr>
          <w:p w:rsidR="006F0842" w:rsidRPr="00E00B35" w:rsidRDefault="006F0842" w:rsidP="00E00B35">
            <w:pPr>
              <w:spacing w:after="0" w:line="312" w:lineRule="auto"/>
              <w:rPr>
                <w:szCs w:val="20"/>
              </w:rPr>
            </w:pPr>
            <w:r w:rsidRPr="00E00B35">
              <w:rPr>
                <w:bCs/>
                <w:szCs w:val="20"/>
              </w:rPr>
              <w:t>1,2</w:t>
            </w:r>
          </w:p>
        </w:tc>
        <w:tc>
          <w:tcPr>
            <w:tcW w:w="1013" w:type="dxa"/>
          </w:tcPr>
          <w:p w:rsidR="006F0842" w:rsidRPr="00E00B35" w:rsidRDefault="006F0842" w:rsidP="00E00B35">
            <w:pPr>
              <w:spacing w:after="0" w:line="312" w:lineRule="auto"/>
              <w:rPr>
                <w:szCs w:val="20"/>
              </w:rPr>
            </w:pPr>
            <w:r w:rsidRPr="00E00B35">
              <w:rPr>
                <w:bCs/>
                <w:szCs w:val="20"/>
              </w:rPr>
              <w:t>31</w:t>
            </w:r>
          </w:p>
        </w:tc>
        <w:tc>
          <w:tcPr>
            <w:tcW w:w="1013" w:type="dxa"/>
          </w:tcPr>
          <w:p w:rsidR="006F0842" w:rsidRPr="00E00B35" w:rsidRDefault="006F0842" w:rsidP="00E00B35">
            <w:pPr>
              <w:spacing w:after="0" w:line="312" w:lineRule="auto"/>
              <w:rPr>
                <w:szCs w:val="20"/>
              </w:rPr>
            </w:pPr>
            <w:r w:rsidRPr="00E00B35">
              <w:rPr>
                <w:bCs/>
                <w:szCs w:val="20"/>
              </w:rPr>
              <w:t>1,5</w:t>
            </w:r>
          </w:p>
        </w:tc>
      </w:tr>
      <w:tr w:rsidR="006F0842" w:rsidRPr="00E00B35" w:rsidTr="00B86812">
        <w:tc>
          <w:tcPr>
            <w:tcW w:w="1702" w:type="dxa"/>
          </w:tcPr>
          <w:p w:rsidR="006F0842" w:rsidRPr="00E00B35" w:rsidRDefault="006F0842" w:rsidP="00E00B35">
            <w:pPr>
              <w:spacing w:after="0" w:line="312" w:lineRule="auto"/>
              <w:rPr>
                <w:szCs w:val="20"/>
              </w:rPr>
            </w:pPr>
            <w:r w:rsidRPr="00E00B35">
              <w:rPr>
                <w:bCs/>
                <w:szCs w:val="20"/>
              </w:rPr>
              <w:t>Inne</w:t>
            </w:r>
          </w:p>
        </w:tc>
        <w:tc>
          <w:tcPr>
            <w:tcW w:w="1012" w:type="dxa"/>
          </w:tcPr>
          <w:p w:rsidR="006F0842" w:rsidRPr="00E00B35" w:rsidRDefault="006F0842" w:rsidP="00E00B35">
            <w:pPr>
              <w:spacing w:after="0" w:line="312" w:lineRule="auto"/>
              <w:rPr>
                <w:szCs w:val="20"/>
              </w:rPr>
            </w:pPr>
            <w:r w:rsidRPr="00E00B35">
              <w:rPr>
                <w:bCs/>
                <w:szCs w:val="20"/>
              </w:rPr>
              <w:t>35</w:t>
            </w:r>
          </w:p>
        </w:tc>
        <w:tc>
          <w:tcPr>
            <w:tcW w:w="1013" w:type="dxa"/>
          </w:tcPr>
          <w:p w:rsidR="006F0842" w:rsidRPr="00E00B35" w:rsidRDefault="006F0842" w:rsidP="00E00B35">
            <w:pPr>
              <w:spacing w:after="0" w:line="312" w:lineRule="auto"/>
              <w:rPr>
                <w:szCs w:val="20"/>
              </w:rPr>
            </w:pPr>
            <w:r w:rsidRPr="00E00B35">
              <w:rPr>
                <w:bCs/>
                <w:szCs w:val="20"/>
              </w:rPr>
              <w:t>1,3</w:t>
            </w:r>
          </w:p>
        </w:tc>
        <w:tc>
          <w:tcPr>
            <w:tcW w:w="1013" w:type="dxa"/>
          </w:tcPr>
          <w:p w:rsidR="006F0842" w:rsidRPr="00E00B35" w:rsidRDefault="006F0842" w:rsidP="00E00B35">
            <w:pPr>
              <w:spacing w:after="0" w:line="312" w:lineRule="auto"/>
              <w:rPr>
                <w:szCs w:val="20"/>
              </w:rPr>
            </w:pPr>
            <w:r w:rsidRPr="00E00B35">
              <w:rPr>
                <w:bCs/>
                <w:szCs w:val="20"/>
              </w:rPr>
              <w:t>39</w:t>
            </w:r>
          </w:p>
        </w:tc>
        <w:tc>
          <w:tcPr>
            <w:tcW w:w="1013" w:type="dxa"/>
          </w:tcPr>
          <w:p w:rsidR="006F0842" w:rsidRPr="00E00B35" w:rsidRDefault="006F0842" w:rsidP="00E00B35">
            <w:pPr>
              <w:spacing w:after="0" w:line="312" w:lineRule="auto"/>
              <w:rPr>
                <w:szCs w:val="20"/>
              </w:rPr>
            </w:pPr>
            <w:r w:rsidRPr="00E00B35">
              <w:rPr>
                <w:bCs/>
                <w:szCs w:val="20"/>
              </w:rPr>
              <w:t>1,7</w:t>
            </w:r>
          </w:p>
        </w:tc>
        <w:tc>
          <w:tcPr>
            <w:tcW w:w="1013" w:type="dxa"/>
          </w:tcPr>
          <w:p w:rsidR="006F0842" w:rsidRPr="00E00B35" w:rsidRDefault="006F0842" w:rsidP="00E00B35">
            <w:pPr>
              <w:spacing w:after="0" w:line="312" w:lineRule="auto"/>
              <w:rPr>
                <w:szCs w:val="20"/>
              </w:rPr>
            </w:pPr>
            <w:r w:rsidRPr="00E00B35">
              <w:rPr>
                <w:bCs/>
                <w:szCs w:val="20"/>
              </w:rPr>
              <w:t>49</w:t>
            </w:r>
          </w:p>
        </w:tc>
        <w:tc>
          <w:tcPr>
            <w:tcW w:w="1013" w:type="dxa"/>
          </w:tcPr>
          <w:p w:rsidR="006F0842" w:rsidRPr="00E00B35" w:rsidRDefault="006F0842" w:rsidP="00E00B35">
            <w:pPr>
              <w:spacing w:after="0" w:line="312" w:lineRule="auto"/>
              <w:rPr>
                <w:szCs w:val="20"/>
              </w:rPr>
            </w:pPr>
            <w:r w:rsidRPr="00E00B35">
              <w:rPr>
                <w:bCs/>
                <w:szCs w:val="20"/>
              </w:rPr>
              <w:t>2,3</w:t>
            </w:r>
          </w:p>
        </w:tc>
        <w:tc>
          <w:tcPr>
            <w:tcW w:w="1013" w:type="dxa"/>
          </w:tcPr>
          <w:p w:rsidR="006F0842" w:rsidRPr="00E00B35" w:rsidRDefault="006F0842" w:rsidP="00E00B35">
            <w:pPr>
              <w:spacing w:after="0" w:line="312" w:lineRule="auto"/>
              <w:rPr>
                <w:szCs w:val="20"/>
              </w:rPr>
            </w:pPr>
            <w:r w:rsidRPr="00E00B35">
              <w:rPr>
                <w:bCs/>
                <w:szCs w:val="20"/>
              </w:rPr>
              <w:t>64</w:t>
            </w:r>
          </w:p>
        </w:tc>
        <w:tc>
          <w:tcPr>
            <w:tcW w:w="1013" w:type="dxa"/>
          </w:tcPr>
          <w:p w:rsidR="006F0842" w:rsidRPr="00E00B35" w:rsidRDefault="006F0842" w:rsidP="00E00B35">
            <w:pPr>
              <w:spacing w:after="0" w:line="312" w:lineRule="auto"/>
              <w:rPr>
                <w:szCs w:val="20"/>
              </w:rPr>
            </w:pPr>
            <w:r w:rsidRPr="00E00B35">
              <w:rPr>
                <w:bCs/>
                <w:szCs w:val="20"/>
              </w:rPr>
              <w:t>3,1</w:t>
            </w:r>
          </w:p>
        </w:tc>
      </w:tr>
      <w:tr w:rsidR="006F0842" w:rsidRPr="00E00B35" w:rsidTr="00B86812">
        <w:tc>
          <w:tcPr>
            <w:tcW w:w="1702" w:type="dxa"/>
          </w:tcPr>
          <w:p w:rsidR="006F0842" w:rsidRPr="00E00B35" w:rsidRDefault="006F0842" w:rsidP="00E00B35">
            <w:pPr>
              <w:spacing w:after="0" w:line="312" w:lineRule="auto"/>
              <w:rPr>
                <w:szCs w:val="20"/>
              </w:rPr>
            </w:pPr>
            <w:r w:rsidRPr="00E00B35">
              <w:rPr>
                <w:bCs/>
                <w:szCs w:val="20"/>
              </w:rPr>
              <w:t>Ogółem</w:t>
            </w:r>
          </w:p>
        </w:tc>
        <w:tc>
          <w:tcPr>
            <w:tcW w:w="1012" w:type="dxa"/>
          </w:tcPr>
          <w:p w:rsidR="006F0842" w:rsidRPr="00E00B35" w:rsidRDefault="006F0842" w:rsidP="00E00B35">
            <w:pPr>
              <w:spacing w:after="0" w:line="312" w:lineRule="auto"/>
              <w:rPr>
                <w:szCs w:val="20"/>
              </w:rPr>
            </w:pPr>
            <w:r w:rsidRPr="00E00B35">
              <w:rPr>
                <w:bCs/>
                <w:szCs w:val="20"/>
              </w:rPr>
              <w:t>2 735</w:t>
            </w:r>
          </w:p>
        </w:tc>
        <w:tc>
          <w:tcPr>
            <w:tcW w:w="1013" w:type="dxa"/>
          </w:tcPr>
          <w:p w:rsidR="006F0842" w:rsidRPr="00E00B35" w:rsidRDefault="006F0842" w:rsidP="00E00B35">
            <w:pPr>
              <w:spacing w:after="0" w:line="312" w:lineRule="auto"/>
              <w:rPr>
                <w:szCs w:val="20"/>
              </w:rPr>
            </w:pPr>
            <w:r w:rsidRPr="00E00B35">
              <w:rPr>
                <w:bCs/>
                <w:szCs w:val="20"/>
              </w:rPr>
              <w:t>100</w:t>
            </w:r>
          </w:p>
        </w:tc>
        <w:tc>
          <w:tcPr>
            <w:tcW w:w="1013" w:type="dxa"/>
          </w:tcPr>
          <w:p w:rsidR="006F0842" w:rsidRPr="00E00B35" w:rsidRDefault="006F0842" w:rsidP="00E00B35">
            <w:pPr>
              <w:spacing w:after="0" w:line="312" w:lineRule="auto"/>
              <w:rPr>
                <w:szCs w:val="20"/>
              </w:rPr>
            </w:pPr>
            <w:r w:rsidRPr="00E00B35">
              <w:rPr>
                <w:bCs/>
                <w:szCs w:val="20"/>
              </w:rPr>
              <w:t>2 278</w:t>
            </w:r>
          </w:p>
        </w:tc>
        <w:tc>
          <w:tcPr>
            <w:tcW w:w="1013" w:type="dxa"/>
          </w:tcPr>
          <w:p w:rsidR="006F0842" w:rsidRPr="00E00B35" w:rsidRDefault="006F0842" w:rsidP="00E00B35">
            <w:pPr>
              <w:spacing w:after="0" w:line="312" w:lineRule="auto"/>
              <w:rPr>
                <w:szCs w:val="20"/>
              </w:rPr>
            </w:pPr>
            <w:r w:rsidRPr="00E00B35">
              <w:rPr>
                <w:bCs/>
                <w:szCs w:val="20"/>
              </w:rPr>
              <w:t>100</w:t>
            </w:r>
          </w:p>
        </w:tc>
        <w:tc>
          <w:tcPr>
            <w:tcW w:w="1013" w:type="dxa"/>
          </w:tcPr>
          <w:p w:rsidR="006F0842" w:rsidRPr="00E00B35" w:rsidRDefault="006F0842" w:rsidP="00E00B35">
            <w:pPr>
              <w:spacing w:after="0" w:line="312" w:lineRule="auto"/>
              <w:rPr>
                <w:szCs w:val="20"/>
              </w:rPr>
            </w:pPr>
            <w:r w:rsidRPr="00E00B35">
              <w:rPr>
                <w:bCs/>
                <w:szCs w:val="20"/>
              </w:rPr>
              <w:t>2 148</w:t>
            </w:r>
          </w:p>
        </w:tc>
        <w:tc>
          <w:tcPr>
            <w:tcW w:w="1013" w:type="dxa"/>
          </w:tcPr>
          <w:p w:rsidR="006F0842" w:rsidRPr="00E00B35" w:rsidRDefault="006F0842" w:rsidP="00E00B35">
            <w:pPr>
              <w:spacing w:after="0" w:line="312" w:lineRule="auto"/>
              <w:rPr>
                <w:szCs w:val="20"/>
              </w:rPr>
            </w:pPr>
            <w:r w:rsidRPr="00E00B35">
              <w:rPr>
                <w:bCs/>
                <w:szCs w:val="20"/>
              </w:rPr>
              <w:t>100</w:t>
            </w:r>
          </w:p>
        </w:tc>
        <w:tc>
          <w:tcPr>
            <w:tcW w:w="1013" w:type="dxa"/>
          </w:tcPr>
          <w:p w:rsidR="006F0842" w:rsidRPr="00E00B35" w:rsidRDefault="006F0842" w:rsidP="00E00B35">
            <w:pPr>
              <w:spacing w:after="0" w:line="312" w:lineRule="auto"/>
              <w:rPr>
                <w:szCs w:val="20"/>
              </w:rPr>
            </w:pPr>
            <w:r w:rsidRPr="00E00B35">
              <w:rPr>
                <w:bCs/>
                <w:szCs w:val="20"/>
              </w:rPr>
              <w:t>2 059</w:t>
            </w:r>
          </w:p>
        </w:tc>
        <w:tc>
          <w:tcPr>
            <w:tcW w:w="1013" w:type="dxa"/>
          </w:tcPr>
          <w:p w:rsidR="006F0842" w:rsidRPr="00E00B35" w:rsidRDefault="006F0842" w:rsidP="00E00B35">
            <w:pPr>
              <w:spacing w:after="0" w:line="312" w:lineRule="auto"/>
              <w:rPr>
                <w:szCs w:val="20"/>
              </w:rPr>
            </w:pPr>
            <w:r w:rsidRPr="00E00B35">
              <w:rPr>
                <w:bCs/>
                <w:szCs w:val="20"/>
              </w:rPr>
              <w:t>100</w:t>
            </w:r>
          </w:p>
        </w:tc>
      </w:tr>
    </w:tbl>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lastRenderedPageBreak/>
        <w:t xml:space="preserve">Wydane w ubiegłym roku akty </w:t>
      </w:r>
      <w:r w:rsidRPr="00E00B35">
        <w:rPr>
          <w:b/>
          <w:szCs w:val="20"/>
        </w:rPr>
        <w:t>wewnętrzne kierownika urzędu</w:t>
      </w:r>
      <w:r w:rsidRPr="00E00B35">
        <w:rPr>
          <w:szCs w:val="20"/>
        </w:rPr>
        <w:t xml:space="preserve"> w 50% przedmiotowo dotyczą spraw </w:t>
      </w:r>
      <w:r w:rsidRPr="00E00B35">
        <w:rPr>
          <w:b/>
          <w:szCs w:val="20"/>
        </w:rPr>
        <w:t>organizacji i zarządzania</w:t>
      </w:r>
      <w:r w:rsidRPr="00E00B35">
        <w:rPr>
          <w:szCs w:val="20"/>
        </w:rPr>
        <w:t xml:space="preserve"> – to m.in. nowe uregulowania Zintegrowanego Systemu Zarządzania i Wewnętrznego Audytu, organizacji obsługi klientów, obsługi prawnej w Urzędzie, zasad postępowania ze skargami i wnioskami, Instrukcji prowadzenia Biuletynu Informacji Publicznej i trybu udostępniania informacji publicznej oraz informacji sektora publicznego do ponownego wykorzystywania, Systemu Identyfikacji Wizualnej, przetwarzania danych osobowych, Polityki Ochrony Danych Osobowych i Bezpieczeństwa Informacji, obiegu dokumentów dot. umów zleceń i umów o dzieło, procedury przygotowywania projektów uchwał, Regulaminu zamówień publicznych.</w:t>
      </w:r>
    </w:p>
    <w:p w:rsidR="006F0842" w:rsidRPr="00E00B35" w:rsidRDefault="006F0842" w:rsidP="00E00B35">
      <w:pPr>
        <w:spacing w:after="0" w:line="312" w:lineRule="auto"/>
        <w:rPr>
          <w:szCs w:val="20"/>
        </w:rPr>
      </w:pPr>
      <w:r w:rsidRPr="00E00B35">
        <w:rPr>
          <w:szCs w:val="20"/>
        </w:rPr>
        <w:t xml:space="preserve">Sprawy </w:t>
      </w:r>
      <w:r w:rsidRPr="00E00B35">
        <w:rPr>
          <w:b/>
          <w:szCs w:val="20"/>
        </w:rPr>
        <w:t>pracownicze</w:t>
      </w:r>
      <w:r w:rsidRPr="00E00B35">
        <w:rPr>
          <w:szCs w:val="20"/>
        </w:rPr>
        <w:t xml:space="preserve"> stanowią przedmiot 33, 3% zarządzeń kierownika i dotyczą przede wszystkim BHP, pracy zdalnej, Pracowniczych Planów Kapitałowych, czasu pracy, służby przygotowawczej, regulaminów: Zakładowego Funduszu Świadczeń Socjalnych, wynagradzania, naboru na wolne stanowiska urzędnicze. </w:t>
      </w:r>
    </w:p>
    <w:p w:rsidR="006F0842" w:rsidRPr="00E00B35" w:rsidRDefault="006F0842" w:rsidP="00E00B35">
      <w:pPr>
        <w:spacing w:after="0" w:line="312" w:lineRule="auto"/>
        <w:rPr>
          <w:szCs w:val="20"/>
        </w:rPr>
      </w:pPr>
      <w:r w:rsidRPr="00E00B35">
        <w:rPr>
          <w:szCs w:val="20"/>
        </w:rPr>
        <w:t xml:space="preserve">Pozostałe 16,7% regulacji wewnętrznych obejmują zagadnienia </w:t>
      </w:r>
      <w:r w:rsidRPr="00E00B35">
        <w:rPr>
          <w:b/>
          <w:szCs w:val="20"/>
        </w:rPr>
        <w:t>finansów i rachunkowości</w:t>
      </w:r>
      <w:r w:rsidRPr="00E00B35">
        <w:rPr>
          <w:szCs w:val="20"/>
        </w:rPr>
        <w:t xml:space="preserve"> i odnoszą się do procedury ewidencji, poboru, księgowania i egzekucji podatków, opłat niepodatkowych, obiegu dokumentów finansowo-księgowych, zasad weryfikacji zadań do realizacji, inwentaryzacji.</w:t>
      </w:r>
    </w:p>
    <w:p w:rsidR="006F0842" w:rsidRPr="00E00B35" w:rsidRDefault="006F0842" w:rsidP="00E00B35">
      <w:pPr>
        <w:spacing w:after="0" w:line="312" w:lineRule="auto"/>
        <w:rPr>
          <w:szCs w:val="20"/>
        </w:rPr>
      </w:pPr>
      <w:r w:rsidRPr="00E00B35">
        <w:rPr>
          <w:szCs w:val="20"/>
        </w:rPr>
        <w:t>Wewnętrzne akty kierownika urzędu w podziale tematycznym w porównaniu do lat poprzednich</w:t>
      </w:r>
    </w:p>
    <w:p w:rsidR="001E1346" w:rsidRPr="00E00B35" w:rsidRDefault="001E1346" w:rsidP="00E00B35">
      <w:pPr>
        <w:spacing w:after="0" w:line="312" w:lineRule="auto"/>
        <w:rPr>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2"/>
        <w:gridCol w:w="1013"/>
        <w:gridCol w:w="851"/>
        <w:gridCol w:w="1013"/>
        <w:gridCol w:w="851"/>
        <w:gridCol w:w="1013"/>
        <w:gridCol w:w="851"/>
        <w:gridCol w:w="1013"/>
        <w:gridCol w:w="851"/>
      </w:tblGrid>
      <w:tr w:rsidR="006F0842" w:rsidRPr="00E00B35" w:rsidTr="00CD5048">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6F0842" w:rsidRPr="00E00B35" w:rsidRDefault="006F0842" w:rsidP="00E00B35">
            <w:pPr>
              <w:spacing w:after="0" w:line="312" w:lineRule="auto"/>
              <w:rPr>
                <w:szCs w:val="20"/>
              </w:rPr>
            </w:pPr>
            <w:r w:rsidRPr="00E00B35">
              <w:rPr>
                <w:szCs w:val="20"/>
              </w:rPr>
              <w:t>Podział tematyczny</w:t>
            </w:r>
          </w:p>
        </w:tc>
        <w:tc>
          <w:tcPr>
            <w:tcW w:w="0" w:type="auto"/>
            <w:tcBorders>
              <w:top w:val="single" w:sz="4" w:space="0" w:color="auto"/>
              <w:left w:val="single" w:sz="4" w:space="0" w:color="auto"/>
              <w:bottom w:val="single" w:sz="4" w:space="0" w:color="auto"/>
              <w:right w:val="single" w:sz="4" w:space="0" w:color="auto"/>
            </w:tcBorders>
          </w:tcPr>
          <w:p w:rsidR="006F0842" w:rsidRPr="00E00B35" w:rsidRDefault="006F0842" w:rsidP="00E00B35">
            <w:pPr>
              <w:spacing w:after="0" w:line="312" w:lineRule="auto"/>
              <w:rPr>
                <w:szCs w:val="20"/>
              </w:rPr>
            </w:pPr>
            <w:r w:rsidRPr="00E00B35">
              <w:rPr>
                <w:szCs w:val="20"/>
              </w:rPr>
              <w:t>Liczba w 2017 r.</w:t>
            </w:r>
          </w:p>
        </w:tc>
        <w:tc>
          <w:tcPr>
            <w:tcW w:w="0" w:type="auto"/>
            <w:tcBorders>
              <w:top w:val="single" w:sz="4" w:space="0" w:color="auto"/>
              <w:left w:val="single" w:sz="4" w:space="0" w:color="auto"/>
              <w:bottom w:val="single" w:sz="4" w:space="0" w:color="auto"/>
              <w:right w:val="single" w:sz="4" w:space="0" w:color="auto"/>
            </w:tcBorders>
          </w:tcPr>
          <w:p w:rsidR="006F0842" w:rsidRPr="00E00B35" w:rsidRDefault="006F0842" w:rsidP="00E00B35">
            <w:pPr>
              <w:spacing w:after="0" w:line="312" w:lineRule="auto"/>
              <w:rPr>
                <w:szCs w:val="20"/>
              </w:rPr>
            </w:pPr>
            <w:r w:rsidRPr="00E00B35">
              <w:rPr>
                <w:szCs w:val="20"/>
              </w:rPr>
              <w:t>% w 2017 r.</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0842" w:rsidRPr="00E00B35" w:rsidRDefault="006F0842" w:rsidP="00E00B35">
            <w:pPr>
              <w:spacing w:after="0" w:line="312" w:lineRule="auto"/>
              <w:rPr>
                <w:szCs w:val="20"/>
              </w:rPr>
            </w:pPr>
            <w:r w:rsidRPr="00E00B35">
              <w:rPr>
                <w:szCs w:val="20"/>
              </w:rPr>
              <w:t>Liczba w 2018 r.</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0842" w:rsidRPr="00E00B35" w:rsidRDefault="006F0842" w:rsidP="00E00B35">
            <w:pPr>
              <w:spacing w:after="0" w:line="312" w:lineRule="auto"/>
              <w:rPr>
                <w:szCs w:val="20"/>
              </w:rPr>
            </w:pPr>
            <w:r w:rsidRPr="00E00B35">
              <w:rPr>
                <w:szCs w:val="20"/>
              </w:rPr>
              <w:t>% w 2018 r.</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0842" w:rsidRPr="00E00B35" w:rsidRDefault="006F0842" w:rsidP="00E00B35">
            <w:pPr>
              <w:spacing w:after="0" w:line="312" w:lineRule="auto"/>
              <w:rPr>
                <w:szCs w:val="20"/>
              </w:rPr>
            </w:pPr>
            <w:r w:rsidRPr="00E00B35">
              <w:rPr>
                <w:szCs w:val="20"/>
              </w:rPr>
              <w:t>Liczba w 2019 r.</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0842" w:rsidRPr="00E00B35" w:rsidRDefault="006F0842" w:rsidP="00E00B35">
            <w:pPr>
              <w:spacing w:after="0" w:line="312" w:lineRule="auto"/>
              <w:rPr>
                <w:szCs w:val="20"/>
              </w:rPr>
            </w:pPr>
            <w:r w:rsidRPr="00E00B35">
              <w:rPr>
                <w:szCs w:val="20"/>
              </w:rPr>
              <w:t>% w 2019 r.</w:t>
            </w:r>
          </w:p>
        </w:tc>
        <w:tc>
          <w:tcPr>
            <w:tcW w:w="0" w:type="auto"/>
            <w:tcBorders>
              <w:top w:val="single" w:sz="4" w:space="0" w:color="auto"/>
              <w:left w:val="single" w:sz="4" w:space="0" w:color="auto"/>
              <w:bottom w:val="single" w:sz="4" w:space="0" w:color="auto"/>
              <w:right w:val="single" w:sz="4" w:space="0" w:color="auto"/>
            </w:tcBorders>
          </w:tcPr>
          <w:p w:rsidR="006F0842" w:rsidRPr="00E00B35" w:rsidRDefault="006F0842" w:rsidP="00E00B35">
            <w:pPr>
              <w:spacing w:after="0" w:line="312" w:lineRule="auto"/>
              <w:rPr>
                <w:szCs w:val="20"/>
              </w:rPr>
            </w:pPr>
            <w:r w:rsidRPr="00E00B35">
              <w:rPr>
                <w:szCs w:val="20"/>
              </w:rPr>
              <w:t>Liczba w 2020 r.</w:t>
            </w:r>
          </w:p>
        </w:tc>
        <w:tc>
          <w:tcPr>
            <w:tcW w:w="0" w:type="auto"/>
            <w:tcBorders>
              <w:top w:val="single" w:sz="4" w:space="0" w:color="auto"/>
              <w:left w:val="single" w:sz="4" w:space="0" w:color="auto"/>
              <w:bottom w:val="single" w:sz="4" w:space="0" w:color="auto"/>
              <w:right w:val="single" w:sz="4" w:space="0" w:color="auto"/>
            </w:tcBorders>
          </w:tcPr>
          <w:p w:rsidR="006F0842" w:rsidRPr="00E00B35" w:rsidRDefault="006F0842" w:rsidP="00E00B35">
            <w:pPr>
              <w:spacing w:after="0" w:line="312" w:lineRule="auto"/>
              <w:rPr>
                <w:szCs w:val="20"/>
              </w:rPr>
            </w:pPr>
            <w:r w:rsidRPr="00E00B35">
              <w:rPr>
                <w:szCs w:val="20"/>
              </w:rPr>
              <w:t>% w 2020 r.</w:t>
            </w:r>
          </w:p>
        </w:tc>
      </w:tr>
      <w:tr w:rsidR="006F0842" w:rsidRPr="00E00B35" w:rsidTr="00CD5048">
        <w:trPr>
          <w:jc w:val="center"/>
        </w:trPr>
        <w:tc>
          <w:tcPr>
            <w:tcW w:w="0" w:type="auto"/>
            <w:tcBorders>
              <w:top w:val="single" w:sz="4" w:space="0" w:color="auto"/>
            </w:tcBorders>
            <w:shd w:val="clear" w:color="auto" w:fill="auto"/>
          </w:tcPr>
          <w:p w:rsidR="006F0842" w:rsidRPr="00E00B35" w:rsidRDefault="006F0842" w:rsidP="00E00B35">
            <w:pPr>
              <w:spacing w:after="0" w:line="312" w:lineRule="auto"/>
              <w:rPr>
                <w:szCs w:val="20"/>
              </w:rPr>
            </w:pPr>
            <w:r w:rsidRPr="00E00B35">
              <w:rPr>
                <w:szCs w:val="20"/>
              </w:rPr>
              <w:t>Organizacja i zarządzanie</w:t>
            </w:r>
          </w:p>
        </w:tc>
        <w:tc>
          <w:tcPr>
            <w:tcW w:w="0" w:type="auto"/>
            <w:tcBorders>
              <w:top w:val="single" w:sz="4" w:space="0" w:color="auto"/>
            </w:tcBorders>
          </w:tcPr>
          <w:p w:rsidR="006F0842" w:rsidRPr="00E00B35" w:rsidRDefault="006F0842" w:rsidP="00E00B35">
            <w:pPr>
              <w:spacing w:after="0" w:line="312" w:lineRule="auto"/>
              <w:rPr>
                <w:szCs w:val="20"/>
              </w:rPr>
            </w:pPr>
            <w:r w:rsidRPr="00E00B35">
              <w:rPr>
                <w:szCs w:val="20"/>
              </w:rPr>
              <w:t>31</w:t>
            </w:r>
          </w:p>
        </w:tc>
        <w:tc>
          <w:tcPr>
            <w:tcW w:w="0" w:type="auto"/>
            <w:tcBorders>
              <w:top w:val="single" w:sz="4" w:space="0" w:color="auto"/>
            </w:tcBorders>
          </w:tcPr>
          <w:p w:rsidR="006F0842" w:rsidRPr="00E00B35" w:rsidRDefault="006F0842" w:rsidP="00E00B35">
            <w:pPr>
              <w:spacing w:after="0" w:line="312" w:lineRule="auto"/>
              <w:rPr>
                <w:szCs w:val="20"/>
              </w:rPr>
            </w:pPr>
            <w:r w:rsidRPr="00E00B35">
              <w:rPr>
                <w:szCs w:val="20"/>
              </w:rPr>
              <w:t>59,6</w:t>
            </w:r>
          </w:p>
        </w:tc>
        <w:tc>
          <w:tcPr>
            <w:tcW w:w="0" w:type="auto"/>
            <w:tcBorders>
              <w:top w:val="single" w:sz="4" w:space="0" w:color="auto"/>
            </w:tcBorders>
          </w:tcPr>
          <w:p w:rsidR="006F0842" w:rsidRPr="00E00B35" w:rsidRDefault="006F0842" w:rsidP="00E00B35">
            <w:pPr>
              <w:spacing w:after="0" w:line="312" w:lineRule="auto"/>
              <w:rPr>
                <w:szCs w:val="20"/>
              </w:rPr>
            </w:pPr>
            <w:r w:rsidRPr="00E00B35">
              <w:rPr>
                <w:szCs w:val="20"/>
              </w:rPr>
              <w:t>31</w:t>
            </w:r>
          </w:p>
        </w:tc>
        <w:tc>
          <w:tcPr>
            <w:tcW w:w="0" w:type="auto"/>
            <w:tcBorders>
              <w:top w:val="single" w:sz="4" w:space="0" w:color="auto"/>
            </w:tcBorders>
          </w:tcPr>
          <w:p w:rsidR="006F0842" w:rsidRPr="00E00B35" w:rsidRDefault="006F0842" w:rsidP="00E00B35">
            <w:pPr>
              <w:spacing w:after="0" w:line="312" w:lineRule="auto"/>
              <w:rPr>
                <w:szCs w:val="20"/>
              </w:rPr>
            </w:pPr>
            <w:r w:rsidRPr="00E00B35">
              <w:rPr>
                <w:szCs w:val="20"/>
              </w:rPr>
              <w:t>63,3</w:t>
            </w:r>
          </w:p>
        </w:tc>
        <w:tc>
          <w:tcPr>
            <w:tcW w:w="0" w:type="auto"/>
            <w:tcBorders>
              <w:top w:val="single" w:sz="4" w:space="0" w:color="auto"/>
            </w:tcBorders>
            <w:shd w:val="clear" w:color="auto" w:fill="auto"/>
          </w:tcPr>
          <w:p w:rsidR="006F0842" w:rsidRPr="00E00B35" w:rsidRDefault="006F0842" w:rsidP="00E00B35">
            <w:pPr>
              <w:spacing w:after="0" w:line="312" w:lineRule="auto"/>
              <w:rPr>
                <w:szCs w:val="20"/>
              </w:rPr>
            </w:pPr>
            <w:r w:rsidRPr="00E00B35">
              <w:rPr>
                <w:szCs w:val="20"/>
              </w:rPr>
              <w:t>20</w:t>
            </w:r>
          </w:p>
        </w:tc>
        <w:tc>
          <w:tcPr>
            <w:tcW w:w="0" w:type="auto"/>
            <w:tcBorders>
              <w:top w:val="single" w:sz="4" w:space="0" w:color="auto"/>
            </w:tcBorders>
            <w:shd w:val="clear" w:color="auto" w:fill="auto"/>
          </w:tcPr>
          <w:p w:rsidR="006F0842" w:rsidRPr="00E00B35" w:rsidRDefault="006F0842" w:rsidP="00E00B35">
            <w:pPr>
              <w:spacing w:after="0" w:line="312" w:lineRule="auto"/>
              <w:rPr>
                <w:szCs w:val="20"/>
              </w:rPr>
            </w:pPr>
            <w:r w:rsidRPr="00E00B35">
              <w:rPr>
                <w:szCs w:val="20"/>
              </w:rPr>
              <w:t>51,3</w:t>
            </w:r>
          </w:p>
        </w:tc>
        <w:tc>
          <w:tcPr>
            <w:tcW w:w="0" w:type="auto"/>
            <w:tcBorders>
              <w:top w:val="single" w:sz="4" w:space="0" w:color="auto"/>
            </w:tcBorders>
          </w:tcPr>
          <w:p w:rsidR="006F0842" w:rsidRPr="00E00B35" w:rsidRDefault="006F0842" w:rsidP="00E00B35">
            <w:pPr>
              <w:spacing w:after="0" w:line="312" w:lineRule="auto"/>
              <w:rPr>
                <w:szCs w:val="20"/>
              </w:rPr>
            </w:pPr>
            <w:r w:rsidRPr="00E00B35">
              <w:rPr>
                <w:szCs w:val="20"/>
              </w:rPr>
              <w:t>21*</w:t>
            </w:r>
          </w:p>
        </w:tc>
        <w:tc>
          <w:tcPr>
            <w:tcW w:w="0" w:type="auto"/>
            <w:tcBorders>
              <w:top w:val="single" w:sz="4" w:space="0" w:color="auto"/>
            </w:tcBorders>
          </w:tcPr>
          <w:p w:rsidR="006F0842" w:rsidRPr="00E00B35" w:rsidRDefault="006F0842" w:rsidP="00E00B35">
            <w:pPr>
              <w:spacing w:after="0" w:line="312" w:lineRule="auto"/>
              <w:rPr>
                <w:szCs w:val="20"/>
              </w:rPr>
            </w:pPr>
            <w:r w:rsidRPr="00E00B35">
              <w:rPr>
                <w:szCs w:val="20"/>
              </w:rPr>
              <w:t>50,0</w:t>
            </w:r>
          </w:p>
        </w:tc>
      </w:tr>
      <w:tr w:rsidR="006F0842" w:rsidRPr="00E00B35" w:rsidTr="00CD5048">
        <w:trPr>
          <w:jc w:val="center"/>
        </w:trPr>
        <w:tc>
          <w:tcPr>
            <w:tcW w:w="0" w:type="auto"/>
            <w:shd w:val="clear" w:color="auto" w:fill="auto"/>
          </w:tcPr>
          <w:p w:rsidR="006F0842" w:rsidRPr="00E00B35" w:rsidRDefault="006F0842" w:rsidP="00E00B35">
            <w:pPr>
              <w:spacing w:after="0" w:line="312" w:lineRule="auto"/>
              <w:rPr>
                <w:szCs w:val="20"/>
              </w:rPr>
            </w:pPr>
            <w:r w:rsidRPr="00E00B35">
              <w:rPr>
                <w:szCs w:val="20"/>
              </w:rPr>
              <w:t xml:space="preserve">Sprawy pracownicze </w:t>
            </w:r>
          </w:p>
        </w:tc>
        <w:tc>
          <w:tcPr>
            <w:tcW w:w="0" w:type="auto"/>
          </w:tcPr>
          <w:p w:rsidR="006F0842" w:rsidRPr="00E00B35" w:rsidRDefault="006F0842" w:rsidP="00E00B35">
            <w:pPr>
              <w:spacing w:after="0" w:line="312" w:lineRule="auto"/>
              <w:rPr>
                <w:szCs w:val="20"/>
              </w:rPr>
            </w:pPr>
            <w:r w:rsidRPr="00E00B35">
              <w:rPr>
                <w:szCs w:val="20"/>
              </w:rPr>
              <w:t>17</w:t>
            </w:r>
          </w:p>
        </w:tc>
        <w:tc>
          <w:tcPr>
            <w:tcW w:w="0" w:type="auto"/>
          </w:tcPr>
          <w:p w:rsidR="006F0842" w:rsidRPr="00E00B35" w:rsidRDefault="006F0842" w:rsidP="00E00B35">
            <w:pPr>
              <w:spacing w:after="0" w:line="312" w:lineRule="auto"/>
              <w:rPr>
                <w:szCs w:val="20"/>
              </w:rPr>
            </w:pPr>
            <w:r w:rsidRPr="00E00B35">
              <w:rPr>
                <w:szCs w:val="20"/>
              </w:rPr>
              <w:t>32,7</w:t>
            </w:r>
          </w:p>
        </w:tc>
        <w:tc>
          <w:tcPr>
            <w:tcW w:w="0" w:type="auto"/>
          </w:tcPr>
          <w:p w:rsidR="006F0842" w:rsidRPr="00E00B35" w:rsidRDefault="006F0842" w:rsidP="00E00B35">
            <w:pPr>
              <w:spacing w:after="0" w:line="312" w:lineRule="auto"/>
              <w:rPr>
                <w:szCs w:val="20"/>
              </w:rPr>
            </w:pPr>
            <w:r w:rsidRPr="00E00B35">
              <w:rPr>
                <w:szCs w:val="20"/>
              </w:rPr>
              <w:t>13</w:t>
            </w:r>
          </w:p>
        </w:tc>
        <w:tc>
          <w:tcPr>
            <w:tcW w:w="0" w:type="auto"/>
          </w:tcPr>
          <w:p w:rsidR="006F0842" w:rsidRPr="00E00B35" w:rsidRDefault="006F0842" w:rsidP="00E00B35">
            <w:pPr>
              <w:spacing w:after="0" w:line="312" w:lineRule="auto"/>
              <w:rPr>
                <w:szCs w:val="20"/>
              </w:rPr>
            </w:pPr>
            <w:r w:rsidRPr="00E00B35">
              <w:rPr>
                <w:szCs w:val="20"/>
              </w:rPr>
              <w:t>26,5</w:t>
            </w:r>
          </w:p>
        </w:tc>
        <w:tc>
          <w:tcPr>
            <w:tcW w:w="0" w:type="auto"/>
            <w:shd w:val="clear" w:color="auto" w:fill="auto"/>
          </w:tcPr>
          <w:p w:rsidR="006F0842" w:rsidRPr="00E00B35" w:rsidRDefault="006F0842" w:rsidP="00E00B35">
            <w:pPr>
              <w:spacing w:after="0" w:line="312" w:lineRule="auto"/>
              <w:rPr>
                <w:szCs w:val="20"/>
              </w:rPr>
            </w:pPr>
            <w:r w:rsidRPr="00E00B35">
              <w:rPr>
                <w:szCs w:val="20"/>
              </w:rPr>
              <w:t>14</w:t>
            </w:r>
          </w:p>
        </w:tc>
        <w:tc>
          <w:tcPr>
            <w:tcW w:w="0" w:type="auto"/>
            <w:shd w:val="clear" w:color="auto" w:fill="auto"/>
          </w:tcPr>
          <w:p w:rsidR="006F0842" w:rsidRPr="00E00B35" w:rsidRDefault="006F0842" w:rsidP="00E00B35">
            <w:pPr>
              <w:spacing w:after="0" w:line="312" w:lineRule="auto"/>
              <w:rPr>
                <w:szCs w:val="20"/>
              </w:rPr>
            </w:pPr>
            <w:r w:rsidRPr="00E00B35">
              <w:rPr>
                <w:szCs w:val="20"/>
              </w:rPr>
              <w:t>35,9</w:t>
            </w:r>
          </w:p>
        </w:tc>
        <w:tc>
          <w:tcPr>
            <w:tcW w:w="0" w:type="auto"/>
          </w:tcPr>
          <w:p w:rsidR="006F0842" w:rsidRPr="00E00B35" w:rsidRDefault="006F0842" w:rsidP="00E00B35">
            <w:pPr>
              <w:spacing w:after="0" w:line="312" w:lineRule="auto"/>
              <w:rPr>
                <w:szCs w:val="20"/>
              </w:rPr>
            </w:pPr>
            <w:r w:rsidRPr="00E00B35">
              <w:rPr>
                <w:szCs w:val="20"/>
              </w:rPr>
              <w:t>14</w:t>
            </w:r>
          </w:p>
        </w:tc>
        <w:tc>
          <w:tcPr>
            <w:tcW w:w="0" w:type="auto"/>
          </w:tcPr>
          <w:p w:rsidR="006F0842" w:rsidRPr="00E00B35" w:rsidRDefault="006F0842" w:rsidP="00E00B35">
            <w:pPr>
              <w:spacing w:after="0" w:line="312" w:lineRule="auto"/>
              <w:rPr>
                <w:szCs w:val="20"/>
              </w:rPr>
            </w:pPr>
            <w:r w:rsidRPr="00E00B35">
              <w:rPr>
                <w:szCs w:val="20"/>
              </w:rPr>
              <w:t>33,3</w:t>
            </w:r>
          </w:p>
        </w:tc>
      </w:tr>
      <w:tr w:rsidR="006F0842" w:rsidRPr="00E00B35" w:rsidTr="00CD5048">
        <w:trPr>
          <w:jc w:val="center"/>
        </w:trPr>
        <w:tc>
          <w:tcPr>
            <w:tcW w:w="0" w:type="auto"/>
            <w:tcBorders>
              <w:bottom w:val="single" w:sz="4" w:space="0" w:color="auto"/>
            </w:tcBorders>
            <w:shd w:val="clear" w:color="auto" w:fill="auto"/>
          </w:tcPr>
          <w:p w:rsidR="006F0842" w:rsidRPr="00E00B35" w:rsidRDefault="006F0842" w:rsidP="00E00B35">
            <w:pPr>
              <w:spacing w:after="0" w:line="312" w:lineRule="auto"/>
              <w:rPr>
                <w:szCs w:val="20"/>
              </w:rPr>
            </w:pPr>
            <w:r w:rsidRPr="00E00B35">
              <w:rPr>
                <w:szCs w:val="20"/>
              </w:rPr>
              <w:t>Finanse i rachunkowość</w:t>
            </w:r>
          </w:p>
        </w:tc>
        <w:tc>
          <w:tcPr>
            <w:tcW w:w="0" w:type="auto"/>
            <w:tcBorders>
              <w:bottom w:val="single" w:sz="4" w:space="0" w:color="auto"/>
            </w:tcBorders>
          </w:tcPr>
          <w:p w:rsidR="006F0842" w:rsidRPr="00E00B35" w:rsidRDefault="006F0842" w:rsidP="00E00B35">
            <w:pPr>
              <w:spacing w:after="0" w:line="312" w:lineRule="auto"/>
              <w:rPr>
                <w:szCs w:val="20"/>
              </w:rPr>
            </w:pPr>
            <w:r w:rsidRPr="00E00B35">
              <w:rPr>
                <w:szCs w:val="20"/>
              </w:rPr>
              <w:t>4</w:t>
            </w:r>
          </w:p>
        </w:tc>
        <w:tc>
          <w:tcPr>
            <w:tcW w:w="0" w:type="auto"/>
            <w:tcBorders>
              <w:bottom w:val="single" w:sz="4" w:space="0" w:color="auto"/>
            </w:tcBorders>
          </w:tcPr>
          <w:p w:rsidR="006F0842" w:rsidRPr="00E00B35" w:rsidRDefault="006F0842" w:rsidP="00E00B35">
            <w:pPr>
              <w:spacing w:after="0" w:line="312" w:lineRule="auto"/>
              <w:rPr>
                <w:szCs w:val="20"/>
              </w:rPr>
            </w:pPr>
            <w:r w:rsidRPr="00E00B35">
              <w:rPr>
                <w:szCs w:val="20"/>
              </w:rPr>
              <w:t>7,7</w:t>
            </w:r>
          </w:p>
        </w:tc>
        <w:tc>
          <w:tcPr>
            <w:tcW w:w="0" w:type="auto"/>
            <w:tcBorders>
              <w:bottom w:val="single" w:sz="4" w:space="0" w:color="auto"/>
            </w:tcBorders>
          </w:tcPr>
          <w:p w:rsidR="006F0842" w:rsidRPr="00E00B35" w:rsidRDefault="006F0842" w:rsidP="00E00B35">
            <w:pPr>
              <w:spacing w:after="0" w:line="312" w:lineRule="auto"/>
              <w:rPr>
                <w:szCs w:val="20"/>
              </w:rPr>
            </w:pPr>
            <w:r w:rsidRPr="00E00B35">
              <w:rPr>
                <w:szCs w:val="20"/>
              </w:rPr>
              <w:t>5</w:t>
            </w:r>
          </w:p>
        </w:tc>
        <w:tc>
          <w:tcPr>
            <w:tcW w:w="0" w:type="auto"/>
            <w:tcBorders>
              <w:bottom w:val="single" w:sz="4" w:space="0" w:color="auto"/>
            </w:tcBorders>
          </w:tcPr>
          <w:p w:rsidR="006F0842" w:rsidRPr="00E00B35" w:rsidRDefault="006F0842" w:rsidP="00E00B35">
            <w:pPr>
              <w:spacing w:after="0" w:line="312" w:lineRule="auto"/>
              <w:rPr>
                <w:szCs w:val="20"/>
              </w:rPr>
            </w:pPr>
            <w:r w:rsidRPr="00E00B35">
              <w:rPr>
                <w:szCs w:val="20"/>
              </w:rPr>
              <w:t>10,2</w:t>
            </w:r>
          </w:p>
        </w:tc>
        <w:tc>
          <w:tcPr>
            <w:tcW w:w="0" w:type="auto"/>
            <w:tcBorders>
              <w:bottom w:val="single" w:sz="4" w:space="0" w:color="auto"/>
            </w:tcBorders>
            <w:shd w:val="clear" w:color="auto" w:fill="auto"/>
          </w:tcPr>
          <w:p w:rsidR="006F0842" w:rsidRPr="00E00B35" w:rsidRDefault="006F0842" w:rsidP="00E00B35">
            <w:pPr>
              <w:spacing w:after="0" w:line="312" w:lineRule="auto"/>
              <w:rPr>
                <w:szCs w:val="20"/>
              </w:rPr>
            </w:pPr>
            <w:r w:rsidRPr="00E00B35">
              <w:rPr>
                <w:szCs w:val="20"/>
              </w:rPr>
              <w:t>5</w:t>
            </w:r>
          </w:p>
        </w:tc>
        <w:tc>
          <w:tcPr>
            <w:tcW w:w="0" w:type="auto"/>
            <w:tcBorders>
              <w:bottom w:val="single" w:sz="4" w:space="0" w:color="auto"/>
            </w:tcBorders>
            <w:shd w:val="clear" w:color="auto" w:fill="auto"/>
          </w:tcPr>
          <w:p w:rsidR="006F0842" w:rsidRPr="00E00B35" w:rsidRDefault="006F0842" w:rsidP="00E00B35">
            <w:pPr>
              <w:spacing w:after="0" w:line="312" w:lineRule="auto"/>
              <w:rPr>
                <w:szCs w:val="20"/>
              </w:rPr>
            </w:pPr>
            <w:r w:rsidRPr="00E00B35">
              <w:rPr>
                <w:szCs w:val="20"/>
              </w:rPr>
              <w:t>12,8</w:t>
            </w:r>
          </w:p>
        </w:tc>
        <w:tc>
          <w:tcPr>
            <w:tcW w:w="0" w:type="auto"/>
            <w:tcBorders>
              <w:bottom w:val="single" w:sz="4" w:space="0" w:color="auto"/>
            </w:tcBorders>
          </w:tcPr>
          <w:p w:rsidR="006F0842" w:rsidRPr="00E00B35" w:rsidRDefault="006F0842" w:rsidP="00E00B35">
            <w:pPr>
              <w:spacing w:after="0" w:line="312" w:lineRule="auto"/>
              <w:rPr>
                <w:szCs w:val="20"/>
              </w:rPr>
            </w:pPr>
            <w:r w:rsidRPr="00E00B35">
              <w:rPr>
                <w:szCs w:val="20"/>
              </w:rPr>
              <w:t>7</w:t>
            </w:r>
          </w:p>
        </w:tc>
        <w:tc>
          <w:tcPr>
            <w:tcW w:w="0" w:type="auto"/>
            <w:tcBorders>
              <w:bottom w:val="single" w:sz="4" w:space="0" w:color="auto"/>
            </w:tcBorders>
          </w:tcPr>
          <w:p w:rsidR="006F0842" w:rsidRPr="00E00B35" w:rsidRDefault="006F0842" w:rsidP="00E00B35">
            <w:pPr>
              <w:spacing w:after="0" w:line="312" w:lineRule="auto"/>
              <w:rPr>
                <w:szCs w:val="20"/>
              </w:rPr>
            </w:pPr>
            <w:r w:rsidRPr="00E00B35">
              <w:rPr>
                <w:szCs w:val="20"/>
              </w:rPr>
              <w:t>16,7</w:t>
            </w:r>
          </w:p>
        </w:tc>
      </w:tr>
      <w:tr w:rsidR="006F0842" w:rsidRPr="00E00B35" w:rsidTr="00CD5048">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6F0842" w:rsidRPr="00E00B35" w:rsidRDefault="006F0842" w:rsidP="00E00B35">
            <w:pPr>
              <w:spacing w:after="0" w:line="312" w:lineRule="auto"/>
              <w:rPr>
                <w:szCs w:val="20"/>
              </w:rPr>
            </w:pPr>
            <w:r w:rsidRPr="00E00B35">
              <w:rPr>
                <w:szCs w:val="20"/>
              </w:rPr>
              <w:t>Ogółem</w:t>
            </w:r>
          </w:p>
        </w:tc>
        <w:tc>
          <w:tcPr>
            <w:tcW w:w="0" w:type="auto"/>
            <w:tcBorders>
              <w:top w:val="single" w:sz="4" w:space="0" w:color="auto"/>
              <w:left w:val="single" w:sz="4" w:space="0" w:color="auto"/>
              <w:bottom w:val="single" w:sz="4" w:space="0" w:color="auto"/>
              <w:right w:val="single" w:sz="4" w:space="0" w:color="auto"/>
            </w:tcBorders>
          </w:tcPr>
          <w:p w:rsidR="006F0842" w:rsidRPr="00E00B35" w:rsidRDefault="006F0842" w:rsidP="00E00B35">
            <w:pPr>
              <w:spacing w:after="0" w:line="312" w:lineRule="auto"/>
              <w:rPr>
                <w:szCs w:val="20"/>
              </w:rPr>
            </w:pPr>
            <w:r w:rsidRPr="00E00B35">
              <w:rPr>
                <w:szCs w:val="20"/>
              </w:rPr>
              <w:t>52</w:t>
            </w:r>
          </w:p>
        </w:tc>
        <w:tc>
          <w:tcPr>
            <w:tcW w:w="0" w:type="auto"/>
            <w:tcBorders>
              <w:top w:val="single" w:sz="4" w:space="0" w:color="auto"/>
              <w:left w:val="single" w:sz="4" w:space="0" w:color="auto"/>
              <w:bottom w:val="single" w:sz="4" w:space="0" w:color="auto"/>
              <w:right w:val="single" w:sz="4" w:space="0" w:color="auto"/>
            </w:tcBorders>
          </w:tcPr>
          <w:p w:rsidR="006F0842" w:rsidRPr="00E00B35" w:rsidRDefault="006F0842" w:rsidP="00E00B35">
            <w:pPr>
              <w:spacing w:after="0" w:line="312" w:lineRule="auto"/>
              <w:rPr>
                <w:szCs w:val="20"/>
              </w:rPr>
            </w:pPr>
            <w:r w:rsidRPr="00E00B35">
              <w:rPr>
                <w:szCs w:val="20"/>
              </w:rPr>
              <w:t>100</w:t>
            </w:r>
          </w:p>
        </w:tc>
        <w:tc>
          <w:tcPr>
            <w:tcW w:w="0" w:type="auto"/>
            <w:tcBorders>
              <w:top w:val="single" w:sz="4" w:space="0" w:color="auto"/>
              <w:left w:val="single" w:sz="4" w:space="0" w:color="auto"/>
              <w:bottom w:val="single" w:sz="4" w:space="0" w:color="auto"/>
              <w:right w:val="single" w:sz="4" w:space="0" w:color="auto"/>
            </w:tcBorders>
          </w:tcPr>
          <w:p w:rsidR="006F0842" w:rsidRPr="00E00B35" w:rsidRDefault="006F0842" w:rsidP="00E00B35">
            <w:pPr>
              <w:spacing w:after="0" w:line="312" w:lineRule="auto"/>
              <w:rPr>
                <w:szCs w:val="20"/>
              </w:rPr>
            </w:pPr>
            <w:r w:rsidRPr="00E00B35">
              <w:rPr>
                <w:szCs w:val="20"/>
              </w:rPr>
              <w:t>49</w:t>
            </w:r>
          </w:p>
        </w:tc>
        <w:tc>
          <w:tcPr>
            <w:tcW w:w="0" w:type="auto"/>
            <w:tcBorders>
              <w:top w:val="single" w:sz="4" w:space="0" w:color="auto"/>
              <w:left w:val="single" w:sz="4" w:space="0" w:color="auto"/>
              <w:bottom w:val="single" w:sz="4" w:space="0" w:color="auto"/>
              <w:right w:val="single" w:sz="4" w:space="0" w:color="auto"/>
            </w:tcBorders>
          </w:tcPr>
          <w:p w:rsidR="006F0842" w:rsidRPr="00E00B35" w:rsidRDefault="006F0842" w:rsidP="00E00B35">
            <w:pPr>
              <w:spacing w:after="0" w:line="312" w:lineRule="auto"/>
              <w:rPr>
                <w:szCs w:val="20"/>
              </w:rPr>
            </w:pPr>
            <w:r w:rsidRPr="00E00B35">
              <w:rPr>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0842" w:rsidRPr="00E00B35" w:rsidRDefault="006F0842" w:rsidP="00E00B35">
            <w:pPr>
              <w:spacing w:after="0" w:line="312" w:lineRule="auto"/>
              <w:rPr>
                <w:szCs w:val="20"/>
              </w:rPr>
            </w:pPr>
            <w:r w:rsidRPr="00E00B35">
              <w:rPr>
                <w:szCs w:val="20"/>
              </w:rPr>
              <w:t>39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0842" w:rsidRPr="00E00B35" w:rsidRDefault="006F0842" w:rsidP="00E00B35">
            <w:pPr>
              <w:spacing w:after="0" w:line="312" w:lineRule="auto"/>
              <w:rPr>
                <w:szCs w:val="20"/>
              </w:rPr>
            </w:pPr>
            <w:r w:rsidRPr="00E00B35">
              <w:rPr>
                <w:szCs w:val="20"/>
              </w:rPr>
              <w:t>100</w:t>
            </w:r>
          </w:p>
        </w:tc>
        <w:tc>
          <w:tcPr>
            <w:tcW w:w="0" w:type="auto"/>
            <w:tcBorders>
              <w:top w:val="single" w:sz="4" w:space="0" w:color="auto"/>
              <w:left w:val="single" w:sz="4" w:space="0" w:color="auto"/>
              <w:bottom w:val="single" w:sz="4" w:space="0" w:color="auto"/>
              <w:right w:val="single" w:sz="4" w:space="0" w:color="auto"/>
            </w:tcBorders>
          </w:tcPr>
          <w:p w:rsidR="006F0842" w:rsidRPr="00E00B35" w:rsidRDefault="006F0842" w:rsidP="00E00B35">
            <w:pPr>
              <w:spacing w:after="0" w:line="312" w:lineRule="auto"/>
              <w:rPr>
                <w:szCs w:val="20"/>
              </w:rPr>
            </w:pPr>
            <w:r w:rsidRPr="00E00B35">
              <w:rPr>
                <w:szCs w:val="20"/>
              </w:rPr>
              <w:t>42</w:t>
            </w:r>
          </w:p>
        </w:tc>
        <w:tc>
          <w:tcPr>
            <w:tcW w:w="0" w:type="auto"/>
            <w:tcBorders>
              <w:top w:val="single" w:sz="4" w:space="0" w:color="auto"/>
              <w:left w:val="single" w:sz="4" w:space="0" w:color="auto"/>
              <w:bottom w:val="single" w:sz="4" w:space="0" w:color="auto"/>
              <w:right w:val="single" w:sz="4" w:space="0" w:color="auto"/>
            </w:tcBorders>
          </w:tcPr>
          <w:p w:rsidR="006F0842" w:rsidRPr="00E00B35" w:rsidRDefault="006F0842" w:rsidP="00E00B35">
            <w:pPr>
              <w:spacing w:after="0" w:line="312" w:lineRule="auto"/>
              <w:rPr>
                <w:szCs w:val="20"/>
              </w:rPr>
            </w:pPr>
            <w:r w:rsidRPr="00E00B35">
              <w:rPr>
                <w:szCs w:val="20"/>
              </w:rPr>
              <w:t>100</w:t>
            </w:r>
          </w:p>
        </w:tc>
      </w:tr>
    </w:tbl>
    <w:p w:rsidR="006F0842" w:rsidRPr="00E00B35" w:rsidRDefault="006F0842" w:rsidP="00E00B35">
      <w:pPr>
        <w:spacing w:after="0" w:line="312" w:lineRule="auto"/>
        <w:rPr>
          <w:szCs w:val="20"/>
        </w:rPr>
      </w:pPr>
      <w:r w:rsidRPr="00E00B35">
        <w:rPr>
          <w:szCs w:val="20"/>
        </w:rPr>
        <w:t>* w tym pismo okólne</w:t>
      </w:r>
    </w:p>
    <w:p w:rsidR="001C170D" w:rsidRPr="00E00B35" w:rsidRDefault="001C170D" w:rsidP="00E00B35">
      <w:pPr>
        <w:spacing w:after="0" w:line="312" w:lineRule="auto"/>
        <w:rPr>
          <w:b/>
          <w:bCs/>
          <w:szCs w:val="20"/>
        </w:rPr>
      </w:pPr>
    </w:p>
    <w:p w:rsidR="006F0842" w:rsidRPr="00E00B35" w:rsidRDefault="006F0842" w:rsidP="00E00B35">
      <w:pPr>
        <w:spacing w:after="0" w:line="312" w:lineRule="auto"/>
        <w:rPr>
          <w:szCs w:val="20"/>
        </w:rPr>
      </w:pPr>
      <w:r w:rsidRPr="00E00B35">
        <w:rPr>
          <w:b/>
          <w:bCs/>
          <w:szCs w:val="20"/>
        </w:rPr>
        <w:t>W 2020 r. Rada Miejska</w:t>
      </w:r>
      <w:r w:rsidRPr="00E00B35">
        <w:rPr>
          <w:bCs/>
          <w:szCs w:val="20"/>
        </w:rPr>
        <w:t xml:space="preserve"> Wrocławia </w:t>
      </w:r>
      <w:r w:rsidRPr="00E00B35">
        <w:rPr>
          <w:szCs w:val="20"/>
        </w:rPr>
        <w:t xml:space="preserve">uchwaliła łącznie </w:t>
      </w:r>
      <w:r w:rsidRPr="00E00B35">
        <w:rPr>
          <w:b/>
          <w:szCs w:val="20"/>
        </w:rPr>
        <w:t>352 akty prawne</w:t>
      </w:r>
      <w:r w:rsidRPr="00E00B35">
        <w:rPr>
          <w:szCs w:val="20"/>
        </w:rPr>
        <w:t>, w tym:</w:t>
      </w:r>
    </w:p>
    <w:p w:rsidR="006F0842" w:rsidRPr="00E00B35" w:rsidRDefault="006F0842" w:rsidP="00BC64AB">
      <w:pPr>
        <w:pStyle w:val="Akapitzlist"/>
        <w:numPr>
          <w:ilvl w:val="0"/>
          <w:numId w:val="145"/>
        </w:numPr>
        <w:tabs>
          <w:tab w:val="left" w:pos="567"/>
        </w:tabs>
        <w:autoSpaceDE w:val="0"/>
        <w:autoSpaceDN w:val="0"/>
        <w:adjustRightInd w:val="0"/>
        <w:spacing w:after="0" w:line="312" w:lineRule="auto"/>
        <w:ind w:hanging="1295"/>
        <w:contextualSpacing w:val="0"/>
        <w:rPr>
          <w:szCs w:val="20"/>
        </w:rPr>
      </w:pPr>
      <w:r w:rsidRPr="00E00B35">
        <w:rPr>
          <w:b/>
          <w:szCs w:val="20"/>
        </w:rPr>
        <w:t>346 uchwał</w:t>
      </w:r>
      <w:r w:rsidRPr="00E00B35">
        <w:rPr>
          <w:szCs w:val="20"/>
        </w:rPr>
        <w:t xml:space="preserve">, </w:t>
      </w:r>
    </w:p>
    <w:p w:rsidR="006F0842" w:rsidRPr="00E00B35" w:rsidRDefault="006F0842" w:rsidP="00BC64AB">
      <w:pPr>
        <w:pStyle w:val="Akapitzlist"/>
        <w:numPr>
          <w:ilvl w:val="0"/>
          <w:numId w:val="145"/>
        </w:numPr>
        <w:tabs>
          <w:tab w:val="left" w:pos="567"/>
        </w:tabs>
        <w:autoSpaceDE w:val="0"/>
        <w:autoSpaceDN w:val="0"/>
        <w:adjustRightInd w:val="0"/>
        <w:spacing w:after="0" w:line="312" w:lineRule="auto"/>
        <w:ind w:hanging="1295"/>
        <w:contextualSpacing w:val="0"/>
        <w:rPr>
          <w:szCs w:val="20"/>
        </w:rPr>
      </w:pPr>
      <w:r w:rsidRPr="00E00B35">
        <w:rPr>
          <w:b/>
          <w:szCs w:val="20"/>
        </w:rPr>
        <w:t>2 apele</w:t>
      </w:r>
      <w:r w:rsidRPr="00E00B35">
        <w:rPr>
          <w:szCs w:val="20"/>
        </w:rPr>
        <w:t xml:space="preserve"> (o przesunięcie terminu wyborów prezydenckich i o poszanowanie praw kobiet),</w:t>
      </w:r>
    </w:p>
    <w:p w:rsidR="006F0842" w:rsidRPr="00E00B35" w:rsidRDefault="006F0842" w:rsidP="00BC64AB">
      <w:pPr>
        <w:pStyle w:val="Akapitzlist"/>
        <w:numPr>
          <w:ilvl w:val="0"/>
          <w:numId w:val="145"/>
        </w:numPr>
        <w:tabs>
          <w:tab w:val="left" w:pos="567"/>
        </w:tabs>
        <w:autoSpaceDE w:val="0"/>
        <w:autoSpaceDN w:val="0"/>
        <w:adjustRightInd w:val="0"/>
        <w:spacing w:after="0" w:line="312" w:lineRule="auto"/>
        <w:ind w:left="1985" w:hanging="1701"/>
        <w:contextualSpacing w:val="0"/>
        <w:rPr>
          <w:szCs w:val="20"/>
        </w:rPr>
      </w:pPr>
      <w:r w:rsidRPr="00E00B35">
        <w:rPr>
          <w:b/>
          <w:szCs w:val="20"/>
        </w:rPr>
        <w:t>4 rezolucje</w:t>
      </w:r>
      <w:r w:rsidRPr="00E00B35">
        <w:rPr>
          <w:szCs w:val="20"/>
        </w:rPr>
        <w:t xml:space="preserve"> (o ustanowieniu roku 2020 Rokiem Profesorów Lwowskich i roku 2021 Rokiem Tadeusza Różewicza, uhonorowaniu ofiar katastrofy lotniczej pod Smoleńskiem, upamiętnieniu 30 rocznicy pierwszych wolnych wyborów samorządowych).</w:t>
      </w:r>
    </w:p>
    <w:p w:rsidR="006F0842" w:rsidRPr="00E00B35" w:rsidRDefault="006F0842" w:rsidP="00E00B35">
      <w:pPr>
        <w:spacing w:after="0" w:line="312" w:lineRule="auto"/>
        <w:rPr>
          <w:szCs w:val="20"/>
        </w:rPr>
      </w:pPr>
    </w:p>
    <w:p w:rsidR="006F0842" w:rsidRPr="00E00B35" w:rsidRDefault="006F0842" w:rsidP="00E00B35">
      <w:pPr>
        <w:tabs>
          <w:tab w:val="left" w:pos="8789"/>
        </w:tabs>
        <w:spacing w:after="0" w:line="312" w:lineRule="auto"/>
        <w:rPr>
          <w:szCs w:val="20"/>
        </w:rPr>
      </w:pPr>
      <w:r w:rsidRPr="00E00B35">
        <w:rPr>
          <w:szCs w:val="20"/>
        </w:rPr>
        <w:lastRenderedPageBreak/>
        <w:t>Zestawienie wydanych przez Radę Miejską aktów prawnych w obecnej kadencji (</w:t>
      </w:r>
      <w:r w:rsidRPr="00E00B35">
        <w:rPr>
          <w:bCs/>
          <w:szCs w:val="20"/>
        </w:rPr>
        <w:t>Kadencja VIII - 2018-2023)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23"/>
        <w:gridCol w:w="1394"/>
        <w:gridCol w:w="1655"/>
        <w:gridCol w:w="1383"/>
        <w:gridCol w:w="1384"/>
        <w:gridCol w:w="1271"/>
      </w:tblGrid>
      <w:tr w:rsidR="006F0842" w:rsidRPr="00E00B35" w:rsidTr="00CD5048">
        <w:trPr>
          <w:jc w:val="center"/>
        </w:trPr>
        <w:tc>
          <w:tcPr>
            <w:tcW w:w="1823" w:type="dxa"/>
            <w:shd w:val="clear" w:color="auto" w:fill="auto"/>
            <w:vAlign w:val="center"/>
          </w:tcPr>
          <w:p w:rsidR="006F0842" w:rsidRPr="00E00B35" w:rsidRDefault="006F0842" w:rsidP="00E00B35">
            <w:pPr>
              <w:spacing w:after="0" w:line="312" w:lineRule="auto"/>
              <w:rPr>
                <w:bCs/>
                <w:szCs w:val="20"/>
              </w:rPr>
            </w:pPr>
            <w:r w:rsidRPr="00E00B35">
              <w:rPr>
                <w:bCs/>
                <w:szCs w:val="20"/>
              </w:rPr>
              <w:t>Rok</w:t>
            </w:r>
          </w:p>
        </w:tc>
        <w:tc>
          <w:tcPr>
            <w:tcW w:w="1394" w:type="dxa"/>
            <w:shd w:val="clear" w:color="auto" w:fill="auto"/>
            <w:vAlign w:val="center"/>
          </w:tcPr>
          <w:p w:rsidR="006F0842" w:rsidRPr="00E00B35" w:rsidRDefault="006F0842" w:rsidP="00E00B35">
            <w:pPr>
              <w:spacing w:after="0" w:line="312" w:lineRule="auto"/>
              <w:rPr>
                <w:bCs/>
                <w:szCs w:val="20"/>
              </w:rPr>
            </w:pPr>
            <w:r w:rsidRPr="00E00B35">
              <w:rPr>
                <w:bCs/>
                <w:szCs w:val="20"/>
              </w:rPr>
              <w:t>Ogółem</w:t>
            </w:r>
          </w:p>
        </w:tc>
        <w:tc>
          <w:tcPr>
            <w:tcW w:w="1655" w:type="dxa"/>
            <w:shd w:val="clear" w:color="auto" w:fill="auto"/>
            <w:vAlign w:val="center"/>
          </w:tcPr>
          <w:p w:rsidR="006F0842" w:rsidRPr="00E00B35" w:rsidRDefault="006F0842" w:rsidP="00E00B35">
            <w:pPr>
              <w:spacing w:after="0" w:line="312" w:lineRule="auto"/>
              <w:rPr>
                <w:bCs/>
                <w:szCs w:val="20"/>
              </w:rPr>
            </w:pPr>
            <w:r w:rsidRPr="00E00B35">
              <w:rPr>
                <w:bCs/>
                <w:szCs w:val="20"/>
              </w:rPr>
              <w:t xml:space="preserve">w tym </w:t>
            </w:r>
            <w:r w:rsidRPr="00E00B35">
              <w:rPr>
                <w:bCs/>
                <w:szCs w:val="20"/>
              </w:rPr>
              <w:br/>
              <w:t>uchwały</w:t>
            </w:r>
          </w:p>
        </w:tc>
        <w:tc>
          <w:tcPr>
            <w:tcW w:w="1383" w:type="dxa"/>
            <w:shd w:val="clear" w:color="auto" w:fill="auto"/>
            <w:vAlign w:val="center"/>
          </w:tcPr>
          <w:p w:rsidR="006F0842" w:rsidRPr="00E00B35" w:rsidRDefault="006F0842" w:rsidP="00E00B35">
            <w:pPr>
              <w:spacing w:after="0" w:line="312" w:lineRule="auto"/>
              <w:rPr>
                <w:bCs/>
                <w:szCs w:val="20"/>
              </w:rPr>
            </w:pPr>
            <w:r w:rsidRPr="00E00B35">
              <w:rPr>
                <w:bCs/>
                <w:szCs w:val="20"/>
              </w:rPr>
              <w:t xml:space="preserve">w tym </w:t>
            </w:r>
            <w:r w:rsidRPr="00E00B35">
              <w:rPr>
                <w:bCs/>
                <w:szCs w:val="20"/>
              </w:rPr>
              <w:br/>
              <w:t>apele</w:t>
            </w:r>
          </w:p>
        </w:tc>
        <w:tc>
          <w:tcPr>
            <w:tcW w:w="1384" w:type="dxa"/>
            <w:shd w:val="clear" w:color="auto" w:fill="auto"/>
            <w:vAlign w:val="center"/>
          </w:tcPr>
          <w:p w:rsidR="006F0842" w:rsidRPr="00E00B35" w:rsidRDefault="006F0842" w:rsidP="00E00B35">
            <w:pPr>
              <w:spacing w:after="0" w:line="312" w:lineRule="auto"/>
              <w:rPr>
                <w:bCs/>
                <w:szCs w:val="20"/>
              </w:rPr>
            </w:pPr>
            <w:r w:rsidRPr="00E00B35">
              <w:rPr>
                <w:bCs/>
                <w:szCs w:val="20"/>
              </w:rPr>
              <w:t>w tym stanowiska</w:t>
            </w:r>
          </w:p>
        </w:tc>
        <w:tc>
          <w:tcPr>
            <w:tcW w:w="1271" w:type="dxa"/>
            <w:shd w:val="clear" w:color="auto" w:fill="auto"/>
            <w:vAlign w:val="center"/>
          </w:tcPr>
          <w:p w:rsidR="006F0842" w:rsidRPr="00E00B35" w:rsidRDefault="006F0842" w:rsidP="00E00B35">
            <w:pPr>
              <w:spacing w:after="0" w:line="312" w:lineRule="auto"/>
              <w:rPr>
                <w:bCs/>
                <w:szCs w:val="20"/>
              </w:rPr>
            </w:pPr>
            <w:r w:rsidRPr="00E00B35">
              <w:rPr>
                <w:bCs/>
                <w:szCs w:val="20"/>
              </w:rPr>
              <w:t>w tym rezolucje</w:t>
            </w:r>
          </w:p>
        </w:tc>
      </w:tr>
      <w:tr w:rsidR="006F0842" w:rsidRPr="00E00B35" w:rsidTr="00CD5048">
        <w:trPr>
          <w:jc w:val="center"/>
        </w:trPr>
        <w:tc>
          <w:tcPr>
            <w:tcW w:w="1823" w:type="dxa"/>
            <w:shd w:val="clear" w:color="auto" w:fill="auto"/>
            <w:vAlign w:val="center"/>
          </w:tcPr>
          <w:p w:rsidR="006F0842" w:rsidRPr="00E00B35" w:rsidRDefault="006F0842" w:rsidP="00E00B35">
            <w:pPr>
              <w:spacing w:after="0" w:line="312" w:lineRule="auto"/>
              <w:rPr>
                <w:bCs/>
                <w:szCs w:val="20"/>
              </w:rPr>
            </w:pPr>
            <w:r w:rsidRPr="00E00B35">
              <w:rPr>
                <w:bCs/>
                <w:szCs w:val="20"/>
              </w:rPr>
              <w:t xml:space="preserve">2018 </w:t>
            </w:r>
          </w:p>
        </w:tc>
        <w:tc>
          <w:tcPr>
            <w:tcW w:w="1394" w:type="dxa"/>
            <w:shd w:val="clear" w:color="auto" w:fill="auto"/>
            <w:vAlign w:val="center"/>
          </w:tcPr>
          <w:p w:rsidR="006F0842" w:rsidRPr="00E00B35" w:rsidRDefault="006F0842" w:rsidP="00E00B35">
            <w:pPr>
              <w:spacing w:after="0" w:line="312" w:lineRule="auto"/>
              <w:rPr>
                <w:bCs/>
                <w:szCs w:val="20"/>
              </w:rPr>
            </w:pPr>
            <w:r w:rsidRPr="00E00B35">
              <w:rPr>
                <w:bCs/>
                <w:szCs w:val="20"/>
              </w:rPr>
              <w:t>44</w:t>
            </w:r>
          </w:p>
        </w:tc>
        <w:tc>
          <w:tcPr>
            <w:tcW w:w="1655" w:type="dxa"/>
            <w:shd w:val="clear" w:color="auto" w:fill="auto"/>
            <w:vAlign w:val="center"/>
          </w:tcPr>
          <w:p w:rsidR="006F0842" w:rsidRPr="00E00B35" w:rsidRDefault="006F0842" w:rsidP="00E00B35">
            <w:pPr>
              <w:spacing w:after="0" w:line="312" w:lineRule="auto"/>
              <w:rPr>
                <w:bCs/>
                <w:szCs w:val="20"/>
              </w:rPr>
            </w:pPr>
            <w:r w:rsidRPr="00E00B35">
              <w:rPr>
                <w:bCs/>
                <w:szCs w:val="20"/>
              </w:rPr>
              <w:t>43</w:t>
            </w:r>
          </w:p>
        </w:tc>
        <w:tc>
          <w:tcPr>
            <w:tcW w:w="1383" w:type="dxa"/>
            <w:shd w:val="clear" w:color="auto" w:fill="auto"/>
            <w:vAlign w:val="center"/>
          </w:tcPr>
          <w:p w:rsidR="006F0842" w:rsidRPr="00E00B35" w:rsidRDefault="006F0842" w:rsidP="00E00B35">
            <w:pPr>
              <w:spacing w:after="0" w:line="312" w:lineRule="auto"/>
              <w:rPr>
                <w:bCs/>
                <w:szCs w:val="20"/>
              </w:rPr>
            </w:pPr>
            <w:r w:rsidRPr="00E00B35">
              <w:rPr>
                <w:bCs/>
                <w:szCs w:val="20"/>
              </w:rPr>
              <w:t>1</w:t>
            </w:r>
          </w:p>
        </w:tc>
        <w:tc>
          <w:tcPr>
            <w:tcW w:w="1384" w:type="dxa"/>
            <w:shd w:val="clear" w:color="auto" w:fill="auto"/>
            <w:vAlign w:val="center"/>
          </w:tcPr>
          <w:p w:rsidR="006F0842" w:rsidRPr="00E00B35" w:rsidRDefault="006F0842" w:rsidP="00E00B35">
            <w:pPr>
              <w:spacing w:after="0" w:line="312" w:lineRule="auto"/>
              <w:rPr>
                <w:bCs/>
                <w:szCs w:val="20"/>
              </w:rPr>
            </w:pPr>
            <w:r w:rsidRPr="00E00B35">
              <w:rPr>
                <w:bCs/>
                <w:szCs w:val="20"/>
              </w:rPr>
              <w:t>-</w:t>
            </w:r>
          </w:p>
        </w:tc>
        <w:tc>
          <w:tcPr>
            <w:tcW w:w="1271" w:type="dxa"/>
            <w:shd w:val="clear" w:color="auto" w:fill="auto"/>
            <w:vAlign w:val="center"/>
          </w:tcPr>
          <w:p w:rsidR="006F0842" w:rsidRPr="00E00B35" w:rsidRDefault="006F0842" w:rsidP="00E00B35">
            <w:pPr>
              <w:spacing w:after="0" w:line="312" w:lineRule="auto"/>
              <w:rPr>
                <w:bCs/>
                <w:szCs w:val="20"/>
              </w:rPr>
            </w:pPr>
            <w:r w:rsidRPr="00E00B35">
              <w:rPr>
                <w:bCs/>
                <w:szCs w:val="20"/>
              </w:rPr>
              <w:t>-</w:t>
            </w:r>
          </w:p>
        </w:tc>
      </w:tr>
      <w:tr w:rsidR="006F0842" w:rsidRPr="00E00B35" w:rsidTr="00CD5048">
        <w:trPr>
          <w:jc w:val="center"/>
        </w:trPr>
        <w:tc>
          <w:tcPr>
            <w:tcW w:w="1823" w:type="dxa"/>
            <w:shd w:val="clear" w:color="auto" w:fill="auto"/>
            <w:vAlign w:val="center"/>
          </w:tcPr>
          <w:p w:rsidR="006F0842" w:rsidRPr="00E00B35" w:rsidRDefault="006F0842" w:rsidP="00E00B35">
            <w:pPr>
              <w:spacing w:after="0" w:line="312" w:lineRule="auto"/>
              <w:rPr>
                <w:bCs/>
                <w:szCs w:val="20"/>
              </w:rPr>
            </w:pPr>
            <w:r w:rsidRPr="00E00B35">
              <w:rPr>
                <w:bCs/>
                <w:szCs w:val="20"/>
              </w:rPr>
              <w:t>2019</w:t>
            </w:r>
          </w:p>
        </w:tc>
        <w:tc>
          <w:tcPr>
            <w:tcW w:w="1394" w:type="dxa"/>
            <w:shd w:val="clear" w:color="auto" w:fill="auto"/>
            <w:vAlign w:val="center"/>
          </w:tcPr>
          <w:p w:rsidR="006F0842" w:rsidRPr="00E00B35" w:rsidRDefault="006F0842" w:rsidP="00E00B35">
            <w:pPr>
              <w:spacing w:after="0" w:line="312" w:lineRule="auto"/>
              <w:rPr>
                <w:bCs/>
                <w:szCs w:val="20"/>
              </w:rPr>
            </w:pPr>
            <w:r w:rsidRPr="00E00B35">
              <w:rPr>
                <w:bCs/>
                <w:szCs w:val="20"/>
              </w:rPr>
              <w:t>450</w:t>
            </w:r>
          </w:p>
        </w:tc>
        <w:tc>
          <w:tcPr>
            <w:tcW w:w="1655" w:type="dxa"/>
            <w:shd w:val="clear" w:color="auto" w:fill="auto"/>
            <w:vAlign w:val="center"/>
          </w:tcPr>
          <w:p w:rsidR="006F0842" w:rsidRPr="00E00B35" w:rsidRDefault="006F0842" w:rsidP="00E00B35">
            <w:pPr>
              <w:spacing w:after="0" w:line="312" w:lineRule="auto"/>
              <w:rPr>
                <w:bCs/>
                <w:szCs w:val="20"/>
              </w:rPr>
            </w:pPr>
            <w:r w:rsidRPr="00E00B35">
              <w:rPr>
                <w:bCs/>
                <w:szCs w:val="20"/>
              </w:rPr>
              <w:t>444</w:t>
            </w:r>
          </w:p>
        </w:tc>
        <w:tc>
          <w:tcPr>
            <w:tcW w:w="1383" w:type="dxa"/>
            <w:shd w:val="clear" w:color="auto" w:fill="auto"/>
            <w:vAlign w:val="center"/>
          </w:tcPr>
          <w:p w:rsidR="006F0842" w:rsidRPr="00E00B35" w:rsidRDefault="006F0842" w:rsidP="00E00B35">
            <w:pPr>
              <w:spacing w:after="0" w:line="312" w:lineRule="auto"/>
              <w:rPr>
                <w:bCs/>
                <w:szCs w:val="20"/>
              </w:rPr>
            </w:pPr>
            <w:r w:rsidRPr="00E00B35">
              <w:rPr>
                <w:bCs/>
                <w:szCs w:val="20"/>
              </w:rPr>
              <w:t>2</w:t>
            </w:r>
          </w:p>
        </w:tc>
        <w:tc>
          <w:tcPr>
            <w:tcW w:w="1384" w:type="dxa"/>
            <w:shd w:val="clear" w:color="auto" w:fill="auto"/>
            <w:vAlign w:val="center"/>
          </w:tcPr>
          <w:p w:rsidR="006F0842" w:rsidRPr="00E00B35" w:rsidRDefault="006F0842" w:rsidP="00E00B35">
            <w:pPr>
              <w:spacing w:after="0" w:line="312" w:lineRule="auto"/>
              <w:rPr>
                <w:bCs/>
                <w:szCs w:val="20"/>
              </w:rPr>
            </w:pPr>
            <w:r w:rsidRPr="00E00B35">
              <w:rPr>
                <w:bCs/>
                <w:szCs w:val="20"/>
              </w:rPr>
              <w:t>4</w:t>
            </w:r>
          </w:p>
        </w:tc>
        <w:tc>
          <w:tcPr>
            <w:tcW w:w="1271" w:type="dxa"/>
            <w:shd w:val="clear" w:color="auto" w:fill="auto"/>
            <w:vAlign w:val="center"/>
          </w:tcPr>
          <w:p w:rsidR="006F0842" w:rsidRPr="00E00B35" w:rsidRDefault="006F0842" w:rsidP="00E00B35">
            <w:pPr>
              <w:spacing w:after="0" w:line="312" w:lineRule="auto"/>
              <w:rPr>
                <w:bCs/>
                <w:szCs w:val="20"/>
              </w:rPr>
            </w:pPr>
            <w:r w:rsidRPr="00E00B35">
              <w:rPr>
                <w:bCs/>
                <w:szCs w:val="20"/>
              </w:rPr>
              <w:t>-</w:t>
            </w:r>
          </w:p>
        </w:tc>
      </w:tr>
      <w:tr w:rsidR="006F0842" w:rsidRPr="00E00B35" w:rsidTr="00CD5048">
        <w:trPr>
          <w:jc w:val="center"/>
        </w:trPr>
        <w:tc>
          <w:tcPr>
            <w:tcW w:w="1823" w:type="dxa"/>
            <w:shd w:val="clear" w:color="auto" w:fill="auto"/>
            <w:vAlign w:val="center"/>
          </w:tcPr>
          <w:p w:rsidR="006F0842" w:rsidRPr="00E00B35" w:rsidRDefault="006F0842" w:rsidP="00E00B35">
            <w:pPr>
              <w:spacing w:after="0" w:line="312" w:lineRule="auto"/>
              <w:rPr>
                <w:bCs/>
                <w:szCs w:val="20"/>
              </w:rPr>
            </w:pPr>
            <w:r w:rsidRPr="00E00B35">
              <w:rPr>
                <w:bCs/>
                <w:szCs w:val="20"/>
              </w:rPr>
              <w:t>2020</w:t>
            </w:r>
          </w:p>
        </w:tc>
        <w:tc>
          <w:tcPr>
            <w:tcW w:w="1394" w:type="dxa"/>
            <w:shd w:val="clear" w:color="auto" w:fill="auto"/>
            <w:vAlign w:val="center"/>
          </w:tcPr>
          <w:p w:rsidR="006F0842" w:rsidRPr="00E00B35" w:rsidRDefault="006F0842" w:rsidP="00E00B35">
            <w:pPr>
              <w:spacing w:after="0" w:line="312" w:lineRule="auto"/>
              <w:rPr>
                <w:bCs/>
                <w:szCs w:val="20"/>
              </w:rPr>
            </w:pPr>
            <w:r w:rsidRPr="00E00B35">
              <w:rPr>
                <w:bCs/>
                <w:szCs w:val="20"/>
              </w:rPr>
              <w:t>352</w:t>
            </w:r>
          </w:p>
        </w:tc>
        <w:tc>
          <w:tcPr>
            <w:tcW w:w="1655" w:type="dxa"/>
            <w:shd w:val="clear" w:color="auto" w:fill="auto"/>
            <w:vAlign w:val="center"/>
          </w:tcPr>
          <w:p w:rsidR="006F0842" w:rsidRPr="00E00B35" w:rsidRDefault="006F0842" w:rsidP="00E00B35">
            <w:pPr>
              <w:spacing w:after="0" w:line="312" w:lineRule="auto"/>
              <w:rPr>
                <w:bCs/>
                <w:szCs w:val="20"/>
              </w:rPr>
            </w:pPr>
            <w:r w:rsidRPr="00E00B35">
              <w:rPr>
                <w:bCs/>
                <w:szCs w:val="20"/>
              </w:rPr>
              <w:t>346</w:t>
            </w:r>
          </w:p>
        </w:tc>
        <w:tc>
          <w:tcPr>
            <w:tcW w:w="1383" w:type="dxa"/>
            <w:shd w:val="clear" w:color="auto" w:fill="auto"/>
            <w:vAlign w:val="center"/>
          </w:tcPr>
          <w:p w:rsidR="006F0842" w:rsidRPr="00E00B35" w:rsidRDefault="006F0842" w:rsidP="00E00B35">
            <w:pPr>
              <w:spacing w:after="0" w:line="312" w:lineRule="auto"/>
              <w:rPr>
                <w:bCs/>
                <w:szCs w:val="20"/>
              </w:rPr>
            </w:pPr>
            <w:r w:rsidRPr="00E00B35">
              <w:rPr>
                <w:bCs/>
                <w:szCs w:val="20"/>
              </w:rPr>
              <w:t>2</w:t>
            </w:r>
          </w:p>
        </w:tc>
        <w:tc>
          <w:tcPr>
            <w:tcW w:w="1384" w:type="dxa"/>
            <w:shd w:val="clear" w:color="auto" w:fill="auto"/>
            <w:vAlign w:val="center"/>
          </w:tcPr>
          <w:p w:rsidR="006F0842" w:rsidRPr="00E00B35" w:rsidRDefault="006F0842" w:rsidP="00E00B35">
            <w:pPr>
              <w:spacing w:after="0" w:line="312" w:lineRule="auto"/>
              <w:rPr>
                <w:bCs/>
                <w:szCs w:val="20"/>
              </w:rPr>
            </w:pPr>
            <w:r w:rsidRPr="00E00B35">
              <w:rPr>
                <w:bCs/>
                <w:szCs w:val="20"/>
              </w:rPr>
              <w:t>-</w:t>
            </w:r>
          </w:p>
        </w:tc>
        <w:tc>
          <w:tcPr>
            <w:tcW w:w="1271" w:type="dxa"/>
            <w:shd w:val="clear" w:color="auto" w:fill="auto"/>
            <w:vAlign w:val="center"/>
          </w:tcPr>
          <w:p w:rsidR="006F0842" w:rsidRPr="00E00B35" w:rsidRDefault="006F0842" w:rsidP="00E00B35">
            <w:pPr>
              <w:spacing w:after="0" w:line="312" w:lineRule="auto"/>
              <w:rPr>
                <w:bCs/>
                <w:szCs w:val="20"/>
              </w:rPr>
            </w:pPr>
            <w:r w:rsidRPr="00E00B35">
              <w:rPr>
                <w:bCs/>
                <w:szCs w:val="20"/>
              </w:rPr>
              <w:t>4</w:t>
            </w:r>
          </w:p>
        </w:tc>
      </w:tr>
      <w:tr w:rsidR="006F0842" w:rsidRPr="00E00B35" w:rsidTr="00CD5048">
        <w:trPr>
          <w:jc w:val="center"/>
        </w:trPr>
        <w:tc>
          <w:tcPr>
            <w:tcW w:w="1823" w:type="dxa"/>
            <w:shd w:val="clear" w:color="auto" w:fill="auto"/>
            <w:vAlign w:val="center"/>
          </w:tcPr>
          <w:p w:rsidR="006F0842" w:rsidRPr="00E00B35" w:rsidRDefault="006F0842" w:rsidP="00E00B35">
            <w:pPr>
              <w:spacing w:after="0" w:line="312" w:lineRule="auto"/>
              <w:rPr>
                <w:bCs/>
                <w:szCs w:val="20"/>
              </w:rPr>
            </w:pPr>
            <w:r w:rsidRPr="00E00B35">
              <w:rPr>
                <w:bCs/>
                <w:szCs w:val="20"/>
              </w:rPr>
              <w:t>Ogółem</w:t>
            </w:r>
          </w:p>
        </w:tc>
        <w:tc>
          <w:tcPr>
            <w:tcW w:w="1394" w:type="dxa"/>
            <w:shd w:val="clear" w:color="auto" w:fill="auto"/>
            <w:vAlign w:val="center"/>
          </w:tcPr>
          <w:p w:rsidR="006F0842" w:rsidRPr="00E00B35" w:rsidRDefault="006F0842" w:rsidP="00E00B35">
            <w:pPr>
              <w:spacing w:after="0" w:line="312" w:lineRule="auto"/>
              <w:rPr>
                <w:bCs/>
                <w:szCs w:val="20"/>
              </w:rPr>
            </w:pPr>
            <w:r w:rsidRPr="00E00B35">
              <w:rPr>
                <w:bCs/>
                <w:szCs w:val="20"/>
              </w:rPr>
              <w:t>846</w:t>
            </w:r>
          </w:p>
        </w:tc>
        <w:tc>
          <w:tcPr>
            <w:tcW w:w="1655" w:type="dxa"/>
            <w:shd w:val="clear" w:color="auto" w:fill="auto"/>
            <w:vAlign w:val="center"/>
          </w:tcPr>
          <w:p w:rsidR="006F0842" w:rsidRPr="00E00B35" w:rsidRDefault="006F0842" w:rsidP="00E00B35">
            <w:pPr>
              <w:spacing w:after="0" w:line="312" w:lineRule="auto"/>
              <w:rPr>
                <w:bCs/>
                <w:szCs w:val="20"/>
              </w:rPr>
            </w:pPr>
            <w:r w:rsidRPr="00E00B35">
              <w:rPr>
                <w:bCs/>
                <w:szCs w:val="20"/>
              </w:rPr>
              <w:t>833</w:t>
            </w:r>
          </w:p>
        </w:tc>
        <w:tc>
          <w:tcPr>
            <w:tcW w:w="1383" w:type="dxa"/>
            <w:shd w:val="clear" w:color="auto" w:fill="auto"/>
            <w:vAlign w:val="center"/>
          </w:tcPr>
          <w:p w:rsidR="006F0842" w:rsidRPr="00E00B35" w:rsidRDefault="006F0842" w:rsidP="00E00B35">
            <w:pPr>
              <w:spacing w:after="0" w:line="312" w:lineRule="auto"/>
              <w:rPr>
                <w:bCs/>
                <w:szCs w:val="20"/>
              </w:rPr>
            </w:pPr>
            <w:r w:rsidRPr="00E00B35">
              <w:rPr>
                <w:bCs/>
                <w:szCs w:val="20"/>
              </w:rPr>
              <w:t>5</w:t>
            </w:r>
          </w:p>
        </w:tc>
        <w:tc>
          <w:tcPr>
            <w:tcW w:w="1384" w:type="dxa"/>
            <w:shd w:val="clear" w:color="auto" w:fill="auto"/>
            <w:vAlign w:val="center"/>
          </w:tcPr>
          <w:p w:rsidR="006F0842" w:rsidRPr="00E00B35" w:rsidRDefault="006F0842" w:rsidP="00E00B35">
            <w:pPr>
              <w:spacing w:after="0" w:line="312" w:lineRule="auto"/>
              <w:rPr>
                <w:bCs/>
                <w:szCs w:val="20"/>
              </w:rPr>
            </w:pPr>
            <w:r w:rsidRPr="00E00B35">
              <w:rPr>
                <w:bCs/>
                <w:szCs w:val="20"/>
              </w:rPr>
              <w:t>4</w:t>
            </w:r>
          </w:p>
        </w:tc>
        <w:tc>
          <w:tcPr>
            <w:tcW w:w="1271" w:type="dxa"/>
            <w:shd w:val="clear" w:color="auto" w:fill="auto"/>
            <w:vAlign w:val="center"/>
          </w:tcPr>
          <w:p w:rsidR="006F0842" w:rsidRPr="00E00B35" w:rsidRDefault="006F0842" w:rsidP="00E00B35">
            <w:pPr>
              <w:spacing w:after="0" w:line="312" w:lineRule="auto"/>
              <w:rPr>
                <w:bCs/>
                <w:szCs w:val="20"/>
              </w:rPr>
            </w:pPr>
            <w:r w:rsidRPr="00E00B35">
              <w:rPr>
                <w:bCs/>
                <w:szCs w:val="20"/>
              </w:rPr>
              <w:t>4</w:t>
            </w:r>
          </w:p>
        </w:tc>
      </w:tr>
    </w:tbl>
    <w:p w:rsidR="006F0842" w:rsidRPr="00E00B35" w:rsidRDefault="006F0842" w:rsidP="00E00B35">
      <w:pPr>
        <w:spacing w:after="0" w:line="312" w:lineRule="auto"/>
        <w:rPr>
          <w:b/>
          <w:szCs w:val="20"/>
        </w:rPr>
      </w:pPr>
    </w:p>
    <w:p w:rsidR="006F0842" w:rsidRPr="00E00B35" w:rsidRDefault="006F0842" w:rsidP="00E00B35">
      <w:pPr>
        <w:spacing w:after="0" w:line="312" w:lineRule="auto"/>
        <w:rPr>
          <w:bCs/>
          <w:szCs w:val="20"/>
        </w:rPr>
      </w:pPr>
      <w:r w:rsidRPr="00E00B35">
        <w:rPr>
          <w:bCs/>
          <w:szCs w:val="20"/>
        </w:rPr>
        <w:t xml:space="preserve">Ponad 33% podjętych uchwał przedmiotowo obejmuje sprawy z zakresu </w:t>
      </w:r>
      <w:r w:rsidRPr="00E00B35">
        <w:rPr>
          <w:b/>
          <w:bCs/>
          <w:szCs w:val="20"/>
        </w:rPr>
        <w:t>ustroju, organizacji i zarządzania</w:t>
      </w:r>
      <w:r w:rsidRPr="00E00B35">
        <w:rPr>
          <w:bCs/>
          <w:szCs w:val="20"/>
        </w:rPr>
        <w:t xml:space="preserve">, z czego ponad połowa to uchwały rozpatrujące skargi powszechne na kierowników jednostek gminnych i Prezydenta Wrocławia (łącznie 51 uchwał), 5 petycji i 5 wniosków. Inne dotyczą stwierdzenia wygaśnięcia mandatów radnych osiedlowych, zmian w składach osobowych komisji Rady, rozpatrzenia wezwań do usunięcia naruszenia prawa lub interesu prawnego uchwałami oraz skarg na uchwały a także niewnoszenia skarg na rozstrzygnięcia nadzorcze unieważniające nową uchwałę o strefach płatnego parkowania oraz częściowo unieważniające uchwałę o nadaniu imienia alei parkowej w zakresie ogłoszenia w wojewódzkim dzienniku urzędowym, planu kontroli Komisji Rewizyjnej, zmiany statutów osiedli, zmian w organizacji i statutach jednostek – Wrocławskiego Zespołu Żłobków, Centrum Usług Informatycznych, Powiatowego Urzędu Pracy, Wrocławskiego Zakładu Aktywności Zawodowej, zaopiniowania lokalizacji kasyna gry, wyznaczenia przedstawicieli Rady Miejskiej do Wrocławskiej Rady Działalności Pożytku Publicznego, udzielenia wotum zaufania Prezydentowi Wrocławia, </w:t>
      </w:r>
      <w:r w:rsidRPr="00E00B35">
        <w:rPr>
          <w:szCs w:val="20"/>
        </w:rPr>
        <w:t xml:space="preserve">przyjęcia Założeń polityki społeczno-gospodarczej Wrocławia na rok budżetowy 2021, </w:t>
      </w:r>
      <w:r w:rsidRPr="00E00B35">
        <w:rPr>
          <w:bCs/>
          <w:szCs w:val="20"/>
        </w:rPr>
        <w:t>tytułów i nagród przyznawanych przez władze miasta - przyznano tytuł Civitate Wratislaviensi Donatus wieloletniemu dyr. Muzeum Miejskiego Wrocławia Maciejowi Łagiewskiemu i pozbawiono tego tytułu Kardynała Henryka Gulbinowicza, przyznano Nagrody Wrocławia profesorom nauk medycznych Alicji Chybickiej i Piotrowi Szyberowi, Bogusławowi Danielewskiemu, profesorowi nauk chemicznych Marcinowi Drągowi oraz Wrocławskiemu Stowarzyszeniu Fortyfikacyjnemu.</w:t>
      </w:r>
    </w:p>
    <w:p w:rsidR="006F0842" w:rsidRPr="00E00B35" w:rsidRDefault="006F0842" w:rsidP="00E00B35">
      <w:pPr>
        <w:spacing w:after="0" w:line="312" w:lineRule="auto"/>
        <w:rPr>
          <w:bCs/>
          <w:szCs w:val="20"/>
        </w:rPr>
      </w:pPr>
      <w:r w:rsidRPr="00E00B35">
        <w:rPr>
          <w:bCs/>
          <w:szCs w:val="20"/>
        </w:rPr>
        <w:t>W ubiegłym roku w drodze uchwał między innymi:</w:t>
      </w:r>
    </w:p>
    <w:p w:rsidR="006F0842" w:rsidRPr="00E00B35" w:rsidRDefault="006F0842" w:rsidP="00E00B35">
      <w:pPr>
        <w:numPr>
          <w:ilvl w:val="0"/>
          <w:numId w:val="141"/>
        </w:numPr>
        <w:spacing w:after="0" w:line="312" w:lineRule="auto"/>
        <w:rPr>
          <w:bCs/>
          <w:szCs w:val="20"/>
        </w:rPr>
      </w:pPr>
      <w:r w:rsidRPr="00E00B35">
        <w:rPr>
          <w:bCs/>
          <w:szCs w:val="20"/>
        </w:rPr>
        <w:t>zdecydowano o podjęciu przez Wrocław współpracy ze społecznością miasta Cheongju oraz udzielono zgody na przystąpienie Wrocławia do międzynarodowych zrzeszeń: Europejskiej Koalicji Miast Przeciwko Rasizmowi, Globalnego Parlamentu Burmistrzów, Europejskiego Stowarzyszenia na Rzecz Demokracji Lokalnej,</w:t>
      </w:r>
    </w:p>
    <w:p w:rsidR="006F0842" w:rsidRPr="00E00B35" w:rsidRDefault="006F0842" w:rsidP="00E00B35">
      <w:pPr>
        <w:numPr>
          <w:ilvl w:val="0"/>
          <w:numId w:val="141"/>
        </w:numPr>
        <w:spacing w:after="0" w:line="312" w:lineRule="auto"/>
        <w:rPr>
          <w:bCs/>
          <w:szCs w:val="20"/>
        </w:rPr>
      </w:pPr>
      <w:r w:rsidRPr="00E00B35">
        <w:rPr>
          <w:bCs/>
          <w:szCs w:val="20"/>
        </w:rPr>
        <w:t>wyrażono wolę współdziałania Wrocławia z innymi gminami przy opracowywaniu Planu Zrównoważonej Mobilności dla Miejskiego Obszaru funkcjonalnego Wrocławia,</w:t>
      </w:r>
    </w:p>
    <w:p w:rsidR="006F0842" w:rsidRPr="00E00B35" w:rsidRDefault="006F0842" w:rsidP="00E00B35">
      <w:pPr>
        <w:numPr>
          <w:ilvl w:val="0"/>
          <w:numId w:val="141"/>
        </w:numPr>
        <w:spacing w:after="0" w:line="312" w:lineRule="auto"/>
        <w:rPr>
          <w:szCs w:val="20"/>
        </w:rPr>
      </w:pPr>
      <w:r w:rsidRPr="00E00B35">
        <w:rPr>
          <w:szCs w:val="20"/>
        </w:rPr>
        <w:t>na potrzeby Krajowego Programu Oczyszczania Ścieków Komunalnych postanowiono o zawarciu porozumienia międzygminnego pomiędzy Wrocławiem z pozostałymi gminami tworzącymi aglomerację Wrocław, tj. gminami: Czernica, Kobierzyce, Miękinia, Siechnice i Wisznia Mała przy realizacji zadania polegającego na przeglądzie obszaru i granic aglomeracji Wrocław oraz wyznaczono obszar i granice Aglomeracji Wrocław,</w:t>
      </w:r>
    </w:p>
    <w:p w:rsidR="006F0842" w:rsidRPr="00E00B35" w:rsidRDefault="006F0842" w:rsidP="00E00B35">
      <w:pPr>
        <w:numPr>
          <w:ilvl w:val="0"/>
          <w:numId w:val="141"/>
        </w:numPr>
        <w:spacing w:after="0" w:line="312" w:lineRule="auto"/>
        <w:rPr>
          <w:bCs/>
          <w:szCs w:val="20"/>
        </w:rPr>
      </w:pPr>
      <w:r w:rsidRPr="00E00B35">
        <w:rPr>
          <w:bCs/>
          <w:szCs w:val="20"/>
        </w:rPr>
        <w:lastRenderedPageBreak/>
        <w:t>podjęto decyzję o przekazaniu Gminie Długołęka realizacji zadania własnego Gminy Wrocław w zakresie opracowania dokumentacji projektowej oraz budowy chodnika w ul. Tarasa Szewczenki oraz o przejęciu przez Wrocław realizacji zadania własnego Województwa Dolnośląskiego w zakresie utrzymania odcinków drogi wojewódzkiej nr 372,</w:t>
      </w:r>
    </w:p>
    <w:p w:rsidR="006F0842" w:rsidRPr="00E00B35" w:rsidRDefault="006F0842" w:rsidP="00E00B35">
      <w:pPr>
        <w:numPr>
          <w:ilvl w:val="0"/>
          <w:numId w:val="141"/>
        </w:numPr>
        <w:spacing w:after="0" w:line="312" w:lineRule="auto"/>
        <w:rPr>
          <w:bCs/>
          <w:szCs w:val="20"/>
        </w:rPr>
      </w:pPr>
      <w:r w:rsidRPr="00E00B35">
        <w:rPr>
          <w:bCs/>
          <w:szCs w:val="20"/>
        </w:rPr>
        <w:t>znowelizowano zakres zadań przejętych przez Wrocław od Powiatu Wrocławskiego,</w:t>
      </w:r>
    </w:p>
    <w:p w:rsidR="006F0842" w:rsidRPr="00E00B35" w:rsidRDefault="006F0842" w:rsidP="00E00B35">
      <w:pPr>
        <w:numPr>
          <w:ilvl w:val="0"/>
          <w:numId w:val="141"/>
        </w:numPr>
        <w:spacing w:after="0" w:line="312" w:lineRule="auto"/>
        <w:rPr>
          <w:bCs/>
          <w:szCs w:val="20"/>
        </w:rPr>
      </w:pPr>
      <w:r w:rsidRPr="00E00B35">
        <w:rPr>
          <w:bCs/>
          <w:szCs w:val="20"/>
        </w:rPr>
        <w:t>zdecydowano też o przystąpieniu Wrocławia do Wrocławskiej Spółdzielni Socjalnej.</w:t>
      </w:r>
    </w:p>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 xml:space="preserve">Przedmiotem około 26% uchwał są zagadnienia z zakresu </w:t>
      </w:r>
      <w:r w:rsidRPr="00E00B35">
        <w:rPr>
          <w:b/>
          <w:bCs/>
          <w:szCs w:val="20"/>
        </w:rPr>
        <w:t>planowania i zagospodarowania przestrzennego oraz ładu przestrzennego</w:t>
      </w:r>
      <w:r w:rsidRPr="00E00B35">
        <w:rPr>
          <w:bCs/>
          <w:szCs w:val="20"/>
        </w:rPr>
        <w:t>.</w:t>
      </w:r>
    </w:p>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Uchwalono ogółem 28 miejscowych planów, w tym:</w:t>
      </w:r>
    </w:p>
    <w:p w:rsidR="006F0842" w:rsidRPr="00E00B35" w:rsidRDefault="006F0842" w:rsidP="00E00B35">
      <w:pPr>
        <w:numPr>
          <w:ilvl w:val="0"/>
          <w:numId w:val="142"/>
        </w:numPr>
        <w:spacing w:after="0" w:line="312" w:lineRule="auto"/>
        <w:ind w:left="360"/>
        <w:rPr>
          <w:bCs/>
          <w:szCs w:val="20"/>
        </w:rPr>
      </w:pPr>
      <w:r w:rsidRPr="00E00B35">
        <w:rPr>
          <w:bCs/>
          <w:szCs w:val="20"/>
        </w:rPr>
        <w:t>24 miejscowe plany zagospodarowania przestrzennego obszarów położonych w rejonach: alei Aleksandra Brücknera; ulic Ignacego Mościckiego i Tybetańskiej; ulicy Parkowej i Adama Mickiewicza; ulic Ostrowskiego i Klecińskiej; ulic Przebiśniegowej, Kwiatowej i Złocieniowej oraz linii kolejowej; ulic Kwidzyńskiej, Kowalskiej i Mydlanej; skrzyżowania ulic Azaliowej i Przedwiośnie; ulic Zatorskiej i Pedagogicznej; ulic Antonia Vivaldiego i Ludwiga van Beethovena; ulic Bolesława Prusa i gen. Józefa Bema; ulicy Świętokrzyskiej; ulic Karpnickiej, Głównej i Stabłowickiej; ulic Bystrzyckiej i Kwiskiej; ulic Mikołaja Kopernika, Edwarda Dembowskiego, Tramwajowej i Zygmunta Wróblewskiego; ulic Kardamonowej, Rumiankowej i Macieja Przybyły oraz ulicy Osinieckiej; pomiędzy ul. Odolanowską i Łącznikiem Długołęka; Osi Inkubacji i ulicy Osinieckiej; wybrzeża Juliusza Słowackiego i ulicy Na Grobli; ulic Wielkiej, Komandorskiej i Trwałej; ulic Jerzmanowskiej, Anny Jasińskiej oraz Heleny i Ludwika Adamczewskich; ulic Krępickiej i Mokrzańskiej; ulic Ceglanej, Miłoszyckiej i Byczyńskiej, ulic Strzegomskiej i Gubińskiej, ulicy Wilanowskiej,</w:t>
      </w:r>
    </w:p>
    <w:p w:rsidR="006F0842" w:rsidRPr="00E00B35" w:rsidRDefault="006F0842" w:rsidP="00E00B35">
      <w:pPr>
        <w:widowControl w:val="0"/>
        <w:numPr>
          <w:ilvl w:val="0"/>
          <w:numId w:val="142"/>
        </w:numPr>
        <w:spacing w:after="0" w:line="312" w:lineRule="auto"/>
        <w:ind w:left="357" w:hanging="357"/>
        <w:rPr>
          <w:bCs/>
          <w:szCs w:val="20"/>
        </w:rPr>
      </w:pPr>
      <w:r w:rsidRPr="00E00B35">
        <w:rPr>
          <w:bCs/>
          <w:szCs w:val="20"/>
        </w:rPr>
        <w:t>4 zmiany miejscowych planów zagospodarowania przestrzennego obszarów położonych w rejonach ulic Borowskiej i Kamiennej; ulic Motylkowej i Świt; ulic Zwycięskiej, Ołtaszyńskiej i Agrestowej oraz dla terenu ograniczonego ulicami: Powstańców Śląskich, Sztabową, Bernarda Pretficza i placem Powstańców Śląskich w części A.</w:t>
      </w:r>
    </w:p>
    <w:p w:rsidR="006F0842" w:rsidRPr="00E00B35" w:rsidRDefault="001C170D" w:rsidP="00E00B35">
      <w:pPr>
        <w:spacing w:after="0" w:line="312" w:lineRule="auto"/>
        <w:rPr>
          <w:bCs/>
          <w:szCs w:val="20"/>
        </w:rPr>
      </w:pPr>
      <w:r w:rsidRPr="00E00B35">
        <w:rPr>
          <w:bCs/>
          <w:szCs w:val="20"/>
        </w:rPr>
        <w:br/>
      </w:r>
      <w:r w:rsidR="006F0842" w:rsidRPr="00E00B35">
        <w:rPr>
          <w:bCs/>
          <w:szCs w:val="20"/>
        </w:rPr>
        <w:t xml:space="preserve">Zdecydowano o przystąpieniu do sporządzenia 22 projektów miejscowych planów zagospodarowania przestrzennego przy ulicy Wołowskiej i w rejonach: ulic Jana Czochralskiego i Antoniego Słonimskiego oraz linii kolejowej nr 143; ulic Jedności Narodowej i Rychtalskiej; ulicy Jedności Narodowej oraz Kanału Miejskiego; ulic Grabiszyńskiej i Manganowej; placu Ludwika Hirszfelda i ulicy Szczęśliwej; ulic Międzyrzeckiej, Rakowieckiej i Na Niskich Łąkach; ulic Powstańców Śląskich, Szczęśliwej i Gwiaździstej; ulic Suwalskiej, Królewieckiej i Maślickiej; skrzyżowania ulic Bolesława Krzywoustego i Zielnej; wału rzeki Widawy pomiędzy ulicami Farną i Mazepy; bulwaru Dedala; ulic Zatorskiej i Odolanowskiej oraz al. Jana III Sobieskiego; ulic Stanów Zjednoczonych i Greckiej; ulic Bernardyńskiej i Jana Ewangelisty Purkyniego; ulicy Przejazdowej, alei Poprzecznej i linii kolejowej; ulicy Pakosławskiej; ulicy Przejazdowej, </w:t>
      </w:r>
      <w:r w:rsidR="006F0842" w:rsidRPr="00E00B35">
        <w:rPr>
          <w:bCs/>
          <w:szCs w:val="20"/>
        </w:rPr>
        <w:lastRenderedPageBreak/>
        <w:t>alei Kanonierskiej i linii kolejowej; ulicy Polanowickiej; alei Prezydenta Ryszarda Kaczorowskiego i ulicy Piołunowej; ulic Pilczyckiej i Dworskiej; ulicy Sowiej.</w:t>
      </w:r>
    </w:p>
    <w:p w:rsidR="006F0842" w:rsidRPr="00E00B35" w:rsidRDefault="006F0842" w:rsidP="00E00B35">
      <w:pPr>
        <w:spacing w:after="0" w:line="312" w:lineRule="auto"/>
        <w:rPr>
          <w:bCs/>
          <w:szCs w:val="20"/>
        </w:rPr>
      </w:pPr>
      <w:r w:rsidRPr="00E00B35">
        <w:rPr>
          <w:bCs/>
          <w:szCs w:val="20"/>
        </w:rPr>
        <w:t>Postanowiono również o przystąpieniu do sporządzenia zmiany Studium uwarunkowań i kierunków zagospodarowania przestrzennego Wrocławia.</w:t>
      </w:r>
    </w:p>
    <w:p w:rsidR="006F0842" w:rsidRPr="00E00B35" w:rsidRDefault="006F0842" w:rsidP="00E00B35">
      <w:pPr>
        <w:spacing w:after="0" w:line="312" w:lineRule="auto"/>
        <w:rPr>
          <w:bCs/>
          <w:szCs w:val="20"/>
        </w:rPr>
      </w:pPr>
      <w:r w:rsidRPr="00E00B35">
        <w:rPr>
          <w:bCs/>
          <w:szCs w:val="20"/>
        </w:rPr>
        <w:t>Zmieniono regulację dot. Systemu Informacji Miejskiej.</w:t>
      </w:r>
    </w:p>
    <w:p w:rsidR="006F0842" w:rsidRPr="00E00B35" w:rsidRDefault="006F0842" w:rsidP="00E00B35">
      <w:pPr>
        <w:spacing w:after="0" w:line="312" w:lineRule="auto"/>
        <w:rPr>
          <w:szCs w:val="20"/>
        </w:rPr>
      </w:pPr>
      <w:r w:rsidRPr="00E00B35">
        <w:rPr>
          <w:bCs/>
          <w:szCs w:val="20"/>
        </w:rPr>
        <w:t xml:space="preserve">Nowym 21 ulicom nadano w 2020 r. nazwy: </w:t>
      </w:r>
      <w:r w:rsidRPr="00E00B35">
        <w:rPr>
          <w:szCs w:val="20"/>
        </w:rPr>
        <w:t>Bakaliowa i Korzenna w obrębie Lipa Piotrowska; Pawła Kwoczka (Jerzmanowo); Lokomotywowa, Maszynistów i Drezynowa w obrębie Brochów; Macierzankowa i Frezjowa w obrębie Pawłowice; Włókniarzy (Stabłowice); Zawidowska (Maślice); Władysława Chachaja (Oporów); Stanisława Jana Jabłonowskiego (Jerzmanowo); Polnych Niezapominajek (Kłokoczyce), Pistacjowa (Ołtaszyn), Wisławy Szymborskiej (Wojszyce); Beaty Artemskiej (Wojszyce i Jagodno); Beli Bartoka (Jagodno); Szczypiornicka (Osobowice); Białych Tygrysów (Widawa i Polanowice); Ramiszowska (Poświętne), Dawida Kurzmanna (Kleczków).</w:t>
      </w:r>
    </w:p>
    <w:p w:rsidR="006F0842" w:rsidRPr="00E00B35" w:rsidRDefault="006F0842" w:rsidP="00E00B35">
      <w:pPr>
        <w:spacing w:after="0" w:line="312" w:lineRule="auto"/>
        <w:rPr>
          <w:szCs w:val="20"/>
        </w:rPr>
      </w:pPr>
      <w:r w:rsidRPr="00E00B35">
        <w:rPr>
          <w:bCs/>
          <w:szCs w:val="20"/>
        </w:rPr>
        <w:t xml:space="preserve">Dziesięć skwerów uzyskało nazwy: </w:t>
      </w:r>
      <w:r w:rsidRPr="00E00B35">
        <w:rPr>
          <w:szCs w:val="20"/>
        </w:rPr>
        <w:t>Tymoteusza Karpowicza (przy ulicy Polarnej); Solidarności Polsko-Czesko-Słowackiej (przy placu św. Mikołaja); Wrocławianek (między ulicami Bernardyńską, Jana Ewangelisty Purkyniego oraz Jana Styki i Wojciecha Kossaka); Kornela Morawieckiego (między ulicami Środkową i Szczepińską); Władysława Stasiaka (między ulicami Bardzką, Hubską i Jesionową); Tadeusza Szczęsnego Owińskiego (przy ulicy Nowy Świat); Jerzego Szmajdzińskiego (przy ulicy ks. Wincentego Kraińskiego); ks. Franciszka Skorusy (u zbiegu ulic Szwedzkiej i Szkockiej); Harivansha Rai Bachchana (u zbiegu ulic Centralnej i Semaforowej); Wojciecha Jerzego Hasa (przy ulicy Wystawowej).</w:t>
      </w:r>
    </w:p>
    <w:p w:rsidR="006F0842" w:rsidRPr="00E00B35" w:rsidRDefault="006F0842" w:rsidP="00E00B35">
      <w:pPr>
        <w:pStyle w:val="HTML-wstpniesformatowany"/>
        <w:spacing w:after="0" w:line="312" w:lineRule="auto"/>
        <w:rPr>
          <w:rFonts w:ascii="Verdana" w:hAnsi="Verdana"/>
        </w:rPr>
      </w:pPr>
      <w:r w:rsidRPr="00E00B35">
        <w:rPr>
          <w:rFonts w:ascii="Verdana" w:hAnsi="Verdana"/>
        </w:rPr>
        <w:t>Dwóm rondom w obrębie Klecina nadano nazwy Cukrowników oraz Bitwy Warszawskiej 1920 r.</w:t>
      </w:r>
    </w:p>
    <w:p w:rsidR="006F0842" w:rsidRPr="00E00B35" w:rsidRDefault="006F0842" w:rsidP="00E00B35">
      <w:pPr>
        <w:pStyle w:val="HTML-wstpniesformatowany"/>
        <w:spacing w:after="0" w:line="312" w:lineRule="auto"/>
        <w:rPr>
          <w:rFonts w:ascii="Verdana" w:hAnsi="Verdana"/>
        </w:rPr>
      </w:pPr>
      <w:r w:rsidRPr="00E00B35">
        <w:rPr>
          <w:rFonts w:ascii="Verdana" w:hAnsi="Verdana"/>
        </w:rPr>
        <w:t>Parkowi u zbiegu ulic Legnickiej i Stacyjnej nadano nazwę Aleksandry Natalli-Świat a parkowi zlokalizowanemu wzdłuż ulicy Ułańskiej nazwę gen. Tadeusza Rozwadowskiego. Aleja parkowa w parku Juliusza Słowackiego uzyskała nazwę Czesława Słani.</w:t>
      </w:r>
    </w:p>
    <w:p w:rsidR="006F0842" w:rsidRPr="00E00B35" w:rsidRDefault="006F0842" w:rsidP="00E00B35">
      <w:pPr>
        <w:spacing w:after="0" w:line="312" w:lineRule="auto"/>
        <w:rPr>
          <w:bCs/>
          <w:szCs w:val="20"/>
        </w:rPr>
      </w:pPr>
      <w:r w:rsidRPr="00E00B35">
        <w:rPr>
          <w:bCs/>
          <w:szCs w:val="20"/>
        </w:rPr>
        <w:t xml:space="preserve">Problematyka </w:t>
      </w:r>
      <w:r w:rsidRPr="00E00B35">
        <w:rPr>
          <w:b/>
          <w:bCs/>
          <w:szCs w:val="20"/>
        </w:rPr>
        <w:t>finansów i rachunkowości</w:t>
      </w:r>
      <w:r w:rsidRPr="00E00B35">
        <w:rPr>
          <w:bCs/>
          <w:szCs w:val="20"/>
        </w:rPr>
        <w:t xml:space="preserve"> stanowi tematykę 11% uchwał, z czego część dotyczy uchwalenia zmian budżetu na 2020 r. i budżetu na 2021 r. oraz zmian wieloletniej prognozy finansowej i nowej prognozy, inne regulują sprawy: wyboru podmiotu uprawnionego do badania sprawozdania finansowego, wydatków, które nie wygasają z upływem roku budżetowego, zatwierdzenia sprawozdań finansowych, udzielenia absolutorium, zakresu i formy informacji za I półrocze o przebiegu wykonania budżetu, nowelizacji wykazu jednostek, które gromadzą dochody na wydzielonych rachunkach i źródeł tych dochodów, opłaty prolongacyjnej z tytułu rozłożenia na raty lub odroczenia terminu płatności podatków oraz zaległości podatkowych stanowiących dochód Gminy Wrocław, stawek podatku od nieruchomości obowiązujących od 01.01.2021 r., nowelizacji zwolnień od podatku od nieruchomości, w tym budynków lub ich części podłączonych do instalacji fotowoltaicznej, kolektora słonecznego, pompy ciepła, rekuperatora lub gruntowego wymiennika ciepła oraz zwolnień w ramach programu pomocy de minimis, a także zasad, sposobu i trybu umarzania, odraczania lub rozkładania na raty spłaty należności pieniężnych mających charakter cywilnoprawny.</w:t>
      </w:r>
    </w:p>
    <w:p w:rsidR="006F0842" w:rsidRPr="00E00B35" w:rsidRDefault="006F0842" w:rsidP="00E00B35">
      <w:pPr>
        <w:spacing w:after="0" w:line="312" w:lineRule="auto"/>
        <w:rPr>
          <w:bCs/>
          <w:szCs w:val="20"/>
        </w:rPr>
      </w:pPr>
      <w:r w:rsidRPr="00E00B35">
        <w:rPr>
          <w:bCs/>
          <w:szCs w:val="20"/>
        </w:rPr>
        <w:lastRenderedPageBreak/>
        <w:t>W minionym roku zdecydowano o udzieleniu pomocy finansowej gminom Lewin Kłodzki, Łańcut i Markowa, dotacji celowej na wykonanie prac konserwatorskich, restauratorskich i robót budowlanych przy zabytkach oraz dotacji celowych na rzecz Województwa Dolnośląskiego, a także znowelizowano uchwałę o dotacji celowej dla Gminy Długołęka na realizację zadania w zakresie opracowania dokumentacji projektowej przebudowy ul. Gostyńskiej.</w:t>
      </w:r>
    </w:p>
    <w:p w:rsidR="006F0842" w:rsidRPr="00E00B35" w:rsidRDefault="006F0842" w:rsidP="00E00B35">
      <w:pPr>
        <w:spacing w:after="0" w:line="312" w:lineRule="auto"/>
        <w:rPr>
          <w:bCs/>
          <w:szCs w:val="20"/>
        </w:rPr>
      </w:pPr>
      <w:r w:rsidRPr="00E00B35">
        <w:rPr>
          <w:bCs/>
          <w:szCs w:val="20"/>
        </w:rPr>
        <w:t>W związku z pandemią i ponoszeniem negatywnych konsekwencji ekonomicznych z powodu zapobiegania, przeciwdziałania i zwalczania COVID-19 (wirusa SARS-CoV-2) przyjęto regulacje o:</w:t>
      </w:r>
    </w:p>
    <w:p w:rsidR="006F0842" w:rsidRPr="00E00B35" w:rsidRDefault="006F0842" w:rsidP="00E00B35">
      <w:pPr>
        <w:numPr>
          <w:ilvl w:val="0"/>
          <w:numId w:val="143"/>
        </w:numPr>
        <w:spacing w:after="0" w:line="312" w:lineRule="auto"/>
        <w:ind w:left="360"/>
        <w:rPr>
          <w:bCs/>
          <w:szCs w:val="20"/>
        </w:rPr>
      </w:pPr>
      <w:r w:rsidRPr="00E00B35">
        <w:rPr>
          <w:bCs/>
          <w:szCs w:val="20"/>
        </w:rPr>
        <w:t>odstąpieniu od dochodzenia niektórych należności o charakterze cywilnoprawnym przypadających Gminie Wrocław lub jej jednostkom organizacyjnym w stosunku do podmiotów, których płynność finansowa uległa pogorszeniu;</w:t>
      </w:r>
    </w:p>
    <w:p w:rsidR="006F0842" w:rsidRPr="00E00B35" w:rsidRDefault="006F0842" w:rsidP="00E00B35">
      <w:pPr>
        <w:numPr>
          <w:ilvl w:val="0"/>
          <w:numId w:val="143"/>
        </w:numPr>
        <w:spacing w:after="0" w:line="312" w:lineRule="auto"/>
        <w:ind w:left="360"/>
        <w:rPr>
          <w:bCs/>
          <w:szCs w:val="20"/>
        </w:rPr>
      </w:pPr>
      <w:r w:rsidRPr="00E00B35">
        <w:rPr>
          <w:bCs/>
          <w:szCs w:val="20"/>
        </w:rPr>
        <w:t>przedłużenia terminu na wniesienie trzeciej raty opłaty za korzystanie z zezwoleń na sprzedaż napojów alkoholowych przez przedsiębiorców prowadzących sprzedaż napojów alkoholowych przeznaczonych do spożycia w miejscu sprzedaży;</w:t>
      </w:r>
    </w:p>
    <w:p w:rsidR="006F0842" w:rsidRPr="00E00B35" w:rsidRDefault="006F0842" w:rsidP="00E00B35">
      <w:pPr>
        <w:numPr>
          <w:ilvl w:val="0"/>
          <w:numId w:val="143"/>
        </w:numPr>
        <w:spacing w:after="0" w:line="312" w:lineRule="auto"/>
        <w:ind w:left="360"/>
        <w:rPr>
          <w:bCs/>
          <w:szCs w:val="20"/>
        </w:rPr>
      </w:pPr>
      <w:r w:rsidRPr="00E00B35">
        <w:rPr>
          <w:bCs/>
          <w:szCs w:val="20"/>
        </w:rPr>
        <w:t>zwolnieniach od podatku od nieruchomości grup przedsiębiorców, których płynność finansowa uległa pogorszeniu.</w:t>
      </w:r>
    </w:p>
    <w:p w:rsidR="006F0842" w:rsidRPr="00E00B35" w:rsidRDefault="006F0842" w:rsidP="00E00B35">
      <w:pPr>
        <w:spacing w:after="0" w:line="312" w:lineRule="auto"/>
        <w:rPr>
          <w:szCs w:val="20"/>
        </w:rPr>
      </w:pPr>
      <w:r w:rsidRPr="00E00B35">
        <w:rPr>
          <w:bCs/>
          <w:szCs w:val="20"/>
        </w:rPr>
        <w:t xml:space="preserve">Uchwały </w:t>
      </w:r>
      <w:r w:rsidRPr="00E00B35">
        <w:rPr>
          <w:szCs w:val="20"/>
        </w:rPr>
        <w:t xml:space="preserve">z zakresu </w:t>
      </w:r>
      <w:r w:rsidRPr="00E00B35">
        <w:rPr>
          <w:b/>
          <w:szCs w:val="20"/>
        </w:rPr>
        <w:t xml:space="preserve">edukacji </w:t>
      </w:r>
      <w:r w:rsidRPr="00E00B35">
        <w:rPr>
          <w:szCs w:val="20"/>
        </w:rPr>
        <w:t xml:space="preserve">stanowią </w:t>
      </w:r>
      <w:r w:rsidRPr="00E00B35">
        <w:rPr>
          <w:bCs/>
          <w:szCs w:val="20"/>
        </w:rPr>
        <w:t xml:space="preserve">ponad </w:t>
      </w:r>
      <w:r w:rsidRPr="00E00B35">
        <w:rPr>
          <w:szCs w:val="20"/>
        </w:rPr>
        <w:t>10% ubiegłorocznych regulacji i dotyczą w szczególności: ustalenia sieci publicznych szkół podstawowych, ponadpodstawowych, specjalnych i przedszkoli, oraz utworzenia wielu szkół branżowych i włączenia ich do zespołów szkół, utworzenia Zespołu Szkolno-Przedszkolnego nr 24, przeniesienia siedziby Przedszkola nr 147, nadaniu Przedszkolu przy al. Śląskiej imienia Sportowa Kraina, konkursu na najlepszy samorząd uczniowski, wspierania i nagradzania uczniów uzdolnionych w szkołach, organizacji transportu i opieki podczas przewozu do szkół ponadpodstawowych młodzieży niepełnosprawnej, średniej ceny jednostki paliwa w roku szkolnym 2020/2021, wskazania miejsca realizacji obowiązku szkolnego uczniom szkoły podstawowej w innej publicznej szkole podstawowej powstałej z przekształcenia gimnazjum, postępowania rekrutacyjnego do internatów w szkołach ponadpodstawowych, regulaminu przyznawania dodatków oraz innych składników wynagrodzenia dla nauczycieli, wymiaru godzin zajęć nauczycieli, opłat za korzystanie z miejsc noclegowych przez dzieci, młodzież i ich opiekunów w szkolnych schroniskach młodzieżowych, zamiaru likwidacji Specjalnego Ośrodka Szkolno-Wychowawczego nr 1 przy ul. ks. Marcina Lutra 6, zgody na udzielenie dotacji w podwyższonej wysokości dla publicznych przedszkoli integracyjnych i specjalnych.</w:t>
      </w:r>
    </w:p>
    <w:p w:rsidR="006F0842" w:rsidRPr="00E00B35" w:rsidRDefault="006F0842" w:rsidP="00E00B35">
      <w:pPr>
        <w:spacing w:after="0" w:line="312" w:lineRule="auto"/>
        <w:rPr>
          <w:szCs w:val="20"/>
        </w:rPr>
      </w:pPr>
      <w:r w:rsidRPr="00E00B35">
        <w:rPr>
          <w:szCs w:val="20"/>
        </w:rPr>
        <w:t>Pozostałe uchwały normują sprawy z zakresu:</w:t>
      </w:r>
    </w:p>
    <w:p w:rsidR="006F0842" w:rsidRPr="00E00B35" w:rsidRDefault="006F0842" w:rsidP="00E00B35">
      <w:pPr>
        <w:numPr>
          <w:ilvl w:val="0"/>
          <w:numId w:val="144"/>
        </w:numPr>
        <w:spacing w:after="0" w:line="312" w:lineRule="auto"/>
        <w:rPr>
          <w:szCs w:val="20"/>
        </w:rPr>
      </w:pPr>
      <w:r w:rsidRPr="00E00B35">
        <w:rPr>
          <w:b/>
          <w:szCs w:val="20"/>
        </w:rPr>
        <w:t>gospodarki nieruchomościami</w:t>
      </w:r>
      <w:r w:rsidRPr="00E00B35">
        <w:rPr>
          <w:szCs w:val="20"/>
        </w:rPr>
        <w:t xml:space="preserve"> - przyjęto nowelizację zasad gospodarowania nieruchomościami gminy, wyrażono zgody na odstąpienie od żądania zwrotu zwaloryzowanej kwoty bonifikaty udzielonej przy sprzedaży lokalu mieszkalnego, na przekazanie Województwu Dolnośląskiemu nieruchomości położonych w obrębie Żerniki i w obrębie Południe;</w:t>
      </w:r>
    </w:p>
    <w:p w:rsidR="006F0842" w:rsidRPr="00E00B35" w:rsidRDefault="006F0842" w:rsidP="00E00B35">
      <w:pPr>
        <w:numPr>
          <w:ilvl w:val="0"/>
          <w:numId w:val="144"/>
        </w:numPr>
        <w:spacing w:after="0" w:line="312" w:lineRule="auto"/>
        <w:rPr>
          <w:szCs w:val="20"/>
        </w:rPr>
      </w:pPr>
      <w:r w:rsidRPr="00E00B35">
        <w:rPr>
          <w:b/>
          <w:szCs w:val="20"/>
        </w:rPr>
        <w:t>mieszkaniowego zasobu gminy</w:t>
      </w:r>
      <w:r w:rsidRPr="00E00B35">
        <w:rPr>
          <w:szCs w:val="20"/>
        </w:rPr>
        <w:t xml:space="preserve"> – uchwalono nowe zasady wynajmowania lokali mieszkalnych;</w:t>
      </w:r>
    </w:p>
    <w:p w:rsidR="006F0842" w:rsidRPr="00E00B35" w:rsidRDefault="006F0842" w:rsidP="00E00B35">
      <w:pPr>
        <w:numPr>
          <w:ilvl w:val="0"/>
          <w:numId w:val="144"/>
        </w:numPr>
        <w:spacing w:after="0" w:line="312" w:lineRule="auto"/>
        <w:rPr>
          <w:szCs w:val="20"/>
        </w:rPr>
      </w:pPr>
      <w:r w:rsidRPr="00E00B35">
        <w:rPr>
          <w:b/>
          <w:szCs w:val="20"/>
        </w:rPr>
        <w:lastRenderedPageBreak/>
        <w:t>transportu, komunikacji, dróg i ruchu drogowego</w:t>
      </w:r>
      <w:r w:rsidRPr="00E00B35">
        <w:rPr>
          <w:szCs w:val="20"/>
        </w:rPr>
        <w:t xml:space="preserve"> - znowelizowano warunki i zasady korzystania z przystanków komunikacyjnych, zdecydowano o zaliczeniu i pozbawieniu niektórych ulic kategorii dróg gminnych oraz wyłączeniu z użytkowania części ulicy Mazowieckiej i Wybrzeża Juliusza Słowackiego, ulicy Wita Stwosza, ulicy Kresowej i ulicy Józefa Gielniaka, ustalono przebieg niektórych dróg włączając lub wyłączając grunty z pasów drogowych, wprowadzono nową regulację stref płatnego parkowania i opłaty za postój pojazdów samochodowych obowiązującą od 01.03.2021 r., ustalono opłaty za zajęcie pasa drogowego, opłaty za usunięcie pojazdów z dróg i ich przechowywanie na parkingach w 2021 r., znowelizowano ceny za usługi przewozowe świadczone środkami lokalnego transportu zbiorowego, przyjęto Wrocławską Strategię Rozwoju Elektromobilności;</w:t>
      </w:r>
    </w:p>
    <w:p w:rsidR="006F0842" w:rsidRPr="00E00B35" w:rsidRDefault="006F0842" w:rsidP="00E00B35">
      <w:pPr>
        <w:numPr>
          <w:ilvl w:val="0"/>
          <w:numId w:val="144"/>
        </w:numPr>
        <w:spacing w:after="0" w:line="312" w:lineRule="auto"/>
        <w:rPr>
          <w:szCs w:val="20"/>
        </w:rPr>
      </w:pPr>
      <w:r w:rsidRPr="00E00B35">
        <w:rPr>
          <w:b/>
          <w:szCs w:val="20"/>
        </w:rPr>
        <w:t>repatriacji</w:t>
      </w:r>
      <w:r w:rsidRPr="00E00B35">
        <w:rPr>
          <w:szCs w:val="20"/>
        </w:rPr>
        <w:t xml:space="preserve"> – postanowiono o zapewnieniu warunków do osiedlenia się we Wrocławiu dwóm repatriantkom i 3 rodzinom repatriantów z Republiki Kazachstanu oraz rodzinie repatriantów z Federacji Rosyjskiej;</w:t>
      </w:r>
    </w:p>
    <w:p w:rsidR="006F0842" w:rsidRPr="00E00B35" w:rsidRDefault="006F0842" w:rsidP="00E00B35">
      <w:pPr>
        <w:numPr>
          <w:ilvl w:val="0"/>
          <w:numId w:val="144"/>
        </w:numPr>
        <w:spacing w:after="0" w:line="312" w:lineRule="auto"/>
        <w:rPr>
          <w:szCs w:val="20"/>
        </w:rPr>
      </w:pPr>
      <w:r w:rsidRPr="00E00B35">
        <w:rPr>
          <w:b/>
          <w:szCs w:val="20"/>
        </w:rPr>
        <w:t>kultury</w:t>
      </w:r>
      <w:r w:rsidRPr="00E00B35">
        <w:rPr>
          <w:szCs w:val="20"/>
        </w:rPr>
        <w:t xml:space="preserve"> - ogłoszono zamiar zmiany statutu Miejskiej Biblioteki Publicznej oraz zamiar połączenia Strefy Kultury Wrocław z Dolnośląskim Centrum Filmowym, określono warunki, tryb przyznawania i wysokość stypendiów osobom zajmującym się twórczością artystyczną oraz upowszechnianiem kultury;</w:t>
      </w:r>
    </w:p>
    <w:p w:rsidR="006F0842" w:rsidRPr="00E00B35" w:rsidRDefault="006F0842" w:rsidP="00E00B35">
      <w:pPr>
        <w:numPr>
          <w:ilvl w:val="0"/>
          <w:numId w:val="144"/>
        </w:numPr>
        <w:spacing w:after="0" w:line="312" w:lineRule="auto"/>
        <w:rPr>
          <w:szCs w:val="20"/>
        </w:rPr>
      </w:pPr>
      <w:r w:rsidRPr="00E00B35">
        <w:rPr>
          <w:b/>
          <w:szCs w:val="20"/>
        </w:rPr>
        <w:t>rekreacji i wypoczynku</w:t>
      </w:r>
      <w:r w:rsidRPr="00E00B35">
        <w:rPr>
          <w:szCs w:val="20"/>
        </w:rPr>
        <w:t xml:space="preserve"> - ogłoszono wykaz kąpielisk na terenie Wrocławia i ustalono sezon kąpielowy na 2020 r.;</w:t>
      </w:r>
    </w:p>
    <w:p w:rsidR="006F0842" w:rsidRPr="00E00B35" w:rsidRDefault="006F0842" w:rsidP="00E00B35">
      <w:pPr>
        <w:numPr>
          <w:ilvl w:val="0"/>
          <w:numId w:val="144"/>
        </w:numPr>
        <w:spacing w:after="0" w:line="312" w:lineRule="auto"/>
        <w:rPr>
          <w:bCs/>
          <w:szCs w:val="20"/>
        </w:rPr>
      </w:pPr>
      <w:r w:rsidRPr="00E00B35">
        <w:rPr>
          <w:b/>
          <w:szCs w:val="20"/>
        </w:rPr>
        <w:t>zdrowia, pomocy społecznej i spraw społecznych</w:t>
      </w:r>
      <w:r w:rsidRPr="00E00B35">
        <w:rPr>
          <w:szCs w:val="20"/>
        </w:rPr>
        <w:t xml:space="preserve"> – przyjęto program profilaktyki i rozwiązywania problemów alkoholowych oraz przeciwdziałania narkomanii na 2021 r., program współpracy z organizacjami pozarządowymi w 2021 r., program wspierania rodziny na lata 2021-2023, program rozwoju pieczy zastępczej na lata 2021-2023, plan nadzoru nad żłobkami, klubami dziecięcymi oraz dziennymi opiekunami, znowelizowano opłaty za żłobki oraz warunki przyznawania i odpłatności za usługi opiekuńcze, określono zadania z zakresu rehabilitacji zawodowej i społecznej osób niepełnosprawnych, finansowane w 2020 r. ze środków Państwowego Funduszu Rehabilitacji Osób Niepełnosprawnych, </w:t>
      </w:r>
      <w:r w:rsidRPr="00E00B35">
        <w:rPr>
          <w:bCs/>
          <w:szCs w:val="20"/>
        </w:rPr>
        <w:t>ustalono opłaty za pobyt we Wrocławskim Ośrodku Pomocy Osobom Nietrzeźwym, dokonano zmiany w składzie Rady Społecznej Centrum Neuropsychiatrii „NEUROMED”, zaktualizowano wykaz aptek pracujących w systemie całotygodniowym i w porze nocnej, znowelizowano okres obowiązywania Programu profilaktyki zakażeń wirusem brodawczaka ludzkiego (HPV);</w:t>
      </w:r>
    </w:p>
    <w:p w:rsidR="006F0842" w:rsidRPr="00E00B35" w:rsidRDefault="006F0842" w:rsidP="00E00B35">
      <w:pPr>
        <w:numPr>
          <w:ilvl w:val="0"/>
          <w:numId w:val="144"/>
        </w:numPr>
        <w:spacing w:after="0" w:line="312" w:lineRule="auto"/>
        <w:rPr>
          <w:szCs w:val="20"/>
        </w:rPr>
      </w:pPr>
      <w:r w:rsidRPr="00E00B35">
        <w:rPr>
          <w:b/>
          <w:szCs w:val="20"/>
        </w:rPr>
        <w:t xml:space="preserve">ochrony środowiska, ochrony przyrody, zwierząt i gospodarki odpadami oraz utrzymania czystości i porządku </w:t>
      </w:r>
      <w:r w:rsidRPr="00E00B35">
        <w:rPr>
          <w:szCs w:val="20"/>
        </w:rPr>
        <w:t>- uchwalono nowy program opieki nad zwierzętami bezdomnymi oraz zapobiegania bezdomności zwierząt na terenie Wrocławia, przyjęto nowe regulacje dotyczące metody ustalenia opłaty za gospodarowanie odpadami komunalnymi, wzoru deklaracji o wysokości opłaty za gospodarowanie odpadami komunalnymi oraz usług świadczonych w zamian za opłatę za gospodarowanie odpadami komunalnymi,  nowy regulaminu utrzymania czystości i porządku na terenie Wrocławia, ustanowiono pomnikiem przyrody platana klonolistnego przy placu Jana Pawła II i nadano mu nazwę „Świadek”.</w:t>
      </w:r>
    </w:p>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Uchwały według przedmiotu regulacji(procentowo w ogółem podjętych) w porównaniu do lat poprzednich</w:t>
      </w:r>
    </w:p>
    <w:tbl>
      <w:tblPr>
        <w:tblW w:w="454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1136"/>
        <w:gridCol w:w="1136"/>
        <w:gridCol w:w="1132"/>
        <w:gridCol w:w="1132"/>
      </w:tblGrid>
      <w:tr w:rsidR="0060070F" w:rsidRPr="00E00B35" w:rsidTr="0060070F">
        <w:trPr>
          <w:cantSplit/>
          <w:trHeight w:val="20"/>
          <w:tblHeader/>
        </w:trPr>
        <w:tc>
          <w:tcPr>
            <w:tcW w:w="2288" w:type="pct"/>
            <w:tcBorders>
              <w:top w:val="single" w:sz="4" w:space="0" w:color="auto"/>
              <w:left w:val="single" w:sz="4" w:space="0" w:color="auto"/>
              <w:bottom w:val="single" w:sz="4" w:space="0" w:color="auto"/>
              <w:right w:val="single" w:sz="4" w:space="0" w:color="auto"/>
            </w:tcBorders>
            <w:shd w:val="clear" w:color="auto" w:fill="auto"/>
            <w:vAlign w:val="center"/>
          </w:tcPr>
          <w:p w:rsidR="006F0842" w:rsidRPr="00E00B35" w:rsidRDefault="006F0842" w:rsidP="00E00B35">
            <w:pPr>
              <w:spacing w:after="0" w:line="312" w:lineRule="auto"/>
              <w:rPr>
                <w:szCs w:val="20"/>
              </w:rPr>
            </w:pPr>
            <w:r w:rsidRPr="00E00B35">
              <w:rPr>
                <w:szCs w:val="20"/>
              </w:rPr>
              <w:t>Podział tematyczny</w:t>
            </w:r>
          </w:p>
        </w:tc>
        <w:tc>
          <w:tcPr>
            <w:tcW w:w="679"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spacing w:after="0" w:line="312" w:lineRule="auto"/>
              <w:rPr>
                <w:szCs w:val="20"/>
              </w:rPr>
            </w:pPr>
            <w:r w:rsidRPr="00E00B35">
              <w:rPr>
                <w:szCs w:val="20"/>
              </w:rPr>
              <w:t>2017 r.</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6F0842" w:rsidRPr="00E00B35" w:rsidRDefault="006F0842" w:rsidP="00E00B35">
            <w:pPr>
              <w:spacing w:after="0" w:line="312" w:lineRule="auto"/>
              <w:rPr>
                <w:szCs w:val="20"/>
              </w:rPr>
            </w:pPr>
            <w:r w:rsidRPr="00E00B35">
              <w:rPr>
                <w:szCs w:val="20"/>
              </w:rPr>
              <w:t>2018 r.</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6F0842" w:rsidRPr="00E00B35" w:rsidRDefault="006F0842" w:rsidP="00E00B35">
            <w:pPr>
              <w:spacing w:after="0" w:line="312" w:lineRule="auto"/>
              <w:rPr>
                <w:szCs w:val="20"/>
              </w:rPr>
            </w:pPr>
            <w:r w:rsidRPr="00E00B35">
              <w:rPr>
                <w:szCs w:val="20"/>
              </w:rPr>
              <w:t>2019 r.</w:t>
            </w:r>
          </w:p>
        </w:tc>
        <w:tc>
          <w:tcPr>
            <w:tcW w:w="677" w:type="pct"/>
            <w:tcBorders>
              <w:top w:val="single" w:sz="4" w:space="0" w:color="auto"/>
              <w:left w:val="single" w:sz="4" w:space="0" w:color="auto"/>
              <w:bottom w:val="single" w:sz="4" w:space="0" w:color="auto"/>
              <w:right w:val="single" w:sz="4" w:space="0" w:color="auto"/>
            </w:tcBorders>
          </w:tcPr>
          <w:p w:rsidR="006F0842" w:rsidRPr="00E00B35" w:rsidRDefault="006F0842" w:rsidP="00E00B35">
            <w:pPr>
              <w:spacing w:after="0" w:line="312" w:lineRule="auto"/>
              <w:rPr>
                <w:szCs w:val="20"/>
              </w:rPr>
            </w:pPr>
            <w:r w:rsidRPr="00E00B35">
              <w:rPr>
                <w:szCs w:val="20"/>
              </w:rPr>
              <w:t>2020 r.</w:t>
            </w:r>
          </w:p>
        </w:tc>
      </w:tr>
      <w:tr w:rsidR="0060070F" w:rsidRPr="00E00B35" w:rsidTr="0060070F">
        <w:trPr>
          <w:cantSplit/>
          <w:trHeight w:val="20"/>
        </w:trPr>
        <w:tc>
          <w:tcPr>
            <w:tcW w:w="2288"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Ustrój, organizacja i zarządzanie</w:t>
            </w:r>
          </w:p>
        </w:tc>
        <w:tc>
          <w:tcPr>
            <w:tcW w:w="679"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29,4%</w:t>
            </w:r>
          </w:p>
        </w:tc>
        <w:tc>
          <w:tcPr>
            <w:tcW w:w="679"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35,4%</w:t>
            </w:r>
          </w:p>
        </w:tc>
        <w:tc>
          <w:tcPr>
            <w:tcW w:w="677"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28,4%</w:t>
            </w:r>
          </w:p>
        </w:tc>
        <w:tc>
          <w:tcPr>
            <w:tcW w:w="677" w:type="pct"/>
            <w:tcBorders>
              <w:top w:val="single" w:sz="4" w:space="0" w:color="auto"/>
              <w:left w:val="single" w:sz="4" w:space="0" w:color="auto"/>
              <w:bottom w:val="single" w:sz="4" w:space="0" w:color="auto"/>
              <w:right w:val="single" w:sz="4" w:space="0" w:color="auto"/>
            </w:tcBorders>
          </w:tcPr>
          <w:p w:rsidR="006F0842" w:rsidRPr="00E00B35" w:rsidRDefault="006F0842" w:rsidP="00E00B35">
            <w:pPr>
              <w:pStyle w:val="Tekstpodstawowywcity"/>
              <w:spacing w:after="0" w:line="312" w:lineRule="auto"/>
              <w:rPr>
                <w:bCs/>
                <w:szCs w:val="20"/>
              </w:rPr>
            </w:pPr>
            <w:r w:rsidRPr="00E00B35">
              <w:rPr>
                <w:bCs/>
                <w:szCs w:val="20"/>
              </w:rPr>
              <w:t>33,8%</w:t>
            </w:r>
          </w:p>
        </w:tc>
      </w:tr>
      <w:tr w:rsidR="0060070F" w:rsidRPr="00E00B35" w:rsidTr="0060070F">
        <w:trPr>
          <w:cantSplit/>
          <w:trHeight w:val="20"/>
        </w:trPr>
        <w:tc>
          <w:tcPr>
            <w:tcW w:w="2288" w:type="pct"/>
            <w:tcBorders>
              <w:top w:val="single" w:sz="4" w:space="0" w:color="auto"/>
              <w:left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Planowanie i zagospodarowanie przestrzenne, ład przestrzenny</w:t>
            </w:r>
          </w:p>
        </w:tc>
        <w:tc>
          <w:tcPr>
            <w:tcW w:w="679" w:type="pct"/>
            <w:tcBorders>
              <w:top w:val="single" w:sz="4" w:space="0" w:color="auto"/>
              <w:left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10,6%</w:t>
            </w:r>
          </w:p>
        </w:tc>
        <w:tc>
          <w:tcPr>
            <w:tcW w:w="679" w:type="pct"/>
            <w:tcBorders>
              <w:top w:val="single" w:sz="4" w:space="0" w:color="auto"/>
              <w:left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28,1%</w:t>
            </w:r>
          </w:p>
        </w:tc>
        <w:tc>
          <w:tcPr>
            <w:tcW w:w="677" w:type="pct"/>
            <w:tcBorders>
              <w:top w:val="single" w:sz="4" w:space="0" w:color="auto"/>
              <w:left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20,9%</w:t>
            </w:r>
          </w:p>
        </w:tc>
        <w:tc>
          <w:tcPr>
            <w:tcW w:w="677" w:type="pct"/>
            <w:tcBorders>
              <w:top w:val="single" w:sz="4" w:space="0" w:color="auto"/>
              <w:left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26,3%</w:t>
            </w:r>
          </w:p>
        </w:tc>
      </w:tr>
      <w:tr w:rsidR="0060070F" w:rsidRPr="00E00B35" w:rsidTr="0060070F">
        <w:trPr>
          <w:cantSplit/>
          <w:trHeight w:val="20"/>
        </w:trPr>
        <w:tc>
          <w:tcPr>
            <w:tcW w:w="2288" w:type="pct"/>
            <w:tcBorders>
              <w:top w:val="single" w:sz="4" w:space="0" w:color="auto"/>
              <w:left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Finanse i rachunkowość</w:t>
            </w:r>
          </w:p>
        </w:tc>
        <w:tc>
          <w:tcPr>
            <w:tcW w:w="679" w:type="pct"/>
            <w:tcBorders>
              <w:top w:val="single" w:sz="4" w:space="0" w:color="auto"/>
              <w:left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8,6%</w:t>
            </w:r>
          </w:p>
        </w:tc>
        <w:tc>
          <w:tcPr>
            <w:tcW w:w="679" w:type="pct"/>
            <w:tcBorders>
              <w:top w:val="single" w:sz="4" w:space="0" w:color="auto"/>
              <w:left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9,5%</w:t>
            </w:r>
          </w:p>
        </w:tc>
        <w:tc>
          <w:tcPr>
            <w:tcW w:w="677" w:type="pct"/>
            <w:tcBorders>
              <w:top w:val="single" w:sz="4" w:space="0" w:color="auto"/>
              <w:left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9,7%</w:t>
            </w:r>
          </w:p>
        </w:tc>
        <w:tc>
          <w:tcPr>
            <w:tcW w:w="677" w:type="pct"/>
            <w:tcBorders>
              <w:top w:val="single" w:sz="4" w:space="0" w:color="auto"/>
              <w:left w:val="single" w:sz="4" w:space="0" w:color="auto"/>
              <w:right w:val="single" w:sz="4" w:space="0" w:color="auto"/>
            </w:tcBorders>
          </w:tcPr>
          <w:p w:rsidR="006F0842" w:rsidRPr="00E00B35" w:rsidRDefault="006F0842" w:rsidP="00E00B35">
            <w:pPr>
              <w:pStyle w:val="Tekstpodstawowywcity"/>
              <w:spacing w:after="0" w:line="312" w:lineRule="auto"/>
              <w:rPr>
                <w:bCs/>
                <w:szCs w:val="20"/>
              </w:rPr>
            </w:pPr>
            <w:r w:rsidRPr="00E00B35">
              <w:rPr>
                <w:bCs/>
                <w:szCs w:val="20"/>
              </w:rPr>
              <w:t>11,3%</w:t>
            </w:r>
          </w:p>
        </w:tc>
      </w:tr>
      <w:tr w:rsidR="0060070F" w:rsidRPr="00E00B35" w:rsidTr="0060070F">
        <w:trPr>
          <w:cantSplit/>
          <w:trHeight w:val="20"/>
        </w:trPr>
        <w:tc>
          <w:tcPr>
            <w:tcW w:w="2288"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Edukacja i jednostki oświaty</w:t>
            </w:r>
          </w:p>
        </w:tc>
        <w:tc>
          <w:tcPr>
            <w:tcW w:w="679"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37,1%</w:t>
            </w:r>
          </w:p>
        </w:tc>
        <w:tc>
          <w:tcPr>
            <w:tcW w:w="679"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4,7%</w:t>
            </w:r>
          </w:p>
        </w:tc>
        <w:tc>
          <w:tcPr>
            <w:tcW w:w="677"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17,8%</w:t>
            </w:r>
          </w:p>
        </w:tc>
        <w:tc>
          <w:tcPr>
            <w:tcW w:w="677" w:type="pct"/>
            <w:tcBorders>
              <w:top w:val="single" w:sz="4" w:space="0" w:color="auto"/>
              <w:left w:val="single" w:sz="4" w:space="0" w:color="auto"/>
              <w:bottom w:val="single" w:sz="4" w:space="0" w:color="auto"/>
              <w:right w:val="single" w:sz="4" w:space="0" w:color="auto"/>
            </w:tcBorders>
          </w:tcPr>
          <w:p w:rsidR="006F0842" w:rsidRPr="00E00B35" w:rsidRDefault="006F0842" w:rsidP="00E00B35">
            <w:pPr>
              <w:pStyle w:val="Tekstpodstawowywcity"/>
              <w:spacing w:after="0" w:line="312" w:lineRule="auto"/>
              <w:rPr>
                <w:bCs/>
                <w:szCs w:val="20"/>
              </w:rPr>
            </w:pPr>
            <w:r w:rsidRPr="00E00B35">
              <w:rPr>
                <w:bCs/>
                <w:szCs w:val="20"/>
              </w:rPr>
              <w:t>10,7%</w:t>
            </w:r>
          </w:p>
        </w:tc>
      </w:tr>
      <w:tr w:rsidR="0060070F" w:rsidRPr="00E00B35" w:rsidTr="0060070F">
        <w:trPr>
          <w:cantSplit/>
          <w:trHeight w:val="20"/>
        </w:trPr>
        <w:tc>
          <w:tcPr>
            <w:tcW w:w="2288"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Repatriacja</w:t>
            </w:r>
          </w:p>
        </w:tc>
        <w:tc>
          <w:tcPr>
            <w:tcW w:w="679"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0,2%</w:t>
            </w:r>
          </w:p>
        </w:tc>
        <w:tc>
          <w:tcPr>
            <w:tcW w:w="679"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9,7%</w:t>
            </w:r>
          </w:p>
        </w:tc>
        <w:tc>
          <w:tcPr>
            <w:tcW w:w="677"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2,3%</w:t>
            </w:r>
          </w:p>
        </w:tc>
        <w:tc>
          <w:tcPr>
            <w:tcW w:w="677" w:type="pct"/>
            <w:tcBorders>
              <w:top w:val="single" w:sz="4" w:space="0" w:color="auto"/>
              <w:left w:val="single" w:sz="4" w:space="0" w:color="auto"/>
              <w:bottom w:val="single" w:sz="4" w:space="0" w:color="auto"/>
              <w:right w:val="single" w:sz="4" w:space="0" w:color="auto"/>
            </w:tcBorders>
          </w:tcPr>
          <w:p w:rsidR="006F0842" w:rsidRPr="00E00B35" w:rsidRDefault="006F0842" w:rsidP="00E00B35">
            <w:pPr>
              <w:pStyle w:val="Tekstpodstawowywcity"/>
              <w:spacing w:after="0" w:line="312" w:lineRule="auto"/>
              <w:rPr>
                <w:bCs/>
                <w:szCs w:val="20"/>
              </w:rPr>
            </w:pPr>
            <w:r w:rsidRPr="00E00B35">
              <w:rPr>
                <w:bCs/>
                <w:szCs w:val="20"/>
              </w:rPr>
              <w:t>2,0%</w:t>
            </w:r>
          </w:p>
        </w:tc>
      </w:tr>
      <w:tr w:rsidR="0060070F" w:rsidRPr="00E00B35" w:rsidTr="0060070F">
        <w:trPr>
          <w:cantSplit/>
          <w:trHeight w:val="20"/>
        </w:trPr>
        <w:tc>
          <w:tcPr>
            <w:tcW w:w="2288"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Inne</w:t>
            </w:r>
          </w:p>
        </w:tc>
        <w:tc>
          <w:tcPr>
            <w:tcW w:w="679"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14,1%</w:t>
            </w:r>
          </w:p>
        </w:tc>
        <w:tc>
          <w:tcPr>
            <w:tcW w:w="679"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12,6%</w:t>
            </w:r>
          </w:p>
        </w:tc>
        <w:tc>
          <w:tcPr>
            <w:tcW w:w="677"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20,9%</w:t>
            </w:r>
          </w:p>
        </w:tc>
        <w:tc>
          <w:tcPr>
            <w:tcW w:w="677" w:type="pct"/>
            <w:tcBorders>
              <w:top w:val="single" w:sz="4" w:space="0" w:color="auto"/>
              <w:left w:val="single" w:sz="4" w:space="0" w:color="auto"/>
              <w:bottom w:val="single" w:sz="4" w:space="0" w:color="auto"/>
              <w:right w:val="single" w:sz="4" w:space="0" w:color="auto"/>
            </w:tcBorders>
          </w:tcPr>
          <w:p w:rsidR="006F0842" w:rsidRPr="00E00B35" w:rsidRDefault="006F0842" w:rsidP="00E00B35">
            <w:pPr>
              <w:pStyle w:val="Tekstpodstawowywcity"/>
              <w:spacing w:after="0" w:line="312" w:lineRule="auto"/>
              <w:rPr>
                <w:bCs/>
                <w:szCs w:val="20"/>
              </w:rPr>
            </w:pPr>
            <w:r w:rsidRPr="00E00B35">
              <w:rPr>
                <w:bCs/>
                <w:szCs w:val="20"/>
              </w:rPr>
              <w:t>15,9%</w:t>
            </w:r>
          </w:p>
        </w:tc>
      </w:tr>
      <w:tr w:rsidR="0060070F" w:rsidRPr="00E00B35" w:rsidTr="0060070F">
        <w:trPr>
          <w:cantSplit/>
          <w:trHeight w:val="20"/>
        </w:trPr>
        <w:tc>
          <w:tcPr>
            <w:tcW w:w="2288" w:type="pct"/>
            <w:tcBorders>
              <w:top w:val="single" w:sz="4" w:space="0" w:color="auto"/>
              <w:left w:val="single" w:sz="4" w:space="0" w:color="auto"/>
              <w:bottom w:val="single" w:sz="4" w:space="0" w:color="auto"/>
              <w:right w:val="single" w:sz="4" w:space="0" w:color="auto"/>
            </w:tcBorders>
            <w:shd w:val="clear" w:color="auto" w:fill="auto"/>
          </w:tcPr>
          <w:p w:rsidR="006F0842" w:rsidRPr="00E00B35" w:rsidRDefault="006F0842" w:rsidP="00E00B35">
            <w:pPr>
              <w:pStyle w:val="Tekstpodstawowywcity"/>
              <w:spacing w:after="0" w:line="312" w:lineRule="auto"/>
              <w:rPr>
                <w:bCs/>
                <w:szCs w:val="20"/>
              </w:rPr>
            </w:pPr>
            <w:r w:rsidRPr="00E00B35">
              <w:rPr>
                <w:bCs/>
                <w:szCs w:val="20"/>
              </w:rPr>
              <w:t>Ogółem</w:t>
            </w:r>
          </w:p>
        </w:tc>
        <w:tc>
          <w:tcPr>
            <w:tcW w:w="679"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100%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6F0842" w:rsidRPr="00E00B35" w:rsidRDefault="006F0842" w:rsidP="00E00B35">
            <w:pPr>
              <w:pStyle w:val="Tekstpodstawowywcity"/>
              <w:spacing w:after="0" w:line="312" w:lineRule="auto"/>
              <w:rPr>
                <w:bCs/>
                <w:szCs w:val="20"/>
              </w:rPr>
            </w:pPr>
            <w:r w:rsidRPr="00E00B35">
              <w:rPr>
                <w:bCs/>
                <w:szCs w:val="20"/>
              </w:rPr>
              <w:t>100%</w:t>
            </w:r>
          </w:p>
        </w:tc>
        <w:tc>
          <w:tcPr>
            <w:tcW w:w="677"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Tekstpodstawowywcity"/>
              <w:spacing w:after="0" w:line="312" w:lineRule="auto"/>
              <w:rPr>
                <w:bCs/>
                <w:szCs w:val="20"/>
              </w:rPr>
            </w:pPr>
            <w:r w:rsidRPr="00E00B35">
              <w:rPr>
                <w:bCs/>
                <w:szCs w:val="20"/>
              </w:rPr>
              <w:t>100%</w:t>
            </w:r>
          </w:p>
        </w:tc>
        <w:tc>
          <w:tcPr>
            <w:tcW w:w="677" w:type="pct"/>
            <w:tcBorders>
              <w:top w:val="single" w:sz="4" w:space="0" w:color="auto"/>
              <w:left w:val="single" w:sz="4" w:space="0" w:color="auto"/>
              <w:bottom w:val="single" w:sz="4" w:space="0" w:color="auto"/>
              <w:right w:val="single" w:sz="4" w:space="0" w:color="auto"/>
            </w:tcBorders>
          </w:tcPr>
          <w:p w:rsidR="006F0842" w:rsidRPr="00E00B35" w:rsidRDefault="006F0842" w:rsidP="00E00B35">
            <w:pPr>
              <w:pStyle w:val="Tekstpodstawowywcity"/>
              <w:spacing w:after="0" w:line="312" w:lineRule="auto"/>
              <w:rPr>
                <w:bCs/>
                <w:szCs w:val="20"/>
              </w:rPr>
            </w:pPr>
            <w:r w:rsidRPr="00E00B35">
              <w:rPr>
                <w:bCs/>
                <w:szCs w:val="20"/>
              </w:rPr>
              <w:t>100%</w:t>
            </w:r>
          </w:p>
        </w:tc>
      </w:tr>
    </w:tbl>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b/>
          <w:szCs w:val="20"/>
        </w:rPr>
        <w:t xml:space="preserve">W sumie </w:t>
      </w:r>
      <w:r w:rsidRPr="00E00B35">
        <w:rPr>
          <w:szCs w:val="20"/>
        </w:rPr>
        <w:t xml:space="preserve">w latach 2018-2020 w bieżącej </w:t>
      </w:r>
      <w:r w:rsidRPr="00E00B35">
        <w:rPr>
          <w:b/>
          <w:szCs w:val="20"/>
        </w:rPr>
        <w:t xml:space="preserve">VIII kadencji </w:t>
      </w:r>
      <w:r w:rsidRPr="00E00B35">
        <w:rPr>
          <w:szCs w:val="20"/>
        </w:rPr>
        <w:t xml:space="preserve">wydano </w:t>
      </w:r>
      <w:r w:rsidRPr="00E00B35">
        <w:rPr>
          <w:b/>
          <w:szCs w:val="20"/>
        </w:rPr>
        <w:t>5.305 aktów prawnych</w:t>
      </w:r>
      <w:r w:rsidRPr="00E00B35">
        <w:rPr>
          <w:szCs w:val="20"/>
        </w:rPr>
        <w:t xml:space="preserve"> (Prezydent –4.459, Rada – 846).</w:t>
      </w:r>
    </w:p>
    <w:p w:rsidR="006F0842" w:rsidRPr="00E00B35" w:rsidRDefault="006F0842" w:rsidP="00E00B35">
      <w:pPr>
        <w:spacing w:after="0" w:line="312" w:lineRule="auto"/>
        <w:rPr>
          <w:b/>
          <w:szCs w:val="20"/>
        </w:rPr>
      </w:pPr>
      <w:r w:rsidRPr="00E00B35">
        <w:rPr>
          <w:b/>
          <w:szCs w:val="20"/>
        </w:rPr>
        <w:t xml:space="preserve">Od I kadencji do końca 2020 r. VIII kadencji </w:t>
      </w:r>
      <w:r w:rsidRPr="00E00B35">
        <w:rPr>
          <w:szCs w:val="20"/>
        </w:rPr>
        <w:t xml:space="preserve">podjęto ogółem </w:t>
      </w:r>
      <w:r w:rsidRPr="00E00B35">
        <w:rPr>
          <w:b/>
          <w:szCs w:val="20"/>
        </w:rPr>
        <w:t>75.699 aktów prawnych</w:t>
      </w:r>
      <w:r w:rsidRPr="00E00B35">
        <w:rPr>
          <w:szCs w:val="20"/>
        </w:rPr>
        <w:t>, z czego:</w:t>
      </w:r>
    </w:p>
    <w:p w:rsidR="006F0842" w:rsidRPr="00E00B35" w:rsidRDefault="006F0842" w:rsidP="00E00B35">
      <w:pPr>
        <w:numPr>
          <w:ilvl w:val="0"/>
          <w:numId w:val="130"/>
        </w:numPr>
        <w:spacing w:after="0" w:line="312" w:lineRule="auto"/>
        <w:rPr>
          <w:szCs w:val="20"/>
        </w:rPr>
      </w:pPr>
      <w:r w:rsidRPr="00E00B35">
        <w:rPr>
          <w:b/>
          <w:szCs w:val="20"/>
        </w:rPr>
        <w:t>12</w:t>
      </w:r>
      <w:r w:rsidR="0060070F" w:rsidRPr="00E00B35">
        <w:rPr>
          <w:b/>
          <w:szCs w:val="20"/>
        </w:rPr>
        <w:t xml:space="preserve"> </w:t>
      </w:r>
      <w:r w:rsidRPr="00E00B35">
        <w:rPr>
          <w:b/>
          <w:szCs w:val="20"/>
        </w:rPr>
        <w:t xml:space="preserve">588 </w:t>
      </w:r>
      <w:r w:rsidRPr="00E00B35">
        <w:rPr>
          <w:szCs w:val="20"/>
        </w:rPr>
        <w:t xml:space="preserve">przez </w:t>
      </w:r>
      <w:r w:rsidRPr="00E00B35">
        <w:rPr>
          <w:b/>
          <w:szCs w:val="20"/>
        </w:rPr>
        <w:t>Radę</w:t>
      </w:r>
      <w:r w:rsidRPr="00E00B35">
        <w:rPr>
          <w:szCs w:val="20"/>
        </w:rPr>
        <w:t xml:space="preserve"> Miejską Wrocławia (12.489 uchwał, 64 stanowiska, 24 apele i 11 rezolucji),</w:t>
      </w:r>
    </w:p>
    <w:p w:rsidR="006F0842" w:rsidRPr="00E00B35" w:rsidRDefault="006F0842" w:rsidP="00E00B35">
      <w:pPr>
        <w:numPr>
          <w:ilvl w:val="0"/>
          <w:numId w:val="130"/>
        </w:numPr>
        <w:spacing w:after="0" w:line="312" w:lineRule="auto"/>
        <w:rPr>
          <w:szCs w:val="20"/>
        </w:rPr>
      </w:pPr>
      <w:r w:rsidRPr="00E00B35">
        <w:rPr>
          <w:b/>
          <w:szCs w:val="20"/>
        </w:rPr>
        <w:t>13</w:t>
      </w:r>
      <w:r w:rsidR="0060070F" w:rsidRPr="00E00B35">
        <w:rPr>
          <w:b/>
          <w:szCs w:val="20"/>
        </w:rPr>
        <w:t xml:space="preserve"> </w:t>
      </w:r>
      <w:r w:rsidRPr="00E00B35">
        <w:rPr>
          <w:b/>
          <w:szCs w:val="20"/>
        </w:rPr>
        <w:t xml:space="preserve">549 </w:t>
      </w:r>
      <w:r w:rsidRPr="00E00B35">
        <w:rPr>
          <w:szCs w:val="20"/>
        </w:rPr>
        <w:t xml:space="preserve">przez </w:t>
      </w:r>
      <w:r w:rsidRPr="00E00B35">
        <w:rPr>
          <w:b/>
          <w:szCs w:val="20"/>
        </w:rPr>
        <w:t>Zarząd</w:t>
      </w:r>
      <w:r w:rsidRPr="00E00B35">
        <w:rPr>
          <w:szCs w:val="20"/>
        </w:rPr>
        <w:t xml:space="preserve"> Miasta Wrocławia (13.548 uchwał i jedno zarządzenie porządkowe związane z powodzią w 1997 r.),</w:t>
      </w:r>
    </w:p>
    <w:p w:rsidR="006F0842" w:rsidRPr="00E00B35" w:rsidRDefault="006F0842" w:rsidP="00E00B35">
      <w:pPr>
        <w:numPr>
          <w:ilvl w:val="0"/>
          <w:numId w:val="130"/>
        </w:numPr>
        <w:spacing w:after="0" w:line="312" w:lineRule="auto"/>
        <w:rPr>
          <w:szCs w:val="20"/>
        </w:rPr>
      </w:pPr>
      <w:r w:rsidRPr="00E00B35">
        <w:rPr>
          <w:b/>
          <w:szCs w:val="20"/>
        </w:rPr>
        <w:t>49</w:t>
      </w:r>
      <w:r w:rsidR="0060070F" w:rsidRPr="00E00B35">
        <w:rPr>
          <w:b/>
          <w:szCs w:val="20"/>
        </w:rPr>
        <w:t xml:space="preserve"> </w:t>
      </w:r>
      <w:r w:rsidRPr="00E00B35">
        <w:rPr>
          <w:b/>
          <w:szCs w:val="20"/>
        </w:rPr>
        <w:t xml:space="preserve">562 </w:t>
      </w:r>
      <w:r w:rsidRPr="00E00B35">
        <w:rPr>
          <w:szCs w:val="20"/>
        </w:rPr>
        <w:t xml:space="preserve">przez </w:t>
      </w:r>
      <w:r w:rsidRPr="00E00B35">
        <w:rPr>
          <w:b/>
          <w:szCs w:val="20"/>
        </w:rPr>
        <w:t>Prezydenta</w:t>
      </w:r>
      <w:r w:rsidRPr="00E00B35">
        <w:rPr>
          <w:szCs w:val="20"/>
        </w:rPr>
        <w:t xml:space="preserve"> Wrocławia (48.293 zarządzenia organu oraz zbiór wewnętrznych aktów liczący 1.269 dokumentów, w tym 1.085 zarządzeń kierownika, 23 zarządzenia starosty z lat 1999-2002, 115 postanowień z lat 1990-2002 oraz 46 pism okólnych).</w:t>
      </w:r>
    </w:p>
    <w:p w:rsidR="006F0842" w:rsidRPr="00E00B35" w:rsidRDefault="006F0842" w:rsidP="00E00B35">
      <w:pPr>
        <w:spacing w:after="0" w:line="312" w:lineRule="auto"/>
        <w:ind w:left="720"/>
        <w:rPr>
          <w:szCs w:val="20"/>
        </w:rPr>
      </w:pPr>
    </w:p>
    <w:p w:rsidR="006F0842" w:rsidRPr="00E00B35" w:rsidRDefault="006F0842" w:rsidP="00E00B35">
      <w:pPr>
        <w:pStyle w:val="Akapitzlist"/>
        <w:spacing w:after="0" w:line="312" w:lineRule="auto"/>
        <w:ind w:left="0"/>
        <w:rPr>
          <w:szCs w:val="20"/>
        </w:rPr>
      </w:pPr>
      <w:r w:rsidRPr="00E00B35">
        <w:rPr>
          <w:szCs w:val="20"/>
        </w:rPr>
        <w:t>Zestawienie wydanych aktów prawnych w okresie od 27 maja 1990 r. do 31 grudnia 2020 r. - akty prawne organów miasta z lat 1990-2020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4"/>
        <w:gridCol w:w="1018"/>
        <w:gridCol w:w="1094"/>
        <w:gridCol w:w="1018"/>
        <w:gridCol w:w="1018"/>
        <w:gridCol w:w="1018"/>
        <w:gridCol w:w="1172"/>
        <w:gridCol w:w="1157"/>
        <w:gridCol w:w="803"/>
      </w:tblGrid>
      <w:tr w:rsidR="006F0842" w:rsidRPr="00E00B35" w:rsidTr="00CD5048">
        <w:trPr>
          <w:cantSplit/>
          <w:trHeight w:val="532"/>
          <w:tblHeader/>
        </w:trPr>
        <w:tc>
          <w:tcPr>
            <w:tcW w:w="0" w:type="auto"/>
            <w:vAlign w:val="center"/>
          </w:tcPr>
          <w:p w:rsidR="006F0842" w:rsidRPr="00E00B35" w:rsidRDefault="006F0842" w:rsidP="00E00B35">
            <w:pPr>
              <w:spacing w:after="0" w:line="312" w:lineRule="auto"/>
              <w:rPr>
                <w:szCs w:val="20"/>
              </w:rPr>
            </w:pPr>
            <w:r w:rsidRPr="00E00B35">
              <w:rPr>
                <w:szCs w:val="20"/>
              </w:rPr>
              <w:t>Okres</w:t>
            </w:r>
          </w:p>
        </w:tc>
        <w:tc>
          <w:tcPr>
            <w:tcW w:w="0" w:type="auto"/>
          </w:tcPr>
          <w:p w:rsidR="006F0842" w:rsidRPr="00E00B35" w:rsidRDefault="006F0842" w:rsidP="00E00B35">
            <w:pPr>
              <w:spacing w:after="0" w:line="312" w:lineRule="auto"/>
              <w:rPr>
                <w:szCs w:val="20"/>
              </w:rPr>
            </w:pPr>
            <w:r w:rsidRPr="00E00B35">
              <w:rPr>
                <w:bCs/>
                <w:szCs w:val="20"/>
              </w:rPr>
              <w:t>Rada Miejska Wrocławia - uchwały</w:t>
            </w:r>
          </w:p>
        </w:tc>
        <w:tc>
          <w:tcPr>
            <w:tcW w:w="0" w:type="auto"/>
          </w:tcPr>
          <w:p w:rsidR="006F0842" w:rsidRPr="00E00B35" w:rsidRDefault="006F0842" w:rsidP="00E00B35">
            <w:pPr>
              <w:spacing w:after="0" w:line="312" w:lineRule="auto"/>
              <w:rPr>
                <w:szCs w:val="20"/>
              </w:rPr>
            </w:pPr>
            <w:r w:rsidRPr="00E00B35">
              <w:rPr>
                <w:bCs/>
                <w:szCs w:val="20"/>
              </w:rPr>
              <w:t>Rada Miejska Wrocławia - stanowiska</w:t>
            </w:r>
          </w:p>
        </w:tc>
        <w:tc>
          <w:tcPr>
            <w:tcW w:w="0" w:type="auto"/>
          </w:tcPr>
          <w:p w:rsidR="006F0842" w:rsidRPr="00E00B35" w:rsidRDefault="006F0842" w:rsidP="00E00B35">
            <w:pPr>
              <w:spacing w:after="0" w:line="312" w:lineRule="auto"/>
              <w:rPr>
                <w:szCs w:val="20"/>
              </w:rPr>
            </w:pPr>
            <w:r w:rsidRPr="00E00B35">
              <w:rPr>
                <w:bCs/>
                <w:szCs w:val="20"/>
              </w:rPr>
              <w:t>Rada Miejska Wrocławia - apele</w:t>
            </w:r>
          </w:p>
        </w:tc>
        <w:tc>
          <w:tcPr>
            <w:tcW w:w="0" w:type="auto"/>
          </w:tcPr>
          <w:p w:rsidR="006F0842" w:rsidRPr="00E00B35" w:rsidRDefault="006F0842" w:rsidP="00E00B35">
            <w:pPr>
              <w:spacing w:after="0" w:line="312" w:lineRule="auto"/>
              <w:rPr>
                <w:szCs w:val="20"/>
              </w:rPr>
            </w:pPr>
            <w:r w:rsidRPr="00E00B35">
              <w:rPr>
                <w:bCs/>
                <w:szCs w:val="20"/>
              </w:rPr>
              <w:t>Rada Miejska Wrocławia - rezolucje</w:t>
            </w:r>
          </w:p>
        </w:tc>
        <w:tc>
          <w:tcPr>
            <w:tcW w:w="0" w:type="auto"/>
          </w:tcPr>
          <w:p w:rsidR="006F0842" w:rsidRPr="00E00B35" w:rsidRDefault="006F0842" w:rsidP="00E00B35">
            <w:pPr>
              <w:spacing w:after="0" w:line="312" w:lineRule="auto"/>
              <w:rPr>
                <w:bCs/>
                <w:szCs w:val="20"/>
              </w:rPr>
            </w:pPr>
            <w:r w:rsidRPr="00E00B35">
              <w:rPr>
                <w:bCs/>
                <w:szCs w:val="20"/>
              </w:rPr>
              <w:t>Zarząd Miasta</w:t>
            </w:r>
          </w:p>
          <w:p w:rsidR="006F0842" w:rsidRPr="00E00B35" w:rsidRDefault="006F0842" w:rsidP="00E00B35">
            <w:pPr>
              <w:spacing w:after="0" w:line="312" w:lineRule="auto"/>
              <w:rPr>
                <w:szCs w:val="20"/>
              </w:rPr>
            </w:pPr>
            <w:r w:rsidRPr="00E00B35">
              <w:rPr>
                <w:bCs/>
                <w:szCs w:val="20"/>
              </w:rPr>
              <w:t>Wrocławia - uchwały</w:t>
            </w:r>
          </w:p>
        </w:tc>
        <w:tc>
          <w:tcPr>
            <w:tcW w:w="0" w:type="auto"/>
          </w:tcPr>
          <w:p w:rsidR="006F0842" w:rsidRPr="00E00B35" w:rsidRDefault="006F0842" w:rsidP="00E00B35">
            <w:pPr>
              <w:spacing w:after="0" w:line="312" w:lineRule="auto"/>
              <w:rPr>
                <w:bCs/>
                <w:szCs w:val="20"/>
              </w:rPr>
            </w:pPr>
            <w:r w:rsidRPr="00E00B35">
              <w:rPr>
                <w:bCs/>
                <w:szCs w:val="20"/>
              </w:rPr>
              <w:t>Zarząd Miasta</w:t>
            </w:r>
          </w:p>
          <w:p w:rsidR="006F0842" w:rsidRPr="00E00B35" w:rsidRDefault="006F0842" w:rsidP="00E00B35">
            <w:pPr>
              <w:spacing w:after="0" w:line="312" w:lineRule="auto"/>
              <w:rPr>
                <w:szCs w:val="20"/>
              </w:rPr>
            </w:pPr>
            <w:r w:rsidRPr="00E00B35">
              <w:rPr>
                <w:bCs/>
                <w:szCs w:val="20"/>
              </w:rPr>
              <w:t>Wrocławia – zarządzenie porządkowe</w:t>
            </w:r>
          </w:p>
        </w:tc>
        <w:tc>
          <w:tcPr>
            <w:tcW w:w="0" w:type="auto"/>
          </w:tcPr>
          <w:p w:rsidR="006F0842" w:rsidRPr="00E00B35" w:rsidRDefault="006F0842" w:rsidP="00E00B35">
            <w:pPr>
              <w:spacing w:after="0" w:line="312" w:lineRule="auto"/>
              <w:rPr>
                <w:szCs w:val="20"/>
              </w:rPr>
            </w:pPr>
            <w:r w:rsidRPr="00E00B35">
              <w:rPr>
                <w:bCs/>
                <w:szCs w:val="20"/>
              </w:rPr>
              <w:t>Prezydent Wrocławia – zarządzenia organu</w:t>
            </w:r>
          </w:p>
        </w:tc>
        <w:tc>
          <w:tcPr>
            <w:tcW w:w="0" w:type="auto"/>
          </w:tcPr>
          <w:p w:rsidR="006F0842" w:rsidRPr="00E00B35" w:rsidRDefault="006F0842" w:rsidP="00E00B35">
            <w:pPr>
              <w:spacing w:after="0" w:line="312" w:lineRule="auto"/>
              <w:rPr>
                <w:szCs w:val="20"/>
              </w:rPr>
            </w:pPr>
            <w:r w:rsidRPr="00E00B35">
              <w:rPr>
                <w:szCs w:val="20"/>
              </w:rPr>
              <w:t>Ogółem</w:t>
            </w:r>
          </w:p>
        </w:tc>
      </w:tr>
      <w:tr w:rsidR="006F0842" w:rsidRPr="00E00B35" w:rsidTr="00CD5048">
        <w:trPr>
          <w:cantSplit/>
          <w:trHeight w:val="20"/>
        </w:trPr>
        <w:tc>
          <w:tcPr>
            <w:tcW w:w="0" w:type="auto"/>
            <w:vAlign w:val="center"/>
          </w:tcPr>
          <w:p w:rsidR="006F0842" w:rsidRPr="00E00B35" w:rsidRDefault="006F0842" w:rsidP="00E00B35">
            <w:pPr>
              <w:spacing w:after="0" w:line="312" w:lineRule="auto"/>
              <w:rPr>
                <w:szCs w:val="20"/>
              </w:rPr>
            </w:pPr>
            <w:r w:rsidRPr="00E00B35">
              <w:rPr>
                <w:szCs w:val="20"/>
              </w:rPr>
              <w:t>kadencja I</w:t>
            </w:r>
          </w:p>
          <w:p w:rsidR="006F0842" w:rsidRPr="00E00B35" w:rsidRDefault="006F0842" w:rsidP="00E00B35">
            <w:pPr>
              <w:spacing w:after="0" w:line="312" w:lineRule="auto"/>
              <w:rPr>
                <w:szCs w:val="20"/>
              </w:rPr>
            </w:pPr>
            <w:r w:rsidRPr="00E00B35">
              <w:rPr>
                <w:szCs w:val="20"/>
              </w:rPr>
              <w:t>1990-1994</w:t>
            </w:r>
          </w:p>
        </w:tc>
        <w:tc>
          <w:tcPr>
            <w:tcW w:w="0" w:type="auto"/>
            <w:vAlign w:val="center"/>
          </w:tcPr>
          <w:p w:rsidR="006F0842" w:rsidRPr="00E00B35" w:rsidRDefault="006F0842" w:rsidP="00E00B35">
            <w:pPr>
              <w:spacing w:after="0" w:line="312" w:lineRule="auto"/>
              <w:rPr>
                <w:bCs/>
                <w:szCs w:val="20"/>
              </w:rPr>
            </w:pPr>
            <w:r w:rsidRPr="00E00B35">
              <w:rPr>
                <w:bCs/>
                <w:szCs w:val="20"/>
              </w:rPr>
              <w:t>538</w:t>
            </w:r>
          </w:p>
        </w:tc>
        <w:tc>
          <w:tcPr>
            <w:tcW w:w="0" w:type="auto"/>
            <w:vAlign w:val="center"/>
          </w:tcPr>
          <w:p w:rsidR="006F0842" w:rsidRPr="00E00B35" w:rsidRDefault="006F0842" w:rsidP="00E00B35">
            <w:pPr>
              <w:spacing w:after="0" w:line="312" w:lineRule="auto"/>
              <w:rPr>
                <w:bCs/>
                <w:szCs w:val="20"/>
              </w:rPr>
            </w:pPr>
            <w:r w:rsidRPr="00E00B35">
              <w:rPr>
                <w:bCs/>
                <w:szCs w:val="20"/>
              </w:rPr>
              <w:t>3</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2 144</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2 685</w:t>
            </w:r>
          </w:p>
        </w:tc>
      </w:tr>
      <w:tr w:rsidR="006F0842" w:rsidRPr="00E00B35" w:rsidTr="00CD5048">
        <w:trPr>
          <w:cantSplit/>
          <w:trHeight w:val="20"/>
        </w:trPr>
        <w:tc>
          <w:tcPr>
            <w:tcW w:w="0" w:type="auto"/>
            <w:vAlign w:val="center"/>
          </w:tcPr>
          <w:p w:rsidR="006F0842" w:rsidRPr="00E00B35" w:rsidRDefault="006F0842" w:rsidP="00E00B35">
            <w:pPr>
              <w:spacing w:after="0" w:line="312" w:lineRule="auto"/>
              <w:rPr>
                <w:szCs w:val="20"/>
              </w:rPr>
            </w:pPr>
            <w:r w:rsidRPr="00E00B35">
              <w:rPr>
                <w:szCs w:val="20"/>
              </w:rPr>
              <w:lastRenderedPageBreak/>
              <w:t>kadencja II</w:t>
            </w:r>
          </w:p>
          <w:p w:rsidR="006F0842" w:rsidRPr="00E00B35" w:rsidRDefault="006F0842" w:rsidP="00E00B35">
            <w:pPr>
              <w:spacing w:after="0" w:line="312" w:lineRule="auto"/>
              <w:rPr>
                <w:szCs w:val="20"/>
              </w:rPr>
            </w:pPr>
            <w:r w:rsidRPr="00E00B35">
              <w:rPr>
                <w:szCs w:val="20"/>
              </w:rPr>
              <w:t>1994-1998</w:t>
            </w:r>
          </w:p>
        </w:tc>
        <w:tc>
          <w:tcPr>
            <w:tcW w:w="0" w:type="auto"/>
            <w:vAlign w:val="center"/>
          </w:tcPr>
          <w:p w:rsidR="006F0842" w:rsidRPr="00E00B35" w:rsidRDefault="006F0842" w:rsidP="00E00B35">
            <w:pPr>
              <w:spacing w:after="0" w:line="312" w:lineRule="auto"/>
              <w:rPr>
                <w:bCs/>
                <w:szCs w:val="20"/>
              </w:rPr>
            </w:pPr>
            <w:r w:rsidRPr="00E00B35">
              <w:rPr>
                <w:bCs/>
                <w:szCs w:val="20"/>
              </w:rPr>
              <w:t>820</w:t>
            </w:r>
          </w:p>
        </w:tc>
        <w:tc>
          <w:tcPr>
            <w:tcW w:w="0" w:type="auto"/>
            <w:vAlign w:val="center"/>
          </w:tcPr>
          <w:p w:rsidR="006F0842" w:rsidRPr="00E00B35" w:rsidRDefault="006F0842" w:rsidP="00E00B35">
            <w:pPr>
              <w:spacing w:after="0" w:line="312" w:lineRule="auto"/>
              <w:rPr>
                <w:bCs/>
                <w:szCs w:val="20"/>
              </w:rPr>
            </w:pPr>
            <w:r w:rsidRPr="00E00B35">
              <w:rPr>
                <w:bCs/>
                <w:szCs w:val="20"/>
              </w:rPr>
              <w:t>24</w:t>
            </w:r>
          </w:p>
        </w:tc>
        <w:tc>
          <w:tcPr>
            <w:tcW w:w="0" w:type="auto"/>
            <w:vAlign w:val="center"/>
          </w:tcPr>
          <w:p w:rsidR="006F0842" w:rsidRPr="00E00B35" w:rsidRDefault="006F0842" w:rsidP="00E00B35">
            <w:pPr>
              <w:spacing w:after="0" w:line="312" w:lineRule="auto"/>
              <w:rPr>
                <w:bCs/>
                <w:szCs w:val="20"/>
              </w:rPr>
            </w:pPr>
            <w:r w:rsidRPr="00E00B35">
              <w:rPr>
                <w:bCs/>
                <w:szCs w:val="20"/>
              </w:rPr>
              <w:t>3</w:t>
            </w:r>
          </w:p>
        </w:tc>
        <w:tc>
          <w:tcPr>
            <w:tcW w:w="0" w:type="auto"/>
            <w:vAlign w:val="center"/>
          </w:tcPr>
          <w:p w:rsidR="006F0842" w:rsidRPr="00E00B35" w:rsidRDefault="006F0842" w:rsidP="00E00B35">
            <w:pPr>
              <w:spacing w:after="0" w:line="312" w:lineRule="auto"/>
              <w:rPr>
                <w:bCs/>
                <w:szCs w:val="20"/>
              </w:rPr>
            </w:pPr>
            <w:r w:rsidRPr="00E00B35">
              <w:rPr>
                <w:bCs/>
                <w:szCs w:val="20"/>
              </w:rPr>
              <w:t>3</w:t>
            </w:r>
          </w:p>
        </w:tc>
        <w:tc>
          <w:tcPr>
            <w:tcW w:w="0" w:type="auto"/>
            <w:vAlign w:val="center"/>
          </w:tcPr>
          <w:p w:rsidR="006F0842" w:rsidRPr="00E00B35" w:rsidRDefault="006F0842" w:rsidP="00E00B35">
            <w:pPr>
              <w:spacing w:after="0" w:line="312" w:lineRule="auto"/>
              <w:rPr>
                <w:bCs/>
                <w:szCs w:val="20"/>
              </w:rPr>
            </w:pPr>
            <w:r w:rsidRPr="00E00B35">
              <w:rPr>
                <w:bCs/>
                <w:szCs w:val="20"/>
              </w:rPr>
              <w:t>4 743</w:t>
            </w:r>
          </w:p>
        </w:tc>
        <w:tc>
          <w:tcPr>
            <w:tcW w:w="0" w:type="auto"/>
            <w:vAlign w:val="center"/>
          </w:tcPr>
          <w:p w:rsidR="006F0842" w:rsidRPr="00E00B35" w:rsidRDefault="006F0842" w:rsidP="00E00B35">
            <w:pPr>
              <w:spacing w:after="0" w:line="312" w:lineRule="auto"/>
              <w:rPr>
                <w:bCs/>
                <w:szCs w:val="20"/>
              </w:rPr>
            </w:pPr>
            <w:r w:rsidRPr="00E00B35">
              <w:rPr>
                <w:bCs/>
                <w:szCs w:val="20"/>
              </w:rPr>
              <w:t>1</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5 594</w:t>
            </w:r>
          </w:p>
        </w:tc>
      </w:tr>
      <w:tr w:rsidR="006F0842" w:rsidRPr="00E00B35" w:rsidTr="00CD5048">
        <w:trPr>
          <w:cantSplit/>
          <w:trHeight w:val="20"/>
        </w:trPr>
        <w:tc>
          <w:tcPr>
            <w:tcW w:w="0" w:type="auto"/>
            <w:vAlign w:val="center"/>
          </w:tcPr>
          <w:p w:rsidR="006F0842" w:rsidRPr="00E00B35" w:rsidRDefault="006F0842" w:rsidP="00E00B35">
            <w:pPr>
              <w:spacing w:after="0" w:line="312" w:lineRule="auto"/>
              <w:rPr>
                <w:szCs w:val="20"/>
              </w:rPr>
            </w:pPr>
            <w:r w:rsidRPr="00E00B35">
              <w:rPr>
                <w:szCs w:val="20"/>
              </w:rPr>
              <w:t>kadencja III</w:t>
            </w:r>
          </w:p>
          <w:p w:rsidR="006F0842" w:rsidRPr="00E00B35" w:rsidRDefault="006F0842" w:rsidP="00E00B35">
            <w:pPr>
              <w:spacing w:after="0" w:line="312" w:lineRule="auto"/>
              <w:rPr>
                <w:szCs w:val="20"/>
              </w:rPr>
            </w:pPr>
            <w:r w:rsidRPr="00E00B35">
              <w:rPr>
                <w:szCs w:val="20"/>
              </w:rPr>
              <w:t>1998-2002</w:t>
            </w:r>
          </w:p>
        </w:tc>
        <w:tc>
          <w:tcPr>
            <w:tcW w:w="0" w:type="auto"/>
            <w:vAlign w:val="center"/>
          </w:tcPr>
          <w:p w:rsidR="006F0842" w:rsidRPr="00E00B35" w:rsidRDefault="006F0842" w:rsidP="00E00B35">
            <w:pPr>
              <w:spacing w:after="0" w:line="312" w:lineRule="auto"/>
              <w:rPr>
                <w:bCs/>
                <w:szCs w:val="20"/>
              </w:rPr>
            </w:pPr>
            <w:r w:rsidRPr="00E00B35">
              <w:rPr>
                <w:bCs/>
                <w:szCs w:val="20"/>
              </w:rPr>
              <w:t>1 878</w:t>
            </w:r>
          </w:p>
        </w:tc>
        <w:tc>
          <w:tcPr>
            <w:tcW w:w="0" w:type="auto"/>
            <w:vAlign w:val="center"/>
          </w:tcPr>
          <w:p w:rsidR="006F0842" w:rsidRPr="00E00B35" w:rsidRDefault="006F0842" w:rsidP="00E00B35">
            <w:pPr>
              <w:spacing w:after="0" w:line="312" w:lineRule="auto"/>
              <w:rPr>
                <w:bCs/>
                <w:szCs w:val="20"/>
              </w:rPr>
            </w:pPr>
            <w:r w:rsidRPr="00E00B35">
              <w:rPr>
                <w:bCs/>
                <w:szCs w:val="20"/>
              </w:rPr>
              <w:t>8</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1</w:t>
            </w:r>
          </w:p>
        </w:tc>
        <w:tc>
          <w:tcPr>
            <w:tcW w:w="0" w:type="auto"/>
            <w:vAlign w:val="center"/>
          </w:tcPr>
          <w:p w:rsidR="006F0842" w:rsidRPr="00E00B35" w:rsidRDefault="006F0842" w:rsidP="00E00B35">
            <w:pPr>
              <w:spacing w:after="0" w:line="312" w:lineRule="auto"/>
              <w:rPr>
                <w:bCs/>
                <w:szCs w:val="20"/>
              </w:rPr>
            </w:pPr>
            <w:r w:rsidRPr="00E00B35">
              <w:rPr>
                <w:bCs/>
                <w:szCs w:val="20"/>
              </w:rPr>
              <w:t>6 661</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8 548</w:t>
            </w:r>
          </w:p>
        </w:tc>
      </w:tr>
      <w:tr w:rsidR="006F0842" w:rsidRPr="00E00B35" w:rsidTr="00CD5048">
        <w:trPr>
          <w:cantSplit/>
          <w:trHeight w:val="20"/>
        </w:trPr>
        <w:tc>
          <w:tcPr>
            <w:tcW w:w="0" w:type="auto"/>
            <w:vAlign w:val="center"/>
          </w:tcPr>
          <w:p w:rsidR="006F0842" w:rsidRPr="00E00B35" w:rsidRDefault="006F0842" w:rsidP="00E00B35">
            <w:pPr>
              <w:spacing w:after="0" w:line="312" w:lineRule="auto"/>
              <w:rPr>
                <w:szCs w:val="20"/>
              </w:rPr>
            </w:pPr>
            <w:r w:rsidRPr="00E00B35">
              <w:rPr>
                <w:szCs w:val="20"/>
              </w:rPr>
              <w:t>kadencja IV</w:t>
            </w:r>
          </w:p>
          <w:p w:rsidR="006F0842" w:rsidRPr="00E00B35" w:rsidRDefault="006F0842" w:rsidP="00E00B35">
            <w:pPr>
              <w:spacing w:after="0" w:line="312" w:lineRule="auto"/>
              <w:rPr>
                <w:szCs w:val="20"/>
              </w:rPr>
            </w:pPr>
            <w:r w:rsidRPr="00E00B35">
              <w:rPr>
                <w:szCs w:val="20"/>
              </w:rPr>
              <w:t>2002-2006</w:t>
            </w:r>
          </w:p>
        </w:tc>
        <w:tc>
          <w:tcPr>
            <w:tcW w:w="0" w:type="auto"/>
            <w:vAlign w:val="center"/>
          </w:tcPr>
          <w:p w:rsidR="006F0842" w:rsidRPr="00E00B35" w:rsidRDefault="006F0842" w:rsidP="00E00B35">
            <w:pPr>
              <w:spacing w:after="0" w:line="312" w:lineRule="auto"/>
              <w:rPr>
                <w:bCs/>
                <w:szCs w:val="20"/>
              </w:rPr>
            </w:pPr>
            <w:r w:rsidRPr="00E00B35">
              <w:rPr>
                <w:bCs/>
                <w:szCs w:val="20"/>
              </w:rPr>
              <w:t>3 390</w:t>
            </w:r>
          </w:p>
        </w:tc>
        <w:tc>
          <w:tcPr>
            <w:tcW w:w="0" w:type="auto"/>
            <w:vAlign w:val="center"/>
          </w:tcPr>
          <w:p w:rsidR="006F0842" w:rsidRPr="00E00B35" w:rsidRDefault="006F0842" w:rsidP="00E00B35">
            <w:pPr>
              <w:spacing w:after="0" w:line="312" w:lineRule="auto"/>
              <w:rPr>
                <w:bCs/>
                <w:szCs w:val="20"/>
              </w:rPr>
            </w:pPr>
            <w:r w:rsidRPr="00E00B35">
              <w:rPr>
                <w:bCs/>
                <w:szCs w:val="20"/>
              </w:rPr>
              <w:t>8</w:t>
            </w:r>
          </w:p>
        </w:tc>
        <w:tc>
          <w:tcPr>
            <w:tcW w:w="0" w:type="auto"/>
            <w:vAlign w:val="center"/>
          </w:tcPr>
          <w:p w:rsidR="006F0842" w:rsidRPr="00E00B35" w:rsidRDefault="006F0842" w:rsidP="00E00B35">
            <w:pPr>
              <w:spacing w:after="0" w:line="312" w:lineRule="auto"/>
              <w:rPr>
                <w:bCs/>
                <w:szCs w:val="20"/>
              </w:rPr>
            </w:pPr>
            <w:r w:rsidRPr="00E00B35">
              <w:rPr>
                <w:bCs/>
                <w:szCs w:val="20"/>
              </w:rPr>
              <w:t>2</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9 120</w:t>
            </w:r>
          </w:p>
        </w:tc>
        <w:tc>
          <w:tcPr>
            <w:tcW w:w="0" w:type="auto"/>
            <w:vAlign w:val="center"/>
          </w:tcPr>
          <w:p w:rsidR="006F0842" w:rsidRPr="00E00B35" w:rsidRDefault="006F0842" w:rsidP="00E00B35">
            <w:pPr>
              <w:spacing w:after="0" w:line="312" w:lineRule="auto"/>
              <w:rPr>
                <w:bCs/>
                <w:szCs w:val="20"/>
              </w:rPr>
            </w:pPr>
            <w:r w:rsidRPr="00E00B35">
              <w:rPr>
                <w:bCs/>
                <w:szCs w:val="20"/>
              </w:rPr>
              <w:t>12 520</w:t>
            </w:r>
          </w:p>
        </w:tc>
      </w:tr>
      <w:tr w:rsidR="006F0842" w:rsidRPr="00E00B35" w:rsidTr="00CD5048">
        <w:trPr>
          <w:cantSplit/>
          <w:trHeight w:val="20"/>
        </w:trPr>
        <w:tc>
          <w:tcPr>
            <w:tcW w:w="0" w:type="auto"/>
            <w:vAlign w:val="center"/>
          </w:tcPr>
          <w:p w:rsidR="006F0842" w:rsidRPr="00E00B35" w:rsidRDefault="006F0842" w:rsidP="00E00B35">
            <w:pPr>
              <w:spacing w:after="0" w:line="312" w:lineRule="auto"/>
              <w:rPr>
                <w:szCs w:val="20"/>
              </w:rPr>
            </w:pPr>
            <w:r w:rsidRPr="00E00B35">
              <w:rPr>
                <w:szCs w:val="20"/>
              </w:rPr>
              <w:t>kadencja V</w:t>
            </w:r>
          </w:p>
          <w:p w:rsidR="006F0842" w:rsidRPr="00E00B35" w:rsidRDefault="006F0842" w:rsidP="00E00B35">
            <w:pPr>
              <w:spacing w:after="0" w:line="312" w:lineRule="auto"/>
              <w:rPr>
                <w:szCs w:val="20"/>
              </w:rPr>
            </w:pPr>
            <w:r w:rsidRPr="00E00B35">
              <w:rPr>
                <w:szCs w:val="20"/>
              </w:rPr>
              <w:t>2006-2010</w:t>
            </w:r>
          </w:p>
        </w:tc>
        <w:tc>
          <w:tcPr>
            <w:tcW w:w="0" w:type="auto"/>
            <w:vAlign w:val="center"/>
          </w:tcPr>
          <w:p w:rsidR="006F0842" w:rsidRPr="00E00B35" w:rsidRDefault="006F0842" w:rsidP="00E00B35">
            <w:pPr>
              <w:spacing w:after="0" w:line="312" w:lineRule="auto"/>
              <w:rPr>
                <w:bCs/>
                <w:szCs w:val="20"/>
              </w:rPr>
            </w:pPr>
            <w:r w:rsidRPr="00E00B35">
              <w:rPr>
                <w:bCs/>
                <w:szCs w:val="20"/>
              </w:rPr>
              <w:t>1 738</w:t>
            </w:r>
          </w:p>
        </w:tc>
        <w:tc>
          <w:tcPr>
            <w:tcW w:w="0" w:type="auto"/>
            <w:vAlign w:val="center"/>
          </w:tcPr>
          <w:p w:rsidR="006F0842" w:rsidRPr="00E00B35" w:rsidRDefault="006F0842" w:rsidP="00E00B35">
            <w:pPr>
              <w:spacing w:after="0" w:line="312" w:lineRule="auto"/>
              <w:rPr>
                <w:bCs/>
                <w:szCs w:val="20"/>
              </w:rPr>
            </w:pPr>
            <w:r w:rsidRPr="00E00B35">
              <w:rPr>
                <w:bCs/>
                <w:szCs w:val="20"/>
              </w:rPr>
              <w:t>1</w:t>
            </w:r>
          </w:p>
        </w:tc>
        <w:tc>
          <w:tcPr>
            <w:tcW w:w="0" w:type="auto"/>
            <w:vAlign w:val="center"/>
          </w:tcPr>
          <w:p w:rsidR="006F0842" w:rsidRPr="00E00B35" w:rsidRDefault="006F0842" w:rsidP="00E00B35">
            <w:pPr>
              <w:spacing w:after="0" w:line="312" w:lineRule="auto"/>
              <w:rPr>
                <w:bCs/>
                <w:szCs w:val="20"/>
              </w:rPr>
            </w:pPr>
            <w:r w:rsidRPr="00E00B35">
              <w:rPr>
                <w:bCs/>
                <w:szCs w:val="20"/>
              </w:rPr>
              <w:t>3</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11 200</w:t>
            </w:r>
          </w:p>
        </w:tc>
        <w:tc>
          <w:tcPr>
            <w:tcW w:w="0" w:type="auto"/>
            <w:vAlign w:val="center"/>
          </w:tcPr>
          <w:p w:rsidR="006F0842" w:rsidRPr="00E00B35" w:rsidRDefault="006F0842" w:rsidP="00E00B35">
            <w:pPr>
              <w:spacing w:after="0" w:line="312" w:lineRule="auto"/>
              <w:rPr>
                <w:bCs/>
                <w:szCs w:val="20"/>
              </w:rPr>
            </w:pPr>
            <w:r w:rsidRPr="00E00B35">
              <w:rPr>
                <w:bCs/>
                <w:szCs w:val="20"/>
              </w:rPr>
              <w:t>12 942</w:t>
            </w:r>
          </w:p>
        </w:tc>
      </w:tr>
      <w:tr w:rsidR="006F0842" w:rsidRPr="00E00B35" w:rsidTr="00CD5048">
        <w:trPr>
          <w:cantSplit/>
          <w:trHeight w:val="20"/>
        </w:trPr>
        <w:tc>
          <w:tcPr>
            <w:tcW w:w="0" w:type="auto"/>
            <w:vAlign w:val="center"/>
          </w:tcPr>
          <w:p w:rsidR="006F0842" w:rsidRPr="00E00B35" w:rsidRDefault="006F0842" w:rsidP="00E00B35">
            <w:pPr>
              <w:spacing w:after="0" w:line="312" w:lineRule="auto"/>
              <w:rPr>
                <w:szCs w:val="20"/>
              </w:rPr>
            </w:pPr>
            <w:r w:rsidRPr="00E00B35">
              <w:rPr>
                <w:szCs w:val="20"/>
              </w:rPr>
              <w:t>kadencja VI</w:t>
            </w:r>
          </w:p>
          <w:p w:rsidR="006F0842" w:rsidRPr="00E00B35" w:rsidRDefault="006F0842" w:rsidP="00E00B35">
            <w:pPr>
              <w:spacing w:after="0" w:line="312" w:lineRule="auto"/>
              <w:rPr>
                <w:szCs w:val="20"/>
              </w:rPr>
            </w:pPr>
            <w:r w:rsidRPr="00E00B35">
              <w:rPr>
                <w:szCs w:val="20"/>
              </w:rPr>
              <w:t>2010-2014</w:t>
            </w:r>
          </w:p>
        </w:tc>
        <w:tc>
          <w:tcPr>
            <w:tcW w:w="0" w:type="auto"/>
            <w:vAlign w:val="center"/>
          </w:tcPr>
          <w:p w:rsidR="006F0842" w:rsidRPr="00E00B35" w:rsidRDefault="006F0842" w:rsidP="00E00B35">
            <w:pPr>
              <w:spacing w:after="0" w:line="312" w:lineRule="auto"/>
              <w:rPr>
                <w:bCs/>
                <w:szCs w:val="20"/>
              </w:rPr>
            </w:pPr>
            <w:r w:rsidRPr="00E00B35">
              <w:rPr>
                <w:bCs/>
                <w:szCs w:val="20"/>
              </w:rPr>
              <w:t>1 711</w:t>
            </w:r>
          </w:p>
        </w:tc>
        <w:tc>
          <w:tcPr>
            <w:tcW w:w="0" w:type="auto"/>
            <w:vAlign w:val="center"/>
          </w:tcPr>
          <w:p w:rsidR="006F0842" w:rsidRPr="00E00B35" w:rsidRDefault="006F0842" w:rsidP="00E00B35">
            <w:pPr>
              <w:spacing w:after="0" w:line="312" w:lineRule="auto"/>
              <w:rPr>
                <w:bCs/>
                <w:szCs w:val="20"/>
              </w:rPr>
            </w:pPr>
            <w:r w:rsidRPr="00E00B35">
              <w:rPr>
                <w:bCs/>
                <w:szCs w:val="20"/>
              </w:rPr>
              <w:t>7</w:t>
            </w:r>
          </w:p>
        </w:tc>
        <w:tc>
          <w:tcPr>
            <w:tcW w:w="0" w:type="auto"/>
            <w:vAlign w:val="center"/>
          </w:tcPr>
          <w:p w:rsidR="006F0842" w:rsidRPr="00E00B35" w:rsidRDefault="006F0842" w:rsidP="00E00B35">
            <w:pPr>
              <w:spacing w:after="0" w:line="312" w:lineRule="auto"/>
              <w:rPr>
                <w:bCs/>
                <w:szCs w:val="20"/>
              </w:rPr>
            </w:pPr>
            <w:r w:rsidRPr="00E00B35">
              <w:rPr>
                <w:bCs/>
                <w:szCs w:val="20"/>
              </w:rPr>
              <w:t>6</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12 684</w:t>
            </w:r>
          </w:p>
        </w:tc>
        <w:tc>
          <w:tcPr>
            <w:tcW w:w="0" w:type="auto"/>
            <w:vAlign w:val="center"/>
          </w:tcPr>
          <w:p w:rsidR="006F0842" w:rsidRPr="00E00B35" w:rsidRDefault="006F0842" w:rsidP="00E00B35">
            <w:pPr>
              <w:spacing w:after="0" w:line="312" w:lineRule="auto"/>
              <w:rPr>
                <w:bCs/>
                <w:szCs w:val="20"/>
              </w:rPr>
            </w:pPr>
            <w:r w:rsidRPr="00E00B35">
              <w:rPr>
                <w:bCs/>
                <w:szCs w:val="20"/>
              </w:rPr>
              <w:t>14 408</w:t>
            </w:r>
          </w:p>
        </w:tc>
      </w:tr>
      <w:tr w:rsidR="006F0842" w:rsidRPr="00E00B35" w:rsidTr="00CD5048">
        <w:trPr>
          <w:cantSplit/>
          <w:trHeight w:val="20"/>
        </w:trPr>
        <w:tc>
          <w:tcPr>
            <w:tcW w:w="0" w:type="auto"/>
            <w:vAlign w:val="center"/>
          </w:tcPr>
          <w:p w:rsidR="006F0842" w:rsidRPr="00E00B35" w:rsidRDefault="006F0842" w:rsidP="00E00B35">
            <w:pPr>
              <w:spacing w:after="0" w:line="312" w:lineRule="auto"/>
              <w:rPr>
                <w:szCs w:val="20"/>
              </w:rPr>
            </w:pPr>
            <w:r w:rsidRPr="00E00B35">
              <w:rPr>
                <w:szCs w:val="20"/>
              </w:rPr>
              <w:t>kadencja VII</w:t>
            </w:r>
          </w:p>
          <w:p w:rsidR="006F0842" w:rsidRPr="00E00B35" w:rsidRDefault="006F0842" w:rsidP="00E00B35">
            <w:pPr>
              <w:spacing w:after="0" w:line="312" w:lineRule="auto"/>
              <w:rPr>
                <w:szCs w:val="20"/>
              </w:rPr>
            </w:pPr>
            <w:r w:rsidRPr="00E00B35">
              <w:rPr>
                <w:szCs w:val="20"/>
              </w:rPr>
              <w:t>2014-2018</w:t>
            </w:r>
          </w:p>
        </w:tc>
        <w:tc>
          <w:tcPr>
            <w:tcW w:w="0" w:type="auto"/>
            <w:vAlign w:val="center"/>
          </w:tcPr>
          <w:p w:rsidR="006F0842" w:rsidRPr="00E00B35" w:rsidRDefault="006F0842" w:rsidP="00E00B35">
            <w:pPr>
              <w:spacing w:after="0" w:line="312" w:lineRule="auto"/>
              <w:rPr>
                <w:bCs/>
                <w:szCs w:val="20"/>
              </w:rPr>
            </w:pPr>
            <w:r w:rsidRPr="00E00B35">
              <w:rPr>
                <w:bCs/>
                <w:szCs w:val="20"/>
              </w:rPr>
              <w:t>1 581</w:t>
            </w:r>
          </w:p>
        </w:tc>
        <w:tc>
          <w:tcPr>
            <w:tcW w:w="0" w:type="auto"/>
            <w:vAlign w:val="center"/>
          </w:tcPr>
          <w:p w:rsidR="006F0842" w:rsidRPr="00E00B35" w:rsidRDefault="006F0842" w:rsidP="00E00B35">
            <w:pPr>
              <w:spacing w:after="0" w:line="312" w:lineRule="auto"/>
              <w:rPr>
                <w:bCs/>
                <w:szCs w:val="20"/>
              </w:rPr>
            </w:pPr>
            <w:r w:rsidRPr="00E00B35">
              <w:rPr>
                <w:bCs/>
                <w:szCs w:val="20"/>
              </w:rPr>
              <w:t>9</w:t>
            </w:r>
          </w:p>
        </w:tc>
        <w:tc>
          <w:tcPr>
            <w:tcW w:w="0" w:type="auto"/>
            <w:vAlign w:val="center"/>
          </w:tcPr>
          <w:p w:rsidR="006F0842" w:rsidRPr="00E00B35" w:rsidRDefault="006F0842" w:rsidP="00E00B35">
            <w:pPr>
              <w:spacing w:after="0" w:line="312" w:lineRule="auto"/>
              <w:rPr>
                <w:bCs/>
                <w:szCs w:val="20"/>
              </w:rPr>
            </w:pPr>
            <w:r w:rsidRPr="00E00B35">
              <w:rPr>
                <w:bCs/>
                <w:szCs w:val="20"/>
              </w:rPr>
              <w:t>5</w:t>
            </w:r>
          </w:p>
        </w:tc>
        <w:tc>
          <w:tcPr>
            <w:tcW w:w="0" w:type="auto"/>
            <w:vAlign w:val="center"/>
          </w:tcPr>
          <w:p w:rsidR="006F0842" w:rsidRPr="00E00B35" w:rsidRDefault="006F0842" w:rsidP="00E00B35">
            <w:pPr>
              <w:spacing w:after="0" w:line="312" w:lineRule="auto"/>
              <w:rPr>
                <w:bCs/>
                <w:szCs w:val="20"/>
              </w:rPr>
            </w:pPr>
            <w:r w:rsidRPr="00E00B35">
              <w:rPr>
                <w:bCs/>
                <w:szCs w:val="20"/>
              </w:rPr>
              <w:t>3</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0</w:t>
            </w:r>
          </w:p>
        </w:tc>
        <w:tc>
          <w:tcPr>
            <w:tcW w:w="0" w:type="auto"/>
            <w:vAlign w:val="center"/>
          </w:tcPr>
          <w:p w:rsidR="006F0842" w:rsidRPr="00E00B35" w:rsidRDefault="006F0842" w:rsidP="00E00B35">
            <w:pPr>
              <w:spacing w:after="0" w:line="312" w:lineRule="auto"/>
              <w:rPr>
                <w:bCs/>
                <w:szCs w:val="20"/>
              </w:rPr>
            </w:pPr>
            <w:r w:rsidRPr="00E00B35">
              <w:rPr>
                <w:bCs/>
                <w:szCs w:val="20"/>
              </w:rPr>
              <w:t>10 919</w:t>
            </w:r>
          </w:p>
        </w:tc>
        <w:tc>
          <w:tcPr>
            <w:tcW w:w="0" w:type="auto"/>
            <w:vAlign w:val="center"/>
          </w:tcPr>
          <w:p w:rsidR="006F0842" w:rsidRPr="00E00B35" w:rsidRDefault="006F0842" w:rsidP="00E00B35">
            <w:pPr>
              <w:spacing w:after="0" w:line="312" w:lineRule="auto"/>
              <w:rPr>
                <w:bCs/>
                <w:szCs w:val="20"/>
              </w:rPr>
            </w:pPr>
            <w:r w:rsidRPr="00E00B35">
              <w:rPr>
                <w:bCs/>
                <w:szCs w:val="20"/>
              </w:rPr>
              <w:t>12 517</w:t>
            </w:r>
          </w:p>
        </w:tc>
      </w:tr>
      <w:tr w:rsidR="006F0842" w:rsidRPr="00E00B35" w:rsidTr="00CD5048">
        <w:trPr>
          <w:cantSplit/>
          <w:trHeight w:val="20"/>
        </w:trPr>
        <w:tc>
          <w:tcPr>
            <w:tcW w:w="0" w:type="auto"/>
            <w:vAlign w:val="center"/>
          </w:tcPr>
          <w:p w:rsidR="006F0842" w:rsidRPr="00E00B35" w:rsidRDefault="006F0842" w:rsidP="00E00B35">
            <w:pPr>
              <w:spacing w:after="0" w:line="312" w:lineRule="auto"/>
              <w:rPr>
                <w:szCs w:val="20"/>
              </w:rPr>
            </w:pPr>
            <w:r w:rsidRPr="00E00B35">
              <w:rPr>
                <w:szCs w:val="20"/>
              </w:rPr>
              <w:t>Razem</w:t>
            </w:r>
          </w:p>
          <w:p w:rsidR="006F0842" w:rsidRPr="00E00B35" w:rsidRDefault="006F0842" w:rsidP="00E00B35">
            <w:pPr>
              <w:spacing w:after="0" w:line="312" w:lineRule="auto"/>
              <w:rPr>
                <w:szCs w:val="20"/>
              </w:rPr>
            </w:pPr>
            <w:r w:rsidRPr="00E00B35">
              <w:rPr>
                <w:szCs w:val="20"/>
              </w:rPr>
              <w:t>kadencje I-VII</w:t>
            </w:r>
          </w:p>
        </w:tc>
        <w:tc>
          <w:tcPr>
            <w:tcW w:w="0" w:type="auto"/>
            <w:vAlign w:val="center"/>
          </w:tcPr>
          <w:p w:rsidR="006F0842" w:rsidRPr="00E00B35" w:rsidRDefault="006F0842" w:rsidP="00E00B35">
            <w:pPr>
              <w:spacing w:after="0" w:line="312" w:lineRule="auto"/>
              <w:rPr>
                <w:szCs w:val="20"/>
              </w:rPr>
            </w:pPr>
            <w:r w:rsidRPr="00E00B35">
              <w:rPr>
                <w:szCs w:val="20"/>
              </w:rPr>
              <w:t>11 656</w:t>
            </w:r>
          </w:p>
        </w:tc>
        <w:tc>
          <w:tcPr>
            <w:tcW w:w="0" w:type="auto"/>
            <w:vAlign w:val="center"/>
          </w:tcPr>
          <w:p w:rsidR="006F0842" w:rsidRPr="00E00B35" w:rsidRDefault="006F0842" w:rsidP="00E00B35">
            <w:pPr>
              <w:spacing w:after="0" w:line="312" w:lineRule="auto"/>
              <w:rPr>
                <w:szCs w:val="20"/>
              </w:rPr>
            </w:pPr>
            <w:r w:rsidRPr="00E00B35">
              <w:rPr>
                <w:szCs w:val="20"/>
              </w:rPr>
              <w:t>60</w:t>
            </w:r>
          </w:p>
        </w:tc>
        <w:tc>
          <w:tcPr>
            <w:tcW w:w="0" w:type="auto"/>
            <w:vAlign w:val="center"/>
          </w:tcPr>
          <w:p w:rsidR="006F0842" w:rsidRPr="00E00B35" w:rsidRDefault="006F0842" w:rsidP="00E00B35">
            <w:pPr>
              <w:spacing w:after="0" w:line="312" w:lineRule="auto"/>
              <w:rPr>
                <w:szCs w:val="20"/>
              </w:rPr>
            </w:pPr>
            <w:r w:rsidRPr="00E00B35">
              <w:rPr>
                <w:szCs w:val="20"/>
              </w:rPr>
              <w:t>19</w:t>
            </w:r>
          </w:p>
        </w:tc>
        <w:tc>
          <w:tcPr>
            <w:tcW w:w="0" w:type="auto"/>
            <w:vAlign w:val="center"/>
          </w:tcPr>
          <w:p w:rsidR="006F0842" w:rsidRPr="00E00B35" w:rsidRDefault="006F0842" w:rsidP="00E00B35">
            <w:pPr>
              <w:spacing w:after="0" w:line="312" w:lineRule="auto"/>
              <w:rPr>
                <w:szCs w:val="20"/>
              </w:rPr>
            </w:pPr>
            <w:r w:rsidRPr="00E00B35">
              <w:rPr>
                <w:szCs w:val="20"/>
              </w:rPr>
              <w:t>7</w:t>
            </w:r>
          </w:p>
        </w:tc>
        <w:tc>
          <w:tcPr>
            <w:tcW w:w="0" w:type="auto"/>
            <w:vAlign w:val="center"/>
          </w:tcPr>
          <w:p w:rsidR="006F0842" w:rsidRPr="00E00B35" w:rsidRDefault="006F0842" w:rsidP="00E00B35">
            <w:pPr>
              <w:spacing w:after="0" w:line="312" w:lineRule="auto"/>
              <w:rPr>
                <w:szCs w:val="20"/>
              </w:rPr>
            </w:pPr>
            <w:r w:rsidRPr="00E00B35">
              <w:rPr>
                <w:szCs w:val="20"/>
              </w:rPr>
              <w:t>13 548</w:t>
            </w:r>
          </w:p>
        </w:tc>
        <w:tc>
          <w:tcPr>
            <w:tcW w:w="0" w:type="auto"/>
            <w:vAlign w:val="center"/>
          </w:tcPr>
          <w:p w:rsidR="006F0842" w:rsidRPr="00E00B35" w:rsidRDefault="006F0842" w:rsidP="00E00B35">
            <w:pPr>
              <w:spacing w:after="0" w:line="312" w:lineRule="auto"/>
              <w:rPr>
                <w:szCs w:val="20"/>
              </w:rPr>
            </w:pPr>
            <w:r w:rsidRPr="00E00B35">
              <w:rPr>
                <w:szCs w:val="20"/>
              </w:rPr>
              <w:t>1</w:t>
            </w:r>
          </w:p>
        </w:tc>
        <w:tc>
          <w:tcPr>
            <w:tcW w:w="0" w:type="auto"/>
            <w:vAlign w:val="center"/>
          </w:tcPr>
          <w:p w:rsidR="006F0842" w:rsidRPr="00E00B35" w:rsidRDefault="006F0842" w:rsidP="00E00B35">
            <w:pPr>
              <w:spacing w:after="0" w:line="312" w:lineRule="auto"/>
              <w:rPr>
                <w:szCs w:val="20"/>
              </w:rPr>
            </w:pPr>
            <w:r w:rsidRPr="00E00B35">
              <w:rPr>
                <w:szCs w:val="20"/>
              </w:rPr>
              <w:t>43 923</w:t>
            </w:r>
          </w:p>
        </w:tc>
        <w:tc>
          <w:tcPr>
            <w:tcW w:w="0" w:type="auto"/>
            <w:vAlign w:val="center"/>
          </w:tcPr>
          <w:p w:rsidR="006F0842" w:rsidRPr="00E00B35" w:rsidRDefault="006F0842" w:rsidP="00E00B35">
            <w:pPr>
              <w:spacing w:after="0" w:line="312" w:lineRule="auto"/>
              <w:rPr>
                <w:bCs/>
                <w:szCs w:val="20"/>
              </w:rPr>
            </w:pPr>
            <w:r w:rsidRPr="00E00B35">
              <w:rPr>
                <w:bCs/>
                <w:szCs w:val="20"/>
              </w:rPr>
              <w:t>69 214</w:t>
            </w:r>
          </w:p>
        </w:tc>
      </w:tr>
      <w:tr w:rsidR="006F0842" w:rsidRPr="00E00B35" w:rsidTr="00CD5048">
        <w:trPr>
          <w:cantSplit/>
          <w:trHeight w:val="20"/>
        </w:trPr>
        <w:tc>
          <w:tcPr>
            <w:tcW w:w="0" w:type="auto"/>
            <w:vAlign w:val="center"/>
          </w:tcPr>
          <w:p w:rsidR="006F0842" w:rsidRPr="00E00B35" w:rsidRDefault="006F0842" w:rsidP="00E00B35">
            <w:pPr>
              <w:spacing w:after="0" w:line="312" w:lineRule="auto"/>
              <w:rPr>
                <w:szCs w:val="20"/>
              </w:rPr>
            </w:pPr>
            <w:r w:rsidRPr="00E00B35">
              <w:rPr>
                <w:szCs w:val="20"/>
              </w:rPr>
              <w:t>kadencja VIII</w:t>
            </w:r>
          </w:p>
          <w:p w:rsidR="006F0842" w:rsidRPr="00E00B35" w:rsidRDefault="006F0842" w:rsidP="00E00B35">
            <w:pPr>
              <w:spacing w:after="0" w:line="312" w:lineRule="auto"/>
              <w:rPr>
                <w:szCs w:val="20"/>
              </w:rPr>
            </w:pPr>
            <w:r w:rsidRPr="00E00B35">
              <w:rPr>
                <w:szCs w:val="20"/>
              </w:rPr>
              <w:t>2018-2023</w:t>
            </w:r>
          </w:p>
        </w:tc>
        <w:tc>
          <w:tcPr>
            <w:tcW w:w="0" w:type="auto"/>
            <w:vAlign w:val="center"/>
          </w:tcPr>
          <w:p w:rsidR="006F0842" w:rsidRPr="00E00B35" w:rsidRDefault="006F0842" w:rsidP="00E00B35">
            <w:pPr>
              <w:spacing w:after="0" w:line="312" w:lineRule="auto"/>
              <w:rPr>
                <w:szCs w:val="20"/>
              </w:rPr>
            </w:pPr>
            <w:r w:rsidRPr="00E00B35">
              <w:rPr>
                <w:szCs w:val="20"/>
              </w:rPr>
              <w:t>833</w:t>
            </w:r>
          </w:p>
        </w:tc>
        <w:tc>
          <w:tcPr>
            <w:tcW w:w="0" w:type="auto"/>
            <w:vAlign w:val="center"/>
          </w:tcPr>
          <w:p w:rsidR="006F0842" w:rsidRPr="00E00B35" w:rsidRDefault="006F0842" w:rsidP="00E00B35">
            <w:pPr>
              <w:spacing w:after="0" w:line="312" w:lineRule="auto"/>
              <w:rPr>
                <w:szCs w:val="20"/>
              </w:rPr>
            </w:pPr>
            <w:r w:rsidRPr="00E00B35">
              <w:rPr>
                <w:szCs w:val="20"/>
              </w:rPr>
              <w:t>4</w:t>
            </w:r>
          </w:p>
        </w:tc>
        <w:tc>
          <w:tcPr>
            <w:tcW w:w="0" w:type="auto"/>
            <w:vAlign w:val="center"/>
          </w:tcPr>
          <w:p w:rsidR="006F0842" w:rsidRPr="00E00B35" w:rsidRDefault="006F0842" w:rsidP="00E00B35">
            <w:pPr>
              <w:spacing w:after="0" w:line="312" w:lineRule="auto"/>
              <w:rPr>
                <w:szCs w:val="20"/>
              </w:rPr>
            </w:pPr>
            <w:r w:rsidRPr="00E00B35">
              <w:rPr>
                <w:szCs w:val="20"/>
              </w:rPr>
              <w:t>5</w:t>
            </w:r>
          </w:p>
        </w:tc>
        <w:tc>
          <w:tcPr>
            <w:tcW w:w="0" w:type="auto"/>
            <w:vAlign w:val="center"/>
          </w:tcPr>
          <w:p w:rsidR="006F0842" w:rsidRPr="00E00B35" w:rsidRDefault="006F0842" w:rsidP="00E00B35">
            <w:pPr>
              <w:spacing w:after="0" w:line="312" w:lineRule="auto"/>
              <w:rPr>
                <w:szCs w:val="20"/>
              </w:rPr>
            </w:pPr>
            <w:r w:rsidRPr="00E00B35">
              <w:rPr>
                <w:szCs w:val="20"/>
              </w:rPr>
              <w:t>4</w:t>
            </w:r>
          </w:p>
        </w:tc>
        <w:tc>
          <w:tcPr>
            <w:tcW w:w="0" w:type="auto"/>
            <w:vAlign w:val="center"/>
          </w:tcPr>
          <w:p w:rsidR="006F0842" w:rsidRPr="00E00B35" w:rsidRDefault="006F0842" w:rsidP="00E00B35">
            <w:pPr>
              <w:spacing w:after="0" w:line="312" w:lineRule="auto"/>
              <w:rPr>
                <w:szCs w:val="20"/>
              </w:rPr>
            </w:pPr>
            <w:r w:rsidRPr="00E00B35">
              <w:rPr>
                <w:szCs w:val="20"/>
              </w:rPr>
              <w:t>0</w:t>
            </w:r>
          </w:p>
        </w:tc>
        <w:tc>
          <w:tcPr>
            <w:tcW w:w="0" w:type="auto"/>
            <w:vAlign w:val="center"/>
          </w:tcPr>
          <w:p w:rsidR="006F0842" w:rsidRPr="00E00B35" w:rsidRDefault="006F0842" w:rsidP="00E00B35">
            <w:pPr>
              <w:spacing w:after="0" w:line="312" w:lineRule="auto"/>
              <w:rPr>
                <w:szCs w:val="20"/>
              </w:rPr>
            </w:pPr>
            <w:r w:rsidRPr="00E00B35">
              <w:rPr>
                <w:szCs w:val="20"/>
              </w:rPr>
              <w:t>0</w:t>
            </w:r>
          </w:p>
        </w:tc>
        <w:tc>
          <w:tcPr>
            <w:tcW w:w="0" w:type="auto"/>
            <w:vAlign w:val="center"/>
          </w:tcPr>
          <w:p w:rsidR="006F0842" w:rsidRPr="00E00B35" w:rsidRDefault="006F0842" w:rsidP="00E00B35">
            <w:pPr>
              <w:spacing w:after="0" w:line="312" w:lineRule="auto"/>
              <w:rPr>
                <w:szCs w:val="20"/>
              </w:rPr>
            </w:pPr>
            <w:r w:rsidRPr="00E00B35">
              <w:rPr>
                <w:szCs w:val="20"/>
              </w:rPr>
              <w:t>4 370</w:t>
            </w:r>
          </w:p>
        </w:tc>
        <w:tc>
          <w:tcPr>
            <w:tcW w:w="0" w:type="auto"/>
            <w:vAlign w:val="center"/>
          </w:tcPr>
          <w:p w:rsidR="006F0842" w:rsidRPr="00E00B35" w:rsidRDefault="006F0842" w:rsidP="00E00B35">
            <w:pPr>
              <w:spacing w:after="0" w:line="312" w:lineRule="auto"/>
              <w:rPr>
                <w:bCs/>
                <w:szCs w:val="20"/>
              </w:rPr>
            </w:pPr>
            <w:r w:rsidRPr="00E00B35">
              <w:rPr>
                <w:bCs/>
                <w:szCs w:val="20"/>
              </w:rPr>
              <w:t>5 216</w:t>
            </w:r>
          </w:p>
        </w:tc>
      </w:tr>
      <w:tr w:rsidR="006F0842" w:rsidRPr="00E00B35" w:rsidTr="00CD5048">
        <w:trPr>
          <w:cantSplit/>
          <w:trHeight w:val="20"/>
        </w:trPr>
        <w:tc>
          <w:tcPr>
            <w:tcW w:w="0" w:type="auto"/>
            <w:vAlign w:val="center"/>
          </w:tcPr>
          <w:p w:rsidR="006F0842" w:rsidRPr="00E00B35" w:rsidRDefault="006F0842" w:rsidP="00E00B35">
            <w:pPr>
              <w:spacing w:after="0" w:line="312" w:lineRule="auto"/>
              <w:rPr>
                <w:szCs w:val="20"/>
              </w:rPr>
            </w:pPr>
            <w:r w:rsidRPr="00E00B35">
              <w:rPr>
                <w:szCs w:val="20"/>
              </w:rPr>
              <w:t>Razem</w:t>
            </w:r>
          </w:p>
          <w:p w:rsidR="006F0842" w:rsidRPr="00E00B35" w:rsidRDefault="006F0842" w:rsidP="00E00B35">
            <w:pPr>
              <w:spacing w:after="0" w:line="312" w:lineRule="auto"/>
              <w:rPr>
                <w:szCs w:val="20"/>
              </w:rPr>
            </w:pPr>
            <w:r w:rsidRPr="00E00B35">
              <w:rPr>
                <w:szCs w:val="20"/>
              </w:rPr>
              <w:t xml:space="preserve">kadencje </w:t>
            </w:r>
            <w:r w:rsidRPr="00E00B35">
              <w:rPr>
                <w:szCs w:val="20"/>
              </w:rPr>
              <w:br/>
              <w:t>I-VIII</w:t>
            </w:r>
          </w:p>
        </w:tc>
        <w:tc>
          <w:tcPr>
            <w:tcW w:w="0" w:type="auto"/>
            <w:vAlign w:val="center"/>
          </w:tcPr>
          <w:p w:rsidR="006F0842" w:rsidRPr="00E00B35" w:rsidRDefault="006F0842" w:rsidP="00E00B35">
            <w:pPr>
              <w:spacing w:after="0" w:line="312" w:lineRule="auto"/>
              <w:rPr>
                <w:szCs w:val="20"/>
              </w:rPr>
            </w:pPr>
            <w:r w:rsidRPr="00E00B35">
              <w:rPr>
                <w:szCs w:val="20"/>
              </w:rPr>
              <w:t>12 489</w:t>
            </w:r>
          </w:p>
        </w:tc>
        <w:tc>
          <w:tcPr>
            <w:tcW w:w="0" w:type="auto"/>
            <w:vAlign w:val="center"/>
          </w:tcPr>
          <w:p w:rsidR="006F0842" w:rsidRPr="00E00B35" w:rsidRDefault="006F0842" w:rsidP="00E00B35">
            <w:pPr>
              <w:spacing w:after="0" w:line="312" w:lineRule="auto"/>
              <w:rPr>
                <w:szCs w:val="20"/>
              </w:rPr>
            </w:pPr>
            <w:r w:rsidRPr="00E00B35">
              <w:rPr>
                <w:szCs w:val="20"/>
              </w:rPr>
              <w:t>64</w:t>
            </w:r>
          </w:p>
        </w:tc>
        <w:tc>
          <w:tcPr>
            <w:tcW w:w="0" w:type="auto"/>
            <w:vAlign w:val="center"/>
          </w:tcPr>
          <w:p w:rsidR="006F0842" w:rsidRPr="00E00B35" w:rsidRDefault="006F0842" w:rsidP="00E00B35">
            <w:pPr>
              <w:spacing w:after="0" w:line="312" w:lineRule="auto"/>
              <w:rPr>
                <w:szCs w:val="20"/>
              </w:rPr>
            </w:pPr>
            <w:r w:rsidRPr="00E00B35">
              <w:rPr>
                <w:szCs w:val="20"/>
              </w:rPr>
              <w:t>24</w:t>
            </w:r>
          </w:p>
        </w:tc>
        <w:tc>
          <w:tcPr>
            <w:tcW w:w="0" w:type="auto"/>
            <w:vAlign w:val="center"/>
          </w:tcPr>
          <w:p w:rsidR="006F0842" w:rsidRPr="00E00B35" w:rsidRDefault="006F0842" w:rsidP="00E00B35">
            <w:pPr>
              <w:spacing w:after="0" w:line="312" w:lineRule="auto"/>
              <w:rPr>
                <w:szCs w:val="20"/>
              </w:rPr>
            </w:pPr>
            <w:r w:rsidRPr="00E00B35">
              <w:rPr>
                <w:szCs w:val="20"/>
              </w:rPr>
              <w:t>11</w:t>
            </w:r>
          </w:p>
        </w:tc>
        <w:tc>
          <w:tcPr>
            <w:tcW w:w="0" w:type="auto"/>
            <w:vAlign w:val="center"/>
          </w:tcPr>
          <w:p w:rsidR="006F0842" w:rsidRPr="00E00B35" w:rsidRDefault="006F0842" w:rsidP="00E00B35">
            <w:pPr>
              <w:spacing w:after="0" w:line="312" w:lineRule="auto"/>
              <w:rPr>
                <w:szCs w:val="20"/>
              </w:rPr>
            </w:pPr>
            <w:r w:rsidRPr="00E00B35">
              <w:rPr>
                <w:szCs w:val="20"/>
              </w:rPr>
              <w:t>13 548</w:t>
            </w:r>
          </w:p>
        </w:tc>
        <w:tc>
          <w:tcPr>
            <w:tcW w:w="0" w:type="auto"/>
            <w:vAlign w:val="center"/>
          </w:tcPr>
          <w:p w:rsidR="006F0842" w:rsidRPr="00E00B35" w:rsidRDefault="006F0842" w:rsidP="00E00B35">
            <w:pPr>
              <w:spacing w:after="0" w:line="312" w:lineRule="auto"/>
              <w:rPr>
                <w:szCs w:val="20"/>
              </w:rPr>
            </w:pPr>
            <w:r w:rsidRPr="00E00B35">
              <w:rPr>
                <w:szCs w:val="20"/>
              </w:rPr>
              <w:t>1</w:t>
            </w:r>
          </w:p>
        </w:tc>
        <w:tc>
          <w:tcPr>
            <w:tcW w:w="0" w:type="auto"/>
            <w:vAlign w:val="center"/>
          </w:tcPr>
          <w:p w:rsidR="006F0842" w:rsidRPr="00E00B35" w:rsidRDefault="006F0842" w:rsidP="00E00B35">
            <w:pPr>
              <w:spacing w:after="0" w:line="312" w:lineRule="auto"/>
              <w:rPr>
                <w:szCs w:val="20"/>
              </w:rPr>
            </w:pPr>
            <w:r w:rsidRPr="00E00B35">
              <w:rPr>
                <w:szCs w:val="20"/>
              </w:rPr>
              <w:t>48 293</w:t>
            </w:r>
          </w:p>
        </w:tc>
        <w:tc>
          <w:tcPr>
            <w:tcW w:w="0" w:type="auto"/>
            <w:vAlign w:val="center"/>
          </w:tcPr>
          <w:p w:rsidR="006F0842" w:rsidRPr="00E00B35" w:rsidRDefault="006F0842" w:rsidP="00E00B35">
            <w:pPr>
              <w:spacing w:after="0" w:line="312" w:lineRule="auto"/>
              <w:rPr>
                <w:bCs/>
                <w:szCs w:val="20"/>
              </w:rPr>
            </w:pPr>
            <w:r w:rsidRPr="00E00B35">
              <w:rPr>
                <w:bCs/>
                <w:szCs w:val="20"/>
              </w:rPr>
              <w:t>74 430</w:t>
            </w:r>
          </w:p>
        </w:tc>
      </w:tr>
    </w:tbl>
    <w:p w:rsidR="006F0842" w:rsidRPr="00E00B35" w:rsidRDefault="006F0842" w:rsidP="00E00B35">
      <w:pPr>
        <w:pStyle w:val="Akapitzlist"/>
        <w:tabs>
          <w:tab w:val="left" w:pos="0"/>
        </w:tabs>
        <w:spacing w:after="0" w:line="312" w:lineRule="auto"/>
        <w:ind w:left="0"/>
        <w:rPr>
          <w:szCs w:val="20"/>
        </w:rPr>
      </w:pPr>
    </w:p>
    <w:p w:rsidR="006F0842" w:rsidRPr="00E00B35" w:rsidRDefault="006F0842" w:rsidP="00E00B35">
      <w:pPr>
        <w:pStyle w:val="Akapitzlist"/>
        <w:tabs>
          <w:tab w:val="left" w:pos="0"/>
        </w:tabs>
        <w:spacing w:after="0" w:line="312" w:lineRule="auto"/>
        <w:ind w:left="0"/>
        <w:rPr>
          <w:szCs w:val="20"/>
        </w:rPr>
      </w:pPr>
      <w:r w:rsidRPr="00E00B35">
        <w:rPr>
          <w:szCs w:val="20"/>
        </w:rPr>
        <w:t>Zestawienie wydanych aktów prawnych w okresie od 27 maja 1990 r. do 31 grudnia 2020 r. - akty prawne kierownika urzędu z lat 1990-2020 i starosty z lat 1999-2002</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3"/>
        <w:gridCol w:w="4171"/>
        <w:gridCol w:w="2106"/>
        <w:gridCol w:w="1175"/>
        <w:gridCol w:w="769"/>
      </w:tblGrid>
      <w:tr w:rsidR="006F0842" w:rsidRPr="00E00B35" w:rsidTr="00CD5048">
        <w:trPr>
          <w:cantSplit/>
          <w:trHeight w:val="532"/>
        </w:trPr>
        <w:tc>
          <w:tcPr>
            <w:tcW w:w="1063" w:type="dxa"/>
            <w:vAlign w:val="center"/>
          </w:tcPr>
          <w:p w:rsidR="006F0842" w:rsidRPr="00E00B35" w:rsidRDefault="006F0842" w:rsidP="00E00B35">
            <w:pPr>
              <w:spacing w:after="0" w:line="312" w:lineRule="auto"/>
              <w:rPr>
                <w:szCs w:val="20"/>
              </w:rPr>
            </w:pPr>
            <w:r w:rsidRPr="00E00B35">
              <w:rPr>
                <w:szCs w:val="20"/>
              </w:rPr>
              <w:t>Okres</w:t>
            </w:r>
          </w:p>
        </w:tc>
        <w:tc>
          <w:tcPr>
            <w:tcW w:w="4171" w:type="dxa"/>
            <w:vAlign w:val="center"/>
          </w:tcPr>
          <w:p w:rsidR="006F0842" w:rsidRPr="00E00B35" w:rsidRDefault="006F0842" w:rsidP="00E00B35">
            <w:pPr>
              <w:spacing w:after="0" w:line="312" w:lineRule="auto"/>
              <w:rPr>
                <w:szCs w:val="20"/>
              </w:rPr>
            </w:pPr>
            <w:r w:rsidRPr="00E00B35">
              <w:rPr>
                <w:szCs w:val="20"/>
              </w:rPr>
              <w:t xml:space="preserve">Rada Miejska Wrocławia </w:t>
            </w:r>
          </w:p>
          <w:p w:rsidR="006F0842" w:rsidRPr="00E00B35" w:rsidRDefault="006F0842" w:rsidP="00E00B35">
            <w:pPr>
              <w:spacing w:after="0" w:line="312" w:lineRule="auto"/>
              <w:rPr>
                <w:szCs w:val="20"/>
              </w:rPr>
            </w:pPr>
            <w:r w:rsidRPr="00E00B35">
              <w:rPr>
                <w:szCs w:val="20"/>
              </w:rPr>
              <w:t>- uchwały, stanowiska, apele, rezolucje</w:t>
            </w:r>
          </w:p>
        </w:tc>
        <w:tc>
          <w:tcPr>
            <w:tcW w:w="2106" w:type="dxa"/>
            <w:vAlign w:val="center"/>
          </w:tcPr>
          <w:p w:rsidR="006F0842" w:rsidRPr="00E00B35" w:rsidRDefault="006F0842" w:rsidP="00E00B35">
            <w:pPr>
              <w:spacing w:after="0" w:line="312" w:lineRule="auto"/>
              <w:rPr>
                <w:szCs w:val="20"/>
              </w:rPr>
            </w:pPr>
            <w:r w:rsidRPr="00E00B35">
              <w:rPr>
                <w:szCs w:val="20"/>
              </w:rPr>
              <w:t>Zarząd Miasta</w:t>
            </w:r>
          </w:p>
          <w:p w:rsidR="006F0842" w:rsidRPr="00E00B35" w:rsidRDefault="006F0842" w:rsidP="00E00B35">
            <w:pPr>
              <w:spacing w:after="0" w:line="312" w:lineRule="auto"/>
              <w:rPr>
                <w:szCs w:val="20"/>
              </w:rPr>
            </w:pPr>
            <w:r w:rsidRPr="00E00B35">
              <w:rPr>
                <w:szCs w:val="20"/>
              </w:rPr>
              <w:t xml:space="preserve">Wrocławia </w:t>
            </w:r>
          </w:p>
          <w:p w:rsidR="006F0842" w:rsidRPr="00E00B35" w:rsidRDefault="006F0842" w:rsidP="00E00B35">
            <w:pPr>
              <w:spacing w:after="0" w:line="312" w:lineRule="auto"/>
              <w:rPr>
                <w:szCs w:val="20"/>
              </w:rPr>
            </w:pPr>
            <w:r w:rsidRPr="00E00B35">
              <w:rPr>
                <w:szCs w:val="20"/>
              </w:rPr>
              <w:t>- uchwały, zarządzenie</w:t>
            </w:r>
          </w:p>
          <w:p w:rsidR="006F0842" w:rsidRPr="00E00B35" w:rsidRDefault="006F0842" w:rsidP="00E00B35">
            <w:pPr>
              <w:spacing w:after="0" w:line="312" w:lineRule="auto"/>
              <w:rPr>
                <w:szCs w:val="20"/>
              </w:rPr>
            </w:pPr>
            <w:r w:rsidRPr="00E00B35">
              <w:rPr>
                <w:szCs w:val="20"/>
              </w:rPr>
              <w:t>porządkowe</w:t>
            </w:r>
          </w:p>
        </w:tc>
        <w:tc>
          <w:tcPr>
            <w:tcW w:w="1175" w:type="dxa"/>
            <w:vAlign w:val="center"/>
          </w:tcPr>
          <w:p w:rsidR="006F0842" w:rsidRPr="00E00B35" w:rsidRDefault="006F0842" w:rsidP="00E00B35">
            <w:pPr>
              <w:spacing w:after="0" w:line="312" w:lineRule="auto"/>
              <w:rPr>
                <w:szCs w:val="20"/>
              </w:rPr>
            </w:pPr>
            <w:r w:rsidRPr="00E00B35">
              <w:rPr>
                <w:szCs w:val="20"/>
              </w:rPr>
              <w:t>Prezydent Wrocławia</w:t>
            </w:r>
          </w:p>
          <w:p w:rsidR="006F0842" w:rsidRPr="00E00B35" w:rsidRDefault="006F0842" w:rsidP="00E00B35">
            <w:pPr>
              <w:spacing w:after="0" w:line="312" w:lineRule="auto"/>
              <w:rPr>
                <w:szCs w:val="20"/>
              </w:rPr>
            </w:pPr>
            <w:r w:rsidRPr="00E00B35">
              <w:rPr>
                <w:szCs w:val="20"/>
              </w:rPr>
              <w:t>- akty prawne kierownika urzędu z lat 1990-2020 i starosty z lat 1999-2002</w:t>
            </w:r>
          </w:p>
        </w:tc>
        <w:tc>
          <w:tcPr>
            <w:tcW w:w="769" w:type="dxa"/>
          </w:tcPr>
          <w:p w:rsidR="006F0842" w:rsidRPr="00E00B35" w:rsidRDefault="006F0842" w:rsidP="00E00B35">
            <w:pPr>
              <w:spacing w:after="0" w:line="312" w:lineRule="auto"/>
              <w:rPr>
                <w:szCs w:val="20"/>
              </w:rPr>
            </w:pPr>
            <w:r w:rsidRPr="00E00B35">
              <w:rPr>
                <w:szCs w:val="20"/>
              </w:rPr>
              <w:t>Ogółem</w:t>
            </w:r>
          </w:p>
        </w:tc>
      </w:tr>
      <w:tr w:rsidR="006F0842" w:rsidRPr="00E00B35" w:rsidTr="00CD5048">
        <w:trPr>
          <w:cantSplit/>
          <w:trHeight w:val="20"/>
        </w:trPr>
        <w:tc>
          <w:tcPr>
            <w:tcW w:w="1063" w:type="dxa"/>
            <w:vAlign w:val="center"/>
          </w:tcPr>
          <w:p w:rsidR="006F0842" w:rsidRPr="00E00B35" w:rsidRDefault="006F0842" w:rsidP="00E00B35">
            <w:pPr>
              <w:spacing w:after="0" w:line="312" w:lineRule="auto"/>
              <w:rPr>
                <w:szCs w:val="20"/>
              </w:rPr>
            </w:pPr>
            <w:r w:rsidRPr="00E00B35">
              <w:rPr>
                <w:szCs w:val="20"/>
              </w:rPr>
              <w:t xml:space="preserve">lata </w:t>
            </w:r>
            <w:r w:rsidRPr="00E00B35">
              <w:rPr>
                <w:szCs w:val="20"/>
              </w:rPr>
              <w:br/>
              <w:t>1990-2020</w:t>
            </w:r>
          </w:p>
        </w:tc>
        <w:tc>
          <w:tcPr>
            <w:tcW w:w="4171" w:type="dxa"/>
            <w:vAlign w:val="center"/>
          </w:tcPr>
          <w:p w:rsidR="006F0842" w:rsidRPr="00E00B35" w:rsidRDefault="006F0842" w:rsidP="00E00B35">
            <w:pPr>
              <w:spacing w:after="0" w:line="312" w:lineRule="auto"/>
              <w:rPr>
                <w:szCs w:val="20"/>
              </w:rPr>
            </w:pPr>
            <w:r w:rsidRPr="00E00B35">
              <w:rPr>
                <w:szCs w:val="20"/>
              </w:rPr>
              <w:t>0</w:t>
            </w:r>
          </w:p>
        </w:tc>
        <w:tc>
          <w:tcPr>
            <w:tcW w:w="2106" w:type="dxa"/>
            <w:vAlign w:val="center"/>
          </w:tcPr>
          <w:p w:rsidR="006F0842" w:rsidRPr="00E00B35" w:rsidRDefault="006F0842" w:rsidP="00E00B35">
            <w:pPr>
              <w:spacing w:after="0" w:line="312" w:lineRule="auto"/>
              <w:rPr>
                <w:szCs w:val="20"/>
              </w:rPr>
            </w:pPr>
            <w:r w:rsidRPr="00E00B35">
              <w:rPr>
                <w:szCs w:val="20"/>
              </w:rPr>
              <w:t>0</w:t>
            </w:r>
          </w:p>
        </w:tc>
        <w:tc>
          <w:tcPr>
            <w:tcW w:w="1175" w:type="dxa"/>
            <w:vAlign w:val="center"/>
          </w:tcPr>
          <w:p w:rsidR="006F0842" w:rsidRPr="00E00B35" w:rsidRDefault="006F0842" w:rsidP="00E00B35">
            <w:pPr>
              <w:spacing w:after="0" w:line="312" w:lineRule="auto"/>
              <w:rPr>
                <w:szCs w:val="20"/>
              </w:rPr>
            </w:pPr>
            <w:r w:rsidRPr="00E00B35">
              <w:rPr>
                <w:szCs w:val="20"/>
              </w:rPr>
              <w:t>1 269</w:t>
            </w:r>
          </w:p>
        </w:tc>
        <w:tc>
          <w:tcPr>
            <w:tcW w:w="769" w:type="dxa"/>
            <w:vAlign w:val="center"/>
          </w:tcPr>
          <w:p w:rsidR="006F0842" w:rsidRPr="00E00B35" w:rsidRDefault="006F0842" w:rsidP="00E00B35">
            <w:pPr>
              <w:spacing w:after="0" w:line="312" w:lineRule="auto"/>
              <w:rPr>
                <w:bCs/>
                <w:szCs w:val="20"/>
              </w:rPr>
            </w:pPr>
            <w:r w:rsidRPr="00E00B35">
              <w:rPr>
                <w:bCs/>
                <w:szCs w:val="20"/>
              </w:rPr>
              <w:t>1 269</w:t>
            </w:r>
          </w:p>
        </w:tc>
      </w:tr>
    </w:tbl>
    <w:p w:rsidR="006F0842" w:rsidRPr="00E00B35" w:rsidRDefault="006F0842" w:rsidP="00E00B35">
      <w:pPr>
        <w:spacing w:after="0" w:line="312" w:lineRule="auto"/>
        <w:rPr>
          <w:szCs w:val="20"/>
        </w:rPr>
      </w:pPr>
    </w:p>
    <w:p w:rsidR="006F0842" w:rsidRPr="00E00B35" w:rsidRDefault="006F0842" w:rsidP="00E00B35">
      <w:pPr>
        <w:pStyle w:val="Akapitzlist"/>
        <w:spacing w:after="0" w:line="312" w:lineRule="auto"/>
        <w:ind w:left="0"/>
        <w:rPr>
          <w:szCs w:val="20"/>
        </w:rPr>
      </w:pPr>
      <w:r w:rsidRPr="00E00B35">
        <w:rPr>
          <w:szCs w:val="20"/>
        </w:rPr>
        <w:t>Zestawienie wydanych aktów prawnych w okresie od 27 maja 1990 r. do 31 grudnia 2020 r. - ogółem akty prawne lata 1990-2020</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45"/>
        <w:gridCol w:w="4089"/>
        <w:gridCol w:w="2106"/>
        <w:gridCol w:w="1175"/>
        <w:gridCol w:w="769"/>
      </w:tblGrid>
      <w:tr w:rsidR="006F0842" w:rsidRPr="00E00B35" w:rsidTr="00CD5048">
        <w:trPr>
          <w:cantSplit/>
          <w:trHeight w:val="20"/>
        </w:trPr>
        <w:tc>
          <w:tcPr>
            <w:tcW w:w="1145" w:type="dxa"/>
            <w:vAlign w:val="center"/>
          </w:tcPr>
          <w:p w:rsidR="006F0842" w:rsidRPr="00E00B35" w:rsidRDefault="006F0842" w:rsidP="00E00B35">
            <w:pPr>
              <w:spacing w:after="0" w:line="312" w:lineRule="auto"/>
              <w:rPr>
                <w:szCs w:val="20"/>
              </w:rPr>
            </w:pPr>
            <w:r w:rsidRPr="00E00B35">
              <w:rPr>
                <w:szCs w:val="20"/>
              </w:rPr>
              <w:t>Okres</w:t>
            </w:r>
          </w:p>
        </w:tc>
        <w:tc>
          <w:tcPr>
            <w:tcW w:w="4089" w:type="dxa"/>
            <w:vAlign w:val="center"/>
          </w:tcPr>
          <w:p w:rsidR="006F0842" w:rsidRPr="00E00B35" w:rsidRDefault="006F0842" w:rsidP="00E00B35">
            <w:pPr>
              <w:spacing w:after="0" w:line="312" w:lineRule="auto"/>
              <w:rPr>
                <w:szCs w:val="20"/>
              </w:rPr>
            </w:pPr>
            <w:r w:rsidRPr="00E00B35">
              <w:rPr>
                <w:szCs w:val="20"/>
              </w:rPr>
              <w:t xml:space="preserve">Rada Miejska Wrocławia </w:t>
            </w:r>
          </w:p>
          <w:p w:rsidR="006F0842" w:rsidRPr="00E00B35" w:rsidRDefault="006F0842" w:rsidP="00E00B35">
            <w:pPr>
              <w:spacing w:after="0" w:line="312" w:lineRule="auto"/>
              <w:rPr>
                <w:szCs w:val="20"/>
              </w:rPr>
            </w:pPr>
            <w:r w:rsidRPr="00E00B35">
              <w:rPr>
                <w:szCs w:val="20"/>
              </w:rPr>
              <w:t>- uchwały, stanowiska, apele, rezolucje</w:t>
            </w:r>
          </w:p>
        </w:tc>
        <w:tc>
          <w:tcPr>
            <w:tcW w:w="2106" w:type="dxa"/>
            <w:vAlign w:val="center"/>
          </w:tcPr>
          <w:p w:rsidR="006F0842" w:rsidRPr="00E00B35" w:rsidRDefault="006F0842" w:rsidP="00E00B35">
            <w:pPr>
              <w:spacing w:after="0" w:line="312" w:lineRule="auto"/>
              <w:rPr>
                <w:szCs w:val="20"/>
              </w:rPr>
            </w:pPr>
            <w:r w:rsidRPr="00E00B35">
              <w:rPr>
                <w:szCs w:val="20"/>
              </w:rPr>
              <w:t>Zarząd Miasta</w:t>
            </w:r>
          </w:p>
          <w:p w:rsidR="006F0842" w:rsidRPr="00E00B35" w:rsidRDefault="006F0842" w:rsidP="00E00B35">
            <w:pPr>
              <w:spacing w:after="0" w:line="312" w:lineRule="auto"/>
              <w:rPr>
                <w:szCs w:val="20"/>
              </w:rPr>
            </w:pPr>
            <w:r w:rsidRPr="00E00B35">
              <w:rPr>
                <w:szCs w:val="20"/>
              </w:rPr>
              <w:t xml:space="preserve">Wrocławia </w:t>
            </w:r>
          </w:p>
          <w:p w:rsidR="006F0842" w:rsidRPr="00E00B35" w:rsidRDefault="006F0842" w:rsidP="00E00B35">
            <w:pPr>
              <w:spacing w:after="0" w:line="312" w:lineRule="auto"/>
              <w:rPr>
                <w:szCs w:val="20"/>
              </w:rPr>
            </w:pPr>
            <w:r w:rsidRPr="00E00B35">
              <w:rPr>
                <w:szCs w:val="20"/>
              </w:rPr>
              <w:t>- uchwały, zarządzenia</w:t>
            </w:r>
          </w:p>
          <w:p w:rsidR="006F0842" w:rsidRPr="00E00B35" w:rsidRDefault="006F0842" w:rsidP="00E00B35">
            <w:pPr>
              <w:spacing w:after="0" w:line="312" w:lineRule="auto"/>
              <w:rPr>
                <w:szCs w:val="20"/>
              </w:rPr>
            </w:pPr>
            <w:r w:rsidRPr="00E00B35">
              <w:rPr>
                <w:szCs w:val="20"/>
              </w:rPr>
              <w:t xml:space="preserve">porządkowe </w:t>
            </w:r>
          </w:p>
        </w:tc>
        <w:tc>
          <w:tcPr>
            <w:tcW w:w="1175" w:type="dxa"/>
            <w:vAlign w:val="center"/>
          </w:tcPr>
          <w:p w:rsidR="006F0842" w:rsidRPr="00E00B35" w:rsidRDefault="006F0842" w:rsidP="00E00B35">
            <w:pPr>
              <w:spacing w:after="0" w:line="312" w:lineRule="auto"/>
              <w:rPr>
                <w:szCs w:val="20"/>
              </w:rPr>
            </w:pPr>
            <w:r w:rsidRPr="00E00B35">
              <w:rPr>
                <w:szCs w:val="20"/>
              </w:rPr>
              <w:t>Prezydent Wrocławia</w:t>
            </w:r>
          </w:p>
          <w:p w:rsidR="006F0842" w:rsidRPr="00E00B35" w:rsidRDefault="006F0842" w:rsidP="00E00B35">
            <w:pPr>
              <w:spacing w:after="0" w:line="312" w:lineRule="auto"/>
              <w:rPr>
                <w:szCs w:val="20"/>
              </w:rPr>
            </w:pPr>
            <w:r w:rsidRPr="00E00B35">
              <w:rPr>
                <w:szCs w:val="20"/>
              </w:rPr>
              <w:t>- zarządzenia</w:t>
            </w:r>
          </w:p>
          <w:p w:rsidR="006F0842" w:rsidRPr="00E00B35" w:rsidRDefault="006F0842" w:rsidP="00E00B35">
            <w:pPr>
              <w:spacing w:after="0" w:line="312" w:lineRule="auto"/>
              <w:rPr>
                <w:szCs w:val="20"/>
              </w:rPr>
            </w:pPr>
            <w:r w:rsidRPr="00E00B35">
              <w:rPr>
                <w:szCs w:val="20"/>
              </w:rPr>
              <w:t>organu oraz akty prawne kierownika urzędu z lat 1990-2020 i starosty z lat 1999-2002</w:t>
            </w:r>
          </w:p>
        </w:tc>
        <w:tc>
          <w:tcPr>
            <w:tcW w:w="769" w:type="dxa"/>
            <w:vAlign w:val="center"/>
          </w:tcPr>
          <w:p w:rsidR="006F0842" w:rsidRPr="00E00B35" w:rsidRDefault="006F0842" w:rsidP="00E00B35">
            <w:pPr>
              <w:spacing w:after="0" w:line="312" w:lineRule="auto"/>
              <w:rPr>
                <w:bCs/>
                <w:szCs w:val="20"/>
              </w:rPr>
            </w:pPr>
            <w:r w:rsidRPr="00E00B35">
              <w:rPr>
                <w:bCs/>
                <w:szCs w:val="20"/>
              </w:rPr>
              <w:t>Ogółem</w:t>
            </w:r>
          </w:p>
        </w:tc>
      </w:tr>
      <w:tr w:rsidR="006F0842" w:rsidRPr="00E00B35" w:rsidTr="00CD5048">
        <w:trPr>
          <w:cantSplit/>
          <w:trHeight w:val="20"/>
        </w:trPr>
        <w:tc>
          <w:tcPr>
            <w:tcW w:w="1145" w:type="dxa"/>
            <w:vAlign w:val="center"/>
          </w:tcPr>
          <w:p w:rsidR="006F0842" w:rsidRPr="00E00B35" w:rsidRDefault="006F0842" w:rsidP="00E00B35">
            <w:pPr>
              <w:spacing w:after="0" w:line="312" w:lineRule="auto"/>
              <w:rPr>
                <w:szCs w:val="20"/>
              </w:rPr>
            </w:pPr>
            <w:r w:rsidRPr="00E00B35">
              <w:rPr>
                <w:szCs w:val="20"/>
              </w:rPr>
              <w:t>Ogółem</w:t>
            </w:r>
          </w:p>
          <w:p w:rsidR="006F0842" w:rsidRPr="00E00B35" w:rsidRDefault="006F0842" w:rsidP="00E00B35">
            <w:pPr>
              <w:spacing w:after="0" w:line="312" w:lineRule="auto"/>
              <w:rPr>
                <w:szCs w:val="20"/>
              </w:rPr>
            </w:pPr>
            <w:r w:rsidRPr="00E00B35">
              <w:rPr>
                <w:szCs w:val="20"/>
              </w:rPr>
              <w:t>1990-2020</w:t>
            </w:r>
          </w:p>
        </w:tc>
        <w:tc>
          <w:tcPr>
            <w:tcW w:w="4089" w:type="dxa"/>
            <w:vAlign w:val="center"/>
          </w:tcPr>
          <w:p w:rsidR="006F0842" w:rsidRPr="00E00B35" w:rsidRDefault="006F0842" w:rsidP="00E00B35">
            <w:pPr>
              <w:spacing w:after="0" w:line="312" w:lineRule="auto"/>
              <w:rPr>
                <w:szCs w:val="20"/>
              </w:rPr>
            </w:pPr>
            <w:r w:rsidRPr="00E00B35">
              <w:rPr>
                <w:szCs w:val="20"/>
              </w:rPr>
              <w:t>12 588</w:t>
            </w:r>
          </w:p>
        </w:tc>
        <w:tc>
          <w:tcPr>
            <w:tcW w:w="2106" w:type="dxa"/>
            <w:vAlign w:val="center"/>
          </w:tcPr>
          <w:p w:rsidR="006F0842" w:rsidRPr="00E00B35" w:rsidRDefault="006F0842" w:rsidP="00E00B35">
            <w:pPr>
              <w:spacing w:after="0" w:line="312" w:lineRule="auto"/>
              <w:rPr>
                <w:szCs w:val="20"/>
              </w:rPr>
            </w:pPr>
            <w:r w:rsidRPr="00E00B35">
              <w:rPr>
                <w:szCs w:val="20"/>
              </w:rPr>
              <w:t>13 549</w:t>
            </w:r>
          </w:p>
        </w:tc>
        <w:tc>
          <w:tcPr>
            <w:tcW w:w="1175" w:type="dxa"/>
            <w:vAlign w:val="center"/>
          </w:tcPr>
          <w:p w:rsidR="006F0842" w:rsidRPr="00E00B35" w:rsidRDefault="006F0842" w:rsidP="00E00B35">
            <w:pPr>
              <w:spacing w:after="0" w:line="312" w:lineRule="auto"/>
              <w:rPr>
                <w:szCs w:val="20"/>
              </w:rPr>
            </w:pPr>
            <w:r w:rsidRPr="00E00B35">
              <w:rPr>
                <w:szCs w:val="20"/>
              </w:rPr>
              <w:t>49 562</w:t>
            </w:r>
          </w:p>
        </w:tc>
        <w:tc>
          <w:tcPr>
            <w:tcW w:w="769" w:type="dxa"/>
            <w:vAlign w:val="center"/>
          </w:tcPr>
          <w:p w:rsidR="006F0842" w:rsidRPr="00E00B35" w:rsidRDefault="006F0842" w:rsidP="00E00B35">
            <w:pPr>
              <w:spacing w:after="0" w:line="312" w:lineRule="auto"/>
              <w:rPr>
                <w:bCs/>
                <w:szCs w:val="20"/>
              </w:rPr>
            </w:pPr>
            <w:r w:rsidRPr="00E00B35">
              <w:rPr>
                <w:bCs/>
                <w:szCs w:val="20"/>
              </w:rPr>
              <w:t>75 699</w:t>
            </w:r>
          </w:p>
        </w:tc>
      </w:tr>
    </w:tbl>
    <w:p w:rsidR="006F0842" w:rsidRPr="00E00B35" w:rsidRDefault="006F0842" w:rsidP="00E00B35">
      <w:pPr>
        <w:spacing w:after="0" w:line="312" w:lineRule="auto"/>
        <w:rPr>
          <w:szCs w:val="20"/>
        </w:rPr>
      </w:pPr>
    </w:p>
    <w:p w:rsidR="006F0842" w:rsidRPr="00E00B35" w:rsidRDefault="006F0842" w:rsidP="00E00B35">
      <w:pPr>
        <w:pStyle w:val="Nagwek3"/>
        <w:spacing w:after="0" w:line="312" w:lineRule="auto"/>
        <w:rPr>
          <w:sz w:val="20"/>
        </w:rPr>
      </w:pPr>
      <w:bookmarkStart w:id="4" w:name="_Toc75242441"/>
      <w:bookmarkStart w:id="5" w:name="_Toc75242852"/>
      <w:r w:rsidRPr="00E00B35">
        <w:rPr>
          <w:sz w:val="20"/>
        </w:rPr>
        <w:lastRenderedPageBreak/>
        <w:t>Porozumienia w sprawach wykonywania zadań publicznych zawarte z jednostkami samorządu terytorialnego i organami administracji rządowej</w:t>
      </w:r>
      <w:bookmarkEnd w:id="4"/>
      <w:bookmarkEnd w:id="5"/>
    </w:p>
    <w:p w:rsidR="006F0842" w:rsidRPr="00E00B35" w:rsidRDefault="006F0842" w:rsidP="00E00B35">
      <w:pPr>
        <w:spacing w:after="0" w:line="312" w:lineRule="auto"/>
        <w:rPr>
          <w:bCs/>
          <w:szCs w:val="20"/>
        </w:rPr>
      </w:pPr>
      <w:r w:rsidRPr="00E00B35">
        <w:rPr>
          <w:b/>
          <w:szCs w:val="20"/>
        </w:rPr>
        <w:t xml:space="preserve">W 2020 r. </w:t>
      </w:r>
      <w:r w:rsidRPr="00E00B35">
        <w:rPr>
          <w:bCs/>
          <w:szCs w:val="20"/>
        </w:rPr>
        <w:t xml:space="preserve">w sprawach wykonywania zadań publicznych </w:t>
      </w:r>
      <w:r w:rsidRPr="00E00B35">
        <w:rPr>
          <w:szCs w:val="20"/>
        </w:rPr>
        <w:t xml:space="preserve">zawarto </w:t>
      </w:r>
      <w:r w:rsidRPr="00E00B35">
        <w:rPr>
          <w:b/>
          <w:szCs w:val="20"/>
        </w:rPr>
        <w:t>3</w:t>
      </w:r>
      <w:r w:rsidRPr="00E00B35">
        <w:rPr>
          <w:b/>
          <w:bCs/>
          <w:szCs w:val="20"/>
        </w:rPr>
        <w:t xml:space="preserve"> porozumienia</w:t>
      </w:r>
      <w:r w:rsidRPr="00E00B35">
        <w:rPr>
          <w:bCs/>
          <w:szCs w:val="20"/>
        </w:rPr>
        <w:t>, w tym:</w:t>
      </w:r>
    </w:p>
    <w:p w:rsidR="006F0842" w:rsidRPr="00E00B35" w:rsidRDefault="006F0842" w:rsidP="00E00B35">
      <w:pPr>
        <w:numPr>
          <w:ilvl w:val="0"/>
          <w:numId w:val="131"/>
        </w:numPr>
        <w:spacing w:after="0" w:line="312" w:lineRule="auto"/>
        <w:ind w:left="426" w:hanging="426"/>
        <w:rPr>
          <w:bCs/>
          <w:szCs w:val="20"/>
        </w:rPr>
      </w:pPr>
      <w:r w:rsidRPr="00E00B35">
        <w:rPr>
          <w:bCs/>
          <w:szCs w:val="20"/>
        </w:rPr>
        <w:t xml:space="preserve">porozumienie z organem administracji rządowej </w:t>
      </w:r>
      <w:r w:rsidRPr="00E00B35">
        <w:rPr>
          <w:b/>
          <w:bCs/>
          <w:szCs w:val="20"/>
        </w:rPr>
        <w:t xml:space="preserve">Wojewodą Dolnośląskim </w:t>
      </w:r>
      <w:r w:rsidRPr="00E00B35">
        <w:rPr>
          <w:bCs/>
          <w:szCs w:val="20"/>
        </w:rPr>
        <w:t>dot. kwalifikacji wojskowej w 2020 r.</w:t>
      </w:r>
      <w:r w:rsidR="009F75D3" w:rsidRPr="00E00B35">
        <w:rPr>
          <w:bCs/>
          <w:szCs w:val="20"/>
        </w:rPr>
        <w:t>,</w:t>
      </w:r>
    </w:p>
    <w:p w:rsidR="006F0842" w:rsidRPr="00E00B35" w:rsidRDefault="006F0842" w:rsidP="00E00B35">
      <w:pPr>
        <w:numPr>
          <w:ilvl w:val="0"/>
          <w:numId w:val="131"/>
        </w:numPr>
        <w:spacing w:after="0" w:line="312" w:lineRule="auto"/>
        <w:ind w:left="426" w:hanging="426"/>
        <w:rPr>
          <w:bCs/>
          <w:szCs w:val="20"/>
        </w:rPr>
      </w:pPr>
      <w:r w:rsidRPr="00E00B35">
        <w:rPr>
          <w:bCs/>
          <w:szCs w:val="20"/>
        </w:rPr>
        <w:t xml:space="preserve">dwa porozumienia </w:t>
      </w:r>
      <w:r w:rsidRPr="00E00B35">
        <w:rPr>
          <w:b/>
          <w:bCs/>
          <w:szCs w:val="20"/>
        </w:rPr>
        <w:t>międzygminne</w:t>
      </w:r>
      <w:r w:rsidRPr="00E00B35">
        <w:rPr>
          <w:bCs/>
          <w:szCs w:val="20"/>
        </w:rPr>
        <w:t>: w sprawie Planu Zrównoważonej Mobilności dla Miejskiego Obszaru Funkcjonalnego Wrocławia i z zakresu transportu zbiorowego</w:t>
      </w:r>
    </w:p>
    <w:p w:rsidR="006F0842" w:rsidRPr="00E00B35" w:rsidRDefault="006F0842" w:rsidP="00E00B35">
      <w:pPr>
        <w:spacing w:after="0" w:line="312" w:lineRule="auto"/>
        <w:rPr>
          <w:bCs/>
          <w:szCs w:val="20"/>
        </w:rPr>
      </w:pPr>
      <w:r w:rsidRPr="00E00B35">
        <w:rPr>
          <w:bCs/>
          <w:szCs w:val="20"/>
        </w:rPr>
        <w:t xml:space="preserve">oraz </w:t>
      </w:r>
      <w:r w:rsidRPr="00E00B35">
        <w:rPr>
          <w:b/>
          <w:bCs/>
          <w:szCs w:val="20"/>
        </w:rPr>
        <w:t xml:space="preserve">12 aneksów </w:t>
      </w:r>
      <w:r w:rsidRPr="00E00B35">
        <w:rPr>
          <w:bCs/>
          <w:szCs w:val="20"/>
        </w:rPr>
        <w:t>do wcześniejszych porozumień:</w:t>
      </w:r>
    </w:p>
    <w:p w:rsidR="006F0842" w:rsidRPr="00E00B35" w:rsidRDefault="006F0842" w:rsidP="00E00B35">
      <w:pPr>
        <w:numPr>
          <w:ilvl w:val="0"/>
          <w:numId w:val="131"/>
        </w:numPr>
        <w:spacing w:after="0" w:line="312" w:lineRule="auto"/>
        <w:ind w:left="426" w:hanging="426"/>
        <w:rPr>
          <w:szCs w:val="20"/>
        </w:rPr>
      </w:pPr>
      <w:r w:rsidRPr="00E00B35">
        <w:rPr>
          <w:bCs/>
          <w:szCs w:val="20"/>
        </w:rPr>
        <w:t xml:space="preserve">8 aneksów do porozumień z </w:t>
      </w:r>
      <w:r w:rsidRPr="00E00B35">
        <w:rPr>
          <w:b/>
          <w:noProof/>
          <w:szCs w:val="20"/>
        </w:rPr>
        <w:t xml:space="preserve">jednostkami samorządu terytorialnego </w:t>
      </w:r>
      <w:r w:rsidRPr="00E00B35">
        <w:rPr>
          <w:szCs w:val="20"/>
        </w:rPr>
        <w:t>w sprawie transportu zbiorowego z gminami: Długołęka (2), Kąty Wrocławskie (1), Kobierzyce (2), Miękinia (1), Siechnice (1) i Wisznia Mała (1),</w:t>
      </w:r>
    </w:p>
    <w:p w:rsidR="006F0842" w:rsidRPr="00E00B35" w:rsidRDefault="006F0842" w:rsidP="00E00B35">
      <w:pPr>
        <w:numPr>
          <w:ilvl w:val="0"/>
          <w:numId w:val="131"/>
        </w:numPr>
        <w:spacing w:after="0" w:line="312" w:lineRule="auto"/>
        <w:ind w:left="426" w:hanging="426"/>
        <w:rPr>
          <w:szCs w:val="20"/>
        </w:rPr>
      </w:pPr>
      <w:r w:rsidRPr="00E00B35">
        <w:rPr>
          <w:szCs w:val="20"/>
        </w:rPr>
        <w:t xml:space="preserve">4 aneksy </w:t>
      </w:r>
      <w:r w:rsidRPr="00E00B35">
        <w:rPr>
          <w:rFonts w:cs="Verdana"/>
          <w:color w:val="000000"/>
          <w:szCs w:val="20"/>
        </w:rPr>
        <w:t xml:space="preserve">do </w:t>
      </w:r>
      <w:r w:rsidRPr="00E00B35">
        <w:rPr>
          <w:bCs/>
          <w:szCs w:val="20"/>
        </w:rPr>
        <w:t>porozumienia</w:t>
      </w:r>
      <w:r w:rsidRPr="00E00B35">
        <w:rPr>
          <w:rFonts w:cs="Verdana"/>
          <w:color w:val="000000"/>
          <w:szCs w:val="20"/>
        </w:rPr>
        <w:t xml:space="preserve"> </w:t>
      </w:r>
      <w:r w:rsidRPr="00E00B35">
        <w:rPr>
          <w:bCs/>
          <w:szCs w:val="20"/>
        </w:rPr>
        <w:t>z Powiatem Wrocławskim</w:t>
      </w:r>
      <w:r w:rsidRPr="00E00B35">
        <w:rPr>
          <w:rFonts w:cs="Verdana"/>
          <w:color w:val="000000"/>
          <w:szCs w:val="20"/>
        </w:rPr>
        <w:t xml:space="preserve"> w sprawie powierzenia Miastu Wrocław niektórych zadań publicznych należących do Powiatu Wrocławskiego </w:t>
      </w:r>
      <w:r w:rsidRPr="00E00B35">
        <w:rPr>
          <w:szCs w:val="20"/>
        </w:rPr>
        <w:t>z zakresu zadań powiatu (Powiatowy Urząd Pracy).</w:t>
      </w:r>
    </w:p>
    <w:p w:rsidR="006F0842" w:rsidRPr="00E00B35" w:rsidRDefault="006F0842" w:rsidP="00E00B35">
      <w:pPr>
        <w:spacing w:after="0" w:line="312" w:lineRule="auto"/>
        <w:rPr>
          <w:b/>
          <w:szCs w:val="20"/>
        </w:rPr>
      </w:pPr>
    </w:p>
    <w:p w:rsidR="006F0842" w:rsidRPr="00E00B35" w:rsidRDefault="006F0842" w:rsidP="00E00B35">
      <w:pPr>
        <w:spacing w:after="0" w:line="312" w:lineRule="auto"/>
        <w:rPr>
          <w:szCs w:val="20"/>
        </w:rPr>
      </w:pPr>
      <w:r w:rsidRPr="00E00B35">
        <w:rPr>
          <w:szCs w:val="20"/>
        </w:rPr>
        <w:t>Zestawienie porozumień i aneksów do porozumień zawartych w latach 2003 – 2020 z gminami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4"/>
        <w:gridCol w:w="918"/>
        <w:gridCol w:w="745"/>
        <w:gridCol w:w="1483"/>
        <w:gridCol w:w="1351"/>
        <w:gridCol w:w="1571"/>
        <w:gridCol w:w="1396"/>
      </w:tblGrid>
      <w:tr w:rsidR="006F0842" w:rsidRPr="00E00B35" w:rsidTr="00B86812">
        <w:trPr>
          <w:cantSplit/>
          <w:tblHeader/>
        </w:trPr>
        <w:tc>
          <w:tcPr>
            <w:tcW w:w="1668" w:type="dxa"/>
          </w:tcPr>
          <w:p w:rsidR="006F0842" w:rsidRPr="00E00B35" w:rsidRDefault="006F0842" w:rsidP="00E00B35">
            <w:pPr>
              <w:spacing w:after="0" w:line="312" w:lineRule="auto"/>
              <w:rPr>
                <w:szCs w:val="20"/>
              </w:rPr>
            </w:pPr>
            <w:r w:rsidRPr="00E00B35">
              <w:rPr>
                <w:szCs w:val="20"/>
              </w:rPr>
              <w:t xml:space="preserve">POROZUMIENIA i ANEKSY </w:t>
            </w:r>
            <w:r w:rsidRPr="00E00B35">
              <w:rPr>
                <w:szCs w:val="20"/>
              </w:rPr>
              <w:br/>
              <w:t>DO POROZUMIEŃ zawarte z:</w:t>
            </w:r>
          </w:p>
        </w:tc>
        <w:tc>
          <w:tcPr>
            <w:tcW w:w="1275" w:type="dxa"/>
          </w:tcPr>
          <w:p w:rsidR="006F0842" w:rsidRPr="00E00B35" w:rsidRDefault="006F0842" w:rsidP="00E00B35">
            <w:pPr>
              <w:spacing w:after="0" w:line="312" w:lineRule="auto"/>
              <w:rPr>
                <w:szCs w:val="20"/>
              </w:rPr>
            </w:pPr>
            <w:r w:rsidRPr="00E00B35">
              <w:rPr>
                <w:szCs w:val="20"/>
              </w:rPr>
              <w:t>Lata</w:t>
            </w:r>
          </w:p>
          <w:p w:rsidR="006F0842" w:rsidRPr="00E00B35" w:rsidRDefault="006F0842" w:rsidP="00E00B35">
            <w:pPr>
              <w:spacing w:after="0" w:line="312" w:lineRule="auto"/>
              <w:rPr>
                <w:szCs w:val="20"/>
              </w:rPr>
            </w:pPr>
            <w:r w:rsidRPr="00E00B35">
              <w:rPr>
                <w:szCs w:val="20"/>
              </w:rPr>
              <w:t>2003–2019</w:t>
            </w:r>
          </w:p>
          <w:p w:rsidR="006F0842" w:rsidRPr="00E00B35" w:rsidRDefault="006F0842" w:rsidP="00E00B35">
            <w:pPr>
              <w:spacing w:after="0" w:line="312" w:lineRule="auto"/>
              <w:rPr>
                <w:szCs w:val="20"/>
              </w:rPr>
            </w:pPr>
          </w:p>
        </w:tc>
        <w:tc>
          <w:tcPr>
            <w:tcW w:w="851" w:type="dxa"/>
          </w:tcPr>
          <w:p w:rsidR="006F0842" w:rsidRPr="00E00B35" w:rsidRDefault="006F0842" w:rsidP="00E00B35">
            <w:pPr>
              <w:spacing w:after="0" w:line="312" w:lineRule="auto"/>
              <w:rPr>
                <w:bCs/>
                <w:szCs w:val="20"/>
              </w:rPr>
            </w:pPr>
            <w:r w:rsidRPr="00E00B35">
              <w:rPr>
                <w:bCs/>
                <w:szCs w:val="20"/>
              </w:rPr>
              <w:t>rok</w:t>
            </w:r>
          </w:p>
          <w:p w:rsidR="006F0842" w:rsidRPr="00E00B35" w:rsidRDefault="006F0842" w:rsidP="00E00B35">
            <w:pPr>
              <w:spacing w:after="0" w:line="312" w:lineRule="auto"/>
              <w:rPr>
                <w:szCs w:val="20"/>
              </w:rPr>
            </w:pPr>
            <w:r w:rsidRPr="00E00B35">
              <w:rPr>
                <w:bCs/>
                <w:szCs w:val="20"/>
              </w:rPr>
              <w:t>2020</w:t>
            </w:r>
          </w:p>
        </w:tc>
        <w:tc>
          <w:tcPr>
            <w:tcW w:w="1567" w:type="dxa"/>
          </w:tcPr>
          <w:p w:rsidR="006F0842" w:rsidRPr="00E00B35" w:rsidRDefault="006F0842" w:rsidP="00E00B35">
            <w:pPr>
              <w:spacing w:after="0" w:line="312" w:lineRule="auto"/>
              <w:rPr>
                <w:bCs/>
                <w:szCs w:val="20"/>
              </w:rPr>
            </w:pPr>
            <w:r w:rsidRPr="00E00B35">
              <w:rPr>
                <w:bCs/>
                <w:szCs w:val="20"/>
              </w:rPr>
              <w:t>ogółem</w:t>
            </w:r>
          </w:p>
          <w:p w:rsidR="006F0842" w:rsidRPr="00E00B35" w:rsidRDefault="006F0842" w:rsidP="00E00B35">
            <w:pPr>
              <w:spacing w:after="0" w:line="312" w:lineRule="auto"/>
              <w:rPr>
                <w:szCs w:val="20"/>
              </w:rPr>
            </w:pPr>
            <w:r w:rsidRPr="00E00B35">
              <w:rPr>
                <w:bCs/>
                <w:szCs w:val="20"/>
              </w:rPr>
              <w:t>podpisanych</w:t>
            </w:r>
          </w:p>
        </w:tc>
        <w:tc>
          <w:tcPr>
            <w:tcW w:w="1304" w:type="dxa"/>
          </w:tcPr>
          <w:p w:rsidR="006F0842" w:rsidRPr="00E00B35" w:rsidRDefault="006F0842" w:rsidP="00E00B35">
            <w:pPr>
              <w:spacing w:after="0" w:line="312" w:lineRule="auto"/>
              <w:rPr>
                <w:szCs w:val="20"/>
              </w:rPr>
            </w:pPr>
            <w:r w:rsidRPr="00E00B35">
              <w:rPr>
                <w:bCs/>
                <w:szCs w:val="20"/>
              </w:rPr>
              <w:t>w tym według przedmiotu</w:t>
            </w:r>
          </w:p>
        </w:tc>
        <w:tc>
          <w:tcPr>
            <w:tcW w:w="1315" w:type="dxa"/>
          </w:tcPr>
          <w:p w:rsidR="006F0842" w:rsidRPr="00E00B35" w:rsidRDefault="006F0842" w:rsidP="00E00B35">
            <w:pPr>
              <w:spacing w:after="0" w:line="312" w:lineRule="auto"/>
              <w:rPr>
                <w:bCs/>
                <w:szCs w:val="20"/>
              </w:rPr>
            </w:pPr>
            <w:r w:rsidRPr="00E00B35">
              <w:rPr>
                <w:bCs/>
                <w:szCs w:val="20"/>
              </w:rPr>
              <w:t>w tym według rodzaju -</w:t>
            </w:r>
          </w:p>
          <w:p w:rsidR="006F0842" w:rsidRPr="00E00B35" w:rsidRDefault="006F0842" w:rsidP="00E00B35">
            <w:pPr>
              <w:spacing w:after="0" w:line="312" w:lineRule="auto"/>
              <w:rPr>
                <w:bCs/>
                <w:szCs w:val="20"/>
              </w:rPr>
            </w:pPr>
            <w:r w:rsidRPr="00E00B35">
              <w:rPr>
                <w:bCs/>
                <w:szCs w:val="20"/>
              </w:rPr>
              <w:t>porozumienia</w:t>
            </w:r>
          </w:p>
          <w:p w:rsidR="006F0842" w:rsidRPr="00E00B35" w:rsidRDefault="006F0842" w:rsidP="00E00B35">
            <w:pPr>
              <w:spacing w:after="0" w:line="312" w:lineRule="auto"/>
              <w:rPr>
                <w:szCs w:val="20"/>
              </w:rPr>
            </w:pPr>
          </w:p>
        </w:tc>
        <w:tc>
          <w:tcPr>
            <w:tcW w:w="1306" w:type="dxa"/>
          </w:tcPr>
          <w:p w:rsidR="006F0842" w:rsidRPr="00E00B35" w:rsidRDefault="006F0842" w:rsidP="00E00B35">
            <w:pPr>
              <w:spacing w:after="0" w:line="312" w:lineRule="auto"/>
              <w:rPr>
                <w:bCs/>
                <w:szCs w:val="20"/>
              </w:rPr>
            </w:pPr>
            <w:r w:rsidRPr="00E00B35">
              <w:rPr>
                <w:bCs/>
                <w:szCs w:val="20"/>
              </w:rPr>
              <w:t>w tym według rodzaju - aneksy</w:t>
            </w:r>
          </w:p>
          <w:p w:rsidR="006F0842" w:rsidRPr="00E00B35" w:rsidRDefault="006F0842" w:rsidP="00E00B35">
            <w:pPr>
              <w:spacing w:after="0" w:line="312" w:lineRule="auto"/>
              <w:rPr>
                <w:szCs w:val="20"/>
              </w:rPr>
            </w:pPr>
            <w:r w:rsidRPr="00E00B35">
              <w:rPr>
                <w:bCs/>
                <w:szCs w:val="20"/>
              </w:rPr>
              <w:t>do porozumień</w:t>
            </w:r>
          </w:p>
        </w:tc>
      </w:tr>
      <w:tr w:rsidR="006F0842" w:rsidRPr="00E00B35" w:rsidTr="00B86812">
        <w:trPr>
          <w:cantSplit/>
        </w:trPr>
        <w:tc>
          <w:tcPr>
            <w:tcW w:w="1668" w:type="dxa"/>
          </w:tcPr>
          <w:p w:rsidR="006F0842" w:rsidRPr="00E00B35" w:rsidRDefault="006F0842" w:rsidP="00E00B35">
            <w:pPr>
              <w:spacing w:after="0" w:line="312" w:lineRule="auto"/>
              <w:rPr>
                <w:szCs w:val="20"/>
              </w:rPr>
            </w:pPr>
            <w:r w:rsidRPr="00E00B35">
              <w:rPr>
                <w:szCs w:val="20"/>
              </w:rPr>
              <w:t>gminami:</w:t>
            </w:r>
          </w:p>
        </w:tc>
        <w:tc>
          <w:tcPr>
            <w:tcW w:w="1275" w:type="dxa"/>
          </w:tcPr>
          <w:p w:rsidR="006F0842" w:rsidRPr="00E00B35" w:rsidRDefault="006F0842" w:rsidP="00E00B35">
            <w:pPr>
              <w:spacing w:after="0" w:line="312" w:lineRule="auto"/>
              <w:rPr>
                <w:szCs w:val="20"/>
              </w:rPr>
            </w:pPr>
            <w:r w:rsidRPr="00E00B35">
              <w:rPr>
                <w:bCs/>
                <w:szCs w:val="20"/>
              </w:rPr>
              <w:t>85</w:t>
            </w:r>
          </w:p>
        </w:tc>
        <w:tc>
          <w:tcPr>
            <w:tcW w:w="851" w:type="dxa"/>
          </w:tcPr>
          <w:p w:rsidR="006F0842" w:rsidRPr="00E00B35" w:rsidRDefault="006F0842" w:rsidP="00E00B35">
            <w:pPr>
              <w:spacing w:after="0" w:line="312" w:lineRule="auto"/>
              <w:rPr>
                <w:szCs w:val="20"/>
              </w:rPr>
            </w:pPr>
            <w:r w:rsidRPr="00E00B35">
              <w:rPr>
                <w:szCs w:val="20"/>
              </w:rPr>
              <w:t>10</w:t>
            </w:r>
          </w:p>
        </w:tc>
        <w:tc>
          <w:tcPr>
            <w:tcW w:w="1567" w:type="dxa"/>
          </w:tcPr>
          <w:p w:rsidR="006F0842" w:rsidRPr="00E00B35" w:rsidRDefault="006F0842" w:rsidP="00E00B35">
            <w:pPr>
              <w:spacing w:after="0" w:line="312" w:lineRule="auto"/>
              <w:rPr>
                <w:szCs w:val="20"/>
              </w:rPr>
            </w:pPr>
            <w:r w:rsidRPr="00E00B35">
              <w:rPr>
                <w:szCs w:val="20"/>
              </w:rPr>
              <w:t>95</w:t>
            </w:r>
          </w:p>
        </w:tc>
        <w:tc>
          <w:tcPr>
            <w:tcW w:w="1304" w:type="dxa"/>
          </w:tcPr>
          <w:p w:rsidR="006F0842" w:rsidRPr="00E00B35" w:rsidRDefault="006F0842" w:rsidP="00E00B35">
            <w:pPr>
              <w:spacing w:after="0" w:line="312" w:lineRule="auto"/>
              <w:rPr>
                <w:szCs w:val="20"/>
              </w:rPr>
            </w:pPr>
            <w:r w:rsidRPr="00E00B35">
              <w:rPr>
                <w:szCs w:val="20"/>
              </w:rPr>
              <w:t>0</w:t>
            </w:r>
          </w:p>
        </w:tc>
        <w:tc>
          <w:tcPr>
            <w:tcW w:w="1315" w:type="dxa"/>
          </w:tcPr>
          <w:p w:rsidR="006F0842" w:rsidRPr="00E00B35" w:rsidRDefault="006F0842" w:rsidP="00E00B35">
            <w:pPr>
              <w:spacing w:after="0" w:line="312" w:lineRule="auto"/>
              <w:rPr>
                <w:szCs w:val="20"/>
              </w:rPr>
            </w:pPr>
            <w:r w:rsidRPr="00E00B35">
              <w:rPr>
                <w:szCs w:val="20"/>
              </w:rPr>
              <w:t>0</w:t>
            </w:r>
          </w:p>
        </w:tc>
        <w:tc>
          <w:tcPr>
            <w:tcW w:w="1306" w:type="dxa"/>
          </w:tcPr>
          <w:p w:rsidR="006F0842" w:rsidRPr="00E00B35" w:rsidRDefault="006F0842" w:rsidP="00E00B35">
            <w:pPr>
              <w:spacing w:after="0" w:line="312" w:lineRule="auto"/>
              <w:rPr>
                <w:szCs w:val="20"/>
              </w:rPr>
            </w:pPr>
            <w:r w:rsidRPr="00E00B35">
              <w:rPr>
                <w:szCs w:val="20"/>
              </w:rPr>
              <w:t>0</w:t>
            </w:r>
          </w:p>
        </w:tc>
      </w:tr>
      <w:tr w:rsidR="006F0842" w:rsidRPr="00E00B35" w:rsidTr="00B86812">
        <w:trPr>
          <w:cantSplit/>
        </w:trPr>
        <w:tc>
          <w:tcPr>
            <w:tcW w:w="1668" w:type="dxa"/>
          </w:tcPr>
          <w:p w:rsidR="006F0842" w:rsidRPr="00E00B35" w:rsidRDefault="006F0842" w:rsidP="00E00B35">
            <w:pPr>
              <w:spacing w:after="0" w:line="312" w:lineRule="auto"/>
              <w:rPr>
                <w:szCs w:val="20"/>
              </w:rPr>
            </w:pPr>
            <w:r w:rsidRPr="00E00B35">
              <w:rPr>
                <w:szCs w:val="20"/>
              </w:rPr>
              <w:t>w tym dot. realizacji obowiązku szkolnego i przedszkolnego</w:t>
            </w:r>
          </w:p>
        </w:tc>
        <w:tc>
          <w:tcPr>
            <w:tcW w:w="1275" w:type="dxa"/>
          </w:tcPr>
          <w:p w:rsidR="006F0842" w:rsidRPr="00E00B35" w:rsidRDefault="006F0842" w:rsidP="00E00B35">
            <w:pPr>
              <w:spacing w:after="0" w:line="312" w:lineRule="auto"/>
              <w:rPr>
                <w:szCs w:val="20"/>
              </w:rPr>
            </w:pPr>
            <w:r w:rsidRPr="00E00B35">
              <w:rPr>
                <w:szCs w:val="20"/>
              </w:rPr>
              <w:t>0</w:t>
            </w:r>
          </w:p>
        </w:tc>
        <w:tc>
          <w:tcPr>
            <w:tcW w:w="851" w:type="dxa"/>
          </w:tcPr>
          <w:p w:rsidR="006F0842" w:rsidRPr="00E00B35" w:rsidRDefault="006F0842" w:rsidP="00E00B35">
            <w:pPr>
              <w:spacing w:after="0" w:line="312" w:lineRule="auto"/>
              <w:rPr>
                <w:szCs w:val="20"/>
              </w:rPr>
            </w:pPr>
            <w:r w:rsidRPr="00E00B35">
              <w:rPr>
                <w:szCs w:val="20"/>
              </w:rPr>
              <w:t>0</w:t>
            </w:r>
          </w:p>
        </w:tc>
        <w:tc>
          <w:tcPr>
            <w:tcW w:w="1567" w:type="dxa"/>
          </w:tcPr>
          <w:p w:rsidR="006F0842" w:rsidRPr="00E00B35" w:rsidRDefault="006F0842" w:rsidP="00E00B35">
            <w:pPr>
              <w:spacing w:after="0" w:line="312" w:lineRule="auto"/>
              <w:rPr>
                <w:szCs w:val="20"/>
              </w:rPr>
            </w:pPr>
            <w:r w:rsidRPr="00E00B35">
              <w:rPr>
                <w:szCs w:val="20"/>
              </w:rPr>
              <w:t>0</w:t>
            </w:r>
          </w:p>
        </w:tc>
        <w:tc>
          <w:tcPr>
            <w:tcW w:w="1304" w:type="dxa"/>
          </w:tcPr>
          <w:p w:rsidR="006F0842" w:rsidRPr="00E00B35" w:rsidRDefault="006F0842" w:rsidP="00E00B35">
            <w:pPr>
              <w:spacing w:after="0" w:line="312" w:lineRule="auto"/>
              <w:rPr>
                <w:szCs w:val="20"/>
              </w:rPr>
            </w:pPr>
            <w:r w:rsidRPr="00E00B35">
              <w:rPr>
                <w:szCs w:val="20"/>
              </w:rPr>
              <w:t>1</w:t>
            </w:r>
          </w:p>
        </w:tc>
        <w:tc>
          <w:tcPr>
            <w:tcW w:w="1315" w:type="dxa"/>
          </w:tcPr>
          <w:p w:rsidR="006F0842" w:rsidRPr="00E00B35" w:rsidRDefault="006F0842" w:rsidP="00E00B35">
            <w:pPr>
              <w:spacing w:after="0" w:line="312" w:lineRule="auto"/>
              <w:rPr>
                <w:szCs w:val="20"/>
              </w:rPr>
            </w:pPr>
            <w:r w:rsidRPr="00E00B35">
              <w:rPr>
                <w:szCs w:val="20"/>
              </w:rPr>
              <w:t>1</w:t>
            </w:r>
          </w:p>
        </w:tc>
        <w:tc>
          <w:tcPr>
            <w:tcW w:w="1306" w:type="dxa"/>
          </w:tcPr>
          <w:p w:rsidR="006F0842" w:rsidRPr="00E00B35" w:rsidRDefault="006F0842" w:rsidP="00E00B35">
            <w:pPr>
              <w:spacing w:after="0" w:line="312" w:lineRule="auto"/>
              <w:rPr>
                <w:szCs w:val="20"/>
              </w:rPr>
            </w:pPr>
            <w:r w:rsidRPr="00E00B35">
              <w:rPr>
                <w:szCs w:val="20"/>
              </w:rPr>
              <w:t>0</w:t>
            </w:r>
          </w:p>
        </w:tc>
      </w:tr>
      <w:tr w:rsidR="006F0842" w:rsidRPr="00E00B35" w:rsidTr="00B86812">
        <w:trPr>
          <w:cantSplit/>
        </w:trPr>
        <w:tc>
          <w:tcPr>
            <w:tcW w:w="1668" w:type="dxa"/>
          </w:tcPr>
          <w:p w:rsidR="006F0842" w:rsidRPr="00E00B35" w:rsidRDefault="006F0842" w:rsidP="00E00B35">
            <w:pPr>
              <w:spacing w:after="0" w:line="312" w:lineRule="auto"/>
              <w:rPr>
                <w:szCs w:val="20"/>
              </w:rPr>
            </w:pPr>
            <w:r w:rsidRPr="00E00B35">
              <w:rPr>
                <w:szCs w:val="20"/>
              </w:rPr>
              <w:t>w tym dot. transportu</w:t>
            </w:r>
          </w:p>
        </w:tc>
        <w:tc>
          <w:tcPr>
            <w:tcW w:w="1275" w:type="dxa"/>
          </w:tcPr>
          <w:p w:rsidR="006F0842" w:rsidRPr="00E00B35" w:rsidRDefault="006F0842" w:rsidP="00E00B35">
            <w:pPr>
              <w:spacing w:after="0" w:line="312" w:lineRule="auto"/>
              <w:rPr>
                <w:szCs w:val="20"/>
              </w:rPr>
            </w:pPr>
            <w:r w:rsidRPr="00E00B35">
              <w:rPr>
                <w:szCs w:val="20"/>
              </w:rPr>
              <w:t>0</w:t>
            </w:r>
          </w:p>
        </w:tc>
        <w:tc>
          <w:tcPr>
            <w:tcW w:w="851" w:type="dxa"/>
          </w:tcPr>
          <w:p w:rsidR="006F0842" w:rsidRPr="00E00B35" w:rsidRDefault="006F0842" w:rsidP="00E00B35">
            <w:pPr>
              <w:spacing w:after="0" w:line="312" w:lineRule="auto"/>
              <w:rPr>
                <w:szCs w:val="20"/>
              </w:rPr>
            </w:pPr>
            <w:r w:rsidRPr="00E00B35">
              <w:rPr>
                <w:szCs w:val="20"/>
              </w:rPr>
              <w:t>0</w:t>
            </w:r>
          </w:p>
        </w:tc>
        <w:tc>
          <w:tcPr>
            <w:tcW w:w="1567" w:type="dxa"/>
          </w:tcPr>
          <w:p w:rsidR="006F0842" w:rsidRPr="00E00B35" w:rsidRDefault="006F0842" w:rsidP="00E00B35">
            <w:pPr>
              <w:spacing w:after="0" w:line="312" w:lineRule="auto"/>
              <w:rPr>
                <w:szCs w:val="20"/>
              </w:rPr>
            </w:pPr>
            <w:r w:rsidRPr="00E00B35">
              <w:rPr>
                <w:szCs w:val="20"/>
              </w:rPr>
              <w:t>0</w:t>
            </w:r>
          </w:p>
        </w:tc>
        <w:tc>
          <w:tcPr>
            <w:tcW w:w="1304" w:type="dxa"/>
          </w:tcPr>
          <w:p w:rsidR="006F0842" w:rsidRPr="00E00B35" w:rsidRDefault="006F0842" w:rsidP="00E00B35">
            <w:pPr>
              <w:spacing w:after="0" w:line="312" w:lineRule="auto"/>
              <w:rPr>
                <w:szCs w:val="20"/>
              </w:rPr>
            </w:pPr>
            <w:r w:rsidRPr="00E00B35">
              <w:rPr>
                <w:szCs w:val="20"/>
              </w:rPr>
              <w:t>87</w:t>
            </w:r>
          </w:p>
        </w:tc>
        <w:tc>
          <w:tcPr>
            <w:tcW w:w="1315" w:type="dxa"/>
          </w:tcPr>
          <w:p w:rsidR="006F0842" w:rsidRPr="00E00B35" w:rsidRDefault="006F0842" w:rsidP="00E00B35">
            <w:pPr>
              <w:spacing w:after="0" w:line="312" w:lineRule="auto"/>
              <w:rPr>
                <w:szCs w:val="20"/>
              </w:rPr>
            </w:pPr>
            <w:r w:rsidRPr="00E00B35">
              <w:rPr>
                <w:szCs w:val="20"/>
              </w:rPr>
              <w:t>9</w:t>
            </w:r>
          </w:p>
        </w:tc>
        <w:tc>
          <w:tcPr>
            <w:tcW w:w="1306" w:type="dxa"/>
          </w:tcPr>
          <w:p w:rsidR="006F0842" w:rsidRPr="00E00B35" w:rsidRDefault="006F0842" w:rsidP="00E00B35">
            <w:pPr>
              <w:spacing w:after="0" w:line="312" w:lineRule="auto"/>
              <w:rPr>
                <w:szCs w:val="20"/>
              </w:rPr>
            </w:pPr>
            <w:r w:rsidRPr="00E00B35">
              <w:rPr>
                <w:szCs w:val="20"/>
              </w:rPr>
              <w:t>78</w:t>
            </w:r>
          </w:p>
        </w:tc>
      </w:tr>
      <w:tr w:rsidR="006F0842" w:rsidRPr="00E00B35" w:rsidTr="00B86812">
        <w:trPr>
          <w:cantSplit/>
        </w:trPr>
        <w:tc>
          <w:tcPr>
            <w:tcW w:w="1668" w:type="dxa"/>
          </w:tcPr>
          <w:p w:rsidR="006F0842" w:rsidRPr="00E00B35" w:rsidRDefault="006F0842" w:rsidP="00E00B35">
            <w:pPr>
              <w:spacing w:after="0" w:line="312" w:lineRule="auto"/>
              <w:rPr>
                <w:szCs w:val="20"/>
              </w:rPr>
            </w:pPr>
            <w:r w:rsidRPr="00E00B35">
              <w:rPr>
                <w:szCs w:val="20"/>
              </w:rPr>
              <w:t>w tym dot. realizacji infrastruktury technicznej</w:t>
            </w:r>
          </w:p>
        </w:tc>
        <w:tc>
          <w:tcPr>
            <w:tcW w:w="1275" w:type="dxa"/>
          </w:tcPr>
          <w:p w:rsidR="006F0842" w:rsidRPr="00E00B35" w:rsidRDefault="006F0842" w:rsidP="00E00B35">
            <w:pPr>
              <w:spacing w:after="0" w:line="312" w:lineRule="auto"/>
              <w:rPr>
                <w:szCs w:val="20"/>
              </w:rPr>
            </w:pPr>
            <w:r w:rsidRPr="00E00B35">
              <w:rPr>
                <w:szCs w:val="20"/>
              </w:rPr>
              <w:t>0</w:t>
            </w:r>
          </w:p>
        </w:tc>
        <w:tc>
          <w:tcPr>
            <w:tcW w:w="851" w:type="dxa"/>
          </w:tcPr>
          <w:p w:rsidR="006F0842" w:rsidRPr="00E00B35" w:rsidRDefault="006F0842" w:rsidP="00E00B35">
            <w:pPr>
              <w:spacing w:after="0" w:line="312" w:lineRule="auto"/>
              <w:rPr>
                <w:szCs w:val="20"/>
              </w:rPr>
            </w:pPr>
            <w:r w:rsidRPr="00E00B35">
              <w:rPr>
                <w:szCs w:val="20"/>
              </w:rPr>
              <w:t>0</w:t>
            </w:r>
          </w:p>
        </w:tc>
        <w:tc>
          <w:tcPr>
            <w:tcW w:w="1567" w:type="dxa"/>
          </w:tcPr>
          <w:p w:rsidR="006F0842" w:rsidRPr="00E00B35" w:rsidRDefault="006F0842" w:rsidP="00E00B35">
            <w:pPr>
              <w:spacing w:after="0" w:line="312" w:lineRule="auto"/>
              <w:rPr>
                <w:szCs w:val="20"/>
              </w:rPr>
            </w:pPr>
            <w:r w:rsidRPr="00E00B35">
              <w:rPr>
                <w:szCs w:val="20"/>
              </w:rPr>
              <w:t>0</w:t>
            </w:r>
          </w:p>
        </w:tc>
        <w:tc>
          <w:tcPr>
            <w:tcW w:w="1304" w:type="dxa"/>
          </w:tcPr>
          <w:p w:rsidR="006F0842" w:rsidRPr="00E00B35" w:rsidRDefault="006F0842" w:rsidP="00E00B35">
            <w:pPr>
              <w:spacing w:after="0" w:line="312" w:lineRule="auto"/>
              <w:rPr>
                <w:szCs w:val="20"/>
              </w:rPr>
            </w:pPr>
            <w:r w:rsidRPr="00E00B35">
              <w:rPr>
                <w:szCs w:val="20"/>
              </w:rPr>
              <w:t>1</w:t>
            </w:r>
          </w:p>
        </w:tc>
        <w:tc>
          <w:tcPr>
            <w:tcW w:w="1315" w:type="dxa"/>
          </w:tcPr>
          <w:p w:rsidR="006F0842" w:rsidRPr="00E00B35" w:rsidRDefault="006F0842" w:rsidP="00E00B35">
            <w:pPr>
              <w:spacing w:after="0" w:line="312" w:lineRule="auto"/>
              <w:rPr>
                <w:szCs w:val="20"/>
              </w:rPr>
            </w:pPr>
            <w:r w:rsidRPr="00E00B35">
              <w:rPr>
                <w:szCs w:val="20"/>
              </w:rPr>
              <w:t>1</w:t>
            </w:r>
          </w:p>
        </w:tc>
        <w:tc>
          <w:tcPr>
            <w:tcW w:w="1306" w:type="dxa"/>
          </w:tcPr>
          <w:p w:rsidR="006F0842" w:rsidRPr="00E00B35" w:rsidRDefault="006F0842" w:rsidP="00E00B35">
            <w:pPr>
              <w:spacing w:after="0" w:line="312" w:lineRule="auto"/>
              <w:rPr>
                <w:szCs w:val="20"/>
              </w:rPr>
            </w:pPr>
            <w:r w:rsidRPr="00E00B35">
              <w:rPr>
                <w:szCs w:val="20"/>
              </w:rPr>
              <w:t>0</w:t>
            </w:r>
          </w:p>
        </w:tc>
      </w:tr>
      <w:tr w:rsidR="006F0842" w:rsidRPr="00E00B35" w:rsidTr="00B86812">
        <w:trPr>
          <w:cantSplit/>
        </w:trPr>
        <w:tc>
          <w:tcPr>
            <w:tcW w:w="1668" w:type="dxa"/>
          </w:tcPr>
          <w:p w:rsidR="006F0842" w:rsidRPr="00E00B35" w:rsidRDefault="006F0842" w:rsidP="00E00B35">
            <w:pPr>
              <w:spacing w:after="0" w:line="312" w:lineRule="auto"/>
              <w:rPr>
                <w:szCs w:val="20"/>
              </w:rPr>
            </w:pPr>
            <w:r w:rsidRPr="00E00B35">
              <w:rPr>
                <w:szCs w:val="20"/>
              </w:rPr>
              <w:t>w tym dot. Zintegrowanych Inwestycji Terytorialnych – ZIT WrOF</w:t>
            </w:r>
          </w:p>
        </w:tc>
        <w:tc>
          <w:tcPr>
            <w:tcW w:w="1275" w:type="dxa"/>
          </w:tcPr>
          <w:p w:rsidR="006F0842" w:rsidRPr="00E00B35" w:rsidRDefault="006F0842" w:rsidP="00E00B35">
            <w:pPr>
              <w:spacing w:after="0" w:line="312" w:lineRule="auto"/>
              <w:rPr>
                <w:szCs w:val="20"/>
              </w:rPr>
            </w:pPr>
            <w:r w:rsidRPr="00E00B35">
              <w:rPr>
                <w:szCs w:val="20"/>
              </w:rPr>
              <w:t>0</w:t>
            </w:r>
          </w:p>
        </w:tc>
        <w:tc>
          <w:tcPr>
            <w:tcW w:w="851" w:type="dxa"/>
          </w:tcPr>
          <w:p w:rsidR="006F0842" w:rsidRPr="00E00B35" w:rsidRDefault="006F0842" w:rsidP="00E00B35">
            <w:pPr>
              <w:spacing w:after="0" w:line="312" w:lineRule="auto"/>
              <w:rPr>
                <w:szCs w:val="20"/>
              </w:rPr>
            </w:pPr>
            <w:r w:rsidRPr="00E00B35">
              <w:rPr>
                <w:szCs w:val="20"/>
              </w:rPr>
              <w:t>0</w:t>
            </w:r>
          </w:p>
        </w:tc>
        <w:tc>
          <w:tcPr>
            <w:tcW w:w="1567" w:type="dxa"/>
          </w:tcPr>
          <w:p w:rsidR="006F0842" w:rsidRPr="00E00B35" w:rsidRDefault="006F0842" w:rsidP="00E00B35">
            <w:pPr>
              <w:spacing w:after="0" w:line="312" w:lineRule="auto"/>
              <w:rPr>
                <w:szCs w:val="20"/>
              </w:rPr>
            </w:pPr>
            <w:r w:rsidRPr="00E00B35">
              <w:rPr>
                <w:szCs w:val="20"/>
              </w:rPr>
              <w:t>0</w:t>
            </w:r>
          </w:p>
        </w:tc>
        <w:tc>
          <w:tcPr>
            <w:tcW w:w="1304" w:type="dxa"/>
          </w:tcPr>
          <w:p w:rsidR="006F0842" w:rsidRPr="00E00B35" w:rsidRDefault="006F0842" w:rsidP="00E00B35">
            <w:pPr>
              <w:spacing w:after="0" w:line="312" w:lineRule="auto"/>
              <w:rPr>
                <w:szCs w:val="20"/>
              </w:rPr>
            </w:pPr>
            <w:r w:rsidRPr="00E00B35">
              <w:rPr>
                <w:szCs w:val="20"/>
              </w:rPr>
              <w:t>5</w:t>
            </w:r>
          </w:p>
        </w:tc>
        <w:tc>
          <w:tcPr>
            <w:tcW w:w="1315" w:type="dxa"/>
          </w:tcPr>
          <w:p w:rsidR="006F0842" w:rsidRPr="00E00B35" w:rsidRDefault="006F0842" w:rsidP="00E00B35">
            <w:pPr>
              <w:spacing w:after="0" w:line="312" w:lineRule="auto"/>
              <w:rPr>
                <w:szCs w:val="20"/>
              </w:rPr>
            </w:pPr>
            <w:r w:rsidRPr="00E00B35">
              <w:rPr>
                <w:szCs w:val="20"/>
              </w:rPr>
              <w:t>1</w:t>
            </w:r>
          </w:p>
        </w:tc>
        <w:tc>
          <w:tcPr>
            <w:tcW w:w="1306" w:type="dxa"/>
          </w:tcPr>
          <w:p w:rsidR="006F0842" w:rsidRPr="00E00B35" w:rsidRDefault="006F0842" w:rsidP="00E00B35">
            <w:pPr>
              <w:spacing w:after="0" w:line="312" w:lineRule="auto"/>
              <w:rPr>
                <w:szCs w:val="20"/>
              </w:rPr>
            </w:pPr>
            <w:r w:rsidRPr="00E00B35">
              <w:rPr>
                <w:szCs w:val="20"/>
              </w:rPr>
              <w:t>4</w:t>
            </w:r>
          </w:p>
        </w:tc>
      </w:tr>
      <w:tr w:rsidR="006F0842" w:rsidRPr="00E00B35" w:rsidTr="00B86812">
        <w:trPr>
          <w:cantSplit/>
        </w:trPr>
        <w:tc>
          <w:tcPr>
            <w:tcW w:w="1668" w:type="dxa"/>
          </w:tcPr>
          <w:p w:rsidR="006F0842" w:rsidRPr="00E00B35" w:rsidRDefault="006F0842" w:rsidP="00E00B35">
            <w:pPr>
              <w:spacing w:after="0" w:line="312" w:lineRule="auto"/>
              <w:rPr>
                <w:szCs w:val="20"/>
              </w:rPr>
            </w:pPr>
            <w:r w:rsidRPr="00E00B35">
              <w:rPr>
                <w:szCs w:val="20"/>
              </w:rPr>
              <w:lastRenderedPageBreak/>
              <w:t>w tym dot. Planu Zrównoważonej Mobilności dla Miejskiego Obszaru Funkcjonalnego Wrocławia</w:t>
            </w:r>
          </w:p>
        </w:tc>
        <w:tc>
          <w:tcPr>
            <w:tcW w:w="1275" w:type="dxa"/>
          </w:tcPr>
          <w:p w:rsidR="006F0842" w:rsidRPr="00E00B35" w:rsidRDefault="006F0842" w:rsidP="00E00B35">
            <w:pPr>
              <w:spacing w:after="0" w:line="312" w:lineRule="auto"/>
              <w:rPr>
                <w:szCs w:val="20"/>
              </w:rPr>
            </w:pPr>
            <w:r w:rsidRPr="00E00B35">
              <w:rPr>
                <w:szCs w:val="20"/>
              </w:rPr>
              <w:t>0</w:t>
            </w:r>
          </w:p>
        </w:tc>
        <w:tc>
          <w:tcPr>
            <w:tcW w:w="851" w:type="dxa"/>
          </w:tcPr>
          <w:p w:rsidR="006F0842" w:rsidRPr="00E00B35" w:rsidRDefault="006F0842" w:rsidP="00E00B35">
            <w:pPr>
              <w:spacing w:after="0" w:line="312" w:lineRule="auto"/>
              <w:rPr>
                <w:szCs w:val="20"/>
              </w:rPr>
            </w:pPr>
            <w:r w:rsidRPr="00E00B35">
              <w:rPr>
                <w:szCs w:val="20"/>
              </w:rPr>
              <w:t>0</w:t>
            </w:r>
          </w:p>
        </w:tc>
        <w:tc>
          <w:tcPr>
            <w:tcW w:w="1567" w:type="dxa"/>
          </w:tcPr>
          <w:p w:rsidR="006F0842" w:rsidRPr="00E00B35" w:rsidRDefault="006F0842" w:rsidP="00E00B35">
            <w:pPr>
              <w:spacing w:after="0" w:line="312" w:lineRule="auto"/>
              <w:rPr>
                <w:szCs w:val="20"/>
              </w:rPr>
            </w:pPr>
            <w:r w:rsidRPr="00E00B35">
              <w:rPr>
                <w:szCs w:val="20"/>
              </w:rPr>
              <w:t>0</w:t>
            </w:r>
          </w:p>
        </w:tc>
        <w:tc>
          <w:tcPr>
            <w:tcW w:w="1304" w:type="dxa"/>
          </w:tcPr>
          <w:p w:rsidR="006F0842" w:rsidRPr="00E00B35" w:rsidRDefault="006F0842" w:rsidP="00E00B35">
            <w:pPr>
              <w:spacing w:after="0" w:line="312" w:lineRule="auto"/>
              <w:rPr>
                <w:szCs w:val="20"/>
              </w:rPr>
            </w:pPr>
            <w:r w:rsidRPr="00E00B35">
              <w:rPr>
                <w:szCs w:val="20"/>
              </w:rPr>
              <w:t>1</w:t>
            </w:r>
          </w:p>
        </w:tc>
        <w:tc>
          <w:tcPr>
            <w:tcW w:w="1315" w:type="dxa"/>
          </w:tcPr>
          <w:p w:rsidR="006F0842" w:rsidRPr="00E00B35" w:rsidRDefault="006F0842" w:rsidP="00E00B35">
            <w:pPr>
              <w:spacing w:after="0" w:line="312" w:lineRule="auto"/>
              <w:rPr>
                <w:szCs w:val="20"/>
              </w:rPr>
            </w:pPr>
            <w:r w:rsidRPr="00E00B35">
              <w:rPr>
                <w:szCs w:val="20"/>
              </w:rPr>
              <w:t>1</w:t>
            </w:r>
          </w:p>
        </w:tc>
        <w:tc>
          <w:tcPr>
            <w:tcW w:w="1306" w:type="dxa"/>
          </w:tcPr>
          <w:p w:rsidR="006F0842" w:rsidRPr="00E00B35" w:rsidRDefault="006F0842" w:rsidP="00E00B35">
            <w:pPr>
              <w:spacing w:after="0" w:line="312" w:lineRule="auto"/>
              <w:rPr>
                <w:szCs w:val="20"/>
              </w:rPr>
            </w:pPr>
            <w:r w:rsidRPr="00E00B35">
              <w:rPr>
                <w:szCs w:val="20"/>
              </w:rPr>
              <w:t>0</w:t>
            </w:r>
          </w:p>
        </w:tc>
      </w:tr>
    </w:tbl>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Zestawienie porozumień i aneksów do porozumień zawartych w latach 2003 – 2020 z Powiatem Wrocławskim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4"/>
        <w:gridCol w:w="897"/>
        <w:gridCol w:w="782"/>
        <w:gridCol w:w="1467"/>
        <w:gridCol w:w="1351"/>
        <w:gridCol w:w="1571"/>
        <w:gridCol w:w="1396"/>
      </w:tblGrid>
      <w:tr w:rsidR="006F0842" w:rsidRPr="00E00B35" w:rsidTr="00B86812">
        <w:trPr>
          <w:tblHeader/>
        </w:trPr>
        <w:tc>
          <w:tcPr>
            <w:tcW w:w="1316" w:type="dxa"/>
          </w:tcPr>
          <w:p w:rsidR="006F0842" w:rsidRPr="00E00B35" w:rsidRDefault="006F0842" w:rsidP="00E00B35">
            <w:pPr>
              <w:spacing w:after="0" w:line="312" w:lineRule="auto"/>
              <w:rPr>
                <w:szCs w:val="20"/>
              </w:rPr>
            </w:pPr>
            <w:r w:rsidRPr="00E00B35">
              <w:rPr>
                <w:szCs w:val="20"/>
              </w:rPr>
              <w:t xml:space="preserve">POROZUMIENIA i ANEKSY </w:t>
            </w:r>
            <w:r w:rsidRPr="00E00B35">
              <w:rPr>
                <w:szCs w:val="20"/>
              </w:rPr>
              <w:br/>
              <w:t>DO POROZUMIEŃ zawarte z:</w:t>
            </w:r>
          </w:p>
        </w:tc>
        <w:tc>
          <w:tcPr>
            <w:tcW w:w="1316"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Lata</w:t>
            </w:r>
          </w:p>
          <w:p w:rsidR="006F0842" w:rsidRPr="00E00B35" w:rsidRDefault="006F0842" w:rsidP="00E00B35">
            <w:pPr>
              <w:spacing w:after="0" w:line="312" w:lineRule="auto"/>
              <w:rPr>
                <w:szCs w:val="20"/>
              </w:rPr>
            </w:pPr>
            <w:r w:rsidRPr="00E00B35">
              <w:rPr>
                <w:szCs w:val="20"/>
              </w:rPr>
              <w:t>2003–2019</w:t>
            </w:r>
          </w:p>
          <w:p w:rsidR="006F0842" w:rsidRPr="00E00B35" w:rsidRDefault="006F0842" w:rsidP="00E00B35">
            <w:pPr>
              <w:spacing w:after="0" w:line="312" w:lineRule="auto"/>
              <w:rPr>
                <w:szCs w:val="20"/>
              </w:rPr>
            </w:pPr>
          </w:p>
        </w:tc>
        <w:tc>
          <w:tcPr>
            <w:tcW w:w="1316" w:type="dxa"/>
          </w:tcPr>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rok</w:t>
            </w:r>
          </w:p>
          <w:p w:rsidR="006F0842" w:rsidRPr="00E00B35" w:rsidRDefault="006F0842" w:rsidP="00E00B35">
            <w:pPr>
              <w:spacing w:after="0" w:line="312" w:lineRule="auto"/>
              <w:rPr>
                <w:szCs w:val="20"/>
              </w:rPr>
            </w:pPr>
            <w:r w:rsidRPr="00E00B35">
              <w:rPr>
                <w:bCs/>
                <w:szCs w:val="20"/>
              </w:rPr>
              <w:t>2020</w:t>
            </w:r>
          </w:p>
        </w:tc>
        <w:tc>
          <w:tcPr>
            <w:tcW w:w="1316" w:type="dxa"/>
          </w:tcPr>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ogółem</w:t>
            </w:r>
          </w:p>
          <w:p w:rsidR="006F0842" w:rsidRPr="00E00B35" w:rsidRDefault="006F0842" w:rsidP="00E00B35">
            <w:pPr>
              <w:spacing w:after="0" w:line="312" w:lineRule="auto"/>
              <w:rPr>
                <w:szCs w:val="20"/>
              </w:rPr>
            </w:pPr>
            <w:r w:rsidRPr="00E00B35">
              <w:rPr>
                <w:bCs/>
                <w:szCs w:val="20"/>
              </w:rPr>
              <w:t>podpisanych</w:t>
            </w:r>
          </w:p>
        </w:tc>
        <w:tc>
          <w:tcPr>
            <w:tcW w:w="1316" w:type="dxa"/>
          </w:tcPr>
          <w:p w:rsidR="006F0842" w:rsidRPr="00E00B35" w:rsidRDefault="006F0842" w:rsidP="00E00B35">
            <w:pPr>
              <w:spacing w:after="0" w:line="312" w:lineRule="auto"/>
              <w:rPr>
                <w:bCs/>
                <w:szCs w:val="20"/>
              </w:rPr>
            </w:pPr>
          </w:p>
          <w:p w:rsidR="006F0842" w:rsidRPr="00E00B35" w:rsidRDefault="006F0842" w:rsidP="00E00B35">
            <w:pPr>
              <w:spacing w:after="0" w:line="312" w:lineRule="auto"/>
              <w:rPr>
                <w:szCs w:val="20"/>
              </w:rPr>
            </w:pPr>
            <w:r w:rsidRPr="00E00B35">
              <w:rPr>
                <w:bCs/>
                <w:szCs w:val="20"/>
              </w:rPr>
              <w:t>w tym według przedmiotu</w:t>
            </w:r>
          </w:p>
        </w:tc>
        <w:tc>
          <w:tcPr>
            <w:tcW w:w="1316" w:type="dxa"/>
          </w:tcPr>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w tym według rodzaju -</w:t>
            </w:r>
          </w:p>
          <w:p w:rsidR="006F0842" w:rsidRPr="00E00B35" w:rsidRDefault="006F0842" w:rsidP="00E00B35">
            <w:pPr>
              <w:spacing w:after="0" w:line="312" w:lineRule="auto"/>
              <w:rPr>
                <w:bCs/>
                <w:szCs w:val="20"/>
              </w:rPr>
            </w:pPr>
            <w:r w:rsidRPr="00E00B35">
              <w:rPr>
                <w:bCs/>
                <w:szCs w:val="20"/>
              </w:rPr>
              <w:t>porozumienia</w:t>
            </w:r>
          </w:p>
          <w:p w:rsidR="006F0842" w:rsidRPr="00E00B35" w:rsidRDefault="006F0842" w:rsidP="00E00B35">
            <w:pPr>
              <w:spacing w:after="0" w:line="312" w:lineRule="auto"/>
              <w:rPr>
                <w:szCs w:val="20"/>
              </w:rPr>
            </w:pPr>
          </w:p>
        </w:tc>
        <w:tc>
          <w:tcPr>
            <w:tcW w:w="1316" w:type="dxa"/>
          </w:tcPr>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w tym według rodzaju - aneksy</w:t>
            </w:r>
          </w:p>
          <w:p w:rsidR="006F0842" w:rsidRPr="00E00B35" w:rsidRDefault="006F0842" w:rsidP="00E00B35">
            <w:pPr>
              <w:spacing w:after="0" w:line="312" w:lineRule="auto"/>
              <w:rPr>
                <w:szCs w:val="20"/>
              </w:rPr>
            </w:pPr>
            <w:r w:rsidRPr="00E00B35">
              <w:rPr>
                <w:bCs/>
                <w:szCs w:val="20"/>
              </w:rPr>
              <w:t>do porozumień</w:t>
            </w:r>
          </w:p>
        </w:tc>
      </w:tr>
      <w:tr w:rsidR="006F0842" w:rsidRPr="00E00B35" w:rsidTr="00B86812">
        <w:tc>
          <w:tcPr>
            <w:tcW w:w="1316" w:type="dxa"/>
          </w:tcPr>
          <w:p w:rsidR="006F0842" w:rsidRPr="00E00B35" w:rsidRDefault="006F0842" w:rsidP="00E00B35">
            <w:pPr>
              <w:spacing w:after="0" w:line="312" w:lineRule="auto"/>
              <w:rPr>
                <w:szCs w:val="20"/>
              </w:rPr>
            </w:pPr>
            <w:r w:rsidRPr="00E00B35">
              <w:rPr>
                <w:szCs w:val="20"/>
              </w:rPr>
              <w:t>Powiatem Wrocławskim:</w:t>
            </w:r>
          </w:p>
        </w:tc>
        <w:tc>
          <w:tcPr>
            <w:tcW w:w="1316" w:type="dxa"/>
          </w:tcPr>
          <w:p w:rsidR="006F0842" w:rsidRPr="00E00B35" w:rsidRDefault="006F0842" w:rsidP="00E00B35">
            <w:pPr>
              <w:spacing w:after="0" w:line="312" w:lineRule="auto"/>
              <w:rPr>
                <w:szCs w:val="20"/>
              </w:rPr>
            </w:pPr>
            <w:r w:rsidRPr="00E00B35">
              <w:rPr>
                <w:bCs/>
                <w:szCs w:val="20"/>
              </w:rPr>
              <w:t>28</w:t>
            </w:r>
          </w:p>
        </w:tc>
        <w:tc>
          <w:tcPr>
            <w:tcW w:w="1316" w:type="dxa"/>
          </w:tcPr>
          <w:p w:rsidR="006F0842" w:rsidRPr="00E00B35" w:rsidRDefault="006F0842" w:rsidP="00E00B35">
            <w:pPr>
              <w:spacing w:after="0" w:line="312" w:lineRule="auto"/>
              <w:rPr>
                <w:szCs w:val="20"/>
              </w:rPr>
            </w:pPr>
            <w:r w:rsidRPr="00E00B35">
              <w:rPr>
                <w:szCs w:val="20"/>
              </w:rPr>
              <w:t>4</w:t>
            </w:r>
          </w:p>
        </w:tc>
        <w:tc>
          <w:tcPr>
            <w:tcW w:w="1316" w:type="dxa"/>
          </w:tcPr>
          <w:p w:rsidR="006F0842" w:rsidRPr="00E00B35" w:rsidRDefault="006F0842" w:rsidP="00E00B35">
            <w:pPr>
              <w:spacing w:after="0" w:line="312" w:lineRule="auto"/>
              <w:rPr>
                <w:szCs w:val="20"/>
              </w:rPr>
            </w:pPr>
            <w:r w:rsidRPr="00E00B35">
              <w:rPr>
                <w:szCs w:val="20"/>
              </w:rPr>
              <w:t>32</w:t>
            </w:r>
          </w:p>
        </w:tc>
        <w:tc>
          <w:tcPr>
            <w:tcW w:w="1316" w:type="dxa"/>
          </w:tcPr>
          <w:p w:rsidR="006F0842" w:rsidRPr="00E00B35" w:rsidRDefault="006F0842" w:rsidP="00E00B35">
            <w:pPr>
              <w:tabs>
                <w:tab w:val="left" w:pos="765"/>
              </w:tabs>
              <w:spacing w:after="0" w:line="312" w:lineRule="auto"/>
              <w:rPr>
                <w:szCs w:val="20"/>
              </w:rPr>
            </w:pPr>
            <w:r w:rsidRPr="00E00B35">
              <w:rPr>
                <w:szCs w:val="20"/>
              </w:rPr>
              <w:t>0</w:t>
            </w:r>
          </w:p>
        </w:tc>
        <w:tc>
          <w:tcPr>
            <w:tcW w:w="1316" w:type="dxa"/>
          </w:tcPr>
          <w:p w:rsidR="006F0842" w:rsidRPr="00E00B35" w:rsidRDefault="006F0842" w:rsidP="00E00B35">
            <w:pPr>
              <w:spacing w:after="0" w:line="312" w:lineRule="auto"/>
              <w:rPr>
                <w:szCs w:val="20"/>
              </w:rPr>
            </w:pPr>
            <w:r w:rsidRPr="00E00B35">
              <w:rPr>
                <w:szCs w:val="20"/>
              </w:rPr>
              <w:t>0</w:t>
            </w:r>
          </w:p>
        </w:tc>
        <w:tc>
          <w:tcPr>
            <w:tcW w:w="1316" w:type="dxa"/>
          </w:tcPr>
          <w:p w:rsidR="006F0842" w:rsidRPr="00E00B35" w:rsidRDefault="006F0842" w:rsidP="00E00B35">
            <w:pPr>
              <w:spacing w:after="0" w:line="312" w:lineRule="auto"/>
              <w:rPr>
                <w:szCs w:val="20"/>
              </w:rPr>
            </w:pPr>
            <w:r w:rsidRPr="00E00B35">
              <w:rPr>
                <w:szCs w:val="20"/>
              </w:rPr>
              <w:t>0</w:t>
            </w:r>
          </w:p>
        </w:tc>
      </w:tr>
      <w:tr w:rsidR="006F0842" w:rsidRPr="00E00B35" w:rsidTr="00B86812">
        <w:tc>
          <w:tcPr>
            <w:tcW w:w="1316" w:type="dxa"/>
          </w:tcPr>
          <w:p w:rsidR="006F0842" w:rsidRPr="00E00B35" w:rsidRDefault="006F0842" w:rsidP="00E00B35">
            <w:pPr>
              <w:spacing w:after="0" w:line="312" w:lineRule="auto"/>
              <w:rPr>
                <w:szCs w:val="20"/>
              </w:rPr>
            </w:pPr>
            <w:r w:rsidRPr="00E00B35">
              <w:rPr>
                <w:szCs w:val="20"/>
              </w:rPr>
              <w:t>w tym dot. zadań powiatu (Powiatowy Urząd Pracy)</w:t>
            </w:r>
          </w:p>
        </w:tc>
        <w:tc>
          <w:tcPr>
            <w:tcW w:w="1316" w:type="dxa"/>
          </w:tcPr>
          <w:p w:rsidR="006F0842" w:rsidRPr="00E00B35" w:rsidRDefault="006F0842" w:rsidP="00E00B35">
            <w:pPr>
              <w:spacing w:after="0" w:line="312" w:lineRule="auto"/>
              <w:rPr>
                <w:szCs w:val="20"/>
              </w:rPr>
            </w:pPr>
            <w:r w:rsidRPr="00E00B35">
              <w:rPr>
                <w:szCs w:val="20"/>
              </w:rPr>
              <w:t>0</w:t>
            </w:r>
          </w:p>
        </w:tc>
        <w:tc>
          <w:tcPr>
            <w:tcW w:w="1316" w:type="dxa"/>
          </w:tcPr>
          <w:p w:rsidR="006F0842" w:rsidRPr="00E00B35" w:rsidRDefault="006F0842" w:rsidP="00E00B35">
            <w:pPr>
              <w:spacing w:after="0" w:line="312" w:lineRule="auto"/>
              <w:rPr>
                <w:szCs w:val="20"/>
              </w:rPr>
            </w:pPr>
            <w:r w:rsidRPr="00E00B35">
              <w:rPr>
                <w:szCs w:val="20"/>
              </w:rPr>
              <w:t>0</w:t>
            </w:r>
          </w:p>
        </w:tc>
        <w:tc>
          <w:tcPr>
            <w:tcW w:w="1316" w:type="dxa"/>
          </w:tcPr>
          <w:p w:rsidR="006F0842" w:rsidRPr="00E00B35" w:rsidRDefault="006F0842" w:rsidP="00E00B35">
            <w:pPr>
              <w:spacing w:after="0" w:line="312" w:lineRule="auto"/>
              <w:rPr>
                <w:szCs w:val="20"/>
              </w:rPr>
            </w:pPr>
            <w:r w:rsidRPr="00E00B35">
              <w:rPr>
                <w:szCs w:val="20"/>
              </w:rPr>
              <w:t>0</w:t>
            </w:r>
          </w:p>
        </w:tc>
        <w:tc>
          <w:tcPr>
            <w:tcW w:w="1316" w:type="dxa"/>
          </w:tcPr>
          <w:p w:rsidR="006F0842" w:rsidRPr="00E00B35" w:rsidRDefault="006F0842" w:rsidP="00E00B35">
            <w:pPr>
              <w:spacing w:after="0" w:line="312" w:lineRule="auto"/>
              <w:rPr>
                <w:szCs w:val="20"/>
              </w:rPr>
            </w:pPr>
            <w:r w:rsidRPr="00E00B35">
              <w:rPr>
                <w:szCs w:val="20"/>
              </w:rPr>
              <w:t>32</w:t>
            </w:r>
          </w:p>
        </w:tc>
        <w:tc>
          <w:tcPr>
            <w:tcW w:w="1316" w:type="dxa"/>
          </w:tcPr>
          <w:p w:rsidR="006F0842" w:rsidRPr="00E00B35" w:rsidRDefault="006F0842" w:rsidP="00E00B35">
            <w:pPr>
              <w:spacing w:after="0" w:line="312" w:lineRule="auto"/>
              <w:rPr>
                <w:szCs w:val="20"/>
              </w:rPr>
            </w:pPr>
            <w:r w:rsidRPr="00E00B35">
              <w:rPr>
                <w:szCs w:val="20"/>
              </w:rPr>
              <w:t>3</w:t>
            </w:r>
          </w:p>
        </w:tc>
        <w:tc>
          <w:tcPr>
            <w:tcW w:w="1316" w:type="dxa"/>
          </w:tcPr>
          <w:p w:rsidR="006F0842" w:rsidRPr="00E00B35" w:rsidRDefault="006F0842" w:rsidP="00E00B35">
            <w:pPr>
              <w:spacing w:after="0" w:line="312" w:lineRule="auto"/>
              <w:rPr>
                <w:szCs w:val="20"/>
              </w:rPr>
            </w:pPr>
            <w:r w:rsidRPr="00E00B35">
              <w:rPr>
                <w:szCs w:val="20"/>
              </w:rPr>
              <w:t>29</w:t>
            </w:r>
          </w:p>
        </w:tc>
      </w:tr>
    </w:tbl>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Zestawienie porozumień i aneksów do porozumień zawartych w latach 2003 – 2020 z Województwem Dolnośląskim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4"/>
        <w:gridCol w:w="896"/>
        <w:gridCol w:w="783"/>
        <w:gridCol w:w="1467"/>
        <w:gridCol w:w="1351"/>
        <w:gridCol w:w="1571"/>
        <w:gridCol w:w="1396"/>
      </w:tblGrid>
      <w:tr w:rsidR="006F0842" w:rsidRPr="00E00B35" w:rsidTr="00B86812">
        <w:trPr>
          <w:cantSplit/>
          <w:tblHeader/>
        </w:trPr>
        <w:tc>
          <w:tcPr>
            <w:tcW w:w="1663" w:type="dxa"/>
          </w:tcPr>
          <w:p w:rsidR="006F0842" w:rsidRPr="00E00B35" w:rsidRDefault="006F0842" w:rsidP="00E00B35">
            <w:pPr>
              <w:spacing w:after="0" w:line="312" w:lineRule="auto"/>
              <w:rPr>
                <w:szCs w:val="20"/>
              </w:rPr>
            </w:pPr>
            <w:r w:rsidRPr="00E00B35">
              <w:rPr>
                <w:szCs w:val="20"/>
              </w:rPr>
              <w:t xml:space="preserve">POROZUMIENIA i ANEKSY </w:t>
            </w:r>
            <w:r w:rsidRPr="00E00B35">
              <w:rPr>
                <w:szCs w:val="20"/>
              </w:rPr>
              <w:br/>
              <w:t>DO POROZUMIEŃ zawarte z:</w:t>
            </w:r>
          </w:p>
        </w:tc>
        <w:tc>
          <w:tcPr>
            <w:tcW w:w="1143" w:type="dxa"/>
          </w:tcPr>
          <w:p w:rsidR="006F0842" w:rsidRPr="00E00B35" w:rsidRDefault="006F0842" w:rsidP="00E00B35">
            <w:pPr>
              <w:spacing w:after="0" w:line="312" w:lineRule="auto"/>
              <w:rPr>
                <w:szCs w:val="20"/>
              </w:rPr>
            </w:pPr>
            <w:r w:rsidRPr="00E00B35">
              <w:rPr>
                <w:szCs w:val="20"/>
              </w:rPr>
              <w:t>Lata</w:t>
            </w:r>
          </w:p>
          <w:p w:rsidR="006F0842" w:rsidRPr="00E00B35" w:rsidRDefault="006F0842" w:rsidP="00E00B35">
            <w:pPr>
              <w:spacing w:after="0" w:line="312" w:lineRule="auto"/>
              <w:rPr>
                <w:szCs w:val="20"/>
              </w:rPr>
            </w:pPr>
            <w:r w:rsidRPr="00E00B35">
              <w:rPr>
                <w:szCs w:val="20"/>
              </w:rPr>
              <w:t>2003–2019</w:t>
            </w:r>
          </w:p>
          <w:p w:rsidR="006F0842" w:rsidRPr="00E00B35" w:rsidRDefault="006F0842" w:rsidP="00E00B35">
            <w:pPr>
              <w:spacing w:after="0" w:line="312" w:lineRule="auto"/>
              <w:rPr>
                <w:szCs w:val="20"/>
              </w:rPr>
            </w:pPr>
          </w:p>
        </w:tc>
        <w:tc>
          <w:tcPr>
            <w:tcW w:w="1107" w:type="dxa"/>
          </w:tcPr>
          <w:p w:rsidR="006F0842" w:rsidRPr="00E00B35" w:rsidRDefault="006F0842" w:rsidP="00E00B35">
            <w:pPr>
              <w:spacing w:after="0" w:line="312" w:lineRule="auto"/>
              <w:rPr>
                <w:bCs/>
                <w:szCs w:val="20"/>
              </w:rPr>
            </w:pPr>
            <w:r w:rsidRPr="00E00B35">
              <w:rPr>
                <w:bCs/>
                <w:szCs w:val="20"/>
              </w:rPr>
              <w:t>rok</w:t>
            </w:r>
          </w:p>
          <w:p w:rsidR="006F0842" w:rsidRPr="00E00B35" w:rsidRDefault="006F0842" w:rsidP="00E00B35">
            <w:pPr>
              <w:spacing w:after="0" w:line="312" w:lineRule="auto"/>
              <w:rPr>
                <w:szCs w:val="20"/>
              </w:rPr>
            </w:pPr>
            <w:r w:rsidRPr="00E00B35">
              <w:rPr>
                <w:bCs/>
                <w:szCs w:val="20"/>
              </w:rPr>
              <w:t>2020</w:t>
            </w:r>
          </w:p>
        </w:tc>
        <w:tc>
          <w:tcPr>
            <w:tcW w:w="1342" w:type="dxa"/>
          </w:tcPr>
          <w:p w:rsidR="006F0842" w:rsidRPr="00E00B35" w:rsidRDefault="006F0842" w:rsidP="00E00B35">
            <w:pPr>
              <w:spacing w:after="0" w:line="312" w:lineRule="auto"/>
              <w:rPr>
                <w:bCs/>
                <w:szCs w:val="20"/>
              </w:rPr>
            </w:pPr>
            <w:r w:rsidRPr="00E00B35">
              <w:rPr>
                <w:bCs/>
                <w:szCs w:val="20"/>
              </w:rPr>
              <w:t>ogółem</w:t>
            </w:r>
          </w:p>
          <w:p w:rsidR="006F0842" w:rsidRPr="00E00B35" w:rsidRDefault="006F0842" w:rsidP="00E00B35">
            <w:pPr>
              <w:spacing w:after="0" w:line="312" w:lineRule="auto"/>
              <w:rPr>
                <w:szCs w:val="20"/>
              </w:rPr>
            </w:pPr>
            <w:r w:rsidRPr="00E00B35">
              <w:rPr>
                <w:bCs/>
                <w:szCs w:val="20"/>
              </w:rPr>
              <w:t>podpisanych</w:t>
            </w:r>
          </w:p>
        </w:tc>
        <w:tc>
          <w:tcPr>
            <w:tcW w:w="1291" w:type="dxa"/>
          </w:tcPr>
          <w:p w:rsidR="006F0842" w:rsidRPr="00E00B35" w:rsidRDefault="006F0842" w:rsidP="00E00B35">
            <w:pPr>
              <w:spacing w:after="0" w:line="312" w:lineRule="auto"/>
              <w:rPr>
                <w:szCs w:val="20"/>
              </w:rPr>
            </w:pPr>
            <w:r w:rsidRPr="00E00B35">
              <w:rPr>
                <w:bCs/>
                <w:szCs w:val="20"/>
              </w:rPr>
              <w:t>w tym według przedmiotu</w:t>
            </w:r>
          </w:p>
        </w:tc>
        <w:tc>
          <w:tcPr>
            <w:tcW w:w="1436" w:type="dxa"/>
          </w:tcPr>
          <w:p w:rsidR="006F0842" w:rsidRPr="00E00B35" w:rsidRDefault="006F0842" w:rsidP="00E00B35">
            <w:pPr>
              <w:spacing w:after="0" w:line="312" w:lineRule="auto"/>
              <w:rPr>
                <w:bCs/>
                <w:szCs w:val="20"/>
              </w:rPr>
            </w:pPr>
            <w:r w:rsidRPr="00E00B35">
              <w:rPr>
                <w:bCs/>
                <w:szCs w:val="20"/>
              </w:rPr>
              <w:t>w tym według rodzaju -</w:t>
            </w:r>
          </w:p>
          <w:p w:rsidR="006F0842" w:rsidRPr="00E00B35" w:rsidRDefault="006F0842" w:rsidP="00E00B35">
            <w:pPr>
              <w:spacing w:after="0" w:line="312" w:lineRule="auto"/>
              <w:rPr>
                <w:bCs/>
                <w:szCs w:val="20"/>
              </w:rPr>
            </w:pPr>
            <w:r w:rsidRPr="00E00B35">
              <w:rPr>
                <w:bCs/>
                <w:szCs w:val="20"/>
              </w:rPr>
              <w:t>porozumienia</w:t>
            </w:r>
          </w:p>
          <w:p w:rsidR="006F0842" w:rsidRPr="00E00B35" w:rsidRDefault="006F0842" w:rsidP="00E00B35">
            <w:pPr>
              <w:spacing w:after="0" w:line="312" w:lineRule="auto"/>
              <w:rPr>
                <w:szCs w:val="20"/>
              </w:rPr>
            </w:pPr>
          </w:p>
        </w:tc>
        <w:tc>
          <w:tcPr>
            <w:tcW w:w="1304" w:type="dxa"/>
          </w:tcPr>
          <w:p w:rsidR="006F0842" w:rsidRPr="00E00B35" w:rsidRDefault="006F0842" w:rsidP="00E00B35">
            <w:pPr>
              <w:spacing w:after="0" w:line="312" w:lineRule="auto"/>
              <w:rPr>
                <w:bCs/>
                <w:szCs w:val="20"/>
              </w:rPr>
            </w:pPr>
            <w:r w:rsidRPr="00E00B35">
              <w:rPr>
                <w:bCs/>
                <w:szCs w:val="20"/>
              </w:rPr>
              <w:t>w tym według rodzaju - aneksy</w:t>
            </w:r>
          </w:p>
          <w:p w:rsidR="006F0842" w:rsidRPr="00E00B35" w:rsidRDefault="006F0842" w:rsidP="00E00B35">
            <w:pPr>
              <w:spacing w:after="0" w:line="312" w:lineRule="auto"/>
              <w:rPr>
                <w:bCs/>
                <w:szCs w:val="20"/>
              </w:rPr>
            </w:pPr>
            <w:r w:rsidRPr="00E00B35">
              <w:rPr>
                <w:bCs/>
                <w:szCs w:val="20"/>
              </w:rPr>
              <w:t>do porozumień</w:t>
            </w:r>
          </w:p>
          <w:p w:rsidR="006F0842" w:rsidRPr="00E00B35" w:rsidRDefault="006F0842" w:rsidP="00E00B35">
            <w:pPr>
              <w:spacing w:after="0" w:line="312" w:lineRule="auto"/>
              <w:rPr>
                <w:szCs w:val="20"/>
              </w:rPr>
            </w:pPr>
          </w:p>
        </w:tc>
      </w:tr>
      <w:tr w:rsidR="006F0842" w:rsidRPr="00E00B35" w:rsidTr="00B86812">
        <w:tc>
          <w:tcPr>
            <w:tcW w:w="1663" w:type="dxa"/>
          </w:tcPr>
          <w:p w:rsidR="006F0842" w:rsidRPr="00E00B35" w:rsidRDefault="006F0842" w:rsidP="00E00B35">
            <w:pPr>
              <w:spacing w:after="0" w:line="312" w:lineRule="auto"/>
              <w:rPr>
                <w:szCs w:val="20"/>
              </w:rPr>
            </w:pPr>
            <w:r w:rsidRPr="00E00B35">
              <w:rPr>
                <w:szCs w:val="20"/>
              </w:rPr>
              <w:t>Województwem Dolnośląskim:</w:t>
            </w:r>
          </w:p>
        </w:tc>
        <w:tc>
          <w:tcPr>
            <w:tcW w:w="1143" w:type="dxa"/>
          </w:tcPr>
          <w:p w:rsidR="006F0842" w:rsidRPr="00E00B35" w:rsidRDefault="006F0842" w:rsidP="00E00B35">
            <w:pPr>
              <w:tabs>
                <w:tab w:val="left" w:pos="782"/>
              </w:tabs>
              <w:spacing w:after="0" w:line="312" w:lineRule="auto"/>
              <w:rPr>
                <w:szCs w:val="20"/>
              </w:rPr>
            </w:pPr>
            <w:r w:rsidRPr="00E00B35">
              <w:rPr>
                <w:szCs w:val="20"/>
              </w:rPr>
              <w:t>6</w:t>
            </w:r>
          </w:p>
        </w:tc>
        <w:tc>
          <w:tcPr>
            <w:tcW w:w="1107" w:type="dxa"/>
          </w:tcPr>
          <w:p w:rsidR="006F0842" w:rsidRPr="00E00B35" w:rsidRDefault="006F0842" w:rsidP="00E00B35">
            <w:pPr>
              <w:spacing w:after="0" w:line="312" w:lineRule="auto"/>
              <w:rPr>
                <w:szCs w:val="20"/>
              </w:rPr>
            </w:pPr>
            <w:r w:rsidRPr="00E00B35">
              <w:rPr>
                <w:szCs w:val="20"/>
              </w:rPr>
              <w:t>0</w:t>
            </w:r>
          </w:p>
        </w:tc>
        <w:tc>
          <w:tcPr>
            <w:tcW w:w="1342" w:type="dxa"/>
          </w:tcPr>
          <w:p w:rsidR="006F0842" w:rsidRPr="00E00B35" w:rsidRDefault="006F0842" w:rsidP="00E00B35">
            <w:pPr>
              <w:spacing w:after="0" w:line="312" w:lineRule="auto"/>
              <w:rPr>
                <w:szCs w:val="20"/>
              </w:rPr>
            </w:pPr>
            <w:r w:rsidRPr="00E00B35">
              <w:rPr>
                <w:szCs w:val="20"/>
              </w:rPr>
              <w:t>6</w:t>
            </w:r>
          </w:p>
        </w:tc>
        <w:tc>
          <w:tcPr>
            <w:tcW w:w="1291" w:type="dxa"/>
          </w:tcPr>
          <w:p w:rsidR="006F0842" w:rsidRPr="00E00B35" w:rsidRDefault="006F0842" w:rsidP="00E00B35">
            <w:pPr>
              <w:spacing w:after="0" w:line="312" w:lineRule="auto"/>
              <w:rPr>
                <w:szCs w:val="20"/>
              </w:rPr>
            </w:pPr>
            <w:r w:rsidRPr="00E00B35">
              <w:rPr>
                <w:szCs w:val="20"/>
              </w:rPr>
              <w:t>0</w:t>
            </w:r>
          </w:p>
        </w:tc>
        <w:tc>
          <w:tcPr>
            <w:tcW w:w="1436" w:type="dxa"/>
          </w:tcPr>
          <w:p w:rsidR="006F0842" w:rsidRPr="00E00B35" w:rsidRDefault="006F0842" w:rsidP="00E00B35">
            <w:pPr>
              <w:spacing w:after="0" w:line="312" w:lineRule="auto"/>
              <w:rPr>
                <w:szCs w:val="20"/>
              </w:rPr>
            </w:pPr>
            <w:r w:rsidRPr="00E00B35">
              <w:rPr>
                <w:szCs w:val="20"/>
              </w:rPr>
              <w:t>0</w:t>
            </w:r>
          </w:p>
        </w:tc>
        <w:tc>
          <w:tcPr>
            <w:tcW w:w="1304" w:type="dxa"/>
          </w:tcPr>
          <w:p w:rsidR="006F0842" w:rsidRPr="00E00B35" w:rsidRDefault="006F0842" w:rsidP="00E00B35">
            <w:pPr>
              <w:spacing w:after="0" w:line="312" w:lineRule="auto"/>
              <w:rPr>
                <w:szCs w:val="20"/>
              </w:rPr>
            </w:pPr>
            <w:r w:rsidRPr="00E00B35">
              <w:rPr>
                <w:szCs w:val="20"/>
              </w:rPr>
              <w:t>0</w:t>
            </w:r>
          </w:p>
        </w:tc>
      </w:tr>
      <w:tr w:rsidR="006F0842" w:rsidRPr="00E00B35" w:rsidTr="00B86812">
        <w:tc>
          <w:tcPr>
            <w:tcW w:w="1663" w:type="dxa"/>
          </w:tcPr>
          <w:p w:rsidR="006F0842" w:rsidRPr="00E00B35" w:rsidRDefault="006F0842" w:rsidP="00E00B35">
            <w:pPr>
              <w:spacing w:after="0" w:line="312" w:lineRule="auto"/>
              <w:rPr>
                <w:szCs w:val="20"/>
              </w:rPr>
            </w:pPr>
            <w:r w:rsidRPr="00E00B35">
              <w:rPr>
                <w:szCs w:val="20"/>
              </w:rPr>
              <w:t xml:space="preserve">w tym dot. </w:t>
            </w:r>
            <w:r w:rsidRPr="00E00B35">
              <w:rPr>
                <w:szCs w:val="20"/>
              </w:rPr>
              <w:lastRenderedPageBreak/>
              <w:t>wychowania przedszkolnego dzieci niesłyszących</w:t>
            </w:r>
          </w:p>
        </w:tc>
        <w:tc>
          <w:tcPr>
            <w:tcW w:w="1143" w:type="dxa"/>
          </w:tcPr>
          <w:p w:rsidR="006F0842" w:rsidRPr="00E00B35" w:rsidRDefault="006F0842" w:rsidP="00E00B35">
            <w:pPr>
              <w:tabs>
                <w:tab w:val="left" w:pos="737"/>
              </w:tabs>
              <w:spacing w:after="0" w:line="312" w:lineRule="auto"/>
              <w:rPr>
                <w:szCs w:val="20"/>
              </w:rPr>
            </w:pPr>
            <w:r w:rsidRPr="00E00B35">
              <w:rPr>
                <w:szCs w:val="20"/>
              </w:rPr>
              <w:lastRenderedPageBreak/>
              <w:t>0</w:t>
            </w:r>
          </w:p>
        </w:tc>
        <w:tc>
          <w:tcPr>
            <w:tcW w:w="1107" w:type="dxa"/>
          </w:tcPr>
          <w:p w:rsidR="006F0842" w:rsidRPr="00E00B35" w:rsidRDefault="006F0842" w:rsidP="00E00B35">
            <w:pPr>
              <w:spacing w:after="0" w:line="312" w:lineRule="auto"/>
              <w:rPr>
                <w:szCs w:val="20"/>
              </w:rPr>
            </w:pPr>
            <w:r w:rsidRPr="00E00B35">
              <w:rPr>
                <w:szCs w:val="20"/>
              </w:rPr>
              <w:t>0</w:t>
            </w:r>
          </w:p>
        </w:tc>
        <w:tc>
          <w:tcPr>
            <w:tcW w:w="1342" w:type="dxa"/>
          </w:tcPr>
          <w:p w:rsidR="006F0842" w:rsidRPr="00E00B35" w:rsidRDefault="006F0842" w:rsidP="00E00B35">
            <w:pPr>
              <w:spacing w:after="0" w:line="312" w:lineRule="auto"/>
              <w:rPr>
                <w:szCs w:val="20"/>
              </w:rPr>
            </w:pPr>
            <w:r w:rsidRPr="00E00B35">
              <w:rPr>
                <w:szCs w:val="20"/>
              </w:rPr>
              <w:t>0</w:t>
            </w:r>
          </w:p>
        </w:tc>
        <w:tc>
          <w:tcPr>
            <w:tcW w:w="1291" w:type="dxa"/>
          </w:tcPr>
          <w:p w:rsidR="006F0842" w:rsidRPr="00E00B35" w:rsidRDefault="006F0842" w:rsidP="00E00B35">
            <w:pPr>
              <w:spacing w:after="0" w:line="312" w:lineRule="auto"/>
              <w:rPr>
                <w:szCs w:val="20"/>
              </w:rPr>
            </w:pPr>
            <w:r w:rsidRPr="00E00B35">
              <w:rPr>
                <w:szCs w:val="20"/>
              </w:rPr>
              <w:t>5</w:t>
            </w:r>
          </w:p>
        </w:tc>
        <w:tc>
          <w:tcPr>
            <w:tcW w:w="1436" w:type="dxa"/>
          </w:tcPr>
          <w:p w:rsidR="006F0842" w:rsidRPr="00E00B35" w:rsidRDefault="006F0842" w:rsidP="00E00B35">
            <w:pPr>
              <w:spacing w:after="0" w:line="312" w:lineRule="auto"/>
              <w:rPr>
                <w:szCs w:val="20"/>
              </w:rPr>
            </w:pPr>
            <w:r w:rsidRPr="00E00B35">
              <w:rPr>
                <w:szCs w:val="20"/>
              </w:rPr>
              <w:t>1</w:t>
            </w:r>
          </w:p>
        </w:tc>
        <w:tc>
          <w:tcPr>
            <w:tcW w:w="1304" w:type="dxa"/>
          </w:tcPr>
          <w:p w:rsidR="006F0842" w:rsidRPr="00E00B35" w:rsidRDefault="006F0842" w:rsidP="00E00B35">
            <w:pPr>
              <w:spacing w:after="0" w:line="312" w:lineRule="auto"/>
              <w:rPr>
                <w:szCs w:val="20"/>
              </w:rPr>
            </w:pPr>
            <w:r w:rsidRPr="00E00B35">
              <w:rPr>
                <w:szCs w:val="20"/>
              </w:rPr>
              <w:t>4</w:t>
            </w:r>
          </w:p>
        </w:tc>
      </w:tr>
      <w:tr w:rsidR="006F0842" w:rsidRPr="00E00B35" w:rsidTr="00B86812">
        <w:tc>
          <w:tcPr>
            <w:tcW w:w="1663" w:type="dxa"/>
          </w:tcPr>
          <w:p w:rsidR="006F0842" w:rsidRPr="00E00B35" w:rsidRDefault="006F0842" w:rsidP="00E00B35">
            <w:pPr>
              <w:spacing w:after="0" w:line="312" w:lineRule="auto"/>
              <w:rPr>
                <w:szCs w:val="20"/>
              </w:rPr>
            </w:pPr>
            <w:r w:rsidRPr="00E00B35">
              <w:rPr>
                <w:szCs w:val="20"/>
              </w:rPr>
              <w:lastRenderedPageBreak/>
              <w:t>w tym dot. transportu</w:t>
            </w:r>
          </w:p>
        </w:tc>
        <w:tc>
          <w:tcPr>
            <w:tcW w:w="1143" w:type="dxa"/>
          </w:tcPr>
          <w:p w:rsidR="006F0842" w:rsidRPr="00E00B35" w:rsidRDefault="006F0842" w:rsidP="00E00B35">
            <w:pPr>
              <w:spacing w:after="0" w:line="312" w:lineRule="auto"/>
              <w:rPr>
                <w:szCs w:val="20"/>
              </w:rPr>
            </w:pPr>
            <w:r w:rsidRPr="00E00B35">
              <w:rPr>
                <w:szCs w:val="20"/>
              </w:rPr>
              <w:t>0</w:t>
            </w:r>
          </w:p>
        </w:tc>
        <w:tc>
          <w:tcPr>
            <w:tcW w:w="1107" w:type="dxa"/>
          </w:tcPr>
          <w:p w:rsidR="006F0842" w:rsidRPr="00E00B35" w:rsidRDefault="006F0842" w:rsidP="00E00B35">
            <w:pPr>
              <w:spacing w:after="0" w:line="312" w:lineRule="auto"/>
              <w:rPr>
                <w:szCs w:val="20"/>
              </w:rPr>
            </w:pPr>
            <w:r w:rsidRPr="00E00B35">
              <w:rPr>
                <w:szCs w:val="20"/>
              </w:rPr>
              <w:t>0</w:t>
            </w:r>
          </w:p>
        </w:tc>
        <w:tc>
          <w:tcPr>
            <w:tcW w:w="1342" w:type="dxa"/>
          </w:tcPr>
          <w:p w:rsidR="006F0842" w:rsidRPr="00E00B35" w:rsidRDefault="006F0842" w:rsidP="00E00B35">
            <w:pPr>
              <w:spacing w:after="0" w:line="312" w:lineRule="auto"/>
              <w:rPr>
                <w:szCs w:val="20"/>
              </w:rPr>
            </w:pPr>
            <w:r w:rsidRPr="00E00B35">
              <w:rPr>
                <w:szCs w:val="20"/>
              </w:rPr>
              <w:t>0</w:t>
            </w:r>
          </w:p>
        </w:tc>
        <w:tc>
          <w:tcPr>
            <w:tcW w:w="1291" w:type="dxa"/>
          </w:tcPr>
          <w:p w:rsidR="006F0842" w:rsidRPr="00E00B35" w:rsidRDefault="006F0842" w:rsidP="00E00B35">
            <w:pPr>
              <w:spacing w:after="0" w:line="312" w:lineRule="auto"/>
              <w:rPr>
                <w:szCs w:val="20"/>
              </w:rPr>
            </w:pPr>
            <w:r w:rsidRPr="00E00B35">
              <w:rPr>
                <w:szCs w:val="20"/>
              </w:rPr>
              <w:t>1</w:t>
            </w:r>
          </w:p>
        </w:tc>
        <w:tc>
          <w:tcPr>
            <w:tcW w:w="1436" w:type="dxa"/>
          </w:tcPr>
          <w:p w:rsidR="006F0842" w:rsidRPr="00E00B35" w:rsidRDefault="006F0842" w:rsidP="00E00B35">
            <w:pPr>
              <w:spacing w:after="0" w:line="312" w:lineRule="auto"/>
              <w:rPr>
                <w:szCs w:val="20"/>
              </w:rPr>
            </w:pPr>
            <w:r w:rsidRPr="00E00B35">
              <w:rPr>
                <w:szCs w:val="20"/>
              </w:rPr>
              <w:t>1</w:t>
            </w:r>
          </w:p>
        </w:tc>
        <w:tc>
          <w:tcPr>
            <w:tcW w:w="1304" w:type="dxa"/>
          </w:tcPr>
          <w:p w:rsidR="006F0842" w:rsidRPr="00E00B35" w:rsidRDefault="006F0842" w:rsidP="00E00B35">
            <w:pPr>
              <w:spacing w:after="0" w:line="312" w:lineRule="auto"/>
              <w:rPr>
                <w:szCs w:val="20"/>
              </w:rPr>
            </w:pPr>
            <w:r w:rsidRPr="00E00B35">
              <w:rPr>
                <w:szCs w:val="20"/>
              </w:rPr>
              <w:t>0</w:t>
            </w:r>
          </w:p>
        </w:tc>
      </w:tr>
    </w:tbl>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Zestawienie porozumień i aneksów do porozumień zawartych w latach 2003 – 2020 z Wojewodą Dolnośląskim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2"/>
        <w:gridCol w:w="857"/>
        <w:gridCol w:w="736"/>
        <w:gridCol w:w="1467"/>
        <w:gridCol w:w="1354"/>
        <w:gridCol w:w="1571"/>
        <w:gridCol w:w="1401"/>
      </w:tblGrid>
      <w:tr w:rsidR="006F0842" w:rsidRPr="00E00B35" w:rsidTr="00B86812">
        <w:trPr>
          <w:cantSplit/>
          <w:tblHeader/>
        </w:trPr>
        <w:tc>
          <w:tcPr>
            <w:tcW w:w="1805" w:type="dxa"/>
          </w:tcPr>
          <w:p w:rsidR="006F0842" w:rsidRPr="00E00B35" w:rsidRDefault="006F0842" w:rsidP="00E00B35">
            <w:pPr>
              <w:spacing w:after="0" w:line="312" w:lineRule="auto"/>
              <w:rPr>
                <w:szCs w:val="20"/>
              </w:rPr>
            </w:pPr>
            <w:r w:rsidRPr="00E00B35">
              <w:rPr>
                <w:szCs w:val="20"/>
              </w:rPr>
              <w:t xml:space="preserve">POROZUMIENIA i ANEKSY </w:t>
            </w:r>
            <w:r w:rsidRPr="00E00B35">
              <w:rPr>
                <w:szCs w:val="20"/>
              </w:rPr>
              <w:br/>
              <w:t>DO POROZUMIEŃ zawarte z:</w:t>
            </w:r>
          </w:p>
        </w:tc>
        <w:tc>
          <w:tcPr>
            <w:tcW w:w="989"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Lata</w:t>
            </w:r>
          </w:p>
          <w:p w:rsidR="006F0842" w:rsidRPr="00E00B35" w:rsidRDefault="006F0842" w:rsidP="00E00B35">
            <w:pPr>
              <w:spacing w:after="0" w:line="312" w:lineRule="auto"/>
              <w:rPr>
                <w:szCs w:val="20"/>
              </w:rPr>
            </w:pPr>
            <w:r w:rsidRPr="00E00B35">
              <w:rPr>
                <w:szCs w:val="20"/>
              </w:rPr>
              <w:t>2003–2019</w:t>
            </w:r>
          </w:p>
          <w:p w:rsidR="006F0842" w:rsidRPr="00E00B35" w:rsidRDefault="006F0842" w:rsidP="00E00B35">
            <w:pPr>
              <w:spacing w:after="0" w:line="312" w:lineRule="auto"/>
              <w:rPr>
                <w:szCs w:val="20"/>
              </w:rPr>
            </w:pPr>
          </w:p>
        </w:tc>
        <w:tc>
          <w:tcPr>
            <w:tcW w:w="986" w:type="dxa"/>
          </w:tcPr>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rok</w:t>
            </w:r>
          </w:p>
          <w:p w:rsidR="006F0842" w:rsidRPr="00E00B35" w:rsidRDefault="006F0842" w:rsidP="00E00B35">
            <w:pPr>
              <w:spacing w:after="0" w:line="312" w:lineRule="auto"/>
              <w:rPr>
                <w:szCs w:val="20"/>
              </w:rPr>
            </w:pPr>
            <w:r w:rsidRPr="00E00B35">
              <w:rPr>
                <w:bCs/>
                <w:szCs w:val="20"/>
              </w:rPr>
              <w:t>2020</w:t>
            </w:r>
          </w:p>
        </w:tc>
        <w:tc>
          <w:tcPr>
            <w:tcW w:w="1275" w:type="dxa"/>
          </w:tcPr>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ogółem</w:t>
            </w:r>
          </w:p>
          <w:p w:rsidR="006F0842" w:rsidRPr="00E00B35" w:rsidRDefault="006F0842" w:rsidP="00E00B35">
            <w:pPr>
              <w:spacing w:after="0" w:line="312" w:lineRule="auto"/>
              <w:rPr>
                <w:szCs w:val="20"/>
              </w:rPr>
            </w:pPr>
            <w:r w:rsidRPr="00E00B35">
              <w:rPr>
                <w:bCs/>
                <w:szCs w:val="20"/>
              </w:rPr>
              <w:t>podpisanych</w:t>
            </w:r>
          </w:p>
        </w:tc>
        <w:tc>
          <w:tcPr>
            <w:tcW w:w="1412" w:type="dxa"/>
          </w:tcPr>
          <w:p w:rsidR="006F0842" w:rsidRPr="00E00B35" w:rsidRDefault="006F0842" w:rsidP="00E00B35">
            <w:pPr>
              <w:spacing w:after="0" w:line="312" w:lineRule="auto"/>
              <w:rPr>
                <w:bCs/>
                <w:szCs w:val="20"/>
              </w:rPr>
            </w:pPr>
          </w:p>
          <w:p w:rsidR="006F0842" w:rsidRPr="00E00B35" w:rsidRDefault="006F0842" w:rsidP="00E00B35">
            <w:pPr>
              <w:spacing w:after="0" w:line="312" w:lineRule="auto"/>
              <w:rPr>
                <w:szCs w:val="20"/>
              </w:rPr>
            </w:pPr>
            <w:r w:rsidRPr="00E00B35">
              <w:rPr>
                <w:bCs/>
                <w:szCs w:val="20"/>
              </w:rPr>
              <w:t>w tym według przedmiotu</w:t>
            </w:r>
          </w:p>
        </w:tc>
        <w:tc>
          <w:tcPr>
            <w:tcW w:w="1300" w:type="dxa"/>
          </w:tcPr>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w tym według rodzaju -</w:t>
            </w:r>
          </w:p>
          <w:p w:rsidR="006F0842" w:rsidRPr="00E00B35" w:rsidRDefault="006F0842" w:rsidP="00E00B35">
            <w:pPr>
              <w:spacing w:after="0" w:line="312" w:lineRule="auto"/>
              <w:rPr>
                <w:bCs/>
                <w:szCs w:val="20"/>
              </w:rPr>
            </w:pPr>
            <w:r w:rsidRPr="00E00B35">
              <w:rPr>
                <w:bCs/>
                <w:szCs w:val="20"/>
              </w:rPr>
              <w:t>porozumienia</w:t>
            </w:r>
          </w:p>
          <w:p w:rsidR="006F0842" w:rsidRPr="00E00B35" w:rsidRDefault="006F0842" w:rsidP="00E00B35">
            <w:pPr>
              <w:spacing w:after="0" w:line="312" w:lineRule="auto"/>
              <w:rPr>
                <w:szCs w:val="20"/>
              </w:rPr>
            </w:pPr>
          </w:p>
        </w:tc>
        <w:tc>
          <w:tcPr>
            <w:tcW w:w="1519" w:type="dxa"/>
          </w:tcPr>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w tym według rodzaju - aneksy</w:t>
            </w:r>
          </w:p>
          <w:p w:rsidR="006F0842" w:rsidRPr="00E00B35" w:rsidRDefault="006F0842" w:rsidP="00E00B35">
            <w:pPr>
              <w:spacing w:after="0" w:line="312" w:lineRule="auto"/>
              <w:rPr>
                <w:szCs w:val="20"/>
              </w:rPr>
            </w:pPr>
            <w:r w:rsidRPr="00E00B35">
              <w:rPr>
                <w:bCs/>
                <w:szCs w:val="20"/>
              </w:rPr>
              <w:t>do porozumień</w:t>
            </w:r>
          </w:p>
        </w:tc>
      </w:tr>
      <w:tr w:rsidR="006F0842" w:rsidRPr="00E00B35" w:rsidTr="00B86812">
        <w:trPr>
          <w:cantSplit/>
        </w:trPr>
        <w:tc>
          <w:tcPr>
            <w:tcW w:w="1805" w:type="dxa"/>
          </w:tcPr>
          <w:p w:rsidR="006F0842" w:rsidRPr="00E00B35" w:rsidRDefault="006F0842" w:rsidP="00E00B35">
            <w:pPr>
              <w:spacing w:after="0" w:line="312" w:lineRule="auto"/>
              <w:rPr>
                <w:szCs w:val="20"/>
              </w:rPr>
            </w:pPr>
            <w:r w:rsidRPr="00E00B35">
              <w:rPr>
                <w:szCs w:val="20"/>
              </w:rPr>
              <w:t>Wojewodą Dolnośląskim:</w:t>
            </w:r>
          </w:p>
        </w:tc>
        <w:tc>
          <w:tcPr>
            <w:tcW w:w="989" w:type="dxa"/>
          </w:tcPr>
          <w:p w:rsidR="006F0842" w:rsidRPr="00E00B35" w:rsidRDefault="006F0842" w:rsidP="00E00B35">
            <w:pPr>
              <w:spacing w:after="0" w:line="312" w:lineRule="auto"/>
              <w:rPr>
                <w:szCs w:val="20"/>
              </w:rPr>
            </w:pPr>
            <w:r w:rsidRPr="00E00B35">
              <w:rPr>
                <w:szCs w:val="20"/>
              </w:rPr>
              <w:t>37</w:t>
            </w:r>
          </w:p>
        </w:tc>
        <w:tc>
          <w:tcPr>
            <w:tcW w:w="986" w:type="dxa"/>
          </w:tcPr>
          <w:p w:rsidR="006F0842" w:rsidRPr="00E00B35" w:rsidRDefault="006F0842" w:rsidP="00E00B35">
            <w:pPr>
              <w:spacing w:after="0" w:line="312" w:lineRule="auto"/>
              <w:rPr>
                <w:szCs w:val="20"/>
              </w:rPr>
            </w:pPr>
            <w:r w:rsidRPr="00E00B35">
              <w:rPr>
                <w:szCs w:val="20"/>
              </w:rPr>
              <w:t>1</w:t>
            </w:r>
          </w:p>
        </w:tc>
        <w:tc>
          <w:tcPr>
            <w:tcW w:w="1275" w:type="dxa"/>
          </w:tcPr>
          <w:p w:rsidR="006F0842" w:rsidRPr="00E00B35" w:rsidRDefault="006F0842" w:rsidP="00E00B35">
            <w:pPr>
              <w:spacing w:after="0" w:line="312" w:lineRule="auto"/>
              <w:rPr>
                <w:szCs w:val="20"/>
              </w:rPr>
            </w:pPr>
            <w:r w:rsidRPr="00E00B35">
              <w:rPr>
                <w:szCs w:val="20"/>
              </w:rPr>
              <w:t>38</w:t>
            </w:r>
          </w:p>
        </w:tc>
        <w:tc>
          <w:tcPr>
            <w:tcW w:w="1412" w:type="dxa"/>
          </w:tcPr>
          <w:p w:rsidR="006F0842" w:rsidRPr="00E00B35" w:rsidRDefault="006F0842" w:rsidP="00E00B35">
            <w:pPr>
              <w:spacing w:after="0" w:line="312" w:lineRule="auto"/>
              <w:rPr>
                <w:szCs w:val="20"/>
              </w:rPr>
            </w:pPr>
            <w:r w:rsidRPr="00E00B35">
              <w:rPr>
                <w:szCs w:val="20"/>
              </w:rPr>
              <w:t>0</w:t>
            </w:r>
          </w:p>
        </w:tc>
        <w:tc>
          <w:tcPr>
            <w:tcW w:w="1300" w:type="dxa"/>
          </w:tcPr>
          <w:p w:rsidR="006F0842" w:rsidRPr="00E00B35" w:rsidRDefault="006F0842" w:rsidP="00E00B35">
            <w:pPr>
              <w:spacing w:after="0" w:line="312" w:lineRule="auto"/>
              <w:rPr>
                <w:szCs w:val="20"/>
              </w:rPr>
            </w:pPr>
            <w:r w:rsidRPr="00E00B35">
              <w:rPr>
                <w:szCs w:val="20"/>
              </w:rPr>
              <w:t>0</w:t>
            </w:r>
          </w:p>
        </w:tc>
        <w:tc>
          <w:tcPr>
            <w:tcW w:w="1519" w:type="dxa"/>
          </w:tcPr>
          <w:p w:rsidR="006F0842" w:rsidRPr="00E00B35" w:rsidRDefault="006F0842" w:rsidP="00E00B35">
            <w:pPr>
              <w:spacing w:after="0" w:line="312" w:lineRule="auto"/>
              <w:rPr>
                <w:szCs w:val="20"/>
              </w:rPr>
            </w:pPr>
            <w:r w:rsidRPr="00E00B35">
              <w:rPr>
                <w:szCs w:val="20"/>
              </w:rPr>
              <w:t>0</w:t>
            </w:r>
          </w:p>
        </w:tc>
      </w:tr>
      <w:tr w:rsidR="006F0842" w:rsidRPr="00E00B35" w:rsidTr="00B86812">
        <w:trPr>
          <w:cantSplit/>
        </w:trPr>
        <w:tc>
          <w:tcPr>
            <w:tcW w:w="1805" w:type="dxa"/>
          </w:tcPr>
          <w:p w:rsidR="006F0842" w:rsidRPr="00E00B35" w:rsidRDefault="006F0842" w:rsidP="00E00B35">
            <w:pPr>
              <w:spacing w:after="0" w:line="312" w:lineRule="auto"/>
              <w:rPr>
                <w:szCs w:val="20"/>
              </w:rPr>
            </w:pPr>
            <w:r w:rsidRPr="00E00B35">
              <w:rPr>
                <w:szCs w:val="20"/>
              </w:rPr>
              <w:t>w tym dot. cmentarzy</w:t>
            </w:r>
          </w:p>
        </w:tc>
        <w:tc>
          <w:tcPr>
            <w:tcW w:w="989" w:type="dxa"/>
          </w:tcPr>
          <w:p w:rsidR="006F0842" w:rsidRPr="00E00B35" w:rsidRDefault="006F0842" w:rsidP="00E00B35">
            <w:pPr>
              <w:spacing w:after="0" w:line="312" w:lineRule="auto"/>
              <w:rPr>
                <w:szCs w:val="20"/>
              </w:rPr>
            </w:pPr>
            <w:r w:rsidRPr="00E00B35">
              <w:rPr>
                <w:szCs w:val="20"/>
              </w:rPr>
              <w:t>0</w:t>
            </w:r>
          </w:p>
        </w:tc>
        <w:tc>
          <w:tcPr>
            <w:tcW w:w="986" w:type="dxa"/>
          </w:tcPr>
          <w:p w:rsidR="006F0842" w:rsidRPr="00E00B35" w:rsidRDefault="006F0842" w:rsidP="00E00B35">
            <w:pPr>
              <w:spacing w:after="0" w:line="312" w:lineRule="auto"/>
              <w:rPr>
                <w:szCs w:val="20"/>
              </w:rPr>
            </w:pPr>
            <w:r w:rsidRPr="00E00B35">
              <w:rPr>
                <w:szCs w:val="20"/>
              </w:rPr>
              <w:t>0</w:t>
            </w:r>
          </w:p>
        </w:tc>
        <w:tc>
          <w:tcPr>
            <w:tcW w:w="1275" w:type="dxa"/>
          </w:tcPr>
          <w:p w:rsidR="006F0842" w:rsidRPr="00E00B35" w:rsidRDefault="006F0842" w:rsidP="00E00B35">
            <w:pPr>
              <w:spacing w:after="0" w:line="312" w:lineRule="auto"/>
              <w:rPr>
                <w:szCs w:val="20"/>
              </w:rPr>
            </w:pPr>
            <w:r w:rsidRPr="00E00B35">
              <w:rPr>
                <w:szCs w:val="20"/>
              </w:rPr>
              <w:t>0</w:t>
            </w:r>
          </w:p>
        </w:tc>
        <w:tc>
          <w:tcPr>
            <w:tcW w:w="1412" w:type="dxa"/>
          </w:tcPr>
          <w:p w:rsidR="006F0842" w:rsidRPr="00E00B35" w:rsidRDefault="006F0842" w:rsidP="00E00B35">
            <w:pPr>
              <w:spacing w:after="0" w:line="312" w:lineRule="auto"/>
              <w:rPr>
                <w:szCs w:val="20"/>
              </w:rPr>
            </w:pPr>
            <w:r w:rsidRPr="00E00B35">
              <w:rPr>
                <w:szCs w:val="20"/>
              </w:rPr>
              <w:t>18</w:t>
            </w:r>
          </w:p>
        </w:tc>
        <w:tc>
          <w:tcPr>
            <w:tcW w:w="1300" w:type="dxa"/>
          </w:tcPr>
          <w:p w:rsidR="006F0842" w:rsidRPr="00E00B35" w:rsidRDefault="006F0842" w:rsidP="00E00B35">
            <w:pPr>
              <w:spacing w:after="0" w:line="312" w:lineRule="auto"/>
              <w:rPr>
                <w:szCs w:val="20"/>
              </w:rPr>
            </w:pPr>
            <w:r w:rsidRPr="00E00B35">
              <w:rPr>
                <w:szCs w:val="20"/>
              </w:rPr>
              <w:t>8</w:t>
            </w:r>
          </w:p>
        </w:tc>
        <w:tc>
          <w:tcPr>
            <w:tcW w:w="1519" w:type="dxa"/>
          </w:tcPr>
          <w:p w:rsidR="006F0842" w:rsidRPr="00E00B35" w:rsidRDefault="006F0842" w:rsidP="00E00B35">
            <w:pPr>
              <w:spacing w:after="0" w:line="312" w:lineRule="auto"/>
              <w:rPr>
                <w:szCs w:val="20"/>
              </w:rPr>
            </w:pPr>
            <w:r w:rsidRPr="00E00B35">
              <w:rPr>
                <w:szCs w:val="20"/>
              </w:rPr>
              <w:t>10</w:t>
            </w:r>
          </w:p>
        </w:tc>
      </w:tr>
      <w:tr w:rsidR="006F0842" w:rsidRPr="00E00B35" w:rsidTr="00B86812">
        <w:trPr>
          <w:cantSplit/>
        </w:trPr>
        <w:tc>
          <w:tcPr>
            <w:tcW w:w="1805" w:type="dxa"/>
          </w:tcPr>
          <w:p w:rsidR="006F0842" w:rsidRPr="00E00B35" w:rsidRDefault="006F0842" w:rsidP="00E00B35">
            <w:pPr>
              <w:spacing w:after="0" w:line="312" w:lineRule="auto"/>
              <w:rPr>
                <w:szCs w:val="20"/>
              </w:rPr>
            </w:pPr>
            <w:r w:rsidRPr="00E00B35">
              <w:rPr>
                <w:szCs w:val="20"/>
              </w:rPr>
              <w:t>w tym dot. kwalifikacji wojskowej</w:t>
            </w:r>
          </w:p>
        </w:tc>
        <w:tc>
          <w:tcPr>
            <w:tcW w:w="989" w:type="dxa"/>
          </w:tcPr>
          <w:p w:rsidR="006F0842" w:rsidRPr="00E00B35" w:rsidRDefault="006F0842" w:rsidP="00E00B35">
            <w:pPr>
              <w:spacing w:after="0" w:line="312" w:lineRule="auto"/>
              <w:rPr>
                <w:szCs w:val="20"/>
              </w:rPr>
            </w:pPr>
            <w:r w:rsidRPr="00E00B35">
              <w:rPr>
                <w:szCs w:val="20"/>
              </w:rPr>
              <w:t>0</w:t>
            </w:r>
          </w:p>
        </w:tc>
        <w:tc>
          <w:tcPr>
            <w:tcW w:w="986" w:type="dxa"/>
          </w:tcPr>
          <w:p w:rsidR="006F0842" w:rsidRPr="00E00B35" w:rsidRDefault="006F0842" w:rsidP="00E00B35">
            <w:pPr>
              <w:spacing w:after="0" w:line="312" w:lineRule="auto"/>
              <w:rPr>
                <w:szCs w:val="20"/>
              </w:rPr>
            </w:pPr>
            <w:r w:rsidRPr="00E00B35">
              <w:rPr>
                <w:szCs w:val="20"/>
              </w:rPr>
              <w:t>0</w:t>
            </w:r>
          </w:p>
        </w:tc>
        <w:tc>
          <w:tcPr>
            <w:tcW w:w="1275" w:type="dxa"/>
          </w:tcPr>
          <w:p w:rsidR="006F0842" w:rsidRPr="00E00B35" w:rsidRDefault="006F0842" w:rsidP="00E00B35">
            <w:pPr>
              <w:spacing w:after="0" w:line="312" w:lineRule="auto"/>
              <w:rPr>
                <w:szCs w:val="20"/>
              </w:rPr>
            </w:pPr>
            <w:r w:rsidRPr="00E00B35">
              <w:rPr>
                <w:szCs w:val="20"/>
              </w:rPr>
              <w:t>0</w:t>
            </w:r>
          </w:p>
        </w:tc>
        <w:tc>
          <w:tcPr>
            <w:tcW w:w="1412" w:type="dxa"/>
          </w:tcPr>
          <w:p w:rsidR="006F0842" w:rsidRPr="00E00B35" w:rsidRDefault="006F0842" w:rsidP="00E00B35">
            <w:pPr>
              <w:spacing w:after="0" w:line="312" w:lineRule="auto"/>
              <w:rPr>
                <w:szCs w:val="20"/>
              </w:rPr>
            </w:pPr>
            <w:r w:rsidRPr="00E00B35">
              <w:rPr>
                <w:szCs w:val="20"/>
              </w:rPr>
              <w:t>14</w:t>
            </w:r>
          </w:p>
        </w:tc>
        <w:tc>
          <w:tcPr>
            <w:tcW w:w="1300" w:type="dxa"/>
          </w:tcPr>
          <w:p w:rsidR="006F0842" w:rsidRPr="00E00B35" w:rsidRDefault="006F0842" w:rsidP="00E00B35">
            <w:pPr>
              <w:spacing w:after="0" w:line="312" w:lineRule="auto"/>
              <w:rPr>
                <w:szCs w:val="20"/>
              </w:rPr>
            </w:pPr>
            <w:r w:rsidRPr="00E00B35">
              <w:rPr>
                <w:szCs w:val="20"/>
              </w:rPr>
              <w:t>13</w:t>
            </w:r>
          </w:p>
        </w:tc>
        <w:tc>
          <w:tcPr>
            <w:tcW w:w="1519" w:type="dxa"/>
          </w:tcPr>
          <w:p w:rsidR="006F0842" w:rsidRPr="00E00B35" w:rsidRDefault="006F0842" w:rsidP="00E00B35">
            <w:pPr>
              <w:spacing w:after="0" w:line="312" w:lineRule="auto"/>
              <w:rPr>
                <w:szCs w:val="20"/>
              </w:rPr>
            </w:pPr>
            <w:r w:rsidRPr="00E00B35">
              <w:rPr>
                <w:szCs w:val="20"/>
              </w:rPr>
              <w:t>1</w:t>
            </w:r>
          </w:p>
        </w:tc>
      </w:tr>
      <w:tr w:rsidR="006F0842" w:rsidRPr="00E00B35" w:rsidTr="00B86812">
        <w:trPr>
          <w:cantSplit/>
        </w:trPr>
        <w:tc>
          <w:tcPr>
            <w:tcW w:w="1805" w:type="dxa"/>
          </w:tcPr>
          <w:p w:rsidR="006F0842" w:rsidRPr="00E00B35" w:rsidRDefault="006F0842" w:rsidP="00E00B35">
            <w:pPr>
              <w:spacing w:after="0" w:line="312" w:lineRule="auto"/>
              <w:rPr>
                <w:szCs w:val="20"/>
              </w:rPr>
            </w:pPr>
            <w:r w:rsidRPr="00E00B35">
              <w:rPr>
                <w:szCs w:val="20"/>
              </w:rPr>
              <w:t>w tym dot. Centrum Powiadamiania Ratunkowego</w:t>
            </w:r>
          </w:p>
        </w:tc>
        <w:tc>
          <w:tcPr>
            <w:tcW w:w="989" w:type="dxa"/>
          </w:tcPr>
          <w:p w:rsidR="006F0842" w:rsidRPr="00E00B35" w:rsidRDefault="006F0842" w:rsidP="00E00B35">
            <w:pPr>
              <w:spacing w:after="0" w:line="312" w:lineRule="auto"/>
              <w:rPr>
                <w:szCs w:val="20"/>
              </w:rPr>
            </w:pPr>
            <w:r w:rsidRPr="00E00B35">
              <w:rPr>
                <w:szCs w:val="20"/>
              </w:rPr>
              <w:t>0</w:t>
            </w:r>
          </w:p>
        </w:tc>
        <w:tc>
          <w:tcPr>
            <w:tcW w:w="986" w:type="dxa"/>
          </w:tcPr>
          <w:p w:rsidR="006F0842" w:rsidRPr="00E00B35" w:rsidRDefault="006F0842" w:rsidP="00E00B35">
            <w:pPr>
              <w:spacing w:after="0" w:line="312" w:lineRule="auto"/>
              <w:rPr>
                <w:szCs w:val="20"/>
              </w:rPr>
            </w:pPr>
            <w:r w:rsidRPr="00E00B35">
              <w:rPr>
                <w:szCs w:val="20"/>
              </w:rPr>
              <w:t>0</w:t>
            </w:r>
          </w:p>
        </w:tc>
        <w:tc>
          <w:tcPr>
            <w:tcW w:w="1275" w:type="dxa"/>
          </w:tcPr>
          <w:p w:rsidR="006F0842" w:rsidRPr="00E00B35" w:rsidRDefault="006F0842" w:rsidP="00E00B35">
            <w:pPr>
              <w:spacing w:after="0" w:line="312" w:lineRule="auto"/>
              <w:rPr>
                <w:szCs w:val="20"/>
              </w:rPr>
            </w:pPr>
            <w:r w:rsidRPr="00E00B35">
              <w:rPr>
                <w:szCs w:val="20"/>
              </w:rPr>
              <w:t>0</w:t>
            </w:r>
          </w:p>
        </w:tc>
        <w:tc>
          <w:tcPr>
            <w:tcW w:w="1412" w:type="dxa"/>
          </w:tcPr>
          <w:p w:rsidR="006F0842" w:rsidRPr="00E00B35" w:rsidRDefault="006F0842" w:rsidP="00E00B35">
            <w:pPr>
              <w:spacing w:after="0" w:line="312" w:lineRule="auto"/>
              <w:rPr>
                <w:szCs w:val="20"/>
              </w:rPr>
            </w:pPr>
            <w:r w:rsidRPr="00E00B35">
              <w:rPr>
                <w:szCs w:val="20"/>
              </w:rPr>
              <w:t>3</w:t>
            </w:r>
          </w:p>
        </w:tc>
        <w:tc>
          <w:tcPr>
            <w:tcW w:w="1300" w:type="dxa"/>
          </w:tcPr>
          <w:p w:rsidR="006F0842" w:rsidRPr="00E00B35" w:rsidRDefault="006F0842" w:rsidP="00E00B35">
            <w:pPr>
              <w:spacing w:after="0" w:line="312" w:lineRule="auto"/>
              <w:rPr>
                <w:szCs w:val="20"/>
              </w:rPr>
            </w:pPr>
            <w:r w:rsidRPr="00E00B35">
              <w:rPr>
                <w:szCs w:val="20"/>
              </w:rPr>
              <w:t>3</w:t>
            </w:r>
          </w:p>
        </w:tc>
        <w:tc>
          <w:tcPr>
            <w:tcW w:w="1519" w:type="dxa"/>
          </w:tcPr>
          <w:p w:rsidR="006F0842" w:rsidRPr="00E00B35" w:rsidRDefault="006F0842" w:rsidP="00E00B35">
            <w:pPr>
              <w:spacing w:after="0" w:line="312" w:lineRule="auto"/>
              <w:rPr>
                <w:szCs w:val="20"/>
              </w:rPr>
            </w:pPr>
            <w:r w:rsidRPr="00E00B35">
              <w:rPr>
                <w:szCs w:val="20"/>
              </w:rPr>
              <w:t>0</w:t>
            </w:r>
          </w:p>
        </w:tc>
      </w:tr>
      <w:tr w:rsidR="006F0842" w:rsidRPr="00E00B35" w:rsidTr="00B86812">
        <w:trPr>
          <w:cantSplit/>
        </w:trPr>
        <w:tc>
          <w:tcPr>
            <w:tcW w:w="1805" w:type="dxa"/>
          </w:tcPr>
          <w:p w:rsidR="006F0842" w:rsidRPr="00E00B35" w:rsidRDefault="006F0842" w:rsidP="00E00B35">
            <w:pPr>
              <w:spacing w:after="0" w:line="312" w:lineRule="auto"/>
              <w:rPr>
                <w:szCs w:val="20"/>
              </w:rPr>
            </w:pPr>
            <w:r w:rsidRPr="00E00B35">
              <w:rPr>
                <w:szCs w:val="20"/>
              </w:rPr>
              <w:t>w tym dot. obsługi ruchu w zw. z przewodnictwem Polski w Radzie UE</w:t>
            </w:r>
          </w:p>
        </w:tc>
        <w:tc>
          <w:tcPr>
            <w:tcW w:w="989" w:type="dxa"/>
          </w:tcPr>
          <w:p w:rsidR="006F0842" w:rsidRPr="00E00B35" w:rsidRDefault="006F0842" w:rsidP="00E00B35">
            <w:pPr>
              <w:spacing w:after="0" w:line="312" w:lineRule="auto"/>
              <w:rPr>
                <w:szCs w:val="20"/>
              </w:rPr>
            </w:pPr>
            <w:r w:rsidRPr="00E00B35">
              <w:rPr>
                <w:szCs w:val="20"/>
              </w:rPr>
              <w:t>0</w:t>
            </w:r>
          </w:p>
        </w:tc>
        <w:tc>
          <w:tcPr>
            <w:tcW w:w="986" w:type="dxa"/>
          </w:tcPr>
          <w:p w:rsidR="006F0842" w:rsidRPr="00E00B35" w:rsidRDefault="006F0842" w:rsidP="00E00B35">
            <w:pPr>
              <w:spacing w:after="0" w:line="312" w:lineRule="auto"/>
              <w:rPr>
                <w:szCs w:val="20"/>
              </w:rPr>
            </w:pPr>
            <w:r w:rsidRPr="00E00B35">
              <w:rPr>
                <w:szCs w:val="20"/>
              </w:rPr>
              <w:t>0</w:t>
            </w:r>
          </w:p>
        </w:tc>
        <w:tc>
          <w:tcPr>
            <w:tcW w:w="1275" w:type="dxa"/>
          </w:tcPr>
          <w:p w:rsidR="006F0842" w:rsidRPr="00E00B35" w:rsidRDefault="006F0842" w:rsidP="00E00B35">
            <w:pPr>
              <w:spacing w:after="0" w:line="312" w:lineRule="auto"/>
              <w:rPr>
                <w:szCs w:val="20"/>
              </w:rPr>
            </w:pPr>
            <w:r w:rsidRPr="00E00B35">
              <w:rPr>
                <w:szCs w:val="20"/>
              </w:rPr>
              <w:t>0</w:t>
            </w:r>
          </w:p>
        </w:tc>
        <w:tc>
          <w:tcPr>
            <w:tcW w:w="1412" w:type="dxa"/>
          </w:tcPr>
          <w:p w:rsidR="006F0842" w:rsidRPr="00E00B35" w:rsidRDefault="006F0842" w:rsidP="00E00B35">
            <w:pPr>
              <w:spacing w:after="0" w:line="312" w:lineRule="auto"/>
              <w:rPr>
                <w:szCs w:val="20"/>
              </w:rPr>
            </w:pPr>
            <w:r w:rsidRPr="00E00B35">
              <w:rPr>
                <w:szCs w:val="20"/>
              </w:rPr>
              <w:t>1</w:t>
            </w:r>
          </w:p>
        </w:tc>
        <w:tc>
          <w:tcPr>
            <w:tcW w:w="1300" w:type="dxa"/>
          </w:tcPr>
          <w:p w:rsidR="006F0842" w:rsidRPr="00E00B35" w:rsidRDefault="006F0842" w:rsidP="00E00B35">
            <w:pPr>
              <w:spacing w:after="0" w:line="312" w:lineRule="auto"/>
              <w:rPr>
                <w:szCs w:val="20"/>
              </w:rPr>
            </w:pPr>
            <w:r w:rsidRPr="00E00B35">
              <w:rPr>
                <w:szCs w:val="20"/>
              </w:rPr>
              <w:t>1</w:t>
            </w:r>
          </w:p>
        </w:tc>
        <w:tc>
          <w:tcPr>
            <w:tcW w:w="1519" w:type="dxa"/>
          </w:tcPr>
          <w:p w:rsidR="006F0842" w:rsidRPr="00E00B35" w:rsidRDefault="006F0842" w:rsidP="00E00B35">
            <w:pPr>
              <w:spacing w:after="0" w:line="312" w:lineRule="auto"/>
              <w:rPr>
                <w:szCs w:val="20"/>
              </w:rPr>
            </w:pPr>
            <w:r w:rsidRPr="00E00B35">
              <w:rPr>
                <w:szCs w:val="20"/>
              </w:rPr>
              <w:t>0</w:t>
            </w:r>
          </w:p>
        </w:tc>
      </w:tr>
      <w:tr w:rsidR="006F0842" w:rsidRPr="00E00B35" w:rsidTr="00B86812">
        <w:trPr>
          <w:cantSplit/>
        </w:trPr>
        <w:tc>
          <w:tcPr>
            <w:tcW w:w="1805" w:type="dxa"/>
          </w:tcPr>
          <w:p w:rsidR="006F0842" w:rsidRPr="00E00B35" w:rsidRDefault="006F0842" w:rsidP="00E00B35">
            <w:pPr>
              <w:spacing w:after="0" w:line="312" w:lineRule="auto"/>
              <w:rPr>
                <w:szCs w:val="20"/>
              </w:rPr>
            </w:pPr>
            <w:r w:rsidRPr="00E00B35">
              <w:rPr>
                <w:szCs w:val="20"/>
              </w:rPr>
              <w:lastRenderedPageBreak/>
              <w:t>w tym dot. Programu „Bezpieczna i przyjazna szkoła</w:t>
            </w:r>
          </w:p>
        </w:tc>
        <w:tc>
          <w:tcPr>
            <w:tcW w:w="989" w:type="dxa"/>
          </w:tcPr>
          <w:p w:rsidR="006F0842" w:rsidRPr="00E00B35" w:rsidRDefault="006F0842" w:rsidP="00E00B35">
            <w:pPr>
              <w:spacing w:after="0" w:line="312" w:lineRule="auto"/>
              <w:rPr>
                <w:szCs w:val="20"/>
              </w:rPr>
            </w:pPr>
            <w:r w:rsidRPr="00E00B35">
              <w:rPr>
                <w:szCs w:val="20"/>
              </w:rPr>
              <w:t>0</w:t>
            </w:r>
          </w:p>
        </w:tc>
        <w:tc>
          <w:tcPr>
            <w:tcW w:w="986" w:type="dxa"/>
          </w:tcPr>
          <w:p w:rsidR="006F0842" w:rsidRPr="00E00B35" w:rsidRDefault="006F0842" w:rsidP="00E00B35">
            <w:pPr>
              <w:spacing w:after="0" w:line="312" w:lineRule="auto"/>
              <w:rPr>
                <w:szCs w:val="20"/>
              </w:rPr>
            </w:pPr>
            <w:r w:rsidRPr="00E00B35">
              <w:rPr>
                <w:szCs w:val="20"/>
              </w:rPr>
              <w:t>0</w:t>
            </w:r>
          </w:p>
        </w:tc>
        <w:tc>
          <w:tcPr>
            <w:tcW w:w="1275" w:type="dxa"/>
          </w:tcPr>
          <w:p w:rsidR="006F0842" w:rsidRPr="00E00B35" w:rsidRDefault="006F0842" w:rsidP="00E00B35">
            <w:pPr>
              <w:spacing w:after="0" w:line="312" w:lineRule="auto"/>
              <w:rPr>
                <w:szCs w:val="20"/>
              </w:rPr>
            </w:pPr>
            <w:r w:rsidRPr="00E00B35">
              <w:rPr>
                <w:szCs w:val="20"/>
              </w:rPr>
              <w:t>0</w:t>
            </w:r>
          </w:p>
        </w:tc>
        <w:tc>
          <w:tcPr>
            <w:tcW w:w="1412" w:type="dxa"/>
          </w:tcPr>
          <w:p w:rsidR="006F0842" w:rsidRPr="00E00B35" w:rsidRDefault="006F0842" w:rsidP="00E00B35">
            <w:pPr>
              <w:spacing w:after="0" w:line="312" w:lineRule="auto"/>
              <w:rPr>
                <w:szCs w:val="20"/>
              </w:rPr>
            </w:pPr>
            <w:r w:rsidRPr="00E00B35">
              <w:rPr>
                <w:szCs w:val="20"/>
              </w:rPr>
              <w:t>1</w:t>
            </w:r>
          </w:p>
        </w:tc>
        <w:tc>
          <w:tcPr>
            <w:tcW w:w="1300" w:type="dxa"/>
          </w:tcPr>
          <w:p w:rsidR="006F0842" w:rsidRPr="00E00B35" w:rsidRDefault="006F0842" w:rsidP="00E00B35">
            <w:pPr>
              <w:spacing w:after="0" w:line="312" w:lineRule="auto"/>
              <w:rPr>
                <w:szCs w:val="20"/>
              </w:rPr>
            </w:pPr>
            <w:r w:rsidRPr="00E00B35">
              <w:rPr>
                <w:szCs w:val="20"/>
              </w:rPr>
              <w:t>1</w:t>
            </w:r>
          </w:p>
        </w:tc>
        <w:tc>
          <w:tcPr>
            <w:tcW w:w="1519" w:type="dxa"/>
          </w:tcPr>
          <w:p w:rsidR="006F0842" w:rsidRPr="00E00B35" w:rsidRDefault="006F0842" w:rsidP="00E00B35">
            <w:pPr>
              <w:spacing w:after="0" w:line="312" w:lineRule="auto"/>
              <w:rPr>
                <w:szCs w:val="20"/>
              </w:rPr>
            </w:pPr>
            <w:r w:rsidRPr="00E00B35">
              <w:rPr>
                <w:szCs w:val="20"/>
              </w:rPr>
              <w:t>0</w:t>
            </w:r>
          </w:p>
        </w:tc>
      </w:tr>
      <w:tr w:rsidR="006F0842" w:rsidRPr="00E00B35" w:rsidTr="00B86812">
        <w:trPr>
          <w:cantSplit/>
        </w:trPr>
        <w:tc>
          <w:tcPr>
            <w:tcW w:w="1805" w:type="dxa"/>
          </w:tcPr>
          <w:p w:rsidR="006F0842" w:rsidRPr="00E00B35" w:rsidRDefault="006F0842" w:rsidP="00E00B35">
            <w:pPr>
              <w:spacing w:after="0" w:line="312" w:lineRule="auto"/>
              <w:rPr>
                <w:szCs w:val="20"/>
              </w:rPr>
            </w:pPr>
            <w:r w:rsidRPr="00E00B35">
              <w:rPr>
                <w:szCs w:val="20"/>
              </w:rPr>
              <w:t>w tym dot. zadań Wojewódzkiego Konserwatora Zabytków</w:t>
            </w:r>
          </w:p>
        </w:tc>
        <w:tc>
          <w:tcPr>
            <w:tcW w:w="989" w:type="dxa"/>
          </w:tcPr>
          <w:p w:rsidR="006F0842" w:rsidRPr="00E00B35" w:rsidRDefault="006F0842" w:rsidP="00E00B35">
            <w:pPr>
              <w:spacing w:after="0" w:line="312" w:lineRule="auto"/>
              <w:rPr>
                <w:szCs w:val="20"/>
              </w:rPr>
            </w:pPr>
            <w:r w:rsidRPr="00E00B35">
              <w:rPr>
                <w:szCs w:val="20"/>
              </w:rPr>
              <w:t>0</w:t>
            </w:r>
          </w:p>
        </w:tc>
        <w:tc>
          <w:tcPr>
            <w:tcW w:w="986" w:type="dxa"/>
          </w:tcPr>
          <w:p w:rsidR="006F0842" w:rsidRPr="00E00B35" w:rsidRDefault="006F0842" w:rsidP="00E00B35">
            <w:pPr>
              <w:spacing w:after="0" w:line="312" w:lineRule="auto"/>
              <w:rPr>
                <w:szCs w:val="20"/>
              </w:rPr>
            </w:pPr>
            <w:r w:rsidRPr="00E00B35">
              <w:rPr>
                <w:szCs w:val="20"/>
              </w:rPr>
              <w:t>0</w:t>
            </w:r>
          </w:p>
        </w:tc>
        <w:tc>
          <w:tcPr>
            <w:tcW w:w="1275" w:type="dxa"/>
          </w:tcPr>
          <w:p w:rsidR="006F0842" w:rsidRPr="00E00B35" w:rsidRDefault="006F0842" w:rsidP="00E00B35">
            <w:pPr>
              <w:spacing w:after="0" w:line="312" w:lineRule="auto"/>
              <w:rPr>
                <w:szCs w:val="20"/>
              </w:rPr>
            </w:pPr>
            <w:r w:rsidRPr="00E00B35">
              <w:rPr>
                <w:szCs w:val="20"/>
              </w:rPr>
              <w:t>0</w:t>
            </w:r>
          </w:p>
        </w:tc>
        <w:tc>
          <w:tcPr>
            <w:tcW w:w="1412" w:type="dxa"/>
          </w:tcPr>
          <w:p w:rsidR="006F0842" w:rsidRPr="00E00B35" w:rsidRDefault="006F0842" w:rsidP="00E00B35">
            <w:pPr>
              <w:spacing w:after="0" w:line="312" w:lineRule="auto"/>
              <w:rPr>
                <w:szCs w:val="20"/>
              </w:rPr>
            </w:pPr>
            <w:r w:rsidRPr="00E00B35">
              <w:rPr>
                <w:szCs w:val="20"/>
              </w:rPr>
              <w:t>1</w:t>
            </w:r>
          </w:p>
        </w:tc>
        <w:tc>
          <w:tcPr>
            <w:tcW w:w="1300" w:type="dxa"/>
          </w:tcPr>
          <w:p w:rsidR="006F0842" w:rsidRPr="00E00B35" w:rsidRDefault="006F0842" w:rsidP="00E00B35">
            <w:pPr>
              <w:spacing w:after="0" w:line="312" w:lineRule="auto"/>
              <w:rPr>
                <w:szCs w:val="20"/>
              </w:rPr>
            </w:pPr>
            <w:r w:rsidRPr="00E00B35">
              <w:rPr>
                <w:szCs w:val="20"/>
              </w:rPr>
              <w:t>1</w:t>
            </w:r>
          </w:p>
        </w:tc>
        <w:tc>
          <w:tcPr>
            <w:tcW w:w="1519" w:type="dxa"/>
          </w:tcPr>
          <w:p w:rsidR="006F0842" w:rsidRPr="00E00B35" w:rsidRDefault="006F0842" w:rsidP="00E00B35">
            <w:pPr>
              <w:spacing w:after="0" w:line="312" w:lineRule="auto"/>
              <w:rPr>
                <w:szCs w:val="20"/>
              </w:rPr>
            </w:pPr>
            <w:r w:rsidRPr="00E00B35">
              <w:rPr>
                <w:szCs w:val="20"/>
              </w:rPr>
              <w:t>0</w:t>
            </w:r>
          </w:p>
        </w:tc>
      </w:tr>
    </w:tbl>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Zestawienie porozumień i aneksów do porozumień zawartych w latach 2003 – 2020 z ministrami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4"/>
        <w:gridCol w:w="896"/>
        <w:gridCol w:w="783"/>
        <w:gridCol w:w="1467"/>
        <w:gridCol w:w="1351"/>
        <w:gridCol w:w="1571"/>
        <w:gridCol w:w="1396"/>
      </w:tblGrid>
      <w:tr w:rsidR="006F0842" w:rsidRPr="00E00B35" w:rsidTr="00B86812">
        <w:trPr>
          <w:cantSplit/>
          <w:tblHeader/>
        </w:trPr>
        <w:tc>
          <w:tcPr>
            <w:tcW w:w="1663" w:type="dxa"/>
          </w:tcPr>
          <w:p w:rsidR="006F0842" w:rsidRPr="00E00B35" w:rsidRDefault="006F0842" w:rsidP="00E00B35">
            <w:pPr>
              <w:spacing w:after="0" w:line="312" w:lineRule="auto"/>
              <w:rPr>
                <w:szCs w:val="20"/>
              </w:rPr>
            </w:pPr>
            <w:r w:rsidRPr="00E00B35">
              <w:rPr>
                <w:szCs w:val="20"/>
              </w:rPr>
              <w:t>POROZUMIENIA i ANEKSY DO POROZUMIEŃ zawarte z:</w:t>
            </w:r>
          </w:p>
        </w:tc>
        <w:tc>
          <w:tcPr>
            <w:tcW w:w="1143" w:type="dxa"/>
          </w:tcPr>
          <w:p w:rsidR="006F0842" w:rsidRPr="00E00B35" w:rsidRDefault="006F0842" w:rsidP="00E00B35">
            <w:pPr>
              <w:spacing w:after="0" w:line="312" w:lineRule="auto"/>
              <w:rPr>
                <w:szCs w:val="20"/>
              </w:rPr>
            </w:pPr>
            <w:r w:rsidRPr="00E00B35">
              <w:rPr>
                <w:szCs w:val="20"/>
              </w:rPr>
              <w:t>Lata</w:t>
            </w:r>
          </w:p>
          <w:p w:rsidR="006F0842" w:rsidRPr="00E00B35" w:rsidRDefault="006F0842" w:rsidP="00E00B35">
            <w:pPr>
              <w:spacing w:after="0" w:line="312" w:lineRule="auto"/>
              <w:rPr>
                <w:szCs w:val="20"/>
              </w:rPr>
            </w:pPr>
            <w:r w:rsidRPr="00E00B35">
              <w:rPr>
                <w:szCs w:val="20"/>
              </w:rPr>
              <w:t>2003–2019</w:t>
            </w:r>
          </w:p>
          <w:p w:rsidR="006F0842" w:rsidRPr="00E00B35" w:rsidRDefault="006F0842" w:rsidP="00E00B35">
            <w:pPr>
              <w:spacing w:after="0" w:line="312" w:lineRule="auto"/>
              <w:rPr>
                <w:szCs w:val="20"/>
              </w:rPr>
            </w:pPr>
          </w:p>
        </w:tc>
        <w:tc>
          <w:tcPr>
            <w:tcW w:w="1107" w:type="dxa"/>
          </w:tcPr>
          <w:p w:rsidR="006F0842" w:rsidRPr="00E00B35" w:rsidRDefault="006F0842" w:rsidP="00E00B35">
            <w:pPr>
              <w:spacing w:after="0" w:line="312" w:lineRule="auto"/>
              <w:rPr>
                <w:bCs/>
                <w:szCs w:val="20"/>
              </w:rPr>
            </w:pPr>
            <w:r w:rsidRPr="00E00B35">
              <w:rPr>
                <w:bCs/>
                <w:szCs w:val="20"/>
              </w:rPr>
              <w:t>rok</w:t>
            </w:r>
          </w:p>
          <w:p w:rsidR="006F0842" w:rsidRPr="00E00B35" w:rsidRDefault="006F0842" w:rsidP="00E00B35">
            <w:pPr>
              <w:spacing w:after="0" w:line="312" w:lineRule="auto"/>
              <w:rPr>
                <w:szCs w:val="20"/>
              </w:rPr>
            </w:pPr>
            <w:r w:rsidRPr="00E00B35">
              <w:rPr>
                <w:bCs/>
                <w:szCs w:val="20"/>
              </w:rPr>
              <w:t>2020</w:t>
            </w:r>
          </w:p>
        </w:tc>
        <w:tc>
          <w:tcPr>
            <w:tcW w:w="1342" w:type="dxa"/>
          </w:tcPr>
          <w:p w:rsidR="006F0842" w:rsidRPr="00E00B35" w:rsidRDefault="006F0842" w:rsidP="00E00B35">
            <w:pPr>
              <w:spacing w:after="0" w:line="312" w:lineRule="auto"/>
              <w:rPr>
                <w:bCs/>
                <w:szCs w:val="20"/>
              </w:rPr>
            </w:pPr>
            <w:r w:rsidRPr="00E00B35">
              <w:rPr>
                <w:bCs/>
                <w:szCs w:val="20"/>
              </w:rPr>
              <w:t>ogółem</w:t>
            </w:r>
          </w:p>
          <w:p w:rsidR="006F0842" w:rsidRPr="00E00B35" w:rsidRDefault="006F0842" w:rsidP="00E00B35">
            <w:pPr>
              <w:spacing w:after="0" w:line="312" w:lineRule="auto"/>
              <w:rPr>
                <w:szCs w:val="20"/>
              </w:rPr>
            </w:pPr>
            <w:r w:rsidRPr="00E00B35">
              <w:rPr>
                <w:bCs/>
                <w:szCs w:val="20"/>
              </w:rPr>
              <w:t>podpisanych</w:t>
            </w:r>
          </w:p>
        </w:tc>
        <w:tc>
          <w:tcPr>
            <w:tcW w:w="1291" w:type="dxa"/>
          </w:tcPr>
          <w:p w:rsidR="006F0842" w:rsidRPr="00E00B35" w:rsidRDefault="006F0842" w:rsidP="00E00B35">
            <w:pPr>
              <w:spacing w:after="0" w:line="312" w:lineRule="auto"/>
              <w:rPr>
                <w:szCs w:val="20"/>
              </w:rPr>
            </w:pPr>
            <w:r w:rsidRPr="00E00B35">
              <w:rPr>
                <w:bCs/>
                <w:szCs w:val="20"/>
              </w:rPr>
              <w:t>w tym według przedmiotu</w:t>
            </w:r>
          </w:p>
        </w:tc>
        <w:tc>
          <w:tcPr>
            <w:tcW w:w="1436" w:type="dxa"/>
          </w:tcPr>
          <w:p w:rsidR="006F0842" w:rsidRPr="00E00B35" w:rsidRDefault="006F0842" w:rsidP="00E00B35">
            <w:pPr>
              <w:spacing w:after="0" w:line="312" w:lineRule="auto"/>
              <w:rPr>
                <w:bCs/>
                <w:szCs w:val="20"/>
              </w:rPr>
            </w:pPr>
            <w:r w:rsidRPr="00E00B35">
              <w:rPr>
                <w:bCs/>
                <w:szCs w:val="20"/>
              </w:rPr>
              <w:t>w tym według rodzaju -</w:t>
            </w:r>
          </w:p>
          <w:p w:rsidR="006F0842" w:rsidRPr="00E00B35" w:rsidRDefault="006F0842" w:rsidP="00E00B35">
            <w:pPr>
              <w:spacing w:after="0" w:line="312" w:lineRule="auto"/>
              <w:rPr>
                <w:szCs w:val="20"/>
              </w:rPr>
            </w:pPr>
            <w:r w:rsidRPr="00E00B35">
              <w:rPr>
                <w:bCs/>
                <w:szCs w:val="20"/>
              </w:rPr>
              <w:t>porozumienia</w:t>
            </w:r>
          </w:p>
        </w:tc>
        <w:tc>
          <w:tcPr>
            <w:tcW w:w="1304" w:type="dxa"/>
          </w:tcPr>
          <w:p w:rsidR="006F0842" w:rsidRPr="00E00B35" w:rsidRDefault="006F0842" w:rsidP="00E00B35">
            <w:pPr>
              <w:spacing w:after="0" w:line="312" w:lineRule="auto"/>
              <w:rPr>
                <w:bCs/>
                <w:szCs w:val="20"/>
              </w:rPr>
            </w:pPr>
            <w:r w:rsidRPr="00E00B35">
              <w:rPr>
                <w:bCs/>
                <w:szCs w:val="20"/>
              </w:rPr>
              <w:t>w tym według rodzaju - aneksy</w:t>
            </w:r>
          </w:p>
          <w:p w:rsidR="006F0842" w:rsidRPr="00E00B35" w:rsidRDefault="006F0842" w:rsidP="00E00B35">
            <w:pPr>
              <w:tabs>
                <w:tab w:val="left" w:pos="735"/>
              </w:tabs>
              <w:spacing w:after="0" w:line="312" w:lineRule="auto"/>
              <w:rPr>
                <w:bCs/>
                <w:szCs w:val="20"/>
              </w:rPr>
            </w:pPr>
            <w:r w:rsidRPr="00E00B35">
              <w:rPr>
                <w:bCs/>
                <w:szCs w:val="20"/>
              </w:rPr>
              <w:t>do porozumień</w:t>
            </w:r>
          </w:p>
          <w:p w:rsidR="006F0842" w:rsidRPr="00E00B35" w:rsidRDefault="006F0842" w:rsidP="00E00B35">
            <w:pPr>
              <w:spacing w:after="0" w:line="312" w:lineRule="auto"/>
              <w:rPr>
                <w:szCs w:val="20"/>
              </w:rPr>
            </w:pPr>
          </w:p>
        </w:tc>
      </w:tr>
      <w:tr w:rsidR="006F0842" w:rsidRPr="00E00B35" w:rsidTr="00B86812">
        <w:tc>
          <w:tcPr>
            <w:tcW w:w="1663" w:type="dxa"/>
          </w:tcPr>
          <w:p w:rsidR="006F0842" w:rsidRPr="00E00B35" w:rsidRDefault="006F0842" w:rsidP="00E00B35">
            <w:pPr>
              <w:spacing w:after="0" w:line="312" w:lineRule="auto"/>
              <w:rPr>
                <w:szCs w:val="20"/>
              </w:rPr>
            </w:pPr>
            <w:r w:rsidRPr="00E00B35">
              <w:rPr>
                <w:szCs w:val="20"/>
              </w:rPr>
              <w:t>ministrami:</w:t>
            </w:r>
          </w:p>
        </w:tc>
        <w:tc>
          <w:tcPr>
            <w:tcW w:w="1143" w:type="dxa"/>
          </w:tcPr>
          <w:p w:rsidR="006F0842" w:rsidRPr="00E00B35" w:rsidRDefault="006F0842" w:rsidP="00E00B35">
            <w:pPr>
              <w:spacing w:after="0" w:line="312" w:lineRule="auto"/>
              <w:rPr>
                <w:bCs/>
                <w:szCs w:val="20"/>
              </w:rPr>
            </w:pPr>
          </w:p>
          <w:p w:rsidR="006F0842" w:rsidRPr="00E00B35" w:rsidRDefault="006F0842" w:rsidP="00E00B35">
            <w:pPr>
              <w:spacing w:after="0" w:line="312" w:lineRule="auto"/>
              <w:rPr>
                <w:bCs/>
                <w:szCs w:val="20"/>
              </w:rPr>
            </w:pPr>
            <w:r w:rsidRPr="00E00B35">
              <w:rPr>
                <w:bCs/>
                <w:szCs w:val="20"/>
              </w:rPr>
              <w:t>8</w:t>
            </w:r>
          </w:p>
          <w:p w:rsidR="006F0842" w:rsidRPr="00E00B35" w:rsidRDefault="006F0842" w:rsidP="00E00B35">
            <w:pPr>
              <w:spacing w:after="0" w:line="312" w:lineRule="auto"/>
              <w:rPr>
                <w:bCs/>
                <w:szCs w:val="20"/>
              </w:rPr>
            </w:pPr>
          </w:p>
        </w:tc>
        <w:tc>
          <w:tcPr>
            <w:tcW w:w="1107"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tc>
        <w:tc>
          <w:tcPr>
            <w:tcW w:w="1342" w:type="dxa"/>
          </w:tcPr>
          <w:p w:rsidR="006F0842" w:rsidRPr="00E00B35" w:rsidRDefault="006F0842" w:rsidP="00E00B35">
            <w:pPr>
              <w:tabs>
                <w:tab w:val="left" w:pos="601"/>
              </w:tabs>
              <w:spacing w:after="0" w:line="312" w:lineRule="auto"/>
              <w:rPr>
                <w:szCs w:val="20"/>
              </w:rPr>
            </w:pPr>
          </w:p>
          <w:p w:rsidR="006F0842" w:rsidRPr="00E00B35" w:rsidRDefault="006F0842" w:rsidP="00E00B35">
            <w:pPr>
              <w:tabs>
                <w:tab w:val="left" w:pos="601"/>
              </w:tabs>
              <w:spacing w:after="0" w:line="312" w:lineRule="auto"/>
              <w:rPr>
                <w:szCs w:val="20"/>
              </w:rPr>
            </w:pPr>
            <w:r w:rsidRPr="00E00B35">
              <w:rPr>
                <w:szCs w:val="20"/>
              </w:rPr>
              <w:t>8</w:t>
            </w:r>
          </w:p>
        </w:tc>
        <w:tc>
          <w:tcPr>
            <w:tcW w:w="1291"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tc>
        <w:tc>
          <w:tcPr>
            <w:tcW w:w="1436"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tc>
        <w:tc>
          <w:tcPr>
            <w:tcW w:w="1304"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tc>
      </w:tr>
      <w:tr w:rsidR="006F0842" w:rsidRPr="00E00B35" w:rsidTr="00B86812">
        <w:tc>
          <w:tcPr>
            <w:tcW w:w="1663" w:type="dxa"/>
          </w:tcPr>
          <w:p w:rsidR="006F0842" w:rsidRPr="00E00B35" w:rsidRDefault="006F0842" w:rsidP="00E00B35">
            <w:pPr>
              <w:spacing w:after="0" w:line="312" w:lineRule="auto"/>
              <w:rPr>
                <w:szCs w:val="20"/>
              </w:rPr>
            </w:pPr>
            <w:r w:rsidRPr="00E00B35">
              <w:rPr>
                <w:szCs w:val="20"/>
              </w:rPr>
              <w:t>w tym dot. szkół artystycznych</w:t>
            </w:r>
          </w:p>
        </w:tc>
        <w:tc>
          <w:tcPr>
            <w:tcW w:w="1143"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tc>
        <w:tc>
          <w:tcPr>
            <w:tcW w:w="1107"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tc>
        <w:tc>
          <w:tcPr>
            <w:tcW w:w="1342"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tc>
        <w:tc>
          <w:tcPr>
            <w:tcW w:w="1291"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4</w:t>
            </w:r>
          </w:p>
        </w:tc>
        <w:tc>
          <w:tcPr>
            <w:tcW w:w="1436"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4</w:t>
            </w:r>
          </w:p>
        </w:tc>
        <w:tc>
          <w:tcPr>
            <w:tcW w:w="1304"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tc>
      </w:tr>
      <w:tr w:rsidR="006F0842" w:rsidRPr="00E00B35" w:rsidTr="00B86812">
        <w:tc>
          <w:tcPr>
            <w:tcW w:w="1663" w:type="dxa"/>
          </w:tcPr>
          <w:p w:rsidR="006F0842" w:rsidRPr="00E00B35" w:rsidRDefault="006F0842" w:rsidP="00E00B35">
            <w:pPr>
              <w:spacing w:after="0" w:line="312" w:lineRule="auto"/>
              <w:rPr>
                <w:szCs w:val="20"/>
              </w:rPr>
            </w:pPr>
            <w:r w:rsidRPr="00E00B35">
              <w:rPr>
                <w:szCs w:val="20"/>
              </w:rPr>
              <w:t>w tym dot. programu na rzecz społeczności romskiej</w:t>
            </w:r>
          </w:p>
        </w:tc>
        <w:tc>
          <w:tcPr>
            <w:tcW w:w="1143"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p w:rsidR="006F0842" w:rsidRPr="00E00B35" w:rsidRDefault="006F0842" w:rsidP="00E00B35">
            <w:pPr>
              <w:spacing w:after="0" w:line="312" w:lineRule="auto"/>
              <w:rPr>
                <w:szCs w:val="20"/>
              </w:rPr>
            </w:pPr>
          </w:p>
        </w:tc>
        <w:tc>
          <w:tcPr>
            <w:tcW w:w="1107"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tc>
        <w:tc>
          <w:tcPr>
            <w:tcW w:w="1342"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tc>
        <w:tc>
          <w:tcPr>
            <w:tcW w:w="1291"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4</w:t>
            </w:r>
          </w:p>
        </w:tc>
        <w:tc>
          <w:tcPr>
            <w:tcW w:w="1436"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4</w:t>
            </w:r>
          </w:p>
        </w:tc>
        <w:tc>
          <w:tcPr>
            <w:tcW w:w="1304" w:type="dxa"/>
          </w:tcPr>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0</w:t>
            </w:r>
          </w:p>
        </w:tc>
      </w:tr>
    </w:tbl>
    <w:p w:rsidR="006F0842" w:rsidRPr="00E00B35" w:rsidRDefault="006F0842" w:rsidP="00E00B35">
      <w:pPr>
        <w:spacing w:after="0" w:line="312" w:lineRule="auto"/>
        <w:rPr>
          <w:szCs w:val="20"/>
        </w:rPr>
      </w:pPr>
    </w:p>
    <w:p w:rsidR="006F0842" w:rsidRPr="00E00B35" w:rsidRDefault="006F0842" w:rsidP="00E00B35">
      <w:pPr>
        <w:spacing w:after="0" w:line="312" w:lineRule="auto"/>
        <w:rPr>
          <w:szCs w:val="20"/>
        </w:rPr>
      </w:pPr>
      <w:r w:rsidRPr="00E00B35">
        <w:rPr>
          <w:szCs w:val="20"/>
        </w:rPr>
        <w:t>Zestawienie porozumień i aneksów do porozumień zawartych w latach 2003 – 2020 - ogółem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06"/>
        <w:gridCol w:w="776"/>
        <w:gridCol w:w="649"/>
        <w:gridCol w:w="1391"/>
        <w:gridCol w:w="1275"/>
        <w:gridCol w:w="1495"/>
        <w:gridCol w:w="1320"/>
      </w:tblGrid>
      <w:tr w:rsidR="006F0842" w:rsidRPr="00E00B35" w:rsidTr="00CD5048">
        <w:trPr>
          <w:cantSplit/>
          <w:trHeight w:val="562"/>
          <w:jc w:val="center"/>
        </w:trPr>
        <w:tc>
          <w:tcPr>
            <w:tcW w:w="1831"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pStyle w:val="Nagwek4"/>
              <w:spacing w:before="0" w:after="0" w:line="312" w:lineRule="auto"/>
              <w:rPr>
                <w:b w:val="0"/>
                <w:sz w:val="20"/>
                <w:szCs w:val="20"/>
              </w:rPr>
            </w:pPr>
            <w:r w:rsidRPr="00E00B35">
              <w:rPr>
                <w:b w:val="0"/>
                <w:sz w:val="20"/>
                <w:szCs w:val="20"/>
              </w:rPr>
              <w:lastRenderedPageBreak/>
              <w:t>POROZUMIENIA i ANEKSY</w:t>
            </w:r>
            <w:r w:rsidRPr="00E00B35">
              <w:rPr>
                <w:b w:val="0"/>
                <w:sz w:val="20"/>
                <w:szCs w:val="20"/>
              </w:rPr>
              <w:br/>
              <w:t>DO POROZUMIEŃ zawarte z gminami, Powiatem Wrocławskim, Województwem Dolnośląskim, Wojewodą Dolnośląskim i ministrami</w:t>
            </w:r>
          </w:p>
        </w:tc>
        <w:tc>
          <w:tcPr>
            <w:tcW w:w="352"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spacing w:after="0" w:line="312" w:lineRule="auto"/>
              <w:rPr>
                <w:szCs w:val="20"/>
              </w:rPr>
            </w:pPr>
            <w:r w:rsidRPr="00E00B35">
              <w:rPr>
                <w:szCs w:val="20"/>
              </w:rPr>
              <w:t>Lata</w:t>
            </w:r>
          </w:p>
          <w:p w:rsidR="006F0842" w:rsidRPr="00E00B35" w:rsidRDefault="006F0842" w:rsidP="00E00B35">
            <w:pPr>
              <w:spacing w:after="0" w:line="312" w:lineRule="auto"/>
              <w:rPr>
                <w:szCs w:val="20"/>
              </w:rPr>
            </w:pPr>
            <w:r w:rsidRPr="00E00B35">
              <w:rPr>
                <w:szCs w:val="20"/>
              </w:rPr>
              <w:t>2003–2019</w:t>
            </w:r>
          </w:p>
        </w:tc>
        <w:tc>
          <w:tcPr>
            <w:tcW w:w="297"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spacing w:after="0" w:line="312" w:lineRule="auto"/>
              <w:rPr>
                <w:szCs w:val="20"/>
              </w:rPr>
            </w:pPr>
            <w:r w:rsidRPr="00E00B35">
              <w:rPr>
                <w:szCs w:val="20"/>
              </w:rPr>
              <w:t>rok</w:t>
            </w:r>
          </w:p>
          <w:p w:rsidR="006F0842" w:rsidRPr="00E00B35" w:rsidRDefault="006F0842" w:rsidP="00E00B35">
            <w:pPr>
              <w:spacing w:after="0" w:line="312" w:lineRule="auto"/>
              <w:rPr>
                <w:szCs w:val="20"/>
              </w:rPr>
            </w:pPr>
            <w:r w:rsidRPr="00E00B35">
              <w:rPr>
                <w:szCs w:val="20"/>
              </w:rPr>
              <w:t>2020</w:t>
            </w:r>
          </w:p>
        </w:tc>
        <w:tc>
          <w:tcPr>
            <w:tcW w:w="662"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spacing w:after="0" w:line="312" w:lineRule="auto"/>
              <w:rPr>
                <w:szCs w:val="20"/>
              </w:rPr>
            </w:pPr>
            <w:r w:rsidRPr="00E00B35">
              <w:rPr>
                <w:szCs w:val="20"/>
              </w:rPr>
              <w:t>ogółem</w:t>
            </w:r>
          </w:p>
          <w:p w:rsidR="006F0842" w:rsidRPr="00E00B35" w:rsidRDefault="006F0842" w:rsidP="00E00B35">
            <w:pPr>
              <w:spacing w:after="0" w:line="312" w:lineRule="auto"/>
              <w:rPr>
                <w:szCs w:val="20"/>
              </w:rPr>
            </w:pPr>
            <w:r w:rsidRPr="00E00B35">
              <w:rPr>
                <w:szCs w:val="20"/>
              </w:rPr>
              <w:t>podpisanych</w:t>
            </w:r>
          </w:p>
        </w:tc>
        <w:tc>
          <w:tcPr>
            <w:tcW w:w="569"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spacing w:after="0" w:line="312" w:lineRule="auto"/>
              <w:rPr>
                <w:szCs w:val="20"/>
              </w:rPr>
            </w:pPr>
            <w:r w:rsidRPr="00E00B35">
              <w:rPr>
                <w:szCs w:val="20"/>
              </w:rPr>
              <w:t>w tym według przedmiotu</w:t>
            </w:r>
          </w:p>
        </w:tc>
        <w:tc>
          <w:tcPr>
            <w:tcW w:w="700"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spacing w:after="0" w:line="312" w:lineRule="auto"/>
              <w:rPr>
                <w:szCs w:val="20"/>
              </w:rPr>
            </w:pPr>
            <w:r w:rsidRPr="00E00B35">
              <w:rPr>
                <w:szCs w:val="20"/>
              </w:rPr>
              <w:t>w tym według rodzaju -</w:t>
            </w:r>
          </w:p>
          <w:p w:rsidR="006F0842" w:rsidRPr="00E00B35" w:rsidRDefault="006F0842" w:rsidP="00E00B35">
            <w:pPr>
              <w:spacing w:after="0" w:line="312" w:lineRule="auto"/>
              <w:rPr>
                <w:szCs w:val="20"/>
              </w:rPr>
            </w:pPr>
            <w:r w:rsidRPr="00E00B35">
              <w:rPr>
                <w:szCs w:val="20"/>
              </w:rPr>
              <w:t>porozumienia</w:t>
            </w:r>
          </w:p>
        </w:tc>
        <w:tc>
          <w:tcPr>
            <w:tcW w:w="588" w:type="pct"/>
            <w:tcBorders>
              <w:top w:val="single" w:sz="4" w:space="0" w:color="auto"/>
              <w:left w:val="single" w:sz="4" w:space="0" w:color="auto"/>
              <w:bottom w:val="single" w:sz="4" w:space="0" w:color="auto"/>
              <w:right w:val="single" w:sz="4" w:space="0" w:color="auto"/>
            </w:tcBorders>
            <w:vAlign w:val="center"/>
          </w:tcPr>
          <w:p w:rsidR="006F0842" w:rsidRPr="00E00B35" w:rsidRDefault="006F0842" w:rsidP="00E00B35">
            <w:pPr>
              <w:spacing w:after="0" w:line="312" w:lineRule="auto"/>
              <w:rPr>
                <w:szCs w:val="20"/>
              </w:rPr>
            </w:pPr>
            <w:r w:rsidRPr="00E00B35">
              <w:rPr>
                <w:szCs w:val="20"/>
              </w:rPr>
              <w:t>w tym według rodzaju - aneksy</w:t>
            </w:r>
          </w:p>
          <w:p w:rsidR="006F0842" w:rsidRPr="00E00B35" w:rsidRDefault="006F0842" w:rsidP="00E00B35">
            <w:pPr>
              <w:spacing w:after="0" w:line="312" w:lineRule="auto"/>
              <w:rPr>
                <w:szCs w:val="20"/>
              </w:rPr>
            </w:pPr>
            <w:r w:rsidRPr="00E00B35">
              <w:rPr>
                <w:szCs w:val="20"/>
              </w:rPr>
              <w:t>do porozumień</w:t>
            </w:r>
          </w:p>
        </w:tc>
      </w:tr>
      <w:tr w:rsidR="006F0842" w:rsidRPr="00E00B35" w:rsidTr="00CD5048">
        <w:trPr>
          <w:cantSplit/>
          <w:trHeight w:val="562"/>
          <w:jc w:val="center"/>
        </w:trPr>
        <w:tc>
          <w:tcPr>
            <w:tcW w:w="1831" w:type="pct"/>
            <w:shd w:val="clear" w:color="auto" w:fill="auto"/>
            <w:vAlign w:val="center"/>
          </w:tcPr>
          <w:p w:rsidR="006F0842" w:rsidRPr="00E00B35" w:rsidRDefault="006F0842" w:rsidP="00E00B35">
            <w:pPr>
              <w:pStyle w:val="Nagwek4"/>
              <w:spacing w:before="0" w:after="0" w:line="312" w:lineRule="auto"/>
              <w:rPr>
                <w:b w:val="0"/>
                <w:sz w:val="20"/>
                <w:szCs w:val="20"/>
              </w:rPr>
            </w:pPr>
            <w:r w:rsidRPr="00E00B35">
              <w:rPr>
                <w:b w:val="0"/>
                <w:sz w:val="20"/>
                <w:szCs w:val="20"/>
              </w:rPr>
              <w:t>Ogółem</w:t>
            </w:r>
          </w:p>
        </w:tc>
        <w:tc>
          <w:tcPr>
            <w:tcW w:w="352" w:type="pct"/>
            <w:shd w:val="clear" w:color="auto" w:fill="auto"/>
            <w:vAlign w:val="center"/>
          </w:tcPr>
          <w:p w:rsidR="006F0842" w:rsidRPr="00E00B35" w:rsidRDefault="006F0842" w:rsidP="00E00B35">
            <w:pPr>
              <w:spacing w:after="0" w:line="312" w:lineRule="auto"/>
              <w:rPr>
                <w:szCs w:val="20"/>
              </w:rPr>
            </w:pPr>
            <w:r w:rsidRPr="00E00B35">
              <w:rPr>
                <w:szCs w:val="20"/>
              </w:rPr>
              <w:t>164</w:t>
            </w:r>
          </w:p>
        </w:tc>
        <w:tc>
          <w:tcPr>
            <w:tcW w:w="297" w:type="pct"/>
            <w:shd w:val="clear" w:color="auto" w:fill="auto"/>
            <w:vAlign w:val="center"/>
          </w:tcPr>
          <w:p w:rsidR="006F0842" w:rsidRPr="00E00B35" w:rsidRDefault="006F0842" w:rsidP="00E00B35">
            <w:pPr>
              <w:spacing w:after="0" w:line="312" w:lineRule="auto"/>
              <w:rPr>
                <w:szCs w:val="20"/>
              </w:rPr>
            </w:pPr>
            <w:r w:rsidRPr="00E00B35">
              <w:rPr>
                <w:szCs w:val="20"/>
              </w:rPr>
              <w:t>15</w:t>
            </w:r>
          </w:p>
        </w:tc>
        <w:tc>
          <w:tcPr>
            <w:tcW w:w="662" w:type="pct"/>
            <w:shd w:val="clear" w:color="auto" w:fill="auto"/>
            <w:vAlign w:val="center"/>
          </w:tcPr>
          <w:p w:rsidR="006F0842" w:rsidRPr="00E00B35" w:rsidRDefault="006F0842" w:rsidP="00E00B35">
            <w:pPr>
              <w:spacing w:after="0" w:line="312" w:lineRule="auto"/>
              <w:rPr>
                <w:szCs w:val="20"/>
              </w:rPr>
            </w:pPr>
            <w:r w:rsidRPr="00E00B35">
              <w:rPr>
                <w:szCs w:val="20"/>
              </w:rPr>
              <w:t>179</w:t>
            </w:r>
          </w:p>
        </w:tc>
        <w:tc>
          <w:tcPr>
            <w:tcW w:w="569" w:type="pct"/>
            <w:vAlign w:val="center"/>
          </w:tcPr>
          <w:p w:rsidR="006F0842" w:rsidRPr="00E00B35" w:rsidRDefault="006F0842" w:rsidP="00E00B35">
            <w:pPr>
              <w:spacing w:after="0" w:line="312" w:lineRule="auto"/>
              <w:rPr>
                <w:szCs w:val="20"/>
              </w:rPr>
            </w:pPr>
            <w:r w:rsidRPr="00E00B35">
              <w:rPr>
                <w:szCs w:val="20"/>
              </w:rPr>
              <w:t>179</w:t>
            </w:r>
          </w:p>
        </w:tc>
        <w:tc>
          <w:tcPr>
            <w:tcW w:w="700" w:type="pct"/>
            <w:vAlign w:val="center"/>
          </w:tcPr>
          <w:p w:rsidR="006F0842" w:rsidRPr="00E00B35" w:rsidRDefault="006F0842" w:rsidP="00E00B35">
            <w:pPr>
              <w:spacing w:after="0" w:line="312" w:lineRule="auto"/>
              <w:rPr>
                <w:szCs w:val="20"/>
              </w:rPr>
            </w:pPr>
            <w:r w:rsidRPr="00E00B35">
              <w:rPr>
                <w:szCs w:val="20"/>
              </w:rPr>
              <w:t>53</w:t>
            </w:r>
          </w:p>
        </w:tc>
        <w:tc>
          <w:tcPr>
            <w:tcW w:w="588" w:type="pct"/>
            <w:vAlign w:val="center"/>
          </w:tcPr>
          <w:p w:rsidR="006F0842" w:rsidRPr="00E00B35" w:rsidRDefault="006F0842" w:rsidP="00E00B35">
            <w:pPr>
              <w:spacing w:after="0" w:line="312" w:lineRule="auto"/>
              <w:rPr>
                <w:szCs w:val="20"/>
              </w:rPr>
            </w:pPr>
            <w:r w:rsidRPr="00E00B35">
              <w:rPr>
                <w:szCs w:val="20"/>
              </w:rPr>
              <w:t>126</w:t>
            </w:r>
          </w:p>
        </w:tc>
      </w:tr>
    </w:tbl>
    <w:p w:rsidR="006F0842" w:rsidRPr="00E00B35" w:rsidRDefault="006F0842"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252360" w:rsidRPr="00E00B35" w:rsidRDefault="00252360" w:rsidP="00E00B35">
      <w:pPr>
        <w:pStyle w:val="Nagwek20"/>
        <w:spacing w:after="0" w:line="312" w:lineRule="auto"/>
        <w:rPr>
          <w:sz w:val="20"/>
          <w:szCs w:val="20"/>
        </w:rPr>
      </w:pPr>
    </w:p>
    <w:p w:rsidR="001C170D" w:rsidRPr="00E00B35" w:rsidRDefault="001C170D"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9F75D3" w:rsidRPr="00E00B35" w:rsidRDefault="009F75D3"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252360" w:rsidRPr="00E00B35" w:rsidRDefault="00252360" w:rsidP="00E00B35">
      <w:pPr>
        <w:pStyle w:val="Nagwek20"/>
      </w:pPr>
      <w:bookmarkStart w:id="6" w:name="_Toc78189477"/>
      <w:r w:rsidRPr="00E00B35">
        <w:t>DEPARTAMENT PREZYDENTA</w:t>
      </w:r>
      <w:bookmarkEnd w:id="6"/>
    </w:p>
    <w:p w:rsidR="00B86812" w:rsidRPr="00E00B35" w:rsidRDefault="00B86812" w:rsidP="00E00B35">
      <w:pPr>
        <w:pStyle w:val="Nagwek3"/>
        <w:spacing w:after="0" w:line="312" w:lineRule="auto"/>
        <w:rPr>
          <w:sz w:val="20"/>
          <w:lang w:val="pl-PL"/>
        </w:rPr>
      </w:pPr>
      <w:r w:rsidRPr="00E00B35">
        <w:rPr>
          <w:sz w:val="20"/>
        </w:rPr>
        <w:t xml:space="preserve">Wydziału Promocji Miasta i Turystyki za 2020 </w:t>
      </w:r>
    </w:p>
    <w:p w:rsidR="009F75D3" w:rsidRPr="00E00B35" w:rsidRDefault="009F75D3" w:rsidP="00E00B35">
      <w:pPr>
        <w:pStyle w:val="Nagwek3"/>
        <w:spacing w:after="0" w:line="312" w:lineRule="auto"/>
        <w:rPr>
          <w:sz w:val="20"/>
          <w:lang w:val="pl-PL"/>
        </w:rPr>
      </w:pPr>
    </w:p>
    <w:p w:rsidR="00B86812" w:rsidRPr="00E00B35" w:rsidRDefault="00B86812" w:rsidP="00E00B35">
      <w:pPr>
        <w:pStyle w:val="Nagwek4"/>
        <w:spacing w:before="0" w:after="0" w:line="312" w:lineRule="auto"/>
        <w:rPr>
          <w:sz w:val="20"/>
          <w:szCs w:val="20"/>
        </w:rPr>
      </w:pPr>
      <w:r w:rsidRPr="00E00B35">
        <w:rPr>
          <w:sz w:val="20"/>
          <w:szCs w:val="20"/>
        </w:rPr>
        <w:t>PROJEKT: KAMPANIE MARKETINGOWE ORAZ EVENTY</w:t>
      </w:r>
    </w:p>
    <w:p w:rsidR="009F75D3" w:rsidRPr="00E00B35" w:rsidRDefault="009F75D3" w:rsidP="00E00B35">
      <w:pPr>
        <w:pStyle w:val="Nagwek4"/>
        <w:spacing w:before="0" w:after="0" w:line="312" w:lineRule="auto"/>
        <w:rPr>
          <w:sz w:val="20"/>
          <w:szCs w:val="20"/>
        </w:rPr>
      </w:pPr>
    </w:p>
    <w:p w:rsidR="00B86812" w:rsidRPr="00E00B35" w:rsidRDefault="00B86812" w:rsidP="00E00B35">
      <w:pPr>
        <w:pStyle w:val="Nagwek5"/>
        <w:rPr>
          <w:szCs w:val="20"/>
        </w:rPr>
      </w:pPr>
      <w:r w:rsidRPr="00E00B35">
        <w:rPr>
          <w:szCs w:val="20"/>
        </w:rPr>
        <w:t xml:space="preserve">Rozlicz PIT we Wrocławiu </w:t>
      </w:r>
    </w:p>
    <w:p w:rsidR="00B86812" w:rsidRPr="00E00B35" w:rsidRDefault="00B86812" w:rsidP="00E00B35">
      <w:pPr>
        <w:pStyle w:val="Tekstpodstawowy"/>
        <w:spacing w:after="0" w:line="312" w:lineRule="auto"/>
        <w:rPr>
          <w:b/>
          <w:bCs/>
          <w:szCs w:val="20"/>
        </w:rPr>
      </w:pPr>
      <w:r w:rsidRPr="00E00B35">
        <w:rPr>
          <w:b/>
          <w:bCs/>
          <w:szCs w:val="20"/>
        </w:rPr>
        <w:t>750.75095.W4300+999-JUP-08 zad. BPM/B/02</w:t>
      </w:r>
    </w:p>
    <w:p w:rsidR="00B86812" w:rsidRPr="00E00B35" w:rsidRDefault="00B86812" w:rsidP="00E00B35">
      <w:pPr>
        <w:spacing w:after="0" w:line="312" w:lineRule="auto"/>
        <w:rPr>
          <w:szCs w:val="20"/>
        </w:rPr>
      </w:pPr>
      <w:r w:rsidRPr="00E00B35">
        <w:rPr>
          <w:szCs w:val="20"/>
        </w:rPr>
        <w:t xml:space="preserve">Tegoroczna kampania dot. rozliczania podatków we Wrocławiu nieoczekiwanie przebiegła w dwóch odsłonach. Pierwsza część kampanii odbyła się pod hasłem „Rozliczaj PIT we Wrocławiu. Korzystaj z atrakcyjnych zniżek na sport, kulturę </w:t>
      </w:r>
      <w:r w:rsidRPr="00E00B35">
        <w:rPr>
          <w:szCs w:val="20"/>
        </w:rPr>
        <w:br/>
        <w:t xml:space="preserve">i rekreację w ramach programu Nasz Wrocław”, druga:  „Od Ciebie zależy Wrocław, jaki znasz i lubisz. Rozlicz PIT”. Wybuch pandemii koronawirusa wpłynął na zmianę narracji kampanii na odwołującą się do wsparcia podatkami miasta, które nieoczekiwanie znalazło się w trudnej sytuacji finansowej; sytuacja epidemiologiczna w kraju spowodowała także wydłużenie możliwości rozliczania PIT do 1.06.2020 r.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 ramach całej kampanii przeprowadzono: </w:t>
      </w:r>
    </w:p>
    <w:p w:rsidR="00B86812" w:rsidRPr="00E00B35" w:rsidRDefault="00B86812" w:rsidP="00E00B35">
      <w:pPr>
        <w:numPr>
          <w:ilvl w:val="0"/>
          <w:numId w:val="131"/>
        </w:numPr>
        <w:spacing w:after="0" w:line="312" w:lineRule="auto"/>
        <w:ind w:left="426" w:hanging="426"/>
        <w:rPr>
          <w:bCs/>
          <w:szCs w:val="20"/>
        </w:rPr>
      </w:pPr>
      <w:r w:rsidRPr="00E00B35">
        <w:rPr>
          <w:szCs w:val="20"/>
        </w:rPr>
        <w:t>reklamę outdoor (</w:t>
      </w:r>
      <w:r w:rsidRPr="00E00B35">
        <w:rPr>
          <w:bCs/>
          <w:szCs w:val="20"/>
        </w:rPr>
        <w:t>wiaty przystankowe, citylighty, wyświetlacze LCD na dworcu PKP i PKS)</w:t>
      </w:r>
    </w:p>
    <w:p w:rsidR="00B86812" w:rsidRPr="00E00B35" w:rsidRDefault="00B86812" w:rsidP="00E00B35">
      <w:pPr>
        <w:numPr>
          <w:ilvl w:val="0"/>
          <w:numId w:val="131"/>
        </w:numPr>
        <w:spacing w:after="0" w:line="312" w:lineRule="auto"/>
        <w:ind w:left="426" w:hanging="426"/>
        <w:rPr>
          <w:bCs/>
          <w:szCs w:val="20"/>
        </w:rPr>
      </w:pPr>
      <w:r w:rsidRPr="00E00B35">
        <w:rPr>
          <w:bCs/>
          <w:szCs w:val="20"/>
        </w:rPr>
        <w:lastRenderedPageBreak/>
        <w:t>reklamę na nośnikach miejskich instytucji</w:t>
      </w:r>
    </w:p>
    <w:p w:rsidR="00B86812" w:rsidRPr="00E00B35" w:rsidRDefault="00B86812" w:rsidP="00E00B35">
      <w:pPr>
        <w:numPr>
          <w:ilvl w:val="0"/>
          <w:numId w:val="131"/>
        </w:numPr>
        <w:spacing w:after="0" w:line="312" w:lineRule="auto"/>
        <w:ind w:left="426" w:hanging="426"/>
        <w:rPr>
          <w:bCs/>
          <w:szCs w:val="20"/>
        </w:rPr>
      </w:pPr>
      <w:r w:rsidRPr="00E00B35">
        <w:rPr>
          <w:bCs/>
          <w:szCs w:val="20"/>
        </w:rPr>
        <w:t>reklamę na wyświetlaczach w pojazdach MPK (ekrany, biletomaty)</w:t>
      </w:r>
    </w:p>
    <w:p w:rsidR="00B86812" w:rsidRPr="00E00B35" w:rsidRDefault="00B86812" w:rsidP="00E00B35">
      <w:pPr>
        <w:numPr>
          <w:ilvl w:val="0"/>
          <w:numId w:val="131"/>
        </w:numPr>
        <w:spacing w:after="0" w:line="312" w:lineRule="auto"/>
        <w:ind w:left="426" w:hanging="426"/>
        <w:rPr>
          <w:bCs/>
          <w:szCs w:val="20"/>
        </w:rPr>
      </w:pPr>
      <w:r w:rsidRPr="00E00B35">
        <w:rPr>
          <w:bCs/>
          <w:szCs w:val="20"/>
        </w:rPr>
        <w:t>reklamę w prasie (Gazeta Wyborcza, Głos Mordoru, Gazeta Południowa)</w:t>
      </w:r>
    </w:p>
    <w:p w:rsidR="00B86812" w:rsidRPr="00E00B35" w:rsidRDefault="00B86812" w:rsidP="00E00B35">
      <w:pPr>
        <w:numPr>
          <w:ilvl w:val="0"/>
          <w:numId w:val="131"/>
        </w:numPr>
        <w:spacing w:after="0" w:line="312" w:lineRule="auto"/>
        <w:ind w:left="426" w:hanging="426"/>
        <w:rPr>
          <w:bCs/>
          <w:szCs w:val="20"/>
        </w:rPr>
      </w:pPr>
      <w:r w:rsidRPr="00E00B35">
        <w:rPr>
          <w:bCs/>
          <w:szCs w:val="20"/>
        </w:rPr>
        <w:t>reklamę w prasie – artykuły redakcyjne (Gazeta Wrocławska, Wyborcza)</w:t>
      </w:r>
    </w:p>
    <w:p w:rsidR="00B86812" w:rsidRPr="00E00B35" w:rsidRDefault="00B86812" w:rsidP="00E00B35">
      <w:pPr>
        <w:numPr>
          <w:ilvl w:val="0"/>
          <w:numId w:val="131"/>
        </w:numPr>
        <w:spacing w:after="0" w:line="312" w:lineRule="auto"/>
        <w:ind w:left="426" w:hanging="426"/>
        <w:rPr>
          <w:bCs/>
          <w:szCs w:val="20"/>
        </w:rPr>
      </w:pPr>
      <w:r w:rsidRPr="00E00B35">
        <w:rPr>
          <w:bCs/>
          <w:szCs w:val="20"/>
        </w:rPr>
        <w:t>reklamę w radio i Internecie (Złote Przeboje, Radio Pogoda, RMF)</w:t>
      </w:r>
    </w:p>
    <w:p w:rsidR="00B86812" w:rsidRPr="00E00B35" w:rsidRDefault="00B86812" w:rsidP="00E00B35">
      <w:pPr>
        <w:numPr>
          <w:ilvl w:val="0"/>
          <w:numId w:val="131"/>
        </w:numPr>
        <w:spacing w:after="0" w:line="312" w:lineRule="auto"/>
        <w:ind w:left="426" w:hanging="426"/>
        <w:rPr>
          <w:szCs w:val="20"/>
        </w:rPr>
      </w:pPr>
      <w:r w:rsidRPr="00E00B35">
        <w:rPr>
          <w:bCs/>
          <w:szCs w:val="20"/>
        </w:rPr>
        <w:t>kampanię na stronie wroclaw</w:t>
      </w:r>
      <w:r w:rsidRPr="00E00B35">
        <w:rPr>
          <w:szCs w:val="20"/>
        </w:rPr>
        <w:t>.pl oraz w social mediach</w:t>
      </w:r>
    </w:p>
    <w:p w:rsidR="00B86812" w:rsidRPr="00E00B35" w:rsidRDefault="00B86812" w:rsidP="00E00B35">
      <w:pPr>
        <w:spacing w:after="0" w:line="312" w:lineRule="auto"/>
        <w:ind w:left="720"/>
        <w:rPr>
          <w:szCs w:val="20"/>
        </w:rPr>
      </w:pPr>
    </w:p>
    <w:p w:rsidR="00B86812" w:rsidRPr="00E00B35" w:rsidRDefault="00B86812" w:rsidP="00E00B35">
      <w:pPr>
        <w:spacing w:after="0" w:line="312" w:lineRule="auto"/>
        <w:rPr>
          <w:szCs w:val="20"/>
        </w:rPr>
      </w:pPr>
      <w:r w:rsidRPr="00E00B35">
        <w:rPr>
          <w:szCs w:val="20"/>
        </w:rPr>
        <w:t xml:space="preserve">Dodatkowo kwestia rozliczenia PIT pojawiała się w codziennych sprawozdaniach prezydenta Wrocławia publikowanych na facebooku.   </w:t>
      </w:r>
    </w:p>
    <w:p w:rsidR="00B86812" w:rsidRPr="00E00B35" w:rsidRDefault="00B86812" w:rsidP="00E00B35">
      <w:pPr>
        <w:pStyle w:val="Bezodstpw"/>
        <w:spacing w:line="312" w:lineRule="auto"/>
        <w:rPr>
          <w:rFonts w:ascii="Verdana" w:eastAsia="Times New Roman" w:hAnsi="Verdana" w:cs="Arial"/>
          <w:b/>
          <w:bCs/>
          <w:color w:val="000000"/>
          <w:sz w:val="20"/>
          <w:szCs w:val="20"/>
          <w:lang w:eastAsia="pl-PL"/>
        </w:rPr>
      </w:pPr>
    </w:p>
    <w:p w:rsidR="00B86812" w:rsidRPr="00E00B35" w:rsidRDefault="00B86812" w:rsidP="00E00B35">
      <w:pPr>
        <w:pStyle w:val="Nagwek5"/>
        <w:rPr>
          <w:szCs w:val="20"/>
          <w:lang w:eastAsia="pl-PL"/>
        </w:rPr>
      </w:pPr>
      <w:r w:rsidRPr="00E00B35">
        <w:rPr>
          <w:szCs w:val="20"/>
          <w:lang w:eastAsia="pl-PL"/>
        </w:rPr>
        <w:t>Wrocław dziękuje medykom</w:t>
      </w:r>
    </w:p>
    <w:p w:rsidR="00B86812" w:rsidRPr="00E00B35" w:rsidRDefault="00B86812" w:rsidP="00E00B35">
      <w:pPr>
        <w:pStyle w:val="Bezodstpw"/>
        <w:spacing w:line="312" w:lineRule="auto"/>
        <w:rPr>
          <w:rFonts w:ascii="Verdana" w:eastAsia="Times New Roman" w:hAnsi="Verdana" w:cs="Arial"/>
          <w:b/>
          <w:bCs/>
          <w:color w:val="000000"/>
          <w:sz w:val="20"/>
          <w:szCs w:val="20"/>
          <w:lang w:eastAsia="pl-PL"/>
        </w:rPr>
      </w:pPr>
      <w:r w:rsidRPr="00E00B35">
        <w:rPr>
          <w:rFonts w:ascii="Verdana" w:hAnsi="Verdana"/>
          <w:b/>
          <w:sz w:val="20"/>
          <w:szCs w:val="20"/>
        </w:rPr>
        <w:t>750.75075.W4300+999-JUP-08 zad. WBZ/B/05</w:t>
      </w:r>
    </w:p>
    <w:p w:rsidR="00B86812" w:rsidRPr="00E00B35" w:rsidRDefault="00B86812" w:rsidP="00E00B35">
      <w:pPr>
        <w:pStyle w:val="Bezodstpw"/>
        <w:spacing w:line="312" w:lineRule="auto"/>
        <w:rPr>
          <w:rFonts w:ascii="Verdana" w:eastAsia="Times New Roman" w:hAnsi="Verdana"/>
          <w:sz w:val="20"/>
          <w:szCs w:val="20"/>
          <w:lang w:eastAsia="pl-PL"/>
        </w:rPr>
      </w:pPr>
      <w:r w:rsidRPr="00E00B35">
        <w:rPr>
          <w:rFonts w:ascii="Verdana" w:eastAsia="Times New Roman" w:hAnsi="Verdana"/>
          <w:sz w:val="20"/>
          <w:szCs w:val="20"/>
          <w:lang w:eastAsia="pl-PL"/>
        </w:rPr>
        <w:t xml:space="preserve">WPM zaprojektowało i przeprowadziło kampanię społeczną dziękującą wrocławskim lekarzom, pielęgniarkom oraz całemu personelowi szpitali za pracę </w:t>
      </w:r>
      <w:r w:rsidRPr="00E00B35">
        <w:rPr>
          <w:rFonts w:ascii="Verdana" w:eastAsia="Times New Roman" w:hAnsi="Verdana"/>
          <w:sz w:val="20"/>
          <w:szCs w:val="20"/>
          <w:lang w:eastAsia="pl-PL"/>
        </w:rPr>
        <w:br/>
        <w:t>i poświęcenie w okresie trwania pandemii. Do kampanii jako nośniki wykorzystano: słupy, wiaty przystankowe, kubiki, przestrzeń udostępnioną przez MPK, telebimy wrocławskich atrakcji, działania prowadzono także w Internecie.</w:t>
      </w:r>
    </w:p>
    <w:p w:rsidR="00B86812" w:rsidRPr="00E00B35" w:rsidRDefault="00B86812" w:rsidP="00E00B35">
      <w:pPr>
        <w:pStyle w:val="Bezodstpw"/>
        <w:spacing w:line="312" w:lineRule="auto"/>
        <w:rPr>
          <w:rFonts w:ascii="Verdana" w:eastAsia="Times New Roman" w:hAnsi="Verdana" w:cs="Verdana"/>
          <w:color w:val="000000"/>
          <w:sz w:val="20"/>
          <w:szCs w:val="20"/>
        </w:rPr>
      </w:pPr>
    </w:p>
    <w:p w:rsidR="00B86812" w:rsidRPr="00E00B35" w:rsidRDefault="00B86812" w:rsidP="00E00B35">
      <w:pPr>
        <w:pStyle w:val="Nagwek5"/>
        <w:rPr>
          <w:szCs w:val="20"/>
        </w:rPr>
      </w:pPr>
      <w:r w:rsidRPr="00E00B35">
        <w:rPr>
          <w:szCs w:val="20"/>
        </w:rPr>
        <w:t>Wielka Majówka Wrocławska online</w:t>
      </w:r>
    </w:p>
    <w:p w:rsidR="00B86812" w:rsidRPr="00E00B35" w:rsidRDefault="00B86812" w:rsidP="00E00B35">
      <w:pPr>
        <w:pStyle w:val="Tekstpodstawowy"/>
        <w:spacing w:after="0" w:line="312" w:lineRule="auto"/>
        <w:rPr>
          <w:b/>
          <w:bCs/>
          <w:szCs w:val="20"/>
        </w:rPr>
      </w:pPr>
      <w:r w:rsidRPr="00E00B35">
        <w:rPr>
          <w:b/>
          <w:bCs/>
          <w:szCs w:val="20"/>
        </w:rPr>
        <w:t>750.75075.W4300+999-JUP-08 zad. BPM/B/02</w:t>
      </w:r>
    </w:p>
    <w:p w:rsidR="00B86812" w:rsidRPr="00E00B35" w:rsidRDefault="00B86812" w:rsidP="00E00B35">
      <w:pPr>
        <w:spacing w:after="0" w:line="312" w:lineRule="auto"/>
        <w:rPr>
          <w:szCs w:val="20"/>
        </w:rPr>
      </w:pPr>
      <w:r w:rsidRPr="00E00B35">
        <w:rPr>
          <w:szCs w:val="20"/>
        </w:rPr>
        <w:t xml:space="preserve">Z okazji majowego weekendu wrocławskie kluby we współpracy z WPM przygotowały muzyczną niespodziankę. W dniach 1–3 maja odbyła się #WielkaMajówka online. Koncerty transmitowano na żywo z wrocławskich klubów. Zagrali m.in. DJ Carlos Jose Torres (Latynoskie wakacje w Casa de la Musica), DJ Elbrucho (Manana), DJ Tadeki (Szaleństwo w PRL) czy DJ K-Roll – (z Majówkowym chill'n’grill w Szklarni). Relacje prowadzone były na Fanpage </w:t>
      </w:r>
      <w:hyperlink r:id="rId8" w:tgtFrame="_blank" w:history="1">
        <w:r w:rsidRPr="00E00B35">
          <w:rPr>
            <w:szCs w:val="20"/>
          </w:rPr>
          <w:t>Visit Wroclaw</w:t>
        </w:r>
      </w:hyperlink>
      <w:r w:rsidRPr="00E00B35">
        <w:rPr>
          <w:szCs w:val="20"/>
        </w:rPr>
        <w:t xml:space="preserve"> </w:t>
      </w:r>
      <w:r w:rsidRPr="00E00B35">
        <w:rPr>
          <w:szCs w:val="20"/>
        </w:rPr>
        <w:br/>
        <w:t xml:space="preserve">i YouTube </w:t>
      </w:r>
      <w:hyperlink r:id="rId9" w:tgtFrame="_blank" w:history="1">
        <w:r w:rsidRPr="00E00B35">
          <w:rPr>
            <w:szCs w:val="20"/>
          </w:rPr>
          <w:t>Wroclaw.pl/TV</w:t>
        </w:r>
      </w:hyperlink>
      <w:r w:rsidRPr="00E00B35">
        <w:rPr>
          <w:szCs w:val="20"/>
        </w:rPr>
        <w:t>.</w:t>
      </w:r>
    </w:p>
    <w:p w:rsidR="00B86812" w:rsidRPr="00E00B35" w:rsidRDefault="00B86812" w:rsidP="00E00B35">
      <w:pPr>
        <w:spacing w:after="0" w:line="312" w:lineRule="auto"/>
        <w:rPr>
          <w:b/>
          <w:szCs w:val="20"/>
        </w:rPr>
      </w:pPr>
    </w:p>
    <w:p w:rsidR="00B86812" w:rsidRPr="00E00B35" w:rsidRDefault="00B86812" w:rsidP="00E00B35">
      <w:pPr>
        <w:pStyle w:val="Nagwek5"/>
        <w:rPr>
          <w:szCs w:val="20"/>
        </w:rPr>
      </w:pPr>
      <w:r w:rsidRPr="00E00B35">
        <w:rPr>
          <w:szCs w:val="20"/>
        </w:rPr>
        <w:t xml:space="preserve">75-lecie powojennego Wrocławia </w:t>
      </w:r>
    </w:p>
    <w:p w:rsidR="00B86812" w:rsidRPr="00E00B35" w:rsidRDefault="00B86812" w:rsidP="00E00B35">
      <w:pPr>
        <w:pStyle w:val="Tekstpodstawowy"/>
        <w:spacing w:after="0" w:line="312" w:lineRule="auto"/>
        <w:rPr>
          <w:b/>
          <w:bCs/>
          <w:szCs w:val="20"/>
        </w:rPr>
      </w:pPr>
      <w:r w:rsidRPr="00E00B35">
        <w:rPr>
          <w:b/>
          <w:bCs/>
          <w:szCs w:val="20"/>
        </w:rPr>
        <w:t>750.75075.W4300+999-JUP-08 zad. BPM/B/02</w:t>
      </w:r>
    </w:p>
    <w:p w:rsidR="00B86812" w:rsidRPr="00E00B35" w:rsidRDefault="00B86812" w:rsidP="00E00B35">
      <w:pPr>
        <w:spacing w:after="0" w:line="312" w:lineRule="auto"/>
        <w:rPr>
          <w:rFonts w:eastAsia="Calibri"/>
          <w:szCs w:val="20"/>
        </w:rPr>
      </w:pPr>
      <w:r w:rsidRPr="00E00B35">
        <w:rPr>
          <w:rFonts w:eastAsia="Calibri"/>
          <w:szCs w:val="20"/>
        </w:rPr>
        <w:t xml:space="preserve">Z okazji obchodów 75-lecia powojennego Wrocławia przygotowano szereg wydarzeń online, które skupiły się wokół serwisu specjalnego </w:t>
      </w:r>
      <w:hyperlink r:id="rId10" w:history="1">
        <w:r w:rsidRPr="00E00B35">
          <w:rPr>
            <w:rFonts w:eastAsia="Calibri"/>
            <w:szCs w:val="20"/>
          </w:rPr>
          <w:t>https://www.wroclaw.pl/portal/75-lat-powojennego-wroclawia</w:t>
        </w:r>
      </w:hyperlink>
      <w:r w:rsidRPr="00E00B35">
        <w:rPr>
          <w:rFonts w:eastAsia="Calibri"/>
          <w:szCs w:val="20"/>
        </w:rPr>
        <w:t xml:space="preserve">. WPM pozyskało do serwisu materiały takie jak: filmy, artykuły tematyczne, fotografie archiwalne i współczesne Wrocławia – w tym zdjęcia na specjalny suwak ukazujący powojenne zniszczenia i późniejszą odbudowę. WPM wydało także okolicznościową kartkę, którą załączano do Biuletynu Wrocław.pl. </w:t>
      </w:r>
    </w:p>
    <w:p w:rsidR="00B86812" w:rsidRPr="00E00B35" w:rsidRDefault="00B86812" w:rsidP="00E00B35">
      <w:pPr>
        <w:spacing w:after="0" w:line="312" w:lineRule="auto"/>
        <w:rPr>
          <w:rFonts w:eastAsia="Calibri"/>
          <w:b/>
          <w:szCs w:val="20"/>
        </w:rPr>
      </w:pPr>
    </w:p>
    <w:p w:rsidR="00B86812" w:rsidRPr="00E00B35" w:rsidRDefault="00B86812" w:rsidP="00E00B35">
      <w:pPr>
        <w:pStyle w:val="Nagwek5"/>
        <w:rPr>
          <w:szCs w:val="20"/>
        </w:rPr>
      </w:pPr>
      <w:r w:rsidRPr="00E00B35">
        <w:rPr>
          <w:szCs w:val="20"/>
        </w:rPr>
        <w:t>Zrelaksuj się we Wrocławiu – joga online!</w:t>
      </w:r>
    </w:p>
    <w:p w:rsidR="00B86812" w:rsidRPr="00E00B35" w:rsidRDefault="00B86812" w:rsidP="00E00B35">
      <w:pPr>
        <w:pStyle w:val="Bezodstpw"/>
        <w:spacing w:line="312" w:lineRule="auto"/>
        <w:rPr>
          <w:rFonts w:ascii="Verdana" w:hAnsi="Verdana" w:cs="Verdana"/>
          <w:b/>
          <w:iCs/>
          <w:color w:val="000000"/>
          <w:sz w:val="20"/>
          <w:szCs w:val="20"/>
        </w:rPr>
      </w:pPr>
      <w:r w:rsidRPr="00E00B35">
        <w:rPr>
          <w:rFonts w:ascii="Verdana" w:hAnsi="Verdana" w:cs="Verdana"/>
          <w:b/>
          <w:iCs/>
          <w:color w:val="000000"/>
          <w:sz w:val="20"/>
          <w:szCs w:val="20"/>
        </w:rPr>
        <w:t>750.75075.W4300+999-JUP-08 zad. BPM/B/02</w:t>
      </w:r>
    </w:p>
    <w:p w:rsidR="00B86812" w:rsidRPr="00E00B35" w:rsidRDefault="00B86812" w:rsidP="00E00B35">
      <w:pPr>
        <w:spacing w:after="0" w:line="312" w:lineRule="auto"/>
        <w:rPr>
          <w:rFonts w:eastAsia="Calibri"/>
          <w:szCs w:val="20"/>
        </w:rPr>
      </w:pPr>
      <w:r w:rsidRPr="00E00B35">
        <w:rPr>
          <w:rFonts w:eastAsia="Calibri"/>
          <w:szCs w:val="20"/>
        </w:rPr>
        <w:t xml:space="preserve">Od 11 maja do 15 maja na fanpagach Visit Wroclaw oraz Wroclaw [Wroclove] transmitowane były zajęcia jogi prowadzone przez 5 doświadczonych nauczycieli </w:t>
      </w:r>
      <w:r w:rsidRPr="00E00B35">
        <w:rPr>
          <w:rFonts w:eastAsia="Calibri"/>
          <w:szCs w:val="20"/>
        </w:rPr>
        <w:br/>
        <w:t xml:space="preserve">z 5 wrocławskich szkół, zarejestrowane w pięknej wiosennej scenerii. Projekt miał na celu </w:t>
      </w:r>
      <w:r w:rsidRPr="00E00B35">
        <w:rPr>
          <w:rFonts w:eastAsia="Calibri"/>
          <w:szCs w:val="20"/>
        </w:rPr>
        <w:lastRenderedPageBreak/>
        <w:t xml:space="preserve">umożliwienie mieszkańcom Wrocławia wzięcia udziału w zajęciach jogi </w:t>
      </w:r>
      <w:r w:rsidRPr="00E00B35">
        <w:rPr>
          <w:rFonts w:eastAsia="Calibri"/>
          <w:szCs w:val="20"/>
        </w:rPr>
        <w:br/>
        <w:t>w czasie spowodowanego pandemią zamknięcia szkół jogi oraz klubów fitness.</w:t>
      </w:r>
    </w:p>
    <w:p w:rsidR="00B86812" w:rsidRPr="00E00B35" w:rsidRDefault="00B86812" w:rsidP="00E00B35">
      <w:pPr>
        <w:pStyle w:val="Bezodstpw"/>
        <w:spacing w:line="312" w:lineRule="auto"/>
        <w:rPr>
          <w:rFonts w:ascii="Verdana" w:hAnsi="Verdana" w:cs="Verdana"/>
          <w:b/>
          <w:iCs/>
          <w:color w:val="000000"/>
          <w:sz w:val="20"/>
          <w:szCs w:val="20"/>
        </w:rPr>
      </w:pPr>
    </w:p>
    <w:p w:rsidR="00B86812" w:rsidRPr="00E00B35" w:rsidRDefault="00B86812" w:rsidP="00E00B35">
      <w:pPr>
        <w:pStyle w:val="Nagwek5"/>
        <w:rPr>
          <w:szCs w:val="20"/>
        </w:rPr>
      </w:pPr>
      <w:r w:rsidRPr="00E00B35">
        <w:rPr>
          <w:szCs w:val="20"/>
        </w:rPr>
        <w:t>Wirtualna Noc Muzeów</w:t>
      </w:r>
    </w:p>
    <w:p w:rsidR="00B86812" w:rsidRPr="00E00B35" w:rsidRDefault="00B86812" w:rsidP="00E00B35">
      <w:pPr>
        <w:pStyle w:val="Bezodstpw"/>
        <w:spacing w:line="312" w:lineRule="auto"/>
        <w:rPr>
          <w:rFonts w:ascii="Verdana" w:hAnsi="Verdana" w:cs="Verdana"/>
          <w:b/>
          <w:iCs/>
          <w:color w:val="000000"/>
          <w:sz w:val="20"/>
          <w:szCs w:val="20"/>
        </w:rPr>
      </w:pPr>
      <w:r w:rsidRPr="00E00B35">
        <w:rPr>
          <w:rFonts w:ascii="Verdana" w:hAnsi="Verdana" w:cs="Verdana"/>
          <w:b/>
          <w:iCs/>
          <w:color w:val="000000"/>
          <w:sz w:val="20"/>
          <w:szCs w:val="20"/>
        </w:rPr>
        <w:t xml:space="preserve">750.75075.W4300+999-JUP-08 zad. BPM/B/02 </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 xml:space="preserve">W tym roku, ze względu na obostrzenia związane z pandemią Miasto zaprosiło mieszkańców i gości na Wirtualną Noc Muzeów, która miała miejsce w weekend 15–17 maja, od godziny 20.00 do północy. </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Wirtualnie można było wejść i zwiedzić 15 obiektów. Udział w wydarzeniu wzięli:</w:t>
      </w:r>
    </w:p>
    <w:p w:rsidR="00B86812" w:rsidRPr="00E00B35" w:rsidRDefault="00B86812" w:rsidP="00E00B35">
      <w:pPr>
        <w:numPr>
          <w:ilvl w:val="0"/>
          <w:numId w:val="131"/>
        </w:numPr>
        <w:spacing w:after="0" w:line="312" w:lineRule="auto"/>
        <w:ind w:left="426" w:hanging="426"/>
        <w:rPr>
          <w:bCs/>
          <w:szCs w:val="20"/>
        </w:rPr>
      </w:pPr>
      <w:r w:rsidRPr="00E00B35">
        <w:rPr>
          <w:bCs/>
          <w:szCs w:val="20"/>
        </w:rPr>
        <w:t>Muzeum Narodowe we Wrocławiu</w:t>
      </w:r>
    </w:p>
    <w:p w:rsidR="00B86812" w:rsidRPr="00E00B35" w:rsidRDefault="00B86812" w:rsidP="00E00B35">
      <w:pPr>
        <w:numPr>
          <w:ilvl w:val="0"/>
          <w:numId w:val="131"/>
        </w:numPr>
        <w:spacing w:after="0" w:line="312" w:lineRule="auto"/>
        <w:ind w:left="426" w:hanging="426"/>
        <w:rPr>
          <w:bCs/>
          <w:szCs w:val="20"/>
        </w:rPr>
      </w:pPr>
      <w:r w:rsidRPr="00E00B35">
        <w:rPr>
          <w:bCs/>
          <w:szCs w:val="20"/>
        </w:rPr>
        <w:t>Muzeum Sztuki Współczesnej – Pawilon Czterech Kopuł (oddział Muzeum Narodowego)</w:t>
      </w:r>
    </w:p>
    <w:p w:rsidR="00B86812" w:rsidRPr="00E00B35" w:rsidRDefault="00B86812" w:rsidP="00E00B35">
      <w:pPr>
        <w:numPr>
          <w:ilvl w:val="0"/>
          <w:numId w:val="131"/>
        </w:numPr>
        <w:spacing w:after="0" w:line="312" w:lineRule="auto"/>
        <w:ind w:left="426" w:hanging="426"/>
        <w:rPr>
          <w:bCs/>
          <w:szCs w:val="20"/>
        </w:rPr>
      </w:pPr>
      <w:r w:rsidRPr="00E00B35">
        <w:rPr>
          <w:bCs/>
          <w:szCs w:val="20"/>
        </w:rPr>
        <w:t>Panorama Racławicka (oddział Muzeum Narodowego)</w:t>
      </w:r>
    </w:p>
    <w:p w:rsidR="00B86812" w:rsidRPr="00E00B35" w:rsidRDefault="00B86812" w:rsidP="00E00B35">
      <w:pPr>
        <w:numPr>
          <w:ilvl w:val="0"/>
          <w:numId w:val="131"/>
        </w:numPr>
        <w:spacing w:after="0" w:line="312" w:lineRule="auto"/>
        <w:ind w:left="426" w:hanging="426"/>
        <w:rPr>
          <w:bCs/>
          <w:szCs w:val="20"/>
        </w:rPr>
      </w:pPr>
      <w:r w:rsidRPr="00E00B35">
        <w:rPr>
          <w:bCs/>
          <w:szCs w:val="20"/>
        </w:rPr>
        <w:t>Pałac Królewski (oddział Muzeum Miejskiego Wrocławia)</w:t>
      </w:r>
    </w:p>
    <w:p w:rsidR="00B86812" w:rsidRPr="00E00B35" w:rsidRDefault="00B86812" w:rsidP="00E00B35">
      <w:pPr>
        <w:numPr>
          <w:ilvl w:val="0"/>
          <w:numId w:val="131"/>
        </w:numPr>
        <w:spacing w:after="0" w:line="312" w:lineRule="auto"/>
        <w:ind w:left="426" w:hanging="426"/>
        <w:rPr>
          <w:bCs/>
          <w:szCs w:val="20"/>
        </w:rPr>
      </w:pPr>
      <w:r w:rsidRPr="00E00B35">
        <w:rPr>
          <w:bCs/>
          <w:szCs w:val="20"/>
        </w:rPr>
        <w:t>Muzeum Militariów – Arsenał (oddział Muzeum Miejskiego Wrocławia)</w:t>
      </w:r>
    </w:p>
    <w:p w:rsidR="00B86812" w:rsidRPr="00E00B35" w:rsidRDefault="00B86812" w:rsidP="00E00B35">
      <w:pPr>
        <w:numPr>
          <w:ilvl w:val="0"/>
          <w:numId w:val="131"/>
        </w:numPr>
        <w:spacing w:after="0" w:line="312" w:lineRule="auto"/>
        <w:ind w:left="426" w:hanging="426"/>
        <w:rPr>
          <w:bCs/>
          <w:szCs w:val="20"/>
        </w:rPr>
      </w:pPr>
      <w:r w:rsidRPr="00E00B35">
        <w:rPr>
          <w:bCs/>
          <w:szCs w:val="20"/>
        </w:rPr>
        <w:t>Muzeum Teatru im. Henryka Tomaszewskiego (oddział Muzeum Miejskiego Wrocławia)</w:t>
      </w:r>
    </w:p>
    <w:p w:rsidR="00B86812" w:rsidRPr="00E00B35" w:rsidRDefault="00B86812" w:rsidP="00E00B35">
      <w:pPr>
        <w:numPr>
          <w:ilvl w:val="0"/>
          <w:numId w:val="131"/>
        </w:numPr>
        <w:spacing w:after="0" w:line="312" w:lineRule="auto"/>
        <w:ind w:left="426" w:hanging="426"/>
        <w:rPr>
          <w:bCs/>
          <w:szCs w:val="20"/>
        </w:rPr>
      </w:pPr>
      <w:r w:rsidRPr="00E00B35">
        <w:rPr>
          <w:bCs/>
          <w:szCs w:val="20"/>
        </w:rPr>
        <w:t>Muzeum Architektury</w:t>
      </w:r>
    </w:p>
    <w:p w:rsidR="00B86812" w:rsidRPr="00E00B35" w:rsidRDefault="00B86812" w:rsidP="00E00B35">
      <w:pPr>
        <w:numPr>
          <w:ilvl w:val="0"/>
          <w:numId w:val="131"/>
        </w:numPr>
        <w:spacing w:after="0" w:line="312" w:lineRule="auto"/>
        <w:ind w:left="426" w:hanging="426"/>
        <w:rPr>
          <w:bCs/>
          <w:szCs w:val="20"/>
        </w:rPr>
      </w:pPr>
      <w:r w:rsidRPr="00E00B35">
        <w:rPr>
          <w:bCs/>
          <w:szCs w:val="20"/>
        </w:rPr>
        <w:t>Muzeum Pana Tadeusza</w:t>
      </w:r>
    </w:p>
    <w:p w:rsidR="00B86812" w:rsidRPr="00E00B35" w:rsidRDefault="00B86812" w:rsidP="00E00B35">
      <w:pPr>
        <w:numPr>
          <w:ilvl w:val="0"/>
          <w:numId w:val="131"/>
        </w:numPr>
        <w:spacing w:after="0" w:line="312" w:lineRule="auto"/>
        <w:ind w:left="426" w:hanging="426"/>
        <w:rPr>
          <w:bCs/>
          <w:szCs w:val="20"/>
        </w:rPr>
      </w:pPr>
      <w:r w:rsidRPr="00E00B35">
        <w:rPr>
          <w:bCs/>
          <w:szCs w:val="20"/>
        </w:rPr>
        <w:t>Galeria filmu Movie Gate</w:t>
      </w:r>
    </w:p>
    <w:p w:rsidR="00B86812" w:rsidRPr="00E00B35" w:rsidRDefault="00B86812" w:rsidP="00E00B35">
      <w:pPr>
        <w:numPr>
          <w:ilvl w:val="0"/>
          <w:numId w:val="131"/>
        </w:numPr>
        <w:spacing w:after="0" w:line="312" w:lineRule="auto"/>
        <w:ind w:left="426" w:hanging="426"/>
        <w:rPr>
          <w:bCs/>
          <w:szCs w:val="20"/>
        </w:rPr>
      </w:pPr>
      <w:r w:rsidRPr="00E00B35">
        <w:rPr>
          <w:bCs/>
          <w:szCs w:val="20"/>
        </w:rPr>
        <w:t>Muzeum Przyrodnicze Uniwersytetu Wrocławskiego</w:t>
      </w:r>
    </w:p>
    <w:p w:rsidR="00B86812" w:rsidRPr="00E00B35" w:rsidRDefault="00B86812" w:rsidP="00E00B35">
      <w:pPr>
        <w:numPr>
          <w:ilvl w:val="0"/>
          <w:numId w:val="131"/>
        </w:numPr>
        <w:spacing w:after="0" w:line="312" w:lineRule="auto"/>
        <w:ind w:left="426" w:hanging="426"/>
        <w:rPr>
          <w:bCs/>
          <w:szCs w:val="20"/>
        </w:rPr>
      </w:pPr>
      <w:r w:rsidRPr="00E00B35">
        <w:rPr>
          <w:bCs/>
          <w:szCs w:val="20"/>
        </w:rPr>
        <w:t>Muzeum Farmacji Uniwersytetu Medycznego we Wrocławiu</w:t>
      </w:r>
    </w:p>
    <w:p w:rsidR="00B86812" w:rsidRPr="00E00B35" w:rsidRDefault="00B86812" w:rsidP="00E00B35">
      <w:pPr>
        <w:numPr>
          <w:ilvl w:val="0"/>
          <w:numId w:val="131"/>
        </w:numPr>
        <w:spacing w:after="0" w:line="312" w:lineRule="auto"/>
        <w:ind w:left="426" w:hanging="426"/>
        <w:rPr>
          <w:bCs/>
          <w:szCs w:val="20"/>
        </w:rPr>
      </w:pPr>
      <w:r w:rsidRPr="00E00B35">
        <w:rPr>
          <w:bCs/>
          <w:szCs w:val="20"/>
        </w:rPr>
        <w:t>Muzeum Współczesne Wrocław</w:t>
      </w:r>
    </w:p>
    <w:p w:rsidR="00B86812" w:rsidRPr="00E00B35" w:rsidRDefault="00B86812" w:rsidP="00E00B35">
      <w:pPr>
        <w:numPr>
          <w:ilvl w:val="0"/>
          <w:numId w:val="131"/>
        </w:numPr>
        <w:spacing w:after="0" w:line="312" w:lineRule="auto"/>
        <w:ind w:left="426" w:hanging="426"/>
        <w:rPr>
          <w:bCs/>
          <w:szCs w:val="20"/>
        </w:rPr>
      </w:pPr>
      <w:r w:rsidRPr="00E00B35">
        <w:rPr>
          <w:bCs/>
          <w:szCs w:val="20"/>
        </w:rPr>
        <w:t>Centrum Historii Zajezdnia</w:t>
      </w:r>
    </w:p>
    <w:p w:rsidR="00B86812" w:rsidRPr="00E00B35" w:rsidRDefault="00B86812" w:rsidP="00E00B35">
      <w:pPr>
        <w:numPr>
          <w:ilvl w:val="0"/>
          <w:numId w:val="131"/>
        </w:numPr>
        <w:spacing w:after="0" w:line="312" w:lineRule="auto"/>
        <w:ind w:left="426" w:hanging="426"/>
        <w:rPr>
          <w:bCs/>
          <w:szCs w:val="20"/>
        </w:rPr>
      </w:pPr>
      <w:r w:rsidRPr="00E00B35">
        <w:rPr>
          <w:bCs/>
          <w:szCs w:val="20"/>
        </w:rPr>
        <w:t>Ossolineum – Zakład Narodowy im. Ossolińskich</w:t>
      </w:r>
    </w:p>
    <w:p w:rsidR="00B86812" w:rsidRPr="00E00B35" w:rsidRDefault="00B86812" w:rsidP="00E00B35">
      <w:pPr>
        <w:numPr>
          <w:ilvl w:val="0"/>
          <w:numId w:val="131"/>
        </w:numPr>
        <w:spacing w:after="0" w:line="312" w:lineRule="auto"/>
        <w:ind w:left="426" w:hanging="426"/>
        <w:rPr>
          <w:bCs/>
          <w:szCs w:val="20"/>
        </w:rPr>
      </w:pPr>
      <w:r w:rsidRPr="00E00B35">
        <w:rPr>
          <w:bCs/>
          <w:szCs w:val="20"/>
        </w:rPr>
        <w:t>Dom Edyty Stein</w:t>
      </w:r>
    </w:p>
    <w:p w:rsidR="00B86812" w:rsidRPr="00E00B35" w:rsidRDefault="00B86812" w:rsidP="00E00B35">
      <w:pPr>
        <w:spacing w:after="0" w:line="312" w:lineRule="auto"/>
        <w:rPr>
          <w:rFonts w:eastAsia="Verdana" w:cs="Verdana"/>
          <w:szCs w:val="20"/>
        </w:rPr>
      </w:pPr>
      <w:r w:rsidRPr="00E00B35">
        <w:rPr>
          <w:rFonts w:eastAsia="Verdana" w:cs="Verdana"/>
          <w:szCs w:val="20"/>
        </w:rPr>
        <w:t>Wejścia trwały 30 minut, a oglądać je było można na fanpage: Wroclaw [Wroclove], Visit Wroclaw.</w:t>
      </w:r>
    </w:p>
    <w:p w:rsidR="00B86812" w:rsidRPr="00E00B35" w:rsidRDefault="00B86812" w:rsidP="00E00B35">
      <w:pPr>
        <w:pStyle w:val="Bezodstpw"/>
        <w:spacing w:line="312" w:lineRule="auto"/>
        <w:rPr>
          <w:rFonts w:ascii="Verdana" w:hAnsi="Verdana" w:cs="Verdana"/>
          <w:b/>
          <w:iCs/>
          <w:color w:val="000000"/>
          <w:sz w:val="20"/>
          <w:szCs w:val="20"/>
        </w:rPr>
      </w:pPr>
    </w:p>
    <w:p w:rsidR="00B86812" w:rsidRPr="00E00B35" w:rsidRDefault="00B86812" w:rsidP="00E00B35">
      <w:pPr>
        <w:pStyle w:val="Nagwek5"/>
        <w:rPr>
          <w:szCs w:val="20"/>
        </w:rPr>
      </w:pPr>
      <w:r w:rsidRPr="00E00B35">
        <w:rPr>
          <w:szCs w:val="20"/>
        </w:rPr>
        <w:t>Krasnalowa gra online – dwie edycje</w:t>
      </w:r>
    </w:p>
    <w:p w:rsidR="00B86812" w:rsidRPr="00E00B35" w:rsidRDefault="00B86812" w:rsidP="00E00B35">
      <w:pPr>
        <w:pStyle w:val="Tekstpodstawowy"/>
        <w:spacing w:after="0" w:line="312" w:lineRule="auto"/>
        <w:rPr>
          <w:b/>
          <w:bCs/>
          <w:szCs w:val="20"/>
        </w:rPr>
      </w:pPr>
      <w:r w:rsidRPr="00E00B35">
        <w:rPr>
          <w:b/>
          <w:bCs/>
          <w:szCs w:val="20"/>
        </w:rPr>
        <w:t>750.75075.W4300+999-JUP-08 zad. BPM/B/02</w:t>
      </w:r>
    </w:p>
    <w:p w:rsidR="00B86812" w:rsidRPr="00E00B35" w:rsidRDefault="00B86812" w:rsidP="00E00B35">
      <w:pPr>
        <w:pStyle w:val="Bezodstpw"/>
        <w:spacing w:line="312" w:lineRule="auto"/>
        <w:rPr>
          <w:rFonts w:ascii="Verdana" w:eastAsia="Verdana" w:hAnsi="Verdana" w:cs="Verdana"/>
          <w:sz w:val="20"/>
          <w:szCs w:val="20"/>
          <w:lang w:eastAsia="pl-PL"/>
        </w:rPr>
      </w:pPr>
      <w:r w:rsidRPr="00E00B35">
        <w:rPr>
          <w:rFonts w:ascii="Verdana" w:eastAsia="Verdana" w:hAnsi="Verdana" w:cs="Verdana"/>
          <w:sz w:val="20"/>
          <w:szCs w:val="20"/>
          <w:lang w:eastAsia="pl-PL"/>
        </w:rPr>
        <w:t xml:space="preserve">Przeprowadzenie dwóch edycji rodzinnej  gry miejskiej online miało na celu wspólną interaktywną zabawę z Wrocławiem i krasnalami w tle. </w:t>
      </w:r>
    </w:p>
    <w:p w:rsidR="00B86812" w:rsidRPr="00E00B35" w:rsidRDefault="00B86812" w:rsidP="00E00B35">
      <w:pPr>
        <w:pStyle w:val="Bezodstpw"/>
        <w:spacing w:line="312" w:lineRule="auto"/>
        <w:rPr>
          <w:rFonts w:ascii="Verdana" w:eastAsia="Verdana" w:hAnsi="Verdana" w:cs="Verdana"/>
          <w:sz w:val="20"/>
          <w:szCs w:val="20"/>
          <w:lang w:eastAsia="pl-PL"/>
        </w:rPr>
      </w:pPr>
    </w:p>
    <w:p w:rsidR="00B86812" w:rsidRPr="00E00B35" w:rsidRDefault="00B86812" w:rsidP="00E00B35">
      <w:pPr>
        <w:pStyle w:val="Bezodstpw"/>
        <w:spacing w:line="312" w:lineRule="auto"/>
        <w:rPr>
          <w:rFonts w:ascii="Verdana" w:eastAsia="Verdana" w:hAnsi="Verdana" w:cs="Verdana"/>
          <w:sz w:val="20"/>
          <w:szCs w:val="20"/>
          <w:lang w:eastAsia="pl-PL"/>
        </w:rPr>
      </w:pPr>
      <w:r w:rsidRPr="00E00B35">
        <w:rPr>
          <w:rFonts w:ascii="Verdana" w:eastAsia="Verdana" w:hAnsi="Verdana" w:cs="Verdana"/>
          <w:sz w:val="20"/>
          <w:szCs w:val="20"/>
          <w:lang w:eastAsia="pl-PL"/>
        </w:rPr>
        <w:t xml:space="preserve">Edycja 1. miała na celu  pomóc  Krasnalowi Detektywowi odnaleźć tajemniczego Psotnika, który dokucza krasnalom. W każdym odcinku uczestnicy zdobywali wskazówki dotyczące tożsamości i miejsca ukrycia Krasnala Psotnika, którego ujawniono w ostatnim odcinku. </w:t>
      </w:r>
    </w:p>
    <w:p w:rsidR="00B86812" w:rsidRPr="00E00B35" w:rsidRDefault="00B86812" w:rsidP="00E00B35">
      <w:pPr>
        <w:pStyle w:val="Bezodstpw"/>
        <w:spacing w:line="312" w:lineRule="auto"/>
        <w:rPr>
          <w:rFonts w:ascii="Verdana" w:eastAsia="Verdana" w:hAnsi="Verdana" w:cs="Verdana"/>
          <w:sz w:val="20"/>
          <w:szCs w:val="20"/>
          <w:lang w:eastAsia="pl-PL"/>
        </w:rPr>
      </w:pPr>
    </w:p>
    <w:p w:rsidR="00B86812" w:rsidRPr="00E00B35" w:rsidRDefault="00B86812" w:rsidP="00E00B35">
      <w:pPr>
        <w:pStyle w:val="Bezodstpw"/>
        <w:spacing w:line="312" w:lineRule="auto"/>
        <w:rPr>
          <w:rFonts w:ascii="Verdana" w:eastAsia="Verdana" w:hAnsi="Verdana" w:cs="Verdana"/>
          <w:sz w:val="20"/>
          <w:szCs w:val="20"/>
          <w:lang w:eastAsia="pl-PL"/>
        </w:rPr>
      </w:pPr>
      <w:r w:rsidRPr="00E00B35">
        <w:rPr>
          <w:rFonts w:ascii="Verdana" w:eastAsia="Verdana" w:hAnsi="Verdana" w:cs="Verdana"/>
          <w:sz w:val="20"/>
          <w:szCs w:val="20"/>
          <w:lang w:eastAsia="pl-PL"/>
        </w:rPr>
        <w:t xml:space="preserve">Edycja 2. w tej edycji uczestnicy zgadywali,  kim jest Psotnik, który dokucza wrocławskim krasnalom – kolejne odcinki dawały wskazówki, które złożone </w:t>
      </w:r>
      <w:r w:rsidRPr="00E00B35">
        <w:rPr>
          <w:rFonts w:ascii="Verdana" w:eastAsia="Verdana" w:hAnsi="Verdana" w:cs="Verdana"/>
          <w:sz w:val="20"/>
          <w:szCs w:val="20"/>
          <w:lang w:eastAsia="pl-PL"/>
        </w:rPr>
        <w:br/>
        <w:t xml:space="preserve">w całość pozwalały uczestnikom trafić do miejsca kolejnej Psoty i pomagały odkryć, który z podejrzanych krasnali jest tajemniczym Psotnikiem. </w:t>
      </w:r>
    </w:p>
    <w:p w:rsidR="00B86812" w:rsidRPr="00E00B35" w:rsidRDefault="00B86812" w:rsidP="00E00B35">
      <w:pPr>
        <w:pStyle w:val="Nagwek1"/>
        <w:shd w:val="clear" w:color="auto" w:fill="FFFFFF"/>
        <w:spacing w:before="0" w:after="0" w:line="312" w:lineRule="auto"/>
        <w:ind w:right="180"/>
        <w:rPr>
          <w:rFonts w:cs="Helvetica"/>
          <w:bCs w:val="0"/>
          <w:color w:val="1D2129"/>
          <w:sz w:val="20"/>
          <w:szCs w:val="20"/>
        </w:rPr>
      </w:pPr>
    </w:p>
    <w:p w:rsidR="00B86812" w:rsidRPr="00E00B35" w:rsidRDefault="00B86812" w:rsidP="00E00B35">
      <w:pPr>
        <w:pStyle w:val="Nagwek5"/>
        <w:rPr>
          <w:szCs w:val="20"/>
        </w:rPr>
      </w:pPr>
      <w:r w:rsidRPr="00E00B35">
        <w:rPr>
          <w:szCs w:val="20"/>
        </w:rPr>
        <w:t>Trenuj z wrocławskimi siatkarkami i siatkarzami!</w:t>
      </w:r>
    </w:p>
    <w:p w:rsidR="00B86812" w:rsidRPr="00E00B35" w:rsidRDefault="00B86812" w:rsidP="00E00B35">
      <w:pPr>
        <w:pStyle w:val="Tekstpodstawowy"/>
        <w:spacing w:after="0" w:line="312" w:lineRule="auto"/>
        <w:rPr>
          <w:b/>
          <w:bCs/>
          <w:szCs w:val="20"/>
        </w:rPr>
      </w:pPr>
      <w:r w:rsidRPr="00E00B35">
        <w:rPr>
          <w:b/>
          <w:bCs/>
          <w:szCs w:val="20"/>
        </w:rPr>
        <w:t>750.75075.W4300+999-JUP-08 zad. BPM/B/02</w:t>
      </w:r>
    </w:p>
    <w:p w:rsidR="00B86812" w:rsidRPr="00E00B35" w:rsidRDefault="00B86812" w:rsidP="00E00B35">
      <w:pPr>
        <w:spacing w:after="0" w:line="312" w:lineRule="auto"/>
        <w:rPr>
          <w:rFonts w:eastAsia="Verdana" w:cs="Verdana"/>
          <w:szCs w:val="20"/>
        </w:rPr>
      </w:pPr>
      <w:r w:rsidRPr="00E00B35">
        <w:rPr>
          <w:rFonts w:eastAsia="Verdana" w:cs="Verdana"/>
          <w:szCs w:val="20"/>
        </w:rPr>
        <w:t xml:space="preserve">Kolejnym po jodze cyklem, mający zachęcić mieszkańców Wrocławia do aktywności fizycznej podczas pandemii, był cykl treningów z siatkarzami i siatkarkami. Projekt zrealizowano wspólnie z dwoma wrocławkimi klubami: </w:t>
      </w:r>
      <w:hyperlink r:id="rId11" w:tgtFrame="_blank" w:history="1">
        <w:r w:rsidRPr="00E00B35">
          <w:rPr>
            <w:rFonts w:eastAsia="Verdana" w:cs="Verdana"/>
            <w:szCs w:val="20"/>
          </w:rPr>
          <w:t>#VolleyWrocław</w:t>
        </w:r>
      </w:hyperlink>
      <w:r w:rsidRPr="00E00B35">
        <w:rPr>
          <w:rFonts w:eastAsia="Verdana" w:cs="Verdana"/>
          <w:szCs w:val="20"/>
        </w:rPr>
        <w:t xml:space="preserve"> oraz KFC Gwardia Wrocław.</w:t>
      </w:r>
    </w:p>
    <w:p w:rsidR="00B86812" w:rsidRPr="00E00B35" w:rsidRDefault="00B86812" w:rsidP="00E00B35">
      <w:pPr>
        <w:spacing w:after="0" w:line="312" w:lineRule="auto"/>
        <w:rPr>
          <w:rFonts w:eastAsia="Verdana" w:cs="Verdana"/>
          <w:szCs w:val="20"/>
        </w:rPr>
      </w:pPr>
    </w:p>
    <w:p w:rsidR="00B86812" w:rsidRPr="00E00B35" w:rsidRDefault="00B86812" w:rsidP="00E00B35">
      <w:pPr>
        <w:spacing w:after="0" w:line="312" w:lineRule="auto"/>
        <w:rPr>
          <w:rFonts w:eastAsia="Verdana" w:cs="Verdana"/>
          <w:szCs w:val="20"/>
        </w:rPr>
      </w:pPr>
      <w:r w:rsidRPr="00E00B35">
        <w:rPr>
          <w:rFonts w:eastAsia="Verdana" w:cs="Verdana"/>
          <w:szCs w:val="20"/>
        </w:rPr>
        <w:t>Transmisje odbywały się od 1 do 15 czerwca na fanpage Visit Wroclaw. Zawodnicy prowadzeni przez trenerów prezentowali ćwiczenia ogólnorozwojowe, stabilizacyjne, a także doskonalące umiejętności siatkarskie.</w:t>
      </w:r>
    </w:p>
    <w:p w:rsidR="00B86812" w:rsidRPr="00E00B35" w:rsidRDefault="00B86812" w:rsidP="00E00B35">
      <w:pPr>
        <w:spacing w:after="0" w:line="312" w:lineRule="auto"/>
        <w:rPr>
          <w:rFonts w:cs="Helvetica"/>
          <w:color w:val="1D2129"/>
          <w:szCs w:val="20"/>
        </w:rPr>
      </w:pPr>
    </w:p>
    <w:p w:rsidR="00B86812" w:rsidRPr="00E00B35" w:rsidRDefault="00B86812" w:rsidP="00E00B35">
      <w:pPr>
        <w:pStyle w:val="Nagwek5"/>
        <w:rPr>
          <w:szCs w:val="20"/>
        </w:rPr>
      </w:pPr>
      <w:r w:rsidRPr="00E00B35">
        <w:rPr>
          <w:szCs w:val="20"/>
        </w:rPr>
        <w:t>Dachy Wrocławia</w:t>
      </w:r>
    </w:p>
    <w:p w:rsidR="00B86812" w:rsidRPr="00E00B35" w:rsidRDefault="00B86812" w:rsidP="00E00B35">
      <w:pPr>
        <w:pStyle w:val="Tekstpodstawowy"/>
        <w:spacing w:after="0" w:line="312" w:lineRule="auto"/>
        <w:rPr>
          <w:b/>
          <w:bCs/>
          <w:szCs w:val="20"/>
        </w:rPr>
      </w:pPr>
      <w:r w:rsidRPr="00E00B35">
        <w:rPr>
          <w:b/>
          <w:bCs/>
          <w:szCs w:val="20"/>
        </w:rPr>
        <w:t>750.75075.W4300+999-JUP-08 zad. BPM/B/02</w:t>
      </w:r>
    </w:p>
    <w:p w:rsidR="00B86812" w:rsidRPr="00E00B35" w:rsidRDefault="00B86812" w:rsidP="00E00B35">
      <w:pPr>
        <w:spacing w:after="0" w:line="312" w:lineRule="auto"/>
        <w:rPr>
          <w:rFonts w:eastAsia="Verdana" w:cs="Verdana"/>
          <w:szCs w:val="20"/>
        </w:rPr>
      </w:pPr>
      <w:r w:rsidRPr="00E00B35">
        <w:rPr>
          <w:rFonts w:eastAsia="Verdana" w:cs="Verdana"/>
          <w:szCs w:val="20"/>
        </w:rPr>
        <w:t xml:space="preserve">W dniach 7–28 czerwca odbył się zorganizowany przez WPM cykl koncertów wrocławskich artystów i zespołów, w wyjątkowych przestrzeniach, z widokiem na miasto i nadzieją na powrót do normalności i do życia kulturalnego. Dachy Wrocławia stały się estradami, na których zabrzmiały rytmy jazzu, indie rocka, reggae, bluesa, tanga, rozległ się stukot obcasów, wybuchła feeria barw </w:t>
      </w:r>
      <w:r w:rsidRPr="00E00B35">
        <w:rPr>
          <w:rFonts w:eastAsia="Verdana" w:cs="Verdana"/>
          <w:szCs w:val="20"/>
        </w:rPr>
        <w:br/>
        <w:t xml:space="preserve">i dźwięków. </w:t>
      </w:r>
    </w:p>
    <w:p w:rsidR="00B86812" w:rsidRPr="00E00B35" w:rsidRDefault="00B86812" w:rsidP="00E00B35">
      <w:pPr>
        <w:spacing w:after="0" w:line="312" w:lineRule="auto"/>
        <w:rPr>
          <w:rFonts w:eastAsia="Verdana" w:cs="Verdana"/>
          <w:szCs w:val="20"/>
        </w:rPr>
      </w:pPr>
      <w:r w:rsidRPr="00E00B35">
        <w:rPr>
          <w:rFonts w:eastAsia="Verdana" w:cs="Verdana"/>
          <w:szCs w:val="20"/>
        </w:rPr>
        <w:t xml:space="preserve">W projekcie wzięło udział 70 muzyków, którzy zagrali 10 koncertów </w:t>
      </w:r>
      <w:r w:rsidRPr="00E00B35">
        <w:rPr>
          <w:rFonts w:eastAsia="Verdana" w:cs="Verdana"/>
          <w:szCs w:val="20"/>
        </w:rPr>
        <w:br/>
        <w:t xml:space="preserve">na 8 wrocławskich dachach. Koncerty były transmitowane na miejskich kanałach dwa razy w tygodniu, w niedziele i w czwartki.  Byliśmy w fantastycznych miejscach – na dachu przytulnej Cafe Borówka, na dostojnej Wieży Matematycznej Uniwersytetu Wrocławskiego. Gościły nas Akademia Sztuk Pięknych czy Muzeum Współczesne Wrocław. </w:t>
      </w:r>
    </w:p>
    <w:p w:rsidR="00B86812" w:rsidRPr="00E00B35" w:rsidRDefault="00B86812" w:rsidP="00E00B35">
      <w:pPr>
        <w:spacing w:after="0" w:line="312" w:lineRule="auto"/>
        <w:rPr>
          <w:rFonts w:eastAsia="Verdana" w:cs="Verdana"/>
          <w:szCs w:val="20"/>
        </w:rPr>
      </w:pPr>
      <w:r w:rsidRPr="00E00B35">
        <w:rPr>
          <w:rFonts w:eastAsia="Verdana" w:cs="Verdana"/>
          <w:szCs w:val="20"/>
        </w:rPr>
        <w:t>Wystąpili: Electric Shower, Zespół Kameralny Sceny pod Regałem, Justyna Szafran, Zawartko / Piasecki, Puellae Cantantes, MAM Głos, Francis Tuan, Bethel, Synaptine, Flamenco Trio. Transmisje będzie można oglądać na fanpage’u Wroclaw [Wroclove] oraz na www.wroclaw.pl.</w:t>
      </w:r>
    </w:p>
    <w:p w:rsidR="00B86812" w:rsidRPr="00E00B35" w:rsidRDefault="00B86812" w:rsidP="00E00B35">
      <w:pPr>
        <w:spacing w:after="0" w:line="312" w:lineRule="auto"/>
        <w:rPr>
          <w:rFonts w:eastAsia="Verdana" w:cs="Verdana"/>
          <w:szCs w:val="20"/>
        </w:rPr>
      </w:pPr>
      <w:r w:rsidRPr="00E00B35">
        <w:rPr>
          <w:rFonts w:eastAsia="Verdana" w:cs="Verdana"/>
          <w:szCs w:val="20"/>
        </w:rPr>
        <w:t xml:space="preserve">Podczas rejestracji koncertów powstał także materiał teledysku do piosenki „Otwieramy okna na świat”. Utwór, który powstał, by pokazać, że choć na kilka miesięcy festiwalowe, teatralne, muzyczne i klubowe życie Wrocławia ustało, wrocławscy twórcy działają, próbując odnaleźć się w trudnej rzeczywistości. Stworzyli go wspólnie artyści z różnych muzycznych nurtów, których łączy to, że mieszkają i tworzą w jednym mieście – we Wrocławiu. Tekst napisały Magdalena Zawartko i Natalia Grosiak, muzykę stworzyli Magdalena Zawartko i Grzegorz Piasecki. W nagraniu wzięło udział ponad 50 muzyków, m.in. Natalia Grosiak, Paweł Gołębski, Ania Kłys, Natalia Lubrano, Justyna Szafran, Francis Tuan, wokaliści Zespołu Kameralnego Sceny pod Regałem, zespoły: Girls on Fire, KOSY, Mam Głos oraz Chór Dziewczęcy Puellae Cantantes pod dyrekcją Macieja Wojciechowskiego. </w:t>
      </w:r>
    </w:p>
    <w:p w:rsidR="00B86812" w:rsidRPr="00E00B35" w:rsidRDefault="00B86812" w:rsidP="00E00B35">
      <w:pPr>
        <w:spacing w:after="0" w:line="312" w:lineRule="auto"/>
        <w:rPr>
          <w:b/>
          <w:szCs w:val="20"/>
        </w:rPr>
      </w:pPr>
    </w:p>
    <w:p w:rsidR="00B86812" w:rsidRPr="00E00B35" w:rsidRDefault="00B86812" w:rsidP="00E00B35">
      <w:pPr>
        <w:pStyle w:val="Nagwek5"/>
        <w:rPr>
          <w:szCs w:val="20"/>
        </w:rPr>
      </w:pPr>
      <w:r w:rsidRPr="00E00B35">
        <w:rPr>
          <w:szCs w:val="20"/>
        </w:rPr>
        <w:lastRenderedPageBreak/>
        <w:t>Europa na widelcu on-line</w:t>
      </w:r>
    </w:p>
    <w:p w:rsidR="00B86812" w:rsidRPr="00E00B35" w:rsidRDefault="00B86812" w:rsidP="00E00B35">
      <w:pPr>
        <w:pStyle w:val="Tekstpodstawowy"/>
        <w:spacing w:after="0" w:line="312" w:lineRule="auto"/>
        <w:rPr>
          <w:b/>
          <w:bCs/>
          <w:szCs w:val="20"/>
        </w:rPr>
      </w:pPr>
      <w:r w:rsidRPr="00E00B35">
        <w:rPr>
          <w:b/>
          <w:bCs/>
          <w:szCs w:val="20"/>
        </w:rPr>
        <w:t>750.75075.W4300+999-JUP-08 zad. BPM/B/02</w:t>
      </w:r>
    </w:p>
    <w:p w:rsidR="00B86812" w:rsidRPr="00E00B35" w:rsidRDefault="00B86812" w:rsidP="00E00B35">
      <w:pPr>
        <w:autoSpaceDE w:val="0"/>
        <w:autoSpaceDN w:val="0"/>
        <w:adjustRightInd w:val="0"/>
        <w:spacing w:after="0" w:line="312" w:lineRule="auto"/>
        <w:rPr>
          <w:szCs w:val="20"/>
        </w:rPr>
      </w:pPr>
      <w:r w:rsidRPr="00E00B35">
        <w:rPr>
          <w:szCs w:val="20"/>
        </w:rPr>
        <w:t>Festiwal kulinarny „Europa na widelcu” co roku przyciąga na wrocławskich rynek tysiące mieszkańców i turystów. Tak planowano również początek czerwca tego rok, a tematem przewodnim miała być kuchnia miast partnerskich Wrocławia i polskie regiony kulinarne. Mieliśmy także świętować na wrocławskim rynku 30. rocznicę polskiego samorządu. Niestety, pandemia przekreśliła te plany. Chcąc  jednak wynagrodzić wszystkim fanom festiwalu tę nieobecność. 1–6 czerwca organizowana była  „Europa na widelcu 2020 on-line”. W ramach wydarzenia zorganizowano m.in.:</w:t>
      </w:r>
    </w:p>
    <w:p w:rsidR="00B86812" w:rsidRPr="00E00B35" w:rsidRDefault="00B86812" w:rsidP="00E00B35">
      <w:pPr>
        <w:numPr>
          <w:ilvl w:val="0"/>
          <w:numId w:val="131"/>
        </w:numPr>
        <w:spacing w:after="0" w:line="312" w:lineRule="auto"/>
        <w:ind w:left="426" w:hanging="426"/>
        <w:rPr>
          <w:bCs/>
          <w:szCs w:val="20"/>
        </w:rPr>
      </w:pPr>
      <w:r w:rsidRPr="00E00B35">
        <w:rPr>
          <w:bCs/>
          <w:szCs w:val="20"/>
        </w:rPr>
        <w:t>Zapowiedź wydarzenia przez Roberta Makłowicza</w:t>
      </w:r>
    </w:p>
    <w:p w:rsidR="00B86812" w:rsidRPr="00E00B35" w:rsidRDefault="00B86812" w:rsidP="00E00B35">
      <w:pPr>
        <w:numPr>
          <w:ilvl w:val="0"/>
          <w:numId w:val="131"/>
        </w:numPr>
        <w:spacing w:after="0" w:line="312" w:lineRule="auto"/>
        <w:ind w:left="426" w:hanging="426"/>
        <w:rPr>
          <w:bCs/>
          <w:szCs w:val="20"/>
        </w:rPr>
      </w:pPr>
      <w:r w:rsidRPr="00E00B35">
        <w:rPr>
          <w:bCs/>
          <w:szCs w:val="20"/>
        </w:rPr>
        <w:t>Krasnalową grę miejską</w:t>
      </w:r>
    </w:p>
    <w:p w:rsidR="00B86812" w:rsidRPr="00E00B35" w:rsidRDefault="00B86812" w:rsidP="00E00B35">
      <w:pPr>
        <w:numPr>
          <w:ilvl w:val="0"/>
          <w:numId w:val="131"/>
        </w:numPr>
        <w:spacing w:after="0" w:line="312" w:lineRule="auto"/>
        <w:ind w:left="426" w:hanging="426"/>
        <w:rPr>
          <w:bCs/>
          <w:szCs w:val="20"/>
        </w:rPr>
      </w:pPr>
      <w:r w:rsidRPr="00E00B35">
        <w:rPr>
          <w:bCs/>
          <w:szCs w:val="20"/>
        </w:rPr>
        <w:t>Wspólne gotowanie z Robertem Makłowiczem</w:t>
      </w:r>
    </w:p>
    <w:p w:rsidR="00B86812" w:rsidRPr="00E00B35" w:rsidRDefault="00B86812" w:rsidP="00E00B35">
      <w:pPr>
        <w:numPr>
          <w:ilvl w:val="0"/>
          <w:numId w:val="131"/>
        </w:numPr>
        <w:spacing w:after="0" w:line="312" w:lineRule="auto"/>
        <w:ind w:left="426" w:hanging="426"/>
        <w:rPr>
          <w:bCs/>
          <w:szCs w:val="20"/>
        </w:rPr>
      </w:pPr>
      <w:r w:rsidRPr="00E00B35">
        <w:rPr>
          <w:bCs/>
          <w:szCs w:val="20"/>
        </w:rPr>
        <w:t>Kulinarny konkurs w chatbocie</w:t>
      </w:r>
    </w:p>
    <w:p w:rsidR="00B86812" w:rsidRPr="00E00B35" w:rsidRDefault="00B86812" w:rsidP="00E00B35">
      <w:pPr>
        <w:numPr>
          <w:ilvl w:val="0"/>
          <w:numId w:val="131"/>
        </w:numPr>
        <w:spacing w:after="0" w:line="312" w:lineRule="auto"/>
        <w:ind w:left="426" w:hanging="426"/>
        <w:rPr>
          <w:bCs/>
          <w:szCs w:val="20"/>
        </w:rPr>
      </w:pPr>
      <w:r w:rsidRPr="00E00B35">
        <w:rPr>
          <w:bCs/>
          <w:szCs w:val="20"/>
        </w:rPr>
        <w:t>Kulinarny Quiz w chatbocie</w:t>
      </w:r>
    </w:p>
    <w:p w:rsidR="00B86812" w:rsidRPr="00E00B35" w:rsidRDefault="00B86812" w:rsidP="00E00B35">
      <w:pPr>
        <w:numPr>
          <w:ilvl w:val="0"/>
          <w:numId w:val="131"/>
        </w:numPr>
        <w:spacing w:after="0" w:line="312" w:lineRule="auto"/>
        <w:ind w:left="426" w:hanging="426"/>
        <w:rPr>
          <w:bCs/>
          <w:szCs w:val="20"/>
        </w:rPr>
      </w:pPr>
      <w:r w:rsidRPr="00E00B35">
        <w:rPr>
          <w:bCs/>
          <w:szCs w:val="20"/>
        </w:rPr>
        <w:t>Ciekawostki kulinarne i kulinarne wspomnienia na FB</w:t>
      </w:r>
    </w:p>
    <w:p w:rsidR="00B86812" w:rsidRPr="00E00B35" w:rsidRDefault="00B86812" w:rsidP="00E00B35">
      <w:pPr>
        <w:numPr>
          <w:ilvl w:val="0"/>
          <w:numId w:val="131"/>
        </w:numPr>
        <w:spacing w:after="0" w:line="312" w:lineRule="auto"/>
        <w:ind w:left="426" w:hanging="426"/>
        <w:rPr>
          <w:bCs/>
          <w:szCs w:val="20"/>
        </w:rPr>
      </w:pPr>
      <w:r w:rsidRPr="00E00B35">
        <w:rPr>
          <w:bCs/>
          <w:szCs w:val="20"/>
        </w:rPr>
        <w:t>Wieczorny koncert online #DachyWrocławia</w:t>
      </w:r>
    </w:p>
    <w:p w:rsidR="00B86812" w:rsidRPr="00E00B35" w:rsidRDefault="00B86812" w:rsidP="00E00B35">
      <w:pPr>
        <w:numPr>
          <w:ilvl w:val="0"/>
          <w:numId w:val="131"/>
        </w:numPr>
        <w:spacing w:after="0" w:line="312" w:lineRule="auto"/>
        <w:ind w:left="426" w:hanging="426"/>
        <w:rPr>
          <w:bCs/>
          <w:szCs w:val="20"/>
        </w:rPr>
      </w:pPr>
      <w:r w:rsidRPr="00E00B35">
        <w:rPr>
          <w:bCs/>
          <w:szCs w:val="20"/>
        </w:rPr>
        <w:t>Serwis specjalny „Europa na widelcu online”</w:t>
      </w:r>
    </w:p>
    <w:p w:rsidR="00B86812" w:rsidRPr="00E00B35" w:rsidRDefault="00B86812" w:rsidP="00E00B35">
      <w:pPr>
        <w:numPr>
          <w:ilvl w:val="0"/>
          <w:numId w:val="131"/>
        </w:numPr>
        <w:spacing w:after="0" w:line="312" w:lineRule="auto"/>
        <w:ind w:left="426" w:hanging="426"/>
        <w:rPr>
          <w:bCs/>
          <w:szCs w:val="20"/>
        </w:rPr>
      </w:pPr>
      <w:r w:rsidRPr="00E00B35">
        <w:rPr>
          <w:bCs/>
          <w:szCs w:val="20"/>
        </w:rPr>
        <w:t xml:space="preserve">Relacje w aplikacji Instagram </w:t>
      </w:r>
    </w:p>
    <w:p w:rsidR="00B86812" w:rsidRPr="00E00B35" w:rsidRDefault="00B86812" w:rsidP="00E00B35">
      <w:pPr>
        <w:autoSpaceDE w:val="0"/>
        <w:autoSpaceDN w:val="0"/>
        <w:adjustRightInd w:val="0"/>
        <w:spacing w:after="0" w:line="312" w:lineRule="auto"/>
        <w:ind w:left="360"/>
        <w:rPr>
          <w:szCs w:val="20"/>
        </w:rPr>
      </w:pPr>
    </w:p>
    <w:p w:rsidR="00B86812" w:rsidRPr="00E00B35" w:rsidRDefault="00B86812" w:rsidP="00E00B35">
      <w:pPr>
        <w:autoSpaceDE w:val="0"/>
        <w:autoSpaceDN w:val="0"/>
        <w:adjustRightInd w:val="0"/>
        <w:spacing w:after="0" w:line="312" w:lineRule="auto"/>
        <w:rPr>
          <w:rFonts w:cs="Verdana"/>
          <w:color w:val="000000"/>
          <w:szCs w:val="20"/>
        </w:rPr>
      </w:pPr>
      <w:r w:rsidRPr="00E00B35">
        <w:rPr>
          <w:szCs w:val="20"/>
        </w:rPr>
        <w:t>Oprócz szeregu działań online powstał także ebook pt. „112 najlepszych przepisów szefów kuchni". Znajdują się w nim wspomnienia szefów kuchni, wywiad z prezydentem Wrocławia Jackiem Sutrykiem oraz ambasadorem festiwalu Robertem Makłowiczem, 41 przepisów na potrawy, które miały być serwowane przez 18 kucharzy na wrocławskim rynku w tym roku oraz najlepsze przepisy z poprzednich edycji</w:t>
      </w:r>
      <w:r w:rsidRPr="00E00B35">
        <w:rPr>
          <w:rFonts w:cs="Verdana"/>
          <w:color w:val="000000"/>
          <w:szCs w:val="20"/>
        </w:rPr>
        <w:t xml:space="preserve"> festiwalu.</w:t>
      </w:r>
    </w:p>
    <w:p w:rsidR="00B86812" w:rsidRPr="00E00B35" w:rsidRDefault="00B86812" w:rsidP="00E00B35">
      <w:pPr>
        <w:spacing w:after="0" w:line="312" w:lineRule="auto"/>
        <w:rPr>
          <w:rFonts w:cs="Verdana"/>
          <w:color w:val="000000"/>
          <w:szCs w:val="20"/>
        </w:rPr>
      </w:pPr>
    </w:p>
    <w:p w:rsidR="00B86812" w:rsidRPr="00E00B35" w:rsidRDefault="00B86812" w:rsidP="00E00B35">
      <w:pPr>
        <w:spacing w:after="0" w:line="312" w:lineRule="auto"/>
        <w:rPr>
          <w:rFonts w:cs="Verdana"/>
          <w:color w:val="000000"/>
          <w:szCs w:val="20"/>
        </w:rPr>
      </w:pPr>
    </w:p>
    <w:p w:rsidR="00B86812" w:rsidRPr="00E00B35" w:rsidRDefault="00B86812" w:rsidP="00E00B35">
      <w:pPr>
        <w:spacing w:after="0" w:line="312" w:lineRule="auto"/>
        <w:rPr>
          <w:rFonts w:cs="Verdana"/>
          <w:color w:val="000000"/>
          <w:szCs w:val="20"/>
        </w:rPr>
      </w:pPr>
    </w:p>
    <w:p w:rsidR="00B86812" w:rsidRPr="00E00B35" w:rsidRDefault="00B86812" w:rsidP="00E00B35">
      <w:pPr>
        <w:spacing w:after="0" w:line="312" w:lineRule="auto"/>
        <w:rPr>
          <w:rFonts w:cs="Verdana"/>
          <w:color w:val="000000"/>
          <w:szCs w:val="20"/>
        </w:rPr>
      </w:pPr>
    </w:p>
    <w:p w:rsidR="00B86812" w:rsidRPr="00E00B35" w:rsidRDefault="00B86812" w:rsidP="00E00B35">
      <w:pPr>
        <w:autoSpaceDE w:val="0"/>
        <w:autoSpaceDN w:val="0"/>
        <w:adjustRightInd w:val="0"/>
        <w:spacing w:after="0" w:line="312" w:lineRule="auto"/>
        <w:rPr>
          <w:b/>
          <w:szCs w:val="20"/>
        </w:rPr>
      </w:pPr>
      <w:r w:rsidRPr="00E00B35">
        <w:rPr>
          <w:rStyle w:val="Nagwek5Znak"/>
          <w:szCs w:val="20"/>
        </w:rPr>
        <w:t>Bądź bezpieczny we Wrocławiu</w:t>
      </w:r>
      <w:r w:rsidRPr="00E00B35">
        <w:rPr>
          <w:rStyle w:val="Nagwek5Znak"/>
          <w:szCs w:val="20"/>
        </w:rPr>
        <w:br/>
      </w:r>
      <w:r w:rsidRPr="00E00B35">
        <w:rPr>
          <w:b/>
          <w:szCs w:val="20"/>
        </w:rPr>
        <w:t>750.75075.W4300+999-JUP-08 zad. WBZ/B/05</w:t>
      </w:r>
    </w:p>
    <w:p w:rsidR="00B86812" w:rsidRPr="00E00B35" w:rsidRDefault="00B86812" w:rsidP="00E00B35">
      <w:pPr>
        <w:pStyle w:val="Bezodstpw"/>
        <w:spacing w:line="312" w:lineRule="auto"/>
        <w:rPr>
          <w:rFonts w:ascii="Verdana" w:eastAsia="Verdana" w:hAnsi="Verdana" w:cs="Verdana"/>
          <w:sz w:val="20"/>
          <w:szCs w:val="20"/>
          <w:lang w:eastAsia="pl-PL"/>
        </w:rPr>
      </w:pPr>
      <w:r w:rsidRPr="00E00B35">
        <w:rPr>
          <w:rFonts w:ascii="Verdana" w:eastAsia="Verdana" w:hAnsi="Verdana" w:cs="Verdana"/>
          <w:sz w:val="20"/>
          <w:szCs w:val="20"/>
          <w:lang w:eastAsia="pl-PL"/>
        </w:rPr>
        <w:t>W związku ze złagodzeniem obostrzeń rządowych, pozwalającym na wznowienie funkcjonowania, choć wciąż z zachowaniem reżimu sanitarnego, wrocławskich atrakcji turystycznych, WPM przygotowało kampanię „Bądź bezpieczny we Wrocławiu/Stay safe in Wroclaw”. Celem kampanii jest dbałość o odwiedzających nasze miasto i jego atrakcje, poprzez poinformowanie, w jaki sposób lepiej zadbać o swoje bezpieczeństwo.</w:t>
      </w:r>
    </w:p>
    <w:p w:rsidR="00B86812" w:rsidRPr="00E00B35" w:rsidRDefault="00B86812" w:rsidP="00E00B35">
      <w:pPr>
        <w:pStyle w:val="Bezodstpw"/>
        <w:spacing w:line="312" w:lineRule="auto"/>
        <w:rPr>
          <w:rFonts w:ascii="Verdana" w:eastAsia="Verdana" w:hAnsi="Verdana" w:cs="Verdana"/>
          <w:sz w:val="20"/>
          <w:szCs w:val="20"/>
          <w:lang w:eastAsia="pl-PL"/>
        </w:rPr>
      </w:pPr>
      <w:r w:rsidRPr="00E00B35">
        <w:rPr>
          <w:rFonts w:ascii="Verdana" w:eastAsia="Verdana" w:hAnsi="Verdana" w:cs="Verdana"/>
          <w:sz w:val="20"/>
          <w:szCs w:val="20"/>
          <w:lang w:eastAsia="pl-PL"/>
        </w:rPr>
        <w:t xml:space="preserve">Wielu mieszkańców i gości Wrocławia ma szereg obaw wynikających z wciąż obecnego ryzyka zachorowania na COVID-19. Przygotowana kampania – spójna tak w środkach komunikacji miejskiej, jak i w centrach przesiadkowych, hotelach </w:t>
      </w:r>
      <w:r w:rsidRPr="00E00B35">
        <w:rPr>
          <w:rFonts w:ascii="Verdana" w:eastAsia="Verdana" w:hAnsi="Verdana" w:cs="Verdana"/>
          <w:sz w:val="20"/>
          <w:szCs w:val="20"/>
          <w:lang w:eastAsia="pl-PL"/>
        </w:rPr>
        <w:br/>
        <w:t xml:space="preserve">i miejscach spędzania wolnego czasu – ma na celu zracjonalizowanie tych obaw. </w:t>
      </w:r>
    </w:p>
    <w:p w:rsidR="00B86812" w:rsidRPr="00E00B35" w:rsidRDefault="00B86812" w:rsidP="00E00B35">
      <w:pPr>
        <w:pStyle w:val="Bezodstpw"/>
        <w:spacing w:line="312" w:lineRule="auto"/>
        <w:rPr>
          <w:rFonts w:ascii="Verdana" w:eastAsia="Verdana" w:hAnsi="Verdana" w:cs="Verdana"/>
          <w:sz w:val="20"/>
          <w:szCs w:val="20"/>
          <w:lang w:eastAsia="pl-PL"/>
        </w:rPr>
      </w:pPr>
    </w:p>
    <w:p w:rsidR="00B86812" w:rsidRPr="00E00B35" w:rsidRDefault="00B86812" w:rsidP="00E00B35">
      <w:pPr>
        <w:pStyle w:val="Bezodstpw"/>
        <w:spacing w:line="312" w:lineRule="auto"/>
        <w:rPr>
          <w:rFonts w:ascii="Verdana" w:eastAsia="Verdana" w:hAnsi="Verdana" w:cs="Verdana"/>
          <w:sz w:val="20"/>
          <w:szCs w:val="20"/>
          <w:lang w:eastAsia="pl-PL"/>
        </w:rPr>
      </w:pPr>
      <w:r w:rsidRPr="00E00B35">
        <w:rPr>
          <w:rFonts w:ascii="Verdana" w:eastAsia="Verdana" w:hAnsi="Verdana" w:cs="Verdana"/>
          <w:sz w:val="20"/>
          <w:szCs w:val="20"/>
          <w:lang w:eastAsia="pl-PL"/>
        </w:rPr>
        <w:t>Na kampanię składają się następujące elementy przygotowane w jednym sznycie graficznym:</w:t>
      </w:r>
    </w:p>
    <w:p w:rsidR="00B86812" w:rsidRPr="00E00B35" w:rsidRDefault="00B86812" w:rsidP="00E00B35">
      <w:pPr>
        <w:numPr>
          <w:ilvl w:val="0"/>
          <w:numId w:val="131"/>
        </w:numPr>
        <w:spacing w:after="0" w:line="312" w:lineRule="auto"/>
        <w:ind w:left="426" w:hanging="426"/>
        <w:rPr>
          <w:bCs/>
          <w:szCs w:val="20"/>
        </w:rPr>
      </w:pPr>
      <w:r w:rsidRPr="00E00B35">
        <w:rPr>
          <w:bCs/>
          <w:szCs w:val="20"/>
        </w:rPr>
        <w:t>okrągłe nalepki podłogowe przypominające o zachowaniu odległości 2 metrów</w:t>
      </w:r>
    </w:p>
    <w:p w:rsidR="00B86812" w:rsidRPr="00E00B35" w:rsidRDefault="00B86812" w:rsidP="00E00B35">
      <w:pPr>
        <w:numPr>
          <w:ilvl w:val="0"/>
          <w:numId w:val="131"/>
        </w:numPr>
        <w:spacing w:after="0" w:line="312" w:lineRule="auto"/>
        <w:ind w:left="426" w:hanging="426"/>
        <w:rPr>
          <w:bCs/>
          <w:szCs w:val="20"/>
        </w:rPr>
      </w:pPr>
      <w:r w:rsidRPr="00E00B35">
        <w:rPr>
          <w:bCs/>
          <w:szCs w:val="20"/>
        </w:rPr>
        <w:lastRenderedPageBreak/>
        <w:t>"wycieraczki z rebusami" - prostokątne nalepki podłogowe przypominające o zachowaniu właściwego odstępu, przykuwające uwagę dzięki stymulującej kreacji</w:t>
      </w:r>
    </w:p>
    <w:p w:rsidR="00B86812" w:rsidRPr="00E00B35" w:rsidRDefault="00B86812" w:rsidP="00E00B35">
      <w:pPr>
        <w:numPr>
          <w:ilvl w:val="0"/>
          <w:numId w:val="131"/>
        </w:numPr>
        <w:spacing w:after="0" w:line="312" w:lineRule="auto"/>
        <w:ind w:left="426" w:hanging="426"/>
        <w:rPr>
          <w:bCs/>
          <w:szCs w:val="20"/>
        </w:rPr>
      </w:pPr>
      <w:r w:rsidRPr="00E00B35">
        <w:rPr>
          <w:bCs/>
          <w:szCs w:val="20"/>
        </w:rPr>
        <w:t>plakaty informacyjne „noś maseczkę”</w:t>
      </w:r>
    </w:p>
    <w:p w:rsidR="00B86812" w:rsidRPr="00E00B35" w:rsidRDefault="00B86812" w:rsidP="00E00B35">
      <w:pPr>
        <w:numPr>
          <w:ilvl w:val="0"/>
          <w:numId w:val="131"/>
        </w:numPr>
        <w:spacing w:after="0" w:line="312" w:lineRule="auto"/>
        <w:ind w:left="426" w:hanging="426"/>
        <w:rPr>
          <w:bCs/>
          <w:szCs w:val="20"/>
        </w:rPr>
      </w:pPr>
      <w:r w:rsidRPr="00E00B35">
        <w:rPr>
          <w:bCs/>
          <w:szCs w:val="20"/>
        </w:rPr>
        <w:t>plakaty informacyjno-edukacyjne nt. podstawowych zasad postępowania</w:t>
      </w:r>
    </w:p>
    <w:p w:rsidR="00B86812" w:rsidRPr="00E00B35" w:rsidRDefault="00B86812" w:rsidP="00E00B35">
      <w:pPr>
        <w:numPr>
          <w:ilvl w:val="0"/>
          <w:numId w:val="131"/>
        </w:numPr>
        <w:spacing w:after="0" w:line="312" w:lineRule="auto"/>
        <w:ind w:left="426" w:hanging="426"/>
        <w:rPr>
          <w:bCs/>
          <w:szCs w:val="20"/>
        </w:rPr>
      </w:pPr>
      <w:r w:rsidRPr="00E00B35">
        <w:rPr>
          <w:bCs/>
          <w:szCs w:val="20"/>
        </w:rPr>
        <w:t>plakaty "toaletowe", informujące o zasadach sanitarnych</w:t>
      </w:r>
    </w:p>
    <w:p w:rsidR="00B86812" w:rsidRPr="00E00B35" w:rsidRDefault="00B86812" w:rsidP="00E00B35">
      <w:pPr>
        <w:numPr>
          <w:ilvl w:val="0"/>
          <w:numId w:val="131"/>
        </w:numPr>
        <w:spacing w:after="0" w:line="312" w:lineRule="auto"/>
        <w:ind w:left="426" w:hanging="426"/>
        <w:rPr>
          <w:bCs/>
          <w:szCs w:val="20"/>
        </w:rPr>
      </w:pPr>
      <w:r w:rsidRPr="00E00B35">
        <w:rPr>
          <w:bCs/>
          <w:szCs w:val="20"/>
        </w:rPr>
        <w:t>stojaki "powierzchnia zdezynfekowana" do umieszczenia na publicznych stołach konsumpcyjnych.</w:t>
      </w:r>
    </w:p>
    <w:p w:rsidR="00B86812" w:rsidRPr="00E00B35" w:rsidRDefault="00B86812" w:rsidP="00E00B35">
      <w:pPr>
        <w:pStyle w:val="Bezodstpw"/>
        <w:spacing w:line="312" w:lineRule="auto"/>
        <w:rPr>
          <w:rFonts w:ascii="Verdana" w:eastAsia="Verdana" w:hAnsi="Verdana" w:cs="Verdana"/>
          <w:sz w:val="20"/>
          <w:szCs w:val="20"/>
          <w:lang w:eastAsia="pl-PL"/>
        </w:rPr>
      </w:pPr>
    </w:p>
    <w:p w:rsidR="00B86812" w:rsidRPr="00E00B35" w:rsidRDefault="00B86812" w:rsidP="00E00B35">
      <w:pPr>
        <w:pStyle w:val="Bezodstpw"/>
        <w:spacing w:line="312" w:lineRule="auto"/>
        <w:rPr>
          <w:rFonts w:ascii="Verdana" w:eastAsia="Verdana" w:hAnsi="Verdana" w:cs="Verdana"/>
          <w:sz w:val="20"/>
          <w:szCs w:val="20"/>
        </w:rPr>
      </w:pPr>
      <w:r w:rsidRPr="00E00B35">
        <w:rPr>
          <w:rFonts w:ascii="Verdana" w:eastAsia="Verdana" w:hAnsi="Verdana" w:cs="Verdana"/>
          <w:sz w:val="20"/>
          <w:szCs w:val="20"/>
          <w:lang w:eastAsia="pl-PL"/>
        </w:rPr>
        <w:t>W ramach kampanii wyprodukowano także środki ochrony (żele antybakteryjne, maczki itp.) oraz filmy promocyjne o tematyce społecznej związanej z obecną sytuacją epidemiologiczną – miały na celu zmobilizować mieszkańców Wrocławia do przestrzegania zasad, umocnić solidarność społeczną, a także dać nadzieję na lepsze jutro. W mieście ustawiono także 9 maseczkomatów w 7 lokalizacj</w:t>
      </w:r>
      <w:r w:rsidRPr="00E00B35">
        <w:rPr>
          <w:rFonts w:ascii="Verdana" w:eastAsia="Verdana" w:hAnsi="Verdana" w:cs="Verdana"/>
          <w:sz w:val="20"/>
          <w:szCs w:val="20"/>
        </w:rPr>
        <w:t xml:space="preserve">ach. </w:t>
      </w:r>
    </w:p>
    <w:p w:rsidR="00B86812" w:rsidRPr="00E00B35" w:rsidRDefault="00B86812" w:rsidP="00E00B35">
      <w:pPr>
        <w:spacing w:after="0" w:line="312" w:lineRule="auto"/>
        <w:rPr>
          <w:rFonts w:eastAsia="Verdana" w:cs="Verdana"/>
          <w:szCs w:val="20"/>
        </w:rPr>
      </w:pPr>
      <w:r w:rsidRPr="00E00B35">
        <w:rPr>
          <w:rFonts w:eastAsia="Verdana" w:cs="Verdana"/>
          <w:szCs w:val="20"/>
        </w:rPr>
        <w:t xml:space="preserve">WPM koordynowało również współpracę z firmami które niosły pomoc mieszkańcom. W ramach tej pomocy przekazano, m.in. środki ochrony osobistej dla szpitali oraz  pogotowia ratunkowego, sprzęt AGD, sprzęt audiowizualny, sprzęt komputerowy (ok. 150 szt. m.in. dla dzieci z rodzinnych domów dziecka, placówek opiekuńczo-wychowawczych), kilkaset posiłków, siano dla schroniska dla koni, 10 zestawów KTG dla mieszkanek Wrocławia. </w:t>
      </w:r>
    </w:p>
    <w:p w:rsidR="009F75D3" w:rsidRPr="00E00B35" w:rsidRDefault="009F75D3" w:rsidP="00E00B35">
      <w:pPr>
        <w:autoSpaceDE w:val="0"/>
        <w:autoSpaceDN w:val="0"/>
        <w:adjustRightInd w:val="0"/>
        <w:spacing w:after="0" w:line="312" w:lineRule="auto"/>
        <w:rPr>
          <w:b/>
          <w:szCs w:val="20"/>
        </w:rPr>
      </w:pPr>
    </w:p>
    <w:p w:rsidR="00B86812" w:rsidRPr="00E00B35" w:rsidRDefault="009F75D3" w:rsidP="00E00B35">
      <w:pPr>
        <w:pStyle w:val="Nagwek5"/>
        <w:rPr>
          <w:szCs w:val="20"/>
        </w:rPr>
      </w:pPr>
      <w:r w:rsidRPr="00E00B35">
        <w:rPr>
          <w:szCs w:val="20"/>
        </w:rPr>
        <w:t>D</w:t>
      </w:r>
      <w:r w:rsidR="00B86812" w:rsidRPr="00E00B35">
        <w:rPr>
          <w:szCs w:val="20"/>
        </w:rPr>
        <w:t>awno Cię tu nie było – spotkajmy się we Wrocławiu</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rFonts w:eastAsia="Verdana" w:cs="Verdana"/>
          <w:szCs w:val="20"/>
        </w:rPr>
      </w:pPr>
      <w:r w:rsidRPr="00E00B35">
        <w:rPr>
          <w:rFonts w:eastAsia="Verdana" w:cs="Verdana"/>
          <w:szCs w:val="20"/>
        </w:rPr>
        <w:t xml:space="preserve">1 lipca ruszyła kampania Dawno Cię tu nie było – spotkajmy się we Wrocławiu pokazująca największe atrakcje miasta i zapraszająca na wypoczynek i bezpłatne spacery z przewodnikiem. W ramach kampanii w kilkunastu największych miastach Polski na niemal 300 nośnikach zawisły 3 kreacje Wrocławia. Kampania trwa do 15 lipca. Oprócz działań outdoorowych, media plan zawiera promocję </w:t>
      </w:r>
      <w:r w:rsidRPr="00E00B35">
        <w:rPr>
          <w:rFonts w:eastAsia="Verdana" w:cs="Verdana"/>
          <w:szCs w:val="20"/>
        </w:rPr>
        <w:br/>
        <w:t xml:space="preserve">w Radiu ZET oraz tytułach należących do Edipresse Polska, Bauer Media Group </w:t>
      </w:r>
      <w:r w:rsidRPr="00E00B35">
        <w:rPr>
          <w:rFonts w:eastAsia="Verdana" w:cs="Verdana"/>
          <w:szCs w:val="20"/>
        </w:rPr>
        <w:br/>
        <w:t>i Burda Media Polska.</w:t>
      </w:r>
    </w:p>
    <w:p w:rsidR="00B86812" w:rsidRPr="00E00B35" w:rsidRDefault="00B86812" w:rsidP="00E00B35">
      <w:pPr>
        <w:spacing w:after="0" w:line="312" w:lineRule="auto"/>
        <w:rPr>
          <w:rFonts w:eastAsia="Verdana" w:cs="Verdana"/>
          <w:szCs w:val="20"/>
        </w:rPr>
      </w:pPr>
      <w:r w:rsidRPr="00E00B35">
        <w:rPr>
          <w:rFonts w:eastAsia="Verdana" w:cs="Verdana"/>
          <w:szCs w:val="20"/>
        </w:rPr>
        <w:t xml:space="preserve">Projekty graficzne i koncepcja kampanii powstały w WPM. Wydział zorganizował także sesję na potrzeby kampanii. Za obsługę medialną odpowiada agencja Platinium Cast. W ramach współpracy agencja odpowiadać będzie za kontakt </w:t>
      </w:r>
      <w:r w:rsidRPr="00E00B35">
        <w:rPr>
          <w:rFonts w:eastAsia="Verdana" w:cs="Verdana"/>
          <w:szCs w:val="20"/>
        </w:rPr>
        <w:br/>
        <w:t xml:space="preserve">z mediami i influencerami. </w:t>
      </w:r>
    </w:p>
    <w:p w:rsidR="00B86812" w:rsidRPr="00E00B35" w:rsidRDefault="00B86812" w:rsidP="00E00B35">
      <w:pPr>
        <w:spacing w:after="0" w:line="312" w:lineRule="auto"/>
        <w:rPr>
          <w:rFonts w:eastAsia="Verdana" w:cs="Verdana"/>
          <w:szCs w:val="20"/>
        </w:rPr>
      </w:pPr>
    </w:p>
    <w:p w:rsidR="00B86812" w:rsidRPr="00E00B35" w:rsidRDefault="00B86812" w:rsidP="00E00B35">
      <w:pPr>
        <w:pStyle w:val="Nagwek5"/>
        <w:rPr>
          <w:szCs w:val="20"/>
        </w:rPr>
      </w:pPr>
      <w:r w:rsidRPr="00E00B35">
        <w:rPr>
          <w:szCs w:val="20"/>
        </w:rPr>
        <w:t>Kampania rowerowa „W kółko kręcę dla Wrocławia”</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szCs w:val="20"/>
        </w:rPr>
      </w:pPr>
      <w:r w:rsidRPr="00E00B35">
        <w:rPr>
          <w:szCs w:val="20"/>
        </w:rPr>
        <w:t xml:space="preserve">Celem kampanii jest promocja ruchu rowerowego w drodze do pracy, szkoły i na uczelnie oraz popularyzacja roweru jako całorocznego, szybkiego, zdrowego, taniego i niezależnego środka transportu.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Pierwsza edycja rowerowej rywalizacji „W kółko kręcę”. Odbyła się w dniach od 1 października do 30 listopada 2020 roku. Mimo trudnych warunków spowodowanych trwającą pandemią wzięło w niej aktywny udział prawie 1500 osób, aktywnie jeżdżących </w:t>
      </w:r>
      <w:r w:rsidRPr="00E00B35">
        <w:rPr>
          <w:szCs w:val="20"/>
        </w:rPr>
        <w:lastRenderedPageBreak/>
        <w:t xml:space="preserve">blisko 1000 osób, którzy razem prawie 8-krotnie okrążyli Ziemię (316 890 km) oraz wykonali blisko 50 tysięcy przejazdów (49 948). Celem rywalizacji było przekonanie wrocławian do roweru jako całorocznego, szybkiego, zdrowego, taniego i niezależnego środka transportu po mieście oraz przedłużenie tzw. sezonu rowerowego. </w:t>
      </w:r>
    </w:p>
    <w:p w:rsidR="00B86812" w:rsidRPr="00E00B35" w:rsidRDefault="00B86812" w:rsidP="00E00B35">
      <w:pPr>
        <w:spacing w:after="0" w:line="312" w:lineRule="auto"/>
        <w:rPr>
          <w:szCs w:val="20"/>
        </w:rPr>
      </w:pPr>
      <w:r w:rsidRPr="00E00B35">
        <w:rPr>
          <w:szCs w:val="20"/>
        </w:rPr>
        <w:t xml:space="preserve">Z przeprowadzonej po zakończeniu projektu ankiety ewaluacyjnej wynika, że jego założenia zostały osiągnięte. 48% z blisko 400 ankietowanych potwierdziło, że rywalizacja przyczyniła się do korzystania z roweru w okresie jesiennym. Około 25% osób, aby wziąć udział w grze przesiadło się z innego środka transportu na rower. 87% jeździło na rowerze niezależnie od warunków pogodowych </w:t>
      </w:r>
      <w:r w:rsidRPr="00E00B35">
        <w:rPr>
          <w:szCs w:val="20"/>
        </w:rPr>
        <w:br/>
        <w:t xml:space="preserve">i infrastrukturalnych. </w:t>
      </w:r>
    </w:p>
    <w:p w:rsidR="00B86812" w:rsidRPr="00E00B35" w:rsidRDefault="00B86812" w:rsidP="00E00B35">
      <w:pPr>
        <w:spacing w:after="0" w:line="312" w:lineRule="auto"/>
        <w:rPr>
          <w:szCs w:val="20"/>
        </w:rPr>
      </w:pPr>
      <w:r w:rsidRPr="00E00B35">
        <w:rPr>
          <w:szCs w:val="20"/>
        </w:rPr>
        <w:t>Bezkonkurencyjna pośród rywalizujących grup była Politechnika Wrocławska, która przejechała 25 688 km. Zdobywca pierwszego miejsca, uczestnik o pseudonimie Jacet1, przejechał 2 052 km.</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 rywalizacji zostało nagrodzonych ponad 160 osób. Trójka najlepszych uczestników otrzymała rowery ufundowane przez sklep RoweryStylowe.pl, </w:t>
      </w:r>
      <w:r w:rsidRPr="00E00B35">
        <w:rPr>
          <w:szCs w:val="20"/>
        </w:rPr>
        <w:br/>
        <w:t xml:space="preserve">a pozostali wytrwali rowerzyści sakwy, płaszcze i przeciwdeszczowe ochraniacze na buty oraz bluzy. Pojawiły się też nagrody specjalne od naszych partnerów – darmowe serwisy dla najlepszych pracowników i studentów (serwis LAZARET.PL </w:t>
      </w:r>
      <w:r w:rsidRPr="00E00B35">
        <w:rPr>
          <w:szCs w:val="20"/>
        </w:rPr>
        <w:br/>
        <w:t xml:space="preserve">i Hultaj) oraz darmowy kurs języka angielskiego dla najlepszego ucznia oraz wskazanego przez niego rodzinnego domu dziecka od Szkoły Językowej HELLO. Dodatkowo w trakcie konkursu regularnie jeżdżący uczestnicy otrzymywali nagrody od naszych partnerów – bilety i zniżki do muzeów, na koncerty i na ścianki wspinaczkowe oraz zniżki na serwisy rowerowe. </w:t>
      </w:r>
    </w:p>
    <w:p w:rsidR="00B86812" w:rsidRPr="00E00B35" w:rsidRDefault="00B86812" w:rsidP="00E00B35">
      <w:pPr>
        <w:spacing w:after="0" w:line="312" w:lineRule="auto"/>
        <w:rPr>
          <w:szCs w:val="20"/>
        </w:rPr>
      </w:pPr>
      <w:r w:rsidRPr="00E00B35">
        <w:rPr>
          <w:szCs w:val="20"/>
        </w:rPr>
        <w:t xml:space="preserve">Rywalizacja była prowadzona za pomocą aplikacji mobilnej. Przygotowano spot promocyjny i dedykowaną stronę internetową. </w:t>
      </w:r>
    </w:p>
    <w:p w:rsidR="00B86812" w:rsidRPr="00E00B35" w:rsidRDefault="00B86812" w:rsidP="00E00B35">
      <w:pPr>
        <w:spacing w:after="0" w:line="312" w:lineRule="auto"/>
        <w:rPr>
          <w:rFonts w:eastAsia="Verdana" w:cs="Verdana"/>
          <w:szCs w:val="20"/>
        </w:rPr>
      </w:pPr>
    </w:p>
    <w:p w:rsidR="00B86812" w:rsidRPr="00E00B35" w:rsidRDefault="00B86812" w:rsidP="00E00B35">
      <w:pPr>
        <w:pStyle w:val="Nagwek5"/>
        <w:rPr>
          <w:szCs w:val="20"/>
        </w:rPr>
      </w:pPr>
      <w:r w:rsidRPr="00E00B35">
        <w:rPr>
          <w:szCs w:val="20"/>
        </w:rPr>
        <w:t>Promocja filmu „Twój Vincent”</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szCs w:val="20"/>
        </w:rPr>
      </w:pPr>
      <w:r w:rsidRPr="00E00B35">
        <w:rPr>
          <w:szCs w:val="20"/>
        </w:rPr>
        <w:t xml:space="preserve">Miasto jest właścicielem kolekcji obrazów – kadrów z filmu „Twój Vincent”, które udostępnia szerokiej publiczności podczas wystaw, w kraju i zagranicą. </w:t>
      </w:r>
      <w:r w:rsidRPr="00E00B35">
        <w:rPr>
          <w:szCs w:val="20"/>
        </w:rPr>
        <w:br/>
        <w:t>W pierwszej połowie roku wypożyczono obrazy z filmu „Twój Vincent” na wystawę w Teatrze im. Heleny Modrzejewskiej w Legnicy. Wypożyczenie obrazów nastąpiło 2 marca, zwrot 29 maja.</w:t>
      </w:r>
    </w:p>
    <w:p w:rsidR="00B86812" w:rsidRPr="00E00B35" w:rsidRDefault="00B86812" w:rsidP="00E00B35">
      <w:pPr>
        <w:spacing w:after="0" w:line="312" w:lineRule="auto"/>
        <w:rPr>
          <w:rFonts w:cs="Verdana"/>
          <w:b/>
          <w:bCs/>
          <w:szCs w:val="20"/>
        </w:rPr>
      </w:pPr>
    </w:p>
    <w:p w:rsidR="00B86812" w:rsidRPr="00E00B35" w:rsidRDefault="00B86812" w:rsidP="00E00B35">
      <w:pPr>
        <w:pStyle w:val="Nagwek5"/>
        <w:rPr>
          <w:szCs w:val="20"/>
        </w:rPr>
      </w:pPr>
      <w:r w:rsidRPr="00E00B35">
        <w:rPr>
          <w:szCs w:val="20"/>
        </w:rPr>
        <w:t>Edukacja regionalna – budowanie tożsamości lokalnej</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szCs w:val="20"/>
        </w:rPr>
      </w:pPr>
      <w:r w:rsidRPr="00E00B35">
        <w:rPr>
          <w:szCs w:val="20"/>
        </w:rPr>
        <w:t xml:space="preserve">Przygotowanie całościowej koncepcji projektu edukacji regionalnej </w:t>
      </w:r>
      <w:r w:rsidRPr="00E00B35">
        <w:rPr>
          <w:szCs w:val="20"/>
        </w:rPr>
        <w:br/>
        <w:t xml:space="preserve">do zrealizowania w najbliższych latach. Projekt ten ma przybliżać mieszkańcom </w:t>
      </w:r>
      <w:r w:rsidRPr="00E00B35">
        <w:rPr>
          <w:szCs w:val="20"/>
        </w:rPr>
        <w:br/>
        <w:t xml:space="preserve">i turystom ważne aspekty związane między innymi z historią samorządności we Wrocławiu, od powstania miasta do czasów obecnych, promocja znaków miasta w tym herbu Wrocławia i flagi. Ważnym aspektem projektu jest edukacja w szkołach na dostosowanym do wieku poziomie. W ramach projektu zakładamy ścisłą współpracę z </w:t>
      </w:r>
      <w:r w:rsidRPr="00E00B35">
        <w:rPr>
          <w:szCs w:val="20"/>
        </w:rPr>
        <w:lastRenderedPageBreak/>
        <w:t xml:space="preserve">wrocławskimi regionalistami w tym pracownikami Uniwersytetu Wrocławskiego, przewodnikami miejskimi, pracownikami naukowymi bibliotek, w tym Biblioteki Uniwersyteckiej, Archiwum Państwowym we Wrocławiu oraz instytucjami kształcenia zawodowego nauczycieli.  Projekt obejmuje także przygotowanie materiałów promocyjno-dydaktycznych w rożnych formach w tym lekcji dla nauczycieli, materiałów promocyjnych dla dzieci, materiałów promocyjnych dla gości odwiedzających miasto, w tym ważnych gości Prezydenta Wrocławia. W przyszłości planowane są kolejne działania, w tym zamieszczenie we wszystkich wrocławskich instytucjach  herbu Wrocławia, przygotowania wystawy zdjęć herbu Wrocławia w detalu architektonicznym, nagrania filmów promujących insygnia miasta. Współpraca przy wydaniu książki o herbie Wrocławia, którą przygotowuje profesor Żerelik. </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Zgromadzenie Związku Miast Polskich</w:t>
      </w:r>
    </w:p>
    <w:p w:rsidR="00B86812" w:rsidRPr="00E00B35" w:rsidRDefault="00B86812" w:rsidP="00E00B35">
      <w:pPr>
        <w:autoSpaceDE w:val="0"/>
        <w:autoSpaceDN w:val="0"/>
        <w:adjustRightInd w:val="0"/>
        <w:spacing w:after="0" w:line="312" w:lineRule="auto"/>
        <w:rPr>
          <w:b/>
          <w:szCs w:val="20"/>
        </w:rPr>
      </w:pPr>
      <w:r w:rsidRPr="00E00B35">
        <w:rPr>
          <w:b/>
          <w:szCs w:val="20"/>
        </w:rPr>
        <w:t>630.63003.W2810-JUP-08 zad. BPM/B/07</w:t>
      </w:r>
    </w:p>
    <w:p w:rsidR="00B86812" w:rsidRPr="00E00B35" w:rsidRDefault="00B86812" w:rsidP="00E00B35">
      <w:pPr>
        <w:shd w:val="clear" w:color="auto" w:fill="FFFFFF"/>
        <w:spacing w:after="0" w:line="312" w:lineRule="auto"/>
        <w:rPr>
          <w:rFonts w:cs="Verdana"/>
          <w:bCs/>
          <w:szCs w:val="20"/>
        </w:rPr>
      </w:pPr>
      <w:r w:rsidRPr="00E00B35">
        <w:rPr>
          <w:rFonts w:cs="Arial"/>
          <w:spacing w:val="4"/>
          <w:szCs w:val="20"/>
        </w:rPr>
        <w:t>Przez dwa dni, 5 i 6 marca, Wrocław był samorządową stolicą Polski. Odbywało się tu zgromadzenie ogólne Związku Miast Polskich.</w:t>
      </w:r>
      <w:r w:rsidRPr="00E00B35">
        <w:rPr>
          <w:rFonts w:cs="Verdana"/>
          <w:bCs/>
          <w:szCs w:val="20"/>
        </w:rPr>
        <w:t xml:space="preserve"> </w:t>
      </w:r>
    </w:p>
    <w:p w:rsidR="00B86812" w:rsidRPr="00E00B35" w:rsidRDefault="00B86812" w:rsidP="00E00B35">
      <w:pPr>
        <w:shd w:val="clear" w:color="auto" w:fill="FFFFFF"/>
        <w:spacing w:after="0" w:line="312" w:lineRule="auto"/>
        <w:rPr>
          <w:rFonts w:cs="Verdana"/>
          <w:bCs/>
          <w:szCs w:val="20"/>
        </w:rPr>
      </w:pPr>
    </w:p>
    <w:p w:rsidR="00B86812" w:rsidRPr="00E00B35" w:rsidRDefault="00B86812" w:rsidP="00E00B35">
      <w:pPr>
        <w:shd w:val="clear" w:color="auto" w:fill="FFFFFF"/>
        <w:spacing w:after="0" w:line="312" w:lineRule="auto"/>
        <w:rPr>
          <w:rFonts w:cs="Arial"/>
          <w:spacing w:val="4"/>
          <w:szCs w:val="20"/>
        </w:rPr>
      </w:pPr>
      <w:r w:rsidRPr="00E00B35">
        <w:rPr>
          <w:rFonts w:cs="Verdana"/>
          <w:bCs/>
          <w:szCs w:val="20"/>
        </w:rPr>
        <w:t xml:space="preserve">W Hotelu Haston spotkało się </w:t>
      </w:r>
      <w:r w:rsidRPr="00E00B35">
        <w:rPr>
          <w:rFonts w:cs="Arial"/>
          <w:spacing w:val="4"/>
          <w:szCs w:val="20"/>
        </w:rPr>
        <w:t xml:space="preserve">350 przedstawicieli polskich miast, ekspertów </w:t>
      </w:r>
      <w:r w:rsidRPr="00E00B35">
        <w:rPr>
          <w:rFonts w:cs="Arial"/>
          <w:spacing w:val="4"/>
          <w:szCs w:val="20"/>
        </w:rPr>
        <w:br/>
        <w:t>i gości, dziennikarzy, którzy dyskutowali i uchwalali stanowiska i apele. Była to okazja do promocji Wrocławia. Uczestnicy mieli możliwość zwiedzić Wrocław oraz największe wrocławskie atrakcje, m.in. ZOO.</w:t>
      </w:r>
    </w:p>
    <w:p w:rsidR="00B86812" w:rsidRPr="00E00B35" w:rsidRDefault="00B86812" w:rsidP="00E00B35">
      <w:pPr>
        <w:spacing w:after="0" w:line="312" w:lineRule="auto"/>
        <w:rPr>
          <w:b/>
          <w:bCs/>
          <w:szCs w:val="20"/>
          <w:highlight w:val="yellow"/>
        </w:rPr>
      </w:pPr>
    </w:p>
    <w:p w:rsidR="00B86812" w:rsidRPr="00E00B35" w:rsidRDefault="00B86812" w:rsidP="00E00B35">
      <w:pPr>
        <w:pStyle w:val="Nagwek5"/>
        <w:rPr>
          <w:szCs w:val="20"/>
        </w:rPr>
      </w:pPr>
      <w:r w:rsidRPr="00E00B35">
        <w:rPr>
          <w:szCs w:val="20"/>
        </w:rPr>
        <w:t>Akademicki Wrocław (współpraca z ARAW)</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keepNext/>
        <w:autoSpaceDE w:val="0"/>
        <w:autoSpaceDN w:val="0"/>
        <w:adjustRightInd w:val="0"/>
        <w:spacing w:after="0" w:line="312" w:lineRule="auto"/>
        <w:rPr>
          <w:rFonts w:cs="Verdana"/>
          <w:bCs/>
          <w:szCs w:val="20"/>
        </w:rPr>
      </w:pPr>
      <w:r w:rsidRPr="00E00B35">
        <w:rPr>
          <w:rFonts w:cs="Verdana"/>
          <w:bCs/>
          <w:szCs w:val="20"/>
        </w:rPr>
        <w:t>W ramach projektu wykonano następujące działania:</w:t>
      </w:r>
    </w:p>
    <w:p w:rsidR="00B86812" w:rsidRPr="00E00B35" w:rsidRDefault="00B86812" w:rsidP="00E00B35">
      <w:pPr>
        <w:numPr>
          <w:ilvl w:val="0"/>
          <w:numId w:val="131"/>
        </w:numPr>
        <w:spacing w:after="0" w:line="312" w:lineRule="auto"/>
        <w:ind w:left="426" w:hanging="426"/>
        <w:rPr>
          <w:bCs/>
          <w:szCs w:val="20"/>
        </w:rPr>
      </w:pPr>
      <w:r w:rsidRPr="00E00B35">
        <w:rPr>
          <w:bCs/>
          <w:szCs w:val="20"/>
        </w:rPr>
        <w:t xml:space="preserve">kontynuacja prac nad strategią promocji Wrocławia jako ośrodka akademickiego w latach 2016–2021 </w:t>
      </w:r>
    </w:p>
    <w:p w:rsidR="00B86812" w:rsidRPr="00E00B35" w:rsidRDefault="00B86812" w:rsidP="00E00B35">
      <w:pPr>
        <w:numPr>
          <w:ilvl w:val="0"/>
          <w:numId w:val="131"/>
        </w:numPr>
        <w:spacing w:after="0" w:line="312" w:lineRule="auto"/>
        <w:ind w:left="426" w:hanging="426"/>
        <w:rPr>
          <w:bCs/>
          <w:szCs w:val="20"/>
        </w:rPr>
      </w:pPr>
      <w:r w:rsidRPr="00E00B35">
        <w:rPr>
          <w:bCs/>
          <w:szCs w:val="20"/>
        </w:rPr>
        <w:t xml:space="preserve">cykliczne spotkania z przedstawicielami biur promocji uczelni wyższych Wrocławia i koordynacja działań dotyczących umacniania wizerunku Wrocławia jako prężnego ośrodka akademickiego.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Teraz Wrocław (współpraca z ARAW)</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keepNext/>
        <w:autoSpaceDE w:val="0"/>
        <w:autoSpaceDN w:val="0"/>
        <w:adjustRightInd w:val="0"/>
        <w:spacing w:after="0" w:line="312" w:lineRule="auto"/>
        <w:rPr>
          <w:rFonts w:cs="Verdana"/>
          <w:bCs/>
          <w:szCs w:val="20"/>
        </w:rPr>
      </w:pPr>
      <w:r w:rsidRPr="00E00B35">
        <w:rPr>
          <w:rFonts w:cs="Verdana"/>
          <w:bCs/>
          <w:szCs w:val="20"/>
        </w:rPr>
        <w:t>W ramach projektu wykonano następujące działania:</w:t>
      </w:r>
    </w:p>
    <w:p w:rsidR="00B86812" w:rsidRPr="00E00B35" w:rsidRDefault="00B86812" w:rsidP="00E00B35">
      <w:pPr>
        <w:numPr>
          <w:ilvl w:val="0"/>
          <w:numId w:val="131"/>
        </w:numPr>
        <w:spacing w:after="0" w:line="312" w:lineRule="auto"/>
        <w:ind w:left="426" w:hanging="426"/>
        <w:rPr>
          <w:bCs/>
          <w:szCs w:val="20"/>
        </w:rPr>
      </w:pPr>
      <w:r w:rsidRPr="00E00B35">
        <w:rPr>
          <w:szCs w:val="20"/>
        </w:rPr>
        <w:t xml:space="preserve">udział </w:t>
      </w:r>
      <w:r w:rsidRPr="00E00B35">
        <w:rPr>
          <w:bCs/>
          <w:szCs w:val="20"/>
        </w:rPr>
        <w:t xml:space="preserve">w Targach Edukacyjnych w Kijowie (Ukraina) oraz spotkania </w:t>
      </w:r>
      <w:r w:rsidRPr="00E00B35">
        <w:rPr>
          <w:bCs/>
          <w:szCs w:val="20"/>
        </w:rPr>
        <w:br/>
        <w:t xml:space="preserve">z kandydatami na studia w miastach Ukrainy środkowej i wschodniej </w:t>
      </w:r>
    </w:p>
    <w:p w:rsidR="00B86812" w:rsidRPr="00E00B35" w:rsidRDefault="00B86812" w:rsidP="00E00B35">
      <w:pPr>
        <w:numPr>
          <w:ilvl w:val="0"/>
          <w:numId w:val="131"/>
        </w:numPr>
        <w:spacing w:after="0" w:line="312" w:lineRule="auto"/>
        <w:ind w:left="426" w:hanging="426"/>
        <w:rPr>
          <w:bCs/>
          <w:szCs w:val="20"/>
        </w:rPr>
      </w:pPr>
      <w:r w:rsidRPr="00E00B35">
        <w:rPr>
          <w:bCs/>
          <w:szCs w:val="20"/>
        </w:rPr>
        <w:t xml:space="preserve">działania ambasadorów projektu na Ukrainie </w:t>
      </w:r>
    </w:p>
    <w:p w:rsidR="00B86812" w:rsidRPr="00E00B35" w:rsidRDefault="00B86812" w:rsidP="00E00B35">
      <w:pPr>
        <w:numPr>
          <w:ilvl w:val="0"/>
          <w:numId w:val="131"/>
        </w:numPr>
        <w:spacing w:after="0" w:line="312" w:lineRule="auto"/>
        <w:ind w:left="426" w:hanging="426"/>
        <w:rPr>
          <w:bCs/>
          <w:szCs w:val="20"/>
        </w:rPr>
      </w:pPr>
      <w:r w:rsidRPr="00E00B35">
        <w:rPr>
          <w:bCs/>
          <w:szCs w:val="20"/>
        </w:rPr>
        <w:t xml:space="preserve">kontynuacja współpracy z fundacją Polska-Wschód </w:t>
      </w:r>
    </w:p>
    <w:p w:rsidR="00B86812" w:rsidRPr="00E00B35" w:rsidRDefault="00B86812" w:rsidP="00E00B35">
      <w:pPr>
        <w:numPr>
          <w:ilvl w:val="0"/>
          <w:numId w:val="131"/>
        </w:numPr>
        <w:spacing w:after="0" w:line="312" w:lineRule="auto"/>
        <w:ind w:left="426" w:hanging="426"/>
        <w:rPr>
          <w:bCs/>
          <w:szCs w:val="20"/>
        </w:rPr>
      </w:pPr>
      <w:r w:rsidRPr="00E00B35">
        <w:rPr>
          <w:bCs/>
          <w:szCs w:val="20"/>
        </w:rPr>
        <w:t xml:space="preserve">organizacja wizyt studyjnych dla maturzystów z Ukrainy </w:t>
      </w:r>
    </w:p>
    <w:p w:rsidR="00B86812" w:rsidRPr="00E00B35" w:rsidRDefault="00B86812" w:rsidP="00E00B35">
      <w:pPr>
        <w:numPr>
          <w:ilvl w:val="0"/>
          <w:numId w:val="131"/>
        </w:numPr>
        <w:spacing w:after="0" w:line="312" w:lineRule="auto"/>
        <w:ind w:left="426" w:hanging="426"/>
        <w:rPr>
          <w:bCs/>
          <w:szCs w:val="20"/>
        </w:rPr>
      </w:pPr>
      <w:r w:rsidRPr="00E00B35">
        <w:rPr>
          <w:bCs/>
          <w:szCs w:val="20"/>
        </w:rPr>
        <w:t xml:space="preserve">wzmocnienie działań promocyjnych w pozostałych krajach objętych działaniem projektu: Białoruś, Gruzja, Kazachstan, Uzbekistan, Mołdawia </w:t>
      </w:r>
    </w:p>
    <w:p w:rsidR="00B86812" w:rsidRPr="00E00B35" w:rsidRDefault="00B86812" w:rsidP="00E00B35">
      <w:pPr>
        <w:numPr>
          <w:ilvl w:val="0"/>
          <w:numId w:val="131"/>
        </w:numPr>
        <w:spacing w:after="0" w:line="312" w:lineRule="auto"/>
        <w:ind w:left="426" w:hanging="426"/>
        <w:rPr>
          <w:bCs/>
          <w:szCs w:val="20"/>
        </w:rPr>
      </w:pPr>
      <w:r w:rsidRPr="00E00B35">
        <w:rPr>
          <w:bCs/>
          <w:szCs w:val="20"/>
        </w:rPr>
        <w:t xml:space="preserve">działania informacyjno-promocyjne w Internecie i na portalach społecznościowych. </w:t>
      </w:r>
    </w:p>
    <w:p w:rsidR="00B86812" w:rsidRPr="00E00B35" w:rsidRDefault="00B86812" w:rsidP="00E00B35">
      <w:pPr>
        <w:numPr>
          <w:ilvl w:val="0"/>
          <w:numId w:val="131"/>
        </w:numPr>
        <w:spacing w:after="0" w:line="312" w:lineRule="auto"/>
        <w:ind w:left="426" w:hanging="426"/>
        <w:rPr>
          <w:szCs w:val="20"/>
        </w:rPr>
      </w:pPr>
      <w:r w:rsidRPr="00E00B35">
        <w:rPr>
          <w:bCs/>
          <w:szCs w:val="20"/>
        </w:rPr>
        <w:lastRenderedPageBreak/>
        <w:t>praca z kandydatami</w:t>
      </w:r>
      <w:r w:rsidRPr="00E00B35">
        <w:rPr>
          <w:szCs w:val="20"/>
        </w:rPr>
        <w:t xml:space="preserve"> w procesie rekrutacji. </w:t>
      </w:r>
    </w:p>
    <w:p w:rsidR="00B86812" w:rsidRPr="00E00B35" w:rsidRDefault="00B86812" w:rsidP="00E00B35">
      <w:pPr>
        <w:pStyle w:val="Default"/>
        <w:spacing w:after="0" w:line="312" w:lineRule="auto"/>
        <w:ind w:left="720"/>
        <w:rPr>
          <w:rFonts w:ascii="Verdana" w:hAnsi="Verdana"/>
          <w:sz w:val="20"/>
          <w:szCs w:val="20"/>
        </w:rPr>
      </w:pPr>
    </w:p>
    <w:p w:rsidR="00B86812" w:rsidRPr="00E00B35" w:rsidRDefault="00B86812" w:rsidP="00E00B35">
      <w:pPr>
        <w:pStyle w:val="Nagwek5"/>
        <w:rPr>
          <w:szCs w:val="20"/>
        </w:rPr>
      </w:pPr>
      <w:r w:rsidRPr="00E00B35">
        <w:rPr>
          <w:szCs w:val="20"/>
        </w:rPr>
        <w:t>Spot reklamowy „Spotkajmy się we Wrocławiu”</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color w:val="000000"/>
          <w:szCs w:val="20"/>
        </w:rPr>
      </w:pPr>
      <w:r w:rsidRPr="00E00B35">
        <w:rPr>
          <w:color w:val="000000"/>
          <w:szCs w:val="20"/>
        </w:rPr>
        <w:t>Spot reklamowy „Spotkajmy się we Wrocławiu” powstał, by zapraszać do Wrocławia latem. Pokazuje Wrocław poprzez czekających tu na turystów mieszkańców, miejsca i atrakcje. Ma cztery wersje językowe – polską, angielską, niemiecką i czeską. Został opublikowany na</w:t>
      </w:r>
      <w:r w:rsidRPr="00E00B35">
        <w:rPr>
          <w:rFonts w:eastAsia="Calibri"/>
          <w:b/>
          <w:szCs w:val="20"/>
        </w:rPr>
        <w:t xml:space="preserve"> </w:t>
      </w:r>
      <w:r w:rsidRPr="00E00B35">
        <w:rPr>
          <w:color w:val="000000"/>
          <w:szCs w:val="20"/>
        </w:rPr>
        <w:t xml:space="preserve">na fanpage’u Wroclaw [Wroclove] </w:t>
      </w:r>
      <w:r w:rsidRPr="00E00B35">
        <w:rPr>
          <w:color w:val="000000"/>
          <w:szCs w:val="20"/>
        </w:rPr>
        <w:br/>
        <w:t xml:space="preserve">i Visit Wroclaw oraz na You Tube VisitWroclaw w sierpniu, nie został jednak w pełni wykorzystany ze względu na pandemię </w:t>
      </w:r>
    </w:p>
    <w:p w:rsidR="00B86812" w:rsidRPr="00E00B35" w:rsidRDefault="00B86812" w:rsidP="00E00B35">
      <w:pPr>
        <w:spacing w:after="0" w:line="312" w:lineRule="auto"/>
        <w:rPr>
          <w:color w:val="000000"/>
          <w:szCs w:val="20"/>
        </w:rPr>
      </w:pPr>
      <w:r w:rsidRPr="00E00B35">
        <w:rPr>
          <w:color w:val="000000"/>
          <w:szCs w:val="20"/>
        </w:rPr>
        <w:t>– nie był np. emitowany w kinach.</w:t>
      </w:r>
    </w:p>
    <w:p w:rsidR="00B86812" w:rsidRPr="00E00B35" w:rsidRDefault="00B86812" w:rsidP="00E00B35">
      <w:pPr>
        <w:spacing w:after="0" w:line="312" w:lineRule="auto"/>
        <w:rPr>
          <w:color w:val="000000"/>
          <w:szCs w:val="20"/>
        </w:rPr>
      </w:pPr>
    </w:p>
    <w:p w:rsidR="00B86812" w:rsidRPr="00E00B35" w:rsidRDefault="00B86812" w:rsidP="00E00B35">
      <w:pPr>
        <w:pStyle w:val="Nagwek5"/>
        <w:rPr>
          <w:szCs w:val="20"/>
        </w:rPr>
      </w:pPr>
      <w:r w:rsidRPr="00E00B35">
        <w:rPr>
          <w:szCs w:val="20"/>
        </w:rPr>
        <w:t xml:space="preserve">Wrocławski Festiwalu Krasnoludków 2020 online </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 xml:space="preserve">W ramach tegorocznej edycji Festiwalu Krasnoludków, która odbyła się w całości online, przygotowanych zostało szereg działań, które były ciekawe i angażujące dla widzów oraz pozwalały choć w jakiejś części przeżyć tegoroczny Festiwal Krasnoludków – w domu. </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Działania Festiwalu były podzielone na kilka segmentów:</w:t>
      </w:r>
    </w:p>
    <w:p w:rsidR="00B86812" w:rsidRPr="00E00B35" w:rsidRDefault="00B86812" w:rsidP="00E00B35">
      <w:pPr>
        <w:pStyle w:val="Normalny1"/>
        <w:spacing w:after="0" w:line="312" w:lineRule="auto"/>
        <w:rPr>
          <w:rFonts w:ascii="Verdana" w:eastAsia="Verdana" w:hAnsi="Verdana" w:cs="Verdana"/>
          <w:sz w:val="20"/>
          <w:szCs w:val="20"/>
        </w:rPr>
      </w:pPr>
    </w:p>
    <w:p w:rsidR="00B86812" w:rsidRPr="00E00B35" w:rsidRDefault="00B86812" w:rsidP="00BC64AB">
      <w:pPr>
        <w:pStyle w:val="Normalny1"/>
        <w:numPr>
          <w:ilvl w:val="0"/>
          <w:numId w:val="288"/>
        </w:numPr>
        <w:pBdr>
          <w:top w:val="nil"/>
          <w:left w:val="nil"/>
          <w:bottom w:val="nil"/>
          <w:right w:val="nil"/>
          <w:between w:val="nil"/>
        </w:pBdr>
        <w:suppressAutoHyphens w:val="0"/>
        <w:spacing w:after="0" w:line="312" w:lineRule="auto"/>
        <w:rPr>
          <w:rFonts w:ascii="Verdana" w:eastAsia="Verdana" w:hAnsi="Verdana" w:cs="Verdana"/>
          <w:b/>
          <w:sz w:val="20"/>
          <w:szCs w:val="20"/>
        </w:rPr>
      </w:pPr>
      <w:r w:rsidRPr="00E00B35">
        <w:rPr>
          <w:rFonts w:ascii="Verdana" w:eastAsia="Verdana" w:hAnsi="Verdana" w:cs="Verdana"/>
          <w:b/>
          <w:sz w:val="20"/>
          <w:szCs w:val="20"/>
        </w:rPr>
        <w:t>Zapowiedź Festiwalu</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 xml:space="preserve">Krótki film z krasnalem Reporterem (aktor lalkarz) zapowiadającym działania </w:t>
      </w:r>
      <w:r w:rsidRPr="00E00B35">
        <w:rPr>
          <w:rFonts w:ascii="Verdana" w:eastAsia="Verdana" w:hAnsi="Verdana" w:cs="Verdana"/>
          <w:sz w:val="20"/>
          <w:szCs w:val="20"/>
        </w:rPr>
        <w:br/>
        <w:t xml:space="preserve">w ramach tegorocznego Festiwalu Krasnoludków Online. </w:t>
      </w:r>
    </w:p>
    <w:p w:rsidR="00B86812" w:rsidRPr="00E00B35" w:rsidRDefault="00B86812" w:rsidP="00E00B35">
      <w:pPr>
        <w:pStyle w:val="Normalny1"/>
        <w:spacing w:after="0" w:line="312" w:lineRule="auto"/>
        <w:rPr>
          <w:rFonts w:ascii="Verdana" w:eastAsia="Verdana" w:hAnsi="Verdana" w:cs="Verdana"/>
          <w:sz w:val="20"/>
          <w:szCs w:val="20"/>
        </w:rPr>
      </w:pPr>
    </w:p>
    <w:p w:rsidR="00B86812" w:rsidRPr="00E00B35" w:rsidRDefault="00B86812" w:rsidP="00BC64AB">
      <w:pPr>
        <w:pStyle w:val="Normalny1"/>
        <w:numPr>
          <w:ilvl w:val="0"/>
          <w:numId w:val="288"/>
        </w:numPr>
        <w:pBdr>
          <w:top w:val="nil"/>
          <w:left w:val="nil"/>
          <w:bottom w:val="nil"/>
          <w:right w:val="nil"/>
          <w:between w:val="nil"/>
        </w:pBdr>
        <w:suppressAutoHyphens w:val="0"/>
        <w:spacing w:after="0" w:line="312" w:lineRule="auto"/>
        <w:rPr>
          <w:rFonts w:ascii="Verdana" w:eastAsia="Verdana" w:hAnsi="Verdana" w:cs="Verdana"/>
          <w:b/>
          <w:sz w:val="20"/>
          <w:szCs w:val="20"/>
        </w:rPr>
      </w:pPr>
      <w:r w:rsidRPr="00E00B35">
        <w:rPr>
          <w:rFonts w:ascii="Verdana" w:eastAsia="Verdana" w:hAnsi="Verdana" w:cs="Verdana"/>
          <w:b/>
          <w:sz w:val="20"/>
          <w:szCs w:val="20"/>
        </w:rPr>
        <w:t>I Urodziny Festiwaliusza – Fotograficzny Konkurs Festiwalowy</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 xml:space="preserve">Z okazji pierwszych urodzin festiwalowego Krasnala – Festiwaliusza zaprosiliśmy Wrocławian do celebracji jego urodzin. Specjalny konkurs został zapowiedziany </w:t>
      </w:r>
      <w:r w:rsidRPr="00E00B35">
        <w:rPr>
          <w:rFonts w:ascii="Verdana" w:eastAsia="Verdana" w:hAnsi="Verdana" w:cs="Verdana"/>
          <w:sz w:val="20"/>
          <w:szCs w:val="20"/>
        </w:rPr>
        <w:br/>
        <w:t xml:space="preserve">w formie video z Krasnalem Reporterem. </w:t>
      </w:r>
    </w:p>
    <w:p w:rsidR="00B86812" w:rsidRPr="00E00B35" w:rsidRDefault="00B86812" w:rsidP="00E00B35">
      <w:pPr>
        <w:pStyle w:val="Normalny1"/>
        <w:spacing w:after="0" w:line="312" w:lineRule="auto"/>
        <w:rPr>
          <w:rFonts w:ascii="Verdana" w:eastAsia="Verdana" w:hAnsi="Verdana" w:cs="Verdana"/>
          <w:sz w:val="20"/>
          <w:szCs w:val="20"/>
        </w:rPr>
      </w:pPr>
    </w:p>
    <w:p w:rsidR="00B86812" w:rsidRPr="00E00B35" w:rsidRDefault="00B86812" w:rsidP="00BC64AB">
      <w:pPr>
        <w:pStyle w:val="Normalny1"/>
        <w:numPr>
          <w:ilvl w:val="0"/>
          <w:numId w:val="288"/>
        </w:numPr>
        <w:pBdr>
          <w:top w:val="nil"/>
          <w:left w:val="nil"/>
          <w:bottom w:val="nil"/>
          <w:right w:val="nil"/>
          <w:between w:val="nil"/>
        </w:pBdr>
        <w:suppressAutoHyphens w:val="0"/>
        <w:spacing w:after="0" w:line="312" w:lineRule="auto"/>
        <w:rPr>
          <w:rFonts w:ascii="Verdana" w:eastAsia="Verdana" w:hAnsi="Verdana" w:cs="Verdana"/>
          <w:b/>
          <w:sz w:val="20"/>
          <w:szCs w:val="20"/>
        </w:rPr>
      </w:pPr>
      <w:r w:rsidRPr="00E00B35">
        <w:rPr>
          <w:rFonts w:ascii="Verdana" w:eastAsia="Verdana" w:hAnsi="Verdana" w:cs="Verdana"/>
          <w:b/>
          <w:sz w:val="20"/>
          <w:szCs w:val="20"/>
        </w:rPr>
        <w:t>#KrasnalowyChallenge</w:t>
      </w:r>
    </w:p>
    <w:p w:rsidR="00B86812" w:rsidRPr="00E00B35" w:rsidRDefault="00B86812" w:rsidP="00E00B35">
      <w:pPr>
        <w:pStyle w:val="Normalny1"/>
        <w:pBdr>
          <w:top w:val="nil"/>
          <w:left w:val="nil"/>
          <w:bottom w:val="nil"/>
          <w:right w:val="nil"/>
          <w:between w:val="nil"/>
        </w:pBdr>
        <w:spacing w:after="0" w:line="312" w:lineRule="auto"/>
        <w:rPr>
          <w:rFonts w:ascii="Verdana" w:eastAsia="Verdana" w:hAnsi="Verdana" w:cs="Verdana"/>
          <w:sz w:val="20"/>
          <w:szCs w:val="20"/>
        </w:rPr>
      </w:pPr>
      <w:r w:rsidRPr="00E00B35">
        <w:rPr>
          <w:rFonts w:ascii="Verdana" w:eastAsia="Verdana" w:hAnsi="Verdana" w:cs="Verdana"/>
          <w:sz w:val="20"/>
          <w:szCs w:val="20"/>
        </w:rPr>
        <w:t xml:space="preserve">Wielki wrocławski konkurs dla miłośników Krasnali online! Wybrani znani wrocławianie i przyjaciele Wrocławia zapraszali do wypełniania w domu prostych zadań w różnych challengach nawiązujących do Festiwalu, Krasnali i Wrocławia. </w:t>
      </w:r>
    </w:p>
    <w:p w:rsidR="00B86812" w:rsidRPr="00E00B35" w:rsidRDefault="00B86812" w:rsidP="00E00B35">
      <w:pPr>
        <w:pStyle w:val="Normalny1"/>
        <w:pBdr>
          <w:top w:val="nil"/>
          <w:left w:val="nil"/>
          <w:bottom w:val="nil"/>
          <w:right w:val="nil"/>
          <w:between w:val="nil"/>
        </w:pBdr>
        <w:spacing w:after="0" w:line="312" w:lineRule="auto"/>
        <w:rPr>
          <w:rFonts w:ascii="Verdana" w:eastAsia="Verdana" w:hAnsi="Verdana" w:cs="Verdana"/>
          <w:sz w:val="20"/>
          <w:szCs w:val="20"/>
        </w:rPr>
      </w:pPr>
    </w:p>
    <w:p w:rsidR="00B86812" w:rsidRPr="00E00B35" w:rsidRDefault="00B86812" w:rsidP="00E00B35">
      <w:pPr>
        <w:pStyle w:val="Normalny1"/>
        <w:pBdr>
          <w:top w:val="nil"/>
          <w:left w:val="nil"/>
          <w:bottom w:val="nil"/>
          <w:right w:val="nil"/>
          <w:between w:val="nil"/>
        </w:pBdr>
        <w:spacing w:after="0" w:line="312" w:lineRule="auto"/>
        <w:rPr>
          <w:rFonts w:ascii="Verdana" w:eastAsia="Verdana" w:hAnsi="Verdana" w:cs="Verdana"/>
          <w:sz w:val="20"/>
          <w:szCs w:val="20"/>
        </w:rPr>
      </w:pPr>
      <w:r w:rsidRPr="00E00B35">
        <w:rPr>
          <w:rFonts w:ascii="Verdana" w:eastAsia="Verdana" w:hAnsi="Verdana" w:cs="Verdana"/>
          <w:sz w:val="20"/>
          <w:szCs w:val="20"/>
        </w:rPr>
        <w:t>Gośćmi byli:</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b/>
          <w:sz w:val="20"/>
          <w:szCs w:val="20"/>
        </w:rPr>
        <w:t>Alicja Janosz –</w:t>
      </w:r>
      <w:r w:rsidRPr="00E00B35">
        <w:rPr>
          <w:rFonts w:ascii="Verdana" w:eastAsia="Verdana" w:hAnsi="Verdana" w:cs="Verdana"/>
          <w:sz w:val="20"/>
          <w:szCs w:val="20"/>
        </w:rPr>
        <w:t xml:space="preserve"> zaśpiewała  kawałek piosenki krasnalowej, zachęciła dzieciaki </w:t>
      </w:r>
      <w:r w:rsidRPr="00E00B35">
        <w:rPr>
          <w:rFonts w:ascii="Verdana" w:eastAsia="Verdana" w:hAnsi="Verdana" w:cs="Verdana"/>
          <w:sz w:val="20"/>
          <w:szCs w:val="20"/>
        </w:rPr>
        <w:br/>
        <w:t>z rodzicami do stworzenia i zaśpiewania swojej zwrotki</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b/>
          <w:sz w:val="20"/>
          <w:szCs w:val="20"/>
        </w:rPr>
        <w:t>Julka Cymbaluk</w:t>
      </w:r>
      <w:r w:rsidRPr="00E00B35">
        <w:rPr>
          <w:rFonts w:ascii="Verdana" w:eastAsia="Verdana" w:hAnsi="Verdana" w:cs="Verdana"/>
          <w:sz w:val="20"/>
          <w:szCs w:val="20"/>
        </w:rPr>
        <w:t xml:space="preserve"> – jak przygotować jakiś prosty deser w kolorach Wrocławia – niebieskim, czerwonym i żółtym. </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b/>
          <w:sz w:val="20"/>
          <w:szCs w:val="20"/>
        </w:rPr>
        <w:t>Andrzej Tylkowski –</w:t>
      </w:r>
      <w:r w:rsidRPr="00E00B35">
        <w:rPr>
          <w:rFonts w:ascii="Verdana" w:eastAsia="Verdana" w:hAnsi="Verdana" w:cs="Verdana"/>
          <w:sz w:val="20"/>
          <w:szCs w:val="20"/>
        </w:rPr>
        <w:t xml:space="preserve"> nauczał  w filmiku, jak rysować krasnoludki, jak np. stworzyć własną pocztówkę adresowaną do Krasnala Festiwaliusza. </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b/>
          <w:sz w:val="20"/>
          <w:szCs w:val="20"/>
        </w:rPr>
        <w:t>Tomek Sikora –</w:t>
      </w:r>
      <w:r w:rsidRPr="00E00B35">
        <w:rPr>
          <w:rFonts w:ascii="Verdana" w:eastAsia="Verdana" w:hAnsi="Verdana" w:cs="Verdana"/>
          <w:sz w:val="20"/>
          <w:szCs w:val="20"/>
        </w:rPr>
        <w:t xml:space="preserve"> opowiedział  o pracy w radiu i zachęcił  by stworzyć w domu swój własny krasnalowy slogan/hasło i w jakiś fajny sposób zaprezentować </w:t>
      </w:r>
      <w:r w:rsidRPr="00E00B35">
        <w:rPr>
          <w:rFonts w:ascii="Verdana" w:eastAsia="Verdana" w:hAnsi="Verdana" w:cs="Verdana"/>
          <w:sz w:val="20"/>
          <w:szCs w:val="20"/>
        </w:rPr>
        <w:br/>
        <w:t>je w sieci.</w:t>
      </w:r>
    </w:p>
    <w:p w:rsidR="00B86812" w:rsidRPr="00E00B35" w:rsidRDefault="00B86812" w:rsidP="00E00B35">
      <w:pPr>
        <w:pStyle w:val="Normalny1"/>
        <w:spacing w:after="0" w:line="312" w:lineRule="auto"/>
        <w:rPr>
          <w:rFonts w:ascii="Verdana" w:eastAsia="Verdana" w:hAnsi="Verdana" w:cs="Verdana"/>
          <w:b/>
          <w:sz w:val="20"/>
          <w:szCs w:val="20"/>
        </w:rPr>
      </w:pPr>
    </w:p>
    <w:p w:rsidR="00B86812" w:rsidRPr="00E00B35" w:rsidRDefault="00B86812" w:rsidP="00BC64AB">
      <w:pPr>
        <w:pStyle w:val="Normalny1"/>
        <w:numPr>
          <w:ilvl w:val="0"/>
          <w:numId w:val="288"/>
        </w:numPr>
        <w:pBdr>
          <w:top w:val="nil"/>
          <w:left w:val="nil"/>
          <w:bottom w:val="nil"/>
          <w:right w:val="nil"/>
          <w:between w:val="nil"/>
        </w:pBdr>
        <w:suppressAutoHyphens w:val="0"/>
        <w:spacing w:after="0" w:line="312" w:lineRule="auto"/>
        <w:rPr>
          <w:rFonts w:ascii="Verdana" w:eastAsia="Verdana" w:hAnsi="Verdana" w:cs="Verdana"/>
          <w:b/>
          <w:sz w:val="20"/>
          <w:szCs w:val="20"/>
        </w:rPr>
      </w:pPr>
      <w:r w:rsidRPr="00E00B35">
        <w:rPr>
          <w:rFonts w:ascii="Verdana" w:eastAsia="Verdana" w:hAnsi="Verdana" w:cs="Verdana"/>
          <w:b/>
          <w:sz w:val="20"/>
          <w:szCs w:val="20"/>
        </w:rPr>
        <w:t>Krasnalowe Bajki – online</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 xml:space="preserve">Trzy bajki z krasnoludkowymi bohaterami, stworzone przez absolwentów AST Filia we Wrocławiu, nagrane zostały na Dużej Scenie Wrocławskiego Teatru Lalek i wyemitowane w kolejne soboty września.  </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 xml:space="preserve">Na potrzeby Festiwalu stworzone zostały również nowe pacynki typu muppet, które pojawiły się w nowych bajkach. </w:t>
      </w:r>
    </w:p>
    <w:p w:rsidR="00B86812" w:rsidRPr="00E00B35" w:rsidRDefault="00B86812" w:rsidP="00E00B35">
      <w:pPr>
        <w:pStyle w:val="Normalny1"/>
        <w:spacing w:after="0" w:line="312" w:lineRule="auto"/>
        <w:rPr>
          <w:rFonts w:ascii="Verdana" w:eastAsia="Verdana" w:hAnsi="Verdana" w:cs="Verdana"/>
          <w:b/>
          <w:sz w:val="20"/>
          <w:szCs w:val="20"/>
        </w:rPr>
      </w:pPr>
    </w:p>
    <w:p w:rsidR="00B86812" w:rsidRPr="00E00B35" w:rsidRDefault="00B86812" w:rsidP="00BC64AB">
      <w:pPr>
        <w:pStyle w:val="Normalny1"/>
        <w:numPr>
          <w:ilvl w:val="0"/>
          <w:numId w:val="288"/>
        </w:numPr>
        <w:pBdr>
          <w:top w:val="nil"/>
          <w:left w:val="nil"/>
          <w:bottom w:val="nil"/>
          <w:right w:val="nil"/>
          <w:between w:val="nil"/>
        </w:pBdr>
        <w:suppressAutoHyphens w:val="0"/>
        <w:spacing w:after="0" w:line="312" w:lineRule="auto"/>
        <w:rPr>
          <w:rFonts w:ascii="Verdana" w:eastAsia="Verdana" w:hAnsi="Verdana" w:cs="Verdana"/>
          <w:b/>
          <w:sz w:val="20"/>
          <w:szCs w:val="20"/>
        </w:rPr>
      </w:pPr>
      <w:r w:rsidRPr="00E00B35">
        <w:rPr>
          <w:rFonts w:ascii="Verdana" w:eastAsia="Verdana" w:hAnsi="Verdana" w:cs="Verdana"/>
          <w:b/>
          <w:sz w:val="20"/>
          <w:szCs w:val="20"/>
        </w:rPr>
        <w:t>Działania z wrocławskimi muzeami</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 xml:space="preserve">Wyprodukowano cztery materiały wideo z trzema placówkami muzealnymi – Muzeum Współczesnym Wrocławia, Muzeum Etnograficznym oraz Muzeum Miejskim Wrocławia. </w:t>
      </w:r>
    </w:p>
    <w:p w:rsidR="00B86812" w:rsidRPr="00E00B35" w:rsidRDefault="00B86812" w:rsidP="00E00B35">
      <w:pPr>
        <w:pStyle w:val="Normalny1"/>
        <w:spacing w:after="0" w:line="312" w:lineRule="auto"/>
        <w:rPr>
          <w:rFonts w:ascii="Verdana" w:eastAsia="Verdana" w:hAnsi="Verdana" w:cs="Verdana"/>
          <w:b/>
          <w:sz w:val="20"/>
          <w:szCs w:val="20"/>
        </w:rPr>
      </w:pPr>
      <w:r w:rsidRPr="00E00B35">
        <w:rPr>
          <w:rFonts w:ascii="Verdana" w:eastAsia="Verdana" w:hAnsi="Verdana" w:cs="Verdana"/>
          <w:b/>
          <w:sz w:val="20"/>
          <w:szCs w:val="20"/>
        </w:rPr>
        <w:t>Muzeum Współczesne Wrocław, MWW</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Krasnoludki? Gdzie? Okazuje się, że  nie tylko w muzeach, również bliżej, bez dystansu, na głowach  Inspiracją do działania przygotowanego i zrealizowanego w ramach Wrocławskiego Festiwalu Krasnali były czerwone, krasnalowe czapeczki. To one stały się punktem wyjścia do  krótkiego oprowadzania po wystawie: </w:t>
      </w:r>
      <w:r w:rsidRPr="00E00B35">
        <w:rPr>
          <w:rFonts w:ascii="Verdana" w:eastAsia="Verdana" w:hAnsi="Verdana" w:cs="Verdana"/>
          <w:i/>
          <w:sz w:val="20"/>
          <w:szCs w:val="20"/>
        </w:rPr>
        <w:t>Czerwień. Ekspozycja na kolor, </w:t>
      </w:r>
      <w:r w:rsidRPr="00E00B35">
        <w:rPr>
          <w:rFonts w:ascii="Verdana" w:eastAsia="Verdana" w:hAnsi="Verdana" w:cs="Verdana"/>
          <w:sz w:val="20"/>
          <w:szCs w:val="20"/>
        </w:rPr>
        <w:t>dostępnej w Muzeum Współczesnym Wrocław od lipca tego roku. Podczas wirtualnego spaceru uczestnicy mieli szansę odkryć różne walory i odcienie czerwonej barwy. Pełna subtelności opowieść,  podróż przez świat karminu, kształtów oraz skojarzeń, przeniosła odbiorcę chwilowo z realnego  King size w fantazję oraz uwalniającą możliwość  spojrzenia od „drugiej strony lustra”</w:t>
      </w:r>
    </w:p>
    <w:p w:rsidR="00B86812" w:rsidRPr="00E00B35" w:rsidRDefault="00B86812" w:rsidP="00E00B35">
      <w:pPr>
        <w:pStyle w:val="Normalny1"/>
        <w:spacing w:after="0" w:line="312" w:lineRule="auto"/>
        <w:rPr>
          <w:rFonts w:ascii="Verdana" w:eastAsia="Verdana" w:hAnsi="Verdana" w:cs="Verdana"/>
          <w:b/>
          <w:sz w:val="20"/>
          <w:szCs w:val="20"/>
        </w:rPr>
      </w:pPr>
      <w:r w:rsidRPr="00E00B35">
        <w:rPr>
          <w:rFonts w:ascii="Verdana" w:eastAsia="Verdana" w:hAnsi="Verdana" w:cs="Verdana"/>
          <w:b/>
          <w:sz w:val="20"/>
          <w:szCs w:val="20"/>
        </w:rPr>
        <w:t xml:space="preserve">Muzeum Etnograficzne -  ME, oddział Muzeum Narodowego Wrocławia </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 xml:space="preserve">Barwna i ciepła historia o tym,  jaką funkcję sprawowały domowe duszki opiekuńcze wiejskich domostw. Gdzie należało się ich spodziewać, do jakiej pracy - w imię ich przynależności,  nazw  i powołania – angażować. Różnice pomiędzy  koboldami, bożętami i krasnoludkami,  mikrymi stworzeniami w sabotach, które zostały spopularyzowane w powieści M. Konopnickiej, i których stereotyp funkcjonuje do dzisiaj. Zabawny dialog pomiędzy krasnalem – konferansjerem a panią kustosz ME, i to w oprawie barokowej sali muzealnej, przybliżył znaczenie wierzeń ludowych i obrzędów . </w:t>
      </w:r>
    </w:p>
    <w:p w:rsidR="00B86812" w:rsidRPr="00E00B35" w:rsidRDefault="00B86812" w:rsidP="00E00B35">
      <w:pPr>
        <w:pStyle w:val="Normalny1"/>
        <w:spacing w:after="0" w:line="312" w:lineRule="auto"/>
        <w:rPr>
          <w:rFonts w:ascii="Verdana" w:eastAsia="Verdana" w:hAnsi="Verdana" w:cs="Verdana"/>
          <w:b/>
          <w:sz w:val="20"/>
          <w:szCs w:val="20"/>
        </w:rPr>
      </w:pPr>
      <w:r w:rsidRPr="00E00B35">
        <w:rPr>
          <w:rFonts w:ascii="Verdana" w:eastAsia="Verdana" w:hAnsi="Verdana" w:cs="Verdana"/>
          <w:b/>
          <w:sz w:val="20"/>
          <w:szCs w:val="20"/>
        </w:rPr>
        <w:t>Muzeum Miejskie Wrocławia – MMW</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Dział  Edukacyjny, stanąwszy na wysokości swojej wiedzy muzealnej i znajomości  pracy z najmłodszymi,  zaprosił na spacer głównymi ulicami Wrocławia.  Przybliżone zostały legendy, czasami mroczne i „pikantne”  historie dawnego mieszczaństwa. Afery ze zdradą oraz  morderstwem w tle! Krasnale miejskie, na prośbę muzealnych  przewodniczek,  ujawniły sporo ekscytujących XVIII – XIX podań. Wirtualna, powolna przechadzka zabytkowymi uliczkami, wprowadziła widzów w scenerię miasta sprzed wieków. Udostępniła zabytki, ich walory, wartość historyczną. Zaprosiła do  rzeczywistego zwiedzania rodzinnego.</w:t>
      </w:r>
    </w:p>
    <w:p w:rsidR="00B86812" w:rsidRPr="00E00B35" w:rsidRDefault="00B86812" w:rsidP="00E00B35">
      <w:pPr>
        <w:pStyle w:val="Normalny1"/>
        <w:spacing w:after="0" w:line="312" w:lineRule="auto"/>
        <w:rPr>
          <w:rFonts w:ascii="Verdana" w:eastAsia="Verdana" w:hAnsi="Verdana" w:cs="Verdana"/>
          <w:sz w:val="20"/>
          <w:szCs w:val="20"/>
        </w:rPr>
      </w:pPr>
    </w:p>
    <w:p w:rsidR="00B86812" w:rsidRPr="00E00B35" w:rsidRDefault="00B86812" w:rsidP="00BC64AB">
      <w:pPr>
        <w:pStyle w:val="Normalny1"/>
        <w:numPr>
          <w:ilvl w:val="0"/>
          <w:numId w:val="288"/>
        </w:numPr>
        <w:pBdr>
          <w:top w:val="nil"/>
          <w:left w:val="nil"/>
          <w:bottom w:val="nil"/>
          <w:right w:val="nil"/>
          <w:between w:val="nil"/>
        </w:pBdr>
        <w:suppressAutoHyphens w:val="0"/>
        <w:spacing w:after="0" w:line="312" w:lineRule="auto"/>
        <w:rPr>
          <w:rFonts w:ascii="Verdana" w:eastAsia="Verdana" w:hAnsi="Verdana" w:cs="Verdana"/>
          <w:b/>
          <w:sz w:val="20"/>
          <w:szCs w:val="20"/>
        </w:rPr>
      </w:pPr>
      <w:r w:rsidRPr="00E00B35">
        <w:rPr>
          <w:rFonts w:ascii="Verdana" w:eastAsia="Verdana" w:hAnsi="Verdana" w:cs="Verdana"/>
          <w:b/>
          <w:sz w:val="20"/>
          <w:szCs w:val="20"/>
        </w:rPr>
        <w:t>Festiwalowa Gra Miejska – Edycja Rodzinna</w:t>
      </w:r>
    </w:p>
    <w:p w:rsidR="00B86812" w:rsidRPr="00E00B35" w:rsidRDefault="00B86812" w:rsidP="00E00B35">
      <w:pPr>
        <w:pStyle w:val="Normalny1"/>
        <w:spacing w:after="0" w:line="312" w:lineRule="auto"/>
        <w:rPr>
          <w:rFonts w:ascii="Verdana" w:eastAsia="Verdana" w:hAnsi="Verdana" w:cs="Verdana"/>
          <w:sz w:val="20"/>
          <w:szCs w:val="20"/>
        </w:rPr>
      </w:pPr>
      <w:r w:rsidRPr="00E00B35">
        <w:rPr>
          <w:rFonts w:ascii="Verdana" w:eastAsia="Verdana" w:hAnsi="Verdana" w:cs="Verdana"/>
          <w:sz w:val="20"/>
          <w:szCs w:val="20"/>
        </w:rPr>
        <w:t xml:space="preserve">W tym roku zaprosiliśmy widzów do nietypowej gry miejskiej – krasnalowe zadania i zagadki uczestnicy gry wykonywali samodzielnie – przez cały czas trwania Festiwalu odkrywając tajemnicę krasnalowego Wrocławia.  Do zabawy i udziału w grze miejskiej </w:t>
      </w:r>
      <w:r w:rsidRPr="00E00B35">
        <w:rPr>
          <w:rFonts w:ascii="Verdana" w:eastAsia="Verdana" w:hAnsi="Verdana" w:cs="Verdana"/>
          <w:sz w:val="20"/>
          <w:szCs w:val="20"/>
        </w:rPr>
        <w:lastRenderedPageBreak/>
        <w:t xml:space="preserve">zapraszał  Krasnal Reporter. W Internecie było można pobrać karty do gry oraz listę zadań do samodzielnego wydrukowania razem z mapką gry. Każdy mógł wziąć udział w grze i rozwiązać zagadki w dowolnym momencie. Wyniki były wysyłane przez Google Forms do organizatorów. W grze wzięło udział 18 rodzinnych drużyn. </w:t>
      </w:r>
    </w:p>
    <w:p w:rsidR="00B86812" w:rsidRPr="00E00B35" w:rsidRDefault="00B86812" w:rsidP="00E00B35">
      <w:pPr>
        <w:pStyle w:val="Normalny1"/>
        <w:spacing w:after="0" w:line="312" w:lineRule="auto"/>
        <w:rPr>
          <w:rFonts w:ascii="Verdana" w:eastAsia="Verdana" w:hAnsi="Verdana" w:cs="Verdana"/>
          <w:sz w:val="20"/>
          <w:szCs w:val="20"/>
        </w:rPr>
      </w:pPr>
    </w:p>
    <w:p w:rsidR="00B86812" w:rsidRPr="00E00B35" w:rsidRDefault="00B86812" w:rsidP="00E00B35">
      <w:pPr>
        <w:spacing w:after="0" w:line="312" w:lineRule="auto"/>
        <w:rPr>
          <w:b/>
          <w:szCs w:val="20"/>
        </w:rPr>
      </w:pPr>
      <w:r w:rsidRPr="00E00B35">
        <w:rPr>
          <w:b/>
          <w:szCs w:val="20"/>
        </w:rPr>
        <w:t xml:space="preserve">Bajki  o krasnalach osiedlowych </w:t>
      </w:r>
    </w:p>
    <w:p w:rsidR="00B86812" w:rsidRPr="00E00B35" w:rsidRDefault="00B86812" w:rsidP="00E00B35">
      <w:pPr>
        <w:spacing w:after="0" w:line="312" w:lineRule="auto"/>
        <w:rPr>
          <w:szCs w:val="20"/>
        </w:rPr>
      </w:pPr>
      <w:r w:rsidRPr="00E00B35">
        <w:rPr>
          <w:szCs w:val="20"/>
        </w:rPr>
        <w:t xml:space="preserve">Zakupienie na potrzeby Wydziału tekstów bajek dla dzieci, w których bohaterami są krasnale zamieszkujące w zachodnich dzielnicach Wrocławia. </w:t>
      </w:r>
    </w:p>
    <w:p w:rsidR="00B86812" w:rsidRPr="00E00B35" w:rsidRDefault="00B86812" w:rsidP="00E00B35">
      <w:pPr>
        <w:spacing w:after="0" w:line="312" w:lineRule="auto"/>
        <w:rPr>
          <w:szCs w:val="20"/>
        </w:rPr>
      </w:pPr>
      <w:r w:rsidRPr="00E00B35">
        <w:rPr>
          <w:szCs w:val="20"/>
        </w:rPr>
        <w:t>Tytuły bajek:</w:t>
      </w:r>
    </w:p>
    <w:p w:rsidR="00B86812" w:rsidRPr="00E00B35" w:rsidRDefault="00B86812" w:rsidP="00BC64AB">
      <w:pPr>
        <w:pStyle w:val="Akapitzlist"/>
        <w:numPr>
          <w:ilvl w:val="0"/>
          <w:numId w:val="290"/>
        </w:numPr>
        <w:spacing w:after="0" w:line="312" w:lineRule="auto"/>
        <w:ind w:left="426" w:hanging="426"/>
        <w:rPr>
          <w:szCs w:val="20"/>
        </w:rPr>
      </w:pPr>
      <w:r w:rsidRPr="00E00B35">
        <w:rPr>
          <w:szCs w:val="20"/>
        </w:rPr>
        <w:t>„Krasnal Wolontarek.”</w:t>
      </w:r>
    </w:p>
    <w:p w:rsidR="00B86812" w:rsidRPr="00E00B35" w:rsidRDefault="00B86812" w:rsidP="00BC64AB">
      <w:pPr>
        <w:pStyle w:val="Akapitzlist"/>
        <w:numPr>
          <w:ilvl w:val="0"/>
          <w:numId w:val="290"/>
        </w:numPr>
        <w:spacing w:after="0" w:line="312" w:lineRule="auto"/>
        <w:ind w:left="426" w:hanging="426"/>
        <w:rPr>
          <w:szCs w:val="20"/>
        </w:rPr>
      </w:pPr>
      <w:r w:rsidRPr="00E00B35">
        <w:rPr>
          <w:szCs w:val="20"/>
        </w:rPr>
        <w:t>„Opowieść krasnala Prackiego, który na Stabłowicach mieszka.”</w:t>
      </w:r>
    </w:p>
    <w:p w:rsidR="00B86812" w:rsidRPr="00E00B35" w:rsidRDefault="00B86812" w:rsidP="00BC64AB">
      <w:pPr>
        <w:pStyle w:val="Akapitzlist"/>
        <w:numPr>
          <w:ilvl w:val="0"/>
          <w:numId w:val="290"/>
        </w:numPr>
        <w:spacing w:after="0" w:line="312" w:lineRule="auto"/>
        <w:ind w:left="426" w:hanging="426"/>
        <w:rPr>
          <w:szCs w:val="20"/>
        </w:rPr>
      </w:pPr>
      <w:r w:rsidRPr="00E00B35">
        <w:rPr>
          <w:szCs w:val="20"/>
        </w:rPr>
        <w:t>„Co krasnal Jadwiżański i zawiadowca mieli do powiedzenia.”</w:t>
      </w:r>
    </w:p>
    <w:p w:rsidR="00B86812" w:rsidRPr="00E00B35" w:rsidRDefault="00B86812" w:rsidP="00BC64AB">
      <w:pPr>
        <w:pStyle w:val="Akapitzlist"/>
        <w:numPr>
          <w:ilvl w:val="0"/>
          <w:numId w:val="290"/>
        </w:numPr>
        <w:spacing w:after="0" w:line="312" w:lineRule="auto"/>
        <w:ind w:left="426" w:hanging="426"/>
        <w:rPr>
          <w:szCs w:val="20"/>
        </w:rPr>
      </w:pPr>
      <w:r w:rsidRPr="00E00B35">
        <w:rPr>
          <w:szCs w:val="20"/>
        </w:rPr>
        <w:t>„Zbójnik ze Złotnik”,</w:t>
      </w:r>
    </w:p>
    <w:p w:rsidR="00B86812" w:rsidRPr="00E00B35" w:rsidRDefault="00B86812" w:rsidP="00BC64AB">
      <w:pPr>
        <w:pStyle w:val="Akapitzlist"/>
        <w:numPr>
          <w:ilvl w:val="0"/>
          <w:numId w:val="290"/>
        </w:numPr>
        <w:spacing w:after="0" w:line="312" w:lineRule="auto"/>
        <w:ind w:left="426" w:hanging="426"/>
        <w:rPr>
          <w:szCs w:val="20"/>
        </w:rPr>
      </w:pPr>
      <w:r w:rsidRPr="00E00B35">
        <w:rPr>
          <w:szCs w:val="20"/>
        </w:rPr>
        <w:t>Leśnickie opowieści:</w:t>
      </w:r>
    </w:p>
    <w:p w:rsidR="00B86812" w:rsidRPr="00E00B35" w:rsidRDefault="00B86812" w:rsidP="00BC64AB">
      <w:pPr>
        <w:pStyle w:val="Akapitzlist"/>
        <w:numPr>
          <w:ilvl w:val="0"/>
          <w:numId w:val="290"/>
        </w:numPr>
        <w:spacing w:after="0" w:line="312" w:lineRule="auto"/>
        <w:ind w:left="426" w:hanging="426"/>
        <w:rPr>
          <w:szCs w:val="20"/>
        </w:rPr>
      </w:pPr>
      <w:r w:rsidRPr="00E00B35">
        <w:rPr>
          <w:szCs w:val="20"/>
        </w:rPr>
        <w:t>„Powstanie Leśnicy.”</w:t>
      </w:r>
    </w:p>
    <w:p w:rsidR="00B86812" w:rsidRPr="00E00B35" w:rsidRDefault="00B86812" w:rsidP="00BC64AB">
      <w:pPr>
        <w:pStyle w:val="Akapitzlist"/>
        <w:numPr>
          <w:ilvl w:val="0"/>
          <w:numId w:val="290"/>
        </w:numPr>
        <w:spacing w:after="0" w:line="312" w:lineRule="auto"/>
        <w:ind w:left="426" w:hanging="426"/>
        <w:rPr>
          <w:szCs w:val="20"/>
        </w:rPr>
      </w:pPr>
      <w:r w:rsidRPr="00E00B35">
        <w:rPr>
          <w:szCs w:val="20"/>
        </w:rPr>
        <w:t>„Herb Leśnicy.”</w:t>
      </w:r>
    </w:p>
    <w:p w:rsidR="00B86812" w:rsidRPr="00E00B35" w:rsidRDefault="00B86812" w:rsidP="00BC64AB">
      <w:pPr>
        <w:pStyle w:val="Akapitzlist"/>
        <w:numPr>
          <w:ilvl w:val="0"/>
          <w:numId w:val="290"/>
        </w:numPr>
        <w:spacing w:after="0" w:line="312" w:lineRule="auto"/>
        <w:ind w:left="426" w:hanging="426"/>
        <w:rPr>
          <w:szCs w:val="20"/>
        </w:rPr>
      </w:pPr>
      <w:r w:rsidRPr="00E00B35">
        <w:rPr>
          <w:szCs w:val="20"/>
        </w:rPr>
        <w:t>„Platan sprawiedliwy.”</w:t>
      </w:r>
    </w:p>
    <w:p w:rsidR="00B86812" w:rsidRPr="00E00B35" w:rsidRDefault="00B86812" w:rsidP="00BC64AB">
      <w:pPr>
        <w:pStyle w:val="Akapitzlist"/>
        <w:numPr>
          <w:ilvl w:val="0"/>
          <w:numId w:val="290"/>
        </w:numPr>
        <w:spacing w:after="0" w:line="312" w:lineRule="auto"/>
        <w:ind w:left="426" w:hanging="426"/>
        <w:rPr>
          <w:szCs w:val="20"/>
        </w:rPr>
      </w:pPr>
      <w:r w:rsidRPr="00E00B35">
        <w:rPr>
          <w:szCs w:val="20"/>
        </w:rPr>
        <w:t>„Morderstwo sługi.”</w:t>
      </w:r>
    </w:p>
    <w:p w:rsidR="00B86812" w:rsidRPr="00E00B35" w:rsidRDefault="00B86812" w:rsidP="00BC64AB">
      <w:pPr>
        <w:pStyle w:val="Akapitzlist"/>
        <w:numPr>
          <w:ilvl w:val="0"/>
          <w:numId w:val="290"/>
        </w:numPr>
        <w:spacing w:after="0" w:line="312" w:lineRule="auto"/>
        <w:ind w:left="426" w:hanging="426"/>
        <w:rPr>
          <w:szCs w:val="20"/>
        </w:rPr>
      </w:pPr>
      <w:r w:rsidRPr="00E00B35">
        <w:rPr>
          <w:szCs w:val="20"/>
        </w:rPr>
        <w:t>„Portret.”</w:t>
      </w:r>
    </w:p>
    <w:p w:rsidR="00B86812" w:rsidRPr="00E00B35" w:rsidRDefault="00B86812" w:rsidP="00BC64AB">
      <w:pPr>
        <w:pStyle w:val="Akapitzlist"/>
        <w:numPr>
          <w:ilvl w:val="0"/>
          <w:numId w:val="290"/>
        </w:numPr>
        <w:spacing w:after="0" w:line="312" w:lineRule="auto"/>
        <w:ind w:left="426" w:hanging="426"/>
        <w:rPr>
          <w:szCs w:val="20"/>
        </w:rPr>
      </w:pPr>
      <w:r w:rsidRPr="00E00B35">
        <w:rPr>
          <w:szCs w:val="20"/>
        </w:rPr>
        <w:t>„Uwodziciel</w:t>
      </w:r>
    </w:p>
    <w:p w:rsidR="00B86812" w:rsidRPr="00E00B35" w:rsidRDefault="00B86812" w:rsidP="00E00B35">
      <w:pPr>
        <w:pStyle w:val="Akapitzlist"/>
        <w:spacing w:after="0" w:line="312" w:lineRule="auto"/>
        <w:rPr>
          <w:szCs w:val="20"/>
        </w:rPr>
      </w:pPr>
    </w:p>
    <w:p w:rsidR="00B86812" w:rsidRPr="00E00B35" w:rsidRDefault="00B86812" w:rsidP="00E00B35">
      <w:pPr>
        <w:pStyle w:val="Nagwek5"/>
        <w:rPr>
          <w:szCs w:val="20"/>
        </w:rPr>
      </w:pPr>
      <w:r w:rsidRPr="00E00B35">
        <w:rPr>
          <w:szCs w:val="20"/>
        </w:rPr>
        <w:t>IX edycja Festiwalu Podróżniczego im. Olgierda Budrewicza „Równoleżnik Zero”</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autoSpaceDE w:val="0"/>
        <w:autoSpaceDN w:val="0"/>
        <w:adjustRightInd w:val="0"/>
        <w:spacing w:after="0" w:line="312" w:lineRule="auto"/>
        <w:rPr>
          <w:rFonts w:cs="Helv"/>
          <w:b/>
          <w:color w:val="000000"/>
          <w:szCs w:val="20"/>
          <w:u w:val="single"/>
        </w:rPr>
      </w:pPr>
      <w:r w:rsidRPr="00E00B35">
        <w:rPr>
          <w:szCs w:val="20"/>
        </w:rPr>
        <w:t xml:space="preserve">W dniach 16-18 października w Miejskiej Bibliotece Publicznej we Wrocławiu odbył się  Wrocławski Festiwal Podróżniczy im. Olgierda Budrewicza „Równoleżnik Zero”. To już dziewiąta odsłona festiwalu, wyjątkowa, ponieważ tym razem spotkania ze względu na obostrzenia związane z pandemią odbyły się online pod hasłem „Ameryka Południowa un rato”. W nieco skróconej, służącej rozbudzeniu apetytów formie odwiedziliśmy Amerykę Południową poprzez transmisje live – spotkania z Patrycją Szcześniak i Pauliną Dmuchowską – Polkami, które od kilku lat mieszkają w Chile i Kolumbii. Autorki spotkania  z zapałem poznają te kraje, pomagają poznawać je innym i wspaniale o nich opowiedziały. Dodatkową atrakcją przygotowaną przez ZOO Wrocław i MBP dla podróżników w każdym wieku były filmowe spotkanie ze zwierzętami Ameryki Południowej. Miasto Wrocław było partnerem wydarzenia. </w:t>
      </w:r>
    </w:p>
    <w:p w:rsidR="00B86812" w:rsidRPr="00E00B35" w:rsidRDefault="00B86812" w:rsidP="00E00B35">
      <w:pPr>
        <w:spacing w:after="0" w:line="312" w:lineRule="auto"/>
        <w:rPr>
          <w:color w:val="000000"/>
          <w:szCs w:val="20"/>
        </w:rPr>
      </w:pPr>
    </w:p>
    <w:p w:rsidR="00B86812" w:rsidRPr="00E00B35" w:rsidRDefault="00B86812" w:rsidP="00E00B35">
      <w:pPr>
        <w:pStyle w:val="Nagwek5"/>
        <w:rPr>
          <w:szCs w:val="20"/>
        </w:rPr>
      </w:pPr>
      <w:r w:rsidRPr="00E00B35">
        <w:rPr>
          <w:szCs w:val="20"/>
        </w:rPr>
        <w:t xml:space="preserve">Czas na Ruch </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szCs w:val="20"/>
        </w:rPr>
      </w:pPr>
      <w:r w:rsidRPr="00E00B35">
        <w:rPr>
          <w:szCs w:val="20"/>
        </w:rPr>
        <w:t xml:space="preserve">Projekt „Czas Na Ruch” w swoje pierwszej odsłonie skierowany był do dzieci </w:t>
      </w:r>
      <w:r w:rsidRPr="00E00B35">
        <w:rPr>
          <w:szCs w:val="20"/>
        </w:rPr>
        <w:br/>
        <w:t xml:space="preserve">i młodzieży. Codziennie o godz. 11:00 od poniedziałku </w:t>
      </w:r>
      <w:r w:rsidRPr="00E00B35">
        <w:rPr>
          <w:rFonts w:cs="Arial"/>
          <w:szCs w:val="20"/>
        </w:rPr>
        <w:t xml:space="preserve">do piątku w listopadzie na FB Wroclaw [Wroclove] i Visit Wroclaw oraz na YouTube Visit Wroclaw emitowane były 10 minutowe programy treningowe  dla dzieci i młodzieży. Video z treningami zostało udostępnione także szkołom. Tak by nauczyciele mogli skorzystać podczas lekcji wychowania fizycznego (wyświetlając na platformie Teams). Ćwiczenia wykonywały dzieci </w:t>
      </w:r>
      <w:r w:rsidRPr="00E00B35">
        <w:rPr>
          <w:rFonts w:cs="Arial"/>
          <w:szCs w:val="20"/>
        </w:rPr>
        <w:lastRenderedPageBreak/>
        <w:t xml:space="preserve">z wrocławskiej szkoły przygody SAS, prowadzenie: Marcin Wroński, trener personalny oraz Bogdan Tymoszyk, szef </w:t>
      </w:r>
      <w:r w:rsidRPr="00E00B35">
        <w:rPr>
          <w:szCs w:val="20"/>
        </w:rPr>
        <w:t xml:space="preserve">Szkoły Przygody SAS.  </w:t>
      </w:r>
    </w:p>
    <w:p w:rsidR="00B86812" w:rsidRPr="00E00B35" w:rsidRDefault="00B86812" w:rsidP="00E00B35">
      <w:pPr>
        <w:pStyle w:val="Default"/>
        <w:spacing w:after="0" w:line="312" w:lineRule="auto"/>
        <w:rPr>
          <w:rFonts w:ascii="Verdana" w:hAnsi="Verdana"/>
          <w:sz w:val="20"/>
          <w:szCs w:val="20"/>
        </w:rPr>
      </w:pPr>
      <w:r w:rsidRPr="00E00B35">
        <w:rPr>
          <w:rFonts w:ascii="Verdana" w:hAnsi="Verdana"/>
          <w:sz w:val="20"/>
          <w:szCs w:val="20"/>
        </w:rPr>
        <w:t xml:space="preserve">Kolejny tydzień programu treningowego (30 listopada do 4 grudnia) przygotowała trenerka personalna i doradczyni dietetyczna Magdalena Karasińska – Nowak ze studia treningu personalnego Home Fit Studio. Celem tego zestawu ćwiczeń była poprawa/lub przywrócenie sprawności oraz utrzymanie jej wśród ćwiczących seniorów, tak aby codzienne czynności nie sprawiały trudności oraz bólu. Trening cechowała niska intensywność, co umożliwiło udział w treningu także osób na co dzień nieaktywnych sportowo. Spoty zostały wysłane także do WCRS. </w:t>
      </w:r>
    </w:p>
    <w:p w:rsidR="00B86812" w:rsidRPr="00E00B35" w:rsidRDefault="00B86812" w:rsidP="00E00B35">
      <w:pPr>
        <w:pStyle w:val="Default"/>
        <w:spacing w:after="0" w:line="312" w:lineRule="auto"/>
        <w:rPr>
          <w:rFonts w:ascii="Verdana" w:hAnsi="Verdana"/>
          <w:sz w:val="20"/>
          <w:szCs w:val="20"/>
        </w:rPr>
      </w:pPr>
      <w:r w:rsidRPr="00E00B35">
        <w:rPr>
          <w:rFonts w:ascii="Verdana" w:hAnsi="Verdana"/>
          <w:sz w:val="20"/>
          <w:szCs w:val="20"/>
        </w:rPr>
        <w:t xml:space="preserve">Ostatni tydzień (od 7 do 11 grudnia) projekt </w:t>
      </w:r>
      <w:r w:rsidRPr="00E00B35">
        <w:rPr>
          <w:rFonts w:ascii="Verdana" w:hAnsi="Verdana"/>
          <w:bCs/>
          <w:sz w:val="20"/>
          <w:szCs w:val="20"/>
        </w:rPr>
        <w:t>„Czas Na Ruch”</w:t>
      </w:r>
      <w:r w:rsidRPr="00E00B35">
        <w:rPr>
          <w:rFonts w:ascii="Verdana" w:hAnsi="Verdana"/>
          <w:sz w:val="20"/>
          <w:szCs w:val="20"/>
        </w:rPr>
        <w:t xml:space="preserve"> skoncentrowany był na programie ćwiczeń z serii „Zdrowy kręgosłup dla osób pracujących przed komputerem”, którzy przygotowali trenerzy personalni i doradcy dietetyczny Joanna i Bartłomiej Błaszczyk ze studia treningu personalnego Body Hero.</w:t>
      </w:r>
    </w:p>
    <w:p w:rsidR="00B86812" w:rsidRPr="00E00B35" w:rsidRDefault="00B86812" w:rsidP="00E00B35">
      <w:pPr>
        <w:pStyle w:val="Default"/>
        <w:spacing w:after="0" w:line="312" w:lineRule="auto"/>
        <w:rPr>
          <w:rFonts w:ascii="Verdana" w:hAnsi="Verdana"/>
          <w:sz w:val="20"/>
          <w:szCs w:val="20"/>
        </w:rPr>
      </w:pPr>
      <w:r w:rsidRPr="00E00B35">
        <w:rPr>
          <w:rFonts w:ascii="Verdana" w:hAnsi="Verdana" w:cs="Arial"/>
          <w:sz w:val="20"/>
          <w:szCs w:val="20"/>
        </w:rPr>
        <w:t xml:space="preserve">Programy treningowe były tak przygotowane aby można było je wykonać w domu, bez konieczności posiadania specjalistycznego sprzętu. Ćwiczenia dobrane były </w:t>
      </w:r>
      <w:r w:rsidRPr="00E00B35">
        <w:rPr>
          <w:rFonts w:ascii="Verdana" w:hAnsi="Verdana" w:cs="Arial"/>
          <w:sz w:val="20"/>
          <w:szCs w:val="20"/>
        </w:rPr>
        <w:br/>
        <w:t xml:space="preserve">w taki sposób, aby mogła wykonać osoba wysportowana, jak nieco mniej aktywna sportowo. </w:t>
      </w:r>
      <w:r w:rsidRPr="00E00B35">
        <w:rPr>
          <w:rFonts w:ascii="Verdana" w:hAnsi="Verdana"/>
          <w:sz w:val="20"/>
          <w:szCs w:val="20"/>
        </w:rPr>
        <w:t xml:space="preserve">Program treningowy został nakręcony w „Centrum na Przedmieściu”. </w:t>
      </w:r>
    </w:p>
    <w:p w:rsidR="00B86812" w:rsidRPr="00E00B35" w:rsidRDefault="00B86812" w:rsidP="00E00B35">
      <w:pPr>
        <w:spacing w:after="0" w:line="312" w:lineRule="auto"/>
        <w:rPr>
          <w:color w:val="000000"/>
          <w:szCs w:val="20"/>
        </w:rPr>
      </w:pPr>
    </w:p>
    <w:p w:rsidR="00B86812" w:rsidRPr="00E00B35" w:rsidRDefault="00B86812" w:rsidP="00E00B35">
      <w:pPr>
        <w:pStyle w:val="Nagwek5"/>
        <w:rPr>
          <w:szCs w:val="20"/>
        </w:rPr>
      </w:pPr>
      <w:r w:rsidRPr="00E00B35">
        <w:rPr>
          <w:szCs w:val="20"/>
        </w:rPr>
        <w:t>Wrocławskie ZOOpowieści</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rFonts w:cs="Helvetica"/>
          <w:color w:val="1D2129"/>
          <w:szCs w:val="20"/>
          <w:shd w:val="clear" w:color="auto" w:fill="FFFFFF"/>
        </w:rPr>
      </w:pPr>
      <w:r w:rsidRPr="00E00B35">
        <w:rPr>
          <w:color w:val="000000"/>
          <w:szCs w:val="20"/>
        </w:rPr>
        <w:t xml:space="preserve">W każdą sobotę października o godzinie 11.00 na fanpage’u Wroclaw [Wroclove] </w:t>
      </w:r>
      <w:r w:rsidRPr="00E00B35">
        <w:rPr>
          <w:color w:val="000000"/>
          <w:szCs w:val="20"/>
        </w:rPr>
        <w:br/>
        <w:t>i Visit Wroclaw oraz na You Tube VisitWroclaw emitowany był program Wrocławskie ZOOpowieści, prowadzony przez 10-letniego pasjonata zwierząt – Ziemka (Ziemowit Wiktorski).</w:t>
      </w:r>
    </w:p>
    <w:p w:rsidR="00B86812" w:rsidRPr="00E00B35" w:rsidRDefault="00B86812" w:rsidP="00E00B35">
      <w:pPr>
        <w:pStyle w:val="NormalnyWeb"/>
        <w:shd w:val="clear" w:color="auto" w:fill="FFFFFF"/>
        <w:spacing w:before="0" w:beforeAutospacing="0" w:after="0" w:afterAutospacing="0" w:line="312" w:lineRule="auto"/>
        <w:rPr>
          <w:color w:val="000000"/>
          <w:szCs w:val="20"/>
        </w:rPr>
      </w:pPr>
      <w:r w:rsidRPr="00E00B35">
        <w:rPr>
          <w:color w:val="000000"/>
          <w:szCs w:val="20"/>
        </w:rPr>
        <w:t>Aby zaspokoić ciekawość swoją i swoich rówieśników, Ziemek odwiedził różne fascynujące miejsca we Wrocławiu,  m.in. wrocławskie zoo, Muzeum Przyrodnicze czy Hydropolis.</w:t>
      </w:r>
    </w:p>
    <w:p w:rsidR="00B86812" w:rsidRPr="00E00B35" w:rsidRDefault="00B86812" w:rsidP="00E00B35">
      <w:pPr>
        <w:pStyle w:val="NormalnyWeb"/>
        <w:shd w:val="clear" w:color="auto" w:fill="FFFFFF"/>
        <w:spacing w:before="0" w:beforeAutospacing="0" w:after="0" w:afterAutospacing="0" w:line="312" w:lineRule="auto"/>
        <w:rPr>
          <w:szCs w:val="20"/>
        </w:rPr>
      </w:pPr>
      <w:r w:rsidRPr="00E00B35">
        <w:rPr>
          <w:color w:val="000000"/>
          <w:szCs w:val="20"/>
        </w:rPr>
        <w:t xml:space="preserve">Miejsca, które zobaczyliśmy w programie to popularne atrakcje turystyczne. Wrocławski Ogród Zoologiczny co roku odwiedzają miliony zwiedzających, aby podziwiać gatunki z najodleglejszych zakątków świata. To najstarsze zoo w Polsce i piąte najchętniej odwiedzane zoo na świecie! Muzeum Przyrodnicze we Wrocławiu istnieje od ponad 200 lat. Jego kolekcja naukowa liczy około trzech milionów okazów. To największa w Polsce ekspozycja przyrodnicza! Hydropolis natomiast to unikatowe centrum wiedzy o wodzie, które łączy walory edukacyjne </w:t>
      </w:r>
      <w:r w:rsidRPr="00E00B35">
        <w:rPr>
          <w:color w:val="000000"/>
          <w:szCs w:val="20"/>
        </w:rPr>
        <w:br/>
        <w:t>z nowoczesną formą wystawienniczą. To atrakcja dla osób w każdym wieku! </w:t>
      </w:r>
    </w:p>
    <w:p w:rsidR="00B86812" w:rsidRPr="00E00B35" w:rsidRDefault="00B86812" w:rsidP="00E00B35">
      <w:pPr>
        <w:pStyle w:val="NormalnyWeb"/>
        <w:shd w:val="clear" w:color="auto" w:fill="FFFFFF"/>
        <w:spacing w:before="0" w:beforeAutospacing="0" w:after="0" w:afterAutospacing="0" w:line="312" w:lineRule="auto"/>
        <w:rPr>
          <w:szCs w:val="20"/>
        </w:rPr>
      </w:pPr>
      <w:r w:rsidRPr="00E00B35">
        <w:rPr>
          <w:color w:val="000000"/>
          <w:szCs w:val="20"/>
        </w:rPr>
        <w:t xml:space="preserve">W programie nie zabrakło także miejsc mniej oczywistych, ale niemniej ciekawych. W każdym odcinku poruszane były tematy ważne dla naszej planety, m.in. zagrożenia czyhające na rzadkie gatunki, zmiany klimatu czy przemyt </w:t>
      </w:r>
      <w:r w:rsidRPr="00E00B35">
        <w:rPr>
          <w:color w:val="000000"/>
          <w:szCs w:val="20"/>
        </w:rPr>
        <w:br/>
        <w:t xml:space="preserve">i kłusownictwo. Wszystko wyjaśnione przystępnym dla dzieci językiem przez ich rówieśnika. Program emitowany online w każdą sobotę października o 11.00 to idealna propozycja dla wszystkich ciekawych świata dzieci. </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lastRenderedPageBreak/>
        <w:t>Odkryj Wrocław</w:t>
      </w:r>
    </w:p>
    <w:p w:rsidR="00B86812" w:rsidRPr="00E00B35" w:rsidRDefault="00B86812" w:rsidP="00E00B35">
      <w:pPr>
        <w:spacing w:after="0" w:line="312" w:lineRule="auto"/>
        <w:rPr>
          <w:color w:val="000000"/>
          <w:szCs w:val="20"/>
        </w:rPr>
      </w:pPr>
      <w:r w:rsidRPr="00E00B35">
        <w:rPr>
          <w:color w:val="000000"/>
          <w:szCs w:val="20"/>
        </w:rPr>
        <w:t>Program Odkryj Wrocław był emitowany przez cztery kolejne soboty listopada o godz. 11.00 na fanpage’ach Wroclaw [Wroclove] i Visit Wroclaw oraz na kanale na YouTube Visit Wroclaw.</w:t>
      </w:r>
    </w:p>
    <w:p w:rsidR="00B86812" w:rsidRPr="00E00B35" w:rsidRDefault="00B86812" w:rsidP="00E00B35">
      <w:pPr>
        <w:spacing w:after="0" w:line="312" w:lineRule="auto"/>
        <w:rPr>
          <w:color w:val="000000"/>
          <w:szCs w:val="20"/>
        </w:rPr>
      </w:pPr>
    </w:p>
    <w:p w:rsidR="00B86812" w:rsidRPr="00E00B35" w:rsidRDefault="00B86812" w:rsidP="00E00B35">
      <w:pPr>
        <w:spacing w:after="0" w:line="312" w:lineRule="auto"/>
        <w:rPr>
          <w:szCs w:val="20"/>
        </w:rPr>
      </w:pPr>
      <w:r w:rsidRPr="00E00B35">
        <w:rPr>
          <w:color w:val="000000"/>
          <w:szCs w:val="20"/>
        </w:rPr>
        <w:t>Przewodniki po naszym mieście zazwyczaj kierują turystów na Stare Miasto, aby zobaczyli rynek z ratuszem, kolorowe kamieniczki czy gmach uniwersytetu. W top 10 jest także Ostrów Tumski, Hala Stulecia i wiele innych atrakcji. To symbole Wrocławia i nic tego nie zmieni, ale miasto ma do zaoferowania o wiele więcej.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color w:val="000000"/>
          <w:szCs w:val="20"/>
        </w:rPr>
        <w:t xml:space="preserve">Parę kroków od najsłynniejszych atrakcji, znajdziemy te mniej znane, ale niemniej ciekawe. Muzeum Farmacji mieści się w rynku w dawnym domu aptekarza, </w:t>
      </w:r>
      <w:r w:rsidRPr="00E00B35">
        <w:rPr>
          <w:color w:val="000000"/>
          <w:szCs w:val="20"/>
        </w:rPr>
        <w:br/>
        <w:t xml:space="preserve">a kompleks ponad stuletnich klinik nieopodal parku Szczytnickiego to jedno </w:t>
      </w:r>
      <w:r w:rsidRPr="00E00B35">
        <w:rPr>
          <w:color w:val="000000"/>
          <w:szCs w:val="20"/>
        </w:rPr>
        <w:br/>
        <w:t xml:space="preserve">z piękniejszych miejsc we Wrocławiu. Nadodrze, dzielnica w samym sercu miasta, z niesamowitą historią – tu po 1945 roku rezydował pierwszy prezydent polskiego Wrocławia, powstały pierwsza szkoła czy poczta, a także siedziba policji.  Całkiem blisko centrum, a dla przybywających pociągiem jeszcze bliżej, znajduje się dworzec główny PKP. Pierwsza linia kolejowa na ziemiach polskich, w obecnych granicach, została otwarta 22 maja 1842 i połączyła właśnie Wrocław z pobliską Oławą. No i Odra, która przecina miasto tak gęsto, że potrzeba ponad 100 mostów i kładek, aby się po nim przemieszczać. System dróg wodnych oraz budowli hydrotechnicznych, nazywany Wrocławskim Węzłem Wodnym, jest jednym </w:t>
      </w:r>
      <w:r w:rsidRPr="00E00B35">
        <w:rPr>
          <w:color w:val="000000"/>
          <w:szCs w:val="20"/>
        </w:rPr>
        <w:br/>
        <w:t>z największych w Polsce i Europie.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color w:val="000000"/>
          <w:szCs w:val="20"/>
        </w:rPr>
      </w:pPr>
      <w:r w:rsidRPr="00E00B35">
        <w:rPr>
          <w:color w:val="000000"/>
          <w:szCs w:val="20"/>
        </w:rPr>
        <w:t>Ten nieopisany i niezbadany do końca Wrocław przybliżył nam w czterech kilkunastominutowych filmach pt. Odkryj Wrocław przewodnik miejski Arek F</w:t>
      </w:r>
      <w:r w:rsidRPr="00E00B35">
        <w:rPr>
          <w:rFonts w:ascii="Calibri" w:hAnsi="Calibri" w:cs="Calibri"/>
          <w:color w:val="000000"/>
          <w:szCs w:val="20"/>
        </w:rPr>
        <w:t>ӧ</w:t>
      </w:r>
      <w:r w:rsidRPr="00E00B35">
        <w:rPr>
          <w:color w:val="000000"/>
          <w:szCs w:val="20"/>
        </w:rPr>
        <w:t>rster.</w:t>
      </w:r>
    </w:p>
    <w:p w:rsidR="00B86812" w:rsidRPr="00E00B35" w:rsidRDefault="00B86812" w:rsidP="00E00B35">
      <w:pPr>
        <w:spacing w:after="0" w:line="312" w:lineRule="auto"/>
        <w:rPr>
          <w:color w:val="000000"/>
          <w:szCs w:val="20"/>
        </w:rPr>
      </w:pPr>
    </w:p>
    <w:p w:rsidR="00B86812" w:rsidRPr="00E00B35" w:rsidRDefault="00B86812" w:rsidP="00E00B35">
      <w:pPr>
        <w:pStyle w:val="Nagwek5"/>
        <w:rPr>
          <w:szCs w:val="20"/>
        </w:rPr>
      </w:pPr>
      <w:r w:rsidRPr="00E00B35">
        <w:rPr>
          <w:szCs w:val="20"/>
        </w:rPr>
        <w:t>Kindloteka</w:t>
      </w:r>
    </w:p>
    <w:p w:rsidR="00B86812" w:rsidRPr="00E00B35" w:rsidRDefault="00B86812" w:rsidP="00E00B35">
      <w:pPr>
        <w:pStyle w:val="Default"/>
        <w:spacing w:after="0" w:line="312" w:lineRule="auto"/>
        <w:rPr>
          <w:rFonts w:ascii="Verdana" w:hAnsi="Verdana"/>
          <w:sz w:val="20"/>
          <w:szCs w:val="20"/>
        </w:rPr>
      </w:pPr>
      <w:r w:rsidRPr="00E00B35">
        <w:rPr>
          <w:rFonts w:ascii="Verdana" w:hAnsi="Verdana"/>
          <w:sz w:val="20"/>
          <w:szCs w:val="20"/>
        </w:rPr>
        <w:t xml:space="preserve">Pierwsza we Wrocławiu Kindloteka ufundowana przez Amazon. Znajduje się we Wrocławskiej filii MBP – Multicentrum. Przeszkoleni zostali bibliotekarze, bibliotekę wyposażono w Kindle, czytniki, i programy do nauki podstaw programowania, </w:t>
      </w:r>
      <w:r w:rsidRPr="00E00B35">
        <w:rPr>
          <w:rFonts w:ascii="Verdana" w:hAnsi="Verdana"/>
          <w:sz w:val="20"/>
          <w:szCs w:val="20"/>
        </w:rPr>
        <w:br/>
        <w:t xml:space="preserve">a także materiały do nauki kodowania. </w:t>
      </w:r>
    </w:p>
    <w:p w:rsidR="00B86812" w:rsidRPr="00E00B35" w:rsidRDefault="00B86812" w:rsidP="00E00B35">
      <w:pPr>
        <w:pStyle w:val="Default"/>
        <w:spacing w:after="0" w:line="312" w:lineRule="auto"/>
        <w:rPr>
          <w:rFonts w:ascii="Verdana" w:hAnsi="Verdana"/>
          <w:sz w:val="20"/>
          <w:szCs w:val="20"/>
        </w:rPr>
      </w:pPr>
    </w:p>
    <w:p w:rsidR="00B86812" w:rsidRPr="00E00B35" w:rsidRDefault="00B86812" w:rsidP="00E00B35">
      <w:pPr>
        <w:spacing w:after="0" w:line="312" w:lineRule="auto"/>
        <w:rPr>
          <w:rFonts w:cs="Helvetica"/>
          <w:b/>
          <w:color w:val="1D2129"/>
          <w:szCs w:val="20"/>
        </w:rPr>
      </w:pPr>
    </w:p>
    <w:p w:rsidR="00B86812" w:rsidRPr="00E00B35" w:rsidRDefault="00B86812" w:rsidP="00E00B35">
      <w:pPr>
        <w:pStyle w:val="Nagwek5"/>
        <w:rPr>
          <w:szCs w:val="20"/>
        </w:rPr>
      </w:pPr>
      <w:r w:rsidRPr="00E00B35">
        <w:rPr>
          <w:szCs w:val="20"/>
        </w:rPr>
        <w:t xml:space="preserve">Better Box czyli skarbonki dobra – produkt KJOSK. </w:t>
      </w:r>
    </w:p>
    <w:p w:rsidR="00B86812" w:rsidRPr="00E00B35" w:rsidRDefault="00B86812" w:rsidP="00E00B35">
      <w:pPr>
        <w:pStyle w:val="Default"/>
        <w:spacing w:after="0" w:line="312" w:lineRule="auto"/>
        <w:rPr>
          <w:rFonts w:ascii="Verdana" w:hAnsi="Verdana" w:cs="Calibri"/>
          <w:sz w:val="20"/>
          <w:szCs w:val="20"/>
        </w:rPr>
      </w:pPr>
      <w:r w:rsidRPr="00E00B35">
        <w:rPr>
          <w:rFonts w:ascii="Verdana" w:hAnsi="Verdana" w:cs="Calibri"/>
          <w:sz w:val="20"/>
          <w:szCs w:val="20"/>
        </w:rPr>
        <w:t xml:space="preserve">W 24  galeriach Ceetrus w całej Polsce stanęły digitalne puszki – skarbonki dobra za pomocą których można wesprzeć wybraną fundację, określonym datkiem. </w:t>
      </w:r>
      <w:r w:rsidRPr="00E00B35">
        <w:rPr>
          <w:rFonts w:ascii="Verdana" w:hAnsi="Verdana" w:cs="Calibri"/>
          <w:sz w:val="20"/>
          <w:szCs w:val="20"/>
        </w:rPr>
        <w:br/>
        <w:t>We Wrocławiu puszki znajdziemy, m.in. w Auchan Bielany, Galerii Dominikańskiej oraz w Pasażu Grunwaldzkiem.</w:t>
      </w:r>
    </w:p>
    <w:p w:rsidR="00B86812" w:rsidRPr="00E00B35" w:rsidRDefault="00B86812" w:rsidP="00E00B35">
      <w:pPr>
        <w:spacing w:after="0" w:line="312" w:lineRule="auto"/>
        <w:rPr>
          <w:color w:val="000000"/>
          <w:szCs w:val="20"/>
        </w:rPr>
      </w:pPr>
    </w:p>
    <w:p w:rsidR="00B86812" w:rsidRPr="00E00B35" w:rsidRDefault="00B86812" w:rsidP="00E00B35">
      <w:pPr>
        <w:pStyle w:val="Nagwek5"/>
        <w:rPr>
          <w:szCs w:val="20"/>
        </w:rPr>
      </w:pPr>
      <w:r w:rsidRPr="00E00B35">
        <w:rPr>
          <w:szCs w:val="20"/>
        </w:rPr>
        <w:t xml:space="preserve">Projekt maseczkomaty w ZOO </w:t>
      </w:r>
    </w:p>
    <w:p w:rsidR="00B86812" w:rsidRPr="00E00B35" w:rsidRDefault="00B86812" w:rsidP="00E00B35">
      <w:pPr>
        <w:pStyle w:val="Default"/>
        <w:spacing w:after="0" w:line="312" w:lineRule="auto"/>
        <w:rPr>
          <w:rFonts w:ascii="Verdana" w:hAnsi="Verdana"/>
          <w:sz w:val="20"/>
          <w:szCs w:val="20"/>
        </w:rPr>
      </w:pPr>
      <w:r w:rsidRPr="00E00B35">
        <w:rPr>
          <w:rFonts w:ascii="Verdana" w:hAnsi="Verdana"/>
          <w:sz w:val="20"/>
          <w:szCs w:val="20"/>
        </w:rPr>
        <w:t xml:space="preserve">W sierpniu przed ZOO wrocławska firma As vending zamontowała maseczkomat </w:t>
      </w:r>
      <w:r w:rsidRPr="00E00B35">
        <w:rPr>
          <w:rFonts w:ascii="Verdana" w:hAnsi="Verdana"/>
          <w:sz w:val="20"/>
          <w:szCs w:val="20"/>
        </w:rPr>
        <w:br/>
        <w:t xml:space="preserve">z maseczkami zaprojektowanymi przez grafików WPM. Maseczki przedstawiają podobizn </w:t>
      </w:r>
      <w:r w:rsidRPr="00E00B35">
        <w:rPr>
          <w:rFonts w:ascii="Verdana" w:hAnsi="Verdana"/>
          <w:sz w:val="20"/>
          <w:szCs w:val="20"/>
        </w:rPr>
        <w:lastRenderedPageBreak/>
        <w:t xml:space="preserve">zwierzą z ZOO. Całość środków ze sprzedaży przekazana jest na potrzeby Wrocławskiego ZOO. </w:t>
      </w:r>
    </w:p>
    <w:p w:rsidR="00B86812" w:rsidRPr="00E00B35" w:rsidRDefault="00B86812" w:rsidP="00E00B35">
      <w:pPr>
        <w:spacing w:after="0" w:line="312" w:lineRule="auto"/>
        <w:rPr>
          <w:color w:val="000000"/>
          <w:szCs w:val="20"/>
        </w:rPr>
      </w:pPr>
    </w:p>
    <w:p w:rsidR="00B86812" w:rsidRPr="00E00B35" w:rsidRDefault="00B86812" w:rsidP="00E00B35">
      <w:pPr>
        <w:pStyle w:val="Nagwek5"/>
        <w:rPr>
          <w:szCs w:val="20"/>
        </w:rPr>
      </w:pPr>
      <w:r w:rsidRPr="00E00B35">
        <w:rPr>
          <w:szCs w:val="20"/>
        </w:rPr>
        <w:t>Informator Urzędowy https://informator.um.wroc.pl/</w:t>
      </w:r>
    </w:p>
    <w:p w:rsidR="00B86812" w:rsidRPr="00E00B35" w:rsidRDefault="00B86812" w:rsidP="00E00B35">
      <w:pPr>
        <w:pStyle w:val="Default"/>
        <w:spacing w:after="0" w:line="312" w:lineRule="auto"/>
        <w:rPr>
          <w:rFonts w:ascii="Verdana" w:hAnsi="Verdana"/>
          <w:sz w:val="20"/>
          <w:szCs w:val="20"/>
        </w:rPr>
      </w:pPr>
      <w:r w:rsidRPr="00E00B35">
        <w:rPr>
          <w:rFonts w:ascii="Verdana" w:hAnsi="Verdana"/>
          <w:sz w:val="20"/>
          <w:szCs w:val="20"/>
        </w:rPr>
        <w:t xml:space="preserve">Projekt prowadzony przy współpracy z Wydziałem Komunikacji Społecznej UM. Strona pracownicza otwiera się jako pierwsza strona startowa przy uruchamianiu Internetu. </w:t>
      </w:r>
    </w:p>
    <w:p w:rsidR="00B86812" w:rsidRPr="00E00B35" w:rsidRDefault="00B86812" w:rsidP="00E00B35">
      <w:pPr>
        <w:pStyle w:val="Default"/>
        <w:spacing w:after="0" w:line="312" w:lineRule="auto"/>
        <w:rPr>
          <w:rFonts w:ascii="Verdana" w:hAnsi="Verdana"/>
          <w:sz w:val="20"/>
          <w:szCs w:val="20"/>
        </w:rPr>
      </w:pPr>
      <w:r w:rsidRPr="00E00B35">
        <w:rPr>
          <w:rFonts w:ascii="Verdana" w:hAnsi="Verdana"/>
          <w:sz w:val="20"/>
          <w:szCs w:val="20"/>
        </w:rPr>
        <w:t xml:space="preserve">Na stronie pracownicy Urzędu Miejskiego znajdą w jednym miejscu: sprawy pracownicze, tematy dot. RODO, sprawy socjalne, informacje o bieżących wydarzeniach, kalendarz, miejskie social media, aktualny biuletyn miejski czy link do treści dot. koronawirusa oraz do dostęp do ekstranetu.   </w:t>
      </w:r>
    </w:p>
    <w:p w:rsidR="00B86812" w:rsidRPr="00E00B35" w:rsidRDefault="00B86812" w:rsidP="00E00B35">
      <w:pPr>
        <w:spacing w:after="0" w:line="312" w:lineRule="auto"/>
        <w:rPr>
          <w:color w:val="000000"/>
          <w:szCs w:val="20"/>
        </w:rPr>
      </w:pPr>
    </w:p>
    <w:p w:rsidR="00B86812" w:rsidRPr="00E00B35" w:rsidRDefault="00B86812" w:rsidP="00E00B35">
      <w:pPr>
        <w:pStyle w:val="Nagwek5"/>
        <w:rPr>
          <w:szCs w:val="20"/>
        </w:rPr>
      </w:pPr>
      <w:r w:rsidRPr="00E00B35">
        <w:rPr>
          <w:szCs w:val="20"/>
        </w:rPr>
        <w:t xml:space="preserve">Zdalne nauczanie – kurs obsługi Teams </w:t>
      </w:r>
    </w:p>
    <w:p w:rsidR="00B86812" w:rsidRPr="00E00B35" w:rsidRDefault="00B86812" w:rsidP="00E00B35">
      <w:pPr>
        <w:autoSpaceDE w:val="0"/>
        <w:autoSpaceDN w:val="0"/>
        <w:adjustRightInd w:val="0"/>
        <w:spacing w:after="0" w:line="312" w:lineRule="auto"/>
        <w:rPr>
          <w:rFonts w:eastAsia="Raleway-Regular" w:cs="Raleway-Regular"/>
          <w:szCs w:val="20"/>
        </w:rPr>
      </w:pPr>
      <w:r w:rsidRPr="00E00B35">
        <w:rPr>
          <w:rFonts w:eastAsia="Raleway-Regular" w:cs="Raleway-Regular"/>
          <w:szCs w:val="20"/>
        </w:rPr>
        <w:t xml:space="preserve">Sierpień 2020. Projekt pilotażowy, bezpłatne warsztaty dla 60 nauczycieli </w:t>
      </w:r>
      <w:r w:rsidRPr="00E00B35">
        <w:rPr>
          <w:rFonts w:eastAsia="Raleway-Regular" w:cs="Raleway-Regular"/>
          <w:szCs w:val="20"/>
        </w:rPr>
        <w:br/>
        <w:t xml:space="preserve">z zakresu obsługi Teams, prowadzone przez Stowarzyszenie Cyfrowy Dialog oraz firmę Amazon. Znakomite wyniki, oceny z ankiet po przeprowadzonym szkoleniu. </w:t>
      </w:r>
    </w:p>
    <w:p w:rsidR="00B86812" w:rsidRPr="00E00B35" w:rsidRDefault="00B86812" w:rsidP="00E00B35">
      <w:pPr>
        <w:pStyle w:val="Default"/>
        <w:spacing w:after="0" w:line="312" w:lineRule="auto"/>
        <w:rPr>
          <w:rFonts w:ascii="Verdana" w:hAnsi="Verdana"/>
          <w:sz w:val="20"/>
          <w:szCs w:val="20"/>
        </w:rPr>
      </w:pPr>
    </w:p>
    <w:p w:rsidR="00B86812" w:rsidRPr="00E00B35" w:rsidRDefault="00B86812" w:rsidP="00E00B35">
      <w:pPr>
        <w:pStyle w:val="Nagwek5"/>
        <w:rPr>
          <w:szCs w:val="20"/>
        </w:rPr>
      </w:pPr>
      <w:r w:rsidRPr="00E00B35">
        <w:rPr>
          <w:szCs w:val="20"/>
        </w:rPr>
        <w:t xml:space="preserve">Wrocław się szczepi </w:t>
      </w:r>
    </w:p>
    <w:p w:rsidR="00B86812" w:rsidRPr="00E00B35" w:rsidRDefault="00B86812" w:rsidP="00E00B35">
      <w:pPr>
        <w:autoSpaceDE w:val="0"/>
        <w:autoSpaceDN w:val="0"/>
        <w:adjustRightInd w:val="0"/>
        <w:spacing w:after="0" w:line="312" w:lineRule="auto"/>
        <w:rPr>
          <w:rFonts w:eastAsia="Raleway-Regular" w:cs="Raleway-Regular"/>
          <w:szCs w:val="20"/>
        </w:rPr>
      </w:pPr>
      <w:r w:rsidRPr="00E00B35">
        <w:rPr>
          <w:rFonts w:eastAsia="Raleway-Regular" w:cs="Raleway-Regular"/>
          <w:szCs w:val="20"/>
        </w:rPr>
        <w:t xml:space="preserve">Celem kampanii było zwiększenie świadomości i wiedzy na temat szczepień. </w:t>
      </w:r>
      <w:r w:rsidRPr="00E00B35">
        <w:rPr>
          <w:rFonts w:eastAsia="Raleway-Regular" w:cs="Raleway-Regular"/>
          <w:szCs w:val="20"/>
        </w:rPr>
        <w:br/>
        <w:t xml:space="preserve">W ostatnich latach obowiązkowe szczepienia stały się tematem kontrowersyjnym, powstają bardzo silne ruchy antyszepionkowe, co prowadzi do wzrastającej liczbie osób odmawiających poddania się szczepieniu, co bezpośrednio prowadzi do powrotu takich chorób jak odra. </w:t>
      </w:r>
    </w:p>
    <w:p w:rsidR="00B86812" w:rsidRPr="00E00B35" w:rsidRDefault="00B86812" w:rsidP="00E00B35">
      <w:pPr>
        <w:pStyle w:val="Default"/>
        <w:spacing w:after="0" w:line="312" w:lineRule="auto"/>
        <w:rPr>
          <w:rFonts w:ascii="Verdana" w:hAnsi="Verdana"/>
          <w:sz w:val="20"/>
          <w:szCs w:val="20"/>
        </w:rPr>
      </w:pPr>
    </w:p>
    <w:p w:rsidR="00B86812" w:rsidRPr="00E00B35" w:rsidRDefault="00B86812" w:rsidP="00E00B35">
      <w:pPr>
        <w:pStyle w:val="Nagwek5"/>
        <w:rPr>
          <w:szCs w:val="20"/>
        </w:rPr>
      </w:pPr>
      <w:r w:rsidRPr="00E00B35">
        <w:rPr>
          <w:szCs w:val="20"/>
        </w:rPr>
        <w:t xml:space="preserve">Konferencja Influencers Live Wrocław, październik 2020 </w:t>
      </w:r>
    </w:p>
    <w:p w:rsidR="00B86812" w:rsidRPr="00E00B35" w:rsidRDefault="00B86812" w:rsidP="00E00B35">
      <w:pPr>
        <w:pStyle w:val="p1"/>
        <w:spacing w:before="0" w:beforeAutospacing="0" w:after="0" w:afterAutospacing="0" w:line="312" w:lineRule="auto"/>
        <w:rPr>
          <w:rStyle w:val="apple-converted-space"/>
          <w:szCs w:val="20"/>
        </w:rPr>
      </w:pPr>
      <w:r w:rsidRPr="00E00B35">
        <w:rPr>
          <w:szCs w:val="20"/>
        </w:rPr>
        <w:t>W tym roku podczas online edition wystąpiło 73 prelegentów i powstało około 36 godzin materiałów</w:t>
      </w:r>
      <w:r w:rsidRPr="00E00B35">
        <w:rPr>
          <w:rStyle w:val="apple-converted-space"/>
          <w:szCs w:val="20"/>
        </w:rPr>
        <w:t>.</w:t>
      </w:r>
    </w:p>
    <w:p w:rsidR="00B86812" w:rsidRPr="00E00B35" w:rsidRDefault="00B86812" w:rsidP="00E00B35">
      <w:pPr>
        <w:pStyle w:val="p1"/>
        <w:spacing w:before="0" w:beforeAutospacing="0" w:after="0" w:afterAutospacing="0" w:line="312" w:lineRule="auto"/>
        <w:rPr>
          <w:szCs w:val="20"/>
        </w:rPr>
      </w:pPr>
      <w:r w:rsidRPr="00E00B35">
        <w:rPr>
          <w:rFonts w:cs="Arial"/>
          <w:szCs w:val="20"/>
          <w:shd w:val="clear" w:color="auto" w:fill="FBFBFB"/>
        </w:rPr>
        <w:t>Jest to prawdopodobnie największą konferencję online na świecie. Przez cały październik w każdy poniedziałek, środę oraz piątek były udostępniane materiały wideo z prelekcjami, warsztatami, panelami oraz wywiadami z fantastycznymi twórcami, ekspertami oraz specjalistami od Influencer Marketingu.</w:t>
      </w:r>
    </w:p>
    <w:p w:rsidR="00B86812" w:rsidRPr="00E00B35" w:rsidRDefault="00B86812" w:rsidP="00E00B35">
      <w:pPr>
        <w:pStyle w:val="p3"/>
        <w:spacing w:line="312" w:lineRule="auto"/>
        <w:rPr>
          <w:rFonts w:ascii="Verdana" w:hAnsi="Verdana"/>
          <w:sz w:val="20"/>
          <w:szCs w:val="20"/>
        </w:rPr>
      </w:pPr>
    </w:p>
    <w:p w:rsidR="00B86812" w:rsidRPr="00E00B35" w:rsidRDefault="00B86812" w:rsidP="00E00B35">
      <w:pPr>
        <w:pStyle w:val="p1"/>
        <w:spacing w:before="0" w:beforeAutospacing="0" w:after="0" w:afterAutospacing="0" w:line="312" w:lineRule="auto"/>
        <w:rPr>
          <w:szCs w:val="20"/>
        </w:rPr>
      </w:pPr>
    </w:p>
    <w:p w:rsidR="00B86812" w:rsidRPr="00E00B35" w:rsidRDefault="00B86812" w:rsidP="00E00B35">
      <w:pPr>
        <w:widowControl w:val="0"/>
        <w:autoSpaceDE w:val="0"/>
        <w:autoSpaceDN w:val="0"/>
        <w:adjustRightInd w:val="0"/>
        <w:spacing w:after="0" w:line="312" w:lineRule="auto"/>
        <w:rPr>
          <w:rFonts w:cs="Times"/>
          <w:color w:val="000000"/>
          <w:szCs w:val="20"/>
        </w:rPr>
      </w:pPr>
      <w:r w:rsidRPr="00E00B35">
        <w:rPr>
          <w:rFonts w:cs="Times"/>
          <w:noProof/>
          <w:color w:val="000000"/>
          <w:szCs w:val="20"/>
        </w:rPr>
        <w:lastRenderedPageBreak/>
        <w:drawing>
          <wp:inline distT="0" distB="0" distL="0" distR="0">
            <wp:extent cx="5753100" cy="4102100"/>
            <wp:effectExtent l="0" t="0" r="0" b="0"/>
            <wp:docPr id="814"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4102100"/>
                    </a:xfrm>
                    <a:prstGeom prst="rect">
                      <a:avLst/>
                    </a:prstGeom>
                    <a:noFill/>
                    <a:ln>
                      <a:noFill/>
                    </a:ln>
                  </pic:spPr>
                </pic:pic>
              </a:graphicData>
            </a:graphic>
          </wp:inline>
        </w:drawing>
      </w:r>
      <w:r w:rsidRPr="00E00B35">
        <w:rPr>
          <w:rFonts w:cs="Times"/>
          <w:color w:val="000000"/>
          <w:szCs w:val="20"/>
        </w:rPr>
        <w:t xml:space="preserve"> </w:t>
      </w:r>
    </w:p>
    <w:p w:rsidR="00B86812" w:rsidRPr="00E00B35" w:rsidRDefault="00B86812" w:rsidP="00E00B35">
      <w:pPr>
        <w:widowControl w:val="0"/>
        <w:autoSpaceDE w:val="0"/>
        <w:autoSpaceDN w:val="0"/>
        <w:adjustRightInd w:val="0"/>
        <w:spacing w:after="0" w:line="312" w:lineRule="auto"/>
        <w:rPr>
          <w:rFonts w:cs="Times"/>
          <w:color w:val="000000"/>
          <w:szCs w:val="20"/>
        </w:rPr>
      </w:pPr>
      <w:r w:rsidRPr="00E00B35">
        <w:rPr>
          <w:rFonts w:cs="Times"/>
          <w:noProof/>
          <w:color w:val="000000"/>
          <w:szCs w:val="20"/>
        </w:rPr>
        <w:drawing>
          <wp:inline distT="0" distB="0" distL="0" distR="0">
            <wp:extent cx="5753100" cy="2832100"/>
            <wp:effectExtent l="0" t="0" r="0" b="6350"/>
            <wp:docPr id="815"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2832100"/>
                    </a:xfrm>
                    <a:prstGeom prst="rect">
                      <a:avLst/>
                    </a:prstGeom>
                    <a:noFill/>
                    <a:ln>
                      <a:noFill/>
                    </a:ln>
                  </pic:spPr>
                </pic:pic>
              </a:graphicData>
            </a:graphic>
          </wp:inline>
        </w:drawing>
      </w:r>
      <w:r w:rsidRPr="00E00B35">
        <w:rPr>
          <w:rFonts w:cs="Times"/>
          <w:color w:val="000000"/>
          <w:szCs w:val="20"/>
        </w:rPr>
        <w:t xml:space="preserve"> </w:t>
      </w:r>
    </w:p>
    <w:p w:rsidR="00B86812" w:rsidRPr="00E00B35" w:rsidRDefault="00B86812" w:rsidP="00E00B35">
      <w:pPr>
        <w:pStyle w:val="p1"/>
        <w:spacing w:before="0" w:beforeAutospacing="0" w:after="0" w:afterAutospacing="0" w:line="312" w:lineRule="auto"/>
        <w:rPr>
          <w:szCs w:val="20"/>
        </w:rPr>
      </w:pPr>
    </w:p>
    <w:p w:rsidR="00B86812" w:rsidRPr="00E00B35" w:rsidRDefault="00B86812" w:rsidP="00E00B35">
      <w:pPr>
        <w:spacing w:after="0" w:line="312" w:lineRule="auto"/>
        <w:rPr>
          <w:rFonts w:cs="Helvetica"/>
          <w:b/>
          <w:color w:val="1D2129"/>
          <w:szCs w:val="20"/>
        </w:rPr>
      </w:pPr>
    </w:p>
    <w:p w:rsidR="00B86812" w:rsidRPr="00E00B35" w:rsidRDefault="00B86812" w:rsidP="00E00B35">
      <w:pPr>
        <w:pStyle w:val="Nagwek5"/>
        <w:rPr>
          <w:szCs w:val="20"/>
        </w:rPr>
      </w:pPr>
      <w:r w:rsidRPr="00E00B35">
        <w:rPr>
          <w:szCs w:val="20"/>
        </w:rPr>
        <w:t>Projekt odbudowy organów w kościele św. Elżbiety we Wrocławiu</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szCs w:val="20"/>
        </w:rPr>
      </w:pPr>
      <w:r w:rsidRPr="00E00B35">
        <w:rPr>
          <w:szCs w:val="20"/>
        </w:rPr>
        <w:t xml:space="preserve">W ramach projektu odbudowy organów wykonano dokumentację zdjęciowo-filmową z procesu odbudowy figur organowych oraz prospektu organowego; projekt będzie kontynuowany w przyszłym roku w podobnej skali. W ramach projektu wykonano dokumentację zdjęciową reporterską, zdjęcia figur detali, ujęcia time-laps oraz z drona. </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Wrocław Na Widelcu</w:t>
      </w:r>
    </w:p>
    <w:p w:rsidR="00B86812" w:rsidRPr="00E00B35" w:rsidRDefault="00B86812" w:rsidP="00E00B35">
      <w:pPr>
        <w:autoSpaceDE w:val="0"/>
        <w:autoSpaceDN w:val="0"/>
        <w:adjustRightInd w:val="0"/>
        <w:spacing w:after="0" w:line="312" w:lineRule="auto"/>
        <w:rPr>
          <w:rFonts w:cs="Helvetica"/>
          <w:b/>
          <w:color w:val="1D2129"/>
          <w:szCs w:val="20"/>
        </w:rPr>
      </w:pPr>
      <w:r w:rsidRPr="00E00B35">
        <w:rPr>
          <w:b/>
          <w:szCs w:val="20"/>
        </w:rPr>
        <w:t>750.75075.W4300+999-JUP-08 zad. BPM/B/02</w:t>
      </w:r>
    </w:p>
    <w:p w:rsidR="00B86812" w:rsidRPr="00E00B35" w:rsidRDefault="00B86812" w:rsidP="00E00B35">
      <w:pPr>
        <w:spacing w:after="0" w:line="312" w:lineRule="auto"/>
        <w:rPr>
          <w:rFonts w:cs="Calibri"/>
          <w:color w:val="000000"/>
          <w:szCs w:val="20"/>
        </w:rPr>
      </w:pPr>
      <w:r w:rsidRPr="00E00B35">
        <w:rPr>
          <w:rFonts w:cs="Calibri"/>
          <w:color w:val="000000"/>
          <w:szCs w:val="20"/>
        </w:rPr>
        <w:t xml:space="preserve">Program Wrocław Na Widelcu był emitowany w cztery kolejne soboty grudnia </w:t>
      </w:r>
      <w:r w:rsidRPr="00E00B35">
        <w:rPr>
          <w:rFonts w:cs="Calibri"/>
          <w:color w:val="000000"/>
          <w:szCs w:val="20"/>
        </w:rPr>
        <w:br/>
        <w:t>o godz. 11.00 na fanpage’u Wroclaw [Wroclove]  oraz na kanale YouTube Visit Wroclaw.</w:t>
      </w:r>
    </w:p>
    <w:p w:rsidR="00B86812" w:rsidRPr="00E00B35" w:rsidRDefault="00B86812" w:rsidP="00E00B35">
      <w:pPr>
        <w:spacing w:after="0" w:line="312" w:lineRule="auto"/>
        <w:rPr>
          <w:szCs w:val="20"/>
        </w:rPr>
      </w:pPr>
      <w:r w:rsidRPr="00E00B35">
        <w:rPr>
          <w:rFonts w:cs="Calibri"/>
          <w:color w:val="000000"/>
          <w:szCs w:val="20"/>
        </w:rPr>
        <w:t xml:space="preserve">Restauracje kochamy za to, że możemy się w nich poczuć jak na mini wakacjach, spróbować nowych smaków, wrócić do tych ulubionych. Ale oprócz jedzenia restauracje to także relacje z ludźmi. Obchodzone są w nich najważniejsze wydarzenia osobiste i zawodowe, rodzą się nowe znajomości, przyjaźnie i miłości, powstają pomysły i plany. Wspomnienia tych wydarzeń chcemy w Was obudzić </w:t>
      </w:r>
      <w:r w:rsidRPr="00E00B35">
        <w:rPr>
          <w:rFonts w:cs="Calibri"/>
          <w:color w:val="000000"/>
          <w:szCs w:val="20"/>
        </w:rPr>
        <w:br/>
        <w:t xml:space="preserve">w programie </w:t>
      </w:r>
      <w:r w:rsidRPr="00E00B35">
        <w:rPr>
          <w:rFonts w:cs="Calibri"/>
          <w:i/>
          <w:iCs/>
          <w:color w:val="000000"/>
          <w:szCs w:val="20"/>
        </w:rPr>
        <w:t>Wrocław Na Widelcu</w:t>
      </w:r>
      <w:r w:rsidRPr="00E00B35">
        <w:rPr>
          <w:rFonts w:cs="Calibri"/>
          <w:color w:val="000000"/>
          <w:szCs w:val="20"/>
        </w:rPr>
        <w:t>.</w:t>
      </w:r>
    </w:p>
    <w:p w:rsidR="00B86812" w:rsidRPr="00E00B35" w:rsidRDefault="00B86812" w:rsidP="00E00B35">
      <w:pPr>
        <w:spacing w:after="0" w:line="312" w:lineRule="auto"/>
        <w:rPr>
          <w:szCs w:val="20"/>
        </w:rPr>
      </w:pPr>
      <w:r w:rsidRPr="00E00B35">
        <w:rPr>
          <w:rFonts w:cs="Calibri"/>
          <w:color w:val="000000"/>
          <w:szCs w:val="20"/>
        </w:rPr>
        <w:t>W programie odwiedziliśmy łącznie 12 restauracji. Pokazaliśmy ich różnorodność, pasję z jaką są prowadzone, przywiązanie i wsparcie ze strony stałych klientów.</w:t>
      </w:r>
    </w:p>
    <w:p w:rsidR="00B86812" w:rsidRPr="00E00B35" w:rsidRDefault="00B86812" w:rsidP="00E00B35">
      <w:pPr>
        <w:spacing w:after="0" w:line="312" w:lineRule="auto"/>
        <w:rPr>
          <w:rFonts w:cs="Calibri"/>
          <w:color w:val="000000"/>
          <w:szCs w:val="20"/>
        </w:rPr>
      </w:pPr>
      <w:r w:rsidRPr="00E00B35">
        <w:rPr>
          <w:rFonts w:cs="Calibri"/>
          <w:color w:val="000000"/>
          <w:szCs w:val="20"/>
        </w:rPr>
        <w:t>Restauratorzy opowiedzieli nam o swoich pomysłach na czas lockdownu, jakie dania można u nich zamówić, które z nich najbardziej nadają się na wynos.</w:t>
      </w:r>
    </w:p>
    <w:p w:rsidR="009F75D3" w:rsidRPr="00E00B35" w:rsidRDefault="009F75D3" w:rsidP="00E00B35">
      <w:pPr>
        <w:spacing w:after="0" w:line="312" w:lineRule="auto"/>
        <w:rPr>
          <w:rFonts w:cs="Helvetica"/>
          <w:b/>
          <w:color w:val="1D2129"/>
          <w:szCs w:val="20"/>
        </w:rPr>
      </w:pPr>
    </w:p>
    <w:p w:rsidR="00B86812" w:rsidRPr="00E00B35" w:rsidRDefault="00B86812" w:rsidP="00E00B35">
      <w:pPr>
        <w:pStyle w:val="Nagwek5"/>
        <w:rPr>
          <w:szCs w:val="20"/>
        </w:rPr>
      </w:pPr>
      <w:r w:rsidRPr="00E00B35">
        <w:rPr>
          <w:szCs w:val="20"/>
        </w:rPr>
        <w:t>Kampania Moda na Wrocław</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szCs w:val="20"/>
        </w:rPr>
      </w:pPr>
      <w:r w:rsidRPr="00E00B35">
        <w:rPr>
          <w:szCs w:val="20"/>
        </w:rPr>
        <w:t xml:space="preserve">Niestandardowa kampania w kanałach social media z wybranymi inflencerami. </w:t>
      </w:r>
      <w:r w:rsidRPr="00E00B35">
        <w:rPr>
          <w:szCs w:val="20"/>
        </w:rPr>
        <w:br/>
        <w:t xml:space="preserve">W Wrocławiu odbyła się profesjonalna sesja fotograficzna. Efekty tej sesji pojawiły się również na stronach internetowych: VIVA, GLAMOUR, PARTY, ELLE, ELLE MAN.   </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 xml:space="preserve">Nagroda dla osiedla „Nowe Żerniki” w IX edycji ogólnopolskiego konkursu ŻYCIE W ARCHITEKTURZE </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autoSpaceDE w:val="0"/>
        <w:autoSpaceDN w:val="0"/>
        <w:adjustRightInd w:val="0"/>
        <w:spacing w:after="0" w:line="312" w:lineRule="auto"/>
        <w:rPr>
          <w:szCs w:val="20"/>
        </w:rPr>
      </w:pPr>
      <w:r w:rsidRPr="00E00B35">
        <w:rPr>
          <w:szCs w:val="20"/>
        </w:rPr>
        <w:t xml:space="preserve">Wrocławskie modelowe osiedle „Nowe Żerniki” wzięło udział w prestiżowym konkursie dla najlepszych realizacji architektonicznych w latach 2015-2019. Projekt zdobył I nagrodę w kategorii NAJLEPSZY BUDYNEK WIELORODZINNY </w:t>
      </w:r>
      <w:r w:rsidRPr="00E00B35">
        <w:rPr>
          <w:szCs w:val="20"/>
        </w:rPr>
        <w:br/>
        <w:t>i nagrodę internautów, czyli tytuł ULUBIEŃCA POLSKI.</w:t>
      </w:r>
    </w:p>
    <w:p w:rsidR="00B86812" w:rsidRPr="00E00B35" w:rsidRDefault="00B86812" w:rsidP="00E00B35">
      <w:pPr>
        <w:autoSpaceDE w:val="0"/>
        <w:autoSpaceDN w:val="0"/>
        <w:adjustRightInd w:val="0"/>
        <w:spacing w:after="0" w:line="312" w:lineRule="auto"/>
        <w:rPr>
          <w:szCs w:val="20"/>
        </w:rPr>
      </w:pPr>
    </w:p>
    <w:p w:rsidR="00B86812" w:rsidRPr="00E00B35" w:rsidRDefault="00B86812" w:rsidP="00E00B35">
      <w:pPr>
        <w:autoSpaceDE w:val="0"/>
        <w:autoSpaceDN w:val="0"/>
        <w:adjustRightInd w:val="0"/>
        <w:spacing w:after="0" w:line="312" w:lineRule="auto"/>
        <w:rPr>
          <w:szCs w:val="20"/>
        </w:rPr>
      </w:pPr>
      <w:r w:rsidRPr="00E00B35">
        <w:rPr>
          <w:szCs w:val="20"/>
        </w:rPr>
        <w:t xml:space="preserve">Projekt osiedla jest wspólnym przedsięwzięciem Urzędu Miejskiego Wrocławia </w:t>
      </w:r>
      <w:r w:rsidRPr="00E00B35">
        <w:rPr>
          <w:szCs w:val="20"/>
        </w:rPr>
        <w:br/>
        <w:t>i Dolnośląskiej Izby Architektów. Jest owocem kilkuletnich warsztatów, w których uczestniczyło społecznie czterdziestu wybitnych wrocławskich architektów. W swoim założeniu „Nowe Żerniki” są osiedlem kompletnym, zaspokajającym kompleksowo potrzeby mieszkańców.</w:t>
      </w:r>
    </w:p>
    <w:p w:rsidR="00B86812" w:rsidRPr="00E00B35" w:rsidRDefault="00B86812" w:rsidP="00E00B35">
      <w:pPr>
        <w:autoSpaceDE w:val="0"/>
        <w:autoSpaceDN w:val="0"/>
        <w:adjustRightInd w:val="0"/>
        <w:spacing w:after="0" w:line="312" w:lineRule="auto"/>
        <w:rPr>
          <w:szCs w:val="20"/>
        </w:rPr>
      </w:pPr>
    </w:p>
    <w:p w:rsidR="00B86812" w:rsidRPr="00E00B35" w:rsidRDefault="00B86812" w:rsidP="00E00B35">
      <w:pPr>
        <w:spacing w:after="0" w:line="312" w:lineRule="auto"/>
        <w:contextualSpacing/>
        <w:rPr>
          <w:szCs w:val="20"/>
        </w:rPr>
      </w:pPr>
      <w:r w:rsidRPr="00E00B35">
        <w:rPr>
          <w:szCs w:val="20"/>
        </w:rPr>
        <w:t>WPM z Wydziałem Architektury i Budownictwa i Dolnośląską Izbą Architektów przygotowali zgłoszenie do konkursu. Jego głównym elementem był film dokumentalny pt. „Nowe Żerniki – życie w architekturze”. Konkursowi towarzyszyła akcja promocyjna  przeprowadzona w Internecie.</w:t>
      </w:r>
    </w:p>
    <w:p w:rsidR="00B86812" w:rsidRPr="00E00B35" w:rsidRDefault="00B86812" w:rsidP="00E00B35">
      <w:pPr>
        <w:spacing w:after="0" w:line="312" w:lineRule="auto"/>
        <w:rPr>
          <w:szCs w:val="20"/>
        </w:rPr>
      </w:pPr>
      <w:r w:rsidRPr="00E00B35">
        <w:rPr>
          <w:szCs w:val="20"/>
        </w:rPr>
        <w:t xml:space="preserve"> </w:t>
      </w:r>
    </w:p>
    <w:p w:rsidR="00B86812" w:rsidRPr="00E00B35" w:rsidRDefault="00B86812" w:rsidP="00E00B35">
      <w:pPr>
        <w:pStyle w:val="Nagwek5"/>
        <w:rPr>
          <w:szCs w:val="20"/>
        </w:rPr>
      </w:pPr>
      <w:r w:rsidRPr="00E00B35">
        <w:rPr>
          <w:szCs w:val="20"/>
        </w:rPr>
        <w:lastRenderedPageBreak/>
        <w:t>Mural ekologiczny</w:t>
      </w:r>
    </w:p>
    <w:p w:rsidR="00B86812" w:rsidRPr="00E00B35" w:rsidRDefault="00B86812" w:rsidP="00E00B35">
      <w:pPr>
        <w:spacing w:after="0" w:line="312" w:lineRule="auto"/>
        <w:rPr>
          <w:szCs w:val="20"/>
        </w:rPr>
      </w:pPr>
      <w:r w:rsidRPr="00E00B35">
        <w:rPr>
          <w:szCs w:val="20"/>
        </w:rPr>
        <w:t xml:space="preserve">Firma JEGER spod Wrocławia zwróciła się do miasta z propozycją wykonania muralu ekologicznego, którego atrybutem jest zastosowanie specjalnych farb, pochłaniających zanieczyszczenia tzw. smog. Firma zaproponowała przekazanie na potrzeby wykonania takiego murala farb oraz sfinansowanie jego wykonania. Projekt jest wspólnie prowadzony z Departamentem Zrównoważonego Rozwoju, gdyż tematyka wpisuje się w zakres działań Departamentu w tym m.in. </w:t>
      </w:r>
      <w:r w:rsidRPr="00E00B35">
        <w:rPr>
          <w:szCs w:val="20"/>
        </w:rPr>
        <w:br/>
        <w:t>w kampanię „Zmień piec”.  Miasto w ramach współpracy wytypowało ścianę pod mural przy ul. Sępa Sarzyńskiego oraz przeprowadzi prace formalne. Obecnie projekt jest w fazie wyboru artysty, który przygotuje projekt graficzny. Realizacja muralu planowana jest na wiosnę 2021 roku.</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Bruno Schulz. Festiwal</w:t>
      </w:r>
    </w:p>
    <w:p w:rsidR="00B86812" w:rsidRPr="00E00B35" w:rsidRDefault="00B86812" w:rsidP="00E00B35">
      <w:pPr>
        <w:autoSpaceDE w:val="0"/>
        <w:autoSpaceDN w:val="0"/>
        <w:adjustRightInd w:val="0"/>
        <w:spacing w:after="0" w:line="312" w:lineRule="auto"/>
        <w:rPr>
          <w:b/>
          <w:szCs w:val="20"/>
        </w:rPr>
      </w:pPr>
      <w:r w:rsidRPr="00E00B35">
        <w:rPr>
          <w:b/>
          <w:szCs w:val="20"/>
        </w:rPr>
        <w:t>921.92195.W4300+999-JUP-08 zad. BPM/B/06/W</w:t>
      </w:r>
    </w:p>
    <w:p w:rsidR="00B86812" w:rsidRPr="00E00B35" w:rsidRDefault="00B86812" w:rsidP="00E00B35">
      <w:pPr>
        <w:pStyle w:val="Tekstpodstawowy3"/>
        <w:spacing w:after="0" w:line="312" w:lineRule="auto"/>
        <w:rPr>
          <w:sz w:val="20"/>
          <w:szCs w:val="20"/>
        </w:rPr>
      </w:pPr>
      <w:r w:rsidRPr="00E00B35">
        <w:rPr>
          <w:sz w:val="20"/>
          <w:szCs w:val="20"/>
        </w:rPr>
        <w:t>To już dziewiąta edycja międzynarodowego festiwalu sztuki i literatury Bruno Schulz. Festiwal we Wrocławiu, która obyła się w dniach 13-18 października 2020 r. W ramach festiwalu odbyły się liczne spotkania autorskie, wykłady tematyczne, a także unikatowe panele dyskusyjne. Gośćmi festiwalu byli m.in. Edwin Bendyk, Joanna Gierak-Onoszko</w:t>
      </w:r>
      <w:r w:rsidRPr="00E00B35">
        <w:rPr>
          <w:rStyle w:val="Pogrubienie"/>
          <w:rFonts w:eastAsia="font415"/>
          <w:b w:val="0"/>
          <w:sz w:val="20"/>
          <w:szCs w:val="20"/>
        </w:rPr>
        <w:t>, Mikołaj Grynberg, Inga Iwasiów, Szymon Kloska,</w:t>
      </w:r>
      <w:r w:rsidRPr="00E00B35">
        <w:rPr>
          <w:rStyle w:val="Pogrubienie"/>
          <w:rFonts w:eastAsia="font415"/>
          <w:sz w:val="20"/>
          <w:szCs w:val="20"/>
        </w:rPr>
        <w:t xml:space="preserve"> </w:t>
      </w:r>
      <w:r w:rsidRPr="00E00B35">
        <w:rPr>
          <w:sz w:val="20"/>
          <w:szCs w:val="20"/>
        </w:rPr>
        <w:t xml:space="preserve">Michał Nogaś, Michał Rusinek, Klementyna Suchanow i Krzysztof Varga. W czasie festiwalu odbyły się wykłady online dla licealistów oraz dla studentów, spotkania autorskie, dyskusje panelowe poświęcone literaturze, pokazy filmów oraz wykłady monograficzne. </w:t>
      </w:r>
    </w:p>
    <w:p w:rsidR="00B86812" w:rsidRPr="00E00B35" w:rsidRDefault="00B86812" w:rsidP="00E00B35">
      <w:pPr>
        <w:pStyle w:val="Tekstpodstawowy3"/>
        <w:spacing w:after="0" w:line="312" w:lineRule="auto"/>
        <w:rPr>
          <w:sz w:val="20"/>
          <w:szCs w:val="20"/>
        </w:rPr>
      </w:pPr>
      <w:r w:rsidRPr="00E00B35">
        <w:rPr>
          <w:sz w:val="20"/>
          <w:szCs w:val="20"/>
        </w:rPr>
        <w:t xml:space="preserve">Po raz kolejny w ramach festiwalu odbyła się gala wręczania nagrody Angelus, </w:t>
      </w:r>
      <w:r w:rsidRPr="00E00B35">
        <w:rPr>
          <w:sz w:val="20"/>
          <w:szCs w:val="20"/>
        </w:rPr>
        <w:br/>
        <w:t>a przez cały czas trwania festiwalu odbywały się spotkania z pisarzami nominowanymi do nagrody (Salon Angelusa na Bruno Schulz. Festiwal).</w:t>
      </w:r>
    </w:p>
    <w:p w:rsidR="00B86812" w:rsidRPr="00E00B35" w:rsidRDefault="00B86812" w:rsidP="00E00B35">
      <w:pPr>
        <w:pStyle w:val="Tekstpodstawowy3"/>
        <w:spacing w:after="0" w:line="312" w:lineRule="auto"/>
        <w:rPr>
          <w:sz w:val="20"/>
          <w:szCs w:val="20"/>
        </w:rPr>
      </w:pPr>
    </w:p>
    <w:p w:rsidR="00B86812" w:rsidRPr="00E00B35" w:rsidRDefault="00B86812" w:rsidP="00E00B35">
      <w:pPr>
        <w:pStyle w:val="Nagwek5"/>
        <w:rPr>
          <w:szCs w:val="20"/>
        </w:rPr>
      </w:pPr>
      <w:r w:rsidRPr="00E00B35">
        <w:rPr>
          <w:szCs w:val="20"/>
        </w:rPr>
        <w:t>Międzynarodowy Festiwal Kryminału</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BPM/B/06/W</w:t>
      </w:r>
    </w:p>
    <w:p w:rsidR="00B86812" w:rsidRPr="00E00B35" w:rsidRDefault="00B86812" w:rsidP="00E00B35">
      <w:pPr>
        <w:spacing w:after="0" w:line="312" w:lineRule="auto"/>
        <w:rPr>
          <w:bCs/>
          <w:szCs w:val="20"/>
        </w:rPr>
      </w:pPr>
      <w:r w:rsidRPr="00E00B35">
        <w:rPr>
          <w:bCs/>
          <w:szCs w:val="20"/>
        </w:rPr>
        <w:t>Ze względu na pandemię termin tegorocznego festiwalu został przesunięty na listopad (4-11.11) i w całości odbył się online</w:t>
      </w:r>
      <w:r w:rsidRPr="00E00B35">
        <w:rPr>
          <w:rFonts w:cs="Verdana"/>
          <w:szCs w:val="20"/>
        </w:rPr>
        <w:t xml:space="preserve">. Impreza odbyła się we Wrocławiu </w:t>
      </w:r>
      <w:r w:rsidRPr="00E00B35">
        <w:rPr>
          <w:bCs/>
          <w:szCs w:val="20"/>
        </w:rPr>
        <w:t>p</w:t>
      </w:r>
      <w:r w:rsidRPr="00E00B35">
        <w:rPr>
          <w:rFonts w:cs="Verdana"/>
          <w:szCs w:val="20"/>
        </w:rPr>
        <w:t>o raz 12 i po raz kolejny przyciągnęła licznych gości z Polski i zagranicy. Program obfitował w ciekawe wydarzenia: kryminalne warsztaty literackie i scenariuszowe, panele, wykłady, lekcje dla licealistów.</w:t>
      </w:r>
    </w:p>
    <w:p w:rsidR="00B86812" w:rsidRPr="00E00B35" w:rsidRDefault="00B86812" w:rsidP="00E00B35">
      <w:pPr>
        <w:spacing w:after="0" w:line="312" w:lineRule="auto"/>
        <w:rPr>
          <w:rFonts w:cs="Verdana"/>
          <w:szCs w:val="20"/>
        </w:rPr>
      </w:pPr>
      <w:r w:rsidRPr="00E00B35">
        <w:rPr>
          <w:rFonts w:cs="Verdana"/>
          <w:szCs w:val="20"/>
        </w:rPr>
        <w:t>Podczas uroczystej gali finałowej Nagrodę Wielkiego Kalibru otrzymał Jędrzej Pasierski za powieść „Roztopy”. Nagrodę publiczności otrzymał Robert Małecki za powieść „Wada”. Honorową Nagrodę Wielkiego Kalibru za całokształt twórczości otrzymał Zygmunt Miłoszewski. WPM współfinansuje to wydarzenie oraz wspiera je organizacyjnie i promocyjnie.</w:t>
      </w:r>
    </w:p>
    <w:p w:rsidR="00B86812" w:rsidRPr="00E00B35" w:rsidRDefault="00B86812" w:rsidP="00E00B35">
      <w:pPr>
        <w:spacing w:after="0" w:line="312" w:lineRule="auto"/>
        <w:rPr>
          <w:rFonts w:cs="Calibri"/>
          <w:color w:val="000000"/>
          <w:szCs w:val="20"/>
        </w:rPr>
      </w:pPr>
    </w:p>
    <w:p w:rsidR="00B86812" w:rsidRPr="00E00B35" w:rsidRDefault="00B86812" w:rsidP="00E00B35">
      <w:pPr>
        <w:pStyle w:val="Nagwek5"/>
        <w:rPr>
          <w:szCs w:val="20"/>
        </w:rPr>
      </w:pPr>
      <w:r w:rsidRPr="00E00B35">
        <w:rPr>
          <w:szCs w:val="20"/>
        </w:rPr>
        <w:t>Dzień Życzliwości „Dobre słowo – podaj dalej”, 21 listopada 2020, Wrocław</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szCs w:val="20"/>
        </w:rPr>
      </w:pPr>
      <w:r w:rsidRPr="00E00B35">
        <w:rPr>
          <w:szCs w:val="20"/>
        </w:rPr>
        <w:t xml:space="preserve">W tym roku Wydział Promocji Miasta i Turystyki już po raz 15 zaprosił mieszkańców Wrocławia na Dzień Życzliwości. Hasło tegorocznej edycji „Dobre słowo – podaj dalej” </w:t>
      </w:r>
      <w:r w:rsidRPr="00E00B35">
        <w:rPr>
          <w:szCs w:val="20"/>
        </w:rPr>
        <w:lastRenderedPageBreak/>
        <w:t xml:space="preserve">zachęcało do dzielenia się dobrym słowem, posługiwania się pozytywnym komunikatem i doceniania siły płynącej z ich stosowania. </w:t>
      </w:r>
      <w:r w:rsidRPr="00E00B35">
        <w:rPr>
          <w:rStyle w:val="hgkelc"/>
          <w:szCs w:val="20"/>
        </w:rPr>
        <w:t>Dobre słowo, uznanie i pochwała wciąż zbyt rzadko używane są w codziennym życiu, a przecież już Salomon powiedział, że „miłe słowa są jak plaster miodu – słodyczą dla duszy i lekarstwem dla ciała”.</w:t>
      </w:r>
      <w:r w:rsidRPr="00E00B35">
        <w:rPr>
          <w:szCs w:val="20"/>
        </w:rPr>
        <w:t xml:space="preserve">  </w:t>
      </w:r>
    </w:p>
    <w:p w:rsidR="00B86812" w:rsidRPr="00E00B35" w:rsidRDefault="00B86812" w:rsidP="00E00B35">
      <w:pPr>
        <w:spacing w:after="0" w:line="312" w:lineRule="auto"/>
        <w:rPr>
          <w:rFonts w:cs="Arial"/>
          <w:szCs w:val="20"/>
        </w:rPr>
      </w:pPr>
    </w:p>
    <w:p w:rsidR="00B86812" w:rsidRPr="00E00B35" w:rsidRDefault="00B86812" w:rsidP="00E00B35">
      <w:pPr>
        <w:spacing w:after="0" w:line="312" w:lineRule="auto"/>
        <w:rPr>
          <w:szCs w:val="20"/>
        </w:rPr>
      </w:pPr>
      <w:r w:rsidRPr="00E00B35">
        <w:rPr>
          <w:szCs w:val="20"/>
        </w:rPr>
        <w:t xml:space="preserve">19 listopada 2020 r. tuż obok Krasnala Życzliwka na placu Gołębim przy fontannie wyrosło pole niezwykłych słoneczników z klocków LEGO®. Instalacja była jednym z elementów programu tegorocznej edycji Dnia Życzliwości. To także część globalnej akcji #RebuildTheWorld, której celem jest rozwijanie kreatywności </w:t>
      </w:r>
      <w:r w:rsidRPr="00E00B35">
        <w:rPr>
          <w:szCs w:val="20"/>
        </w:rPr>
        <w:br/>
        <w:t>u dzieci. Słoneczniki można było podziwiać aż do Świąt Bożego Narodzenia.</w:t>
      </w:r>
    </w:p>
    <w:p w:rsidR="00B86812" w:rsidRPr="00E00B35" w:rsidRDefault="00B86812" w:rsidP="00E00B35">
      <w:pPr>
        <w:pStyle w:val="NormalnyWeb"/>
        <w:spacing w:before="0" w:beforeAutospacing="0" w:after="0" w:afterAutospacing="0" w:line="312" w:lineRule="auto"/>
        <w:rPr>
          <w:szCs w:val="20"/>
        </w:rPr>
      </w:pPr>
      <w:r w:rsidRPr="00E00B35">
        <w:rPr>
          <w:szCs w:val="20"/>
        </w:rPr>
        <w:t xml:space="preserve">W ramach kampanii odbył się konkurs w którym do wygrania były pakiety wrocławskich i życzliwych gadżetów oraz aparat Instax. Zwycięzcy (I miejsce) </w:t>
      </w:r>
      <w:r w:rsidRPr="00E00B35">
        <w:rPr>
          <w:szCs w:val="20"/>
        </w:rPr>
        <w:br/>
        <w:t>w dwóch kategoriach zostali zaproszeni do wspólnego wykonania i nagrania teledysku wraz z Cleo.</w:t>
      </w:r>
    </w:p>
    <w:p w:rsidR="00B86812" w:rsidRPr="00E00B35" w:rsidRDefault="00B86812" w:rsidP="00E00B35">
      <w:pPr>
        <w:spacing w:after="0" w:line="312" w:lineRule="auto"/>
        <w:rPr>
          <w:szCs w:val="20"/>
        </w:rPr>
      </w:pPr>
      <w:hyperlink r:id="rId14" w:tgtFrame="_blank" w:history="1">
        <w:r w:rsidRPr="00E00B35">
          <w:rPr>
            <w:rStyle w:val="Hipercze"/>
            <w:rFonts w:eastAsia="font415"/>
            <w:szCs w:val="20"/>
          </w:rPr>
          <w:t>#ŻyczliwyWykład</w:t>
        </w:r>
      </w:hyperlink>
      <w:r w:rsidRPr="00E00B35">
        <w:rPr>
          <w:szCs w:val="20"/>
        </w:rPr>
        <w:t xml:space="preserve"> DOBRE SŁOWO — PODAJ DALEJ! Spotkanie z psycholożką </w:t>
      </w:r>
      <w:r w:rsidRPr="00E00B35">
        <w:rPr>
          <w:szCs w:val="20"/>
        </w:rPr>
        <w:br/>
        <w:t>dr Ewą Woydyłło-Osiatyńską</w:t>
      </w:r>
    </w:p>
    <w:p w:rsidR="00B86812" w:rsidRPr="00E00B35" w:rsidRDefault="00B86812" w:rsidP="00E00B35">
      <w:pPr>
        <w:pStyle w:val="NormalnyWeb"/>
        <w:spacing w:before="0" w:beforeAutospacing="0" w:after="0" w:afterAutospacing="0" w:line="312" w:lineRule="auto"/>
        <w:rPr>
          <w:szCs w:val="20"/>
        </w:rPr>
      </w:pPr>
      <w:r w:rsidRPr="00E00B35">
        <w:rPr>
          <w:szCs w:val="20"/>
        </w:rPr>
        <w:t xml:space="preserve">Słowami posługuje się każdy i bez przerwy — w zadumie, gniewie, radości, rozpaczy, w miłości i nienawiści. Jest to uniwersalna waluta wymienna pośród nas wszystkich. Nieograniczony dostęp do tego wspólnego dla wszystkich skarbca, czyni nas wszystkich bogaczami. Czy rzeczywiście? Czy wszystkich? Czy naprawdę bogaczami? Czy waluta, którą się posługujemy, jest z kruszca czy z tombaku? Wzbogaca nas wzajemnie czy ograbia? Buduje czy dewastuje? </w:t>
      </w:r>
    </w:p>
    <w:p w:rsidR="00B86812" w:rsidRPr="00E00B35" w:rsidRDefault="00B86812" w:rsidP="00E00B35">
      <w:pPr>
        <w:pStyle w:val="NormalnyWeb"/>
        <w:spacing w:before="0" w:beforeAutospacing="0" w:after="0" w:afterAutospacing="0" w:line="312" w:lineRule="auto"/>
        <w:rPr>
          <w:szCs w:val="20"/>
        </w:rPr>
      </w:pPr>
      <w:r w:rsidRPr="00E00B35">
        <w:rPr>
          <w:szCs w:val="20"/>
        </w:rPr>
        <w:t>Rozmowa wokół tych spraw były kontynuacją tematu sprzed roku, stając się pogłębionym ćwiczeniem z empatii, tej najczystszej formy humanizmu. Na spotkanie online zapraszaliśmy 21 listopada o godz. 17.00.</w:t>
      </w:r>
    </w:p>
    <w:p w:rsidR="00B86812" w:rsidRPr="00E00B35" w:rsidRDefault="00B86812" w:rsidP="00E00B35">
      <w:pPr>
        <w:spacing w:after="0" w:line="312" w:lineRule="auto"/>
        <w:rPr>
          <w:rFonts w:cs="Helvetica"/>
          <w:b/>
          <w:color w:val="1D2129"/>
          <w:szCs w:val="20"/>
        </w:rPr>
      </w:pPr>
    </w:p>
    <w:p w:rsidR="00B86812" w:rsidRPr="00E00B35" w:rsidRDefault="00B86812" w:rsidP="00E00B35">
      <w:pPr>
        <w:pStyle w:val="Nagwek5"/>
        <w:rPr>
          <w:szCs w:val="20"/>
        </w:rPr>
      </w:pPr>
      <w:r w:rsidRPr="00E00B35">
        <w:rPr>
          <w:szCs w:val="20"/>
        </w:rPr>
        <w:t>Świąteczne ZOOpowieści</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rFonts w:cs="Calibri"/>
          <w:color w:val="000000"/>
          <w:szCs w:val="20"/>
        </w:rPr>
      </w:pPr>
      <w:r w:rsidRPr="00E00B35">
        <w:rPr>
          <w:rFonts w:cs="Helvetica"/>
          <w:color w:val="1D2129"/>
          <w:szCs w:val="20"/>
        </w:rPr>
        <w:t xml:space="preserve">Świąteczne ZOOpowieści to specjalny odcinek prowadzonego przez 10-letniego Ziemka (Ziemowit Wiktorski) programu o zwierzętach, wyemitowany na </w:t>
      </w:r>
      <w:r w:rsidRPr="00E00B35">
        <w:rPr>
          <w:rFonts w:cs="Calibri"/>
          <w:color w:val="000000"/>
          <w:szCs w:val="20"/>
        </w:rPr>
        <w:t>fanpage’u Wroclaw [Wroclove]  oraz na kanale YouTube Visit Wroclaw w sobotę 19 grudnia.</w:t>
      </w:r>
    </w:p>
    <w:p w:rsidR="00B86812" w:rsidRPr="00E00B35" w:rsidRDefault="00B86812" w:rsidP="00E00B35">
      <w:pPr>
        <w:spacing w:after="0" w:line="312" w:lineRule="auto"/>
        <w:rPr>
          <w:rFonts w:cs="Calibri"/>
          <w:color w:val="000000"/>
          <w:szCs w:val="20"/>
        </w:rPr>
      </w:pPr>
      <w:r w:rsidRPr="00E00B35">
        <w:rPr>
          <w:rFonts w:cs="Calibri"/>
          <w:color w:val="000000"/>
          <w:szCs w:val="20"/>
        </w:rPr>
        <w:t>Odcinek powstał we współpracy z Urzędem Marszałkowskim.</w:t>
      </w:r>
    </w:p>
    <w:p w:rsidR="00B86812" w:rsidRPr="00E00B35" w:rsidRDefault="00B86812" w:rsidP="00E00B35">
      <w:pPr>
        <w:spacing w:after="0" w:line="312" w:lineRule="auto"/>
        <w:rPr>
          <w:rFonts w:cs="Calibri"/>
          <w:color w:val="000000"/>
          <w:szCs w:val="20"/>
        </w:rPr>
      </w:pPr>
      <w:r w:rsidRPr="00E00B35">
        <w:rPr>
          <w:rFonts w:cs="Calibri"/>
          <w:color w:val="000000"/>
          <w:szCs w:val="20"/>
        </w:rPr>
        <w:t xml:space="preserve">Ziemek próbuje znaleźć odpowiedź na nurtujące go pytanie czy renifery potrafią latać, a jeśli tak, to w jaki sposób to robią. W tym celu we wrocławskim ZOO spotyka się z Panem Prezesem, który niestety nie jest w stanie pomóc mu w rozwikłaniu zagadki. Dlatego Ziemowit udaje się do leżącej niedaleko Karpacza lapońskiej wioski, która jest przystankiem Świętego Mikołaja, podczas jego wizyty w Polsce i w której mieszkają renifery. </w:t>
      </w:r>
    </w:p>
    <w:p w:rsidR="009F75D3" w:rsidRPr="00E00B35" w:rsidRDefault="009F75D3" w:rsidP="00E00B35">
      <w:pPr>
        <w:spacing w:after="0" w:line="312" w:lineRule="auto"/>
        <w:rPr>
          <w:rFonts w:cs="Calibri"/>
          <w:color w:val="000000"/>
          <w:szCs w:val="20"/>
        </w:rPr>
      </w:pPr>
    </w:p>
    <w:p w:rsidR="00B86812" w:rsidRPr="00E00B35" w:rsidRDefault="00B86812" w:rsidP="00E00B35">
      <w:pPr>
        <w:pStyle w:val="Nagwek5"/>
        <w:rPr>
          <w:szCs w:val="20"/>
        </w:rPr>
      </w:pPr>
      <w:r w:rsidRPr="00E00B35">
        <w:rPr>
          <w:szCs w:val="20"/>
        </w:rPr>
        <w:t>Cicha Noc</w:t>
      </w:r>
    </w:p>
    <w:p w:rsidR="00B86812" w:rsidRPr="00E00B35" w:rsidRDefault="00B86812" w:rsidP="00E00B35">
      <w:pPr>
        <w:spacing w:after="0" w:line="312" w:lineRule="auto"/>
        <w:rPr>
          <w:rFonts w:cs="Helvetica"/>
          <w:bCs/>
          <w:color w:val="1D2129"/>
          <w:szCs w:val="20"/>
        </w:rPr>
      </w:pPr>
      <w:r w:rsidRPr="00E00B35">
        <w:rPr>
          <w:rFonts w:cs="Helvetica"/>
          <w:bCs/>
          <w:color w:val="1D2129"/>
          <w:szCs w:val="20"/>
        </w:rPr>
        <w:t>„Cicha Noc” – wykonana przez mieszkańców Wrocławia kolęda, na Święta trochę inne niż zwykle. Mimo tego, że musieliśmy spędzić je w bardziej kameralnym gronie, niektórzy musieli pozostać sami, to przecież wciąż jesteśmy razem.</w:t>
      </w:r>
    </w:p>
    <w:p w:rsidR="00B86812" w:rsidRPr="00E00B35" w:rsidRDefault="00B86812" w:rsidP="00E00B35">
      <w:pPr>
        <w:spacing w:after="0" w:line="312" w:lineRule="auto"/>
        <w:rPr>
          <w:rFonts w:cs="Calibri"/>
          <w:bCs/>
          <w:color w:val="000000"/>
          <w:szCs w:val="20"/>
        </w:rPr>
      </w:pPr>
      <w:r w:rsidRPr="00E00B35">
        <w:rPr>
          <w:rFonts w:cs="Helvetica"/>
          <w:bCs/>
          <w:color w:val="1D2129"/>
          <w:szCs w:val="20"/>
        </w:rPr>
        <w:lastRenderedPageBreak/>
        <w:t xml:space="preserve">Kolęda została wyemitowana na </w:t>
      </w:r>
      <w:r w:rsidRPr="00E00B35">
        <w:rPr>
          <w:rFonts w:cs="Calibri"/>
          <w:bCs/>
          <w:color w:val="000000"/>
          <w:szCs w:val="20"/>
        </w:rPr>
        <w:t>fanpage’u Wroclaw [Wroclove]  oraz na kanale YouTube Visit Wroclaw w niedzielę 20 grudnia.</w:t>
      </w:r>
    </w:p>
    <w:p w:rsidR="00B86812" w:rsidRPr="00E00B35" w:rsidRDefault="00B86812" w:rsidP="00E00B35">
      <w:pPr>
        <w:spacing w:after="0" w:line="312" w:lineRule="auto"/>
        <w:rPr>
          <w:rFonts w:cs="Helvetica"/>
          <w:b/>
          <w:color w:val="1D2129"/>
          <w:szCs w:val="20"/>
        </w:rPr>
      </w:pPr>
    </w:p>
    <w:p w:rsidR="00B86812" w:rsidRPr="00E00B35" w:rsidRDefault="00B86812" w:rsidP="00E00B35">
      <w:pPr>
        <w:pStyle w:val="Nagwek5"/>
        <w:rPr>
          <w:szCs w:val="20"/>
        </w:rPr>
      </w:pPr>
      <w:r w:rsidRPr="00E00B35">
        <w:rPr>
          <w:szCs w:val="20"/>
        </w:rPr>
        <w:t>Dom Literatury</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rFonts w:cs="Helvetica"/>
          <w:b/>
          <w:color w:val="1D2129"/>
          <w:szCs w:val="20"/>
        </w:rPr>
      </w:pPr>
    </w:p>
    <w:p w:rsidR="00B86812" w:rsidRPr="00E00B35" w:rsidRDefault="00B86812" w:rsidP="00E00B35">
      <w:pPr>
        <w:spacing w:after="0" w:line="312" w:lineRule="auto"/>
        <w:rPr>
          <w:b/>
          <w:szCs w:val="20"/>
        </w:rPr>
      </w:pPr>
    </w:p>
    <w:p w:rsidR="00B86812" w:rsidRPr="00E00B35" w:rsidRDefault="00B86812" w:rsidP="00BC64AB">
      <w:pPr>
        <w:numPr>
          <w:ilvl w:val="0"/>
          <w:numId w:val="291"/>
        </w:numPr>
        <w:spacing w:after="0" w:line="312" w:lineRule="auto"/>
        <w:ind w:left="426" w:hanging="426"/>
        <w:rPr>
          <w:szCs w:val="20"/>
        </w:rPr>
      </w:pPr>
      <w:r w:rsidRPr="00E00B35">
        <w:rPr>
          <w:szCs w:val="20"/>
        </w:rPr>
        <w:t xml:space="preserve">Kontynuacja współpracy z Wrocławskim Domem Literatury w ramach obchodów rocznicy przyznania Literackiej Nagrody Nobla wrocławskiej pisarce Oldze Tokarczuk, które odbyły się pod hasłem „Jesień we Wrocławiu, mieście literatury”. </w:t>
      </w:r>
    </w:p>
    <w:p w:rsidR="00B86812" w:rsidRPr="00E00B35" w:rsidRDefault="00B86812" w:rsidP="00BC64AB">
      <w:pPr>
        <w:numPr>
          <w:ilvl w:val="0"/>
          <w:numId w:val="291"/>
        </w:numPr>
        <w:spacing w:after="0" w:line="312" w:lineRule="auto"/>
        <w:ind w:left="426" w:hanging="426"/>
        <w:rPr>
          <w:szCs w:val="20"/>
        </w:rPr>
      </w:pPr>
      <w:r w:rsidRPr="00E00B35">
        <w:rPr>
          <w:szCs w:val="20"/>
        </w:rPr>
        <w:t>Przygotowanie koncepcji wspólnego projektu promującego młodych wrocławskich twórców literatury.</w:t>
      </w:r>
    </w:p>
    <w:p w:rsidR="00B86812" w:rsidRPr="00E00B35" w:rsidRDefault="00B86812" w:rsidP="00BC64AB">
      <w:pPr>
        <w:numPr>
          <w:ilvl w:val="0"/>
          <w:numId w:val="291"/>
        </w:numPr>
        <w:spacing w:after="0" w:line="312" w:lineRule="auto"/>
        <w:ind w:left="426" w:hanging="426"/>
        <w:rPr>
          <w:szCs w:val="20"/>
        </w:rPr>
      </w:pPr>
      <w:r w:rsidRPr="00E00B35">
        <w:rPr>
          <w:szCs w:val="20"/>
        </w:rPr>
        <w:t>Kontynuacja prac nad stworzeniem w Przejściu Garncarskim miejsca poświęconego pisarzom związanym z Wrocławiem oraz odwiedzającym Wrocław w ramach festiwali literackich, tzw. Zaułek Pisarzy.</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Współpraca promocyjna - ekspozycja znaku promocyjnego miasta</w:t>
      </w:r>
    </w:p>
    <w:p w:rsidR="00B86812" w:rsidRPr="00E00B35" w:rsidRDefault="00B86812" w:rsidP="00E00B35">
      <w:pPr>
        <w:pStyle w:val="Nagwek5"/>
        <w:rPr>
          <w:szCs w:val="20"/>
        </w:rPr>
      </w:pPr>
      <w:r w:rsidRPr="00E00B35">
        <w:rPr>
          <w:szCs w:val="20"/>
        </w:rPr>
        <w:t xml:space="preserve">Wystawa fotografii „Grand Press Photo” - 28.09-11.10.2020 r. </w:t>
      </w:r>
    </w:p>
    <w:p w:rsidR="00B86812" w:rsidRPr="00E00B35" w:rsidRDefault="00B86812" w:rsidP="00E00B35">
      <w:pPr>
        <w:spacing w:after="0" w:line="312" w:lineRule="auto"/>
        <w:rPr>
          <w:szCs w:val="20"/>
        </w:rPr>
      </w:pPr>
      <w:r w:rsidRPr="00E00B35">
        <w:rPr>
          <w:szCs w:val="20"/>
        </w:rPr>
        <w:t>W dniach od 28 września do 10 października w Sky Tower odbyła się wystawa „Grand Press Photo” w związku z organizacją Ogólnopolskiego Konkursu Fotografii Prasowej. W ramach współpracy na planszach wystawy zamieszczony został slogan promocyjny „Wrocław – miasto spotkań”, organizator wystawy miał również obowiązek umieszczania na wszelkich materiałach informacyjnych związanych z wystawą informacji o współorganizacji wystawy przez miasto Wrocław.</w:t>
      </w:r>
    </w:p>
    <w:p w:rsidR="00B86812" w:rsidRPr="00E00B35" w:rsidRDefault="00B86812" w:rsidP="00E00B35">
      <w:pPr>
        <w:spacing w:after="0" w:line="312" w:lineRule="auto"/>
        <w:rPr>
          <w:b/>
          <w:color w:val="000000"/>
          <w:szCs w:val="20"/>
        </w:rPr>
      </w:pPr>
    </w:p>
    <w:p w:rsidR="00B86812" w:rsidRPr="00E00B35" w:rsidRDefault="00B86812" w:rsidP="00E00B35">
      <w:pPr>
        <w:pStyle w:val="Nagwek5"/>
        <w:rPr>
          <w:szCs w:val="20"/>
        </w:rPr>
      </w:pPr>
      <w:r w:rsidRPr="00E00B35">
        <w:rPr>
          <w:szCs w:val="20"/>
        </w:rPr>
        <w:t xml:space="preserve">22. Festiwal Kultury Żydowskiej SIMCHA – 5-11.09.2020 r. </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spacing w:after="0" w:line="312" w:lineRule="auto"/>
        <w:rPr>
          <w:szCs w:val="20"/>
        </w:rPr>
      </w:pPr>
      <w:r w:rsidRPr="00E00B35">
        <w:rPr>
          <w:szCs w:val="20"/>
        </w:rPr>
        <w:t>Współpraca przy przygotowaniu Key Visual tegorocznego wydarzenia, zamieszczenie sloganu promocyjnego „Wrocław – miasto spotkań” na projektach graficznych.</w:t>
      </w:r>
    </w:p>
    <w:p w:rsidR="00B86812" w:rsidRPr="00E00B35" w:rsidRDefault="00B86812" w:rsidP="00E00B35">
      <w:pPr>
        <w:spacing w:after="0" w:line="312" w:lineRule="auto"/>
        <w:rPr>
          <w:b/>
          <w:szCs w:val="20"/>
        </w:rPr>
      </w:pPr>
    </w:p>
    <w:p w:rsidR="00B86812" w:rsidRPr="00E00B35" w:rsidRDefault="00B86812" w:rsidP="00E00B35">
      <w:pPr>
        <w:pStyle w:val="Nagwek5"/>
        <w:rPr>
          <w:szCs w:val="20"/>
        </w:rPr>
      </w:pPr>
      <w:r w:rsidRPr="00E00B35">
        <w:rPr>
          <w:szCs w:val="20"/>
        </w:rPr>
        <w:t>TAIZE – „We Wrocławiu odmłodziliście oblicze kościoła”</w:t>
      </w:r>
    </w:p>
    <w:p w:rsidR="00B86812" w:rsidRPr="00E00B35" w:rsidRDefault="00B86812" w:rsidP="00E00B35">
      <w:pPr>
        <w:spacing w:after="0" w:line="312" w:lineRule="auto"/>
        <w:rPr>
          <w:szCs w:val="20"/>
        </w:rPr>
      </w:pPr>
      <w:r w:rsidRPr="00E00B35">
        <w:rPr>
          <w:szCs w:val="20"/>
        </w:rPr>
        <w:t>Współpraca Wrocławską Księgarnią Archidiecezjalną</w:t>
      </w:r>
      <w:r w:rsidRPr="00E00B35">
        <w:rPr>
          <w:rFonts w:cs="Arial"/>
          <w:szCs w:val="20"/>
        </w:rPr>
        <w:t xml:space="preserve"> </w:t>
      </w:r>
      <w:r w:rsidRPr="00E00B35">
        <w:rPr>
          <w:szCs w:val="20"/>
        </w:rPr>
        <w:t>w ramach przygotowania wydawnictwa podsumowującego 42. Europejskie Spotkanie Młodych TAIZE „We Wrocławiu odmłodziliście oblicze kościoła”, w tym praca nad okładką ww. wydawnictwa oraz zamieszczenie sloganu promocyjnego „Wrocław – miasto spotkań”.</w:t>
      </w:r>
    </w:p>
    <w:p w:rsidR="00B86812" w:rsidRPr="00E00B35" w:rsidRDefault="00B86812" w:rsidP="00E00B35">
      <w:pPr>
        <w:pStyle w:val="Default"/>
        <w:spacing w:after="0" w:line="312" w:lineRule="auto"/>
        <w:rPr>
          <w:rFonts w:ascii="Verdana" w:hAnsi="Verdana"/>
          <w:sz w:val="20"/>
          <w:szCs w:val="20"/>
        </w:rPr>
      </w:pPr>
    </w:p>
    <w:p w:rsidR="00B86812" w:rsidRPr="00E00B35" w:rsidRDefault="00B86812" w:rsidP="00E00B35">
      <w:pPr>
        <w:pStyle w:val="Nagwek5"/>
        <w:rPr>
          <w:szCs w:val="20"/>
        </w:rPr>
      </w:pPr>
      <w:r w:rsidRPr="00E00B35">
        <w:rPr>
          <w:szCs w:val="20"/>
        </w:rPr>
        <w:t>PROJEKT: REALIZOWANE KAMPANIE REKLAMOWE W SOCIAL MEDIACH</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BC64AB">
      <w:pPr>
        <w:numPr>
          <w:ilvl w:val="0"/>
          <w:numId w:val="291"/>
        </w:numPr>
        <w:spacing w:after="0" w:line="312" w:lineRule="auto"/>
        <w:ind w:left="426" w:hanging="426"/>
        <w:rPr>
          <w:szCs w:val="20"/>
        </w:rPr>
      </w:pPr>
      <w:r w:rsidRPr="00E00B35">
        <w:rPr>
          <w:szCs w:val="20"/>
        </w:rPr>
        <w:t>Europa na widelcu online - działania online związane z wrocławskim festiwalem kulinarnym (np. gotowanie z Robertem Makłowiczem, konkursy, quizy)</w:t>
      </w:r>
    </w:p>
    <w:p w:rsidR="00B86812" w:rsidRPr="00E00B35" w:rsidRDefault="00B86812" w:rsidP="00BC64AB">
      <w:pPr>
        <w:numPr>
          <w:ilvl w:val="0"/>
          <w:numId w:val="291"/>
        </w:numPr>
        <w:spacing w:after="0" w:line="312" w:lineRule="auto"/>
        <w:ind w:left="426" w:hanging="426"/>
        <w:rPr>
          <w:szCs w:val="20"/>
        </w:rPr>
      </w:pPr>
      <w:r w:rsidRPr="00E00B35">
        <w:rPr>
          <w:szCs w:val="20"/>
        </w:rPr>
        <w:t>Wirtualne zwiedzanie Wrocławia</w:t>
      </w:r>
    </w:p>
    <w:p w:rsidR="00B86812" w:rsidRPr="00E00B35" w:rsidRDefault="00B86812" w:rsidP="00BC64AB">
      <w:pPr>
        <w:numPr>
          <w:ilvl w:val="0"/>
          <w:numId w:val="291"/>
        </w:numPr>
        <w:spacing w:after="0" w:line="312" w:lineRule="auto"/>
        <w:ind w:left="426" w:hanging="426"/>
        <w:rPr>
          <w:szCs w:val="20"/>
        </w:rPr>
      </w:pPr>
      <w:r w:rsidRPr="00E00B35">
        <w:rPr>
          <w:szCs w:val="20"/>
        </w:rPr>
        <w:t>Dzień Jogi we Wrocławiu - wykład oraz wspólne ćwiczenia online</w:t>
      </w:r>
    </w:p>
    <w:p w:rsidR="00B86812" w:rsidRPr="00E00B35" w:rsidRDefault="00B86812" w:rsidP="00BC64AB">
      <w:pPr>
        <w:numPr>
          <w:ilvl w:val="0"/>
          <w:numId w:val="291"/>
        </w:numPr>
        <w:spacing w:after="0" w:line="312" w:lineRule="auto"/>
        <w:ind w:left="426" w:hanging="426"/>
        <w:rPr>
          <w:szCs w:val="20"/>
        </w:rPr>
      </w:pPr>
      <w:r w:rsidRPr="00E00B35">
        <w:rPr>
          <w:szCs w:val="20"/>
        </w:rPr>
        <w:t>#JogaOnline - wspólne ćwiczenia online</w:t>
      </w:r>
    </w:p>
    <w:p w:rsidR="00B86812" w:rsidRPr="00E00B35" w:rsidRDefault="00B86812" w:rsidP="00BC64AB">
      <w:pPr>
        <w:numPr>
          <w:ilvl w:val="0"/>
          <w:numId w:val="291"/>
        </w:numPr>
        <w:spacing w:after="0" w:line="312" w:lineRule="auto"/>
        <w:ind w:left="426" w:hanging="426"/>
        <w:rPr>
          <w:szCs w:val="20"/>
        </w:rPr>
      </w:pPr>
      <w:r w:rsidRPr="00E00B35">
        <w:rPr>
          <w:szCs w:val="20"/>
        </w:rPr>
        <w:lastRenderedPageBreak/>
        <w:t xml:space="preserve">Ekspert radzi: Zmień piec - transmisje z wywiadów ze specjalistami </w:t>
      </w:r>
    </w:p>
    <w:p w:rsidR="00B86812" w:rsidRPr="00E00B35" w:rsidRDefault="00B86812" w:rsidP="00BC64AB">
      <w:pPr>
        <w:numPr>
          <w:ilvl w:val="0"/>
          <w:numId w:val="291"/>
        </w:numPr>
        <w:spacing w:after="0" w:line="312" w:lineRule="auto"/>
        <w:ind w:left="426" w:hanging="426"/>
        <w:rPr>
          <w:szCs w:val="20"/>
        </w:rPr>
      </w:pPr>
      <w:r w:rsidRPr="00E00B35">
        <w:rPr>
          <w:szCs w:val="20"/>
        </w:rPr>
        <w:t>#DachyWrocławia - koncerty na dachach Wrocławia</w:t>
      </w:r>
    </w:p>
    <w:p w:rsidR="00B86812" w:rsidRPr="00E00B35" w:rsidRDefault="00B86812" w:rsidP="00BC64AB">
      <w:pPr>
        <w:numPr>
          <w:ilvl w:val="0"/>
          <w:numId w:val="291"/>
        </w:numPr>
        <w:spacing w:after="0" w:line="312" w:lineRule="auto"/>
        <w:ind w:left="426" w:hanging="426"/>
        <w:rPr>
          <w:szCs w:val="20"/>
        </w:rPr>
      </w:pPr>
      <w:r w:rsidRPr="00E00B35">
        <w:rPr>
          <w:szCs w:val="20"/>
        </w:rPr>
        <w:t>Wirtualne zwiedzanie Wrocławia</w:t>
      </w:r>
    </w:p>
    <w:p w:rsidR="00B86812" w:rsidRPr="00E00B35" w:rsidRDefault="00B86812" w:rsidP="00BC64AB">
      <w:pPr>
        <w:numPr>
          <w:ilvl w:val="0"/>
          <w:numId w:val="291"/>
        </w:numPr>
        <w:spacing w:after="0" w:line="312" w:lineRule="auto"/>
        <w:ind w:left="426" w:hanging="426"/>
        <w:rPr>
          <w:szCs w:val="20"/>
        </w:rPr>
      </w:pPr>
      <w:r w:rsidRPr="00E00B35">
        <w:rPr>
          <w:szCs w:val="20"/>
        </w:rPr>
        <w:t>#DachyWrocławia - teledyski na dachach Wrocławia</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#OdkryjDolnyŚląsk - wirtualne zwiedzanie nieoczywistych miejsc </w:t>
      </w:r>
      <w:r w:rsidRPr="00E00B35">
        <w:rPr>
          <w:szCs w:val="20"/>
        </w:rPr>
        <w:br/>
        <w:t>na Dolnym Śląsku</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Wrocławski Festiwal Krasnoludków - Miesiąc działań online związanych </w:t>
      </w:r>
      <w:r w:rsidRPr="00E00B35">
        <w:rPr>
          <w:szCs w:val="20"/>
        </w:rPr>
        <w:br/>
        <w:t>ze świętem wrocławskich krasnoludków (np. krasnalowa gra miejska, krasnalowe ciekawostki i wyzwania, konkursy z nagrodami)</w:t>
      </w:r>
    </w:p>
    <w:p w:rsidR="00B86812" w:rsidRPr="00E00B35" w:rsidRDefault="00B86812" w:rsidP="00BC64AB">
      <w:pPr>
        <w:numPr>
          <w:ilvl w:val="0"/>
          <w:numId w:val="291"/>
        </w:numPr>
        <w:spacing w:after="0" w:line="312" w:lineRule="auto"/>
        <w:ind w:left="426" w:hanging="426"/>
        <w:rPr>
          <w:szCs w:val="20"/>
        </w:rPr>
      </w:pPr>
      <w:r w:rsidRPr="00E00B35">
        <w:rPr>
          <w:szCs w:val="20"/>
        </w:rPr>
        <w:t>Wrocławski Budżet Obywatelski</w:t>
      </w:r>
    </w:p>
    <w:p w:rsidR="00B86812" w:rsidRPr="00E00B35" w:rsidRDefault="00B86812" w:rsidP="00BC64AB">
      <w:pPr>
        <w:numPr>
          <w:ilvl w:val="0"/>
          <w:numId w:val="291"/>
        </w:numPr>
        <w:spacing w:after="0" w:line="312" w:lineRule="auto"/>
        <w:ind w:left="426" w:hanging="426"/>
        <w:rPr>
          <w:szCs w:val="20"/>
        </w:rPr>
      </w:pPr>
      <w:r w:rsidRPr="00E00B35">
        <w:rPr>
          <w:szCs w:val="20"/>
        </w:rPr>
        <w:t>Materiał wideo: spektakl “75 lat powojennego Wrocławia”</w:t>
      </w:r>
    </w:p>
    <w:p w:rsidR="00B86812" w:rsidRPr="00E00B35" w:rsidRDefault="00B86812" w:rsidP="00BC64AB">
      <w:pPr>
        <w:numPr>
          <w:ilvl w:val="0"/>
          <w:numId w:val="291"/>
        </w:numPr>
        <w:spacing w:after="0" w:line="312" w:lineRule="auto"/>
        <w:ind w:left="426" w:hanging="426"/>
        <w:rPr>
          <w:szCs w:val="20"/>
        </w:rPr>
      </w:pPr>
      <w:r w:rsidRPr="00E00B35">
        <w:rPr>
          <w:szCs w:val="20"/>
        </w:rPr>
        <w:t>Kinomural 2020 - wirtualny spacer</w:t>
      </w:r>
    </w:p>
    <w:p w:rsidR="00B86812" w:rsidRPr="00E00B35" w:rsidRDefault="00B86812" w:rsidP="00BC64AB">
      <w:pPr>
        <w:numPr>
          <w:ilvl w:val="0"/>
          <w:numId w:val="291"/>
        </w:numPr>
        <w:spacing w:after="0" w:line="312" w:lineRule="auto"/>
        <w:ind w:left="426" w:hanging="426"/>
        <w:rPr>
          <w:szCs w:val="20"/>
        </w:rPr>
      </w:pPr>
      <w:r w:rsidRPr="00E00B35">
        <w:rPr>
          <w:szCs w:val="20"/>
        </w:rPr>
        <w:t>#WrocławskieZOOpowieści - zwiedzanie ZOO Wrocław oraz wrocławskich atrakcji w towarzystwie pasjonata zwierząt - Ziemka</w:t>
      </w:r>
    </w:p>
    <w:p w:rsidR="00B86812" w:rsidRPr="00E00B35" w:rsidRDefault="00B86812" w:rsidP="00BC64AB">
      <w:pPr>
        <w:numPr>
          <w:ilvl w:val="0"/>
          <w:numId w:val="291"/>
        </w:numPr>
        <w:spacing w:after="0" w:line="312" w:lineRule="auto"/>
        <w:ind w:left="426" w:hanging="426"/>
        <w:rPr>
          <w:szCs w:val="20"/>
        </w:rPr>
      </w:pPr>
      <w:r w:rsidRPr="00E00B35">
        <w:rPr>
          <w:szCs w:val="20"/>
        </w:rPr>
        <w:t>#MadeInWrocław - konferencja i targi online</w:t>
      </w:r>
    </w:p>
    <w:p w:rsidR="00B86812" w:rsidRPr="00E00B35" w:rsidRDefault="00B86812" w:rsidP="00BC64AB">
      <w:pPr>
        <w:numPr>
          <w:ilvl w:val="0"/>
          <w:numId w:val="291"/>
        </w:numPr>
        <w:spacing w:after="0" w:line="312" w:lineRule="auto"/>
        <w:ind w:left="426" w:hanging="426"/>
        <w:rPr>
          <w:szCs w:val="20"/>
        </w:rPr>
      </w:pPr>
      <w:r w:rsidRPr="00E00B35">
        <w:rPr>
          <w:szCs w:val="20"/>
        </w:rPr>
        <w:t>Jesienna odsłona kampanii #modanawrocław</w:t>
      </w:r>
    </w:p>
    <w:p w:rsidR="00B86812" w:rsidRPr="00E00B35" w:rsidRDefault="00B86812" w:rsidP="00BC64AB">
      <w:pPr>
        <w:numPr>
          <w:ilvl w:val="0"/>
          <w:numId w:val="291"/>
        </w:numPr>
        <w:spacing w:after="0" w:line="312" w:lineRule="auto"/>
        <w:ind w:left="426" w:hanging="426"/>
        <w:rPr>
          <w:szCs w:val="20"/>
        </w:rPr>
      </w:pPr>
      <w:r w:rsidRPr="00E00B35">
        <w:rPr>
          <w:szCs w:val="20"/>
        </w:rPr>
        <w:t>Dzień Życzliwości - Miesiąc działań online związanych z najbardziej życzliwym dniem w roku (np. Muzyczna inicjatywa z Cleo, #ŻyczliweSłoneczniki, #ŻyczliweWeekendy, wieczorny wykład z dr Ewą Woydyłło-Osiatyńską)</w:t>
      </w:r>
    </w:p>
    <w:p w:rsidR="00B86812" w:rsidRPr="00E00B35" w:rsidRDefault="00B86812" w:rsidP="00BC64AB">
      <w:pPr>
        <w:numPr>
          <w:ilvl w:val="0"/>
          <w:numId w:val="291"/>
        </w:numPr>
        <w:spacing w:after="0" w:line="312" w:lineRule="auto"/>
        <w:ind w:left="426" w:hanging="426"/>
        <w:rPr>
          <w:szCs w:val="20"/>
        </w:rPr>
      </w:pPr>
      <w:r w:rsidRPr="00E00B35">
        <w:rPr>
          <w:szCs w:val="20"/>
        </w:rPr>
        <w:t>#Wkółkokręcę - konkurs rowerowy dla mieszkańców Wrocławia</w:t>
      </w:r>
    </w:p>
    <w:p w:rsidR="00B86812" w:rsidRPr="00E00B35" w:rsidRDefault="00B86812" w:rsidP="00BC64AB">
      <w:pPr>
        <w:numPr>
          <w:ilvl w:val="0"/>
          <w:numId w:val="291"/>
        </w:numPr>
        <w:spacing w:after="0" w:line="312" w:lineRule="auto"/>
        <w:ind w:left="426" w:hanging="426"/>
        <w:rPr>
          <w:szCs w:val="20"/>
        </w:rPr>
      </w:pPr>
      <w:r w:rsidRPr="00E00B35">
        <w:rPr>
          <w:szCs w:val="20"/>
        </w:rPr>
        <w:t>#CzasNaRuch - projekt zachęcający do aktywności sportowej, dopasowany do różnych grup docelowych (dzieci, młodzież, seniorzy, osoby dorosłe)</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#OdkryjWrocław - wirtualne zwiedzanie nieoczywistych miejsc we Wrocławiu </w:t>
      </w:r>
    </w:p>
    <w:p w:rsidR="00B86812" w:rsidRPr="00E00B35" w:rsidRDefault="00B86812" w:rsidP="00BC64AB">
      <w:pPr>
        <w:numPr>
          <w:ilvl w:val="0"/>
          <w:numId w:val="291"/>
        </w:numPr>
        <w:spacing w:after="0" w:line="312" w:lineRule="auto"/>
        <w:ind w:left="426" w:hanging="426"/>
        <w:rPr>
          <w:szCs w:val="20"/>
        </w:rPr>
      </w:pPr>
      <w:r w:rsidRPr="00E00B35">
        <w:rPr>
          <w:szCs w:val="20"/>
        </w:rPr>
        <w:t>Gala Konkursu Wrocławianki Roku - oficjalna transmisja z wydarzenia</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Olga Tokarczuk - świętowanie rocznicy odebrania Nagrody Nobla (wraz </w:t>
      </w:r>
      <w:r w:rsidRPr="00E00B35">
        <w:rPr>
          <w:szCs w:val="20"/>
        </w:rPr>
        <w:br/>
        <w:t>z transmisją z koncertu Marii Peszek)</w:t>
      </w:r>
    </w:p>
    <w:p w:rsidR="00B86812" w:rsidRPr="00E00B35" w:rsidRDefault="00B86812" w:rsidP="00BC64AB">
      <w:pPr>
        <w:numPr>
          <w:ilvl w:val="0"/>
          <w:numId w:val="291"/>
        </w:numPr>
        <w:spacing w:after="0" w:line="312" w:lineRule="auto"/>
        <w:ind w:left="426" w:hanging="426"/>
        <w:rPr>
          <w:szCs w:val="20"/>
        </w:rPr>
      </w:pPr>
      <w:r w:rsidRPr="00E00B35">
        <w:rPr>
          <w:szCs w:val="20"/>
        </w:rPr>
        <w:t>#30KreatywnychWrocławia - oficjalna transmisja z wydarzenia</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#WrocławNaWidelcu - wirtualna podróż po 12 wrocławskich resturacjach </w:t>
      </w:r>
    </w:p>
    <w:p w:rsidR="00B86812" w:rsidRPr="00E00B35" w:rsidRDefault="00B86812" w:rsidP="00BC64AB">
      <w:pPr>
        <w:numPr>
          <w:ilvl w:val="0"/>
          <w:numId w:val="291"/>
        </w:numPr>
        <w:spacing w:after="0" w:line="312" w:lineRule="auto"/>
        <w:ind w:left="426" w:hanging="426"/>
        <w:rPr>
          <w:szCs w:val="20"/>
        </w:rPr>
      </w:pPr>
      <w:r w:rsidRPr="00E00B35">
        <w:rPr>
          <w:szCs w:val="20"/>
        </w:rPr>
        <w:t>#DolnośląskieZOOpowieści - odcinek specjalny ZOOpowieści, w którym odwiedziliśmy ZOO Wrocław oraz wioskę lapońską Kalevala</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#WrocławskaKolęda - kolęda “Cicha Noc” zaśpiewana przez wrocławian </w:t>
      </w:r>
      <w:r w:rsidRPr="00E00B35">
        <w:rPr>
          <w:szCs w:val="20"/>
        </w:rPr>
        <w:br/>
        <w:t xml:space="preserve">i wrocławianki </w:t>
      </w:r>
    </w:p>
    <w:p w:rsidR="00B86812" w:rsidRPr="00E00B35" w:rsidRDefault="00B86812" w:rsidP="00BC64AB">
      <w:pPr>
        <w:numPr>
          <w:ilvl w:val="0"/>
          <w:numId w:val="291"/>
        </w:numPr>
        <w:spacing w:after="0" w:line="312" w:lineRule="auto"/>
        <w:ind w:left="426" w:hanging="426"/>
        <w:rPr>
          <w:szCs w:val="20"/>
        </w:rPr>
      </w:pPr>
      <w:r w:rsidRPr="00E00B35">
        <w:rPr>
          <w:szCs w:val="20"/>
        </w:rPr>
        <w:t>Świąteczna odsłona kampanii #modanawrocław</w:t>
      </w:r>
    </w:p>
    <w:p w:rsidR="00B86812" w:rsidRPr="00E00B35" w:rsidRDefault="00B86812" w:rsidP="00E00B35">
      <w:pPr>
        <w:pStyle w:val="Normalny1"/>
        <w:spacing w:after="0" w:line="312" w:lineRule="auto"/>
        <w:rPr>
          <w:rFonts w:ascii="Verdana" w:hAnsi="Verdana"/>
          <w:sz w:val="20"/>
          <w:szCs w:val="20"/>
        </w:rPr>
      </w:pPr>
      <w:r w:rsidRPr="00E00B35">
        <w:rPr>
          <w:rFonts w:ascii="Verdana" w:hAnsi="Verdana"/>
          <w:sz w:val="20"/>
          <w:szCs w:val="20"/>
        </w:rPr>
        <w:t xml:space="preserve">Oprócz powyżej wymienionych działań realizowane były kampanie reklamowe wspierające inicjatywy i komunikaty bieżące - związane z aktualną sytuacją epidemiologiczną oraz najważniejszymi informacjami dla mieszkańców. Aktualnie trwa także akcja #75WrocLove - organizowana z okazji 75-lecia powojennego Wrocławia. </w:t>
      </w:r>
    </w:p>
    <w:p w:rsidR="00B86812" w:rsidRPr="00E00B35" w:rsidRDefault="00B86812" w:rsidP="00E00B35">
      <w:pPr>
        <w:pStyle w:val="Normalny1"/>
        <w:spacing w:after="0" w:line="312" w:lineRule="auto"/>
        <w:rPr>
          <w:rFonts w:ascii="Verdana" w:hAnsi="Verdana"/>
          <w:sz w:val="20"/>
          <w:szCs w:val="20"/>
        </w:rPr>
      </w:pPr>
    </w:p>
    <w:p w:rsidR="00B86812" w:rsidRPr="00E00B35" w:rsidRDefault="00B86812" w:rsidP="00E00B35">
      <w:pPr>
        <w:pStyle w:val="Normalny1"/>
        <w:spacing w:after="0" w:line="312" w:lineRule="auto"/>
        <w:rPr>
          <w:rFonts w:ascii="Verdana" w:hAnsi="Verdana"/>
          <w:sz w:val="20"/>
          <w:szCs w:val="20"/>
        </w:rPr>
      </w:pPr>
      <w:r w:rsidRPr="00E00B35">
        <w:rPr>
          <w:rFonts w:ascii="Verdana" w:hAnsi="Verdana"/>
          <w:sz w:val="20"/>
          <w:szCs w:val="20"/>
        </w:rPr>
        <w:t xml:space="preserve">Wsparciem reklamowym zostało objęte także nowy kanał turystyczny “Visit Wrocław” na YouTube. </w:t>
      </w:r>
    </w:p>
    <w:p w:rsidR="00B86812" w:rsidRPr="00E00B35" w:rsidRDefault="00B86812" w:rsidP="00E00B35">
      <w:pPr>
        <w:pStyle w:val="Tekstpodstawowywcity"/>
        <w:spacing w:after="0" w:line="312" w:lineRule="auto"/>
        <w:ind w:left="0"/>
        <w:rPr>
          <w:b/>
          <w:szCs w:val="20"/>
        </w:rPr>
      </w:pPr>
    </w:p>
    <w:p w:rsidR="00B86812" w:rsidRPr="00E00B35" w:rsidRDefault="00B86812" w:rsidP="00E00B35">
      <w:pPr>
        <w:pStyle w:val="Nagwek5"/>
        <w:rPr>
          <w:szCs w:val="20"/>
        </w:rPr>
      </w:pPr>
      <w:r w:rsidRPr="00E00B35">
        <w:rPr>
          <w:szCs w:val="20"/>
        </w:rPr>
        <w:t>PROJEKT: PROMOCJA TURYSTYCZNA</w:t>
      </w:r>
    </w:p>
    <w:p w:rsidR="00B86812" w:rsidRPr="00E00B35" w:rsidRDefault="00B86812" w:rsidP="00E00B35">
      <w:pPr>
        <w:pStyle w:val="Tekstpodstawowywcity"/>
        <w:spacing w:after="0" w:line="312" w:lineRule="auto"/>
        <w:ind w:left="0"/>
        <w:rPr>
          <w:szCs w:val="20"/>
        </w:rPr>
      </w:pPr>
    </w:p>
    <w:p w:rsidR="00B86812" w:rsidRPr="00E00B35" w:rsidRDefault="00B86812" w:rsidP="00E00B35">
      <w:pPr>
        <w:pStyle w:val="Tekstpodstawowywcity"/>
        <w:spacing w:after="0" w:line="312" w:lineRule="auto"/>
        <w:ind w:left="0"/>
        <w:rPr>
          <w:b/>
          <w:szCs w:val="20"/>
        </w:rPr>
      </w:pPr>
      <w:r w:rsidRPr="00E00B35">
        <w:rPr>
          <w:b/>
          <w:szCs w:val="20"/>
        </w:rPr>
        <w:lastRenderedPageBreak/>
        <w:t>Targi turystyczne</w:t>
      </w:r>
    </w:p>
    <w:p w:rsidR="00B86812" w:rsidRPr="00E00B35" w:rsidRDefault="00B86812" w:rsidP="00E00B35">
      <w:pPr>
        <w:pStyle w:val="Tekstkomentarza"/>
        <w:spacing w:after="0" w:line="312" w:lineRule="auto"/>
        <w:rPr>
          <w:b/>
        </w:rPr>
      </w:pPr>
      <w:r w:rsidRPr="00E00B35">
        <w:rPr>
          <w:b/>
        </w:rPr>
        <w:t>630.63003.W4300-JUP-08 zad. BPM/B/07</w:t>
      </w:r>
    </w:p>
    <w:p w:rsidR="00B86812" w:rsidRPr="00E00B35" w:rsidRDefault="00B86812" w:rsidP="00E00B35">
      <w:pPr>
        <w:pStyle w:val="Tekstpodstawowywcity"/>
        <w:spacing w:after="0" w:line="312" w:lineRule="auto"/>
        <w:ind w:left="0"/>
        <w:rPr>
          <w:rFonts w:cs="Arial"/>
          <w:b/>
          <w:szCs w:val="20"/>
          <w:shd w:val="clear" w:color="auto" w:fill="FFFFFF"/>
        </w:rPr>
      </w:pPr>
      <w:r w:rsidRPr="00E00B35">
        <w:rPr>
          <w:rFonts w:cs="Verdana"/>
          <w:b/>
          <w:color w:val="000000"/>
          <w:szCs w:val="20"/>
        </w:rPr>
        <w:t>16–19 stycznia 2020</w:t>
      </w:r>
      <w:r w:rsidRPr="00E00B35">
        <w:rPr>
          <w:b/>
          <w:szCs w:val="20"/>
        </w:rPr>
        <w:t xml:space="preserve">, Międzynarodowe Targi Turystyczne </w:t>
      </w:r>
      <w:r w:rsidRPr="00E00B35">
        <w:rPr>
          <w:rFonts w:cs="Arial"/>
          <w:b/>
          <w:szCs w:val="20"/>
          <w:shd w:val="clear" w:color="auto" w:fill="FFFFFF"/>
        </w:rPr>
        <w:t>Vakantiebeurs, Utrecht (Holandia)</w:t>
      </w:r>
    </w:p>
    <w:p w:rsidR="00B86812" w:rsidRPr="00E00B35" w:rsidRDefault="00B86812" w:rsidP="00E00B35">
      <w:pPr>
        <w:spacing w:after="0" w:line="312" w:lineRule="auto"/>
        <w:rPr>
          <w:szCs w:val="20"/>
        </w:rPr>
      </w:pPr>
      <w:r w:rsidRPr="00E00B35">
        <w:rPr>
          <w:szCs w:val="20"/>
        </w:rPr>
        <w:t xml:space="preserve">Targi turystyczne przyciągnęły ponad 130 tysięcy odwiedzających, zarówno </w:t>
      </w:r>
      <w:r w:rsidRPr="00E00B35">
        <w:rPr>
          <w:szCs w:val="20"/>
        </w:rPr>
        <w:br/>
        <w:t xml:space="preserve">z Holandii, jak i spoza tego kraju. </w:t>
      </w:r>
    </w:p>
    <w:p w:rsidR="00B86812" w:rsidRPr="00E00B35" w:rsidRDefault="00B86812" w:rsidP="00E00B35">
      <w:pPr>
        <w:spacing w:after="0" w:line="312" w:lineRule="auto"/>
        <w:rPr>
          <w:szCs w:val="20"/>
        </w:rPr>
      </w:pPr>
    </w:p>
    <w:p w:rsidR="00B86812" w:rsidRPr="00E00B35" w:rsidRDefault="00B86812" w:rsidP="00E00B35">
      <w:pPr>
        <w:pStyle w:val="Tekstpodstawowywcity"/>
        <w:spacing w:after="0" w:line="312" w:lineRule="auto"/>
        <w:ind w:left="0"/>
        <w:rPr>
          <w:szCs w:val="20"/>
        </w:rPr>
      </w:pPr>
      <w:r w:rsidRPr="00E00B35">
        <w:rPr>
          <w:szCs w:val="20"/>
        </w:rPr>
        <w:t>Pierwszego dnia targów odbyło się spotkanie dla dziennikarzy, branży turystycznej                   i blogerów połączone z degustacją specjałów polskiej kuchni. Drugiego dnia zorganizowano prezentację Wrocławia i jego największych atrakcji, której wysłuchało kilkadziesiąt osób. Podczas tych spotkań uczestnikom zostały wręczone, specjalnie przygotowane na tę okazję materiały o mieście.</w:t>
      </w:r>
    </w:p>
    <w:p w:rsidR="00B86812" w:rsidRPr="00E00B35" w:rsidRDefault="00B86812" w:rsidP="00E00B35">
      <w:pPr>
        <w:pStyle w:val="Tekstpodstawowywcity"/>
        <w:spacing w:after="0" w:line="312" w:lineRule="auto"/>
        <w:ind w:left="0"/>
        <w:rPr>
          <w:szCs w:val="20"/>
        </w:rPr>
      </w:pPr>
    </w:p>
    <w:p w:rsidR="00B86812" w:rsidRPr="00E00B35" w:rsidRDefault="00B86812" w:rsidP="00E00B35">
      <w:pPr>
        <w:pStyle w:val="Tekstpodstawowywcity"/>
        <w:spacing w:after="0" w:line="312" w:lineRule="auto"/>
        <w:ind w:left="0"/>
        <w:rPr>
          <w:szCs w:val="20"/>
        </w:rPr>
      </w:pPr>
      <w:r w:rsidRPr="00E00B35">
        <w:rPr>
          <w:color w:val="000000"/>
          <w:szCs w:val="20"/>
        </w:rPr>
        <w:t xml:space="preserve">Na stoisku były dostępne materiały informacyjno-promocyjne miasta (foldery, ulotki, mapy, filmy promocyjne) oraz materiały promocyjne najważniejszych atrakcji turystycznych i kulturalnych miasta, m.in.: Hydropolis, Narodowego Forum Muzyki, Opery, Aquaparku, Hali Stulecia i Centrum Poznawczego, Panoramy Racławickiej czy Afrykarium z ZOO. Udział w targach był doskonałą okazją do prezentacji i zaproszenia do Wrocławia turystów z Holandii, którzy coraz liczniej </w:t>
      </w:r>
      <w:r w:rsidRPr="00E00B35">
        <w:rPr>
          <w:color w:val="000000"/>
          <w:szCs w:val="20"/>
        </w:rPr>
        <w:br/>
        <w:t xml:space="preserve">i częściej odwiedzają nasze miasto.  </w:t>
      </w:r>
    </w:p>
    <w:p w:rsidR="00B86812" w:rsidRPr="00E00B35" w:rsidRDefault="00B86812" w:rsidP="00E00B35">
      <w:pPr>
        <w:pStyle w:val="Tekstpodstawowywcity"/>
        <w:spacing w:after="0" w:line="312" w:lineRule="auto"/>
        <w:ind w:left="720"/>
        <w:rPr>
          <w:szCs w:val="20"/>
        </w:rPr>
      </w:pPr>
    </w:p>
    <w:p w:rsidR="00B86812" w:rsidRPr="00E00B35" w:rsidRDefault="00B86812" w:rsidP="00E00B35">
      <w:pPr>
        <w:autoSpaceDE w:val="0"/>
        <w:autoSpaceDN w:val="0"/>
        <w:adjustRightInd w:val="0"/>
        <w:spacing w:after="0" w:line="312" w:lineRule="auto"/>
        <w:rPr>
          <w:rFonts w:cs="Verdana"/>
          <w:b/>
          <w:color w:val="000000"/>
          <w:szCs w:val="20"/>
        </w:rPr>
      </w:pPr>
      <w:r w:rsidRPr="00E00B35">
        <w:rPr>
          <w:rFonts w:cs="Verdana"/>
          <w:b/>
          <w:color w:val="000000"/>
          <w:szCs w:val="20"/>
        </w:rPr>
        <w:t>28 lutego – 1 marca 2020, Międzynarodowe Targi Turystyki i czasu wolnego, Wrocław</w:t>
      </w:r>
    </w:p>
    <w:p w:rsidR="00B86812" w:rsidRPr="00E00B35" w:rsidRDefault="00B86812" w:rsidP="00E00B35">
      <w:pPr>
        <w:spacing w:after="0" w:line="312" w:lineRule="auto"/>
        <w:rPr>
          <w:b/>
          <w:szCs w:val="20"/>
        </w:rPr>
      </w:pPr>
      <w:r w:rsidRPr="00E00B35">
        <w:rPr>
          <w:color w:val="000000"/>
          <w:szCs w:val="20"/>
        </w:rPr>
        <w:t xml:space="preserve">Biuro Promocji Miasta i Turystyki wzięło udział w terminie od 28 lutego do 1 marca 2020 w Międzynarodowych Targach Turystyki i czasu wolnego Wrocław 2020. Jest to największe i najważniejsze wydarzenie turystyczne na Dolnym Śląsku. </w:t>
      </w:r>
      <w:r w:rsidRPr="00E00B35">
        <w:rPr>
          <w:color w:val="000000"/>
          <w:szCs w:val="20"/>
        </w:rPr>
        <w:br/>
        <w:t>W targach bierze udział ponad 200 wystawców z Polski i z zagranicy a ostatnią edycję targów odwiedziło blisko 14 tys. odwiedzających. Jedną z głównych atrakcji targowych jest Festiwal Podróżników - trzydniowe spotkania z prawdziwymi pasjonatami podróżowania w różnej jego formie, którzy opowiadają o swoich przygodach i doświadczeniach w podróżowaniu po świecie. Podczas dotychczasowych edycji Festiwalu Podróżników ponad 100 podróżników opowiadało o swoich wyprawach. Na targach co roku gościli najbardziej znani polscy podróżnicy m.in. Wojciech Cejrowski, Beata Pawlikowska, Martyna Wojciechowska, Elżbieta Dzikowska i wielu innych. Targom towarzyszyły dodatkowe atrakcje tj.: Festiwal Kulinarny, Strefa Produktów Regionalnych, atrakcje dla dzieci, pokazy i warsztaty oraz liczne spotkania.</w:t>
      </w:r>
    </w:p>
    <w:p w:rsidR="00B86812" w:rsidRPr="00E00B35" w:rsidRDefault="00B86812" w:rsidP="00E00B35">
      <w:pPr>
        <w:spacing w:after="0" w:line="312" w:lineRule="auto"/>
        <w:rPr>
          <w:b/>
          <w:szCs w:val="20"/>
        </w:rPr>
      </w:pPr>
    </w:p>
    <w:p w:rsidR="00B86812" w:rsidRPr="00E00B35" w:rsidRDefault="00B86812" w:rsidP="00E00B35">
      <w:pPr>
        <w:autoSpaceDE w:val="0"/>
        <w:autoSpaceDN w:val="0"/>
        <w:adjustRightInd w:val="0"/>
        <w:spacing w:after="0" w:line="312" w:lineRule="auto"/>
        <w:rPr>
          <w:rFonts w:cs="Verdana"/>
          <w:b/>
          <w:color w:val="000000"/>
          <w:szCs w:val="20"/>
        </w:rPr>
      </w:pPr>
      <w:r w:rsidRPr="00E00B35">
        <w:rPr>
          <w:rFonts w:cs="Verdana"/>
          <w:b/>
          <w:color w:val="000000"/>
          <w:szCs w:val="20"/>
        </w:rPr>
        <w:t>11–12 lutego 2020, Międzynarodowe Targi IMTM, Tel Aviv (Izrael)</w:t>
      </w:r>
    </w:p>
    <w:p w:rsidR="00B86812" w:rsidRPr="00E00B35" w:rsidRDefault="00B86812" w:rsidP="00E00B35">
      <w:pPr>
        <w:spacing w:after="0" w:line="312" w:lineRule="auto"/>
        <w:rPr>
          <w:rFonts w:cs="Verdana"/>
          <w:color w:val="000000"/>
          <w:szCs w:val="20"/>
        </w:rPr>
      </w:pPr>
      <w:r w:rsidRPr="00E00B35">
        <w:rPr>
          <w:rFonts w:cs="Verdana"/>
          <w:color w:val="000000"/>
          <w:szCs w:val="20"/>
        </w:rPr>
        <w:t xml:space="preserve">W dniach 11-12 lutego pracownicy Wydziału Promocji Miast i Turystyki wzięli udział w targach turystycznych IMTM w Tel Avivie. W ramach zadania zostało wykupione stoisko wraz z aranżacją. Na wspólnym stoisku Wrocławia i Dolnego Śląska można było zapoznać się z bogatą ofertą turystyczną i kulturalną miasta oraz regionu. Dostępne były ciekawe, bezpłatne i przeznaczone dla każdego materiały informacyjno-promocyjne, tj. foldery, </w:t>
      </w:r>
      <w:r w:rsidRPr="00E00B35">
        <w:rPr>
          <w:rFonts w:cs="Verdana"/>
          <w:color w:val="000000"/>
          <w:szCs w:val="20"/>
        </w:rPr>
        <w:lastRenderedPageBreak/>
        <w:t xml:space="preserve">ulotki, mapy, gadżety, trasy turystyczne i rowerowe oraz materiały promocyjne najważniejszych atrakcji turystycznych i kulturalnych m.in.: Hydropolis, Afrykarium z ZOO, Kolejkowo, Narodowe Forum Muzyki, Centrum Historii Zajezdnia, Opera. Podczas targów odbyły się liczne spotkania z przedstawicielami branży turystycznej i dziennikarzami dotyczące przede wszystkim organizacji podróży studyjnych i medialnych do Wrocławia i na Dolny Śląsk oraz oferty przyjazdowej z touroperatorami. Targi IMTM w Tel Avivie to największe tego typu wydarzenie w tej części Morza Śródziemnego i jedyne targi turystyczne odbywające się w Izraelu, na których można spotkać profesjonalną branżę turystyczną. Impreza przeznaczona jest dla podmiotów posiadających ofertę turystyki aktywnej, miejskiej (city break) i przeznaczonej dla rodzin oraz hoteli, ze szczególnym uwzględnieniem hoteli z ofertą SPA. Targi oprócz branży otwarte są również dla szerokiej publiczności i konsumentów. W roku bieżącym targi odwiedziło ponad 26 000 gości z czego 17 050 z branży turystycznej.  W targach wzięło udział ponad 1 900 wystawców z 56 krajów. </w:t>
      </w:r>
    </w:p>
    <w:p w:rsidR="00B86812" w:rsidRPr="00E00B35" w:rsidRDefault="00B86812" w:rsidP="00E00B35">
      <w:pPr>
        <w:spacing w:after="0" w:line="312" w:lineRule="auto"/>
        <w:rPr>
          <w:rFonts w:cs="Tahoma"/>
          <w:b/>
          <w:color w:val="000000"/>
          <w:szCs w:val="20"/>
        </w:rPr>
      </w:pPr>
    </w:p>
    <w:p w:rsidR="00B86812" w:rsidRPr="00E00B35" w:rsidRDefault="00B86812" w:rsidP="00E00B35">
      <w:pPr>
        <w:spacing w:after="0" w:line="312" w:lineRule="auto"/>
        <w:rPr>
          <w:b/>
          <w:szCs w:val="20"/>
        </w:rPr>
      </w:pPr>
      <w:r w:rsidRPr="00E00B35">
        <w:rPr>
          <w:rFonts w:cs="Verdana"/>
          <w:b/>
          <w:color w:val="000000"/>
          <w:szCs w:val="20"/>
        </w:rPr>
        <w:t xml:space="preserve">22–26 </w:t>
      </w:r>
      <w:r w:rsidRPr="00E00B35">
        <w:rPr>
          <w:b/>
          <w:szCs w:val="20"/>
        </w:rPr>
        <w:t>czerwca 2020, Dni Polskie w Pradze, edycja online</w:t>
      </w:r>
    </w:p>
    <w:p w:rsidR="00B86812" w:rsidRPr="00E00B35" w:rsidRDefault="00B86812" w:rsidP="00E00B35">
      <w:pPr>
        <w:spacing w:after="0" w:line="312" w:lineRule="auto"/>
        <w:rPr>
          <w:rFonts w:cs="Tahoma"/>
          <w:color w:val="000000"/>
          <w:szCs w:val="20"/>
        </w:rPr>
      </w:pPr>
      <w:r w:rsidRPr="00E00B35">
        <w:rPr>
          <w:rFonts w:cs="Tahoma"/>
          <w:color w:val="000000"/>
          <w:szCs w:val="20"/>
        </w:rPr>
        <w:t>Już po raz piaty Wrocław zaprezentował się na Dniach Polskich w Pradze. W tym roku ze względu na pandemię COVID 19 Instytut Polski w Pradze – organizator wydarzenia postanowił zaprezentować polskie miasta i regiony online. Wrocław swój dzień miał 24 czerwca. Na potrzeby prezentacji miasta przygotowano: multimedialną prezentację, dwa spacery wirtualne po Wrocławiu w języku czeskim, e-booka „Czeskie ślady we Wrocławiu”, filmy zapraszające do Wrocławia oraz filmy promocyjne wrocławskich atrakcji – ZOO, Kolejkowo, Muzeum Pana Tadeusza, Partynice, Centrum Historii Zajezdnia. Odwiedzający stronę mogli wziąć udział w licznych konkursach z nagrodami, przygotowanymi przez partnerów wydarzenia, gdzie do wygrania był m.in. voucher na weekendowy pobyt we Wrocławiu ufundowany przez Art. Hotel.</w:t>
      </w:r>
    </w:p>
    <w:p w:rsidR="00B86812" w:rsidRPr="00E00B35" w:rsidRDefault="00B86812" w:rsidP="00E00B35">
      <w:pPr>
        <w:spacing w:after="0" w:line="312" w:lineRule="auto"/>
        <w:rPr>
          <w:rFonts w:cs="Tahoma"/>
          <w:color w:val="000000"/>
          <w:szCs w:val="20"/>
        </w:rPr>
      </w:pPr>
    </w:p>
    <w:p w:rsidR="00B86812" w:rsidRPr="00E00B35" w:rsidRDefault="00B86812" w:rsidP="00E00B35">
      <w:pPr>
        <w:pStyle w:val="Nagwek5"/>
        <w:rPr>
          <w:szCs w:val="20"/>
        </w:rPr>
      </w:pPr>
      <w:r w:rsidRPr="00E00B35">
        <w:rPr>
          <w:szCs w:val="20"/>
        </w:rPr>
        <w:t>Udziału w wirtualnych targach turystycznych WTM London</w:t>
      </w:r>
    </w:p>
    <w:p w:rsidR="00B86812" w:rsidRPr="00E00B35" w:rsidRDefault="00B86812" w:rsidP="00E00B35">
      <w:pPr>
        <w:pStyle w:val="NormalnyWeb"/>
        <w:tabs>
          <w:tab w:val="left" w:pos="6789"/>
        </w:tabs>
        <w:spacing w:before="0" w:beforeAutospacing="0" w:after="0" w:afterAutospacing="0" w:line="312" w:lineRule="auto"/>
        <w:rPr>
          <w:b/>
          <w:szCs w:val="20"/>
        </w:rPr>
      </w:pPr>
    </w:p>
    <w:p w:rsidR="00B86812" w:rsidRPr="00E00B35" w:rsidRDefault="00B86812" w:rsidP="00E00B35">
      <w:pPr>
        <w:pStyle w:val="NormalnyWeb"/>
        <w:tabs>
          <w:tab w:val="left" w:pos="6789"/>
        </w:tabs>
        <w:spacing w:before="0" w:beforeAutospacing="0" w:after="0" w:afterAutospacing="0" w:line="312" w:lineRule="auto"/>
        <w:rPr>
          <w:szCs w:val="20"/>
        </w:rPr>
      </w:pPr>
      <w:r w:rsidRPr="00E00B35">
        <w:rPr>
          <w:b/>
          <w:bCs/>
          <w:szCs w:val="20"/>
        </w:rPr>
        <w:t>WTM World Travel Market w Londynie</w:t>
      </w:r>
      <w:r w:rsidRPr="00E00B35">
        <w:rPr>
          <w:szCs w:val="20"/>
        </w:rPr>
        <w:t xml:space="preserve"> to jedne z bardziej prestiżowych </w:t>
      </w:r>
      <w:r w:rsidRPr="00E00B35">
        <w:rPr>
          <w:szCs w:val="20"/>
        </w:rPr>
        <w:br/>
        <w:t xml:space="preserve">i uznanych targów turystycznych na świecie (B2B). To coroczne miejsce spotkań dla profesjonalistów z branży turystycznej nie tylko z terenu Wielkiej Brytanii, ale też i całego świata. Ze względu na aktualną sytuację związaną z panującą na Świecie epidemią COVID-19 organizatorzy tragów </w:t>
      </w:r>
      <w:r w:rsidRPr="00E00B35">
        <w:rPr>
          <w:bCs/>
          <w:szCs w:val="20"/>
        </w:rPr>
        <w:t xml:space="preserve"> WORLD TRAVEL MARKET (WTM) 2020 London </w:t>
      </w:r>
      <w:r w:rsidRPr="00E00B35">
        <w:rPr>
          <w:szCs w:val="20"/>
        </w:rPr>
        <w:t xml:space="preserve">podjęli decyzję o zorganizowaniu tegorocznej edycji tragów tylko w </w:t>
      </w:r>
      <w:r w:rsidRPr="00E00B35">
        <w:rPr>
          <w:bCs/>
          <w:szCs w:val="20"/>
        </w:rPr>
        <w:t>formie wirtualnej</w:t>
      </w:r>
      <w:r w:rsidRPr="00E00B35">
        <w:rPr>
          <w:szCs w:val="20"/>
        </w:rPr>
        <w:t>. Targi odbyły się</w:t>
      </w:r>
      <w:r w:rsidRPr="00E00B35">
        <w:rPr>
          <w:bCs/>
          <w:szCs w:val="20"/>
        </w:rPr>
        <w:t xml:space="preserve"> </w:t>
      </w:r>
      <w:r w:rsidRPr="00E00B35">
        <w:rPr>
          <w:szCs w:val="20"/>
        </w:rPr>
        <w:t xml:space="preserve">pod hasłem </w:t>
      </w:r>
      <w:r w:rsidRPr="00E00B35">
        <w:rPr>
          <w:bCs/>
          <w:i/>
          <w:iCs/>
          <w:szCs w:val="20"/>
        </w:rPr>
        <w:t>Recover. Rebuild. Innovate</w:t>
      </w:r>
      <w:r w:rsidRPr="00E00B35">
        <w:rPr>
          <w:bCs/>
          <w:szCs w:val="20"/>
        </w:rPr>
        <w:t xml:space="preserve"> </w:t>
      </w:r>
      <w:r w:rsidRPr="00E00B35">
        <w:rPr>
          <w:szCs w:val="20"/>
        </w:rPr>
        <w:t>w terminie</w:t>
      </w:r>
      <w:r w:rsidRPr="00E00B35">
        <w:rPr>
          <w:bCs/>
          <w:szCs w:val="20"/>
        </w:rPr>
        <w:t xml:space="preserve"> 9-11 listopada 2020</w:t>
      </w:r>
      <w:r w:rsidRPr="00E00B35">
        <w:rPr>
          <w:szCs w:val="20"/>
        </w:rPr>
        <w:t xml:space="preserve">.  Ich celem było umożliwienie branży turystycznej podniesienie się z kryzysu poprzez dostarczenie jej szansy nawiązania nowych kontaktów biznesowych i zaprezentowanie swoich produktów na szeroką skalę. Wrocław reprezentowany był przez przedstawicieli takich atrakcji turystycznych jak: Hydropolis, ZOO + Afrykarium oraz Browar Stu Mostów. </w:t>
      </w:r>
    </w:p>
    <w:p w:rsidR="00B86812" w:rsidRPr="00E00B35" w:rsidRDefault="00B86812" w:rsidP="00E00B35">
      <w:pPr>
        <w:spacing w:after="0" w:line="312" w:lineRule="auto"/>
        <w:rPr>
          <w:rFonts w:cs="Tahoma"/>
          <w:b/>
          <w:color w:val="000000"/>
          <w:szCs w:val="20"/>
        </w:rPr>
      </w:pPr>
    </w:p>
    <w:p w:rsidR="00B86812" w:rsidRPr="00E00B35" w:rsidRDefault="00B86812" w:rsidP="00E00B35">
      <w:pPr>
        <w:pStyle w:val="Nagwek5"/>
        <w:rPr>
          <w:szCs w:val="20"/>
        </w:rPr>
      </w:pPr>
      <w:r w:rsidRPr="00E00B35">
        <w:rPr>
          <w:szCs w:val="20"/>
        </w:rPr>
        <w:lastRenderedPageBreak/>
        <w:t>Wizyty studyjne dziennikarzy i touroperatorów</w:t>
      </w:r>
    </w:p>
    <w:p w:rsidR="00B86812" w:rsidRPr="00E00B35" w:rsidRDefault="00B86812" w:rsidP="00E00B35">
      <w:pPr>
        <w:pStyle w:val="Tekstkomentarza"/>
        <w:spacing w:after="0" w:line="312" w:lineRule="auto"/>
        <w:rPr>
          <w:b/>
        </w:rPr>
      </w:pPr>
      <w:r w:rsidRPr="00E00B35">
        <w:rPr>
          <w:b/>
        </w:rPr>
        <w:t>630.63003.W4300-JUP-08 zad. BPM/B/07</w:t>
      </w:r>
    </w:p>
    <w:p w:rsidR="00B86812" w:rsidRPr="00E00B35" w:rsidRDefault="00B86812" w:rsidP="00E00B35">
      <w:pPr>
        <w:spacing w:after="0" w:line="312" w:lineRule="auto"/>
        <w:rPr>
          <w:color w:val="000000"/>
          <w:szCs w:val="20"/>
        </w:rPr>
      </w:pPr>
      <w:r w:rsidRPr="00E00B35">
        <w:rPr>
          <w:rFonts w:cs="Tahoma"/>
          <w:color w:val="000000"/>
          <w:szCs w:val="20"/>
        </w:rPr>
        <w:t xml:space="preserve">WPM wspiera dziennikarzy i instytucje, chcących przedstawić Wrocław swoim odbiorcom, w organizacji wizyty. </w:t>
      </w:r>
      <w:r w:rsidRPr="00E00B35">
        <w:rPr>
          <w:szCs w:val="20"/>
        </w:rPr>
        <w:t xml:space="preserve">W pierwszej połowie roku ze względu na sytuacje epidemiologiczną odbyła się jedna wizyta </w:t>
      </w:r>
      <w:r w:rsidRPr="00E00B35">
        <w:rPr>
          <w:color w:val="000000"/>
          <w:szCs w:val="20"/>
        </w:rPr>
        <w:t>blogerów z portalu „Polskie Szlaki”.</w:t>
      </w:r>
    </w:p>
    <w:p w:rsidR="00B86812" w:rsidRPr="00E00B35" w:rsidRDefault="00B86812" w:rsidP="00E00B35">
      <w:pPr>
        <w:spacing w:after="0" w:line="312" w:lineRule="auto"/>
        <w:rPr>
          <w:szCs w:val="20"/>
        </w:rPr>
      </w:pPr>
      <w:r w:rsidRPr="00E00B35">
        <w:rPr>
          <w:szCs w:val="20"/>
        </w:rPr>
        <w:t>Publikacja:</w:t>
      </w:r>
    </w:p>
    <w:p w:rsidR="00B86812" w:rsidRPr="00E00B35" w:rsidRDefault="00B86812" w:rsidP="00E00B35">
      <w:pPr>
        <w:spacing w:after="0" w:line="312" w:lineRule="auto"/>
        <w:rPr>
          <w:i/>
          <w:iCs/>
          <w:szCs w:val="20"/>
        </w:rPr>
      </w:pPr>
      <w:hyperlink r:id="rId15" w:history="1">
        <w:r w:rsidRPr="00E00B35">
          <w:rPr>
            <w:rStyle w:val="Hipercze"/>
            <w:rFonts w:eastAsia="font415"/>
            <w:i/>
            <w:iCs/>
            <w:szCs w:val="20"/>
          </w:rPr>
          <w:t>https://www.polskieszlaki.pl/wycieczki/relacja,12691,spacer-po-wroclawiu-z-krasnalami-historia-i-cudna-architektura.html</w:t>
        </w:r>
      </w:hyperlink>
    </w:p>
    <w:p w:rsidR="00B86812" w:rsidRPr="00E00B35" w:rsidRDefault="00B86812" w:rsidP="00E00B35">
      <w:pPr>
        <w:spacing w:after="0" w:line="312" w:lineRule="auto"/>
        <w:rPr>
          <w:i/>
          <w:iCs/>
          <w:szCs w:val="20"/>
        </w:rPr>
      </w:pPr>
    </w:p>
    <w:p w:rsidR="00B86812" w:rsidRPr="00E00B35" w:rsidRDefault="00B86812" w:rsidP="00E00B35">
      <w:pPr>
        <w:spacing w:after="0" w:line="312" w:lineRule="auto"/>
        <w:rPr>
          <w:szCs w:val="20"/>
        </w:rPr>
      </w:pPr>
      <w:r w:rsidRPr="00E00B35">
        <w:rPr>
          <w:iCs/>
          <w:szCs w:val="20"/>
        </w:rPr>
        <w:t>Wizyty, które odbyły się w drugiej połowie roku:</w:t>
      </w:r>
    </w:p>
    <w:p w:rsidR="00B86812" w:rsidRPr="00E00B35" w:rsidRDefault="00B86812" w:rsidP="00BC64AB">
      <w:pPr>
        <w:numPr>
          <w:ilvl w:val="0"/>
          <w:numId w:val="291"/>
        </w:numPr>
        <w:spacing w:after="0" w:line="312" w:lineRule="auto"/>
        <w:ind w:left="426" w:hanging="426"/>
        <w:rPr>
          <w:szCs w:val="20"/>
        </w:rPr>
      </w:pPr>
      <w:r w:rsidRPr="00E00B35">
        <w:rPr>
          <w:szCs w:val="20"/>
        </w:rPr>
        <w:t>26-27.06.2020 – wizyta blogerów Polskieszlaki.pl (2 osoby)</w:t>
      </w:r>
    </w:p>
    <w:p w:rsidR="00B86812" w:rsidRPr="00E00B35" w:rsidRDefault="00B86812" w:rsidP="00BC64AB">
      <w:pPr>
        <w:numPr>
          <w:ilvl w:val="0"/>
          <w:numId w:val="291"/>
        </w:numPr>
        <w:spacing w:after="0" w:line="312" w:lineRule="auto"/>
        <w:ind w:left="426" w:hanging="426"/>
        <w:rPr>
          <w:szCs w:val="20"/>
        </w:rPr>
      </w:pPr>
      <w:r w:rsidRPr="00E00B35">
        <w:rPr>
          <w:szCs w:val="20"/>
        </w:rPr>
        <w:t>13.08-17.08.2020 – wizyta przedstawicieli hiszpańskiego touroperatora amexglobalbusinesstravel.com (4 osoby)</w:t>
      </w:r>
    </w:p>
    <w:p w:rsidR="00B86812" w:rsidRPr="00E00B35" w:rsidRDefault="00B86812" w:rsidP="00BC64AB">
      <w:pPr>
        <w:numPr>
          <w:ilvl w:val="0"/>
          <w:numId w:val="291"/>
        </w:numPr>
        <w:spacing w:after="0" w:line="312" w:lineRule="auto"/>
        <w:ind w:left="426" w:hanging="426"/>
        <w:rPr>
          <w:szCs w:val="20"/>
        </w:rPr>
      </w:pPr>
      <w:r w:rsidRPr="00E00B35">
        <w:rPr>
          <w:szCs w:val="20"/>
        </w:rPr>
        <w:t>06.08.2020 – wizyta włoskich blogerów i dzinnikarzy z www.romyspace.it (2 osoby)</w:t>
      </w:r>
    </w:p>
    <w:p w:rsidR="00B86812" w:rsidRPr="00E00B35" w:rsidRDefault="00B86812" w:rsidP="00BC64AB">
      <w:pPr>
        <w:numPr>
          <w:ilvl w:val="0"/>
          <w:numId w:val="291"/>
        </w:numPr>
        <w:spacing w:after="0" w:line="312" w:lineRule="auto"/>
        <w:ind w:left="426" w:hanging="426"/>
        <w:rPr>
          <w:szCs w:val="20"/>
        </w:rPr>
      </w:pPr>
      <w:r w:rsidRPr="00E00B35">
        <w:rPr>
          <w:szCs w:val="20"/>
        </w:rPr>
        <w:t>9-12.08. 2020 – wizyta niemieckich touroperator dziennikarzy Monika&amp;Rainer Hamberger, www.erleben-durch-reisen.de  (2 osób)</w:t>
      </w:r>
    </w:p>
    <w:p w:rsidR="00B86812" w:rsidRPr="00E00B35" w:rsidRDefault="00B86812" w:rsidP="00BC64AB">
      <w:pPr>
        <w:numPr>
          <w:ilvl w:val="0"/>
          <w:numId w:val="291"/>
        </w:numPr>
        <w:spacing w:after="0" w:line="312" w:lineRule="auto"/>
        <w:ind w:left="426" w:hanging="426"/>
        <w:rPr>
          <w:szCs w:val="20"/>
        </w:rPr>
      </w:pPr>
      <w:r w:rsidRPr="00E00B35">
        <w:rPr>
          <w:szCs w:val="20"/>
        </w:rPr>
        <w:t>9-10.09.2020 – wizyta belgijskich blogerów TravelRebel.be (2  osoby)</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13-14.09.2020 – wizyta szwedzkich  blogerów z freedomtravel.com </w:t>
      </w:r>
      <w:r w:rsidRPr="00E00B35">
        <w:rPr>
          <w:szCs w:val="20"/>
        </w:rPr>
        <w:br/>
        <w:t>(2 osoby)</w:t>
      </w:r>
    </w:p>
    <w:p w:rsidR="00B86812" w:rsidRPr="00E00B35" w:rsidRDefault="00B86812" w:rsidP="00BC64AB">
      <w:pPr>
        <w:numPr>
          <w:ilvl w:val="0"/>
          <w:numId w:val="291"/>
        </w:numPr>
        <w:spacing w:after="0" w:line="312" w:lineRule="auto"/>
        <w:ind w:left="426" w:hanging="426"/>
        <w:rPr>
          <w:szCs w:val="20"/>
        </w:rPr>
      </w:pPr>
      <w:r w:rsidRPr="00E00B35">
        <w:rPr>
          <w:szCs w:val="20"/>
        </w:rPr>
        <w:t>14-15.09.2020 – wizyta holenderskiego touroperatora i dziennikarza magazynu ANWB Kampioen o nakładzie (1,5 miliona) oraz touroperator Pharos Reizen (2 osoby)</w:t>
      </w:r>
    </w:p>
    <w:p w:rsidR="00B86812" w:rsidRPr="00E00B35" w:rsidRDefault="00B86812" w:rsidP="00BC64AB">
      <w:pPr>
        <w:numPr>
          <w:ilvl w:val="0"/>
          <w:numId w:val="291"/>
        </w:numPr>
        <w:spacing w:after="0" w:line="312" w:lineRule="auto"/>
        <w:ind w:left="426" w:hanging="426"/>
        <w:rPr>
          <w:szCs w:val="20"/>
        </w:rPr>
      </w:pPr>
      <w:r w:rsidRPr="00E00B35">
        <w:rPr>
          <w:szCs w:val="20"/>
        </w:rPr>
        <w:t>1-4.10.2020 – wizyta czeskiego dziennikarza idnes.cz (3 osoby)</w:t>
      </w:r>
    </w:p>
    <w:p w:rsidR="00B86812" w:rsidRPr="00E00B35" w:rsidRDefault="00B86812" w:rsidP="00BC64AB">
      <w:pPr>
        <w:numPr>
          <w:ilvl w:val="0"/>
          <w:numId w:val="291"/>
        </w:numPr>
        <w:spacing w:after="0" w:line="312" w:lineRule="auto"/>
        <w:ind w:left="426" w:hanging="426"/>
        <w:rPr>
          <w:szCs w:val="20"/>
        </w:rPr>
      </w:pPr>
      <w:r w:rsidRPr="00E00B35">
        <w:rPr>
          <w:szCs w:val="20"/>
        </w:rPr>
        <w:t>5-9.10.2020 – spotkanie dla branży turystycznej - największego touroperatora w Holandii De Jong Intra (21 osób)</w:t>
      </w:r>
    </w:p>
    <w:p w:rsidR="00B86812" w:rsidRPr="00E00B35" w:rsidRDefault="00B86812" w:rsidP="00BC64AB">
      <w:pPr>
        <w:numPr>
          <w:ilvl w:val="0"/>
          <w:numId w:val="291"/>
        </w:numPr>
        <w:spacing w:after="0" w:line="312" w:lineRule="auto"/>
        <w:ind w:left="426" w:hanging="426"/>
        <w:rPr>
          <w:szCs w:val="20"/>
        </w:rPr>
      </w:pPr>
      <w:r w:rsidRPr="00E00B35">
        <w:rPr>
          <w:szCs w:val="20"/>
        </w:rPr>
        <w:t>7-10.10.2020 – wizyta dziennikarzy z Niemiec – dwie grupy tematyczne – Odra + Kultura (14 osób)</w:t>
      </w:r>
    </w:p>
    <w:p w:rsidR="00B86812" w:rsidRPr="00E00B35" w:rsidRDefault="00B86812" w:rsidP="00BC64AB">
      <w:pPr>
        <w:numPr>
          <w:ilvl w:val="0"/>
          <w:numId w:val="291"/>
        </w:numPr>
        <w:spacing w:after="0" w:line="312" w:lineRule="auto"/>
        <w:ind w:left="426" w:hanging="426"/>
        <w:rPr>
          <w:szCs w:val="20"/>
        </w:rPr>
      </w:pPr>
      <w:r w:rsidRPr="00E00B35">
        <w:rPr>
          <w:szCs w:val="20"/>
        </w:rPr>
        <w:t>19-21.10.2020 – dziennikarze portalu Reishonger – czołówka najpopularniejszych i największych portali o tematyce podróżniczej na terenie Holandii (2 osoby)</w:t>
      </w:r>
    </w:p>
    <w:p w:rsidR="00B86812" w:rsidRPr="00E00B35" w:rsidRDefault="00B86812" w:rsidP="00BC64AB">
      <w:pPr>
        <w:numPr>
          <w:ilvl w:val="0"/>
          <w:numId w:val="291"/>
        </w:numPr>
        <w:spacing w:after="0" w:line="312" w:lineRule="auto"/>
        <w:ind w:left="426" w:hanging="426"/>
        <w:rPr>
          <w:szCs w:val="20"/>
        </w:rPr>
      </w:pPr>
      <w:r w:rsidRPr="00E00B35">
        <w:rPr>
          <w:szCs w:val="20"/>
        </w:rPr>
        <w:t>4-5.12.2020 – wizyta touroperatorów z Czech (10 osób)</w:t>
      </w:r>
    </w:p>
    <w:p w:rsidR="00B86812" w:rsidRPr="00E00B35" w:rsidRDefault="00B86812" w:rsidP="00E00B35">
      <w:pPr>
        <w:autoSpaceDE w:val="0"/>
        <w:autoSpaceDN w:val="0"/>
        <w:adjustRightInd w:val="0"/>
        <w:spacing w:after="0" w:line="312" w:lineRule="auto"/>
        <w:rPr>
          <w:b/>
          <w:color w:val="000000"/>
          <w:szCs w:val="20"/>
        </w:rPr>
      </w:pPr>
    </w:p>
    <w:p w:rsidR="00B86812" w:rsidRPr="00E00B35" w:rsidRDefault="00B86812" w:rsidP="00E00B35">
      <w:pPr>
        <w:pStyle w:val="Nagwek5"/>
        <w:rPr>
          <w:szCs w:val="20"/>
        </w:rPr>
      </w:pPr>
      <w:r w:rsidRPr="00E00B35">
        <w:rPr>
          <w:szCs w:val="20"/>
        </w:rPr>
        <w:t>Spotkania online z branżą turystyczną</w:t>
      </w:r>
    </w:p>
    <w:p w:rsidR="00B86812" w:rsidRPr="00E00B35" w:rsidRDefault="00B86812" w:rsidP="00E00B35">
      <w:pPr>
        <w:pStyle w:val="Tekstkomentarza"/>
        <w:spacing w:after="0" w:line="312" w:lineRule="auto"/>
        <w:rPr>
          <w:b/>
        </w:rPr>
      </w:pPr>
      <w:r w:rsidRPr="00E00B35">
        <w:rPr>
          <w:b/>
        </w:rPr>
        <w:t>630.63003.W4300-JUP-08 zad. BPM/B/07</w:t>
      </w:r>
    </w:p>
    <w:p w:rsidR="00B86812" w:rsidRPr="00E00B35" w:rsidRDefault="00B86812" w:rsidP="00E00B35">
      <w:pPr>
        <w:pStyle w:val="Akapitzlist"/>
        <w:spacing w:after="0" w:line="312" w:lineRule="auto"/>
        <w:ind w:left="0"/>
        <w:rPr>
          <w:rFonts w:cs="Tahoma"/>
          <w:color w:val="000000"/>
          <w:szCs w:val="20"/>
        </w:rPr>
      </w:pPr>
      <w:r w:rsidRPr="00E00B35">
        <w:rPr>
          <w:rFonts w:cs="Tahoma"/>
          <w:color w:val="000000"/>
          <w:szCs w:val="20"/>
        </w:rPr>
        <w:t xml:space="preserve">W 2020 roku Wydział Promocji Miasta i Turystyki zorganizowało 6 spotkania online z branżą turystyczną. Obecni byli restauratorzy, hotelarze, atrakcje turystyczne </w:t>
      </w:r>
      <w:r w:rsidRPr="00E00B35">
        <w:rPr>
          <w:rFonts w:cs="Tahoma"/>
          <w:color w:val="000000"/>
          <w:szCs w:val="20"/>
        </w:rPr>
        <w:br/>
        <w:t>i przewodnicy miejscy. Spotkania miały na celu:</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omówienie bieżących problemów związanych z pandemią COVID 19, </w:t>
      </w:r>
    </w:p>
    <w:p w:rsidR="00B86812" w:rsidRPr="00E00B35" w:rsidRDefault="00B86812" w:rsidP="00BC64AB">
      <w:pPr>
        <w:numPr>
          <w:ilvl w:val="0"/>
          <w:numId w:val="291"/>
        </w:numPr>
        <w:spacing w:after="0" w:line="312" w:lineRule="auto"/>
        <w:ind w:left="426" w:hanging="426"/>
        <w:rPr>
          <w:szCs w:val="20"/>
        </w:rPr>
      </w:pPr>
      <w:r w:rsidRPr="00E00B35">
        <w:rPr>
          <w:szCs w:val="20"/>
        </w:rPr>
        <w:t>poznanie opinii i sugestii dotyczących wpływu pandemii na branżę turystyczną</w:t>
      </w:r>
    </w:p>
    <w:p w:rsidR="00B86812" w:rsidRPr="00E00B35" w:rsidRDefault="00B86812" w:rsidP="00BC64AB">
      <w:pPr>
        <w:numPr>
          <w:ilvl w:val="0"/>
          <w:numId w:val="291"/>
        </w:numPr>
        <w:spacing w:after="0" w:line="312" w:lineRule="auto"/>
        <w:ind w:left="426" w:hanging="426"/>
        <w:rPr>
          <w:rFonts w:cs="Tahoma"/>
          <w:color w:val="000000"/>
          <w:szCs w:val="20"/>
        </w:rPr>
      </w:pPr>
      <w:r w:rsidRPr="00E00B35">
        <w:rPr>
          <w:szCs w:val="20"/>
        </w:rPr>
        <w:t>omówienie i</w:t>
      </w:r>
      <w:r w:rsidRPr="00E00B35">
        <w:rPr>
          <w:rFonts w:cs="Tahoma"/>
          <w:color w:val="000000"/>
          <w:szCs w:val="20"/>
        </w:rPr>
        <w:t xml:space="preserve"> zaplanowanie działań na przyszłość. </w:t>
      </w:r>
    </w:p>
    <w:p w:rsidR="00B86812" w:rsidRPr="00E00B35" w:rsidRDefault="00B86812" w:rsidP="00E00B35">
      <w:pPr>
        <w:pStyle w:val="Akapitzlist"/>
        <w:spacing w:after="0" w:line="312" w:lineRule="auto"/>
        <w:ind w:left="0"/>
        <w:rPr>
          <w:rFonts w:cs="Tahoma"/>
          <w:color w:val="000000"/>
          <w:szCs w:val="20"/>
        </w:rPr>
      </w:pPr>
    </w:p>
    <w:p w:rsidR="00B86812" w:rsidRPr="00E00B35" w:rsidRDefault="00B86812" w:rsidP="00E00B35">
      <w:pPr>
        <w:pStyle w:val="Akapitzlist"/>
        <w:spacing w:after="0" w:line="312" w:lineRule="auto"/>
        <w:ind w:left="0"/>
        <w:rPr>
          <w:szCs w:val="20"/>
        </w:rPr>
      </w:pPr>
      <w:r w:rsidRPr="00E00B35">
        <w:rPr>
          <w:rFonts w:cs="Tahoma"/>
          <w:color w:val="000000"/>
          <w:szCs w:val="20"/>
        </w:rPr>
        <w:t xml:space="preserve">Na spotkaniu zaprezentowane zostały działania Wydziału prowadzone w czasie kwarantanny skierowane do mieszkańców Wrocławia i gości odwiedzających nasze strony internetowe i social media. Omówione i zaprezentowane zostały dwie kampanie skierowane do turystów odwiedzających Wrocław: </w:t>
      </w:r>
      <w:r w:rsidRPr="00E00B35">
        <w:rPr>
          <w:szCs w:val="20"/>
        </w:rPr>
        <w:t xml:space="preserve">pierwsza skierowana do mieszkańców i </w:t>
      </w:r>
      <w:r w:rsidRPr="00E00B35">
        <w:rPr>
          <w:szCs w:val="20"/>
        </w:rPr>
        <w:lastRenderedPageBreak/>
        <w:t>turystów przyjeżdżających do Wrocławia „Stay safe in Wrocław”, druga wizerunkowa zaplanowana na ponad 400 nośnikach w całej Polsce zapraszająca do Wrocławia hasłem „Dawno Cię tu nie było. Spotkajmy się we Wrocławiu”.</w:t>
      </w:r>
    </w:p>
    <w:p w:rsidR="00B86812" w:rsidRPr="00E00B35" w:rsidRDefault="00B86812" w:rsidP="00E00B35">
      <w:pPr>
        <w:spacing w:after="0" w:line="312" w:lineRule="auto"/>
        <w:rPr>
          <w:b/>
          <w:szCs w:val="20"/>
        </w:rPr>
      </w:pPr>
    </w:p>
    <w:p w:rsidR="00B86812" w:rsidRPr="00E00B35" w:rsidRDefault="00B86812" w:rsidP="00E00B35">
      <w:pPr>
        <w:pStyle w:val="Nagwek5"/>
        <w:rPr>
          <w:szCs w:val="20"/>
        </w:rPr>
      </w:pPr>
      <w:r w:rsidRPr="00E00B35">
        <w:rPr>
          <w:szCs w:val="20"/>
        </w:rPr>
        <w:t>Wirtualne spacery tematyczne z przewodnikiem po Wrocławiu</w:t>
      </w:r>
    </w:p>
    <w:p w:rsidR="00B86812" w:rsidRPr="00E00B35" w:rsidRDefault="00B86812" w:rsidP="00E00B35">
      <w:pPr>
        <w:pStyle w:val="Tekstkomentarza"/>
        <w:spacing w:after="0" w:line="312" w:lineRule="auto"/>
        <w:rPr>
          <w:b/>
        </w:rPr>
      </w:pPr>
      <w:r w:rsidRPr="00E00B35">
        <w:rPr>
          <w:b/>
        </w:rPr>
        <w:t>630.63003.W4300-JUP-08 zad. BPM/B/07</w:t>
      </w:r>
    </w:p>
    <w:p w:rsidR="00B86812" w:rsidRPr="00E00B35" w:rsidRDefault="00B86812" w:rsidP="00E00B35">
      <w:pPr>
        <w:spacing w:after="0" w:line="312" w:lineRule="auto"/>
        <w:rPr>
          <w:rFonts w:cs="Tahoma"/>
          <w:color w:val="000000"/>
          <w:szCs w:val="20"/>
        </w:rPr>
      </w:pPr>
      <w:r w:rsidRPr="00E00B35">
        <w:rPr>
          <w:rFonts w:cs="Tahoma"/>
          <w:color w:val="000000"/>
          <w:szCs w:val="20"/>
        </w:rPr>
        <w:t xml:space="preserve">W kwietniu i maju 2020 roku podczas pandemii COVID 19 zaprosiliśmy mieszkańców i gości na wirtualne spacery po Wrocławiu z przewodnikami miejskimi. Wycieczki prowadzili wykwalifikowani przewodnicy, którzy na co dzień oprowadzają grupy turystów przyjeżdżających do Wrocławia. </w:t>
      </w:r>
    </w:p>
    <w:p w:rsidR="00B86812" w:rsidRPr="00E00B35" w:rsidRDefault="00B86812" w:rsidP="00E00B35">
      <w:pPr>
        <w:spacing w:after="0" w:line="312" w:lineRule="auto"/>
        <w:rPr>
          <w:rFonts w:cs="Tahoma"/>
          <w:color w:val="000000"/>
          <w:szCs w:val="20"/>
        </w:rPr>
      </w:pPr>
      <w:r w:rsidRPr="00E00B35">
        <w:rPr>
          <w:rFonts w:cs="Tahoma"/>
          <w:color w:val="000000"/>
          <w:szCs w:val="20"/>
        </w:rPr>
        <w:t xml:space="preserve">Spacery prowadzone były po polsku, ale odbyły się również spacery w językach angielskim, niemieckim, ukraińskim i  rosyjskim. Nie zabrakło też niespodzianek dla najmłodszych – spacery dla dzieci odbywały się w każdą sobotę maja </w:t>
      </w:r>
      <w:r w:rsidRPr="00E00B35">
        <w:rPr>
          <w:rFonts w:cs="Tahoma"/>
          <w:color w:val="000000"/>
          <w:szCs w:val="20"/>
        </w:rPr>
        <w:br/>
        <w:t xml:space="preserve">o godzinie 11.00. Dodatkową atrakcją były wirtualne wizyty w największych wrocławskich atrakcjach. Na spacer po Wrocławiu można było się wybrać za pośrednictwem transmisji live na </w:t>
      </w:r>
      <w:hyperlink r:id="rId16" w:history="1">
        <w:r w:rsidRPr="00E00B35">
          <w:rPr>
            <w:rFonts w:cs="Tahoma"/>
            <w:color w:val="000000"/>
            <w:szCs w:val="20"/>
          </w:rPr>
          <w:t>fanpage’u VisitWroclaw</w:t>
        </w:r>
      </w:hyperlink>
      <w:r w:rsidRPr="00E00B35">
        <w:rPr>
          <w:rFonts w:cs="Tahoma"/>
          <w:color w:val="000000"/>
          <w:szCs w:val="20"/>
        </w:rPr>
        <w:t xml:space="preserve">. </w:t>
      </w:r>
    </w:p>
    <w:p w:rsidR="00B86812" w:rsidRPr="00E00B35" w:rsidRDefault="00B86812" w:rsidP="00E00B35">
      <w:pPr>
        <w:spacing w:after="0" w:line="312" w:lineRule="auto"/>
        <w:rPr>
          <w:rFonts w:cs="Verdana"/>
          <w:szCs w:val="20"/>
        </w:rPr>
      </w:pPr>
      <w:r w:rsidRPr="00E00B35">
        <w:rPr>
          <w:rFonts w:cs="Tahoma"/>
          <w:color w:val="000000"/>
          <w:szCs w:val="20"/>
        </w:rPr>
        <w:t xml:space="preserve">Spacery można oglądać wielokrotnie zarówno na facebooku, jak i na wrocławskim oficjalnym serwisie turystycznym </w:t>
      </w:r>
      <w:hyperlink r:id="rId17" w:history="1">
        <w:r w:rsidRPr="00E00B35">
          <w:rPr>
            <w:rFonts w:cs="Tahoma"/>
            <w:color w:val="000000"/>
            <w:szCs w:val="20"/>
          </w:rPr>
          <w:t>visitwroclaw.eu</w:t>
        </w:r>
      </w:hyperlink>
      <w:r w:rsidRPr="00E00B35">
        <w:rPr>
          <w:rFonts w:cs="Tahoma"/>
          <w:color w:val="000000"/>
          <w:szCs w:val="20"/>
        </w:rPr>
        <w:t xml:space="preserve">. W sumie odbyło się ponad 50 spacerów z liczbą odsłon ponad 1 000 000. Dodatkowo, w ramach wirtualnych spacerów wspólnie z Dolnośląskim Centrum Filmowym zostały przygotowane spacery filmowe w ramach projektu </w:t>
      </w:r>
      <w:r w:rsidRPr="00E00B35">
        <w:rPr>
          <w:rFonts w:cs="Verdana"/>
          <w:szCs w:val="20"/>
        </w:rPr>
        <w:t xml:space="preserve"> „Filmowy Wrocław – 75/110".</w:t>
      </w:r>
    </w:p>
    <w:p w:rsidR="009F75D3" w:rsidRPr="00E00B35" w:rsidRDefault="009F75D3" w:rsidP="00E00B35">
      <w:pPr>
        <w:spacing w:after="0" w:line="312" w:lineRule="auto"/>
        <w:rPr>
          <w:rFonts w:cs="Verdana"/>
          <w:szCs w:val="20"/>
        </w:rPr>
      </w:pPr>
    </w:p>
    <w:p w:rsidR="00B86812" w:rsidRPr="00E00B35" w:rsidRDefault="00B86812" w:rsidP="00E00B35">
      <w:pPr>
        <w:pStyle w:val="Nagwek5"/>
        <w:rPr>
          <w:szCs w:val="20"/>
        </w:rPr>
      </w:pPr>
      <w:r w:rsidRPr="00E00B35">
        <w:rPr>
          <w:szCs w:val="20"/>
        </w:rPr>
        <w:t>Bezpłatne spacery z przewodnikiem po Wrocławiu dla mieszkańców i turystów odwiedzających Wrocław</w:t>
      </w:r>
    </w:p>
    <w:p w:rsidR="009F75D3" w:rsidRPr="00E00B35" w:rsidRDefault="009F75D3" w:rsidP="00E00B35">
      <w:pPr>
        <w:pStyle w:val="Nagwek5"/>
        <w:rPr>
          <w:szCs w:val="20"/>
        </w:rPr>
      </w:pPr>
    </w:p>
    <w:p w:rsidR="00B86812" w:rsidRPr="00E00B35" w:rsidRDefault="00B86812" w:rsidP="00BC64AB">
      <w:pPr>
        <w:pStyle w:val="Akapitzlist"/>
        <w:numPr>
          <w:ilvl w:val="0"/>
          <w:numId w:val="292"/>
        </w:numPr>
        <w:spacing w:after="0" w:line="312" w:lineRule="auto"/>
        <w:rPr>
          <w:rFonts w:cs="Verdana"/>
          <w:b/>
          <w:color w:val="000000"/>
          <w:szCs w:val="20"/>
        </w:rPr>
      </w:pPr>
      <w:r w:rsidRPr="00E00B35">
        <w:rPr>
          <w:rFonts w:cs="Verdana"/>
          <w:b/>
          <w:color w:val="000000"/>
          <w:szCs w:val="20"/>
        </w:rPr>
        <w:t xml:space="preserve">XVII bezpłatny cykl letnich spacerów z przewodnikami PTTK </w:t>
      </w:r>
      <w:r w:rsidRPr="00E00B35">
        <w:rPr>
          <w:rFonts w:cs="Verdana"/>
          <w:color w:val="000000"/>
          <w:szCs w:val="20"/>
        </w:rPr>
        <w:t xml:space="preserve">(118 </w:t>
      </w:r>
      <w:r w:rsidRPr="00E00B35">
        <w:rPr>
          <w:rFonts w:cs="Verdana"/>
          <w:szCs w:val="20"/>
        </w:rPr>
        <w:t>bezpłatnych wycieczek po Wrocławiu dla mieszkańców i turystów)</w:t>
      </w:r>
    </w:p>
    <w:p w:rsidR="00B86812" w:rsidRPr="00E00B35" w:rsidRDefault="00B86812" w:rsidP="00E00B35">
      <w:pPr>
        <w:spacing w:after="0" w:line="312" w:lineRule="auto"/>
        <w:rPr>
          <w:rFonts w:cs="Verdana"/>
          <w:color w:val="000000"/>
          <w:szCs w:val="20"/>
        </w:rPr>
      </w:pPr>
      <w:r w:rsidRPr="00E00B35">
        <w:rPr>
          <w:rFonts w:cs="Verdana"/>
          <w:color w:val="000000"/>
          <w:szCs w:val="20"/>
        </w:rPr>
        <w:t>Koło Przewodników Miejskich Oddziału Wrocławskiego PTTK oraz Wydział Promocji Miasta i Turystyki zaprosiło wrocławian i gości naszego miasta na XVII bezpłatny cykl letnich spacerów z przewodnikiem w każdą sobotę i niedzielę od czerwca do końca września 2020 roku. Trasy wędrówek związane były z historią, architekturą, przestrzenią kulturową miasta oraz biografią osób, które urodziły się tu bądź połączyły swoje losy z Wrocławiem. W ofercie znalazły się również propozycje dla rodzin z dziećmi, a także bardziej specjalistyczne trasy oraz wycieczki rowerowe. Z myślą o zagranicznych turystach przygotowane zostały również wycieczki w języku angielskim i niemieckim i rosyjskim.  50 wycieczek w języku polskim, 4 wycieczek w języku niemieckim i hiszpańskim, 8 wycieczek w języku angielskim, 2 w języku rosyjskim - razem: 118 grup wycieczkowych. Wszystkie wycieczki odbyły się z uwzględnieniem i przestrzeganiem wszystkich zasad bezpieczeństwa.</w:t>
      </w:r>
    </w:p>
    <w:p w:rsidR="00B86812" w:rsidRPr="00E00B35" w:rsidRDefault="00B86812" w:rsidP="00E00B35">
      <w:pPr>
        <w:spacing w:after="0" w:line="312" w:lineRule="auto"/>
        <w:rPr>
          <w:rFonts w:cs="Verdana"/>
          <w:color w:val="000000"/>
          <w:szCs w:val="20"/>
        </w:rPr>
      </w:pPr>
    </w:p>
    <w:p w:rsidR="00B86812" w:rsidRPr="00E00B35" w:rsidRDefault="00B86812" w:rsidP="00BC64AB">
      <w:pPr>
        <w:pStyle w:val="Akapitzlist"/>
        <w:numPr>
          <w:ilvl w:val="0"/>
          <w:numId w:val="292"/>
        </w:numPr>
        <w:spacing w:after="0" w:line="312" w:lineRule="auto"/>
        <w:rPr>
          <w:rFonts w:cs="Verdana"/>
          <w:color w:val="000000"/>
          <w:szCs w:val="20"/>
        </w:rPr>
      </w:pPr>
      <w:r w:rsidRPr="00E00B35">
        <w:rPr>
          <w:rFonts w:cs="Verdana"/>
          <w:b/>
          <w:color w:val="000000"/>
          <w:szCs w:val="20"/>
        </w:rPr>
        <w:t>Sp</w:t>
      </w:r>
      <w:r w:rsidRPr="00E00B35">
        <w:rPr>
          <w:rFonts w:cs="Verdana"/>
          <w:b/>
          <w:szCs w:val="20"/>
        </w:rPr>
        <w:t xml:space="preserve">acery po Nadodrzu oraz centrum staromiejskim Wrocławia                          z przewodnikiem dla mieszkańców i turystów odwiedzających Wrocław z </w:t>
      </w:r>
      <w:r w:rsidRPr="00E00B35">
        <w:rPr>
          <w:rFonts w:cs="Verdana"/>
          <w:b/>
          <w:szCs w:val="20"/>
        </w:rPr>
        <w:lastRenderedPageBreak/>
        <w:t>Fundacją Dom Pokoju</w:t>
      </w:r>
      <w:r w:rsidRPr="00E00B35">
        <w:rPr>
          <w:rFonts w:cs="Verdana"/>
          <w:color w:val="000000"/>
          <w:szCs w:val="20"/>
        </w:rPr>
        <w:t xml:space="preserve"> </w:t>
      </w:r>
      <w:r w:rsidRPr="00E00B35">
        <w:rPr>
          <w:rFonts w:cs="Verdana"/>
          <w:szCs w:val="20"/>
        </w:rPr>
        <w:t>(11 bezpłatnych wycieczek po Nadodrzu oraz centrum staromiejskim dla mieszkańców i turystów)</w:t>
      </w:r>
    </w:p>
    <w:p w:rsidR="00B86812" w:rsidRPr="00E00B35" w:rsidRDefault="00B86812" w:rsidP="00E00B35">
      <w:pPr>
        <w:spacing w:after="0" w:line="312" w:lineRule="auto"/>
        <w:rPr>
          <w:rFonts w:cs="Verdana"/>
          <w:color w:val="000000"/>
          <w:szCs w:val="20"/>
        </w:rPr>
      </w:pPr>
      <w:r w:rsidRPr="00E00B35">
        <w:rPr>
          <w:szCs w:val="20"/>
        </w:rPr>
        <w:t xml:space="preserve">Wydział Promocji Miasta i Turystyki wraz z Fundacją Dom Pokoju zaprosiło mieszkańców i turystów  na serię nadodrzańskich spacerów prezentujących najbardziej artystyczne osiedle we Wrocławiu z nowej, oryginalnej perspektywy. Przez całe wakacje lokalni przewodnicy przedstawiali atrakcje Nadodrza w trzech językach – polskim, angielskim i ukraińskim. Spacery </w:t>
      </w:r>
      <w:r w:rsidRPr="00E00B35">
        <w:rPr>
          <w:rFonts w:cs="Calibri"/>
          <w:color w:val="000000"/>
          <w:szCs w:val="20"/>
        </w:rPr>
        <w:t xml:space="preserve">prowadziły przez podwórka, zaułki, bramy, pracownie wybranych artystów i rzemieślników. Podczas wycieczek było można odkryć najciekawsze murale i ich historie odkryć nowe miejsca, lub spotkać artystów, którzy wybrali Nadodrze jako przestrzeń swojej pracy twórczej. Nową propozycją były spacery organizowane po centrum staromiejskim Wrocławia. Spacery odbywały się od lipca do października 2020 </w:t>
      </w:r>
      <w:r w:rsidRPr="00E00B35">
        <w:rPr>
          <w:rFonts w:cs="Verdana"/>
          <w:color w:val="000000"/>
          <w:szCs w:val="20"/>
        </w:rPr>
        <w:t xml:space="preserve">z uwzględnieniem i przestrzeganiem wszystkich zasad bezpieczeństwa. </w:t>
      </w:r>
    </w:p>
    <w:p w:rsidR="00B86812" w:rsidRPr="00E00B35" w:rsidRDefault="00B86812" w:rsidP="00E00B35">
      <w:pPr>
        <w:spacing w:after="0" w:line="312" w:lineRule="auto"/>
        <w:rPr>
          <w:rFonts w:cs="Verdana"/>
          <w:color w:val="000000"/>
          <w:szCs w:val="20"/>
        </w:rPr>
      </w:pPr>
    </w:p>
    <w:p w:rsidR="00B86812" w:rsidRPr="00E00B35" w:rsidRDefault="00B86812" w:rsidP="00BC64AB">
      <w:pPr>
        <w:pStyle w:val="Akapitzlist"/>
        <w:numPr>
          <w:ilvl w:val="0"/>
          <w:numId w:val="292"/>
        </w:numPr>
        <w:spacing w:after="0" w:line="312" w:lineRule="auto"/>
        <w:rPr>
          <w:rFonts w:cs="Verdana"/>
          <w:color w:val="000000"/>
          <w:szCs w:val="20"/>
        </w:rPr>
      </w:pPr>
      <w:r w:rsidRPr="00E00B35">
        <w:rPr>
          <w:rFonts w:cs="Verdana"/>
          <w:b/>
          <w:szCs w:val="20"/>
        </w:rPr>
        <w:t xml:space="preserve">Tematyczne spacery po Wrocławiu z przewodnikiem miejskim Arkadiuszem </w:t>
      </w:r>
      <w:r w:rsidRPr="00E00B35">
        <w:rPr>
          <w:b/>
          <w:szCs w:val="20"/>
        </w:rPr>
        <w:t xml:space="preserve">Försterem </w:t>
      </w:r>
      <w:r w:rsidRPr="00E00B35">
        <w:rPr>
          <w:rFonts w:cs="Verdana"/>
          <w:szCs w:val="20"/>
        </w:rPr>
        <w:t xml:space="preserve">(15 bezpłatnych tematycznych spacerów po Wrocławiu dla </w:t>
      </w:r>
      <w:r w:rsidRPr="00E00B35">
        <w:rPr>
          <w:rFonts w:cs="Verdana"/>
          <w:b/>
          <w:szCs w:val="20"/>
        </w:rPr>
        <w:t>mieszkańców</w:t>
      </w:r>
      <w:r w:rsidRPr="00E00B35">
        <w:rPr>
          <w:rFonts w:cs="Verdana"/>
          <w:szCs w:val="20"/>
        </w:rPr>
        <w:t xml:space="preserve"> i turystów) </w:t>
      </w:r>
    </w:p>
    <w:p w:rsidR="00B86812" w:rsidRPr="00E00B35" w:rsidRDefault="00B86812" w:rsidP="00E00B35">
      <w:pPr>
        <w:spacing w:after="0" w:line="312" w:lineRule="auto"/>
        <w:rPr>
          <w:szCs w:val="20"/>
        </w:rPr>
      </w:pPr>
      <w:r w:rsidRPr="00E00B35">
        <w:rPr>
          <w:szCs w:val="20"/>
        </w:rPr>
        <w:t>W każdy czwartek i piątek lipca 2020 przewodnik miejski Arkadiusz Förster, zapraszał mieszkańców i turystów odwiedzających Wrocław na tematyczne wycieczki po Wrocławiu: Medyczny Wrocław, Wrocław Nocą, Dachy Wrocławia i Wielokulturowy Wrocław.</w:t>
      </w:r>
      <w:r w:rsidRPr="00E00B35">
        <w:rPr>
          <w:b/>
          <w:szCs w:val="20"/>
        </w:rPr>
        <w:t xml:space="preserve"> </w:t>
      </w:r>
      <w:r w:rsidRPr="00E00B35">
        <w:rPr>
          <w:szCs w:val="20"/>
        </w:rPr>
        <w:t>Uczestniczy wycieczek mogli</w:t>
      </w:r>
      <w:r w:rsidRPr="00E00B35">
        <w:rPr>
          <w:b/>
          <w:szCs w:val="20"/>
        </w:rPr>
        <w:t xml:space="preserve"> </w:t>
      </w:r>
      <w:r w:rsidRPr="00E00B35">
        <w:rPr>
          <w:szCs w:val="20"/>
        </w:rPr>
        <w:t>podziwiać i poznawać Wrocław z innej strony np. z dachu Hotelu Monopol czy też tarasu Biblioteki na Dworcu Głównym lub poprzez wnętrza luterańskiej katedry.</w:t>
      </w:r>
    </w:p>
    <w:p w:rsidR="00B86812" w:rsidRPr="00E00B35" w:rsidRDefault="00B86812" w:rsidP="00E00B35">
      <w:pPr>
        <w:spacing w:after="0" w:line="312" w:lineRule="auto"/>
        <w:rPr>
          <w:szCs w:val="20"/>
        </w:rPr>
      </w:pPr>
    </w:p>
    <w:p w:rsidR="00B86812" w:rsidRPr="00E00B35" w:rsidRDefault="00B86812" w:rsidP="00BC64AB">
      <w:pPr>
        <w:pStyle w:val="Akapitzlist"/>
        <w:numPr>
          <w:ilvl w:val="0"/>
          <w:numId w:val="292"/>
        </w:numPr>
        <w:spacing w:after="0" w:line="312" w:lineRule="auto"/>
        <w:rPr>
          <w:b/>
          <w:szCs w:val="20"/>
        </w:rPr>
      </w:pPr>
      <w:r w:rsidRPr="00E00B35">
        <w:rPr>
          <w:b/>
          <w:szCs w:val="20"/>
        </w:rPr>
        <w:t xml:space="preserve">Rodzinne spacery po Wrocławiu z przewodnikami miejskimi ze </w:t>
      </w:r>
      <w:r w:rsidRPr="00E00B35">
        <w:rPr>
          <w:rFonts w:cs="Verdana"/>
          <w:b/>
          <w:szCs w:val="20"/>
        </w:rPr>
        <w:t>Stowarzyszenia</w:t>
      </w:r>
      <w:r w:rsidRPr="00E00B35">
        <w:rPr>
          <w:b/>
          <w:szCs w:val="20"/>
        </w:rPr>
        <w:t xml:space="preserve"> Podróżników TUiTAM</w:t>
      </w:r>
    </w:p>
    <w:p w:rsidR="00B86812" w:rsidRPr="00E00B35" w:rsidRDefault="00B86812" w:rsidP="00E00B35">
      <w:pPr>
        <w:spacing w:after="0" w:line="312" w:lineRule="auto"/>
        <w:ind w:left="720"/>
        <w:rPr>
          <w:szCs w:val="20"/>
        </w:rPr>
      </w:pPr>
      <w:r w:rsidRPr="00E00B35">
        <w:rPr>
          <w:szCs w:val="20"/>
        </w:rPr>
        <w:t>(30 rodzinnych, bezpłatnych wycieczek po Wrocławiu z przewodnikiem dla mieszkańców i turystów odwiedzających Wrocław)</w:t>
      </w:r>
    </w:p>
    <w:p w:rsidR="00B86812" w:rsidRPr="00E00B35" w:rsidRDefault="00B86812" w:rsidP="00E00B35">
      <w:pPr>
        <w:autoSpaceDE w:val="0"/>
        <w:autoSpaceDN w:val="0"/>
        <w:adjustRightInd w:val="0"/>
        <w:spacing w:after="0" w:line="312" w:lineRule="auto"/>
        <w:rPr>
          <w:rFonts w:cs="Helv"/>
          <w:b/>
          <w:color w:val="000000"/>
          <w:szCs w:val="20"/>
        </w:rPr>
      </w:pPr>
      <w:r w:rsidRPr="00E00B35">
        <w:rPr>
          <w:rFonts w:cs="Helv"/>
          <w:color w:val="000000"/>
          <w:szCs w:val="20"/>
        </w:rPr>
        <w:t xml:space="preserve">W każdy weekend lipca i sierpnia br. </w:t>
      </w:r>
      <w:r w:rsidRPr="00E00B35">
        <w:rPr>
          <w:rFonts w:cs="Verdana"/>
          <w:szCs w:val="20"/>
        </w:rPr>
        <w:t xml:space="preserve">Stowarzyszenie Podrózników TUiTAM zaprosiło mieszkańców Wrocławia i turystów na </w:t>
      </w:r>
      <w:r w:rsidRPr="00E00B35">
        <w:rPr>
          <w:rFonts w:cs="Verdana"/>
          <w:bCs/>
          <w:szCs w:val="20"/>
        </w:rPr>
        <w:t>kreatywne wakacyjne wycieczki rodzinne</w:t>
      </w:r>
      <w:r w:rsidRPr="00E00B35">
        <w:rPr>
          <w:rFonts w:cs="Verdana"/>
          <w:szCs w:val="20"/>
        </w:rPr>
        <w:t xml:space="preserve">. Wycieczki miały charakter aktywny, angażując uczestników emocjonalnie i intelektualnie oraz zostały poprowadzone z wykorzystaniem aktywnych metod zwiedzania. Na wycieczkach nie zabrakło wspólnych zabaw, konkursów  i animacji. Wycieczki prowadzili licencjonowani przewodnicy miejscy zrzeszeni w Stowarzyszeniu TUiTAM, którzy realizowali do tej pory kilka projektów kulturalnych i edukacyjnych (m.in. projekt Szkoła w Mieście, spacery literackie i gry miejskie w ramach mikroGRANTÓW, krasnoludkowe wycieczki rodzinne, wycieczki filmowe, kryminalne oraz odrzańskie). </w:t>
      </w:r>
    </w:p>
    <w:p w:rsidR="00B86812" w:rsidRPr="00E00B35" w:rsidRDefault="00B86812" w:rsidP="00E00B35">
      <w:pPr>
        <w:spacing w:after="0" w:line="312" w:lineRule="auto"/>
        <w:rPr>
          <w:rFonts w:cs="Verdana"/>
          <w:color w:val="000000"/>
          <w:szCs w:val="20"/>
        </w:rPr>
      </w:pPr>
    </w:p>
    <w:p w:rsidR="00B86812" w:rsidRPr="00E00B35" w:rsidRDefault="00B86812" w:rsidP="00E00B35">
      <w:pPr>
        <w:pStyle w:val="Nagwek5"/>
        <w:rPr>
          <w:szCs w:val="20"/>
        </w:rPr>
      </w:pPr>
      <w:r w:rsidRPr="00E00B35">
        <w:rPr>
          <w:szCs w:val="20"/>
        </w:rPr>
        <w:t xml:space="preserve">Kampania reklamowa atrakcji turystycznych Wrocławia i Dolnego Śląska na nośnikach reklamowych na terenie Portu Lotniczego we Wrocławiu </w:t>
      </w:r>
    </w:p>
    <w:p w:rsidR="00B86812" w:rsidRPr="00E00B35" w:rsidRDefault="00B86812" w:rsidP="00E00B35">
      <w:pPr>
        <w:autoSpaceDE w:val="0"/>
        <w:autoSpaceDN w:val="0"/>
        <w:adjustRightInd w:val="0"/>
        <w:spacing w:after="0" w:line="312" w:lineRule="auto"/>
        <w:rPr>
          <w:b/>
          <w:szCs w:val="20"/>
        </w:rPr>
      </w:pPr>
      <w:r w:rsidRPr="00E00B35">
        <w:rPr>
          <w:b/>
          <w:szCs w:val="20"/>
        </w:rPr>
        <w:t>750.75075.W4300+999-JUP-08 zad. BPM/B/02</w:t>
      </w:r>
    </w:p>
    <w:p w:rsidR="00B86812" w:rsidRPr="00E00B35" w:rsidRDefault="00B86812" w:rsidP="00E00B35">
      <w:pPr>
        <w:autoSpaceDE w:val="0"/>
        <w:autoSpaceDN w:val="0"/>
        <w:adjustRightInd w:val="0"/>
        <w:spacing w:after="0" w:line="312" w:lineRule="auto"/>
        <w:rPr>
          <w:rFonts w:cs="Verdana"/>
          <w:spacing w:val="-4"/>
          <w:szCs w:val="20"/>
        </w:rPr>
      </w:pPr>
      <w:r w:rsidRPr="00E00B35">
        <w:rPr>
          <w:rFonts w:cs="Verdana"/>
          <w:spacing w:val="-4"/>
          <w:szCs w:val="20"/>
        </w:rPr>
        <w:t xml:space="preserve">W dniach od 16.11 do 16.12.2020 r. na nośnikach reklamowych znajdujących się na terenie Portu Lotniczego we Wrocławiu zrealizowana została kampania promocyjna pn.  „Promocja Wrocławia i Dolnego Śląska w kraju i za granicą jako obszaru  atrakcyjnego pod względem </w:t>
      </w:r>
      <w:r w:rsidRPr="00E00B35">
        <w:rPr>
          <w:rFonts w:cs="Verdana"/>
          <w:spacing w:val="-4"/>
          <w:szCs w:val="20"/>
        </w:rPr>
        <w:lastRenderedPageBreak/>
        <w:t>gospodarczym i inwestycyjnym” finansowanego ze środków EFRR w ramach RPO WD 2014-2020”. Kampania miała na celu promocję atrakcji turystycznych Wrocławia i Dolnego Śląska poprzez ukazanie zdjęć atrakcji turystycznych wkomponowanych w grafikę z hasłem promocyjnym. Grafika została przedstawiona na następujących nośnikach:</w:t>
      </w:r>
    </w:p>
    <w:p w:rsidR="00B86812" w:rsidRPr="00E00B35" w:rsidRDefault="00B86812" w:rsidP="00BC64AB">
      <w:pPr>
        <w:pStyle w:val="Akapitzlist"/>
        <w:numPr>
          <w:ilvl w:val="0"/>
          <w:numId w:val="289"/>
        </w:numPr>
        <w:spacing w:after="0" w:line="312" w:lineRule="auto"/>
        <w:rPr>
          <w:szCs w:val="20"/>
        </w:rPr>
      </w:pPr>
      <w:r w:rsidRPr="00E00B35">
        <w:rPr>
          <w:szCs w:val="20"/>
        </w:rPr>
        <w:t>Gablota reklamowa przy wyjściu z hali odbioru bagażu – 4 szt.</w:t>
      </w:r>
    </w:p>
    <w:p w:rsidR="00B86812" w:rsidRPr="00E00B35" w:rsidRDefault="00B86812" w:rsidP="00BC64AB">
      <w:pPr>
        <w:pStyle w:val="Akapitzlist"/>
        <w:numPr>
          <w:ilvl w:val="0"/>
          <w:numId w:val="289"/>
        </w:numPr>
        <w:spacing w:after="0" w:line="312" w:lineRule="auto"/>
        <w:rPr>
          <w:szCs w:val="20"/>
        </w:rPr>
      </w:pPr>
      <w:r w:rsidRPr="00E00B35">
        <w:rPr>
          <w:szCs w:val="20"/>
        </w:rPr>
        <w:t xml:space="preserve">Podświetlany backlight dwustronny w hali odbioru bagażu – 1 szt. </w:t>
      </w:r>
    </w:p>
    <w:p w:rsidR="00B86812" w:rsidRPr="00E00B35" w:rsidRDefault="00B86812" w:rsidP="00BC64AB">
      <w:pPr>
        <w:pStyle w:val="Akapitzlist"/>
        <w:numPr>
          <w:ilvl w:val="0"/>
          <w:numId w:val="289"/>
        </w:numPr>
        <w:spacing w:after="0" w:line="312" w:lineRule="auto"/>
        <w:rPr>
          <w:szCs w:val="20"/>
        </w:rPr>
      </w:pPr>
      <w:r w:rsidRPr="00E00B35">
        <w:rPr>
          <w:szCs w:val="20"/>
        </w:rPr>
        <w:t>Drzwi wyjściowe z hali odbioru bagażu – 4 skrzydła</w:t>
      </w:r>
    </w:p>
    <w:p w:rsidR="00B86812" w:rsidRPr="00E00B35" w:rsidRDefault="00B86812" w:rsidP="00BC64AB">
      <w:pPr>
        <w:pStyle w:val="Akapitzlist"/>
        <w:numPr>
          <w:ilvl w:val="0"/>
          <w:numId w:val="289"/>
        </w:numPr>
        <w:spacing w:after="0" w:line="312" w:lineRule="auto"/>
        <w:rPr>
          <w:szCs w:val="20"/>
        </w:rPr>
      </w:pPr>
      <w:r w:rsidRPr="00E00B35">
        <w:rPr>
          <w:szCs w:val="20"/>
        </w:rPr>
        <w:t>Drzwi wejściowe do hali odbioru bagażu od strony płyty lotniska – 4 szyby</w:t>
      </w:r>
    </w:p>
    <w:p w:rsidR="00B86812" w:rsidRPr="00E00B35" w:rsidRDefault="00B86812" w:rsidP="00BC64AB">
      <w:pPr>
        <w:pStyle w:val="Akapitzlist"/>
        <w:numPr>
          <w:ilvl w:val="0"/>
          <w:numId w:val="289"/>
        </w:numPr>
        <w:spacing w:after="0" w:line="312" w:lineRule="auto"/>
        <w:rPr>
          <w:szCs w:val="20"/>
        </w:rPr>
      </w:pPr>
      <w:r w:rsidRPr="00E00B35">
        <w:rPr>
          <w:szCs w:val="20"/>
        </w:rPr>
        <w:t>Podświetlany backlight zewnętrzny przed terminalem – 1 szt.</w:t>
      </w:r>
    </w:p>
    <w:p w:rsidR="00B86812" w:rsidRPr="00E00B35" w:rsidRDefault="00B86812" w:rsidP="00BC64AB">
      <w:pPr>
        <w:pStyle w:val="Akapitzlist"/>
        <w:numPr>
          <w:ilvl w:val="0"/>
          <w:numId w:val="289"/>
        </w:numPr>
        <w:spacing w:after="0" w:line="312" w:lineRule="auto"/>
        <w:rPr>
          <w:szCs w:val="20"/>
        </w:rPr>
      </w:pPr>
      <w:r w:rsidRPr="00E00B35">
        <w:rPr>
          <w:szCs w:val="20"/>
        </w:rPr>
        <w:t>Podświetlany citilight dwustronny na przystanku autobusowym przed terminalem – 1 szt.</w:t>
      </w:r>
    </w:p>
    <w:p w:rsidR="00B86812" w:rsidRPr="00E00B35" w:rsidRDefault="00B86812" w:rsidP="00BC64AB">
      <w:pPr>
        <w:pStyle w:val="Akapitzlist"/>
        <w:numPr>
          <w:ilvl w:val="0"/>
          <w:numId w:val="289"/>
        </w:numPr>
        <w:spacing w:after="0" w:line="312" w:lineRule="auto"/>
        <w:rPr>
          <w:szCs w:val="20"/>
        </w:rPr>
      </w:pPr>
      <w:r w:rsidRPr="00E00B35">
        <w:rPr>
          <w:szCs w:val="20"/>
        </w:rPr>
        <w:t>11 monitorów reklamowych w terminalu pasażerskim</w:t>
      </w:r>
    </w:p>
    <w:p w:rsidR="00B86812" w:rsidRPr="00E00B35" w:rsidRDefault="00B86812" w:rsidP="00E00B35">
      <w:pPr>
        <w:pStyle w:val="NormalnyWeb"/>
        <w:spacing w:before="0" w:beforeAutospacing="0" w:after="0" w:afterAutospacing="0" w:line="312" w:lineRule="auto"/>
        <w:rPr>
          <w:b/>
          <w:bCs/>
          <w:szCs w:val="20"/>
        </w:rPr>
      </w:pPr>
    </w:p>
    <w:p w:rsidR="00B86812" w:rsidRPr="00E00B35" w:rsidRDefault="00B86812" w:rsidP="00E00B35">
      <w:pPr>
        <w:pStyle w:val="NormalnyWeb"/>
        <w:spacing w:before="0" w:beforeAutospacing="0" w:after="0" w:afterAutospacing="0" w:line="312" w:lineRule="auto"/>
        <w:rPr>
          <w:b/>
          <w:bCs/>
          <w:szCs w:val="20"/>
        </w:rPr>
      </w:pPr>
    </w:p>
    <w:p w:rsidR="00B86812" w:rsidRPr="00E00B35" w:rsidRDefault="00B86812" w:rsidP="00E00B35">
      <w:pPr>
        <w:pStyle w:val="NormalnyWeb"/>
        <w:spacing w:before="0" w:beforeAutospacing="0" w:after="0" w:afterAutospacing="0" w:line="312" w:lineRule="auto"/>
        <w:rPr>
          <w:b/>
          <w:bCs/>
          <w:szCs w:val="20"/>
        </w:rPr>
      </w:pPr>
    </w:p>
    <w:p w:rsidR="00B86812" w:rsidRPr="00E00B35" w:rsidRDefault="00B86812" w:rsidP="00E00B35">
      <w:pPr>
        <w:pStyle w:val="NormalnyWeb"/>
        <w:spacing w:before="0" w:beforeAutospacing="0" w:after="0" w:afterAutospacing="0" w:line="312" w:lineRule="auto"/>
        <w:rPr>
          <w:b/>
          <w:bCs/>
          <w:szCs w:val="20"/>
        </w:rPr>
      </w:pPr>
    </w:p>
    <w:p w:rsidR="00B86812" w:rsidRPr="00E00B35" w:rsidRDefault="00B86812" w:rsidP="00E00B35">
      <w:pPr>
        <w:pStyle w:val="Nagwek5"/>
        <w:rPr>
          <w:szCs w:val="20"/>
        </w:rPr>
      </w:pPr>
      <w:r w:rsidRPr="00E00B35">
        <w:rPr>
          <w:szCs w:val="20"/>
        </w:rPr>
        <w:t>REKLAMA W PRASIE TURYSTYCZNEJ,  BRANŻOWEJ ORAZ W INTERNECIE</w:t>
      </w:r>
    </w:p>
    <w:p w:rsidR="00B86812" w:rsidRPr="00E00B35" w:rsidRDefault="00B86812" w:rsidP="00E00B35">
      <w:pPr>
        <w:spacing w:after="0" w:line="312" w:lineRule="auto"/>
        <w:rPr>
          <w:rFonts w:eastAsia="Calibri"/>
          <w:szCs w:val="20"/>
        </w:rPr>
      </w:pPr>
      <w:r w:rsidRPr="00E00B35">
        <w:rPr>
          <w:rFonts w:eastAsia="Calibri"/>
          <w:szCs w:val="20"/>
        </w:rPr>
        <w:t>W pierwszym półroczu tego roku WPM przygotowała cykl reklam dotyczących wydarzeń organizowanych w mieście w następujących wydawnictwach:</w:t>
      </w:r>
    </w:p>
    <w:p w:rsidR="00B86812" w:rsidRPr="00E00B35" w:rsidRDefault="00B86812" w:rsidP="00BC64AB">
      <w:pPr>
        <w:numPr>
          <w:ilvl w:val="0"/>
          <w:numId w:val="291"/>
        </w:numPr>
        <w:spacing w:after="0" w:line="312" w:lineRule="auto"/>
        <w:ind w:left="426" w:hanging="426"/>
        <w:rPr>
          <w:szCs w:val="20"/>
        </w:rPr>
      </w:pPr>
      <w:r w:rsidRPr="00E00B35">
        <w:rPr>
          <w:szCs w:val="20"/>
        </w:rPr>
        <w:t>„Gazeta Południowa”</w:t>
      </w:r>
    </w:p>
    <w:p w:rsidR="00B86812" w:rsidRPr="00E00B35" w:rsidRDefault="00B86812" w:rsidP="00BC64AB">
      <w:pPr>
        <w:numPr>
          <w:ilvl w:val="0"/>
          <w:numId w:val="291"/>
        </w:numPr>
        <w:spacing w:after="0" w:line="312" w:lineRule="auto"/>
        <w:ind w:left="426" w:hanging="426"/>
        <w:rPr>
          <w:szCs w:val="20"/>
        </w:rPr>
      </w:pPr>
      <w:r w:rsidRPr="00E00B35">
        <w:rPr>
          <w:szCs w:val="20"/>
        </w:rPr>
        <w:t>„Gazeta Sąsiedzka”</w:t>
      </w:r>
    </w:p>
    <w:p w:rsidR="00B86812" w:rsidRPr="00E00B35" w:rsidRDefault="00B86812" w:rsidP="00BC64AB">
      <w:pPr>
        <w:numPr>
          <w:ilvl w:val="0"/>
          <w:numId w:val="291"/>
        </w:numPr>
        <w:spacing w:after="0" w:line="312" w:lineRule="auto"/>
        <w:ind w:left="426" w:hanging="426"/>
        <w:rPr>
          <w:szCs w:val="20"/>
        </w:rPr>
      </w:pPr>
      <w:r w:rsidRPr="00E00B35">
        <w:rPr>
          <w:szCs w:val="20"/>
        </w:rPr>
        <w:t>„Głos Mordoru”</w:t>
      </w:r>
    </w:p>
    <w:p w:rsidR="00B86812" w:rsidRPr="00E00B35" w:rsidRDefault="00B86812" w:rsidP="00BC64AB">
      <w:pPr>
        <w:numPr>
          <w:ilvl w:val="0"/>
          <w:numId w:val="291"/>
        </w:numPr>
        <w:spacing w:after="0" w:line="312" w:lineRule="auto"/>
        <w:ind w:left="426" w:hanging="426"/>
        <w:rPr>
          <w:szCs w:val="20"/>
        </w:rPr>
      </w:pPr>
      <w:r w:rsidRPr="00E00B35">
        <w:rPr>
          <w:szCs w:val="20"/>
        </w:rPr>
        <w:t>„Wroclife”</w:t>
      </w:r>
    </w:p>
    <w:p w:rsidR="00B86812" w:rsidRPr="00E00B35" w:rsidRDefault="00B86812" w:rsidP="00BC64AB">
      <w:pPr>
        <w:numPr>
          <w:ilvl w:val="0"/>
          <w:numId w:val="291"/>
        </w:numPr>
        <w:spacing w:after="0" w:line="312" w:lineRule="auto"/>
        <w:ind w:left="426" w:hanging="426"/>
        <w:rPr>
          <w:szCs w:val="20"/>
        </w:rPr>
      </w:pPr>
      <w:r w:rsidRPr="00E00B35">
        <w:rPr>
          <w:szCs w:val="20"/>
        </w:rPr>
        <w:t>„Nowe Życie”</w:t>
      </w:r>
    </w:p>
    <w:p w:rsidR="00B86812" w:rsidRPr="00E00B35" w:rsidRDefault="00B86812" w:rsidP="00BC64AB">
      <w:pPr>
        <w:numPr>
          <w:ilvl w:val="0"/>
          <w:numId w:val="291"/>
        </w:numPr>
        <w:spacing w:after="0" w:line="312" w:lineRule="auto"/>
        <w:ind w:left="426" w:hanging="426"/>
        <w:rPr>
          <w:szCs w:val="20"/>
        </w:rPr>
      </w:pPr>
      <w:r w:rsidRPr="00E00B35">
        <w:rPr>
          <w:szCs w:val="20"/>
        </w:rPr>
        <w:t>„Pryvit” – kwartalnik skierowany do mniejszości ukraińskiej we Wrocławiu</w:t>
      </w:r>
    </w:p>
    <w:p w:rsidR="00B86812" w:rsidRPr="00E00B35" w:rsidRDefault="00B86812" w:rsidP="00BC64AB">
      <w:pPr>
        <w:numPr>
          <w:ilvl w:val="0"/>
          <w:numId w:val="291"/>
        </w:numPr>
        <w:spacing w:after="0" w:line="312" w:lineRule="auto"/>
        <w:ind w:left="426" w:hanging="426"/>
        <w:rPr>
          <w:szCs w:val="20"/>
        </w:rPr>
      </w:pPr>
      <w:r w:rsidRPr="00E00B35">
        <w:rPr>
          <w:szCs w:val="20"/>
        </w:rPr>
        <w:t>„Dekady” – wychodzący od 8 maja do 26 czerwca dodatek do Gazety Wyborczej</w:t>
      </w:r>
    </w:p>
    <w:p w:rsidR="00B86812" w:rsidRPr="00E00B35" w:rsidRDefault="00B86812" w:rsidP="00BC64AB">
      <w:pPr>
        <w:numPr>
          <w:ilvl w:val="0"/>
          <w:numId w:val="291"/>
        </w:numPr>
        <w:spacing w:after="0" w:line="312" w:lineRule="auto"/>
        <w:ind w:left="426" w:hanging="426"/>
        <w:rPr>
          <w:szCs w:val="20"/>
        </w:rPr>
      </w:pPr>
      <w:r w:rsidRPr="00E00B35">
        <w:rPr>
          <w:szCs w:val="20"/>
        </w:rPr>
        <w:t>sześć tygodników ukazujących się w gminach ościennych:</w:t>
      </w:r>
    </w:p>
    <w:p w:rsidR="00B86812" w:rsidRPr="00E00B35" w:rsidRDefault="00B86812" w:rsidP="00BC64AB">
      <w:pPr>
        <w:pStyle w:val="Akapitzlist"/>
        <w:numPr>
          <w:ilvl w:val="1"/>
          <w:numId w:val="293"/>
        </w:numPr>
        <w:spacing w:after="0" w:line="312" w:lineRule="auto"/>
        <w:ind w:left="851" w:hanging="425"/>
        <w:rPr>
          <w:rFonts w:eastAsia="Calibri"/>
          <w:szCs w:val="20"/>
        </w:rPr>
      </w:pPr>
      <w:r w:rsidRPr="00E00B35">
        <w:rPr>
          <w:rFonts w:eastAsia="Calibri"/>
          <w:szCs w:val="20"/>
        </w:rPr>
        <w:t xml:space="preserve">„Kurier Gmin” </w:t>
      </w:r>
    </w:p>
    <w:p w:rsidR="00B86812" w:rsidRPr="00E00B35" w:rsidRDefault="00B86812" w:rsidP="00BC64AB">
      <w:pPr>
        <w:pStyle w:val="Akapitzlist"/>
        <w:numPr>
          <w:ilvl w:val="1"/>
          <w:numId w:val="293"/>
        </w:numPr>
        <w:spacing w:after="0" w:line="312" w:lineRule="auto"/>
        <w:ind w:left="851" w:hanging="425"/>
        <w:rPr>
          <w:rFonts w:eastAsia="Calibri"/>
          <w:szCs w:val="20"/>
        </w:rPr>
      </w:pPr>
      <w:r w:rsidRPr="00E00B35">
        <w:rPr>
          <w:rFonts w:eastAsia="Calibri"/>
          <w:szCs w:val="20"/>
        </w:rPr>
        <w:t xml:space="preserve">„Nowa Gazeta Trzebnicka” </w:t>
      </w:r>
    </w:p>
    <w:p w:rsidR="00B86812" w:rsidRPr="00E00B35" w:rsidRDefault="00B86812" w:rsidP="00BC64AB">
      <w:pPr>
        <w:pStyle w:val="Akapitzlist"/>
        <w:numPr>
          <w:ilvl w:val="1"/>
          <w:numId w:val="293"/>
        </w:numPr>
        <w:spacing w:after="0" w:line="312" w:lineRule="auto"/>
        <w:ind w:left="851" w:hanging="425"/>
        <w:rPr>
          <w:rFonts w:eastAsia="Calibri"/>
          <w:szCs w:val="20"/>
        </w:rPr>
      </w:pPr>
      <w:r w:rsidRPr="00E00B35">
        <w:rPr>
          <w:rFonts w:eastAsia="Calibri"/>
          <w:szCs w:val="20"/>
        </w:rPr>
        <w:t xml:space="preserve">„Słowo Regionu” </w:t>
      </w:r>
    </w:p>
    <w:p w:rsidR="00B86812" w:rsidRPr="00E00B35" w:rsidRDefault="00B86812" w:rsidP="00BC64AB">
      <w:pPr>
        <w:pStyle w:val="Akapitzlist"/>
        <w:numPr>
          <w:ilvl w:val="1"/>
          <w:numId w:val="293"/>
        </w:numPr>
        <w:spacing w:after="0" w:line="312" w:lineRule="auto"/>
        <w:ind w:left="851" w:hanging="425"/>
        <w:rPr>
          <w:rFonts w:eastAsia="Calibri"/>
          <w:szCs w:val="20"/>
        </w:rPr>
      </w:pPr>
      <w:r w:rsidRPr="00E00B35">
        <w:rPr>
          <w:rFonts w:eastAsia="Calibri"/>
          <w:szCs w:val="20"/>
        </w:rPr>
        <w:t xml:space="preserve">„Panorama Oleśnicka” </w:t>
      </w:r>
    </w:p>
    <w:p w:rsidR="00B86812" w:rsidRPr="00E00B35" w:rsidRDefault="00B86812" w:rsidP="00BC64AB">
      <w:pPr>
        <w:pStyle w:val="Akapitzlist"/>
        <w:numPr>
          <w:ilvl w:val="1"/>
          <w:numId w:val="293"/>
        </w:numPr>
        <w:spacing w:after="0" w:line="312" w:lineRule="auto"/>
        <w:ind w:left="851" w:hanging="425"/>
        <w:rPr>
          <w:rFonts w:eastAsia="Calibri"/>
          <w:szCs w:val="20"/>
        </w:rPr>
      </w:pPr>
      <w:r w:rsidRPr="00E00B35">
        <w:rPr>
          <w:rFonts w:eastAsia="Calibri"/>
          <w:szCs w:val="20"/>
        </w:rPr>
        <w:t xml:space="preserve">„Wiadomości Oławskie” </w:t>
      </w:r>
    </w:p>
    <w:p w:rsidR="00B86812" w:rsidRPr="00E00B35" w:rsidRDefault="00B86812" w:rsidP="00BC64AB">
      <w:pPr>
        <w:pStyle w:val="Akapitzlist"/>
        <w:numPr>
          <w:ilvl w:val="1"/>
          <w:numId w:val="293"/>
        </w:numPr>
        <w:spacing w:after="0" w:line="312" w:lineRule="auto"/>
        <w:ind w:left="851" w:hanging="425"/>
        <w:rPr>
          <w:rFonts w:eastAsia="Calibri"/>
          <w:szCs w:val="20"/>
        </w:rPr>
      </w:pPr>
      <w:r w:rsidRPr="00E00B35">
        <w:rPr>
          <w:rFonts w:eastAsia="Calibri"/>
          <w:szCs w:val="20"/>
        </w:rPr>
        <w:t xml:space="preserve">„Wiadomości Świdnickie” </w:t>
      </w:r>
    </w:p>
    <w:p w:rsidR="00B86812" w:rsidRPr="00E00B35" w:rsidRDefault="00B86812" w:rsidP="00E00B35">
      <w:pPr>
        <w:spacing w:after="0" w:line="312" w:lineRule="auto"/>
        <w:ind w:firstLine="708"/>
        <w:rPr>
          <w:rFonts w:eastAsia="Calibri"/>
          <w:szCs w:val="20"/>
        </w:rPr>
      </w:pPr>
    </w:p>
    <w:p w:rsidR="00B86812" w:rsidRPr="00E00B35" w:rsidRDefault="00B86812" w:rsidP="00E00B35">
      <w:pPr>
        <w:spacing w:after="0" w:line="312" w:lineRule="auto"/>
        <w:rPr>
          <w:rFonts w:eastAsia="Calibri"/>
          <w:szCs w:val="20"/>
        </w:rPr>
      </w:pPr>
      <w:r w:rsidRPr="00E00B35">
        <w:rPr>
          <w:rFonts w:eastAsia="Calibri"/>
          <w:szCs w:val="20"/>
        </w:rPr>
        <w:t>W drugim półroczu tego roku WPM przygotowała cykl reklam promujących Miasto oraz dotyczących wydarzeń online w następujących mediach:</w:t>
      </w:r>
    </w:p>
    <w:p w:rsidR="00B86812" w:rsidRPr="00E00B35" w:rsidRDefault="00B86812" w:rsidP="00BC64AB">
      <w:pPr>
        <w:numPr>
          <w:ilvl w:val="0"/>
          <w:numId w:val="291"/>
        </w:numPr>
        <w:spacing w:after="0" w:line="312" w:lineRule="auto"/>
        <w:ind w:left="426" w:hanging="426"/>
        <w:rPr>
          <w:szCs w:val="20"/>
        </w:rPr>
      </w:pPr>
      <w:r w:rsidRPr="00E00B35">
        <w:rPr>
          <w:szCs w:val="20"/>
        </w:rPr>
        <w:t>Gazeta Wyborcza – dziennik oraz portal wrocław.wyborcza.pl,</w:t>
      </w:r>
    </w:p>
    <w:p w:rsidR="00B86812" w:rsidRPr="00E00B35" w:rsidRDefault="00B86812" w:rsidP="00BC64AB">
      <w:pPr>
        <w:numPr>
          <w:ilvl w:val="0"/>
          <w:numId w:val="291"/>
        </w:numPr>
        <w:spacing w:after="0" w:line="312" w:lineRule="auto"/>
        <w:ind w:left="426" w:hanging="426"/>
        <w:rPr>
          <w:szCs w:val="20"/>
        </w:rPr>
      </w:pPr>
      <w:r w:rsidRPr="00E00B35">
        <w:rPr>
          <w:szCs w:val="20"/>
        </w:rPr>
        <w:t>Rzeczpospolita – dziennik oraz fanpage,</w:t>
      </w:r>
    </w:p>
    <w:p w:rsidR="00B86812" w:rsidRPr="00E00B35" w:rsidRDefault="00B86812" w:rsidP="00BC64AB">
      <w:pPr>
        <w:numPr>
          <w:ilvl w:val="0"/>
          <w:numId w:val="291"/>
        </w:numPr>
        <w:spacing w:after="0" w:line="312" w:lineRule="auto"/>
        <w:ind w:left="426" w:hanging="426"/>
        <w:rPr>
          <w:szCs w:val="20"/>
        </w:rPr>
      </w:pPr>
      <w:r w:rsidRPr="00E00B35">
        <w:rPr>
          <w:szCs w:val="20"/>
        </w:rPr>
        <w:t>Pryvit – kwartalnik skierowany do mniejszości ukraińskiej we Wrocławiu,</w:t>
      </w:r>
    </w:p>
    <w:p w:rsidR="00B86812" w:rsidRPr="00E00B35" w:rsidRDefault="00B86812" w:rsidP="00BC64AB">
      <w:pPr>
        <w:numPr>
          <w:ilvl w:val="0"/>
          <w:numId w:val="291"/>
        </w:numPr>
        <w:spacing w:after="0" w:line="312" w:lineRule="auto"/>
        <w:ind w:left="426" w:hanging="426"/>
        <w:rPr>
          <w:szCs w:val="20"/>
        </w:rPr>
      </w:pPr>
      <w:r w:rsidRPr="00E00B35">
        <w:rPr>
          <w:szCs w:val="20"/>
        </w:rPr>
        <w:t>Wroclife – magazyn drukowany oraz strona internetowa,</w:t>
      </w:r>
    </w:p>
    <w:p w:rsidR="00B86812" w:rsidRPr="00E00B35" w:rsidRDefault="00B86812" w:rsidP="00BC64AB">
      <w:pPr>
        <w:numPr>
          <w:ilvl w:val="0"/>
          <w:numId w:val="291"/>
        </w:numPr>
        <w:spacing w:after="0" w:line="312" w:lineRule="auto"/>
        <w:ind w:left="426" w:hanging="426"/>
        <w:rPr>
          <w:szCs w:val="20"/>
        </w:rPr>
      </w:pPr>
      <w:r w:rsidRPr="00E00B35">
        <w:rPr>
          <w:szCs w:val="20"/>
        </w:rPr>
        <w:t>Nowe Życie – dolnośląski miesięcznik katolicki,</w:t>
      </w:r>
    </w:p>
    <w:p w:rsidR="00B86812" w:rsidRPr="00E00B35" w:rsidRDefault="00B86812" w:rsidP="00BC64AB">
      <w:pPr>
        <w:numPr>
          <w:ilvl w:val="0"/>
          <w:numId w:val="291"/>
        </w:numPr>
        <w:spacing w:after="0" w:line="312" w:lineRule="auto"/>
        <w:ind w:left="426" w:hanging="426"/>
        <w:rPr>
          <w:szCs w:val="20"/>
        </w:rPr>
      </w:pPr>
      <w:r w:rsidRPr="00E00B35">
        <w:rPr>
          <w:szCs w:val="20"/>
        </w:rPr>
        <w:t>Gazeta Południowa – bezpłatny miesięcznik dystrybuowany na południowych osiedlach Wrocławia,</w:t>
      </w:r>
    </w:p>
    <w:p w:rsidR="00B86812" w:rsidRPr="00E00B35" w:rsidRDefault="00B86812" w:rsidP="00BC64AB">
      <w:pPr>
        <w:numPr>
          <w:ilvl w:val="0"/>
          <w:numId w:val="291"/>
        </w:numPr>
        <w:spacing w:after="0" w:line="312" w:lineRule="auto"/>
        <w:ind w:left="426" w:hanging="426"/>
        <w:rPr>
          <w:szCs w:val="20"/>
        </w:rPr>
      </w:pPr>
      <w:r w:rsidRPr="00E00B35">
        <w:rPr>
          <w:szCs w:val="20"/>
        </w:rPr>
        <w:lastRenderedPageBreak/>
        <w:t>Gazeta Sąsiedzka – bezpłatna gazeta ukazującą się na terenie południowych osiedli Wrocławia (Ołtaszyn, Partynice, Klecina, Wojszyce) oraz gminy Kobierzyce i (częściowo) Żurawina.</w:t>
      </w:r>
    </w:p>
    <w:p w:rsidR="00B86812" w:rsidRPr="00E00B35" w:rsidRDefault="00B86812" w:rsidP="00BC64AB">
      <w:pPr>
        <w:numPr>
          <w:ilvl w:val="0"/>
          <w:numId w:val="291"/>
        </w:numPr>
        <w:spacing w:after="0" w:line="312" w:lineRule="auto"/>
        <w:ind w:left="426" w:hanging="426"/>
        <w:rPr>
          <w:szCs w:val="20"/>
        </w:rPr>
      </w:pPr>
      <w:r w:rsidRPr="00E00B35">
        <w:rPr>
          <w:szCs w:val="20"/>
        </w:rPr>
        <w:t>Głos Mordoru – bezpłatna gazeta dystrybuowana w korporacjach we Wrocławiu i Warszawie,</w:t>
      </w:r>
    </w:p>
    <w:p w:rsidR="00B86812" w:rsidRPr="00E00B35" w:rsidRDefault="00B86812" w:rsidP="00BC64AB">
      <w:pPr>
        <w:numPr>
          <w:ilvl w:val="0"/>
          <w:numId w:val="291"/>
        </w:numPr>
        <w:spacing w:after="0" w:line="312" w:lineRule="auto"/>
        <w:ind w:left="426" w:hanging="426"/>
        <w:rPr>
          <w:szCs w:val="20"/>
        </w:rPr>
      </w:pPr>
      <w:r w:rsidRPr="00E00B35">
        <w:rPr>
          <w:szCs w:val="20"/>
        </w:rPr>
        <w:t>Radio RAM.</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Gazeta Wyborcza - cykl 8 artykułów o Wrocławiu i Dolnym Śląsku (czerwiec/lipiec 2020) – wspólna akcja – UMW/UMWD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Rynek turystyczny – 6 stron – 3 Wrocław/3 Dolny Śląsk (lipiec/sierpień)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Business Life Polska (październik/listopad 2020)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Wiadomości turystyczne (wrzesień 2020)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Travel Polska (wrzesień/październik 2020 </w:t>
      </w:r>
    </w:p>
    <w:p w:rsidR="00B86812" w:rsidRPr="00E00B35" w:rsidRDefault="00B86812" w:rsidP="00BC64AB">
      <w:pPr>
        <w:numPr>
          <w:ilvl w:val="0"/>
          <w:numId w:val="291"/>
        </w:numPr>
        <w:spacing w:after="0" w:line="312" w:lineRule="auto"/>
        <w:ind w:left="426" w:hanging="426"/>
        <w:rPr>
          <w:szCs w:val="20"/>
        </w:rPr>
      </w:pPr>
      <w:r w:rsidRPr="00E00B35">
        <w:rPr>
          <w:szCs w:val="20"/>
        </w:rPr>
        <w:t>Newsletter do ZOPOT (sierpień i listopad) – inicjatywa i realizacja UMW/ materiały merytoryczne dosłane przez UMWD (co drugi numer)</w:t>
      </w:r>
    </w:p>
    <w:p w:rsidR="00B86812" w:rsidRPr="00E00B35" w:rsidRDefault="00B86812" w:rsidP="00BC64AB">
      <w:pPr>
        <w:numPr>
          <w:ilvl w:val="0"/>
          <w:numId w:val="291"/>
        </w:numPr>
        <w:spacing w:after="0" w:line="312" w:lineRule="auto"/>
        <w:ind w:left="426" w:hanging="426"/>
        <w:rPr>
          <w:szCs w:val="20"/>
        </w:rPr>
      </w:pPr>
      <w:r w:rsidRPr="00E00B35">
        <w:rPr>
          <w:szCs w:val="20"/>
        </w:rPr>
        <w:t>kampanię promocyjną Wrocławia pn. „It would be great to see you again”  w mediach społecznościowych inyourpocket.com poprzez: zamieszczenie 2 artykułów,   zamieszczenie baneru (100 000 odsłon) oraz zamieszczenie postów – sierpień/wrzesień</w:t>
      </w:r>
    </w:p>
    <w:p w:rsidR="00B86812" w:rsidRPr="00E00B35" w:rsidRDefault="00B86812" w:rsidP="00BC64AB">
      <w:pPr>
        <w:numPr>
          <w:ilvl w:val="0"/>
          <w:numId w:val="291"/>
        </w:numPr>
        <w:spacing w:after="0" w:line="312" w:lineRule="auto"/>
        <w:ind w:left="426" w:hanging="426"/>
        <w:rPr>
          <w:szCs w:val="20"/>
        </w:rPr>
      </w:pPr>
      <w:r w:rsidRPr="00E00B35">
        <w:rPr>
          <w:szCs w:val="20"/>
        </w:rPr>
        <w:t>kampanię promocyjna Wrocławia w mediach społecznościowych inyourpocket.com poprzez przygotowanie artykułu Christmas  2020 in Wrocław oraz jego promocję w social mediach i newsleterze – grudzień 2020</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„Newsweek Historia” </w:t>
      </w:r>
    </w:p>
    <w:p w:rsidR="00B86812" w:rsidRPr="00E00B35" w:rsidRDefault="00B86812" w:rsidP="00E00B35">
      <w:pPr>
        <w:spacing w:after="0" w:line="312" w:lineRule="auto"/>
        <w:rPr>
          <w:rFonts w:eastAsia="Calibri"/>
          <w:szCs w:val="20"/>
        </w:rPr>
      </w:pPr>
      <w:r w:rsidRPr="00E00B35">
        <w:rPr>
          <w:rFonts w:eastAsia="Calibri"/>
          <w:szCs w:val="20"/>
        </w:rPr>
        <w:t>Materiały video promujące Wrocław oraz organizowane w mieści wydarzenia były emitowane w Telewizji Echo24.</w:t>
      </w:r>
    </w:p>
    <w:p w:rsidR="00B86812" w:rsidRPr="00E00B35" w:rsidRDefault="00B86812" w:rsidP="00E00B35">
      <w:pPr>
        <w:spacing w:after="0" w:line="312" w:lineRule="auto"/>
        <w:rPr>
          <w:rFonts w:eastAsia="Calibri"/>
          <w:szCs w:val="20"/>
        </w:rPr>
      </w:pPr>
      <w:r w:rsidRPr="00E00B35">
        <w:rPr>
          <w:rFonts w:eastAsia="Calibri"/>
          <w:szCs w:val="20"/>
        </w:rPr>
        <w:t>Reklama w prasie turystycznej</w:t>
      </w:r>
    </w:p>
    <w:p w:rsidR="00B86812" w:rsidRPr="00E00B35" w:rsidRDefault="00B86812" w:rsidP="00BC64AB">
      <w:pPr>
        <w:numPr>
          <w:ilvl w:val="0"/>
          <w:numId w:val="291"/>
        </w:numPr>
        <w:spacing w:after="0" w:line="312" w:lineRule="auto"/>
        <w:ind w:left="426" w:hanging="426"/>
        <w:rPr>
          <w:szCs w:val="20"/>
        </w:rPr>
      </w:pPr>
      <w:r w:rsidRPr="00E00B35">
        <w:rPr>
          <w:szCs w:val="20"/>
        </w:rPr>
        <w:t>„Travel Magazine”</w:t>
      </w:r>
    </w:p>
    <w:p w:rsidR="00B86812" w:rsidRPr="00E00B35" w:rsidRDefault="00B86812" w:rsidP="00BC64AB">
      <w:pPr>
        <w:numPr>
          <w:ilvl w:val="0"/>
          <w:numId w:val="291"/>
        </w:numPr>
        <w:spacing w:after="0" w:line="312" w:lineRule="auto"/>
        <w:ind w:left="426" w:hanging="426"/>
        <w:rPr>
          <w:szCs w:val="20"/>
        </w:rPr>
      </w:pPr>
      <w:r w:rsidRPr="00E00B35">
        <w:rPr>
          <w:szCs w:val="20"/>
        </w:rPr>
        <w:t>„Wiadomości Turystyczne”</w:t>
      </w:r>
    </w:p>
    <w:p w:rsidR="00B86812" w:rsidRPr="00E00B35" w:rsidRDefault="00B86812" w:rsidP="00E00B35">
      <w:pPr>
        <w:pStyle w:val="11TrescpismaZnak"/>
        <w:spacing w:after="0" w:line="312" w:lineRule="auto"/>
        <w:jc w:val="left"/>
        <w:outlineLvl w:val="0"/>
        <w:rPr>
          <w:b/>
          <w:bCs/>
        </w:rPr>
      </w:pPr>
    </w:p>
    <w:p w:rsidR="00B86812" w:rsidRPr="00E00B35" w:rsidRDefault="00B86812" w:rsidP="00E00B35">
      <w:pPr>
        <w:pStyle w:val="Nagwek5"/>
        <w:rPr>
          <w:szCs w:val="20"/>
        </w:rPr>
      </w:pPr>
      <w:r w:rsidRPr="00E00B35">
        <w:rPr>
          <w:szCs w:val="20"/>
        </w:rPr>
        <w:t>Sieć Punktów Informacji Turystycznej</w:t>
      </w:r>
    </w:p>
    <w:p w:rsidR="00B86812" w:rsidRPr="00E00B35" w:rsidRDefault="00B86812" w:rsidP="00E00B35">
      <w:pPr>
        <w:pStyle w:val="Tekstkomentarza"/>
        <w:spacing w:after="0" w:line="312" w:lineRule="auto"/>
        <w:rPr>
          <w:b/>
        </w:rPr>
      </w:pPr>
      <w:r w:rsidRPr="00E00B35">
        <w:rPr>
          <w:b/>
        </w:rPr>
        <w:t>630.63003.W2360-JUP-08 zad. BPM/B/04/W</w:t>
      </w:r>
    </w:p>
    <w:p w:rsidR="00B86812" w:rsidRPr="00E00B35" w:rsidRDefault="00B86812" w:rsidP="00E00B35">
      <w:pPr>
        <w:spacing w:after="0" w:line="312" w:lineRule="auto"/>
        <w:rPr>
          <w:szCs w:val="20"/>
        </w:rPr>
      </w:pPr>
      <w:r w:rsidRPr="00E00B35">
        <w:rPr>
          <w:szCs w:val="20"/>
        </w:rPr>
        <w:t>W 2020 roku WPM kontynuuje współpracę z Dolnośląską Organizacją Turystyczną, która otrzymała dotację z UMW m.in. na prowadzenie Punktów Informacji Turystycznej w latach 2020–2021. W latach tych prowadzone są punkty informacji, które zlokalizowane są na Dworcu Głównym PKP oraz w Porcie Lotniczym.</w:t>
      </w:r>
    </w:p>
    <w:p w:rsidR="00B86812" w:rsidRPr="00E00B35" w:rsidRDefault="00B86812" w:rsidP="00E00B35">
      <w:pPr>
        <w:spacing w:after="0" w:line="312" w:lineRule="auto"/>
        <w:rPr>
          <w:szCs w:val="20"/>
        </w:rPr>
      </w:pPr>
      <w:r w:rsidRPr="00E00B35">
        <w:rPr>
          <w:szCs w:val="20"/>
        </w:rPr>
        <w:t xml:space="preserve">olnośląska Organizacja Turystyczna realizuje w ramach zawartej z miastem umowy także obsługę i sprzedaż karty turystycznej – Wrocław Tourist Card. </w:t>
      </w:r>
    </w:p>
    <w:p w:rsidR="00B86812" w:rsidRPr="00E00B35" w:rsidRDefault="00B86812" w:rsidP="00E00B35">
      <w:pPr>
        <w:pStyle w:val="Index"/>
        <w:widowControl/>
        <w:suppressLineNumbers w:val="0"/>
        <w:suppressAutoHyphens w:val="0"/>
        <w:spacing w:after="0" w:line="312" w:lineRule="auto"/>
        <w:rPr>
          <w:rStyle w:val="Pogrubienie"/>
          <w:rFonts w:eastAsia="Arial Unicode MS" w:cs="Arial"/>
          <w:b w:val="0"/>
          <w:bCs w:val="0"/>
        </w:rPr>
      </w:pPr>
    </w:p>
    <w:p w:rsidR="00B86812" w:rsidRPr="00E00B35" w:rsidRDefault="00B86812" w:rsidP="00E00B35">
      <w:pPr>
        <w:pStyle w:val="Nagwek5"/>
        <w:rPr>
          <w:szCs w:val="20"/>
        </w:rPr>
      </w:pPr>
      <w:r w:rsidRPr="00E00B35">
        <w:rPr>
          <w:szCs w:val="20"/>
        </w:rPr>
        <w:t>Rozwój Turystyki Biznesowej i wzmocnienie potencjału konferencyjno-kongresowego Wrocławia, jako lokalnego produktu turystycznego w latach 2019–2021</w:t>
      </w:r>
    </w:p>
    <w:p w:rsidR="00B86812" w:rsidRPr="00E00B35" w:rsidRDefault="00B86812" w:rsidP="00E00B35">
      <w:pPr>
        <w:pStyle w:val="Tekstkomentarza"/>
        <w:spacing w:after="0" w:line="312" w:lineRule="auto"/>
        <w:rPr>
          <w:b/>
        </w:rPr>
      </w:pPr>
      <w:r w:rsidRPr="00E00B35">
        <w:rPr>
          <w:b/>
        </w:rPr>
        <w:t>630.63003.W2360-JUP-08 zad. BPM/B/07/W</w:t>
      </w:r>
    </w:p>
    <w:p w:rsidR="00B86812" w:rsidRPr="00E00B35" w:rsidRDefault="00B86812" w:rsidP="00E00B35">
      <w:pPr>
        <w:pStyle w:val="Tekstkomentarza"/>
        <w:spacing w:after="0" w:line="312" w:lineRule="auto"/>
      </w:pPr>
      <w:r w:rsidRPr="00E00B35">
        <w:t xml:space="preserve">Zasadniczym celem realizacji projektu jest wzmocnienie potencjału konferencyjno -kongresowego Wrocławia jako lokalnego produktu turystycznego poprzez wzbogacenie </w:t>
      </w:r>
      <w:r w:rsidRPr="00E00B35">
        <w:lastRenderedPageBreak/>
        <w:t>oferty turystyki biznesowej skierowanej do szerokiej grupy uczestników i obserwatorów. Realizacja celów odbywa się m.in. poprzez obsługę misji weryfikacyjnych przybywających do Wrocławia w tym roku w wersji hybrydowej (online/na żywo), prowadzenie Rady Ekspertów Turystyki Biznesowej.</w:t>
      </w:r>
    </w:p>
    <w:p w:rsidR="00B86812" w:rsidRPr="00E00B35" w:rsidRDefault="00B86812" w:rsidP="00E00B35">
      <w:pPr>
        <w:spacing w:after="0" w:line="312" w:lineRule="auto"/>
        <w:rPr>
          <w:rFonts w:eastAsia="Calibri"/>
          <w:b/>
          <w:szCs w:val="20"/>
        </w:rPr>
      </w:pPr>
    </w:p>
    <w:p w:rsidR="00B86812" w:rsidRPr="00E00B35" w:rsidRDefault="00B86812" w:rsidP="00E00B35">
      <w:pPr>
        <w:pStyle w:val="Nagwek5"/>
        <w:rPr>
          <w:szCs w:val="20"/>
        </w:rPr>
      </w:pPr>
      <w:r w:rsidRPr="00E00B35">
        <w:rPr>
          <w:szCs w:val="20"/>
        </w:rPr>
        <w:t>Ewidencja obiektów świadczących usługi hotelarskie, niebędących obiektami hotelarskimi</w:t>
      </w:r>
    </w:p>
    <w:p w:rsidR="00B86812" w:rsidRPr="00E00B35" w:rsidRDefault="00B86812" w:rsidP="00E00B35">
      <w:pPr>
        <w:spacing w:after="0" w:line="312" w:lineRule="auto"/>
        <w:rPr>
          <w:rFonts w:eastAsia="Calibri"/>
          <w:szCs w:val="20"/>
        </w:rPr>
      </w:pPr>
      <w:r w:rsidRPr="00E00B35">
        <w:rPr>
          <w:rFonts w:eastAsia="Calibri"/>
          <w:szCs w:val="20"/>
        </w:rPr>
        <w:t>Na terenie Gminy Miejskiej Wrocław ewidencję obiektów świadczących usługi hotelarskie, niebędących obiektami hotelarskimi oraz ewidencję pól biwakowych prowadzi Prezydent Miasta Wrocławia. W pierwszym półroczu 2020 r. do ewidencji zgłoszono 61 obiektów.</w:t>
      </w:r>
    </w:p>
    <w:p w:rsidR="00B86812" w:rsidRPr="00E00B35" w:rsidRDefault="00B86812" w:rsidP="00E00B35">
      <w:pPr>
        <w:spacing w:after="0" w:line="312" w:lineRule="auto"/>
        <w:rPr>
          <w:rFonts w:eastAsia="Calibri"/>
          <w:szCs w:val="20"/>
        </w:rPr>
      </w:pPr>
      <w:r w:rsidRPr="00E00B35">
        <w:rPr>
          <w:rFonts w:eastAsia="Calibri"/>
          <w:szCs w:val="20"/>
        </w:rPr>
        <w:t>Ewidencja ta nie obejmuje następujących obiektów hotelarskich:</w:t>
      </w:r>
    </w:p>
    <w:p w:rsidR="00B86812" w:rsidRPr="00E00B35" w:rsidRDefault="00B86812" w:rsidP="00BC64AB">
      <w:pPr>
        <w:numPr>
          <w:ilvl w:val="0"/>
          <w:numId w:val="291"/>
        </w:numPr>
        <w:spacing w:after="0" w:line="312" w:lineRule="auto"/>
        <w:ind w:left="426" w:hanging="426"/>
        <w:rPr>
          <w:szCs w:val="20"/>
        </w:rPr>
      </w:pPr>
      <w:r w:rsidRPr="00E00B35">
        <w:rPr>
          <w:szCs w:val="20"/>
        </w:rPr>
        <w:t>hoteli,</w:t>
      </w:r>
    </w:p>
    <w:p w:rsidR="00B86812" w:rsidRPr="00E00B35" w:rsidRDefault="00B86812" w:rsidP="00BC64AB">
      <w:pPr>
        <w:numPr>
          <w:ilvl w:val="0"/>
          <w:numId w:val="291"/>
        </w:numPr>
        <w:spacing w:after="0" w:line="312" w:lineRule="auto"/>
        <w:ind w:left="426" w:hanging="426"/>
        <w:rPr>
          <w:szCs w:val="20"/>
        </w:rPr>
      </w:pPr>
      <w:r w:rsidRPr="00E00B35">
        <w:rPr>
          <w:szCs w:val="20"/>
        </w:rPr>
        <w:t>moteli,</w:t>
      </w:r>
    </w:p>
    <w:p w:rsidR="00B86812" w:rsidRPr="00E00B35" w:rsidRDefault="00B86812" w:rsidP="00BC64AB">
      <w:pPr>
        <w:numPr>
          <w:ilvl w:val="0"/>
          <w:numId w:val="291"/>
        </w:numPr>
        <w:spacing w:after="0" w:line="312" w:lineRule="auto"/>
        <w:ind w:left="426" w:hanging="426"/>
        <w:rPr>
          <w:szCs w:val="20"/>
        </w:rPr>
      </w:pPr>
      <w:r w:rsidRPr="00E00B35">
        <w:rPr>
          <w:szCs w:val="20"/>
        </w:rPr>
        <w:t>pensjonatów,</w:t>
      </w:r>
    </w:p>
    <w:p w:rsidR="00B86812" w:rsidRPr="00E00B35" w:rsidRDefault="00B86812" w:rsidP="00BC64AB">
      <w:pPr>
        <w:numPr>
          <w:ilvl w:val="0"/>
          <w:numId w:val="291"/>
        </w:numPr>
        <w:spacing w:after="0" w:line="312" w:lineRule="auto"/>
        <w:ind w:left="426" w:hanging="426"/>
        <w:rPr>
          <w:szCs w:val="20"/>
        </w:rPr>
      </w:pPr>
      <w:r w:rsidRPr="00E00B35">
        <w:rPr>
          <w:szCs w:val="20"/>
        </w:rPr>
        <w:t>kempingów,</w:t>
      </w:r>
    </w:p>
    <w:p w:rsidR="00B86812" w:rsidRPr="00E00B35" w:rsidRDefault="00B86812" w:rsidP="00BC64AB">
      <w:pPr>
        <w:numPr>
          <w:ilvl w:val="0"/>
          <w:numId w:val="291"/>
        </w:numPr>
        <w:spacing w:after="0" w:line="312" w:lineRule="auto"/>
        <w:ind w:left="426" w:hanging="426"/>
        <w:rPr>
          <w:szCs w:val="20"/>
        </w:rPr>
      </w:pPr>
      <w:r w:rsidRPr="00E00B35">
        <w:rPr>
          <w:szCs w:val="20"/>
        </w:rPr>
        <w:t>domów wycieczkowych,</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schronisk i schronisk młodzieżowych. </w:t>
      </w:r>
    </w:p>
    <w:p w:rsidR="00B86812" w:rsidRPr="00E00B35" w:rsidRDefault="00B86812" w:rsidP="00E00B35">
      <w:pPr>
        <w:spacing w:after="0" w:line="312" w:lineRule="auto"/>
        <w:ind w:left="720"/>
        <w:rPr>
          <w:rFonts w:cs="Verdana"/>
          <w:b/>
          <w:bCs/>
          <w:szCs w:val="20"/>
        </w:rPr>
      </w:pPr>
    </w:p>
    <w:p w:rsidR="00B86812" w:rsidRPr="00E00B35" w:rsidRDefault="00B86812" w:rsidP="00E00B35">
      <w:pPr>
        <w:pStyle w:val="Nagwek4"/>
        <w:spacing w:before="0" w:after="0" w:line="312" w:lineRule="auto"/>
        <w:rPr>
          <w:sz w:val="20"/>
          <w:szCs w:val="20"/>
        </w:rPr>
      </w:pPr>
      <w:r w:rsidRPr="00E00B35">
        <w:rPr>
          <w:sz w:val="20"/>
          <w:szCs w:val="20"/>
        </w:rPr>
        <w:t xml:space="preserve">Atrakcje turystyczne – wsparcie </w:t>
      </w:r>
    </w:p>
    <w:p w:rsidR="00B86812" w:rsidRPr="00E00B35" w:rsidRDefault="00B86812" w:rsidP="00E00B35">
      <w:pPr>
        <w:pStyle w:val="Nagwek5"/>
        <w:rPr>
          <w:szCs w:val="20"/>
        </w:rPr>
      </w:pPr>
      <w:r w:rsidRPr="00E00B35">
        <w:rPr>
          <w:szCs w:val="20"/>
        </w:rPr>
        <w:t>Szopka</w:t>
      </w:r>
    </w:p>
    <w:p w:rsidR="00B86812" w:rsidRPr="00E00B35" w:rsidRDefault="00B86812" w:rsidP="00E00B35">
      <w:pPr>
        <w:pStyle w:val="Tekstpodstawowy"/>
        <w:spacing w:after="0" w:line="312" w:lineRule="auto"/>
        <w:rPr>
          <w:b/>
          <w:bCs/>
          <w:szCs w:val="20"/>
        </w:rPr>
      </w:pPr>
      <w:r w:rsidRPr="00E00B35">
        <w:rPr>
          <w:b/>
          <w:bCs/>
          <w:szCs w:val="20"/>
        </w:rPr>
        <w:t>750.75075.W2810+999-JUP-08 zad. BPM/B/02</w:t>
      </w:r>
    </w:p>
    <w:p w:rsidR="00B86812" w:rsidRPr="00E00B35" w:rsidRDefault="00B86812" w:rsidP="00E00B35">
      <w:pPr>
        <w:spacing w:after="0" w:line="312" w:lineRule="auto"/>
        <w:rPr>
          <w:szCs w:val="20"/>
        </w:rPr>
      </w:pPr>
      <w:r w:rsidRPr="00E00B35">
        <w:rPr>
          <w:szCs w:val="20"/>
        </w:rPr>
        <w:t xml:space="preserve">Zadanie polega na promocji miasta Wrocławia poprzez </w:t>
      </w:r>
      <w:r w:rsidRPr="00E00B35">
        <w:rPr>
          <w:bCs/>
          <w:szCs w:val="20"/>
        </w:rPr>
        <w:t>renowację i rozbudowę ruchomej szopki w kościele Najświętszej Maryi Panny na Piasku we Wrocławiu</w:t>
      </w:r>
      <w:r w:rsidRPr="00E00B35">
        <w:rPr>
          <w:szCs w:val="20"/>
        </w:rPr>
        <w:t xml:space="preserve">. </w:t>
      </w:r>
    </w:p>
    <w:p w:rsidR="00B86812" w:rsidRPr="00E00B35" w:rsidRDefault="00B86812" w:rsidP="00E00B35">
      <w:pPr>
        <w:spacing w:after="0" w:line="312" w:lineRule="auto"/>
        <w:rPr>
          <w:rFonts w:cs="Verdana"/>
          <w:b/>
          <w:bCs/>
          <w:szCs w:val="20"/>
        </w:rPr>
      </w:pPr>
    </w:p>
    <w:p w:rsidR="00B86812" w:rsidRPr="00E00B35" w:rsidRDefault="00B86812" w:rsidP="00E00B35">
      <w:pPr>
        <w:pStyle w:val="Nagwek5"/>
        <w:rPr>
          <w:szCs w:val="20"/>
        </w:rPr>
      </w:pPr>
      <w:r w:rsidRPr="00E00B35">
        <w:rPr>
          <w:szCs w:val="20"/>
        </w:rPr>
        <w:t xml:space="preserve">Miniatura Ratusza </w:t>
      </w:r>
    </w:p>
    <w:p w:rsidR="00B86812" w:rsidRPr="00E00B35" w:rsidRDefault="00B86812" w:rsidP="00E00B35">
      <w:pPr>
        <w:pStyle w:val="Tekstpodstawowy"/>
        <w:spacing w:after="0" w:line="312" w:lineRule="auto"/>
        <w:rPr>
          <w:b/>
          <w:bCs/>
          <w:szCs w:val="20"/>
        </w:rPr>
      </w:pPr>
      <w:r w:rsidRPr="00E00B35">
        <w:rPr>
          <w:b/>
          <w:bCs/>
          <w:szCs w:val="20"/>
        </w:rPr>
        <w:t>750.75075.W4300+999-JUP-08 zad. BPM/B/02</w:t>
      </w:r>
    </w:p>
    <w:p w:rsidR="00B86812" w:rsidRPr="00E00B35" w:rsidRDefault="00B86812" w:rsidP="00E00B35">
      <w:pPr>
        <w:spacing w:after="0" w:line="312" w:lineRule="auto"/>
        <w:rPr>
          <w:rFonts w:cs="Verdana"/>
          <w:color w:val="000000"/>
          <w:szCs w:val="20"/>
        </w:rPr>
      </w:pPr>
      <w:r w:rsidRPr="00E00B35">
        <w:rPr>
          <w:rFonts w:cs="Verdana"/>
          <w:color w:val="000000"/>
          <w:szCs w:val="20"/>
        </w:rPr>
        <w:t>Projekt polega na stworzeniu i umieszczeniu na wystawie „Kolejkowo” we Wrocławiu miniatury, w skali 1:25, wrocławskiego ratusza oraz udostępnienie jej dla zwiedzających.</w:t>
      </w:r>
    </w:p>
    <w:p w:rsidR="00B86812" w:rsidRPr="00E00B35" w:rsidRDefault="00B86812" w:rsidP="00E00B35">
      <w:pPr>
        <w:spacing w:after="0" w:line="312" w:lineRule="auto"/>
        <w:ind w:left="720"/>
        <w:rPr>
          <w:rFonts w:eastAsia="Calibri"/>
          <w:szCs w:val="20"/>
        </w:rPr>
      </w:pPr>
    </w:p>
    <w:p w:rsidR="00B86812" w:rsidRPr="00E00B35" w:rsidRDefault="00B86812" w:rsidP="00E00B35">
      <w:pPr>
        <w:pStyle w:val="Nagwek5"/>
        <w:rPr>
          <w:szCs w:val="20"/>
          <w:lang w:eastAsia="pl-PL"/>
        </w:rPr>
      </w:pPr>
      <w:r w:rsidRPr="00E00B35">
        <w:rPr>
          <w:szCs w:val="20"/>
          <w:lang w:eastAsia="pl-PL"/>
        </w:rPr>
        <w:t>Stacje multimedialne – Kjosk</w:t>
      </w:r>
    </w:p>
    <w:p w:rsidR="00B86812" w:rsidRPr="00E00B35" w:rsidRDefault="00B86812" w:rsidP="00E00B35">
      <w:pPr>
        <w:autoSpaceDE w:val="0"/>
        <w:autoSpaceDN w:val="0"/>
        <w:adjustRightInd w:val="0"/>
        <w:spacing w:after="0" w:line="312" w:lineRule="auto"/>
        <w:ind w:left="15"/>
        <w:rPr>
          <w:rFonts w:cs="Verdana"/>
          <w:color w:val="000000"/>
          <w:szCs w:val="20"/>
        </w:rPr>
      </w:pPr>
      <w:r w:rsidRPr="00E00B35">
        <w:rPr>
          <w:rFonts w:cs="Verdana"/>
          <w:color w:val="000000"/>
          <w:szCs w:val="20"/>
        </w:rPr>
        <w:t xml:space="preserve">Stacje multimedialne posiadają dwie funkcje: wypożyczania powerbanków na minuty oraz wyświetlania treści informacyjno–promocyjnych ze stron www. </w:t>
      </w:r>
    </w:p>
    <w:p w:rsidR="00B86812" w:rsidRPr="00E00B35" w:rsidRDefault="00B86812" w:rsidP="00E00B35">
      <w:pPr>
        <w:autoSpaceDE w:val="0"/>
        <w:autoSpaceDN w:val="0"/>
        <w:adjustRightInd w:val="0"/>
        <w:spacing w:after="0" w:line="312" w:lineRule="auto"/>
        <w:ind w:left="15"/>
        <w:rPr>
          <w:rFonts w:cs="Verdana"/>
          <w:color w:val="000000"/>
          <w:szCs w:val="20"/>
        </w:rPr>
      </w:pPr>
      <w:r w:rsidRPr="00E00B35">
        <w:rPr>
          <w:rFonts w:cs="Verdana"/>
          <w:color w:val="000000"/>
          <w:szCs w:val="20"/>
        </w:rPr>
        <w:t xml:space="preserve">Celem projektu jest weryfikacja zainteresowania stacjami wśród mieszkańców/turystów, jak również przetestowanie urządzeń. W przypadku pozytywnych testów rozważany jest montaż urządzeń w przestrzeni miejskiej oraz rozbudowanie o nowe funkcjonalności, np. plan miasta, informację turystyczną, mapy i inne. Istnieje także możliwość wydruku, np. kart turystycznych przy pomocy stacji. </w:t>
      </w:r>
    </w:p>
    <w:p w:rsidR="00B86812" w:rsidRPr="00E00B35" w:rsidRDefault="00B86812" w:rsidP="00E00B35">
      <w:pPr>
        <w:pStyle w:val="Akapitzlist"/>
        <w:spacing w:after="0" w:line="312" w:lineRule="auto"/>
        <w:ind w:left="0"/>
        <w:rPr>
          <w:rFonts w:cs="Verdana"/>
          <w:color w:val="000000"/>
          <w:szCs w:val="20"/>
          <w:lang w:eastAsia="pl-PL"/>
        </w:rPr>
      </w:pPr>
      <w:r w:rsidRPr="00E00B35">
        <w:rPr>
          <w:rFonts w:cs="Verdana"/>
          <w:color w:val="000000"/>
          <w:szCs w:val="20"/>
          <w:lang w:eastAsia="pl-PL"/>
        </w:rPr>
        <w:t xml:space="preserve">Projekt testowy przygotowano na czerwiec 2020 r., ale z uwagi na pandemię termin przesunięto na wrzesień. Czas na testy urządzenia to ok. 4–5 miesięcy. Montaż odbędzie się w trzech Centrach Obsługi Mieszkańca, na ul. G. Zapolskiej, ul. W. Bogusławskiego, przy pl. Nowy Targ.  </w:t>
      </w:r>
    </w:p>
    <w:p w:rsidR="00B86812" w:rsidRPr="00E00B35" w:rsidRDefault="00B86812" w:rsidP="00E00B35">
      <w:pPr>
        <w:pStyle w:val="Akapitzlist"/>
        <w:spacing w:after="0" w:line="312" w:lineRule="auto"/>
        <w:ind w:left="0"/>
        <w:rPr>
          <w:color w:val="000000"/>
          <w:szCs w:val="20"/>
        </w:rPr>
      </w:pPr>
    </w:p>
    <w:p w:rsidR="00B86812" w:rsidRPr="00E00B35" w:rsidRDefault="00B86812" w:rsidP="00E00B35">
      <w:pPr>
        <w:pStyle w:val="Nagwek4"/>
        <w:spacing w:before="0" w:after="0" w:line="312" w:lineRule="auto"/>
        <w:rPr>
          <w:sz w:val="20"/>
          <w:szCs w:val="20"/>
        </w:rPr>
      </w:pPr>
      <w:r w:rsidRPr="00E00B35">
        <w:rPr>
          <w:sz w:val="20"/>
          <w:szCs w:val="20"/>
        </w:rPr>
        <w:lastRenderedPageBreak/>
        <w:t>PROJEKT: IDENTYFIKACJA WIZUALNA</w:t>
      </w:r>
    </w:p>
    <w:p w:rsidR="00B86812" w:rsidRPr="00E00B35" w:rsidRDefault="00B86812" w:rsidP="00E00B35">
      <w:pPr>
        <w:pStyle w:val="Nagwek5"/>
        <w:rPr>
          <w:szCs w:val="20"/>
        </w:rPr>
      </w:pPr>
      <w:r w:rsidRPr="00E00B35">
        <w:rPr>
          <w:szCs w:val="20"/>
        </w:rPr>
        <w:t xml:space="preserve">System Informacji Miejskiej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Bieżąca rozbudowa, aktualizacja i opieka merytoryczna nad systemem.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Stopniowe wprowadzanie tablic ulicowych, zgodnych z grafiką SIM </w:t>
      </w:r>
      <w:r w:rsidRPr="00E00B35">
        <w:rPr>
          <w:szCs w:val="20"/>
        </w:rPr>
        <w:br/>
        <w:t xml:space="preserve">i uzupełnianie tablic opisujących obiekty zabytkowe znajdujące się na terenie miasta. </w:t>
      </w:r>
    </w:p>
    <w:p w:rsidR="00B86812" w:rsidRPr="00E00B35" w:rsidRDefault="00B86812" w:rsidP="00BC64AB">
      <w:pPr>
        <w:numPr>
          <w:ilvl w:val="0"/>
          <w:numId w:val="291"/>
        </w:numPr>
        <w:spacing w:after="0" w:line="312" w:lineRule="auto"/>
        <w:ind w:left="426" w:hanging="426"/>
        <w:rPr>
          <w:szCs w:val="20"/>
        </w:rPr>
      </w:pPr>
      <w:r w:rsidRPr="00E00B35">
        <w:rPr>
          <w:szCs w:val="20"/>
        </w:rPr>
        <w:t>Oznakowanie zabytków, atrakcji turystycznych i obiektów użyteczności publicznej – poziom dla kierowców i dla pieszych.</w:t>
      </w:r>
    </w:p>
    <w:p w:rsidR="00B86812" w:rsidRPr="00E00B35" w:rsidRDefault="00B86812" w:rsidP="00BC64AB">
      <w:pPr>
        <w:numPr>
          <w:ilvl w:val="0"/>
          <w:numId w:val="291"/>
        </w:numPr>
        <w:spacing w:after="0" w:line="312" w:lineRule="auto"/>
        <w:ind w:left="426" w:hanging="426"/>
        <w:rPr>
          <w:szCs w:val="20"/>
        </w:rPr>
      </w:pPr>
      <w:r w:rsidRPr="00E00B35">
        <w:rPr>
          <w:szCs w:val="20"/>
        </w:rPr>
        <w:t>Doprowadzenie do uaktualnienia uchwały o wprowadzeniu we Wrocławiu Systemu Informacji Miejskiej.</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Kontynuacja współpracy z Departamentem Architektury i Rozwoju oraz Biurem Rady Miejskiej w celu wyeliminowania błędów rzeczowych </w:t>
      </w:r>
      <w:r w:rsidRPr="00E00B35">
        <w:rPr>
          <w:szCs w:val="20"/>
        </w:rPr>
        <w:br/>
        <w:t xml:space="preserve">i ortograficznych w uchwałach nadających nazwy ulicom, placom </w:t>
      </w:r>
      <w:r w:rsidRPr="00E00B35">
        <w:rPr>
          <w:szCs w:val="20"/>
        </w:rPr>
        <w:br/>
        <w:t>i skwerom.</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Kontynuacja prac nad oznakowaniem przystani wodnych (współpraca </w:t>
      </w:r>
      <w:r w:rsidRPr="00E00B35">
        <w:rPr>
          <w:szCs w:val="20"/>
        </w:rPr>
        <w:br/>
        <w:t>z BRW i ZDiUM).</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Praca nad Zarządzeniem Prezydenta dotyczącym SIM, opracowanie załącznika do Zarządzenia, który będzie zawierał wszystkie elementy SIM, również te, które zostały dołączone do SIM po wejściu w życie uchwały </w:t>
      </w:r>
      <w:r w:rsidRPr="00E00B35">
        <w:rPr>
          <w:szCs w:val="20"/>
        </w:rPr>
        <w:br/>
        <w:t>o SIM w 2007r.</w:t>
      </w:r>
    </w:p>
    <w:p w:rsidR="00B86812" w:rsidRPr="00E00B35" w:rsidRDefault="00B86812" w:rsidP="00BC64AB">
      <w:pPr>
        <w:numPr>
          <w:ilvl w:val="0"/>
          <w:numId w:val="291"/>
        </w:numPr>
        <w:spacing w:after="0" w:line="312" w:lineRule="auto"/>
        <w:ind w:left="426" w:hanging="426"/>
        <w:rPr>
          <w:szCs w:val="20"/>
        </w:rPr>
      </w:pPr>
      <w:r w:rsidRPr="00E00B35">
        <w:rPr>
          <w:szCs w:val="20"/>
        </w:rPr>
        <w:t>Rozbudowa oznakowania przystani wodnych (współpraca z BRW) oraz Ścieżki historii Wrocławia.</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Produkcja tablic pamiątkowych poświęconych osobom związanym </w:t>
      </w:r>
      <w:r w:rsidRPr="00E00B35">
        <w:rPr>
          <w:szCs w:val="20"/>
        </w:rPr>
        <w:br/>
        <w:t>z miastem na przestrzeni dziejów.</w:t>
      </w:r>
    </w:p>
    <w:p w:rsidR="00B86812" w:rsidRPr="00E00B35" w:rsidRDefault="00B86812" w:rsidP="00BC64AB">
      <w:pPr>
        <w:numPr>
          <w:ilvl w:val="0"/>
          <w:numId w:val="291"/>
        </w:numPr>
        <w:spacing w:after="0" w:line="312" w:lineRule="auto"/>
        <w:ind w:left="426" w:hanging="426"/>
        <w:rPr>
          <w:szCs w:val="20"/>
        </w:rPr>
      </w:pPr>
      <w:r w:rsidRPr="00E00B35">
        <w:rPr>
          <w:szCs w:val="20"/>
        </w:rPr>
        <w:t>Produkcja tablic pamiątkowych związanych z wydarzeniami, które miały znaczenie dla miasta.</w:t>
      </w:r>
    </w:p>
    <w:p w:rsidR="00B86812" w:rsidRPr="00E00B35" w:rsidRDefault="00B86812" w:rsidP="00E00B35">
      <w:pPr>
        <w:spacing w:after="0" w:line="312" w:lineRule="auto"/>
        <w:ind w:left="720"/>
        <w:rPr>
          <w:szCs w:val="20"/>
        </w:rPr>
      </w:pPr>
    </w:p>
    <w:p w:rsidR="00B86812" w:rsidRPr="00E00B35" w:rsidRDefault="00B86812" w:rsidP="00E00B35">
      <w:pPr>
        <w:pStyle w:val="Nagwek5"/>
        <w:rPr>
          <w:szCs w:val="20"/>
        </w:rPr>
      </w:pPr>
      <w:r w:rsidRPr="00E00B35">
        <w:rPr>
          <w:szCs w:val="20"/>
        </w:rPr>
        <w:t>Projekty graficzne</w:t>
      </w:r>
    </w:p>
    <w:p w:rsidR="00B86812" w:rsidRPr="00E00B35" w:rsidRDefault="00B86812" w:rsidP="00E00B35">
      <w:pPr>
        <w:pStyle w:val="Tekstpodstawowy"/>
        <w:spacing w:after="0" w:line="312" w:lineRule="auto"/>
        <w:rPr>
          <w:b/>
          <w:bCs/>
          <w:szCs w:val="20"/>
        </w:rPr>
      </w:pPr>
      <w:r w:rsidRPr="00E00B35">
        <w:rPr>
          <w:b/>
          <w:bCs/>
          <w:szCs w:val="20"/>
        </w:rPr>
        <w:t>750.75075.W4300+999-JUP-08 zad. BPM/B/02</w:t>
      </w:r>
    </w:p>
    <w:p w:rsidR="00B86812" w:rsidRPr="00E00B35" w:rsidRDefault="00B86812" w:rsidP="00BC64AB">
      <w:pPr>
        <w:numPr>
          <w:ilvl w:val="0"/>
          <w:numId w:val="291"/>
        </w:numPr>
        <w:spacing w:after="0" w:line="312" w:lineRule="auto"/>
        <w:ind w:left="426" w:hanging="426"/>
        <w:rPr>
          <w:szCs w:val="20"/>
        </w:rPr>
      </w:pPr>
      <w:r w:rsidRPr="00E00B35">
        <w:rPr>
          <w:b/>
          <w:szCs w:val="20"/>
        </w:rPr>
        <w:t>Identyfikacja wizualna</w:t>
      </w:r>
      <w:r w:rsidRPr="00E00B35">
        <w:rPr>
          <w:szCs w:val="20"/>
        </w:rPr>
        <w:t xml:space="preserve"> </w:t>
      </w:r>
      <w:r w:rsidRPr="00E00B35">
        <w:rPr>
          <w:b/>
          <w:szCs w:val="20"/>
        </w:rPr>
        <w:t xml:space="preserve">Miasta </w:t>
      </w:r>
    </w:p>
    <w:p w:rsidR="00B86812" w:rsidRPr="00E00B35" w:rsidRDefault="00B86812" w:rsidP="00BC64AB">
      <w:pPr>
        <w:pStyle w:val="Akapitzlist"/>
        <w:numPr>
          <w:ilvl w:val="1"/>
          <w:numId w:val="293"/>
        </w:numPr>
        <w:spacing w:after="0" w:line="312" w:lineRule="auto"/>
        <w:ind w:left="851" w:hanging="425"/>
        <w:rPr>
          <w:rFonts w:eastAsia="Calibri"/>
          <w:szCs w:val="20"/>
        </w:rPr>
      </w:pPr>
      <w:r w:rsidRPr="00E00B35">
        <w:rPr>
          <w:szCs w:val="20"/>
        </w:rPr>
        <w:t xml:space="preserve">- projekty w </w:t>
      </w:r>
      <w:r w:rsidRPr="00E00B35">
        <w:rPr>
          <w:rFonts w:eastAsia="Calibri"/>
          <w:szCs w:val="20"/>
        </w:rPr>
        <w:t>jednolitej szacie graficznej do druku i Internetu komunikujące o działaniach miasta w trakcie pandemii</w:t>
      </w:r>
    </w:p>
    <w:p w:rsidR="00B86812" w:rsidRPr="00E00B35" w:rsidRDefault="00B86812" w:rsidP="00BC64AB">
      <w:pPr>
        <w:pStyle w:val="Akapitzlist"/>
        <w:numPr>
          <w:ilvl w:val="1"/>
          <w:numId w:val="293"/>
        </w:numPr>
        <w:spacing w:after="0" w:line="312" w:lineRule="auto"/>
        <w:ind w:left="851" w:hanging="425"/>
        <w:rPr>
          <w:rFonts w:eastAsia="Calibri"/>
          <w:szCs w:val="20"/>
        </w:rPr>
      </w:pPr>
      <w:r w:rsidRPr="00E00B35">
        <w:rPr>
          <w:rFonts w:eastAsia="Calibri"/>
          <w:szCs w:val="20"/>
        </w:rPr>
        <w:t>- reklamy działań online</w:t>
      </w:r>
    </w:p>
    <w:p w:rsidR="00B86812" w:rsidRPr="00E00B35" w:rsidRDefault="00B86812" w:rsidP="00BC64AB">
      <w:pPr>
        <w:pStyle w:val="Akapitzlist"/>
        <w:numPr>
          <w:ilvl w:val="1"/>
          <w:numId w:val="293"/>
        </w:numPr>
        <w:spacing w:after="0" w:line="312" w:lineRule="auto"/>
        <w:ind w:left="851" w:hanging="425"/>
        <w:rPr>
          <w:rFonts w:eastAsia="Calibri"/>
          <w:szCs w:val="20"/>
        </w:rPr>
      </w:pPr>
      <w:r w:rsidRPr="00E00B35">
        <w:rPr>
          <w:rFonts w:eastAsia="Calibri"/>
          <w:szCs w:val="20"/>
        </w:rPr>
        <w:t>- kampanie: „Bądź bezpieczny we Wrocławiu” i „Dawno Cię tu nie było. Spotkajmy się we Wrocławiu”</w:t>
      </w:r>
    </w:p>
    <w:p w:rsidR="00B86812" w:rsidRPr="00E00B35" w:rsidRDefault="00B86812" w:rsidP="00BC64AB">
      <w:pPr>
        <w:pStyle w:val="Akapitzlist"/>
        <w:numPr>
          <w:ilvl w:val="1"/>
          <w:numId w:val="293"/>
        </w:numPr>
        <w:spacing w:after="0" w:line="312" w:lineRule="auto"/>
        <w:ind w:left="851" w:hanging="425"/>
        <w:rPr>
          <w:rFonts w:eastAsia="Calibri"/>
          <w:szCs w:val="20"/>
        </w:rPr>
      </w:pPr>
      <w:r w:rsidRPr="00E00B35">
        <w:rPr>
          <w:rFonts w:eastAsia="Calibri"/>
          <w:szCs w:val="20"/>
        </w:rPr>
        <w:t>- projekty gadżetów</w:t>
      </w:r>
    </w:p>
    <w:p w:rsidR="00B86812" w:rsidRPr="00E00B35" w:rsidRDefault="00B86812" w:rsidP="00BC64AB">
      <w:pPr>
        <w:numPr>
          <w:ilvl w:val="0"/>
          <w:numId w:val="291"/>
        </w:numPr>
        <w:spacing w:after="0" w:line="312" w:lineRule="auto"/>
        <w:ind w:left="426" w:hanging="426"/>
        <w:rPr>
          <w:szCs w:val="20"/>
        </w:rPr>
      </w:pPr>
      <w:r w:rsidRPr="00E00B35">
        <w:rPr>
          <w:b/>
          <w:szCs w:val="20"/>
        </w:rPr>
        <w:t>Projekty materiałów dla innych biur, wydziałów i jednostek</w:t>
      </w:r>
      <w:r w:rsidRPr="00E00B35">
        <w:rPr>
          <w:szCs w:val="20"/>
        </w:rPr>
        <w:t xml:space="preserve"> (m.in. wparcie Biura Prasowego w trakcie pandemii, komunikaty dotyczące rekrutacji do szkół i przedszkoli, projekty ulotek i broszur po powrocie do pracy, m.in. dotyczące segregacji odpadów, regulaminów w parkach, bezpieczeństwa).</w:t>
      </w:r>
    </w:p>
    <w:p w:rsidR="00B86812" w:rsidRPr="00E00B35" w:rsidRDefault="00B86812" w:rsidP="00E00B35">
      <w:pPr>
        <w:spacing w:after="0" w:line="312" w:lineRule="auto"/>
        <w:rPr>
          <w:b/>
          <w:bCs/>
          <w:szCs w:val="20"/>
        </w:rPr>
      </w:pPr>
    </w:p>
    <w:p w:rsidR="00B86812" w:rsidRPr="00E00B35" w:rsidRDefault="00B86812" w:rsidP="00E00B35">
      <w:pPr>
        <w:pStyle w:val="Nagwek5"/>
        <w:rPr>
          <w:szCs w:val="20"/>
        </w:rPr>
      </w:pPr>
      <w:r w:rsidRPr="00E00B35">
        <w:rPr>
          <w:szCs w:val="20"/>
        </w:rPr>
        <w:t xml:space="preserve">Materiały promocyjne </w:t>
      </w:r>
    </w:p>
    <w:p w:rsidR="00B86812" w:rsidRPr="00E00B35" w:rsidRDefault="00B86812" w:rsidP="00E00B35">
      <w:pPr>
        <w:pStyle w:val="Tekstpodstawowy"/>
        <w:spacing w:after="0" w:line="312" w:lineRule="auto"/>
        <w:rPr>
          <w:b/>
          <w:bCs/>
          <w:szCs w:val="20"/>
        </w:rPr>
      </w:pPr>
      <w:r w:rsidRPr="00E00B35">
        <w:rPr>
          <w:b/>
          <w:bCs/>
          <w:szCs w:val="20"/>
        </w:rPr>
        <w:t>750.75075.W4300+999-JUP-08 zad. BPM/B/02</w:t>
      </w:r>
    </w:p>
    <w:p w:rsidR="00B86812" w:rsidRPr="00E00B35" w:rsidRDefault="00B86812" w:rsidP="00E00B35">
      <w:pPr>
        <w:pStyle w:val="Tekstpodstawowy"/>
        <w:spacing w:after="0" w:line="312" w:lineRule="auto"/>
        <w:rPr>
          <w:b/>
          <w:bCs/>
          <w:szCs w:val="20"/>
        </w:rPr>
      </w:pPr>
      <w:r w:rsidRPr="00E00B35">
        <w:rPr>
          <w:b/>
          <w:bCs/>
          <w:szCs w:val="20"/>
        </w:rPr>
        <w:t>750.75075.W4210+999-JUP-08 zad. BPM/B/02</w:t>
      </w:r>
    </w:p>
    <w:p w:rsidR="00B86812" w:rsidRPr="00E00B35" w:rsidRDefault="00B86812" w:rsidP="00E00B35">
      <w:pPr>
        <w:pStyle w:val="Tekstpodstawowy"/>
        <w:spacing w:after="0" w:line="312" w:lineRule="auto"/>
        <w:rPr>
          <w:szCs w:val="20"/>
        </w:rPr>
      </w:pPr>
      <w:r w:rsidRPr="00E00B35">
        <w:rPr>
          <w:szCs w:val="20"/>
        </w:rPr>
        <w:lastRenderedPageBreak/>
        <w:t xml:space="preserve">W roku 2020 r. przygotowano dwa duże przetargi na zaprojektowanie i zakup materiałów promocyjnych. Pierwszy z przetargów, trzyzadaniowy przetarg (zad. 1: artykuły papiernicze i piśmienne, zad. 2: artykuły tekstylne, zad. 3: upominki reklamowe), zaplanowano na materiały służące do promocji imprez organizowanych i współorganizowanych przez WPM w II połowie 2020 roku – a w związku z ich przeniesieniem do sieci (prócz Dnia Życzliwości który odbył się częściowo w placówkach stacjonarnych i w przestrzeni publicznej), posłużyły jako atrakcyjne nagrody itp. w konkursach i promocji sieciowej. Drugi przetarg, był możliwy do przeprowadzenia dzięki gospodarnemu zarządzaniu środkami, </w:t>
      </w:r>
      <w:r w:rsidRPr="00E00B35">
        <w:rPr>
          <w:szCs w:val="20"/>
        </w:rPr>
        <w:br/>
        <w:t xml:space="preserve">i zorganizowano go koniec roku. Był jednozadaniowy, i obejmował markowe produkty.  </w:t>
      </w:r>
    </w:p>
    <w:p w:rsidR="00B86812" w:rsidRPr="00E00B35" w:rsidRDefault="00B86812" w:rsidP="00E00B35">
      <w:pPr>
        <w:pStyle w:val="Tekstpodstawowy"/>
        <w:spacing w:after="0" w:line="312" w:lineRule="auto"/>
        <w:rPr>
          <w:szCs w:val="20"/>
        </w:rPr>
      </w:pPr>
      <w:r w:rsidRPr="00E00B35">
        <w:rPr>
          <w:szCs w:val="20"/>
        </w:rPr>
        <w:t>Prócz materiałów w przetargach, dokonano również zakupów:</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materiałów artystycznych w postaci unikatowej biżuterii, jedwabnych szali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oraz apaszek damskich, męskich poszetek, notesów Castelli i Lediberg </w:t>
      </w:r>
      <w:r w:rsidRPr="00E00B35">
        <w:rPr>
          <w:szCs w:val="20"/>
        </w:rPr>
        <w:br/>
        <w:t>z herbem,</w:t>
      </w:r>
    </w:p>
    <w:p w:rsidR="00B86812" w:rsidRPr="00E00B35" w:rsidRDefault="00B86812" w:rsidP="00BC64AB">
      <w:pPr>
        <w:numPr>
          <w:ilvl w:val="0"/>
          <w:numId w:val="291"/>
        </w:numPr>
        <w:spacing w:after="0" w:line="312" w:lineRule="auto"/>
        <w:ind w:left="426" w:hanging="426"/>
        <w:rPr>
          <w:szCs w:val="20"/>
        </w:rPr>
      </w:pPr>
      <w:r w:rsidRPr="00E00B35">
        <w:rPr>
          <w:szCs w:val="20"/>
        </w:rPr>
        <w:t>czapek z haftowanym herbem,</w:t>
      </w:r>
    </w:p>
    <w:p w:rsidR="00B86812" w:rsidRPr="00E00B35" w:rsidRDefault="00B86812" w:rsidP="00BC64AB">
      <w:pPr>
        <w:numPr>
          <w:ilvl w:val="0"/>
          <w:numId w:val="291"/>
        </w:numPr>
        <w:spacing w:after="0" w:line="312" w:lineRule="auto"/>
        <w:ind w:left="426" w:hanging="426"/>
        <w:rPr>
          <w:szCs w:val="20"/>
        </w:rPr>
      </w:pPr>
      <w:r w:rsidRPr="00E00B35">
        <w:rPr>
          <w:szCs w:val="20"/>
        </w:rPr>
        <w:t>termosów,</w:t>
      </w:r>
    </w:p>
    <w:p w:rsidR="00B86812" w:rsidRPr="00E00B35" w:rsidRDefault="00B86812" w:rsidP="00BC64AB">
      <w:pPr>
        <w:numPr>
          <w:ilvl w:val="0"/>
          <w:numId w:val="291"/>
        </w:numPr>
        <w:spacing w:after="0" w:line="312" w:lineRule="auto"/>
        <w:ind w:left="426" w:hanging="426"/>
        <w:rPr>
          <w:szCs w:val="20"/>
        </w:rPr>
      </w:pPr>
      <w:r w:rsidRPr="00E00B35">
        <w:rPr>
          <w:szCs w:val="20"/>
        </w:rPr>
        <w:t>termokubków,</w:t>
      </w:r>
    </w:p>
    <w:p w:rsidR="00B86812" w:rsidRPr="00E00B35" w:rsidRDefault="00B86812" w:rsidP="00BC64AB">
      <w:pPr>
        <w:numPr>
          <w:ilvl w:val="0"/>
          <w:numId w:val="291"/>
        </w:numPr>
        <w:spacing w:after="0" w:line="312" w:lineRule="auto"/>
        <w:ind w:left="426" w:hanging="426"/>
        <w:rPr>
          <w:szCs w:val="20"/>
        </w:rPr>
      </w:pPr>
      <w:r w:rsidRPr="00E00B35">
        <w:rPr>
          <w:szCs w:val="20"/>
        </w:rPr>
        <w:t>lunchbox’ów</w:t>
      </w:r>
    </w:p>
    <w:p w:rsidR="00B86812" w:rsidRPr="00E00B35" w:rsidRDefault="00B86812" w:rsidP="00BC64AB">
      <w:pPr>
        <w:numPr>
          <w:ilvl w:val="0"/>
          <w:numId w:val="291"/>
        </w:numPr>
        <w:spacing w:after="0" w:line="312" w:lineRule="auto"/>
        <w:ind w:left="426" w:hanging="426"/>
        <w:rPr>
          <w:szCs w:val="20"/>
        </w:rPr>
      </w:pPr>
      <w:r w:rsidRPr="00E00B35">
        <w:rPr>
          <w:szCs w:val="20"/>
        </w:rPr>
        <w:t>bluz z kapturem ze stylizowanym herbem Wrocławia,</w:t>
      </w:r>
    </w:p>
    <w:p w:rsidR="00B86812" w:rsidRPr="00E00B35" w:rsidRDefault="00B86812" w:rsidP="00BC64AB">
      <w:pPr>
        <w:numPr>
          <w:ilvl w:val="0"/>
          <w:numId w:val="291"/>
        </w:numPr>
        <w:spacing w:after="0" w:line="312" w:lineRule="auto"/>
        <w:ind w:left="426" w:hanging="426"/>
        <w:rPr>
          <w:szCs w:val="20"/>
        </w:rPr>
      </w:pPr>
      <w:r w:rsidRPr="00E00B35">
        <w:rPr>
          <w:szCs w:val="20"/>
        </w:rPr>
        <w:t>maseczek ochronnych w seriach z herbem i wrocławskimi krasnalami,</w:t>
      </w:r>
    </w:p>
    <w:p w:rsidR="00B86812" w:rsidRPr="00E00B35" w:rsidRDefault="00B86812" w:rsidP="00BC64AB">
      <w:pPr>
        <w:numPr>
          <w:ilvl w:val="0"/>
          <w:numId w:val="291"/>
        </w:numPr>
        <w:spacing w:after="0" w:line="312" w:lineRule="auto"/>
        <w:ind w:left="426" w:hanging="426"/>
        <w:rPr>
          <w:szCs w:val="20"/>
        </w:rPr>
      </w:pPr>
      <w:r w:rsidRPr="00E00B35">
        <w:rPr>
          <w:szCs w:val="20"/>
        </w:rPr>
        <w:t>buff w rozmiarze dziecięcym z wrocławskimi krasnalami,</w:t>
      </w:r>
    </w:p>
    <w:p w:rsidR="00B86812" w:rsidRPr="00E00B35" w:rsidRDefault="00B86812" w:rsidP="00BC64AB">
      <w:pPr>
        <w:numPr>
          <w:ilvl w:val="0"/>
          <w:numId w:val="291"/>
        </w:numPr>
        <w:spacing w:after="0" w:line="312" w:lineRule="auto"/>
        <w:ind w:left="426" w:hanging="426"/>
        <w:rPr>
          <w:szCs w:val="20"/>
        </w:rPr>
      </w:pPr>
      <w:r w:rsidRPr="00E00B35">
        <w:rPr>
          <w:szCs w:val="20"/>
        </w:rPr>
        <w:t>żeli i płynów dezynfekujących,</w:t>
      </w:r>
    </w:p>
    <w:p w:rsidR="00B86812" w:rsidRPr="00E00B35" w:rsidRDefault="00B86812" w:rsidP="00BC64AB">
      <w:pPr>
        <w:numPr>
          <w:ilvl w:val="0"/>
          <w:numId w:val="291"/>
        </w:numPr>
        <w:spacing w:after="0" w:line="312" w:lineRule="auto"/>
        <w:ind w:left="426" w:hanging="426"/>
        <w:rPr>
          <w:szCs w:val="20"/>
        </w:rPr>
      </w:pPr>
      <w:r w:rsidRPr="00E00B35">
        <w:rPr>
          <w:szCs w:val="20"/>
        </w:rPr>
        <w:t>pamiątek z wrocławskiego Centrum Informacji Turystycznej (kubki, koszulki, torby),</w:t>
      </w:r>
    </w:p>
    <w:p w:rsidR="00B86812" w:rsidRPr="00E00B35" w:rsidRDefault="00B86812" w:rsidP="00BC64AB">
      <w:pPr>
        <w:numPr>
          <w:ilvl w:val="0"/>
          <w:numId w:val="291"/>
        </w:numPr>
        <w:spacing w:after="0" w:line="312" w:lineRule="auto"/>
        <w:ind w:left="426" w:hanging="426"/>
        <w:rPr>
          <w:szCs w:val="20"/>
        </w:rPr>
      </w:pPr>
      <w:r w:rsidRPr="00E00B35">
        <w:rPr>
          <w:szCs w:val="20"/>
        </w:rPr>
        <w:t>kubków z tritanu (ekologiczny materiał),</w:t>
      </w:r>
    </w:p>
    <w:p w:rsidR="00B86812" w:rsidRPr="00E00B35" w:rsidRDefault="00B86812" w:rsidP="00BC64AB">
      <w:pPr>
        <w:numPr>
          <w:ilvl w:val="0"/>
          <w:numId w:val="291"/>
        </w:numPr>
        <w:spacing w:after="0" w:line="312" w:lineRule="auto"/>
        <w:ind w:left="426" w:hanging="426"/>
        <w:rPr>
          <w:szCs w:val="20"/>
        </w:rPr>
      </w:pPr>
      <w:r w:rsidRPr="00E00B35">
        <w:rPr>
          <w:szCs w:val="20"/>
        </w:rPr>
        <w:t>głośników bezprzewodowych,</w:t>
      </w:r>
    </w:p>
    <w:p w:rsidR="00B86812" w:rsidRPr="00E00B35" w:rsidRDefault="00B86812" w:rsidP="00BC64AB">
      <w:pPr>
        <w:numPr>
          <w:ilvl w:val="0"/>
          <w:numId w:val="291"/>
        </w:numPr>
        <w:spacing w:after="0" w:line="312" w:lineRule="auto"/>
        <w:ind w:left="426" w:hanging="426"/>
        <w:rPr>
          <w:szCs w:val="20"/>
        </w:rPr>
      </w:pPr>
      <w:r w:rsidRPr="00E00B35">
        <w:rPr>
          <w:szCs w:val="20"/>
        </w:rPr>
        <w:t>profesjonalnej odzieży sportowej ze stylizowanym herbem,</w:t>
      </w:r>
    </w:p>
    <w:p w:rsidR="00B86812" w:rsidRPr="00E00B35" w:rsidRDefault="00B86812" w:rsidP="00BC64AB">
      <w:pPr>
        <w:numPr>
          <w:ilvl w:val="0"/>
          <w:numId w:val="291"/>
        </w:numPr>
        <w:spacing w:after="0" w:line="312" w:lineRule="auto"/>
        <w:ind w:left="426" w:hanging="426"/>
        <w:rPr>
          <w:szCs w:val="20"/>
        </w:rPr>
      </w:pPr>
      <w:r w:rsidRPr="00E00B35">
        <w:rPr>
          <w:szCs w:val="20"/>
        </w:rPr>
        <w:t>koszulek dla Wrocławskiego Szkolnego Związku Sportowego,</w:t>
      </w:r>
    </w:p>
    <w:p w:rsidR="00B86812" w:rsidRPr="00E00B35" w:rsidRDefault="00B86812" w:rsidP="00BC64AB">
      <w:pPr>
        <w:numPr>
          <w:ilvl w:val="0"/>
          <w:numId w:val="291"/>
        </w:numPr>
        <w:spacing w:after="0" w:line="312" w:lineRule="auto"/>
        <w:ind w:left="426" w:hanging="426"/>
        <w:rPr>
          <w:szCs w:val="20"/>
        </w:rPr>
      </w:pPr>
      <w:r w:rsidRPr="00E00B35">
        <w:rPr>
          <w:szCs w:val="20"/>
        </w:rPr>
        <w:t>pamiątkowych zestawów VIP z lokalnego "Browaru Stu Mostów",</w:t>
      </w:r>
    </w:p>
    <w:p w:rsidR="00B86812" w:rsidRPr="00E00B35" w:rsidRDefault="00B86812" w:rsidP="00BC64AB">
      <w:pPr>
        <w:numPr>
          <w:ilvl w:val="0"/>
          <w:numId w:val="291"/>
        </w:numPr>
        <w:spacing w:after="0" w:line="312" w:lineRule="auto"/>
        <w:ind w:left="426" w:hanging="426"/>
        <w:rPr>
          <w:szCs w:val="20"/>
        </w:rPr>
      </w:pPr>
      <w:r w:rsidRPr="00E00B35">
        <w:rPr>
          <w:szCs w:val="20"/>
        </w:rPr>
        <w:t>srebrnych herbów labrach</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oraz wydawnictw, jak np. „Książka do pisania” i specjalny album "75 lat powojennego Wrocławia". </w:t>
      </w:r>
    </w:p>
    <w:p w:rsidR="00B86812" w:rsidRPr="00E00B35" w:rsidRDefault="00B86812" w:rsidP="00E00B35">
      <w:pPr>
        <w:pStyle w:val="Tekstpodstawowy"/>
        <w:spacing w:after="0" w:line="312" w:lineRule="auto"/>
        <w:rPr>
          <w:rFonts w:cs="Verdana"/>
          <w:szCs w:val="20"/>
        </w:rPr>
      </w:pPr>
    </w:p>
    <w:p w:rsidR="00B86812" w:rsidRPr="00E00B35" w:rsidRDefault="00B86812" w:rsidP="00E00B35">
      <w:pPr>
        <w:pStyle w:val="Tekstpodstawowy"/>
        <w:spacing w:after="0" w:line="312" w:lineRule="auto"/>
        <w:rPr>
          <w:rFonts w:cs="Verdana"/>
          <w:szCs w:val="20"/>
        </w:rPr>
      </w:pPr>
      <w:r w:rsidRPr="00E00B35">
        <w:rPr>
          <w:rFonts w:cs="Verdana"/>
          <w:szCs w:val="20"/>
        </w:rPr>
        <w:t>W linii promocyjnej znalazły się zarówno masowe gadżety, które najczęściej są udostępniane na zewnątrz na wnioski o wydanie materiałów promocyjnych Wrocławia, jak i materiały tematyczne, do promocji takich imprez i wydarzeń jak:</w:t>
      </w:r>
    </w:p>
    <w:p w:rsidR="00B86812" w:rsidRPr="00E00B35" w:rsidRDefault="00B86812" w:rsidP="00BC64AB">
      <w:pPr>
        <w:numPr>
          <w:ilvl w:val="0"/>
          <w:numId w:val="291"/>
        </w:numPr>
        <w:spacing w:after="0" w:line="312" w:lineRule="auto"/>
        <w:ind w:left="426" w:hanging="426"/>
        <w:rPr>
          <w:szCs w:val="20"/>
        </w:rPr>
      </w:pPr>
      <w:r w:rsidRPr="00E00B35">
        <w:rPr>
          <w:szCs w:val="20"/>
        </w:rPr>
        <w:t>spotkanie Związku Miast Polskich</w:t>
      </w:r>
    </w:p>
    <w:p w:rsidR="00B86812" w:rsidRPr="00E00B35" w:rsidRDefault="00B86812" w:rsidP="00BC64AB">
      <w:pPr>
        <w:numPr>
          <w:ilvl w:val="0"/>
          <w:numId w:val="291"/>
        </w:numPr>
        <w:spacing w:after="0" w:line="312" w:lineRule="auto"/>
        <w:ind w:left="426" w:hanging="426"/>
        <w:rPr>
          <w:szCs w:val="20"/>
        </w:rPr>
      </w:pPr>
      <w:r w:rsidRPr="00E00B35">
        <w:rPr>
          <w:szCs w:val="20"/>
        </w:rPr>
        <w:t>Forum Branży Eventowej (Warszawa)</w:t>
      </w:r>
    </w:p>
    <w:p w:rsidR="00B86812" w:rsidRPr="00E00B35" w:rsidRDefault="00B86812" w:rsidP="00BC64AB">
      <w:pPr>
        <w:numPr>
          <w:ilvl w:val="0"/>
          <w:numId w:val="291"/>
        </w:numPr>
        <w:spacing w:after="0" w:line="312" w:lineRule="auto"/>
        <w:ind w:left="426" w:hanging="426"/>
        <w:rPr>
          <w:szCs w:val="20"/>
        </w:rPr>
      </w:pPr>
      <w:r w:rsidRPr="00E00B35">
        <w:rPr>
          <w:szCs w:val="20"/>
        </w:rPr>
        <w:t>Forum Promocji Turystycznej</w:t>
      </w:r>
    </w:p>
    <w:p w:rsidR="00B86812" w:rsidRPr="00E00B35" w:rsidRDefault="00B86812" w:rsidP="00BC64AB">
      <w:pPr>
        <w:numPr>
          <w:ilvl w:val="0"/>
          <w:numId w:val="291"/>
        </w:numPr>
        <w:spacing w:after="0" w:line="312" w:lineRule="auto"/>
        <w:ind w:left="426" w:hanging="426"/>
        <w:rPr>
          <w:szCs w:val="20"/>
        </w:rPr>
      </w:pPr>
      <w:r w:rsidRPr="00E00B35">
        <w:rPr>
          <w:szCs w:val="20"/>
        </w:rPr>
        <w:t>Festiwal kulinarny „Europa na Widelcu” (festiwal przeniesiony na 2021)</w:t>
      </w:r>
    </w:p>
    <w:p w:rsidR="00B86812" w:rsidRPr="00E00B35" w:rsidRDefault="00B86812" w:rsidP="00BC64AB">
      <w:pPr>
        <w:numPr>
          <w:ilvl w:val="0"/>
          <w:numId w:val="291"/>
        </w:numPr>
        <w:spacing w:after="0" w:line="312" w:lineRule="auto"/>
        <w:ind w:left="426" w:hanging="426"/>
        <w:rPr>
          <w:szCs w:val="20"/>
        </w:rPr>
      </w:pPr>
      <w:r w:rsidRPr="00E00B35">
        <w:rPr>
          <w:szCs w:val="20"/>
        </w:rPr>
        <w:t>Międzynarodowy Festiwal Krasnali oraz wycieczki krasnalowe,</w:t>
      </w:r>
    </w:p>
    <w:p w:rsidR="00B86812" w:rsidRPr="00E00B35" w:rsidRDefault="00B86812" w:rsidP="00BC64AB">
      <w:pPr>
        <w:numPr>
          <w:ilvl w:val="0"/>
          <w:numId w:val="291"/>
        </w:numPr>
        <w:spacing w:after="0" w:line="312" w:lineRule="auto"/>
        <w:ind w:left="426" w:hanging="426"/>
        <w:rPr>
          <w:szCs w:val="20"/>
        </w:rPr>
      </w:pPr>
      <w:r w:rsidRPr="00E00B35">
        <w:rPr>
          <w:szCs w:val="20"/>
        </w:rPr>
        <w:t>Wrocław na Facebook-u</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eventy z promocją marki WRO </w:t>
      </w:r>
    </w:p>
    <w:p w:rsidR="00B86812" w:rsidRPr="00E00B35" w:rsidRDefault="00B86812" w:rsidP="00BC64AB">
      <w:pPr>
        <w:numPr>
          <w:ilvl w:val="0"/>
          <w:numId w:val="291"/>
        </w:numPr>
        <w:spacing w:after="0" w:line="312" w:lineRule="auto"/>
        <w:ind w:left="426" w:hanging="426"/>
        <w:rPr>
          <w:szCs w:val="20"/>
        </w:rPr>
      </w:pPr>
      <w:r w:rsidRPr="00E00B35">
        <w:rPr>
          <w:szCs w:val="20"/>
        </w:rPr>
        <w:t>Eventy z zakresu promocji WBO, SmartCity, i innych miejskich projektów,</w:t>
      </w:r>
    </w:p>
    <w:p w:rsidR="00B86812" w:rsidRPr="00E00B35" w:rsidRDefault="00B86812" w:rsidP="00BC64AB">
      <w:pPr>
        <w:numPr>
          <w:ilvl w:val="0"/>
          <w:numId w:val="291"/>
        </w:numPr>
        <w:spacing w:after="0" w:line="312" w:lineRule="auto"/>
        <w:ind w:left="426" w:hanging="426"/>
        <w:rPr>
          <w:szCs w:val="20"/>
        </w:rPr>
      </w:pPr>
      <w:r w:rsidRPr="00E00B35">
        <w:rPr>
          <w:szCs w:val="20"/>
        </w:rPr>
        <w:lastRenderedPageBreak/>
        <w:t>Dzień Życzliwości (działania w przestrzeni miejskiej, przedszkola, internet),</w:t>
      </w:r>
    </w:p>
    <w:p w:rsidR="00B86812" w:rsidRPr="00E00B35" w:rsidRDefault="00B86812" w:rsidP="00BC64AB">
      <w:pPr>
        <w:numPr>
          <w:ilvl w:val="0"/>
          <w:numId w:val="291"/>
        </w:numPr>
        <w:spacing w:after="0" w:line="312" w:lineRule="auto"/>
        <w:ind w:left="426" w:hanging="426"/>
        <w:rPr>
          <w:szCs w:val="20"/>
        </w:rPr>
      </w:pPr>
      <w:r w:rsidRPr="00E00B35">
        <w:rPr>
          <w:szCs w:val="20"/>
        </w:rPr>
        <w:t>Dziennikarskie Study tour (całoroczne z wyłączeniem okresu zamknięcia granic),</w:t>
      </w:r>
    </w:p>
    <w:p w:rsidR="00B86812" w:rsidRPr="00E00B35" w:rsidRDefault="00B86812" w:rsidP="00BC64AB">
      <w:pPr>
        <w:numPr>
          <w:ilvl w:val="0"/>
          <w:numId w:val="291"/>
        </w:numPr>
        <w:spacing w:after="0" w:line="312" w:lineRule="auto"/>
        <w:ind w:left="426" w:hanging="426"/>
        <w:rPr>
          <w:szCs w:val="20"/>
        </w:rPr>
      </w:pPr>
      <w:r w:rsidRPr="00E00B35">
        <w:rPr>
          <w:szCs w:val="20"/>
        </w:rPr>
        <w:t>materiały promocyjne dla gości Prezydenta Wrocławia</w:t>
      </w:r>
    </w:p>
    <w:p w:rsidR="00B86812" w:rsidRPr="00E00B35" w:rsidRDefault="00B86812" w:rsidP="00BC64AB">
      <w:pPr>
        <w:numPr>
          <w:ilvl w:val="0"/>
          <w:numId w:val="291"/>
        </w:numPr>
        <w:spacing w:after="0" w:line="312" w:lineRule="auto"/>
        <w:ind w:left="426" w:hanging="426"/>
        <w:rPr>
          <w:szCs w:val="20"/>
        </w:rPr>
      </w:pPr>
      <w:r w:rsidRPr="00E00B35">
        <w:rPr>
          <w:szCs w:val="20"/>
        </w:rPr>
        <w:t>materiały promujące projekt odbudowy organów w bazylice św. Elżbiety.</w:t>
      </w:r>
    </w:p>
    <w:p w:rsidR="00B86812" w:rsidRPr="00E00B35" w:rsidRDefault="00B86812" w:rsidP="00E00B35">
      <w:pPr>
        <w:spacing w:after="0" w:line="312" w:lineRule="auto"/>
        <w:rPr>
          <w:rFonts w:cs="Verdana"/>
          <w:color w:val="000000"/>
          <w:szCs w:val="20"/>
        </w:rPr>
      </w:pPr>
    </w:p>
    <w:p w:rsidR="00B86812" w:rsidRPr="00E00B35" w:rsidRDefault="00B86812" w:rsidP="00E00B35">
      <w:pPr>
        <w:spacing w:after="0" w:line="312" w:lineRule="auto"/>
        <w:rPr>
          <w:szCs w:val="20"/>
        </w:rPr>
      </w:pPr>
      <w:r w:rsidRPr="00E00B35">
        <w:rPr>
          <w:szCs w:val="20"/>
        </w:rPr>
        <w:t xml:space="preserve">Wysyłka materiałów do centrali POT oraz ośrodków ZOPOT w: Amsterdamie, Paryżu, Berlinie, Madrycie oraz do ambasad RP (Norwegia, Gruzja, Włochy, Iran). </w:t>
      </w:r>
    </w:p>
    <w:p w:rsidR="00B86812" w:rsidRPr="00E00B35" w:rsidRDefault="00B86812" w:rsidP="00E00B35">
      <w:pPr>
        <w:spacing w:after="0" w:line="312" w:lineRule="auto"/>
        <w:rPr>
          <w:szCs w:val="20"/>
        </w:rPr>
      </w:pPr>
    </w:p>
    <w:p w:rsidR="00B86812" w:rsidRPr="00E00B35" w:rsidRDefault="00B86812" w:rsidP="00E00B35">
      <w:pPr>
        <w:pStyle w:val="Tekstpodstawowy3"/>
        <w:spacing w:after="0" w:line="312" w:lineRule="auto"/>
        <w:rPr>
          <w:sz w:val="20"/>
          <w:szCs w:val="20"/>
        </w:rPr>
      </w:pPr>
      <w:r w:rsidRPr="00E00B35">
        <w:rPr>
          <w:sz w:val="20"/>
          <w:szCs w:val="20"/>
        </w:rPr>
        <w:t xml:space="preserve">Oprócz materiałów do rozdawania zakupiliśmy również materiały wystawowe: 3 materiałowe ścianki łukowe Vario, 4 składane kostki reklamowe Cubo oraz </w:t>
      </w:r>
      <w:r w:rsidRPr="00E00B35">
        <w:rPr>
          <w:sz w:val="20"/>
          <w:szCs w:val="20"/>
        </w:rPr>
        <w:br/>
        <w:t>6 kubików reklamowych (prostopadłościany o wymiarach 1x1x2m).</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 xml:space="preserve">Aaaron – kopia figury znajdującej się przy organach w bazylice mniejszej </w:t>
      </w:r>
    </w:p>
    <w:p w:rsidR="00B86812" w:rsidRPr="00E00B35" w:rsidRDefault="00B86812" w:rsidP="00E00B35">
      <w:pPr>
        <w:pStyle w:val="Tekstpodstawowy"/>
        <w:spacing w:after="0" w:line="312" w:lineRule="auto"/>
        <w:rPr>
          <w:b/>
          <w:bCs/>
          <w:szCs w:val="20"/>
        </w:rPr>
      </w:pPr>
      <w:r w:rsidRPr="00E00B35">
        <w:rPr>
          <w:b/>
          <w:bCs/>
          <w:szCs w:val="20"/>
        </w:rPr>
        <w:t>750.75075.W4300+999-JUP-08 zad. BPM/B/02</w:t>
      </w:r>
    </w:p>
    <w:p w:rsidR="00B86812" w:rsidRPr="00E00B35" w:rsidRDefault="00B86812" w:rsidP="00E00B35">
      <w:pPr>
        <w:spacing w:after="0" w:line="312" w:lineRule="auto"/>
        <w:rPr>
          <w:szCs w:val="20"/>
        </w:rPr>
      </w:pPr>
      <w:r w:rsidRPr="00E00B35">
        <w:rPr>
          <w:rFonts w:cs="Verdana"/>
          <w:szCs w:val="20"/>
        </w:rPr>
        <w:t xml:space="preserve">Zamówienie 200 szt. figury Aarona, kopii figury znajdującej się </w:t>
      </w:r>
      <w:r w:rsidRPr="00E00B35">
        <w:rPr>
          <w:rFonts w:cs="Verdana"/>
          <w:szCs w:val="20"/>
        </w:rPr>
        <w:br/>
        <w:t xml:space="preserve">w odbudowywanych organach w bazylice pw. św. Elżbiety we Wrocławiu, jako </w:t>
      </w:r>
      <w:r w:rsidRPr="00E00B35">
        <w:rPr>
          <w:szCs w:val="20"/>
        </w:rPr>
        <w:t>podziękowanie za wsparcie przy odbudowie organów.</w:t>
      </w:r>
    </w:p>
    <w:p w:rsidR="00B86812" w:rsidRPr="00E00B35" w:rsidRDefault="00B86812" w:rsidP="00E00B35">
      <w:pPr>
        <w:spacing w:after="0" w:line="312" w:lineRule="auto"/>
        <w:rPr>
          <w:color w:val="000000"/>
          <w:szCs w:val="20"/>
        </w:rPr>
      </w:pPr>
      <w:r w:rsidRPr="00E00B35">
        <w:rPr>
          <w:color w:val="000000"/>
          <w:szCs w:val="20"/>
        </w:rPr>
        <w:t xml:space="preserve">  </w:t>
      </w:r>
    </w:p>
    <w:p w:rsidR="00B86812" w:rsidRPr="00E00B35" w:rsidRDefault="00B86812" w:rsidP="00E00B35">
      <w:pPr>
        <w:pStyle w:val="Nagwek4"/>
        <w:spacing w:before="0" w:after="0" w:line="312" w:lineRule="auto"/>
        <w:rPr>
          <w:sz w:val="20"/>
          <w:szCs w:val="20"/>
        </w:rPr>
      </w:pPr>
      <w:r w:rsidRPr="00E00B35">
        <w:rPr>
          <w:sz w:val="20"/>
          <w:szCs w:val="20"/>
        </w:rPr>
        <w:t>BADANIA SPOŁECZNE</w:t>
      </w:r>
    </w:p>
    <w:p w:rsidR="00B86812" w:rsidRPr="00E00B35" w:rsidRDefault="00B86812" w:rsidP="00E00B35">
      <w:pPr>
        <w:spacing w:after="0" w:line="312" w:lineRule="auto"/>
        <w:rPr>
          <w:szCs w:val="20"/>
        </w:rPr>
      </w:pPr>
      <w:r w:rsidRPr="00E00B35">
        <w:rPr>
          <w:szCs w:val="20"/>
        </w:rPr>
        <w:t>Przeprowadzenie badań dotyczących rynku ruchu turystycznego we Wrocławiu, wpływu pandemii na wielkość turystyki i porównania spadku ruchu turystycznego w największych miastach Polski.</w:t>
      </w:r>
    </w:p>
    <w:p w:rsidR="00B86812" w:rsidRPr="00E00B35" w:rsidRDefault="00B86812" w:rsidP="00E00B35">
      <w:pPr>
        <w:spacing w:after="0" w:line="312" w:lineRule="auto"/>
        <w:rPr>
          <w:szCs w:val="20"/>
        </w:rPr>
      </w:pPr>
      <w:r w:rsidRPr="00E00B35">
        <w:rPr>
          <w:szCs w:val="20"/>
        </w:rPr>
        <w:t>Rozpoczęcie prac nad opracowaniem koncepcji badań jakości ruchu turystycznego w 2021r.</w:t>
      </w:r>
    </w:p>
    <w:p w:rsidR="00B86812" w:rsidRPr="00E00B35" w:rsidRDefault="00B86812" w:rsidP="00E00B35">
      <w:pPr>
        <w:spacing w:after="0" w:line="312" w:lineRule="auto"/>
        <w:rPr>
          <w:szCs w:val="20"/>
        </w:rPr>
      </w:pPr>
      <w:r w:rsidRPr="00E00B35">
        <w:rPr>
          <w:szCs w:val="20"/>
        </w:rPr>
        <w:t>Wsparcie merytoryczne (budowa próby, budowa narzędzia badawczego, analiza danych) badań prowadzonych na zlecenie Departamentu Zrównoważonego Rozwoju w celu ewaluacji oraz podniesienia skuteczności działań kampanii „Zmień piec” we Wrocławiu.</w:t>
      </w:r>
    </w:p>
    <w:p w:rsidR="00B86812" w:rsidRPr="00E00B35" w:rsidRDefault="00B86812" w:rsidP="00E00B35">
      <w:pPr>
        <w:spacing w:after="0" w:line="312" w:lineRule="auto"/>
        <w:rPr>
          <w:b/>
          <w:szCs w:val="20"/>
        </w:rPr>
      </w:pPr>
    </w:p>
    <w:p w:rsidR="00B86812" w:rsidRPr="00E00B35" w:rsidRDefault="00B86812" w:rsidP="00E00B35">
      <w:pPr>
        <w:pStyle w:val="Nagwek5"/>
        <w:rPr>
          <w:szCs w:val="20"/>
        </w:rPr>
      </w:pPr>
      <w:r w:rsidRPr="00E00B35">
        <w:rPr>
          <w:szCs w:val="20"/>
        </w:rPr>
        <w:t xml:space="preserve">Narodowy spis rolny </w:t>
      </w:r>
    </w:p>
    <w:p w:rsidR="00B86812" w:rsidRPr="00E00B35" w:rsidRDefault="00B86812" w:rsidP="00E00B35">
      <w:pPr>
        <w:spacing w:after="0" w:line="312" w:lineRule="auto"/>
        <w:rPr>
          <w:b/>
          <w:szCs w:val="20"/>
        </w:rPr>
      </w:pPr>
      <w:r w:rsidRPr="00E00B35">
        <w:rPr>
          <w:szCs w:val="20"/>
        </w:rPr>
        <w:t>Wsparcie dla Miejskiego Biura Spisowego w promocji spisu i dotarciu do wszystkich, którzy powinni się spisać (reklamy na miejskich stronach, w MPK, w prasie bezpłatnej itp.), kontakt z WUS, raportowanie wykonanych działań.</w:t>
      </w:r>
    </w:p>
    <w:p w:rsidR="00B86812" w:rsidRPr="00E00B35" w:rsidRDefault="00B86812" w:rsidP="00E00B35">
      <w:pPr>
        <w:spacing w:after="0" w:line="312" w:lineRule="auto"/>
        <w:rPr>
          <w:b/>
          <w:szCs w:val="20"/>
        </w:rPr>
      </w:pPr>
    </w:p>
    <w:p w:rsidR="00B86812" w:rsidRPr="00E00B35" w:rsidRDefault="00B86812" w:rsidP="00E00B35">
      <w:pPr>
        <w:pStyle w:val="Nagwek3"/>
        <w:spacing w:after="0" w:line="312" w:lineRule="auto"/>
        <w:rPr>
          <w:sz w:val="20"/>
        </w:rPr>
      </w:pPr>
      <w:r w:rsidRPr="00E00B35">
        <w:rPr>
          <w:sz w:val="20"/>
        </w:rPr>
        <w:t>Biuro Zarządzania Projektami/ SmartCity (</w:t>
      </w:r>
      <w:r w:rsidR="001D7978" w:rsidRPr="00E00B35">
        <w:rPr>
          <w:sz w:val="20"/>
        </w:rPr>
        <w:t>obecnie</w:t>
      </w:r>
      <w:r w:rsidRPr="00E00B35">
        <w:rPr>
          <w:sz w:val="20"/>
        </w:rPr>
        <w:t xml:space="preserve"> część </w:t>
      </w:r>
      <w:r w:rsidR="001D7978" w:rsidRPr="00E00B35">
        <w:rPr>
          <w:sz w:val="20"/>
        </w:rPr>
        <w:t>B</w:t>
      </w:r>
      <w:r w:rsidRPr="00E00B35">
        <w:rPr>
          <w:sz w:val="20"/>
        </w:rPr>
        <w:t xml:space="preserve">iura </w:t>
      </w:r>
      <w:r w:rsidR="001D7978" w:rsidRPr="00E00B35">
        <w:rPr>
          <w:sz w:val="20"/>
        </w:rPr>
        <w:t>P</w:t>
      </w:r>
      <w:r w:rsidRPr="00E00B35">
        <w:rPr>
          <w:sz w:val="20"/>
        </w:rPr>
        <w:t>romocji)</w:t>
      </w:r>
    </w:p>
    <w:p w:rsidR="00B86812" w:rsidRPr="00E00B35" w:rsidRDefault="00B86812" w:rsidP="00E00B35">
      <w:pPr>
        <w:pStyle w:val="Nagwek4"/>
        <w:spacing w:before="0" w:after="0" w:line="312" w:lineRule="auto"/>
        <w:rPr>
          <w:sz w:val="20"/>
          <w:szCs w:val="20"/>
        </w:rPr>
      </w:pPr>
      <w:r w:rsidRPr="00E00B35">
        <w:rPr>
          <w:sz w:val="20"/>
          <w:szCs w:val="20"/>
        </w:rPr>
        <w:t>System zajętości miejsc parkingowych dla osób z niepełnosprawnościami oraz autokarów turystycznych.</w:t>
      </w:r>
    </w:p>
    <w:p w:rsidR="00B86812" w:rsidRPr="00E00B35" w:rsidRDefault="00B86812" w:rsidP="00E00B35">
      <w:pPr>
        <w:spacing w:after="0" w:line="312" w:lineRule="auto"/>
        <w:rPr>
          <w:szCs w:val="20"/>
        </w:rPr>
      </w:pPr>
      <w:r w:rsidRPr="00E00B35">
        <w:rPr>
          <w:szCs w:val="20"/>
        </w:rPr>
        <w:t xml:space="preserve">W 2020r. we współpracy z firmą T-Mobile uruchomiono system zajętości miejsc parkingowych dla pojazdów osób z niepełnosprawnościami oraz autokarów turystycznych, który umożliwia w łatwy i wygodny sposób wskazanie kierowcom oraz przewodnikom najbliższe wolne miejsce parkingowe. Bezpłatna aplikacja ParkDots stanowi zarówno wsparcie jak i uzupełnienie systemu. Głównym celem jego wprowadzenia jest poprawa bezpieczeństwa oraz podniesienie komfortu życia mieszkańców oraz turystów odwiedzających Wrocław. System wpływa na skrócenie czasu poszukiwania wolnego </w:t>
      </w:r>
      <w:r w:rsidRPr="00E00B35">
        <w:rPr>
          <w:szCs w:val="20"/>
        </w:rPr>
        <w:lastRenderedPageBreak/>
        <w:t xml:space="preserve">miejsca parkingowego, co przy okazji ogranicza zbędny ruch samochodów i autokarów w naszym mieście. Obejmuje on łącznie 220 miejsc parkingowych, w tym miejsca dla pojazdów osób z niepełnosprawnościami (postój bez ograniczeń czasowych  w wyznaczonych miejscach strefy A i B) oraz miejsca dla autokarów turystycznych: czasowe (postój do 15 minut lub 30 minut) i odstawcze (postój bez ograniczeń czasowych). System składa się z : detektorów, systemu przesyłu danych, aplikacji oraz platformy służącej wymianie danych. </w:t>
      </w:r>
    </w:p>
    <w:p w:rsidR="00B86812" w:rsidRPr="00E00B35" w:rsidRDefault="00B86812" w:rsidP="00E00B35">
      <w:pPr>
        <w:spacing w:after="0" w:line="312" w:lineRule="auto"/>
        <w:rPr>
          <w:szCs w:val="20"/>
        </w:rPr>
      </w:pPr>
      <w:r w:rsidRPr="00E00B35">
        <w:rPr>
          <w:szCs w:val="20"/>
        </w:rPr>
        <w:t xml:space="preserve">W ramach systemu uruchomiono aplikację mobilną ParkDots służącą informowaniu użytkowników o wolnych i zajętych miejscach parkingowych przeznaczonych dla pojazdów osób z niepełnosprawnościami oraz autokarów turystycznych. </w:t>
      </w:r>
    </w:p>
    <w:p w:rsidR="00B86812" w:rsidRPr="00E00B35" w:rsidRDefault="00B86812" w:rsidP="00E00B35">
      <w:pPr>
        <w:spacing w:after="0" w:line="312" w:lineRule="auto"/>
        <w:rPr>
          <w:szCs w:val="20"/>
        </w:rPr>
      </w:pPr>
      <w:r w:rsidRPr="00E00B35">
        <w:rPr>
          <w:szCs w:val="20"/>
        </w:rPr>
        <w:t>Aplikacja dostępna jest dla systemów Android oraz IOS. Można ją pobrać na oficjalnych platformach dystrybucyjnych Google Play oraz App Store. Korzystanie z niej jest darmowe, bez potrzeby rejestracji czy logowania. Działa zarówno w trybie online jak i offline. Dostępna jest w trzech wersjach językowych: polskiej, niemieckiej oraz angielskiej. Poza tym aplikacja wyposażona jest w filtry do wyszukiwania parkingów. Filtrowanie może odbywać się m.in.  po wolnych miejscach, po miejscach bezpłatnych czy po miejscach dla osób z niepełnosprawnością. Co więcej, aplikacja posiada też moduł nawigacji, który poprowadzi użytkownika do wybranego miejsca postojowego. Można tu skorzystać z różnych nawigacji (np. Google Maps) lub wykorzystać nawigację dedykowaną ParkDots.</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Zintegrowany System kolejkowy - Kompleksowe zarządzanie kolejką w Centrach Obsługi Mieszkańca.</w:t>
      </w:r>
    </w:p>
    <w:p w:rsidR="00B86812" w:rsidRPr="00E00B35" w:rsidRDefault="00B86812" w:rsidP="00E00B35">
      <w:pPr>
        <w:spacing w:after="0" w:line="312" w:lineRule="auto"/>
        <w:rPr>
          <w:szCs w:val="20"/>
        </w:rPr>
      </w:pPr>
      <w:r w:rsidRPr="00E00B35">
        <w:rPr>
          <w:szCs w:val="20"/>
        </w:rPr>
        <w:t>W 2020r. wprowadzono projekt kompleksowego zarządzania kolejką we wszystkich Centrach Obsługi Mieszkańca oraz w Centrum Obsługi Podatnika. Celem wprowadzonego systemu jest usprawnienie pracy w salach obsługi klientów oraz podniesienie jakości i efektywności usług świadczonych przez wrocławski Urząd Miasta.</w:t>
      </w:r>
    </w:p>
    <w:p w:rsidR="00B86812" w:rsidRPr="00E00B35" w:rsidRDefault="00B86812" w:rsidP="00E00B35">
      <w:pPr>
        <w:spacing w:after="0" w:line="312" w:lineRule="auto"/>
        <w:rPr>
          <w:szCs w:val="20"/>
        </w:rPr>
      </w:pPr>
      <w:r w:rsidRPr="00E00B35">
        <w:rPr>
          <w:szCs w:val="20"/>
        </w:rPr>
        <w:t>Za pośrednictwem strony bez-kolejki.um.wroc.pl mieszkańcy mogą umówić wizytę  w urzędzie bez konieczności oczekiwania w kolejce. W prosty sposób dokonają wyboru sprawy, daty oraz godziny realizacji wniosku. Uproszczony formularz rezerwacji poprowadzi klienta krok po kroku, aby w kilka minut umówić spotkanie z urzędnikiem.</w:t>
      </w:r>
    </w:p>
    <w:p w:rsidR="00B86812" w:rsidRPr="00E00B35" w:rsidRDefault="00B86812" w:rsidP="00E00B35">
      <w:pPr>
        <w:spacing w:after="0" w:line="312" w:lineRule="auto"/>
        <w:rPr>
          <w:szCs w:val="20"/>
        </w:rPr>
      </w:pPr>
      <w:r w:rsidRPr="00E00B35">
        <w:rPr>
          <w:szCs w:val="20"/>
        </w:rPr>
        <w:t xml:space="preserve">Wdrożenie systemu pozwala również na lepsze zarządzanie procesami obsługi ze strony miasta, w tym zarządzania automatami biletowymi. Dodatkowo dzięki nowemu systemowi administrator może podawać komunikaty na ekranach zamontowanych  w centrach obsługi. </w:t>
      </w:r>
    </w:p>
    <w:p w:rsidR="00B86812" w:rsidRPr="00E00B35" w:rsidRDefault="00B86812" w:rsidP="00E00B35">
      <w:pPr>
        <w:spacing w:after="0" w:line="312" w:lineRule="auto"/>
        <w:rPr>
          <w:szCs w:val="20"/>
        </w:rPr>
      </w:pPr>
      <w:r w:rsidRPr="00E00B35">
        <w:rPr>
          <w:szCs w:val="20"/>
        </w:rPr>
        <w:t xml:space="preserve">Wdrożenie zintegrowanego systemu kolejkowego dotyczy realizacji spraw mieszkańców Wrocławia w zakresie: uprawnień kierowców, rejestracji pojazdów, dowodów osobistych  i meldunków, działalności gospodarczej, podatków i opłat, architektury i budownictwa. </w:t>
      </w:r>
    </w:p>
    <w:p w:rsidR="00B86812" w:rsidRPr="00E00B35" w:rsidRDefault="00B86812" w:rsidP="00E00B35">
      <w:pPr>
        <w:spacing w:after="0" w:line="312" w:lineRule="auto"/>
        <w:rPr>
          <w:szCs w:val="20"/>
        </w:rPr>
      </w:pPr>
      <w:r w:rsidRPr="00E00B35">
        <w:rPr>
          <w:szCs w:val="20"/>
        </w:rPr>
        <w:t xml:space="preserve">System dostępny jest w trzech językach: polskim, angielskim i ukraińskim. </w:t>
      </w:r>
    </w:p>
    <w:p w:rsidR="00B86812" w:rsidRPr="00E00B35" w:rsidRDefault="00B86812" w:rsidP="00E00B35">
      <w:pPr>
        <w:spacing w:after="0" w:line="312" w:lineRule="auto"/>
        <w:rPr>
          <w:szCs w:val="20"/>
        </w:rPr>
      </w:pPr>
      <w:r w:rsidRPr="00E00B35">
        <w:rPr>
          <w:szCs w:val="20"/>
        </w:rPr>
        <w:t xml:space="preserve">Nowy system został dostosowany również do potrzeb osób z niepełnosprawnościami, zgodnie ze standardami i wytycznymi WCAG 2.1. Nowoczesne automaty biletowe ułatwiają obsługę osobom niedowidzącym, poruszającym się na wózku oraz niesłyszącym. Dodatkowo umożliwiają obsługę klientów w języku angielskim i ukraińskim </w:t>
      </w:r>
      <w:r w:rsidRPr="00E00B35">
        <w:rPr>
          <w:szCs w:val="20"/>
        </w:rPr>
        <w:lastRenderedPageBreak/>
        <w:t xml:space="preserve">– możliwa jest bowiem zmiana treści wyświetlanych na automatach biletowych, biletach  z numerem oraz komunikatach głosowych. </w:t>
      </w:r>
    </w:p>
    <w:p w:rsidR="00B86812" w:rsidRPr="00E00B35" w:rsidRDefault="00B86812" w:rsidP="00E00B35">
      <w:pPr>
        <w:spacing w:after="0" w:line="312" w:lineRule="auto"/>
        <w:rPr>
          <w:szCs w:val="20"/>
        </w:rPr>
      </w:pPr>
      <w:r w:rsidRPr="00E00B35">
        <w:rPr>
          <w:szCs w:val="20"/>
        </w:rPr>
        <w:t>Elementem uzupełniającym system kolejkowy jest wprowadzenie Elektronicznej Tablicy Ogłoszeń. Multimedialna gablota ogłoszeń umożliwia przekazywanie informacji w innowacyjny sposób- różnego rodzaju i typu ogłoszenia ułożone są w kategoriach  w postaci kafelek. Urządzenia są obecnie zainstalowane na pl. Nowy Targ oraz przy ul. Bogusławskiego 8/10.</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Współpraca z Clear Channel.</w:t>
      </w:r>
    </w:p>
    <w:p w:rsidR="00B86812" w:rsidRPr="00E00B35" w:rsidRDefault="00B86812" w:rsidP="00E00B35">
      <w:pPr>
        <w:spacing w:after="0" w:line="312" w:lineRule="auto"/>
        <w:rPr>
          <w:szCs w:val="20"/>
        </w:rPr>
      </w:pPr>
      <w:r w:rsidRPr="00E00B35">
        <w:rPr>
          <w:szCs w:val="20"/>
        </w:rPr>
        <w:t xml:space="preserve">W 2020r. gmina Wrocław nawiązała współpracę z wiodącą firmą reklamy zewnętrznej  w Polsce- Clear Channel. Jest to pierwszy w Polsce projekt tak szerokiego współdziałania miasta z dostawcą reklamy zewnętrznej. Promocja na tego typu nowoczesnych nośnikach, w najlepszych lokalizacjach wpisuje się w strategię rozwoju Wrocławia, jako inteligentnego miasta, oferującego mieszkańcom wysoką jakość życia i realizującego ideę Smart City. Spoty prezentujące inicjatywy miasta pojawiają się w ramach lokalnych   </w:t>
      </w:r>
    </w:p>
    <w:p w:rsidR="00B86812" w:rsidRPr="00E00B35" w:rsidRDefault="00B86812" w:rsidP="00E00B35">
      <w:pPr>
        <w:spacing w:after="0" w:line="312" w:lineRule="auto"/>
        <w:rPr>
          <w:szCs w:val="20"/>
        </w:rPr>
      </w:pPr>
      <w:r w:rsidRPr="00E00B35">
        <w:rPr>
          <w:szCs w:val="20"/>
        </w:rPr>
        <w:t xml:space="preserve">i ogólnopolskich kampanii, które swoim zasięgiem, oprócz Wrocławia, obejmują także: Warszawę, Trójmiasto, Poznań, Kraków, Katowice oraz Łódź. Materiały są wyświetlane na najnowocześniejszych nośnikach w bardzo atrakcyjnych lokalizacjach. </w:t>
      </w:r>
    </w:p>
    <w:p w:rsidR="00B86812" w:rsidRPr="00E00B35" w:rsidRDefault="00B86812" w:rsidP="00E00B35">
      <w:pPr>
        <w:spacing w:after="0" w:line="312" w:lineRule="auto"/>
        <w:rPr>
          <w:szCs w:val="20"/>
        </w:rPr>
      </w:pPr>
      <w:r w:rsidRPr="00E00B35">
        <w:rPr>
          <w:szCs w:val="20"/>
        </w:rPr>
        <w:t>Ekrany cyfrowe zamontowano w najlepszych lokalizacjach we Wrocławiu, dzięki nim możliwa jest elastyczność w realizacji kampanii tj. różnicowanie przekazu  w zależności od pory dnia, tygodnia. W przeciwieństwie do klasycznych nośników, ekrany cyfrowe umożliwiają natychmiastową reakcję i dostosowanie treści przekazu w zależności od wydarzeń.</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Wyposażenie autobusów w inteligentne</w:t>
      </w:r>
      <w:r w:rsidR="001D7978" w:rsidRPr="00E00B35">
        <w:rPr>
          <w:szCs w:val="20"/>
        </w:rPr>
        <w:t xml:space="preserve"> </w:t>
      </w:r>
      <w:r w:rsidRPr="00E00B35">
        <w:rPr>
          <w:szCs w:val="20"/>
        </w:rPr>
        <w:t>kamery, współpraca z firmą Karson.</w:t>
      </w:r>
    </w:p>
    <w:p w:rsidR="00B86812" w:rsidRPr="00E00B35" w:rsidRDefault="00B86812" w:rsidP="00E00B35">
      <w:pPr>
        <w:spacing w:after="0" w:line="312" w:lineRule="auto"/>
        <w:rPr>
          <w:szCs w:val="20"/>
        </w:rPr>
      </w:pPr>
      <w:r w:rsidRPr="00E00B35">
        <w:rPr>
          <w:szCs w:val="20"/>
        </w:rPr>
        <w:t>W 2020r. przeprowadzono pilotażowy program we współpracy z firmą Karson Technology- wyłącznym dystrybutorem Mobileye 8 Connect- w ramach którego dziesięć autobusów wyposażonych w inteligentne kamery jeździło stałą trasą przez okres trzech miesięcy. Zamontowane kamery umożliwiły inwentaryzację infrastruktury drogowej m.in.: sygnalizacji świetlnej, znaków drogowych czy dziur w jezdni oraz dynamiczne mapowanie mobilności pieszych i rowerzystów. Ponadto zamontowany system przyczynił się do poprawy bezpieczeństwa w ruchu drogowym ostrzegając kierowców autobusów o niebezpiecznych zdarzeniach w tzw. "martwym polu widzenia".</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Teleopieka i telemedycyna, współpraca z firmą NEUCA S.A.</w:t>
      </w:r>
    </w:p>
    <w:p w:rsidR="00B86812" w:rsidRPr="00E00B35" w:rsidRDefault="00B86812" w:rsidP="00E00B35">
      <w:pPr>
        <w:spacing w:after="0" w:line="312" w:lineRule="auto"/>
        <w:rPr>
          <w:szCs w:val="20"/>
        </w:rPr>
      </w:pPr>
      <w:r w:rsidRPr="00E00B35">
        <w:rPr>
          <w:szCs w:val="20"/>
        </w:rPr>
        <w:t xml:space="preserve">W terminie od 20.07.2020r. do końca grudnia 2020r. przeprowadzono projekt pilotażowy z zakresu teleopieki i telemedycyny realizowany w ramach programu CityLab, przy współpracy z firmą NEUCA S.A.. Projekt ten, łącząc w sobie dwa ww. obszary i wykorzystując nowoczesne rozwiązania technologiczne, dał zupełnie nową usługę, skierowaną do wszystkich tych, którzy oczekują i potrzebują opieki i pomocy bez konieczności wychodzenia z domu i bezpośredniego kontaktu z lekarzem specjalistą. Projekt składał się z trzech elementów: </w:t>
      </w:r>
    </w:p>
    <w:p w:rsidR="00B86812" w:rsidRPr="00E00B35" w:rsidRDefault="00B86812" w:rsidP="00E00B35">
      <w:pPr>
        <w:spacing w:after="0" w:line="312" w:lineRule="auto"/>
        <w:rPr>
          <w:szCs w:val="20"/>
        </w:rPr>
      </w:pPr>
      <w:r w:rsidRPr="00E00B35">
        <w:rPr>
          <w:szCs w:val="20"/>
        </w:rPr>
        <w:lastRenderedPageBreak/>
        <w:t>1)pakietu kardiologicznego- dla 25 osób w wieku 65+ ze zdiagnozowanymi problemami kardiologicznymi lub objawami chorób kardiologicznych, dostęp do usługi przez okres 2 miesięcy. W ramach pakietu pacjent otrzymał przenośne urządzenie EKG połączone z centrum telemedycznym monitorującym zapisy pochodzące z urządzenia 24h/7dni. Badanie EKG pacjent mógł wykonywać samodzielnie w ilości nielimitowanej i każdorazowo konsultować wynik badania z centrum. Dodatkowo w ramach pakietu pacjent otrzymał 3 konsultacje z lekarzem kardiologiem w celu bieżącego monitorowania stanu zdrowia i doboru odpowiedniego leczenie. W przypadku konieczności wzywania lekarza- wizyta mogła odbyć się zdalnie przez centrum telemedyczne, a w przypadku zagrożenia życia istnieje możliwość wezwania karetki pogotowia;</w:t>
      </w:r>
    </w:p>
    <w:p w:rsidR="00B86812" w:rsidRPr="00E00B35" w:rsidRDefault="00B86812" w:rsidP="00E00B35">
      <w:pPr>
        <w:spacing w:after="0" w:line="312" w:lineRule="auto"/>
        <w:rPr>
          <w:szCs w:val="20"/>
        </w:rPr>
      </w:pPr>
      <w:r w:rsidRPr="00E00B35">
        <w:rPr>
          <w:szCs w:val="20"/>
        </w:rPr>
        <w:t xml:space="preserve">2)pakietu diabetologicznego- dla 50 osób (25 osób 60+ / 25 osób bez przedziału wiekowego) ze zdiagnozowaną cukrzycą typu I i II, dostęp do usługi przez maksymalnie 3 miesiące. W ramach pakietu każdy pacjent otrzymał zestaw startowy składający się z glukometru OneTouch z glukotransmiterem oraz 3-miesięcznej opieki diabetologicznej składającej się z: 1. 6-ciu konsultacji z edukatorem diabetologicznym </w:t>
      </w:r>
    </w:p>
    <w:p w:rsidR="00B86812" w:rsidRPr="00E00B35" w:rsidRDefault="00B86812" w:rsidP="00E00B35">
      <w:pPr>
        <w:spacing w:after="0" w:line="312" w:lineRule="auto"/>
        <w:rPr>
          <w:szCs w:val="20"/>
        </w:rPr>
      </w:pPr>
      <w:r w:rsidRPr="00E00B35">
        <w:rPr>
          <w:szCs w:val="20"/>
        </w:rPr>
        <w:t xml:space="preserve">2. Ewaluacji, tj. oceny potrzeb pacjenta przez i po zakończeniu uczestnictwa w programie; </w:t>
      </w:r>
    </w:p>
    <w:p w:rsidR="00B86812" w:rsidRPr="00E00B35" w:rsidRDefault="00B86812" w:rsidP="00E00B35">
      <w:pPr>
        <w:spacing w:after="0" w:line="312" w:lineRule="auto"/>
        <w:rPr>
          <w:szCs w:val="20"/>
        </w:rPr>
      </w:pPr>
      <w:r w:rsidRPr="00E00B35">
        <w:rPr>
          <w:szCs w:val="20"/>
        </w:rPr>
        <w:t xml:space="preserve">3. Stałej systemowej automatycznej analizy wyników wraz z komunikatami SMS/PUSH po zidentyfikowaniu problemu </w:t>
      </w:r>
    </w:p>
    <w:p w:rsidR="00B86812" w:rsidRPr="00E00B35" w:rsidRDefault="00B86812" w:rsidP="00E00B35">
      <w:pPr>
        <w:spacing w:after="0" w:line="312" w:lineRule="auto"/>
        <w:rPr>
          <w:szCs w:val="20"/>
        </w:rPr>
      </w:pPr>
      <w:r w:rsidRPr="00E00B35">
        <w:rPr>
          <w:szCs w:val="20"/>
        </w:rPr>
        <w:t xml:space="preserve">4. Materiałów podsumowujących oraz zadań motywujących do wprowadzenia zmian po każdej rozmowie z edukatorem; </w:t>
      </w:r>
    </w:p>
    <w:p w:rsidR="00B86812" w:rsidRPr="00E00B35" w:rsidRDefault="00B86812" w:rsidP="00E00B35">
      <w:pPr>
        <w:spacing w:after="0" w:line="312" w:lineRule="auto"/>
        <w:rPr>
          <w:szCs w:val="20"/>
        </w:rPr>
      </w:pPr>
      <w:r w:rsidRPr="00E00B35">
        <w:rPr>
          <w:szCs w:val="20"/>
        </w:rPr>
        <w:t xml:space="preserve">5. Możliwości skorzystania z teleporady lekarskiej w przypadku pogorszenia stanu zdrowia oraz w celu otrzymania e-recepty na leki potrzebne do kontynuacji terapii; </w:t>
      </w:r>
    </w:p>
    <w:p w:rsidR="00B86812" w:rsidRPr="00E00B35" w:rsidRDefault="00B86812" w:rsidP="00E00B35">
      <w:pPr>
        <w:spacing w:after="0" w:line="312" w:lineRule="auto"/>
        <w:rPr>
          <w:szCs w:val="20"/>
        </w:rPr>
      </w:pPr>
      <w:r w:rsidRPr="00E00B35">
        <w:rPr>
          <w:szCs w:val="20"/>
        </w:rPr>
        <w:t xml:space="preserve">6. Możliwości korzystania z aplikacji mobilnej Diabdis i Portalu Pacjenta z wirtualnym dzienniczkiem wyników; </w:t>
      </w:r>
    </w:p>
    <w:p w:rsidR="00B86812" w:rsidRPr="00E00B35" w:rsidRDefault="00B86812" w:rsidP="00E00B35">
      <w:pPr>
        <w:spacing w:after="0" w:line="312" w:lineRule="auto"/>
        <w:rPr>
          <w:szCs w:val="20"/>
        </w:rPr>
      </w:pPr>
      <w:r w:rsidRPr="00E00B35">
        <w:rPr>
          <w:szCs w:val="20"/>
        </w:rPr>
        <w:t xml:space="preserve">7. Możliwości otrzymania skierowania na teleporadę  z diabetologiem; </w:t>
      </w:r>
    </w:p>
    <w:p w:rsidR="00B86812" w:rsidRPr="00E00B35" w:rsidRDefault="00B86812" w:rsidP="00E00B35">
      <w:pPr>
        <w:spacing w:after="0" w:line="312" w:lineRule="auto"/>
        <w:rPr>
          <w:szCs w:val="20"/>
        </w:rPr>
      </w:pPr>
      <w:r w:rsidRPr="00E00B35">
        <w:rPr>
          <w:szCs w:val="20"/>
        </w:rPr>
        <w:t xml:space="preserve">8. Możliwości rezerwacji leków w aptece z poziomu aplikacji;      </w:t>
      </w:r>
    </w:p>
    <w:p w:rsidR="00B86812" w:rsidRPr="00E00B35" w:rsidRDefault="00B86812" w:rsidP="00E00B35">
      <w:pPr>
        <w:spacing w:after="0" w:line="312" w:lineRule="auto"/>
        <w:rPr>
          <w:szCs w:val="20"/>
        </w:rPr>
      </w:pPr>
      <w:r w:rsidRPr="00E00B35">
        <w:rPr>
          <w:szCs w:val="20"/>
        </w:rPr>
        <w:t>9. Stałego dostępu do pomocy technicznej (infolinia dla pacjenta);</w:t>
      </w:r>
    </w:p>
    <w:p w:rsidR="00B86812" w:rsidRPr="00E00B35" w:rsidRDefault="00B86812" w:rsidP="00E00B35">
      <w:pPr>
        <w:spacing w:after="0" w:line="312" w:lineRule="auto"/>
        <w:rPr>
          <w:szCs w:val="20"/>
        </w:rPr>
      </w:pPr>
      <w:r w:rsidRPr="00E00B35">
        <w:rPr>
          <w:szCs w:val="20"/>
        </w:rPr>
        <w:t>3)pakietu teleopieki senioralnej- dedykowanego podopiecznym Dziennego Domu Pomocy Społecznej na ul. Ciepłej, podopiecznym Ekumenicznej Stacji Opieki oraz Seniorom posiadającym Szmaragdową Kartę Seniora. Pakiet był przewidziany dla maksymalnie 35 osób w wieku 65+ (10 osób z domowymi terminalami głośnomówiącymi z łącznikiem z centrum alarmowym oraz przyciskiem alarmowym w formie bransolety lub wisiorka i 25 osób z tzw. opaskami życia firmy Sidly) przez okres  maksymalnie 3 miesięcy.</w:t>
      </w:r>
    </w:p>
    <w:p w:rsidR="00B86812" w:rsidRPr="00E00B35" w:rsidRDefault="00B86812" w:rsidP="00E00B35">
      <w:pPr>
        <w:spacing w:after="0" w:line="312" w:lineRule="auto"/>
        <w:rPr>
          <w:szCs w:val="20"/>
        </w:rPr>
      </w:pPr>
      <w:r w:rsidRPr="00E00B35">
        <w:rPr>
          <w:szCs w:val="20"/>
        </w:rPr>
        <w:t xml:space="preserve">Pacjenci, którzy w ramach pilotażu zostali wyposażeni w terminal wraz </w:t>
      </w:r>
    </w:p>
    <w:p w:rsidR="00B86812" w:rsidRPr="00E00B35" w:rsidRDefault="00B86812" w:rsidP="00E00B35">
      <w:pPr>
        <w:spacing w:after="0" w:line="312" w:lineRule="auto"/>
        <w:rPr>
          <w:szCs w:val="20"/>
        </w:rPr>
      </w:pPr>
      <w:r w:rsidRPr="00E00B35">
        <w:rPr>
          <w:szCs w:val="20"/>
        </w:rPr>
        <w:t xml:space="preserve">z przyciskiem alarmowym byli objęci tzw. Teleopieką Plus, czyli usługą świadczoną przez zespół opiekunów Centrum Telespołecznego działającego 24h/7dni. Usługa ta koncentrowała się m.in. na organizacji pomocy w sytuacjach stresu, lęku, potrzeby rozmowy, poczucia samotności, wyizolowania społecznego, sytuacjach codziennego życia trudnych dla pacjentów </w:t>
      </w:r>
    </w:p>
    <w:p w:rsidR="00B86812" w:rsidRPr="00E00B35" w:rsidRDefault="00B86812" w:rsidP="00E00B35">
      <w:pPr>
        <w:spacing w:after="0" w:line="312" w:lineRule="auto"/>
        <w:rPr>
          <w:szCs w:val="20"/>
        </w:rPr>
      </w:pPr>
      <w:r w:rsidRPr="00E00B35">
        <w:rPr>
          <w:szCs w:val="20"/>
        </w:rPr>
        <w:t xml:space="preserve">i wymagających wsparcia osoby trzeciej. TeleOpiekunowie kontaktowali się z pacjentami, by podtrzymać stały kontakt, przypomnieć o zażywaniu leków, motywować do kontaktów z otoczeniem, czy uspokoić przed stresującymi wydarzeniami. Pacjenci kontaktowali się z </w:t>
      </w:r>
      <w:r w:rsidRPr="00E00B35">
        <w:rPr>
          <w:szCs w:val="20"/>
        </w:rPr>
        <w:lastRenderedPageBreak/>
        <w:t xml:space="preserve">Centrum Telespołecznym przede wszystkim w sytuacji, gdy potrzebne było przekierowanie rozmowy do Centrum Telemedycznego na telekonsultację z ratownikiem medycznym lub lekarzem. </w:t>
      </w:r>
    </w:p>
    <w:p w:rsidR="00B86812" w:rsidRPr="00E00B35" w:rsidRDefault="00B86812" w:rsidP="00E00B35">
      <w:pPr>
        <w:spacing w:after="0" w:line="312" w:lineRule="auto"/>
        <w:rPr>
          <w:szCs w:val="20"/>
        </w:rPr>
      </w:pPr>
      <w:r w:rsidRPr="00E00B35">
        <w:rPr>
          <w:szCs w:val="20"/>
        </w:rPr>
        <w:t xml:space="preserve">W razie zagrożenia życia lub zdrowia Centrum Telespołeczne podejmowało kontakt ze służbami ratunkowymi.Natomiast pacjenci, którzy w ramach pilotażu zostali wyposażeni w opaskę telemedyczną firmy Sidly, zostali objęci tzw. Teleopieką SOS, czyli usługą świadczoną przez zespół wykwalifikowanych ratowników medycznych centrum Telemedycznego, działającego 24h/7dni. Usługa ta koncentrowała się przede wszystkim na: </w:t>
      </w:r>
    </w:p>
    <w:p w:rsidR="00B86812" w:rsidRPr="00E00B35" w:rsidRDefault="00B86812" w:rsidP="00E00B35">
      <w:pPr>
        <w:spacing w:after="0" w:line="312" w:lineRule="auto"/>
        <w:rPr>
          <w:szCs w:val="20"/>
        </w:rPr>
      </w:pPr>
      <w:r w:rsidRPr="00E00B35">
        <w:rPr>
          <w:szCs w:val="20"/>
        </w:rPr>
        <w:t xml:space="preserve">1. Organizacji pomocy w sytuacjach zagrożenia życia lub zdrowia; </w:t>
      </w:r>
    </w:p>
    <w:p w:rsidR="00B86812" w:rsidRPr="00E00B35" w:rsidRDefault="00B86812" w:rsidP="00E00B35">
      <w:pPr>
        <w:spacing w:after="0" w:line="312" w:lineRule="auto"/>
        <w:rPr>
          <w:szCs w:val="20"/>
        </w:rPr>
      </w:pPr>
      <w:r w:rsidRPr="00E00B35">
        <w:rPr>
          <w:szCs w:val="20"/>
        </w:rPr>
        <w:t xml:space="preserve">2. Centrum Telemedyczne nie kontaktowało się z pacjentami, poza koniecznymi interwencjami; </w:t>
      </w:r>
    </w:p>
    <w:p w:rsidR="00B86812" w:rsidRPr="00E00B35" w:rsidRDefault="00B86812" w:rsidP="00E00B35">
      <w:pPr>
        <w:spacing w:after="0" w:line="312" w:lineRule="auto"/>
        <w:rPr>
          <w:szCs w:val="20"/>
        </w:rPr>
      </w:pPr>
      <w:r w:rsidRPr="00E00B35">
        <w:rPr>
          <w:szCs w:val="20"/>
        </w:rPr>
        <w:t xml:space="preserve">3. W ramach usługi pacjenci mogli skorzystać z Telekonsultacji lekarskiej; </w:t>
      </w:r>
    </w:p>
    <w:p w:rsidR="00B86812" w:rsidRPr="00E00B35" w:rsidRDefault="00B86812" w:rsidP="00E00B35">
      <w:pPr>
        <w:spacing w:after="0" w:line="312" w:lineRule="auto"/>
        <w:rPr>
          <w:szCs w:val="20"/>
        </w:rPr>
      </w:pPr>
      <w:r w:rsidRPr="00E00B35">
        <w:rPr>
          <w:szCs w:val="20"/>
        </w:rPr>
        <w:t xml:space="preserve">4. Centrum Telespołeczne kontaktowało się z pacjentami wyłącznie w ramach telemonitoringu korzystania z opaski. </w:t>
      </w:r>
    </w:p>
    <w:p w:rsidR="00B86812" w:rsidRPr="00E00B35" w:rsidRDefault="00B86812" w:rsidP="00E00B35">
      <w:pPr>
        <w:spacing w:after="0" w:line="312" w:lineRule="auto"/>
        <w:rPr>
          <w:szCs w:val="20"/>
        </w:rPr>
      </w:pPr>
      <w:r w:rsidRPr="00E00B35">
        <w:rPr>
          <w:szCs w:val="20"/>
        </w:rPr>
        <w:t>W przeciwieństwie do Teleopieki Plus Teleopieka SOS nie zapewniała uczestnikom pilotażu połączeń towarzyskich i psychologicznych. Miała ona raczej charakter telemedyczny. Udział w projekcie pilotażowym był dla uczestników całkowicie bezpłatny, a jego głównym celem było zebranie informacji dotyczących zasadności i skuteczności wprowadzenia w mieście nowoczesnych rozwiązań teleopiekuńczych i telemedycznych na szeroką skalę.</w:t>
      </w:r>
    </w:p>
    <w:p w:rsidR="00B86812" w:rsidRPr="00E00B35" w:rsidRDefault="00B86812" w:rsidP="00E00B35">
      <w:pPr>
        <w:spacing w:after="0" w:line="312" w:lineRule="auto"/>
        <w:rPr>
          <w:szCs w:val="20"/>
        </w:rPr>
      </w:pPr>
      <w:r w:rsidRPr="00E00B35">
        <w:rPr>
          <w:szCs w:val="20"/>
        </w:rPr>
        <w:t>Wyniki przeprowadzonego pilotażu w zakresie pakietów: kardiologicznego oraz teleopieki senioralnej są bardzo zadowalające. Wdrożone systemy przez 85% osób biorących udział w programie zostały ocenione bardzo dobrze, dla 92% osób konsultacje z lekarzami spełniły oczekiwania, a 100% osób było zadowolonych z jakości obsługi personelu. Z przeprowadzonych ankiet satysfakcji wśród pacjentów wynika, że 96% z nich uważa, że telemedycyna może zwiększyć poczucie bezpieczeństwa w chorobie.</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Współpraca z Med Systems Group S.A. bezprzewodowy aparat KTG.</w:t>
      </w:r>
    </w:p>
    <w:p w:rsidR="00B86812" w:rsidRPr="00E00B35" w:rsidRDefault="00B86812" w:rsidP="00E00B35">
      <w:pPr>
        <w:spacing w:after="0" w:line="312" w:lineRule="auto"/>
        <w:rPr>
          <w:szCs w:val="20"/>
        </w:rPr>
      </w:pPr>
      <w:r w:rsidRPr="00E00B35">
        <w:rPr>
          <w:szCs w:val="20"/>
        </w:rPr>
        <w:t xml:space="preserve">Rok 2020r. był trudny pod wieloma względami. Byliśmy zmuszeni radzić sobie z sytuacjami, które do tej pory nie miały miejsca. Szczególnej opieki wymagały kobiety   w ciąży, którym sytuacja epidemiologiczna nie ułatwiała korzystania z opieki medycznej. Gmina Wrocław wychodząc naprzeciw oczekiwaniom przyszłych mam rozpoczęła współpracę z firmą Med Systems Group S.A., w ramach której nieodpłatnie przekazano 10 przenośnych urządzeń KTG, z których mogły rotacyjnie korzystać kobiety po 32 tygodniu ciąży ( w szczególności przebywające na kwarantannie oraz te, które według priorytetów medycznych wymagają częstego badania KTG), przez okres od 9 kwietnia 2020r. do końca lipca 2020r. Dzięki udostępnionym urządzeniom kobiety mogły samodzielnie wykonywać badanie w domu, na podstawie analizy sygnałów ultradźwiękowych, jego jakość porównywalna jest do najlepszych urządzeń stacjonarnych w szpitalach i gabinetach lekarskich i jest jakością kliniczną. Przeprowadzenie badania jest proste i intuicyjne, aparat pracujący w systemie bellyOn jest detektorem akcji serca płodu - pozwala na wysłuchanie akcji serca płodu w dowolnym momencie w okresie </w:t>
      </w:r>
      <w:r w:rsidRPr="00E00B35">
        <w:rPr>
          <w:szCs w:val="20"/>
        </w:rPr>
        <w:lastRenderedPageBreak/>
        <w:t xml:space="preserve">trwania usługi. Badanie trwa 30 minut i jest bezpieczne dla płodu. Wynik badania ocenia zdalnie położna z Centrum Monitoringu Położniczego (działającego całodobowo), która w przypadku nieprawidłowości od razu skontaktuje się z ciężarną. BellyOn to usługa         z certyfikowanym, zarejestrowanym systemem telemedycznym. System ten umożliwia wykonywanie badania KTG monitorującego czynność serca i ruchy płodu, oraz czynność skurczową mięśnia macicy w jakości klinicznej w warunkach domowych. Jest to pierwsza na świecie w pełni telemedyczna procedura. </w:t>
      </w:r>
    </w:p>
    <w:p w:rsidR="00B86812" w:rsidRPr="00E00B35" w:rsidRDefault="00B86812" w:rsidP="00E00B35">
      <w:pPr>
        <w:spacing w:after="0" w:line="312" w:lineRule="auto"/>
        <w:rPr>
          <w:szCs w:val="20"/>
        </w:rPr>
      </w:pPr>
      <w:r w:rsidRPr="00E00B35">
        <w:rPr>
          <w:szCs w:val="20"/>
        </w:rPr>
        <w:t>Urządzenie działa w systemie BellyOn obejmującym aplikację na urządzenia mobilne, która zintegrowana jest z Komputerowym Systemem Nadzoru Położniczego. Takie rozwiązanie umożliwia uzyskanie natychmiastowej cyfrowej interpretacji zapisu KTG w warunkach zdalnych.</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RoboSfera</w:t>
      </w:r>
    </w:p>
    <w:p w:rsidR="00B86812" w:rsidRPr="00E00B35" w:rsidRDefault="00B86812" w:rsidP="00E00B35">
      <w:pPr>
        <w:spacing w:after="0" w:line="312" w:lineRule="auto"/>
        <w:rPr>
          <w:szCs w:val="20"/>
        </w:rPr>
      </w:pPr>
      <w:r w:rsidRPr="00E00B35">
        <w:rPr>
          <w:szCs w:val="20"/>
        </w:rPr>
        <w:t>W kwietniu 2019r. rozpoczęto projekt RoboSfera bezBarier we współpracy z firmą Planeta Robotów dedykowany dzieciom z rożnymi stopniami niepełnosprawności,  m.in. autyzmem i Zespołem Aspergera, niepełnosprawnością ruchową, afazją, niepełnosprawnością intelektualną, z chorobami genetycznymi czy dzieciom niewidomym oraz głuchym. Na zajęciach dzieci z pomocą instruktorów tworzyły m.in. mobilne łaziki marsjańskie. Program cieszył się zainteresowaniem ze strony dzieci, które chętnie angażowały się w tworzenie robotów z klocków. W październiku 2020 planowano uruchomienie drugiego etapu programu, jednak z uwagi na pandemię termin przesunięto na maj 2021r. . Planowane zakończenie projektu przewidziano na czerwiec 2021r. .</w:t>
      </w:r>
    </w:p>
    <w:p w:rsidR="00B86812" w:rsidRPr="00E00B35" w:rsidRDefault="00B86812" w:rsidP="00E00B35">
      <w:pPr>
        <w:spacing w:after="0" w:line="312" w:lineRule="auto"/>
        <w:rPr>
          <w:szCs w:val="20"/>
        </w:rPr>
      </w:pPr>
      <w:r w:rsidRPr="00E00B35">
        <w:rPr>
          <w:szCs w:val="20"/>
        </w:rPr>
        <w:t>W 2019 roku rozpoczęto projekt RoboSfera bezGranic we współpracy z firmą Roboklocki, dzięki któremu ok. 300 dzieci mogło skorzystać z bezpłatnych zajęć programowania robotów. Celem projektu była możliwość integracji dzieci pochodzących    z różnych stron świata mieszkających we Wrocławiu, które często poprzez ograniczenia kulturowe czy językowe nie mogą korzystać z takich zajęć. Projekt zakończył się w styczniu 2020 roku.</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Wrocław bada ruch</w:t>
      </w:r>
    </w:p>
    <w:p w:rsidR="00B86812" w:rsidRPr="00E00B35" w:rsidRDefault="00B86812" w:rsidP="00E00B35">
      <w:pPr>
        <w:spacing w:after="0" w:line="312" w:lineRule="auto"/>
        <w:rPr>
          <w:szCs w:val="20"/>
        </w:rPr>
      </w:pPr>
      <w:r w:rsidRPr="00E00B35">
        <w:rPr>
          <w:szCs w:val="20"/>
        </w:rPr>
        <w:t>W 2020 roku zakończono współpracę z firmą Smart Citizen, w ramach której przeprowadzono pilotażowy projekt dotyczący badania ruchu na wrocławskim osiedlu Gądów- Popowice Południowe trwający od 28 października 2019r. do 28 listopada 2019r.</w:t>
      </w:r>
    </w:p>
    <w:p w:rsidR="00B86812" w:rsidRPr="00E00B35" w:rsidRDefault="00B86812" w:rsidP="00E00B35">
      <w:pPr>
        <w:spacing w:after="0" w:line="312" w:lineRule="auto"/>
        <w:rPr>
          <w:szCs w:val="20"/>
        </w:rPr>
      </w:pPr>
      <w:r w:rsidRPr="00E00B35">
        <w:rPr>
          <w:szCs w:val="20"/>
        </w:rPr>
        <w:t>Celem projektu było przetestowanie nowej technologii przeprowadzania tego typu badań, a także zapoznanie się z oceną wrocławian odnośnie sposobu przeprowadzania badań. Projekt planowano rozszerzyć na całe miasto, jednak niespodziewany początek pandemii oraz zalecenia pozostania w domu, a tym samym zmniejszony ruch w mieście, wstrzymały jego kontynuację.</w:t>
      </w:r>
    </w:p>
    <w:p w:rsidR="00B86812" w:rsidRPr="00E00B35" w:rsidRDefault="00B86812" w:rsidP="00E00B35">
      <w:pPr>
        <w:spacing w:after="0" w:line="312" w:lineRule="auto"/>
        <w:rPr>
          <w:szCs w:val="20"/>
        </w:rPr>
      </w:pPr>
    </w:p>
    <w:p w:rsidR="00B86812" w:rsidRPr="00E00B35" w:rsidRDefault="00B86812" w:rsidP="00E00B35">
      <w:pPr>
        <w:pStyle w:val="Nagwek3"/>
        <w:spacing w:after="0" w:line="312" w:lineRule="auto"/>
        <w:rPr>
          <w:sz w:val="20"/>
        </w:rPr>
      </w:pPr>
      <w:r w:rsidRPr="00E00B35">
        <w:rPr>
          <w:rStyle w:val="Pogrubienie"/>
          <w:b/>
          <w:bCs/>
          <w:sz w:val="20"/>
        </w:rPr>
        <w:t>Wydział Komunikacji Społecznej</w:t>
      </w:r>
      <w:r w:rsidRPr="00E00B35">
        <w:rPr>
          <w:sz w:val="20"/>
        </w:rPr>
        <w:t xml:space="preserve"> </w:t>
      </w:r>
      <w:r w:rsidRPr="00E00B35">
        <w:rPr>
          <w:rStyle w:val="Pogrubienie"/>
          <w:b/>
          <w:bCs/>
          <w:sz w:val="20"/>
        </w:rPr>
        <w:t>realizuje zadania z zakresu:</w:t>
      </w:r>
    </w:p>
    <w:p w:rsidR="00B86812" w:rsidRPr="00E00B35" w:rsidRDefault="00B86812" w:rsidP="00BC64AB">
      <w:pPr>
        <w:numPr>
          <w:ilvl w:val="0"/>
          <w:numId w:val="291"/>
        </w:numPr>
        <w:spacing w:after="0" w:line="312" w:lineRule="auto"/>
        <w:ind w:left="426" w:hanging="426"/>
        <w:rPr>
          <w:szCs w:val="20"/>
        </w:rPr>
      </w:pPr>
      <w:r w:rsidRPr="00E00B35">
        <w:rPr>
          <w:szCs w:val="20"/>
        </w:rPr>
        <w:t>prowadzenia polityki informacyjnej Miasta, również w zakresie public relations;</w:t>
      </w:r>
    </w:p>
    <w:p w:rsidR="00B86812" w:rsidRPr="00E00B35" w:rsidRDefault="00B86812" w:rsidP="00BC64AB">
      <w:pPr>
        <w:numPr>
          <w:ilvl w:val="0"/>
          <w:numId w:val="291"/>
        </w:numPr>
        <w:spacing w:after="0" w:line="312" w:lineRule="auto"/>
        <w:ind w:left="426" w:hanging="426"/>
        <w:rPr>
          <w:szCs w:val="20"/>
        </w:rPr>
      </w:pPr>
      <w:r w:rsidRPr="00E00B35">
        <w:rPr>
          <w:szCs w:val="20"/>
        </w:rPr>
        <w:t>pozyskiwania bieżących informacji dla mieszkańców w sprawach Miasta;</w:t>
      </w:r>
    </w:p>
    <w:p w:rsidR="00B86812" w:rsidRPr="00E00B35" w:rsidRDefault="00B86812" w:rsidP="00BC64AB">
      <w:pPr>
        <w:numPr>
          <w:ilvl w:val="0"/>
          <w:numId w:val="291"/>
        </w:numPr>
        <w:spacing w:after="0" w:line="312" w:lineRule="auto"/>
        <w:ind w:left="426" w:hanging="426"/>
        <w:rPr>
          <w:szCs w:val="20"/>
        </w:rPr>
      </w:pPr>
      <w:r w:rsidRPr="00E00B35">
        <w:rPr>
          <w:szCs w:val="20"/>
        </w:rPr>
        <w:t>prowadzenia oficjalnych profili na portalach społecznościowych;</w:t>
      </w:r>
    </w:p>
    <w:p w:rsidR="00B86812" w:rsidRPr="00E00B35" w:rsidRDefault="00B86812" w:rsidP="00BC64AB">
      <w:pPr>
        <w:numPr>
          <w:ilvl w:val="0"/>
          <w:numId w:val="291"/>
        </w:numPr>
        <w:spacing w:after="0" w:line="312" w:lineRule="auto"/>
        <w:ind w:left="426" w:hanging="426"/>
        <w:rPr>
          <w:szCs w:val="20"/>
        </w:rPr>
      </w:pPr>
      <w:r w:rsidRPr="00E00B35">
        <w:rPr>
          <w:szCs w:val="20"/>
        </w:rPr>
        <w:lastRenderedPageBreak/>
        <w:t>prowadzenia działań promocyjnych Miasta z wykorzystaniem nowoczesnych narzędzi teleinformatycznych;</w:t>
      </w:r>
    </w:p>
    <w:p w:rsidR="00B86812" w:rsidRPr="00E00B35" w:rsidRDefault="00B86812" w:rsidP="00BC64AB">
      <w:pPr>
        <w:numPr>
          <w:ilvl w:val="0"/>
          <w:numId w:val="291"/>
        </w:numPr>
        <w:spacing w:after="0" w:line="312" w:lineRule="auto"/>
        <w:ind w:left="426" w:hanging="426"/>
        <w:rPr>
          <w:szCs w:val="20"/>
        </w:rPr>
      </w:pPr>
      <w:r w:rsidRPr="00E00B35">
        <w:rPr>
          <w:szCs w:val="20"/>
        </w:rPr>
        <w:t>współpracy z przedstawicielami środków masowego przekazu;</w:t>
      </w:r>
    </w:p>
    <w:p w:rsidR="00B86812" w:rsidRPr="00E00B35" w:rsidRDefault="00B86812" w:rsidP="00BC64AB">
      <w:pPr>
        <w:numPr>
          <w:ilvl w:val="0"/>
          <w:numId w:val="291"/>
        </w:numPr>
        <w:spacing w:after="0" w:line="312" w:lineRule="auto"/>
        <w:ind w:left="426" w:hanging="426"/>
        <w:rPr>
          <w:szCs w:val="20"/>
        </w:rPr>
      </w:pPr>
      <w:r w:rsidRPr="00E00B35">
        <w:rPr>
          <w:szCs w:val="20"/>
        </w:rPr>
        <w:t>współpracy z komórkami organizacyjnymi Urzędu oraz miejskimi jednostkami organizacyjnymi i innymi podmiotami w zakresie udostępniania danych liczbowych, informacji statystycznych oraz innych materiałów służbowych o charakterze jawnym dotyczącymi działalności Urzędu i Miasta;</w:t>
      </w:r>
    </w:p>
    <w:p w:rsidR="00B86812" w:rsidRPr="00E00B35" w:rsidRDefault="00B86812" w:rsidP="00BC64AB">
      <w:pPr>
        <w:numPr>
          <w:ilvl w:val="0"/>
          <w:numId w:val="291"/>
        </w:numPr>
        <w:spacing w:after="0" w:line="312" w:lineRule="auto"/>
        <w:ind w:left="426" w:hanging="426"/>
        <w:rPr>
          <w:szCs w:val="20"/>
        </w:rPr>
      </w:pPr>
      <w:r w:rsidRPr="00E00B35">
        <w:rPr>
          <w:szCs w:val="20"/>
        </w:rPr>
        <w:t>prowadzenie polityki informacyjnej skierowanej do pracowników Urzędu w ramach komunikacji wewnętrznej, w tym organizowanie spotkań, redagowanie komunikatów, pozyskiwanie i dystrybucja informacji na potrzeby pracowników Urzędu oraz współpraca w tym zakresie z innymi komórkami organizacyjnymi;</w:t>
      </w:r>
    </w:p>
    <w:p w:rsidR="00B86812" w:rsidRPr="00E00B35" w:rsidRDefault="00B86812" w:rsidP="00BC64AB">
      <w:pPr>
        <w:numPr>
          <w:ilvl w:val="0"/>
          <w:numId w:val="291"/>
        </w:numPr>
        <w:spacing w:after="0" w:line="312" w:lineRule="auto"/>
        <w:ind w:left="426" w:hanging="426"/>
        <w:rPr>
          <w:szCs w:val="20"/>
        </w:rPr>
      </w:pPr>
      <w:r w:rsidRPr="00E00B35">
        <w:rPr>
          <w:szCs w:val="20"/>
        </w:rPr>
        <w:t>archiwizowanie materiałów fotograficznych dotyczących pracy Prezydenta;</w:t>
      </w:r>
    </w:p>
    <w:p w:rsidR="00B86812" w:rsidRPr="00E00B35" w:rsidRDefault="00B86812" w:rsidP="00BC64AB">
      <w:pPr>
        <w:numPr>
          <w:ilvl w:val="0"/>
          <w:numId w:val="291"/>
        </w:numPr>
        <w:spacing w:after="0" w:line="312" w:lineRule="auto"/>
        <w:ind w:left="426" w:hanging="426"/>
        <w:rPr>
          <w:szCs w:val="20"/>
        </w:rPr>
      </w:pPr>
      <w:r w:rsidRPr="00E00B35">
        <w:rPr>
          <w:szCs w:val="20"/>
        </w:rPr>
        <w:t>prowadzenia analiz oraz opracowywania nowych sposobów promowania Wrocławia za pomocą nowoczesnych systemów teleinformatycznych.</w:t>
      </w:r>
    </w:p>
    <w:p w:rsidR="00B86812" w:rsidRPr="00E00B35" w:rsidRDefault="00B86812" w:rsidP="00E00B35">
      <w:pPr>
        <w:spacing w:after="0" w:line="312" w:lineRule="auto"/>
        <w:rPr>
          <w:rStyle w:val="Pogrubienie"/>
          <w:rFonts w:eastAsia="font415" w:cs="Tahoma"/>
          <w:b w:val="0"/>
          <w:szCs w:val="20"/>
          <w:bdr w:val="none" w:sz="0" w:space="0" w:color="auto" w:frame="1"/>
        </w:rPr>
      </w:pPr>
    </w:p>
    <w:p w:rsidR="00B86812" w:rsidRPr="00E00B35" w:rsidRDefault="00B86812" w:rsidP="00E00B35">
      <w:pPr>
        <w:spacing w:after="0" w:line="312" w:lineRule="auto"/>
        <w:rPr>
          <w:rStyle w:val="Pogrubienie"/>
          <w:rFonts w:eastAsia="font415" w:cs="Tahoma"/>
          <w:b w:val="0"/>
          <w:szCs w:val="20"/>
          <w:bdr w:val="none" w:sz="0" w:space="0" w:color="auto" w:frame="1"/>
        </w:rPr>
      </w:pPr>
      <w:r w:rsidRPr="00E00B35">
        <w:rPr>
          <w:rStyle w:val="Pogrubienie"/>
          <w:rFonts w:eastAsia="font415" w:cs="Tahoma"/>
          <w:b w:val="0"/>
          <w:szCs w:val="20"/>
          <w:bdr w:val="none" w:sz="0" w:space="0" w:color="auto" w:frame="1"/>
        </w:rPr>
        <w:t>Realizując powyższe działania, zwłaszcza z zakresu współpracy z dziennikarzami, Wydział udzielił w 2020 roku ok. 2 tys. odpowiedzi na zapytania mediów redakcji lokalnych,  krajowych, jak i także zagranicznych. W tej puli znajdują się nagrania dla stacji telewizyjnych, stacji radiowych, odpowiedzi na maile i telefony z redakcji gazet oraz portali internetowych. W całym 2020 roku ze skrzynki mailowej Wydziału do mediów wysłanych zostało ok. 960 komunikatów dotyczących pracy poszczególnych Departamentów, Wydziałów i oczywiście Prezydenta Wrocławia.</w:t>
      </w:r>
    </w:p>
    <w:p w:rsidR="00B86812" w:rsidRPr="00E00B35" w:rsidRDefault="00B86812" w:rsidP="00E00B35">
      <w:pPr>
        <w:spacing w:after="0" w:line="312" w:lineRule="auto"/>
        <w:rPr>
          <w:rStyle w:val="Pogrubienie"/>
          <w:rFonts w:eastAsia="font415" w:cs="Tahoma"/>
          <w:b w:val="0"/>
          <w:szCs w:val="20"/>
          <w:bdr w:val="none" w:sz="0" w:space="0" w:color="auto" w:frame="1"/>
        </w:rPr>
      </w:pPr>
    </w:p>
    <w:p w:rsidR="00B86812" w:rsidRPr="00E00B35" w:rsidRDefault="00B86812" w:rsidP="00E00B35">
      <w:pPr>
        <w:spacing w:after="0" w:line="312" w:lineRule="auto"/>
        <w:rPr>
          <w:rStyle w:val="Pogrubienie"/>
          <w:rFonts w:eastAsia="font415" w:cs="Tahoma"/>
          <w:b w:val="0"/>
          <w:szCs w:val="20"/>
          <w:bdr w:val="none" w:sz="0" w:space="0" w:color="auto" w:frame="1"/>
        </w:rPr>
      </w:pPr>
      <w:r w:rsidRPr="00E00B35">
        <w:rPr>
          <w:rStyle w:val="Pogrubienie"/>
          <w:rFonts w:eastAsia="font415" w:cs="Tahoma"/>
          <w:b w:val="0"/>
          <w:szCs w:val="20"/>
          <w:bdr w:val="none" w:sz="0" w:space="0" w:color="auto" w:frame="1"/>
        </w:rPr>
        <w:t>Współpracując z</w:t>
      </w:r>
      <w:r w:rsidRPr="00E00B35">
        <w:rPr>
          <w:szCs w:val="20"/>
        </w:rPr>
        <w:t xml:space="preserve"> komórkami organizacyjnymi Urzędu oraz miejskimi jednostkami organizacyjnymi i spółkami Wydział zorganizował, bądź współorganizował niemal 200 konferencji prasowych i briefingów.</w:t>
      </w:r>
    </w:p>
    <w:p w:rsidR="00B86812" w:rsidRPr="00E00B35" w:rsidRDefault="00B86812" w:rsidP="00E00B35">
      <w:pPr>
        <w:spacing w:after="0" w:line="312" w:lineRule="auto"/>
        <w:rPr>
          <w:rStyle w:val="Pogrubienie"/>
          <w:rFonts w:eastAsia="font415" w:cs="Tahoma"/>
          <w:b w:val="0"/>
          <w:szCs w:val="20"/>
          <w:bdr w:val="none" w:sz="0" w:space="0" w:color="auto" w:frame="1"/>
        </w:rPr>
      </w:pPr>
    </w:p>
    <w:p w:rsidR="00B86812" w:rsidRPr="00E00B35" w:rsidRDefault="00B86812" w:rsidP="00E00B35">
      <w:pPr>
        <w:spacing w:after="0" w:line="312" w:lineRule="auto"/>
        <w:rPr>
          <w:rStyle w:val="Pogrubienie"/>
          <w:rFonts w:eastAsia="font415" w:cs="Tahoma"/>
          <w:b w:val="0"/>
          <w:szCs w:val="20"/>
          <w:bdr w:val="none" w:sz="0" w:space="0" w:color="auto" w:frame="1"/>
        </w:rPr>
      </w:pPr>
      <w:r w:rsidRPr="00E00B35">
        <w:rPr>
          <w:rStyle w:val="Pogrubienie"/>
          <w:rFonts w:eastAsia="font415" w:cs="Tahoma"/>
          <w:b w:val="0"/>
          <w:szCs w:val="20"/>
          <w:bdr w:val="none" w:sz="0" w:space="0" w:color="auto" w:frame="1"/>
        </w:rPr>
        <w:t xml:space="preserve">Te wszystkie działania znalazły swoje odbicie w mediach. W 2020 r. zarówno w mediach lokalnych, krajowych, jak i światowych znalazły się tysiące publikacji dotyczących działań  realizowanych we Wrocławiu. </w:t>
      </w:r>
    </w:p>
    <w:p w:rsidR="00B86812" w:rsidRPr="00E00B35" w:rsidRDefault="00B86812" w:rsidP="00E00B35">
      <w:pPr>
        <w:spacing w:after="0" w:line="312" w:lineRule="auto"/>
        <w:rPr>
          <w:rStyle w:val="Pogrubienie"/>
          <w:rFonts w:eastAsia="font415" w:cs="Tahoma"/>
          <w:b w:val="0"/>
          <w:szCs w:val="20"/>
          <w:bdr w:val="none" w:sz="0" w:space="0" w:color="auto" w:frame="1"/>
        </w:rPr>
      </w:pPr>
    </w:p>
    <w:p w:rsidR="00B86812" w:rsidRPr="00E00B35" w:rsidRDefault="00B86812" w:rsidP="00E00B35">
      <w:pPr>
        <w:pStyle w:val="Nagwek4"/>
        <w:spacing w:before="0" w:after="0" w:line="312" w:lineRule="auto"/>
        <w:rPr>
          <w:sz w:val="20"/>
          <w:szCs w:val="20"/>
        </w:rPr>
      </w:pPr>
      <w:r w:rsidRPr="00E00B35">
        <w:rPr>
          <w:sz w:val="20"/>
          <w:szCs w:val="20"/>
        </w:rPr>
        <w:t xml:space="preserve">NAJISTOTNIEJSZE WYDARZENIA INFORMACYJNE </w:t>
      </w:r>
    </w:p>
    <w:p w:rsidR="00B86812" w:rsidRPr="00E00B35" w:rsidRDefault="00B86812" w:rsidP="00E00B35">
      <w:pPr>
        <w:autoSpaceDE w:val="0"/>
        <w:autoSpaceDN w:val="0"/>
        <w:adjustRightInd w:val="0"/>
        <w:spacing w:after="0" w:line="312" w:lineRule="auto"/>
        <w:rPr>
          <w:rFonts w:cs="Helv"/>
          <w:color w:val="000000"/>
          <w:szCs w:val="20"/>
        </w:rPr>
      </w:pPr>
      <w:r w:rsidRPr="00E00B35">
        <w:rPr>
          <w:rFonts w:cs="Helv"/>
          <w:color w:val="000000"/>
          <w:szCs w:val="20"/>
        </w:rPr>
        <w:t xml:space="preserve">Wrocław stał się pierwszym miastem w Polsce, w którym wprowadzono </w:t>
      </w:r>
      <w:r w:rsidRPr="00E00B35">
        <w:rPr>
          <w:rFonts w:cs="Helv"/>
          <w:b/>
          <w:color w:val="000000"/>
          <w:szCs w:val="20"/>
        </w:rPr>
        <w:t xml:space="preserve">„Wrocław bez smogu” </w:t>
      </w:r>
      <w:r w:rsidRPr="00E00B35">
        <w:rPr>
          <w:rFonts w:cs="Helv"/>
          <w:color w:val="000000"/>
          <w:szCs w:val="20"/>
        </w:rPr>
        <w:t>- mocno przemyślany i kompleksowy program, który obejmuje  m.in.:</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dofinansowanie kosztów wymiany pieców (do 15 tys. zł) – KAWKA Plus;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zwolnienia i ulgi w czynszach dla najemców komunalnych, którzy zdecydowali się na wymianę pieca;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dofinansowanie wymiany drewnianych, nieszczelnych okien (do 5 tys. zł) </w:t>
      </w:r>
      <w:r w:rsidRPr="00E00B35">
        <w:rPr>
          <w:szCs w:val="20"/>
        </w:rPr>
        <w:br/>
        <w:t xml:space="preserve">– Termo KAWKA;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dopłaty do rachunków za ogrzewanie dla osób, które zlikwidowały piece na paliwa stałe (do 4 tys. zł. rocznie) – Lokalny Program Osłonowy.  </w:t>
      </w:r>
    </w:p>
    <w:p w:rsidR="00B86812" w:rsidRPr="00E00B35" w:rsidRDefault="00B86812" w:rsidP="00E00B35">
      <w:pPr>
        <w:spacing w:after="0" w:line="312" w:lineRule="auto"/>
        <w:rPr>
          <w:rFonts w:cs="Helv"/>
          <w:color w:val="000000"/>
          <w:szCs w:val="20"/>
        </w:rPr>
      </w:pPr>
    </w:p>
    <w:p w:rsidR="00B86812" w:rsidRPr="00E00B35" w:rsidRDefault="00B86812" w:rsidP="00E00B35">
      <w:pPr>
        <w:spacing w:after="0" w:line="312" w:lineRule="auto"/>
        <w:rPr>
          <w:rFonts w:cs="Helv"/>
          <w:color w:val="000000"/>
          <w:szCs w:val="20"/>
        </w:rPr>
      </w:pPr>
      <w:r w:rsidRPr="00E00B35">
        <w:rPr>
          <w:rFonts w:cs="Helv"/>
          <w:color w:val="000000"/>
          <w:szCs w:val="20"/>
        </w:rPr>
        <w:lastRenderedPageBreak/>
        <w:t xml:space="preserve">Rozpoczęto także akcję </w:t>
      </w:r>
      <w:r w:rsidRPr="00E00B35">
        <w:rPr>
          <w:rFonts w:cs="Helv"/>
          <w:b/>
          <w:color w:val="000000"/>
          <w:szCs w:val="20"/>
        </w:rPr>
        <w:t>„Zmień piec”</w:t>
      </w:r>
      <w:r w:rsidRPr="00E00B35">
        <w:rPr>
          <w:rFonts w:cs="Helv"/>
          <w:color w:val="000000"/>
          <w:szCs w:val="20"/>
        </w:rPr>
        <w:t xml:space="preserve"> jako kluczowy element kampanii „Wrocław </w:t>
      </w:r>
      <w:r w:rsidRPr="00E00B35">
        <w:rPr>
          <w:rFonts w:cs="Helv"/>
          <w:color w:val="000000"/>
          <w:szCs w:val="20"/>
        </w:rPr>
        <w:br/>
        <w:t>bez smogu”, w ramach której:</w:t>
      </w:r>
    </w:p>
    <w:p w:rsidR="00B86812" w:rsidRPr="00E00B35" w:rsidRDefault="00B86812" w:rsidP="00BC64AB">
      <w:pPr>
        <w:numPr>
          <w:ilvl w:val="0"/>
          <w:numId w:val="291"/>
        </w:numPr>
        <w:spacing w:after="0" w:line="312" w:lineRule="auto"/>
        <w:ind w:left="426" w:hanging="426"/>
        <w:rPr>
          <w:szCs w:val="20"/>
        </w:rPr>
      </w:pPr>
      <w:r w:rsidRPr="00E00B35">
        <w:rPr>
          <w:szCs w:val="20"/>
        </w:rPr>
        <w:t>zamieszczono informacje dot. akcji w 8 gazetach oraz na łamach 12 gazetek osiedlowych, Zapoczątkowano także cykl „Czwartek z doradcą energetycznym” na łamach gazety „Fakt”;</w:t>
      </w:r>
    </w:p>
    <w:p w:rsidR="00B86812" w:rsidRPr="00E00B35" w:rsidRDefault="00B86812" w:rsidP="00BC64AB">
      <w:pPr>
        <w:numPr>
          <w:ilvl w:val="0"/>
          <w:numId w:val="291"/>
        </w:numPr>
        <w:spacing w:after="0" w:line="312" w:lineRule="auto"/>
        <w:ind w:left="426" w:hanging="426"/>
        <w:rPr>
          <w:szCs w:val="20"/>
        </w:rPr>
      </w:pPr>
      <w:r w:rsidRPr="00E00B35">
        <w:rPr>
          <w:szCs w:val="20"/>
        </w:rPr>
        <w:t>położono mocny nacisk na szeroko zakrojoną akcję w Internecie oraz mediach społecznościowych. Powstała strona internetowa zmienpiec.pl, fanpage akcji, uruchomiony został także „chat bot” – wirtualny asystent miasta Wrocławia;</w:t>
      </w:r>
    </w:p>
    <w:p w:rsidR="00B86812" w:rsidRPr="00E00B35" w:rsidRDefault="00B86812" w:rsidP="00BC64AB">
      <w:pPr>
        <w:numPr>
          <w:ilvl w:val="0"/>
          <w:numId w:val="291"/>
        </w:numPr>
        <w:spacing w:after="0" w:line="312" w:lineRule="auto"/>
        <w:ind w:left="426" w:hanging="426"/>
        <w:rPr>
          <w:szCs w:val="20"/>
        </w:rPr>
      </w:pPr>
      <w:r w:rsidRPr="00E00B35">
        <w:rPr>
          <w:szCs w:val="20"/>
        </w:rPr>
        <w:t>powstał cykl nagrań on-line „Ekspert radzi”, który zawierał 15 odcinków – wszystkie dostępne na stronie programu;</w:t>
      </w:r>
    </w:p>
    <w:p w:rsidR="00B86812" w:rsidRPr="00E00B35" w:rsidRDefault="00B86812" w:rsidP="00BC64AB">
      <w:pPr>
        <w:numPr>
          <w:ilvl w:val="0"/>
          <w:numId w:val="291"/>
        </w:numPr>
        <w:spacing w:after="0" w:line="312" w:lineRule="auto"/>
        <w:ind w:left="426" w:hanging="426"/>
        <w:rPr>
          <w:szCs w:val="20"/>
        </w:rPr>
      </w:pPr>
      <w:r w:rsidRPr="00E00B35">
        <w:rPr>
          <w:szCs w:val="20"/>
        </w:rPr>
        <w:t>nagrano i wyemitowano w TVP Wrocław 12 odcinków w programie telewizyjnym „Zmień piec’;</w:t>
      </w:r>
    </w:p>
    <w:p w:rsidR="00B86812" w:rsidRPr="00E00B35" w:rsidRDefault="00B86812" w:rsidP="00BC64AB">
      <w:pPr>
        <w:numPr>
          <w:ilvl w:val="0"/>
          <w:numId w:val="291"/>
        </w:numPr>
        <w:spacing w:after="0" w:line="312" w:lineRule="auto"/>
        <w:ind w:left="426" w:hanging="426"/>
        <w:rPr>
          <w:szCs w:val="20"/>
        </w:rPr>
      </w:pPr>
      <w:r w:rsidRPr="00E00B35">
        <w:rPr>
          <w:szCs w:val="20"/>
        </w:rPr>
        <w:t>pojawiły się spoty reklamowe oraz rozmowy przeprowadzone z doradcami energetycznymi w rozgłośniach radiowych;</w:t>
      </w:r>
    </w:p>
    <w:p w:rsidR="00B86812" w:rsidRPr="00E00B35" w:rsidRDefault="00B86812" w:rsidP="00BC64AB">
      <w:pPr>
        <w:numPr>
          <w:ilvl w:val="0"/>
          <w:numId w:val="291"/>
        </w:numPr>
        <w:spacing w:after="0" w:line="312" w:lineRule="auto"/>
        <w:ind w:left="426" w:hanging="426"/>
        <w:rPr>
          <w:szCs w:val="20"/>
        </w:rPr>
      </w:pPr>
      <w:r w:rsidRPr="00E00B35">
        <w:rPr>
          <w:szCs w:val="20"/>
        </w:rPr>
        <w:t>utworzono specjalną infolinię energetyczną, która obsłużyła 7 tysięcy połączeń oraz udzielono 432 porady za pośrednictwem poczty e-mail;</w:t>
      </w:r>
    </w:p>
    <w:p w:rsidR="00B86812" w:rsidRPr="00E00B35" w:rsidRDefault="00B86812" w:rsidP="00BC64AB">
      <w:pPr>
        <w:numPr>
          <w:ilvl w:val="0"/>
          <w:numId w:val="291"/>
        </w:numPr>
        <w:spacing w:after="0" w:line="312" w:lineRule="auto"/>
        <w:ind w:left="426" w:hanging="426"/>
        <w:rPr>
          <w:szCs w:val="20"/>
        </w:rPr>
      </w:pPr>
      <w:r w:rsidRPr="00E00B35">
        <w:rPr>
          <w:szCs w:val="20"/>
        </w:rPr>
        <w:t>przeprowadzono 5 szkoleń dla instalatorów;</w:t>
      </w:r>
    </w:p>
    <w:p w:rsidR="00B86812" w:rsidRPr="00E00B35" w:rsidRDefault="00B86812" w:rsidP="00BC64AB">
      <w:pPr>
        <w:numPr>
          <w:ilvl w:val="0"/>
          <w:numId w:val="291"/>
        </w:numPr>
        <w:spacing w:after="0" w:line="312" w:lineRule="auto"/>
        <w:ind w:left="426" w:hanging="426"/>
        <w:rPr>
          <w:szCs w:val="20"/>
        </w:rPr>
      </w:pPr>
      <w:r w:rsidRPr="00E00B35">
        <w:rPr>
          <w:szCs w:val="20"/>
        </w:rPr>
        <w:t>odbyło się 20 mobilnych spotkań z mieszkańcami na osiedlach w zabudowie wielorodzinnej oraz 18 na osiedlach w zabudowie jednorodzinnej;</w:t>
      </w:r>
    </w:p>
    <w:p w:rsidR="00B86812" w:rsidRPr="00E00B35" w:rsidRDefault="00B86812" w:rsidP="00BC64AB">
      <w:pPr>
        <w:numPr>
          <w:ilvl w:val="0"/>
          <w:numId w:val="291"/>
        </w:numPr>
        <w:spacing w:after="0" w:line="312" w:lineRule="auto"/>
        <w:ind w:left="426" w:hanging="426"/>
        <w:rPr>
          <w:szCs w:val="20"/>
        </w:rPr>
      </w:pPr>
      <w:r w:rsidRPr="00E00B35">
        <w:rPr>
          <w:szCs w:val="20"/>
        </w:rPr>
        <w:t>rozdysponowano 14 tysięcy ulotek, 3500 biuletynów oraz rozwieszono 1500 plakatów.</w:t>
      </w:r>
    </w:p>
    <w:p w:rsidR="00B86812" w:rsidRPr="00E00B35" w:rsidRDefault="00B86812" w:rsidP="00E00B35">
      <w:pPr>
        <w:spacing w:after="0" w:line="312" w:lineRule="auto"/>
        <w:rPr>
          <w:rFonts w:cs="Helv"/>
          <w:color w:val="000000"/>
          <w:szCs w:val="20"/>
        </w:rPr>
      </w:pPr>
    </w:p>
    <w:p w:rsidR="00B86812" w:rsidRPr="00E00B35" w:rsidRDefault="00B86812" w:rsidP="00E00B35">
      <w:pPr>
        <w:spacing w:after="0" w:line="312" w:lineRule="auto"/>
        <w:rPr>
          <w:rFonts w:cs="Helv"/>
          <w:color w:val="000000"/>
          <w:szCs w:val="20"/>
        </w:rPr>
      </w:pPr>
    </w:p>
    <w:p w:rsidR="00B86812" w:rsidRPr="00E00B35" w:rsidRDefault="00B86812" w:rsidP="00E00B35">
      <w:pPr>
        <w:spacing w:after="0" w:line="312" w:lineRule="auto"/>
        <w:rPr>
          <w:rFonts w:cs="Helv"/>
          <w:color w:val="000000"/>
          <w:szCs w:val="20"/>
        </w:rPr>
      </w:pPr>
      <w:r w:rsidRPr="00E00B35">
        <w:rPr>
          <w:rFonts w:cs="Helv"/>
          <w:color w:val="000000"/>
          <w:szCs w:val="20"/>
        </w:rPr>
        <w:t>W 2020 roku zlikwidowanych zostało 1800 starych pieców a od 2014 roku ponad 9500. Wrocław planuje do 2024 r. wymienić wszystkie piece pozaklasowe. Program Wrocław Bez Smogu pochłonie 330 mln zł.</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Wydział Komunikacji Społecznej współorganizował także szeroka kampanię informacyjna poświęconą </w:t>
      </w:r>
      <w:r w:rsidRPr="00E00B35">
        <w:rPr>
          <w:rFonts w:eastAsiaTheme="minorHAnsi" w:cs="Verdana"/>
          <w:b/>
          <w:bCs/>
          <w:color w:val="000000"/>
          <w:szCs w:val="20"/>
          <w:u w:val="single"/>
        </w:rPr>
        <w:t>budowie drugiego etapu TAT na Nowy Dwór</w:t>
      </w:r>
      <w:r w:rsidRPr="00E00B35">
        <w:rPr>
          <w:b/>
          <w:szCs w:val="20"/>
        </w:rPr>
        <w:t xml:space="preserve">. </w:t>
      </w:r>
    </w:p>
    <w:p w:rsidR="00B86812" w:rsidRPr="00E00B35" w:rsidRDefault="00B86812" w:rsidP="00E00B35">
      <w:pPr>
        <w:autoSpaceDE w:val="0"/>
        <w:autoSpaceDN w:val="0"/>
        <w:adjustRightInd w:val="0"/>
        <w:spacing w:after="0" w:line="312" w:lineRule="auto"/>
        <w:rPr>
          <w:rFonts w:eastAsiaTheme="minorHAnsi" w:cs="Verdana"/>
          <w:color w:val="000000"/>
          <w:szCs w:val="20"/>
        </w:rPr>
      </w:pPr>
    </w:p>
    <w:p w:rsidR="00B86812" w:rsidRPr="00E00B35" w:rsidRDefault="00B86812" w:rsidP="00E00B35">
      <w:pPr>
        <w:autoSpaceDE w:val="0"/>
        <w:autoSpaceDN w:val="0"/>
        <w:adjustRightInd w:val="0"/>
        <w:spacing w:after="0" w:line="312" w:lineRule="auto"/>
        <w:rPr>
          <w:rFonts w:eastAsiaTheme="minorHAnsi" w:cs="Verdana"/>
          <w:color w:val="000000"/>
          <w:szCs w:val="20"/>
        </w:rPr>
      </w:pPr>
      <w:r w:rsidRPr="00E00B35">
        <w:rPr>
          <w:rFonts w:eastAsiaTheme="minorHAnsi" w:cs="Verdana"/>
          <w:color w:val="000000"/>
          <w:szCs w:val="20"/>
        </w:rPr>
        <w:t xml:space="preserve">To największa inwestycja w infrastrukturę dedykowaną dla komunikacji zbiorowej </w:t>
      </w:r>
      <w:r w:rsidRPr="00E00B35">
        <w:rPr>
          <w:rFonts w:eastAsiaTheme="minorHAnsi" w:cs="Verdana"/>
          <w:color w:val="000000"/>
          <w:szCs w:val="20"/>
        </w:rPr>
        <w:br/>
        <w:t xml:space="preserve">w powojennej historii Wrocławia. Trasa na Nowy Dwór to w sumie 7 kilometrów nowego połączenia komunikacyjnego o najwyższym standardzie. Dzięki niej mieszkańcy </w:t>
      </w:r>
      <w:r w:rsidRPr="00E00B35">
        <w:rPr>
          <w:rFonts w:eastAsiaTheme="minorHAnsi" w:cs="Verdana"/>
          <w:color w:val="000000"/>
          <w:szCs w:val="20"/>
        </w:rPr>
        <w:br/>
        <w:t xml:space="preserve">w kilkanaście minut bezkolizyjnie dojadą z Nowego Dworu do centrum miasta. W tym celu powstają m.in. dwa wiadukty nad ulicą Smolecką oraz nad torami kolejowymi </w:t>
      </w:r>
      <w:r w:rsidRPr="00E00B35">
        <w:rPr>
          <w:rFonts w:eastAsiaTheme="minorHAnsi" w:cs="Verdana"/>
          <w:color w:val="000000"/>
          <w:szCs w:val="20"/>
        </w:rPr>
        <w:br/>
        <w:t>w pobliżu ulic Strzegomskiej i Robotniczej.</w:t>
      </w:r>
    </w:p>
    <w:p w:rsidR="00B86812" w:rsidRPr="00E00B35" w:rsidRDefault="00B86812" w:rsidP="00E00B35">
      <w:pPr>
        <w:autoSpaceDE w:val="0"/>
        <w:autoSpaceDN w:val="0"/>
        <w:adjustRightInd w:val="0"/>
        <w:spacing w:after="0" w:line="312" w:lineRule="auto"/>
        <w:rPr>
          <w:rFonts w:eastAsiaTheme="minorHAnsi" w:cs="Verdana"/>
          <w:color w:val="000000"/>
          <w:szCs w:val="20"/>
        </w:rPr>
      </w:pPr>
    </w:p>
    <w:p w:rsidR="00B86812" w:rsidRPr="00E00B35" w:rsidRDefault="00B86812" w:rsidP="00E00B35">
      <w:pPr>
        <w:spacing w:after="0" w:line="312" w:lineRule="auto"/>
        <w:rPr>
          <w:szCs w:val="20"/>
        </w:rPr>
      </w:pPr>
      <w:r w:rsidRPr="00E00B35">
        <w:rPr>
          <w:rFonts w:eastAsiaTheme="minorHAnsi" w:cs="Verdana"/>
          <w:color w:val="000000"/>
          <w:szCs w:val="20"/>
        </w:rPr>
        <w:t xml:space="preserve">W ramach zadania, na które podpisana została umowa </w:t>
      </w:r>
      <w:r w:rsidRPr="00E00B35">
        <w:rPr>
          <w:rFonts w:eastAsiaTheme="minorHAnsi" w:cs="Verdana"/>
          <w:b/>
          <w:bCs/>
          <w:color w:val="000000"/>
          <w:szCs w:val="20"/>
          <w:u w:val="single"/>
        </w:rPr>
        <w:t xml:space="preserve">na ponad 81 mln zł </w:t>
      </w:r>
      <w:r w:rsidRPr="00E00B35">
        <w:rPr>
          <w:rFonts w:eastAsiaTheme="minorHAnsi" w:cs="Verdana"/>
          <w:color w:val="000000"/>
          <w:szCs w:val="20"/>
        </w:rPr>
        <w:t xml:space="preserve">została właśnie podpisana, powstanie 2 km nowej, wydzielonej trasy autobusowo-tramwajowej </w:t>
      </w:r>
      <w:r w:rsidRPr="00E00B35">
        <w:rPr>
          <w:rFonts w:eastAsiaTheme="minorHAnsi" w:cs="Verdana"/>
          <w:color w:val="000000"/>
          <w:szCs w:val="20"/>
        </w:rPr>
        <w:br/>
        <w:t xml:space="preserve">z oświetleniem, odwodnieniem i miejskimi kanałami technologicznymi. Co więcej, </w:t>
      </w:r>
      <w:r w:rsidRPr="00E00B35">
        <w:rPr>
          <w:rFonts w:eastAsiaTheme="minorHAnsi" w:cs="Verdana"/>
          <w:color w:val="000000"/>
          <w:szCs w:val="20"/>
        </w:rPr>
        <w:br/>
        <w:t>na fragmencie, który będzie realizowany, zostanie wybudowanych pięć nowych przystanków autobusowo-tramwajowych z pełną infrastrukturą.</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noProof/>
          <w:szCs w:val="20"/>
        </w:rPr>
        <w:lastRenderedPageBreak/>
        <w:drawing>
          <wp:inline distT="0" distB="0" distL="0" distR="0">
            <wp:extent cx="5518721" cy="2945806"/>
            <wp:effectExtent l="19050" t="0" r="5779" b="0"/>
            <wp:docPr id="736" name="Obraz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8" cstate="print"/>
                    <a:srcRect/>
                    <a:stretch>
                      <a:fillRect/>
                    </a:stretch>
                  </pic:blipFill>
                  <pic:spPr bwMode="auto">
                    <a:xfrm>
                      <a:off x="0" y="0"/>
                      <a:ext cx="5524125" cy="2948690"/>
                    </a:xfrm>
                    <a:prstGeom prst="rect">
                      <a:avLst/>
                    </a:prstGeom>
                    <a:noFill/>
                    <a:ln w="9525">
                      <a:noFill/>
                      <a:miter lim="800000"/>
                      <a:headEnd/>
                      <a:tailEnd/>
                    </a:ln>
                  </pic:spPr>
                </pic:pic>
              </a:graphicData>
            </a:graphic>
          </wp:inline>
        </w:drawing>
      </w:r>
    </w:p>
    <w:p w:rsidR="00B86812" w:rsidRPr="00E00B35" w:rsidRDefault="00B86812" w:rsidP="00E00B35">
      <w:pPr>
        <w:spacing w:after="0" w:line="312" w:lineRule="auto"/>
        <w:rPr>
          <w:szCs w:val="20"/>
        </w:rPr>
      </w:pPr>
    </w:p>
    <w:p w:rsidR="00B86812" w:rsidRPr="00E00B35" w:rsidRDefault="00B86812" w:rsidP="00E00B35">
      <w:pPr>
        <w:autoSpaceDE w:val="0"/>
        <w:autoSpaceDN w:val="0"/>
        <w:adjustRightInd w:val="0"/>
        <w:spacing w:after="0" w:line="312" w:lineRule="auto"/>
        <w:rPr>
          <w:rFonts w:eastAsiaTheme="minorHAnsi" w:cs="Verdana"/>
          <w:color w:val="000000"/>
          <w:szCs w:val="20"/>
        </w:rPr>
      </w:pPr>
      <w:r w:rsidRPr="00E00B35">
        <w:rPr>
          <w:rFonts w:eastAsiaTheme="minorHAnsi" w:cs="Verdana"/>
          <w:color w:val="000000"/>
          <w:szCs w:val="20"/>
        </w:rPr>
        <w:t xml:space="preserve">Podpisano umowę na </w:t>
      </w:r>
      <w:r w:rsidRPr="00E00B35">
        <w:rPr>
          <w:rFonts w:eastAsiaTheme="minorHAnsi" w:cs="Verdana"/>
          <w:b/>
          <w:color w:val="000000"/>
          <w:szCs w:val="20"/>
        </w:rPr>
        <w:t>następny etap budowy linii tramwajowej na Popowice</w:t>
      </w:r>
      <w:r w:rsidRPr="00E00B35">
        <w:rPr>
          <w:rFonts w:eastAsiaTheme="minorHAnsi" w:cs="Verdana"/>
          <w:color w:val="000000"/>
          <w:szCs w:val="20"/>
        </w:rPr>
        <w:t xml:space="preserve">, który obejmie fragment od ulicy Jagiełły do Młodych Techników oraz od Starogroblowej do Milenijnej. W ramach drugiego etapu powstanie łącznie ponad 3 kilometry trasy. Przebudowanych zostanie aż dziesięć skrzyżowań i ponad 1,5 kilometra poszczególnych ulic, instalacja wodociągowa i sieć energetyczna. To jedna z największych komunikacyjnych inwestycji w najnowszej historii Wrocławia. Tramwajem na Popowice mamy pojechać w 2022 roku. </w:t>
      </w:r>
    </w:p>
    <w:p w:rsidR="00B86812" w:rsidRPr="00E00B35" w:rsidRDefault="00B86812" w:rsidP="00E00B35">
      <w:pPr>
        <w:spacing w:after="0" w:line="312" w:lineRule="auto"/>
        <w:rPr>
          <w:szCs w:val="20"/>
        </w:rPr>
      </w:pPr>
      <w:r w:rsidRPr="00E00B35">
        <w:rPr>
          <w:rFonts w:eastAsiaTheme="minorHAnsi" w:cstheme="minorBidi"/>
          <w:noProof/>
          <w:szCs w:val="20"/>
        </w:rPr>
        <w:drawing>
          <wp:inline distT="0" distB="0" distL="0" distR="0">
            <wp:extent cx="5703655" cy="4027954"/>
            <wp:effectExtent l="19050" t="0" r="0" b="0"/>
            <wp:docPr id="769" name="Obraz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9" cstate="print"/>
                    <a:srcRect/>
                    <a:stretch>
                      <a:fillRect/>
                    </a:stretch>
                  </pic:blipFill>
                  <pic:spPr bwMode="auto">
                    <a:xfrm>
                      <a:off x="0" y="0"/>
                      <a:ext cx="5703519" cy="4027858"/>
                    </a:xfrm>
                    <a:prstGeom prst="rect">
                      <a:avLst/>
                    </a:prstGeom>
                    <a:noFill/>
                    <a:ln w="9525">
                      <a:noFill/>
                      <a:miter lim="800000"/>
                      <a:headEnd/>
                      <a:tailEnd/>
                    </a:ln>
                  </pic:spPr>
                </pic:pic>
              </a:graphicData>
            </a:graphic>
          </wp:inline>
        </w:drawing>
      </w:r>
    </w:p>
    <w:p w:rsidR="00B86812" w:rsidRPr="00E00B35" w:rsidRDefault="00B86812" w:rsidP="00E00B35">
      <w:pPr>
        <w:spacing w:after="0" w:line="312" w:lineRule="auto"/>
        <w:rPr>
          <w:szCs w:val="20"/>
        </w:rPr>
      </w:pPr>
      <w:r w:rsidRPr="00E00B35">
        <w:rPr>
          <w:szCs w:val="20"/>
        </w:rPr>
        <w:lastRenderedPageBreak/>
        <w:t xml:space="preserve">Istotnym wydarzeniem, które komunikował Wydział była podwyżka cen biletów komunikacji miejskiej przy jednoczesnym zachowaniu dotychczasowych cen dla osób będących w programie </w:t>
      </w:r>
      <w:r w:rsidRPr="00E00B35">
        <w:rPr>
          <w:b/>
          <w:szCs w:val="20"/>
        </w:rPr>
        <w:t>Nasz Wrocław</w:t>
      </w:r>
      <w:r w:rsidRPr="00E00B35">
        <w:rPr>
          <w:szCs w:val="20"/>
        </w:rPr>
        <w:t>, rozliczających PIT we właściwym miejscowo wrocławskim Urzędzie Skarbowym.</w:t>
      </w:r>
    </w:p>
    <w:p w:rsidR="00B86812" w:rsidRPr="00E00B35" w:rsidRDefault="00B86812" w:rsidP="00E00B35">
      <w:pPr>
        <w:autoSpaceDE w:val="0"/>
        <w:autoSpaceDN w:val="0"/>
        <w:adjustRightInd w:val="0"/>
        <w:spacing w:after="0" w:line="312" w:lineRule="auto"/>
        <w:rPr>
          <w:rFonts w:eastAsiaTheme="minorHAnsi" w:cs="Verdana"/>
          <w:color w:val="000000"/>
          <w:szCs w:val="20"/>
        </w:rPr>
      </w:pPr>
    </w:p>
    <w:p w:rsidR="00B86812" w:rsidRPr="00E00B35" w:rsidRDefault="00B86812" w:rsidP="00E00B35">
      <w:pPr>
        <w:autoSpaceDE w:val="0"/>
        <w:autoSpaceDN w:val="0"/>
        <w:adjustRightInd w:val="0"/>
        <w:spacing w:after="0" w:line="312" w:lineRule="auto"/>
        <w:rPr>
          <w:rFonts w:eastAsiaTheme="minorHAnsi" w:cs="Verdana"/>
          <w:color w:val="000000"/>
          <w:szCs w:val="20"/>
        </w:rPr>
      </w:pPr>
    </w:p>
    <w:p w:rsidR="00B86812" w:rsidRPr="00E00B35" w:rsidRDefault="00B86812" w:rsidP="00E00B35">
      <w:pPr>
        <w:autoSpaceDE w:val="0"/>
        <w:autoSpaceDN w:val="0"/>
        <w:adjustRightInd w:val="0"/>
        <w:spacing w:after="0" w:line="312" w:lineRule="auto"/>
        <w:rPr>
          <w:rFonts w:eastAsiaTheme="minorHAnsi" w:cs="Verdana"/>
          <w:color w:val="000000"/>
          <w:szCs w:val="20"/>
        </w:rPr>
      </w:pPr>
      <w:r w:rsidRPr="00E00B35">
        <w:rPr>
          <w:rFonts w:eastAsiaTheme="minorHAnsi" w:cs="Verdana"/>
          <w:b/>
          <w:color w:val="000000"/>
          <w:szCs w:val="20"/>
        </w:rPr>
        <w:t xml:space="preserve">Nowa aranżacja Bulwaru Słonecznego </w:t>
      </w:r>
      <w:r w:rsidRPr="00E00B35">
        <w:rPr>
          <w:rFonts w:eastAsiaTheme="minorHAnsi" w:cs="Verdana"/>
          <w:color w:val="000000"/>
          <w:szCs w:val="20"/>
        </w:rPr>
        <w:t xml:space="preserve">zakłada instalację dwóch łukowatych siedzisk z betonu architektonicznego, 4 ławek i 3 koszy na śmieci oraz skomponowanie </w:t>
      </w:r>
      <w:r w:rsidRPr="00E00B35">
        <w:rPr>
          <w:rFonts w:eastAsiaTheme="minorHAnsi" w:cs="Verdana"/>
          <w:color w:val="000000"/>
          <w:szCs w:val="20"/>
        </w:rPr>
        <w:br/>
        <w:t>i nasadzenie nowej zieleni : 55 drzew (29 lip srebrzystych, 6 brzóz brodawkowatych, 11 brzóz pożytecznych i 9 grusz drobnoowocowych), 1157 krzewów oraz 1500 mkw. trawnika.</w:t>
      </w:r>
    </w:p>
    <w:p w:rsidR="00B86812" w:rsidRPr="00E00B35" w:rsidRDefault="00B86812" w:rsidP="00E00B35">
      <w:pPr>
        <w:autoSpaceDE w:val="0"/>
        <w:autoSpaceDN w:val="0"/>
        <w:adjustRightInd w:val="0"/>
        <w:spacing w:after="0" w:line="312" w:lineRule="auto"/>
        <w:rPr>
          <w:rFonts w:eastAsiaTheme="minorHAnsi" w:cs="Verdana"/>
          <w:color w:val="000000"/>
          <w:szCs w:val="20"/>
        </w:rPr>
      </w:pPr>
    </w:p>
    <w:p w:rsidR="00B86812" w:rsidRPr="00E00B35" w:rsidRDefault="00B86812" w:rsidP="00E00B35">
      <w:pPr>
        <w:spacing w:after="0" w:line="312" w:lineRule="auto"/>
        <w:rPr>
          <w:szCs w:val="20"/>
        </w:rPr>
      </w:pPr>
      <w:r w:rsidRPr="00E00B35">
        <w:rPr>
          <w:rFonts w:eastAsiaTheme="minorHAnsi" w:cs="Verdana"/>
          <w:color w:val="000000"/>
          <w:szCs w:val="20"/>
        </w:rPr>
        <w:t>Prace potrwają do końca maja 2021 r. Ich koszt to niespełna 1,6 mln. zł</w:t>
      </w:r>
    </w:p>
    <w:p w:rsidR="00B86812" w:rsidRPr="00E00B35" w:rsidRDefault="00B86812" w:rsidP="00E00B35">
      <w:pPr>
        <w:spacing w:after="0" w:line="312" w:lineRule="auto"/>
        <w:rPr>
          <w:szCs w:val="20"/>
        </w:rPr>
      </w:pPr>
      <w:r w:rsidRPr="00E00B35">
        <w:rPr>
          <w:rFonts w:eastAsiaTheme="minorHAnsi" w:cstheme="minorBidi"/>
          <w:noProof/>
          <w:szCs w:val="20"/>
        </w:rPr>
        <w:drawing>
          <wp:inline distT="0" distB="0" distL="0" distR="0">
            <wp:extent cx="5333786" cy="2959012"/>
            <wp:effectExtent l="19050" t="0" r="214" b="0"/>
            <wp:docPr id="774" name="Obraz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20" cstate="print"/>
                    <a:srcRect/>
                    <a:stretch>
                      <a:fillRect/>
                    </a:stretch>
                  </pic:blipFill>
                  <pic:spPr bwMode="auto">
                    <a:xfrm>
                      <a:off x="0" y="0"/>
                      <a:ext cx="5334784" cy="2959566"/>
                    </a:xfrm>
                    <a:prstGeom prst="rect">
                      <a:avLst/>
                    </a:prstGeom>
                    <a:noFill/>
                    <a:ln w="9525">
                      <a:noFill/>
                      <a:miter lim="800000"/>
                      <a:headEnd/>
                      <a:tailEnd/>
                    </a:ln>
                  </pic:spPr>
                </pic:pic>
              </a:graphicData>
            </a:graphic>
          </wp:inline>
        </w:drawing>
      </w:r>
    </w:p>
    <w:p w:rsidR="00B86812" w:rsidRPr="00E00B35" w:rsidRDefault="00B86812" w:rsidP="00E00B35">
      <w:pPr>
        <w:spacing w:after="0" w:line="312" w:lineRule="auto"/>
        <w:rPr>
          <w:b/>
          <w:szCs w:val="20"/>
        </w:rPr>
      </w:pPr>
    </w:p>
    <w:p w:rsidR="00B86812" w:rsidRPr="00E00B35" w:rsidRDefault="00B86812" w:rsidP="00E00B35">
      <w:pPr>
        <w:spacing w:after="0" w:line="312" w:lineRule="auto"/>
        <w:rPr>
          <w:b/>
          <w:szCs w:val="20"/>
        </w:rPr>
      </w:pPr>
    </w:p>
    <w:p w:rsidR="00B86812" w:rsidRPr="00E00B35" w:rsidRDefault="00B86812" w:rsidP="00E00B35">
      <w:pPr>
        <w:spacing w:after="0" w:line="312" w:lineRule="auto"/>
        <w:rPr>
          <w:szCs w:val="20"/>
        </w:rPr>
      </w:pPr>
      <w:r w:rsidRPr="00E00B35">
        <w:rPr>
          <w:szCs w:val="20"/>
        </w:rPr>
        <w:t xml:space="preserve">Wydział odpowiedzialny był także, że przeprowadzenie akcji informacyjnej dot. pilotażowego projektu </w:t>
      </w:r>
      <w:r w:rsidRPr="00E00B35">
        <w:rPr>
          <w:b/>
          <w:szCs w:val="20"/>
        </w:rPr>
        <w:t>„Szkolna ulica</w:t>
      </w:r>
      <w:r w:rsidRPr="00E00B35">
        <w:rPr>
          <w:szCs w:val="20"/>
        </w:rPr>
        <w:t>”.</w:t>
      </w:r>
    </w:p>
    <w:p w:rsidR="00B86812" w:rsidRPr="00E00B35" w:rsidRDefault="00B86812" w:rsidP="00E00B35">
      <w:pPr>
        <w:spacing w:after="0" w:line="312" w:lineRule="auto"/>
        <w:rPr>
          <w:szCs w:val="20"/>
        </w:rPr>
      </w:pPr>
      <w:r w:rsidRPr="00E00B35">
        <w:rPr>
          <w:rFonts w:eastAsiaTheme="minorHAnsi" w:cs="Verdana"/>
          <w:color w:val="000000"/>
          <w:szCs w:val="20"/>
        </w:rPr>
        <w:t>W październiku przed dwoma wrocławskimi placówkami - Szkołą Podstawową nr 34 przy ul. Gałczyńskiego oraz Zespołem Szkół nr 9 przy ul. Krajewskiego - realizowany był pilotażowy program „Szkolna Ulica”. Przez cały miesiąc, na pół godziny przed pierwszą lekcją, ulica przed szkołą była zamykana dla ruchu samochodowego, by dzieci w bezpieczny sposób mogły przebyć ostatni odcinek drogi do szkoły samodzielnie. Nad ich bezpieczeństwem czuwali strażnicy miejscy.</w:t>
      </w:r>
    </w:p>
    <w:p w:rsidR="00B86812" w:rsidRPr="00E00B35" w:rsidRDefault="00B86812" w:rsidP="00E00B35">
      <w:pPr>
        <w:spacing w:after="0" w:line="312" w:lineRule="auto"/>
        <w:rPr>
          <w:rFonts w:eastAsiaTheme="minorHAnsi" w:cs="Verdana"/>
          <w:color w:val="000000"/>
          <w:szCs w:val="20"/>
        </w:rPr>
      </w:pPr>
    </w:p>
    <w:p w:rsidR="00B86812" w:rsidRPr="00E00B35" w:rsidRDefault="00B86812" w:rsidP="00E00B35">
      <w:pPr>
        <w:autoSpaceDE w:val="0"/>
        <w:autoSpaceDN w:val="0"/>
        <w:adjustRightInd w:val="0"/>
        <w:spacing w:after="0" w:line="312" w:lineRule="auto"/>
        <w:rPr>
          <w:rFonts w:eastAsiaTheme="minorHAnsi" w:cs="Verdana"/>
          <w:color w:val="2F2F2F"/>
          <w:szCs w:val="20"/>
        </w:rPr>
      </w:pPr>
      <w:r w:rsidRPr="00E00B35">
        <w:rPr>
          <w:szCs w:val="20"/>
        </w:rPr>
        <w:t>Wydział komunikował założenia pierwszego</w:t>
      </w:r>
      <w:r w:rsidRPr="00E00B35">
        <w:rPr>
          <w:b/>
          <w:szCs w:val="20"/>
        </w:rPr>
        <w:t xml:space="preserve"> Wrocławskiego Panelu Obywatelskiego</w:t>
      </w:r>
      <w:r w:rsidRPr="00E00B35">
        <w:rPr>
          <w:szCs w:val="20"/>
        </w:rPr>
        <w:t xml:space="preserve">, który rozpoczął się  </w:t>
      </w:r>
      <w:r w:rsidRPr="00E00B35">
        <w:rPr>
          <w:rFonts w:eastAsiaTheme="minorHAnsi" w:cs="Verdana"/>
          <w:szCs w:val="20"/>
        </w:rPr>
        <w:t>3 września 2020 r.</w:t>
      </w:r>
      <w:r w:rsidRPr="00E00B35">
        <w:rPr>
          <w:rFonts w:eastAsiaTheme="minorHAnsi" w:cs="Verdana"/>
          <w:color w:val="2F2F2F"/>
          <w:szCs w:val="20"/>
        </w:rPr>
        <w:t xml:space="preserve"> </w:t>
      </w:r>
    </w:p>
    <w:p w:rsidR="00B86812" w:rsidRPr="00E00B35" w:rsidRDefault="00B86812" w:rsidP="00E00B35">
      <w:pPr>
        <w:autoSpaceDE w:val="0"/>
        <w:autoSpaceDN w:val="0"/>
        <w:adjustRightInd w:val="0"/>
        <w:spacing w:after="0" w:line="312" w:lineRule="auto"/>
        <w:rPr>
          <w:rFonts w:eastAsiaTheme="minorHAnsi" w:cs="Verdana"/>
          <w:szCs w:val="20"/>
        </w:rPr>
      </w:pPr>
    </w:p>
    <w:p w:rsidR="00B86812" w:rsidRPr="00E00B35" w:rsidRDefault="00B86812" w:rsidP="00E00B35">
      <w:pPr>
        <w:autoSpaceDE w:val="0"/>
        <w:autoSpaceDN w:val="0"/>
        <w:adjustRightInd w:val="0"/>
        <w:spacing w:after="0" w:line="312" w:lineRule="auto"/>
        <w:rPr>
          <w:rFonts w:eastAsiaTheme="minorHAnsi" w:cs="Verdana"/>
          <w:szCs w:val="20"/>
        </w:rPr>
      </w:pPr>
      <w:r w:rsidRPr="00E00B35">
        <w:rPr>
          <w:rFonts w:eastAsiaTheme="minorHAnsi" w:cs="Verdana"/>
          <w:szCs w:val="20"/>
        </w:rPr>
        <w:lastRenderedPageBreak/>
        <w:t>Tematem było usprawnienie przemieszczania się po Wrocławiu, uwzględniające poprawę jakości życia oraz ochronę klimatu. Zrealizowane zostały liczne transmisje, przeprowadzone zostały działania medialne, podjęte ku rozpowszechnieniu komentarza Urzędu Miejskiego i raportu powstałego po Panelu Obywatelskim - rekomendacje, które wyniknęły z podjętych rozmów w trakcie Panelu.</w:t>
      </w:r>
    </w:p>
    <w:p w:rsidR="00FF46DF" w:rsidRPr="00E00B35" w:rsidRDefault="00FF46DF" w:rsidP="00E00B35">
      <w:pPr>
        <w:autoSpaceDE w:val="0"/>
        <w:autoSpaceDN w:val="0"/>
        <w:adjustRightInd w:val="0"/>
        <w:spacing w:after="0" w:line="312" w:lineRule="auto"/>
        <w:rPr>
          <w:rFonts w:eastAsiaTheme="minorHAnsi" w:cs="Verdana"/>
          <w:szCs w:val="20"/>
        </w:rPr>
      </w:pPr>
    </w:p>
    <w:p w:rsidR="00B86812" w:rsidRPr="00E00B35" w:rsidRDefault="00B86812" w:rsidP="00E00B35">
      <w:pPr>
        <w:pStyle w:val="Nagwek4"/>
        <w:spacing w:before="0" w:after="0" w:line="312" w:lineRule="auto"/>
        <w:rPr>
          <w:sz w:val="20"/>
          <w:szCs w:val="20"/>
        </w:rPr>
      </w:pPr>
      <w:r w:rsidRPr="00E00B35">
        <w:rPr>
          <w:sz w:val="20"/>
          <w:szCs w:val="20"/>
        </w:rPr>
        <w:t>MEDIA SPOŁECZNOŚCIOWE</w:t>
      </w:r>
    </w:p>
    <w:p w:rsidR="00B86812" w:rsidRPr="00E00B35" w:rsidRDefault="00B86812" w:rsidP="00E00B35">
      <w:pPr>
        <w:spacing w:after="0" w:line="312" w:lineRule="auto"/>
        <w:rPr>
          <w:rFonts w:eastAsiaTheme="minorHAnsi" w:cs="Verdana"/>
          <w:color w:val="000000"/>
          <w:szCs w:val="20"/>
        </w:rPr>
      </w:pPr>
      <w:r w:rsidRPr="00E00B35">
        <w:rPr>
          <w:szCs w:val="20"/>
        </w:rPr>
        <w:t xml:space="preserve">Bez wątpienia najważniejszym tematem w mediach społecznościowych promującym Wrocław były raporty korona wirusowe prowadzone na kanale: Prezydent Wrocławia Jacek Sutryk. </w:t>
      </w:r>
      <w:r w:rsidRPr="00E00B35">
        <w:rPr>
          <w:rFonts w:eastAsiaTheme="minorHAnsi" w:cs="Verdana"/>
          <w:color w:val="000000"/>
          <w:szCs w:val="20"/>
        </w:rPr>
        <w:t>74 spotkania, 37 godzin, łącznie 12 milionów odbiorców, łącznie ponad milion aktywności.</w:t>
      </w:r>
    </w:p>
    <w:p w:rsidR="00B86812" w:rsidRPr="00E00B35" w:rsidRDefault="00B86812" w:rsidP="00E00B35">
      <w:pPr>
        <w:spacing w:after="0" w:line="312" w:lineRule="auto"/>
        <w:rPr>
          <w:b/>
          <w:szCs w:val="20"/>
        </w:rPr>
      </w:pPr>
    </w:p>
    <w:p w:rsidR="00B86812" w:rsidRPr="00E00B35" w:rsidRDefault="00B86812" w:rsidP="00E00B35">
      <w:pPr>
        <w:spacing w:after="0" w:line="312" w:lineRule="auto"/>
        <w:rPr>
          <w:b/>
          <w:szCs w:val="20"/>
        </w:rPr>
      </w:pPr>
      <w:r w:rsidRPr="00E00B35">
        <w:rPr>
          <w:b/>
          <w:noProof/>
          <w:szCs w:val="20"/>
        </w:rPr>
        <w:drawing>
          <wp:inline distT="0" distB="0" distL="0" distR="0">
            <wp:extent cx="5426253" cy="3273465"/>
            <wp:effectExtent l="19050" t="0" r="2997" b="0"/>
            <wp:docPr id="790" name="Obraz 790" descr="D:\Users\umkrbr02\AppData\Local\Temp\notesBDE99B\Przechwytywa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descr="D:\Users\umkrbr02\AppData\Local\Temp\notesBDE99B\Przechwytywanie.PNG"/>
                    <pic:cNvPicPr>
                      <a:picLocks noChangeAspect="1" noChangeArrowheads="1"/>
                    </pic:cNvPicPr>
                  </pic:nvPicPr>
                  <pic:blipFill>
                    <a:blip r:embed="rId21" cstate="print"/>
                    <a:srcRect/>
                    <a:stretch>
                      <a:fillRect/>
                    </a:stretch>
                  </pic:blipFill>
                  <pic:spPr bwMode="auto">
                    <a:xfrm>
                      <a:off x="0" y="0"/>
                      <a:ext cx="5430272" cy="3275889"/>
                    </a:xfrm>
                    <a:prstGeom prst="rect">
                      <a:avLst/>
                    </a:prstGeom>
                    <a:noFill/>
                    <a:ln w="9525">
                      <a:noFill/>
                      <a:miter lim="800000"/>
                      <a:headEnd/>
                      <a:tailEnd/>
                    </a:ln>
                  </pic:spPr>
                </pic:pic>
              </a:graphicData>
            </a:graphic>
          </wp:inline>
        </w:drawing>
      </w:r>
    </w:p>
    <w:p w:rsidR="00B86812" w:rsidRPr="00E00B35" w:rsidRDefault="00B86812" w:rsidP="00E00B35">
      <w:pPr>
        <w:spacing w:after="0" w:line="312" w:lineRule="auto"/>
        <w:rPr>
          <w:rFonts w:eastAsiaTheme="minorHAnsi" w:cs="Verdana"/>
          <w:color w:val="000000"/>
          <w:szCs w:val="20"/>
        </w:rPr>
      </w:pPr>
      <w:r w:rsidRPr="00E00B35">
        <w:rPr>
          <w:szCs w:val="20"/>
        </w:rPr>
        <w:t>Wprowadziliśmy pierwszego w Polsce miejskiego asystenta wirtualnego</w:t>
      </w:r>
      <w:r w:rsidRPr="00E00B35">
        <w:rPr>
          <w:szCs w:val="20"/>
        </w:rPr>
        <w:br/>
      </w:r>
      <w:hyperlink r:id="rId22" w:tgtFrame="_blank" w:history="1">
        <w:r w:rsidRPr="00E00B35">
          <w:rPr>
            <w:rStyle w:val="Hipercze"/>
            <w:rFonts w:eastAsia="font415"/>
            <w:szCs w:val="20"/>
          </w:rPr>
          <w:t>https://nowymarketing.pl/a/25596,wroclaw-automatyzuje-komunikacje-z-mieszkancami-na-temat-koronawirusa</w:t>
        </w:r>
      </w:hyperlink>
    </w:p>
    <w:p w:rsidR="00B86812" w:rsidRPr="00E00B35" w:rsidRDefault="00B86812" w:rsidP="00E00B35">
      <w:pPr>
        <w:spacing w:after="0" w:line="312" w:lineRule="auto"/>
        <w:rPr>
          <w:b/>
          <w:szCs w:val="20"/>
        </w:rPr>
      </w:pPr>
    </w:p>
    <w:p w:rsidR="00B86812" w:rsidRPr="00E00B35" w:rsidRDefault="00B86812" w:rsidP="00E00B35">
      <w:pPr>
        <w:spacing w:after="0" w:line="312" w:lineRule="auto"/>
        <w:rPr>
          <w:rFonts w:eastAsiaTheme="minorHAnsi" w:cs="Verdana"/>
          <w:color w:val="000000"/>
          <w:szCs w:val="20"/>
        </w:rPr>
      </w:pPr>
      <w:r w:rsidRPr="00E00B35">
        <w:rPr>
          <w:b/>
          <w:szCs w:val="20"/>
        </w:rPr>
        <w:t xml:space="preserve"> </w:t>
      </w:r>
      <w:r w:rsidRPr="00E00B35">
        <w:rPr>
          <w:szCs w:val="20"/>
        </w:rPr>
        <w:t>Dobrzy przyjęty przez mieszkańców został cykl</w:t>
      </w:r>
      <w:r w:rsidRPr="00E00B35">
        <w:rPr>
          <w:b/>
          <w:szCs w:val="20"/>
        </w:rPr>
        <w:t xml:space="preserve"> </w:t>
      </w:r>
      <w:r w:rsidRPr="00E00B35">
        <w:rPr>
          <w:rFonts w:eastAsiaTheme="minorHAnsi" w:cs="Verdana"/>
          <w:b/>
          <w:color w:val="000000"/>
          <w:szCs w:val="20"/>
        </w:rPr>
        <w:t xml:space="preserve">#NicsięniedziejeweWrocławiu </w:t>
      </w:r>
      <w:r w:rsidRPr="00E00B35">
        <w:rPr>
          <w:rFonts w:eastAsiaTheme="minorHAnsi" w:cs="Verdana"/>
          <w:color w:val="000000"/>
          <w:szCs w:val="20"/>
        </w:rPr>
        <w:t>poświęcony inwestycją prowadzonym na terenie miasta</w:t>
      </w:r>
      <w:r w:rsidRPr="00E00B35">
        <w:rPr>
          <w:rFonts w:eastAsiaTheme="minorHAnsi" w:cs="Verdana"/>
          <w:b/>
          <w:color w:val="000000"/>
          <w:szCs w:val="20"/>
        </w:rPr>
        <w:t xml:space="preserve"> </w:t>
      </w:r>
      <w:r w:rsidRPr="00E00B35">
        <w:rPr>
          <w:rFonts w:eastAsiaTheme="minorHAnsi" w:cs="Verdana"/>
          <w:color w:val="000000"/>
          <w:szCs w:val="20"/>
        </w:rPr>
        <w:t>- 41 odsłon.</w:t>
      </w:r>
    </w:p>
    <w:p w:rsidR="00B86812" w:rsidRPr="00E00B35" w:rsidRDefault="00B86812" w:rsidP="00E00B35">
      <w:pPr>
        <w:spacing w:after="0" w:line="312" w:lineRule="auto"/>
        <w:rPr>
          <w:b/>
          <w:szCs w:val="20"/>
        </w:rPr>
      </w:pPr>
    </w:p>
    <w:p w:rsidR="00B86812" w:rsidRPr="00E00B35" w:rsidRDefault="00B86812" w:rsidP="00E00B35">
      <w:pPr>
        <w:pStyle w:val="Nagwek5"/>
        <w:rPr>
          <w:szCs w:val="20"/>
        </w:rPr>
      </w:pPr>
      <w:r w:rsidRPr="00E00B35">
        <w:rPr>
          <w:szCs w:val="20"/>
        </w:rPr>
        <w:t>Facebook Wroclaw [Wroclove]</w:t>
      </w:r>
    </w:p>
    <w:p w:rsidR="00B86812" w:rsidRPr="00E00B35" w:rsidRDefault="00B86812" w:rsidP="00E00B35">
      <w:pPr>
        <w:spacing w:after="0" w:line="312" w:lineRule="auto"/>
        <w:rPr>
          <w:szCs w:val="20"/>
        </w:rPr>
      </w:pPr>
      <w:r w:rsidRPr="00E00B35">
        <w:rPr>
          <w:szCs w:val="20"/>
        </w:rPr>
        <w:t xml:space="preserve">Oficjalny fanpage miasta Wrocław [Wroclove] w ciągu 2020 roku zwiększył liczbę swoich fanów o ponad 20 tys. internautów. Wrocławski fanpage jest jedną z najpopularniejszych stron miast w kraju. </w:t>
      </w:r>
    </w:p>
    <w:p w:rsidR="00FF46DF" w:rsidRPr="00E00B35" w:rsidRDefault="00FF46DF" w:rsidP="00E00B35">
      <w:pPr>
        <w:spacing w:after="0" w:line="312" w:lineRule="auto"/>
        <w:rPr>
          <w:szCs w:val="20"/>
        </w:rPr>
      </w:pPr>
      <w:r w:rsidRPr="00E00B35">
        <w:rPr>
          <w:szCs w:val="20"/>
        </w:rPr>
        <w:t>Łączna liczba polubień: 294 224</w:t>
      </w:r>
    </w:p>
    <w:p w:rsidR="00FF46DF" w:rsidRPr="00E00B35" w:rsidRDefault="00FF46DF" w:rsidP="00E00B35">
      <w:pPr>
        <w:spacing w:after="0" w:line="312" w:lineRule="auto"/>
        <w:rPr>
          <w:szCs w:val="20"/>
        </w:rPr>
      </w:pPr>
      <w:r w:rsidRPr="00E00B35">
        <w:rPr>
          <w:szCs w:val="20"/>
        </w:rPr>
        <w:t>Łączna liczba obserwujących: 296 867</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lastRenderedPageBreak/>
        <w:t xml:space="preserve">Do najbardziej „klikanych” tematów należały wydarzenia, jak np. Światowy Dzień Pingwinów, Życzenia od Anny Dymnej w ramach #75WrocLove oraz Międzynarodowy Dzień Opiekuna Zwierząt. </w:t>
      </w:r>
    </w:p>
    <w:p w:rsidR="00B86812" w:rsidRPr="00E00B35" w:rsidRDefault="00B86812" w:rsidP="00E00B35">
      <w:pPr>
        <w:spacing w:after="0" w:line="312" w:lineRule="auto"/>
        <w:rPr>
          <w:b/>
          <w:i/>
          <w:szCs w:val="20"/>
        </w:rPr>
      </w:pPr>
    </w:p>
    <w:p w:rsidR="00B86812" w:rsidRPr="00E00B35" w:rsidRDefault="00B86812" w:rsidP="00E00B35">
      <w:pPr>
        <w:pStyle w:val="Nagwek5"/>
        <w:rPr>
          <w:szCs w:val="20"/>
        </w:rPr>
      </w:pPr>
      <w:r w:rsidRPr="00E00B35">
        <w:rPr>
          <w:szCs w:val="20"/>
        </w:rPr>
        <w:t xml:space="preserve">Twitter @wroclaw_info </w:t>
      </w:r>
    </w:p>
    <w:p w:rsidR="00B86812" w:rsidRPr="00E00B35" w:rsidRDefault="00B86812" w:rsidP="00E00B35">
      <w:pPr>
        <w:spacing w:after="0" w:line="312" w:lineRule="auto"/>
        <w:rPr>
          <w:rFonts w:eastAsiaTheme="minorHAnsi" w:cs="Verdana"/>
          <w:color w:val="000000"/>
          <w:szCs w:val="20"/>
        </w:rPr>
      </w:pPr>
      <w:r w:rsidRPr="00E00B35">
        <w:rPr>
          <w:rFonts w:eastAsiaTheme="minorHAnsi" w:cs="Verdana"/>
          <w:color w:val="000000"/>
          <w:szCs w:val="20"/>
        </w:rPr>
        <w:t>Na koncie Wrocław_info każdego dnia publikowane jest od kilku do kilkunastu krótkich informacji: wydarzenia, zapowiedzi, utrudnienia w ruchu pojazdów MPK, informacje</w:t>
      </w:r>
      <w:r w:rsidRPr="00E00B35">
        <w:rPr>
          <w:rFonts w:eastAsiaTheme="minorHAnsi" w:cs="Verdana"/>
          <w:color w:val="000000"/>
          <w:szCs w:val="20"/>
        </w:rPr>
        <w:br/>
        <w:t xml:space="preserve">o stanie jakości powietrza, a także inne alerty z Centrum Zarządzania Kryzysowego. </w:t>
      </w:r>
      <w:r w:rsidRPr="00E00B35">
        <w:rPr>
          <w:rFonts w:eastAsiaTheme="minorHAnsi" w:cs="Verdana"/>
          <w:color w:val="000000"/>
          <w:szCs w:val="20"/>
        </w:rPr>
        <w:br/>
        <w:t>Na Twitterze prostowane są błędy informacyjne, za jego pośrednictwem użytkownicy</w:t>
      </w:r>
      <w:r w:rsidRPr="00E00B35">
        <w:rPr>
          <w:rFonts w:eastAsiaTheme="minorHAnsi" w:cs="Verdana"/>
          <w:color w:val="000000"/>
          <w:szCs w:val="20"/>
        </w:rPr>
        <w:br/>
        <w:t xml:space="preserve">w każdej chwili mogą zadać pytanie i zgłosić problem. </w:t>
      </w:r>
    </w:p>
    <w:p w:rsidR="00B86812" w:rsidRPr="00E00B35" w:rsidRDefault="00B86812" w:rsidP="00E00B35">
      <w:pPr>
        <w:spacing w:after="0" w:line="312" w:lineRule="auto"/>
        <w:rPr>
          <w:b/>
          <w:i/>
          <w:szCs w:val="20"/>
        </w:rPr>
      </w:pPr>
      <w:r w:rsidRPr="00E00B35">
        <w:rPr>
          <w:rFonts w:eastAsiaTheme="minorHAnsi" w:cs="Verdana"/>
          <w:color w:val="000000"/>
          <w:szCs w:val="20"/>
        </w:rPr>
        <w:br/>
        <w:t>Wrocław stale jest liderem wśród polskich miast na Twitterze. W 2020 r. liczba obserwujących profil @wroclaw_info wzrosła o ponad 2,5 tysiąca, aktualnie jest 80 500 i ciągle rośnie.</w:t>
      </w:r>
    </w:p>
    <w:p w:rsidR="00B86812" w:rsidRPr="00E00B35" w:rsidRDefault="00B86812" w:rsidP="00E00B35">
      <w:pPr>
        <w:spacing w:after="0" w:line="312" w:lineRule="auto"/>
        <w:rPr>
          <w:b/>
          <w:i/>
          <w:szCs w:val="20"/>
        </w:rPr>
      </w:pPr>
    </w:p>
    <w:p w:rsidR="00B86812" w:rsidRPr="00E00B35" w:rsidRDefault="00B86812" w:rsidP="00E00B35">
      <w:pPr>
        <w:pStyle w:val="Nagwek5"/>
        <w:rPr>
          <w:szCs w:val="20"/>
        </w:rPr>
      </w:pPr>
      <w:r w:rsidRPr="00E00B35">
        <w:rPr>
          <w:szCs w:val="20"/>
        </w:rPr>
        <w:t>Instagram</w:t>
      </w:r>
    </w:p>
    <w:p w:rsidR="00B86812" w:rsidRPr="00E00B35" w:rsidRDefault="00B86812" w:rsidP="00E00B35">
      <w:pPr>
        <w:spacing w:after="0" w:line="312" w:lineRule="auto"/>
        <w:rPr>
          <w:rFonts w:eastAsiaTheme="minorHAnsi" w:cs="Verdana"/>
          <w:color w:val="000000"/>
          <w:szCs w:val="20"/>
        </w:rPr>
      </w:pPr>
      <w:r w:rsidRPr="00E00B35">
        <w:rPr>
          <w:rFonts w:eastAsiaTheme="minorHAnsi" w:cs="Verdana"/>
          <w:color w:val="000000"/>
          <w:szCs w:val="20"/>
        </w:rPr>
        <w:t xml:space="preserve">Profil @wroclaw_official obserwuje już ponad </w:t>
      </w:r>
      <w:r w:rsidRPr="00E00B35">
        <w:rPr>
          <w:rFonts w:eastAsiaTheme="minorHAnsi" w:cs="Verdana"/>
          <w:b/>
          <w:bCs/>
          <w:color w:val="000000"/>
          <w:szCs w:val="20"/>
        </w:rPr>
        <w:t xml:space="preserve">118 000 </w:t>
      </w:r>
      <w:r w:rsidRPr="00E00B35">
        <w:rPr>
          <w:rFonts w:eastAsiaTheme="minorHAnsi" w:cs="Verdana"/>
          <w:color w:val="000000"/>
          <w:szCs w:val="20"/>
        </w:rPr>
        <w:t>followersów. Na Instagramie przybyło ok. 8 tysięcy obserwujących.</w:t>
      </w:r>
    </w:p>
    <w:p w:rsidR="00B86812" w:rsidRPr="00E00B35" w:rsidRDefault="00B86812" w:rsidP="00E00B35">
      <w:pPr>
        <w:spacing w:after="0" w:line="312" w:lineRule="auto"/>
        <w:rPr>
          <w:rFonts w:eastAsiaTheme="minorHAnsi" w:cs="Verdana"/>
          <w:color w:val="000000"/>
          <w:szCs w:val="20"/>
        </w:rPr>
      </w:pPr>
    </w:p>
    <w:p w:rsidR="00B86812" w:rsidRPr="00E00B35" w:rsidRDefault="00B86812" w:rsidP="00E00B35">
      <w:pPr>
        <w:pStyle w:val="Nagwek3"/>
        <w:spacing w:after="0" w:line="312" w:lineRule="auto"/>
        <w:rPr>
          <w:sz w:val="20"/>
        </w:rPr>
      </w:pPr>
      <w:r w:rsidRPr="00E00B35">
        <w:rPr>
          <w:sz w:val="20"/>
        </w:rPr>
        <w:t>Biuro Współpracy z Zagranicą</w:t>
      </w:r>
    </w:p>
    <w:p w:rsidR="00B86812" w:rsidRPr="00E00B35" w:rsidRDefault="00B86812" w:rsidP="00E00B35">
      <w:pPr>
        <w:spacing w:after="0" w:line="312" w:lineRule="auto"/>
        <w:rPr>
          <w:szCs w:val="20"/>
        </w:rPr>
      </w:pPr>
      <w:r w:rsidRPr="00E00B35">
        <w:rPr>
          <w:szCs w:val="20"/>
        </w:rPr>
        <w:t>Wrocław ma 17 Miast Partnerskich, w większości europejskich (w kolejności zawierania umów): Drezno, Wiesbaden, Departament La Vienne, Breda, Lwów, Kowno, Hradec Králové, Grodno, Lille, Wilno, Reykjavik, Oxford i Batumi, ale także spoza naszego kontynentu: Charlotte (USA), Guadalajara (Meksyk) i Ramat Gan (Izrael).</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 2019 r. rozpoczęły się starania o zawarcie partnerstwa z koreańskim miastem Cheongju, które były kontynuowane w 2020 r. 27 lutego Radni RMW przyjęli uchwałę </w:t>
      </w:r>
    </w:p>
    <w:p w:rsidR="00B86812" w:rsidRPr="00E00B35" w:rsidRDefault="00B86812" w:rsidP="00E00B35">
      <w:pPr>
        <w:spacing w:after="0" w:line="312" w:lineRule="auto"/>
        <w:rPr>
          <w:szCs w:val="20"/>
        </w:rPr>
      </w:pPr>
      <w:r w:rsidRPr="00E00B35">
        <w:rPr>
          <w:szCs w:val="20"/>
        </w:rPr>
        <w:t xml:space="preserve">w sprawie współpracy partnerskiej obu Miast. Na czerwiec planowana była wizyta przedstawicieli Cheongju we Wrocławiu połączona z uroczystością podpisania umowy partnerskiej, jednak – na skutek wybuchu pandemii koronawirusa – konieczne było </w:t>
      </w:r>
    </w:p>
    <w:p w:rsidR="00B86812" w:rsidRPr="00E00B35" w:rsidRDefault="00B86812" w:rsidP="00E00B35">
      <w:pPr>
        <w:spacing w:after="0" w:line="312" w:lineRule="auto"/>
        <w:rPr>
          <w:szCs w:val="20"/>
        </w:rPr>
      </w:pPr>
      <w:r w:rsidRPr="00E00B35">
        <w:rPr>
          <w:szCs w:val="20"/>
        </w:rPr>
        <w:t>jej odwołanie.</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Współpraca z Miastami Partnerskimi:</w:t>
      </w:r>
    </w:p>
    <w:p w:rsidR="00B86812" w:rsidRPr="00E00B35" w:rsidRDefault="00B86812" w:rsidP="00E00B35">
      <w:pPr>
        <w:spacing w:after="0" w:line="312" w:lineRule="auto"/>
        <w:rPr>
          <w:szCs w:val="20"/>
        </w:rPr>
      </w:pPr>
      <w:r w:rsidRPr="00E00B35">
        <w:rPr>
          <w:szCs w:val="20"/>
        </w:rPr>
        <w:t>Batumi</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28 stycznia – inauguracja Ronda im. Gruzińskich Oficerów Wojska Polskiego przy </w:t>
      </w:r>
    </w:p>
    <w:p w:rsidR="00B86812" w:rsidRPr="00E00B35" w:rsidRDefault="00B86812" w:rsidP="00E00B35">
      <w:pPr>
        <w:spacing w:after="0" w:line="312" w:lineRule="auto"/>
        <w:ind w:left="426"/>
        <w:rPr>
          <w:szCs w:val="20"/>
        </w:rPr>
      </w:pPr>
      <w:r w:rsidRPr="00E00B35">
        <w:rPr>
          <w:szCs w:val="20"/>
        </w:rPr>
        <w:t>ul. Granicznej na Muchoborze Wielkim. Wydarzenie związane było z wizytą delegacji Batumi (z Wicemer Lelą Surmanidze na czele), a także z przypadającą na 29 stycznia 101. rocznicą uznania przez Polskę niepodległości Demokratycznej Republiki Gruzji.</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13 lipca – spotkanie polsko-gruzińskie w pierwszą rocznicę podpisania memorandum </w:t>
      </w:r>
    </w:p>
    <w:p w:rsidR="00B86812" w:rsidRPr="00E00B35" w:rsidRDefault="00B86812" w:rsidP="00E00B35">
      <w:pPr>
        <w:spacing w:after="0" w:line="312" w:lineRule="auto"/>
        <w:ind w:left="426"/>
        <w:rPr>
          <w:szCs w:val="20"/>
        </w:rPr>
      </w:pPr>
      <w:r w:rsidRPr="00E00B35">
        <w:rPr>
          <w:szCs w:val="20"/>
        </w:rPr>
        <w:t>o współpracy pomiędzy Wrocławiem a Batumi.</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Na początku października miała się odbyć wizyta studyjna dyrektorów szkół średnich </w:t>
      </w:r>
    </w:p>
    <w:p w:rsidR="00B86812" w:rsidRPr="00E00B35" w:rsidRDefault="00B86812" w:rsidP="00E00B35">
      <w:pPr>
        <w:spacing w:after="0" w:line="312" w:lineRule="auto"/>
        <w:ind w:left="426"/>
        <w:rPr>
          <w:szCs w:val="20"/>
        </w:rPr>
      </w:pPr>
      <w:r w:rsidRPr="00E00B35">
        <w:rPr>
          <w:szCs w:val="20"/>
        </w:rPr>
        <w:t xml:space="preserve">z Wrocławia w Gruzji, jednak - ze względu na pandemię - wizyta ta została odwołana. </w:t>
      </w:r>
    </w:p>
    <w:p w:rsidR="00B86812" w:rsidRPr="00E00B35" w:rsidRDefault="00B86812" w:rsidP="00E00B35">
      <w:pPr>
        <w:spacing w:after="0" w:line="312" w:lineRule="auto"/>
        <w:rPr>
          <w:szCs w:val="20"/>
        </w:rPr>
      </w:pPr>
      <w:r w:rsidRPr="00E00B35">
        <w:rPr>
          <w:szCs w:val="20"/>
        </w:rPr>
        <w:lastRenderedPageBreak/>
        <w:t xml:space="preserve">W ramach organizacji wizyty rozpoczęto rozmowy z Urzędem Miasta Batumi oraz Tbilisi, powstał zarys programu, plan wizyty studyjnej, została przeprowadzona wstępna kalkulacja kosztów, zakupione bilety lotnicze. Wizyta studyjna ta miała </w:t>
      </w:r>
    </w:p>
    <w:p w:rsidR="00B86812" w:rsidRPr="00E00B35" w:rsidRDefault="00B86812" w:rsidP="00E00B35">
      <w:pPr>
        <w:spacing w:after="0" w:line="312" w:lineRule="auto"/>
        <w:rPr>
          <w:szCs w:val="20"/>
        </w:rPr>
      </w:pPr>
      <w:r w:rsidRPr="00E00B35">
        <w:rPr>
          <w:szCs w:val="20"/>
        </w:rPr>
        <w:t>na celu zapoznanie szkół wrocławskich i gruzińskich i omówienie możliwości współpracy przy realizacji wspólnych projektów w przyszłości.</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Breda</w:t>
      </w:r>
    </w:p>
    <w:p w:rsidR="00B86812" w:rsidRPr="00E00B35" w:rsidRDefault="00B86812" w:rsidP="00BC64AB">
      <w:pPr>
        <w:numPr>
          <w:ilvl w:val="0"/>
          <w:numId w:val="291"/>
        </w:numPr>
        <w:spacing w:after="0" w:line="312" w:lineRule="auto"/>
        <w:ind w:left="426" w:hanging="426"/>
        <w:rPr>
          <w:szCs w:val="20"/>
        </w:rPr>
      </w:pPr>
      <w:r w:rsidRPr="00E00B35">
        <w:rPr>
          <w:szCs w:val="20"/>
        </w:rPr>
        <w:t>Z powodu pandemii nie odbyło się majowe spotkanie we Wrocławiu Prezydenta Wrocławia i Burmistrza Bredy, które planowano przy okazji nawiązania współpracy między liceum z Bredy i wrocławskim V LO.</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26 października – rozmowa online Prezydenta Wrocławia z burmistrzem Bredy </w:t>
      </w:r>
      <w:r w:rsidR="00FF46DF" w:rsidRPr="00E00B35">
        <w:rPr>
          <w:szCs w:val="20"/>
        </w:rPr>
        <w:t xml:space="preserve">o </w:t>
      </w:r>
      <w:r w:rsidRPr="00E00B35">
        <w:rPr>
          <w:szCs w:val="20"/>
        </w:rPr>
        <w:t>sytuacji miast w czasie pandemii i wspólnych planach na 2021 rok.</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planowane na 21-23 października 2020 uroczyste otwarcie Memoriału gen. Maczka </w:t>
      </w:r>
    </w:p>
    <w:p w:rsidR="00B86812" w:rsidRPr="00E00B35" w:rsidRDefault="00B86812" w:rsidP="00E00B35">
      <w:pPr>
        <w:spacing w:after="0" w:line="312" w:lineRule="auto"/>
        <w:ind w:left="426"/>
        <w:rPr>
          <w:szCs w:val="20"/>
        </w:rPr>
      </w:pPr>
      <w:r w:rsidRPr="00E00B35">
        <w:rPr>
          <w:szCs w:val="20"/>
        </w:rPr>
        <w:t>w Bredzie z udziałem gości zagranicznych zostało odwołane z powodu pandemii.</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Pod koniec roku na zaproszenie Wrocławia Breda wzięła udział w projekcie „Ferie </w:t>
      </w:r>
    </w:p>
    <w:p w:rsidR="00B86812" w:rsidRPr="00E00B35" w:rsidRDefault="00B86812" w:rsidP="00E00B35">
      <w:pPr>
        <w:spacing w:after="0" w:line="312" w:lineRule="auto"/>
        <w:ind w:left="426"/>
        <w:rPr>
          <w:szCs w:val="20"/>
        </w:rPr>
      </w:pPr>
      <w:r w:rsidRPr="00E00B35">
        <w:rPr>
          <w:szCs w:val="20"/>
        </w:rPr>
        <w:t>w mieście”, który polegał na przesłaniu filmiku promocyjnego prezentującego miasto wrocławskim dzieciom, które z uwagi na obostrzenia sanitarne musiały spędzać ferie raczej w domach. Filmiki publikowano w okresie trwania lub tuz po feriach szkolnych na portalach społecznościowych i/lub stronie Wrocław.pl.</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Drezno</w:t>
      </w:r>
    </w:p>
    <w:p w:rsidR="00B86812" w:rsidRPr="00E00B35" w:rsidRDefault="00B86812" w:rsidP="00BC64AB">
      <w:pPr>
        <w:numPr>
          <w:ilvl w:val="0"/>
          <w:numId w:val="291"/>
        </w:numPr>
        <w:spacing w:after="0" w:line="312" w:lineRule="auto"/>
        <w:ind w:left="426" w:hanging="426"/>
        <w:rPr>
          <w:szCs w:val="20"/>
        </w:rPr>
      </w:pPr>
      <w:r w:rsidRPr="00E00B35">
        <w:rPr>
          <w:szCs w:val="20"/>
        </w:rPr>
        <w:t>27-29 stycznia – „Ausbildung on Tour”, wizyta studentów z Drezna we Wrocławiu ramach partnerstwa miast. Studenci Administracji Ogólnej o</w:t>
      </w:r>
      <w:r w:rsidR="00FF46DF" w:rsidRPr="00E00B35">
        <w:rPr>
          <w:szCs w:val="20"/>
        </w:rPr>
        <w:t xml:space="preserve">raz Geodezji i Katastru </w:t>
      </w:r>
      <w:r w:rsidRPr="00E00B35">
        <w:rPr>
          <w:szCs w:val="20"/>
        </w:rPr>
        <w:t xml:space="preserve">Urzędu Miasta Drezna mieli możliwość wglądu w działalność Urzędu Miejskiego </w:t>
      </w:r>
    </w:p>
    <w:p w:rsidR="00B86812" w:rsidRPr="00E00B35" w:rsidRDefault="00B86812" w:rsidP="00E00B35">
      <w:pPr>
        <w:spacing w:after="0" w:line="312" w:lineRule="auto"/>
        <w:ind w:left="426"/>
        <w:rPr>
          <w:szCs w:val="20"/>
        </w:rPr>
      </w:pPr>
      <w:r w:rsidRPr="00E00B35">
        <w:rPr>
          <w:szCs w:val="20"/>
        </w:rPr>
        <w:t>we Wrocławiu, poznali struktury i zadania samorządu odwiedzając m.in.: Wydział Komunikacji Społecznej, Biuro Prezydenta, Biuro Promocji Miasta, Biuro Współpracy z Uczelniami Wyższymi.</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14 lutego – Międzynarodowy Kongres Kultury Pamięci w Dreźnie. Dyskusja panelowa włodarzy miast Drezna, Coventry, Wrocławia i Petersburga pt.„Jeśli pamięć wygaśnie... – Jak kształtować odpowiedzialną postawę bez świadków historii?”. </w:t>
      </w:r>
    </w:p>
    <w:p w:rsidR="00B86812" w:rsidRPr="00E00B35" w:rsidRDefault="00B86812" w:rsidP="00E00B35">
      <w:pPr>
        <w:spacing w:after="0" w:line="312" w:lineRule="auto"/>
        <w:ind w:firstLine="426"/>
        <w:rPr>
          <w:szCs w:val="20"/>
        </w:rPr>
      </w:pPr>
      <w:r w:rsidRPr="00E00B35">
        <w:rPr>
          <w:szCs w:val="20"/>
        </w:rPr>
        <w:t xml:space="preserve">W dyskusji uczestniczyły też wybitne osobistości z całego świata: minister edukacji </w:t>
      </w:r>
    </w:p>
    <w:p w:rsidR="00B86812" w:rsidRPr="00E00B35" w:rsidRDefault="00B86812" w:rsidP="00E00B35">
      <w:pPr>
        <w:spacing w:after="0" w:line="312" w:lineRule="auto"/>
        <w:ind w:left="426"/>
        <w:rPr>
          <w:szCs w:val="20"/>
        </w:rPr>
      </w:pPr>
      <w:r w:rsidRPr="00E00B35">
        <w:rPr>
          <w:szCs w:val="20"/>
        </w:rPr>
        <w:t xml:space="preserve">z Chile, senator w Kongresie Kolumbii, przedstawiciele Uniwersytetu Yale (USA), Uniwersytetu Nottingham (Wlk. Brytania) i Chińskiej Akademii Nauk Technicznych. </w:t>
      </w:r>
    </w:p>
    <w:p w:rsidR="00B86812" w:rsidRPr="00E00B35" w:rsidRDefault="00B86812" w:rsidP="00E00B35">
      <w:pPr>
        <w:spacing w:after="0" w:line="312" w:lineRule="auto"/>
        <w:ind w:firstLine="426"/>
        <w:rPr>
          <w:szCs w:val="20"/>
        </w:rPr>
      </w:pPr>
      <w:r w:rsidRPr="00E00B35">
        <w:rPr>
          <w:szCs w:val="20"/>
        </w:rPr>
        <w:t xml:space="preserve">Na kongresie poruszono tematy związane z budowaniem kultury pamięci </w:t>
      </w:r>
    </w:p>
    <w:p w:rsidR="00B86812" w:rsidRPr="00E00B35" w:rsidRDefault="00B86812" w:rsidP="00E00B35">
      <w:pPr>
        <w:spacing w:after="0" w:line="312" w:lineRule="auto"/>
        <w:ind w:left="426"/>
        <w:rPr>
          <w:szCs w:val="20"/>
        </w:rPr>
      </w:pPr>
      <w:r w:rsidRPr="00E00B35">
        <w:rPr>
          <w:szCs w:val="20"/>
        </w:rPr>
        <w:t>i deklaracjami na rzecz pokoju, demokracji i praw człowieka, z jednoznacznym odrzuceniem wszelkich form przemocy, rasizmu oraz dyskryminacji. Wrocław reprezentował Dyrektor Centrum Historii Zajezdnia.</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Od października trwały równoległe kilkumiesięczne prezentacje wybranych prac Magdaleny Abakanowicz w drezdeńskim Albertinum i prac Günthera Ueckera </w:t>
      </w:r>
    </w:p>
    <w:p w:rsidR="00B86812" w:rsidRPr="00E00B35" w:rsidRDefault="00B86812" w:rsidP="00E00B35">
      <w:pPr>
        <w:spacing w:after="0" w:line="312" w:lineRule="auto"/>
        <w:ind w:left="426"/>
        <w:rPr>
          <w:szCs w:val="20"/>
        </w:rPr>
      </w:pPr>
      <w:r w:rsidRPr="00E00B35">
        <w:rPr>
          <w:szCs w:val="20"/>
        </w:rPr>
        <w:t>w Pawilonie Czterech Kopuł we Wrocławiu.</w:t>
      </w:r>
    </w:p>
    <w:p w:rsidR="00B86812" w:rsidRPr="00E00B35" w:rsidRDefault="00B86812" w:rsidP="00BC64AB">
      <w:pPr>
        <w:numPr>
          <w:ilvl w:val="0"/>
          <w:numId w:val="291"/>
        </w:numPr>
        <w:spacing w:after="0" w:line="312" w:lineRule="auto"/>
        <w:ind w:left="426" w:hanging="426"/>
        <w:rPr>
          <w:szCs w:val="20"/>
        </w:rPr>
      </w:pPr>
      <w:r w:rsidRPr="00E00B35">
        <w:rPr>
          <w:szCs w:val="20"/>
        </w:rPr>
        <w:t>Wrocław wziął udział w świątecznym projekcie Drezna pt. wirtualny kalendarz adwentowy. 18. grudnia 2020 r. odsłonięto okienko ze zdjęciem wrocławskiej choinki (jako spot w lokalnej telewizji i na FB Drezna).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Kijów</w:t>
      </w:r>
    </w:p>
    <w:p w:rsidR="00B86812" w:rsidRPr="00E00B35" w:rsidRDefault="00B86812" w:rsidP="00E00B35">
      <w:pPr>
        <w:spacing w:after="0" w:line="312" w:lineRule="auto"/>
        <w:rPr>
          <w:szCs w:val="20"/>
        </w:rPr>
      </w:pPr>
      <w:r w:rsidRPr="00E00B35">
        <w:rPr>
          <w:szCs w:val="20"/>
        </w:rPr>
        <w:t>Pod koniec roku Kijów dołączył do projektu „Ferie w mieście” (opis projektu, patrz: Breda).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Kowno</w:t>
      </w:r>
    </w:p>
    <w:p w:rsidR="00B86812" w:rsidRPr="00E00B35" w:rsidRDefault="00B86812" w:rsidP="00E00B35">
      <w:pPr>
        <w:spacing w:after="0" w:line="312" w:lineRule="auto"/>
        <w:rPr>
          <w:szCs w:val="20"/>
        </w:rPr>
      </w:pPr>
      <w:r w:rsidRPr="00E00B35">
        <w:rPr>
          <w:szCs w:val="20"/>
        </w:rPr>
        <w:t>Pod koniec roku Kowno dołączyło do projektu „Ferie w mieście” (opis projektu, patrz Breda).</w:t>
      </w:r>
    </w:p>
    <w:p w:rsidR="00B86812" w:rsidRPr="00E00B35" w:rsidRDefault="00B86812" w:rsidP="00E00B35">
      <w:pPr>
        <w:spacing w:after="0" w:line="312" w:lineRule="auto"/>
        <w:rPr>
          <w:szCs w:val="20"/>
        </w:rPr>
      </w:pPr>
      <w:r w:rsidRPr="00E00B35">
        <w:rPr>
          <w:szCs w:val="20"/>
        </w:rPr>
        <w:tab/>
      </w:r>
    </w:p>
    <w:p w:rsidR="00B86812" w:rsidRPr="00E00B35" w:rsidRDefault="00B86812" w:rsidP="00E00B35">
      <w:pPr>
        <w:spacing w:after="0" w:line="312" w:lineRule="auto"/>
        <w:rPr>
          <w:szCs w:val="20"/>
        </w:rPr>
      </w:pPr>
      <w:r w:rsidRPr="00E00B35">
        <w:rPr>
          <w:szCs w:val="20"/>
        </w:rPr>
        <w:t>Lille</w:t>
      </w:r>
    </w:p>
    <w:p w:rsidR="00B86812" w:rsidRPr="00E00B35" w:rsidRDefault="00B86812" w:rsidP="00BC64AB">
      <w:pPr>
        <w:numPr>
          <w:ilvl w:val="0"/>
          <w:numId w:val="291"/>
        </w:numPr>
        <w:spacing w:after="0" w:line="312" w:lineRule="auto"/>
        <w:ind w:left="426" w:hanging="426"/>
        <w:rPr>
          <w:szCs w:val="20"/>
        </w:rPr>
      </w:pPr>
      <w:r w:rsidRPr="00E00B35">
        <w:rPr>
          <w:szCs w:val="20"/>
        </w:rPr>
        <w:t>27 stycznia – prezentacja projektu z Lille „Youth mobility makers” dla przedstawicieli wrocławskich NGO.</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Od listopada trwała wymiana maili i spotkania online w sprawie udziału Wrocławia w dwóch projektach wymian międzynarodowych, które – jeśli sytuacja pandemiczna na to pozwoli – miałyby się odbyć w 2021 r.: wymiana młodzieży licealnej (w trójkącie miasta: Wrocław, Lille, Kolonia) oraz wolontariat z udziałem osób z niepełnosprawnościami.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Lwów</w:t>
      </w:r>
    </w:p>
    <w:p w:rsidR="00B86812" w:rsidRPr="00E00B35" w:rsidRDefault="00B86812" w:rsidP="00E00B35">
      <w:pPr>
        <w:spacing w:after="0" w:line="312" w:lineRule="auto"/>
        <w:rPr>
          <w:szCs w:val="20"/>
        </w:rPr>
      </w:pPr>
      <w:r w:rsidRPr="00E00B35">
        <w:rPr>
          <w:szCs w:val="20"/>
        </w:rPr>
        <w:t>Pod koniec roku Lwów dołączył do projektu „Ferie w mieście” (opis projektu – patrz: Breda).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Oxford</w:t>
      </w:r>
    </w:p>
    <w:p w:rsidR="00B86812" w:rsidRPr="00E00B35" w:rsidRDefault="00B86812" w:rsidP="00BC64AB">
      <w:pPr>
        <w:numPr>
          <w:ilvl w:val="0"/>
          <w:numId w:val="291"/>
        </w:numPr>
        <w:spacing w:after="0" w:line="312" w:lineRule="auto"/>
        <w:ind w:left="426" w:hanging="426"/>
        <w:rPr>
          <w:szCs w:val="20"/>
        </w:rPr>
      </w:pPr>
      <w:r w:rsidRPr="00E00B35">
        <w:rPr>
          <w:szCs w:val="20"/>
        </w:rPr>
        <w:t>7 lutego – wzajemna akcja wywieszenia flag Wr</w:t>
      </w:r>
      <w:r w:rsidR="00FF46DF" w:rsidRPr="00E00B35">
        <w:rPr>
          <w:szCs w:val="20"/>
        </w:rPr>
        <w:t>ocławia i Oksfordu na miejskich</w:t>
      </w:r>
      <w:r w:rsidRPr="00E00B35">
        <w:rPr>
          <w:szCs w:val="20"/>
        </w:rPr>
        <w:t>ratuszach.</w:t>
      </w:r>
    </w:p>
    <w:p w:rsidR="00B86812" w:rsidRPr="00E00B35" w:rsidRDefault="00B86812" w:rsidP="00BC64AB">
      <w:pPr>
        <w:numPr>
          <w:ilvl w:val="0"/>
          <w:numId w:val="291"/>
        </w:numPr>
        <w:spacing w:after="0" w:line="312" w:lineRule="auto"/>
        <w:ind w:left="426" w:hanging="426"/>
        <w:rPr>
          <w:szCs w:val="20"/>
        </w:rPr>
      </w:pPr>
      <w:r w:rsidRPr="00E00B35">
        <w:rPr>
          <w:szCs w:val="20"/>
        </w:rPr>
        <w:t>3-4 marca – wizyta we Wrocławiu Lorda Mayora Oxfordu Craiga Simmonsa wraz z małżonką.</w:t>
      </w:r>
    </w:p>
    <w:p w:rsidR="00B86812" w:rsidRPr="00E00B35" w:rsidRDefault="00B86812" w:rsidP="00BC64AB">
      <w:pPr>
        <w:numPr>
          <w:ilvl w:val="0"/>
          <w:numId w:val="291"/>
        </w:numPr>
        <w:spacing w:after="0" w:line="312" w:lineRule="auto"/>
        <w:ind w:left="426" w:hanging="426"/>
        <w:rPr>
          <w:szCs w:val="20"/>
        </w:rPr>
      </w:pPr>
      <w:r w:rsidRPr="00E00B35">
        <w:rPr>
          <w:szCs w:val="20"/>
        </w:rPr>
        <w:t>Z powodu pandemii nie odbyła się planowana na 21-</w:t>
      </w:r>
      <w:r w:rsidR="00FF46DF" w:rsidRPr="00E00B35">
        <w:rPr>
          <w:szCs w:val="20"/>
        </w:rPr>
        <w:t xml:space="preserve"> 22 maja wizyta chóru Cathedral </w:t>
      </w:r>
      <w:r w:rsidRPr="00E00B35">
        <w:rPr>
          <w:szCs w:val="20"/>
        </w:rPr>
        <w:t xml:space="preserve">Singers z Oxfordu i jego występy w Katedrze Wrocławskiej i w Kościele Pokoju </w:t>
      </w:r>
    </w:p>
    <w:p w:rsidR="00B86812" w:rsidRPr="00E00B35" w:rsidRDefault="00B86812" w:rsidP="00E00B35">
      <w:pPr>
        <w:spacing w:after="0" w:line="312" w:lineRule="auto"/>
        <w:ind w:left="426"/>
        <w:rPr>
          <w:szCs w:val="20"/>
        </w:rPr>
      </w:pPr>
      <w:r w:rsidRPr="00E00B35">
        <w:rPr>
          <w:szCs w:val="20"/>
        </w:rPr>
        <w:t>w Świdnicy.</w:t>
      </w:r>
    </w:p>
    <w:p w:rsidR="00B86812" w:rsidRPr="00E00B35" w:rsidRDefault="00B86812" w:rsidP="00BC64AB">
      <w:pPr>
        <w:numPr>
          <w:ilvl w:val="0"/>
          <w:numId w:val="291"/>
        </w:numPr>
        <w:spacing w:after="0" w:line="312" w:lineRule="auto"/>
        <w:ind w:left="426" w:hanging="426"/>
        <w:rPr>
          <w:szCs w:val="20"/>
        </w:rPr>
      </w:pPr>
      <w:r w:rsidRPr="00E00B35">
        <w:rPr>
          <w:szCs w:val="20"/>
        </w:rPr>
        <w:t>Nie odbył się także wrześniowy wyjazd młodzieży z wrocławskiego XIV LO do Oxfordu.</w:t>
      </w:r>
    </w:p>
    <w:p w:rsidR="00B86812" w:rsidRPr="00E00B35" w:rsidRDefault="00B86812" w:rsidP="00BC64AB">
      <w:pPr>
        <w:numPr>
          <w:ilvl w:val="0"/>
          <w:numId w:val="291"/>
        </w:numPr>
        <w:spacing w:after="0" w:line="312" w:lineRule="auto"/>
        <w:ind w:left="426" w:hanging="426"/>
        <w:rPr>
          <w:szCs w:val="20"/>
        </w:rPr>
      </w:pPr>
      <w:r w:rsidRPr="00E00B35">
        <w:rPr>
          <w:szCs w:val="20"/>
        </w:rPr>
        <w:t>24 października – udział wrocławianki Marty Horyzy w międzynarodowym projekcie muzycznym miasta partnerskiego Oxford „ETHNO ENGLAND”.</w:t>
      </w:r>
    </w:p>
    <w:p w:rsidR="00B86812" w:rsidRPr="00E00B35" w:rsidRDefault="00B86812" w:rsidP="00BC64AB">
      <w:pPr>
        <w:numPr>
          <w:ilvl w:val="0"/>
          <w:numId w:val="291"/>
        </w:numPr>
        <w:spacing w:after="0" w:line="312" w:lineRule="auto"/>
        <w:ind w:left="426" w:hanging="426"/>
        <w:rPr>
          <w:szCs w:val="20"/>
        </w:rPr>
      </w:pPr>
      <w:r w:rsidRPr="00E00B35">
        <w:rPr>
          <w:szCs w:val="20"/>
        </w:rPr>
        <w:t>Pod koniec roku Oxford dołączył do projektu „Ferie w mieście” (opis projektu – patrz: Breda).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Reykjavik</w:t>
      </w:r>
    </w:p>
    <w:p w:rsidR="00B86812" w:rsidRPr="00E00B35" w:rsidRDefault="00B86812" w:rsidP="00E00B35">
      <w:pPr>
        <w:spacing w:after="0" w:line="312" w:lineRule="auto"/>
        <w:rPr>
          <w:szCs w:val="20"/>
        </w:rPr>
      </w:pPr>
      <w:r w:rsidRPr="00E00B35">
        <w:rPr>
          <w:szCs w:val="20"/>
        </w:rPr>
        <w:t>Pod koniec roku Lwów dołączył do projektu „Ferie w mieście” (opis projektu – patrz: Batumi).</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Wiesbaden</w:t>
      </w:r>
    </w:p>
    <w:p w:rsidR="00B86812" w:rsidRPr="00E00B35" w:rsidRDefault="00B86812" w:rsidP="00E00B35">
      <w:pPr>
        <w:spacing w:after="0" w:line="312" w:lineRule="auto"/>
        <w:rPr>
          <w:szCs w:val="20"/>
        </w:rPr>
      </w:pPr>
      <w:r w:rsidRPr="00E00B35">
        <w:rPr>
          <w:szCs w:val="20"/>
        </w:rPr>
        <w:lastRenderedPageBreak/>
        <w:t>5 maja – Dzień Europy we Wrocławiu z udziałem licznych instytucji (Biuro Informacyjne Parlamentu Europejskiego we Wrocławiu, Centrum Historii Zajezdnia, Komenda Wojewódzka Policji we Wrocławiu, Konsulat Generalny Republiki Federalnej Niemiec we Wrocławiu, Miasto Wrocław, Polski Związek Motorowy, Stowarzyszenie Miast Partnerskich Wiesbaden-Wrocław) oraz głównym punktem programu, tj. Zlotem Gwiaździstym (Wheels for Europe – przejazd motorami, oldtimerami i autami elektrycznymi na plac do Zajezdni – jako oryginalny manifest i toczące się przesłanie poparcia dla idei zjednoczonej Europy) i z szeregiem imprez towarzyszących, m.in. wystawa o Wiesbaden na wrocławskim Rynku (wydarzenie odwołane z powodu koronawirusa).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Wilno</w:t>
      </w:r>
    </w:p>
    <w:p w:rsidR="00B86812" w:rsidRPr="00E00B35" w:rsidRDefault="00B86812" w:rsidP="00E00B35">
      <w:pPr>
        <w:spacing w:after="0" w:line="312" w:lineRule="auto"/>
        <w:rPr>
          <w:szCs w:val="20"/>
        </w:rPr>
      </w:pPr>
      <w:r w:rsidRPr="00E00B35">
        <w:rPr>
          <w:szCs w:val="20"/>
        </w:rPr>
        <w:t>Pod koniec roku Wilno dołączył do projektu „Ferie w mieście” (opis projektu – patrz: Breda).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Berlin </w:t>
      </w:r>
    </w:p>
    <w:p w:rsidR="00B86812" w:rsidRPr="00E00B35" w:rsidRDefault="00B86812" w:rsidP="00E00B35">
      <w:pPr>
        <w:spacing w:after="0" w:line="312" w:lineRule="auto"/>
        <w:rPr>
          <w:szCs w:val="20"/>
        </w:rPr>
      </w:pPr>
      <w:r w:rsidRPr="00E00B35">
        <w:rPr>
          <w:szCs w:val="20"/>
        </w:rPr>
        <w:t>(Berlin formalnie nie jest miastem partnerskim Wrocławia, ale już od wielu lat współpraca obu miast jest bardzo intensywna i wielopłaszczyznowa).</w:t>
      </w:r>
    </w:p>
    <w:p w:rsidR="00B86812" w:rsidRPr="00E00B35" w:rsidRDefault="00B86812" w:rsidP="00E00B35">
      <w:pPr>
        <w:spacing w:after="0" w:line="312" w:lineRule="auto"/>
        <w:rPr>
          <w:szCs w:val="20"/>
        </w:rPr>
      </w:pPr>
    </w:p>
    <w:p w:rsidR="00B86812" w:rsidRPr="00E00B35" w:rsidRDefault="00B86812" w:rsidP="00BC64AB">
      <w:pPr>
        <w:numPr>
          <w:ilvl w:val="0"/>
          <w:numId w:val="291"/>
        </w:numPr>
        <w:spacing w:after="0" w:line="312" w:lineRule="auto"/>
        <w:ind w:left="426" w:hanging="426"/>
        <w:rPr>
          <w:szCs w:val="20"/>
        </w:rPr>
      </w:pPr>
      <w:r w:rsidRPr="00E00B35">
        <w:rPr>
          <w:szCs w:val="20"/>
        </w:rPr>
        <w:t>14 maja – konferencja online organizowana przez Sekretarz stanu ds. zaangażowania obywatelskiego Sawsan Chebli w Berlinie na temat: Zaangażowanie obywatelskie w dobie pandemii COVID-19. Udział wzięli przedstawiciele: Berlina, Wiednia, Londynu, Madrytu London, Dublina, Brukseli i Wrocławia.</w:t>
      </w:r>
    </w:p>
    <w:p w:rsidR="00B86812" w:rsidRPr="00E00B35" w:rsidRDefault="00B86812" w:rsidP="00BC64AB">
      <w:pPr>
        <w:numPr>
          <w:ilvl w:val="0"/>
          <w:numId w:val="291"/>
        </w:numPr>
        <w:spacing w:after="0" w:line="312" w:lineRule="auto"/>
        <w:ind w:left="426" w:hanging="426"/>
        <w:rPr>
          <w:szCs w:val="20"/>
        </w:rPr>
      </w:pPr>
      <w:r w:rsidRPr="00E00B35">
        <w:rPr>
          <w:szCs w:val="20"/>
        </w:rPr>
        <w:t>23 czerwca – spotkanie Prezydenta Wrocławia z Wiceprzewodniczącym Bundestagu Thomasem Oppermannem.</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Konsulaty</w:t>
      </w:r>
    </w:p>
    <w:p w:rsidR="00B86812" w:rsidRPr="00E00B35" w:rsidRDefault="00B86812" w:rsidP="00E00B35">
      <w:pPr>
        <w:spacing w:after="0" w:line="312" w:lineRule="auto"/>
        <w:rPr>
          <w:szCs w:val="20"/>
        </w:rPr>
      </w:pPr>
      <w:r w:rsidRPr="00E00B35">
        <w:rPr>
          <w:szCs w:val="20"/>
        </w:rPr>
        <w:t xml:space="preserve">Do końca 2020 roku ilość placówek konsularnych działających we Wrocławiu, podobnie jak w 2019 r., wynosiła 26. Obecnie działają w mieście: jeden konsulat generalny (Republiki Federalnej Niemiec), jeden Wicekonsulat (Węgier) i 24 konsulaty honorowe: Austrii, Bułgarii, Chile, Czech, Danii, Estonii, Finlandii, Francji, Gruzji, Hiszpanii, Indii, Kazachstanu, Korei, Litwy, Luksemburga, Łotwy, Malty, Meksyku, Norwegii, Słowacji, Szwecji, Turcji, Ukrainy, Włoch.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Od października 2020 r. trwają intensywne prace nad otwarciem (być może </w:t>
      </w:r>
    </w:p>
    <w:p w:rsidR="00B86812" w:rsidRPr="00E00B35" w:rsidRDefault="00B86812" w:rsidP="00E00B35">
      <w:pPr>
        <w:spacing w:after="0" w:line="312" w:lineRule="auto"/>
        <w:rPr>
          <w:szCs w:val="20"/>
        </w:rPr>
      </w:pPr>
      <w:r w:rsidRPr="00E00B35">
        <w:rPr>
          <w:szCs w:val="20"/>
        </w:rPr>
        <w:t>w 2021 r.) konsulatu generalnego Ukrainy we Wrocławiu. Taką wolę wyraził sam Prezydent Ukrainy na oficjalnym spotkaniu z Prezydentem Polski.</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Współpraca z konsulami ma wymiar dyplomatyczny i społeczny. W ramach kontaktów własnych i możliwości finansowych poszczególni konsulowie inicjują bądź wspierają działania mające na celu promocję kraju, który reprezentują.</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Zgodnie z tradycją 2020 r. 27 stycznia odbyło się kolejne doroczne spotkanie noworoczne Prezydenta Wrocławia z wrocławskim korpusem konsularnym.</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Spotkania władz Wrocławia z przedstawicielami dyplomacji:</w:t>
      </w:r>
    </w:p>
    <w:p w:rsidR="00B86812" w:rsidRPr="00E00B35" w:rsidRDefault="00B86812" w:rsidP="00E00B35">
      <w:pPr>
        <w:spacing w:after="0" w:line="312" w:lineRule="auto"/>
        <w:rPr>
          <w:szCs w:val="20"/>
        </w:rPr>
      </w:pPr>
    </w:p>
    <w:p w:rsidR="00B86812" w:rsidRPr="00E00B35" w:rsidRDefault="00B86812" w:rsidP="00BC64AB">
      <w:pPr>
        <w:numPr>
          <w:ilvl w:val="0"/>
          <w:numId w:val="291"/>
        </w:numPr>
        <w:spacing w:after="0" w:line="312" w:lineRule="auto"/>
        <w:ind w:left="426" w:hanging="426"/>
        <w:rPr>
          <w:szCs w:val="20"/>
        </w:rPr>
      </w:pPr>
      <w:r w:rsidRPr="00E00B35">
        <w:rPr>
          <w:szCs w:val="20"/>
        </w:rPr>
        <w:t>7 stycznia – spotkanie Prezydenta Wrocławia z konsulem generalnym USA w Polsce, Patrickiem Słowińskim.</w:t>
      </w:r>
    </w:p>
    <w:p w:rsidR="00B86812" w:rsidRPr="00E00B35" w:rsidRDefault="00B86812" w:rsidP="00BC64AB">
      <w:pPr>
        <w:numPr>
          <w:ilvl w:val="0"/>
          <w:numId w:val="291"/>
        </w:numPr>
        <w:spacing w:after="0" w:line="312" w:lineRule="auto"/>
        <w:ind w:left="426" w:hanging="426"/>
        <w:rPr>
          <w:szCs w:val="20"/>
        </w:rPr>
      </w:pPr>
      <w:r w:rsidRPr="00E00B35">
        <w:rPr>
          <w:szCs w:val="20"/>
        </w:rPr>
        <w:t>7 stycznia – spotkanie Prezydenta Wrocławia z konsulem Generalnym Niemiec we Wrocławiu.</w:t>
      </w:r>
    </w:p>
    <w:p w:rsidR="00B86812" w:rsidRPr="00E00B35" w:rsidRDefault="00B86812" w:rsidP="00BC64AB">
      <w:pPr>
        <w:numPr>
          <w:ilvl w:val="0"/>
          <w:numId w:val="291"/>
        </w:numPr>
        <w:spacing w:after="0" w:line="312" w:lineRule="auto"/>
        <w:ind w:left="426" w:hanging="426"/>
        <w:rPr>
          <w:szCs w:val="20"/>
        </w:rPr>
      </w:pPr>
      <w:r w:rsidRPr="00E00B35">
        <w:rPr>
          <w:szCs w:val="20"/>
        </w:rPr>
        <w:t>20 stycznia – spotkanie Prezydenta Wrocławia z Konsulem Honorowym Republiki Czeskiej, Arkadiuszem Ignasiakiem.</w:t>
      </w:r>
    </w:p>
    <w:p w:rsidR="00B86812" w:rsidRPr="00E00B35" w:rsidRDefault="00B86812" w:rsidP="00BC64AB">
      <w:pPr>
        <w:numPr>
          <w:ilvl w:val="0"/>
          <w:numId w:val="291"/>
        </w:numPr>
        <w:spacing w:after="0" w:line="312" w:lineRule="auto"/>
        <w:ind w:left="426" w:hanging="426"/>
        <w:rPr>
          <w:szCs w:val="20"/>
        </w:rPr>
      </w:pPr>
      <w:r w:rsidRPr="00E00B35">
        <w:rPr>
          <w:szCs w:val="20"/>
        </w:rPr>
        <w:t>23 stycznia – spotkanie Prezydenta Wrocławia z J.E. Ivanem Jestřábem, Ambasadorem Republiki Czeskiej w Polsce oraz wspólnie odsłoniliśmy na murze więzienia przy ul. Kleczkowskiej tablicy poświęconej pomordowanym Czechom.</w:t>
      </w:r>
    </w:p>
    <w:p w:rsidR="00B86812" w:rsidRPr="00E00B35" w:rsidRDefault="00B86812" w:rsidP="00BC64AB">
      <w:pPr>
        <w:numPr>
          <w:ilvl w:val="0"/>
          <w:numId w:val="291"/>
        </w:numPr>
        <w:spacing w:after="0" w:line="312" w:lineRule="auto"/>
        <w:ind w:left="426" w:hanging="426"/>
        <w:rPr>
          <w:szCs w:val="20"/>
        </w:rPr>
      </w:pPr>
      <w:r w:rsidRPr="00E00B35">
        <w:rPr>
          <w:szCs w:val="20"/>
        </w:rPr>
        <w:t>24 lipca – spotkanie Wiceprezydenta Jakuba Mazura z Wiaczesławem Wojnarowskim, nowym Konsulem Generalnym Ukrainy w Krakowie.</w:t>
      </w:r>
    </w:p>
    <w:p w:rsidR="00B86812" w:rsidRPr="00E00B35" w:rsidRDefault="00B86812" w:rsidP="00BC64AB">
      <w:pPr>
        <w:numPr>
          <w:ilvl w:val="0"/>
          <w:numId w:val="291"/>
        </w:numPr>
        <w:spacing w:after="0" w:line="312" w:lineRule="auto"/>
        <w:ind w:left="426" w:hanging="426"/>
        <w:rPr>
          <w:szCs w:val="20"/>
        </w:rPr>
      </w:pPr>
      <w:r w:rsidRPr="00E00B35">
        <w:rPr>
          <w:szCs w:val="20"/>
        </w:rPr>
        <w:t>7 sierpnia – spotkanie Prezydenta Wrocławia z J.E. Andrejem Drobą, Ambasadorem Republiki Słowacji i Konsulem Honorowym Słowacji we Wrocławiu Maciejem Kaczmarskim.</w:t>
      </w:r>
    </w:p>
    <w:p w:rsidR="00B86812" w:rsidRPr="00E00B35" w:rsidRDefault="00B86812" w:rsidP="00BC64AB">
      <w:pPr>
        <w:numPr>
          <w:ilvl w:val="0"/>
          <w:numId w:val="291"/>
        </w:numPr>
        <w:spacing w:after="0" w:line="312" w:lineRule="auto"/>
        <w:ind w:left="426" w:hanging="426"/>
        <w:rPr>
          <w:szCs w:val="20"/>
        </w:rPr>
      </w:pPr>
      <w:r w:rsidRPr="00E00B35">
        <w:rPr>
          <w:szCs w:val="20"/>
        </w:rPr>
        <w:t>27 sierpnia – nadanie jednemu ze skwerów we Wrocławiu imienia Solidarności Polsko-Czesko-Słowackiej, wspólnie z Ambasadorami oraz Konsulami Honorowymi Czech i Słowacji oraz z bohaterami czeskiej opozycji.</w:t>
      </w:r>
    </w:p>
    <w:p w:rsidR="00B86812" w:rsidRPr="00E00B35" w:rsidRDefault="00B86812" w:rsidP="00BC64AB">
      <w:pPr>
        <w:numPr>
          <w:ilvl w:val="0"/>
          <w:numId w:val="291"/>
        </w:numPr>
        <w:spacing w:after="0" w:line="312" w:lineRule="auto"/>
        <w:ind w:left="426" w:hanging="426"/>
        <w:rPr>
          <w:szCs w:val="20"/>
        </w:rPr>
      </w:pPr>
      <w:r w:rsidRPr="00E00B35">
        <w:rPr>
          <w:szCs w:val="20"/>
        </w:rPr>
        <w:t>22 października – wizyta nowego Ambasadora Wielkiego Księstwa Luksemburga w Polsce J.E. Paula Schmita i Krzysztofa Bramorskiego, Konsula Honorowego Luksemburga na Dolny Śląsk i województwo opolskie (spotkanie odwołane z powodu Covid-19).</w:t>
      </w:r>
    </w:p>
    <w:p w:rsidR="00B86812" w:rsidRPr="00E00B35" w:rsidRDefault="00B86812" w:rsidP="00E00B35">
      <w:pPr>
        <w:spacing w:after="0" w:line="312" w:lineRule="auto"/>
        <w:rPr>
          <w:szCs w:val="20"/>
        </w:rPr>
      </w:pPr>
    </w:p>
    <w:p w:rsidR="00B86812" w:rsidRPr="00E00B35" w:rsidRDefault="00B86812" w:rsidP="00E00B35">
      <w:pPr>
        <w:pStyle w:val="Nagwek4"/>
        <w:spacing w:before="0" w:after="0" w:line="312" w:lineRule="auto"/>
        <w:rPr>
          <w:sz w:val="20"/>
          <w:szCs w:val="20"/>
        </w:rPr>
      </w:pPr>
      <w:r w:rsidRPr="00E00B35">
        <w:rPr>
          <w:sz w:val="20"/>
          <w:szCs w:val="20"/>
        </w:rPr>
        <w:t xml:space="preserve">Współpraca z Europą Wschodnią </w:t>
      </w:r>
    </w:p>
    <w:p w:rsidR="00B86812" w:rsidRPr="00E00B35" w:rsidRDefault="00B86812" w:rsidP="00E00B35">
      <w:pPr>
        <w:spacing w:after="0" w:line="312" w:lineRule="auto"/>
        <w:rPr>
          <w:szCs w:val="20"/>
        </w:rPr>
      </w:pPr>
      <w:r w:rsidRPr="00E00B35">
        <w:rPr>
          <w:szCs w:val="20"/>
        </w:rPr>
        <w:t>W 2020 roku rozpisano trzy konkursy na organizację projektów w tym zakresie:</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1.</w:t>
      </w:r>
      <w:r w:rsidRPr="00E00B35">
        <w:rPr>
          <w:szCs w:val="20"/>
        </w:rPr>
        <w:tab/>
        <w:t>Organizacja w roku 2020 przedsięwzięć i działań zmierzających do poszerzenia współpracy z Europą Wschodnią</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Celem zadania było szerzenie wiedzy na temat szeroko rozumianej Europy Wschodniej poprzez organizowanie dla mieszkańców Wrocławia i nie tylko szkoleń i prelekcji związanych z tematyką Europy Wschodniej, konferencji naukowych oraz spotkań mających na celu przybliżenie polityki, kultury i tradycji krajów Europy Wschodniej. Zadania te w 2020 roku powierzono Kolegium Europy Wschodniej im. Jana Nowaka-Jeziorańskiego.</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rFonts w:eastAsia="font415"/>
          <w:b/>
          <w:szCs w:val="20"/>
        </w:rPr>
      </w:pPr>
      <w:r w:rsidRPr="00E00B35">
        <w:rPr>
          <w:b/>
          <w:szCs w:val="20"/>
        </w:rPr>
        <w:t>2.</w:t>
      </w:r>
      <w:r w:rsidRPr="00E00B35">
        <w:rPr>
          <w:b/>
          <w:szCs w:val="20"/>
        </w:rPr>
        <w:tab/>
      </w:r>
      <w:r w:rsidRPr="00E00B35">
        <w:rPr>
          <w:rFonts w:eastAsia="font415"/>
          <w:b/>
          <w:szCs w:val="20"/>
        </w:rPr>
        <w:t xml:space="preserve">Wydawanie czasopisma o tematyce wschodniej i Azji centralnej – dwumiesięcznika Nowa Europa Wschodnia w roku 2020 w wersji papierowej i elektronicznej”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lastRenderedPageBreak/>
        <w:t xml:space="preserve">Celem pisma było zainteresowanie polskich odbiorców ogólnie rozumianą tematyką wschodnią. Pismo drukuje eseje, analizy krytyczne, recenzje, rozmowy z ludźmi kultury, sztuki i polityki, jak i reportaże rzucające światło na życie codzienne w państwach byłych Republik Radzieckich. Poza tym pismo rozwija stronę internetową, na której publikowane były najważniejsze teksty ukazujące się w magazynie, współpracuje z wydawnictwami </w:t>
      </w:r>
    </w:p>
    <w:p w:rsidR="00B86812" w:rsidRPr="00E00B35" w:rsidRDefault="00B86812" w:rsidP="00E00B35">
      <w:pPr>
        <w:spacing w:after="0" w:line="312" w:lineRule="auto"/>
        <w:rPr>
          <w:szCs w:val="20"/>
        </w:rPr>
      </w:pPr>
      <w:r w:rsidRPr="00E00B35">
        <w:rPr>
          <w:szCs w:val="20"/>
        </w:rPr>
        <w:t>i organizacjami przy różnego rodzaju wydarzeniach, udziela patronatów książkom.</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3.</w:t>
      </w:r>
      <w:r w:rsidRPr="00E00B35">
        <w:rPr>
          <w:szCs w:val="20"/>
        </w:rPr>
        <w:tab/>
        <w:t xml:space="preserve"> Mogiłę pradziada ocal od zapomnienia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Celem zadania jest krzewienie wartości patriotycznych i budowanie świadomości historycznej młodego pokolenia. W ramach akcji na Ukrainę wyjeżdżają wolontariusze – uczniowie, absolwenci wrocławskich szkół oraz studenci. Młodzież porządkuje nekropolie m.in. w Jampolu i Mohylewie, Sławucie, Nadtwórnej i Tłumaczu. W pracach porządkowych i rekonstrukcyjnych na cmentarzach pomaga miejscowa młodzież i lokalne władze.</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Działania Wrocławia w ramach wsparcia dla Białorusi</w:t>
      </w:r>
    </w:p>
    <w:p w:rsidR="00B86812" w:rsidRPr="00E00B35" w:rsidRDefault="00B86812" w:rsidP="00E00B35">
      <w:pPr>
        <w:spacing w:after="0" w:line="312" w:lineRule="auto"/>
        <w:rPr>
          <w:szCs w:val="20"/>
        </w:rPr>
      </w:pPr>
    </w:p>
    <w:p w:rsidR="00B86812" w:rsidRPr="00E00B35" w:rsidRDefault="00B86812" w:rsidP="00BC64AB">
      <w:pPr>
        <w:numPr>
          <w:ilvl w:val="0"/>
          <w:numId w:val="291"/>
        </w:numPr>
        <w:spacing w:after="0" w:line="312" w:lineRule="auto"/>
        <w:ind w:left="426" w:hanging="426"/>
        <w:rPr>
          <w:szCs w:val="20"/>
        </w:rPr>
      </w:pPr>
      <w:r w:rsidRPr="00E00B35">
        <w:rPr>
          <w:szCs w:val="20"/>
        </w:rPr>
        <w:t xml:space="preserve">30 sierpnia – podświetlenie w barwach biało-czerwono-białych Wrocław na Maślicach </w:t>
      </w:r>
    </w:p>
    <w:p w:rsidR="00B86812" w:rsidRPr="00E00B35" w:rsidRDefault="00B86812" w:rsidP="00E00B35">
      <w:pPr>
        <w:spacing w:after="0" w:line="312" w:lineRule="auto"/>
        <w:ind w:left="426"/>
        <w:rPr>
          <w:szCs w:val="20"/>
        </w:rPr>
      </w:pPr>
      <w:r w:rsidRPr="00E00B35">
        <w:rPr>
          <w:szCs w:val="20"/>
        </w:rPr>
        <w:t>w akcie solidarności z protestującymi Białorusinami.</w:t>
      </w:r>
    </w:p>
    <w:p w:rsidR="00B86812" w:rsidRPr="00E00B35" w:rsidRDefault="00B86812" w:rsidP="00BC64AB">
      <w:pPr>
        <w:numPr>
          <w:ilvl w:val="0"/>
          <w:numId w:val="291"/>
        </w:numPr>
        <w:spacing w:after="0" w:line="312" w:lineRule="auto"/>
        <w:ind w:left="426" w:hanging="426"/>
        <w:rPr>
          <w:szCs w:val="20"/>
        </w:rPr>
      </w:pPr>
      <w:r w:rsidRPr="00E00B35">
        <w:rPr>
          <w:szCs w:val="20"/>
        </w:rPr>
        <w:t>13 września – udział Prezydenta Wrocławia w wiecu „Solidarni z Białorusią”.</w:t>
      </w:r>
    </w:p>
    <w:p w:rsidR="00B86812" w:rsidRPr="00E00B35" w:rsidRDefault="00B86812" w:rsidP="00BC64AB">
      <w:pPr>
        <w:numPr>
          <w:ilvl w:val="0"/>
          <w:numId w:val="291"/>
        </w:numPr>
        <w:spacing w:after="0" w:line="312" w:lineRule="auto"/>
        <w:ind w:left="426" w:hanging="426"/>
        <w:rPr>
          <w:szCs w:val="20"/>
        </w:rPr>
      </w:pPr>
      <w:r w:rsidRPr="00E00B35">
        <w:rPr>
          <w:szCs w:val="20"/>
        </w:rPr>
        <w:t>14 września – powołanie Tatsiany Andrushki na stanowisko Pełnomocnika Prezydenta Wrocławia ds. mieszkańców pochodzenia białoruskiego.</w:t>
      </w:r>
    </w:p>
    <w:p w:rsidR="00B86812" w:rsidRPr="00E00B35" w:rsidRDefault="00B86812" w:rsidP="00BC64AB">
      <w:pPr>
        <w:numPr>
          <w:ilvl w:val="0"/>
          <w:numId w:val="291"/>
        </w:numPr>
        <w:spacing w:after="0" w:line="312" w:lineRule="auto"/>
        <w:ind w:left="426" w:hanging="426"/>
        <w:rPr>
          <w:szCs w:val="20"/>
        </w:rPr>
      </w:pPr>
      <w:r w:rsidRPr="00E00B35">
        <w:rPr>
          <w:szCs w:val="20"/>
        </w:rPr>
        <w:t>Współpraca z Polskim Instytutem Współpracy Obywatelskiej w związku z organizacją lekcji języka polskiego dla obywateli Białorusi mieszkających we Wrocławiu „Witaj Wrocław! Kursy języka polskiego dla Białorusinów”.</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Działania związane z pandemią Covid-19</w:t>
      </w:r>
    </w:p>
    <w:p w:rsidR="00B86812" w:rsidRPr="00E00B35" w:rsidRDefault="00B86812" w:rsidP="00E00B35">
      <w:pPr>
        <w:spacing w:after="0" w:line="312" w:lineRule="auto"/>
        <w:rPr>
          <w:szCs w:val="20"/>
        </w:rPr>
      </w:pPr>
      <w:r w:rsidRPr="00E00B35">
        <w:rPr>
          <w:szCs w:val="20"/>
        </w:rPr>
        <w:t xml:space="preserve">Począwszy od pierwszego lockdownu wprowadzonego w Polsce (w marcu 2020) </w:t>
      </w:r>
    </w:p>
    <w:p w:rsidR="00B86812" w:rsidRPr="00E00B35" w:rsidRDefault="00B86812" w:rsidP="00E00B35">
      <w:pPr>
        <w:spacing w:after="0" w:line="312" w:lineRule="auto"/>
        <w:rPr>
          <w:szCs w:val="20"/>
        </w:rPr>
      </w:pPr>
      <w:r w:rsidRPr="00E00B35">
        <w:rPr>
          <w:szCs w:val="20"/>
        </w:rPr>
        <w:t>do końca roku we wszystkie dni robocze sporządzane były tzw. „koronaraporty”, czyli przegląd sytuacji w większości państw europejskich USA i miast partnerskich Wrocławia (statystyki zachorowań, zgonów i ozdrowień, bieżące informacje o tym jak państwa radzą sobie z walką z koronawirusem, jakie restrykcje wprowadzają w celu ograniczenia rozprzestrzeniania się wirusa, jakie formy pomocy kierują do przedsiębiorców i innych dotkniętych kryzysem etc.).</w:t>
      </w:r>
    </w:p>
    <w:p w:rsidR="00B86812" w:rsidRPr="00E00B35" w:rsidRDefault="00B86812" w:rsidP="00E00B35">
      <w:pPr>
        <w:spacing w:after="0" w:line="312" w:lineRule="auto"/>
        <w:rPr>
          <w:szCs w:val="20"/>
        </w:rPr>
      </w:pPr>
      <w:r w:rsidRPr="00E00B35">
        <w:rPr>
          <w:szCs w:val="20"/>
        </w:rPr>
        <w:t>W ciężkiej sytuacji pandemicznej szczególną rolę miało utrzymywanie bieżącego kontaktu i wzajemne wspieranie się (listy, maile, telefony) z partnerami zagranicznymi Wrocławia, w szczególności z miastami partnerskimi.</w:t>
      </w:r>
    </w:p>
    <w:p w:rsidR="00B86812" w:rsidRPr="00E00B35" w:rsidRDefault="00B86812" w:rsidP="00E00B35">
      <w:pPr>
        <w:spacing w:after="0" w:line="312" w:lineRule="auto"/>
        <w:rPr>
          <w:szCs w:val="20"/>
        </w:rPr>
      </w:pPr>
      <w:r w:rsidRPr="00E00B35">
        <w:rPr>
          <w:szCs w:val="20"/>
        </w:rPr>
        <w:t xml:space="preserve">Od marca zacieśniła się współpraca z konsulatami honorowymi Ukrainy i Gruzji w celu pomocy obywatelom tych państw przebywającym we Wrocławiu w momencie wybuchu </w:t>
      </w:r>
      <w:r w:rsidRPr="00E00B35">
        <w:rPr>
          <w:szCs w:val="20"/>
        </w:rPr>
        <w:lastRenderedPageBreak/>
        <w:t>pandemii COVID-19. Organizowano wspólnie przejazd obywateli Ukrainy do Przemyśla na pociągi powrotne na Ukrainę oraz pomagano w znalezieniu zakwaterowania dla obywateli Gruzji, którzy z powodu pandemii stracili pracę.</w:t>
      </w:r>
    </w:p>
    <w:p w:rsidR="00B86812" w:rsidRPr="00E00B35" w:rsidRDefault="00B86812" w:rsidP="00E00B35">
      <w:pPr>
        <w:spacing w:after="0" w:line="312" w:lineRule="auto"/>
        <w:rPr>
          <w:szCs w:val="20"/>
        </w:rPr>
      </w:pPr>
      <w:r w:rsidRPr="00E00B35">
        <w:rPr>
          <w:szCs w:val="20"/>
        </w:rPr>
        <w:t>video-projekt Wrocław-Drezno – nagrania video prezydentów miast partnerskich Drezna na znak solidarności w tym trudnym czasie i aby pokazać, że jesteśmy razem w koronakryzysie. Nagranie z Prezydentem Wrocławia cieszyło się największą popularnością na stronie www Drezna.</w:t>
      </w:r>
    </w:p>
    <w:p w:rsidR="00B86812" w:rsidRPr="00E00B35" w:rsidRDefault="00B86812" w:rsidP="00E00B35">
      <w:pPr>
        <w:spacing w:after="0" w:line="312" w:lineRule="auto"/>
        <w:rPr>
          <w:szCs w:val="20"/>
        </w:rPr>
      </w:pPr>
      <w:r w:rsidRPr="00E00B35">
        <w:rPr>
          <w:szCs w:val="20"/>
        </w:rPr>
        <w:t xml:space="preserve">W związku z 75. rocznicą zakończenia wojny i kapitulacją Festung Breslau niektóre miasta partnerskie opublikowały na swoich stronach lub fanpage’ach specjalny film </w:t>
      </w:r>
    </w:p>
    <w:p w:rsidR="00B86812" w:rsidRPr="00E00B35" w:rsidRDefault="00B86812" w:rsidP="00E00B35">
      <w:pPr>
        <w:spacing w:after="0" w:line="312" w:lineRule="auto"/>
        <w:rPr>
          <w:szCs w:val="20"/>
        </w:rPr>
      </w:pPr>
      <w:r w:rsidRPr="00E00B35">
        <w:rPr>
          <w:szCs w:val="20"/>
        </w:rPr>
        <w:t>o Wrocławiu.</w:t>
      </w:r>
    </w:p>
    <w:p w:rsidR="00B86812" w:rsidRPr="00E00B35" w:rsidRDefault="00B86812" w:rsidP="00E00B35">
      <w:pPr>
        <w:spacing w:after="0" w:line="312" w:lineRule="auto"/>
        <w:rPr>
          <w:szCs w:val="20"/>
        </w:rPr>
      </w:pPr>
      <w:r w:rsidRPr="00E00B35">
        <w:rPr>
          <w:szCs w:val="20"/>
        </w:rPr>
        <w:t xml:space="preserve">Miasta partnerskie za pośrednictwem swoich stron lub portali społecznościowych informowały także o serii koncertów „Dachy Wrocławia” zorganizowanych bez udziału publiczności w różnych punktach widokowych Wrocławia. Była to zarazem promocja </w:t>
      </w:r>
    </w:p>
    <w:p w:rsidR="00B86812" w:rsidRPr="00E00B35" w:rsidRDefault="00B86812" w:rsidP="00E00B35">
      <w:pPr>
        <w:spacing w:after="0" w:line="312" w:lineRule="auto"/>
        <w:rPr>
          <w:szCs w:val="20"/>
        </w:rPr>
      </w:pPr>
      <w:r w:rsidRPr="00E00B35">
        <w:rPr>
          <w:szCs w:val="20"/>
        </w:rPr>
        <w:t xml:space="preserve">i wsparcie w ciężkich czasach dla wrocławskich artystów zaproszonych do udziału </w:t>
      </w:r>
    </w:p>
    <w:p w:rsidR="00B86812" w:rsidRPr="00E00B35" w:rsidRDefault="00B86812" w:rsidP="00E00B35">
      <w:pPr>
        <w:spacing w:after="0" w:line="312" w:lineRule="auto"/>
        <w:rPr>
          <w:szCs w:val="20"/>
        </w:rPr>
      </w:pPr>
      <w:r w:rsidRPr="00E00B35">
        <w:rPr>
          <w:szCs w:val="20"/>
        </w:rPr>
        <w:t xml:space="preserve">w projekcie, jak i forma zaproszenia do Miasta zagranicznych turystów, kiedy powróci </w:t>
      </w:r>
      <w:r w:rsidR="00FF46DF" w:rsidRPr="00E00B35">
        <w:rPr>
          <w:szCs w:val="20"/>
        </w:rPr>
        <w:t>m</w:t>
      </w:r>
      <w:r w:rsidRPr="00E00B35">
        <w:rPr>
          <w:szCs w:val="20"/>
        </w:rPr>
        <w:t>ożliwość swobodnego podróżowania.</w:t>
      </w:r>
    </w:p>
    <w:p w:rsidR="00B86812" w:rsidRPr="00E00B35" w:rsidRDefault="00B86812" w:rsidP="00E00B35">
      <w:pPr>
        <w:spacing w:after="0" w:line="312" w:lineRule="auto"/>
        <w:rPr>
          <w:szCs w:val="20"/>
        </w:rPr>
      </w:pPr>
      <w:r w:rsidRPr="00E00B35">
        <w:rPr>
          <w:szCs w:val="20"/>
        </w:rPr>
        <w:t>Miasta partnerskie przesłały zdjęcia wrocławskich krasnali w maseczkach, które były publikowane w mediach społecznościowych.</w:t>
      </w:r>
    </w:p>
    <w:p w:rsidR="00B86812" w:rsidRPr="00E00B35" w:rsidRDefault="00B86812" w:rsidP="00E00B35">
      <w:pPr>
        <w:spacing w:after="0" w:line="312" w:lineRule="auto"/>
        <w:rPr>
          <w:szCs w:val="20"/>
        </w:rPr>
      </w:pPr>
      <w:r w:rsidRPr="00E00B35">
        <w:rPr>
          <w:szCs w:val="20"/>
        </w:rPr>
        <w:t xml:space="preserve">16 czerwca – VII Forum Promocji Turystyczne. Spotkanie online poświęcone sytuacji branży turystycznej dotkniętej przez pandemię koronawirusa z partnerami </w:t>
      </w:r>
    </w:p>
    <w:p w:rsidR="00B86812" w:rsidRPr="00E00B35" w:rsidRDefault="00B86812" w:rsidP="00E00B35">
      <w:pPr>
        <w:spacing w:after="0" w:line="312" w:lineRule="auto"/>
        <w:rPr>
          <w:szCs w:val="20"/>
        </w:rPr>
      </w:pPr>
      <w:r w:rsidRPr="00E00B35">
        <w:rPr>
          <w:szCs w:val="20"/>
        </w:rPr>
        <w:t>i przyjaciółmi z Berlina i Pragi było punktem wyjścia do rozmów podczas forum turystycznego.</w:t>
      </w:r>
    </w:p>
    <w:p w:rsidR="00B86812" w:rsidRPr="00E00B35" w:rsidRDefault="00B86812" w:rsidP="00E00B35">
      <w:pPr>
        <w:spacing w:after="0" w:line="312" w:lineRule="auto"/>
        <w:rPr>
          <w:szCs w:val="20"/>
        </w:rPr>
      </w:pPr>
      <w:r w:rsidRPr="00E00B35">
        <w:rPr>
          <w:szCs w:val="20"/>
        </w:rPr>
        <w:t xml:space="preserve">12 i 19 listopada - webinaria miast zrzeszonych w Global Parliament of Mayors </w:t>
      </w:r>
    </w:p>
    <w:p w:rsidR="00B86812" w:rsidRPr="00E00B35" w:rsidRDefault="00B86812" w:rsidP="00E00B35">
      <w:pPr>
        <w:spacing w:after="0" w:line="312" w:lineRule="auto"/>
        <w:rPr>
          <w:szCs w:val="20"/>
        </w:rPr>
      </w:pPr>
      <w:r w:rsidRPr="00E00B35">
        <w:rPr>
          <w:szCs w:val="20"/>
        </w:rPr>
        <w:t>na tematy związane z zarządzaniem miastami w dobie pandemii Covid-19.</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Dotacja dla Fundacji MODE (Move and Develop Foundation) na projekt pt. „Wsparcie dla obywateli niepolskojęzycznych we Wrocławiu w związku z COVID-19”. Zadanie polegało na udzielaniu obcokrajowcom nieposługującym się językiem polskim pomocy </w:t>
      </w:r>
    </w:p>
    <w:p w:rsidR="00B86812" w:rsidRPr="00E00B35" w:rsidRDefault="00B86812" w:rsidP="00E00B35">
      <w:pPr>
        <w:spacing w:after="0" w:line="312" w:lineRule="auto"/>
        <w:rPr>
          <w:szCs w:val="20"/>
        </w:rPr>
      </w:pPr>
      <w:r w:rsidRPr="00E00B35">
        <w:rPr>
          <w:szCs w:val="20"/>
        </w:rPr>
        <w:t xml:space="preserve">w uzyskaniu informacji (szczególnie w przypadku problemu bariery językowej), tłumaczeniu pism urzędowych, komunikacji ze służbami medycznymi oraz sanepidem, kontaktu ze służbami koordynującymi działania pomocowe realizowane w związku </w:t>
      </w:r>
    </w:p>
    <w:p w:rsidR="00B86812" w:rsidRPr="00E00B35" w:rsidRDefault="00B86812" w:rsidP="00E00B35">
      <w:pPr>
        <w:spacing w:after="0" w:line="312" w:lineRule="auto"/>
        <w:rPr>
          <w:szCs w:val="20"/>
        </w:rPr>
      </w:pPr>
      <w:r w:rsidRPr="00E00B35">
        <w:rPr>
          <w:szCs w:val="20"/>
        </w:rPr>
        <w:t xml:space="preserve">z COVID-19. Łącznie w ramach zadania wsparcie w różnych formach uzyskało ok. 200 osób. </w:t>
      </w:r>
    </w:p>
    <w:p w:rsidR="00B86812" w:rsidRPr="00E00B35" w:rsidRDefault="00B86812" w:rsidP="00E00B35">
      <w:pPr>
        <w:spacing w:after="0" w:line="312" w:lineRule="auto"/>
        <w:rPr>
          <w:szCs w:val="20"/>
        </w:rPr>
      </w:pPr>
      <w:r w:rsidRPr="00E00B35">
        <w:rPr>
          <w:szCs w:val="20"/>
        </w:rPr>
        <w:t xml:space="preserve">Data rozpoczęcia 27.04.2020, data zakończenia 26.05.2020, kwota dotacji: 8.000 zł.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21.03.2020 – akcja pt. „Darmowy transport dla obywateli Ukrainy do Przemyśla”. W sumie 100 osób, które na co dzień mieszkały i pracowały na Dolnym Śląsku, zdecydowało się na powrót w rodzinne strony z powodu epidemii koronawirusa </w:t>
      </w:r>
    </w:p>
    <w:p w:rsidR="00B86812" w:rsidRPr="00E00B35" w:rsidRDefault="00B86812" w:rsidP="00E00B35">
      <w:pPr>
        <w:spacing w:after="0" w:line="312" w:lineRule="auto"/>
        <w:rPr>
          <w:szCs w:val="20"/>
        </w:rPr>
      </w:pPr>
      <w:r w:rsidRPr="00E00B35">
        <w:rPr>
          <w:szCs w:val="20"/>
        </w:rPr>
        <w:t xml:space="preserve">i skorzystania z tego transportu. Akcje zorganizowano wspólnie z Ambasadą Ukrainy </w:t>
      </w:r>
    </w:p>
    <w:p w:rsidR="00B86812" w:rsidRPr="00E00B35" w:rsidRDefault="00B86812" w:rsidP="00E00B35">
      <w:pPr>
        <w:spacing w:after="0" w:line="312" w:lineRule="auto"/>
        <w:rPr>
          <w:szCs w:val="20"/>
        </w:rPr>
      </w:pPr>
      <w:r w:rsidRPr="00E00B35">
        <w:rPr>
          <w:szCs w:val="20"/>
        </w:rPr>
        <w:t xml:space="preserve">i Konsulatem Honorowym Ukrainy we Wrocławiu. Przewoźnik zadbał o zachowanie szczególnych środków bezpieczeństwa i warunki sanitarne. Rejestracja na przejazd odbywała się w języku ukraińskim a przy procesie rejestracji weryfikowano dodatkowo czy dana osoba posiada bilet na pociąg z Przemyśla na Ukrainę (bilety te dostępne były </w:t>
      </w:r>
      <w:r w:rsidRPr="00E00B35">
        <w:rPr>
          <w:szCs w:val="20"/>
        </w:rPr>
        <w:lastRenderedPageBreak/>
        <w:t>tylko online), co było wymagane przez Ambasadę, ponieważ regularny przejazd przez granicę w Medyce nie był już możliwy.</w:t>
      </w:r>
    </w:p>
    <w:p w:rsidR="00B86812" w:rsidRPr="00E00B35" w:rsidRDefault="00B86812" w:rsidP="00E00B35">
      <w:pPr>
        <w:spacing w:after="0" w:line="312" w:lineRule="auto"/>
        <w:rPr>
          <w:szCs w:val="20"/>
        </w:rPr>
      </w:pPr>
      <w:r w:rsidRPr="00E00B35">
        <w:rPr>
          <w:szCs w:val="20"/>
        </w:rPr>
        <w:t>Kwota dotacji: 16.200 zł.</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Pozostałe projekty zagraniczne</w:t>
      </w:r>
    </w:p>
    <w:p w:rsidR="00B86812" w:rsidRPr="00E00B35" w:rsidRDefault="00B86812" w:rsidP="00E00B35">
      <w:pPr>
        <w:spacing w:after="0" w:line="312" w:lineRule="auto"/>
        <w:rPr>
          <w:szCs w:val="20"/>
        </w:rPr>
      </w:pPr>
    </w:p>
    <w:p w:rsidR="00B86812" w:rsidRPr="00E00B35" w:rsidRDefault="00B86812" w:rsidP="00BC64AB">
      <w:pPr>
        <w:numPr>
          <w:ilvl w:val="0"/>
          <w:numId w:val="291"/>
        </w:numPr>
        <w:spacing w:after="0" w:line="312" w:lineRule="auto"/>
        <w:ind w:left="426" w:hanging="426"/>
        <w:rPr>
          <w:szCs w:val="20"/>
        </w:rPr>
      </w:pPr>
      <w:r w:rsidRPr="00E00B35">
        <w:rPr>
          <w:szCs w:val="20"/>
        </w:rPr>
        <w:t>23 stycznia – spotkanie Prezydenta Jakuba Mazura z Jobstem – Hinrichem Ubbelohde, pełnomocnikiem rządu Brandenburgii ds. kontaktów Brandenburgii z Polską.</w:t>
      </w:r>
    </w:p>
    <w:p w:rsidR="00B86812" w:rsidRPr="00E00B35" w:rsidRDefault="00B86812" w:rsidP="00BC64AB">
      <w:pPr>
        <w:numPr>
          <w:ilvl w:val="0"/>
          <w:numId w:val="291"/>
        </w:numPr>
        <w:spacing w:after="0" w:line="312" w:lineRule="auto"/>
        <w:ind w:left="426" w:hanging="426"/>
        <w:rPr>
          <w:szCs w:val="20"/>
        </w:rPr>
      </w:pPr>
      <w:r w:rsidRPr="00E00B35">
        <w:rPr>
          <w:szCs w:val="20"/>
        </w:rPr>
        <w:t>10-11 lutego – konferencja w ramach projektu Dziedzictwo Żydowskie dofinansowanego w ramach programu Europa dla Obywateli.</w:t>
      </w:r>
    </w:p>
    <w:p w:rsidR="00B86812" w:rsidRPr="00E00B35" w:rsidRDefault="00B86812" w:rsidP="00BC64AB">
      <w:pPr>
        <w:numPr>
          <w:ilvl w:val="0"/>
          <w:numId w:val="291"/>
        </w:numPr>
        <w:spacing w:after="0" w:line="312" w:lineRule="auto"/>
        <w:ind w:left="426" w:hanging="426"/>
        <w:rPr>
          <w:szCs w:val="20"/>
        </w:rPr>
      </w:pPr>
      <w:r w:rsidRPr="00E00B35">
        <w:rPr>
          <w:szCs w:val="20"/>
        </w:rPr>
        <w:t>26 lutego – udział w konferencji Sztuczna Inteligencja, we współpracy z Biurem Strategii, opieka nad gośćmi z Niemiec.</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16 marca – Dni z językiem niemieckim w VII LO we Wrocławiu. Edycja projektu w 2020 r. miała przebiegać pod hasłem „30. rocznica upadku Muru Berlińskiego oraz 29 rocznica Zjednoczenia Niemiec”. W ramach konkursów na plakaty, konkursów recytatorskich  oraz fotograficznych związanych z tym tematem jury wyłoniło </w:t>
      </w:r>
    </w:p>
    <w:p w:rsidR="00B86812" w:rsidRPr="00E00B35" w:rsidRDefault="00B86812" w:rsidP="00BC64AB">
      <w:pPr>
        <w:numPr>
          <w:ilvl w:val="0"/>
          <w:numId w:val="291"/>
        </w:numPr>
        <w:spacing w:after="0" w:line="312" w:lineRule="auto"/>
        <w:ind w:left="426" w:hanging="426"/>
        <w:rPr>
          <w:szCs w:val="20"/>
        </w:rPr>
      </w:pPr>
      <w:r w:rsidRPr="00E00B35">
        <w:rPr>
          <w:szCs w:val="20"/>
        </w:rPr>
        <w:t>15 laureatów (wydarzenie zostało odwołane z powodu koronawirusa).</w:t>
      </w:r>
    </w:p>
    <w:p w:rsidR="00B86812" w:rsidRPr="00E00B35" w:rsidRDefault="00B86812" w:rsidP="00BC64AB">
      <w:pPr>
        <w:numPr>
          <w:ilvl w:val="0"/>
          <w:numId w:val="291"/>
        </w:numPr>
        <w:spacing w:after="0" w:line="312" w:lineRule="auto"/>
        <w:ind w:left="426" w:hanging="426"/>
        <w:rPr>
          <w:szCs w:val="20"/>
        </w:rPr>
      </w:pPr>
      <w:r w:rsidRPr="00E00B35">
        <w:rPr>
          <w:szCs w:val="20"/>
        </w:rPr>
        <w:t>19 marca – pomoc w przygotowaniu wizyty we Wrocławiu i spotkania z międzynarodowymi ekspertami zaproszonymi na Wrocławski Kongres Kultury (spotkanie odwołane z powodu Covid-19).</w:t>
      </w:r>
    </w:p>
    <w:p w:rsidR="00B86812" w:rsidRPr="00E00B35" w:rsidRDefault="00B86812" w:rsidP="00BC64AB">
      <w:pPr>
        <w:numPr>
          <w:ilvl w:val="0"/>
          <w:numId w:val="291"/>
        </w:numPr>
        <w:spacing w:after="0" w:line="312" w:lineRule="auto"/>
        <w:ind w:left="426" w:hanging="426"/>
        <w:rPr>
          <w:szCs w:val="20"/>
        </w:rPr>
      </w:pPr>
      <w:r w:rsidRPr="00E00B35">
        <w:rPr>
          <w:szCs w:val="20"/>
        </w:rPr>
        <w:t>Przygotowania do udziału w targach turystycznych w Berlinie planowanych na 3-9 marca (targi odwołane z powodu Covid-19).</w:t>
      </w:r>
    </w:p>
    <w:p w:rsidR="00B86812" w:rsidRPr="00E00B35" w:rsidRDefault="00B86812" w:rsidP="00BC64AB">
      <w:pPr>
        <w:numPr>
          <w:ilvl w:val="0"/>
          <w:numId w:val="291"/>
        </w:numPr>
        <w:spacing w:after="0" w:line="312" w:lineRule="auto"/>
        <w:ind w:left="426" w:hanging="426"/>
        <w:rPr>
          <w:szCs w:val="20"/>
        </w:rPr>
      </w:pPr>
      <w:r w:rsidRPr="00E00B35">
        <w:rPr>
          <w:szCs w:val="20"/>
        </w:rPr>
        <w:t>30 kwietnia – urodziny „Pociągu do kultury” online. Przygotowanie nagrania Wiceprezydenta Wrocławia.</w:t>
      </w:r>
    </w:p>
    <w:p w:rsidR="00B86812" w:rsidRPr="00E00B35" w:rsidRDefault="00B86812" w:rsidP="00BC64AB">
      <w:pPr>
        <w:numPr>
          <w:ilvl w:val="0"/>
          <w:numId w:val="291"/>
        </w:numPr>
        <w:spacing w:after="0" w:line="312" w:lineRule="auto"/>
        <w:ind w:left="426" w:hanging="426"/>
        <w:rPr>
          <w:szCs w:val="20"/>
        </w:rPr>
      </w:pPr>
      <w:r w:rsidRPr="00E00B35">
        <w:rPr>
          <w:szCs w:val="20"/>
        </w:rPr>
        <w:t>Od początku roku trwały przygotowania do kwietniowej wizyty Senatora Klausa Lederea we Wrocławiu, która się nie odbyła z powodu pandemii.</w:t>
      </w:r>
    </w:p>
    <w:p w:rsidR="00B86812" w:rsidRPr="00E00B35" w:rsidRDefault="00B86812" w:rsidP="00BC64AB">
      <w:pPr>
        <w:numPr>
          <w:ilvl w:val="0"/>
          <w:numId w:val="291"/>
        </w:numPr>
        <w:spacing w:after="0" w:line="312" w:lineRule="auto"/>
        <w:ind w:left="426" w:hanging="426"/>
        <w:rPr>
          <w:szCs w:val="20"/>
        </w:rPr>
      </w:pPr>
      <w:r w:rsidRPr="00E00B35">
        <w:rPr>
          <w:szCs w:val="20"/>
        </w:rPr>
        <w:t>24 czerwca – finał konkursu „Mój Twój Nasz Wrocław” organizowanego przez Związek Ukraińców w Polsce Oddział Wrocław.</w:t>
      </w:r>
    </w:p>
    <w:p w:rsidR="00B86812" w:rsidRPr="00E00B35" w:rsidRDefault="00B86812" w:rsidP="00BC64AB">
      <w:pPr>
        <w:numPr>
          <w:ilvl w:val="0"/>
          <w:numId w:val="291"/>
        </w:numPr>
        <w:spacing w:after="0" w:line="312" w:lineRule="auto"/>
        <w:ind w:left="426" w:hanging="426"/>
        <w:rPr>
          <w:szCs w:val="20"/>
        </w:rPr>
      </w:pPr>
      <w:r w:rsidRPr="00E00B35">
        <w:rPr>
          <w:szCs w:val="20"/>
        </w:rPr>
        <w:t>1-3 lipca – wizyta studyjna 2 dziennikarek z Niemiec we współpracy z ZOPOT Berlin.</w:t>
      </w:r>
    </w:p>
    <w:p w:rsidR="00B86812" w:rsidRPr="00E00B35" w:rsidRDefault="00B86812" w:rsidP="00BC64AB">
      <w:pPr>
        <w:numPr>
          <w:ilvl w:val="0"/>
          <w:numId w:val="291"/>
        </w:numPr>
        <w:spacing w:after="0" w:line="312" w:lineRule="auto"/>
        <w:ind w:left="426" w:hanging="426"/>
        <w:rPr>
          <w:szCs w:val="20"/>
        </w:rPr>
      </w:pPr>
      <w:r w:rsidRPr="00E00B35">
        <w:rPr>
          <w:szCs w:val="20"/>
        </w:rPr>
        <w:t>8 lipca – wizyta premiera Saksonii Michaela Kretschmera, udział w otwarciu nowej siedziby Biura Łącznikowego Saksonii.</w:t>
      </w:r>
    </w:p>
    <w:p w:rsidR="00B86812" w:rsidRPr="00E00B35" w:rsidRDefault="00B86812" w:rsidP="00BC64AB">
      <w:pPr>
        <w:numPr>
          <w:ilvl w:val="0"/>
          <w:numId w:val="291"/>
        </w:numPr>
        <w:spacing w:after="0" w:line="312" w:lineRule="auto"/>
        <w:ind w:left="426" w:hanging="426"/>
        <w:rPr>
          <w:szCs w:val="20"/>
        </w:rPr>
      </w:pPr>
      <w:r w:rsidRPr="00E00B35">
        <w:rPr>
          <w:szCs w:val="20"/>
        </w:rPr>
        <w:t>14-25 sierpnia – wystawa na Dzień Niepodległości Ukrainy (do powstania wystawy wykorzystano zdjęcia z konkursu fotograficznego „Twój, Mój, Nasz Wrocław”).</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20 sierpnia – wizyta J.E. Ambasador Indonezji Pani Siti Nugraha Mauludiah. Wraz z Prezydentem Wrocławia Pani Ambasador wzięła udział w uroczystości nadania imienia tygrysowi sumatrzańskiego urodzonemu we wrocławskim ogrodzie zoologicznym. </w:t>
      </w:r>
    </w:p>
    <w:p w:rsidR="00B86812" w:rsidRPr="00E00B35" w:rsidRDefault="00B86812" w:rsidP="00BC64AB">
      <w:pPr>
        <w:numPr>
          <w:ilvl w:val="0"/>
          <w:numId w:val="291"/>
        </w:numPr>
        <w:spacing w:after="0" w:line="312" w:lineRule="auto"/>
        <w:ind w:left="426" w:hanging="426"/>
        <w:rPr>
          <w:szCs w:val="20"/>
        </w:rPr>
      </w:pPr>
      <w:r w:rsidRPr="00E00B35">
        <w:rPr>
          <w:szCs w:val="20"/>
        </w:rPr>
        <w:t>29 sierpnia – spotkanie Prezydenta Wrocławia z przedstawicielami programu Erasmus+ i koordynatorką programu we Wrocławiu – Bożeną Ferens.</w:t>
      </w:r>
    </w:p>
    <w:p w:rsidR="00B86812" w:rsidRPr="00E00B35" w:rsidRDefault="00B86812" w:rsidP="00BC64AB">
      <w:pPr>
        <w:numPr>
          <w:ilvl w:val="0"/>
          <w:numId w:val="291"/>
        </w:numPr>
        <w:spacing w:after="0" w:line="312" w:lineRule="auto"/>
        <w:ind w:left="426" w:hanging="426"/>
        <w:rPr>
          <w:szCs w:val="20"/>
        </w:rPr>
      </w:pPr>
      <w:r w:rsidRPr="00E00B35">
        <w:rPr>
          <w:szCs w:val="20"/>
        </w:rPr>
        <w:t>4 września – wizyta nowego Ambasadora Panamy J.E Javiera Bonagas w Ratuszu. Popołudniowe zwiedzanie Hydropolis i Wrocławia.</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17 września – Wrocławska Rada Miejska przyjęła uchwały o przystąpieniu Wrocławia do trzech organizacji międzynarodowych: Koalicja Miast przeciw Rasizmowi, Globalny </w:t>
      </w:r>
      <w:r w:rsidRPr="00E00B35">
        <w:rPr>
          <w:szCs w:val="20"/>
        </w:rPr>
        <w:lastRenderedPageBreak/>
        <w:t>Parlament Burmistrzów i ALDA. Od listopada Wrocław jest formalnym członkiem tych organizacji.</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18 września – udział w spotkaniu z Ministrem Nauki Saksonii Sebastianem Gemkowem. </w:t>
      </w:r>
    </w:p>
    <w:p w:rsidR="00B86812" w:rsidRPr="00E00B35" w:rsidRDefault="00B86812" w:rsidP="00BC64AB">
      <w:pPr>
        <w:numPr>
          <w:ilvl w:val="0"/>
          <w:numId w:val="291"/>
        </w:numPr>
        <w:spacing w:after="0" w:line="312" w:lineRule="auto"/>
        <w:ind w:left="426" w:hanging="426"/>
        <w:rPr>
          <w:szCs w:val="20"/>
        </w:rPr>
      </w:pPr>
      <w:r w:rsidRPr="00E00B35">
        <w:rPr>
          <w:szCs w:val="20"/>
        </w:rPr>
        <w:t>22 września – konferencja Divercity 4 w Wrocławskim Centrum Kongresowym, polsko-norweska współpraca w zakresie kreowania nowoczesnych rozwiązań w miastach, w edycji w 2020 zajmowano się obszarami: środowisko, mieszkalnictwo, dostępność i polityka senioralna. Była to pierwsza konferencja w formie hybrydowej z zachowaniem reżimu sanitarnego. Udział ze strony partnerów norweskich i islandzkich odbył się w formie live streamingu. W konferencji wzięli udział przedstawiciele Związku Miast Polskich. Dzięki dostępowi do wersji on-line w konferencji udział wzięło ok. 200 osób. Linki zostały też udostępnione Ambasadzie Norwegii w Warszawie. Wcześniejsze działania w ramach projektu Divercity 4: warsztaty z partnerami polskimi, norweskimi i islandzkimi (w dniach 23-24 stycznia oraz 3-4 marca).</w:t>
      </w:r>
    </w:p>
    <w:p w:rsidR="00B86812" w:rsidRPr="00E00B35" w:rsidRDefault="00B86812" w:rsidP="00BC64AB">
      <w:pPr>
        <w:numPr>
          <w:ilvl w:val="0"/>
          <w:numId w:val="291"/>
        </w:numPr>
        <w:spacing w:after="0" w:line="312" w:lineRule="auto"/>
        <w:ind w:left="426" w:hanging="426"/>
        <w:rPr>
          <w:szCs w:val="20"/>
        </w:rPr>
      </w:pPr>
      <w:r w:rsidRPr="00E00B35">
        <w:rPr>
          <w:szCs w:val="20"/>
        </w:rPr>
        <w:t>23 września – wizyta we Wrocławiu studentów z Kolegium Europejskiego Natolin: zwiedzanie Muzeum Miejskiego – Wystawa 1000 lat Wrocławia, spotkanie w Ratuszu z Wiceprezydentem Wrocławia.</w:t>
      </w:r>
    </w:p>
    <w:p w:rsidR="00B86812" w:rsidRPr="00E00B35" w:rsidRDefault="00B86812" w:rsidP="00BC64AB">
      <w:pPr>
        <w:numPr>
          <w:ilvl w:val="0"/>
          <w:numId w:val="291"/>
        </w:numPr>
        <w:spacing w:after="0" w:line="312" w:lineRule="auto"/>
        <w:ind w:left="426" w:hanging="426"/>
        <w:rPr>
          <w:szCs w:val="20"/>
        </w:rPr>
      </w:pPr>
      <w:r w:rsidRPr="00E00B35">
        <w:rPr>
          <w:szCs w:val="20"/>
        </w:rPr>
        <w:t>24 września – wizyta we Wrocławiu Prof. Norberta Heisiga, lekarza, przyjaciela Wrocławia, zapowiedź specjalnej nagrody ufundowanej przez profesora, która będzie przyznawana za osiągnięcia badawcze dla naukowców z polskich uniwersytetów w (200 tys. zł co 2 lata).</w:t>
      </w:r>
    </w:p>
    <w:p w:rsidR="00B86812" w:rsidRPr="00E00B35" w:rsidRDefault="00B86812" w:rsidP="00BC64AB">
      <w:pPr>
        <w:numPr>
          <w:ilvl w:val="0"/>
          <w:numId w:val="291"/>
        </w:numPr>
        <w:spacing w:after="0" w:line="312" w:lineRule="auto"/>
        <w:ind w:left="426" w:hanging="426"/>
        <w:rPr>
          <w:szCs w:val="20"/>
        </w:rPr>
      </w:pPr>
      <w:r w:rsidRPr="00E00B35">
        <w:rPr>
          <w:szCs w:val="20"/>
        </w:rPr>
        <w:t>25 września – spotkanie Wiceprezydenta Jakuba Mazura z Saksońska Minister ds. Sprawiedliwości, Europy, Demokracji i Równego Traktowania Katją Meier (Pani Meier brała również udział w Targach Edukacji Międzykulturowej organizowanej przez WCRS).</w:t>
      </w:r>
    </w:p>
    <w:p w:rsidR="00B86812" w:rsidRPr="00E00B35" w:rsidRDefault="00B86812" w:rsidP="00BC64AB">
      <w:pPr>
        <w:numPr>
          <w:ilvl w:val="0"/>
          <w:numId w:val="291"/>
        </w:numPr>
        <w:spacing w:after="0" w:line="312" w:lineRule="auto"/>
        <w:ind w:left="426" w:hanging="426"/>
        <w:rPr>
          <w:szCs w:val="20"/>
        </w:rPr>
      </w:pPr>
      <w:r w:rsidRPr="00E00B35">
        <w:rPr>
          <w:szCs w:val="20"/>
        </w:rPr>
        <w:t>7-10 października – wizyta studyjna 14 dziennikarzy z Niemiec współorganizowana z ZOPOT Berlin.</w:t>
      </w:r>
    </w:p>
    <w:p w:rsidR="00B86812" w:rsidRPr="00E00B35" w:rsidRDefault="00B86812" w:rsidP="00BC64AB">
      <w:pPr>
        <w:numPr>
          <w:ilvl w:val="0"/>
          <w:numId w:val="291"/>
        </w:numPr>
        <w:spacing w:after="0" w:line="312" w:lineRule="auto"/>
        <w:ind w:left="426" w:hanging="426"/>
        <w:rPr>
          <w:szCs w:val="20"/>
        </w:rPr>
      </w:pPr>
      <w:r w:rsidRPr="00E00B35">
        <w:rPr>
          <w:szCs w:val="20"/>
        </w:rPr>
        <w:t>8-9 października – konferencja i webinarium na temat biometrii i wykorzystania oka, jako elementu identyfikacji w środkach płatniczych. Na prośbę organizatorów zidentyfikowano uczelnie i partnerów zagranicznych, którzy mogliby być zainteresowani tematyką biometrii (Uniwersytet Ekonomiczny, Uniwersytet Medyczny im. Piastów Śląskich we Wrocławiu oraz Wyższa Szkoła Bankowa, Instytut Współpracy z Biznesem oraz partner zagraniczny z Berlina, Pan Philipp Reiter z firmy EyeSquare). Z uwagi na pandemię, webinarium i konferencję przeniesiono na wiosnę 2021.</w:t>
      </w:r>
    </w:p>
    <w:p w:rsidR="00B86812" w:rsidRPr="00E00B35" w:rsidRDefault="00B86812" w:rsidP="00BC64AB">
      <w:pPr>
        <w:numPr>
          <w:ilvl w:val="0"/>
          <w:numId w:val="291"/>
        </w:numPr>
        <w:spacing w:after="0" w:line="312" w:lineRule="auto"/>
        <w:ind w:left="426" w:hanging="426"/>
        <w:rPr>
          <w:szCs w:val="20"/>
        </w:rPr>
      </w:pPr>
      <w:r w:rsidRPr="00E00B35">
        <w:rPr>
          <w:szCs w:val="20"/>
        </w:rPr>
        <w:t>25 października – wystąpienie Wiceprezydenta Wrocławia dla młodzieży uczestniczącej w międzynarodowym projekcie Erasmus+ „Geoparki Europy”, organizowanym przez Zespół Szkół Salezjańskich Don Bosco we Wrocławiu (młodzież z Cypru, Bułgarii, Hiszpanii, Węgier i Point Noire, Gwadelupy)</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31 października – współorganizacja projekcji filmu „Do Domu” w ramach cyklu Kino Ukraina oraz dyskusji z zaproszonymi gośćmi pt. „Krym: zapominana „wyspa”, zapomniany naród? Tatarzy krymscy – aktywiści i aktywistki nie z wyboru”. </w:t>
      </w:r>
      <w:r w:rsidRPr="00E00B35">
        <w:rPr>
          <w:szCs w:val="20"/>
        </w:rPr>
        <w:lastRenderedPageBreak/>
        <w:t>Rozmowa z Tamilą Taszewą, Zastępczynią Stałego Przedstawicielstwa Prezydenta Ukrainy w Autonomicznej Republice Krym, założycielką i prezeską organizacji pozarządowej Crimea SOS, aktywistką broniącą praw człowieka.</w:t>
      </w:r>
    </w:p>
    <w:p w:rsidR="00B86812" w:rsidRPr="00E00B35" w:rsidRDefault="00B86812" w:rsidP="00BC64AB">
      <w:pPr>
        <w:numPr>
          <w:ilvl w:val="0"/>
          <w:numId w:val="291"/>
        </w:numPr>
        <w:spacing w:after="0" w:line="312" w:lineRule="auto"/>
        <w:ind w:left="426" w:hanging="426"/>
        <w:rPr>
          <w:szCs w:val="20"/>
        </w:rPr>
      </w:pPr>
      <w:r w:rsidRPr="00E00B35">
        <w:rPr>
          <w:szCs w:val="20"/>
        </w:rPr>
        <w:t>Październik/listopad – współpraca z ukraińskim zespołem Hoverla – wydanie płyty CD zawierającej utwór promujący Miasto Wrocław.</w:t>
      </w:r>
    </w:p>
    <w:p w:rsidR="00B86812" w:rsidRPr="00E00B35" w:rsidRDefault="00B86812" w:rsidP="00BC64AB">
      <w:pPr>
        <w:numPr>
          <w:ilvl w:val="0"/>
          <w:numId w:val="291"/>
        </w:numPr>
        <w:spacing w:after="0" w:line="312" w:lineRule="auto"/>
        <w:ind w:left="426" w:hanging="426"/>
        <w:rPr>
          <w:szCs w:val="20"/>
        </w:rPr>
      </w:pPr>
      <w:r w:rsidRPr="00E00B35">
        <w:rPr>
          <w:szCs w:val="20"/>
        </w:rPr>
        <w:t>17 listopada – udział w webinarium organizowanym przez AHK Polska „Polsko - niemieckie rynki przyszłości”.</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Od października do końca roku (na 75 dni przed jego końcem) trwał projekt 75 filmów na 75-lecie wolnego powojennego Wrocławia, w ramach którego udało się pozyskać filmy z pozdrowieniami i życzeniami dla Wrocławia od m.in.: merów lub burmistrzów miast partnerskich (Reykjaviku, Bredy, Drezna, Wiesbaden, Lille, Batumi, Lwowa), Shuji Kogi, Szewacha Weissa, Rogera Moorhouse’a, Normana Daviesa, Andżeliki Borys, Jurij Andruchowycza, Klausa Lederera, Aleksandry Kurzak, Prof. Norberta Heisiga, zespołu Dagadana, Stowarzyszenia Miast Partnerskich Wiesbaden-Wrocław, Mii Florentiny Weiss, Hanny Suchockiej, Bogdana Zdrojewskiego, Rafała Dutkiewicza.</w:t>
      </w:r>
    </w:p>
    <w:p w:rsidR="00B86812" w:rsidRPr="00E00B35" w:rsidRDefault="00B86812" w:rsidP="00E00B35">
      <w:pPr>
        <w:spacing w:after="0" w:line="312" w:lineRule="auto"/>
        <w:rPr>
          <w:szCs w:val="20"/>
        </w:rPr>
      </w:pPr>
      <w:r w:rsidRPr="00E00B35">
        <w:rPr>
          <w:szCs w:val="20"/>
        </w:rPr>
        <w:t xml:space="preserve">Projekt ekologiczny pt. „Blue Green Solutions”. W odpowiedzi na rosnącą potrzebę jak najszybszej transformacji energetycznej i hydrologicznej w miastach, do udziału </w:t>
      </w:r>
    </w:p>
    <w:p w:rsidR="00B86812" w:rsidRPr="00E00B35" w:rsidRDefault="00B86812" w:rsidP="00E00B35">
      <w:pPr>
        <w:spacing w:after="0" w:line="312" w:lineRule="auto"/>
        <w:rPr>
          <w:szCs w:val="20"/>
        </w:rPr>
      </w:pPr>
      <w:r w:rsidRPr="00E00B35">
        <w:rPr>
          <w:szCs w:val="20"/>
        </w:rPr>
        <w:t>w projekcie wymiany doświadczeń w zakresie innowacyjnych rozwiązań, rozbudowy świadomości ekologicznej, rozbudowy niebiesko-zielonej infrastruktury etc. udało się zaprosić następujące miasta: Breda, Nijmegen, Oxford, Wiedeń, Drezno, Wiedeń, Berlin, Monachium, Hamburg, Lille, Reykjavik, Oslo.</w:t>
      </w:r>
    </w:p>
    <w:p w:rsidR="00B86812" w:rsidRPr="00E00B35" w:rsidRDefault="00B86812" w:rsidP="00E00B35">
      <w:pPr>
        <w:spacing w:after="0" w:line="312" w:lineRule="auto"/>
        <w:rPr>
          <w:szCs w:val="20"/>
        </w:rPr>
      </w:pPr>
    </w:p>
    <w:p w:rsidR="00B86812" w:rsidRPr="00E00B35" w:rsidRDefault="00B86812" w:rsidP="00E00B35">
      <w:pPr>
        <w:pStyle w:val="Nagwek4"/>
        <w:spacing w:before="0" w:after="0" w:line="312" w:lineRule="auto"/>
        <w:rPr>
          <w:sz w:val="20"/>
          <w:szCs w:val="20"/>
        </w:rPr>
      </w:pPr>
      <w:r w:rsidRPr="00E00B35">
        <w:rPr>
          <w:sz w:val="20"/>
          <w:szCs w:val="20"/>
        </w:rPr>
        <w:t>Promocja miasta (§ 3. pkt. 3. 13) zarządzenia Prezydenta)</w:t>
      </w:r>
    </w:p>
    <w:p w:rsidR="00B86812" w:rsidRPr="00E00B35" w:rsidRDefault="00B86812" w:rsidP="00E00B35">
      <w:pPr>
        <w:spacing w:after="0" w:line="312" w:lineRule="auto"/>
        <w:rPr>
          <w:szCs w:val="20"/>
        </w:rPr>
      </w:pPr>
      <w:r w:rsidRPr="00E00B35">
        <w:rPr>
          <w:szCs w:val="20"/>
        </w:rPr>
        <w:t>Biuro Współpracy z Zagranicą realizuje także zadania z zakresu organizacji i nadzoru merytorycznego nad przestrzeganiem zasad Systemu Identyfikacji Wizualnej Urzędu, prowadzi poradnię językową i doradza przy redagowaniu tekstów i projektach wydawniczych.</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SIW</w:t>
      </w:r>
    </w:p>
    <w:p w:rsidR="00B86812" w:rsidRPr="00E00B35" w:rsidRDefault="00B86812" w:rsidP="00E00B35">
      <w:pPr>
        <w:spacing w:after="0" w:line="312" w:lineRule="auto"/>
        <w:rPr>
          <w:szCs w:val="20"/>
        </w:rPr>
      </w:pPr>
      <w:r w:rsidRPr="00E00B35">
        <w:rPr>
          <w:szCs w:val="20"/>
        </w:rPr>
        <w:t>Zadania realizowane we współpracy z WOU, obejmują m.in.:</w:t>
      </w:r>
    </w:p>
    <w:p w:rsidR="00B86812" w:rsidRPr="00E00B35" w:rsidRDefault="00B86812" w:rsidP="00BC64AB">
      <w:pPr>
        <w:numPr>
          <w:ilvl w:val="0"/>
          <w:numId w:val="291"/>
        </w:numPr>
        <w:spacing w:after="0" w:line="312" w:lineRule="auto"/>
        <w:ind w:left="426" w:hanging="426"/>
        <w:rPr>
          <w:szCs w:val="20"/>
        </w:rPr>
      </w:pPr>
      <w:r w:rsidRPr="00E00B35">
        <w:rPr>
          <w:szCs w:val="20"/>
        </w:rPr>
        <w:t>aktualizację tablic urzędowych (ustawowych), informacyjnych, kierunkowych i przydrzwiowych we wszystkich obiektach w związku z reorganizacją wydziałów UMW (przygotowywanie zamówień, weryfikacja projektów, akceptacja do druku i nadzór nad montażem);</w:t>
      </w:r>
    </w:p>
    <w:p w:rsidR="00B86812" w:rsidRPr="00E00B35" w:rsidRDefault="00B86812" w:rsidP="00BC64AB">
      <w:pPr>
        <w:numPr>
          <w:ilvl w:val="0"/>
          <w:numId w:val="291"/>
        </w:numPr>
        <w:spacing w:after="0" w:line="312" w:lineRule="auto"/>
        <w:ind w:left="426" w:hanging="426"/>
        <w:rPr>
          <w:szCs w:val="20"/>
        </w:rPr>
      </w:pPr>
      <w:r w:rsidRPr="00E00B35">
        <w:rPr>
          <w:szCs w:val="20"/>
        </w:rPr>
        <w:t>monitoring obiektów pod kątem przestrzegania zasad SIW przez komórki organizacyjne UMW;</w:t>
      </w:r>
    </w:p>
    <w:p w:rsidR="00B86812" w:rsidRPr="00E00B35" w:rsidRDefault="00B86812" w:rsidP="00BC64AB">
      <w:pPr>
        <w:numPr>
          <w:ilvl w:val="0"/>
          <w:numId w:val="291"/>
        </w:numPr>
        <w:spacing w:after="0" w:line="312" w:lineRule="auto"/>
        <w:ind w:left="426" w:hanging="426"/>
        <w:rPr>
          <w:szCs w:val="20"/>
        </w:rPr>
      </w:pPr>
      <w:r w:rsidRPr="00E00B35">
        <w:rPr>
          <w:szCs w:val="20"/>
        </w:rPr>
        <w:t>monitoring obiektów pod kątem oceny stanu nośników SIWUMW i zgłaszanie konieczności wymiany uszkodzonych elementów;</w:t>
      </w:r>
    </w:p>
    <w:p w:rsidR="00B86812" w:rsidRPr="00E00B35" w:rsidRDefault="00B86812" w:rsidP="00BC64AB">
      <w:pPr>
        <w:numPr>
          <w:ilvl w:val="0"/>
          <w:numId w:val="291"/>
        </w:numPr>
        <w:spacing w:after="0" w:line="312" w:lineRule="auto"/>
        <w:ind w:left="426" w:hanging="426"/>
        <w:rPr>
          <w:szCs w:val="20"/>
        </w:rPr>
      </w:pPr>
      <w:r w:rsidRPr="00E00B35">
        <w:rPr>
          <w:szCs w:val="20"/>
        </w:rPr>
        <w:t>kontrolę bieżących zamówień elementów SIWUMW;</w:t>
      </w:r>
    </w:p>
    <w:p w:rsidR="00B86812" w:rsidRPr="00E00B35" w:rsidRDefault="00B86812" w:rsidP="00BC64AB">
      <w:pPr>
        <w:numPr>
          <w:ilvl w:val="0"/>
          <w:numId w:val="291"/>
        </w:numPr>
        <w:spacing w:after="0" w:line="312" w:lineRule="auto"/>
        <w:ind w:left="426" w:hanging="426"/>
        <w:rPr>
          <w:szCs w:val="20"/>
        </w:rPr>
      </w:pPr>
      <w:r w:rsidRPr="00E00B35">
        <w:rPr>
          <w:szCs w:val="20"/>
        </w:rPr>
        <w:t>nadzór nad poprawnością oraz zgodnością z SIW wizytówek, identyfikatorów i legitymacji służbowych pracowników UMW (weryfikacja, korekta i akceptacja projektów do druku);</w:t>
      </w:r>
    </w:p>
    <w:p w:rsidR="00B86812" w:rsidRPr="00E00B35" w:rsidRDefault="00B86812" w:rsidP="00BC64AB">
      <w:pPr>
        <w:numPr>
          <w:ilvl w:val="0"/>
          <w:numId w:val="291"/>
        </w:numPr>
        <w:spacing w:after="0" w:line="312" w:lineRule="auto"/>
        <w:ind w:left="426" w:hanging="426"/>
        <w:rPr>
          <w:szCs w:val="20"/>
        </w:rPr>
      </w:pPr>
      <w:r w:rsidRPr="00E00B35">
        <w:rPr>
          <w:szCs w:val="20"/>
        </w:rPr>
        <w:lastRenderedPageBreak/>
        <w:t>przygotowywanie szablonów pism i papierów firmowych do korespondencji tradycyjnej i elektronicznej dla nowo powstałych komórek organizacyjnych UMW.</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Zadania realizowane we współpracy ze wszystkimi komórkami organizacyjnymi UMW, obejmują m.in.:</w:t>
      </w:r>
    </w:p>
    <w:p w:rsidR="00B86812" w:rsidRPr="00E00B35" w:rsidRDefault="00B86812" w:rsidP="00BC64AB">
      <w:pPr>
        <w:numPr>
          <w:ilvl w:val="0"/>
          <w:numId w:val="291"/>
        </w:numPr>
        <w:spacing w:after="0" w:line="312" w:lineRule="auto"/>
        <w:ind w:left="426" w:hanging="426"/>
        <w:rPr>
          <w:szCs w:val="20"/>
        </w:rPr>
      </w:pPr>
      <w:r w:rsidRPr="00E00B35">
        <w:rPr>
          <w:szCs w:val="20"/>
        </w:rPr>
        <w:t>konsultacje nt. przygotowywanych przez komórki organizacyjne UMW projektów graficznych pod kątem ich zgodności z SIW;</w:t>
      </w:r>
    </w:p>
    <w:p w:rsidR="00B86812" w:rsidRPr="00E00B35" w:rsidRDefault="00B86812" w:rsidP="00BC64AB">
      <w:pPr>
        <w:numPr>
          <w:ilvl w:val="0"/>
          <w:numId w:val="291"/>
        </w:numPr>
        <w:spacing w:after="0" w:line="312" w:lineRule="auto"/>
        <w:ind w:left="426" w:hanging="426"/>
        <w:rPr>
          <w:szCs w:val="20"/>
        </w:rPr>
      </w:pPr>
      <w:r w:rsidRPr="00E00B35">
        <w:rPr>
          <w:szCs w:val="20"/>
        </w:rPr>
        <w:t>konsultacje z komórkami organizacyjnymi UMW nt. zasad korzystania ze wzorów pism okolicznościowych (dyplomów, listów gratulacyjnych, podziękowań itd.) zgodnie z SIWUMW oraz redagowania tekstów;</w:t>
      </w:r>
    </w:p>
    <w:p w:rsidR="00B86812" w:rsidRPr="00E00B35" w:rsidRDefault="00B86812" w:rsidP="00BC64AB">
      <w:pPr>
        <w:numPr>
          <w:ilvl w:val="0"/>
          <w:numId w:val="291"/>
        </w:numPr>
        <w:spacing w:after="0" w:line="312" w:lineRule="auto"/>
        <w:ind w:left="426" w:hanging="426"/>
        <w:rPr>
          <w:szCs w:val="20"/>
        </w:rPr>
      </w:pPr>
      <w:r w:rsidRPr="00E00B35">
        <w:rPr>
          <w:szCs w:val="20"/>
        </w:rPr>
        <w:t>nadzór nad poprawnością językową i zgodnością z SIW pism okolicznościowych przygotowywanych pod podpis Prezydenta Wrocławia (redakcja, korekta i druk nadsyłanych projektów pism).</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Zadania realizowane podczas pandemii COVID-19: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tworzenie bieżących komunikatów związanych z zasadami zachowania podczas pandemii COVID-19, </w:t>
      </w:r>
    </w:p>
    <w:p w:rsidR="00B86812" w:rsidRPr="00E00B35" w:rsidRDefault="00B86812" w:rsidP="00BC64AB">
      <w:pPr>
        <w:numPr>
          <w:ilvl w:val="0"/>
          <w:numId w:val="291"/>
        </w:numPr>
        <w:spacing w:after="0" w:line="312" w:lineRule="auto"/>
        <w:ind w:left="426" w:hanging="426"/>
        <w:rPr>
          <w:szCs w:val="20"/>
        </w:rPr>
      </w:pPr>
      <w:r w:rsidRPr="00E00B35">
        <w:rPr>
          <w:szCs w:val="20"/>
        </w:rPr>
        <w:t>przygotowanie danych na tablice informacyjne w pawilonach zewnętrznych przy COM-ach,</w:t>
      </w:r>
    </w:p>
    <w:p w:rsidR="00B86812" w:rsidRPr="00E00B35" w:rsidRDefault="00B86812" w:rsidP="00BC64AB">
      <w:pPr>
        <w:numPr>
          <w:ilvl w:val="0"/>
          <w:numId w:val="291"/>
        </w:numPr>
        <w:spacing w:after="0" w:line="312" w:lineRule="auto"/>
        <w:ind w:left="426" w:hanging="426"/>
        <w:rPr>
          <w:szCs w:val="20"/>
        </w:rPr>
      </w:pPr>
      <w:r w:rsidRPr="00E00B35">
        <w:rPr>
          <w:szCs w:val="20"/>
        </w:rPr>
        <w:t>współpraca przy projektach informacyjnych i promocyjnych realizowanych przez Wydział Promocji Miasta i Turystyki.</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Poradnia językowa</w:t>
      </w:r>
    </w:p>
    <w:p w:rsidR="00B86812" w:rsidRPr="00E00B35" w:rsidRDefault="00B86812" w:rsidP="00E00B35">
      <w:pPr>
        <w:spacing w:after="0" w:line="312" w:lineRule="auto"/>
        <w:rPr>
          <w:szCs w:val="20"/>
        </w:rPr>
      </w:pPr>
      <w:r w:rsidRPr="00E00B35">
        <w:rPr>
          <w:szCs w:val="20"/>
        </w:rPr>
        <w:t>Współpraca z komórkami organizacyjnymi UMW oraz jednostkami organizacyjnymi Gminy, obejmująca m.in.:</w:t>
      </w:r>
    </w:p>
    <w:p w:rsidR="00B86812" w:rsidRPr="00E00B35" w:rsidRDefault="00B86812" w:rsidP="00BC64AB">
      <w:pPr>
        <w:numPr>
          <w:ilvl w:val="0"/>
          <w:numId w:val="291"/>
        </w:numPr>
        <w:spacing w:after="0" w:line="312" w:lineRule="auto"/>
        <w:ind w:left="426" w:hanging="426"/>
        <w:rPr>
          <w:szCs w:val="20"/>
        </w:rPr>
      </w:pPr>
      <w:r w:rsidRPr="00E00B35">
        <w:rPr>
          <w:szCs w:val="20"/>
        </w:rPr>
        <w:t>doradztwo językowe (redakcja i korekta tekstów, porady językowe, rozstrzygnięcia wątpliwości dotyczących ortografii, interpunkcji, odmiany nazwisk, zapisu nazw własnych itp.) zgodnie z Ustawą o języku polskim;</w:t>
      </w:r>
    </w:p>
    <w:p w:rsidR="00B86812" w:rsidRPr="00E00B35" w:rsidRDefault="00B86812" w:rsidP="00BC64AB">
      <w:pPr>
        <w:numPr>
          <w:ilvl w:val="0"/>
          <w:numId w:val="291"/>
        </w:numPr>
        <w:spacing w:after="0" w:line="312" w:lineRule="auto"/>
        <w:ind w:left="426" w:hanging="426"/>
        <w:rPr>
          <w:szCs w:val="20"/>
        </w:rPr>
      </w:pPr>
      <w:r w:rsidRPr="00E00B35">
        <w:rPr>
          <w:szCs w:val="20"/>
        </w:rPr>
        <w:t>doradztwo edytorskie (konsultacje projektów pod kątem zgodności z zasadami typografii i edycji tekstów).</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Projekty wydawnicze</w:t>
      </w:r>
    </w:p>
    <w:p w:rsidR="00B86812" w:rsidRPr="00E00B35" w:rsidRDefault="00B86812" w:rsidP="00E00B35">
      <w:pPr>
        <w:spacing w:after="0" w:line="312" w:lineRule="auto"/>
        <w:rPr>
          <w:szCs w:val="20"/>
        </w:rPr>
      </w:pPr>
      <w:r w:rsidRPr="00E00B35">
        <w:rPr>
          <w:szCs w:val="20"/>
        </w:rPr>
        <w:t xml:space="preserve">Stała współpraca z Biurem Rady Miejskiej i Biurem Prezydenta oraz wydawnictwem </w:t>
      </w:r>
    </w:p>
    <w:p w:rsidR="00B86812" w:rsidRPr="00E00B35" w:rsidRDefault="00B86812" w:rsidP="00E00B35">
      <w:pPr>
        <w:spacing w:after="0" w:line="312" w:lineRule="auto"/>
        <w:rPr>
          <w:szCs w:val="20"/>
        </w:rPr>
      </w:pPr>
      <w:r w:rsidRPr="00E00B35">
        <w:rPr>
          <w:szCs w:val="20"/>
        </w:rPr>
        <w:t>przy publikacjach cyklicznych na Święto Wrocławia.</w:t>
      </w:r>
    </w:p>
    <w:p w:rsidR="00B86812" w:rsidRPr="00E00B35" w:rsidRDefault="00B86812" w:rsidP="00E00B35">
      <w:pPr>
        <w:spacing w:after="0" w:line="312" w:lineRule="auto"/>
        <w:rPr>
          <w:szCs w:val="20"/>
        </w:rPr>
      </w:pPr>
      <w:r w:rsidRPr="00E00B35">
        <w:rPr>
          <w:szCs w:val="20"/>
        </w:rPr>
        <w:t>Współpraca z Biurem Promocji Miasta i Turystyki przy publikacji „75 lat powojennego Wrocławia”.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Zadania zrealizowane w ramach „Założeń polityki społeczno-gospodarczej Wrocławia na rok budżetowy 2020”:</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Organizacja uroczystości wręczenia Nagrody Jana Nowaka-Jeziorańskiego </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Kolejny raz zorganizowana została uroczystość wręczenia Nagrody Jana Nowaka-Jeziorańskiego przyznawanej corocznie za wybitne zasługi w odzyskaniu przez Polskę </w:t>
      </w:r>
    </w:p>
    <w:p w:rsidR="00B86812" w:rsidRPr="00E00B35" w:rsidRDefault="00B86812" w:rsidP="00E00B35">
      <w:pPr>
        <w:spacing w:after="0" w:line="312" w:lineRule="auto"/>
        <w:ind w:left="426"/>
        <w:rPr>
          <w:szCs w:val="20"/>
        </w:rPr>
      </w:pPr>
      <w:r w:rsidRPr="00E00B35">
        <w:rPr>
          <w:szCs w:val="20"/>
        </w:rPr>
        <w:lastRenderedPageBreak/>
        <w:t>niepodległości, obaleniu komunizmu oraz w kształtowaniu i rozwoju społeczeństwa obywatelskiego w Europie Środkowej.</w:t>
      </w:r>
    </w:p>
    <w:p w:rsidR="00B86812" w:rsidRPr="00E00B35" w:rsidRDefault="00B86812" w:rsidP="00BC64AB">
      <w:pPr>
        <w:numPr>
          <w:ilvl w:val="0"/>
          <w:numId w:val="291"/>
        </w:numPr>
        <w:spacing w:after="0" w:line="312" w:lineRule="auto"/>
        <w:ind w:left="426" w:hanging="426"/>
        <w:rPr>
          <w:szCs w:val="20"/>
        </w:rPr>
      </w:pPr>
      <w:r w:rsidRPr="00E00B35">
        <w:rPr>
          <w:szCs w:val="20"/>
        </w:rPr>
        <w:t xml:space="preserve">W 2020 roku Nagrodę otrzymała Hanna Suchocka, była premier RP i ambasador RP </w:t>
      </w:r>
    </w:p>
    <w:p w:rsidR="00B86812" w:rsidRPr="00E00B35" w:rsidRDefault="00B86812" w:rsidP="00E00B35">
      <w:pPr>
        <w:spacing w:after="0" w:line="312" w:lineRule="auto"/>
        <w:ind w:left="426"/>
        <w:rPr>
          <w:szCs w:val="20"/>
        </w:rPr>
      </w:pPr>
      <w:r w:rsidRPr="00E00B35">
        <w:rPr>
          <w:szCs w:val="20"/>
        </w:rPr>
        <w:t>przy Stolicy Apostolskiej i Zakonie Maltańskim, była minister sprawiedliwości i prokurator generalna, doktor habilitowana nauk prawnych, otrzymała doktoraty honoris causa Uniwersytetu of Oklahoma, UKSW i Papieskiego Uniwersytety Laterańskiego, wiceprzewodnicząca Komisji Weneckiej. Uroczystość odbyła się 2 października 2020 r. w Zakładzie Narodowym im. Ossolińskich i była transmitowana przez kanał youtube „Rzeczpospolita TV”.</w:t>
      </w:r>
    </w:p>
    <w:p w:rsidR="00B86812" w:rsidRPr="00E00B35" w:rsidRDefault="00B86812" w:rsidP="00E00B35">
      <w:pPr>
        <w:spacing w:after="0" w:line="312" w:lineRule="auto"/>
        <w:rPr>
          <w:szCs w:val="20"/>
        </w:rPr>
      </w:pPr>
    </w:p>
    <w:p w:rsidR="00B86812" w:rsidRPr="00E00B35" w:rsidRDefault="00B86812" w:rsidP="00E00B35">
      <w:pPr>
        <w:pStyle w:val="Nagwek3"/>
        <w:spacing w:after="0" w:line="312" w:lineRule="auto"/>
        <w:rPr>
          <w:sz w:val="20"/>
        </w:rPr>
      </w:pPr>
      <w:r w:rsidRPr="00E00B35">
        <w:rPr>
          <w:sz w:val="20"/>
        </w:rPr>
        <w:t>Biuro Współpracy z Uczelniami Wyższymi</w:t>
      </w:r>
    </w:p>
    <w:p w:rsidR="00B86812" w:rsidRPr="00E00B35" w:rsidRDefault="00B86812" w:rsidP="00E00B35">
      <w:pPr>
        <w:spacing w:after="0" w:line="312" w:lineRule="auto"/>
        <w:rPr>
          <w:szCs w:val="20"/>
        </w:rPr>
      </w:pPr>
      <w:r w:rsidRPr="00E00B35">
        <w:rPr>
          <w:szCs w:val="20"/>
        </w:rPr>
        <w:t>Biuro Współpracy z Uczelniami Wyższymi jest pierwszą i jak dotąd jedyną jednostką miejskiego samorządu w Polsce powołaną do ścisłej współpracy z uczelniami i środowiskiem akademickim Miasta.</w:t>
      </w:r>
    </w:p>
    <w:p w:rsidR="00B86812" w:rsidRPr="00E00B35" w:rsidRDefault="00B86812" w:rsidP="00E00B35">
      <w:pPr>
        <w:spacing w:after="0" w:line="312" w:lineRule="auto"/>
        <w:rPr>
          <w:szCs w:val="20"/>
        </w:rPr>
      </w:pPr>
      <w:r w:rsidRPr="00E00B35">
        <w:rPr>
          <w:szCs w:val="20"/>
        </w:rPr>
        <w:t>Działy tematyczne dotyczące BWU:</w:t>
      </w:r>
    </w:p>
    <w:p w:rsidR="00B86812" w:rsidRPr="00E00B35" w:rsidRDefault="00B86812" w:rsidP="00E00B35">
      <w:pPr>
        <w:spacing w:after="0" w:line="312" w:lineRule="auto"/>
        <w:rPr>
          <w:szCs w:val="20"/>
        </w:rPr>
      </w:pPr>
      <w:r w:rsidRPr="00E00B35">
        <w:rPr>
          <w:szCs w:val="20"/>
        </w:rPr>
        <w:t>(zgodnie z zarządzeniem nr 4223/20 Prezydenta Wrocławia z dnia 7 grudnia 2020 r. w sprawie zasad sporządzania Raportu o stanie Wrocławia):</w:t>
      </w:r>
    </w:p>
    <w:p w:rsidR="00B86812" w:rsidRPr="00E00B35" w:rsidRDefault="00B86812" w:rsidP="00E00B35">
      <w:pPr>
        <w:spacing w:after="0" w:line="312" w:lineRule="auto"/>
        <w:rPr>
          <w:szCs w:val="20"/>
        </w:rPr>
      </w:pPr>
      <w:r w:rsidRPr="00E00B35">
        <w:rPr>
          <w:szCs w:val="20"/>
        </w:rPr>
        <w:t>1.)</w:t>
      </w:r>
      <w:r w:rsidRPr="00E00B35">
        <w:rPr>
          <w:szCs w:val="20"/>
        </w:rPr>
        <w:tab/>
        <w:t>§ 3 pkt 3 podpunkt 4 – zadania dot. gospodarki, inwestycji, rynku pracy;</w:t>
      </w:r>
    </w:p>
    <w:p w:rsidR="00B86812" w:rsidRPr="00E00B35" w:rsidRDefault="00B86812" w:rsidP="00E00B35">
      <w:pPr>
        <w:spacing w:after="0" w:line="312" w:lineRule="auto"/>
        <w:rPr>
          <w:szCs w:val="20"/>
        </w:rPr>
      </w:pPr>
      <w:r w:rsidRPr="00E00B35">
        <w:rPr>
          <w:szCs w:val="20"/>
        </w:rPr>
        <w:t>2.)</w:t>
      </w:r>
      <w:r w:rsidRPr="00E00B35">
        <w:rPr>
          <w:szCs w:val="20"/>
        </w:rPr>
        <w:tab/>
        <w:t>§ 3 pkt 3 podpunkt 7  – zadania dot. edukacji, szkolnictwa wyższego i nauki, współpracy ze środowiskami naukowymi;</w:t>
      </w:r>
    </w:p>
    <w:p w:rsidR="00B86812" w:rsidRPr="00E00B35" w:rsidRDefault="00B86812" w:rsidP="00E00B35">
      <w:pPr>
        <w:spacing w:after="0" w:line="312" w:lineRule="auto"/>
        <w:rPr>
          <w:szCs w:val="20"/>
        </w:rPr>
      </w:pPr>
      <w:r w:rsidRPr="00E00B35">
        <w:rPr>
          <w:szCs w:val="20"/>
        </w:rPr>
        <w:t>3.)</w:t>
      </w:r>
      <w:r w:rsidRPr="00E00B35">
        <w:rPr>
          <w:szCs w:val="20"/>
        </w:rPr>
        <w:tab/>
        <w:t xml:space="preserve">§ 3 pkt 3 podpunkt 9 – polityka społeczna;  </w:t>
      </w:r>
    </w:p>
    <w:p w:rsidR="00B86812" w:rsidRPr="00E00B35" w:rsidRDefault="00B86812" w:rsidP="00E00B35">
      <w:pPr>
        <w:spacing w:after="0" w:line="312" w:lineRule="auto"/>
        <w:rPr>
          <w:szCs w:val="20"/>
        </w:rPr>
      </w:pPr>
      <w:r w:rsidRPr="00E00B35">
        <w:rPr>
          <w:szCs w:val="20"/>
        </w:rPr>
        <w:t>4.)</w:t>
      </w:r>
      <w:r w:rsidRPr="00E00B35">
        <w:rPr>
          <w:szCs w:val="20"/>
        </w:rPr>
        <w:tab/>
        <w:t xml:space="preserve">§ 3 pkt 3 podpunkt 19 – zadania dot. współpracy krajowej i międzynarodowej, działania podejmowane w ramach Zintegrowanych Inwestycji Terytorialnych;  </w:t>
      </w:r>
    </w:p>
    <w:p w:rsidR="00B86812" w:rsidRPr="00E00B35" w:rsidRDefault="00B86812" w:rsidP="00E00B35">
      <w:pPr>
        <w:spacing w:after="0" w:line="312" w:lineRule="auto"/>
        <w:rPr>
          <w:szCs w:val="20"/>
        </w:rPr>
      </w:pPr>
    </w:p>
    <w:p w:rsidR="00B86812" w:rsidRPr="00E00B35" w:rsidRDefault="00B86812" w:rsidP="00E00B35">
      <w:pPr>
        <w:pStyle w:val="Nagwek4"/>
        <w:spacing w:before="0" w:after="0" w:line="312" w:lineRule="auto"/>
        <w:rPr>
          <w:sz w:val="20"/>
          <w:szCs w:val="20"/>
        </w:rPr>
      </w:pPr>
      <w:r w:rsidRPr="00E00B35">
        <w:rPr>
          <w:sz w:val="20"/>
          <w:szCs w:val="20"/>
        </w:rPr>
        <w:t>Ad. 1.) GOSPODARKA, INWESTYCJE, RYNEK PRACY;</w:t>
      </w:r>
    </w:p>
    <w:p w:rsidR="00B86812" w:rsidRPr="00E00B35" w:rsidRDefault="00B86812" w:rsidP="00E00B35">
      <w:pPr>
        <w:pStyle w:val="Nagwek5"/>
        <w:rPr>
          <w:szCs w:val="20"/>
        </w:rPr>
      </w:pPr>
      <w:r w:rsidRPr="00E00B35">
        <w:rPr>
          <w:szCs w:val="20"/>
        </w:rPr>
        <w:t>1.</w:t>
      </w:r>
      <w:r w:rsidRPr="00E00B35">
        <w:rPr>
          <w:szCs w:val="20"/>
        </w:rPr>
        <w:tab/>
        <w:t>MIEJSKI PROGRAM WSPARCIA PARTNERSTWA SZKOLNICTWA WYŻSZEGO I NAUKI ORAZ SEKTORA AKTYWNOŚCI GOSPODARCZEJ</w:t>
      </w:r>
    </w:p>
    <w:p w:rsidR="00B86812" w:rsidRPr="00E00B35" w:rsidRDefault="00B86812" w:rsidP="00E00B35">
      <w:pPr>
        <w:spacing w:after="0" w:line="312" w:lineRule="auto"/>
        <w:rPr>
          <w:szCs w:val="20"/>
        </w:rPr>
      </w:pPr>
      <w:r w:rsidRPr="00E00B35">
        <w:rPr>
          <w:szCs w:val="20"/>
        </w:rPr>
        <w:t>Program ten działający na podstawie uchwały Rady Miejskiej Wrocławia wspiera finansowo partnerstwa naukowców i przedsiębiorców działających we Wrocławiu - miasto wypłaca naukowcom wynagrodzenie, aby pracując na rzecz konkretnego przedsiębiorcy mogli rozwijać wspólny pomysł (projekt).</w:t>
      </w:r>
    </w:p>
    <w:p w:rsidR="00B86812" w:rsidRPr="00E00B35" w:rsidRDefault="00B86812" w:rsidP="00E00B35">
      <w:pPr>
        <w:spacing w:after="0" w:line="312" w:lineRule="auto"/>
        <w:rPr>
          <w:szCs w:val="20"/>
        </w:rPr>
      </w:pPr>
      <w:r w:rsidRPr="00E00B35">
        <w:rPr>
          <w:szCs w:val="20"/>
        </w:rPr>
        <w:t xml:space="preserve">Projekty podejmowane przez partnerstwa odpowiadają konkretnym potrzebom przedsiębiorców i jednocześnie mają pozytywny wpływ na praktykę dydaktyczną pracowników wrocławskich uczelni i instytutów naukowych. W efekcie współpracy naukowców i przedsiębiorców powstają nowe produkty i usługi, firmy zwiększają obroty </w:t>
      </w:r>
    </w:p>
    <w:p w:rsidR="00B86812" w:rsidRPr="00E00B35" w:rsidRDefault="00B86812" w:rsidP="00E00B35">
      <w:pPr>
        <w:spacing w:after="0" w:line="312" w:lineRule="auto"/>
        <w:rPr>
          <w:szCs w:val="20"/>
        </w:rPr>
      </w:pPr>
      <w:r w:rsidRPr="00E00B35">
        <w:rPr>
          <w:szCs w:val="20"/>
        </w:rPr>
        <w:t xml:space="preserve">i dochody, powstają nowe miejsca pracy również w działach „badań i rozwoju”. Miejsca te rozwijają dalej ofertę firm, co w konsekwencji powoduje wzrost ich konkurencyjności i większe zatrudnienie w tych przedsiębiorstwach. Z drugiej strony naukowcy dzięki nowemu doświadczeniu modyfikują programy nauczania, aby w jeszcze większym stopniu odpowiadały wymogom rynku pracy; dzięki ich zaangażowaniu powstają nowe programy zajęć, kursy; studenci są angażowani w realizację projektów prowadzonych w partnerstwie z przedsiębiorcami w formie staży czy praktyk; niejednokrotnie przedsiębiorcy biorą udział w zajęciach dla studentów, dzięki czemu mogą zapoznać się z </w:t>
      </w:r>
      <w:r w:rsidRPr="00E00B35">
        <w:rPr>
          <w:szCs w:val="20"/>
        </w:rPr>
        <w:lastRenderedPageBreak/>
        <w:t xml:space="preserve">podejściem praktycznym do zagadnień poznawanych na uczelni; dzięki udziałowi w programie naukowcy również doprowadzają do współpracy przedsiębiorcy z uczelnią. </w:t>
      </w:r>
    </w:p>
    <w:p w:rsidR="00B86812" w:rsidRPr="00E00B35" w:rsidRDefault="00B86812" w:rsidP="00E00B35">
      <w:pPr>
        <w:spacing w:after="0" w:line="312" w:lineRule="auto"/>
        <w:rPr>
          <w:szCs w:val="20"/>
        </w:rPr>
      </w:pPr>
      <w:r w:rsidRPr="00E00B35">
        <w:rPr>
          <w:szCs w:val="20"/>
        </w:rPr>
        <w:t>Tematyka projektów partnerstw jest bardzo różnorodna i ciekawa, a niejednokrotnie dotyczy poprawy jakości życia mieszkańców Wrocławia. Wśród wielu realizowanych zagadnień można chociażby wskazać: Opracowanie modelu oceny torowisk tramwajowych w oparciu o nowoczesne techniki pomiarowe do inwentaryzacji wraz z utworzeniem bazy danych przestrzennych, prowadzonego przez naukowca z Uniwersytetu Przyrodniczego i Miejskie Przedsiębiorstwo Komunikacyjne Sp. z o.o.; Opracowanie produktów z niskim indeksem glikemicznym o cechach prozdrowotnych w branży piekarskiej i ciastkarskiej, realizowany przez naukowca zatrudnionego na Uniwersytecie Przyrodniczym i Grupę Familijna Sp. z o.o. Sp. k.;  Konstrukcja i implementacja klasyfikatora tekstów w języku naturalnym, za który odpowiada naukowiec z Uniwersytetu Wrocławskiego i firma Quantup Artur Suchwałko; Projekt wzorniczy sondy onkologicznej – Oncoscanner, realizowanego przez pracownika Akademii Sztuk Pięknych i Onco Scanner Sp. z o.o.; Projekt i wykonanie dwustopniowych igieł jednorazowych do wspomagania zabiegu reimplantacji włosów pacjentów z łysieniem androgenicznym metodą FUE, prowadzonego przez naukowca Politechniki Wrocławskiej z firmą Daniel Korbus Selex Polska; Nowa generacja systemów łączenia długotrwale eksploatowanych stalowych elementów konstrukcyjnych do zastosowania w obszarze infrastruktury kolejowej i obiektach inżynierii mostowej, nad którym pracuje pracownik Politechniki Wrocławskiej w partnerstwie z PROBUDOWA.COM Sp. z o.o. oraz projekt Dźwięk spojrzenia - stworzenie innowacyjnego systemu spersonalizowanego sygnału dźwiękowego z wykorzystaniem cyfrowej identyfikacji i konwersji danych biometryczych tęczówki oka wraz z opracowaniem dźwiękowego loga PayEye, realizowany przez pracownika Akademii Muzycznej we współpracy z PayEye Sp. z o.o.</w:t>
      </w:r>
    </w:p>
    <w:p w:rsidR="00B86812" w:rsidRPr="00E00B35" w:rsidRDefault="00B86812" w:rsidP="00E00B35">
      <w:pPr>
        <w:spacing w:after="0" w:line="312" w:lineRule="auto"/>
        <w:rPr>
          <w:szCs w:val="20"/>
        </w:rPr>
      </w:pPr>
      <w:r w:rsidRPr="00E00B35">
        <w:rPr>
          <w:szCs w:val="20"/>
        </w:rPr>
        <w:t>W 2020 r.:</w:t>
      </w:r>
    </w:p>
    <w:p w:rsidR="00B86812" w:rsidRPr="00E00B35" w:rsidRDefault="00B86812" w:rsidP="00BC64AB">
      <w:pPr>
        <w:pStyle w:val="Akapitzlist"/>
        <w:numPr>
          <w:ilvl w:val="0"/>
          <w:numId w:val="294"/>
        </w:numPr>
        <w:spacing w:after="0" w:line="312" w:lineRule="auto"/>
        <w:ind w:left="426" w:hanging="426"/>
        <w:rPr>
          <w:szCs w:val="20"/>
        </w:rPr>
      </w:pPr>
      <w:r w:rsidRPr="00E00B35">
        <w:rPr>
          <w:szCs w:val="20"/>
        </w:rPr>
        <w:t>do edycji 2020/2021 zostało zakwalifikowanych 31 partnerstw naukowo-biznesowych, które podjęły długotrwałą współpracę z Miastem - w październiku rozpoczęły 12-miesięczne projekty;</w:t>
      </w:r>
    </w:p>
    <w:p w:rsidR="00F91829" w:rsidRPr="00E00B35" w:rsidRDefault="00B86812" w:rsidP="00BC64AB">
      <w:pPr>
        <w:pStyle w:val="Akapitzlist"/>
        <w:numPr>
          <w:ilvl w:val="0"/>
          <w:numId w:val="294"/>
        </w:numPr>
        <w:spacing w:after="0" w:line="312" w:lineRule="auto"/>
        <w:ind w:left="426" w:hanging="426"/>
        <w:rPr>
          <w:szCs w:val="20"/>
        </w:rPr>
      </w:pPr>
      <w:r w:rsidRPr="00E00B35">
        <w:rPr>
          <w:szCs w:val="20"/>
        </w:rPr>
        <w:t>ponadto 25 partnerstw z edycji 2019/2020 zakończyło realizację projektów i tym samym współpracę z Miastem, podczas gdy dodatkowo 5 naukowców w partnerstwie z przedsiębiorcami z tej samej edycji otrzymało zgodę na wydłużenie czasu trwania ich projektów o 18 miesięcy;</w:t>
      </w:r>
    </w:p>
    <w:p w:rsidR="00B86812" w:rsidRPr="00E00B35" w:rsidRDefault="00B86812" w:rsidP="00BC64AB">
      <w:pPr>
        <w:pStyle w:val="Akapitzlist"/>
        <w:numPr>
          <w:ilvl w:val="0"/>
          <w:numId w:val="294"/>
        </w:numPr>
        <w:spacing w:after="0" w:line="312" w:lineRule="auto"/>
        <w:ind w:left="426" w:hanging="426"/>
        <w:rPr>
          <w:szCs w:val="20"/>
        </w:rPr>
      </w:pPr>
      <w:r w:rsidRPr="00E00B35">
        <w:rPr>
          <w:szCs w:val="20"/>
        </w:rPr>
        <w:t>po 18 miesiącach swój udział w Programie zakończyło 6 partnerstw z edycji 2018/2019;</w:t>
      </w:r>
    </w:p>
    <w:p w:rsidR="00B86812" w:rsidRPr="00E00B35" w:rsidRDefault="00B86812" w:rsidP="00BC64AB">
      <w:pPr>
        <w:pStyle w:val="Akapitzlist"/>
        <w:numPr>
          <w:ilvl w:val="0"/>
          <w:numId w:val="294"/>
        </w:numPr>
        <w:spacing w:after="0" w:line="312" w:lineRule="auto"/>
        <w:ind w:left="426" w:hanging="426"/>
        <w:rPr>
          <w:szCs w:val="20"/>
        </w:rPr>
      </w:pPr>
      <w:r w:rsidRPr="00E00B35">
        <w:rPr>
          <w:szCs w:val="20"/>
        </w:rPr>
        <w:t>od początku funkcjonowania Programu do 2020 r. Miasto przyznało dofinansowanie łącznie 253 partnerstwom, na kwotę niemalże 9,5 mln zł.</w:t>
      </w:r>
    </w:p>
    <w:p w:rsidR="00B86812" w:rsidRPr="00E00B35" w:rsidRDefault="00B86812" w:rsidP="00E00B35">
      <w:pPr>
        <w:spacing w:after="0" w:line="312" w:lineRule="auto"/>
        <w:ind w:left="426"/>
        <w:rPr>
          <w:szCs w:val="20"/>
        </w:rPr>
      </w:pPr>
    </w:p>
    <w:p w:rsidR="00B86812" w:rsidRPr="00E00B35" w:rsidRDefault="00B86812" w:rsidP="00E00B35">
      <w:pPr>
        <w:spacing w:after="0" w:line="312" w:lineRule="auto"/>
        <w:rPr>
          <w:szCs w:val="20"/>
        </w:rPr>
      </w:pPr>
      <w:r w:rsidRPr="00E00B35">
        <w:rPr>
          <w:szCs w:val="20"/>
        </w:rPr>
        <w:t>Budżet - wykonanie: 1 265 280 zł;</w:t>
      </w:r>
    </w:p>
    <w:p w:rsidR="00B86812" w:rsidRPr="00E00B35" w:rsidRDefault="00B86812" w:rsidP="00E00B35">
      <w:pPr>
        <w:spacing w:after="0" w:line="312" w:lineRule="auto"/>
        <w:rPr>
          <w:szCs w:val="20"/>
        </w:rPr>
      </w:pPr>
      <w:r w:rsidRPr="00E00B35">
        <w:rPr>
          <w:szCs w:val="20"/>
        </w:rPr>
        <w:t>Założenia polityki społeczno-gospodarczej: Program Mozart (zad. 149).</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rFonts w:eastAsia="font415"/>
          <w:b/>
          <w:szCs w:val="20"/>
        </w:rPr>
      </w:pPr>
      <w:r w:rsidRPr="00E00B35">
        <w:rPr>
          <w:rStyle w:val="Nagwek4Znak"/>
          <w:sz w:val="20"/>
          <w:szCs w:val="20"/>
        </w:rPr>
        <w:t>2.</w:t>
      </w:r>
      <w:r w:rsidRPr="00E00B35">
        <w:rPr>
          <w:rStyle w:val="Nagwek4Znak"/>
          <w:sz w:val="20"/>
          <w:szCs w:val="20"/>
        </w:rPr>
        <w:tab/>
        <w:t>DZIAŁANIA ZWIĄZANE Z OBSZAREM SZTUCZNEJ INTELIGENCJI –</w:t>
      </w:r>
      <w:r w:rsidRPr="00E00B35">
        <w:rPr>
          <w:rFonts w:eastAsia="font415"/>
          <w:b/>
          <w:szCs w:val="20"/>
        </w:rPr>
        <w:t xml:space="preserve"> BUDOWANIE NOWEJ MARKI MIASTA</w:t>
      </w:r>
    </w:p>
    <w:p w:rsidR="00B86812" w:rsidRPr="00E00B35" w:rsidRDefault="00B86812" w:rsidP="00E00B35">
      <w:pPr>
        <w:spacing w:after="0" w:line="312" w:lineRule="auto"/>
        <w:rPr>
          <w:szCs w:val="20"/>
        </w:rPr>
      </w:pPr>
      <w:r w:rsidRPr="00E00B35">
        <w:rPr>
          <w:szCs w:val="20"/>
        </w:rPr>
        <w:lastRenderedPageBreak/>
        <w:t xml:space="preserve">Realizując zapisy strategii „Przedsiębiorczy Wrocław 2030” oraz w wyniku konsultacji projektu „Polityka Rozwoju Sztucznej Inteligencji w Polsce na lata 2019 – 2027 (Biuro Strategii, Departament Strategii i Rozwoju Miasta, Biuro Smart Cities, WPT) kontynuowano parce nad identyfikacją podmiotów i uczelni uczestniczących w rozwoju branży IT we Wrocławiu zajmujących się głównie badaniami nad sztuczną inteligencją jako obszaru mogącego zapewnić Wrocławiowi dalszy rozwój i odegranie wiodącej roli w tym obszarze. </w:t>
      </w:r>
    </w:p>
    <w:p w:rsidR="00B86812" w:rsidRPr="00E00B35" w:rsidRDefault="00B86812" w:rsidP="00E00B35">
      <w:pPr>
        <w:spacing w:after="0" w:line="312" w:lineRule="auto"/>
        <w:rPr>
          <w:szCs w:val="20"/>
        </w:rPr>
      </w:pPr>
      <w:r w:rsidRPr="00E00B35">
        <w:rPr>
          <w:szCs w:val="20"/>
        </w:rPr>
        <w:t>Biuro Współpracy z Uczelniami Wyższymi zorganizowało dwa wydarzenia związane z tematyką Sztucznej Inteligencji: Seminarium online dla naukowców i artystów, którego celem było przede wszystkim ich kojarzenie oraz stymulowanie współpracy a także poszukiwanie takich obszarów badań nad Sztuczną Inteligencją, które mogłyby się stać „wrocławską specjalnością”. Zorganizowano również międzynarodową konferencję pt. „Sztuczna inteligencja dla dobrego życia: medycyna – nauka – biznes”, w której za pośrednictwem streamingu do internetu wzięło udział 23 prelegentów, śledziło je stale ok. 80 osób (stacjonarnie i online), wg statystyk Facebooka miało ono 12000 odbiorców, zanotowano też 259 aktywności i 1500 wyświetleń. Partnerami wydarzenia było BSM, BSC, ARAW oraz PwC.</w:t>
      </w:r>
    </w:p>
    <w:p w:rsidR="00B86812" w:rsidRPr="00E00B35" w:rsidRDefault="00B86812" w:rsidP="00E00B35">
      <w:pPr>
        <w:spacing w:after="0" w:line="312" w:lineRule="auto"/>
        <w:rPr>
          <w:szCs w:val="20"/>
        </w:rPr>
      </w:pPr>
      <w:r w:rsidRPr="00E00B35">
        <w:rPr>
          <w:szCs w:val="20"/>
        </w:rPr>
        <w:t>Budżet:  1683,00 zł (plus współpraca z ARAW w zakresie obsługi technicznej);</w:t>
      </w:r>
    </w:p>
    <w:p w:rsidR="00B86812" w:rsidRPr="00E00B35" w:rsidRDefault="00B86812" w:rsidP="00E00B35">
      <w:pPr>
        <w:spacing w:after="0" w:line="312" w:lineRule="auto"/>
        <w:rPr>
          <w:szCs w:val="20"/>
        </w:rPr>
      </w:pPr>
      <w:r w:rsidRPr="00E00B35">
        <w:rPr>
          <w:szCs w:val="20"/>
        </w:rPr>
        <w:t>Założenia polityki społeczno-gospodarczej: Organizacja krajowych i międzynarodowych konferencji i kongresów mających na celu rozwój nauki i biznesu we Wrocławiu (zad. 76); promocja nauki wśród społeczności lokalnej (zad. 140); działalność Wrocławskiego Uniwersytetu Otwartego (zad. 141); partnerstwo samorządu i uczelni Wrocławia – budowa współpracy międzynarodowej (zad. 155); portal wiedzy Wrocławskie Centrum Akademickie (zad. 158);</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rStyle w:val="Nagwek4Znak"/>
          <w:sz w:val="20"/>
          <w:szCs w:val="20"/>
        </w:rPr>
      </w:pPr>
      <w:r w:rsidRPr="00E00B35">
        <w:rPr>
          <w:rStyle w:val="Nagwek4Znak"/>
          <w:sz w:val="20"/>
          <w:szCs w:val="20"/>
        </w:rPr>
        <w:t>3.</w:t>
      </w:r>
      <w:r w:rsidRPr="00E00B35">
        <w:rPr>
          <w:rStyle w:val="Nagwek4Znak"/>
          <w:sz w:val="20"/>
          <w:szCs w:val="20"/>
        </w:rPr>
        <w:tab/>
        <w:t>INNE</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Boxy Akademickie w WPT: 5 lutego 2020 r. otwarte przez Prezydenta i uruchomione we Wrocławskim Parku Technologicznym tzw. Academic Box. Jest to specjalnie dedykowana dla kół naukowych przestrzeń w dawnej hali Pafawagu. W 2020 r. BWU prowadziło rozmowy ze środowiskiem akademickim i kołami naukowymi, by zdefiniować parametry projektu realizowanego przez WPT. Celem projektu jest zapewnienie najwybitniejszym kołom naukowym wrocławskich uczelni niezbędnej, specjalistycznie wyposażonej przestrzeni warsztatowo-koncepcyjnej, której brak</w:t>
      </w:r>
    </w:p>
    <w:p w:rsidR="00B86812" w:rsidRPr="00E00B35" w:rsidRDefault="00B86812" w:rsidP="00E00B35">
      <w:pPr>
        <w:spacing w:after="0" w:line="312" w:lineRule="auto"/>
        <w:rPr>
          <w:szCs w:val="20"/>
        </w:rPr>
      </w:pPr>
      <w:r w:rsidRPr="00E00B35">
        <w:rPr>
          <w:szCs w:val="20"/>
        </w:rPr>
        <w:t>w macierzystych uczelniach zaangażowanym studentom. Do końca 2020 r. w ramach projektu realizowanego przez WPT miejsce znalazło 8 kół naukowych.</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Założenia polityki społeczno-gospodarczej: Wzmacnianie potencjału gospodarczo-społecznego miasta, w szczególności poprzez projekty i działania wspierające rozwój przedsiębiorczości (zad. 133), Wspieranie i animowanie wrocławskiego ekosystemu startupowego (zad. 137), Promocja nauki wśród społeczności lokalnej (zad.140).</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lastRenderedPageBreak/>
        <w:t>Współpraca z siecią „Łukasiewicz”: do BWU z prośbą o wsparcie we Wrocławiu działań związanych z konsultacją ogólnopolskich polityk - w tym ochrony środowiska – zwróciła się centrala państwowej sieci badawczej. W efekcie współpracy zainicjowanej przez BWU, Biuro Zrównoważonego Rozwoju oraz miejski oficer rowerowy w porozumieniu z innymi komórkami urzędu uczestniczyli w cyklu warsztatów dotyczących planowania i organizacji alternatywnych form transportu w mieście (w tym problem „dostawy ostatniej mili” z wykorzystaniem transportu rowerowego). Współpraca z centralą sieci badawczej „Łukasiewicz” pozwala rozszerzać sieć kontaktów w zakresie współpracy miasta ze środowiskiem naukowym oraz inicjować nowe interdyscyplinarne oraz międzyinstytucjonalne projekty.</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Założenia polityki społeczno-gospodarczej: Wrocławski program antysmogowy (zad. 4), Realizacja Programu Rowerowego (zad. 29), Promocja do wewnątrz czyli promowanie mobilności, komunikacji miejskiej, polityki transportowej miasta (zad. 34).</w:t>
      </w:r>
    </w:p>
    <w:p w:rsidR="00F91829" w:rsidRPr="00E00B35" w:rsidRDefault="00F91829" w:rsidP="00E00B35">
      <w:pPr>
        <w:pStyle w:val="Nagwek4"/>
        <w:spacing w:before="0" w:after="0" w:line="312" w:lineRule="auto"/>
        <w:rPr>
          <w:sz w:val="20"/>
          <w:szCs w:val="20"/>
        </w:rPr>
      </w:pPr>
    </w:p>
    <w:p w:rsidR="00B86812" w:rsidRPr="00E00B35" w:rsidRDefault="00B86812" w:rsidP="00E00B35">
      <w:pPr>
        <w:pStyle w:val="Nagwek4"/>
        <w:spacing w:before="0" w:after="0" w:line="312" w:lineRule="auto"/>
        <w:rPr>
          <w:sz w:val="20"/>
          <w:szCs w:val="20"/>
        </w:rPr>
      </w:pPr>
      <w:r w:rsidRPr="00E00B35">
        <w:rPr>
          <w:sz w:val="20"/>
          <w:szCs w:val="20"/>
        </w:rPr>
        <w:t>Ad. 2.) EDUKACJA, W TYM EDUKACJA PRZEDSZKOLNA, SZKOLNA PODSTAWOWA I PONADPODSTAWOWA, SZKOLNICTWO WYŻSZE I NAUKA, WSPÓŁPRACA ZE ŚRODOWISKAMI NAUKOWYMI;</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1.</w:t>
      </w:r>
      <w:r w:rsidRPr="00E00B35">
        <w:rPr>
          <w:szCs w:val="20"/>
        </w:rPr>
        <w:tab/>
        <w:t>FUNDUSZ AKTYWNOŚCI STUDENCKIEJ (FAST)</w:t>
      </w:r>
    </w:p>
    <w:p w:rsidR="00B86812" w:rsidRPr="00E00B35" w:rsidRDefault="00B86812" w:rsidP="00E00B35">
      <w:pPr>
        <w:spacing w:after="0" w:line="312" w:lineRule="auto"/>
        <w:rPr>
          <w:szCs w:val="20"/>
        </w:rPr>
      </w:pPr>
      <w:r w:rsidRPr="00E00B35">
        <w:rPr>
          <w:szCs w:val="20"/>
        </w:rPr>
        <w:t>W ramach działania, wpisującego się w założenia Wrocławskiej Strategii Przedsiębiorczości „Przedsiębiorczy Wrocław 2030”, Miasto dofinansowuje projekty kół naukowych, organizacji i grup studenckich. Każdy z pomysłów zaprezentowanych przez studentów ma szansę na dofinansowanie na poziomie 5 000 zł, a w szczególnych przypadkach nawet na wyższą kwotę. Tematyka projektów jest dowolna, związana z profilem koła naukowego, grupy lub organizacji studenckiej.</w:t>
      </w:r>
    </w:p>
    <w:p w:rsidR="00B86812" w:rsidRPr="00E00B35" w:rsidRDefault="00B86812" w:rsidP="00E00B35">
      <w:pPr>
        <w:spacing w:after="0" w:line="312" w:lineRule="auto"/>
        <w:rPr>
          <w:szCs w:val="20"/>
        </w:rPr>
      </w:pPr>
      <w:r w:rsidRPr="00E00B35">
        <w:rPr>
          <w:szCs w:val="20"/>
        </w:rPr>
        <w:t>W 2020 r. w ramach programu zostały ogłoszone dwa konkursy, do których studenci zgłosili łącznie 81 projektów (FAST I: 36; FAST II: 45). Komisja konkursowa doceniła kreatywność, wysoki poziom naukowy, jak i wdrożeniową pomysłowość projektów zgłoszonych przez koła i organizacje studenckie działające przy wrocławskich uczelniach. W starania o dotację zaangażowało się 12 uczelni, wśród nich Politechnika Wrocławska, Uniwersytet Medyczny, Uniwersytet Wrocławski, Akademia Sztuk Pięknych, Akademia Sztuk Teatralnych, Dolnośląska Szkoła Wyższa. Komisja wskazała do dofinansowania łącznie 56 projektów (FAST I: 24; FAST II: 32) na kwotę ponad 280 tys. zł. Z uwagi na trudną sytuację związaną z pandemią i ograniczeniami w kontaktach pomiędzy studentami kilka organizacji studenckich zrezygnowało z realizacji ich projektów. Ostatecznie Miasto podpisało 48 umów na łączną kwotę 240 872 zł.</w:t>
      </w:r>
    </w:p>
    <w:p w:rsidR="00B86812" w:rsidRPr="00E00B35" w:rsidRDefault="00B86812" w:rsidP="00E00B35">
      <w:pPr>
        <w:spacing w:after="0" w:line="312" w:lineRule="auto"/>
        <w:rPr>
          <w:szCs w:val="20"/>
        </w:rPr>
      </w:pPr>
      <w:r w:rsidRPr="00E00B35">
        <w:rPr>
          <w:szCs w:val="20"/>
        </w:rPr>
        <w:tab/>
      </w:r>
    </w:p>
    <w:p w:rsidR="00B86812" w:rsidRPr="00E00B35" w:rsidRDefault="00B86812" w:rsidP="00E00B35">
      <w:pPr>
        <w:spacing w:after="0" w:line="312" w:lineRule="auto"/>
        <w:rPr>
          <w:szCs w:val="20"/>
        </w:rPr>
      </w:pPr>
      <w:r w:rsidRPr="00E00B35">
        <w:rPr>
          <w:szCs w:val="20"/>
        </w:rPr>
        <w:t xml:space="preserve">Tematyka studenckich inicjatyw była bardzo różnorodna, wśród realizowanych projektów znalazły się: Muzeum Anatomiczne Uniwersytetu Medycznego we Wrocławiu - historia, nauka, sztuka zrealizowany przez koło naukowe działające przy Uniwersytecie Medycznym Clinical and Dissecting Anatomy Students Scientific Club; Szklane rytmy - pejzaże inspirowane Wrocławiem, za który odpowiedzialne było Koło Naukowe Studentów </w:t>
      </w:r>
      <w:r w:rsidRPr="00E00B35">
        <w:rPr>
          <w:szCs w:val="20"/>
        </w:rPr>
        <w:lastRenderedPageBreak/>
        <w:t>Katedry Szkła Poziom 2 z Akademii Sztuk Pięknych; Projekt stworzenia oraz implementacji systemów jazdy autonomicznej do bolidu klasy Formula Student o napędzie elektrycznym, przygotowany i przeprowadzony przez Koło Naukowe PWR RACING TEAM (Politechnika Wrocławska) oraz Rejestrowanie audiosfery - studencki field recording, pomysł Samorządu Studenckiego Dolnośląskiej Szkoły Wyższej.</w:t>
      </w:r>
    </w:p>
    <w:p w:rsidR="00B86812" w:rsidRPr="00E00B35" w:rsidRDefault="00B86812" w:rsidP="00E00B35">
      <w:pPr>
        <w:spacing w:after="0" w:line="312" w:lineRule="auto"/>
        <w:rPr>
          <w:szCs w:val="20"/>
        </w:rPr>
      </w:pPr>
      <w:r w:rsidRPr="00E00B35">
        <w:rPr>
          <w:szCs w:val="20"/>
        </w:rPr>
        <w:t>Budżet (wartość podpisanych 48 umów dotacyjnych): 240 872 zł;</w:t>
      </w:r>
    </w:p>
    <w:p w:rsidR="00B86812" w:rsidRPr="00E00B35" w:rsidRDefault="00B86812" w:rsidP="00E00B35">
      <w:pPr>
        <w:spacing w:after="0" w:line="312" w:lineRule="auto"/>
        <w:rPr>
          <w:szCs w:val="20"/>
        </w:rPr>
      </w:pPr>
      <w:r w:rsidRPr="00E00B35">
        <w:rPr>
          <w:szCs w:val="20"/>
        </w:rPr>
        <w:t>Założenia polityki społeczno-gospodarczej: kampania Studiuj, Żyj, Pracuj we Wrocławiu (zad. 70), promocja nauki wśród społeczności lokalnej (zad. 140), działalność Wrocławskiego Uniwersytetu Otwartego (zad. 141).</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2.</w:t>
      </w:r>
      <w:r w:rsidRPr="00E00B35">
        <w:rPr>
          <w:szCs w:val="20"/>
        </w:rPr>
        <w:tab/>
        <w:t>VISITING PROFESSORS</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Realizacja programu zapewnia wrocławianom możliwość spotkania z wybitnymi przedstawicielami świata nauki i kultury (wykłady, warsztaty, seminaria). Do udziału w programie zaproszone są wrocławskie uczelnie akademickie oraz instytuty naukowe.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 odpowiedzi na zaproszenie do udziału w konkursie w roku 2020 wpłynęło 51 wniosków. Zostały złożone zarówno przez wrocławskie uczelnie publiczne i niepubliczne oraz instytuty. Zdecydowanie najwięcej wniosków wpłynęło z Uniwersytetu Wrocławskiego (20), Uniwersytetu Medycznego im. Piastów Śląskich (9) i Politechniki Wrocławskiej (5). Kapituła rozpatrzyła pozytywnie 31 wniosków, z czego najwięcej zgłoszonych przez Uniwersytet Wrocławski (12), Uniwersytet Medyczny (4) i Politechnikę Wrocławską (2).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Zaakceptowane wnioski otrzymały dofinansowanie na łączną kwotę </w:t>
      </w:r>
    </w:p>
    <w:p w:rsidR="00B86812" w:rsidRPr="00E00B35" w:rsidRDefault="00B86812" w:rsidP="00E00B35">
      <w:pPr>
        <w:spacing w:after="0" w:line="312" w:lineRule="auto"/>
        <w:rPr>
          <w:szCs w:val="20"/>
        </w:rPr>
      </w:pPr>
      <w:r w:rsidRPr="00E00B35">
        <w:rPr>
          <w:szCs w:val="20"/>
        </w:rPr>
        <w:t xml:space="preserve">134 300 zł.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Ze względu na obostrzenia związane z pandemią COVID-19 z 31 planowanych wizyt odbyły się 4, z których 2 w formule online.</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Budżet: 160 000 zł; wykonanie: 9 500 zł; </w:t>
      </w:r>
    </w:p>
    <w:p w:rsidR="00B86812" w:rsidRPr="00E00B35" w:rsidRDefault="00B86812" w:rsidP="00E00B35">
      <w:pPr>
        <w:spacing w:after="0" w:line="312" w:lineRule="auto"/>
        <w:rPr>
          <w:szCs w:val="20"/>
        </w:rPr>
      </w:pPr>
      <w:r w:rsidRPr="00E00B35">
        <w:rPr>
          <w:szCs w:val="20"/>
        </w:rPr>
        <w:t>Założenia polityki społeczno-gospodarczej: promocja nauki wśród społeczności lokalnej (zad. 140).</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3.</w:t>
      </w:r>
      <w:r w:rsidRPr="00E00B35">
        <w:rPr>
          <w:szCs w:val="20"/>
        </w:rPr>
        <w:tab/>
        <w:t>WROCŁAWSKIE KONFERENCJE NAUKOWE</w:t>
      </w:r>
      <w:r w:rsidRPr="00E00B35">
        <w:rPr>
          <w:szCs w:val="20"/>
        </w:rPr>
        <w:tab/>
      </w:r>
    </w:p>
    <w:p w:rsidR="00B86812" w:rsidRPr="00E00B35" w:rsidRDefault="00B86812" w:rsidP="00E00B35">
      <w:pPr>
        <w:spacing w:after="0" w:line="312" w:lineRule="auto"/>
        <w:rPr>
          <w:szCs w:val="20"/>
        </w:rPr>
      </w:pPr>
      <w:r w:rsidRPr="00E00B35">
        <w:rPr>
          <w:szCs w:val="20"/>
        </w:rPr>
        <w:t>Dzięki temu programowi wrocławianie, w tym szczególnie środowiska naukowe i kulturalne miasta mogły uczestniczyć w wyróżniających się konferencjach naukowych czy towarzyszących im wydarzeniach. Wspierane w ramach tego programu konferencje mają również szczególne znaczenie promocyjne dla Wrocławia i umacniają jego wizerunek jako „miasta nauki”. Do udziału w programie zaproszone są wrocławskie uczelnie akademickie, instytuty naukowe oraz instytucje otoczenia nauki i biznesu, które wnioskują o dofinansowanie z budżetu Miasta.</w:t>
      </w:r>
    </w:p>
    <w:p w:rsidR="00B86812" w:rsidRPr="00E00B35" w:rsidRDefault="00B86812" w:rsidP="00E00B35">
      <w:pPr>
        <w:spacing w:after="0" w:line="312" w:lineRule="auto"/>
        <w:rPr>
          <w:szCs w:val="20"/>
        </w:rPr>
      </w:pPr>
      <w:r w:rsidRPr="00E00B35">
        <w:rPr>
          <w:szCs w:val="20"/>
        </w:rPr>
        <w:t xml:space="preserve">W odpowiedzi na zaproszenie do udziału w programie do Biura Współpracy z Uczelniami Wyższymi wpłynęły 54 wnioski złożone przez wrocławskie uczelnie publiczne i </w:t>
      </w:r>
      <w:r w:rsidRPr="00E00B35">
        <w:rPr>
          <w:szCs w:val="20"/>
        </w:rPr>
        <w:lastRenderedPageBreak/>
        <w:t>niepubliczne oraz instytuty naukowe. Zdecydowanie najwięcej wniosków wpłynęło z Uniwersytetu Wrocławskiego (21), a także  Uniwersytetu Medycznego (12) oraz Akademii Muzycznej (5) oraz Uniwersytetu Ekonomicznego (5). W efekcie Kapituła wybrała 31 wniosków, które dofinansowano na łączną kwotę 155 000,00 zł.</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Ze względu na obostrzenia związane z pandemią COVID-19 z 31 planowanych wizyt odbyło się 5 - wszystkie w formule online.</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Budżet: 160 000 zł; wykonanie: 10 799,86;</w:t>
      </w:r>
    </w:p>
    <w:p w:rsidR="00B86812" w:rsidRPr="00E00B35" w:rsidRDefault="00B86812" w:rsidP="00E00B35">
      <w:pPr>
        <w:spacing w:after="0" w:line="312" w:lineRule="auto"/>
        <w:rPr>
          <w:szCs w:val="20"/>
        </w:rPr>
      </w:pPr>
      <w:r w:rsidRPr="00E00B35">
        <w:rPr>
          <w:szCs w:val="20"/>
        </w:rPr>
        <w:t>Założenia polityki społeczno-gospodarczej: promocja nauki wśród społeczności lokalnej (zad. 140).</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4.</w:t>
      </w:r>
      <w:r w:rsidRPr="00E00B35">
        <w:rPr>
          <w:szCs w:val="20"/>
        </w:rPr>
        <w:tab/>
        <w:t>WROCŁAWSKA AKADEMIA SAMORZĄDOWA (WAS)</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Wrocławska Akademia Samorządowa to cykl wykładów dotyczących zasad zarządzania miastem, finansów, socjologii, kultury i architektury skierowanych przede wszystkim do wrocławskich radnych miejskich oraz członków rad osiedli i nauczycieli zajmujących się tematyką szeroko pojętej edukacji obywatelskiej. Liderem projektu po stronie akademickiej był prof. Rafał Wojciechowski, ówczesny prorektor ds. studenckich Uniwersytetu Wrocławskiego pracownik naukowy Wydziału Prawa, Administracji i Ekonomii UWr. Ze względu na obostrzenia związane z pandemią COVID-19 w 2020 r. ramach WAS odbyły się 2 wykłady prof. Jana Miodka, prof. Wiesławy Miemiec.</w:t>
      </w:r>
    </w:p>
    <w:p w:rsidR="00B86812" w:rsidRPr="00E00B35" w:rsidRDefault="00B86812" w:rsidP="00E00B35">
      <w:pPr>
        <w:spacing w:after="0" w:line="312" w:lineRule="auto"/>
        <w:rPr>
          <w:szCs w:val="20"/>
        </w:rPr>
      </w:pPr>
    </w:p>
    <w:p w:rsidR="00F91829" w:rsidRPr="00E00B35" w:rsidRDefault="00B86812" w:rsidP="00E00B35">
      <w:pPr>
        <w:spacing w:after="0" w:line="312" w:lineRule="auto"/>
        <w:rPr>
          <w:szCs w:val="20"/>
        </w:rPr>
      </w:pPr>
      <w:r w:rsidRPr="00E00B35">
        <w:rPr>
          <w:szCs w:val="20"/>
        </w:rPr>
        <w:t>Budżet: 7200 zł brutto (6 wykładów w 2020 r.); wykonanie: 1200 zł (jeden z wykładowców zrzekł się wynagrodzenia);</w:t>
      </w:r>
    </w:p>
    <w:p w:rsidR="00B86812" w:rsidRPr="00E00B35" w:rsidRDefault="00B86812" w:rsidP="00E00B35">
      <w:pPr>
        <w:spacing w:after="0" w:line="312" w:lineRule="auto"/>
        <w:rPr>
          <w:szCs w:val="20"/>
        </w:rPr>
      </w:pPr>
      <w:r w:rsidRPr="00E00B35">
        <w:rPr>
          <w:szCs w:val="20"/>
        </w:rPr>
        <w:t>Założenia polityki społeczno-gospodarczej: promocja nauki wśród społeczności lokalnej (zad. 140), działalność Wrocławskiego Uniwersytet u Otwartego (zad. 141).</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5.</w:t>
      </w:r>
      <w:r w:rsidRPr="00E00B35">
        <w:rPr>
          <w:szCs w:val="20"/>
        </w:rPr>
        <w:tab/>
        <w:t xml:space="preserve">AKADEMIA MŁODYCH UCZONYCH I ARTYSTÓW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Akademia Młodych Uczonych i Artystów jest grupą młodych wybitnych naukowców reprezentujących wrocławskie środowisko akademickie, wspierającą Prezydenta Wrocławia w sprawach związanych z nauką (oraz edukacją) i jej promocją wśród wrocławian. Została powołana zarządzeniem Prezydenta Wrocławia. W działalność Akademii zaangażowanych jest 25 członków zwyczajnych i 30 wspierających.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 2020 r. w ramach Akademii Młodych Uczonych i Artystów zrealizowano: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We wrześniu 2020 odbyła się XXVII Ogólnopolska Konferencja Polskiego Stowarzyszenia Przedmiotów Przyrodniczych „Nauczanie przedmiotów przyrodniczych w dobie zdalnego nauczania”, w której wzięło udział ponad 100 uczestników (formuła online). W komitecie organizacyjnym oraz wśród prelegentów znalazły się 2 członkinie AMUiA: dr Urszula Komarnicka i dr Aurelia Cegłowska.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Jubileusz 10-lecia Akademii Młodych Uczonych i Artystów</w:t>
      </w:r>
    </w:p>
    <w:p w:rsidR="00B86812" w:rsidRPr="00E00B35" w:rsidRDefault="00B86812" w:rsidP="00E00B35">
      <w:pPr>
        <w:spacing w:after="0" w:line="312" w:lineRule="auto"/>
        <w:rPr>
          <w:szCs w:val="20"/>
        </w:rPr>
      </w:pPr>
      <w:r w:rsidRPr="00E00B35">
        <w:rPr>
          <w:szCs w:val="20"/>
        </w:rPr>
        <w:t>W październiku 2020 zorganizowano jubileuszowe sympozjum naukowe poświęcone m.in. problematyce interdyscyplinarności nauki, jej popularyzacji. W czasie konferencji członkowie Akademii mieli okazję zaprezentować także wyniki swoich badań. Wydarzenie odbyło się w całości w formule online i zostało nagrane. Można je odtworzyć m.in. za pośrednictwem profilu Akademii na Facebooku.</w:t>
      </w:r>
    </w:p>
    <w:p w:rsidR="00F91829" w:rsidRPr="00E00B35" w:rsidRDefault="00F91829"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 listopadzie 2020 zorganizowano przy współpracy z Akademią Sztuk Pięknych Międzynarodową Konferencję „Wytwórczo” poświęconą nowym kontekstom rzemiosła. Wydarzenie było transmitowane w Internecie a wzięło w nim udział 140-160 osób.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"Biografia i akademia. Doświadczenia młodego pokolenia wrocławskich uczonych i artystów". Książka zredagowana przez członków AMUiA - prof. Adama Mrozowickiego, dr Magdę Dubińską-Magierę oraz dr. Bartłomieja Skowrona - a także dr Justynę Kajtę. Jest ona efektem jednego z interdyscyplinarnych projektów badawczych realizowanych przez AMUiA. W publikacji zebrano wywiady biograficzno-narracyjne z reprezentującymi różne dziedziny i dyscypliny przedstawicielami Akademii. Dzięki zaprezentowanym historiom książka pozwala na poznanie biograficznych i zawodowych losów młodych naukowców i artystów, a tym samym stanowi ważny głos w dyskusji o możliwościach i warunkach pracy naukowej i artystycznej w Polsce.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Warto zwrócić uwagę na zaangażowania członków Akademii w inicjatywy przeciwdziałające pandemii COVID-19: </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 xml:space="preserve">Prof. Marcin Drąg (Wydział Chemii, Politechnika Wrocławska, członek AMUiA z pierwszego naboru) – rozpracowanie enzymu koronawirusa, co ma kluczowe znaczenie w opracowaniu szczepionki lub leków na COVID-19; </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prof. Ewa Jankowska (kardiolog, Uniwersytet Medyczny) – współkoordynowanie badań nad chlorochiną – potencjalnym lekiem na COVID-19;</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Ponadto członkowie Akademii Młodych Uczonych i Artystów, jak co roku, opiniowali wnioski złożone do programów realizowanych przez Biuro Współpracy z Uczelniami Wyższymi: Visiting Professors, Miejskiego Programu Wsparcia Partnerstwa Szkolnictwa Wyższego i Nauki oraz Sektora Aktywności Gospodarczej oraz Studenckiego Programu Stypendialnego.</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Budżet: 118 000 zł; wykonanie: 97 084,03 zł;</w:t>
      </w:r>
    </w:p>
    <w:p w:rsidR="00B86812" w:rsidRPr="00E00B35" w:rsidRDefault="00B86812" w:rsidP="00E00B35">
      <w:pPr>
        <w:spacing w:after="0" w:line="312" w:lineRule="auto"/>
        <w:rPr>
          <w:szCs w:val="20"/>
        </w:rPr>
      </w:pPr>
      <w:r w:rsidRPr="00E00B35">
        <w:rPr>
          <w:szCs w:val="20"/>
        </w:rPr>
        <w:t xml:space="preserve">Założenia polityki społeczno-gospodarczej: Akademia Młodych Uczonych i Artystów (zad. 151). </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lastRenderedPageBreak/>
        <w:t>6.</w:t>
      </w:r>
      <w:r w:rsidRPr="00E00B35">
        <w:rPr>
          <w:szCs w:val="20"/>
        </w:rPr>
        <w:tab/>
        <w:t>WROCŁAWSKA NAGRODA NAUKOWA</w:t>
      </w:r>
    </w:p>
    <w:p w:rsidR="00B86812" w:rsidRPr="00E00B35" w:rsidRDefault="00B86812" w:rsidP="00E00B35">
      <w:pPr>
        <w:spacing w:after="0" w:line="312" w:lineRule="auto"/>
        <w:rPr>
          <w:szCs w:val="20"/>
        </w:rPr>
      </w:pPr>
      <w:r w:rsidRPr="00E00B35">
        <w:rPr>
          <w:szCs w:val="20"/>
        </w:rPr>
        <w:t>Nagroda Naukowa Prezydenta Wrocławia dedykowana jest i przyznawana wybitnym twórcom, których dokonania o interdyscyplinarnym charakterze wywierają szczególny wpływ na integrację środowisk akademickich naukowych i artystycznych.</w:t>
      </w:r>
    </w:p>
    <w:p w:rsidR="00B86812" w:rsidRPr="00E00B35" w:rsidRDefault="00B86812" w:rsidP="00E00B35">
      <w:pPr>
        <w:spacing w:after="0" w:line="312" w:lineRule="auto"/>
        <w:rPr>
          <w:szCs w:val="20"/>
        </w:rPr>
      </w:pPr>
      <w:r w:rsidRPr="00E00B35">
        <w:rPr>
          <w:szCs w:val="20"/>
        </w:rPr>
        <w:t xml:space="preserve">W ubiegłym roku do Biura Współpracy z Uczelniami Wyższymi wpłynęło 10 wniosków z kandydaturami: </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 xml:space="preserve">dr hab. Roberta Kurdybacha, Akademia Muzyczna im. Karola Lipińskiego; </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Prof. dr hab. Andrzeja Górskiego, Instytut Immunologii i Terapii;       Doświadczalnej im. Ludwika Hirszfelda PAN;</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Prof. dr hab. Wiesława Stręka,  Instytut Niskich Temperatur i Badań Strukturalnych im. Włodzimierza Trzebiatowskiego PAN;</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Prof. dr hab. inż. Zenona Zamiara, Międzynarodowa Wyższa Szkoła Logistyki i Transportu;</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Dr hab. n. med. Błażeja Misiaka, Uniwersytet Medyczny im. Piastów Śląskich;</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Prof.  dr hab. inż. Tadeusza Trziszki, Uniwersytet Przyrodniczy;</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Dr hab. Piotra Sorokowskiego, Uniwersytet Wrocławski;</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Prof. dr hab. Jana Harasimowicza, Uniwersytet Wrocławski;</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Prof.dr hab. Mariana Nogi, Wyższa Szkoła Bankowa;</w:t>
      </w:r>
    </w:p>
    <w:p w:rsidR="00B86812" w:rsidRPr="00E00B35" w:rsidRDefault="00F91829" w:rsidP="00BC64AB">
      <w:pPr>
        <w:pStyle w:val="Akapitzlist"/>
        <w:numPr>
          <w:ilvl w:val="2"/>
          <w:numId w:val="295"/>
        </w:numPr>
        <w:spacing w:after="0" w:line="312" w:lineRule="auto"/>
        <w:ind w:left="426" w:hanging="426"/>
        <w:rPr>
          <w:szCs w:val="20"/>
        </w:rPr>
      </w:pPr>
      <w:r w:rsidRPr="00E00B35">
        <w:rPr>
          <w:szCs w:val="20"/>
        </w:rPr>
        <w:t>D</w:t>
      </w:r>
      <w:r w:rsidR="00B86812" w:rsidRPr="00E00B35">
        <w:rPr>
          <w:szCs w:val="20"/>
        </w:rPr>
        <w:t xml:space="preserve">r hab. Michała Jakubowicza,  SWPS Uniwersytet Humanistycznospołeczny  </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 xml:space="preserve">Kapituła w składzie: prof. dr hab. inż. Cezary Madryas, prof. dr hab. Adam Jezierski, prof. Piotr Kielan, dr Jacek Ossowski (przewodniczący) nagrodę przyznała </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Prof. dr hab. Andrzejowi Górskiemu</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Prof.  dr hab. inż. Tadeuszowi Trziszce</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Prof. dr hab. Janowi Harasimowiczowi</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 xml:space="preserve">w uznaniu ich wybitnych osiągnięć naukowych oraz działalności na rzecz integracji środowiska akademickiego. Profesorowie otrzymali nagrodę pieniężną o łącznej wysokości 30 000 zł (po 10 000 zł). Uroczyste wręczenie nagrody przez Prezydenta Wrocławia miało miejsce podczas środowiskowej inauguracji roku akademickiego. </w:t>
      </w:r>
    </w:p>
    <w:p w:rsidR="00B86812" w:rsidRPr="00E00B35" w:rsidRDefault="00B86812" w:rsidP="00E00B35">
      <w:pPr>
        <w:spacing w:after="0" w:line="312" w:lineRule="auto"/>
        <w:rPr>
          <w:szCs w:val="20"/>
        </w:rPr>
      </w:pPr>
      <w:r w:rsidRPr="00E00B35">
        <w:rPr>
          <w:szCs w:val="20"/>
        </w:rPr>
        <w:t>Budżet - wykonanie: 30 000 zł;</w:t>
      </w:r>
    </w:p>
    <w:p w:rsidR="00B86812" w:rsidRPr="00E00B35" w:rsidRDefault="00B86812" w:rsidP="00E00B35">
      <w:pPr>
        <w:spacing w:after="0" w:line="312" w:lineRule="auto"/>
        <w:rPr>
          <w:szCs w:val="20"/>
        </w:rPr>
      </w:pPr>
      <w:r w:rsidRPr="00E00B35">
        <w:rPr>
          <w:szCs w:val="20"/>
        </w:rPr>
        <w:t>Założenia polityki społeczno-gospodarczej: Wrocławska Nagroda Naukowa (zad. 152).</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7.</w:t>
      </w:r>
      <w:r w:rsidRPr="00E00B35">
        <w:rPr>
          <w:szCs w:val="20"/>
        </w:rPr>
        <w:tab/>
        <w:t>STUDENCKI PROGRAM STYPENDIALNY</w:t>
      </w:r>
    </w:p>
    <w:p w:rsidR="00B86812" w:rsidRPr="00E00B35" w:rsidRDefault="00B86812" w:rsidP="00E00B35">
      <w:pPr>
        <w:spacing w:after="0" w:line="312" w:lineRule="auto"/>
        <w:rPr>
          <w:szCs w:val="20"/>
        </w:rPr>
      </w:pPr>
      <w:r w:rsidRPr="00E00B35">
        <w:rPr>
          <w:szCs w:val="20"/>
        </w:rPr>
        <w:t>Celem programu jest wsparcie najzdolniejszych studentów w ich pracy naukowej, rozwijaniu pasji i talentów oraz wsparcie procesu włączenia ich drogi akademickiej w uniwersytecki obieg międzynarodowy.</w:t>
      </w:r>
    </w:p>
    <w:p w:rsidR="00B86812" w:rsidRPr="00E00B35" w:rsidRDefault="00B86812" w:rsidP="00E00B35">
      <w:pPr>
        <w:spacing w:after="0" w:line="312" w:lineRule="auto"/>
        <w:rPr>
          <w:szCs w:val="20"/>
        </w:rPr>
      </w:pPr>
      <w:r w:rsidRPr="00E00B35">
        <w:rPr>
          <w:szCs w:val="20"/>
        </w:rPr>
        <w:t>W ramach programu funkcjonują trzy rodzaje stypendiów, skierowanych do:</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studentów wyjeżdżających na studia za granicę,</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doktorantów (6 kategorii);</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laureatów ogólnopolskich olimpiad i konkursów przed</w:t>
      </w:r>
      <w:r w:rsidR="00F91829" w:rsidRPr="00E00B35">
        <w:rPr>
          <w:szCs w:val="20"/>
        </w:rPr>
        <w:t>miotowych</w:t>
      </w:r>
      <w:r w:rsidRPr="00E00B35">
        <w:rPr>
          <w:szCs w:val="20"/>
        </w:rPr>
        <w:t>.</w:t>
      </w:r>
    </w:p>
    <w:p w:rsidR="00B86812" w:rsidRPr="00E00B35" w:rsidRDefault="00B86812" w:rsidP="00E00B35">
      <w:pPr>
        <w:spacing w:after="0" w:line="312" w:lineRule="auto"/>
        <w:rPr>
          <w:szCs w:val="20"/>
        </w:rPr>
      </w:pPr>
      <w:r w:rsidRPr="00E00B35">
        <w:rPr>
          <w:szCs w:val="20"/>
        </w:rPr>
        <w:t>W dwóch edycjach programu dla studentów wyjeżdżających na studia za granicę wpłynęło łącznie 137 wniosków, spośród których 112 otrzymało stypendium w wysokości 500 zł, na okres nie dłuższy niż 9 miesięcy.</w:t>
      </w:r>
    </w:p>
    <w:p w:rsidR="00B86812" w:rsidRPr="00E00B35" w:rsidRDefault="00B86812" w:rsidP="00E00B35">
      <w:pPr>
        <w:spacing w:after="0" w:line="312" w:lineRule="auto"/>
        <w:rPr>
          <w:szCs w:val="20"/>
        </w:rPr>
      </w:pPr>
      <w:r w:rsidRPr="00E00B35">
        <w:rPr>
          <w:szCs w:val="20"/>
        </w:rPr>
        <w:lastRenderedPageBreak/>
        <w:t>Doktoranci otrzymali stypendia w 6 kategoriach: im. Ludwika Hirszfelda w zakresie nauk biologicznych i medycznych; im. Hugona Steinhausa w zakresie nauk matematycznych; im. Maxa Borna w zakresie nauk fizycznych i chemicznych; im. Jerzego Grotowskiego w zakresie sztuki; im. Wincentego Stysia w zakresie nauk społecznych i humanistycznych; im. Jana Mozrzymasa w zakresie nauk interdyscyplinarnych). Komisja spośród 119 wniosków przyznała 16 wyróżnień oraz 18 stypendiów w wysokości 2 000 zł, na okres 9 miesięcy. Wśród nagrodzonych było 7 stypendystów z Uniwersytetu Wrocławskiego, 5 z Politechniki Wrocławskiej, 2 z Akademii Sztuk Pięknych i po 1 z Uniwersytetu Przyrodniczego i Uniwersytetu Medycznego im. Piastów Śl., Akademii Muzycznej im. K. Lipińskiego i Uniwersytetu Humanistycznospołecznego SWPS.</w:t>
      </w:r>
    </w:p>
    <w:p w:rsidR="00B86812" w:rsidRPr="00E00B35" w:rsidRDefault="00B86812" w:rsidP="00E00B35">
      <w:pPr>
        <w:spacing w:after="0" w:line="312" w:lineRule="auto"/>
        <w:rPr>
          <w:szCs w:val="20"/>
        </w:rPr>
      </w:pPr>
      <w:r w:rsidRPr="00E00B35">
        <w:rPr>
          <w:szCs w:val="20"/>
        </w:rPr>
        <w:t xml:space="preserve">Studenci będący laureatami olimpiad i konkursów złożyli łącznie 38 wniosków, spośród których 34 zostały wyróżnione. Warto zwrócić uwagę na fakt, że w 2020 spłynęło mniej wniosków w stosunku do roku 2019, co prawdopodobnie zostało spowodowane tym, że z uwagi na obostrzenia epidemiologiczne nie odbyła się część finałów olimpiad przedmiotowych. Każdy z wyróżnionych studentów otrzymał prawo do stypendium o wartości 1 000 zł miesięcznie, na okres maksymalnie 9 miesięcy. </w:t>
      </w:r>
    </w:p>
    <w:p w:rsidR="00B86812" w:rsidRPr="00E00B35" w:rsidRDefault="00B86812" w:rsidP="00E00B35">
      <w:pPr>
        <w:spacing w:after="0" w:line="312" w:lineRule="auto"/>
        <w:rPr>
          <w:szCs w:val="20"/>
        </w:rPr>
      </w:pPr>
      <w:r w:rsidRPr="00E00B35">
        <w:rPr>
          <w:szCs w:val="20"/>
        </w:rPr>
        <w:t>Budżet: 1 228 000 zł; wykonanie: 971 000;</w:t>
      </w:r>
    </w:p>
    <w:p w:rsidR="00B86812" w:rsidRPr="00E00B35" w:rsidRDefault="00B86812" w:rsidP="00E00B35">
      <w:pPr>
        <w:spacing w:after="0" w:line="312" w:lineRule="auto"/>
        <w:rPr>
          <w:szCs w:val="20"/>
        </w:rPr>
      </w:pPr>
      <w:r w:rsidRPr="00E00B35">
        <w:rPr>
          <w:szCs w:val="20"/>
        </w:rPr>
        <w:t>Założenia polityki społeczno-gospodarczej: Studencki Program Stypendialny (zad. 153).</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8.</w:t>
      </w:r>
      <w:r w:rsidRPr="00E00B35">
        <w:rPr>
          <w:szCs w:val="20"/>
        </w:rPr>
        <w:tab/>
        <w:t>WROCŁAWSKA MAGNOLIA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Celem konkursu jest wyróżnienie najzdolniejszych absolwentów wrocławskich uczelni – autorów prac poświęconych zagadnieniom szeroko pojętej poprawy jakości życia wrocławian, w szczególności ochrony środowiska i zdrowia człowieka. Najlepsze prace magisterskie honorowane są nagrodami pieniężnymi. </w:t>
      </w:r>
    </w:p>
    <w:p w:rsidR="00B86812" w:rsidRPr="00E00B35" w:rsidRDefault="00B86812" w:rsidP="00E00B35">
      <w:pPr>
        <w:spacing w:after="0" w:line="312" w:lineRule="auto"/>
        <w:rPr>
          <w:szCs w:val="20"/>
        </w:rPr>
      </w:pPr>
      <w:r w:rsidRPr="00E00B35">
        <w:rPr>
          <w:szCs w:val="20"/>
        </w:rPr>
        <w:t>W ramach XVII edycji programu wpłynęły 27 wnioski, z czego najwięcej – po 5 prac – zgłosiła Politechnika Wrocławska i Akademia Sztuk Pięknych; 4 prace zgłosił Uniwersytet Ekonomiczny; po 4 prace wpłynęły z Uniwersytetu Medycznego, Akademii Wychowania Fizycznego, Dolnośląskiej Szkoły Wyższej, zaś po 1 pracy z Uniwersytetu Wrocławskiego, Uniwersytetu Przyrodniczego, Wyższej Szkoły Wojsk Lądowych i Akademii Muzycznej.  Ostatecznie komisja wyróżniła 9 prac:</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I miejsce: „Koncepcja zarządzania wodami opadowymi” absolwentki Politechniki Wrocławskiej, z nagrodą 10 000 zł;</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II miejsce „Czynna rekreacja w ogrodzie – projekt zestawu do przyrządzania i celebrowania posiłków na działce" absolwentki Akademii Sztuk Pięknych, z nagrodą 8 000 zł;</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III miejsce „Projekt zabawki dla dzieci w wieku 5-7 lat uwzględniający różnice rozwojowe związane z płcią - ruchowa zabawka integracyjna” również absolwentki Akademii Sztuk Pięknych, z nagrodą 4 000 zł;</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III miejsce „Problematyka zagospodarowania terenów zieleni przyszpitalnej we Wrocławskim Obszarze Funkcjonalnym” absolwentki Uniwersytetu Wrocławskiego z nagrodą 4 000 zł;</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lastRenderedPageBreak/>
        <w:t>III miejsce „Zestaw komunikatów służących popularyzacji wiedzy o pszczołach” absolwentki Akademii Sztuk Pięknych, z nagrodą 4 000 zł;</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Wyróżnienie „Koncepcja projektowa eko-parku na osiedlu Wojszyce we Wrocławiu” absolwentki Uniwersytetu Przyrodniczego z nagrodą 2500 zł;</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Wyróżnienie „Hydrodynamiczne modelowanie działania kanalizacji deszczowej w miejscowości 01” absolwentki Politechniki Wrocławskiej z nagrodą 2500 zł;</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Wyróżnienie „Aktywator społeczny przy ul. Ołbińskiej we Wrocławiu” absolwenta Politechniki Wrocławskiej z nagrodą 2500 zł;</w:t>
      </w:r>
    </w:p>
    <w:p w:rsidR="00B86812" w:rsidRPr="00E00B35" w:rsidRDefault="00B86812" w:rsidP="00BC64AB">
      <w:pPr>
        <w:pStyle w:val="Akapitzlist"/>
        <w:numPr>
          <w:ilvl w:val="2"/>
          <w:numId w:val="295"/>
        </w:numPr>
        <w:spacing w:after="0" w:line="312" w:lineRule="auto"/>
        <w:ind w:left="426" w:hanging="426"/>
        <w:rPr>
          <w:szCs w:val="20"/>
        </w:rPr>
      </w:pPr>
      <w:r w:rsidRPr="00E00B35">
        <w:rPr>
          <w:szCs w:val="20"/>
        </w:rPr>
        <w:t>Wyróżnienie „Termomodernizacja budynków w wybranym obszarze urbanistycznym Wrocławia” absolwentki Politechniki Wrocławskiej z nagrodą 2500 zł.</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Budżet - wykonanie: 40 000 zł;</w:t>
      </w:r>
    </w:p>
    <w:p w:rsidR="00B86812" w:rsidRPr="00E00B35" w:rsidRDefault="00B86812" w:rsidP="00E00B35">
      <w:pPr>
        <w:spacing w:after="0" w:line="312" w:lineRule="auto"/>
        <w:rPr>
          <w:szCs w:val="20"/>
        </w:rPr>
      </w:pPr>
      <w:r w:rsidRPr="00E00B35">
        <w:rPr>
          <w:szCs w:val="20"/>
        </w:rPr>
        <w:t>Założenia polityki społeczno-gospodarczej: Konkurs Wrocławska Magnolia (zad. 150).</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9.</w:t>
      </w:r>
      <w:r w:rsidRPr="00E00B35">
        <w:rPr>
          <w:szCs w:val="20"/>
        </w:rPr>
        <w:tab/>
        <w:t>DOLNOŚLĄSKI FESTIWAL NAUKI</w:t>
      </w:r>
    </w:p>
    <w:p w:rsidR="00B86812" w:rsidRPr="00E00B35" w:rsidRDefault="00B86812" w:rsidP="00E00B35">
      <w:pPr>
        <w:spacing w:after="0" w:line="312" w:lineRule="auto"/>
        <w:rPr>
          <w:szCs w:val="20"/>
        </w:rPr>
      </w:pPr>
      <w:r w:rsidRPr="00E00B35">
        <w:rPr>
          <w:szCs w:val="20"/>
        </w:rPr>
        <w:t>Dolnośląski Festiwal Nauki jest imprezą popularnonaukową organizowaną co roku we wrześniu przez wrocławskie wyższe uczelnie, instytuty Polskiej Akademii Nauk oraz środowiska pozauczelniane.</w:t>
      </w:r>
    </w:p>
    <w:p w:rsidR="00B86812" w:rsidRPr="00E00B35" w:rsidRDefault="00B86812" w:rsidP="00E00B35">
      <w:pPr>
        <w:spacing w:after="0" w:line="312" w:lineRule="auto"/>
        <w:rPr>
          <w:szCs w:val="20"/>
        </w:rPr>
      </w:pPr>
      <w:r w:rsidRPr="00E00B35">
        <w:rPr>
          <w:szCs w:val="20"/>
        </w:rPr>
        <w:t>Celem DFN jest: integracja środowisk naukowych, kulturotwórczych i przemysłowych wokół idei upowszechnienia wiedzy służąca promocji miasta Wrocławia jako centrum kultury, nauki i sztuki; kształtowanie społeczności Wrocławia i regionu poprzez rozszerzenie dostępu do wiedzy; zaspokajanie zbiorowych potrzeb społeczności lokalnej poprzez upowszechnienie dokonań wrocławskiego środowiska akademickiego.</w:t>
      </w:r>
    </w:p>
    <w:p w:rsidR="00B86812" w:rsidRPr="00E00B35" w:rsidRDefault="00B86812" w:rsidP="00E00B35">
      <w:pPr>
        <w:spacing w:after="0" w:line="312" w:lineRule="auto"/>
        <w:rPr>
          <w:szCs w:val="20"/>
        </w:rPr>
      </w:pPr>
      <w:r w:rsidRPr="00E00B35">
        <w:rPr>
          <w:szCs w:val="20"/>
        </w:rPr>
        <w:t xml:space="preserve">XXIII Dolnośląski Festiwal Nauki z uwagi na stan zagrożenia epidemicznego początkowo miał być przeprowadzony w formule hybrydowej (część wydarzeń w formie stacjonarnej, część online), jednak zgodnie z zaleceniami Kolegium Rektorów Uczelni Wrocławia i Opola został całkowicie zrealizowany w formule zdalnej. W imprezach wzięło udział 88 tysięcy osób. Zrealizowano ponad 800 spotkań z nauką wśród nich: </w:t>
      </w:r>
    </w:p>
    <w:p w:rsidR="00B86812" w:rsidRPr="00E00B35" w:rsidRDefault="00B86812" w:rsidP="00E00B35">
      <w:pPr>
        <w:spacing w:after="0" w:line="312" w:lineRule="auto"/>
        <w:rPr>
          <w:szCs w:val="20"/>
        </w:rPr>
      </w:pPr>
      <w:r w:rsidRPr="00E00B35">
        <w:rPr>
          <w:szCs w:val="20"/>
        </w:rPr>
        <w:t xml:space="preserve">Imprezy wiodące: Inauguracja DFN, Wykład Prof. Jana Miodka, VI Dyktando Wrocławskie, Debata "Dlaczego nie słuchamy naukowców?", Debata Oksfordzka, panel Gorący Temat, Panel CSI: Kryminalne Zagadki Wrocławia, Panel Wrocławskie Muzea na DFN, Panel Nauka 2.0, Koncert Finałowy. Dodatkowo w szkołach w formie zdalnej  odbyły się interaktywne pokazy z zakresu nauk społecznych, ścisłych, nauk medycznych i nauk o zdrowiu.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Budżet - wykonanie: 100 000 zł;</w:t>
      </w:r>
    </w:p>
    <w:p w:rsidR="00B86812" w:rsidRPr="00E00B35" w:rsidRDefault="00B86812" w:rsidP="00E00B35">
      <w:pPr>
        <w:spacing w:after="0" w:line="312" w:lineRule="auto"/>
        <w:rPr>
          <w:szCs w:val="20"/>
        </w:rPr>
      </w:pPr>
      <w:r w:rsidRPr="00E00B35">
        <w:rPr>
          <w:szCs w:val="20"/>
        </w:rPr>
        <w:t>Założenia polityki społeczno-gospodarczej: promocja nauki wśród społeczności lokalnej (zad. 140); Działalność Wrocławskiego Uniwersytetu Otwartego (zad. 141), innowacyjność wrocławskiej edukacji (zad. 143).</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lastRenderedPageBreak/>
        <w:t>10.</w:t>
      </w:r>
      <w:r w:rsidRPr="00E00B35">
        <w:rPr>
          <w:szCs w:val="20"/>
        </w:rPr>
        <w:tab/>
        <w:t xml:space="preserve">PICTURE – BADANIE ZDROWIA DZIECI W WIEKU SZKOLNYM (7-14 LAT) ORAZ ICH RODZICÓW </w:t>
      </w:r>
    </w:p>
    <w:p w:rsidR="00B86812" w:rsidRPr="00E00B35" w:rsidRDefault="00B86812" w:rsidP="00E00B35">
      <w:pPr>
        <w:spacing w:after="0" w:line="312" w:lineRule="auto"/>
        <w:rPr>
          <w:szCs w:val="20"/>
        </w:rPr>
      </w:pPr>
      <w:r w:rsidRPr="00E00B35">
        <w:rPr>
          <w:szCs w:val="20"/>
        </w:rPr>
        <w:t>We współpracy z Wydziałem Zdrowia UM podpisano wieloletnią umową dotacyjną (na lata 2019 – 2021) z Uniwersytetem Medycznym na realizację programu badawczego: „Stworzenie infrastruktury i prowadzenie badań zdrowia dzieci w wieku szkolnym (7 - 14 lat) oraz ich rodziców – PICTURE (PopulatIon CohorT StUdy of WRoclaw CitizEns).</w:t>
      </w:r>
    </w:p>
    <w:p w:rsidR="00B86812" w:rsidRPr="00E00B35" w:rsidRDefault="00B86812" w:rsidP="00E00B35">
      <w:pPr>
        <w:spacing w:after="0" w:line="312" w:lineRule="auto"/>
        <w:rPr>
          <w:szCs w:val="20"/>
        </w:rPr>
      </w:pPr>
      <w:r w:rsidRPr="00E00B35">
        <w:rPr>
          <w:szCs w:val="20"/>
        </w:rPr>
        <w:t>Celem programu jest przeprowadzenie obszernych badań kwestionariuszowych, antropometrycznych, medycznych oraz biochemicznych wśród dzieci oraz ich rodziców dotyczących ważnych czynników kształtujących zdrowie i dobre samopoczucie. W projekcie zostanie prześledzony wpływ zmian środowiskowych i społecznych na styl życia. Ostatecznym celem badania jest poszerzenie naszego rozumienia ważnych przyczyn zachorowalności i umieralności na terenie Dolnego Śląska oraz wskazanie przyczyn występujących różnic w zdrowiu populacji mieszkańców Wrocławia. Uzyskane wyniki będą stanowiły niezbędną bazę dla wskazania racjonalnych środków umacniania potencjału zdrowotnego populacji przez co pomogą w realizacji celów polityki zdrowotnej Wrocławia.</w:t>
      </w:r>
    </w:p>
    <w:p w:rsidR="00B86812" w:rsidRPr="00E00B35" w:rsidRDefault="00B86812" w:rsidP="00E00B35">
      <w:pPr>
        <w:spacing w:after="0" w:line="312" w:lineRule="auto"/>
        <w:rPr>
          <w:szCs w:val="20"/>
        </w:rPr>
      </w:pPr>
      <w:r w:rsidRPr="00E00B35">
        <w:rPr>
          <w:szCs w:val="20"/>
        </w:rPr>
        <w:t>Budżet łączny: 200 000, 000 zł; wykonanie w całości;</w:t>
      </w:r>
    </w:p>
    <w:p w:rsidR="00B86812" w:rsidRPr="00E00B35" w:rsidRDefault="00B86812" w:rsidP="00E00B35">
      <w:pPr>
        <w:spacing w:after="0" w:line="312" w:lineRule="auto"/>
        <w:rPr>
          <w:szCs w:val="20"/>
        </w:rPr>
      </w:pPr>
      <w:r w:rsidRPr="00E00B35">
        <w:rPr>
          <w:szCs w:val="20"/>
        </w:rPr>
        <w:t>Założenia polityki społeczno-gospodarczej: rozwijanie partnerstwa podmiotów w zakresie wzmacniania zdrowia publicznego oraz promowania dobrych praktyk (zad. 89).</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11.</w:t>
      </w:r>
      <w:r w:rsidRPr="00E00B35">
        <w:rPr>
          <w:szCs w:val="20"/>
        </w:rPr>
        <w:tab/>
        <w:t>WSZECHNICA MIEJSKA</w:t>
      </w:r>
    </w:p>
    <w:p w:rsidR="00B86812" w:rsidRPr="00E00B35" w:rsidRDefault="00B86812" w:rsidP="00E00B35">
      <w:pPr>
        <w:spacing w:after="0" w:line="312" w:lineRule="auto"/>
        <w:rPr>
          <w:szCs w:val="20"/>
        </w:rPr>
      </w:pPr>
      <w:r w:rsidRPr="00E00B35">
        <w:rPr>
          <w:szCs w:val="20"/>
        </w:rPr>
        <w:t>Wszechnica Miejska to program realizowany dzięki otwartości i gościnności wrocławskich uczelni. W jego ramach można bezpłatnie wysłuchać nie tylko ciekawych wykładów, ale także odwiedzić uczelnie, instytuty badawcze, laboratoria oraz wziąć udział w popularnonaukowych warsztatach. Program skierowany jest do wszystkich mieszkańców Wrocławia, bez względu na wiek czy wykształcenie, zainteresowanych poszerzaniem wiedzy, a także poznawaniem swojego Miasta od jego akademickiej strony. Wszechnicę Miejską zainicjowano w marcu 2020 r. wykładem prof. Ivo Sbalzariniego, „Informatyka i biologia – związek przyszłości”. Ze względu na ograniczenia epidemiologiczne nie udało się zorganizować kolejnych wydarzeń.</w:t>
      </w:r>
    </w:p>
    <w:p w:rsidR="00B86812" w:rsidRPr="00E00B35" w:rsidRDefault="00B86812" w:rsidP="00E00B35">
      <w:pPr>
        <w:spacing w:after="0" w:line="312" w:lineRule="auto"/>
        <w:rPr>
          <w:szCs w:val="20"/>
        </w:rPr>
      </w:pPr>
      <w:r w:rsidRPr="00E00B35">
        <w:rPr>
          <w:szCs w:val="20"/>
        </w:rPr>
        <w:t>Budżet łączny: 200 000, 000 zł; wykonanie: 10159,50 zł;</w:t>
      </w:r>
    </w:p>
    <w:p w:rsidR="00B86812" w:rsidRPr="00E00B35" w:rsidRDefault="00B86812" w:rsidP="00E00B35">
      <w:pPr>
        <w:spacing w:after="0" w:line="312" w:lineRule="auto"/>
        <w:rPr>
          <w:szCs w:val="20"/>
        </w:rPr>
      </w:pPr>
      <w:r w:rsidRPr="00E00B35">
        <w:rPr>
          <w:szCs w:val="20"/>
        </w:rPr>
        <w:t>Założenia polityki społeczno-gospodarczej: promocja nauki wśród społeczności lokalnej (zad. 140), działalność Wrocławskiego Uniwersytet u Otwartego (zad. 141).</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12.</w:t>
      </w:r>
      <w:r w:rsidRPr="00E00B35">
        <w:rPr>
          <w:szCs w:val="20"/>
        </w:rPr>
        <w:tab/>
        <w:t xml:space="preserve"> INNE</w:t>
      </w:r>
    </w:p>
    <w:p w:rsidR="00B86812" w:rsidRPr="00E00B35" w:rsidRDefault="00B86812" w:rsidP="00E00B35">
      <w:pPr>
        <w:spacing w:after="0" w:line="312" w:lineRule="auto"/>
        <w:rPr>
          <w:szCs w:val="20"/>
        </w:rPr>
      </w:pPr>
      <w:r w:rsidRPr="00E00B35">
        <w:rPr>
          <w:szCs w:val="20"/>
        </w:rPr>
        <w:t xml:space="preserve">Wybory rektorów: w 2020 odbywały się wybory władz na większości uczelni publicznych we Wrocławiu – szczególnie istotne i ważne, ponieważ miały miejsce już w realiach nowego Prawa o szkolnictwie wyższym i nauce: Konstytucji dla nauki.  BWU monitorowało tendencje kierunków rozwoju uniwersytetów, programy kandydatów na rektorów, oczekiwania programowo-organizacyjne szeroko pojętego środowiska akademickiego celem przygotowania odpowiednich narzędzi programowo-administracyjnych na nowe wyzwania wynikające zarówno z doświadczeń z realizacji przez uczelnie zapisów nowej ustawy, jaki strategii nowych władz uczelnianych. </w:t>
      </w:r>
      <w:r w:rsidRPr="00E00B35">
        <w:rPr>
          <w:szCs w:val="20"/>
        </w:rPr>
        <w:lastRenderedPageBreak/>
        <w:t>Gratulacje od Prezydenta Wrocławia, które otrzymali poszczególni, nowo wybrani rektorzy, stanowiły elegancki początek nowej współpracy.</w:t>
      </w:r>
    </w:p>
    <w:p w:rsidR="00B86812" w:rsidRPr="00E00B35" w:rsidRDefault="00B86812" w:rsidP="00E00B35">
      <w:pPr>
        <w:spacing w:after="0" w:line="312" w:lineRule="auto"/>
        <w:rPr>
          <w:szCs w:val="20"/>
        </w:rPr>
      </w:pPr>
      <w:r w:rsidRPr="00E00B35">
        <w:rPr>
          <w:szCs w:val="20"/>
        </w:rPr>
        <w:t>Założenia polityki społeczno-gospodarczej: promocja nauki wśród społeczności lokalnej (zad. 140).</w:t>
      </w:r>
    </w:p>
    <w:p w:rsidR="004629CA" w:rsidRPr="00E00B35" w:rsidRDefault="004629CA"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IV Wrocławski Kongres Naukowy Dzieci i Młodzieży: w ramach promocji nauki BWU intensywnie wspierało organizatorów Kongresu w poszerzenia sieci kontaktów i pozyskania atrakcyjnych wykładowców i organizatorów warsztatów. Wśród pozyskanych prelegentów, wyrażających aktywną chęć włączenia się do programu Kongresu, znaleźli się nie tylko naturalni partnerzy BWU Z wrocławskich uczelni publicznych i niepublicznych oraz Akademii Młodych Uczonych i Artystów, ale również np. Miejska Policja (edukacja dla bezpieczeństwa) czy klub piłkarski WKS Śląsk, oferujący atrakcyjny trening sportowy. Wkład programowy BWU ściśle korelował z  celem Kongresu, jakim jest stymulowanie ciekawości poznawczej, wspieranie myślenia naukowego oraz promowanie postawy badawczej dzieci/uczniów od wieku przedszkolnego po dojrzałość maturalną. Z powodu pandemii IV edycję Kongresu przełożono na czas, kiedy możliwa będzie realizacja zaplanowanych działań.</w:t>
      </w:r>
    </w:p>
    <w:p w:rsidR="00B86812" w:rsidRPr="00E00B35" w:rsidRDefault="00B86812" w:rsidP="00E00B35">
      <w:pPr>
        <w:spacing w:after="0" w:line="312" w:lineRule="auto"/>
        <w:rPr>
          <w:szCs w:val="20"/>
        </w:rPr>
      </w:pPr>
      <w:r w:rsidRPr="00E00B35">
        <w:rPr>
          <w:szCs w:val="20"/>
        </w:rPr>
        <w:t>Założenia polityki społeczno-gospodarczej: promocja nauki wśród społeczności lokalnej (zad. 140), działalność Wrocławskiego Uniwersytetu Otwartego (zad. 141).</w:t>
      </w:r>
    </w:p>
    <w:p w:rsidR="004629CA" w:rsidRPr="00E00B35" w:rsidRDefault="004629CA"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Prognoza zmian liczby studentów we Wrocławiu: w związku ze zmianami przepisów Prawa o szkolnictwie wyższym, bieżącymi tendencjami demograficznymi oraz wzrastającą liczbą studentów zagranicznych w Polsce i we Wrocławiu, a także dodatnim saldem migracji miasta – na potrzeby Prezydenta opracowany został w BWU raport-prognoza zmian liczby studentów w najbliższych latach. Celem raportu było wskazanie tendencji rozwojowych w rekrutacji szkół wyższych oraz ich wpływu na środowisko miejskie. Analiza jest także punktem odniesienia do tworzenia dalszych polityk miejskich we współpracy z uczelniami.</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Założenia polityki społeczno-gospodarczej: promocja nauki wśród społeczności lokalnej (zad. 140), innowacyjność wrocławskiej edukacji (zad. 143).</w:t>
      </w:r>
    </w:p>
    <w:p w:rsidR="00B86812" w:rsidRPr="00E00B35" w:rsidRDefault="00B86812" w:rsidP="00E00B35">
      <w:pPr>
        <w:spacing w:after="0" w:line="312" w:lineRule="auto"/>
        <w:rPr>
          <w:szCs w:val="20"/>
        </w:rPr>
      </w:pPr>
    </w:p>
    <w:p w:rsidR="004629CA" w:rsidRPr="00E00B35" w:rsidRDefault="004629CA"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Współpraca z MOCOS: w związku z pandemią COVID-19 we wrocławskim środowisku akademickim zainicjowane zostały działania, których celem jest prognozowanie rozwoju epidemii – ze szczególnym uwzględnieniem sytuacji we Wrocławiu. W związku z osiąganą przez grupę MOCOS wysoką skutecznością prognoz – miasto podjęło kooperację z tą grupą badawczą. BWU uczestniczy w działaniach, których celem jest wsparcie rozwoju tego projektu – poprzez działania networkingowe, a także poprzez wspólne poszukiwanie źródeł finansowania.</w:t>
      </w:r>
    </w:p>
    <w:p w:rsidR="00B86812" w:rsidRPr="00E00B35" w:rsidRDefault="00B86812" w:rsidP="00E00B35">
      <w:pPr>
        <w:spacing w:after="0" w:line="312" w:lineRule="auto"/>
        <w:rPr>
          <w:szCs w:val="20"/>
        </w:rPr>
      </w:pPr>
      <w:r w:rsidRPr="00E00B35">
        <w:rPr>
          <w:szCs w:val="20"/>
        </w:rPr>
        <w:t>Założenia polityki społeczno-gospodarczej: promocja nauki wśród społeczności lokalnej (zad. 140), innowacyjność wrocławskiej edukacji (zad. 143).</w:t>
      </w:r>
    </w:p>
    <w:p w:rsidR="004629CA" w:rsidRPr="00E00B35" w:rsidRDefault="004629CA"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lastRenderedPageBreak/>
        <w:t>Portal Akademicki Wrocław: w efekcie prowadzonych w ciągu roku konsultacji z biurami promocji wrocławskich uczelni uruchomiony został wspólny projekt wizerunkowy, który ma zapewnić większą obecność informacji ze świata akademickiego i oferty uczelni kierowanej do mieszkańców Wrocławia (różne grupy wiekowe). Narzędziem, które będzie łączyło strumienie informacyjne z uczelni Wrocławia oraz ofertę miasta w zakresie współpracy z uczelniami – w jednym miejscu w Internecie - będzie nowy portal informacyjny: Akademicki Wrocław. Link do portalu będzie dostępny z poziomu strony głównej wrocław.pl. Ujednolicenie komunikacji służyć będzie wzajemnemu włączeniu środowisk miejskich i akademickich w realizację projektów na rzecz miasta. Strona będzie także służyć informacjami kandydatom na studia we Wrocławiu.</w:t>
      </w:r>
    </w:p>
    <w:p w:rsidR="00B86812" w:rsidRPr="00E00B35" w:rsidRDefault="00B86812" w:rsidP="00E00B35">
      <w:pPr>
        <w:spacing w:after="0" w:line="312" w:lineRule="auto"/>
        <w:rPr>
          <w:szCs w:val="20"/>
        </w:rPr>
      </w:pPr>
      <w:r w:rsidRPr="00E00B35">
        <w:rPr>
          <w:szCs w:val="20"/>
        </w:rPr>
        <w:t>Założenia polityki społeczno-gospodarczej: promocja nauki wśród społeczności lokalnej (zad. 140), innowacyjność wrocławskiej edukacji (zad. 143), Portal wiedzy - Wrocławskie Centrum Akademickie (zad. 158).</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Wrocławskie Akademickie Zespoły Zadaniowe: BWU uruchomiło nowy format współpracy ze środowiskiem studentów i doktorantów wrocławskich uczelni. W ramach programu WAZZA studenci i doktoranci konkurują w formule zbliżonej do hackatonu, projektując w interdyscyplinarnych zespołach rozwiązania problemów miejskich sformułowanych przez służby Prezydenta Wrocławia. W 2020 r. uruchomione zostały dwa projekty: projektowanie nowej atrakcji turystycznej, która zastąpi obyczaj wieszania kłódek na moście Tumskim oraz konkurs na projekt i wykonanie akademickiej choinki, która stanie w przestrzeni miejskiej. Zainicjowane z początkiem roku działania wstrzymane zostały przez epidemię (założeniem jest bezpośrednia praca w grupach interdyscyplinarnym. Celem programu jest włączenie kreatywności młodych akademików w pracę na rzecz Wrocławia pod opieką mentorów naukowych oraz służb miejskich.</w:t>
      </w:r>
    </w:p>
    <w:p w:rsidR="00B86812" w:rsidRPr="00E00B35" w:rsidRDefault="00B86812" w:rsidP="00E00B35">
      <w:pPr>
        <w:spacing w:after="0" w:line="312" w:lineRule="auto"/>
        <w:rPr>
          <w:szCs w:val="20"/>
        </w:rPr>
      </w:pPr>
      <w:r w:rsidRPr="00E00B35">
        <w:rPr>
          <w:szCs w:val="20"/>
        </w:rPr>
        <w:t>Budżet: 75 000, 000 zł; wykonanie: 4372 zł;</w:t>
      </w:r>
    </w:p>
    <w:p w:rsidR="00B86812" w:rsidRPr="00E00B35" w:rsidRDefault="00B86812" w:rsidP="00E00B35">
      <w:pPr>
        <w:spacing w:after="0" w:line="312" w:lineRule="auto"/>
        <w:rPr>
          <w:szCs w:val="20"/>
        </w:rPr>
      </w:pPr>
      <w:r w:rsidRPr="00E00B35">
        <w:rPr>
          <w:szCs w:val="20"/>
        </w:rPr>
        <w:t>Założenia polityki społeczno-gospodarczej: Wrocław jako nowoczesny ośrodek życia muzycznego, teatralnego, plastycznego, (zad. 123), Wzmacnianie potencjału gospodarczo-społecznego miasta, w szczególności poprzez projekty i działania wspierające rozwój przedsiębiorczości (zad. 133), promocja nauki wśród społeczności lokalnej (zad. 140), Innowacyjność wrocławskiej edukacji (zad. 143),.</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Wrocławskie Towarzystwo Naukowe: w związku z trudną sytuacja organizacyjną lokalową i finansowa Wrocławskiego Towarzystwa Naukowego BWU prowadzi konsultacje i ustalenia w zakresie ,możliwych form wsparcia organizacji o pięknej tradycji sięgającej czasów lwowskich oraz początków uczelni we Wrocławiu po 1945 roku. W efekcie wspólnych  działań z Departamentem Nieruchomości i Eksploatacji oraz spółką Wrocławskie Mieszkania udało się wypracować formułę w ramach, której WTN znajdzie siedzibę w innym lokalu przy tej samej ulicy oraz zyska zdolność organizacyjną pozwalającą na podjęcie starań o pozyskanie zewnętrznych środków w konkursach na realizowanie zadań z zakresu popularyzacji wiedzy oraz usług eksperckich. W efekcie tego przedsięwzięcia historyczne towarzystwo będzie w stanie utrzymać i propagować </w:t>
      </w:r>
      <w:r w:rsidRPr="00E00B35">
        <w:rPr>
          <w:szCs w:val="20"/>
        </w:rPr>
        <w:lastRenderedPageBreak/>
        <w:t>dziedzictwo wybitnych badaczy z pierwszych lat powojennego Wrocławia (także z ich czasów lwowskich) a także służyć społeczności Wrocławia poprzez bieżącą aktywność.</w:t>
      </w:r>
    </w:p>
    <w:p w:rsidR="00B86812" w:rsidRPr="00E00B35" w:rsidRDefault="00B86812" w:rsidP="00E00B35">
      <w:pPr>
        <w:spacing w:after="0" w:line="312" w:lineRule="auto"/>
        <w:rPr>
          <w:szCs w:val="20"/>
        </w:rPr>
      </w:pPr>
      <w:r w:rsidRPr="00E00B35">
        <w:rPr>
          <w:szCs w:val="20"/>
        </w:rPr>
        <w:t>Założenia polityki społeczno-gospodarczej: promocja nauki wśród społeczności lokalnej (zad. 140).</w:t>
      </w:r>
    </w:p>
    <w:p w:rsidR="00B86812" w:rsidRPr="00E00B35" w:rsidRDefault="00B86812" w:rsidP="00E00B35">
      <w:pPr>
        <w:spacing w:after="0" w:line="312" w:lineRule="auto"/>
        <w:rPr>
          <w:szCs w:val="20"/>
        </w:rPr>
      </w:pPr>
    </w:p>
    <w:p w:rsidR="00B86812" w:rsidRPr="00E00B35" w:rsidRDefault="00B86812" w:rsidP="00E00B35">
      <w:pPr>
        <w:pStyle w:val="Nagwek4"/>
        <w:spacing w:before="0" w:after="0" w:line="312" w:lineRule="auto"/>
        <w:rPr>
          <w:sz w:val="20"/>
          <w:szCs w:val="20"/>
        </w:rPr>
      </w:pPr>
      <w:r w:rsidRPr="00E00B35">
        <w:rPr>
          <w:sz w:val="20"/>
          <w:szCs w:val="20"/>
        </w:rPr>
        <w:t>Ad. 3.) POMOC SPOŁECZNA, W TYM POLITYKA SPOŁECZNA;</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1.</w:t>
      </w:r>
      <w:r w:rsidRPr="00E00B35">
        <w:rPr>
          <w:szCs w:val="20"/>
        </w:rPr>
        <w:tab/>
        <w:t>AKADEMIA SENIORALNA</w:t>
      </w:r>
    </w:p>
    <w:p w:rsidR="00B86812" w:rsidRPr="00E00B35" w:rsidRDefault="00B86812" w:rsidP="00E00B35">
      <w:pPr>
        <w:spacing w:after="0" w:line="312" w:lineRule="auto"/>
        <w:rPr>
          <w:szCs w:val="20"/>
        </w:rPr>
      </w:pPr>
      <w:r w:rsidRPr="00E00B35">
        <w:rPr>
          <w:szCs w:val="20"/>
        </w:rPr>
        <w:t xml:space="preserve">W 2020 zaplanowaliśmy przeprowadzenie 24 unikatowych bezpłatnych zajęć rozwojowych dla 2 grup wrocławskich seniorów, z których jedna kontynuowała pilotażowy program z 2019 r. Program seminariów i warsztatów rozwojowych opracowały dwie doświadczone andragożki, na co dzień zajmujące się przekładaniem nauki i wiedzy gerontologicznej na praktykę i stale współpracujące zarówno ze środowiskiem naukowym jak i społecznością seniorów, w tym Uniwersytetem Trzeciego Wieku w Uniwersytecie Wrocławskim: dr Walentyna Wnuk i dr Magdalena Wnuk-Olenicz. Celem zajęć była poprawa jakości życia seniorów poprzez podnoszenie ich świadomości i integrację oraz wyposażenie w narzędzia do radzenia sobie z problemami dnia codziennego oraz samotnością. Ze względu na obostrzenia epidemiologiczne w 2020 r. udało się  przeprowadzić warsztaty dwukrotnie. W ramach zajęć seniorzy, mieli okazję nie tylko zaznajomić się z podstawami wiedzy gerontologicznej, poznać potencjał, który kryje jesień życia, bezcenne doświadczenie seniorów, lecz również nawiązać relacje z pozostałymi członkami grupy, wymienić wspólne doświadczenia oraz uzyskać wsparcie grupy.  </w:t>
      </w:r>
    </w:p>
    <w:p w:rsidR="00B86812" w:rsidRPr="00E00B35" w:rsidRDefault="00B86812" w:rsidP="00E00B35">
      <w:pPr>
        <w:spacing w:after="0" w:line="312" w:lineRule="auto"/>
        <w:rPr>
          <w:szCs w:val="20"/>
        </w:rPr>
      </w:pPr>
      <w:r w:rsidRPr="00E00B35">
        <w:rPr>
          <w:szCs w:val="20"/>
        </w:rPr>
        <w:t>Budżet: 20 660 zł; wykonanie 3332,33 zł;</w:t>
      </w:r>
    </w:p>
    <w:p w:rsidR="00B86812" w:rsidRPr="00E00B35" w:rsidRDefault="00B86812" w:rsidP="00E00B35">
      <w:pPr>
        <w:spacing w:after="0" w:line="312" w:lineRule="auto"/>
        <w:rPr>
          <w:szCs w:val="20"/>
        </w:rPr>
      </w:pPr>
      <w:r w:rsidRPr="00E00B35">
        <w:rPr>
          <w:szCs w:val="20"/>
        </w:rPr>
        <w:t>Założenia polityki społeczno-gospodarczej: budowanie społeczeństwa obywatelskiego opartego na solidaryzmie międzypokoleniowym (zad. 57), promocja nauki wśród społeczności lokalnej (zad. 140); działalność Wrocławskiego Uniwersytetu Otwartego (zad. 141)</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2.</w:t>
      </w:r>
      <w:r w:rsidRPr="00E00B35">
        <w:rPr>
          <w:szCs w:val="20"/>
        </w:rPr>
        <w:tab/>
        <w:t>INNE</w:t>
      </w:r>
    </w:p>
    <w:p w:rsidR="00B86812" w:rsidRPr="00E00B35" w:rsidRDefault="00B86812" w:rsidP="00E00B35">
      <w:pPr>
        <w:spacing w:after="0" w:line="312" w:lineRule="auto"/>
        <w:rPr>
          <w:szCs w:val="20"/>
        </w:rPr>
      </w:pPr>
      <w:r w:rsidRPr="00E00B35">
        <w:rPr>
          <w:szCs w:val="20"/>
        </w:rPr>
        <w:t>W ramach szeroko pojętej polityki senioralnej, BWU współpracuje z Uniwersytetami Trzeciego Wieku, wspierając projekty związane z adekwatną edukacją osób starszych. Jako jednostka miejska współpracowało z autorami projektu Uniwersytetu Wrocławskiego” Uniwersytet Seniorom – nowatorskie podejście w edukacji osób dorosłych”, który zajął pierwsze miejsce w Konkursie Narodowego Centrum Badań i Rozwoju, udostępniając niezbędne narzędzia do realizacji bezpośredniego celu projektu, czyli przygotowania pakietów materiałów edukacyjnych skierowanych do edukatorów osób starszych, ludzi pracujących w uniwersytetach trzeciego wieku, centrach seniora i centrach aktywizacji lokalnej.</w:t>
      </w:r>
    </w:p>
    <w:p w:rsidR="00B86812" w:rsidRPr="00E00B35" w:rsidRDefault="00B86812" w:rsidP="00E00B35">
      <w:pPr>
        <w:spacing w:after="0" w:line="312" w:lineRule="auto"/>
        <w:rPr>
          <w:szCs w:val="20"/>
        </w:rPr>
      </w:pPr>
      <w:r w:rsidRPr="00E00B35">
        <w:rPr>
          <w:szCs w:val="20"/>
        </w:rPr>
        <w:t>Założenia polityki społeczno-gospodarczej: budowanie społeczeństwa obywatelskiego opartego na solidaryzmie międzypokoleniowym (zad. 57), promocja nauki wśród społeczności lokalnej (zad. 140); działalność Wrocławskiego Uniwersytetu Otwartego (zad. 141)</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„75 życzeń na 75-lecie powojennego Wrocławia”: w poszanowaniu wielonarodowej historii i kultury Miasta oraz bogatej tradycji uniwersyteckiej, BWU przygotowało projekt pozyskania, opracowania i publikacji „75 życzeń na 75 lecie powojennego Wrocławia” (finalnie 101) od osób bardziej lub mniej znanych osób związanych pośrednio lub bezpośrednio z Wrocławiem z kraju i z zagranicy. Celem projektu było pokazanie i utrwalenie  powiązań Miasta z miastami partnerskimi, znanymi osobami wywodzącymi się z Wrocławia lub tu tworzącymi: artystami, aktorami sportowcami, zwrócenie uwagi na laureatów wrocławskich nagród literackich czy muzycznych, przybliżenie sylwetek honorowych obywateli Wrocławia o laureatów Nagrody im. Jana Nowaka Jeziorańskiego. Akcja, która spotkała się z bardzo życzliwym odbiorem mieszkańców Wrocławia spełniła również wpisane w nią założenie, że w czasie smutnej pandemicznej rzeczywistości, stanowić będzie pozytywny i pogodny element codziennego medialnego przekazu.</w:t>
      </w:r>
    </w:p>
    <w:p w:rsidR="00B86812" w:rsidRPr="00E00B35" w:rsidRDefault="00B86812" w:rsidP="00E00B35">
      <w:pPr>
        <w:spacing w:after="0" w:line="312" w:lineRule="auto"/>
        <w:rPr>
          <w:szCs w:val="20"/>
        </w:rPr>
      </w:pPr>
      <w:r w:rsidRPr="00E00B35">
        <w:rPr>
          <w:szCs w:val="20"/>
        </w:rPr>
        <w:t>Założenia polityki społeczno-gospodarczej: popularyzacja Wrocławia jako atrakcyjnego ośrodka turystycznego z udziałem ambasadorów miasta (zad. 71), Wrocław jako nowoczesny ośrodek życia muzycznego, teatralnego, plastycznego (zad. 123).</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Fundacja „Pro Homine”: w ramach szeroko pojętego wsparcia seniorów BWU wspiera Wrocławską Międzyuczelnianą Fundację Pro Homine Na Rzecz Emerytów i Osób Niepełnosprawnych, mającą pod swoją pieczę w głównej mierze emerytowanych akademików. Wsparcie w 2020  obejmowało pomoc w nawiązaniu kontaktów z Wrocławskim Centrum Seniorów w celu analizy możliwości skorzystania z wrocławskich programów wsparcia senioralnego, w początkach pandemii przekazanie niezbędnych środków do dezynfekcji, maseczek i rękawiczek, odebranie i przekazanie świątecznych paczek żywnościowych (Wielkanoc) oraz utrzymywanie kontaktu telefonicznego z zarządem Fundacji. Poza realnym wsparciem dla akademików-seniorów, korzyścią płynąca z utrzymywanych kontaktów jest „ocalenie” i utrwalenie i zachowanie ciągłości wiedzy, doświadczeń i wspomnień wybitnych przedstawicieli wrocławskiego świata nauki.</w:t>
      </w:r>
    </w:p>
    <w:p w:rsidR="00B86812" w:rsidRPr="00E00B35" w:rsidRDefault="00B86812" w:rsidP="00E00B35">
      <w:pPr>
        <w:spacing w:after="0" w:line="312" w:lineRule="auto"/>
        <w:rPr>
          <w:szCs w:val="20"/>
        </w:rPr>
      </w:pPr>
      <w:r w:rsidRPr="00E00B35">
        <w:rPr>
          <w:szCs w:val="20"/>
        </w:rPr>
        <w:t>Założenia polityki społeczno-gospodarczej: Budowanie społeczeństwa obywatelskiego opartego na solidaryzmie międzypokoleniowym (zad. 57), Wzmacnianie systemu opieki nad osobami niesamodzielnymi, starszymi, przewlekle i nieuleczalnie chorymi, przebywającymi w środowisku domowym (zad. 92), realizacja programu wspierania osób w podeszłym wieku, niepełnosprawnych oraz niesamodzielnych (zad. 98), Program poprawy jakości i dostępu do usług społecznych realizowanych na rzecz</w:t>
      </w:r>
    </w:p>
    <w:p w:rsidR="00B86812" w:rsidRPr="00E00B35" w:rsidRDefault="00B86812" w:rsidP="00E00B35">
      <w:pPr>
        <w:spacing w:after="0" w:line="312" w:lineRule="auto"/>
        <w:rPr>
          <w:szCs w:val="20"/>
        </w:rPr>
      </w:pPr>
      <w:r w:rsidRPr="00E00B35">
        <w:rPr>
          <w:szCs w:val="20"/>
        </w:rPr>
        <w:t>osób niesamodzielnych, zagrożonych wykluczeniem (zad. 101).</w:t>
      </w:r>
    </w:p>
    <w:p w:rsidR="00B86812" w:rsidRPr="00E00B35" w:rsidRDefault="00B86812" w:rsidP="00E00B35">
      <w:pPr>
        <w:spacing w:after="0" w:line="312" w:lineRule="auto"/>
        <w:rPr>
          <w:szCs w:val="20"/>
        </w:rPr>
      </w:pPr>
    </w:p>
    <w:p w:rsidR="00B86812" w:rsidRPr="00E00B35" w:rsidRDefault="00B86812" w:rsidP="00E00B35">
      <w:pPr>
        <w:pStyle w:val="Nagwek4"/>
        <w:spacing w:before="0" w:after="0" w:line="312" w:lineRule="auto"/>
        <w:rPr>
          <w:sz w:val="20"/>
          <w:szCs w:val="20"/>
        </w:rPr>
      </w:pPr>
      <w:r w:rsidRPr="00E00B35">
        <w:rPr>
          <w:sz w:val="20"/>
          <w:szCs w:val="20"/>
        </w:rPr>
        <w:t>Ad. 4.) WSPÓŁPRACA, W TYM WSPÓŁPRACA KRAJOWA I MIĘDZYNARODOWA, DZIAŁANIA PODEJMOWANE W RAMACH ZINTEGROWANYCH INWESTYCJI TERYTORIALNYCH;</w:t>
      </w:r>
    </w:p>
    <w:p w:rsidR="00B86812" w:rsidRPr="00E00B35" w:rsidRDefault="00B86812" w:rsidP="00E00B35">
      <w:pPr>
        <w:spacing w:after="0" w:line="312" w:lineRule="auto"/>
        <w:rPr>
          <w:szCs w:val="20"/>
        </w:rPr>
      </w:pPr>
    </w:p>
    <w:p w:rsidR="00B86812" w:rsidRPr="00E00B35" w:rsidRDefault="004629CA" w:rsidP="00E00B35">
      <w:pPr>
        <w:pStyle w:val="Nagwek5"/>
        <w:rPr>
          <w:szCs w:val="20"/>
        </w:rPr>
      </w:pPr>
      <w:r w:rsidRPr="00E00B35">
        <w:rPr>
          <w:szCs w:val="20"/>
        </w:rPr>
        <w:t>1</w:t>
      </w:r>
      <w:r w:rsidR="00B86812" w:rsidRPr="00E00B35">
        <w:rPr>
          <w:szCs w:val="20"/>
        </w:rPr>
        <w:t>.</w:t>
      </w:r>
      <w:r w:rsidR="00B86812" w:rsidRPr="00E00B35">
        <w:rPr>
          <w:szCs w:val="20"/>
        </w:rPr>
        <w:tab/>
        <w:t>CENTRUM WIEDZY ACADEMIA EUROPAEA</w:t>
      </w:r>
    </w:p>
    <w:p w:rsidR="00B86812" w:rsidRPr="00E00B35" w:rsidRDefault="00B86812" w:rsidP="00E00B35">
      <w:pPr>
        <w:spacing w:after="0" w:line="312" w:lineRule="auto"/>
        <w:rPr>
          <w:szCs w:val="20"/>
        </w:rPr>
      </w:pPr>
      <w:r w:rsidRPr="00E00B35">
        <w:rPr>
          <w:szCs w:val="20"/>
        </w:rPr>
        <w:t xml:space="preserve">Na podstawie umowy międzynarodowej Prezydenta Wrocławia z największym (zrzeszającym ponad 4 tys. profesorów) europejskim stowarzyszeniem naukowym – </w:t>
      </w:r>
      <w:r w:rsidRPr="00E00B35">
        <w:rPr>
          <w:szCs w:val="20"/>
        </w:rPr>
        <w:lastRenderedPageBreak/>
        <w:t>Academia Europaea – od grudnia 2011 roku działa we Wrocławiu jedno z pięciu zagranicznych biur tej organizacji.</w:t>
      </w:r>
    </w:p>
    <w:p w:rsidR="00B86812" w:rsidRPr="00E00B35" w:rsidRDefault="00B86812" w:rsidP="00E00B35">
      <w:pPr>
        <w:spacing w:after="0" w:line="312" w:lineRule="auto"/>
        <w:rPr>
          <w:szCs w:val="20"/>
        </w:rPr>
      </w:pPr>
      <w:r w:rsidRPr="00E00B35">
        <w:rPr>
          <w:szCs w:val="20"/>
        </w:rPr>
        <w:t>W ciągu 9 lat funkcjonowania zorganizowano szereg inicjatyw o charakterze naukowym, od kongresów i konferencji, przez seminaria i warsztaty, po wykłady cykliczne i gościnne. Celem funkcjonowania Academia Europaea na gruncie wrocławskim jest przede wszystkim internacjonalizacja lokalnego środowiska naukowego, przyciągnięcie do Wrocławia cenionych na arenie światowej naukowców oraz integracja badaczy pochodzących z regionu Europy Centralnej i Wschodniej. Od 2 lat biuro kontynuuje misję stowarzyszenia we wskazanych obszarach w ramach działalności Biura Współpracy z Uczelniami Wyższymi jako Sekcja ds. Węzła Wiedzy Academia Europaea. Organizowane przedsięwzięcia adresowane są zarówno do wrocławskiego środowiska akademickiego i studenckiego, jak i wrocławian niezwiązanych ze światem uniwersyteckim. Dzięki pozyskanym grantom zagranicznym (środki pochodzące od szwedzkiej fundacji  Riksbankens Jubileumsfond, Academia Europaea Hubert Curien Fund), możliwe było również dodatkowe poszerzenie zasięgu prowadzonych działań - umożliwiły one sfinansowanie i przeprowadzenie wydarzeń o charakterze warsztatowym, angażujących wielu młodych uczonych z całej Europy oraz spoza jej granic.</w:t>
      </w:r>
    </w:p>
    <w:p w:rsidR="00B86812" w:rsidRPr="00E00B35" w:rsidRDefault="00B86812" w:rsidP="00E00B35">
      <w:pPr>
        <w:spacing w:after="0" w:line="312" w:lineRule="auto"/>
        <w:rPr>
          <w:szCs w:val="20"/>
        </w:rPr>
      </w:pPr>
      <w:r w:rsidRPr="00E00B35">
        <w:rPr>
          <w:szCs w:val="20"/>
        </w:rPr>
        <w:t>Stowarzyszenie Academia Europaea zostało ufundowane w 1988 roku w Londynie, obecnie zrzesza ponad 4 tys. znamienitych naukowców z Europy i świata, reprezentujących wszystkie dyscypliny naukowe. Misją Academii jest szeroko pojęta promocja europejskiej nauki i badań, zarówno w wymiarze interdyscyplinarnym, jak międzynarodowym. Poprzez restrykcyjne metody selekcji kandydatów, rozbudowany program aktywności angażujących członków stowarzyszenia oraz szereg regularnych publikacji naukowych (w tym własny periodyk AE, European Review), Academia Europaea pragnie przyczynić się do wzrostu świadomości powszechnej, dotyczącej korzyści płynących z nauki oraz przyrostu wiedzy, jak również kwestii badawczych i naukowych mających bezpośredni wpływ na społeczeństwo i jego jakość życia.</w:t>
      </w:r>
    </w:p>
    <w:p w:rsidR="00B86812" w:rsidRPr="00E00B35" w:rsidRDefault="00B86812" w:rsidP="00E00B35">
      <w:pPr>
        <w:spacing w:after="0" w:line="312" w:lineRule="auto"/>
        <w:rPr>
          <w:szCs w:val="20"/>
        </w:rPr>
      </w:pPr>
      <w:r w:rsidRPr="00E00B35">
        <w:rPr>
          <w:szCs w:val="20"/>
        </w:rPr>
        <w:t>Pandemia COVID-19 znacznie ograniczyła możliwość organizowania wydarzeń stacjonarnych przez Sekscję ds. Węzła Wiedzy AE. W marcu 2020 roku w ramach cyklu „Filozoficzne wtorki” odbyło się spotkanie współorganizowane przez Academia Europaea Wrocław Knowledge Hub, Międzynarodowe Centrum Ontologii Formalnej, Akademię Młodych Uczonych i Artystów oraz Instytut Filozofii Uniwersytetu Wrocławskiego. Gościem honorowym był prof. Peter Gärdenfors, członek Academia Europaea, który wygłosił wykład pt. „How Homo Became Sapiens”.</w:t>
      </w:r>
    </w:p>
    <w:p w:rsidR="00B86812" w:rsidRPr="00E00B35" w:rsidRDefault="00B86812" w:rsidP="00E00B35">
      <w:pPr>
        <w:spacing w:after="0" w:line="312" w:lineRule="auto"/>
        <w:rPr>
          <w:szCs w:val="20"/>
        </w:rPr>
      </w:pPr>
      <w:r w:rsidRPr="00E00B35">
        <w:rPr>
          <w:szCs w:val="20"/>
        </w:rPr>
        <w:t xml:space="preserve">W październiku 2020 r.zorganizowano we współpracy z Instytutem Nauk o Komunikacji Społecznej i Mediach Uniwersytetu Marii Curie-Skłodowskiej w Lublinie oraz Instytutem Studiów Międzynarodowych Uniwersytetu Wrocławskiego konferencję pt. „Media (&amp;) Life After/During Covid-19 Pandemic”. W dyskusji i prezentacji swoich badań brali udział badacze mediów i komunikacji społecznej z całej Europy. Tematyka skupiona była wokół teraźniejszości i przyszłości komunikacji i nauk dotyczących mediów w obliczu zmian niesionych przez pandemię, czyli jak celnie ujmował tytuł jednego z paneli, mówiła o "Pandemii w mediach i mediach w pandemii". Wśród tematów poruszanych przez prelegentów, dokonywano rozmaitych analiz, np. jak przeżywany był social distancing w </w:t>
      </w:r>
      <w:r w:rsidRPr="00E00B35">
        <w:rPr>
          <w:szCs w:val="20"/>
        </w:rPr>
        <w:lastRenderedPageBreak/>
        <w:t xml:space="preserve">erze cyfrowej; starano się odpowiedzieć na pytanie czy media bardziej informują czy dezinformują, analizowano wpływ wiadomości medialnych na społeczne nastroje i zachowania. Mówiono o nowych zjawiskach, np. o "infodemii": po raz pierwszy w historii wiadomość o wirusie rozprzestrzeniana była viralowo przez "digital mass-self communication"; poruszona została również kwestia etyki cyfrowej - można było usłyszeć o nadużyciach władz w trakcie pandemii w celu śledzenia, kontrolowania i zarządzania relacjami i interakcjami międzyludzkimi. </w:t>
      </w:r>
    </w:p>
    <w:p w:rsidR="00B86812" w:rsidRPr="00E00B35" w:rsidRDefault="00B86812" w:rsidP="00E00B35">
      <w:pPr>
        <w:spacing w:after="0" w:line="312" w:lineRule="auto"/>
        <w:rPr>
          <w:szCs w:val="20"/>
        </w:rPr>
      </w:pPr>
      <w:r w:rsidRPr="00E00B35">
        <w:rPr>
          <w:szCs w:val="20"/>
        </w:rPr>
        <w:t>Głównymi prelegentami wydarzenia było ośmiu członków Stwarzyszenia Academia Europaea z Sekcji Film, Media and Visual Studies. Po debacie eksperckiej miała miejsce sesja prezentacyjna, obejmująca wystąpienia 24 naukowców, dotyczące bieżących projektów z dziedziny nauki o mediach i komunikacji społecznej. Obecnych było ponad 30 prelegentów z 20 różnych ośrodków naukowych z całego świata. Wydarzenie miało charakter otwarty – prowadzone było na platformie Big Marker. W konferencji brało udział 160 uczestników z ponad 30 krajów.</w:t>
      </w:r>
    </w:p>
    <w:p w:rsidR="00B86812" w:rsidRPr="00E00B35" w:rsidRDefault="00B86812" w:rsidP="00E00B35">
      <w:pPr>
        <w:spacing w:after="0" w:line="312" w:lineRule="auto"/>
        <w:rPr>
          <w:szCs w:val="20"/>
        </w:rPr>
      </w:pPr>
      <w:r w:rsidRPr="00E00B35">
        <w:rPr>
          <w:szCs w:val="20"/>
        </w:rPr>
        <w:t>W listopadzie 2020 r. zorganizowano i przeprowadzono całodniowe warsztaty współorganizowane przez Uniwersytet Marie Curie Skłodowskiej w Lublinie pt. Mediatization of everyday life: Media and love – transformation of emotions and relationships. Wydarzenie odbyło się w formie online, za pośrednictwem platformy Google Meets. Udział w wydarzeniu wzięli uczestnicy z 5 kontynentów, 12 krajów i 20 miast: Polska (Lublin, Olsztyn, Poznań, Wrocław), Holandia (Amsterdam, Tillburg), Kanada (Toronto, Ontario), Wielka Brytania (Cambridge, Syrracuse), Finlandia (Juvaskyla), Węgry (Budapeszt), Algieria (Algier), Szwecja (Orebro), Brazylia (Sau Paulo). Warsztaty miały formę zamkniętą, gdyż były wyspecjalizowanym, eksperckim wydarzeniem, podczas którego badacze dzielili się wnioskami z bieżącego stanu prowadzonych przez siebie badań, dyskutowali nad ich dalszym rozwojem i dzięki mnogości opinii innych badaczy, specjalizujących się w tej samej dziedzinie, mianowicie w zakresie Mediów i komunikacji społecznej, mogli uzyskać szerszy ogląd na przedstawiane zagadnienie. Warsztatom przewodniczył Prof. Mark Deuze z Uniwersytetu w Amsterdamie.</w:t>
      </w:r>
    </w:p>
    <w:p w:rsidR="00B86812" w:rsidRPr="00E00B35" w:rsidRDefault="00B86812" w:rsidP="00E00B35">
      <w:pPr>
        <w:spacing w:after="0" w:line="312" w:lineRule="auto"/>
        <w:rPr>
          <w:szCs w:val="20"/>
        </w:rPr>
      </w:pPr>
      <w:r w:rsidRPr="00E00B35">
        <w:rPr>
          <w:szCs w:val="20"/>
        </w:rPr>
        <w:t>Wydarzenie trwało 10 godzin. Uczestnicy zdeklarowali się do zgłoszenia swych artykułów do planowanej publikacji powarsztatowej.</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Budżet: 145 000 zł (plus 20 000 zł - środki z grantów zagranicznych rozliczane za pośrednictwem zewnętrznej obsługi finansowo-księgowej); wykonanie: 33 069,50 zł;  </w:t>
      </w:r>
    </w:p>
    <w:p w:rsidR="00B86812" w:rsidRPr="00E00B35" w:rsidRDefault="00B86812" w:rsidP="00E00B35">
      <w:pPr>
        <w:spacing w:after="0" w:line="312" w:lineRule="auto"/>
        <w:rPr>
          <w:szCs w:val="20"/>
        </w:rPr>
      </w:pPr>
      <w:r w:rsidRPr="00E00B35">
        <w:rPr>
          <w:szCs w:val="20"/>
        </w:rPr>
        <w:t>założenia polityki społeczno-gospodarczej: Węzeł Wiedzy Academia Europaea (zad. 154).</w:t>
      </w:r>
    </w:p>
    <w:p w:rsidR="00B86812" w:rsidRPr="00E00B35" w:rsidRDefault="00B86812" w:rsidP="00E00B35">
      <w:pPr>
        <w:spacing w:after="0" w:line="312" w:lineRule="auto"/>
        <w:rPr>
          <w:szCs w:val="20"/>
        </w:rPr>
      </w:pPr>
    </w:p>
    <w:p w:rsidR="00B86812" w:rsidRPr="00E00B35" w:rsidRDefault="004629CA" w:rsidP="00E00B35">
      <w:pPr>
        <w:pStyle w:val="Nagwek5"/>
        <w:rPr>
          <w:szCs w:val="20"/>
        </w:rPr>
      </w:pPr>
      <w:r w:rsidRPr="00E00B35">
        <w:rPr>
          <w:szCs w:val="20"/>
        </w:rPr>
        <w:t>2</w:t>
      </w:r>
      <w:r w:rsidR="00B86812" w:rsidRPr="00E00B35">
        <w:rPr>
          <w:szCs w:val="20"/>
        </w:rPr>
        <w:t>.</w:t>
      </w:r>
      <w:r w:rsidR="00B86812" w:rsidRPr="00E00B35">
        <w:rPr>
          <w:szCs w:val="20"/>
        </w:rPr>
        <w:tab/>
        <w:t>INNE</w:t>
      </w:r>
    </w:p>
    <w:p w:rsidR="00B86812" w:rsidRPr="00E00B35" w:rsidRDefault="00B86812" w:rsidP="00E00B35">
      <w:pPr>
        <w:spacing w:after="0" w:line="312" w:lineRule="auto"/>
        <w:rPr>
          <w:szCs w:val="20"/>
        </w:rPr>
      </w:pPr>
      <w:r w:rsidRPr="00E00B35">
        <w:rPr>
          <w:szCs w:val="20"/>
        </w:rPr>
        <w:t xml:space="preserve">Instytut Maxa Borna we Wrocławiu: inicjatywa wpisuje się w działania BWU na rzecz wsparcia procesu umiędzynarodowienia wrocławskich uczelni. Dr Mariusz Jaworski, właściciel Forum Maxa Borna we Wrocławiu i członek Kapituły Stypendium im. Maxa Borna w Studenckim Programie Stypendialnym podczas rozmów z Premierem Saksonii, Michaelem Kretschmerem wyraził chęć sfinansowania utworzenia we Wrocławiu Instytutu Maxa Borna. Uniwersytet Wrocławski i Politechnika Wrocławska podjęły rozmowy na temat powołania we Wrocławiu nowej akademickiej marki: inkubatora innowacji i </w:t>
      </w:r>
      <w:r w:rsidRPr="00E00B35">
        <w:rPr>
          <w:szCs w:val="20"/>
        </w:rPr>
        <w:lastRenderedPageBreak/>
        <w:t>współpracy, budowania międzynarodowego instytutu z wąską, skoncentrowaną specjalizacją. Celem omawianych działań jest powołanie do życia instytutu, który oferowałby nową jakość, odpowiadając na potrzeby i wymagania współczesnej nauki i rozpoznawalnych w świecie naukowców przy wsparciu środków z funduszy europejskich</w:t>
      </w:r>
    </w:p>
    <w:p w:rsidR="00B86812" w:rsidRPr="00E00B35" w:rsidRDefault="00B86812" w:rsidP="00E00B35">
      <w:pPr>
        <w:spacing w:after="0" w:line="312" w:lineRule="auto"/>
        <w:rPr>
          <w:szCs w:val="20"/>
        </w:rPr>
      </w:pPr>
      <w:r w:rsidRPr="00E00B35">
        <w:rPr>
          <w:szCs w:val="20"/>
        </w:rPr>
        <w:t>Założenia polityki społeczno-gospodarczej: partnerstwo samorządu i uczelni Wrocławia - budowa współpracy międzynarodowej (zad. 155).</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Wizyta we Wrocławiu Saksońskiego Ministra ds. nauki, Sebastiana Gemkow – wpisuje się w działania BWU na rzecz wsparcia procesu umiędzynarodowienia wrocławskich uczelni, BWU zorganizowało we wrześniu 2020 wizytę we Wrocławiu Saksońskiego Ministra ds. Nauki, Pana Sebastiana Gemkow oraz Prof. Sebastiana Schmidta, dyrektora jednego z najbardziej liczącego się w Niemczech centrum naukowo – badawczego Helmholz Zentrum Dresden – Rossendorf, w którego skład wchodzi polsko-niemiecki Instytut CASUS. Celem spotkania była analiza możliwości współpracy Uniwersytetu Wrocławskiego (spotkanie z władzami UWr.) oraz Politechniki Wrocławskiej (spotkanie z władzami PWr). W ramach wizyty BWU zorganizowało również spotkanie z wiceprezydentem Wrocławia, Jakubem Mazurem odpowiedzialnym za strategię i innowacje. Efektem tej wizyty i wcześniejszych kontaktów zainicjowanych przez BWU  są zaproszenia skierowane do w/w wrocławskich uczelni do rewizyt w Saksonii i do konkretnych przedsięwzięć projektowych</w:t>
      </w:r>
    </w:p>
    <w:p w:rsidR="00B86812" w:rsidRPr="00E00B35" w:rsidRDefault="00B86812" w:rsidP="00E00B35">
      <w:pPr>
        <w:spacing w:after="0" w:line="312" w:lineRule="auto"/>
        <w:rPr>
          <w:szCs w:val="20"/>
        </w:rPr>
      </w:pPr>
      <w:r w:rsidRPr="00E00B35">
        <w:rPr>
          <w:szCs w:val="20"/>
        </w:rPr>
        <w:t>Założenia polityki społeczno-gospodarczej: partnerstwo samorządu i uczelni Wrocławia - budowa współpracy międzynarodowej (zad. 155).</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Współpraca z polsko-niemieckim Instytutem CASUS w Görlitz – wpisuje się w działania BWU na rzecz wsparcia procesu umiędzynarodowienia wrocławskich uczelni oraz wsparcia działań na rzecz rozwoju sztucznej inteligencji we Wrocławiu. Instytut CASUS  - Center for Advanced  Systems Understanding jest nowo powstałą jednostką naukowo-badawczą w Görlitz,. W założenia funkcjonowania instytutu wpisana jest szeroka współpraca międzynarodowa, zwłaszcza z Polską. Instytut zajmuje  się modelowaniem złożonych systemów, prowadzone w nim  interdyscyplinarne badania dotyczą wielu obszarów nauki  a ich  wspólną cechą jest używanie podobnych narzędzi: sztucznej inteligencji, matematyki, informatyki i dużych zbiorów danych. Rolą BWU jest kojarzenie uczelni wrocławskich z naukowcami i badaczami z Instytutu CASUS, współpraca przy pozyskiwaniu prelegentów/wysoce wyspecjalizowanych ekspertów i naukowców do konferencji organizowanych przez Miasto Wrocław.</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Założenia polityki społeczno-gospodarczej: partnerstwo samorządu i uczelni Wrocławia - budowa współpracy międzynarodowej (zad. 155).</w:t>
      </w:r>
    </w:p>
    <w:p w:rsidR="00B86812" w:rsidRPr="00E00B35" w:rsidRDefault="00B86812" w:rsidP="00E00B35">
      <w:pPr>
        <w:spacing w:after="0" w:line="312" w:lineRule="auto"/>
        <w:rPr>
          <w:szCs w:val="20"/>
        </w:rPr>
      </w:pPr>
    </w:p>
    <w:p w:rsidR="00B86812" w:rsidRPr="00E00B35" w:rsidRDefault="00B86812" w:rsidP="00E00B35">
      <w:pPr>
        <w:pStyle w:val="Nagwek3"/>
        <w:spacing w:after="0" w:line="312" w:lineRule="auto"/>
        <w:rPr>
          <w:sz w:val="20"/>
        </w:rPr>
      </w:pPr>
      <w:r w:rsidRPr="00E00B35">
        <w:rPr>
          <w:sz w:val="20"/>
        </w:rPr>
        <w:t>CENTRUM USŁUG INFORMATYCZNYCH WE WROCŁAWIU</w:t>
      </w:r>
    </w:p>
    <w:p w:rsidR="00B86812" w:rsidRPr="00E00B35" w:rsidRDefault="00B86812" w:rsidP="00E00B35">
      <w:pPr>
        <w:spacing w:after="0" w:line="312" w:lineRule="auto"/>
        <w:rPr>
          <w:szCs w:val="20"/>
        </w:rPr>
      </w:pPr>
      <w:r w:rsidRPr="00E00B35">
        <w:rPr>
          <w:szCs w:val="20"/>
        </w:rPr>
        <w:t xml:space="preserve">Wrocław jako miasto dynamicznie rozwijające się realizuje wiele projektów informatycznych z różnych obszarów funkcjonowania np.: edukacja, transport miejski, e-administracja. Mając na uwadze złożoność projektów informatycznych we Wrocławiu w roku 2014 zostało utworzone na mocy uchwały Rady Miasta Wrocławia Centrum Usług </w:t>
      </w:r>
      <w:r w:rsidRPr="00E00B35">
        <w:rPr>
          <w:szCs w:val="20"/>
        </w:rPr>
        <w:lastRenderedPageBreak/>
        <w:t>Informatycznych, jako jednostka miejska realizująca lub wspomagająca realizację kluczowych dla miasta projektów informatycznych oraz tworząca standardy w obszarze informatycznym. Dzięki takiemu rozwiązaniu w mieście udało się zbudować wyspecjalizowane zespoły ds. wdrażania i utrzymania infrastruktury i systemów informatycznych. W ramach prowadzony prac zbudowano jedną z największych w kraju sieci miejskich (MAN Wrocław), która to pozwoliła na połączenie prawie 300 budynków miejskich w jedną sieć oraz uruchomienie telefonii VoIP. Zrealizowano projekt udostępnienia Internetu dla mieszkańców i turystów (Miejski Internet) w ponad 130 miejscach publicznych. Wybudowano i wyposażono dwa centra przetwarzania danych. Dzięki zrealizowanym w obszarze infrastruktury działaniom od roku 2014 duża część wdrożonych w mieście systemów informatycznych jest scentralizowana i utrzymywana przez zespoły dziedzinowe posiadające wysokie kompetencje. Do kluczowych systemów wdrożonych w mieście zaliczamy: System Zarządzania Relacjami z Klientem, Inteligentny System Zarządzania Transportem, System Informacji Przestrzennej Wrocławia, systemy do rekrutacji, Systemy wspierające zarządzanie miastem (ERP,EZD), systemy sprzedaży biletów (transport miejski, parkingi). Przedmiotowe działania wpisują się w ideę Smartcity. Realizacja projektów informatycznych pozwoliła na wdrożenie szeregu e-usług na poziomie miasta, jak i integracje z systemami rządowymi. Od roku 2019 rozpoczęto prace na usystematyzowanie oraz standaryzacją procedur i działań z zakresu Cyberbezpieczeństwa, jako kluczowego elementu w zakresie informatyzacji miasta.</w:t>
      </w:r>
    </w:p>
    <w:p w:rsidR="00B86812" w:rsidRPr="00E00B35" w:rsidRDefault="003A58ED" w:rsidP="00E00B35">
      <w:pPr>
        <w:spacing w:after="0" w:line="312" w:lineRule="auto"/>
        <w:rPr>
          <w:szCs w:val="20"/>
        </w:rPr>
      </w:pPr>
      <w:r w:rsidRPr="00E00B35">
        <w:rPr>
          <w:szCs w:val="20"/>
        </w:rPr>
        <w:t>W</w:t>
      </w:r>
      <w:r w:rsidR="00B86812" w:rsidRPr="00E00B35">
        <w:rPr>
          <w:szCs w:val="20"/>
        </w:rPr>
        <w:t xml:space="preserve"> roku 2020 w związku wybuchem pandemii znacząco uległ zmianie model funkcjonowania oraz obsługi informatycznej. Od kwietnia 2020r. uruchomiono możliwość zdalnej pracy dla ponad 3000 pracowników Urzędu Miejskiego Wrocławia oraz jednostek organizacyjnych Gminy Wrocław. W trakcie pandemii zostały udostępnione narzędzia do komunikacji (poczta elektroniczna, usługa do wideokonferencji) jak i dostęp do systemów wspierających obsługę procesów w Urzędzie Miejskim Wrocławia. </w:t>
      </w:r>
    </w:p>
    <w:p w:rsidR="00B86812" w:rsidRPr="00E00B35" w:rsidRDefault="00B86812" w:rsidP="00E00B35">
      <w:pPr>
        <w:spacing w:after="0" w:line="312" w:lineRule="auto"/>
        <w:rPr>
          <w:szCs w:val="20"/>
        </w:rPr>
      </w:pPr>
      <w:r w:rsidRPr="00E00B35">
        <w:rPr>
          <w:szCs w:val="20"/>
        </w:rPr>
        <w:t>W wcześniejszych latach zrealizowano projekty umożliwiające korzystanie z usług miejskich na urządzeniach mobilnych. Uruchomiono sprzedaż biletów komunikacji miejskie poprzez dedykowaną aplikację mobilną oraz umożliwiono udostępnienie usługi w aplikacjach mobilnych dostawców zewnętrznych. W roku 2020 oddano do użytku nowy system kolejkowy, pozwalający na rejestrację wizyty w UMW online.</w:t>
      </w:r>
    </w:p>
    <w:p w:rsidR="00B86812" w:rsidRPr="00E00B35" w:rsidRDefault="00B86812" w:rsidP="00E00B35">
      <w:pPr>
        <w:spacing w:after="0" w:line="312" w:lineRule="auto"/>
        <w:rPr>
          <w:szCs w:val="20"/>
        </w:rPr>
      </w:pPr>
      <w:r w:rsidRPr="00E00B35">
        <w:rPr>
          <w:szCs w:val="20"/>
        </w:rPr>
        <w:t>Kolejnym obszarem informatyzacji zrealizowanym w mieście jest możliwość korzystania przez mieszkańców z e-usług poprzez dedykowane rozwiązania, między innymi:</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systemy do rekrutacji do żłobków, przedszkoli i szkół,</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systemy wspierające zarządzanie stypendiami,</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systemy umożliwiające dokonanie opłat (uruchomiono nową wersję - PLIP2),</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system do współpracy z NGO,</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system stypendialny,</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nowy system kolejkowy.</w:t>
      </w:r>
    </w:p>
    <w:p w:rsidR="003A58ED" w:rsidRPr="00E00B35" w:rsidRDefault="003A58ED"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Obecnie w mieście udostępnionych jest kilkadziesiąt e-usług pozwalających na obsługę mieszkańców w wielu załatwianych sprawach sprawnie i efektywnie. W roku 2020 zanotowano znaczący wzrost wykorzystania e-usług, ilość wniosków skierowanych do </w:t>
      </w:r>
      <w:r w:rsidRPr="00E00B35">
        <w:rPr>
          <w:szCs w:val="20"/>
        </w:rPr>
        <w:lastRenderedPageBreak/>
        <w:t xml:space="preserve">Urzędu Miejskiego Wrocławia i CUI </w:t>
      </w:r>
      <w:r w:rsidRPr="00E00B35">
        <w:rPr>
          <w:b/>
          <w:szCs w:val="20"/>
        </w:rPr>
        <w:t>wzrosła do prawie 189 000 dokumentów z 95 000 dokumentów w roku 2019</w:t>
      </w:r>
      <w:r w:rsidRPr="00E00B35">
        <w:rPr>
          <w:szCs w:val="20"/>
        </w:rPr>
        <w:t>, wzrost ilości wpływających elektronicznie wniosków wynika z zmiany podejścia do załatwiania spraw w czasie pandemii.</w:t>
      </w:r>
    </w:p>
    <w:p w:rsidR="00B86812" w:rsidRPr="00E00B35" w:rsidRDefault="00B86812" w:rsidP="00E00B35">
      <w:pPr>
        <w:spacing w:after="0" w:line="312" w:lineRule="auto"/>
        <w:rPr>
          <w:szCs w:val="20"/>
        </w:rPr>
      </w:pPr>
      <w:r w:rsidRPr="00E00B35">
        <w:rPr>
          <w:szCs w:val="20"/>
        </w:rPr>
        <w:t>Informatyzacja Wrocławia była realizowana zgodnie z dokumentem: Strategia realizacji zadań Centrum Usług Informatycznych we Wrocławiu w latach 2017-2020</w:t>
      </w:r>
    </w:p>
    <w:p w:rsidR="00B86812" w:rsidRPr="00E00B35" w:rsidRDefault="00B86812" w:rsidP="00E00B35">
      <w:pPr>
        <w:spacing w:after="0" w:line="312" w:lineRule="auto"/>
        <w:rPr>
          <w:szCs w:val="20"/>
        </w:rPr>
      </w:pPr>
      <w:r w:rsidRPr="00E00B35">
        <w:rPr>
          <w:szCs w:val="20"/>
        </w:rPr>
        <w:t>Obecne działania z zakresu informatyzacji realizowane są w dwóch obszarach:</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utrzymania infrastruktury i systemów informatycznych,</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realizacja inwestycji w obszarze informatyki.</w:t>
      </w:r>
    </w:p>
    <w:p w:rsidR="003A58ED" w:rsidRPr="00E00B35" w:rsidRDefault="003A58ED" w:rsidP="00E00B35">
      <w:pPr>
        <w:spacing w:after="0" w:line="312" w:lineRule="auto"/>
        <w:rPr>
          <w:szCs w:val="20"/>
        </w:rPr>
      </w:pPr>
    </w:p>
    <w:p w:rsidR="00B86812" w:rsidRPr="00E00B35" w:rsidRDefault="00B86812" w:rsidP="00E00B35">
      <w:pPr>
        <w:pStyle w:val="Nagwek4"/>
        <w:spacing w:before="0" w:after="0" w:line="312" w:lineRule="auto"/>
        <w:rPr>
          <w:sz w:val="20"/>
          <w:szCs w:val="20"/>
        </w:rPr>
      </w:pPr>
      <w:r w:rsidRPr="00E00B35">
        <w:rPr>
          <w:sz w:val="20"/>
          <w:szCs w:val="20"/>
        </w:rPr>
        <w:t>UTRZYMANIE BIEŻĄCEGO FUNKCJONOWANIA SYSTEMÓW INFORMATYCZNYCH W URZĘDZIE MIEJSKIM WROCŁAWIA I JEDNOSTKACH MIEJSKICH WROCŁAWIA</w:t>
      </w:r>
    </w:p>
    <w:p w:rsidR="00B86812" w:rsidRPr="00E00B35" w:rsidRDefault="00B86812" w:rsidP="00E00B35">
      <w:pPr>
        <w:spacing w:after="0" w:line="312" w:lineRule="auto"/>
        <w:rPr>
          <w:szCs w:val="20"/>
        </w:rPr>
      </w:pPr>
      <w:r w:rsidRPr="00E00B35">
        <w:rPr>
          <w:szCs w:val="20"/>
        </w:rPr>
        <w:t>Obecnie w ramach wspólnej obsługi informatycznej, usługi świadczone są dla ponad 2300 użytkowników Urzędu Miejskiego Wrocławia oraz 7300 użytkowników Jednostek Miejskich, w tym m.in.: w obszarze edukacji, ZZK, ZZM, MBP, MOPS, NFM, WCRS, ITS WZŻ, Rady Osiedli. W efekcie wspólnej obsługi centralnie zarządzanych jest prawie 6500 zestawami komputerowych, ponad 200 serwerów fizycznych i 600 wirtualnych, około 500 urządzeniami wchodzących w skład infrastruktury transmisji danych oraz prowadzona jest obsługa 2250 abonentów telefonii VoIP. Na przestrzeni ostatnich lat wybudowano wysokowydajną i wysokodostępną oraz bezpieczną infrastrukturę techniczną (sieć komputerowa, zespół serwerów sprzętowych i wirtualnych, węzły bezpieczeństwa). Utworzona dwa centra przetwarzania danych, w których zlokalizowano systemu informatyczne wspierające pracę Urzędu Miejskiego i jednostek miejskich oraz Centrum Zarządzania kryzysowego i Centrum Zarządzania Ruchem (ITS).</w:t>
      </w:r>
    </w:p>
    <w:p w:rsidR="00B86812" w:rsidRPr="00E00B35" w:rsidRDefault="00B86812" w:rsidP="00E00B35">
      <w:pPr>
        <w:spacing w:after="0" w:line="312" w:lineRule="auto"/>
        <w:rPr>
          <w:szCs w:val="20"/>
        </w:rPr>
      </w:pPr>
      <w:r w:rsidRPr="00E00B35">
        <w:rPr>
          <w:szCs w:val="20"/>
        </w:rPr>
        <w:t>Zadania realizowane w ramach obszaru:</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 xml:space="preserve">obsługa zgłoszeń serwisowych,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administracja serwerami pocztowymi, bazodanowymi, specjalizowanymi systemami dla pracowników Gminy Wrocław (ITS, ERP, GIS, BIP i inne),</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prowadzenie szkoleń z zakresu IT,</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modernizacja istniejącej infrastruktury technicznej.</w:t>
      </w:r>
    </w:p>
    <w:p w:rsidR="00B86812" w:rsidRPr="00E00B35" w:rsidRDefault="00B86812" w:rsidP="00E00B35">
      <w:pPr>
        <w:shd w:val="clear" w:color="auto" w:fill="FDFDFD"/>
        <w:spacing w:after="0" w:line="312" w:lineRule="auto"/>
        <w:rPr>
          <w:rFonts w:cs="Calibri"/>
          <w:szCs w:val="20"/>
        </w:rPr>
      </w:pPr>
      <w:r w:rsidRPr="00E00B35">
        <w:rPr>
          <w:rFonts w:cs="Calibri"/>
          <w:szCs w:val="20"/>
        </w:rPr>
        <w:t>W zakresie obsługi serwisowej w swojej administracji ma ponad 300 systemów, aplikacji i serwisów www wdrożonych w CUI jak i u klientów, z czego zawartych jest ok. 65 umów w zakresie świadczenia usług serwisowych, utrzymaniowych, licencji (w tym również licencji w modelu subskrypcyjnym) niezbędnych do zapewnienia ciągłości działania systemów informatycznych wdrożonych w  CUI, UMW jak i u pozostałych klientów w Gminie Wrocław. W roku 2020 przez Centrum Usług Informatycznych zostały podpisane 21 Porozumienia SLA na świadczenie usług IT. Podpisane porozumienia dotyczyły zawarcia nowych umów jak i aktualizacji porozumień o nowe usługi udostępniane klientom CUI.  Na podstawie zawartych Porozumień SLA w obszarze usług IT rozpoczęto świadczenie usług lub uruchomiono nowe usługi.</w:t>
      </w:r>
    </w:p>
    <w:p w:rsidR="00B86812" w:rsidRPr="00E00B35" w:rsidRDefault="00B86812" w:rsidP="00E00B35">
      <w:pPr>
        <w:shd w:val="clear" w:color="auto" w:fill="FDFDFD"/>
        <w:spacing w:after="0" w:line="312" w:lineRule="auto"/>
        <w:rPr>
          <w:rFonts w:cs="Calibri"/>
          <w:szCs w:val="20"/>
        </w:rPr>
      </w:pPr>
      <w:r w:rsidRPr="00E00B35">
        <w:rPr>
          <w:rFonts w:cs="Calibri"/>
          <w:szCs w:val="20"/>
        </w:rPr>
        <w:t xml:space="preserve">W ramach obsługi zgłoszeń serwisowych w roku 2020 zostało zarejestrowanych ponad 56300 zgłoszeń serwisowych w systemie HelpDesk. W celu stałego kontrolowania poziomu zadowolenia klienta wewnętrznego zbierane są informacje zwrotne poprzez </w:t>
      </w:r>
      <w:r w:rsidRPr="00E00B35">
        <w:rPr>
          <w:rFonts w:cs="Calibri"/>
          <w:szCs w:val="20"/>
        </w:rPr>
        <w:lastRenderedPageBreak/>
        <w:t>ankiety. Zadowolenie użytkowników na podstawie ankiet za 2020 rok w skali 5-punktowej: UMW: 4,88 oraz pozostałe jednostki: 4,85.</w:t>
      </w:r>
    </w:p>
    <w:p w:rsidR="00B86812" w:rsidRPr="00E00B35" w:rsidRDefault="00B86812" w:rsidP="00E00B35">
      <w:pPr>
        <w:spacing w:after="0" w:line="312" w:lineRule="auto"/>
        <w:rPr>
          <w:szCs w:val="20"/>
        </w:rPr>
      </w:pPr>
      <w:r w:rsidRPr="00E00B35">
        <w:rPr>
          <w:szCs w:val="20"/>
        </w:rPr>
        <w:t>Wykres: Ilość zgłoszeń obsługiwana rocznie w zakresie usług IT.</w:t>
      </w:r>
    </w:p>
    <w:p w:rsidR="003A58ED" w:rsidRPr="00E00B35" w:rsidRDefault="003A58ED" w:rsidP="00E00B35">
      <w:pPr>
        <w:spacing w:after="0" w:line="312" w:lineRule="auto"/>
        <w:rPr>
          <w:szCs w:val="20"/>
        </w:rPr>
      </w:pPr>
      <w:r w:rsidRPr="00E00B35">
        <w:rPr>
          <w:szCs w:val="20"/>
        </w:rPr>
        <w:t>W 2015 r. – 46 250,</w:t>
      </w:r>
    </w:p>
    <w:p w:rsidR="003A58ED" w:rsidRPr="00E00B35" w:rsidRDefault="003A58ED" w:rsidP="00E00B35">
      <w:pPr>
        <w:spacing w:after="0" w:line="312" w:lineRule="auto"/>
        <w:rPr>
          <w:szCs w:val="20"/>
        </w:rPr>
      </w:pPr>
      <w:r w:rsidRPr="00E00B35">
        <w:rPr>
          <w:szCs w:val="20"/>
        </w:rPr>
        <w:t>W 2016 r. – 45 850,</w:t>
      </w:r>
    </w:p>
    <w:p w:rsidR="003A58ED" w:rsidRPr="00E00B35" w:rsidRDefault="003A58ED" w:rsidP="00E00B35">
      <w:pPr>
        <w:spacing w:after="0" w:line="312" w:lineRule="auto"/>
        <w:rPr>
          <w:szCs w:val="20"/>
        </w:rPr>
      </w:pPr>
      <w:r w:rsidRPr="00E00B35">
        <w:rPr>
          <w:szCs w:val="20"/>
        </w:rPr>
        <w:t>W 2017 r. – 49 850,</w:t>
      </w:r>
    </w:p>
    <w:p w:rsidR="003A58ED" w:rsidRPr="00E00B35" w:rsidRDefault="003A58ED" w:rsidP="00E00B35">
      <w:pPr>
        <w:spacing w:after="0" w:line="312" w:lineRule="auto"/>
        <w:rPr>
          <w:szCs w:val="20"/>
        </w:rPr>
      </w:pPr>
      <w:r w:rsidRPr="00E00B35">
        <w:rPr>
          <w:szCs w:val="20"/>
        </w:rPr>
        <w:t>W 2018 r. – 46 427,</w:t>
      </w:r>
    </w:p>
    <w:p w:rsidR="003A58ED" w:rsidRPr="00E00B35" w:rsidRDefault="003A58ED" w:rsidP="00E00B35">
      <w:pPr>
        <w:spacing w:after="0" w:line="312" w:lineRule="auto"/>
        <w:rPr>
          <w:szCs w:val="20"/>
        </w:rPr>
      </w:pPr>
      <w:r w:rsidRPr="00E00B35">
        <w:rPr>
          <w:szCs w:val="20"/>
        </w:rPr>
        <w:t>W 2019 r. – 51 500,</w:t>
      </w:r>
    </w:p>
    <w:p w:rsidR="003A58ED" w:rsidRPr="00E00B35" w:rsidRDefault="003A58ED" w:rsidP="00E00B35">
      <w:pPr>
        <w:spacing w:after="0" w:line="312" w:lineRule="auto"/>
        <w:rPr>
          <w:szCs w:val="20"/>
        </w:rPr>
      </w:pPr>
      <w:r w:rsidRPr="00E00B35">
        <w:rPr>
          <w:szCs w:val="20"/>
        </w:rPr>
        <w:t>W 2020 r. – 56 312.</w:t>
      </w:r>
    </w:p>
    <w:p w:rsidR="00B86812" w:rsidRPr="00E00B35" w:rsidRDefault="00B86812" w:rsidP="00E00B35">
      <w:pPr>
        <w:pStyle w:val="Akapitzlist"/>
        <w:shd w:val="clear" w:color="auto" w:fill="FDFDFD"/>
        <w:spacing w:after="0" w:line="312" w:lineRule="auto"/>
        <w:rPr>
          <w:rFonts w:cs="Calibri"/>
          <w:szCs w:val="20"/>
        </w:rPr>
      </w:pPr>
    </w:p>
    <w:p w:rsidR="00B86812" w:rsidRPr="00E00B35" w:rsidRDefault="00B86812" w:rsidP="00E00B35">
      <w:pPr>
        <w:pStyle w:val="Nagwek4"/>
        <w:spacing w:before="0" w:after="0" w:line="312" w:lineRule="auto"/>
        <w:rPr>
          <w:sz w:val="20"/>
          <w:szCs w:val="20"/>
        </w:rPr>
      </w:pPr>
      <w:r w:rsidRPr="00E00B35">
        <w:rPr>
          <w:sz w:val="20"/>
          <w:szCs w:val="20"/>
        </w:rPr>
        <w:t>OBSŁUGA ZADAŃ INWESTYCYJNYCH</w:t>
      </w:r>
    </w:p>
    <w:p w:rsidR="00B86812" w:rsidRPr="00E00B35" w:rsidRDefault="00B86812" w:rsidP="00E00B35">
      <w:pPr>
        <w:spacing w:after="0" w:line="312" w:lineRule="auto"/>
        <w:rPr>
          <w:szCs w:val="20"/>
        </w:rPr>
      </w:pPr>
      <w:r w:rsidRPr="00E00B35">
        <w:rPr>
          <w:szCs w:val="20"/>
        </w:rPr>
        <w:t>Cel realizowany jest poprzez działania skierowane na rozwój IT w Urzędzie Miejskim Wrocławia oraz Jednostkach Miejskich Wrocławia.</w:t>
      </w:r>
    </w:p>
    <w:p w:rsidR="00B86812" w:rsidRPr="00E00B35" w:rsidRDefault="00B86812" w:rsidP="00E00B35">
      <w:pPr>
        <w:spacing w:after="0" w:line="312" w:lineRule="auto"/>
        <w:rPr>
          <w:szCs w:val="20"/>
        </w:rPr>
      </w:pPr>
      <w:r w:rsidRPr="00E00B35">
        <w:rPr>
          <w:szCs w:val="20"/>
        </w:rPr>
        <w:t>Zadania:</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prace związane z przygotowaniem umów,</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zakup lub produkcja oprogramowania na potrzeby miasta,</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prowadzenie projektów rozwojowych infrastruktury i oprogramowania,</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przygotowanie specyfikacji istotnych warunków zamówienia dla projektów prowadzonych dla jednostek miejskich,</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nadzór lub uczestnictwo w realizacji zadań inwestycyjnych dla projektów dla jednostek miejskich,</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prace inżynierów w zespołach prowadzących projekty miejskie, w których występują zagadnienia informatyczne (ITS, e-edukacja, itp.)</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wprowadzenie w Jednostkach Miejskich standardów (ACTIVE DIRECTORY) oraz działań standaryzujących.</w:t>
      </w:r>
    </w:p>
    <w:p w:rsidR="00B86812" w:rsidRPr="00E00B35" w:rsidRDefault="00B86812" w:rsidP="00E00B35">
      <w:pPr>
        <w:spacing w:after="0" w:line="312" w:lineRule="auto"/>
        <w:rPr>
          <w:szCs w:val="20"/>
        </w:rPr>
      </w:pPr>
      <w:r w:rsidRPr="00E00B35">
        <w:rPr>
          <w:szCs w:val="20"/>
        </w:rPr>
        <w:t xml:space="preserve">W rocznie realizowanych jest ponad 150 projektów w obszarze IT. </w:t>
      </w:r>
    </w:p>
    <w:p w:rsidR="00B86812" w:rsidRPr="00E00B35" w:rsidRDefault="00B86812" w:rsidP="00E00B35">
      <w:pPr>
        <w:spacing w:after="0" w:line="312" w:lineRule="auto"/>
        <w:rPr>
          <w:szCs w:val="20"/>
        </w:rPr>
      </w:pPr>
      <w:r w:rsidRPr="00E00B35">
        <w:rPr>
          <w:szCs w:val="20"/>
        </w:rPr>
        <w:t>Zadania realizowane w ramach projektów wewnętrznie prowadzonych obejmowały następujące obszary działalności:</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rozwój i utrzymanie systemów informatycznych wspierających statutowe działania Urzędu oraz jednostek miejskich poprzez działania administracyjne i inwestycyjne</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rozwój i utrzymanie infrastruktury informatycznej poprzez działania administracyjne oraz inwestycyjne,</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Audyt nadzoru Systemu Zarządzania Usługami Informatycznymi według normy ISO/IEC 20000-1:2011.</w:t>
      </w:r>
    </w:p>
    <w:p w:rsidR="00B86812" w:rsidRPr="00E00B35" w:rsidRDefault="00B86812" w:rsidP="00E00B35">
      <w:pPr>
        <w:spacing w:after="0" w:line="312" w:lineRule="auto"/>
        <w:rPr>
          <w:szCs w:val="20"/>
        </w:rPr>
      </w:pPr>
      <w:r w:rsidRPr="00E00B35">
        <w:rPr>
          <w:szCs w:val="20"/>
        </w:rPr>
        <w:t>Przykłady projektów zrealizowanych we Wrocławiu w roku 2020 związanych z pandemią:</w:t>
      </w:r>
    </w:p>
    <w:p w:rsidR="00B86812" w:rsidRPr="00E00B35" w:rsidRDefault="00B86812" w:rsidP="00E00B35">
      <w:pPr>
        <w:spacing w:after="0" w:line="312" w:lineRule="auto"/>
        <w:rPr>
          <w:b/>
          <w:szCs w:val="20"/>
        </w:rPr>
      </w:pPr>
      <w:r w:rsidRPr="00E00B35">
        <w:rPr>
          <w:b/>
          <w:szCs w:val="20"/>
        </w:rPr>
        <w:t>Nazwa zadania: Wdrożenie masowego dostępu do zasobów UMW na potrzeby pracy zdalnej w związku z ograniczeniami wynikającymi z pandemii COVID- 19</w:t>
      </w:r>
    </w:p>
    <w:p w:rsidR="00B86812" w:rsidRPr="00E00B35" w:rsidRDefault="00B86812" w:rsidP="00E00B35">
      <w:pPr>
        <w:spacing w:after="0" w:line="312" w:lineRule="auto"/>
        <w:rPr>
          <w:szCs w:val="20"/>
        </w:rPr>
      </w:pPr>
      <w:r w:rsidRPr="00E00B35">
        <w:rPr>
          <w:szCs w:val="20"/>
        </w:rPr>
        <w:t>Cel projektu: Umożliwienie pracownikom UMW oraz innym JOG masowej pracy zdalnej (Home Office)</w:t>
      </w:r>
    </w:p>
    <w:p w:rsidR="00B86812" w:rsidRPr="00E00B35" w:rsidRDefault="00B86812" w:rsidP="00E00B35">
      <w:pPr>
        <w:spacing w:after="0" w:line="312" w:lineRule="auto"/>
        <w:rPr>
          <w:szCs w:val="20"/>
        </w:rPr>
      </w:pPr>
      <w:r w:rsidRPr="00E00B35">
        <w:rPr>
          <w:szCs w:val="20"/>
        </w:rPr>
        <w:t xml:space="preserve">Termin realizacji (od-do): 03.2020-12.2020, Krótki opis zrealizowanych czynności: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opracowanie uproszczonej procedury rejestracji konta oraz dystrybucji danych logowania,</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zakup licencji dla zdalnego dostępu do koncentratora VPN,</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lastRenderedPageBreak/>
        <w:t xml:space="preserve">konfiguracja węzła bezpieczeństwa w celu zestawiania sesji VPN,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uruchomienie infolinii do wsparcia użytkowników w konfiguracji zdalnego dostępu oraz do rozwiązywania problemów</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wykorzystanie API do masowego tworzenia/modyfikacji zasobów użytkowników VPN</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 xml:space="preserve">Krótki opis korzyści wynikających z realizacji projektu: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rozbudowa jednolitego rozwiązania dostępu zdalnego dla pracowników UMW i JOG,</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umożliwienie zdalnej realizacji zadań wykonywanych przez pracowników UMW i JOG.</w:t>
      </w:r>
    </w:p>
    <w:p w:rsidR="00B86812" w:rsidRPr="00E00B35" w:rsidRDefault="00B86812" w:rsidP="00E00B35">
      <w:pPr>
        <w:spacing w:after="0" w:line="312" w:lineRule="auto"/>
        <w:rPr>
          <w:szCs w:val="20"/>
        </w:rPr>
      </w:pPr>
      <w:r w:rsidRPr="00E00B35">
        <w:rPr>
          <w:szCs w:val="20"/>
        </w:rPr>
        <w:t>Oszczędności/optymalizacja wynikająca z realizowanego projektu/zadania:</w:t>
      </w:r>
    </w:p>
    <w:p w:rsidR="00B86812" w:rsidRPr="00E00B35" w:rsidRDefault="00B86812" w:rsidP="00E00B35">
      <w:pPr>
        <w:spacing w:after="0" w:line="312" w:lineRule="auto"/>
        <w:rPr>
          <w:szCs w:val="20"/>
        </w:rPr>
      </w:pPr>
      <w:r w:rsidRPr="00E00B35">
        <w:rPr>
          <w:szCs w:val="20"/>
        </w:rPr>
        <w:t>Zmniejszenie kosztów – wdrożenie scentralizowanego rozwiązania w Gminie Wrocław, wybór jednolitego rozwiązania dla wszystkich placówek, optymalizacja czasu pracy pracowników, automatyzacja - usprawnienie procesu generowania kont przy użyciu API</w:t>
      </w:r>
    </w:p>
    <w:p w:rsidR="00B86812" w:rsidRPr="00E00B35" w:rsidRDefault="00B86812" w:rsidP="00E00B35">
      <w:pPr>
        <w:spacing w:after="0" w:line="312" w:lineRule="auto"/>
        <w:rPr>
          <w:b/>
          <w:szCs w:val="20"/>
        </w:rPr>
      </w:pPr>
      <w:r w:rsidRPr="00E00B35">
        <w:rPr>
          <w:b/>
          <w:szCs w:val="20"/>
        </w:rPr>
        <w:t>Nazwa zadania: Podłączenie  sieci LAN w budynku przy ul. Glinianej 20-22 – siedziba Powiatowego Urzędu Pracy w związku z zadaniami wynikającym z pandemii COVID- 19 (obsługa wniosków)</w:t>
      </w:r>
    </w:p>
    <w:p w:rsidR="00B86812" w:rsidRPr="00E00B35" w:rsidRDefault="00B86812" w:rsidP="00E00B35">
      <w:pPr>
        <w:spacing w:after="0" w:line="312" w:lineRule="auto"/>
        <w:rPr>
          <w:szCs w:val="20"/>
        </w:rPr>
      </w:pPr>
      <w:r w:rsidRPr="00E00B35">
        <w:rPr>
          <w:szCs w:val="20"/>
        </w:rPr>
        <w:t xml:space="preserve">Cel projektu: Podłączenie stanowisk pracy pracowników UMW do infrastruktury sieciowo-serwerowej PUP, </w:t>
      </w:r>
    </w:p>
    <w:p w:rsidR="00B86812" w:rsidRPr="00E00B35" w:rsidRDefault="00B86812" w:rsidP="00E00B35">
      <w:pPr>
        <w:spacing w:after="0" w:line="312" w:lineRule="auto"/>
        <w:rPr>
          <w:szCs w:val="20"/>
        </w:rPr>
      </w:pPr>
      <w:r w:rsidRPr="00E00B35">
        <w:rPr>
          <w:szCs w:val="20"/>
        </w:rPr>
        <w:t xml:space="preserve">Termin realizacji: 04.2020r., Krótki opis zrealizowanych czynności: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wykonanie przyłącza światłowodowego w oparciu o dzierżawę włókien od operatora</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 xml:space="preserve">konfiguracja sieci LAN pod usługi PUP, </w:t>
      </w:r>
    </w:p>
    <w:p w:rsidR="00B86812" w:rsidRPr="00E00B35" w:rsidRDefault="00B86812" w:rsidP="00E00B35">
      <w:pPr>
        <w:spacing w:after="0" w:line="312" w:lineRule="auto"/>
        <w:rPr>
          <w:szCs w:val="20"/>
        </w:rPr>
      </w:pPr>
      <w:r w:rsidRPr="00E00B35">
        <w:rPr>
          <w:szCs w:val="20"/>
        </w:rPr>
        <w:t xml:space="preserve">Krótki opis korzyści wynikających z realizacji projektu: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wdrożenie jednolitego rozwiązania sieci LAN  o niższych  kosztach  utrzymania ze względu na centralne zarządzanie</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umożliwienie realizacji zadań wykonywanych przez pracowników PUP(przyjmowanie wniosków) przez urzędników UMW.</w:t>
      </w:r>
    </w:p>
    <w:p w:rsidR="00B86812" w:rsidRPr="00E00B35" w:rsidRDefault="00B86812" w:rsidP="00E00B35">
      <w:pPr>
        <w:spacing w:after="0" w:line="312" w:lineRule="auto"/>
        <w:rPr>
          <w:b/>
          <w:szCs w:val="20"/>
        </w:rPr>
      </w:pPr>
      <w:r w:rsidRPr="00E00B35">
        <w:rPr>
          <w:b/>
          <w:szCs w:val="20"/>
        </w:rPr>
        <w:t>Nazwa zadania: Budowa sieci LAN w nowym centrum dyspozycyjnym CZK przy ul. Strzegomskiej 148 w związku z zadaniami wynikającym z pandemii COVID- 19</w:t>
      </w:r>
    </w:p>
    <w:p w:rsidR="00B86812" w:rsidRPr="00E00B35" w:rsidRDefault="00B86812" w:rsidP="00E00B35">
      <w:pPr>
        <w:spacing w:after="0" w:line="312" w:lineRule="auto"/>
        <w:rPr>
          <w:szCs w:val="20"/>
        </w:rPr>
      </w:pPr>
      <w:r w:rsidRPr="00E00B35">
        <w:rPr>
          <w:szCs w:val="20"/>
        </w:rPr>
        <w:t>Cel projektu: Instalacja i konfiguracja przełączników sieciowych w punktach dystrybucyjnych w budynku przy ulicy Kuźniczej 43/45 . Uruchomienie usługi telefonii VoIP w nowej siedzibie UMW.</w:t>
      </w:r>
    </w:p>
    <w:p w:rsidR="00B86812" w:rsidRPr="00E00B35" w:rsidRDefault="00B86812" w:rsidP="00E00B35">
      <w:pPr>
        <w:spacing w:after="0" w:line="312" w:lineRule="auto"/>
        <w:rPr>
          <w:szCs w:val="20"/>
        </w:rPr>
      </w:pPr>
      <w:r w:rsidRPr="00E00B35">
        <w:rPr>
          <w:szCs w:val="20"/>
        </w:rPr>
        <w:t xml:space="preserve">Termin realizacji: 04.2020r. Krótki opis zrealizowanych czynności: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wykonanie przyłącza światłowodowego w oparciu o dzierżawę włókien od operatora</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 xml:space="preserve">instalacja przełączników w punktach dystrybucyjnych w budynku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 xml:space="preserve">konfiguracja urządzeń, wydzielenie VLANów pod poszczególne usługi,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 xml:space="preserve">konfiguracja serwera VoIP – Cisco Call Manager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konfiguracja urządzeń końcowych – telefonów VoIP dla pracowników urzędu</w:t>
      </w:r>
    </w:p>
    <w:p w:rsidR="00B86812" w:rsidRPr="00E00B35" w:rsidRDefault="00B86812" w:rsidP="00E00B35">
      <w:pPr>
        <w:spacing w:after="0" w:line="312" w:lineRule="auto"/>
        <w:rPr>
          <w:szCs w:val="20"/>
        </w:rPr>
      </w:pPr>
      <w:r w:rsidRPr="00E00B35">
        <w:rPr>
          <w:szCs w:val="20"/>
        </w:rPr>
        <w:t xml:space="preserve">Krótki opis korzyści wynikających z realizacji projektu: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wdrożenie jednolitego rozwiązania sieci LAN  o niższych  kosztach  utrzymania ze względu na centralne zarządzanie</w:t>
      </w:r>
    </w:p>
    <w:p w:rsidR="00B86812" w:rsidRPr="00E00B35" w:rsidRDefault="00B86812" w:rsidP="00E00B35">
      <w:pPr>
        <w:spacing w:after="0" w:line="312" w:lineRule="auto"/>
        <w:rPr>
          <w:b/>
          <w:szCs w:val="20"/>
        </w:rPr>
      </w:pPr>
      <w:r w:rsidRPr="00E00B35">
        <w:rPr>
          <w:b/>
          <w:szCs w:val="20"/>
        </w:rPr>
        <w:t>Nazwa zadania:  Wdrożenie systemu do wideokonferencji  – w związku z zadaniami wynikającym z pandemii COVID- 19</w:t>
      </w:r>
    </w:p>
    <w:p w:rsidR="00B86812" w:rsidRPr="00E00B35" w:rsidRDefault="00B86812" w:rsidP="00E00B35">
      <w:pPr>
        <w:spacing w:after="0" w:line="312" w:lineRule="auto"/>
        <w:rPr>
          <w:szCs w:val="20"/>
        </w:rPr>
      </w:pPr>
      <w:r w:rsidRPr="00E00B35">
        <w:rPr>
          <w:szCs w:val="20"/>
        </w:rPr>
        <w:t>Cel projektu/zadania: wdrożenie rozwiązania do prowadzenia telekonferencji i spotkań on-line w czasie pandemii i realizacji zadań w okresie pracy zdalnej</w:t>
      </w:r>
    </w:p>
    <w:p w:rsidR="00B86812" w:rsidRPr="00E00B35" w:rsidRDefault="00B86812" w:rsidP="00E00B35">
      <w:pPr>
        <w:spacing w:after="0" w:line="312" w:lineRule="auto"/>
        <w:rPr>
          <w:szCs w:val="20"/>
        </w:rPr>
      </w:pPr>
      <w:r w:rsidRPr="00E00B35">
        <w:rPr>
          <w:szCs w:val="20"/>
        </w:rPr>
        <w:lastRenderedPageBreak/>
        <w:t>Termin realizacji (od-do): 03.2020 – 09.2021 - (zakup i wdrożenie usługi)</w:t>
      </w:r>
    </w:p>
    <w:p w:rsidR="00B86812" w:rsidRPr="00E00B35" w:rsidRDefault="00B86812" w:rsidP="00E00B35">
      <w:pPr>
        <w:spacing w:after="0" w:line="312" w:lineRule="auto"/>
        <w:rPr>
          <w:szCs w:val="20"/>
        </w:rPr>
      </w:pPr>
      <w:r w:rsidRPr="00E00B35">
        <w:rPr>
          <w:szCs w:val="20"/>
        </w:rPr>
        <w:t>Jednostki/Wydziały UMW współuczestniczące: UMW – BBI, Krótki opis zrealizowanych czynności:</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analiza rozwiązań dostępnych na rynku</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przetestowanie rozwiązania MS Office 365 – usługa MS Teams</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przeprowadzenie procedury zakupu</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wdrożenie rozwiązania (konfiguracja usługi)</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uruchomienie rozwiązania w CUI, UMW i jednostkach organizacyjnych Gminy Wrocław</w:t>
      </w:r>
    </w:p>
    <w:p w:rsidR="00B86812" w:rsidRPr="00E00B35" w:rsidRDefault="00B86812" w:rsidP="00E00B35">
      <w:pPr>
        <w:spacing w:after="0" w:line="312" w:lineRule="auto"/>
        <w:rPr>
          <w:szCs w:val="20"/>
        </w:rPr>
      </w:pPr>
      <w:r w:rsidRPr="00E00B35">
        <w:rPr>
          <w:szCs w:val="20"/>
        </w:rPr>
        <w:t>Oszczędności/optymalizacja wynikająca z realizowanego projektu/zadania:</w:t>
      </w:r>
    </w:p>
    <w:p w:rsidR="00B86812" w:rsidRPr="00E00B35" w:rsidRDefault="00B86812" w:rsidP="00E00B35">
      <w:pPr>
        <w:spacing w:after="0" w:line="312" w:lineRule="auto"/>
        <w:rPr>
          <w:szCs w:val="20"/>
        </w:rPr>
      </w:pPr>
      <w:r w:rsidRPr="00E00B35">
        <w:rPr>
          <w:szCs w:val="20"/>
        </w:rPr>
        <w:t>Redukcja kosztów poprzez zakup wspólny dla Gminy Wrocław, wdrożenie narzędzi wspomagających pracę zdalna w czasie pandemii - optymalizacja w zakresie kosztów i czasochłonności organizacji spotkań.</w:t>
      </w:r>
    </w:p>
    <w:p w:rsidR="00B86812" w:rsidRPr="00E00B35" w:rsidRDefault="00B86812" w:rsidP="00E00B35">
      <w:pPr>
        <w:spacing w:after="0" w:line="312" w:lineRule="auto"/>
        <w:rPr>
          <w:b/>
          <w:szCs w:val="20"/>
        </w:rPr>
      </w:pPr>
      <w:r w:rsidRPr="00E00B35">
        <w:rPr>
          <w:b/>
          <w:szCs w:val="20"/>
        </w:rPr>
        <w:t xml:space="preserve">Nazwa zadania: Projekty unijne: Zintegrowany System Kolejkowy do obsługi klientów Miasta Wrocław, System Transformacji Cyfrowej i  Procesowej w DSM - proces zakupowy i aplikacyjny, Zintegrowany system do obsługi gospodarki odpadami komunalnymi we Wrocławiu, System do zarządzania zasobem zieleni Miejskiej we Wrocławiu </w:t>
      </w:r>
    </w:p>
    <w:p w:rsidR="00B86812" w:rsidRPr="00E00B35" w:rsidRDefault="00B86812" w:rsidP="00E00B35">
      <w:pPr>
        <w:spacing w:after="0" w:line="312" w:lineRule="auto"/>
        <w:rPr>
          <w:szCs w:val="20"/>
        </w:rPr>
      </w:pPr>
      <w:r w:rsidRPr="00E00B35">
        <w:rPr>
          <w:szCs w:val="20"/>
        </w:rPr>
        <w:t>Cel projektu/zadania: Rozwój e-usług miasta, zapewnienie zgodności rozwiązań z przepisami, automatyzacja procesów realizowanych przez miasto.</w:t>
      </w:r>
    </w:p>
    <w:p w:rsidR="00B86812" w:rsidRPr="00E00B35" w:rsidRDefault="00B86812" w:rsidP="00E00B35">
      <w:pPr>
        <w:spacing w:after="0" w:line="312" w:lineRule="auto"/>
        <w:rPr>
          <w:szCs w:val="20"/>
        </w:rPr>
      </w:pPr>
      <w:r w:rsidRPr="00E00B35">
        <w:rPr>
          <w:szCs w:val="20"/>
        </w:rPr>
        <w:t>Termin realizacji (od-do):  05/2020 – 12/2020</w:t>
      </w:r>
    </w:p>
    <w:p w:rsidR="00B86812" w:rsidRPr="00E00B35" w:rsidRDefault="00B86812" w:rsidP="00E00B35">
      <w:pPr>
        <w:spacing w:after="0" w:line="312" w:lineRule="auto"/>
        <w:rPr>
          <w:szCs w:val="20"/>
        </w:rPr>
      </w:pPr>
      <w:r w:rsidRPr="00E00B35">
        <w:rPr>
          <w:szCs w:val="20"/>
        </w:rPr>
        <w:t>Jednostki/Wydziały UMW współuczestniczące: WZF UMW, BZW UMW, WOU UMW, WSO UMW, BRO UMW, WAB UMW, WPO UMW, WKS UMW, WZN UMW, ZZM.</w:t>
      </w:r>
    </w:p>
    <w:p w:rsidR="00B86812" w:rsidRPr="00E00B35" w:rsidRDefault="00B86812" w:rsidP="00E00B35">
      <w:pPr>
        <w:spacing w:after="0" w:line="312" w:lineRule="auto"/>
        <w:rPr>
          <w:szCs w:val="20"/>
        </w:rPr>
      </w:pPr>
      <w:r w:rsidRPr="00E00B35">
        <w:rPr>
          <w:szCs w:val="20"/>
        </w:rPr>
        <w:t>Krótki opis zrealizowanych czynności:</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Analiza potencjalnych projektów do dofinansowania</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Przygotowanie i przeprowadzenie postępowania przetargowego na wyłonienie firmy do przygotowania dokumentacji aplikacyjnej</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Wsparcie procesu tworzenia dokumentacji aplikacyjnej</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Przekazanie i ocena wsadu z zakresu IT do dokumentacji aplikacyjnej</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Przygotowanie i przeprowadzenie zamówienia na Zintegrowany System Kolejkowy do obsługi klientów Miasta Wrocław</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Wdrożenie Zintegrowanego Systemu Kolejkowego do obsługi klientów Miasta Wrocław</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Przygotowanie i wszczęcie zamówienia na Zintegrowany system do obsługi gospodarki odpadami komunalnymi we Wrocławiu</w:t>
      </w:r>
    </w:p>
    <w:p w:rsidR="00B86812" w:rsidRPr="00E00B35" w:rsidRDefault="00B86812" w:rsidP="00E00B35">
      <w:pPr>
        <w:spacing w:after="0" w:line="312" w:lineRule="auto"/>
        <w:rPr>
          <w:szCs w:val="20"/>
        </w:rPr>
      </w:pPr>
      <w:r w:rsidRPr="00E00B35">
        <w:rPr>
          <w:szCs w:val="20"/>
        </w:rPr>
        <w:t xml:space="preserve">Krótki opis korzyści wynikających z realizacji projektu: </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Przewidywane wdrożenie kilkudziesięciu e-usług dla klientów zewnętrznych</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Zautomatyzowanie kilkudziesięciu procesów UMW i ZZM</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Usprawnienie styku miasta z klientami zewnętrznymi (A2C, A2B)</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Możliwość uruchomienia nowych systemów z wkładem własnym na poziomie 15% kosztów inwestycji</w:t>
      </w:r>
    </w:p>
    <w:p w:rsidR="00B86812" w:rsidRPr="00E00B35" w:rsidRDefault="00B86812" w:rsidP="00E00B35">
      <w:pPr>
        <w:spacing w:after="0" w:line="312" w:lineRule="auto"/>
        <w:rPr>
          <w:szCs w:val="20"/>
        </w:rPr>
      </w:pPr>
      <w:r w:rsidRPr="00E00B35">
        <w:rPr>
          <w:szCs w:val="20"/>
        </w:rPr>
        <w:t>Oszczędności/optymalizacja wynikająca z realizowanego projektu/zadania:</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Ok. 11.360.00 zł dofinansowania unijnego</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lastRenderedPageBreak/>
        <w:t>Przewidywane obniżenie nakładów pracy ręcznej w poszczególnych obszarach</w:t>
      </w:r>
    </w:p>
    <w:p w:rsidR="003A58ED" w:rsidRPr="00E00B35" w:rsidRDefault="003A58ED" w:rsidP="00E00B35">
      <w:pPr>
        <w:pStyle w:val="Akapitzlist"/>
        <w:spacing w:after="0" w:line="312" w:lineRule="auto"/>
        <w:ind w:left="426"/>
        <w:rPr>
          <w:szCs w:val="20"/>
        </w:rPr>
      </w:pPr>
    </w:p>
    <w:p w:rsidR="00B86812" w:rsidRPr="00E00B35" w:rsidRDefault="00B86812" w:rsidP="00E00B35">
      <w:pPr>
        <w:pStyle w:val="Nagwek4"/>
        <w:spacing w:before="0" w:after="0" w:line="312" w:lineRule="auto"/>
        <w:rPr>
          <w:sz w:val="20"/>
          <w:szCs w:val="20"/>
        </w:rPr>
      </w:pPr>
      <w:r w:rsidRPr="00E00B35">
        <w:rPr>
          <w:sz w:val="20"/>
          <w:szCs w:val="20"/>
        </w:rPr>
        <w:t>WYDATKI NA INFORMATYZACJĘ</w:t>
      </w:r>
    </w:p>
    <w:p w:rsidR="00B86812" w:rsidRPr="00E00B35" w:rsidRDefault="00B86812" w:rsidP="00E00B35">
      <w:pPr>
        <w:spacing w:after="0" w:line="312" w:lineRule="auto"/>
        <w:rPr>
          <w:szCs w:val="20"/>
        </w:rPr>
      </w:pPr>
      <w:r w:rsidRPr="00E00B35">
        <w:rPr>
          <w:szCs w:val="20"/>
        </w:rPr>
        <w:t xml:space="preserve">Duża część wydatków na informatyzację jest realizowana poprzez Centrum Usług Informatycznych w ramach przekazanego na ten cel budżetu, poniżej przedstawiono wydatki na informatyzację zrealizowane przez CUI latach 2015-2020 </w:t>
      </w:r>
    </w:p>
    <w:p w:rsidR="00B86812" w:rsidRPr="00E00B35" w:rsidRDefault="00B86812" w:rsidP="00E00B35">
      <w:pPr>
        <w:spacing w:after="0" w:line="312" w:lineRule="auto"/>
        <w:rPr>
          <w:szCs w:val="20"/>
        </w:rPr>
      </w:pPr>
      <w:r w:rsidRPr="00E00B35">
        <w:rPr>
          <w:szCs w:val="20"/>
        </w:rPr>
        <w:t>Wykres: Wydatki na informatyzację w latach 2015-2020.</w:t>
      </w:r>
    </w:p>
    <w:p w:rsidR="00F90072" w:rsidRPr="00E00B35" w:rsidRDefault="00F90072" w:rsidP="00E00B35">
      <w:pPr>
        <w:spacing w:after="0" w:line="312" w:lineRule="auto"/>
        <w:rPr>
          <w:szCs w:val="20"/>
        </w:rPr>
      </w:pPr>
      <w:r w:rsidRPr="00E00B35">
        <w:rPr>
          <w:szCs w:val="20"/>
        </w:rPr>
        <w:t>W 2015 r. – 20 468 777,</w:t>
      </w:r>
    </w:p>
    <w:p w:rsidR="00F90072" w:rsidRPr="00E00B35" w:rsidRDefault="00F90072" w:rsidP="00E00B35">
      <w:pPr>
        <w:spacing w:after="0" w:line="312" w:lineRule="auto"/>
        <w:rPr>
          <w:szCs w:val="20"/>
        </w:rPr>
      </w:pPr>
      <w:r w:rsidRPr="00E00B35">
        <w:rPr>
          <w:szCs w:val="20"/>
        </w:rPr>
        <w:t>W 2016 r. – 13 855 348,</w:t>
      </w:r>
    </w:p>
    <w:p w:rsidR="00F90072" w:rsidRPr="00E00B35" w:rsidRDefault="00F90072" w:rsidP="00E00B35">
      <w:pPr>
        <w:spacing w:after="0" w:line="312" w:lineRule="auto"/>
        <w:rPr>
          <w:szCs w:val="20"/>
        </w:rPr>
      </w:pPr>
      <w:r w:rsidRPr="00E00B35">
        <w:rPr>
          <w:szCs w:val="20"/>
        </w:rPr>
        <w:t>W 2017 r. – 19 656 470,</w:t>
      </w:r>
    </w:p>
    <w:p w:rsidR="00F90072" w:rsidRPr="00E00B35" w:rsidRDefault="00F90072" w:rsidP="00E00B35">
      <w:pPr>
        <w:spacing w:after="0" w:line="312" w:lineRule="auto"/>
        <w:rPr>
          <w:szCs w:val="20"/>
        </w:rPr>
      </w:pPr>
      <w:r w:rsidRPr="00E00B35">
        <w:rPr>
          <w:szCs w:val="20"/>
        </w:rPr>
        <w:t>W 2018 r. – 17 769 100,</w:t>
      </w:r>
    </w:p>
    <w:p w:rsidR="00F90072" w:rsidRPr="00E00B35" w:rsidRDefault="00F90072" w:rsidP="00E00B35">
      <w:pPr>
        <w:spacing w:after="0" w:line="312" w:lineRule="auto"/>
        <w:rPr>
          <w:szCs w:val="20"/>
        </w:rPr>
      </w:pPr>
      <w:r w:rsidRPr="00E00B35">
        <w:rPr>
          <w:szCs w:val="20"/>
        </w:rPr>
        <w:t>W 2019 r. – 16 038 890,</w:t>
      </w:r>
    </w:p>
    <w:p w:rsidR="00F90072" w:rsidRPr="00E00B35" w:rsidRDefault="00F90072" w:rsidP="00E00B35">
      <w:pPr>
        <w:spacing w:after="0" w:line="312" w:lineRule="auto"/>
        <w:rPr>
          <w:szCs w:val="20"/>
        </w:rPr>
      </w:pPr>
      <w:r w:rsidRPr="00E00B35">
        <w:rPr>
          <w:szCs w:val="20"/>
        </w:rPr>
        <w:t>W 2020 r. – 20 417 110.</w:t>
      </w:r>
    </w:p>
    <w:p w:rsidR="00F90072" w:rsidRPr="00E00B35" w:rsidRDefault="00F9007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 roku 2020 przygotowano i złożono aplikację dla 5 projektów w ramach wskazanego wyżej programu na łączną kwotę: 5 projektów o wartości całkowitej </w:t>
      </w:r>
      <w:r w:rsidRPr="00E00B35">
        <w:rPr>
          <w:b/>
          <w:szCs w:val="20"/>
        </w:rPr>
        <w:t>14 135 721,71 zł (11 362 363,34 zł dofinansowania</w:t>
      </w:r>
      <w:r w:rsidRPr="00E00B35">
        <w:rPr>
          <w:szCs w:val="20"/>
        </w:rPr>
        <w:t>).</w:t>
      </w:r>
    </w:p>
    <w:p w:rsidR="00B86812" w:rsidRPr="00E00B35" w:rsidRDefault="00B86812" w:rsidP="00E00B35">
      <w:pPr>
        <w:spacing w:after="0" w:line="312" w:lineRule="auto"/>
        <w:rPr>
          <w:szCs w:val="20"/>
        </w:rPr>
      </w:pPr>
      <w:r w:rsidRPr="00E00B35">
        <w:rPr>
          <w:szCs w:val="20"/>
        </w:rPr>
        <w:t>Strukturę wydatków przedstawiono na przykładzie z roku 2020. Budżet Centrum Usług Informatycznych na dzień 31.12.2020 r. na informatyzację  stanowi kwotę 20 432 638,00 zł,  wykonanie budżetu za 2020 r. wynosi 20 417 110,37 zł co daje  99,92% wykonania budżetu.</w:t>
      </w:r>
    </w:p>
    <w:p w:rsidR="00F90072" w:rsidRPr="00E00B35" w:rsidRDefault="00F90072" w:rsidP="00E00B35">
      <w:pPr>
        <w:spacing w:after="0" w:line="312" w:lineRule="auto"/>
        <w:rPr>
          <w:szCs w:val="20"/>
        </w:rPr>
      </w:pPr>
    </w:p>
    <w:tbl>
      <w:tblPr>
        <w:tblStyle w:val="Tabela-Siatka"/>
        <w:tblW w:w="0" w:type="auto"/>
        <w:jc w:val="center"/>
        <w:tblLook w:val="04A0"/>
      </w:tblPr>
      <w:tblGrid>
        <w:gridCol w:w="4928"/>
        <w:gridCol w:w="2122"/>
        <w:gridCol w:w="1847"/>
      </w:tblGrid>
      <w:tr w:rsidR="00B86812" w:rsidRPr="00E00B35" w:rsidTr="00F90072">
        <w:trPr>
          <w:trHeight w:val="538"/>
          <w:tblHeader/>
          <w:jc w:val="center"/>
        </w:trPr>
        <w:tc>
          <w:tcPr>
            <w:tcW w:w="4928" w:type="dxa"/>
          </w:tcPr>
          <w:p w:rsidR="00B86812" w:rsidRPr="00E00B35" w:rsidRDefault="00B86812" w:rsidP="00E00B35">
            <w:pPr>
              <w:spacing w:after="0" w:line="312" w:lineRule="auto"/>
              <w:rPr>
                <w:szCs w:val="20"/>
              </w:rPr>
            </w:pPr>
            <w:r w:rsidRPr="00E00B35">
              <w:rPr>
                <w:szCs w:val="20"/>
              </w:rPr>
              <w:t>Zadania budżetowe</w:t>
            </w:r>
          </w:p>
        </w:tc>
        <w:tc>
          <w:tcPr>
            <w:tcW w:w="2122" w:type="dxa"/>
          </w:tcPr>
          <w:p w:rsidR="00B86812" w:rsidRPr="00E00B35" w:rsidRDefault="00B86812" w:rsidP="00E00B35">
            <w:pPr>
              <w:spacing w:after="0" w:line="312" w:lineRule="auto"/>
              <w:rPr>
                <w:szCs w:val="20"/>
              </w:rPr>
            </w:pPr>
            <w:r w:rsidRPr="00E00B35">
              <w:rPr>
                <w:szCs w:val="20"/>
              </w:rPr>
              <w:t>Plan</w:t>
            </w:r>
          </w:p>
        </w:tc>
        <w:tc>
          <w:tcPr>
            <w:tcW w:w="1847" w:type="dxa"/>
          </w:tcPr>
          <w:p w:rsidR="00B86812" w:rsidRPr="00E00B35" w:rsidRDefault="00B86812" w:rsidP="00E00B35">
            <w:pPr>
              <w:spacing w:after="0" w:line="312" w:lineRule="auto"/>
              <w:rPr>
                <w:szCs w:val="20"/>
              </w:rPr>
            </w:pPr>
            <w:r w:rsidRPr="00E00B35">
              <w:rPr>
                <w:szCs w:val="20"/>
              </w:rPr>
              <w:t>Wykonanie</w:t>
            </w:r>
          </w:p>
        </w:tc>
      </w:tr>
      <w:tr w:rsidR="00B86812" w:rsidRPr="00E00B35" w:rsidTr="00B86812">
        <w:trPr>
          <w:jc w:val="center"/>
        </w:trPr>
        <w:tc>
          <w:tcPr>
            <w:tcW w:w="4928" w:type="dxa"/>
          </w:tcPr>
          <w:p w:rsidR="00B86812" w:rsidRPr="00E00B35" w:rsidRDefault="00B86812" w:rsidP="00E00B35">
            <w:pPr>
              <w:tabs>
                <w:tab w:val="center" w:pos="2356"/>
              </w:tabs>
              <w:spacing w:after="0" w:line="312" w:lineRule="auto"/>
              <w:rPr>
                <w:szCs w:val="20"/>
              </w:rPr>
            </w:pPr>
            <w:r w:rsidRPr="00E00B35">
              <w:rPr>
                <w:szCs w:val="20"/>
              </w:rPr>
              <w:t>E - administracja</w:t>
            </w:r>
            <w:r w:rsidRPr="00E00B35">
              <w:rPr>
                <w:szCs w:val="20"/>
              </w:rPr>
              <w:tab/>
            </w:r>
          </w:p>
        </w:tc>
        <w:tc>
          <w:tcPr>
            <w:tcW w:w="2122" w:type="dxa"/>
          </w:tcPr>
          <w:p w:rsidR="00B86812" w:rsidRPr="00E00B35" w:rsidRDefault="00B86812" w:rsidP="00E00B35">
            <w:pPr>
              <w:spacing w:after="0" w:line="312" w:lineRule="auto"/>
              <w:rPr>
                <w:szCs w:val="20"/>
              </w:rPr>
            </w:pPr>
            <w:r w:rsidRPr="00E00B35">
              <w:rPr>
                <w:szCs w:val="20"/>
              </w:rPr>
              <w:t>6 131 231,00</w:t>
            </w:r>
          </w:p>
        </w:tc>
        <w:tc>
          <w:tcPr>
            <w:tcW w:w="1847" w:type="dxa"/>
          </w:tcPr>
          <w:p w:rsidR="00B86812" w:rsidRPr="00E00B35" w:rsidRDefault="00B86812" w:rsidP="00E00B35">
            <w:pPr>
              <w:spacing w:after="0" w:line="312" w:lineRule="auto"/>
              <w:rPr>
                <w:szCs w:val="20"/>
              </w:rPr>
            </w:pPr>
            <w:r w:rsidRPr="00E00B35">
              <w:rPr>
                <w:szCs w:val="20"/>
              </w:rPr>
              <w:t>6 127 865 ,16</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E – administracja – zakup mobilnego sprzętu komputerowego dla UM – spis rolny</w:t>
            </w:r>
          </w:p>
        </w:tc>
        <w:tc>
          <w:tcPr>
            <w:tcW w:w="2122" w:type="dxa"/>
          </w:tcPr>
          <w:p w:rsidR="00B86812" w:rsidRPr="00E00B35" w:rsidRDefault="00B86812" w:rsidP="00E00B35">
            <w:pPr>
              <w:spacing w:after="0" w:line="312" w:lineRule="auto"/>
              <w:rPr>
                <w:szCs w:val="20"/>
              </w:rPr>
            </w:pPr>
            <w:r w:rsidRPr="00E00B35">
              <w:rPr>
                <w:szCs w:val="20"/>
              </w:rPr>
              <w:t>4 295,00</w:t>
            </w:r>
          </w:p>
        </w:tc>
        <w:tc>
          <w:tcPr>
            <w:tcW w:w="1847" w:type="dxa"/>
          </w:tcPr>
          <w:p w:rsidR="00B86812" w:rsidRPr="00E00B35" w:rsidRDefault="00B86812" w:rsidP="00E00B35">
            <w:pPr>
              <w:spacing w:after="0" w:line="312" w:lineRule="auto"/>
              <w:rPr>
                <w:szCs w:val="20"/>
              </w:rPr>
            </w:pPr>
            <w:r w:rsidRPr="00E00B35">
              <w:rPr>
                <w:szCs w:val="20"/>
              </w:rPr>
              <w:t>4 295,00</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Rozbudowa Systemu Informacji Przestrzennej</w:t>
            </w:r>
          </w:p>
        </w:tc>
        <w:tc>
          <w:tcPr>
            <w:tcW w:w="2122" w:type="dxa"/>
          </w:tcPr>
          <w:p w:rsidR="00B86812" w:rsidRPr="00E00B35" w:rsidRDefault="00B86812" w:rsidP="00E00B35">
            <w:pPr>
              <w:spacing w:after="0" w:line="312" w:lineRule="auto"/>
              <w:rPr>
                <w:szCs w:val="20"/>
              </w:rPr>
            </w:pPr>
            <w:r w:rsidRPr="00E00B35">
              <w:rPr>
                <w:szCs w:val="20"/>
              </w:rPr>
              <w:t>1 278 000,00</w:t>
            </w:r>
          </w:p>
        </w:tc>
        <w:tc>
          <w:tcPr>
            <w:tcW w:w="1847" w:type="dxa"/>
          </w:tcPr>
          <w:p w:rsidR="00B86812" w:rsidRPr="00E00B35" w:rsidRDefault="00B86812" w:rsidP="00E00B35">
            <w:pPr>
              <w:spacing w:after="0" w:line="312" w:lineRule="auto"/>
              <w:rPr>
                <w:szCs w:val="20"/>
              </w:rPr>
            </w:pPr>
            <w:r w:rsidRPr="00E00B35">
              <w:rPr>
                <w:szCs w:val="20"/>
              </w:rPr>
              <w:t>1 277 856,99</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MAN Wrocław (sieć teleinformacyjna)</w:t>
            </w:r>
          </w:p>
        </w:tc>
        <w:tc>
          <w:tcPr>
            <w:tcW w:w="2122" w:type="dxa"/>
          </w:tcPr>
          <w:p w:rsidR="00B86812" w:rsidRPr="00E00B35" w:rsidRDefault="00B86812" w:rsidP="00E00B35">
            <w:pPr>
              <w:spacing w:after="0" w:line="312" w:lineRule="auto"/>
              <w:rPr>
                <w:szCs w:val="20"/>
              </w:rPr>
            </w:pPr>
            <w:r w:rsidRPr="00E00B35">
              <w:rPr>
                <w:szCs w:val="20"/>
              </w:rPr>
              <w:t>1 432 610,00</w:t>
            </w:r>
          </w:p>
        </w:tc>
        <w:tc>
          <w:tcPr>
            <w:tcW w:w="1847" w:type="dxa"/>
          </w:tcPr>
          <w:p w:rsidR="00B86812" w:rsidRPr="00E00B35" w:rsidRDefault="00B86812" w:rsidP="00E00B35">
            <w:pPr>
              <w:spacing w:after="0" w:line="312" w:lineRule="auto"/>
              <w:rPr>
                <w:szCs w:val="20"/>
              </w:rPr>
            </w:pPr>
            <w:r w:rsidRPr="00E00B35">
              <w:rPr>
                <w:szCs w:val="20"/>
              </w:rPr>
              <w:t>1 430 403,32</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Utrzymanie bieżącego funkcjonowania systemów informatycznych w Urzędzie Miejskim Wrocławia</w:t>
            </w:r>
          </w:p>
        </w:tc>
        <w:tc>
          <w:tcPr>
            <w:tcW w:w="2122" w:type="dxa"/>
          </w:tcPr>
          <w:p w:rsidR="00B86812" w:rsidRPr="00E00B35" w:rsidRDefault="00B86812" w:rsidP="00E00B35">
            <w:pPr>
              <w:spacing w:after="0" w:line="312" w:lineRule="auto"/>
              <w:rPr>
                <w:szCs w:val="20"/>
              </w:rPr>
            </w:pPr>
            <w:r w:rsidRPr="00E00B35">
              <w:rPr>
                <w:szCs w:val="20"/>
              </w:rPr>
              <w:t>5 597 430,00</w:t>
            </w:r>
          </w:p>
        </w:tc>
        <w:tc>
          <w:tcPr>
            <w:tcW w:w="1847" w:type="dxa"/>
          </w:tcPr>
          <w:p w:rsidR="00B86812" w:rsidRPr="00E00B35" w:rsidRDefault="00B86812" w:rsidP="00E00B35">
            <w:pPr>
              <w:spacing w:after="0" w:line="312" w:lineRule="auto"/>
              <w:rPr>
                <w:szCs w:val="20"/>
              </w:rPr>
            </w:pPr>
            <w:r w:rsidRPr="00E00B35">
              <w:rPr>
                <w:szCs w:val="20"/>
              </w:rPr>
              <w:t>5 593 490,43</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Działalność Gminy Wrocław w zakresie telekomunikacji</w:t>
            </w:r>
          </w:p>
        </w:tc>
        <w:tc>
          <w:tcPr>
            <w:tcW w:w="2122" w:type="dxa"/>
          </w:tcPr>
          <w:p w:rsidR="00B86812" w:rsidRPr="00E00B35" w:rsidRDefault="00B86812" w:rsidP="00E00B35">
            <w:pPr>
              <w:spacing w:after="0" w:line="312" w:lineRule="auto"/>
              <w:rPr>
                <w:szCs w:val="20"/>
              </w:rPr>
            </w:pPr>
            <w:r w:rsidRPr="00E00B35">
              <w:rPr>
                <w:szCs w:val="20"/>
              </w:rPr>
              <w:t>2 681 867,00</w:t>
            </w:r>
          </w:p>
        </w:tc>
        <w:tc>
          <w:tcPr>
            <w:tcW w:w="1847" w:type="dxa"/>
          </w:tcPr>
          <w:p w:rsidR="00B86812" w:rsidRPr="00E00B35" w:rsidRDefault="00B86812" w:rsidP="00E00B35">
            <w:pPr>
              <w:spacing w:after="0" w:line="312" w:lineRule="auto"/>
              <w:rPr>
                <w:szCs w:val="20"/>
              </w:rPr>
            </w:pPr>
            <w:r w:rsidRPr="00E00B35">
              <w:rPr>
                <w:szCs w:val="20"/>
              </w:rPr>
              <w:t>2 679 830,48</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Utrzymanie bieżącego funkcjonowania systemów informatycznych w Jednostkach</w:t>
            </w:r>
          </w:p>
        </w:tc>
        <w:tc>
          <w:tcPr>
            <w:tcW w:w="2122" w:type="dxa"/>
          </w:tcPr>
          <w:p w:rsidR="00B86812" w:rsidRPr="00E00B35" w:rsidRDefault="00B86812" w:rsidP="00E00B35">
            <w:pPr>
              <w:spacing w:after="0" w:line="312" w:lineRule="auto"/>
              <w:rPr>
                <w:szCs w:val="20"/>
              </w:rPr>
            </w:pPr>
            <w:r w:rsidRPr="00E00B35">
              <w:rPr>
                <w:szCs w:val="20"/>
              </w:rPr>
              <w:t>2 197 510,00</w:t>
            </w:r>
          </w:p>
        </w:tc>
        <w:tc>
          <w:tcPr>
            <w:tcW w:w="1847" w:type="dxa"/>
          </w:tcPr>
          <w:p w:rsidR="00B86812" w:rsidRPr="00E00B35" w:rsidRDefault="00B86812" w:rsidP="00E00B35">
            <w:pPr>
              <w:spacing w:after="0" w:line="312" w:lineRule="auto"/>
              <w:rPr>
                <w:szCs w:val="20"/>
              </w:rPr>
            </w:pPr>
            <w:r w:rsidRPr="00E00B35">
              <w:rPr>
                <w:szCs w:val="20"/>
              </w:rPr>
              <w:t>2 194 831,72</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Prowadzenie punktów nieodpłatnej pomocy prawnej</w:t>
            </w:r>
          </w:p>
        </w:tc>
        <w:tc>
          <w:tcPr>
            <w:tcW w:w="2122" w:type="dxa"/>
          </w:tcPr>
          <w:p w:rsidR="00B86812" w:rsidRPr="00E00B35" w:rsidRDefault="00B86812" w:rsidP="00E00B35">
            <w:pPr>
              <w:spacing w:after="0" w:line="312" w:lineRule="auto"/>
              <w:rPr>
                <w:szCs w:val="20"/>
              </w:rPr>
            </w:pPr>
            <w:r w:rsidRPr="00E00B35">
              <w:rPr>
                <w:szCs w:val="20"/>
              </w:rPr>
              <w:t>13 530,00</w:t>
            </w:r>
          </w:p>
        </w:tc>
        <w:tc>
          <w:tcPr>
            <w:tcW w:w="1847" w:type="dxa"/>
          </w:tcPr>
          <w:p w:rsidR="00B86812" w:rsidRPr="00E00B35" w:rsidRDefault="00B86812" w:rsidP="00E00B35">
            <w:pPr>
              <w:spacing w:after="0" w:line="312" w:lineRule="auto"/>
              <w:rPr>
                <w:szCs w:val="20"/>
              </w:rPr>
            </w:pPr>
            <w:r w:rsidRPr="00E00B35">
              <w:rPr>
                <w:szCs w:val="20"/>
              </w:rPr>
              <w:t>13 530,00</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 xml:space="preserve">Realizacja zadań związanych z wystąpieniem stanów kryzysowych </w:t>
            </w:r>
          </w:p>
        </w:tc>
        <w:tc>
          <w:tcPr>
            <w:tcW w:w="2122" w:type="dxa"/>
          </w:tcPr>
          <w:p w:rsidR="00B86812" w:rsidRPr="00E00B35" w:rsidRDefault="00B86812" w:rsidP="00E00B35">
            <w:pPr>
              <w:spacing w:after="0" w:line="312" w:lineRule="auto"/>
              <w:rPr>
                <w:szCs w:val="20"/>
              </w:rPr>
            </w:pPr>
            <w:r w:rsidRPr="00E00B35">
              <w:rPr>
                <w:szCs w:val="20"/>
              </w:rPr>
              <w:t>4 773,00</w:t>
            </w:r>
          </w:p>
        </w:tc>
        <w:tc>
          <w:tcPr>
            <w:tcW w:w="1847" w:type="dxa"/>
          </w:tcPr>
          <w:p w:rsidR="00B86812" w:rsidRPr="00E00B35" w:rsidRDefault="00B86812" w:rsidP="00E00B35">
            <w:pPr>
              <w:spacing w:after="0" w:line="312" w:lineRule="auto"/>
              <w:rPr>
                <w:szCs w:val="20"/>
              </w:rPr>
            </w:pPr>
            <w:r w:rsidRPr="00E00B35">
              <w:rPr>
                <w:szCs w:val="20"/>
              </w:rPr>
              <w:t>4 772,40</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Zakupy inwestycyjne wynikające z Covid-19 (zakup kamer internetowych dla UM)</w:t>
            </w:r>
          </w:p>
        </w:tc>
        <w:tc>
          <w:tcPr>
            <w:tcW w:w="2122" w:type="dxa"/>
          </w:tcPr>
          <w:p w:rsidR="00B86812" w:rsidRPr="00E00B35" w:rsidRDefault="00B86812" w:rsidP="00E00B35">
            <w:pPr>
              <w:spacing w:after="0" w:line="312" w:lineRule="auto"/>
              <w:rPr>
                <w:szCs w:val="20"/>
              </w:rPr>
            </w:pPr>
            <w:r w:rsidRPr="00E00B35">
              <w:rPr>
                <w:szCs w:val="20"/>
              </w:rPr>
              <w:t>35 700,00</w:t>
            </w:r>
          </w:p>
        </w:tc>
        <w:tc>
          <w:tcPr>
            <w:tcW w:w="1847" w:type="dxa"/>
          </w:tcPr>
          <w:p w:rsidR="00B86812" w:rsidRPr="00E00B35" w:rsidRDefault="00B86812" w:rsidP="00E00B35">
            <w:pPr>
              <w:spacing w:after="0" w:line="312" w:lineRule="auto"/>
              <w:rPr>
                <w:szCs w:val="20"/>
              </w:rPr>
            </w:pPr>
            <w:r w:rsidRPr="00E00B35">
              <w:rPr>
                <w:szCs w:val="20"/>
              </w:rPr>
              <w:t>35 699,01</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 xml:space="preserve">Zakupy inwestycyjne wynikające z Covid-19 </w:t>
            </w:r>
            <w:r w:rsidRPr="00E00B35">
              <w:rPr>
                <w:szCs w:val="20"/>
              </w:rPr>
              <w:lastRenderedPageBreak/>
              <w:t>(zakup wsparcia technicznego dla węzła bezpieczeństwa MAN Wrocław)</w:t>
            </w:r>
          </w:p>
        </w:tc>
        <w:tc>
          <w:tcPr>
            <w:tcW w:w="2122" w:type="dxa"/>
          </w:tcPr>
          <w:p w:rsidR="00B86812" w:rsidRPr="00E00B35" w:rsidRDefault="00B86812" w:rsidP="00E00B35">
            <w:pPr>
              <w:spacing w:after="0" w:line="312" w:lineRule="auto"/>
              <w:rPr>
                <w:szCs w:val="20"/>
              </w:rPr>
            </w:pPr>
            <w:r w:rsidRPr="00E00B35">
              <w:rPr>
                <w:szCs w:val="20"/>
              </w:rPr>
              <w:lastRenderedPageBreak/>
              <w:t>47 390,00</w:t>
            </w:r>
          </w:p>
        </w:tc>
        <w:tc>
          <w:tcPr>
            <w:tcW w:w="1847" w:type="dxa"/>
          </w:tcPr>
          <w:p w:rsidR="00B86812" w:rsidRPr="00E00B35" w:rsidRDefault="00B86812" w:rsidP="00E00B35">
            <w:pPr>
              <w:spacing w:after="0" w:line="312" w:lineRule="auto"/>
              <w:rPr>
                <w:szCs w:val="20"/>
              </w:rPr>
            </w:pPr>
            <w:r w:rsidRPr="00E00B35">
              <w:rPr>
                <w:szCs w:val="20"/>
              </w:rPr>
              <w:t>47 389,44</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lastRenderedPageBreak/>
              <w:t>Rozbudowa Systemu Zarządzania Ruchem</w:t>
            </w:r>
          </w:p>
        </w:tc>
        <w:tc>
          <w:tcPr>
            <w:tcW w:w="2122" w:type="dxa"/>
          </w:tcPr>
          <w:p w:rsidR="00B86812" w:rsidRPr="00E00B35" w:rsidRDefault="00B86812" w:rsidP="00E00B35">
            <w:pPr>
              <w:spacing w:after="0" w:line="312" w:lineRule="auto"/>
              <w:rPr>
                <w:szCs w:val="20"/>
              </w:rPr>
            </w:pPr>
            <w:r w:rsidRPr="00E00B35">
              <w:rPr>
                <w:szCs w:val="20"/>
              </w:rPr>
              <w:t>525 078,00</w:t>
            </w:r>
          </w:p>
        </w:tc>
        <w:tc>
          <w:tcPr>
            <w:tcW w:w="1847" w:type="dxa"/>
          </w:tcPr>
          <w:p w:rsidR="00B86812" w:rsidRPr="00E00B35" w:rsidRDefault="00B86812" w:rsidP="00E00B35">
            <w:pPr>
              <w:spacing w:after="0" w:line="312" w:lineRule="auto"/>
              <w:rPr>
                <w:szCs w:val="20"/>
              </w:rPr>
            </w:pPr>
            <w:r w:rsidRPr="00E00B35">
              <w:rPr>
                <w:szCs w:val="20"/>
              </w:rPr>
              <w:t>524 174,20</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Gospodarka odpadami komunalnymi (zakup urządzeń drukujących i skanerów dla WPO)</w:t>
            </w:r>
          </w:p>
        </w:tc>
        <w:tc>
          <w:tcPr>
            <w:tcW w:w="2122" w:type="dxa"/>
          </w:tcPr>
          <w:p w:rsidR="00B86812" w:rsidRPr="00E00B35" w:rsidRDefault="00B86812" w:rsidP="00E00B35">
            <w:pPr>
              <w:spacing w:after="0" w:line="312" w:lineRule="auto"/>
              <w:rPr>
                <w:szCs w:val="20"/>
              </w:rPr>
            </w:pPr>
            <w:r w:rsidRPr="00E00B35">
              <w:rPr>
                <w:szCs w:val="20"/>
              </w:rPr>
              <w:t>9 423,00</w:t>
            </w:r>
          </w:p>
        </w:tc>
        <w:tc>
          <w:tcPr>
            <w:tcW w:w="1847" w:type="dxa"/>
          </w:tcPr>
          <w:p w:rsidR="00B86812" w:rsidRPr="00E00B35" w:rsidRDefault="00B86812" w:rsidP="00E00B35">
            <w:pPr>
              <w:spacing w:after="0" w:line="312" w:lineRule="auto"/>
              <w:rPr>
                <w:szCs w:val="20"/>
              </w:rPr>
            </w:pPr>
            <w:r w:rsidRPr="00E00B35">
              <w:rPr>
                <w:szCs w:val="20"/>
              </w:rPr>
              <w:t>9 252,06</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Organizacja i nadzór nad funkcjonowaniem komunikacji zbiorowej we Wrocławiu</w:t>
            </w:r>
          </w:p>
        </w:tc>
        <w:tc>
          <w:tcPr>
            <w:tcW w:w="2122" w:type="dxa"/>
          </w:tcPr>
          <w:p w:rsidR="00B86812" w:rsidRPr="00E00B35" w:rsidRDefault="00B86812" w:rsidP="00E00B35">
            <w:pPr>
              <w:spacing w:after="0" w:line="312" w:lineRule="auto"/>
              <w:rPr>
                <w:szCs w:val="20"/>
              </w:rPr>
            </w:pPr>
            <w:r w:rsidRPr="00E00B35">
              <w:rPr>
                <w:szCs w:val="20"/>
              </w:rPr>
              <w:t>377 000,00</w:t>
            </w:r>
          </w:p>
        </w:tc>
        <w:tc>
          <w:tcPr>
            <w:tcW w:w="1847" w:type="dxa"/>
          </w:tcPr>
          <w:p w:rsidR="00B86812" w:rsidRPr="00E00B35" w:rsidRDefault="00B86812" w:rsidP="00E00B35">
            <w:pPr>
              <w:spacing w:after="0" w:line="312" w:lineRule="auto"/>
              <w:rPr>
                <w:szCs w:val="20"/>
              </w:rPr>
            </w:pPr>
            <w:r w:rsidRPr="00E00B35">
              <w:rPr>
                <w:szCs w:val="20"/>
              </w:rPr>
              <w:t>376 919,16</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Wydzielenie instancji KSAT dla CUI</w:t>
            </w:r>
          </w:p>
        </w:tc>
        <w:tc>
          <w:tcPr>
            <w:tcW w:w="2122" w:type="dxa"/>
          </w:tcPr>
          <w:p w:rsidR="00B86812" w:rsidRPr="00E00B35" w:rsidRDefault="00B86812" w:rsidP="00E00B35">
            <w:pPr>
              <w:spacing w:after="0" w:line="312" w:lineRule="auto"/>
              <w:rPr>
                <w:szCs w:val="20"/>
              </w:rPr>
            </w:pPr>
            <w:r w:rsidRPr="00E00B35">
              <w:rPr>
                <w:szCs w:val="20"/>
              </w:rPr>
              <w:t>89 421,00</w:t>
            </w:r>
          </w:p>
        </w:tc>
        <w:tc>
          <w:tcPr>
            <w:tcW w:w="1847" w:type="dxa"/>
          </w:tcPr>
          <w:p w:rsidR="00B86812" w:rsidRPr="00E00B35" w:rsidRDefault="00B86812" w:rsidP="00E00B35">
            <w:pPr>
              <w:spacing w:after="0" w:line="312" w:lineRule="auto"/>
              <w:rPr>
                <w:szCs w:val="20"/>
              </w:rPr>
            </w:pPr>
            <w:r w:rsidRPr="00E00B35">
              <w:rPr>
                <w:szCs w:val="20"/>
              </w:rPr>
              <w:t>89 421,00</w:t>
            </w:r>
          </w:p>
        </w:tc>
      </w:tr>
      <w:tr w:rsidR="00B86812" w:rsidRPr="00E00B35" w:rsidTr="00B86812">
        <w:trPr>
          <w:jc w:val="center"/>
        </w:trPr>
        <w:tc>
          <w:tcPr>
            <w:tcW w:w="4928" w:type="dxa"/>
          </w:tcPr>
          <w:p w:rsidR="00B86812" w:rsidRPr="00E00B35" w:rsidRDefault="00B86812" w:rsidP="00E00B35">
            <w:pPr>
              <w:spacing w:after="0" w:line="312" w:lineRule="auto"/>
              <w:rPr>
                <w:szCs w:val="20"/>
              </w:rPr>
            </w:pPr>
            <w:r w:rsidRPr="00E00B35">
              <w:rPr>
                <w:szCs w:val="20"/>
              </w:rPr>
              <w:t>Prowadzenie egzekucji należności pieniężnych</w:t>
            </w:r>
          </w:p>
        </w:tc>
        <w:tc>
          <w:tcPr>
            <w:tcW w:w="2122" w:type="dxa"/>
          </w:tcPr>
          <w:p w:rsidR="00B86812" w:rsidRPr="00E00B35" w:rsidRDefault="00B86812" w:rsidP="00E00B35">
            <w:pPr>
              <w:spacing w:after="0" w:line="312" w:lineRule="auto"/>
              <w:rPr>
                <w:szCs w:val="20"/>
              </w:rPr>
            </w:pPr>
            <w:r w:rsidRPr="00E00B35">
              <w:rPr>
                <w:szCs w:val="20"/>
              </w:rPr>
              <w:t>7 380,00</w:t>
            </w:r>
          </w:p>
        </w:tc>
        <w:tc>
          <w:tcPr>
            <w:tcW w:w="1847" w:type="dxa"/>
          </w:tcPr>
          <w:p w:rsidR="00B86812" w:rsidRPr="00E00B35" w:rsidRDefault="00B86812" w:rsidP="00E00B35">
            <w:pPr>
              <w:spacing w:after="0" w:line="312" w:lineRule="auto"/>
              <w:rPr>
                <w:szCs w:val="20"/>
              </w:rPr>
            </w:pPr>
            <w:r w:rsidRPr="00E00B35">
              <w:rPr>
                <w:szCs w:val="20"/>
              </w:rPr>
              <w:t>7 380,00</w:t>
            </w:r>
          </w:p>
        </w:tc>
      </w:tr>
      <w:tr w:rsidR="00B86812" w:rsidRPr="00E00B35" w:rsidTr="00B86812">
        <w:trPr>
          <w:trHeight w:val="449"/>
          <w:jc w:val="center"/>
        </w:trPr>
        <w:tc>
          <w:tcPr>
            <w:tcW w:w="4928" w:type="dxa"/>
          </w:tcPr>
          <w:p w:rsidR="00B86812" w:rsidRPr="00E00B35" w:rsidRDefault="00B86812" w:rsidP="00E00B35">
            <w:pPr>
              <w:spacing w:after="0" w:line="312" w:lineRule="auto"/>
              <w:rPr>
                <w:szCs w:val="20"/>
              </w:rPr>
            </w:pPr>
            <w:r w:rsidRPr="00E00B35">
              <w:rPr>
                <w:szCs w:val="20"/>
              </w:rPr>
              <w:t>RAZEM</w:t>
            </w:r>
          </w:p>
        </w:tc>
        <w:tc>
          <w:tcPr>
            <w:tcW w:w="2122" w:type="dxa"/>
          </w:tcPr>
          <w:p w:rsidR="00B86812" w:rsidRPr="00E00B35" w:rsidRDefault="00B86812" w:rsidP="00E00B35">
            <w:pPr>
              <w:spacing w:after="0" w:line="312" w:lineRule="auto"/>
              <w:rPr>
                <w:szCs w:val="20"/>
              </w:rPr>
            </w:pPr>
            <w:r w:rsidRPr="00E00B35">
              <w:rPr>
                <w:szCs w:val="20"/>
              </w:rPr>
              <w:t>20 432 638,00</w:t>
            </w:r>
          </w:p>
        </w:tc>
        <w:tc>
          <w:tcPr>
            <w:tcW w:w="1847" w:type="dxa"/>
          </w:tcPr>
          <w:p w:rsidR="00B86812" w:rsidRPr="00E00B35" w:rsidRDefault="00B86812" w:rsidP="00E00B35">
            <w:pPr>
              <w:spacing w:after="0" w:line="312" w:lineRule="auto"/>
              <w:rPr>
                <w:szCs w:val="20"/>
              </w:rPr>
            </w:pPr>
            <w:r w:rsidRPr="00E00B35">
              <w:rPr>
                <w:szCs w:val="20"/>
              </w:rPr>
              <w:t>20 417 110,37</w:t>
            </w:r>
          </w:p>
        </w:tc>
      </w:tr>
    </w:tbl>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 ramach budżetu CUI,  środki finansowe w wysokości 554 471,00 zł, zostały ujęte jako wydatki, które w 2020 roku nie wygasają z upływem roku budżetowego  i zostały przeznaczone na realizację zadań, rozpoczętych w 2020 roku, z terminem realizacji  do 30.06.2021 r.</w:t>
      </w:r>
    </w:p>
    <w:p w:rsidR="00B86812" w:rsidRPr="00E00B35" w:rsidRDefault="00B86812" w:rsidP="00E00B35">
      <w:pPr>
        <w:spacing w:after="0" w:line="312" w:lineRule="auto"/>
        <w:rPr>
          <w:szCs w:val="20"/>
        </w:rPr>
      </w:pPr>
    </w:p>
    <w:p w:rsidR="00B86812" w:rsidRPr="00E00B35" w:rsidRDefault="00B86812" w:rsidP="00E00B35">
      <w:pPr>
        <w:pStyle w:val="Nagwek3"/>
        <w:spacing w:after="0" w:line="312" w:lineRule="auto"/>
        <w:rPr>
          <w:sz w:val="20"/>
        </w:rPr>
      </w:pPr>
      <w:r w:rsidRPr="00E00B35">
        <w:rPr>
          <w:sz w:val="20"/>
        </w:rPr>
        <w:t xml:space="preserve">INFORMACJA MIEJSKIEGO RZECZNIKA KONSUMENTÓW </w:t>
      </w:r>
      <w:r w:rsidRPr="00E00B35">
        <w:rPr>
          <w:sz w:val="20"/>
        </w:rPr>
        <w:br/>
        <w:t>DO RAPORTU O STANIE GMINY ZA 2020 ROK</w:t>
      </w:r>
    </w:p>
    <w:p w:rsidR="00B86812" w:rsidRPr="00E00B35" w:rsidRDefault="00B86812" w:rsidP="00E00B35">
      <w:pPr>
        <w:pStyle w:val="Tekstpodstawowy"/>
        <w:spacing w:after="0" w:line="312" w:lineRule="auto"/>
        <w:rPr>
          <w:b/>
          <w:szCs w:val="20"/>
        </w:rPr>
      </w:pPr>
    </w:p>
    <w:p w:rsidR="00B86812" w:rsidRPr="00E00B35" w:rsidRDefault="00B86812" w:rsidP="00E00B35">
      <w:pPr>
        <w:pStyle w:val="Nagwek4"/>
        <w:spacing w:before="0" w:after="0" w:line="312" w:lineRule="auto"/>
        <w:rPr>
          <w:sz w:val="20"/>
          <w:szCs w:val="20"/>
        </w:rPr>
      </w:pPr>
      <w:r w:rsidRPr="00E00B35">
        <w:rPr>
          <w:sz w:val="20"/>
          <w:szCs w:val="20"/>
        </w:rPr>
        <w:t>OCHRONA KONSUMENTÓW</w:t>
      </w:r>
    </w:p>
    <w:p w:rsidR="00B86812" w:rsidRPr="00E00B35" w:rsidRDefault="00B86812" w:rsidP="00E00B35">
      <w:pPr>
        <w:spacing w:after="0" w:line="312" w:lineRule="auto"/>
        <w:rPr>
          <w:rFonts w:cs="Arial"/>
          <w:szCs w:val="20"/>
        </w:rPr>
      </w:pPr>
      <w:r w:rsidRPr="00E00B35">
        <w:rPr>
          <w:szCs w:val="20"/>
        </w:rPr>
        <w:t xml:space="preserve">Zadania samorządu powiatowego w zakresie ochrony praw konsumentów, na podstawie art. 39 ust. 1 ustawy z dnia 16 lutego 2007 r. o ochronie konkurencji i konsumentów (dalej: u.o.k.k.), wykonuje Miejski Rzecznik Konsumentów. </w:t>
      </w:r>
      <w:r w:rsidRPr="00E00B35">
        <w:rPr>
          <w:rFonts w:cs="Arial"/>
          <w:szCs w:val="20"/>
        </w:rPr>
        <w:t xml:space="preserve">Zgodnie z Regulaminem Organizacyjnym Urzędu Miejskiego Wrocławia, Biuro Miejskiego Rzecznika Konsumentów wyodrębnione jako komórka organizacyjna BRK, znajduje się w Departamencie Prezydenta. </w:t>
      </w:r>
    </w:p>
    <w:p w:rsidR="00B86812" w:rsidRPr="00E00B35" w:rsidRDefault="00B86812" w:rsidP="00E00B35">
      <w:pPr>
        <w:pStyle w:val="11Trescpisma"/>
        <w:spacing w:before="0" w:after="0" w:line="312" w:lineRule="auto"/>
        <w:jc w:val="left"/>
        <w:rPr>
          <w:rFonts w:cs="Arial"/>
          <w:szCs w:val="20"/>
        </w:rPr>
      </w:pPr>
      <w:r w:rsidRPr="00E00B35">
        <w:rPr>
          <w:szCs w:val="20"/>
        </w:rPr>
        <w:t xml:space="preserve">Do zadań Rzecznika Konsumentów należy m.in. zapewnienie bezpłatnego poradnictwa konsumenckiego i informacji prawnej w zakresie ochrony interesów konsumentów oraz występowanie do przedsiębiorców </w:t>
      </w:r>
      <w:r w:rsidRPr="00E00B35">
        <w:rPr>
          <w:rFonts w:cs="Arial"/>
          <w:szCs w:val="20"/>
        </w:rPr>
        <w:t>w sprawach ochrony praw i interesów konsumentów - art. 42 ust. 1 pkt. 1 i 3 ustawy</w:t>
      </w:r>
      <w:r w:rsidRPr="00E00B35">
        <w:rPr>
          <w:szCs w:val="20"/>
        </w:rPr>
        <w:t xml:space="preserve"> z dnia 16 lutego 2007 r</w:t>
      </w:r>
      <w:r w:rsidRPr="00E00B35">
        <w:rPr>
          <w:i/>
          <w:iCs/>
          <w:szCs w:val="20"/>
        </w:rPr>
        <w:t>.</w:t>
      </w:r>
      <w:r w:rsidRPr="00E00B35">
        <w:rPr>
          <w:szCs w:val="20"/>
        </w:rPr>
        <w:t xml:space="preserve"> o ochronie konkurencji</w:t>
      </w:r>
      <w:r w:rsidRPr="00E00B35">
        <w:rPr>
          <w:szCs w:val="20"/>
        </w:rPr>
        <w:br/>
        <w:t>i konsumentów (Dz. U. z 2020 poz. 1076 – ze zm.)</w:t>
      </w:r>
      <w:r w:rsidRPr="00E00B35">
        <w:rPr>
          <w:rFonts w:cs="Arial"/>
          <w:szCs w:val="20"/>
        </w:rPr>
        <w:t xml:space="preserve">. </w:t>
      </w:r>
    </w:p>
    <w:p w:rsidR="00B86812" w:rsidRPr="00E00B35" w:rsidRDefault="00B86812" w:rsidP="00E00B35">
      <w:pPr>
        <w:pStyle w:val="11Trescpisma"/>
        <w:spacing w:before="0" w:after="0" w:line="312" w:lineRule="auto"/>
        <w:jc w:val="left"/>
        <w:rPr>
          <w:rFonts w:cs="Arial"/>
          <w:szCs w:val="20"/>
        </w:rPr>
      </w:pPr>
      <w:r w:rsidRPr="00E00B35">
        <w:rPr>
          <w:rFonts w:cs="Arial"/>
          <w:szCs w:val="20"/>
        </w:rPr>
        <w:t>Konsumenci zgłaszający się do Rzecznika zazwyczaj otrzymują pomoc w postaci:</w:t>
      </w:r>
    </w:p>
    <w:p w:rsidR="00B86812" w:rsidRPr="00E00B35" w:rsidRDefault="00B86812" w:rsidP="00BC64AB">
      <w:pPr>
        <w:pStyle w:val="Akapitzlist"/>
        <w:numPr>
          <w:ilvl w:val="0"/>
          <w:numId w:val="296"/>
        </w:numPr>
        <w:spacing w:after="0" w:line="312" w:lineRule="auto"/>
        <w:ind w:left="426" w:hanging="426"/>
        <w:rPr>
          <w:szCs w:val="20"/>
        </w:rPr>
      </w:pPr>
      <w:r w:rsidRPr="00E00B35">
        <w:rPr>
          <w:rFonts w:cs="Arial"/>
          <w:szCs w:val="20"/>
        </w:rPr>
        <w:t xml:space="preserve">poradnictwa i </w:t>
      </w:r>
      <w:r w:rsidRPr="00E00B35">
        <w:rPr>
          <w:szCs w:val="20"/>
        </w:rPr>
        <w:t>edukacji konsumenckiej;</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w przypadku pojawienia się sporu na tle zawartej umowy, po wyczerpaniu drogi postępowania reklamacyjno/odwoławczego, prowadzona jest mediacja (korespondencyjnie);</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pomoc przy sporządzeniu pozwu przeciwko firmie, sprzeciwu czy odpowiedzi na pozew.</w:t>
      </w:r>
    </w:p>
    <w:p w:rsidR="00B86812" w:rsidRPr="00E00B35" w:rsidRDefault="00B86812" w:rsidP="00E00B35">
      <w:pPr>
        <w:pStyle w:val="Tekstpodstawowy2"/>
        <w:spacing w:after="0" w:line="312" w:lineRule="auto"/>
        <w:rPr>
          <w:b w:val="0"/>
          <w:color w:val="auto"/>
          <w:sz w:val="20"/>
          <w:szCs w:val="20"/>
        </w:rPr>
      </w:pPr>
      <w:r w:rsidRPr="00E00B35">
        <w:rPr>
          <w:b w:val="0"/>
          <w:color w:val="auto"/>
          <w:sz w:val="20"/>
          <w:szCs w:val="20"/>
        </w:rPr>
        <w:t xml:space="preserve">W roku sprawozdawczym obsłużono łącznie 8.288 zgłoszeń w sprawach konsumenckich, tj.: wniosków, zapytań, pism kierowanych do wiadomości, wymagających przekazania zgodnie z właściwością oraz w ramach współpracy w obszarze ochrony konsumentów. </w:t>
      </w:r>
      <w:r w:rsidRPr="00E00B35">
        <w:rPr>
          <w:b w:val="0"/>
          <w:color w:val="auto"/>
          <w:sz w:val="20"/>
          <w:szCs w:val="20"/>
        </w:rPr>
        <w:lastRenderedPageBreak/>
        <w:t>Liczba zgłoszeń konsumenckich od kilku lat oscylowała pomiędzy 16.000 a 20.000. Różnice w poszczególnych latach były zależne od bieżącej koniunktury na rynku konsumenckim. W latach 2019/2020 odnotowany został spadek liczby zgłoszeń. Jak wynika ze sprawozdania Urzędu Ochrony Konkurencji i Konsumentów dotyczącego wszystkich rzeczników w Polsce za 2018 rok oraz 2019 rok, zjawisko stanowi nową tendencję i pojawia się w wielu województwach. W 2020 r. dodatkowy spadek liczby zgłoszeń, może wynikać z faktu ogłoszenia stanu epidemiologicznego wiążącego się z jednoczesnym wyłączeniem Biura Rzecznika z bezpośredniej obsługi mieszkańców. Porównawcze dane zawarto poniżej – w formie tabeli.</w:t>
      </w:r>
    </w:p>
    <w:p w:rsidR="00B86812" w:rsidRPr="00E00B35" w:rsidRDefault="00B86812" w:rsidP="00E00B35">
      <w:pPr>
        <w:pStyle w:val="Tekstpodstawowy2"/>
        <w:spacing w:after="0" w:line="312" w:lineRule="auto"/>
        <w:rPr>
          <w:sz w:val="20"/>
          <w:szCs w:val="20"/>
        </w:rPr>
      </w:pPr>
    </w:p>
    <w:p w:rsidR="00B86812" w:rsidRPr="00E00B35" w:rsidRDefault="00B86812" w:rsidP="00E00B35">
      <w:pPr>
        <w:spacing w:after="0" w:line="312" w:lineRule="auto"/>
        <w:rPr>
          <w:szCs w:val="20"/>
        </w:rPr>
      </w:pPr>
      <w:r w:rsidRPr="00E00B35">
        <w:rPr>
          <w:szCs w:val="20"/>
        </w:rPr>
        <w:t>ZESTAWIENIE ZGŁOSZEŃ W SPRAWACH KONSUMENCKICH ZA LATA 2017</w:t>
      </w:r>
      <w:r w:rsidR="00F90072" w:rsidRPr="00E00B35">
        <w:rPr>
          <w:szCs w:val="20"/>
        </w:rPr>
        <w:t>-</w:t>
      </w:r>
      <w:r w:rsidRPr="00E00B35">
        <w:rPr>
          <w:szCs w:val="20"/>
        </w:rPr>
        <w:t>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5"/>
        <w:gridCol w:w="4605"/>
      </w:tblGrid>
      <w:tr w:rsidR="00B86812" w:rsidRPr="00E00B35" w:rsidTr="00B86812">
        <w:trPr>
          <w:jc w:val="center"/>
        </w:trPr>
        <w:tc>
          <w:tcPr>
            <w:tcW w:w="4605" w:type="dxa"/>
            <w:tcBorders>
              <w:top w:val="single" w:sz="4" w:space="0" w:color="auto"/>
              <w:left w:val="single" w:sz="4" w:space="0" w:color="auto"/>
              <w:bottom w:val="single" w:sz="4" w:space="0" w:color="auto"/>
              <w:right w:val="single" w:sz="4" w:space="0" w:color="auto"/>
            </w:tcBorders>
            <w:shd w:val="clear" w:color="auto" w:fill="BFBFBF"/>
            <w:hideMark/>
          </w:tcPr>
          <w:p w:rsidR="00B86812" w:rsidRPr="00E00B35" w:rsidRDefault="00B86812" w:rsidP="00E00B35">
            <w:pPr>
              <w:spacing w:after="0" w:line="312" w:lineRule="auto"/>
              <w:rPr>
                <w:szCs w:val="20"/>
              </w:rPr>
            </w:pPr>
            <w:r w:rsidRPr="00E00B35">
              <w:rPr>
                <w:szCs w:val="20"/>
              </w:rPr>
              <w:t>ROK</w:t>
            </w:r>
          </w:p>
        </w:tc>
        <w:tc>
          <w:tcPr>
            <w:tcW w:w="4605" w:type="dxa"/>
            <w:tcBorders>
              <w:top w:val="single" w:sz="4" w:space="0" w:color="auto"/>
              <w:left w:val="single" w:sz="4" w:space="0" w:color="auto"/>
              <w:bottom w:val="single" w:sz="4" w:space="0" w:color="auto"/>
              <w:right w:val="single" w:sz="4" w:space="0" w:color="auto"/>
            </w:tcBorders>
            <w:shd w:val="clear" w:color="auto" w:fill="BFBFBF"/>
            <w:hideMark/>
          </w:tcPr>
          <w:p w:rsidR="00B86812" w:rsidRPr="00E00B35" w:rsidRDefault="00B86812" w:rsidP="00E00B35">
            <w:pPr>
              <w:spacing w:after="0" w:line="312" w:lineRule="auto"/>
              <w:rPr>
                <w:szCs w:val="20"/>
              </w:rPr>
            </w:pPr>
            <w:r w:rsidRPr="00E00B35">
              <w:rPr>
                <w:szCs w:val="20"/>
              </w:rPr>
              <w:t>LICZBA ZGŁOSZEŃ W SPRAWACH KONSUMENCKICH</w:t>
            </w:r>
          </w:p>
        </w:tc>
      </w:tr>
      <w:tr w:rsidR="00B86812" w:rsidRPr="00E00B35" w:rsidTr="00B86812">
        <w:trPr>
          <w:jc w:val="center"/>
        </w:trPr>
        <w:tc>
          <w:tcPr>
            <w:tcW w:w="4605" w:type="dxa"/>
            <w:tcBorders>
              <w:top w:val="single" w:sz="4" w:space="0" w:color="auto"/>
              <w:left w:val="single" w:sz="4" w:space="0" w:color="auto"/>
              <w:bottom w:val="single" w:sz="4" w:space="0" w:color="auto"/>
              <w:right w:val="single" w:sz="4" w:space="0" w:color="auto"/>
            </w:tcBorders>
          </w:tcPr>
          <w:p w:rsidR="00B86812" w:rsidRPr="00E00B35" w:rsidRDefault="00B86812" w:rsidP="00E00B35">
            <w:pPr>
              <w:spacing w:after="0" w:line="312" w:lineRule="auto"/>
              <w:rPr>
                <w:szCs w:val="20"/>
              </w:rPr>
            </w:pPr>
            <w:r w:rsidRPr="00E00B35">
              <w:rPr>
                <w:szCs w:val="20"/>
              </w:rPr>
              <w:t>2020</w:t>
            </w:r>
          </w:p>
        </w:tc>
        <w:tc>
          <w:tcPr>
            <w:tcW w:w="4605" w:type="dxa"/>
            <w:tcBorders>
              <w:top w:val="single" w:sz="4" w:space="0" w:color="auto"/>
              <w:left w:val="single" w:sz="4" w:space="0" w:color="auto"/>
              <w:bottom w:val="single" w:sz="4" w:space="0" w:color="auto"/>
              <w:right w:val="single" w:sz="4" w:space="0" w:color="auto"/>
            </w:tcBorders>
          </w:tcPr>
          <w:p w:rsidR="00B86812" w:rsidRPr="00E00B35" w:rsidRDefault="00B86812" w:rsidP="00E00B35">
            <w:pPr>
              <w:spacing w:after="0" w:line="312" w:lineRule="auto"/>
              <w:rPr>
                <w:szCs w:val="20"/>
              </w:rPr>
            </w:pPr>
            <w:r w:rsidRPr="00E00B35">
              <w:rPr>
                <w:szCs w:val="20"/>
              </w:rPr>
              <w:t>8</w:t>
            </w:r>
            <w:r w:rsidR="00F90072" w:rsidRPr="00E00B35">
              <w:rPr>
                <w:szCs w:val="20"/>
              </w:rPr>
              <w:t xml:space="preserve"> </w:t>
            </w:r>
            <w:r w:rsidRPr="00E00B35">
              <w:rPr>
                <w:szCs w:val="20"/>
              </w:rPr>
              <w:t>288</w:t>
            </w:r>
          </w:p>
        </w:tc>
      </w:tr>
      <w:tr w:rsidR="00B86812" w:rsidRPr="00E00B35" w:rsidTr="00B86812">
        <w:trPr>
          <w:jc w:val="center"/>
        </w:trPr>
        <w:tc>
          <w:tcPr>
            <w:tcW w:w="4605" w:type="dxa"/>
            <w:tcBorders>
              <w:top w:val="single" w:sz="4" w:space="0" w:color="auto"/>
              <w:left w:val="single" w:sz="4" w:space="0" w:color="auto"/>
              <w:bottom w:val="single" w:sz="4" w:space="0" w:color="auto"/>
              <w:right w:val="single" w:sz="4" w:space="0" w:color="auto"/>
            </w:tcBorders>
          </w:tcPr>
          <w:p w:rsidR="00B86812" w:rsidRPr="00E00B35" w:rsidRDefault="00B86812" w:rsidP="00E00B35">
            <w:pPr>
              <w:spacing w:after="0" w:line="312" w:lineRule="auto"/>
              <w:rPr>
                <w:szCs w:val="20"/>
              </w:rPr>
            </w:pPr>
            <w:r w:rsidRPr="00E00B35">
              <w:rPr>
                <w:szCs w:val="20"/>
              </w:rPr>
              <w:t>2019</w:t>
            </w:r>
          </w:p>
        </w:tc>
        <w:tc>
          <w:tcPr>
            <w:tcW w:w="4605" w:type="dxa"/>
            <w:tcBorders>
              <w:top w:val="single" w:sz="4" w:space="0" w:color="auto"/>
              <w:left w:val="single" w:sz="4" w:space="0" w:color="auto"/>
              <w:bottom w:val="single" w:sz="4" w:space="0" w:color="auto"/>
              <w:right w:val="single" w:sz="4" w:space="0" w:color="auto"/>
            </w:tcBorders>
          </w:tcPr>
          <w:p w:rsidR="00B86812" w:rsidRPr="00E00B35" w:rsidRDefault="00B86812" w:rsidP="00E00B35">
            <w:pPr>
              <w:spacing w:after="0" w:line="312" w:lineRule="auto"/>
              <w:rPr>
                <w:szCs w:val="20"/>
              </w:rPr>
            </w:pPr>
            <w:r w:rsidRPr="00E00B35">
              <w:rPr>
                <w:szCs w:val="20"/>
              </w:rPr>
              <w:t>8</w:t>
            </w:r>
            <w:r w:rsidR="00F90072" w:rsidRPr="00E00B35">
              <w:rPr>
                <w:szCs w:val="20"/>
              </w:rPr>
              <w:t xml:space="preserve"> </w:t>
            </w:r>
            <w:r w:rsidRPr="00E00B35">
              <w:rPr>
                <w:szCs w:val="20"/>
              </w:rPr>
              <w:t>953</w:t>
            </w:r>
          </w:p>
        </w:tc>
      </w:tr>
      <w:tr w:rsidR="00B86812" w:rsidRPr="00E00B35" w:rsidTr="00B86812">
        <w:trPr>
          <w:jc w:val="center"/>
        </w:trPr>
        <w:tc>
          <w:tcPr>
            <w:tcW w:w="4605"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rPr>
            </w:pPr>
            <w:r w:rsidRPr="00E00B35">
              <w:rPr>
                <w:szCs w:val="20"/>
              </w:rPr>
              <w:t>2018</w:t>
            </w:r>
          </w:p>
        </w:tc>
        <w:tc>
          <w:tcPr>
            <w:tcW w:w="4605"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rPr>
            </w:pPr>
            <w:r w:rsidRPr="00E00B35">
              <w:rPr>
                <w:szCs w:val="20"/>
              </w:rPr>
              <w:t>17</w:t>
            </w:r>
            <w:r w:rsidR="00F90072" w:rsidRPr="00E00B35">
              <w:rPr>
                <w:szCs w:val="20"/>
              </w:rPr>
              <w:t xml:space="preserve"> </w:t>
            </w:r>
            <w:r w:rsidRPr="00E00B35">
              <w:rPr>
                <w:szCs w:val="20"/>
              </w:rPr>
              <w:t>562</w:t>
            </w:r>
          </w:p>
        </w:tc>
      </w:tr>
      <w:tr w:rsidR="00B86812" w:rsidRPr="00E00B35" w:rsidTr="00B86812">
        <w:trPr>
          <w:jc w:val="center"/>
        </w:trPr>
        <w:tc>
          <w:tcPr>
            <w:tcW w:w="4605"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rPr>
            </w:pPr>
            <w:r w:rsidRPr="00E00B35">
              <w:rPr>
                <w:szCs w:val="20"/>
              </w:rPr>
              <w:t>2017</w:t>
            </w:r>
          </w:p>
        </w:tc>
        <w:tc>
          <w:tcPr>
            <w:tcW w:w="4605" w:type="dxa"/>
            <w:tcBorders>
              <w:top w:val="single" w:sz="4" w:space="0" w:color="auto"/>
              <w:left w:val="single" w:sz="4" w:space="0" w:color="auto"/>
              <w:bottom w:val="single" w:sz="4" w:space="0" w:color="auto"/>
              <w:right w:val="single" w:sz="4" w:space="0" w:color="auto"/>
            </w:tcBorders>
            <w:hideMark/>
          </w:tcPr>
          <w:p w:rsidR="00B86812" w:rsidRPr="00E00B35" w:rsidRDefault="00F90072" w:rsidP="00E00B35">
            <w:pPr>
              <w:spacing w:after="0" w:line="312" w:lineRule="auto"/>
              <w:rPr>
                <w:szCs w:val="20"/>
              </w:rPr>
            </w:pPr>
            <w:r w:rsidRPr="00E00B35">
              <w:rPr>
                <w:szCs w:val="20"/>
              </w:rPr>
              <w:t xml:space="preserve">20 </w:t>
            </w:r>
            <w:r w:rsidR="00B86812" w:rsidRPr="00E00B35">
              <w:rPr>
                <w:szCs w:val="20"/>
              </w:rPr>
              <w:t>328</w:t>
            </w:r>
          </w:p>
        </w:tc>
      </w:tr>
    </w:tbl>
    <w:p w:rsidR="00B86812" w:rsidRPr="00E00B35" w:rsidRDefault="00B86812" w:rsidP="00E00B35">
      <w:pPr>
        <w:pStyle w:val="Tekstpodstawowy2"/>
        <w:spacing w:after="0" w:line="312" w:lineRule="auto"/>
        <w:rPr>
          <w:sz w:val="20"/>
          <w:szCs w:val="20"/>
        </w:rPr>
      </w:pPr>
    </w:p>
    <w:p w:rsidR="00B86812" w:rsidRPr="00E00B35" w:rsidRDefault="00B86812" w:rsidP="00E00B35">
      <w:pPr>
        <w:pStyle w:val="Tekstpodstawowy2"/>
        <w:spacing w:after="0" w:line="312" w:lineRule="auto"/>
        <w:rPr>
          <w:b w:val="0"/>
          <w:color w:val="auto"/>
          <w:sz w:val="20"/>
          <w:szCs w:val="20"/>
        </w:rPr>
      </w:pPr>
      <w:r w:rsidRPr="00E00B35">
        <w:rPr>
          <w:b w:val="0"/>
          <w:color w:val="auto"/>
          <w:sz w:val="20"/>
          <w:szCs w:val="20"/>
        </w:rPr>
        <w:t xml:space="preserve">Należy podkreślić, że spadek całkowitej liczby zgłoszeń konsumenckich za rok 2020, wynika zarówno ze spadku liczby zgłoszeń bezpośrednich i telefonicznych, który zdaje się być konsekwencją rosnącej świadomości i wiedzy konsumentów, zwłaszcza w sprawach prostych oraz powszechności dostępu do informacji poprzez media i Internet, jak również z faktu, że w/w informacje konsument otrzymuje cyklicznie i w prostej formie przekazu,  co ma duży wpływ na wciąż rosnącą świadomość konsumencką. </w:t>
      </w:r>
    </w:p>
    <w:p w:rsidR="00B86812" w:rsidRPr="00E00B35" w:rsidRDefault="00B86812" w:rsidP="00E00B35">
      <w:pPr>
        <w:spacing w:after="0" w:line="312" w:lineRule="auto"/>
        <w:rPr>
          <w:rFonts w:cs="Verdana"/>
          <w:color w:val="000000"/>
          <w:szCs w:val="20"/>
        </w:rPr>
      </w:pPr>
      <w:r w:rsidRPr="00E00B35">
        <w:rPr>
          <w:rFonts w:cs="Verdana"/>
          <w:color w:val="000000"/>
          <w:szCs w:val="20"/>
        </w:rPr>
        <w:t>Warto podkreślić, że mniejsza liczba zgłoszeń wynikała z wyłączenia biura w marcu 2020 r. z bezpośredniej obsługi mieszkańców ze względu na ogłoszony stan epidemii do odwołania. Seniorzy, którzy stanowili dużą grupę odbiorców udzielanych porad, preferowali dotąd szczególnie bezpośredni kontakt z Biurem Rzecznika. Również, co zostało wskazane w raporcie za ubiegły rok, część udzielanych porad w sprawach prostych, przy nieskompilowanym stanie prawnym, była realizowana przez ogólnopolską infolinię konsumencką i konsumenckie centrum e-porad oraz inne organizacje funkcjonujące w szeroko rozumianym systemie ochrony konsumentów, do których dostęp w dużym mieście, takim jak Wrocław, jest ułatwiony. Należy zwrócić uwagę, że zmiana liczby zgłoszeń konsumenckich miała ścisły związek ze zmianą jakościową prowadzonych przez Biuro Rzecznika spraw. Wraz ze spadkiem ilości udzielanych porad w sprawach prostych, od kilku lat zaobserwowano zwiększenie ilości spraw o skomplikowanym, wielowątkowym charakterze, co z kolei przełożyło się na ilość czasu niezbędnego do analizy jak również do ciągłego poszerzania wiedzy z zakresu prawa krajowego i unijnego utrzymując stale wysoki poziom świadczonej pomocy prawnej.</w:t>
      </w:r>
    </w:p>
    <w:p w:rsidR="00B86812" w:rsidRPr="00E00B35" w:rsidRDefault="00B86812" w:rsidP="00E00B35">
      <w:pPr>
        <w:spacing w:after="0" w:line="312" w:lineRule="auto"/>
        <w:rPr>
          <w:rFonts w:cs="Verdana"/>
          <w:color w:val="000000"/>
          <w:szCs w:val="20"/>
        </w:rPr>
      </w:pPr>
    </w:p>
    <w:p w:rsidR="00B86812" w:rsidRPr="00E00B35" w:rsidRDefault="00B86812" w:rsidP="00E00B35">
      <w:pPr>
        <w:spacing w:after="0" w:line="312" w:lineRule="auto"/>
        <w:rPr>
          <w:rFonts w:cs="Verdana"/>
          <w:color w:val="000000"/>
          <w:szCs w:val="20"/>
        </w:rPr>
      </w:pPr>
      <w:r w:rsidRPr="00E00B35">
        <w:rPr>
          <w:rFonts w:cs="Verdana"/>
          <w:color w:val="000000"/>
          <w:szCs w:val="20"/>
        </w:rPr>
        <w:t xml:space="preserve">Zakres i rodzaj świadczonej na rzecz Mieszańców Wrocławia pomocy prawnej w konkretnej sprawie miał charakter indywidualny i był zależny od oceny stanu faktycznego jak i prawnego, jak również od treści wniosku Konsumenta. Konsumenci kierowali swoje </w:t>
      </w:r>
      <w:r w:rsidRPr="00E00B35">
        <w:rPr>
          <w:rFonts w:cs="Verdana"/>
          <w:color w:val="000000"/>
          <w:szCs w:val="20"/>
        </w:rPr>
        <w:lastRenderedPageBreak/>
        <w:t xml:space="preserve">wnioski i zapytania do Rzecznika w formie: </w:t>
      </w:r>
      <w:r w:rsidRPr="00E00B35">
        <w:rPr>
          <w:rFonts w:cs="Verdana"/>
          <w:b/>
          <w:color w:val="000000"/>
          <w:szCs w:val="20"/>
        </w:rPr>
        <w:t>telefonicznej (6826 zgłoszeń), bezpośredniej (538 zgłoszeń)</w:t>
      </w:r>
      <w:r w:rsidRPr="00E00B35">
        <w:rPr>
          <w:rFonts w:cs="Verdana"/>
          <w:color w:val="000000"/>
          <w:szCs w:val="20"/>
        </w:rPr>
        <w:t xml:space="preserve">, korespondencji tradycyjnej, elektronicznej w tym za pośrednictwem platformy ePUAP. W roku sprawozdawczym 2020, z uwagi na ogłoszenie stanu epidemiologicznego odnotowano znaczny wpływ spraw za pośrednictwem platformy ePUAP, były to zarówno sprawy z wnioskiem konsumenckim, na podstawie którego podejmowano interwencje w sprawach konsumenckich, jak również zwykłe zapytania. Wzrost spraw zgłoszonych przez platformę ePUAP w porównaniu do roku 2019, w którym zarejestrowano w sumie 15 wniosków konsumenckich, w stosunku do roku sprawozdawczego w sumie </w:t>
      </w:r>
      <w:r w:rsidRPr="00E00B35">
        <w:rPr>
          <w:rFonts w:cs="Verdana"/>
          <w:b/>
          <w:color w:val="000000"/>
          <w:szCs w:val="20"/>
        </w:rPr>
        <w:t>217 wniosków</w:t>
      </w:r>
      <w:r w:rsidRPr="00E00B35">
        <w:rPr>
          <w:rFonts w:cs="Verdana"/>
          <w:color w:val="000000"/>
          <w:szCs w:val="20"/>
        </w:rPr>
        <w:t>, był znaczący. Powyższe wynikało z organizacji pracy Urzędu Miejskiego Wrocławia jak i Biura Miejskiego Rzecznika Konsumentów. Oferowana przez Rzecznika pomoc prawna miała różne, dostosowane do indywidualnych spraw formy. Niezmiennie udzielano porad i informacji prawnych; prowadzone były interwencje pisemne poprzez występowanie do przedsiębiorców, mediacje; przygotowywano opinie prawne wydawane Konsumentom pisemnie; przygotowano wnioski i pozwy do sądów, pisma procesowe. Jedynie porady bezpośrednie były udzielane w urzędzie do momentu zawieszenia wizyt osobistych mieszkańców do odwołania.</w:t>
      </w:r>
    </w:p>
    <w:p w:rsidR="00B86812" w:rsidRPr="00E00B35" w:rsidRDefault="00B86812" w:rsidP="00E00B35">
      <w:pPr>
        <w:spacing w:after="0" w:line="312" w:lineRule="auto"/>
        <w:rPr>
          <w:rFonts w:cs="Verdana"/>
          <w:color w:val="000000"/>
          <w:szCs w:val="20"/>
        </w:rPr>
      </w:pPr>
    </w:p>
    <w:p w:rsidR="00B86812" w:rsidRPr="00E00B35" w:rsidRDefault="00B86812" w:rsidP="00E00B35">
      <w:pPr>
        <w:spacing w:after="0" w:line="312" w:lineRule="auto"/>
        <w:rPr>
          <w:szCs w:val="20"/>
        </w:rPr>
      </w:pPr>
      <w:r w:rsidRPr="00E00B35">
        <w:rPr>
          <w:szCs w:val="20"/>
        </w:rPr>
        <w:t>REALIZACJA ZADAŃ w 2020 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6"/>
        <w:gridCol w:w="2918"/>
        <w:gridCol w:w="3398"/>
      </w:tblGrid>
      <w:tr w:rsidR="00B86812" w:rsidRPr="00E00B35" w:rsidTr="00F90072">
        <w:trPr>
          <w:trHeight w:val="1169"/>
          <w:tblHeader/>
          <w:jc w:val="center"/>
        </w:trPr>
        <w:tc>
          <w:tcPr>
            <w:tcW w:w="2746" w:type="dxa"/>
            <w:tcBorders>
              <w:top w:val="single" w:sz="4" w:space="0" w:color="auto"/>
              <w:left w:val="single" w:sz="4" w:space="0" w:color="auto"/>
              <w:bottom w:val="single" w:sz="4" w:space="0" w:color="auto"/>
              <w:right w:val="single" w:sz="4" w:space="0" w:color="auto"/>
            </w:tcBorders>
            <w:shd w:val="clear" w:color="auto" w:fill="BFBFBF"/>
            <w:hideMark/>
          </w:tcPr>
          <w:p w:rsidR="00B86812" w:rsidRPr="00E00B35" w:rsidRDefault="00B86812" w:rsidP="00E00B35">
            <w:pPr>
              <w:spacing w:after="0" w:line="312" w:lineRule="auto"/>
              <w:rPr>
                <w:szCs w:val="20"/>
              </w:rPr>
            </w:pPr>
            <w:r w:rsidRPr="00E00B35">
              <w:rPr>
                <w:szCs w:val="20"/>
              </w:rPr>
              <w:t>DZIAŁANIA W ZAKRESIE OCHRONY PRAW I INTERESÓW KONSUMENTÓW</w:t>
            </w:r>
          </w:p>
        </w:tc>
        <w:tc>
          <w:tcPr>
            <w:tcW w:w="2918" w:type="dxa"/>
            <w:tcBorders>
              <w:top w:val="single" w:sz="4" w:space="0" w:color="auto"/>
              <w:left w:val="single" w:sz="4" w:space="0" w:color="auto"/>
              <w:bottom w:val="single" w:sz="4" w:space="0" w:color="auto"/>
              <w:right w:val="single" w:sz="4" w:space="0" w:color="auto"/>
            </w:tcBorders>
            <w:shd w:val="clear" w:color="auto" w:fill="BFBFBF"/>
          </w:tcPr>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LICZBA SPRAW</w:t>
            </w:r>
          </w:p>
        </w:tc>
        <w:tc>
          <w:tcPr>
            <w:tcW w:w="3398" w:type="dxa"/>
            <w:tcBorders>
              <w:top w:val="single" w:sz="4" w:space="0" w:color="auto"/>
              <w:left w:val="single" w:sz="4" w:space="0" w:color="auto"/>
              <w:bottom w:val="single" w:sz="4" w:space="0" w:color="auto"/>
              <w:right w:val="single" w:sz="4" w:space="0" w:color="auto"/>
            </w:tcBorders>
            <w:shd w:val="clear" w:color="auto" w:fill="BFBFBF"/>
          </w:tcPr>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LICZBA KONSUMENTÓW OBJĘTYCH POMOCĄ</w:t>
            </w:r>
          </w:p>
        </w:tc>
      </w:tr>
      <w:tr w:rsidR="00B86812" w:rsidRPr="00E00B35" w:rsidTr="00B86812">
        <w:trPr>
          <w:trHeight w:val="662"/>
          <w:jc w:val="center"/>
        </w:trPr>
        <w:tc>
          <w:tcPr>
            <w:tcW w:w="2746"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highlight w:val="yellow"/>
              </w:rPr>
            </w:pPr>
            <w:r w:rsidRPr="00E00B35">
              <w:rPr>
                <w:szCs w:val="20"/>
              </w:rPr>
              <w:t>1.</w:t>
            </w:r>
            <w:bookmarkStart w:id="7" w:name="_Hlk30879382"/>
            <w:r w:rsidRPr="00E00B35">
              <w:rPr>
                <w:szCs w:val="20"/>
              </w:rPr>
              <w:t>Udzielanie porad i informacji prawnej – osobiście</w:t>
            </w:r>
            <w:bookmarkEnd w:id="7"/>
            <w:r w:rsidRPr="00E00B35">
              <w:rPr>
                <w:szCs w:val="20"/>
              </w:rPr>
              <w:t xml:space="preserve"> i telefonicznie</w:t>
            </w:r>
          </w:p>
        </w:tc>
        <w:tc>
          <w:tcPr>
            <w:tcW w:w="2918" w:type="dxa"/>
            <w:tcBorders>
              <w:top w:val="single" w:sz="4" w:space="0" w:color="auto"/>
              <w:left w:val="single" w:sz="4" w:space="0" w:color="auto"/>
              <w:bottom w:val="single" w:sz="4" w:space="0" w:color="auto"/>
              <w:right w:val="single" w:sz="4" w:space="0" w:color="auto"/>
            </w:tcBorders>
            <w:hideMark/>
          </w:tcPr>
          <w:p w:rsidR="00B86812" w:rsidRPr="00E00B35" w:rsidRDefault="00F90072" w:rsidP="00E00B35">
            <w:pPr>
              <w:spacing w:after="0" w:line="312" w:lineRule="auto"/>
              <w:rPr>
                <w:szCs w:val="20"/>
                <w:highlight w:val="yellow"/>
              </w:rPr>
            </w:pPr>
            <w:r w:rsidRPr="00E00B35">
              <w:rPr>
                <w:szCs w:val="20"/>
              </w:rPr>
              <w:t xml:space="preserve">7 </w:t>
            </w:r>
            <w:r w:rsidR="00B86812" w:rsidRPr="00E00B35">
              <w:rPr>
                <w:szCs w:val="20"/>
              </w:rPr>
              <w:t>501</w:t>
            </w:r>
          </w:p>
        </w:tc>
        <w:tc>
          <w:tcPr>
            <w:tcW w:w="3398" w:type="dxa"/>
            <w:tcBorders>
              <w:top w:val="single" w:sz="4" w:space="0" w:color="auto"/>
              <w:left w:val="single" w:sz="4" w:space="0" w:color="auto"/>
              <w:bottom w:val="single" w:sz="4" w:space="0" w:color="auto"/>
              <w:right w:val="single" w:sz="4" w:space="0" w:color="auto"/>
            </w:tcBorders>
            <w:hideMark/>
          </w:tcPr>
          <w:p w:rsidR="00B86812" w:rsidRPr="00E00B35" w:rsidRDefault="00F90072" w:rsidP="00E00B35">
            <w:pPr>
              <w:spacing w:after="0" w:line="312" w:lineRule="auto"/>
              <w:rPr>
                <w:szCs w:val="20"/>
                <w:highlight w:val="yellow"/>
              </w:rPr>
            </w:pPr>
            <w:r w:rsidRPr="00E00B35">
              <w:rPr>
                <w:szCs w:val="20"/>
              </w:rPr>
              <w:t xml:space="preserve">7 </w:t>
            </w:r>
            <w:r w:rsidR="00B86812" w:rsidRPr="00E00B35">
              <w:rPr>
                <w:szCs w:val="20"/>
              </w:rPr>
              <w:t>501</w:t>
            </w:r>
          </w:p>
        </w:tc>
      </w:tr>
      <w:tr w:rsidR="00B86812" w:rsidRPr="00E00B35" w:rsidTr="00B86812">
        <w:trPr>
          <w:trHeight w:val="496"/>
          <w:jc w:val="center"/>
        </w:trPr>
        <w:tc>
          <w:tcPr>
            <w:tcW w:w="2746"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highlight w:val="yellow"/>
              </w:rPr>
            </w:pPr>
            <w:r w:rsidRPr="00E00B35">
              <w:rPr>
                <w:szCs w:val="20"/>
              </w:rPr>
              <w:t xml:space="preserve">2.Udzielanie porad i informacji prawnej, wydawanie opinii, występowanie do przedsiębiorców </w:t>
            </w:r>
            <w:r w:rsidRPr="00E00B35">
              <w:rPr>
                <w:szCs w:val="20"/>
              </w:rPr>
              <w:br/>
              <w:t>- pisemnie</w:t>
            </w:r>
          </w:p>
        </w:tc>
        <w:tc>
          <w:tcPr>
            <w:tcW w:w="2918"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highlight w:val="yellow"/>
              </w:rPr>
            </w:pPr>
            <w:r w:rsidRPr="00E00B35">
              <w:rPr>
                <w:szCs w:val="20"/>
              </w:rPr>
              <w:t>745</w:t>
            </w:r>
          </w:p>
        </w:tc>
        <w:tc>
          <w:tcPr>
            <w:tcW w:w="3398"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highlight w:val="yellow"/>
              </w:rPr>
            </w:pPr>
            <w:r w:rsidRPr="00E00B35">
              <w:rPr>
                <w:szCs w:val="20"/>
              </w:rPr>
              <w:t>745</w:t>
            </w:r>
          </w:p>
        </w:tc>
      </w:tr>
      <w:tr w:rsidR="00B86812" w:rsidRPr="00E00B35" w:rsidTr="00B86812">
        <w:trPr>
          <w:trHeight w:val="486"/>
          <w:jc w:val="center"/>
        </w:trPr>
        <w:tc>
          <w:tcPr>
            <w:tcW w:w="2746"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highlight w:val="yellow"/>
              </w:rPr>
            </w:pPr>
            <w:r w:rsidRPr="00E00B35">
              <w:rPr>
                <w:szCs w:val="20"/>
              </w:rPr>
              <w:t>3. Współdziałanie z innymi instytucjami (w tym przekazania wg właściwości miejscowej)</w:t>
            </w:r>
          </w:p>
        </w:tc>
        <w:tc>
          <w:tcPr>
            <w:tcW w:w="2918"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rPr>
            </w:pPr>
            <w:r w:rsidRPr="00E00B35">
              <w:rPr>
                <w:szCs w:val="20"/>
              </w:rPr>
              <w:t>25</w:t>
            </w:r>
          </w:p>
        </w:tc>
        <w:tc>
          <w:tcPr>
            <w:tcW w:w="3398"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rPr>
            </w:pPr>
            <w:r w:rsidRPr="00E00B35">
              <w:rPr>
                <w:szCs w:val="20"/>
              </w:rPr>
              <w:t>⃰ Dotyczy zbiorowych interesów   konsumentów</w:t>
            </w:r>
          </w:p>
        </w:tc>
      </w:tr>
      <w:tr w:rsidR="00B86812" w:rsidRPr="00E00B35" w:rsidTr="00B86812">
        <w:trPr>
          <w:trHeight w:val="662"/>
          <w:jc w:val="center"/>
        </w:trPr>
        <w:tc>
          <w:tcPr>
            <w:tcW w:w="2746"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rPr>
            </w:pPr>
            <w:r w:rsidRPr="00E00B35">
              <w:rPr>
                <w:szCs w:val="20"/>
              </w:rPr>
              <w:t>4.Sprawy i sygnały od Konsumentów na piśmie -  przyjęte do wiadomości</w:t>
            </w:r>
          </w:p>
        </w:tc>
        <w:tc>
          <w:tcPr>
            <w:tcW w:w="2918"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rPr>
            </w:pPr>
            <w:r w:rsidRPr="00E00B35">
              <w:rPr>
                <w:szCs w:val="20"/>
              </w:rPr>
              <w:t>17</w:t>
            </w:r>
          </w:p>
        </w:tc>
        <w:tc>
          <w:tcPr>
            <w:tcW w:w="3398" w:type="dxa"/>
            <w:tcBorders>
              <w:top w:val="single" w:sz="4" w:space="0" w:color="auto"/>
              <w:left w:val="single" w:sz="4" w:space="0" w:color="auto"/>
              <w:bottom w:val="single" w:sz="4" w:space="0" w:color="auto"/>
              <w:right w:val="single" w:sz="4" w:space="0" w:color="auto"/>
            </w:tcBorders>
          </w:tcPr>
          <w:p w:rsidR="00B86812" w:rsidRPr="00E00B35" w:rsidRDefault="00B86812" w:rsidP="00E00B35">
            <w:pPr>
              <w:spacing w:after="0" w:line="312" w:lineRule="auto"/>
              <w:rPr>
                <w:szCs w:val="20"/>
                <w:highlight w:val="yellow"/>
              </w:rPr>
            </w:pPr>
            <w:r w:rsidRPr="00E00B35">
              <w:rPr>
                <w:szCs w:val="20"/>
              </w:rPr>
              <w:t>⃰ Dotyczy zbiorowych interesów   konsumentów</w:t>
            </w:r>
          </w:p>
        </w:tc>
      </w:tr>
      <w:tr w:rsidR="00B86812" w:rsidRPr="00E00B35" w:rsidTr="00B86812">
        <w:trPr>
          <w:trHeight w:val="414"/>
          <w:jc w:val="center"/>
        </w:trPr>
        <w:tc>
          <w:tcPr>
            <w:tcW w:w="2746"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szCs w:val="20"/>
              </w:rPr>
            </w:pPr>
            <w:r w:rsidRPr="00E00B35">
              <w:rPr>
                <w:szCs w:val="20"/>
              </w:rPr>
              <w:t>Razem</w:t>
            </w:r>
          </w:p>
        </w:tc>
        <w:tc>
          <w:tcPr>
            <w:tcW w:w="2918" w:type="dxa"/>
            <w:tcBorders>
              <w:top w:val="single" w:sz="4" w:space="0" w:color="auto"/>
              <w:left w:val="single" w:sz="4" w:space="0" w:color="auto"/>
              <w:bottom w:val="single" w:sz="4" w:space="0" w:color="auto"/>
              <w:right w:val="single" w:sz="4" w:space="0" w:color="auto"/>
            </w:tcBorders>
            <w:hideMark/>
          </w:tcPr>
          <w:p w:rsidR="00B86812" w:rsidRPr="00E00B35" w:rsidRDefault="00F90072" w:rsidP="00E00B35">
            <w:pPr>
              <w:spacing w:after="0" w:line="312" w:lineRule="auto"/>
              <w:rPr>
                <w:b/>
                <w:bCs/>
                <w:szCs w:val="20"/>
              </w:rPr>
            </w:pPr>
            <w:r w:rsidRPr="00E00B35">
              <w:rPr>
                <w:b/>
                <w:bCs/>
                <w:szCs w:val="20"/>
              </w:rPr>
              <w:t xml:space="preserve">8 </w:t>
            </w:r>
            <w:r w:rsidR="00B86812" w:rsidRPr="00E00B35">
              <w:rPr>
                <w:b/>
                <w:bCs/>
                <w:szCs w:val="20"/>
              </w:rPr>
              <w:t>288</w:t>
            </w:r>
          </w:p>
        </w:tc>
        <w:tc>
          <w:tcPr>
            <w:tcW w:w="3398" w:type="dxa"/>
            <w:tcBorders>
              <w:top w:val="single" w:sz="4" w:space="0" w:color="auto"/>
              <w:left w:val="single" w:sz="4" w:space="0" w:color="auto"/>
              <w:bottom w:val="single" w:sz="4" w:space="0" w:color="auto"/>
              <w:right w:val="single" w:sz="4" w:space="0" w:color="auto"/>
            </w:tcBorders>
            <w:hideMark/>
          </w:tcPr>
          <w:p w:rsidR="00B86812" w:rsidRPr="00E00B35" w:rsidRDefault="00B86812" w:rsidP="00E00B35">
            <w:pPr>
              <w:spacing w:after="0" w:line="312" w:lineRule="auto"/>
              <w:rPr>
                <w:b/>
                <w:bCs/>
                <w:szCs w:val="20"/>
              </w:rPr>
            </w:pPr>
            <w:r w:rsidRPr="00E00B35">
              <w:rPr>
                <w:b/>
                <w:bCs/>
                <w:szCs w:val="20"/>
              </w:rPr>
              <w:t>⃰ ok. 8</w:t>
            </w:r>
            <w:r w:rsidR="00F90072" w:rsidRPr="00E00B35">
              <w:rPr>
                <w:b/>
                <w:bCs/>
                <w:szCs w:val="20"/>
              </w:rPr>
              <w:t xml:space="preserve"> </w:t>
            </w:r>
            <w:r w:rsidRPr="00E00B35">
              <w:rPr>
                <w:b/>
                <w:bCs/>
                <w:szCs w:val="20"/>
              </w:rPr>
              <w:t>288</w:t>
            </w:r>
          </w:p>
        </w:tc>
      </w:tr>
    </w:tbl>
    <w:p w:rsidR="00B86812" w:rsidRPr="00E00B35" w:rsidRDefault="00B86812" w:rsidP="00E00B35">
      <w:pPr>
        <w:spacing w:after="0" w:line="312" w:lineRule="auto"/>
        <w:rPr>
          <w:rFonts w:cs="Arial"/>
          <w:szCs w:val="20"/>
        </w:rPr>
      </w:pPr>
    </w:p>
    <w:p w:rsidR="00B86812" w:rsidRPr="00E00B35" w:rsidRDefault="00B86812" w:rsidP="00E00B35">
      <w:pPr>
        <w:spacing w:after="0" w:line="312" w:lineRule="auto"/>
        <w:rPr>
          <w:szCs w:val="20"/>
        </w:rPr>
      </w:pPr>
      <w:r w:rsidRPr="00E00B35">
        <w:rPr>
          <w:szCs w:val="20"/>
        </w:rPr>
        <w:lastRenderedPageBreak/>
        <w:t xml:space="preserve">W związku z wystąpieniem stanu epidemii koronawirusa SARS CoV-2, w roku sprawozdawczym dominowały sprawy dotyczące możliwości anulowania umów o świadczenie usług turystycznych, ich rozliczenia; kolejno sprawy, dotyczące rozliczeń za świadczenie usług, które nie zostały zrealizowane, w branżach które decyzją rządu zostały czasowo zamknięte. W pozostałych kategoriach spraw konsumenckich, podobnie jak w poprzednich latach dominowały zgłoszenia konsumenckie dotyczące umów sprzedaży (reklamacji zakupionych towarów) oraz umów zawartych w szczególnym trybie tj. na odległość. </w:t>
      </w:r>
    </w:p>
    <w:p w:rsidR="00B86812" w:rsidRPr="00E00B35" w:rsidRDefault="00B86812" w:rsidP="00E00B35">
      <w:pPr>
        <w:spacing w:after="0" w:line="312" w:lineRule="auto"/>
        <w:rPr>
          <w:szCs w:val="20"/>
        </w:rPr>
      </w:pPr>
      <w:r w:rsidRPr="00E00B35">
        <w:rPr>
          <w:szCs w:val="20"/>
        </w:rPr>
        <w:t>Ponadto, zauważalne było zmniejszenie liczby zgłoszeń dotyczących nieprawidłowości związanych z umowami zawieranymi poza lokalem na tzw. prezentacjach, jak również wynikających z nienależytego wykonania usług turystycznych. Z pewnością na ilość zgłaszanych spraw miały duży wpływ obostrzenia wprowadzone przez rząd, w tym zakaz prowadzenia działalności, czy jej znaczne ograniczenie. Odczuwalne zmniejszenie zapytań dotyczyło również zwrotu towarów bez wad, zakupionych w sklepach stacjonarnych, z uwagi na znaczne zwiększenie umów zawieranych w sklepach internetowych tj. umów na odległość. W pozostałych kwestiach, jak w latach ubiegłych, Mieszkańcom Wrocławia udzielono wsparcia w sprawie sporów powstałych głównie na tle umów:</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sprzedaży</w:t>
      </w:r>
      <w:r w:rsidR="00F90072" w:rsidRPr="00E00B35">
        <w:rPr>
          <w:szCs w:val="20"/>
        </w:rPr>
        <w:t>,</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o dzieło i o świadczenie usług (np. usługi naprawcze, remontowe, wykonawców stolarki meblowej, drzwiowej, okiennej, rolet i innych wyrobów na zamówienie, kosmetyczne, pralnicze, pogrzebowe)</w:t>
      </w:r>
      <w:r w:rsidR="00F90072" w:rsidRPr="00E00B35">
        <w:rPr>
          <w:szCs w:val="20"/>
        </w:rPr>
        <w:t>,</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o usługi edukacyjne</w:t>
      </w:r>
      <w:r w:rsidR="00F90072" w:rsidRPr="00E00B35">
        <w:rPr>
          <w:szCs w:val="20"/>
        </w:rPr>
        <w:t>,</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o usługi telekomunikacyjne</w:t>
      </w:r>
      <w:r w:rsidR="00F90072" w:rsidRPr="00E00B35">
        <w:rPr>
          <w:szCs w:val="20"/>
        </w:rPr>
        <w:t>,</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deweloperskich</w:t>
      </w:r>
      <w:r w:rsidR="00F90072" w:rsidRPr="00E00B35">
        <w:rPr>
          <w:szCs w:val="20"/>
        </w:rPr>
        <w:t>,</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dostaw energii elektrycznej, gazu i wody</w:t>
      </w:r>
      <w:r w:rsidR="00F90072" w:rsidRPr="00E00B35">
        <w:rPr>
          <w:szCs w:val="20"/>
        </w:rPr>
        <w:t>,</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transportowych i przewozowych</w:t>
      </w:r>
      <w:r w:rsidR="00F90072" w:rsidRPr="00E00B35">
        <w:rPr>
          <w:szCs w:val="20"/>
        </w:rPr>
        <w:t>,</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medycznych</w:t>
      </w:r>
      <w:r w:rsidR="00F90072" w:rsidRPr="00E00B35">
        <w:rPr>
          <w:szCs w:val="20"/>
        </w:rPr>
        <w:t>.</w:t>
      </w:r>
    </w:p>
    <w:p w:rsidR="00B86812" w:rsidRPr="00E00B35" w:rsidRDefault="00B86812" w:rsidP="00E00B35">
      <w:pPr>
        <w:spacing w:after="0" w:line="312" w:lineRule="auto"/>
        <w:rPr>
          <w:szCs w:val="20"/>
        </w:rPr>
      </w:pPr>
      <w:r w:rsidRPr="00E00B35">
        <w:rPr>
          <w:szCs w:val="20"/>
        </w:rPr>
        <w:t>W roku sprawozdawczym, podobnie jak w latach ubiegłych, konsumenci najczęściej skarżyli się na niską jakość i problemy z zaspokojeniem ich roszczeń z tytułu rękojmi do sprzedawców obuwia, sprzętów elektronicznych i gospodarstwa domowego</w:t>
      </w:r>
      <w:r w:rsidRPr="00E00B35">
        <w:rPr>
          <w:i/>
          <w:iCs/>
          <w:szCs w:val="20"/>
        </w:rPr>
        <w:t xml:space="preserve">. </w:t>
      </w:r>
      <w:r w:rsidRPr="00E00B35">
        <w:rPr>
          <w:iCs/>
          <w:szCs w:val="20"/>
        </w:rPr>
        <w:t>Pojawił się problem ze zgłoszeniem reklamacji (dostarczeniem reklamowanego towaru) w chwili ograniczenia przez rząd możliwości prowadzenia działalności gospodarczej tzw. lockdownu.</w:t>
      </w:r>
      <w:r w:rsidRPr="00E00B35">
        <w:rPr>
          <w:i/>
          <w:iCs/>
          <w:szCs w:val="20"/>
        </w:rPr>
        <w:t xml:space="preserve"> </w:t>
      </w:r>
      <w:r w:rsidRPr="00E00B35">
        <w:rPr>
          <w:szCs w:val="20"/>
        </w:rPr>
        <w:t>Również zauważalne było zmniejszenie spraw dotyczących nieprawidłowości w umowach zawieranych w trybie poza lokalem przedsiębiorstwa, najczęściej w domach osób starszych, głównie o świadczenie usług telekomunikacyjnych, dostawy prądu lub gazu, medycznych/zdrowotnych oraz innych np. montażu detektorów czy pieców gazowych, co również należy upatrywać w obawach mieszkańców związanych z COVID-19.</w:t>
      </w:r>
    </w:p>
    <w:p w:rsidR="00B86812" w:rsidRPr="00E00B35" w:rsidRDefault="00B86812" w:rsidP="00E00B35">
      <w:pPr>
        <w:pStyle w:val="Tekstpodstawowy"/>
        <w:spacing w:after="0" w:line="312" w:lineRule="auto"/>
        <w:rPr>
          <w:b/>
          <w:szCs w:val="20"/>
        </w:rPr>
      </w:pPr>
      <w:r w:rsidRPr="00E00B35">
        <w:rPr>
          <w:szCs w:val="20"/>
        </w:rPr>
        <w:t xml:space="preserve">W wymagających tego przypadkach, Biuro Rzecznika korzystało ze wsparcia urzędów/instytucji specjalistycznych i regulatorów rynku, zasięgając ich opinii, zgłaszając nowe problemy czy wymieniając się informacjami. W ramach tej współpracy udzielano również odpowiedzi na zapytania delegatur Urzędu Ochrony Konkurencji i Konsumentów. W roku 2020 miały miejsce 3 postępowania w ramach współpracy z UOKiK; przekazano </w:t>
      </w:r>
      <w:r w:rsidRPr="00E00B35">
        <w:rPr>
          <w:szCs w:val="20"/>
        </w:rPr>
        <w:lastRenderedPageBreak/>
        <w:t>informacje i dokumenty na temat przedsiębiorców, o które wnioskował Urząd. Co kwartał do Delegatury UOKiK we Wrocławiu przekazywane były informacje na temat firm organizujących prezentacje towarów i usług tzw. pokazy w salach wynajętych w hotelach, szkołach, domach kultury itp. na terenie Wrocławia. W dziesiątkach przypadków współpraca z delegaturami UOKiK polegała na bieżącej wymianie informacji na temat przedsiębiorców, wobec których toczyły się postępowania lub na których wpływały skargi, bądź negatywnych zjawisk na rynku czy problemów danej kategorii, zgłaszanych przez Konsumentów. Bieżące, robocze, kontakty umożliwiały stałe i skuteczne monitorowanie rynku oraz szybsze reagowanie na pojawiające się problemy.</w:t>
      </w:r>
    </w:p>
    <w:p w:rsidR="00B86812" w:rsidRPr="00E00B35" w:rsidRDefault="00B86812" w:rsidP="00E00B35">
      <w:pPr>
        <w:pStyle w:val="Tekstpodstawowy"/>
        <w:spacing w:after="0" w:line="312" w:lineRule="auto"/>
        <w:rPr>
          <w:b/>
          <w:bCs/>
          <w:szCs w:val="20"/>
        </w:rPr>
      </w:pPr>
      <w:r w:rsidRPr="00E00B35">
        <w:rPr>
          <w:szCs w:val="20"/>
        </w:rPr>
        <w:t>W roku 2020 udzielano również pomocy konsumentom w samodzielnym dochodzeniu roszczeń przed sądami polegającej na przygotowaniu pozwów, sprzeciwów, pism procesowych - łącznie 30 przypadków.</w:t>
      </w:r>
    </w:p>
    <w:p w:rsidR="00B86812" w:rsidRPr="00E00B35" w:rsidRDefault="00B86812" w:rsidP="00E00B35">
      <w:pPr>
        <w:pStyle w:val="Tekstpodstawowy2"/>
        <w:spacing w:after="0" w:line="312" w:lineRule="auto"/>
        <w:rPr>
          <w:bCs w:val="0"/>
          <w:color w:val="000000"/>
          <w:sz w:val="20"/>
          <w:szCs w:val="20"/>
        </w:rPr>
      </w:pPr>
    </w:p>
    <w:p w:rsidR="00B86812" w:rsidRPr="00E00B35" w:rsidRDefault="00B86812" w:rsidP="00E00B35">
      <w:pPr>
        <w:pStyle w:val="Nagwek4"/>
        <w:spacing w:before="0" w:after="0" w:line="312" w:lineRule="auto"/>
        <w:rPr>
          <w:sz w:val="20"/>
          <w:szCs w:val="20"/>
        </w:rPr>
      </w:pPr>
      <w:r w:rsidRPr="00E00B35">
        <w:rPr>
          <w:sz w:val="20"/>
          <w:szCs w:val="20"/>
        </w:rPr>
        <w:t>OBOWIĄZEK SPRAWOZDAWCZY</w:t>
      </w:r>
    </w:p>
    <w:p w:rsidR="00B86812" w:rsidRPr="00E00B35" w:rsidRDefault="00B86812" w:rsidP="00E00B35">
      <w:pPr>
        <w:pStyle w:val="Tekstpodstawowy"/>
        <w:spacing w:after="0" w:line="312" w:lineRule="auto"/>
        <w:rPr>
          <w:szCs w:val="20"/>
        </w:rPr>
      </w:pPr>
      <w:r w:rsidRPr="00E00B35">
        <w:rPr>
          <w:szCs w:val="20"/>
        </w:rPr>
        <w:t xml:space="preserve">Realizując obowiązek ustawowy – zapisany w art. 43 ust. 1 u.o.k.k. – rzecznik konsumentów – w terminie do dnia 31 marca każdego roku – przedkłada Prezydentowi Miasta do zaopiniowania roczne sprawozdanie ze swojej działalności, które następnie jest przekazywane do właściwej miejscowo delegatury Urzędu Ochrony Konkurencji </w:t>
      </w:r>
      <w:r w:rsidRPr="00E00B35">
        <w:rPr>
          <w:szCs w:val="20"/>
        </w:rPr>
        <w:br/>
        <w:t xml:space="preserve">i Konsumentów. </w:t>
      </w:r>
    </w:p>
    <w:p w:rsidR="00B86812" w:rsidRPr="00E00B35" w:rsidRDefault="00B86812" w:rsidP="00E00B35">
      <w:pPr>
        <w:pStyle w:val="Tekstpodstawowy2"/>
        <w:spacing w:after="0" w:line="312" w:lineRule="auto"/>
        <w:rPr>
          <w:bCs w:val="0"/>
          <w:color w:val="000000"/>
          <w:sz w:val="20"/>
          <w:szCs w:val="20"/>
        </w:rPr>
      </w:pPr>
    </w:p>
    <w:p w:rsidR="00B86812" w:rsidRPr="00E00B35" w:rsidRDefault="00B86812" w:rsidP="00E00B35">
      <w:pPr>
        <w:pStyle w:val="Nagwek4"/>
        <w:spacing w:before="0" w:after="0" w:line="312" w:lineRule="auto"/>
        <w:rPr>
          <w:rFonts w:eastAsia="Times New Roman"/>
          <w:b w:val="0"/>
          <w:iCs w:val="0"/>
          <w:sz w:val="20"/>
          <w:szCs w:val="20"/>
        </w:rPr>
      </w:pPr>
      <w:r w:rsidRPr="00E00B35">
        <w:rPr>
          <w:color w:val="000000"/>
          <w:sz w:val="20"/>
          <w:szCs w:val="20"/>
        </w:rPr>
        <w:t xml:space="preserve">DZIAŁANIA O CHARAKTERZE </w:t>
      </w:r>
      <w:r w:rsidRPr="00E00B35">
        <w:rPr>
          <w:sz w:val="20"/>
          <w:szCs w:val="20"/>
        </w:rPr>
        <w:t>EDUKACYJNO-INFORMACYJNYM, SPOTKANIA, KONFERENCJE, SZKOLENIA</w:t>
      </w:r>
      <w:r w:rsidRPr="00E00B35">
        <w:rPr>
          <w:sz w:val="20"/>
          <w:szCs w:val="20"/>
        </w:rPr>
        <w:br/>
      </w:r>
      <w:r w:rsidRPr="00E00B35">
        <w:rPr>
          <w:rFonts w:eastAsia="Times New Roman"/>
          <w:b w:val="0"/>
          <w:iCs w:val="0"/>
          <w:sz w:val="20"/>
          <w:szCs w:val="20"/>
        </w:rPr>
        <w:t xml:space="preserve">Kluczowym elementem, filarem, systemu ochrony konsumentów, obok pomocy prawnej świadczonej w odpowiedzi na konkretny problem, jest profilaktyka, czyli edukacja konsumencka. Wiedza przekazywana w przystępny sposób istotnie wzmacnia pozycję konsumenta, czyni relacje z przedsiębiorcą zrozumiałymi i wreszcie, dzięki wiedzy wybory konsumentów są bardziej racjonalne i świadome. Śmiało więc można powiedzieć, że edukacja jest najlepszym narzędziem ochrony konsumentów. Dzięki niej bowiem konsumenci znają swoje prawa i wiedzą jak reagować w trudnych przypadkach oraz gdzie szukać pomocy, gdy sytuacja będzie tego wymagała. </w:t>
      </w:r>
    </w:p>
    <w:p w:rsidR="00B86812" w:rsidRPr="00E00B35" w:rsidRDefault="00B86812" w:rsidP="00E00B35">
      <w:pPr>
        <w:spacing w:after="0" w:line="312" w:lineRule="auto"/>
        <w:rPr>
          <w:szCs w:val="20"/>
        </w:rPr>
      </w:pPr>
      <w:r w:rsidRPr="00E00B35">
        <w:rPr>
          <w:szCs w:val="20"/>
        </w:rPr>
        <w:t xml:space="preserve">Aktywność w obszarze edukacji konsumenckiej jest zależna od potrzeb lokalnej społeczności i danego okresu, przy czym największe zapotrzebowanie na informacje </w:t>
      </w:r>
      <w:r w:rsidRPr="00E00B35">
        <w:rPr>
          <w:szCs w:val="20"/>
        </w:rPr>
        <w:br/>
        <w:t>o takim charakterze występowało w okresach świątecznych, tj. w czasie wzmożonej konsumpcji towarów i usług, oraz w okresie wakacyjnym, w którym konsumenci są narażeni na problemy związane z utratą danych osobowych, dokumentów tożsamości, gotówki czy bagażu. Ponadto konsumenci często dochodzili roszczeń w związku z nienależytym wykonaniem umowy przewozowej lub o świadczenie usług turystycznych.</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Na stronie Biuletynu Informacji Publicznej Urzędu Miejskiego Wrocławia, a w szczególności w ramach zakładki na stronie wroclaw.pl pod adresem: </w:t>
      </w:r>
      <w:hyperlink r:id="rId23" w:history="1">
        <w:r w:rsidRPr="00E00B35">
          <w:rPr>
            <w:color w:val="0000FF"/>
            <w:szCs w:val="20"/>
            <w:u w:val="single"/>
          </w:rPr>
          <w:t>https://www.wroclaw.pl/portal/miejski-rzecznik-konsumentow-we-wroclawiu</w:t>
        </w:r>
      </w:hyperlink>
      <w:r w:rsidRPr="00E00B35">
        <w:rPr>
          <w:szCs w:val="20"/>
        </w:rPr>
        <w:t xml:space="preserve">, prowadzony jest serwis dla konsumentów, gdzie publikowane są między innymi bieżące ogłoszenia, ważne informacje i komunikaty, dane kontaktowe specjalistycznych instytucji </w:t>
      </w:r>
      <w:r w:rsidRPr="00E00B35">
        <w:rPr>
          <w:szCs w:val="20"/>
        </w:rPr>
        <w:lastRenderedPageBreak/>
        <w:t xml:space="preserve">– pomocne konsumentom w dochodzeniu ich roszczeń, a także wzory pism, porady, przepisy prawa oraz filmy edukacyjne. Serwis jest dostępny również w angielskiej </w:t>
      </w:r>
      <w:r w:rsidRPr="00E00B35">
        <w:rPr>
          <w:szCs w:val="20"/>
        </w:rPr>
        <w:br/>
        <w:t xml:space="preserve">i ukraińskiej wersji językowej.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 2020 roku sfera edukacji konsumenckiej, z uwagi na konieczność dostosowania się do warunków i niedogodności związanych z wystąpieniem stanu epidemiologicznego, w głównej mierze odbywała się w formie telefonicznej. Podczas prowadzonych rozmów telefonicznych, poza udzielaniem porad prawnych starano się wyjaśniać dodatkowo kwestie związane z obowiązującym prawem, wskazywać różnice, gdyż jak zawożono na przestrzeni lat, profilaktyka zwiększa świadomość konsumencką, a co się z tym wiąże systematycznie maleją sprawy o charakterze prostym, o nieskomplikowanym stanie prawnym. </w:t>
      </w:r>
    </w:p>
    <w:p w:rsidR="00B86812" w:rsidRPr="00E00B35" w:rsidRDefault="00B86812" w:rsidP="00E00B35">
      <w:pPr>
        <w:spacing w:after="0" w:line="312" w:lineRule="auto"/>
        <w:rPr>
          <w:szCs w:val="20"/>
        </w:rPr>
      </w:pPr>
      <w:r w:rsidRPr="00E00B35">
        <w:rPr>
          <w:szCs w:val="20"/>
        </w:rPr>
        <w:t xml:space="preserve">W roku sprawozdawczym szczególną uwagę, zwracano na seniorów, którzy pozbawieni możliwości osobistej wizyty w Biurze Miejskiego Rzecznika Konsumentów, podczas udzielania porad telefonicznych, wymagali o wiele większego zaangażowania, jak również poświęconego czasu, potrzebnego do przekazania podstawowych i niezbędnych informacji, umożliwiających późniejsze, skuteczne dochodzenie swoich roszczeń.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 roku 2020 ze względu na zaistniałą sytuację zrezygnowano z zaplanowanych spotkań, akcji, konferencji i działań w ramach szeroko rozumianej edukacji konsumenckiej, zaś aktywność biura w zakresie edukacji sprowadziła się do udzielania wywiadów, w ramach zgłaszanych przez lokalne media potrzeb. </w:t>
      </w:r>
    </w:p>
    <w:p w:rsidR="00B86812" w:rsidRPr="00E00B35" w:rsidRDefault="00B86812" w:rsidP="00E00B35">
      <w:pPr>
        <w:spacing w:after="0" w:line="312" w:lineRule="auto"/>
        <w:rPr>
          <w:szCs w:val="20"/>
        </w:rPr>
      </w:pPr>
      <w:r w:rsidRPr="00E00B35">
        <w:rPr>
          <w:color w:val="000000" w:themeColor="text1"/>
          <w:szCs w:val="20"/>
        </w:rPr>
        <w:t>W pierwszym kwartale roku udzielono wywiadu dla Gazety Wrocławskiej na temat praw</w:t>
      </w:r>
      <w:r w:rsidRPr="00E00B35">
        <w:rPr>
          <w:szCs w:val="20"/>
        </w:rPr>
        <w:t xml:space="preserve"> konsumentów w związku z przejęciem, przez jedną z czołowych firm telekomunikacyjnych, mniejszego przedsiębiorcy. </w:t>
      </w:r>
    </w:p>
    <w:p w:rsidR="00B86812" w:rsidRPr="00E00B35" w:rsidRDefault="00B86812" w:rsidP="00E00B35">
      <w:pPr>
        <w:spacing w:after="0" w:line="312" w:lineRule="auto"/>
        <w:rPr>
          <w:szCs w:val="20"/>
        </w:rPr>
      </w:pPr>
      <w:r w:rsidRPr="00E00B35">
        <w:rPr>
          <w:szCs w:val="20"/>
        </w:rPr>
        <w:t>Udzielono także wywiadu dla Telewizji Polskiej S.A. dotyczącego przygotowywanego reportażu nt. przedsiębiorcy organizującego takie wydarzenia jak koncerty i festiwale oraz dla Gazety Wyborczej, odnośnie nieprawidłowości związanych z reklamacją samochodu zakupionego u dealera wiodącej marki.</w:t>
      </w:r>
    </w:p>
    <w:p w:rsidR="00B86812" w:rsidRPr="00E00B35" w:rsidRDefault="00B86812" w:rsidP="00E00B35">
      <w:pPr>
        <w:spacing w:after="0" w:line="312" w:lineRule="auto"/>
        <w:rPr>
          <w:szCs w:val="20"/>
        </w:rPr>
      </w:pPr>
      <w:r w:rsidRPr="00E00B35">
        <w:rPr>
          <w:szCs w:val="20"/>
        </w:rPr>
        <w:t xml:space="preserve">W marcu odniesiono się w udzielonym dla Gazety Wrocławskiej wywiadzie, do ewentualnych rozliczeń za odwołane imprezy typu koncerty w związku z wprowadzonym zakazem organizowania wszelkich imprez masowych. W tym samym miesiącu, w związku z sytuacją związaną z COVID-19, udzielono wywiadu dla Faktu oraz dla Gazety Wrocławskiej na temat, możliwości rezygnacji z imprezy turystycznej, jej rozliczenia w związku z pogarszającą się sytuacją epidemiologiczną w tak popularnych kierunkach jak Włochy, Francja, Austria, które konsumenci wybierali w związku z trwającym sezonem narciarskim. Również, dla Gazety Wyborczej udzielono wywiadu na temat rozliczeń z siłowniami, które nakazem rządu zmuszone były zamknąć swoje palcówki. </w:t>
      </w:r>
    </w:p>
    <w:p w:rsidR="00B86812" w:rsidRPr="00E00B35" w:rsidRDefault="00B86812" w:rsidP="00E00B35">
      <w:pPr>
        <w:spacing w:after="0" w:line="312" w:lineRule="auto"/>
        <w:rPr>
          <w:szCs w:val="20"/>
        </w:rPr>
      </w:pPr>
      <w:r w:rsidRPr="00E00B35">
        <w:rPr>
          <w:szCs w:val="20"/>
        </w:rPr>
        <w:t xml:space="preserve">Drugi kwartał roku, to kontynuacja w udzielaniu wywiadów na tematy związane z rozliczeniem umów, możliwości ich wypowiedzenia w związku z barkiem realizacji świadczeń przez kluby fitness, siłownie oraz odwołane imprezy masowe – wywiad dla Gazety Wyborczej. W kwietniu Miejski Rzecznik Konsumentów brał udział w konferencji </w:t>
      </w:r>
      <w:r w:rsidRPr="00E00B35">
        <w:rPr>
          <w:szCs w:val="20"/>
        </w:rPr>
        <w:lastRenderedPageBreak/>
        <w:t xml:space="preserve">(online), zorganizowanej przez Federację Konsumentów na temat wdrażanego projektu dotyczącego stworzenia europejskiej sieci doradców wrażliwych odbiorców energii. </w:t>
      </w:r>
    </w:p>
    <w:p w:rsidR="00B86812" w:rsidRPr="00E00B35" w:rsidRDefault="00B86812" w:rsidP="00E00B35">
      <w:pPr>
        <w:spacing w:after="0" w:line="312" w:lineRule="auto"/>
        <w:rPr>
          <w:szCs w:val="20"/>
        </w:rPr>
      </w:pPr>
      <w:r w:rsidRPr="00E00B35">
        <w:rPr>
          <w:szCs w:val="20"/>
        </w:rPr>
        <w:t>W trzecim kwartale w odpowiedzi na zgłaszane nieprawidłowości związane z rynkiem nieruchomości udzielono wywiadu dla Radia Wrocław.</w:t>
      </w:r>
    </w:p>
    <w:p w:rsidR="00B86812" w:rsidRPr="00E00B35" w:rsidRDefault="00B86812" w:rsidP="00E00B35">
      <w:pPr>
        <w:spacing w:after="0" w:line="312" w:lineRule="auto"/>
        <w:rPr>
          <w:szCs w:val="20"/>
        </w:rPr>
      </w:pPr>
      <w:r w:rsidRPr="00E00B35">
        <w:rPr>
          <w:szCs w:val="20"/>
        </w:rPr>
        <w:t>We wrześniu dla Radia Wrocław, udzielono wywiadu w związku z nieprawidłowościami dotyczącymi zawierania umów na odległość i poza lokalem. Sytuacja epidemiologiczna</w:t>
      </w:r>
      <w:r w:rsidRPr="00E00B35">
        <w:rPr>
          <w:szCs w:val="20"/>
        </w:rPr>
        <w:br/>
        <w:t>i poluzowanie obostrzeń związanych z organizowaniem spotkań w restauracjach czy hotelach, sprawiła, że przedsiębiorcy organizujący takie spotkania, znaleźli „nowy sposób” na namówienie seniorów na udział w prezentacjach pod pretekstem, przekazania darmowych (w ramach NFZ) pulsoksymetrów. Również odniesiono się do praktyk polegających na oferowaniu czy nawet darmowym testowaniu określonych produktów przez firmy, które zawierały umowy podczas rozmów telefonicznych.</w:t>
      </w:r>
    </w:p>
    <w:p w:rsidR="00B86812" w:rsidRPr="00E00B35" w:rsidRDefault="00B86812" w:rsidP="00E00B35">
      <w:pPr>
        <w:spacing w:after="0" w:line="312" w:lineRule="auto"/>
        <w:rPr>
          <w:szCs w:val="20"/>
        </w:rPr>
      </w:pPr>
      <w:r w:rsidRPr="00E00B35">
        <w:rPr>
          <w:szCs w:val="20"/>
        </w:rPr>
        <w:t>W czwartym kwartale Rzecznik uczestniczył online w VII Międzynarodowej Konsumenckiej Konferencji Naukowej na temat „Reklamacje, mediacje i inne postępowania w sprawach konsumenckich”.</w:t>
      </w:r>
    </w:p>
    <w:p w:rsidR="00B86812" w:rsidRPr="00E00B35" w:rsidRDefault="00B86812" w:rsidP="00E00B35">
      <w:pPr>
        <w:spacing w:after="0" w:line="312" w:lineRule="auto"/>
        <w:rPr>
          <w:szCs w:val="20"/>
        </w:rPr>
      </w:pPr>
      <w:r w:rsidRPr="00E00B35">
        <w:rPr>
          <w:szCs w:val="20"/>
        </w:rPr>
        <w:t xml:space="preserve">W grudniu, odpowiadając na potrzeby konsumentów związane z zakupami w okresie świąteczno-noworocznym, kiedy tradycyjnie wzrosło zapotrzebowanie na praktyczne informacje i porady na temat zwrotu towarów bez wad i zwrotu zakupów internetowych w kontekście nietrafionych prezentów, udzielono wywiadu dla Radia RMF FM. </w:t>
      </w:r>
    </w:p>
    <w:p w:rsidR="00B86812" w:rsidRPr="00E00B35" w:rsidRDefault="00B86812" w:rsidP="00E00B35">
      <w:pPr>
        <w:spacing w:after="0" w:line="312" w:lineRule="auto"/>
        <w:rPr>
          <w:szCs w:val="20"/>
        </w:rPr>
      </w:pPr>
      <w:r w:rsidRPr="00E00B35">
        <w:rPr>
          <w:szCs w:val="20"/>
        </w:rPr>
        <w:t>W roku sprawozdawczym zaplanowano realizację zadania publicznego pt. „Zajęcia edukacyjne wprowadzające do tematyki ochrony konsumenckiej dla dzieci i młodzieży z wrocławskich placówek edukacyjnych”, które miałyby być realizowane we współpracy z organizacjami pozarządowymi. Jednak z uwagi na wprowadzone obostrzenia oraz wprowadzenie lekcji zdalnych w szkołach podstawowych oraz ponadpodstawowych, zaplanowane zadanie nie zostało zrealizowane.</w:t>
      </w:r>
    </w:p>
    <w:p w:rsidR="00B86812" w:rsidRPr="00E00B35" w:rsidRDefault="00B86812" w:rsidP="00E00B35">
      <w:pPr>
        <w:spacing w:after="0" w:line="312" w:lineRule="auto"/>
        <w:rPr>
          <w:szCs w:val="20"/>
        </w:rPr>
      </w:pPr>
    </w:p>
    <w:p w:rsidR="00B86812" w:rsidRPr="00E00B35" w:rsidRDefault="00B86812" w:rsidP="00E00B35">
      <w:pPr>
        <w:pStyle w:val="Nagwek4"/>
        <w:spacing w:before="0" w:after="0" w:line="312" w:lineRule="auto"/>
        <w:rPr>
          <w:color w:val="000000"/>
          <w:sz w:val="20"/>
          <w:szCs w:val="20"/>
        </w:rPr>
      </w:pPr>
      <w:r w:rsidRPr="00E00B35">
        <w:rPr>
          <w:color w:val="000000"/>
          <w:sz w:val="20"/>
          <w:szCs w:val="20"/>
        </w:rPr>
        <w:t>REALIZACJA DODATKOWYCH ZADAŃ</w:t>
      </w:r>
    </w:p>
    <w:p w:rsidR="00B86812" w:rsidRPr="00E00B35" w:rsidRDefault="00B86812" w:rsidP="00E00B35">
      <w:pPr>
        <w:spacing w:after="0" w:line="312" w:lineRule="auto"/>
        <w:rPr>
          <w:szCs w:val="20"/>
        </w:rPr>
      </w:pPr>
      <w:r w:rsidRPr="00E00B35">
        <w:rPr>
          <w:szCs w:val="20"/>
        </w:rPr>
        <w:t>W roku sprawozdawczym rozpoczęto realizację dwóch projektów mających na celu usprawnienie pracy oraz podniesienie jakości usług świadczonych w Biurze Miejskiego Rzecznika Konsumentów.</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Wdrożenie projektu kompleksowego zarządzania kolejką, poprzez dołączenie Biura do zintegrowanego systemu kolejkowego działającego w urzędzie, w Centrach Obsługi Mieszkańca, pozwoli na wprowadzenie wizyt umawianych z wyprzedzeniem, za pośrednictwem strony </w:t>
      </w:r>
      <w:hyperlink r:id="rId24" w:history="1">
        <w:r w:rsidRPr="00E00B35">
          <w:rPr>
            <w:rStyle w:val="Hipercze"/>
            <w:rFonts w:eastAsia="font415"/>
            <w:szCs w:val="20"/>
          </w:rPr>
          <w:t>www.bez-kolejki.um.wroc.pl</w:t>
        </w:r>
      </w:hyperlink>
      <w:r w:rsidRPr="00E00B35">
        <w:rPr>
          <w:szCs w:val="20"/>
        </w:rPr>
        <w:t>.</w:t>
      </w:r>
    </w:p>
    <w:p w:rsidR="00B86812" w:rsidRPr="00E00B35" w:rsidRDefault="00B86812" w:rsidP="00E00B35">
      <w:pPr>
        <w:spacing w:after="0" w:line="312" w:lineRule="auto"/>
        <w:rPr>
          <w:szCs w:val="20"/>
        </w:rPr>
      </w:pPr>
      <w:r w:rsidRPr="00E00B35">
        <w:rPr>
          <w:szCs w:val="20"/>
        </w:rPr>
        <w:t>Uproszczony formularz rezerwacji poprowadzi konsumenta krok po kroku, aby w kilka minut zapewnić umówienie spotkania w Biurze Rzecznika na konkretną godzinę i datę. Ponadto, nowy system ma usprawnić kolejkę Konsumentów zgłaszających się do Biura osobiście poprzez udostępnienie nowoczesnego automatu biletowego. System został dostosowany do potrzeb osób z niepełnosprawnościami; umożliwia także obsługę konsumentów w języku angielskim i ukraińskim. Uruchomienie internetowej rejestracji wizyt w Biurze Rzecznika jest uzależnione od zmiany obowiązujących ograniczeń w pracy urzędu.</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 xml:space="preserve">Kolejny realizowany w 2020 roku projekt był ukierunkowany na usprawnienie działania linii telefonicznej dedykowanej konsumentom poprzez dostosowanie jej funkcjonalności do oczekiwań mieszkańców oraz analitycznych potrzeb pracy biura. Celem wdrożenia programu w szczególności było uruchomienie automatycznej zapowiedzi dla dzwoniących Konsumentów. Przygotowano kilka wersji komunikatu telefonicznego, który został dostosowany do obsługi bieżącej sytuacji na linii telefonicznej, uwzględniając m.in. powitanie, właściwość miejscową dzwoniącego czy aktualną zajętość pracowników udzielających porad bezpośrednich.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Wprowadzając sukcesywnie nowe rozwiązania i udogodnienia w trosce o najwyższą jakość realizowanych usług, stale podnoszony jest standard obsługi wszystkich zgłaszających się do biura klientów.</w:t>
      </w:r>
    </w:p>
    <w:p w:rsidR="00B86812" w:rsidRPr="00E00B35" w:rsidRDefault="00B86812" w:rsidP="00E00B35">
      <w:pPr>
        <w:spacing w:after="0" w:line="312" w:lineRule="auto"/>
        <w:rPr>
          <w:szCs w:val="20"/>
        </w:rPr>
      </w:pPr>
    </w:p>
    <w:p w:rsidR="00B86812" w:rsidRPr="00E00B35" w:rsidRDefault="00B86812" w:rsidP="00E00B35">
      <w:pPr>
        <w:pStyle w:val="Nagwek4"/>
        <w:spacing w:before="0" w:after="0" w:line="312" w:lineRule="auto"/>
        <w:rPr>
          <w:sz w:val="20"/>
          <w:szCs w:val="20"/>
        </w:rPr>
      </w:pPr>
      <w:r w:rsidRPr="00E00B35">
        <w:rPr>
          <w:sz w:val="20"/>
          <w:szCs w:val="20"/>
        </w:rPr>
        <w:t>PODSUMOWANIE</w:t>
      </w:r>
    </w:p>
    <w:p w:rsidR="00B86812" w:rsidRPr="00E00B35" w:rsidRDefault="00B86812" w:rsidP="00E00B35">
      <w:pPr>
        <w:spacing w:after="0" w:line="312" w:lineRule="auto"/>
        <w:rPr>
          <w:szCs w:val="20"/>
        </w:rPr>
      </w:pPr>
      <w:r w:rsidRPr="00E00B35">
        <w:rPr>
          <w:szCs w:val="20"/>
        </w:rPr>
        <w:t>W 2020 roku podjęto działania edukacyjne nakierowane na potrzeby niemal wszystkich grup konsumentów – w różnym wieku i o różnym poziomie wiedzy i świadomości, jednocześnie ich forma została dostosowana do okoliczności związanych z wprowadzeniem stanu epidemiologicznego, a co się z tym wiąże, nieudzielaniem porad bezpośrednich od dnia 16.03.2020 r. do odwołania.</w:t>
      </w:r>
    </w:p>
    <w:p w:rsidR="00B86812" w:rsidRPr="00E00B35" w:rsidRDefault="00B86812" w:rsidP="00E00B35">
      <w:pPr>
        <w:spacing w:after="0" w:line="312" w:lineRule="auto"/>
        <w:rPr>
          <w:szCs w:val="20"/>
        </w:rPr>
      </w:pPr>
      <w:r w:rsidRPr="00E00B35">
        <w:rPr>
          <w:szCs w:val="20"/>
        </w:rPr>
        <w:t xml:space="preserve">Rok sprawozdawczy jest szczególnym rokiem dla całego urzędu, a co za tym idzie dla Biura Rzecznika, który poza świadczeniem usług, tj. poradnictwa na rzecz Mieszkańców Miasta Wrocławia, i występowaniu w ich imieniu, w ramach przyznanych ustawowo kompetencji, również zajmuje się edukacją konsumencką, która wykonywana w formie telefonicznej i pisemnej wymagała poświecenia większej ilości czasu, zwłaszcza w przypadku seniorów i osób obcojęzycznych. Również praca związana z analizą wpływających wniosków, niejednokrotnie niekompletnych, niezawierających wymaganych, podstawowych dokumentów dla dokonania analizy w zgłaszanych sprawach, w zaistniałej sytuacji, wymagała nie tylko, przekazania informacji o konieczności uzupełnienia dokumentacji, ale również zawierała próbę udzielenia porady prawnej na temat dalszych kroków; niejednokrotnie na podstawie ograniczonych informacji, co wymagało przedstawienia różnych rozwiązań dla danej sprawy, uwzględniających, wszystkie potencjalne ewentualności i zawiłości sprawy. Zauważyć można było, że wiele zapytań zostało skierowanych do Biura Rzecznika w formie elektronicznej (e-mail, ePUAP), które niejednokrotnie pisane były pod wpływem ogromnych emocji, związanych z trudną i nagłą sytuacją w jakiej znaleźli się konsumenci, co tym samym sprawiało, że praca nad sprawą, wymagała większego zaangażowania czasowego. Zauważono, że w roku sprawozdawczym w porównaniu do 2019 r. nastąpił niewielki spadek wpływu spraw, powyższe wynikać może ze zmiany organizacji pracy, w tym wstrzymanie do odwołania porad bezpośrednich, jak również rodzaju spraw, z jakimi zwracali się ze skargami konsumenci. Jak zostało wskazane, zmniejszyła się ilość przeprowadzanych na terenie miasta Wrocławia prezentacji, w związku z tym analogicznie powstało mniej sporów na tle zawartych umów, których głównymi </w:t>
      </w:r>
      <w:r w:rsidRPr="00E00B35">
        <w:rPr>
          <w:szCs w:val="20"/>
        </w:rPr>
        <w:lastRenderedPageBreak/>
        <w:t xml:space="preserve">odbiorcami były osoby w podeszłym wieku, niejednokrotnie nierozumiejące zawiłości prawnych. Średnio każdy z 5-ciu pracowników obsłużył blisko 1.650 zgłoszeń konsumenckich. </w:t>
      </w:r>
    </w:p>
    <w:p w:rsidR="00B86812" w:rsidRPr="00E00B35" w:rsidRDefault="00B86812" w:rsidP="00E00B35">
      <w:pPr>
        <w:spacing w:after="0" w:line="312" w:lineRule="auto"/>
        <w:rPr>
          <w:szCs w:val="20"/>
        </w:rPr>
      </w:pPr>
    </w:p>
    <w:p w:rsidR="00B86812" w:rsidRPr="00E00B35" w:rsidRDefault="00B86812" w:rsidP="00E00B35">
      <w:pPr>
        <w:pStyle w:val="Nagwek4"/>
        <w:spacing w:before="0" w:after="0" w:line="312" w:lineRule="auto"/>
        <w:rPr>
          <w:sz w:val="20"/>
          <w:szCs w:val="20"/>
        </w:rPr>
      </w:pPr>
      <w:r w:rsidRPr="00E00B35">
        <w:rPr>
          <w:sz w:val="20"/>
          <w:szCs w:val="20"/>
        </w:rPr>
        <w:t>INFORMACJA NA TEMAT DECYZJI ADMINSTRACYJNYCH</w:t>
      </w:r>
    </w:p>
    <w:p w:rsidR="00B86812" w:rsidRPr="00E00B35" w:rsidRDefault="00B86812" w:rsidP="00E00B35">
      <w:pPr>
        <w:spacing w:after="0" w:line="312" w:lineRule="auto"/>
        <w:rPr>
          <w:szCs w:val="20"/>
        </w:rPr>
      </w:pPr>
      <w:r w:rsidRPr="00E00B35">
        <w:rPr>
          <w:szCs w:val="20"/>
        </w:rPr>
        <w:t xml:space="preserve">Do działalności rzeczników konsumentów nie stosuje się przepisów kodeksu postępowania administracyjnego, tym samym nie wydają oni decyzji administracyjnych w sprawach konsumenckich, prowadzonych w obszarze prawa cywilnego. </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b/>
          <w:bCs/>
          <w:iCs/>
          <w:szCs w:val="20"/>
        </w:rPr>
      </w:pPr>
      <w:r w:rsidRPr="00E00B35">
        <w:rPr>
          <w:b/>
          <w:bCs/>
          <w:iCs/>
          <w:szCs w:val="20"/>
        </w:rPr>
        <w:t>Akty prawne wydane przez Radę Miejską Wrocławia</w:t>
      </w:r>
    </w:p>
    <w:p w:rsidR="00B86812" w:rsidRPr="00E00B35" w:rsidRDefault="00B86812" w:rsidP="00E00B35">
      <w:pPr>
        <w:spacing w:after="0" w:line="312" w:lineRule="auto"/>
        <w:rPr>
          <w:szCs w:val="20"/>
        </w:rPr>
      </w:pPr>
      <w:r w:rsidRPr="00E00B35">
        <w:rPr>
          <w:b/>
          <w:szCs w:val="20"/>
        </w:rPr>
        <w:t>W 2020 r. Rada Miejska</w:t>
      </w:r>
      <w:r w:rsidRPr="00E00B35">
        <w:rPr>
          <w:szCs w:val="20"/>
        </w:rPr>
        <w:t xml:space="preserve"> obradowała na </w:t>
      </w:r>
      <w:r w:rsidRPr="00E00B35">
        <w:rPr>
          <w:rStyle w:val="Pogrubienie"/>
          <w:rFonts w:eastAsia="font415"/>
          <w:szCs w:val="20"/>
        </w:rPr>
        <w:t>15 sesjach, w tym:  3  nadzwyczajne,                1 uroczysta oraz 9 zorganizowano w trybie zdalnym – korespondencyjnym z uwagi na epidemię Covid -19;</w:t>
      </w:r>
      <w:r w:rsidRPr="00E00B35">
        <w:rPr>
          <w:b/>
          <w:szCs w:val="20"/>
        </w:rPr>
        <w:t xml:space="preserve"> </w:t>
      </w:r>
      <w:r w:rsidRPr="00E00B35">
        <w:rPr>
          <w:szCs w:val="20"/>
        </w:rPr>
        <w:t>na których</w:t>
      </w:r>
      <w:r w:rsidRPr="00E00B35">
        <w:rPr>
          <w:b/>
          <w:szCs w:val="20"/>
        </w:rPr>
        <w:t xml:space="preserve"> </w:t>
      </w:r>
      <w:r w:rsidRPr="00E00B35">
        <w:rPr>
          <w:szCs w:val="20"/>
        </w:rPr>
        <w:t xml:space="preserve">uchwaliła łącznie </w:t>
      </w:r>
      <w:r w:rsidRPr="00E00B35">
        <w:rPr>
          <w:b/>
          <w:szCs w:val="20"/>
        </w:rPr>
        <w:t>352 akty prawne</w:t>
      </w:r>
      <w:r w:rsidRPr="00E00B35">
        <w:rPr>
          <w:szCs w:val="20"/>
        </w:rPr>
        <w:t>, w tym:</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346 uchwał</w:t>
      </w:r>
      <w:r w:rsidRPr="00E00B35">
        <w:rPr>
          <w:szCs w:val="20"/>
        </w:rPr>
        <w:t xml:space="preserve">, </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2 apele</w:t>
      </w:r>
      <w:r w:rsidRPr="00E00B35">
        <w:rPr>
          <w:szCs w:val="20"/>
        </w:rPr>
        <w:t xml:space="preserve"> (o przesunięcie terminu wyborów prezydenckich i o poszanowanie praw kobiet),</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4 rezolucje</w:t>
      </w:r>
      <w:r w:rsidRPr="00E00B35">
        <w:rPr>
          <w:szCs w:val="20"/>
        </w:rPr>
        <w:t xml:space="preserve"> (o ustanowieniu roku 2020 Rokiem Profesorów Lwowskich i roku 2021 Rokiem Tadeusza Różewicza, uhonorowaniu ofiar katastrofy lotniczej pod Smoleńskiem, upamiętnieniu 30. rocznicy pierwszych wolnych wyborów samorządowych).</w:t>
      </w:r>
    </w:p>
    <w:p w:rsidR="00B86812" w:rsidRPr="00E00B35" w:rsidRDefault="00B86812" w:rsidP="00E00B35">
      <w:pPr>
        <w:tabs>
          <w:tab w:val="left" w:pos="8789"/>
        </w:tabs>
        <w:spacing w:after="0" w:line="312" w:lineRule="auto"/>
        <w:rPr>
          <w:szCs w:val="20"/>
        </w:rPr>
      </w:pPr>
    </w:p>
    <w:p w:rsidR="00B86812" w:rsidRPr="00E00B35" w:rsidRDefault="00B86812" w:rsidP="00E00B35">
      <w:pPr>
        <w:tabs>
          <w:tab w:val="left" w:pos="8789"/>
        </w:tabs>
        <w:spacing w:after="0" w:line="312" w:lineRule="auto"/>
        <w:rPr>
          <w:szCs w:val="20"/>
        </w:rPr>
      </w:pPr>
      <w:r w:rsidRPr="00E00B35">
        <w:rPr>
          <w:szCs w:val="20"/>
        </w:rPr>
        <w:t>Zestawienie wydanych przez Radę Miejską aktów prawnych w obecnej kadencji</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tblPr>
      <w:tblGrid>
        <w:gridCol w:w="1823"/>
        <w:gridCol w:w="1394"/>
        <w:gridCol w:w="1655"/>
        <w:gridCol w:w="1383"/>
        <w:gridCol w:w="1384"/>
        <w:gridCol w:w="1271"/>
      </w:tblGrid>
      <w:tr w:rsidR="00B86812" w:rsidRPr="00E00B35" w:rsidTr="00F90072">
        <w:trPr>
          <w:tblHeader/>
          <w:jc w:val="center"/>
        </w:trPr>
        <w:tc>
          <w:tcPr>
            <w:tcW w:w="1823" w:type="dxa"/>
            <w:vMerge w:val="restart"/>
            <w:tcBorders>
              <w:top w:val="single" w:sz="12" w:space="0" w:color="auto"/>
              <w:bottom w:val="single" w:sz="6" w:space="0" w:color="auto"/>
            </w:tcBorders>
            <w:shd w:val="clear" w:color="auto" w:fill="auto"/>
            <w:vAlign w:val="center"/>
          </w:tcPr>
          <w:p w:rsidR="00B86812" w:rsidRPr="00E00B35" w:rsidRDefault="00B86812" w:rsidP="00E00B35">
            <w:pPr>
              <w:spacing w:after="0" w:line="312" w:lineRule="auto"/>
              <w:rPr>
                <w:bCs/>
                <w:szCs w:val="20"/>
              </w:rPr>
            </w:pPr>
            <w:r w:rsidRPr="00E00B35">
              <w:rPr>
                <w:bCs/>
                <w:szCs w:val="20"/>
              </w:rPr>
              <w:t>ROK</w:t>
            </w:r>
          </w:p>
        </w:tc>
        <w:tc>
          <w:tcPr>
            <w:tcW w:w="1394" w:type="dxa"/>
            <w:vMerge w:val="restart"/>
            <w:tcBorders>
              <w:top w:val="single" w:sz="12" w:space="0" w:color="auto"/>
              <w:bottom w:val="single" w:sz="6" w:space="0" w:color="auto"/>
            </w:tcBorders>
            <w:shd w:val="clear" w:color="auto" w:fill="auto"/>
            <w:vAlign w:val="center"/>
          </w:tcPr>
          <w:p w:rsidR="00B86812" w:rsidRPr="00E00B35" w:rsidRDefault="00B86812" w:rsidP="00E00B35">
            <w:pPr>
              <w:spacing w:after="0" w:line="312" w:lineRule="auto"/>
              <w:rPr>
                <w:bCs/>
                <w:szCs w:val="20"/>
              </w:rPr>
            </w:pPr>
            <w:r w:rsidRPr="00E00B35">
              <w:rPr>
                <w:bCs/>
                <w:szCs w:val="20"/>
              </w:rPr>
              <w:t>Ogółem</w:t>
            </w:r>
          </w:p>
        </w:tc>
        <w:tc>
          <w:tcPr>
            <w:tcW w:w="5693" w:type="dxa"/>
            <w:gridSpan w:val="4"/>
            <w:tcBorders>
              <w:top w:val="single" w:sz="12" w:space="0" w:color="auto"/>
              <w:bottom w:val="single" w:sz="6" w:space="0" w:color="auto"/>
            </w:tcBorders>
            <w:shd w:val="clear" w:color="auto" w:fill="auto"/>
            <w:vAlign w:val="center"/>
          </w:tcPr>
          <w:p w:rsidR="00B86812" w:rsidRPr="00E00B35" w:rsidRDefault="00B86812" w:rsidP="00E00B35">
            <w:pPr>
              <w:spacing w:after="0" w:line="312" w:lineRule="auto"/>
              <w:rPr>
                <w:bCs/>
                <w:szCs w:val="20"/>
              </w:rPr>
            </w:pPr>
            <w:r w:rsidRPr="00E00B35">
              <w:rPr>
                <w:bCs/>
                <w:szCs w:val="20"/>
              </w:rPr>
              <w:t>w tym:</w:t>
            </w:r>
          </w:p>
        </w:tc>
      </w:tr>
      <w:tr w:rsidR="00B86812" w:rsidRPr="00E00B35" w:rsidTr="00F90072">
        <w:trPr>
          <w:tblHeader/>
          <w:jc w:val="center"/>
        </w:trPr>
        <w:tc>
          <w:tcPr>
            <w:tcW w:w="1823" w:type="dxa"/>
            <w:vMerge/>
            <w:tcBorders>
              <w:top w:val="single" w:sz="6" w:space="0" w:color="auto"/>
              <w:bottom w:val="single" w:sz="12" w:space="0" w:color="auto"/>
            </w:tcBorders>
            <w:shd w:val="clear" w:color="auto" w:fill="auto"/>
            <w:vAlign w:val="center"/>
          </w:tcPr>
          <w:p w:rsidR="00B86812" w:rsidRPr="00E00B35" w:rsidRDefault="00B86812" w:rsidP="00E00B35">
            <w:pPr>
              <w:spacing w:after="0" w:line="312" w:lineRule="auto"/>
              <w:rPr>
                <w:b/>
                <w:bCs/>
                <w:szCs w:val="20"/>
              </w:rPr>
            </w:pPr>
          </w:p>
        </w:tc>
        <w:tc>
          <w:tcPr>
            <w:tcW w:w="1394" w:type="dxa"/>
            <w:vMerge/>
            <w:tcBorders>
              <w:top w:val="single" w:sz="6" w:space="0" w:color="auto"/>
              <w:bottom w:val="single" w:sz="12" w:space="0" w:color="auto"/>
            </w:tcBorders>
            <w:shd w:val="clear" w:color="auto" w:fill="auto"/>
            <w:vAlign w:val="center"/>
          </w:tcPr>
          <w:p w:rsidR="00B86812" w:rsidRPr="00E00B35" w:rsidRDefault="00B86812" w:rsidP="00E00B35">
            <w:pPr>
              <w:spacing w:after="0" w:line="312" w:lineRule="auto"/>
              <w:rPr>
                <w:b/>
                <w:bCs/>
                <w:szCs w:val="20"/>
              </w:rPr>
            </w:pPr>
          </w:p>
        </w:tc>
        <w:tc>
          <w:tcPr>
            <w:tcW w:w="1655" w:type="dxa"/>
            <w:tcBorders>
              <w:top w:val="single" w:sz="6" w:space="0" w:color="auto"/>
              <w:bottom w:val="single" w:sz="12" w:space="0" w:color="auto"/>
            </w:tcBorders>
            <w:shd w:val="clear" w:color="auto" w:fill="auto"/>
            <w:vAlign w:val="center"/>
          </w:tcPr>
          <w:p w:rsidR="00B86812" w:rsidRPr="00E00B35" w:rsidRDefault="00B86812" w:rsidP="00E00B35">
            <w:pPr>
              <w:spacing w:after="0" w:line="312" w:lineRule="auto"/>
              <w:rPr>
                <w:bCs/>
                <w:szCs w:val="20"/>
              </w:rPr>
            </w:pPr>
            <w:r w:rsidRPr="00E00B35">
              <w:rPr>
                <w:bCs/>
                <w:szCs w:val="20"/>
              </w:rPr>
              <w:t>uchwały</w:t>
            </w:r>
          </w:p>
        </w:tc>
        <w:tc>
          <w:tcPr>
            <w:tcW w:w="1383" w:type="dxa"/>
            <w:tcBorders>
              <w:top w:val="single" w:sz="6" w:space="0" w:color="auto"/>
              <w:bottom w:val="single" w:sz="12" w:space="0" w:color="auto"/>
            </w:tcBorders>
            <w:shd w:val="clear" w:color="auto" w:fill="auto"/>
            <w:vAlign w:val="center"/>
          </w:tcPr>
          <w:p w:rsidR="00B86812" w:rsidRPr="00E00B35" w:rsidRDefault="00B86812" w:rsidP="00E00B35">
            <w:pPr>
              <w:spacing w:after="0" w:line="312" w:lineRule="auto"/>
              <w:rPr>
                <w:bCs/>
                <w:szCs w:val="20"/>
              </w:rPr>
            </w:pPr>
            <w:r w:rsidRPr="00E00B35">
              <w:rPr>
                <w:bCs/>
                <w:szCs w:val="20"/>
              </w:rPr>
              <w:t>apele</w:t>
            </w:r>
          </w:p>
        </w:tc>
        <w:tc>
          <w:tcPr>
            <w:tcW w:w="1384" w:type="dxa"/>
            <w:tcBorders>
              <w:top w:val="single" w:sz="6" w:space="0" w:color="auto"/>
              <w:bottom w:val="single" w:sz="12" w:space="0" w:color="auto"/>
            </w:tcBorders>
            <w:shd w:val="clear" w:color="auto" w:fill="auto"/>
            <w:vAlign w:val="center"/>
          </w:tcPr>
          <w:p w:rsidR="00B86812" w:rsidRPr="00E00B35" w:rsidRDefault="00B86812" w:rsidP="00E00B35">
            <w:pPr>
              <w:spacing w:after="0" w:line="312" w:lineRule="auto"/>
              <w:rPr>
                <w:bCs/>
                <w:szCs w:val="20"/>
              </w:rPr>
            </w:pPr>
            <w:r w:rsidRPr="00E00B35">
              <w:rPr>
                <w:bCs/>
                <w:szCs w:val="20"/>
              </w:rPr>
              <w:t>stanowiska</w:t>
            </w:r>
          </w:p>
        </w:tc>
        <w:tc>
          <w:tcPr>
            <w:tcW w:w="1271" w:type="dxa"/>
            <w:tcBorders>
              <w:top w:val="single" w:sz="6" w:space="0" w:color="auto"/>
              <w:bottom w:val="single" w:sz="12" w:space="0" w:color="auto"/>
            </w:tcBorders>
            <w:shd w:val="clear" w:color="auto" w:fill="auto"/>
            <w:vAlign w:val="center"/>
          </w:tcPr>
          <w:p w:rsidR="00B86812" w:rsidRPr="00E00B35" w:rsidRDefault="00B86812" w:rsidP="00E00B35">
            <w:pPr>
              <w:spacing w:after="0" w:line="312" w:lineRule="auto"/>
              <w:rPr>
                <w:bCs/>
                <w:szCs w:val="20"/>
              </w:rPr>
            </w:pPr>
            <w:r w:rsidRPr="00E00B35">
              <w:rPr>
                <w:bCs/>
                <w:szCs w:val="20"/>
              </w:rPr>
              <w:t>rezolucje</w:t>
            </w:r>
          </w:p>
        </w:tc>
      </w:tr>
      <w:tr w:rsidR="00B86812" w:rsidRPr="00E00B35" w:rsidTr="00B86812">
        <w:trPr>
          <w:jc w:val="center"/>
        </w:trPr>
        <w:tc>
          <w:tcPr>
            <w:tcW w:w="8910" w:type="dxa"/>
            <w:gridSpan w:val="6"/>
            <w:tcBorders>
              <w:top w:val="single" w:sz="12" w:space="0" w:color="auto"/>
            </w:tcBorders>
            <w:shd w:val="clear" w:color="auto" w:fill="auto"/>
            <w:vAlign w:val="center"/>
          </w:tcPr>
          <w:p w:rsidR="00B86812" w:rsidRPr="00E00B35" w:rsidRDefault="00B86812" w:rsidP="00E00B35">
            <w:pPr>
              <w:spacing w:after="0" w:line="312" w:lineRule="auto"/>
              <w:rPr>
                <w:b/>
                <w:bCs/>
                <w:szCs w:val="20"/>
              </w:rPr>
            </w:pPr>
            <w:r w:rsidRPr="00E00B35">
              <w:rPr>
                <w:b/>
                <w:bCs/>
                <w:szCs w:val="20"/>
              </w:rPr>
              <w:t>Kadencja VIII (2018-2023)</w:t>
            </w:r>
          </w:p>
        </w:tc>
      </w:tr>
      <w:tr w:rsidR="00B86812" w:rsidRPr="00E00B35" w:rsidTr="00B86812">
        <w:trPr>
          <w:jc w:val="center"/>
        </w:trPr>
        <w:tc>
          <w:tcPr>
            <w:tcW w:w="1823" w:type="dxa"/>
            <w:shd w:val="clear" w:color="auto" w:fill="auto"/>
            <w:vAlign w:val="center"/>
          </w:tcPr>
          <w:p w:rsidR="00B86812" w:rsidRPr="00E00B35" w:rsidRDefault="00B86812" w:rsidP="00E00B35">
            <w:pPr>
              <w:spacing w:after="0" w:line="312" w:lineRule="auto"/>
              <w:rPr>
                <w:bCs/>
                <w:szCs w:val="20"/>
              </w:rPr>
            </w:pPr>
            <w:r w:rsidRPr="00E00B35">
              <w:rPr>
                <w:bCs/>
                <w:szCs w:val="20"/>
              </w:rPr>
              <w:t xml:space="preserve">2018 </w:t>
            </w:r>
          </w:p>
        </w:tc>
        <w:tc>
          <w:tcPr>
            <w:tcW w:w="1394" w:type="dxa"/>
            <w:shd w:val="clear" w:color="auto" w:fill="auto"/>
            <w:vAlign w:val="center"/>
          </w:tcPr>
          <w:p w:rsidR="00B86812" w:rsidRPr="00E00B35" w:rsidRDefault="00B86812" w:rsidP="00E00B35">
            <w:pPr>
              <w:spacing w:after="0" w:line="312" w:lineRule="auto"/>
              <w:rPr>
                <w:bCs/>
                <w:szCs w:val="20"/>
              </w:rPr>
            </w:pPr>
            <w:r w:rsidRPr="00E00B35">
              <w:rPr>
                <w:bCs/>
                <w:szCs w:val="20"/>
              </w:rPr>
              <w:t>44</w:t>
            </w:r>
          </w:p>
        </w:tc>
        <w:tc>
          <w:tcPr>
            <w:tcW w:w="1655" w:type="dxa"/>
            <w:shd w:val="clear" w:color="auto" w:fill="auto"/>
            <w:vAlign w:val="center"/>
          </w:tcPr>
          <w:p w:rsidR="00B86812" w:rsidRPr="00E00B35" w:rsidRDefault="00B86812" w:rsidP="00E00B35">
            <w:pPr>
              <w:spacing w:after="0" w:line="312" w:lineRule="auto"/>
              <w:rPr>
                <w:bCs/>
                <w:szCs w:val="20"/>
              </w:rPr>
            </w:pPr>
            <w:r w:rsidRPr="00E00B35">
              <w:rPr>
                <w:bCs/>
                <w:szCs w:val="20"/>
              </w:rPr>
              <w:t>43</w:t>
            </w:r>
          </w:p>
        </w:tc>
        <w:tc>
          <w:tcPr>
            <w:tcW w:w="1383" w:type="dxa"/>
            <w:shd w:val="clear" w:color="auto" w:fill="auto"/>
            <w:vAlign w:val="center"/>
          </w:tcPr>
          <w:p w:rsidR="00B86812" w:rsidRPr="00E00B35" w:rsidRDefault="00B86812" w:rsidP="00E00B35">
            <w:pPr>
              <w:spacing w:after="0" w:line="312" w:lineRule="auto"/>
              <w:rPr>
                <w:bCs/>
                <w:szCs w:val="20"/>
              </w:rPr>
            </w:pPr>
            <w:r w:rsidRPr="00E00B35">
              <w:rPr>
                <w:bCs/>
                <w:szCs w:val="20"/>
              </w:rPr>
              <w:t>1</w:t>
            </w:r>
          </w:p>
        </w:tc>
        <w:tc>
          <w:tcPr>
            <w:tcW w:w="1384" w:type="dxa"/>
            <w:shd w:val="clear" w:color="auto" w:fill="auto"/>
            <w:vAlign w:val="center"/>
          </w:tcPr>
          <w:p w:rsidR="00B86812" w:rsidRPr="00E00B35" w:rsidRDefault="00B86812" w:rsidP="00E00B35">
            <w:pPr>
              <w:spacing w:after="0" w:line="312" w:lineRule="auto"/>
              <w:rPr>
                <w:bCs/>
                <w:szCs w:val="20"/>
              </w:rPr>
            </w:pPr>
            <w:r w:rsidRPr="00E00B35">
              <w:rPr>
                <w:bCs/>
                <w:szCs w:val="20"/>
              </w:rPr>
              <w:t>-</w:t>
            </w:r>
          </w:p>
        </w:tc>
        <w:tc>
          <w:tcPr>
            <w:tcW w:w="1271" w:type="dxa"/>
            <w:shd w:val="clear" w:color="auto" w:fill="auto"/>
            <w:vAlign w:val="center"/>
          </w:tcPr>
          <w:p w:rsidR="00B86812" w:rsidRPr="00E00B35" w:rsidRDefault="00B86812" w:rsidP="00E00B35">
            <w:pPr>
              <w:spacing w:after="0" w:line="312" w:lineRule="auto"/>
              <w:rPr>
                <w:bCs/>
                <w:szCs w:val="20"/>
              </w:rPr>
            </w:pPr>
            <w:r w:rsidRPr="00E00B35">
              <w:rPr>
                <w:bCs/>
                <w:szCs w:val="20"/>
              </w:rPr>
              <w:t>-</w:t>
            </w:r>
          </w:p>
        </w:tc>
      </w:tr>
      <w:tr w:rsidR="00B86812" w:rsidRPr="00E00B35" w:rsidTr="00B86812">
        <w:trPr>
          <w:jc w:val="center"/>
        </w:trPr>
        <w:tc>
          <w:tcPr>
            <w:tcW w:w="1823" w:type="dxa"/>
            <w:shd w:val="clear" w:color="auto" w:fill="auto"/>
            <w:vAlign w:val="center"/>
          </w:tcPr>
          <w:p w:rsidR="00B86812" w:rsidRPr="00E00B35" w:rsidRDefault="00B86812" w:rsidP="00E00B35">
            <w:pPr>
              <w:spacing w:after="0" w:line="312" w:lineRule="auto"/>
              <w:rPr>
                <w:bCs/>
                <w:szCs w:val="20"/>
              </w:rPr>
            </w:pPr>
            <w:r w:rsidRPr="00E00B35">
              <w:rPr>
                <w:bCs/>
                <w:szCs w:val="20"/>
              </w:rPr>
              <w:t>2019</w:t>
            </w:r>
          </w:p>
        </w:tc>
        <w:tc>
          <w:tcPr>
            <w:tcW w:w="1394" w:type="dxa"/>
            <w:shd w:val="clear" w:color="auto" w:fill="auto"/>
            <w:vAlign w:val="center"/>
          </w:tcPr>
          <w:p w:rsidR="00B86812" w:rsidRPr="00E00B35" w:rsidRDefault="00B86812" w:rsidP="00E00B35">
            <w:pPr>
              <w:spacing w:after="0" w:line="312" w:lineRule="auto"/>
              <w:rPr>
                <w:bCs/>
                <w:szCs w:val="20"/>
              </w:rPr>
            </w:pPr>
            <w:r w:rsidRPr="00E00B35">
              <w:rPr>
                <w:bCs/>
                <w:szCs w:val="20"/>
              </w:rPr>
              <w:t>450</w:t>
            </w:r>
          </w:p>
        </w:tc>
        <w:tc>
          <w:tcPr>
            <w:tcW w:w="1655" w:type="dxa"/>
            <w:shd w:val="clear" w:color="auto" w:fill="auto"/>
            <w:vAlign w:val="center"/>
          </w:tcPr>
          <w:p w:rsidR="00B86812" w:rsidRPr="00E00B35" w:rsidRDefault="00B86812" w:rsidP="00E00B35">
            <w:pPr>
              <w:spacing w:after="0" w:line="312" w:lineRule="auto"/>
              <w:rPr>
                <w:bCs/>
                <w:szCs w:val="20"/>
              </w:rPr>
            </w:pPr>
            <w:r w:rsidRPr="00E00B35">
              <w:rPr>
                <w:bCs/>
                <w:szCs w:val="20"/>
              </w:rPr>
              <w:t>444</w:t>
            </w:r>
          </w:p>
        </w:tc>
        <w:tc>
          <w:tcPr>
            <w:tcW w:w="1383" w:type="dxa"/>
            <w:shd w:val="clear" w:color="auto" w:fill="auto"/>
            <w:vAlign w:val="center"/>
          </w:tcPr>
          <w:p w:rsidR="00B86812" w:rsidRPr="00E00B35" w:rsidRDefault="00B86812" w:rsidP="00E00B35">
            <w:pPr>
              <w:spacing w:after="0" w:line="312" w:lineRule="auto"/>
              <w:rPr>
                <w:bCs/>
                <w:szCs w:val="20"/>
              </w:rPr>
            </w:pPr>
            <w:r w:rsidRPr="00E00B35">
              <w:rPr>
                <w:bCs/>
                <w:szCs w:val="20"/>
              </w:rPr>
              <w:t>2</w:t>
            </w:r>
          </w:p>
        </w:tc>
        <w:tc>
          <w:tcPr>
            <w:tcW w:w="1384" w:type="dxa"/>
            <w:shd w:val="clear" w:color="auto" w:fill="auto"/>
            <w:vAlign w:val="center"/>
          </w:tcPr>
          <w:p w:rsidR="00B86812" w:rsidRPr="00E00B35" w:rsidRDefault="00B86812" w:rsidP="00E00B35">
            <w:pPr>
              <w:spacing w:after="0" w:line="312" w:lineRule="auto"/>
              <w:rPr>
                <w:bCs/>
                <w:szCs w:val="20"/>
              </w:rPr>
            </w:pPr>
            <w:r w:rsidRPr="00E00B35">
              <w:rPr>
                <w:bCs/>
                <w:szCs w:val="20"/>
              </w:rPr>
              <w:t>4</w:t>
            </w:r>
          </w:p>
        </w:tc>
        <w:tc>
          <w:tcPr>
            <w:tcW w:w="1271" w:type="dxa"/>
            <w:shd w:val="clear" w:color="auto" w:fill="auto"/>
            <w:vAlign w:val="center"/>
          </w:tcPr>
          <w:p w:rsidR="00B86812" w:rsidRPr="00E00B35" w:rsidRDefault="00B86812" w:rsidP="00E00B35">
            <w:pPr>
              <w:spacing w:after="0" w:line="312" w:lineRule="auto"/>
              <w:rPr>
                <w:bCs/>
                <w:szCs w:val="20"/>
              </w:rPr>
            </w:pPr>
            <w:r w:rsidRPr="00E00B35">
              <w:rPr>
                <w:bCs/>
                <w:szCs w:val="20"/>
              </w:rPr>
              <w:t>-</w:t>
            </w:r>
          </w:p>
        </w:tc>
      </w:tr>
      <w:tr w:rsidR="00B86812" w:rsidRPr="00E00B35" w:rsidTr="00B86812">
        <w:trPr>
          <w:jc w:val="center"/>
        </w:trPr>
        <w:tc>
          <w:tcPr>
            <w:tcW w:w="1823" w:type="dxa"/>
            <w:shd w:val="clear" w:color="auto" w:fill="auto"/>
            <w:vAlign w:val="center"/>
          </w:tcPr>
          <w:p w:rsidR="00B86812" w:rsidRPr="00E00B35" w:rsidRDefault="00B86812" w:rsidP="00E00B35">
            <w:pPr>
              <w:spacing w:after="0" w:line="312" w:lineRule="auto"/>
              <w:rPr>
                <w:bCs/>
                <w:szCs w:val="20"/>
              </w:rPr>
            </w:pPr>
            <w:r w:rsidRPr="00E00B35">
              <w:rPr>
                <w:bCs/>
                <w:szCs w:val="20"/>
              </w:rPr>
              <w:t>2020</w:t>
            </w:r>
          </w:p>
        </w:tc>
        <w:tc>
          <w:tcPr>
            <w:tcW w:w="1394" w:type="dxa"/>
            <w:shd w:val="clear" w:color="auto" w:fill="auto"/>
            <w:vAlign w:val="center"/>
          </w:tcPr>
          <w:p w:rsidR="00B86812" w:rsidRPr="00E00B35" w:rsidRDefault="00B86812" w:rsidP="00E00B35">
            <w:pPr>
              <w:spacing w:after="0" w:line="312" w:lineRule="auto"/>
              <w:rPr>
                <w:bCs/>
                <w:szCs w:val="20"/>
              </w:rPr>
            </w:pPr>
            <w:r w:rsidRPr="00E00B35">
              <w:rPr>
                <w:bCs/>
                <w:szCs w:val="20"/>
              </w:rPr>
              <w:t>352</w:t>
            </w:r>
          </w:p>
        </w:tc>
        <w:tc>
          <w:tcPr>
            <w:tcW w:w="1655" w:type="dxa"/>
            <w:shd w:val="clear" w:color="auto" w:fill="auto"/>
            <w:vAlign w:val="center"/>
          </w:tcPr>
          <w:p w:rsidR="00B86812" w:rsidRPr="00E00B35" w:rsidRDefault="00B86812" w:rsidP="00E00B35">
            <w:pPr>
              <w:spacing w:after="0" w:line="312" w:lineRule="auto"/>
              <w:rPr>
                <w:bCs/>
                <w:szCs w:val="20"/>
              </w:rPr>
            </w:pPr>
            <w:r w:rsidRPr="00E00B35">
              <w:rPr>
                <w:bCs/>
                <w:szCs w:val="20"/>
              </w:rPr>
              <w:t>346</w:t>
            </w:r>
          </w:p>
        </w:tc>
        <w:tc>
          <w:tcPr>
            <w:tcW w:w="1383" w:type="dxa"/>
            <w:shd w:val="clear" w:color="auto" w:fill="auto"/>
            <w:vAlign w:val="center"/>
          </w:tcPr>
          <w:p w:rsidR="00B86812" w:rsidRPr="00E00B35" w:rsidRDefault="00B86812" w:rsidP="00E00B35">
            <w:pPr>
              <w:spacing w:after="0" w:line="312" w:lineRule="auto"/>
              <w:rPr>
                <w:bCs/>
                <w:szCs w:val="20"/>
              </w:rPr>
            </w:pPr>
            <w:r w:rsidRPr="00E00B35">
              <w:rPr>
                <w:bCs/>
                <w:szCs w:val="20"/>
              </w:rPr>
              <w:t>2</w:t>
            </w:r>
          </w:p>
        </w:tc>
        <w:tc>
          <w:tcPr>
            <w:tcW w:w="1384" w:type="dxa"/>
            <w:shd w:val="clear" w:color="auto" w:fill="auto"/>
            <w:vAlign w:val="center"/>
          </w:tcPr>
          <w:p w:rsidR="00B86812" w:rsidRPr="00E00B35" w:rsidRDefault="00B86812" w:rsidP="00E00B35">
            <w:pPr>
              <w:spacing w:after="0" w:line="312" w:lineRule="auto"/>
              <w:rPr>
                <w:bCs/>
                <w:szCs w:val="20"/>
              </w:rPr>
            </w:pPr>
            <w:r w:rsidRPr="00E00B35">
              <w:rPr>
                <w:bCs/>
                <w:szCs w:val="20"/>
              </w:rPr>
              <w:t>-</w:t>
            </w:r>
          </w:p>
        </w:tc>
        <w:tc>
          <w:tcPr>
            <w:tcW w:w="1271" w:type="dxa"/>
            <w:shd w:val="clear" w:color="auto" w:fill="auto"/>
            <w:vAlign w:val="center"/>
          </w:tcPr>
          <w:p w:rsidR="00B86812" w:rsidRPr="00E00B35" w:rsidRDefault="00B86812" w:rsidP="00E00B35">
            <w:pPr>
              <w:spacing w:after="0" w:line="312" w:lineRule="auto"/>
              <w:rPr>
                <w:bCs/>
                <w:szCs w:val="20"/>
              </w:rPr>
            </w:pPr>
            <w:r w:rsidRPr="00E00B35">
              <w:rPr>
                <w:bCs/>
                <w:szCs w:val="20"/>
              </w:rPr>
              <w:t>4</w:t>
            </w:r>
          </w:p>
        </w:tc>
      </w:tr>
      <w:tr w:rsidR="00B86812" w:rsidRPr="00E00B35" w:rsidTr="00B86812">
        <w:trPr>
          <w:jc w:val="center"/>
        </w:trPr>
        <w:tc>
          <w:tcPr>
            <w:tcW w:w="1823" w:type="dxa"/>
            <w:shd w:val="clear" w:color="auto" w:fill="auto"/>
            <w:vAlign w:val="center"/>
          </w:tcPr>
          <w:p w:rsidR="00B86812" w:rsidRPr="00E00B35" w:rsidRDefault="00B86812" w:rsidP="00E00B35">
            <w:pPr>
              <w:spacing w:after="0" w:line="312" w:lineRule="auto"/>
              <w:rPr>
                <w:b/>
                <w:bCs/>
                <w:szCs w:val="20"/>
              </w:rPr>
            </w:pPr>
            <w:r w:rsidRPr="00E00B35">
              <w:rPr>
                <w:b/>
                <w:bCs/>
                <w:szCs w:val="20"/>
              </w:rPr>
              <w:t>Ogółem</w:t>
            </w:r>
          </w:p>
        </w:tc>
        <w:tc>
          <w:tcPr>
            <w:tcW w:w="1394" w:type="dxa"/>
            <w:shd w:val="clear" w:color="auto" w:fill="auto"/>
            <w:vAlign w:val="center"/>
          </w:tcPr>
          <w:p w:rsidR="00B86812" w:rsidRPr="00E00B35" w:rsidRDefault="00B86812" w:rsidP="00E00B35">
            <w:pPr>
              <w:spacing w:after="0" w:line="312" w:lineRule="auto"/>
              <w:rPr>
                <w:b/>
                <w:bCs/>
                <w:szCs w:val="20"/>
              </w:rPr>
            </w:pPr>
            <w:r w:rsidRPr="00E00B35">
              <w:rPr>
                <w:b/>
                <w:bCs/>
                <w:szCs w:val="20"/>
              </w:rPr>
              <w:t>846</w:t>
            </w:r>
          </w:p>
        </w:tc>
        <w:tc>
          <w:tcPr>
            <w:tcW w:w="1655" w:type="dxa"/>
            <w:shd w:val="clear" w:color="auto" w:fill="auto"/>
            <w:vAlign w:val="center"/>
          </w:tcPr>
          <w:p w:rsidR="00B86812" w:rsidRPr="00E00B35" w:rsidRDefault="00B86812" w:rsidP="00E00B35">
            <w:pPr>
              <w:spacing w:after="0" w:line="312" w:lineRule="auto"/>
              <w:rPr>
                <w:b/>
                <w:bCs/>
                <w:szCs w:val="20"/>
              </w:rPr>
            </w:pPr>
            <w:r w:rsidRPr="00E00B35">
              <w:rPr>
                <w:b/>
                <w:bCs/>
                <w:szCs w:val="20"/>
              </w:rPr>
              <w:t>833</w:t>
            </w:r>
          </w:p>
        </w:tc>
        <w:tc>
          <w:tcPr>
            <w:tcW w:w="1383" w:type="dxa"/>
            <w:shd w:val="clear" w:color="auto" w:fill="auto"/>
            <w:vAlign w:val="center"/>
          </w:tcPr>
          <w:p w:rsidR="00B86812" w:rsidRPr="00E00B35" w:rsidRDefault="00B86812" w:rsidP="00E00B35">
            <w:pPr>
              <w:spacing w:after="0" w:line="312" w:lineRule="auto"/>
              <w:rPr>
                <w:b/>
                <w:bCs/>
                <w:szCs w:val="20"/>
              </w:rPr>
            </w:pPr>
            <w:r w:rsidRPr="00E00B35">
              <w:rPr>
                <w:b/>
                <w:bCs/>
                <w:szCs w:val="20"/>
              </w:rPr>
              <w:t>5</w:t>
            </w:r>
          </w:p>
        </w:tc>
        <w:tc>
          <w:tcPr>
            <w:tcW w:w="1384" w:type="dxa"/>
            <w:shd w:val="clear" w:color="auto" w:fill="auto"/>
            <w:vAlign w:val="center"/>
          </w:tcPr>
          <w:p w:rsidR="00B86812" w:rsidRPr="00E00B35" w:rsidRDefault="00B86812" w:rsidP="00E00B35">
            <w:pPr>
              <w:spacing w:after="0" w:line="312" w:lineRule="auto"/>
              <w:rPr>
                <w:b/>
                <w:bCs/>
                <w:szCs w:val="20"/>
              </w:rPr>
            </w:pPr>
            <w:r w:rsidRPr="00E00B35">
              <w:rPr>
                <w:b/>
                <w:bCs/>
                <w:szCs w:val="20"/>
              </w:rPr>
              <w:t>4</w:t>
            </w:r>
          </w:p>
        </w:tc>
        <w:tc>
          <w:tcPr>
            <w:tcW w:w="1271" w:type="dxa"/>
            <w:shd w:val="clear" w:color="auto" w:fill="auto"/>
            <w:vAlign w:val="center"/>
          </w:tcPr>
          <w:p w:rsidR="00B86812" w:rsidRPr="00E00B35" w:rsidRDefault="00B86812" w:rsidP="00E00B35">
            <w:pPr>
              <w:spacing w:after="0" w:line="312" w:lineRule="auto"/>
              <w:rPr>
                <w:b/>
                <w:bCs/>
                <w:szCs w:val="20"/>
              </w:rPr>
            </w:pPr>
            <w:r w:rsidRPr="00E00B35">
              <w:rPr>
                <w:b/>
                <w:bCs/>
                <w:szCs w:val="20"/>
              </w:rPr>
              <w:t>4</w:t>
            </w:r>
          </w:p>
        </w:tc>
      </w:tr>
    </w:tbl>
    <w:p w:rsidR="00B86812" w:rsidRPr="00E00B35" w:rsidRDefault="00B86812" w:rsidP="00E00B35">
      <w:pPr>
        <w:spacing w:after="0" w:line="312" w:lineRule="auto"/>
        <w:rPr>
          <w:szCs w:val="20"/>
        </w:rPr>
      </w:pPr>
      <w:r w:rsidRPr="00E00B35">
        <w:rPr>
          <w:szCs w:val="20"/>
        </w:rPr>
        <w:t>Źródło: UMW</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bCs/>
          <w:szCs w:val="20"/>
        </w:rPr>
      </w:pPr>
      <w:r w:rsidRPr="00E00B35">
        <w:rPr>
          <w:bCs/>
          <w:szCs w:val="20"/>
        </w:rPr>
        <w:t xml:space="preserve">Ponad 33% podjętych uchwał przedmiotowo obejmuje sprawy z zakresu </w:t>
      </w:r>
      <w:r w:rsidRPr="00E00B35">
        <w:rPr>
          <w:b/>
          <w:bCs/>
          <w:szCs w:val="20"/>
        </w:rPr>
        <w:t>ustroju, organizacji i zarządzania</w:t>
      </w:r>
      <w:r w:rsidRPr="00E00B35">
        <w:rPr>
          <w:bCs/>
          <w:szCs w:val="20"/>
        </w:rPr>
        <w:t xml:space="preserve">, z czego ponad połowa to uchwały rozpatrujące skargi powszechne na kierowników jednostek gminnych i Prezydenta Wrocławia (łącznie 51 uchwał), 5 petycji i 5 wniosków. Inne dotyczą: stwierdzenia wygaśnięcia mandatów radnych osiedlowych, zmian w składach osobowych komisji Rady, rozpatrzenia wezwań do usunięcia naruszenia prawa lub interesu prawnego uchwałami oraz skarg na uchwały a także niewnoszenia skarg na rozstrzygnięcia nadzorcze unieważniające nową uchwałę o strefach płatnego parkowania oraz częściowo unieważniające uchwałę o nadaniu imienia alei parkowej w zakresie ogłoszenia w wojewódzkim dzienniku urzędowym, planu kontroli Komisji Rewizyjnej, zmiany statutów osiedli, zmian w organizacji i statutach jednostek – Wrocławskiego Zespołu Żłobków, Centrum Usług Informatycznych, Powiatowego Urzędu Pracy, Wrocławskiego Zakładu Aktywności Zawodowej, zaopiniowania lokalizacji kasyna </w:t>
      </w:r>
      <w:r w:rsidRPr="00E00B35">
        <w:rPr>
          <w:bCs/>
          <w:szCs w:val="20"/>
        </w:rPr>
        <w:lastRenderedPageBreak/>
        <w:t xml:space="preserve">gry, wyznaczenia przedstawicieli Rady Miejskiej do Wrocławskiej Rady Działalności Pożytku Publicznego, udzielenia wotum zaufania Prezydentowi Wrocławia, </w:t>
      </w:r>
      <w:r w:rsidRPr="00E00B35">
        <w:rPr>
          <w:szCs w:val="20"/>
        </w:rPr>
        <w:t xml:space="preserve">przyjęcia Założeń polityki społeczno-gospodarczej Wrocławia na rok budżetowy 2021, </w:t>
      </w:r>
      <w:r w:rsidRPr="00E00B35">
        <w:rPr>
          <w:bCs/>
          <w:szCs w:val="20"/>
        </w:rPr>
        <w:t>tytułów i nagród przyznawanych przez władze miasta - przyznano tytuł Civitate Wratislaviensi Donatus wieloletniemu dyr. Muzeum Miejskiego Wrocławia Maciejowi Łagiewskiemu i pozbawiono tego tytułu Kardynała Henryka Gulbinowicza, przyznano Nagrody Wrocławia profesorom nauk medycznych Alicji Chybickiej i Piotrowi Szyberowi, Bogusławowi Danielewskiemu, profesorowi nauk chemicznych Marcinowi Drągowi oraz Wrocławskiemu Stowarzyszeniu Fortyfikacyjnemu.</w:t>
      </w:r>
    </w:p>
    <w:p w:rsidR="00B86812" w:rsidRPr="00E00B35" w:rsidRDefault="00B86812" w:rsidP="00E00B35">
      <w:pPr>
        <w:spacing w:after="0" w:line="312" w:lineRule="auto"/>
        <w:rPr>
          <w:bCs/>
          <w:szCs w:val="20"/>
        </w:rPr>
      </w:pPr>
    </w:p>
    <w:p w:rsidR="00B86812" w:rsidRPr="00E00B35" w:rsidRDefault="00B86812" w:rsidP="00E00B35">
      <w:pPr>
        <w:spacing w:after="0" w:line="312" w:lineRule="auto"/>
        <w:rPr>
          <w:bCs/>
          <w:szCs w:val="20"/>
        </w:rPr>
      </w:pPr>
      <w:r w:rsidRPr="00E00B35">
        <w:rPr>
          <w:bCs/>
          <w:szCs w:val="20"/>
        </w:rPr>
        <w:t>W ubiegłym roku w drodze uchwał między innymi:</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zdecydowano o podjęciu przez Wrocław współpracy ze społecznością miasta Cheongju oraz udzielono zgody na przystąpienie Wrocławia do międzynarodowych zrzeszeń: Europejskiej Koalicji Miast Przeciwko Rasizmowi, Globalnego Parlamentu Burmistrzów, Europejskiego Stowarzyszenia na Rzecz Demokracji Lokalnej,</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wyrażono wolę współdziałania Wrocławia z innymi gminami przy opracowywaniu Planu Zrównoważonej Mobilności dla Miejskiego Obszaru funkcjonalnego Wrocławia,</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na potrzeby Krajowego Programu Oczyszczania Ścieków Komunalnych postanowiono o zawarciu porozumienia międzygminnego pomiędzy Wrocławiem z pozostałymi gminami tworzącymi aglomerację Wrocław, tj. gminami: Czernica, Kobierzyce, Miękinia, Siechnice i Wisznia Mała przy realizacji zadania polegającego na przeglądzie obszaru i granic aglomeracji Wrocław oraz wyznaczono obszar i granice Aglomeracji Wrocław,</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podjęto decyzję o przekazaniu Gminie Długołęka realizacji zadania własnego Gminy Wrocław w zakresie opracowania dokumentacji projektowej oraz budowy chodnika w ul. Tarasa Szewczenki oraz o przejęciu przez Wrocław realizacji zadania własnego Województwa Dolnośląskiego w zakresie utrzymania odcinków drogi wojewódzkiej nr 372,</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znowelizowano zakres zadań przejętych przez Wrocław od Powiatu Wrocławskiego,</w:t>
      </w:r>
    </w:p>
    <w:p w:rsidR="00B86812" w:rsidRPr="00E00B35" w:rsidRDefault="00B86812" w:rsidP="00BC64AB">
      <w:pPr>
        <w:pStyle w:val="Akapitzlist"/>
        <w:numPr>
          <w:ilvl w:val="0"/>
          <w:numId w:val="296"/>
        </w:numPr>
        <w:spacing w:after="0" w:line="312" w:lineRule="auto"/>
        <w:ind w:left="426" w:hanging="426"/>
        <w:rPr>
          <w:szCs w:val="20"/>
        </w:rPr>
      </w:pPr>
      <w:r w:rsidRPr="00E00B35">
        <w:rPr>
          <w:szCs w:val="20"/>
        </w:rPr>
        <w:t>zdecydowano też o przystąpieniu Wrocławia do Wrocławskiej Spółdzielni Socjalnej.</w:t>
      </w:r>
    </w:p>
    <w:p w:rsidR="00B86812" w:rsidRPr="00E00B35" w:rsidRDefault="00B86812" w:rsidP="00E00B35">
      <w:pPr>
        <w:spacing w:after="0" w:line="312" w:lineRule="auto"/>
        <w:rPr>
          <w:bCs/>
          <w:szCs w:val="20"/>
        </w:rPr>
      </w:pPr>
    </w:p>
    <w:p w:rsidR="00B86812" w:rsidRPr="00E00B35" w:rsidRDefault="00B86812" w:rsidP="00E00B35">
      <w:pPr>
        <w:spacing w:after="0" w:line="312" w:lineRule="auto"/>
        <w:rPr>
          <w:bCs/>
          <w:szCs w:val="20"/>
        </w:rPr>
      </w:pPr>
      <w:r w:rsidRPr="00E00B35">
        <w:rPr>
          <w:bCs/>
          <w:szCs w:val="20"/>
        </w:rPr>
        <w:t xml:space="preserve">Przedmiotem około 26% uchwał są zagadnienia z zakresu </w:t>
      </w:r>
      <w:r w:rsidRPr="00E00B35">
        <w:rPr>
          <w:b/>
          <w:bCs/>
          <w:szCs w:val="20"/>
        </w:rPr>
        <w:t>planowania i zagospodarowania przestrzennego oraz ładu przestrzennego</w:t>
      </w:r>
      <w:r w:rsidRPr="00E00B35">
        <w:rPr>
          <w:bCs/>
          <w:szCs w:val="20"/>
        </w:rPr>
        <w:t>.</w:t>
      </w:r>
    </w:p>
    <w:p w:rsidR="00B86812" w:rsidRPr="00E00B35" w:rsidRDefault="00B86812" w:rsidP="00E00B35">
      <w:pPr>
        <w:spacing w:after="0" w:line="312" w:lineRule="auto"/>
        <w:rPr>
          <w:bCs/>
          <w:szCs w:val="20"/>
        </w:rPr>
      </w:pPr>
    </w:p>
    <w:p w:rsidR="00B86812" w:rsidRPr="00E00B35" w:rsidRDefault="00B86812" w:rsidP="00E00B35">
      <w:pPr>
        <w:spacing w:after="0" w:line="312" w:lineRule="auto"/>
        <w:rPr>
          <w:bCs/>
          <w:szCs w:val="20"/>
        </w:rPr>
      </w:pPr>
      <w:r w:rsidRPr="00E00B35">
        <w:rPr>
          <w:bCs/>
          <w:szCs w:val="20"/>
        </w:rPr>
        <w:t>Uchwalono ogółem 28 miejscowych planów, w tym:</w:t>
      </w:r>
    </w:p>
    <w:p w:rsidR="00B86812" w:rsidRPr="00E00B35" w:rsidRDefault="00B86812" w:rsidP="00BC64AB">
      <w:pPr>
        <w:pStyle w:val="Akapitzlist"/>
        <w:numPr>
          <w:ilvl w:val="0"/>
          <w:numId w:val="296"/>
        </w:numPr>
        <w:spacing w:after="0" w:line="312" w:lineRule="auto"/>
        <w:ind w:left="426" w:hanging="426"/>
        <w:rPr>
          <w:bCs/>
          <w:szCs w:val="20"/>
        </w:rPr>
      </w:pPr>
      <w:r w:rsidRPr="00E00B35">
        <w:rPr>
          <w:bCs/>
          <w:szCs w:val="20"/>
        </w:rPr>
        <w:t>24 miejscowe plany zagospodarowania przestrzennego obszarów położonych w </w:t>
      </w:r>
      <w:r w:rsidRPr="00E00B35">
        <w:rPr>
          <w:szCs w:val="20"/>
        </w:rPr>
        <w:t>rejonach</w:t>
      </w:r>
      <w:r w:rsidRPr="00E00B35">
        <w:rPr>
          <w:bCs/>
          <w:szCs w:val="20"/>
        </w:rPr>
        <w:t xml:space="preserve">: alei Aleksandra Brücknera; ulic Ignacego Mościckiego i Tybetańskiej; ulicy Parkowej i Adama Mickiewicza; ulic Ostrowskiego i Klecińskiej; ulic Przebiśniegowej, Kwiatowej i Złocieniowej oraz linii kolejowej; ulic Kwidzyńskiej, Kowalskiej i Mydlanej; skrzyżowania ulic Azaliowej i Przedwiośnie; ulic Zatorskiej i Pedagogicznej; ulic Antonia Vivaldiego i Ludwiga van Beethovena; ulic Bolesława Prusa i gen. Józefa Bema; ulicy Świętokrzyskiej; ulic Karpnickiej, Głównej i Stabłowickiej; ulic Bystrzyckiej i Kwiskiej; ulic Mikołaja Kopernika, Edwarda </w:t>
      </w:r>
      <w:r w:rsidRPr="00E00B35">
        <w:rPr>
          <w:bCs/>
          <w:szCs w:val="20"/>
        </w:rPr>
        <w:lastRenderedPageBreak/>
        <w:t>Dembowskiego, Tramwajowej i Zygmunta Wróblewskiego; ulic Kardamonowej, Rumiankowej i Macieja Przybyły oraz ulicy Osinieckiej; pomiędzy ul. Odolanowską i Łącznikiem Długołęka; Osi Inkubacji i ulicy Osinieckiej; wybrzeża Juliusza Słowackiego i ulicy Na Grobli; ulic Wielkiej, Komandorskiej i Trwałej; ulic Jerzmanowskiej, Anny Jasińskiej oraz Heleny i Ludwika Adamczewskich; ulic Krępickiej i Mokrzańskiej; ulic Ceglanej, Miłoszyckiej i Byczyńskiej, ulic Strzegomskiej i Gubińskiej, ulicy Wilanowskiej,</w:t>
      </w:r>
    </w:p>
    <w:p w:rsidR="00B86812" w:rsidRPr="00E00B35" w:rsidRDefault="00B86812" w:rsidP="00BC64AB">
      <w:pPr>
        <w:pStyle w:val="Akapitzlist"/>
        <w:numPr>
          <w:ilvl w:val="0"/>
          <w:numId w:val="296"/>
        </w:numPr>
        <w:spacing w:after="0" w:line="312" w:lineRule="auto"/>
        <w:ind w:left="426" w:hanging="426"/>
        <w:rPr>
          <w:bCs/>
          <w:szCs w:val="20"/>
        </w:rPr>
      </w:pPr>
      <w:r w:rsidRPr="00E00B35">
        <w:rPr>
          <w:bCs/>
          <w:szCs w:val="20"/>
        </w:rPr>
        <w:t>4 zmiany miejscowych planów zagospodarowania przestrzennego obszarów położonych w rejonach ulic Borowskiej i Kamiennej; ulic Motylkowej i Świt; ulic Zwycięskiej, Ołtaszyńskiej i Agrestowej oraz dla terenu ograniczonego ulicami: Powstańców Śląskich, Sztabową, Bernarda Pretficza i placem Powstańców Śląskich w części A.</w:t>
      </w:r>
    </w:p>
    <w:p w:rsidR="00B86812" w:rsidRPr="00E00B35" w:rsidRDefault="00B86812" w:rsidP="00E00B35">
      <w:pPr>
        <w:widowControl w:val="0"/>
        <w:spacing w:after="0" w:line="312" w:lineRule="auto"/>
        <w:ind w:left="357"/>
        <w:rPr>
          <w:bCs/>
          <w:szCs w:val="20"/>
        </w:rPr>
      </w:pPr>
    </w:p>
    <w:p w:rsidR="00B86812" w:rsidRPr="00E00B35" w:rsidRDefault="00B86812" w:rsidP="00E00B35">
      <w:pPr>
        <w:spacing w:after="0" w:line="312" w:lineRule="auto"/>
        <w:rPr>
          <w:bCs/>
          <w:szCs w:val="20"/>
        </w:rPr>
      </w:pPr>
      <w:r w:rsidRPr="00E00B35">
        <w:rPr>
          <w:bCs/>
          <w:szCs w:val="20"/>
        </w:rPr>
        <w:t>Zdecydowano o przystąpieniu do sporządzenia 22 projektów miejscowych planów zagospodarowania przestrzennego przy ulicy Wołowskiej i w rejonach: ulic Jana Czochralskiego i Antoniego Słonimskiego oraz linii kolejowej nr 143; ulic Jedności Narodowej i Rychtalskiej; ulicy Jedności Narodowej oraz Kanału Miejskiego; ulic Grabiszyńskiej i Manganowej; placu Ludwika Hirszfelda i ulicy Szczęśliwej; ulic Międzyrzeckiej, Rakowieckiej i Na Niskich Łąkach; ulic Powstańców Śląskich, Szczęśliwej i Gwiaździstej; ulic Suwalskiej, Królewieckiej i Maślickiej; skrzyżowania ulic Bolesława Krzywoustego i Zielnej; wału rzeki Widawy pomiędzy ulicami Farną i Mazepy; bulwaru Dedala; ulic Zatorskiej i Odolanowskiej oraz al. Jana III Sobieskiego; ulic Stanów Zjednoczonych i Greckiej; ulic Bernardyńskiej i Jana Ewangelisty Purkyniego; ulicy Przejazdowej, alei Poprzecznej i linii kolejowej; ulicy Pakosławskiej; ulicy Przejazdowej, alei Kanonierskiej i linii kolejowej; ulicy Polanowickiej; alei Prezydenta Ryszarda Kaczorowskiego i ulicy Piołunowej; ulic Pilczyckiej i Dworskiej; ulicy Sowiej.</w:t>
      </w:r>
    </w:p>
    <w:p w:rsidR="00B86812" w:rsidRPr="00E00B35" w:rsidRDefault="00B86812" w:rsidP="00E00B35">
      <w:pPr>
        <w:spacing w:after="0" w:line="312" w:lineRule="auto"/>
        <w:rPr>
          <w:bCs/>
          <w:szCs w:val="20"/>
        </w:rPr>
      </w:pPr>
    </w:p>
    <w:p w:rsidR="00B86812" w:rsidRPr="00E00B35" w:rsidRDefault="00B86812" w:rsidP="00E00B35">
      <w:pPr>
        <w:spacing w:after="0" w:line="312" w:lineRule="auto"/>
        <w:rPr>
          <w:bCs/>
          <w:szCs w:val="20"/>
        </w:rPr>
      </w:pPr>
      <w:r w:rsidRPr="00E00B35">
        <w:rPr>
          <w:bCs/>
          <w:szCs w:val="20"/>
        </w:rPr>
        <w:t>Postanowiono również o przystąpieniu do sporządzenia zmiany Studium uwarunkowań i kierunków zagospodarowania przestrzennego Wrocławia.</w:t>
      </w:r>
    </w:p>
    <w:p w:rsidR="00B86812" w:rsidRPr="00E00B35" w:rsidRDefault="00B86812" w:rsidP="00E00B35">
      <w:pPr>
        <w:spacing w:after="0" w:line="312" w:lineRule="auto"/>
        <w:rPr>
          <w:bCs/>
          <w:szCs w:val="20"/>
        </w:rPr>
      </w:pPr>
    </w:p>
    <w:p w:rsidR="00B86812" w:rsidRPr="00E00B35" w:rsidRDefault="00B86812" w:rsidP="00E00B35">
      <w:pPr>
        <w:spacing w:after="0" w:line="312" w:lineRule="auto"/>
        <w:rPr>
          <w:bCs/>
          <w:szCs w:val="20"/>
        </w:rPr>
      </w:pPr>
      <w:r w:rsidRPr="00E00B35">
        <w:rPr>
          <w:bCs/>
          <w:szCs w:val="20"/>
        </w:rPr>
        <w:t>Zmieniono regulację dot. Systemu Informacji Miejskiej.</w:t>
      </w:r>
    </w:p>
    <w:p w:rsidR="00B86812" w:rsidRPr="00E00B35" w:rsidRDefault="00B86812" w:rsidP="00E00B35">
      <w:pPr>
        <w:spacing w:after="0" w:line="312" w:lineRule="auto"/>
        <w:rPr>
          <w:bCs/>
          <w:szCs w:val="20"/>
        </w:rPr>
      </w:pPr>
    </w:p>
    <w:p w:rsidR="00B86812" w:rsidRPr="00E00B35" w:rsidRDefault="00B86812" w:rsidP="00E00B35">
      <w:pPr>
        <w:spacing w:after="0" w:line="312" w:lineRule="auto"/>
        <w:rPr>
          <w:szCs w:val="20"/>
        </w:rPr>
      </w:pPr>
      <w:r w:rsidRPr="00E00B35">
        <w:rPr>
          <w:bCs/>
          <w:szCs w:val="20"/>
        </w:rPr>
        <w:t xml:space="preserve">Nowym 21 ulicom nadano w 2020 r. nazwy: </w:t>
      </w:r>
      <w:r w:rsidRPr="00E00B35">
        <w:rPr>
          <w:szCs w:val="20"/>
        </w:rPr>
        <w:t>Bakaliowa i Korzenna w obrębie Lipa Piotrowska; Pawła Kwoczka (Jerzmanowo); Lokomotywowa, Maszynistów i Drezynowa w obrębie Brochów; Macierzankowa i Frezjowa w obrębie Pawłowice; Włókniarzy (Stabłowice); Zawidowska (Maślice); Władysława Chachaja (Oporów); Stanisława Jana Jabłonowskiego (Jerzmanowo); Polnych Niezapominajek (Kłokoczyce), Pistacjowa (Ołtaszyn), Wisławy Szymborskiej (Wojszyce); Beaty Artemskiej (Wojszyce i Jagodno); Beli Bartoka (Jagodno); Szczypiornicka (Osobowice); Białych Tygrysów (Widawa i Polanowice); Ramiszowska (Poświętne), Dawida Kurzmanna (Kleczków).</w:t>
      </w:r>
    </w:p>
    <w:p w:rsidR="00B86812" w:rsidRPr="00E00B35" w:rsidRDefault="00B86812" w:rsidP="00E00B35">
      <w:pPr>
        <w:spacing w:after="0" w:line="312" w:lineRule="auto"/>
        <w:rPr>
          <w:bCs/>
          <w:szCs w:val="20"/>
        </w:rPr>
      </w:pPr>
    </w:p>
    <w:p w:rsidR="00B86812" w:rsidRPr="00E00B35" w:rsidRDefault="00B86812" w:rsidP="00E00B35">
      <w:pPr>
        <w:spacing w:after="0" w:line="312" w:lineRule="auto"/>
        <w:rPr>
          <w:szCs w:val="20"/>
        </w:rPr>
      </w:pPr>
      <w:r w:rsidRPr="00E00B35">
        <w:rPr>
          <w:bCs/>
          <w:szCs w:val="20"/>
        </w:rPr>
        <w:t xml:space="preserve">Dziesięć skwerów uzyskało nazwy: </w:t>
      </w:r>
      <w:r w:rsidRPr="00E00B35">
        <w:rPr>
          <w:szCs w:val="20"/>
        </w:rPr>
        <w:t xml:space="preserve">Tymoteusza Karpowicza (przy ulicy Polarnej); Solidarności Polsko-Czesko-Słowackiej (przy placu św. Mikołaja); Wrocławianek (między </w:t>
      </w:r>
      <w:r w:rsidRPr="00E00B35">
        <w:rPr>
          <w:szCs w:val="20"/>
        </w:rPr>
        <w:lastRenderedPageBreak/>
        <w:t>ulicami Bernardyńską, Jana Ewangelisty Purkyniego oraz Jana Styki i Wojciecha Kossaka); Kornela Morawieckiego (między ulicami Środkową i Szczepińską); Władysława Stasiaka (między ulicami Bardzką, Hubską i Jesionową); Tadeusza Szczęsnego Owińskiego (przy ulicy Nowy Świat); Jerzego Szmajdzińskiego (przy ulicy ks. Wincentego Kraińskiego); ks. Franciszka Skorusy (u zbiegu ulic Szwedzkiej i Szkockiej); Harivansha Rai Bachchana (u zbiegu ulic Centralnej i Semaforowej); Wojciecha Jerzego Hasa (przy ulicy Wystawowej).</w:t>
      </w:r>
    </w:p>
    <w:p w:rsidR="00B86812" w:rsidRPr="00E00B35" w:rsidRDefault="00B86812" w:rsidP="00E00B35">
      <w:pPr>
        <w:pStyle w:val="HTML-wstpniesformatowany"/>
        <w:spacing w:after="0" w:line="312" w:lineRule="auto"/>
        <w:rPr>
          <w:rFonts w:ascii="Verdana" w:hAnsi="Verdana"/>
        </w:rPr>
      </w:pPr>
    </w:p>
    <w:p w:rsidR="00B86812" w:rsidRPr="00E00B35" w:rsidRDefault="00B86812" w:rsidP="00E00B35">
      <w:pPr>
        <w:pStyle w:val="HTML-wstpniesformatowany"/>
        <w:spacing w:after="0" w:line="312" w:lineRule="auto"/>
        <w:rPr>
          <w:rFonts w:ascii="Verdana" w:hAnsi="Verdana"/>
        </w:rPr>
      </w:pPr>
      <w:r w:rsidRPr="00E00B35">
        <w:rPr>
          <w:rFonts w:ascii="Verdana" w:hAnsi="Verdana"/>
        </w:rPr>
        <w:t>Dwóm rondom w obrębie Klecina nadano nazwy Cukrowników oraz Bitwy Warszawskiej 1920 r.</w:t>
      </w:r>
    </w:p>
    <w:p w:rsidR="00B86812" w:rsidRPr="00E00B35" w:rsidRDefault="00B86812" w:rsidP="00E00B35">
      <w:pPr>
        <w:spacing w:after="0" w:line="312" w:lineRule="auto"/>
        <w:rPr>
          <w:bCs/>
          <w:szCs w:val="20"/>
        </w:rPr>
      </w:pPr>
    </w:p>
    <w:p w:rsidR="00B86812" w:rsidRPr="00E00B35" w:rsidRDefault="00B86812" w:rsidP="00E00B35">
      <w:pPr>
        <w:pStyle w:val="HTML-wstpniesformatowany"/>
        <w:spacing w:after="0" w:line="312" w:lineRule="auto"/>
        <w:rPr>
          <w:rFonts w:ascii="Verdana" w:hAnsi="Verdana"/>
        </w:rPr>
      </w:pPr>
      <w:r w:rsidRPr="00E00B35">
        <w:rPr>
          <w:rFonts w:ascii="Verdana" w:hAnsi="Verdana"/>
        </w:rPr>
        <w:t>Parkowi u zbiegu ulic Legnickiej i Stacyjnej nadano nazwę Aleksandry Natalli-Świat a parkowi zlokalizowanemu wzdłuż ulicy Ułańskiej nazwę gen. Tadeusza Rozwadowskiego. Aleja parkowa w parku Juliusza Słowackiego uzyskała nazwę Czesława Słani.</w:t>
      </w:r>
    </w:p>
    <w:p w:rsidR="00B86812" w:rsidRPr="00E00B35" w:rsidRDefault="00B86812" w:rsidP="00E00B35">
      <w:pPr>
        <w:pStyle w:val="HTML-wstpniesformatowany"/>
        <w:spacing w:after="0" w:line="312" w:lineRule="auto"/>
        <w:rPr>
          <w:rFonts w:ascii="Verdana" w:hAnsi="Verdana"/>
        </w:rPr>
      </w:pPr>
    </w:p>
    <w:p w:rsidR="00B86812" w:rsidRPr="00E00B35" w:rsidRDefault="00B86812" w:rsidP="00E00B35">
      <w:pPr>
        <w:spacing w:after="0" w:line="312" w:lineRule="auto"/>
        <w:rPr>
          <w:bCs/>
          <w:szCs w:val="20"/>
        </w:rPr>
      </w:pPr>
      <w:r w:rsidRPr="00E00B35">
        <w:rPr>
          <w:bCs/>
          <w:szCs w:val="20"/>
        </w:rPr>
        <w:t xml:space="preserve">Problematyka </w:t>
      </w:r>
      <w:r w:rsidRPr="00E00B35">
        <w:rPr>
          <w:b/>
          <w:bCs/>
          <w:szCs w:val="20"/>
        </w:rPr>
        <w:t>finansów i rachunkowości</w:t>
      </w:r>
      <w:r w:rsidRPr="00E00B35">
        <w:rPr>
          <w:bCs/>
          <w:szCs w:val="20"/>
        </w:rPr>
        <w:t xml:space="preserve"> stanowi tematykę 11% uchwał, z czego część dotyczy uchwalenia zmian budżetu na 2020 r. i budżetu na 2021 r. oraz zmian wieloletniej prognozy finansowej i nowej prognozy, inne regulują sprawy: wyboru podmiotu uprawnionego do badania sprawozdania finansowego, wydatków, które nie wygasają z upływem roku budżetowego, zatwierdzenia sprawozdań finansowych, udzielenia absolutorium, zakresu i formy informacji za I półrocze o przebiegu wykonania budżetu, nowelizacji wykazu jednostek, które gromadzą dochody na wydzielonych rachunkach i źródeł tych dochodów, opłaty prolongacyjnej z tytułu rozłożenia na raty lub odroczenia terminu płatności podatków oraz zaległości podatkowych stanowiących dochód Gminy Wrocław, stawek podatku od nieruchomości obowiązujących od 01.01.2021 r., nowelizacji zwolnień od podatku od nieruchomości, w tym budynków lub ich części podłączonych do instalacji fotowoltaicznej, kolektora słonecznego, pompy ciepła, rekuperatora lub gruntowego wymiennika ciepła oraz zwolnień w ramach programu pomocy de minimis, a także zasad, sposobu i trybu umarzania, odraczania lub rozkładania na raty spłaty należności pieniężnych mających charakter cywilnoprawny.</w:t>
      </w:r>
    </w:p>
    <w:p w:rsidR="00B86812" w:rsidRPr="00E00B35" w:rsidRDefault="00B86812" w:rsidP="00E00B35">
      <w:pPr>
        <w:spacing w:after="0" w:line="312" w:lineRule="auto"/>
        <w:rPr>
          <w:bCs/>
          <w:szCs w:val="20"/>
        </w:rPr>
      </w:pPr>
    </w:p>
    <w:p w:rsidR="00B86812" w:rsidRPr="00E00B35" w:rsidRDefault="00B86812" w:rsidP="00E00B35">
      <w:pPr>
        <w:spacing w:after="0" w:line="312" w:lineRule="auto"/>
        <w:rPr>
          <w:bCs/>
          <w:szCs w:val="20"/>
        </w:rPr>
      </w:pPr>
      <w:r w:rsidRPr="00E00B35">
        <w:rPr>
          <w:bCs/>
          <w:szCs w:val="20"/>
        </w:rPr>
        <w:t>W minionym roku zdecydowano o udzieleniu pomocy finansowej gminom Lewin Kłodzki, Łańcut i Markowa, dotacji celowej na wykonanie prac konserwatorskich, restauratorskich i robót budowlanych przy zabytkach oraz dotacji celowych na rzecz Województwa Dolnośląskiego, a także znowelizowano uchwałę o dotacji celowej dla Gminy Długołęka na realizację zadania w zakresie opracowania dokumentacji projektowej przebudowy ul. Gostyńskiej.</w:t>
      </w:r>
    </w:p>
    <w:p w:rsidR="00B86812" w:rsidRPr="00E00B35" w:rsidRDefault="00B86812" w:rsidP="00E00B35">
      <w:pPr>
        <w:spacing w:after="0" w:line="312" w:lineRule="auto"/>
        <w:rPr>
          <w:bCs/>
          <w:szCs w:val="20"/>
        </w:rPr>
      </w:pPr>
    </w:p>
    <w:p w:rsidR="00B86812" w:rsidRPr="00E00B35" w:rsidRDefault="00B86812" w:rsidP="00E00B35">
      <w:pPr>
        <w:spacing w:after="0" w:line="312" w:lineRule="auto"/>
        <w:rPr>
          <w:b/>
          <w:bCs/>
          <w:szCs w:val="20"/>
        </w:rPr>
      </w:pPr>
      <w:r w:rsidRPr="00E00B35">
        <w:rPr>
          <w:b/>
          <w:bCs/>
          <w:szCs w:val="20"/>
        </w:rPr>
        <w:t>W związku z pandemią i ponoszeniem negatywnych konsekwencji ekonomicznych z powodu zapobiegania, przeciwdziałania i zwalczania COVID-19 (wirusa SARS-CoV-2) przyjęto regulacje o:</w:t>
      </w:r>
    </w:p>
    <w:p w:rsidR="00B86812" w:rsidRPr="00E00B35" w:rsidRDefault="00B86812" w:rsidP="00BC64AB">
      <w:pPr>
        <w:pStyle w:val="Akapitzlist"/>
        <w:numPr>
          <w:ilvl w:val="0"/>
          <w:numId w:val="296"/>
        </w:numPr>
        <w:spacing w:after="0" w:line="312" w:lineRule="auto"/>
        <w:ind w:left="426" w:hanging="426"/>
        <w:rPr>
          <w:bCs/>
          <w:szCs w:val="20"/>
        </w:rPr>
      </w:pPr>
      <w:r w:rsidRPr="00E00B35">
        <w:rPr>
          <w:bCs/>
          <w:szCs w:val="20"/>
        </w:rPr>
        <w:lastRenderedPageBreak/>
        <w:t>odstąpieniu od dochodzenia niektórych należności o charakterze cywilnoprawnym przypadających Gminie Wrocław lub jej jednostkom organizacyjnym w stosunku do podmiotów, których płynność finansowa uległa pogorszeniu;</w:t>
      </w:r>
    </w:p>
    <w:p w:rsidR="00B86812" w:rsidRPr="00E00B35" w:rsidRDefault="00B86812" w:rsidP="00BC64AB">
      <w:pPr>
        <w:pStyle w:val="Akapitzlist"/>
        <w:numPr>
          <w:ilvl w:val="0"/>
          <w:numId w:val="296"/>
        </w:numPr>
        <w:spacing w:after="0" w:line="312" w:lineRule="auto"/>
        <w:ind w:left="426" w:hanging="426"/>
        <w:rPr>
          <w:bCs/>
          <w:szCs w:val="20"/>
        </w:rPr>
      </w:pPr>
      <w:r w:rsidRPr="00E00B35">
        <w:rPr>
          <w:bCs/>
          <w:szCs w:val="20"/>
        </w:rPr>
        <w:t>przedłużenia terminu na wniesienie trzeciej raty opłaty za korzystanie z zezwoleń na sprzedaż napojów alkoholowych przez przedsiębiorców prowadzących sprzedaż napojów alkoholowych przeznaczonych do spożycia w miejscu sprzedaży;</w:t>
      </w:r>
    </w:p>
    <w:p w:rsidR="00B86812" w:rsidRPr="00E00B35" w:rsidRDefault="00B86812" w:rsidP="00BC64AB">
      <w:pPr>
        <w:pStyle w:val="Akapitzlist"/>
        <w:numPr>
          <w:ilvl w:val="0"/>
          <w:numId w:val="296"/>
        </w:numPr>
        <w:spacing w:after="0" w:line="312" w:lineRule="auto"/>
        <w:ind w:left="426" w:hanging="426"/>
        <w:rPr>
          <w:bCs/>
          <w:szCs w:val="20"/>
        </w:rPr>
      </w:pPr>
      <w:r w:rsidRPr="00E00B35">
        <w:rPr>
          <w:bCs/>
          <w:szCs w:val="20"/>
        </w:rPr>
        <w:t>zwolnieniach od podatku od nieruchomości grup przedsiębiorców, których płynność finansowa uległa pogorszeniu.</w:t>
      </w:r>
    </w:p>
    <w:p w:rsidR="00B86812" w:rsidRPr="00E00B35" w:rsidRDefault="00B86812" w:rsidP="00E00B35">
      <w:pPr>
        <w:spacing w:after="0" w:line="312" w:lineRule="auto"/>
        <w:rPr>
          <w:bCs/>
          <w:szCs w:val="20"/>
        </w:rPr>
      </w:pPr>
    </w:p>
    <w:p w:rsidR="00B86812" w:rsidRPr="00E00B35" w:rsidRDefault="00B86812" w:rsidP="00E00B35">
      <w:pPr>
        <w:spacing w:after="0" w:line="312" w:lineRule="auto"/>
        <w:rPr>
          <w:szCs w:val="20"/>
        </w:rPr>
      </w:pPr>
      <w:r w:rsidRPr="00E00B35">
        <w:rPr>
          <w:bCs/>
          <w:szCs w:val="20"/>
        </w:rPr>
        <w:t xml:space="preserve">Uchwały </w:t>
      </w:r>
      <w:r w:rsidRPr="00E00B35">
        <w:rPr>
          <w:szCs w:val="20"/>
        </w:rPr>
        <w:t xml:space="preserve">z zakresu </w:t>
      </w:r>
      <w:r w:rsidRPr="00E00B35">
        <w:rPr>
          <w:b/>
          <w:szCs w:val="20"/>
        </w:rPr>
        <w:t xml:space="preserve">edukacji </w:t>
      </w:r>
      <w:r w:rsidRPr="00E00B35">
        <w:rPr>
          <w:szCs w:val="20"/>
        </w:rPr>
        <w:t xml:space="preserve">stanowią </w:t>
      </w:r>
      <w:r w:rsidRPr="00E00B35">
        <w:rPr>
          <w:bCs/>
          <w:szCs w:val="20"/>
        </w:rPr>
        <w:t xml:space="preserve">ponad </w:t>
      </w:r>
      <w:r w:rsidRPr="00E00B35">
        <w:rPr>
          <w:szCs w:val="20"/>
        </w:rPr>
        <w:t>10% ubiegłorocznych regulacji i dotyczą w szczególności: ustalenia sieci publicznych szkół podstawowych, ponadpodstawowych, specjalnych i przedszkoli, oraz utworzenia wielu szkół branżowych i włączenia ich do zespołów szkół, utworzenia Zespołu Szkolno-Przedszkolnego nr 24, przeniesienia siedziby Przedszkola nr 147, nadaniu Przedszkolu przy al. Śląskiej imienia Sportowa Kraina, konkursu na najlepszy samorząd uczniowski, wspierania i nagradzania uczniów uzdolnionych w szkołach, organizacji transportu i opieki podczas przewozu do szkół ponadpodstawowych młodzieży niepełnosprawnej, średniej ceny jednostki paliwa w roku szkolnym 2020/2021, wskazania miejsca realizacji obowiązku szkolnego uczniom szkoły podstawowej w innej publicznej szkole podstawowej powstałej z przekształcenia gimnazjum, postępowania rekrutacyjnego do internatów w szkołach ponadpodstawowych, regulaminu przyznawania dodatków oraz innych składników wynagrodzenia dla nauczycieli, wymiaru godzin zajęć nauczycieli, opłat za korzystanie z miejsc noclegowych przez dzieci, młodzież i ich opiekunów w szkolnych schroniskach młodzieżowych, zamiaru likwidacji Specjalnego Ośrodka Szkolno-Wychowawczego nr 1 przy ul. ks. Marcina Lutra 6, zgody na udzielenie dotacji w podwyższonej wysokości dla publicznych przedszkoli integracyjnych i specjalnych.</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Pozostałe uchwały normują sprawy z zakresu:</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gospodarki nieruchomościami</w:t>
      </w:r>
      <w:r w:rsidRPr="00E00B35">
        <w:rPr>
          <w:szCs w:val="20"/>
        </w:rPr>
        <w:t xml:space="preserve"> - przyjęto nowelizację zasad gospodarowania nieruchomościami gminy, wyrażono zgody na odstąpienie od żądania zwrotu zwaloryzowanej kwoty bonifikaty udzielonej przy sprzedaży lokalu mieszkalnego, na przekazanie Województwu Dolnośląskiemu nieruchomości położonych w obrębie Żerniki i w obrębie Południe;</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mieszkaniowego zasobu gminy</w:t>
      </w:r>
      <w:r w:rsidRPr="00E00B35">
        <w:rPr>
          <w:szCs w:val="20"/>
        </w:rPr>
        <w:t xml:space="preserve"> – uchwalono nowe zasady wynajmowania lokali mieszkalnych;</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transportu, komunikacji, dróg i ruchu drogowego</w:t>
      </w:r>
      <w:r w:rsidRPr="00E00B35">
        <w:rPr>
          <w:szCs w:val="20"/>
        </w:rPr>
        <w:t xml:space="preserve"> - znowelizowano warunki i zasady korzystania z przystanków komunikacyjnych, zdecydowano o zaliczeniu i pozbawieniu niektórych ulic kategorii dróg gminnych oraz wyłączeniu z użytkowania części ulicy Mazowieckiej i Wybrzeża Juliusza Słowackiego, ulicy Wita Stwosza, ulicy Kresowej i ulicy Józefa Gielniaka, ustalono przebieg niektórych dróg włączając lub wyłączając grunty z pasów drogowych, wprowadzono nową regulację stref płatnego parkowania i opłaty za postój pojazdów samochodowych obowiązującą od 01.03.2021 r., ustalono opłaty za zajęcie pasa drogowego, opłaty za usunięcie </w:t>
      </w:r>
      <w:r w:rsidRPr="00E00B35">
        <w:rPr>
          <w:szCs w:val="20"/>
        </w:rPr>
        <w:lastRenderedPageBreak/>
        <w:t>pojazdów z dróg i ich przechowywanie na parkingach w 2021 r., znowelizowano ceny za usługi przewozowe świadczone środkami lokalnego transportu zbiorowego, przyjęto Wrocławską Strategię Rozwoju Elektromobilności;</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repatriacji</w:t>
      </w:r>
      <w:r w:rsidRPr="00E00B35">
        <w:rPr>
          <w:szCs w:val="20"/>
        </w:rPr>
        <w:t xml:space="preserve"> – postanowiono o zapewnieniu warunków do osiedlenia się we Wrocławiu dwóm repatriantkom i 3 rodzinom repatriantów z Republiki Kazachstanu orz rodzinie repatriantów z Federacji Rosyjskiej;</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kultury</w:t>
      </w:r>
      <w:r w:rsidRPr="00E00B35">
        <w:rPr>
          <w:szCs w:val="20"/>
        </w:rPr>
        <w:t xml:space="preserve"> - ogłoszono zamiar zmiany statutu Miejskiej Biblioteki Publicznej oraz zamiar połączenia Strefy Kultury Wrocław z Dolnośląskim Centrum Filmowym, określono warunki, tryb przyznawania i wysokość stypendiów osobom zajmującym się twórczością artystyczną oraz upowszechnianiem kultury;</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rekreacji i wypoczynku</w:t>
      </w:r>
      <w:r w:rsidRPr="00E00B35">
        <w:rPr>
          <w:szCs w:val="20"/>
        </w:rPr>
        <w:t xml:space="preserve"> - ogłoszono wykaz kąpielisk na terenie Wrocławia i ustalono sezon kąpielowy na 2020 r.;</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zdrowia, pomocy społecznej i spraw społecznych</w:t>
      </w:r>
      <w:r w:rsidRPr="00E00B35">
        <w:rPr>
          <w:szCs w:val="20"/>
        </w:rPr>
        <w:t xml:space="preserve"> – przyjęto program profilaktyki i rozwiązywania problemów alkoholowych oraz przeciwdziałania narkomanii na 2021 r., program współpracy z organizacjami pozarządowymi w 2021 r., program wspierania rodziny na lata 2021-2023, program rozwoju pieczy zastępczej na lata 2021-2023, plan nadzoru nad żłobkami, klubami dziecięcymi oraz dziennymi opiekunami, znowelizowano opłaty za żłobki oraz warunki przyznawania i odpłatności za usługi opiekuńcze, określono zadania z zakresu rehabilitacji zawodowej i społecznej osób niepełnosprawnych, finansowane w 2020 r. ze środków Państwowego Funduszu Rehabilitacji Osób Niepełnosprawnych, </w:t>
      </w:r>
      <w:r w:rsidRPr="00E00B35">
        <w:rPr>
          <w:bCs/>
          <w:szCs w:val="20"/>
        </w:rPr>
        <w:t>ustalono opłaty za pobyt we Wrocławskim Ośrodku Pomocy Osobom Nietrzeźwym, dokonano zmiany w składzie Rady Społecznej Centrum Neuropsychiatrii „NEUROMED”, zaktualizowano wykaz aptek pracujących w systemie całotygodniowym i w porze nocnej, znowelizowano okres obowiązywania Programu profilaktyki zakażeń wirusem brodawczaka ludzkiego (HPV);</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 xml:space="preserve">ochrony środowiska, ochrony przyrody, zwierząt i gospodarki odpadami oraz utrzymania czystości i porządku </w:t>
      </w:r>
      <w:r w:rsidRPr="00E00B35">
        <w:rPr>
          <w:szCs w:val="20"/>
        </w:rPr>
        <w:t>- uchwalono nowy program opieki nad zwierzętami bezdomnymi oraz zapobiegania bezdomności zwierząt na terenie Wrocławia, przyjęto nowe regulacje dotyczące metody ustalenia opłaty za gospodarowanie odpadami komunalnymi, wzoru deklaracji o wysokości opłaty za gospodarowanie odpadami komunalnymi oraz usług świadczonych w zamian za opłatę za gospodarowanie odpadami komunalnymi,  nowy regulaminu utrzymania czystości i porządku na terenie Wrocławia, ustanowiono pomnikiem przyrody platana klonolistnego przy placu Jana Pawła II i nadano mu nazwę „Świadek”.</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szCs w:val="20"/>
        </w:rPr>
        <w:t>Uchwały według przedmiotu regulacji(procentowo w ogółem podjętych) w porównaniu do lat poprzednich</w:t>
      </w:r>
    </w:p>
    <w:tbl>
      <w:tblPr>
        <w:tblW w:w="477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96"/>
        <w:gridCol w:w="1417"/>
        <w:gridCol w:w="993"/>
        <w:gridCol w:w="992"/>
        <w:gridCol w:w="992"/>
      </w:tblGrid>
      <w:tr w:rsidR="00B86812" w:rsidRPr="00E00B35" w:rsidTr="00B86812">
        <w:trPr>
          <w:cantSplit/>
          <w:trHeight w:val="20"/>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B86812" w:rsidRPr="00E00B35" w:rsidRDefault="00B86812" w:rsidP="00E00B35">
            <w:pPr>
              <w:spacing w:after="0" w:line="312" w:lineRule="auto"/>
              <w:rPr>
                <w:b/>
                <w:szCs w:val="20"/>
              </w:rPr>
            </w:pPr>
            <w:r w:rsidRPr="00E00B35">
              <w:rPr>
                <w:b/>
                <w:szCs w:val="20"/>
              </w:rPr>
              <w:t>Podział tematyczny</w:t>
            </w:r>
          </w:p>
        </w:tc>
        <w:tc>
          <w:tcPr>
            <w:tcW w:w="806"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2017 r.</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rsidR="00B86812" w:rsidRPr="00E00B35" w:rsidRDefault="00B86812" w:rsidP="00E00B35">
            <w:pPr>
              <w:spacing w:after="0" w:line="312" w:lineRule="auto"/>
              <w:rPr>
                <w:b/>
                <w:szCs w:val="20"/>
              </w:rPr>
            </w:pPr>
            <w:r w:rsidRPr="00E00B35">
              <w:rPr>
                <w:b/>
                <w:szCs w:val="20"/>
              </w:rPr>
              <w:t>2018 r.</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rsidR="00B86812" w:rsidRPr="00E00B35" w:rsidRDefault="00B86812" w:rsidP="00E00B35">
            <w:pPr>
              <w:spacing w:after="0" w:line="312" w:lineRule="auto"/>
              <w:rPr>
                <w:b/>
                <w:szCs w:val="20"/>
              </w:rPr>
            </w:pPr>
            <w:r w:rsidRPr="00E00B35">
              <w:rPr>
                <w:b/>
                <w:szCs w:val="20"/>
              </w:rPr>
              <w:t>2019 r.</w:t>
            </w:r>
          </w:p>
        </w:tc>
        <w:tc>
          <w:tcPr>
            <w:tcW w:w="564" w:type="pct"/>
            <w:tcBorders>
              <w:top w:val="single" w:sz="4" w:space="0" w:color="auto"/>
              <w:left w:val="single" w:sz="4" w:space="0" w:color="auto"/>
              <w:bottom w:val="single" w:sz="4" w:space="0" w:color="auto"/>
              <w:right w:val="single" w:sz="4" w:space="0" w:color="auto"/>
            </w:tcBorders>
          </w:tcPr>
          <w:p w:rsidR="00B86812" w:rsidRPr="00E00B35" w:rsidRDefault="00B86812" w:rsidP="00E00B35">
            <w:pPr>
              <w:spacing w:after="0" w:line="312" w:lineRule="auto"/>
              <w:rPr>
                <w:b/>
                <w:szCs w:val="20"/>
              </w:rPr>
            </w:pPr>
            <w:r w:rsidRPr="00E00B35">
              <w:rPr>
                <w:b/>
                <w:szCs w:val="20"/>
              </w:rPr>
              <w:t>2020 r.</w:t>
            </w:r>
          </w:p>
        </w:tc>
      </w:tr>
      <w:tr w:rsidR="00B86812" w:rsidRPr="00E00B35" w:rsidTr="00B86812">
        <w:trPr>
          <w:cantSplit/>
          <w:trHeight w:val="20"/>
        </w:trPr>
        <w:tc>
          <w:tcPr>
            <w:tcW w:w="2500"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Ustrój, organizacja i zarządzanie</w:t>
            </w:r>
          </w:p>
        </w:tc>
        <w:tc>
          <w:tcPr>
            <w:tcW w:w="806"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29,4%</w:t>
            </w:r>
          </w:p>
        </w:tc>
        <w:tc>
          <w:tcPr>
            <w:tcW w:w="565"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35,4%</w:t>
            </w:r>
          </w:p>
        </w:tc>
        <w:tc>
          <w:tcPr>
            <w:tcW w:w="564"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28,4%</w:t>
            </w:r>
          </w:p>
        </w:tc>
        <w:tc>
          <w:tcPr>
            <w:tcW w:w="564" w:type="pct"/>
            <w:tcBorders>
              <w:top w:val="single" w:sz="4" w:space="0" w:color="auto"/>
              <w:left w:val="single" w:sz="4" w:space="0" w:color="auto"/>
              <w:bottom w:val="single" w:sz="4" w:space="0" w:color="auto"/>
              <w:right w:val="single" w:sz="4" w:space="0" w:color="auto"/>
            </w:tcBorders>
          </w:tcPr>
          <w:p w:rsidR="00B86812" w:rsidRPr="00E00B35" w:rsidRDefault="00B86812" w:rsidP="00E00B35">
            <w:pPr>
              <w:pStyle w:val="Tekstpodstawowywcity"/>
              <w:spacing w:after="0" w:line="312" w:lineRule="auto"/>
              <w:rPr>
                <w:bCs/>
                <w:szCs w:val="20"/>
              </w:rPr>
            </w:pPr>
            <w:r w:rsidRPr="00E00B35">
              <w:rPr>
                <w:bCs/>
                <w:szCs w:val="20"/>
              </w:rPr>
              <w:t>33,8%</w:t>
            </w:r>
          </w:p>
        </w:tc>
      </w:tr>
      <w:tr w:rsidR="00B86812" w:rsidRPr="00E00B35" w:rsidTr="00B86812">
        <w:trPr>
          <w:cantSplit/>
          <w:trHeight w:val="20"/>
        </w:trPr>
        <w:tc>
          <w:tcPr>
            <w:tcW w:w="2500" w:type="pct"/>
            <w:tcBorders>
              <w:top w:val="single" w:sz="4" w:space="0" w:color="auto"/>
              <w:left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Planowanie i zagospodarowanie przestrzenne, ład przestrzenny</w:t>
            </w:r>
          </w:p>
        </w:tc>
        <w:tc>
          <w:tcPr>
            <w:tcW w:w="806" w:type="pct"/>
            <w:tcBorders>
              <w:top w:val="single" w:sz="4" w:space="0" w:color="auto"/>
              <w:left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10,6%</w:t>
            </w:r>
          </w:p>
        </w:tc>
        <w:tc>
          <w:tcPr>
            <w:tcW w:w="565" w:type="pct"/>
            <w:tcBorders>
              <w:top w:val="single" w:sz="4" w:space="0" w:color="auto"/>
              <w:left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28,1%</w:t>
            </w:r>
          </w:p>
        </w:tc>
        <w:tc>
          <w:tcPr>
            <w:tcW w:w="564" w:type="pct"/>
            <w:tcBorders>
              <w:top w:val="single" w:sz="4" w:space="0" w:color="auto"/>
              <w:left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20,9%</w:t>
            </w:r>
          </w:p>
        </w:tc>
        <w:tc>
          <w:tcPr>
            <w:tcW w:w="564" w:type="pct"/>
            <w:tcBorders>
              <w:top w:val="single" w:sz="4" w:space="0" w:color="auto"/>
              <w:left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26,3%</w:t>
            </w:r>
          </w:p>
        </w:tc>
      </w:tr>
      <w:tr w:rsidR="00B86812" w:rsidRPr="00E00B35" w:rsidTr="00B86812">
        <w:trPr>
          <w:cantSplit/>
          <w:trHeight w:val="20"/>
        </w:trPr>
        <w:tc>
          <w:tcPr>
            <w:tcW w:w="2500" w:type="pct"/>
            <w:tcBorders>
              <w:top w:val="single" w:sz="4" w:space="0" w:color="auto"/>
              <w:left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lastRenderedPageBreak/>
              <w:t>Finanse i rachunkowość</w:t>
            </w:r>
          </w:p>
        </w:tc>
        <w:tc>
          <w:tcPr>
            <w:tcW w:w="806" w:type="pct"/>
            <w:tcBorders>
              <w:top w:val="single" w:sz="4" w:space="0" w:color="auto"/>
              <w:left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8,6%</w:t>
            </w:r>
          </w:p>
        </w:tc>
        <w:tc>
          <w:tcPr>
            <w:tcW w:w="565" w:type="pct"/>
            <w:tcBorders>
              <w:top w:val="single" w:sz="4" w:space="0" w:color="auto"/>
              <w:left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9,5%</w:t>
            </w:r>
          </w:p>
        </w:tc>
        <w:tc>
          <w:tcPr>
            <w:tcW w:w="564" w:type="pct"/>
            <w:tcBorders>
              <w:top w:val="single" w:sz="4" w:space="0" w:color="auto"/>
              <w:left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9,7%</w:t>
            </w:r>
          </w:p>
        </w:tc>
        <w:tc>
          <w:tcPr>
            <w:tcW w:w="564" w:type="pct"/>
            <w:tcBorders>
              <w:top w:val="single" w:sz="4" w:space="0" w:color="auto"/>
              <w:left w:val="single" w:sz="4" w:space="0" w:color="auto"/>
              <w:right w:val="single" w:sz="4" w:space="0" w:color="auto"/>
            </w:tcBorders>
          </w:tcPr>
          <w:p w:rsidR="00B86812" w:rsidRPr="00E00B35" w:rsidRDefault="00B86812" w:rsidP="00E00B35">
            <w:pPr>
              <w:pStyle w:val="Tekstpodstawowywcity"/>
              <w:spacing w:after="0" w:line="312" w:lineRule="auto"/>
              <w:rPr>
                <w:bCs/>
                <w:szCs w:val="20"/>
              </w:rPr>
            </w:pPr>
            <w:r w:rsidRPr="00E00B35">
              <w:rPr>
                <w:bCs/>
                <w:szCs w:val="20"/>
              </w:rPr>
              <w:t>11,3%</w:t>
            </w:r>
          </w:p>
        </w:tc>
      </w:tr>
      <w:tr w:rsidR="00B86812" w:rsidRPr="00E00B35" w:rsidTr="00B86812">
        <w:trPr>
          <w:cantSplit/>
          <w:trHeight w:val="20"/>
        </w:trPr>
        <w:tc>
          <w:tcPr>
            <w:tcW w:w="2500"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Edukacja i jednostki oświaty</w:t>
            </w:r>
          </w:p>
        </w:tc>
        <w:tc>
          <w:tcPr>
            <w:tcW w:w="806"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37,1%</w:t>
            </w:r>
          </w:p>
        </w:tc>
        <w:tc>
          <w:tcPr>
            <w:tcW w:w="565"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4,7%</w:t>
            </w:r>
          </w:p>
        </w:tc>
        <w:tc>
          <w:tcPr>
            <w:tcW w:w="564"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17,8%</w:t>
            </w:r>
          </w:p>
        </w:tc>
        <w:tc>
          <w:tcPr>
            <w:tcW w:w="564" w:type="pct"/>
            <w:tcBorders>
              <w:top w:val="single" w:sz="4" w:space="0" w:color="auto"/>
              <w:left w:val="single" w:sz="4" w:space="0" w:color="auto"/>
              <w:bottom w:val="single" w:sz="4" w:space="0" w:color="auto"/>
              <w:right w:val="single" w:sz="4" w:space="0" w:color="auto"/>
            </w:tcBorders>
          </w:tcPr>
          <w:p w:rsidR="00B86812" w:rsidRPr="00E00B35" w:rsidRDefault="00B86812" w:rsidP="00E00B35">
            <w:pPr>
              <w:pStyle w:val="Tekstpodstawowywcity"/>
              <w:spacing w:after="0" w:line="312" w:lineRule="auto"/>
              <w:rPr>
                <w:bCs/>
                <w:szCs w:val="20"/>
              </w:rPr>
            </w:pPr>
            <w:r w:rsidRPr="00E00B35">
              <w:rPr>
                <w:bCs/>
                <w:szCs w:val="20"/>
              </w:rPr>
              <w:t>10,7%</w:t>
            </w:r>
          </w:p>
        </w:tc>
      </w:tr>
      <w:tr w:rsidR="00B86812" w:rsidRPr="00E00B35" w:rsidTr="00B86812">
        <w:trPr>
          <w:cantSplit/>
          <w:trHeight w:val="20"/>
        </w:trPr>
        <w:tc>
          <w:tcPr>
            <w:tcW w:w="2500"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Repatriacja</w:t>
            </w:r>
          </w:p>
        </w:tc>
        <w:tc>
          <w:tcPr>
            <w:tcW w:w="806"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0,2%</w:t>
            </w:r>
          </w:p>
        </w:tc>
        <w:tc>
          <w:tcPr>
            <w:tcW w:w="565"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9,7%</w:t>
            </w:r>
          </w:p>
        </w:tc>
        <w:tc>
          <w:tcPr>
            <w:tcW w:w="564"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2,3%</w:t>
            </w:r>
          </w:p>
        </w:tc>
        <w:tc>
          <w:tcPr>
            <w:tcW w:w="564" w:type="pct"/>
            <w:tcBorders>
              <w:top w:val="single" w:sz="4" w:space="0" w:color="auto"/>
              <w:left w:val="single" w:sz="4" w:space="0" w:color="auto"/>
              <w:bottom w:val="single" w:sz="4" w:space="0" w:color="auto"/>
              <w:right w:val="single" w:sz="4" w:space="0" w:color="auto"/>
            </w:tcBorders>
          </w:tcPr>
          <w:p w:rsidR="00B86812" w:rsidRPr="00E00B35" w:rsidRDefault="00B86812" w:rsidP="00E00B35">
            <w:pPr>
              <w:pStyle w:val="Tekstpodstawowywcity"/>
              <w:spacing w:after="0" w:line="312" w:lineRule="auto"/>
              <w:rPr>
                <w:bCs/>
                <w:szCs w:val="20"/>
              </w:rPr>
            </w:pPr>
            <w:r w:rsidRPr="00E00B35">
              <w:rPr>
                <w:bCs/>
                <w:szCs w:val="20"/>
              </w:rPr>
              <w:t>2,0%</w:t>
            </w:r>
          </w:p>
        </w:tc>
      </w:tr>
      <w:tr w:rsidR="00B86812" w:rsidRPr="00E00B35" w:rsidTr="00B86812">
        <w:trPr>
          <w:cantSplit/>
          <w:trHeight w:val="20"/>
        </w:trPr>
        <w:tc>
          <w:tcPr>
            <w:tcW w:w="2500"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Inne</w:t>
            </w:r>
          </w:p>
        </w:tc>
        <w:tc>
          <w:tcPr>
            <w:tcW w:w="806"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14,1%</w:t>
            </w:r>
          </w:p>
        </w:tc>
        <w:tc>
          <w:tcPr>
            <w:tcW w:w="565"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12,6%</w:t>
            </w:r>
          </w:p>
        </w:tc>
        <w:tc>
          <w:tcPr>
            <w:tcW w:w="564"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Cs/>
                <w:szCs w:val="20"/>
              </w:rPr>
            </w:pPr>
            <w:r w:rsidRPr="00E00B35">
              <w:rPr>
                <w:bCs/>
                <w:szCs w:val="20"/>
              </w:rPr>
              <w:t>20,9%</w:t>
            </w:r>
          </w:p>
        </w:tc>
        <w:tc>
          <w:tcPr>
            <w:tcW w:w="564" w:type="pct"/>
            <w:tcBorders>
              <w:top w:val="single" w:sz="4" w:space="0" w:color="auto"/>
              <w:left w:val="single" w:sz="4" w:space="0" w:color="auto"/>
              <w:bottom w:val="single" w:sz="4" w:space="0" w:color="auto"/>
              <w:right w:val="single" w:sz="4" w:space="0" w:color="auto"/>
            </w:tcBorders>
          </w:tcPr>
          <w:p w:rsidR="00B86812" w:rsidRPr="00E00B35" w:rsidRDefault="00B86812" w:rsidP="00E00B35">
            <w:pPr>
              <w:pStyle w:val="Tekstpodstawowywcity"/>
              <w:spacing w:after="0" w:line="312" w:lineRule="auto"/>
              <w:rPr>
                <w:bCs/>
                <w:szCs w:val="20"/>
              </w:rPr>
            </w:pPr>
            <w:r w:rsidRPr="00E00B35">
              <w:rPr>
                <w:bCs/>
                <w:szCs w:val="20"/>
              </w:rPr>
              <w:t>15,9%</w:t>
            </w:r>
          </w:p>
        </w:tc>
      </w:tr>
      <w:tr w:rsidR="00B86812" w:rsidRPr="00E00B35" w:rsidTr="00B86812">
        <w:trPr>
          <w:cantSplit/>
          <w:trHeight w:val="20"/>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B86812" w:rsidRPr="00E00B35" w:rsidRDefault="00B86812" w:rsidP="00E00B35">
            <w:pPr>
              <w:pStyle w:val="Tekstpodstawowywcity"/>
              <w:spacing w:after="0" w:line="312" w:lineRule="auto"/>
              <w:ind w:left="113"/>
              <w:rPr>
                <w:b/>
                <w:bCs/>
                <w:szCs w:val="20"/>
              </w:rPr>
            </w:pPr>
            <w:r w:rsidRPr="00E00B35">
              <w:rPr>
                <w:b/>
                <w:bCs/>
                <w:szCs w:val="20"/>
              </w:rPr>
              <w:t>Ogółem</w:t>
            </w:r>
          </w:p>
        </w:tc>
        <w:tc>
          <w:tcPr>
            <w:tcW w:w="806"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
                <w:bCs/>
                <w:szCs w:val="20"/>
              </w:rPr>
            </w:pPr>
            <w:r w:rsidRPr="00E00B35">
              <w:rPr>
                <w:b/>
                <w:bCs/>
                <w:szCs w:val="20"/>
              </w:rPr>
              <w:t>100%</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rsidR="00B86812" w:rsidRPr="00E00B35" w:rsidRDefault="00B86812" w:rsidP="00E00B35">
            <w:pPr>
              <w:pStyle w:val="Tekstpodstawowywcity"/>
              <w:spacing w:after="0" w:line="312" w:lineRule="auto"/>
              <w:rPr>
                <w:b/>
                <w:bCs/>
                <w:szCs w:val="20"/>
              </w:rPr>
            </w:pPr>
            <w:r w:rsidRPr="00E00B35">
              <w:rPr>
                <w:b/>
                <w:bCs/>
                <w:szCs w:val="20"/>
              </w:rPr>
              <w:t>100%</w:t>
            </w:r>
          </w:p>
        </w:tc>
        <w:tc>
          <w:tcPr>
            <w:tcW w:w="564" w:type="pct"/>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pStyle w:val="Tekstpodstawowywcity"/>
              <w:spacing w:after="0" w:line="312" w:lineRule="auto"/>
              <w:rPr>
                <w:b/>
                <w:bCs/>
                <w:szCs w:val="20"/>
              </w:rPr>
            </w:pPr>
            <w:r w:rsidRPr="00E00B35">
              <w:rPr>
                <w:b/>
                <w:bCs/>
                <w:szCs w:val="20"/>
              </w:rPr>
              <w:t>100%</w:t>
            </w:r>
          </w:p>
        </w:tc>
        <w:tc>
          <w:tcPr>
            <w:tcW w:w="564" w:type="pct"/>
            <w:tcBorders>
              <w:top w:val="single" w:sz="4" w:space="0" w:color="auto"/>
              <w:left w:val="single" w:sz="4" w:space="0" w:color="auto"/>
              <w:bottom w:val="single" w:sz="4" w:space="0" w:color="auto"/>
              <w:right w:val="single" w:sz="4" w:space="0" w:color="auto"/>
            </w:tcBorders>
          </w:tcPr>
          <w:p w:rsidR="00B86812" w:rsidRPr="00E00B35" w:rsidRDefault="00B86812" w:rsidP="00E00B35">
            <w:pPr>
              <w:pStyle w:val="Tekstpodstawowywcity"/>
              <w:spacing w:after="0" w:line="312" w:lineRule="auto"/>
              <w:rPr>
                <w:b/>
                <w:bCs/>
                <w:szCs w:val="20"/>
              </w:rPr>
            </w:pPr>
            <w:r w:rsidRPr="00E00B35">
              <w:rPr>
                <w:b/>
                <w:bCs/>
                <w:szCs w:val="20"/>
              </w:rPr>
              <w:t>100</w:t>
            </w:r>
          </w:p>
        </w:tc>
      </w:tr>
    </w:tbl>
    <w:p w:rsidR="00B86812" w:rsidRPr="00E00B35" w:rsidRDefault="00B86812" w:rsidP="00E00B35">
      <w:pPr>
        <w:spacing w:after="0" w:line="312" w:lineRule="auto"/>
        <w:rPr>
          <w:szCs w:val="20"/>
        </w:rPr>
      </w:pPr>
      <w:r w:rsidRPr="00E00B35">
        <w:rPr>
          <w:szCs w:val="20"/>
        </w:rPr>
        <w:t>Źródło: UMW</w:t>
      </w:r>
    </w:p>
    <w:p w:rsidR="00B86812" w:rsidRPr="00E00B35" w:rsidRDefault="00B86812" w:rsidP="00E00B35">
      <w:pPr>
        <w:spacing w:after="0" w:line="312" w:lineRule="auto"/>
        <w:rPr>
          <w:b/>
          <w:szCs w:val="20"/>
        </w:rPr>
      </w:pPr>
    </w:p>
    <w:p w:rsidR="00B86812" w:rsidRPr="00E00B35" w:rsidRDefault="00B86812" w:rsidP="00E00B35">
      <w:pPr>
        <w:spacing w:after="0" w:line="312" w:lineRule="auto"/>
        <w:rPr>
          <w:szCs w:val="20"/>
        </w:rPr>
      </w:pPr>
      <w:r w:rsidRPr="00E00B35">
        <w:rPr>
          <w:b/>
          <w:szCs w:val="20"/>
        </w:rPr>
        <w:t xml:space="preserve">W sumie </w:t>
      </w:r>
      <w:r w:rsidRPr="00E00B35">
        <w:rPr>
          <w:szCs w:val="20"/>
        </w:rPr>
        <w:t xml:space="preserve">w latach 2018-2020 w bieżącej </w:t>
      </w:r>
      <w:r w:rsidRPr="00E00B35">
        <w:rPr>
          <w:b/>
          <w:szCs w:val="20"/>
        </w:rPr>
        <w:t xml:space="preserve">VIII kadencji </w:t>
      </w:r>
      <w:r w:rsidRPr="00E00B35">
        <w:rPr>
          <w:szCs w:val="20"/>
        </w:rPr>
        <w:t xml:space="preserve">wydano </w:t>
      </w:r>
      <w:r w:rsidRPr="00E00B35">
        <w:rPr>
          <w:b/>
          <w:szCs w:val="20"/>
        </w:rPr>
        <w:t>5.305 aktów prawnych</w:t>
      </w:r>
      <w:r w:rsidRPr="00E00B35">
        <w:rPr>
          <w:szCs w:val="20"/>
        </w:rPr>
        <w:t xml:space="preserve"> (Prezydent –4.459, Rada – 846).</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b/>
          <w:szCs w:val="20"/>
        </w:rPr>
      </w:pPr>
      <w:r w:rsidRPr="00E00B35">
        <w:rPr>
          <w:b/>
          <w:szCs w:val="20"/>
        </w:rPr>
        <w:t xml:space="preserve">Od I kadencji do końca 2020 r. VIII kadencji </w:t>
      </w:r>
      <w:r w:rsidRPr="00E00B35">
        <w:rPr>
          <w:szCs w:val="20"/>
        </w:rPr>
        <w:t xml:space="preserve">podjęto ogółem </w:t>
      </w:r>
      <w:r w:rsidRPr="00E00B35">
        <w:rPr>
          <w:b/>
          <w:szCs w:val="20"/>
        </w:rPr>
        <w:t>75.699 aktów prawnych</w:t>
      </w:r>
      <w:r w:rsidRPr="00E00B35">
        <w:rPr>
          <w:szCs w:val="20"/>
        </w:rPr>
        <w:t>, z czego:</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12</w:t>
      </w:r>
      <w:r w:rsidR="00F90072" w:rsidRPr="00E00B35">
        <w:rPr>
          <w:b/>
          <w:szCs w:val="20"/>
        </w:rPr>
        <w:t xml:space="preserve"> </w:t>
      </w:r>
      <w:r w:rsidRPr="00E00B35">
        <w:rPr>
          <w:b/>
          <w:szCs w:val="20"/>
        </w:rPr>
        <w:t xml:space="preserve">588 </w:t>
      </w:r>
      <w:r w:rsidRPr="00E00B35">
        <w:rPr>
          <w:szCs w:val="20"/>
        </w:rPr>
        <w:t xml:space="preserve">przez </w:t>
      </w:r>
      <w:r w:rsidRPr="00E00B35">
        <w:rPr>
          <w:b/>
          <w:szCs w:val="20"/>
        </w:rPr>
        <w:t>Radę</w:t>
      </w:r>
      <w:r w:rsidRPr="00E00B35">
        <w:rPr>
          <w:szCs w:val="20"/>
        </w:rPr>
        <w:t xml:space="preserve"> Miejską Wrocławia (12.489 uchwał, 64 stanowiska, 24 apele i 11 rezolucji),</w:t>
      </w:r>
    </w:p>
    <w:p w:rsidR="00B86812" w:rsidRPr="00E00B35" w:rsidRDefault="00B86812" w:rsidP="00BC64AB">
      <w:pPr>
        <w:pStyle w:val="Akapitzlist"/>
        <w:numPr>
          <w:ilvl w:val="0"/>
          <w:numId w:val="296"/>
        </w:numPr>
        <w:spacing w:after="0" w:line="312" w:lineRule="auto"/>
        <w:ind w:left="426" w:hanging="426"/>
        <w:rPr>
          <w:szCs w:val="20"/>
        </w:rPr>
      </w:pPr>
      <w:r w:rsidRPr="00E00B35">
        <w:rPr>
          <w:b/>
          <w:szCs w:val="20"/>
        </w:rPr>
        <w:t>13</w:t>
      </w:r>
      <w:r w:rsidR="00F90072" w:rsidRPr="00E00B35">
        <w:rPr>
          <w:b/>
          <w:szCs w:val="20"/>
        </w:rPr>
        <w:t xml:space="preserve"> </w:t>
      </w:r>
      <w:r w:rsidRPr="00E00B35">
        <w:rPr>
          <w:b/>
          <w:szCs w:val="20"/>
        </w:rPr>
        <w:t xml:space="preserve">549 </w:t>
      </w:r>
      <w:r w:rsidRPr="00E00B35">
        <w:rPr>
          <w:szCs w:val="20"/>
        </w:rPr>
        <w:t xml:space="preserve">przez </w:t>
      </w:r>
      <w:r w:rsidRPr="00E00B35">
        <w:rPr>
          <w:b/>
          <w:szCs w:val="20"/>
        </w:rPr>
        <w:t>Zarząd</w:t>
      </w:r>
      <w:r w:rsidRPr="00E00B35">
        <w:rPr>
          <w:szCs w:val="20"/>
        </w:rPr>
        <w:t xml:space="preserve"> Miasta Wrocławia (13.548 uchwał i jedno zarządzenie porządkowe związane z powodzią w 1997 r.),]</w:t>
      </w:r>
    </w:p>
    <w:p w:rsidR="00B86812" w:rsidRPr="00E00B35" w:rsidRDefault="00F90072" w:rsidP="00BC64AB">
      <w:pPr>
        <w:pStyle w:val="Akapitzlist"/>
        <w:numPr>
          <w:ilvl w:val="0"/>
          <w:numId w:val="296"/>
        </w:numPr>
        <w:spacing w:after="0" w:line="312" w:lineRule="auto"/>
        <w:ind w:left="426" w:hanging="426"/>
        <w:rPr>
          <w:szCs w:val="20"/>
        </w:rPr>
      </w:pPr>
      <w:r w:rsidRPr="00E00B35">
        <w:rPr>
          <w:b/>
          <w:szCs w:val="20"/>
        </w:rPr>
        <w:t xml:space="preserve">49 </w:t>
      </w:r>
      <w:r w:rsidR="00B86812" w:rsidRPr="00E00B35">
        <w:rPr>
          <w:b/>
          <w:szCs w:val="20"/>
        </w:rPr>
        <w:t xml:space="preserve">562 </w:t>
      </w:r>
      <w:r w:rsidR="00B86812" w:rsidRPr="00E00B35">
        <w:rPr>
          <w:szCs w:val="20"/>
        </w:rPr>
        <w:t xml:space="preserve">przez </w:t>
      </w:r>
      <w:r w:rsidR="00B86812" w:rsidRPr="00E00B35">
        <w:rPr>
          <w:b/>
          <w:szCs w:val="20"/>
        </w:rPr>
        <w:t>Prezydenta</w:t>
      </w:r>
      <w:r w:rsidR="00B86812" w:rsidRPr="00E00B35">
        <w:rPr>
          <w:szCs w:val="20"/>
        </w:rPr>
        <w:t xml:space="preserve"> Wrocławia (48.293 zarządzenia organu oraz zbiór wewnętrznych aktów liczący 1.269 dokumentów, w tym 1.085 zarządzeń kierownika, 23 zarządzenia starosty z lat 1999-2002, 115 postanowień z lat 1990-2002 oraz 46 pism okólnych).</w:t>
      </w:r>
    </w:p>
    <w:p w:rsidR="00B86812" w:rsidRPr="00E00B35" w:rsidRDefault="00B86812" w:rsidP="00E00B35">
      <w:pPr>
        <w:spacing w:after="0" w:line="312" w:lineRule="auto"/>
        <w:rPr>
          <w:szCs w:val="20"/>
        </w:rPr>
      </w:pPr>
    </w:p>
    <w:p w:rsidR="00B86812" w:rsidRPr="00E00B35" w:rsidRDefault="00B86812" w:rsidP="00E00B35">
      <w:pPr>
        <w:spacing w:after="0" w:line="312" w:lineRule="auto"/>
        <w:ind w:left="357" w:hanging="357"/>
        <w:rPr>
          <w:szCs w:val="20"/>
        </w:rPr>
      </w:pPr>
      <w:r w:rsidRPr="00E00B35">
        <w:rPr>
          <w:szCs w:val="20"/>
        </w:rPr>
        <w:t>Zestawienie wydanych aktów prawnych w okresie od 27 maja 1990 r. do 31 grudnia 2020 r.</w:t>
      </w:r>
    </w:p>
    <w:tbl>
      <w:tblPr>
        <w:tblW w:w="9142"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346"/>
        <w:gridCol w:w="851"/>
        <w:gridCol w:w="1134"/>
        <w:gridCol w:w="708"/>
        <w:gridCol w:w="993"/>
        <w:gridCol w:w="850"/>
        <w:gridCol w:w="1207"/>
        <w:gridCol w:w="1203"/>
        <w:gridCol w:w="850"/>
      </w:tblGrid>
      <w:tr w:rsidR="00B86812" w:rsidRPr="00E00B35" w:rsidTr="00F90072">
        <w:trPr>
          <w:cantSplit/>
          <w:trHeight w:val="20"/>
          <w:tblHeader/>
        </w:trPr>
        <w:tc>
          <w:tcPr>
            <w:tcW w:w="1346" w:type="dxa"/>
            <w:vMerge w:val="restart"/>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szCs w:val="20"/>
              </w:rPr>
            </w:pPr>
            <w:r w:rsidRPr="00E00B35">
              <w:rPr>
                <w:szCs w:val="20"/>
              </w:rPr>
              <w:t>Okres</w:t>
            </w:r>
          </w:p>
        </w:tc>
        <w:tc>
          <w:tcPr>
            <w:tcW w:w="3686" w:type="dxa"/>
            <w:gridSpan w:val="4"/>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szCs w:val="20"/>
              </w:rPr>
            </w:pPr>
            <w:r w:rsidRPr="00E00B35">
              <w:rPr>
                <w:szCs w:val="20"/>
              </w:rPr>
              <w:t>Rada Miejska Wrocławia</w:t>
            </w:r>
          </w:p>
        </w:tc>
        <w:tc>
          <w:tcPr>
            <w:tcW w:w="2057" w:type="dxa"/>
            <w:gridSpan w:val="2"/>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szCs w:val="20"/>
              </w:rPr>
            </w:pPr>
            <w:r w:rsidRPr="00E00B35">
              <w:rPr>
                <w:szCs w:val="20"/>
              </w:rPr>
              <w:t xml:space="preserve"> Zarząd Miasta</w:t>
            </w:r>
          </w:p>
          <w:p w:rsidR="00B86812" w:rsidRPr="00E00B35" w:rsidRDefault="00B86812" w:rsidP="00E00B35">
            <w:pPr>
              <w:spacing w:after="0" w:line="312" w:lineRule="auto"/>
              <w:rPr>
                <w:szCs w:val="20"/>
              </w:rPr>
            </w:pPr>
            <w:r w:rsidRPr="00E00B35">
              <w:rPr>
                <w:szCs w:val="20"/>
              </w:rPr>
              <w:t>Wrocławia</w:t>
            </w:r>
          </w:p>
        </w:tc>
        <w:tc>
          <w:tcPr>
            <w:tcW w:w="1203"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szCs w:val="20"/>
              </w:rPr>
            </w:pPr>
            <w:r w:rsidRPr="00E00B35">
              <w:rPr>
                <w:szCs w:val="20"/>
              </w:rPr>
              <w:t>Prezydent Wrocławia</w:t>
            </w:r>
          </w:p>
        </w:tc>
        <w:tc>
          <w:tcPr>
            <w:tcW w:w="850" w:type="dxa"/>
            <w:vMerge w:val="restart"/>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Cs/>
                <w:szCs w:val="20"/>
              </w:rPr>
            </w:pPr>
            <w:r w:rsidRPr="00E00B35">
              <w:rPr>
                <w:bCs/>
                <w:szCs w:val="20"/>
              </w:rPr>
              <w:t>Ogółem</w:t>
            </w:r>
          </w:p>
        </w:tc>
      </w:tr>
      <w:tr w:rsidR="00B86812" w:rsidRPr="00E00B35" w:rsidTr="00F90072">
        <w:trPr>
          <w:cantSplit/>
          <w:trHeight w:val="532"/>
          <w:tblHeader/>
        </w:trPr>
        <w:tc>
          <w:tcPr>
            <w:tcW w:w="1346" w:type="dxa"/>
            <w:vMerge/>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
                <w:szCs w:val="20"/>
              </w:rPr>
            </w:pPr>
          </w:p>
        </w:tc>
        <w:tc>
          <w:tcPr>
            <w:tcW w:w="851"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szCs w:val="20"/>
              </w:rPr>
            </w:pPr>
            <w:r w:rsidRPr="00E00B35">
              <w:rPr>
                <w:szCs w:val="20"/>
              </w:rPr>
              <w:t>uchwały</w:t>
            </w:r>
          </w:p>
        </w:tc>
        <w:tc>
          <w:tcPr>
            <w:tcW w:w="1134"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szCs w:val="20"/>
              </w:rPr>
            </w:pPr>
            <w:r w:rsidRPr="00E00B35">
              <w:rPr>
                <w:szCs w:val="20"/>
              </w:rPr>
              <w:t>stanowiska</w:t>
            </w:r>
          </w:p>
        </w:tc>
        <w:tc>
          <w:tcPr>
            <w:tcW w:w="708"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szCs w:val="20"/>
              </w:rPr>
            </w:pPr>
            <w:r w:rsidRPr="00E00B35">
              <w:rPr>
                <w:szCs w:val="20"/>
              </w:rPr>
              <w:t>apele</w:t>
            </w:r>
          </w:p>
        </w:tc>
        <w:tc>
          <w:tcPr>
            <w:tcW w:w="993"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szCs w:val="20"/>
              </w:rPr>
            </w:pPr>
            <w:r w:rsidRPr="00E00B35">
              <w:rPr>
                <w:szCs w:val="20"/>
              </w:rPr>
              <w:t>rezolucje</w:t>
            </w:r>
          </w:p>
        </w:tc>
        <w:tc>
          <w:tcPr>
            <w:tcW w:w="850"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szCs w:val="20"/>
              </w:rPr>
            </w:pPr>
            <w:r w:rsidRPr="00E00B35">
              <w:rPr>
                <w:szCs w:val="20"/>
              </w:rPr>
              <w:t>uchwały</w:t>
            </w:r>
          </w:p>
        </w:tc>
        <w:tc>
          <w:tcPr>
            <w:tcW w:w="1207"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szCs w:val="20"/>
              </w:rPr>
            </w:pPr>
            <w:r w:rsidRPr="00E00B35">
              <w:rPr>
                <w:szCs w:val="20"/>
              </w:rPr>
              <w:t>zarządzenie</w:t>
            </w:r>
          </w:p>
          <w:p w:rsidR="00B86812" w:rsidRPr="00E00B35" w:rsidRDefault="00B86812" w:rsidP="00E00B35">
            <w:pPr>
              <w:spacing w:after="0" w:line="312" w:lineRule="auto"/>
              <w:rPr>
                <w:szCs w:val="20"/>
              </w:rPr>
            </w:pPr>
            <w:r w:rsidRPr="00E00B35">
              <w:rPr>
                <w:szCs w:val="20"/>
              </w:rPr>
              <w:t>porządkowe</w:t>
            </w:r>
          </w:p>
        </w:tc>
        <w:tc>
          <w:tcPr>
            <w:tcW w:w="1203"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szCs w:val="20"/>
              </w:rPr>
            </w:pPr>
            <w:r w:rsidRPr="00E00B35">
              <w:rPr>
                <w:szCs w:val="20"/>
              </w:rPr>
              <w:t>zarządzenia</w:t>
            </w:r>
          </w:p>
          <w:p w:rsidR="00B86812" w:rsidRPr="00E00B35" w:rsidRDefault="00B86812" w:rsidP="00E00B35">
            <w:pPr>
              <w:spacing w:after="0" w:line="312" w:lineRule="auto"/>
              <w:rPr>
                <w:szCs w:val="20"/>
              </w:rPr>
            </w:pPr>
            <w:r w:rsidRPr="00E00B35">
              <w:rPr>
                <w:szCs w:val="20"/>
              </w:rPr>
              <w:t>organu</w:t>
            </w:r>
          </w:p>
        </w:tc>
        <w:tc>
          <w:tcPr>
            <w:tcW w:w="850" w:type="dxa"/>
            <w:vMerge/>
            <w:tcBorders>
              <w:top w:val="single" w:sz="12" w:space="0" w:color="auto"/>
              <w:left w:val="single" w:sz="12" w:space="0" w:color="auto"/>
              <w:bottom w:val="single" w:sz="12" w:space="0" w:color="auto"/>
              <w:right w:val="single" w:sz="12" w:space="0" w:color="auto"/>
            </w:tcBorders>
          </w:tcPr>
          <w:p w:rsidR="00B86812" w:rsidRPr="00E00B35" w:rsidRDefault="00B86812" w:rsidP="00E00B35">
            <w:pPr>
              <w:spacing w:after="0" w:line="312" w:lineRule="auto"/>
              <w:rPr>
                <w:szCs w:val="20"/>
              </w:rPr>
            </w:pPr>
          </w:p>
        </w:tc>
      </w:tr>
      <w:tr w:rsidR="00B86812" w:rsidRPr="00E00B35" w:rsidTr="00B86812">
        <w:trPr>
          <w:cantSplit/>
          <w:trHeight w:val="399"/>
        </w:trPr>
        <w:tc>
          <w:tcPr>
            <w:tcW w:w="9142" w:type="dxa"/>
            <w:gridSpan w:val="9"/>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
                <w:szCs w:val="20"/>
              </w:rPr>
            </w:pPr>
            <w:r w:rsidRPr="00E00B35">
              <w:rPr>
                <w:b/>
                <w:szCs w:val="20"/>
              </w:rPr>
              <w:t>akty prawn</w:t>
            </w:r>
            <w:r w:rsidR="00F90072" w:rsidRPr="00E00B35">
              <w:rPr>
                <w:b/>
                <w:szCs w:val="20"/>
              </w:rPr>
              <w:t>e organów miasta z lat 1990-2020</w:t>
            </w:r>
          </w:p>
        </w:tc>
      </w:tr>
      <w:tr w:rsidR="00B86812" w:rsidRPr="00E00B35" w:rsidTr="00B86812">
        <w:trPr>
          <w:cantSplit/>
          <w:trHeight w:val="20"/>
        </w:trPr>
        <w:tc>
          <w:tcPr>
            <w:tcW w:w="1346" w:type="dxa"/>
            <w:tcBorders>
              <w:top w:val="single" w:sz="12"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kadencja I</w:t>
            </w:r>
          </w:p>
          <w:p w:rsidR="00B86812" w:rsidRPr="00E00B35" w:rsidRDefault="00B86812" w:rsidP="00E00B35">
            <w:pPr>
              <w:spacing w:after="0" w:line="312" w:lineRule="auto"/>
              <w:rPr>
                <w:b/>
                <w:szCs w:val="20"/>
              </w:rPr>
            </w:pPr>
            <w:r w:rsidRPr="00E00B35">
              <w:rPr>
                <w:b/>
                <w:szCs w:val="20"/>
              </w:rPr>
              <w:t>1990-1994</w:t>
            </w:r>
          </w:p>
        </w:tc>
        <w:tc>
          <w:tcPr>
            <w:tcW w:w="851" w:type="dxa"/>
            <w:tcBorders>
              <w:top w:val="single" w:sz="12"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538</w:t>
            </w:r>
          </w:p>
        </w:tc>
        <w:tc>
          <w:tcPr>
            <w:tcW w:w="1134" w:type="dxa"/>
            <w:tcBorders>
              <w:top w:val="single" w:sz="12"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3</w:t>
            </w:r>
          </w:p>
        </w:tc>
        <w:tc>
          <w:tcPr>
            <w:tcW w:w="708" w:type="dxa"/>
            <w:tcBorders>
              <w:top w:val="single" w:sz="12"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993" w:type="dxa"/>
            <w:tcBorders>
              <w:top w:val="single" w:sz="12"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850" w:type="dxa"/>
            <w:tcBorders>
              <w:top w:val="single" w:sz="12"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2.144</w:t>
            </w:r>
          </w:p>
        </w:tc>
        <w:tc>
          <w:tcPr>
            <w:tcW w:w="1207" w:type="dxa"/>
            <w:tcBorders>
              <w:top w:val="single" w:sz="12"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1203" w:type="dxa"/>
            <w:tcBorders>
              <w:top w:val="single" w:sz="12"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850" w:type="dxa"/>
            <w:tcBorders>
              <w:top w:val="single" w:sz="12"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bCs/>
                <w:szCs w:val="20"/>
              </w:rPr>
            </w:pPr>
            <w:r w:rsidRPr="00E00B35">
              <w:rPr>
                <w:b/>
                <w:bCs/>
                <w:szCs w:val="20"/>
              </w:rPr>
              <w:t>2.685</w:t>
            </w:r>
          </w:p>
        </w:tc>
      </w:tr>
      <w:tr w:rsidR="00B86812" w:rsidRPr="00E00B35" w:rsidTr="00B86812">
        <w:trPr>
          <w:cantSplit/>
          <w:trHeight w:val="20"/>
        </w:trPr>
        <w:tc>
          <w:tcPr>
            <w:tcW w:w="1346"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kadencja II</w:t>
            </w:r>
          </w:p>
          <w:p w:rsidR="00B86812" w:rsidRPr="00E00B35" w:rsidRDefault="00B86812" w:rsidP="00E00B35">
            <w:pPr>
              <w:spacing w:after="0" w:line="312" w:lineRule="auto"/>
              <w:rPr>
                <w:b/>
                <w:szCs w:val="20"/>
              </w:rPr>
            </w:pPr>
            <w:r w:rsidRPr="00E00B35">
              <w:rPr>
                <w:b/>
                <w:szCs w:val="20"/>
              </w:rPr>
              <w:t>1994-1998</w:t>
            </w:r>
          </w:p>
        </w:tc>
        <w:tc>
          <w:tcPr>
            <w:tcW w:w="851"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820</w:t>
            </w:r>
          </w:p>
        </w:tc>
        <w:tc>
          <w:tcPr>
            <w:tcW w:w="1134"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24</w:t>
            </w:r>
          </w:p>
        </w:tc>
        <w:tc>
          <w:tcPr>
            <w:tcW w:w="708"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3</w:t>
            </w:r>
          </w:p>
        </w:tc>
        <w:tc>
          <w:tcPr>
            <w:tcW w:w="99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3</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4.743</w:t>
            </w:r>
          </w:p>
        </w:tc>
        <w:tc>
          <w:tcPr>
            <w:tcW w:w="1207"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1</w:t>
            </w:r>
          </w:p>
        </w:tc>
        <w:tc>
          <w:tcPr>
            <w:tcW w:w="120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bCs/>
                <w:szCs w:val="20"/>
              </w:rPr>
            </w:pPr>
            <w:r w:rsidRPr="00E00B35">
              <w:rPr>
                <w:b/>
                <w:bCs/>
                <w:szCs w:val="20"/>
              </w:rPr>
              <w:t>5.594</w:t>
            </w:r>
          </w:p>
        </w:tc>
      </w:tr>
      <w:tr w:rsidR="00B86812" w:rsidRPr="00E00B35" w:rsidTr="00B86812">
        <w:trPr>
          <w:cantSplit/>
          <w:trHeight w:val="20"/>
        </w:trPr>
        <w:tc>
          <w:tcPr>
            <w:tcW w:w="1346"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lastRenderedPageBreak/>
              <w:t>kadencja III</w:t>
            </w:r>
          </w:p>
          <w:p w:rsidR="00B86812" w:rsidRPr="00E00B35" w:rsidRDefault="00B86812" w:rsidP="00E00B35">
            <w:pPr>
              <w:spacing w:after="0" w:line="312" w:lineRule="auto"/>
              <w:rPr>
                <w:b/>
                <w:szCs w:val="20"/>
              </w:rPr>
            </w:pPr>
            <w:r w:rsidRPr="00E00B35">
              <w:rPr>
                <w:b/>
                <w:szCs w:val="20"/>
              </w:rPr>
              <w:t>1998-2002</w:t>
            </w:r>
          </w:p>
        </w:tc>
        <w:tc>
          <w:tcPr>
            <w:tcW w:w="851"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1.878</w:t>
            </w:r>
          </w:p>
        </w:tc>
        <w:tc>
          <w:tcPr>
            <w:tcW w:w="1134"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8</w:t>
            </w:r>
          </w:p>
        </w:tc>
        <w:tc>
          <w:tcPr>
            <w:tcW w:w="708"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6.661</w:t>
            </w:r>
          </w:p>
        </w:tc>
        <w:tc>
          <w:tcPr>
            <w:tcW w:w="1207"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120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bCs/>
                <w:szCs w:val="20"/>
              </w:rPr>
            </w:pPr>
            <w:r w:rsidRPr="00E00B35">
              <w:rPr>
                <w:b/>
                <w:bCs/>
                <w:szCs w:val="20"/>
              </w:rPr>
              <w:t>8.548</w:t>
            </w:r>
          </w:p>
        </w:tc>
      </w:tr>
      <w:tr w:rsidR="00B86812" w:rsidRPr="00E00B35" w:rsidTr="00B86812">
        <w:trPr>
          <w:cantSplit/>
          <w:trHeight w:val="20"/>
        </w:trPr>
        <w:tc>
          <w:tcPr>
            <w:tcW w:w="1346"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kadencja IV</w:t>
            </w:r>
          </w:p>
          <w:p w:rsidR="00B86812" w:rsidRPr="00E00B35" w:rsidRDefault="00B86812" w:rsidP="00E00B35">
            <w:pPr>
              <w:spacing w:after="0" w:line="312" w:lineRule="auto"/>
              <w:rPr>
                <w:b/>
                <w:szCs w:val="20"/>
              </w:rPr>
            </w:pPr>
            <w:r w:rsidRPr="00E00B35">
              <w:rPr>
                <w:b/>
                <w:szCs w:val="20"/>
              </w:rPr>
              <w:t>2002-2006</w:t>
            </w:r>
          </w:p>
        </w:tc>
        <w:tc>
          <w:tcPr>
            <w:tcW w:w="851"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3.390</w:t>
            </w:r>
          </w:p>
        </w:tc>
        <w:tc>
          <w:tcPr>
            <w:tcW w:w="1134"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8</w:t>
            </w:r>
          </w:p>
        </w:tc>
        <w:tc>
          <w:tcPr>
            <w:tcW w:w="708"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1207"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120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9.120</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bCs/>
                <w:szCs w:val="20"/>
              </w:rPr>
            </w:pPr>
            <w:r w:rsidRPr="00E00B35">
              <w:rPr>
                <w:b/>
                <w:bCs/>
                <w:szCs w:val="20"/>
              </w:rPr>
              <w:t>12.520</w:t>
            </w:r>
          </w:p>
        </w:tc>
      </w:tr>
      <w:tr w:rsidR="00B86812" w:rsidRPr="00E00B35" w:rsidTr="00B86812">
        <w:trPr>
          <w:cantSplit/>
          <w:trHeight w:val="20"/>
        </w:trPr>
        <w:tc>
          <w:tcPr>
            <w:tcW w:w="1346"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kadencja V</w:t>
            </w:r>
          </w:p>
          <w:p w:rsidR="00B86812" w:rsidRPr="00E00B35" w:rsidRDefault="00B86812" w:rsidP="00E00B35">
            <w:pPr>
              <w:spacing w:after="0" w:line="312" w:lineRule="auto"/>
              <w:rPr>
                <w:b/>
                <w:szCs w:val="20"/>
              </w:rPr>
            </w:pPr>
            <w:r w:rsidRPr="00E00B35">
              <w:rPr>
                <w:b/>
                <w:szCs w:val="20"/>
              </w:rPr>
              <w:t>2006-2010</w:t>
            </w:r>
          </w:p>
        </w:tc>
        <w:tc>
          <w:tcPr>
            <w:tcW w:w="851"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1.738</w:t>
            </w:r>
          </w:p>
        </w:tc>
        <w:tc>
          <w:tcPr>
            <w:tcW w:w="1134"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1</w:t>
            </w:r>
          </w:p>
        </w:tc>
        <w:tc>
          <w:tcPr>
            <w:tcW w:w="708"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3</w:t>
            </w:r>
          </w:p>
        </w:tc>
        <w:tc>
          <w:tcPr>
            <w:tcW w:w="99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1207"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120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11.200</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bCs/>
                <w:szCs w:val="20"/>
              </w:rPr>
            </w:pPr>
            <w:r w:rsidRPr="00E00B35">
              <w:rPr>
                <w:b/>
                <w:bCs/>
                <w:szCs w:val="20"/>
              </w:rPr>
              <w:t>12.942</w:t>
            </w:r>
          </w:p>
        </w:tc>
      </w:tr>
      <w:tr w:rsidR="00B86812" w:rsidRPr="00E00B35" w:rsidTr="00B86812">
        <w:trPr>
          <w:cantSplit/>
          <w:trHeight w:val="20"/>
        </w:trPr>
        <w:tc>
          <w:tcPr>
            <w:tcW w:w="1346"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kadencja VI</w:t>
            </w:r>
          </w:p>
          <w:p w:rsidR="00B86812" w:rsidRPr="00E00B35" w:rsidRDefault="00B86812" w:rsidP="00E00B35">
            <w:pPr>
              <w:spacing w:after="0" w:line="312" w:lineRule="auto"/>
              <w:rPr>
                <w:b/>
                <w:szCs w:val="20"/>
              </w:rPr>
            </w:pPr>
            <w:r w:rsidRPr="00E00B35">
              <w:rPr>
                <w:b/>
                <w:szCs w:val="20"/>
              </w:rPr>
              <w:t>2010-2014</w:t>
            </w:r>
          </w:p>
        </w:tc>
        <w:tc>
          <w:tcPr>
            <w:tcW w:w="851"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1.711</w:t>
            </w:r>
          </w:p>
        </w:tc>
        <w:tc>
          <w:tcPr>
            <w:tcW w:w="1134"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7</w:t>
            </w:r>
          </w:p>
        </w:tc>
        <w:tc>
          <w:tcPr>
            <w:tcW w:w="708"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6</w:t>
            </w:r>
          </w:p>
        </w:tc>
        <w:tc>
          <w:tcPr>
            <w:tcW w:w="99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1207"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120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12.684</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bCs/>
                <w:szCs w:val="20"/>
              </w:rPr>
            </w:pPr>
            <w:r w:rsidRPr="00E00B35">
              <w:rPr>
                <w:b/>
                <w:bCs/>
                <w:szCs w:val="20"/>
              </w:rPr>
              <w:t>14.408</w:t>
            </w:r>
          </w:p>
        </w:tc>
      </w:tr>
      <w:tr w:rsidR="00B86812" w:rsidRPr="00E00B35" w:rsidTr="00B86812">
        <w:trPr>
          <w:cantSplit/>
          <w:trHeight w:val="20"/>
        </w:trPr>
        <w:tc>
          <w:tcPr>
            <w:tcW w:w="1346"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kadencja VII</w:t>
            </w:r>
          </w:p>
          <w:p w:rsidR="00B86812" w:rsidRPr="00E00B35" w:rsidRDefault="00B86812" w:rsidP="00E00B35">
            <w:pPr>
              <w:spacing w:after="0" w:line="312" w:lineRule="auto"/>
              <w:rPr>
                <w:b/>
                <w:szCs w:val="20"/>
              </w:rPr>
            </w:pPr>
            <w:r w:rsidRPr="00E00B35">
              <w:rPr>
                <w:b/>
                <w:szCs w:val="20"/>
              </w:rPr>
              <w:t>2014-2018</w:t>
            </w:r>
          </w:p>
        </w:tc>
        <w:tc>
          <w:tcPr>
            <w:tcW w:w="851"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1.581</w:t>
            </w:r>
          </w:p>
        </w:tc>
        <w:tc>
          <w:tcPr>
            <w:tcW w:w="1134"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9</w:t>
            </w:r>
          </w:p>
        </w:tc>
        <w:tc>
          <w:tcPr>
            <w:tcW w:w="708"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5</w:t>
            </w:r>
          </w:p>
        </w:tc>
        <w:tc>
          <w:tcPr>
            <w:tcW w:w="99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3</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1207"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w:t>
            </w:r>
          </w:p>
        </w:tc>
        <w:tc>
          <w:tcPr>
            <w:tcW w:w="120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Cs/>
                <w:szCs w:val="20"/>
              </w:rPr>
            </w:pPr>
            <w:r w:rsidRPr="00E00B35">
              <w:rPr>
                <w:bCs/>
                <w:szCs w:val="20"/>
              </w:rPr>
              <w:t>10.919</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bCs/>
                <w:szCs w:val="20"/>
              </w:rPr>
            </w:pPr>
            <w:r w:rsidRPr="00E00B35">
              <w:rPr>
                <w:b/>
                <w:bCs/>
                <w:szCs w:val="20"/>
              </w:rPr>
              <w:t>12.517</w:t>
            </w:r>
          </w:p>
        </w:tc>
      </w:tr>
      <w:tr w:rsidR="00B86812" w:rsidRPr="00E00B35" w:rsidTr="00B86812">
        <w:trPr>
          <w:cantSplit/>
          <w:trHeight w:val="20"/>
        </w:trPr>
        <w:tc>
          <w:tcPr>
            <w:tcW w:w="1346"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Razem</w:t>
            </w:r>
          </w:p>
          <w:p w:rsidR="00B86812" w:rsidRPr="00E00B35" w:rsidRDefault="00B86812" w:rsidP="00E00B35">
            <w:pPr>
              <w:spacing w:after="0" w:line="312" w:lineRule="auto"/>
              <w:rPr>
                <w:szCs w:val="20"/>
              </w:rPr>
            </w:pPr>
            <w:r w:rsidRPr="00E00B35">
              <w:rPr>
                <w:szCs w:val="20"/>
              </w:rPr>
              <w:t>kadencje I-VII</w:t>
            </w:r>
          </w:p>
        </w:tc>
        <w:tc>
          <w:tcPr>
            <w:tcW w:w="851"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11.656</w:t>
            </w:r>
          </w:p>
        </w:tc>
        <w:tc>
          <w:tcPr>
            <w:tcW w:w="1134"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60</w:t>
            </w:r>
          </w:p>
        </w:tc>
        <w:tc>
          <w:tcPr>
            <w:tcW w:w="708"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19</w:t>
            </w:r>
          </w:p>
        </w:tc>
        <w:tc>
          <w:tcPr>
            <w:tcW w:w="99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7</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13.548</w:t>
            </w:r>
          </w:p>
        </w:tc>
        <w:tc>
          <w:tcPr>
            <w:tcW w:w="1207"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1</w:t>
            </w:r>
          </w:p>
        </w:tc>
        <w:tc>
          <w:tcPr>
            <w:tcW w:w="1203"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43.923</w:t>
            </w:r>
          </w:p>
        </w:tc>
        <w:tc>
          <w:tcPr>
            <w:tcW w:w="850" w:type="dxa"/>
            <w:tcBorders>
              <w:top w:val="single" w:sz="4" w:space="0" w:color="auto"/>
              <w:left w:val="single" w:sz="4" w:space="0" w:color="auto"/>
              <w:bottom w:val="single" w:sz="4" w:space="0" w:color="auto"/>
              <w:right w:val="single" w:sz="4" w:space="0" w:color="auto"/>
            </w:tcBorders>
            <w:vAlign w:val="center"/>
          </w:tcPr>
          <w:p w:rsidR="00B86812" w:rsidRPr="00E00B35" w:rsidRDefault="00B86812" w:rsidP="00E00B35">
            <w:pPr>
              <w:spacing w:after="0" w:line="312" w:lineRule="auto"/>
              <w:rPr>
                <w:b/>
                <w:bCs/>
                <w:szCs w:val="20"/>
              </w:rPr>
            </w:pPr>
            <w:r w:rsidRPr="00E00B35">
              <w:rPr>
                <w:b/>
                <w:bCs/>
                <w:szCs w:val="20"/>
              </w:rPr>
              <w:t>69.214</w:t>
            </w:r>
          </w:p>
        </w:tc>
      </w:tr>
      <w:tr w:rsidR="00B86812" w:rsidRPr="00E00B35" w:rsidTr="00B86812">
        <w:trPr>
          <w:cantSplit/>
          <w:trHeight w:val="20"/>
        </w:trPr>
        <w:tc>
          <w:tcPr>
            <w:tcW w:w="1346" w:type="dxa"/>
            <w:tcBorders>
              <w:top w:val="single" w:sz="4" w:space="0" w:color="auto"/>
              <w:left w:val="single" w:sz="4" w:space="0" w:color="auto"/>
              <w:bottom w:val="single" w:sz="12"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kadencja VIII</w:t>
            </w:r>
          </w:p>
          <w:p w:rsidR="00B86812" w:rsidRPr="00E00B35" w:rsidRDefault="00B86812" w:rsidP="00E00B35">
            <w:pPr>
              <w:spacing w:after="0" w:line="312" w:lineRule="auto"/>
              <w:rPr>
                <w:b/>
                <w:szCs w:val="20"/>
              </w:rPr>
            </w:pPr>
            <w:r w:rsidRPr="00E00B35">
              <w:rPr>
                <w:b/>
                <w:szCs w:val="20"/>
              </w:rPr>
              <w:t>2018-2023</w:t>
            </w:r>
          </w:p>
        </w:tc>
        <w:tc>
          <w:tcPr>
            <w:tcW w:w="851" w:type="dxa"/>
            <w:tcBorders>
              <w:top w:val="single" w:sz="4" w:space="0" w:color="auto"/>
              <w:left w:val="single" w:sz="4" w:space="0" w:color="auto"/>
              <w:bottom w:val="single" w:sz="12"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833</w:t>
            </w:r>
          </w:p>
        </w:tc>
        <w:tc>
          <w:tcPr>
            <w:tcW w:w="1134" w:type="dxa"/>
            <w:tcBorders>
              <w:top w:val="single" w:sz="4" w:space="0" w:color="auto"/>
              <w:left w:val="single" w:sz="4" w:space="0" w:color="auto"/>
              <w:bottom w:val="single" w:sz="12"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4</w:t>
            </w:r>
          </w:p>
        </w:tc>
        <w:tc>
          <w:tcPr>
            <w:tcW w:w="708" w:type="dxa"/>
            <w:tcBorders>
              <w:top w:val="single" w:sz="4" w:space="0" w:color="auto"/>
              <w:left w:val="single" w:sz="4" w:space="0" w:color="auto"/>
              <w:bottom w:val="single" w:sz="12"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5</w:t>
            </w:r>
          </w:p>
        </w:tc>
        <w:tc>
          <w:tcPr>
            <w:tcW w:w="993" w:type="dxa"/>
            <w:tcBorders>
              <w:top w:val="single" w:sz="4" w:space="0" w:color="auto"/>
              <w:left w:val="single" w:sz="4" w:space="0" w:color="auto"/>
              <w:bottom w:val="single" w:sz="12"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4</w:t>
            </w:r>
          </w:p>
        </w:tc>
        <w:tc>
          <w:tcPr>
            <w:tcW w:w="850" w:type="dxa"/>
            <w:tcBorders>
              <w:top w:val="single" w:sz="4" w:space="0" w:color="auto"/>
              <w:left w:val="single" w:sz="4" w:space="0" w:color="auto"/>
              <w:bottom w:val="single" w:sz="12"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w:t>
            </w:r>
          </w:p>
        </w:tc>
        <w:tc>
          <w:tcPr>
            <w:tcW w:w="1207" w:type="dxa"/>
            <w:tcBorders>
              <w:top w:val="single" w:sz="4" w:space="0" w:color="auto"/>
              <w:left w:val="single" w:sz="4" w:space="0" w:color="auto"/>
              <w:bottom w:val="single" w:sz="12"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w:t>
            </w:r>
          </w:p>
        </w:tc>
        <w:tc>
          <w:tcPr>
            <w:tcW w:w="1203" w:type="dxa"/>
            <w:tcBorders>
              <w:top w:val="single" w:sz="4" w:space="0" w:color="auto"/>
              <w:left w:val="single" w:sz="4" w:space="0" w:color="auto"/>
              <w:bottom w:val="single" w:sz="12" w:space="0" w:color="auto"/>
              <w:right w:val="single" w:sz="4" w:space="0" w:color="auto"/>
            </w:tcBorders>
            <w:vAlign w:val="center"/>
          </w:tcPr>
          <w:p w:rsidR="00B86812" w:rsidRPr="00E00B35" w:rsidRDefault="00B86812" w:rsidP="00E00B35">
            <w:pPr>
              <w:spacing w:after="0" w:line="312" w:lineRule="auto"/>
              <w:rPr>
                <w:b/>
                <w:szCs w:val="20"/>
              </w:rPr>
            </w:pPr>
            <w:r w:rsidRPr="00E00B35">
              <w:rPr>
                <w:b/>
                <w:szCs w:val="20"/>
              </w:rPr>
              <w:t>4.370</w:t>
            </w:r>
          </w:p>
        </w:tc>
        <w:tc>
          <w:tcPr>
            <w:tcW w:w="850" w:type="dxa"/>
            <w:tcBorders>
              <w:top w:val="single" w:sz="4" w:space="0" w:color="auto"/>
              <w:left w:val="single" w:sz="4" w:space="0" w:color="auto"/>
              <w:bottom w:val="single" w:sz="12" w:space="0" w:color="auto"/>
              <w:right w:val="single" w:sz="4" w:space="0" w:color="auto"/>
            </w:tcBorders>
            <w:vAlign w:val="center"/>
          </w:tcPr>
          <w:p w:rsidR="00B86812" w:rsidRPr="00E00B35" w:rsidRDefault="00B86812" w:rsidP="00E00B35">
            <w:pPr>
              <w:spacing w:after="0" w:line="312" w:lineRule="auto"/>
              <w:rPr>
                <w:b/>
                <w:bCs/>
                <w:szCs w:val="20"/>
              </w:rPr>
            </w:pPr>
            <w:r w:rsidRPr="00E00B35">
              <w:rPr>
                <w:b/>
                <w:bCs/>
                <w:szCs w:val="20"/>
              </w:rPr>
              <w:t>5.216</w:t>
            </w:r>
          </w:p>
        </w:tc>
      </w:tr>
      <w:tr w:rsidR="00B86812" w:rsidRPr="00E00B35" w:rsidTr="00B86812">
        <w:trPr>
          <w:cantSplit/>
          <w:trHeight w:val="20"/>
        </w:trPr>
        <w:tc>
          <w:tcPr>
            <w:tcW w:w="1346"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
                <w:szCs w:val="20"/>
              </w:rPr>
            </w:pPr>
            <w:r w:rsidRPr="00E00B35">
              <w:rPr>
                <w:b/>
                <w:szCs w:val="20"/>
              </w:rPr>
              <w:t>Razem</w:t>
            </w:r>
          </w:p>
          <w:p w:rsidR="00B86812" w:rsidRPr="00E00B35" w:rsidRDefault="00B86812" w:rsidP="00E00B35">
            <w:pPr>
              <w:spacing w:after="0" w:line="312" w:lineRule="auto"/>
              <w:rPr>
                <w:szCs w:val="20"/>
              </w:rPr>
            </w:pPr>
            <w:r w:rsidRPr="00E00B35">
              <w:rPr>
                <w:szCs w:val="20"/>
              </w:rPr>
              <w:t xml:space="preserve">kadencje </w:t>
            </w:r>
            <w:r w:rsidRPr="00E00B35">
              <w:rPr>
                <w:szCs w:val="20"/>
              </w:rPr>
              <w:br/>
              <w:t>I-VIII</w:t>
            </w:r>
          </w:p>
        </w:tc>
        <w:tc>
          <w:tcPr>
            <w:tcW w:w="851"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
                <w:szCs w:val="20"/>
              </w:rPr>
            </w:pPr>
            <w:r w:rsidRPr="00E00B35">
              <w:rPr>
                <w:b/>
                <w:szCs w:val="20"/>
              </w:rPr>
              <w:t>12.489</w:t>
            </w:r>
          </w:p>
        </w:tc>
        <w:tc>
          <w:tcPr>
            <w:tcW w:w="1134"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
                <w:szCs w:val="20"/>
              </w:rPr>
            </w:pPr>
            <w:r w:rsidRPr="00E00B35">
              <w:rPr>
                <w:b/>
                <w:szCs w:val="20"/>
              </w:rPr>
              <w:t>64</w:t>
            </w:r>
          </w:p>
        </w:tc>
        <w:tc>
          <w:tcPr>
            <w:tcW w:w="708"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
                <w:szCs w:val="20"/>
              </w:rPr>
            </w:pPr>
            <w:r w:rsidRPr="00E00B35">
              <w:rPr>
                <w:b/>
                <w:szCs w:val="20"/>
              </w:rPr>
              <w:t>24</w:t>
            </w:r>
          </w:p>
        </w:tc>
        <w:tc>
          <w:tcPr>
            <w:tcW w:w="993"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
                <w:szCs w:val="20"/>
              </w:rPr>
            </w:pPr>
            <w:r w:rsidRPr="00E00B35">
              <w:rPr>
                <w:b/>
                <w:szCs w:val="20"/>
              </w:rPr>
              <w:t>11</w:t>
            </w:r>
          </w:p>
        </w:tc>
        <w:tc>
          <w:tcPr>
            <w:tcW w:w="850"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
                <w:szCs w:val="20"/>
              </w:rPr>
            </w:pPr>
            <w:r w:rsidRPr="00E00B35">
              <w:rPr>
                <w:b/>
                <w:szCs w:val="20"/>
              </w:rPr>
              <w:t>13.548</w:t>
            </w:r>
          </w:p>
        </w:tc>
        <w:tc>
          <w:tcPr>
            <w:tcW w:w="1207"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
                <w:szCs w:val="20"/>
              </w:rPr>
            </w:pPr>
            <w:r w:rsidRPr="00E00B35">
              <w:rPr>
                <w:b/>
                <w:szCs w:val="20"/>
              </w:rPr>
              <w:t>1</w:t>
            </w:r>
          </w:p>
        </w:tc>
        <w:tc>
          <w:tcPr>
            <w:tcW w:w="1203"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
                <w:szCs w:val="20"/>
              </w:rPr>
            </w:pPr>
            <w:r w:rsidRPr="00E00B35">
              <w:rPr>
                <w:b/>
                <w:szCs w:val="20"/>
              </w:rPr>
              <w:t>48.293</w:t>
            </w:r>
          </w:p>
        </w:tc>
        <w:tc>
          <w:tcPr>
            <w:tcW w:w="850" w:type="dxa"/>
            <w:tcBorders>
              <w:top w:val="single" w:sz="12" w:space="0" w:color="auto"/>
              <w:left w:val="single" w:sz="12" w:space="0" w:color="auto"/>
              <w:bottom w:val="single" w:sz="12" w:space="0" w:color="auto"/>
              <w:right w:val="single" w:sz="12" w:space="0" w:color="auto"/>
            </w:tcBorders>
            <w:vAlign w:val="center"/>
          </w:tcPr>
          <w:p w:rsidR="00B86812" w:rsidRPr="00E00B35" w:rsidRDefault="00B86812" w:rsidP="00E00B35">
            <w:pPr>
              <w:spacing w:after="0" w:line="312" w:lineRule="auto"/>
              <w:rPr>
                <w:b/>
                <w:bCs/>
                <w:szCs w:val="20"/>
              </w:rPr>
            </w:pPr>
            <w:r w:rsidRPr="00E00B35">
              <w:rPr>
                <w:b/>
                <w:bCs/>
                <w:szCs w:val="20"/>
              </w:rPr>
              <w:t>74.430</w:t>
            </w:r>
          </w:p>
        </w:tc>
      </w:tr>
    </w:tbl>
    <w:p w:rsidR="00B86812" w:rsidRPr="00E00B35" w:rsidRDefault="00B86812" w:rsidP="00E00B35">
      <w:pPr>
        <w:spacing w:after="0" w:line="312" w:lineRule="auto"/>
        <w:rPr>
          <w:szCs w:val="20"/>
        </w:rPr>
      </w:pPr>
      <w:r w:rsidRPr="00E00B35">
        <w:rPr>
          <w:szCs w:val="20"/>
        </w:rPr>
        <w:t>Źródło: UMW</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 xml:space="preserve">Inne wydarzenia związane z funkcjonowaniem Rady Miejskiej Wrocławia </w:t>
      </w:r>
    </w:p>
    <w:p w:rsidR="00B86812" w:rsidRPr="00E00B35" w:rsidRDefault="00B86812" w:rsidP="00BC64AB">
      <w:pPr>
        <w:pStyle w:val="Akapitzlist"/>
        <w:numPr>
          <w:ilvl w:val="0"/>
          <w:numId w:val="296"/>
        </w:numPr>
        <w:spacing w:after="0" w:line="312" w:lineRule="auto"/>
        <w:ind w:left="426" w:hanging="426"/>
        <w:rPr>
          <w:rFonts w:cs="TimesNewRoman"/>
          <w:szCs w:val="20"/>
        </w:rPr>
      </w:pPr>
      <w:r w:rsidRPr="00E00B35">
        <w:rPr>
          <w:rStyle w:val="Pogrubienie"/>
          <w:rFonts w:eastAsia="font415"/>
          <w:szCs w:val="20"/>
        </w:rPr>
        <w:t>Wydano 2 publikacje związane z samorządem i Radą Miejską Wrocławia: ,,</w:t>
      </w:r>
      <w:r w:rsidRPr="00E00B35">
        <w:rPr>
          <w:rFonts w:cs="TimesNewRoman"/>
          <w:szCs w:val="20"/>
        </w:rPr>
        <w:t>CIVITATE WRATISLAVIENSI DONATUS – 30 lat samorządu’’ oraz publikację poświęconą laureatom Tytułów i Nagród nadawanych przez Radę Miejską Wrocławia i Prezydenta Wrocławia.</w:t>
      </w:r>
    </w:p>
    <w:p w:rsidR="00B86812" w:rsidRPr="00E00B35" w:rsidRDefault="00B86812" w:rsidP="00BC64AB">
      <w:pPr>
        <w:pStyle w:val="Akapitzlist"/>
        <w:numPr>
          <w:ilvl w:val="0"/>
          <w:numId w:val="296"/>
        </w:numPr>
        <w:spacing w:after="0" w:line="312" w:lineRule="auto"/>
        <w:ind w:left="426" w:hanging="426"/>
        <w:rPr>
          <w:szCs w:val="20"/>
        </w:rPr>
      </w:pPr>
      <w:r w:rsidRPr="00E00B35">
        <w:rPr>
          <w:rStyle w:val="A0"/>
          <w:rFonts w:ascii="Verdana" w:hAnsi="Verdana"/>
          <w:color w:val="auto"/>
          <w:sz w:val="20"/>
          <w:szCs w:val="20"/>
        </w:rPr>
        <w:lastRenderedPageBreak/>
        <w:t>Odsłonięto tablicę oraz wystawę poświęconą 30.rocznicy odrodzenia samorządu terytorialnego;</w:t>
      </w:r>
    </w:p>
    <w:p w:rsidR="00B86812" w:rsidRPr="00E00B35" w:rsidRDefault="00B86812" w:rsidP="00BC64AB">
      <w:pPr>
        <w:pStyle w:val="Akapitzlist"/>
        <w:numPr>
          <w:ilvl w:val="0"/>
          <w:numId w:val="296"/>
        </w:numPr>
        <w:spacing w:after="0" w:line="312" w:lineRule="auto"/>
        <w:ind w:left="426" w:hanging="426"/>
        <w:rPr>
          <w:rFonts w:cs="TimesNewRoman"/>
          <w:szCs w:val="20"/>
        </w:rPr>
      </w:pPr>
      <w:r w:rsidRPr="00E00B35">
        <w:rPr>
          <w:rStyle w:val="Pogrubienie"/>
          <w:rFonts w:eastAsia="font415"/>
          <w:szCs w:val="20"/>
        </w:rPr>
        <w:t>Zorganizowano 3 spotkania w ramach cyklu „</w:t>
      </w:r>
      <w:r w:rsidRPr="00E00B35">
        <w:rPr>
          <w:rFonts w:cs="Verdana"/>
          <w:szCs w:val="20"/>
        </w:rPr>
        <w:t>Wrocławska Akademia Samorządowa”, które umożliwia radnym miejskim, a także radnym osiedlowym Wrocławia, skorzystanie z wykładów i prelekcji o tematyce związanej z funkcjonowaniem samorządu oraz wymianę doświadczeń z wybitnymi postaciami wrocławskiego świata nauki.</w:t>
      </w:r>
    </w:p>
    <w:p w:rsidR="00B86812" w:rsidRPr="00E00B35" w:rsidRDefault="00B86812" w:rsidP="00BC64AB">
      <w:pPr>
        <w:pStyle w:val="Akapitzlist"/>
        <w:numPr>
          <w:ilvl w:val="0"/>
          <w:numId w:val="296"/>
        </w:numPr>
        <w:spacing w:after="0" w:line="312" w:lineRule="auto"/>
        <w:ind w:left="426" w:hanging="426"/>
        <w:rPr>
          <w:rFonts w:cs="TimesNewRoman"/>
          <w:b/>
          <w:szCs w:val="20"/>
        </w:rPr>
      </w:pPr>
      <w:r w:rsidRPr="00E00B35">
        <w:rPr>
          <w:rStyle w:val="Pogrubienie"/>
          <w:rFonts w:eastAsia="font415"/>
          <w:szCs w:val="20"/>
        </w:rPr>
        <w:t xml:space="preserve">Zorganizowano 6 spotkań z 290 uczniami wrocławskich szkół w ramach cyklicznych zajęć z edukacji samorządowej. </w:t>
      </w:r>
    </w:p>
    <w:p w:rsidR="00B86812" w:rsidRPr="00E00B35" w:rsidRDefault="00B86812" w:rsidP="00E00B35">
      <w:pPr>
        <w:spacing w:after="0" w:line="312" w:lineRule="auto"/>
        <w:rPr>
          <w:szCs w:val="20"/>
        </w:rPr>
      </w:pPr>
    </w:p>
    <w:p w:rsidR="00B86812" w:rsidRPr="00E00B35" w:rsidRDefault="00B86812" w:rsidP="00E00B35">
      <w:pPr>
        <w:pStyle w:val="Nagwek5"/>
      </w:pPr>
      <w:r w:rsidRPr="00E00B35">
        <w:t>Inicjatywy oraz działania na rzecz poprawy jakości życia osób z niepełnosprawnościami</w:t>
      </w:r>
    </w:p>
    <w:p w:rsidR="00B86812" w:rsidRPr="00E00B35" w:rsidRDefault="00B86812" w:rsidP="00E00B35">
      <w:r w:rsidRPr="00E00B35">
        <w:t>Działania na rzecz wdrażania standardów dostępności</w:t>
      </w:r>
    </w:p>
    <w:p w:rsidR="00B86812" w:rsidRPr="00E00B35" w:rsidRDefault="00B86812" w:rsidP="00E00B35">
      <w:pPr>
        <w:spacing w:after="0" w:line="312" w:lineRule="auto"/>
        <w:rPr>
          <w:szCs w:val="20"/>
        </w:rPr>
      </w:pPr>
      <w:r w:rsidRPr="00E00B35">
        <w:rPr>
          <w:szCs w:val="20"/>
        </w:rPr>
        <w:t>Przygotowanie pomocniczych materiałów instruktażowych dla liderów projektów składanych w ramach Wrocławskiego Budżetu Obywatelskiego, współpraca przy projekcie nowego systemu kolejkowego (dostępność dla osób o ograniczonej mobilności, osób niesłyszących i niewidomych), ukończenie przez kolejne trzy osoby (w tym 2 z BWB) kursu Polskiego Języka Migowego na poziomie A1, podjęcie działań na rzecz wprowadzania do użytku „języka prostego”, przygotowanie kolejnej edycji kampanii parkingowej, przygotowywanie materiałów merytorycznych dot. dostępności i projektowania uniwersalnego, upowszechnianie umiejętności obsługi wózka ewakuacyjnego (escape chair).</w:t>
      </w:r>
    </w:p>
    <w:p w:rsidR="00B86812" w:rsidRPr="00E00B35" w:rsidRDefault="00B86812" w:rsidP="00E00B35">
      <w:r w:rsidRPr="00E00B35">
        <w:t>Konsultacje inwestycji realizowanych w mieście</w:t>
      </w:r>
    </w:p>
    <w:p w:rsidR="00B86812" w:rsidRPr="00E00B35" w:rsidRDefault="00B86812" w:rsidP="00E00B35">
      <w:pPr>
        <w:spacing w:after="0" w:line="312" w:lineRule="auto"/>
        <w:rPr>
          <w:szCs w:val="20"/>
        </w:rPr>
      </w:pPr>
      <w:r w:rsidRPr="00E00B35">
        <w:rPr>
          <w:szCs w:val="20"/>
        </w:rPr>
        <w:t xml:space="preserve">Prowadzono stałe konsultacje dotyczące dostępności realizowanych w miescie inwestycji w przestrzeni publicznej: Trasa Autobusowo Tramwajowa, projekty realizowane w ramach Wrocławskiego Budżetu Obywatelskiego, modernizacje i przebudowy szkół, inwestycje podmiotów prywatnych (deweloperów) realizowane w ogólnodostępnej przestrzeni publicznej). </w:t>
      </w:r>
    </w:p>
    <w:p w:rsidR="00B86812" w:rsidRPr="00E00B35" w:rsidRDefault="00B86812" w:rsidP="00E00B35">
      <w:pPr>
        <w:pStyle w:val="Nagwek20"/>
        <w:suppressAutoHyphens/>
        <w:spacing w:after="0" w:line="312" w:lineRule="auto"/>
        <w:rPr>
          <w:b w:val="0"/>
          <w:bCs w:val="0"/>
          <w:sz w:val="20"/>
          <w:szCs w:val="20"/>
        </w:rPr>
      </w:pPr>
    </w:p>
    <w:p w:rsidR="00B86812" w:rsidRPr="00E00B35" w:rsidRDefault="00B86812" w:rsidP="00E00B35">
      <w:pPr>
        <w:pStyle w:val="Nagwek5"/>
        <w:rPr>
          <w:szCs w:val="20"/>
        </w:rPr>
      </w:pPr>
      <w:r w:rsidRPr="00E00B35">
        <w:rPr>
          <w:szCs w:val="20"/>
        </w:rPr>
        <w:t>Integracyjny Inkubator Przedsiębiorczości</w:t>
      </w:r>
    </w:p>
    <w:p w:rsidR="00B86812" w:rsidRPr="00E00B35" w:rsidRDefault="00B86812" w:rsidP="00E00B35">
      <w:pPr>
        <w:spacing w:after="0" w:line="312" w:lineRule="auto"/>
        <w:rPr>
          <w:szCs w:val="20"/>
        </w:rPr>
      </w:pPr>
      <w:r w:rsidRPr="00E00B35">
        <w:rPr>
          <w:szCs w:val="20"/>
        </w:rPr>
        <w:t>Udział w pracach zespołu projektowego oraz Rady Inkubatora (nabór 40 podmiotów gospodarczych). Cel: poprawa stanu zatrudnienia osób z niepełnosprawnościami.</w:t>
      </w:r>
    </w:p>
    <w:p w:rsidR="00B86812" w:rsidRPr="00E00B35" w:rsidRDefault="00B86812" w:rsidP="00E00B35">
      <w:pPr>
        <w:spacing w:after="0" w:line="312" w:lineRule="auto"/>
        <w:rPr>
          <w:bCs/>
          <w:szCs w:val="20"/>
        </w:rPr>
      </w:pPr>
    </w:p>
    <w:p w:rsidR="00B86812" w:rsidRPr="00E00B35" w:rsidRDefault="00B86812" w:rsidP="00E00B35">
      <w:pPr>
        <w:spacing w:after="0" w:line="312" w:lineRule="auto"/>
        <w:rPr>
          <w:bCs/>
          <w:szCs w:val="20"/>
        </w:rPr>
      </w:pPr>
      <w:r w:rsidRPr="00E00B35">
        <w:rPr>
          <w:bCs/>
          <w:szCs w:val="20"/>
        </w:rPr>
        <w:t>Certyfikaty „Wrocław bez barier”</w:t>
      </w:r>
    </w:p>
    <w:p w:rsidR="00B86812" w:rsidRPr="00E00B35" w:rsidRDefault="00B86812" w:rsidP="00E00B35">
      <w:pPr>
        <w:spacing w:after="0" w:line="312" w:lineRule="auto"/>
        <w:rPr>
          <w:szCs w:val="20"/>
        </w:rPr>
      </w:pPr>
      <w:r w:rsidRPr="00E00B35">
        <w:rPr>
          <w:szCs w:val="20"/>
        </w:rPr>
        <w:t>Certyfikaty przyznajemy w kilku kategoriach, nagradzając osoby, organizacje pozarządowe, instytucje, firmy... działające na rzecz osób z niepełnosprawnościami. W ten sposób chcemy pokazywać dobre praktyki, jak warto wspierać, współpracować i współtworzyć. Zwracamy uwagę na działania. Plebiscyt został zainaugurowany w 2010 roku. Operatorem jest jeden z laureatów - Fundacja POTRAFIĘ POMÓC.</w:t>
      </w:r>
    </w:p>
    <w:p w:rsidR="00B86812" w:rsidRPr="00E00B35" w:rsidRDefault="00B86812" w:rsidP="00E00B35">
      <w:pPr>
        <w:spacing w:after="0" w:line="312" w:lineRule="auto"/>
        <w:rPr>
          <w:szCs w:val="20"/>
        </w:rPr>
      </w:pPr>
      <w:r w:rsidRPr="00E00B35">
        <w:rPr>
          <w:szCs w:val="20"/>
        </w:rPr>
        <w:t>Audyty dostępności</w:t>
      </w:r>
    </w:p>
    <w:p w:rsidR="00B86812" w:rsidRPr="00E00B35" w:rsidRDefault="00B86812" w:rsidP="00E00B35">
      <w:pPr>
        <w:spacing w:after="0" w:line="312" w:lineRule="auto"/>
        <w:rPr>
          <w:szCs w:val="20"/>
        </w:rPr>
      </w:pPr>
      <w:r w:rsidRPr="00E00B35">
        <w:rPr>
          <w:szCs w:val="20"/>
        </w:rPr>
        <w:t>Cel: przeprowadzanie audytów w budynkach Urzędu Miasta oraz obiektach użyteczności publicznej w ramach dostępności architektonicznej.</w:t>
      </w:r>
    </w:p>
    <w:p w:rsidR="00B86812" w:rsidRPr="00E00B35" w:rsidRDefault="00B86812" w:rsidP="00E00B35">
      <w:pPr>
        <w:spacing w:after="0" w:line="312" w:lineRule="auto"/>
        <w:rPr>
          <w:bCs/>
          <w:szCs w:val="20"/>
        </w:rPr>
      </w:pPr>
      <w:r w:rsidRPr="00E00B35">
        <w:rPr>
          <w:bCs/>
          <w:szCs w:val="20"/>
        </w:rPr>
        <w:lastRenderedPageBreak/>
        <w:t>W ramach projektu realizowanego przy współpracy z organizacją „Polska bez barier” przeprowadzono kompleksowy audyt dostępności dziesięciu obiektów (budynki Urzędu Miejskiego oraz Miejskiej Biblioteki Publicznej)</w:t>
      </w:r>
    </w:p>
    <w:p w:rsidR="00B86812" w:rsidRPr="00E00B35" w:rsidRDefault="00B86812" w:rsidP="00E00B35">
      <w:pPr>
        <w:spacing w:after="0" w:line="312" w:lineRule="auto"/>
        <w:rPr>
          <w:bCs/>
          <w:szCs w:val="20"/>
        </w:rPr>
      </w:pPr>
      <w:r w:rsidRPr="00E00B35">
        <w:rPr>
          <w:bCs/>
          <w:szCs w:val="20"/>
        </w:rPr>
        <w:t>Trener pracy</w:t>
      </w:r>
    </w:p>
    <w:p w:rsidR="00B86812" w:rsidRPr="00E00B35" w:rsidRDefault="00B86812" w:rsidP="00E00B35">
      <w:pPr>
        <w:spacing w:after="0" w:line="312" w:lineRule="auto"/>
        <w:rPr>
          <w:bCs/>
          <w:szCs w:val="20"/>
        </w:rPr>
      </w:pPr>
      <w:r w:rsidRPr="00E00B35">
        <w:rPr>
          <w:bCs/>
          <w:szCs w:val="20"/>
        </w:rPr>
        <w:t xml:space="preserve">Realizacja projektu w formie dotacji we współpracy z Fundacją OSTOJA. </w:t>
      </w:r>
    </w:p>
    <w:p w:rsidR="00B86812" w:rsidRPr="00E00B35" w:rsidRDefault="00B86812" w:rsidP="00E00B35">
      <w:pPr>
        <w:spacing w:after="0" w:line="312" w:lineRule="auto"/>
        <w:rPr>
          <w:b/>
          <w:bCs/>
          <w:szCs w:val="20"/>
        </w:rPr>
      </w:pPr>
      <w:r w:rsidRPr="00E00B35">
        <w:rPr>
          <w:bCs/>
          <w:szCs w:val="20"/>
        </w:rPr>
        <w:t>ZATRUDNIENIE WSPOMAGANE OSÓB NIEPEŁNOSPRAWNYCH poprzez znoszenie barier utrudniających pełną integrację społeczną i zawodową osobom z niepełnosprawnościami. Koszt: 30 000,00 zł</w:t>
      </w:r>
    </w:p>
    <w:p w:rsidR="00B86812" w:rsidRPr="00E00B35" w:rsidRDefault="00B86812" w:rsidP="00E00B35">
      <w:pPr>
        <w:pStyle w:val="Nagwek20"/>
        <w:spacing w:after="0" w:line="312" w:lineRule="auto"/>
        <w:rPr>
          <w:b w:val="0"/>
          <w:bCs w:val="0"/>
          <w:sz w:val="20"/>
          <w:szCs w:val="20"/>
        </w:rPr>
      </w:pPr>
    </w:p>
    <w:p w:rsidR="00B86812" w:rsidRPr="00E00B35" w:rsidRDefault="00B86812" w:rsidP="00E00B35">
      <w:pPr>
        <w:pStyle w:val="Nagwek5"/>
      </w:pPr>
      <w:r w:rsidRPr="00E00B35">
        <w:t>Wsparcie organizacji wypoczynku letniego dzieci z niepełnosprawnościami</w:t>
      </w:r>
    </w:p>
    <w:p w:rsidR="00B86812" w:rsidRPr="00E00B35" w:rsidRDefault="00B86812" w:rsidP="00E00B35">
      <w:pPr>
        <w:spacing w:after="0" w:line="312" w:lineRule="auto"/>
        <w:rPr>
          <w:szCs w:val="20"/>
        </w:rPr>
      </w:pPr>
      <w:r w:rsidRPr="00E00B35">
        <w:rPr>
          <w:szCs w:val="20"/>
        </w:rPr>
        <w:t>Przy współpracy z Fundacją „Potrafię pomóc” – realizacja projektu półkolonii letnich we Wrocławiu. Zachowano wszystkie, obowiązujące w 2020 roku, reżimy sanitarne. Udział wzięło 60 dzieci (2 turnusy).</w:t>
      </w:r>
    </w:p>
    <w:p w:rsidR="00B86812" w:rsidRPr="00E00B35" w:rsidRDefault="00B86812" w:rsidP="00E00B35">
      <w:pPr>
        <w:pStyle w:val="Nagwek20"/>
        <w:spacing w:after="0" w:line="312" w:lineRule="auto"/>
        <w:rPr>
          <w:b w:val="0"/>
          <w:bCs w:val="0"/>
          <w:sz w:val="20"/>
          <w:szCs w:val="20"/>
        </w:rPr>
      </w:pPr>
    </w:p>
    <w:p w:rsidR="00B86812" w:rsidRPr="00E00B35" w:rsidRDefault="00B86812" w:rsidP="00E00B35">
      <w:pPr>
        <w:spacing w:after="0" w:line="312" w:lineRule="auto"/>
      </w:pPr>
      <w:r w:rsidRPr="00E00B35">
        <w:t>Wsparcie organizacji wydarzeń kulturalnych z udziałem osób  z niepełnosprawnościami</w:t>
      </w:r>
    </w:p>
    <w:p w:rsidR="00B86812" w:rsidRPr="00E00B35" w:rsidRDefault="00B86812" w:rsidP="00E00B35">
      <w:pPr>
        <w:spacing w:after="0" w:line="312" w:lineRule="auto"/>
      </w:pPr>
      <w:r w:rsidRPr="00E00B35">
        <w:t>We współpracy z Fundacja „Katarynka” przygotowano standardy dostępności kultury i wydarzeń miejskich we Wrocławiu. Wartość projektu: 47 000,00 PLN</w:t>
      </w:r>
    </w:p>
    <w:p w:rsidR="00B86812" w:rsidRPr="00E00B35" w:rsidRDefault="00B86812" w:rsidP="00E00B35">
      <w:pPr>
        <w:pStyle w:val="Nagwek5"/>
        <w:rPr>
          <w:szCs w:val="20"/>
        </w:rPr>
      </w:pPr>
      <w:r w:rsidRPr="00E00B35">
        <w:rPr>
          <w:szCs w:val="20"/>
        </w:rPr>
        <w:t>Grupa branżowa DOSTĘPNOŚĆ</w:t>
      </w:r>
    </w:p>
    <w:p w:rsidR="00B86812" w:rsidRPr="00E00B35" w:rsidRDefault="00B86812" w:rsidP="00E00B35">
      <w:pPr>
        <w:spacing w:after="0" w:line="312" w:lineRule="auto"/>
        <w:rPr>
          <w:szCs w:val="20"/>
        </w:rPr>
      </w:pPr>
      <w:r w:rsidRPr="00E00B35">
        <w:rPr>
          <w:szCs w:val="20"/>
        </w:rPr>
        <w:t>W warunkach wirtualnych spotkań, stała współpraca ze środowiskiem organizacji pozarządowych oraz innych podmiotów działających na rzecz osób z niepełnosprawnościami. Systematyczne spotkania skupiające grupę kilkudziesięciu osób; tematyka pracy: szeroko rozumiana dostępność przestrzeni publicznych, komunikacja miejska i dostępność komunikacyjna (parkingi)</w:t>
      </w:r>
    </w:p>
    <w:p w:rsidR="00B86812" w:rsidRPr="00E00B35" w:rsidRDefault="00B86812" w:rsidP="00E00B35">
      <w:pPr>
        <w:pStyle w:val="Nagwek5"/>
        <w:rPr>
          <w:szCs w:val="20"/>
        </w:rPr>
      </w:pPr>
      <w:r w:rsidRPr="00E00B35">
        <w:rPr>
          <w:szCs w:val="20"/>
        </w:rPr>
        <w:t>2. Budowanie relacji ludzie-zwierzęta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b/>
          <w:szCs w:val="20"/>
        </w:rPr>
        <w:t>Dzieci</w:t>
      </w:r>
      <w:r w:rsidRPr="00E00B35">
        <w:rPr>
          <w:szCs w:val="20"/>
        </w:rPr>
        <w:t xml:space="preserve"> - zajęcia stacjonarne (do kwietnia 2020) – </w:t>
      </w:r>
    </w:p>
    <w:p w:rsidR="00B86812" w:rsidRPr="00E00B35" w:rsidRDefault="00B86812" w:rsidP="00E00B35">
      <w:pPr>
        <w:spacing w:after="0" w:line="312" w:lineRule="auto"/>
        <w:rPr>
          <w:szCs w:val="20"/>
        </w:rPr>
      </w:pPr>
      <w:r w:rsidRPr="00E00B35">
        <w:rPr>
          <w:szCs w:val="20"/>
        </w:rPr>
        <w:t>80 spotkań w szkołach podstawowych i przedszkolach, ok 2000 dzieci</w:t>
      </w:r>
    </w:p>
    <w:p w:rsidR="00B86812" w:rsidRPr="00E00B35" w:rsidRDefault="00B86812" w:rsidP="00E00B35">
      <w:pPr>
        <w:spacing w:after="0" w:line="312" w:lineRule="auto"/>
        <w:rPr>
          <w:szCs w:val="20"/>
        </w:rPr>
      </w:pPr>
      <w:r w:rsidRPr="00E00B35">
        <w:rPr>
          <w:szCs w:val="20"/>
        </w:rPr>
        <w:t>Listopad-grudzień – zajęcia online – ok. 350 dzieci (dostęp do Platformy Edukacyjnej)</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b/>
          <w:szCs w:val="20"/>
        </w:rPr>
        <w:t>Dorośli</w:t>
      </w:r>
      <w:r w:rsidRPr="00E00B35">
        <w:rPr>
          <w:szCs w:val="20"/>
        </w:rPr>
        <w:t xml:space="preserve"> – </w:t>
      </w:r>
    </w:p>
    <w:p w:rsidR="00B86812" w:rsidRPr="00E00B35" w:rsidRDefault="00B86812" w:rsidP="00E00B35">
      <w:pPr>
        <w:spacing w:after="0" w:line="312" w:lineRule="auto"/>
        <w:rPr>
          <w:szCs w:val="20"/>
        </w:rPr>
      </w:pPr>
      <w:r w:rsidRPr="00E00B35">
        <w:rPr>
          <w:szCs w:val="20"/>
        </w:rPr>
        <w:t>18 spotkań w Centrum Aktywności Lokalnej</w:t>
      </w:r>
    </w:p>
    <w:p w:rsidR="00B86812" w:rsidRPr="00E00B35" w:rsidRDefault="00B86812" w:rsidP="00E00B35">
      <w:pPr>
        <w:spacing w:after="0" w:line="312" w:lineRule="auto"/>
        <w:rPr>
          <w:szCs w:val="20"/>
        </w:rPr>
      </w:pPr>
      <w:r w:rsidRPr="00E00B35">
        <w:rPr>
          <w:b/>
          <w:szCs w:val="20"/>
        </w:rPr>
        <w:t>Zajęcia edukacyjno-terapeutyczne</w:t>
      </w:r>
      <w:r w:rsidRPr="00E00B35">
        <w:rPr>
          <w:szCs w:val="20"/>
        </w:rPr>
        <w:t xml:space="preserve"> /do kwietnia/:  </w:t>
      </w:r>
    </w:p>
    <w:p w:rsidR="00B86812" w:rsidRPr="00E00B35" w:rsidRDefault="00B86812" w:rsidP="00E00B35">
      <w:pPr>
        <w:pStyle w:val="12Zwyrazamiszacunku"/>
        <w:spacing w:before="0" w:after="0" w:line="312" w:lineRule="auto"/>
      </w:pPr>
      <w:r w:rsidRPr="00E00B35">
        <w:t>Szpital Psychiatryczny dla Dzieci i Młodzieży: 6 spotkań</w:t>
      </w:r>
    </w:p>
    <w:p w:rsidR="00B86812" w:rsidRPr="00E00B35" w:rsidRDefault="00B86812" w:rsidP="00E00B35">
      <w:pPr>
        <w:spacing w:after="0" w:line="312" w:lineRule="auto"/>
        <w:rPr>
          <w:szCs w:val="20"/>
        </w:rPr>
      </w:pPr>
      <w:r w:rsidRPr="00E00B35">
        <w:rPr>
          <w:szCs w:val="20"/>
        </w:rPr>
        <w:t>Domy Pomocy Społecznej: 14 spotkań</w:t>
      </w:r>
    </w:p>
    <w:p w:rsidR="00B86812" w:rsidRPr="00E00B35" w:rsidRDefault="00B86812" w:rsidP="00E00B35">
      <w:pPr>
        <w:spacing w:after="0" w:line="312" w:lineRule="auto"/>
        <w:rPr>
          <w:szCs w:val="20"/>
        </w:rPr>
      </w:pPr>
      <w:r w:rsidRPr="00E00B35">
        <w:rPr>
          <w:szCs w:val="20"/>
        </w:rPr>
        <w:t>Spotkania w Klubach Seniora online (listopad-grudzień) – 4</w:t>
      </w:r>
    </w:p>
    <w:p w:rsidR="00B86812" w:rsidRPr="00E00B35" w:rsidRDefault="00B86812" w:rsidP="00E00B35">
      <w:pPr>
        <w:spacing w:after="0" w:line="312" w:lineRule="auto"/>
        <w:rPr>
          <w:szCs w:val="20"/>
        </w:rPr>
      </w:pPr>
      <w:r w:rsidRPr="00E00B35">
        <w:rPr>
          <w:szCs w:val="20"/>
        </w:rPr>
        <w:t>Szkolenia wolontariuszy – 23 osoby</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Powołanie na stanowisko Rzecznika Prezydenta do spraw zwierząt – 1.03.2020</w:t>
      </w:r>
    </w:p>
    <w:p w:rsidR="00B86812" w:rsidRPr="00E00B35" w:rsidRDefault="00B86812" w:rsidP="00E00B35">
      <w:pPr>
        <w:spacing w:after="0" w:line="312" w:lineRule="auto"/>
        <w:rPr>
          <w:szCs w:val="20"/>
        </w:rPr>
      </w:pPr>
      <w:r w:rsidRPr="00E00B35">
        <w:rPr>
          <w:b/>
          <w:szCs w:val="20"/>
        </w:rPr>
        <w:t>Współpraca z  mediami</w:t>
      </w:r>
      <w:r w:rsidRPr="00E00B35">
        <w:rPr>
          <w:szCs w:val="20"/>
        </w:rPr>
        <w:t xml:space="preserve"> - Wrocław.pl oraz z mediami, udział w audycjach dotyczących zwierząt (radio Wrocław)</w:t>
      </w:r>
    </w:p>
    <w:p w:rsidR="00B86812" w:rsidRPr="00E00B35" w:rsidRDefault="00B86812" w:rsidP="00E00B35">
      <w:pPr>
        <w:spacing w:after="0" w:line="312" w:lineRule="auto"/>
        <w:rPr>
          <w:szCs w:val="20"/>
        </w:rPr>
      </w:pPr>
      <w:r w:rsidRPr="00E00B35">
        <w:rPr>
          <w:b/>
          <w:szCs w:val="20"/>
        </w:rPr>
        <w:t>Współpraca z zagranicznymi organizacjami prozwierzęcymi</w:t>
      </w:r>
      <w:r w:rsidRPr="00E00B35">
        <w:rPr>
          <w:szCs w:val="20"/>
        </w:rPr>
        <w:t>: 3 spotkania online z organizacją Vier Pfoten (Niemcy, Austria, Szwajcaria), stały kontakt z DogsTrust (Wielka Brytania).</w:t>
      </w:r>
    </w:p>
    <w:p w:rsidR="00B86812" w:rsidRPr="00E00B35" w:rsidRDefault="00B86812" w:rsidP="00E00B35">
      <w:pPr>
        <w:spacing w:after="0" w:line="312" w:lineRule="auto"/>
        <w:rPr>
          <w:szCs w:val="20"/>
        </w:rPr>
      </w:pPr>
    </w:p>
    <w:p w:rsidR="00B86812" w:rsidRPr="00E00B35" w:rsidRDefault="00B86812" w:rsidP="00E00B35">
      <w:pPr>
        <w:spacing w:after="0" w:line="312" w:lineRule="auto"/>
        <w:rPr>
          <w:szCs w:val="20"/>
        </w:rPr>
      </w:pPr>
      <w:r w:rsidRPr="00E00B35">
        <w:rPr>
          <w:rStyle w:val="Nagwek5Znak"/>
          <w:szCs w:val="20"/>
        </w:rPr>
        <w:t>Przygotowanie i przeprowadzenie on line 5. edycji „Wrocławskiego Serca dla</w:t>
      </w:r>
      <w:r w:rsidRPr="00E00B35">
        <w:rPr>
          <w:b/>
          <w:szCs w:val="20"/>
        </w:rPr>
        <w:t xml:space="preserve"> Zwierząt”</w:t>
      </w:r>
      <w:r w:rsidRPr="00E00B35">
        <w:rPr>
          <w:szCs w:val="20"/>
        </w:rPr>
        <w:t>, cyklicznie przyznawanego odznaczenia</w:t>
      </w:r>
    </w:p>
    <w:p w:rsidR="00B86812" w:rsidRPr="00E00B35" w:rsidRDefault="00B86812" w:rsidP="00E00B35">
      <w:pPr>
        <w:spacing w:after="0" w:line="312" w:lineRule="auto"/>
        <w:rPr>
          <w:szCs w:val="20"/>
        </w:rPr>
      </w:pPr>
      <w:r w:rsidRPr="00E00B35">
        <w:rPr>
          <w:b/>
          <w:szCs w:val="20"/>
        </w:rPr>
        <w:t>Udział w DiverCity4</w:t>
      </w:r>
      <w:r w:rsidRPr="00E00B35">
        <w:rPr>
          <w:szCs w:val="20"/>
        </w:rPr>
        <w:t>, w roli liderki grupy tematycznej „Dostępnośc”</w:t>
      </w:r>
    </w:p>
    <w:p w:rsidR="00B86812" w:rsidRPr="00E00B35" w:rsidRDefault="00B86812" w:rsidP="00E00B35">
      <w:pPr>
        <w:spacing w:after="0" w:line="312" w:lineRule="auto"/>
        <w:rPr>
          <w:b/>
          <w:szCs w:val="20"/>
        </w:rPr>
      </w:pPr>
      <w:r w:rsidRPr="00E00B35">
        <w:rPr>
          <w:b/>
          <w:szCs w:val="20"/>
        </w:rPr>
        <w:t xml:space="preserve">Projekty: </w:t>
      </w:r>
    </w:p>
    <w:p w:rsidR="00B86812" w:rsidRPr="00E00B35" w:rsidRDefault="00B86812" w:rsidP="00BC64AB">
      <w:pPr>
        <w:pStyle w:val="Akapitzlist"/>
        <w:numPr>
          <w:ilvl w:val="0"/>
          <w:numId w:val="296"/>
        </w:numPr>
        <w:spacing w:after="0" w:line="312" w:lineRule="auto"/>
        <w:ind w:left="426" w:hanging="426"/>
        <w:rPr>
          <w:rStyle w:val="Pogrubienie"/>
          <w:rFonts w:eastAsia="font415"/>
          <w:b w:val="0"/>
          <w:szCs w:val="20"/>
        </w:rPr>
      </w:pPr>
      <w:r w:rsidRPr="00E00B35">
        <w:rPr>
          <w:rStyle w:val="Pogrubienie"/>
          <w:rFonts w:eastAsia="font415"/>
          <w:b w:val="0"/>
          <w:szCs w:val="20"/>
        </w:rPr>
        <w:t>Pies Dobry Mieszkaniec Wrocławia – przygotowanie psów do życia w mieście</w:t>
      </w:r>
    </w:p>
    <w:p w:rsidR="00B86812" w:rsidRPr="00E00B35" w:rsidRDefault="00B86812" w:rsidP="00BC64AB">
      <w:pPr>
        <w:pStyle w:val="Akapitzlist"/>
        <w:numPr>
          <w:ilvl w:val="0"/>
          <w:numId w:val="296"/>
        </w:numPr>
        <w:spacing w:after="0" w:line="312" w:lineRule="auto"/>
        <w:ind w:left="426" w:hanging="426"/>
        <w:rPr>
          <w:rStyle w:val="Pogrubienie"/>
          <w:rFonts w:eastAsia="font415"/>
          <w:b w:val="0"/>
          <w:szCs w:val="20"/>
        </w:rPr>
      </w:pPr>
      <w:r w:rsidRPr="00E00B35">
        <w:rPr>
          <w:rStyle w:val="Pogrubienie"/>
          <w:rFonts w:eastAsia="font415"/>
          <w:b w:val="0"/>
          <w:szCs w:val="20"/>
        </w:rPr>
        <w:t>Pets Welcome – oznaczanie i rejestrowanie podmiotów, które zgłaszają gotowość do wpuszczania na swój teren psów.</w:t>
      </w:r>
    </w:p>
    <w:p w:rsidR="00B86812" w:rsidRPr="00E00B35" w:rsidRDefault="00B86812" w:rsidP="00BC64AB">
      <w:pPr>
        <w:pStyle w:val="Akapitzlist"/>
        <w:numPr>
          <w:ilvl w:val="0"/>
          <w:numId w:val="296"/>
        </w:numPr>
        <w:spacing w:after="0" w:line="312" w:lineRule="auto"/>
        <w:ind w:left="426" w:hanging="426"/>
        <w:rPr>
          <w:b/>
          <w:szCs w:val="20"/>
        </w:rPr>
      </w:pPr>
      <w:r w:rsidRPr="00E00B35">
        <w:rPr>
          <w:rStyle w:val="Pogrubienie"/>
          <w:rFonts w:eastAsia="font415"/>
          <w:b w:val="0"/>
          <w:szCs w:val="20"/>
        </w:rPr>
        <w:t>Service Dog – edukacja właścicieli i zarządców nieruchomości oraz firm w zakresie reagowania na obecność psów asystujących</w:t>
      </w:r>
      <w:r w:rsidRPr="00E00B35">
        <w:rPr>
          <w:b/>
          <w:szCs w:val="20"/>
        </w:rPr>
        <w:t xml:space="preserve"> osobom chorym i niepełnosprawnym.</w:t>
      </w:r>
    </w:p>
    <w:p w:rsidR="00B86812" w:rsidRPr="00E00B35" w:rsidRDefault="00B86812" w:rsidP="00E00B35">
      <w:pPr>
        <w:spacing w:after="0" w:line="312" w:lineRule="auto"/>
        <w:rPr>
          <w:szCs w:val="20"/>
        </w:rPr>
      </w:pPr>
    </w:p>
    <w:p w:rsidR="00B86812" w:rsidRPr="00E00B35" w:rsidRDefault="00B86812" w:rsidP="00E00B35">
      <w:pPr>
        <w:pStyle w:val="Nagwek5"/>
        <w:rPr>
          <w:szCs w:val="20"/>
        </w:rPr>
      </w:pPr>
      <w:r w:rsidRPr="00E00B35">
        <w:rPr>
          <w:szCs w:val="20"/>
        </w:rPr>
        <w:t>Ochrona zwierząt</w:t>
      </w:r>
    </w:p>
    <w:p w:rsidR="00B86812" w:rsidRPr="00E00B35" w:rsidRDefault="00B86812" w:rsidP="00BC64AB">
      <w:pPr>
        <w:pStyle w:val="Akapitzlist"/>
        <w:numPr>
          <w:ilvl w:val="0"/>
          <w:numId w:val="296"/>
        </w:numPr>
        <w:spacing w:after="0" w:line="312" w:lineRule="auto"/>
        <w:ind w:left="426" w:hanging="426"/>
        <w:rPr>
          <w:rStyle w:val="Pogrubienie"/>
          <w:rFonts w:eastAsia="font415"/>
          <w:b w:val="0"/>
          <w:szCs w:val="20"/>
        </w:rPr>
      </w:pPr>
      <w:r w:rsidRPr="00E00B35">
        <w:rPr>
          <w:rStyle w:val="Pogrubienie"/>
          <w:rFonts w:eastAsia="font415"/>
          <w:b w:val="0"/>
          <w:szCs w:val="20"/>
        </w:rPr>
        <w:t>Przygotowanie projektu uchwały w sprawie przyjęcia Programu Opieki nad Zwierzętami Bezdomnymi oraz Zapobiegania Bezdomności Zwierząt w Gminie Wrocław</w:t>
      </w:r>
    </w:p>
    <w:p w:rsidR="00B86812" w:rsidRPr="00E00B35" w:rsidRDefault="00B86812" w:rsidP="00BC64AB">
      <w:pPr>
        <w:pStyle w:val="Akapitzlist"/>
        <w:numPr>
          <w:ilvl w:val="0"/>
          <w:numId w:val="296"/>
        </w:numPr>
        <w:spacing w:after="0" w:line="312" w:lineRule="auto"/>
        <w:ind w:left="426" w:hanging="426"/>
        <w:rPr>
          <w:rStyle w:val="Pogrubienie"/>
          <w:rFonts w:eastAsia="font415"/>
          <w:b w:val="0"/>
          <w:szCs w:val="20"/>
        </w:rPr>
      </w:pPr>
      <w:r w:rsidRPr="00E00B35">
        <w:rPr>
          <w:rStyle w:val="Pogrubienie"/>
          <w:rFonts w:eastAsia="font415"/>
          <w:b w:val="0"/>
          <w:szCs w:val="20"/>
        </w:rPr>
        <w:t xml:space="preserve">Prowadzenie i koordynacja programu bezpłatnego znakowania psów i kotów należących do mieszkańców Wrocławia – zaczipowano  773 zwierzęta na kwotę 34 785 zł. </w:t>
      </w:r>
    </w:p>
    <w:p w:rsidR="00B86812" w:rsidRPr="00E00B35" w:rsidRDefault="00B86812" w:rsidP="00BC64AB">
      <w:pPr>
        <w:pStyle w:val="Akapitzlist"/>
        <w:numPr>
          <w:ilvl w:val="0"/>
          <w:numId w:val="296"/>
        </w:numPr>
        <w:spacing w:after="0" w:line="312" w:lineRule="auto"/>
        <w:ind w:left="426" w:hanging="426"/>
        <w:rPr>
          <w:rStyle w:val="Pogrubienie"/>
          <w:rFonts w:eastAsia="font415"/>
          <w:b w:val="0"/>
          <w:szCs w:val="20"/>
        </w:rPr>
      </w:pPr>
      <w:r w:rsidRPr="00E00B35">
        <w:rPr>
          <w:rStyle w:val="Pogrubienie"/>
          <w:rFonts w:eastAsia="font415"/>
          <w:b w:val="0"/>
          <w:szCs w:val="20"/>
        </w:rPr>
        <w:t>Obsługa bazy danych „Psy i koty miejskie” oraz współpraca z Europejską Bazą Danych Safe Animal</w:t>
      </w:r>
    </w:p>
    <w:p w:rsidR="00B86812" w:rsidRPr="00E00B35" w:rsidRDefault="00B86812" w:rsidP="00BC64AB">
      <w:pPr>
        <w:pStyle w:val="Akapitzlist"/>
        <w:numPr>
          <w:ilvl w:val="0"/>
          <w:numId w:val="296"/>
        </w:numPr>
        <w:spacing w:after="0" w:line="312" w:lineRule="auto"/>
        <w:ind w:left="426" w:hanging="426"/>
        <w:rPr>
          <w:rStyle w:val="Pogrubienie"/>
          <w:rFonts w:eastAsia="font415"/>
          <w:b w:val="0"/>
          <w:szCs w:val="20"/>
        </w:rPr>
      </w:pPr>
      <w:r w:rsidRPr="00E00B35">
        <w:rPr>
          <w:rStyle w:val="Pogrubienie"/>
          <w:rFonts w:eastAsia="font415"/>
          <w:b w:val="0"/>
          <w:szCs w:val="20"/>
        </w:rPr>
        <w:t>Prowadzenie i koordynacja programu bezpłatnej sterylizacji psów i kotów należących do mieszkańców Wrocławia – sterylizacji poddano 166 zwierząt na kwotę 39 959,98 zł.</w:t>
      </w:r>
    </w:p>
    <w:p w:rsidR="00B86812" w:rsidRPr="00E00B35" w:rsidRDefault="00B86812" w:rsidP="00BC64AB">
      <w:pPr>
        <w:pStyle w:val="Akapitzlist"/>
        <w:numPr>
          <w:ilvl w:val="0"/>
          <w:numId w:val="296"/>
        </w:numPr>
        <w:spacing w:after="0" w:line="312" w:lineRule="auto"/>
        <w:ind w:left="426" w:hanging="426"/>
        <w:rPr>
          <w:rStyle w:val="Pogrubienie"/>
          <w:rFonts w:eastAsia="font415"/>
          <w:b w:val="0"/>
          <w:szCs w:val="20"/>
        </w:rPr>
      </w:pPr>
      <w:r w:rsidRPr="00E00B35">
        <w:rPr>
          <w:rStyle w:val="Pogrubienie"/>
          <w:rFonts w:eastAsia="font415"/>
          <w:b w:val="0"/>
          <w:szCs w:val="20"/>
        </w:rPr>
        <w:t>Współpraca i nadzór nad Schroniskiem dla Bezdomnych Zwierząt we Wrocławiu – dotacja 3mln zł, dodatkowo 8tys. na talony sterylizacyjne dla kotów wolno żyjących</w:t>
      </w:r>
    </w:p>
    <w:p w:rsidR="00B86812" w:rsidRPr="00E00B35" w:rsidRDefault="00B86812" w:rsidP="00E00B35">
      <w:pPr>
        <w:pStyle w:val="Akapitzlist"/>
        <w:spacing w:after="0" w:line="312" w:lineRule="auto"/>
        <w:ind w:left="426"/>
        <w:rPr>
          <w:rStyle w:val="Pogrubienie"/>
          <w:rFonts w:eastAsia="font415"/>
          <w:b w:val="0"/>
          <w:szCs w:val="20"/>
        </w:rPr>
      </w:pPr>
    </w:p>
    <w:p w:rsidR="00B86812" w:rsidRPr="00E00B35" w:rsidRDefault="00B86812" w:rsidP="00E00B35">
      <w:pPr>
        <w:pStyle w:val="Nagwek20"/>
        <w:spacing w:after="0" w:line="312" w:lineRule="auto"/>
        <w:rPr>
          <w:sz w:val="20"/>
          <w:szCs w:val="20"/>
        </w:rPr>
      </w:pPr>
    </w:p>
    <w:p w:rsidR="00B86812" w:rsidRPr="00E00B35" w:rsidRDefault="00B86812" w:rsidP="00E00B35">
      <w:pPr>
        <w:pStyle w:val="Nagwek20"/>
        <w:spacing w:after="0" w:line="312" w:lineRule="auto"/>
        <w:rPr>
          <w:sz w:val="20"/>
          <w:szCs w:val="20"/>
        </w:rPr>
      </w:pPr>
    </w:p>
    <w:p w:rsidR="00B86812" w:rsidRPr="00E00B35" w:rsidRDefault="00B86812" w:rsidP="00E00B35">
      <w:pPr>
        <w:pStyle w:val="Nagwek20"/>
        <w:spacing w:after="0" w:line="312" w:lineRule="auto"/>
        <w:rPr>
          <w:sz w:val="20"/>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1C170D" w:rsidRPr="00E00B35" w:rsidRDefault="001C170D" w:rsidP="00E00B35">
      <w:pPr>
        <w:spacing w:after="0" w:line="312" w:lineRule="auto"/>
        <w:rPr>
          <w:szCs w:val="20"/>
        </w:rPr>
      </w:pPr>
    </w:p>
    <w:p w:rsidR="001C170D" w:rsidRPr="00E00B35" w:rsidRDefault="001C170D" w:rsidP="00E00B35">
      <w:pPr>
        <w:spacing w:after="0" w:line="312" w:lineRule="auto"/>
        <w:rPr>
          <w:szCs w:val="20"/>
        </w:rPr>
      </w:pPr>
    </w:p>
    <w:p w:rsidR="001C170D" w:rsidRPr="00E00B35" w:rsidRDefault="001C170D" w:rsidP="00E00B35">
      <w:pPr>
        <w:spacing w:after="0" w:line="312" w:lineRule="auto"/>
        <w:rPr>
          <w:szCs w:val="20"/>
        </w:rPr>
      </w:pPr>
    </w:p>
    <w:p w:rsidR="001C170D" w:rsidRPr="00E00B35" w:rsidRDefault="001C170D" w:rsidP="00E00B35">
      <w:pPr>
        <w:spacing w:after="0" w:line="312" w:lineRule="auto"/>
        <w:rPr>
          <w:szCs w:val="20"/>
        </w:rPr>
      </w:pPr>
    </w:p>
    <w:p w:rsidR="001C170D" w:rsidRPr="00E00B35" w:rsidRDefault="001C170D" w:rsidP="00E00B35">
      <w:pPr>
        <w:spacing w:after="0" w:line="312" w:lineRule="auto"/>
        <w:rPr>
          <w:szCs w:val="20"/>
        </w:rPr>
      </w:pPr>
    </w:p>
    <w:p w:rsidR="001C170D" w:rsidRPr="00E00B35" w:rsidRDefault="001C170D" w:rsidP="00E00B35">
      <w:pPr>
        <w:spacing w:after="0" w:line="312" w:lineRule="auto"/>
        <w:rPr>
          <w:szCs w:val="20"/>
        </w:rPr>
      </w:pPr>
    </w:p>
    <w:p w:rsidR="001C170D" w:rsidRPr="00E00B35" w:rsidRDefault="001C170D" w:rsidP="00E00B35">
      <w:pPr>
        <w:spacing w:after="0" w:line="312" w:lineRule="auto"/>
        <w:rPr>
          <w:szCs w:val="20"/>
        </w:rPr>
      </w:pPr>
    </w:p>
    <w:p w:rsidR="001C170D" w:rsidRPr="00E00B35" w:rsidRDefault="001C170D" w:rsidP="00E00B35">
      <w:pPr>
        <w:spacing w:after="0" w:line="312" w:lineRule="auto"/>
        <w:rPr>
          <w:szCs w:val="20"/>
        </w:rPr>
      </w:pPr>
    </w:p>
    <w:p w:rsidR="001C170D" w:rsidRPr="00E00B35" w:rsidRDefault="001C170D" w:rsidP="00E00B35">
      <w:pPr>
        <w:spacing w:after="0" w:line="312" w:lineRule="auto"/>
        <w:rPr>
          <w:szCs w:val="20"/>
        </w:rPr>
      </w:pPr>
    </w:p>
    <w:p w:rsidR="001C170D" w:rsidRPr="00E00B35" w:rsidRDefault="001C170D" w:rsidP="00E00B35">
      <w:pPr>
        <w:spacing w:after="0" w:line="312" w:lineRule="auto"/>
        <w:rPr>
          <w:szCs w:val="20"/>
        </w:rPr>
      </w:pPr>
    </w:p>
    <w:p w:rsidR="001C170D" w:rsidRPr="00E00B35" w:rsidRDefault="001C170D" w:rsidP="00E00B35">
      <w:pPr>
        <w:spacing w:after="0" w:line="312" w:lineRule="auto"/>
        <w:rPr>
          <w:szCs w:val="20"/>
        </w:rPr>
      </w:pPr>
    </w:p>
    <w:p w:rsidR="001C170D" w:rsidRPr="00E00B35" w:rsidRDefault="001C170D"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252360" w:rsidRPr="00E00B35" w:rsidRDefault="00252360" w:rsidP="00E00B35">
      <w:pPr>
        <w:spacing w:after="0" w:line="312" w:lineRule="auto"/>
        <w:rPr>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1E1346" w:rsidRPr="00E00B35" w:rsidRDefault="001E1346" w:rsidP="00E00B35">
      <w:pPr>
        <w:pStyle w:val="Nagwek20"/>
        <w:spacing w:after="0" w:line="312" w:lineRule="auto"/>
        <w:rPr>
          <w:sz w:val="20"/>
          <w:szCs w:val="20"/>
        </w:rPr>
      </w:pPr>
    </w:p>
    <w:p w:rsidR="00252360" w:rsidRPr="00E00B35" w:rsidRDefault="00252360" w:rsidP="00E00B35">
      <w:pPr>
        <w:pStyle w:val="Nagwek20"/>
      </w:pPr>
      <w:bookmarkStart w:id="8" w:name="_Toc78189478"/>
      <w:r w:rsidRPr="00E00B35">
        <w:t>DEPARTAMENT FINANSÓW PUBLICZNYCH</w:t>
      </w:r>
      <w:bookmarkEnd w:id="8"/>
    </w:p>
    <w:p w:rsidR="008C7751" w:rsidRPr="00E00B35" w:rsidRDefault="008C7751" w:rsidP="00E00B35">
      <w:pPr>
        <w:pStyle w:val="Nagwek3"/>
        <w:spacing w:after="0" w:line="312" w:lineRule="auto"/>
        <w:rPr>
          <w:sz w:val="20"/>
        </w:rPr>
      </w:pPr>
      <w:r w:rsidRPr="00E00B35">
        <w:rPr>
          <w:sz w:val="20"/>
        </w:rPr>
        <w:t>SPRAWOZDANIE Z REALIZACJI ZADAŃ W WYDZIALE FINANSOWYM</w:t>
      </w:r>
    </w:p>
    <w:p w:rsidR="008C7751" w:rsidRPr="00E00B35" w:rsidRDefault="008C7751" w:rsidP="00E00B35">
      <w:pPr>
        <w:pStyle w:val="Nagwek3"/>
        <w:spacing w:after="0" w:line="312" w:lineRule="auto"/>
        <w:rPr>
          <w:b w:val="0"/>
          <w:sz w:val="20"/>
        </w:rPr>
      </w:pPr>
      <w:r w:rsidRPr="00E00B35">
        <w:rPr>
          <w:b w:val="0"/>
          <w:sz w:val="20"/>
        </w:rPr>
        <w:t>W 2020 w Wydziale Finansowym zrealizowano następujące zadania:</w:t>
      </w:r>
    </w:p>
    <w:p w:rsidR="008C7751" w:rsidRPr="00E00B35" w:rsidRDefault="008C7751" w:rsidP="00E00B35">
      <w:pPr>
        <w:numPr>
          <w:ilvl w:val="0"/>
          <w:numId w:val="131"/>
        </w:numPr>
        <w:spacing w:after="0" w:line="312" w:lineRule="auto"/>
        <w:rPr>
          <w:bCs/>
          <w:szCs w:val="20"/>
        </w:rPr>
      </w:pPr>
      <w:r w:rsidRPr="00E00B35">
        <w:rPr>
          <w:bCs/>
          <w:szCs w:val="20"/>
        </w:rPr>
        <w:t>sporządzono część finansową założeń społeczno-gospodarczych na rok 2021,</w:t>
      </w:r>
    </w:p>
    <w:p w:rsidR="008C7751" w:rsidRPr="00E00B35" w:rsidRDefault="008C7751" w:rsidP="00E00B35">
      <w:pPr>
        <w:numPr>
          <w:ilvl w:val="0"/>
          <w:numId w:val="131"/>
        </w:numPr>
        <w:spacing w:after="0" w:line="312" w:lineRule="auto"/>
        <w:rPr>
          <w:bCs/>
          <w:szCs w:val="20"/>
        </w:rPr>
      </w:pPr>
      <w:r w:rsidRPr="00E00B35">
        <w:rPr>
          <w:bCs/>
          <w:szCs w:val="20"/>
        </w:rPr>
        <w:t>opracowano projekt budżetu Miasta na 2021 rok wraz z uzasadnieniem oraz Uchwalę w sprawie budżetu Miasta na 2021 rok,</w:t>
      </w:r>
    </w:p>
    <w:p w:rsidR="008C7751" w:rsidRPr="00E00B35" w:rsidRDefault="008C7751" w:rsidP="00E00B35">
      <w:pPr>
        <w:numPr>
          <w:ilvl w:val="0"/>
          <w:numId w:val="131"/>
        </w:numPr>
        <w:spacing w:after="0" w:line="312" w:lineRule="auto"/>
        <w:rPr>
          <w:bCs/>
          <w:szCs w:val="20"/>
        </w:rPr>
      </w:pPr>
      <w:r w:rsidRPr="00E00B35">
        <w:rPr>
          <w:bCs/>
          <w:szCs w:val="20"/>
        </w:rPr>
        <w:t>opracowano projekt oraz Uchwałę w sprawie Wieloletniej Prognozy Finansowej Miasta na lata 2021-2044 wraz z wykazem wieloletnich przedsięwzięć,</w:t>
      </w:r>
    </w:p>
    <w:p w:rsidR="008C7751" w:rsidRPr="00E00B35" w:rsidRDefault="008C7751" w:rsidP="00E00B35">
      <w:pPr>
        <w:numPr>
          <w:ilvl w:val="0"/>
          <w:numId w:val="131"/>
        </w:numPr>
        <w:spacing w:after="0" w:line="312" w:lineRule="auto"/>
        <w:rPr>
          <w:bCs/>
          <w:szCs w:val="20"/>
        </w:rPr>
      </w:pPr>
      <w:r w:rsidRPr="00E00B35">
        <w:rPr>
          <w:bCs/>
          <w:szCs w:val="20"/>
        </w:rPr>
        <w:t>opracowano 7 projektów zmian Wieloletniej Prognozy Finansowej Miasta na lata 2020-2044 wraz z wykazem wieloletnich przedsięwzięć oraz 7 projektów zmian budżetu Miasta na 2020 rok i zmian planu finansowego Miasta na 2020 rok,</w:t>
      </w:r>
    </w:p>
    <w:p w:rsidR="008C7751" w:rsidRPr="00E00B35" w:rsidRDefault="008C7751" w:rsidP="00E00B35">
      <w:pPr>
        <w:numPr>
          <w:ilvl w:val="0"/>
          <w:numId w:val="131"/>
        </w:numPr>
        <w:spacing w:after="0" w:line="312" w:lineRule="auto"/>
        <w:rPr>
          <w:bCs/>
          <w:szCs w:val="20"/>
        </w:rPr>
      </w:pPr>
      <w:r w:rsidRPr="00E00B35">
        <w:rPr>
          <w:bCs/>
          <w:szCs w:val="20"/>
        </w:rPr>
        <w:t>opracowano 55 Zarządzeń Prezydenta zmieniających plan dochodów i wydatków budżetu Miasta na 2020 rok,</w:t>
      </w:r>
    </w:p>
    <w:p w:rsidR="008C7751" w:rsidRPr="00E00B35" w:rsidRDefault="008C7751" w:rsidP="00E00B35">
      <w:pPr>
        <w:numPr>
          <w:ilvl w:val="0"/>
          <w:numId w:val="131"/>
        </w:numPr>
        <w:spacing w:after="0" w:line="312" w:lineRule="auto"/>
        <w:rPr>
          <w:bCs/>
          <w:szCs w:val="20"/>
        </w:rPr>
      </w:pPr>
      <w:r w:rsidRPr="00E00B35">
        <w:rPr>
          <w:bCs/>
          <w:szCs w:val="20"/>
        </w:rPr>
        <w:t>opracowano Zarządzenie Prezydenta w sprawie opracowania planu finansowego Miasta na 2020 rok oraz 62 Zarządzenia Prezydenta zmieniające plan finansowy Miasta,</w:t>
      </w:r>
    </w:p>
    <w:p w:rsidR="008C7751" w:rsidRPr="00E00B35" w:rsidRDefault="008C7751" w:rsidP="00E00B35">
      <w:pPr>
        <w:numPr>
          <w:ilvl w:val="0"/>
          <w:numId w:val="131"/>
        </w:numPr>
        <w:spacing w:after="0" w:line="312" w:lineRule="auto"/>
        <w:rPr>
          <w:bCs/>
          <w:szCs w:val="20"/>
        </w:rPr>
      </w:pPr>
      <w:r w:rsidRPr="00E00B35">
        <w:rPr>
          <w:bCs/>
          <w:szCs w:val="20"/>
        </w:rPr>
        <w:lastRenderedPageBreak/>
        <w:t>wprowadzono zmiany wynikające ze zmian uchwały w sprawie budżetu Miasta oraz zmian planu finansowego Miasta na 2020 rok do systemu SAP i Bestia oraz zmiany wieloletniej prognozy finansowej na lata 2020-2044 do programu Bestia,</w:t>
      </w:r>
    </w:p>
    <w:p w:rsidR="008C7751" w:rsidRPr="00E00B35" w:rsidRDefault="008C7751" w:rsidP="00E00B35">
      <w:pPr>
        <w:numPr>
          <w:ilvl w:val="0"/>
          <w:numId w:val="131"/>
        </w:numPr>
        <w:spacing w:after="0" w:line="312" w:lineRule="auto"/>
        <w:rPr>
          <w:bCs/>
          <w:szCs w:val="20"/>
        </w:rPr>
      </w:pPr>
      <w:r w:rsidRPr="00E00B35">
        <w:rPr>
          <w:bCs/>
          <w:szCs w:val="20"/>
        </w:rPr>
        <w:t>analizowano zmiany poziomu dochodów i wydatków wynikające z planu oraz wykonania budżetu Miasta,</w:t>
      </w:r>
    </w:p>
    <w:p w:rsidR="008C7751" w:rsidRPr="00E00B35" w:rsidRDefault="008C7751" w:rsidP="00E00B35">
      <w:pPr>
        <w:numPr>
          <w:ilvl w:val="0"/>
          <w:numId w:val="131"/>
        </w:numPr>
        <w:spacing w:after="0" w:line="312" w:lineRule="auto"/>
        <w:rPr>
          <w:bCs/>
          <w:szCs w:val="20"/>
        </w:rPr>
      </w:pPr>
      <w:r w:rsidRPr="00E00B35">
        <w:rPr>
          <w:bCs/>
          <w:szCs w:val="20"/>
        </w:rPr>
        <w:t>przeprowadzono zamówienie w trybie przetargu nieograniczonego na udzielenie krótkoterminowego kredytu rewolwingowego (odnawialnego) na pokrycie występującego w ciągu roku przejściowego deficytu budżetu jednostki samorządu terytorialnego,</w:t>
      </w:r>
    </w:p>
    <w:p w:rsidR="008C7751" w:rsidRPr="00E00B35" w:rsidRDefault="008C7751" w:rsidP="00E00B35">
      <w:pPr>
        <w:numPr>
          <w:ilvl w:val="0"/>
          <w:numId w:val="131"/>
        </w:numPr>
        <w:spacing w:after="0" w:line="312" w:lineRule="auto"/>
        <w:rPr>
          <w:bCs/>
          <w:szCs w:val="20"/>
        </w:rPr>
      </w:pPr>
      <w:r w:rsidRPr="00E00B35">
        <w:rPr>
          <w:bCs/>
          <w:szCs w:val="20"/>
        </w:rPr>
        <w:t>przeprowadzono dwa zamówienie w trybie przetargu nieograniczonego na kredyty przeznaczone na sfinansowanie planowanego deficytu budżetu Miasta w 2020 roku i spłatę zobowiązań wynikających z zaciągniętych kredytów i pożyczek oraz wyemitowanych papierów wartościowych,</w:t>
      </w:r>
    </w:p>
    <w:p w:rsidR="008C7751" w:rsidRPr="00E00B35" w:rsidRDefault="008C7751" w:rsidP="00E00B35">
      <w:pPr>
        <w:numPr>
          <w:ilvl w:val="0"/>
          <w:numId w:val="131"/>
        </w:numPr>
        <w:spacing w:after="0" w:line="312" w:lineRule="auto"/>
        <w:rPr>
          <w:bCs/>
          <w:szCs w:val="20"/>
        </w:rPr>
      </w:pPr>
      <w:r w:rsidRPr="00E00B35">
        <w:rPr>
          <w:bCs/>
          <w:szCs w:val="20"/>
        </w:rPr>
        <w:t xml:space="preserve">przygotowano i podpisano w dniu 08.05.2020 roku umowę z Europejskim Bankiem Inwestycyjnym na przyznanie Miastu kolejnej transzy kredytu preferencyjnym oprocentowaniem na finansowanie wydatków inwestycyjnych w 2020 roku, </w:t>
      </w:r>
    </w:p>
    <w:p w:rsidR="008C7751" w:rsidRPr="00E00B35" w:rsidRDefault="008C7751" w:rsidP="00E00B35">
      <w:pPr>
        <w:numPr>
          <w:ilvl w:val="0"/>
          <w:numId w:val="131"/>
        </w:numPr>
        <w:spacing w:after="0" w:line="312" w:lineRule="auto"/>
        <w:rPr>
          <w:bCs/>
          <w:szCs w:val="20"/>
        </w:rPr>
      </w:pPr>
      <w:r w:rsidRPr="00E00B35">
        <w:rPr>
          <w:bCs/>
          <w:szCs w:val="20"/>
        </w:rPr>
        <w:t>przygotowano prezentacje na sesje Rady Miejskiej na temat wykonania budżetu Miasta za rok 2019, wykonania budżetu Miasta za I półrocze 2020 roku, projektu budżetu Miasta na rok 2021, projektu Wieloletniej Prognozy Finansowej Miasta na lata 2021-2044.</w:t>
      </w:r>
    </w:p>
    <w:p w:rsidR="008C7751" w:rsidRPr="00E00B35" w:rsidRDefault="008C7751" w:rsidP="00E00B35">
      <w:pPr>
        <w:numPr>
          <w:ilvl w:val="0"/>
          <w:numId w:val="131"/>
        </w:numPr>
        <w:spacing w:after="0" w:line="312" w:lineRule="auto"/>
        <w:rPr>
          <w:bCs/>
          <w:szCs w:val="20"/>
        </w:rPr>
      </w:pPr>
    </w:p>
    <w:p w:rsidR="008C7751" w:rsidRPr="00E00B35" w:rsidRDefault="008C7751" w:rsidP="00E00B35">
      <w:pPr>
        <w:pStyle w:val="Nagwek3"/>
        <w:spacing w:after="0" w:line="312" w:lineRule="auto"/>
        <w:rPr>
          <w:b w:val="0"/>
          <w:sz w:val="20"/>
        </w:rPr>
      </w:pPr>
      <w:r w:rsidRPr="00E00B35">
        <w:rPr>
          <w:b w:val="0"/>
          <w:sz w:val="20"/>
        </w:rPr>
        <w:t>Współpracowano z innymi komórkami organizacyjnymi Urzędu Miasta i spółkami z udziałem Miasta Wrocławia oraz innymi podmiotami zewnętrznymi w zakresie:</w:t>
      </w:r>
    </w:p>
    <w:p w:rsidR="008C7751" w:rsidRPr="00E00B35" w:rsidRDefault="008C7751" w:rsidP="00E00B35">
      <w:pPr>
        <w:numPr>
          <w:ilvl w:val="0"/>
          <w:numId w:val="131"/>
        </w:numPr>
        <w:spacing w:after="0" w:line="312" w:lineRule="auto"/>
        <w:rPr>
          <w:bCs/>
          <w:szCs w:val="20"/>
        </w:rPr>
      </w:pPr>
      <w:r w:rsidRPr="00E00B35">
        <w:rPr>
          <w:bCs/>
          <w:szCs w:val="20"/>
        </w:rPr>
        <w:t xml:space="preserve">opracowywania budżetu Miasta i Wieloletniej Prognozy Finansowej Miasta na rok 2021 oraz zmian budżetu Miasta i Wieloletniej Prognozy Finansowej Miasta na rok 2020, </w:t>
      </w:r>
    </w:p>
    <w:p w:rsidR="008C7751" w:rsidRPr="00E00B35" w:rsidRDefault="008C7751" w:rsidP="00E00B35">
      <w:pPr>
        <w:numPr>
          <w:ilvl w:val="0"/>
          <w:numId w:val="131"/>
        </w:numPr>
        <w:spacing w:after="0" w:line="312" w:lineRule="auto"/>
        <w:rPr>
          <w:bCs/>
          <w:szCs w:val="20"/>
        </w:rPr>
      </w:pPr>
      <w:r w:rsidRPr="00E00B35">
        <w:rPr>
          <w:bCs/>
          <w:szCs w:val="20"/>
        </w:rPr>
        <w:t>przygotowania stanowiska Prezydenta w sprawie złożonych przez Radnych wniosków do projektu budżetu Miasta na 2021 rok oraz informacji o istotnych zmianach wprowadzonych autopoprawką do projektu budżetu,</w:t>
      </w:r>
    </w:p>
    <w:p w:rsidR="008C7751" w:rsidRPr="00E00B35" w:rsidRDefault="008C7751" w:rsidP="00E00B35">
      <w:pPr>
        <w:numPr>
          <w:ilvl w:val="0"/>
          <w:numId w:val="131"/>
        </w:numPr>
        <w:spacing w:after="0" w:line="312" w:lineRule="auto"/>
        <w:rPr>
          <w:bCs/>
          <w:szCs w:val="20"/>
        </w:rPr>
      </w:pPr>
      <w:r w:rsidRPr="00E00B35">
        <w:rPr>
          <w:bCs/>
          <w:szCs w:val="20"/>
        </w:rPr>
        <w:t>przygotowania odpowiedzi na wnioski o udzielenie informacji publicznej,</w:t>
      </w:r>
    </w:p>
    <w:p w:rsidR="008C7751" w:rsidRPr="00E00B35" w:rsidRDefault="008C7751" w:rsidP="00E00B35">
      <w:pPr>
        <w:numPr>
          <w:ilvl w:val="0"/>
          <w:numId w:val="131"/>
        </w:numPr>
        <w:spacing w:after="0" w:line="312" w:lineRule="auto"/>
        <w:rPr>
          <w:bCs/>
          <w:szCs w:val="20"/>
        </w:rPr>
      </w:pPr>
      <w:r w:rsidRPr="00E00B35">
        <w:rPr>
          <w:bCs/>
          <w:szCs w:val="20"/>
        </w:rPr>
        <w:t>opracowania dokumentacji do prowadzonych zamówień publicznych,</w:t>
      </w:r>
    </w:p>
    <w:p w:rsidR="008C7751" w:rsidRPr="00E00B35" w:rsidRDefault="008C7751" w:rsidP="00E00B35">
      <w:pPr>
        <w:numPr>
          <w:ilvl w:val="0"/>
          <w:numId w:val="131"/>
        </w:numPr>
        <w:spacing w:after="0" w:line="312" w:lineRule="auto"/>
        <w:rPr>
          <w:bCs/>
          <w:szCs w:val="20"/>
        </w:rPr>
      </w:pPr>
      <w:r w:rsidRPr="00E00B35">
        <w:rPr>
          <w:bCs/>
          <w:szCs w:val="20"/>
        </w:rPr>
        <w:t>koordynowania zadań w zakresie bankowej obsługi budżetu Gminy Wrocław,</w:t>
      </w:r>
    </w:p>
    <w:p w:rsidR="008C7751" w:rsidRPr="00E00B35" w:rsidRDefault="008C7751" w:rsidP="00E00B35">
      <w:pPr>
        <w:numPr>
          <w:ilvl w:val="0"/>
          <w:numId w:val="131"/>
        </w:numPr>
        <w:spacing w:after="0" w:line="312" w:lineRule="auto"/>
        <w:rPr>
          <w:bCs/>
          <w:szCs w:val="20"/>
        </w:rPr>
      </w:pPr>
      <w:r w:rsidRPr="00E00B35">
        <w:rPr>
          <w:bCs/>
          <w:szCs w:val="20"/>
        </w:rPr>
        <w:t>przygotowania odpowiedzi na interpelacje radnych i wnioski o udzielenie informacji publicznej.</w:t>
      </w:r>
    </w:p>
    <w:p w:rsidR="008C7751" w:rsidRPr="00E00B35" w:rsidRDefault="008C7751" w:rsidP="00E00B35">
      <w:pPr>
        <w:spacing w:after="0" w:line="312" w:lineRule="auto"/>
        <w:rPr>
          <w:szCs w:val="20"/>
        </w:rPr>
      </w:pPr>
    </w:p>
    <w:p w:rsidR="008C7751" w:rsidRPr="00E00B35" w:rsidRDefault="008C7751" w:rsidP="00E00B35">
      <w:pPr>
        <w:pStyle w:val="Nagwek3"/>
        <w:spacing w:after="0" w:line="312" w:lineRule="auto"/>
        <w:rPr>
          <w:b w:val="0"/>
          <w:sz w:val="20"/>
        </w:rPr>
      </w:pPr>
      <w:r w:rsidRPr="00E00B35">
        <w:rPr>
          <w:b w:val="0"/>
          <w:sz w:val="20"/>
        </w:rPr>
        <w:t>Opracowano następujące raporty, sprawozdania, analizy, opinie dotyczące:</w:t>
      </w:r>
    </w:p>
    <w:p w:rsidR="008C7751" w:rsidRPr="00E00B35" w:rsidRDefault="008C7751" w:rsidP="00E00B35">
      <w:pPr>
        <w:numPr>
          <w:ilvl w:val="0"/>
          <w:numId w:val="131"/>
        </w:numPr>
        <w:spacing w:after="0" w:line="312" w:lineRule="auto"/>
        <w:rPr>
          <w:bCs/>
          <w:szCs w:val="20"/>
        </w:rPr>
      </w:pPr>
      <w:r w:rsidRPr="00E00B35">
        <w:rPr>
          <w:bCs/>
          <w:szCs w:val="20"/>
        </w:rPr>
        <w:t xml:space="preserve">postępu realizacji projektu finansowanego ze środków Europejskiego Banku Inwestycyjnego, </w:t>
      </w:r>
    </w:p>
    <w:p w:rsidR="008C7751" w:rsidRPr="00E00B35" w:rsidRDefault="008C7751" w:rsidP="00E00B35">
      <w:pPr>
        <w:numPr>
          <w:ilvl w:val="0"/>
          <w:numId w:val="131"/>
        </w:numPr>
        <w:spacing w:after="0" w:line="312" w:lineRule="auto"/>
        <w:rPr>
          <w:bCs/>
          <w:szCs w:val="20"/>
        </w:rPr>
      </w:pPr>
      <w:r w:rsidRPr="00E00B35">
        <w:rPr>
          <w:bCs/>
          <w:szCs w:val="20"/>
        </w:rPr>
        <w:t>wykonania budżetu Miasta Wrocławia za 2019 rok i I półrocze 2020 roku do Europejskiego Banku Inwestycyjnego,</w:t>
      </w:r>
    </w:p>
    <w:p w:rsidR="008C7751" w:rsidRPr="00E00B35" w:rsidRDefault="008C7751" w:rsidP="00E00B35">
      <w:pPr>
        <w:numPr>
          <w:ilvl w:val="0"/>
          <w:numId w:val="131"/>
        </w:numPr>
        <w:spacing w:after="0" w:line="312" w:lineRule="auto"/>
        <w:rPr>
          <w:bCs/>
          <w:szCs w:val="20"/>
        </w:rPr>
      </w:pPr>
      <w:r w:rsidRPr="00E00B35">
        <w:rPr>
          <w:bCs/>
          <w:szCs w:val="20"/>
        </w:rPr>
        <w:t>rozliczenia dopłat do kredytu preferencyjnego z Banku Ochrony Środowiska z dofinansowaniem przez Narodowy Fundusz Ochrony Środowiska i Gospodarki Wodnej za okres od 2009 roku do 2019 roku,</w:t>
      </w:r>
    </w:p>
    <w:p w:rsidR="008C7751" w:rsidRPr="00E00B35" w:rsidRDefault="008C7751" w:rsidP="00E00B35">
      <w:pPr>
        <w:numPr>
          <w:ilvl w:val="0"/>
          <w:numId w:val="131"/>
        </w:numPr>
        <w:spacing w:after="0" w:line="312" w:lineRule="auto"/>
        <w:rPr>
          <w:bCs/>
          <w:szCs w:val="20"/>
        </w:rPr>
      </w:pPr>
      <w:r w:rsidRPr="00E00B35">
        <w:rPr>
          <w:bCs/>
          <w:szCs w:val="20"/>
        </w:rPr>
        <w:lastRenderedPageBreak/>
        <w:t>sporządzono 90 sprawozdań, z tego 49 budżetowych, 1 bilans i 40 sprawozdań do Narodowego Banku Polskiego,</w:t>
      </w:r>
    </w:p>
    <w:p w:rsidR="008C7751" w:rsidRPr="00E00B35" w:rsidRDefault="008C7751" w:rsidP="00E00B35">
      <w:pPr>
        <w:numPr>
          <w:ilvl w:val="0"/>
          <w:numId w:val="131"/>
        </w:numPr>
        <w:spacing w:after="0" w:line="312" w:lineRule="auto"/>
        <w:rPr>
          <w:bCs/>
          <w:szCs w:val="20"/>
        </w:rPr>
      </w:pPr>
      <w:r w:rsidRPr="00E00B35">
        <w:rPr>
          <w:bCs/>
          <w:szCs w:val="20"/>
        </w:rPr>
        <w:t>zaksięgowano 141 880 dokumentów,</w:t>
      </w:r>
    </w:p>
    <w:p w:rsidR="008C7751" w:rsidRPr="00E00B35" w:rsidRDefault="008C7751" w:rsidP="00E00B35">
      <w:pPr>
        <w:numPr>
          <w:ilvl w:val="0"/>
          <w:numId w:val="131"/>
        </w:numPr>
        <w:spacing w:after="0" w:line="312" w:lineRule="auto"/>
        <w:rPr>
          <w:bCs/>
          <w:szCs w:val="20"/>
        </w:rPr>
      </w:pPr>
      <w:r w:rsidRPr="00E00B35">
        <w:rPr>
          <w:bCs/>
          <w:szCs w:val="20"/>
        </w:rPr>
        <w:t>sporządzono 132 sprawozdania budżetowe i statystyczne oraz inne informacje, z czego 118 przekazano m.in. do Regionalnej Izby Obrachunkowej, Ministerstwa Finansów, Dolnośląskiego Urzędu Wojewódzkiego, Krajowego Biura Wyborczego oraz Głównego Urzędu Statystycznego,</w:t>
      </w:r>
    </w:p>
    <w:p w:rsidR="008C7751" w:rsidRPr="00E00B35" w:rsidRDefault="008C7751" w:rsidP="00E00B35">
      <w:pPr>
        <w:numPr>
          <w:ilvl w:val="0"/>
          <w:numId w:val="131"/>
        </w:numPr>
        <w:spacing w:after="0" w:line="312" w:lineRule="auto"/>
        <w:rPr>
          <w:bCs/>
          <w:szCs w:val="20"/>
        </w:rPr>
      </w:pPr>
      <w:r w:rsidRPr="00E00B35">
        <w:rPr>
          <w:bCs/>
          <w:szCs w:val="20"/>
        </w:rPr>
        <w:t>opracowano sprawozdanie roczne za 2019 r. oraz informację za I półrocze 2020 r. z wykonania budżetu Miasta Wrocławia,</w:t>
      </w:r>
    </w:p>
    <w:p w:rsidR="008C7751" w:rsidRPr="00E00B35" w:rsidRDefault="008C7751" w:rsidP="00E00B35">
      <w:pPr>
        <w:numPr>
          <w:ilvl w:val="0"/>
          <w:numId w:val="131"/>
        </w:numPr>
        <w:spacing w:after="0" w:line="312" w:lineRule="auto"/>
        <w:rPr>
          <w:bCs/>
          <w:szCs w:val="20"/>
        </w:rPr>
      </w:pPr>
      <w:r w:rsidRPr="00E00B35">
        <w:rPr>
          <w:bCs/>
          <w:szCs w:val="20"/>
        </w:rPr>
        <w:t>opracowano sprawozdanie roczne za 2019 r. oraz informację za I półrocze 2020 r. z wykonania planu finansowego samodzielnych publicznych zakładów opieki zdrowotnej i samorządowych instytucji kultury Miasta Wrocławia,</w:t>
      </w:r>
    </w:p>
    <w:p w:rsidR="008C7751" w:rsidRPr="00E00B35" w:rsidRDefault="008C7751" w:rsidP="00E00B35">
      <w:pPr>
        <w:numPr>
          <w:ilvl w:val="0"/>
          <w:numId w:val="131"/>
        </w:numPr>
        <w:spacing w:after="0" w:line="312" w:lineRule="auto"/>
        <w:rPr>
          <w:bCs/>
          <w:szCs w:val="20"/>
        </w:rPr>
      </w:pPr>
      <w:r w:rsidRPr="00E00B35">
        <w:rPr>
          <w:bCs/>
          <w:szCs w:val="20"/>
        </w:rPr>
        <w:t>sporządzono informację o kształtowaniu się wieloletniej prognozy finansowej Miasta Wrocławia za I półrocze 2020 r. w zakresie rozliczenia wydatków na realizację przedsięwzięć wieloletnich,</w:t>
      </w:r>
    </w:p>
    <w:p w:rsidR="008C7751" w:rsidRPr="00E00B35" w:rsidRDefault="008C7751" w:rsidP="00E00B35">
      <w:pPr>
        <w:numPr>
          <w:ilvl w:val="0"/>
          <w:numId w:val="131"/>
        </w:numPr>
        <w:spacing w:after="0" w:line="312" w:lineRule="auto"/>
        <w:rPr>
          <w:bCs/>
          <w:szCs w:val="20"/>
        </w:rPr>
      </w:pPr>
      <w:r w:rsidRPr="00E00B35">
        <w:rPr>
          <w:bCs/>
          <w:szCs w:val="20"/>
        </w:rPr>
        <w:t>sporządzono miesięczne informacje z wykonania planu dochodów i wydatków Miasta,</w:t>
      </w:r>
    </w:p>
    <w:p w:rsidR="008C7751" w:rsidRPr="00E00B35" w:rsidRDefault="008C7751" w:rsidP="00E00B35">
      <w:pPr>
        <w:numPr>
          <w:ilvl w:val="0"/>
          <w:numId w:val="131"/>
        </w:numPr>
        <w:spacing w:after="0" w:line="312" w:lineRule="auto"/>
        <w:rPr>
          <w:bCs/>
          <w:szCs w:val="20"/>
        </w:rPr>
      </w:pPr>
      <w:r w:rsidRPr="00E00B35">
        <w:rPr>
          <w:bCs/>
          <w:szCs w:val="20"/>
        </w:rPr>
        <w:t>przygotowanie Sprawozdania z realizacji zadań w Wydziale Finansowym za rok 2019, Sprawozdania z realizacji zadań w Departamencie Finansów Publicznych oraz Raportu o stanie Miasta Wrocławia za rok 2019 w zakresie części finansowej.</w:t>
      </w:r>
    </w:p>
    <w:p w:rsidR="008C7751" w:rsidRPr="00E00B35" w:rsidRDefault="008C7751" w:rsidP="00E00B35">
      <w:pPr>
        <w:spacing w:after="0" w:line="312" w:lineRule="auto"/>
        <w:rPr>
          <w:szCs w:val="20"/>
        </w:rPr>
      </w:pPr>
    </w:p>
    <w:p w:rsidR="008C7751" w:rsidRPr="00E00B35" w:rsidRDefault="008C7751" w:rsidP="00E00B35">
      <w:pPr>
        <w:pStyle w:val="Nagwek3"/>
        <w:spacing w:after="0" w:line="312" w:lineRule="auto"/>
        <w:rPr>
          <w:sz w:val="20"/>
        </w:rPr>
      </w:pPr>
      <w:r w:rsidRPr="00E00B35">
        <w:rPr>
          <w:sz w:val="20"/>
        </w:rPr>
        <w:t>SPRAWOZDANIE Z REALIZACJI ZADAŃ W WYDZIALE KSIĘGOWOŚCI</w:t>
      </w:r>
    </w:p>
    <w:p w:rsidR="008C7751" w:rsidRPr="00E00B35" w:rsidRDefault="008C7751" w:rsidP="00E00B35">
      <w:pPr>
        <w:spacing w:after="0" w:line="312" w:lineRule="auto"/>
        <w:rPr>
          <w:b/>
          <w:szCs w:val="20"/>
        </w:rPr>
      </w:pPr>
      <w:r w:rsidRPr="00E00B35">
        <w:rPr>
          <w:b/>
          <w:szCs w:val="20"/>
        </w:rPr>
        <w:t>W 2020 r. zrealizowano następujące działania:</w:t>
      </w:r>
    </w:p>
    <w:p w:rsidR="008C7751" w:rsidRPr="00E00B35" w:rsidRDefault="008C7751" w:rsidP="00E00B35">
      <w:pPr>
        <w:spacing w:after="0" w:line="312" w:lineRule="auto"/>
        <w:rPr>
          <w:b/>
          <w:szCs w:val="20"/>
        </w:rPr>
      </w:pPr>
      <w:r w:rsidRPr="00E00B35">
        <w:rPr>
          <w:b/>
          <w:szCs w:val="20"/>
        </w:rPr>
        <w:t>z zakresu księgowości:</w:t>
      </w:r>
    </w:p>
    <w:p w:rsidR="008C7751" w:rsidRPr="00E00B35" w:rsidRDefault="008C7751" w:rsidP="00E00B35">
      <w:pPr>
        <w:numPr>
          <w:ilvl w:val="0"/>
          <w:numId w:val="131"/>
        </w:numPr>
        <w:spacing w:after="0" w:line="312" w:lineRule="auto"/>
        <w:rPr>
          <w:bCs/>
          <w:szCs w:val="20"/>
        </w:rPr>
      </w:pPr>
      <w:r w:rsidRPr="00E00B35">
        <w:rPr>
          <w:bCs/>
          <w:szCs w:val="20"/>
        </w:rPr>
        <w:t>zaksięgowano 2 632 797 dokumentów księgowych,</w:t>
      </w:r>
    </w:p>
    <w:p w:rsidR="008C7751" w:rsidRPr="00E00B35" w:rsidRDefault="008C7751" w:rsidP="00E00B35">
      <w:pPr>
        <w:numPr>
          <w:ilvl w:val="0"/>
          <w:numId w:val="131"/>
        </w:numPr>
        <w:spacing w:after="0" w:line="312" w:lineRule="auto"/>
        <w:rPr>
          <w:bCs/>
          <w:szCs w:val="20"/>
        </w:rPr>
      </w:pPr>
      <w:r w:rsidRPr="00E00B35">
        <w:rPr>
          <w:bCs/>
          <w:szCs w:val="20"/>
        </w:rPr>
        <w:t>prowadzono księgowość Państwowego Funduszu Rehabilitacji Osób Niepełnosprawnych,</w:t>
      </w:r>
    </w:p>
    <w:p w:rsidR="008C7751" w:rsidRPr="00E00B35" w:rsidRDefault="008C7751" w:rsidP="00E00B35">
      <w:pPr>
        <w:numPr>
          <w:ilvl w:val="0"/>
          <w:numId w:val="131"/>
        </w:numPr>
        <w:spacing w:after="0" w:line="312" w:lineRule="auto"/>
        <w:rPr>
          <w:bCs/>
          <w:szCs w:val="20"/>
        </w:rPr>
      </w:pPr>
      <w:r w:rsidRPr="00E00B35">
        <w:rPr>
          <w:bCs/>
          <w:szCs w:val="20"/>
        </w:rPr>
        <w:t>współpracowano z biegłymi rewidentami przy badaniu sprawozdania finansowego Miasta Wrocławia za 2019 r.,</w:t>
      </w:r>
    </w:p>
    <w:p w:rsidR="008C7751" w:rsidRPr="00E00B35" w:rsidRDefault="008C7751" w:rsidP="00E00B35">
      <w:pPr>
        <w:numPr>
          <w:ilvl w:val="0"/>
          <w:numId w:val="131"/>
        </w:numPr>
        <w:spacing w:after="0" w:line="312" w:lineRule="auto"/>
        <w:rPr>
          <w:bCs/>
          <w:szCs w:val="20"/>
        </w:rPr>
      </w:pPr>
      <w:r w:rsidRPr="00E00B35">
        <w:rPr>
          <w:bCs/>
          <w:szCs w:val="20"/>
        </w:rPr>
        <w:t>współpracowano w trakcie kontroli z Inspektorami RIO przy kompleksowej kontroli funkcjonowania Urzędu Miasta,</w:t>
      </w:r>
    </w:p>
    <w:p w:rsidR="008C7751" w:rsidRPr="00E00B35" w:rsidRDefault="008C7751" w:rsidP="00E00B35">
      <w:pPr>
        <w:numPr>
          <w:ilvl w:val="0"/>
          <w:numId w:val="131"/>
        </w:numPr>
        <w:spacing w:after="0" w:line="312" w:lineRule="auto"/>
        <w:rPr>
          <w:bCs/>
          <w:szCs w:val="20"/>
        </w:rPr>
      </w:pPr>
      <w:r w:rsidRPr="00E00B35">
        <w:rPr>
          <w:bCs/>
          <w:szCs w:val="20"/>
        </w:rPr>
        <w:t>współpracowano w trakcie kontroli dotyczącej realizacji inwestycji współfinansowanych ze środków Unii Europejskiej,</w:t>
      </w:r>
    </w:p>
    <w:p w:rsidR="008C7751" w:rsidRPr="00E00B35" w:rsidRDefault="008C7751" w:rsidP="00E00B35">
      <w:pPr>
        <w:numPr>
          <w:ilvl w:val="0"/>
          <w:numId w:val="131"/>
        </w:numPr>
        <w:spacing w:after="0" w:line="312" w:lineRule="auto"/>
        <w:rPr>
          <w:bCs/>
          <w:szCs w:val="20"/>
        </w:rPr>
      </w:pPr>
      <w:r w:rsidRPr="00E00B35">
        <w:rPr>
          <w:bCs/>
          <w:szCs w:val="20"/>
        </w:rPr>
        <w:t>obsługiwano kontrolę NIK dotyczącą centralizacji podatku VAT w jednostkach samorządu terytorialnego,</w:t>
      </w:r>
    </w:p>
    <w:p w:rsidR="008C7751" w:rsidRPr="00E00B35" w:rsidRDefault="008C7751" w:rsidP="00E00B35">
      <w:pPr>
        <w:numPr>
          <w:ilvl w:val="0"/>
          <w:numId w:val="131"/>
        </w:numPr>
        <w:spacing w:after="0" w:line="312" w:lineRule="auto"/>
        <w:rPr>
          <w:bCs/>
          <w:szCs w:val="20"/>
        </w:rPr>
      </w:pPr>
      <w:r w:rsidRPr="00E00B35">
        <w:rPr>
          <w:bCs/>
          <w:szCs w:val="20"/>
        </w:rPr>
        <w:t>wypracowano system szybkiego obiegu dokumentacji elektronicznej i realizacji zadań w sytuacji utrudnień w pracy związanych z pandemią,</w:t>
      </w:r>
    </w:p>
    <w:p w:rsidR="008C7751" w:rsidRPr="00E00B35" w:rsidRDefault="008C7751" w:rsidP="00E00B35">
      <w:pPr>
        <w:numPr>
          <w:ilvl w:val="0"/>
          <w:numId w:val="131"/>
        </w:numPr>
        <w:spacing w:after="0" w:line="312" w:lineRule="auto"/>
        <w:rPr>
          <w:bCs/>
          <w:szCs w:val="20"/>
        </w:rPr>
      </w:pPr>
      <w:r w:rsidRPr="00E00B35">
        <w:rPr>
          <w:bCs/>
          <w:szCs w:val="20"/>
        </w:rPr>
        <w:t>współpracowano z innymi komórkami organizacyjnymi Urzędu Miasta, spółkami z udziałem Miasta Wrocławia, samorządowymi instytucjami kultury i samodzielnymi publicznymi zakładami opieki zdrowotnej przy opracowywaniu sprawozdania z wykonania budżetu Miasta oraz sprawozdania finansowego za 2019 rok,</w:t>
      </w:r>
    </w:p>
    <w:p w:rsidR="008C7751" w:rsidRPr="00E00B35" w:rsidRDefault="008C7751" w:rsidP="00E00B35">
      <w:pPr>
        <w:numPr>
          <w:ilvl w:val="0"/>
          <w:numId w:val="131"/>
        </w:numPr>
        <w:spacing w:after="0" w:line="312" w:lineRule="auto"/>
        <w:rPr>
          <w:bCs/>
          <w:szCs w:val="20"/>
        </w:rPr>
      </w:pPr>
      <w:r w:rsidRPr="00E00B35">
        <w:rPr>
          <w:bCs/>
          <w:szCs w:val="20"/>
        </w:rPr>
        <w:t>sporządzono 10 miesięcznych deklaracji VAT-7 oraz 41 korekt deklaracji VAT-7,</w:t>
      </w:r>
    </w:p>
    <w:p w:rsidR="008C7751" w:rsidRPr="00E00B35" w:rsidRDefault="008C7751" w:rsidP="00E00B35">
      <w:pPr>
        <w:numPr>
          <w:ilvl w:val="0"/>
          <w:numId w:val="131"/>
        </w:numPr>
        <w:spacing w:after="0" w:line="312" w:lineRule="auto"/>
        <w:rPr>
          <w:bCs/>
          <w:szCs w:val="20"/>
        </w:rPr>
      </w:pPr>
      <w:r w:rsidRPr="00E00B35">
        <w:rPr>
          <w:bCs/>
          <w:szCs w:val="20"/>
        </w:rPr>
        <w:lastRenderedPageBreak/>
        <w:t>sporządzono 12 centralnych plików JPK_VAT oraz 25 korekt plików JPK_VAT, w związku z centralizacją podatku VAT od stycznia 2017 roku,</w:t>
      </w:r>
    </w:p>
    <w:p w:rsidR="008C7751" w:rsidRPr="00E00B35" w:rsidRDefault="008C7751" w:rsidP="00E00B35">
      <w:pPr>
        <w:numPr>
          <w:ilvl w:val="0"/>
          <w:numId w:val="131"/>
        </w:numPr>
        <w:spacing w:after="0" w:line="312" w:lineRule="auto"/>
        <w:rPr>
          <w:bCs/>
          <w:szCs w:val="20"/>
        </w:rPr>
      </w:pPr>
      <w:r w:rsidRPr="00E00B35">
        <w:rPr>
          <w:bCs/>
          <w:szCs w:val="20"/>
        </w:rPr>
        <w:t>przygotowano korektę roczną podatku VAT,</w:t>
      </w:r>
    </w:p>
    <w:p w:rsidR="008C7751" w:rsidRPr="00E00B35" w:rsidRDefault="008C7751" w:rsidP="00E00B35">
      <w:pPr>
        <w:numPr>
          <w:ilvl w:val="0"/>
          <w:numId w:val="131"/>
        </w:numPr>
        <w:spacing w:after="0" w:line="312" w:lineRule="auto"/>
        <w:rPr>
          <w:bCs/>
          <w:szCs w:val="20"/>
        </w:rPr>
      </w:pPr>
      <w:r w:rsidRPr="00E00B35">
        <w:rPr>
          <w:bCs/>
          <w:szCs w:val="20"/>
        </w:rPr>
        <w:t>prowadzono Centralny Rejestr Zobowiązań, gdzie zrealizowano 10.441 spraw (w tym 9.527 dokumentów, które podlegały kontrasygnacie Skarbnika Miasta Wrocławia lub osób upoważnionych),</w:t>
      </w:r>
    </w:p>
    <w:p w:rsidR="008C7751" w:rsidRPr="00E00B35" w:rsidRDefault="008C7751" w:rsidP="00E00B35">
      <w:pPr>
        <w:numPr>
          <w:ilvl w:val="0"/>
          <w:numId w:val="131"/>
        </w:numPr>
        <w:spacing w:after="0" w:line="312" w:lineRule="auto"/>
        <w:rPr>
          <w:bCs/>
          <w:szCs w:val="20"/>
        </w:rPr>
      </w:pPr>
      <w:r w:rsidRPr="00E00B35">
        <w:rPr>
          <w:bCs/>
          <w:szCs w:val="20"/>
        </w:rPr>
        <w:t>zweryfikowano 207 projektów umów zawieranych w trybie przepisów ustawy Prawo zamówień publicznych,</w:t>
      </w:r>
    </w:p>
    <w:p w:rsidR="008C7751" w:rsidRPr="00E00B35" w:rsidRDefault="008C7751" w:rsidP="00E00B35">
      <w:pPr>
        <w:numPr>
          <w:ilvl w:val="0"/>
          <w:numId w:val="131"/>
        </w:numPr>
        <w:spacing w:after="0" w:line="312" w:lineRule="auto"/>
        <w:rPr>
          <w:bCs/>
          <w:szCs w:val="20"/>
        </w:rPr>
      </w:pPr>
      <w:r w:rsidRPr="00E00B35">
        <w:rPr>
          <w:bCs/>
          <w:szCs w:val="20"/>
        </w:rPr>
        <w:t xml:space="preserve">skoordynowano obieg 83 informacji w sprawach zajęć wierzytelności, w ramach których jako dłużnik wskazany był Urząd </w:t>
      </w:r>
      <w:r w:rsidR="00252360" w:rsidRPr="00E00B35">
        <w:rPr>
          <w:bCs/>
          <w:szCs w:val="20"/>
        </w:rPr>
        <w:t>Miejski Wrocławia/Gmina Wrocław;</w:t>
      </w:r>
    </w:p>
    <w:p w:rsidR="008C7751" w:rsidRPr="00E00B35" w:rsidRDefault="001C170D" w:rsidP="00E00B35">
      <w:pPr>
        <w:pStyle w:val="Nagwek3"/>
        <w:spacing w:after="0" w:line="312" w:lineRule="auto"/>
        <w:rPr>
          <w:sz w:val="20"/>
        </w:rPr>
      </w:pPr>
      <w:r w:rsidRPr="00E00B35">
        <w:rPr>
          <w:sz w:val="20"/>
          <w:lang w:val="pl-PL"/>
        </w:rPr>
        <w:br/>
      </w:r>
      <w:r w:rsidR="008C7751" w:rsidRPr="00E00B35">
        <w:rPr>
          <w:sz w:val="20"/>
        </w:rPr>
        <w:t>z zakresu sprawozdawczości:</w:t>
      </w:r>
    </w:p>
    <w:p w:rsidR="008C7751" w:rsidRPr="00E00B35" w:rsidRDefault="008C7751" w:rsidP="00E00B35">
      <w:pPr>
        <w:numPr>
          <w:ilvl w:val="0"/>
          <w:numId w:val="131"/>
        </w:numPr>
        <w:spacing w:after="0" w:line="312" w:lineRule="auto"/>
        <w:rPr>
          <w:bCs/>
          <w:szCs w:val="20"/>
        </w:rPr>
      </w:pPr>
      <w:r w:rsidRPr="00E00B35">
        <w:rPr>
          <w:bCs/>
          <w:szCs w:val="20"/>
        </w:rPr>
        <w:t>sporządzono 286 jednostkowych sprawozdań budżetowych i statystycznych z Urzędu,</w:t>
      </w:r>
    </w:p>
    <w:p w:rsidR="008C7751" w:rsidRPr="00E00B35" w:rsidRDefault="008C7751" w:rsidP="00E00B35">
      <w:pPr>
        <w:numPr>
          <w:ilvl w:val="0"/>
          <w:numId w:val="131"/>
        </w:numPr>
        <w:spacing w:after="0" w:line="312" w:lineRule="auto"/>
        <w:rPr>
          <w:bCs/>
          <w:szCs w:val="20"/>
        </w:rPr>
      </w:pPr>
      <w:r w:rsidRPr="00E00B35">
        <w:rPr>
          <w:bCs/>
          <w:szCs w:val="20"/>
        </w:rPr>
        <w:t>sporządzono sprawozdanie finansowe Miasta Wrocławia za 2019 r. obejmujące bilans z wykonania budżetu, rachunek zysków i strat, zestawienie zmian w funduszu oraz informację dodatkową,</w:t>
      </w:r>
    </w:p>
    <w:p w:rsidR="008C7751" w:rsidRPr="00E00B35" w:rsidRDefault="008C7751" w:rsidP="00E00B35">
      <w:pPr>
        <w:numPr>
          <w:ilvl w:val="0"/>
          <w:numId w:val="131"/>
        </w:numPr>
        <w:spacing w:after="0" w:line="312" w:lineRule="auto"/>
        <w:rPr>
          <w:bCs/>
          <w:szCs w:val="20"/>
        </w:rPr>
      </w:pPr>
      <w:r w:rsidRPr="00E00B35">
        <w:rPr>
          <w:bCs/>
          <w:szCs w:val="20"/>
        </w:rPr>
        <w:t>sporządzono bilans skonsolidowany Miasta Wrocławia za 2019 r.,</w:t>
      </w:r>
    </w:p>
    <w:p w:rsidR="008C7751" w:rsidRPr="00E00B35" w:rsidRDefault="008C7751" w:rsidP="00E00B35">
      <w:pPr>
        <w:numPr>
          <w:ilvl w:val="0"/>
          <w:numId w:val="131"/>
        </w:numPr>
        <w:spacing w:after="0" w:line="312" w:lineRule="auto"/>
        <w:rPr>
          <w:bCs/>
          <w:szCs w:val="20"/>
        </w:rPr>
      </w:pPr>
      <w:r w:rsidRPr="00E00B35">
        <w:rPr>
          <w:bCs/>
          <w:szCs w:val="20"/>
        </w:rPr>
        <w:t>sporządzono 4 kwartalne sprawozdania o stanie zobowiązań,</w:t>
      </w:r>
    </w:p>
    <w:p w:rsidR="008C7751" w:rsidRPr="00E00B35" w:rsidRDefault="008C7751" w:rsidP="00E00B35">
      <w:pPr>
        <w:numPr>
          <w:ilvl w:val="0"/>
          <w:numId w:val="131"/>
        </w:numPr>
        <w:spacing w:after="0" w:line="312" w:lineRule="auto"/>
        <w:rPr>
          <w:bCs/>
          <w:szCs w:val="20"/>
        </w:rPr>
      </w:pPr>
      <w:r w:rsidRPr="00E00B35">
        <w:rPr>
          <w:bCs/>
          <w:szCs w:val="20"/>
        </w:rPr>
        <w:t>sporządzono roczne sprawozdanie o stanie zobowiązań,</w:t>
      </w:r>
    </w:p>
    <w:p w:rsidR="008C7751" w:rsidRPr="00E00B35" w:rsidRDefault="008C7751" w:rsidP="00E00B35">
      <w:pPr>
        <w:numPr>
          <w:ilvl w:val="0"/>
          <w:numId w:val="131"/>
        </w:numPr>
        <w:spacing w:after="0" w:line="312" w:lineRule="auto"/>
        <w:rPr>
          <w:bCs/>
          <w:szCs w:val="20"/>
        </w:rPr>
      </w:pPr>
      <w:r w:rsidRPr="00E00B35">
        <w:rPr>
          <w:bCs/>
          <w:szCs w:val="20"/>
        </w:rPr>
        <w:t>sporządzono roczne sprawozdanie o międzynarodowej wymianie usług,</w:t>
      </w:r>
    </w:p>
    <w:p w:rsidR="008C7751" w:rsidRPr="00E00B35" w:rsidRDefault="008C7751" w:rsidP="00E00B35">
      <w:pPr>
        <w:numPr>
          <w:ilvl w:val="0"/>
          <w:numId w:val="131"/>
        </w:numPr>
        <w:spacing w:after="0" w:line="312" w:lineRule="auto"/>
        <w:rPr>
          <w:bCs/>
          <w:szCs w:val="20"/>
        </w:rPr>
      </w:pPr>
      <w:r w:rsidRPr="00E00B35">
        <w:rPr>
          <w:bCs/>
          <w:szCs w:val="20"/>
        </w:rPr>
        <w:t>sporządzono roczne sprawozdanie dotyczące statystyki Gminy w zakresie środków trwałych.</w:t>
      </w:r>
    </w:p>
    <w:p w:rsidR="008C7751" w:rsidRPr="00E00B35" w:rsidRDefault="008C7751" w:rsidP="00E00B35">
      <w:pPr>
        <w:spacing w:after="0" w:line="312" w:lineRule="auto"/>
        <w:rPr>
          <w:szCs w:val="20"/>
        </w:rPr>
      </w:pPr>
    </w:p>
    <w:p w:rsidR="008C7751" w:rsidRPr="00E00B35" w:rsidRDefault="008C7751" w:rsidP="00E00B35">
      <w:pPr>
        <w:pStyle w:val="Nagwek3"/>
        <w:spacing w:after="0" w:line="312" w:lineRule="auto"/>
        <w:rPr>
          <w:sz w:val="20"/>
        </w:rPr>
      </w:pPr>
      <w:r w:rsidRPr="00E00B35">
        <w:rPr>
          <w:sz w:val="20"/>
        </w:rPr>
        <w:t xml:space="preserve">SPRAWOZDANIE Z REALIZACJI ZADAŃ W WYDZIALE NABYWANIA </w:t>
      </w:r>
    </w:p>
    <w:p w:rsidR="008C7751" w:rsidRPr="00E00B35" w:rsidRDefault="008C7751" w:rsidP="00E00B35">
      <w:pPr>
        <w:pStyle w:val="Nagwek3"/>
        <w:spacing w:after="0" w:line="312" w:lineRule="auto"/>
        <w:rPr>
          <w:sz w:val="20"/>
        </w:rPr>
      </w:pPr>
      <w:r w:rsidRPr="00E00B35">
        <w:rPr>
          <w:sz w:val="20"/>
        </w:rPr>
        <w:t xml:space="preserve">I SPRZEDAŻY NIERUCHOMOŚCI </w:t>
      </w:r>
    </w:p>
    <w:p w:rsidR="008C7751" w:rsidRPr="00E00B35" w:rsidRDefault="008C7751" w:rsidP="00E00B35">
      <w:pPr>
        <w:spacing w:after="0" w:line="312" w:lineRule="auto"/>
        <w:rPr>
          <w:szCs w:val="20"/>
        </w:rPr>
      </w:pPr>
      <w:bookmarkStart w:id="9" w:name="_Toc159725699"/>
      <w:bookmarkStart w:id="10" w:name="_Toc159847377"/>
      <w:bookmarkStart w:id="11" w:name="_Toc159725704"/>
      <w:bookmarkStart w:id="12" w:name="_Toc159847381"/>
      <w:bookmarkStart w:id="13" w:name="_Toc37733304"/>
      <w:bookmarkStart w:id="14" w:name="_Toc414081835"/>
      <w:bookmarkStart w:id="15" w:name="_Toc445513260"/>
      <w:bookmarkStart w:id="16" w:name="_Toc476549320"/>
      <w:r w:rsidRPr="00E00B35">
        <w:rPr>
          <w:szCs w:val="20"/>
        </w:rPr>
        <w:t>Rok 2020 to okres gospodarowania nieruchomościami w szczególnych warunkach. Wprowadzenie na terenie Polski najpierw stanu zagrożenia epidemicznego, a następnie stanu epidemii w związku z zakażeniami wirusem SARS-CoV-2 wywarło istotny wpływ na kształtowanie się dochodów z tytułu sprzedaży nieruchomości. Z powodu lockdownu Prezydent  Wrocławia podjął decyzję o odwołaniu przetargów ogłoszonych od dnia 19 marca 2020 r. do 31 maja 2020 r. Nie odbyło się 35 przetargów ustnych i ofertowych na sprzedaż zarówno lokali, jak i gruntów. Od czerwca 2020 r., aby w jak największym stopniu przywrócić potencjalnym nabywców i inwestorom możliwość nabywania nieruchomości, a jednocześnie przestrzegać reżimów sanitarnych i zapewnić bezpieczeństwo kupującym oraz pracownikom UMW, zmodyfikowano terminarz przetargowy i licytacje często były przeprowadzane 2 razy dziennie (na jedną godzinę przypadał jeden adres). Rozszerzono skład zespołu ds. przeprowadzania przetargów, aby nie zaburzyć harmonogramów przetargowych.</w:t>
      </w:r>
    </w:p>
    <w:p w:rsidR="008C7751" w:rsidRPr="00E00B35" w:rsidRDefault="008C7751" w:rsidP="00E00B35">
      <w:pPr>
        <w:spacing w:after="0" w:line="312" w:lineRule="auto"/>
        <w:rPr>
          <w:rFonts w:cs="Verdana"/>
          <w:bCs/>
          <w:szCs w:val="20"/>
        </w:rPr>
      </w:pPr>
      <w:r w:rsidRPr="00E00B35">
        <w:rPr>
          <w:szCs w:val="20"/>
        </w:rPr>
        <w:t xml:space="preserve">Stan epidemiczny rozciągnął w czasie przygotowanie nieruchomości do zbycia m.in. z powodu wydłużenia opiniowania spraw przez inne jednostki czy wstrzymania postępowań administracyjnych. Wpłynęło to na rok 2020 - nie wszystkie planowane nieruchomości trafiły do obrotu, ale będzie też rzutowało na ofertę nieruchomości w I półroczu 2021. </w:t>
      </w:r>
      <w:r w:rsidRPr="00E00B35">
        <w:rPr>
          <w:szCs w:val="20"/>
        </w:rPr>
        <w:lastRenderedPageBreak/>
        <w:t xml:space="preserve">Ograniczony kontakt bezpośredni z klientem zewnętrznym, jak i spółkami miejskimi, wykonawcami – kancelariami notarialnymi, rzeczoznawcami; utrudniał płynne prowadzenie spraw także w zakresie nabywania nieruchomości czy innych zadań regulaminowych m.in. </w:t>
      </w:r>
      <w:r w:rsidRPr="00E00B35">
        <w:rPr>
          <w:rFonts w:cs="Verdana"/>
          <w:bCs/>
          <w:szCs w:val="20"/>
        </w:rPr>
        <w:t>przekształcenia prawa użytkowania wieczystego gruntu w prawo własności. Pomimo trwającej pandemii Wydział prowadził procedury nabywania strategicznych dla Miasta gruntów pod parki, edukację, infrastrukturę w tym park &amp; ride. Były to jedne z największych ilościowo tego typu działań Wydziału od co najmniej kilku lat.</w:t>
      </w:r>
    </w:p>
    <w:p w:rsidR="001E1346" w:rsidRPr="00E00B35" w:rsidRDefault="001E1346" w:rsidP="00E00B35">
      <w:pPr>
        <w:spacing w:after="0" w:line="312" w:lineRule="auto"/>
        <w:rPr>
          <w:rFonts w:cs="Verdana"/>
          <w:bCs/>
          <w:szCs w:val="20"/>
        </w:rPr>
      </w:pPr>
    </w:p>
    <w:p w:rsidR="008C7751" w:rsidRPr="00E00B35" w:rsidRDefault="008C7751" w:rsidP="00E00B35">
      <w:pPr>
        <w:pStyle w:val="Nagwek4"/>
        <w:spacing w:before="0" w:after="0" w:line="312" w:lineRule="auto"/>
        <w:rPr>
          <w:sz w:val="20"/>
          <w:szCs w:val="20"/>
        </w:rPr>
      </w:pPr>
      <w:bookmarkStart w:id="17" w:name="_Toc506548794"/>
      <w:r w:rsidRPr="00E00B35">
        <w:rPr>
          <w:sz w:val="20"/>
          <w:szCs w:val="20"/>
        </w:rPr>
        <w:t>SPRZEDAŻ NIERUCHOMOŚCI GRUNTOWYCH</w:t>
      </w:r>
      <w:bookmarkEnd w:id="17"/>
    </w:p>
    <w:p w:rsidR="008C7751" w:rsidRPr="00E00B35" w:rsidRDefault="008C7751" w:rsidP="00E00B35">
      <w:pPr>
        <w:spacing w:after="0" w:line="312" w:lineRule="auto"/>
        <w:rPr>
          <w:szCs w:val="20"/>
        </w:rPr>
      </w:pPr>
      <w:r w:rsidRPr="00E00B35">
        <w:rPr>
          <w:szCs w:val="20"/>
        </w:rPr>
        <w:t xml:space="preserve">W 2020 r. procedurą przygotowania do sprzedaży objęto 141 nowych nieruchomości. Tradycyjnie do sprzedaży skierowane zostały tereny przeznaczone pod zabudowę mieszkaniową jedno- i wielorodzinną oraz komercyjną: biura, usługi, aktywność gospodarczą. Były to nieruchomości zróżnicowane nie tylko pod względem funkcji, ale także parametrów i położenia. </w:t>
      </w:r>
    </w:p>
    <w:p w:rsidR="001E1346" w:rsidRPr="00E00B35" w:rsidRDefault="001E1346" w:rsidP="00E00B35">
      <w:pPr>
        <w:spacing w:after="0" w:line="312" w:lineRule="auto"/>
        <w:rPr>
          <w:b/>
          <w:szCs w:val="20"/>
        </w:rPr>
      </w:pPr>
    </w:p>
    <w:p w:rsidR="008C7751" w:rsidRPr="00E00B35" w:rsidRDefault="008C7751" w:rsidP="00E00B35">
      <w:pPr>
        <w:pStyle w:val="Nagwek5"/>
        <w:rPr>
          <w:szCs w:val="20"/>
        </w:rPr>
      </w:pPr>
      <w:r w:rsidRPr="00E00B35">
        <w:rPr>
          <w:szCs w:val="20"/>
        </w:rPr>
        <w:t>Sprzedaż nieruchomości gruntowych w trybie przetargowym</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 xml:space="preserve">W roku sprawozdawczym do sprzedaży skierowanych zostało 100 nieruchomości gruntowych. Przeprowadzono 84 przetargi, w których udział wzięło 345 uczestników – </w:t>
      </w:r>
      <w:r w:rsidRPr="00E00B35">
        <w:rPr>
          <w:szCs w:val="20"/>
        </w:rPr>
        <w:t xml:space="preserve">osób </w:t>
      </w:r>
      <w:r w:rsidRPr="00E00B35">
        <w:rPr>
          <w:rStyle w:val="A1"/>
          <w:rFonts w:cs="Verdana"/>
          <w:sz w:val="20"/>
          <w:szCs w:val="20"/>
        </w:rPr>
        <w:t>prawnych i fizycznych (na jeden przetarg przypadało średnio 4 licytantów). To o ponad połowę więcej niż w 2019 r. (157), co potwierdza, że w czasach koronawirusa wzrósł popyt na nieruchomości gruntowe (szczególnie niezabudowane). Wrocławianie częściej niż dotychczas podejmowali decyzje o budowie domu (ze względu na czasowe „uwięzienie” w mieszkaniach na czas lockdownu), a część nabywców kupiła nieruchomość gruntową aby ulokować kapitał – w obliczu praktycznie zerowych stóp procentowych. Zauważono również znaczący wzrost zainteresowania deweloperów działkami przeznaczonymi pod zabudowę wielorodzinną. Wynikał on ze zwiększonego popytu na lokale mieszkalne na rynku pierwotnym, ale także – tak jak w przypadku klientów indywidualnych – z potraktowania zakupu gruntu jako opłacalnej inwestycji długoterminowej.</w:t>
      </w:r>
    </w:p>
    <w:p w:rsidR="008C7751" w:rsidRPr="00E00B35" w:rsidRDefault="008C7751" w:rsidP="00E00B35">
      <w:pPr>
        <w:spacing w:after="0" w:line="312" w:lineRule="auto"/>
        <w:rPr>
          <w:rStyle w:val="A1"/>
          <w:sz w:val="20"/>
          <w:szCs w:val="20"/>
        </w:rPr>
      </w:pPr>
      <w:r w:rsidRPr="00E00B35">
        <w:rPr>
          <w:rStyle w:val="A1"/>
          <w:rFonts w:cs="Verdana"/>
          <w:sz w:val="20"/>
          <w:szCs w:val="20"/>
        </w:rPr>
        <w:t>W trybie przetargowym nabywców znalazło 56 nieruchomości, których łączna powierzchnia wyniosła 10 ha. W przypadku jednej nieruchomości gruntowej - położonej przy ul. Złotej 8a, kupujący ostatecznie nie podpisał aktu notarialnego. Nieruchomość ponownie wróci do licytacji w 2021 r.</w:t>
      </w:r>
    </w:p>
    <w:p w:rsidR="008C7751" w:rsidRPr="00E00B35" w:rsidRDefault="008C7751" w:rsidP="00E00B35">
      <w:pPr>
        <w:spacing w:after="0" w:line="312" w:lineRule="auto"/>
        <w:rPr>
          <w:rStyle w:val="A1"/>
          <w:rFonts w:cs="Verdana"/>
          <w:b/>
          <w:sz w:val="20"/>
          <w:szCs w:val="20"/>
        </w:rPr>
      </w:pPr>
    </w:p>
    <w:p w:rsidR="008C7751" w:rsidRPr="00E00B35" w:rsidRDefault="008C7751" w:rsidP="00E00B35">
      <w:pPr>
        <w:spacing w:after="0" w:line="312" w:lineRule="auto"/>
        <w:rPr>
          <w:b/>
          <w:szCs w:val="20"/>
        </w:rPr>
      </w:pPr>
      <w:r w:rsidRPr="00E00B35">
        <w:rPr>
          <w:b/>
          <w:szCs w:val="20"/>
        </w:rPr>
        <w:t>Informacja dotycząca rozstrzygnięć przetargów na sprzedaż nieruchomości gruntowych (Źródło: UMW)</w:t>
      </w:r>
    </w:p>
    <w:p w:rsidR="008C7751" w:rsidRPr="00E00B35" w:rsidRDefault="008C7751" w:rsidP="00E00B35">
      <w:pPr>
        <w:spacing w:after="0" w:line="312" w:lineRule="auto"/>
        <w:rPr>
          <w:szCs w:val="20"/>
        </w:rPr>
      </w:pPr>
      <w:r w:rsidRPr="00E00B35">
        <w:rPr>
          <w:szCs w:val="20"/>
        </w:rPr>
        <w:t xml:space="preserve">Rodzaj przetargu i forma zbycia: </w:t>
      </w:r>
      <w:r w:rsidRPr="00E00B35">
        <w:rPr>
          <w:caps/>
          <w:szCs w:val="20"/>
        </w:rPr>
        <w:t xml:space="preserve">Ustny </w:t>
      </w:r>
      <w:r w:rsidRPr="00E00B35">
        <w:rPr>
          <w:szCs w:val="20"/>
        </w:rPr>
        <w:t>Sprzedaż</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Opis nieruchomości: Zabudowane</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Ilość przetargów: 10</w:t>
      </w:r>
    </w:p>
    <w:p w:rsidR="008C7751" w:rsidRPr="00E00B35" w:rsidRDefault="008C7751" w:rsidP="00E00B35">
      <w:pPr>
        <w:spacing w:after="0" w:line="312" w:lineRule="auto"/>
        <w:rPr>
          <w:szCs w:val="20"/>
        </w:rPr>
      </w:pPr>
      <w:r w:rsidRPr="00E00B35">
        <w:rPr>
          <w:szCs w:val="20"/>
        </w:rPr>
        <w:t>Ilość przetargów - wyłonieni nabywcy: 6</w:t>
      </w:r>
    </w:p>
    <w:p w:rsidR="008C7751" w:rsidRPr="00E00B35" w:rsidRDefault="008C7751" w:rsidP="00E00B35">
      <w:pPr>
        <w:spacing w:after="0" w:line="312" w:lineRule="auto"/>
        <w:rPr>
          <w:rStyle w:val="A1"/>
          <w:rFonts w:cs="Verdana"/>
          <w:sz w:val="20"/>
          <w:szCs w:val="20"/>
        </w:rPr>
      </w:pPr>
      <w:r w:rsidRPr="00E00B35">
        <w:rPr>
          <w:szCs w:val="20"/>
        </w:rPr>
        <w:t>Ilość przetargów - bez rezultatu: 4</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Opis nieruchomości: Niezabudowane</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lastRenderedPageBreak/>
        <w:t>Ilość przetargów: 62</w:t>
      </w:r>
    </w:p>
    <w:p w:rsidR="008C7751" w:rsidRPr="00E00B35" w:rsidRDefault="008C7751" w:rsidP="00E00B35">
      <w:pPr>
        <w:spacing w:after="0" w:line="312" w:lineRule="auto"/>
        <w:rPr>
          <w:szCs w:val="20"/>
        </w:rPr>
      </w:pPr>
      <w:r w:rsidRPr="00E00B35">
        <w:rPr>
          <w:szCs w:val="20"/>
        </w:rPr>
        <w:t>Ilość przetargów - wyłonieni nabywcy: 42</w:t>
      </w:r>
    </w:p>
    <w:p w:rsidR="008C7751" w:rsidRPr="00E00B35" w:rsidRDefault="008C7751" w:rsidP="00E00B35">
      <w:pPr>
        <w:spacing w:after="0" w:line="312" w:lineRule="auto"/>
        <w:rPr>
          <w:rStyle w:val="A1"/>
          <w:rFonts w:cs="Verdana"/>
          <w:sz w:val="20"/>
          <w:szCs w:val="20"/>
        </w:rPr>
      </w:pPr>
      <w:r w:rsidRPr="00E00B35">
        <w:rPr>
          <w:szCs w:val="20"/>
        </w:rPr>
        <w:t>Ilość przetargów - bez rezultatu: 20</w:t>
      </w:r>
    </w:p>
    <w:p w:rsidR="008C7751" w:rsidRPr="00E00B35" w:rsidRDefault="008C7751" w:rsidP="00E00B35">
      <w:pPr>
        <w:spacing w:after="0" w:line="312" w:lineRule="auto"/>
        <w:rPr>
          <w:szCs w:val="20"/>
        </w:rPr>
      </w:pPr>
      <w:r w:rsidRPr="00E00B35">
        <w:rPr>
          <w:szCs w:val="20"/>
        </w:rPr>
        <w:t xml:space="preserve">Rodzaj przetargu i forma zbycia: </w:t>
      </w:r>
      <w:r w:rsidRPr="00E00B35">
        <w:rPr>
          <w:caps/>
          <w:szCs w:val="20"/>
        </w:rPr>
        <w:t xml:space="preserve">OFERTOWY </w:t>
      </w:r>
      <w:r w:rsidRPr="00E00B35">
        <w:rPr>
          <w:szCs w:val="20"/>
        </w:rPr>
        <w:t>Sprzedaż</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Opis nieruchomości: Zabudowane</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Ilość przetargów: 2</w:t>
      </w:r>
    </w:p>
    <w:p w:rsidR="008C7751" w:rsidRPr="00E00B35" w:rsidRDefault="008C7751" w:rsidP="00E00B35">
      <w:pPr>
        <w:spacing w:after="0" w:line="312" w:lineRule="auto"/>
        <w:rPr>
          <w:szCs w:val="20"/>
        </w:rPr>
      </w:pPr>
      <w:r w:rsidRPr="00E00B35">
        <w:rPr>
          <w:szCs w:val="20"/>
        </w:rPr>
        <w:t>Ilość przetargów - wyłonieni nabywcy: 2</w:t>
      </w:r>
    </w:p>
    <w:p w:rsidR="008C7751" w:rsidRPr="00E00B35" w:rsidRDefault="008C7751" w:rsidP="00E00B35">
      <w:pPr>
        <w:spacing w:after="0" w:line="312" w:lineRule="auto"/>
        <w:rPr>
          <w:rStyle w:val="A1"/>
          <w:rFonts w:cs="Verdana"/>
          <w:sz w:val="20"/>
          <w:szCs w:val="20"/>
        </w:rPr>
      </w:pPr>
      <w:r w:rsidRPr="00E00B35">
        <w:rPr>
          <w:szCs w:val="20"/>
        </w:rPr>
        <w:t>Ilość przetargów - bez rezultatu: 0</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Opis nieruchomości: Niezabudowane</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Ilość przetargów: 10</w:t>
      </w:r>
    </w:p>
    <w:p w:rsidR="008C7751" w:rsidRPr="00E00B35" w:rsidRDefault="008C7751" w:rsidP="00E00B35">
      <w:pPr>
        <w:spacing w:after="0" w:line="312" w:lineRule="auto"/>
        <w:rPr>
          <w:szCs w:val="20"/>
        </w:rPr>
      </w:pPr>
      <w:r w:rsidRPr="00E00B35">
        <w:rPr>
          <w:szCs w:val="20"/>
        </w:rPr>
        <w:t>Ilość przetargów - wyłonieni nabywcy: 6</w:t>
      </w:r>
    </w:p>
    <w:p w:rsidR="008C7751" w:rsidRPr="00E00B35" w:rsidRDefault="008C7751" w:rsidP="00E00B35">
      <w:pPr>
        <w:spacing w:after="0" w:line="312" w:lineRule="auto"/>
        <w:rPr>
          <w:szCs w:val="20"/>
        </w:rPr>
      </w:pPr>
      <w:r w:rsidRPr="00E00B35">
        <w:rPr>
          <w:szCs w:val="20"/>
        </w:rPr>
        <w:t>Ilość przetargów - bez rezultatu: 4</w:t>
      </w:r>
    </w:p>
    <w:p w:rsidR="008C7751" w:rsidRPr="00E00B35" w:rsidRDefault="008C7751" w:rsidP="00E00B35">
      <w:pPr>
        <w:spacing w:after="0" w:line="312" w:lineRule="auto"/>
        <w:rPr>
          <w:szCs w:val="20"/>
        </w:rPr>
      </w:pPr>
      <w:r w:rsidRPr="00E00B35">
        <w:rPr>
          <w:szCs w:val="20"/>
        </w:rPr>
        <w:t>Razem:</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Ilość przetargów: 84</w:t>
      </w:r>
    </w:p>
    <w:p w:rsidR="008C7751" w:rsidRPr="00E00B35" w:rsidRDefault="008C7751" w:rsidP="00E00B35">
      <w:pPr>
        <w:spacing w:after="0" w:line="312" w:lineRule="auto"/>
        <w:rPr>
          <w:szCs w:val="20"/>
        </w:rPr>
      </w:pPr>
      <w:r w:rsidRPr="00E00B35">
        <w:rPr>
          <w:szCs w:val="20"/>
        </w:rPr>
        <w:t>Ilość przetargów - wyłonieni nabywcy: 56</w:t>
      </w:r>
    </w:p>
    <w:p w:rsidR="008C7751" w:rsidRPr="00E00B35" w:rsidRDefault="008C7751" w:rsidP="00E00B35">
      <w:pPr>
        <w:spacing w:after="0" w:line="312" w:lineRule="auto"/>
        <w:rPr>
          <w:rStyle w:val="A1"/>
          <w:rFonts w:cs="Verdana"/>
          <w:sz w:val="20"/>
          <w:szCs w:val="20"/>
        </w:rPr>
      </w:pPr>
      <w:r w:rsidRPr="00E00B35">
        <w:rPr>
          <w:szCs w:val="20"/>
        </w:rPr>
        <w:t>Ilość przetargów - bez rezultatu: 28</w:t>
      </w:r>
    </w:p>
    <w:p w:rsidR="008C7751" w:rsidRPr="00E00B35" w:rsidRDefault="008C7751" w:rsidP="00E00B35">
      <w:pPr>
        <w:spacing w:after="0" w:line="312" w:lineRule="auto"/>
        <w:rPr>
          <w:rStyle w:val="A1"/>
          <w:rFonts w:cs="Verdana"/>
          <w:sz w:val="20"/>
          <w:szCs w:val="20"/>
        </w:rPr>
      </w:pPr>
    </w:p>
    <w:p w:rsidR="008C7751" w:rsidRPr="00E00B35" w:rsidRDefault="008C7751" w:rsidP="00E00B35">
      <w:pPr>
        <w:spacing w:after="0" w:line="312" w:lineRule="auto"/>
        <w:rPr>
          <w:b/>
          <w:szCs w:val="20"/>
        </w:rPr>
      </w:pPr>
      <w:r w:rsidRPr="00E00B35">
        <w:rPr>
          <w:b/>
          <w:szCs w:val="20"/>
        </w:rPr>
        <w:t>Analiza nieruchomości sprzedanych w 2020 roku (Źródło: UMW)</w:t>
      </w:r>
    </w:p>
    <w:p w:rsidR="008C7751" w:rsidRPr="00E00B35" w:rsidRDefault="008C7751" w:rsidP="00E00B35">
      <w:pPr>
        <w:spacing w:after="0" w:line="312" w:lineRule="auto"/>
        <w:rPr>
          <w:szCs w:val="20"/>
        </w:rPr>
      </w:pPr>
      <w:r w:rsidRPr="00E00B35">
        <w:rPr>
          <w:bCs/>
          <w:szCs w:val="20"/>
        </w:rPr>
        <w:t xml:space="preserve">Przeznaczenie w MPZP: </w:t>
      </w:r>
      <w:r w:rsidRPr="00E00B35">
        <w:rPr>
          <w:szCs w:val="20"/>
        </w:rPr>
        <w:t>Budownictwo jednorodzinne</w:t>
      </w:r>
    </w:p>
    <w:p w:rsidR="008C7751" w:rsidRPr="00E00B35" w:rsidRDefault="008C7751" w:rsidP="00E00B35">
      <w:pPr>
        <w:spacing w:after="0" w:line="312" w:lineRule="auto"/>
        <w:rPr>
          <w:szCs w:val="20"/>
        </w:rPr>
      </w:pPr>
      <w:r w:rsidRPr="00E00B35">
        <w:rPr>
          <w:szCs w:val="20"/>
        </w:rPr>
        <w:t>Liczba nieruchomości: 36</w:t>
      </w:r>
    </w:p>
    <w:p w:rsidR="008C7751" w:rsidRPr="00E00B35" w:rsidRDefault="008C7751" w:rsidP="00E00B35">
      <w:pPr>
        <w:spacing w:after="0" w:line="312" w:lineRule="auto"/>
        <w:rPr>
          <w:bCs/>
          <w:szCs w:val="20"/>
        </w:rPr>
      </w:pPr>
      <w:r w:rsidRPr="00E00B35">
        <w:rPr>
          <w:bCs/>
          <w:szCs w:val="20"/>
        </w:rPr>
        <w:t>Powierzchnia gruntu [ha]: 4,2</w:t>
      </w:r>
    </w:p>
    <w:p w:rsidR="008C7751" w:rsidRPr="00E00B35" w:rsidRDefault="008C7751" w:rsidP="00E00B35">
      <w:pPr>
        <w:spacing w:after="0" w:line="312" w:lineRule="auto"/>
        <w:rPr>
          <w:bCs/>
          <w:szCs w:val="20"/>
        </w:rPr>
      </w:pPr>
      <w:r w:rsidRPr="00E00B35">
        <w:rPr>
          <w:bCs/>
          <w:szCs w:val="20"/>
        </w:rPr>
        <w:t>Liczba oferentów: 297</w:t>
      </w:r>
    </w:p>
    <w:p w:rsidR="008C7751" w:rsidRPr="00E00B35" w:rsidRDefault="008C7751" w:rsidP="00E00B35">
      <w:pPr>
        <w:spacing w:after="0" w:line="312" w:lineRule="auto"/>
        <w:rPr>
          <w:szCs w:val="20"/>
        </w:rPr>
      </w:pPr>
      <w:r w:rsidRPr="00E00B35">
        <w:rPr>
          <w:bCs/>
          <w:szCs w:val="20"/>
        </w:rPr>
        <w:t>Wartość sprzedanych nieruchomości [zł]:</w:t>
      </w:r>
      <w:r w:rsidRPr="00E00B35">
        <w:rPr>
          <w:szCs w:val="20"/>
        </w:rPr>
        <w:t xml:space="preserve"> 22 612 260,00 zł</w:t>
      </w:r>
    </w:p>
    <w:p w:rsidR="008C7751" w:rsidRPr="00E00B35" w:rsidRDefault="008C7751" w:rsidP="00E00B35">
      <w:pPr>
        <w:spacing w:after="0" w:line="312" w:lineRule="auto"/>
        <w:rPr>
          <w:szCs w:val="20"/>
        </w:rPr>
      </w:pPr>
      <w:r w:rsidRPr="00E00B35">
        <w:rPr>
          <w:bCs/>
          <w:szCs w:val="20"/>
        </w:rPr>
        <w:t xml:space="preserve">Przeznaczenie w MPZP: </w:t>
      </w:r>
      <w:r w:rsidRPr="00E00B35">
        <w:rPr>
          <w:szCs w:val="20"/>
        </w:rPr>
        <w:t>Budownictwo wielorodzinne</w:t>
      </w:r>
    </w:p>
    <w:p w:rsidR="008C7751" w:rsidRPr="00E00B35" w:rsidRDefault="008C7751" w:rsidP="00E00B35">
      <w:pPr>
        <w:spacing w:after="0" w:line="312" w:lineRule="auto"/>
        <w:rPr>
          <w:szCs w:val="20"/>
        </w:rPr>
      </w:pPr>
      <w:r w:rsidRPr="00E00B35">
        <w:rPr>
          <w:szCs w:val="20"/>
        </w:rPr>
        <w:t>Liczba nieruchomości: 8</w:t>
      </w:r>
    </w:p>
    <w:p w:rsidR="008C7751" w:rsidRPr="00E00B35" w:rsidRDefault="008C7751" w:rsidP="00E00B35">
      <w:pPr>
        <w:spacing w:after="0" w:line="312" w:lineRule="auto"/>
        <w:rPr>
          <w:bCs/>
          <w:szCs w:val="20"/>
        </w:rPr>
      </w:pPr>
      <w:r w:rsidRPr="00E00B35">
        <w:rPr>
          <w:bCs/>
          <w:szCs w:val="20"/>
        </w:rPr>
        <w:t>Powierzchnia gruntu [ha]: 1,9</w:t>
      </w:r>
    </w:p>
    <w:p w:rsidR="008C7751" w:rsidRPr="00E00B35" w:rsidRDefault="008C7751" w:rsidP="00E00B35">
      <w:pPr>
        <w:spacing w:after="0" w:line="312" w:lineRule="auto"/>
        <w:rPr>
          <w:bCs/>
          <w:szCs w:val="20"/>
        </w:rPr>
      </w:pPr>
      <w:r w:rsidRPr="00E00B35">
        <w:rPr>
          <w:bCs/>
          <w:szCs w:val="20"/>
        </w:rPr>
        <w:t>Liczba oferentów: 18</w:t>
      </w:r>
    </w:p>
    <w:p w:rsidR="008C7751" w:rsidRPr="00E00B35" w:rsidRDefault="008C7751" w:rsidP="00E00B35">
      <w:pPr>
        <w:spacing w:after="0" w:line="312" w:lineRule="auto"/>
        <w:rPr>
          <w:szCs w:val="20"/>
        </w:rPr>
      </w:pPr>
      <w:r w:rsidRPr="00E00B35">
        <w:rPr>
          <w:bCs/>
          <w:szCs w:val="20"/>
        </w:rPr>
        <w:t xml:space="preserve">Wartość sprzedanych nieruchomości [zł]: </w:t>
      </w:r>
      <w:r w:rsidRPr="00E00B35">
        <w:rPr>
          <w:rFonts w:cs="Calibri"/>
          <w:szCs w:val="20"/>
        </w:rPr>
        <w:t xml:space="preserve">45 778 890,00 </w:t>
      </w:r>
      <w:r w:rsidRPr="00E00B35">
        <w:rPr>
          <w:szCs w:val="20"/>
        </w:rPr>
        <w:t>zł</w:t>
      </w:r>
    </w:p>
    <w:p w:rsidR="008C7751" w:rsidRPr="00E00B35" w:rsidRDefault="008C7751" w:rsidP="00E00B35">
      <w:pPr>
        <w:spacing w:after="0" w:line="312" w:lineRule="auto"/>
        <w:rPr>
          <w:szCs w:val="20"/>
        </w:rPr>
      </w:pPr>
      <w:r w:rsidRPr="00E00B35">
        <w:rPr>
          <w:bCs/>
          <w:szCs w:val="20"/>
        </w:rPr>
        <w:t xml:space="preserve">Przeznaczenie w MPZP: </w:t>
      </w:r>
      <w:r w:rsidRPr="00E00B35">
        <w:rPr>
          <w:rFonts w:cs="Calibri"/>
          <w:szCs w:val="20"/>
        </w:rPr>
        <w:t>Usługi i aktywność gospodarcza</w:t>
      </w:r>
    </w:p>
    <w:p w:rsidR="008C7751" w:rsidRPr="00E00B35" w:rsidRDefault="008C7751" w:rsidP="00E00B35">
      <w:pPr>
        <w:spacing w:after="0" w:line="312" w:lineRule="auto"/>
        <w:rPr>
          <w:szCs w:val="20"/>
        </w:rPr>
      </w:pPr>
      <w:r w:rsidRPr="00E00B35">
        <w:rPr>
          <w:szCs w:val="20"/>
        </w:rPr>
        <w:t>Liczba nieruchomości: 10</w:t>
      </w:r>
    </w:p>
    <w:p w:rsidR="008C7751" w:rsidRPr="00E00B35" w:rsidRDefault="008C7751" w:rsidP="00E00B35">
      <w:pPr>
        <w:spacing w:after="0" w:line="312" w:lineRule="auto"/>
        <w:rPr>
          <w:bCs/>
          <w:szCs w:val="20"/>
        </w:rPr>
      </w:pPr>
      <w:r w:rsidRPr="00E00B35">
        <w:rPr>
          <w:bCs/>
          <w:szCs w:val="20"/>
        </w:rPr>
        <w:t>Powierzchnia gruntu [ha]: 3,5</w:t>
      </w:r>
    </w:p>
    <w:p w:rsidR="008C7751" w:rsidRPr="00E00B35" w:rsidRDefault="008C7751" w:rsidP="00E00B35">
      <w:pPr>
        <w:spacing w:after="0" w:line="312" w:lineRule="auto"/>
        <w:rPr>
          <w:bCs/>
          <w:szCs w:val="20"/>
        </w:rPr>
      </w:pPr>
      <w:r w:rsidRPr="00E00B35">
        <w:rPr>
          <w:bCs/>
          <w:szCs w:val="20"/>
        </w:rPr>
        <w:t>Liczba oferentów: 28</w:t>
      </w:r>
    </w:p>
    <w:p w:rsidR="008C7751" w:rsidRPr="00E00B35" w:rsidRDefault="008C7751" w:rsidP="00E00B35">
      <w:pPr>
        <w:spacing w:after="0" w:line="312" w:lineRule="auto"/>
        <w:rPr>
          <w:szCs w:val="20"/>
        </w:rPr>
      </w:pPr>
      <w:r w:rsidRPr="00E00B35">
        <w:rPr>
          <w:bCs/>
          <w:szCs w:val="20"/>
        </w:rPr>
        <w:t xml:space="preserve">Wartość sprzedanych nieruchomości [zł]: </w:t>
      </w:r>
      <w:r w:rsidRPr="00E00B35">
        <w:rPr>
          <w:rFonts w:cs="Calibri"/>
          <w:szCs w:val="20"/>
        </w:rPr>
        <w:t xml:space="preserve">24 406 811,00 </w:t>
      </w:r>
      <w:r w:rsidRPr="00E00B35">
        <w:rPr>
          <w:szCs w:val="20"/>
        </w:rPr>
        <w:t>zł</w:t>
      </w:r>
    </w:p>
    <w:p w:rsidR="008C7751" w:rsidRPr="00E00B35" w:rsidRDefault="008C7751" w:rsidP="00E00B35">
      <w:pPr>
        <w:spacing w:after="0" w:line="312" w:lineRule="auto"/>
        <w:rPr>
          <w:szCs w:val="20"/>
        </w:rPr>
      </w:pPr>
      <w:r w:rsidRPr="00E00B35">
        <w:rPr>
          <w:bCs/>
          <w:szCs w:val="20"/>
        </w:rPr>
        <w:t xml:space="preserve">Przeznaczenie w MPZP: </w:t>
      </w:r>
      <w:r w:rsidRPr="00E00B35">
        <w:rPr>
          <w:rFonts w:cs="Calibri"/>
          <w:szCs w:val="20"/>
        </w:rPr>
        <w:t>Usługi oświatowe*</w:t>
      </w:r>
    </w:p>
    <w:p w:rsidR="008C7751" w:rsidRPr="00E00B35" w:rsidRDefault="008C7751" w:rsidP="00E00B35">
      <w:pPr>
        <w:spacing w:after="0" w:line="312" w:lineRule="auto"/>
        <w:rPr>
          <w:szCs w:val="20"/>
        </w:rPr>
      </w:pPr>
      <w:r w:rsidRPr="00E00B35">
        <w:rPr>
          <w:szCs w:val="20"/>
        </w:rPr>
        <w:t>Liczba nieruchomości: 1</w:t>
      </w:r>
    </w:p>
    <w:p w:rsidR="008C7751" w:rsidRPr="00E00B35" w:rsidRDefault="008C7751" w:rsidP="00E00B35">
      <w:pPr>
        <w:spacing w:after="0" w:line="312" w:lineRule="auto"/>
        <w:rPr>
          <w:bCs/>
          <w:szCs w:val="20"/>
        </w:rPr>
      </w:pPr>
      <w:r w:rsidRPr="00E00B35">
        <w:rPr>
          <w:bCs/>
          <w:szCs w:val="20"/>
        </w:rPr>
        <w:t>Powierzchnia gruntu [ha]: 0,4</w:t>
      </w:r>
    </w:p>
    <w:p w:rsidR="008C7751" w:rsidRPr="00E00B35" w:rsidRDefault="008C7751" w:rsidP="00E00B35">
      <w:pPr>
        <w:spacing w:after="0" w:line="312" w:lineRule="auto"/>
        <w:rPr>
          <w:bCs/>
          <w:szCs w:val="20"/>
        </w:rPr>
      </w:pPr>
      <w:r w:rsidRPr="00E00B35">
        <w:rPr>
          <w:bCs/>
          <w:szCs w:val="20"/>
        </w:rPr>
        <w:t>Liczba oferentów: 2</w:t>
      </w:r>
    </w:p>
    <w:p w:rsidR="008C7751" w:rsidRPr="00E00B35" w:rsidRDefault="008C7751" w:rsidP="00E00B35">
      <w:pPr>
        <w:spacing w:after="0" w:line="312" w:lineRule="auto"/>
        <w:rPr>
          <w:szCs w:val="20"/>
        </w:rPr>
      </w:pPr>
      <w:r w:rsidRPr="00E00B35">
        <w:rPr>
          <w:bCs/>
          <w:szCs w:val="20"/>
        </w:rPr>
        <w:t xml:space="preserve">Wartość sprzedanych nieruchomości [zł]: </w:t>
      </w:r>
      <w:r w:rsidRPr="00E00B35">
        <w:rPr>
          <w:rFonts w:cs="Calibri"/>
          <w:szCs w:val="20"/>
        </w:rPr>
        <w:t xml:space="preserve">200 000,00 </w:t>
      </w:r>
      <w:r w:rsidRPr="00E00B35">
        <w:rPr>
          <w:szCs w:val="20"/>
        </w:rPr>
        <w:t>zł</w:t>
      </w:r>
    </w:p>
    <w:p w:rsidR="008C7751" w:rsidRPr="00E00B35" w:rsidRDefault="008C7751" w:rsidP="00E00B35">
      <w:pPr>
        <w:spacing w:after="0" w:line="312" w:lineRule="auto"/>
        <w:rPr>
          <w:rStyle w:val="A1"/>
          <w:rFonts w:cs="Verdana"/>
          <w:i/>
          <w:sz w:val="20"/>
          <w:szCs w:val="20"/>
        </w:rPr>
      </w:pPr>
      <w:r w:rsidRPr="00E00B35">
        <w:rPr>
          <w:szCs w:val="20"/>
        </w:rPr>
        <w:t>* dotyczy użytkowania wieczystego z pierwszą opłata roczną</w:t>
      </w:r>
    </w:p>
    <w:p w:rsidR="008C7751" w:rsidRPr="00E00B35" w:rsidRDefault="008C7751" w:rsidP="00E00B35">
      <w:pPr>
        <w:spacing w:after="0" w:line="312" w:lineRule="auto"/>
        <w:rPr>
          <w:szCs w:val="20"/>
        </w:rPr>
      </w:pPr>
      <w:r w:rsidRPr="00E00B35">
        <w:rPr>
          <w:szCs w:val="20"/>
        </w:rPr>
        <w:t>Razem:</w:t>
      </w:r>
    </w:p>
    <w:p w:rsidR="008C7751" w:rsidRPr="00E00B35" w:rsidRDefault="008C7751" w:rsidP="00E00B35">
      <w:pPr>
        <w:spacing w:after="0" w:line="312" w:lineRule="auto"/>
        <w:rPr>
          <w:szCs w:val="20"/>
        </w:rPr>
      </w:pPr>
      <w:r w:rsidRPr="00E00B35">
        <w:rPr>
          <w:szCs w:val="20"/>
        </w:rPr>
        <w:t>Liczba nieruchomości: 55</w:t>
      </w:r>
    </w:p>
    <w:p w:rsidR="008C7751" w:rsidRPr="00E00B35" w:rsidRDefault="008C7751" w:rsidP="00E00B35">
      <w:pPr>
        <w:spacing w:after="0" w:line="312" w:lineRule="auto"/>
        <w:rPr>
          <w:bCs/>
          <w:szCs w:val="20"/>
        </w:rPr>
      </w:pPr>
      <w:r w:rsidRPr="00E00B35">
        <w:rPr>
          <w:bCs/>
          <w:szCs w:val="20"/>
        </w:rPr>
        <w:t>Powierzchnia gruntu [ha]: 10,0</w:t>
      </w:r>
    </w:p>
    <w:p w:rsidR="008C7751" w:rsidRPr="00E00B35" w:rsidRDefault="008C7751" w:rsidP="00E00B35">
      <w:pPr>
        <w:spacing w:after="0" w:line="312" w:lineRule="auto"/>
        <w:rPr>
          <w:bCs/>
          <w:szCs w:val="20"/>
        </w:rPr>
      </w:pPr>
      <w:r w:rsidRPr="00E00B35">
        <w:rPr>
          <w:bCs/>
          <w:szCs w:val="20"/>
        </w:rPr>
        <w:t>Liczba oferentów: 345</w:t>
      </w:r>
    </w:p>
    <w:p w:rsidR="008C7751" w:rsidRPr="00E00B35" w:rsidRDefault="008C7751" w:rsidP="00E00B35">
      <w:pPr>
        <w:spacing w:after="0" w:line="312" w:lineRule="auto"/>
        <w:rPr>
          <w:szCs w:val="20"/>
        </w:rPr>
      </w:pPr>
      <w:r w:rsidRPr="00E00B35">
        <w:rPr>
          <w:bCs/>
          <w:szCs w:val="20"/>
        </w:rPr>
        <w:lastRenderedPageBreak/>
        <w:t xml:space="preserve">Wartość sprzedanych nieruchomości [zł]: </w:t>
      </w:r>
      <w:r w:rsidRPr="00E00B35">
        <w:rPr>
          <w:rFonts w:cs="Calibri"/>
          <w:bCs/>
          <w:szCs w:val="20"/>
        </w:rPr>
        <w:t xml:space="preserve">92 997 961,00 </w:t>
      </w:r>
      <w:r w:rsidRPr="00E00B35">
        <w:rPr>
          <w:szCs w:val="20"/>
        </w:rPr>
        <w:t>zł</w:t>
      </w:r>
    </w:p>
    <w:p w:rsidR="00252360" w:rsidRPr="00E00B35" w:rsidRDefault="00252360"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Duża sprzedaż nieruchomości w poprzednich latach (głównie 2017-2018 – na poziomie 30 ha), wiązała się z sukcesywnym zmniejszaniem się powierzchni terenów przeznaczanych przez Miasto do obrotu. Większość atrakcyjnie położonych nieruchomości została zbyta, a w ofercie Miasta pozostały pojedyncze działki o prestiżowej lokalizacji. Przygotowanie obecnie nowej oferty nieruchomości jest coraz trudniejsze, również z uwagi na niewystarczającą infrastrukturę techniczną i drogową. Jak wspomniano wcześniej dodatkowe trudności w przygotowaniu nieruchomości do sprzedaży spowodowała epidemia.</w:t>
      </w:r>
    </w:p>
    <w:p w:rsidR="00252360" w:rsidRPr="00E00B35" w:rsidRDefault="00252360" w:rsidP="00E00B35">
      <w:pPr>
        <w:spacing w:after="0" w:line="312" w:lineRule="auto"/>
        <w:rPr>
          <w:b/>
          <w:szCs w:val="20"/>
        </w:rPr>
      </w:pPr>
    </w:p>
    <w:p w:rsidR="008C7751" w:rsidRPr="00E00B35" w:rsidRDefault="008C7751" w:rsidP="00E00B35">
      <w:pPr>
        <w:spacing w:after="0" w:line="312" w:lineRule="auto"/>
        <w:rPr>
          <w:b/>
          <w:szCs w:val="20"/>
        </w:rPr>
      </w:pPr>
      <w:r w:rsidRPr="00E00B35">
        <w:rPr>
          <w:b/>
          <w:szCs w:val="20"/>
        </w:rPr>
        <w:t>Powierzchnia nieruchomości sprzedanych w trybie przetargowym w 2020 r. (Źródło: UMW)</w:t>
      </w:r>
    </w:p>
    <w:p w:rsidR="008C7751" w:rsidRPr="00E00B35" w:rsidRDefault="008C7751" w:rsidP="00E00B35">
      <w:pPr>
        <w:spacing w:after="0" w:line="312" w:lineRule="auto"/>
        <w:rPr>
          <w:szCs w:val="20"/>
        </w:rPr>
      </w:pPr>
      <w:r w:rsidRPr="00E00B35">
        <w:rPr>
          <w:szCs w:val="20"/>
        </w:rPr>
        <w:t>Budownictwo jednorodzinne: 42%</w:t>
      </w:r>
    </w:p>
    <w:p w:rsidR="008C7751" w:rsidRPr="00E00B35" w:rsidRDefault="008C7751" w:rsidP="00E00B35">
      <w:pPr>
        <w:spacing w:after="0" w:line="312" w:lineRule="auto"/>
        <w:rPr>
          <w:szCs w:val="20"/>
        </w:rPr>
      </w:pPr>
      <w:r w:rsidRPr="00E00B35">
        <w:rPr>
          <w:szCs w:val="20"/>
        </w:rPr>
        <w:t>Budownictwo wielorodzinne: 19%</w:t>
      </w:r>
    </w:p>
    <w:p w:rsidR="008C7751" w:rsidRPr="00E00B35" w:rsidRDefault="008C7751" w:rsidP="00E00B35">
      <w:pPr>
        <w:spacing w:after="0" w:line="312" w:lineRule="auto"/>
        <w:rPr>
          <w:szCs w:val="20"/>
        </w:rPr>
      </w:pPr>
      <w:r w:rsidRPr="00E00B35">
        <w:rPr>
          <w:szCs w:val="20"/>
        </w:rPr>
        <w:t>Usługi i aktywność gospodarcza: 35%</w:t>
      </w:r>
    </w:p>
    <w:p w:rsidR="008C7751" w:rsidRPr="00E00B35" w:rsidRDefault="008C7751" w:rsidP="00E00B35">
      <w:pPr>
        <w:spacing w:after="0" w:line="312" w:lineRule="auto"/>
        <w:rPr>
          <w:szCs w:val="20"/>
        </w:rPr>
      </w:pPr>
      <w:r w:rsidRPr="00E00B35">
        <w:rPr>
          <w:szCs w:val="20"/>
        </w:rPr>
        <w:t>Usługi oświatowe: 4%</w:t>
      </w:r>
    </w:p>
    <w:p w:rsidR="008C7751" w:rsidRPr="00E00B35" w:rsidRDefault="008C7751" w:rsidP="00E00B35">
      <w:pPr>
        <w:spacing w:after="0" w:line="312" w:lineRule="auto"/>
        <w:rPr>
          <w:noProof/>
          <w:szCs w:val="20"/>
        </w:rPr>
      </w:pPr>
    </w:p>
    <w:p w:rsidR="008C7751" w:rsidRPr="00E00B35" w:rsidRDefault="008C7751" w:rsidP="00E00B35">
      <w:pPr>
        <w:spacing w:after="0" w:line="312" w:lineRule="auto"/>
        <w:rPr>
          <w:b/>
          <w:szCs w:val="20"/>
        </w:rPr>
      </w:pPr>
      <w:r w:rsidRPr="00E00B35">
        <w:rPr>
          <w:b/>
          <w:noProof/>
          <w:szCs w:val="20"/>
        </w:rPr>
        <w:t xml:space="preserve">Wartość nieruchomości sprzedanych w trybie przetargowym w 2020 r. </w:t>
      </w:r>
      <w:r w:rsidRPr="00E00B35">
        <w:rPr>
          <w:b/>
          <w:szCs w:val="20"/>
        </w:rPr>
        <w:t>(Źródło: UMW)</w:t>
      </w:r>
    </w:p>
    <w:p w:rsidR="008C7751" w:rsidRPr="00E00B35" w:rsidRDefault="008C7751" w:rsidP="00E00B35">
      <w:pPr>
        <w:spacing w:after="0" w:line="312" w:lineRule="auto"/>
        <w:rPr>
          <w:szCs w:val="20"/>
        </w:rPr>
      </w:pPr>
      <w:r w:rsidRPr="00E00B35">
        <w:rPr>
          <w:szCs w:val="20"/>
        </w:rPr>
        <w:t>Budownictwo jednorodzinne: 24,31%</w:t>
      </w:r>
    </w:p>
    <w:p w:rsidR="008C7751" w:rsidRPr="00E00B35" w:rsidRDefault="008C7751" w:rsidP="00E00B35">
      <w:pPr>
        <w:spacing w:after="0" w:line="312" w:lineRule="auto"/>
        <w:rPr>
          <w:szCs w:val="20"/>
        </w:rPr>
      </w:pPr>
      <w:r w:rsidRPr="00E00B35">
        <w:rPr>
          <w:szCs w:val="20"/>
        </w:rPr>
        <w:t>Budownictwo wielorodzinne: 49,23%</w:t>
      </w:r>
    </w:p>
    <w:p w:rsidR="008C7751" w:rsidRPr="00E00B35" w:rsidRDefault="008C7751" w:rsidP="00E00B35">
      <w:pPr>
        <w:spacing w:after="0" w:line="312" w:lineRule="auto"/>
        <w:rPr>
          <w:szCs w:val="20"/>
        </w:rPr>
      </w:pPr>
      <w:r w:rsidRPr="00E00B35">
        <w:rPr>
          <w:szCs w:val="20"/>
        </w:rPr>
        <w:t>Usługi i aktywność gospodarcza: 26,24%</w:t>
      </w:r>
    </w:p>
    <w:p w:rsidR="008C7751" w:rsidRPr="00E00B35" w:rsidRDefault="008C7751" w:rsidP="00E00B35">
      <w:pPr>
        <w:spacing w:after="0" w:line="312" w:lineRule="auto"/>
        <w:rPr>
          <w:szCs w:val="20"/>
        </w:rPr>
      </w:pPr>
      <w:r w:rsidRPr="00E00B35">
        <w:rPr>
          <w:szCs w:val="20"/>
        </w:rPr>
        <w:t>Usługi oświatowe: 0,22%</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 xml:space="preserve">Podobnie jak w latach ubiegłych, największy udział w liczbie wszystkich przeprowadzonych transakcji miała sprzedaż nieruchomości przeznaczonych na cele budownictwa mieszkaniowego jednorodzinnego. Wolumen sprzedaży wyniósł 36 takich nieruchomości, co stanowi 67% liczby wszystkich ofert. </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b/>
          <w:szCs w:val="20"/>
        </w:rPr>
      </w:pPr>
      <w:r w:rsidRPr="00E00B35">
        <w:rPr>
          <w:rStyle w:val="A1"/>
          <w:rFonts w:cs="Verdana"/>
          <w:b/>
          <w:sz w:val="20"/>
          <w:szCs w:val="20"/>
        </w:rPr>
        <w:t>Wartość nieruchomości sprzedanych w trybie przetargowym w latach 2017–2020 z podziałem na przeznaczenie</w:t>
      </w:r>
      <w:r w:rsidRPr="00E00B35">
        <w:rPr>
          <w:b/>
          <w:szCs w:val="20"/>
        </w:rPr>
        <w:t xml:space="preserve"> </w:t>
      </w:r>
      <w:r w:rsidRPr="00E00B35">
        <w:rPr>
          <w:rStyle w:val="A1"/>
          <w:rFonts w:cs="Verdana"/>
          <w:b/>
          <w:sz w:val="20"/>
          <w:szCs w:val="20"/>
        </w:rPr>
        <w:t xml:space="preserve">w miejscowym planie zagospodarowania przestrzennego </w:t>
      </w:r>
      <w:r w:rsidRPr="00E00B35">
        <w:rPr>
          <w:b/>
          <w:szCs w:val="20"/>
        </w:rPr>
        <w:t>(Źródło: UMW)</w:t>
      </w:r>
    </w:p>
    <w:p w:rsidR="008C7751" w:rsidRPr="00E00B35" w:rsidRDefault="008C7751" w:rsidP="00E00B35">
      <w:pPr>
        <w:spacing w:after="0" w:line="312" w:lineRule="auto"/>
        <w:rPr>
          <w:rFonts w:cs="Arial"/>
          <w:szCs w:val="20"/>
        </w:rPr>
      </w:pPr>
      <w:r w:rsidRPr="00E00B35">
        <w:rPr>
          <w:rStyle w:val="A1"/>
          <w:rFonts w:cs="Verdana"/>
          <w:sz w:val="20"/>
          <w:szCs w:val="20"/>
        </w:rPr>
        <w:t xml:space="preserve">Budownictwo jednorodzinne w 2017 r. - </w:t>
      </w:r>
      <w:r w:rsidRPr="00E00B35">
        <w:rPr>
          <w:rFonts w:cs="Arial"/>
          <w:szCs w:val="20"/>
        </w:rPr>
        <w:t>34 385 623 zł, w 2018 r. - 33 734 090 zł, w 2019 r. - 17 907 525 zł, w 2020 r. - 22 612 260 zł.</w:t>
      </w:r>
    </w:p>
    <w:p w:rsidR="008C7751" w:rsidRPr="00E00B35" w:rsidRDefault="008C7751" w:rsidP="00E00B35">
      <w:pPr>
        <w:spacing w:after="0" w:line="312" w:lineRule="auto"/>
        <w:rPr>
          <w:rFonts w:cs="Arial"/>
          <w:szCs w:val="20"/>
        </w:rPr>
      </w:pPr>
      <w:r w:rsidRPr="00E00B35">
        <w:rPr>
          <w:rStyle w:val="A1"/>
          <w:rFonts w:cs="Verdana"/>
          <w:sz w:val="20"/>
          <w:szCs w:val="20"/>
        </w:rPr>
        <w:t xml:space="preserve">Budownictwo wielorodzinne w 2017 r. </w:t>
      </w:r>
      <w:r w:rsidRPr="00E00B35">
        <w:rPr>
          <w:rFonts w:cs="Arial"/>
          <w:szCs w:val="20"/>
        </w:rPr>
        <w:t>84 031 125 zł, w 2018 r. - 29 798 850 zł, w 2019 r. - 20 068 800 zł, w 2020 r. - 45 778 890 zł.</w:t>
      </w:r>
    </w:p>
    <w:p w:rsidR="008C7751" w:rsidRPr="00E00B35" w:rsidRDefault="008C7751" w:rsidP="00E00B35">
      <w:pPr>
        <w:spacing w:after="0" w:line="312" w:lineRule="auto"/>
        <w:rPr>
          <w:rFonts w:cs="Arial"/>
          <w:szCs w:val="20"/>
        </w:rPr>
      </w:pPr>
      <w:r w:rsidRPr="00E00B35">
        <w:rPr>
          <w:rStyle w:val="A1"/>
          <w:rFonts w:cs="Verdana"/>
          <w:sz w:val="20"/>
          <w:szCs w:val="20"/>
        </w:rPr>
        <w:t xml:space="preserve">Usługi i aktywność gospodarcza w 2017 r. - </w:t>
      </w:r>
      <w:r w:rsidRPr="00E00B35">
        <w:rPr>
          <w:rFonts w:cs="Arial"/>
          <w:szCs w:val="20"/>
        </w:rPr>
        <w:t>31 424 352 zł, w 2018 r. - 46 668 451 zł, w 2019 r. - 49 249 285 zł, w 2020 r. - 24 606 811 zł.</w:t>
      </w:r>
    </w:p>
    <w:p w:rsidR="008C7751" w:rsidRPr="00E00B35" w:rsidRDefault="008C7751" w:rsidP="00E00B35">
      <w:pPr>
        <w:spacing w:after="0" w:line="312" w:lineRule="auto"/>
        <w:rPr>
          <w:rFonts w:cs="Arial"/>
          <w:szCs w:val="20"/>
        </w:rPr>
      </w:pPr>
      <w:r w:rsidRPr="00E00B35">
        <w:rPr>
          <w:rStyle w:val="A1"/>
          <w:rFonts w:cs="Verdana"/>
          <w:sz w:val="20"/>
          <w:szCs w:val="20"/>
        </w:rPr>
        <w:t xml:space="preserve">Dochód ogółem w 2017 r. - </w:t>
      </w:r>
      <w:r w:rsidRPr="00E00B35">
        <w:rPr>
          <w:rFonts w:cs="Arial"/>
          <w:szCs w:val="20"/>
        </w:rPr>
        <w:t>149 841 100 zł, w 2018 r. - 110 201 391 zł, w 2019 r. - 87 225 611 zł, w 2020 r. - 92 997 961 zł.</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p>
    <w:p w:rsidR="008C7751" w:rsidRPr="00E00B35" w:rsidRDefault="008C7751" w:rsidP="00E00B35">
      <w:pPr>
        <w:spacing w:after="0" w:line="312" w:lineRule="auto"/>
        <w:rPr>
          <w:b/>
          <w:szCs w:val="20"/>
        </w:rPr>
      </w:pPr>
      <w:r w:rsidRPr="00E00B35">
        <w:rPr>
          <w:b/>
          <w:szCs w:val="20"/>
        </w:rPr>
        <w:lastRenderedPageBreak/>
        <w:t>Wartość nieruchomości sprzedanych w trybie przetargowym w latach 2017-2020 (Źródło: UMW)</w:t>
      </w:r>
    </w:p>
    <w:p w:rsidR="008C7751" w:rsidRPr="00E00B35" w:rsidRDefault="008C7751" w:rsidP="00E00B35">
      <w:pPr>
        <w:pStyle w:val="Tekstpodstawowywcity"/>
        <w:spacing w:after="0" w:line="312" w:lineRule="auto"/>
        <w:rPr>
          <w:rFonts w:cs="Arial"/>
          <w:szCs w:val="20"/>
        </w:rPr>
      </w:pPr>
      <w:r w:rsidRPr="00E00B35">
        <w:rPr>
          <w:rFonts w:cs="Arial"/>
          <w:noProof/>
          <w:szCs w:val="20"/>
          <w:lang w:val="pl-PL" w:eastAsia="pl-PL" w:bidi="ar-SA"/>
        </w:rPr>
        <w:drawing>
          <wp:inline distT="0" distB="0" distL="0" distR="0">
            <wp:extent cx="5486400" cy="2981325"/>
            <wp:effectExtent l="19050" t="0" r="0" b="0"/>
            <wp:docPr id="10" name="Wykres 1" descr="Wartości nieruchomości sprzedawanych w trybie przetargowym w latach 2017-2020: budownictwo jednorodzinne, budownictwo wielorodzinne, usługi i aktywnośc gospodarcz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descr="Wartości nieruchomości sprzedawanych w trybie przetargowym w latach 2017-2020: budownictwo jednorodzinne, budownictwo wielorodzinne, usługi i aktywnośc gospodarcza."/>
                    <pic:cNvPicPr>
                      <a:picLocks noChangeArrowheads="1"/>
                    </pic:cNvPicPr>
                  </pic:nvPicPr>
                  <pic:blipFill>
                    <a:blip r:embed="rId25" cstate="print"/>
                    <a:srcRect l="-200" t="-4131" r="-1672" b="-2431"/>
                    <a:stretch>
                      <a:fillRect/>
                    </a:stretch>
                  </pic:blipFill>
                  <pic:spPr bwMode="auto">
                    <a:xfrm>
                      <a:off x="0" y="0"/>
                      <a:ext cx="5486400" cy="2981325"/>
                    </a:xfrm>
                    <a:prstGeom prst="rect">
                      <a:avLst/>
                    </a:prstGeom>
                    <a:noFill/>
                    <a:ln w="9525">
                      <a:noFill/>
                      <a:miter lim="800000"/>
                      <a:headEnd/>
                      <a:tailEnd/>
                    </a:ln>
                  </pic:spPr>
                </pic:pic>
              </a:graphicData>
            </a:graphic>
          </wp:inline>
        </w:drawing>
      </w:r>
    </w:p>
    <w:p w:rsidR="008C7751" w:rsidRPr="00E00B35" w:rsidRDefault="008C7751" w:rsidP="00E00B35">
      <w:pPr>
        <w:pStyle w:val="Nagwek5"/>
        <w:rPr>
          <w:szCs w:val="20"/>
        </w:rPr>
      </w:pPr>
      <w:r w:rsidRPr="00E00B35">
        <w:rPr>
          <w:szCs w:val="20"/>
        </w:rPr>
        <w:t>Tereny pod zabudowę mieszkaniową jednorodzinną</w:t>
      </w:r>
    </w:p>
    <w:p w:rsidR="008C7751" w:rsidRPr="00E00B35" w:rsidRDefault="008C7751" w:rsidP="00E00B35">
      <w:pPr>
        <w:spacing w:after="0" w:line="312" w:lineRule="auto"/>
        <w:rPr>
          <w:rFonts w:cs="Arial"/>
          <w:szCs w:val="20"/>
        </w:rPr>
      </w:pPr>
      <w:r w:rsidRPr="00E00B35">
        <w:rPr>
          <w:rFonts w:cs="Arial"/>
          <w:szCs w:val="20"/>
        </w:rPr>
        <w:t>Przygotowanie terenów pod zabudowę mieszkaniową jednorodzinną w roku sprawozdawczym cechowało podejście nakierowane na sprzedaż pojedynczych działek pod budowę domów jednorodzinnych przez klientów indywidualnych. Baza ofert była bogata w działki o powierzchni ok. 500-1300 m</w:t>
      </w:r>
      <w:r w:rsidRPr="00E00B35">
        <w:rPr>
          <w:rFonts w:cs="Arial"/>
          <w:szCs w:val="20"/>
          <w:vertAlign w:val="superscript"/>
        </w:rPr>
        <w:t>2</w:t>
      </w:r>
      <w:r w:rsidRPr="00E00B35">
        <w:rPr>
          <w:rFonts w:cs="Arial"/>
          <w:szCs w:val="20"/>
        </w:rPr>
        <w:t>. Najwyższą cenę uzyskano za nieruchomość niezabudowaną, położoną przy ul. Bandtkiego – 1 065 000 zł (1 908,60 zł/m</w:t>
      </w:r>
      <w:r w:rsidRPr="00E00B35">
        <w:rPr>
          <w:rFonts w:cs="Arial"/>
          <w:szCs w:val="20"/>
          <w:vertAlign w:val="superscript"/>
        </w:rPr>
        <w:t>2</w:t>
      </w:r>
      <w:r w:rsidRPr="00E00B35">
        <w:rPr>
          <w:rFonts w:cs="Arial"/>
          <w:szCs w:val="20"/>
        </w:rPr>
        <w:t>). Oprócz pojedynczych działek z przeznaczeniem pod zabudowę jednorodzinną w układzie wolnostojącym i bliźniaczym, w ofercie Miasta znalazły się nieruchomości pod budowę zespołu budynków jednorodzinnych. Największy sprzedany teren o takiej funkcji to nieruchomość położona przy ul. Ruczajowej (obręb: Maślice) o powierzchni 9 592 m</w:t>
      </w:r>
      <w:r w:rsidRPr="00E00B35">
        <w:rPr>
          <w:rFonts w:cs="Arial"/>
          <w:szCs w:val="20"/>
          <w:vertAlign w:val="superscript"/>
        </w:rPr>
        <w:t>2</w:t>
      </w:r>
      <w:r w:rsidRPr="00E00B35">
        <w:rPr>
          <w:rFonts w:cs="Arial"/>
          <w:szCs w:val="20"/>
        </w:rPr>
        <w:t>,</w:t>
      </w:r>
      <w:r w:rsidRPr="00E00B35">
        <w:rPr>
          <w:rFonts w:cs="Arial"/>
          <w:szCs w:val="20"/>
          <w:vertAlign w:val="superscript"/>
        </w:rPr>
        <w:t xml:space="preserve"> </w:t>
      </w:r>
      <w:r w:rsidRPr="00E00B35">
        <w:rPr>
          <w:rFonts w:cs="Arial"/>
          <w:szCs w:val="20"/>
        </w:rPr>
        <w:t xml:space="preserve">za cenę 5 168 250 zł. </w:t>
      </w:r>
    </w:p>
    <w:p w:rsidR="008C7751" w:rsidRPr="00E00B35" w:rsidRDefault="008C7751" w:rsidP="00E00B35">
      <w:pPr>
        <w:spacing w:after="0" w:line="312" w:lineRule="auto"/>
        <w:rPr>
          <w:rFonts w:cs="Arial"/>
          <w:szCs w:val="20"/>
        </w:rPr>
      </w:pPr>
      <w:r w:rsidRPr="00E00B35">
        <w:rPr>
          <w:rFonts w:cs="Arial"/>
          <w:szCs w:val="20"/>
        </w:rPr>
        <w:t xml:space="preserve">Z inicjatywy Wydziału Nabywania i Sprzedaży Nieruchomości wdrożono program uzbrajania nieruchomości przeznaczonych w mpzp pod zabudowę jednorodzinną w niezbędną sieć wodno – kanalizacyjną oraz infrastrukturę drogową. Ustalono kilka strategicznych miejsc na terenie Wrocławia tj. Stabłowice, Maślice, Brochów. Pozwoli to kompleksowo przygotować nieruchomości do sprzedaży i uzyskać znacznie wyższe ceny zbycia. Jednocześnie przyszli mieszkańcy będą mogli od razu korzystać z uzbrojeń na działce, co przyśpieszy proces inwestycyjny budowy budynku jednorodzinnego. </w:t>
      </w:r>
    </w:p>
    <w:p w:rsidR="008C7751" w:rsidRPr="00E00B35" w:rsidRDefault="008C7751" w:rsidP="00E00B35">
      <w:pPr>
        <w:spacing w:after="0" w:line="312" w:lineRule="auto"/>
        <w:rPr>
          <w:rFonts w:cs="Arial"/>
          <w:szCs w:val="20"/>
        </w:rPr>
      </w:pPr>
    </w:p>
    <w:p w:rsidR="008C7751" w:rsidRPr="00E00B35" w:rsidRDefault="008C7751" w:rsidP="00E00B35">
      <w:pPr>
        <w:pStyle w:val="Nagwek5"/>
        <w:rPr>
          <w:szCs w:val="20"/>
        </w:rPr>
      </w:pPr>
      <w:r w:rsidRPr="00E00B35">
        <w:rPr>
          <w:szCs w:val="20"/>
        </w:rPr>
        <w:t>Tereny pod zabudowę mieszkaniową wielorodzinną</w:t>
      </w:r>
    </w:p>
    <w:p w:rsidR="008C7751" w:rsidRPr="00E00B35" w:rsidRDefault="008C7751" w:rsidP="00E00B35">
      <w:pPr>
        <w:spacing w:after="0" w:line="312" w:lineRule="auto"/>
        <w:rPr>
          <w:rFonts w:cs="Arial"/>
          <w:szCs w:val="20"/>
        </w:rPr>
      </w:pPr>
      <w:r w:rsidRPr="00E00B35">
        <w:rPr>
          <w:rFonts w:cs="Arial"/>
          <w:szCs w:val="20"/>
        </w:rPr>
        <w:t xml:space="preserve">Największy wpływ do budżetu miał miejsce w sektorze nieruchomości przeznaczonych pod zabudowę mieszkaniową wielorodzinną. Miasto sprzedało 8 nieruchomości, 5 z nich to nieruchomości zabudowane. Największy sprzedany kompleks budynków w zabudowie mieszkaniowej wielorodzinnej to nieruchomość położona przy ul. gen. Kazimierza Pułaskiego 69-81, 73a, 73b, 75a, 77a/ul. Stanisława Małachowskiego 24, o powierzchni 7 </w:t>
      </w:r>
      <w:r w:rsidRPr="00E00B35">
        <w:rPr>
          <w:rFonts w:cs="Arial"/>
          <w:szCs w:val="20"/>
        </w:rPr>
        <w:lastRenderedPageBreak/>
        <w:t>665 m</w:t>
      </w:r>
      <w:r w:rsidRPr="00E00B35">
        <w:rPr>
          <w:rFonts w:cs="Arial"/>
          <w:szCs w:val="20"/>
          <w:vertAlign w:val="superscript"/>
        </w:rPr>
        <w:t>2</w:t>
      </w:r>
      <w:r w:rsidRPr="00E00B35">
        <w:rPr>
          <w:rFonts w:cs="Arial"/>
          <w:szCs w:val="20"/>
        </w:rPr>
        <w:t>, za którą uzyskano najwyższą cenę – 17 150 000 zł (2237,44 zł /m</w:t>
      </w:r>
      <w:r w:rsidRPr="00E00B35">
        <w:rPr>
          <w:rFonts w:cs="Arial"/>
          <w:szCs w:val="20"/>
          <w:vertAlign w:val="superscript"/>
        </w:rPr>
        <w:t>2</w:t>
      </w:r>
      <w:r w:rsidRPr="00E00B35">
        <w:rPr>
          <w:rFonts w:cs="Arial"/>
          <w:szCs w:val="20"/>
        </w:rPr>
        <w:t>). Nabywcą została spółka Omega Osada Sportowa sp. z o. o. sp. k. ze Smolca.</w:t>
      </w:r>
    </w:p>
    <w:p w:rsidR="008C7751" w:rsidRPr="00E00B35" w:rsidRDefault="008C7751" w:rsidP="00E00B35">
      <w:pPr>
        <w:spacing w:after="0" w:line="312" w:lineRule="auto"/>
        <w:rPr>
          <w:szCs w:val="20"/>
        </w:rPr>
      </w:pPr>
      <w:r w:rsidRPr="00E00B35">
        <w:rPr>
          <w:szCs w:val="20"/>
        </w:rPr>
        <w:t xml:space="preserve">Kontynuując realizację projektu </w:t>
      </w:r>
      <w:r w:rsidRPr="00E00B35">
        <w:rPr>
          <w:b/>
          <w:szCs w:val="20"/>
        </w:rPr>
        <w:t>Wzorcowe Osiedle Mieszkaniowe Nowe Żerniki - WUWA 2</w:t>
      </w:r>
      <w:r w:rsidRPr="00E00B35">
        <w:rPr>
          <w:szCs w:val="20"/>
        </w:rPr>
        <w:t>, które powstaje w ramach współpracy Miasta ze środowiskiem architektów wrocławskich i projektu sprzedaży nieruchomości, w przetargu ofertowym sprzedano nieruchomość przy ul. Białodrzewnej, o powierzchni 5 780 m</w:t>
      </w:r>
      <w:r w:rsidRPr="00E00B35">
        <w:rPr>
          <w:szCs w:val="20"/>
          <w:vertAlign w:val="superscript"/>
        </w:rPr>
        <w:t>2</w:t>
      </w:r>
      <w:r w:rsidRPr="00E00B35">
        <w:rPr>
          <w:szCs w:val="20"/>
        </w:rPr>
        <w:t>, za kwotę równą 6 000 000 zł.</w:t>
      </w:r>
    </w:p>
    <w:p w:rsidR="00252360" w:rsidRPr="00E00B35" w:rsidRDefault="00252360" w:rsidP="00E00B35">
      <w:pPr>
        <w:pStyle w:val="Nagwek5"/>
        <w:rPr>
          <w:szCs w:val="20"/>
        </w:rPr>
      </w:pPr>
    </w:p>
    <w:p w:rsidR="008C7751" w:rsidRPr="00E00B35" w:rsidRDefault="008C7751" w:rsidP="00E00B35">
      <w:pPr>
        <w:pStyle w:val="Nagwek5"/>
        <w:rPr>
          <w:szCs w:val="20"/>
        </w:rPr>
      </w:pPr>
      <w:r w:rsidRPr="00E00B35">
        <w:rPr>
          <w:szCs w:val="20"/>
        </w:rPr>
        <w:t>Tereny pod usługi i aktywność gospodarczą</w:t>
      </w:r>
    </w:p>
    <w:p w:rsidR="008C7751" w:rsidRPr="00E00B35" w:rsidRDefault="008C7751" w:rsidP="00E00B35">
      <w:pPr>
        <w:spacing w:after="0" w:line="312" w:lineRule="auto"/>
        <w:rPr>
          <w:rFonts w:cs="Arial"/>
          <w:szCs w:val="20"/>
        </w:rPr>
      </w:pPr>
      <w:r w:rsidRPr="00E00B35">
        <w:rPr>
          <w:rFonts w:cs="Arial"/>
          <w:szCs w:val="20"/>
        </w:rPr>
        <w:t>Miasto w roku sprawozdawczym sprzedało 11 nieruchomości pod zabudowę usługową i aktywność gospodarczą, w tym 1 nieruchomość oddało w użytkowanie wieczyste z przeznaczeniem pod budowę przedszkola. Największą transakcję odnotowano dla nieruchomości zabudowanej przy ul. Menniczej 26, sprzedano ją za 7 050 000 zł. Przedszkole powstanie na działce o powierzchni 4 052 m</w:t>
      </w:r>
      <w:r w:rsidRPr="00E00B35">
        <w:rPr>
          <w:rFonts w:cs="Arial"/>
          <w:szCs w:val="20"/>
          <w:vertAlign w:val="superscript"/>
        </w:rPr>
        <w:t>2</w:t>
      </w:r>
      <w:r w:rsidRPr="00E00B35">
        <w:rPr>
          <w:rFonts w:cs="Arial"/>
          <w:szCs w:val="20"/>
        </w:rPr>
        <w:t>,</w:t>
      </w:r>
      <w:r w:rsidRPr="00E00B35">
        <w:rPr>
          <w:rFonts w:cs="Arial"/>
          <w:szCs w:val="20"/>
          <w:vertAlign w:val="superscript"/>
        </w:rPr>
        <w:t xml:space="preserve"> </w:t>
      </w:r>
      <w:r w:rsidRPr="00E00B35">
        <w:rPr>
          <w:rFonts w:cs="Arial"/>
          <w:szCs w:val="20"/>
        </w:rPr>
        <w:t xml:space="preserve">położonej przy ul. Starogajowej (Stabłowice). Nieruchomość oddano w użytkowanie wieczyste za kwotę 1 000 000 zł Ogólnopolskiemu Operatorowi Oświaty z Poznania. </w:t>
      </w:r>
    </w:p>
    <w:p w:rsidR="008C7751" w:rsidRPr="00E00B35" w:rsidRDefault="008C7751" w:rsidP="00E00B35">
      <w:pPr>
        <w:spacing w:after="0" w:line="312" w:lineRule="auto"/>
        <w:rPr>
          <w:rFonts w:cs="Arial"/>
          <w:szCs w:val="20"/>
        </w:rPr>
      </w:pPr>
      <w:r w:rsidRPr="00E00B35">
        <w:rPr>
          <w:rFonts w:cs="Arial"/>
          <w:szCs w:val="20"/>
        </w:rPr>
        <w:t>Największy sprzedany teren pod zabudowę usługową to nieruchomość położona przy ul. Piołunowej, o powierzchni 11 473 m</w:t>
      </w:r>
      <w:r w:rsidRPr="00E00B35">
        <w:rPr>
          <w:rFonts w:cs="Arial"/>
          <w:szCs w:val="20"/>
          <w:vertAlign w:val="superscript"/>
        </w:rPr>
        <w:t>2</w:t>
      </w:r>
      <w:r w:rsidRPr="00E00B35">
        <w:rPr>
          <w:rFonts w:cs="Arial"/>
          <w:szCs w:val="20"/>
        </w:rPr>
        <w:t>.</w:t>
      </w:r>
    </w:p>
    <w:p w:rsidR="008C7751" w:rsidRPr="00E00B35" w:rsidRDefault="008C7751" w:rsidP="00E00B35">
      <w:pPr>
        <w:spacing w:after="0" w:line="312" w:lineRule="auto"/>
        <w:rPr>
          <w:iCs/>
          <w:szCs w:val="20"/>
        </w:rPr>
      </w:pPr>
      <w:r w:rsidRPr="00E00B35">
        <w:rPr>
          <w:iCs/>
          <w:szCs w:val="20"/>
        </w:rPr>
        <w:t>W 2020 r. odnotowano niemal dwukrotny wzrost średniej ceny 1</w:t>
      </w:r>
      <w:r w:rsidRPr="00E00B35">
        <w:rPr>
          <w:szCs w:val="20"/>
        </w:rPr>
        <w:t>m</w:t>
      </w:r>
      <w:r w:rsidRPr="00E00B35">
        <w:rPr>
          <w:szCs w:val="20"/>
          <w:vertAlign w:val="superscript"/>
        </w:rPr>
        <w:t xml:space="preserve">2 </w:t>
      </w:r>
      <w:r w:rsidRPr="00E00B35">
        <w:rPr>
          <w:iCs/>
          <w:szCs w:val="20"/>
        </w:rPr>
        <w:t xml:space="preserve">nieruchomości sprzedanych w przetargach – w sektorze budownictwa jednorodzinnego i usług oraz ponad dwukrotny - w przypadku budownictwa wielorodzinnego. Jest to spowodowane dużym popytem na grunty, ale także faktem, że w ofercie Miasta znalazły się atrakcyjne nieruchomości położone w ścisłym centrum m.in. przy ulicach: Kazimierza Wielkiego, Gwarnej, Menniczej, Pułaskiego. </w:t>
      </w:r>
    </w:p>
    <w:p w:rsidR="008C7751" w:rsidRPr="00E00B35" w:rsidRDefault="008C7751" w:rsidP="00E00B35">
      <w:pPr>
        <w:spacing w:after="0" w:line="312" w:lineRule="auto"/>
        <w:rPr>
          <w:rFonts w:cs="Arial"/>
          <w:szCs w:val="20"/>
        </w:rPr>
      </w:pPr>
      <w:r w:rsidRPr="00E00B35">
        <w:rPr>
          <w:iCs/>
          <w:szCs w:val="20"/>
        </w:rPr>
        <w:t>Najdrożej sprzedano nieruchomość z przeznaczeniem pod usługi, położoną przy ul. Kazimierza Wielkiego 29b o powierzchni 342 m</w:t>
      </w:r>
      <w:r w:rsidRPr="00E00B35">
        <w:rPr>
          <w:iCs/>
          <w:szCs w:val="20"/>
          <w:vertAlign w:val="superscript"/>
        </w:rPr>
        <w:t>2</w:t>
      </w:r>
      <w:r w:rsidRPr="00E00B35">
        <w:rPr>
          <w:iCs/>
          <w:szCs w:val="20"/>
        </w:rPr>
        <w:t xml:space="preserve"> za kwotę 2 500 000 zł – 7 310 zł/1m</w:t>
      </w:r>
      <w:r w:rsidRPr="00E00B35">
        <w:rPr>
          <w:iCs/>
          <w:szCs w:val="20"/>
          <w:vertAlign w:val="superscript"/>
        </w:rPr>
        <w:t>2</w:t>
      </w:r>
      <w:r w:rsidRPr="00E00B35">
        <w:rPr>
          <w:iCs/>
          <w:szCs w:val="20"/>
        </w:rPr>
        <w:t>.</w:t>
      </w:r>
    </w:p>
    <w:p w:rsidR="008C7751" w:rsidRPr="00E00B35" w:rsidRDefault="008C7751" w:rsidP="00E00B35">
      <w:pPr>
        <w:spacing w:after="0" w:line="312" w:lineRule="auto"/>
        <w:rPr>
          <w:rStyle w:val="A1"/>
          <w:rFonts w:cs="Verdana"/>
          <w:sz w:val="20"/>
          <w:szCs w:val="20"/>
        </w:rPr>
      </w:pPr>
    </w:p>
    <w:p w:rsidR="008C7751" w:rsidRPr="00E00B35" w:rsidRDefault="008C7751" w:rsidP="00E00B35">
      <w:pPr>
        <w:spacing w:after="0" w:line="312" w:lineRule="auto"/>
        <w:rPr>
          <w:b/>
          <w:szCs w:val="20"/>
        </w:rPr>
      </w:pPr>
      <w:r w:rsidRPr="00E00B35">
        <w:rPr>
          <w:b/>
          <w:szCs w:val="20"/>
        </w:rPr>
        <w:t>Największe transakcje gruntowe (Źródło: UMW)</w:t>
      </w:r>
    </w:p>
    <w:p w:rsidR="008C7751" w:rsidRPr="00E00B35" w:rsidRDefault="008C7751" w:rsidP="00E00B35">
      <w:pPr>
        <w:spacing w:after="0" w:line="312" w:lineRule="auto"/>
        <w:rPr>
          <w:szCs w:val="20"/>
        </w:rPr>
      </w:pPr>
      <w:r w:rsidRPr="00E00B35">
        <w:rPr>
          <w:szCs w:val="20"/>
        </w:rPr>
        <w:t>Budownictwo wielorodzinne:</w:t>
      </w:r>
    </w:p>
    <w:p w:rsidR="008C7751" w:rsidRPr="00E00B35" w:rsidRDefault="008C7751" w:rsidP="00E00B35">
      <w:pPr>
        <w:spacing w:after="0" w:line="312" w:lineRule="auto"/>
        <w:rPr>
          <w:rFonts w:cs="Arial"/>
          <w:color w:val="000000"/>
          <w:szCs w:val="20"/>
        </w:rPr>
      </w:pPr>
      <w:r w:rsidRPr="00E00B35">
        <w:rPr>
          <w:rFonts w:cs="Arial"/>
          <w:bCs/>
          <w:szCs w:val="20"/>
        </w:rPr>
        <w:t xml:space="preserve">Adres nieruchomości: </w:t>
      </w:r>
      <w:r w:rsidRPr="00E00B35">
        <w:rPr>
          <w:rFonts w:cs="Arial"/>
          <w:color w:val="000000"/>
          <w:szCs w:val="20"/>
        </w:rPr>
        <w:t xml:space="preserve">ul. Gen. Kazimierza Pułaskiego 69-81, 73a, 73b, 75a, 77a *, </w:t>
      </w:r>
      <w:r w:rsidRPr="00E00B35">
        <w:rPr>
          <w:rFonts w:cs="Arial"/>
          <w:bCs/>
          <w:szCs w:val="20"/>
        </w:rPr>
        <w:t xml:space="preserve">Powierzchnia [m²]: </w:t>
      </w:r>
      <w:r w:rsidRPr="00E00B35">
        <w:rPr>
          <w:rFonts w:cs="Arial"/>
          <w:color w:val="000000"/>
          <w:szCs w:val="20"/>
        </w:rPr>
        <w:t xml:space="preserve">7 665, </w:t>
      </w:r>
      <w:r w:rsidRPr="00E00B35">
        <w:rPr>
          <w:rFonts w:cs="Arial"/>
          <w:bCs/>
          <w:szCs w:val="20"/>
        </w:rPr>
        <w:t xml:space="preserve">Cena sprzedaży [zł]: </w:t>
      </w:r>
      <w:r w:rsidRPr="00E00B35">
        <w:rPr>
          <w:rFonts w:cs="Arial"/>
          <w:color w:val="000000"/>
          <w:szCs w:val="20"/>
        </w:rPr>
        <w:t>17 150 000,00 zł</w:t>
      </w:r>
    </w:p>
    <w:p w:rsidR="008C7751" w:rsidRPr="00E00B35" w:rsidRDefault="008C7751" w:rsidP="00E00B35">
      <w:pPr>
        <w:spacing w:after="0" w:line="312" w:lineRule="auto"/>
        <w:rPr>
          <w:rFonts w:cs="Arial"/>
          <w:color w:val="000000"/>
          <w:szCs w:val="20"/>
        </w:rPr>
      </w:pPr>
      <w:r w:rsidRPr="00E00B35">
        <w:rPr>
          <w:rFonts w:cs="Arial"/>
          <w:bCs/>
          <w:szCs w:val="20"/>
        </w:rPr>
        <w:t xml:space="preserve">Adres nieruchomości: </w:t>
      </w:r>
      <w:r w:rsidRPr="00E00B35">
        <w:rPr>
          <w:rFonts w:cs="Arial"/>
          <w:color w:val="000000"/>
          <w:szCs w:val="20"/>
        </w:rPr>
        <w:t xml:space="preserve">ul. Gwarna 5-7 *, </w:t>
      </w:r>
      <w:r w:rsidRPr="00E00B35">
        <w:rPr>
          <w:rFonts w:cs="Arial"/>
          <w:bCs/>
          <w:szCs w:val="20"/>
        </w:rPr>
        <w:t xml:space="preserve">Powierzchnia [m²]: </w:t>
      </w:r>
      <w:r w:rsidRPr="00E00B35">
        <w:rPr>
          <w:rFonts w:cs="Arial"/>
          <w:color w:val="000000"/>
          <w:szCs w:val="20"/>
        </w:rPr>
        <w:t xml:space="preserve">2 209, </w:t>
      </w:r>
      <w:r w:rsidRPr="00E00B35">
        <w:rPr>
          <w:rFonts w:cs="Arial"/>
          <w:bCs/>
          <w:szCs w:val="20"/>
        </w:rPr>
        <w:t xml:space="preserve">Cena sprzedaży [zł]: </w:t>
      </w:r>
      <w:r w:rsidRPr="00E00B35">
        <w:rPr>
          <w:rFonts w:cs="Arial"/>
          <w:color w:val="000000"/>
          <w:szCs w:val="20"/>
        </w:rPr>
        <w:t>11 700 000,00 zł</w:t>
      </w:r>
    </w:p>
    <w:p w:rsidR="008C7751" w:rsidRPr="00E00B35" w:rsidRDefault="008C7751" w:rsidP="00E00B35">
      <w:pPr>
        <w:spacing w:after="0" w:line="312" w:lineRule="auto"/>
        <w:rPr>
          <w:rFonts w:cs="Arial"/>
          <w:color w:val="000000"/>
          <w:szCs w:val="20"/>
        </w:rPr>
      </w:pPr>
      <w:r w:rsidRPr="00E00B35">
        <w:rPr>
          <w:rFonts w:cs="Arial"/>
          <w:bCs/>
          <w:szCs w:val="20"/>
        </w:rPr>
        <w:t xml:space="preserve">Adres nieruchomości: </w:t>
      </w:r>
      <w:r w:rsidRPr="00E00B35">
        <w:rPr>
          <w:rFonts w:cs="Arial"/>
          <w:color w:val="000000"/>
          <w:szCs w:val="20"/>
        </w:rPr>
        <w:t xml:space="preserve">ul. Białodrzewna (WU-WA), </w:t>
      </w:r>
      <w:r w:rsidRPr="00E00B35">
        <w:rPr>
          <w:rFonts w:cs="Arial"/>
          <w:bCs/>
          <w:szCs w:val="20"/>
        </w:rPr>
        <w:t xml:space="preserve">Powierzchnia [m²]: </w:t>
      </w:r>
      <w:r w:rsidRPr="00E00B35">
        <w:rPr>
          <w:rFonts w:cs="Arial"/>
          <w:color w:val="000000"/>
          <w:szCs w:val="20"/>
        </w:rPr>
        <w:t xml:space="preserve">5 780, </w:t>
      </w:r>
      <w:r w:rsidRPr="00E00B35">
        <w:rPr>
          <w:rFonts w:cs="Arial"/>
          <w:bCs/>
          <w:szCs w:val="20"/>
        </w:rPr>
        <w:t xml:space="preserve">Cena sprzedaży [zł]: </w:t>
      </w:r>
      <w:r w:rsidRPr="00E00B35">
        <w:rPr>
          <w:rFonts w:cs="Arial"/>
          <w:color w:val="000000"/>
          <w:szCs w:val="20"/>
        </w:rPr>
        <w:t>6 000 000,00 zł</w:t>
      </w:r>
    </w:p>
    <w:p w:rsidR="008C7751" w:rsidRPr="00E00B35" w:rsidRDefault="008C7751" w:rsidP="00E00B35">
      <w:pPr>
        <w:spacing w:after="0" w:line="312" w:lineRule="auto"/>
        <w:rPr>
          <w:rFonts w:cs="Arial"/>
          <w:color w:val="000000"/>
          <w:szCs w:val="20"/>
        </w:rPr>
      </w:pPr>
      <w:r w:rsidRPr="00E00B35">
        <w:rPr>
          <w:rFonts w:cs="Arial"/>
          <w:bCs/>
          <w:szCs w:val="20"/>
        </w:rPr>
        <w:t xml:space="preserve">Adres nieruchomości: </w:t>
      </w:r>
      <w:r w:rsidRPr="00E00B35">
        <w:rPr>
          <w:rFonts w:cs="Arial"/>
          <w:color w:val="000000"/>
          <w:szCs w:val="20"/>
        </w:rPr>
        <w:t xml:space="preserve">ul ul. Szczytnicka 29, 29a, 31 *, </w:t>
      </w:r>
      <w:r w:rsidRPr="00E00B35">
        <w:rPr>
          <w:rFonts w:cs="Arial"/>
          <w:bCs/>
          <w:szCs w:val="20"/>
        </w:rPr>
        <w:t xml:space="preserve">Powierzchnia [m²]: </w:t>
      </w:r>
      <w:r w:rsidRPr="00E00B35">
        <w:rPr>
          <w:rFonts w:cs="Arial"/>
          <w:color w:val="000000"/>
          <w:szCs w:val="20"/>
        </w:rPr>
        <w:t xml:space="preserve">1 060, </w:t>
      </w:r>
      <w:r w:rsidRPr="00E00B35">
        <w:rPr>
          <w:rFonts w:cs="Arial"/>
          <w:bCs/>
          <w:szCs w:val="20"/>
        </w:rPr>
        <w:t xml:space="preserve">Cena sprzedaży [zł]: </w:t>
      </w:r>
      <w:r w:rsidRPr="00E00B35">
        <w:rPr>
          <w:rFonts w:cs="Arial"/>
          <w:color w:val="000000"/>
          <w:szCs w:val="20"/>
        </w:rPr>
        <w:t>5 050 000,00 zł</w:t>
      </w:r>
    </w:p>
    <w:p w:rsidR="008C7751" w:rsidRPr="00E00B35" w:rsidRDefault="008C7751" w:rsidP="00E00B35">
      <w:pPr>
        <w:spacing w:after="0" w:line="312" w:lineRule="auto"/>
        <w:rPr>
          <w:szCs w:val="20"/>
        </w:rPr>
      </w:pPr>
      <w:r w:rsidRPr="00E00B35">
        <w:rPr>
          <w:szCs w:val="20"/>
        </w:rPr>
        <w:t>Budownictwo jednorodzinne:</w:t>
      </w:r>
    </w:p>
    <w:p w:rsidR="008C7751" w:rsidRPr="00E00B35" w:rsidRDefault="008C7751" w:rsidP="00E00B35">
      <w:pPr>
        <w:spacing w:after="0" w:line="312" w:lineRule="auto"/>
        <w:rPr>
          <w:rFonts w:cs="Arial"/>
          <w:color w:val="000000"/>
          <w:szCs w:val="20"/>
        </w:rPr>
      </w:pPr>
      <w:r w:rsidRPr="00E00B35">
        <w:rPr>
          <w:rFonts w:cs="Arial"/>
          <w:bCs/>
          <w:szCs w:val="20"/>
        </w:rPr>
        <w:t xml:space="preserve">Adres nieruchomości: </w:t>
      </w:r>
      <w:r w:rsidRPr="00E00B35">
        <w:rPr>
          <w:rFonts w:cs="Arial"/>
          <w:color w:val="000000"/>
          <w:szCs w:val="20"/>
        </w:rPr>
        <w:t xml:space="preserve">ul. Ruczajowa, </w:t>
      </w:r>
      <w:r w:rsidRPr="00E00B35">
        <w:rPr>
          <w:rFonts w:cs="Arial"/>
          <w:bCs/>
          <w:szCs w:val="20"/>
        </w:rPr>
        <w:t xml:space="preserve">Powierzchnia [m²]: </w:t>
      </w:r>
      <w:r w:rsidRPr="00E00B35">
        <w:rPr>
          <w:rFonts w:cs="Arial"/>
          <w:color w:val="000000"/>
          <w:szCs w:val="20"/>
        </w:rPr>
        <w:t xml:space="preserve">9 592, </w:t>
      </w:r>
      <w:r w:rsidRPr="00E00B35">
        <w:rPr>
          <w:rFonts w:cs="Arial"/>
          <w:bCs/>
          <w:szCs w:val="20"/>
        </w:rPr>
        <w:t xml:space="preserve">Cena sprzedaży [zł]: </w:t>
      </w:r>
      <w:r w:rsidRPr="00E00B35">
        <w:rPr>
          <w:rFonts w:cs="Arial"/>
          <w:color w:val="000000"/>
          <w:szCs w:val="20"/>
        </w:rPr>
        <w:t>5 168 250,00 zł</w:t>
      </w:r>
    </w:p>
    <w:p w:rsidR="008C7751" w:rsidRPr="00E00B35" w:rsidRDefault="008C7751" w:rsidP="00E00B35">
      <w:pPr>
        <w:spacing w:after="0" w:line="312" w:lineRule="auto"/>
        <w:rPr>
          <w:szCs w:val="20"/>
        </w:rPr>
      </w:pPr>
      <w:r w:rsidRPr="00E00B35">
        <w:rPr>
          <w:szCs w:val="20"/>
        </w:rPr>
        <w:t>Usługi i aktywność gospodarcza:</w:t>
      </w:r>
    </w:p>
    <w:p w:rsidR="008C7751" w:rsidRPr="00E00B35" w:rsidRDefault="008C7751" w:rsidP="00E00B35">
      <w:pPr>
        <w:spacing w:after="0" w:line="312" w:lineRule="auto"/>
        <w:rPr>
          <w:rFonts w:cs="Arial"/>
          <w:color w:val="000000"/>
          <w:szCs w:val="20"/>
        </w:rPr>
      </w:pPr>
      <w:r w:rsidRPr="00E00B35">
        <w:rPr>
          <w:rFonts w:cs="Arial"/>
          <w:bCs/>
          <w:szCs w:val="20"/>
        </w:rPr>
        <w:t xml:space="preserve">Adres nieruchomości: </w:t>
      </w:r>
      <w:r w:rsidRPr="00E00B35">
        <w:rPr>
          <w:rFonts w:cs="Arial"/>
          <w:color w:val="000000"/>
          <w:szCs w:val="20"/>
        </w:rPr>
        <w:t xml:space="preserve">ul. Mennicza 26 *, </w:t>
      </w:r>
      <w:r w:rsidRPr="00E00B35">
        <w:rPr>
          <w:rFonts w:cs="Arial"/>
          <w:bCs/>
          <w:szCs w:val="20"/>
        </w:rPr>
        <w:t xml:space="preserve">Powierzchnia [m²]: </w:t>
      </w:r>
      <w:r w:rsidRPr="00E00B35">
        <w:rPr>
          <w:rFonts w:cs="Arial"/>
          <w:color w:val="000000"/>
          <w:szCs w:val="20"/>
        </w:rPr>
        <w:t xml:space="preserve">1 333, </w:t>
      </w:r>
      <w:r w:rsidRPr="00E00B35">
        <w:rPr>
          <w:rFonts w:cs="Arial"/>
          <w:bCs/>
          <w:szCs w:val="20"/>
        </w:rPr>
        <w:t xml:space="preserve">Cena sprzedaży [zł]: </w:t>
      </w:r>
      <w:r w:rsidRPr="00E00B35">
        <w:rPr>
          <w:rFonts w:cs="Arial"/>
          <w:color w:val="000000"/>
          <w:szCs w:val="20"/>
        </w:rPr>
        <w:t>7 050 000,00 zł</w:t>
      </w:r>
    </w:p>
    <w:p w:rsidR="008C7751" w:rsidRPr="00E00B35" w:rsidRDefault="008C7751" w:rsidP="00E00B35">
      <w:pPr>
        <w:spacing w:after="0" w:line="312" w:lineRule="auto"/>
        <w:rPr>
          <w:rFonts w:cs="Arial"/>
          <w:color w:val="000000"/>
          <w:szCs w:val="20"/>
        </w:rPr>
      </w:pPr>
      <w:r w:rsidRPr="00E00B35">
        <w:rPr>
          <w:rFonts w:cs="Arial"/>
          <w:bCs/>
          <w:szCs w:val="20"/>
        </w:rPr>
        <w:lastRenderedPageBreak/>
        <w:t xml:space="preserve">Adres nieruchomości: </w:t>
      </w:r>
      <w:r w:rsidRPr="00E00B35">
        <w:rPr>
          <w:rFonts w:cs="Arial"/>
          <w:color w:val="000000"/>
          <w:szCs w:val="20"/>
        </w:rPr>
        <w:t xml:space="preserve">Aleja Śląska, </w:t>
      </w:r>
      <w:r w:rsidRPr="00E00B35">
        <w:rPr>
          <w:rFonts w:cs="Arial"/>
          <w:bCs/>
          <w:szCs w:val="20"/>
        </w:rPr>
        <w:t xml:space="preserve">Powierzchnia [m²]: </w:t>
      </w:r>
      <w:r w:rsidRPr="00E00B35">
        <w:rPr>
          <w:rFonts w:cs="Arial"/>
          <w:color w:val="000000"/>
          <w:szCs w:val="20"/>
        </w:rPr>
        <w:t xml:space="preserve">6 937, </w:t>
      </w:r>
      <w:r w:rsidRPr="00E00B35">
        <w:rPr>
          <w:rFonts w:cs="Arial"/>
          <w:bCs/>
          <w:szCs w:val="20"/>
        </w:rPr>
        <w:t xml:space="preserve">Cena sprzedaży [zł]: </w:t>
      </w:r>
      <w:r w:rsidRPr="00E00B35">
        <w:rPr>
          <w:rFonts w:cs="Arial"/>
          <w:color w:val="000000"/>
          <w:szCs w:val="20"/>
        </w:rPr>
        <w:t>4 550 000,00 zł</w:t>
      </w:r>
    </w:p>
    <w:p w:rsidR="008C7751" w:rsidRPr="00E00B35" w:rsidRDefault="008C7751" w:rsidP="00E00B35">
      <w:pPr>
        <w:spacing w:after="0" w:line="312" w:lineRule="auto"/>
        <w:rPr>
          <w:color w:val="000000"/>
          <w:szCs w:val="20"/>
        </w:rPr>
      </w:pPr>
      <w:r w:rsidRPr="00E00B35">
        <w:rPr>
          <w:szCs w:val="20"/>
        </w:rPr>
        <w:t>*grunt zabudowany</w:t>
      </w:r>
    </w:p>
    <w:p w:rsidR="008C7751" w:rsidRPr="00E00B35" w:rsidRDefault="008C7751" w:rsidP="00E00B35">
      <w:pPr>
        <w:spacing w:after="0" w:line="312" w:lineRule="auto"/>
        <w:rPr>
          <w:rStyle w:val="A1"/>
          <w:rFonts w:cs="Verdana"/>
          <w:sz w:val="20"/>
          <w:szCs w:val="20"/>
        </w:rPr>
      </w:pPr>
    </w:p>
    <w:p w:rsidR="008C7751" w:rsidRPr="00E00B35" w:rsidRDefault="008C7751" w:rsidP="00E00B35">
      <w:pPr>
        <w:spacing w:after="0" w:line="312" w:lineRule="auto"/>
        <w:rPr>
          <w:b/>
          <w:szCs w:val="20"/>
        </w:rPr>
      </w:pPr>
      <w:r w:rsidRPr="00E00B35">
        <w:rPr>
          <w:rStyle w:val="A1"/>
          <w:rFonts w:cs="Verdana"/>
          <w:b/>
          <w:sz w:val="20"/>
          <w:szCs w:val="20"/>
        </w:rPr>
        <w:t>Średnia cena 1m</w:t>
      </w:r>
      <w:r w:rsidRPr="00E00B35">
        <w:rPr>
          <w:rStyle w:val="A1"/>
          <w:rFonts w:cs="Verdana"/>
          <w:b/>
          <w:sz w:val="20"/>
          <w:szCs w:val="20"/>
          <w:vertAlign w:val="superscript"/>
        </w:rPr>
        <w:t>2</w:t>
      </w:r>
      <w:r w:rsidRPr="00E00B35">
        <w:rPr>
          <w:rStyle w:val="A1"/>
          <w:rFonts w:cs="Verdana"/>
          <w:b/>
          <w:sz w:val="20"/>
          <w:szCs w:val="20"/>
        </w:rPr>
        <w:t xml:space="preserve"> nieruchomości sprzedanych w przetargach w latach 2017-2020 </w:t>
      </w:r>
      <w:r w:rsidRPr="00E00B35">
        <w:rPr>
          <w:b/>
          <w:szCs w:val="20"/>
        </w:rPr>
        <w:t>(Źródło: UMW)</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Budownictwo jednorodzinne [zł/m</w:t>
      </w:r>
      <w:r w:rsidRPr="00E00B35">
        <w:rPr>
          <w:rStyle w:val="A1"/>
          <w:rFonts w:cs="Verdana"/>
          <w:sz w:val="20"/>
          <w:szCs w:val="20"/>
          <w:vertAlign w:val="superscript"/>
        </w:rPr>
        <w:t>2</w:t>
      </w:r>
      <w:r w:rsidRPr="00E00B35">
        <w:rPr>
          <w:rStyle w:val="A1"/>
          <w:rFonts w:cs="Verdana"/>
          <w:sz w:val="20"/>
          <w:szCs w:val="20"/>
        </w:rPr>
        <w:t>] w 2017 r. - 246,21, w 2018 r. - 303,78, w 2019 r. - 300,23, w 2020 r. - 542,00</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Budownictwo wielorodzinne [zł/m</w:t>
      </w:r>
      <w:r w:rsidRPr="00E00B35">
        <w:rPr>
          <w:rStyle w:val="A1"/>
          <w:rFonts w:cs="Verdana"/>
          <w:sz w:val="20"/>
          <w:szCs w:val="20"/>
          <w:vertAlign w:val="superscript"/>
        </w:rPr>
        <w:t>2</w:t>
      </w:r>
      <w:r w:rsidRPr="00E00B35">
        <w:rPr>
          <w:rStyle w:val="A1"/>
          <w:rFonts w:cs="Verdana"/>
          <w:sz w:val="20"/>
          <w:szCs w:val="20"/>
        </w:rPr>
        <w:t>] w 2017 r. - 1 090,40, w 2018 r. - 1 290,96, w 2019 r. - 1 046,36, w 2020 r. - 2 360,95.</w:t>
      </w:r>
    </w:p>
    <w:p w:rsidR="008C7751" w:rsidRPr="00E00B35" w:rsidRDefault="008C7751" w:rsidP="00E00B35">
      <w:pPr>
        <w:spacing w:after="0" w:line="312" w:lineRule="auto"/>
        <w:rPr>
          <w:rStyle w:val="A1"/>
          <w:rFonts w:cs="Verdana"/>
          <w:sz w:val="20"/>
          <w:szCs w:val="20"/>
        </w:rPr>
      </w:pPr>
      <w:r w:rsidRPr="00E00B35">
        <w:rPr>
          <w:rStyle w:val="A1"/>
          <w:rFonts w:cs="Verdana"/>
          <w:sz w:val="20"/>
          <w:szCs w:val="20"/>
        </w:rPr>
        <w:t>Usługi i aktywność gospodarcza [zł/m</w:t>
      </w:r>
      <w:r w:rsidRPr="00E00B35">
        <w:rPr>
          <w:rStyle w:val="A1"/>
          <w:rFonts w:cs="Verdana"/>
          <w:sz w:val="20"/>
          <w:szCs w:val="20"/>
          <w:vertAlign w:val="superscript"/>
        </w:rPr>
        <w:t>2</w:t>
      </w:r>
      <w:r w:rsidRPr="00E00B35">
        <w:rPr>
          <w:rStyle w:val="A1"/>
          <w:rFonts w:cs="Verdana"/>
          <w:sz w:val="20"/>
          <w:szCs w:val="20"/>
        </w:rPr>
        <w:t>] w 2017 r. - 361,69, w 2018 r. - 240,85, w 2019 r. - 223,38, w 2020 r. - 574,44.</w:t>
      </w:r>
    </w:p>
    <w:p w:rsidR="008C7751" w:rsidRPr="00E00B35" w:rsidRDefault="008C7751" w:rsidP="00E00B35">
      <w:pPr>
        <w:spacing w:after="0" w:line="312" w:lineRule="auto"/>
        <w:rPr>
          <w:rStyle w:val="A1"/>
          <w:rFonts w:cs="Verdana"/>
          <w:sz w:val="20"/>
          <w:szCs w:val="20"/>
        </w:rPr>
      </w:pPr>
    </w:p>
    <w:p w:rsidR="008C7751" w:rsidRPr="00E00B35" w:rsidRDefault="008C7751" w:rsidP="00E00B35">
      <w:pPr>
        <w:spacing w:after="0" w:line="312" w:lineRule="auto"/>
        <w:rPr>
          <w:b/>
          <w:szCs w:val="20"/>
        </w:rPr>
      </w:pPr>
      <w:r w:rsidRPr="00E00B35">
        <w:rPr>
          <w:rStyle w:val="A1"/>
          <w:rFonts w:cs="Verdana"/>
          <w:b/>
          <w:sz w:val="20"/>
          <w:szCs w:val="20"/>
        </w:rPr>
        <w:t>Średnia cena 1m</w:t>
      </w:r>
      <w:r w:rsidRPr="00E00B35">
        <w:rPr>
          <w:rStyle w:val="A1"/>
          <w:rFonts w:cs="Verdana"/>
          <w:b/>
          <w:sz w:val="20"/>
          <w:szCs w:val="20"/>
          <w:vertAlign w:val="superscript"/>
        </w:rPr>
        <w:t>2</w:t>
      </w:r>
      <w:r w:rsidRPr="00E00B35">
        <w:rPr>
          <w:rStyle w:val="A1"/>
          <w:rFonts w:cs="Verdana"/>
          <w:b/>
          <w:sz w:val="20"/>
          <w:szCs w:val="20"/>
        </w:rPr>
        <w:t xml:space="preserve"> nieruchomości sprzedanych w przetargach w latach 2017-2020 </w:t>
      </w:r>
      <w:r w:rsidRPr="00E00B35">
        <w:rPr>
          <w:b/>
          <w:szCs w:val="20"/>
        </w:rPr>
        <w:t>(Źródło: UMW)</w:t>
      </w:r>
    </w:p>
    <w:p w:rsidR="008C7751" w:rsidRPr="00E00B35" w:rsidRDefault="008C7751" w:rsidP="00E00B35">
      <w:pPr>
        <w:spacing w:after="0" w:line="312" w:lineRule="auto"/>
        <w:rPr>
          <w:szCs w:val="20"/>
        </w:rPr>
      </w:pPr>
      <w:r w:rsidRPr="00E00B35">
        <w:rPr>
          <w:szCs w:val="20"/>
        </w:rPr>
        <w:t>Budownictwo jednorodzinne w 2017 r. – 246,21, w 2018 r. – 303,78, w 2019 r. – 300,23, w 2020 r. – 542,00.</w:t>
      </w:r>
    </w:p>
    <w:p w:rsidR="008C7751" w:rsidRPr="00E00B35" w:rsidRDefault="008C7751" w:rsidP="00E00B35">
      <w:pPr>
        <w:spacing w:after="0" w:line="312" w:lineRule="auto"/>
        <w:rPr>
          <w:szCs w:val="20"/>
        </w:rPr>
      </w:pPr>
      <w:r w:rsidRPr="00E00B35">
        <w:rPr>
          <w:szCs w:val="20"/>
        </w:rPr>
        <w:t>Budownictwo wielorodzinne w 2017 r. – 1090,40, w 2018 r. – 1290,96, w 2019 r. – 1046,36, w 2020 r. – 2360,95.</w:t>
      </w:r>
    </w:p>
    <w:p w:rsidR="008C7751" w:rsidRPr="00E00B35" w:rsidRDefault="008C7751" w:rsidP="00E00B35">
      <w:pPr>
        <w:spacing w:after="0" w:line="312" w:lineRule="auto"/>
        <w:rPr>
          <w:szCs w:val="20"/>
        </w:rPr>
      </w:pPr>
      <w:r w:rsidRPr="00E00B35">
        <w:rPr>
          <w:szCs w:val="20"/>
        </w:rPr>
        <w:t>Usługi i aktywnośc gospodarcza w 2017 r. – 361,69, w 2018 r. – 240,85, w 2019 r. – 223,38, w 2020 r. – 574,44.</w:t>
      </w:r>
    </w:p>
    <w:p w:rsidR="008C7751" w:rsidRPr="00E00B35" w:rsidRDefault="008C7751" w:rsidP="00E00B35">
      <w:pPr>
        <w:spacing w:after="0" w:line="312" w:lineRule="auto"/>
        <w:rPr>
          <w:rStyle w:val="A1"/>
          <w:rFonts w:cs="Verdana"/>
          <w:b/>
          <w:sz w:val="20"/>
          <w:szCs w:val="20"/>
        </w:rPr>
      </w:pPr>
    </w:p>
    <w:p w:rsidR="008C7751" w:rsidRPr="00E00B35" w:rsidRDefault="008C7751" w:rsidP="00E00B35">
      <w:pPr>
        <w:spacing w:after="0" w:line="312" w:lineRule="auto"/>
        <w:rPr>
          <w:rStyle w:val="A1"/>
          <w:rFonts w:cs="Verdana"/>
          <w:b/>
          <w:sz w:val="20"/>
          <w:szCs w:val="20"/>
        </w:rPr>
      </w:pPr>
    </w:p>
    <w:p w:rsidR="008C7751" w:rsidRPr="00E00B35" w:rsidRDefault="008C7751" w:rsidP="00E00B35">
      <w:pPr>
        <w:pStyle w:val="Nagwek4"/>
        <w:spacing w:before="0" w:after="0" w:line="312" w:lineRule="auto"/>
        <w:rPr>
          <w:sz w:val="20"/>
          <w:szCs w:val="20"/>
        </w:rPr>
      </w:pPr>
      <w:r w:rsidRPr="00E00B35">
        <w:rPr>
          <w:sz w:val="20"/>
          <w:szCs w:val="20"/>
        </w:rPr>
        <w:t>Sprzedaż nieruchomości gruntowych w trybie bezprzetargowym</w:t>
      </w:r>
    </w:p>
    <w:p w:rsidR="008C7751" w:rsidRPr="00E00B35" w:rsidRDefault="008C7751" w:rsidP="00E00B35">
      <w:pPr>
        <w:spacing w:after="0" w:line="312" w:lineRule="auto"/>
        <w:rPr>
          <w:szCs w:val="20"/>
        </w:rPr>
      </w:pPr>
      <w:r w:rsidRPr="00E00B35">
        <w:rPr>
          <w:szCs w:val="20"/>
        </w:rPr>
        <w:t>Nieruchomości, które w świetle przepisów prawa nie mogą być zagospodarowane jako samodzielne działki budowlane z uwagi na parametry czy brak dostępu do drogi publicznej, zgodnie z ustawą o gospodarce nieruchomościami zbywane są w trybie bezprzetargowym na poprawę warunków zagospodarowania nieruchomości sąsiednich. W opisywanym czasie w trybie bezprzetargowym sprzedano 14 nieruchomości o łącznej powierzchni 1 0565 m</w:t>
      </w:r>
      <w:r w:rsidRPr="00E00B35">
        <w:rPr>
          <w:szCs w:val="20"/>
          <w:vertAlign w:val="superscript"/>
        </w:rPr>
        <w:t>2</w:t>
      </w:r>
      <w:r w:rsidRPr="00E00B35">
        <w:rPr>
          <w:szCs w:val="20"/>
        </w:rPr>
        <w:t xml:space="preserve"> i wartości 2 118 177,10 zł.</w:t>
      </w:r>
    </w:p>
    <w:p w:rsidR="008C7751" w:rsidRPr="00E00B35" w:rsidRDefault="008C7751" w:rsidP="00E00B35">
      <w:pPr>
        <w:spacing w:after="0" w:line="312" w:lineRule="auto"/>
        <w:rPr>
          <w:szCs w:val="20"/>
        </w:rPr>
      </w:pPr>
      <w:r w:rsidRPr="00E00B35">
        <w:rPr>
          <w:szCs w:val="20"/>
        </w:rPr>
        <w:t>Przedmiotem „dosprzedaży” były przede wszystkim grunty, które dołączone do działek zabudowanych domami mieszkalnymi poprawiały warunki ich zagospodarowania, przyczyniając się do zwiększenia terenów zieleni w zabudowie mieszkaniowej.</w:t>
      </w:r>
    </w:p>
    <w:p w:rsidR="008C7751" w:rsidRPr="00E00B35" w:rsidRDefault="008C7751" w:rsidP="00E00B35">
      <w:pPr>
        <w:spacing w:after="0" w:line="312" w:lineRule="auto"/>
        <w:rPr>
          <w:iCs/>
          <w:szCs w:val="20"/>
        </w:rPr>
      </w:pPr>
      <w:r w:rsidRPr="00E00B35">
        <w:rPr>
          <w:iCs/>
          <w:szCs w:val="20"/>
        </w:rPr>
        <w:t>Zrealizowano 2 dosprzedaże na rzecz Wspólnot Mieszkaniowych, w trybie artykułu 209a ustawy o gospodarce nieruchomościami z przysługującą nabywcom 95% bonifikatą. Sprzedane działki położone są przy ul. Kołłątaja 33 i ul. Jana Kochanowskiego. Nieruchomości wspólnotowe spełniają dzięki temu warunki działek budowlanych.</w:t>
      </w:r>
    </w:p>
    <w:p w:rsidR="008C7751" w:rsidRPr="00E00B35" w:rsidRDefault="008C7751" w:rsidP="00E00B35">
      <w:pPr>
        <w:spacing w:after="0" w:line="312" w:lineRule="auto"/>
        <w:rPr>
          <w:szCs w:val="20"/>
        </w:rPr>
      </w:pPr>
      <w:r w:rsidRPr="00E00B35">
        <w:rPr>
          <w:iCs/>
          <w:szCs w:val="20"/>
        </w:rPr>
        <w:t xml:space="preserve">W roku sprawozdawczym podjęto uchwałę </w:t>
      </w:r>
      <w:r w:rsidRPr="00E00B35">
        <w:rPr>
          <w:szCs w:val="20"/>
        </w:rPr>
        <w:t xml:space="preserve">Rady Miejskiej Wrocławia nr XLIX/697/98 z dnia 27 lutego 1998 r. w sprawie zasad gospodarowania nieruchomościami stanowiącymi własność Gminy Wrocław (Dz. U. z 2020 r. poz. 7196), dzięki której istnieje możliwość udzielenia bonifikaty od ceny sprzedaży osobom fizycznym będącym właścicielami nieruchomości przyległych, z zastrzeżeniem, że nieruchomość przyległa jest </w:t>
      </w:r>
      <w:r w:rsidRPr="00E00B35">
        <w:rPr>
          <w:szCs w:val="20"/>
        </w:rPr>
        <w:lastRenderedPageBreak/>
        <w:t>przeznaczona lub wykorzystywana na cele mieszkaniowe. W 2020 r. nie sprzedano żadnej nieruchomości z ww. bonifikatą.</w:t>
      </w:r>
    </w:p>
    <w:p w:rsidR="008C7751" w:rsidRPr="00E00B35" w:rsidRDefault="008C7751" w:rsidP="00E00B35">
      <w:pPr>
        <w:spacing w:after="0" w:line="312" w:lineRule="auto"/>
        <w:rPr>
          <w:szCs w:val="20"/>
        </w:rPr>
      </w:pPr>
    </w:p>
    <w:p w:rsidR="008C7751" w:rsidRPr="00E00B35" w:rsidRDefault="008C7751" w:rsidP="00E00B35">
      <w:pPr>
        <w:pStyle w:val="Nagwek5"/>
        <w:rPr>
          <w:szCs w:val="20"/>
        </w:rPr>
      </w:pPr>
      <w:r w:rsidRPr="00E00B35">
        <w:rPr>
          <w:szCs w:val="20"/>
        </w:rPr>
        <w:t>Aport nieruchomości</w:t>
      </w:r>
    </w:p>
    <w:p w:rsidR="008C7751" w:rsidRPr="00E00B35" w:rsidRDefault="008C7751" w:rsidP="00E00B35">
      <w:pPr>
        <w:spacing w:after="0" w:line="312" w:lineRule="auto"/>
        <w:rPr>
          <w:szCs w:val="20"/>
        </w:rPr>
      </w:pPr>
      <w:r w:rsidRPr="00E00B35">
        <w:rPr>
          <w:szCs w:val="20"/>
        </w:rPr>
        <w:t xml:space="preserve">W okresie sprawozdawczym zostały zrealizowane 2 aporty na rzecz spółki Wrocławski Park Wodny S.A.– stanowiącej własność Gminy Wrocław. Wniesiono 2 nieruchomości o łącznej wartości 5 192 780 zł: nieruchomość zabudowaną parkingiem przy ul. Petrusewicza – na powiększenie istniejącego Wrocławskiego Parku Wodnego przy ul. Borowskiej 99 oraz nieruchomość na Brochowie przy ul. Polnej 10 - gdzie planowana jest budowa basenu. </w:t>
      </w:r>
    </w:p>
    <w:p w:rsidR="00252360" w:rsidRPr="00E00B35" w:rsidRDefault="00252360" w:rsidP="00E00B35">
      <w:pPr>
        <w:pStyle w:val="Nagwek3"/>
        <w:spacing w:after="0" w:line="312" w:lineRule="auto"/>
        <w:rPr>
          <w:sz w:val="20"/>
          <w:lang w:val="pl-PL"/>
        </w:rPr>
      </w:pPr>
    </w:p>
    <w:p w:rsidR="008C7751" w:rsidRPr="00E00B35" w:rsidRDefault="008C7751" w:rsidP="00E00B35">
      <w:pPr>
        <w:pStyle w:val="Nagwek5"/>
        <w:rPr>
          <w:szCs w:val="20"/>
        </w:rPr>
      </w:pPr>
      <w:r w:rsidRPr="00E00B35">
        <w:rPr>
          <w:szCs w:val="20"/>
        </w:rPr>
        <w:t>Wykonanie prawa pierwokupu</w:t>
      </w:r>
    </w:p>
    <w:p w:rsidR="008C7751" w:rsidRPr="00E00B35" w:rsidRDefault="008C7751" w:rsidP="00E00B35">
      <w:pPr>
        <w:spacing w:after="0" w:line="312" w:lineRule="auto"/>
        <w:rPr>
          <w:szCs w:val="20"/>
        </w:rPr>
      </w:pPr>
      <w:r w:rsidRPr="00E00B35">
        <w:rPr>
          <w:szCs w:val="20"/>
        </w:rPr>
        <w:t>Prezydent Wrocławia w 1 przypadku wykonał przysługujące Gminie Wrocław prawo pierwokupu na podstawie art. 109 ust. 1 pkt 2 ustawy o gospodarce nieruchomościami. Transakcja dotyczyła nieruchomości na zapleczu ul. Augustowskiej. Prawo wykonano z uwagi na sąsiedni projekt Parku Kieszonkowego – wykonany przez Zarząd Zieleni Miejskiej i rekomendację ZZM do zagospodarowania i utrzymania całości wraz z przedmiotową działką nr 51/7.</w:t>
      </w:r>
    </w:p>
    <w:p w:rsidR="008C7751" w:rsidRPr="00E00B35" w:rsidRDefault="008C7751" w:rsidP="00E00B35">
      <w:pPr>
        <w:spacing w:after="0" w:line="312" w:lineRule="auto"/>
        <w:rPr>
          <w:szCs w:val="20"/>
          <w:highlight w:val="yellow"/>
        </w:rPr>
      </w:pPr>
    </w:p>
    <w:p w:rsidR="008C7751" w:rsidRPr="00E00B35" w:rsidRDefault="008C7751" w:rsidP="00E00B35">
      <w:pPr>
        <w:pStyle w:val="Nagwek5"/>
        <w:rPr>
          <w:szCs w:val="20"/>
        </w:rPr>
      </w:pPr>
      <w:r w:rsidRPr="00E00B35">
        <w:rPr>
          <w:szCs w:val="20"/>
        </w:rPr>
        <w:t>Promocja nieruchomości</w:t>
      </w:r>
    </w:p>
    <w:p w:rsidR="008C7751" w:rsidRPr="00E00B35" w:rsidRDefault="008C7751" w:rsidP="00E00B35">
      <w:pPr>
        <w:spacing w:after="0" w:line="312" w:lineRule="auto"/>
        <w:rPr>
          <w:szCs w:val="20"/>
        </w:rPr>
      </w:pPr>
      <w:r w:rsidRPr="00E00B35">
        <w:rPr>
          <w:szCs w:val="20"/>
        </w:rPr>
        <w:t>Strategia marketingowa mająca na celu pozyskanie inwestorów obejmowała głównie działania w kraju. Ze względu na panującą na całym świecie pandemię koronowirusa, zmieniono terminy lub anulowano większość imprez targowo– wystawienniczych.</w:t>
      </w:r>
    </w:p>
    <w:p w:rsidR="008C7751" w:rsidRPr="00E00B35" w:rsidRDefault="008C7751" w:rsidP="00E00B35">
      <w:pPr>
        <w:spacing w:after="0" w:line="312" w:lineRule="auto"/>
        <w:rPr>
          <w:rFonts w:eastAsia="Calibri" w:cs="Helv"/>
          <w:szCs w:val="20"/>
        </w:rPr>
      </w:pPr>
      <w:r w:rsidRPr="00E00B35">
        <w:rPr>
          <w:rFonts w:cs="Arial"/>
          <w:szCs w:val="20"/>
        </w:rPr>
        <w:t xml:space="preserve">W zakresie marketingu interaktywnego w 2020 r. </w:t>
      </w:r>
      <w:r w:rsidRPr="00E00B35">
        <w:rPr>
          <w:rFonts w:eastAsia="Calibri" w:cs="Helv"/>
          <w:szCs w:val="20"/>
        </w:rPr>
        <w:t>została uruchomiona nowa strona internetowa Giełdy Nieruchomości na której prezentowana jest oferta nieruchomości przeznaczonych przez Gminę Wrocław do sprzedaży. Portal informacyjny Giełda Nieruchomości w ciągu ostatnich lat stał się kluczowym elementem promocji ofert Gminy Wrocław, jak również ważnym kanałem komunikacyjnym i rozbudowaną bazą informacji. Po uruchomieniu nowej odsłony Giełdy Nieruchomości tj. od 18 czerwca 2020 r. ze strony skorzystało  ponad 31 tysięcy użytkowników, z czego 75% to nowi klienci.</w:t>
      </w:r>
    </w:p>
    <w:p w:rsidR="008C7751" w:rsidRPr="00E00B35" w:rsidRDefault="008C7751" w:rsidP="00E00B35">
      <w:pPr>
        <w:spacing w:after="0" w:line="312" w:lineRule="auto"/>
        <w:rPr>
          <w:rFonts w:eastAsia="Calibri" w:cs="Helv"/>
          <w:szCs w:val="20"/>
        </w:rPr>
      </w:pPr>
      <w:r w:rsidRPr="00E00B35">
        <w:rPr>
          <w:rFonts w:eastAsia="Calibri" w:cs="Helv"/>
          <w:szCs w:val="20"/>
        </w:rPr>
        <w:t>Starania o przebudowę aplikacji rozpoczęto już w 2019 roku. Bezpośrednią przyczyną do zmiany była konieczność doprowadzenia strony do zgodności ze standardem WCAG 2.1 dotyczącym m.in. dostosowania do potrzeb osób niepełnosprawnych.</w:t>
      </w:r>
    </w:p>
    <w:p w:rsidR="008C7751" w:rsidRPr="00E00B35" w:rsidRDefault="008C7751" w:rsidP="00E00B35">
      <w:pPr>
        <w:spacing w:after="0" w:line="312" w:lineRule="auto"/>
        <w:rPr>
          <w:rFonts w:eastAsia="Calibri" w:cs="Helv"/>
          <w:szCs w:val="20"/>
        </w:rPr>
      </w:pPr>
      <w:r w:rsidRPr="00E00B35">
        <w:rPr>
          <w:rFonts w:eastAsia="Calibri" w:cs="Helv"/>
          <w:szCs w:val="20"/>
        </w:rPr>
        <w:t>Współpraca Centrum Usług Informatycznych, Biura Rozwoju Wrocławia oraz Wydziału Nabywania i Sprzedaży Nieruchomości zaowocowała stworzeniem całkowicie nowej aplikacji, która jest responsywna – odpowiednio dostosowana do urządzeń mobilnych, a ponadto zawiera dodatkowe funkcjonalności (newsletter, system mailingowy, nowa szata graficzna), które powodują większą przyjazność i przejrzystość serwisu. Portal jest też zintegrowany z wrocławskim Systemem Informacji Przestrzennej.</w:t>
      </w:r>
    </w:p>
    <w:p w:rsidR="008C7751" w:rsidRPr="00E00B35" w:rsidRDefault="008C7751" w:rsidP="00E00B35">
      <w:pPr>
        <w:spacing w:after="0" w:line="312" w:lineRule="auto"/>
        <w:rPr>
          <w:szCs w:val="20"/>
        </w:rPr>
      </w:pPr>
      <w:r w:rsidRPr="00E00B35">
        <w:rPr>
          <w:szCs w:val="20"/>
        </w:rPr>
        <w:t>W bazie Giełdy Nieruchomości można było wybierać spośród ponad 200 ofert nieruchomości gruntowych zabudowanych i niezabudowanych oraz prawie 100 lokali mieszkalnych i użytkowych, na różnym etapie przygotowania do sprzedaży.</w:t>
      </w:r>
    </w:p>
    <w:p w:rsidR="008C7751" w:rsidRPr="00E00B35" w:rsidRDefault="008C7751" w:rsidP="00E00B35">
      <w:pPr>
        <w:spacing w:after="0" w:line="312" w:lineRule="auto"/>
        <w:rPr>
          <w:rFonts w:cs="Arial"/>
          <w:szCs w:val="20"/>
        </w:rPr>
      </w:pPr>
      <w:r w:rsidRPr="00E00B35">
        <w:rPr>
          <w:rFonts w:cs="Arial"/>
          <w:szCs w:val="20"/>
        </w:rPr>
        <w:lastRenderedPageBreak/>
        <w:t>W ramach obsługi klienta indywidualnego zanotowano ponad 2000 zapytań telefonicznych i wysłano blisko 2000 wiadomości mailowych.</w:t>
      </w:r>
    </w:p>
    <w:p w:rsidR="008C7751" w:rsidRPr="00E00B35" w:rsidRDefault="008C7751" w:rsidP="00E00B35">
      <w:pPr>
        <w:spacing w:after="0" w:line="312" w:lineRule="auto"/>
        <w:rPr>
          <w:szCs w:val="20"/>
        </w:rPr>
      </w:pPr>
      <w:r w:rsidRPr="00E00B35">
        <w:rPr>
          <w:szCs w:val="20"/>
        </w:rPr>
        <w:t xml:space="preserve">Zgodnie z przepisami </w:t>
      </w:r>
      <w:r w:rsidRPr="00E00B35">
        <w:rPr>
          <w:i/>
          <w:szCs w:val="20"/>
        </w:rPr>
        <w:t>Rozporządzenia Rady Ministrów w sprawie sposobu i trybu przeprowadzania przetargów oraz rokowań na zbycie nieruchomości</w:t>
      </w:r>
      <w:r w:rsidRPr="00E00B35">
        <w:rPr>
          <w:szCs w:val="20"/>
        </w:rPr>
        <w:t>, publikowano informacje o przetargach w codziennej prasie lokalnej i ogólnopolskiej oraz wywieszano ogłoszenia na tablicach w budynku Urzędu Miejskiego Wrocławia. Bezpośrednio w obrębie nieruchomości kierowanych do sprzedaży umieszczano tablice i banery informacyjne.</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SPRZEDAŻ LOKALI MIESZKALNYCH</w:t>
      </w:r>
    </w:p>
    <w:p w:rsidR="008C7751" w:rsidRPr="00E00B35" w:rsidRDefault="008C7751" w:rsidP="00E00B35">
      <w:pPr>
        <w:spacing w:after="0" w:line="312" w:lineRule="auto"/>
        <w:rPr>
          <w:rFonts w:eastAsia="Calibri"/>
          <w:szCs w:val="20"/>
        </w:rPr>
      </w:pPr>
      <w:r w:rsidRPr="00E00B35">
        <w:rPr>
          <w:rFonts w:eastAsia="Calibri"/>
          <w:szCs w:val="20"/>
        </w:rPr>
        <w:t>W opisywanym roku podejmowane działania odpowiadały nowym założeniom  wynikającym  z uchwały nr XV/420/19 Rady Miejskiej Wrocławia z dnia 21 listopada 2019 r. w sprawie „Wieloletniego programu gospodarowania mieszkaniowym zasobem Gminy Wrocław na lata 2020-2025”, która obowiązuje od dnia 1 stycznia 2020 r. Podobnie jak w latach ubiegłych sprzedaż lokali mieszkalnych następowała w trybie bezprzetargowym na rzecz najemców oraz przetargowym, przy czym w pierwszym przypadku stosowano bonifikaty od ceny sprzedaży w wysokości 98%, jeśli wskutek równoczesnej sprzedaży wszystkie mieszkania w budynku przestawały być własnością gminy oraz 90% w pozostałych przypadkach.</w:t>
      </w:r>
    </w:p>
    <w:p w:rsidR="008C7751" w:rsidRPr="00E00B35" w:rsidRDefault="008C7751" w:rsidP="00E00B35">
      <w:pPr>
        <w:spacing w:after="0" w:line="312" w:lineRule="auto"/>
        <w:rPr>
          <w:rFonts w:eastAsia="Calibri"/>
          <w:szCs w:val="20"/>
        </w:rPr>
      </w:pPr>
    </w:p>
    <w:p w:rsidR="008C7751" w:rsidRPr="00E00B35" w:rsidRDefault="008C7751" w:rsidP="00E00B35">
      <w:pPr>
        <w:spacing w:after="0" w:line="312" w:lineRule="auto"/>
        <w:rPr>
          <w:rFonts w:eastAsia="Calibri"/>
          <w:szCs w:val="20"/>
        </w:rPr>
      </w:pPr>
      <w:r w:rsidRPr="00E00B35">
        <w:rPr>
          <w:rFonts w:eastAsia="Calibri"/>
          <w:szCs w:val="20"/>
        </w:rPr>
        <w:t xml:space="preserve">Według stanu na dzień 31.12.2020 r. wielkość zasobu mieszkaniowego gminy Wrocław wynosiła 33 492 lokali mieszkalnych, w tym: </w:t>
      </w:r>
    </w:p>
    <w:p w:rsidR="008C7751" w:rsidRPr="00E00B35" w:rsidRDefault="008C7751" w:rsidP="00E00B35">
      <w:pPr>
        <w:numPr>
          <w:ilvl w:val="0"/>
          <w:numId w:val="131"/>
        </w:numPr>
        <w:spacing w:after="0" w:line="312" w:lineRule="auto"/>
        <w:rPr>
          <w:bCs/>
          <w:szCs w:val="20"/>
        </w:rPr>
      </w:pPr>
      <w:r w:rsidRPr="00E00B35">
        <w:rPr>
          <w:bCs/>
          <w:szCs w:val="20"/>
        </w:rPr>
        <w:t>12 417 lokali w 1 212 budynkach będących w 100% własnością gminy Wrocław;</w:t>
      </w:r>
    </w:p>
    <w:p w:rsidR="008C7751" w:rsidRPr="00E00B35" w:rsidRDefault="008C7751" w:rsidP="00E00B35">
      <w:pPr>
        <w:numPr>
          <w:ilvl w:val="0"/>
          <w:numId w:val="131"/>
        </w:numPr>
        <w:spacing w:after="0" w:line="312" w:lineRule="auto"/>
        <w:rPr>
          <w:bCs/>
          <w:szCs w:val="20"/>
        </w:rPr>
      </w:pPr>
      <w:r w:rsidRPr="00E00B35">
        <w:rPr>
          <w:bCs/>
          <w:szCs w:val="20"/>
        </w:rPr>
        <w:t>21 075 lokali w 3 906 budynkach wspólnotowych.</w:t>
      </w:r>
    </w:p>
    <w:p w:rsidR="008C7751" w:rsidRPr="00E00B35" w:rsidRDefault="008C7751" w:rsidP="00E00B35">
      <w:pPr>
        <w:spacing w:after="0" w:line="312" w:lineRule="auto"/>
        <w:rPr>
          <w:rFonts w:eastAsia="Calibri"/>
          <w:szCs w:val="20"/>
        </w:rPr>
      </w:pPr>
    </w:p>
    <w:p w:rsidR="008C7751" w:rsidRPr="00E00B35" w:rsidRDefault="008C7751" w:rsidP="00E00B35">
      <w:pPr>
        <w:spacing w:after="0" w:line="312" w:lineRule="auto"/>
        <w:rPr>
          <w:b/>
          <w:szCs w:val="20"/>
        </w:rPr>
      </w:pPr>
      <w:r w:rsidRPr="00E00B35">
        <w:rPr>
          <w:rFonts w:eastAsia="Calibri"/>
          <w:b/>
          <w:szCs w:val="20"/>
        </w:rPr>
        <w:t xml:space="preserve">Wielkość zasobu mieszkaniowego gminy Wrocław – stan na dzień 31.12.2020 r. </w:t>
      </w:r>
      <w:r w:rsidRPr="00E00B35">
        <w:rPr>
          <w:b/>
          <w:szCs w:val="20"/>
        </w:rPr>
        <w:t>(Źródło: UMW)</w:t>
      </w:r>
    </w:p>
    <w:p w:rsidR="008C7751" w:rsidRPr="00E00B35" w:rsidRDefault="008C7751" w:rsidP="00E00B35">
      <w:pPr>
        <w:spacing w:after="0" w:line="312" w:lineRule="auto"/>
        <w:rPr>
          <w:rFonts w:eastAsia="Calibri"/>
          <w:szCs w:val="20"/>
        </w:rPr>
      </w:pPr>
      <w:r w:rsidRPr="00E00B35">
        <w:rPr>
          <w:rFonts w:eastAsia="Calibri"/>
          <w:szCs w:val="20"/>
        </w:rPr>
        <w:t>Lokale mieszkalne w 3 906 budynkach wspólnotowych – 21 075</w:t>
      </w:r>
    </w:p>
    <w:p w:rsidR="008C7751" w:rsidRPr="00E00B35" w:rsidRDefault="008C7751" w:rsidP="00E00B35">
      <w:pPr>
        <w:spacing w:after="0" w:line="312" w:lineRule="auto"/>
        <w:rPr>
          <w:rFonts w:eastAsia="Calibri"/>
          <w:szCs w:val="20"/>
        </w:rPr>
      </w:pPr>
      <w:r w:rsidRPr="00E00B35">
        <w:rPr>
          <w:rFonts w:eastAsia="Calibri"/>
          <w:szCs w:val="20"/>
        </w:rPr>
        <w:t>Lokale mieszkalne w 1 212 budynkach 100% gminnych – 12 417</w:t>
      </w:r>
    </w:p>
    <w:p w:rsidR="008C7751" w:rsidRPr="00E00B35" w:rsidRDefault="008C7751" w:rsidP="00E00B35">
      <w:pPr>
        <w:spacing w:after="0" w:line="312" w:lineRule="auto"/>
        <w:rPr>
          <w:rFonts w:eastAsia="Calibri"/>
          <w:szCs w:val="20"/>
        </w:rPr>
      </w:pPr>
    </w:p>
    <w:p w:rsidR="008C7751" w:rsidRPr="00E00B35" w:rsidRDefault="008C7751" w:rsidP="00E00B35">
      <w:pPr>
        <w:spacing w:after="0" w:line="312" w:lineRule="auto"/>
        <w:rPr>
          <w:rFonts w:eastAsia="Calibri"/>
          <w:szCs w:val="20"/>
        </w:rPr>
      </w:pPr>
      <w:r w:rsidRPr="00E00B35">
        <w:rPr>
          <w:rFonts w:eastAsia="Calibri"/>
          <w:szCs w:val="20"/>
        </w:rPr>
        <w:t xml:space="preserve">Sprzedano </w:t>
      </w:r>
      <w:r w:rsidRPr="00E00B35">
        <w:rPr>
          <w:rFonts w:eastAsia="Calibri"/>
          <w:b/>
          <w:szCs w:val="20"/>
        </w:rPr>
        <w:t>443</w:t>
      </w:r>
      <w:r w:rsidRPr="00E00B35">
        <w:rPr>
          <w:rFonts w:eastAsia="Calibri"/>
          <w:szCs w:val="20"/>
        </w:rPr>
        <w:t xml:space="preserve"> lokale mieszkalne w domach wielolokalowych i jednorodzinnych domach mieszkalnych, w tym:</w:t>
      </w:r>
    </w:p>
    <w:p w:rsidR="008C7751" w:rsidRPr="00E00B35" w:rsidRDefault="008C7751" w:rsidP="00E00B35">
      <w:pPr>
        <w:numPr>
          <w:ilvl w:val="0"/>
          <w:numId w:val="131"/>
        </w:numPr>
        <w:spacing w:after="0" w:line="312" w:lineRule="auto"/>
        <w:rPr>
          <w:bCs/>
          <w:szCs w:val="20"/>
        </w:rPr>
      </w:pPr>
      <w:r w:rsidRPr="00E00B35">
        <w:rPr>
          <w:bCs/>
          <w:szCs w:val="20"/>
        </w:rPr>
        <w:t>394 lokale mieszkalne w trybie bezprzetargowym na rzecz dotychczasowych najemców;</w:t>
      </w:r>
    </w:p>
    <w:p w:rsidR="008C7751" w:rsidRPr="00E00B35" w:rsidRDefault="008C7751" w:rsidP="00E00B35">
      <w:pPr>
        <w:numPr>
          <w:ilvl w:val="0"/>
          <w:numId w:val="131"/>
        </w:numPr>
        <w:spacing w:after="0" w:line="312" w:lineRule="auto"/>
        <w:rPr>
          <w:bCs/>
          <w:szCs w:val="20"/>
        </w:rPr>
      </w:pPr>
      <w:r w:rsidRPr="00E00B35">
        <w:rPr>
          <w:bCs/>
          <w:szCs w:val="20"/>
        </w:rPr>
        <w:t>48 wolnych lokali mieszkalnych w trybie przetargowym;</w:t>
      </w:r>
    </w:p>
    <w:p w:rsidR="008C7751" w:rsidRPr="00E00B35" w:rsidRDefault="008C7751" w:rsidP="00E00B35">
      <w:pPr>
        <w:numPr>
          <w:ilvl w:val="0"/>
          <w:numId w:val="131"/>
        </w:numPr>
        <w:spacing w:after="0" w:line="312" w:lineRule="auto"/>
        <w:rPr>
          <w:bCs/>
          <w:szCs w:val="20"/>
        </w:rPr>
      </w:pPr>
      <w:r w:rsidRPr="00E00B35">
        <w:rPr>
          <w:bCs/>
          <w:szCs w:val="20"/>
        </w:rPr>
        <w:t>1 umowa sprzedaży udziału w spółdzielczym własnościowym prawie do lokalu.</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rFonts w:eastAsia="Calibri"/>
          <w:b/>
          <w:szCs w:val="20"/>
        </w:rPr>
        <w:t xml:space="preserve">Dochód i liczba sprzedanych lokali mieszkalnych w latach 2017-2020 </w:t>
      </w:r>
      <w:r w:rsidRPr="00E00B35">
        <w:rPr>
          <w:b/>
          <w:szCs w:val="20"/>
        </w:rPr>
        <w:t>(Źródło: UMW)</w:t>
      </w:r>
    </w:p>
    <w:p w:rsidR="008C7751" w:rsidRPr="00E00B35" w:rsidRDefault="008C7751" w:rsidP="00E00B35">
      <w:pPr>
        <w:spacing w:after="0" w:line="312" w:lineRule="auto"/>
        <w:rPr>
          <w:rFonts w:cs="Arial"/>
          <w:bCs/>
          <w:color w:val="000000"/>
          <w:szCs w:val="20"/>
        </w:rPr>
      </w:pPr>
      <w:r w:rsidRPr="00E00B35">
        <w:rPr>
          <w:rFonts w:cs="Arial"/>
          <w:bCs/>
          <w:color w:val="000000"/>
          <w:szCs w:val="20"/>
        </w:rPr>
        <w:t>Liczba sprzedanych lokali mieszkalnych [szt.] w 2017 r. – 725, w 2018 r. – 809, w 2019 r. – 429, w 2020 r. – 443.</w:t>
      </w:r>
    </w:p>
    <w:p w:rsidR="008C7751" w:rsidRPr="00E00B35" w:rsidRDefault="008C7751" w:rsidP="00E00B35">
      <w:pPr>
        <w:spacing w:after="0" w:line="312" w:lineRule="auto"/>
        <w:rPr>
          <w:rFonts w:cs="Arial"/>
          <w:color w:val="000000"/>
          <w:szCs w:val="20"/>
        </w:rPr>
      </w:pPr>
      <w:r w:rsidRPr="00E00B35">
        <w:rPr>
          <w:rFonts w:cs="Arial"/>
          <w:bCs/>
          <w:color w:val="000000"/>
          <w:szCs w:val="20"/>
        </w:rPr>
        <w:t xml:space="preserve">Dochód na podstawie podpisanych aktów notarialnych [mln. zł] w 2017 r. - </w:t>
      </w:r>
      <w:r w:rsidRPr="00E00B35">
        <w:rPr>
          <w:rFonts w:cs="Arial"/>
          <w:color w:val="000000"/>
          <w:szCs w:val="20"/>
        </w:rPr>
        <w:t>31,94717074, w 2018 r. - 39,52957613, w 2019 r. - 26,17302225, w 2020 r. - 35,01231200.</w:t>
      </w:r>
    </w:p>
    <w:p w:rsidR="008C7751" w:rsidRPr="00E00B35" w:rsidRDefault="008C7751" w:rsidP="00E00B35">
      <w:pPr>
        <w:spacing w:after="0" w:line="312" w:lineRule="auto"/>
        <w:rPr>
          <w:rFonts w:eastAsia="Calibri"/>
          <w:szCs w:val="20"/>
        </w:rPr>
      </w:pPr>
    </w:p>
    <w:p w:rsidR="008C7751" w:rsidRPr="00E00B35" w:rsidRDefault="008C7751" w:rsidP="00E00B35">
      <w:pPr>
        <w:spacing w:after="0" w:line="312" w:lineRule="auto"/>
        <w:rPr>
          <w:rFonts w:eastAsia="Calibri"/>
          <w:b/>
          <w:szCs w:val="20"/>
        </w:rPr>
      </w:pPr>
      <w:r w:rsidRPr="00E00B35">
        <w:rPr>
          <w:rFonts w:eastAsia="Calibri"/>
          <w:b/>
          <w:szCs w:val="20"/>
        </w:rPr>
        <w:t xml:space="preserve">Dochód i liczba sprzedanych lokali mieszkalnych w latach 2017-2020 </w:t>
      </w:r>
      <w:r w:rsidRPr="00E00B35">
        <w:rPr>
          <w:b/>
          <w:szCs w:val="20"/>
        </w:rPr>
        <w:t>(Źródło: UMW)</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b/>
          <w:caps/>
          <w:noProof/>
          <w:szCs w:val="20"/>
        </w:rPr>
      </w:pPr>
      <w:r w:rsidRPr="00E00B35">
        <w:rPr>
          <w:b/>
          <w:caps/>
          <w:noProof/>
          <w:szCs w:val="20"/>
          <w:lang w:val="pl-PL" w:eastAsia="pl-PL" w:bidi="ar-SA"/>
        </w:rPr>
        <w:drawing>
          <wp:inline distT="0" distB="0" distL="0" distR="0">
            <wp:extent cx="4848225" cy="2724150"/>
            <wp:effectExtent l="0" t="0" r="0" b="0"/>
            <wp:docPr id="9" name="Wykres 1" descr="Dochód i liczba sprzedanych lokali mieszkalnych w latach 2017-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descr="Dochód i liczba sprzedanych lokali mieszkalnych w latach 2017-2020."/>
                    <pic:cNvPicPr>
                      <a:picLocks noChangeArrowheads="1"/>
                    </pic:cNvPicPr>
                  </pic:nvPicPr>
                  <pic:blipFill>
                    <a:blip r:embed="rId26" cstate="print"/>
                    <a:srcRect l="-1877" t="-2908" r="-3520" b="-6836"/>
                    <a:stretch>
                      <a:fillRect/>
                    </a:stretch>
                  </pic:blipFill>
                  <pic:spPr bwMode="auto">
                    <a:xfrm>
                      <a:off x="0" y="0"/>
                      <a:ext cx="4848225" cy="2724150"/>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szCs w:val="20"/>
        </w:rPr>
      </w:pPr>
    </w:p>
    <w:p w:rsidR="008C7751" w:rsidRPr="00E00B35" w:rsidRDefault="008C7751" w:rsidP="00E00B35">
      <w:pPr>
        <w:spacing w:after="0" w:line="312" w:lineRule="auto"/>
        <w:rPr>
          <w:rFonts w:eastAsia="Calibri"/>
          <w:b/>
          <w:szCs w:val="20"/>
        </w:rPr>
      </w:pPr>
      <w:r w:rsidRPr="00E00B35">
        <w:rPr>
          <w:rFonts w:eastAsia="Calibri"/>
          <w:b/>
          <w:szCs w:val="20"/>
        </w:rPr>
        <w:t>Rozkład transakcji sprzedaży lokali mieszkalnych w obrębach Wrocławia w 2020 r. (Źródło: UMW)</w:t>
      </w:r>
    </w:p>
    <w:p w:rsidR="008C7751" w:rsidRPr="00E00B35" w:rsidRDefault="008C7751" w:rsidP="00E00B35">
      <w:pPr>
        <w:pStyle w:val="Tekstpodstawowy"/>
        <w:suppressAutoHyphens/>
        <w:spacing w:after="0" w:line="312" w:lineRule="auto"/>
        <w:rPr>
          <w:rFonts w:eastAsia="Calibri"/>
          <w:b/>
          <w:caps/>
          <w:szCs w:val="20"/>
        </w:rPr>
      </w:pPr>
      <w:r w:rsidRPr="00E00B35">
        <w:rPr>
          <w:rFonts w:eastAsia="Calibri"/>
          <w:b/>
          <w:caps/>
          <w:noProof/>
          <w:szCs w:val="20"/>
          <w:lang w:val="pl-PL" w:eastAsia="pl-PL" w:bidi="ar-SA"/>
        </w:rPr>
        <w:drawing>
          <wp:inline distT="0" distB="0" distL="0" distR="0">
            <wp:extent cx="6219825" cy="4362450"/>
            <wp:effectExtent l="19050" t="0" r="9525" b="0"/>
            <wp:docPr id="8" name="Obraz 1" descr="Rozkład transakcji sprzedaży lokali mieszkalnych w obrębach Wrocławia w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Rozkład transakcji sprzedaży lokali mieszkalnych w obrębach Wrocławia w 2020 r."/>
                    <pic:cNvPicPr>
                      <a:picLocks noChangeAspect="1" noChangeArrowheads="1"/>
                    </pic:cNvPicPr>
                  </pic:nvPicPr>
                  <pic:blipFill>
                    <a:blip r:embed="rId27" cstate="print"/>
                    <a:srcRect/>
                    <a:stretch>
                      <a:fillRect/>
                    </a:stretch>
                  </pic:blipFill>
                  <pic:spPr bwMode="auto">
                    <a:xfrm>
                      <a:off x="0" y="0"/>
                      <a:ext cx="6219825" cy="4362450"/>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p>
    <w:p w:rsidR="008C7751" w:rsidRPr="00E00B35" w:rsidRDefault="008C7751" w:rsidP="00E00B35">
      <w:pPr>
        <w:pStyle w:val="Nagwek3"/>
        <w:spacing w:after="0" w:line="312" w:lineRule="auto"/>
        <w:rPr>
          <w:rFonts w:eastAsia="Calibri"/>
          <w:sz w:val="20"/>
        </w:rPr>
      </w:pPr>
      <w:r w:rsidRPr="00E00B35">
        <w:rPr>
          <w:rFonts w:eastAsia="Calibri"/>
          <w:sz w:val="20"/>
        </w:rPr>
        <w:t>Sprzedaż lokali mieszkalnych w trybie bezprzetargowym</w:t>
      </w:r>
    </w:p>
    <w:p w:rsidR="008C7751" w:rsidRPr="00E00B35" w:rsidRDefault="008C7751" w:rsidP="00E00B35">
      <w:pPr>
        <w:spacing w:after="0" w:line="312" w:lineRule="auto"/>
        <w:rPr>
          <w:szCs w:val="20"/>
        </w:rPr>
      </w:pPr>
      <w:r w:rsidRPr="00E00B35">
        <w:rPr>
          <w:szCs w:val="20"/>
        </w:rPr>
        <w:t>W 2020 r. liczba sprzedanych lokali na rzecz najemców kształtowała się niemal na identycznym poziomie jak w roku 2019. Pomimo podobnej ilości sprzedanych lokali odnotowano wzrost dochodów z tego tytułu, który wynikał przede wszystkim ze wzrostu średniej ceny jednego metra kwadratowego.</w:t>
      </w:r>
    </w:p>
    <w:p w:rsidR="008C7751" w:rsidRPr="00E00B35" w:rsidRDefault="008C7751" w:rsidP="00E00B35">
      <w:pPr>
        <w:spacing w:after="0" w:line="312" w:lineRule="auto"/>
        <w:rPr>
          <w:szCs w:val="20"/>
        </w:rPr>
      </w:pPr>
      <w:r w:rsidRPr="00E00B35">
        <w:rPr>
          <w:szCs w:val="20"/>
        </w:rPr>
        <w:t>Prowadzenie postępowań na podstawie przepisów ustawy z dnia 20 lipca 2018 r.o przekształceniu prawa użytkowania wieczystego gruntów zabudowanych na cele mieszkaniowe w prawo własności tych gruntów ma bezpośredni wpływ na wielkość sprzedaży, gdyż możliwość prywatyzacji znacznej części gminnego zasobu lokali mieszkalnych została ograniczona do czasu potwierdzenia w księgach wieczystych faktu przekształcenia. Warto zaznaczyć, że przedmiotowe ograniczenie ma charakter czasowy i w kolejnych latach nie będzie tak znacząco oddziaływać na wielkość sprzedaży.</w:t>
      </w:r>
    </w:p>
    <w:p w:rsidR="008C7751" w:rsidRPr="00E00B35" w:rsidRDefault="008C7751" w:rsidP="00E00B35">
      <w:pPr>
        <w:spacing w:after="0" w:line="312" w:lineRule="auto"/>
        <w:rPr>
          <w:szCs w:val="20"/>
        </w:rPr>
      </w:pPr>
      <w:r w:rsidRPr="00E00B35">
        <w:rPr>
          <w:szCs w:val="20"/>
        </w:rPr>
        <w:t>W roku sprawozdawczym wpłynęło 1 675 wniosków o wykup lokalu mieszkalnego, czyli o 28% więcej niż w 2019 r.</w:t>
      </w:r>
    </w:p>
    <w:p w:rsidR="008C7751" w:rsidRPr="00E00B35" w:rsidRDefault="008C7751" w:rsidP="00E00B35">
      <w:pPr>
        <w:spacing w:after="0" w:line="312" w:lineRule="auto"/>
        <w:rPr>
          <w:szCs w:val="20"/>
        </w:rPr>
      </w:pPr>
      <w:r w:rsidRPr="00E00B35">
        <w:rPr>
          <w:rFonts w:eastAsia="Calibri"/>
          <w:szCs w:val="20"/>
        </w:rPr>
        <w:t>Średnia cena nabycia przez najemcę lokalu mieszkalnego po udzieleniu bonifikaty, kształtowała się na poziomie 37 923,94 zł. Należy zwrócić uwagę, że rok 2020 był kolejnym rokiem, w którym wzrosła średnia cena 1m</w:t>
      </w:r>
      <w:r w:rsidRPr="00E00B35">
        <w:rPr>
          <w:rFonts w:eastAsia="Calibri"/>
          <w:szCs w:val="20"/>
          <w:vertAlign w:val="superscript"/>
        </w:rPr>
        <w:t>2</w:t>
      </w:r>
      <w:r w:rsidRPr="00E00B35">
        <w:rPr>
          <w:rFonts w:eastAsia="Calibri"/>
          <w:szCs w:val="20"/>
        </w:rPr>
        <w:t xml:space="preserve"> lokalu mieszkalnego i wyniosła </w:t>
      </w:r>
      <w:r w:rsidRPr="00E00B35">
        <w:rPr>
          <w:szCs w:val="20"/>
        </w:rPr>
        <w:t>5 728,58 zł.</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b/>
          <w:szCs w:val="20"/>
        </w:rPr>
      </w:pPr>
      <w:r w:rsidRPr="00E00B35">
        <w:rPr>
          <w:b/>
          <w:szCs w:val="20"/>
        </w:rPr>
        <w:t>Średnia cena 1m² lokalu mieszkalnego według wyceny w latach 2017-2020 (Źródło: UMW)</w:t>
      </w:r>
    </w:p>
    <w:p w:rsidR="008C7751" w:rsidRPr="00E00B35" w:rsidRDefault="008C7751" w:rsidP="00E00B35">
      <w:pPr>
        <w:spacing w:after="0" w:line="312" w:lineRule="auto"/>
        <w:rPr>
          <w:rFonts w:eastAsia="Calibri" w:cs="Segoe UI"/>
          <w:szCs w:val="20"/>
        </w:rPr>
      </w:pPr>
      <w:r w:rsidRPr="00E00B35">
        <w:rPr>
          <w:szCs w:val="20"/>
        </w:rPr>
        <w:t>Średnia wartość 1 m</w:t>
      </w:r>
      <w:r w:rsidRPr="00E00B35">
        <w:rPr>
          <w:rFonts w:eastAsia="Calibri" w:cs="Segoe UI"/>
          <w:szCs w:val="20"/>
        </w:rPr>
        <w:t>² lokalu mieszkalnego według ceny [zł] w 2017 r. – 4 532, w 2018 r. – 4 821, w 2019 r. – 5 118, w 2020 r. – 5 729.</w:t>
      </w:r>
    </w:p>
    <w:p w:rsidR="008C7751" w:rsidRPr="00E00B35" w:rsidRDefault="008C7751" w:rsidP="00E00B35">
      <w:pPr>
        <w:spacing w:after="0" w:line="312" w:lineRule="auto"/>
        <w:rPr>
          <w:rFonts w:eastAsia="Calibri"/>
          <w:szCs w:val="20"/>
        </w:rPr>
      </w:pPr>
      <w:r w:rsidRPr="00E00B35">
        <w:rPr>
          <w:rFonts w:eastAsia="Calibri"/>
          <w:szCs w:val="20"/>
        </w:rPr>
        <w:t>W ramach realizacji uchwały nr XV/272/15 Rady Miejskiej Wrocławia z dnia 3 września 2015 r. w sprawie zasad gospodarowania nieruchomościami stanowiącymi własność gminy Wrocław w przypadku 328 sprzedanych lokali obniżono bonifikatę o 0,3% za każde pełne 1 000 zł nakładów Miasta w udziale przypadającym na sprzedawany lokal, w którym po dniu 01.01.2009 r. został zakończony remont. Z tego tytułu Miasto odzyskało zainwestowane środki w wysokości 3 602 889 zł.</w:t>
      </w:r>
    </w:p>
    <w:p w:rsidR="008C7751" w:rsidRPr="00E00B35" w:rsidRDefault="008C7751" w:rsidP="00E00B35">
      <w:pPr>
        <w:spacing w:after="0" w:line="312" w:lineRule="auto"/>
        <w:rPr>
          <w:rFonts w:eastAsia="Calibri"/>
          <w:szCs w:val="20"/>
        </w:rPr>
      </w:pPr>
      <w:r w:rsidRPr="00E00B35">
        <w:rPr>
          <w:rFonts w:eastAsia="Calibri"/>
          <w:szCs w:val="20"/>
        </w:rPr>
        <w:t>Powierzchnia lokali mieszkalnych zbywanych na rzecz najemców mieściła się w przedziale 19 - 128 m², przeważały mieszkania o średniej wielkości od 30 do 70 m².</w:t>
      </w:r>
    </w:p>
    <w:p w:rsidR="008C7751" w:rsidRPr="00E00B35" w:rsidRDefault="008C7751" w:rsidP="00E00B35">
      <w:pPr>
        <w:spacing w:after="0" w:line="312" w:lineRule="auto"/>
        <w:rPr>
          <w:rFonts w:eastAsia="Calibri"/>
          <w:szCs w:val="20"/>
        </w:rPr>
      </w:pPr>
    </w:p>
    <w:p w:rsidR="008C7751" w:rsidRPr="00E00B35" w:rsidRDefault="008C7751" w:rsidP="00E00B35">
      <w:pPr>
        <w:spacing w:after="0" w:line="312" w:lineRule="auto"/>
        <w:rPr>
          <w:b/>
          <w:szCs w:val="20"/>
        </w:rPr>
      </w:pPr>
      <w:r w:rsidRPr="00E00B35">
        <w:rPr>
          <w:rFonts w:eastAsia="Calibri"/>
          <w:b/>
          <w:szCs w:val="20"/>
        </w:rPr>
        <w:t xml:space="preserve">Zestawienie średnich cen 1m² oraz liczby lokali sprzedanych na rzecz najemców  w 2020 r. w podziale na dzielnice </w:t>
      </w:r>
      <w:r w:rsidRPr="00E00B35">
        <w:rPr>
          <w:b/>
          <w:szCs w:val="20"/>
        </w:rPr>
        <w:t>(Źródło: UMW)</w:t>
      </w:r>
    </w:p>
    <w:p w:rsidR="008C7751" w:rsidRPr="00E00B35" w:rsidRDefault="008C7751" w:rsidP="00E00B35">
      <w:pPr>
        <w:spacing w:after="0" w:line="312" w:lineRule="auto"/>
        <w:rPr>
          <w:rFonts w:eastAsia="Calibri"/>
          <w:bCs/>
          <w:szCs w:val="20"/>
        </w:rPr>
      </w:pPr>
      <w:r w:rsidRPr="00E00B35">
        <w:rPr>
          <w:rFonts w:cs="Arial"/>
          <w:bCs/>
          <w:szCs w:val="20"/>
        </w:rPr>
        <w:t xml:space="preserve">Średnia cena </w:t>
      </w:r>
      <w:r w:rsidRPr="00E00B35">
        <w:rPr>
          <w:rFonts w:eastAsia="Calibri"/>
          <w:bCs/>
          <w:szCs w:val="20"/>
        </w:rPr>
        <w:t>[zł/1m²]: Stare Miasto – 7 179,10, Śródmieście – 5 574,51, Krzyki – 5 462,03, Fabryczna – 5 661,70, Psie Pole – 5 138,83, Wrocław – 5 728,58</w:t>
      </w:r>
    </w:p>
    <w:p w:rsidR="008C7751" w:rsidRPr="00E00B35" w:rsidRDefault="008C7751" w:rsidP="00E00B35">
      <w:pPr>
        <w:spacing w:after="0" w:line="312" w:lineRule="auto"/>
        <w:rPr>
          <w:rFonts w:eastAsia="Calibri"/>
          <w:bCs/>
          <w:szCs w:val="20"/>
        </w:rPr>
      </w:pPr>
      <w:r w:rsidRPr="00E00B35">
        <w:rPr>
          <w:rFonts w:eastAsia="Calibri" w:cs="Arial"/>
          <w:bCs/>
          <w:szCs w:val="20"/>
        </w:rPr>
        <w:t xml:space="preserve">Liczba lokali sprzedanych na rzecz najemców: </w:t>
      </w:r>
      <w:r w:rsidRPr="00E00B35">
        <w:rPr>
          <w:rFonts w:eastAsia="Calibri"/>
          <w:bCs/>
          <w:szCs w:val="20"/>
        </w:rPr>
        <w:t>Stare Miasto – 50, Śródmieście 143, Krzyki – 107, Fabryczna – 64, Psie Pole – 30, Wrocław – 394</w:t>
      </w:r>
    </w:p>
    <w:p w:rsidR="008C7751" w:rsidRPr="00E00B35" w:rsidRDefault="008C7751" w:rsidP="00E00B35">
      <w:pPr>
        <w:spacing w:after="0" w:line="312" w:lineRule="auto"/>
        <w:rPr>
          <w:rFonts w:eastAsia="Calibri"/>
          <w:szCs w:val="20"/>
        </w:rPr>
      </w:pPr>
    </w:p>
    <w:p w:rsidR="008C7751" w:rsidRPr="00E00B35" w:rsidRDefault="008C7751" w:rsidP="00E00B35">
      <w:pPr>
        <w:spacing w:after="0" w:line="312" w:lineRule="auto"/>
        <w:rPr>
          <w:rFonts w:eastAsia="Calibri"/>
          <w:szCs w:val="20"/>
        </w:rPr>
      </w:pPr>
      <w:r w:rsidRPr="00E00B35">
        <w:rPr>
          <w:rFonts w:eastAsia="Calibri"/>
          <w:szCs w:val="20"/>
        </w:rPr>
        <w:t>Średnia cena 1m² lokalu w stosunku do ubiegłego roku wzrosła o 12%. Zmiana jest najbardziej widoczna w dzielnicach Fabryczna i Stare Miasto.</w:t>
      </w:r>
    </w:p>
    <w:p w:rsidR="008C7751" w:rsidRPr="00E00B35" w:rsidRDefault="008C7751" w:rsidP="00E00B35">
      <w:pPr>
        <w:spacing w:after="0" w:line="312" w:lineRule="auto"/>
        <w:rPr>
          <w:rFonts w:eastAsia="Calibri"/>
          <w:szCs w:val="20"/>
        </w:rPr>
      </w:pPr>
      <w:r w:rsidRPr="00E00B35">
        <w:rPr>
          <w:rFonts w:eastAsia="Calibri"/>
          <w:szCs w:val="20"/>
        </w:rPr>
        <w:lastRenderedPageBreak/>
        <w:t>Sukcesywnie realizowane jest wychodzenie przez gminę Wrocław ze wspólnot mieszkaniowych. W roku sprawozdawczym liczba budynków z udziałem gminy zmniejszyła się o kolejne 15. Zwaloryzowaną kaucję mieszkaniową zaliczono 27 nabywcom o łącznej wartości 56 679,57 złotych.</w:t>
      </w:r>
    </w:p>
    <w:p w:rsidR="008C7751" w:rsidRPr="00E00B35" w:rsidRDefault="008C7751" w:rsidP="00E00B35">
      <w:pPr>
        <w:spacing w:after="0" w:line="312" w:lineRule="auto"/>
        <w:rPr>
          <w:rFonts w:eastAsia="Calibri"/>
          <w:szCs w:val="20"/>
          <w:highlight w:val="yellow"/>
        </w:rPr>
      </w:pPr>
    </w:p>
    <w:p w:rsidR="008C7751" w:rsidRPr="00E00B35" w:rsidRDefault="008C7751" w:rsidP="00E00B35">
      <w:pPr>
        <w:pStyle w:val="Nagwek5"/>
        <w:rPr>
          <w:szCs w:val="20"/>
        </w:rPr>
      </w:pPr>
      <w:r w:rsidRPr="00E00B35">
        <w:rPr>
          <w:szCs w:val="20"/>
        </w:rPr>
        <w:t>Sprzedaż lokali mieszkalnych w trybie przetargowym</w:t>
      </w:r>
    </w:p>
    <w:p w:rsidR="008C7751" w:rsidRPr="00E00B35" w:rsidRDefault="008C7751" w:rsidP="00E00B35">
      <w:pPr>
        <w:spacing w:after="0" w:line="312" w:lineRule="auto"/>
        <w:rPr>
          <w:szCs w:val="20"/>
        </w:rPr>
      </w:pPr>
      <w:r w:rsidRPr="00E00B35">
        <w:rPr>
          <w:szCs w:val="20"/>
        </w:rPr>
        <w:t xml:space="preserve">W 2020 r. przeprowadzono </w:t>
      </w:r>
      <w:r w:rsidRPr="00E00B35">
        <w:rPr>
          <w:b/>
          <w:szCs w:val="20"/>
        </w:rPr>
        <w:t>82</w:t>
      </w:r>
      <w:r w:rsidRPr="00E00B35">
        <w:rPr>
          <w:szCs w:val="20"/>
        </w:rPr>
        <w:t xml:space="preserve"> przetargi na sprzedaż </w:t>
      </w:r>
      <w:r w:rsidRPr="00E00B35">
        <w:rPr>
          <w:rFonts w:eastAsia="Calibri"/>
          <w:szCs w:val="20"/>
        </w:rPr>
        <w:t xml:space="preserve">lokali mieszkalnych. To największa liczba przetargów od 2016 r.  (dla porównania: w 2019 r. – 36, w 2018 – 58). Łącznie uczestniczyło w nich 262 licytantów - podobnie do 2019 r. (279), przy  czym przetargów było ponad dwukrotnie więcej, co daje znacznie niższą frekwencję (w 2019 r. w jednym przetargu uczestniczyło średnio 7,75 osób, w 2020 – 3,20). Dodatkowo, biorąc pod uwagę fakt, że zaledwie 58% przetargów zakończyło się wyłonieniem nabywcy (w 2019 r. – 80%), można mówić o spadku zainteresowania nabywców gminnymi lokalami mieszkalnymi wystawianymi na licytacje, co przełożyło się na uzyskiwane ceny.  </w:t>
      </w:r>
    </w:p>
    <w:p w:rsidR="008C7751" w:rsidRPr="00E00B35" w:rsidRDefault="008C7751" w:rsidP="00E00B35">
      <w:pPr>
        <w:spacing w:after="0" w:line="312" w:lineRule="auto"/>
        <w:rPr>
          <w:szCs w:val="20"/>
        </w:rPr>
      </w:pPr>
      <w:r w:rsidRPr="00E00B35">
        <w:rPr>
          <w:szCs w:val="20"/>
        </w:rPr>
        <w:t>W wyniku przeprowadzonych przetargów sprzedano</w:t>
      </w:r>
      <w:r w:rsidRPr="00E00B35">
        <w:rPr>
          <w:rFonts w:eastAsia="Calibri"/>
          <w:szCs w:val="20"/>
        </w:rPr>
        <w:t xml:space="preserve"> </w:t>
      </w:r>
      <w:r w:rsidRPr="00E00B35">
        <w:rPr>
          <w:rFonts w:eastAsia="Calibri"/>
          <w:b/>
          <w:szCs w:val="20"/>
        </w:rPr>
        <w:t>48</w:t>
      </w:r>
      <w:r w:rsidRPr="00E00B35">
        <w:rPr>
          <w:rFonts w:eastAsia="Calibri"/>
          <w:szCs w:val="20"/>
        </w:rPr>
        <w:t xml:space="preserve"> lokali mieszkalnych o łącznej powierzchni 3 359,65 m</w:t>
      </w:r>
      <w:r w:rsidRPr="00E00B35">
        <w:rPr>
          <w:rFonts w:eastAsia="Calibri"/>
          <w:szCs w:val="20"/>
          <w:vertAlign w:val="superscript"/>
        </w:rPr>
        <w:t>2</w:t>
      </w:r>
      <w:r w:rsidRPr="00E00B35">
        <w:rPr>
          <w:rFonts w:eastAsia="Calibri"/>
          <w:szCs w:val="20"/>
        </w:rPr>
        <w:t xml:space="preserve">, a dochód z tego tytułu wyniósł </w:t>
      </w:r>
      <w:r w:rsidRPr="00E00B35">
        <w:rPr>
          <w:szCs w:val="20"/>
        </w:rPr>
        <w:t xml:space="preserve">19 926 881 </w:t>
      </w:r>
      <w:r w:rsidRPr="00E00B35">
        <w:rPr>
          <w:rFonts w:eastAsia="Calibri"/>
          <w:szCs w:val="20"/>
        </w:rPr>
        <w:t xml:space="preserve">zł. </w:t>
      </w:r>
      <w:r w:rsidRPr="00E00B35">
        <w:rPr>
          <w:rFonts w:cs="Verdana"/>
          <w:szCs w:val="20"/>
        </w:rPr>
        <w:t>Wpływy uzyskane z ich sprzedaży stanowią aż 57% uzyskanych dochodów ze sprzedaży lokali mieszkalnych</w:t>
      </w:r>
      <w:r w:rsidRPr="00E00B35">
        <w:rPr>
          <w:rFonts w:eastAsia="Calibri"/>
          <w:szCs w:val="20"/>
        </w:rPr>
        <w:t xml:space="preserve">. Uzyskane ceny mieściły się w przedziale od </w:t>
      </w:r>
      <w:r w:rsidRPr="00E00B35">
        <w:rPr>
          <w:szCs w:val="20"/>
        </w:rPr>
        <w:t xml:space="preserve">2 902,77 </w:t>
      </w:r>
      <w:r w:rsidRPr="00E00B35">
        <w:rPr>
          <w:rFonts w:eastAsia="Calibri"/>
          <w:szCs w:val="20"/>
        </w:rPr>
        <w:t>zł/m</w:t>
      </w:r>
      <w:r w:rsidRPr="00E00B35">
        <w:rPr>
          <w:rFonts w:eastAsia="Calibri"/>
          <w:szCs w:val="20"/>
          <w:vertAlign w:val="superscript"/>
        </w:rPr>
        <w:t xml:space="preserve">2 </w:t>
      </w:r>
      <w:r w:rsidRPr="00E00B35">
        <w:rPr>
          <w:rFonts w:eastAsia="Calibri"/>
          <w:szCs w:val="20"/>
        </w:rPr>
        <w:t>do 10 320,81 zł/m</w:t>
      </w:r>
      <w:r w:rsidRPr="00E00B35">
        <w:rPr>
          <w:rFonts w:eastAsia="Calibri"/>
          <w:szCs w:val="20"/>
          <w:vertAlign w:val="superscript"/>
        </w:rPr>
        <w:t>2</w:t>
      </w:r>
      <w:r w:rsidRPr="00E00B35">
        <w:rPr>
          <w:rFonts w:eastAsia="Calibri"/>
          <w:szCs w:val="20"/>
        </w:rPr>
        <w:t>.</w:t>
      </w:r>
    </w:p>
    <w:p w:rsidR="008C7751" w:rsidRPr="00E00B35" w:rsidRDefault="008C7751" w:rsidP="00E00B35">
      <w:pPr>
        <w:spacing w:after="0" w:line="312" w:lineRule="auto"/>
        <w:rPr>
          <w:szCs w:val="20"/>
        </w:rPr>
      </w:pPr>
      <w:r w:rsidRPr="00E00B35">
        <w:rPr>
          <w:szCs w:val="20"/>
        </w:rPr>
        <w:t>Największym zainteresowaniem cieszyły się przetargi na sprzedaż lokali mieszkalnych,</w:t>
      </w:r>
      <w:r w:rsidRPr="00E00B35">
        <w:rPr>
          <w:bCs/>
          <w:szCs w:val="20"/>
        </w:rPr>
        <w:t xml:space="preserve"> położonych przy:</w:t>
      </w:r>
    </w:p>
    <w:p w:rsidR="008C7751" w:rsidRPr="00E00B35" w:rsidRDefault="008C7751" w:rsidP="00E00B35">
      <w:pPr>
        <w:numPr>
          <w:ilvl w:val="0"/>
          <w:numId w:val="131"/>
        </w:numPr>
        <w:spacing w:after="0" w:line="312" w:lineRule="auto"/>
        <w:rPr>
          <w:bCs/>
          <w:szCs w:val="20"/>
        </w:rPr>
      </w:pPr>
      <w:r w:rsidRPr="00E00B35">
        <w:rPr>
          <w:bCs/>
          <w:szCs w:val="20"/>
        </w:rPr>
        <w:t>al. Jana Matejki 19/13, o powierzchni 23,69 m2 – uczestniczyło 51 licytantów;</w:t>
      </w:r>
    </w:p>
    <w:p w:rsidR="008C7751" w:rsidRPr="00E00B35" w:rsidRDefault="008C7751" w:rsidP="00E00B35">
      <w:pPr>
        <w:numPr>
          <w:ilvl w:val="0"/>
          <w:numId w:val="131"/>
        </w:numPr>
        <w:spacing w:after="0" w:line="312" w:lineRule="auto"/>
        <w:rPr>
          <w:bCs/>
          <w:szCs w:val="20"/>
        </w:rPr>
      </w:pPr>
      <w:r w:rsidRPr="00E00B35">
        <w:rPr>
          <w:bCs/>
          <w:szCs w:val="20"/>
        </w:rPr>
        <w:t>pl. Legionów 3/3, o powierzchni 34,34 m2 – uczestniczyło 34 licytantów;</w:t>
      </w:r>
    </w:p>
    <w:p w:rsidR="008C7751" w:rsidRPr="00E00B35" w:rsidRDefault="008C7751" w:rsidP="00E00B35">
      <w:pPr>
        <w:numPr>
          <w:ilvl w:val="0"/>
          <w:numId w:val="131"/>
        </w:numPr>
        <w:spacing w:after="0" w:line="312" w:lineRule="auto"/>
        <w:rPr>
          <w:bCs/>
          <w:szCs w:val="20"/>
        </w:rPr>
      </w:pPr>
      <w:r w:rsidRPr="00E00B35">
        <w:rPr>
          <w:bCs/>
          <w:szCs w:val="20"/>
        </w:rPr>
        <w:t>ul. Pawła Włodkowica 27/5, o powierzchni 38,00 m2 – uczestniczyło 31 licytantów;</w:t>
      </w:r>
    </w:p>
    <w:p w:rsidR="008C7751" w:rsidRPr="00E00B35" w:rsidRDefault="008C7751" w:rsidP="00E00B35">
      <w:pPr>
        <w:numPr>
          <w:ilvl w:val="0"/>
          <w:numId w:val="131"/>
        </w:numPr>
        <w:spacing w:after="0" w:line="312" w:lineRule="auto"/>
        <w:rPr>
          <w:bCs/>
          <w:szCs w:val="20"/>
        </w:rPr>
      </w:pPr>
      <w:r w:rsidRPr="00E00B35">
        <w:rPr>
          <w:bCs/>
          <w:szCs w:val="20"/>
        </w:rPr>
        <w:t>pl. Orląt Lwowskich 7/1, o powierzchni 24,83 m2 – uczestniczyło 24 licytantów.</w:t>
      </w:r>
    </w:p>
    <w:p w:rsidR="008C7751" w:rsidRPr="00E00B35" w:rsidRDefault="008C7751" w:rsidP="00E00B35">
      <w:pPr>
        <w:spacing w:after="0" w:line="312" w:lineRule="auto"/>
        <w:rPr>
          <w:rFonts w:eastAsia="Calibri"/>
          <w:b/>
          <w:szCs w:val="20"/>
        </w:rPr>
      </w:pPr>
    </w:p>
    <w:p w:rsidR="008C7751" w:rsidRPr="00E00B35" w:rsidRDefault="008C7751" w:rsidP="00E00B35">
      <w:pPr>
        <w:spacing w:after="0" w:line="312" w:lineRule="auto"/>
        <w:rPr>
          <w:b/>
          <w:szCs w:val="20"/>
        </w:rPr>
      </w:pPr>
      <w:r w:rsidRPr="00E00B35">
        <w:rPr>
          <w:rFonts w:eastAsia="Calibri"/>
          <w:b/>
          <w:szCs w:val="20"/>
        </w:rPr>
        <w:t xml:space="preserve">Zestawienie najwyższych cen lokali mieszkalnych osiągniętych w przetargach w 2020 r. </w:t>
      </w:r>
      <w:r w:rsidRPr="00E00B35">
        <w:rPr>
          <w:b/>
          <w:szCs w:val="20"/>
        </w:rPr>
        <w:t>(Źródło: UMW)</w:t>
      </w:r>
    </w:p>
    <w:p w:rsidR="008C7751" w:rsidRPr="00E00B35" w:rsidRDefault="008C7751" w:rsidP="00E00B35">
      <w:pPr>
        <w:spacing w:after="0" w:line="312" w:lineRule="auto"/>
        <w:rPr>
          <w:bCs/>
          <w:szCs w:val="20"/>
        </w:rPr>
      </w:pPr>
      <w:r w:rsidRPr="00E00B35">
        <w:rPr>
          <w:szCs w:val="20"/>
        </w:rPr>
        <w:t xml:space="preserve">al. Jana Matejki 19/13  (Śródmieście): cena wywoławcza do przetargu </w:t>
      </w:r>
      <w:r w:rsidRPr="00E00B35">
        <w:rPr>
          <w:rFonts w:eastAsia="Calibri"/>
          <w:bCs/>
          <w:szCs w:val="20"/>
        </w:rPr>
        <w:t xml:space="preserve">[zł/1m²] – </w:t>
      </w:r>
      <w:r w:rsidRPr="00E00B35">
        <w:rPr>
          <w:szCs w:val="20"/>
        </w:rPr>
        <w:t xml:space="preserve">6 331,79, cena uzyskana w przetargu </w:t>
      </w:r>
      <w:r w:rsidRPr="00E00B35">
        <w:rPr>
          <w:rFonts w:eastAsia="Calibri"/>
          <w:bCs/>
          <w:szCs w:val="20"/>
        </w:rPr>
        <w:t xml:space="preserve">[zł/1m²]- </w:t>
      </w:r>
      <w:r w:rsidRPr="00E00B35">
        <w:rPr>
          <w:bCs/>
          <w:szCs w:val="20"/>
        </w:rPr>
        <w:t>10 320,81</w:t>
      </w:r>
    </w:p>
    <w:p w:rsidR="008C7751" w:rsidRPr="00E00B35" w:rsidRDefault="008C7751" w:rsidP="00E00B35">
      <w:pPr>
        <w:spacing w:after="0" w:line="312" w:lineRule="auto"/>
        <w:rPr>
          <w:bCs/>
          <w:szCs w:val="20"/>
        </w:rPr>
      </w:pPr>
      <w:r w:rsidRPr="00E00B35">
        <w:rPr>
          <w:szCs w:val="20"/>
        </w:rPr>
        <w:t xml:space="preserve">pl. Orląt Lwowskich 7/1 (Stare Miasto): cena wywoławcza do przetargu </w:t>
      </w:r>
      <w:r w:rsidRPr="00E00B35">
        <w:rPr>
          <w:rFonts w:eastAsia="Calibri"/>
          <w:bCs/>
          <w:szCs w:val="20"/>
        </w:rPr>
        <w:t xml:space="preserve">[zł/1m²] – </w:t>
      </w:r>
      <w:r w:rsidRPr="00E00B35">
        <w:rPr>
          <w:szCs w:val="20"/>
        </w:rPr>
        <w:t xml:space="preserve">6 443,82, cena uzyskana w przetargu </w:t>
      </w:r>
      <w:r w:rsidRPr="00E00B35">
        <w:rPr>
          <w:rFonts w:eastAsia="Calibri"/>
          <w:bCs/>
          <w:szCs w:val="20"/>
        </w:rPr>
        <w:t xml:space="preserve">[zł/1m²]- </w:t>
      </w:r>
      <w:r w:rsidRPr="00E00B35">
        <w:rPr>
          <w:bCs/>
          <w:szCs w:val="20"/>
        </w:rPr>
        <w:t>9 593,23</w:t>
      </w:r>
    </w:p>
    <w:p w:rsidR="008C7751" w:rsidRPr="00E00B35" w:rsidRDefault="008C7751" w:rsidP="00E00B35">
      <w:pPr>
        <w:spacing w:after="0" w:line="312" w:lineRule="auto"/>
        <w:rPr>
          <w:bCs/>
          <w:szCs w:val="20"/>
        </w:rPr>
      </w:pPr>
      <w:r w:rsidRPr="00E00B35">
        <w:rPr>
          <w:szCs w:val="20"/>
        </w:rPr>
        <w:t xml:space="preserve">ul. Pawła Włodkowica 27/5 (Stare Miasto): cena wywoławcza do przetargu </w:t>
      </w:r>
      <w:r w:rsidRPr="00E00B35">
        <w:rPr>
          <w:rFonts w:eastAsia="Calibri"/>
          <w:bCs/>
          <w:szCs w:val="20"/>
        </w:rPr>
        <w:t xml:space="preserve">[zł/1m²] – </w:t>
      </w:r>
      <w:r w:rsidRPr="00E00B35">
        <w:rPr>
          <w:szCs w:val="20"/>
        </w:rPr>
        <w:t xml:space="preserve">6 578,95, cena uzyskana w przetargu </w:t>
      </w:r>
      <w:r w:rsidRPr="00E00B35">
        <w:rPr>
          <w:rFonts w:eastAsia="Calibri"/>
          <w:bCs/>
          <w:szCs w:val="20"/>
        </w:rPr>
        <w:t xml:space="preserve">[zł/1m²]- </w:t>
      </w:r>
      <w:r w:rsidRPr="00E00B35">
        <w:rPr>
          <w:bCs/>
          <w:szCs w:val="20"/>
        </w:rPr>
        <w:t>9 473,68</w:t>
      </w:r>
    </w:p>
    <w:p w:rsidR="008C7751" w:rsidRPr="00E00B35" w:rsidRDefault="008C7751" w:rsidP="00E00B35">
      <w:pPr>
        <w:spacing w:after="0" w:line="312" w:lineRule="auto"/>
        <w:rPr>
          <w:bCs/>
          <w:szCs w:val="20"/>
        </w:rPr>
      </w:pPr>
      <w:r w:rsidRPr="00E00B35">
        <w:rPr>
          <w:szCs w:val="20"/>
        </w:rPr>
        <w:t xml:space="preserve">ul. Ładna 2-Szczytnicka 54/3 (Śródmieście: cena wywoławcza do przetargu </w:t>
      </w:r>
      <w:r w:rsidRPr="00E00B35">
        <w:rPr>
          <w:rFonts w:eastAsia="Calibri"/>
          <w:bCs/>
          <w:szCs w:val="20"/>
        </w:rPr>
        <w:t xml:space="preserve">[zł/1m²] – </w:t>
      </w:r>
      <w:r w:rsidRPr="00E00B35">
        <w:rPr>
          <w:szCs w:val="20"/>
        </w:rPr>
        <w:t xml:space="preserve">10 458,06, cena uzyskana w przetargu </w:t>
      </w:r>
      <w:r w:rsidRPr="00E00B35">
        <w:rPr>
          <w:rFonts w:eastAsia="Calibri"/>
          <w:bCs/>
          <w:szCs w:val="20"/>
        </w:rPr>
        <w:t xml:space="preserve">[zł/1m²]- </w:t>
      </w:r>
      <w:r w:rsidRPr="00E00B35">
        <w:rPr>
          <w:bCs/>
          <w:szCs w:val="20"/>
        </w:rPr>
        <w:t>9 241,46*</w:t>
      </w:r>
    </w:p>
    <w:p w:rsidR="008C7751" w:rsidRPr="00E00B35" w:rsidRDefault="008C7751" w:rsidP="00E00B35">
      <w:pPr>
        <w:spacing w:after="0" w:line="312" w:lineRule="auto"/>
        <w:rPr>
          <w:szCs w:val="20"/>
        </w:rPr>
      </w:pPr>
      <w:r w:rsidRPr="00E00B35">
        <w:rPr>
          <w:szCs w:val="20"/>
        </w:rPr>
        <w:t>* z tytułu wpisania do rejestru zabytków cena sprzedaży lokalu obniżona o 30%</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rFonts w:eastAsia="Calibri"/>
          <w:szCs w:val="20"/>
        </w:rPr>
      </w:pPr>
      <w:r w:rsidRPr="00E00B35">
        <w:rPr>
          <w:szCs w:val="20"/>
          <w:shd w:val="clear" w:color="auto" w:fill="FFFFFF"/>
        </w:rPr>
        <w:t>Ś</w:t>
      </w:r>
      <w:r w:rsidRPr="00E00B35">
        <w:rPr>
          <w:rFonts w:eastAsia="Calibri"/>
          <w:szCs w:val="20"/>
        </w:rPr>
        <w:t xml:space="preserve">rednia cena jednego metra kwadratowego powierzchni użytkowej uzyskana w przetargach wyniosła 6 512,15 zł, co stanowi spadek w stosunku do roku ubiegłego o 13%. </w:t>
      </w:r>
    </w:p>
    <w:p w:rsidR="008C7751" w:rsidRPr="00E00B35" w:rsidRDefault="008C7751" w:rsidP="00E00B35">
      <w:pPr>
        <w:spacing w:after="0" w:line="312" w:lineRule="auto"/>
        <w:rPr>
          <w:rFonts w:cs="Verdana"/>
          <w:color w:val="000000"/>
          <w:szCs w:val="20"/>
        </w:rPr>
      </w:pPr>
      <w:r w:rsidRPr="00E00B35">
        <w:rPr>
          <w:rFonts w:cs="Verdana"/>
          <w:color w:val="000000"/>
          <w:szCs w:val="20"/>
        </w:rPr>
        <w:lastRenderedPageBreak/>
        <w:t xml:space="preserve">W I półroczu panujący lockdown skutkował koniecznością m.in. odwołania </w:t>
      </w:r>
      <w:r w:rsidRPr="00E00B35">
        <w:rPr>
          <w:rFonts w:cs="Verdana"/>
          <w:szCs w:val="20"/>
        </w:rPr>
        <w:t xml:space="preserve">17 przetargów na kwotę 7 228 000,00 zł i tym samym spowodował opóźnienia w </w:t>
      </w:r>
      <w:r w:rsidRPr="00E00B35">
        <w:rPr>
          <w:rFonts w:cs="Verdana"/>
          <w:color w:val="000000"/>
          <w:szCs w:val="20"/>
        </w:rPr>
        <w:t>postępowaniach przetargowych dotyczących nieruchomości lokalowych. Aktualnie trudno określić skutki zapowiadanego spowolnienia gospodarczego oraz ich wpływ na zainteresowanie gminnymi lokalami w kolejnych latach.</w:t>
      </w:r>
    </w:p>
    <w:p w:rsidR="008C7751" w:rsidRPr="00E00B35" w:rsidRDefault="001C170D" w:rsidP="00E00B35">
      <w:pPr>
        <w:spacing w:after="0" w:line="312" w:lineRule="auto"/>
        <w:rPr>
          <w:b/>
          <w:szCs w:val="20"/>
        </w:rPr>
      </w:pPr>
      <w:r w:rsidRPr="00E00B35">
        <w:rPr>
          <w:b/>
          <w:szCs w:val="20"/>
        </w:rPr>
        <w:br/>
      </w:r>
      <w:r w:rsidR="008C7751" w:rsidRPr="00E00B35">
        <w:rPr>
          <w:b/>
          <w:szCs w:val="20"/>
        </w:rPr>
        <w:t>Średnia cena 1m² lokalu mieszkalnego uzyskana w przetargach w latach 2017-2020 (Źródło: UMW)</w:t>
      </w:r>
    </w:p>
    <w:p w:rsidR="008C7751" w:rsidRPr="00E00B35" w:rsidRDefault="008C7751" w:rsidP="00E00B35">
      <w:pPr>
        <w:spacing w:after="0" w:line="312" w:lineRule="auto"/>
        <w:rPr>
          <w:rFonts w:eastAsia="Calibri"/>
          <w:bCs/>
          <w:iCs/>
          <w:szCs w:val="20"/>
        </w:rPr>
      </w:pPr>
      <w:r w:rsidRPr="00E00B35">
        <w:rPr>
          <w:rFonts w:eastAsia="Calibri"/>
          <w:bCs/>
          <w:iCs/>
          <w:szCs w:val="20"/>
        </w:rPr>
        <w:t>Średnia cena 1 m² lokalu mieszkalnego uzyskana w przetargach [zł] w 2017 r. – 4 880, w 2018 r. – 5 248, w 2019 r. – 7 480, w 2020 r. – 6 512.</w:t>
      </w:r>
    </w:p>
    <w:p w:rsidR="008C7751" w:rsidRPr="00E00B35" w:rsidRDefault="008C7751" w:rsidP="00E00B35">
      <w:pPr>
        <w:spacing w:after="0" w:line="312" w:lineRule="auto"/>
        <w:rPr>
          <w:szCs w:val="20"/>
          <w:shd w:val="clear" w:color="auto" w:fill="FFFFFF"/>
        </w:rPr>
      </w:pPr>
    </w:p>
    <w:p w:rsidR="008C7751" w:rsidRPr="00E00B35" w:rsidRDefault="008C7751" w:rsidP="00E00B35">
      <w:pPr>
        <w:pStyle w:val="Nagwek4"/>
        <w:spacing w:before="0" w:after="0" w:line="312" w:lineRule="auto"/>
        <w:rPr>
          <w:sz w:val="20"/>
          <w:szCs w:val="20"/>
        </w:rPr>
      </w:pPr>
      <w:r w:rsidRPr="00E00B35">
        <w:rPr>
          <w:sz w:val="20"/>
          <w:szCs w:val="20"/>
        </w:rPr>
        <w:t>SPRZEDAŻ LOKALI NIEMIESZKALNYCH</w:t>
      </w:r>
    </w:p>
    <w:p w:rsidR="008C7751" w:rsidRPr="00E00B35" w:rsidRDefault="008C7751" w:rsidP="00E00B35">
      <w:pPr>
        <w:spacing w:after="0" w:line="312" w:lineRule="auto"/>
        <w:rPr>
          <w:szCs w:val="20"/>
        </w:rPr>
      </w:pPr>
      <w:r w:rsidRPr="00E00B35">
        <w:rPr>
          <w:szCs w:val="20"/>
        </w:rPr>
        <w:t xml:space="preserve">Wyodrębnianie i sprzedaż lokali o przeznaczeniu innym niż mieszkalne, stanowiących własność gminny Wrocław, jest ważnym elementem gospodarowania nieruchomościami komunalnymi. Prywatyzacja tego zasobu następuje w dwóch trybach: przetargowym oraz bezprzetargowym na rzecz najemców. Przygotowana oferta dotyczy najczęściej atrakcyjnie położonych nieruchomości - szczególnie w obrębie Starego Miasta oraz lokali o małej i średniej powierzchni. </w:t>
      </w:r>
    </w:p>
    <w:p w:rsidR="008C7751" w:rsidRPr="00E00B35" w:rsidRDefault="008C7751" w:rsidP="00E00B35">
      <w:pPr>
        <w:spacing w:after="0" w:line="312" w:lineRule="auto"/>
        <w:rPr>
          <w:rFonts w:cs="Verdana"/>
          <w:szCs w:val="20"/>
        </w:rPr>
      </w:pPr>
      <w:r w:rsidRPr="00E00B35">
        <w:rPr>
          <w:rFonts w:cs="Verdana"/>
          <w:iCs/>
          <w:szCs w:val="20"/>
        </w:rPr>
        <w:t xml:space="preserve">W roku sprawozdawczym sprzedano </w:t>
      </w:r>
      <w:r w:rsidRPr="00E00B35">
        <w:rPr>
          <w:rFonts w:cs="Verdana"/>
          <w:b/>
          <w:iCs/>
          <w:szCs w:val="20"/>
        </w:rPr>
        <w:t>33</w:t>
      </w:r>
      <w:r w:rsidRPr="00E00B35">
        <w:rPr>
          <w:rFonts w:cs="Verdana"/>
          <w:iCs/>
          <w:szCs w:val="20"/>
        </w:rPr>
        <w:t xml:space="preserve"> lokale niemieszkalne: </w:t>
      </w:r>
      <w:r w:rsidRPr="00E00B35">
        <w:rPr>
          <w:rFonts w:cs="Verdana"/>
          <w:szCs w:val="20"/>
        </w:rPr>
        <w:t>23 w trybie przetargowym, 8 w trybie bezprzetargowym - na rzecz najemców i 2 garaże.</w:t>
      </w:r>
    </w:p>
    <w:p w:rsidR="008C7751" w:rsidRPr="00E00B35" w:rsidRDefault="001C170D" w:rsidP="00E00B35">
      <w:pPr>
        <w:spacing w:after="0" w:line="312" w:lineRule="auto"/>
        <w:rPr>
          <w:b/>
          <w:szCs w:val="20"/>
        </w:rPr>
      </w:pPr>
      <w:r w:rsidRPr="00E00B35">
        <w:rPr>
          <w:b/>
          <w:szCs w:val="20"/>
        </w:rPr>
        <w:br/>
      </w:r>
      <w:r w:rsidR="008C7751" w:rsidRPr="00E00B35">
        <w:rPr>
          <w:b/>
          <w:szCs w:val="20"/>
        </w:rPr>
        <w:t>Dochód i liczba sprzedanych lokali niemieszkalnych w latach 2017 – 2020 (Źródło: UMW)</w:t>
      </w:r>
    </w:p>
    <w:p w:rsidR="008C7751" w:rsidRPr="00E00B35" w:rsidRDefault="008C7751" w:rsidP="00E00B35">
      <w:pPr>
        <w:spacing w:after="0" w:line="312" w:lineRule="auto"/>
        <w:rPr>
          <w:szCs w:val="20"/>
        </w:rPr>
      </w:pPr>
      <w:r w:rsidRPr="00E00B35">
        <w:rPr>
          <w:szCs w:val="20"/>
        </w:rPr>
        <w:t>Liczba sprzedanych lokali niemieszkalnych [szt] w 2017 r. – 27, w 2018 r. – 45, w 2019 r. – 24, w 2020 r. – 33.</w:t>
      </w:r>
    </w:p>
    <w:p w:rsidR="008C7751" w:rsidRPr="00E00B35" w:rsidRDefault="008C7751" w:rsidP="00E00B35">
      <w:pPr>
        <w:spacing w:after="0" w:line="312" w:lineRule="auto"/>
        <w:rPr>
          <w:szCs w:val="20"/>
        </w:rPr>
      </w:pPr>
      <w:r w:rsidRPr="00E00B35">
        <w:rPr>
          <w:rFonts w:cs="Arial"/>
          <w:bCs/>
          <w:color w:val="000000"/>
          <w:szCs w:val="20"/>
        </w:rPr>
        <w:t>Dochód na podstawie podpisanych aktów notarialnych [mln. zł] w 2017 r. -</w:t>
      </w:r>
      <w:r w:rsidRPr="00E00B35">
        <w:rPr>
          <w:rFonts w:cs="Arial"/>
          <w:color w:val="000000"/>
          <w:szCs w:val="20"/>
        </w:rPr>
        <w:t xml:space="preserve"> 9,00994658, w 2018 r. - 18,52681279, w 2019 r. - 5,62647000, w 2020 r. - 5,25937800.</w:t>
      </w:r>
    </w:p>
    <w:p w:rsidR="008C7751" w:rsidRPr="00E00B35" w:rsidRDefault="008C7751" w:rsidP="00E00B35">
      <w:pPr>
        <w:spacing w:after="0" w:line="312" w:lineRule="auto"/>
        <w:rPr>
          <w:rFonts w:cs="Verdana"/>
          <w:iCs/>
          <w:szCs w:val="20"/>
        </w:rPr>
      </w:pPr>
    </w:p>
    <w:p w:rsidR="008C7751" w:rsidRPr="00E00B35" w:rsidRDefault="008C7751" w:rsidP="00E00B35">
      <w:pPr>
        <w:spacing w:after="0" w:line="312" w:lineRule="auto"/>
        <w:rPr>
          <w:b/>
          <w:szCs w:val="20"/>
        </w:rPr>
      </w:pPr>
      <w:r w:rsidRPr="00E00B35">
        <w:rPr>
          <w:b/>
          <w:szCs w:val="20"/>
        </w:rPr>
        <w:t>Dochód i liczba sprzedanych lokali niemieszkalnych w latach 2017-2020 (Źródło: UMW)</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rFonts w:eastAsia="Calibri"/>
          <w:noProof/>
          <w:szCs w:val="20"/>
        </w:rPr>
      </w:pPr>
      <w:r w:rsidRPr="00E00B35">
        <w:rPr>
          <w:rFonts w:eastAsia="Calibri"/>
          <w:noProof/>
          <w:szCs w:val="20"/>
          <w:lang w:val="pl-PL" w:eastAsia="pl-PL" w:bidi="ar-SA"/>
        </w:rPr>
        <w:lastRenderedPageBreak/>
        <w:drawing>
          <wp:inline distT="0" distB="0" distL="0" distR="0">
            <wp:extent cx="5305425" cy="3228975"/>
            <wp:effectExtent l="0" t="0" r="0" b="0"/>
            <wp:docPr id="7" name="Wykres 2" descr="Dochód i liczba sprzedanych lokali niemieszkalnych w latach 2017-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2" descr="Dochód i liczba sprzedanych lokali niemieszkalnych w latach 2017-2020."/>
                    <pic:cNvPicPr>
                      <a:picLocks noChangeArrowheads="1"/>
                    </pic:cNvPicPr>
                  </pic:nvPicPr>
                  <pic:blipFill>
                    <a:blip r:embed="rId28" cstate="print"/>
                    <a:srcRect l="-1743" t="-1707" r="-5302" b="-7930"/>
                    <a:stretch>
                      <a:fillRect/>
                    </a:stretch>
                  </pic:blipFill>
                  <pic:spPr bwMode="auto">
                    <a:xfrm>
                      <a:off x="0" y="0"/>
                      <a:ext cx="5305425" cy="3228975"/>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rFonts w:eastAsia="Calibri"/>
          <w:szCs w:val="20"/>
        </w:rPr>
      </w:pPr>
    </w:p>
    <w:p w:rsidR="008C7751" w:rsidRPr="00E00B35" w:rsidRDefault="008C7751" w:rsidP="00E00B35">
      <w:pPr>
        <w:spacing w:after="0" w:line="312" w:lineRule="auto"/>
        <w:rPr>
          <w:rFonts w:eastAsia="Calibri"/>
          <w:szCs w:val="20"/>
        </w:rPr>
      </w:pPr>
      <w:r w:rsidRPr="00E00B35">
        <w:rPr>
          <w:rFonts w:eastAsia="Calibri"/>
          <w:szCs w:val="20"/>
        </w:rPr>
        <w:t xml:space="preserve">W 2020 r. odnotowano wzrost liczby sprzedanych lokali niemieszkalnych, natomiast dochody z tego tytułu kształtowały się na podobnym poziomie jak w 2019 r. Większość transakcji dotyczyło małych lokali, których powierzchnia wahała się od 11 m² do 32 m². </w:t>
      </w:r>
    </w:p>
    <w:p w:rsidR="008C7751" w:rsidRPr="00E00B35" w:rsidRDefault="008C7751" w:rsidP="00E00B35">
      <w:pPr>
        <w:spacing w:after="0" w:line="312" w:lineRule="auto"/>
        <w:rPr>
          <w:rFonts w:eastAsia="Calibri"/>
          <w:szCs w:val="20"/>
        </w:rPr>
      </w:pPr>
      <w:r w:rsidRPr="00E00B35">
        <w:rPr>
          <w:rFonts w:eastAsia="Calibri"/>
          <w:szCs w:val="20"/>
        </w:rPr>
        <w:t>Podobnie jak w przypadku lokali mieszkalnych sprzedaż ograniczona była przez panującą epidemię oraz konieczność uprzedniego uregulowania kwestii przekształcenia praw do gruntów. Przeprowadzona analiza wskazuje, że na realizację założeń budżetowych miała również wpływ sama charakterystyka wyodrębnionych lokali. W 2020 r. łączna powierzchnia użytkowa lokali sprzedanych wynosiła 1 241,51 m². Powyższa sytuacja oznacza, iż zasób lokali położonych w atrakcyjnych lokalizacjach, które mogłyby stanowić przedmiot sprzedaży, powoli się wyczerpuje.</w:t>
      </w:r>
    </w:p>
    <w:p w:rsidR="008C7751" w:rsidRPr="00E00B35" w:rsidRDefault="008C7751" w:rsidP="00E00B35">
      <w:pPr>
        <w:spacing w:after="0" w:line="312" w:lineRule="auto"/>
        <w:rPr>
          <w:szCs w:val="20"/>
        </w:rPr>
      </w:pPr>
    </w:p>
    <w:p w:rsidR="008C7751" w:rsidRPr="00E00B35" w:rsidRDefault="008C7751" w:rsidP="00E00B35">
      <w:pPr>
        <w:pStyle w:val="Nagwek5"/>
        <w:rPr>
          <w:szCs w:val="20"/>
        </w:rPr>
      </w:pPr>
      <w:r w:rsidRPr="00E00B35">
        <w:rPr>
          <w:szCs w:val="20"/>
        </w:rPr>
        <w:t>Sprzedaż lokali niemieszkalnych w trybie przetargowym</w:t>
      </w:r>
    </w:p>
    <w:p w:rsidR="008C7751" w:rsidRPr="00E00B35" w:rsidRDefault="008C7751" w:rsidP="00E00B35">
      <w:pPr>
        <w:spacing w:after="0" w:line="312" w:lineRule="auto"/>
        <w:rPr>
          <w:rFonts w:eastAsia="Calibri"/>
          <w:szCs w:val="20"/>
        </w:rPr>
      </w:pPr>
      <w:r w:rsidRPr="00E00B35">
        <w:rPr>
          <w:szCs w:val="20"/>
        </w:rPr>
        <w:t xml:space="preserve">Przeprowadzono </w:t>
      </w:r>
      <w:r w:rsidRPr="00E00B35">
        <w:rPr>
          <w:b/>
          <w:szCs w:val="20"/>
        </w:rPr>
        <w:t>72</w:t>
      </w:r>
      <w:r w:rsidRPr="00E00B35">
        <w:rPr>
          <w:szCs w:val="20"/>
        </w:rPr>
        <w:t xml:space="preserve"> przetargi na sprzedaż </w:t>
      </w:r>
      <w:r w:rsidRPr="00E00B35">
        <w:rPr>
          <w:rFonts w:eastAsia="Calibri"/>
          <w:szCs w:val="20"/>
        </w:rPr>
        <w:t xml:space="preserve">lokali mieszkalnych – podobnie jak w przypadku przetargów na sprzedaż lokali mieszkalnych jest to największa liczba przetargów od 2016 r.  (dla porównania: w 2019 r. – 48, w 2018 – 65). Łącznie brało w nich udział 140 osób – blisko dwukrotnie więcej niż w 2019 r. (78), jednak biorąc pod uwagę większą liczbę przetargów, wskaźnik frekwencji wzrósł nieznacznie (w dalszym ciągu na jeden lokal przypadało średnio mniej niż 2 licytantów). </w:t>
      </w:r>
    </w:p>
    <w:p w:rsidR="008C7751" w:rsidRPr="00E00B35" w:rsidRDefault="008C7751" w:rsidP="00E00B35">
      <w:pPr>
        <w:spacing w:after="0" w:line="312" w:lineRule="auto"/>
        <w:rPr>
          <w:rFonts w:eastAsia="Calibri"/>
          <w:szCs w:val="20"/>
        </w:rPr>
      </w:pPr>
      <w:r w:rsidRPr="00E00B35">
        <w:rPr>
          <w:rFonts w:eastAsia="Calibri"/>
          <w:szCs w:val="20"/>
        </w:rPr>
        <w:t xml:space="preserve">W tym trybie sprzedano </w:t>
      </w:r>
      <w:r w:rsidRPr="00E00B35">
        <w:rPr>
          <w:b/>
          <w:szCs w:val="20"/>
        </w:rPr>
        <w:t>23</w:t>
      </w:r>
      <w:r w:rsidRPr="00E00B35">
        <w:rPr>
          <w:szCs w:val="20"/>
        </w:rPr>
        <w:t xml:space="preserve"> lokale niemieszkalne. </w:t>
      </w:r>
      <w:r w:rsidRPr="00E00B35">
        <w:rPr>
          <w:rFonts w:eastAsia="Calibri"/>
          <w:szCs w:val="20"/>
        </w:rPr>
        <w:t>W ramach przygotowanej oferty dominowały lokale usytuowane w dzielnicach: Śródmieście i Krzyki. Dzielnice te stanowią atrakcyjne położenie o dużym potencjale inwestycyjnym.</w:t>
      </w:r>
    </w:p>
    <w:p w:rsidR="008C7751" w:rsidRPr="00E00B35" w:rsidRDefault="008C7751" w:rsidP="00E00B35">
      <w:pPr>
        <w:spacing w:after="0" w:line="312" w:lineRule="auto"/>
        <w:rPr>
          <w:b/>
          <w:bCs/>
          <w:szCs w:val="20"/>
        </w:rPr>
      </w:pPr>
      <w:r w:rsidRPr="00E00B35">
        <w:rPr>
          <w:szCs w:val="20"/>
        </w:rPr>
        <w:t>Największym zainteresowaniem cieszyły się  przetargi na sprzedaż lokali niemieszkalnych w następujących lokalizacjach:</w:t>
      </w:r>
    </w:p>
    <w:p w:rsidR="008C7751" w:rsidRPr="00E00B35" w:rsidRDefault="008C7751" w:rsidP="00E00B35">
      <w:pPr>
        <w:numPr>
          <w:ilvl w:val="0"/>
          <w:numId w:val="131"/>
        </w:numPr>
        <w:spacing w:after="0" w:line="312" w:lineRule="auto"/>
        <w:rPr>
          <w:bCs/>
          <w:szCs w:val="20"/>
        </w:rPr>
      </w:pPr>
      <w:r w:rsidRPr="00E00B35">
        <w:rPr>
          <w:bCs/>
          <w:szCs w:val="20"/>
        </w:rPr>
        <w:t>ul. Sudecka 82/G2, o powierzchni 40,11 m2 – uczestniczyło 30 licytantów;</w:t>
      </w:r>
    </w:p>
    <w:p w:rsidR="008C7751" w:rsidRPr="00E00B35" w:rsidRDefault="008C7751" w:rsidP="00E00B35">
      <w:pPr>
        <w:numPr>
          <w:ilvl w:val="0"/>
          <w:numId w:val="131"/>
        </w:numPr>
        <w:spacing w:after="0" w:line="312" w:lineRule="auto"/>
        <w:rPr>
          <w:bCs/>
          <w:szCs w:val="20"/>
        </w:rPr>
      </w:pPr>
      <w:r w:rsidRPr="00E00B35">
        <w:rPr>
          <w:bCs/>
          <w:szCs w:val="20"/>
        </w:rPr>
        <w:t>ul. Ołbińska 3/U1A, o powierzchni 22,42 m2 – uczestniczyło 13 licytantów;</w:t>
      </w:r>
    </w:p>
    <w:p w:rsidR="008C7751" w:rsidRPr="00E00B35" w:rsidRDefault="008C7751" w:rsidP="00E00B35">
      <w:pPr>
        <w:numPr>
          <w:ilvl w:val="0"/>
          <w:numId w:val="131"/>
        </w:numPr>
        <w:spacing w:after="0" w:line="312" w:lineRule="auto"/>
        <w:rPr>
          <w:bCs/>
          <w:szCs w:val="20"/>
        </w:rPr>
      </w:pPr>
      <w:r w:rsidRPr="00E00B35">
        <w:rPr>
          <w:bCs/>
          <w:szCs w:val="20"/>
        </w:rPr>
        <w:t>pl. Zgody 9/U1A, o powierzchni 16,67 m2 – uczestniczyło 11 licytantów.</w:t>
      </w:r>
    </w:p>
    <w:p w:rsidR="008C7751" w:rsidRPr="00E00B35" w:rsidRDefault="008C7751" w:rsidP="00E00B35">
      <w:pPr>
        <w:spacing w:after="0" w:line="312" w:lineRule="auto"/>
        <w:rPr>
          <w:rFonts w:eastAsia="Calibri"/>
          <w:b/>
          <w:szCs w:val="20"/>
        </w:rPr>
      </w:pPr>
    </w:p>
    <w:p w:rsidR="008C7751" w:rsidRPr="00E00B35" w:rsidRDefault="008C7751" w:rsidP="00E00B35">
      <w:pPr>
        <w:spacing w:after="0" w:line="312" w:lineRule="auto"/>
        <w:rPr>
          <w:rFonts w:eastAsia="Calibri"/>
          <w:b/>
          <w:szCs w:val="20"/>
        </w:rPr>
      </w:pPr>
      <w:r w:rsidRPr="00E00B35">
        <w:rPr>
          <w:rFonts w:eastAsia="Calibri"/>
          <w:b/>
          <w:szCs w:val="20"/>
        </w:rPr>
        <w:t xml:space="preserve">Zestawienie najwyższych cen lokali niemieszkalnych osiągniętych w przetargach w 2020r. </w:t>
      </w:r>
      <w:r w:rsidRPr="00E00B35">
        <w:rPr>
          <w:b/>
          <w:szCs w:val="20"/>
        </w:rPr>
        <w:t>(Źródło: UMW)</w:t>
      </w:r>
    </w:p>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ul. Ołbińska 3/U1A (Śródmieście): </w:t>
      </w:r>
      <w:r w:rsidRPr="00E00B35">
        <w:rPr>
          <w:szCs w:val="20"/>
        </w:rPr>
        <w:t xml:space="preserve">cena wywoławcza do przetargu </w:t>
      </w:r>
      <w:r w:rsidRPr="00E00B35">
        <w:rPr>
          <w:rFonts w:eastAsia="Calibri"/>
          <w:bCs/>
          <w:szCs w:val="20"/>
        </w:rPr>
        <w:t xml:space="preserve">[zł/1m²] – </w:t>
      </w:r>
      <w:r w:rsidRPr="00E00B35">
        <w:rPr>
          <w:rFonts w:cs="Calibri"/>
          <w:szCs w:val="20"/>
        </w:rPr>
        <w:t>4 906,33</w:t>
      </w:r>
      <w:r w:rsidRPr="00E00B35">
        <w:rPr>
          <w:szCs w:val="20"/>
        </w:rPr>
        <w:t xml:space="preserve">, cena uzyskana w przetargu </w:t>
      </w:r>
      <w:r w:rsidRPr="00E00B35">
        <w:rPr>
          <w:rFonts w:eastAsia="Calibri"/>
          <w:bCs/>
          <w:szCs w:val="20"/>
        </w:rPr>
        <w:t xml:space="preserve">[zł/1m²]- </w:t>
      </w:r>
      <w:r w:rsidRPr="00E00B35">
        <w:rPr>
          <w:rFonts w:cs="Calibri"/>
          <w:color w:val="000000"/>
          <w:szCs w:val="20"/>
        </w:rPr>
        <w:t>11 342,55</w:t>
      </w:r>
    </w:p>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pl. Zgody 9/U1A (Krzyki): </w:t>
      </w:r>
      <w:r w:rsidRPr="00E00B35">
        <w:rPr>
          <w:szCs w:val="20"/>
        </w:rPr>
        <w:t xml:space="preserve">cena wywoławcza do przetargu </w:t>
      </w:r>
      <w:r w:rsidRPr="00E00B35">
        <w:rPr>
          <w:rFonts w:eastAsia="Calibri"/>
          <w:bCs/>
          <w:szCs w:val="20"/>
        </w:rPr>
        <w:t xml:space="preserve">[zł/1m²] – </w:t>
      </w:r>
      <w:r w:rsidRPr="00E00B35">
        <w:rPr>
          <w:rFonts w:cs="Calibri"/>
          <w:szCs w:val="20"/>
        </w:rPr>
        <w:t>5 398,92</w:t>
      </w:r>
      <w:r w:rsidRPr="00E00B35">
        <w:rPr>
          <w:szCs w:val="20"/>
        </w:rPr>
        <w:t xml:space="preserve">, cena uzyskana w przetargu </w:t>
      </w:r>
      <w:r w:rsidRPr="00E00B35">
        <w:rPr>
          <w:rFonts w:eastAsia="Calibri"/>
          <w:bCs/>
          <w:szCs w:val="20"/>
        </w:rPr>
        <w:t xml:space="preserve">[zł/1m²]- </w:t>
      </w:r>
      <w:r w:rsidRPr="00E00B35">
        <w:rPr>
          <w:rFonts w:cs="Calibri"/>
          <w:color w:val="000000"/>
          <w:szCs w:val="20"/>
        </w:rPr>
        <w:t>9 682,06</w:t>
      </w:r>
    </w:p>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Józefa Rostafińskiego 8/4 (Śródmieście): </w:t>
      </w:r>
      <w:r w:rsidRPr="00E00B35">
        <w:rPr>
          <w:szCs w:val="20"/>
        </w:rPr>
        <w:t xml:space="preserve">cena wywoławcza do przetargu </w:t>
      </w:r>
      <w:r w:rsidRPr="00E00B35">
        <w:rPr>
          <w:rFonts w:eastAsia="Calibri"/>
          <w:bCs/>
          <w:szCs w:val="20"/>
        </w:rPr>
        <w:t xml:space="preserve">[zł/1m²] – </w:t>
      </w:r>
      <w:r w:rsidRPr="00E00B35">
        <w:rPr>
          <w:rFonts w:cs="Calibri"/>
          <w:szCs w:val="20"/>
        </w:rPr>
        <w:t>5 324,30</w:t>
      </w:r>
      <w:r w:rsidRPr="00E00B35">
        <w:rPr>
          <w:szCs w:val="20"/>
        </w:rPr>
        <w:t xml:space="preserve">, cena uzyskana w przetargu </w:t>
      </w:r>
      <w:r w:rsidRPr="00E00B35">
        <w:rPr>
          <w:rFonts w:eastAsia="Calibri"/>
          <w:bCs/>
          <w:szCs w:val="20"/>
        </w:rPr>
        <w:t xml:space="preserve">[zł/1m²]- </w:t>
      </w:r>
      <w:r w:rsidRPr="00E00B35">
        <w:rPr>
          <w:rFonts w:cs="Calibri"/>
          <w:color w:val="000000"/>
          <w:szCs w:val="20"/>
        </w:rPr>
        <w:t>9 682,06</w:t>
      </w:r>
    </w:p>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ul. Henryka Pobożnego 4/U1C (Śródmieście): </w:t>
      </w:r>
      <w:r w:rsidRPr="00E00B35">
        <w:rPr>
          <w:szCs w:val="20"/>
        </w:rPr>
        <w:t xml:space="preserve">cena wywoławcza do przetargu </w:t>
      </w:r>
      <w:r w:rsidRPr="00E00B35">
        <w:rPr>
          <w:rFonts w:eastAsia="Calibri"/>
          <w:bCs/>
          <w:szCs w:val="20"/>
        </w:rPr>
        <w:t xml:space="preserve">[zł/1m²] – </w:t>
      </w:r>
      <w:r w:rsidRPr="00E00B35">
        <w:rPr>
          <w:rFonts w:cs="Calibri"/>
          <w:szCs w:val="20"/>
        </w:rPr>
        <w:t>5 347,59</w:t>
      </w:r>
      <w:r w:rsidRPr="00E00B35">
        <w:rPr>
          <w:szCs w:val="20"/>
        </w:rPr>
        <w:t xml:space="preserve">, cena uzyskana w przetargu </w:t>
      </w:r>
      <w:r w:rsidRPr="00E00B35">
        <w:rPr>
          <w:rFonts w:eastAsia="Calibri"/>
          <w:bCs/>
          <w:szCs w:val="20"/>
        </w:rPr>
        <w:t xml:space="preserve">[zł/1m²]- </w:t>
      </w:r>
      <w:r w:rsidRPr="00E00B35">
        <w:rPr>
          <w:rFonts w:cs="Calibri"/>
          <w:color w:val="000000"/>
          <w:szCs w:val="20"/>
        </w:rPr>
        <w:t>6 417,11</w:t>
      </w:r>
    </w:p>
    <w:p w:rsidR="008C7751" w:rsidRPr="00E00B35" w:rsidRDefault="008C7751" w:rsidP="00E00B35">
      <w:pPr>
        <w:spacing w:after="0" w:line="312" w:lineRule="auto"/>
        <w:rPr>
          <w:rFonts w:eastAsia="Calibri"/>
          <w:szCs w:val="20"/>
        </w:rPr>
      </w:pPr>
      <w:r w:rsidRPr="00E00B35">
        <w:rPr>
          <w:rFonts w:cs="Calibri"/>
          <w:color w:val="000000"/>
          <w:szCs w:val="20"/>
        </w:rPr>
        <w:t xml:space="preserve">ul. Szczęśliwa 3/U1A (fabryczna): </w:t>
      </w:r>
      <w:r w:rsidRPr="00E00B35">
        <w:rPr>
          <w:szCs w:val="20"/>
        </w:rPr>
        <w:t xml:space="preserve">cena wywoławcza do przetargu </w:t>
      </w:r>
      <w:r w:rsidRPr="00E00B35">
        <w:rPr>
          <w:rFonts w:eastAsia="Calibri"/>
          <w:bCs/>
          <w:szCs w:val="20"/>
        </w:rPr>
        <w:t xml:space="preserve">[zł/1m²] – </w:t>
      </w:r>
      <w:r w:rsidRPr="00E00B35">
        <w:rPr>
          <w:rFonts w:cs="Calibri"/>
          <w:szCs w:val="20"/>
        </w:rPr>
        <w:t>5 399,57</w:t>
      </w:r>
      <w:r w:rsidRPr="00E00B35">
        <w:rPr>
          <w:szCs w:val="20"/>
        </w:rPr>
        <w:t xml:space="preserve">, cena uzyskana w przetargu </w:t>
      </w:r>
      <w:r w:rsidRPr="00E00B35">
        <w:rPr>
          <w:rFonts w:eastAsia="Calibri"/>
          <w:bCs/>
          <w:szCs w:val="20"/>
        </w:rPr>
        <w:t xml:space="preserve">[zł/1m²]- </w:t>
      </w:r>
      <w:r w:rsidRPr="00E00B35">
        <w:rPr>
          <w:rFonts w:cs="Calibri"/>
          <w:color w:val="000000"/>
          <w:szCs w:val="20"/>
        </w:rPr>
        <w:t>5 939,52</w:t>
      </w:r>
    </w:p>
    <w:p w:rsidR="00C20C16" w:rsidRPr="00E00B35" w:rsidRDefault="00C20C16" w:rsidP="00E00B35">
      <w:pPr>
        <w:spacing w:after="0" w:line="312" w:lineRule="auto"/>
        <w:rPr>
          <w:rFonts w:eastAsia="Calibri"/>
          <w:b/>
          <w:szCs w:val="20"/>
        </w:rPr>
      </w:pPr>
    </w:p>
    <w:p w:rsidR="008C7751" w:rsidRPr="00E00B35" w:rsidRDefault="008C7751" w:rsidP="00E00B35">
      <w:pPr>
        <w:pStyle w:val="Nagwek5"/>
        <w:rPr>
          <w:szCs w:val="20"/>
        </w:rPr>
      </w:pPr>
      <w:r w:rsidRPr="00E00B35">
        <w:rPr>
          <w:szCs w:val="20"/>
        </w:rPr>
        <w:t>Sprzedaż lokali niemieszkalnych w trybie bezprzetargowym</w:t>
      </w:r>
    </w:p>
    <w:p w:rsidR="008C7751" w:rsidRPr="00E00B35" w:rsidRDefault="008C7751" w:rsidP="00E00B35">
      <w:pPr>
        <w:spacing w:after="0" w:line="312" w:lineRule="auto"/>
        <w:rPr>
          <w:rFonts w:eastAsia="Calibri"/>
          <w:szCs w:val="20"/>
        </w:rPr>
      </w:pPr>
      <w:r w:rsidRPr="00E00B35">
        <w:rPr>
          <w:rFonts w:eastAsia="Calibri"/>
          <w:szCs w:val="20"/>
        </w:rPr>
        <w:t xml:space="preserve">W 2020 r. wpłynęło 20 wniosków o wykup lokalu stanowiącego przedmiot najmu. Po dokonaniu analizy złożonych wniosków - w szczególności pod kątem spełniania przesłanek określonych w obowiązujących przepisach prawa miejscowego przez osoby zainteresowane wykupem, wydano 13 zarządzeń w sprawie przeznaczenia lokali niemieszkalnych do sprzedaży w trybie bezprzetargowym,  przy czym w przypadku </w:t>
      </w:r>
      <w:r w:rsidRPr="00E00B35">
        <w:rPr>
          <w:rFonts w:eastAsia="Calibri"/>
          <w:b/>
          <w:szCs w:val="20"/>
        </w:rPr>
        <w:t>8</w:t>
      </w:r>
      <w:r w:rsidRPr="00E00B35">
        <w:rPr>
          <w:rFonts w:eastAsia="Calibri"/>
          <w:szCs w:val="20"/>
        </w:rPr>
        <w:t xml:space="preserve"> lokali zawarto umowę sprzedaży.</w:t>
      </w:r>
    </w:p>
    <w:p w:rsidR="00C20C16" w:rsidRPr="00E00B35" w:rsidRDefault="00C20C16" w:rsidP="00E00B35">
      <w:pPr>
        <w:pStyle w:val="Nagwek3"/>
        <w:spacing w:after="0" w:line="312" w:lineRule="auto"/>
        <w:rPr>
          <w:sz w:val="20"/>
          <w:lang w:val="pl-PL"/>
        </w:rPr>
      </w:pPr>
    </w:p>
    <w:p w:rsidR="008C7751" w:rsidRPr="00E00B35" w:rsidRDefault="008C7751" w:rsidP="00E00B35">
      <w:pPr>
        <w:pStyle w:val="Nagwek5"/>
        <w:rPr>
          <w:szCs w:val="20"/>
        </w:rPr>
      </w:pPr>
      <w:r w:rsidRPr="00E00B35">
        <w:rPr>
          <w:szCs w:val="20"/>
        </w:rPr>
        <w:t>Korekta udziałów w nieruchomości</w:t>
      </w:r>
    </w:p>
    <w:p w:rsidR="008C7751" w:rsidRPr="00E00B35" w:rsidRDefault="008C7751" w:rsidP="00E00B35">
      <w:pPr>
        <w:spacing w:after="0" w:line="312" w:lineRule="auto"/>
        <w:rPr>
          <w:szCs w:val="20"/>
        </w:rPr>
      </w:pPr>
      <w:r w:rsidRPr="00E00B35">
        <w:rPr>
          <w:szCs w:val="20"/>
        </w:rPr>
        <w:t xml:space="preserve">W opisywanym roku kontynuowane były analizy wielkości udziałów w nieruchomościach wspólnych i podejmowane działania zmierzające do korekty udziałów. Powyższe dotyczy nieruchomości, w których w wyniku adaptacji i przebudowy lokali wspólnoty mieszkaniowe podjęły uchwały w sprawie zmiany przeznaczenia nieruchomości wspólnej oraz zmiany udziałów, a także  nieruchomości, gdzie wskutek niejednolitych zasad określenia wielkości udziałów w nieruchomości wspólnej w przeszłości, obecna suma udziałów jest różna od jedności. Korekty udziałów w nieruchomościach wspólnych dokonane w omawianym okresie objęły </w:t>
      </w:r>
      <w:r w:rsidRPr="00E00B35">
        <w:rPr>
          <w:b/>
          <w:szCs w:val="20"/>
        </w:rPr>
        <w:t>309</w:t>
      </w:r>
      <w:r w:rsidRPr="00E00B35">
        <w:rPr>
          <w:szCs w:val="20"/>
        </w:rPr>
        <w:t xml:space="preserve"> właścicieli lokali. W sprawach tych przygotowane zostały 44 zarządzenia Prezydenta Wrocławia oraz zawarte zostały 22 akty notarialne.</w:t>
      </w:r>
    </w:p>
    <w:p w:rsidR="00C20C16" w:rsidRPr="00E00B35" w:rsidRDefault="00C20C16" w:rsidP="00E00B35">
      <w:pPr>
        <w:pStyle w:val="Nagwek3"/>
        <w:spacing w:after="0" w:line="312" w:lineRule="auto"/>
        <w:rPr>
          <w:sz w:val="20"/>
          <w:lang w:val="pl-PL"/>
        </w:rPr>
      </w:pPr>
    </w:p>
    <w:p w:rsidR="008C7751" w:rsidRPr="00E00B35" w:rsidRDefault="008C7751" w:rsidP="00E00B35">
      <w:pPr>
        <w:pStyle w:val="Nagwek5"/>
        <w:rPr>
          <w:szCs w:val="20"/>
        </w:rPr>
      </w:pPr>
      <w:r w:rsidRPr="00E00B35">
        <w:rPr>
          <w:szCs w:val="20"/>
        </w:rPr>
        <w:t>Postępowania realizowane w zakresie zwrotu bonifikat</w:t>
      </w:r>
    </w:p>
    <w:p w:rsidR="008C7751" w:rsidRPr="00E00B35" w:rsidRDefault="008C7751" w:rsidP="00E00B35">
      <w:pPr>
        <w:spacing w:after="0" w:line="312" w:lineRule="auto"/>
        <w:rPr>
          <w:szCs w:val="20"/>
        </w:rPr>
      </w:pPr>
      <w:r w:rsidRPr="00E00B35">
        <w:rPr>
          <w:szCs w:val="20"/>
        </w:rPr>
        <w:t xml:space="preserve">Komunalne lokale mieszkalne nabyte przez najemców na własność są przedmiotem wtórnego obrotu na rynku nieruchomości. </w:t>
      </w:r>
    </w:p>
    <w:p w:rsidR="008C7751" w:rsidRPr="00E00B35" w:rsidRDefault="008C7751" w:rsidP="00E00B35">
      <w:pPr>
        <w:spacing w:after="0" w:line="312" w:lineRule="auto"/>
        <w:rPr>
          <w:szCs w:val="20"/>
        </w:rPr>
      </w:pPr>
      <w:r w:rsidRPr="00E00B35">
        <w:rPr>
          <w:szCs w:val="20"/>
        </w:rPr>
        <w:t>Wtórny obrót lokalami sprzedanymi na rzecz najemców przez Miasto jest monitorowany z uwagi na wynikający z przepisów ustawy obowiązek żądania zwrotu kwoty równej zwaloryzowanej bonifikacie w przypadku zbycia nabytego od Gminy Wrocław lokalu.</w:t>
      </w:r>
    </w:p>
    <w:p w:rsidR="008C7751" w:rsidRPr="00E00B35" w:rsidRDefault="008C7751" w:rsidP="00E00B35">
      <w:pPr>
        <w:spacing w:after="0" w:line="312" w:lineRule="auto"/>
        <w:rPr>
          <w:szCs w:val="20"/>
        </w:rPr>
      </w:pPr>
      <w:r w:rsidRPr="00E00B35">
        <w:rPr>
          <w:szCs w:val="20"/>
        </w:rPr>
        <w:t xml:space="preserve">W wyniku analizy transakcji w roku sprawozdawczym wszczęto </w:t>
      </w:r>
      <w:r w:rsidRPr="00E00B35">
        <w:rPr>
          <w:b/>
          <w:szCs w:val="20"/>
        </w:rPr>
        <w:t>142</w:t>
      </w:r>
      <w:r w:rsidRPr="00E00B35">
        <w:rPr>
          <w:szCs w:val="20"/>
        </w:rPr>
        <w:t xml:space="preserve"> postępowania, a zakończono 135 postępowań. Przygotowano 49 zarządzeń w sprawie zwrotu bonifikaty, 23 sprawy skierowano na drogę postępowania sądowego.   Rozpatrzono 17 wniosków o </w:t>
      </w:r>
      <w:r w:rsidRPr="00E00B35">
        <w:rPr>
          <w:szCs w:val="20"/>
        </w:rPr>
        <w:lastRenderedPageBreak/>
        <w:t>odstąpienie od żądania zwrotu bonifikaty, a w 13 sprawach Prezydent Wrocławia wniósł pod obrady Rady Miejskiej Wrocławia projekty uchwał w sprawie wyrażenia zgody na odstąpienie od żądania zwrotu bonifikaty w trybie przepisu art. 68 ust. 2c ustawy o gospodarce nieruchomościami. Łączna kwota zwróconych bonifikat wyniosła 611 815,73 zł.</w:t>
      </w:r>
    </w:p>
    <w:p w:rsidR="008C7751" w:rsidRPr="00E00B35" w:rsidRDefault="008C7751" w:rsidP="00E00B35">
      <w:pPr>
        <w:spacing w:after="0" w:line="312" w:lineRule="auto"/>
        <w:rPr>
          <w:rFonts w:cs="Verdana"/>
          <w:b/>
          <w:bCs/>
          <w:szCs w:val="20"/>
        </w:rPr>
      </w:pPr>
      <w:bookmarkStart w:id="18" w:name="_Toc159725701"/>
      <w:bookmarkStart w:id="19" w:name="_Toc159847379"/>
      <w:bookmarkStart w:id="20" w:name="_Toc348975296"/>
      <w:bookmarkStart w:id="21" w:name="_Toc506548799"/>
      <w:bookmarkEnd w:id="9"/>
      <w:bookmarkEnd w:id="10"/>
      <w:bookmarkEnd w:id="11"/>
      <w:bookmarkEnd w:id="12"/>
    </w:p>
    <w:p w:rsidR="008C7751" w:rsidRPr="00E00B35" w:rsidRDefault="008C7751" w:rsidP="00E00B35">
      <w:pPr>
        <w:pStyle w:val="Nagwek4"/>
        <w:spacing w:before="0" w:after="0" w:line="312" w:lineRule="auto"/>
        <w:rPr>
          <w:sz w:val="20"/>
          <w:szCs w:val="20"/>
        </w:rPr>
      </w:pPr>
      <w:r w:rsidRPr="00E00B35">
        <w:rPr>
          <w:sz w:val="20"/>
          <w:szCs w:val="20"/>
        </w:rPr>
        <w:t>PRZEKSZTAŁCENIE PRAWA UŻYTKOWANIA WIECZYSTEGO GRUNTU W PRAWO WŁASNOŚCI</w:t>
      </w:r>
    </w:p>
    <w:p w:rsidR="008C7751" w:rsidRPr="00E00B35" w:rsidRDefault="008C7751" w:rsidP="00E00B35">
      <w:pPr>
        <w:spacing w:after="0" w:line="312" w:lineRule="auto"/>
        <w:rPr>
          <w:szCs w:val="20"/>
        </w:rPr>
      </w:pPr>
      <w:r w:rsidRPr="00E00B35">
        <w:rPr>
          <w:szCs w:val="20"/>
        </w:rPr>
        <w:t>Stan epidemii utrudniał prowadzenie postępowań na podstawie przepisów ustawy z dnia 20 lipca 2018 r. o przekształceniu prawa użytkowania wieczystego gruntów zabudowanych na cele mieszkaniowe w prawo własności tych gruntów, która nałożyła na organy administracji obowiązek wydawania zaświadczeń potwierdzających przekształcenie.</w:t>
      </w:r>
    </w:p>
    <w:p w:rsidR="008C7751" w:rsidRPr="00E00B35" w:rsidRDefault="008C7751" w:rsidP="00E00B35">
      <w:pPr>
        <w:spacing w:after="0" w:line="312" w:lineRule="auto"/>
        <w:rPr>
          <w:szCs w:val="20"/>
        </w:rPr>
      </w:pPr>
      <w:r w:rsidRPr="00E00B35">
        <w:rPr>
          <w:szCs w:val="20"/>
        </w:rPr>
        <w:t xml:space="preserve">W roku sprawozdawczym zostało wydanych </w:t>
      </w:r>
      <w:r w:rsidRPr="00E00B35">
        <w:rPr>
          <w:b/>
          <w:szCs w:val="20"/>
        </w:rPr>
        <w:t>9 254</w:t>
      </w:r>
      <w:r w:rsidRPr="00E00B35">
        <w:rPr>
          <w:szCs w:val="20"/>
        </w:rPr>
        <w:t xml:space="preserve"> zaświadczeń potwierdzających przekształcenie prawa użytkowania wieczystego w prawo własności gruntów zabudowanych na cele mieszkaniowe. Zaświadczenia są sporządzane z urzędu albo na podstawie wniosków złożonych przez właścicieli lokali. W omawianym roku wpłynęły 294 wnioski o wydanie zaświadczeń od właścicieli lokali w budynkach wielorodzinnych. </w:t>
      </w:r>
    </w:p>
    <w:p w:rsidR="008C7751" w:rsidRPr="00E00B35" w:rsidRDefault="008C7751" w:rsidP="00E00B35">
      <w:pPr>
        <w:spacing w:after="0" w:line="312" w:lineRule="auto"/>
        <w:rPr>
          <w:szCs w:val="20"/>
        </w:rPr>
      </w:pPr>
      <w:r w:rsidRPr="00E00B35">
        <w:rPr>
          <w:szCs w:val="20"/>
        </w:rPr>
        <w:t>Z tytułu przekształcenia nowy właściciel ponosi opłatę przekształceniową, z reguły, przez okres 20 lat, a w każdym czasie trwania obowiązku wnoszenia opłaty, może zgłosić zamiar jej jednorazowego uregulowania w kwocie pozostającej do spłaty. Na podstawie uchwały Nr III/29/18 Rady Miejskiej Wrocławia z dnia 20.12.2018 r. w sprawie bonifikat od opłat z tytułu przekształcenia prawa użytkowania wieczystego gruntów zabudowanych na cele mieszkaniowe w prawo własności tych gruntów, osobom fizycznym będącym właścicielami lokali mieszkalnych, udziela się 90% bonifikaty od opłaty przekształceniowej. Rozpatrzono wnioski i udzielono bonifikaty 5 243 nowym właścicielom. Dodatkowo dokonano weryfikacji kartotek finansowych wnioskodawców pod kątem ewentualnych zaległości z tytułu opłat rocznych za użytkowania wieczyste, gdyż od spełnienia tego warunku uzależnione jest udzielenie bonifikaty.</w:t>
      </w:r>
    </w:p>
    <w:p w:rsidR="008C7751" w:rsidRPr="00E00B35" w:rsidRDefault="008C7751" w:rsidP="00E00B35">
      <w:pPr>
        <w:spacing w:after="0" w:line="312" w:lineRule="auto"/>
        <w:rPr>
          <w:szCs w:val="20"/>
        </w:rPr>
      </w:pPr>
      <w:r w:rsidRPr="00E00B35">
        <w:rPr>
          <w:szCs w:val="20"/>
        </w:rPr>
        <w:t xml:space="preserve">Przy realizacji tego zadania nałożony został obowiązek stosowania przepisów o pomocy publicznej w sytuacjach, w których przedsiębiorca wnioskuje o udzielenie bonifikaty od opłaty z tytułu przekształcenia lub o zmianę okresu pozostałego do wnoszenia opłaty przekształceniowej. W okresie objętym niniejszym sprawozdaniem w 122 przypadkach zaistniały przesłanki do udzielenia pomocy de minimis, co znalazło odzwierciedlenie w wydanych zaświadczeniach. </w:t>
      </w:r>
    </w:p>
    <w:p w:rsidR="008C7751" w:rsidRPr="00E00B35" w:rsidRDefault="008C7751" w:rsidP="00E00B35">
      <w:pPr>
        <w:spacing w:after="0" w:line="312" w:lineRule="auto"/>
        <w:rPr>
          <w:szCs w:val="20"/>
        </w:rPr>
      </w:pPr>
      <w:r w:rsidRPr="00E00B35">
        <w:rPr>
          <w:szCs w:val="20"/>
        </w:rPr>
        <w:t>W ramach postępowania w sprawie przekształcenia prawa użytkowania wieczystego gruntu, wszczętego na podstawie ustawy z dnia 29 lipca 2005 r. o przekształceniu prawa użytkowania wieczystego w prawo własności nieruchomości, została wydana 1 decyzja o umorzeniu postępowania, z powodu złożenia oświadczeń przez  współużytkowników wieczystych, których suma udziałów wynosi co najmniej połowę, o kontynuowaniu postępowania według nowych przepisów. W oparciu o dotychczasową ustawę z dnia 29 lipca 2005 r. zostały wydane 3 decyzje administracyjne o zmianie decyzji.</w:t>
      </w:r>
    </w:p>
    <w:p w:rsidR="008C7751" w:rsidRPr="00E00B35" w:rsidRDefault="008C7751" w:rsidP="00E00B35">
      <w:pPr>
        <w:spacing w:after="0" w:line="312" w:lineRule="auto"/>
        <w:rPr>
          <w:szCs w:val="20"/>
        </w:rPr>
      </w:pPr>
      <w:r w:rsidRPr="00E00B35">
        <w:rPr>
          <w:szCs w:val="20"/>
        </w:rPr>
        <w:t>Podsumowując w 2020 roku wydano:</w:t>
      </w:r>
    </w:p>
    <w:p w:rsidR="008C7751" w:rsidRPr="00E00B35" w:rsidRDefault="008C7751" w:rsidP="00E00B35">
      <w:pPr>
        <w:numPr>
          <w:ilvl w:val="0"/>
          <w:numId w:val="131"/>
        </w:numPr>
        <w:spacing w:after="0" w:line="312" w:lineRule="auto"/>
        <w:ind w:left="426" w:hanging="426"/>
        <w:rPr>
          <w:bCs/>
          <w:szCs w:val="20"/>
        </w:rPr>
      </w:pPr>
      <w:r w:rsidRPr="00E00B35">
        <w:rPr>
          <w:bCs/>
          <w:szCs w:val="20"/>
        </w:rPr>
        <w:lastRenderedPageBreak/>
        <w:t>9 254 zaświadczeń potwierdzających przekształcenie prawa użytkowania wieczystego w prawo własności nieruchomości;</w:t>
      </w:r>
    </w:p>
    <w:p w:rsidR="008C7751" w:rsidRPr="00E00B35" w:rsidRDefault="008C7751" w:rsidP="00E00B35">
      <w:pPr>
        <w:numPr>
          <w:ilvl w:val="0"/>
          <w:numId w:val="131"/>
        </w:numPr>
        <w:spacing w:after="0" w:line="312" w:lineRule="auto"/>
        <w:ind w:left="426" w:hanging="426"/>
        <w:rPr>
          <w:bCs/>
          <w:szCs w:val="20"/>
        </w:rPr>
      </w:pPr>
      <w:r w:rsidRPr="00E00B35">
        <w:rPr>
          <w:bCs/>
          <w:szCs w:val="20"/>
        </w:rPr>
        <w:t xml:space="preserve">5 243 informacje o opłacie jednorazowej i udzieleniu bonifikaty od opłaty jednorazowej; </w:t>
      </w:r>
    </w:p>
    <w:p w:rsidR="008C7751" w:rsidRPr="00E00B35" w:rsidRDefault="008C7751" w:rsidP="00E00B35">
      <w:pPr>
        <w:numPr>
          <w:ilvl w:val="0"/>
          <w:numId w:val="131"/>
        </w:numPr>
        <w:spacing w:after="0" w:line="312" w:lineRule="auto"/>
        <w:ind w:left="426" w:hanging="426"/>
        <w:rPr>
          <w:bCs/>
          <w:szCs w:val="20"/>
        </w:rPr>
      </w:pPr>
      <w:r w:rsidRPr="00E00B35">
        <w:rPr>
          <w:bCs/>
          <w:szCs w:val="20"/>
        </w:rPr>
        <w:t>122 zaświadczenia o pomocy de minimis w związku z realizacją ww. ustawy;</w:t>
      </w:r>
    </w:p>
    <w:p w:rsidR="008C7751" w:rsidRPr="00E00B35" w:rsidRDefault="008C7751" w:rsidP="00E00B35">
      <w:pPr>
        <w:numPr>
          <w:ilvl w:val="0"/>
          <w:numId w:val="131"/>
        </w:numPr>
        <w:spacing w:after="0" w:line="312" w:lineRule="auto"/>
        <w:ind w:left="426" w:hanging="426"/>
        <w:rPr>
          <w:bCs/>
          <w:szCs w:val="20"/>
        </w:rPr>
      </w:pPr>
      <w:r w:rsidRPr="00E00B35">
        <w:rPr>
          <w:bCs/>
          <w:szCs w:val="20"/>
        </w:rPr>
        <w:t>1 decyzję o umorzeniu postępowania;</w:t>
      </w:r>
    </w:p>
    <w:p w:rsidR="008C7751" w:rsidRPr="00E00B35" w:rsidRDefault="008C7751" w:rsidP="00E00B35">
      <w:pPr>
        <w:numPr>
          <w:ilvl w:val="0"/>
          <w:numId w:val="131"/>
        </w:numPr>
        <w:spacing w:after="0" w:line="312" w:lineRule="auto"/>
        <w:ind w:left="426" w:hanging="426"/>
        <w:rPr>
          <w:bCs/>
          <w:szCs w:val="20"/>
        </w:rPr>
      </w:pPr>
      <w:r w:rsidRPr="00E00B35">
        <w:rPr>
          <w:bCs/>
          <w:szCs w:val="20"/>
        </w:rPr>
        <w:t>3 decyzje administracyjne o zmianie decyzji.</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NABYWANIE NIERUCHOMOŚCI DO ZASOBU GMINY WROCŁAW</w:t>
      </w:r>
      <w:bookmarkEnd w:id="18"/>
      <w:bookmarkEnd w:id="19"/>
      <w:bookmarkEnd w:id="20"/>
      <w:bookmarkEnd w:id="21"/>
    </w:p>
    <w:p w:rsidR="008C7751" w:rsidRPr="00E00B35" w:rsidRDefault="008C7751" w:rsidP="00E00B35">
      <w:pPr>
        <w:spacing w:after="0" w:line="312" w:lineRule="auto"/>
        <w:rPr>
          <w:bCs/>
          <w:szCs w:val="20"/>
        </w:rPr>
      </w:pPr>
      <w:bookmarkStart w:id="22" w:name="OLE_LINK12"/>
      <w:bookmarkEnd w:id="13"/>
      <w:bookmarkEnd w:id="14"/>
      <w:bookmarkEnd w:id="15"/>
      <w:bookmarkEnd w:id="16"/>
      <w:r w:rsidRPr="00E00B35">
        <w:rPr>
          <w:color w:val="000000"/>
          <w:szCs w:val="20"/>
        </w:rPr>
        <w:t>W 2020 r.</w:t>
      </w:r>
      <w:r w:rsidRPr="00E00B35">
        <w:rPr>
          <w:szCs w:val="20"/>
        </w:rPr>
        <w:t xml:space="preserve"> wykonywano zadania z zakresu wypłat odszkodowań za grunty, które wydzielone zostały pod drogi publiczne, planowane pod budowę lub pod poszerzenie już istniejących. </w:t>
      </w:r>
    </w:p>
    <w:p w:rsidR="008C7751" w:rsidRPr="00E00B35" w:rsidRDefault="008C7751" w:rsidP="00E00B35">
      <w:pPr>
        <w:spacing w:after="0" w:line="312" w:lineRule="auto"/>
        <w:rPr>
          <w:bCs/>
          <w:szCs w:val="20"/>
        </w:rPr>
      </w:pPr>
      <w:r w:rsidRPr="00E00B35">
        <w:rPr>
          <w:bCs/>
          <w:szCs w:val="20"/>
        </w:rPr>
        <w:t xml:space="preserve">W związku z realizacją inwestycji w zakresie infrastruktury drogowej </w:t>
      </w:r>
      <w:r w:rsidRPr="00E00B35">
        <w:rPr>
          <w:szCs w:val="20"/>
        </w:rPr>
        <w:t>prowadzone były postępowania odszkodowawcze, obejmujące następujące zadania</w:t>
      </w:r>
      <w:r w:rsidRPr="00E00B35">
        <w:rPr>
          <w:bCs/>
          <w:szCs w:val="20"/>
        </w:rPr>
        <w:t>:</w:t>
      </w:r>
    </w:p>
    <w:p w:rsidR="008C7751" w:rsidRPr="00E00B35" w:rsidRDefault="008C7751" w:rsidP="00E00B35">
      <w:pPr>
        <w:numPr>
          <w:ilvl w:val="0"/>
          <w:numId w:val="131"/>
        </w:numPr>
        <w:spacing w:after="0" w:line="312" w:lineRule="auto"/>
        <w:rPr>
          <w:bCs/>
          <w:szCs w:val="20"/>
        </w:rPr>
      </w:pPr>
      <w:r w:rsidRPr="00E00B35">
        <w:rPr>
          <w:bCs/>
          <w:szCs w:val="20"/>
        </w:rPr>
        <w:t xml:space="preserve">trasa autobusowo - tramwajowa (TAT) łącząca Nowy Dwór z Centrum Wrocławia -  będąca największą inwestycją komunikacyjną miasta od 1949 r., o długości 7 kilometrów z dwoma wiaduktami: 160 metrowy nad torami kolejowymi i 22 metrowy nad ulicą Smolecką, </w:t>
      </w:r>
    </w:p>
    <w:p w:rsidR="008C7751" w:rsidRPr="00E00B35" w:rsidRDefault="008C7751" w:rsidP="00E00B35">
      <w:pPr>
        <w:numPr>
          <w:ilvl w:val="0"/>
          <w:numId w:val="131"/>
        </w:numPr>
        <w:spacing w:after="0" w:line="312" w:lineRule="auto"/>
        <w:rPr>
          <w:bCs/>
          <w:szCs w:val="20"/>
        </w:rPr>
      </w:pPr>
      <w:r w:rsidRPr="00E00B35">
        <w:rPr>
          <w:bCs/>
          <w:szCs w:val="20"/>
        </w:rPr>
        <w:t xml:space="preserve">trasa tramwajowa wzdłuż ul. Popowickiej - Starogroblowej - Długiej, </w:t>
      </w:r>
    </w:p>
    <w:p w:rsidR="008C7751" w:rsidRPr="00E00B35" w:rsidRDefault="008C7751" w:rsidP="00E00B35">
      <w:pPr>
        <w:numPr>
          <w:ilvl w:val="0"/>
          <w:numId w:val="131"/>
        </w:numPr>
        <w:spacing w:after="0" w:line="312" w:lineRule="auto"/>
        <w:rPr>
          <w:bCs/>
          <w:szCs w:val="20"/>
        </w:rPr>
      </w:pPr>
      <w:r w:rsidRPr="00E00B35">
        <w:rPr>
          <w:bCs/>
          <w:szCs w:val="20"/>
        </w:rPr>
        <w:t xml:space="preserve">budowa odcinka drogi 2KDL i pętli autobusowej zlokalizowanej przy ul. Kosmonautów umożliwiająca skomunikowanie planowanego nowego centrum onkologii, </w:t>
      </w:r>
    </w:p>
    <w:p w:rsidR="008C7751" w:rsidRPr="00E00B35" w:rsidRDefault="008C7751" w:rsidP="00E00B35">
      <w:pPr>
        <w:numPr>
          <w:ilvl w:val="0"/>
          <w:numId w:val="131"/>
        </w:numPr>
        <w:spacing w:after="0" w:line="312" w:lineRule="auto"/>
        <w:rPr>
          <w:bCs/>
          <w:szCs w:val="20"/>
        </w:rPr>
      </w:pPr>
      <w:r w:rsidRPr="00E00B35">
        <w:rPr>
          <w:bCs/>
          <w:szCs w:val="20"/>
        </w:rPr>
        <w:t xml:space="preserve">budowa Osi Zachodniej we Wrocławiu - Aleja Stabłowicka, </w:t>
      </w:r>
    </w:p>
    <w:p w:rsidR="008C7751" w:rsidRPr="00E00B35" w:rsidRDefault="008C7751" w:rsidP="00E00B35">
      <w:pPr>
        <w:numPr>
          <w:ilvl w:val="0"/>
          <w:numId w:val="131"/>
        </w:numPr>
        <w:spacing w:after="0" w:line="312" w:lineRule="auto"/>
        <w:rPr>
          <w:bCs/>
          <w:szCs w:val="20"/>
        </w:rPr>
      </w:pPr>
      <w:r w:rsidRPr="00E00B35">
        <w:rPr>
          <w:bCs/>
          <w:szCs w:val="20"/>
        </w:rPr>
        <w:t xml:space="preserve">rozbudowa i przebudowa ul. Zajączkowskiej, rozbudowa ul. Obornickiej, przebudowa ul. Buforowej, </w:t>
      </w:r>
    </w:p>
    <w:p w:rsidR="008C7751" w:rsidRPr="00E00B35" w:rsidRDefault="008C7751" w:rsidP="00E00B35">
      <w:pPr>
        <w:numPr>
          <w:ilvl w:val="0"/>
          <w:numId w:val="131"/>
        </w:numPr>
        <w:spacing w:after="0" w:line="312" w:lineRule="auto"/>
        <w:rPr>
          <w:bCs/>
          <w:szCs w:val="20"/>
        </w:rPr>
      </w:pPr>
      <w:r w:rsidRPr="00E00B35">
        <w:rPr>
          <w:bCs/>
          <w:szCs w:val="20"/>
        </w:rPr>
        <w:t>rozbudowa oraz przebudowa dróg istniejących, w szczególności w celu budowy tras rowerowych i ciągów pieszo-rowerowych (m.in. wzdłuż ul. Karkonoskiej), dróg o charakterze krajowym, wojewódzkim i lokalnym.</w:t>
      </w:r>
    </w:p>
    <w:p w:rsidR="008C7751" w:rsidRPr="00E00B35" w:rsidRDefault="008C7751" w:rsidP="00E00B35">
      <w:pPr>
        <w:spacing w:after="0" w:line="312" w:lineRule="auto"/>
        <w:rPr>
          <w:szCs w:val="20"/>
        </w:rPr>
      </w:pPr>
      <w:r w:rsidRPr="00E00B35">
        <w:rPr>
          <w:szCs w:val="20"/>
        </w:rPr>
        <w:t xml:space="preserve">Dla potrzeb realizacji celów rozwojowych i publicznych pozyskano do zasobu Miasta nieruchomości niezabudowane oraz zabudowane. Całkowita kwota wydatkowana przez Miasto wyniosła 22,98 mln zł. </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p>
    <w:p w:rsidR="008C7751" w:rsidRPr="00E00B35" w:rsidRDefault="008C7751" w:rsidP="00E00B35">
      <w:pPr>
        <w:pStyle w:val="Nagwek5"/>
        <w:rPr>
          <w:szCs w:val="20"/>
        </w:rPr>
      </w:pPr>
      <w:r w:rsidRPr="00E00B35">
        <w:rPr>
          <w:szCs w:val="20"/>
        </w:rPr>
        <w:t xml:space="preserve">Wypłata odszkodowań na podstawie art. 98 ustawy o gospodarce nieruchomościami </w:t>
      </w:r>
    </w:p>
    <w:p w:rsidR="008C7751" w:rsidRPr="00E00B35" w:rsidRDefault="008C7751" w:rsidP="00E00B35">
      <w:pPr>
        <w:spacing w:after="0" w:line="312" w:lineRule="auto"/>
        <w:rPr>
          <w:rFonts w:cs="Verdana"/>
          <w:szCs w:val="20"/>
        </w:rPr>
      </w:pPr>
      <w:r w:rsidRPr="00E00B35">
        <w:rPr>
          <w:rFonts w:cs="Verdana"/>
          <w:szCs w:val="20"/>
        </w:rPr>
        <w:t xml:space="preserve">Za grunty, wydzielone na podstawie art. 98 ustawy o gospodarce nieruchomościami pod drogi publiczne, które z mocy prawa przeszły na własność Miasta, byłym posiadaczom i użytkownikom wieczystym przysługuje odszkodowanie. Postępowania prowadzone były w trybie cywilnoprawnym – na wniosek byłego właściciela, a także w administracyjnym –w przypadku, gdy nie doszło do podpisania porozumienia. Wypłata odszkodowań na rzecz właściciela lub użytkownika wieczystego realizowana była poprzez wypłatę środków finansowych. </w:t>
      </w:r>
    </w:p>
    <w:p w:rsidR="008C7751" w:rsidRPr="00E00B35" w:rsidRDefault="001C170D" w:rsidP="00E00B35">
      <w:pPr>
        <w:spacing w:after="0" w:line="312" w:lineRule="auto"/>
        <w:rPr>
          <w:b/>
          <w:szCs w:val="20"/>
        </w:rPr>
      </w:pPr>
      <w:r w:rsidRPr="00E00B35">
        <w:rPr>
          <w:b/>
          <w:szCs w:val="20"/>
        </w:rPr>
        <w:lastRenderedPageBreak/>
        <w:br/>
      </w:r>
      <w:r w:rsidR="008C7751" w:rsidRPr="00E00B35">
        <w:rPr>
          <w:b/>
          <w:szCs w:val="20"/>
        </w:rPr>
        <w:t>Wypłata odszkodowań na podstawie art. 98 ustawy o gospodarce nieruchomościami (Źródło: UMW)</w:t>
      </w:r>
    </w:p>
    <w:p w:rsidR="008C7751" w:rsidRPr="00E00B35" w:rsidRDefault="008C7751" w:rsidP="00E00B35">
      <w:pPr>
        <w:spacing w:after="0" w:line="312" w:lineRule="auto"/>
        <w:rPr>
          <w:szCs w:val="20"/>
        </w:rPr>
      </w:pPr>
      <w:r w:rsidRPr="00E00B35">
        <w:rPr>
          <w:szCs w:val="20"/>
        </w:rPr>
        <w:t>Porozumienia: liczba postępowań – 12, powierzchnia przejętych gruntów [ha] – 2,76, kwota wypłaconych odszkodowań [zł] – 2 366 629,00</w:t>
      </w:r>
    </w:p>
    <w:p w:rsidR="008C7751" w:rsidRPr="00E00B35" w:rsidRDefault="008C7751" w:rsidP="00E00B35">
      <w:pPr>
        <w:spacing w:after="0" w:line="312" w:lineRule="auto"/>
        <w:rPr>
          <w:szCs w:val="20"/>
        </w:rPr>
      </w:pPr>
      <w:r w:rsidRPr="00E00B35">
        <w:rPr>
          <w:szCs w:val="20"/>
        </w:rPr>
        <w:t>Decyzje administracyjne: liczba postępowań – 3, powierzchnia przejętych gruntów [ha} – 0,34, kwota wypłaconych odszkodowań [zł] – 384 984,00</w:t>
      </w:r>
    </w:p>
    <w:p w:rsidR="008C7751" w:rsidRPr="00E00B35" w:rsidRDefault="008C7751" w:rsidP="00E00B35">
      <w:pPr>
        <w:spacing w:after="0" w:line="312" w:lineRule="auto"/>
        <w:rPr>
          <w:szCs w:val="20"/>
        </w:rPr>
      </w:pPr>
      <w:r w:rsidRPr="00E00B35">
        <w:rPr>
          <w:szCs w:val="20"/>
        </w:rPr>
        <w:t>Suma: liczba postępowań – 15, powierzchnia przejętych gruntów [ha} – 3,1, kwota wypłaconych odszkodowań [zł] – 2 751 613,00</w:t>
      </w:r>
    </w:p>
    <w:p w:rsidR="008C7751" w:rsidRPr="00E00B35" w:rsidRDefault="008C7751" w:rsidP="00E00B35">
      <w:pPr>
        <w:spacing w:after="0" w:line="312" w:lineRule="auto"/>
        <w:rPr>
          <w:bCs/>
          <w:szCs w:val="20"/>
        </w:rPr>
      </w:pPr>
      <w:r w:rsidRPr="00E00B35">
        <w:rPr>
          <w:rFonts w:cs="Verdana"/>
          <w:szCs w:val="20"/>
          <w:shd w:val="clear" w:color="auto" w:fill="FFFFFF"/>
        </w:rPr>
        <w:t>W opisywanym okresie prowadzono 142 postępowania.</w:t>
      </w:r>
      <w:r w:rsidRPr="00E00B35">
        <w:rPr>
          <w:rFonts w:cs="Verdana"/>
          <w:szCs w:val="20"/>
        </w:rPr>
        <w:t xml:space="preserve"> Z uwagi na trudności spowodowane epidemią m.in. </w:t>
      </w:r>
      <w:r w:rsidRPr="00E00B35">
        <w:rPr>
          <w:szCs w:val="20"/>
        </w:rPr>
        <w:t xml:space="preserve">wydłużone procedury administracyjne oraz </w:t>
      </w:r>
      <w:r w:rsidRPr="00E00B35">
        <w:rPr>
          <w:rFonts w:cs="Verdana"/>
          <w:szCs w:val="20"/>
        </w:rPr>
        <w:t>czasowy brak kontaktu</w:t>
      </w:r>
      <w:r w:rsidRPr="00E00B35">
        <w:rPr>
          <w:szCs w:val="20"/>
        </w:rPr>
        <w:t xml:space="preserve"> bezpośredniego z klientem zewnętrznym </w:t>
      </w:r>
      <w:r w:rsidRPr="00E00B35">
        <w:rPr>
          <w:rFonts w:cs="Verdana"/>
          <w:szCs w:val="20"/>
        </w:rPr>
        <w:t xml:space="preserve">15 spraw zakończyło się wypłatą odszkodowania na kwotę 2,75 mln zł za grunty o powierzchni 3,10 ha. </w:t>
      </w:r>
      <w:r w:rsidRPr="00E00B35">
        <w:rPr>
          <w:szCs w:val="20"/>
        </w:rPr>
        <w:t xml:space="preserve">W trzech przypadkach nie doszło do uzgodnienia odszkodowania i zostało ono ustalone w postępowaniach administracyjnych przez organ administracji publicznej. </w:t>
      </w:r>
      <w:r w:rsidRPr="00E00B35">
        <w:rPr>
          <w:rFonts w:cs="Verdana"/>
          <w:szCs w:val="20"/>
        </w:rPr>
        <w:t xml:space="preserve">Miasto zobowiązane było do wypłaty odszkodowania za grunty, jak również za części składowe znajdujące się na nich w chwili przejścia z mocy prawa własności nieruchomości na Gminę Wrocław. Średnia wartość jednostkowa gruntu przeznaczonego pod drogi publiczne, za które Miasto wypłaciło </w:t>
      </w:r>
      <w:r w:rsidRPr="00E00B35">
        <w:rPr>
          <w:bCs/>
          <w:szCs w:val="20"/>
        </w:rPr>
        <w:t>odszkodowanie w trybie art. 98 ustawy o gospodarce nieruchomościami, bez części składowych gruntu, wyniosła 88,42 zł/m</w:t>
      </w:r>
      <w:r w:rsidRPr="00E00B35">
        <w:rPr>
          <w:bCs/>
          <w:szCs w:val="20"/>
          <w:vertAlign w:val="superscript"/>
        </w:rPr>
        <w:t>2</w:t>
      </w:r>
      <w:r w:rsidRPr="00E00B35">
        <w:rPr>
          <w:bCs/>
          <w:szCs w:val="20"/>
        </w:rPr>
        <w:t>.</w:t>
      </w:r>
    </w:p>
    <w:p w:rsidR="008C7751" w:rsidRPr="00E00B35" w:rsidRDefault="001C170D" w:rsidP="00E00B35">
      <w:pPr>
        <w:pStyle w:val="Nagwek5"/>
        <w:rPr>
          <w:szCs w:val="20"/>
        </w:rPr>
      </w:pPr>
      <w:r w:rsidRPr="00E00B35">
        <w:rPr>
          <w:szCs w:val="20"/>
        </w:rPr>
        <w:br/>
      </w:r>
      <w:r w:rsidR="008C7751" w:rsidRPr="00E00B35">
        <w:rPr>
          <w:szCs w:val="20"/>
        </w:rPr>
        <w:t>Wypłata odszkodowań za grunty przejęte w trybie ustawy o zezwoleniu na realizację inwestycji drogowej (zrid)</w:t>
      </w:r>
    </w:p>
    <w:p w:rsidR="008C7751" w:rsidRPr="00E00B35" w:rsidRDefault="008C7751" w:rsidP="00E00B35">
      <w:pPr>
        <w:spacing w:after="0" w:line="312" w:lineRule="auto"/>
        <w:rPr>
          <w:bCs/>
          <w:szCs w:val="20"/>
        </w:rPr>
      </w:pPr>
      <w:r w:rsidRPr="00E00B35">
        <w:rPr>
          <w:szCs w:val="20"/>
        </w:rPr>
        <w:t xml:space="preserve">W związku z realizacją przez Wrocław inwestycji infrastrukturalnych budowy, </w:t>
      </w:r>
      <w:r w:rsidRPr="00E00B35">
        <w:rPr>
          <w:rFonts w:cs="Verdana"/>
          <w:szCs w:val="20"/>
        </w:rPr>
        <w:t xml:space="preserve">rozbudowy i modernizacji układu komunikacyjnego – dróg gminnych, powiatowych, wojewódzkich i krajowych oraz </w:t>
      </w:r>
      <w:r w:rsidRPr="00E00B35">
        <w:rPr>
          <w:bCs/>
          <w:szCs w:val="20"/>
        </w:rPr>
        <w:t>rozwoju tras rowerowych i ciągów pieszo-rowerowych</w:t>
      </w:r>
      <w:r w:rsidRPr="00E00B35">
        <w:rPr>
          <w:rFonts w:cs="Verdana"/>
          <w:szCs w:val="20"/>
        </w:rPr>
        <w:t xml:space="preserve"> w ramach przebudowy dró</w:t>
      </w:r>
      <w:r w:rsidRPr="00E00B35">
        <w:rPr>
          <w:bCs/>
          <w:szCs w:val="20"/>
        </w:rPr>
        <w:t>g,</w:t>
      </w:r>
      <w:r w:rsidRPr="00E00B35">
        <w:rPr>
          <w:rFonts w:cs="Verdana"/>
          <w:szCs w:val="20"/>
        </w:rPr>
        <w:t xml:space="preserve"> kontynuowano</w:t>
      </w:r>
      <w:r w:rsidRPr="00E00B35">
        <w:rPr>
          <w:bCs/>
          <w:szCs w:val="20"/>
        </w:rPr>
        <w:t xml:space="preserve"> zadania z zakresu postępowań odszkodowawczych rozpoczętych w latach ubiegłych, jak również nowych, podjętych w roku 2020. </w:t>
      </w:r>
      <w:r w:rsidRPr="00E00B35">
        <w:rPr>
          <w:szCs w:val="20"/>
        </w:rPr>
        <w:t xml:space="preserve">Za nieruchomości przejęte z mocy prawa, pod drogi publiczne na podstawie ustawy o szczególnych zasadach przygotowania i realizacji inwestycji w zakresie dróg </w:t>
      </w:r>
      <w:r w:rsidRPr="00E00B35">
        <w:rPr>
          <w:bCs/>
          <w:szCs w:val="20"/>
        </w:rPr>
        <w:t xml:space="preserve">publicznych </w:t>
      </w:r>
      <w:bookmarkStart w:id="23" w:name="OLE_LINK19"/>
      <w:r w:rsidRPr="00E00B35">
        <w:rPr>
          <w:rFonts w:cs="Verdana"/>
          <w:szCs w:val="20"/>
        </w:rPr>
        <w:t xml:space="preserve">odszkodowania dla byłych właścicieli, użytkowników wieczystych oraz osób, którym przysługiwały do nieruchomości ograniczone prawa rzeczowe, </w:t>
      </w:r>
      <w:bookmarkEnd w:id="23"/>
      <w:r w:rsidRPr="00E00B35">
        <w:rPr>
          <w:rFonts w:cs="Verdana"/>
          <w:szCs w:val="20"/>
        </w:rPr>
        <w:t>ustalane były w trybie administracyjnym. W przypadku nieruchomości</w:t>
      </w:r>
      <w:r w:rsidRPr="00E00B35">
        <w:rPr>
          <w:szCs w:val="20"/>
        </w:rPr>
        <w:t xml:space="preserve"> przeznaczonych pod drogi wojewódzkie i krajowe odszkodowania ustalane były przez Wojewodę</w:t>
      </w:r>
      <w:r w:rsidRPr="00E00B35">
        <w:rPr>
          <w:rFonts w:cs="Verdana"/>
          <w:szCs w:val="20"/>
        </w:rPr>
        <w:t xml:space="preserve"> Dolnośląskiego</w:t>
      </w:r>
      <w:r w:rsidRPr="00E00B35">
        <w:rPr>
          <w:szCs w:val="20"/>
        </w:rPr>
        <w:t xml:space="preserve">, a w przypadku dróg gminnych i powiatowych - przez starostów </w:t>
      </w:r>
      <w:r w:rsidRPr="00E00B35">
        <w:rPr>
          <w:rFonts w:cs="Verdana"/>
          <w:szCs w:val="20"/>
        </w:rPr>
        <w:t xml:space="preserve">wyznaczonych przez </w:t>
      </w:r>
      <w:r w:rsidRPr="00E00B35">
        <w:rPr>
          <w:szCs w:val="20"/>
        </w:rPr>
        <w:t>wojewodę. Do wypłaty odszkodowań za nieruchomości nabyte pod drogi publiczne do zasobu</w:t>
      </w:r>
      <w:r w:rsidRPr="00E00B35">
        <w:rPr>
          <w:rFonts w:cs="Verdana"/>
          <w:szCs w:val="20"/>
        </w:rPr>
        <w:t xml:space="preserve"> Gminy Wrocław, Skarbu Państwa oraz Województwa Dolnośląskiego, zobowiązany był Prezydent Wrocławia jako zarządca dróg w mieście na prawach powiatu.</w:t>
      </w:r>
    </w:p>
    <w:p w:rsidR="008C7751" w:rsidRPr="00E00B35" w:rsidRDefault="001C170D" w:rsidP="00E00B35">
      <w:pPr>
        <w:spacing w:after="0" w:line="312" w:lineRule="auto"/>
        <w:rPr>
          <w:b/>
          <w:szCs w:val="20"/>
        </w:rPr>
      </w:pPr>
      <w:r w:rsidRPr="00E00B35">
        <w:rPr>
          <w:b/>
          <w:szCs w:val="20"/>
        </w:rPr>
        <w:br/>
      </w:r>
      <w:r w:rsidR="008C7751" w:rsidRPr="00E00B35">
        <w:rPr>
          <w:b/>
          <w:szCs w:val="20"/>
        </w:rPr>
        <w:t>Zadania inwestycyjne budowy, rozbudowy i modernizacji układu komunikacyjnego realizowane przez Gminę Wrocław, których dotyczyły postępowania administracyjne w trybie zrid (Źródło: UMW)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7654"/>
      </w:tblGrid>
      <w:tr w:rsidR="008C7751" w:rsidRPr="00E00B35" w:rsidTr="008C7751">
        <w:tc>
          <w:tcPr>
            <w:tcW w:w="1418" w:type="dxa"/>
            <w:vAlign w:val="center"/>
          </w:tcPr>
          <w:p w:rsidR="008C7751" w:rsidRPr="00E00B35" w:rsidRDefault="008C7751" w:rsidP="00E00B35">
            <w:pPr>
              <w:autoSpaceDE w:val="0"/>
              <w:autoSpaceDN w:val="0"/>
              <w:adjustRightInd w:val="0"/>
              <w:spacing w:after="0" w:line="312" w:lineRule="auto"/>
              <w:rPr>
                <w:rFonts w:cs="Verdana"/>
                <w:szCs w:val="20"/>
              </w:rPr>
            </w:pPr>
            <w:r w:rsidRPr="00E00B35">
              <w:rPr>
                <w:rFonts w:cs="Verdana"/>
                <w:szCs w:val="20"/>
              </w:rPr>
              <w:t xml:space="preserve">Kategoria </w:t>
            </w:r>
            <w:r w:rsidRPr="00E00B35">
              <w:rPr>
                <w:rFonts w:cs="Verdana"/>
                <w:szCs w:val="20"/>
              </w:rPr>
              <w:lastRenderedPageBreak/>
              <w:t>drogi/ właściciel</w:t>
            </w:r>
          </w:p>
        </w:tc>
        <w:tc>
          <w:tcPr>
            <w:tcW w:w="7654" w:type="dxa"/>
            <w:vAlign w:val="center"/>
          </w:tcPr>
          <w:p w:rsidR="008C7751" w:rsidRPr="00E00B35" w:rsidRDefault="008C7751" w:rsidP="00E00B35">
            <w:pPr>
              <w:autoSpaceDE w:val="0"/>
              <w:autoSpaceDN w:val="0"/>
              <w:adjustRightInd w:val="0"/>
              <w:spacing w:after="0" w:line="312" w:lineRule="auto"/>
              <w:rPr>
                <w:rFonts w:cs="Verdana"/>
                <w:szCs w:val="20"/>
              </w:rPr>
            </w:pPr>
            <w:r w:rsidRPr="00E00B35">
              <w:rPr>
                <w:rFonts w:cs="Verdana"/>
                <w:szCs w:val="20"/>
              </w:rPr>
              <w:lastRenderedPageBreak/>
              <w:t>Zadania inwestycyjne</w:t>
            </w:r>
          </w:p>
        </w:tc>
      </w:tr>
      <w:tr w:rsidR="008C7751" w:rsidRPr="00E00B35" w:rsidTr="00C20C16">
        <w:trPr>
          <w:trHeight w:val="5037"/>
        </w:trPr>
        <w:tc>
          <w:tcPr>
            <w:tcW w:w="1418" w:type="dxa"/>
            <w:vAlign w:val="center"/>
          </w:tcPr>
          <w:p w:rsidR="008C7751" w:rsidRPr="00E00B35" w:rsidRDefault="008C7751" w:rsidP="00E00B35">
            <w:pPr>
              <w:autoSpaceDE w:val="0"/>
              <w:autoSpaceDN w:val="0"/>
              <w:adjustRightInd w:val="0"/>
              <w:spacing w:after="0" w:line="312" w:lineRule="auto"/>
              <w:rPr>
                <w:rFonts w:cs="Verdana"/>
                <w:szCs w:val="20"/>
              </w:rPr>
            </w:pPr>
            <w:r w:rsidRPr="00E00B35">
              <w:rPr>
                <w:rFonts w:cs="Verdana"/>
                <w:szCs w:val="20"/>
              </w:rPr>
              <w:lastRenderedPageBreak/>
              <w:t xml:space="preserve">drogi gminne </w:t>
            </w:r>
          </w:p>
          <w:p w:rsidR="008C7751" w:rsidRPr="00E00B35" w:rsidRDefault="008C7751" w:rsidP="00E00B35">
            <w:pPr>
              <w:autoSpaceDE w:val="0"/>
              <w:autoSpaceDN w:val="0"/>
              <w:adjustRightInd w:val="0"/>
              <w:spacing w:after="0" w:line="312" w:lineRule="auto"/>
              <w:rPr>
                <w:rFonts w:cs="Verdana"/>
                <w:szCs w:val="20"/>
              </w:rPr>
            </w:pPr>
            <w:r w:rsidRPr="00E00B35">
              <w:rPr>
                <w:rFonts w:cs="Verdana"/>
                <w:szCs w:val="20"/>
              </w:rPr>
              <w:t>i powiatowe –</w:t>
            </w:r>
          </w:p>
          <w:p w:rsidR="008C7751" w:rsidRPr="00E00B35" w:rsidRDefault="008C7751" w:rsidP="00E00B35">
            <w:pPr>
              <w:autoSpaceDE w:val="0"/>
              <w:autoSpaceDN w:val="0"/>
              <w:adjustRightInd w:val="0"/>
              <w:spacing w:after="0" w:line="312" w:lineRule="auto"/>
              <w:rPr>
                <w:rFonts w:cs="Verdana"/>
                <w:szCs w:val="20"/>
              </w:rPr>
            </w:pPr>
            <w:r w:rsidRPr="00E00B35">
              <w:rPr>
                <w:rFonts w:cs="Verdana"/>
                <w:szCs w:val="20"/>
              </w:rPr>
              <w:t>własność Gminy</w:t>
            </w:r>
          </w:p>
          <w:p w:rsidR="008C7751" w:rsidRPr="00E00B35" w:rsidRDefault="008C7751" w:rsidP="00E00B35">
            <w:pPr>
              <w:autoSpaceDE w:val="0"/>
              <w:autoSpaceDN w:val="0"/>
              <w:adjustRightInd w:val="0"/>
              <w:spacing w:after="0" w:line="312" w:lineRule="auto"/>
              <w:rPr>
                <w:rFonts w:cs="Verdana"/>
                <w:szCs w:val="20"/>
              </w:rPr>
            </w:pPr>
            <w:r w:rsidRPr="00E00B35">
              <w:rPr>
                <w:rFonts w:cs="Verdana"/>
                <w:szCs w:val="20"/>
              </w:rPr>
              <w:t>Wrocław</w:t>
            </w:r>
          </w:p>
          <w:p w:rsidR="008C7751" w:rsidRPr="00E00B35" w:rsidRDefault="008C7751" w:rsidP="00E00B35">
            <w:pPr>
              <w:autoSpaceDE w:val="0"/>
              <w:autoSpaceDN w:val="0"/>
              <w:adjustRightInd w:val="0"/>
              <w:spacing w:after="0" w:line="312" w:lineRule="auto"/>
              <w:rPr>
                <w:szCs w:val="20"/>
              </w:rPr>
            </w:pPr>
          </w:p>
        </w:tc>
        <w:tc>
          <w:tcPr>
            <w:tcW w:w="7654" w:type="dxa"/>
          </w:tcPr>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Budowa wydzielonej trasy autobusowo-tramwajowej łączącej Nowy Dwór z Centrum Wrocławia</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Popowickiej, ul. Starogrobiowej, ul. Długiej (budowa trasy tramwajowej)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 xml:space="preserve">Budowa Osi Zachodniej we Wrocławiu w ciągu drogi krajowej nr 94 </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Część 1: Aleja Stabłowicka</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Oś Inkubacji – Etap II, odcinek od ul. Granicznej do ul. Rakietowej,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Cynamonowej na odcinku od ul. Pełczyńskiej do ul. Waniliowej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B. Krzywoustego na odcinku od al. Jana III Sobieskiego do ul. Kiełczowskiej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Ślężnej na odcinku od ul. Swobodnej do ul. Dyrekcyjnej,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Stefana Wyszyńskiego na odcinku od ul. Benedyktyńskiej do ul. Damrota</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al. Marcina Kromera na odcinku od Macieja Miechowity do mostów Warszawskich</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 xml:space="preserve">Rozbudowa ul. Chrzanowskiego na odcinku od ul. W. Pola do </w:t>
            </w:r>
            <w:r w:rsidRPr="00E00B35">
              <w:rPr>
                <w:rFonts w:cs="Verdana"/>
                <w:szCs w:val="20"/>
              </w:rPr>
              <w:br/>
              <w:t>ul. Filomatów</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Budowa drogi łączącej ul. Miętową z ul. Pełczyńską, - Rozbudowa ul. Czajkowskiego</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Przebudowa ul. Zwycięskiej od alei Karkonoskiej do ul. Agrestowej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 xml:space="preserve">Przebudowa i rozbudowa ul. Czekoladowej </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 xml:space="preserve">Budowa połączenia ul. W. Rutkiewicz na odcinku od ul. Pirenejskiej do </w:t>
            </w:r>
            <w:r w:rsidRPr="00E00B35">
              <w:rPr>
                <w:rFonts w:cs="Verdana"/>
                <w:szCs w:val="20"/>
              </w:rPr>
              <w:br/>
              <w:t>ul. Niemczańskiej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Grabiszyńskiej, Etap 2, Etap 3</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Budowa drogi w rejonie ulic Sołtysowickiej, Redyckiej, Lekcyjnej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skrzyżowania ulic Polaka i Wrocławczyka</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Budowa ul. Lawendowej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Budowa obwodnicy Leśnicy (w granicach dróg gminnych)</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Budowa drogi w obszarze ograniczonym ulicami Rychtalską, Zakładową, Trzebnicką</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Budowa drogi w rejonie ul. Sułowskiej i Polanowickiej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Kiełczowskiej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Osobowickiej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Przebudowa ul. Sikorczej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Marszowickiej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lastRenderedPageBreak/>
              <w:t>Przebudowa ul. Miłoszyckiej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Prackiej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Konduktorskiej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Budowa dróg przy ul. Kłodzkiej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Budowa drogi ul. Skarbowców na odcinku od ul. Róży Wiatrów do ul. Szarugi</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i przebudowa ul. Jackowskiego i ul. Gersona</w:t>
            </w:r>
          </w:p>
        </w:tc>
      </w:tr>
      <w:tr w:rsidR="008C7751" w:rsidRPr="00E00B35" w:rsidTr="00F1117A">
        <w:trPr>
          <w:trHeight w:val="2813"/>
        </w:trPr>
        <w:tc>
          <w:tcPr>
            <w:tcW w:w="1418" w:type="dxa"/>
            <w:vAlign w:val="center"/>
          </w:tcPr>
          <w:p w:rsidR="008C7751" w:rsidRPr="00E00B35" w:rsidRDefault="008C7751" w:rsidP="00E00B35">
            <w:pPr>
              <w:autoSpaceDE w:val="0"/>
              <w:autoSpaceDN w:val="0"/>
              <w:adjustRightInd w:val="0"/>
              <w:spacing w:after="0" w:line="312" w:lineRule="auto"/>
              <w:rPr>
                <w:rFonts w:cs="Verdana"/>
                <w:szCs w:val="20"/>
              </w:rPr>
            </w:pPr>
            <w:r w:rsidRPr="00E00B35">
              <w:rPr>
                <w:rFonts w:cs="Verdana"/>
                <w:szCs w:val="20"/>
              </w:rPr>
              <w:lastRenderedPageBreak/>
              <w:t>drogi wojewódzkie</w:t>
            </w:r>
          </w:p>
          <w:p w:rsidR="008C7751" w:rsidRPr="00E00B35" w:rsidRDefault="008C7751" w:rsidP="00E00B35">
            <w:pPr>
              <w:autoSpaceDE w:val="0"/>
              <w:autoSpaceDN w:val="0"/>
              <w:adjustRightInd w:val="0"/>
              <w:spacing w:after="0" w:line="312" w:lineRule="auto"/>
              <w:rPr>
                <w:rFonts w:cs="Verdana"/>
                <w:szCs w:val="20"/>
              </w:rPr>
            </w:pPr>
            <w:r w:rsidRPr="00E00B35">
              <w:rPr>
                <w:rFonts w:cs="Verdana"/>
                <w:szCs w:val="20"/>
              </w:rPr>
              <w:t>– własność</w:t>
            </w:r>
          </w:p>
          <w:p w:rsidR="008C7751" w:rsidRPr="00E00B35" w:rsidRDefault="008C7751" w:rsidP="00E00B35">
            <w:pPr>
              <w:autoSpaceDE w:val="0"/>
              <w:autoSpaceDN w:val="0"/>
              <w:adjustRightInd w:val="0"/>
              <w:spacing w:after="0" w:line="312" w:lineRule="auto"/>
              <w:rPr>
                <w:rFonts w:cs="Verdana"/>
                <w:szCs w:val="20"/>
              </w:rPr>
            </w:pPr>
            <w:r w:rsidRPr="00E00B35">
              <w:rPr>
                <w:rFonts w:cs="Verdana"/>
                <w:szCs w:val="20"/>
              </w:rPr>
              <w:t>Województwa</w:t>
            </w:r>
          </w:p>
          <w:p w:rsidR="008C7751" w:rsidRPr="00E00B35" w:rsidRDefault="008C7751" w:rsidP="00E00B35">
            <w:pPr>
              <w:autoSpaceDE w:val="0"/>
              <w:autoSpaceDN w:val="0"/>
              <w:adjustRightInd w:val="0"/>
              <w:spacing w:after="0" w:line="312" w:lineRule="auto"/>
              <w:rPr>
                <w:szCs w:val="20"/>
              </w:rPr>
            </w:pPr>
            <w:r w:rsidRPr="00E00B35">
              <w:rPr>
                <w:rFonts w:cs="Verdana"/>
                <w:szCs w:val="20"/>
              </w:rPr>
              <w:t>Dolnośląskiego</w:t>
            </w:r>
          </w:p>
        </w:tc>
        <w:tc>
          <w:tcPr>
            <w:tcW w:w="7654" w:type="dxa"/>
          </w:tcPr>
          <w:p w:rsidR="008C7751" w:rsidRPr="00E00B35" w:rsidRDefault="008C7751" w:rsidP="00E00B35">
            <w:pPr>
              <w:numPr>
                <w:ilvl w:val="0"/>
                <w:numId w:val="11"/>
              </w:numPr>
              <w:autoSpaceDE w:val="0"/>
              <w:autoSpaceDN w:val="0"/>
              <w:adjustRightInd w:val="0"/>
              <w:spacing w:after="0" w:line="312" w:lineRule="auto"/>
              <w:rPr>
                <w:szCs w:val="20"/>
              </w:rPr>
            </w:pPr>
            <w:r w:rsidRPr="00E00B35">
              <w:rPr>
                <w:szCs w:val="20"/>
              </w:rPr>
              <w:t>ul. Buforowa</w:t>
            </w:r>
          </w:p>
          <w:p w:rsidR="008C7751" w:rsidRPr="00E00B35" w:rsidRDefault="008C7751" w:rsidP="00E00B35">
            <w:pPr>
              <w:numPr>
                <w:ilvl w:val="0"/>
                <w:numId w:val="11"/>
              </w:numPr>
              <w:autoSpaceDE w:val="0"/>
              <w:autoSpaceDN w:val="0"/>
              <w:adjustRightInd w:val="0"/>
              <w:spacing w:after="0" w:line="312" w:lineRule="auto"/>
              <w:rPr>
                <w:szCs w:val="20"/>
              </w:rPr>
            </w:pPr>
            <w:r w:rsidRPr="00E00B35">
              <w:rPr>
                <w:szCs w:val="20"/>
              </w:rPr>
              <w:t xml:space="preserve">Rozbudowa ul. Grabiszyńskiej </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i przebudowa skrzyżowania ul. Stabłowickiej z ul. Główną,</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Rozbudowa ul. Obornickiej</w:t>
            </w:r>
          </w:p>
          <w:p w:rsidR="008C7751" w:rsidRPr="00E00B35" w:rsidRDefault="008C7751" w:rsidP="00E00B35">
            <w:pPr>
              <w:numPr>
                <w:ilvl w:val="0"/>
                <w:numId w:val="11"/>
              </w:numPr>
              <w:autoSpaceDE w:val="0"/>
              <w:autoSpaceDN w:val="0"/>
              <w:adjustRightInd w:val="0"/>
              <w:spacing w:after="0" w:line="312" w:lineRule="auto"/>
              <w:rPr>
                <w:szCs w:val="20"/>
              </w:rPr>
            </w:pPr>
            <w:r w:rsidRPr="00E00B35">
              <w:rPr>
                <w:rFonts w:cs="Verdana"/>
                <w:szCs w:val="20"/>
              </w:rPr>
              <w:t>Przebudowa ul. Pełczyńskiej</w:t>
            </w:r>
            <w:r w:rsidRPr="00E00B35">
              <w:rPr>
                <w:szCs w:val="20"/>
              </w:rPr>
              <w:t xml:space="preserve"> </w:t>
            </w:r>
          </w:p>
          <w:p w:rsidR="008C7751" w:rsidRPr="00E00B35" w:rsidRDefault="008C7751" w:rsidP="00E00B35">
            <w:pPr>
              <w:numPr>
                <w:ilvl w:val="0"/>
                <w:numId w:val="11"/>
              </w:numPr>
              <w:autoSpaceDE w:val="0"/>
              <w:autoSpaceDN w:val="0"/>
              <w:adjustRightInd w:val="0"/>
              <w:spacing w:after="0" w:line="312" w:lineRule="auto"/>
              <w:rPr>
                <w:szCs w:val="20"/>
              </w:rPr>
            </w:pPr>
            <w:r w:rsidRPr="00E00B35">
              <w:rPr>
                <w:rFonts w:cs="Verdana"/>
                <w:szCs w:val="20"/>
              </w:rPr>
              <w:t>Rozbudowa i przebudowa ul. Zajączkowskiej</w:t>
            </w:r>
          </w:p>
          <w:p w:rsidR="008C7751" w:rsidRPr="00E00B35" w:rsidRDefault="008C7751" w:rsidP="00E00B35">
            <w:pPr>
              <w:numPr>
                <w:ilvl w:val="0"/>
                <w:numId w:val="11"/>
              </w:numPr>
              <w:autoSpaceDE w:val="0"/>
              <w:autoSpaceDN w:val="0"/>
              <w:adjustRightInd w:val="0"/>
              <w:spacing w:after="0" w:line="312" w:lineRule="auto"/>
              <w:rPr>
                <w:rFonts w:cs="Verdana"/>
                <w:szCs w:val="20"/>
              </w:rPr>
            </w:pPr>
            <w:r w:rsidRPr="00E00B35">
              <w:rPr>
                <w:rFonts w:cs="Verdana"/>
                <w:szCs w:val="20"/>
              </w:rPr>
              <w:t xml:space="preserve">Przebudowa ul. Bardzkiej, </w:t>
            </w:r>
          </w:p>
          <w:p w:rsidR="008C7751" w:rsidRPr="00E00B35" w:rsidRDefault="008C7751" w:rsidP="00E00B35">
            <w:pPr>
              <w:numPr>
                <w:ilvl w:val="0"/>
                <w:numId w:val="11"/>
              </w:numPr>
              <w:autoSpaceDE w:val="0"/>
              <w:autoSpaceDN w:val="0"/>
              <w:adjustRightInd w:val="0"/>
              <w:spacing w:after="0" w:line="312" w:lineRule="auto"/>
              <w:rPr>
                <w:szCs w:val="20"/>
              </w:rPr>
            </w:pPr>
            <w:r w:rsidRPr="00E00B35">
              <w:rPr>
                <w:rFonts w:cs="Verdana"/>
                <w:szCs w:val="20"/>
              </w:rPr>
              <w:t>Budowa obwodnicy Leśnicy (w granicach dróg wojewódzkich)</w:t>
            </w:r>
          </w:p>
        </w:tc>
      </w:tr>
      <w:tr w:rsidR="008C7751" w:rsidRPr="00E00B35" w:rsidTr="008C7751">
        <w:trPr>
          <w:trHeight w:val="827"/>
        </w:trPr>
        <w:tc>
          <w:tcPr>
            <w:tcW w:w="1418" w:type="dxa"/>
            <w:vAlign w:val="center"/>
          </w:tcPr>
          <w:p w:rsidR="008C7751" w:rsidRPr="00E00B35" w:rsidRDefault="008C7751" w:rsidP="00E00B35">
            <w:pPr>
              <w:autoSpaceDE w:val="0"/>
              <w:autoSpaceDN w:val="0"/>
              <w:adjustRightInd w:val="0"/>
              <w:spacing w:after="0" w:line="312" w:lineRule="auto"/>
              <w:rPr>
                <w:rFonts w:cs="Verdana"/>
                <w:szCs w:val="20"/>
              </w:rPr>
            </w:pPr>
            <w:r w:rsidRPr="00E00B35">
              <w:rPr>
                <w:rFonts w:cs="Verdana"/>
                <w:szCs w:val="20"/>
              </w:rPr>
              <w:t>drogi krajowe – własność Skarbu</w:t>
            </w:r>
          </w:p>
          <w:p w:rsidR="008C7751" w:rsidRPr="00E00B35" w:rsidRDefault="008C7751" w:rsidP="00E00B35">
            <w:pPr>
              <w:autoSpaceDE w:val="0"/>
              <w:autoSpaceDN w:val="0"/>
              <w:adjustRightInd w:val="0"/>
              <w:spacing w:after="0" w:line="312" w:lineRule="auto"/>
              <w:rPr>
                <w:rFonts w:cs="Verdana"/>
                <w:szCs w:val="20"/>
              </w:rPr>
            </w:pPr>
            <w:r w:rsidRPr="00E00B35">
              <w:rPr>
                <w:rFonts w:cs="Verdana"/>
                <w:szCs w:val="20"/>
              </w:rPr>
              <w:t>Państwa</w:t>
            </w:r>
          </w:p>
          <w:p w:rsidR="008C7751" w:rsidRPr="00E00B35" w:rsidRDefault="008C7751" w:rsidP="00E00B35">
            <w:pPr>
              <w:autoSpaceDE w:val="0"/>
              <w:autoSpaceDN w:val="0"/>
              <w:adjustRightInd w:val="0"/>
              <w:spacing w:after="0" w:line="312" w:lineRule="auto"/>
              <w:rPr>
                <w:szCs w:val="20"/>
              </w:rPr>
            </w:pPr>
          </w:p>
        </w:tc>
        <w:tc>
          <w:tcPr>
            <w:tcW w:w="7654" w:type="dxa"/>
          </w:tcPr>
          <w:p w:rsidR="008C7751" w:rsidRPr="00E00B35" w:rsidRDefault="008C7751" w:rsidP="00E00B35">
            <w:pPr>
              <w:numPr>
                <w:ilvl w:val="0"/>
                <w:numId w:val="12"/>
              </w:numPr>
              <w:autoSpaceDE w:val="0"/>
              <w:autoSpaceDN w:val="0"/>
              <w:adjustRightInd w:val="0"/>
              <w:spacing w:after="0" w:line="312" w:lineRule="auto"/>
              <w:rPr>
                <w:rFonts w:cs="Verdana"/>
                <w:szCs w:val="20"/>
              </w:rPr>
            </w:pPr>
            <w:r w:rsidRPr="00E00B35">
              <w:rPr>
                <w:rFonts w:cs="Verdana"/>
                <w:szCs w:val="20"/>
              </w:rPr>
              <w:t>Rozbudowa i przebudowa al. Karkonoskiej i ul. Powstańców Ślaskich,</w:t>
            </w:r>
          </w:p>
          <w:p w:rsidR="008C7751" w:rsidRPr="00E00B35" w:rsidRDefault="008C7751" w:rsidP="00E00B35">
            <w:pPr>
              <w:numPr>
                <w:ilvl w:val="0"/>
                <w:numId w:val="12"/>
              </w:numPr>
              <w:autoSpaceDE w:val="0"/>
              <w:autoSpaceDN w:val="0"/>
              <w:adjustRightInd w:val="0"/>
              <w:spacing w:after="0" w:line="312" w:lineRule="auto"/>
              <w:rPr>
                <w:rFonts w:cs="Verdana"/>
                <w:szCs w:val="20"/>
              </w:rPr>
            </w:pPr>
            <w:r w:rsidRPr="00E00B35">
              <w:rPr>
                <w:rFonts w:cs="Verdana"/>
                <w:szCs w:val="20"/>
              </w:rPr>
              <w:t>Rozbudowa ul. Powstańców Śląskich na odcinku od ul. Krzyckiej do ul. Kutnowskiej</w:t>
            </w:r>
          </w:p>
          <w:p w:rsidR="008C7751" w:rsidRPr="00E00B35" w:rsidRDefault="008C7751" w:rsidP="00E00B35">
            <w:pPr>
              <w:numPr>
                <w:ilvl w:val="0"/>
                <w:numId w:val="12"/>
              </w:numPr>
              <w:autoSpaceDE w:val="0"/>
              <w:autoSpaceDN w:val="0"/>
              <w:adjustRightInd w:val="0"/>
              <w:spacing w:after="0" w:line="312" w:lineRule="auto"/>
              <w:rPr>
                <w:rFonts w:cs="Verdana"/>
                <w:szCs w:val="20"/>
              </w:rPr>
            </w:pPr>
            <w:r w:rsidRPr="00E00B35">
              <w:rPr>
                <w:rFonts w:cs="Verdana"/>
                <w:szCs w:val="20"/>
              </w:rPr>
              <w:t xml:space="preserve">Budowa obwodnicy Leśnicy (droga krajowa) </w:t>
            </w:r>
          </w:p>
          <w:p w:rsidR="008C7751" w:rsidRPr="00E00B35" w:rsidRDefault="008C7751" w:rsidP="00E00B35">
            <w:pPr>
              <w:numPr>
                <w:ilvl w:val="0"/>
                <w:numId w:val="12"/>
              </w:numPr>
              <w:autoSpaceDE w:val="0"/>
              <w:autoSpaceDN w:val="0"/>
              <w:adjustRightInd w:val="0"/>
              <w:spacing w:after="0" w:line="312" w:lineRule="auto"/>
              <w:rPr>
                <w:rFonts w:cs="Verdana"/>
                <w:szCs w:val="20"/>
              </w:rPr>
            </w:pPr>
            <w:r w:rsidRPr="00E00B35">
              <w:rPr>
                <w:rFonts w:cs="Verdana"/>
                <w:szCs w:val="20"/>
              </w:rPr>
              <w:t>Budowa Osi Zachodniej we Wrocławiu w ciągu drogi krajowej nr 94, Część 1: Aleja Stabłowicka.</w:t>
            </w: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 xml:space="preserve">Dla obszaru Wrocławia prowadzonych było </w:t>
      </w:r>
      <w:r w:rsidRPr="00E00B35">
        <w:rPr>
          <w:b/>
          <w:szCs w:val="20"/>
        </w:rPr>
        <w:t>370</w:t>
      </w:r>
      <w:r w:rsidRPr="00E00B35">
        <w:rPr>
          <w:szCs w:val="20"/>
        </w:rPr>
        <w:t xml:space="preserve"> postępowań przez organy administracji w sprawie ustalenia odszkodowań na podstawie ustawy zrid.  To największa dotychczas skala tego typu postępowań, w których uczestniczono – dla porównania: w 2019 r. – 187,  2018 r. – 185. W przypadku 77 postępowań doszło do wypłaty odszkodowań, których wysokość ustalona została w decyzjach administracyjnych. W 92 sprawach nie został jeszcze wyznaczony organ dla prowadzenia postępowania administracyjnego.</w:t>
      </w:r>
    </w:p>
    <w:p w:rsidR="008C7751" w:rsidRPr="00E00B35" w:rsidRDefault="008C7751" w:rsidP="00E00B35">
      <w:pPr>
        <w:spacing w:after="0" w:line="312" w:lineRule="auto"/>
        <w:rPr>
          <w:rFonts w:cs="Verdana"/>
          <w:szCs w:val="20"/>
        </w:rPr>
      </w:pPr>
    </w:p>
    <w:p w:rsidR="008C7751" w:rsidRPr="00E00B35" w:rsidRDefault="008C7751" w:rsidP="00E00B35">
      <w:pPr>
        <w:spacing w:after="0" w:line="312" w:lineRule="auto"/>
        <w:rPr>
          <w:rFonts w:cs="Verdana"/>
          <w:szCs w:val="20"/>
        </w:rPr>
      </w:pPr>
    </w:p>
    <w:p w:rsidR="008C7751" w:rsidRPr="00E00B35" w:rsidRDefault="008C7751" w:rsidP="00E00B35">
      <w:pPr>
        <w:pStyle w:val="Nagwek5"/>
        <w:rPr>
          <w:szCs w:val="20"/>
        </w:rPr>
      </w:pPr>
      <w:r w:rsidRPr="00E00B35">
        <w:rPr>
          <w:szCs w:val="20"/>
        </w:rPr>
        <w:lastRenderedPageBreak/>
        <w:t>Postępowania administracyjne w sprawie ustalenia odszkodowań na podstawie ustawy zrid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1658"/>
        <w:gridCol w:w="1813"/>
        <w:gridCol w:w="1814"/>
        <w:gridCol w:w="1663"/>
      </w:tblGrid>
      <w:tr w:rsidR="008C7751" w:rsidRPr="00E00B35" w:rsidTr="002944F8">
        <w:trPr>
          <w:trHeight w:val="1134"/>
        </w:trPr>
        <w:tc>
          <w:tcPr>
            <w:tcW w:w="2396" w:type="dxa"/>
            <w:vAlign w:val="center"/>
          </w:tcPr>
          <w:p w:rsidR="008C7751" w:rsidRPr="00E00B35" w:rsidRDefault="008C7751" w:rsidP="00E00B35">
            <w:pPr>
              <w:autoSpaceDE w:val="0"/>
              <w:autoSpaceDN w:val="0"/>
              <w:adjustRightInd w:val="0"/>
              <w:spacing w:after="0" w:line="312" w:lineRule="auto"/>
              <w:rPr>
                <w:szCs w:val="20"/>
              </w:rPr>
            </w:pPr>
            <w:r w:rsidRPr="00E00B35">
              <w:rPr>
                <w:rFonts w:cs="Verdana"/>
                <w:szCs w:val="20"/>
              </w:rPr>
              <w:t>Kategoria drogi</w:t>
            </w:r>
          </w:p>
        </w:tc>
        <w:tc>
          <w:tcPr>
            <w:tcW w:w="1514"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Liczba prowadzonych postępowań</w:t>
            </w:r>
          </w:p>
        </w:tc>
        <w:tc>
          <w:tcPr>
            <w:tcW w:w="1818"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 xml:space="preserve">Liczba postępowań w których doszło do wypłaty odszkodowania </w:t>
            </w:r>
          </w:p>
        </w:tc>
        <w:tc>
          <w:tcPr>
            <w:tcW w:w="181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Powierzchnia gruntów za które wypłacano odszkodowania</w:t>
            </w:r>
          </w:p>
          <w:p w:rsidR="008C7751" w:rsidRPr="00E00B35" w:rsidRDefault="008C7751" w:rsidP="00E00B35">
            <w:pPr>
              <w:autoSpaceDE w:val="0"/>
              <w:autoSpaceDN w:val="0"/>
              <w:adjustRightInd w:val="0"/>
              <w:spacing w:after="0" w:line="312" w:lineRule="auto"/>
              <w:rPr>
                <w:szCs w:val="20"/>
              </w:rPr>
            </w:pPr>
            <w:r w:rsidRPr="00E00B35">
              <w:rPr>
                <w:szCs w:val="20"/>
              </w:rPr>
              <w:t>[ha]</w:t>
            </w:r>
          </w:p>
        </w:tc>
        <w:tc>
          <w:tcPr>
            <w:tcW w:w="166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Kwota wypłaconych odszkodowań</w:t>
            </w:r>
          </w:p>
          <w:p w:rsidR="008C7751" w:rsidRPr="00E00B35" w:rsidRDefault="008C7751" w:rsidP="00E00B35">
            <w:pPr>
              <w:autoSpaceDE w:val="0"/>
              <w:autoSpaceDN w:val="0"/>
              <w:adjustRightInd w:val="0"/>
              <w:spacing w:after="0" w:line="312" w:lineRule="auto"/>
              <w:rPr>
                <w:szCs w:val="20"/>
              </w:rPr>
            </w:pPr>
            <w:r w:rsidRPr="00E00B35">
              <w:rPr>
                <w:szCs w:val="20"/>
              </w:rPr>
              <w:t>[zł]</w:t>
            </w:r>
          </w:p>
        </w:tc>
      </w:tr>
      <w:tr w:rsidR="008C7751" w:rsidRPr="00E00B35" w:rsidTr="002944F8">
        <w:trPr>
          <w:trHeight w:val="300"/>
        </w:trPr>
        <w:tc>
          <w:tcPr>
            <w:tcW w:w="2396"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Drogi gminne i powiatowe</w:t>
            </w:r>
          </w:p>
        </w:tc>
        <w:tc>
          <w:tcPr>
            <w:tcW w:w="1514" w:type="dxa"/>
            <w:vAlign w:val="center"/>
          </w:tcPr>
          <w:p w:rsidR="008C7751" w:rsidRPr="00E00B35" w:rsidRDefault="008C7751" w:rsidP="00E00B35">
            <w:pPr>
              <w:autoSpaceDE w:val="0"/>
              <w:autoSpaceDN w:val="0"/>
              <w:adjustRightInd w:val="0"/>
              <w:spacing w:after="0" w:line="312" w:lineRule="auto"/>
              <w:rPr>
                <w:b/>
                <w:szCs w:val="20"/>
              </w:rPr>
            </w:pPr>
            <w:r w:rsidRPr="00E00B35">
              <w:rPr>
                <w:szCs w:val="20"/>
              </w:rPr>
              <w:t>252</w:t>
            </w:r>
          </w:p>
        </w:tc>
        <w:tc>
          <w:tcPr>
            <w:tcW w:w="1818" w:type="dxa"/>
            <w:vAlign w:val="center"/>
          </w:tcPr>
          <w:p w:rsidR="008C7751" w:rsidRPr="00E00B35" w:rsidRDefault="008C7751" w:rsidP="00E00B35">
            <w:pPr>
              <w:autoSpaceDE w:val="0"/>
              <w:autoSpaceDN w:val="0"/>
              <w:adjustRightInd w:val="0"/>
              <w:spacing w:after="0" w:line="312" w:lineRule="auto"/>
              <w:rPr>
                <w:b/>
                <w:szCs w:val="20"/>
              </w:rPr>
            </w:pPr>
            <w:r w:rsidRPr="00E00B35">
              <w:rPr>
                <w:szCs w:val="20"/>
              </w:rPr>
              <w:t>50</w:t>
            </w:r>
          </w:p>
        </w:tc>
        <w:tc>
          <w:tcPr>
            <w:tcW w:w="1819" w:type="dxa"/>
            <w:vAlign w:val="center"/>
          </w:tcPr>
          <w:p w:rsidR="008C7751" w:rsidRPr="00E00B35" w:rsidRDefault="008C7751" w:rsidP="00E00B35">
            <w:pPr>
              <w:autoSpaceDE w:val="0"/>
              <w:autoSpaceDN w:val="0"/>
              <w:adjustRightInd w:val="0"/>
              <w:spacing w:after="0" w:line="312" w:lineRule="auto"/>
              <w:rPr>
                <w:b/>
                <w:szCs w:val="20"/>
              </w:rPr>
            </w:pPr>
            <w:r w:rsidRPr="00E00B35">
              <w:rPr>
                <w:rFonts w:cs="Arial"/>
                <w:szCs w:val="20"/>
              </w:rPr>
              <w:t>2,25</w:t>
            </w:r>
          </w:p>
        </w:tc>
        <w:tc>
          <w:tcPr>
            <w:tcW w:w="166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4 108 365,04</w:t>
            </w:r>
          </w:p>
        </w:tc>
      </w:tr>
      <w:tr w:rsidR="008C7751" w:rsidRPr="00E00B35" w:rsidTr="002944F8">
        <w:trPr>
          <w:trHeight w:val="196"/>
        </w:trPr>
        <w:tc>
          <w:tcPr>
            <w:tcW w:w="2396"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Drogi wojewódzkie</w:t>
            </w:r>
          </w:p>
        </w:tc>
        <w:tc>
          <w:tcPr>
            <w:tcW w:w="1514"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26</w:t>
            </w:r>
          </w:p>
        </w:tc>
        <w:tc>
          <w:tcPr>
            <w:tcW w:w="1818"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14</w:t>
            </w:r>
          </w:p>
        </w:tc>
        <w:tc>
          <w:tcPr>
            <w:tcW w:w="1819" w:type="dxa"/>
            <w:vAlign w:val="center"/>
          </w:tcPr>
          <w:p w:rsidR="008C7751" w:rsidRPr="00E00B35" w:rsidRDefault="008C7751" w:rsidP="00E00B35">
            <w:pPr>
              <w:spacing w:after="0" w:line="312" w:lineRule="auto"/>
              <w:rPr>
                <w:rFonts w:cs="Arial"/>
                <w:szCs w:val="20"/>
              </w:rPr>
            </w:pPr>
            <w:r w:rsidRPr="00E00B35">
              <w:rPr>
                <w:rFonts w:cs="Arial"/>
                <w:szCs w:val="20"/>
              </w:rPr>
              <w:t>1,32</w:t>
            </w:r>
          </w:p>
        </w:tc>
        <w:tc>
          <w:tcPr>
            <w:tcW w:w="166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1 747 644,29</w:t>
            </w:r>
          </w:p>
        </w:tc>
      </w:tr>
      <w:tr w:rsidR="008C7751" w:rsidRPr="00E00B35" w:rsidTr="002944F8">
        <w:trPr>
          <w:trHeight w:val="196"/>
        </w:trPr>
        <w:tc>
          <w:tcPr>
            <w:tcW w:w="2396"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Drogi krajowe</w:t>
            </w:r>
          </w:p>
        </w:tc>
        <w:tc>
          <w:tcPr>
            <w:tcW w:w="1514"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92</w:t>
            </w:r>
          </w:p>
        </w:tc>
        <w:tc>
          <w:tcPr>
            <w:tcW w:w="1818"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13</w:t>
            </w:r>
          </w:p>
        </w:tc>
        <w:tc>
          <w:tcPr>
            <w:tcW w:w="1819" w:type="dxa"/>
            <w:vAlign w:val="center"/>
          </w:tcPr>
          <w:p w:rsidR="008C7751" w:rsidRPr="00E00B35" w:rsidRDefault="008C7751" w:rsidP="00E00B35">
            <w:pPr>
              <w:spacing w:after="0" w:line="312" w:lineRule="auto"/>
              <w:rPr>
                <w:rFonts w:cs="Arial"/>
                <w:szCs w:val="20"/>
              </w:rPr>
            </w:pPr>
            <w:r w:rsidRPr="00E00B35">
              <w:rPr>
                <w:rFonts w:cs="Arial"/>
                <w:szCs w:val="20"/>
              </w:rPr>
              <w:t>2,30</w:t>
            </w:r>
          </w:p>
        </w:tc>
        <w:tc>
          <w:tcPr>
            <w:tcW w:w="166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4 424 922,59</w:t>
            </w:r>
          </w:p>
        </w:tc>
      </w:tr>
      <w:tr w:rsidR="008C7751" w:rsidRPr="00E00B35" w:rsidTr="002944F8">
        <w:trPr>
          <w:trHeight w:val="196"/>
        </w:trPr>
        <w:tc>
          <w:tcPr>
            <w:tcW w:w="2396"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suma</w:t>
            </w:r>
          </w:p>
        </w:tc>
        <w:tc>
          <w:tcPr>
            <w:tcW w:w="1514"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370</w:t>
            </w:r>
          </w:p>
        </w:tc>
        <w:tc>
          <w:tcPr>
            <w:tcW w:w="1818"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77</w:t>
            </w:r>
          </w:p>
        </w:tc>
        <w:tc>
          <w:tcPr>
            <w:tcW w:w="181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5,87</w:t>
            </w:r>
          </w:p>
        </w:tc>
        <w:tc>
          <w:tcPr>
            <w:tcW w:w="1669" w:type="dxa"/>
            <w:vAlign w:val="center"/>
          </w:tcPr>
          <w:p w:rsidR="008C7751" w:rsidRPr="00E00B35" w:rsidRDefault="008C7751" w:rsidP="00E00B35">
            <w:pPr>
              <w:spacing w:after="0" w:line="312" w:lineRule="auto"/>
              <w:rPr>
                <w:szCs w:val="20"/>
              </w:rPr>
            </w:pPr>
            <w:r w:rsidRPr="00E00B35">
              <w:rPr>
                <w:szCs w:val="20"/>
              </w:rPr>
              <w:t>10 280 931,92</w:t>
            </w:r>
          </w:p>
        </w:tc>
      </w:tr>
    </w:tbl>
    <w:p w:rsidR="008C7751" w:rsidRPr="00E00B35" w:rsidRDefault="008C7751" w:rsidP="00E00B35">
      <w:pPr>
        <w:spacing w:after="0" w:line="312" w:lineRule="auto"/>
        <w:rPr>
          <w:rFonts w:cs="Verdana"/>
          <w:szCs w:val="20"/>
        </w:rPr>
      </w:pPr>
    </w:p>
    <w:p w:rsidR="008C7751" w:rsidRPr="00E00B35" w:rsidRDefault="008C7751" w:rsidP="00E00B35">
      <w:pPr>
        <w:pStyle w:val="Nagwek5"/>
        <w:rPr>
          <w:szCs w:val="20"/>
        </w:rPr>
      </w:pPr>
      <w:r w:rsidRPr="00E00B35">
        <w:rPr>
          <w:szCs w:val="20"/>
        </w:rPr>
        <w:t>Nabywanie nieruchomości do zasobu Gminy Wrocław</w:t>
      </w:r>
    </w:p>
    <w:p w:rsidR="008C7751" w:rsidRPr="00E00B35" w:rsidRDefault="008C7751" w:rsidP="00E00B35">
      <w:pPr>
        <w:spacing w:after="0" w:line="312" w:lineRule="auto"/>
        <w:rPr>
          <w:szCs w:val="20"/>
        </w:rPr>
      </w:pPr>
      <w:r w:rsidRPr="00E00B35">
        <w:rPr>
          <w:szCs w:val="20"/>
        </w:rPr>
        <w:t>W roku sprawozdawczym prowadzono 134 postępowania dotyczące nabycia i zamiany nieruchomości. Pomimo ograniczeń wynikających z epidemii m.in. czasowego braku możliwości zawierania umów w kancelariach notarialnych, 24 sprawy zakończono podpisaniem umów w formie aktów notarialnych na łączną kwotę blisko 10 mln złotych. To największa od 2017 r. liczba zawartych w trybie cywilnym umów (dotychczas średnio 16 umów rocznie), ale też największa kwota wydatkowana na ten cel (w 2019 r. – 1,5 mln zł, w 2018 r. – 0,4 mln zł, w 2017 r. – 2,9 mln zł).</w:t>
      </w:r>
    </w:p>
    <w:p w:rsidR="008C7751" w:rsidRPr="00E00B35" w:rsidRDefault="008C7751" w:rsidP="00E00B35">
      <w:pPr>
        <w:spacing w:after="0" w:line="312" w:lineRule="auto"/>
        <w:rPr>
          <w:szCs w:val="20"/>
        </w:rPr>
      </w:pPr>
      <w:r w:rsidRPr="00E00B35">
        <w:rPr>
          <w:szCs w:val="20"/>
        </w:rPr>
        <w:t>Przejęto nieodpłatnie od Krajowego Zasobu Nieruchomości dla potrzeb realizacji inwestycji oświatowych grunty w obrębie Lipa Piotrowska przeznaczone pod budowę Zespołu Szkolno – Przedszkolnego przy ul. Cynamonowej we Wrocławiu oraz od Polskich Kolei Państwowych grunt pod inwestycję Parkuj i Jedź przy ul. Przy Torze. Umową darowizny pozyskano od Województwa Dolnośląskiego nieruchomość zabudowaną położoną przy ul. Skarbowców 8a na potrzeby oświatowe. Pozyskano od Skarbu Państwa - Agencji Mienia Wojskowego tereny niezbędne do realizacji budowy obiektów oświatowych przy ul. Zwycięskiej oraz tereny przeznaczone pod ogólnodostępne tereny zieleni na obszarze Kępy Mieszczańskiej. W wyniku przeprowadzonych zamian nabyto nieruchomości przeznaczone pod przedszkole i siedzibę Straży Miejskiej w obrębie Południe przy ul. Na Grobli, nieruchomość pod zagospodarowanie terenu nabrzeża Odry oraz nieruchomość w celu realizacji w ramach Wrocławskiego Budżetu Obywatelskiego projektu – Podwórka im. Wszystkich Mieszkańców. Ponadto powiększono zasób gminny o nieruchomość pod parking „Park &amp; Ride” przy projektowanej pętli tramwajowej w ramach inwestycji Tramwaj na Swojczyce oraz nieruchomość pod usługi oświaty w obrębie Kuźniki przy ul. Dźwirzyńskiej. Nieruchomości niezabudowane i zabudowane pozyskiwane były do zasobu Miasta na realizację celów rozwojowych i publicznych.</w:t>
      </w:r>
    </w:p>
    <w:p w:rsidR="008C7751" w:rsidRPr="00E00B35" w:rsidRDefault="008C7751" w:rsidP="00E00B35">
      <w:pPr>
        <w:autoSpaceDE w:val="0"/>
        <w:autoSpaceDN w:val="0"/>
        <w:adjustRightInd w:val="0"/>
        <w:spacing w:after="0" w:line="312" w:lineRule="auto"/>
        <w:rPr>
          <w:rFonts w:cs="Verdana"/>
          <w:b/>
          <w:szCs w:val="20"/>
        </w:rPr>
      </w:pPr>
    </w:p>
    <w:p w:rsidR="008C7751" w:rsidRPr="00E00B35" w:rsidRDefault="008C7751" w:rsidP="00E00B35">
      <w:pPr>
        <w:pStyle w:val="Nagwek5"/>
        <w:rPr>
          <w:szCs w:val="20"/>
        </w:rPr>
      </w:pPr>
      <w:r w:rsidRPr="00E00B35">
        <w:rPr>
          <w:szCs w:val="20"/>
        </w:rPr>
        <w:t>Umowy nabycia nieruchomości w trybie cywilnym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1559"/>
        <w:gridCol w:w="2127"/>
        <w:gridCol w:w="2409"/>
      </w:tblGrid>
      <w:tr w:rsidR="008C7751" w:rsidRPr="00E00B35" w:rsidTr="008C7751">
        <w:trPr>
          <w:trHeight w:val="232"/>
        </w:trPr>
        <w:tc>
          <w:tcPr>
            <w:tcW w:w="2977" w:type="dxa"/>
            <w:tcBorders>
              <w:top w:val="single" w:sz="4" w:space="0" w:color="auto"/>
              <w:left w:val="single" w:sz="4" w:space="0" w:color="auto"/>
            </w:tcBorders>
            <w:vAlign w:val="center"/>
          </w:tcPr>
          <w:p w:rsidR="008C7751" w:rsidRPr="00E00B35" w:rsidRDefault="008C7751" w:rsidP="00E00B35">
            <w:pPr>
              <w:autoSpaceDE w:val="0"/>
              <w:autoSpaceDN w:val="0"/>
              <w:adjustRightInd w:val="0"/>
              <w:spacing w:after="0" w:line="312" w:lineRule="auto"/>
              <w:rPr>
                <w:szCs w:val="20"/>
              </w:rPr>
            </w:pPr>
            <w:r w:rsidRPr="00E00B35">
              <w:rPr>
                <w:szCs w:val="20"/>
              </w:rPr>
              <w:t>Rodzaj ceny</w:t>
            </w:r>
          </w:p>
        </w:tc>
        <w:tc>
          <w:tcPr>
            <w:tcW w:w="1559" w:type="dxa"/>
            <w:tcBorders>
              <w:top w:val="single" w:sz="4" w:space="0" w:color="auto"/>
            </w:tcBorders>
            <w:vAlign w:val="center"/>
          </w:tcPr>
          <w:p w:rsidR="008C7751" w:rsidRPr="00E00B35" w:rsidRDefault="008C7751" w:rsidP="00E00B35">
            <w:pPr>
              <w:autoSpaceDE w:val="0"/>
              <w:autoSpaceDN w:val="0"/>
              <w:adjustRightInd w:val="0"/>
              <w:spacing w:after="0" w:line="312" w:lineRule="auto"/>
              <w:rPr>
                <w:szCs w:val="20"/>
              </w:rPr>
            </w:pPr>
            <w:r w:rsidRPr="00E00B35">
              <w:rPr>
                <w:szCs w:val="20"/>
              </w:rPr>
              <w:t>Liczba umów</w:t>
            </w:r>
          </w:p>
        </w:tc>
        <w:tc>
          <w:tcPr>
            <w:tcW w:w="2127" w:type="dxa"/>
            <w:tcBorders>
              <w:top w:val="single" w:sz="4" w:space="0" w:color="auto"/>
            </w:tcBorders>
          </w:tcPr>
          <w:p w:rsidR="008C7751" w:rsidRPr="00E00B35" w:rsidRDefault="008C7751" w:rsidP="00E00B35">
            <w:pPr>
              <w:autoSpaceDE w:val="0"/>
              <w:autoSpaceDN w:val="0"/>
              <w:adjustRightInd w:val="0"/>
              <w:spacing w:after="0" w:line="312" w:lineRule="auto"/>
              <w:rPr>
                <w:szCs w:val="20"/>
              </w:rPr>
            </w:pPr>
            <w:r w:rsidRPr="00E00B35">
              <w:rPr>
                <w:szCs w:val="20"/>
              </w:rPr>
              <w:t>Powierzchnia</w:t>
            </w:r>
          </w:p>
          <w:p w:rsidR="008C7751" w:rsidRPr="00E00B35" w:rsidRDefault="008C7751" w:rsidP="00E00B35">
            <w:pPr>
              <w:autoSpaceDE w:val="0"/>
              <w:autoSpaceDN w:val="0"/>
              <w:adjustRightInd w:val="0"/>
              <w:spacing w:after="0" w:line="312" w:lineRule="auto"/>
              <w:rPr>
                <w:szCs w:val="20"/>
              </w:rPr>
            </w:pPr>
            <w:r w:rsidRPr="00E00B35">
              <w:rPr>
                <w:szCs w:val="20"/>
              </w:rPr>
              <w:lastRenderedPageBreak/>
              <w:t xml:space="preserve"> [ ha]</w:t>
            </w:r>
          </w:p>
        </w:tc>
        <w:tc>
          <w:tcPr>
            <w:tcW w:w="2409" w:type="dxa"/>
            <w:tcBorders>
              <w:top w:val="single" w:sz="4" w:space="0" w:color="auto"/>
            </w:tcBorders>
          </w:tcPr>
          <w:p w:rsidR="008C7751" w:rsidRPr="00E00B35" w:rsidRDefault="008C7751" w:rsidP="00E00B35">
            <w:pPr>
              <w:autoSpaceDE w:val="0"/>
              <w:autoSpaceDN w:val="0"/>
              <w:adjustRightInd w:val="0"/>
              <w:spacing w:after="0" w:line="312" w:lineRule="auto"/>
              <w:rPr>
                <w:szCs w:val="20"/>
              </w:rPr>
            </w:pPr>
            <w:r w:rsidRPr="00E00B35">
              <w:rPr>
                <w:szCs w:val="20"/>
              </w:rPr>
              <w:lastRenderedPageBreak/>
              <w:t xml:space="preserve">Koszt nabycia </w:t>
            </w:r>
          </w:p>
          <w:p w:rsidR="008C7751" w:rsidRPr="00E00B35" w:rsidRDefault="008C7751" w:rsidP="00E00B35">
            <w:pPr>
              <w:autoSpaceDE w:val="0"/>
              <w:autoSpaceDN w:val="0"/>
              <w:adjustRightInd w:val="0"/>
              <w:spacing w:after="0" w:line="312" w:lineRule="auto"/>
              <w:rPr>
                <w:szCs w:val="20"/>
              </w:rPr>
            </w:pPr>
            <w:r w:rsidRPr="00E00B35">
              <w:rPr>
                <w:szCs w:val="20"/>
              </w:rPr>
              <w:lastRenderedPageBreak/>
              <w:t>[zł]</w:t>
            </w:r>
          </w:p>
        </w:tc>
      </w:tr>
      <w:tr w:rsidR="008C7751" w:rsidRPr="00E00B35" w:rsidTr="008C7751">
        <w:tc>
          <w:tcPr>
            <w:tcW w:w="2977" w:type="dxa"/>
          </w:tcPr>
          <w:p w:rsidR="008C7751" w:rsidRPr="00E00B35" w:rsidRDefault="008C7751" w:rsidP="00E00B35">
            <w:pPr>
              <w:autoSpaceDE w:val="0"/>
              <w:autoSpaceDN w:val="0"/>
              <w:adjustRightInd w:val="0"/>
              <w:spacing w:after="0" w:line="312" w:lineRule="auto"/>
              <w:rPr>
                <w:szCs w:val="20"/>
              </w:rPr>
            </w:pPr>
            <w:r w:rsidRPr="00E00B35">
              <w:rPr>
                <w:szCs w:val="20"/>
              </w:rPr>
              <w:lastRenderedPageBreak/>
              <w:t>Po cenie rynkowej</w:t>
            </w:r>
          </w:p>
        </w:tc>
        <w:tc>
          <w:tcPr>
            <w:tcW w:w="155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12</w:t>
            </w:r>
          </w:p>
        </w:tc>
        <w:tc>
          <w:tcPr>
            <w:tcW w:w="2127"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1,82</w:t>
            </w:r>
          </w:p>
        </w:tc>
        <w:tc>
          <w:tcPr>
            <w:tcW w:w="2409" w:type="dxa"/>
            <w:vAlign w:val="center"/>
          </w:tcPr>
          <w:p w:rsidR="008C7751" w:rsidRPr="00E00B35" w:rsidRDefault="008C7751" w:rsidP="00E00B35">
            <w:pPr>
              <w:tabs>
                <w:tab w:val="left" w:pos="1402"/>
              </w:tabs>
              <w:autoSpaceDE w:val="0"/>
              <w:autoSpaceDN w:val="0"/>
              <w:adjustRightInd w:val="0"/>
              <w:spacing w:after="0" w:line="312" w:lineRule="auto"/>
              <w:rPr>
                <w:szCs w:val="20"/>
              </w:rPr>
            </w:pPr>
            <w:r w:rsidRPr="00E00B35">
              <w:rPr>
                <w:szCs w:val="20"/>
              </w:rPr>
              <w:t>3 890 836,10</w:t>
            </w:r>
          </w:p>
        </w:tc>
      </w:tr>
      <w:tr w:rsidR="008C7751" w:rsidRPr="00E00B35" w:rsidTr="008C7751">
        <w:tc>
          <w:tcPr>
            <w:tcW w:w="2977" w:type="dxa"/>
          </w:tcPr>
          <w:p w:rsidR="008C7751" w:rsidRPr="00E00B35" w:rsidRDefault="008C7751" w:rsidP="00E00B35">
            <w:pPr>
              <w:autoSpaceDE w:val="0"/>
              <w:autoSpaceDN w:val="0"/>
              <w:adjustRightInd w:val="0"/>
              <w:spacing w:after="0" w:line="312" w:lineRule="auto"/>
              <w:rPr>
                <w:szCs w:val="20"/>
              </w:rPr>
            </w:pPr>
            <w:r w:rsidRPr="00E00B35">
              <w:rPr>
                <w:szCs w:val="20"/>
              </w:rPr>
              <w:t>Z bonifikatą</w:t>
            </w:r>
          </w:p>
        </w:tc>
        <w:tc>
          <w:tcPr>
            <w:tcW w:w="155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2</w:t>
            </w:r>
          </w:p>
        </w:tc>
        <w:tc>
          <w:tcPr>
            <w:tcW w:w="2127"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7,25</w:t>
            </w:r>
          </w:p>
        </w:tc>
        <w:tc>
          <w:tcPr>
            <w:tcW w:w="240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 xml:space="preserve">6 052 638,00 </w:t>
            </w:r>
          </w:p>
        </w:tc>
      </w:tr>
      <w:tr w:rsidR="008C7751" w:rsidRPr="00E00B35" w:rsidTr="008C7751">
        <w:trPr>
          <w:trHeight w:val="120"/>
        </w:trPr>
        <w:tc>
          <w:tcPr>
            <w:tcW w:w="2977" w:type="dxa"/>
          </w:tcPr>
          <w:p w:rsidR="008C7751" w:rsidRPr="00E00B35" w:rsidRDefault="008C7751" w:rsidP="00E00B35">
            <w:pPr>
              <w:autoSpaceDE w:val="0"/>
              <w:autoSpaceDN w:val="0"/>
              <w:adjustRightInd w:val="0"/>
              <w:spacing w:after="0" w:line="312" w:lineRule="auto"/>
              <w:rPr>
                <w:szCs w:val="20"/>
              </w:rPr>
            </w:pPr>
            <w:r w:rsidRPr="00E00B35">
              <w:rPr>
                <w:szCs w:val="20"/>
              </w:rPr>
              <w:t>Za symboliczną odpłatnością</w:t>
            </w:r>
          </w:p>
        </w:tc>
        <w:tc>
          <w:tcPr>
            <w:tcW w:w="155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1</w:t>
            </w:r>
          </w:p>
        </w:tc>
        <w:tc>
          <w:tcPr>
            <w:tcW w:w="2127"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0,05</w:t>
            </w:r>
          </w:p>
        </w:tc>
        <w:tc>
          <w:tcPr>
            <w:tcW w:w="240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1,23</w:t>
            </w:r>
          </w:p>
        </w:tc>
      </w:tr>
      <w:tr w:rsidR="008C7751" w:rsidRPr="00E00B35" w:rsidTr="008C7751">
        <w:trPr>
          <w:trHeight w:val="120"/>
        </w:trPr>
        <w:tc>
          <w:tcPr>
            <w:tcW w:w="2977" w:type="dxa"/>
          </w:tcPr>
          <w:p w:rsidR="008C7751" w:rsidRPr="00E00B35" w:rsidRDefault="008C7751" w:rsidP="00E00B35">
            <w:pPr>
              <w:autoSpaceDE w:val="0"/>
              <w:autoSpaceDN w:val="0"/>
              <w:adjustRightInd w:val="0"/>
              <w:spacing w:after="0" w:line="312" w:lineRule="auto"/>
              <w:rPr>
                <w:szCs w:val="20"/>
              </w:rPr>
            </w:pPr>
            <w:r w:rsidRPr="00E00B35">
              <w:rPr>
                <w:szCs w:val="20"/>
              </w:rPr>
              <w:t>Nieodpłatnie</w:t>
            </w:r>
          </w:p>
        </w:tc>
        <w:tc>
          <w:tcPr>
            <w:tcW w:w="155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5</w:t>
            </w:r>
          </w:p>
        </w:tc>
        <w:tc>
          <w:tcPr>
            <w:tcW w:w="2127"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3,77</w:t>
            </w:r>
          </w:p>
        </w:tc>
        <w:tc>
          <w:tcPr>
            <w:tcW w:w="240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0</w:t>
            </w:r>
          </w:p>
        </w:tc>
      </w:tr>
      <w:tr w:rsidR="008C7751" w:rsidRPr="00E00B35" w:rsidTr="008C7751">
        <w:trPr>
          <w:trHeight w:val="120"/>
        </w:trPr>
        <w:tc>
          <w:tcPr>
            <w:tcW w:w="2977" w:type="dxa"/>
          </w:tcPr>
          <w:p w:rsidR="008C7751" w:rsidRPr="00E00B35" w:rsidRDefault="008C7751" w:rsidP="00E00B35">
            <w:pPr>
              <w:autoSpaceDE w:val="0"/>
              <w:autoSpaceDN w:val="0"/>
              <w:adjustRightInd w:val="0"/>
              <w:spacing w:after="0" w:line="312" w:lineRule="auto"/>
              <w:rPr>
                <w:szCs w:val="20"/>
              </w:rPr>
            </w:pPr>
            <w:r w:rsidRPr="00E00B35">
              <w:rPr>
                <w:szCs w:val="20"/>
              </w:rPr>
              <w:t>W drodze zamiany</w:t>
            </w:r>
          </w:p>
        </w:tc>
        <w:tc>
          <w:tcPr>
            <w:tcW w:w="155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4</w:t>
            </w:r>
          </w:p>
        </w:tc>
        <w:tc>
          <w:tcPr>
            <w:tcW w:w="2127"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1,67</w:t>
            </w:r>
          </w:p>
        </w:tc>
        <w:tc>
          <w:tcPr>
            <w:tcW w:w="240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0</w:t>
            </w:r>
          </w:p>
        </w:tc>
      </w:tr>
      <w:tr w:rsidR="008C7751" w:rsidRPr="00E00B35" w:rsidTr="008C7751">
        <w:trPr>
          <w:trHeight w:val="236"/>
        </w:trPr>
        <w:tc>
          <w:tcPr>
            <w:tcW w:w="2977"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suma</w:t>
            </w:r>
          </w:p>
        </w:tc>
        <w:tc>
          <w:tcPr>
            <w:tcW w:w="1559"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24</w:t>
            </w:r>
          </w:p>
        </w:tc>
        <w:tc>
          <w:tcPr>
            <w:tcW w:w="2127" w:type="dxa"/>
            <w:vAlign w:val="center"/>
          </w:tcPr>
          <w:p w:rsidR="008C7751" w:rsidRPr="00E00B35" w:rsidRDefault="008C7751" w:rsidP="00E00B35">
            <w:pPr>
              <w:autoSpaceDE w:val="0"/>
              <w:autoSpaceDN w:val="0"/>
              <w:adjustRightInd w:val="0"/>
              <w:spacing w:after="0" w:line="312" w:lineRule="auto"/>
              <w:rPr>
                <w:szCs w:val="20"/>
              </w:rPr>
            </w:pPr>
            <w:r w:rsidRPr="00E00B35">
              <w:rPr>
                <w:szCs w:val="20"/>
              </w:rPr>
              <w:t>14,56</w:t>
            </w:r>
          </w:p>
        </w:tc>
        <w:tc>
          <w:tcPr>
            <w:tcW w:w="2409" w:type="dxa"/>
            <w:vAlign w:val="center"/>
          </w:tcPr>
          <w:p w:rsidR="008C7751" w:rsidRPr="00E00B35" w:rsidRDefault="008C7751" w:rsidP="00E00B35">
            <w:pPr>
              <w:tabs>
                <w:tab w:val="left" w:pos="1388"/>
              </w:tabs>
              <w:autoSpaceDE w:val="0"/>
              <w:autoSpaceDN w:val="0"/>
              <w:adjustRightInd w:val="0"/>
              <w:spacing w:after="0" w:line="312" w:lineRule="auto"/>
              <w:rPr>
                <w:szCs w:val="20"/>
              </w:rPr>
            </w:pPr>
            <w:r w:rsidRPr="00E00B35">
              <w:rPr>
                <w:szCs w:val="20"/>
              </w:rPr>
              <w:t xml:space="preserve"> 9 943 475,33</w:t>
            </w:r>
          </w:p>
        </w:tc>
      </w:tr>
    </w:tbl>
    <w:p w:rsidR="008C7751" w:rsidRPr="00E00B35" w:rsidRDefault="008C7751" w:rsidP="00E00B35">
      <w:pPr>
        <w:spacing w:after="0" w:line="312" w:lineRule="auto"/>
        <w:rPr>
          <w:szCs w:val="20"/>
        </w:rPr>
      </w:pPr>
    </w:p>
    <w:p w:rsidR="001E1346" w:rsidRPr="00E00B35" w:rsidRDefault="001E1346" w:rsidP="00E00B35">
      <w:pPr>
        <w:pStyle w:val="Nagwek3"/>
        <w:spacing w:after="0" w:line="312" w:lineRule="auto"/>
        <w:rPr>
          <w:sz w:val="20"/>
          <w:lang w:val="pl-PL"/>
        </w:rPr>
      </w:pPr>
      <w:bookmarkStart w:id="24" w:name="_Toc159725706"/>
      <w:bookmarkStart w:id="25" w:name="_Toc159847383"/>
      <w:bookmarkStart w:id="26" w:name="_Toc222052989"/>
      <w:bookmarkEnd w:id="22"/>
    </w:p>
    <w:p w:rsidR="008C7751" w:rsidRPr="00E00B35" w:rsidRDefault="008C7751" w:rsidP="00E00B35">
      <w:pPr>
        <w:pStyle w:val="Nagwek3"/>
        <w:spacing w:after="0" w:line="312" w:lineRule="auto"/>
        <w:rPr>
          <w:sz w:val="20"/>
          <w:lang w:val="pl-PL"/>
        </w:rPr>
      </w:pPr>
      <w:r w:rsidRPr="00E00B35">
        <w:rPr>
          <w:sz w:val="20"/>
        </w:rPr>
        <w:t>DOCHODY WYDZIAŁU NABYWANIA I SPRZEDAŻY NIERUCHOMOŚCI</w:t>
      </w:r>
    </w:p>
    <w:bookmarkEnd w:id="24"/>
    <w:bookmarkEnd w:id="25"/>
    <w:bookmarkEnd w:id="26"/>
    <w:p w:rsidR="008C7751" w:rsidRPr="00E00B35" w:rsidRDefault="008C7751" w:rsidP="00E00B35">
      <w:pPr>
        <w:spacing w:after="0" w:line="312" w:lineRule="auto"/>
        <w:rPr>
          <w:szCs w:val="20"/>
        </w:rPr>
      </w:pPr>
      <w:r w:rsidRPr="00E00B35">
        <w:rPr>
          <w:szCs w:val="20"/>
        </w:rPr>
        <w:t>Uchwałą nr XVII/465/19 Rady Miejskiej Wrocławia z dnia 18 grudnia 2019 r. w sprawie budżetu Miasta na 2020 rok ustalono plan dochodów ze sprzedaży składników majątkowych dla Wydziału Nabywania i Sprzedaży Nieruchomości na poziomie 184 300 000,00 zł. Sytuacja związana z pandemią spowodowała konieczność wprowadzenia zmian w planie dochodów Wydziału. Za zgodą Rady Miejskiej Wrocławia zmniejszono plan dochodów o kwotę 74 952 079,00 zł. Ostatecznie ustalony plan dochodów wyniósł 109 347 921,00 zł i został zrealizowany na poziomie 116 194 603,55 zł, tj.  106,3% planu.</w:t>
      </w:r>
    </w:p>
    <w:p w:rsidR="008C7751" w:rsidRPr="00E00B35" w:rsidRDefault="008C7751" w:rsidP="00E00B35">
      <w:pPr>
        <w:spacing w:after="0" w:line="312" w:lineRule="auto"/>
        <w:rPr>
          <w:szCs w:val="20"/>
        </w:rPr>
      </w:pPr>
      <w:r w:rsidRPr="00E00B35">
        <w:rPr>
          <w:szCs w:val="20"/>
        </w:rPr>
        <w:t>Wykonanie planu dochodów wg źródeł i klasyfikacji budżetowej oraz procentowe wykonanie planu - na podstawie rozstrzygniętych przetargów oraz zawartych aktów notarialnych według stanu na dzień 31.12.2020 r.</w:t>
      </w:r>
    </w:p>
    <w:p w:rsidR="008C7751" w:rsidRPr="00E00B35" w:rsidRDefault="008C7751" w:rsidP="00E00B35">
      <w:pPr>
        <w:spacing w:after="0" w:line="312" w:lineRule="auto"/>
        <w:rPr>
          <w:szCs w:val="20"/>
        </w:rPr>
      </w:pPr>
    </w:p>
    <w:tbl>
      <w:tblPr>
        <w:tblpPr w:leftFromText="141" w:rightFromText="141" w:vertAnchor="text" w:tblpXSpec="center" w:tblpY="1"/>
        <w:tblOverlap w:val="never"/>
        <w:tblW w:w="9072" w:type="dxa"/>
        <w:tblBorders>
          <w:insideH w:val="single" w:sz="18" w:space="0" w:color="FFFFFF"/>
          <w:insideV w:val="single" w:sz="18" w:space="0" w:color="FFFFFF"/>
        </w:tblBorders>
        <w:tblLayout w:type="fixed"/>
        <w:tblCellMar>
          <w:left w:w="30" w:type="dxa"/>
          <w:right w:w="30" w:type="dxa"/>
        </w:tblCellMar>
        <w:tblLook w:val="0000"/>
      </w:tblPr>
      <w:tblGrid>
        <w:gridCol w:w="4820"/>
        <w:gridCol w:w="1600"/>
        <w:gridCol w:w="1639"/>
        <w:gridCol w:w="1013"/>
      </w:tblGrid>
      <w:tr w:rsidR="008C7751" w:rsidRPr="00E00B35" w:rsidTr="008C7751">
        <w:trPr>
          <w:trHeight w:val="625"/>
          <w:tblHeader/>
        </w:trPr>
        <w:tc>
          <w:tcPr>
            <w:tcW w:w="4820" w:type="dxa"/>
            <w:tcBorders>
              <w:top w:val="single" w:sz="12" w:space="0" w:color="auto"/>
              <w:left w:val="single" w:sz="4" w:space="0" w:color="auto"/>
              <w:bottom w:val="single" w:sz="12" w:space="0" w:color="auto"/>
              <w:right w:val="single" w:sz="4" w:space="0" w:color="auto"/>
            </w:tcBorders>
            <w:shd w:val="clear" w:color="auto" w:fill="FFFFFF"/>
            <w:vAlign w:val="center"/>
          </w:tcPr>
          <w:p w:rsidR="008C7751" w:rsidRPr="00E00B35" w:rsidRDefault="008C7751" w:rsidP="00E00B35">
            <w:pPr>
              <w:spacing w:after="0" w:line="312" w:lineRule="auto"/>
              <w:rPr>
                <w:rFonts w:cs="Arial"/>
                <w:bCs/>
                <w:caps/>
                <w:szCs w:val="20"/>
              </w:rPr>
            </w:pPr>
            <w:r w:rsidRPr="00E00B35">
              <w:rPr>
                <w:rFonts w:cs="Arial"/>
                <w:bCs/>
                <w:caps/>
                <w:szCs w:val="20"/>
              </w:rPr>
              <w:t>Wyszczególnienie</w:t>
            </w:r>
          </w:p>
        </w:tc>
        <w:tc>
          <w:tcPr>
            <w:tcW w:w="1600" w:type="dxa"/>
            <w:tcBorders>
              <w:top w:val="single" w:sz="12" w:space="0" w:color="auto"/>
              <w:left w:val="single" w:sz="4" w:space="0" w:color="auto"/>
              <w:bottom w:val="single" w:sz="12" w:space="0" w:color="auto"/>
              <w:right w:val="single" w:sz="4" w:space="0" w:color="auto"/>
            </w:tcBorders>
            <w:shd w:val="clear" w:color="auto" w:fill="FFFFFF"/>
            <w:vAlign w:val="center"/>
          </w:tcPr>
          <w:p w:rsidR="008C7751" w:rsidRPr="00E00B35" w:rsidRDefault="008C7751" w:rsidP="00E00B35">
            <w:pPr>
              <w:spacing w:after="0" w:line="312" w:lineRule="auto"/>
              <w:rPr>
                <w:rFonts w:cs="Arial"/>
                <w:bCs/>
                <w:caps/>
                <w:szCs w:val="20"/>
              </w:rPr>
            </w:pPr>
            <w:r w:rsidRPr="00E00B35">
              <w:rPr>
                <w:rFonts w:cs="Arial"/>
                <w:bCs/>
                <w:caps/>
                <w:szCs w:val="20"/>
              </w:rPr>
              <w:t>PLAN</w:t>
            </w:r>
          </w:p>
          <w:p w:rsidR="008C7751" w:rsidRPr="00E00B35" w:rsidRDefault="008C7751" w:rsidP="00E00B35">
            <w:pPr>
              <w:spacing w:after="0" w:line="312" w:lineRule="auto"/>
              <w:rPr>
                <w:rFonts w:cs="Arial"/>
                <w:bCs/>
                <w:caps/>
                <w:szCs w:val="20"/>
              </w:rPr>
            </w:pPr>
            <w:r w:rsidRPr="00E00B35">
              <w:rPr>
                <w:rFonts w:cs="Arial"/>
                <w:bCs/>
                <w:caps/>
                <w:szCs w:val="20"/>
              </w:rPr>
              <w:t>2020 rok</w:t>
            </w:r>
          </w:p>
          <w:p w:rsidR="008C7751" w:rsidRPr="00E00B35" w:rsidRDefault="008C7751" w:rsidP="00E00B35">
            <w:pPr>
              <w:spacing w:after="0" w:line="312" w:lineRule="auto"/>
              <w:rPr>
                <w:rFonts w:cs="Arial"/>
                <w:bCs/>
                <w:caps/>
                <w:szCs w:val="20"/>
              </w:rPr>
            </w:pPr>
            <w:r w:rsidRPr="00E00B35">
              <w:rPr>
                <w:rFonts w:cs="Arial"/>
                <w:bCs/>
                <w:caps/>
                <w:szCs w:val="20"/>
              </w:rPr>
              <w:t>[zł]</w:t>
            </w:r>
          </w:p>
        </w:tc>
        <w:tc>
          <w:tcPr>
            <w:tcW w:w="1639" w:type="dxa"/>
            <w:tcBorders>
              <w:top w:val="single" w:sz="12" w:space="0" w:color="auto"/>
              <w:left w:val="single" w:sz="4" w:space="0" w:color="auto"/>
              <w:bottom w:val="single" w:sz="12" w:space="0" w:color="auto"/>
              <w:right w:val="single" w:sz="4" w:space="0" w:color="auto"/>
            </w:tcBorders>
            <w:shd w:val="clear" w:color="auto" w:fill="FFFFFF"/>
            <w:vAlign w:val="center"/>
          </w:tcPr>
          <w:p w:rsidR="008C7751" w:rsidRPr="00E00B35" w:rsidRDefault="008C7751" w:rsidP="00E00B35">
            <w:pPr>
              <w:spacing w:after="0" w:line="312" w:lineRule="auto"/>
              <w:rPr>
                <w:rFonts w:cs="Arial"/>
                <w:bCs/>
                <w:caps/>
                <w:szCs w:val="20"/>
              </w:rPr>
            </w:pPr>
            <w:r w:rsidRPr="00E00B35">
              <w:rPr>
                <w:rFonts w:cs="Arial"/>
                <w:bCs/>
                <w:caps/>
                <w:szCs w:val="20"/>
              </w:rPr>
              <w:t>WYKONANIe</w:t>
            </w:r>
          </w:p>
          <w:p w:rsidR="008C7751" w:rsidRPr="00E00B35" w:rsidRDefault="008C7751" w:rsidP="00E00B35">
            <w:pPr>
              <w:spacing w:after="0" w:line="312" w:lineRule="auto"/>
              <w:rPr>
                <w:rFonts w:cs="Arial"/>
                <w:bCs/>
                <w:caps/>
                <w:szCs w:val="20"/>
              </w:rPr>
            </w:pPr>
            <w:r w:rsidRPr="00E00B35">
              <w:rPr>
                <w:rFonts w:cs="Arial"/>
                <w:bCs/>
                <w:caps/>
                <w:szCs w:val="20"/>
              </w:rPr>
              <w:t>ZA 2020 ROK</w:t>
            </w:r>
          </w:p>
          <w:p w:rsidR="008C7751" w:rsidRPr="00E00B35" w:rsidRDefault="008C7751" w:rsidP="00E00B35">
            <w:pPr>
              <w:spacing w:after="0" w:line="312" w:lineRule="auto"/>
              <w:rPr>
                <w:rFonts w:cs="Arial"/>
                <w:bCs/>
                <w:caps/>
                <w:szCs w:val="20"/>
              </w:rPr>
            </w:pPr>
            <w:r w:rsidRPr="00E00B35">
              <w:rPr>
                <w:rFonts w:cs="Arial"/>
                <w:bCs/>
                <w:caps/>
                <w:szCs w:val="20"/>
              </w:rPr>
              <w:t>[zł]</w:t>
            </w:r>
          </w:p>
        </w:tc>
        <w:tc>
          <w:tcPr>
            <w:tcW w:w="1013" w:type="dxa"/>
            <w:tcBorders>
              <w:top w:val="single" w:sz="12" w:space="0" w:color="auto"/>
              <w:left w:val="single" w:sz="4" w:space="0" w:color="auto"/>
              <w:bottom w:val="single" w:sz="12" w:space="0" w:color="auto"/>
              <w:right w:val="single" w:sz="12" w:space="0" w:color="auto"/>
            </w:tcBorders>
            <w:shd w:val="clear" w:color="auto" w:fill="FFFFFF"/>
            <w:vAlign w:val="center"/>
          </w:tcPr>
          <w:p w:rsidR="008C7751" w:rsidRPr="00E00B35" w:rsidRDefault="008C7751" w:rsidP="00E00B35">
            <w:pPr>
              <w:spacing w:after="0" w:line="312" w:lineRule="auto"/>
              <w:rPr>
                <w:rFonts w:cs="Arial"/>
                <w:bCs/>
                <w:caps/>
                <w:szCs w:val="20"/>
              </w:rPr>
            </w:pPr>
            <w:r w:rsidRPr="00E00B35">
              <w:rPr>
                <w:rFonts w:cs="Arial"/>
                <w:bCs/>
                <w:caps/>
                <w:szCs w:val="20"/>
              </w:rPr>
              <w:t>%</w:t>
            </w:r>
          </w:p>
          <w:p w:rsidR="008C7751" w:rsidRPr="00E00B35" w:rsidRDefault="008C7751" w:rsidP="00E00B35">
            <w:pPr>
              <w:spacing w:after="0" w:line="312" w:lineRule="auto"/>
              <w:rPr>
                <w:rFonts w:cs="Arial"/>
                <w:bCs/>
                <w:caps/>
                <w:szCs w:val="20"/>
              </w:rPr>
            </w:pPr>
            <w:r w:rsidRPr="00E00B35">
              <w:rPr>
                <w:rFonts w:cs="Arial"/>
                <w:bCs/>
                <w:caps/>
                <w:szCs w:val="20"/>
              </w:rPr>
              <w:t>Wyk. PLANU</w:t>
            </w:r>
          </w:p>
        </w:tc>
      </w:tr>
      <w:tr w:rsidR="008C7751" w:rsidRPr="00E00B35" w:rsidTr="008C7751">
        <w:trPr>
          <w:trHeight w:val="306"/>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Użytkowanie wieczyste</w:t>
            </w:r>
          </w:p>
        </w:tc>
        <w:tc>
          <w:tcPr>
            <w:tcW w:w="1600"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800 000,00</w:t>
            </w:r>
          </w:p>
        </w:tc>
        <w:tc>
          <w:tcPr>
            <w:tcW w:w="1639"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48 528,16</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6,1</w:t>
            </w:r>
          </w:p>
        </w:tc>
      </w:tr>
      <w:tr w:rsidR="008C7751" w:rsidRPr="00E00B35" w:rsidTr="008C7751">
        <w:trPr>
          <w:trHeight w:val="418"/>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pStyle w:val="Tekstpodstawowy"/>
              <w:spacing w:after="0" w:line="312" w:lineRule="auto"/>
              <w:rPr>
                <w:bCs/>
                <w:szCs w:val="20"/>
              </w:rPr>
            </w:pPr>
            <w:r w:rsidRPr="00E00B35">
              <w:rPr>
                <w:bCs/>
                <w:szCs w:val="20"/>
              </w:rPr>
              <w:t>Wpływy z tytułu przekształcenia prawa użytkowania wieczystego w prawo własności</w:t>
            </w:r>
          </w:p>
        </w:tc>
        <w:tc>
          <w:tcPr>
            <w:tcW w:w="1600" w:type="dxa"/>
            <w:vMerge w:val="restart"/>
            <w:tcBorders>
              <w:top w:val="single" w:sz="4" w:space="0" w:color="auto"/>
              <w:left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7 000 000,00</w:t>
            </w:r>
          </w:p>
        </w:tc>
        <w:tc>
          <w:tcPr>
            <w:tcW w:w="1639"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220 368,80</w:t>
            </w:r>
          </w:p>
        </w:tc>
        <w:tc>
          <w:tcPr>
            <w:tcW w:w="1013" w:type="dxa"/>
            <w:vMerge w:val="restart"/>
            <w:tcBorders>
              <w:top w:val="single" w:sz="4" w:space="0" w:color="auto"/>
              <w:left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30,1</w:t>
            </w:r>
          </w:p>
        </w:tc>
      </w:tr>
      <w:tr w:rsidR="008C7751" w:rsidRPr="00E00B35" w:rsidTr="008C7751">
        <w:trPr>
          <w:trHeight w:val="388"/>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pStyle w:val="Tekstpodstawowy"/>
              <w:spacing w:after="0" w:line="312" w:lineRule="auto"/>
              <w:rPr>
                <w:bCs/>
                <w:szCs w:val="20"/>
              </w:rPr>
            </w:pPr>
            <w:r w:rsidRPr="00E00B35">
              <w:rPr>
                <w:bCs/>
                <w:szCs w:val="20"/>
              </w:rPr>
              <w:t>Opłata przekształceniowa</w:t>
            </w:r>
          </w:p>
        </w:tc>
        <w:tc>
          <w:tcPr>
            <w:tcW w:w="1600" w:type="dxa"/>
            <w:vMerge/>
            <w:tcBorders>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p>
        </w:tc>
        <w:tc>
          <w:tcPr>
            <w:tcW w:w="1639"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1 883 197,89*</w:t>
            </w:r>
          </w:p>
        </w:tc>
        <w:tc>
          <w:tcPr>
            <w:tcW w:w="1013" w:type="dxa"/>
            <w:vMerge/>
            <w:tcBorders>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p>
        </w:tc>
      </w:tr>
      <w:tr w:rsidR="008C7751" w:rsidRPr="00E00B35" w:rsidTr="008C7751">
        <w:trPr>
          <w:trHeight w:val="413"/>
        </w:trPr>
        <w:tc>
          <w:tcPr>
            <w:tcW w:w="4820" w:type="dxa"/>
            <w:tcBorders>
              <w:top w:val="single" w:sz="4" w:space="0" w:color="auto"/>
              <w:left w:val="single" w:sz="4" w:space="0" w:color="auto"/>
              <w:bottom w:val="nil"/>
              <w:right w:val="single" w:sz="4" w:space="0" w:color="auto"/>
            </w:tcBorders>
            <w:shd w:val="clear" w:color="auto" w:fill="FFFFFF"/>
            <w:vAlign w:val="center"/>
          </w:tcPr>
          <w:p w:rsidR="008C7751" w:rsidRPr="00E00B35" w:rsidRDefault="008C7751" w:rsidP="00E00B35">
            <w:pPr>
              <w:pStyle w:val="Tekstpodstawowy"/>
              <w:spacing w:after="0" w:line="312" w:lineRule="auto"/>
              <w:rPr>
                <w:bCs/>
                <w:szCs w:val="20"/>
              </w:rPr>
            </w:pPr>
            <w:r w:rsidRPr="00E00B35">
              <w:rPr>
                <w:bCs/>
                <w:szCs w:val="20"/>
              </w:rPr>
              <w:t>Wpływy z tytułu odpłatnego nabycia prawa własności,z tego:</w:t>
            </w:r>
          </w:p>
        </w:tc>
        <w:tc>
          <w:tcPr>
            <w:tcW w:w="1600" w:type="dxa"/>
            <w:tcBorders>
              <w:top w:val="single" w:sz="4" w:space="0" w:color="auto"/>
              <w:left w:val="single" w:sz="4" w:space="0" w:color="auto"/>
              <w:bottom w:val="nil"/>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101 547 921,00</w:t>
            </w:r>
          </w:p>
        </w:tc>
        <w:tc>
          <w:tcPr>
            <w:tcW w:w="1639" w:type="dxa"/>
            <w:tcBorders>
              <w:top w:val="single" w:sz="4" w:space="0" w:color="auto"/>
              <w:left w:val="single" w:sz="4" w:space="0" w:color="auto"/>
              <w:bottom w:val="nil"/>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114 042 508,70</w:t>
            </w:r>
          </w:p>
        </w:tc>
        <w:tc>
          <w:tcPr>
            <w:tcW w:w="1013" w:type="dxa"/>
            <w:tcBorders>
              <w:top w:val="single" w:sz="4" w:space="0" w:color="auto"/>
              <w:left w:val="single" w:sz="4" w:space="0" w:color="auto"/>
              <w:bottom w:val="nil"/>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112,3</w:t>
            </w:r>
          </w:p>
        </w:tc>
      </w:tr>
      <w:tr w:rsidR="008C7751" w:rsidRPr="00E00B35" w:rsidTr="008C7751">
        <w:trPr>
          <w:trHeight w:val="170"/>
        </w:trPr>
        <w:tc>
          <w:tcPr>
            <w:tcW w:w="4820" w:type="dxa"/>
            <w:tcBorders>
              <w:top w:val="nil"/>
              <w:left w:val="single" w:sz="4" w:space="0" w:color="auto"/>
              <w:bottom w:val="nil"/>
              <w:right w:val="single" w:sz="4" w:space="0" w:color="auto"/>
            </w:tcBorders>
            <w:shd w:val="clear" w:color="auto" w:fill="FFFFFF"/>
          </w:tcPr>
          <w:p w:rsidR="008C7751" w:rsidRPr="00E00B35" w:rsidRDefault="008C7751" w:rsidP="00E00B35">
            <w:pPr>
              <w:pStyle w:val="Tekstpodstawowy"/>
              <w:numPr>
                <w:ilvl w:val="0"/>
                <w:numId w:val="13"/>
              </w:numPr>
              <w:spacing w:after="0" w:line="312" w:lineRule="auto"/>
              <w:ind w:left="426" w:hanging="284"/>
              <w:rPr>
                <w:bCs/>
                <w:szCs w:val="20"/>
              </w:rPr>
            </w:pPr>
            <w:r w:rsidRPr="00E00B35">
              <w:rPr>
                <w:bCs/>
                <w:szCs w:val="20"/>
              </w:rPr>
              <w:t>sprzedaż nieruchomości w trybie przetargowym</w:t>
            </w:r>
          </w:p>
        </w:tc>
        <w:tc>
          <w:tcPr>
            <w:tcW w:w="1600" w:type="dxa"/>
            <w:tcBorders>
              <w:top w:val="nil"/>
              <w:left w:val="single" w:sz="4" w:space="0" w:color="auto"/>
              <w:bottom w:val="nil"/>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50 547 921,00</w:t>
            </w:r>
          </w:p>
        </w:tc>
        <w:tc>
          <w:tcPr>
            <w:tcW w:w="1639" w:type="dxa"/>
            <w:tcBorders>
              <w:top w:val="nil"/>
              <w:left w:val="single" w:sz="4" w:space="0" w:color="auto"/>
              <w:bottom w:val="nil"/>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67 631 215,59</w:t>
            </w:r>
          </w:p>
          <w:p w:rsidR="008C7751" w:rsidRPr="00E00B35" w:rsidRDefault="008C7751" w:rsidP="00E00B35">
            <w:pPr>
              <w:spacing w:after="0" w:line="312" w:lineRule="auto"/>
              <w:rPr>
                <w:bCs/>
                <w:szCs w:val="20"/>
              </w:rPr>
            </w:pPr>
          </w:p>
        </w:tc>
        <w:tc>
          <w:tcPr>
            <w:tcW w:w="1013" w:type="dxa"/>
            <w:tcBorders>
              <w:top w:val="nil"/>
              <w:left w:val="single" w:sz="4" w:space="0" w:color="auto"/>
              <w:bottom w:val="nil"/>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133,8</w:t>
            </w:r>
          </w:p>
          <w:p w:rsidR="008C7751" w:rsidRPr="00E00B35" w:rsidRDefault="008C7751" w:rsidP="00E00B35">
            <w:pPr>
              <w:spacing w:after="0" w:line="312" w:lineRule="auto"/>
              <w:rPr>
                <w:bCs/>
                <w:szCs w:val="20"/>
              </w:rPr>
            </w:pPr>
          </w:p>
        </w:tc>
      </w:tr>
      <w:tr w:rsidR="008C7751" w:rsidRPr="00E00B35" w:rsidTr="008C7751">
        <w:trPr>
          <w:trHeight w:val="170"/>
        </w:trPr>
        <w:tc>
          <w:tcPr>
            <w:tcW w:w="4820" w:type="dxa"/>
            <w:tcBorders>
              <w:top w:val="nil"/>
              <w:left w:val="single" w:sz="4" w:space="0" w:color="auto"/>
              <w:bottom w:val="nil"/>
              <w:right w:val="single" w:sz="4" w:space="0" w:color="auto"/>
            </w:tcBorders>
            <w:shd w:val="clear" w:color="auto" w:fill="FFFFFF"/>
          </w:tcPr>
          <w:p w:rsidR="008C7751" w:rsidRPr="00E00B35" w:rsidRDefault="008C7751" w:rsidP="00E00B35">
            <w:pPr>
              <w:pStyle w:val="Tekstpodstawowy"/>
              <w:numPr>
                <w:ilvl w:val="0"/>
                <w:numId w:val="13"/>
              </w:numPr>
              <w:spacing w:after="0" w:line="312" w:lineRule="auto"/>
              <w:ind w:left="426" w:hanging="284"/>
              <w:rPr>
                <w:bCs/>
                <w:szCs w:val="20"/>
              </w:rPr>
            </w:pPr>
            <w:r w:rsidRPr="00E00B35">
              <w:rPr>
                <w:bCs/>
                <w:szCs w:val="20"/>
              </w:rPr>
              <w:t xml:space="preserve">sprzedaż nieruchomości w trybie bezprzetargowym </w:t>
            </w:r>
          </w:p>
        </w:tc>
        <w:tc>
          <w:tcPr>
            <w:tcW w:w="1600" w:type="dxa"/>
            <w:tcBorders>
              <w:top w:val="nil"/>
              <w:left w:val="single" w:sz="4" w:space="0" w:color="auto"/>
              <w:bottom w:val="nil"/>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3 000 000,00</w:t>
            </w:r>
          </w:p>
          <w:p w:rsidR="008C7751" w:rsidRPr="00E00B35" w:rsidRDefault="008C7751" w:rsidP="00E00B35">
            <w:pPr>
              <w:spacing w:after="0" w:line="312" w:lineRule="auto"/>
              <w:rPr>
                <w:bCs/>
                <w:szCs w:val="20"/>
              </w:rPr>
            </w:pPr>
          </w:p>
        </w:tc>
        <w:tc>
          <w:tcPr>
            <w:tcW w:w="1639" w:type="dxa"/>
            <w:tcBorders>
              <w:top w:val="nil"/>
              <w:left w:val="single" w:sz="4" w:space="0" w:color="auto"/>
              <w:bottom w:val="nil"/>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4 371 726,53</w:t>
            </w:r>
          </w:p>
          <w:p w:rsidR="008C7751" w:rsidRPr="00E00B35" w:rsidRDefault="008C7751" w:rsidP="00E00B35">
            <w:pPr>
              <w:spacing w:after="0" w:line="312" w:lineRule="auto"/>
              <w:rPr>
                <w:bCs/>
                <w:szCs w:val="20"/>
              </w:rPr>
            </w:pPr>
          </w:p>
        </w:tc>
        <w:tc>
          <w:tcPr>
            <w:tcW w:w="1013" w:type="dxa"/>
            <w:tcBorders>
              <w:top w:val="nil"/>
              <w:left w:val="single" w:sz="4" w:space="0" w:color="auto"/>
              <w:bottom w:val="nil"/>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 xml:space="preserve">145,7 </w:t>
            </w:r>
          </w:p>
        </w:tc>
      </w:tr>
      <w:tr w:rsidR="008C7751" w:rsidRPr="00E00B35" w:rsidTr="008C7751">
        <w:trPr>
          <w:trHeight w:val="170"/>
        </w:trPr>
        <w:tc>
          <w:tcPr>
            <w:tcW w:w="4820" w:type="dxa"/>
            <w:tcBorders>
              <w:top w:val="nil"/>
              <w:left w:val="single" w:sz="4" w:space="0" w:color="auto"/>
              <w:bottom w:val="nil"/>
              <w:right w:val="single" w:sz="4" w:space="0" w:color="auto"/>
            </w:tcBorders>
            <w:shd w:val="clear" w:color="auto" w:fill="FFFFFF"/>
          </w:tcPr>
          <w:p w:rsidR="008C7751" w:rsidRPr="00E00B35" w:rsidRDefault="008C7751" w:rsidP="00E00B35">
            <w:pPr>
              <w:pStyle w:val="Tekstpodstawowy"/>
              <w:numPr>
                <w:ilvl w:val="0"/>
                <w:numId w:val="13"/>
              </w:numPr>
              <w:spacing w:after="0" w:line="312" w:lineRule="auto"/>
              <w:ind w:left="426" w:hanging="284"/>
              <w:rPr>
                <w:bCs/>
                <w:szCs w:val="20"/>
              </w:rPr>
            </w:pPr>
            <w:r w:rsidRPr="00E00B35">
              <w:rPr>
                <w:bCs/>
                <w:szCs w:val="20"/>
              </w:rPr>
              <w:t>sprzedaż lokali mieszkalnych</w:t>
            </w:r>
          </w:p>
        </w:tc>
        <w:tc>
          <w:tcPr>
            <w:tcW w:w="1600" w:type="dxa"/>
            <w:tcBorders>
              <w:top w:val="nil"/>
              <w:left w:val="single" w:sz="4" w:space="0" w:color="auto"/>
              <w:bottom w:val="nil"/>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40 000 000,00</w:t>
            </w:r>
          </w:p>
        </w:tc>
        <w:tc>
          <w:tcPr>
            <w:tcW w:w="1639" w:type="dxa"/>
            <w:tcBorders>
              <w:top w:val="nil"/>
              <w:left w:val="single" w:sz="4" w:space="0" w:color="auto"/>
              <w:bottom w:val="nil"/>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35 576 403,61</w:t>
            </w:r>
          </w:p>
          <w:p w:rsidR="008C7751" w:rsidRPr="00E00B35" w:rsidRDefault="008C7751" w:rsidP="00E00B35">
            <w:pPr>
              <w:spacing w:after="0" w:line="312" w:lineRule="auto"/>
              <w:rPr>
                <w:bCs/>
                <w:szCs w:val="20"/>
              </w:rPr>
            </w:pPr>
          </w:p>
        </w:tc>
        <w:tc>
          <w:tcPr>
            <w:tcW w:w="1013" w:type="dxa"/>
            <w:tcBorders>
              <w:top w:val="nil"/>
              <w:left w:val="single" w:sz="4" w:space="0" w:color="auto"/>
              <w:bottom w:val="nil"/>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88,9</w:t>
            </w:r>
          </w:p>
          <w:p w:rsidR="008C7751" w:rsidRPr="00E00B35" w:rsidRDefault="008C7751" w:rsidP="00E00B35">
            <w:pPr>
              <w:spacing w:after="0" w:line="312" w:lineRule="auto"/>
              <w:rPr>
                <w:bCs/>
                <w:szCs w:val="20"/>
              </w:rPr>
            </w:pPr>
          </w:p>
        </w:tc>
      </w:tr>
      <w:tr w:rsidR="008C7751" w:rsidRPr="00E00B35" w:rsidTr="008C7751">
        <w:trPr>
          <w:trHeight w:val="170"/>
        </w:trPr>
        <w:tc>
          <w:tcPr>
            <w:tcW w:w="4820" w:type="dxa"/>
            <w:tcBorders>
              <w:top w:val="nil"/>
              <w:left w:val="single" w:sz="4" w:space="0" w:color="auto"/>
              <w:bottom w:val="single" w:sz="4" w:space="0" w:color="auto"/>
              <w:right w:val="single" w:sz="4" w:space="0" w:color="auto"/>
            </w:tcBorders>
            <w:shd w:val="clear" w:color="auto" w:fill="FFFFFF"/>
          </w:tcPr>
          <w:p w:rsidR="008C7751" w:rsidRPr="00E00B35" w:rsidRDefault="008C7751" w:rsidP="00E00B35">
            <w:pPr>
              <w:pStyle w:val="Tekstpodstawowy"/>
              <w:numPr>
                <w:ilvl w:val="0"/>
                <w:numId w:val="13"/>
              </w:numPr>
              <w:spacing w:after="0" w:line="312" w:lineRule="auto"/>
              <w:ind w:left="426" w:hanging="284"/>
              <w:rPr>
                <w:bCs/>
                <w:szCs w:val="20"/>
              </w:rPr>
            </w:pPr>
            <w:r w:rsidRPr="00E00B35">
              <w:rPr>
                <w:bCs/>
                <w:szCs w:val="20"/>
              </w:rPr>
              <w:t>sprzedaż lokali użytkowych</w:t>
            </w:r>
          </w:p>
        </w:tc>
        <w:tc>
          <w:tcPr>
            <w:tcW w:w="1600" w:type="dxa"/>
            <w:tcBorders>
              <w:top w:val="nil"/>
              <w:left w:val="single" w:sz="4" w:space="0" w:color="auto"/>
              <w:bottom w:val="single" w:sz="4" w:space="0" w:color="auto"/>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8 000 000,00</w:t>
            </w:r>
          </w:p>
        </w:tc>
        <w:tc>
          <w:tcPr>
            <w:tcW w:w="1639" w:type="dxa"/>
            <w:tcBorders>
              <w:top w:val="nil"/>
              <w:left w:val="single" w:sz="4" w:space="0" w:color="auto"/>
              <w:bottom w:val="single" w:sz="4" w:space="0" w:color="auto"/>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6 463 162,97</w:t>
            </w:r>
          </w:p>
        </w:tc>
        <w:tc>
          <w:tcPr>
            <w:tcW w:w="1013" w:type="dxa"/>
            <w:tcBorders>
              <w:top w:val="nil"/>
              <w:left w:val="single" w:sz="4" w:space="0" w:color="auto"/>
              <w:bottom w:val="single" w:sz="4" w:space="0" w:color="auto"/>
              <w:right w:val="single" w:sz="4" w:space="0" w:color="auto"/>
            </w:tcBorders>
            <w:shd w:val="clear" w:color="auto" w:fill="FFFFFF"/>
          </w:tcPr>
          <w:p w:rsidR="008C7751" w:rsidRPr="00E00B35" w:rsidRDefault="008C7751" w:rsidP="00E00B35">
            <w:pPr>
              <w:spacing w:after="0" w:line="312" w:lineRule="auto"/>
              <w:rPr>
                <w:bCs/>
                <w:szCs w:val="20"/>
              </w:rPr>
            </w:pPr>
            <w:r w:rsidRPr="00E00B35">
              <w:rPr>
                <w:bCs/>
                <w:szCs w:val="20"/>
              </w:rPr>
              <w:t>80,8</w:t>
            </w:r>
          </w:p>
        </w:tc>
      </w:tr>
      <w:tr w:rsidR="008C7751" w:rsidRPr="00E00B35" w:rsidTr="008C7751">
        <w:trPr>
          <w:trHeight w:val="512"/>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pStyle w:val="Tekstpodstawowy"/>
              <w:spacing w:after="0" w:line="312" w:lineRule="auto"/>
              <w:rPr>
                <w:bCs/>
                <w:szCs w:val="20"/>
              </w:rPr>
            </w:pPr>
            <w:r w:rsidRPr="00E00B35">
              <w:rPr>
                <w:bCs/>
                <w:szCs w:val="20"/>
              </w:rPr>
              <w:t>OGÓŁEM DOCHODY</w:t>
            </w:r>
          </w:p>
        </w:tc>
        <w:tc>
          <w:tcPr>
            <w:tcW w:w="1600"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109 347 921,00</w:t>
            </w:r>
          </w:p>
        </w:tc>
        <w:tc>
          <w:tcPr>
            <w:tcW w:w="1639"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116 194 603,55</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106,3</w:t>
            </w:r>
          </w:p>
        </w:tc>
      </w:tr>
    </w:tbl>
    <w:p w:rsidR="008C7751" w:rsidRPr="00E00B35" w:rsidRDefault="008C7751" w:rsidP="00E00B35">
      <w:pPr>
        <w:pStyle w:val="Nagwek6"/>
        <w:spacing w:before="0" w:after="0" w:line="312" w:lineRule="auto"/>
        <w:rPr>
          <w:rFonts w:ascii="Verdana" w:hAnsi="Verdana"/>
          <w:bCs/>
          <w:color w:val="auto"/>
          <w:szCs w:val="20"/>
        </w:rPr>
      </w:pPr>
      <w:r w:rsidRPr="00E00B35">
        <w:rPr>
          <w:rFonts w:ascii="Verdana" w:hAnsi="Verdana"/>
          <w:bCs/>
          <w:color w:val="auto"/>
          <w:szCs w:val="20"/>
        </w:rPr>
        <w:lastRenderedPageBreak/>
        <w:t>* dochody wykazywane są w Rb-27S jako dochody Wydziału Nieruchomości Komunalnych</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Ponadto do budżetu Miasta wpłynęły środki finansowe w wysokości245 452,58 zł. Są to dochody nieplanowane.</w:t>
      </w:r>
    </w:p>
    <w:tbl>
      <w:tblPr>
        <w:tblpPr w:leftFromText="141" w:rightFromText="141" w:vertAnchor="text" w:horzAnchor="margin" w:tblpY="1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7655"/>
        <w:gridCol w:w="1480"/>
      </w:tblGrid>
      <w:tr w:rsidR="008C7751" w:rsidRPr="00E00B35" w:rsidTr="008C7751">
        <w:trPr>
          <w:trHeight w:val="500"/>
        </w:trPr>
        <w:tc>
          <w:tcPr>
            <w:tcW w:w="7655" w:type="dxa"/>
            <w:tcBorders>
              <w:top w:val="single" w:sz="12" w:space="0" w:color="auto"/>
              <w:bottom w:val="single" w:sz="12" w:space="0" w:color="auto"/>
            </w:tcBorders>
            <w:shd w:val="clear" w:color="auto" w:fill="FFFFFF"/>
            <w:vAlign w:val="center"/>
          </w:tcPr>
          <w:p w:rsidR="008C7751" w:rsidRPr="00E00B35" w:rsidRDefault="008C7751" w:rsidP="00E00B35">
            <w:pPr>
              <w:spacing w:after="0" w:line="312" w:lineRule="auto"/>
              <w:rPr>
                <w:bCs/>
                <w:iCs/>
                <w:szCs w:val="20"/>
              </w:rPr>
            </w:pPr>
            <w:r w:rsidRPr="00E00B35">
              <w:rPr>
                <w:bCs/>
                <w:iCs/>
                <w:szCs w:val="20"/>
              </w:rPr>
              <w:t>WYSZCZEGÓLNIENIE</w:t>
            </w:r>
          </w:p>
        </w:tc>
        <w:tc>
          <w:tcPr>
            <w:tcW w:w="1417" w:type="dxa"/>
            <w:tcBorders>
              <w:top w:val="single" w:sz="12" w:space="0" w:color="auto"/>
              <w:bottom w:val="single" w:sz="12" w:space="0" w:color="auto"/>
              <w:right w:val="single" w:sz="12" w:space="0" w:color="auto"/>
            </w:tcBorders>
            <w:shd w:val="clear" w:color="auto" w:fill="FFFFFF"/>
            <w:vAlign w:val="center"/>
          </w:tcPr>
          <w:p w:rsidR="008C7751" w:rsidRPr="00E00B35" w:rsidRDefault="008C7751" w:rsidP="00E00B35">
            <w:pPr>
              <w:spacing w:after="0" w:line="312" w:lineRule="auto"/>
              <w:rPr>
                <w:bCs/>
                <w:iCs/>
                <w:szCs w:val="20"/>
              </w:rPr>
            </w:pPr>
            <w:r w:rsidRPr="00E00B35">
              <w:rPr>
                <w:bCs/>
                <w:iCs/>
                <w:szCs w:val="20"/>
              </w:rPr>
              <w:t>WYKONANIE</w:t>
            </w:r>
          </w:p>
          <w:p w:rsidR="008C7751" w:rsidRPr="00E00B35" w:rsidRDefault="008C7751" w:rsidP="00E00B35">
            <w:pPr>
              <w:spacing w:after="0" w:line="312" w:lineRule="auto"/>
              <w:rPr>
                <w:bCs/>
                <w:iCs/>
                <w:szCs w:val="20"/>
              </w:rPr>
            </w:pPr>
            <w:r w:rsidRPr="00E00B35">
              <w:rPr>
                <w:bCs/>
                <w:iCs/>
                <w:szCs w:val="20"/>
              </w:rPr>
              <w:t xml:space="preserve"> ZA 2020 ROK</w:t>
            </w:r>
          </w:p>
          <w:p w:rsidR="008C7751" w:rsidRPr="00E00B35" w:rsidRDefault="008C7751" w:rsidP="00E00B35">
            <w:pPr>
              <w:spacing w:after="0" w:line="312" w:lineRule="auto"/>
              <w:rPr>
                <w:bCs/>
                <w:iCs/>
                <w:szCs w:val="20"/>
              </w:rPr>
            </w:pPr>
            <w:r w:rsidRPr="00E00B35">
              <w:rPr>
                <w:bCs/>
                <w:iCs/>
                <w:szCs w:val="20"/>
              </w:rPr>
              <w:t>[ZŁ]</w:t>
            </w:r>
          </w:p>
        </w:tc>
      </w:tr>
      <w:tr w:rsidR="008C7751" w:rsidRPr="00E00B35" w:rsidTr="008C7751">
        <w:trPr>
          <w:trHeight w:val="284"/>
        </w:trPr>
        <w:tc>
          <w:tcPr>
            <w:tcW w:w="7655" w:type="dxa"/>
            <w:tcBorders>
              <w:top w:val="single" w:sz="12"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Wpływy z opłat za trwały zarząd, użytkowanie i służebności</w:t>
            </w:r>
          </w:p>
        </w:tc>
        <w:tc>
          <w:tcPr>
            <w:tcW w:w="1417" w:type="dxa"/>
            <w:tcBorders>
              <w:top w:val="single" w:sz="12"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44 912,65</w:t>
            </w:r>
          </w:p>
        </w:tc>
      </w:tr>
      <w:tr w:rsidR="008C7751" w:rsidRPr="00E00B35" w:rsidTr="008C7751">
        <w:trPr>
          <w:trHeight w:val="284"/>
        </w:trPr>
        <w:tc>
          <w:tcPr>
            <w:tcW w:w="7655" w:type="dxa"/>
            <w:shd w:val="clear" w:color="auto" w:fill="FFFFFF"/>
            <w:vAlign w:val="center"/>
          </w:tcPr>
          <w:p w:rsidR="008C7751" w:rsidRPr="00E00B35" w:rsidRDefault="008C7751" w:rsidP="00E00B35">
            <w:pPr>
              <w:spacing w:after="0" w:line="312" w:lineRule="auto"/>
              <w:rPr>
                <w:bCs/>
                <w:szCs w:val="20"/>
              </w:rPr>
            </w:pPr>
            <w:r w:rsidRPr="00E00B35">
              <w:rPr>
                <w:bCs/>
                <w:szCs w:val="20"/>
              </w:rPr>
              <w:t>Wpływy z tytułu odszkodowania za przejęte nieruchomości pod inwestycje celu publicznego</w:t>
            </w:r>
          </w:p>
        </w:tc>
        <w:tc>
          <w:tcPr>
            <w:tcW w:w="1417" w:type="dxa"/>
            <w:shd w:val="clear" w:color="auto" w:fill="FFFFFF"/>
            <w:vAlign w:val="center"/>
          </w:tcPr>
          <w:p w:rsidR="008C7751" w:rsidRPr="00E00B35" w:rsidRDefault="008C7751" w:rsidP="00E00B35">
            <w:pPr>
              <w:spacing w:after="0" w:line="312" w:lineRule="auto"/>
              <w:rPr>
                <w:bCs/>
                <w:szCs w:val="20"/>
              </w:rPr>
            </w:pPr>
            <w:r w:rsidRPr="00E00B35">
              <w:rPr>
                <w:bCs/>
                <w:szCs w:val="20"/>
              </w:rPr>
              <w:t>10 329,26</w:t>
            </w:r>
          </w:p>
        </w:tc>
      </w:tr>
      <w:tr w:rsidR="008C7751" w:rsidRPr="00E00B35" w:rsidTr="008C7751">
        <w:trPr>
          <w:trHeight w:val="284"/>
        </w:trPr>
        <w:tc>
          <w:tcPr>
            <w:tcW w:w="7655" w:type="dxa"/>
            <w:tcBorders>
              <w:bottom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Wpływy z pozostałych odsetek</w:t>
            </w:r>
          </w:p>
        </w:tc>
        <w:tc>
          <w:tcPr>
            <w:tcW w:w="1417" w:type="dxa"/>
            <w:tcBorders>
              <w:bottom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150 210,67</w:t>
            </w:r>
          </w:p>
        </w:tc>
      </w:tr>
      <w:tr w:rsidR="008C7751" w:rsidRPr="00E00B35" w:rsidTr="008C7751">
        <w:trPr>
          <w:trHeight w:val="284"/>
        </w:trPr>
        <w:tc>
          <w:tcPr>
            <w:tcW w:w="7655" w:type="dxa"/>
            <w:tcBorders>
              <w:bottom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Wpływy z różnych dochodów</w:t>
            </w:r>
          </w:p>
        </w:tc>
        <w:tc>
          <w:tcPr>
            <w:tcW w:w="1417" w:type="dxa"/>
            <w:tcBorders>
              <w:bottom w:val="single" w:sz="4" w:space="0" w:color="auto"/>
            </w:tcBorders>
            <w:shd w:val="clear" w:color="auto" w:fill="FFFFFF"/>
            <w:vAlign w:val="center"/>
          </w:tcPr>
          <w:p w:rsidR="008C7751" w:rsidRPr="00E00B35" w:rsidRDefault="008C7751" w:rsidP="00E00B35">
            <w:pPr>
              <w:spacing w:after="0" w:line="312" w:lineRule="auto"/>
              <w:rPr>
                <w:bCs/>
                <w:szCs w:val="20"/>
              </w:rPr>
            </w:pPr>
            <w:r w:rsidRPr="00E00B35">
              <w:rPr>
                <w:bCs/>
                <w:szCs w:val="20"/>
              </w:rPr>
              <w:t>40 000,00</w:t>
            </w:r>
          </w:p>
        </w:tc>
      </w:tr>
      <w:tr w:rsidR="008C7751" w:rsidRPr="00E00B35" w:rsidTr="002944F8">
        <w:trPr>
          <w:trHeight w:val="227"/>
        </w:trPr>
        <w:tc>
          <w:tcPr>
            <w:tcW w:w="7655" w:type="dxa"/>
            <w:shd w:val="clear" w:color="auto" w:fill="FFFFFF"/>
            <w:vAlign w:val="center"/>
          </w:tcPr>
          <w:p w:rsidR="008C7751" w:rsidRPr="00E00B35" w:rsidRDefault="008C7751" w:rsidP="00E00B35">
            <w:pPr>
              <w:spacing w:after="0" w:line="312" w:lineRule="auto"/>
              <w:rPr>
                <w:bCs/>
                <w:szCs w:val="20"/>
              </w:rPr>
            </w:pPr>
            <w:r w:rsidRPr="00E00B35">
              <w:rPr>
                <w:bCs/>
                <w:szCs w:val="20"/>
              </w:rPr>
              <w:t>OGÓŁEM DOCHODY</w:t>
            </w:r>
          </w:p>
        </w:tc>
        <w:tc>
          <w:tcPr>
            <w:tcW w:w="1417" w:type="dxa"/>
            <w:shd w:val="clear" w:color="auto" w:fill="FFFFFF"/>
            <w:vAlign w:val="center"/>
          </w:tcPr>
          <w:p w:rsidR="008C7751" w:rsidRPr="00E00B35" w:rsidRDefault="008C7751" w:rsidP="00E00B35">
            <w:pPr>
              <w:spacing w:after="0" w:line="312" w:lineRule="auto"/>
              <w:rPr>
                <w:szCs w:val="20"/>
              </w:rPr>
            </w:pPr>
            <w:r w:rsidRPr="00E00B35">
              <w:rPr>
                <w:szCs w:val="20"/>
              </w:rPr>
              <w:t>245 452,58</w:t>
            </w: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p>
    <w:p w:rsidR="008C7751" w:rsidRPr="00E00B35" w:rsidRDefault="008C7751" w:rsidP="00E00B35">
      <w:pPr>
        <w:spacing w:after="0" w:line="312" w:lineRule="auto"/>
        <w:rPr>
          <w:b/>
          <w:szCs w:val="20"/>
        </w:rPr>
      </w:pPr>
      <w:r w:rsidRPr="00E00B35">
        <w:rPr>
          <w:b/>
          <w:noProof/>
          <w:szCs w:val="20"/>
          <w:lang w:val="pl-PL" w:eastAsia="pl-PL" w:bidi="ar-SA"/>
        </w:rPr>
        <w:drawing>
          <wp:inline distT="0" distB="0" distL="0" distR="0">
            <wp:extent cx="5448300" cy="3476625"/>
            <wp:effectExtent l="0" t="0" r="0" b="0"/>
            <wp:docPr id="5" name="Wykres 1" descr="Struktura dochodów ze sprzedazy składników majątkowych w 2020 roku w ujęciu procentowym: sprzedaż nieruchomości gruntowych w trybie przetargowym - 58%, sprzedaż nieruchomości gruntowych w trybie bezprzetargowym - 4%, sprzedaż lokali mieszkalnych - 31%, sprzedaż lokali użytkowych - 5%, inne -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descr="Struktura dochodów ze sprzedazy składników majątkowych w 2020 roku w ujęciu procentowym: sprzedaż nieruchomości gruntowych w trybie przetargowym - 58%, sprzedaż nieruchomości gruntowych w trybie bezprzetargowym - 4%, sprzedaż lokali mieszkalnych - 31%, sprzedaż lokali użytkowych - 5%, inne - 2%."/>
                    <pic:cNvPicPr>
                      <a:picLocks noChangeArrowheads="1"/>
                    </pic:cNvPicPr>
                  </pic:nvPicPr>
                  <pic:blipFill>
                    <a:blip r:embed="rId29" cstate="print"/>
                    <a:srcRect l="-11729" t="-2980" r="-9962" b="-3752"/>
                    <a:stretch>
                      <a:fillRect/>
                    </a:stretch>
                  </pic:blipFill>
                  <pic:spPr bwMode="auto">
                    <a:xfrm>
                      <a:off x="0" y="0"/>
                      <a:ext cx="5448300" cy="3476625"/>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szCs w:val="20"/>
        </w:rPr>
      </w:pPr>
    </w:p>
    <w:p w:rsidR="008C7751" w:rsidRPr="00E00B35" w:rsidRDefault="008C7751" w:rsidP="00E00B35">
      <w:pPr>
        <w:pStyle w:val="Nagwek3"/>
        <w:spacing w:after="0" w:line="312" w:lineRule="auto"/>
        <w:rPr>
          <w:sz w:val="20"/>
        </w:rPr>
      </w:pPr>
      <w:r w:rsidRPr="00E00B35">
        <w:rPr>
          <w:sz w:val="20"/>
        </w:rPr>
        <w:t xml:space="preserve">SPRAWOZDANIE Z REALIZACJI ZADAŃ W WYDZIALE PODATKÓW I OPŁAT </w:t>
      </w:r>
    </w:p>
    <w:p w:rsidR="008C7751" w:rsidRPr="00E00B35" w:rsidRDefault="008C7751" w:rsidP="00E00B35">
      <w:pPr>
        <w:spacing w:after="0" w:line="312" w:lineRule="auto"/>
        <w:rPr>
          <w:rFonts w:cs="Verdana"/>
          <w:szCs w:val="20"/>
        </w:rPr>
      </w:pPr>
      <w:r w:rsidRPr="00E00B35">
        <w:rPr>
          <w:szCs w:val="20"/>
        </w:rPr>
        <w:t>W 2020 w komórce realizowano zadania z zakresu wymiaru, kontroli oraz prowadzenia ewidencji księgowej podatków i opłat lokalnych, podatku rolnego, leśnego i opłaty skarbowej</w:t>
      </w:r>
      <w:r w:rsidRPr="00E00B35">
        <w:rPr>
          <w:rFonts w:cs="Arial"/>
          <w:szCs w:val="20"/>
        </w:rPr>
        <w:t xml:space="preserve">, </w:t>
      </w:r>
      <w:r w:rsidRPr="00E00B35">
        <w:rPr>
          <w:szCs w:val="20"/>
        </w:rPr>
        <w:t xml:space="preserve">a także </w:t>
      </w:r>
      <w:r w:rsidRPr="00E00B35">
        <w:rPr>
          <w:rFonts w:cs="Verdana"/>
          <w:szCs w:val="20"/>
        </w:rPr>
        <w:t xml:space="preserve">prowadzenia ewidencji podmiotów zobowiązanych do wnoszenia opłat z tytułu użytkowania wieczystego gruntu, przekształcenia prawa użytkowania wieczystego w prawo własności nieruchomości, opłat z tytułu przekształcenia użytkowania wieczystego gruntów zabudowanych na cele mieszkalne w prawo własności </w:t>
      </w:r>
      <w:r w:rsidRPr="00E00B35">
        <w:rPr>
          <w:rFonts w:cs="Verdana"/>
          <w:szCs w:val="20"/>
        </w:rPr>
        <w:lastRenderedPageBreak/>
        <w:t>tych gruntów, trwałego zarządu nieruchomości będących własnością Gminy Wrocław i Skarbu Państwa oraz opłaty adiacenckiej i renty planistycznej nieruchomości stanowiących własność Gminy Wrocław.</w:t>
      </w:r>
    </w:p>
    <w:p w:rsidR="008C7751" w:rsidRPr="00E00B35" w:rsidRDefault="008C7751" w:rsidP="00E00B35">
      <w:pPr>
        <w:spacing w:after="0" w:line="312" w:lineRule="auto"/>
        <w:rPr>
          <w:rFonts w:cs="Arial"/>
          <w:szCs w:val="20"/>
        </w:rPr>
      </w:pPr>
      <w:r w:rsidRPr="00E00B35">
        <w:rPr>
          <w:szCs w:val="20"/>
        </w:rPr>
        <w:t>Ponadto realizowano zadania z zakresu wymiaru, kontroli oraz prowadzenia ewidencji księgowej</w:t>
      </w:r>
      <w:r w:rsidRPr="00E00B35">
        <w:rPr>
          <w:rFonts w:cs="Courier New"/>
          <w:szCs w:val="20"/>
        </w:rPr>
        <w:t xml:space="preserve"> opłaty </w:t>
      </w:r>
      <w:r w:rsidRPr="00E00B35">
        <w:rPr>
          <w:rFonts w:cs="Arial"/>
          <w:szCs w:val="20"/>
        </w:rPr>
        <w:t xml:space="preserve">za gospodarowanie odpadami komunalnymi, </w:t>
      </w:r>
      <w:r w:rsidRPr="00E00B35">
        <w:rPr>
          <w:rFonts w:cs="Courier New"/>
          <w:szCs w:val="20"/>
        </w:rPr>
        <w:t xml:space="preserve">opłaty </w:t>
      </w:r>
      <w:r w:rsidRPr="00E00B35">
        <w:rPr>
          <w:rFonts w:cs="Arial"/>
          <w:szCs w:val="20"/>
        </w:rPr>
        <w:t>za zmniejszenie naturalnej retencji terenowej</w:t>
      </w:r>
      <w:r w:rsidRPr="00E00B35">
        <w:rPr>
          <w:szCs w:val="20"/>
        </w:rPr>
        <w:t xml:space="preserve"> oraz wpływów z tytułu kar i odszkodowań wynikających z umów (</w:t>
      </w:r>
      <w:r w:rsidRPr="00E00B35">
        <w:rPr>
          <w:rFonts w:cs="Arial"/>
          <w:szCs w:val="20"/>
        </w:rPr>
        <w:t xml:space="preserve">zwrot kosztów oczyszczania pasa drogowego ze środków uzyskanych z ubezpieczeń sprawców kolizji drogowych). </w:t>
      </w:r>
    </w:p>
    <w:p w:rsidR="008C7751" w:rsidRPr="00E00B35" w:rsidRDefault="008C7751" w:rsidP="00E00B35">
      <w:pPr>
        <w:spacing w:after="0" w:line="312" w:lineRule="auto"/>
        <w:rPr>
          <w:szCs w:val="20"/>
        </w:rPr>
      </w:pPr>
      <w:r w:rsidRPr="00E00B35">
        <w:rPr>
          <w:szCs w:val="20"/>
        </w:rPr>
        <w:t>Celem realizacji zadań komórki organizacyjnej jest skuteczny i efektywny wymiar podatków i opłat oraz uzyskanie wysokich wskaźników wykonania dochodów.</w:t>
      </w:r>
    </w:p>
    <w:p w:rsidR="008C7751" w:rsidRPr="00E00B35" w:rsidRDefault="008C7751" w:rsidP="00E00B35">
      <w:pPr>
        <w:spacing w:after="0" w:line="312" w:lineRule="auto"/>
        <w:rPr>
          <w:rFonts w:cs="Arial"/>
          <w:szCs w:val="20"/>
        </w:rPr>
      </w:pPr>
    </w:p>
    <w:p w:rsidR="008C7751" w:rsidRPr="00E00B35" w:rsidRDefault="008C7751" w:rsidP="00E00B35">
      <w:pPr>
        <w:spacing w:after="0" w:line="312" w:lineRule="auto"/>
        <w:rPr>
          <w:szCs w:val="20"/>
        </w:rPr>
      </w:pPr>
      <w:r w:rsidRPr="00E00B35">
        <w:rPr>
          <w:szCs w:val="20"/>
        </w:rPr>
        <w:t>W komórce organizacyjnej realizowano zadania wynikające z pełnienia przez Prezydenta Miasta roli organu podatkowego w zakresie należności stanowiących wpływy                                   z następujących podatków i opłat:</w:t>
      </w:r>
    </w:p>
    <w:p w:rsidR="008C7751" w:rsidRPr="00E00B35" w:rsidRDefault="008C7751" w:rsidP="00E00B35">
      <w:pPr>
        <w:numPr>
          <w:ilvl w:val="0"/>
          <w:numId w:val="14"/>
        </w:numPr>
        <w:spacing w:after="0" w:line="312" w:lineRule="auto"/>
        <w:ind w:left="425" w:hanging="425"/>
        <w:rPr>
          <w:szCs w:val="20"/>
        </w:rPr>
      </w:pPr>
      <w:r w:rsidRPr="00E00B35">
        <w:rPr>
          <w:szCs w:val="20"/>
        </w:rPr>
        <w:t xml:space="preserve">podatku od nieruchomości; </w:t>
      </w:r>
    </w:p>
    <w:p w:rsidR="008C7751" w:rsidRPr="00E00B35" w:rsidRDefault="008C7751" w:rsidP="00E00B35">
      <w:pPr>
        <w:numPr>
          <w:ilvl w:val="0"/>
          <w:numId w:val="14"/>
        </w:numPr>
        <w:spacing w:after="0" w:line="312" w:lineRule="auto"/>
        <w:ind w:left="425" w:hanging="425"/>
        <w:rPr>
          <w:szCs w:val="20"/>
        </w:rPr>
      </w:pPr>
      <w:r w:rsidRPr="00E00B35">
        <w:rPr>
          <w:szCs w:val="20"/>
        </w:rPr>
        <w:t>podatku od środków transportowych;</w:t>
      </w:r>
    </w:p>
    <w:p w:rsidR="008C7751" w:rsidRPr="00E00B35" w:rsidRDefault="008C7751" w:rsidP="00E00B35">
      <w:pPr>
        <w:numPr>
          <w:ilvl w:val="0"/>
          <w:numId w:val="14"/>
        </w:numPr>
        <w:spacing w:after="0" w:line="312" w:lineRule="auto"/>
        <w:ind w:left="425" w:hanging="425"/>
        <w:rPr>
          <w:szCs w:val="20"/>
        </w:rPr>
      </w:pPr>
      <w:r w:rsidRPr="00E00B35">
        <w:rPr>
          <w:szCs w:val="20"/>
        </w:rPr>
        <w:t>podatku rolnego;</w:t>
      </w:r>
    </w:p>
    <w:p w:rsidR="008C7751" w:rsidRPr="00E00B35" w:rsidRDefault="008C7751" w:rsidP="00E00B35">
      <w:pPr>
        <w:numPr>
          <w:ilvl w:val="0"/>
          <w:numId w:val="14"/>
        </w:numPr>
        <w:spacing w:after="0" w:line="312" w:lineRule="auto"/>
        <w:ind w:left="425" w:hanging="425"/>
        <w:rPr>
          <w:szCs w:val="20"/>
        </w:rPr>
      </w:pPr>
      <w:r w:rsidRPr="00E00B35">
        <w:rPr>
          <w:szCs w:val="20"/>
        </w:rPr>
        <w:t>podatku leśnego;</w:t>
      </w:r>
    </w:p>
    <w:p w:rsidR="008C7751" w:rsidRPr="00E00B35" w:rsidRDefault="008C7751" w:rsidP="00E00B35">
      <w:pPr>
        <w:numPr>
          <w:ilvl w:val="0"/>
          <w:numId w:val="14"/>
        </w:numPr>
        <w:spacing w:after="0" w:line="312" w:lineRule="auto"/>
        <w:ind w:left="425" w:hanging="425"/>
        <w:rPr>
          <w:szCs w:val="20"/>
        </w:rPr>
      </w:pPr>
      <w:r w:rsidRPr="00E00B35">
        <w:rPr>
          <w:szCs w:val="20"/>
        </w:rPr>
        <w:t>opłaty skarbowej;</w:t>
      </w:r>
    </w:p>
    <w:p w:rsidR="008C7751" w:rsidRPr="00E00B35" w:rsidRDefault="008C7751" w:rsidP="00E00B35">
      <w:pPr>
        <w:numPr>
          <w:ilvl w:val="0"/>
          <w:numId w:val="14"/>
        </w:numPr>
        <w:spacing w:after="0" w:line="312" w:lineRule="auto"/>
        <w:ind w:left="425" w:hanging="425"/>
        <w:rPr>
          <w:szCs w:val="20"/>
        </w:rPr>
      </w:pPr>
      <w:r w:rsidRPr="00E00B35">
        <w:rPr>
          <w:szCs w:val="20"/>
        </w:rPr>
        <w:t>opłaty za gospodarowanie odpadami komunalnymi;</w:t>
      </w:r>
    </w:p>
    <w:p w:rsidR="008C7751" w:rsidRPr="00E00B35" w:rsidRDefault="008C7751" w:rsidP="00E00B35">
      <w:pPr>
        <w:numPr>
          <w:ilvl w:val="0"/>
          <w:numId w:val="14"/>
        </w:numPr>
        <w:spacing w:after="0" w:line="312" w:lineRule="auto"/>
        <w:ind w:left="425" w:hanging="425"/>
        <w:rPr>
          <w:szCs w:val="20"/>
        </w:rPr>
      </w:pPr>
      <w:r w:rsidRPr="00E00B35">
        <w:rPr>
          <w:szCs w:val="20"/>
        </w:rPr>
        <w:t>opłata z tyt. zmniejszenia naturalnej retencji terenowej;</w:t>
      </w:r>
    </w:p>
    <w:p w:rsidR="008C7751" w:rsidRPr="00E00B35" w:rsidRDefault="008C7751" w:rsidP="00E00B35">
      <w:pPr>
        <w:numPr>
          <w:ilvl w:val="0"/>
          <w:numId w:val="14"/>
        </w:numPr>
        <w:spacing w:after="0" w:line="312" w:lineRule="auto"/>
        <w:ind w:left="425" w:hanging="425"/>
        <w:rPr>
          <w:rFonts w:cs="Arial"/>
          <w:szCs w:val="20"/>
        </w:rPr>
      </w:pPr>
      <w:r w:rsidRPr="00E00B35">
        <w:rPr>
          <w:rFonts w:cs="Arial"/>
          <w:szCs w:val="20"/>
        </w:rPr>
        <w:t>wpływy z tytułu kar i odszkodowań wynikających z umów (zwrot kosztów oczyszczania pasa drogowego ze środków uzyskanych z ubezpieczeń sprawców kolizji drogowych).</w:t>
      </w:r>
    </w:p>
    <w:p w:rsidR="008C7751" w:rsidRPr="00E00B35" w:rsidRDefault="008C7751" w:rsidP="00E00B35">
      <w:pPr>
        <w:pStyle w:val="Tekstpodstawowy"/>
        <w:spacing w:after="0" w:line="312" w:lineRule="auto"/>
        <w:ind w:left="646"/>
        <w:rPr>
          <w:color w:val="000000"/>
          <w:szCs w:val="20"/>
        </w:rPr>
      </w:pPr>
    </w:p>
    <w:p w:rsidR="008C7751" w:rsidRPr="00E00B35" w:rsidRDefault="008C7751" w:rsidP="00E00B35">
      <w:pPr>
        <w:spacing w:after="0" w:line="312" w:lineRule="auto"/>
        <w:rPr>
          <w:szCs w:val="20"/>
        </w:rPr>
      </w:pPr>
      <w:r w:rsidRPr="00E00B35">
        <w:rPr>
          <w:szCs w:val="20"/>
        </w:rPr>
        <w:t xml:space="preserve">W uchwale budżetowej Miasta Wrocławia na 2020 rok z tytułu podatków i opłat zaplanowano wpływy w wysokości </w:t>
      </w:r>
      <w:r w:rsidRPr="00E00B35">
        <w:rPr>
          <w:b/>
          <w:szCs w:val="20"/>
        </w:rPr>
        <w:t>698 780 927</w:t>
      </w:r>
      <w:r w:rsidRPr="00E00B35">
        <w:rPr>
          <w:szCs w:val="20"/>
        </w:rPr>
        <w:t xml:space="preserve"> </w:t>
      </w:r>
      <w:r w:rsidRPr="00E00B35">
        <w:rPr>
          <w:b/>
          <w:bCs/>
          <w:color w:val="000000"/>
          <w:szCs w:val="20"/>
        </w:rPr>
        <w:t>zł</w:t>
      </w:r>
      <w:r w:rsidRPr="00E00B35">
        <w:rPr>
          <w:bCs/>
          <w:color w:val="000000"/>
          <w:szCs w:val="20"/>
        </w:rPr>
        <w:t>,</w:t>
      </w:r>
      <w:r w:rsidRPr="00E00B35">
        <w:rPr>
          <w:color w:val="000000"/>
          <w:szCs w:val="20"/>
        </w:rPr>
        <w:t xml:space="preserve"> z czego zr</w:t>
      </w:r>
      <w:r w:rsidRPr="00E00B35">
        <w:rPr>
          <w:szCs w:val="20"/>
        </w:rPr>
        <w:t>ealizowano dochody w wysokości</w:t>
      </w:r>
      <w:r w:rsidRPr="00E00B35">
        <w:rPr>
          <w:color w:val="000000"/>
          <w:szCs w:val="20"/>
        </w:rPr>
        <w:t xml:space="preserve">  </w:t>
      </w:r>
      <w:r w:rsidRPr="00E00B35">
        <w:rPr>
          <w:b/>
          <w:color w:val="000000"/>
          <w:szCs w:val="20"/>
        </w:rPr>
        <w:t>705 425 617,83</w:t>
      </w:r>
      <w:r w:rsidRPr="00E00B35">
        <w:rPr>
          <w:color w:val="000000"/>
          <w:szCs w:val="20"/>
        </w:rPr>
        <w:t xml:space="preserve"> </w:t>
      </w:r>
      <w:r w:rsidRPr="00E00B35">
        <w:rPr>
          <w:b/>
          <w:bCs/>
          <w:color w:val="000000"/>
          <w:szCs w:val="20"/>
        </w:rPr>
        <w:t>zł</w:t>
      </w:r>
      <w:r w:rsidRPr="00E00B35">
        <w:rPr>
          <w:color w:val="000000"/>
          <w:szCs w:val="20"/>
        </w:rPr>
        <w:t xml:space="preserve">, co stanowi </w:t>
      </w:r>
      <w:r w:rsidRPr="00E00B35">
        <w:rPr>
          <w:b/>
          <w:bCs/>
          <w:color w:val="000000"/>
          <w:szCs w:val="20"/>
        </w:rPr>
        <w:t>100,95</w:t>
      </w:r>
      <w:r w:rsidRPr="00E00B35">
        <w:rPr>
          <w:color w:val="000000"/>
          <w:szCs w:val="20"/>
        </w:rPr>
        <w:t xml:space="preserve"> </w:t>
      </w:r>
      <w:r w:rsidRPr="00E00B35">
        <w:rPr>
          <w:b/>
          <w:bCs/>
          <w:color w:val="000000"/>
          <w:szCs w:val="20"/>
        </w:rPr>
        <w:t>%</w:t>
      </w:r>
      <w:r w:rsidRPr="00E00B35">
        <w:rPr>
          <w:color w:val="000000"/>
          <w:szCs w:val="20"/>
        </w:rPr>
        <w:t xml:space="preserve"> planu</w:t>
      </w:r>
      <w:r w:rsidRPr="00E00B35">
        <w:rPr>
          <w:szCs w:val="20"/>
        </w:rPr>
        <w:t xml:space="preserve"> rocznego. </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 xml:space="preserve">REALIZACJA DOCHODÓW WŁASNYCH GMINY W ZAKRESIE PODATKÓW </w:t>
      </w:r>
      <w:r w:rsidRPr="00E00B35">
        <w:rPr>
          <w:sz w:val="20"/>
          <w:szCs w:val="20"/>
        </w:rPr>
        <w:br/>
        <w:t>I OPŁAT W 2020 ROKU</w:t>
      </w:r>
    </w:p>
    <w:p w:rsidR="008C7751" w:rsidRPr="00E00B35" w:rsidRDefault="008C7751" w:rsidP="00E00B35">
      <w:pPr>
        <w:shd w:val="clear" w:color="auto" w:fill="FFFFFF"/>
        <w:spacing w:after="0" w:line="312" w:lineRule="auto"/>
        <w:rPr>
          <w:szCs w:val="20"/>
        </w:rPr>
      </w:pPr>
      <w:r w:rsidRPr="00E00B35">
        <w:rPr>
          <w:szCs w:val="20"/>
        </w:rPr>
        <w:t xml:space="preserve">W celu realizacji zaplanowanych w 2020 roku dochodów z tytułu podatków i opłat lokalnych podjęto następujące działania: </w:t>
      </w:r>
    </w:p>
    <w:p w:rsidR="008C7751" w:rsidRPr="00E00B35" w:rsidRDefault="008C7751" w:rsidP="00E00B35">
      <w:pPr>
        <w:numPr>
          <w:ilvl w:val="0"/>
          <w:numId w:val="131"/>
        </w:numPr>
        <w:spacing w:after="0" w:line="312" w:lineRule="auto"/>
        <w:rPr>
          <w:bCs/>
          <w:szCs w:val="20"/>
        </w:rPr>
      </w:pPr>
      <w:r w:rsidRPr="00E00B35">
        <w:rPr>
          <w:bCs/>
          <w:szCs w:val="20"/>
        </w:rPr>
        <w:t>ewidencji i obsłudze podlegało 361 177 podatników</w:t>
      </w:r>
    </w:p>
    <w:p w:rsidR="008C7751" w:rsidRPr="00E00B35" w:rsidRDefault="008C7751" w:rsidP="00E00B35">
      <w:pPr>
        <w:numPr>
          <w:ilvl w:val="0"/>
          <w:numId w:val="131"/>
        </w:numPr>
        <w:spacing w:after="0" w:line="312" w:lineRule="auto"/>
        <w:rPr>
          <w:bCs/>
          <w:szCs w:val="20"/>
        </w:rPr>
      </w:pPr>
      <w:r w:rsidRPr="00E00B35">
        <w:rPr>
          <w:bCs/>
          <w:szCs w:val="20"/>
        </w:rPr>
        <w:t>wydano 267 923 decyzje podatkowe;</w:t>
      </w:r>
    </w:p>
    <w:p w:rsidR="008C7751" w:rsidRPr="00E00B35" w:rsidRDefault="008C7751" w:rsidP="00E00B35">
      <w:pPr>
        <w:numPr>
          <w:ilvl w:val="0"/>
          <w:numId w:val="131"/>
        </w:numPr>
        <w:spacing w:after="0" w:line="312" w:lineRule="auto"/>
        <w:rPr>
          <w:bCs/>
          <w:szCs w:val="20"/>
        </w:rPr>
      </w:pPr>
      <w:r w:rsidRPr="00E00B35">
        <w:rPr>
          <w:bCs/>
          <w:szCs w:val="20"/>
        </w:rPr>
        <w:t>wydano 49 498 postanowień i innych aktów prawnych;</w:t>
      </w:r>
    </w:p>
    <w:p w:rsidR="008C7751" w:rsidRPr="00E00B35" w:rsidRDefault="008C7751" w:rsidP="00E00B35">
      <w:pPr>
        <w:numPr>
          <w:ilvl w:val="0"/>
          <w:numId w:val="131"/>
        </w:numPr>
        <w:spacing w:after="0" w:line="312" w:lineRule="auto"/>
        <w:rPr>
          <w:bCs/>
          <w:szCs w:val="20"/>
        </w:rPr>
      </w:pPr>
      <w:r w:rsidRPr="00E00B35">
        <w:rPr>
          <w:bCs/>
          <w:szCs w:val="20"/>
        </w:rPr>
        <w:t>przyjęto łącznie 71 557 deklaracji lub informacji;</w:t>
      </w:r>
    </w:p>
    <w:p w:rsidR="008C7751" w:rsidRPr="00E00B35" w:rsidRDefault="008C7751" w:rsidP="00E00B35">
      <w:pPr>
        <w:numPr>
          <w:ilvl w:val="0"/>
          <w:numId w:val="131"/>
        </w:numPr>
        <w:spacing w:after="0" w:line="312" w:lineRule="auto"/>
        <w:rPr>
          <w:bCs/>
          <w:szCs w:val="20"/>
        </w:rPr>
      </w:pPr>
      <w:r w:rsidRPr="00E00B35">
        <w:rPr>
          <w:bCs/>
          <w:szCs w:val="20"/>
        </w:rPr>
        <w:t>wysłano 28 265 wezwań do złożenia deklaracji, IN i inne;</w:t>
      </w:r>
    </w:p>
    <w:p w:rsidR="008C7751" w:rsidRPr="00E00B35" w:rsidRDefault="008C7751" w:rsidP="00E00B35">
      <w:pPr>
        <w:numPr>
          <w:ilvl w:val="0"/>
          <w:numId w:val="131"/>
        </w:numPr>
        <w:spacing w:after="0" w:line="312" w:lineRule="auto"/>
        <w:rPr>
          <w:bCs/>
          <w:szCs w:val="20"/>
        </w:rPr>
      </w:pPr>
      <w:r w:rsidRPr="00E00B35">
        <w:rPr>
          <w:bCs/>
          <w:szCs w:val="20"/>
        </w:rPr>
        <w:t xml:space="preserve">wydano 58 zaświadczeń o udzielonej pomocy de minimis; </w:t>
      </w:r>
    </w:p>
    <w:p w:rsidR="008C7751" w:rsidRPr="00E00B35" w:rsidRDefault="008C7751" w:rsidP="00E00B35">
      <w:pPr>
        <w:numPr>
          <w:ilvl w:val="0"/>
          <w:numId w:val="131"/>
        </w:numPr>
        <w:spacing w:after="0" w:line="312" w:lineRule="auto"/>
        <w:rPr>
          <w:bCs/>
          <w:szCs w:val="20"/>
        </w:rPr>
      </w:pPr>
      <w:r w:rsidRPr="00E00B35">
        <w:rPr>
          <w:bCs/>
          <w:szCs w:val="20"/>
        </w:rPr>
        <w:t>w Centrum Obsługi Podatnika obsłużono 88 902 klientów/podatników;</w:t>
      </w:r>
    </w:p>
    <w:p w:rsidR="008C7751" w:rsidRPr="00E00B35" w:rsidRDefault="008C7751" w:rsidP="00E00B35">
      <w:pPr>
        <w:numPr>
          <w:ilvl w:val="0"/>
          <w:numId w:val="131"/>
        </w:numPr>
        <w:spacing w:after="0" w:line="312" w:lineRule="auto"/>
        <w:rPr>
          <w:bCs/>
          <w:szCs w:val="20"/>
        </w:rPr>
      </w:pPr>
      <w:r w:rsidRPr="00E00B35">
        <w:rPr>
          <w:bCs/>
          <w:szCs w:val="20"/>
        </w:rPr>
        <w:t xml:space="preserve">wystawiono faktury VAT i ich korekty oraz sporządzono sprzedaż niefakturowaną i jej korekty w ilości 14 620 sztuk; </w:t>
      </w:r>
    </w:p>
    <w:p w:rsidR="008C7751" w:rsidRPr="00E00B35" w:rsidRDefault="008C7751" w:rsidP="00E00B35">
      <w:pPr>
        <w:numPr>
          <w:ilvl w:val="0"/>
          <w:numId w:val="131"/>
        </w:numPr>
        <w:spacing w:after="0" w:line="312" w:lineRule="auto"/>
        <w:rPr>
          <w:bCs/>
          <w:szCs w:val="20"/>
        </w:rPr>
      </w:pPr>
      <w:r w:rsidRPr="00E00B35">
        <w:rPr>
          <w:bCs/>
          <w:szCs w:val="20"/>
        </w:rPr>
        <w:t>przeprowadzono i zakończono 15 kontroli podatkowych.</w:t>
      </w:r>
    </w:p>
    <w:p w:rsidR="008C7751" w:rsidRPr="00E00B35" w:rsidRDefault="008C7751" w:rsidP="00E00B35">
      <w:pPr>
        <w:pStyle w:val="Tekstpodstawowy"/>
        <w:shd w:val="clear" w:color="auto" w:fill="FFFFFF"/>
        <w:spacing w:after="0" w:line="312" w:lineRule="auto"/>
        <w:rPr>
          <w:szCs w:val="20"/>
        </w:rPr>
      </w:pPr>
    </w:p>
    <w:p w:rsidR="008C7751" w:rsidRPr="00E00B35" w:rsidRDefault="008C7751" w:rsidP="00E00B35">
      <w:pPr>
        <w:shd w:val="clear" w:color="auto" w:fill="FFFFFF"/>
        <w:spacing w:after="0" w:line="312" w:lineRule="auto"/>
        <w:rPr>
          <w:b/>
          <w:szCs w:val="20"/>
        </w:rPr>
      </w:pPr>
      <w:r w:rsidRPr="00E00B35">
        <w:rPr>
          <w:b/>
          <w:szCs w:val="20"/>
        </w:rPr>
        <w:t>Tabela porównawcza wykonanych czynności w latach 2016 - 2020</w:t>
      </w:r>
    </w:p>
    <w:tbl>
      <w:tblPr>
        <w:tblW w:w="921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tblPr>
      <w:tblGrid>
        <w:gridCol w:w="2794"/>
        <w:gridCol w:w="1318"/>
        <w:gridCol w:w="1318"/>
        <w:gridCol w:w="1233"/>
        <w:gridCol w:w="1275"/>
        <w:gridCol w:w="1276"/>
      </w:tblGrid>
      <w:tr w:rsidR="008C7751" w:rsidRPr="00E00B35" w:rsidTr="008C7751">
        <w:trPr>
          <w:trHeight w:val="369"/>
        </w:trPr>
        <w:tc>
          <w:tcPr>
            <w:tcW w:w="2794" w:type="dxa"/>
            <w:shd w:val="clear" w:color="auto" w:fill="FFFFFF"/>
            <w:vAlign w:val="center"/>
          </w:tcPr>
          <w:p w:rsidR="008C7751" w:rsidRPr="00E00B35" w:rsidRDefault="008C7751" w:rsidP="00E00B35">
            <w:pPr>
              <w:keepLines/>
              <w:shd w:val="clear" w:color="auto" w:fill="FFFFFF"/>
              <w:spacing w:after="0" w:line="312" w:lineRule="auto"/>
              <w:rPr>
                <w:bCs/>
                <w:szCs w:val="20"/>
              </w:rPr>
            </w:pPr>
            <w:r w:rsidRPr="00E00B35">
              <w:rPr>
                <w:bCs/>
                <w:szCs w:val="20"/>
              </w:rPr>
              <w:t>Czynność</w:t>
            </w:r>
          </w:p>
        </w:tc>
        <w:tc>
          <w:tcPr>
            <w:tcW w:w="1318" w:type="dxa"/>
            <w:shd w:val="clear" w:color="auto" w:fill="FFFFFF"/>
            <w:vAlign w:val="center"/>
          </w:tcPr>
          <w:p w:rsidR="008C7751" w:rsidRPr="00E00B35" w:rsidRDefault="008C7751" w:rsidP="00E00B35">
            <w:pPr>
              <w:keepLines/>
              <w:shd w:val="clear" w:color="auto" w:fill="FFFFFF"/>
              <w:spacing w:after="0" w:line="312" w:lineRule="auto"/>
              <w:rPr>
                <w:bCs/>
                <w:szCs w:val="20"/>
              </w:rPr>
            </w:pPr>
            <w:r w:rsidRPr="00E00B35">
              <w:rPr>
                <w:bCs/>
                <w:szCs w:val="20"/>
              </w:rPr>
              <w:t>2016 r.</w:t>
            </w:r>
          </w:p>
        </w:tc>
        <w:tc>
          <w:tcPr>
            <w:tcW w:w="1318" w:type="dxa"/>
            <w:shd w:val="clear" w:color="auto" w:fill="FFFFFF"/>
            <w:vAlign w:val="center"/>
          </w:tcPr>
          <w:p w:rsidR="008C7751" w:rsidRPr="00E00B35" w:rsidRDefault="008C7751" w:rsidP="00E00B35">
            <w:pPr>
              <w:keepLines/>
              <w:shd w:val="clear" w:color="auto" w:fill="FFFFFF"/>
              <w:spacing w:after="0" w:line="312" w:lineRule="auto"/>
              <w:rPr>
                <w:bCs/>
                <w:szCs w:val="20"/>
              </w:rPr>
            </w:pPr>
            <w:r w:rsidRPr="00E00B35">
              <w:rPr>
                <w:bCs/>
                <w:szCs w:val="20"/>
              </w:rPr>
              <w:t>2017 r.</w:t>
            </w:r>
          </w:p>
        </w:tc>
        <w:tc>
          <w:tcPr>
            <w:tcW w:w="1233" w:type="dxa"/>
            <w:shd w:val="clear" w:color="auto" w:fill="FFFFFF"/>
            <w:vAlign w:val="center"/>
          </w:tcPr>
          <w:p w:rsidR="008C7751" w:rsidRPr="00E00B35" w:rsidRDefault="008C7751" w:rsidP="00E00B35">
            <w:pPr>
              <w:keepLines/>
              <w:shd w:val="clear" w:color="auto" w:fill="FFFFFF"/>
              <w:spacing w:after="0" w:line="312" w:lineRule="auto"/>
              <w:rPr>
                <w:bCs/>
                <w:szCs w:val="20"/>
              </w:rPr>
            </w:pPr>
            <w:r w:rsidRPr="00E00B35">
              <w:rPr>
                <w:bCs/>
                <w:szCs w:val="20"/>
              </w:rPr>
              <w:t>2018 r.</w:t>
            </w:r>
          </w:p>
        </w:tc>
        <w:tc>
          <w:tcPr>
            <w:tcW w:w="1275" w:type="dxa"/>
            <w:shd w:val="clear" w:color="auto" w:fill="FFFFFF"/>
            <w:vAlign w:val="center"/>
          </w:tcPr>
          <w:p w:rsidR="008C7751" w:rsidRPr="00E00B35" w:rsidRDefault="008C7751" w:rsidP="00E00B35">
            <w:pPr>
              <w:keepLines/>
              <w:shd w:val="clear" w:color="auto" w:fill="FFFFFF"/>
              <w:spacing w:after="0" w:line="312" w:lineRule="auto"/>
              <w:rPr>
                <w:bCs/>
                <w:szCs w:val="20"/>
              </w:rPr>
            </w:pPr>
            <w:r w:rsidRPr="00E00B35">
              <w:rPr>
                <w:bCs/>
                <w:szCs w:val="20"/>
              </w:rPr>
              <w:t>2019 r.</w:t>
            </w:r>
          </w:p>
        </w:tc>
        <w:tc>
          <w:tcPr>
            <w:tcW w:w="1276" w:type="dxa"/>
            <w:shd w:val="clear" w:color="auto" w:fill="FFFFFF"/>
            <w:vAlign w:val="center"/>
          </w:tcPr>
          <w:p w:rsidR="008C7751" w:rsidRPr="00E00B35" w:rsidRDefault="008C7751" w:rsidP="00E00B35">
            <w:pPr>
              <w:keepLines/>
              <w:shd w:val="clear" w:color="auto" w:fill="FFFFFF"/>
              <w:spacing w:after="0" w:line="312" w:lineRule="auto"/>
              <w:rPr>
                <w:bCs/>
                <w:szCs w:val="20"/>
              </w:rPr>
            </w:pPr>
            <w:r w:rsidRPr="00E00B35">
              <w:rPr>
                <w:bCs/>
                <w:szCs w:val="20"/>
              </w:rPr>
              <w:t>2020 r.</w:t>
            </w:r>
          </w:p>
        </w:tc>
      </w:tr>
      <w:tr w:rsidR="008C7751" w:rsidRPr="00E00B35" w:rsidTr="008C7751">
        <w:trPr>
          <w:trHeight w:val="63"/>
        </w:trPr>
        <w:tc>
          <w:tcPr>
            <w:tcW w:w="2794" w:type="dxa"/>
            <w:shd w:val="clear" w:color="auto" w:fill="F3F3F3"/>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Ilość wydanych decyzji podatkowych</w:t>
            </w:r>
          </w:p>
          <w:p w:rsidR="008C7751" w:rsidRPr="00E00B35" w:rsidRDefault="008C7751" w:rsidP="00E00B35">
            <w:pPr>
              <w:shd w:val="clear" w:color="auto" w:fill="FFFFFF"/>
              <w:spacing w:after="0" w:line="312" w:lineRule="auto"/>
              <w:rPr>
                <w:position w:val="-6"/>
                <w:szCs w:val="20"/>
              </w:rPr>
            </w:pP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250 261</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273 036</w:t>
            </w:r>
          </w:p>
        </w:tc>
        <w:tc>
          <w:tcPr>
            <w:tcW w:w="1233"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286 924</w:t>
            </w:r>
          </w:p>
        </w:tc>
        <w:tc>
          <w:tcPr>
            <w:tcW w:w="1275"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266 794</w:t>
            </w:r>
          </w:p>
        </w:tc>
        <w:tc>
          <w:tcPr>
            <w:tcW w:w="1276"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267 923</w:t>
            </w:r>
          </w:p>
        </w:tc>
      </w:tr>
      <w:tr w:rsidR="008C7751" w:rsidRPr="00E00B35" w:rsidTr="008C7751">
        <w:trPr>
          <w:trHeight w:val="337"/>
        </w:trPr>
        <w:tc>
          <w:tcPr>
            <w:tcW w:w="2794" w:type="dxa"/>
            <w:shd w:val="clear" w:color="auto" w:fill="F3F3F3"/>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Ilość wydanych postanowień i innych aktów prawnych</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3 693</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15 930</w:t>
            </w:r>
          </w:p>
        </w:tc>
        <w:tc>
          <w:tcPr>
            <w:tcW w:w="1233"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15 930</w:t>
            </w:r>
          </w:p>
        </w:tc>
        <w:tc>
          <w:tcPr>
            <w:tcW w:w="1275"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23 625</w:t>
            </w:r>
          </w:p>
        </w:tc>
        <w:tc>
          <w:tcPr>
            <w:tcW w:w="1276"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49 498</w:t>
            </w:r>
          </w:p>
        </w:tc>
      </w:tr>
      <w:tr w:rsidR="008C7751" w:rsidRPr="00E00B35" w:rsidTr="008C7751">
        <w:trPr>
          <w:trHeight w:val="401"/>
        </w:trPr>
        <w:tc>
          <w:tcPr>
            <w:tcW w:w="2794" w:type="dxa"/>
            <w:shd w:val="clear" w:color="auto" w:fill="F3F3F3"/>
            <w:vAlign w:val="center"/>
          </w:tcPr>
          <w:p w:rsidR="008C7751" w:rsidRPr="00E00B35" w:rsidRDefault="008C7751" w:rsidP="00E00B35">
            <w:pPr>
              <w:shd w:val="clear" w:color="auto" w:fill="FFFFFF"/>
              <w:spacing w:after="0" w:line="312" w:lineRule="auto"/>
              <w:rPr>
                <w:position w:val="-6"/>
                <w:szCs w:val="20"/>
              </w:rPr>
            </w:pPr>
            <w:r w:rsidRPr="00E00B35">
              <w:rPr>
                <w:color w:val="000000"/>
                <w:position w:val="-6"/>
                <w:szCs w:val="20"/>
              </w:rPr>
              <w:t xml:space="preserve">Ilość wysłanych wezwań do złożenia deklaracji, IN i inne oraz zawiadomień, </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102 720</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105 100</w:t>
            </w:r>
          </w:p>
        </w:tc>
        <w:tc>
          <w:tcPr>
            <w:tcW w:w="1233"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120 151</w:t>
            </w:r>
          </w:p>
        </w:tc>
        <w:tc>
          <w:tcPr>
            <w:tcW w:w="1275"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62 433</w:t>
            </w:r>
          </w:p>
        </w:tc>
        <w:tc>
          <w:tcPr>
            <w:tcW w:w="1276"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28 265</w:t>
            </w:r>
          </w:p>
        </w:tc>
      </w:tr>
      <w:tr w:rsidR="008C7751" w:rsidRPr="00E00B35" w:rsidTr="008C7751">
        <w:trPr>
          <w:trHeight w:val="306"/>
        </w:trPr>
        <w:tc>
          <w:tcPr>
            <w:tcW w:w="2794" w:type="dxa"/>
            <w:shd w:val="clear" w:color="auto" w:fill="F3F3F3"/>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Ilość wydanych zaświadczeń o udzielonej pomocy de minimis</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109</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119</w:t>
            </w:r>
          </w:p>
        </w:tc>
        <w:tc>
          <w:tcPr>
            <w:tcW w:w="1233"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70</w:t>
            </w:r>
          </w:p>
        </w:tc>
        <w:tc>
          <w:tcPr>
            <w:tcW w:w="1275"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72</w:t>
            </w:r>
          </w:p>
        </w:tc>
        <w:tc>
          <w:tcPr>
            <w:tcW w:w="1276"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58</w:t>
            </w:r>
          </w:p>
        </w:tc>
      </w:tr>
      <w:tr w:rsidR="008C7751" w:rsidRPr="00E00B35" w:rsidTr="008C7751">
        <w:trPr>
          <w:trHeight w:val="272"/>
        </w:trPr>
        <w:tc>
          <w:tcPr>
            <w:tcW w:w="2794" w:type="dxa"/>
            <w:shd w:val="clear" w:color="auto" w:fill="F3F3F3"/>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Ilość obsłużonych klientów w Centrum Obsługi Podatnika</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65 349</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60 710</w:t>
            </w:r>
          </w:p>
        </w:tc>
        <w:tc>
          <w:tcPr>
            <w:tcW w:w="1233"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77 620</w:t>
            </w:r>
          </w:p>
        </w:tc>
        <w:tc>
          <w:tcPr>
            <w:tcW w:w="1275"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 xml:space="preserve">98 085    </w:t>
            </w:r>
          </w:p>
        </w:tc>
        <w:tc>
          <w:tcPr>
            <w:tcW w:w="1276"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88 902</w:t>
            </w:r>
          </w:p>
        </w:tc>
      </w:tr>
      <w:tr w:rsidR="008C7751" w:rsidRPr="00E00B35" w:rsidTr="008C7751">
        <w:trPr>
          <w:trHeight w:val="442"/>
        </w:trPr>
        <w:tc>
          <w:tcPr>
            <w:tcW w:w="2794" w:type="dxa"/>
            <w:shd w:val="clear" w:color="auto" w:fill="F3F3F3"/>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Ilość wystawionych faktur VAT i ich korekt oraz sprzedaży niefakturowanych i ich korekt</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14 718</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14 966</w:t>
            </w:r>
          </w:p>
        </w:tc>
        <w:tc>
          <w:tcPr>
            <w:tcW w:w="1233"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15 189</w:t>
            </w:r>
          </w:p>
        </w:tc>
        <w:tc>
          <w:tcPr>
            <w:tcW w:w="1275"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15 010</w:t>
            </w:r>
          </w:p>
        </w:tc>
        <w:tc>
          <w:tcPr>
            <w:tcW w:w="1276"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14 620</w:t>
            </w:r>
          </w:p>
        </w:tc>
      </w:tr>
      <w:tr w:rsidR="008C7751" w:rsidRPr="00E00B35" w:rsidTr="008C7751">
        <w:trPr>
          <w:trHeight w:val="282"/>
        </w:trPr>
        <w:tc>
          <w:tcPr>
            <w:tcW w:w="2794" w:type="dxa"/>
            <w:shd w:val="clear" w:color="auto" w:fill="F3F3F3"/>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Ilość przeprowadzonych i zakończonych kontroli podatkowych</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66</w:t>
            </w:r>
          </w:p>
        </w:tc>
        <w:tc>
          <w:tcPr>
            <w:tcW w:w="1318"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48</w:t>
            </w:r>
          </w:p>
        </w:tc>
        <w:tc>
          <w:tcPr>
            <w:tcW w:w="1233"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47</w:t>
            </w:r>
          </w:p>
        </w:tc>
        <w:tc>
          <w:tcPr>
            <w:tcW w:w="1275"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46</w:t>
            </w:r>
          </w:p>
        </w:tc>
        <w:tc>
          <w:tcPr>
            <w:tcW w:w="1276" w:type="dxa"/>
            <w:vAlign w:val="center"/>
          </w:tcPr>
          <w:p w:rsidR="008C7751" w:rsidRPr="00E00B35" w:rsidRDefault="008C7751" w:rsidP="00E00B35">
            <w:pPr>
              <w:shd w:val="clear" w:color="auto" w:fill="FFFFFF"/>
              <w:spacing w:after="0" w:line="312" w:lineRule="auto"/>
              <w:rPr>
                <w:position w:val="-6"/>
                <w:szCs w:val="20"/>
              </w:rPr>
            </w:pPr>
            <w:r w:rsidRPr="00E00B35">
              <w:rPr>
                <w:position w:val="-6"/>
                <w:szCs w:val="20"/>
              </w:rPr>
              <w:t>15</w:t>
            </w:r>
          </w:p>
        </w:tc>
      </w:tr>
    </w:tbl>
    <w:p w:rsidR="008C7751" w:rsidRPr="00E00B35" w:rsidRDefault="008C7751" w:rsidP="00E00B35">
      <w:pPr>
        <w:pStyle w:val="DSstandard"/>
        <w:spacing w:before="0" w:after="0" w:line="312" w:lineRule="auto"/>
        <w:jc w:val="left"/>
        <w:rPr>
          <w:rFonts w:ascii="Verdana" w:hAnsi="Verdana"/>
          <w:sz w:val="20"/>
        </w:rPr>
      </w:pPr>
    </w:p>
    <w:p w:rsidR="008C7751" w:rsidRPr="00E00B35" w:rsidRDefault="008C7751" w:rsidP="00E00B35">
      <w:pPr>
        <w:pStyle w:val="DSstandard"/>
        <w:spacing w:before="0" w:after="0" w:line="312" w:lineRule="auto"/>
        <w:jc w:val="left"/>
        <w:rPr>
          <w:rFonts w:ascii="Verdana" w:hAnsi="Verdana"/>
          <w:sz w:val="20"/>
        </w:rPr>
      </w:pPr>
    </w:p>
    <w:p w:rsidR="008C7751" w:rsidRPr="00E00B35" w:rsidRDefault="008C7751" w:rsidP="00E00B35">
      <w:pPr>
        <w:spacing w:after="0" w:line="312" w:lineRule="auto"/>
        <w:rPr>
          <w:b/>
          <w:szCs w:val="20"/>
        </w:rPr>
      </w:pPr>
      <w:r w:rsidRPr="00E00B35">
        <w:rPr>
          <w:b/>
          <w:szCs w:val="20"/>
        </w:rPr>
        <w:t>Wykonanie dochodów z tytułu podatków i opłat w odniesieniu do założonego planu na 2020 rok z wyszczególnieniem źródeł dochodów przedstawia poniższa tabela:</w:t>
      </w:r>
    </w:p>
    <w:tbl>
      <w:tblPr>
        <w:tblW w:w="9083" w:type="dxa"/>
        <w:jc w:val="center"/>
        <w:tblInd w:w="-158" w:type="dxa"/>
        <w:tblBorders>
          <w:top w:val="single" w:sz="12" w:space="0" w:color="auto"/>
          <w:left w:val="single" w:sz="12" w:space="0" w:color="auto"/>
          <w:bottom w:val="single" w:sz="12" w:space="0" w:color="auto"/>
          <w:right w:val="single" w:sz="12" w:space="0" w:color="auto"/>
        </w:tblBorders>
        <w:tblCellMar>
          <w:left w:w="0" w:type="dxa"/>
          <w:right w:w="0" w:type="dxa"/>
        </w:tblCellMar>
        <w:tblLook w:val="0000"/>
      </w:tblPr>
      <w:tblGrid>
        <w:gridCol w:w="2841"/>
        <w:gridCol w:w="1762"/>
        <w:gridCol w:w="2843"/>
        <w:gridCol w:w="1637"/>
      </w:tblGrid>
      <w:tr w:rsidR="008C7751" w:rsidRPr="00E00B35" w:rsidTr="008C7751">
        <w:trPr>
          <w:trHeight w:val="955"/>
          <w:jc w:val="center"/>
        </w:trPr>
        <w:tc>
          <w:tcPr>
            <w:tcW w:w="2841" w:type="dxa"/>
            <w:tcBorders>
              <w:top w:val="single" w:sz="12" w:space="0" w:color="auto"/>
              <w:left w:val="single" w:sz="12" w:space="0" w:color="auto"/>
              <w:bottom w:val="single" w:sz="12" w:space="0" w:color="auto"/>
              <w:right w:val="single" w:sz="12" w:space="0" w:color="auto"/>
            </w:tcBorders>
            <w:shd w:val="clear" w:color="auto" w:fill="FFFFFF"/>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Wyszczególnienie</w:t>
            </w:r>
          </w:p>
        </w:tc>
        <w:tc>
          <w:tcPr>
            <w:tcW w:w="1762" w:type="dxa"/>
            <w:tcBorders>
              <w:top w:val="single" w:sz="12" w:space="0" w:color="auto"/>
              <w:left w:val="single" w:sz="12" w:space="0" w:color="auto"/>
              <w:bottom w:val="single" w:sz="12" w:space="0" w:color="auto"/>
              <w:right w:val="single" w:sz="12" w:space="0" w:color="auto"/>
            </w:tcBorders>
            <w:shd w:val="clear" w:color="auto" w:fill="FFFFFF"/>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Plan na 2020 r.</w:t>
            </w:r>
          </w:p>
          <w:p w:rsidR="008C7751" w:rsidRPr="00E00B35" w:rsidRDefault="008C7751" w:rsidP="00E00B35">
            <w:pPr>
              <w:spacing w:after="0" w:line="312" w:lineRule="auto"/>
              <w:rPr>
                <w:rFonts w:eastAsia="Arial Unicode MS"/>
                <w:szCs w:val="20"/>
              </w:rPr>
            </w:pPr>
            <w:r w:rsidRPr="00E00B35">
              <w:rPr>
                <w:szCs w:val="20"/>
              </w:rPr>
              <w:t>(w zł)</w:t>
            </w:r>
          </w:p>
        </w:tc>
        <w:tc>
          <w:tcPr>
            <w:tcW w:w="2843" w:type="dxa"/>
            <w:tcBorders>
              <w:top w:val="single" w:sz="12" w:space="0" w:color="auto"/>
              <w:left w:val="single" w:sz="12" w:space="0" w:color="auto"/>
              <w:bottom w:val="single" w:sz="12" w:space="0" w:color="auto"/>
              <w:right w:val="single" w:sz="12" w:space="0" w:color="auto"/>
            </w:tcBorders>
            <w:shd w:val="clear" w:color="auto" w:fill="FFFFFF"/>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 xml:space="preserve">Wykonanie </w:t>
            </w:r>
          </w:p>
          <w:p w:rsidR="008C7751" w:rsidRPr="00E00B35" w:rsidRDefault="008C7751" w:rsidP="00E00B35">
            <w:pPr>
              <w:spacing w:after="0" w:line="312" w:lineRule="auto"/>
              <w:rPr>
                <w:rFonts w:eastAsia="Arial Unicode MS"/>
                <w:szCs w:val="20"/>
              </w:rPr>
            </w:pPr>
            <w:r w:rsidRPr="00E00B35">
              <w:rPr>
                <w:szCs w:val="20"/>
              </w:rPr>
              <w:t>2020 r.</w:t>
            </w:r>
          </w:p>
          <w:p w:rsidR="008C7751" w:rsidRPr="00E00B35" w:rsidRDefault="008C7751" w:rsidP="00E00B35">
            <w:pPr>
              <w:spacing w:after="0" w:line="312" w:lineRule="auto"/>
              <w:rPr>
                <w:rFonts w:eastAsia="Arial Unicode MS"/>
                <w:szCs w:val="20"/>
              </w:rPr>
            </w:pPr>
            <w:r w:rsidRPr="00E00B35">
              <w:rPr>
                <w:szCs w:val="20"/>
              </w:rPr>
              <w:t>(w zł)</w:t>
            </w:r>
          </w:p>
        </w:tc>
        <w:tc>
          <w:tcPr>
            <w:tcW w:w="1637" w:type="dxa"/>
            <w:tcBorders>
              <w:top w:val="single" w:sz="12" w:space="0" w:color="auto"/>
              <w:left w:val="single" w:sz="12" w:space="0" w:color="auto"/>
              <w:bottom w:val="single" w:sz="12" w:space="0" w:color="auto"/>
              <w:right w:val="single" w:sz="12" w:space="0" w:color="auto"/>
            </w:tcBorders>
            <w:shd w:val="clear" w:color="auto" w:fill="FFFFFF"/>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Procentowe wyk. planu (3:2)</w:t>
            </w:r>
          </w:p>
        </w:tc>
      </w:tr>
      <w:tr w:rsidR="008C7751" w:rsidRPr="00E00B35" w:rsidTr="008C7751">
        <w:trPr>
          <w:trHeight w:val="175"/>
          <w:jc w:val="center"/>
        </w:trPr>
        <w:tc>
          <w:tcPr>
            <w:tcW w:w="28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i/>
                <w:iCs/>
                <w:szCs w:val="20"/>
              </w:rPr>
            </w:pPr>
            <w:r w:rsidRPr="00E00B35">
              <w:rPr>
                <w:i/>
                <w:iCs/>
                <w:szCs w:val="20"/>
              </w:rPr>
              <w:t>1</w:t>
            </w:r>
          </w:p>
        </w:tc>
        <w:tc>
          <w:tcPr>
            <w:tcW w:w="1762"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i/>
                <w:iCs/>
                <w:szCs w:val="20"/>
              </w:rPr>
            </w:pPr>
            <w:r w:rsidRPr="00E00B35">
              <w:rPr>
                <w:i/>
                <w:iCs/>
                <w:szCs w:val="20"/>
              </w:rPr>
              <w:t>2</w:t>
            </w:r>
          </w:p>
        </w:tc>
        <w:tc>
          <w:tcPr>
            <w:tcW w:w="2843"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i/>
                <w:iCs/>
                <w:szCs w:val="20"/>
              </w:rPr>
            </w:pPr>
            <w:r w:rsidRPr="00E00B35">
              <w:rPr>
                <w:i/>
                <w:iCs/>
                <w:szCs w:val="20"/>
              </w:rPr>
              <w:t>3</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i/>
                <w:iCs/>
                <w:szCs w:val="20"/>
              </w:rPr>
            </w:pPr>
            <w:r w:rsidRPr="00E00B35">
              <w:rPr>
                <w:i/>
                <w:iCs/>
                <w:szCs w:val="20"/>
              </w:rPr>
              <w:t>4</w:t>
            </w:r>
          </w:p>
        </w:tc>
      </w:tr>
      <w:tr w:rsidR="008C7751" w:rsidRPr="00E00B35" w:rsidTr="008C7751">
        <w:trPr>
          <w:trHeight w:val="345"/>
          <w:jc w:val="center"/>
        </w:trPr>
        <w:tc>
          <w:tcPr>
            <w:tcW w:w="28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podatek od nieruchomości</w:t>
            </w:r>
          </w:p>
        </w:tc>
        <w:tc>
          <w:tcPr>
            <w:tcW w:w="1762"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 xml:space="preserve">469 871 187 </w:t>
            </w:r>
          </w:p>
        </w:tc>
        <w:tc>
          <w:tcPr>
            <w:tcW w:w="2843"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 xml:space="preserve">463 962 203,50   </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98,74%</w:t>
            </w:r>
          </w:p>
        </w:tc>
      </w:tr>
      <w:tr w:rsidR="008C7751" w:rsidRPr="00E00B35" w:rsidTr="008C7751">
        <w:trPr>
          <w:trHeight w:val="345"/>
          <w:jc w:val="center"/>
        </w:trPr>
        <w:tc>
          <w:tcPr>
            <w:tcW w:w="28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podatek od środków transportowych</w:t>
            </w:r>
          </w:p>
        </w:tc>
        <w:tc>
          <w:tcPr>
            <w:tcW w:w="1762"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 xml:space="preserve">11 000 000 </w:t>
            </w:r>
          </w:p>
        </w:tc>
        <w:tc>
          <w:tcPr>
            <w:tcW w:w="2843"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11 944 529,82</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108,59%</w:t>
            </w:r>
          </w:p>
        </w:tc>
      </w:tr>
      <w:tr w:rsidR="008C7751" w:rsidRPr="00E00B35" w:rsidTr="008C7751">
        <w:trPr>
          <w:trHeight w:val="345"/>
          <w:jc w:val="center"/>
        </w:trPr>
        <w:tc>
          <w:tcPr>
            <w:tcW w:w="28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podatek rolny</w:t>
            </w:r>
          </w:p>
        </w:tc>
        <w:tc>
          <w:tcPr>
            <w:tcW w:w="1762"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 xml:space="preserve">1 180 000 </w:t>
            </w:r>
          </w:p>
        </w:tc>
        <w:tc>
          <w:tcPr>
            <w:tcW w:w="2843"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1 184 581,04</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100,42%</w:t>
            </w:r>
          </w:p>
        </w:tc>
      </w:tr>
      <w:tr w:rsidR="008C7751" w:rsidRPr="00E00B35" w:rsidTr="008C7751">
        <w:trPr>
          <w:trHeight w:val="382"/>
          <w:jc w:val="center"/>
        </w:trPr>
        <w:tc>
          <w:tcPr>
            <w:tcW w:w="28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podatek leśny</w:t>
            </w:r>
          </w:p>
        </w:tc>
        <w:tc>
          <w:tcPr>
            <w:tcW w:w="1762"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 xml:space="preserve">89 800 </w:t>
            </w:r>
          </w:p>
        </w:tc>
        <w:tc>
          <w:tcPr>
            <w:tcW w:w="2843"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87 671,80</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97,63%</w:t>
            </w:r>
          </w:p>
        </w:tc>
      </w:tr>
      <w:tr w:rsidR="008C7751" w:rsidRPr="00E00B35" w:rsidTr="008C7751">
        <w:trPr>
          <w:trHeight w:val="345"/>
          <w:jc w:val="center"/>
        </w:trPr>
        <w:tc>
          <w:tcPr>
            <w:tcW w:w="28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opłata skarbowa</w:t>
            </w:r>
          </w:p>
        </w:tc>
        <w:tc>
          <w:tcPr>
            <w:tcW w:w="1762"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 xml:space="preserve">22 000 000 </w:t>
            </w:r>
          </w:p>
        </w:tc>
        <w:tc>
          <w:tcPr>
            <w:tcW w:w="2843"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24 028 428,36</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109,22%</w:t>
            </w:r>
          </w:p>
        </w:tc>
      </w:tr>
      <w:tr w:rsidR="008C7751" w:rsidRPr="00E00B35" w:rsidTr="008C7751">
        <w:trPr>
          <w:trHeight w:val="345"/>
          <w:jc w:val="center"/>
        </w:trPr>
        <w:tc>
          <w:tcPr>
            <w:tcW w:w="28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szCs w:val="20"/>
              </w:rPr>
            </w:pPr>
            <w:r w:rsidRPr="00E00B35">
              <w:rPr>
                <w:szCs w:val="20"/>
              </w:rPr>
              <w:lastRenderedPageBreak/>
              <w:t>opłata za gospodarowanie odpadami komunalnymi</w:t>
            </w:r>
          </w:p>
        </w:tc>
        <w:tc>
          <w:tcPr>
            <w:tcW w:w="1762"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 xml:space="preserve">192 903 940 </w:t>
            </w:r>
          </w:p>
        </w:tc>
        <w:tc>
          <w:tcPr>
            <w:tcW w:w="2843"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202 019 890,11</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104,73%</w:t>
            </w:r>
          </w:p>
        </w:tc>
      </w:tr>
      <w:tr w:rsidR="008C7751" w:rsidRPr="00E00B35" w:rsidTr="008C7751">
        <w:trPr>
          <w:trHeight w:val="345"/>
          <w:jc w:val="center"/>
        </w:trPr>
        <w:tc>
          <w:tcPr>
            <w:tcW w:w="28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szCs w:val="20"/>
              </w:rPr>
            </w:pPr>
            <w:r w:rsidRPr="00E00B35">
              <w:rPr>
                <w:szCs w:val="20"/>
              </w:rPr>
              <w:t>opłata z tytułu zmniejszenia naturalnej retencji terenowej</w:t>
            </w:r>
          </w:p>
        </w:tc>
        <w:tc>
          <w:tcPr>
            <w:tcW w:w="1762"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 xml:space="preserve">3 000 </w:t>
            </w:r>
          </w:p>
        </w:tc>
        <w:tc>
          <w:tcPr>
            <w:tcW w:w="2843"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4 324,87</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144,16%</w:t>
            </w:r>
          </w:p>
        </w:tc>
      </w:tr>
      <w:tr w:rsidR="008C7751" w:rsidRPr="00E00B35" w:rsidTr="008C7751">
        <w:trPr>
          <w:trHeight w:val="1461"/>
          <w:jc w:val="center"/>
        </w:trPr>
        <w:tc>
          <w:tcPr>
            <w:tcW w:w="28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cs="Arial"/>
                <w:szCs w:val="20"/>
              </w:rPr>
            </w:pPr>
            <w:r w:rsidRPr="00E00B35">
              <w:rPr>
                <w:rFonts w:cs="Arial"/>
                <w:szCs w:val="20"/>
              </w:rPr>
              <w:t>wpływy z tytułu kar</w:t>
            </w:r>
            <w:r w:rsidRPr="00E00B35">
              <w:rPr>
                <w:rFonts w:cs="Arial"/>
                <w:szCs w:val="20"/>
              </w:rPr>
              <w:br/>
              <w:t>i odszkodowań wynikających z umów (zwrot kosztów oczyszczania pasa drogowego ze środków uzyskanych z ubezpieczeń sprawców kolizji drogowych)</w:t>
            </w:r>
          </w:p>
        </w:tc>
        <w:tc>
          <w:tcPr>
            <w:tcW w:w="1762"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 xml:space="preserve">85 000 </w:t>
            </w:r>
          </w:p>
        </w:tc>
        <w:tc>
          <w:tcPr>
            <w:tcW w:w="2843"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15 120,38</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17,79%</w:t>
            </w:r>
          </w:p>
        </w:tc>
      </w:tr>
      <w:tr w:rsidR="008C7751" w:rsidRPr="00E00B35" w:rsidTr="008C7751">
        <w:trPr>
          <w:trHeight w:val="1241"/>
          <w:jc w:val="center"/>
        </w:trPr>
        <w:tc>
          <w:tcPr>
            <w:tcW w:w="28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cs="Arial"/>
                <w:szCs w:val="20"/>
              </w:rPr>
            </w:pPr>
            <w:r w:rsidRPr="00E00B35">
              <w:rPr>
                <w:rFonts w:cs="Arial"/>
                <w:szCs w:val="20"/>
              </w:rPr>
              <w:t>Wpływy z tytułu kosztów egzekucyjnych, opłaty komorniczej, kosztów upomnień w zakresie opłaty za gospodarowanie odpadami komunalnymi</w:t>
            </w:r>
          </w:p>
        </w:tc>
        <w:tc>
          <w:tcPr>
            <w:tcW w:w="1762"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75 000</w:t>
            </w:r>
          </w:p>
        </w:tc>
        <w:tc>
          <w:tcPr>
            <w:tcW w:w="2843"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106 272,90</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141,70%</w:t>
            </w:r>
          </w:p>
        </w:tc>
      </w:tr>
      <w:tr w:rsidR="008C7751" w:rsidRPr="00E00B35" w:rsidTr="008C7751">
        <w:trPr>
          <w:trHeight w:val="345"/>
          <w:jc w:val="center"/>
        </w:trPr>
        <w:tc>
          <w:tcPr>
            <w:tcW w:w="28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szCs w:val="20"/>
              </w:rPr>
            </w:pPr>
            <w:r w:rsidRPr="00E00B35">
              <w:rPr>
                <w:szCs w:val="20"/>
              </w:rPr>
              <w:t>odsetki powyższych należności</w:t>
            </w:r>
          </w:p>
        </w:tc>
        <w:tc>
          <w:tcPr>
            <w:tcW w:w="1762"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 xml:space="preserve">1 573 000 </w:t>
            </w:r>
          </w:p>
        </w:tc>
        <w:tc>
          <w:tcPr>
            <w:tcW w:w="2843"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2 072 595,05</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131,76%</w:t>
            </w:r>
          </w:p>
        </w:tc>
      </w:tr>
      <w:tr w:rsidR="008C7751" w:rsidRPr="00E00B35" w:rsidTr="008C7751">
        <w:trPr>
          <w:trHeight w:val="400"/>
          <w:jc w:val="center"/>
        </w:trPr>
        <w:tc>
          <w:tcPr>
            <w:tcW w:w="2841" w:type="dxa"/>
            <w:tcBorders>
              <w:top w:val="single" w:sz="12" w:space="0" w:color="auto"/>
              <w:left w:val="single" w:sz="12" w:space="0" w:color="auto"/>
              <w:bottom w:val="single" w:sz="12" w:space="0" w:color="auto"/>
              <w:right w:val="single" w:sz="12" w:space="0" w:color="auto"/>
            </w:tcBorders>
            <w:shd w:val="clear" w:color="auto" w:fill="FFFFFF"/>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szCs w:val="20"/>
              </w:rPr>
              <w:t xml:space="preserve">RAZEM </w:t>
            </w:r>
          </w:p>
        </w:tc>
        <w:tc>
          <w:tcPr>
            <w:tcW w:w="1762" w:type="dxa"/>
            <w:tcBorders>
              <w:top w:val="single" w:sz="12" w:space="0" w:color="auto"/>
              <w:left w:val="single" w:sz="12" w:space="0" w:color="auto"/>
              <w:bottom w:val="single" w:sz="12" w:space="0" w:color="auto"/>
              <w:right w:val="single" w:sz="12" w:space="0" w:color="auto"/>
            </w:tcBorders>
            <w:shd w:val="clear" w:color="auto" w:fill="FFFFFF"/>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698 780 927</w:t>
            </w:r>
          </w:p>
        </w:tc>
        <w:tc>
          <w:tcPr>
            <w:tcW w:w="2843" w:type="dxa"/>
            <w:tcBorders>
              <w:top w:val="single" w:sz="12" w:space="0" w:color="auto"/>
              <w:left w:val="single" w:sz="12" w:space="0" w:color="auto"/>
              <w:bottom w:val="single" w:sz="12" w:space="0" w:color="auto"/>
              <w:right w:val="single" w:sz="12" w:space="0" w:color="auto"/>
            </w:tcBorders>
            <w:shd w:val="clear" w:color="auto" w:fill="FFFFFF"/>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705 425 617,83</w:t>
            </w:r>
          </w:p>
        </w:tc>
        <w:tc>
          <w:tcPr>
            <w:tcW w:w="1637"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100,95%</w:t>
            </w: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 xml:space="preserve">W 2020 wydano </w:t>
      </w:r>
      <w:r w:rsidRPr="00E00B35">
        <w:rPr>
          <w:b/>
          <w:szCs w:val="20"/>
        </w:rPr>
        <w:t xml:space="preserve">267 923 </w:t>
      </w:r>
      <w:r w:rsidRPr="00E00B35">
        <w:rPr>
          <w:szCs w:val="20"/>
        </w:rPr>
        <w:t xml:space="preserve">decyzje podatkowe, z których do Samorządowego Kolegium Odwoławczego zaskarżonych zostało </w:t>
      </w:r>
      <w:r w:rsidRPr="00E00B35">
        <w:rPr>
          <w:b/>
          <w:szCs w:val="20"/>
        </w:rPr>
        <w:t>68</w:t>
      </w:r>
      <w:r w:rsidRPr="00E00B35">
        <w:rPr>
          <w:szCs w:val="20"/>
        </w:rPr>
        <w:t xml:space="preserve">, co stanowi </w:t>
      </w:r>
      <w:r w:rsidRPr="00E00B35">
        <w:rPr>
          <w:b/>
          <w:bCs/>
          <w:szCs w:val="20"/>
        </w:rPr>
        <w:t>0,03%</w:t>
      </w:r>
      <w:r w:rsidRPr="00E00B35">
        <w:rPr>
          <w:szCs w:val="20"/>
        </w:rPr>
        <w:t xml:space="preserve"> wszystkich wydanych decyzji. </w:t>
      </w:r>
    </w:p>
    <w:p w:rsidR="008C7751" w:rsidRPr="00E00B35" w:rsidRDefault="008C7751" w:rsidP="00E00B35">
      <w:pPr>
        <w:spacing w:after="0" w:line="312" w:lineRule="auto"/>
        <w:rPr>
          <w:szCs w:val="20"/>
        </w:rPr>
      </w:pPr>
      <w:r w:rsidRPr="00E00B35">
        <w:rPr>
          <w:szCs w:val="20"/>
        </w:rPr>
        <w:t>Spadek ilości niektórych działań w 2020 roku w stosunku do lat przednich wynikał z czasowych ograniczeń w poruszaniu się po mieście wprowadzonych w związku z epidemią COVID-19. Zawieszono czasowo masowe wysyłanie wezwań oraz wstrzymano wszczynanie nowych kontroli podatkowych, co spowodowało tak znaczny spadek.</w:t>
      </w:r>
    </w:p>
    <w:p w:rsidR="008C7751" w:rsidRPr="00E00B35" w:rsidRDefault="008C7751" w:rsidP="00E00B35">
      <w:pPr>
        <w:spacing w:after="0" w:line="312" w:lineRule="auto"/>
        <w:rPr>
          <w:szCs w:val="20"/>
        </w:rPr>
      </w:pPr>
    </w:p>
    <w:p w:rsidR="008C7751" w:rsidRPr="00E00B35" w:rsidRDefault="008C7751" w:rsidP="00E00B35">
      <w:pPr>
        <w:pStyle w:val="Nagwek3"/>
        <w:spacing w:after="0" w:line="312" w:lineRule="auto"/>
        <w:rPr>
          <w:sz w:val="20"/>
        </w:rPr>
      </w:pPr>
      <w:r w:rsidRPr="00E00B35">
        <w:rPr>
          <w:sz w:val="20"/>
        </w:rPr>
        <w:t xml:space="preserve">SPRAWOZDANIE Z REALIZACJI ZADAŃ W WYDZIALE ZARZĄDZANIA FUNDUSZAMI </w:t>
      </w:r>
    </w:p>
    <w:p w:rsidR="008C7751" w:rsidRPr="00E00B35" w:rsidRDefault="008C7751" w:rsidP="00E00B35">
      <w:pPr>
        <w:pStyle w:val="Nagwek4"/>
        <w:spacing w:before="0" w:after="0" w:line="312" w:lineRule="auto"/>
        <w:rPr>
          <w:sz w:val="20"/>
          <w:szCs w:val="20"/>
        </w:rPr>
      </w:pPr>
      <w:r w:rsidRPr="00E00B35">
        <w:rPr>
          <w:sz w:val="20"/>
          <w:szCs w:val="20"/>
        </w:rPr>
        <w:t>POZYSKIWANIE  ŚRODKÓW ZEWNĘTRZNYCH DLA PROJEKTÓW INFRASTRUKTURALNYCH I SPOŁECZNYCH</w:t>
      </w:r>
    </w:p>
    <w:p w:rsidR="008C7751" w:rsidRPr="00E00B35" w:rsidRDefault="008C7751" w:rsidP="00E00B35">
      <w:pPr>
        <w:spacing w:after="0" w:line="312" w:lineRule="auto"/>
        <w:rPr>
          <w:szCs w:val="20"/>
        </w:rPr>
      </w:pPr>
      <w:r w:rsidRPr="00E00B35">
        <w:rPr>
          <w:szCs w:val="20"/>
        </w:rPr>
        <w:t xml:space="preserve">W roku 2020 złożono wnioski o dofinansowanie dla </w:t>
      </w:r>
      <w:r w:rsidRPr="00E00B35">
        <w:rPr>
          <w:b/>
          <w:color w:val="000000"/>
          <w:szCs w:val="20"/>
        </w:rPr>
        <w:t>59</w:t>
      </w:r>
      <w:r w:rsidRPr="00E00B35">
        <w:rPr>
          <w:szCs w:val="20"/>
        </w:rPr>
        <w:t xml:space="preserve"> projektów oraz podpisano </w:t>
      </w:r>
      <w:r w:rsidRPr="00E00B35">
        <w:rPr>
          <w:b/>
          <w:color w:val="000000"/>
          <w:szCs w:val="20"/>
        </w:rPr>
        <w:t>43</w:t>
      </w:r>
      <w:r w:rsidRPr="00E00B35">
        <w:rPr>
          <w:szCs w:val="20"/>
        </w:rPr>
        <w:t xml:space="preserve"> umowy o dofinansowanie na łączną kwotę dofinansowania </w:t>
      </w:r>
      <w:r w:rsidRPr="00E00B35">
        <w:rPr>
          <w:b/>
          <w:color w:val="000000"/>
          <w:szCs w:val="20"/>
        </w:rPr>
        <w:t>83 203 616,03 zł</w:t>
      </w:r>
      <w:r w:rsidRPr="00E00B35">
        <w:rPr>
          <w:color w:val="000000"/>
          <w:szCs w:val="20"/>
        </w:rPr>
        <w:t>.</w:t>
      </w:r>
      <w:r w:rsidRPr="00E00B35">
        <w:rPr>
          <w:szCs w:val="20"/>
        </w:rPr>
        <w:t xml:space="preserve"> Monitorowano realizację pod kątem zapisów umów o dofinansowanie łącznie </w:t>
      </w:r>
      <w:r w:rsidRPr="00E00B35">
        <w:rPr>
          <w:b/>
          <w:color w:val="000000"/>
          <w:szCs w:val="20"/>
        </w:rPr>
        <w:t>210</w:t>
      </w:r>
      <w:r w:rsidRPr="00E00B35">
        <w:rPr>
          <w:b/>
          <w:szCs w:val="20"/>
        </w:rPr>
        <w:t xml:space="preserve"> </w:t>
      </w:r>
      <w:r w:rsidRPr="00E00B35">
        <w:rPr>
          <w:szCs w:val="20"/>
        </w:rPr>
        <w:t>projektów, dla których podpisano umowy o dofinansowanie w roku 2020 i w latach wcześniejszych.</w:t>
      </w:r>
    </w:p>
    <w:p w:rsidR="008C7751" w:rsidRPr="00E00B35" w:rsidRDefault="008C7751" w:rsidP="00E00B35">
      <w:pPr>
        <w:spacing w:after="0" w:line="312" w:lineRule="auto"/>
        <w:rPr>
          <w:bCs/>
          <w:szCs w:val="20"/>
        </w:rPr>
      </w:pPr>
      <w:r w:rsidRPr="00E00B35">
        <w:rPr>
          <w:szCs w:val="20"/>
        </w:rPr>
        <w:lastRenderedPageBreak/>
        <w:t xml:space="preserve">W zakresie projektów infrastrukturalnych podobnie jak w latach poprzednich w roku 2020 monitorowano europejskie i krajowe źródła finansowania wspierające inwestycje Miasta w obszarach infrastruktury drogowej, edukacji, informatyki, kultury, rewitalizacji, infrastruktury społecznej, termomodernizacji, kolei i transportu niskoemisyjnego oraz zieleni. </w:t>
      </w:r>
      <w:r w:rsidRPr="00E00B35">
        <w:rPr>
          <w:bCs/>
          <w:szCs w:val="20"/>
        </w:rPr>
        <w:t>W zakresie projektów społecznych monitorowano takie obszary jak edukacja, włączenie społeczne, rynek pracy czy ochrona środowiska.</w:t>
      </w:r>
    </w:p>
    <w:p w:rsidR="008C7751" w:rsidRPr="00E00B35" w:rsidRDefault="008C7751" w:rsidP="00E00B35">
      <w:pPr>
        <w:spacing w:after="0" w:line="312" w:lineRule="auto"/>
        <w:rPr>
          <w:szCs w:val="20"/>
        </w:rPr>
      </w:pPr>
      <w:r w:rsidRPr="00E00B35">
        <w:rPr>
          <w:szCs w:val="20"/>
        </w:rPr>
        <w:t xml:space="preserve">Pandemia COVID-19 wywołała konieczność uruchomienia dodatkowych środków na walkę z jej skutkami gospodarczymi zarówno na poziomie krajowym jak i na poziomie Unii Europejskiej. Również możliwości pozyskania tych środków były na bieżąco monitorowane przez WZF. Wynikiem tych działań było zaaplikowanie projektów w ramach programów </w:t>
      </w:r>
      <w:r w:rsidRPr="00E00B35">
        <w:rPr>
          <w:b/>
          <w:szCs w:val="20"/>
        </w:rPr>
        <w:t xml:space="preserve">Zdalna Szkoła, Zdalna Szkoła+, </w:t>
      </w:r>
      <w:r w:rsidRPr="00E00B35">
        <w:rPr>
          <w:b/>
          <w:color w:val="000000"/>
          <w:szCs w:val="20"/>
        </w:rPr>
        <w:t>RPO WD 2014-2020 i PO WER</w:t>
      </w:r>
      <w:r w:rsidRPr="00E00B35">
        <w:rPr>
          <w:szCs w:val="20"/>
        </w:rPr>
        <w:t xml:space="preserve"> oraz przekazanie do Urzędu Marszałkowskiego Województwa Dolnośląskiego propozycji projektów do dofinansowania w ramach </w:t>
      </w:r>
      <w:r w:rsidRPr="00E00B35">
        <w:rPr>
          <w:b/>
          <w:szCs w:val="20"/>
        </w:rPr>
        <w:t>Krajowego Planu Odbudowy</w:t>
      </w:r>
      <w:r w:rsidRPr="00E00B35">
        <w:rPr>
          <w:szCs w:val="20"/>
        </w:rPr>
        <w:t>, pod którego szyldem uruchomione zostaną specjalne środki z unijnego Instrumentu na rzecz Odbudowy i Zwiększania Odporności. Projekty Wrocławia po pozytywnej weryfikacji Urzędu Marszałkowskiego Województwa Dolnośląskiego zostały przekazane do Ministerstwa Funduszy i Polityki Regionalnej, gdzie prowadzone są prace nad Krajowym Planem Odbudowy.</w:t>
      </w:r>
    </w:p>
    <w:p w:rsidR="008C7751" w:rsidRPr="00E00B35" w:rsidRDefault="008C7751" w:rsidP="00E00B35">
      <w:pPr>
        <w:spacing w:after="0" w:line="312" w:lineRule="auto"/>
        <w:rPr>
          <w:szCs w:val="20"/>
        </w:rPr>
      </w:pPr>
      <w:r w:rsidRPr="00E00B35">
        <w:rPr>
          <w:szCs w:val="20"/>
        </w:rPr>
        <w:t>Pandemia nie zatrzymała jednak realizacji projektów już rozpoczętych. Szczegółowo monitorowano więc wydatkowanie środków z poszczególnych programów oraz prowadzono działania zmierzające do racjonalnego podziału tych środków, zgodnie z potrzebami Gminy Wrocław wskazywanymi przez jednostki organizacyjne i wydziały Urzędu Miejskiego.  W dalszym ciągu koordynowano prace jednostek i wydziałów w celu wypracowania spójnych koncepcji odpowiadających na bieżące potrzeby mieszkańców Miasta. W ramach projektów społecznych pozyskiwano także środki z programów krajowych.</w:t>
      </w:r>
    </w:p>
    <w:p w:rsidR="008C7751" w:rsidRPr="00E00B35" w:rsidRDefault="008C7751" w:rsidP="00E00B35">
      <w:pPr>
        <w:tabs>
          <w:tab w:val="left" w:pos="2552"/>
          <w:tab w:val="left" w:pos="3686"/>
        </w:tabs>
        <w:spacing w:after="0" w:line="312" w:lineRule="auto"/>
        <w:rPr>
          <w:b/>
          <w:szCs w:val="20"/>
          <w:highlight w:val="yellow"/>
        </w:rPr>
      </w:pPr>
    </w:p>
    <w:p w:rsidR="008C7751" w:rsidRPr="00E00B35" w:rsidRDefault="008C7751" w:rsidP="00E00B35">
      <w:pPr>
        <w:pStyle w:val="Nagwek4"/>
        <w:spacing w:before="0" w:after="0" w:line="312" w:lineRule="auto"/>
        <w:rPr>
          <w:sz w:val="20"/>
          <w:szCs w:val="20"/>
        </w:rPr>
      </w:pPr>
      <w:r w:rsidRPr="00E00B35">
        <w:rPr>
          <w:sz w:val="20"/>
          <w:szCs w:val="20"/>
        </w:rPr>
        <w:t>PROGRAMY MONITOROWANE W 2020 ROKU</w:t>
      </w:r>
    </w:p>
    <w:p w:rsidR="008C7751" w:rsidRPr="00E00B35" w:rsidRDefault="008C7751" w:rsidP="00E00B35">
      <w:pPr>
        <w:spacing w:after="0" w:line="312" w:lineRule="auto"/>
        <w:rPr>
          <w:b/>
          <w:szCs w:val="20"/>
        </w:rPr>
      </w:pPr>
      <w:r w:rsidRPr="00E00B35">
        <w:rPr>
          <w:b/>
          <w:szCs w:val="20"/>
        </w:rPr>
        <w:t>Programy infrastruktury twardej</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072"/>
      </w:tblGrid>
      <w:tr w:rsidR="008C7751" w:rsidRPr="00E00B35" w:rsidTr="008C7751">
        <w:trPr>
          <w:cantSplit/>
          <w:trHeight w:val="380"/>
        </w:trPr>
        <w:tc>
          <w:tcPr>
            <w:tcW w:w="9072" w:type="dxa"/>
            <w:vAlign w:val="center"/>
          </w:tcPr>
          <w:p w:rsidR="008C7751" w:rsidRPr="00E00B35" w:rsidRDefault="008C7751" w:rsidP="00E00B35">
            <w:pPr>
              <w:spacing w:after="0" w:line="312" w:lineRule="auto"/>
              <w:rPr>
                <w:rFonts w:cs="Arial"/>
                <w:szCs w:val="20"/>
              </w:rPr>
            </w:pPr>
            <w:r w:rsidRPr="00E00B35">
              <w:rPr>
                <w:szCs w:val="20"/>
              </w:rPr>
              <w:t>Źródło finansowania</w:t>
            </w:r>
          </w:p>
        </w:tc>
      </w:tr>
      <w:tr w:rsidR="008C7751" w:rsidRPr="00E00B35" w:rsidTr="008C7751">
        <w:trPr>
          <w:cantSplit/>
          <w:trHeight w:val="414"/>
        </w:trPr>
        <w:tc>
          <w:tcPr>
            <w:tcW w:w="9072" w:type="dxa"/>
            <w:vAlign w:val="center"/>
          </w:tcPr>
          <w:p w:rsidR="008C7751" w:rsidRPr="00E00B35" w:rsidRDefault="008C7751" w:rsidP="00E00B35">
            <w:pPr>
              <w:spacing w:after="0" w:line="312" w:lineRule="auto"/>
              <w:rPr>
                <w:rFonts w:cs="Arial"/>
                <w:szCs w:val="20"/>
              </w:rPr>
            </w:pPr>
            <w:r w:rsidRPr="00E00B35">
              <w:rPr>
                <w:rFonts w:cs="Arial"/>
                <w:szCs w:val="20"/>
              </w:rPr>
              <w:t xml:space="preserve">Regionalny Program Operacyjny Województwa Dolnośląskiego 2014-2020  </w:t>
            </w:r>
          </w:p>
        </w:tc>
      </w:tr>
      <w:tr w:rsidR="008C7751" w:rsidRPr="00E00B35" w:rsidTr="008C7751">
        <w:trPr>
          <w:cantSplit/>
          <w:trHeight w:val="420"/>
        </w:trPr>
        <w:tc>
          <w:tcPr>
            <w:tcW w:w="9072" w:type="dxa"/>
            <w:vAlign w:val="center"/>
          </w:tcPr>
          <w:p w:rsidR="008C7751" w:rsidRPr="00E00B35" w:rsidRDefault="008C7751" w:rsidP="00E00B35">
            <w:pPr>
              <w:spacing w:after="0" w:line="312" w:lineRule="auto"/>
              <w:rPr>
                <w:rFonts w:cs="Arial"/>
                <w:szCs w:val="20"/>
              </w:rPr>
            </w:pPr>
            <w:r w:rsidRPr="00E00B35">
              <w:rPr>
                <w:rFonts w:cs="Arial"/>
                <w:szCs w:val="20"/>
              </w:rPr>
              <w:t xml:space="preserve">Program Operacyjny Infrastruktura i Środowisko 2014-2020 </w:t>
            </w:r>
          </w:p>
        </w:tc>
      </w:tr>
      <w:tr w:rsidR="008C7751" w:rsidRPr="00E00B35" w:rsidTr="008C7751">
        <w:trPr>
          <w:cantSplit/>
          <w:trHeight w:val="398"/>
        </w:trPr>
        <w:tc>
          <w:tcPr>
            <w:tcW w:w="9072" w:type="dxa"/>
            <w:vAlign w:val="center"/>
          </w:tcPr>
          <w:p w:rsidR="008C7751" w:rsidRPr="00E00B35" w:rsidRDefault="008C7751" w:rsidP="00E00B35">
            <w:pPr>
              <w:spacing w:after="0" w:line="312" w:lineRule="auto"/>
              <w:rPr>
                <w:rFonts w:cs="Arial"/>
                <w:szCs w:val="20"/>
              </w:rPr>
            </w:pPr>
            <w:r w:rsidRPr="00E00B35">
              <w:rPr>
                <w:rFonts w:cs="Arial"/>
                <w:szCs w:val="20"/>
              </w:rPr>
              <w:t>Program Operacyjny Pomoc Techniczna 2014-2020</w:t>
            </w:r>
          </w:p>
        </w:tc>
      </w:tr>
      <w:tr w:rsidR="008C7751" w:rsidRPr="00E00B35" w:rsidTr="008C7751">
        <w:trPr>
          <w:cantSplit/>
          <w:trHeight w:val="417"/>
        </w:trPr>
        <w:tc>
          <w:tcPr>
            <w:tcW w:w="9072" w:type="dxa"/>
            <w:vAlign w:val="center"/>
          </w:tcPr>
          <w:p w:rsidR="008C7751" w:rsidRPr="00E00B35" w:rsidRDefault="008C7751" w:rsidP="00E00B35">
            <w:pPr>
              <w:spacing w:after="0" w:line="312" w:lineRule="auto"/>
              <w:rPr>
                <w:rFonts w:cs="Arial"/>
                <w:szCs w:val="20"/>
              </w:rPr>
            </w:pPr>
            <w:r w:rsidRPr="00E00B35">
              <w:rPr>
                <w:rFonts w:cs="Arial"/>
                <w:szCs w:val="20"/>
              </w:rPr>
              <w:t>Program Operacyjny Polska Cyfrowa</w:t>
            </w:r>
          </w:p>
        </w:tc>
      </w:tr>
      <w:tr w:rsidR="008C7751" w:rsidRPr="00E00B35" w:rsidTr="008C7751">
        <w:trPr>
          <w:cantSplit/>
          <w:trHeight w:val="424"/>
        </w:trPr>
        <w:tc>
          <w:tcPr>
            <w:tcW w:w="9072" w:type="dxa"/>
            <w:vAlign w:val="center"/>
          </w:tcPr>
          <w:p w:rsidR="008C7751" w:rsidRPr="00E00B35" w:rsidRDefault="008C7751" w:rsidP="00E00B35">
            <w:pPr>
              <w:spacing w:after="0" w:line="312" w:lineRule="auto"/>
              <w:rPr>
                <w:rFonts w:cs="Arial"/>
                <w:szCs w:val="20"/>
              </w:rPr>
            </w:pPr>
            <w:r w:rsidRPr="00E00B35">
              <w:rPr>
                <w:rFonts w:cs="Arial"/>
                <w:szCs w:val="20"/>
              </w:rPr>
              <w:t>Fundusze Norweskie i EOG 2014- 2021</w:t>
            </w:r>
          </w:p>
        </w:tc>
      </w:tr>
      <w:tr w:rsidR="008C7751" w:rsidRPr="00E00B35" w:rsidTr="008C7751">
        <w:trPr>
          <w:cantSplit/>
          <w:trHeight w:val="424"/>
        </w:trPr>
        <w:tc>
          <w:tcPr>
            <w:tcW w:w="9072" w:type="dxa"/>
            <w:vAlign w:val="center"/>
          </w:tcPr>
          <w:p w:rsidR="008C7751" w:rsidRPr="00E00B35" w:rsidRDefault="008C7751" w:rsidP="00E00B35">
            <w:pPr>
              <w:spacing w:after="0" w:line="312" w:lineRule="auto"/>
              <w:rPr>
                <w:rFonts w:cs="Arial"/>
                <w:szCs w:val="20"/>
              </w:rPr>
            </w:pPr>
            <w:r w:rsidRPr="00E00B35">
              <w:rPr>
                <w:rFonts w:cs="Arial"/>
                <w:szCs w:val="20"/>
              </w:rPr>
              <w:t>Krajowy Plan Odbudowy</w:t>
            </w: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b/>
          <w:szCs w:val="20"/>
        </w:rPr>
      </w:pPr>
      <w:r w:rsidRPr="00E00B35">
        <w:rPr>
          <w:b/>
          <w:szCs w:val="20"/>
        </w:rPr>
        <w:t>Programy społeczne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072"/>
      </w:tblGrid>
      <w:tr w:rsidR="008C7751" w:rsidRPr="00E00B35" w:rsidTr="008C7751">
        <w:trPr>
          <w:cantSplit/>
          <w:trHeight w:val="378"/>
        </w:trPr>
        <w:tc>
          <w:tcPr>
            <w:tcW w:w="9072" w:type="dxa"/>
            <w:shd w:val="clear" w:color="auto" w:fill="FFFFFF"/>
            <w:vAlign w:val="center"/>
          </w:tcPr>
          <w:p w:rsidR="008C7751" w:rsidRPr="00E00B35" w:rsidRDefault="008C7751" w:rsidP="00E00B35">
            <w:pPr>
              <w:spacing w:after="0" w:line="312" w:lineRule="auto"/>
              <w:rPr>
                <w:szCs w:val="20"/>
              </w:rPr>
            </w:pPr>
            <w:r w:rsidRPr="00E00B35">
              <w:rPr>
                <w:szCs w:val="20"/>
              </w:rPr>
              <w:t>Źródło finansowania</w:t>
            </w:r>
          </w:p>
        </w:tc>
      </w:tr>
      <w:tr w:rsidR="008C7751" w:rsidRPr="00E00B35" w:rsidTr="008C7751">
        <w:trPr>
          <w:cantSplit/>
          <w:trHeight w:val="492"/>
        </w:trPr>
        <w:tc>
          <w:tcPr>
            <w:tcW w:w="907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 xml:space="preserve">Regionalny Program Operacyjny Województwa Dolnośląskiego 2014-2020  </w:t>
            </w:r>
          </w:p>
        </w:tc>
      </w:tr>
      <w:tr w:rsidR="008C7751" w:rsidRPr="00E00B35" w:rsidTr="008C7751">
        <w:trPr>
          <w:cantSplit/>
          <w:trHeight w:val="414"/>
        </w:trPr>
        <w:tc>
          <w:tcPr>
            <w:tcW w:w="907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lastRenderedPageBreak/>
              <w:t>Program Operacyjny Wiedza Edukacja Rozwój 2014-2020</w:t>
            </w:r>
          </w:p>
        </w:tc>
      </w:tr>
      <w:tr w:rsidR="008C7751" w:rsidRPr="00E00B35" w:rsidTr="008C7751">
        <w:trPr>
          <w:cantSplit/>
          <w:trHeight w:val="420"/>
        </w:trPr>
        <w:tc>
          <w:tcPr>
            <w:tcW w:w="907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ERASMUS +</w:t>
            </w:r>
          </w:p>
        </w:tc>
      </w:tr>
      <w:tr w:rsidR="008C7751" w:rsidRPr="00E00B35" w:rsidTr="008C7751">
        <w:trPr>
          <w:cantSplit/>
          <w:trHeight w:val="398"/>
        </w:trPr>
        <w:tc>
          <w:tcPr>
            <w:tcW w:w="907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Fundusze Norweskie i EOG 2014- 2021</w:t>
            </w:r>
          </w:p>
        </w:tc>
      </w:tr>
      <w:tr w:rsidR="008C7751" w:rsidRPr="00E00B35" w:rsidTr="008C7751">
        <w:trPr>
          <w:cantSplit/>
          <w:trHeight w:val="417"/>
        </w:trPr>
        <w:tc>
          <w:tcPr>
            <w:tcW w:w="907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Narodowy Fundusz Ochrony Środowiska i Gospodarki Wodnej</w:t>
            </w:r>
          </w:p>
        </w:tc>
      </w:tr>
      <w:tr w:rsidR="008C7751" w:rsidRPr="00E00B35" w:rsidTr="008C7751">
        <w:trPr>
          <w:cantSplit/>
          <w:trHeight w:val="424"/>
        </w:trPr>
        <w:tc>
          <w:tcPr>
            <w:tcW w:w="907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Programy Państwowego Funduszu Rehabilitacji Osób Niepełnosprawnych</w:t>
            </w:r>
          </w:p>
        </w:tc>
      </w:tr>
      <w:tr w:rsidR="008C7751" w:rsidRPr="00E00B35" w:rsidTr="008C7751">
        <w:trPr>
          <w:cantSplit/>
          <w:trHeight w:val="424"/>
        </w:trPr>
        <w:tc>
          <w:tcPr>
            <w:tcW w:w="907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Programy Ministerstwa Rodziny, Pracy i Polityki Społecznej</w:t>
            </w:r>
          </w:p>
        </w:tc>
      </w:tr>
      <w:tr w:rsidR="008C7751" w:rsidRPr="00E00B35" w:rsidTr="008C7751">
        <w:trPr>
          <w:cantSplit/>
          <w:trHeight w:val="424"/>
        </w:trPr>
        <w:tc>
          <w:tcPr>
            <w:tcW w:w="907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Program Operacyjny Polska Cyfrowa</w:t>
            </w:r>
          </w:p>
        </w:tc>
      </w:tr>
      <w:tr w:rsidR="008C7751" w:rsidRPr="00E00B35" w:rsidTr="008C7751">
        <w:trPr>
          <w:cantSplit/>
          <w:trHeight w:val="424"/>
        </w:trPr>
        <w:tc>
          <w:tcPr>
            <w:tcW w:w="907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Fundusz Azylu, Migracji i Integracji</w:t>
            </w:r>
          </w:p>
        </w:tc>
      </w:tr>
      <w:tr w:rsidR="008C7751" w:rsidRPr="00E00B35" w:rsidTr="008C7751">
        <w:trPr>
          <w:cantSplit/>
          <w:trHeight w:val="424"/>
        </w:trPr>
        <w:tc>
          <w:tcPr>
            <w:tcW w:w="9072" w:type="dxa"/>
            <w:vAlign w:val="center"/>
          </w:tcPr>
          <w:p w:rsidR="008C7751" w:rsidRPr="00E00B35" w:rsidRDefault="008C7751" w:rsidP="00E00B35">
            <w:pPr>
              <w:spacing w:after="0" w:line="312" w:lineRule="auto"/>
              <w:rPr>
                <w:rFonts w:cs="Arial"/>
                <w:szCs w:val="20"/>
              </w:rPr>
            </w:pPr>
            <w:r w:rsidRPr="00E00B35">
              <w:rPr>
                <w:rFonts w:cs="Arial"/>
                <w:szCs w:val="20"/>
              </w:rPr>
              <w:t>Krajowy Plan Odbudowy</w:t>
            </w: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b/>
          <w:szCs w:val="20"/>
        </w:rPr>
      </w:pPr>
      <w:r w:rsidRPr="00E00B35">
        <w:rPr>
          <w:b/>
          <w:szCs w:val="20"/>
        </w:rPr>
        <w:t>Programy międzynarodowe</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42"/>
      </w:tblGrid>
      <w:tr w:rsidR="008C7751" w:rsidRPr="00E00B35" w:rsidTr="008C7751">
        <w:trPr>
          <w:cantSplit/>
          <w:trHeight w:val="378"/>
        </w:trPr>
        <w:tc>
          <w:tcPr>
            <w:tcW w:w="9142" w:type="dxa"/>
            <w:shd w:val="clear" w:color="auto" w:fill="FFFFFF"/>
            <w:vAlign w:val="center"/>
          </w:tcPr>
          <w:p w:rsidR="008C7751" w:rsidRPr="00E00B35" w:rsidRDefault="008C7751" w:rsidP="00E00B35">
            <w:pPr>
              <w:spacing w:after="0" w:line="312" w:lineRule="auto"/>
              <w:rPr>
                <w:szCs w:val="20"/>
              </w:rPr>
            </w:pPr>
            <w:r w:rsidRPr="00E00B35">
              <w:rPr>
                <w:szCs w:val="20"/>
              </w:rPr>
              <w:t>Źródło finansowania</w:t>
            </w:r>
          </w:p>
        </w:tc>
      </w:tr>
      <w:tr w:rsidR="008C7751" w:rsidRPr="00E00B35" w:rsidTr="008C7751">
        <w:trPr>
          <w:cantSplit/>
          <w:trHeight w:val="492"/>
        </w:trPr>
        <w:tc>
          <w:tcPr>
            <w:tcW w:w="914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HORYZONT 2020</w:t>
            </w:r>
          </w:p>
        </w:tc>
      </w:tr>
      <w:tr w:rsidR="008C7751" w:rsidRPr="00E00B35" w:rsidTr="008C7751">
        <w:trPr>
          <w:cantSplit/>
          <w:trHeight w:val="414"/>
        </w:trPr>
        <w:tc>
          <w:tcPr>
            <w:tcW w:w="914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URBACT III</w:t>
            </w:r>
          </w:p>
        </w:tc>
      </w:tr>
      <w:tr w:rsidR="008C7751" w:rsidRPr="00E00B35" w:rsidTr="008C7751">
        <w:trPr>
          <w:cantSplit/>
          <w:trHeight w:val="420"/>
        </w:trPr>
        <w:tc>
          <w:tcPr>
            <w:tcW w:w="914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Europa dla obywateli</w:t>
            </w:r>
          </w:p>
        </w:tc>
      </w:tr>
      <w:tr w:rsidR="008C7751" w:rsidRPr="00E00B35" w:rsidTr="008C7751">
        <w:trPr>
          <w:cantSplit/>
          <w:trHeight w:val="417"/>
        </w:trPr>
        <w:tc>
          <w:tcPr>
            <w:tcW w:w="914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Program ramowy na rzecz konkurencyjności przedsiębiorstw oraz małych i średnich przedsiębiorstw 2014-2020 COSME</w:t>
            </w:r>
          </w:p>
        </w:tc>
      </w:tr>
      <w:tr w:rsidR="008C7751" w:rsidRPr="00E00B35" w:rsidTr="008C7751">
        <w:trPr>
          <w:cantSplit/>
          <w:trHeight w:val="424"/>
        </w:trPr>
        <w:tc>
          <w:tcPr>
            <w:tcW w:w="914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ELENA</w:t>
            </w:r>
          </w:p>
        </w:tc>
      </w:tr>
      <w:tr w:rsidR="008C7751" w:rsidRPr="00E00B35" w:rsidTr="008C7751">
        <w:trPr>
          <w:cantSplit/>
          <w:trHeight w:val="424"/>
        </w:trPr>
        <w:tc>
          <w:tcPr>
            <w:tcW w:w="9142" w:type="dxa"/>
            <w:shd w:val="clear" w:color="auto" w:fill="FFFFFF"/>
            <w:vAlign w:val="center"/>
          </w:tcPr>
          <w:p w:rsidR="008C7751" w:rsidRPr="00E00B35" w:rsidRDefault="008C7751" w:rsidP="00E00B35">
            <w:pPr>
              <w:spacing w:after="0" w:line="312" w:lineRule="auto"/>
              <w:rPr>
                <w:rFonts w:cs="Arial"/>
                <w:szCs w:val="20"/>
              </w:rPr>
            </w:pPr>
            <w:r w:rsidRPr="00E00B35">
              <w:rPr>
                <w:rFonts w:cs="Arial"/>
                <w:szCs w:val="20"/>
              </w:rPr>
              <w:t>LIFE</w:t>
            </w:r>
          </w:p>
        </w:tc>
      </w:tr>
      <w:tr w:rsidR="008C7751" w:rsidRPr="00E00B35" w:rsidTr="008C7751">
        <w:trPr>
          <w:cantSplit/>
          <w:trHeight w:val="424"/>
        </w:trPr>
        <w:tc>
          <w:tcPr>
            <w:tcW w:w="9142" w:type="dxa"/>
            <w:vAlign w:val="center"/>
          </w:tcPr>
          <w:p w:rsidR="008C7751" w:rsidRPr="00E00B35" w:rsidRDefault="008C7751" w:rsidP="00E00B35">
            <w:pPr>
              <w:spacing w:after="0" w:line="312" w:lineRule="auto"/>
              <w:rPr>
                <w:rFonts w:cs="Arial"/>
                <w:szCs w:val="20"/>
              </w:rPr>
            </w:pPr>
            <w:r w:rsidRPr="00E00B35">
              <w:rPr>
                <w:rFonts w:cs="Arial"/>
                <w:szCs w:val="20"/>
              </w:rPr>
              <w:t>URBAN INNOVATIVE ACTIONS</w:t>
            </w:r>
          </w:p>
        </w:tc>
      </w:tr>
      <w:tr w:rsidR="008C7751" w:rsidRPr="00E00B35" w:rsidTr="008C7751">
        <w:trPr>
          <w:cantSplit/>
          <w:trHeight w:val="424"/>
        </w:trPr>
        <w:tc>
          <w:tcPr>
            <w:tcW w:w="9142" w:type="dxa"/>
            <w:vAlign w:val="center"/>
          </w:tcPr>
          <w:p w:rsidR="008C7751" w:rsidRPr="00E00B35" w:rsidRDefault="008C7751" w:rsidP="00E00B35">
            <w:pPr>
              <w:spacing w:after="0" w:line="312" w:lineRule="auto"/>
              <w:rPr>
                <w:rFonts w:cs="Arial"/>
                <w:szCs w:val="20"/>
              </w:rPr>
            </w:pPr>
            <w:r w:rsidRPr="00E00B35">
              <w:rPr>
                <w:rFonts w:cs="Arial"/>
                <w:szCs w:val="20"/>
              </w:rPr>
              <w:t>CEF</w:t>
            </w:r>
          </w:p>
        </w:tc>
      </w:tr>
      <w:tr w:rsidR="008C7751" w:rsidRPr="00E00B35" w:rsidTr="008C7751">
        <w:trPr>
          <w:cantSplit/>
          <w:trHeight w:val="424"/>
        </w:trPr>
        <w:tc>
          <w:tcPr>
            <w:tcW w:w="9142"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EUCF</w:t>
            </w:r>
          </w:p>
        </w:tc>
      </w:tr>
    </w:tbl>
    <w:p w:rsidR="008C7751" w:rsidRPr="00E00B35" w:rsidRDefault="008C7751" w:rsidP="00E00B35">
      <w:pPr>
        <w:spacing w:after="0" w:line="312" w:lineRule="auto"/>
        <w:rPr>
          <w:b/>
          <w:szCs w:val="20"/>
        </w:rPr>
      </w:pPr>
    </w:p>
    <w:p w:rsidR="008C7751" w:rsidRPr="00E00B35" w:rsidRDefault="008C7751" w:rsidP="00E00B35">
      <w:pPr>
        <w:pStyle w:val="Nagwek4"/>
        <w:spacing w:before="0" w:after="0" w:line="312" w:lineRule="auto"/>
        <w:rPr>
          <w:sz w:val="20"/>
          <w:szCs w:val="20"/>
        </w:rPr>
      </w:pPr>
      <w:r w:rsidRPr="00E00B35">
        <w:rPr>
          <w:sz w:val="20"/>
          <w:szCs w:val="20"/>
        </w:rPr>
        <w:t>PERSPEKTYWA FINANSOWA 2021-2027 I KRAJOWY PLAN ODBUDOWY</w:t>
      </w:r>
    </w:p>
    <w:p w:rsidR="008C7751" w:rsidRPr="00E00B35" w:rsidRDefault="008C7751" w:rsidP="00E00B35">
      <w:pPr>
        <w:spacing w:after="0" w:line="312" w:lineRule="auto"/>
        <w:rPr>
          <w:szCs w:val="20"/>
        </w:rPr>
      </w:pPr>
      <w:r w:rsidRPr="00E00B35">
        <w:rPr>
          <w:szCs w:val="20"/>
        </w:rPr>
        <w:t xml:space="preserve">Rok 2020 to także czas intensywnych prac nad nową </w:t>
      </w:r>
      <w:r w:rsidRPr="00E00B35">
        <w:rPr>
          <w:b/>
          <w:szCs w:val="20"/>
        </w:rPr>
        <w:t>perspektywą finansową 2021-2027</w:t>
      </w:r>
      <w:r w:rsidRPr="00E00B35">
        <w:rPr>
          <w:szCs w:val="20"/>
        </w:rPr>
        <w:t>. Prowadzono analizy powstających dokumentów programowych w celu jak najlepszego ustalenia priorytetów budżetowych w kontekście przyszłych możliwości pozyskania dofinansowania. Ponadto, w związku z rozpoczętymi już pracami nad Regionalnym Programem Operacyjnym 2021-2027 przekazano do Urzędu Marszałkowskiego Województwa Dolnośląskiego 9 fiszek w ramach obszarów  wskazanych przez UMWD z propozycjami projektów infrastrukturalnych do potencjalnego dofinansowania w ramach RPO WD 2021-2027.</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lastRenderedPageBreak/>
        <w:t>FISZKI DO RPO WD 2021-2027 ZŁOŻONE DO URZĘDU MARSZAŁKOWSKIEGO WOJEWÓDZTWA DOLNOŚLĄSKIEGO</w:t>
      </w:r>
    </w:p>
    <w:tbl>
      <w:tblPr>
        <w:tblW w:w="5000" w:type="pct"/>
        <w:tblCellMar>
          <w:left w:w="70" w:type="dxa"/>
          <w:right w:w="70" w:type="dxa"/>
        </w:tblCellMar>
        <w:tblLook w:val="04A0"/>
      </w:tblPr>
      <w:tblGrid>
        <w:gridCol w:w="451"/>
        <w:gridCol w:w="4617"/>
        <w:gridCol w:w="1999"/>
        <w:gridCol w:w="2145"/>
      </w:tblGrid>
      <w:tr w:rsidR="008C7751" w:rsidRPr="00E00B35" w:rsidTr="008C7751">
        <w:trPr>
          <w:trHeight w:val="675"/>
        </w:trPr>
        <w:tc>
          <w:tcPr>
            <w:tcW w:w="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Lp.</w:t>
            </w:r>
          </w:p>
        </w:tc>
        <w:tc>
          <w:tcPr>
            <w:tcW w:w="250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Tytuł projektu</w:t>
            </w:r>
          </w:p>
        </w:tc>
        <w:tc>
          <w:tcPr>
            <w:tcW w:w="108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Wartość projektu (zł)</w:t>
            </w:r>
          </w:p>
        </w:tc>
        <w:tc>
          <w:tcPr>
            <w:tcW w:w="1164" w:type="pct"/>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Obszar</w:t>
            </w:r>
          </w:p>
        </w:tc>
      </w:tr>
      <w:tr w:rsidR="008C7751" w:rsidRPr="00E00B35" w:rsidTr="008C7751">
        <w:trPr>
          <w:trHeight w:val="665"/>
        </w:trPr>
        <w:tc>
          <w:tcPr>
            <w:tcW w:w="245" w:type="pct"/>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w:t>
            </w:r>
          </w:p>
        </w:tc>
        <w:tc>
          <w:tcPr>
            <w:tcW w:w="250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Poprawa efektywności energetycznej w budynkach użyteczności publicznej Gminy Wrocław</w:t>
            </w:r>
          </w:p>
        </w:tc>
        <w:tc>
          <w:tcPr>
            <w:tcW w:w="1085" w:type="pct"/>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115 000 000,00</w:t>
            </w:r>
          </w:p>
        </w:tc>
        <w:tc>
          <w:tcPr>
            <w:tcW w:w="1164" w:type="pct"/>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831"/>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2</w:t>
            </w:r>
          </w:p>
        </w:tc>
        <w:tc>
          <w:tcPr>
            <w:tcW w:w="250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elewacji wraz z ociepleniem i wymianą stolarki okiennej oraz montażem pompy ciepła i urządzeń fotowoltaicznych w DPS przy ul. Karmelkowej 25 we Wrocławiu</w:t>
            </w:r>
          </w:p>
        </w:tc>
        <w:tc>
          <w:tcPr>
            <w:tcW w:w="1085" w:type="pct"/>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4 246 029,97</w:t>
            </w:r>
          </w:p>
        </w:tc>
        <w:tc>
          <w:tcPr>
            <w:tcW w:w="1164" w:type="pct"/>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693"/>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3</w:t>
            </w:r>
          </w:p>
        </w:tc>
        <w:tc>
          <w:tcPr>
            <w:tcW w:w="250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z poprawą efektywności energetycznej budynku Żłobka nr 5, ul. Dokerska 5 we Wrocławiu</w:t>
            </w:r>
          </w:p>
        </w:tc>
        <w:tc>
          <w:tcPr>
            <w:tcW w:w="1085" w:type="pct"/>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1 800 000,00</w:t>
            </w:r>
          </w:p>
        </w:tc>
        <w:tc>
          <w:tcPr>
            <w:tcW w:w="1164" w:type="pct"/>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677"/>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4</w:t>
            </w:r>
          </w:p>
        </w:tc>
        <w:tc>
          <w:tcPr>
            <w:tcW w:w="250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z poprawą efektywności energetycznej budynku Żłobka nr 1 ul. Lwowska 20 we Wrocławiu</w:t>
            </w:r>
          </w:p>
        </w:tc>
        <w:tc>
          <w:tcPr>
            <w:tcW w:w="1085" w:type="pct"/>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2 500 000,00</w:t>
            </w:r>
          </w:p>
        </w:tc>
        <w:tc>
          <w:tcPr>
            <w:tcW w:w="1164" w:type="pct"/>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633"/>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5</w:t>
            </w:r>
          </w:p>
        </w:tc>
        <w:tc>
          <w:tcPr>
            <w:tcW w:w="250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Termomodernizacja obiektów oświatowych: przedszkoli, szkół podstawowych i ponadpodstawowych we Wrocławiu</w:t>
            </w:r>
          </w:p>
        </w:tc>
        <w:tc>
          <w:tcPr>
            <w:tcW w:w="1085" w:type="pct"/>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28 385 000,00</w:t>
            </w:r>
          </w:p>
        </w:tc>
        <w:tc>
          <w:tcPr>
            <w:tcW w:w="1164" w:type="pct"/>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1014"/>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6</w:t>
            </w:r>
          </w:p>
        </w:tc>
        <w:tc>
          <w:tcPr>
            <w:tcW w:w="250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Termomodernizacja budynków użyteczności publicznej przy ul. Szkolnej 11 i ul. Skoczylasa 8B we Wrocławiu na potrzeby działalności Miejskiego Ośrodka Pomocy Społecznej.</w:t>
            </w:r>
          </w:p>
        </w:tc>
        <w:tc>
          <w:tcPr>
            <w:tcW w:w="1085" w:type="pct"/>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4 500 000,00</w:t>
            </w:r>
          </w:p>
        </w:tc>
        <w:tc>
          <w:tcPr>
            <w:tcW w:w="1164" w:type="pct"/>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480"/>
        </w:trPr>
        <w:tc>
          <w:tcPr>
            <w:tcW w:w="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7</w:t>
            </w:r>
          </w:p>
        </w:tc>
        <w:tc>
          <w:tcPr>
            <w:tcW w:w="250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Wrocławski Tramwaj Wodny na Odrze</w:t>
            </w:r>
          </w:p>
        </w:tc>
        <w:tc>
          <w:tcPr>
            <w:tcW w:w="1085" w:type="pct"/>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9 000 000,00</w:t>
            </w:r>
          </w:p>
        </w:tc>
        <w:tc>
          <w:tcPr>
            <w:tcW w:w="1164" w:type="pct"/>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Transport</w:t>
            </w:r>
          </w:p>
        </w:tc>
      </w:tr>
      <w:tr w:rsidR="008C7751" w:rsidRPr="00E00B35" w:rsidTr="008C7751">
        <w:trPr>
          <w:trHeight w:val="838"/>
        </w:trPr>
        <w:tc>
          <w:tcPr>
            <w:tcW w:w="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8</w:t>
            </w:r>
          </w:p>
        </w:tc>
        <w:tc>
          <w:tcPr>
            <w:tcW w:w="250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Dostawa autobusów elektrycznych i gazowych wraz z wykonaniem niezbędnej infrastruktury technicznej dla MPK Sp. z o.o. we Wrocławiu w latach 2021-2027</w:t>
            </w:r>
          </w:p>
        </w:tc>
        <w:tc>
          <w:tcPr>
            <w:tcW w:w="1085" w:type="pct"/>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443 324 000,00</w:t>
            </w:r>
          </w:p>
        </w:tc>
        <w:tc>
          <w:tcPr>
            <w:tcW w:w="1164" w:type="pct"/>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Transport</w:t>
            </w:r>
          </w:p>
        </w:tc>
      </w:tr>
      <w:tr w:rsidR="008C7751" w:rsidRPr="00E00B35" w:rsidTr="008C7751">
        <w:trPr>
          <w:trHeight w:val="840"/>
        </w:trPr>
        <w:tc>
          <w:tcPr>
            <w:tcW w:w="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9</w:t>
            </w:r>
          </w:p>
        </w:tc>
        <w:tc>
          <w:tcPr>
            <w:tcW w:w="250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Rozbudowa sieci Punktów Selektywnego Zbierania Odpadów Komunalnych na terenie Gminy Wrocław</w:t>
            </w:r>
          </w:p>
        </w:tc>
        <w:tc>
          <w:tcPr>
            <w:tcW w:w="1085" w:type="pct"/>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5 500 000,00</w:t>
            </w:r>
          </w:p>
        </w:tc>
        <w:tc>
          <w:tcPr>
            <w:tcW w:w="1164" w:type="pct"/>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Środowisko</w:t>
            </w:r>
          </w:p>
        </w:tc>
      </w:tr>
    </w:tbl>
    <w:p w:rsidR="008C7751" w:rsidRPr="00E00B35" w:rsidRDefault="008C7751" w:rsidP="00E00B35">
      <w:pPr>
        <w:spacing w:after="0" w:line="312" w:lineRule="auto"/>
        <w:rPr>
          <w:bCs/>
          <w:szCs w:val="20"/>
        </w:rPr>
      </w:pPr>
    </w:p>
    <w:p w:rsidR="008C7751" w:rsidRPr="00E00B35" w:rsidRDefault="008C7751" w:rsidP="00E00B35">
      <w:pPr>
        <w:spacing w:after="0" w:line="312" w:lineRule="auto"/>
        <w:rPr>
          <w:rFonts w:cs="Helv"/>
          <w:szCs w:val="20"/>
        </w:rPr>
      </w:pPr>
      <w:r w:rsidRPr="00E00B35">
        <w:rPr>
          <w:szCs w:val="20"/>
        </w:rPr>
        <w:t xml:space="preserve">W ramach prac nad propozycjami do </w:t>
      </w:r>
      <w:r w:rsidRPr="00E00B35">
        <w:rPr>
          <w:b/>
          <w:szCs w:val="20"/>
        </w:rPr>
        <w:t>Krajowego Planu Odbudowy</w:t>
      </w:r>
      <w:r w:rsidRPr="00E00B35">
        <w:rPr>
          <w:szCs w:val="20"/>
        </w:rPr>
        <w:t xml:space="preserve"> gruntownie przeanalizowano potrzeby zgłoszone przez poszczególne komórki Urzędu Miejskiego Wrocławia, jednostki oraz spółki miejskie. W pierwszym etapie </w:t>
      </w:r>
      <w:r w:rsidRPr="00E00B35">
        <w:rPr>
          <w:rFonts w:cs="Helv"/>
          <w:szCs w:val="20"/>
        </w:rPr>
        <w:t>przekazano do Urzędu Marszałkowskiego Województwa Dolnośląskiego przygotowanych 13 fiszek, z których część stanowiła tematyczne pakiety projektów. Fiszki zostały następnie przekazane przez Urząd Marszałkowski do Ministerstwa Funduszy i Polityki Regionalnej.</w:t>
      </w:r>
    </w:p>
    <w:p w:rsidR="008C7751" w:rsidRPr="00E00B35" w:rsidRDefault="008C7751" w:rsidP="00E00B35">
      <w:pPr>
        <w:spacing w:after="0" w:line="312" w:lineRule="auto"/>
        <w:rPr>
          <w:rFonts w:cs="Helv"/>
          <w:szCs w:val="20"/>
        </w:rPr>
      </w:pPr>
    </w:p>
    <w:p w:rsidR="008C7751" w:rsidRPr="00E00B35" w:rsidRDefault="008C7751" w:rsidP="00E00B35">
      <w:pPr>
        <w:pStyle w:val="Nagwek4"/>
        <w:spacing w:before="0" w:after="0" w:line="312" w:lineRule="auto"/>
        <w:rPr>
          <w:sz w:val="20"/>
          <w:szCs w:val="20"/>
        </w:rPr>
      </w:pPr>
      <w:r w:rsidRPr="00E00B35">
        <w:rPr>
          <w:sz w:val="20"/>
          <w:szCs w:val="20"/>
        </w:rPr>
        <w:lastRenderedPageBreak/>
        <w:t>PROPOZYCJE PROJEKTÓW DO KRAJOWEGO PROGRAMU ODBUDOWY ZŁOŻONE DO URZĘDU MARSZAŁKOWSKIEGO WOJEWÓDZTWA DOLNOŚLĄSKIEGO – ETAP I</w:t>
      </w:r>
    </w:p>
    <w:tbl>
      <w:tblPr>
        <w:tblW w:w="9080" w:type="dxa"/>
        <w:tblInd w:w="55" w:type="dxa"/>
        <w:tblCellMar>
          <w:left w:w="70" w:type="dxa"/>
          <w:right w:w="70" w:type="dxa"/>
        </w:tblCellMar>
        <w:tblLook w:val="04A0"/>
      </w:tblPr>
      <w:tblGrid>
        <w:gridCol w:w="445"/>
        <w:gridCol w:w="2356"/>
        <w:gridCol w:w="3154"/>
        <w:gridCol w:w="1429"/>
        <w:gridCol w:w="1696"/>
      </w:tblGrid>
      <w:tr w:rsidR="008C7751" w:rsidRPr="00E00B35" w:rsidTr="008C7751">
        <w:trPr>
          <w:trHeight w:val="630"/>
        </w:trPr>
        <w:tc>
          <w:tcPr>
            <w:tcW w:w="41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L</w:t>
            </w:r>
            <w:r w:rsidRPr="00E00B35">
              <w:rPr>
                <w:szCs w:val="20"/>
                <w:shd w:val="clear" w:color="auto" w:fill="FFFFFF"/>
              </w:rPr>
              <w:t>P</w:t>
            </w:r>
            <w:r w:rsidRPr="00E00B35">
              <w:rPr>
                <w:szCs w:val="20"/>
              </w:rPr>
              <w:t>.</w:t>
            </w:r>
          </w:p>
        </w:tc>
        <w:tc>
          <w:tcPr>
            <w:tcW w:w="2401"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Fiszka/Obszar</w:t>
            </w:r>
          </w:p>
        </w:tc>
        <w:tc>
          <w:tcPr>
            <w:tcW w:w="329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Projekty w ramach fiszki</w:t>
            </w:r>
          </w:p>
        </w:tc>
        <w:tc>
          <w:tcPr>
            <w:tcW w:w="142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Szacunkowa wartość </w:t>
            </w:r>
            <w:r w:rsidRPr="00E00B35">
              <w:rPr>
                <w:szCs w:val="20"/>
              </w:rPr>
              <w:br/>
              <w:t>całkowita (zł)</w:t>
            </w:r>
          </w:p>
        </w:tc>
        <w:tc>
          <w:tcPr>
            <w:tcW w:w="1540"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Proponowany poziom </w:t>
            </w:r>
            <w:r w:rsidRPr="00E00B35">
              <w:rPr>
                <w:szCs w:val="20"/>
              </w:rPr>
              <w:br/>
              <w:t>dofinansowania</w:t>
            </w:r>
          </w:p>
        </w:tc>
      </w:tr>
      <w:tr w:rsidR="008C7751" w:rsidRPr="00E00B35" w:rsidTr="008C7751">
        <w:trPr>
          <w:trHeight w:val="1344"/>
        </w:trPr>
        <w:tc>
          <w:tcPr>
            <w:tcW w:w="415" w:type="dxa"/>
            <w:tcBorders>
              <w:top w:val="nil"/>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w:t>
            </w:r>
          </w:p>
        </w:tc>
        <w:tc>
          <w:tcPr>
            <w:tcW w:w="2401" w:type="dxa"/>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Wzmocnienie potencjału wzrostu poprzez zapewnienie sprawnej i ekonomicznej komunikacji w regionie dzięki budowie Alei Wielkiej Wyspy</w:t>
            </w:r>
          </w:p>
        </w:tc>
        <w:tc>
          <w:tcPr>
            <w:tcW w:w="3295" w:type="dxa"/>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Budowa Alei Wielkiej Wyspy</w:t>
            </w:r>
          </w:p>
        </w:tc>
        <w:tc>
          <w:tcPr>
            <w:tcW w:w="1429"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232 000 000</w:t>
            </w:r>
          </w:p>
        </w:tc>
        <w:tc>
          <w:tcPr>
            <w:tcW w:w="1540"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95%</w:t>
            </w:r>
          </w:p>
        </w:tc>
      </w:tr>
      <w:tr w:rsidR="008C7751" w:rsidRPr="00E00B35" w:rsidTr="008C7751">
        <w:trPr>
          <w:trHeight w:val="3281"/>
        </w:trPr>
        <w:tc>
          <w:tcPr>
            <w:tcW w:w="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2</w:t>
            </w:r>
          </w:p>
        </w:tc>
        <w:tc>
          <w:tcPr>
            <w:tcW w:w="24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Rozwój zrównoważonego transportu miejskiego dla Wrocławia i aglomeracji wrocławskiej</w:t>
            </w:r>
          </w:p>
        </w:tc>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GMINA WROCŁAW:</w:t>
            </w:r>
            <w:r w:rsidRPr="00E00B35">
              <w:rPr>
                <w:szCs w:val="20"/>
              </w:rPr>
              <w:br/>
              <w:t>1. Budowa wydzielonej trasy komunikacji zbiorowej na osiedle Maślice</w:t>
            </w:r>
            <w:r w:rsidRPr="00E00B35">
              <w:rPr>
                <w:szCs w:val="20"/>
              </w:rPr>
              <w:br/>
              <w:t>2. Budowa wydzielonej trasy komunikacji zbiorowej na osiedle Jagodno</w:t>
            </w:r>
            <w:r w:rsidRPr="00E00B35">
              <w:rPr>
                <w:szCs w:val="20"/>
              </w:rPr>
              <w:br/>
              <w:t>3.Budowa wydzielonej trasy tramwajowo-autobusowej na osiedle Swojczyce wraz z budową Mostów Chrobrego</w:t>
            </w:r>
            <w:r w:rsidRPr="00E00B35">
              <w:rPr>
                <w:szCs w:val="20"/>
              </w:rPr>
              <w:br/>
              <w:t>4. Rozbudowa floty transportu nisko – i zero emisyjnego (zadanie realizowane przez MPK Sp. z o.o.)</w:t>
            </w:r>
            <w:r w:rsidRPr="00E00B35">
              <w:rPr>
                <w:szCs w:val="20"/>
              </w:rPr>
              <w:br/>
              <w:t>5. Spójna sieć tras rowerowych we Wrocławiu dla mieszkańców miasta i aglomeracji</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770 700 000</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95%</w:t>
            </w:r>
          </w:p>
        </w:tc>
      </w:tr>
      <w:tr w:rsidR="008C7751" w:rsidRPr="00E00B35" w:rsidTr="008C7751">
        <w:trPr>
          <w:trHeight w:val="1575"/>
        </w:trPr>
        <w:tc>
          <w:tcPr>
            <w:tcW w:w="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3</w:t>
            </w:r>
          </w:p>
        </w:tc>
        <w:tc>
          <w:tcPr>
            <w:tcW w:w="2401" w:type="dxa"/>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 xml:space="preserve">Likwidacja niskiej emisjii na terenie Dolnego Ślaska poprzez termomodernizację oraz wymianę węglowych źródeł ogrzewania w </w:t>
            </w:r>
            <w:r w:rsidRPr="00E00B35">
              <w:rPr>
                <w:szCs w:val="20"/>
              </w:rPr>
              <w:lastRenderedPageBreak/>
              <w:t>budynkach wielorodzinnych we Wrocławiu</w:t>
            </w:r>
          </w:p>
        </w:tc>
        <w:tc>
          <w:tcPr>
            <w:tcW w:w="3295" w:type="dxa"/>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lastRenderedPageBreak/>
              <w:t xml:space="preserve">1. Kompleksowa termomodernizacja wraz z wymianą węglowych źródeł ogrzewania w budynkach wielorodzinnych, w komunalnym zasobie mieszkaniowym Gminy Wrocław </w:t>
            </w:r>
            <w:r w:rsidRPr="00E00B35">
              <w:rPr>
                <w:szCs w:val="20"/>
              </w:rPr>
              <w:br/>
            </w:r>
            <w:r w:rsidRPr="00E00B35">
              <w:rPr>
                <w:szCs w:val="20"/>
              </w:rPr>
              <w:lastRenderedPageBreak/>
              <w:t xml:space="preserve">2. Termomodernizacja zasobu TBS Wrocław – 18 budynków  </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lastRenderedPageBreak/>
              <w:t>713 000 000</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95%</w:t>
            </w:r>
          </w:p>
        </w:tc>
      </w:tr>
      <w:tr w:rsidR="008C7751" w:rsidRPr="00E00B35" w:rsidTr="008C7751">
        <w:trPr>
          <w:trHeight w:val="2247"/>
        </w:trPr>
        <w:tc>
          <w:tcPr>
            <w:tcW w:w="415" w:type="dxa"/>
            <w:tcBorders>
              <w:top w:val="nil"/>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lastRenderedPageBreak/>
              <w:t>4</w:t>
            </w:r>
          </w:p>
        </w:tc>
        <w:tc>
          <w:tcPr>
            <w:tcW w:w="2401" w:type="dxa"/>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Klimatyczny region - Wrocław w kierunku zielonego ładu</w:t>
            </w:r>
          </w:p>
        </w:tc>
        <w:tc>
          <w:tcPr>
            <w:tcW w:w="3295" w:type="dxa"/>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 xml:space="preserve">1. Poprawa efektywności energetycznej w budynkach użyteczności publicznej - pilotażowy projekt dotyczący m.in. fotowoltaiki na budynkach szkolnych </w:t>
            </w:r>
            <w:r w:rsidRPr="00E00B35">
              <w:rPr>
                <w:szCs w:val="20"/>
              </w:rPr>
              <w:br/>
              <w:t>2. Zielona energia, nawozy z bioodpadów i noskoemisyjny transport odpadów dla Wrocławia - biogazownia, PSZOK, system automatycznego zbierania odpadów, przeładownia</w:t>
            </w:r>
            <w:r w:rsidRPr="00E00B35">
              <w:rPr>
                <w:szCs w:val="20"/>
              </w:rPr>
              <w:br/>
              <w:t>3. Adaptacja MPWIK do zmian klimatu - przebudowa zbiorników burzowych w celu przeciwdziałania skutkom deszczy nawalnych i zapewnienia prawidłowej retencji</w:t>
            </w:r>
          </w:p>
        </w:tc>
        <w:tc>
          <w:tcPr>
            <w:tcW w:w="1429" w:type="dxa"/>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705 000 000</w:t>
            </w:r>
          </w:p>
        </w:tc>
        <w:tc>
          <w:tcPr>
            <w:tcW w:w="1540"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95%</w:t>
            </w:r>
          </w:p>
        </w:tc>
      </w:tr>
      <w:tr w:rsidR="008C7751" w:rsidRPr="00E00B35" w:rsidTr="008C7751">
        <w:trPr>
          <w:trHeight w:val="2940"/>
        </w:trPr>
        <w:tc>
          <w:tcPr>
            <w:tcW w:w="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5</w:t>
            </w:r>
          </w:p>
        </w:tc>
        <w:tc>
          <w:tcPr>
            <w:tcW w:w="2401" w:type="dxa"/>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Transformacja cyfrowa procesów i usług realizowanych w Gminie Wrocław</w:t>
            </w:r>
          </w:p>
        </w:tc>
        <w:tc>
          <w:tcPr>
            <w:tcW w:w="3295" w:type="dxa"/>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1. Cyfrowa transformacja polityk miejskich w oparciu o złożone zasoby BIG DATA i modelowanie behawioralne.</w:t>
            </w:r>
            <w:r w:rsidRPr="00E00B35">
              <w:rPr>
                <w:szCs w:val="20"/>
              </w:rPr>
              <w:br/>
              <w:t>2. Modernizacja infrastruktury Miejskiego Internetu.</w:t>
            </w:r>
            <w:r w:rsidRPr="00E00B35">
              <w:rPr>
                <w:szCs w:val="20"/>
              </w:rPr>
              <w:br/>
              <w:t>3. Wdrożenie systemu monitoringu, kontroli i rejestracji zdalnych sesji dostępu do systemów informatycznych (PAM/PSM).</w:t>
            </w:r>
            <w:r w:rsidRPr="00E00B35">
              <w:rPr>
                <w:szCs w:val="20"/>
              </w:rPr>
              <w:br/>
              <w:t>4. Operacyjne Centrum Bezpieczeństwa (SOC - Security Operations Center).</w:t>
            </w:r>
            <w:r w:rsidRPr="00E00B35">
              <w:rPr>
                <w:szCs w:val="20"/>
              </w:rPr>
              <w:br/>
              <w:t>5. Telepraca w zespole projektowym.</w:t>
            </w:r>
            <w:r w:rsidRPr="00E00B35">
              <w:rPr>
                <w:szCs w:val="20"/>
              </w:rPr>
              <w:br/>
              <w:t xml:space="preserve">6. Transformacja cyfrowa </w:t>
            </w:r>
            <w:r w:rsidRPr="00E00B35">
              <w:rPr>
                <w:szCs w:val="20"/>
              </w:rPr>
              <w:lastRenderedPageBreak/>
              <w:t>procesów zarządzania mieniem komunalnym Gminy Wrocław.</w:t>
            </w:r>
            <w:r w:rsidRPr="00E00B35">
              <w:rPr>
                <w:szCs w:val="20"/>
              </w:rPr>
              <w:br/>
              <w:t>7. Wdrożenie mobilnego kanału komunikacji z mieszkańcem.</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lastRenderedPageBreak/>
              <w:t>99 000 000</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100%</w:t>
            </w:r>
          </w:p>
        </w:tc>
      </w:tr>
      <w:tr w:rsidR="008C7751" w:rsidRPr="00E00B35" w:rsidTr="008C7751">
        <w:trPr>
          <w:trHeight w:val="1005"/>
        </w:trPr>
        <w:tc>
          <w:tcPr>
            <w:tcW w:w="415" w:type="dxa"/>
            <w:tcBorders>
              <w:top w:val="nil"/>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lastRenderedPageBreak/>
              <w:t>6</w:t>
            </w:r>
          </w:p>
        </w:tc>
        <w:tc>
          <w:tcPr>
            <w:tcW w:w="2401" w:type="dxa"/>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Transformacja cyfrowa w zakresie  automatycznego odczytu wodomierzy</w:t>
            </w:r>
          </w:p>
        </w:tc>
        <w:tc>
          <w:tcPr>
            <w:tcW w:w="3295" w:type="dxa"/>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Wdrożenie sieci radiowych do automatycznego odczytywania wodomierzy</w:t>
            </w:r>
          </w:p>
        </w:tc>
        <w:tc>
          <w:tcPr>
            <w:tcW w:w="1429"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48 530 086</w:t>
            </w:r>
          </w:p>
        </w:tc>
        <w:tc>
          <w:tcPr>
            <w:tcW w:w="1540" w:type="dxa"/>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95%</w:t>
            </w:r>
          </w:p>
        </w:tc>
      </w:tr>
      <w:tr w:rsidR="008C7751" w:rsidRPr="00E00B35" w:rsidTr="008C7751">
        <w:trPr>
          <w:trHeight w:val="2055"/>
        </w:trPr>
        <w:tc>
          <w:tcPr>
            <w:tcW w:w="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7</w:t>
            </w:r>
          </w:p>
        </w:tc>
        <w:tc>
          <w:tcPr>
            <w:tcW w:w="2401" w:type="dxa"/>
            <w:vMerge w:val="restart"/>
            <w:tcBorders>
              <w:top w:val="nil"/>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Zwiększenie uczestnictwa w rynku pracy i poziomu aktywności zawodowej poprzez zapewnienie zaplecza opieki nad dziećmi</w:t>
            </w:r>
          </w:p>
        </w:tc>
        <w:tc>
          <w:tcPr>
            <w:tcW w:w="3295" w:type="dxa"/>
            <w:vMerge w:val="restart"/>
            <w:tcBorders>
              <w:top w:val="nil"/>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 xml:space="preserve">1.Budowa nowego żłobka we Wrocławiu przy ul. Sołtysowickiej - placówki opieki nad dziećmi do lat 3 wraz z biblioteką i centrum aktywności lokalnej.  </w:t>
            </w:r>
            <w:r w:rsidRPr="00E00B35">
              <w:rPr>
                <w:szCs w:val="20"/>
              </w:rPr>
              <w:br/>
              <w:t xml:space="preserve">2. Budowa Zespołu Szkolno-Przedszkolnego wraz z zagospodarowaniem działki szkolnej przy ul. Cynamonowej we Wrocławiu wraz z infrastrukturą towarzyszącą umożliwiającą dojazd do szkoły </w:t>
            </w:r>
            <w:r w:rsidRPr="00E00B35">
              <w:rPr>
                <w:szCs w:val="20"/>
              </w:rPr>
              <w:br/>
              <w:t xml:space="preserve">3.Budowa Zespołu Szkolno-Przedszkolnego wraz z zagospodarowaniem działki szkolnej przy ul. Asfaltowej we Wrocławiu wraz z infrastrukturą towarzyszącą udostępniającą umożliwiającą dojazd do szkoły </w:t>
            </w:r>
            <w:r w:rsidRPr="00E00B35">
              <w:rPr>
                <w:szCs w:val="20"/>
              </w:rPr>
              <w:br/>
              <w:t xml:space="preserve">4. Budowa przedszkola wraz z infrastrukturą towarzyszącą i zagospodarowaniem terenu przy ul. Dębickiej we Wrocławiu </w:t>
            </w:r>
          </w:p>
        </w:tc>
        <w:tc>
          <w:tcPr>
            <w:tcW w:w="142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185 682 329</w:t>
            </w:r>
          </w:p>
        </w:tc>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95%</w:t>
            </w:r>
          </w:p>
        </w:tc>
      </w:tr>
      <w:tr w:rsidR="008C7751" w:rsidRPr="00E00B35" w:rsidTr="008C7751">
        <w:trPr>
          <w:trHeight w:val="1021"/>
        </w:trPr>
        <w:tc>
          <w:tcPr>
            <w:tcW w:w="415" w:type="dxa"/>
            <w:vMerge/>
            <w:tcBorders>
              <w:top w:val="nil"/>
              <w:left w:val="single" w:sz="4" w:space="0" w:color="auto"/>
              <w:bottom w:val="single" w:sz="4" w:space="0" w:color="auto"/>
              <w:right w:val="single" w:sz="4" w:space="0" w:color="auto"/>
            </w:tcBorders>
            <w:vAlign w:val="center"/>
            <w:hideMark/>
          </w:tcPr>
          <w:p w:rsidR="008C7751" w:rsidRPr="00E00B35" w:rsidRDefault="008C7751" w:rsidP="00E00B35">
            <w:pPr>
              <w:spacing w:after="0" w:line="312" w:lineRule="auto"/>
              <w:rPr>
                <w:szCs w:val="20"/>
              </w:rPr>
            </w:pPr>
          </w:p>
        </w:tc>
        <w:tc>
          <w:tcPr>
            <w:tcW w:w="2401" w:type="dxa"/>
            <w:vMerge/>
            <w:tcBorders>
              <w:top w:val="nil"/>
              <w:left w:val="single" w:sz="4" w:space="0" w:color="auto"/>
              <w:bottom w:val="single" w:sz="4" w:space="0" w:color="auto"/>
              <w:right w:val="single" w:sz="4" w:space="0" w:color="auto"/>
            </w:tcBorders>
            <w:vAlign w:val="center"/>
            <w:hideMark/>
          </w:tcPr>
          <w:p w:rsidR="008C7751" w:rsidRPr="00E00B35" w:rsidRDefault="008C7751" w:rsidP="00E00B35">
            <w:pPr>
              <w:spacing w:after="0" w:line="312" w:lineRule="auto"/>
              <w:rPr>
                <w:szCs w:val="20"/>
              </w:rPr>
            </w:pPr>
          </w:p>
        </w:tc>
        <w:tc>
          <w:tcPr>
            <w:tcW w:w="3295" w:type="dxa"/>
            <w:vMerge/>
            <w:tcBorders>
              <w:top w:val="nil"/>
              <w:left w:val="single" w:sz="4" w:space="0" w:color="auto"/>
              <w:bottom w:val="single" w:sz="4" w:space="0" w:color="auto"/>
              <w:right w:val="single" w:sz="4" w:space="0" w:color="auto"/>
            </w:tcBorders>
            <w:vAlign w:val="center"/>
            <w:hideMark/>
          </w:tcPr>
          <w:p w:rsidR="008C7751" w:rsidRPr="00E00B35" w:rsidRDefault="008C7751" w:rsidP="00E00B35">
            <w:pPr>
              <w:spacing w:after="0" w:line="312" w:lineRule="auto"/>
              <w:rPr>
                <w:szCs w:val="20"/>
              </w:rPr>
            </w:pPr>
          </w:p>
        </w:tc>
        <w:tc>
          <w:tcPr>
            <w:tcW w:w="1429" w:type="dxa"/>
            <w:vMerge/>
            <w:tcBorders>
              <w:top w:val="nil"/>
              <w:left w:val="single" w:sz="4" w:space="0" w:color="auto"/>
              <w:bottom w:val="single" w:sz="4" w:space="0" w:color="auto"/>
              <w:right w:val="single" w:sz="4" w:space="0" w:color="auto"/>
            </w:tcBorders>
            <w:vAlign w:val="center"/>
            <w:hideMark/>
          </w:tcPr>
          <w:p w:rsidR="008C7751" w:rsidRPr="00E00B35" w:rsidRDefault="008C7751" w:rsidP="00E00B35">
            <w:pPr>
              <w:spacing w:after="0" w:line="312" w:lineRule="auto"/>
              <w:rPr>
                <w:szCs w:val="20"/>
              </w:rPr>
            </w:pPr>
          </w:p>
        </w:tc>
        <w:tc>
          <w:tcPr>
            <w:tcW w:w="1540" w:type="dxa"/>
            <w:vMerge/>
            <w:tcBorders>
              <w:top w:val="nil"/>
              <w:left w:val="single" w:sz="4" w:space="0" w:color="auto"/>
              <w:bottom w:val="single" w:sz="4" w:space="0" w:color="auto"/>
              <w:right w:val="single" w:sz="4" w:space="0" w:color="auto"/>
            </w:tcBorders>
            <w:vAlign w:val="center"/>
            <w:hideMark/>
          </w:tcPr>
          <w:p w:rsidR="008C7751" w:rsidRPr="00E00B35" w:rsidRDefault="008C7751" w:rsidP="00E00B35">
            <w:pPr>
              <w:spacing w:after="0" w:line="312" w:lineRule="auto"/>
              <w:rPr>
                <w:szCs w:val="20"/>
              </w:rPr>
            </w:pPr>
          </w:p>
        </w:tc>
      </w:tr>
      <w:tr w:rsidR="008C7751" w:rsidRPr="00E00B35" w:rsidTr="008C7751">
        <w:trPr>
          <w:trHeight w:val="2355"/>
        </w:trPr>
        <w:tc>
          <w:tcPr>
            <w:tcW w:w="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lastRenderedPageBreak/>
              <w:t>8</w:t>
            </w:r>
          </w:p>
        </w:tc>
        <w:tc>
          <w:tcPr>
            <w:tcW w:w="24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Zwiększenie dostępności świadczeń społecznych poprzez rozwój infrastruktury oraz zaplecza integracji społecznej i opieki dla osób potrzebujących, szczególnie w sytuacjach zagrożenia i kryzysu.</w:t>
            </w:r>
          </w:p>
        </w:tc>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1. Budowa noclegowni dla 100 osób</w:t>
            </w:r>
            <w:r w:rsidRPr="00E00B35">
              <w:rPr>
                <w:szCs w:val="20"/>
              </w:rPr>
              <w:br/>
              <w:t>2. Budowa dwóch ogrzewalni każda dla 50 osób</w:t>
            </w:r>
            <w:r w:rsidRPr="00E00B35">
              <w:rPr>
                <w:szCs w:val="20"/>
              </w:rPr>
              <w:br/>
              <w:t>3. Budowa schroniska dla 80 kobiet.</w:t>
            </w:r>
            <w:r w:rsidRPr="00E00B35">
              <w:rPr>
                <w:szCs w:val="20"/>
              </w:rPr>
              <w:br/>
              <w:t xml:space="preserve">4. Obiady dla osób potrzebujących. </w:t>
            </w:r>
            <w:r w:rsidRPr="00E00B35">
              <w:rPr>
                <w:szCs w:val="20"/>
              </w:rPr>
              <w:br/>
              <w:t>5. Budowa Centrów Aktywności Lokalnej</w:t>
            </w:r>
            <w:r w:rsidRPr="00E00B35">
              <w:rPr>
                <w:szCs w:val="20"/>
              </w:rPr>
              <w:br/>
              <w:t>6. Zawsze, wszędzie, dla każdego – dostępna pomoc społeczna - MOPS</w:t>
            </w:r>
            <w:r w:rsidRPr="00E00B35">
              <w:rPr>
                <w:szCs w:val="20"/>
              </w:rPr>
              <w:br/>
              <w:t xml:space="preserve">7. Rozbudowa infrastruktury cyfrowej administracji podmiotów świadczących usługi społeczne - MCUS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69 859 635</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100%</w:t>
            </w:r>
          </w:p>
        </w:tc>
      </w:tr>
      <w:tr w:rsidR="008C7751" w:rsidRPr="00E00B35" w:rsidTr="008C7751">
        <w:trPr>
          <w:trHeight w:val="1559"/>
        </w:trPr>
        <w:tc>
          <w:tcPr>
            <w:tcW w:w="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9</w:t>
            </w:r>
          </w:p>
        </w:tc>
        <w:tc>
          <w:tcPr>
            <w:tcW w:w="24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Wtórna prewencja kardiologiczna – rozwój systemu tradycyjnej rehabilitacji kardiologicznej połączonej z elementami telerehabilitacji i nadzoru zdalnego</w:t>
            </w:r>
          </w:p>
        </w:tc>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Wtórna prewencja kardiologiczna – rozwój systemu tradycyjnej rehabilitacji kardiologicznej połączonej z elementami telerehabilitacji i nadzoru zdalnego - jako zdrowotne wzmocnienie mieszkańców Wrocławia w kontekście zagrożeń epidemicznych.</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60 000 000</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100%</w:t>
            </w:r>
          </w:p>
        </w:tc>
      </w:tr>
      <w:tr w:rsidR="008C7751" w:rsidRPr="00E00B35" w:rsidTr="008C7751">
        <w:trPr>
          <w:trHeight w:val="745"/>
        </w:trPr>
        <w:tc>
          <w:tcPr>
            <w:tcW w:w="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10</w:t>
            </w:r>
          </w:p>
        </w:tc>
        <w:tc>
          <w:tcPr>
            <w:tcW w:w="2401" w:type="dxa"/>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Teleopieka i Telemedycyna</w:t>
            </w:r>
          </w:p>
        </w:tc>
        <w:tc>
          <w:tcPr>
            <w:tcW w:w="3295" w:type="dxa"/>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Teleopieka i Telemedycyna</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15 000 000</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100%</w:t>
            </w:r>
          </w:p>
        </w:tc>
      </w:tr>
      <w:tr w:rsidR="008C7751" w:rsidRPr="00E00B35" w:rsidTr="008C7751">
        <w:trPr>
          <w:trHeight w:val="2835"/>
        </w:trPr>
        <w:tc>
          <w:tcPr>
            <w:tcW w:w="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11</w:t>
            </w:r>
          </w:p>
        </w:tc>
        <w:tc>
          <w:tcPr>
            <w:tcW w:w="24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 xml:space="preserve">Wzmacnianie kapitału ludzkiego Wrocławia i regionu w obliczu sytuacji kryzysowej i zagrożenia pandemicznego </w:t>
            </w:r>
          </w:p>
        </w:tc>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1.Kompleksowe wsparcie zdolności adaptacyjnych dla wrocławskich przedszkoli, szkół podstawowych i ponadpodstawowych.</w:t>
            </w:r>
            <w:r w:rsidRPr="00E00B35">
              <w:rPr>
                <w:szCs w:val="20"/>
              </w:rPr>
              <w:br/>
              <w:t xml:space="preserve">2. Podnoszenie kompetencji osobistych i zawodowych pracowników z zasobów Gminy Wrocław oraz pracowników i wolontariuszy organizacji pozarządowych </w:t>
            </w:r>
            <w:r w:rsidRPr="00E00B35">
              <w:rPr>
                <w:szCs w:val="20"/>
              </w:rPr>
              <w:br/>
              <w:t xml:space="preserve">3. Podnoszenie kompetencji zawodowych mieszkańców Wrocławia i regionu </w:t>
            </w:r>
            <w:r w:rsidRPr="00E00B35">
              <w:rPr>
                <w:szCs w:val="20"/>
              </w:rPr>
              <w:lastRenderedPageBreak/>
              <w:t xml:space="preserve">niezbędnych na regionalnym rynku pracy </w:t>
            </w:r>
            <w:r w:rsidRPr="00E00B35">
              <w:rPr>
                <w:szCs w:val="20"/>
              </w:rPr>
              <w:br/>
              <w:t xml:space="preserve">4. Aktywizacja społeczna i zawodowa mieszkańców Wrocławia zagrożonych wykluczeniem społecznym oraz osób starszych </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lastRenderedPageBreak/>
              <w:t>55 000 000</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100%</w:t>
            </w:r>
          </w:p>
        </w:tc>
      </w:tr>
      <w:tr w:rsidR="008C7751" w:rsidRPr="00E00B35" w:rsidTr="008C7751">
        <w:trPr>
          <w:trHeight w:val="2676"/>
        </w:trPr>
        <w:tc>
          <w:tcPr>
            <w:tcW w:w="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lastRenderedPageBreak/>
              <w:t>12</w:t>
            </w:r>
          </w:p>
        </w:tc>
        <w:tc>
          <w:tcPr>
            <w:tcW w:w="24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Wzmocnienie wzrostu gospodarczego Dolnego Śląska poprzez rozwój potencjału turystycznego</w:t>
            </w:r>
          </w:p>
        </w:tc>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1. Budowa krytej pływalni oraz basenów zewnętrznych przy ul. Polnej 10 we Wrocławiu wraz z parkingiem, zjazdami z drogi publicznej, obsługą komunikacyjną, zagospodarowaniem terenu, infrastrukturą techniczną, rozbiórkami istniejących obiektów budowlanych</w:t>
            </w:r>
          </w:p>
          <w:p w:rsidR="008C7751" w:rsidRPr="00E00B35" w:rsidRDefault="008C7751" w:rsidP="00E00B35">
            <w:pPr>
              <w:spacing w:after="0" w:line="312" w:lineRule="auto"/>
              <w:rPr>
                <w:szCs w:val="20"/>
              </w:rPr>
            </w:pPr>
            <w:r w:rsidRPr="00E00B35">
              <w:rPr>
                <w:szCs w:val="20"/>
              </w:rPr>
              <w:br w:type="page"/>
            </w:r>
            <w:r w:rsidRPr="00E00B35">
              <w:rPr>
                <w:szCs w:val="20"/>
              </w:rPr>
              <w:br w:type="page"/>
              <w:t>2. Budowa krytej pływalni oraz basenów zewnętrznych przy ul. Wilanowskiej 31 we Wrocławiu wraz z parkingiem, zjazdami z drogi publicznej, obsługą komunikacyjną, zagospodarowaniem terenu, infrastrukturą techniczną, rozbiórkami istniejących obiektów budowlanych</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70 000 000</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70%</w:t>
            </w:r>
          </w:p>
        </w:tc>
      </w:tr>
      <w:tr w:rsidR="008C7751" w:rsidRPr="00E00B35" w:rsidTr="008C7751">
        <w:trPr>
          <w:trHeight w:val="1410"/>
        </w:trPr>
        <w:tc>
          <w:tcPr>
            <w:tcW w:w="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13</w:t>
            </w:r>
          </w:p>
        </w:tc>
        <w:tc>
          <w:tcPr>
            <w:tcW w:w="24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Wzmocnienie potencjału gospodarczego Wrocławia i Województwa Dolnośląskiego poprzez rozbudowę ZOO Wrocław.</w:t>
            </w:r>
          </w:p>
        </w:tc>
        <w:tc>
          <w:tcPr>
            <w:tcW w:w="32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C7751" w:rsidRPr="00E00B35" w:rsidRDefault="008C7751" w:rsidP="00E00B35">
            <w:pPr>
              <w:spacing w:after="0" w:line="312" w:lineRule="auto"/>
              <w:rPr>
                <w:szCs w:val="20"/>
              </w:rPr>
            </w:pPr>
            <w:r w:rsidRPr="00E00B35">
              <w:rPr>
                <w:szCs w:val="20"/>
              </w:rPr>
              <w:t>Wzmocnienie potencjału turystycznego Wrocławia i Województwa Dolnośląskiego poprzez budowę kompleksu hodowlano-ekspozycyjnego dla goryli nizinnych w ZOO Wrocław.</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180 000 000</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100%</w:t>
            </w:r>
          </w:p>
        </w:tc>
      </w:tr>
    </w:tbl>
    <w:p w:rsidR="008C7751" w:rsidRPr="00E00B35" w:rsidRDefault="008C7751" w:rsidP="00E00B35">
      <w:pPr>
        <w:spacing w:after="0" w:line="312" w:lineRule="auto"/>
        <w:rPr>
          <w:rFonts w:cs="Helv"/>
          <w:szCs w:val="20"/>
        </w:rPr>
      </w:pPr>
    </w:p>
    <w:p w:rsidR="008C7751" w:rsidRPr="00E00B35" w:rsidRDefault="008C7751" w:rsidP="00E00B35">
      <w:pPr>
        <w:spacing w:after="0" w:line="312" w:lineRule="auto"/>
        <w:rPr>
          <w:rFonts w:cs="Verdana"/>
          <w:szCs w:val="20"/>
        </w:rPr>
      </w:pPr>
      <w:r w:rsidRPr="00E00B35">
        <w:rPr>
          <w:szCs w:val="20"/>
        </w:rPr>
        <w:t xml:space="preserve">Ze względu na zbyt dużą liczbę propozycji spływającą do Ministerstwa Funduszy i Polityki Regionalnej, na prośbę Urzędu Marszałkowskiego konieczne było zredukowanie liczby pojedynczych propozycji. W etapie drugim przekazano do Urzędu Marszałkowskiego </w:t>
      </w:r>
      <w:r w:rsidRPr="00E00B35">
        <w:rPr>
          <w:szCs w:val="20"/>
        </w:rPr>
        <w:lastRenderedPageBreak/>
        <w:t xml:space="preserve">ostateczne propozycje fiszek, które stanowią ujęte tematycznie </w:t>
      </w:r>
      <w:r w:rsidRPr="00E00B35">
        <w:rPr>
          <w:b/>
          <w:szCs w:val="20"/>
        </w:rPr>
        <w:t>dwa</w:t>
      </w:r>
      <w:r w:rsidRPr="00E00B35">
        <w:rPr>
          <w:szCs w:val="20"/>
        </w:rPr>
        <w:t xml:space="preserve"> </w:t>
      </w:r>
      <w:r w:rsidRPr="00E00B35">
        <w:rPr>
          <w:b/>
          <w:szCs w:val="20"/>
        </w:rPr>
        <w:t xml:space="preserve">pakiety projektów. </w:t>
      </w:r>
      <w:r w:rsidRPr="00E00B35">
        <w:rPr>
          <w:szCs w:val="20"/>
        </w:rPr>
        <w:t>Pakiety wytypowano po wewnętrznych analizach, we współpracy z Departamentami UMW na podstawie kryteriów przekazanych przez Urząd Marszałkowski oraz Ministerstwo Funduszy i Polityki Regionalnej. Propozycje przekazane ostatecznie do Ministerstwa przedstawiono w tabeli poniżej.</w:t>
      </w:r>
    </w:p>
    <w:p w:rsidR="008C7751" w:rsidRPr="00E00B35" w:rsidRDefault="008C7751" w:rsidP="00E00B35">
      <w:pPr>
        <w:spacing w:after="0" w:line="312" w:lineRule="auto"/>
        <w:rPr>
          <w:rFonts w:cs="Helv"/>
          <w:szCs w:val="20"/>
        </w:rPr>
      </w:pPr>
    </w:p>
    <w:p w:rsidR="008C7751" w:rsidRPr="00E00B35" w:rsidRDefault="008C7751" w:rsidP="00E00B35">
      <w:pPr>
        <w:pStyle w:val="Nagwek4"/>
        <w:spacing w:before="0" w:after="0" w:line="312" w:lineRule="auto"/>
        <w:rPr>
          <w:sz w:val="20"/>
          <w:szCs w:val="20"/>
        </w:rPr>
      </w:pPr>
      <w:r w:rsidRPr="00E00B35">
        <w:rPr>
          <w:sz w:val="20"/>
          <w:szCs w:val="20"/>
        </w:rPr>
        <w:t>PROPOZYCJE PROJEKTÓW DO KRAJOWEGO PROGRAMU ODBUDOWY ZŁOŻONE DO URZĘDU MARSZAŁKOWSKIEGO WOJEWÓDZTWA DOLNOŚLĄSKIEGO – ETAP II</w:t>
      </w:r>
    </w:p>
    <w:tbl>
      <w:tblPr>
        <w:tblW w:w="9219" w:type="dxa"/>
        <w:tblLayout w:type="fixed"/>
        <w:tblCellMar>
          <w:left w:w="70" w:type="dxa"/>
          <w:right w:w="70" w:type="dxa"/>
        </w:tblCellMar>
        <w:tblLook w:val="04A0"/>
      </w:tblPr>
      <w:tblGrid>
        <w:gridCol w:w="431"/>
        <w:gridCol w:w="1559"/>
        <w:gridCol w:w="4394"/>
        <w:gridCol w:w="1418"/>
        <w:gridCol w:w="1417"/>
      </w:tblGrid>
      <w:tr w:rsidR="008C7751" w:rsidRPr="00E00B35" w:rsidTr="008C7751">
        <w:trPr>
          <w:trHeight w:val="851"/>
        </w:trPr>
        <w:tc>
          <w:tcPr>
            <w:tcW w:w="43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lp.</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Tytuł fiszki</w:t>
            </w:r>
          </w:p>
        </w:tc>
        <w:tc>
          <w:tcPr>
            <w:tcW w:w="4394"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Projekty w ramach fiszki</w:t>
            </w:r>
          </w:p>
        </w:tc>
        <w:tc>
          <w:tcPr>
            <w:tcW w:w="1418"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Szacunkowa wartość </w:t>
            </w:r>
            <w:r w:rsidRPr="00E00B35">
              <w:rPr>
                <w:szCs w:val="20"/>
              </w:rPr>
              <w:br/>
              <w:t>całkowita</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Proponowany poziom </w:t>
            </w:r>
            <w:r w:rsidRPr="00E00B35">
              <w:rPr>
                <w:szCs w:val="20"/>
              </w:rPr>
              <w:br/>
              <w:t>dofinansowania</w:t>
            </w:r>
          </w:p>
        </w:tc>
      </w:tr>
      <w:tr w:rsidR="008C7751" w:rsidRPr="00E00B35" w:rsidTr="008C7751">
        <w:trPr>
          <w:trHeight w:val="452"/>
        </w:trPr>
        <w:tc>
          <w:tcPr>
            <w:tcW w:w="431"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Wzmocnienie potencjału wzrostu regionu</w:t>
            </w:r>
            <w:r w:rsidRPr="00E00B35">
              <w:rPr>
                <w:szCs w:val="20"/>
              </w:rPr>
              <w:br/>
              <w:t>poprzez rozwój zrównoważonego transportu i likwidację niskiej emisji</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I.  Zapewnienie sprawnej i ekonomicznej komunikacji w regionie dzięki budowie Alei Wielkiej Wyspy ,w tym:</w:t>
            </w:r>
            <w:r w:rsidRPr="00E00B35">
              <w:rPr>
                <w:szCs w:val="20"/>
              </w:rPr>
              <w:br/>
              <w:t xml:space="preserve">1. Budowa Alei Wielkiej Wyspy </w:t>
            </w:r>
            <w:r w:rsidRPr="00E00B35">
              <w:rPr>
                <w:szCs w:val="20"/>
              </w:rPr>
              <w:br/>
              <w:t>II. Rozwój zrównoważonego transportu miejskiego dla Wrocławia i aglomeracji wrocławskiej, w tym:</w:t>
            </w:r>
            <w:r w:rsidRPr="00E00B35">
              <w:rPr>
                <w:szCs w:val="20"/>
              </w:rPr>
              <w:br/>
              <w:t>1. Budowa wydzielonej trasy komunikacji zbiorowej na osiedle Maślice.</w:t>
            </w:r>
            <w:r w:rsidRPr="00E00B35">
              <w:rPr>
                <w:szCs w:val="20"/>
              </w:rPr>
              <w:br/>
              <w:t>2. Budowa wydzielonej trasy komunikacji zbiorowej na osiedle Jagodno.</w:t>
            </w:r>
            <w:r w:rsidRPr="00E00B35">
              <w:rPr>
                <w:szCs w:val="20"/>
              </w:rPr>
              <w:br/>
              <w:t>3. Budowa wydzielonej trasy tramwajowo-autobusowej na osiedle Swojczyce wraz z budową Mostów Chrobrego.</w:t>
            </w:r>
            <w:r w:rsidRPr="00E00B35">
              <w:rPr>
                <w:szCs w:val="20"/>
              </w:rPr>
              <w:br/>
              <w:t>4. Rozbudowa floty transportu nisko – i zero emisyjnego (zadanie realizowane przez MPK Sp. z o.o.).</w:t>
            </w:r>
            <w:r w:rsidRPr="00E00B35">
              <w:rPr>
                <w:szCs w:val="20"/>
              </w:rPr>
              <w:br/>
              <w:t>5. Spójna sieć tras rowerowych we Wrocławiu dla mieszkańców miasta i aglomeracji.</w:t>
            </w:r>
            <w:r w:rsidRPr="00E00B35">
              <w:rPr>
                <w:szCs w:val="20"/>
              </w:rPr>
              <w:br/>
              <w:t>III.  Kompleksowa termomodernizacja oraz wymiana węglowych źródeł ogrzewania w budynkach wielorodzinnych na terenie Gminy Wrocław, w tym:</w:t>
            </w:r>
            <w:r w:rsidRPr="00E00B35">
              <w:rPr>
                <w:szCs w:val="20"/>
              </w:rPr>
              <w:br/>
              <w:t xml:space="preserve">1. Kompleksowa termomodernizacja wraz z wymianą węglowych źródeł ogrzewania w budynkach wielorodzinnych, w komunalnym zasobie mieszkaniowym Gminy Wrocław. </w:t>
            </w:r>
            <w:r w:rsidRPr="00E00B35">
              <w:rPr>
                <w:szCs w:val="20"/>
              </w:rPr>
              <w:br/>
            </w:r>
            <w:r w:rsidRPr="00E00B35">
              <w:rPr>
                <w:szCs w:val="20"/>
              </w:rPr>
              <w:lastRenderedPageBreak/>
              <w:t>2. Termomodernizacja zasobu TBS Wrocław – 18 budynków.</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1 715 700 000</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95%</w:t>
            </w:r>
          </w:p>
        </w:tc>
      </w:tr>
      <w:tr w:rsidR="008C7751" w:rsidRPr="00E00B35" w:rsidTr="008C7751">
        <w:trPr>
          <w:trHeight w:val="4986"/>
        </w:trPr>
        <w:tc>
          <w:tcPr>
            <w:tcW w:w="43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439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r>
      <w:tr w:rsidR="008C7751" w:rsidRPr="00E00B35" w:rsidTr="008C7751">
        <w:trPr>
          <w:trHeight w:val="708"/>
        </w:trPr>
        <w:tc>
          <w:tcPr>
            <w:tcW w:w="431" w:type="dxa"/>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2</w:t>
            </w:r>
          </w:p>
        </w:tc>
        <w:tc>
          <w:tcPr>
            <w:tcW w:w="1559" w:type="dxa"/>
            <w:tcBorders>
              <w:top w:val="single" w:sz="4" w:space="0" w:color="auto"/>
              <w:left w:val="single" w:sz="4" w:space="0" w:color="auto"/>
              <w:bottom w:val="single" w:sz="4" w:space="0" w:color="000000"/>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Wzmocnienie kapitału ludzkiego  i rozbudowa infrastruktury w obliczu zagrożenia pandemicznego</w:t>
            </w:r>
          </w:p>
        </w:tc>
        <w:tc>
          <w:tcPr>
            <w:tcW w:w="4394" w:type="dxa"/>
            <w:tcBorders>
              <w:top w:val="single" w:sz="4" w:space="0" w:color="auto"/>
              <w:left w:val="single" w:sz="4" w:space="0" w:color="auto"/>
              <w:bottom w:val="single" w:sz="4" w:space="0" w:color="000000"/>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I.  Zwiększenie uczestnictwa w rynku pracy i poziomu aktywności zawodowej mieszkańców  poprzez zapewnienie zaplecza edukacyjnego i opieki nad dziećmi, w tym:</w:t>
            </w:r>
            <w:r w:rsidRPr="00E00B35">
              <w:rPr>
                <w:szCs w:val="20"/>
              </w:rPr>
              <w:br/>
              <w:t xml:space="preserve">1. Budowa nowego żłobka we Wrocławiu przy ul. Sołtysowickiej - placówki opieki nad dziećmi do lat 3 wraz z biblioteką i centrum aktywności lokalnej.  </w:t>
            </w:r>
            <w:r w:rsidRPr="00E00B35">
              <w:rPr>
                <w:szCs w:val="20"/>
              </w:rPr>
              <w:br/>
              <w:t xml:space="preserve">2. Budowa Zespołu Szkolno-Przedszkolnego wraz z zagospodarowaniem działki szkolnej przy ul. Cynamonowej we Wrocławiu wraz z infrastrukturą towarzyszącą umożliwiającą dojazd do szkoły. </w:t>
            </w:r>
            <w:r w:rsidRPr="00E00B35">
              <w:rPr>
                <w:szCs w:val="20"/>
              </w:rPr>
              <w:br/>
              <w:t xml:space="preserve">3. Budowa Zespołu Szkolno-Przedszkolnego wraz z zagospodarowaniem działki szkolnej przy ul. Asfaltowej we Wrocławiu wraz z infrastrukturą towarzyszącą udostępniającą umożliwiającą dojazd do szkoły. </w:t>
            </w:r>
            <w:r w:rsidRPr="00E00B35">
              <w:rPr>
                <w:szCs w:val="20"/>
              </w:rPr>
              <w:br/>
              <w:t xml:space="preserve">4. Budowa przedszkola wraz z infrastrukturą towarzyszącą i zagospodarowaniem terenu przy ul. Dębickiej we Wrocławiu. </w:t>
            </w:r>
            <w:r w:rsidRPr="00E00B35">
              <w:rPr>
                <w:szCs w:val="20"/>
              </w:rPr>
              <w:br/>
              <w:t xml:space="preserve">II. Wzmacnianie kapitału ludzkiego </w:t>
            </w:r>
            <w:r w:rsidRPr="00E00B35">
              <w:rPr>
                <w:szCs w:val="20"/>
              </w:rPr>
              <w:lastRenderedPageBreak/>
              <w:t>Wrocławia i regionu w obliczu sytuacji kryzysowej i zagrożenia pandemicznego, w tym:</w:t>
            </w:r>
            <w:r w:rsidRPr="00E00B35">
              <w:rPr>
                <w:szCs w:val="20"/>
              </w:rPr>
              <w:br/>
              <w:t>1. Kompleksowe wsparcie zdolności adaptacyjnych dla wrocławskich przedszkoli, szkół podstawowych i ponadpodstawowych.</w:t>
            </w:r>
            <w:r w:rsidRPr="00E00B35">
              <w:rPr>
                <w:szCs w:val="20"/>
              </w:rPr>
              <w:br/>
              <w:t xml:space="preserve">2. Podnoszenie kompetencji osobistych i zawodowych pracowników z zasobów Gminy Wrocław oraz pracowników i wolontariuszy wrocławskich organizacji pozarządowych. </w:t>
            </w:r>
            <w:r w:rsidRPr="00E00B35">
              <w:rPr>
                <w:szCs w:val="20"/>
              </w:rPr>
              <w:br/>
              <w:t xml:space="preserve">3. Podnoszenie kompetencji zawodowych mieszkańców Wrocławia i regionu niezbędnych na regionalnym rynku pracy. </w:t>
            </w:r>
            <w:r w:rsidRPr="00E00B35">
              <w:rPr>
                <w:szCs w:val="20"/>
              </w:rPr>
              <w:br/>
              <w:t xml:space="preserve">4. Aktywizacja społeczna i zawodowa mieszkańców Wrocławia zagrożonych wykluczeniem społecznym oraz osób starszych. </w:t>
            </w:r>
          </w:p>
        </w:tc>
        <w:tc>
          <w:tcPr>
            <w:tcW w:w="1418" w:type="dxa"/>
            <w:tcBorders>
              <w:top w:val="single" w:sz="4" w:space="0" w:color="auto"/>
              <w:left w:val="single" w:sz="4" w:space="0" w:color="auto"/>
              <w:bottom w:val="single" w:sz="4" w:space="0" w:color="000000"/>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240 682 329</w:t>
            </w:r>
          </w:p>
        </w:tc>
        <w:tc>
          <w:tcPr>
            <w:tcW w:w="1417" w:type="dxa"/>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95%</w:t>
            </w:r>
          </w:p>
        </w:tc>
      </w:tr>
    </w:tbl>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PROJEKTY INFRASTRUKTURALNE MONITOROWANE W 2020 ROKU</w:t>
      </w:r>
    </w:p>
    <w:p w:rsidR="008C7751" w:rsidRPr="00E00B35" w:rsidRDefault="008C7751" w:rsidP="00E00B35">
      <w:pPr>
        <w:spacing w:after="0" w:line="312" w:lineRule="auto"/>
        <w:rPr>
          <w:szCs w:val="20"/>
        </w:rPr>
      </w:pPr>
      <w:r w:rsidRPr="00E00B35">
        <w:rPr>
          <w:szCs w:val="20"/>
        </w:rPr>
        <w:t xml:space="preserve">W 2020 roku złożono wnioski o dofinansowanie </w:t>
      </w:r>
      <w:r w:rsidRPr="00E00B35">
        <w:rPr>
          <w:b/>
          <w:color w:val="000000"/>
          <w:szCs w:val="20"/>
        </w:rPr>
        <w:t>4</w:t>
      </w:r>
      <w:r w:rsidRPr="00E00B35">
        <w:rPr>
          <w:szCs w:val="20"/>
        </w:rPr>
        <w:t xml:space="preserve"> projektów na łączną kwotę dofinansowania </w:t>
      </w:r>
      <w:r w:rsidRPr="00E00B35">
        <w:rPr>
          <w:b/>
          <w:color w:val="000000"/>
          <w:szCs w:val="20"/>
        </w:rPr>
        <w:t>11 373 189,39 zł</w:t>
      </w:r>
      <w:r w:rsidRPr="00E00B35">
        <w:rPr>
          <w:b/>
          <w:szCs w:val="20"/>
        </w:rPr>
        <w:t xml:space="preserve">. </w:t>
      </w:r>
      <w:r w:rsidRPr="00E00B35">
        <w:rPr>
          <w:szCs w:val="20"/>
        </w:rPr>
        <w:t xml:space="preserve">W tym samym okresie podpisano umowy o dofinansowanie dla </w:t>
      </w:r>
      <w:r w:rsidRPr="00E00B35">
        <w:rPr>
          <w:b/>
          <w:color w:val="000000"/>
          <w:szCs w:val="20"/>
        </w:rPr>
        <w:t>4</w:t>
      </w:r>
      <w:r w:rsidRPr="00E00B35">
        <w:rPr>
          <w:szCs w:val="20"/>
        </w:rPr>
        <w:t xml:space="preserve"> projektów na łączną kwotę dofinansowania </w:t>
      </w:r>
      <w:r w:rsidRPr="00E00B35">
        <w:rPr>
          <w:b/>
          <w:color w:val="000000"/>
          <w:szCs w:val="20"/>
        </w:rPr>
        <w:t>34 966 380,97 zł.</w:t>
      </w:r>
      <w:r w:rsidRPr="00E00B35">
        <w:rPr>
          <w:szCs w:val="20"/>
        </w:rPr>
        <w:t xml:space="preserve"> Nadzorowano realizację łącznie </w:t>
      </w:r>
      <w:r w:rsidRPr="00E00B35">
        <w:rPr>
          <w:b/>
          <w:szCs w:val="20"/>
        </w:rPr>
        <w:t>78</w:t>
      </w:r>
      <w:r w:rsidRPr="00E00B35">
        <w:rPr>
          <w:szCs w:val="20"/>
        </w:rPr>
        <w:t xml:space="preserve"> projektów pod kątem wypełniania zapisów umów o dofinansowanie (w tym projektów w okresie trwałości oraz projektów wobec których wszczynano kontrole). W roku 2020, podobnie jak w latach poprzednich, monitorowano projekty, które przeszły w tzw. okres trwałości. Zgodnie z umowami o dofinansowanie, trwałość projektów analizowana jest przez 5 lat od dnia od dnia dokonania płatności końcowej na rzecz Beneficjenta. Nieutrzymanie projektu w trwałości wiąże się z koniecznością zwrotu dofinansowania. Prace w okresie trwałości polegają m.in. na przedkładaniu dokumentów do Instytucji wymaganych umową o dofinansowanie, jak np. Oświadczeń o kwalifikowalności podatku VAT, informacji o generowaniu/niegenerowaniu dochodu, monitorowaniu rzeczowego zakresu projektu przeprowadzaniu analiz dotyczących możliwych do dokonania zmian, jak również informowaniu Instytucji o wszelkich modyfikacjach w projekcie. </w:t>
      </w:r>
    </w:p>
    <w:p w:rsidR="008C7751" w:rsidRPr="00E00B35" w:rsidRDefault="008C7751" w:rsidP="00E00B35">
      <w:pPr>
        <w:spacing w:after="0" w:line="312" w:lineRule="auto"/>
        <w:rPr>
          <w:szCs w:val="20"/>
        </w:rPr>
      </w:pPr>
      <w:r w:rsidRPr="00E00B35">
        <w:rPr>
          <w:szCs w:val="20"/>
        </w:rPr>
        <w:t xml:space="preserve">W drugiej połowie 2020 r. trwały także intensywne przygotowania do aplikacji projektów w ramach działania 2.1.2 RPO WD 2014-2020 E-usługi publiczne – ZIT WrOF. W wyniku tych prac w grudniu 2020 r.  zaaplikowano projekt pn. „Zintegrowany System Kolejkowy do obsługi klientów Miasta Wrocławia”, a 4 kolejne projekty zaaplikowano na początku stycznia 2021 r.: „Budowa systemu do zarządzania zasobem zieleni miejskiej we Wrocławiu: e-platforma Zieleń we Wrocławiu - etap 1”, „System transformacji cyfrowej i procesowej w Departamencie Strategii i Rozwoju Miasta Urzędu Miejskiego Wrocławia”, </w:t>
      </w:r>
      <w:r w:rsidRPr="00E00B35">
        <w:rPr>
          <w:szCs w:val="20"/>
        </w:rPr>
        <w:lastRenderedPageBreak/>
        <w:t xml:space="preserve">„Zintegrowany system do obsługi gospodarki odpadami komunalnymi we Wrocławiu”, „System Koordynacji Działań Straży Miejskiej Wrocławia”. </w:t>
      </w:r>
    </w:p>
    <w:p w:rsidR="005E1BE7" w:rsidRPr="00E00B35" w:rsidRDefault="005E1BE7" w:rsidP="00E00B35">
      <w:pPr>
        <w:pStyle w:val="Nagwek3"/>
        <w:spacing w:after="0" w:line="312" w:lineRule="auto"/>
        <w:rPr>
          <w:sz w:val="20"/>
          <w:lang w:val="pl-PL"/>
        </w:rPr>
      </w:pPr>
    </w:p>
    <w:p w:rsidR="008C7751" w:rsidRPr="00E00B35" w:rsidRDefault="008C7751" w:rsidP="00E00B35">
      <w:pPr>
        <w:pStyle w:val="Nagwek4"/>
        <w:spacing w:before="0" w:after="0" w:line="312" w:lineRule="auto"/>
        <w:rPr>
          <w:sz w:val="20"/>
          <w:szCs w:val="20"/>
        </w:rPr>
      </w:pPr>
      <w:r w:rsidRPr="00E00B35">
        <w:rPr>
          <w:sz w:val="20"/>
          <w:szCs w:val="20"/>
        </w:rPr>
        <w:t>PROJEKTY INFRASTRUKTURALNE MONITOROWANE W 2020 ROKU, KTÓRYCH BENEFICJENTEM JEST GMINA WROCŁAW – PROGRAMY EUROPEJSKIE</w:t>
      </w:r>
    </w:p>
    <w:tbl>
      <w:tblPr>
        <w:tblW w:w="9220" w:type="dxa"/>
        <w:tblLayout w:type="fixed"/>
        <w:tblCellMar>
          <w:left w:w="70" w:type="dxa"/>
          <w:right w:w="70" w:type="dxa"/>
        </w:tblCellMar>
        <w:tblLook w:val="04A0"/>
      </w:tblPr>
      <w:tblGrid>
        <w:gridCol w:w="470"/>
        <w:gridCol w:w="1945"/>
        <w:gridCol w:w="992"/>
        <w:gridCol w:w="1843"/>
        <w:gridCol w:w="1843"/>
        <w:gridCol w:w="709"/>
        <w:gridCol w:w="1418"/>
      </w:tblGrid>
      <w:tr w:rsidR="008C7751" w:rsidRPr="00E00B35" w:rsidTr="008C7751">
        <w:trPr>
          <w:trHeight w:val="889"/>
        </w:trPr>
        <w:tc>
          <w:tcPr>
            <w:tcW w:w="4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Lp.</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Tytuł projektu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Lata realizacji</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Aktualna wartość dofinansowania (zł)</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Aktualna wartość całkowita projektu (zł)</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Program</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Obszar</w:t>
            </w:r>
          </w:p>
        </w:tc>
      </w:tr>
      <w:tr w:rsidR="008C7751" w:rsidRPr="00E00B35" w:rsidTr="008C7751">
        <w:trPr>
          <w:trHeight w:val="627"/>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 Kąty na Trójkącie</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2017-2019</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2 238 281,70</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2 486 979,67</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PO PT 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693"/>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Zagospodarowanie wnętrz podwórzowych w obrębie ulic: Kniaziewicza, Dąbrowskiego, Komuny Paryskiej, Pułaskiego oraz Świstackiego, Więckowskiego, Kościuszki, Brzeskiej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2018-2019</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2 064 090,77</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2 372 066,45</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418"/>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Zagospodarowanie wnętrz podwórzowych w obrębie ulic: Pułaskiego, Kościuszki, Prądzyńskiego oraz Traugutta, Komuny Paryskiej, Prądzyńskiego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2018-2019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2 826 941,15</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3 056 515,13</w:t>
            </w:r>
          </w:p>
        </w:tc>
        <w:tc>
          <w:tcPr>
            <w:tcW w:w="709" w:type="dxa"/>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113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4</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Zagospodarowanie wnętrz podwórzowych w obrębie ulic Łokietka, pl. św. Macieja, Pobożnego, Niemcewicza, Jedności Narodowej, Drobnera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3 651 636,43</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4 462 802,35</w:t>
            </w:r>
          </w:p>
        </w:tc>
        <w:tc>
          <w:tcPr>
            <w:tcW w:w="709" w:type="dxa"/>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113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5</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Utworzenie wielofunkcyjnych miejsc aktywności społeczności lokalnej na Przedmieściu Oławskim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2018-2019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4 184 513,33</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6 550 744,37</w:t>
            </w:r>
          </w:p>
        </w:tc>
        <w:tc>
          <w:tcPr>
            <w:tcW w:w="709" w:type="dxa"/>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113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6</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Program udostępniania lokali gminnych na Przedmieściu Oławskim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1 168 693,90</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2 114 944,63</w:t>
            </w:r>
          </w:p>
        </w:tc>
        <w:tc>
          <w:tcPr>
            <w:tcW w:w="709" w:type="dxa"/>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1108"/>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7</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Program zagospodarowania terenów nabrzeży rzeki Oławy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2018-2019</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6 489 196,00</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9 552 180,27</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967"/>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8</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Wykonanie prac remontowych wybranych nieruchomości przy ul. Komuny Paryskiej, T. Kościuszki, I. Prądzyńskiego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2018-2021</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3 843 256,90</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4 777 598,67</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1123"/>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9</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Wykonanie prac remontowych i termomodernizacyjnych nieruchomości przy ul. Mierniczej 10, 18, 24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5 255 126,29</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9 077 771,37</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1125"/>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10</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Dziedziniec Artystyczny - adaptacja budynków oficynowych i wnętrza podwórzowego przy ul. Rydygiera 25a we Wrocławiu na otwarte pracownie artystyczne</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2013-2014</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359 755,27</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1 453 059,35</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 2007-2013</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1113"/>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11</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Kompleksowe zagospodarowanie wnętrza podwórzowego w obrębie ulic: Dubois, Kurkowej, Otwartej, Pomorskiej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2013-2014</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1 279 537,28</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2 888 179,79</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 2007-2013</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1129"/>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12</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Renowacja neoklasycystycznego budynku Urzędu Miejskiego Wrocławia znajdującego się we Wrocławiu przy pl. Nowy Targ 1/8</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2007-2014</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4 933 813,94</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8 874 454,61</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 2007-2013</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1129"/>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13</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Rewitalizacja kamienic komunalnych położonych przy ul. Chrobrego 34A,  Niemcewicza 34,  Rydygiera 43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2013-2015</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813 039,97</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2 861 938,60</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 2007-2013</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Rewitalizacja</w:t>
            </w:r>
          </w:p>
        </w:tc>
      </w:tr>
      <w:tr w:rsidR="008C7751" w:rsidRPr="00E00B35" w:rsidTr="008C7751">
        <w:trPr>
          <w:trHeight w:val="1129"/>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14</w:t>
            </w:r>
          </w:p>
        </w:tc>
        <w:tc>
          <w:tcPr>
            <w:tcW w:w="19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budynku przy ul. Zwycięskiej we Wrocławiu na potrzeby Przedszkola nr 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2016-2020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2 455 190,54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6 164 001,00</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9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15</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Rozbudowa Przedszkola nr 10 o nowy budynek przy ul. Piotrkowskiej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2015-2017</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3 790 956,13</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6 273 973,17</w:t>
            </w:r>
          </w:p>
        </w:tc>
        <w:tc>
          <w:tcPr>
            <w:tcW w:w="709" w:type="dxa"/>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925"/>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16</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Rozbudowa Przedszkola w Zespole Szkolno-Przedszkolnym nr 12 przy ul. Suwalskiej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2015-2017</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2 467 906,71</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7 832 044,92</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26"/>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17</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Budowa szkoły podstawowej w ramach Zespołu Szkolno-Przedszkolnego na osiedlu Stabłowice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2016-2017</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6 586 652,98</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22 472 714,17</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26"/>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18</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Wyposażenie wrocławskich szkół w pracownie przedmiotowe</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2016-2018</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1 910 524,64</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3 476 841,92</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26"/>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19</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Wyposażenie w nowoczesny sprzęt i materiały dydaktyczne pracowni fizycznej i biologicznej w LO nr III</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2017-2018</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463 540,45</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545 341,71</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26"/>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20</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Wyposażenie pracowni w Liceum Ogólnokształcącym nr V we Wrocławiu </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2017-2018</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2 239 440,29</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2 811 611,14</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20"/>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21</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Poprawa jakości kształcenia w LO nr XV we Wrocławiu poprzez zakup wyposażenia pracowni fizycznej i 4 pracowni cyfrowych</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2017-2018</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475 094,62</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558 934,85</w:t>
            </w:r>
          </w:p>
        </w:tc>
        <w:tc>
          <w:tcPr>
            <w:tcW w:w="709"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573"/>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22</w:t>
            </w:r>
          </w:p>
        </w:tc>
        <w:tc>
          <w:tcPr>
            <w:tcW w:w="19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budynku B wraz z wyposażeniem w Centrum Kształcenia Praktycznego przy ul. Strzegomskiej 49a we Wrocławiu</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3 180 521,04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3 741 789,45</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0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23</w:t>
            </w:r>
          </w:p>
        </w:tc>
        <w:tc>
          <w:tcPr>
            <w:tcW w:w="19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Budowa hali pod samochód ciężarowy na potrzeby kształcenia praktycznego w Zespole Szkół nr 2 przy ul. Borowskiej nr </w:t>
            </w:r>
            <w:r w:rsidRPr="00E00B35">
              <w:rPr>
                <w:szCs w:val="20"/>
              </w:rPr>
              <w:lastRenderedPageBreak/>
              <w:t>105 we Wrocławiu</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2017-2019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1 799 774,04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2 675 611,73</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0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24</w:t>
            </w:r>
          </w:p>
        </w:tc>
        <w:tc>
          <w:tcPr>
            <w:tcW w:w="19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Poprawa warunków kształcenia w wybranych wrocławskich szkołach ponadpodstawowych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2 616 901,59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3 078 707,75</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0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25</w:t>
            </w:r>
          </w:p>
        </w:tc>
        <w:tc>
          <w:tcPr>
            <w:tcW w:w="19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Inwestycje w edukację ponadpodstawową w wybranych placówkach na terenie Wrocławia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2 392 888,55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2 815 163,00</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331"/>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26</w:t>
            </w:r>
          </w:p>
        </w:tc>
        <w:tc>
          <w:tcPr>
            <w:tcW w:w="19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budynku Liceum Ogólnokształcącego nr 11 przy ul. Spółdzielczej we Wrocławiu</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2012-2015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1 126 480,21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3 656 729,25</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 2007-2013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0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27</w:t>
            </w:r>
          </w:p>
        </w:tc>
        <w:tc>
          <w:tcPr>
            <w:tcW w:w="19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Zdalna Szkoła - wsparcie Ogólnopolskiej Sieci Edukacyjnej w systemie kształcenia zdalnego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99 999,90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99 999,90</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 xml:space="preserve">PO PC </w:t>
            </w:r>
            <w:r w:rsidRPr="00E00B35">
              <w:rPr>
                <w:szCs w:val="20"/>
              </w:rPr>
              <w:br/>
              <w:t>2014-2020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Informatyka</w:t>
            </w:r>
          </w:p>
        </w:tc>
      </w:tr>
      <w:tr w:rsidR="008C7751" w:rsidRPr="00E00B35" w:rsidTr="008C7751">
        <w:trPr>
          <w:trHeight w:val="80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28</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Zdalna Szkoła+ w ramach Ogólnopolskiej Sieci Edukacyjnej</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165 000,00</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165 000,00</w:t>
            </w:r>
          </w:p>
        </w:tc>
        <w:tc>
          <w:tcPr>
            <w:tcW w:w="709" w:type="dxa"/>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 xml:space="preserve">PO PC </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Informatyka</w:t>
            </w:r>
          </w:p>
        </w:tc>
      </w:tr>
      <w:tr w:rsidR="008C7751" w:rsidRPr="00E00B35" w:rsidTr="008C7751">
        <w:trPr>
          <w:trHeight w:val="770"/>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29</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Zintegrowany System Kolejkowy do obsługi klientów Miasta Wrocławia</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329 313,02</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499 155,00</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Informatyka</w:t>
            </w:r>
          </w:p>
        </w:tc>
      </w:tr>
      <w:tr w:rsidR="008C7751" w:rsidRPr="00E00B35" w:rsidTr="008C7751">
        <w:trPr>
          <w:trHeight w:val="1522"/>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30</w:t>
            </w:r>
          </w:p>
        </w:tc>
        <w:tc>
          <w:tcPr>
            <w:tcW w:w="19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Podniesienie dostępności e-usług danych przestrzennych państwowego zasobu geodezyjnego i kartograficznego we Wrocławiu</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3 400 000,00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4 000 000,00</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Informatyka</w:t>
            </w:r>
          </w:p>
        </w:tc>
      </w:tr>
      <w:tr w:rsidR="008C7751" w:rsidRPr="00E00B35" w:rsidTr="008C7751">
        <w:trPr>
          <w:trHeight w:val="91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31</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System wspierający windykacje w Gminie Wrocław</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2016-2018</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719 915,54</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935 596,29</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Informatyka</w:t>
            </w:r>
          </w:p>
        </w:tc>
      </w:tr>
      <w:tr w:rsidR="008C7751" w:rsidRPr="00E00B35" w:rsidTr="008C7751">
        <w:trPr>
          <w:trHeight w:val="987"/>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32</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System Gospodarowania Nieruchomościami w Gminie Wrocław</w:t>
            </w:r>
          </w:p>
        </w:tc>
        <w:tc>
          <w:tcPr>
            <w:tcW w:w="992"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2015-2017</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796 874,65</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1 027 179,08</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Informatyka</w:t>
            </w:r>
          </w:p>
        </w:tc>
      </w:tr>
      <w:tr w:rsidR="008C7751" w:rsidRPr="00E00B35" w:rsidTr="008C7751">
        <w:trPr>
          <w:trHeight w:val="737"/>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33</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Open Data Wrocław</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2016-2017</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391 258,21</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479 983,77</w:t>
            </w:r>
          </w:p>
        </w:tc>
        <w:tc>
          <w:tcPr>
            <w:tcW w:w="709" w:type="dxa"/>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Informatyka</w:t>
            </w:r>
          </w:p>
        </w:tc>
      </w:tr>
      <w:tr w:rsidR="008C7751" w:rsidRPr="00E00B35" w:rsidTr="008C7751">
        <w:trPr>
          <w:trHeight w:val="703"/>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34</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ul. Buforowej w ciągu drogi wojewódzkiej nr 395 we Wrocławiu - etap I</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2016-2020</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59 170 871,72</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89 651 927,06</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Drogi</w:t>
            </w:r>
          </w:p>
        </w:tc>
      </w:tr>
      <w:tr w:rsidR="008C7751" w:rsidRPr="00E00B35" w:rsidTr="008C7751">
        <w:trPr>
          <w:trHeight w:val="840"/>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35</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Budowa Osi Zachodniej we Wrocławiu w ciągu drogi krajowej nr 94</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2015-2023</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233 390 021,24</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380 996 141,75</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Drogi</w:t>
            </w:r>
          </w:p>
        </w:tc>
      </w:tr>
      <w:tr w:rsidR="008C7751" w:rsidRPr="00E00B35" w:rsidTr="008C7751">
        <w:trPr>
          <w:trHeight w:val="706"/>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36</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ul. Bardzkiej w ciągu drogi wojewódzkiej nr 395 we Wrocławiu -</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2008-2013</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26 822 852,47</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115 532 295,65</w:t>
            </w:r>
          </w:p>
        </w:tc>
        <w:tc>
          <w:tcPr>
            <w:tcW w:w="709"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2007-2013</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Drogi</w:t>
            </w:r>
          </w:p>
        </w:tc>
      </w:tr>
      <w:tr w:rsidR="008C7751" w:rsidRPr="00E00B35" w:rsidTr="008C7751">
        <w:trPr>
          <w:trHeight w:val="989"/>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37</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Budowa połączenia Obwodnicy Śródmiejskiej z Portem Lotniczym we Wrocławiu - etap I </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2007-2014</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11 463 361,05</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46 409 181,34</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 2007-2013</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Drogi</w:t>
            </w:r>
          </w:p>
        </w:tc>
      </w:tr>
      <w:tr w:rsidR="008C7751" w:rsidRPr="00E00B35" w:rsidTr="008C7751">
        <w:trPr>
          <w:trHeight w:val="1117"/>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38</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Budowa połączenia Obwodnicy Śródmiejskiej z Portem Lotniczym we Wrocławiu - etap II</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2009-2011</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17 188 553,44</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46 625 097,76</w:t>
            </w:r>
          </w:p>
        </w:tc>
        <w:tc>
          <w:tcPr>
            <w:tcW w:w="709"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2007-2013</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Drogi</w:t>
            </w:r>
          </w:p>
        </w:tc>
      </w:tr>
      <w:tr w:rsidR="008C7751" w:rsidRPr="00E00B35" w:rsidTr="008C7751">
        <w:trPr>
          <w:trHeight w:val="1212"/>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39</w:t>
            </w:r>
          </w:p>
        </w:tc>
        <w:tc>
          <w:tcPr>
            <w:tcW w:w="19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ulicy Lotniczej w ciągu drogi krajowej nr 94 we Wrocławiu - etap II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2008-2016</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53 262 341,65</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86 953 312,48</w:t>
            </w:r>
          </w:p>
        </w:tc>
        <w:tc>
          <w:tcPr>
            <w:tcW w:w="709"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2007-2013</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Drogi</w:t>
            </w:r>
          </w:p>
        </w:tc>
      </w:tr>
      <w:tr w:rsidR="008C7751" w:rsidRPr="00E00B35" w:rsidTr="008C7751">
        <w:trPr>
          <w:trHeight w:val="700"/>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40</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ulic w ciągu drogi wojewódzkiej nr 342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19 924 416,77</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60 387 575,25</w:t>
            </w:r>
          </w:p>
        </w:tc>
        <w:tc>
          <w:tcPr>
            <w:tcW w:w="709" w:type="dxa"/>
            <w:tcBorders>
              <w:top w:val="single" w:sz="4" w:space="0" w:color="auto"/>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Drogi</w:t>
            </w:r>
          </w:p>
        </w:tc>
      </w:tr>
      <w:tr w:rsidR="008C7751" w:rsidRPr="00E00B35" w:rsidTr="008C7751">
        <w:trPr>
          <w:trHeight w:val="616"/>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41</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Kompleksowa termomodernizacja wybranych wielorodzinnych budynków mieszkalnych przy ul. Wyszyńskiego i ul. Kurkowej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2016-2018</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6 567 614,48</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13 333 376,64</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788"/>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42</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Kompleksowa termomodernizacja wybranych wielorodzinnych budynków mieszkalnych przy ul. Biskupa </w:t>
            </w:r>
            <w:r w:rsidRPr="00E00B35">
              <w:rPr>
                <w:szCs w:val="20"/>
              </w:rPr>
              <w:lastRenderedPageBreak/>
              <w:t>Tomasza I i ul. Mieleckiej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2017-2018</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3 556 210,53</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6 623 877,26</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1743"/>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43</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Kompleksowa termomodernizacja wybranych kamienic przy ul. Brzeskiej, ul. S. Chudoby i ul. I. Prądzyńskiego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2016-2018</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6 756 278,75</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8 458 066,60</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765"/>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44</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Kompleksowa modernizacja budynku użyteczności publicznej zlokalizowanego przy ul. Hubskiej 8-16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2017-2019</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8 935 838,81</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15 170 563,89</w:t>
            </w:r>
          </w:p>
        </w:tc>
        <w:tc>
          <w:tcPr>
            <w:tcW w:w="70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767"/>
        </w:trPr>
        <w:tc>
          <w:tcPr>
            <w:tcW w:w="470"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45</w:t>
            </w:r>
          </w:p>
        </w:tc>
        <w:tc>
          <w:tcPr>
            <w:tcW w:w="194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Termomodernizacja obiektów oświatowych: Gimnazjum nr 7, Gimnazjum nr 14, Szkoła Podstawowa nr 82 we Wrocławiu</w:t>
            </w:r>
          </w:p>
        </w:tc>
        <w:tc>
          <w:tcPr>
            <w:tcW w:w="992"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2016-2017</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4 464 490,60</w:t>
            </w:r>
          </w:p>
        </w:tc>
        <w:tc>
          <w:tcPr>
            <w:tcW w:w="1843"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5 616 749,83</w:t>
            </w:r>
          </w:p>
        </w:tc>
        <w:tc>
          <w:tcPr>
            <w:tcW w:w="709"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nil"/>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168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46</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Termomodernizacja obiektów oświatowych: Gimnazjum nr 3, Zespół Szkolno-Przedszkolny nr 14 (SP 24), Zespół Szkolno-Przedszkolny nr 1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2016-2018</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5 363 205,82</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12 716 533,03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Termomodernizacja</w:t>
            </w:r>
          </w:p>
        </w:tc>
      </w:tr>
      <w:tr w:rsidR="008C7751" w:rsidRPr="00E00B35" w:rsidTr="008C7751">
        <w:trPr>
          <w:trHeight w:val="987"/>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47</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Rewitalizacja kościółka p.w. św. Jana Nepomucena wraz z </w:t>
            </w:r>
            <w:r w:rsidRPr="00E00B35">
              <w:rPr>
                <w:szCs w:val="20"/>
              </w:rPr>
              <w:lastRenderedPageBreak/>
              <w:t>zagospodarowaniem przylegającego terenu w Parku Szczytnickim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2014-2018</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1 375 652,42</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2 362 639,47</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Kultura</w:t>
            </w:r>
          </w:p>
        </w:tc>
      </w:tr>
      <w:tr w:rsidR="008C7751" w:rsidRPr="00E00B35" w:rsidTr="008C7751">
        <w:trPr>
          <w:trHeight w:val="155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48</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Rozwój turystyki aktywnej i rekreacji poprzez zagospodarowanie terenu Promenady Staromiejskiej na odcinku od ul. Krupniczej do pl. Jana Pawła II wraz z budową kładki pieszo-rowerowej w rejonie pl. Orląt Lwowskich we Wrocławiu, w ramach Ścieżki Kulturowej Czterech Świątyń</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2008-2012</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5 092 744,45</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10 174 913,58</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2007-2013</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Kultura</w:t>
            </w:r>
          </w:p>
        </w:tc>
      </w:tr>
      <w:tr w:rsidR="008C7751" w:rsidRPr="00E00B35" w:rsidTr="008C7751">
        <w:trPr>
          <w:trHeight w:val="126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49</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niecki wodnej położonej przy Hali Stulecia we Wrocławiu na fontannę multimedialną</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2008-2015</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8 477 914,13</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15 965 601,19</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2007-2013</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Kultura</w:t>
            </w:r>
          </w:p>
        </w:tc>
      </w:tr>
      <w:tr w:rsidR="008C7751" w:rsidRPr="00E00B35" w:rsidTr="008C7751">
        <w:trPr>
          <w:trHeight w:val="1142"/>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50</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Budowa Narodowego Forum Muzyki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2007-2015</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143 740 000,00</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328 691 855,82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2007-2013</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Kultura</w:t>
            </w:r>
          </w:p>
        </w:tc>
      </w:tr>
      <w:tr w:rsidR="008C7751" w:rsidRPr="00E00B35" w:rsidTr="008C7751">
        <w:trPr>
          <w:trHeight w:val="106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51</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Centrum Historii Zajezdnia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2014-2016</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15 019 203,00</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36 075 799,00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EOG</w:t>
            </w:r>
            <w:r w:rsidRPr="00E00B35">
              <w:rPr>
                <w:szCs w:val="20"/>
              </w:rPr>
              <w:br/>
              <w:t>2009-2014</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Kultura</w:t>
            </w:r>
          </w:p>
        </w:tc>
      </w:tr>
      <w:tr w:rsidR="008C7751" w:rsidRPr="00E00B35" w:rsidTr="008C7751">
        <w:trPr>
          <w:trHeight w:val="96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52</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Przebudowa Teatru Muzycznego </w:t>
            </w:r>
            <w:r w:rsidRPr="00E00B35">
              <w:rPr>
                <w:szCs w:val="20"/>
              </w:rPr>
              <w:lastRenderedPageBreak/>
              <w:t xml:space="preserve">CAPITOL we Wrocławiu </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2007-2013</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82 975 617,33</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113 469 820,49</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2007-</w:t>
            </w:r>
            <w:r w:rsidRPr="00E00B35">
              <w:rPr>
                <w:szCs w:val="20"/>
              </w:rPr>
              <w:lastRenderedPageBreak/>
              <w:t>2013</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lastRenderedPageBreak/>
              <w:t>Kultura</w:t>
            </w:r>
          </w:p>
        </w:tc>
      </w:tr>
      <w:tr w:rsidR="008C7751" w:rsidRPr="00E00B35" w:rsidTr="008C7751">
        <w:trPr>
          <w:trHeight w:val="851"/>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53</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Ruska 46 abc - przestrzeń dla kultury </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2014-2020</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8 613 226,21</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17 822 981,03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Kultura</w:t>
            </w:r>
          </w:p>
        </w:tc>
      </w:tr>
      <w:tr w:rsidR="008C7751" w:rsidRPr="00E00B35" w:rsidTr="008C7751">
        <w:trPr>
          <w:trHeight w:val="1227"/>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54</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Przebudowa budynku skrzydła Pałacu Królewskiego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2014-2018</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2 581 693,65</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4 233 977,60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Kultura</w:t>
            </w:r>
          </w:p>
        </w:tc>
      </w:tr>
      <w:tr w:rsidR="008C7751" w:rsidRPr="00E00B35" w:rsidTr="008C7751">
        <w:trPr>
          <w:trHeight w:val="1090"/>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55</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Zagospodarowanie części terenu Parku Szczytnickiego we Wrocławiu – Etap I</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2017-2018</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2 782 299,69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4 026 151,31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Zieleń</w:t>
            </w:r>
          </w:p>
        </w:tc>
      </w:tr>
      <w:tr w:rsidR="008C7751" w:rsidRPr="00E00B35" w:rsidTr="008C7751">
        <w:trPr>
          <w:trHeight w:val="160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56</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Rozbudowa infrastruktury rekreacyjnej WTWK - Partynice we Wrocławiu - Etap I - Budowa parku linearnego wokół toru wyścigowego wraz z przyrodniczą ścieżką edukacyjną </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2014-2019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4 497 664,50</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6 399 959,77</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Zieleń</w:t>
            </w:r>
          </w:p>
        </w:tc>
      </w:tr>
      <w:tr w:rsidR="008C7751" w:rsidRPr="00E00B35" w:rsidTr="008C7751">
        <w:trPr>
          <w:trHeight w:val="931"/>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57</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Budowa Systemu "Parkuj i Jedź" we Wrocławiu - Etap I</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2015-2018</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19 743 404,64</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23 230 835,53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Transport niskoemisyjny</w:t>
            </w:r>
          </w:p>
        </w:tc>
      </w:tr>
      <w:tr w:rsidR="008C7751" w:rsidRPr="00E00B35" w:rsidTr="008C7751">
        <w:trPr>
          <w:trHeight w:val="602"/>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58</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Budowa sieci dróg dla rowerów na terenie Gmin Kobierzyce i Wrocław</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2014-2018</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41 694 521,96</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50 366 674,52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Transport niskoemisyjny</w:t>
            </w:r>
          </w:p>
        </w:tc>
      </w:tr>
      <w:tr w:rsidR="008C7751" w:rsidRPr="00E00B35" w:rsidTr="008C7751">
        <w:trPr>
          <w:trHeight w:val="283"/>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59</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Budowa wydzielonej trasy </w:t>
            </w:r>
            <w:r w:rsidRPr="00E00B35">
              <w:rPr>
                <w:szCs w:val="20"/>
              </w:rPr>
              <w:lastRenderedPageBreak/>
              <w:t>autobusowo-tramwajowej łączącej osiedle Nowy Dwór z Centrum Wrocławia</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2016-2023</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117 378 122,40</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386 044 600,46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2014</w:t>
            </w:r>
            <w:r w:rsidRPr="00E00B35">
              <w:rPr>
                <w:szCs w:val="20"/>
              </w:rPr>
              <w:lastRenderedPageBreak/>
              <w:t>-2020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lastRenderedPageBreak/>
              <w:t>Transport niskoemisyj</w:t>
            </w:r>
            <w:r w:rsidRPr="00E00B35">
              <w:rPr>
                <w:szCs w:val="20"/>
              </w:rPr>
              <w:lastRenderedPageBreak/>
              <w:t>ny</w:t>
            </w:r>
          </w:p>
        </w:tc>
      </w:tr>
      <w:tr w:rsidR="008C7751" w:rsidRPr="00E00B35" w:rsidTr="008C7751">
        <w:trPr>
          <w:trHeight w:val="602"/>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60</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Zintegrowany System Transportu Szynowego w Aglomeracji i we Wrocławiu - Etap III A</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2015-2023</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112 973 143,77</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270 894 161,40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Transport niskoemisyjny</w:t>
            </w:r>
          </w:p>
        </w:tc>
      </w:tr>
      <w:tr w:rsidR="008C7751" w:rsidRPr="00E00B35" w:rsidTr="008C7751">
        <w:trPr>
          <w:trHeight w:val="602"/>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61</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Budowa dróg rowerowych we Wrocławiu - etap II</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2016-2021</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18 215 159,80</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21 764 705,88</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Transport niskoemisyjny</w:t>
            </w:r>
          </w:p>
        </w:tc>
      </w:tr>
      <w:tr w:rsidR="008C7751" w:rsidRPr="00E00B35" w:rsidTr="008C7751">
        <w:trPr>
          <w:trHeight w:val="602"/>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62</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Budowa Systemu "Parkuj i Jedź" we Wrocławiu - etap II</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2018-2021</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7 902 772,99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10 059 979,99</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Transport niskoemisyjny</w:t>
            </w:r>
          </w:p>
        </w:tc>
      </w:tr>
      <w:tr w:rsidR="008C7751" w:rsidRPr="00E00B35" w:rsidTr="008C7751">
        <w:trPr>
          <w:trHeight w:val="717"/>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63</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Rozbudowa systemu zarządzania ruchem</w:t>
            </w:r>
            <w:r w:rsidRPr="00E00B35">
              <w:rPr>
                <w:szCs w:val="20"/>
              </w:rPr>
              <w:br/>
              <w:t>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2014-2021</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13 171 854,54</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19 084 722,64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Transport niskoemisyjny</w:t>
            </w:r>
          </w:p>
        </w:tc>
      </w:tr>
      <w:tr w:rsidR="008C7751" w:rsidRPr="00E00B35" w:rsidTr="008C7751">
        <w:trPr>
          <w:trHeight w:val="756"/>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64</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Zintegrowany System Transportu Szynowego w Aglomeracji i we Wrocławiu - Etap I  </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2006-2013</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477 747 653,78</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736 189 219,52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2007-2013</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Transport niskoemisyjny</w:t>
            </w:r>
          </w:p>
        </w:tc>
      </w:tr>
      <w:tr w:rsidR="008C7751" w:rsidRPr="00E00B35" w:rsidTr="008C7751">
        <w:trPr>
          <w:trHeight w:val="851"/>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65</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Zintegrowany System Transportu Szynowego w Aglomeracji i we Wrocławiu - Etap II  </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2013-2015</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100 867 034,73</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172 481 781,51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2007-2013</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Transport niskoemisyjny</w:t>
            </w:r>
          </w:p>
        </w:tc>
      </w:tr>
      <w:tr w:rsidR="008C7751" w:rsidRPr="00E00B35" w:rsidTr="008C7751">
        <w:trPr>
          <w:trHeight w:val="694"/>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66</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Inteligentny System Transportu ITS Wrocław</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2007-2015</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75 546 742,33</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95 468 026,03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2007-2013</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Transport niskoemisyjny</w:t>
            </w:r>
          </w:p>
        </w:tc>
      </w:tr>
      <w:tr w:rsidR="008C7751" w:rsidRPr="00E00B35" w:rsidTr="008C7751">
        <w:trPr>
          <w:trHeight w:val="86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67</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Remont i przebudowa wraz z wyposażeniem trzech mieszkań o charakterze wspomaganych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448 477,99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557 096,46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Infrastruktura społeczna</w:t>
            </w:r>
          </w:p>
        </w:tc>
      </w:tr>
      <w:tr w:rsidR="008C7751" w:rsidRPr="00E00B35" w:rsidTr="008C7751">
        <w:trPr>
          <w:trHeight w:val="86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68</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Remont i przebudowa wraz z wyposażeniem czterech mieszkań o charakterze wspomaganych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539 969,26</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679 486,66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Infrastruktura społeczna</w:t>
            </w:r>
          </w:p>
        </w:tc>
      </w:tr>
      <w:tr w:rsidR="008C7751" w:rsidRPr="00E00B35" w:rsidTr="008C7751">
        <w:trPr>
          <w:trHeight w:val="86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69</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Utworzenie Dziennego Domu Pomocy i Klubu Integracji Społecznej przy ul. Skoczylasa 8 we Wrocławiu oraz rozbudowa Wrocławskiego Centrum Integracji przy ul. Strzegomska 49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8 811 367,31</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12 254 832,04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Infrastruktura społeczna</w:t>
            </w:r>
          </w:p>
        </w:tc>
      </w:tr>
      <w:tr w:rsidR="008C7751" w:rsidRPr="00E00B35" w:rsidTr="008C7751">
        <w:trPr>
          <w:trHeight w:val="86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70</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Utworzenie dziennych domów pomocy przy ulicach Semaforowej 5 oraz Karmelkowej 25 we Wrocławiu</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3 540 359,51</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6 175 486,11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Infrastruktura społeczna</w:t>
            </w:r>
          </w:p>
        </w:tc>
      </w:tr>
      <w:tr w:rsidR="008C7751" w:rsidRPr="00E00B35" w:rsidTr="008C7751">
        <w:trPr>
          <w:trHeight w:val="86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71</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Ograniczenie emisji kominowej w zasobie </w:t>
            </w:r>
            <w:r w:rsidRPr="00E00B35">
              <w:rPr>
                <w:szCs w:val="20"/>
              </w:rPr>
              <w:lastRenderedPageBreak/>
              <w:t>mieszkaniowym Gminy Wrocław poprzez likwidację węglowych źródeł ciepła</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2018-2021</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5 652 099,29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6 695 078,58</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w:t>
            </w:r>
            <w:r w:rsidRPr="00E00B35">
              <w:rPr>
                <w:szCs w:val="20"/>
              </w:rPr>
              <w:lastRenderedPageBreak/>
              <w:t>-2020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lastRenderedPageBreak/>
              <w:t>Środowisko</w:t>
            </w:r>
          </w:p>
        </w:tc>
      </w:tr>
      <w:tr w:rsidR="008C7751" w:rsidRPr="00E00B35" w:rsidTr="008C7751">
        <w:trPr>
          <w:trHeight w:val="86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lastRenderedPageBreak/>
              <w:t>72</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Ograniczenie emisji kominowej w zasobie mieszkaniowym Gminy Wrocław poprzez likwidację węglowych źródeł ciepła – Etap 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10 554 123,99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16 789 756,53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Środowisko</w:t>
            </w:r>
          </w:p>
        </w:tc>
      </w:tr>
      <w:tr w:rsidR="008C7751" w:rsidRPr="00E00B35" w:rsidTr="008C7751">
        <w:trPr>
          <w:trHeight w:val="865"/>
        </w:trPr>
        <w:tc>
          <w:tcPr>
            <w:tcW w:w="4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73</w:t>
            </w:r>
          </w:p>
        </w:tc>
        <w:tc>
          <w:tcPr>
            <w:tcW w:w="194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Ograniczenie emisji kominowej w zasobie mieszkaniowym Gminy Wrocław poprzez likwidację węglowych źródeł ciepła – Etap 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11 305 342,31</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15 350 748,79</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1418"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Środowisko</w:t>
            </w:r>
          </w:p>
        </w:tc>
      </w:tr>
      <w:tr w:rsidR="008C7751" w:rsidRPr="00E00B35" w:rsidTr="008C7751">
        <w:trPr>
          <w:trHeight w:val="436"/>
        </w:trPr>
        <w:tc>
          <w:tcPr>
            <w:tcW w:w="2415" w:type="dxa"/>
            <w:gridSpan w:val="2"/>
            <w:tcBorders>
              <w:top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highlight w:val="yellow"/>
              </w:rPr>
            </w:pPr>
            <w:r w:rsidRPr="00E00B35">
              <w:rPr>
                <w:szCs w:val="20"/>
              </w:rPr>
              <w:t>SUMA</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1 834 630 339,35</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3 405 625 203,81</w:t>
            </w:r>
          </w:p>
        </w:tc>
        <w:tc>
          <w:tcPr>
            <w:tcW w:w="709" w:type="dxa"/>
            <w:tcBorders>
              <w:top w:val="single" w:sz="4" w:space="0" w:color="auto"/>
              <w:left w:val="single" w:sz="4" w:space="0" w:color="auto"/>
            </w:tcBorders>
            <w:shd w:val="clear" w:color="auto" w:fill="FFFFFF"/>
            <w:vAlign w:val="center"/>
            <w:hideMark/>
          </w:tcPr>
          <w:p w:rsidR="008C7751" w:rsidRPr="00E00B35" w:rsidRDefault="008C7751" w:rsidP="00E00B35">
            <w:pPr>
              <w:spacing w:after="0" w:line="312" w:lineRule="auto"/>
              <w:rPr>
                <w:szCs w:val="20"/>
                <w:highlight w:val="yellow"/>
              </w:rPr>
            </w:pPr>
          </w:p>
        </w:tc>
        <w:tc>
          <w:tcPr>
            <w:tcW w:w="1418" w:type="dxa"/>
            <w:tcBorders>
              <w:top w:val="single" w:sz="4" w:space="0" w:color="auto"/>
            </w:tcBorders>
            <w:shd w:val="clear" w:color="auto" w:fill="FFFFFF"/>
          </w:tcPr>
          <w:p w:rsidR="008C7751" w:rsidRPr="00E00B35" w:rsidRDefault="008C7751" w:rsidP="00E00B35">
            <w:pPr>
              <w:spacing w:after="0" w:line="312" w:lineRule="auto"/>
              <w:rPr>
                <w:szCs w:val="20"/>
                <w:highlight w:val="yellow"/>
              </w:rPr>
            </w:pP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 xml:space="preserve">Dodatkowo monitorowano realizację projektu pn. „Kompleksowa modernizacja budynków użyteczności publicznej zlokalizowanych przy ul. Hubskiej 8-16 we Wrocławiu” zaaplikowany przez Powiatowy Inspektorat Nadzoru Budowlanego dla Miasta Wrocławia, którego wartość dofinansowania wynosi 2 736 398,15 zł. </w:t>
      </w:r>
    </w:p>
    <w:p w:rsidR="008C7751" w:rsidRPr="00E00B35" w:rsidRDefault="008C7751" w:rsidP="00E00B35">
      <w:pPr>
        <w:spacing w:after="0" w:line="312" w:lineRule="auto"/>
        <w:rPr>
          <w:szCs w:val="20"/>
        </w:rPr>
      </w:pPr>
      <w:r w:rsidRPr="00E00B35">
        <w:rPr>
          <w:szCs w:val="20"/>
        </w:rPr>
        <w:t xml:space="preserve">W roku 2020 realizowano także projekty infrastrukturalne w partnerstwie z innymi podmiotami, w których Gmina Wrocław jest Beneficjentem bądź partnerem. Zestawienie infrastrukturalnych projektów partnerskich monitorowanych przez WZF przedstawiono poniżej. </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PROJEKTY INFRASTRUKTURALNE REALIZOWANE W PARTNERSTWIE</w:t>
      </w:r>
    </w:p>
    <w:tbl>
      <w:tblPr>
        <w:tblW w:w="4924" w:type="pct"/>
        <w:tblInd w:w="70" w:type="dxa"/>
        <w:tblLayout w:type="fixed"/>
        <w:tblCellMar>
          <w:left w:w="70" w:type="dxa"/>
          <w:right w:w="70" w:type="dxa"/>
        </w:tblCellMar>
        <w:tblLook w:val="04A0"/>
      </w:tblPr>
      <w:tblGrid>
        <w:gridCol w:w="426"/>
        <w:gridCol w:w="2126"/>
        <w:gridCol w:w="1134"/>
        <w:gridCol w:w="1417"/>
        <w:gridCol w:w="1419"/>
        <w:gridCol w:w="991"/>
        <w:gridCol w:w="1559"/>
      </w:tblGrid>
      <w:tr w:rsidR="008C7751" w:rsidRPr="00E00B35" w:rsidTr="008C7751">
        <w:trPr>
          <w:trHeight w:val="465"/>
        </w:trPr>
        <w:tc>
          <w:tcPr>
            <w:tcW w:w="2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Lp.</w:t>
            </w:r>
          </w:p>
        </w:tc>
        <w:tc>
          <w:tcPr>
            <w:tcW w:w="117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Nazwa projektu</w:t>
            </w:r>
          </w:p>
        </w:tc>
        <w:tc>
          <w:tcPr>
            <w:tcW w:w="62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Okres realizacji</w:t>
            </w:r>
          </w:p>
        </w:tc>
        <w:tc>
          <w:tcPr>
            <w:tcW w:w="781"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Wartość dofinansowania dla Miasta</w:t>
            </w:r>
          </w:p>
        </w:tc>
        <w:tc>
          <w:tcPr>
            <w:tcW w:w="78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Wartość całkowita dla Miasta</w:t>
            </w:r>
          </w:p>
        </w:tc>
        <w:tc>
          <w:tcPr>
            <w:tcW w:w="5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Żródło finansowania</w:t>
            </w:r>
          </w:p>
        </w:tc>
        <w:tc>
          <w:tcPr>
            <w:tcW w:w="85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Obszar</w:t>
            </w:r>
          </w:p>
        </w:tc>
      </w:tr>
      <w:tr w:rsidR="008C7751" w:rsidRPr="00E00B35" w:rsidTr="008C7751">
        <w:trPr>
          <w:trHeight w:val="1156"/>
        </w:trPr>
        <w:tc>
          <w:tcPr>
            <w:tcW w:w="235"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1</w:t>
            </w:r>
          </w:p>
        </w:tc>
        <w:tc>
          <w:tcPr>
            <w:tcW w:w="117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Rewitalizacja linii kolejowej nr 292 na odcinku Jelcz Miłoszyce – Wrocław Sołtysowice w celu przywrócenia przewozów pasażerskich we WrOF</w:t>
            </w:r>
          </w:p>
        </w:tc>
        <w:tc>
          <w:tcPr>
            <w:tcW w:w="625"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2017-2019</w:t>
            </w:r>
          </w:p>
        </w:tc>
        <w:tc>
          <w:tcPr>
            <w:tcW w:w="781"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1 402 499,57</w:t>
            </w:r>
          </w:p>
        </w:tc>
        <w:tc>
          <w:tcPr>
            <w:tcW w:w="78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1 678 849,19</w:t>
            </w:r>
          </w:p>
        </w:tc>
        <w:tc>
          <w:tcPr>
            <w:tcW w:w="5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w:t>
            </w:r>
            <w:r w:rsidRPr="00E00B35">
              <w:rPr>
                <w:szCs w:val="20"/>
              </w:rPr>
              <w:br/>
              <w:t>2014-2020</w:t>
            </w:r>
          </w:p>
        </w:tc>
        <w:tc>
          <w:tcPr>
            <w:tcW w:w="859"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Kolej</w:t>
            </w:r>
          </w:p>
        </w:tc>
      </w:tr>
      <w:tr w:rsidR="008C7751" w:rsidRPr="00E00B35" w:rsidTr="008C7751">
        <w:trPr>
          <w:trHeight w:val="1134"/>
        </w:trPr>
        <w:tc>
          <w:tcPr>
            <w:tcW w:w="235"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w:t>
            </w:r>
          </w:p>
        </w:tc>
        <w:tc>
          <w:tcPr>
            <w:tcW w:w="117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Zagospodarowanie wód opadowych na terenie miasta Wrocławia – Etap I</w:t>
            </w:r>
          </w:p>
        </w:tc>
        <w:tc>
          <w:tcPr>
            <w:tcW w:w="625"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2014-2021</w:t>
            </w:r>
          </w:p>
        </w:tc>
        <w:tc>
          <w:tcPr>
            <w:tcW w:w="781"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3 081 250,00</w:t>
            </w:r>
          </w:p>
        </w:tc>
        <w:tc>
          <w:tcPr>
            <w:tcW w:w="78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4 000 000,00</w:t>
            </w:r>
          </w:p>
        </w:tc>
        <w:tc>
          <w:tcPr>
            <w:tcW w:w="5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POIiŚ </w:t>
            </w:r>
            <w:r w:rsidRPr="00E00B35">
              <w:rPr>
                <w:szCs w:val="20"/>
              </w:rPr>
              <w:br/>
              <w:t>2014-2020</w:t>
            </w:r>
          </w:p>
        </w:tc>
        <w:tc>
          <w:tcPr>
            <w:tcW w:w="859"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Środowisko</w:t>
            </w:r>
          </w:p>
        </w:tc>
      </w:tr>
      <w:tr w:rsidR="008C7751" w:rsidRPr="00E00B35" w:rsidTr="008C7751">
        <w:trPr>
          <w:trHeight w:val="492"/>
        </w:trPr>
        <w:tc>
          <w:tcPr>
            <w:tcW w:w="235" w:type="pct"/>
            <w:tcBorders>
              <w:top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1172" w:type="pct"/>
            <w:tcBorders>
              <w:top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SUMA</w:t>
            </w:r>
          </w:p>
        </w:tc>
        <w:tc>
          <w:tcPr>
            <w:tcW w:w="781" w:type="pct"/>
            <w:tcBorders>
              <w:top w:val="single" w:sz="4" w:space="0" w:color="auto"/>
              <w:left w:val="nil"/>
              <w:bottom w:val="single" w:sz="4" w:space="0" w:color="auto"/>
              <w:right w:val="single" w:sz="4" w:space="0" w:color="auto"/>
            </w:tcBorders>
            <w:shd w:val="clear" w:color="auto" w:fill="FFFFFF"/>
            <w:vAlign w:val="bottom"/>
            <w:hideMark/>
          </w:tcPr>
          <w:p w:rsidR="008C7751" w:rsidRPr="00E00B35" w:rsidRDefault="008C7751" w:rsidP="00E00B35">
            <w:pPr>
              <w:spacing w:after="0" w:line="312" w:lineRule="auto"/>
              <w:rPr>
                <w:szCs w:val="20"/>
              </w:rPr>
            </w:pPr>
            <w:r w:rsidRPr="00E00B35">
              <w:rPr>
                <w:szCs w:val="20"/>
              </w:rPr>
              <w:t>4 483 749,57</w:t>
            </w:r>
          </w:p>
        </w:tc>
        <w:tc>
          <w:tcPr>
            <w:tcW w:w="782" w:type="pct"/>
            <w:tcBorders>
              <w:top w:val="single" w:sz="4" w:space="0" w:color="auto"/>
              <w:left w:val="nil"/>
              <w:bottom w:val="single" w:sz="4" w:space="0" w:color="auto"/>
              <w:right w:val="single" w:sz="4" w:space="0" w:color="auto"/>
            </w:tcBorders>
            <w:shd w:val="clear" w:color="auto" w:fill="FFFFFF"/>
            <w:vAlign w:val="bottom"/>
            <w:hideMark/>
          </w:tcPr>
          <w:p w:rsidR="008C7751" w:rsidRPr="00E00B35" w:rsidRDefault="008C7751" w:rsidP="00E00B35">
            <w:pPr>
              <w:spacing w:after="0" w:line="312" w:lineRule="auto"/>
              <w:rPr>
                <w:szCs w:val="20"/>
              </w:rPr>
            </w:pPr>
            <w:r w:rsidRPr="00E00B35">
              <w:rPr>
                <w:szCs w:val="20"/>
              </w:rPr>
              <w:t>5 678 849,19</w:t>
            </w:r>
          </w:p>
        </w:tc>
        <w:tc>
          <w:tcPr>
            <w:tcW w:w="546" w:type="pct"/>
            <w:tcBorders>
              <w:top w:val="single" w:sz="4" w:space="0" w:color="auto"/>
              <w:lef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859" w:type="pct"/>
            <w:tcBorders>
              <w:top w:val="single" w:sz="4" w:space="0" w:color="auto"/>
            </w:tcBorders>
            <w:shd w:val="clear" w:color="auto" w:fill="FFFFFF"/>
            <w:vAlign w:val="center"/>
            <w:hideMark/>
          </w:tcPr>
          <w:p w:rsidR="008C7751" w:rsidRPr="00E00B35" w:rsidRDefault="008C7751" w:rsidP="00E00B35">
            <w:pPr>
              <w:spacing w:after="0" w:line="312" w:lineRule="auto"/>
              <w:rPr>
                <w:szCs w:val="20"/>
              </w:rPr>
            </w:pP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Jednocześnie monitorowano projekt w okresie trwałości dofinansowany ze środków krajowych Ministerstwa Sportu i Turystyki pn. „</w:t>
      </w:r>
      <w:r w:rsidRPr="00E00B35">
        <w:rPr>
          <w:rFonts w:cs="Arial"/>
          <w:szCs w:val="20"/>
        </w:rPr>
        <w:t>Otwarta Strefa Aktywności na osiedlu Psie Pole przy ul. Gorlickiej we Wrocławiu”, a także projekt pn. „</w:t>
      </w:r>
      <w:r w:rsidRPr="00E00B35">
        <w:rPr>
          <w:rFonts w:cs="Verdana"/>
          <w:szCs w:val="20"/>
        </w:rPr>
        <w:t xml:space="preserve">Budowa torów wrotkarskich </w:t>
      </w:r>
      <w:r w:rsidRPr="00E00B35">
        <w:rPr>
          <w:rFonts w:cs="Verdana"/>
          <w:szCs w:val="20"/>
        </w:rPr>
        <w:br/>
        <w:t xml:space="preserve">z zapleczem, w obrębie Parku Tysiąclecia we Wrocławiu” w związku z wystąpieniem pokontrolnym Najwyższej Izby Kontroli w przedmiocie „Przygotowanie oraz wykorzystanie obiektów na Światowe Igrzyska Sportowe - The World Games 2017". </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PROJEKTY SPOŁECZNE MONITOROWANE W 2020 ROKU</w:t>
      </w:r>
    </w:p>
    <w:p w:rsidR="008C7751" w:rsidRPr="00E00B35" w:rsidRDefault="008C7751" w:rsidP="00E00B35">
      <w:pPr>
        <w:spacing w:after="0" w:line="312" w:lineRule="auto"/>
        <w:rPr>
          <w:rFonts w:cs="Verdana"/>
          <w:szCs w:val="20"/>
        </w:rPr>
      </w:pPr>
      <w:r w:rsidRPr="00E00B35">
        <w:rPr>
          <w:szCs w:val="20"/>
        </w:rPr>
        <w:t xml:space="preserve">W roku 2020 zaaplikowano </w:t>
      </w:r>
      <w:r w:rsidRPr="00E00B35">
        <w:rPr>
          <w:b/>
          <w:szCs w:val="20"/>
        </w:rPr>
        <w:t>55</w:t>
      </w:r>
      <w:r w:rsidRPr="00E00B35">
        <w:rPr>
          <w:szCs w:val="20"/>
        </w:rPr>
        <w:t xml:space="preserve"> projektów, podpisano </w:t>
      </w:r>
      <w:r w:rsidRPr="00E00B35">
        <w:rPr>
          <w:b/>
          <w:szCs w:val="20"/>
        </w:rPr>
        <w:t>36</w:t>
      </w:r>
      <w:r w:rsidRPr="00E00B35">
        <w:rPr>
          <w:szCs w:val="20"/>
        </w:rPr>
        <w:t xml:space="preserve"> umów o dofinansowanie na łączną kwotę </w:t>
      </w:r>
      <w:r w:rsidRPr="00E00B35">
        <w:rPr>
          <w:b/>
          <w:szCs w:val="20"/>
        </w:rPr>
        <w:t>51 552 181,62 zł.</w:t>
      </w:r>
      <w:r w:rsidRPr="00E00B35">
        <w:rPr>
          <w:szCs w:val="20"/>
        </w:rPr>
        <w:t xml:space="preserve"> Nadzorowano pod kątem wypełniania zapisów umów o dofinansowanie realizację łącznie </w:t>
      </w:r>
      <w:r w:rsidRPr="00E00B35">
        <w:rPr>
          <w:b/>
          <w:szCs w:val="20"/>
        </w:rPr>
        <w:t>132</w:t>
      </w:r>
      <w:r w:rsidRPr="00E00B35">
        <w:rPr>
          <w:szCs w:val="20"/>
        </w:rPr>
        <w:t xml:space="preserve"> projektów społecznych, wśród których znajdują się projekty finansowane ze źródeł krajowych, projekty partnerskie oraz międzynarodowe (w tym w ramach programu ERASMUS+.</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 xml:space="preserve">PROJEKTY SPOŁECZNE MONITOROWANE W 2020 ROKU, KTÓRYCH BENEFICJENTEM JEST GMINA WROCŁAW – </w:t>
      </w:r>
      <w:r w:rsidRPr="00E00B35">
        <w:rPr>
          <w:rFonts w:eastAsia="Arial Unicode MS"/>
          <w:sz w:val="20"/>
          <w:szCs w:val="20"/>
        </w:rPr>
        <w:t>PROGRAMY</w:t>
      </w:r>
      <w:r w:rsidRPr="00E00B35">
        <w:rPr>
          <w:sz w:val="20"/>
          <w:szCs w:val="20"/>
        </w:rPr>
        <w:t xml:space="preserve"> EUROPEJSKIE</w:t>
      </w:r>
    </w:p>
    <w:tbl>
      <w:tblPr>
        <w:tblW w:w="5078" w:type="pct"/>
        <w:tblInd w:w="70" w:type="dxa"/>
        <w:tblLayout w:type="fixed"/>
        <w:tblCellMar>
          <w:left w:w="70" w:type="dxa"/>
          <w:right w:w="70" w:type="dxa"/>
        </w:tblCellMar>
        <w:tblLook w:val="04A0"/>
      </w:tblPr>
      <w:tblGrid>
        <w:gridCol w:w="427"/>
        <w:gridCol w:w="2126"/>
        <w:gridCol w:w="1130"/>
        <w:gridCol w:w="1561"/>
        <w:gridCol w:w="1561"/>
        <w:gridCol w:w="992"/>
        <w:gridCol w:w="1559"/>
      </w:tblGrid>
      <w:tr w:rsidR="008C7751" w:rsidRPr="00E00B35" w:rsidTr="008C7751">
        <w:trPr>
          <w:trHeight w:val="452"/>
        </w:trPr>
        <w:tc>
          <w:tcPr>
            <w:tcW w:w="22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rFonts w:cs="Verdana"/>
                <w:szCs w:val="20"/>
              </w:rPr>
              <w:t xml:space="preserve"> </w:t>
            </w:r>
            <w:r w:rsidRPr="00E00B35">
              <w:rPr>
                <w:szCs w:val="20"/>
              </w:rPr>
              <w:t>Lp.</w:t>
            </w:r>
          </w:p>
        </w:tc>
        <w:tc>
          <w:tcPr>
            <w:tcW w:w="113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Nazwa projektu</w:t>
            </w:r>
          </w:p>
        </w:tc>
        <w:tc>
          <w:tcPr>
            <w:tcW w:w="60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Lata realizacji</w:t>
            </w:r>
          </w:p>
        </w:tc>
        <w:tc>
          <w:tcPr>
            <w:tcW w:w="83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Wkład UE</w:t>
            </w:r>
          </w:p>
        </w:tc>
        <w:tc>
          <w:tcPr>
            <w:tcW w:w="83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Wartość całkowita</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Program</w:t>
            </w:r>
          </w:p>
        </w:tc>
        <w:tc>
          <w:tcPr>
            <w:tcW w:w="83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Obszar</w:t>
            </w:r>
          </w:p>
        </w:tc>
      </w:tr>
      <w:tr w:rsidR="008C7751" w:rsidRPr="00E00B35" w:rsidTr="008C7751">
        <w:trPr>
          <w:trHeight w:val="452"/>
        </w:trPr>
        <w:tc>
          <w:tcPr>
            <w:tcW w:w="228"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113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604"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834"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834"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530"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833"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r>
      <w:tr w:rsidR="008C7751" w:rsidRPr="00E00B35" w:rsidTr="008C7751">
        <w:trPr>
          <w:trHeight w:val="896"/>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Educational philosophy for a new generation</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110 606,00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110 606,00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005"/>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Inter-nation encounter to raise pollution and global warming </w:t>
            </w:r>
            <w:r w:rsidRPr="00E00B35">
              <w:rPr>
                <w:szCs w:val="20"/>
              </w:rPr>
              <w:lastRenderedPageBreak/>
              <w:t>awareness around the Balitc Sea</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2017-2020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96 421,00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96 421,00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45"/>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3</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Razem </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120 050,00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120 050,00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121"/>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w:t>
            </w:r>
          </w:p>
        </w:tc>
        <w:tc>
          <w:tcPr>
            <w:tcW w:w="113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MIND - Motywacja, Indywidualizacja nauczania, Dostosowanie. Skuteczniej uczyć dla lepszego świata.</w:t>
            </w:r>
          </w:p>
        </w:tc>
        <w:tc>
          <w:tcPr>
            <w:tcW w:w="60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97 409,00</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97 409,00</w:t>
            </w:r>
          </w:p>
        </w:tc>
        <w:tc>
          <w:tcPr>
            <w:tcW w:w="530"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512"/>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Szkoła na językach</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135 819,00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135 819,00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3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Angielski dla profesjonalistów / English4pro</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105 892,00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105 892,00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388"/>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We all live in the same world - let's care for it and for us! Only in a healthy body there is a healthy mind!</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141 503,00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141 503,00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975"/>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w:t>
            </w:r>
          </w:p>
        </w:tc>
        <w:tc>
          <w:tcPr>
            <w:tcW w:w="11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RAINBOW: Reading Awakens Imagination, Nourishes Brain, Opens Worlds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106 691,00</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106 691,00</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21"/>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w:t>
            </w:r>
          </w:p>
        </w:tc>
        <w:tc>
          <w:tcPr>
            <w:tcW w:w="11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Współpraca międzynarodowa - perspektywa lepszej przyszłości</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141 387,00</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141 387,00</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15"/>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w:t>
            </w:r>
          </w:p>
        </w:tc>
        <w:tc>
          <w:tcPr>
            <w:tcW w:w="113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Młodzi obywatele w Europie: życie bez granic</w:t>
            </w:r>
          </w:p>
        </w:tc>
        <w:tc>
          <w:tcPr>
            <w:tcW w:w="60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128 411,00</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128 411,00</w:t>
            </w:r>
          </w:p>
        </w:tc>
        <w:tc>
          <w:tcPr>
            <w:tcW w:w="530"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39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Walk through Science</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136 472,00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136 472,00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49"/>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Jak radzić sobie z nowymi wyzwaniami?</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167 917,07</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167 917,07</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33"/>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13</w:t>
            </w:r>
          </w:p>
        </w:tc>
        <w:tc>
          <w:tcPr>
            <w:tcW w:w="113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Podwyższenie kwalifikacji zawodowych szansą na lepszy początek kariery</w:t>
            </w:r>
          </w:p>
        </w:tc>
        <w:tc>
          <w:tcPr>
            <w:tcW w:w="60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415 299,36</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415 299,36</w:t>
            </w:r>
          </w:p>
        </w:tc>
        <w:tc>
          <w:tcPr>
            <w:tcW w:w="530"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03"/>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Nachhaltigkeitsziele der Agenda...</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121 983,00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121 983,00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98"/>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15</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Europe for VET +</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49 446,00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49 446,00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9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16</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COSMUS - Community School Museums ZSP 1</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122 716,00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122 716,00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53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17</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Nowoczesna szkoła</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49 446,00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49 446,00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285"/>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18</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Nasze okno na świat - rozwój zawodowy nauczycieli kluczem do umiędzynarodowienia szkoły</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191 995,00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191 995,00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98"/>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19</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Krok bliżej do wielojęzycznej Europy</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146 813,00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146 813,00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23"/>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Kreatywność i radość z uczenia naszą ścieżką do Europy</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133 891,00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133 891,00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285"/>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21</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Szkoła nowoczesna i otwarta - bliżej uczniów pochodzących z różnych kultur</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124 864,00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124 864,00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5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22</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Język kluczem do sukcesu</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146 680,00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146 680,00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919"/>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23</w:t>
            </w:r>
          </w:p>
        </w:tc>
        <w:tc>
          <w:tcPr>
            <w:tcW w:w="113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Nauczanie holistyczne narzędziem rozwijania u uczniów kompetencji XXI wieku</w:t>
            </w:r>
          </w:p>
        </w:tc>
        <w:tc>
          <w:tcPr>
            <w:tcW w:w="60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148 943,00</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148 943,00</w:t>
            </w:r>
          </w:p>
        </w:tc>
        <w:tc>
          <w:tcPr>
            <w:tcW w:w="530"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52"/>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24</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Eurologis III - staże dla uczniów w Hiszpanii oraz Wielkiej Brytanii</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644 265,00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644 265,00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567"/>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25</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Praktyki zagraniczne - lepszy start</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418 455,00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418 455,00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0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26</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Europa dla LZN IV</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503 632,00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503 632,00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2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27</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Talking about us and our European Communities by talking about our life landscapes</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124 310,00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124 310,00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023"/>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28</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TOTALITARIAN PAST AND DEMOCRATIC PRESENT IN EUROPE: LESSON FOR OUR FUTURE</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104 136,00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104 136,00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2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29</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Europa gehort uns!</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114 466,00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114 466,00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1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30</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EuroVisions - Sounds and Colours of Our Europe</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208 065,00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208 065,00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6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31</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Love Nature, Live Naturally</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105 934,00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105 934,00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99"/>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32</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Understanding and Expression tools for you</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84 546,00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84 546,00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2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33</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School Policies to Tackle and Detect Fake News</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124 291,00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124 291,00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39"/>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34</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Uczenie się przez całe życie kluczem do rozwoju zawodowego i sukcesu w ZSEA</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641 573,77</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641 573,77</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+/POWER</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73"/>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35</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Europejskie praktyki na plus V</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518 264,00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518 264,00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+/POWER</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85"/>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36</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Europejskie praktyki zawodowe dla uczniów EZN IV</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486 000,00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486 000,00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+/POWER</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78"/>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37</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Hiszpania na talerzu</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451 113,11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451 113,11</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+/POWER</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285"/>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38</w:t>
            </w:r>
          </w:p>
        </w:tc>
        <w:tc>
          <w:tcPr>
            <w:tcW w:w="11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Wprowadzenie elementów nowoczesnej edukacji do programu nauczania w Liceum Ogólnokształcących nr VII im. K.K. Baczyńskiego we Wrocławiu</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122 082,71</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122 082,71</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+/POWER</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20"/>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39</w:t>
            </w:r>
          </w:p>
        </w:tc>
        <w:tc>
          <w:tcPr>
            <w:tcW w:w="11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Nowa jakość edukacji</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132 064,00</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132 064,00</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15"/>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40</w:t>
            </w:r>
          </w:p>
        </w:tc>
        <w:tc>
          <w:tcPr>
            <w:tcW w:w="113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Pierwsze kroki</w:t>
            </w:r>
          </w:p>
        </w:tc>
        <w:tc>
          <w:tcPr>
            <w:tcW w:w="60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64 573,00</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64 573,00</w:t>
            </w:r>
          </w:p>
        </w:tc>
        <w:tc>
          <w:tcPr>
            <w:tcW w:w="530"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05"/>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41</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Rozwinąć skrzydła - rozwój kompetencji kluczowych "czwórkowiczów"</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240 898,00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240 898,00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83"/>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42</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CLICK SAFE, SURF SMART, BE AW ARE OF WHAT YOU SHARE</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154 078,00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154 078,00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09"/>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43</w:t>
            </w:r>
          </w:p>
        </w:tc>
        <w:tc>
          <w:tcPr>
            <w:tcW w:w="113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Save Our Sphere</w:t>
            </w:r>
          </w:p>
        </w:tc>
        <w:tc>
          <w:tcPr>
            <w:tcW w:w="60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128 671,00</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128 671,00</w:t>
            </w:r>
          </w:p>
        </w:tc>
        <w:tc>
          <w:tcPr>
            <w:tcW w:w="530"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512"/>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44</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Eat well, Move more, Live Better</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113 580,00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113 580,00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2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45</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DISCOVER AND CARE ABOUT YOUR NATURAL SURROUNDINGS</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106 882,00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106 882,00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541"/>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46</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Let's reverse the Earth's clock </w:t>
            </w:r>
            <w:r w:rsidRPr="00E00B35">
              <w:rPr>
                <w:szCs w:val="20"/>
              </w:rPr>
              <w:lastRenderedPageBreak/>
              <w:t>together!</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2020-2022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129 216,00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129 216,00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71"/>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47</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LEEuropa: leyendo juntos construimos Europa</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135 686,00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135 686,00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285"/>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48</w:t>
            </w:r>
          </w:p>
        </w:tc>
        <w:tc>
          <w:tcPr>
            <w:tcW w:w="113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I take care of Climate Aspects, Recycling and Ecological Values</w:t>
            </w:r>
          </w:p>
        </w:tc>
        <w:tc>
          <w:tcPr>
            <w:tcW w:w="60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121 903,00</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121 903,00</w:t>
            </w:r>
          </w:p>
        </w:tc>
        <w:tc>
          <w:tcPr>
            <w:tcW w:w="530"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0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49</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Literally Eunited!</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124 086,00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124 086,00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285"/>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50</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Podnoszenie kompetencji kadry sposobem na wzbogacenie oferty szkoły</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144 589,04</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144 589,04</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+/POWER</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2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51</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Europa dla LZN V</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592 595,00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592 595,00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2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52</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Eurologis IV - staże dla uczniów w Hiszpanii oraz we Włoszech</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630 697,00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630 697,00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+/POWER</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3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53</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Wymarzona podróż</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120 000,00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120 000,00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474"/>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54</w:t>
            </w:r>
          </w:p>
        </w:tc>
        <w:tc>
          <w:tcPr>
            <w:tcW w:w="11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Interdyscyplinarna siódemka - program rozwoju kompetencji kluczowych w siedmiu wrocławskich szkołach podstawowych</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2018-2019</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2 126 911,77</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2 238 854,50</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30"/>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55</w:t>
            </w:r>
          </w:p>
        </w:tc>
        <w:tc>
          <w:tcPr>
            <w:tcW w:w="11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Mogę więcej! - wsparcie procesu edukacji i rozwoju uczniów ze specjalnymi potrzebami we wrocławskich szkołach specjalnych</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1 513 878,61</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1 593 556,44</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30"/>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56</w:t>
            </w:r>
          </w:p>
        </w:tc>
        <w:tc>
          <w:tcPr>
            <w:tcW w:w="11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Manufaktura fachowców. Nowa jakość kształcenia we wrocławskich szkołach zawodowych</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1 898 852,40</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1 998 792,00</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00"/>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57</w:t>
            </w:r>
          </w:p>
        </w:tc>
        <w:tc>
          <w:tcPr>
            <w:tcW w:w="113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Od stażysty do specjalisty. Nowa jakość kształcenia we wrocławskich szkołach zawodowych</w:t>
            </w:r>
          </w:p>
        </w:tc>
        <w:tc>
          <w:tcPr>
            <w:tcW w:w="60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1 533 870,00</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1 614 600,00</w:t>
            </w:r>
          </w:p>
        </w:tc>
        <w:tc>
          <w:tcPr>
            <w:tcW w:w="530"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51"/>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58</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Zawodowa 18</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2021-2023</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2 720 000,00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3 200 000,00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67"/>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59</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Twój czas na staż</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2021-2022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1 645 617,93</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1 936 059,60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559"/>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60</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Bliżej zawodu</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1 473 780,66</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1 733 859,60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984"/>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61</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Rodzice na start!</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1 072 075,33</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1 313 013,26</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Rynek pracy</w:t>
            </w:r>
          </w:p>
        </w:tc>
      </w:tr>
      <w:tr w:rsidR="008C7751" w:rsidRPr="00E00B35" w:rsidTr="008C7751">
        <w:trPr>
          <w:trHeight w:val="574"/>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62</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Mamo, tato wróć do pracy</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8 007 969,51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9 421 140,61</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Rynek pracy</w:t>
            </w:r>
          </w:p>
        </w:tc>
      </w:tr>
      <w:tr w:rsidR="008C7751" w:rsidRPr="00E00B35" w:rsidTr="008C7751">
        <w:trPr>
          <w:trHeight w:val="1572"/>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63</w:t>
            </w:r>
          </w:p>
        </w:tc>
        <w:tc>
          <w:tcPr>
            <w:tcW w:w="113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PODRÓŻ DO DOMU -  wsparcie podopiecznych Wrocławskiego Centrum Opieki i Wychowania oraz ich rodzin poprzez realizację wybranych usług aktywnej integracji</w:t>
            </w:r>
          </w:p>
        </w:tc>
        <w:tc>
          <w:tcPr>
            <w:tcW w:w="60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316224,12</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332 867,50</w:t>
            </w:r>
          </w:p>
        </w:tc>
        <w:tc>
          <w:tcPr>
            <w:tcW w:w="530"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498"/>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64</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Razem można więcej</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2 636 439,58</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2 775 200,70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677"/>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65</w:t>
            </w:r>
          </w:p>
        </w:tc>
        <w:tc>
          <w:tcPr>
            <w:tcW w:w="11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TRAMPOLINA - mieszkania wspomagające</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1 699 398,00</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1 788 840,00</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927"/>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66</w:t>
            </w:r>
          </w:p>
        </w:tc>
        <w:tc>
          <w:tcPr>
            <w:tcW w:w="11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PAS-ja</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1 256 528,05</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1 478 268,32</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910"/>
        </w:trPr>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67</w:t>
            </w:r>
          </w:p>
        </w:tc>
        <w:tc>
          <w:tcPr>
            <w:tcW w:w="113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Młodzi Zawodowcy</w:t>
            </w:r>
          </w:p>
        </w:tc>
        <w:tc>
          <w:tcPr>
            <w:tcW w:w="60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2018-2021</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1 546 003,59</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1 627 372,20</w:t>
            </w:r>
          </w:p>
        </w:tc>
        <w:tc>
          <w:tcPr>
            <w:tcW w:w="530"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660"/>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68</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Centrum Kompetencji</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2020-2023</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3 102 164,49</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3 265 436,31</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585"/>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69</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Zapewnienie bezpieczeństwa i opieki pacjentom oraz bezpieczeństwa personelowi zakładów opiekuńczo-leczniczych, domów pomocy społecznej, zakładów pielęgnacyjno-opiekuńczych i hospicjów na czas COVID-19</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339 799,28</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339 799,28</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1118"/>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70</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Wsparcie dzieci umieszczonych w pieczy zastępczej w okresie epidemii COVID-19</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1 005 575,00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1 005 575,00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923"/>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71</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KomPAS</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2021-2023</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1 479 000,00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1 740 000,00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1108"/>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72</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Wybieramy Lepszą Przyszłość</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2021-2023</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1 638 353,58</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1 927 474,80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1108"/>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73</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Przeciwdziałanie wykluczeniu społecznemu spowodowanemu przez COVID-19</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2020-2021</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708 206,30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708 206,30</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885"/>
        </w:trPr>
        <w:tc>
          <w:tcPr>
            <w:tcW w:w="22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74</w:t>
            </w:r>
          </w:p>
        </w:tc>
        <w:tc>
          <w:tcPr>
            <w:tcW w:w="113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Wsparcie dolnośląskich DPS ( 4 wnioski)</w:t>
            </w:r>
          </w:p>
        </w:tc>
        <w:tc>
          <w:tcPr>
            <w:tcW w:w="60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2020-2020</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1 392 778,65</w:t>
            </w:r>
          </w:p>
        </w:tc>
        <w:tc>
          <w:tcPr>
            <w:tcW w:w="834"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1 392 778,65</w:t>
            </w:r>
          </w:p>
        </w:tc>
        <w:tc>
          <w:tcPr>
            <w:tcW w:w="530"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833"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476"/>
        </w:trPr>
        <w:tc>
          <w:tcPr>
            <w:tcW w:w="228" w:type="pct"/>
            <w:tcBorders>
              <w:top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1136" w:type="pct"/>
            <w:tcBorders>
              <w:top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SUMA</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49 844 732,91</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53 823 201,85</w:t>
            </w:r>
          </w:p>
        </w:tc>
        <w:tc>
          <w:tcPr>
            <w:tcW w:w="530" w:type="pct"/>
            <w:tcBorders>
              <w:top w:val="single" w:sz="4" w:space="0" w:color="auto"/>
              <w:lef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833" w:type="pct"/>
            <w:tcBorders>
              <w:top w:val="single" w:sz="4" w:space="0" w:color="auto"/>
            </w:tcBorders>
            <w:shd w:val="clear" w:color="auto" w:fill="FFFFFF"/>
            <w:vAlign w:val="center"/>
            <w:hideMark/>
          </w:tcPr>
          <w:p w:rsidR="008C7751" w:rsidRPr="00E00B35" w:rsidRDefault="008C7751" w:rsidP="00E00B35">
            <w:pPr>
              <w:spacing w:after="0" w:line="312" w:lineRule="auto"/>
              <w:rPr>
                <w:szCs w:val="20"/>
              </w:rPr>
            </w:pP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 xml:space="preserve">Poza projektami współfinansowanymi ze środków Unii Europejskiej prowadzono prace związane z działaniami, które otrzymały dofinansowanie ze środków krajowych, takich jak programy Ministerstwa Rodziny, Pracy i Polityki Społecznej, Państwowego Funduszu Rehabilitacji Osób Niepełnosprawnych, czy Narodowego Funduszu Ochrony Środowiska </w:t>
      </w:r>
      <w:r w:rsidRPr="00E00B35">
        <w:rPr>
          <w:szCs w:val="20"/>
        </w:rPr>
        <w:br/>
        <w:t>i Gospodarki Wodnej.</w:t>
      </w:r>
    </w:p>
    <w:p w:rsidR="008C7751" w:rsidRPr="00E00B35" w:rsidRDefault="008C7751" w:rsidP="00E00B35">
      <w:pPr>
        <w:spacing w:after="0" w:line="312" w:lineRule="auto"/>
        <w:rPr>
          <w:rFonts w:eastAsia="Arial Unicode MS"/>
          <w:szCs w:val="20"/>
        </w:rPr>
      </w:pPr>
    </w:p>
    <w:p w:rsidR="008C7751" w:rsidRPr="00E00B35" w:rsidRDefault="008C7751" w:rsidP="00E00B35">
      <w:pPr>
        <w:pStyle w:val="Nagwek4"/>
        <w:spacing w:before="0" w:after="0" w:line="312" w:lineRule="auto"/>
        <w:rPr>
          <w:sz w:val="20"/>
          <w:szCs w:val="20"/>
        </w:rPr>
      </w:pPr>
      <w:r w:rsidRPr="00E00B35">
        <w:rPr>
          <w:sz w:val="20"/>
          <w:szCs w:val="20"/>
        </w:rPr>
        <w:t>PROJEKTY SPOŁECZNE MONITOROWANE W 2020 ROKU, KTÓRYCH BENEFICJENTEM JEST GMINA WROCŁAW – PROGRAMY KRAJOWE</w:t>
      </w:r>
    </w:p>
    <w:tbl>
      <w:tblPr>
        <w:tblW w:w="5000" w:type="pct"/>
        <w:tblInd w:w="70" w:type="dxa"/>
        <w:shd w:val="clear" w:color="auto" w:fill="FFFFFF"/>
        <w:tblLayout w:type="fixed"/>
        <w:tblCellMar>
          <w:left w:w="70" w:type="dxa"/>
          <w:right w:w="70" w:type="dxa"/>
        </w:tblCellMar>
        <w:tblLook w:val="04A0"/>
      </w:tblPr>
      <w:tblGrid>
        <w:gridCol w:w="568"/>
        <w:gridCol w:w="1983"/>
        <w:gridCol w:w="1137"/>
        <w:gridCol w:w="1417"/>
        <w:gridCol w:w="1559"/>
        <w:gridCol w:w="991"/>
        <w:gridCol w:w="1557"/>
      </w:tblGrid>
      <w:tr w:rsidR="008C7751" w:rsidRPr="00E00B35" w:rsidTr="008C7751">
        <w:trPr>
          <w:trHeight w:val="420"/>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Lp.</w:t>
            </w:r>
          </w:p>
        </w:tc>
        <w:tc>
          <w:tcPr>
            <w:tcW w:w="107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Nazwa projektu</w:t>
            </w:r>
          </w:p>
        </w:tc>
        <w:tc>
          <w:tcPr>
            <w:tcW w:w="61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Okres realizacji</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Wkład zewnętrzny</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Wartość całkowita</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Program</w:t>
            </w:r>
          </w:p>
        </w:tc>
        <w:tc>
          <w:tcPr>
            <w:tcW w:w="84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Obszar</w:t>
            </w:r>
          </w:p>
        </w:tc>
      </w:tr>
      <w:tr w:rsidR="008C7751" w:rsidRPr="00E00B35" w:rsidTr="008C7751">
        <w:trPr>
          <w:trHeight w:val="719"/>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w:t>
            </w:r>
          </w:p>
        </w:tc>
        <w:tc>
          <w:tcPr>
            <w:tcW w:w="107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Program "Asystent osobisty osoby niepełnosprawnej" - edycja 2019-2021</w:t>
            </w:r>
          </w:p>
        </w:tc>
        <w:tc>
          <w:tcPr>
            <w:tcW w:w="61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2020-2020</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2 731 489,00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2 731 489,00</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MRPIPS</w:t>
            </w:r>
          </w:p>
        </w:tc>
        <w:tc>
          <w:tcPr>
            <w:tcW w:w="84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897"/>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w:t>
            </w:r>
          </w:p>
        </w:tc>
        <w:tc>
          <w:tcPr>
            <w:tcW w:w="107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Zadanie publiczne w ramach PROGRAMU WIELOLETNIEGO "SENIOR +" na lata 2015-2020, edycja 2020</w:t>
            </w:r>
          </w:p>
        </w:tc>
        <w:tc>
          <w:tcPr>
            <w:tcW w:w="61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2020-2020</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180 000,00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351 000,00</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MRPiPS</w:t>
            </w:r>
          </w:p>
        </w:tc>
        <w:tc>
          <w:tcPr>
            <w:tcW w:w="84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637"/>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w:t>
            </w:r>
          </w:p>
        </w:tc>
        <w:tc>
          <w:tcPr>
            <w:tcW w:w="107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Wyrównywanie różnic między regionami III, edycja 2020</w:t>
            </w:r>
          </w:p>
        </w:tc>
        <w:tc>
          <w:tcPr>
            <w:tcW w:w="61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2020-2020</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270 000,00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540 000,00</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PFRON</w:t>
            </w:r>
          </w:p>
        </w:tc>
        <w:tc>
          <w:tcPr>
            <w:tcW w:w="84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615"/>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w:t>
            </w:r>
          </w:p>
        </w:tc>
        <w:tc>
          <w:tcPr>
            <w:tcW w:w="107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Opieka wytchnieniowa we Wrocławiu w 2020</w:t>
            </w:r>
          </w:p>
        </w:tc>
        <w:tc>
          <w:tcPr>
            <w:tcW w:w="61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2020-2020</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363 600,00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453 600,00</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MRPiPS</w:t>
            </w:r>
          </w:p>
        </w:tc>
        <w:tc>
          <w:tcPr>
            <w:tcW w:w="84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1047"/>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w:t>
            </w:r>
          </w:p>
        </w:tc>
        <w:tc>
          <w:tcPr>
            <w:tcW w:w="107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Pomoc osobom niepełnosprawnym poszkodowanym w wyniku żywiołu lub sytuacji </w:t>
            </w:r>
            <w:r w:rsidRPr="00E00B35">
              <w:rPr>
                <w:szCs w:val="20"/>
              </w:rPr>
              <w:lastRenderedPageBreak/>
              <w:t>kryzysowych wywołanych chorobami zakaźnymi</w:t>
            </w:r>
          </w:p>
        </w:tc>
        <w:tc>
          <w:tcPr>
            <w:tcW w:w="61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2020-2020</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2 460 000,00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2 460 000,00</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PFRON</w:t>
            </w:r>
          </w:p>
        </w:tc>
        <w:tc>
          <w:tcPr>
            <w:tcW w:w="84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747"/>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6</w:t>
            </w:r>
          </w:p>
        </w:tc>
        <w:tc>
          <w:tcPr>
            <w:tcW w:w="107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Program asystent rodziny na rok 2020</w:t>
            </w:r>
          </w:p>
        </w:tc>
        <w:tc>
          <w:tcPr>
            <w:tcW w:w="61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2020-2020</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32 300,00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32 300,00</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MRPIPS</w:t>
            </w:r>
          </w:p>
        </w:tc>
        <w:tc>
          <w:tcPr>
            <w:tcW w:w="84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747"/>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w:t>
            </w:r>
          </w:p>
        </w:tc>
        <w:tc>
          <w:tcPr>
            <w:tcW w:w="107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Program Asystent osobisty osoby niepełnosprawnej na 2021 rok</w:t>
            </w:r>
          </w:p>
        </w:tc>
        <w:tc>
          <w:tcPr>
            <w:tcW w:w="61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2021-2021</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2 536 308,54</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2 536 308,54</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MRIPS</w:t>
            </w:r>
          </w:p>
        </w:tc>
        <w:tc>
          <w:tcPr>
            <w:tcW w:w="84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747"/>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w:t>
            </w:r>
          </w:p>
        </w:tc>
        <w:tc>
          <w:tcPr>
            <w:tcW w:w="107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Program Opieka wytchnieniowa na 2021 rok</w:t>
            </w:r>
          </w:p>
        </w:tc>
        <w:tc>
          <w:tcPr>
            <w:tcW w:w="61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2021-2021</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914 736,00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914 736,00</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MRIPS</w:t>
            </w:r>
          </w:p>
        </w:tc>
        <w:tc>
          <w:tcPr>
            <w:tcW w:w="84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747"/>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w:t>
            </w:r>
          </w:p>
        </w:tc>
        <w:tc>
          <w:tcPr>
            <w:tcW w:w="107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Wyrównywanie różnic między regionami III, edycja 2019</w:t>
            </w:r>
          </w:p>
        </w:tc>
        <w:tc>
          <w:tcPr>
            <w:tcW w:w="61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2019-20219</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79 695,00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144 900,00</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PFRON</w:t>
            </w:r>
          </w:p>
        </w:tc>
        <w:tc>
          <w:tcPr>
            <w:tcW w:w="84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747"/>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w:t>
            </w:r>
          </w:p>
        </w:tc>
        <w:tc>
          <w:tcPr>
            <w:tcW w:w="107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Wrocławska Strategia Rozwoju Elektromobilności</w:t>
            </w:r>
          </w:p>
        </w:tc>
        <w:tc>
          <w:tcPr>
            <w:tcW w:w="61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2019-2020</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100 000,00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100 000,00</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NFOŚiGW</w:t>
            </w:r>
          </w:p>
        </w:tc>
        <w:tc>
          <w:tcPr>
            <w:tcW w:w="845"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Transport</w:t>
            </w:r>
          </w:p>
        </w:tc>
      </w:tr>
      <w:tr w:rsidR="008C7751" w:rsidRPr="00E00B35" w:rsidTr="008C7751">
        <w:trPr>
          <w:trHeight w:val="420"/>
        </w:trPr>
        <w:tc>
          <w:tcPr>
            <w:tcW w:w="308" w:type="pct"/>
            <w:tcBorders>
              <w:top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1076" w:type="pct"/>
            <w:tcBorders>
              <w:top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SUMA</w:t>
            </w:r>
          </w:p>
        </w:tc>
        <w:tc>
          <w:tcPr>
            <w:tcW w:w="769"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9 668 128,54</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10 264 333,54</w:t>
            </w:r>
          </w:p>
        </w:tc>
        <w:tc>
          <w:tcPr>
            <w:tcW w:w="538" w:type="pct"/>
            <w:tcBorders>
              <w:top w:val="single" w:sz="4" w:space="0" w:color="auto"/>
              <w:lef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845" w:type="pct"/>
            <w:tcBorders>
              <w:top w:val="single" w:sz="4" w:space="0" w:color="auto"/>
            </w:tcBorders>
            <w:shd w:val="clear" w:color="auto" w:fill="FFFFFF"/>
            <w:vAlign w:val="center"/>
            <w:hideMark/>
          </w:tcPr>
          <w:p w:rsidR="008C7751" w:rsidRPr="00E00B35" w:rsidRDefault="008C7751" w:rsidP="00E00B35">
            <w:pPr>
              <w:spacing w:after="0" w:line="312" w:lineRule="auto"/>
              <w:rPr>
                <w:szCs w:val="20"/>
              </w:rPr>
            </w:pPr>
          </w:p>
        </w:tc>
      </w:tr>
    </w:tbl>
    <w:p w:rsidR="008C7751" w:rsidRPr="00E00B35" w:rsidRDefault="008C7751" w:rsidP="00E00B35">
      <w:pPr>
        <w:spacing w:after="0" w:line="312" w:lineRule="auto"/>
        <w:rPr>
          <w:szCs w:val="20"/>
        </w:rPr>
      </w:pPr>
    </w:p>
    <w:p w:rsidR="005E1BE7" w:rsidRPr="00E00B35" w:rsidRDefault="005E1BE7"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PROJEKTY SPOŁECZNE W PARTNERSTWACH Z INNYMI PODMIOTAMI</w:t>
      </w:r>
    </w:p>
    <w:p w:rsidR="008C7751" w:rsidRPr="00E00B35" w:rsidRDefault="008C7751" w:rsidP="00E00B35">
      <w:pPr>
        <w:spacing w:after="0" w:line="312" w:lineRule="auto"/>
        <w:rPr>
          <w:rStyle w:val="Pogrubienie"/>
          <w:b w:val="0"/>
          <w:szCs w:val="20"/>
        </w:rPr>
      </w:pPr>
      <w:r w:rsidRPr="00E00B35">
        <w:rPr>
          <w:szCs w:val="20"/>
        </w:rPr>
        <w:t xml:space="preserve">W 2020 r. monitorowano </w:t>
      </w:r>
      <w:r w:rsidRPr="00E00B35">
        <w:rPr>
          <w:b/>
          <w:szCs w:val="20"/>
        </w:rPr>
        <w:t>37</w:t>
      </w:r>
      <w:r w:rsidRPr="00E00B35">
        <w:rPr>
          <w:szCs w:val="20"/>
        </w:rPr>
        <w:t xml:space="preserve"> projektów realizowanych w partnerstwie z innymi podmiotami. </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PROJEKTY SPOŁECZNE PARTNERSKIE – MONITOROWANE W 2020 ROKU</w:t>
      </w:r>
    </w:p>
    <w:tbl>
      <w:tblPr>
        <w:tblW w:w="5000" w:type="pct"/>
        <w:tblInd w:w="70" w:type="dxa"/>
        <w:tblLayout w:type="fixed"/>
        <w:tblCellMar>
          <w:left w:w="70" w:type="dxa"/>
          <w:right w:w="70" w:type="dxa"/>
        </w:tblCellMar>
        <w:tblLook w:val="04A0"/>
      </w:tblPr>
      <w:tblGrid>
        <w:gridCol w:w="567"/>
        <w:gridCol w:w="1986"/>
        <w:gridCol w:w="991"/>
        <w:gridCol w:w="1559"/>
        <w:gridCol w:w="1559"/>
        <w:gridCol w:w="1275"/>
        <w:gridCol w:w="1275"/>
      </w:tblGrid>
      <w:tr w:rsidR="008C7751" w:rsidRPr="00E00B35" w:rsidTr="008C7751">
        <w:trPr>
          <w:trHeight w:val="465"/>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Lp.</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Nazwa projektu</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Okres realizacji</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Wkład UE dla Miasta</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Wartość całkowita dla Miasta</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Żródło finansowania</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Obszar</w:t>
            </w:r>
          </w:p>
        </w:tc>
      </w:tr>
      <w:tr w:rsidR="008C7751" w:rsidRPr="00E00B35" w:rsidTr="008C7751">
        <w:trPr>
          <w:trHeight w:val="1061"/>
        </w:trPr>
        <w:tc>
          <w:tcPr>
            <w:tcW w:w="30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Re-start</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259 500,00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Fundusz Azylu, Migracji i Integracji</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989"/>
        </w:trPr>
        <w:tc>
          <w:tcPr>
            <w:tcW w:w="30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SAMO-Dzielni edycja 2</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2020-2023</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836 788,87</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1 047 420,00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1119"/>
        </w:trPr>
        <w:tc>
          <w:tcPr>
            <w:tcW w:w="30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3</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Zintegrowani</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113 750,00</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17 065,00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783"/>
        </w:trPr>
        <w:tc>
          <w:tcPr>
            <w:tcW w:w="30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Najpierw mieszkanie</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2019-2022</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290 530,00</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345 530,00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695"/>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Droga do domu</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364 746,90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407 916,00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975"/>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w:t>
            </w:r>
          </w:p>
        </w:tc>
        <w:tc>
          <w:tcPr>
            <w:tcW w:w="10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Mój drugi dom - zapewnienie wsparcia dla osób niesamodzielnych w dziennych domach pomocy we Wrocławiu</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8 103 276,75</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8 542 128,16</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RPO WD 2014-2020 </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1116"/>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Każdego dnia bezpieczniej w domach pomocy społecznej</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2019-2022</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835 902,69</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874 131,70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464"/>
        </w:trPr>
        <w:tc>
          <w:tcPr>
            <w:tcW w:w="30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Klub Integracji Społecznej we Wrocławiu</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2019-2022</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1 063 287,31</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1 232 015,64</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1026"/>
        </w:trPr>
        <w:tc>
          <w:tcPr>
            <w:tcW w:w="30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Azyl -Usługi opiekuńcze dla osób niesamodzielnych</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2020-2023</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745 100,00</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745 100,00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1109"/>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10</w:t>
            </w:r>
          </w:p>
        </w:tc>
        <w:tc>
          <w:tcPr>
            <w:tcW w:w="10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Droga do samodzielności - stworzenie 30 miejsc świadczenia usług społecznych w ramach 6 mieszkań treningowych na obszarze miasta Wrocławia</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2019-2022</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20 859,46</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125 156,74</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630"/>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11</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Aktywni bez barier</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2017-2019</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246 434,62</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246 434,62</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992"/>
        </w:trPr>
        <w:tc>
          <w:tcPr>
            <w:tcW w:w="30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Dolnośląskie żłobki</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2018-2019</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432 713,32</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525 190,88</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992"/>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13</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SAMO-DZIELNI</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2017-2019</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221 543,70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316 868,35</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Włączenie Społeczne</w:t>
            </w:r>
          </w:p>
        </w:tc>
      </w:tr>
      <w:tr w:rsidR="008C7751" w:rsidRPr="00E00B35" w:rsidTr="008C7751">
        <w:trPr>
          <w:trHeight w:val="1160"/>
        </w:trPr>
        <w:tc>
          <w:tcPr>
            <w:tcW w:w="30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Domowa przystań</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2017-2020</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759 074,39</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790 272,54</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Współpraca ponadnarodowa i innowacje społeczne</w:t>
            </w:r>
          </w:p>
        </w:tc>
      </w:tr>
      <w:tr w:rsidR="008C7751" w:rsidRPr="00E00B35" w:rsidTr="008C7751">
        <w:trPr>
          <w:trHeight w:val="660"/>
        </w:trPr>
        <w:tc>
          <w:tcPr>
            <w:tcW w:w="30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15</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Szkoły Gminy Wrocław i Gminy Czernica to kompetencji skarbnica</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1 015 799,56</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1 070 099,56</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967"/>
        </w:trPr>
        <w:tc>
          <w:tcPr>
            <w:tcW w:w="308" w:type="pct"/>
            <w:tcBorders>
              <w:top w:val="nil"/>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16</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Klucz do przyszłości- program rozwoju kompetencji kluczowych w szkołach podstawowych i ponadpodstawowych Gminy Wrocław i Gminy Czernica</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9 293 103,35</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9 782 214,05</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33"/>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17</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Podniesienie kompetencji i rozwój umiejętności uczniów z obszaru ZIT WrOF</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528 939,62</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566 496,02</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183"/>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18</w:t>
            </w:r>
          </w:p>
        </w:tc>
        <w:tc>
          <w:tcPr>
            <w:tcW w:w="10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Klasa patronacka Uniwersytetu Przyrodniczego we Wrocławiu trzecią misją uczelni</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2018-2021</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71 099,70</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78 600,00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40"/>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19</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Expanding horizons</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 (partnerstwo pozabudżetowe)</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 (partnerstwo pozabudżetowe)</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Erasmus +</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40"/>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w:t>
            </w:r>
          </w:p>
        </w:tc>
        <w:tc>
          <w:tcPr>
            <w:tcW w:w="10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Dolnośląska Szkoła Ćwiczeń</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1 228 203,50</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1 228 203,50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63"/>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21</w:t>
            </w:r>
          </w:p>
        </w:tc>
        <w:tc>
          <w:tcPr>
            <w:tcW w:w="10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Dobry staż lepsze jutro - zwiększenie oferty wrocławskich szkół zawodowych</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1 397 504,00</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1 603 900,00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30"/>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22</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Uniwersytet Młodego Przyrodnika</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28 346,50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37 000,00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555"/>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23</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Społeczne i technologiczne kompetencje ucznia</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2019-2022</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 (partnerstwo pozabudżetowe)</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 (partnerstwo pozabudżetowe)</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63"/>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24</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Trzecia misja Wyższej Szkoły Bankowej we Wrocławiu - "Uniwersytet Młodego Odkrywcy"</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2018-2021</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12 589,00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25"/>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25</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Dolnośląski klaster edukacyjny</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 (partnerstwo pozabudżetowe)</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 (partnerstwo pozabudżetowe)</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257"/>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26</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Nowoczesne technologie informatyczne jako przygotowanie do rozpoczęcia udanej kariery zawodowej uczniów ZSTE</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2018-2020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42 000,00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42 000,00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WER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30"/>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27</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Lekcja: Enter</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2019-2021</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 (partnerstwo pozabudżetowe)</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 (partnerstwo pozabudżetowe)</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PO PC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51"/>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28</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Eksperci programowania w programie 5 - M </w:t>
            </w:r>
            <w:r w:rsidRPr="00E00B35">
              <w:rPr>
                <w:szCs w:val="20"/>
              </w:rPr>
              <w:lastRenderedPageBreak/>
              <w:t>Wrocław</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2019-2021</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 (partnerstwo pozabudżeto</w:t>
            </w:r>
            <w:r w:rsidRPr="00E00B35">
              <w:rPr>
                <w:szCs w:val="20"/>
              </w:rPr>
              <w:lastRenderedPageBreak/>
              <w:t>we)</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0,00 (partnerstwo pozabudżeto</w:t>
            </w:r>
            <w:r w:rsidRPr="00E00B35">
              <w:rPr>
                <w:szCs w:val="20"/>
              </w:rPr>
              <w:lastRenderedPageBreak/>
              <w:t>we)</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PO PC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843"/>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29</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Wsparcie Kształcenia Zawodowego – Poprawa Efektów</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2020-2023</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428 002,50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854 940,00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03"/>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30</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Staż motorem kariery - nowa jakość kształcenia zawodowego</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2021-2022</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33 000,00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33 000,00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695"/>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31</w:t>
            </w:r>
          </w:p>
        </w:tc>
        <w:tc>
          <w:tcPr>
            <w:tcW w:w="10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Uczeń aktywnym uczestnikiem rynku pracy</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0,00</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199 665,20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705"/>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32</w:t>
            </w:r>
          </w:p>
        </w:tc>
        <w:tc>
          <w:tcPr>
            <w:tcW w:w="10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Bliżej Rynku Pracy- poprawa wrocławskiego rynku kształcenia zawodowego</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2021-2023</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1 728 854,00</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778 354,00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075"/>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33</w:t>
            </w:r>
          </w:p>
        </w:tc>
        <w:tc>
          <w:tcPr>
            <w:tcW w:w="10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Wspieramy zawody przyszłości w szkołach województwa dolnośląskiego</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2020-2022</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42 000,00</w:t>
            </w:r>
          </w:p>
        </w:tc>
        <w:tc>
          <w:tcPr>
            <w:tcW w:w="84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42 000,00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28"/>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34</w:t>
            </w:r>
          </w:p>
        </w:tc>
        <w:tc>
          <w:tcPr>
            <w:tcW w:w="107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Pracownik przyszłości dla dolnośląskich firm technologicznych</w:t>
            </w:r>
          </w:p>
        </w:tc>
        <w:tc>
          <w:tcPr>
            <w:tcW w:w="538"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2021-2023</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96 000,00</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96 000,00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524"/>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35</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Eko-eksperyment! Nowe technologie w nauczaniu przedmiotów matematyczno-przyrodniczych z elementami przedsiębiorczości i ekorozwiązań</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2018-2019</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220 323,00</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263 250,00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1251"/>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36</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 xml:space="preserve">Kampania edukacyjno-informacyjna z zakresu ochrony bioróżnorodności </w:t>
            </w:r>
            <w:r w:rsidRPr="00E00B35">
              <w:rPr>
                <w:szCs w:val="20"/>
              </w:rPr>
              <w:lastRenderedPageBreak/>
              <w:t>oraz ochrony jakości powietrza we Wrocławiu i 10 gminach Dolnego Śląska</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2018-2019</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328 390,25</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386 341,47</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Edukacja</w:t>
            </w:r>
          </w:p>
        </w:tc>
      </w:tr>
      <w:tr w:rsidR="008C7751" w:rsidRPr="00E00B35" w:rsidTr="008C7751">
        <w:trPr>
          <w:trHeight w:val="428"/>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37</w:t>
            </w:r>
          </w:p>
        </w:tc>
        <w:tc>
          <w:tcPr>
            <w:tcW w:w="107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Promocja Wrocławia i Dolnego Śląska w kraju i zagranicą jako obszaru atrakcyjnego pod względem gospodarczym i inwestycyjnym</w:t>
            </w:r>
          </w:p>
        </w:tc>
        <w:tc>
          <w:tcPr>
            <w:tcW w:w="538"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2020-2021</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212 500,00</w:t>
            </w:r>
          </w:p>
        </w:tc>
        <w:tc>
          <w:tcPr>
            <w:tcW w:w="846"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250 000,00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RPO WD 2014-2020</w:t>
            </w:r>
          </w:p>
        </w:tc>
        <w:tc>
          <w:tcPr>
            <w:tcW w:w="692" w:type="pct"/>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Promocja regionu</w:t>
            </w:r>
          </w:p>
        </w:tc>
      </w:tr>
      <w:tr w:rsidR="008C7751" w:rsidRPr="00E00B35" w:rsidTr="008C7751">
        <w:trPr>
          <w:trHeight w:val="428"/>
        </w:trPr>
        <w:tc>
          <w:tcPr>
            <w:tcW w:w="308" w:type="pct"/>
            <w:tcBorders>
              <w:top w:val="single" w:sz="4" w:space="0" w:color="auto"/>
            </w:tcBorders>
            <w:shd w:val="clear" w:color="auto" w:fill="FFFFFF"/>
            <w:vAlign w:val="center"/>
            <w:hideMark/>
          </w:tcPr>
          <w:p w:rsidR="008C7751" w:rsidRPr="00E00B35" w:rsidRDefault="008C7751" w:rsidP="00E00B35">
            <w:pPr>
              <w:spacing w:after="0" w:line="312" w:lineRule="auto"/>
              <w:rPr>
                <w:szCs w:val="20"/>
                <w:highlight w:val="cyan"/>
              </w:rPr>
            </w:pPr>
          </w:p>
        </w:tc>
        <w:tc>
          <w:tcPr>
            <w:tcW w:w="1078" w:type="pct"/>
            <w:tcBorders>
              <w:top w:val="single" w:sz="4" w:space="0" w:color="auto"/>
              <w:left w:val="nil"/>
              <w:righ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SUMA</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30 728 073,99</w:t>
            </w:r>
          </w:p>
        </w:tc>
        <w:tc>
          <w:tcPr>
            <w:tcW w:w="84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32 799 382,43</w:t>
            </w:r>
          </w:p>
        </w:tc>
        <w:tc>
          <w:tcPr>
            <w:tcW w:w="692" w:type="pct"/>
            <w:tcBorders>
              <w:top w:val="single" w:sz="4" w:space="0" w:color="auto"/>
              <w:left w:val="single" w:sz="4" w:space="0" w:color="auto"/>
            </w:tcBorders>
            <w:shd w:val="clear" w:color="auto" w:fill="FFFFFF"/>
            <w:vAlign w:val="center"/>
            <w:hideMark/>
          </w:tcPr>
          <w:p w:rsidR="008C7751" w:rsidRPr="00E00B35" w:rsidRDefault="008C7751" w:rsidP="00E00B35">
            <w:pPr>
              <w:spacing w:after="0" w:line="312" w:lineRule="auto"/>
              <w:rPr>
                <w:szCs w:val="20"/>
              </w:rPr>
            </w:pPr>
          </w:p>
        </w:tc>
        <w:tc>
          <w:tcPr>
            <w:tcW w:w="692" w:type="pct"/>
            <w:tcBorders>
              <w:top w:val="single" w:sz="4" w:space="0" w:color="auto"/>
            </w:tcBorders>
            <w:shd w:val="clear" w:color="auto" w:fill="FFFFFF"/>
            <w:vAlign w:val="center"/>
            <w:hideMark/>
          </w:tcPr>
          <w:p w:rsidR="008C7751" w:rsidRPr="00E00B35" w:rsidRDefault="008C7751" w:rsidP="00E00B35">
            <w:pPr>
              <w:spacing w:after="0" w:line="312" w:lineRule="auto"/>
              <w:rPr>
                <w:szCs w:val="20"/>
              </w:rPr>
            </w:pPr>
          </w:p>
        </w:tc>
      </w:tr>
    </w:tbl>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PROJEKTY W RAMACH PROGRAMÓW MIĘDZYNARODOWYCH</w:t>
      </w:r>
    </w:p>
    <w:p w:rsidR="008C7751" w:rsidRPr="00E00B35" w:rsidRDefault="008C7751" w:rsidP="00E00B35">
      <w:pPr>
        <w:spacing w:after="0" w:line="312" w:lineRule="auto"/>
        <w:rPr>
          <w:szCs w:val="20"/>
        </w:rPr>
      </w:pPr>
      <w:r w:rsidRPr="00E00B35">
        <w:rPr>
          <w:szCs w:val="20"/>
        </w:rPr>
        <w:t>Projekty realizowane w ramach programów międzynarodowych obejmują obszary włączenia społecznego, również z elementami infrastrukturalnymi, walki ze zmianami klimatu oraz rolą miast w zmieniającym się świecie. W roku 2020 kontynuowano m. in. realizację międzynarodowego projektu "Grow Green", realizowanego w partnerstwie z 23 partnerami z wielu krajów członkowskich. Poniższe zestawienie przedstawia także projekty międzynarodowe, w których Gmina Wrocław była Liderem lub partnerem w projekcie.</w:t>
      </w:r>
    </w:p>
    <w:p w:rsidR="008C7751" w:rsidRPr="00E00B35" w:rsidRDefault="008C7751" w:rsidP="00E00B35">
      <w:pPr>
        <w:spacing w:after="0" w:line="312" w:lineRule="auto"/>
        <w:rPr>
          <w:rFonts w:cs="Arial"/>
          <w:b/>
          <w:bCs/>
          <w:szCs w:val="20"/>
        </w:rPr>
      </w:pPr>
    </w:p>
    <w:p w:rsidR="008C7751" w:rsidRPr="00E00B35" w:rsidRDefault="008C7751" w:rsidP="00E00B35">
      <w:pPr>
        <w:pStyle w:val="Nagwek4"/>
        <w:spacing w:before="0" w:after="0" w:line="312" w:lineRule="auto"/>
        <w:rPr>
          <w:sz w:val="20"/>
          <w:szCs w:val="20"/>
        </w:rPr>
      </w:pPr>
      <w:r w:rsidRPr="00E00B35">
        <w:rPr>
          <w:sz w:val="20"/>
          <w:szCs w:val="20"/>
        </w:rPr>
        <w:t>PROJEKTY W RAMACH PROGRAMÓW MIĘDZYNARODOWYCH MONITOROWANE W 2020 ROKU</w:t>
      </w:r>
    </w:p>
    <w:tbl>
      <w:tblPr>
        <w:tblW w:w="5076" w:type="pct"/>
        <w:tblInd w:w="70" w:type="dxa"/>
        <w:tblLayout w:type="fixed"/>
        <w:tblCellMar>
          <w:left w:w="70" w:type="dxa"/>
          <w:right w:w="70" w:type="dxa"/>
        </w:tblCellMar>
        <w:tblLook w:val="04A0"/>
      </w:tblPr>
      <w:tblGrid>
        <w:gridCol w:w="569"/>
        <w:gridCol w:w="1984"/>
        <w:gridCol w:w="1133"/>
        <w:gridCol w:w="1560"/>
        <w:gridCol w:w="1560"/>
        <w:gridCol w:w="1416"/>
        <w:gridCol w:w="1130"/>
      </w:tblGrid>
      <w:tr w:rsidR="008C7751" w:rsidRPr="00E00B35" w:rsidTr="005E1BE7">
        <w:trPr>
          <w:trHeight w:val="465"/>
        </w:trPr>
        <w:tc>
          <w:tcPr>
            <w:tcW w:w="3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Lp.</w:t>
            </w:r>
          </w:p>
        </w:tc>
        <w:tc>
          <w:tcPr>
            <w:tcW w:w="1061"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Nazwa projektu</w:t>
            </w:r>
          </w:p>
        </w:tc>
        <w:tc>
          <w:tcPr>
            <w:tcW w:w="606"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Okres realizacji</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Wkład UE/ środki krajowe dla Miasta</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Wartość całkowita dla Miasta</w:t>
            </w:r>
          </w:p>
        </w:tc>
        <w:tc>
          <w:tcPr>
            <w:tcW w:w="757"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Żródło finansowania</w:t>
            </w:r>
          </w:p>
        </w:tc>
        <w:tc>
          <w:tcPr>
            <w:tcW w:w="60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Obszar</w:t>
            </w:r>
          </w:p>
        </w:tc>
      </w:tr>
      <w:tr w:rsidR="008C7751" w:rsidRPr="00E00B35" w:rsidTr="005E1BE7">
        <w:trPr>
          <w:trHeight w:val="770"/>
        </w:trPr>
        <w:tc>
          <w:tcPr>
            <w:tcW w:w="304" w:type="pct"/>
            <w:tcBorders>
              <w:top w:val="nil"/>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1</w:t>
            </w:r>
          </w:p>
        </w:tc>
        <w:tc>
          <w:tcPr>
            <w:tcW w:w="1061"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Mój zielony DOM</w:t>
            </w:r>
          </w:p>
        </w:tc>
        <w:tc>
          <w:tcPr>
            <w:tcW w:w="606"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2014-2017</w:t>
            </w:r>
          </w:p>
        </w:tc>
        <w:tc>
          <w:tcPr>
            <w:tcW w:w="834"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2 235 120,00</w:t>
            </w:r>
          </w:p>
        </w:tc>
        <w:tc>
          <w:tcPr>
            <w:tcW w:w="834"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2 629 533,00</w:t>
            </w:r>
          </w:p>
        </w:tc>
        <w:tc>
          <w:tcPr>
            <w:tcW w:w="757"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NMF i EOG</w:t>
            </w:r>
          </w:p>
        </w:tc>
        <w:tc>
          <w:tcPr>
            <w:tcW w:w="604"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Edukacja</w:t>
            </w:r>
          </w:p>
        </w:tc>
      </w:tr>
      <w:tr w:rsidR="008C7751" w:rsidRPr="00E00B35" w:rsidTr="005E1BE7">
        <w:trPr>
          <w:trHeight w:val="1464"/>
        </w:trPr>
        <w:tc>
          <w:tcPr>
            <w:tcW w:w="304" w:type="pct"/>
            <w:tcBorders>
              <w:top w:val="nil"/>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w:t>
            </w:r>
          </w:p>
        </w:tc>
        <w:tc>
          <w:tcPr>
            <w:tcW w:w="1061"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Kompleksowa adaptacja placówek oświatowych na terenie Wrocławia wraz z podniesieniem świadomości</w:t>
            </w:r>
            <w:r w:rsidRPr="00E00B35">
              <w:rPr>
                <w:szCs w:val="20"/>
              </w:rPr>
              <w:br/>
            </w:r>
            <w:r w:rsidRPr="00E00B35">
              <w:rPr>
                <w:szCs w:val="20"/>
              </w:rPr>
              <w:lastRenderedPageBreak/>
              <w:t>ekologicznej w zakresie zachodzących zmian klimatycznych wśród młodzieży i nauczycieli</w:t>
            </w:r>
          </w:p>
        </w:tc>
        <w:tc>
          <w:tcPr>
            <w:tcW w:w="606"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lastRenderedPageBreak/>
              <w:t>2021-2023</w:t>
            </w:r>
          </w:p>
        </w:tc>
        <w:tc>
          <w:tcPr>
            <w:tcW w:w="834"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3 050 375,00</w:t>
            </w:r>
          </w:p>
        </w:tc>
        <w:tc>
          <w:tcPr>
            <w:tcW w:w="834"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3 050 375,00</w:t>
            </w:r>
          </w:p>
        </w:tc>
        <w:tc>
          <w:tcPr>
            <w:tcW w:w="757"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NMF I EOG</w:t>
            </w:r>
          </w:p>
        </w:tc>
        <w:tc>
          <w:tcPr>
            <w:tcW w:w="604"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Edukacja</w:t>
            </w:r>
          </w:p>
        </w:tc>
      </w:tr>
      <w:tr w:rsidR="008C7751" w:rsidRPr="00E00B35" w:rsidTr="005E1BE7">
        <w:trPr>
          <w:trHeight w:val="697"/>
        </w:trPr>
        <w:tc>
          <w:tcPr>
            <w:tcW w:w="304" w:type="pct"/>
            <w:tcBorders>
              <w:top w:val="nil"/>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lastRenderedPageBreak/>
              <w:t>3</w:t>
            </w:r>
          </w:p>
        </w:tc>
        <w:tc>
          <w:tcPr>
            <w:tcW w:w="1061"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Grow Green</w:t>
            </w:r>
          </w:p>
        </w:tc>
        <w:tc>
          <w:tcPr>
            <w:tcW w:w="606"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2017-2020</w:t>
            </w:r>
          </w:p>
        </w:tc>
        <w:tc>
          <w:tcPr>
            <w:tcW w:w="834"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7 099 825,00</w:t>
            </w:r>
          </w:p>
        </w:tc>
        <w:tc>
          <w:tcPr>
            <w:tcW w:w="834"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9 099 825,00</w:t>
            </w:r>
          </w:p>
        </w:tc>
        <w:tc>
          <w:tcPr>
            <w:tcW w:w="757" w:type="pct"/>
            <w:tcBorders>
              <w:top w:val="nil"/>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Horyzont 2020</w:t>
            </w:r>
          </w:p>
        </w:tc>
        <w:tc>
          <w:tcPr>
            <w:tcW w:w="604" w:type="pct"/>
            <w:tcBorders>
              <w:top w:val="nil"/>
              <w:left w:val="nil"/>
              <w:bottom w:val="single" w:sz="4" w:space="0" w:color="auto"/>
              <w:right w:val="single" w:sz="4" w:space="0" w:color="auto"/>
            </w:tcBorders>
            <w:shd w:val="clear" w:color="auto" w:fill="auto"/>
            <w:vAlign w:val="bottom"/>
            <w:hideMark/>
          </w:tcPr>
          <w:p w:rsidR="008C7751" w:rsidRPr="00E00B35" w:rsidRDefault="008C7751" w:rsidP="00E00B35">
            <w:pPr>
              <w:shd w:val="clear" w:color="auto" w:fill="FFFFFF"/>
              <w:spacing w:after="0" w:line="312" w:lineRule="auto"/>
              <w:rPr>
                <w:szCs w:val="20"/>
              </w:rPr>
            </w:pPr>
            <w:r w:rsidRPr="00E00B35">
              <w:rPr>
                <w:szCs w:val="20"/>
              </w:rPr>
              <w:t>Ochrona środowiska</w:t>
            </w:r>
          </w:p>
        </w:tc>
      </w:tr>
      <w:tr w:rsidR="008C7751" w:rsidRPr="00E00B35" w:rsidTr="005E1BE7">
        <w:trPr>
          <w:trHeight w:val="850"/>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4</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Arts and Culture Tackling Climate Change (C-Change)</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2018-2020</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241 600,00</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284 251,00</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URBACT</w:t>
            </w:r>
          </w:p>
        </w:tc>
        <w:tc>
          <w:tcPr>
            <w:tcW w:w="604" w:type="pct"/>
            <w:tcBorders>
              <w:top w:val="single" w:sz="4" w:space="0" w:color="auto"/>
              <w:left w:val="nil"/>
              <w:bottom w:val="single" w:sz="4" w:space="0" w:color="auto"/>
              <w:right w:val="single" w:sz="4" w:space="0" w:color="auto"/>
            </w:tcBorders>
            <w:shd w:val="clear" w:color="auto" w:fill="auto"/>
            <w:vAlign w:val="bottom"/>
            <w:hideMark/>
          </w:tcPr>
          <w:p w:rsidR="008C7751" w:rsidRPr="00E00B35" w:rsidRDefault="008C7751" w:rsidP="00E00B35">
            <w:pPr>
              <w:shd w:val="clear" w:color="auto" w:fill="FFFFFF"/>
              <w:spacing w:after="0" w:line="312" w:lineRule="auto"/>
              <w:rPr>
                <w:szCs w:val="20"/>
              </w:rPr>
            </w:pPr>
            <w:r w:rsidRPr="00E00B35">
              <w:rPr>
                <w:szCs w:val="20"/>
              </w:rPr>
              <w:t>Ochrona środowiska</w:t>
            </w:r>
          </w:p>
        </w:tc>
      </w:tr>
      <w:tr w:rsidR="008C7751" w:rsidRPr="00E00B35" w:rsidTr="005E1BE7">
        <w:trPr>
          <w:trHeight w:val="925"/>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5</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DiverCITY4-polsko-norweska współpraca w zakresie kreowania nowoczesnych rozwiązań rozwojowych w miastach</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2019-2020</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1 290 000,00</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1 290 000,00</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 xml:space="preserve">NMF I EOG </w:t>
            </w:r>
          </w:p>
        </w:tc>
        <w:tc>
          <w:tcPr>
            <w:tcW w:w="60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Współpraca ponadnarodowa i innowacje społeczne</w:t>
            </w:r>
          </w:p>
        </w:tc>
      </w:tr>
      <w:tr w:rsidR="008C7751" w:rsidRPr="00E00B35" w:rsidTr="005E1BE7">
        <w:trPr>
          <w:trHeight w:val="1348"/>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6</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Train the skills!-zwiększenie kompetencji nauczycieli w dziedzinie elektro-elektrycznej jako wymiana polsko-norweskich doświadczeń w kształceniu zawodowym</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2021-2021</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102 283,98</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102 283,98</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 xml:space="preserve">NMF I EOG </w:t>
            </w:r>
          </w:p>
        </w:tc>
        <w:tc>
          <w:tcPr>
            <w:tcW w:w="60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Współpraca ponadnarodowa i innowacje społeczne</w:t>
            </w:r>
          </w:p>
        </w:tc>
      </w:tr>
      <w:tr w:rsidR="008C7751" w:rsidRPr="00E00B35" w:rsidTr="005E1BE7">
        <w:trPr>
          <w:trHeight w:val="516"/>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7</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Foodshift2030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2020-2023</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401 510,00</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401 510,00</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Horyzont 2020</w:t>
            </w:r>
          </w:p>
        </w:tc>
        <w:tc>
          <w:tcPr>
            <w:tcW w:w="604" w:type="pct"/>
            <w:tcBorders>
              <w:top w:val="single" w:sz="4" w:space="0" w:color="auto"/>
              <w:left w:val="nil"/>
              <w:bottom w:val="single" w:sz="4" w:space="0" w:color="auto"/>
              <w:right w:val="single" w:sz="4" w:space="0" w:color="auto"/>
            </w:tcBorders>
            <w:shd w:val="clear" w:color="auto" w:fill="auto"/>
            <w:vAlign w:val="bottom"/>
            <w:hideMark/>
          </w:tcPr>
          <w:p w:rsidR="008C7751" w:rsidRPr="00E00B35" w:rsidRDefault="008C7751" w:rsidP="00E00B35">
            <w:pPr>
              <w:shd w:val="clear" w:color="auto" w:fill="FFFFFF"/>
              <w:spacing w:after="0" w:line="312" w:lineRule="auto"/>
              <w:rPr>
                <w:szCs w:val="20"/>
              </w:rPr>
            </w:pPr>
            <w:r w:rsidRPr="00E00B35">
              <w:rPr>
                <w:szCs w:val="20"/>
              </w:rPr>
              <w:t>Współpraca ponadnarodowa i innowacje społeczne</w:t>
            </w:r>
          </w:p>
        </w:tc>
      </w:tr>
      <w:tr w:rsidR="008C7751" w:rsidRPr="00E00B35" w:rsidTr="005E1BE7">
        <w:trPr>
          <w:trHeight w:val="516"/>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lastRenderedPageBreak/>
              <w:t>8</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Upright</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2018-2021</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217 000,00</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217 000,00</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Horyzont 2020</w:t>
            </w:r>
          </w:p>
        </w:tc>
        <w:tc>
          <w:tcPr>
            <w:tcW w:w="604" w:type="pct"/>
            <w:tcBorders>
              <w:top w:val="single" w:sz="4" w:space="0" w:color="auto"/>
              <w:left w:val="nil"/>
              <w:bottom w:val="single" w:sz="4" w:space="0" w:color="auto"/>
              <w:right w:val="single" w:sz="4" w:space="0" w:color="auto"/>
            </w:tcBorders>
            <w:shd w:val="clear" w:color="auto" w:fill="auto"/>
            <w:vAlign w:val="bottom"/>
            <w:hideMark/>
          </w:tcPr>
          <w:p w:rsidR="008C7751" w:rsidRPr="00E00B35" w:rsidRDefault="008C7751" w:rsidP="00E00B35">
            <w:pPr>
              <w:shd w:val="clear" w:color="auto" w:fill="FFFFFF"/>
              <w:spacing w:after="0" w:line="312" w:lineRule="auto"/>
              <w:rPr>
                <w:szCs w:val="20"/>
              </w:rPr>
            </w:pPr>
            <w:r w:rsidRPr="00E00B35">
              <w:rPr>
                <w:szCs w:val="20"/>
              </w:rPr>
              <w:t>Współpraca ponadnarodowa i innowacje społeczne</w:t>
            </w:r>
          </w:p>
        </w:tc>
      </w:tr>
      <w:tr w:rsidR="008C7751" w:rsidRPr="00E00B35" w:rsidTr="005E1BE7">
        <w:trPr>
          <w:trHeight w:val="771"/>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Find your greatness: Europe's first strategic brandbuilding program for smart cities</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2018-2022</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283 597,00</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333 643,00</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URBACT</w:t>
            </w:r>
          </w:p>
        </w:tc>
        <w:tc>
          <w:tcPr>
            <w:tcW w:w="604" w:type="pct"/>
            <w:tcBorders>
              <w:top w:val="single" w:sz="4" w:space="0" w:color="auto"/>
              <w:left w:val="nil"/>
              <w:bottom w:val="single" w:sz="4" w:space="0" w:color="auto"/>
              <w:right w:val="single" w:sz="4" w:space="0" w:color="auto"/>
            </w:tcBorders>
            <w:shd w:val="clear" w:color="auto" w:fill="auto"/>
            <w:vAlign w:val="bottom"/>
            <w:hideMark/>
          </w:tcPr>
          <w:p w:rsidR="008C7751" w:rsidRPr="00E00B35" w:rsidRDefault="008C7751" w:rsidP="00E00B35">
            <w:pPr>
              <w:shd w:val="clear" w:color="auto" w:fill="FFFFFF"/>
              <w:spacing w:after="0" w:line="312" w:lineRule="auto"/>
              <w:rPr>
                <w:szCs w:val="20"/>
              </w:rPr>
            </w:pPr>
            <w:r w:rsidRPr="00E00B35">
              <w:rPr>
                <w:szCs w:val="20"/>
              </w:rPr>
              <w:t>Współpraca ponadnarodowa i innowacje społeczne</w:t>
            </w:r>
          </w:p>
        </w:tc>
      </w:tr>
      <w:tr w:rsidR="008C7751" w:rsidRPr="00E00B35" w:rsidTr="005E1BE7">
        <w:trPr>
          <w:trHeight w:val="516"/>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10</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Sieć dziedzictwa żydowskiego</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2019-2021</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64 500,00</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70 950,00</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Europa dla Obywateli</w:t>
            </w:r>
          </w:p>
        </w:tc>
        <w:tc>
          <w:tcPr>
            <w:tcW w:w="604" w:type="pct"/>
            <w:tcBorders>
              <w:top w:val="single" w:sz="4" w:space="0" w:color="auto"/>
              <w:left w:val="nil"/>
              <w:bottom w:val="single" w:sz="4" w:space="0" w:color="auto"/>
              <w:right w:val="single" w:sz="4" w:space="0" w:color="auto"/>
            </w:tcBorders>
            <w:shd w:val="clear" w:color="auto" w:fill="auto"/>
            <w:vAlign w:val="bottom"/>
            <w:hideMark/>
          </w:tcPr>
          <w:p w:rsidR="008C7751" w:rsidRPr="00E00B35" w:rsidRDefault="008C7751" w:rsidP="00E00B35">
            <w:pPr>
              <w:shd w:val="clear" w:color="auto" w:fill="FFFFFF"/>
              <w:spacing w:after="0" w:line="312" w:lineRule="auto"/>
              <w:rPr>
                <w:szCs w:val="20"/>
              </w:rPr>
            </w:pPr>
            <w:r w:rsidRPr="00E00B35">
              <w:rPr>
                <w:szCs w:val="20"/>
              </w:rPr>
              <w:t>Współpraca ponadnarodowa i innowacje społeczne</w:t>
            </w:r>
          </w:p>
        </w:tc>
      </w:tr>
      <w:tr w:rsidR="008C7751" w:rsidRPr="00E00B35" w:rsidTr="005E1BE7">
        <w:trPr>
          <w:trHeight w:val="516"/>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11</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NATSOL</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2020-02-15</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0,00</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0,00</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r w:rsidRPr="00E00B35">
              <w:rPr>
                <w:szCs w:val="20"/>
              </w:rPr>
              <w:t>Horyzont 2020</w:t>
            </w:r>
          </w:p>
        </w:tc>
        <w:tc>
          <w:tcPr>
            <w:tcW w:w="604" w:type="pct"/>
            <w:tcBorders>
              <w:top w:val="single" w:sz="4" w:space="0" w:color="auto"/>
              <w:left w:val="nil"/>
              <w:bottom w:val="single" w:sz="4" w:space="0" w:color="auto"/>
              <w:right w:val="single" w:sz="4" w:space="0" w:color="auto"/>
            </w:tcBorders>
            <w:shd w:val="clear" w:color="auto" w:fill="auto"/>
            <w:vAlign w:val="bottom"/>
            <w:hideMark/>
          </w:tcPr>
          <w:p w:rsidR="008C7751" w:rsidRPr="00E00B35" w:rsidRDefault="008C7751" w:rsidP="00E00B35">
            <w:pPr>
              <w:shd w:val="clear" w:color="auto" w:fill="FFFFFF"/>
              <w:spacing w:after="0" w:line="312" w:lineRule="auto"/>
              <w:rPr>
                <w:szCs w:val="20"/>
              </w:rPr>
            </w:pPr>
            <w:r w:rsidRPr="00E00B35">
              <w:rPr>
                <w:szCs w:val="20"/>
              </w:rPr>
              <w:t>Współpraca ponadnarodowa i innowacje społeczne</w:t>
            </w:r>
          </w:p>
        </w:tc>
      </w:tr>
      <w:tr w:rsidR="008C7751" w:rsidRPr="00E00B35" w:rsidTr="005E1BE7">
        <w:trPr>
          <w:trHeight w:val="516"/>
        </w:trPr>
        <w:tc>
          <w:tcPr>
            <w:tcW w:w="304" w:type="pct"/>
            <w:tcBorders>
              <w:top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highlight w:val="cyan"/>
              </w:rPr>
            </w:pPr>
          </w:p>
        </w:tc>
        <w:tc>
          <w:tcPr>
            <w:tcW w:w="1061" w:type="pct"/>
            <w:tcBorders>
              <w:top w:val="single" w:sz="4" w:space="0" w:color="auto"/>
              <w:righ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SUMA</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14 985 810,98</w:t>
            </w:r>
          </w:p>
        </w:tc>
        <w:tc>
          <w:tcPr>
            <w:tcW w:w="834" w:type="pct"/>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17 479 370,98</w:t>
            </w:r>
          </w:p>
        </w:tc>
        <w:tc>
          <w:tcPr>
            <w:tcW w:w="757" w:type="pct"/>
            <w:tcBorders>
              <w:top w:val="single" w:sz="4" w:space="0" w:color="auto"/>
              <w:left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p>
        </w:tc>
        <w:tc>
          <w:tcPr>
            <w:tcW w:w="604" w:type="pct"/>
            <w:tcBorders>
              <w:top w:val="single" w:sz="4" w:space="0" w:color="auto"/>
            </w:tcBorders>
            <w:shd w:val="clear" w:color="auto" w:fill="auto"/>
            <w:vAlign w:val="center"/>
            <w:hideMark/>
          </w:tcPr>
          <w:p w:rsidR="008C7751" w:rsidRPr="00E00B35" w:rsidRDefault="008C7751" w:rsidP="00E00B35">
            <w:pPr>
              <w:shd w:val="clear" w:color="auto" w:fill="FFFFFF"/>
              <w:spacing w:after="0" w:line="312" w:lineRule="auto"/>
              <w:rPr>
                <w:szCs w:val="20"/>
              </w:rPr>
            </w:pPr>
          </w:p>
        </w:tc>
      </w:tr>
    </w:tbl>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bCs/>
          <w:color w:val="000000"/>
          <w:sz w:val="20"/>
          <w:szCs w:val="20"/>
        </w:rPr>
      </w:pPr>
      <w:r w:rsidRPr="00E00B35">
        <w:rPr>
          <w:sz w:val="20"/>
          <w:szCs w:val="20"/>
        </w:rPr>
        <w:t>ŚRODKI POZYSKANE DLA PROJEKTÓW ZE ŚRODKÓW EUROPEJSKICH</w:t>
      </w:r>
    </w:p>
    <w:p w:rsidR="008C7751" w:rsidRPr="00E00B35" w:rsidRDefault="008C7751" w:rsidP="00E00B35">
      <w:pPr>
        <w:spacing w:after="0" w:line="312" w:lineRule="auto"/>
        <w:rPr>
          <w:szCs w:val="20"/>
        </w:rPr>
      </w:pPr>
      <w:r w:rsidRPr="00E00B35">
        <w:rPr>
          <w:szCs w:val="20"/>
        </w:rPr>
        <w:t xml:space="preserve">W roku 2020 pozyskano łącznie </w:t>
      </w:r>
      <w:r w:rsidRPr="00E00B35">
        <w:rPr>
          <w:b/>
          <w:color w:val="000000"/>
          <w:szCs w:val="20"/>
        </w:rPr>
        <w:t>73 933 356,43 zł</w:t>
      </w:r>
      <w:r w:rsidRPr="00E00B35">
        <w:rPr>
          <w:szCs w:val="20"/>
        </w:rPr>
        <w:t xml:space="preserve"> dla projektów Gminy Wrocław ze środków europejskich (programy Komisji Europejskiej oraz Europejskiego Obszaru Gospodarczego) z tytułu podpisanych umów o dofinansowanie. Poniżej zaprezentowano zestawienia prezentujące kwoty pozyskane z tytułu podpisanych umów o dofinansowanie oraz aneksów do umów o dofinansowanie w rozbiciu na projekty infrastrukturalne oraz społeczne, w tym międzynarodowe.</w:t>
      </w:r>
    </w:p>
    <w:p w:rsidR="005E1BE7" w:rsidRPr="00E00B35" w:rsidRDefault="005E1BE7" w:rsidP="00E00B35">
      <w:pPr>
        <w:spacing w:after="0" w:line="312" w:lineRule="auto"/>
        <w:rPr>
          <w:b/>
          <w:szCs w:val="20"/>
        </w:rPr>
      </w:pPr>
    </w:p>
    <w:p w:rsidR="008C7751" w:rsidRPr="00E00B35" w:rsidRDefault="008C7751" w:rsidP="00E00B35">
      <w:pPr>
        <w:spacing w:after="0" w:line="312" w:lineRule="auto"/>
        <w:rPr>
          <w:szCs w:val="20"/>
        </w:rPr>
      </w:pPr>
      <w:r w:rsidRPr="00E00B35">
        <w:rPr>
          <w:b/>
          <w:szCs w:val="20"/>
        </w:rPr>
        <w:t xml:space="preserve">Zestawienie środków europejskich pozyskanych dla projektów infrastrukturalnych w latach 2016-2020 </w:t>
      </w:r>
    </w:p>
    <w:tbl>
      <w:tblPr>
        <w:tblpPr w:leftFromText="141" w:rightFromText="141" w:vertAnchor="text" w:horzAnchor="margin" w:tblpX="70" w:tblpY="51"/>
        <w:tblW w:w="9072" w:type="dxa"/>
        <w:tblCellMar>
          <w:left w:w="70" w:type="dxa"/>
          <w:right w:w="70" w:type="dxa"/>
        </w:tblCellMar>
        <w:tblLook w:val="04A0"/>
      </w:tblPr>
      <w:tblGrid>
        <w:gridCol w:w="2182"/>
        <w:gridCol w:w="1496"/>
        <w:gridCol w:w="1842"/>
        <w:gridCol w:w="1919"/>
        <w:gridCol w:w="1633"/>
      </w:tblGrid>
      <w:tr w:rsidR="008C7751" w:rsidRPr="00E00B35" w:rsidTr="008C7751">
        <w:trPr>
          <w:trHeight w:val="474"/>
        </w:trPr>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 xml:space="preserve">Rok podpisania umowy o </w:t>
            </w:r>
            <w:r w:rsidRPr="00E00B35">
              <w:rPr>
                <w:szCs w:val="20"/>
              </w:rPr>
              <w:lastRenderedPageBreak/>
              <w:t>dofinansowanie</w:t>
            </w:r>
          </w:p>
        </w:tc>
        <w:tc>
          <w:tcPr>
            <w:tcW w:w="1496"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lastRenderedPageBreak/>
              <w:t>Liczba projektów</w:t>
            </w:r>
          </w:p>
        </w:tc>
        <w:tc>
          <w:tcPr>
            <w:tcW w:w="1842"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 xml:space="preserve">Aktualna wartość </w:t>
            </w:r>
            <w:r w:rsidRPr="00E00B35">
              <w:rPr>
                <w:szCs w:val="20"/>
              </w:rPr>
              <w:lastRenderedPageBreak/>
              <w:t>całkowita</w:t>
            </w:r>
          </w:p>
        </w:tc>
        <w:tc>
          <w:tcPr>
            <w:tcW w:w="191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lastRenderedPageBreak/>
              <w:t>Aktualna kwota dofinansowania</w:t>
            </w:r>
          </w:p>
        </w:tc>
        <w:tc>
          <w:tcPr>
            <w:tcW w:w="1633"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hd w:val="clear" w:color="auto" w:fill="FFFFFF"/>
              <w:spacing w:after="0" w:line="312" w:lineRule="auto"/>
              <w:rPr>
                <w:szCs w:val="20"/>
              </w:rPr>
            </w:pPr>
            <w:r w:rsidRPr="00E00B35">
              <w:rPr>
                <w:szCs w:val="20"/>
              </w:rPr>
              <w:t>Wkład własny</w:t>
            </w:r>
          </w:p>
        </w:tc>
      </w:tr>
      <w:tr w:rsidR="008C7751" w:rsidRPr="00E00B35" w:rsidTr="008C7751">
        <w:trPr>
          <w:trHeight w:val="508"/>
        </w:trPr>
        <w:tc>
          <w:tcPr>
            <w:tcW w:w="2182" w:type="dxa"/>
            <w:tcBorders>
              <w:top w:val="nil"/>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lastRenderedPageBreak/>
              <w:t>2016</w:t>
            </w:r>
          </w:p>
        </w:tc>
        <w:tc>
          <w:tcPr>
            <w:tcW w:w="149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2</w:t>
            </w:r>
          </w:p>
        </w:tc>
        <w:tc>
          <w:tcPr>
            <w:tcW w:w="1842"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28 746 687,34</w:t>
            </w:r>
          </w:p>
        </w:tc>
        <w:tc>
          <w:tcPr>
            <w:tcW w:w="1919"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10 377 609,11</w:t>
            </w:r>
          </w:p>
        </w:tc>
        <w:tc>
          <w:tcPr>
            <w:tcW w:w="1633"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18 369 078,23</w:t>
            </w:r>
          </w:p>
        </w:tc>
      </w:tr>
      <w:tr w:rsidR="008C7751" w:rsidRPr="00E00B35" w:rsidTr="008C7751">
        <w:trPr>
          <w:trHeight w:val="544"/>
        </w:trPr>
        <w:tc>
          <w:tcPr>
            <w:tcW w:w="2182" w:type="dxa"/>
            <w:tcBorders>
              <w:top w:val="nil"/>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2017</w:t>
            </w:r>
          </w:p>
        </w:tc>
        <w:tc>
          <w:tcPr>
            <w:tcW w:w="149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38</w:t>
            </w:r>
          </w:p>
        </w:tc>
        <w:tc>
          <w:tcPr>
            <w:tcW w:w="1842"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1 358 492 872,33</w:t>
            </w:r>
          </w:p>
        </w:tc>
        <w:tc>
          <w:tcPr>
            <w:tcW w:w="1919"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687 472 157,55</w:t>
            </w:r>
          </w:p>
        </w:tc>
        <w:tc>
          <w:tcPr>
            <w:tcW w:w="1633"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671 020 714,78</w:t>
            </w:r>
          </w:p>
        </w:tc>
      </w:tr>
      <w:tr w:rsidR="008C7751" w:rsidRPr="00E00B35" w:rsidTr="008C7751">
        <w:trPr>
          <w:trHeight w:val="566"/>
        </w:trPr>
        <w:tc>
          <w:tcPr>
            <w:tcW w:w="2182" w:type="dxa"/>
            <w:tcBorders>
              <w:top w:val="nil"/>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2018</w:t>
            </w:r>
          </w:p>
        </w:tc>
        <w:tc>
          <w:tcPr>
            <w:tcW w:w="149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13</w:t>
            </w:r>
          </w:p>
        </w:tc>
        <w:tc>
          <w:tcPr>
            <w:tcW w:w="1842"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124 981 558,31</w:t>
            </w:r>
          </w:p>
        </w:tc>
        <w:tc>
          <w:tcPr>
            <w:tcW w:w="1919"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62 155 270,58</w:t>
            </w:r>
          </w:p>
        </w:tc>
        <w:tc>
          <w:tcPr>
            <w:tcW w:w="1633"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62 826 287,73</w:t>
            </w:r>
          </w:p>
        </w:tc>
      </w:tr>
      <w:tr w:rsidR="008C7751" w:rsidRPr="00E00B35" w:rsidTr="008C7751">
        <w:trPr>
          <w:trHeight w:val="566"/>
        </w:trPr>
        <w:tc>
          <w:tcPr>
            <w:tcW w:w="2182" w:type="dxa"/>
            <w:tcBorders>
              <w:top w:val="nil"/>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2019</w:t>
            </w:r>
          </w:p>
        </w:tc>
        <w:tc>
          <w:tcPr>
            <w:tcW w:w="149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5</w:t>
            </w:r>
          </w:p>
        </w:tc>
        <w:tc>
          <w:tcPr>
            <w:tcW w:w="1842"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26 117 851,74</w:t>
            </w:r>
          </w:p>
        </w:tc>
        <w:tc>
          <w:tcPr>
            <w:tcW w:w="1919"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18 449 003,67</w:t>
            </w:r>
          </w:p>
        </w:tc>
        <w:tc>
          <w:tcPr>
            <w:tcW w:w="1633"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7 668 848,07</w:t>
            </w:r>
          </w:p>
        </w:tc>
      </w:tr>
      <w:tr w:rsidR="008C7751" w:rsidRPr="00E00B35" w:rsidTr="008C7751">
        <w:trPr>
          <w:trHeight w:val="566"/>
        </w:trPr>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szCs w:val="20"/>
              </w:rPr>
            </w:pPr>
            <w:r w:rsidRPr="00E00B35">
              <w:rPr>
                <w:szCs w:val="20"/>
              </w:rPr>
              <w:t>2020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color w:val="000000"/>
                <w:szCs w:val="20"/>
              </w:rPr>
            </w:pPr>
            <w:r w:rsidRPr="00E00B35">
              <w:rPr>
                <w:color w:val="000000"/>
                <w:szCs w:val="20"/>
              </w:rPr>
              <w:t>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color w:val="000000"/>
                <w:szCs w:val="20"/>
              </w:rPr>
            </w:pPr>
            <w:r w:rsidRPr="00E00B35">
              <w:rPr>
                <w:color w:val="000000"/>
                <w:szCs w:val="20"/>
              </w:rPr>
              <w:t>41 114 428,42</w:t>
            </w:r>
          </w:p>
        </w:tc>
        <w:tc>
          <w:tcPr>
            <w:tcW w:w="1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color w:val="000000"/>
                <w:szCs w:val="20"/>
              </w:rPr>
            </w:pPr>
            <w:r w:rsidRPr="00E00B35">
              <w:rPr>
                <w:color w:val="000000"/>
                <w:szCs w:val="20"/>
              </w:rPr>
              <w:t>31 652 014,24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751" w:rsidRPr="00E00B35" w:rsidRDefault="008C7751" w:rsidP="00E00B35">
            <w:pPr>
              <w:shd w:val="clear" w:color="auto" w:fill="FFFFFF"/>
              <w:spacing w:after="0" w:line="312" w:lineRule="auto"/>
              <w:rPr>
                <w:color w:val="000000"/>
                <w:szCs w:val="20"/>
              </w:rPr>
            </w:pPr>
            <w:r w:rsidRPr="00E00B35">
              <w:rPr>
                <w:color w:val="000000"/>
                <w:szCs w:val="20"/>
              </w:rPr>
              <w:t>9 462 414,18</w:t>
            </w:r>
          </w:p>
        </w:tc>
      </w:tr>
      <w:tr w:rsidR="008C7751" w:rsidRPr="00E00B35" w:rsidTr="008C7751">
        <w:trPr>
          <w:trHeight w:val="471"/>
        </w:trPr>
        <w:tc>
          <w:tcPr>
            <w:tcW w:w="21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hd w:val="clear" w:color="auto" w:fill="FFFFFF"/>
              <w:spacing w:after="0" w:line="312" w:lineRule="auto"/>
              <w:rPr>
                <w:szCs w:val="20"/>
              </w:rPr>
            </w:pPr>
            <w:r w:rsidRPr="00E00B35">
              <w:rPr>
                <w:szCs w:val="20"/>
              </w:rPr>
              <w:t>SUMA</w:t>
            </w:r>
          </w:p>
        </w:tc>
        <w:tc>
          <w:tcPr>
            <w:tcW w:w="149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hd w:val="clear" w:color="auto" w:fill="FFFFFF"/>
              <w:spacing w:after="0" w:line="312" w:lineRule="auto"/>
              <w:rPr>
                <w:color w:val="000000"/>
                <w:szCs w:val="20"/>
              </w:rPr>
            </w:pPr>
            <w:r w:rsidRPr="00E00B35">
              <w:rPr>
                <w:color w:val="000000"/>
                <w:szCs w:val="20"/>
              </w:rPr>
              <w:t>62</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hd w:val="clear" w:color="auto" w:fill="FFFFFF"/>
              <w:spacing w:after="0" w:line="312" w:lineRule="auto"/>
              <w:rPr>
                <w:color w:val="000000"/>
                <w:szCs w:val="20"/>
              </w:rPr>
            </w:pPr>
            <w:r w:rsidRPr="00E00B35">
              <w:rPr>
                <w:color w:val="000000"/>
                <w:szCs w:val="20"/>
              </w:rPr>
              <w:t>1 579 453 398,14</w:t>
            </w:r>
          </w:p>
        </w:tc>
        <w:tc>
          <w:tcPr>
            <w:tcW w:w="191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hd w:val="clear" w:color="auto" w:fill="FFFFFF"/>
              <w:spacing w:after="0" w:line="312" w:lineRule="auto"/>
              <w:rPr>
                <w:color w:val="000000"/>
                <w:szCs w:val="20"/>
              </w:rPr>
            </w:pPr>
            <w:r w:rsidRPr="00E00B35">
              <w:rPr>
                <w:color w:val="000000"/>
                <w:szCs w:val="20"/>
              </w:rPr>
              <w:t>810 106 055,15</w:t>
            </w:r>
          </w:p>
        </w:tc>
        <w:tc>
          <w:tcPr>
            <w:tcW w:w="163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hd w:val="clear" w:color="auto" w:fill="FFFFFF"/>
              <w:spacing w:after="0" w:line="312" w:lineRule="auto"/>
              <w:rPr>
                <w:color w:val="000000"/>
                <w:szCs w:val="20"/>
              </w:rPr>
            </w:pPr>
            <w:r w:rsidRPr="00E00B35">
              <w:rPr>
                <w:color w:val="000000"/>
                <w:szCs w:val="20"/>
              </w:rPr>
              <w:t>769 347 342,99</w:t>
            </w:r>
          </w:p>
        </w:tc>
      </w:tr>
    </w:tbl>
    <w:p w:rsidR="008C7751" w:rsidRPr="00E00B35" w:rsidRDefault="008C7751" w:rsidP="00E00B35">
      <w:pPr>
        <w:shd w:val="clear" w:color="auto" w:fill="FFFFFF"/>
        <w:spacing w:after="0" w:line="312" w:lineRule="auto"/>
        <w:rPr>
          <w:szCs w:val="20"/>
        </w:rPr>
      </w:pPr>
    </w:p>
    <w:p w:rsidR="008C7751" w:rsidRPr="00E00B35" w:rsidRDefault="008C7751" w:rsidP="00E00B35">
      <w:pPr>
        <w:spacing w:after="0" w:line="312" w:lineRule="auto"/>
        <w:rPr>
          <w:b/>
          <w:szCs w:val="20"/>
        </w:rPr>
      </w:pPr>
      <w:r w:rsidRPr="00E00B35">
        <w:rPr>
          <w:b/>
          <w:szCs w:val="20"/>
        </w:rPr>
        <w:t>Zestawienie środków europejskich pozyskanych dla projektów społecznych oraz międzynarodowych w latach 2016-2020</w:t>
      </w:r>
    </w:p>
    <w:tbl>
      <w:tblPr>
        <w:tblW w:w="9085" w:type="dxa"/>
        <w:tblInd w:w="57" w:type="dxa"/>
        <w:tblCellMar>
          <w:left w:w="70" w:type="dxa"/>
          <w:right w:w="70" w:type="dxa"/>
        </w:tblCellMar>
        <w:tblLook w:val="04A0"/>
      </w:tblPr>
      <w:tblGrid>
        <w:gridCol w:w="2234"/>
        <w:gridCol w:w="1484"/>
        <w:gridCol w:w="1828"/>
        <w:gridCol w:w="1919"/>
        <w:gridCol w:w="1620"/>
      </w:tblGrid>
      <w:tr w:rsidR="008C7751" w:rsidRPr="00E00B35" w:rsidTr="008C7751">
        <w:trPr>
          <w:trHeight w:val="731"/>
        </w:trPr>
        <w:tc>
          <w:tcPr>
            <w:tcW w:w="22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Rok podpisania umowy o dofinansowanie</w:t>
            </w:r>
          </w:p>
        </w:tc>
        <w:tc>
          <w:tcPr>
            <w:tcW w:w="1484"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Liczba projektów</w:t>
            </w:r>
          </w:p>
        </w:tc>
        <w:tc>
          <w:tcPr>
            <w:tcW w:w="1828"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Aktualna wartość całkowita</w:t>
            </w:r>
          </w:p>
        </w:tc>
        <w:tc>
          <w:tcPr>
            <w:tcW w:w="1919"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Aktualna kwota dofinansowania</w:t>
            </w:r>
          </w:p>
        </w:tc>
        <w:tc>
          <w:tcPr>
            <w:tcW w:w="1620"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Wkład własny</w:t>
            </w:r>
          </w:p>
        </w:tc>
      </w:tr>
      <w:tr w:rsidR="008C7751" w:rsidRPr="00E00B35" w:rsidTr="008C7751">
        <w:trPr>
          <w:trHeight w:val="528"/>
        </w:trPr>
        <w:tc>
          <w:tcPr>
            <w:tcW w:w="2234"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2016</w:t>
            </w:r>
          </w:p>
        </w:tc>
        <w:tc>
          <w:tcPr>
            <w:tcW w:w="1484"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34</w:t>
            </w:r>
          </w:p>
        </w:tc>
        <w:tc>
          <w:tcPr>
            <w:tcW w:w="1828"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27 359 979,69</w:t>
            </w:r>
          </w:p>
        </w:tc>
        <w:tc>
          <w:tcPr>
            <w:tcW w:w="191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23 108 845,06</w:t>
            </w:r>
          </w:p>
        </w:tc>
        <w:tc>
          <w:tcPr>
            <w:tcW w:w="1620"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4 251 134,63</w:t>
            </w:r>
          </w:p>
        </w:tc>
      </w:tr>
      <w:tr w:rsidR="008C7751" w:rsidRPr="00E00B35" w:rsidTr="008C7751">
        <w:trPr>
          <w:trHeight w:val="501"/>
        </w:trPr>
        <w:tc>
          <w:tcPr>
            <w:tcW w:w="2234"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2017</w:t>
            </w:r>
          </w:p>
        </w:tc>
        <w:tc>
          <w:tcPr>
            <w:tcW w:w="1484"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28</w:t>
            </w:r>
          </w:p>
        </w:tc>
        <w:tc>
          <w:tcPr>
            <w:tcW w:w="1828"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49 714 719,51</w:t>
            </w:r>
          </w:p>
        </w:tc>
        <w:tc>
          <w:tcPr>
            <w:tcW w:w="191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45 941 318,68</w:t>
            </w:r>
          </w:p>
        </w:tc>
        <w:tc>
          <w:tcPr>
            <w:tcW w:w="1620"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3 773 400,83</w:t>
            </w:r>
          </w:p>
        </w:tc>
      </w:tr>
      <w:tr w:rsidR="008C7751" w:rsidRPr="00E00B35" w:rsidTr="008C7751">
        <w:trPr>
          <w:trHeight w:val="501"/>
        </w:trPr>
        <w:tc>
          <w:tcPr>
            <w:tcW w:w="2234"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2018</w:t>
            </w:r>
          </w:p>
        </w:tc>
        <w:tc>
          <w:tcPr>
            <w:tcW w:w="1484"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35</w:t>
            </w:r>
          </w:p>
        </w:tc>
        <w:tc>
          <w:tcPr>
            <w:tcW w:w="1828"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32 661 115,60</w:t>
            </w:r>
          </w:p>
        </w:tc>
        <w:tc>
          <w:tcPr>
            <w:tcW w:w="191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31 011 680,26</w:t>
            </w:r>
          </w:p>
        </w:tc>
        <w:tc>
          <w:tcPr>
            <w:tcW w:w="1620"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1 649 435,34</w:t>
            </w:r>
          </w:p>
        </w:tc>
      </w:tr>
      <w:tr w:rsidR="008C7751" w:rsidRPr="00E00B35" w:rsidTr="008C7751">
        <w:trPr>
          <w:trHeight w:val="501"/>
        </w:trPr>
        <w:tc>
          <w:tcPr>
            <w:tcW w:w="2234"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2019</w:t>
            </w:r>
          </w:p>
        </w:tc>
        <w:tc>
          <w:tcPr>
            <w:tcW w:w="1484"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46</w:t>
            </w:r>
          </w:p>
        </w:tc>
        <w:tc>
          <w:tcPr>
            <w:tcW w:w="1828"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41 835 133,15</w:t>
            </w:r>
          </w:p>
        </w:tc>
        <w:tc>
          <w:tcPr>
            <w:tcW w:w="191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38 167 514,22</w:t>
            </w:r>
          </w:p>
        </w:tc>
        <w:tc>
          <w:tcPr>
            <w:tcW w:w="1620"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3 667 618,93</w:t>
            </w:r>
          </w:p>
        </w:tc>
      </w:tr>
      <w:tr w:rsidR="008C7751" w:rsidRPr="00E00B35" w:rsidTr="008C7751">
        <w:trPr>
          <w:trHeight w:val="501"/>
        </w:trPr>
        <w:tc>
          <w:tcPr>
            <w:tcW w:w="2234"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2020</w:t>
            </w:r>
          </w:p>
        </w:tc>
        <w:tc>
          <w:tcPr>
            <w:tcW w:w="1484"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color w:val="000000"/>
                <w:szCs w:val="20"/>
              </w:rPr>
            </w:pPr>
            <w:r w:rsidRPr="00E00B35">
              <w:rPr>
                <w:color w:val="000000"/>
                <w:szCs w:val="20"/>
              </w:rPr>
              <w:t>31</w:t>
            </w:r>
          </w:p>
        </w:tc>
        <w:tc>
          <w:tcPr>
            <w:tcW w:w="1828"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color w:val="000000"/>
                <w:szCs w:val="20"/>
              </w:rPr>
            </w:pPr>
            <w:r w:rsidRPr="00E00B35">
              <w:rPr>
                <w:color w:val="000000"/>
                <w:szCs w:val="20"/>
              </w:rPr>
              <w:t>47 715 281,62</w:t>
            </w:r>
          </w:p>
        </w:tc>
        <w:tc>
          <w:tcPr>
            <w:tcW w:w="191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color w:val="000000"/>
                <w:szCs w:val="20"/>
              </w:rPr>
            </w:pPr>
            <w:r w:rsidRPr="00E00B35">
              <w:rPr>
                <w:color w:val="000000"/>
                <w:szCs w:val="20"/>
              </w:rPr>
              <w:t>42 281 342,19</w:t>
            </w:r>
          </w:p>
        </w:tc>
        <w:tc>
          <w:tcPr>
            <w:tcW w:w="1620"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color w:val="000000"/>
                <w:szCs w:val="20"/>
              </w:rPr>
            </w:pPr>
            <w:r w:rsidRPr="00E00B35">
              <w:rPr>
                <w:color w:val="000000"/>
                <w:szCs w:val="20"/>
              </w:rPr>
              <w:t>2 725 179,28</w:t>
            </w:r>
          </w:p>
        </w:tc>
      </w:tr>
      <w:tr w:rsidR="008C7751" w:rsidRPr="00E00B35" w:rsidTr="008C7751">
        <w:trPr>
          <w:trHeight w:val="569"/>
        </w:trPr>
        <w:tc>
          <w:tcPr>
            <w:tcW w:w="2234" w:type="dxa"/>
            <w:tcBorders>
              <w:top w:val="nil"/>
              <w:left w:val="single" w:sz="4" w:space="0" w:color="auto"/>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SUMA</w:t>
            </w:r>
          </w:p>
        </w:tc>
        <w:tc>
          <w:tcPr>
            <w:tcW w:w="1484"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174</w:t>
            </w:r>
          </w:p>
        </w:tc>
        <w:tc>
          <w:tcPr>
            <w:tcW w:w="1828"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199 286 229,57</w:t>
            </w:r>
          </w:p>
        </w:tc>
        <w:tc>
          <w:tcPr>
            <w:tcW w:w="1919"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180 510 700,41</w:t>
            </w:r>
          </w:p>
        </w:tc>
        <w:tc>
          <w:tcPr>
            <w:tcW w:w="1620" w:type="dxa"/>
            <w:tcBorders>
              <w:top w:val="nil"/>
              <w:left w:val="nil"/>
              <w:bottom w:val="single" w:sz="4" w:space="0" w:color="auto"/>
              <w:right w:val="single" w:sz="4" w:space="0" w:color="auto"/>
            </w:tcBorders>
            <w:shd w:val="clear" w:color="auto" w:fill="FFFFFF"/>
            <w:noWrap/>
            <w:vAlign w:val="center"/>
            <w:hideMark/>
          </w:tcPr>
          <w:p w:rsidR="008C7751" w:rsidRPr="00E00B35" w:rsidRDefault="008C7751" w:rsidP="00E00B35">
            <w:pPr>
              <w:spacing w:after="0" w:line="312" w:lineRule="auto"/>
              <w:rPr>
                <w:szCs w:val="20"/>
              </w:rPr>
            </w:pPr>
            <w:r w:rsidRPr="00E00B35">
              <w:rPr>
                <w:szCs w:val="20"/>
              </w:rPr>
              <w:t>16 066 769,01</w:t>
            </w:r>
          </w:p>
        </w:tc>
      </w:tr>
    </w:tbl>
    <w:p w:rsidR="008C7751" w:rsidRPr="00E00B35" w:rsidRDefault="008C7751" w:rsidP="00E00B35">
      <w:pPr>
        <w:spacing w:after="0" w:line="312" w:lineRule="auto"/>
        <w:rPr>
          <w:rFonts w:cs="Arial"/>
          <w:bCs/>
          <w:szCs w:val="20"/>
        </w:rPr>
      </w:pPr>
    </w:p>
    <w:p w:rsidR="008C7751" w:rsidRPr="00E00B35" w:rsidRDefault="008C7751" w:rsidP="00E00B35">
      <w:pPr>
        <w:spacing w:after="0" w:line="312" w:lineRule="auto"/>
        <w:rPr>
          <w:szCs w:val="20"/>
        </w:rPr>
      </w:pPr>
      <w:r w:rsidRPr="00E00B35">
        <w:rPr>
          <w:szCs w:val="20"/>
        </w:rPr>
        <w:t xml:space="preserve">Powyższe zestawienia zawierają kwoty na dzień 31.12.2020 r. i uwzględniają aneksy podpisane w minionym roku także dla projektów, dla których umowy o dofinansowanie podpisano w latach poprzednich. </w:t>
      </w:r>
    </w:p>
    <w:p w:rsidR="008C7751" w:rsidRPr="00E00B35" w:rsidRDefault="008C7751" w:rsidP="00E00B35">
      <w:pPr>
        <w:spacing w:after="0" w:line="312" w:lineRule="auto"/>
        <w:rPr>
          <w:rFonts w:cs="Arial"/>
          <w:bCs/>
          <w:szCs w:val="20"/>
        </w:rPr>
      </w:pPr>
    </w:p>
    <w:p w:rsidR="008C7751" w:rsidRPr="00E00B35" w:rsidRDefault="008C7751" w:rsidP="00E00B35">
      <w:pPr>
        <w:pStyle w:val="Nagwek4"/>
        <w:spacing w:before="0" w:after="0" w:line="312" w:lineRule="auto"/>
        <w:rPr>
          <w:sz w:val="20"/>
          <w:szCs w:val="20"/>
        </w:rPr>
      </w:pPr>
      <w:r w:rsidRPr="00E00B35">
        <w:rPr>
          <w:sz w:val="20"/>
          <w:szCs w:val="20"/>
        </w:rPr>
        <w:t>WPŁYWY ZE ŚRODKÓW ZEWNĘTRZNYCH W WYNIKU REALIZACJI ZADAŃ</w:t>
      </w:r>
    </w:p>
    <w:p w:rsidR="008C7751" w:rsidRPr="00E00B35" w:rsidRDefault="008C7751" w:rsidP="00E00B35">
      <w:pPr>
        <w:spacing w:after="0" w:line="312" w:lineRule="auto"/>
        <w:rPr>
          <w:szCs w:val="20"/>
        </w:rPr>
      </w:pPr>
      <w:r w:rsidRPr="00E00B35">
        <w:rPr>
          <w:szCs w:val="20"/>
        </w:rPr>
        <w:t xml:space="preserve">W roku sprawozdawczym na konto Gminy Wrocław wpłynęło </w:t>
      </w:r>
      <w:r w:rsidRPr="00E00B35">
        <w:rPr>
          <w:rFonts w:eastAsia="Calibri" w:cs="Verdana"/>
          <w:b/>
          <w:bCs/>
          <w:szCs w:val="20"/>
        </w:rPr>
        <w:t xml:space="preserve">181 061 276 </w:t>
      </w:r>
      <w:r w:rsidRPr="00E00B35">
        <w:rPr>
          <w:b/>
          <w:szCs w:val="20"/>
        </w:rPr>
        <w:t>zł</w:t>
      </w:r>
      <w:r w:rsidRPr="00E00B35">
        <w:rPr>
          <w:szCs w:val="20"/>
        </w:rPr>
        <w:t xml:space="preserve">, z czego </w:t>
      </w:r>
      <w:r w:rsidRPr="00E00B35">
        <w:rPr>
          <w:b/>
          <w:szCs w:val="20"/>
        </w:rPr>
        <w:t>141 651 794</w:t>
      </w:r>
      <w:r w:rsidRPr="00E00B35">
        <w:rPr>
          <w:rFonts w:cs="Arial"/>
          <w:szCs w:val="20"/>
        </w:rPr>
        <w:t xml:space="preserve"> </w:t>
      </w:r>
      <w:r w:rsidRPr="00E00B35">
        <w:rPr>
          <w:b/>
          <w:szCs w:val="20"/>
        </w:rPr>
        <w:t>zł</w:t>
      </w:r>
      <w:r w:rsidRPr="00E00B35">
        <w:rPr>
          <w:szCs w:val="20"/>
        </w:rPr>
        <w:t xml:space="preserve"> stanowiły wpływy z tytułu realizacji projektów infrastrukturalnych, a </w:t>
      </w:r>
      <w:r w:rsidRPr="00E00B35">
        <w:rPr>
          <w:rFonts w:cs="Arial"/>
          <w:b/>
          <w:szCs w:val="20"/>
        </w:rPr>
        <w:t>39 409 482</w:t>
      </w:r>
      <w:r w:rsidRPr="00E00B35">
        <w:rPr>
          <w:rFonts w:cs="Arial"/>
          <w:szCs w:val="20"/>
        </w:rPr>
        <w:t xml:space="preserve"> </w:t>
      </w:r>
      <w:r w:rsidRPr="00E00B35">
        <w:rPr>
          <w:b/>
          <w:szCs w:val="20"/>
        </w:rPr>
        <w:t>zł</w:t>
      </w:r>
      <w:r w:rsidRPr="00E00B35">
        <w:rPr>
          <w:szCs w:val="20"/>
        </w:rPr>
        <w:t xml:space="preserve"> z tytułu realizacji projektów społecznych, w tym międzynarodowych.</w:t>
      </w:r>
    </w:p>
    <w:p w:rsidR="008C7751" w:rsidRPr="00E00B35" w:rsidRDefault="008C7751" w:rsidP="00E00B35">
      <w:pPr>
        <w:spacing w:after="0" w:line="312" w:lineRule="auto"/>
        <w:rPr>
          <w:rFonts w:cs="Arial"/>
          <w:bCs/>
          <w:szCs w:val="20"/>
        </w:rPr>
      </w:pPr>
    </w:p>
    <w:p w:rsidR="008C7751" w:rsidRPr="00E00B35" w:rsidRDefault="008C7751" w:rsidP="00E00B35">
      <w:pPr>
        <w:spacing w:after="0" w:line="312" w:lineRule="auto"/>
        <w:rPr>
          <w:b/>
          <w:szCs w:val="20"/>
        </w:rPr>
      </w:pPr>
      <w:r w:rsidRPr="00E00B35">
        <w:rPr>
          <w:b/>
          <w:szCs w:val="20"/>
        </w:rPr>
        <w:t>Wpływy na konto Gminy Wrocław z tytułu realizacji projektów infrastrukturalnych w latach 2016 – 2020 w rozbiciu na lata</w:t>
      </w:r>
    </w:p>
    <w:tbl>
      <w:tblPr>
        <w:tblW w:w="7230" w:type="dxa"/>
        <w:tblCellMar>
          <w:left w:w="70" w:type="dxa"/>
          <w:right w:w="70" w:type="dxa"/>
        </w:tblCellMar>
        <w:tblLook w:val="04A0"/>
      </w:tblPr>
      <w:tblGrid>
        <w:gridCol w:w="1565"/>
        <w:gridCol w:w="5665"/>
      </w:tblGrid>
      <w:tr w:rsidR="008C7751" w:rsidRPr="00E00B35" w:rsidTr="008C7751">
        <w:trPr>
          <w:trHeight w:val="580"/>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Rok</w:t>
            </w:r>
          </w:p>
        </w:tc>
        <w:tc>
          <w:tcPr>
            <w:tcW w:w="566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Kwota wpływu w zł</w:t>
            </w:r>
          </w:p>
        </w:tc>
      </w:tr>
      <w:tr w:rsidR="008C7751" w:rsidRPr="00E00B35" w:rsidTr="008C7751">
        <w:trPr>
          <w:trHeight w:val="560"/>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lastRenderedPageBreak/>
              <w:t>2016</w:t>
            </w:r>
          </w:p>
        </w:tc>
        <w:tc>
          <w:tcPr>
            <w:tcW w:w="566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220 007 572</w:t>
            </w:r>
          </w:p>
        </w:tc>
      </w:tr>
      <w:tr w:rsidR="008C7751" w:rsidRPr="00E00B35" w:rsidTr="008C7751">
        <w:trPr>
          <w:trHeight w:val="554"/>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w:t>
            </w:r>
          </w:p>
        </w:tc>
        <w:tc>
          <w:tcPr>
            <w:tcW w:w="5665" w:type="dxa"/>
            <w:tcBorders>
              <w:top w:val="nil"/>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60 401 035</w:t>
            </w:r>
          </w:p>
        </w:tc>
      </w:tr>
      <w:tr w:rsidR="008C7751" w:rsidRPr="00E00B35" w:rsidTr="008C7751">
        <w:trPr>
          <w:trHeight w:val="562"/>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w:t>
            </w:r>
          </w:p>
        </w:tc>
        <w:tc>
          <w:tcPr>
            <w:tcW w:w="566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124 167 089</w:t>
            </w:r>
          </w:p>
        </w:tc>
      </w:tr>
      <w:tr w:rsidR="008C7751" w:rsidRPr="00E00B35" w:rsidTr="008C7751">
        <w:trPr>
          <w:trHeight w:val="556"/>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w:t>
            </w:r>
          </w:p>
        </w:tc>
        <w:tc>
          <w:tcPr>
            <w:tcW w:w="566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137 623 712</w:t>
            </w:r>
          </w:p>
        </w:tc>
      </w:tr>
      <w:tr w:rsidR="008C7751" w:rsidRPr="00E00B35" w:rsidTr="008C7751">
        <w:trPr>
          <w:trHeight w:val="556"/>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w:t>
            </w:r>
          </w:p>
        </w:tc>
        <w:tc>
          <w:tcPr>
            <w:tcW w:w="5665"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141 651 794</w:t>
            </w:r>
          </w:p>
        </w:tc>
      </w:tr>
    </w:tbl>
    <w:p w:rsidR="008C7751" w:rsidRPr="00E00B35" w:rsidRDefault="008C7751" w:rsidP="00E00B35">
      <w:pPr>
        <w:spacing w:after="0" w:line="312" w:lineRule="auto"/>
        <w:rPr>
          <w:rFonts w:cs="Arial"/>
          <w:bCs/>
          <w:szCs w:val="20"/>
        </w:rPr>
      </w:pPr>
    </w:p>
    <w:p w:rsidR="008C7751" w:rsidRPr="00E00B35" w:rsidRDefault="008C7751" w:rsidP="00E00B35">
      <w:pPr>
        <w:spacing w:after="0" w:line="312" w:lineRule="auto"/>
        <w:rPr>
          <w:b/>
          <w:szCs w:val="20"/>
        </w:rPr>
      </w:pPr>
      <w:r w:rsidRPr="00E00B35">
        <w:rPr>
          <w:b/>
          <w:szCs w:val="20"/>
        </w:rPr>
        <w:t>Wpływy na konto Gminy Wrocław z tytułu realizacji projektów społecznych i międzynarodowych w latach 2016 – 2020 w rozbiciu na lata</w:t>
      </w:r>
    </w:p>
    <w:tbl>
      <w:tblPr>
        <w:tblW w:w="7229" w:type="dxa"/>
        <w:tblCellMar>
          <w:left w:w="70" w:type="dxa"/>
          <w:right w:w="70" w:type="dxa"/>
        </w:tblCellMar>
        <w:tblLook w:val="04A0"/>
      </w:tblPr>
      <w:tblGrid>
        <w:gridCol w:w="1565"/>
        <w:gridCol w:w="5664"/>
      </w:tblGrid>
      <w:tr w:rsidR="008C7751" w:rsidRPr="00E00B35" w:rsidTr="008C7751">
        <w:trPr>
          <w:trHeight w:val="580"/>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Rok</w:t>
            </w:r>
          </w:p>
        </w:tc>
        <w:tc>
          <w:tcPr>
            <w:tcW w:w="5664" w:type="dxa"/>
            <w:tcBorders>
              <w:top w:val="single" w:sz="4" w:space="0" w:color="auto"/>
              <w:left w:val="nil"/>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Kwota wpływu w zł</w:t>
            </w:r>
          </w:p>
        </w:tc>
      </w:tr>
      <w:tr w:rsidR="008C7751" w:rsidRPr="00E00B35" w:rsidTr="008C7751">
        <w:trPr>
          <w:trHeight w:val="560"/>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2016</w:t>
            </w:r>
          </w:p>
        </w:tc>
        <w:tc>
          <w:tcPr>
            <w:tcW w:w="5664" w:type="dxa"/>
            <w:tcBorders>
              <w:top w:val="nil"/>
              <w:left w:val="nil"/>
              <w:bottom w:val="single" w:sz="4" w:space="0" w:color="auto"/>
              <w:right w:val="single" w:sz="4" w:space="0" w:color="auto"/>
            </w:tcBorders>
            <w:shd w:val="clear" w:color="auto" w:fill="FFFFFF"/>
            <w:vAlign w:val="bottom"/>
            <w:hideMark/>
          </w:tcPr>
          <w:p w:rsidR="008C7751" w:rsidRPr="00E00B35" w:rsidRDefault="008C7751" w:rsidP="00E00B35">
            <w:pPr>
              <w:spacing w:after="0" w:line="312" w:lineRule="auto"/>
              <w:rPr>
                <w:szCs w:val="20"/>
              </w:rPr>
            </w:pPr>
            <w:r w:rsidRPr="00E00B35">
              <w:rPr>
                <w:szCs w:val="20"/>
              </w:rPr>
              <w:t>5 227 911</w:t>
            </w:r>
          </w:p>
        </w:tc>
      </w:tr>
      <w:tr w:rsidR="008C7751" w:rsidRPr="00E00B35" w:rsidTr="008C7751">
        <w:trPr>
          <w:trHeight w:val="554"/>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2017</w:t>
            </w:r>
          </w:p>
        </w:tc>
        <w:tc>
          <w:tcPr>
            <w:tcW w:w="5664" w:type="dxa"/>
            <w:tcBorders>
              <w:top w:val="nil"/>
              <w:left w:val="nil"/>
              <w:bottom w:val="single" w:sz="4" w:space="0" w:color="auto"/>
              <w:right w:val="single" w:sz="4" w:space="0" w:color="auto"/>
            </w:tcBorders>
            <w:shd w:val="clear" w:color="auto" w:fill="FFFFFF"/>
            <w:vAlign w:val="bottom"/>
            <w:hideMark/>
          </w:tcPr>
          <w:p w:rsidR="008C7751" w:rsidRPr="00E00B35" w:rsidRDefault="008C7751" w:rsidP="00E00B35">
            <w:pPr>
              <w:spacing w:after="0" w:line="312" w:lineRule="auto"/>
              <w:rPr>
                <w:szCs w:val="20"/>
              </w:rPr>
            </w:pPr>
            <w:r w:rsidRPr="00E00B35">
              <w:rPr>
                <w:szCs w:val="20"/>
              </w:rPr>
              <w:t>21 848 925</w:t>
            </w:r>
          </w:p>
        </w:tc>
      </w:tr>
      <w:tr w:rsidR="008C7751" w:rsidRPr="00E00B35" w:rsidTr="008C7751">
        <w:trPr>
          <w:trHeight w:val="562"/>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2018</w:t>
            </w:r>
          </w:p>
        </w:tc>
        <w:tc>
          <w:tcPr>
            <w:tcW w:w="5664" w:type="dxa"/>
            <w:tcBorders>
              <w:top w:val="single" w:sz="4" w:space="0" w:color="auto"/>
              <w:left w:val="nil"/>
              <w:bottom w:val="single" w:sz="4" w:space="0" w:color="auto"/>
              <w:right w:val="single" w:sz="4" w:space="0" w:color="auto"/>
            </w:tcBorders>
            <w:shd w:val="clear" w:color="auto" w:fill="FFFFFF"/>
            <w:vAlign w:val="bottom"/>
            <w:hideMark/>
          </w:tcPr>
          <w:p w:rsidR="008C7751" w:rsidRPr="00E00B35" w:rsidRDefault="008C7751" w:rsidP="00E00B35">
            <w:pPr>
              <w:spacing w:after="0" w:line="312" w:lineRule="auto"/>
              <w:rPr>
                <w:szCs w:val="20"/>
              </w:rPr>
            </w:pPr>
            <w:r w:rsidRPr="00E00B35">
              <w:rPr>
                <w:szCs w:val="20"/>
              </w:rPr>
              <w:t>22 353 217</w:t>
            </w:r>
          </w:p>
        </w:tc>
      </w:tr>
      <w:tr w:rsidR="008C7751" w:rsidRPr="00E00B35" w:rsidTr="008C7751">
        <w:trPr>
          <w:trHeight w:val="556"/>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2019</w:t>
            </w:r>
          </w:p>
        </w:tc>
        <w:tc>
          <w:tcPr>
            <w:tcW w:w="5664" w:type="dxa"/>
            <w:tcBorders>
              <w:top w:val="single" w:sz="4" w:space="0" w:color="auto"/>
              <w:left w:val="nil"/>
              <w:bottom w:val="single" w:sz="4" w:space="0" w:color="auto"/>
              <w:right w:val="single" w:sz="4" w:space="0" w:color="auto"/>
            </w:tcBorders>
            <w:shd w:val="clear" w:color="auto" w:fill="FFFFFF"/>
            <w:vAlign w:val="bottom"/>
            <w:hideMark/>
          </w:tcPr>
          <w:p w:rsidR="008C7751" w:rsidRPr="00E00B35" w:rsidRDefault="008C7751" w:rsidP="00E00B35">
            <w:pPr>
              <w:spacing w:after="0" w:line="312" w:lineRule="auto"/>
              <w:rPr>
                <w:szCs w:val="20"/>
              </w:rPr>
            </w:pPr>
            <w:r w:rsidRPr="00E00B35">
              <w:rPr>
                <w:szCs w:val="20"/>
              </w:rPr>
              <w:t>27 117 531</w:t>
            </w:r>
          </w:p>
        </w:tc>
      </w:tr>
      <w:tr w:rsidR="008C7751" w:rsidRPr="00E00B35" w:rsidTr="008C7751">
        <w:trPr>
          <w:trHeight w:val="556"/>
        </w:trPr>
        <w:tc>
          <w:tcPr>
            <w:tcW w:w="1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7751" w:rsidRPr="00E00B35" w:rsidRDefault="008C7751" w:rsidP="00E00B35">
            <w:pPr>
              <w:spacing w:after="0" w:line="312" w:lineRule="auto"/>
              <w:rPr>
                <w:szCs w:val="20"/>
              </w:rPr>
            </w:pPr>
            <w:r w:rsidRPr="00E00B35">
              <w:rPr>
                <w:szCs w:val="20"/>
              </w:rPr>
              <w:t>2020</w:t>
            </w:r>
          </w:p>
        </w:tc>
        <w:tc>
          <w:tcPr>
            <w:tcW w:w="5664" w:type="dxa"/>
            <w:tcBorders>
              <w:top w:val="single" w:sz="4" w:space="0" w:color="auto"/>
              <w:left w:val="nil"/>
              <w:bottom w:val="single" w:sz="4" w:space="0" w:color="auto"/>
              <w:right w:val="single" w:sz="4" w:space="0" w:color="auto"/>
            </w:tcBorders>
            <w:shd w:val="clear" w:color="auto" w:fill="FFFFFF"/>
            <w:vAlign w:val="bottom"/>
            <w:hideMark/>
          </w:tcPr>
          <w:p w:rsidR="008C7751" w:rsidRPr="00E00B35" w:rsidRDefault="008C7751" w:rsidP="00E00B35">
            <w:pPr>
              <w:spacing w:after="0" w:line="312" w:lineRule="auto"/>
              <w:rPr>
                <w:szCs w:val="20"/>
              </w:rPr>
            </w:pPr>
            <w:r w:rsidRPr="00E00B35">
              <w:rPr>
                <w:szCs w:val="20"/>
              </w:rPr>
              <w:t>39 409 482</w:t>
            </w:r>
          </w:p>
        </w:tc>
      </w:tr>
    </w:tbl>
    <w:p w:rsidR="008C7751" w:rsidRPr="00E00B35" w:rsidRDefault="008C7751" w:rsidP="00E00B35">
      <w:pPr>
        <w:spacing w:after="0" w:line="312" w:lineRule="auto"/>
        <w:rPr>
          <w:szCs w:val="20"/>
        </w:rPr>
      </w:pPr>
    </w:p>
    <w:p w:rsidR="008C7751" w:rsidRPr="00E00B35" w:rsidRDefault="008C7751" w:rsidP="00E00B35">
      <w:pPr>
        <w:pStyle w:val="Nagwek3"/>
        <w:spacing w:after="0" w:line="312" w:lineRule="auto"/>
        <w:rPr>
          <w:sz w:val="20"/>
        </w:rPr>
      </w:pPr>
      <w:r w:rsidRPr="00E00B35">
        <w:rPr>
          <w:sz w:val="20"/>
        </w:rPr>
        <w:t>SPRAWOZDANIE Z REALIZACJI ZADAŃ W WYDZIALE ZARZĄDZANIA NALEŻNOSCIAMI</w:t>
      </w:r>
    </w:p>
    <w:p w:rsidR="008C7751" w:rsidRPr="00E00B35" w:rsidRDefault="008C7751" w:rsidP="00E00B35">
      <w:pPr>
        <w:spacing w:after="0" w:line="312" w:lineRule="auto"/>
        <w:ind w:right="-2"/>
        <w:rPr>
          <w:szCs w:val="20"/>
        </w:rPr>
      </w:pPr>
      <w:r w:rsidRPr="00E00B35">
        <w:rPr>
          <w:szCs w:val="20"/>
        </w:rPr>
        <w:t xml:space="preserve">W relacjach z podmiotami Gmina Wrocław funkcjonuje jako partner społeczny oraz gospodarczy. W ramach obowiązującego prawa istnieją podmioty, na których ciąży obowiązek zgłaszania i regulowania należności przysługujących Gminie. </w:t>
      </w:r>
    </w:p>
    <w:p w:rsidR="008C7751" w:rsidRPr="00E00B35" w:rsidRDefault="008C7751" w:rsidP="00E00B35">
      <w:pPr>
        <w:spacing w:after="0" w:line="312" w:lineRule="auto"/>
        <w:ind w:right="-2"/>
        <w:rPr>
          <w:szCs w:val="20"/>
        </w:rPr>
      </w:pPr>
      <w:r w:rsidRPr="00E00B35">
        <w:rPr>
          <w:szCs w:val="20"/>
        </w:rPr>
        <w:t>Celem skutecznej ochrony finansowych interesów Gminy prowadzone jest monitorowanie, windykacja, egzekucja zobowiązań stanowiących dochody Gminy.</w:t>
      </w:r>
    </w:p>
    <w:p w:rsidR="008C7751" w:rsidRPr="00E00B35" w:rsidRDefault="008C7751" w:rsidP="00E00B35">
      <w:pPr>
        <w:spacing w:after="0" w:line="312" w:lineRule="auto"/>
        <w:rPr>
          <w:szCs w:val="20"/>
        </w:rPr>
      </w:pPr>
      <w:r w:rsidRPr="00E00B35">
        <w:rPr>
          <w:szCs w:val="20"/>
        </w:rPr>
        <w:t xml:space="preserve">W marcu 2020 roku na terenie Polski został wprowadzony stan epidemii w związku z wystąpieniem wirusa SARS-CoV-2 (Koronawirus). W związku z panującą epidemią rząd Polski wprowadził szereg ustaw mających na celu zapobieżenie negatywnym skutkom gospodarczym wywołanym przez koronawirusa, tzw. Tarcze antykryzysowe. Objęły one swoim zasięgiem bardzo szeroki zakres zagadnień finansowo–gospodarczych. Do najważniejszych zmian w przepisach, których skutek miał bezpośrednie przełożenie na zadania wykonywane w zakresie windykacji i egzekucji, udzielania ulg i szeroko rozumianej współpracy z przedsiębiorcami, miały zmiany dotyczące zawieszenia terminów realizowanych spraw, wprowadzenie programów pomocowych dla przedsiębiorców oraz zmiana w prawie pocztowym odnośnie doręczeń korespondencji. Wprowadzenie wewnętrznych przepisów regulujących organizację pracy w Urzędzie </w:t>
      </w:r>
      <w:r w:rsidRPr="00E00B35">
        <w:rPr>
          <w:szCs w:val="20"/>
        </w:rPr>
        <w:lastRenderedPageBreak/>
        <w:t>Miejskim Wrocławia w związku z epidemią spowodowało konieczność przeorganizowania dotychczasowej pracy.</w:t>
      </w:r>
    </w:p>
    <w:p w:rsidR="008C7751" w:rsidRPr="00E00B35" w:rsidRDefault="008C7751" w:rsidP="00E00B35">
      <w:pPr>
        <w:spacing w:after="0" w:line="312" w:lineRule="auto"/>
        <w:rPr>
          <w:szCs w:val="20"/>
        </w:rPr>
      </w:pPr>
      <w:r w:rsidRPr="00E00B35">
        <w:rPr>
          <w:szCs w:val="20"/>
        </w:rPr>
        <w:t xml:space="preserve">W zakresie postępowań upominawczych i windykacji miękkiej zobowiązań podatkowych i publicznoprawnych w 2020 r. zanotowano spadek w stosunku do 2019 r. liczby wystawionych upomnień. Pomimo wystawienia mniejszej liczby upomnień odnotowano wzrost ściągalności opłaty za gospodarowanie odpadami komunalnymi oraz innych opłat publicznoprawnych. Realizacja przychodów z postępowań upominawczych dot. zobowiązań podatkowych nieznacznie spadła w stosunku do roku ubiegłego. </w:t>
      </w:r>
    </w:p>
    <w:p w:rsidR="008C7751" w:rsidRPr="00E00B35" w:rsidRDefault="008C7751" w:rsidP="00E00B35">
      <w:pPr>
        <w:spacing w:after="0" w:line="312" w:lineRule="auto"/>
        <w:rPr>
          <w:szCs w:val="20"/>
        </w:rPr>
      </w:pPr>
      <w:r w:rsidRPr="00E00B35">
        <w:rPr>
          <w:szCs w:val="20"/>
        </w:rPr>
        <w:t xml:space="preserve">W wyniku składanych przez pracowników zażaleń na postanowienia Naczelników Urzędów Skarbowych o umorzeniu postępowań egzekucyjnych obniżono o 21 % koszty egzekucyjne obciążające Gminę jako Wierzyciela. Zażalenia dotyczą opłat za nieskuteczne czynności organów egzekucyjnych. </w:t>
      </w:r>
    </w:p>
    <w:p w:rsidR="008C7751" w:rsidRPr="00E00B35" w:rsidRDefault="008C7751" w:rsidP="00E00B35">
      <w:pPr>
        <w:spacing w:after="0" w:line="312" w:lineRule="auto"/>
        <w:rPr>
          <w:szCs w:val="20"/>
        </w:rPr>
      </w:pPr>
      <w:r w:rsidRPr="00E00B35">
        <w:rPr>
          <w:szCs w:val="20"/>
        </w:rPr>
        <w:t xml:space="preserve">W związku ze zmniejszoną liczbą tytułów wykonawczych przyjętych przez organ egzekucyjny do realizacji nastąpiła intensyfikacja podejmowanych czynności egzekucyjnych, co miało pozytywne przełożenie na wysokość wyegzekwowanych w postępowaniu egzekucyjnym w administracji kwot. Zmniejszenie liczby tytułów </w:t>
      </w:r>
    </w:p>
    <w:p w:rsidR="008C7751" w:rsidRPr="00E00B35" w:rsidRDefault="008C7751" w:rsidP="00E00B35">
      <w:pPr>
        <w:spacing w:after="0" w:line="312" w:lineRule="auto"/>
        <w:rPr>
          <w:szCs w:val="20"/>
        </w:rPr>
      </w:pPr>
      <w:r w:rsidRPr="00E00B35">
        <w:rPr>
          <w:szCs w:val="20"/>
        </w:rPr>
        <w:t>Wykonawczych przyjętych do realizacji przełożyła się zwiększoną ściągalność należności.</w:t>
      </w:r>
    </w:p>
    <w:p w:rsidR="008C7751" w:rsidRPr="00E00B35" w:rsidRDefault="008C7751" w:rsidP="00E00B35">
      <w:pPr>
        <w:spacing w:after="0" w:line="312" w:lineRule="auto"/>
        <w:rPr>
          <w:szCs w:val="20"/>
        </w:rPr>
      </w:pPr>
      <w:r w:rsidRPr="00E00B35">
        <w:rPr>
          <w:szCs w:val="20"/>
        </w:rPr>
        <w:t xml:space="preserve">W zakresie egzekucji zaległości podatkowych, publicznoprawnych, cywilnoprawnych i prowadzonego postępowania egzekucyjnego w ramach zbiegów egzekucji zanotowano w 2020 r. spadek liczby przyjętych tytułów egzekucyjnych, które wpłynęły do zrealizowania. </w:t>
      </w:r>
    </w:p>
    <w:p w:rsidR="008C7751" w:rsidRPr="00E00B35" w:rsidRDefault="008C7751" w:rsidP="00E00B35">
      <w:pPr>
        <w:spacing w:after="0" w:line="312" w:lineRule="auto"/>
        <w:rPr>
          <w:szCs w:val="20"/>
        </w:rPr>
      </w:pPr>
      <w:r w:rsidRPr="00E00B35">
        <w:rPr>
          <w:szCs w:val="20"/>
        </w:rPr>
        <w:t xml:space="preserve">Realizacja dochodów z tytułu kosztów wyegzekwowanych w toku prowadzonej egzekucji została przekroczona o 35 % w stosunku do zakładanego planu. </w:t>
      </w:r>
    </w:p>
    <w:p w:rsidR="008C7751" w:rsidRPr="00E00B35" w:rsidRDefault="008C7751" w:rsidP="00E00B35">
      <w:pPr>
        <w:spacing w:after="0" w:line="312" w:lineRule="auto"/>
        <w:rPr>
          <w:szCs w:val="20"/>
        </w:rPr>
      </w:pPr>
      <w:r w:rsidRPr="00E00B35">
        <w:rPr>
          <w:szCs w:val="20"/>
        </w:rPr>
        <w:t xml:space="preserve">W zakresie należności cywilnoprawnych Gminy Wrocław i Skarbu Państwa zanotowano spadek o ok. 43% wysokości kwot objętych wezwaniami i upomnieniami. Na opisaną sytuację miały wpływ trudności z realizacją działań windykacyjnych w przedmiocie zapisów ustawy o przekształceniu prawa użytkowania w prawo własności gruntów zabudowanych na cele mieszkaniowe w prawo własności tych gruntów. Przy trwających intensywnych pracach komórek merytorycznych oraz księgowych wprowadzających zapisy w systemie ewidencji księgowej, utrudniona była możliwość masowej wysyłki wezwań do zapłaty obejmujących zaległości z tytułu przekształcenia prawa użytkowania wieczystego w prawo własności. </w:t>
      </w:r>
    </w:p>
    <w:p w:rsidR="008C7751" w:rsidRPr="00E00B35" w:rsidRDefault="008C7751" w:rsidP="00E00B35">
      <w:pPr>
        <w:spacing w:after="0" w:line="312" w:lineRule="auto"/>
        <w:rPr>
          <w:szCs w:val="20"/>
        </w:rPr>
      </w:pPr>
      <w:r w:rsidRPr="00E00B35">
        <w:rPr>
          <w:szCs w:val="20"/>
        </w:rPr>
        <w:t xml:space="preserve">Odnotowano spadek o 47 % liczby spraw skierowanych do komórki prawnej celem wytoczenia powództwa o zapłatę oraz do elektronicznego postępowania upominawczego. Natomiast przy  porównywalnej liczbie spraw przekazanych do komorników sądowych na przestrzeni lat 2017 – 2019 realizacja osiągnięta w 2020 r. nie odbiegała od średniej kwoty realizacji z tych lat. </w:t>
      </w:r>
    </w:p>
    <w:p w:rsidR="008C7751" w:rsidRPr="00E00B35" w:rsidRDefault="008C7751" w:rsidP="00E00B35">
      <w:pPr>
        <w:spacing w:after="0" w:line="312" w:lineRule="auto"/>
        <w:rPr>
          <w:szCs w:val="20"/>
        </w:rPr>
      </w:pPr>
      <w:r w:rsidRPr="00E00B35">
        <w:rPr>
          <w:szCs w:val="20"/>
        </w:rPr>
        <w:t>W ramach działań windykacyjno-zabezpieczających wierzytelności zwiększono liczbę wniosków skierowanych do sądów wieczysto-księgowych o zabezpieczenie należności wpisami hipoteki przymusowej.</w:t>
      </w:r>
    </w:p>
    <w:p w:rsidR="008C7751" w:rsidRPr="00E00B35" w:rsidRDefault="008C7751" w:rsidP="00E00B35">
      <w:pPr>
        <w:spacing w:after="0" w:line="312" w:lineRule="auto"/>
        <w:rPr>
          <w:szCs w:val="20"/>
        </w:rPr>
      </w:pPr>
      <w:r w:rsidRPr="00E00B35">
        <w:rPr>
          <w:szCs w:val="20"/>
        </w:rPr>
        <w:t>W ramach zabezpieczenia majątku Gminy Wrocław i Skarbu Państwa prowadzono postępowania w obszarze poszukiwania i przejmowania masy spadkowej:</w:t>
      </w:r>
    </w:p>
    <w:p w:rsidR="008C7751" w:rsidRPr="00E00B35" w:rsidRDefault="008C7751" w:rsidP="00E00B35">
      <w:pPr>
        <w:numPr>
          <w:ilvl w:val="0"/>
          <w:numId w:val="131"/>
        </w:numPr>
        <w:spacing w:after="0" w:line="312" w:lineRule="auto"/>
        <w:rPr>
          <w:bCs/>
          <w:szCs w:val="20"/>
        </w:rPr>
      </w:pPr>
      <w:r w:rsidRPr="00E00B35">
        <w:rPr>
          <w:bCs/>
          <w:szCs w:val="20"/>
        </w:rPr>
        <w:t>przejęto masę spadkową o wartości 2 258 594 zł,</w:t>
      </w:r>
    </w:p>
    <w:p w:rsidR="008C7751" w:rsidRPr="00E00B35" w:rsidRDefault="008C7751" w:rsidP="00E00B35">
      <w:pPr>
        <w:numPr>
          <w:ilvl w:val="0"/>
          <w:numId w:val="131"/>
        </w:numPr>
        <w:spacing w:after="0" w:line="312" w:lineRule="auto"/>
        <w:rPr>
          <w:bCs/>
          <w:szCs w:val="20"/>
        </w:rPr>
      </w:pPr>
      <w:r w:rsidRPr="00E00B35">
        <w:rPr>
          <w:bCs/>
          <w:szCs w:val="20"/>
        </w:rPr>
        <w:lastRenderedPageBreak/>
        <w:t>zweryfikowano 1856 rachunków bankowych potencjalnych spadkodawców, w stosunku do 14 % wszczęto postępowania wyjaśniające. Efektem przeprowadzonych postępowań wyjaśniających  było skierowanie  spraw do radców prawnych celem wystąpienia do sądu z wnioskiem o stwierdzenie nabycia spadku. Przy ustalaniu stanu prawnego nieruchomości rozpatrzono 223 sprawy, z których 5,8 % skierowano do radców prawnych z wnioskiem o wystąpienie do sądu o przeprowadzenie postępowania spadkowego.</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Wraz z działaniami o charakterze windykacyjnym prowadzone były działania mające na celu wsparcie podmiotów, które znalazły się w 2020 r. w trudnej sytuacji uniemożliwiającej bieżącą regulację zobowiązań.</w:t>
      </w:r>
    </w:p>
    <w:p w:rsidR="008C7751" w:rsidRPr="00E00B35" w:rsidRDefault="008C7751" w:rsidP="00E00B35">
      <w:pPr>
        <w:spacing w:after="0" w:line="312" w:lineRule="auto"/>
        <w:rPr>
          <w:szCs w:val="20"/>
        </w:rPr>
      </w:pPr>
      <w:r w:rsidRPr="00E00B35">
        <w:rPr>
          <w:szCs w:val="20"/>
        </w:rPr>
        <w:t>W stosunku do 2019 r. wzrosła liczba decyzji o udzieleniu ulgi indywidualnej zakresie należności podatkowych oraz liczba zawartych porozumień w spłacie należności cywilnoprawnych.</w:t>
      </w:r>
    </w:p>
    <w:p w:rsidR="008C7751" w:rsidRPr="00E00B35" w:rsidRDefault="008C7751" w:rsidP="00E00B35">
      <w:pPr>
        <w:spacing w:after="0" w:line="312" w:lineRule="auto"/>
        <w:rPr>
          <w:szCs w:val="20"/>
        </w:rPr>
      </w:pPr>
      <w:r w:rsidRPr="00E00B35">
        <w:rPr>
          <w:szCs w:val="20"/>
        </w:rPr>
        <w:t>Wychodząc naprzeciw oczekiwaniom społecznym, uwzględniając realia gospodarcze:</w:t>
      </w:r>
    </w:p>
    <w:p w:rsidR="008C7751" w:rsidRPr="00E00B35" w:rsidRDefault="008C7751" w:rsidP="00E00B35">
      <w:pPr>
        <w:numPr>
          <w:ilvl w:val="0"/>
          <w:numId w:val="131"/>
        </w:numPr>
        <w:spacing w:after="0" w:line="312" w:lineRule="auto"/>
        <w:rPr>
          <w:bCs/>
          <w:szCs w:val="20"/>
        </w:rPr>
      </w:pPr>
      <w:r w:rsidRPr="00E00B35">
        <w:rPr>
          <w:bCs/>
          <w:szCs w:val="20"/>
        </w:rPr>
        <w:t>uruchomiono Centrum Wsparcia Przedsiębiorców wraz z programem Wrocławski Pakiet Pomocowy skierowany do przedsiębiorców, którym ograniczono możliwość prowadzenia działalności gospodarczej lub stracili płynność finansową z powodu pandemii Covid-19,</w:t>
      </w:r>
    </w:p>
    <w:p w:rsidR="008C7751" w:rsidRPr="00E00B35" w:rsidRDefault="008C7751" w:rsidP="00E00B35">
      <w:pPr>
        <w:numPr>
          <w:ilvl w:val="0"/>
          <w:numId w:val="131"/>
        </w:numPr>
        <w:spacing w:after="0" w:line="312" w:lineRule="auto"/>
        <w:rPr>
          <w:bCs/>
          <w:szCs w:val="20"/>
        </w:rPr>
      </w:pPr>
      <w:r w:rsidRPr="00E00B35">
        <w:rPr>
          <w:bCs/>
          <w:szCs w:val="20"/>
        </w:rPr>
        <w:t>realizowano i rozszerzono program „Nasz Wrocław”,</w:t>
      </w:r>
    </w:p>
    <w:p w:rsidR="008C7751" w:rsidRPr="00E00B35" w:rsidRDefault="008C7751" w:rsidP="00E00B35">
      <w:pPr>
        <w:numPr>
          <w:ilvl w:val="0"/>
          <w:numId w:val="131"/>
        </w:numPr>
        <w:spacing w:after="0" w:line="312" w:lineRule="auto"/>
        <w:rPr>
          <w:bCs/>
          <w:szCs w:val="20"/>
        </w:rPr>
      </w:pPr>
      <w:r w:rsidRPr="00E00B35">
        <w:rPr>
          <w:bCs/>
          <w:szCs w:val="20"/>
        </w:rPr>
        <w:t>udostępniono platformę „Przyjazne Deklaracje”,</w:t>
      </w:r>
    </w:p>
    <w:p w:rsidR="008C7751" w:rsidRPr="00E00B35" w:rsidRDefault="008C7751" w:rsidP="00E00B35">
      <w:pPr>
        <w:numPr>
          <w:ilvl w:val="0"/>
          <w:numId w:val="131"/>
        </w:numPr>
        <w:spacing w:after="0" w:line="312" w:lineRule="auto"/>
        <w:rPr>
          <w:bCs/>
          <w:szCs w:val="20"/>
        </w:rPr>
      </w:pPr>
      <w:r w:rsidRPr="00E00B35">
        <w:rPr>
          <w:bCs/>
          <w:szCs w:val="20"/>
        </w:rPr>
        <w:t>przyjęto pilotażowy program detekcji satelitarnej jako narzędzie wsparcia przy weryfikacji powierzchni podlegających potencjalnemu opodatkowaniu,</w:t>
      </w:r>
    </w:p>
    <w:p w:rsidR="008C7751" w:rsidRPr="00E00B35" w:rsidRDefault="008C7751" w:rsidP="00E00B35">
      <w:pPr>
        <w:numPr>
          <w:ilvl w:val="0"/>
          <w:numId w:val="131"/>
        </w:numPr>
        <w:spacing w:after="0" w:line="312" w:lineRule="auto"/>
        <w:rPr>
          <w:bCs/>
          <w:szCs w:val="20"/>
        </w:rPr>
      </w:pPr>
      <w:r w:rsidRPr="00E00B35">
        <w:rPr>
          <w:bCs/>
          <w:szCs w:val="20"/>
        </w:rPr>
        <w:t>podjęto się sporządzenia uchwał i nowelizacji uchwał Rady Miejskiej Wrocławia, które oferują wsparcie przy regulowaniu zobowiązań,</w:t>
      </w:r>
    </w:p>
    <w:p w:rsidR="008C7751" w:rsidRPr="00E00B35" w:rsidRDefault="008C7751" w:rsidP="00E00B35">
      <w:pPr>
        <w:numPr>
          <w:ilvl w:val="0"/>
          <w:numId w:val="131"/>
        </w:numPr>
        <w:spacing w:after="0" w:line="312" w:lineRule="auto"/>
        <w:rPr>
          <w:bCs/>
          <w:szCs w:val="20"/>
        </w:rPr>
      </w:pPr>
      <w:r w:rsidRPr="00E00B35">
        <w:rPr>
          <w:bCs/>
          <w:szCs w:val="20"/>
        </w:rPr>
        <w:t>realizowano zadania w ramach Strategii Rozwoju Przedsiębiorczości Wrocławia „Przedsiębiorczy Wrocław 2030”.</w:t>
      </w:r>
    </w:p>
    <w:p w:rsidR="005E1BE7" w:rsidRPr="00E00B35" w:rsidRDefault="005E1BE7" w:rsidP="00E00B35">
      <w:pPr>
        <w:spacing w:after="0" w:line="312" w:lineRule="auto"/>
        <w:ind w:left="720"/>
        <w:rPr>
          <w:bCs/>
          <w:szCs w:val="20"/>
        </w:rPr>
      </w:pPr>
    </w:p>
    <w:p w:rsidR="008C7751" w:rsidRPr="00E00B35" w:rsidRDefault="008C7751" w:rsidP="00E00B35">
      <w:pPr>
        <w:pStyle w:val="Nagwek4"/>
        <w:spacing w:before="0" w:after="0" w:line="312" w:lineRule="auto"/>
        <w:rPr>
          <w:sz w:val="20"/>
          <w:szCs w:val="20"/>
        </w:rPr>
      </w:pPr>
      <w:r w:rsidRPr="00E00B35">
        <w:rPr>
          <w:sz w:val="20"/>
          <w:szCs w:val="20"/>
        </w:rPr>
        <w:t>Dane szczegółowe</w:t>
      </w:r>
    </w:p>
    <w:p w:rsidR="008C7751" w:rsidRPr="00E00B35" w:rsidRDefault="008C7751" w:rsidP="00E00B35">
      <w:pPr>
        <w:pStyle w:val="Nagwek4"/>
        <w:spacing w:before="0" w:after="0" w:line="312" w:lineRule="auto"/>
        <w:rPr>
          <w:sz w:val="20"/>
          <w:szCs w:val="20"/>
        </w:rPr>
      </w:pPr>
      <w:r w:rsidRPr="00E00B35">
        <w:rPr>
          <w:sz w:val="20"/>
          <w:szCs w:val="20"/>
        </w:rPr>
        <w:t>Dział Monitorowania Należności</w:t>
      </w:r>
    </w:p>
    <w:p w:rsidR="008C7751" w:rsidRPr="00E00B35" w:rsidRDefault="008C7751" w:rsidP="00E00B35">
      <w:pPr>
        <w:spacing w:after="0" w:line="312" w:lineRule="auto"/>
        <w:rPr>
          <w:szCs w:val="20"/>
        </w:rPr>
      </w:pPr>
      <w:r w:rsidRPr="00E00B35">
        <w:rPr>
          <w:szCs w:val="20"/>
        </w:rPr>
        <w:t>Postępowania upominawcze oraz działania z zakresu windykacji polubownej w celu odzyskiwania należności podatkowych oraz publicznoprawnych;</w:t>
      </w:r>
    </w:p>
    <w:p w:rsidR="008C7751" w:rsidRPr="00E00B35" w:rsidRDefault="008C7751" w:rsidP="00E00B35">
      <w:pPr>
        <w:spacing w:after="0" w:line="312" w:lineRule="auto"/>
        <w:rPr>
          <w:rFonts w:cs="Segoe UI"/>
          <w:szCs w:val="20"/>
        </w:rPr>
      </w:pPr>
    </w:p>
    <w:p w:rsidR="008C7751" w:rsidRPr="00E00B35" w:rsidRDefault="008C7751" w:rsidP="00E00B35">
      <w:pPr>
        <w:pStyle w:val="Nagwek4"/>
        <w:spacing w:before="0" w:after="0" w:line="312" w:lineRule="auto"/>
        <w:rPr>
          <w:sz w:val="20"/>
          <w:szCs w:val="20"/>
        </w:rPr>
      </w:pPr>
      <w:r w:rsidRPr="00E00B35">
        <w:rPr>
          <w:sz w:val="20"/>
          <w:szCs w:val="20"/>
        </w:rPr>
        <w:t>Realizacja miękkiej windykacji w latach 2017-2020</w:t>
      </w:r>
    </w:p>
    <w:p w:rsidR="008C7751" w:rsidRPr="00E00B35" w:rsidRDefault="008C7751" w:rsidP="00E00B35">
      <w:pPr>
        <w:pStyle w:val="Nagwek4"/>
        <w:spacing w:before="0" w:after="0" w:line="312" w:lineRule="auto"/>
        <w:rPr>
          <w:sz w:val="20"/>
          <w:szCs w:val="20"/>
        </w:rPr>
      </w:pPr>
      <w:r w:rsidRPr="00E00B35">
        <w:rPr>
          <w:sz w:val="20"/>
          <w:szCs w:val="20"/>
        </w:rPr>
        <w:t>Zobowiązania podatkowe</w:t>
      </w: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5"/>
        <w:gridCol w:w="1808"/>
        <w:gridCol w:w="1794"/>
        <w:gridCol w:w="1774"/>
        <w:gridCol w:w="1927"/>
      </w:tblGrid>
      <w:tr w:rsidR="008C7751" w:rsidRPr="00E00B35" w:rsidTr="008C7751">
        <w:trPr>
          <w:jc w:val="center"/>
        </w:trPr>
        <w:tc>
          <w:tcPr>
            <w:tcW w:w="1915" w:type="dxa"/>
            <w:vAlign w:val="center"/>
          </w:tcPr>
          <w:p w:rsidR="008C7751" w:rsidRPr="00E00B35" w:rsidRDefault="008C7751" w:rsidP="00E00B35">
            <w:pPr>
              <w:spacing w:after="0" w:line="312" w:lineRule="auto"/>
              <w:rPr>
                <w:szCs w:val="20"/>
              </w:rPr>
            </w:pPr>
            <w:r w:rsidRPr="00E00B35">
              <w:rPr>
                <w:szCs w:val="20"/>
              </w:rPr>
              <w:t>Działanie</w:t>
            </w:r>
          </w:p>
        </w:tc>
        <w:tc>
          <w:tcPr>
            <w:tcW w:w="1808" w:type="dxa"/>
            <w:vAlign w:val="center"/>
          </w:tcPr>
          <w:p w:rsidR="008C7751" w:rsidRPr="00E00B35" w:rsidRDefault="008C7751" w:rsidP="00E00B35">
            <w:pPr>
              <w:spacing w:after="0" w:line="312" w:lineRule="auto"/>
              <w:rPr>
                <w:szCs w:val="20"/>
              </w:rPr>
            </w:pPr>
            <w:r w:rsidRPr="00E00B35">
              <w:rPr>
                <w:szCs w:val="20"/>
              </w:rPr>
              <w:t>2017 rok</w:t>
            </w:r>
          </w:p>
        </w:tc>
        <w:tc>
          <w:tcPr>
            <w:tcW w:w="1794" w:type="dxa"/>
            <w:vAlign w:val="center"/>
          </w:tcPr>
          <w:p w:rsidR="008C7751" w:rsidRPr="00E00B35" w:rsidRDefault="008C7751" w:rsidP="00E00B35">
            <w:pPr>
              <w:spacing w:after="0" w:line="312" w:lineRule="auto"/>
              <w:rPr>
                <w:szCs w:val="20"/>
              </w:rPr>
            </w:pPr>
            <w:r w:rsidRPr="00E00B35">
              <w:rPr>
                <w:szCs w:val="20"/>
              </w:rPr>
              <w:t>2018 rok</w:t>
            </w:r>
          </w:p>
        </w:tc>
        <w:tc>
          <w:tcPr>
            <w:tcW w:w="1774" w:type="dxa"/>
            <w:vAlign w:val="center"/>
          </w:tcPr>
          <w:p w:rsidR="008C7751" w:rsidRPr="00E00B35" w:rsidRDefault="008C7751" w:rsidP="00E00B35">
            <w:pPr>
              <w:spacing w:after="0" w:line="312" w:lineRule="auto"/>
              <w:rPr>
                <w:szCs w:val="20"/>
              </w:rPr>
            </w:pPr>
            <w:r w:rsidRPr="00E00B35">
              <w:rPr>
                <w:szCs w:val="20"/>
              </w:rPr>
              <w:t>2019 rok</w:t>
            </w:r>
          </w:p>
        </w:tc>
        <w:tc>
          <w:tcPr>
            <w:tcW w:w="1927" w:type="dxa"/>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rPr>
          <w:jc w:val="center"/>
        </w:trPr>
        <w:tc>
          <w:tcPr>
            <w:tcW w:w="1915" w:type="dxa"/>
            <w:vAlign w:val="center"/>
          </w:tcPr>
          <w:p w:rsidR="008C7751" w:rsidRPr="00E00B35" w:rsidRDefault="008C7751" w:rsidP="00E00B35">
            <w:pPr>
              <w:spacing w:after="0" w:line="312" w:lineRule="auto"/>
              <w:rPr>
                <w:szCs w:val="20"/>
              </w:rPr>
            </w:pPr>
            <w:r w:rsidRPr="00E00B35">
              <w:rPr>
                <w:szCs w:val="20"/>
              </w:rPr>
              <w:t>upomnienia (szt.)</w:t>
            </w:r>
          </w:p>
        </w:tc>
        <w:tc>
          <w:tcPr>
            <w:tcW w:w="1808" w:type="dxa"/>
            <w:vAlign w:val="center"/>
          </w:tcPr>
          <w:p w:rsidR="008C7751" w:rsidRPr="00E00B35" w:rsidRDefault="008C7751" w:rsidP="00E00B35">
            <w:pPr>
              <w:spacing w:after="0" w:line="312" w:lineRule="auto"/>
              <w:rPr>
                <w:szCs w:val="20"/>
              </w:rPr>
            </w:pPr>
            <w:r w:rsidRPr="00E00B35">
              <w:rPr>
                <w:szCs w:val="20"/>
              </w:rPr>
              <w:t xml:space="preserve">40 451 </w:t>
            </w:r>
          </w:p>
        </w:tc>
        <w:tc>
          <w:tcPr>
            <w:tcW w:w="1794" w:type="dxa"/>
            <w:vAlign w:val="center"/>
          </w:tcPr>
          <w:p w:rsidR="008C7751" w:rsidRPr="00E00B35" w:rsidRDefault="008C7751" w:rsidP="00E00B35">
            <w:pPr>
              <w:spacing w:after="0" w:line="312" w:lineRule="auto"/>
              <w:rPr>
                <w:szCs w:val="20"/>
              </w:rPr>
            </w:pPr>
            <w:r w:rsidRPr="00E00B35">
              <w:rPr>
                <w:szCs w:val="20"/>
              </w:rPr>
              <w:t xml:space="preserve">13 413 </w:t>
            </w:r>
          </w:p>
        </w:tc>
        <w:tc>
          <w:tcPr>
            <w:tcW w:w="1774" w:type="dxa"/>
            <w:vAlign w:val="center"/>
          </w:tcPr>
          <w:p w:rsidR="008C7751" w:rsidRPr="00E00B35" w:rsidRDefault="008C7751" w:rsidP="00E00B35">
            <w:pPr>
              <w:spacing w:after="0" w:line="312" w:lineRule="auto"/>
              <w:rPr>
                <w:szCs w:val="20"/>
              </w:rPr>
            </w:pPr>
            <w:r w:rsidRPr="00E00B35">
              <w:rPr>
                <w:szCs w:val="20"/>
              </w:rPr>
              <w:t xml:space="preserve">39 738 </w:t>
            </w:r>
          </w:p>
        </w:tc>
        <w:tc>
          <w:tcPr>
            <w:tcW w:w="1927" w:type="dxa"/>
            <w:vAlign w:val="center"/>
          </w:tcPr>
          <w:p w:rsidR="008C7751" w:rsidRPr="00E00B35" w:rsidRDefault="008C7751" w:rsidP="00E00B35">
            <w:pPr>
              <w:spacing w:after="0" w:line="312" w:lineRule="auto"/>
              <w:rPr>
                <w:szCs w:val="20"/>
              </w:rPr>
            </w:pPr>
            <w:r w:rsidRPr="00E00B35">
              <w:rPr>
                <w:szCs w:val="20"/>
              </w:rPr>
              <w:t xml:space="preserve">26 363  </w:t>
            </w:r>
          </w:p>
        </w:tc>
      </w:tr>
      <w:tr w:rsidR="008C7751" w:rsidRPr="00E00B35" w:rsidTr="008C7751">
        <w:trPr>
          <w:jc w:val="center"/>
        </w:trPr>
        <w:tc>
          <w:tcPr>
            <w:tcW w:w="1915" w:type="dxa"/>
          </w:tcPr>
          <w:p w:rsidR="008C7751" w:rsidRPr="00E00B35" w:rsidRDefault="008C7751" w:rsidP="00E00B35">
            <w:pPr>
              <w:spacing w:after="0" w:line="312" w:lineRule="auto"/>
              <w:rPr>
                <w:szCs w:val="20"/>
              </w:rPr>
            </w:pPr>
            <w:r w:rsidRPr="00E00B35">
              <w:rPr>
                <w:szCs w:val="20"/>
              </w:rPr>
              <w:t>Kwota objęta upomnieniami</w:t>
            </w:r>
          </w:p>
          <w:p w:rsidR="008C7751" w:rsidRPr="00E00B35" w:rsidRDefault="008C7751" w:rsidP="00E00B35">
            <w:pPr>
              <w:spacing w:after="0" w:line="312" w:lineRule="auto"/>
              <w:rPr>
                <w:szCs w:val="20"/>
              </w:rPr>
            </w:pPr>
            <w:r w:rsidRPr="00E00B35">
              <w:rPr>
                <w:rFonts w:cs="Arial"/>
                <w:szCs w:val="20"/>
              </w:rPr>
              <w:t>(zł)</w:t>
            </w:r>
          </w:p>
        </w:tc>
        <w:tc>
          <w:tcPr>
            <w:tcW w:w="1808" w:type="dxa"/>
            <w:vAlign w:val="center"/>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23 849 257,89 </w:t>
            </w:r>
          </w:p>
        </w:tc>
        <w:tc>
          <w:tcPr>
            <w:tcW w:w="1794" w:type="dxa"/>
            <w:vAlign w:val="center"/>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19 656 956,10 </w:t>
            </w:r>
          </w:p>
        </w:tc>
        <w:tc>
          <w:tcPr>
            <w:tcW w:w="1774" w:type="dxa"/>
            <w:vAlign w:val="center"/>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22 154 325,11 </w:t>
            </w:r>
          </w:p>
        </w:tc>
        <w:tc>
          <w:tcPr>
            <w:tcW w:w="1927" w:type="dxa"/>
            <w:vAlign w:val="center"/>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20 350 383,68 </w:t>
            </w:r>
          </w:p>
        </w:tc>
      </w:tr>
      <w:tr w:rsidR="008C7751" w:rsidRPr="00E00B35" w:rsidTr="008C7751">
        <w:trPr>
          <w:jc w:val="center"/>
        </w:trPr>
        <w:tc>
          <w:tcPr>
            <w:tcW w:w="1915" w:type="dxa"/>
            <w:vAlign w:val="center"/>
          </w:tcPr>
          <w:p w:rsidR="008C7751" w:rsidRPr="00E00B35" w:rsidRDefault="008C7751" w:rsidP="00E00B35">
            <w:pPr>
              <w:spacing w:after="0" w:line="312" w:lineRule="auto"/>
              <w:rPr>
                <w:szCs w:val="20"/>
              </w:rPr>
            </w:pPr>
            <w:r w:rsidRPr="00E00B35">
              <w:rPr>
                <w:szCs w:val="20"/>
              </w:rPr>
              <w:t xml:space="preserve">Realizacja miękkiej </w:t>
            </w:r>
            <w:r w:rsidRPr="00E00B35">
              <w:rPr>
                <w:szCs w:val="20"/>
              </w:rPr>
              <w:lastRenderedPageBreak/>
              <w:t>windykacji</w:t>
            </w:r>
          </w:p>
          <w:p w:rsidR="008C7751" w:rsidRPr="00E00B35" w:rsidRDefault="008C7751" w:rsidP="00E00B35">
            <w:pPr>
              <w:spacing w:after="0" w:line="312" w:lineRule="auto"/>
              <w:rPr>
                <w:szCs w:val="20"/>
              </w:rPr>
            </w:pPr>
            <w:r w:rsidRPr="00E00B35">
              <w:rPr>
                <w:rFonts w:cs="Arial"/>
                <w:szCs w:val="20"/>
              </w:rPr>
              <w:t>(zł)</w:t>
            </w:r>
          </w:p>
        </w:tc>
        <w:tc>
          <w:tcPr>
            <w:tcW w:w="1808"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lastRenderedPageBreak/>
              <w:t xml:space="preserve">6 883 006,63 </w:t>
            </w:r>
          </w:p>
        </w:tc>
        <w:tc>
          <w:tcPr>
            <w:tcW w:w="1794"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 xml:space="preserve">11 257 247,79 </w:t>
            </w:r>
          </w:p>
        </w:tc>
        <w:tc>
          <w:tcPr>
            <w:tcW w:w="1774"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 xml:space="preserve">12 553 985,74 </w:t>
            </w:r>
          </w:p>
        </w:tc>
        <w:tc>
          <w:tcPr>
            <w:tcW w:w="1927"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 xml:space="preserve">10 433 476,85 </w:t>
            </w:r>
          </w:p>
        </w:tc>
      </w:tr>
    </w:tbl>
    <w:p w:rsidR="008C7751" w:rsidRPr="00E00B35" w:rsidRDefault="008C7751" w:rsidP="00E00B35">
      <w:pPr>
        <w:spacing w:after="0" w:line="312" w:lineRule="auto"/>
        <w:rPr>
          <w:rFonts w:cs="Segoe UI"/>
          <w:szCs w:val="20"/>
        </w:rPr>
      </w:pPr>
    </w:p>
    <w:p w:rsidR="008C7751" w:rsidRPr="00E00B35" w:rsidRDefault="008C7751" w:rsidP="00E00B35">
      <w:pPr>
        <w:pStyle w:val="Nagwek4"/>
        <w:spacing w:before="0" w:after="0" w:line="312" w:lineRule="auto"/>
        <w:rPr>
          <w:sz w:val="20"/>
          <w:szCs w:val="20"/>
        </w:rPr>
      </w:pPr>
      <w:r w:rsidRPr="00E00B35">
        <w:rPr>
          <w:sz w:val="20"/>
          <w:szCs w:val="20"/>
        </w:rPr>
        <w:t>Opłata za gospodarowanie odpadami komunalnymi</w:t>
      </w: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5"/>
        <w:gridCol w:w="1808"/>
        <w:gridCol w:w="1794"/>
        <w:gridCol w:w="1774"/>
        <w:gridCol w:w="1927"/>
      </w:tblGrid>
      <w:tr w:rsidR="008C7751" w:rsidRPr="00E00B35" w:rsidTr="008C7751">
        <w:trPr>
          <w:trHeight w:val="284"/>
          <w:jc w:val="center"/>
        </w:trPr>
        <w:tc>
          <w:tcPr>
            <w:tcW w:w="1915" w:type="dxa"/>
            <w:vAlign w:val="center"/>
          </w:tcPr>
          <w:p w:rsidR="008C7751" w:rsidRPr="00E00B35" w:rsidRDefault="008C7751" w:rsidP="00E00B35">
            <w:pPr>
              <w:spacing w:after="0" w:line="312" w:lineRule="auto"/>
              <w:rPr>
                <w:szCs w:val="20"/>
              </w:rPr>
            </w:pPr>
            <w:r w:rsidRPr="00E00B35">
              <w:rPr>
                <w:szCs w:val="20"/>
              </w:rPr>
              <w:t>Działanie</w:t>
            </w:r>
          </w:p>
        </w:tc>
        <w:tc>
          <w:tcPr>
            <w:tcW w:w="1808" w:type="dxa"/>
            <w:vAlign w:val="center"/>
          </w:tcPr>
          <w:p w:rsidR="008C7751" w:rsidRPr="00E00B35" w:rsidRDefault="008C7751" w:rsidP="00E00B35">
            <w:pPr>
              <w:spacing w:after="0" w:line="312" w:lineRule="auto"/>
              <w:rPr>
                <w:szCs w:val="20"/>
              </w:rPr>
            </w:pPr>
            <w:r w:rsidRPr="00E00B35">
              <w:rPr>
                <w:szCs w:val="20"/>
              </w:rPr>
              <w:t>2017 rok</w:t>
            </w:r>
          </w:p>
        </w:tc>
        <w:tc>
          <w:tcPr>
            <w:tcW w:w="1794" w:type="dxa"/>
            <w:vAlign w:val="center"/>
          </w:tcPr>
          <w:p w:rsidR="008C7751" w:rsidRPr="00E00B35" w:rsidRDefault="008C7751" w:rsidP="00E00B35">
            <w:pPr>
              <w:spacing w:after="0" w:line="312" w:lineRule="auto"/>
              <w:rPr>
                <w:szCs w:val="20"/>
              </w:rPr>
            </w:pPr>
            <w:r w:rsidRPr="00E00B35">
              <w:rPr>
                <w:szCs w:val="20"/>
              </w:rPr>
              <w:t>2018 rok</w:t>
            </w:r>
          </w:p>
        </w:tc>
        <w:tc>
          <w:tcPr>
            <w:tcW w:w="1774" w:type="dxa"/>
            <w:vAlign w:val="center"/>
          </w:tcPr>
          <w:p w:rsidR="008C7751" w:rsidRPr="00E00B35" w:rsidRDefault="008C7751" w:rsidP="00E00B35">
            <w:pPr>
              <w:spacing w:after="0" w:line="312" w:lineRule="auto"/>
              <w:rPr>
                <w:szCs w:val="20"/>
              </w:rPr>
            </w:pPr>
            <w:r w:rsidRPr="00E00B35">
              <w:rPr>
                <w:szCs w:val="20"/>
              </w:rPr>
              <w:t>2019 rok</w:t>
            </w:r>
          </w:p>
        </w:tc>
        <w:tc>
          <w:tcPr>
            <w:tcW w:w="1927" w:type="dxa"/>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rPr>
          <w:jc w:val="center"/>
        </w:trPr>
        <w:tc>
          <w:tcPr>
            <w:tcW w:w="1915" w:type="dxa"/>
            <w:vAlign w:val="center"/>
          </w:tcPr>
          <w:p w:rsidR="008C7751" w:rsidRPr="00E00B35" w:rsidRDefault="008C7751" w:rsidP="00E00B35">
            <w:pPr>
              <w:spacing w:after="0" w:line="312" w:lineRule="auto"/>
              <w:rPr>
                <w:szCs w:val="20"/>
              </w:rPr>
            </w:pPr>
            <w:r w:rsidRPr="00E00B35">
              <w:rPr>
                <w:szCs w:val="20"/>
              </w:rPr>
              <w:t>upomnienia (szt.)</w:t>
            </w:r>
          </w:p>
        </w:tc>
        <w:tc>
          <w:tcPr>
            <w:tcW w:w="1808"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794"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774"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 xml:space="preserve">16 249 </w:t>
            </w:r>
          </w:p>
        </w:tc>
        <w:tc>
          <w:tcPr>
            <w:tcW w:w="1927"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 xml:space="preserve">10 452 </w:t>
            </w:r>
          </w:p>
        </w:tc>
      </w:tr>
      <w:tr w:rsidR="008C7751" w:rsidRPr="00E00B35" w:rsidTr="008C7751">
        <w:trPr>
          <w:jc w:val="center"/>
        </w:trPr>
        <w:tc>
          <w:tcPr>
            <w:tcW w:w="1915" w:type="dxa"/>
          </w:tcPr>
          <w:p w:rsidR="008C7751" w:rsidRPr="00E00B35" w:rsidRDefault="008C7751" w:rsidP="00E00B35">
            <w:pPr>
              <w:spacing w:after="0" w:line="312" w:lineRule="auto"/>
              <w:rPr>
                <w:szCs w:val="20"/>
              </w:rPr>
            </w:pPr>
            <w:r w:rsidRPr="00E00B35">
              <w:rPr>
                <w:szCs w:val="20"/>
              </w:rPr>
              <w:t>Kwota objęta upomnieniami</w:t>
            </w:r>
          </w:p>
          <w:p w:rsidR="008C7751" w:rsidRPr="00E00B35" w:rsidRDefault="008C7751" w:rsidP="00E00B35">
            <w:pPr>
              <w:spacing w:after="0" w:line="312" w:lineRule="auto"/>
              <w:rPr>
                <w:szCs w:val="20"/>
              </w:rPr>
            </w:pPr>
            <w:r w:rsidRPr="00E00B35">
              <w:rPr>
                <w:rFonts w:cs="Arial"/>
                <w:szCs w:val="20"/>
              </w:rPr>
              <w:t>(zł)</w:t>
            </w:r>
          </w:p>
        </w:tc>
        <w:tc>
          <w:tcPr>
            <w:tcW w:w="1808"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794"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774" w:type="dxa"/>
            <w:vAlign w:val="center"/>
          </w:tcPr>
          <w:p w:rsidR="008C7751" w:rsidRPr="00E00B35" w:rsidRDefault="008C7751" w:rsidP="00E00B35">
            <w:pPr>
              <w:spacing w:after="0" w:line="312" w:lineRule="auto"/>
              <w:rPr>
                <w:rFonts w:cs="Arial"/>
                <w:color w:val="000000"/>
                <w:szCs w:val="20"/>
              </w:rPr>
            </w:pPr>
            <w:r w:rsidRPr="00E00B35">
              <w:rPr>
                <w:rFonts w:eastAsia="Calibri" w:cs="Arial"/>
                <w:szCs w:val="20"/>
              </w:rPr>
              <w:t xml:space="preserve">13 125 024,96 </w:t>
            </w:r>
          </w:p>
        </w:tc>
        <w:tc>
          <w:tcPr>
            <w:tcW w:w="1927"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 xml:space="preserve">7 239 688,41 </w:t>
            </w:r>
          </w:p>
        </w:tc>
      </w:tr>
      <w:tr w:rsidR="008C7751" w:rsidRPr="00E00B35" w:rsidTr="008C7751">
        <w:trPr>
          <w:jc w:val="center"/>
        </w:trPr>
        <w:tc>
          <w:tcPr>
            <w:tcW w:w="1915" w:type="dxa"/>
            <w:vAlign w:val="center"/>
          </w:tcPr>
          <w:p w:rsidR="008C7751" w:rsidRPr="00E00B35" w:rsidRDefault="008C7751" w:rsidP="00E00B35">
            <w:pPr>
              <w:spacing w:after="0" w:line="312" w:lineRule="auto"/>
              <w:rPr>
                <w:szCs w:val="20"/>
              </w:rPr>
            </w:pPr>
            <w:r w:rsidRPr="00E00B35">
              <w:rPr>
                <w:szCs w:val="20"/>
              </w:rPr>
              <w:t>Realizacja miękkiej windykacji</w:t>
            </w:r>
          </w:p>
          <w:p w:rsidR="008C7751" w:rsidRPr="00E00B35" w:rsidRDefault="008C7751" w:rsidP="00E00B35">
            <w:pPr>
              <w:spacing w:after="0" w:line="312" w:lineRule="auto"/>
              <w:rPr>
                <w:szCs w:val="20"/>
              </w:rPr>
            </w:pPr>
            <w:r w:rsidRPr="00E00B35">
              <w:rPr>
                <w:rFonts w:cs="Arial"/>
                <w:szCs w:val="20"/>
              </w:rPr>
              <w:t>(zł)</w:t>
            </w:r>
          </w:p>
        </w:tc>
        <w:tc>
          <w:tcPr>
            <w:tcW w:w="1808"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794"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774"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 xml:space="preserve">6 096 997,63 </w:t>
            </w:r>
          </w:p>
        </w:tc>
        <w:tc>
          <w:tcPr>
            <w:tcW w:w="1927" w:type="dxa"/>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 xml:space="preserve">3 447 387,80 </w:t>
            </w:r>
          </w:p>
        </w:tc>
      </w:tr>
    </w:tbl>
    <w:p w:rsidR="008C7751" w:rsidRPr="00E00B35" w:rsidRDefault="008C7751" w:rsidP="00E00B35">
      <w:pPr>
        <w:spacing w:after="0" w:line="312" w:lineRule="auto"/>
        <w:rPr>
          <w:rFonts w:cs="Segoe UI"/>
          <w:szCs w:val="20"/>
        </w:rPr>
      </w:pPr>
    </w:p>
    <w:p w:rsidR="008C7751" w:rsidRPr="00E00B35" w:rsidRDefault="008C7751" w:rsidP="00E00B35">
      <w:pPr>
        <w:pStyle w:val="Nagwek4"/>
        <w:spacing w:before="0" w:after="0" w:line="312" w:lineRule="auto"/>
        <w:rPr>
          <w:sz w:val="20"/>
          <w:szCs w:val="20"/>
        </w:rPr>
      </w:pPr>
      <w:r w:rsidRPr="00E00B35">
        <w:rPr>
          <w:sz w:val="20"/>
          <w:szCs w:val="20"/>
        </w:rPr>
        <w:t>Zobowiązania publicznoprawne</w:t>
      </w: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5"/>
        <w:gridCol w:w="1808"/>
        <w:gridCol w:w="1794"/>
        <w:gridCol w:w="1774"/>
        <w:gridCol w:w="1927"/>
      </w:tblGrid>
      <w:tr w:rsidR="008C7751" w:rsidRPr="00E00B35" w:rsidTr="008C7751">
        <w:tc>
          <w:tcPr>
            <w:tcW w:w="1915" w:type="dxa"/>
            <w:shd w:val="clear" w:color="auto" w:fill="FFFFFF"/>
            <w:vAlign w:val="center"/>
          </w:tcPr>
          <w:p w:rsidR="008C7751" w:rsidRPr="00E00B35" w:rsidRDefault="008C7751" w:rsidP="00E00B35">
            <w:pPr>
              <w:spacing w:after="0" w:line="312" w:lineRule="auto"/>
              <w:rPr>
                <w:szCs w:val="20"/>
              </w:rPr>
            </w:pPr>
            <w:r w:rsidRPr="00E00B35">
              <w:rPr>
                <w:szCs w:val="20"/>
              </w:rPr>
              <w:t>Działanie</w:t>
            </w:r>
          </w:p>
        </w:tc>
        <w:tc>
          <w:tcPr>
            <w:tcW w:w="1808" w:type="dxa"/>
            <w:shd w:val="clear" w:color="auto" w:fill="FFFFFF"/>
            <w:vAlign w:val="center"/>
          </w:tcPr>
          <w:p w:rsidR="008C7751" w:rsidRPr="00E00B35" w:rsidRDefault="008C7751" w:rsidP="00E00B35">
            <w:pPr>
              <w:spacing w:after="0" w:line="312" w:lineRule="auto"/>
              <w:rPr>
                <w:szCs w:val="20"/>
              </w:rPr>
            </w:pPr>
            <w:r w:rsidRPr="00E00B35">
              <w:rPr>
                <w:szCs w:val="20"/>
              </w:rPr>
              <w:t>2017 rok</w:t>
            </w:r>
          </w:p>
        </w:tc>
        <w:tc>
          <w:tcPr>
            <w:tcW w:w="1794" w:type="dxa"/>
            <w:shd w:val="clear" w:color="auto" w:fill="FFFFFF"/>
            <w:vAlign w:val="center"/>
          </w:tcPr>
          <w:p w:rsidR="008C7751" w:rsidRPr="00E00B35" w:rsidRDefault="008C7751" w:rsidP="00E00B35">
            <w:pPr>
              <w:spacing w:after="0" w:line="312" w:lineRule="auto"/>
              <w:rPr>
                <w:szCs w:val="20"/>
              </w:rPr>
            </w:pPr>
            <w:r w:rsidRPr="00E00B35">
              <w:rPr>
                <w:szCs w:val="20"/>
              </w:rPr>
              <w:t>2018 rok</w:t>
            </w:r>
          </w:p>
        </w:tc>
        <w:tc>
          <w:tcPr>
            <w:tcW w:w="1774" w:type="dxa"/>
            <w:shd w:val="clear" w:color="auto" w:fill="FFFFFF"/>
            <w:vAlign w:val="center"/>
          </w:tcPr>
          <w:p w:rsidR="008C7751" w:rsidRPr="00E00B35" w:rsidRDefault="008C7751" w:rsidP="00E00B35">
            <w:pPr>
              <w:spacing w:after="0" w:line="312" w:lineRule="auto"/>
              <w:rPr>
                <w:szCs w:val="20"/>
              </w:rPr>
            </w:pPr>
            <w:r w:rsidRPr="00E00B35">
              <w:rPr>
                <w:szCs w:val="20"/>
              </w:rPr>
              <w:t>2019 rok</w:t>
            </w:r>
          </w:p>
        </w:tc>
        <w:tc>
          <w:tcPr>
            <w:tcW w:w="1927" w:type="dxa"/>
            <w:shd w:val="clear" w:color="auto" w:fill="FFFFFF"/>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upomnienia (szt.)</w:t>
            </w:r>
          </w:p>
        </w:tc>
        <w:tc>
          <w:tcPr>
            <w:tcW w:w="1808"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13758</w:t>
            </w:r>
          </w:p>
        </w:tc>
        <w:tc>
          <w:tcPr>
            <w:tcW w:w="1794"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10895</w:t>
            </w:r>
          </w:p>
        </w:tc>
        <w:tc>
          <w:tcPr>
            <w:tcW w:w="1774"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13167</w:t>
            </w:r>
          </w:p>
        </w:tc>
        <w:tc>
          <w:tcPr>
            <w:tcW w:w="1927"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7323</w:t>
            </w:r>
          </w:p>
        </w:tc>
      </w:tr>
      <w:tr w:rsidR="008C7751" w:rsidRPr="00E00B35" w:rsidTr="008C7751">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Kwota objęta upomnieniami</w:t>
            </w:r>
          </w:p>
          <w:p w:rsidR="008C7751" w:rsidRPr="00E00B35" w:rsidRDefault="008C7751" w:rsidP="00E00B35">
            <w:pPr>
              <w:spacing w:after="0" w:line="312" w:lineRule="auto"/>
              <w:rPr>
                <w:szCs w:val="20"/>
              </w:rPr>
            </w:pPr>
            <w:r w:rsidRPr="00E00B35">
              <w:rPr>
                <w:szCs w:val="20"/>
              </w:rPr>
              <w:t>(zł)</w:t>
            </w:r>
          </w:p>
        </w:tc>
        <w:tc>
          <w:tcPr>
            <w:tcW w:w="1808"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 xml:space="preserve">21 014 952,24 </w:t>
            </w:r>
          </w:p>
        </w:tc>
        <w:tc>
          <w:tcPr>
            <w:tcW w:w="1794"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 xml:space="preserve">15 035 133,63 </w:t>
            </w:r>
          </w:p>
        </w:tc>
        <w:tc>
          <w:tcPr>
            <w:tcW w:w="1774"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 xml:space="preserve">8 455 907,11 </w:t>
            </w:r>
          </w:p>
        </w:tc>
        <w:tc>
          <w:tcPr>
            <w:tcW w:w="1927"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 xml:space="preserve">4 206 700,01 </w:t>
            </w:r>
          </w:p>
        </w:tc>
      </w:tr>
      <w:tr w:rsidR="008C7751" w:rsidRPr="00E00B35" w:rsidTr="008C7751">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Realizacja miękkiej windykacji</w:t>
            </w:r>
          </w:p>
          <w:p w:rsidR="008C7751" w:rsidRPr="00E00B35" w:rsidRDefault="008C7751" w:rsidP="00E00B35">
            <w:pPr>
              <w:spacing w:after="0" w:line="312" w:lineRule="auto"/>
              <w:rPr>
                <w:szCs w:val="20"/>
              </w:rPr>
            </w:pPr>
            <w:r w:rsidRPr="00E00B35">
              <w:rPr>
                <w:szCs w:val="20"/>
              </w:rPr>
              <w:t>(zł)</w:t>
            </w:r>
          </w:p>
        </w:tc>
        <w:tc>
          <w:tcPr>
            <w:tcW w:w="1808"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 xml:space="preserve">1 688 758,35 </w:t>
            </w:r>
          </w:p>
        </w:tc>
        <w:tc>
          <w:tcPr>
            <w:tcW w:w="1794"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 xml:space="preserve">4 152 412,07 </w:t>
            </w:r>
          </w:p>
        </w:tc>
        <w:tc>
          <w:tcPr>
            <w:tcW w:w="1774"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 xml:space="preserve">2 648 668,53 </w:t>
            </w:r>
          </w:p>
        </w:tc>
        <w:tc>
          <w:tcPr>
            <w:tcW w:w="1927" w:type="dxa"/>
            <w:tcBorders>
              <w:top w:val="single" w:sz="4" w:space="0" w:color="auto"/>
              <w:left w:val="single" w:sz="4" w:space="0" w:color="auto"/>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szCs w:val="20"/>
              </w:rPr>
            </w:pPr>
            <w:r w:rsidRPr="00E00B35">
              <w:rPr>
                <w:szCs w:val="20"/>
              </w:rPr>
              <w:t xml:space="preserve">1 376 434,53 </w:t>
            </w:r>
          </w:p>
        </w:tc>
      </w:tr>
    </w:tbl>
    <w:p w:rsidR="008C7751" w:rsidRPr="00E00B35" w:rsidRDefault="008C7751" w:rsidP="00E00B35">
      <w:pPr>
        <w:spacing w:after="0" w:line="312" w:lineRule="auto"/>
        <w:rPr>
          <w:rFonts w:cs="Segoe UI"/>
          <w:szCs w:val="20"/>
        </w:rPr>
      </w:pPr>
    </w:p>
    <w:p w:rsidR="008C7751" w:rsidRPr="00E00B35" w:rsidRDefault="008C7751" w:rsidP="00E00B35">
      <w:pPr>
        <w:spacing w:after="0" w:line="312" w:lineRule="auto"/>
        <w:rPr>
          <w:szCs w:val="20"/>
        </w:rPr>
      </w:pPr>
      <w:r w:rsidRPr="00E00B35">
        <w:rPr>
          <w:szCs w:val="20"/>
        </w:rPr>
        <w:t>Zmniejszenie w stosunku do roku 2019 roku liczby wystawionych upomnień, kwot objętych upomnieniami, a także kwot uzyskanych w wyniku miękkiej windykacji wynika w głównej mierze ze zmian w prawie w związku z panującą epidemią Covid-19. Nie przełożyło się to jednak na zmniejszenie efektywności podejmowanych działań.  Zmniejszona wartość zaległości objętych upomnieniami wynikała m.in. z zamknięcia izby wytrzeźwień  prowadzonej przez WROPON, w okresie od połowy marca do połowy lipca 2020 r., co przełożyło się na brak zaległości, które należałoby objąć upomnieniami. W zakresie kwot należności z tytułu opłaty za usunięcie drzew i krzewów objętych upomnieniami, w związku z ich umorzeniem przełożyły się na końcowy wynik realizacji miękkiej windykacji.</w:t>
      </w:r>
    </w:p>
    <w:p w:rsidR="008C7751" w:rsidRPr="00E00B35" w:rsidRDefault="008C7751" w:rsidP="00E00B35">
      <w:pPr>
        <w:spacing w:after="0" w:line="312" w:lineRule="auto"/>
        <w:rPr>
          <w:szCs w:val="20"/>
        </w:rPr>
      </w:pPr>
      <w:r w:rsidRPr="00E00B35">
        <w:rPr>
          <w:szCs w:val="20"/>
        </w:rPr>
        <w:t>Mimo zmniejszenia kwot zaległości objętych upomnieniami zwiększeniu uległy kwoty uzyskane w wyniku miękkiej windykacji zaległości z tytułu opłat za gospodarowania odpadami komunalnymi i zobowiązań publicznoprawnych (proporcjonalnie do kwot zaległości objętych upomnieniami).</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lastRenderedPageBreak/>
        <w:t>Wpływ kwot kosztów upomnień w latach 2017-2020</w:t>
      </w:r>
    </w:p>
    <w:tbl>
      <w:tblPr>
        <w:tblW w:w="0" w:type="auto"/>
        <w:jc w:val="center"/>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1701"/>
        <w:gridCol w:w="1701"/>
        <w:gridCol w:w="1701"/>
        <w:gridCol w:w="1701"/>
      </w:tblGrid>
      <w:tr w:rsidR="008C7751" w:rsidRPr="00E00B35" w:rsidTr="008C7751">
        <w:trPr>
          <w:jc w:val="center"/>
        </w:trPr>
        <w:tc>
          <w:tcPr>
            <w:tcW w:w="1984" w:type="dxa"/>
            <w:vAlign w:val="center"/>
          </w:tcPr>
          <w:p w:rsidR="008C7751" w:rsidRPr="00E00B35" w:rsidRDefault="008C7751" w:rsidP="00E00B35">
            <w:pPr>
              <w:spacing w:after="0" w:line="312" w:lineRule="auto"/>
              <w:rPr>
                <w:szCs w:val="20"/>
              </w:rPr>
            </w:pPr>
            <w:r w:rsidRPr="00E00B35">
              <w:rPr>
                <w:szCs w:val="20"/>
              </w:rPr>
              <w:t>Działanie</w:t>
            </w:r>
          </w:p>
        </w:tc>
        <w:tc>
          <w:tcPr>
            <w:tcW w:w="1701" w:type="dxa"/>
            <w:vAlign w:val="center"/>
          </w:tcPr>
          <w:p w:rsidR="008C7751" w:rsidRPr="00E00B35" w:rsidRDefault="008C7751" w:rsidP="00E00B35">
            <w:pPr>
              <w:spacing w:after="0" w:line="312" w:lineRule="auto"/>
              <w:rPr>
                <w:szCs w:val="20"/>
              </w:rPr>
            </w:pPr>
            <w:r w:rsidRPr="00E00B35">
              <w:rPr>
                <w:szCs w:val="20"/>
              </w:rPr>
              <w:t>2017 rok</w:t>
            </w:r>
          </w:p>
        </w:tc>
        <w:tc>
          <w:tcPr>
            <w:tcW w:w="1701" w:type="dxa"/>
            <w:vAlign w:val="center"/>
          </w:tcPr>
          <w:p w:rsidR="008C7751" w:rsidRPr="00E00B35" w:rsidRDefault="008C7751" w:rsidP="00E00B35">
            <w:pPr>
              <w:spacing w:after="0" w:line="312" w:lineRule="auto"/>
              <w:rPr>
                <w:szCs w:val="20"/>
              </w:rPr>
            </w:pPr>
            <w:r w:rsidRPr="00E00B35">
              <w:rPr>
                <w:szCs w:val="20"/>
              </w:rPr>
              <w:t>2018 rok</w:t>
            </w:r>
          </w:p>
        </w:tc>
        <w:tc>
          <w:tcPr>
            <w:tcW w:w="1701" w:type="dxa"/>
            <w:vAlign w:val="center"/>
          </w:tcPr>
          <w:p w:rsidR="008C7751" w:rsidRPr="00E00B35" w:rsidRDefault="008C7751" w:rsidP="00E00B35">
            <w:pPr>
              <w:spacing w:after="0" w:line="312" w:lineRule="auto"/>
              <w:rPr>
                <w:szCs w:val="20"/>
              </w:rPr>
            </w:pPr>
            <w:r w:rsidRPr="00E00B35">
              <w:rPr>
                <w:szCs w:val="20"/>
              </w:rPr>
              <w:t>2019 rok</w:t>
            </w:r>
          </w:p>
        </w:tc>
        <w:tc>
          <w:tcPr>
            <w:tcW w:w="1701" w:type="dxa"/>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rPr>
          <w:jc w:val="center"/>
        </w:trPr>
        <w:tc>
          <w:tcPr>
            <w:tcW w:w="1984" w:type="dxa"/>
            <w:vAlign w:val="center"/>
          </w:tcPr>
          <w:p w:rsidR="008C7751" w:rsidRPr="00E00B35" w:rsidRDefault="008C7751" w:rsidP="00E00B35">
            <w:pPr>
              <w:spacing w:after="0" w:line="312" w:lineRule="auto"/>
              <w:rPr>
                <w:szCs w:val="20"/>
              </w:rPr>
            </w:pPr>
            <w:r w:rsidRPr="00E00B35">
              <w:rPr>
                <w:szCs w:val="20"/>
              </w:rPr>
              <w:t>upomnienia (szt.)</w:t>
            </w:r>
          </w:p>
        </w:tc>
        <w:tc>
          <w:tcPr>
            <w:tcW w:w="1701" w:type="dxa"/>
            <w:vAlign w:val="center"/>
          </w:tcPr>
          <w:p w:rsidR="008C7751" w:rsidRPr="00E00B35" w:rsidRDefault="008C7751" w:rsidP="00E00B35">
            <w:pPr>
              <w:spacing w:after="0" w:line="312" w:lineRule="auto"/>
              <w:rPr>
                <w:szCs w:val="20"/>
              </w:rPr>
            </w:pPr>
            <w:r w:rsidRPr="00E00B35">
              <w:rPr>
                <w:szCs w:val="20"/>
              </w:rPr>
              <w:t>54208</w:t>
            </w:r>
          </w:p>
        </w:tc>
        <w:tc>
          <w:tcPr>
            <w:tcW w:w="1701" w:type="dxa"/>
            <w:vAlign w:val="center"/>
          </w:tcPr>
          <w:p w:rsidR="008C7751" w:rsidRPr="00E00B35" w:rsidRDefault="008C7751" w:rsidP="00E00B35">
            <w:pPr>
              <w:spacing w:after="0" w:line="312" w:lineRule="auto"/>
              <w:rPr>
                <w:szCs w:val="20"/>
              </w:rPr>
            </w:pPr>
            <w:r w:rsidRPr="00E00B35">
              <w:rPr>
                <w:szCs w:val="20"/>
              </w:rPr>
              <w:t>24308</w:t>
            </w:r>
          </w:p>
        </w:tc>
        <w:tc>
          <w:tcPr>
            <w:tcW w:w="1701" w:type="dxa"/>
            <w:vAlign w:val="center"/>
          </w:tcPr>
          <w:p w:rsidR="008C7751" w:rsidRPr="00E00B35" w:rsidRDefault="008C7751" w:rsidP="00E00B35">
            <w:pPr>
              <w:spacing w:after="0" w:line="312" w:lineRule="auto"/>
              <w:rPr>
                <w:szCs w:val="20"/>
              </w:rPr>
            </w:pPr>
            <w:r w:rsidRPr="00E00B35">
              <w:rPr>
                <w:szCs w:val="20"/>
              </w:rPr>
              <w:t>69154</w:t>
            </w:r>
          </w:p>
        </w:tc>
        <w:tc>
          <w:tcPr>
            <w:tcW w:w="1701" w:type="dxa"/>
            <w:vAlign w:val="center"/>
          </w:tcPr>
          <w:p w:rsidR="008C7751" w:rsidRPr="00E00B35" w:rsidRDefault="008C7751" w:rsidP="00E00B35">
            <w:pPr>
              <w:spacing w:after="0" w:line="312" w:lineRule="auto"/>
              <w:rPr>
                <w:szCs w:val="20"/>
              </w:rPr>
            </w:pPr>
            <w:r w:rsidRPr="00E00B35">
              <w:rPr>
                <w:szCs w:val="20"/>
              </w:rPr>
              <w:t>44138</w:t>
            </w:r>
          </w:p>
        </w:tc>
      </w:tr>
      <w:tr w:rsidR="008C7751" w:rsidRPr="00E00B35" w:rsidTr="008C7751">
        <w:trPr>
          <w:jc w:val="center"/>
        </w:trPr>
        <w:tc>
          <w:tcPr>
            <w:tcW w:w="1984" w:type="dxa"/>
          </w:tcPr>
          <w:p w:rsidR="008C7751" w:rsidRPr="00E00B35" w:rsidRDefault="008C7751" w:rsidP="00E00B35">
            <w:pPr>
              <w:spacing w:after="0" w:line="312" w:lineRule="auto"/>
              <w:rPr>
                <w:szCs w:val="20"/>
              </w:rPr>
            </w:pPr>
            <w:r w:rsidRPr="00E00B35">
              <w:rPr>
                <w:szCs w:val="20"/>
              </w:rPr>
              <w:t>Kwota (zł)</w:t>
            </w:r>
          </w:p>
        </w:tc>
        <w:tc>
          <w:tcPr>
            <w:tcW w:w="1701" w:type="dxa"/>
            <w:vAlign w:val="center"/>
          </w:tcPr>
          <w:p w:rsidR="008C7751" w:rsidRPr="00E00B35" w:rsidRDefault="008C7751" w:rsidP="00E00B35">
            <w:pPr>
              <w:spacing w:after="0" w:line="312" w:lineRule="auto"/>
              <w:rPr>
                <w:szCs w:val="20"/>
              </w:rPr>
            </w:pPr>
            <w:r w:rsidRPr="00E00B35">
              <w:rPr>
                <w:szCs w:val="20"/>
              </w:rPr>
              <w:t xml:space="preserve">384 482,58 </w:t>
            </w:r>
          </w:p>
        </w:tc>
        <w:tc>
          <w:tcPr>
            <w:tcW w:w="1701" w:type="dxa"/>
            <w:vAlign w:val="center"/>
          </w:tcPr>
          <w:p w:rsidR="008C7751" w:rsidRPr="00E00B35" w:rsidRDefault="008C7751" w:rsidP="00E00B35">
            <w:pPr>
              <w:spacing w:after="0" w:line="312" w:lineRule="auto"/>
              <w:rPr>
                <w:szCs w:val="20"/>
              </w:rPr>
            </w:pPr>
            <w:r w:rsidRPr="00E00B35">
              <w:rPr>
                <w:szCs w:val="20"/>
              </w:rPr>
              <w:t xml:space="preserve">311 570,26 </w:t>
            </w:r>
          </w:p>
        </w:tc>
        <w:tc>
          <w:tcPr>
            <w:tcW w:w="1701" w:type="dxa"/>
            <w:vAlign w:val="center"/>
          </w:tcPr>
          <w:p w:rsidR="008C7751" w:rsidRPr="00E00B35" w:rsidRDefault="008C7751" w:rsidP="00E00B35">
            <w:pPr>
              <w:spacing w:after="0" w:line="312" w:lineRule="auto"/>
              <w:rPr>
                <w:szCs w:val="20"/>
              </w:rPr>
            </w:pPr>
            <w:r w:rsidRPr="00E00B35">
              <w:rPr>
                <w:szCs w:val="20"/>
              </w:rPr>
              <w:t xml:space="preserve">450 156,09 </w:t>
            </w:r>
          </w:p>
        </w:tc>
        <w:tc>
          <w:tcPr>
            <w:tcW w:w="1701" w:type="dxa"/>
            <w:vAlign w:val="center"/>
          </w:tcPr>
          <w:p w:rsidR="008C7751" w:rsidRPr="00E00B35" w:rsidRDefault="008C7751" w:rsidP="00E00B35">
            <w:pPr>
              <w:spacing w:after="0" w:line="312" w:lineRule="auto"/>
              <w:rPr>
                <w:szCs w:val="20"/>
              </w:rPr>
            </w:pPr>
            <w:r w:rsidRPr="00E00B35">
              <w:rPr>
                <w:szCs w:val="20"/>
              </w:rPr>
              <w:t xml:space="preserve">341 391,78 </w:t>
            </w: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 xml:space="preserve">Koszty upomnień stanowią dochód Gminy Wrocław. </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Inicjowanie i monitorowanie postępowań egzekucyjnych należności podatkowych oraz publicznoprawnych</w:t>
      </w:r>
    </w:p>
    <w:p w:rsidR="008C7751" w:rsidRPr="00E00B35" w:rsidRDefault="008C7751" w:rsidP="00E00B35">
      <w:pPr>
        <w:pStyle w:val="Nagwek4"/>
        <w:spacing w:before="0" w:after="0" w:line="312" w:lineRule="auto"/>
        <w:rPr>
          <w:sz w:val="20"/>
          <w:szCs w:val="20"/>
        </w:rPr>
      </w:pPr>
      <w:r w:rsidRPr="00E00B35">
        <w:rPr>
          <w:sz w:val="20"/>
          <w:szCs w:val="20"/>
        </w:rPr>
        <w:t>Ilość wystawionych tytułów wykonawczych w latach 2017-2020</w:t>
      </w:r>
    </w:p>
    <w:p w:rsidR="008C7751" w:rsidRPr="00E00B35" w:rsidRDefault="008C7751" w:rsidP="00E00B35">
      <w:pPr>
        <w:pStyle w:val="Nagwek4"/>
        <w:spacing w:before="0" w:after="0" w:line="312" w:lineRule="auto"/>
        <w:rPr>
          <w:sz w:val="20"/>
          <w:szCs w:val="20"/>
        </w:rPr>
      </w:pPr>
      <w:r w:rsidRPr="00E00B35">
        <w:rPr>
          <w:sz w:val="20"/>
          <w:szCs w:val="20"/>
        </w:rPr>
        <w:t>Zobowiązania podatkowe</w:t>
      </w:r>
    </w:p>
    <w:tbl>
      <w:tblPr>
        <w:tblW w:w="0" w:type="auto"/>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1701"/>
        <w:gridCol w:w="1701"/>
        <w:gridCol w:w="1701"/>
        <w:gridCol w:w="1701"/>
      </w:tblGrid>
      <w:tr w:rsidR="008C7751" w:rsidRPr="00E00B35" w:rsidTr="008C7751">
        <w:trPr>
          <w:jc w:val="center"/>
        </w:trPr>
        <w:tc>
          <w:tcPr>
            <w:tcW w:w="2126" w:type="dxa"/>
            <w:vAlign w:val="center"/>
          </w:tcPr>
          <w:p w:rsidR="008C7751" w:rsidRPr="00E00B35" w:rsidRDefault="008C7751" w:rsidP="00E00B35">
            <w:pPr>
              <w:spacing w:after="0" w:line="312" w:lineRule="auto"/>
              <w:rPr>
                <w:szCs w:val="20"/>
              </w:rPr>
            </w:pPr>
            <w:r w:rsidRPr="00E00B35">
              <w:rPr>
                <w:szCs w:val="20"/>
              </w:rPr>
              <w:t>Działanie</w:t>
            </w:r>
          </w:p>
        </w:tc>
        <w:tc>
          <w:tcPr>
            <w:tcW w:w="1701" w:type="dxa"/>
            <w:vAlign w:val="center"/>
          </w:tcPr>
          <w:p w:rsidR="008C7751" w:rsidRPr="00E00B35" w:rsidRDefault="008C7751" w:rsidP="00E00B35">
            <w:pPr>
              <w:spacing w:after="0" w:line="312" w:lineRule="auto"/>
              <w:rPr>
                <w:szCs w:val="20"/>
              </w:rPr>
            </w:pPr>
            <w:r w:rsidRPr="00E00B35">
              <w:rPr>
                <w:szCs w:val="20"/>
              </w:rPr>
              <w:t>2017 rok</w:t>
            </w:r>
          </w:p>
        </w:tc>
        <w:tc>
          <w:tcPr>
            <w:tcW w:w="1701" w:type="dxa"/>
            <w:vAlign w:val="center"/>
          </w:tcPr>
          <w:p w:rsidR="008C7751" w:rsidRPr="00E00B35" w:rsidRDefault="008C7751" w:rsidP="00E00B35">
            <w:pPr>
              <w:spacing w:after="0" w:line="312" w:lineRule="auto"/>
              <w:rPr>
                <w:szCs w:val="20"/>
              </w:rPr>
            </w:pPr>
            <w:r w:rsidRPr="00E00B35">
              <w:rPr>
                <w:szCs w:val="20"/>
              </w:rPr>
              <w:t>2018 rok</w:t>
            </w:r>
          </w:p>
        </w:tc>
        <w:tc>
          <w:tcPr>
            <w:tcW w:w="1701" w:type="dxa"/>
            <w:vAlign w:val="center"/>
          </w:tcPr>
          <w:p w:rsidR="008C7751" w:rsidRPr="00E00B35" w:rsidRDefault="008C7751" w:rsidP="00E00B35">
            <w:pPr>
              <w:spacing w:after="0" w:line="312" w:lineRule="auto"/>
              <w:rPr>
                <w:szCs w:val="20"/>
              </w:rPr>
            </w:pPr>
            <w:r w:rsidRPr="00E00B35">
              <w:rPr>
                <w:szCs w:val="20"/>
              </w:rPr>
              <w:t>2019 rok</w:t>
            </w:r>
          </w:p>
        </w:tc>
        <w:tc>
          <w:tcPr>
            <w:tcW w:w="1701" w:type="dxa"/>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rPr>
          <w:jc w:val="center"/>
        </w:trPr>
        <w:tc>
          <w:tcPr>
            <w:tcW w:w="2126" w:type="dxa"/>
            <w:vAlign w:val="center"/>
          </w:tcPr>
          <w:p w:rsidR="008C7751" w:rsidRPr="00E00B35" w:rsidRDefault="008C7751" w:rsidP="00E00B35">
            <w:pPr>
              <w:spacing w:after="0" w:line="312" w:lineRule="auto"/>
              <w:rPr>
                <w:szCs w:val="20"/>
              </w:rPr>
            </w:pPr>
            <w:r w:rsidRPr="00E00B35">
              <w:rPr>
                <w:szCs w:val="20"/>
              </w:rPr>
              <w:t>tytuły wykonawcze (szt.)</w:t>
            </w:r>
          </w:p>
        </w:tc>
        <w:tc>
          <w:tcPr>
            <w:tcW w:w="1701" w:type="dxa"/>
            <w:vAlign w:val="center"/>
          </w:tcPr>
          <w:p w:rsidR="008C7751" w:rsidRPr="00E00B35" w:rsidRDefault="008C7751" w:rsidP="00E00B35">
            <w:pPr>
              <w:spacing w:after="0" w:line="312" w:lineRule="auto"/>
              <w:rPr>
                <w:szCs w:val="20"/>
              </w:rPr>
            </w:pPr>
            <w:r w:rsidRPr="00E00B35">
              <w:rPr>
                <w:szCs w:val="20"/>
              </w:rPr>
              <w:t xml:space="preserve">16947 </w:t>
            </w:r>
          </w:p>
        </w:tc>
        <w:tc>
          <w:tcPr>
            <w:tcW w:w="1701" w:type="dxa"/>
            <w:vAlign w:val="center"/>
          </w:tcPr>
          <w:p w:rsidR="008C7751" w:rsidRPr="00E00B35" w:rsidRDefault="008C7751" w:rsidP="00E00B35">
            <w:pPr>
              <w:spacing w:after="0" w:line="312" w:lineRule="auto"/>
              <w:rPr>
                <w:szCs w:val="20"/>
              </w:rPr>
            </w:pPr>
            <w:r w:rsidRPr="00E00B35">
              <w:rPr>
                <w:szCs w:val="20"/>
              </w:rPr>
              <w:t xml:space="preserve">12630 </w:t>
            </w:r>
          </w:p>
        </w:tc>
        <w:tc>
          <w:tcPr>
            <w:tcW w:w="1701" w:type="dxa"/>
            <w:vAlign w:val="center"/>
          </w:tcPr>
          <w:p w:rsidR="008C7751" w:rsidRPr="00E00B35" w:rsidRDefault="008C7751" w:rsidP="00E00B35">
            <w:pPr>
              <w:spacing w:after="0" w:line="312" w:lineRule="auto"/>
              <w:rPr>
                <w:szCs w:val="20"/>
              </w:rPr>
            </w:pPr>
            <w:r w:rsidRPr="00E00B35">
              <w:rPr>
                <w:szCs w:val="20"/>
              </w:rPr>
              <w:t xml:space="preserve">14968 </w:t>
            </w:r>
          </w:p>
        </w:tc>
        <w:tc>
          <w:tcPr>
            <w:tcW w:w="1701" w:type="dxa"/>
            <w:vAlign w:val="center"/>
          </w:tcPr>
          <w:p w:rsidR="008C7751" w:rsidRPr="00E00B35" w:rsidRDefault="008C7751" w:rsidP="00E00B35">
            <w:pPr>
              <w:spacing w:after="0" w:line="312" w:lineRule="auto"/>
              <w:rPr>
                <w:szCs w:val="20"/>
              </w:rPr>
            </w:pPr>
            <w:r w:rsidRPr="00E00B35">
              <w:rPr>
                <w:szCs w:val="20"/>
              </w:rPr>
              <w:t xml:space="preserve">11072 </w:t>
            </w:r>
          </w:p>
        </w:tc>
      </w:tr>
      <w:tr w:rsidR="008C7751" w:rsidRPr="00E00B35" w:rsidTr="008C7751">
        <w:trPr>
          <w:jc w:val="center"/>
        </w:trPr>
        <w:tc>
          <w:tcPr>
            <w:tcW w:w="2126" w:type="dxa"/>
          </w:tcPr>
          <w:p w:rsidR="008C7751" w:rsidRPr="00E00B35" w:rsidRDefault="008C7751" w:rsidP="00E00B35">
            <w:pPr>
              <w:spacing w:after="0" w:line="312" w:lineRule="auto"/>
              <w:rPr>
                <w:szCs w:val="20"/>
              </w:rPr>
            </w:pPr>
            <w:r w:rsidRPr="00E00B35">
              <w:rPr>
                <w:szCs w:val="20"/>
              </w:rPr>
              <w:t>Kwota objęta tytułami wykonawczym i (zł)</w:t>
            </w:r>
          </w:p>
        </w:tc>
        <w:tc>
          <w:tcPr>
            <w:tcW w:w="1701" w:type="dxa"/>
            <w:vAlign w:val="center"/>
          </w:tcPr>
          <w:p w:rsidR="008C7751" w:rsidRPr="00E00B35" w:rsidRDefault="008C7751" w:rsidP="00E00B35">
            <w:pPr>
              <w:spacing w:after="0" w:line="312" w:lineRule="auto"/>
              <w:rPr>
                <w:szCs w:val="20"/>
              </w:rPr>
            </w:pPr>
            <w:r w:rsidRPr="00E00B35">
              <w:rPr>
                <w:szCs w:val="20"/>
              </w:rPr>
              <w:t xml:space="preserve">11 356 117,10 </w:t>
            </w:r>
          </w:p>
        </w:tc>
        <w:tc>
          <w:tcPr>
            <w:tcW w:w="1701" w:type="dxa"/>
            <w:vAlign w:val="center"/>
          </w:tcPr>
          <w:p w:rsidR="008C7751" w:rsidRPr="00E00B35" w:rsidRDefault="008C7751" w:rsidP="00E00B35">
            <w:pPr>
              <w:spacing w:after="0" w:line="312" w:lineRule="auto"/>
              <w:rPr>
                <w:szCs w:val="20"/>
              </w:rPr>
            </w:pPr>
            <w:r w:rsidRPr="00E00B35">
              <w:rPr>
                <w:szCs w:val="20"/>
              </w:rPr>
              <w:t xml:space="preserve">9 147 614,20 </w:t>
            </w:r>
          </w:p>
        </w:tc>
        <w:tc>
          <w:tcPr>
            <w:tcW w:w="1701" w:type="dxa"/>
            <w:vAlign w:val="center"/>
          </w:tcPr>
          <w:p w:rsidR="008C7751" w:rsidRPr="00E00B35" w:rsidRDefault="008C7751" w:rsidP="00E00B35">
            <w:pPr>
              <w:spacing w:after="0" w:line="312" w:lineRule="auto"/>
              <w:rPr>
                <w:szCs w:val="20"/>
              </w:rPr>
            </w:pPr>
            <w:r w:rsidRPr="00E00B35">
              <w:rPr>
                <w:szCs w:val="20"/>
              </w:rPr>
              <w:t xml:space="preserve">9 440 781,9‬0 </w:t>
            </w:r>
          </w:p>
        </w:tc>
        <w:tc>
          <w:tcPr>
            <w:tcW w:w="1701" w:type="dxa"/>
            <w:vAlign w:val="center"/>
          </w:tcPr>
          <w:p w:rsidR="008C7751" w:rsidRPr="00E00B35" w:rsidRDefault="008C7751" w:rsidP="00E00B35">
            <w:pPr>
              <w:spacing w:after="0" w:line="312" w:lineRule="auto"/>
              <w:rPr>
                <w:szCs w:val="20"/>
              </w:rPr>
            </w:pPr>
            <w:r w:rsidRPr="00E00B35">
              <w:rPr>
                <w:szCs w:val="20"/>
              </w:rPr>
              <w:t xml:space="preserve">8 445 672,40 </w:t>
            </w:r>
          </w:p>
        </w:tc>
      </w:tr>
      <w:tr w:rsidR="008C7751" w:rsidRPr="00E00B35" w:rsidTr="008C7751">
        <w:trPr>
          <w:jc w:val="center"/>
        </w:trPr>
        <w:tc>
          <w:tcPr>
            <w:tcW w:w="2126" w:type="dxa"/>
          </w:tcPr>
          <w:p w:rsidR="008C7751" w:rsidRPr="00E00B35" w:rsidRDefault="008C7751" w:rsidP="00E00B35">
            <w:pPr>
              <w:spacing w:after="0" w:line="312" w:lineRule="auto"/>
              <w:rPr>
                <w:szCs w:val="20"/>
              </w:rPr>
            </w:pPr>
            <w:r w:rsidRPr="00E00B35">
              <w:rPr>
                <w:szCs w:val="20"/>
              </w:rPr>
              <w:t xml:space="preserve">Kwoty wyegzekwowane w postępowaniu egzekucyjnym </w:t>
            </w:r>
          </w:p>
          <w:p w:rsidR="008C7751" w:rsidRPr="00E00B35" w:rsidRDefault="008C7751" w:rsidP="00E00B35">
            <w:pPr>
              <w:spacing w:after="0" w:line="312" w:lineRule="auto"/>
              <w:rPr>
                <w:szCs w:val="20"/>
              </w:rPr>
            </w:pPr>
            <w:r w:rsidRPr="00E00B35">
              <w:rPr>
                <w:szCs w:val="20"/>
              </w:rPr>
              <w:t>w administracji (zł)</w:t>
            </w:r>
          </w:p>
        </w:tc>
        <w:tc>
          <w:tcPr>
            <w:tcW w:w="1701" w:type="dxa"/>
            <w:vAlign w:val="center"/>
          </w:tcPr>
          <w:p w:rsidR="008C7751" w:rsidRPr="00E00B35" w:rsidRDefault="008C7751" w:rsidP="00E00B35">
            <w:pPr>
              <w:spacing w:after="0" w:line="312" w:lineRule="auto"/>
              <w:rPr>
                <w:szCs w:val="20"/>
              </w:rPr>
            </w:pPr>
            <w:r w:rsidRPr="00E00B35">
              <w:rPr>
                <w:szCs w:val="20"/>
              </w:rPr>
              <w:t xml:space="preserve">6 478 027,57 </w:t>
            </w:r>
          </w:p>
        </w:tc>
        <w:tc>
          <w:tcPr>
            <w:tcW w:w="1701" w:type="dxa"/>
            <w:vAlign w:val="center"/>
          </w:tcPr>
          <w:p w:rsidR="008C7751" w:rsidRPr="00E00B35" w:rsidRDefault="008C7751" w:rsidP="00E00B35">
            <w:pPr>
              <w:spacing w:after="0" w:line="312" w:lineRule="auto"/>
              <w:rPr>
                <w:szCs w:val="20"/>
              </w:rPr>
            </w:pPr>
            <w:r w:rsidRPr="00E00B35">
              <w:rPr>
                <w:szCs w:val="20"/>
              </w:rPr>
              <w:t xml:space="preserve">5 253 906,94 </w:t>
            </w:r>
          </w:p>
        </w:tc>
        <w:tc>
          <w:tcPr>
            <w:tcW w:w="1701" w:type="dxa"/>
            <w:vAlign w:val="center"/>
          </w:tcPr>
          <w:p w:rsidR="008C7751" w:rsidRPr="00E00B35" w:rsidRDefault="008C7751" w:rsidP="00E00B35">
            <w:pPr>
              <w:spacing w:after="0" w:line="312" w:lineRule="auto"/>
              <w:rPr>
                <w:szCs w:val="20"/>
              </w:rPr>
            </w:pPr>
            <w:r w:rsidRPr="00E00B35">
              <w:rPr>
                <w:szCs w:val="20"/>
              </w:rPr>
              <w:t xml:space="preserve">4 554 473,09 </w:t>
            </w:r>
          </w:p>
        </w:tc>
        <w:tc>
          <w:tcPr>
            <w:tcW w:w="1701" w:type="dxa"/>
            <w:vAlign w:val="center"/>
          </w:tcPr>
          <w:p w:rsidR="008C7751" w:rsidRPr="00E00B35" w:rsidRDefault="008C7751" w:rsidP="00E00B35">
            <w:pPr>
              <w:spacing w:after="0" w:line="312" w:lineRule="auto"/>
              <w:rPr>
                <w:szCs w:val="20"/>
              </w:rPr>
            </w:pPr>
            <w:r w:rsidRPr="00E00B35">
              <w:rPr>
                <w:szCs w:val="20"/>
              </w:rPr>
              <w:t xml:space="preserve">4 012 477,32 </w:t>
            </w:r>
          </w:p>
        </w:tc>
      </w:tr>
    </w:tbl>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Opłata za gospodarowanie odpadami komunalnymi</w:t>
      </w:r>
    </w:p>
    <w:tbl>
      <w:tblPr>
        <w:tblW w:w="0" w:type="auto"/>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1701"/>
        <w:gridCol w:w="1701"/>
        <w:gridCol w:w="1701"/>
        <w:gridCol w:w="1701"/>
      </w:tblGrid>
      <w:tr w:rsidR="008C7751" w:rsidRPr="00E00B35" w:rsidTr="008C7751">
        <w:trPr>
          <w:jc w:val="center"/>
        </w:trPr>
        <w:tc>
          <w:tcPr>
            <w:tcW w:w="2126"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Działanie</w:t>
            </w:r>
          </w:p>
        </w:tc>
        <w:tc>
          <w:tcPr>
            <w:tcW w:w="1701"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2017 rok</w:t>
            </w:r>
          </w:p>
        </w:tc>
        <w:tc>
          <w:tcPr>
            <w:tcW w:w="1701"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2018 rok</w:t>
            </w:r>
          </w:p>
        </w:tc>
        <w:tc>
          <w:tcPr>
            <w:tcW w:w="1701"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2019 rok</w:t>
            </w:r>
          </w:p>
        </w:tc>
        <w:tc>
          <w:tcPr>
            <w:tcW w:w="1701"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rPr>
          <w:jc w:val="center"/>
        </w:trPr>
        <w:tc>
          <w:tcPr>
            <w:tcW w:w="2126" w:type="dxa"/>
            <w:vAlign w:val="center"/>
          </w:tcPr>
          <w:p w:rsidR="008C7751" w:rsidRPr="00E00B35" w:rsidRDefault="008C7751" w:rsidP="00E00B35">
            <w:pPr>
              <w:spacing w:after="0" w:line="312" w:lineRule="auto"/>
              <w:rPr>
                <w:szCs w:val="20"/>
              </w:rPr>
            </w:pPr>
            <w:r w:rsidRPr="00E00B35">
              <w:rPr>
                <w:szCs w:val="20"/>
              </w:rPr>
              <w:t>tytuły wykonawcze (szt.)</w:t>
            </w:r>
          </w:p>
        </w:tc>
        <w:tc>
          <w:tcPr>
            <w:tcW w:w="1701" w:type="dxa"/>
            <w:vAlign w:val="center"/>
          </w:tcPr>
          <w:p w:rsidR="008C7751" w:rsidRPr="00E00B35" w:rsidRDefault="008C7751" w:rsidP="00E00B35">
            <w:pPr>
              <w:spacing w:after="0" w:line="312" w:lineRule="auto"/>
              <w:rPr>
                <w:szCs w:val="20"/>
              </w:rPr>
            </w:pPr>
            <w:r w:rsidRPr="00E00B35">
              <w:rPr>
                <w:szCs w:val="20"/>
              </w:rPr>
              <w:t>0</w:t>
            </w:r>
          </w:p>
        </w:tc>
        <w:tc>
          <w:tcPr>
            <w:tcW w:w="1701" w:type="dxa"/>
            <w:vAlign w:val="center"/>
          </w:tcPr>
          <w:p w:rsidR="008C7751" w:rsidRPr="00E00B35" w:rsidRDefault="008C7751" w:rsidP="00E00B35">
            <w:pPr>
              <w:spacing w:after="0" w:line="312" w:lineRule="auto"/>
              <w:rPr>
                <w:szCs w:val="20"/>
              </w:rPr>
            </w:pPr>
            <w:r w:rsidRPr="00E00B35">
              <w:rPr>
                <w:szCs w:val="20"/>
              </w:rPr>
              <w:t>0</w:t>
            </w:r>
          </w:p>
        </w:tc>
        <w:tc>
          <w:tcPr>
            <w:tcW w:w="1701" w:type="dxa"/>
            <w:vAlign w:val="center"/>
          </w:tcPr>
          <w:p w:rsidR="008C7751" w:rsidRPr="00E00B35" w:rsidRDefault="008C7751" w:rsidP="00E00B35">
            <w:pPr>
              <w:spacing w:after="0" w:line="312" w:lineRule="auto"/>
              <w:rPr>
                <w:szCs w:val="20"/>
              </w:rPr>
            </w:pPr>
            <w:r w:rsidRPr="00E00B35">
              <w:rPr>
                <w:szCs w:val="20"/>
              </w:rPr>
              <w:t xml:space="preserve">6014 </w:t>
            </w:r>
          </w:p>
        </w:tc>
        <w:tc>
          <w:tcPr>
            <w:tcW w:w="1701" w:type="dxa"/>
            <w:vAlign w:val="center"/>
          </w:tcPr>
          <w:p w:rsidR="008C7751" w:rsidRPr="00E00B35" w:rsidRDefault="008C7751" w:rsidP="00E00B35">
            <w:pPr>
              <w:spacing w:after="0" w:line="312" w:lineRule="auto"/>
              <w:rPr>
                <w:szCs w:val="20"/>
              </w:rPr>
            </w:pPr>
            <w:r w:rsidRPr="00E00B35">
              <w:rPr>
                <w:szCs w:val="20"/>
              </w:rPr>
              <w:t xml:space="preserve">3265 </w:t>
            </w:r>
          </w:p>
        </w:tc>
      </w:tr>
      <w:tr w:rsidR="008C7751" w:rsidRPr="00E00B35" w:rsidTr="008C7751">
        <w:trPr>
          <w:jc w:val="center"/>
        </w:trPr>
        <w:tc>
          <w:tcPr>
            <w:tcW w:w="2126" w:type="dxa"/>
          </w:tcPr>
          <w:p w:rsidR="008C7751" w:rsidRPr="00E00B35" w:rsidRDefault="008C7751" w:rsidP="00E00B35">
            <w:pPr>
              <w:spacing w:after="0" w:line="312" w:lineRule="auto"/>
              <w:rPr>
                <w:szCs w:val="20"/>
              </w:rPr>
            </w:pPr>
            <w:r w:rsidRPr="00E00B35">
              <w:rPr>
                <w:szCs w:val="20"/>
              </w:rPr>
              <w:t>Kwota objęta tytułami wykonawczym i (zł)</w:t>
            </w:r>
          </w:p>
        </w:tc>
        <w:tc>
          <w:tcPr>
            <w:tcW w:w="1701" w:type="dxa"/>
            <w:vAlign w:val="center"/>
          </w:tcPr>
          <w:p w:rsidR="008C7751" w:rsidRPr="00E00B35" w:rsidRDefault="008C7751" w:rsidP="00E00B35">
            <w:pPr>
              <w:spacing w:after="0" w:line="312" w:lineRule="auto"/>
              <w:rPr>
                <w:szCs w:val="20"/>
              </w:rPr>
            </w:pPr>
            <w:r w:rsidRPr="00E00B35">
              <w:rPr>
                <w:szCs w:val="20"/>
              </w:rPr>
              <w:t>0</w:t>
            </w:r>
          </w:p>
        </w:tc>
        <w:tc>
          <w:tcPr>
            <w:tcW w:w="1701" w:type="dxa"/>
            <w:vAlign w:val="center"/>
          </w:tcPr>
          <w:p w:rsidR="008C7751" w:rsidRPr="00E00B35" w:rsidRDefault="008C7751" w:rsidP="00E00B35">
            <w:pPr>
              <w:spacing w:after="0" w:line="312" w:lineRule="auto"/>
              <w:rPr>
                <w:szCs w:val="20"/>
              </w:rPr>
            </w:pPr>
            <w:r w:rsidRPr="00E00B35">
              <w:rPr>
                <w:szCs w:val="20"/>
              </w:rPr>
              <w:t>0</w:t>
            </w:r>
          </w:p>
        </w:tc>
        <w:tc>
          <w:tcPr>
            <w:tcW w:w="1701" w:type="dxa"/>
            <w:vAlign w:val="center"/>
          </w:tcPr>
          <w:p w:rsidR="008C7751" w:rsidRPr="00E00B35" w:rsidRDefault="008C7751" w:rsidP="00E00B35">
            <w:pPr>
              <w:spacing w:after="0" w:line="312" w:lineRule="auto"/>
              <w:rPr>
                <w:szCs w:val="20"/>
              </w:rPr>
            </w:pPr>
            <w:r w:rsidRPr="00E00B35">
              <w:rPr>
                <w:szCs w:val="20"/>
              </w:rPr>
              <w:t xml:space="preserve">5 334 236,20 </w:t>
            </w:r>
          </w:p>
        </w:tc>
        <w:tc>
          <w:tcPr>
            <w:tcW w:w="1701" w:type="dxa"/>
            <w:vAlign w:val="center"/>
          </w:tcPr>
          <w:p w:rsidR="008C7751" w:rsidRPr="00E00B35" w:rsidRDefault="008C7751" w:rsidP="00E00B35">
            <w:pPr>
              <w:spacing w:after="0" w:line="312" w:lineRule="auto"/>
              <w:rPr>
                <w:szCs w:val="20"/>
              </w:rPr>
            </w:pPr>
            <w:r w:rsidRPr="00E00B35">
              <w:rPr>
                <w:szCs w:val="20"/>
              </w:rPr>
              <w:t xml:space="preserve">2 836 281,80 </w:t>
            </w:r>
          </w:p>
        </w:tc>
      </w:tr>
      <w:tr w:rsidR="008C7751" w:rsidRPr="00E00B35" w:rsidTr="008C7751">
        <w:trPr>
          <w:jc w:val="center"/>
        </w:trPr>
        <w:tc>
          <w:tcPr>
            <w:tcW w:w="2126" w:type="dxa"/>
          </w:tcPr>
          <w:p w:rsidR="008C7751" w:rsidRPr="00E00B35" w:rsidRDefault="008C7751" w:rsidP="00E00B35">
            <w:pPr>
              <w:spacing w:after="0" w:line="312" w:lineRule="auto"/>
              <w:rPr>
                <w:szCs w:val="20"/>
              </w:rPr>
            </w:pPr>
            <w:r w:rsidRPr="00E00B35">
              <w:rPr>
                <w:szCs w:val="20"/>
              </w:rPr>
              <w:t xml:space="preserve">Kwoty wyegzekwowane w postępowaniu egzekucyjnym </w:t>
            </w:r>
          </w:p>
          <w:p w:rsidR="008C7751" w:rsidRPr="00E00B35" w:rsidRDefault="008C7751" w:rsidP="00E00B35">
            <w:pPr>
              <w:spacing w:after="0" w:line="312" w:lineRule="auto"/>
              <w:rPr>
                <w:szCs w:val="20"/>
              </w:rPr>
            </w:pPr>
            <w:r w:rsidRPr="00E00B35">
              <w:rPr>
                <w:szCs w:val="20"/>
              </w:rPr>
              <w:t>w administracji (zł)</w:t>
            </w:r>
          </w:p>
        </w:tc>
        <w:tc>
          <w:tcPr>
            <w:tcW w:w="1701" w:type="dxa"/>
            <w:vAlign w:val="center"/>
          </w:tcPr>
          <w:p w:rsidR="008C7751" w:rsidRPr="00E00B35" w:rsidRDefault="008C7751" w:rsidP="00E00B35">
            <w:pPr>
              <w:spacing w:after="0" w:line="312" w:lineRule="auto"/>
              <w:rPr>
                <w:szCs w:val="20"/>
              </w:rPr>
            </w:pPr>
            <w:r w:rsidRPr="00E00B35">
              <w:rPr>
                <w:szCs w:val="20"/>
              </w:rPr>
              <w:t>0</w:t>
            </w:r>
          </w:p>
        </w:tc>
        <w:tc>
          <w:tcPr>
            <w:tcW w:w="1701" w:type="dxa"/>
            <w:vAlign w:val="center"/>
          </w:tcPr>
          <w:p w:rsidR="008C7751" w:rsidRPr="00E00B35" w:rsidRDefault="008C7751" w:rsidP="00E00B35">
            <w:pPr>
              <w:spacing w:after="0" w:line="312" w:lineRule="auto"/>
              <w:rPr>
                <w:szCs w:val="20"/>
              </w:rPr>
            </w:pPr>
            <w:r w:rsidRPr="00E00B35">
              <w:rPr>
                <w:szCs w:val="20"/>
              </w:rPr>
              <w:t>0</w:t>
            </w:r>
          </w:p>
        </w:tc>
        <w:tc>
          <w:tcPr>
            <w:tcW w:w="1701" w:type="dxa"/>
            <w:vAlign w:val="center"/>
          </w:tcPr>
          <w:p w:rsidR="008C7751" w:rsidRPr="00E00B35" w:rsidRDefault="008C7751" w:rsidP="00E00B35">
            <w:pPr>
              <w:spacing w:after="0" w:line="312" w:lineRule="auto"/>
              <w:rPr>
                <w:szCs w:val="20"/>
              </w:rPr>
            </w:pPr>
            <w:r w:rsidRPr="00E00B35">
              <w:rPr>
                <w:szCs w:val="20"/>
              </w:rPr>
              <w:t xml:space="preserve">2 956 835,04 </w:t>
            </w:r>
          </w:p>
        </w:tc>
        <w:tc>
          <w:tcPr>
            <w:tcW w:w="1701" w:type="dxa"/>
            <w:vAlign w:val="center"/>
          </w:tcPr>
          <w:p w:rsidR="008C7751" w:rsidRPr="00E00B35" w:rsidRDefault="008C7751" w:rsidP="00E00B35">
            <w:pPr>
              <w:spacing w:after="0" w:line="312" w:lineRule="auto"/>
              <w:rPr>
                <w:szCs w:val="20"/>
              </w:rPr>
            </w:pPr>
            <w:r w:rsidRPr="00E00B35">
              <w:rPr>
                <w:szCs w:val="20"/>
              </w:rPr>
              <w:t xml:space="preserve">2 330 392,72 </w:t>
            </w:r>
          </w:p>
        </w:tc>
      </w:tr>
    </w:tbl>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Zobowiązania publicznoprawne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1701"/>
        <w:gridCol w:w="1701"/>
        <w:gridCol w:w="1701"/>
        <w:gridCol w:w="1701"/>
      </w:tblGrid>
      <w:tr w:rsidR="008C7751" w:rsidRPr="00E00B35" w:rsidTr="008C7751">
        <w:tc>
          <w:tcPr>
            <w:tcW w:w="2126"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Działanie</w:t>
            </w:r>
          </w:p>
        </w:tc>
        <w:tc>
          <w:tcPr>
            <w:tcW w:w="1701"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2017 rok</w:t>
            </w:r>
          </w:p>
        </w:tc>
        <w:tc>
          <w:tcPr>
            <w:tcW w:w="1701"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2018 rok</w:t>
            </w:r>
          </w:p>
        </w:tc>
        <w:tc>
          <w:tcPr>
            <w:tcW w:w="1701"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2019 rok</w:t>
            </w:r>
          </w:p>
        </w:tc>
        <w:tc>
          <w:tcPr>
            <w:tcW w:w="1701"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c>
          <w:tcPr>
            <w:tcW w:w="2126" w:type="dxa"/>
            <w:vAlign w:val="center"/>
          </w:tcPr>
          <w:p w:rsidR="008C7751" w:rsidRPr="00E00B35" w:rsidRDefault="008C7751" w:rsidP="00E00B35">
            <w:pPr>
              <w:spacing w:after="0" w:line="312" w:lineRule="auto"/>
              <w:ind w:left="34"/>
              <w:rPr>
                <w:szCs w:val="20"/>
              </w:rPr>
            </w:pPr>
            <w:r w:rsidRPr="00E00B35">
              <w:rPr>
                <w:szCs w:val="20"/>
              </w:rPr>
              <w:lastRenderedPageBreak/>
              <w:t>tytuły wykonawcze (szt.)</w:t>
            </w:r>
          </w:p>
        </w:tc>
        <w:tc>
          <w:tcPr>
            <w:tcW w:w="1701" w:type="dxa"/>
            <w:vAlign w:val="center"/>
          </w:tcPr>
          <w:p w:rsidR="008C7751" w:rsidRPr="00E00B35" w:rsidRDefault="008C7751" w:rsidP="00E00B35">
            <w:pPr>
              <w:spacing w:after="0" w:line="312" w:lineRule="auto"/>
              <w:rPr>
                <w:szCs w:val="20"/>
              </w:rPr>
            </w:pPr>
            <w:r w:rsidRPr="00E00B35">
              <w:rPr>
                <w:szCs w:val="20"/>
              </w:rPr>
              <w:t xml:space="preserve">13758 </w:t>
            </w:r>
          </w:p>
        </w:tc>
        <w:tc>
          <w:tcPr>
            <w:tcW w:w="1701" w:type="dxa"/>
            <w:vAlign w:val="center"/>
          </w:tcPr>
          <w:p w:rsidR="008C7751" w:rsidRPr="00E00B35" w:rsidRDefault="008C7751" w:rsidP="00E00B35">
            <w:pPr>
              <w:spacing w:after="0" w:line="312" w:lineRule="auto"/>
              <w:rPr>
                <w:szCs w:val="20"/>
              </w:rPr>
            </w:pPr>
            <w:r w:rsidRPr="00E00B35">
              <w:rPr>
                <w:szCs w:val="20"/>
              </w:rPr>
              <w:t xml:space="preserve">13575 </w:t>
            </w:r>
          </w:p>
        </w:tc>
        <w:tc>
          <w:tcPr>
            <w:tcW w:w="1701" w:type="dxa"/>
            <w:vAlign w:val="center"/>
          </w:tcPr>
          <w:p w:rsidR="008C7751" w:rsidRPr="00E00B35" w:rsidRDefault="008C7751" w:rsidP="00E00B35">
            <w:pPr>
              <w:spacing w:after="0" w:line="312" w:lineRule="auto"/>
              <w:rPr>
                <w:szCs w:val="20"/>
              </w:rPr>
            </w:pPr>
            <w:r w:rsidRPr="00E00B35">
              <w:rPr>
                <w:szCs w:val="20"/>
              </w:rPr>
              <w:t xml:space="preserve">13392 </w:t>
            </w:r>
          </w:p>
        </w:tc>
        <w:tc>
          <w:tcPr>
            <w:tcW w:w="1701" w:type="dxa"/>
            <w:vAlign w:val="center"/>
          </w:tcPr>
          <w:p w:rsidR="008C7751" w:rsidRPr="00E00B35" w:rsidRDefault="008C7751" w:rsidP="00E00B35">
            <w:pPr>
              <w:spacing w:after="0" w:line="312" w:lineRule="auto"/>
              <w:rPr>
                <w:szCs w:val="20"/>
              </w:rPr>
            </w:pPr>
            <w:r w:rsidRPr="00E00B35">
              <w:rPr>
                <w:szCs w:val="20"/>
              </w:rPr>
              <w:t xml:space="preserve">6597 </w:t>
            </w:r>
          </w:p>
        </w:tc>
      </w:tr>
      <w:tr w:rsidR="008C7751" w:rsidRPr="00E00B35" w:rsidTr="008C7751">
        <w:tc>
          <w:tcPr>
            <w:tcW w:w="2126" w:type="dxa"/>
          </w:tcPr>
          <w:p w:rsidR="008C7751" w:rsidRPr="00E00B35" w:rsidRDefault="008C7751" w:rsidP="00E00B35">
            <w:pPr>
              <w:spacing w:after="0" w:line="312" w:lineRule="auto"/>
              <w:rPr>
                <w:szCs w:val="20"/>
              </w:rPr>
            </w:pPr>
            <w:r w:rsidRPr="00E00B35">
              <w:rPr>
                <w:szCs w:val="20"/>
              </w:rPr>
              <w:t>Kwota objęta tytułami wykonawczymi (zł)</w:t>
            </w:r>
          </w:p>
        </w:tc>
        <w:tc>
          <w:tcPr>
            <w:tcW w:w="1701" w:type="dxa"/>
            <w:vAlign w:val="center"/>
          </w:tcPr>
          <w:p w:rsidR="008C7751" w:rsidRPr="00E00B35" w:rsidRDefault="008C7751" w:rsidP="00E00B35">
            <w:pPr>
              <w:spacing w:after="0" w:line="312" w:lineRule="auto"/>
              <w:rPr>
                <w:szCs w:val="20"/>
              </w:rPr>
            </w:pPr>
            <w:r w:rsidRPr="00E00B35">
              <w:rPr>
                <w:szCs w:val="20"/>
              </w:rPr>
              <w:t xml:space="preserve">5 508 476,60 </w:t>
            </w:r>
          </w:p>
        </w:tc>
        <w:tc>
          <w:tcPr>
            <w:tcW w:w="1701" w:type="dxa"/>
            <w:vAlign w:val="center"/>
          </w:tcPr>
          <w:p w:rsidR="008C7751" w:rsidRPr="00E00B35" w:rsidRDefault="008C7751" w:rsidP="00E00B35">
            <w:pPr>
              <w:spacing w:after="0" w:line="312" w:lineRule="auto"/>
              <w:rPr>
                <w:szCs w:val="20"/>
              </w:rPr>
            </w:pPr>
            <w:r w:rsidRPr="00E00B35">
              <w:rPr>
                <w:szCs w:val="20"/>
              </w:rPr>
              <w:t xml:space="preserve">4 494 744,10 </w:t>
            </w:r>
          </w:p>
        </w:tc>
        <w:tc>
          <w:tcPr>
            <w:tcW w:w="1701" w:type="dxa"/>
            <w:vAlign w:val="center"/>
          </w:tcPr>
          <w:p w:rsidR="008C7751" w:rsidRPr="00E00B35" w:rsidRDefault="008C7751" w:rsidP="00E00B35">
            <w:pPr>
              <w:spacing w:after="0" w:line="312" w:lineRule="auto"/>
              <w:rPr>
                <w:szCs w:val="20"/>
              </w:rPr>
            </w:pPr>
            <w:r w:rsidRPr="00E00B35">
              <w:rPr>
                <w:szCs w:val="20"/>
              </w:rPr>
              <w:t xml:space="preserve">3 241 170,70 </w:t>
            </w:r>
          </w:p>
        </w:tc>
        <w:tc>
          <w:tcPr>
            <w:tcW w:w="1701" w:type="dxa"/>
            <w:vAlign w:val="center"/>
          </w:tcPr>
          <w:p w:rsidR="008C7751" w:rsidRPr="00E00B35" w:rsidRDefault="008C7751" w:rsidP="00E00B35">
            <w:pPr>
              <w:spacing w:after="0" w:line="312" w:lineRule="auto"/>
              <w:rPr>
                <w:szCs w:val="20"/>
              </w:rPr>
            </w:pPr>
            <w:r w:rsidRPr="00E00B35">
              <w:rPr>
                <w:szCs w:val="20"/>
              </w:rPr>
              <w:t xml:space="preserve">1 928 653,30 </w:t>
            </w:r>
          </w:p>
        </w:tc>
      </w:tr>
      <w:tr w:rsidR="008C7751" w:rsidRPr="00E00B35" w:rsidTr="008C7751">
        <w:tc>
          <w:tcPr>
            <w:tcW w:w="2126" w:type="dxa"/>
          </w:tcPr>
          <w:p w:rsidR="008C7751" w:rsidRPr="00E00B35" w:rsidRDefault="008C7751" w:rsidP="00E00B35">
            <w:pPr>
              <w:spacing w:after="0" w:line="312" w:lineRule="auto"/>
              <w:rPr>
                <w:szCs w:val="20"/>
              </w:rPr>
            </w:pPr>
            <w:r w:rsidRPr="00E00B35">
              <w:rPr>
                <w:szCs w:val="20"/>
              </w:rPr>
              <w:t xml:space="preserve">Kwoty wyegzekwowane w postępowaniu egzekucyjnym </w:t>
            </w:r>
          </w:p>
          <w:p w:rsidR="008C7751" w:rsidRPr="00E00B35" w:rsidRDefault="008C7751" w:rsidP="00E00B35">
            <w:pPr>
              <w:spacing w:after="0" w:line="312" w:lineRule="auto"/>
              <w:rPr>
                <w:szCs w:val="20"/>
              </w:rPr>
            </w:pPr>
            <w:r w:rsidRPr="00E00B35">
              <w:rPr>
                <w:szCs w:val="20"/>
              </w:rPr>
              <w:t>w administracji (zł)</w:t>
            </w:r>
          </w:p>
        </w:tc>
        <w:tc>
          <w:tcPr>
            <w:tcW w:w="1701" w:type="dxa"/>
            <w:vAlign w:val="center"/>
          </w:tcPr>
          <w:p w:rsidR="008C7751" w:rsidRPr="00E00B35" w:rsidRDefault="008C7751" w:rsidP="00E00B35">
            <w:pPr>
              <w:spacing w:after="0" w:line="312" w:lineRule="auto"/>
              <w:rPr>
                <w:szCs w:val="20"/>
              </w:rPr>
            </w:pPr>
            <w:r w:rsidRPr="00E00B35">
              <w:rPr>
                <w:szCs w:val="20"/>
              </w:rPr>
              <w:t xml:space="preserve">630 492,33 </w:t>
            </w:r>
          </w:p>
        </w:tc>
        <w:tc>
          <w:tcPr>
            <w:tcW w:w="1701" w:type="dxa"/>
            <w:vAlign w:val="center"/>
          </w:tcPr>
          <w:p w:rsidR="008C7751" w:rsidRPr="00E00B35" w:rsidRDefault="008C7751" w:rsidP="00E00B35">
            <w:pPr>
              <w:spacing w:after="0" w:line="312" w:lineRule="auto"/>
              <w:rPr>
                <w:szCs w:val="20"/>
              </w:rPr>
            </w:pPr>
            <w:r w:rsidRPr="00E00B35">
              <w:rPr>
                <w:szCs w:val="20"/>
              </w:rPr>
              <w:t>527 312,22</w:t>
            </w:r>
          </w:p>
        </w:tc>
        <w:tc>
          <w:tcPr>
            <w:tcW w:w="1701" w:type="dxa"/>
            <w:vAlign w:val="center"/>
          </w:tcPr>
          <w:p w:rsidR="008C7751" w:rsidRPr="00E00B35" w:rsidRDefault="008C7751" w:rsidP="00E00B35">
            <w:pPr>
              <w:spacing w:after="0" w:line="312" w:lineRule="auto"/>
              <w:rPr>
                <w:szCs w:val="20"/>
              </w:rPr>
            </w:pPr>
            <w:r w:rsidRPr="00E00B35">
              <w:rPr>
                <w:szCs w:val="20"/>
              </w:rPr>
              <w:t>795 635,41</w:t>
            </w:r>
          </w:p>
        </w:tc>
        <w:tc>
          <w:tcPr>
            <w:tcW w:w="1701" w:type="dxa"/>
            <w:vAlign w:val="center"/>
          </w:tcPr>
          <w:p w:rsidR="008C7751" w:rsidRPr="00E00B35" w:rsidRDefault="008C7751" w:rsidP="00E00B35">
            <w:pPr>
              <w:spacing w:after="0" w:line="312" w:lineRule="auto"/>
              <w:rPr>
                <w:szCs w:val="20"/>
              </w:rPr>
            </w:pPr>
            <w:r w:rsidRPr="00E00B35">
              <w:rPr>
                <w:szCs w:val="20"/>
              </w:rPr>
              <w:t>717 236,92</w:t>
            </w: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Mimo zmniejszenia liczby tytułów wykonawczych i kwot nimi objętych, wynik zastosowanych czynności egzekucyjnych kształtował się na zbliżonym poziomie, pomimo ograniczenia czynności egzekucyjnych podejmowanych przez zewnętrzne administracyjne organy egzekucyjne. Czynnikiem, który wpłynął na zmniejszenie ilości wystawionych tytułów była konieczność dostosowania systemu finansowo-księgowego Ksat 2000 i do zmian wynikających z nowelizacji ustawy o postępowaniu egzekucyjnym w administracji i rozporządzeń wykonawczych.</w:t>
      </w:r>
    </w:p>
    <w:p w:rsidR="008C7751" w:rsidRPr="00E00B35" w:rsidRDefault="001C170D" w:rsidP="00E00B35">
      <w:pPr>
        <w:spacing w:after="0" w:line="312" w:lineRule="auto"/>
        <w:rPr>
          <w:b/>
          <w:szCs w:val="20"/>
        </w:rPr>
      </w:pPr>
      <w:r w:rsidRPr="00E00B35">
        <w:rPr>
          <w:b/>
          <w:bCs/>
          <w:szCs w:val="20"/>
        </w:rPr>
        <w:br/>
      </w:r>
      <w:r w:rsidR="008C7751" w:rsidRPr="00E00B35">
        <w:rPr>
          <w:b/>
          <w:bCs/>
          <w:szCs w:val="20"/>
        </w:rPr>
        <w:t xml:space="preserve">Poniesione wydatki w związku z umorzonymi postępowaniami egzekucyjnymi w latach 2017-2020 </w:t>
      </w:r>
      <w:r w:rsidR="008C7751" w:rsidRPr="00E00B35">
        <w:rPr>
          <w:b/>
          <w:szCs w:val="20"/>
        </w:rPr>
        <w:t>(Źródło: UMW)</w:t>
      </w:r>
    </w:p>
    <w:p w:rsidR="008C7751" w:rsidRPr="00E00B35" w:rsidRDefault="008C7751" w:rsidP="00E00B35">
      <w:pPr>
        <w:spacing w:after="0" w:line="312" w:lineRule="auto"/>
        <w:rPr>
          <w:szCs w:val="20"/>
        </w:rPr>
      </w:pPr>
      <w:r w:rsidRPr="00E00B35">
        <w:rPr>
          <w:szCs w:val="20"/>
        </w:rPr>
        <w:t>Kwota wydatkowana na koszty egzekucyjne związane z postępowaniami prowadzonymi przez zewnętrzne organy egzekucyjne (zł) w 2017 r. - 5 904,35, w 2018 r. - 11 116,27, w 2019 r. - 4 831,42, w 2020 r. - 4 176,90.</w:t>
      </w:r>
    </w:p>
    <w:p w:rsidR="008C7751" w:rsidRPr="00E00B35" w:rsidRDefault="008C7751" w:rsidP="00E00B35">
      <w:pPr>
        <w:spacing w:after="0" w:line="312" w:lineRule="auto"/>
        <w:rPr>
          <w:szCs w:val="20"/>
        </w:rPr>
      </w:pPr>
      <w:r w:rsidRPr="00E00B35">
        <w:rPr>
          <w:szCs w:val="20"/>
        </w:rPr>
        <w:t xml:space="preserve">Umarzanie postępowań egzekucyjnych przez Naczelników Urzędów Skarbowych w stosunku do dłużników Gminy Wrocław wiąże się z ponoszeniem przez Wierzyciela kosztów egzekucyjnych bezskutecznej egzekucji. </w:t>
      </w:r>
    </w:p>
    <w:p w:rsidR="008C7751" w:rsidRPr="00E00B35" w:rsidRDefault="008C7751" w:rsidP="00E00B35">
      <w:pPr>
        <w:spacing w:after="0" w:line="312" w:lineRule="auto"/>
        <w:rPr>
          <w:szCs w:val="20"/>
        </w:rPr>
      </w:pPr>
      <w:r w:rsidRPr="00E00B35">
        <w:rPr>
          <w:szCs w:val="20"/>
        </w:rPr>
        <w:t>Spadek poniesionych wydatków z tytułu należnych organowi egzekucyjnemu kosztów prowadzonej egzekucji wynosił:</w:t>
      </w:r>
    </w:p>
    <w:p w:rsidR="008C7751" w:rsidRPr="00E00B35" w:rsidRDefault="008C7751" w:rsidP="00E00B35">
      <w:pPr>
        <w:numPr>
          <w:ilvl w:val="0"/>
          <w:numId w:val="131"/>
        </w:numPr>
        <w:spacing w:after="0" w:line="312" w:lineRule="auto"/>
        <w:rPr>
          <w:bCs/>
          <w:szCs w:val="20"/>
        </w:rPr>
      </w:pPr>
      <w:r w:rsidRPr="00E00B35">
        <w:rPr>
          <w:bCs/>
          <w:szCs w:val="20"/>
        </w:rPr>
        <w:t xml:space="preserve">w 2019 r. zmniejszono wydatki o 56 % w stosunku do 2018 r., </w:t>
      </w:r>
    </w:p>
    <w:p w:rsidR="008C7751" w:rsidRPr="00E00B35" w:rsidRDefault="008C7751" w:rsidP="00E00B35">
      <w:pPr>
        <w:numPr>
          <w:ilvl w:val="0"/>
          <w:numId w:val="131"/>
        </w:numPr>
        <w:spacing w:after="0" w:line="312" w:lineRule="auto"/>
        <w:rPr>
          <w:bCs/>
          <w:szCs w:val="20"/>
        </w:rPr>
      </w:pPr>
      <w:r w:rsidRPr="00E00B35">
        <w:rPr>
          <w:bCs/>
          <w:szCs w:val="20"/>
        </w:rPr>
        <w:t xml:space="preserve">w 2020 r. zmniejszono wydatki o 14 % w stosunku do 2019 r. (o ponad 56 % w stosunku do roku 2018). </w:t>
      </w:r>
    </w:p>
    <w:p w:rsidR="008C7751" w:rsidRPr="00E00B35" w:rsidRDefault="001C170D" w:rsidP="00E00B35">
      <w:pPr>
        <w:spacing w:after="0" w:line="312" w:lineRule="auto"/>
        <w:rPr>
          <w:szCs w:val="20"/>
        </w:rPr>
      </w:pPr>
      <w:r w:rsidRPr="00E00B35">
        <w:rPr>
          <w:szCs w:val="20"/>
        </w:rPr>
        <w:br/>
      </w:r>
      <w:r w:rsidR="008C7751" w:rsidRPr="00E00B35">
        <w:rPr>
          <w:szCs w:val="20"/>
        </w:rPr>
        <w:t xml:space="preserve">Zmniejszająca się kwota kosztów egzekucyjnych ponoszonych przez Gminę Wrocław jest wynikiem składanych przez pracowników Działu Monitorowania Należności zażaleń na postanowienia Naczelników Urzędów Skarbowych o umorzeniu postępowań egzekucyjnych do Izb Administracji Skarbowej i w przypadku ich utrzymania odwołań złożonych do Wojewódzkich Sądów Administracyjnych. Zażalenia i odwołania dotyczą opłat za nieskuteczne czynności organów egzekucyjnych. W wyniku uznanych zażaleń i odwołań kwoty wynikające z postanowień Naczelników Urzędów Skarbowych o obciążeniu wierzyciela kosztami egzekucyjnymi zostały obniżone. </w:t>
      </w:r>
    </w:p>
    <w:p w:rsidR="008C7751" w:rsidRPr="00E00B35" w:rsidRDefault="008C7751" w:rsidP="00E00B35">
      <w:pPr>
        <w:spacing w:after="0" w:line="312" w:lineRule="auto"/>
        <w:rPr>
          <w:szCs w:val="20"/>
        </w:rPr>
      </w:pPr>
      <w:r w:rsidRPr="00E00B35">
        <w:rPr>
          <w:szCs w:val="20"/>
        </w:rPr>
        <w:lastRenderedPageBreak/>
        <w:t>Gmina Wrocław w 2020 roku nie poniosła żadnych kosztów postępowań przed Wojewódzkimi Sądami Administracyjnymi, z uwagi na wygrane sprawy.</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Ilość wniosków skierowanych do sądów wieczysto księgowych o zabezpieczanie zaległości wpisami hipotek przymusowych w latach 2018-2020</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95"/>
        <w:gridCol w:w="1559"/>
        <w:gridCol w:w="1559"/>
        <w:gridCol w:w="1559"/>
      </w:tblGrid>
      <w:tr w:rsidR="008C7751" w:rsidRPr="00E00B35" w:rsidTr="008C7751">
        <w:trPr>
          <w:trHeight w:val="174"/>
        </w:trPr>
        <w:tc>
          <w:tcPr>
            <w:tcW w:w="4395" w:type="dxa"/>
            <w:vAlign w:val="center"/>
          </w:tcPr>
          <w:p w:rsidR="008C7751" w:rsidRPr="00E00B35" w:rsidRDefault="008C7751" w:rsidP="00E00B35">
            <w:pPr>
              <w:spacing w:after="0" w:line="312" w:lineRule="auto"/>
              <w:rPr>
                <w:szCs w:val="20"/>
              </w:rPr>
            </w:pPr>
            <w:r w:rsidRPr="00E00B35">
              <w:rPr>
                <w:szCs w:val="20"/>
              </w:rPr>
              <w:t>Wnioski</w:t>
            </w:r>
          </w:p>
        </w:tc>
        <w:tc>
          <w:tcPr>
            <w:tcW w:w="1559" w:type="dxa"/>
            <w:shd w:val="clear" w:color="auto" w:fill="auto"/>
            <w:vAlign w:val="center"/>
          </w:tcPr>
          <w:p w:rsidR="008C7751" w:rsidRPr="00E00B35" w:rsidRDefault="008C7751" w:rsidP="00E00B35">
            <w:pPr>
              <w:pStyle w:val="Nagwek4"/>
              <w:spacing w:before="0" w:after="0" w:line="312" w:lineRule="auto"/>
              <w:rPr>
                <w:b w:val="0"/>
                <w:caps/>
                <w:sz w:val="20"/>
                <w:szCs w:val="20"/>
              </w:rPr>
            </w:pPr>
            <w:r w:rsidRPr="00E00B35">
              <w:rPr>
                <w:b w:val="0"/>
                <w:caps/>
                <w:sz w:val="20"/>
                <w:szCs w:val="20"/>
              </w:rPr>
              <w:t>2018 rok</w:t>
            </w:r>
          </w:p>
        </w:tc>
        <w:tc>
          <w:tcPr>
            <w:tcW w:w="1559" w:type="dxa"/>
            <w:shd w:val="clear" w:color="auto" w:fill="auto"/>
            <w:vAlign w:val="center"/>
          </w:tcPr>
          <w:p w:rsidR="008C7751" w:rsidRPr="00E00B35" w:rsidRDefault="008C7751" w:rsidP="00E00B35">
            <w:pPr>
              <w:pStyle w:val="Nagwek4"/>
              <w:spacing w:before="0" w:after="0" w:line="312" w:lineRule="auto"/>
              <w:rPr>
                <w:b w:val="0"/>
                <w:caps/>
                <w:sz w:val="20"/>
                <w:szCs w:val="20"/>
              </w:rPr>
            </w:pPr>
            <w:r w:rsidRPr="00E00B35">
              <w:rPr>
                <w:b w:val="0"/>
                <w:caps/>
                <w:sz w:val="20"/>
                <w:szCs w:val="20"/>
              </w:rPr>
              <w:t>2019 rok</w:t>
            </w:r>
          </w:p>
        </w:tc>
        <w:tc>
          <w:tcPr>
            <w:tcW w:w="1559" w:type="dxa"/>
            <w:vAlign w:val="center"/>
          </w:tcPr>
          <w:p w:rsidR="008C7751" w:rsidRPr="00E00B35" w:rsidRDefault="008C7751" w:rsidP="00E00B35">
            <w:pPr>
              <w:pStyle w:val="Nagwek4"/>
              <w:spacing w:before="0" w:after="0" w:line="312" w:lineRule="auto"/>
              <w:rPr>
                <w:b w:val="0"/>
                <w:caps/>
                <w:sz w:val="20"/>
                <w:szCs w:val="20"/>
              </w:rPr>
            </w:pPr>
            <w:r w:rsidRPr="00E00B35">
              <w:rPr>
                <w:b w:val="0"/>
                <w:caps/>
                <w:sz w:val="20"/>
                <w:szCs w:val="20"/>
              </w:rPr>
              <w:t>2020 rok</w:t>
            </w:r>
          </w:p>
        </w:tc>
      </w:tr>
      <w:tr w:rsidR="008C7751" w:rsidRPr="00E00B35" w:rsidTr="008C7751">
        <w:trPr>
          <w:trHeight w:val="560"/>
        </w:trPr>
        <w:tc>
          <w:tcPr>
            <w:tcW w:w="4395" w:type="dxa"/>
            <w:vAlign w:val="center"/>
          </w:tcPr>
          <w:p w:rsidR="008C7751" w:rsidRPr="00E00B35" w:rsidRDefault="008C7751" w:rsidP="00E00B35">
            <w:pPr>
              <w:spacing w:after="0" w:line="312" w:lineRule="auto"/>
              <w:rPr>
                <w:szCs w:val="20"/>
              </w:rPr>
            </w:pPr>
            <w:r w:rsidRPr="00E00B35">
              <w:rPr>
                <w:szCs w:val="20"/>
              </w:rPr>
              <w:t>wnioski o wpis hipoteki przymusowej skierowanych do sądów wieczysto księgowych (szt.)</w:t>
            </w:r>
          </w:p>
        </w:tc>
        <w:tc>
          <w:tcPr>
            <w:tcW w:w="1559" w:type="dxa"/>
            <w:shd w:val="clear" w:color="auto" w:fill="auto"/>
            <w:vAlign w:val="center"/>
          </w:tcPr>
          <w:p w:rsidR="008C7751" w:rsidRPr="00E00B35" w:rsidRDefault="008C7751" w:rsidP="00E00B35">
            <w:pPr>
              <w:spacing w:after="0" w:line="312" w:lineRule="auto"/>
              <w:rPr>
                <w:szCs w:val="20"/>
              </w:rPr>
            </w:pPr>
            <w:r w:rsidRPr="00E00B35">
              <w:rPr>
                <w:szCs w:val="20"/>
              </w:rPr>
              <w:t xml:space="preserve">14 </w:t>
            </w:r>
          </w:p>
        </w:tc>
        <w:tc>
          <w:tcPr>
            <w:tcW w:w="1559" w:type="dxa"/>
            <w:shd w:val="clear" w:color="auto" w:fill="auto"/>
            <w:vAlign w:val="center"/>
          </w:tcPr>
          <w:p w:rsidR="008C7751" w:rsidRPr="00E00B35" w:rsidRDefault="008C7751" w:rsidP="00E00B35">
            <w:pPr>
              <w:spacing w:after="0" w:line="312" w:lineRule="auto"/>
              <w:rPr>
                <w:szCs w:val="20"/>
              </w:rPr>
            </w:pPr>
            <w:r w:rsidRPr="00E00B35">
              <w:rPr>
                <w:szCs w:val="20"/>
              </w:rPr>
              <w:t xml:space="preserve">11 </w:t>
            </w:r>
          </w:p>
        </w:tc>
        <w:tc>
          <w:tcPr>
            <w:tcW w:w="1559" w:type="dxa"/>
            <w:vAlign w:val="center"/>
          </w:tcPr>
          <w:p w:rsidR="008C7751" w:rsidRPr="00E00B35" w:rsidRDefault="008C7751" w:rsidP="00E00B35">
            <w:pPr>
              <w:spacing w:after="0" w:line="312" w:lineRule="auto"/>
              <w:rPr>
                <w:szCs w:val="20"/>
              </w:rPr>
            </w:pPr>
            <w:r w:rsidRPr="00E00B35">
              <w:rPr>
                <w:szCs w:val="20"/>
              </w:rPr>
              <w:t xml:space="preserve">30 </w:t>
            </w:r>
          </w:p>
        </w:tc>
      </w:tr>
      <w:tr w:rsidR="008C7751" w:rsidRPr="00E00B35" w:rsidTr="008C7751">
        <w:trPr>
          <w:trHeight w:val="527"/>
        </w:trPr>
        <w:tc>
          <w:tcPr>
            <w:tcW w:w="4395" w:type="dxa"/>
            <w:vAlign w:val="center"/>
          </w:tcPr>
          <w:p w:rsidR="008C7751" w:rsidRPr="00E00B35" w:rsidRDefault="008C7751" w:rsidP="00E00B35">
            <w:pPr>
              <w:spacing w:after="0" w:line="312" w:lineRule="auto"/>
              <w:rPr>
                <w:szCs w:val="20"/>
              </w:rPr>
            </w:pPr>
            <w:r w:rsidRPr="00E00B35">
              <w:rPr>
                <w:szCs w:val="20"/>
              </w:rPr>
              <w:t>Kwota wpisu (zł)</w:t>
            </w:r>
          </w:p>
        </w:tc>
        <w:tc>
          <w:tcPr>
            <w:tcW w:w="1559" w:type="dxa"/>
            <w:shd w:val="clear" w:color="auto" w:fill="auto"/>
            <w:vAlign w:val="center"/>
          </w:tcPr>
          <w:p w:rsidR="008C7751" w:rsidRPr="00E00B35" w:rsidRDefault="008C7751" w:rsidP="00E00B35">
            <w:pPr>
              <w:spacing w:after="0" w:line="312" w:lineRule="auto"/>
              <w:rPr>
                <w:szCs w:val="20"/>
              </w:rPr>
            </w:pPr>
            <w:r w:rsidRPr="00E00B35">
              <w:rPr>
                <w:szCs w:val="20"/>
              </w:rPr>
              <w:t xml:space="preserve">4 201 847,34 </w:t>
            </w:r>
          </w:p>
        </w:tc>
        <w:tc>
          <w:tcPr>
            <w:tcW w:w="1559" w:type="dxa"/>
            <w:shd w:val="clear" w:color="auto" w:fill="auto"/>
            <w:vAlign w:val="center"/>
          </w:tcPr>
          <w:p w:rsidR="008C7751" w:rsidRPr="00E00B35" w:rsidRDefault="008C7751" w:rsidP="00E00B35">
            <w:pPr>
              <w:spacing w:after="0" w:line="312" w:lineRule="auto"/>
              <w:rPr>
                <w:szCs w:val="20"/>
              </w:rPr>
            </w:pPr>
            <w:r w:rsidRPr="00E00B35">
              <w:rPr>
                <w:szCs w:val="20"/>
              </w:rPr>
              <w:t xml:space="preserve">1 578 094,03 </w:t>
            </w:r>
          </w:p>
        </w:tc>
        <w:tc>
          <w:tcPr>
            <w:tcW w:w="1559" w:type="dxa"/>
            <w:vAlign w:val="center"/>
          </w:tcPr>
          <w:p w:rsidR="008C7751" w:rsidRPr="00E00B35" w:rsidRDefault="008C7751" w:rsidP="00E00B35">
            <w:pPr>
              <w:spacing w:after="0" w:line="312" w:lineRule="auto"/>
              <w:rPr>
                <w:szCs w:val="20"/>
              </w:rPr>
            </w:pPr>
            <w:r w:rsidRPr="00E00B35">
              <w:rPr>
                <w:szCs w:val="20"/>
              </w:rPr>
              <w:t xml:space="preserve">6 820 956,57 </w:t>
            </w:r>
          </w:p>
        </w:tc>
      </w:tr>
    </w:tbl>
    <w:p w:rsidR="008C7751" w:rsidRPr="00E00B35" w:rsidRDefault="001C170D" w:rsidP="00E00B35">
      <w:pPr>
        <w:spacing w:after="0" w:line="312" w:lineRule="auto"/>
        <w:rPr>
          <w:szCs w:val="20"/>
        </w:rPr>
      </w:pPr>
      <w:r w:rsidRPr="00E00B35">
        <w:rPr>
          <w:szCs w:val="20"/>
        </w:rPr>
        <w:br/>
      </w:r>
      <w:r w:rsidR="008C7751" w:rsidRPr="00E00B35">
        <w:rPr>
          <w:szCs w:val="20"/>
        </w:rPr>
        <w:t xml:space="preserve">Ze względu na konieczność okresowego wstrzymania się z czynnościami windykacyjnymi w związku z epidemią Covid-19, Dział Monitorowania Należności położył większy nacisk na zabezpieczanie zaległości wpisami hipotek przymusowych. </w:t>
      </w:r>
    </w:p>
    <w:p w:rsidR="008C7751" w:rsidRPr="00E00B35" w:rsidRDefault="001C170D" w:rsidP="00E00B35">
      <w:pPr>
        <w:pStyle w:val="Nagwek4"/>
        <w:spacing w:before="0" w:after="0" w:line="312" w:lineRule="auto"/>
        <w:rPr>
          <w:sz w:val="20"/>
          <w:szCs w:val="20"/>
        </w:rPr>
      </w:pPr>
      <w:r w:rsidRPr="00E00B35">
        <w:rPr>
          <w:sz w:val="20"/>
          <w:szCs w:val="20"/>
        </w:rPr>
        <w:br/>
      </w:r>
      <w:r w:rsidR="008C7751" w:rsidRPr="00E00B35">
        <w:rPr>
          <w:sz w:val="20"/>
          <w:szCs w:val="20"/>
        </w:rPr>
        <w:t>Dział Windykacji Należności Cywilnoprawnych</w:t>
      </w:r>
    </w:p>
    <w:p w:rsidR="008C7751" w:rsidRPr="00E00B35" w:rsidRDefault="008C7751" w:rsidP="00E00B35">
      <w:pPr>
        <w:pStyle w:val="Akapitzlist"/>
        <w:autoSpaceDE w:val="0"/>
        <w:autoSpaceDN w:val="0"/>
        <w:adjustRightInd w:val="0"/>
        <w:spacing w:after="0" w:line="312" w:lineRule="auto"/>
        <w:ind w:left="0"/>
        <w:rPr>
          <w:szCs w:val="20"/>
        </w:rPr>
      </w:pPr>
      <w:r w:rsidRPr="00E00B35">
        <w:rPr>
          <w:szCs w:val="20"/>
        </w:rPr>
        <w:t>Postępowania upominawcze oraz działania z zakresu windykacji polubownej w celu odzyskania należności Gminy Wrocław i Skarbu Państwa.</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Windykacja polubowna należności w latach 2017 – 2020</w:t>
      </w:r>
    </w:p>
    <w:tbl>
      <w:tblPr>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27"/>
        <w:gridCol w:w="1703"/>
        <w:gridCol w:w="1650"/>
        <w:gridCol w:w="1701"/>
        <w:gridCol w:w="1842"/>
      </w:tblGrid>
      <w:tr w:rsidR="008C7751" w:rsidRPr="00E00B35" w:rsidTr="008C7751">
        <w:trPr>
          <w:cantSplit/>
          <w:trHeight w:val="475"/>
        </w:trPr>
        <w:tc>
          <w:tcPr>
            <w:tcW w:w="2227" w:type="dxa"/>
            <w:vAlign w:val="center"/>
          </w:tcPr>
          <w:p w:rsidR="008C7751" w:rsidRPr="00E00B35" w:rsidRDefault="008C7751" w:rsidP="00E00B35">
            <w:pPr>
              <w:spacing w:after="0" w:line="312" w:lineRule="auto"/>
              <w:rPr>
                <w:szCs w:val="20"/>
              </w:rPr>
            </w:pPr>
          </w:p>
        </w:tc>
        <w:tc>
          <w:tcPr>
            <w:tcW w:w="1703" w:type="dxa"/>
            <w:shd w:val="clear" w:color="auto" w:fill="auto"/>
            <w:vAlign w:val="center"/>
          </w:tcPr>
          <w:p w:rsidR="008C7751" w:rsidRPr="00E00B35" w:rsidRDefault="008C7751" w:rsidP="00E00B35">
            <w:pPr>
              <w:spacing w:after="0" w:line="312" w:lineRule="auto"/>
              <w:rPr>
                <w:i/>
                <w:szCs w:val="20"/>
              </w:rPr>
            </w:pPr>
            <w:r w:rsidRPr="00E00B35">
              <w:rPr>
                <w:szCs w:val="20"/>
              </w:rPr>
              <w:t>2017 rok</w:t>
            </w:r>
          </w:p>
        </w:tc>
        <w:tc>
          <w:tcPr>
            <w:tcW w:w="1650" w:type="dxa"/>
            <w:shd w:val="clear" w:color="auto" w:fill="auto"/>
            <w:vAlign w:val="center"/>
          </w:tcPr>
          <w:p w:rsidR="008C7751" w:rsidRPr="00E00B35" w:rsidRDefault="008C7751" w:rsidP="00E00B35">
            <w:pPr>
              <w:spacing w:after="0" w:line="312" w:lineRule="auto"/>
              <w:rPr>
                <w:i/>
                <w:szCs w:val="20"/>
              </w:rPr>
            </w:pPr>
            <w:r w:rsidRPr="00E00B35">
              <w:rPr>
                <w:szCs w:val="20"/>
              </w:rPr>
              <w:t>2018 rok</w:t>
            </w:r>
          </w:p>
        </w:tc>
        <w:tc>
          <w:tcPr>
            <w:tcW w:w="1701" w:type="dxa"/>
            <w:shd w:val="clear" w:color="auto" w:fill="auto"/>
            <w:vAlign w:val="center"/>
          </w:tcPr>
          <w:p w:rsidR="008C7751" w:rsidRPr="00E00B35" w:rsidRDefault="008C7751" w:rsidP="00E00B35">
            <w:pPr>
              <w:spacing w:after="0" w:line="312" w:lineRule="auto"/>
              <w:rPr>
                <w:i/>
                <w:szCs w:val="20"/>
              </w:rPr>
            </w:pPr>
            <w:r w:rsidRPr="00E00B35">
              <w:rPr>
                <w:szCs w:val="20"/>
              </w:rPr>
              <w:t>2019 rok</w:t>
            </w:r>
          </w:p>
        </w:tc>
        <w:tc>
          <w:tcPr>
            <w:tcW w:w="1842" w:type="dxa"/>
            <w:vAlign w:val="center"/>
          </w:tcPr>
          <w:p w:rsidR="008C7751" w:rsidRPr="00E00B35" w:rsidRDefault="008C7751" w:rsidP="00E00B35">
            <w:pPr>
              <w:spacing w:after="0" w:line="312" w:lineRule="auto"/>
              <w:rPr>
                <w:i/>
                <w:szCs w:val="20"/>
              </w:rPr>
            </w:pPr>
            <w:r w:rsidRPr="00E00B35">
              <w:rPr>
                <w:szCs w:val="20"/>
              </w:rPr>
              <w:t>2020 rok</w:t>
            </w:r>
          </w:p>
        </w:tc>
      </w:tr>
      <w:tr w:rsidR="008C7751" w:rsidRPr="00E00B35" w:rsidTr="008C7751">
        <w:trPr>
          <w:cantSplit/>
          <w:trHeight w:val="974"/>
        </w:trPr>
        <w:tc>
          <w:tcPr>
            <w:tcW w:w="2227" w:type="dxa"/>
            <w:vAlign w:val="center"/>
          </w:tcPr>
          <w:p w:rsidR="008C7751" w:rsidRPr="00E00B35" w:rsidRDefault="008C7751" w:rsidP="00E00B35">
            <w:pPr>
              <w:spacing w:after="0" w:line="312" w:lineRule="auto"/>
              <w:rPr>
                <w:szCs w:val="20"/>
              </w:rPr>
            </w:pPr>
            <w:r w:rsidRPr="00E00B35">
              <w:rPr>
                <w:szCs w:val="20"/>
              </w:rPr>
              <w:t xml:space="preserve">Kwoty o charakterze cywilnoprawnym objęte wezwaniami i upomnieniami </w:t>
            </w:r>
            <w:r w:rsidRPr="00E00B35">
              <w:rPr>
                <w:rFonts w:cs="Arial"/>
                <w:szCs w:val="20"/>
              </w:rPr>
              <w:t>(zł)</w:t>
            </w:r>
          </w:p>
        </w:tc>
        <w:tc>
          <w:tcPr>
            <w:tcW w:w="1703" w:type="dxa"/>
            <w:shd w:val="clear" w:color="auto" w:fill="auto"/>
            <w:vAlign w:val="center"/>
          </w:tcPr>
          <w:p w:rsidR="008C7751" w:rsidRPr="00E00B35" w:rsidRDefault="008C7751" w:rsidP="00E00B35">
            <w:pPr>
              <w:spacing w:after="0" w:line="312" w:lineRule="auto"/>
              <w:rPr>
                <w:szCs w:val="20"/>
              </w:rPr>
            </w:pPr>
            <w:r w:rsidRPr="00E00B35">
              <w:rPr>
                <w:rFonts w:cs="Arial"/>
                <w:color w:val="000000"/>
                <w:szCs w:val="20"/>
              </w:rPr>
              <w:t>63 788 421,25</w:t>
            </w:r>
          </w:p>
        </w:tc>
        <w:tc>
          <w:tcPr>
            <w:tcW w:w="1650" w:type="dxa"/>
            <w:shd w:val="clear" w:color="auto" w:fill="auto"/>
            <w:vAlign w:val="center"/>
          </w:tcPr>
          <w:p w:rsidR="008C7751" w:rsidRPr="00E00B35" w:rsidRDefault="008C7751" w:rsidP="00E00B35">
            <w:pPr>
              <w:spacing w:after="0" w:line="312" w:lineRule="auto"/>
              <w:rPr>
                <w:szCs w:val="20"/>
              </w:rPr>
            </w:pPr>
            <w:r w:rsidRPr="00E00B35">
              <w:rPr>
                <w:rFonts w:cs="Arial"/>
                <w:color w:val="000000"/>
                <w:szCs w:val="20"/>
              </w:rPr>
              <w:t>48 244 155,8</w:t>
            </w:r>
          </w:p>
        </w:tc>
        <w:tc>
          <w:tcPr>
            <w:tcW w:w="1701" w:type="dxa"/>
            <w:shd w:val="clear" w:color="auto" w:fill="auto"/>
            <w:vAlign w:val="center"/>
          </w:tcPr>
          <w:p w:rsidR="008C7751" w:rsidRPr="00E00B35" w:rsidRDefault="008C7751" w:rsidP="00E00B35">
            <w:pPr>
              <w:spacing w:after="0" w:line="312" w:lineRule="auto"/>
              <w:rPr>
                <w:szCs w:val="20"/>
              </w:rPr>
            </w:pPr>
            <w:r w:rsidRPr="00E00B35">
              <w:rPr>
                <w:szCs w:val="20"/>
              </w:rPr>
              <w:t>31 780 937,09</w:t>
            </w:r>
          </w:p>
        </w:tc>
        <w:tc>
          <w:tcPr>
            <w:tcW w:w="1842" w:type="dxa"/>
            <w:vAlign w:val="center"/>
          </w:tcPr>
          <w:p w:rsidR="008C7751" w:rsidRPr="00E00B35" w:rsidRDefault="008C7751" w:rsidP="00E00B35">
            <w:pPr>
              <w:spacing w:after="0" w:line="312" w:lineRule="auto"/>
              <w:rPr>
                <w:szCs w:val="20"/>
              </w:rPr>
            </w:pPr>
            <w:r w:rsidRPr="00E00B35">
              <w:rPr>
                <w:szCs w:val="20"/>
              </w:rPr>
              <w:t>18 187 232,28</w:t>
            </w:r>
          </w:p>
        </w:tc>
      </w:tr>
      <w:tr w:rsidR="008C7751" w:rsidRPr="00E00B35" w:rsidTr="008C7751">
        <w:trPr>
          <w:cantSplit/>
          <w:trHeight w:val="1215"/>
        </w:trPr>
        <w:tc>
          <w:tcPr>
            <w:tcW w:w="2227" w:type="dxa"/>
            <w:vAlign w:val="center"/>
          </w:tcPr>
          <w:p w:rsidR="008C7751" w:rsidRPr="00E00B35" w:rsidRDefault="008C7751" w:rsidP="00E00B35">
            <w:pPr>
              <w:spacing w:after="0" w:line="312" w:lineRule="auto"/>
              <w:rPr>
                <w:szCs w:val="20"/>
              </w:rPr>
            </w:pPr>
            <w:r w:rsidRPr="00E00B35">
              <w:rPr>
                <w:szCs w:val="20"/>
              </w:rPr>
              <w:t xml:space="preserve">Realizacja windykacji miękkiej po wystawionych wezwaniach i upomnieniach </w:t>
            </w:r>
            <w:r w:rsidRPr="00E00B35">
              <w:rPr>
                <w:rFonts w:cs="Arial"/>
                <w:szCs w:val="20"/>
              </w:rPr>
              <w:t>(zł)</w:t>
            </w:r>
          </w:p>
        </w:tc>
        <w:tc>
          <w:tcPr>
            <w:tcW w:w="1703" w:type="dxa"/>
            <w:shd w:val="clear" w:color="auto" w:fill="auto"/>
            <w:vAlign w:val="center"/>
          </w:tcPr>
          <w:p w:rsidR="008C7751" w:rsidRPr="00E00B35" w:rsidRDefault="008C7751" w:rsidP="00E00B35">
            <w:pPr>
              <w:spacing w:after="0" w:line="312" w:lineRule="auto"/>
              <w:rPr>
                <w:szCs w:val="20"/>
              </w:rPr>
            </w:pPr>
            <w:r w:rsidRPr="00E00B35">
              <w:rPr>
                <w:szCs w:val="20"/>
              </w:rPr>
              <w:t xml:space="preserve">11 716 381,88 </w:t>
            </w:r>
          </w:p>
        </w:tc>
        <w:tc>
          <w:tcPr>
            <w:tcW w:w="1650" w:type="dxa"/>
            <w:shd w:val="clear" w:color="auto" w:fill="auto"/>
            <w:vAlign w:val="center"/>
          </w:tcPr>
          <w:p w:rsidR="008C7751" w:rsidRPr="00E00B35" w:rsidRDefault="008C7751" w:rsidP="00E00B35">
            <w:pPr>
              <w:spacing w:after="0" w:line="312" w:lineRule="auto"/>
              <w:rPr>
                <w:szCs w:val="20"/>
              </w:rPr>
            </w:pPr>
            <w:r w:rsidRPr="00E00B35">
              <w:rPr>
                <w:szCs w:val="20"/>
              </w:rPr>
              <w:t xml:space="preserve">15 475 685,39 </w:t>
            </w:r>
          </w:p>
        </w:tc>
        <w:tc>
          <w:tcPr>
            <w:tcW w:w="1701" w:type="dxa"/>
            <w:shd w:val="clear" w:color="auto" w:fill="auto"/>
            <w:vAlign w:val="center"/>
          </w:tcPr>
          <w:p w:rsidR="008C7751" w:rsidRPr="00E00B35" w:rsidRDefault="008C7751" w:rsidP="00E00B35">
            <w:pPr>
              <w:spacing w:after="0" w:line="312" w:lineRule="auto"/>
              <w:rPr>
                <w:szCs w:val="20"/>
              </w:rPr>
            </w:pPr>
            <w:r w:rsidRPr="00E00B35">
              <w:rPr>
                <w:szCs w:val="20"/>
              </w:rPr>
              <w:t>17 329 759,17</w:t>
            </w:r>
          </w:p>
        </w:tc>
        <w:tc>
          <w:tcPr>
            <w:tcW w:w="1842" w:type="dxa"/>
            <w:vAlign w:val="center"/>
          </w:tcPr>
          <w:p w:rsidR="008C7751" w:rsidRPr="00E00B35" w:rsidRDefault="008C7751" w:rsidP="00E00B35">
            <w:pPr>
              <w:spacing w:after="0" w:line="312" w:lineRule="auto"/>
              <w:rPr>
                <w:szCs w:val="20"/>
              </w:rPr>
            </w:pPr>
            <w:r w:rsidRPr="00E00B35">
              <w:rPr>
                <w:szCs w:val="20"/>
              </w:rPr>
              <w:t>5 822 958,93</w:t>
            </w: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 xml:space="preserve">Ograniczona liczba wysłanych wezwań do zapłaty związana była z trwającą procedurą realizacji postanowień ustawy o przekształceniu prawa użytkowania w prawo własności gruntów zabudowanych budynkami mieszkalnymi w prawo własności tych gruntów. </w:t>
      </w:r>
    </w:p>
    <w:p w:rsidR="008C7751" w:rsidRPr="00E00B35" w:rsidRDefault="008C7751" w:rsidP="00E00B35">
      <w:pPr>
        <w:spacing w:after="0" w:line="312" w:lineRule="auto"/>
        <w:rPr>
          <w:szCs w:val="20"/>
        </w:rPr>
      </w:pPr>
      <w:r w:rsidRPr="00E00B35">
        <w:rPr>
          <w:szCs w:val="20"/>
        </w:rPr>
        <w:t xml:space="preserve">Przy trwających intensywnych pracach komórek merytorycznych oraz księgowych wprowadzających zmiany w systemie ewidencji księgowej, z uwagi na przepisy powyższej ustawy, utrudnionym była możliwość masowej wysyłki wezwań do zapłaty obejmujących zaległości z tytułu przekształcenia prawa użytkowania wieczystego w prawo własności. </w:t>
      </w:r>
    </w:p>
    <w:p w:rsidR="008C7751" w:rsidRPr="00E00B35" w:rsidRDefault="008C7751" w:rsidP="00E00B35">
      <w:pPr>
        <w:spacing w:after="0" w:line="312" w:lineRule="auto"/>
        <w:rPr>
          <w:szCs w:val="20"/>
        </w:rPr>
      </w:pPr>
      <w:r w:rsidRPr="00E00B35">
        <w:rPr>
          <w:szCs w:val="20"/>
        </w:rPr>
        <w:t>Kierowanie zaległości na drogę postępowania sądowego (powództwa o zapłatę), w tym kierowano pozwy o zapłatę w elektronicznym postępowaniu upominawczym zobowiązań cywilnoprawnych Gminy Wrocław i Skarbu Państwa.</w:t>
      </w:r>
    </w:p>
    <w:p w:rsidR="008C7751" w:rsidRPr="00E00B35" w:rsidRDefault="001C170D" w:rsidP="00E00B35">
      <w:pPr>
        <w:spacing w:after="0" w:line="312" w:lineRule="auto"/>
        <w:rPr>
          <w:b/>
          <w:bCs/>
          <w:szCs w:val="20"/>
        </w:rPr>
      </w:pPr>
      <w:r w:rsidRPr="00E00B35">
        <w:rPr>
          <w:b/>
          <w:bCs/>
          <w:szCs w:val="20"/>
        </w:rPr>
        <w:lastRenderedPageBreak/>
        <w:br/>
      </w:r>
      <w:r w:rsidR="008C7751" w:rsidRPr="00E00B35">
        <w:rPr>
          <w:b/>
          <w:bCs/>
          <w:szCs w:val="20"/>
        </w:rPr>
        <w:t xml:space="preserve">Sprawy przekazane do komórki prawnej celem wytoczenia powództwa o zapłatę oraz do elektronicznego postępowania upominawczego w latach 2017 – 2020 </w:t>
      </w:r>
      <w:r w:rsidR="008C7751" w:rsidRPr="00E00B35">
        <w:rPr>
          <w:b/>
          <w:szCs w:val="20"/>
        </w:rPr>
        <w:t>(Źródło: UMW)</w:t>
      </w:r>
    </w:p>
    <w:p w:rsidR="008C7751" w:rsidRPr="00E00B35" w:rsidRDefault="008C7751" w:rsidP="00E00B35">
      <w:pPr>
        <w:spacing w:after="0" w:line="312" w:lineRule="auto"/>
        <w:rPr>
          <w:szCs w:val="20"/>
        </w:rPr>
      </w:pPr>
      <w:r w:rsidRPr="00E00B35">
        <w:rPr>
          <w:szCs w:val="20"/>
        </w:rPr>
        <w:t>Przekazane sprawy (szt.) w 2017 r. - 1 276, w 2018 r. - 1 560, w 2019 r. - 1 621, w 2020 r. – 851.</w:t>
      </w:r>
    </w:p>
    <w:p w:rsidR="008C7751" w:rsidRPr="00E00B35" w:rsidRDefault="008C7751" w:rsidP="00E00B35">
      <w:pPr>
        <w:spacing w:after="0" w:line="312" w:lineRule="auto"/>
        <w:rPr>
          <w:b/>
          <w:bCs/>
          <w:szCs w:val="20"/>
        </w:rPr>
      </w:pPr>
    </w:p>
    <w:p w:rsidR="008C7751" w:rsidRPr="00E00B35" w:rsidRDefault="008C7751" w:rsidP="00E00B35">
      <w:pPr>
        <w:spacing w:after="0" w:line="312" w:lineRule="auto"/>
        <w:rPr>
          <w:szCs w:val="20"/>
        </w:rPr>
      </w:pPr>
      <w:r w:rsidRPr="00E00B35">
        <w:rPr>
          <w:szCs w:val="20"/>
        </w:rPr>
        <w:t xml:space="preserve">Spadek liczby spraw przekazywanych do komórki prawnej celem wytoczenia powództwa o zapłatę oraz spraw kierowanych do elektronicznego postępowania upominawczego spowodowany był ogłoszeniem stanu epidemicznego na terenie kraju i wprowadzeniem przepisów skutkujących zawieszeniem postępowań egzekucyjnych. Zmiany </w:t>
      </w:r>
      <w:r w:rsidRPr="00E00B35">
        <w:rPr>
          <w:szCs w:val="20"/>
        </w:rPr>
        <w:br/>
        <w:t xml:space="preserve">w przepisach skutkowały brakiem możliwości wykonywania powyższych zadań z uwagi na zawieszenie pracy sądów. </w:t>
      </w:r>
    </w:p>
    <w:p w:rsidR="008C7751" w:rsidRPr="00E00B35" w:rsidRDefault="008C7751" w:rsidP="00E00B35">
      <w:pPr>
        <w:spacing w:after="0" w:line="312" w:lineRule="auto"/>
        <w:rPr>
          <w:szCs w:val="20"/>
        </w:rPr>
      </w:pPr>
      <w:r w:rsidRPr="00E00B35">
        <w:rPr>
          <w:szCs w:val="20"/>
        </w:rPr>
        <w:t>Sprawy kierowane do egzekucji komorniczej, zabezpieczanie należności.</w:t>
      </w:r>
    </w:p>
    <w:p w:rsidR="008C7751" w:rsidRPr="00E00B35" w:rsidRDefault="008C7751" w:rsidP="00E00B35">
      <w:pPr>
        <w:spacing w:after="0" w:line="312" w:lineRule="auto"/>
        <w:rPr>
          <w:szCs w:val="20"/>
          <w:highlight w:val="cyan"/>
        </w:rPr>
      </w:pPr>
    </w:p>
    <w:p w:rsidR="008C7751" w:rsidRPr="00E00B35" w:rsidRDefault="008C7751" w:rsidP="00E00B35">
      <w:pPr>
        <w:spacing w:after="0" w:line="312" w:lineRule="auto"/>
        <w:rPr>
          <w:b/>
          <w:bCs/>
          <w:szCs w:val="20"/>
        </w:rPr>
      </w:pPr>
      <w:r w:rsidRPr="00E00B35">
        <w:rPr>
          <w:b/>
          <w:bCs/>
          <w:szCs w:val="20"/>
        </w:rPr>
        <w:t xml:space="preserve">Sprawy przekazane do komorników sądowych w latach 2017 – 2020 </w:t>
      </w:r>
      <w:r w:rsidRPr="00E00B35">
        <w:rPr>
          <w:b/>
          <w:szCs w:val="20"/>
        </w:rPr>
        <w:t>(Źródło: UMW)</w:t>
      </w:r>
    </w:p>
    <w:p w:rsidR="008C7751" w:rsidRPr="00E00B35" w:rsidRDefault="008C7751" w:rsidP="00E00B35">
      <w:pPr>
        <w:spacing w:after="0" w:line="312" w:lineRule="auto"/>
        <w:rPr>
          <w:szCs w:val="20"/>
        </w:rPr>
      </w:pPr>
      <w:r w:rsidRPr="00E00B35">
        <w:rPr>
          <w:szCs w:val="20"/>
        </w:rPr>
        <w:t>Wnioski egzekucyjne skierowane do komorników sądowych (szt.) w 2017 r. 445, w 2018 r. – 469, w 2019 r. – 833, w 2020 r. – 803.</w:t>
      </w:r>
    </w:p>
    <w:p w:rsidR="008C7751" w:rsidRPr="00E00B35" w:rsidRDefault="008C7751" w:rsidP="00E00B35">
      <w:pPr>
        <w:spacing w:after="0" w:line="312" w:lineRule="auto"/>
        <w:rPr>
          <w:b/>
          <w:bCs/>
          <w:szCs w:val="20"/>
        </w:rPr>
      </w:pPr>
    </w:p>
    <w:p w:rsidR="008C7751" w:rsidRPr="00E00B35" w:rsidRDefault="008C7751" w:rsidP="00E00B35">
      <w:pPr>
        <w:spacing w:after="0" w:line="312" w:lineRule="auto"/>
        <w:rPr>
          <w:b/>
          <w:bCs/>
          <w:szCs w:val="20"/>
        </w:rPr>
      </w:pPr>
      <w:r w:rsidRPr="00E00B35">
        <w:rPr>
          <w:b/>
          <w:bCs/>
          <w:szCs w:val="20"/>
        </w:rPr>
        <w:t xml:space="preserve">Należności wyegzekwowane w toku tzw. windykacji twardej </w:t>
      </w:r>
      <w:r w:rsidRPr="00E00B35">
        <w:rPr>
          <w:b/>
          <w:bCs/>
          <w:szCs w:val="20"/>
        </w:rPr>
        <w:br/>
        <w:t xml:space="preserve">w latach 2017 – 2020 </w:t>
      </w:r>
      <w:r w:rsidRPr="00E00B35">
        <w:rPr>
          <w:b/>
          <w:szCs w:val="20"/>
        </w:rPr>
        <w:t>(Źródło: UMW)</w:t>
      </w:r>
    </w:p>
    <w:p w:rsidR="008C7751" w:rsidRPr="00E00B35" w:rsidRDefault="008C7751" w:rsidP="00E00B35">
      <w:pPr>
        <w:spacing w:after="0" w:line="312" w:lineRule="auto"/>
        <w:rPr>
          <w:szCs w:val="20"/>
        </w:rPr>
      </w:pPr>
      <w:r w:rsidRPr="00E00B35">
        <w:rPr>
          <w:szCs w:val="20"/>
        </w:rPr>
        <w:t>Kwotowa realizacja windykacji prowadzonej po uzyskaniu tytułu wykonawczego (zł) w 2017 r. - 4 074 757,03, w 2018 r. - 2 151 266,28 , w 2019 r. - 4 750 550,29, w 2020 r. - 3 385 466,28.</w:t>
      </w:r>
    </w:p>
    <w:p w:rsidR="008C7751" w:rsidRPr="00E00B35" w:rsidRDefault="008C7751" w:rsidP="00E00B35">
      <w:pPr>
        <w:spacing w:after="0" w:line="312" w:lineRule="auto"/>
        <w:rPr>
          <w:szCs w:val="20"/>
        </w:rPr>
      </w:pPr>
      <w:r w:rsidRPr="00E00B35">
        <w:rPr>
          <w:szCs w:val="20"/>
        </w:rPr>
        <w:t xml:space="preserve">W zakresie efektów działań zmierzających do przymusowego odzyskania należności cywilnoprawnych należy podkreślić, iż wynik uzyskany w roku 2017 był w stosunku do roku 2018 wyjątkowo wysoki z uwagi na jednorazowe uregulowanie przez jednego z dłużników należności stanowiącej blisko 30% wyniku osiągniętego w roku 2017. Było to poprzedzone zabezpieczeniem należności na majątku dłużnika oraz dwuletnimi negocjacjami, które ostatecznie doprowadziły do spłaty zadłużenia. Natomiast w roku 2019 na osiągnięcie wysokiego wyniku miało wpływ uregulowanie przez jednego </w:t>
      </w:r>
      <w:r w:rsidRPr="00E00B35">
        <w:rPr>
          <w:szCs w:val="20"/>
        </w:rPr>
        <w:br/>
        <w:t xml:space="preserve">z dłużników kwoty stanowiącej około 40 % całości odzyskanych należności. Zatem pomimo, iż w roku 2020 nie było tak wysokich jednorazowych wpłat jak w roku 2019 osiągnięty wynik należy uznać za satysfakcjonujący. </w:t>
      </w:r>
    </w:p>
    <w:p w:rsidR="008C7751" w:rsidRPr="00E00B35" w:rsidRDefault="001C170D" w:rsidP="00E00B35">
      <w:pPr>
        <w:spacing w:after="0" w:line="312" w:lineRule="auto"/>
        <w:rPr>
          <w:b/>
          <w:szCs w:val="20"/>
        </w:rPr>
      </w:pPr>
      <w:r w:rsidRPr="00E00B35">
        <w:rPr>
          <w:b/>
          <w:bCs/>
          <w:szCs w:val="20"/>
        </w:rPr>
        <w:br/>
      </w:r>
      <w:r w:rsidR="008C7751" w:rsidRPr="00E00B35">
        <w:rPr>
          <w:b/>
          <w:bCs/>
          <w:szCs w:val="20"/>
        </w:rPr>
        <w:t xml:space="preserve">Zabezpieczanie należności na majątku dłużników w latach 2017 – 2020 </w:t>
      </w:r>
      <w:r w:rsidR="008C7751" w:rsidRPr="00E00B35">
        <w:rPr>
          <w:b/>
          <w:szCs w:val="20"/>
        </w:rPr>
        <w:t>(Źródło: UMW)</w:t>
      </w:r>
    </w:p>
    <w:p w:rsidR="008C7751" w:rsidRPr="00E00B35" w:rsidRDefault="008C7751" w:rsidP="00E00B35">
      <w:pPr>
        <w:spacing w:after="0" w:line="312" w:lineRule="auto"/>
        <w:rPr>
          <w:szCs w:val="20"/>
        </w:rPr>
      </w:pPr>
      <w:r w:rsidRPr="00E00B35">
        <w:rPr>
          <w:szCs w:val="20"/>
        </w:rPr>
        <w:t>Wnioski o wpis hipoteki przymusowej skierowanych do sądu wieczysto-księgowego (szt.) w 2017 r. – 6, w 2018 r. – 10, w 2019 r. – 12, w 2020 r. – 16.</w:t>
      </w:r>
    </w:p>
    <w:p w:rsidR="00896F97" w:rsidRPr="00E00B35" w:rsidRDefault="008C7751" w:rsidP="00E00B35">
      <w:pPr>
        <w:spacing w:after="0" w:line="312" w:lineRule="auto"/>
        <w:rPr>
          <w:szCs w:val="20"/>
        </w:rPr>
      </w:pPr>
      <w:r w:rsidRPr="00E00B35">
        <w:rPr>
          <w:szCs w:val="20"/>
        </w:rPr>
        <w:t>Kwota wpisu (zł) w 2017 r. - 2 207 753,41, w 2018 r. - 2 027 199,33 , w 2019 r. - 1 266 183,64, w 2020 r. - 1 459 345,97.</w:t>
      </w:r>
    </w:p>
    <w:p w:rsidR="008C7751" w:rsidRPr="00E00B35" w:rsidRDefault="008C7751" w:rsidP="00E00B35">
      <w:pPr>
        <w:spacing w:after="0" w:line="312" w:lineRule="auto"/>
        <w:rPr>
          <w:szCs w:val="20"/>
        </w:rPr>
      </w:pPr>
      <w:r w:rsidRPr="00E00B35">
        <w:rPr>
          <w:szCs w:val="20"/>
        </w:rPr>
        <w:lastRenderedPageBreak/>
        <w:t xml:space="preserve">Zabezpieczenie na majątku dłużnika w formie wpisu hipoteki przymusowej wiąże się </w:t>
      </w:r>
      <w:r w:rsidRPr="00E00B35">
        <w:rPr>
          <w:szCs w:val="20"/>
        </w:rPr>
        <w:br/>
        <w:t xml:space="preserve">z ponoszeniem przez Wierzyciela opłat (ustanawianie hipotek przymusowych). </w:t>
      </w:r>
    </w:p>
    <w:p w:rsidR="008C7751" w:rsidRPr="00E00B35" w:rsidRDefault="008C7751" w:rsidP="00E00B35">
      <w:pPr>
        <w:spacing w:after="0" w:line="312" w:lineRule="auto"/>
        <w:rPr>
          <w:szCs w:val="20"/>
          <w:highlight w:val="cyan"/>
        </w:rPr>
      </w:pPr>
    </w:p>
    <w:p w:rsidR="008C7751" w:rsidRPr="00E00B35" w:rsidRDefault="008C7751" w:rsidP="00E00B35">
      <w:pPr>
        <w:spacing w:after="0" w:line="312" w:lineRule="auto"/>
        <w:rPr>
          <w:b/>
          <w:szCs w:val="20"/>
        </w:rPr>
      </w:pPr>
      <w:r w:rsidRPr="00E00B35">
        <w:rPr>
          <w:b/>
          <w:szCs w:val="20"/>
        </w:rPr>
        <w:t xml:space="preserve">Wydatki poniesione w celu realizacji zadań windykacyjnych </w:t>
      </w:r>
      <w:r w:rsidRPr="00E00B35">
        <w:rPr>
          <w:b/>
          <w:szCs w:val="20"/>
        </w:rPr>
        <w:br/>
        <w:t>w latach 2017 – 2020 (Źródło: UMW)</w:t>
      </w:r>
    </w:p>
    <w:p w:rsidR="008C7751" w:rsidRPr="00E00B35" w:rsidRDefault="008C7751" w:rsidP="00E00B35">
      <w:pPr>
        <w:spacing w:after="0" w:line="312" w:lineRule="auto"/>
        <w:rPr>
          <w:szCs w:val="20"/>
        </w:rPr>
      </w:pPr>
      <w:r w:rsidRPr="00E00B35">
        <w:rPr>
          <w:szCs w:val="20"/>
        </w:rPr>
        <w:t xml:space="preserve">Kwota wydatkowana na realizację zadań (zł) w 2017 r. - 73 389,74, w 2018 r. - </w:t>
      </w:r>
      <w:r w:rsidRPr="00E00B35">
        <w:rPr>
          <w:rFonts w:cs="Arial"/>
          <w:szCs w:val="20"/>
        </w:rPr>
        <w:t>42 243,71, w 2019 r. - 51 631,96, w 2020 r. - 84 996,46.</w:t>
      </w:r>
    </w:p>
    <w:p w:rsidR="00896F97" w:rsidRPr="00E00B35" w:rsidRDefault="00896F97" w:rsidP="00E00B35">
      <w:pPr>
        <w:pStyle w:val="11Trescpisma"/>
        <w:suppressAutoHyphens/>
        <w:spacing w:before="0" w:after="0" w:line="312" w:lineRule="auto"/>
        <w:jc w:val="left"/>
        <w:rPr>
          <w:szCs w:val="20"/>
        </w:rPr>
      </w:pPr>
    </w:p>
    <w:p w:rsidR="008C7751" w:rsidRPr="00E00B35" w:rsidRDefault="008C7751" w:rsidP="00E00B35">
      <w:pPr>
        <w:pStyle w:val="11Trescpisma"/>
        <w:suppressAutoHyphens/>
        <w:spacing w:before="0" w:after="0" w:line="312" w:lineRule="auto"/>
        <w:jc w:val="left"/>
        <w:rPr>
          <w:szCs w:val="20"/>
        </w:rPr>
      </w:pPr>
      <w:r w:rsidRPr="00E00B35">
        <w:rPr>
          <w:szCs w:val="20"/>
        </w:rPr>
        <w:t>Zwiększenie puli wydatków na realizację zadań windykacyjnych spowodowane było m.in. dodatkowymi wnioskami o zastosowanie bardziej dotkliwych wobec dłużników czynności egzekucyjnych, z którymi wiążą się wydatki np. na operat szacunkowy w związku z licytacją nieruchomości dłużnika. Dodatkowo wzrost kwot wydatkowanych na zaliczki komornicze wiązał się z wszczynaniem postępowań egzekucyjnych przez komorników sądowych w 2020 roku z wniosków kierowanych przez Dział Windykacji Należności Cywilnoprawnych pod koniec 2019 r.</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Dział Egzekucji Należności Pieniężnych</w:t>
      </w:r>
    </w:p>
    <w:p w:rsidR="008C7751" w:rsidRPr="00E00B35" w:rsidRDefault="008C7751" w:rsidP="00E00B35">
      <w:pPr>
        <w:spacing w:after="0" w:line="312" w:lineRule="auto"/>
        <w:rPr>
          <w:szCs w:val="20"/>
        </w:rPr>
      </w:pPr>
      <w:r w:rsidRPr="00E00B35">
        <w:rPr>
          <w:szCs w:val="20"/>
        </w:rPr>
        <w:t>Administracyjne postępowania egzekucyjne prowadzone przez organ egzekucyjny Gminy Wrocław.</w:t>
      </w:r>
    </w:p>
    <w:p w:rsidR="00896F97" w:rsidRPr="00E00B35" w:rsidRDefault="00896F97" w:rsidP="00E00B35">
      <w:pPr>
        <w:pStyle w:val="Nagwek4"/>
        <w:spacing w:before="0" w:after="0" w:line="312" w:lineRule="auto"/>
        <w:rPr>
          <w:sz w:val="20"/>
          <w:szCs w:val="20"/>
        </w:rPr>
      </w:pPr>
    </w:p>
    <w:p w:rsidR="008C7751" w:rsidRPr="00E00B35" w:rsidRDefault="008C7751" w:rsidP="00E00B35">
      <w:pPr>
        <w:pStyle w:val="Nagwek4"/>
        <w:spacing w:before="0" w:after="0" w:line="312" w:lineRule="auto"/>
        <w:rPr>
          <w:sz w:val="20"/>
          <w:szCs w:val="20"/>
        </w:rPr>
      </w:pPr>
      <w:r w:rsidRPr="00E00B35">
        <w:rPr>
          <w:sz w:val="20"/>
          <w:szCs w:val="20"/>
        </w:rPr>
        <w:t>Postępowania egzekucyjne prowadzone w zakresie zaległości podatkowych</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559"/>
        <w:gridCol w:w="1560"/>
        <w:gridCol w:w="1701"/>
        <w:gridCol w:w="1842"/>
      </w:tblGrid>
      <w:tr w:rsidR="008C7751" w:rsidRPr="00E00B35" w:rsidTr="008C7751">
        <w:trPr>
          <w:trHeight w:val="165"/>
        </w:trPr>
        <w:tc>
          <w:tcPr>
            <w:tcW w:w="2410" w:type="dxa"/>
            <w:vAlign w:val="center"/>
          </w:tcPr>
          <w:p w:rsidR="008C7751" w:rsidRPr="00E00B35" w:rsidRDefault="008C7751" w:rsidP="00E00B35">
            <w:pPr>
              <w:spacing w:after="0" w:line="312" w:lineRule="auto"/>
              <w:rPr>
                <w:rFonts w:eastAsia="Arial Unicode MS"/>
                <w:szCs w:val="20"/>
              </w:rPr>
            </w:pPr>
            <w:r w:rsidRPr="00E00B35">
              <w:rPr>
                <w:szCs w:val="20"/>
              </w:rPr>
              <w:t xml:space="preserve">Zadania </w:t>
            </w:r>
          </w:p>
        </w:tc>
        <w:tc>
          <w:tcPr>
            <w:tcW w:w="1559" w:type="dxa"/>
            <w:vAlign w:val="center"/>
          </w:tcPr>
          <w:p w:rsidR="008C7751" w:rsidRPr="00E00B35" w:rsidRDefault="008C7751" w:rsidP="00E00B35">
            <w:pPr>
              <w:spacing w:after="0" w:line="312" w:lineRule="auto"/>
              <w:rPr>
                <w:szCs w:val="20"/>
              </w:rPr>
            </w:pPr>
            <w:r w:rsidRPr="00E00B35">
              <w:rPr>
                <w:szCs w:val="20"/>
              </w:rPr>
              <w:t>2017 rok</w:t>
            </w:r>
          </w:p>
        </w:tc>
        <w:tc>
          <w:tcPr>
            <w:tcW w:w="1560" w:type="dxa"/>
            <w:vAlign w:val="center"/>
          </w:tcPr>
          <w:p w:rsidR="008C7751" w:rsidRPr="00E00B35" w:rsidRDefault="008C7751" w:rsidP="00E00B35">
            <w:pPr>
              <w:spacing w:after="0" w:line="312" w:lineRule="auto"/>
              <w:rPr>
                <w:szCs w:val="20"/>
              </w:rPr>
            </w:pPr>
            <w:r w:rsidRPr="00E00B35">
              <w:rPr>
                <w:szCs w:val="20"/>
              </w:rPr>
              <w:t>2018 rok</w:t>
            </w:r>
          </w:p>
        </w:tc>
        <w:tc>
          <w:tcPr>
            <w:tcW w:w="1701" w:type="dxa"/>
            <w:vAlign w:val="center"/>
          </w:tcPr>
          <w:p w:rsidR="008C7751" w:rsidRPr="00E00B35" w:rsidRDefault="008C7751" w:rsidP="00E00B35">
            <w:pPr>
              <w:spacing w:after="0" w:line="312" w:lineRule="auto"/>
              <w:rPr>
                <w:szCs w:val="20"/>
              </w:rPr>
            </w:pPr>
            <w:r w:rsidRPr="00E00B35">
              <w:rPr>
                <w:szCs w:val="20"/>
              </w:rPr>
              <w:t>2019 rok</w:t>
            </w:r>
          </w:p>
        </w:tc>
        <w:tc>
          <w:tcPr>
            <w:tcW w:w="1842" w:type="dxa"/>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c>
          <w:tcPr>
            <w:tcW w:w="2410"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 xml:space="preserve">Wpływ tytułów wykonawczych </w:t>
            </w:r>
            <w:r w:rsidRPr="00E00B35">
              <w:rPr>
                <w:szCs w:val="20"/>
              </w:rPr>
              <w:t>(szt.)</w:t>
            </w:r>
          </w:p>
        </w:tc>
        <w:tc>
          <w:tcPr>
            <w:tcW w:w="1559" w:type="dxa"/>
            <w:vAlign w:val="center"/>
          </w:tcPr>
          <w:p w:rsidR="008C7751" w:rsidRPr="00E00B35" w:rsidRDefault="008C7751" w:rsidP="00E00B35">
            <w:pPr>
              <w:spacing w:after="0" w:line="312" w:lineRule="auto"/>
              <w:rPr>
                <w:rFonts w:eastAsia="Arial Unicode MS"/>
                <w:szCs w:val="20"/>
              </w:rPr>
            </w:pPr>
          </w:p>
          <w:p w:rsidR="008C7751" w:rsidRPr="00E00B35" w:rsidRDefault="008C7751" w:rsidP="00E00B35">
            <w:pPr>
              <w:spacing w:after="0" w:line="312" w:lineRule="auto"/>
              <w:rPr>
                <w:rFonts w:eastAsia="Arial Unicode MS"/>
                <w:szCs w:val="20"/>
              </w:rPr>
            </w:pPr>
            <w:r w:rsidRPr="00E00B35">
              <w:rPr>
                <w:rFonts w:eastAsia="Arial Unicode MS"/>
                <w:szCs w:val="20"/>
              </w:rPr>
              <w:t>14134</w:t>
            </w:r>
          </w:p>
          <w:p w:rsidR="008C7751" w:rsidRPr="00E00B35" w:rsidRDefault="008C7751" w:rsidP="00E00B35">
            <w:pPr>
              <w:spacing w:after="0" w:line="312" w:lineRule="auto"/>
              <w:rPr>
                <w:rFonts w:eastAsia="Arial Unicode MS"/>
                <w:szCs w:val="20"/>
              </w:rPr>
            </w:pPr>
          </w:p>
        </w:tc>
        <w:tc>
          <w:tcPr>
            <w:tcW w:w="1560" w:type="dxa"/>
            <w:vAlign w:val="center"/>
          </w:tcPr>
          <w:p w:rsidR="008C7751" w:rsidRPr="00E00B35" w:rsidRDefault="008C7751" w:rsidP="00E00B35">
            <w:pPr>
              <w:spacing w:after="0" w:line="312" w:lineRule="auto"/>
              <w:rPr>
                <w:rFonts w:eastAsia="Arial Unicode MS"/>
                <w:szCs w:val="20"/>
              </w:rPr>
            </w:pPr>
          </w:p>
          <w:p w:rsidR="008C7751" w:rsidRPr="00E00B35" w:rsidRDefault="008C7751" w:rsidP="00E00B35">
            <w:pPr>
              <w:spacing w:after="0" w:line="312" w:lineRule="auto"/>
              <w:rPr>
                <w:rFonts w:eastAsia="Arial Unicode MS"/>
                <w:szCs w:val="20"/>
              </w:rPr>
            </w:pPr>
            <w:r w:rsidRPr="00E00B35">
              <w:rPr>
                <w:rFonts w:eastAsia="Arial Unicode MS"/>
                <w:szCs w:val="20"/>
              </w:rPr>
              <w:t>10110</w:t>
            </w:r>
          </w:p>
          <w:p w:rsidR="008C7751" w:rsidRPr="00E00B35" w:rsidRDefault="008C7751" w:rsidP="00E00B35">
            <w:pPr>
              <w:spacing w:after="0" w:line="312" w:lineRule="auto"/>
              <w:rPr>
                <w:rFonts w:eastAsia="Arial Unicode MS"/>
                <w:szCs w:val="20"/>
              </w:rPr>
            </w:pPr>
          </w:p>
        </w:tc>
        <w:tc>
          <w:tcPr>
            <w:tcW w:w="1701" w:type="dxa"/>
            <w:vAlign w:val="center"/>
          </w:tcPr>
          <w:p w:rsidR="008C7751" w:rsidRPr="00E00B35" w:rsidRDefault="008C7751" w:rsidP="00E00B35">
            <w:pPr>
              <w:spacing w:after="0" w:line="312" w:lineRule="auto"/>
              <w:rPr>
                <w:szCs w:val="20"/>
              </w:rPr>
            </w:pPr>
            <w:r w:rsidRPr="00E00B35">
              <w:rPr>
                <w:szCs w:val="20"/>
              </w:rPr>
              <w:t>12327</w:t>
            </w:r>
          </w:p>
        </w:tc>
        <w:tc>
          <w:tcPr>
            <w:tcW w:w="1842" w:type="dxa"/>
            <w:vAlign w:val="center"/>
          </w:tcPr>
          <w:p w:rsidR="008C7751" w:rsidRPr="00E00B35" w:rsidRDefault="008C7751" w:rsidP="00E00B35">
            <w:pPr>
              <w:spacing w:after="0" w:line="312" w:lineRule="auto"/>
              <w:rPr>
                <w:szCs w:val="20"/>
              </w:rPr>
            </w:pPr>
            <w:r w:rsidRPr="00E00B35">
              <w:rPr>
                <w:szCs w:val="20"/>
              </w:rPr>
              <w:t>9094</w:t>
            </w:r>
          </w:p>
        </w:tc>
      </w:tr>
      <w:tr w:rsidR="008C7751" w:rsidRPr="00E00B35" w:rsidTr="008C7751">
        <w:tc>
          <w:tcPr>
            <w:tcW w:w="2410"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Wartość wpływających tytułów wykonawczych (zł)</w:t>
            </w:r>
          </w:p>
        </w:tc>
        <w:tc>
          <w:tcPr>
            <w:tcW w:w="1559" w:type="dxa"/>
            <w:vAlign w:val="center"/>
          </w:tcPr>
          <w:p w:rsidR="008C7751" w:rsidRPr="00E00B35" w:rsidRDefault="008C7751" w:rsidP="00E00B35">
            <w:pPr>
              <w:spacing w:after="0" w:line="312" w:lineRule="auto"/>
              <w:rPr>
                <w:rFonts w:eastAsia="Arial Unicode MS"/>
                <w:szCs w:val="20"/>
              </w:rPr>
            </w:pPr>
          </w:p>
          <w:p w:rsidR="008C7751" w:rsidRPr="00E00B35" w:rsidRDefault="008C7751" w:rsidP="00E00B35">
            <w:pPr>
              <w:spacing w:after="0" w:line="312" w:lineRule="auto"/>
              <w:rPr>
                <w:rFonts w:eastAsia="Arial Unicode MS"/>
                <w:szCs w:val="20"/>
              </w:rPr>
            </w:pPr>
            <w:r w:rsidRPr="00E00B35">
              <w:rPr>
                <w:rFonts w:eastAsia="Arial Unicode MS"/>
                <w:szCs w:val="20"/>
              </w:rPr>
              <w:t>9 838 030,71</w:t>
            </w:r>
          </w:p>
          <w:p w:rsidR="008C7751" w:rsidRPr="00E00B35" w:rsidRDefault="008C7751" w:rsidP="00E00B35">
            <w:pPr>
              <w:spacing w:after="0" w:line="312" w:lineRule="auto"/>
              <w:rPr>
                <w:rFonts w:eastAsia="Arial Unicode MS"/>
                <w:szCs w:val="20"/>
              </w:rPr>
            </w:pPr>
          </w:p>
        </w:tc>
        <w:tc>
          <w:tcPr>
            <w:tcW w:w="1560" w:type="dxa"/>
            <w:vAlign w:val="center"/>
          </w:tcPr>
          <w:p w:rsidR="008C7751" w:rsidRPr="00E00B35" w:rsidRDefault="008C7751" w:rsidP="00E00B35">
            <w:pPr>
              <w:spacing w:after="0" w:line="312" w:lineRule="auto"/>
              <w:rPr>
                <w:rFonts w:eastAsia="Arial Unicode MS"/>
                <w:szCs w:val="20"/>
              </w:rPr>
            </w:pPr>
          </w:p>
          <w:p w:rsidR="008C7751" w:rsidRPr="00E00B35" w:rsidRDefault="008C7751" w:rsidP="00E00B35">
            <w:pPr>
              <w:spacing w:after="0" w:line="312" w:lineRule="auto"/>
              <w:rPr>
                <w:rFonts w:eastAsia="Arial Unicode MS"/>
                <w:szCs w:val="20"/>
              </w:rPr>
            </w:pPr>
            <w:r w:rsidRPr="00E00B35">
              <w:rPr>
                <w:rFonts w:eastAsia="Arial Unicode MS"/>
                <w:szCs w:val="20"/>
              </w:rPr>
              <w:t>7 223 212,30</w:t>
            </w:r>
          </w:p>
          <w:p w:rsidR="008C7751" w:rsidRPr="00E00B35" w:rsidRDefault="008C7751" w:rsidP="00E00B35">
            <w:pPr>
              <w:spacing w:after="0" w:line="312" w:lineRule="auto"/>
              <w:rPr>
                <w:rFonts w:eastAsia="Arial Unicode MS"/>
                <w:szCs w:val="20"/>
              </w:rPr>
            </w:pPr>
          </w:p>
        </w:tc>
        <w:tc>
          <w:tcPr>
            <w:tcW w:w="1701" w:type="dxa"/>
            <w:vAlign w:val="center"/>
          </w:tcPr>
          <w:p w:rsidR="008C7751" w:rsidRPr="00E00B35" w:rsidRDefault="008C7751" w:rsidP="00E00B35">
            <w:pPr>
              <w:spacing w:after="0" w:line="312" w:lineRule="auto"/>
              <w:rPr>
                <w:szCs w:val="20"/>
              </w:rPr>
            </w:pPr>
            <w:r w:rsidRPr="00E00B35">
              <w:rPr>
                <w:szCs w:val="20"/>
              </w:rPr>
              <w:t>7  091 940,00</w:t>
            </w:r>
          </w:p>
        </w:tc>
        <w:tc>
          <w:tcPr>
            <w:tcW w:w="1842" w:type="dxa"/>
            <w:vAlign w:val="center"/>
          </w:tcPr>
          <w:p w:rsidR="008C7751" w:rsidRPr="00E00B35" w:rsidRDefault="008C7751" w:rsidP="00E00B35">
            <w:pPr>
              <w:spacing w:after="0" w:line="312" w:lineRule="auto"/>
              <w:rPr>
                <w:szCs w:val="20"/>
              </w:rPr>
            </w:pPr>
            <w:r w:rsidRPr="00E00B35">
              <w:rPr>
                <w:szCs w:val="20"/>
              </w:rPr>
              <w:t>5 569 970,30</w:t>
            </w:r>
          </w:p>
        </w:tc>
      </w:tr>
      <w:tr w:rsidR="008C7751" w:rsidRPr="00E00B35" w:rsidTr="008C7751">
        <w:trPr>
          <w:trHeight w:val="592"/>
        </w:trPr>
        <w:tc>
          <w:tcPr>
            <w:tcW w:w="2410" w:type="dxa"/>
            <w:vAlign w:val="center"/>
          </w:tcPr>
          <w:p w:rsidR="008C7751" w:rsidRPr="00E00B35" w:rsidRDefault="008C7751" w:rsidP="00E00B35">
            <w:pPr>
              <w:spacing w:after="0" w:line="312" w:lineRule="auto"/>
              <w:rPr>
                <w:szCs w:val="20"/>
              </w:rPr>
            </w:pPr>
            <w:r w:rsidRPr="00E00B35">
              <w:rPr>
                <w:szCs w:val="20"/>
              </w:rPr>
              <w:t>Realizacja tytułów wykonawczych (szt.)</w:t>
            </w:r>
          </w:p>
        </w:tc>
        <w:tc>
          <w:tcPr>
            <w:tcW w:w="1559" w:type="dxa"/>
            <w:vAlign w:val="center"/>
          </w:tcPr>
          <w:p w:rsidR="008C7751" w:rsidRPr="00E00B35" w:rsidRDefault="008C7751" w:rsidP="00E00B35">
            <w:pPr>
              <w:spacing w:after="0" w:line="312" w:lineRule="auto"/>
              <w:rPr>
                <w:rFonts w:eastAsia="Arial Unicode MS"/>
                <w:szCs w:val="20"/>
              </w:rPr>
            </w:pPr>
          </w:p>
          <w:p w:rsidR="008C7751" w:rsidRPr="00E00B35" w:rsidRDefault="008C7751" w:rsidP="00E00B35">
            <w:pPr>
              <w:spacing w:after="0" w:line="312" w:lineRule="auto"/>
              <w:rPr>
                <w:rFonts w:eastAsia="Arial Unicode MS"/>
                <w:szCs w:val="20"/>
              </w:rPr>
            </w:pPr>
            <w:r w:rsidRPr="00E00B35">
              <w:rPr>
                <w:rFonts w:eastAsia="Arial Unicode MS"/>
                <w:szCs w:val="20"/>
              </w:rPr>
              <w:t>13538</w:t>
            </w:r>
          </w:p>
          <w:p w:rsidR="008C7751" w:rsidRPr="00E00B35" w:rsidRDefault="008C7751" w:rsidP="00E00B35">
            <w:pPr>
              <w:spacing w:after="0" w:line="312" w:lineRule="auto"/>
              <w:rPr>
                <w:szCs w:val="20"/>
              </w:rPr>
            </w:pPr>
          </w:p>
        </w:tc>
        <w:tc>
          <w:tcPr>
            <w:tcW w:w="1560" w:type="dxa"/>
            <w:vAlign w:val="center"/>
          </w:tcPr>
          <w:p w:rsidR="008C7751" w:rsidRPr="00E00B35" w:rsidRDefault="008C7751" w:rsidP="00E00B35">
            <w:pPr>
              <w:spacing w:after="0" w:line="312" w:lineRule="auto"/>
              <w:rPr>
                <w:rFonts w:eastAsia="Arial Unicode MS"/>
                <w:szCs w:val="20"/>
              </w:rPr>
            </w:pPr>
          </w:p>
          <w:p w:rsidR="008C7751" w:rsidRPr="00E00B35" w:rsidRDefault="008C7751" w:rsidP="00E00B35">
            <w:pPr>
              <w:spacing w:after="0" w:line="312" w:lineRule="auto"/>
              <w:rPr>
                <w:rFonts w:eastAsia="Arial Unicode MS"/>
                <w:szCs w:val="20"/>
              </w:rPr>
            </w:pPr>
            <w:r w:rsidRPr="00E00B35">
              <w:rPr>
                <w:rFonts w:eastAsia="Arial Unicode MS"/>
                <w:szCs w:val="20"/>
              </w:rPr>
              <w:t>10321</w:t>
            </w:r>
          </w:p>
          <w:p w:rsidR="008C7751" w:rsidRPr="00E00B35" w:rsidRDefault="008C7751" w:rsidP="00E00B35">
            <w:pPr>
              <w:spacing w:after="0" w:line="312" w:lineRule="auto"/>
              <w:rPr>
                <w:szCs w:val="20"/>
              </w:rPr>
            </w:pPr>
          </w:p>
        </w:tc>
        <w:tc>
          <w:tcPr>
            <w:tcW w:w="1701" w:type="dxa"/>
            <w:vAlign w:val="center"/>
          </w:tcPr>
          <w:p w:rsidR="008C7751" w:rsidRPr="00E00B35" w:rsidRDefault="008C7751" w:rsidP="00E00B35">
            <w:pPr>
              <w:spacing w:after="0" w:line="312" w:lineRule="auto"/>
              <w:rPr>
                <w:szCs w:val="20"/>
              </w:rPr>
            </w:pPr>
            <w:r w:rsidRPr="00E00B35">
              <w:rPr>
                <w:szCs w:val="20"/>
              </w:rPr>
              <w:t>11870</w:t>
            </w:r>
          </w:p>
        </w:tc>
        <w:tc>
          <w:tcPr>
            <w:tcW w:w="1842" w:type="dxa"/>
            <w:vAlign w:val="center"/>
          </w:tcPr>
          <w:p w:rsidR="008C7751" w:rsidRPr="00E00B35" w:rsidRDefault="008C7751" w:rsidP="00E00B35">
            <w:pPr>
              <w:spacing w:after="0" w:line="312" w:lineRule="auto"/>
              <w:rPr>
                <w:szCs w:val="20"/>
              </w:rPr>
            </w:pPr>
            <w:r w:rsidRPr="00E00B35">
              <w:rPr>
                <w:szCs w:val="20"/>
              </w:rPr>
              <w:t>10018</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szCs w:val="20"/>
              </w:rPr>
              <w:t>Wyegzekwowane kwoty (zł)</w:t>
            </w:r>
          </w:p>
        </w:tc>
        <w:tc>
          <w:tcPr>
            <w:tcW w:w="1559" w:type="dxa"/>
            <w:vAlign w:val="center"/>
          </w:tcPr>
          <w:p w:rsidR="008C7751" w:rsidRPr="00E00B35" w:rsidRDefault="008C7751" w:rsidP="00E00B35">
            <w:pPr>
              <w:spacing w:after="0" w:line="312" w:lineRule="auto"/>
              <w:rPr>
                <w:rFonts w:eastAsia="Arial Unicode MS"/>
                <w:szCs w:val="20"/>
              </w:rPr>
            </w:pPr>
          </w:p>
          <w:p w:rsidR="008C7751" w:rsidRPr="00E00B35" w:rsidRDefault="008C7751" w:rsidP="00E00B35">
            <w:pPr>
              <w:spacing w:after="0" w:line="312" w:lineRule="auto"/>
              <w:rPr>
                <w:rFonts w:eastAsia="Arial Unicode MS"/>
                <w:szCs w:val="20"/>
              </w:rPr>
            </w:pPr>
            <w:r w:rsidRPr="00E00B35">
              <w:rPr>
                <w:rFonts w:eastAsia="Arial Unicode MS"/>
                <w:szCs w:val="20"/>
              </w:rPr>
              <w:t>7 172 785,73</w:t>
            </w:r>
          </w:p>
          <w:p w:rsidR="008C7751" w:rsidRPr="00E00B35" w:rsidRDefault="008C7751" w:rsidP="00E00B35">
            <w:pPr>
              <w:spacing w:after="0" w:line="312" w:lineRule="auto"/>
              <w:rPr>
                <w:szCs w:val="20"/>
              </w:rPr>
            </w:pPr>
          </w:p>
        </w:tc>
        <w:tc>
          <w:tcPr>
            <w:tcW w:w="1560" w:type="dxa"/>
            <w:vAlign w:val="center"/>
          </w:tcPr>
          <w:p w:rsidR="008C7751" w:rsidRPr="00E00B35" w:rsidRDefault="008C7751" w:rsidP="00E00B35">
            <w:pPr>
              <w:spacing w:after="0" w:line="312" w:lineRule="auto"/>
              <w:rPr>
                <w:rFonts w:eastAsia="Arial Unicode MS"/>
                <w:szCs w:val="20"/>
              </w:rPr>
            </w:pPr>
          </w:p>
          <w:p w:rsidR="008C7751" w:rsidRPr="00E00B35" w:rsidRDefault="008C7751" w:rsidP="00E00B35">
            <w:pPr>
              <w:spacing w:after="0" w:line="312" w:lineRule="auto"/>
              <w:rPr>
                <w:rFonts w:eastAsia="Arial Unicode MS"/>
                <w:szCs w:val="20"/>
              </w:rPr>
            </w:pPr>
            <w:r w:rsidRPr="00E00B35">
              <w:rPr>
                <w:rFonts w:eastAsia="Arial Unicode MS"/>
                <w:szCs w:val="20"/>
              </w:rPr>
              <w:t>5 640 921,35</w:t>
            </w:r>
          </w:p>
          <w:p w:rsidR="008C7751" w:rsidRPr="00E00B35" w:rsidRDefault="008C7751" w:rsidP="00E00B35">
            <w:pPr>
              <w:spacing w:after="0" w:line="312" w:lineRule="auto"/>
              <w:rPr>
                <w:szCs w:val="20"/>
              </w:rPr>
            </w:pPr>
          </w:p>
        </w:tc>
        <w:tc>
          <w:tcPr>
            <w:tcW w:w="1701" w:type="dxa"/>
            <w:vAlign w:val="center"/>
          </w:tcPr>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4 180 962,13</w:t>
            </w:r>
          </w:p>
        </w:tc>
        <w:tc>
          <w:tcPr>
            <w:tcW w:w="1842" w:type="dxa"/>
            <w:vAlign w:val="center"/>
          </w:tcPr>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3 862 679,35</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szCs w:val="20"/>
              </w:rPr>
              <w:t>czynne tytuły wykonawcze na koniec okresu sprawozdawczego (szt.)</w:t>
            </w:r>
          </w:p>
        </w:tc>
        <w:tc>
          <w:tcPr>
            <w:tcW w:w="1559" w:type="dxa"/>
            <w:vAlign w:val="center"/>
          </w:tcPr>
          <w:p w:rsidR="008C7751" w:rsidRPr="00E00B35" w:rsidRDefault="008C7751" w:rsidP="00E00B35">
            <w:pPr>
              <w:spacing w:after="0" w:line="312" w:lineRule="auto"/>
              <w:rPr>
                <w:rFonts w:eastAsia="Arial Unicode MS"/>
                <w:szCs w:val="20"/>
              </w:rPr>
            </w:pPr>
          </w:p>
          <w:p w:rsidR="008C7751" w:rsidRPr="00E00B35" w:rsidRDefault="008C7751" w:rsidP="00E00B35">
            <w:pPr>
              <w:spacing w:after="0" w:line="312" w:lineRule="auto"/>
              <w:rPr>
                <w:rFonts w:eastAsia="Arial Unicode MS"/>
                <w:szCs w:val="20"/>
              </w:rPr>
            </w:pPr>
            <w:r w:rsidRPr="00E00B35">
              <w:rPr>
                <w:rFonts w:eastAsia="Arial Unicode MS"/>
                <w:szCs w:val="20"/>
              </w:rPr>
              <w:t>13553</w:t>
            </w:r>
          </w:p>
          <w:p w:rsidR="008C7751" w:rsidRPr="00E00B35" w:rsidRDefault="008C7751" w:rsidP="00E00B35">
            <w:pPr>
              <w:spacing w:after="0" w:line="312" w:lineRule="auto"/>
              <w:rPr>
                <w:rFonts w:eastAsia="Arial Unicode MS"/>
                <w:szCs w:val="20"/>
              </w:rPr>
            </w:pPr>
          </w:p>
        </w:tc>
        <w:tc>
          <w:tcPr>
            <w:tcW w:w="1560" w:type="dxa"/>
            <w:vAlign w:val="center"/>
          </w:tcPr>
          <w:p w:rsidR="008C7751" w:rsidRPr="00E00B35" w:rsidRDefault="008C7751" w:rsidP="00E00B35">
            <w:pPr>
              <w:spacing w:after="0" w:line="312" w:lineRule="auto"/>
              <w:rPr>
                <w:rFonts w:eastAsia="Arial Unicode MS"/>
                <w:szCs w:val="20"/>
              </w:rPr>
            </w:pPr>
          </w:p>
          <w:p w:rsidR="008C7751" w:rsidRPr="00E00B35" w:rsidRDefault="008C7751" w:rsidP="00E00B35">
            <w:pPr>
              <w:spacing w:after="0" w:line="312" w:lineRule="auto"/>
              <w:rPr>
                <w:rFonts w:eastAsia="Arial Unicode MS"/>
                <w:szCs w:val="20"/>
              </w:rPr>
            </w:pPr>
            <w:r w:rsidRPr="00E00B35">
              <w:rPr>
                <w:rFonts w:eastAsia="Arial Unicode MS"/>
                <w:szCs w:val="20"/>
              </w:rPr>
              <w:t>13349</w:t>
            </w:r>
          </w:p>
          <w:p w:rsidR="008C7751" w:rsidRPr="00E00B35" w:rsidRDefault="008C7751" w:rsidP="00E00B35">
            <w:pPr>
              <w:spacing w:after="0" w:line="312" w:lineRule="auto"/>
              <w:rPr>
                <w:rFonts w:eastAsia="Arial Unicode MS"/>
                <w:szCs w:val="20"/>
              </w:rPr>
            </w:pPr>
          </w:p>
        </w:tc>
        <w:tc>
          <w:tcPr>
            <w:tcW w:w="1701" w:type="dxa"/>
            <w:vAlign w:val="center"/>
          </w:tcPr>
          <w:p w:rsidR="008C7751" w:rsidRPr="00E00B35" w:rsidRDefault="008C7751" w:rsidP="00E00B35">
            <w:pPr>
              <w:spacing w:after="0" w:line="312" w:lineRule="auto"/>
              <w:rPr>
                <w:szCs w:val="20"/>
              </w:rPr>
            </w:pPr>
            <w:r w:rsidRPr="00E00B35">
              <w:rPr>
                <w:szCs w:val="20"/>
              </w:rPr>
              <w:t>13810</w:t>
            </w:r>
          </w:p>
        </w:tc>
        <w:tc>
          <w:tcPr>
            <w:tcW w:w="1842" w:type="dxa"/>
            <w:vAlign w:val="center"/>
          </w:tcPr>
          <w:p w:rsidR="008C7751" w:rsidRPr="00E00B35" w:rsidRDefault="008C7751" w:rsidP="00E00B35">
            <w:pPr>
              <w:spacing w:after="0" w:line="312" w:lineRule="auto"/>
              <w:rPr>
                <w:szCs w:val="20"/>
              </w:rPr>
            </w:pPr>
            <w:r w:rsidRPr="00E00B35">
              <w:rPr>
                <w:szCs w:val="20"/>
              </w:rPr>
              <w:t>12887</w:t>
            </w:r>
          </w:p>
        </w:tc>
      </w:tr>
    </w:tbl>
    <w:p w:rsidR="008C7751" w:rsidRPr="00E00B35" w:rsidRDefault="008C7751" w:rsidP="00E00B35">
      <w:pPr>
        <w:spacing w:after="0" w:line="312" w:lineRule="auto"/>
        <w:rPr>
          <w:szCs w:val="20"/>
        </w:rPr>
      </w:pPr>
    </w:p>
    <w:p w:rsidR="008C7751" w:rsidRPr="00E00B35" w:rsidRDefault="00DD3FD5" w:rsidP="00E00B35">
      <w:pPr>
        <w:pStyle w:val="Nagwek4"/>
        <w:spacing w:before="0" w:after="0" w:line="312" w:lineRule="auto"/>
        <w:rPr>
          <w:sz w:val="20"/>
          <w:szCs w:val="20"/>
        </w:rPr>
      </w:pPr>
      <w:r w:rsidRPr="00E00B35">
        <w:rPr>
          <w:sz w:val="20"/>
          <w:szCs w:val="20"/>
        </w:rPr>
        <w:lastRenderedPageBreak/>
        <w:br/>
      </w:r>
      <w:r w:rsidR="008C7751" w:rsidRPr="00E00B35">
        <w:rPr>
          <w:sz w:val="20"/>
          <w:szCs w:val="20"/>
        </w:rPr>
        <w:t>Postępowania egzekucyjne prowadzone w zakresie zaległości publicznoprawnych</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68"/>
        <w:gridCol w:w="1701"/>
        <w:gridCol w:w="1843"/>
        <w:gridCol w:w="1559"/>
        <w:gridCol w:w="1701"/>
      </w:tblGrid>
      <w:tr w:rsidR="008C7751" w:rsidRPr="00E00B35" w:rsidTr="008C7751">
        <w:trPr>
          <w:trHeight w:val="165"/>
        </w:trPr>
        <w:tc>
          <w:tcPr>
            <w:tcW w:w="2268" w:type="dxa"/>
            <w:vAlign w:val="center"/>
          </w:tcPr>
          <w:p w:rsidR="008C7751" w:rsidRPr="00E00B35" w:rsidRDefault="008C7751" w:rsidP="00E00B35">
            <w:pPr>
              <w:spacing w:after="0" w:line="312" w:lineRule="auto"/>
              <w:rPr>
                <w:rFonts w:eastAsia="Arial Unicode MS"/>
                <w:szCs w:val="20"/>
              </w:rPr>
            </w:pPr>
            <w:r w:rsidRPr="00E00B35">
              <w:rPr>
                <w:szCs w:val="20"/>
              </w:rPr>
              <w:t xml:space="preserve">Zadania </w:t>
            </w:r>
          </w:p>
        </w:tc>
        <w:tc>
          <w:tcPr>
            <w:tcW w:w="1701" w:type="dxa"/>
            <w:vAlign w:val="center"/>
          </w:tcPr>
          <w:p w:rsidR="008C7751" w:rsidRPr="00E00B35" w:rsidRDefault="008C7751" w:rsidP="00E00B35">
            <w:pPr>
              <w:spacing w:after="0" w:line="312" w:lineRule="auto"/>
              <w:rPr>
                <w:szCs w:val="20"/>
              </w:rPr>
            </w:pPr>
            <w:r w:rsidRPr="00E00B35">
              <w:rPr>
                <w:szCs w:val="20"/>
              </w:rPr>
              <w:t>2017 rok</w:t>
            </w:r>
          </w:p>
        </w:tc>
        <w:tc>
          <w:tcPr>
            <w:tcW w:w="1843" w:type="dxa"/>
            <w:vAlign w:val="center"/>
          </w:tcPr>
          <w:p w:rsidR="008C7751" w:rsidRPr="00E00B35" w:rsidRDefault="008C7751" w:rsidP="00E00B35">
            <w:pPr>
              <w:spacing w:after="0" w:line="312" w:lineRule="auto"/>
              <w:rPr>
                <w:szCs w:val="20"/>
              </w:rPr>
            </w:pPr>
            <w:r w:rsidRPr="00E00B35">
              <w:rPr>
                <w:szCs w:val="20"/>
              </w:rPr>
              <w:t>2018 rok</w:t>
            </w:r>
          </w:p>
        </w:tc>
        <w:tc>
          <w:tcPr>
            <w:tcW w:w="1559" w:type="dxa"/>
            <w:vAlign w:val="center"/>
          </w:tcPr>
          <w:p w:rsidR="008C7751" w:rsidRPr="00E00B35" w:rsidRDefault="008C7751" w:rsidP="00E00B35">
            <w:pPr>
              <w:spacing w:after="0" w:line="312" w:lineRule="auto"/>
              <w:rPr>
                <w:szCs w:val="20"/>
              </w:rPr>
            </w:pPr>
            <w:r w:rsidRPr="00E00B35">
              <w:rPr>
                <w:szCs w:val="20"/>
              </w:rPr>
              <w:t>2019 rok</w:t>
            </w:r>
          </w:p>
        </w:tc>
        <w:tc>
          <w:tcPr>
            <w:tcW w:w="1701" w:type="dxa"/>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c>
          <w:tcPr>
            <w:tcW w:w="2268"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 xml:space="preserve">Wpływ tytułów wykonawczych </w:t>
            </w:r>
            <w:r w:rsidRPr="00E00B35">
              <w:rPr>
                <w:szCs w:val="20"/>
              </w:rPr>
              <w:t>(szt.)</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26008</w:t>
            </w:r>
          </w:p>
        </w:tc>
        <w:tc>
          <w:tcPr>
            <w:tcW w:w="1843"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21216</w:t>
            </w:r>
          </w:p>
        </w:tc>
        <w:tc>
          <w:tcPr>
            <w:tcW w:w="1559"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19968</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11202</w:t>
            </w:r>
          </w:p>
        </w:tc>
      </w:tr>
      <w:tr w:rsidR="008C7751" w:rsidRPr="00E00B35" w:rsidTr="008C7751">
        <w:tc>
          <w:tcPr>
            <w:tcW w:w="2268"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Wartość wpływających tytułów wykonawczych (zł)</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8 613 579,92</w:t>
            </w:r>
          </w:p>
        </w:tc>
        <w:tc>
          <w:tcPr>
            <w:tcW w:w="1843"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10 420 927,50</w:t>
            </w:r>
          </w:p>
        </w:tc>
        <w:tc>
          <w:tcPr>
            <w:tcW w:w="1559"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8 907 539,30</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5 000 649,06</w:t>
            </w:r>
          </w:p>
        </w:tc>
      </w:tr>
      <w:tr w:rsidR="008C7751" w:rsidRPr="00E00B35" w:rsidTr="008C7751">
        <w:tc>
          <w:tcPr>
            <w:tcW w:w="2268" w:type="dxa"/>
            <w:vAlign w:val="center"/>
          </w:tcPr>
          <w:p w:rsidR="008C7751" w:rsidRPr="00E00B35" w:rsidRDefault="008C7751" w:rsidP="00E00B35">
            <w:pPr>
              <w:spacing w:after="0" w:line="312" w:lineRule="auto"/>
              <w:rPr>
                <w:szCs w:val="20"/>
              </w:rPr>
            </w:pPr>
            <w:r w:rsidRPr="00E00B35">
              <w:rPr>
                <w:szCs w:val="20"/>
              </w:rPr>
              <w:t>Realizacja tytułów wykonawczych (szt.)</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21220</w:t>
            </w:r>
          </w:p>
        </w:tc>
        <w:tc>
          <w:tcPr>
            <w:tcW w:w="1843" w:type="dxa"/>
            <w:vAlign w:val="center"/>
          </w:tcPr>
          <w:p w:rsidR="008C7751" w:rsidRPr="00E00B35" w:rsidRDefault="008C7751" w:rsidP="00E00B35">
            <w:pPr>
              <w:spacing w:after="0" w:line="312" w:lineRule="auto"/>
              <w:rPr>
                <w:szCs w:val="20"/>
              </w:rPr>
            </w:pPr>
            <w:r w:rsidRPr="00E00B35">
              <w:rPr>
                <w:rFonts w:eastAsia="Arial Unicode MS"/>
                <w:szCs w:val="20"/>
              </w:rPr>
              <w:t>21894</w:t>
            </w:r>
          </w:p>
        </w:tc>
        <w:tc>
          <w:tcPr>
            <w:tcW w:w="1559" w:type="dxa"/>
            <w:vAlign w:val="center"/>
          </w:tcPr>
          <w:p w:rsidR="008C7751" w:rsidRPr="00E00B35" w:rsidRDefault="008C7751" w:rsidP="00E00B35">
            <w:pPr>
              <w:spacing w:after="0" w:line="312" w:lineRule="auto"/>
              <w:rPr>
                <w:szCs w:val="20"/>
              </w:rPr>
            </w:pPr>
            <w:r w:rsidRPr="00E00B35">
              <w:rPr>
                <w:szCs w:val="20"/>
              </w:rPr>
              <w:t>16356</w:t>
            </w:r>
          </w:p>
        </w:tc>
        <w:tc>
          <w:tcPr>
            <w:tcW w:w="1701" w:type="dxa"/>
            <w:vAlign w:val="center"/>
          </w:tcPr>
          <w:p w:rsidR="008C7751" w:rsidRPr="00E00B35" w:rsidRDefault="008C7751" w:rsidP="00E00B35">
            <w:pPr>
              <w:spacing w:after="0" w:line="312" w:lineRule="auto"/>
              <w:rPr>
                <w:szCs w:val="20"/>
              </w:rPr>
            </w:pPr>
            <w:r w:rsidRPr="00E00B35">
              <w:rPr>
                <w:szCs w:val="20"/>
              </w:rPr>
              <w:t>11894</w:t>
            </w:r>
          </w:p>
        </w:tc>
      </w:tr>
      <w:tr w:rsidR="008C7751" w:rsidRPr="00E00B35" w:rsidTr="008C7751">
        <w:tc>
          <w:tcPr>
            <w:tcW w:w="2268" w:type="dxa"/>
            <w:vAlign w:val="center"/>
          </w:tcPr>
          <w:p w:rsidR="008C7751" w:rsidRPr="00E00B35" w:rsidRDefault="008C7751" w:rsidP="00E00B35">
            <w:pPr>
              <w:spacing w:after="0" w:line="312" w:lineRule="auto"/>
              <w:rPr>
                <w:szCs w:val="20"/>
              </w:rPr>
            </w:pPr>
            <w:r w:rsidRPr="00E00B35">
              <w:rPr>
                <w:szCs w:val="20"/>
              </w:rPr>
              <w:t>Wyegzekwowane kwoty (zł)</w:t>
            </w:r>
          </w:p>
        </w:tc>
        <w:tc>
          <w:tcPr>
            <w:tcW w:w="1701" w:type="dxa"/>
            <w:vAlign w:val="center"/>
          </w:tcPr>
          <w:p w:rsidR="008C7751" w:rsidRPr="00E00B35" w:rsidRDefault="008C7751" w:rsidP="00E00B35">
            <w:pPr>
              <w:spacing w:after="0" w:line="312" w:lineRule="auto"/>
              <w:rPr>
                <w:szCs w:val="20"/>
              </w:rPr>
            </w:pPr>
            <w:r w:rsidRPr="00E00B35">
              <w:rPr>
                <w:rFonts w:eastAsia="Arial Unicode MS"/>
                <w:szCs w:val="20"/>
              </w:rPr>
              <w:t>2 345 662,03</w:t>
            </w:r>
          </w:p>
        </w:tc>
        <w:tc>
          <w:tcPr>
            <w:tcW w:w="1843" w:type="dxa"/>
            <w:vAlign w:val="center"/>
          </w:tcPr>
          <w:p w:rsidR="008C7751" w:rsidRPr="00E00B35" w:rsidRDefault="008C7751" w:rsidP="00E00B35">
            <w:pPr>
              <w:spacing w:after="0" w:line="312" w:lineRule="auto"/>
              <w:rPr>
                <w:szCs w:val="20"/>
              </w:rPr>
            </w:pPr>
            <w:r w:rsidRPr="00E00B35">
              <w:rPr>
                <w:rFonts w:eastAsia="Arial Unicode MS"/>
                <w:szCs w:val="20"/>
              </w:rPr>
              <w:t>4 550 043,38</w:t>
            </w:r>
          </w:p>
        </w:tc>
        <w:tc>
          <w:tcPr>
            <w:tcW w:w="1559" w:type="dxa"/>
            <w:vAlign w:val="center"/>
          </w:tcPr>
          <w:p w:rsidR="008C7751" w:rsidRPr="00E00B35" w:rsidRDefault="008C7751" w:rsidP="00E00B35">
            <w:pPr>
              <w:spacing w:after="0" w:line="312" w:lineRule="auto"/>
              <w:rPr>
                <w:szCs w:val="20"/>
              </w:rPr>
            </w:pPr>
            <w:r w:rsidRPr="00E00B35">
              <w:rPr>
                <w:szCs w:val="20"/>
              </w:rPr>
              <w:t xml:space="preserve">3 822 849,04  </w:t>
            </w:r>
          </w:p>
        </w:tc>
        <w:tc>
          <w:tcPr>
            <w:tcW w:w="1701" w:type="dxa"/>
            <w:vAlign w:val="center"/>
          </w:tcPr>
          <w:p w:rsidR="008C7751" w:rsidRPr="00E00B35" w:rsidRDefault="008C7751" w:rsidP="00E00B35">
            <w:pPr>
              <w:spacing w:after="0" w:line="312" w:lineRule="auto"/>
              <w:rPr>
                <w:szCs w:val="20"/>
              </w:rPr>
            </w:pPr>
            <w:r w:rsidRPr="00E00B35">
              <w:rPr>
                <w:szCs w:val="20"/>
              </w:rPr>
              <w:t>2 948 844,46</w:t>
            </w:r>
          </w:p>
        </w:tc>
      </w:tr>
      <w:tr w:rsidR="008C7751" w:rsidRPr="00E00B35" w:rsidTr="008C7751">
        <w:tc>
          <w:tcPr>
            <w:tcW w:w="2268" w:type="dxa"/>
            <w:vAlign w:val="center"/>
          </w:tcPr>
          <w:p w:rsidR="008C7751" w:rsidRPr="00E00B35" w:rsidRDefault="008C7751" w:rsidP="00E00B35">
            <w:pPr>
              <w:spacing w:after="0" w:line="312" w:lineRule="auto"/>
              <w:rPr>
                <w:szCs w:val="20"/>
              </w:rPr>
            </w:pPr>
            <w:r w:rsidRPr="00E00B35">
              <w:rPr>
                <w:szCs w:val="20"/>
              </w:rPr>
              <w:t>czynne tytuły wykonawcze na koniec okresu sprawozdawczego (szt.)</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35089</w:t>
            </w:r>
          </w:p>
        </w:tc>
        <w:tc>
          <w:tcPr>
            <w:tcW w:w="1843" w:type="dxa"/>
            <w:vAlign w:val="center"/>
          </w:tcPr>
          <w:p w:rsidR="008C7751" w:rsidRPr="00E00B35" w:rsidRDefault="008C7751" w:rsidP="00E00B35">
            <w:pPr>
              <w:spacing w:after="0" w:line="312" w:lineRule="auto"/>
              <w:rPr>
                <w:rFonts w:eastAsia="Arial Unicode MS"/>
                <w:szCs w:val="20"/>
              </w:rPr>
            </w:pPr>
          </w:p>
          <w:p w:rsidR="008C7751" w:rsidRPr="00E00B35" w:rsidRDefault="008C7751" w:rsidP="00E00B35">
            <w:pPr>
              <w:spacing w:after="0" w:line="312" w:lineRule="auto"/>
              <w:rPr>
                <w:rFonts w:eastAsia="Arial Unicode MS"/>
                <w:szCs w:val="20"/>
              </w:rPr>
            </w:pPr>
            <w:r w:rsidRPr="00E00B35">
              <w:rPr>
                <w:rFonts w:eastAsia="Arial Unicode MS"/>
                <w:szCs w:val="20"/>
              </w:rPr>
              <w:t>34411</w:t>
            </w:r>
          </w:p>
          <w:p w:rsidR="008C7751" w:rsidRPr="00E00B35" w:rsidRDefault="008C7751" w:rsidP="00E00B35">
            <w:pPr>
              <w:spacing w:after="0" w:line="312" w:lineRule="auto"/>
              <w:rPr>
                <w:rFonts w:eastAsia="Arial Unicode MS"/>
                <w:szCs w:val="20"/>
              </w:rPr>
            </w:pPr>
          </w:p>
        </w:tc>
        <w:tc>
          <w:tcPr>
            <w:tcW w:w="1559"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38034</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37349</w:t>
            </w:r>
          </w:p>
        </w:tc>
      </w:tr>
    </w:tbl>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Postępowania egzekucyjne prowadzone w zakresie zaległości cywilnoprawnych</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1559"/>
        <w:gridCol w:w="1560"/>
        <w:gridCol w:w="1701"/>
        <w:gridCol w:w="1842"/>
      </w:tblGrid>
      <w:tr w:rsidR="008C7751" w:rsidRPr="00E00B35" w:rsidTr="008C7751">
        <w:trPr>
          <w:trHeight w:val="165"/>
        </w:trPr>
        <w:tc>
          <w:tcPr>
            <w:tcW w:w="2410" w:type="dxa"/>
            <w:vAlign w:val="center"/>
          </w:tcPr>
          <w:p w:rsidR="008C7751" w:rsidRPr="00E00B35" w:rsidRDefault="008C7751" w:rsidP="00E00B35">
            <w:pPr>
              <w:spacing w:after="0" w:line="312" w:lineRule="auto"/>
              <w:rPr>
                <w:rFonts w:eastAsia="Arial Unicode MS"/>
                <w:szCs w:val="20"/>
              </w:rPr>
            </w:pPr>
            <w:r w:rsidRPr="00E00B35">
              <w:rPr>
                <w:szCs w:val="20"/>
              </w:rPr>
              <w:t xml:space="preserve">Zadania </w:t>
            </w:r>
          </w:p>
        </w:tc>
        <w:tc>
          <w:tcPr>
            <w:tcW w:w="1559" w:type="dxa"/>
            <w:vAlign w:val="center"/>
          </w:tcPr>
          <w:p w:rsidR="008C7751" w:rsidRPr="00E00B35" w:rsidRDefault="008C7751" w:rsidP="00E00B35">
            <w:pPr>
              <w:spacing w:after="0" w:line="312" w:lineRule="auto"/>
              <w:rPr>
                <w:szCs w:val="20"/>
              </w:rPr>
            </w:pPr>
            <w:r w:rsidRPr="00E00B35">
              <w:rPr>
                <w:szCs w:val="20"/>
              </w:rPr>
              <w:t>2017 rok</w:t>
            </w:r>
          </w:p>
        </w:tc>
        <w:tc>
          <w:tcPr>
            <w:tcW w:w="1560" w:type="dxa"/>
            <w:vAlign w:val="center"/>
          </w:tcPr>
          <w:p w:rsidR="008C7751" w:rsidRPr="00E00B35" w:rsidRDefault="008C7751" w:rsidP="00E00B35">
            <w:pPr>
              <w:spacing w:after="0" w:line="312" w:lineRule="auto"/>
              <w:rPr>
                <w:szCs w:val="20"/>
              </w:rPr>
            </w:pPr>
            <w:r w:rsidRPr="00E00B35">
              <w:rPr>
                <w:szCs w:val="20"/>
              </w:rPr>
              <w:t>2018 rok</w:t>
            </w:r>
          </w:p>
        </w:tc>
        <w:tc>
          <w:tcPr>
            <w:tcW w:w="1701" w:type="dxa"/>
            <w:vAlign w:val="center"/>
          </w:tcPr>
          <w:p w:rsidR="008C7751" w:rsidRPr="00E00B35" w:rsidRDefault="008C7751" w:rsidP="00E00B35">
            <w:pPr>
              <w:spacing w:after="0" w:line="312" w:lineRule="auto"/>
              <w:rPr>
                <w:szCs w:val="20"/>
              </w:rPr>
            </w:pPr>
            <w:r w:rsidRPr="00E00B35">
              <w:rPr>
                <w:szCs w:val="20"/>
              </w:rPr>
              <w:t>2019 rok</w:t>
            </w:r>
          </w:p>
        </w:tc>
        <w:tc>
          <w:tcPr>
            <w:tcW w:w="1842" w:type="dxa"/>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c>
          <w:tcPr>
            <w:tcW w:w="2410"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 xml:space="preserve">Wpływ tytułów wykonawczych </w:t>
            </w:r>
            <w:r w:rsidRPr="00E00B35">
              <w:rPr>
                <w:szCs w:val="20"/>
              </w:rPr>
              <w:t>(szt.)</w:t>
            </w:r>
          </w:p>
        </w:tc>
        <w:tc>
          <w:tcPr>
            <w:tcW w:w="1559"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341</w:t>
            </w:r>
          </w:p>
          <w:p w:rsidR="008C7751" w:rsidRPr="00E00B35" w:rsidRDefault="008C7751" w:rsidP="00E00B35">
            <w:pPr>
              <w:spacing w:after="0" w:line="312" w:lineRule="auto"/>
              <w:rPr>
                <w:rFonts w:eastAsia="Arial Unicode MS"/>
                <w:szCs w:val="20"/>
              </w:rPr>
            </w:pPr>
          </w:p>
        </w:tc>
        <w:tc>
          <w:tcPr>
            <w:tcW w:w="1560"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332</w:t>
            </w:r>
          </w:p>
          <w:p w:rsidR="008C7751" w:rsidRPr="00E00B35" w:rsidRDefault="008C7751" w:rsidP="00E00B35">
            <w:pPr>
              <w:spacing w:after="0" w:line="312" w:lineRule="auto"/>
              <w:rPr>
                <w:rFonts w:eastAsia="Arial Unicode MS"/>
                <w:szCs w:val="20"/>
              </w:rPr>
            </w:pP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252</w:t>
            </w:r>
          </w:p>
        </w:tc>
        <w:tc>
          <w:tcPr>
            <w:tcW w:w="1842"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32</w:t>
            </w:r>
          </w:p>
        </w:tc>
      </w:tr>
      <w:tr w:rsidR="008C7751" w:rsidRPr="00E00B35" w:rsidTr="008C7751">
        <w:tc>
          <w:tcPr>
            <w:tcW w:w="2410"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Wartość wpływających tytułów wykonawczych (zł)</w:t>
            </w:r>
          </w:p>
        </w:tc>
        <w:tc>
          <w:tcPr>
            <w:tcW w:w="1559"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570 780,00</w:t>
            </w:r>
          </w:p>
          <w:p w:rsidR="008C7751" w:rsidRPr="00E00B35" w:rsidRDefault="008C7751" w:rsidP="00E00B35">
            <w:pPr>
              <w:spacing w:after="0" w:line="312" w:lineRule="auto"/>
              <w:rPr>
                <w:rFonts w:eastAsia="Arial Unicode MS"/>
                <w:szCs w:val="20"/>
              </w:rPr>
            </w:pPr>
          </w:p>
        </w:tc>
        <w:tc>
          <w:tcPr>
            <w:tcW w:w="1560"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290 676,70</w:t>
            </w:r>
          </w:p>
          <w:p w:rsidR="008C7751" w:rsidRPr="00E00B35" w:rsidRDefault="008C7751" w:rsidP="00E00B35">
            <w:pPr>
              <w:spacing w:after="0" w:line="312" w:lineRule="auto"/>
              <w:rPr>
                <w:rFonts w:eastAsia="Arial Unicode MS"/>
                <w:szCs w:val="20"/>
              </w:rPr>
            </w:pP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831 888,00</w:t>
            </w:r>
          </w:p>
        </w:tc>
        <w:tc>
          <w:tcPr>
            <w:tcW w:w="1842"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928 512,70</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szCs w:val="20"/>
              </w:rPr>
              <w:t>Realizacja tytułów wykonawczych (szt.)</w:t>
            </w:r>
          </w:p>
        </w:tc>
        <w:tc>
          <w:tcPr>
            <w:tcW w:w="1559"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296</w:t>
            </w:r>
          </w:p>
          <w:p w:rsidR="008C7751" w:rsidRPr="00E00B35" w:rsidRDefault="008C7751" w:rsidP="00E00B35">
            <w:pPr>
              <w:spacing w:after="0" w:line="312" w:lineRule="auto"/>
              <w:rPr>
                <w:szCs w:val="20"/>
              </w:rPr>
            </w:pPr>
          </w:p>
        </w:tc>
        <w:tc>
          <w:tcPr>
            <w:tcW w:w="1560"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267</w:t>
            </w:r>
          </w:p>
          <w:p w:rsidR="008C7751" w:rsidRPr="00E00B35" w:rsidRDefault="008C7751" w:rsidP="00E00B35">
            <w:pPr>
              <w:spacing w:after="0" w:line="312" w:lineRule="auto"/>
              <w:rPr>
                <w:szCs w:val="20"/>
              </w:rPr>
            </w:pPr>
          </w:p>
        </w:tc>
        <w:tc>
          <w:tcPr>
            <w:tcW w:w="1701" w:type="dxa"/>
            <w:vAlign w:val="center"/>
          </w:tcPr>
          <w:p w:rsidR="008C7751" w:rsidRPr="00E00B35" w:rsidRDefault="008C7751" w:rsidP="00E00B35">
            <w:pPr>
              <w:spacing w:after="0" w:line="312" w:lineRule="auto"/>
              <w:rPr>
                <w:szCs w:val="20"/>
              </w:rPr>
            </w:pPr>
            <w:r w:rsidRPr="00E00B35">
              <w:rPr>
                <w:szCs w:val="20"/>
              </w:rPr>
              <w:t>213</w:t>
            </w:r>
          </w:p>
        </w:tc>
        <w:tc>
          <w:tcPr>
            <w:tcW w:w="1842" w:type="dxa"/>
            <w:vAlign w:val="center"/>
          </w:tcPr>
          <w:p w:rsidR="008C7751" w:rsidRPr="00E00B35" w:rsidRDefault="008C7751" w:rsidP="00E00B35">
            <w:pPr>
              <w:spacing w:after="0" w:line="312" w:lineRule="auto"/>
              <w:rPr>
                <w:szCs w:val="20"/>
              </w:rPr>
            </w:pPr>
            <w:r w:rsidRPr="00E00B35">
              <w:rPr>
                <w:szCs w:val="20"/>
              </w:rPr>
              <w:t>48</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szCs w:val="20"/>
              </w:rPr>
              <w:t>Wyegzekwowane kwoty (zł)</w:t>
            </w:r>
          </w:p>
        </w:tc>
        <w:tc>
          <w:tcPr>
            <w:tcW w:w="1559"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730 544,25</w:t>
            </w:r>
          </w:p>
        </w:tc>
        <w:tc>
          <w:tcPr>
            <w:tcW w:w="1560"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292 145,75</w:t>
            </w:r>
          </w:p>
        </w:tc>
        <w:tc>
          <w:tcPr>
            <w:tcW w:w="1701" w:type="dxa"/>
            <w:vAlign w:val="center"/>
          </w:tcPr>
          <w:p w:rsidR="008C7751" w:rsidRPr="00E00B35" w:rsidRDefault="008C7751" w:rsidP="00E00B35">
            <w:pPr>
              <w:spacing w:after="0" w:line="312" w:lineRule="auto"/>
              <w:rPr>
                <w:szCs w:val="20"/>
              </w:rPr>
            </w:pPr>
            <w:r w:rsidRPr="00E00B35">
              <w:rPr>
                <w:szCs w:val="20"/>
              </w:rPr>
              <w:t>1 068 172,09</w:t>
            </w:r>
          </w:p>
        </w:tc>
        <w:tc>
          <w:tcPr>
            <w:tcW w:w="1842" w:type="dxa"/>
            <w:vAlign w:val="center"/>
          </w:tcPr>
          <w:p w:rsidR="008C7751" w:rsidRPr="00E00B35" w:rsidRDefault="008C7751" w:rsidP="00E00B35">
            <w:pPr>
              <w:spacing w:after="0" w:line="312" w:lineRule="auto"/>
              <w:rPr>
                <w:szCs w:val="20"/>
              </w:rPr>
            </w:pPr>
            <w:r w:rsidRPr="00E00B35">
              <w:rPr>
                <w:szCs w:val="20"/>
              </w:rPr>
              <w:t>1 380 113,15</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szCs w:val="20"/>
              </w:rPr>
              <w:t>czynne tytuły wykonawcze na koniec okresu sprawozdawczego (szt.)</w:t>
            </w:r>
          </w:p>
        </w:tc>
        <w:tc>
          <w:tcPr>
            <w:tcW w:w="1559"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429</w:t>
            </w:r>
          </w:p>
          <w:p w:rsidR="008C7751" w:rsidRPr="00E00B35" w:rsidRDefault="008C7751" w:rsidP="00E00B35">
            <w:pPr>
              <w:spacing w:after="0" w:line="312" w:lineRule="auto"/>
              <w:rPr>
                <w:rFonts w:eastAsia="Arial Unicode MS"/>
                <w:szCs w:val="20"/>
              </w:rPr>
            </w:pPr>
          </w:p>
        </w:tc>
        <w:tc>
          <w:tcPr>
            <w:tcW w:w="1560"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494</w:t>
            </w:r>
          </w:p>
          <w:p w:rsidR="008C7751" w:rsidRPr="00E00B35" w:rsidRDefault="008C7751" w:rsidP="00E00B35">
            <w:pPr>
              <w:spacing w:after="0" w:line="312" w:lineRule="auto"/>
              <w:rPr>
                <w:rFonts w:eastAsia="Arial Unicode MS"/>
                <w:szCs w:val="20"/>
              </w:rPr>
            </w:pP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533</w:t>
            </w:r>
          </w:p>
        </w:tc>
        <w:tc>
          <w:tcPr>
            <w:tcW w:w="1842"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518</w:t>
            </w:r>
          </w:p>
        </w:tc>
      </w:tr>
    </w:tbl>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Postępowania egzekucyjne prowadzone w zakresie zaległości przejętych w ramach zbiegów egzekucji</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1701"/>
        <w:gridCol w:w="1701"/>
        <w:gridCol w:w="1559"/>
        <w:gridCol w:w="1701"/>
      </w:tblGrid>
      <w:tr w:rsidR="008C7751" w:rsidRPr="00E00B35" w:rsidTr="008C7751">
        <w:trPr>
          <w:trHeight w:val="165"/>
        </w:trPr>
        <w:tc>
          <w:tcPr>
            <w:tcW w:w="2410" w:type="dxa"/>
            <w:vAlign w:val="center"/>
          </w:tcPr>
          <w:p w:rsidR="008C7751" w:rsidRPr="00E00B35" w:rsidRDefault="008C7751" w:rsidP="00E00B35">
            <w:pPr>
              <w:spacing w:after="0" w:line="312" w:lineRule="auto"/>
              <w:rPr>
                <w:rFonts w:eastAsia="Arial Unicode MS"/>
                <w:szCs w:val="20"/>
              </w:rPr>
            </w:pPr>
            <w:r w:rsidRPr="00E00B35">
              <w:rPr>
                <w:szCs w:val="20"/>
              </w:rPr>
              <w:t xml:space="preserve">Zadania </w:t>
            </w:r>
          </w:p>
        </w:tc>
        <w:tc>
          <w:tcPr>
            <w:tcW w:w="1701" w:type="dxa"/>
            <w:vAlign w:val="center"/>
          </w:tcPr>
          <w:p w:rsidR="008C7751" w:rsidRPr="00E00B35" w:rsidRDefault="008C7751" w:rsidP="00E00B35">
            <w:pPr>
              <w:spacing w:after="0" w:line="312" w:lineRule="auto"/>
              <w:rPr>
                <w:szCs w:val="20"/>
              </w:rPr>
            </w:pPr>
            <w:r w:rsidRPr="00E00B35">
              <w:rPr>
                <w:szCs w:val="20"/>
              </w:rPr>
              <w:t>2017 rok</w:t>
            </w:r>
          </w:p>
        </w:tc>
        <w:tc>
          <w:tcPr>
            <w:tcW w:w="1701" w:type="dxa"/>
            <w:vAlign w:val="center"/>
          </w:tcPr>
          <w:p w:rsidR="008C7751" w:rsidRPr="00E00B35" w:rsidRDefault="008C7751" w:rsidP="00E00B35">
            <w:pPr>
              <w:spacing w:after="0" w:line="312" w:lineRule="auto"/>
              <w:rPr>
                <w:szCs w:val="20"/>
              </w:rPr>
            </w:pPr>
            <w:r w:rsidRPr="00E00B35">
              <w:rPr>
                <w:szCs w:val="20"/>
              </w:rPr>
              <w:t>2018 rok</w:t>
            </w:r>
          </w:p>
        </w:tc>
        <w:tc>
          <w:tcPr>
            <w:tcW w:w="1559" w:type="dxa"/>
            <w:vAlign w:val="center"/>
          </w:tcPr>
          <w:p w:rsidR="008C7751" w:rsidRPr="00E00B35" w:rsidRDefault="008C7751" w:rsidP="00E00B35">
            <w:pPr>
              <w:spacing w:after="0" w:line="312" w:lineRule="auto"/>
              <w:rPr>
                <w:szCs w:val="20"/>
              </w:rPr>
            </w:pPr>
            <w:r w:rsidRPr="00E00B35">
              <w:rPr>
                <w:szCs w:val="20"/>
              </w:rPr>
              <w:t>2019 rok</w:t>
            </w:r>
          </w:p>
        </w:tc>
        <w:tc>
          <w:tcPr>
            <w:tcW w:w="1701" w:type="dxa"/>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c>
          <w:tcPr>
            <w:tcW w:w="2410"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 xml:space="preserve">Wpływ tytułów wykonawczych </w:t>
            </w:r>
            <w:r w:rsidRPr="00E00B35">
              <w:rPr>
                <w:szCs w:val="20"/>
              </w:rPr>
              <w:t>(szt.)</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177</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245</w:t>
            </w:r>
          </w:p>
        </w:tc>
        <w:tc>
          <w:tcPr>
            <w:tcW w:w="1559"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306</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372</w:t>
            </w:r>
          </w:p>
        </w:tc>
      </w:tr>
      <w:tr w:rsidR="008C7751" w:rsidRPr="00E00B35" w:rsidTr="008C7751">
        <w:tc>
          <w:tcPr>
            <w:tcW w:w="2410"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lastRenderedPageBreak/>
              <w:t>Wartość wpływających tytułów wykonawczych (zł)</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388.117,56</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521.997,32</w:t>
            </w:r>
          </w:p>
        </w:tc>
        <w:tc>
          <w:tcPr>
            <w:tcW w:w="1559"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1.118.321,11</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1.830.697,60</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szCs w:val="20"/>
              </w:rPr>
              <w:t>Realizacja tytułów wykonawczych (szt.)</w:t>
            </w:r>
          </w:p>
        </w:tc>
        <w:tc>
          <w:tcPr>
            <w:tcW w:w="1701" w:type="dxa"/>
            <w:vAlign w:val="center"/>
          </w:tcPr>
          <w:p w:rsidR="008C7751" w:rsidRPr="00E00B35" w:rsidRDefault="008C7751" w:rsidP="00E00B35">
            <w:pPr>
              <w:spacing w:after="0" w:line="312" w:lineRule="auto"/>
              <w:rPr>
                <w:szCs w:val="20"/>
              </w:rPr>
            </w:pPr>
            <w:r w:rsidRPr="00E00B35">
              <w:rPr>
                <w:rFonts w:eastAsia="Arial Unicode MS"/>
                <w:szCs w:val="20"/>
              </w:rPr>
              <w:t>52</w:t>
            </w:r>
          </w:p>
        </w:tc>
        <w:tc>
          <w:tcPr>
            <w:tcW w:w="1701" w:type="dxa"/>
            <w:vAlign w:val="center"/>
          </w:tcPr>
          <w:p w:rsidR="008C7751" w:rsidRPr="00E00B35" w:rsidRDefault="008C7751" w:rsidP="00E00B35">
            <w:pPr>
              <w:spacing w:after="0" w:line="312" w:lineRule="auto"/>
              <w:rPr>
                <w:szCs w:val="20"/>
              </w:rPr>
            </w:pPr>
            <w:r w:rsidRPr="00E00B35">
              <w:rPr>
                <w:rFonts w:eastAsia="Arial Unicode MS"/>
                <w:szCs w:val="20"/>
              </w:rPr>
              <w:t>120</w:t>
            </w:r>
          </w:p>
        </w:tc>
        <w:tc>
          <w:tcPr>
            <w:tcW w:w="1559" w:type="dxa"/>
            <w:vAlign w:val="center"/>
          </w:tcPr>
          <w:p w:rsidR="008C7751" w:rsidRPr="00E00B35" w:rsidRDefault="008C7751" w:rsidP="00E00B35">
            <w:pPr>
              <w:spacing w:after="0" w:line="312" w:lineRule="auto"/>
              <w:rPr>
                <w:szCs w:val="20"/>
              </w:rPr>
            </w:pPr>
            <w:r w:rsidRPr="00E00B35">
              <w:rPr>
                <w:szCs w:val="20"/>
              </w:rPr>
              <w:t>248</w:t>
            </w:r>
          </w:p>
        </w:tc>
        <w:tc>
          <w:tcPr>
            <w:tcW w:w="1701" w:type="dxa"/>
            <w:vAlign w:val="center"/>
          </w:tcPr>
          <w:p w:rsidR="008C7751" w:rsidRPr="00E00B35" w:rsidRDefault="008C7751" w:rsidP="00E00B35">
            <w:pPr>
              <w:spacing w:after="0" w:line="312" w:lineRule="auto"/>
              <w:rPr>
                <w:szCs w:val="20"/>
              </w:rPr>
            </w:pPr>
            <w:r w:rsidRPr="00E00B35">
              <w:rPr>
                <w:szCs w:val="20"/>
              </w:rPr>
              <w:t>309</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szCs w:val="20"/>
              </w:rPr>
              <w:t>Wyegzekwowane kwoty (zł)</w:t>
            </w:r>
          </w:p>
        </w:tc>
        <w:tc>
          <w:tcPr>
            <w:tcW w:w="1701" w:type="dxa"/>
            <w:vAlign w:val="center"/>
          </w:tcPr>
          <w:p w:rsidR="008C7751" w:rsidRPr="00E00B35" w:rsidRDefault="008C7751" w:rsidP="00E00B35">
            <w:pPr>
              <w:spacing w:after="0" w:line="312" w:lineRule="auto"/>
              <w:rPr>
                <w:szCs w:val="20"/>
              </w:rPr>
            </w:pPr>
            <w:r w:rsidRPr="00E00B35">
              <w:rPr>
                <w:rFonts w:eastAsia="Arial Unicode MS"/>
                <w:szCs w:val="20"/>
              </w:rPr>
              <w:t>260.528,98</w:t>
            </w:r>
          </w:p>
        </w:tc>
        <w:tc>
          <w:tcPr>
            <w:tcW w:w="1701" w:type="dxa"/>
            <w:vAlign w:val="center"/>
          </w:tcPr>
          <w:p w:rsidR="008C7751" w:rsidRPr="00E00B35" w:rsidRDefault="008C7751" w:rsidP="00E00B35">
            <w:pPr>
              <w:spacing w:after="0" w:line="312" w:lineRule="auto"/>
              <w:rPr>
                <w:szCs w:val="20"/>
              </w:rPr>
            </w:pPr>
            <w:r w:rsidRPr="00E00B35">
              <w:rPr>
                <w:rFonts w:eastAsia="Arial Unicode MS"/>
                <w:szCs w:val="20"/>
              </w:rPr>
              <w:t>192.978,96</w:t>
            </w:r>
          </w:p>
        </w:tc>
        <w:tc>
          <w:tcPr>
            <w:tcW w:w="1559" w:type="dxa"/>
            <w:vAlign w:val="center"/>
          </w:tcPr>
          <w:p w:rsidR="008C7751" w:rsidRPr="00E00B35" w:rsidRDefault="008C7751" w:rsidP="00E00B35">
            <w:pPr>
              <w:spacing w:after="0" w:line="312" w:lineRule="auto"/>
              <w:rPr>
                <w:szCs w:val="20"/>
              </w:rPr>
            </w:pPr>
            <w:r w:rsidRPr="00E00B35">
              <w:rPr>
                <w:szCs w:val="20"/>
              </w:rPr>
              <w:t>272.616,86</w:t>
            </w:r>
          </w:p>
        </w:tc>
        <w:tc>
          <w:tcPr>
            <w:tcW w:w="1701" w:type="dxa"/>
            <w:vAlign w:val="center"/>
          </w:tcPr>
          <w:p w:rsidR="008C7751" w:rsidRPr="00E00B35" w:rsidRDefault="008C7751" w:rsidP="00E00B35">
            <w:pPr>
              <w:spacing w:after="0" w:line="312" w:lineRule="auto"/>
              <w:rPr>
                <w:szCs w:val="20"/>
              </w:rPr>
            </w:pPr>
            <w:r w:rsidRPr="00E00B35">
              <w:rPr>
                <w:szCs w:val="20"/>
              </w:rPr>
              <w:t>160.053,66</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szCs w:val="20"/>
              </w:rPr>
              <w:t>Ilość czynnych tytułów wykonawczych na koniec okresu sprawozdawczego (szt.)</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128</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253</w:t>
            </w:r>
          </w:p>
        </w:tc>
        <w:tc>
          <w:tcPr>
            <w:tcW w:w="1559"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311</w:t>
            </w:r>
          </w:p>
        </w:tc>
        <w:tc>
          <w:tcPr>
            <w:tcW w:w="1701" w:type="dxa"/>
            <w:vAlign w:val="center"/>
          </w:tcPr>
          <w:p w:rsidR="008C7751" w:rsidRPr="00E00B35" w:rsidRDefault="008C7751" w:rsidP="00E00B35">
            <w:pPr>
              <w:spacing w:after="0" w:line="312" w:lineRule="auto"/>
              <w:rPr>
                <w:rFonts w:eastAsia="Arial Unicode MS"/>
                <w:szCs w:val="20"/>
              </w:rPr>
            </w:pPr>
            <w:r w:rsidRPr="00E00B35">
              <w:rPr>
                <w:rFonts w:eastAsia="Arial Unicode MS"/>
                <w:szCs w:val="20"/>
              </w:rPr>
              <w:t>375</w:t>
            </w:r>
          </w:p>
        </w:tc>
      </w:tr>
    </w:tbl>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 xml:space="preserve">Tytuły wykonawcze w poszczególnych latach w ujęciu ilościowym </w:t>
      </w:r>
      <w:r w:rsidRPr="00E00B35">
        <w:rPr>
          <w:sz w:val="20"/>
          <w:szCs w:val="20"/>
        </w:rPr>
        <w:br/>
        <w:t>i wartościowym oraz tytuły wykonawcze na  podstawie, których zastosowano środki egzekucyjne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701"/>
        <w:gridCol w:w="1701"/>
        <w:gridCol w:w="1701"/>
        <w:gridCol w:w="1701"/>
      </w:tblGrid>
      <w:tr w:rsidR="008C7751" w:rsidRPr="00E00B35" w:rsidTr="008C7751">
        <w:tc>
          <w:tcPr>
            <w:tcW w:w="2410" w:type="dxa"/>
            <w:vAlign w:val="center"/>
          </w:tcPr>
          <w:p w:rsidR="008C7751" w:rsidRPr="00E00B35" w:rsidRDefault="008C7751" w:rsidP="00E00B35">
            <w:pPr>
              <w:spacing w:after="0" w:line="312" w:lineRule="auto"/>
              <w:rPr>
                <w:rFonts w:eastAsia="Arial Unicode MS"/>
                <w:szCs w:val="20"/>
              </w:rPr>
            </w:pPr>
            <w:r w:rsidRPr="00E00B35">
              <w:rPr>
                <w:szCs w:val="20"/>
              </w:rPr>
              <w:t xml:space="preserve">Zadania </w:t>
            </w:r>
          </w:p>
        </w:tc>
        <w:tc>
          <w:tcPr>
            <w:tcW w:w="1701" w:type="dxa"/>
            <w:vAlign w:val="center"/>
          </w:tcPr>
          <w:p w:rsidR="008C7751" w:rsidRPr="00E00B35" w:rsidRDefault="008C7751" w:rsidP="00E00B35">
            <w:pPr>
              <w:spacing w:after="0" w:line="312" w:lineRule="auto"/>
              <w:rPr>
                <w:szCs w:val="20"/>
              </w:rPr>
            </w:pPr>
            <w:r w:rsidRPr="00E00B35">
              <w:rPr>
                <w:szCs w:val="20"/>
              </w:rPr>
              <w:t>2017 rok</w:t>
            </w:r>
          </w:p>
        </w:tc>
        <w:tc>
          <w:tcPr>
            <w:tcW w:w="1701" w:type="dxa"/>
            <w:vAlign w:val="center"/>
          </w:tcPr>
          <w:p w:rsidR="008C7751" w:rsidRPr="00E00B35" w:rsidRDefault="008C7751" w:rsidP="00E00B35">
            <w:pPr>
              <w:spacing w:after="0" w:line="312" w:lineRule="auto"/>
              <w:rPr>
                <w:szCs w:val="20"/>
              </w:rPr>
            </w:pPr>
            <w:r w:rsidRPr="00E00B35">
              <w:rPr>
                <w:szCs w:val="20"/>
              </w:rPr>
              <w:t>2018 rok</w:t>
            </w:r>
          </w:p>
        </w:tc>
        <w:tc>
          <w:tcPr>
            <w:tcW w:w="1701" w:type="dxa"/>
            <w:vAlign w:val="center"/>
          </w:tcPr>
          <w:p w:rsidR="008C7751" w:rsidRPr="00E00B35" w:rsidRDefault="008C7751" w:rsidP="00E00B35">
            <w:pPr>
              <w:spacing w:after="0" w:line="312" w:lineRule="auto"/>
              <w:rPr>
                <w:szCs w:val="20"/>
              </w:rPr>
            </w:pPr>
            <w:r w:rsidRPr="00E00B35">
              <w:rPr>
                <w:szCs w:val="20"/>
              </w:rPr>
              <w:t>2019 rok</w:t>
            </w:r>
          </w:p>
        </w:tc>
        <w:tc>
          <w:tcPr>
            <w:tcW w:w="1701" w:type="dxa"/>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szCs w:val="20"/>
              </w:rPr>
              <w:t>tytuły wykonawcze w roku (szt.)</w:t>
            </w:r>
          </w:p>
        </w:tc>
        <w:tc>
          <w:tcPr>
            <w:tcW w:w="1701" w:type="dxa"/>
            <w:vAlign w:val="center"/>
          </w:tcPr>
          <w:p w:rsidR="008C7751" w:rsidRPr="00E00B35" w:rsidRDefault="008C7751" w:rsidP="00E00B35">
            <w:pPr>
              <w:spacing w:after="0" w:line="312" w:lineRule="auto"/>
              <w:rPr>
                <w:szCs w:val="20"/>
              </w:rPr>
            </w:pPr>
            <w:r w:rsidRPr="00E00B35">
              <w:rPr>
                <w:szCs w:val="20"/>
              </w:rPr>
              <w:t>84300</w:t>
            </w:r>
          </w:p>
        </w:tc>
        <w:tc>
          <w:tcPr>
            <w:tcW w:w="1701" w:type="dxa"/>
            <w:vAlign w:val="center"/>
          </w:tcPr>
          <w:p w:rsidR="008C7751" w:rsidRPr="00E00B35" w:rsidRDefault="008C7751" w:rsidP="00E00B35">
            <w:pPr>
              <w:spacing w:after="0" w:line="312" w:lineRule="auto"/>
              <w:rPr>
                <w:szCs w:val="20"/>
              </w:rPr>
            </w:pPr>
            <w:r w:rsidRPr="00E00B35">
              <w:rPr>
                <w:szCs w:val="20"/>
              </w:rPr>
              <w:t>81102</w:t>
            </w:r>
          </w:p>
        </w:tc>
        <w:tc>
          <w:tcPr>
            <w:tcW w:w="1701" w:type="dxa"/>
            <w:vAlign w:val="center"/>
          </w:tcPr>
          <w:p w:rsidR="008C7751" w:rsidRPr="00E00B35" w:rsidRDefault="008C7751" w:rsidP="00E00B35">
            <w:pPr>
              <w:spacing w:after="0" w:line="312" w:lineRule="auto"/>
              <w:rPr>
                <w:szCs w:val="20"/>
              </w:rPr>
            </w:pPr>
            <w:r w:rsidRPr="00E00B35">
              <w:rPr>
                <w:szCs w:val="20"/>
              </w:rPr>
              <w:t>81360</w:t>
            </w:r>
          </w:p>
        </w:tc>
        <w:tc>
          <w:tcPr>
            <w:tcW w:w="1701" w:type="dxa"/>
            <w:vAlign w:val="center"/>
          </w:tcPr>
          <w:p w:rsidR="008C7751" w:rsidRPr="00E00B35" w:rsidRDefault="008C7751" w:rsidP="00E00B35">
            <w:pPr>
              <w:spacing w:after="0" w:line="312" w:lineRule="auto"/>
              <w:rPr>
                <w:szCs w:val="20"/>
              </w:rPr>
            </w:pPr>
            <w:r w:rsidRPr="00E00B35">
              <w:rPr>
                <w:szCs w:val="20"/>
              </w:rPr>
              <w:t>73388</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rFonts w:eastAsia="Arial Unicode MS"/>
                <w:szCs w:val="20"/>
              </w:rPr>
              <w:t xml:space="preserve">Wpływ tytułów wykonawczych </w:t>
            </w:r>
            <w:r w:rsidRPr="00E00B35">
              <w:rPr>
                <w:szCs w:val="20"/>
              </w:rPr>
              <w:t>(szt.)</w:t>
            </w:r>
          </w:p>
        </w:tc>
        <w:tc>
          <w:tcPr>
            <w:tcW w:w="1701" w:type="dxa"/>
            <w:vAlign w:val="center"/>
          </w:tcPr>
          <w:p w:rsidR="008C7751" w:rsidRPr="00E00B35" w:rsidRDefault="008C7751" w:rsidP="00E00B35">
            <w:pPr>
              <w:spacing w:after="0" w:line="312" w:lineRule="auto"/>
              <w:rPr>
                <w:szCs w:val="20"/>
              </w:rPr>
            </w:pPr>
            <w:r w:rsidRPr="00E00B35">
              <w:rPr>
                <w:szCs w:val="20"/>
              </w:rPr>
              <w:t>40660</w:t>
            </w:r>
          </w:p>
        </w:tc>
        <w:tc>
          <w:tcPr>
            <w:tcW w:w="1701" w:type="dxa"/>
            <w:vAlign w:val="center"/>
          </w:tcPr>
          <w:p w:rsidR="008C7751" w:rsidRPr="00E00B35" w:rsidRDefault="008C7751" w:rsidP="00E00B35">
            <w:pPr>
              <w:spacing w:after="0" w:line="312" w:lineRule="auto"/>
              <w:rPr>
                <w:szCs w:val="20"/>
              </w:rPr>
            </w:pPr>
            <w:r w:rsidRPr="00E00B35">
              <w:rPr>
                <w:szCs w:val="20"/>
              </w:rPr>
              <w:t>31903</w:t>
            </w:r>
          </w:p>
        </w:tc>
        <w:tc>
          <w:tcPr>
            <w:tcW w:w="1701" w:type="dxa"/>
            <w:vAlign w:val="center"/>
          </w:tcPr>
          <w:p w:rsidR="008C7751" w:rsidRPr="00E00B35" w:rsidRDefault="008C7751" w:rsidP="00E00B35">
            <w:pPr>
              <w:spacing w:after="0" w:line="312" w:lineRule="auto"/>
              <w:rPr>
                <w:szCs w:val="20"/>
              </w:rPr>
            </w:pPr>
            <w:r w:rsidRPr="00E00B35">
              <w:rPr>
                <w:szCs w:val="20"/>
              </w:rPr>
              <w:t>32853</w:t>
            </w:r>
          </w:p>
        </w:tc>
        <w:tc>
          <w:tcPr>
            <w:tcW w:w="1701" w:type="dxa"/>
            <w:vAlign w:val="center"/>
          </w:tcPr>
          <w:p w:rsidR="008C7751" w:rsidRPr="00E00B35" w:rsidRDefault="008C7751" w:rsidP="00E00B35">
            <w:pPr>
              <w:spacing w:after="0" w:line="312" w:lineRule="auto"/>
              <w:rPr>
                <w:szCs w:val="20"/>
              </w:rPr>
            </w:pPr>
            <w:r w:rsidRPr="00E00B35">
              <w:rPr>
                <w:szCs w:val="20"/>
              </w:rPr>
              <w:t>20700</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rFonts w:eastAsia="Arial Unicode MS"/>
                <w:szCs w:val="20"/>
              </w:rPr>
              <w:t>Wartość wpływających tytułów wykonawczych (zł)</w:t>
            </w:r>
          </w:p>
        </w:tc>
        <w:tc>
          <w:tcPr>
            <w:tcW w:w="1701" w:type="dxa"/>
            <w:vAlign w:val="center"/>
          </w:tcPr>
          <w:p w:rsidR="008C7751" w:rsidRPr="00E00B35" w:rsidRDefault="008C7751" w:rsidP="00E00B35">
            <w:pPr>
              <w:spacing w:after="0" w:line="312" w:lineRule="auto"/>
              <w:rPr>
                <w:szCs w:val="20"/>
              </w:rPr>
            </w:pPr>
            <w:r w:rsidRPr="00E00B35">
              <w:rPr>
                <w:szCs w:val="20"/>
              </w:rPr>
              <w:t>19 410 508,19</w:t>
            </w:r>
          </w:p>
        </w:tc>
        <w:tc>
          <w:tcPr>
            <w:tcW w:w="1701" w:type="dxa"/>
            <w:vAlign w:val="center"/>
          </w:tcPr>
          <w:p w:rsidR="008C7751" w:rsidRPr="00E00B35" w:rsidRDefault="008C7751" w:rsidP="00E00B35">
            <w:pPr>
              <w:spacing w:after="0" w:line="312" w:lineRule="auto"/>
              <w:rPr>
                <w:szCs w:val="20"/>
              </w:rPr>
            </w:pPr>
            <w:r w:rsidRPr="00E00B35">
              <w:rPr>
                <w:szCs w:val="20"/>
              </w:rPr>
              <w:t>18 456 813,82</w:t>
            </w:r>
          </w:p>
        </w:tc>
        <w:tc>
          <w:tcPr>
            <w:tcW w:w="1701" w:type="dxa"/>
            <w:vAlign w:val="center"/>
          </w:tcPr>
          <w:p w:rsidR="008C7751" w:rsidRPr="00E00B35" w:rsidRDefault="008C7751" w:rsidP="00E00B35">
            <w:pPr>
              <w:spacing w:after="0" w:line="312" w:lineRule="auto"/>
              <w:rPr>
                <w:szCs w:val="20"/>
              </w:rPr>
            </w:pPr>
            <w:r w:rsidRPr="00E00B35">
              <w:rPr>
                <w:szCs w:val="20"/>
              </w:rPr>
              <w:t>17 949 688,41</w:t>
            </w:r>
          </w:p>
        </w:tc>
        <w:tc>
          <w:tcPr>
            <w:tcW w:w="1701" w:type="dxa"/>
            <w:vAlign w:val="center"/>
          </w:tcPr>
          <w:p w:rsidR="008C7751" w:rsidRPr="00E00B35" w:rsidRDefault="008C7751" w:rsidP="00E00B35">
            <w:pPr>
              <w:spacing w:after="0" w:line="312" w:lineRule="auto"/>
              <w:rPr>
                <w:szCs w:val="20"/>
              </w:rPr>
            </w:pPr>
            <w:r w:rsidRPr="00E00B35">
              <w:rPr>
                <w:szCs w:val="20"/>
              </w:rPr>
              <w:t>13 329 829,66</w:t>
            </w:r>
          </w:p>
        </w:tc>
      </w:tr>
      <w:tr w:rsidR="008C7751" w:rsidRPr="00E00B35" w:rsidTr="008C7751">
        <w:tc>
          <w:tcPr>
            <w:tcW w:w="2410" w:type="dxa"/>
            <w:vAlign w:val="center"/>
          </w:tcPr>
          <w:p w:rsidR="008C7751" w:rsidRPr="00E00B35" w:rsidRDefault="008C7751" w:rsidP="00E00B35">
            <w:pPr>
              <w:spacing w:after="0" w:line="312" w:lineRule="auto"/>
              <w:rPr>
                <w:szCs w:val="20"/>
              </w:rPr>
            </w:pPr>
            <w:r w:rsidRPr="00E00B35">
              <w:rPr>
                <w:szCs w:val="20"/>
              </w:rPr>
              <w:t>tytuły wykonawcze, na  których zastosowano środki egzekucyjne (szt.)</w:t>
            </w:r>
          </w:p>
        </w:tc>
        <w:tc>
          <w:tcPr>
            <w:tcW w:w="1701" w:type="dxa"/>
            <w:vAlign w:val="center"/>
          </w:tcPr>
          <w:p w:rsidR="008C7751" w:rsidRPr="00E00B35" w:rsidRDefault="008C7751" w:rsidP="00E00B35">
            <w:pPr>
              <w:spacing w:after="0" w:line="312" w:lineRule="auto"/>
              <w:rPr>
                <w:szCs w:val="20"/>
              </w:rPr>
            </w:pPr>
            <w:r w:rsidRPr="00E00B35">
              <w:rPr>
                <w:szCs w:val="20"/>
              </w:rPr>
              <w:t>49830</w:t>
            </w:r>
          </w:p>
        </w:tc>
        <w:tc>
          <w:tcPr>
            <w:tcW w:w="1701" w:type="dxa"/>
            <w:vAlign w:val="center"/>
          </w:tcPr>
          <w:p w:rsidR="008C7751" w:rsidRPr="00E00B35" w:rsidRDefault="008C7751" w:rsidP="00E00B35">
            <w:pPr>
              <w:spacing w:after="0" w:line="312" w:lineRule="auto"/>
              <w:rPr>
                <w:szCs w:val="20"/>
              </w:rPr>
            </w:pPr>
            <w:r w:rsidRPr="00E00B35">
              <w:rPr>
                <w:szCs w:val="20"/>
              </w:rPr>
              <w:t>52744</w:t>
            </w:r>
          </w:p>
        </w:tc>
        <w:tc>
          <w:tcPr>
            <w:tcW w:w="1701" w:type="dxa"/>
            <w:vAlign w:val="center"/>
          </w:tcPr>
          <w:p w:rsidR="008C7751" w:rsidRPr="00E00B35" w:rsidRDefault="008C7751" w:rsidP="00E00B35">
            <w:pPr>
              <w:spacing w:after="0" w:line="312" w:lineRule="auto"/>
              <w:rPr>
                <w:szCs w:val="20"/>
              </w:rPr>
            </w:pPr>
            <w:r w:rsidRPr="00E00B35">
              <w:rPr>
                <w:szCs w:val="20"/>
              </w:rPr>
              <w:t>43777</w:t>
            </w:r>
          </w:p>
        </w:tc>
        <w:tc>
          <w:tcPr>
            <w:tcW w:w="1701" w:type="dxa"/>
            <w:vAlign w:val="center"/>
          </w:tcPr>
          <w:p w:rsidR="008C7751" w:rsidRPr="00E00B35" w:rsidRDefault="008C7751" w:rsidP="00E00B35">
            <w:pPr>
              <w:spacing w:after="0" w:line="312" w:lineRule="auto"/>
              <w:rPr>
                <w:szCs w:val="20"/>
              </w:rPr>
            </w:pPr>
            <w:r w:rsidRPr="00E00B35">
              <w:rPr>
                <w:szCs w:val="20"/>
              </w:rPr>
              <w:t xml:space="preserve">42135 </w:t>
            </w:r>
          </w:p>
        </w:tc>
      </w:tr>
    </w:tbl>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Wpływy z egzekucji administracyjnej</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1559"/>
        <w:gridCol w:w="1560"/>
        <w:gridCol w:w="1701"/>
        <w:gridCol w:w="1984"/>
      </w:tblGrid>
      <w:tr w:rsidR="008C7751" w:rsidRPr="00E00B35" w:rsidTr="008C7751">
        <w:tc>
          <w:tcPr>
            <w:tcW w:w="2410" w:type="dxa"/>
          </w:tcPr>
          <w:p w:rsidR="008C7751" w:rsidRPr="00E00B35" w:rsidRDefault="008C7751" w:rsidP="00E00B35">
            <w:pPr>
              <w:spacing w:after="0" w:line="312" w:lineRule="auto"/>
              <w:rPr>
                <w:szCs w:val="20"/>
              </w:rPr>
            </w:pPr>
            <w:r w:rsidRPr="00E00B35">
              <w:rPr>
                <w:szCs w:val="20"/>
              </w:rPr>
              <w:t>Koszty egzekucyjne</w:t>
            </w:r>
          </w:p>
        </w:tc>
        <w:tc>
          <w:tcPr>
            <w:tcW w:w="1559" w:type="dxa"/>
          </w:tcPr>
          <w:p w:rsidR="008C7751" w:rsidRPr="00E00B35" w:rsidRDefault="008C7751" w:rsidP="00E00B35">
            <w:pPr>
              <w:spacing w:after="0" w:line="312" w:lineRule="auto"/>
              <w:rPr>
                <w:szCs w:val="20"/>
              </w:rPr>
            </w:pPr>
            <w:r w:rsidRPr="00E00B35">
              <w:rPr>
                <w:szCs w:val="20"/>
              </w:rPr>
              <w:t>2017 rok</w:t>
            </w:r>
          </w:p>
        </w:tc>
        <w:tc>
          <w:tcPr>
            <w:tcW w:w="1560" w:type="dxa"/>
          </w:tcPr>
          <w:p w:rsidR="008C7751" w:rsidRPr="00E00B35" w:rsidRDefault="008C7751" w:rsidP="00E00B35">
            <w:pPr>
              <w:spacing w:after="0" w:line="312" w:lineRule="auto"/>
              <w:rPr>
                <w:szCs w:val="20"/>
              </w:rPr>
            </w:pPr>
            <w:r w:rsidRPr="00E00B35">
              <w:rPr>
                <w:szCs w:val="20"/>
              </w:rPr>
              <w:t>2018 rok</w:t>
            </w:r>
          </w:p>
        </w:tc>
        <w:tc>
          <w:tcPr>
            <w:tcW w:w="1701" w:type="dxa"/>
          </w:tcPr>
          <w:p w:rsidR="008C7751" w:rsidRPr="00E00B35" w:rsidRDefault="008C7751" w:rsidP="00E00B35">
            <w:pPr>
              <w:spacing w:after="0" w:line="312" w:lineRule="auto"/>
              <w:rPr>
                <w:szCs w:val="20"/>
              </w:rPr>
            </w:pPr>
            <w:r w:rsidRPr="00E00B35">
              <w:rPr>
                <w:szCs w:val="20"/>
              </w:rPr>
              <w:t>2019 rok</w:t>
            </w:r>
          </w:p>
        </w:tc>
        <w:tc>
          <w:tcPr>
            <w:tcW w:w="1984" w:type="dxa"/>
          </w:tcPr>
          <w:p w:rsidR="008C7751" w:rsidRPr="00E00B35" w:rsidRDefault="008C7751" w:rsidP="00E00B35">
            <w:pPr>
              <w:spacing w:after="0" w:line="312" w:lineRule="auto"/>
              <w:rPr>
                <w:szCs w:val="20"/>
              </w:rPr>
            </w:pPr>
            <w:r w:rsidRPr="00E00B35">
              <w:rPr>
                <w:szCs w:val="20"/>
              </w:rPr>
              <w:t>2020 rok</w:t>
            </w:r>
          </w:p>
        </w:tc>
      </w:tr>
      <w:tr w:rsidR="008C7751" w:rsidRPr="00E00B35" w:rsidTr="008C7751">
        <w:trPr>
          <w:trHeight w:val="313"/>
        </w:trPr>
        <w:tc>
          <w:tcPr>
            <w:tcW w:w="2410" w:type="dxa"/>
          </w:tcPr>
          <w:p w:rsidR="008C7751" w:rsidRPr="00E00B35" w:rsidRDefault="008C7751" w:rsidP="00E00B35">
            <w:pPr>
              <w:spacing w:after="0" w:line="312" w:lineRule="auto"/>
              <w:rPr>
                <w:szCs w:val="20"/>
              </w:rPr>
            </w:pPr>
            <w:r w:rsidRPr="00E00B35">
              <w:rPr>
                <w:szCs w:val="20"/>
              </w:rPr>
              <w:t>Plan (w zł)</w:t>
            </w:r>
          </w:p>
          <w:p w:rsidR="008C7751" w:rsidRPr="00E00B35" w:rsidRDefault="008C7751" w:rsidP="00E00B35">
            <w:pPr>
              <w:spacing w:after="0" w:line="312" w:lineRule="auto"/>
              <w:rPr>
                <w:szCs w:val="20"/>
              </w:rPr>
            </w:pPr>
          </w:p>
        </w:tc>
        <w:tc>
          <w:tcPr>
            <w:tcW w:w="1559" w:type="dxa"/>
            <w:vAlign w:val="center"/>
          </w:tcPr>
          <w:p w:rsidR="008C7751" w:rsidRPr="00E00B35" w:rsidRDefault="008C7751" w:rsidP="00E00B35">
            <w:pPr>
              <w:spacing w:after="0" w:line="312" w:lineRule="auto"/>
              <w:rPr>
                <w:szCs w:val="20"/>
              </w:rPr>
            </w:pPr>
            <w:r w:rsidRPr="00E00B35">
              <w:rPr>
                <w:szCs w:val="20"/>
              </w:rPr>
              <w:t>450 000,00</w:t>
            </w:r>
          </w:p>
        </w:tc>
        <w:tc>
          <w:tcPr>
            <w:tcW w:w="1560" w:type="dxa"/>
            <w:vAlign w:val="center"/>
          </w:tcPr>
          <w:p w:rsidR="008C7751" w:rsidRPr="00E00B35" w:rsidRDefault="008C7751" w:rsidP="00E00B35">
            <w:pPr>
              <w:spacing w:after="0" w:line="312" w:lineRule="auto"/>
              <w:rPr>
                <w:szCs w:val="20"/>
              </w:rPr>
            </w:pPr>
            <w:r w:rsidRPr="00E00B35">
              <w:rPr>
                <w:szCs w:val="20"/>
              </w:rPr>
              <w:t>450 000,00</w:t>
            </w:r>
          </w:p>
        </w:tc>
        <w:tc>
          <w:tcPr>
            <w:tcW w:w="1701" w:type="dxa"/>
            <w:vAlign w:val="center"/>
          </w:tcPr>
          <w:p w:rsidR="008C7751" w:rsidRPr="00E00B35" w:rsidRDefault="008C7751" w:rsidP="00E00B35">
            <w:pPr>
              <w:spacing w:after="0" w:line="312" w:lineRule="auto"/>
              <w:rPr>
                <w:szCs w:val="20"/>
              </w:rPr>
            </w:pPr>
            <w:r w:rsidRPr="00E00B35">
              <w:rPr>
                <w:szCs w:val="20"/>
              </w:rPr>
              <w:t>450 000,00</w:t>
            </w:r>
          </w:p>
        </w:tc>
        <w:tc>
          <w:tcPr>
            <w:tcW w:w="1984" w:type="dxa"/>
            <w:vAlign w:val="center"/>
          </w:tcPr>
          <w:p w:rsidR="008C7751" w:rsidRPr="00E00B35" w:rsidRDefault="008C7751" w:rsidP="00E00B35">
            <w:pPr>
              <w:spacing w:after="0" w:line="312" w:lineRule="auto"/>
              <w:rPr>
                <w:szCs w:val="20"/>
              </w:rPr>
            </w:pPr>
            <w:r w:rsidRPr="00E00B35">
              <w:rPr>
                <w:szCs w:val="20"/>
              </w:rPr>
              <w:t>450 000,00</w:t>
            </w:r>
          </w:p>
        </w:tc>
      </w:tr>
      <w:tr w:rsidR="008C7751" w:rsidRPr="00E00B35" w:rsidTr="008C7751">
        <w:trPr>
          <w:trHeight w:val="431"/>
        </w:trPr>
        <w:tc>
          <w:tcPr>
            <w:tcW w:w="2410" w:type="dxa"/>
          </w:tcPr>
          <w:p w:rsidR="008C7751" w:rsidRPr="00E00B35" w:rsidRDefault="008C7751" w:rsidP="00E00B35">
            <w:pPr>
              <w:spacing w:after="0" w:line="312" w:lineRule="auto"/>
              <w:rPr>
                <w:szCs w:val="20"/>
              </w:rPr>
            </w:pPr>
            <w:r w:rsidRPr="00E00B35">
              <w:rPr>
                <w:szCs w:val="20"/>
              </w:rPr>
              <w:t>Wykonanie (w zł)</w:t>
            </w:r>
          </w:p>
          <w:p w:rsidR="008C7751" w:rsidRPr="00E00B35" w:rsidRDefault="008C7751" w:rsidP="00E00B35">
            <w:pPr>
              <w:spacing w:after="0" w:line="312" w:lineRule="auto"/>
              <w:rPr>
                <w:szCs w:val="20"/>
              </w:rPr>
            </w:pPr>
          </w:p>
        </w:tc>
        <w:tc>
          <w:tcPr>
            <w:tcW w:w="1559" w:type="dxa"/>
            <w:vAlign w:val="center"/>
          </w:tcPr>
          <w:p w:rsidR="008C7751" w:rsidRPr="00E00B35" w:rsidRDefault="008C7751" w:rsidP="00E00B35">
            <w:pPr>
              <w:spacing w:after="0" w:line="312" w:lineRule="auto"/>
              <w:rPr>
                <w:szCs w:val="20"/>
              </w:rPr>
            </w:pPr>
            <w:r w:rsidRPr="00E00B35">
              <w:rPr>
                <w:szCs w:val="20"/>
              </w:rPr>
              <w:t>755 623,21</w:t>
            </w:r>
          </w:p>
        </w:tc>
        <w:tc>
          <w:tcPr>
            <w:tcW w:w="1560" w:type="dxa"/>
            <w:vAlign w:val="center"/>
          </w:tcPr>
          <w:p w:rsidR="008C7751" w:rsidRPr="00E00B35" w:rsidRDefault="008C7751" w:rsidP="00E00B35">
            <w:pPr>
              <w:spacing w:after="0" w:line="312" w:lineRule="auto"/>
              <w:rPr>
                <w:szCs w:val="20"/>
              </w:rPr>
            </w:pPr>
            <w:r w:rsidRPr="00E00B35">
              <w:rPr>
                <w:szCs w:val="20"/>
              </w:rPr>
              <w:t>697 653,99</w:t>
            </w:r>
          </w:p>
        </w:tc>
        <w:tc>
          <w:tcPr>
            <w:tcW w:w="1701" w:type="dxa"/>
            <w:vAlign w:val="center"/>
          </w:tcPr>
          <w:p w:rsidR="008C7751" w:rsidRPr="00E00B35" w:rsidRDefault="008C7751" w:rsidP="00E00B35">
            <w:pPr>
              <w:spacing w:after="0" w:line="312" w:lineRule="auto"/>
              <w:rPr>
                <w:szCs w:val="20"/>
              </w:rPr>
            </w:pPr>
            <w:r w:rsidRPr="00E00B35">
              <w:rPr>
                <w:szCs w:val="20"/>
              </w:rPr>
              <w:t>663 572,18</w:t>
            </w:r>
          </w:p>
        </w:tc>
        <w:tc>
          <w:tcPr>
            <w:tcW w:w="1984" w:type="dxa"/>
            <w:vAlign w:val="center"/>
          </w:tcPr>
          <w:p w:rsidR="008C7751" w:rsidRPr="00E00B35" w:rsidRDefault="008C7751" w:rsidP="00E00B35">
            <w:pPr>
              <w:spacing w:after="0" w:line="312" w:lineRule="auto"/>
              <w:rPr>
                <w:szCs w:val="20"/>
              </w:rPr>
            </w:pPr>
            <w:r w:rsidRPr="00E00B35">
              <w:rPr>
                <w:szCs w:val="20"/>
              </w:rPr>
              <w:t>609 101,07</w:t>
            </w:r>
          </w:p>
        </w:tc>
      </w:tr>
      <w:tr w:rsidR="008C7751" w:rsidRPr="00E00B35" w:rsidTr="008C7751">
        <w:trPr>
          <w:trHeight w:val="468"/>
        </w:trPr>
        <w:tc>
          <w:tcPr>
            <w:tcW w:w="2410" w:type="dxa"/>
            <w:vAlign w:val="center"/>
          </w:tcPr>
          <w:p w:rsidR="008C7751" w:rsidRPr="00E00B35" w:rsidRDefault="008C7751" w:rsidP="00E00B35">
            <w:pPr>
              <w:spacing w:after="0" w:line="312" w:lineRule="auto"/>
              <w:rPr>
                <w:szCs w:val="20"/>
              </w:rPr>
            </w:pPr>
            <w:r w:rsidRPr="00E00B35">
              <w:rPr>
                <w:szCs w:val="20"/>
              </w:rPr>
              <w:t>% wykonania planu</w:t>
            </w:r>
          </w:p>
        </w:tc>
        <w:tc>
          <w:tcPr>
            <w:tcW w:w="1559" w:type="dxa"/>
            <w:vAlign w:val="center"/>
          </w:tcPr>
          <w:p w:rsidR="008C7751" w:rsidRPr="00E00B35" w:rsidRDefault="008C7751" w:rsidP="00E00B35">
            <w:pPr>
              <w:spacing w:after="0" w:line="312" w:lineRule="auto"/>
              <w:rPr>
                <w:szCs w:val="20"/>
              </w:rPr>
            </w:pPr>
            <w:r w:rsidRPr="00E00B35">
              <w:rPr>
                <w:szCs w:val="20"/>
              </w:rPr>
              <w:t>168</w:t>
            </w:r>
          </w:p>
        </w:tc>
        <w:tc>
          <w:tcPr>
            <w:tcW w:w="1560" w:type="dxa"/>
            <w:vAlign w:val="center"/>
          </w:tcPr>
          <w:p w:rsidR="008C7751" w:rsidRPr="00E00B35" w:rsidRDefault="008C7751" w:rsidP="00E00B35">
            <w:pPr>
              <w:spacing w:after="0" w:line="312" w:lineRule="auto"/>
              <w:rPr>
                <w:szCs w:val="20"/>
              </w:rPr>
            </w:pPr>
            <w:r w:rsidRPr="00E00B35">
              <w:rPr>
                <w:szCs w:val="20"/>
              </w:rPr>
              <w:t>155</w:t>
            </w:r>
          </w:p>
        </w:tc>
        <w:tc>
          <w:tcPr>
            <w:tcW w:w="1701" w:type="dxa"/>
            <w:vAlign w:val="center"/>
          </w:tcPr>
          <w:p w:rsidR="008C7751" w:rsidRPr="00E00B35" w:rsidRDefault="008C7751" w:rsidP="00E00B35">
            <w:pPr>
              <w:spacing w:after="0" w:line="312" w:lineRule="auto"/>
              <w:rPr>
                <w:szCs w:val="20"/>
              </w:rPr>
            </w:pPr>
            <w:r w:rsidRPr="00E00B35">
              <w:rPr>
                <w:szCs w:val="20"/>
              </w:rPr>
              <w:t>147</w:t>
            </w:r>
          </w:p>
        </w:tc>
        <w:tc>
          <w:tcPr>
            <w:tcW w:w="1984" w:type="dxa"/>
            <w:vAlign w:val="center"/>
          </w:tcPr>
          <w:p w:rsidR="008C7751" w:rsidRPr="00E00B35" w:rsidRDefault="008C7751" w:rsidP="00E00B35">
            <w:pPr>
              <w:spacing w:after="0" w:line="312" w:lineRule="auto"/>
              <w:rPr>
                <w:szCs w:val="20"/>
              </w:rPr>
            </w:pPr>
            <w:r w:rsidRPr="00E00B35">
              <w:rPr>
                <w:szCs w:val="20"/>
              </w:rPr>
              <w:t>135</w:t>
            </w: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 xml:space="preserve">W 2020 r. wartość wpływających tytułów wykonawczych obejmujących zaległości </w:t>
      </w:r>
      <w:r w:rsidRPr="00E00B35">
        <w:rPr>
          <w:szCs w:val="20"/>
        </w:rPr>
        <w:br/>
        <w:t>w podatku od nieruchomości oraz zaległości z tytułu opłaty za gospodarowanie odpadami komunalnymi stanowiła ponad 50 % kwoty całego wpływu.</w:t>
      </w:r>
    </w:p>
    <w:p w:rsidR="008C7751" w:rsidRPr="00E00B35" w:rsidRDefault="008C7751" w:rsidP="00E00B35">
      <w:pPr>
        <w:spacing w:after="0" w:line="312" w:lineRule="auto"/>
        <w:rPr>
          <w:szCs w:val="20"/>
        </w:rPr>
      </w:pPr>
      <w:r w:rsidRPr="00E00B35">
        <w:rPr>
          <w:szCs w:val="20"/>
        </w:rPr>
        <w:lastRenderedPageBreak/>
        <w:t>Kwota kosztów egzekucyjnych wyegzekwowanych na podstawie tytułów obejmujących zaległości w podatku od nieruchomości oraz zaległości z tytułu opłaty za gospodarowanie odpadami komunalnymi stanowi prawie 60 % wyegzekwowanych kosztów.</w:t>
      </w:r>
    </w:p>
    <w:p w:rsidR="008C7751" w:rsidRPr="00E00B35" w:rsidRDefault="008C7751" w:rsidP="00E00B35">
      <w:pPr>
        <w:spacing w:after="0" w:line="312" w:lineRule="auto"/>
        <w:rPr>
          <w:szCs w:val="20"/>
        </w:rPr>
      </w:pPr>
      <w:r w:rsidRPr="00E00B35">
        <w:rPr>
          <w:szCs w:val="20"/>
        </w:rPr>
        <w:t>Do wykonanie planu w 135 % w 2020 roku przyczynił się również wpływ tytułów wykonawczych obejmujących zaległości cywilnoprawne z tytułu przekształcenia prawa użytkowania wieczystego w prawo własności  nieruchomości, na kwotę prawie 930.000 zł. Kwota ta została w prowadzonym postępowaniu wyegzekwowana, a koszty egzekucyjne naliczone i wyegzekwowane wyniosły 76.603,98 zł.</w:t>
      </w:r>
    </w:p>
    <w:p w:rsidR="008C7751" w:rsidRPr="00E00B35" w:rsidRDefault="008C7751" w:rsidP="00E00B35">
      <w:pPr>
        <w:spacing w:after="0" w:line="312" w:lineRule="auto"/>
        <w:rPr>
          <w:szCs w:val="20"/>
        </w:rPr>
      </w:pPr>
      <w:r w:rsidRPr="00E00B35">
        <w:rPr>
          <w:szCs w:val="20"/>
        </w:rPr>
        <w:t xml:space="preserve">Nie bez znaczenia, w aspekcie wykonania planu, jest również bieżące usprawnianie programu TAXI + w wymagane prawem zmiany, co skutkuje optymalizacją pracy i czasu pracy. Najlepszym przykładem jest tutaj wprowadzeniem innowacji w Taxi w postaci  integracji programu TAXI+ z Ognivo oraz integracji programu TAXI+ z epuapem, bez potrzeby wchodzenia i korzystania z innych dedykowanych tym programom systemów.  Pozwoliło to na szybsze pozyskiwanie informacji o majątku dłużnika Gminy Wrocław co przekłada się na szybkie dokonywanie zajęć wierzytelności z rachunków bankowych dłużników oraz elektroniczną korespondencję w tym zakresie. Dostępność i szybkość </w:t>
      </w:r>
      <w:r w:rsidRPr="00E00B35">
        <w:rPr>
          <w:szCs w:val="20"/>
        </w:rPr>
        <w:br/>
        <w:t>w udzielaniu przez banki odpowiedzi na zapytania o konta dłużników skutkuje tym, że środek w postaci zajęcia wierzytelności z rachunku bankowego stał się środkiem najczęściej stosowanym  w prowadzonych postępowaniach egzekucyjnych.</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t xml:space="preserve">Dział Spadków i Windykacji </w:t>
      </w:r>
    </w:p>
    <w:p w:rsidR="008C7751" w:rsidRPr="00E00B35" w:rsidRDefault="008C7751" w:rsidP="00E00B35">
      <w:pPr>
        <w:tabs>
          <w:tab w:val="left" w:pos="14175"/>
        </w:tabs>
        <w:spacing w:after="0" w:line="312" w:lineRule="auto"/>
        <w:ind w:right="-142"/>
        <w:rPr>
          <w:szCs w:val="20"/>
        </w:rPr>
      </w:pPr>
      <w:r w:rsidRPr="00E00B35">
        <w:rPr>
          <w:szCs w:val="20"/>
        </w:rPr>
        <w:t>(od 1 czerwca 2019 r. do 30 listopada 2020 r. Zespół Spadków i Przejmowania Mienia)</w:t>
      </w:r>
    </w:p>
    <w:p w:rsidR="008C7751" w:rsidRPr="00E00B35" w:rsidRDefault="008C7751" w:rsidP="00E00B35">
      <w:pPr>
        <w:tabs>
          <w:tab w:val="left" w:pos="14175"/>
        </w:tabs>
        <w:spacing w:after="0" w:line="312" w:lineRule="auto"/>
        <w:ind w:right="-142"/>
        <w:rPr>
          <w:szCs w:val="20"/>
        </w:rPr>
      </w:pPr>
      <w:r w:rsidRPr="00E00B35">
        <w:rPr>
          <w:szCs w:val="20"/>
        </w:rPr>
        <w:t>Zadania w zakresie poszukiwania i przejmowania masy spadkowej nabytej przez Gminę Wrocław i Skarb Państwa - Prezydenta Wrocławia, weryfikowania zawiadomień od banków i spółdzielczych kas oszczędnościowo-kredytowych w przedmiocie rachunków bankowych, których posiadacze zmarli, a także ustalania spadkobierców zmarłych podatników oraz dłużników Gminy Wrocław.</w:t>
      </w:r>
    </w:p>
    <w:p w:rsidR="00896F97" w:rsidRPr="00E00B35" w:rsidRDefault="00896F97" w:rsidP="00E00B35">
      <w:pPr>
        <w:pStyle w:val="Nagwek4"/>
        <w:spacing w:before="0" w:after="0" w:line="312" w:lineRule="auto"/>
        <w:rPr>
          <w:sz w:val="20"/>
          <w:szCs w:val="20"/>
        </w:rPr>
      </w:pPr>
    </w:p>
    <w:p w:rsidR="008C7751" w:rsidRPr="00E00B35" w:rsidRDefault="008C7751" w:rsidP="00E00B35">
      <w:pPr>
        <w:pStyle w:val="Nagwek4"/>
        <w:spacing w:before="0" w:after="0" w:line="312" w:lineRule="auto"/>
        <w:rPr>
          <w:sz w:val="20"/>
          <w:szCs w:val="20"/>
        </w:rPr>
      </w:pPr>
      <w:r w:rsidRPr="00E00B35">
        <w:rPr>
          <w:sz w:val="20"/>
          <w:szCs w:val="20"/>
        </w:rPr>
        <w:t>Przejmowanie masy spadkowej</w:t>
      </w:r>
    </w:p>
    <w:tbl>
      <w:tblPr>
        <w:tblW w:w="8896" w:type="dxa"/>
        <w:jc w:val="center"/>
        <w:tblInd w:w="-2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49"/>
        <w:gridCol w:w="2747"/>
      </w:tblGrid>
      <w:tr w:rsidR="008C7751" w:rsidRPr="00E00B35" w:rsidTr="008C7751">
        <w:trPr>
          <w:cantSplit/>
          <w:trHeight w:val="72"/>
          <w:jc w:val="center"/>
        </w:trPr>
        <w:tc>
          <w:tcPr>
            <w:tcW w:w="6149" w:type="dxa"/>
            <w:vAlign w:val="center"/>
          </w:tcPr>
          <w:p w:rsidR="008C7751" w:rsidRPr="00E00B35" w:rsidRDefault="008C7751" w:rsidP="00E00B35">
            <w:pPr>
              <w:spacing w:after="0" w:line="312" w:lineRule="auto"/>
              <w:rPr>
                <w:szCs w:val="20"/>
              </w:rPr>
            </w:pPr>
            <w:r w:rsidRPr="00E00B35">
              <w:rPr>
                <w:szCs w:val="20"/>
              </w:rPr>
              <w:t>Masa spadkowa</w:t>
            </w:r>
          </w:p>
        </w:tc>
        <w:tc>
          <w:tcPr>
            <w:tcW w:w="2747" w:type="dxa"/>
            <w:shd w:val="clear" w:color="auto" w:fill="FFFFFF"/>
            <w:vAlign w:val="center"/>
          </w:tcPr>
          <w:p w:rsidR="008C7751" w:rsidRPr="00E00B35" w:rsidRDefault="008C7751" w:rsidP="00E00B35">
            <w:pPr>
              <w:spacing w:after="0" w:line="312" w:lineRule="auto"/>
              <w:rPr>
                <w:i/>
                <w:szCs w:val="20"/>
              </w:rPr>
            </w:pPr>
            <w:r w:rsidRPr="00E00B35">
              <w:rPr>
                <w:szCs w:val="20"/>
              </w:rPr>
              <w:t>2020 rok</w:t>
            </w:r>
          </w:p>
        </w:tc>
      </w:tr>
      <w:tr w:rsidR="008C7751" w:rsidRPr="00E00B35" w:rsidTr="008C7751">
        <w:trPr>
          <w:cantSplit/>
          <w:trHeight w:val="162"/>
          <w:jc w:val="center"/>
        </w:trPr>
        <w:tc>
          <w:tcPr>
            <w:tcW w:w="6149" w:type="dxa"/>
            <w:vAlign w:val="center"/>
          </w:tcPr>
          <w:p w:rsidR="008C7751" w:rsidRPr="00E00B35" w:rsidRDefault="008C7751" w:rsidP="00E00B35">
            <w:pPr>
              <w:spacing w:after="0" w:line="312" w:lineRule="auto"/>
              <w:rPr>
                <w:szCs w:val="20"/>
              </w:rPr>
            </w:pPr>
            <w:r w:rsidRPr="00E00B35">
              <w:rPr>
                <w:szCs w:val="20"/>
              </w:rPr>
              <w:t xml:space="preserve">Środki pieniężne pozyskane w ramach przejmowania masy spadkowej nabytej przez Gminę Wrocław </w:t>
            </w:r>
            <w:r w:rsidRPr="00E00B35">
              <w:rPr>
                <w:rFonts w:cs="Arial"/>
                <w:szCs w:val="20"/>
              </w:rPr>
              <w:t>(w zł)</w:t>
            </w:r>
          </w:p>
        </w:tc>
        <w:tc>
          <w:tcPr>
            <w:tcW w:w="2747" w:type="dxa"/>
            <w:shd w:val="clear" w:color="auto" w:fill="FFFFFF"/>
            <w:vAlign w:val="center"/>
          </w:tcPr>
          <w:p w:rsidR="008C7751" w:rsidRPr="00E00B35" w:rsidRDefault="008C7751" w:rsidP="00E00B35">
            <w:pPr>
              <w:spacing w:after="0" w:line="312" w:lineRule="auto"/>
              <w:rPr>
                <w:szCs w:val="20"/>
              </w:rPr>
            </w:pPr>
            <w:r w:rsidRPr="00E00B35">
              <w:rPr>
                <w:rFonts w:cs="Arial"/>
                <w:color w:val="000000"/>
                <w:szCs w:val="20"/>
              </w:rPr>
              <w:t xml:space="preserve">946 894,47 </w:t>
            </w:r>
          </w:p>
        </w:tc>
      </w:tr>
      <w:tr w:rsidR="008C7751" w:rsidRPr="00E00B35" w:rsidTr="008C7751">
        <w:trPr>
          <w:cantSplit/>
          <w:trHeight w:val="247"/>
          <w:jc w:val="center"/>
        </w:trPr>
        <w:tc>
          <w:tcPr>
            <w:tcW w:w="6149" w:type="dxa"/>
            <w:vAlign w:val="center"/>
          </w:tcPr>
          <w:p w:rsidR="008C7751" w:rsidRPr="00E00B35" w:rsidRDefault="008C7751" w:rsidP="00E00B35">
            <w:pPr>
              <w:spacing w:after="0" w:line="312" w:lineRule="auto"/>
              <w:rPr>
                <w:szCs w:val="20"/>
              </w:rPr>
            </w:pPr>
            <w:r w:rsidRPr="00E00B35">
              <w:rPr>
                <w:szCs w:val="20"/>
              </w:rPr>
              <w:t>Wartość nieruchomości wchodzących w skład masy spadkowej nabytej przez Gminę Wrocław, przyjętych na stan Gminy (wartość nieruchomości została określona na dzień śmierci spadkodawców)</w:t>
            </w:r>
            <w:r w:rsidRPr="00E00B35">
              <w:rPr>
                <w:rFonts w:cs="Arial"/>
                <w:szCs w:val="20"/>
              </w:rPr>
              <w:t xml:space="preserve"> (w zł)</w:t>
            </w:r>
          </w:p>
        </w:tc>
        <w:tc>
          <w:tcPr>
            <w:tcW w:w="2747" w:type="dxa"/>
            <w:shd w:val="clear" w:color="auto" w:fill="FFFFFF"/>
            <w:vAlign w:val="center"/>
          </w:tcPr>
          <w:p w:rsidR="008C7751" w:rsidRPr="00E00B35" w:rsidRDefault="008C7751" w:rsidP="00E00B35">
            <w:pPr>
              <w:spacing w:after="0" w:line="312" w:lineRule="auto"/>
              <w:rPr>
                <w:szCs w:val="20"/>
              </w:rPr>
            </w:pPr>
            <w:r w:rsidRPr="00E00B35">
              <w:rPr>
                <w:szCs w:val="20"/>
              </w:rPr>
              <w:t xml:space="preserve">1 311 700,00 </w:t>
            </w:r>
          </w:p>
        </w:tc>
      </w:tr>
      <w:tr w:rsidR="008C7751" w:rsidRPr="00E00B35" w:rsidTr="008C7751">
        <w:trPr>
          <w:cantSplit/>
          <w:trHeight w:val="247"/>
          <w:jc w:val="center"/>
        </w:trPr>
        <w:tc>
          <w:tcPr>
            <w:tcW w:w="6149" w:type="dxa"/>
            <w:vAlign w:val="center"/>
          </w:tcPr>
          <w:p w:rsidR="008C7751" w:rsidRPr="00E00B35" w:rsidRDefault="008C7751" w:rsidP="00E00B35">
            <w:pPr>
              <w:spacing w:after="0" w:line="312" w:lineRule="auto"/>
              <w:rPr>
                <w:szCs w:val="20"/>
              </w:rPr>
            </w:pPr>
            <w:r w:rsidRPr="00E00B35">
              <w:rPr>
                <w:szCs w:val="20"/>
              </w:rPr>
              <w:t xml:space="preserve">Łącznie wartość przejętej masy spadkowej </w:t>
            </w:r>
            <w:r w:rsidRPr="00E00B35">
              <w:rPr>
                <w:rFonts w:cs="Arial"/>
                <w:szCs w:val="20"/>
              </w:rPr>
              <w:t>(w zł)</w:t>
            </w:r>
          </w:p>
        </w:tc>
        <w:tc>
          <w:tcPr>
            <w:tcW w:w="2747" w:type="dxa"/>
            <w:shd w:val="clear" w:color="auto" w:fill="FFFFFF"/>
            <w:vAlign w:val="center"/>
          </w:tcPr>
          <w:p w:rsidR="008C7751" w:rsidRPr="00E00B35" w:rsidRDefault="008C7751" w:rsidP="00E00B35">
            <w:pPr>
              <w:spacing w:after="0" w:line="312" w:lineRule="auto"/>
              <w:rPr>
                <w:szCs w:val="20"/>
              </w:rPr>
            </w:pPr>
            <w:r w:rsidRPr="00E00B35">
              <w:rPr>
                <w:szCs w:val="20"/>
              </w:rPr>
              <w:t xml:space="preserve">2 258 594,47 </w:t>
            </w:r>
          </w:p>
        </w:tc>
      </w:tr>
    </w:tbl>
    <w:p w:rsidR="008C7751" w:rsidRPr="00E00B35" w:rsidRDefault="008C7751" w:rsidP="00E00B35">
      <w:pPr>
        <w:spacing w:after="0" w:line="312" w:lineRule="auto"/>
        <w:rPr>
          <w:szCs w:val="20"/>
        </w:rPr>
      </w:pPr>
    </w:p>
    <w:p w:rsidR="008C7751" w:rsidRPr="00E00B35" w:rsidRDefault="008C7751" w:rsidP="00E00B35">
      <w:pPr>
        <w:tabs>
          <w:tab w:val="left" w:pos="14175"/>
        </w:tabs>
        <w:spacing w:after="0" w:line="312" w:lineRule="auto"/>
        <w:ind w:right="-142"/>
        <w:rPr>
          <w:szCs w:val="20"/>
        </w:rPr>
      </w:pPr>
      <w:r w:rsidRPr="00E00B35">
        <w:rPr>
          <w:szCs w:val="20"/>
        </w:rPr>
        <w:t>W opisywanym okresie:</w:t>
      </w:r>
    </w:p>
    <w:p w:rsidR="008C7751" w:rsidRPr="00E00B35" w:rsidRDefault="008C7751" w:rsidP="00E00B35">
      <w:pPr>
        <w:numPr>
          <w:ilvl w:val="0"/>
          <w:numId w:val="131"/>
        </w:numPr>
        <w:spacing w:after="0" w:line="312" w:lineRule="auto"/>
        <w:ind w:left="426" w:hanging="426"/>
        <w:rPr>
          <w:bCs/>
          <w:szCs w:val="20"/>
        </w:rPr>
      </w:pPr>
      <w:r w:rsidRPr="00E00B35">
        <w:rPr>
          <w:bCs/>
          <w:szCs w:val="20"/>
        </w:rPr>
        <w:t>zakończonych zostało 19 postępowań w przedmiocie spisu inwentarza,</w:t>
      </w:r>
    </w:p>
    <w:p w:rsidR="008C7751" w:rsidRPr="00E00B35" w:rsidRDefault="008C7751" w:rsidP="00E00B35">
      <w:pPr>
        <w:numPr>
          <w:ilvl w:val="0"/>
          <w:numId w:val="131"/>
        </w:numPr>
        <w:spacing w:after="0" w:line="312" w:lineRule="auto"/>
        <w:ind w:left="426" w:hanging="426"/>
        <w:rPr>
          <w:bCs/>
          <w:szCs w:val="20"/>
        </w:rPr>
      </w:pPr>
      <w:r w:rsidRPr="00E00B35">
        <w:rPr>
          <w:bCs/>
          <w:szCs w:val="20"/>
        </w:rPr>
        <w:t>do sprzedaży skierowano 6 nieruchomości pochodzących z dziedziczenia,</w:t>
      </w:r>
    </w:p>
    <w:p w:rsidR="008C7751" w:rsidRPr="00E00B35" w:rsidRDefault="008C7751" w:rsidP="00E00B35">
      <w:pPr>
        <w:numPr>
          <w:ilvl w:val="0"/>
          <w:numId w:val="131"/>
        </w:numPr>
        <w:spacing w:after="0" w:line="312" w:lineRule="auto"/>
        <w:ind w:left="426" w:hanging="426"/>
        <w:rPr>
          <w:bCs/>
          <w:szCs w:val="20"/>
        </w:rPr>
      </w:pPr>
      <w:r w:rsidRPr="00E00B35">
        <w:rPr>
          <w:bCs/>
          <w:szCs w:val="20"/>
        </w:rPr>
        <w:t>w skład ujawnionej masy spadkowej wchodziły również ruchomości, w tym m.in. samochód osobowy, wyroby z metali szlachetnych i przedmioty kolekcjonerskie,</w:t>
      </w:r>
    </w:p>
    <w:p w:rsidR="008C7751" w:rsidRPr="00E00B35" w:rsidRDefault="008C7751" w:rsidP="00E00B35">
      <w:pPr>
        <w:numPr>
          <w:ilvl w:val="0"/>
          <w:numId w:val="131"/>
        </w:numPr>
        <w:spacing w:after="0" w:line="312" w:lineRule="auto"/>
        <w:ind w:left="426" w:hanging="426"/>
        <w:rPr>
          <w:bCs/>
          <w:szCs w:val="20"/>
        </w:rPr>
      </w:pPr>
      <w:r w:rsidRPr="00E00B35">
        <w:rPr>
          <w:bCs/>
          <w:szCs w:val="20"/>
        </w:rPr>
        <w:lastRenderedPageBreak/>
        <w:t>weryfikowano zawiadomienia od banków i spółdzielczych kas oszczędnościowo – kredytowych,</w:t>
      </w:r>
    </w:p>
    <w:p w:rsidR="008C7751" w:rsidRPr="00E00B35" w:rsidRDefault="008C7751" w:rsidP="00E00B35">
      <w:pPr>
        <w:numPr>
          <w:ilvl w:val="0"/>
          <w:numId w:val="131"/>
        </w:numPr>
        <w:spacing w:after="0" w:line="312" w:lineRule="auto"/>
        <w:ind w:left="426" w:hanging="426"/>
        <w:rPr>
          <w:bCs/>
          <w:szCs w:val="20"/>
        </w:rPr>
      </w:pPr>
      <w:r w:rsidRPr="00E00B35">
        <w:rPr>
          <w:bCs/>
          <w:szCs w:val="20"/>
        </w:rPr>
        <w:t>dokonano analizy zawiadomień dot. 1856 rachunków bankowych, z czego przy 1589 rachunkach stwierdzono brak interesu Gminy lub Skarbu Państwa we wszczynaniu postępowania spadkowego, z uwagi na ujawnienie spadkobierców. Wszczęto 267 postępowań wyjaśniających, w efekcie których w 67 przypadkach zwrócono się do radców prawnych o wystąpienie z wnioskiem o stwierdzenie nabycia spadku przez Gminę Wrocław lub Skarb Państwa – Prezydenta Wrocławia. Na podstawie spraw skierowanych do radców prawnych, wysokość masy spadkowej stanowiąca środki pieniężne, potencjalnie przypadająca Gminie Wrocław, wynosi: 891 414 zł, 1418,70 GBP, 2 142,60 euro.</w:t>
      </w:r>
    </w:p>
    <w:p w:rsidR="008C7751" w:rsidRPr="00E00B35" w:rsidRDefault="008C7751" w:rsidP="00E00B35">
      <w:pPr>
        <w:numPr>
          <w:ilvl w:val="0"/>
          <w:numId w:val="131"/>
        </w:numPr>
        <w:spacing w:after="0" w:line="312" w:lineRule="auto"/>
        <w:ind w:left="426" w:hanging="426"/>
        <w:rPr>
          <w:bCs/>
          <w:szCs w:val="20"/>
        </w:rPr>
      </w:pPr>
      <w:r w:rsidRPr="00E00B35">
        <w:rPr>
          <w:bCs/>
          <w:szCs w:val="20"/>
        </w:rPr>
        <w:t>ustalano spadkobierców dłużników Gminy Wrocław i Skarbu Państwa oraz stan prawny nieruchomości:</w:t>
      </w:r>
    </w:p>
    <w:p w:rsidR="008C7751" w:rsidRPr="00E00B35" w:rsidRDefault="008C7751" w:rsidP="00E00B35">
      <w:pPr>
        <w:pStyle w:val="Akapitzlist"/>
        <w:numPr>
          <w:ilvl w:val="0"/>
          <w:numId w:val="15"/>
        </w:numPr>
        <w:spacing w:after="0" w:line="312" w:lineRule="auto"/>
        <w:ind w:left="993" w:hanging="567"/>
        <w:rPr>
          <w:szCs w:val="20"/>
        </w:rPr>
      </w:pPr>
      <w:r w:rsidRPr="00E00B35">
        <w:rPr>
          <w:szCs w:val="20"/>
        </w:rPr>
        <w:t>w wyniku przeprowadzonego postępowania wyjaśniającego w 223 sprawach ustalono spadkobierców podatnikó</w:t>
      </w:r>
      <w:r w:rsidR="00896F97" w:rsidRPr="00E00B35">
        <w:rPr>
          <w:szCs w:val="20"/>
        </w:rPr>
        <w:t xml:space="preserve">w, użytkowników wieczystych lub </w:t>
      </w:r>
      <w:r w:rsidRPr="00E00B35">
        <w:rPr>
          <w:szCs w:val="20"/>
        </w:rPr>
        <w:t>dłużników Gminy oraz Skarbu Państwa,</w:t>
      </w:r>
    </w:p>
    <w:p w:rsidR="008C7751" w:rsidRPr="00E00B35" w:rsidRDefault="008C7751" w:rsidP="00E00B35">
      <w:pPr>
        <w:pStyle w:val="Akapitzlist"/>
        <w:numPr>
          <w:ilvl w:val="0"/>
          <w:numId w:val="15"/>
        </w:numPr>
        <w:spacing w:after="0" w:line="312" w:lineRule="auto"/>
        <w:ind w:left="993" w:hanging="567"/>
        <w:rPr>
          <w:szCs w:val="20"/>
        </w:rPr>
      </w:pPr>
      <w:r w:rsidRPr="00E00B35">
        <w:rPr>
          <w:szCs w:val="20"/>
        </w:rPr>
        <w:t xml:space="preserve">do Wydziału Prawnego/Zespołu Radców Prawnych skierowano 13 wniosków </w:t>
      </w:r>
      <w:r w:rsidRPr="00E00B35">
        <w:rPr>
          <w:szCs w:val="20"/>
        </w:rPr>
        <w:br/>
        <w:t>o wystąpienie do sądu o przeprowadzenie postępowania spadkowego, w 363 sprawach prowadzone są dalsze czynności wyjaśniające.</w:t>
      </w:r>
    </w:p>
    <w:p w:rsidR="008C7751" w:rsidRPr="00E00B35" w:rsidRDefault="008C7751" w:rsidP="00E00B35">
      <w:pPr>
        <w:spacing w:after="0" w:line="312" w:lineRule="auto"/>
        <w:rPr>
          <w:szCs w:val="20"/>
        </w:rPr>
      </w:pPr>
      <w:r w:rsidRPr="00E00B35">
        <w:rPr>
          <w:szCs w:val="20"/>
        </w:rPr>
        <w:t xml:space="preserve">Podejmowane działania w końcowym efekcie mają na celu ustalenie podmiotu, na którym ciąży obowiązek podatkowy w podatku od nieruchomości, podatku rolnym lub leśnym. </w:t>
      </w:r>
    </w:p>
    <w:p w:rsidR="008C7751" w:rsidRPr="00E00B35" w:rsidRDefault="00DD3FD5" w:rsidP="00E00B35">
      <w:pPr>
        <w:pStyle w:val="Nagwek4"/>
        <w:spacing w:before="0" w:after="0" w:line="312" w:lineRule="auto"/>
        <w:rPr>
          <w:sz w:val="20"/>
          <w:szCs w:val="20"/>
        </w:rPr>
      </w:pPr>
      <w:r w:rsidRPr="00E00B35">
        <w:rPr>
          <w:sz w:val="20"/>
          <w:szCs w:val="20"/>
        </w:rPr>
        <w:br/>
      </w:r>
      <w:r w:rsidR="008C7751" w:rsidRPr="00E00B35">
        <w:rPr>
          <w:sz w:val="20"/>
          <w:szCs w:val="20"/>
        </w:rPr>
        <w:t xml:space="preserve">Dział Ulg </w:t>
      </w:r>
    </w:p>
    <w:p w:rsidR="008C7751" w:rsidRPr="00E00B35" w:rsidRDefault="008C7751" w:rsidP="00E00B35">
      <w:pPr>
        <w:tabs>
          <w:tab w:val="left" w:pos="14175"/>
        </w:tabs>
        <w:spacing w:after="0" w:line="312" w:lineRule="auto"/>
        <w:ind w:right="-142"/>
        <w:rPr>
          <w:szCs w:val="20"/>
        </w:rPr>
      </w:pPr>
      <w:r w:rsidRPr="00E00B35">
        <w:rPr>
          <w:szCs w:val="20"/>
        </w:rPr>
        <w:t xml:space="preserve">Rozpatrywanie wniosków o udzielenie ulgi w zakresie należności podatkowych, należności pieniężnych mających charakter cywilnoprawny, niepodatkowych należności budżetowych o charakterze publicznoprawnym, kosztów egzekucyjnych oraz opłat stanowiących w całości dochód Miasta, a pobieranych przez Urzędy Skarbowe. </w:t>
      </w:r>
    </w:p>
    <w:p w:rsidR="008C7751" w:rsidRPr="00E00B35" w:rsidRDefault="008C7751" w:rsidP="00E00B35">
      <w:pPr>
        <w:tabs>
          <w:tab w:val="left" w:pos="14175"/>
        </w:tabs>
        <w:spacing w:after="0" w:line="312" w:lineRule="auto"/>
        <w:ind w:right="-142"/>
        <w:rPr>
          <w:szCs w:val="20"/>
        </w:rPr>
      </w:pPr>
      <w:r w:rsidRPr="00E00B35">
        <w:rPr>
          <w:szCs w:val="20"/>
        </w:rPr>
        <w:t xml:space="preserve">W roku 2020 zaobserwowano znaczny wzrost ilości przeprowadzonych postępowań ulgowych, wydanych dokumentów oraz wzrost kwoty udzielonego wsparcia w stosunku do lat ubiegłych. </w:t>
      </w:r>
    </w:p>
    <w:p w:rsidR="008C7751" w:rsidRPr="00E00B35" w:rsidRDefault="008C7751" w:rsidP="00E00B35">
      <w:pPr>
        <w:tabs>
          <w:tab w:val="left" w:pos="14175"/>
        </w:tabs>
        <w:spacing w:after="0" w:line="312" w:lineRule="auto"/>
        <w:ind w:right="-142"/>
        <w:rPr>
          <w:szCs w:val="20"/>
        </w:rPr>
      </w:pPr>
      <w:r w:rsidRPr="00E00B35">
        <w:rPr>
          <w:szCs w:val="20"/>
        </w:rPr>
        <w:t>Wsparciem zostali objęci głównie przedsiębiorcy, którzy</w:t>
      </w:r>
      <w:r w:rsidRPr="00E00B35">
        <w:rPr>
          <w:rFonts w:cs="Calibri"/>
          <w:bCs/>
          <w:color w:val="000000"/>
          <w:szCs w:val="20"/>
        </w:rPr>
        <w:t xml:space="preserve"> nie mogli skorzystać z instrumentów wsparcia oferowanych przez rząd Polski oraz przez Miasto Wrocław, a którzy w najmocniej zostali dotknięci ograniczeniami w usługach oraz handlu w związku z Rozporządzeniem Ministra Zdrowia z dnia 13 marca 2020 r., w sprawie ogłoszenia na obszarze Rzeczpospolitej Polskiej stanu zagrożenia epidemicznego oraz w związku z Rozporządzeniem Ministra Zdrowia z dnia 20 marca 2020 r. w sprawie ogłoszenia na obszarze Rzeczypospolitej Polskiej stanu epidemii, a co za tym idzie ograniczenia funkcjonowania określonych instytucji lub zakładów pracy, w tym między innymi działalności handlowej, hotelarskiej, turystycznej, gastronomicznej, rozrywkowej, a także zasad funkcjonowania galerii handlowych.</w:t>
      </w:r>
    </w:p>
    <w:p w:rsidR="008C7751" w:rsidRPr="00E00B35" w:rsidRDefault="00DD3FD5" w:rsidP="00E00B35">
      <w:pPr>
        <w:spacing w:after="0" w:line="312" w:lineRule="auto"/>
        <w:rPr>
          <w:szCs w:val="20"/>
        </w:rPr>
      </w:pPr>
      <w:r w:rsidRPr="00E00B35">
        <w:rPr>
          <w:szCs w:val="20"/>
        </w:rPr>
        <w:br/>
      </w:r>
      <w:r w:rsidR="008C7751" w:rsidRPr="00E00B35">
        <w:rPr>
          <w:szCs w:val="20"/>
        </w:rPr>
        <w:t>Struktura rozpatrzonych wniosków o ulgę w latach 2016 – 2020</w:t>
      </w:r>
    </w:p>
    <w:p w:rsidR="008C7751" w:rsidRPr="00E00B35" w:rsidRDefault="008C7751" w:rsidP="00E00B35">
      <w:pPr>
        <w:tabs>
          <w:tab w:val="left" w:pos="14175"/>
        </w:tabs>
        <w:spacing w:after="0" w:line="312" w:lineRule="auto"/>
        <w:ind w:right="284"/>
        <w:rPr>
          <w:noProof/>
          <w:szCs w:val="20"/>
        </w:rPr>
      </w:pPr>
      <w:r w:rsidRPr="00E00B35">
        <w:rPr>
          <w:noProof/>
          <w:szCs w:val="20"/>
          <w:lang w:val="pl-PL" w:eastAsia="pl-PL" w:bidi="ar-SA"/>
        </w:rPr>
        <w:lastRenderedPageBreak/>
        <w:drawing>
          <wp:inline distT="0" distB="0" distL="0" distR="0">
            <wp:extent cx="5268726" cy="3279546"/>
            <wp:effectExtent l="12214" t="5117" r="5435" b="1462"/>
            <wp:docPr id="6" name="Wykres 1" descr="Struktura rozpatrzonych wniosków o ulgę w latach 2016-2020: należności podatkowe, należności za gospodarowanie odpadami komunalnymi, należności niepodatkowe, należności cywilnoprawne."/>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C7751" w:rsidRPr="00E00B35" w:rsidRDefault="008C7751" w:rsidP="00E00B35">
      <w:pPr>
        <w:autoSpaceDE w:val="0"/>
        <w:autoSpaceDN w:val="0"/>
        <w:adjustRightInd w:val="0"/>
        <w:spacing w:after="0" w:line="312" w:lineRule="auto"/>
        <w:rPr>
          <w:noProof/>
          <w:szCs w:val="20"/>
        </w:rPr>
      </w:pPr>
    </w:p>
    <w:p w:rsidR="008C7751" w:rsidRPr="00E00B35" w:rsidRDefault="008C7751" w:rsidP="00E00B35">
      <w:pPr>
        <w:pStyle w:val="Nagwek4"/>
        <w:spacing w:before="0" w:after="0" w:line="312" w:lineRule="auto"/>
        <w:rPr>
          <w:sz w:val="20"/>
          <w:szCs w:val="20"/>
        </w:rPr>
      </w:pPr>
      <w:r w:rsidRPr="00E00B35">
        <w:rPr>
          <w:sz w:val="20"/>
          <w:szCs w:val="20"/>
        </w:rPr>
        <w:t>Dokumenty wydane w postępowaniach ulgowych w latach 2017 – 2020</w:t>
      </w:r>
    </w:p>
    <w:tbl>
      <w:tblPr>
        <w:tblW w:w="9356" w:type="dxa"/>
        <w:tblInd w:w="-72" w:type="dxa"/>
        <w:tblLayout w:type="fixed"/>
        <w:tblCellMar>
          <w:left w:w="70" w:type="dxa"/>
          <w:right w:w="70" w:type="dxa"/>
        </w:tblCellMar>
        <w:tblLook w:val="04A0"/>
      </w:tblPr>
      <w:tblGrid>
        <w:gridCol w:w="4253"/>
        <w:gridCol w:w="1276"/>
        <w:gridCol w:w="1276"/>
        <w:gridCol w:w="1275"/>
        <w:gridCol w:w="1276"/>
      </w:tblGrid>
      <w:tr w:rsidR="008C7751" w:rsidRPr="00E00B35" w:rsidTr="008C7751">
        <w:trPr>
          <w:trHeight w:val="462"/>
        </w:trPr>
        <w:tc>
          <w:tcPr>
            <w:tcW w:w="4253"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Zadanie</w:t>
            </w:r>
          </w:p>
        </w:tc>
        <w:tc>
          <w:tcPr>
            <w:tcW w:w="1276" w:type="dxa"/>
            <w:tcBorders>
              <w:top w:val="single" w:sz="8" w:space="0" w:color="auto"/>
              <w:left w:val="single" w:sz="4" w:space="0" w:color="auto"/>
              <w:bottom w:val="nil"/>
              <w:right w:val="nil"/>
            </w:tcBorders>
            <w:shd w:val="clear" w:color="auto" w:fill="auto"/>
            <w:vAlign w:val="center"/>
            <w:hideMark/>
          </w:tcPr>
          <w:p w:rsidR="008C7751" w:rsidRPr="00E00B35" w:rsidRDefault="008C7751" w:rsidP="00E00B35">
            <w:pPr>
              <w:spacing w:after="0" w:line="312" w:lineRule="auto"/>
              <w:rPr>
                <w:szCs w:val="20"/>
              </w:rPr>
            </w:pPr>
            <w:r w:rsidRPr="00E00B35">
              <w:rPr>
                <w:szCs w:val="20"/>
              </w:rPr>
              <w:t>2017 rok</w:t>
            </w:r>
          </w:p>
        </w:tc>
        <w:tc>
          <w:tcPr>
            <w:tcW w:w="1276" w:type="dxa"/>
            <w:tcBorders>
              <w:top w:val="single" w:sz="8" w:space="0" w:color="auto"/>
              <w:left w:val="single" w:sz="4" w:space="0" w:color="auto"/>
              <w:bottom w:val="nil"/>
              <w:right w:val="nil"/>
            </w:tcBorders>
            <w:shd w:val="clear" w:color="auto" w:fill="auto"/>
            <w:vAlign w:val="center"/>
            <w:hideMark/>
          </w:tcPr>
          <w:p w:rsidR="008C7751" w:rsidRPr="00E00B35" w:rsidRDefault="008C7751" w:rsidP="00E00B35">
            <w:pPr>
              <w:spacing w:after="0" w:line="312" w:lineRule="auto"/>
              <w:rPr>
                <w:szCs w:val="20"/>
              </w:rPr>
            </w:pPr>
            <w:r w:rsidRPr="00E00B35">
              <w:rPr>
                <w:szCs w:val="20"/>
              </w:rPr>
              <w:t>2018 rok</w:t>
            </w:r>
          </w:p>
        </w:tc>
        <w:tc>
          <w:tcPr>
            <w:tcW w:w="1275" w:type="dxa"/>
            <w:tcBorders>
              <w:top w:val="single" w:sz="8" w:space="0" w:color="auto"/>
              <w:left w:val="single" w:sz="4" w:space="0" w:color="auto"/>
              <w:bottom w:val="nil"/>
              <w:right w:val="single" w:sz="8"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2019 rok</w:t>
            </w:r>
          </w:p>
        </w:tc>
        <w:tc>
          <w:tcPr>
            <w:tcW w:w="1276" w:type="dxa"/>
            <w:tcBorders>
              <w:top w:val="single" w:sz="8" w:space="0" w:color="auto"/>
              <w:left w:val="single" w:sz="4" w:space="0" w:color="auto"/>
              <w:bottom w:val="nil"/>
              <w:right w:val="single" w:sz="8" w:space="0" w:color="auto"/>
            </w:tcBorders>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rPr>
          <w:trHeight w:val="405"/>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wydane decyzje podatkowe (szt.)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147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98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78</w:t>
            </w:r>
          </w:p>
        </w:tc>
        <w:tc>
          <w:tcPr>
            <w:tcW w:w="1276"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206</w:t>
            </w:r>
          </w:p>
        </w:tc>
      </w:tr>
      <w:tr w:rsidR="008C7751" w:rsidRPr="00E00B35" w:rsidTr="008C7751">
        <w:trPr>
          <w:trHeight w:val="405"/>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wydane decyzje dot. opłaty za gospodarowania odpadami komunalnymi (szt.)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60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215</w:t>
            </w:r>
          </w:p>
        </w:tc>
        <w:tc>
          <w:tcPr>
            <w:tcW w:w="1276"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20</w:t>
            </w:r>
          </w:p>
        </w:tc>
      </w:tr>
      <w:tr w:rsidR="008C7751" w:rsidRPr="00E00B35" w:rsidTr="008C7751">
        <w:trPr>
          <w:trHeight w:val="42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wydane decyzje administracyjne (szt.)</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41</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18</w:t>
            </w:r>
          </w:p>
        </w:tc>
        <w:tc>
          <w:tcPr>
            <w:tcW w:w="1275"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29</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33</w:t>
            </w:r>
          </w:p>
        </w:tc>
      </w:tr>
      <w:tr w:rsidR="008C7751" w:rsidRPr="00E00B35" w:rsidTr="008C7751">
        <w:trPr>
          <w:trHeight w:val="48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wydane postanowienia podatkowe (szt.)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256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183</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241</w:t>
            </w:r>
          </w:p>
        </w:tc>
        <w:tc>
          <w:tcPr>
            <w:tcW w:w="1276"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492</w:t>
            </w:r>
          </w:p>
        </w:tc>
      </w:tr>
      <w:tr w:rsidR="008C7751" w:rsidRPr="00E00B35" w:rsidTr="008C7751">
        <w:trPr>
          <w:trHeight w:val="48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wydane postanowienia dot. opłaty za gospodarowania odpadami komunalnymi (szt.)</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124</w:t>
            </w:r>
          </w:p>
        </w:tc>
        <w:tc>
          <w:tcPr>
            <w:tcW w:w="1275"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147</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55</w:t>
            </w:r>
          </w:p>
        </w:tc>
      </w:tr>
      <w:tr w:rsidR="008C7751" w:rsidRPr="00E00B35" w:rsidTr="008C7751">
        <w:trPr>
          <w:trHeight w:val="60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wydane postanowienia administracyjne (szt.)</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62</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23</w:t>
            </w:r>
          </w:p>
        </w:tc>
        <w:tc>
          <w:tcPr>
            <w:tcW w:w="1275"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52</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92</w:t>
            </w:r>
          </w:p>
        </w:tc>
      </w:tr>
      <w:tr w:rsidR="008C7751" w:rsidRPr="00E00B35" w:rsidTr="008C7751">
        <w:trPr>
          <w:trHeight w:val="570"/>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7751" w:rsidRPr="00E00B35" w:rsidRDefault="008C7751" w:rsidP="00E00B35">
            <w:pPr>
              <w:spacing w:after="0" w:line="312" w:lineRule="auto"/>
              <w:rPr>
                <w:szCs w:val="20"/>
              </w:rPr>
            </w:pPr>
            <w:r w:rsidRPr="00E00B35">
              <w:rPr>
                <w:szCs w:val="20"/>
              </w:rPr>
              <w:t>zawarte porozumienia w spłacie należności cywilnoprawnych (szt.)</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109</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99</w:t>
            </w:r>
          </w:p>
        </w:tc>
        <w:tc>
          <w:tcPr>
            <w:tcW w:w="1275"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65</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104</w:t>
            </w:r>
          </w:p>
        </w:tc>
      </w:tr>
      <w:tr w:rsidR="008C7751" w:rsidRPr="00E00B35" w:rsidTr="008C7751">
        <w:trPr>
          <w:trHeight w:val="669"/>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7751" w:rsidRPr="00E00B35" w:rsidRDefault="008C7751" w:rsidP="00E00B35">
            <w:pPr>
              <w:spacing w:after="0" w:line="312" w:lineRule="auto"/>
              <w:rPr>
                <w:szCs w:val="20"/>
              </w:rPr>
            </w:pPr>
            <w:r w:rsidRPr="00E00B35">
              <w:rPr>
                <w:szCs w:val="20"/>
              </w:rPr>
              <w:t>sporządzone pisma kończące postępowanie cywilnoprawne (bez rozpatrzenia, bezzasadne, odmawiające udzielenia ulgi) (szt.)</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117</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71</w:t>
            </w:r>
          </w:p>
        </w:tc>
        <w:tc>
          <w:tcPr>
            <w:tcW w:w="1275"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59</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63</w:t>
            </w:r>
          </w:p>
        </w:tc>
      </w:tr>
      <w:tr w:rsidR="008C7751" w:rsidRPr="00E00B35" w:rsidTr="008C7751">
        <w:trPr>
          <w:trHeight w:val="60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751" w:rsidRPr="00E00B35" w:rsidRDefault="008C7751" w:rsidP="00E00B35">
            <w:pPr>
              <w:spacing w:after="0" w:line="312" w:lineRule="auto"/>
              <w:rPr>
                <w:szCs w:val="20"/>
              </w:rPr>
            </w:pPr>
            <w:r w:rsidRPr="00E00B35">
              <w:rPr>
                <w:szCs w:val="20"/>
              </w:rPr>
              <w:t>wydane zaświadczenia o pomocy de mini mis (szt.)</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66</w:t>
            </w:r>
          </w:p>
        </w:tc>
        <w:tc>
          <w:tcPr>
            <w:tcW w:w="1276"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78</w:t>
            </w:r>
          </w:p>
        </w:tc>
        <w:tc>
          <w:tcPr>
            <w:tcW w:w="1275" w:type="dxa"/>
            <w:tcBorders>
              <w:top w:val="nil"/>
              <w:left w:val="nil"/>
              <w:bottom w:val="single" w:sz="4" w:space="0" w:color="auto"/>
              <w:right w:val="single" w:sz="4" w:space="0" w:color="auto"/>
            </w:tcBorders>
            <w:shd w:val="clear" w:color="auto" w:fill="auto"/>
            <w:noWrap/>
            <w:vAlign w:val="center"/>
            <w:hideMark/>
          </w:tcPr>
          <w:p w:rsidR="008C7751" w:rsidRPr="00E00B35" w:rsidRDefault="008C7751" w:rsidP="00E00B35">
            <w:pPr>
              <w:spacing w:after="0" w:line="312" w:lineRule="auto"/>
              <w:rPr>
                <w:szCs w:val="20"/>
              </w:rPr>
            </w:pPr>
            <w:r w:rsidRPr="00E00B35">
              <w:rPr>
                <w:szCs w:val="20"/>
              </w:rPr>
              <w:t>107</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236</w:t>
            </w:r>
          </w:p>
        </w:tc>
      </w:tr>
    </w:tbl>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r w:rsidRPr="00E00B35">
        <w:rPr>
          <w:sz w:val="20"/>
          <w:szCs w:val="20"/>
        </w:rPr>
        <w:lastRenderedPageBreak/>
        <w:t>Statystyka udzielonych ulg w latach 2017 – 2020 w ujęciu kwotowym</w:t>
      </w:r>
    </w:p>
    <w:tbl>
      <w:tblPr>
        <w:tblpPr w:leftFromText="141" w:rightFromText="141" w:vertAnchor="text" w:horzAnchor="margin" w:tblpXSpec="center" w:tblpY="50"/>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13"/>
        <w:gridCol w:w="1701"/>
        <w:gridCol w:w="1985"/>
        <w:gridCol w:w="1842"/>
        <w:gridCol w:w="1843"/>
      </w:tblGrid>
      <w:tr w:rsidR="008C7751" w:rsidRPr="00E00B35" w:rsidTr="008C7751">
        <w:trPr>
          <w:trHeight w:val="420"/>
        </w:trPr>
        <w:tc>
          <w:tcPr>
            <w:tcW w:w="191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r w:rsidRPr="00E00B35">
              <w:rPr>
                <w:szCs w:val="20"/>
              </w:rPr>
              <w:t>Rodzaj ulgi</w:t>
            </w:r>
          </w:p>
        </w:tc>
        <w:tc>
          <w:tcPr>
            <w:tcW w:w="1701" w:type="dxa"/>
            <w:tcBorders>
              <w:top w:val="single" w:sz="4" w:space="0" w:color="auto"/>
              <w:bottom w:val="single" w:sz="4" w:space="0" w:color="auto"/>
            </w:tcBorders>
            <w:vAlign w:val="center"/>
          </w:tcPr>
          <w:p w:rsidR="008C7751" w:rsidRPr="00E00B35" w:rsidRDefault="008C7751" w:rsidP="00E00B35">
            <w:pPr>
              <w:spacing w:after="0" w:line="312" w:lineRule="auto"/>
              <w:rPr>
                <w:szCs w:val="20"/>
              </w:rPr>
            </w:pPr>
            <w:r w:rsidRPr="00E00B35">
              <w:rPr>
                <w:szCs w:val="20"/>
              </w:rPr>
              <w:t>2017 rok</w:t>
            </w:r>
          </w:p>
        </w:tc>
        <w:tc>
          <w:tcPr>
            <w:tcW w:w="1985" w:type="dxa"/>
            <w:tcBorders>
              <w:bottom w:val="single" w:sz="4" w:space="0" w:color="auto"/>
            </w:tcBorders>
            <w:vAlign w:val="center"/>
          </w:tcPr>
          <w:p w:rsidR="008C7751" w:rsidRPr="00E00B35" w:rsidRDefault="008C7751" w:rsidP="00E00B35">
            <w:pPr>
              <w:spacing w:after="0" w:line="312" w:lineRule="auto"/>
              <w:rPr>
                <w:szCs w:val="20"/>
              </w:rPr>
            </w:pPr>
            <w:r w:rsidRPr="00E00B35">
              <w:rPr>
                <w:szCs w:val="20"/>
              </w:rPr>
              <w:t>2018 rok</w:t>
            </w:r>
          </w:p>
        </w:tc>
        <w:tc>
          <w:tcPr>
            <w:tcW w:w="1842" w:type="dxa"/>
            <w:tcBorders>
              <w:bottom w:val="single" w:sz="4" w:space="0" w:color="auto"/>
            </w:tcBorders>
            <w:vAlign w:val="center"/>
          </w:tcPr>
          <w:p w:rsidR="008C7751" w:rsidRPr="00E00B35" w:rsidRDefault="008C7751" w:rsidP="00E00B35">
            <w:pPr>
              <w:spacing w:after="0" w:line="312" w:lineRule="auto"/>
              <w:rPr>
                <w:szCs w:val="20"/>
              </w:rPr>
            </w:pPr>
            <w:r w:rsidRPr="00E00B35">
              <w:rPr>
                <w:szCs w:val="20"/>
              </w:rPr>
              <w:t>2019 rok</w:t>
            </w:r>
          </w:p>
        </w:tc>
        <w:tc>
          <w:tcPr>
            <w:tcW w:w="1843" w:type="dxa"/>
            <w:tcBorders>
              <w:bottom w:val="single" w:sz="4" w:space="0" w:color="auto"/>
            </w:tcBorders>
            <w:vAlign w:val="center"/>
          </w:tcPr>
          <w:p w:rsidR="008C7751" w:rsidRPr="00E00B35" w:rsidRDefault="008C7751" w:rsidP="00E00B35">
            <w:pPr>
              <w:spacing w:after="0" w:line="312" w:lineRule="auto"/>
              <w:rPr>
                <w:szCs w:val="20"/>
              </w:rPr>
            </w:pPr>
            <w:r w:rsidRPr="00E00B35">
              <w:rPr>
                <w:szCs w:val="20"/>
              </w:rPr>
              <w:t>2020 rok</w:t>
            </w:r>
          </w:p>
        </w:tc>
      </w:tr>
      <w:tr w:rsidR="008C7751" w:rsidRPr="00E00B35" w:rsidTr="008C7751">
        <w:trPr>
          <w:cantSplit/>
          <w:trHeight w:val="316"/>
        </w:trPr>
        <w:tc>
          <w:tcPr>
            <w:tcW w:w="9284" w:type="dxa"/>
            <w:gridSpan w:val="5"/>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PODATKI I OPŁATY LOKALNE (zł)</w:t>
            </w:r>
          </w:p>
        </w:tc>
      </w:tr>
      <w:tr w:rsidR="008C7751" w:rsidRPr="00E00B35" w:rsidTr="008C7751">
        <w:tc>
          <w:tcPr>
            <w:tcW w:w="1913" w:type="dxa"/>
            <w:tcBorders>
              <w:top w:val="single" w:sz="4" w:space="0" w:color="auto"/>
            </w:tcBorders>
          </w:tcPr>
          <w:p w:rsidR="008C7751" w:rsidRPr="00E00B35" w:rsidRDefault="008C7751" w:rsidP="00E00B35">
            <w:pPr>
              <w:spacing w:after="0" w:line="312" w:lineRule="auto"/>
              <w:rPr>
                <w:bCs/>
                <w:szCs w:val="20"/>
              </w:rPr>
            </w:pPr>
            <w:r w:rsidRPr="00E00B35">
              <w:rPr>
                <w:bCs/>
                <w:szCs w:val="20"/>
              </w:rPr>
              <w:t>Umorzenia</w:t>
            </w:r>
          </w:p>
        </w:tc>
        <w:tc>
          <w:tcPr>
            <w:tcW w:w="1701" w:type="dxa"/>
            <w:tcBorders>
              <w:top w:val="single" w:sz="4" w:space="0" w:color="auto"/>
            </w:tcBorders>
            <w:vAlign w:val="center"/>
          </w:tcPr>
          <w:p w:rsidR="008C7751" w:rsidRPr="00E00B35" w:rsidRDefault="008C7751" w:rsidP="00E00B35">
            <w:pPr>
              <w:spacing w:after="0" w:line="312" w:lineRule="auto"/>
              <w:rPr>
                <w:bCs/>
                <w:szCs w:val="20"/>
              </w:rPr>
            </w:pPr>
            <w:r w:rsidRPr="00E00B35">
              <w:rPr>
                <w:bCs/>
                <w:szCs w:val="20"/>
              </w:rPr>
              <w:t xml:space="preserve">119 666,13                    </w:t>
            </w:r>
          </w:p>
        </w:tc>
        <w:tc>
          <w:tcPr>
            <w:tcW w:w="1985" w:type="dxa"/>
            <w:tcBorders>
              <w:top w:val="single" w:sz="4" w:space="0" w:color="auto"/>
            </w:tcBorders>
            <w:vAlign w:val="center"/>
          </w:tcPr>
          <w:p w:rsidR="008C7751" w:rsidRPr="00E00B35" w:rsidRDefault="008C7751" w:rsidP="00E00B35">
            <w:pPr>
              <w:spacing w:after="0" w:line="312" w:lineRule="auto"/>
              <w:rPr>
                <w:bCs/>
                <w:szCs w:val="20"/>
              </w:rPr>
            </w:pPr>
            <w:r w:rsidRPr="00E00B35">
              <w:rPr>
                <w:bCs/>
                <w:szCs w:val="20"/>
              </w:rPr>
              <w:t xml:space="preserve">25 585,86                          </w:t>
            </w:r>
          </w:p>
        </w:tc>
        <w:tc>
          <w:tcPr>
            <w:tcW w:w="1842" w:type="dxa"/>
            <w:tcBorders>
              <w:top w:val="single" w:sz="4" w:space="0" w:color="auto"/>
            </w:tcBorders>
            <w:vAlign w:val="center"/>
          </w:tcPr>
          <w:p w:rsidR="008C7751" w:rsidRPr="00E00B35" w:rsidRDefault="008C7751" w:rsidP="00E00B35">
            <w:pPr>
              <w:spacing w:after="0" w:line="312" w:lineRule="auto"/>
              <w:rPr>
                <w:bCs/>
                <w:szCs w:val="20"/>
              </w:rPr>
            </w:pPr>
            <w:r w:rsidRPr="00E00B35">
              <w:rPr>
                <w:bCs/>
                <w:szCs w:val="20"/>
              </w:rPr>
              <w:t xml:space="preserve">35 089,74 </w:t>
            </w:r>
          </w:p>
        </w:tc>
        <w:tc>
          <w:tcPr>
            <w:tcW w:w="1843" w:type="dxa"/>
            <w:tcBorders>
              <w:top w:val="single" w:sz="4" w:space="0" w:color="auto"/>
            </w:tcBorders>
          </w:tcPr>
          <w:p w:rsidR="008C7751" w:rsidRPr="00E00B35" w:rsidRDefault="008C7751" w:rsidP="00E00B35">
            <w:pPr>
              <w:spacing w:after="0" w:line="312" w:lineRule="auto"/>
              <w:rPr>
                <w:bCs/>
                <w:szCs w:val="20"/>
              </w:rPr>
            </w:pPr>
            <w:r w:rsidRPr="00E00B35">
              <w:rPr>
                <w:bCs/>
                <w:szCs w:val="20"/>
              </w:rPr>
              <w:t>95 476,84</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Raty</w:t>
            </w:r>
          </w:p>
        </w:tc>
        <w:tc>
          <w:tcPr>
            <w:tcW w:w="1701" w:type="dxa"/>
            <w:vAlign w:val="center"/>
          </w:tcPr>
          <w:p w:rsidR="008C7751" w:rsidRPr="00E00B35" w:rsidRDefault="008C7751" w:rsidP="00E00B35">
            <w:pPr>
              <w:spacing w:after="0" w:line="312" w:lineRule="auto"/>
              <w:rPr>
                <w:bCs/>
                <w:szCs w:val="20"/>
              </w:rPr>
            </w:pPr>
            <w:r w:rsidRPr="00E00B35">
              <w:rPr>
                <w:bCs/>
                <w:szCs w:val="20"/>
              </w:rPr>
              <w:t xml:space="preserve">20 095 850,79 </w:t>
            </w:r>
          </w:p>
        </w:tc>
        <w:tc>
          <w:tcPr>
            <w:tcW w:w="1985" w:type="dxa"/>
            <w:vAlign w:val="center"/>
          </w:tcPr>
          <w:p w:rsidR="008C7751" w:rsidRPr="00E00B35" w:rsidRDefault="008C7751" w:rsidP="00E00B35">
            <w:pPr>
              <w:spacing w:after="0" w:line="312" w:lineRule="auto"/>
              <w:rPr>
                <w:bCs/>
                <w:szCs w:val="20"/>
              </w:rPr>
            </w:pPr>
            <w:r w:rsidRPr="00E00B35">
              <w:rPr>
                <w:bCs/>
                <w:szCs w:val="20"/>
              </w:rPr>
              <w:t xml:space="preserve">1 725 601,24                    </w:t>
            </w:r>
          </w:p>
        </w:tc>
        <w:tc>
          <w:tcPr>
            <w:tcW w:w="1842" w:type="dxa"/>
            <w:vAlign w:val="center"/>
          </w:tcPr>
          <w:p w:rsidR="008C7751" w:rsidRPr="00E00B35" w:rsidRDefault="008C7751" w:rsidP="00E00B35">
            <w:pPr>
              <w:spacing w:after="0" w:line="312" w:lineRule="auto"/>
              <w:rPr>
                <w:bCs/>
                <w:szCs w:val="20"/>
              </w:rPr>
            </w:pPr>
            <w:r w:rsidRPr="00E00B35">
              <w:rPr>
                <w:bCs/>
                <w:szCs w:val="20"/>
              </w:rPr>
              <w:t xml:space="preserve">1 050 957,52 </w:t>
            </w:r>
          </w:p>
        </w:tc>
        <w:tc>
          <w:tcPr>
            <w:tcW w:w="1843" w:type="dxa"/>
          </w:tcPr>
          <w:p w:rsidR="008C7751" w:rsidRPr="00E00B35" w:rsidRDefault="008C7751" w:rsidP="00E00B35">
            <w:pPr>
              <w:spacing w:after="0" w:line="312" w:lineRule="auto"/>
              <w:rPr>
                <w:bCs/>
                <w:szCs w:val="20"/>
              </w:rPr>
            </w:pPr>
            <w:r w:rsidRPr="00E00B35">
              <w:rPr>
                <w:bCs/>
                <w:szCs w:val="20"/>
              </w:rPr>
              <w:t xml:space="preserve">3 778 780,05 </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Odroczenia</w:t>
            </w:r>
          </w:p>
        </w:tc>
        <w:tc>
          <w:tcPr>
            <w:tcW w:w="1701" w:type="dxa"/>
            <w:vAlign w:val="center"/>
          </w:tcPr>
          <w:p w:rsidR="008C7751" w:rsidRPr="00E00B35" w:rsidRDefault="008C7751" w:rsidP="00E00B35">
            <w:pPr>
              <w:spacing w:after="0" w:line="312" w:lineRule="auto"/>
              <w:rPr>
                <w:bCs/>
                <w:szCs w:val="20"/>
              </w:rPr>
            </w:pPr>
            <w:r w:rsidRPr="00E00B35">
              <w:rPr>
                <w:bCs/>
                <w:szCs w:val="20"/>
              </w:rPr>
              <w:t xml:space="preserve">6 213 532,24 </w:t>
            </w:r>
          </w:p>
        </w:tc>
        <w:tc>
          <w:tcPr>
            <w:tcW w:w="1985" w:type="dxa"/>
            <w:vAlign w:val="center"/>
          </w:tcPr>
          <w:p w:rsidR="008C7751" w:rsidRPr="00E00B35" w:rsidRDefault="008C7751" w:rsidP="00E00B35">
            <w:pPr>
              <w:spacing w:after="0" w:line="312" w:lineRule="auto"/>
              <w:rPr>
                <w:bCs/>
                <w:szCs w:val="20"/>
              </w:rPr>
            </w:pPr>
            <w:r w:rsidRPr="00E00B35">
              <w:rPr>
                <w:bCs/>
                <w:szCs w:val="20"/>
              </w:rPr>
              <w:t xml:space="preserve">6 868 797,00                      </w:t>
            </w:r>
          </w:p>
        </w:tc>
        <w:tc>
          <w:tcPr>
            <w:tcW w:w="1842" w:type="dxa"/>
            <w:vAlign w:val="center"/>
          </w:tcPr>
          <w:p w:rsidR="008C7751" w:rsidRPr="00E00B35" w:rsidRDefault="008C7751" w:rsidP="00E00B35">
            <w:pPr>
              <w:spacing w:after="0" w:line="312" w:lineRule="auto"/>
              <w:rPr>
                <w:bCs/>
                <w:szCs w:val="20"/>
              </w:rPr>
            </w:pPr>
            <w:r w:rsidRPr="00E00B35">
              <w:rPr>
                <w:bCs/>
                <w:szCs w:val="20"/>
              </w:rPr>
              <w:t xml:space="preserve">5 950 552,53 </w:t>
            </w:r>
          </w:p>
        </w:tc>
        <w:tc>
          <w:tcPr>
            <w:tcW w:w="1843" w:type="dxa"/>
          </w:tcPr>
          <w:p w:rsidR="008C7751" w:rsidRPr="00E00B35" w:rsidRDefault="008C7751" w:rsidP="00E00B35">
            <w:pPr>
              <w:spacing w:after="0" w:line="312" w:lineRule="auto"/>
              <w:rPr>
                <w:bCs/>
                <w:szCs w:val="20"/>
              </w:rPr>
            </w:pPr>
            <w:r w:rsidRPr="00E00B35">
              <w:rPr>
                <w:bCs/>
                <w:szCs w:val="20"/>
              </w:rPr>
              <w:t xml:space="preserve">14 425 012,85 </w:t>
            </w:r>
          </w:p>
        </w:tc>
      </w:tr>
      <w:tr w:rsidR="008C7751" w:rsidRPr="00E00B35" w:rsidTr="008C7751">
        <w:trPr>
          <w:cantSplit/>
        </w:trPr>
        <w:tc>
          <w:tcPr>
            <w:tcW w:w="9284" w:type="dxa"/>
            <w:gridSpan w:val="5"/>
            <w:vAlign w:val="center"/>
          </w:tcPr>
          <w:p w:rsidR="008C7751" w:rsidRPr="00E00B35" w:rsidRDefault="008C7751" w:rsidP="00E00B35">
            <w:pPr>
              <w:spacing w:after="0" w:line="312" w:lineRule="auto"/>
              <w:rPr>
                <w:bCs/>
                <w:szCs w:val="20"/>
              </w:rPr>
            </w:pPr>
          </w:p>
          <w:p w:rsidR="008C7751" w:rsidRPr="00E00B35" w:rsidRDefault="008C7751" w:rsidP="00E00B35">
            <w:pPr>
              <w:spacing w:after="0" w:line="312" w:lineRule="auto"/>
              <w:rPr>
                <w:bCs/>
                <w:szCs w:val="20"/>
              </w:rPr>
            </w:pPr>
            <w:r w:rsidRPr="00E00B35">
              <w:rPr>
                <w:bCs/>
                <w:szCs w:val="20"/>
              </w:rPr>
              <w:t xml:space="preserve">OPŁATY ZA GOSPODAROWANIE ODPADAMI KOMUNALNYMI </w:t>
            </w:r>
            <w:r w:rsidRPr="00E00B35">
              <w:rPr>
                <w:szCs w:val="20"/>
              </w:rPr>
              <w:t>(zł)</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Umorzenia</w:t>
            </w:r>
          </w:p>
        </w:tc>
        <w:tc>
          <w:tcPr>
            <w:tcW w:w="1701" w:type="dxa"/>
          </w:tcPr>
          <w:p w:rsidR="008C7751" w:rsidRPr="00E00B35" w:rsidRDefault="008C7751" w:rsidP="00E00B35">
            <w:pPr>
              <w:spacing w:after="0" w:line="312" w:lineRule="auto"/>
              <w:rPr>
                <w:szCs w:val="20"/>
              </w:rPr>
            </w:pPr>
            <w:r w:rsidRPr="00E00B35">
              <w:rPr>
                <w:szCs w:val="20"/>
              </w:rPr>
              <w:t>-</w:t>
            </w:r>
          </w:p>
        </w:tc>
        <w:tc>
          <w:tcPr>
            <w:tcW w:w="1985" w:type="dxa"/>
          </w:tcPr>
          <w:p w:rsidR="008C7751" w:rsidRPr="00E00B35" w:rsidRDefault="008C7751" w:rsidP="00E00B35">
            <w:pPr>
              <w:spacing w:after="0" w:line="312" w:lineRule="auto"/>
              <w:rPr>
                <w:szCs w:val="20"/>
              </w:rPr>
            </w:pPr>
            <w:r w:rsidRPr="00E00B35">
              <w:rPr>
                <w:szCs w:val="20"/>
              </w:rPr>
              <w:t xml:space="preserve">9 123,00                             </w:t>
            </w:r>
          </w:p>
        </w:tc>
        <w:tc>
          <w:tcPr>
            <w:tcW w:w="1842" w:type="dxa"/>
          </w:tcPr>
          <w:p w:rsidR="008C7751" w:rsidRPr="00E00B35" w:rsidRDefault="008C7751" w:rsidP="00E00B35">
            <w:pPr>
              <w:spacing w:after="0" w:line="312" w:lineRule="auto"/>
              <w:rPr>
                <w:szCs w:val="20"/>
              </w:rPr>
            </w:pPr>
            <w:r w:rsidRPr="00E00B35">
              <w:rPr>
                <w:szCs w:val="20"/>
              </w:rPr>
              <w:t xml:space="preserve">3 391,36 </w:t>
            </w:r>
          </w:p>
        </w:tc>
        <w:tc>
          <w:tcPr>
            <w:tcW w:w="1843" w:type="dxa"/>
          </w:tcPr>
          <w:p w:rsidR="008C7751" w:rsidRPr="00E00B35" w:rsidRDefault="008C7751" w:rsidP="00E00B35">
            <w:pPr>
              <w:spacing w:after="0" w:line="312" w:lineRule="auto"/>
              <w:rPr>
                <w:szCs w:val="20"/>
              </w:rPr>
            </w:pPr>
            <w:r w:rsidRPr="00E00B35">
              <w:rPr>
                <w:szCs w:val="20"/>
              </w:rPr>
              <w:t xml:space="preserve">5 109,32 </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Raty</w:t>
            </w:r>
          </w:p>
        </w:tc>
        <w:tc>
          <w:tcPr>
            <w:tcW w:w="1701" w:type="dxa"/>
          </w:tcPr>
          <w:p w:rsidR="008C7751" w:rsidRPr="00E00B35" w:rsidRDefault="008C7751" w:rsidP="00E00B35">
            <w:pPr>
              <w:spacing w:after="0" w:line="312" w:lineRule="auto"/>
              <w:rPr>
                <w:szCs w:val="20"/>
              </w:rPr>
            </w:pPr>
            <w:r w:rsidRPr="00E00B35">
              <w:rPr>
                <w:szCs w:val="20"/>
              </w:rPr>
              <w:t>-</w:t>
            </w:r>
          </w:p>
        </w:tc>
        <w:tc>
          <w:tcPr>
            <w:tcW w:w="1985" w:type="dxa"/>
          </w:tcPr>
          <w:p w:rsidR="008C7751" w:rsidRPr="00E00B35" w:rsidRDefault="008C7751" w:rsidP="00E00B35">
            <w:pPr>
              <w:spacing w:after="0" w:line="312" w:lineRule="auto"/>
              <w:rPr>
                <w:szCs w:val="20"/>
              </w:rPr>
            </w:pPr>
            <w:r w:rsidRPr="00E00B35">
              <w:rPr>
                <w:szCs w:val="20"/>
              </w:rPr>
              <w:t xml:space="preserve">265 212,65                          </w:t>
            </w:r>
          </w:p>
        </w:tc>
        <w:tc>
          <w:tcPr>
            <w:tcW w:w="1842" w:type="dxa"/>
          </w:tcPr>
          <w:p w:rsidR="008C7751" w:rsidRPr="00E00B35" w:rsidRDefault="008C7751" w:rsidP="00E00B35">
            <w:pPr>
              <w:spacing w:after="0" w:line="312" w:lineRule="auto"/>
              <w:rPr>
                <w:szCs w:val="20"/>
              </w:rPr>
            </w:pPr>
            <w:r w:rsidRPr="00E00B35">
              <w:rPr>
                <w:szCs w:val="20"/>
              </w:rPr>
              <w:t xml:space="preserve">87 327,03 </w:t>
            </w:r>
          </w:p>
        </w:tc>
        <w:tc>
          <w:tcPr>
            <w:tcW w:w="1843" w:type="dxa"/>
          </w:tcPr>
          <w:p w:rsidR="008C7751" w:rsidRPr="00E00B35" w:rsidRDefault="008C7751" w:rsidP="00E00B35">
            <w:pPr>
              <w:spacing w:after="0" w:line="312" w:lineRule="auto"/>
              <w:rPr>
                <w:szCs w:val="20"/>
              </w:rPr>
            </w:pPr>
            <w:r w:rsidRPr="00E00B35">
              <w:rPr>
                <w:szCs w:val="20"/>
              </w:rPr>
              <w:t xml:space="preserve">108 761,89 </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Odroczenia</w:t>
            </w:r>
          </w:p>
        </w:tc>
        <w:tc>
          <w:tcPr>
            <w:tcW w:w="1701" w:type="dxa"/>
          </w:tcPr>
          <w:p w:rsidR="008C7751" w:rsidRPr="00E00B35" w:rsidRDefault="008C7751" w:rsidP="00E00B35">
            <w:pPr>
              <w:spacing w:after="0" w:line="312" w:lineRule="auto"/>
              <w:rPr>
                <w:szCs w:val="20"/>
              </w:rPr>
            </w:pPr>
            <w:r w:rsidRPr="00E00B35">
              <w:rPr>
                <w:szCs w:val="20"/>
              </w:rPr>
              <w:t>-</w:t>
            </w:r>
          </w:p>
        </w:tc>
        <w:tc>
          <w:tcPr>
            <w:tcW w:w="1985" w:type="dxa"/>
          </w:tcPr>
          <w:p w:rsidR="008C7751" w:rsidRPr="00E00B35" w:rsidRDefault="008C7751" w:rsidP="00E00B35">
            <w:pPr>
              <w:spacing w:after="0" w:line="312" w:lineRule="auto"/>
              <w:rPr>
                <w:szCs w:val="20"/>
              </w:rPr>
            </w:pPr>
            <w:r w:rsidRPr="00E00B35">
              <w:rPr>
                <w:szCs w:val="20"/>
              </w:rPr>
              <w:t xml:space="preserve">0,00                                  </w:t>
            </w:r>
          </w:p>
        </w:tc>
        <w:tc>
          <w:tcPr>
            <w:tcW w:w="1842" w:type="dxa"/>
          </w:tcPr>
          <w:p w:rsidR="008C7751" w:rsidRPr="00E00B35" w:rsidRDefault="008C7751" w:rsidP="00E00B35">
            <w:pPr>
              <w:spacing w:after="0" w:line="312" w:lineRule="auto"/>
              <w:rPr>
                <w:szCs w:val="20"/>
              </w:rPr>
            </w:pPr>
            <w:r w:rsidRPr="00E00B35">
              <w:rPr>
                <w:szCs w:val="20"/>
              </w:rPr>
              <w:t xml:space="preserve">0,00 </w:t>
            </w:r>
          </w:p>
        </w:tc>
        <w:tc>
          <w:tcPr>
            <w:tcW w:w="1843" w:type="dxa"/>
          </w:tcPr>
          <w:p w:rsidR="008C7751" w:rsidRPr="00E00B35" w:rsidRDefault="008C7751" w:rsidP="00E00B35">
            <w:pPr>
              <w:spacing w:after="0" w:line="312" w:lineRule="auto"/>
              <w:rPr>
                <w:szCs w:val="20"/>
              </w:rPr>
            </w:pPr>
            <w:r w:rsidRPr="00E00B35">
              <w:rPr>
                <w:szCs w:val="20"/>
              </w:rPr>
              <w:t xml:space="preserve">3 119,92 </w:t>
            </w:r>
          </w:p>
        </w:tc>
      </w:tr>
      <w:tr w:rsidR="008C7751" w:rsidRPr="00E00B35" w:rsidTr="008C7751">
        <w:trPr>
          <w:cantSplit/>
        </w:trPr>
        <w:tc>
          <w:tcPr>
            <w:tcW w:w="9284" w:type="dxa"/>
            <w:gridSpan w:val="5"/>
            <w:vAlign w:val="center"/>
          </w:tcPr>
          <w:p w:rsidR="008C7751" w:rsidRPr="00E00B35" w:rsidRDefault="008C7751" w:rsidP="00E00B35">
            <w:pPr>
              <w:spacing w:after="0" w:line="312" w:lineRule="auto"/>
              <w:rPr>
                <w:bCs/>
                <w:szCs w:val="20"/>
              </w:rPr>
            </w:pPr>
          </w:p>
          <w:p w:rsidR="008C7751" w:rsidRPr="00E00B35" w:rsidRDefault="008C7751" w:rsidP="00E00B35">
            <w:pPr>
              <w:spacing w:after="0" w:line="312" w:lineRule="auto"/>
              <w:rPr>
                <w:bCs/>
                <w:szCs w:val="20"/>
              </w:rPr>
            </w:pPr>
            <w:r w:rsidRPr="00E00B35">
              <w:rPr>
                <w:bCs/>
                <w:szCs w:val="20"/>
              </w:rPr>
              <w:t xml:space="preserve">PODATKI I OPŁATY POBIERANE PRZEZ URZĘDY SKARBOWE </w:t>
            </w:r>
            <w:r w:rsidRPr="00E00B35">
              <w:rPr>
                <w:szCs w:val="20"/>
              </w:rPr>
              <w:t>(zł)</w:t>
            </w:r>
          </w:p>
        </w:tc>
      </w:tr>
      <w:tr w:rsidR="008C7751" w:rsidRPr="00E00B35" w:rsidTr="008C7751">
        <w:trPr>
          <w:trHeight w:val="92"/>
        </w:trPr>
        <w:tc>
          <w:tcPr>
            <w:tcW w:w="1913" w:type="dxa"/>
          </w:tcPr>
          <w:p w:rsidR="008C7751" w:rsidRPr="00E00B35" w:rsidRDefault="008C7751" w:rsidP="00E00B35">
            <w:pPr>
              <w:spacing w:after="0" w:line="312" w:lineRule="auto"/>
              <w:rPr>
                <w:bCs/>
                <w:szCs w:val="20"/>
              </w:rPr>
            </w:pPr>
            <w:r w:rsidRPr="00E00B35">
              <w:rPr>
                <w:bCs/>
                <w:szCs w:val="20"/>
              </w:rPr>
              <w:t>Umorzenia</w:t>
            </w:r>
          </w:p>
        </w:tc>
        <w:tc>
          <w:tcPr>
            <w:tcW w:w="1701" w:type="dxa"/>
          </w:tcPr>
          <w:p w:rsidR="008C7751" w:rsidRPr="00E00B35" w:rsidRDefault="008C7751" w:rsidP="00E00B35">
            <w:pPr>
              <w:spacing w:after="0" w:line="312" w:lineRule="auto"/>
              <w:rPr>
                <w:szCs w:val="20"/>
              </w:rPr>
            </w:pPr>
            <w:r w:rsidRPr="00E00B35">
              <w:rPr>
                <w:szCs w:val="20"/>
              </w:rPr>
              <w:t xml:space="preserve">81 380,15                            </w:t>
            </w:r>
          </w:p>
        </w:tc>
        <w:tc>
          <w:tcPr>
            <w:tcW w:w="1985" w:type="dxa"/>
          </w:tcPr>
          <w:p w:rsidR="008C7751" w:rsidRPr="00E00B35" w:rsidRDefault="008C7751" w:rsidP="00E00B35">
            <w:pPr>
              <w:spacing w:after="0" w:line="312" w:lineRule="auto"/>
              <w:rPr>
                <w:szCs w:val="20"/>
              </w:rPr>
            </w:pPr>
            <w:r w:rsidRPr="00E00B35">
              <w:rPr>
                <w:szCs w:val="20"/>
              </w:rPr>
              <w:t xml:space="preserve">110 308,50                       </w:t>
            </w:r>
          </w:p>
        </w:tc>
        <w:tc>
          <w:tcPr>
            <w:tcW w:w="1842" w:type="dxa"/>
          </w:tcPr>
          <w:p w:rsidR="008C7751" w:rsidRPr="00E00B35" w:rsidRDefault="008C7751" w:rsidP="00E00B35">
            <w:pPr>
              <w:spacing w:after="0" w:line="312" w:lineRule="auto"/>
              <w:rPr>
                <w:szCs w:val="20"/>
              </w:rPr>
            </w:pPr>
            <w:r w:rsidRPr="00E00B35">
              <w:rPr>
                <w:szCs w:val="20"/>
              </w:rPr>
              <w:t>120 689,11</w:t>
            </w:r>
          </w:p>
        </w:tc>
        <w:tc>
          <w:tcPr>
            <w:tcW w:w="1843" w:type="dxa"/>
          </w:tcPr>
          <w:p w:rsidR="008C7751" w:rsidRPr="00E00B35" w:rsidRDefault="008C7751" w:rsidP="00E00B35">
            <w:pPr>
              <w:spacing w:after="0" w:line="312" w:lineRule="auto"/>
              <w:rPr>
                <w:szCs w:val="20"/>
              </w:rPr>
            </w:pPr>
            <w:r w:rsidRPr="00E00B35">
              <w:rPr>
                <w:szCs w:val="20"/>
              </w:rPr>
              <w:t xml:space="preserve">125 473,15 </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Raty</w:t>
            </w:r>
          </w:p>
        </w:tc>
        <w:tc>
          <w:tcPr>
            <w:tcW w:w="1701" w:type="dxa"/>
          </w:tcPr>
          <w:p w:rsidR="008C7751" w:rsidRPr="00E00B35" w:rsidRDefault="008C7751" w:rsidP="00E00B35">
            <w:pPr>
              <w:spacing w:after="0" w:line="312" w:lineRule="auto"/>
              <w:rPr>
                <w:szCs w:val="20"/>
              </w:rPr>
            </w:pPr>
            <w:r w:rsidRPr="00E00B35">
              <w:rPr>
                <w:szCs w:val="20"/>
              </w:rPr>
              <w:t xml:space="preserve">600 431,61                   </w:t>
            </w:r>
          </w:p>
        </w:tc>
        <w:tc>
          <w:tcPr>
            <w:tcW w:w="1985" w:type="dxa"/>
          </w:tcPr>
          <w:p w:rsidR="008C7751" w:rsidRPr="00E00B35" w:rsidRDefault="008C7751" w:rsidP="00E00B35">
            <w:pPr>
              <w:spacing w:after="0" w:line="312" w:lineRule="auto"/>
              <w:rPr>
                <w:szCs w:val="20"/>
              </w:rPr>
            </w:pPr>
            <w:r w:rsidRPr="00E00B35">
              <w:rPr>
                <w:szCs w:val="20"/>
              </w:rPr>
              <w:t xml:space="preserve">701 358,70                       </w:t>
            </w:r>
          </w:p>
        </w:tc>
        <w:tc>
          <w:tcPr>
            <w:tcW w:w="1842" w:type="dxa"/>
          </w:tcPr>
          <w:p w:rsidR="008C7751" w:rsidRPr="00E00B35" w:rsidRDefault="008C7751" w:rsidP="00E00B35">
            <w:pPr>
              <w:spacing w:after="0" w:line="312" w:lineRule="auto"/>
              <w:rPr>
                <w:szCs w:val="20"/>
              </w:rPr>
            </w:pPr>
            <w:r w:rsidRPr="00E00B35">
              <w:rPr>
                <w:szCs w:val="20"/>
              </w:rPr>
              <w:t xml:space="preserve">612 961,35 </w:t>
            </w:r>
          </w:p>
        </w:tc>
        <w:tc>
          <w:tcPr>
            <w:tcW w:w="1843" w:type="dxa"/>
          </w:tcPr>
          <w:p w:rsidR="008C7751" w:rsidRPr="00E00B35" w:rsidRDefault="008C7751" w:rsidP="00E00B35">
            <w:pPr>
              <w:spacing w:after="0" w:line="312" w:lineRule="auto"/>
              <w:rPr>
                <w:szCs w:val="20"/>
              </w:rPr>
            </w:pPr>
            <w:r w:rsidRPr="00E00B35">
              <w:rPr>
                <w:szCs w:val="20"/>
              </w:rPr>
              <w:t xml:space="preserve">579 179,06 </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Odroczenia</w:t>
            </w:r>
          </w:p>
        </w:tc>
        <w:tc>
          <w:tcPr>
            <w:tcW w:w="1701" w:type="dxa"/>
          </w:tcPr>
          <w:p w:rsidR="008C7751" w:rsidRPr="00E00B35" w:rsidRDefault="008C7751" w:rsidP="00E00B35">
            <w:pPr>
              <w:spacing w:after="0" w:line="312" w:lineRule="auto"/>
              <w:rPr>
                <w:szCs w:val="20"/>
              </w:rPr>
            </w:pPr>
            <w:r w:rsidRPr="00E00B35">
              <w:rPr>
                <w:szCs w:val="20"/>
              </w:rPr>
              <w:t xml:space="preserve">27 267,00                   </w:t>
            </w:r>
          </w:p>
        </w:tc>
        <w:tc>
          <w:tcPr>
            <w:tcW w:w="1985" w:type="dxa"/>
          </w:tcPr>
          <w:p w:rsidR="008C7751" w:rsidRPr="00E00B35" w:rsidRDefault="008C7751" w:rsidP="00E00B35">
            <w:pPr>
              <w:spacing w:after="0" w:line="312" w:lineRule="auto"/>
              <w:rPr>
                <w:szCs w:val="20"/>
              </w:rPr>
            </w:pPr>
            <w:r w:rsidRPr="00E00B35">
              <w:rPr>
                <w:szCs w:val="20"/>
              </w:rPr>
              <w:t xml:space="preserve">47 433,50                          </w:t>
            </w:r>
          </w:p>
        </w:tc>
        <w:tc>
          <w:tcPr>
            <w:tcW w:w="1842" w:type="dxa"/>
          </w:tcPr>
          <w:p w:rsidR="008C7751" w:rsidRPr="00E00B35" w:rsidRDefault="008C7751" w:rsidP="00E00B35">
            <w:pPr>
              <w:spacing w:after="0" w:line="312" w:lineRule="auto"/>
              <w:rPr>
                <w:szCs w:val="20"/>
              </w:rPr>
            </w:pPr>
            <w:r w:rsidRPr="00E00B35">
              <w:rPr>
                <w:szCs w:val="20"/>
              </w:rPr>
              <w:t>12 921,00</w:t>
            </w:r>
          </w:p>
        </w:tc>
        <w:tc>
          <w:tcPr>
            <w:tcW w:w="1843" w:type="dxa"/>
          </w:tcPr>
          <w:p w:rsidR="008C7751" w:rsidRPr="00E00B35" w:rsidRDefault="008C7751" w:rsidP="00E00B35">
            <w:pPr>
              <w:spacing w:after="0" w:line="312" w:lineRule="auto"/>
              <w:rPr>
                <w:szCs w:val="20"/>
              </w:rPr>
            </w:pPr>
            <w:r w:rsidRPr="00E00B35">
              <w:rPr>
                <w:szCs w:val="20"/>
              </w:rPr>
              <w:t xml:space="preserve">34 928,21 </w:t>
            </w:r>
          </w:p>
        </w:tc>
      </w:tr>
      <w:tr w:rsidR="008C7751" w:rsidRPr="00E00B35" w:rsidTr="008C7751">
        <w:trPr>
          <w:cantSplit/>
        </w:trPr>
        <w:tc>
          <w:tcPr>
            <w:tcW w:w="9284" w:type="dxa"/>
            <w:gridSpan w:val="5"/>
            <w:vAlign w:val="center"/>
          </w:tcPr>
          <w:p w:rsidR="008C7751" w:rsidRPr="00E00B35" w:rsidRDefault="008C7751" w:rsidP="00E00B35">
            <w:pPr>
              <w:spacing w:after="0" w:line="312" w:lineRule="auto"/>
              <w:rPr>
                <w:bCs/>
                <w:szCs w:val="20"/>
              </w:rPr>
            </w:pPr>
          </w:p>
          <w:p w:rsidR="008C7751" w:rsidRPr="00E00B35" w:rsidRDefault="008C7751" w:rsidP="00E00B35">
            <w:pPr>
              <w:spacing w:after="0" w:line="312" w:lineRule="auto"/>
              <w:rPr>
                <w:bCs/>
                <w:szCs w:val="20"/>
              </w:rPr>
            </w:pPr>
            <w:r w:rsidRPr="00E00B35">
              <w:rPr>
                <w:bCs/>
                <w:szCs w:val="20"/>
              </w:rPr>
              <w:t xml:space="preserve">NALEŻNOŚCI PUBLICZNOPRAWNE I KOSZTY EGZEKUCYJNE </w:t>
            </w:r>
            <w:r w:rsidRPr="00E00B35">
              <w:rPr>
                <w:szCs w:val="20"/>
              </w:rPr>
              <w:t>(zł)</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Umorzenia</w:t>
            </w:r>
          </w:p>
        </w:tc>
        <w:tc>
          <w:tcPr>
            <w:tcW w:w="1701" w:type="dxa"/>
          </w:tcPr>
          <w:p w:rsidR="008C7751" w:rsidRPr="00E00B35" w:rsidRDefault="008C7751" w:rsidP="00E00B35">
            <w:pPr>
              <w:spacing w:after="0" w:line="312" w:lineRule="auto"/>
              <w:rPr>
                <w:szCs w:val="20"/>
              </w:rPr>
            </w:pPr>
            <w:r w:rsidRPr="00E00B35">
              <w:rPr>
                <w:szCs w:val="20"/>
              </w:rPr>
              <w:t xml:space="preserve">94 357,60                   </w:t>
            </w:r>
          </w:p>
        </w:tc>
        <w:tc>
          <w:tcPr>
            <w:tcW w:w="1985" w:type="dxa"/>
          </w:tcPr>
          <w:p w:rsidR="008C7751" w:rsidRPr="00E00B35" w:rsidRDefault="008C7751" w:rsidP="00E00B35">
            <w:pPr>
              <w:spacing w:after="0" w:line="312" w:lineRule="auto"/>
              <w:rPr>
                <w:szCs w:val="20"/>
              </w:rPr>
            </w:pPr>
            <w:r w:rsidRPr="00E00B35">
              <w:rPr>
                <w:szCs w:val="20"/>
              </w:rPr>
              <w:t xml:space="preserve">184,80                             </w:t>
            </w:r>
          </w:p>
        </w:tc>
        <w:tc>
          <w:tcPr>
            <w:tcW w:w="1842" w:type="dxa"/>
          </w:tcPr>
          <w:p w:rsidR="008C7751" w:rsidRPr="00E00B35" w:rsidRDefault="008C7751" w:rsidP="00E00B35">
            <w:pPr>
              <w:spacing w:after="0" w:line="312" w:lineRule="auto"/>
              <w:rPr>
                <w:bCs/>
                <w:szCs w:val="20"/>
              </w:rPr>
            </w:pPr>
            <w:r w:rsidRPr="00E00B35">
              <w:rPr>
                <w:bCs/>
                <w:szCs w:val="20"/>
              </w:rPr>
              <w:t>1 352,00</w:t>
            </w:r>
          </w:p>
        </w:tc>
        <w:tc>
          <w:tcPr>
            <w:tcW w:w="1843" w:type="dxa"/>
          </w:tcPr>
          <w:p w:rsidR="008C7751" w:rsidRPr="00E00B35" w:rsidRDefault="008C7751" w:rsidP="00E00B35">
            <w:pPr>
              <w:spacing w:after="0" w:line="312" w:lineRule="auto"/>
              <w:rPr>
                <w:bCs/>
                <w:szCs w:val="20"/>
              </w:rPr>
            </w:pPr>
            <w:r w:rsidRPr="00E00B35">
              <w:rPr>
                <w:bCs/>
                <w:szCs w:val="20"/>
              </w:rPr>
              <w:t xml:space="preserve">1 553,10 </w:t>
            </w:r>
          </w:p>
        </w:tc>
      </w:tr>
      <w:tr w:rsidR="008C7751" w:rsidRPr="00E00B35" w:rsidTr="008C7751">
        <w:trPr>
          <w:trHeight w:val="317"/>
        </w:trPr>
        <w:tc>
          <w:tcPr>
            <w:tcW w:w="1913" w:type="dxa"/>
          </w:tcPr>
          <w:p w:rsidR="008C7751" w:rsidRPr="00E00B35" w:rsidRDefault="008C7751" w:rsidP="00E00B35">
            <w:pPr>
              <w:spacing w:after="0" w:line="312" w:lineRule="auto"/>
              <w:rPr>
                <w:bCs/>
                <w:szCs w:val="20"/>
              </w:rPr>
            </w:pPr>
            <w:r w:rsidRPr="00E00B35">
              <w:rPr>
                <w:bCs/>
                <w:szCs w:val="20"/>
              </w:rPr>
              <w:t>Raty</w:t>
            </w:r>
          </w:p>
        </w:tc>
        <w:tc>
          <w:tcPr>
            <w:tcW w:w="1701" w:type="dxa"/>
          </w:tcPr>
          <w:p w:rsidR="008C7751" w:rsidRPr="00E00B35" w:rsidRDefault="008C7751" w:rsidP="00E00B35">
            <w:pPr>
              <w:spacing w:after="0" w:line="312" w:lineRule="auto"/>
              <w:rPr>
                <w:szCs w:val="20"/>
              </w:rPr>
            </w:pPr>
            <w:r w:rsidRPr="00E00B35">
              <w:rPr>
                <w:szCs w:val="20"/>
              </w:rPr>
              <w:t xml:space="preserve">4 943,98                    </w:t>
            </w:r>
          </w:p>
        </w:tc>
        <w:tc>
          <w:tcPr>
            <w:tcW w:w="1985" w:type="dxa"/>
          </w:tcPr>
          <w:p w:rsidR="008C7751" w:rsidRPr="00E00B35" w:rsidRDefault="008C7751" w:rsidP="00E00B35">
            <w:pPr>
              <w:spacing w:after="0" w:line="312" w:lineRule="auto"/>
              <w:rPr>
                <w:szCs w:val="20"/>
              </w:rPr>
            </w:pPr>
            <w:r w:rsidRPr="00E00B35">
              <w:rPr>
                <w:szCs w:val="20"/>
              </w:rPr>
              <w:t xml:space="preserve">2 673,20 </w:t>
            </w:r>
          </w:p>
        </w:tc>
        <w:tc>
          <w:tcPr>
            <w:tcW w:w="1842" w:type="dxa"/>
          </w:tcPr>
          <w:p w:rsidR="008C7751" w:rsidRPr="00E00B35" w:rsidRDefault="008C7751" w:rsidP="00E00B35">
            <w:pPr>
              <w:spacing w:after="0" w:line="312" w:lineRule="auto"/>
              <w:rPr>
                <w:bCs/>
                <w:szCs w:val="20"/>
              </w:rPr>
            </w:pPr>
            <w:r w:rsidRPr="00E00B35">
              <w:rPr>
                <w:bCs/>
                <w:szCs w:val="20"/>
              </w:rPr>
              <w:t xml:space="preserve">13 984,80 </w:t>
            </w:r>
          </w:p>
        </w:tc>
        <w:tc>
          <w:tcPr>
            <w:tcW w:w="1843" w:type="dxa"/>
          </w:tcPr>
          <w:p w:rsidR="008C7751" w:rsidRPr="00E00B35" w:rsidRDefault="008C7751" w:rsidP="00E00B35">
            <w:pPr>
              <w:spacing w:after="0" w:line="312" w:lineRule="auto"/>
              <w:rPr>
                <w:bCs/>
                <w:szCs w:val="20"/>
              </w:rPr>
            </w:pPr>
            <w:r w:rsidRPr="00E00B35">
              <w:rPr>
                <w:bCs/>
                <w:szCs w:val="20"/>
              </w:rPr>
              <w:t xml:space="preserve">4 284,80 </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Odroczenia</w:t>
            </w:r>
          </w:p>
        </w:tc>
        <w:tc>
          <w:tcPr>
            <w:tcW w:w="1701" w:type="dxa"/>
          </w:tcPr>
          <w:p w:rsidR="008C7751" w:rsidRPr="00E00B35" w:rsidRDefault="008C7751" w:rsidP="00E00B35">
            <w:pPr>
              <w:spacing w:after="0" w:line="312" w:lineRule="auto"/>
              <w:rPr>
                <w:szCs w:val="20"/>
              </w:rPr>
            </w:pPr>
            <w:r w:rsidRPr="00E00B35">
              <w:rPr>
                <w:szCs w:val="20"/>
              </w:rPr>
              <w:t xml:space="preserve">0,00                            </w:t>
            </w:r>
          </w:p>
        </w:tc>
        <w:tc>
          <w:tcPr>
            <w:tcW w:w="1985" w:type="dxa"/>
          </w:tcPr>
          <w:p w:rsidR="008C7751" w:rsidRPr="00E00B35" w:rsidRDefault="008C7751" w:rsidP="00E00B35">
            <w:pPr>
              <w:spacing w:after="0" w:line="312" w:lineRule="auto"/>
              <w:rPr>
                <w:szCs w:val="20"/>
              </w:rPr>
            </w:pPr>
            <w:r w:rsidRPr="00E00B35">
              <w:rPr>
                <w:szCs w:val="20"/>
              </w:rPr>
              <w:t xml:space="preserve">0,00 </w:t>
            </w:r>
          </w:p>
        </w:tc>
        <w:tc>
          <w:tcPr>
            <w:tcW w:w="1842" w:type="dxa"/>
          </w:tcPr>
          <w:p w:rsidR="008C7751" w:rsidRPr="00E00B35" w:rsidRDefault="008C7751" w:rsidP="00E00B35">
            <w:pPr>
              <w:spacing w:after="0" w:line="312" w:lineRule="auto"/>
              <w:rPr>
                <w:szCs w:val="20"/>
              </w:rPr>
            </w:pPr>
            <w:r w:rsidRPr="00E00B35">
              <w:rPr>
                <w:szCs w:val="20"/>
              </w:rPr>
              <w:t>0,00</w:t>
            </w:r>
          </w:p>
        </w:tc>
        <w:tc>
          <w:tcPr>
            <w:tcW w:w="1843" w:type="dxa"/>
          </w:tcPr>
          <w:p w:rsidR="008C7751" w:rsidRPr="00E00B35" w:rsidRDefault="008C7751" w:rsidP="00E00B35">
            <w:pPr>
              <w:spacing w:after="0" w:line="312" w:lineRule="auto"/>
              <w:rPr>
                <w:szCs w:val="20"/>
              </w:rPr>
            </w:pPr>
            <w:r w:rsidRPr="00E00B35">
              <w:rPr>
                <w:szCs w:val="20"/>
              </w:rPr>
              <w:t xml:space="preserve">0,00 </w:t>
            </w:r>
          </w:p>
        </w:tc>
      </w:tr>
      <w:tr w:rsidR="008C7751" w:rsidRPr="00E00B35" w:rsidTr="008C7751">
        <w:trPr>
          <w:cantSplit/>
        </w:trPr>
        <w:tc>
          <w:tcPr>
            <w:tcW w:w="9284" w:type="dxa"/>
            <w:gridSpan w:val="5"/>
            <w:vAlign w:val="center"/>
          </w:tcPr>
          <w:p w:rsidR="008C7751" w:rsidRPr="00E00B35" w:rsidRDefault="008C7751" w:rsidP="00E00B35">
            <w:pPr>
              <w:spacing w:after="0" w:line="312" w:lineRule="auto"/>
              <w:rPr>
                <w:bCs/>
                <w:szCs w:val="20"/>
              </w:rPr>
            </w:pPr>
          </w:p>
          <w:p w:rsidR="008C7751" w:rsidRPr="00E00B35" w:rsidRDefault="008C7751" w:rsidP="00E00B35">
            <w:pPr>
              <w:spacing w:after="0" w:line="312" w:lineRule="auto"/>
              <w:rPr>
                <w:bCs/>
                <w:szCs w:val="20"/>
              </w:rPr>
            </w:pPr>
            <w:r w:rsidRPr="00E00B35">
              <w:rPr>
                <w:bCs/>
                <w:szCs w:val="20"/>
              </w:rPr>
              <w:t xml:space="preserve">NALEŻNOŚCI CYWILNOPRAWNE </w:t>
            </w:r>
            <w:r w:rsidRPr="00E00B35">
              <w:rPr>
                <w:szCs w:val="20"/>
              </w:rPr>
              <w:t>(w zł)</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Umorzenia</w:t>
            </w:r>
          </w:p>
        </w:tc>
        <w:tc>
          <w:tcPr>
            <w:tcW w:w="1701" w:type="dxa"/>
          </w:tcPr>
          <w:p w:rsidR="008C7751" w:rsidRPr="00E00B35" w:rsidRDefault="008C7751" w:rsidP="00E00B35">
            <w:pPr>
              <w:spacing w:after="0" w:line="312" w:lineRule="auto"/>
              <w:rPr>
                <w:bCs/>
                <w:szCs w:val="20"/>
              </w:rPr>
            </w:pPr>
            <w:r w:rsidRPr="00E00B35">
              <w:rPr>
                <w:bCs/>
                <w:szCs w:val="20"/>
              </w:rPr>
              <w:t xml:space="preserve">177 505,27                     </w:t>
            </w:r>
          </w:p>
        </w:tc>
        <w:tc>
          <w:tcPr>
            <w:tcW w:w="1985" w:type="dxa"/>
          </w:tcPr>
          <w:p w:rsidR="008C7751" w:rsidRPr="00E00B35" w:rsidRDefault="008C7751" w:rsidP="00E00B35">
            <w:pPr>
              <w:spacing w:after="0" w:line="312" w:lineRule="auto"/>
              <w:rPr>
                <w:bCs/>
                <w:szCs w:val="20"/>
              </w:rPr>
            </w:pPr>
            <w:r w:rsidRPr="00E00B35">
              <w:rPr>
                <w:bCs/>
                <w:szCs w:val="20"/>
              </w:rPr>
              <w:t xml:space="preserve">219 140,00 </w:t>
            </w:r>
          </w:p>
        </w:tc>
        <w:tc>
          <w:tcPr>
            <w:tcW w:w="1842" w:type="dxa"/>
          </w:tcPr>
          <w:p w:rsidR="008C7751" w:rsidRPr="00E00B35" w:rsidRDefault="008C7751" w:rsidP="00E00B35">
            <w:pPr>
              <w:spacing w:after="0" w:line="312" w:lineRule="auto"/>
              <w:rPr>
                <w:szCs w:val="20"/>
              </w:rPr>
            </w:pPr>
            <w:r w:rsidRPr="00E00B35">
              <w:rPr>
                <w:szCs w:val="20"/>
              </w:rPr>
              <w:t xml:space="preserve">145 350,34 </w:t>
            </w:r>
          </w:p>
        </w:tc>
        <w:tc>
          <w:tcPr>
            <w:tcW w:w="1843" w:type="dxa"/>
          </w:tcPr>
          <w:p w:rsidR="008C7751" w:rsidRPr="00E00B35" w:rsidRDefault="008C7751" w:rsidP="00E00B35">
            <w:pPr>
              <w:spacing w:after="0" w:line="312" w:lineRule="auto"/>
              <w:rPr>
                <w:szCs w:val="20"/>
              </w:rPr>
            </w:pPr>
            <w:r w:rsidRPr="00E00B35">
              <w:rPr>
                <w:szCs w:val="20"/>
              </w:rPr>
              <w:t xml:space="preserve">1 145 804,96 </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Raty</w:t>
            </w:r>
          </w:p>
        </w:tc>
        <w:tc>
          <w:tcPr>
            <w:tcW w:w="1701" w:type="dxa"/>
          </w:tcPr>
          <w:p w:rsidR="008C7751" w:rsidRPr="00E00B35" w:rsidRDefault="008C7751" w:rsidP="00E00B35">
            <w:pPr>
              <w:spacing w:after="0" w:line="312" w:lineRule="auto"/>
              <w:rPr>
                <w:bCs/>
                <w:szCs w:val="20"/>
              </w:rPr>
            </w:pPr>
            <w:r w:rsidRPr="00E00B35">
              <w:rPr>
                <w:bCs/>
                <w:szCs w:val="20"/>
              </w:rPr>
              <w:t xml:space="preserve">2 891 707,36 </w:t>
            </w:r>
          </w:p>
        </w:tc>
        <w:tc>
          <w:tcPr>
            <w:tcW w:w="1985" w:type="dxa"/>
          </w:tcPr>
          <w:p w:rsidR="008C7751" w:rsidRPr="00E00B35" w:rsidRDefault="008C7751" w:rsidP="00E00B35">
            <w:pPr>
              <w:spacing w:after="0" w:line="312" w:lineRule="auto"/>
              <w:rPr>
                <w:bCs/>
                <w:szCs w:val="20"/>
              </w:rPr>
            </w:pPr>
            <w:r w:rsidRPr="00E00B35">
              <w:rPr>
                <w:bCs/>
                <w:szCs w:val="20"/>
              </w:rPr>
              <w:t>3 270 082,10</w:t>
            </w:r>
          </w:p>
        </w:tc>
        <w:tc>
          <w:tcPr>
            <w:tcW w:w="1842" w:type="dxa"/>
          </w:tcPr>
          <w:p w:rsidR="008C7751" w:rsidRPr="00E00B35" w:rsidRDefault="008C7751" w:rsidP="00E00B35">
            <w:pPr>
              <w:spacing w:after="0" w:line="312" w:lineRule="auto"/>
              <w:rPr>
                <w:szCs w:val="20"/>
              </w:rPr>
            </w:pPr>
            <w:r w:rsidRPr="00E00B35">
              <w:rPr>
                <w:szCs w:val="20"/>
              </w:rPr>
              <w:t xml:space="preserve">4 056 329,7 </w:t>
            </w:r>
          </w:p>
        </w:tc>
        <w:tc>
          <w:tcPr>
            <w:tcW w:w="1843" w:type="dxa"/>
          </w:tcPr>
          <w:p w:rsidR="008C7751" w:rsidRPr="00E00B35" w:rsidRDefault="008C7751" w:rsidP="00E00B35">
            <w:pPr>
              <w:spacing w:after="0" w:line="312" w:lineRule="auto"/>
              <w:rPr>
                <w:szCs w:val="20"/>
              </w:rPr>
            </w:pPr>
            <w:r w:rsidRPr="00E00B35">
              <w:rPr>
                <w:szCs w:val="20"/>
              </w:rPr>
              <w:t xml:space="preserve">6 314 847,83 </w:t>
            </w:r>
          </w:p>
        </w:tc>
      </w:tr>
      <w:tr w:rsidR="008C7751" w:rsidRPr="00E00B35" w:rsidTr="008C7751">
        <w:tc>
          <w:tcPr>
            <w:tcW w:w="1913" w:type="dxa"/>
          </w:tcPr>
          <w:p w:rsidR="008C7751" w:rsidRPr="00E00B35" w:rsidRDefault="008C7751" w:rsidP="00E00B35">
            <w:pPr>
              <w:spacing w:after="0" w:line="312" w:lineRule="auto"/>
              <w:rPr>
                <w:bCs/>
                <w:szCs w:val="20"/>
              </w:rPr>
            </w:pPr>
            <w:r w:rsidRPr="00E00B35">
              <w:rPr>
                <w:bCs/>
                <w:szCs w:val="20"/>
              </w:rPr>
              <w:t>Odroczenia</w:t>
            </w:r>
          </w:p>
        </w:tc>
        <w:tc>
          <w:tcPr>
            <w:tcW w:w="1701" w:type="dxa"/>
          </w:tcPr>
          <w:p w:rsidR="008C7751" w:rsidRPr="00E00B35" w:rsidRDefault="008C7751" w:rsidP="00E00B35">
            <w:pPr>
              <w:spacing w:after="0" w:line="312" w:lineRule="auto"/>
              <w:rPr>
                <w:szCs w:val="20"/>
              </w:rPr>
            </w:pPr>
            <w:r w:rsidRPr="00E00B35">
              <w:rPr>
                <w:szCs w:val="20"/>
              </w:rPr>
              <w:t xml:space="preserve">625 837,99                     </w:t>
            </w:r>
          </w:p>
        </w:tc>
        <w:tc>
          <w:tcPr>
            <w:tcW w:w="1985" w:type="dxa"/>
          </w:tcPr>
          <w:p w:rsidR="008C7751" w:rsidRPr="00E00B35" w:rsidRDefault="008C7751" w:rsidP="00E00B35">
            <w:pPr>
              <w:spacing w:after="0" w:line="312" w:lineRule="auto"/>
              <w:rPr>
                <w:szCs w:val="20"/>
              </w:rPr>
            </w:pPr>
            <w:r w:rsidRPr="00E00B35">
              <w:rPr>
                <w:szCs w:val="20"/>
              </w:rPr>
              <w:t xml:space="preserve">2 636 726,66 </w:t>
            </w:r>
          </w:p>
        </w:tc>
        <w:tc>
          <w:tcPr>
            <w:tcW w:w="1842" w:type="dxa"/>
          </w:tcPr>
          <w:p w:rsidR="008C7751" w:rsidRPr="00E00B35" w:rsidRDefault="008C7751" w:rsidP="00E00B35">
            <w:pPr>
              <w:spacing w:after="0" w:line="312" w:lineRule="auto"/>
              <w:rPr>
                <w:szCs w:val="20"/>
              </w:rPr>
            </w:pPr>
            <w:r w:rsidRPr="00E00B35">
              <w:rPr>
                <w:szCs w:val="20"/>
              </w:rPr>
              <w:t xml:space="preserve">2 294 365,21 </w:t>
            </w:r>
          </w:p>
        </w:tc>
        <w:tc>
          <w:tcPr>
            <w:tcW w:w="1843" w:type="dxa"/>
          </w:tcPr>
          <w:p w:rsidR="008C7751" w:rsidRPr="00E00B35" w:rsidRDefault="008C7751" w:rsidP="00E00B35">
            <w:pPr>
              <w:spacing w:after="0" w:line="312" w:lineRule="auto"/>
              <w:rPr>
                <w:szCs w:val="20"/>
              </w:rPr>
            </w:pPr>
            <w:r w:rsidRPr="00E00B35">
              <w:rPr>
                <w:szCs w:val="20"/>
              </w:rPr>
              <w:t xml:space="preserve">2 030 675,32 </w:t>
            </w:r>
          </w:p>
        </w:tc>
      </w:tr>
    </w:tbl>
    <w:p w:rsidR="008C7751" w:rsidRPr="00E00B35" w:rsidRDefault="008C7751" w:rsidP="00E00B35">
      <w:pPr>
        <w:spacing w:after="0" w:line="312" w:lineRule="auto"/>
        <w:rPr>
          <w:szCs w:val="20"/>
        </w:rPr>
      </w:pPr>
    </w:p>
    <w:p w:rsidR="008C7751" w:rsidRPr="00E00B35" w:rsidRDefault="008C7751" w:rsidP="00E00B35">
      <w:pPr>
        <w:spacing w:after="0" w:line="312" w:lineRule="auto"/>
        <w:rPr>
          <w:b/>
          <w:color w:val="4F81BD"/>
          <w:szCs w:val="20"/>
        </w:rPr>
      </w:pPr>
    </w:p>
    <w:p w:rsidR="008C7751" w:rsidRPr="00E00B35" w:rsidRDefault="008C7751" w:rsidP="00E00B35">
      <w:pPr>
        <w:pStyle w:val="Nagwek4"/>
        <w:spacing w:before="0" w:after="0" w:line="312" w:lineRule="auto"/>
        <w:rPr>
          <w:sz w:val="20"/>
          <w:szCs w:val="20"/>
        </w:rPr>
      </w:pPr>
      <w:r w:rsidRPr="00E00B35">
        <w:rPr>
          <w:sz w:val="20"/>
          <w:szCs w:val="20"/>
        </w:rPr>
        <w:t>Dział Wspierania Wrocławskiej Przedsiębiorczości</w:t>
      </w:r>
    </w:p>
    <w:p w:rsidR="008C7751" w:rsidRPr="00E00B35" w:rsidRDefault="008C7751" w:rsidP="00E00B35">
      <w:pPr>
        <w:pStyle w:val="Nagwek5"/>
        <w:rPr>
          <w:szCs w:val="20"/>
        </w:rPr>
      </w:pPr>
      <w:r w:rsidRPr="00E00B35">
        <w:rPr>
          <w:szCs w:val="20"/>
          <w:shd w:val="clear" w:color="auto" w:fill="FFFFFF"/>
        </w:rPr>
        <w:t>1</w:t>
      </w:r>
      <w:r w:rsidRPr="00E00B35">
        <w:rPr>
          <w:szCs w:val="20"/>
        </w:rPr>
        <w:t>. Centrum Wsparcia Przedsiębiorców oraz  „</w:t>
      </w:r>
      <w:r w:rsidRPr="00E00B35">
        <w:rPr>
          <w:rFonts w:cs="Helvetica"/>
          <w:bCs/>
          <w:szCs w:val="20"/>
        </w:rPr>
        <w:t>Wrocławski</w:t>
      </w:r>
      <w:r w:rsidRPr="00E00B35">
        <w:rPr>
          <w:szCs w:val="20"/>
        </w:rPr>
        <w:t xml:space="preserve"> Pakiet Pomocowy”</w:t>
      </w:r>
    </w:p>
    <w:p w:rsidR="008C7751" w:rsidRPr="00E00B35" w:rsidRDefault="008C7751" w:rsidP="00E00B35">
      <w:pPr>
        <w:spacing w:after="0" w:line="312" w:lineRule="auto"/>
        <w:rPr>
          <w:rFonts w:cs="Helvetica"/>
          <w:bCs/>
          <w:szCs w:val="20"/>
        </w:rPr>
      </w:pPr>
      <w:r w:rsidRPr="00E00B35">
        <w:rPr>
          <w:rFonts w:cs="Helvetica"/>
          <w:bCs/>
          <w:szCs w:val="20"/>
        </w:rPr>
        <w:t xml:space="preserve">23 marca 2020 r. w Urzędzie Miejskim Wrocławia przy ul. Kotlarskiej 41 rozpoczęło działalność wrocławskie Centrum Wsparcia Przedsiębiorców specjalnie dedykowane firmom, które zostały zamknięte lub straciły płynność finansową z powodu pandemii COVID-19. </w:t>
      </w:r>
    </w:p>
    <w:p w:rsidR="008C7751" w:rsidRPr="00E00B35" w:rsidRDefault="008C7751" w:rsidP="00E00B35">
      <w:pPr>
        <w:spacing w:after="0" w:line="312" w:lineRule="auto"/>
        <w:rPr>
          <w:rStyle w:val="Hipercze"/>
          <w:szCs w:val="20"/>
        </w:rPr>
      </w:pPr>
      <w:r w:rsidRPr="00E00B35">
        <w:rPr>
          <w:rFonts w:cs="Helvetica"/>
          <w:bCs/>
          <w:szCs w:val="20"/>
        </w:rPr>
        <w:t xml:space="preserve">Przedstawiono również zasady postępowania dla przedsiębiorców określające warunki przeciwdziałania skutkom epidemii COVID-19 pod nazwą  „Wrocławski Pakiet Pomocowy”. </w:t>
      </w:r>
      <w:r w:rsidRPr="00E00B35">
        <w:rPr>
          <w:rFonts w:cs="Helvetica"/>
          <w:bCs/>
          <w:szCs w:val="20"/>
        </w:rPr>
        <w:br/>
      </w:r>
      <w:hyperlink r:id="rId31" w:history="1">
        <w:r w:rsidRPr="00E00B35">
          <w:rPr>
            <w:rStyle w:val="Hipercze"/>
            <w:szCs w:val="20"/>
          </w:rPr>
          <w:t>https://www.wroclaw.pl/biznes/centrum-wsparcia-przedsiebiorcow</w:t>
        </w:r>
      </w:hyperlink>
      <w:r w:rsidR="00896F97" w:rsidRPr="00E00B35">
        <w:rPr>
          <w:rStyle w:val="Hipercze"/>
          <w:szCs w:val="20"/>
        </w:rPr>
        <w:t>.</w:t>
      </w:r>
    </w:p>
    <w:p w:rsidR="008C7751" w:rsidRPr="00E00B35" w:rsidRDefault="008C7751" w:rsidP="00E00B35">
      <w:pPr>
        <w:spacing w:after="0" w:line="312" w:lineRule="auto"/>
        <w:rPr>
          <w:rFonts w:cs="Helvetica"/>
          <w:bCs/>
          <w:szCs w:val="20"/>
        </w:rPr>
      </w:pPr>
      <w:r w:rsidRPr="00E00B35">
        <w:rPr>
          <w:rFonts w:cs="Helvetica"/>
          <w:bCs/>
          <w:szCs w:val="20"/>
        </w:rPr>
        <w:t xml:space="preserve">W Centrum można było uzyskać kompleksową informację dotyczącą Wrocławskiego Pakietu Pomocowego, w tym:  sprawy związane z ulgami podatkowymi oraz ulgami od zobowiązań cywilnoprawnych, które adresowane są do miasta. </w:t>
      </w:r>
    </w:p>
    <w:p w:rsidR="008C7751" w:rsidRPr="00E00B35" w:rsidRDefault="00573162" w:rsidP="00E00B35">
      <w:pPr>
        <w:spacing w:after="0" w:line="312" w:lineRule="auto"/>
        <w:rPr>
          <w:rFonts w:cs="Helvetica"/>
          <w:bCs/>
          <w:szCs w:val="20"/>
        </w:rPr>
      </w:pPr>
      <w:hyperlink r:id="rId32" w:history="1">
        <w:r w:rsidR="008C7751" w:rsidRPr="00E00B35">
          <w:rPr>
            <w:rStyle w:val="Hipercze"/>
            <w:szCs w:val="20"/>
          </w:rPr>
          <w:t>https://www.wroclaw.pl/biznes/wroclawski-pakiet-pomocowy-dla-przedsiebiorcow-zasady-ulgi-odroczenia-platnosci</w:t>
        </w:r>
      </w:hyperlink>
      <w:r w:rsidR="008C7751" w:rsidRPr="00E00B35">
        <w:rPr>
          <w:rFonts w:cs="Helvetica"/>
          <w:bCs/>
          <w:szCs w:val="20"/>
        </w:rPr>
        <w:br/>
        <w:t xml:space="preserve">Pomoc w ramach Wrocławskiego Pakietu Pomocowego kierowana była do wszystkich przedsiębiorców, którzy ucierpieli w związku z pandemią koronawirusa i obejmowała: </w:t>
      </w:r>
    </w:p>
    <w:p w:rsidR="008C7751" w:rsidRPr="00E00B35" w:rsidRDefault="008C7751" w:rsidP="00E00B35">
      <w:pPr>
        <w:numPr>
          <w:ilvl w:val="0"/>
          <w:numId w:val="131"/>
        </w:numPr>
        <w:spacing w:after="0" w:line="312" w:lineRule="auto"/>
        <w:ind w:left="426" w:hanging="426"/>
        <w:rPr>
          <w:bCs/>
          <w:szCs w:val="20"/>
        </w:rPr>
      </w:pPr>
      <w:r w:rsidRPr="00E00B35">
        <w:rPr>
          <w:bCs/>
          <w:szCs w:val="20"/>
        </w:rPr>
        <w:t>ulgi od podatku od nieruchomości,</w:t>
      </w:r>
    </w:p>
    <w:p w:rsidR="008C7751" w:rsidRPr="00E00B35" w:rsidRDefault="008C7751" w:rsidP="00E00B35">
      <w:pPr>
        <w:numPr>
          <w:ilvl w:val="0"/>
          <w:numId w:val="131"/>
        </w:numPr>
        <w:spacing w:after="0" w:line="312" w:lineRule="auto"/>
        <w:ind w:left="426" w:hanging="426"/>
        <w:rPr>
          <w:bCs/>
          <w:szCs w:val="20"/>
        </w:rPr>
      </w:pPr>
      <w:r w:rsidRPr="00E00B35">
        <w:rPr>
          <w:bCs/>
          <w:szCs w:val="20"/>
        </w:rPr>
        <w:t>ulgi od podatku rolnego,</w:t>
      </w:r>
    </w:p>
    <w:p w:rsidR="008C7751" w:rsidRPr="00E00B35" w:rsidRDefault="008C7751" w:rsidP="00E00B35">
      <w:pPr>
        <w:numPr>
          <w:ilvl w:val="0"/>
          <w:numId w:val="131"/>
        </w:numPr>
        <w:spacing w:after="0" w:line="312" w:lineRule="auto"/>
        <w:ind w:left="426" w:hanging="426"/>
        <w:rPr>
          <w:bCs/>
          <w:szCs w:val="20"/>
        </w:rPr>
      </w:pPr>
      <w:r w:rsidRPr="00E00B35">
        <w:rPr>
          <w:bCs/>
          <w:szCs w:val="20"/>
        </w:rPr>
        <w:t>ulgi od podatku od środków transportowych,</w:t>
      </w:r>
    </w:p>
    <w:p w:rsidR="008C7751" w:rsidRPr="00E00B35" w:rsidRDefault="008C7751" w:rsidP="00E00B35">
      <w:pPr>
        <w:numPr>
          <w:ilvl w:val="0"/>
          <w:numId w:val="131"/>
        </w:numPr>
        <w:spacing w:after="0" w:line="312" w:lineRule="auto"/>
        <w:ind w:left="426" w:hanging="426"/>
        <w:rPr>
          <w:bCs/>
          <w:szCs w:val="20"/>
        </w:rPr>
      </w:pPr>
      <w:r w:rsidRPr="00E00B35">
        <w:rPr>
          <w:bCs/>
          <w:szCs w:val="20"/>
        </w:rPr>
        <w:t>ulgi od zobowiązań cywilnoprawnych, takich jak użytkowanie, opłaty z tytułu dzierżawy gruntu, najem i dzierżawa lokali, bezumowne korzystanie z gruntu,</w:t>
      </w:r>
    </w:p>
    <w:p w:rsidR="008C7751" w:rsidRPr="00E00B35" w:rsidRDefault="008C7751" w:rsidP="00E00B35">
      <w:pPr>
        <w:numPr>
          <w:ilvl w:val="0"/>
          <w:numId w:val="131"/>
        </w:numPr>
        <w:spacing w:after="0" w:line="312" w:lineRule="auto"/>
        <w:ind w:left="426" w:hanging="426"/>
        <w:rPr>
          <w:bCs/>
          <w:szCs w:val="20"/>
        </w:rPr>
      </w:pPr>
      <w:r w:rsidRPr="00E00B35">
        <w:rPr>
          <w:bCs/>
          <w:szCs w:val="20"/>
        </w:rPr>
        <w:t xml:space="preserve">zwolnienie z podatku od nieruchomości na podstawie Uchwały Rady Miejskiej Wrocławia XXI/560/20 z dnia 9 kwietnia 2020 r., </w:t>
      </w:r>
    </w:p>
    <w:p w:rsidR="008C7751" w:rsidRPr="00E00B35" w:rsidRDefault="008C7751" w:rsidP="00E00B35">
      <w:pPr>
        <w:numPr>
          <w:ilvl w:val="0"/>
          <w:numId w:val="131"/>
        </w:numPr>
        <w:spacing w:after="0" w:line="312" w:lineRule="auto"/>
        <w:ind w:left="426" w:hanging="426"/>
        <w:rPr>
          <w:bCs/>
          <w:szCs w:val="20"/>
        </w:rPr>
      </w:pPr>
      <w:r w:rsidRPr="00E00B35">
        <w:rPr>
          <w:bCs/>
          <w:szCs w:val="20"/>
        </w:rPr>
        <w:t>odstąpienie od dochodzenia należności dla przedsiębiorców i NGO-ów  na podstawie Uchwały Rady Miejskiej Wrocławia XXII/589/20 z dnia 30 kwietnia 2020 r.,</w:t>
      </w:r>
    </w:p>
    <w:p w:rsidR="008C7751" w:rsidRPr="00E00B35" w:rsidRDefault="008C7751" w:rsidP="00E00B35">
      <w:pPr>
        <w:numPr>
          <w:ilvl w:val="0"/>
          <w:numId w:val="131"/>
        </w:numPr>
        <w:spacing w:after="0" w:line="312" w:lineRule="auto"/>
        <w:ind w:left="426" w:hanging="426"/>
        <w:rPr>
          <w:bCs/>
          <w:szCs w:val="20"/>
        </w:rPr>
      </w:pPr>
      <w:r w:rsidRPr="00E00B35">
        <w:rPr>
          <w:bCs/>
          <w:szCs w:val="20"/>
        </w:rPr>
        <w:t>obniżenie stawki czynszu za dzierżawę gminnego terenu lub lokalu do symbolicznej złotówki oraz możliwość skorzystania z bezpłatnego ogródka gastronomicznego  (Zarządzenie Prezydenta Wrocławia 2820/2020 z dnia 27 marca 2020 r.),</w:t>
      </w:r>
    </w:p>
    <w:p w:rsidR="008C7751" w:rsidRPr="00E00B35" w:rsidRDefault="008C7751" w:rsidP="00E00B35">
      <w:pPr>
        <w:numPr>
          <w:ilvl w:val="0"/>
          <w:numId w:val="131"/>
        </w:numPr>
        <w:spacing w:after="0" w:line="312" w:lineRule="auto"/>
        <w:ind w:left="426" w:hanging="426"/>
        <w:rPr>
          <w:bCs/>
          <w:szCs w:val="20"/>
        </w:rPr>
      </w:pPr>
      <w:r w:rsidRPr="00E00B35">
        <w:rPr>
          <w:bCs/>
          <w:szCs w:val="20"/>
        </w:rPr>
        <w:t xml:space="preserve">obniżenie czynszu za lokale użytkowe (Zarządzenie Prezydenta Wrocławia 4220/20 </w:t>
      </w:r>
      <w:r w:rsidRPr="00E00B35">
        <w:rPr>
          <w:bCs/>
          <w:szCs w:val="20"/>
        </w:rPr>
        <w:br/>
        <w:t>z dnia 4 grudnia 2020 r.),</w:t>
      </w:r>
    </w:p>
    <w:p w:rsidR="008C7751" w:rsidRPr="00E00B35" w:rsidRDefault="008C7751" w:rsidP="00E00B35">
      <w:pPr>
        <w:numPr>
          <w:ilvl w:val="0"/>
          <w:numId w:val="131"/>
        </w:numPr>
        <w:spacing w:after="0" w:line="312" w:lineRule="auto"/>
        <w:ind w:left="426" w:hanging="426"/>
        <w:rPr>
          <w:bCs/>
          <w:szCs w:val="20"/>
        </w:rPr>
      </w:pPr>
      <w:r w:rsidRPr="00E00B35">
        <w:rPr>
          <w:bCs/>
          <w:szCs w:val="20"/>
        </w:rPr>
        <w:t>nienaliczanie opłaty prolongacyjnej,</w:t>
      </w:r>
    </w:p>
    <w:p w:rsidR="008C7751" w:rsidRPr="00E00B35" w:rsidRDefault="008C7751" w:rsidP="00E00B35">
      <w:pPr>
        <w:numPr>
          <w:ilvl w:val="0"/>
          <w:numId w:val="131"/>
        </w:numPr>
        <w:spacing w:after="0" w:line="312" w:lineRule="auto"/>
        <w:ind w:left="426" w:hanging="426"/>
        <w:rPr>
          <w:bCs/>
          <w:szCs w:val="20"/>
        </w:rPr>
      </w:pPr>
      <w:r w:rsidRPr="00E00B35">
        <w:rPr>
          <w:bCs/>
          <w:szCs w:val="20"/>
        </w:rPr>
        <w:t xml:space="preserve">zmniejszenie kaucji lub zabezpieczenia bankowego, </w:t>
      </w:r>
    </w:p>
    <w:p w:rsidR="008C7751" w:rsidRPr="00E00B35" w:rsidRDefault="008C7751" w:rsidP="00E00B35">
      <w:pPr>
        <w:numPr>
          <w:ilvl w:val="0"/>
          <w:numId w:val="131"/>
        </w:numPr>
        <w:spacing w:after="0" w:line="312" w:lineRule="auto"/>
        <w:ind w:left="426" w:hanging="426"/>
        <w:rPr>
          <w:bCs/>
          <w:szCs w:val="20"/>
        </w:rPr>
      </w:pPr>
      <w:r w:rsidRPr="00E00B35">
        <w:rPr>
          <w:bCs/>
          <w:szCs w:val="20"/>
        </w:rPr>
        <w:t>udzielanie mikropożyczek dedykowanych dla mikroprzedsiębiorców  w ramach zadań  Powiatowego Urzędu Pracy,</w:t>
      </w:r>
    </w:p>
    <w:p w:rsidR="008C7751" w:rsidRPr="00E00B35" w:rsidRDefault="008C7751" w:rsidP="00E00B35">
      <w:pPr>
        <w:numPr>
          <w:ilvl w:val="0"/>
          <w:numId w:val="131"/>
        </w:numPr>
        <w:spacing w:after="0" w:line="312" w:lineRule="auto"/>
        <w:ind w:left="426" w:hanging="426"/>
        <w:rPr>
          <w:bCs/>
          <w:szCs w:val="20"/>
        </w:rPr>
      </w:pPr>
      <w:r w:rsidRPr="00E00B35">
        <w:rPr>
          <w:bCs/>
          <w:szCs w:val="20"/>
        </w:rPr>
        <w:t>informowanie o rządowych tarcz antykryzysowych.</w:t>
      </w:r>
    </w:p>
    <w:p w:rsidR="008C7751" w:rsidRPr="00E00B35" w:rsidRDefault="008C7751" w:rsidP="00E00B35">
      <w:pPr>
        <w:spacing w:after="0" w:line="312" w:lineRule="auto"/>
        <w:rPr>
          <w:rFonts w:cs="Helvetica"/>
          <w:bCs/>
          <w:szCs w:val="20"/>
        </w:rPr>
      </w:pPr>
      <w:r w:rsidRPr="00E00B35">
        <w:rPr>
          <w:rFonts w:cs="Helvetica"/>
          <w:bCs/>
          <w:szCs w:val="20"/>
        </w:rPr>
        <w:t>Centrum współpracuje z jednostkami miejskimi takimi jak: Zarząd Zasobu Komunalnego, Wrocławskie Mieszkania, ZDiUM oraz wydziałami Urzędu Miejskiego takim jak: Wydział Podatków i Opłat, Wydział Nieruchomości Komunalnych i Biuro Rozwoju Gospodarczego.</w:t>
      </w:r>
    </w:p>
    <w:p w:rsidR="008C7751" w:rsidRPr="00E00B35" w:rsidRDefault="008C7751" w:rsidP="00E00B35">
      <w:pPr>
        <w:autoSpaceDE w:val="0"/>
        <w:autoSpaceDN w:val="0"/>
        <w:adjustRightInd w:val="0"/>
        <w:spacing w:after="0" w:line="312" w:lineRule="auto"/>
        <w:rPr>
          <w:b/>
          <w:color w:val="548DD4"/>
          <w:szCs w:val="20"/>
        </w:rPr>
      </w:pPr>
    </w:p>
    <w:p w:rsidR="008C7751" w:rsidRPr="00E00B35" w:rsidRDefault="008C7751" w:rsidP="00E00B35">
      <w:pPr>
        <w:pStyle w:val="Nagwek5"/>
        <w:rPr>
          <w:szCs w:val="20"/>
          <w:shd w:val="clear" w:color="auto" w:fill="FFFFFF"/>
        </w:rPr>
      </w:pPr>
      <w:r w:rsidRPr="00E00B35">
        <w:rPr>
          <w:szCs w:val="20"/>
          <w:shd w:val="clear" w:color="auto" w:fill="FFFFFF"/>
        </w:rPr>
        <w:t>2. Portal internetowy dedykowany Wrocławskim Przedsiębiorcom</w:t>
      </w:r>
    </w:p>
    <w:p w:rsidR="008C7751" w:rsidRPr="00E00B35" w:rsidRDefault="008C7751" w:rsidP="00E00B35">
      <w:pPr>
        <w:spacing w:after="0" w:line="312" w:lineRule="auto"/>
        <w:rPr>
          <w:rFonts w:cs="Helvetica"/>
          <w:bCs/>
          <w:szCs w:val="20"/>
        </w:rPr>
      </w:pPr>
      <w:r w:rsidRPr="00E00B35">
        <w:rPr>
          <w:rFonts w:cs="Helvetica"/>
          <w:bCs/>
          <w:szCs w:val="20"/>
        </w:rPr>
        <w:t xml:space="preserve">Tuż przed końcem roku  została wykonana platforma informacyjna dedykowana wrocławskim przedsiębiorcom. Nowa platforma ma na celu zebranie wszystkich informacji potrzebnych wrocławskim firmom. </w:t>
      </w:r>
    </w:p>
    <w:p w:rsidR="008C7751" w:rsidRPr="00E00B35" w:rsidRDefault="008C7751" w:rsidP="00E00B35">
      <w:pPr>
        <w:spacing w:after="0" w:line="312" w:lineRule="auto"/>
        <w:rPr>
          <w:rFonts w:cs="Helvetica"/>
          <w:bCs/>
          <w:szCs w:val="20"/>
        </w:rPr>
      </w:pPr>
      <w:r w:rsidRPr="00E00B35">
        <w:rPr>
          <w:rFonts w:cs="Helvetica"/>
          <w:bCs/>
          <w:szCs w:val="20"/>
        </w:rPr>
        <w:t xml:space="preserve">Ideą  portalu jest między innymi  przyczynianie się doinformowania przedsiębiorczości poprzez dostarczanie fachowej i kompleksowej wiedzy na temat zakładania i prowadzenia działalności gospodarczej oraz pomocy świadczonej w ramach Centrum Wsparcia Wrocławskiej Przedsiębiorczości. </w:t>
      </w:r>
    </w:p>
    <w:p w:rsidR="008C7751" w:rsidRPr="00E00B35" w:rsidRDefault="008C7751" w:rsidP="00E00B35">
      <w:pPr>
        <w:spacing w:after="0" w:line="312" w:lineRule="auto"/>
        <w:rPr>
          <w:rFonts w:cs="Helvetica"/>
          <w:bCs/>
          <w:szCs w:val="20"/>
        </w:rPr>
      </w:pPr>
      <w:r w:rsidRPr="00E00B35">
        <w:rPr>
          <w:rFonts w:cs="Helvetica"/>
          <w:bCs/>
          <w:szCs w:val="20"/>
        </w:rPr>
        <w:t>Portal zawiera informację w formie przewodnika dla: mikro-, małego-, średniego przedsiębiorcy, startup-ów, inwestora zagranicznego, kupców.</w:t>
      </w:r>
    </w:p>
    <w:p w:rsidR="008C7751" w:rsidRPr="00E00B35" w:rsidRDefault="008C7751" w:rsidP="00E00B35">
      <w:pPr>
        <w:spacing w:after="0" w:line="312" w:lineRule="auto"/>
        <w:rPr>
          <w:rFonts w:cs="Helvetica"/>
          <w:bCs/>
          <w:szCs w:val="20"/>
        </w:rPr>
      </w:pPr>
      <w:r w:rsidRPr="00E00B35">
        <w:rPr>
          <w:rFonts w:cs="Helvetica"/>
          <w:bCs/>
          <w:szCs w:val="20"/>
        </w:rPr>
        <w:t xml:space="preserve">Strona powstała zgodnie z założeniami Strategii Przedsiębiorczości 2030, która ma zwrócić uwagę na: </w:t>
      </w:r>
    </w:p>
    <w:p w:rsidR="008C7751" w:rsidRPr="00E00B35" w:rsidRDefault="008C7751" w:rsidP="00E00B35">
      <w:pPr>
        <w:spacing w:after="0" w:line="312" w:lineRule="auto"/>
        <w:ind w:left="426" w:hanging="426"/>
        <w:rPr>
          <w:rFonts w:cs="Helvetica"/>
          <w:bCs/>
          <w:szCs w:val="20"/>
        </w:rPr>
      </w:pPr>
      <w:r w:rsidRPr="00E00B35">
        <w:rPr>
          <w:rFonts w:cs="Helvetica"/>
          <w:bCs/>
          <w:szCs w:val="20"/>
        </w:rPr>
        <w:t xml:space="preserve">1. </w:t>
      </w:r>
      <w:r w:rsidRPr="00E00B35">
        <w:rPr>
          <w:rFonts w:cs="Helvetica"/>
          <w:bCs/>
          <w:szCs w:val="20"/>
        </w:rPr>
        <w:tab/>
        <w:t>kulturę przedsiębiorczości i edukacji,</w:t>
      </w:r>
    </w:p>
    <w:p w:rsidR="008C7751" w:rsidRPr="00E00B35" w:rsidRDefault="008C7751" w:rsidP="00E00B35">
      <w:pPr>
        <w:spacing w:after="0" w:line="312" w:lineRule="auto"/>
        <w:ind w:left="426" w:hanging="426"/>
        <w:rPr>
          <w:rFonts w:cs="Helvetica"/>
          <w:bCs/>
          <w:szCs w:val="20"/>
        </w:rPr>
      </w:pPr>
      <w:r w:rsidRPr="00E00B35">
        <w:rPr>
          <w:rFonts w:cs="Helvetica"/>
          <w:bCs/>
          <w:szCs w:val="20"/>
        </w:rPr>
        <w:t xml:space="preserve">2. </w:t>
      </w:r>
      <w:r w:rsidRPr="00E00B35">
        <w:rPr>
          <w:rFonts w:cs="Helvetica"/>
          <w:bCs/>
          <w:szCs w:val="20"/>
        </w:rPr>
        <w:tab/>
        <w:t>system wsparcia przedsiębiorczości,</w:t>
      </w:r>
    </w:p>
    <w:p w:rsidR="008C7751" w:rsidRPr="00E00B35" w:rsidRDefault="008C7751" w:rsidP="00E00B35">
      <w:pPr>
        <w:spacing w:after="0" w:line="312" w:lineRule="auto"/>
        <w:ind w:left="426" w:hanging="426"/>
        <w:rPr>
          <w:rFonts w:cs="Helvetica"/>
          <w:bCs/>
          <w:szCs w:val="20"/>
        </w:rPr>
      </w:pPr>
      <w:r w:rsidRPr="00E00B35">
        <w:rPr>
          <w:rFonts w:cs="Helvetica"/>
          <w:bCs/>
          <w:szCs w:val="20"/>
        </w:rPr>
        <w:t xml:space="preserve">3. </w:t>
      </w:r>
      <w:r w:rsidRPr="00E00B35">
        <w:rPr>
          <w:rFonts w:cs="Helvetica"/>
          <w:bCs/>
          <w:szCs w:val="20"/>
        </w:rPr>
        <w:tab/>
        <w:t>współpracę na rzecz przedsiębiorczości,</w:t>
      </w:r>
    </w:p>
    <w:p w:rsidR="008C7751" w:rsidRPr="00E00B35" w:rsidRDefault="008C7751" w:rsidP="00E00B35">
      <w:pPr>
        <w:spacing w:after="0" w:line="312" w:lineRule="auto"/>
        <w:ind w:left="426" w:hanging="426"/>
        <w:rPr>
          <w:rFonts w:cs="Helvetica"/>
          <w:bCs/>
          <w:szCs w:val="20"/>
        </w:rPr>
      </w:pPr>
      <w:r w:rsidRPr="00E00B35">
        <w:rPr>
          <w:rFonts w:cs="Helvetica"/>
          <w:bCs/>
          <w:szCs w:val="20"/>
        </w:rPr>
        <w:t xml:space="preserve">4. </w:t>
      </w:r>
      <w:r w:rsidRPr="00E00B35">
        <w:rPr>
          <w:rFonts w:cs="Helvetica"/>
          <w:bCs/>
          <w:szCs w:val="20"/>
        </w:rPr>
        <w:tab/>
        <w:t>promocję przedsiębiorczości.</w:t>
      </w:r>
    </w:p>
    <w:p w:rsidR="008C7751" w:rsidRPr="00E00B35" w:rsidRDefault="000A175C" w:rsidP="00E00B35">
      <w:pPr>
        <w:pStyle w:val="Nagwek5"/>
        <w:rPr>
          <w:szCs w:val="20"/>
        </w:rPr>
      </w:pPr>
      <w:r w:rsidRPr="00E00B35">
        <w:rPr>
          <w:szCs w:val="20"/>
        </w:rPr>
        <w:lastRenderedPageBreak/>
        <w:br/>
      </w:r>
      <w:r w:rsidR="008C7751" w:rsidRPr="00E00B35">
        <w:rPr>
          <w:szCs w:val="20"/>
        </w:rPr>
        <w:t>3. Program  „Nasz Wrocław”</w:t>
      </w:r>
    </w:p>
    <w:p w:rsidR="008C7751" w:rsidRPr="00E00B35" w:rsidRDefault="008C7751" w:rsidP="00E00B35">
      <w:pPr>
        <w:spacing w:after="0" w:line="312" w:lineRule="auto"/>
        <w:rPr>
          <w:rFonts w:cs="Helvetica"/>
          <w:bCs/>
          <w:szCs w:val="20"/>
        </w:rPr>
      </w:pPr>
      <w:r w:rsidRPr="00E00B35">
        <w:rPr>
          <w:rFonts w:cs="Helvetica"/>
          <w:bCs/>
          <w:szCs w:val="20"/>
        </w:rPr>
        <w:t>Nasz Wrocław to miejski program, którego celem jest zachęcanie mieszkańców do aktywnego spędzania wolnego czasu oraz udziału w życiu miasta. Skierowany jest do mieszkańców, którzy rozliczają podatek dochodowy w naszym mieście i tym samym korzystają z atrakcyjnych zniżek w obszarze m.in. kultury, sztuki, sportu, rozrywki czy edukacji.</w:t>
      </w:r>
      <w:r w:rsidRPr="00E00B35">
        <w:rPr>
          <w:rFonts w:cs="Helvetica"/>
          <w:bCs/>
          <w:szCs w:val="20"/>
        </w:rPr>
        <w:br/>
        <w:t xml:space="preserve">W tym roku pracowano nad projektem uzyskania nowej funkcjonalności </w:t>
      </w:r>
      <w:r w:rsidRPr="00E00B35">
        <w:rPr>
          <w:rFonts w:cs="Helvetica"/>
          <w:bCs/>
          <w:szCs w:val="20"/>
        </w:rPr>
        <w:br/>
        <w:t>w postaci tańszego biletu na korzystanie z komunikacji miejskiej. Od 1 stycznia 2021 r. we wrocławskiej komunikacji miejskiej wprowadzony został nowy cennik biletów. Dla osób płacących podatek dochodowy we Wrocławiu i mających aktywny status w programie Nasz Wrocław, cena imiennych biletów okresowych nie uległ zmianie.</w:t>
      </w:r>
    </w:p>
    <w:p w:rsidR="008C7751" w:rsidRPr="00E00B35" w:rsidRDefault="008C7751" w:rsidP="00E00B35">
      <w:pPr>
        <w:spacing w:after="0" w:line="312" w:lineRule="auto"/>
        <w:rPr>
          <w:rFonts w:cs="Helvetica"/>
          <w:bCs/>
          <w:szCs w:val="20"/>
        </w:rPr>
      </w:pPr>
      <w:r w:rsidRPr="00E00B35">
        <w:rPr>
          <w:rFonts w:cs="Helvetica"/>
          <w:bCs/>
          <w:szCs w:val="20"/>
        </w:rPr>
        <w:t xml:space="preserve">W ramach programu funkcjonuje Nasz Wrocław 365 czyli darmowe wejścia do sześciu miejskich instytucji i są to: </w:t>
      </w:r>
    </w:p>
    <w:p w:rsidR="008C7751" w:rsidRPr="00E00B35" w:rsidRDefault="008C7751" w:rsidP="00E00B35">
      <w:pPr>
        <w:numPr>
          <w:ilvl w:val="0"/>
          <w:numId w:val="131"/>
        </w:numPr>
        <w:spacing w:after="0" w:line="312" w:lineRule="auto"/>
        <w:ind w:left="426" w:hanging="426"/>
        <w:rPr>
          <w:bCs/>
          <w:szCs w:val="20"/>
        </w:rPr>
      </w:pPr>
      <w:r w:rsidRPr="00E00B35">
        <w:rPr>
          <w:bCs/>
          <w:szCs w:val="20"/>
        </w:rPr>
        <w:t>Aquapark – 2-godzinne wejście do strefy rekreacji dla osoby dorosłej,</w:t>
      </w:r>
    </w:p>
    <w:p w:rsidR="008C7751" w:rsidRPr="00E00B35" w:rsidRDefault="008C7751" w:rsidP="00E00B35">
      <w:pPr>
        <w:numPr>
          <w:ilvl w:val="0"/>
          <w:numId w:val="131"/>
        </w:numPr>
        <w:spacing w:after="0" w:line="312" w:lineRule="auto"/>
        <w:ind w:left="426" w:hanging="426"/>
        <w:rPr>
          <w:bCs/>
          <w:szCs w:val="20"/>
        </w:rPr>
      </w:pPr>
      <w:r w:rsidRPr="00E00B35">
        <w:rPr>
          <w:bCs/>
          <w:szCs w:val="20"/>
        </w:rPr>
        <w:t>Zoo Wrocław – bilet normalny dla osoby dorosłej,</w:t>
      </w:r>
    </w:p>
    <w:p w:rsidR="008C7751" w:rsidRPr="00E00B35" w:rsidRDefault="008C7751" w:rsidP="00E00B35">
      <w:pPr>
        <w:numPr>
          <w:ilvl w:val="0"/>
          <w:numId w:val="131"/>
        </w:numPr>
        <w:spacing w:after="0" w:line="312" w:lineRule="auto"/>
        <w:ind w:left="426" w:hanging="426"/>
        <w:rPr>
          <w:bCs/>
          <w:szCs w:val="20"/>
        </w:rPr>
      </w:pPr>
      <w:r w:rsidRPr="00E00B35">
        <w:rPr>
          <w:bCs/>
          <w:szCs w:val="20"/>
        </w:rPr>
        <w:t>Hydropolis – bilet normalny dla osoby dorosłej,</w:t>
      </w:r>
    </w:p>
    <w:p w:rsidR="008C7751" w:rsidRPr="00E00B35" w:rsidRDefault="008C7751" w:rsidP="00E00B35">
      <w:pPr>
        <w:numPr>
          <w:ilvl w:val="0"/>
          <w:numId w:val="131"/>
        </w:numPr>
        <w:spacing w:after="0" w:line="312" w:lineRule="auto"/>
        <w:ind w:left="426" w:hanging="426"/>
        <w:rPr>
          <w:bCs/>
          <w:szCs w:val="20"/>
        </w:rPr>
      </w:pPr>
      <w:r w:rsidRPr="00E00B35">
        <w:rPr>
          <w:bCs/>
          <w:szCs w:val="20"/>
        </w:rPr>
        <w:t>WKS Śląsk Wrocław – bilet na mecz piłkarski dla osoby dorosłej (sektor rodzinny),</w:t>
      </w:r>
    </w:p>
    <w:p w:rsidR="008C7751" w:rsidRPr="00E00B35" w:rsidRDefault="008C7751" w:rsidP="00E00B35">
      <w:pPr>
        <w:numPr>
          <w:ilvl w:val="0"/>
          <w:numId w:val="131"/>
        </w:numPr>
        <w:spacing w:after="0" w:line="312" w:lineRule="auto"/>
        <w:ind w:left="426" w:hanging="426"/>
        <w:rPr>
          <w:bCs/>
          <w:szCs w:val="20"/>
        </w:rPr>
      </w:pPr>
      <w:r w:rsidRPr="00E00B35">
        <w:rPr>
          <w:bCs/>
          <w:szCs w:val="20"/>
        </w:rPr>
        <w:t>Hala Stulecia – bilet na zwiedzanie visitor center dla osoby dorosłej,</w:t>
      </w:r>
    </w:p>
    <w:p w:rsidR="008C7751" w:rsidRPr="00E00B35" w:rsidRDefault="008C7751" w:rsidP="00E00B35">
      <w:pPr>
        <w:numPr>
          <w:ilvl w:val="0"/>
          <w:numId w:val="131"/>
        </w:numPr>
        <w:spacing w:after="0" w:line="312" w:lineRule="auto"/>
        <w:ind w:left="426" w:hanging="426"/>
        <w:rPr>
          <w:bCs/>
          <w:szCs w:val="20"/>
        </w:rPr>
      </w:pPr>
      <w:r w:rsidRPr="00E00B35">
        <w:rPr>
          <w:bCs/>
          <w:szCs w:val="20"/>
        </w:rPr>
        <w:t>Pływalnia Orbita – 1-godzinne wejście dla osoby dorosłej.</w:t>
      </w:r>
    </w:p>
    <w:p w:rsidR="008C7751" w:rsidRPr="00E00B35" w:rsidRDefault="008C7751" w:rsidP="00E00B35">
      <w:pPr>
        <w:spacing w:after="0" w:line="312" w:lineRule="auto"/>
        <w:rPr>
          <w:rFonts w:cs="Helvetica"/>
          <w:bCs/>
          <w:szCs w:val="20"/>
        </w:rPr>
      </w:pPr>
      <w:r w:rsidRPr="00E00B35">
        <w:rPr>
          <w:rFonts w:cs="Helvetica"/>
          <w:bCs/>
          <w:szCs w:val="20"/>
        </w:rPr>
        <w:t xml:space="preserve">Nasz Wrocław to 60 partnerów zarówno miejskich jak i komercyjnych. </w:t>
      </w:r>
      <w:r w:rsidRPr="00E00B35">
        <w:rPr>
          <w:rFonts w:cs="Helvetica"/>
          <w:bCs/>
          <w:szCs w:val="20"/>
        </w:rPr>
        <w:br/>
        <w:t xml:space="preserve">W 2020 roku do listy partnerów dołączyli: Vertigo Jazz Club, Hard Rock Cafe, Klockownia, </w:t>
      </w:r>
      <w:r w:rsidRPr="00E00B35">
        <w:rPr>
          <w:rFonts w:cs="Helvetica"/>
          <w:bCs/>
          <w:szCs w:val="20"/>
        </w:rPr>
        <w:br/>
        <w:t xml:space="preserve">7 Siekier, Loopy's World - Rodzinne Centrum Rozrywki, Planszóweczka.pl </w:t>
      </w:r>
      <w:r w:rsidRPr="00E00B35">
        <w:rPr>
          <w:rFonts w:cs="Helvetica"/>
          <w:bCs/>
          <w:szCs w:val="20"/>
        </w:rPr>
        <w:br/>
        <w:t xml:space="preserve">oraz Antykwariat im. Andrzeja Jaworskiego. </w:t>
      </w:r>
    </w:p>
    <w:p w:rsidR="008C7751" w:rsidRPr="00E00B35" w:rsidRDefault="008C7751" w:rsidP="00E00B35">
      <w:pPr>
        <w:spacing w:after="0" w:line="312" w:lineRule="auto"/>
        <w:rPr>
          <w:rFonts w:cs="Helvetica"/>
          <w:bCs/>
          <w:szCs w:val="20"/>
        </w:rPr>
      </w:pPr>
      <w:r w:rsidRPr="00E00B35">
        <w:rPr>
          <w:rFonts w:cs="Helvetica"/>
          <w:bCs/>
          <w:szCs w:val="20"/>
        </w:rPr>
        <w:t xml:space="preserve">Z programu „Nasz Wrocław” korzystało do końca 2020 roku ponad 80 tysięcy wrocławian. W ciągu ostatniego roku liczba Uczestników programu wzrosła aż o blisko 60 tysięcy mieszkańców. </w:t>
      </w:r>
    </w:p>
    <w:p w:rsidR="008C7751" w:rsidRPr="00E00B35" w:rsidRDefault="008C7751" w:rsidP="00E00B35">
      <w:pPr>
        <w:spacing w:after="0" w:line="312" w:lineRule="auto"/>
        <w:rPr>
          <w:rFonts w:cs="Arial"/>
          <w:bCs/>
          <w:szCs w:val="20"/>
        </w:rPr>
      </w:pPr>
      <w:r w:rsidRPr="00E00B35">
        <w:rPr>
          <w:rFonts w:cs="Helvetica"/>
          <w:bCs/>
          <w:szCs w:val="20"/>
        </w:rPr>
        <w:t xml:space="preserve">Informacje o projekcie: </w:t>
      </w:r>
      <w:hyperlink r:id="rId33" w:history="1">
        <w:r w:rsidRPr="00E00B35">
          <w:rPr>
            <w:rStyle w:val="Hipercze"/>
            <w:szCs w:val="20"/>
          </w:rPr>
          <w:t>https://www.wroclaw.pl/nasz-wroclaw/</w:t>
        </w:r>
      </w:hyperlink>
    </w:p>
    <w:p w:rsidR="008C7751" w:rsidRPr="00E00B35" w:rsidRDefault="008C7751" w:rsidP="00E00B35">
      <w:pPr>
        <w:autoSpaceDE w:val="0"/>
        <w:autoSpaceDN w:val="0"/>
        <w:adjustRightInd w:val="0"/>
        <w:spacing w:after="0" w:line="312" w:lineRule="auto"/>
        <w:rPr>
          <w:b/>
          <w:bCs/>
          <w:color w:val="548DD4"/>
          <w:szCs w:val="20"/>
          <w:shd w:val="clear" w:color="auto" w:fill="FFFFFF"/>
        </w:rPr>
      </w:pPr>
    </w:p>
    <w:p w:rsidR="008C7751" w:rsidRPr="00E00B35" w:rsidRDefault="008C7751" w:rsidP="00E00B35">
      <w:pPr>
        <w:pStyle w:val="Nagwek5"/>
        <w:rPr>
          <w:szCs w:val="20"/>
        </w:rPr>
      </w:pPr>
      <w:r w:rsidRPr="00E00B35">
        <w:rPr>
          <w:szCs w:val="20"/>
        </w:rPr>
        <w:t>4. „Przyjazne Deklaracje”</w:t>
      </w:r>
    </w:p>
    <w:p w:rsidR="008C7751" w:rsidRPr="00E00B35" w:rsidRDefault="008C7751" w:rsidP="00E00B35">
      <w:pPr>
        <w:spacing w:after="0" w:line="312" w:lineRule="auto"/>
        <w:rPr>
          <w:rFonts w:cs="Helvetica"/>
          <w:bCs/>
          <w:szCs w:val="20"/>
        </w:rPr>
      </w:pPr>
      <w:r w:rsidRPr="00E00B35">
        <w:rPr>
          <w:rFonts w:cs="Helvetica"/>
          <w:bCs/>
          <w:szCs w:val="20"/>
        </w:rPr>
        <w:t>„Przyjazne Deklaracje” to platforma wspierająca rozwój e-administracji. Platforma umożliwia wygenerowanie dokumentów, które można wydrukować, wysłać pocztą, drogą elektroniczną lub dostarczyć do Urzędu Miejskiego. Dzięki inteligentnym algorytmom, deklarację można wypełnić już w kilka minut. Narzędzie automatycznie dobiera stawki podatkowe, odpowiednie załączniki i oblicza należny podatek.</w:t>
      </w:r>
    </w:p>
    <w:p w:rsidR="008C7751" w:rsidRPr="00E00B35" w:rsidRDefault="008C7751" w:rsidP="00E00B35">
      <w:pPr>
        <w:spacing w:after="0" w:line="312" w:lineRule="auto"/>
        <w:rPr>
          <w:rFonts w:cs="Helvetica"/>
          <w:bCs/>
          <w:szCs w:val="20"/>
        </w:rPr>
      </w:pPr>
      <w:r w:rsidRPr="00E00B35">
        <w:rPr>
          <w:rFonts w:cs="Helvetica"/>
          <w:bCs/>
          <w:szCs w:val="20"/>
        </w:rPr>
        <w:t>Wrocławianie mogą poprzez stronę wypełnić deklaracje w zakresie: podatku od środków transportowych, podatku od nieruchomości, podatku rolnego podatku leśnego.</w:t>
      </w:r>
    </w:p>
    <w:p w:rsidR="008C7751" w:rsidRPr="00E00B35" w:rsidRDefault="008C7751" w:rsidP="00E00B35">
      <w:pPr>
        <w:spacing w:after="0" w:line="312" w:lineRule="auto"/>
        <w:rPr>
          <w:rFonts w:cs="Helvetica"/>
          <w:bCs/>
          <w:szCs w:val="20"/>
        </w:rPr>
      </w:pPr>
      <w:r w:rsidRPr="00E00B35">
        <w:rPr>
          <w:rFonts w:cs="Helvetica"/>
          <w:bCs/>
          <w:szCs w:val="20"/>
        </w:rPr>
        <w:t>Rozpoczęły się również prace wdrożeniowe do wprowadzenia deklaracji o wysokości opłaty za gospodarowanie odpadami komunalnymi („opłata śmieciowa”).</w:t>
      </w:r>
    </w:p>
    <w:p w:rsidR="008C7751" w:rsidRPr="00E00B35" w:rsidRDefault="008C7751" w:rsidP="00E00B35">
      <w:pPr>
        <w:spacing w:after="0" w:line="312" w:lineRule="auto"/>
        <w:rPr>
          <w:szCs w:val="20"/>
        </w:rPr>
      </w:pPr>
      <w:r w:rsidRPr="00E00B35">
        <w:rPr>
          <w:rFonts w:cs="Helvetica"/>
          <w:bCs/>
          <w:szCs w:val="20"/>
        </w:rPr>
        <w:t>Platforma:</w:t>
      </w:r>
      <w:r w:rsidRPr="00E00B35">
        <w:rPr>
          <w:rFonts w:cs="Arial"/>
          <w:color w:val="444444"/>
          <w:szCs w:val="20"/>
        </w:rPr>
        <w:t xml:space="preserve"> </w:t>
      </w:r>
      <w:hyperlink r:id="rId34" w:history="1">
        <w:r w:rsidRPr="00E00B35">
          <w:rPr>
            <w:rStyle w:val="Hipercze"/>
            <w:szCs w:val="20"/>
          </w:rPr>
          <w:t>https://przyjazne-deklaracje.pl/wroclaw/</w:t>
        </w:r>
      </w:hyperlink>
    </w:p>
    <w:p w:rsidR="008C7751" w:rsidRPr="00E00B35" w:rsidRDefault="008C7751" w:rsidP="00E00B35">
      <w:pPr>
        <w:autoSpaceDE w:val="0"/>
        <w:autoSpaceDN w:val="0"/>
        <w:adjustRightInd w:val="0"/>
        <w:spacing w:after="0" w:line="312" w:lineRule="auto"/>
        <w:rPr>
          <w:rFonts w:cs="Arial"/>
          <w:bCs/>
          <w:szCs w:val="20"/>
        </w:rPr>
      </w:pPr>
      <w:r w:rsidRPr="00E00B35">
        <w:rPr>
          <w:rFonts w:cs="Arial"/>
          <w:bCs/>
          <w:szCs w:val="20"/>
        </w:rPr>
        <w:t xml:space="preserve"> </w:t>
      </w:r>
    </w:p>
    <w:p w:rsidR="008C7751" w:rsidRPr="00E00B35" w:rsidRDefault="008C7751" w:rsidP="00E00B35">
      <w:pPr>
        <w:pStyle w:val="Nagwek5"/>
        <w:rPr>
          <w:szCs w:val="20"/>
        </w:rPr>
      </w:pPr>
      <w:r w:rsidRPr="00E00B35">
        <w:rPr>
          <w:szCs w:val="20"/>
        </w:rPr>
        <w:lastRenderedPageBreak/>
        <w:t>5. Detekcja Satelitarna – jako narzędzie podatkowego wsparcia</w:t>
      </w:r>
    </w:p>
    <w:p w:rsidR="008C7751" w:rsidRPr="00E00B35" w:rsidRDefault="008C7751" w:rsidP="00E00B35">
      <w:pPr>
        <w:spacing w:after="0" w:line="312" w:lineRule="auto"/>
        <w:rPr>
          <w:rFonts w:cs="Helvetica"/>
          <w:bCs/>
          <w:szCs w:val="20"/>
        </w:rPr>
      </w:pPr>
      <w:r w:rsidRPr="00E00B35">
        <w:rPr>
          <w:rFonts w:cs="Helvetica"/>
          <w:bCs/>
          <w:szCs w:val="20"/>
        </w:rPr>
        <w:t>Wrocław zaczął korzystać z detekcji satelitarnej, by skuteczniej weryfikować powierzchnie objęte podatkiem od nieruchomości i analizować zapisy deklaracji podatkowych.</w:t>
      </w:r>
    </w:p>
    <w:p w:rsidR="008C7751" w:rsidRPr="00E00B35" w:rsidRDefault="008C7751" w:rsidP="00E00B35">
      <w:pPr>
        <w:spacing w:after="0" w:line="312" w:lineRule="auto"/>
        <w:rPr>
          <w:rFonts w:cs="Helvetica"/>
          <w:bCs/>
          <w:szCs w:val="20"/>
        </w:rPr>
      </w:pPr>
      <w:r w:rsidRPr="00E00B35">
        <w:rPr>
          <w:rFonts w:cs="Helvetica"/>
          <w:bCs/>
          <w:szCs w:val="20"/>
        </w:rPr>
        <w:t>Na podstawie tych analiz można porównywać dane w złożonych przez podatników dokumentach ze stanem faktycznym, optymalizować prowadzone już kontrole podatkowe w zakresie podatku od nieruchomości. Czas trwania projektu pilotażowego to okres jednego roku. </w:t>
      </w:r>
    </w:p>
    <w:p w:rsidR="008C7751" w:rsidRPr="00E00B35" w:rsidRDefault="008C7751" w:rsidP="00E00B35">
      <w:pPr>
        <w:autoSpaceDE w:val="0"/>
        <w:autoSpaceDN w:val="0"/>
        <w:adjustRightInd w:val="0"/>
        <w:spacing w:after="0" w:line="312" w:lineRule="auto"/>
        <w:rPr>
          <w:b/>
          <w:color w:val="548DD4"/>
          <w:szCs w:val="20"/>
        </w:rPr>
      </w:pPr>
    </w:p>
    <w:p w:rsidR="008C7751" w:rsidRPr="00E00B35" w:rsidRDefault="008C7751" w:rsidP="00E00B35">
      <w:pPr>
        <w:pStyle w:val="Nagwek5"/>
        <w:rPr>
          <w:szCs w:val="20"/>
        </w:rPr>
      </w:pPr>
      <w:r w:rsidRPr="00E00B35">
        <w:rPr>
          <w:szCs w:val="20"/>
        </w:rPr>
        <w:t>6. Program zwolnień od podatku od nieruchomości dla budynków podłączonych do niskoemisyjnych źródeł energii (fotowoltaika)</w:t>
      </w:r>
    </w:p>
    <w:p w:rsidR="008C7751" w:rsidRPr="00E00B35" w:rsidRDefault="008C7751" w:rsidP="00E00B35">
      <w:pPr>
        <w:spacing w:after="0" w:line="312" w:lineRule="auto"/>
        <w:rPr>
          <w:rFonts w:cs="Helvetica"/>
          <w:bCs/>
          <w:szCs w:val="20"/>
        </w:rPr>
      </w:pPr>
      <w:r w:rsidRPr="00E00B35">
        <w:rPr>
          <w:rFonts w:cs="Helvetica"/>
          <w:bCs/>
          <w:szCs w:val="20"/>
        </w:rPr>
        <w:t>W listopadzie 2020 roku decyzją Rady Miejskiej Wrocławia została przedłuża możliwość ubiegania się o zwolnienie od podatku od nieruchomości dla właścicieli budynków lub ich części, położone na terenie Gminy Wrocław, które zostały podłączonych w sposób trwały do instalacji fotowoltaicznej, kolektora słonecznego, pompy ciepła, gruntowego wymiennika ciepła czy rekuperatora.</w:t>
      </w:r>
    </w:p>
    <w:p w:rsidR="008C7751" w:rsidRPr="00E00B35" w:rsidRDefault="008C7751" w:rsidP="00E00B35">
      <w:pPr>
        <w:spacing w:after="0" w:line="312" w:lineRule="auto"/>
        <w:rPr>
          <w:rFonts w:cs="Helvetica"/>
          <w:spacing w:val="5"/>
          <w:szCs w:val="20"/>
        </w:rPr>
      </w:pPr>
      <w:r w:rsidRPr="00E00B35">
        <w:rPr>
          <w:rFonts w:cs="Helvetica"/>
          <w:spacing w:val="5"/>
          <w:szCs w:val="20"/>
        </w:rPr>
        <w:t>Zwolnione od podatku od nieruchomości z tego tytułu są budynki lub ich części położone na terenie Gminy Wrocław, na okres 5 lat.</w:t>
      </w:r>
    </w:p>
    <w:p w:rsidR="008C7751" w:rsidRPr="00E00B35" w:rsidRDefault="008C7751" w:rsidP="00E00B35">
      <w:pPr>
        <w:spacing w:after="0" w:line="312" w:lineRule="auto"/>
        <w:rPr>
          <w:rFonts w:cs="Helvetica"/>
          <w:spacing w:val="5"/>
          <w:szCs w:val="20"/>
        </w:rPr>
      </w:pPr>
      <w:r w:rsidRPr="00E00B35">
        <w:rPr>
          <w:rFonts w:cs="Helvetica"/>
          <w:spacing w:val="5"/>
          <w:szCs w:val="20"/>
        </w:rPr>
        <w:t>Wyłączone ze zwolnienia są budynki lub ich części związane z prowadzeniem wielkopowierzchniowej działalności handlowej (powierzchnia przekraczająca 400 m</w:t>
      </w:r>
      <w:r w:rsidRPr="00E00B35">
        <w:rPr>
          <w:rFonts w:cs="Helvetica"/>
          <w:spacing w:val="5"/>
          <w:szCs w:val="20"/>
          <w:bdr w:val="none" w:sz="0" w:space="0" w:color="auto" w:frame="1"/>
          <w:vertAlign w:val="superscript"/>
        </w:rPr>
        <w:t>2</w:t>
      </w:r>
      <w:r w:rsidRPr="00E00B35">
        <w:rPr>
          <w:rFonts w:cs="Helvetica"/>
          <w:spacing w:val="5"/>
          <w:szCs w:val="20"/>
        </w:rPr>
        <w:t>).</w:t>
      </w:r>
      <w:r w:rsidRPr="00E00B35">
        <w:rPr>
          <w:rFonts w:cs="Helvetica"/>
          <w:spacing w:val="5"/>
          <w:szCs w:val="20"/>
        </w:rPr>
        <w:br/>
        <w:t xml:space="preserve">O zwolnienie mogą ubiegać się: </w:t>
      </w:r>
    </w:p>
    <w:p w:rsidR="008C7751" w:rsidRPr="00E00B35" w:rsidRDefault="008C7751" w:rsidP="00E00B35">
      <w:pPr>
        <w:numPr>
          <w:ilvl w:val="0"/>
          <w:numId w:val="131"/>
        </w:numPr>
        <w:spacing w:after="0" w:line="312" w:lineRule="auto"/>
        <w:ind w:left="426" w:hanging="426"/>
        <w:rPr>
          <w:bCs/>
          <w:szCs w:val="20"/>
        </w:rPr>
      </w:pPr>
      <w:r w:rsidRPr="00E00B35">
        <w:rPr>
          <w:bCs/>
          <w:szCs w:val="20"/>
        </w:rPr>
        <w:t>osoby fizyczne nieprowadzące działalności gospodarczej,</w:t>
      </w:r>
    </w:p>
    <w:p w:rsidR="008C7751" w:rsidRPr="00E00B35" w:rsidRDefault="008C7751" w:rsidP="00E00B35">
      <w:pPr>
        <w:numPr>
          <w:ilvl w:val="0"/>
          <w:numId w:val="131"/>
        </w:numPr>
        <w:spacing w:after="0" w:line="312" w:lineRule="auto"/>
        <w:ind w:left="426" w:hanging="426"/>
        <w:rPr>
          <w:bCs/>
          <w:szCs w:val="20"/>
        </w:rPr>
      </w:pPr>
      <w:r w:rsidRPr="00E00B35">
        <w:rPr>
          <w:bCs/>
          <w:szCs w:val="20"/>
        </w:rPr>
        <w:t>przedsiębiorcy, czyli:</w:t>
      </w:r>
    </w:p>
    <w:p w:rsidR="008C7751" w:rsidRPr="00E00B35" w:rsidRDefault="008C7751" w:rsidP="00E00B35">
      <w:pPr>
        <w:pStyle w:val="Akapitzlist"/>
        <w:numPr>
          <w:ilvl w:val="0"/>
          <w:numId w:val="15"/>
        </w:numPr>
        <w:tabs>
          <w:tab w:val="left" w:pos="851"/>
        </w:tabs>
        <w:spacing w:after="0" w:line="312" w:lineRule="auto"/>
        <w:ind w:left="851" w:hanging="425"/>
        <w:rPr>
          <w:szCs w:val="20"/>
        </w:rPr>
      </w:pPr>
      <w:r w:rsidRPr="00E00B35">
        <w:rPr>
          <w:szCs w:val="20"/>
        </w:rPr>
        <w:t>osoby fizyczne prowadzące działalność gospodarczą,</w:t>
      </w:r>
    </w:p>
    <w:p w:rsidR="008C7751" w:rsidRPr="00E00B35" w:rsidRDefault="008C7751" w:rsidP="00E00B35">
      <w:pPr>
        <w:pStyle w:val="Akapitzlist"/>
        <w:numPr>
          <w:ilvl w:val="0"/>
          <w:numId w:val="15"/>
        </w:numPr>
        <w:tabs>
          <w:tab w:val="left" w:pos="851"/>
        </w:tabs>
        <w:spacing w:after="0" w:line="312" w:lineRule="auto"/>
        <w:ind w:left="851" w:hanging="425"/>
        <w:rPr>
          <w:szCs w:val="20"/>
        </w:rPr>
      </w:pPr>
      <w:r w:rsidRPr="00E00B35">
        <w:rPr>
          <w:szCs w:val="20"/>
        </w:rPr>
        <w:t>wspólnicy spółki prawa cywilnego (w tym przypadku występują jako osoba fizyczna prowadząca działalność gospodarczą),</w:t>
      </w:r>
    </w:p>
    <w:p w:rsidR="008C7751" w:rsidRPr="00E00B35" w:rsidRDefault="008C7751" w:rsidP="00E00B35">
      <w:pPr>
        <w:pStyle w:val="Akapitzlist"/>
        <w:numPr>
          <w:ilvl w:val="0"/>
          <w:numId w:val="15"/>
        </w:numPr>
        <w:tabs>
          <w:tab w:val="left" w:pos="851"/>
        </w:tabs>
        <w:spacing w:after="0" w:line="312" w:lineRule="auto"/>
        <w:ind w:left="851" w:hanging="425"/>
        <w:rPr>
          <w:szCs w:val="20"/>
        </w:rPr>
      </w:pPr>
      <w:r w:rsidRPr="00E00B35">
        <w:rPr>
          <w:szCs w:val="20"/>
        </w:rPr>
        <w:t>spółki posiadające osobowość prawną (spółka z o.o., spółka akcyjna, spółka komandytowa),</w:t>
      </w:r>
    </w:p>
    <w:p w:rsidR="008C7751" w:rsidRPr="00E00B35" w:rsidRDefault="008C7751" w:rsidP="00E00B35">
      <w:pPr>
        <w:pStyle w:val="Akapitzlist"/>
        <w:numPr>
          <w:ilvl w:val="0"/>
          <w:numId w:val="15"/>
        </w:numPr>
        <w:tabs>
          <w:tab w:val="left" w:pos="851"/>
        </w:tabs>
        <w:spacing w:after="0" w:line="312" w:lineRule="auto"/>
        <w:ind w:left="851" w:hanging="425"/>
        <w:rPr>
          <w:szCs w:val="20"/>
        </w:rPr>
      </w:pPr>
      <w:r w:rsidRPr="00E00B35">
        <w:rPr>
          <w:szCs w:val="20"/>
        </w:rPr>
        <w:t>inne jednostki organizacyjne posiadające osobowość prawną (spółdzielnie, fundacje itp.).</w:t>
      </w:r>
    </w:p>
    <w:p w:rsidR="008C7751" w:rsidRPr="00E00B35" w:rsidRDefault="008C7751" w:rsidP="00E00B35">
      <w:pPr>
        <w:spacing w:after="0" w:line="312" w:lineRule="auto"/>
        <w:rPr>
          <w:szCs w:val="20"/>
        </w:rPr>
      </w:pPr>
      <w:r w:rsidRPr="00E00B35">
        <w:rPr>
          <w:rFonts w:cs="Helvetica"/>
          <w:spacing w:val="5"/>
          <w:szCs w:val="20"/>
        </w:rPr>
        <w:t>W 2020 roku w ramach „</w:t>
      </w:r>
      <w:r w:rsidRPr="00E00B35">
        <w:rPr>
          <w:szCs w:val="20"/>
        </w:rPr>
        <w:t xml:space="preserve">Programu zwolnień z podatków od nieruchomości dla budynków podłączonych do niskoemisyjnych źródeł energii (fotowoltaika)” wpłynęło 630 wniosków. </w:t>
      </w:r>
    </w:p>
    <w:p w:rsidR="008C7751" w:rsidRPr="00E00B35" w:rsidRDefault="008C7751" w:rsidP="00E00B35">
      <w:pPr>
        <w:autoSpaceDE w:val="0"/>
        <w:autoSpaceDN w:val="0"/>
        <w:adjustRightInd w:val="0"/>
        <w:spacing w:after="0" w:line="312" w:lineRule="auto"/>
        <w:rPr>
          <w:b/>
          <w:color w:val="548DD4"/>
          <w:szCs w:val="20"/>
        </w:rPr>
      </w:pPr>
    </w:p>
    <w:p w:rsidR="008C7751" w:rsidRPr="00E00B35" w:rsidRDefault="008C7751" w:rsidP="00E00B35">
      <w:pPr>
        <w:pStyle w:val="Nagwek5"/>
        <w:rPr>
          <w:szCs w:val="20"/>
        </w:rPr>
      </w:pPr>
      <w:r w:rsidRPr="00E00B35">
        <w:rPr>
          <w:szCs w:val="20"/>
        </w:rPr>
        <w:t>7. Zadania związane z wdrażaniem  Strategii Rozwoju Przedsiębiorczości 2030</w:t>
      </w:r>
    </w:p>
    <w:p w:rsidR="008C7751" w:rsidRPr="00E00B35" w:rsidRDefault="008C7751" w:rsidP="00E00B35">
      <w:pPr>
        <w:autoSpaceDE w:val="0"/>
        <w:autoSpaceDN w:val="0"/>
        <w:adjustRightInd w:val="0"/>
        <w:spacing w:after="0" w:line="312" w:lineRule="auto"/>
        <w:rPr>
          <w:szCs w:val="20"/>
        </w:rPr>
      </w:pPr>
      <w:r w:rsidRPr="00E00B35">
        <w:rPr>
          <w:szCs w:val="20"/>
        </w:rPr>
        <w:t>Zadania realizowane w 2020 roku w ramach dokumentu jakim jest Strategia Rozwoju Przedsiębiorczości Wrocławia „PRZEDSIĘBIORCZY WROCŁAW 2030” przyjętego na XV Sesji Rady Miejskiej Wrocławia w dniu 21 listopada 2019 (</w:t>
      </w:r>
      <w:r w:rsidRPr="00E00B35">
        <w:rPr>
          <w:rStyle w:val="Pogrubienie"/>
          <w:szCs w:val="20"/>
        </w:rPr>
        <w:t>Uchwały w sprawie strategii rozwoju Wrocławia pod nazwą „Przedsiębiorczy Wrocław 2030” - druk nr 453/19)</w:t>
      </w:r>
      <w:r w:rsidRPr="00E00B35">
        <w:rPr>
          <w:szCs w:val="20"/>
        </w:rPr>
        <w:t xml:space="preserve"> to przede wszystkim: katalog działania skierowanych na </w:t>
      </w:r>
      <w:r w:rsidRPr="00E00B35">
        <w:rPr>
          <w:rFonts w:cs="Tms Rmn"/>
          <w:color w:val="000000"/>
          <w:szCs w:val="20"/>
        </w:rPr>
        <w:t xml:space="preserve">zrównoważony rozwój, wysoką jakość życia, ale przede wszystkim na gospodarkę opartą na wiedzy. </w:t>
      </w:r>
      <w:r w:rsidRPr="00E00B35">
        <w:rPr>
          <w:szCs w:val="20"/>
        </w:rPr>
        <w:t xml:space="preserve"> </w:t>
      </w:r>
    </w:p>
    <w:p w:rsidR="008C7751" w:rsidRPr="00E00B35" w:rsidRDefault="008C7751" w:rsidP="00E00B35">
      <w:pPr>
        <w:autoSpaceDE w:val="0"/>
        <w:autoSpaceDN w:val="0"/>
        <w:adjustRightInd w:val="0"/>
        <w:spacing w:after="0" w:line="312" w:lineRule="auto"/>
        <w:rPr>
          <w:szCs w:val="20"/>
        </w:rPr>
      </w:pPr>
      <w:r w:rsidRPr="00E00B35">
        <w:rPr>
          <w:szCs w:val="20"/>
        </w:rPr>
        <w:t>W  2020 roku zrealizowano projekty między innymi:</w:t>
      </w:r>
    </w:p>
    <w:p w:rsidR="008C7751" w:rsidRPr="00E00B35" w:rsidRDefault="008C7751" w:rsidP="00E00B35">
      <w:pPr>
        <w:tabs>
          <w:tab w:val="left" w:pos="426"/>
        </w:tabs>
        <w:spacing w:after="0" w:line="312" w:lineRule="auto"/>
        <w:ind w:left="426" w:hanging="426"/>
        <w:rPr>
          <w:szCs w:val="20"/>
        </w:rPr>
      </w:pPr>
      <w:r w:rsidRPr="00E00B35">
        <w:rPr>
          <w:szCs w:val="20"/>
        </w:rPr>
        <w:t xml:space="preserve">1. </w:t>
      </w:r>
      <w:r w:rsidRPr="00E00B35">
        <w:rPr>
          <w:szCs w:val="20"/>
        </w:rPr>
        <w:tab/>
        <w:t xml:space="preserve">w ramach współpracy z Agencją Rozwoju Aglomeracji wrocławskiej (ARAW) </w:t>
      </w:r>
    </w:p>
    <w:p w:rsidR="008C7751" w:rsidRPr="00E00B35" w:rsidRDefault="008C7751" w:rsidP="00E00B35">
      <w:pPr>
        <w:numPr>
          <w:ilvl w:val="0"/>
          <w:numId w:val="131"/>
        </w:numPr>
        <w:spacing w:after="0" w:line="312" w:lineRule="auto"/>
        <w:ind w:left="426" w:hanging="426"/>
        <w:rPr>
          <w:bCs/>
          <w:szCs w:val="20"/>
        </w:rPr>
      </w:pPr>
      <w:r w:rsidRPr="00E00B35">
        <w:rPr>
          <w:bCs/>
          <w:szCs w:val="20"/>
        </w:rPr>
        <w:lastRenderedPageBreak/>
        <w:t xml:space="preserve">organizacja cyklu spotkań pod marką Made in Wrocław, (m. in. Przemysł 4.0). </w:t>
      </w:r>
      <w:r w:rsidRPr="00E00B35">
        <w:rPr>
          <w:bCs/>
          <w:szCs w:val="20"/>
        </w:rPr>
        <w:br/>
        <w:t>W ramach tego wydarzenia odbędzie się konferencja z udziałem przedstawicieli wrocławskiego biznesu, a także wystawy dla mieszkańców,</w:t>
      </w:r>
    </w:p>
    <w:p w:rsidR="008C7751" w:rsidRPr="00E00B35" w:rsidRDefault="008C7751" w:rsidP="00E00B35">
      <w:pPr>
        <w:numPr>
          <w:ilvl w:val="0"/>
          <w:numId w:val="131"/>
        </w:numPr>
        <w:spacing w:after="0" w:line="312" w:lineRule="auto"/>
        <w:ind w:left="426" w:hanging="426"/>
        <w:rPr>
          <w:bCs/>
          <w:szCs w:val="20"/>
        </w:rPr>
      </w:pPr>
      <w:r w:rsidRPr="00E00B35">
        <w:rPr>
          <w:bCs/>
          <w:szCs w:val="20"/>
        </w:rPr>
        <w:t xml:space="preserve">konferencja „Start-up Ewolucje”mająca na celu integrację dojrzałego biznesu </w:t>
      </w:r>
      <w:r w:rsidRPr="00E00B35">
        <w:rPr>
          <w:bCs/>
          <w:szCs w:val="20"/>
        </w:rPr>
        <w:br/>
        <w:t xml:space="preserve">ze środowiskiem startup-owym, </w:t>
      </w:r>
    </w:p>
    <w:p w:rsidR="008C7751" w:rsidRPr="00E00B35" w:rsidRDefault="008C7751" w:rsidP="00E00B35">
      <w:pPr>
        <w:numPr>
          <w:ilvl w:val="0"/>
          <w:numId w:val="131"/>
        </w:numPr>
        <w:spacing w:after="0" w:line="312" w:lineRule="auto"/>
        <w:ind w:left="426" w:hanging="426"/>
        <w:rPr>
          <w:bCs/>
          <w:szCs w:val="20"/>
        </w:rPr>
      </w:pPr>
      <w:r w:rsidRPr="00E00B35">
        <w:rPr>
          <w:bCs/>
          <w:szCs w:val="20"/>
        </w:rPr>
        <w:t xml:space="preserve">prace nad aktualizacją  Strategii "Przedsiębiorczy Wrocław 2030” pod kątem pandemii wywołanej przez COVID-19; </w:t>
      </w:r>
    </w:p>
    <w:p w:rsidR="008C7751" w:rsidRPr="00E00B35" w:rsidRDefault="008C7751" w:rsidP="00E00B35">
      <w:pPr>
        <w:spacing w:after="0" w:line="312" w:lineRule="auto"/>
        <w:ind w:left="426" w:hanging="426"/>
        <w:rPr>
          <w:szCs w:val="20"/>
        </w:rPr>
      </w:pPr>
      <w:r w:rsidRPr="00E00B35">
        <w:rPr>
          <w:szCs w:val="20"/>
        </w:rPr>
        <w:t xml:space="preserve">2. </w:t>
      </w:r>
      <w:r w:rsidRPr="00E00B35">
        <w:rPr>
          <w:szCs w:val="20"/>
        </w:rPr>
        <w:tab/>
        <w:t xml:space="preserve">w ramach współpracy z Wrocławskim Parkiem Technologicznym (WPT) </w:t>
      </w:r>
    </w:p>
    <w:p w:rsidR="008C7751" w:rsidRPr="00E00B35" w:rsidRDefault="008C7751" w:rsidP="00E00B35">
      <w:pPr>
        <w:numPr>
          <w:ilvl w:val="0"/>
          <w:numId w:val="131"/>
        </w:numPr>
        <w:spacing w:after="0" w:line="312" w:lineRule="auto"/>
        <w:ind w:left="426" w:hanging="426"/>
        <w:rPr>
          <w:bCs/>
          <w:szCs w:val="20"/>
        </w:rPr>
      </w:pPr>
      <w:r w:rsidRPr="00E00B35">
        <w:rPr>
          <w:bCs/>
          <w:szCs w:val="20"/>
        </w:rPr>
        <w:t>przekazanie firmie Nokia Solutions and Networks Sp. z o.o. powierzchni biurowo - produkcyjnej w hali N - 7, zlokalizowanej przy ulicy Fabrycznej 16,</w:t>
      </w:r>
    </w:p>
    <w:p w:rsidR="008C7751" w:rsidRPr="00E00B35" w:rsidRDefault="008C7751" w:rsidP="00E00B35">
      <w:pPr>
        <w:numPr>
          <w:ilvl w:val="0"/>
          <w:numId w:val="131"/>
        </w:numPr>
        <w:spacing w:after="0" w:line="312" w:lineRule="auto"/>
        <w:ind w:left="426" w:hanging="426"/>
        <w:rPr>
          <w:bCs/>
          <w:szCs w:val="20"/>
        </w:rPr>
      </w:pPr>
      <w:r w:rsidRPr="00E00B35">
        <w:rPr>
          <w:bCs/>
          <w:szCs w:val="20"/>
        </w:rPr>
        <w:t>X Kongres E(x)plory - „Edukacja dla innowacji. Innowacje w edukacji”, wydarzenie online,</w:t>
      </w:r>
    </w:p>
    <w:p w:rsidR="008C7751" w:rsidRPr="00E00B35" w:rsidRDefault="008C7751" w:rsidP="00E00B35">
      <w:pPr>
        <w:numPr>
          <w:ilvl w:val="0"/>
          <w:numId w:val="131"/>
        </w:numPr>
        <w:spacing w:after="0" w:line="312" w:lineRule="auto"/>
        <w:ind w:left="426" w:hanging="426"/>
        <w:rPr>
          <w:bCs/>
          <w:szCs w:val="20"/>
        </w:rPr>
      </w:pPr>
      <w:r w:rsidRPr="00E00B35">
        <w:rPr>
          <w:bCs/>
          <w:szCs w:val="20"/>
        </w:rPr>
        <w:t>Regionalny Festiwal E(x)plory we Wrocławiu 16.10.2020, online,</w:t>
      </w:r>
    </w:p>
    <w:p w:rsidR="008C7751" w:rsidRPr="00E00B35" w:rsidRDefault="008C7751" w:rsidP="00E00B35">
      <w:pPr>
        <w:numPr>
          <w:ilvl w:val="0"/>
          <w:numId w:val="131"/>
        </w:numPr>
        <w:spacing w:after="0" w:line="312" w:lineRule="auto"/>
        <w:ind w:left="426" w:hanging="426"/>
        <w:rPr>
          <w:bCs/>
          <w:szCs w:val="20"/>
        </w:rPr>
      </w:pPr>
      <w:r w:rsidRPr="00E00B35">
        <w:rPr>
          <w:bCs/>
          <w:szCs w:val="20"/>
        </w:rPr>
        <w:t>Technologiczne Dni Otwarte w Zakładzie Doświadczalnym – 10.11.2020,</w:t>
      </w:r>
    </w:p>
    <w:p w:rsidR="008C7751" w:rsidRPr="00E00B35" w:rsidRDefault="008C7751" w:rsidP="00E00B35">
      <w:pPr>
        <w:numPr>
          <w:ilvl w:val="0"/>
          <w:numId w:val="131"/>
        </w:numPr>
        <w:spacing w:after="0" w:line="312" w:lineRule="auto"/>
        <w:ind w:left="426" w:hanging="426"/>
        <w:rPr>
          <w:bCs/>
          <w:szCs w:val="20"/>
        </w:rPr>
      </w:pPr>
      <w:r w:rsidRPr="00E00B35">
        <w:rPr>
          <w:bCs/>
          <w:szCs w:val="20"/>
        </w:rPr>
        <w:t>utworzenie Integracyjnego Inkubatora Przedsiębiorczości i Technologii,</w:t>
      </w:r>
    </w:p>
    <w:p w:rsidR="008C7751" w:rsidRPr="00E00B35" w:rsidRDefault="008C7751" w:rsidP="00E00B35">
      <w:pPr>
        <w:numPr>
          <w:ilvl w:val="0"/>
          <w:numId w:val="131"/>
        </w:numPr>
        <w:spacing w:after="0" w:line="312" w:lineRule="auto"/>
        <w:ind w:left="426" w:hanging="426"/>
        <w:rPr>
          <w:bCs/>
          <w:szCs w:val="20"/>
        </w:rPr>
      </w:pPr>
      <w:r w:rsidRPr="00E00B35">
        <w:rPr>
          <w:bCs/>
          <w:szCs w:val="20"/>
        </w:rPr>
        <w:t>rozbudowa i doposażenie przestrzeni warsztatowo-koncepcyjną Academic Boks dla studenckich Kół Naukowych Uczelni Wyższych – IV kwartał,</w:t>
      </w:r>
    </w:p>
    <w:p w:rsidR="008C7751" w:rsidRPr="00E00B35" w:rsidRDefault="008C7751" w:rsidP="00E00B35">
      <w:pPr>
        <w:numPr>
          <w:ilvl w:val="0"/>
          <w:numId w:val="131"/>
        </w:numPr>
        <w:spacing w:after="0" w:line="312" w:lineRule="auto"/>
        <w:ind w:left="426" w:hanging="426"/>
        <w:rPr>
          <w:bCs/>
          <w:szCs w:val="20"/>
        </w:rPr>
      </w:pPr>
      <w:r w:rsidRPr="00E00B35">
        <w:rPr>
          <w:bCs/>
          <w:szCs w:val="20"/>
        </w:rPr>
        <w:t>udział Wrocławskiego Parku technologicznego w Forum Inteligentnego Rozwoju w Uniejowie i odbiór Polskiej Nagrody Inteligentnego Rozwoju 2020 w kategorii Nowatorska promocja regionu za realizację projektów pt. „Nowoczesne technologie na Dolnym Śląsku – promocja regionu”, „HIGH-TECH na Dolnym Śląsku – promocja regionu” oraz „Internacjonalizacja wrocławskich firm z branż nowoczesnych technologii”. Finansowanie: projekt „HIGH-TECH na Dolnym Śląsku – promocja regionu” – RPO WD 2014-2020,</w:t>
      </w:r>
    </w:p>
    <w:p w:rsidR="008C7751" w:rsidRPr="00E00B35" w:rsidRDefault="008C7751" w:rsidP="00E00B35">
      <w:pPr>
        <w:numPr>
          <w:ilvl w:val="0"/>
          <w:numId w:val="131"/>
        </w:numPr>
        <w:spacing w:after="0" w:line="312" w:lineRule="auto"/>
        <w:ind w:left="426" w:hanging="426"/>
        <w:rPr>
          <w:bCs/>
          <w:szCs w:val="20"/>
        </w:rPr>
      </w:pPr>
      <w:r w:rsidRPr="00E00B35">
        <w:rPr>
          <w:bCs/>
          <w:szCs w:val="20"/>
        </w:rPr>
        <w:t>„Kobiety wiedzą co robią", wydarzenie online w partnerstwie z Gazetą Wyborczą,</w:t>
      </w:r>
    </w:p>
    <w:p w:rsidR="008C7751" w:rsidRPr="00E00B35" w:rsidRDefault="008C7751" w:rsidP="00E00B35">
      <w:pPr>
        <w:numPr>
          <w:ilvl w:val="0"/>
          <w:numId w:val="131"/>
        </w:numPr>
        <w:spacing w:after="0" w:line="312" w:lineRule="auto"/>
        <w:ind w:left="426" w:hanging="426"/>
        <w:rPr>
          <w:bCs/>
          <w:szCs w:val="20"/>
        </w:rPr>
      </w:pPr>
      <w:r w:rsidRPr="00E00B35">
        <w:rPr>
          <w:bCs/>
          <w:szCs w:val="20"/>
        </w:rPr>
        <w:t>„Jutronauci", wydarzenie online w partnerstwie z Gazetą Wyborczą;</w:t>
      </w:r>
    </w:p>
    <w:p w:rsidR="008C7751" w:rsidRPr="00E00B35" w:rsidRDefault="008C7751" w:rsidP="00E00B35">
      <w:pPr>
        <w:spacing w:after="0" w:line="312" w:lineRule="auto"/>
        <w:ind w:left="426" w:hanging="426"/>
        <w:rPr>
          <w:szCs w:val="20"/>
        </w:rPr>
      </w:pPr>
      <w:r w:rsidRPr="00E00B35">
        <w:rPr>
          <w:szCs w:val="20"/>
        </w:rPr>
        <w:t xml:space="preserve">3. </w:t>
      </w:r>
      <w:r w:rsidRPr="00E00B35">
        <w:rPr>
          <w:szCs w:val="20"/>
        </w:rPr>
        <w:tab/>
        <w:t xml:space="preserve">w ramach współpracy z Biurem Rozwoju Gospodarczego (BRG) </w:t>
      </w:r>
    </w:p>
    <w:p w:rsidR="008C7751" w:rsidRPr="00E00B35" w:rsidRDefault="008C7751" w:rsidP="00E00B35">
      <w:pPr>
        <w:numPr>
          <w:ilvl w:val="0"/>
          <w:numId w:val="131"/>
        </w:numPr>
        <w:spacing w:after="0" w:line="312" w:lineRule="auto"/>
        <w:ind w:left="426" w:hanging="426"/>
        <w:rPr>
          <w:bCs/>
          <w:szCs w:val="20"/>
        </w:rPr>
      </w:pPr>
      <w:r w:rsidRPr="00E00B35">
        <w:rPr>
          <w:bCs/>
          <w:szCs w:val="20"/>
        </w:rPr>
        <w:t xml:space="preserve">bezpłatny webinar dla obcokrajowców „Business in Wrocław. It’s easy !” – 24 września 2020. Spotkanie adresowane do obcokrajowców prowadzone </w:t>
      </w:r>
      <w:r w:rsidRPr="00E00B35">
        <w:rPr>
          <w:bCs/>
          <w:szCs w:val="20"/>
        </w:rPr>
        <w:br/>
        <w:t>w języku angielskim,</w:t>
      </w:r>
    </w:p>
    <w:p w:rsidR="008C7751" w:rsidRPr="00E00B35" w:rsidRDefault="008C7751" w:rsidP="00E00B35">
      <w:pPr>
        <w:numPr>
          <w:ilvl w:val="0"/>
          <w:numId w:val="131"/>
        </w:numPr>
        <w:spacing w:after="0" w:line="312" w:lineRule="auto"/>
        <w:ind w:left="426" w:hanging="426"/>
        <w:rPr>
          <w:bCs/>
          <w:szCs w:val="20"/>
        </w:rPr>
      </w:pPr>
      <w:r w:rsidRPr="00E00B35">
        <w:rPr>
          <w:bCs/>
          <w:szCs w:val="20"/>
        </w:rPr>
        <w:t>WRO-Biznes - Dni Odpowiedzialnego Biznesu – 19 listopada 2020. Prezentacje biznesu i społecznych dostawców, wystąpienia praktyków z biznesu, networking i giełda ofert,</w:t>
      </w:r>
    </w:p>
    <w:p w:rsidR="008C7751" w:rsidRPr="00E00B35" w:rsidRDefault="008C7751" w:rsidP="00E00B35">
      <w:pPr>
        <w:numPr>
          <w:ilvl w:val="0"/>
          <w:numId w:val="131"/>
        </w:numPr>
        <w:spacing w:after="0" w:line="312" w:lineRule="auto"/>
        <w:ind w:left="426" w:hanging="426"/>
        <w:rPr>
          <w:bCs/>
          <w:szCs w:val="20"/>
        </w:rPr>
      </w:pPr>
      <w:r w:rsidRPr="00E00B35">
        <w:rPr>
          <w:bCs/>
          <w:szCs w:val="20"/>
        </w:rPr>
        <w:t>„Oblicza przedsiębiorczości” – zajęcia z zakresu przedsiębiorczości za pomocą ciekawych, niekonwencjonalnych porównań i skojarzeń. Główny przekaz to pochwała postawy przedsiębiorczej oraz obalanie stereotypów mówiących, że przedsiębiorczość jest dla wybranych. Adresatami zadania są uczniowie wrocławskich szkół średnich (nie mniej niż 200). Konkurs dla NGO. Realizacja IV kwartał 2020,</w:t>
      </w:r>
      <w:r w:rsidRPr="00E00B35" w:rsidDel="00140704">
        <w:rPr>
          <w:bCs/>
          <w:szCs w:val="20"/>
        </w:rPr>
        <w:t xml:space="preserve"> </w:t>
      </w:r>
      <w:r w:rsidRPr="00E00B35">
        <w:rPr>
          <w:bCs/>
          <w:szCs w:val="20"/>
        </w:rPr>
        <w:t xml:space="preserve">witryna internetowa "Wrocław Społecznie i Lokalnie",  nieodpłatne stoiska dla przedsiębiorczości społecznej oraz wystawców z produktami regionalnymi </w:t>
      </w:r>
      <w:r w:rsidR="00211817" w:rsidRPr="00E00B35">
        <w:rPr>
          <w:bCs/>
          <w:szCs w:val="20"/>
        </w:rPr>
        <w:t>z Dolnego Śląska;</w:t>
      </w:r>
    </w:p>
    <w:p w:rsidR="008C7751" w:rsidRPr="00E00B35" w:rsidRDefault="008C7751" w:rsidP="00E00B35">
      <w:pPr>
        <w:spacing w:after="0" w:line="312" w:lineRule="auto"/>
        <w:ind w:left="426" w:hanging="426"/>
        <w:rPr>
          <w:rFonts w:cs="Arial"/>
          <w:szCs w:val="20"/>
        </w:rPr>
      </w:pPr>
      <w:r w:rsidRPr="00E00B35">
        <w:rPr>
          <w:rFonts w:cs="Arial"/>
          <w:szCs w:val="20"/>
        </w:rPr>
        <w:t xml:space="preserve">4. </w:t>
      </w:r>
      <w:r w:rsidRPr="00E00B35">
        <w:rPr>
          <w:rFonts w:cs="Arial"/>
          <w:szCs w:val="20"/>
        </w:rPr>
        <w:tab/>
        <w:t xml:space="preserve">w ramach współpracy z Biurem Współpracy z Uczelniami Wyższymi (BWU) </w:t>
      </w:r>
    </w:p>
    <w:p w:rsidR="008C7751" w:rsidRPr="00E00B35" w:rsidRDefault="008C7751" w:rsidP="00E00B35">
      <w:pPr>
        <w:numPr>
          <w:ilvl w:val="0"/>
          <w:numId w:val="131"/>
        </w:numPr>
        <w:spacing w:after="0" w:line="312" w:lineRule="auto"/>
        <w:ind w:left="426" w:hanging="426"/>
        <w:rPr>
          <w:bCs/>
          <w:szCs w:val="20"/>
        </w:rPr>
      </w:pPr>
      <w:r w:rsidRPr="00E00B35">
        <w:rPr>
          <w:bCs/>
          <w:szCs w:val="20"/>
        </w:rPr>
        <w:lastRenderedPageBreak/>
        <w:t>Wrocławskie Atelier Aktywności Zawodowej (1.1 Podniesienie świadomości przedsiębiorczej i promowanie wizerunku przedsiębiorcy: Dodatkowe działania promujące przedsiębiorczość),</w:t>
      </w:r>
    </w:p>
    <w:p w:rsidR="008C7751" w:rsidRPr="00E00B35" w:rsidRDefault="008C7751" w:rsidP="00E00B35">
      <w:pPr>
        <w:numPr>
          <w:ilvl w:val="0"/>
          <w:numId w:val="131"/>
        </w:numPr>
        <w:spacing w:after="0" w:line="312" w:lineRule="auto"/>
        <w:ind w:left="426" w:hanging="426"/>
        <w:rPr>
          <w:bCs/>
          <w:szCs w:val="20"/>
        </w:rPr>
      </w:pPr>
      <w:r w:rsidRPr="00E00B35">
        <w:rPr>
          <w:bCs/>
          <w:szCs w:val="20"/>
        </w:rPr>
        <w:t>WROCŁAWSKIE AKADEMICKIE ZESPOŁY ZADANIOWE (WAZZA) (1.3 Wspieranie zmian w systemie edukacji w kierunku lepszego dopasowania do rynku pracy) - w ramach tego działania przyjęto 2 projekty:</w:t>
      </w:r>
    </w:p>
    <w:p w:rsidR="008C7751" w:rsidRPr="00E00B35" w:rsidRDefault="00211817" w:rsidP="00E00B35">
      <w:pPr>
        <w:pStyle w:val="Akapitzlist"/>
        <w:numPr>
          <w:ilvl w:val="0"/>
          <w:numId w:val="15"/>
        </w:numPr>
        <w:spacing w:after="0" w:line="312" w:lineRule="auto"/>
        <w:ind w:left="993" w:hanging="567"/>
        <w:rPr>
          <w:szCs w:val="20"/>
        </w:rPr>
      </w:pPr>
      <w:r w:rsidRPr="00E00B35">
        <w:rPr>
          <w:szCs w:val="20"/>
        </w:rPr>
        <w:t>“</w:t>
      </w:r>
      <w:r w:rsidR="008C7751" w:rsidRPr="00E00B35">
        <w:rPr>
          <w:szCs w:val="20"/>
        </w:rPr>
        <w:t xml:space="preserve">choinka" (polegający na zaprojektowaniu i wykonaniu drzewka Bożonarodzeniowego jako dekoracja placu Grunwaldzkiego), </w:t>
      </w:r>
    </w:p>
    <w:p w:rsidR="008C7751" w:rsidRPr="00E00B35" w:rsidRDefault="008C7751" w:rsidP="00E00B35">
      <w:pPr>
        <w:pStyle w:val="Akapitzlist"/>
        <w:numPr>
          <w:ilvl w:val="0"/>
          <w:numId w:val="15"/>
        </w:numPr>
        <w:spacing w:after="0" w:line="312" w:lineRule="auto"/>
        <w:ind w:left="993" w:hanging="567"/>
        <w:rPr>
          <w:szCs w:val="20"/>
        </w:rPr>
      </w:pPr>
      <w:r w:rsidRPr="00E00B35">
        <w:rPr>
          <w:szCs w:val="20"/>
        </w:rPr>
        <w:t>"Most Tumski - kłódki" (polegający na zmianie obyczaju "symbolicznego wyrażania miłości"),</w:t>
      </w:r>
    </w:p>
    <w:p w:rsidR="008C7751" w:rsidRPr="00E00B35" w:rsidRDefault="008C7751" w:rsidP="00E00B35">
      <w:pPr>
        <w:numPr>
          <w:ilvl w:val="0"/>
          <w:numId w:val="131"/>
        </w:numPr>
        <w:spacing w:after="0" w:line="312" w:lineRule="auto"/>
        <w:ind w:left="426" w:hanging="426"/>
        <w:rPr>
          <w:bCs/>
          <w:szCs w:val="20"/>
        </w:rPr>
      </w:pPr>
      <w:r w:rsidRPr="00E00B35">
        <w:rPr>
          <w:bCs/>
          <w:szCs w:val="20"/>
        </w:rPr>
        <w:t xml:space="preserve">FUNDUSZ AKTYWNOŚCI STUDENCKIEJ PREZYDENTA WROCŁAWIA (FAST) (2.1 Pozyskanie i wspieranie przedsiębiorstw wysokiego wzrostu: Wspieranie postaw proinnowacyjnych). Z sukcesem przeprowadzono dwa konkursy, w ramach których wpłynęło łącznie 81 wniosków, z czego komisja konkursowa </w:t>
      </w:r>
      <w:r w:rsidRPr="00E00B35">
        <w:rPr>
          <w:bCs/>
          <w:szCs w:val="20"/>
        </w:rPr>
        <w:tab/>
        <w:t xml:space="preserve">wyróżniła 57 projektów, o łącznej wartości 280 572 zł, co zdecydowanie przewyższa zaplanowany na cały rok budżet o 180 572 zł (kwota ta została pokryta </w:t>
      </w:r>
      <w:r w:rsidRPr="00E00B35">
        <w:rPr>
          <w:bCs/>
          <w:szCs w:val="20"/>
        </w:rPr>
        <w:br/>
        <w:t>z oszczędności budżetowych WCA),</w:t>
      </w:r>
    </w:p>
    <w:p w:rsidR="008C7751" w:rsidRPr="00E00B35" w:rsidRDefault="008C7751" w:rsidP="00E00B35">
      <w:pPr>
        <w:numPr>
          <w:ilvl w:val="0"/>
          <w:numId w:val="131"/>
        </w:numPr>
        <w:spacing w:after="0" w:line="312" w:lineRule="auto"/>
        <w:ind w:left="426" w:hanging="426"/>
        <w:rPr>
          <w:bCs/>
          <w:szCs w:val="20"/>
        </w:rPr>
      </w:pPr>
      <w:r w:rsidRPr="00E00B35">
        <w:rPr>
          <w:bCs/>
          <w:szCs w:val="20"/>
        </w:rPr>
        <w:t xml:space="preserve">PROGRAM "MOZART"(2.2. Wsparcie w rozwoju działalności mikro, małych </w:t>
      </w:r>
      <w:r w:rsidRPr="00E00B35">
        <w:rPr>
          <w:bCs/>
          <w:szCs w:val="20"/>
        </w:rPr>
        <w:br/>
        <w:t xml:space="preserve">i średnich firm): w ramach tegorocznej edycji zostało wyłonionych 31 partnerstwa naukowo-biznesowych. </w:t>
      </w:r>
    </w:p>
    <w:p w:rsidR="008C7751" w:rsidRPr="00E00B35" w:rsidRDefault="008C7751" w:rsidP="00E00B35">
      <w:pPr>
        <w:pStyle w:val="11Trescpisma"/>
        <w:spacing w:before="0" w:after="0" w:line="312" w:lineRule="auto"/>
        <w:ind w:left="426"/>
        <w:jc w:val="left"/>
        <w:rPr>
          <w:szCs w:val="20"/>
        </w:rPr>
      </w:pPr>
    </w:p>
    <w:p w:rsidR="008C7751" w:rsidRPr="00E00B35" w:rsidRDefault="008C7751" w:rsidP="00E00B35">
      <w:pPr>
        <w:spacing w:after="0" w:line="312" w:lineRule="auto"/>
        <w:rPr>
          <w:color w:val="000000"/>
          <w:szCs w:val="20"/>
          <w:lang w:val="pl-PL"/>
        </w:rPr>
      </w:pPr>
    </w:p>
    <w:p w:rsidR="008C7751" w:rsidRPr="00E00B35" w:rsidRDefault="008C7751" w:rsidP="00E00B35">
      <w:pPr>
        <w:spacing w:after="0" w:line="312" w:lineRule="auto"/>
        <w:rPr>
          <w:color w:val="000000"/>
          <w:szCs w:val="20"/>
          <w:lang w:val="pl-PL"/>
        </w:rPr>
      </w:pPr>
    </w:p>
    <w:p w:rsidR="008C7751" w:rsidRPr="00E00B35" w:rsidRDefault="008C7751" w:rsidP="00E00B35">
      <w:pPr>
        <w:spacing w:after="0" w:line="312" w:lineRule="auto"/>
        <w:rPr>
          <w:color w:val="000000"/>
          <w:szCs w:val="20"/>
          <w:lang w:val="pl-PL"/>
        </w:rPr>
      </w:pPr>
    </w:p>
    <w:p w:rsidR="008C7751" w:rsidRPr="00E00B35" w:rsidRDefault="008C7751" w:rsidP="00E00B35">
      <w:pPr>
        <w:spacing w:after="0" w:line="312" w:lineRule="auto"/>
        <w:rPr>
          <w:color w:val="000000"/>
          <w:szCs w:val="20"/>
          <w:lang w:val="pl-PL"/>
        </w:rPr>
      </w:pPr>
    </w:p>
    <w:p w:rsidR="008C7751" w:rsidRPr="00E00B35" w:rsidRDefault="008C7751" w:rsidP="00E00B35">
      <w:pPr>
        <w:spacing w:after="0" w:line="312" w:lineRule="auto"/>
        <w:rPr>
          <w:color w:val="000000"/>
          <w:szCs w:val="20"/>
          <w:lang w:val="pl-PL"/>
        </w:rPr>
      </w:pPr>
    </w:p>
    <w:p w:rsidR="008C7751" w:rsidRPr="00E00B35" w:rsidRDefault="008C7751" w:rsidP="00E00B35">
      <w:pPr>
        <w:spacing w:after="0" w:line="312" w:lineRule="auto"/>
        <w:rPr>
          <w:color w:val="000000"/>
          <w:szCs w:val="20"/>
          <w:lang w:val="pl-PL"/>
        </w:rPr>
      </w:pPr>
    </w:p>
    <w:p w:rsidR="008C7751" w:rsidRPr="00E00B35" w:rsidRDefault="008C7751" w:rsidP="00E00B35">
      <w:pPr>
        <w:spacing w:after="0" w:line="312" w:lineRule="auto"/>
        <w:rPr>
          <w:color w:val="000000"/>
          <w:szCs w:val="20"/>
          <w:lang w:val="pl-PL"/>
        </w:rPr>
      </w:pPr>
    </w:p>
    <w:p w:rsidR="00E96768" w:rsidRPr="00E00B35" w:rsidRDefault="00E96768" w:rsidP="00E00B35">
      <w:pPr>
        <w:spacing w:after="0" w:line="312" w:lineRule="auto"/>
        <w:rPr>
          <w:color w:val="000000"/>
          <w:szCs w:val="20"/>
          <w:lang w:val="pl-PL"/>
        </w:rPr>
      </w:pPr>
    </w:p>
    <w:p w:rsidR="00E96768" w:rsidRPr="00E00B35" w:rsidRDefault="00E96768" w:rsidP="00E00B35">
      <w:pPr>
        <w:spacing w:after="0" w:line="312" w:lineRule="auto"/>
        <w:rPr>
          <w:color w:val="000000"/>
          <w:szCs w:val="20"/>
          <w:lang w:val="pl-PL"/>
        </w:rPr>
      </w:pPr>
    </w:p>
    <w:p w:rsidR="00E96768" w:rsidRPr="00E00B35" w:rsidRDefault="00E96768" w:rsidP="00E00B35">
      <w:pPr>
        <w:spacing w:after="0" w:line="312" w:lineRule="auto"/>
        <w:rPr>
          <w:color w:val="000000"/>
          <w:szCs w:val="20"/>
          <w:lang w:val="pl-PL"/>
        </w:rPr>
      </w:pPr>
    </w:p>
    <w:p w:rsidR="00E96768" w:rsidRPr="00E00B35" w:rsidRDefault="00E96768" w:rsidP="00E00B35">
      <w:pPr>
        <w:spacing w:after="0" w:line="312" w:lineRule="auto"/>
        <w:rPr>
          <w:color w:val="000000"/>
          <w:szCs w:val="20"/>
          <w:lang w:val="pl-PL"/>
        </w:rPr>
      </w:pPr>
    </w:p>
    <w:p w:rsidR="005B50AD" w:rsidRPr="00E00B35" w:rsidRDefault="005B50AD" w:rsidP="00E00B35">
      <w:pPr>
        <w:spacing w:after="0" w:line="312" w:lineRule="auto"/>
        <w:rPr>
          <w:color w:val="000000"/>
          <w:szCs w:val="20"/>
          <w:lang w:val="pl-PL"/>
        </w:rPr>
      </w:pPr>
    </w:p>
    <w:p w:rsidR="005B50AD" w:rsidRPr="00E00B35" w:rsidRDefault="005B50AD" w:rsidP="00E00B35">
      <w:pPr>
        <w:spacing w:after="0" w:line="312" w:lineRule="auto"/>
        <w:rPr>
          <w:color w:val="000000"/>
          <w:szCs w:val="20"/>
          <w:lang w:val="pl-PL"/>
        </w:rPr>
      </w:pPr>
    </w:p>
    <w:p w:rsidR="005B50AD" w:rsidRPr="00E00B35" w:rsidRDefault="005B50AD"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7A4D59" w:rsidRPr="00E00B35" w:rsidRDefault="007A4D59" w:rsidP="00E00B35">
      <w:pPr>
        <w:spacing w:after="0" w:line="312" w:lineRule="auto"/>
        <w:rPr>
          <w:color w:val="000000"/>
          <w:szCs w:val="20"/>
          <w:lang w:val="pl-PL"/>
        </w:rPr>
      </w:pPr>
    </w:p>
    <w:p w:rsidR="00E96768" w:rsidRPr="00E00B35" w:rsidRDefault="00E96768" w:rsidP="00E00B35">
      <w:pPr>
        <w:spacing w:after="0" w:line="312" w:lineRule="auto"/>
        <w:rPr>
          <w:color w:val="000000"/>
          <w:szCs w:val="20"/>
          <w:lang w:val="pl-PL"/>
        </w:rPr>
      </w:pPr>
    </w:p>
    <w:p w:rsidR="00211817" w:rsidRPr="00E00B35" w:rsidRDefault="00211817" w:rsidP="00E00B35">
      <w:pPr>
        <w:spacing w:after="0" w:line="312" w:lineRule="auto"/>
        <w:rPr>
          <w:color w:val="000000"/>
          <w:szCs w:val="20"/>
          <w:lang w:val="pl-PL"/>
        </w:rPr>
      </w:pPr>
    </w:p>
    <w:p w:rsidR="00E96768" w:rsidRPr="00E00B35" w:rsidRDefault="00E96768" w:rsidP="00E00B35">
      <w:pPr>
        <w:spacing w:after="0" w:line="312" w:lineRule="auto"/>
        <w:rPr>
          <w:color w:val="000000"/>
          <w:szCs w:val="20"/>
          <w:lang w:val="pl-PL"/>
        </w:rPr>
      </w:pPr>
    </w:p>
    <w:p w:rsidR="00E96768" w:rsidRPr="00E00B35" w:rsidRDefault="00E96768" w:rsidP="00E00B35">
      <w:pPr>
        <w:pStyle w:val="Nagwek20"/>
      </w:pPr>
      <w:bookmarkStart w:id="27" w:name="_Toc78189479"/>
      <w:r w:rsidRPr="00E00B35">
        <w:t>DEPARTAMENT OBSŁUGI I ADMINISTRACJI</w:t>
      </w:r>
      <w:bookmarkEnd w:id="27"/>
    </w:p>
    <w:p w:rsidR="00E96768" w:rsidRPr="00E00B35" w:rsidRDefault="00E96768" w:rsidP="00E00B35">
      <w:pPr>
        <w:spacing w:after="0" w:line="312" w:lineRule="auto"/>
        <w:rPr>
          <w:color w:val="000000"/>
          <w:szCs w:val="20"/>
          <w:lang w:val="pl-PL"/>
        </w:rPr>
      </w:pPr>
    </w:p>
    <w:p w:rsidR="00E96768" w:rsidRPr="00E00B35" w:rsidRDefault="00E96768" w:rsidP="00E00B35">
      <w:pPr>
        <w:pStyle w:val="Nagwek3"/>
        <w:spacing w:after="0" w:line="312" w:lineRule="auto"/>
        <w:rPr>
          <w:sz w:val="20"/>
        </w:rPr>
      </w:pPr>
      <w:r w:rsidRPr="00E00B35">
        <w:rPr>
          <w:sz w:val="20"/>
        </w:rPr>
        <w:t>POLITYKA PERSONALNA</w:t>
      </w:r>
    </w:p>
    <w:p w:rsidR="00E96768" w:rsidRPr="00E00B35" w:rsidRDefault="00E96768" w:rsidP="00E00B35">
      <w:pPr>
        <w:spacing w:after="0" w:line="312" w:lineRule="auto"/>
        <w:rPr>
          <w:szCs w:val="20"/>
        </w:rPr>
      </w:pPr>
    </w:p>
    <w:p w:rsidR="00E96768" w:rsidRPr="00E00B35" w:rsidRDefault="00E96768" w:rsidP="00E00B35">
      <w:pPr>
        <w:pStyle w:val="Nagwek4"/>
        <w:spacing w:before="0" w:after="0" w:line="312" w:lineRule="auto"/>
        <w:rPr>
          <w:sz w:val="20"/>
          <w:szCs w:val="20"/>
        </w:rPr>
      </w:pPr>
      <w:r w:rsidRPr="00E00B35">
        <w:rPr>
          <w:sz w:val="20"/>
          <w:szCs w:val="20"/>
        </w:rPr>
        <w:t>ZATRUDNIENIE PRACOWNIKÓW URZĘDU MIEJSKIEGO WROCŁAWIA</w:t>
      </w:r>
    </w:p>
    <w:p w:rsidR="00E96768" w:rsidRPr="00E00B35" w:rsidRDefault="00E96768" w:rsidP="00E00B35">
      <w:pPr>
        <w:spacing w:after="0" w:line="312" w:lineRule="auto"/>
        <w:rPr>
          <w:b/>
          <w:bCs/>
          <w:szCs w:val="20"/>
        </w:rPr>
      </w:pPr>
    </w:p>
    <w:p w:rsidR="00E96768" w:rsidRPr="00E00B35" w:rsidRDefault="00E96768" w:rsidP="00E00B35">
      <w:pPr>
        <w:spacing w:after="0" w:line="312" w:lineRule="auto"/>
        <w:rPr>
          <w:szCs w:val="20"/>
        </w:rPr>
      </w:pPr>
      <w:r w:rsidRPr="00E00B35">
        <w:rPr>
          <w:szCs w:val="20"/>
        </w:rPr>
        <w:t>Stan zatrudnienia w Urzędzie Miejskim Wrocławia</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30"/>
        <w:gridCol w:w="1450"/>
        <w:gridCol w:w="1630"/>
        <w:gridCol w:w="1630"/>
        <w:gridCol w:w="2380"/>
      </w:tblGrid>
      <w:tr w:rsidR="00E96768" w:rsidRPr="00E00B35" w:rsidTr="00E96768">
        <w:trPr>
          <w:trHeight w:val="598"/>
          <w:tblHeader/>
          <w:jc w:val="center"/>
        </w:trPr>
        <w:tc>
          <w:tcPr>
            <w:tcW w:w="1630" w:type="dxa"/>
            <w:shd w:val="clear" w:color="auto" w:fill="E6E6E6"/>
            <w:noWrap/>
            <w:vAlign w:val="center"/>
          </w:tcPr>
          <w:p w:rsidR="00E96768" w:rsidRPr="00E00B35" w:rsidRDefault="00E96768" w:rsidP="00E00B35">
            <w:pPr>
              <w:pStyle w:val="xl30"/>
              <w:pBdr>
                <w:bottom w:val="none" w:sz="0" w:space="0" w:color="auto"/>
                <w:right w:val="none" w:sz="0" w:space="0" w:color="auto"/>
              </w:pBdr>
              <w:spacing w:before="0" w:beforeAutospacing="0" w:after="0" w:afterAutospacing="0" w:line="312" w:lineRule="auto"/>
              <w:jc w:val="left"/>
              <w:textAlignment w:val="auto"/>
              <w:rPr>
                <w:rFonts w:ascii="Verdana" w:eastAsia="Times New Roman" w:hAnsi="Verdana" w:cs="Times New Roman"/>
                <w:sz w:val="20"/>
                <w:szCs w:val="20"/>
              </w:rPr>
            </w:pPr>
            <w:r w:rsidRPr="00E00B35">
              <w:rPr>
                <w:rFonts w:ascii="Verdana" w:eastAsia="Times New Roman" w:hAnsi="Verdana" w:cs="Times New Roman"/>
                <w:sz w:val="20"/>
                <w:szCs w:val="20"/>
              </w:rPr>
              <w:t xml:space="preserve">Stan na dzień </w:t>
            </w:r>
            <w:r w:rsidRPr="00E00B35">
              <w:rPr>
                <w:rFonts w:ascii="Verdana" w:eastAsia="Times New Roman" w:hAnsi="Verdana" w:cs="Times New Roman"/>
                <w:sz w:val="20"/>
                <w:szCs w:val="20"/>
              </w:rPr>
              <w:br/>
              <w:t>31 grudnia/rok</w:t>
            </w:r>
          </w:p>
        </w:tc>
        <w:tc>
          <w:tcPr>
            <w:tcW w:w="1450" w:type="dxa"/>
            <w:shd w:val="clear" w:color="auto" w:fill="E6E6E6"/>
            <w:noWrap/>
            <w:vAlign w:val="center"/>
          </w:tcPr>
          <w:p w:rsidR="00E96768" w:rsidRPr="00E00B35" w:rsidRDefault="00E96768" w:rsidP="00E00B35">
            <w:pPr>
              <w:spacing w:after="0" w:line="312" w:lineRule="auto"/>
              <w:rPr>
                <w:rFonts w:eastAsia="Arial Unicode MS" w:cs="Arial Unicode MS"/>
                <w:b/>
                <w:bCs/>
                <w:szCs w:val="20"/>
              </w:rPr>
            </w:pPr>
            <w:r w:rsidRPr="00E00B35">
              <w:rPr>
                <w:b/>
                <w:bCs/>
                <w:szCs w:val="20"/>
              </w:rPr>
              <w:t>Kobiet</w:t>
            </w:r>
          </w:p>
        </w:tc>
        <w:tc>
          <w:tcPr>
            <w:tcW w:w="1630" w:type="dxa"/>
            <w:shd w:val="clear" w:color="auto" w:fill="E6E6E6"/>
            <w:noWrap/>
            <w:vAlign w:val="center"/>
          </w:tcPr>
          <w:p w:rsidR="00E96768" w:rsidRPr="00E00B35" w:rsidRDefault="00E96768" w:rsidP="00E00B35">
            <w:pPr>
              <w:spacing w:after="0" w:line="312" w:lineRule="auto"/>
              <w:rPr>
                <w:rFonts w:eastAsia="Arial Unicode MS" w:cs="Arial Unicode MS"/>
                <w:b/>
                <w:bCs/>
                <w:szCs w:val="20"/>
              </w:rPr>
            </w:pPr>
            <w:r w:rsidRPr="00E00B35">
              <w:rPr>
                <w:b/>
                <w:bCs/>
                <w:szCs w:val="20"/>
              </w:rPr>
              <w:t>Mężczyzn</w:t>
            </w:r>
          </w:p>
        </w:tc>
        <w:tc>
          <w:tcPr>
            <w:tcW w:w="1630" w:type="dxa"/>
            <w:shd w:val="clear" w:color="auto" w:fill="E6E6E6"/>
            <w:noWrap/>
            <w:vAlign w:val="center"/>
          </w:tcPr>
          <w:p w:rsidR="00E96768" w:rsidRPr="00E00B35" w:rsidRDefault="00E96768" w:rsidP="00E00B35">
            <w:pPr>
              <w:spacing w:after="0" w:line="312" w:lineRule="auto"/>
              <w:rPr>
                <w:rFonts w:eastAsia="Arial Unicode MS" w:cs="Arial Unicode MS"/>
                <w:b/>
                <w:bCs/>
                <w:szCs w:val="20"/>
              </w:rPr>
            </w:pPr>
            <w:r w:rsidRPr="00E00B35">
              <w:rPr>
                <w:b/>
                <w:bCs/>
                <w:szCs w:val="20"/>
              </w:rPr>
              <w:t>Razem</w:t>
            </w:r>
          </w:p>
        </w:tc>
        <w:tc>
          <w:tcPr>
            <w:tcW w:w="2380" w:type="dxa"/>
            <w:shd w:val="clear" w:color="auto" w:fill="E6E6E6"/>
            <w:noWrap/>
            <w:vAlign w:val="center"/>
          </w:tcPr>
          <w:p w:rsidR="00E96768" w:rsidRPr="00E00B35" w:rsidRDefault="00E96768" w:rsidP="00E00B35">
            <w:pPr>
              <w:spacing w:after="0" w:line="312" w:lineRule="auto"/>
              <w:rPr>
                <w:rFonts w:eastAsia="Arial Unicode MS" w:cs="Arial Unicode MS"/>
                <w:b/>
                <w:bCs/>
                <w:szCs w:val="20"/>
              </w:rPr>
            </w:pPr>
            <w:r w:rsidRPr="00E00B35">
              <w:rPr>
                <w:b/>
                <w:bCs/>
                <w:szCs w:val="20"/>
              </w:rPr>
              <w:t>w tym niepełnozatrudnieni</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2009</w:t>
            </w:r>
          </w:p>
        </w:tc>
        <w:tc>
          <w:tcPr>
            <w:tcW w:w="1450"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1 484</w:t>
            </w:r>
          </w:p>
        </w:tc>
        <w:tc>
          <w:tcPr>
            <w:tcW w:w="1630"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486</w:t>
            </w:r>
          </w:p>
        </w:tc>
        <w:tc>
          <w:tcPr>
            <w:tcW w:w="1630"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1 970</w:t>
            </w:r>
          </w:p>
        </w:tc>
        <w:tc>
          <w:tcPr>
            <w:tcW w:w="2380"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36</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2010</w:t>
            </w:r>
          </w:p>
        </w:tc>
        <w:tc>
          <w:tcPr>
            <w:tcW w:w="1450"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1 474</w:t>
            </w:r>
          </w:p>
        </w:tc>
        <w:tc>
          <w:tcPr>
            <w:tcW w:w="1630"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490</w:t>
            </w:r>
          </w:p>
        </w:tc>
        <w:tc>
          <w:tcPr>
            <w:tcW w:w="1630"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1 964</w:t>
            </w:r>
          </w:p>
        </w:tc>
        <w:tc>
          <w:tcPr>
            <w:tcW w:w="2380"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40</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szCs w:val="20"/>
              </w:rPr>
            </w:pPr>
            <w:r w:rsidRPr="00E00B35">
              <w:rPr>
                <w:szCs w:val="20"/>
              </w:rPr>
              <w:t>2011</w:t>
            </w:r>
          </w:p>
        </w:tc>
        <w:tc>
          <w:tcPr>
            <w:tcW w:w="1450" w:type="dxa"/>
            <w:noWrap/>
            <w:vAlign w:val="center"/>
          </w:tcPr>
          <w:p w:rsidR="00E96768" w:rsidRPr="00E00B35" w:rsidRDefault="00E96768" w:rsidP="00E00B35">
            <w:pPr>
              <w:spacing w:after="0" w:line="312" w:lineRule="auto"/>
              <w:rPr>
                <w:szCs w:val="20"/>
              </w:rPr>
            </w:pPr>
            <w:r w:rsidRPr="00E00B35">
              <w:rPr>
                <w:szCs w:val="20"/>
              </w:rPr>
              <w:t>1 463</w:t>
            </w:r>
          </w:p>
        </w:tc>
        <w:tc>
          <w:tcPr>
            <w:tcW w:w="1630" w:type="dxa"/>
            <w:noWrap/>
            <w:vAlign w:val="center"/>
          </w:tcPr>
          <w:p w:rsidR="00E96768" w:rsidRPr="00E00B35" w:rsidRDefault="00E96768" w:rsidP="00E00B35">
            <w:pPr>
              <w:spacing w:after="0" w:line="312" w:lineRule="auto"/>
              <w:rPr>
                <w:szCs w:val="20"/>
              </w:rPr>
            </w:pPr>
            <w:r w:rsidRPr="00E00B35">
              <w:rPr>
                <w:szCs w:val="20"/>
              </w:rPr>
              <w:t>494</w:t>
            </w:r>
          </w:p>
        </w:tc>
        <w:tc>
          <w:tcPr>
            <w:tcW w:w="1630" w:type="dxa"/>
            <w:noWrap/>
            <w:vAlign w:val="center"/>
          </w:tcPr>
          <w:p w:rsidR="00E96768" w:rsidRPr="00E00B35" w:rsidRDefault="00E96768" w:rsidP="00E00B35">
            <w:pPr>
              <w:spacing w:after="0" w:line="312" w:lineRule="auto"/>
              <w:rPr>
                <w:szCs w:val="20"/>
              </w:rPr>
            </w:pPr>
            <w:r w:rsidRPr="00E00B35">
              <w:rPr>
                <w:szCs w:val="20"/>
              </w:rPr>
              <w:t>1 957</w:t>
            </w:r>
          </w:p>
        </w:tc>
        <w:tc>
          <w:tcPr>
            <w:tcW w:w="2380" w:type="dxa"/>
            <w:noWrap/>
            <w:vAlign w:val="center"/>
          </w:tcPr>
          <w:p w:rsidR="00E96768" w:rsidRPr="00E00B35" w:rsidRDefault="00E96768" w:rsidP="00E00B35">
            <w:pPr>
              <w:spacing w:after="0" w:line="312" w:lineRule="auto"/>
              <w:rPr>
                <w:szCs w:val="20"/>
              </w:rPr>
            </w:pPr>
            <w:r w:rsidRPr="00E00B35">
              <w:rPr>
                <w:szCs w:val="20"/>
              </w:rPr>
              <w:t>44</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szCs w:val="20"/>
              </w:rPr>
            </w:pPr>
            <w:r w:rsidRPr="00E00B35">
              <w:rPr>
                <w:szCs w:val="20"/>
              </w:rPr>
              <w:lastRenderedPageBreak/>
              <w:t>2012</w:t>
            </w:r>
          </w:p>
        </w:tc>
        <w:tc>
          <w:tcPr>
            <w:tcW w:w="1450" w:type="dxa"/>
            <w:noWrap/>
            <w:vAlign w:val="center"/>
          </w:tcPr>
          <w:p w:rsidR="00E96768" w:rsidRPr="00E00B35" w:rsidRDefault="00E96768" w:rsidP="00E00B35">
            <w:pPr>
              <w:spacing w:after="0" w:line="312" w:lineRule="auto"/>
              <w:rPr>
                <w:szCs w:val="20"/>
              </w:rPr>
            </w:pPr>
            <w:r w:rsidRPr="00E00B35">
              <w:rPr>
                <w:szCs w:val="20"/>
              </w:rPr>
              <w:t>1 461</w:t>
            </w:r>
          </w:p>
        </w:tc>
        <w:tc>
          <w:tcPr>
            <w:tcW w:w="1630" w:type="dxa"/>
            <w:noWrap/>
            <w:vAlign w:val="center"/>
          </w:tcPr>
          <w:p w:rsidR="00E96768" w:rsidRPr="00E00B35" w:rsidRDefault="00E96768" w:rsidP="00E00B35">
            <w:pPr>
              <w:spacing w:after="0" w:line="312" w:lineRule="auto"/>
              <w:rPr>
                <w:szCs w:val="20"/>
              </w:rPr>
            </w:pPr>
            <w:r w:rsidRPr="00E00B35">
              <w:rPr>
                <w:szCs w:val="20"/>
              </w:rPr>
              <w:t>496</w:t>
            </w:r>
          </w:p>
        </w:tc>
        <w:tc>
          <w:tcPr>
            <w:tcW w:w="1630" w:type="dxa"/>
            <w:noWrap/>
            <w:vAlign w:val="center"/>
          </w:tcPr>
          <w:p w:rsidR="00E96768" w:rsidRPr="00E00B35" w:rsidRDefault="00E96768" w:rsidP="00E00B35">
            <w:pPr>
              <w:spacing w:after="0" w:line="312" w:lineRule="auto"/>
              <w:rPr>
                <w:szCs w:val="20"/>
              </w:rPr>
            </w:pPr>
            <w:r w:rsidRPr="00E00B35">
              <w:rPr>
                <w:szCs w:val="20"/>
              </w:rPr>
              <w:t>1 957</w:t>
            </w:r>
          </w:p>
        </w:tc>
        <w:tc>
          <w:tcPr>
            <w:tcW w:w="2380" w:type="dxa"/>
            <w:noWrap/>
            <w:vAlign w:val="center"/>
          </w:tcPr>
          <w:p w:rsidR="00E96768" w:rsidRPr="00E00B35" w:rsidRDefault="00E96768" w:rsidP="00E00B35">
            <w:pPr>
              <w:spacing w:after="0" w:line="312" w:lineRule="auto"/>
              <w:rPr>
                <w:szCs w:val="20"/>
              </w:rPr>
            </w:pPr>
            <w:r w:rsidRPr="00E00B35">
              <w:rPr>
                <w:szCs w:val="20"/>
              </w:rPr>
              <w:t>40</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szCs w:val="20"/>
              </w:rPr>
            </w:pPr>
            <w:r w:rsidRPr="00E00B35">
              <w:rPr>
                <w:szCs w:val="20"/>
              </w:rPr>
              <w:t>2013</w:t>
            </w:r>
          </w:p>
        </w:tc>
        <w:tc>
          <w:tcPr>
            <w:tcW w:w="1450" w:type="dxa"/>
            <w:noWrap/>
            <w:vAlign w:val="center"/>
          </w:tcPr>
          <w:p w:rsidR="00E96768" w:rsidRPr="00E00B35" w:rsidRDefault="00E96768" w:rsidP="00E00B35">
            <w:pPr>
              <w:spacing w:after="0" w:line="312" w:lineRule="auto"/>
              <w:rPr>
                <w:szCs w:val="20"/>
              </w:rPr>
            </w:pPr>
            <w:r w:rsidRPr="00E00B35">
              <w:rPr>
                <w:szCs w:val="20"/>
              </w:rPr>
              <w:t>1 483</w:t>
            </w:r>
          </w:p>
        </w:tc>
        <w:tc>
          <w:tcPr>
            <w:tcW w:w="1630" w:type="dxa"/>
            <w:noWrap/>
            <w:vAlign w:val="center"/>
          </w:tcPr>
          <w:p w:rsidR="00E96768" w:rsidRPr="00E00B35" w:rsidRDefault="00E96768" w:rsidP="00E00B35">
            <w:pPr>
              <w:spacing w:after="0" w:line="312" w:lineRule="auto"/>
              <w:rPr>
                <w:szCs w:val="20"/>
              </w:rPr>
            </w:pPr>
            <w:r w:rsidRPr="00E00B35">
              <w:rPr>
                <w:szCs w:val="20"/>
              </w:rPr>
              <w:t>496</w:t>
            </w:r>
          </w:p>
        </w:tc>
        <w:tc>
          <w:tcPr>
            <w:tcW w:w="1630" w:type="dxa"/>
            <w:noWrap/>
            <w:vAlign w:val="center"/>
          </w:tcPr>
          <w:p w:rsidR="00E96768" w:rsidRPr="00E00B35" w:rsidRDefault="00E96768" w:rsidP="00E00B35">
            <w:pPr>
              <w:spacing w:after="0" w:line="312" w:lineRule="auto"/>
              <w:rPr>
                <w:szCs w:val="20"/>
              </w:rPr>
            </w:pPr>
            <w:r w:rsidRPr="00E00B35">
              <w:rPr>
                <w:szCs w:val="20"/>
              </w:rPr>
              <w:t>1 979</w:t>
            </w:r>
          </w:p>
        </w:tc>
        <w:tc>
          <w:tcPr>
            <w:tcW w:w="2380" w:type="dxa"/>
            <w:noWrap/>
            <w:vAlign w:val="center"/>
          </w:tcPr>
          <w:p w:rsidR="00E96768" w:rsidRPr="00E00B35" w:rsidRDefault="00E96768" w:rsidP="00E00B35">
            <w:pPr>
              <w:spacing w:after="0" w:line="312" w:lineRule="auto"/>
              <w:rPr>
                <w:szCs w:val="20"/>
              </w:rPr>
            </w:pPr>
            <w:r w:rsidRPr="00E00B35">
              <w:rPr>
                <w:szCs w:val="20"/>
              </w:rPr>
              <w:t>37</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szCs w:val="20"/>
              </w:rPr>
            </w:pPr>
            <w:r w:rsidRPr="00E00B35">
              <w:rPr>
                <w:szCs w:val="20"/>
              </w:rPr>
              <w:t>2014</w:t>
            </w:r>
          </w:p>
        </w:tc>
        <w:tc>
          <w:tcPr>
            <w:tcW w:w="1450" w:type="dxa"/>
            <w:noWrap/>
            <w:vAlign w:val="center"/>
          </w:tcPr>
          <w:p w:rsidR="00E96768" w:rsidRPr="00E00B35" w:rsidRDefault="00E96768" w:rsidP="00E00B35">
            <w:pPr>
              <w:spacing w:after="0" w:line="312" w:lineRule="auto"/>
              <w:rPr>
                <w:szCs w:val="20"/>
              </w:rPr>
            </w:pPr>
            <w:r w:rsidRPr="00E00B35">
              <w:rPr>
                <w:szCs w:val="20"/>
              </w:rPr>
              <w:t>1 503</w:t>
            </w:r>
          </w:p>
        </w:tc>
        <w:tc>
          <w:tcPr>
            <w:tcW w:w="1630" w:type="dxa"/>
            <w:noWrap/>
            <w:vAlign w:val="center"/>
          </w:tcPr>
          <w:p w:rsidR="00E96768" w:rsidRPr="00E00B35" w:rsidRDefault="00E96768" w:rsidP="00E00B35">
            <w:pPr>
              <w:spacing w:after="0" w:line="312" w:lineRule="auto"/>
              <w:rPr>
                <w:szCs w:val="20"/>
              </w:rPr>
            </w:pPr>
            <w:r w:rsidRPr="00E00B35">
              <w:rPr>
                <w:szCs w:val="20"/>
              </w:rPr>
              <w:t>456</w:t>
            </w:r>
          </w:p>
        </w:tc>
        <w:tc>
          <w:tcPr>
            <w:tcW w:w="1630" w:type="dxa"/>
            <w:noWrap/>
            <w:vAlign w:val="center"/>
          </w:tcPr>
          <w:p w:rsidR="00E96768" w:rsidRPr="00E00B35" w:rsidRDefault="00E96768" w:rsidP="00E00B35">
            <w:pPr>
              <w:spacing w:after="0" w:line="312" w:lineRule="auto"/>
              <w:rPr>
                <w:szCs w:val="20"/>
              </w:rPr>
            </w:pPr>
            <w:r w:rsidRPr="00E00B35">
              <w:rPr>
                <w:szCs w:val="20"/>
              </w:rPr>
              <w:t>1 959</w:t>
            </w:r>
          </w:p>
        </w:tc>
        <w:tc>
          <w:tcPr>
            <w:tcW w:w="2380" w:type="dxa"/>
            <w:noWrap/>
            <w:vAlign w:val="center"/>
          </w:tcPr>
          <w:p w:rsidR="00E96768" w:rsidRPr="00E00B35" w:rsidRDefault="00E96768" w:rsidP="00E00B35">
            <w:pPr>
              <w:spacing w:after="0" w:line="312" w:lineRule="auto"/>
              <w:rPr>
                <w:szCs w:val="20"/>
              </w:rPr>
            </w:pPr>
            <w:r w:rsidRPr="00E00B35">
              <w:rPr>
                <w:szCs w:val="20"/>
              </w:rPr>
              <w:t>42</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szCs w:val="20"/>
              </w:rPr>
            </w:pPr>
            <w:r w:rsidRPr="00E00B35">
              <w:rPr>
                <w:szCs w:val="20"/>
              </w:rPr>
              <w:t>2015</w:t>
            </w:r>
          </w:p>
        </w:tc>
        <w:tc>
          <w:tcPr>
            <w:tcW w:w="1450" w:type="dxa"/>
            <w:noWrap/>
            <w:vAlign w:val="center"/>
          </w:tcPr>
          <w:p w:rsidR="00E96768" w:rsidRPr="00E00B35" w:rsidRDefault="00E96768" w:rsidP="00E00B35">
            <w:pPr>
              <w:spacing w:after="0" w:line="312" w:lineRule="auto"/>
              <w:rPr>
                <w:szCs w:val="20"/>
              </w:rPr>
            </w:pPr>
            <w:r w:rsidRPr="00E00B35">
              <w:rPr>
                <w:szCs w:val="20"/>
              </w:rPr>
              <w:t>1 514</w:t>
            </w:r>
          </w:p>
        </w:tc>
        <w:tc>
          <w:tcPr>
            <w:tcW w:w="1630" w:type="dxa"/>
            <w:noWrap/>
            <w:vAlign w:val="center"/>
          </w:tcPr>
          <w:p w:rsidR="00E96768" w:rsidRPr="00E00B35" w:rsidRDefault="00E96768" w:rsidP="00E00B35">
            <w:pPr>
              <w:spacing w:after="0" w:line="312" w:lineRule="auto"/>
              <w:rPr>
                <w:szCs w:val="20"/>
              </w:rPr>
            </w:pPr>
            <w:r w:rsidRPr="00E00B35">
              <w:rPr>
                <w:szCs w:val="20"/>
              </w:rPr>
              <w:t>452</w:t>
            </w:r>
          </w:p>
        </w:tc>
        <w:tc>
          <w:tcPr>
            <w:tcW w:w="1630" w:type="dxa"/>
            <w:noWrap/>
            <w:vAlign w:val="center"/>
          </w:tcPr>
          <w:p w:rsidR="00E96768" w:rsidRPr="00E00B35" w:rsidRDefault="00E96768" w:rsidP="00E00B35">
            <w:pPr>
              <w:spacing w:after="0" w:line="312" w:lineRule="auto"/>
              <w:rPr>
                <w:szCs w:val="20"/>
              </w:rPr>
            </w:pPr>
            <w:r w:rsidRPr="00E00B35">
              <w:rPr>
                <w:szCs w:val="20"/>
              </w:rPr>
              <w:t>1 966</w:t>
            </w:r>
          </w:p>
        </w:tc>
        <w:tc>
          <w:tcPr>
            <w:tcW w:w="2380" w:type="dxa"/>
            <w:noWrap/>
            <w:vAlign w:val="center"/>
          </w:tcPr>
          <w:p w:rsidR="00E96768" w:rsidRPr="00E00B35" w:rsidRDefault="00E96768" w:rsidP="00E00B35">
            <w:pPr>
              <w:spacing w:after="0" w:line="312" w:lineRule="auto"/>
              <w:rPr>
                <w:szCs w:val="20"/>
              </w:rPr>
            </w:pPr>
            <w:r w:rsidRPr="00E00B35">
              <w:rPr>
                <w:szCs w:val="20"/>
              </w:rPr>
              <w:t>53</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szCs w:val="20"/>
              </w:rPr>
            </w:pPr>
            <w:r w:rsidRPr="00E00B35">
              <w:rPr>
                <w:szCs w:val="20"/>
              </w:rPr>
              <w:t>2016</w:t>
            </w:r>
          </w:p>
        </w:tc>
        <w:tc>
          <w:tcPr>
            <w:tcW w:w="1450" w:type="dxa"/>
            <w:noWrap/>
            <w:vAlign w:val="center"/>
          </w:tcPr>
          <w:p w:rsidR="00E96768" w:rsidRPr="00E00B35" w:rsidRDefault="00E96768" w:rsidP="00E00B35">
            <w:pPr>
              <w:spacing w:after="0" w:line="312" w:lineRule="auto"/>
              <w:rPr>
                <w:szCs w:val="20"/>
              </w:rPr>
            </w:pPr>
            <w:r w:rsidRPr="00E00B35">
              <w:rPr>
                <w:szCs w:val="20"/>
              </w:rPr>
              <w:t>1 519</w:t>
            </w:r>
          </w:p>
        </w:tc>
        <w:tc>
          <w:tcPr>
            <w:tcW w:w="1630" w:type="dxa"/>
            <w:noWrap/>
            <w:vAlign w:val="center"/>
          </w:tcPr>
          <w:p w:rsidR="00E96768" w:rsidRPr="00E00B35" w:rsidRDefault="00E96768" w:rsidP="00E00B35">
            <w:pPr>
              <w:spacing w:after="0" w:line="312" w:lineRule="auto"/>
              <w:rPr>
                <w:szCs w:val="20"/>
              </w:rPr>
            </w:pPr>
            <w:r w:rsidRPr="00E00B35">
              <w:rPr>
                <w:szCs w:val="20"/>
              </w:rPr>
              <w:t>454</w:t>
            </w:r>
          </w:p>
        </w:tc>
        <w:tc>
          <w:tcPr>
            <w:tcW w:w="1630" w:type="dxa"/>
            <w:noWrap/>
            <w:vAlign w:val="center"/>
          </w:tcPr>
          <w:p w:rsidR="00E96768" w:rsidRPr="00E00B35" w:rsidRDefault="00E96768" w:rsidP="00E00B35">
            <w:pPr>
              <w:spacing w:after="0" w:line="312" w:lineRule="auto"/>
              <w:rPr>
                <w:szCs w:val="20"/>
              </w:rPr>
            </w:pPr>
            <w:r w:rsidRPr="00E00B35">
              <w:rPr>
                <w:szCs w:val="20"/>
              </w:rPr>
              <w:t>1 973</w:t>
            </w:r>
          </w:p>
        </w:tc>
        <w:tc>
          <w:tcPr>
            <w:tcW w:w="2380" w:type="dxa"/>
            <w:noWrap/>
            <w:vAlign w:val="center"/>
          </w:tcPr>
          <w:p w:rsidR="00E96768" w:rsidRPr="00E00B35" w:rsidRDefault="00E96768" w:rsidP="00E00B35">
            <w:pPr>
              <w:spacing w:after="0" w:line="312" w:lineRule="auto"/>
              <w:rPr>
                <w:szCs w:val="20"/>
              </w:rPr>
            </w:pPr>
            <w:r w:rsidRPr="00E00B35">
              <w:rPr>
                <w:szCs w:val="20"/>
              </w:rPr>
              <w:t>43</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szCs w:val="20"/>
              </w:rPr>
            </w:pPr>
            <w:r w:rsidRPr="00E00B35">
              <w:rPr>
                <w:szCs w:val="20"/>
              </w:rPr>
              <w:t>2017</w:t>
            </w:r>
          </w:p>
        </w:tc>
        <w:tc>
          <w:tcPr>
            <w:tcW w:w="1450" w:type="dxa"/>
            <w:noWrap/>
            <w:vAlign w:val="center"/>
          </w:tcPr>
          <w:p w:rsidR="00E96768" w:rsidRPr="00E00B35" w:rsidRDefault="00E96768" w:rsidP="00E00B35">
            <w:pPr>
              <w:spacing w:after="0" w:line="312" w:lineRule="auto"/>
              <w:rPr>
                <w:szCs w:val="20"/>
              </w:rPr>
            </w:pPr>
            <w:r w:rsidRPr="00E00B35">
              <w:rPr>
                <w:szCs w:val="20"/>
              </w:rPr>
              <w:t>1564</w:t>
            </w:r>
          </w:p>
        </w:tc>
        <w:tc>
          <w:tcPr>
            <w:tcW w:w="1630" w:type="dxa"/>
            <w:noWrap/>
            <w:vAlign w:val="center"/>
          </w:tcPr>
          <w:p w:rsidR="00E96768" w:rsidRPr="00E00B35" w:rsidRDefault="00E96768" w:rsidP="00E00B35">
            <w:pPr>
              <w:spacing w:after="0" w:line="312" w:lineRule="auto"/>
              <w:rPr>
                <w:szCs w:val="20"/>
              </w:rPr>
            </w:pPr>
            <w:r w:rsidRPr="00E00B35">
              <w:rPr>
                <w:szCs w:val="20"/>
              </w:rPr>
              <w:t>454</w:t>
            </w:r>
          </w:p>
        </w:tc>
        <w:tc>
          <w:tcPr>
            <w:tcW w:w="1630" w:type="dxa"/>
            <w:noWrap/>
            <w:vAlign w:val="center"/>
          </w:tcPr>
          <w:p w:rsidR="00E96768" w:rsidRPr="00E00B35" w:rsidRDefault="00E96768" w:rsidP="00E00B35">
            <w:pPr>
              <w:spacing w:after="0" w:line="312" w:lineRule="auto"/>
              <w:rPr>
                <w:szCs w:val="20"/>
              </w:rPr>
            </w:pPr>
            <w:r w:rsidRPr="00E00B35">
              <w:rPr>
                <w:szCs w:val="20"/>
              </w:rPr>
              <w:t>2018</w:t>
            </w:r>
          </w:p>
        </w:tc>
        <w:tc>
          <w:tcPr>
            <w:tcW w:w="2380" w:type="dxa"/>
            <w:noWrap/>
            <w:vAlign w:val="center"/>
          </w:tcPr>
          <w:p w:rsidR="00E96768" w:rsidRPr="00E00B35" w:rsidRDefault="00E96768" w:rsidP="00E00B35">
            <w:pPr>
              <w:spacing w:after="0" w:line="312" w:lineRule="auto"/>
              <w:rPr>
                <w:szCs w:val="20"/>
              </w:rPr>
            </w:pPr>
            <w:r w:rsidRPr="00E00B35">
              <w:rPr>
                <w:szCs w:val="20"/>
              </w:rPr>
              <w:t>45</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szCs w:val="20"/>
              </w:rPr>
            </w:pPr>
            <w:r w:rsidRPr="00E00B35">
              <w:rPr>
                <w:szCs w:val="20"/>
              </w:rPr>
              <w:t>2018</w:t>
            </w:r>
          </w:p>
        </w:tc>
        <w:tc>
          <w:tcPr>
            <w:tcW w:w="1450" w:type="dxa"/>
            <w:noWrap/>
            <w:vAlign w:val="center"/>
          </w:tcPr>
          <w:p w:rsidR="00E96768" w:rsidRPr="00E00B35" w:rsidRDefault="00E96768" w:rsidP="00E00B35">
            <w:pPr>
              <w:spacing w:after="0" w:line="312" w:lineRule="auto"/>
              <w:rPr>
                <w:szCs w:val="20"/>
              </w:rPr>
            </w:pPr>
            <w:r w:rsidRPr="00E00B35">
              <w:rPr>
                <w:szCs w:val="20"/>
              </w:rPr>
              <w:t>1561</w:t>
            </w:r>
          </w:p>
        </w:tc>
        <w:tc>
          <w:tcPr>
            <w:tcW w:w="1630" w:type="dxa"/>
            <w:noWrap/>
            <w:vAlign w:val="center"/>
          </w:tcPr>
          <w:p w:rsidR="00E96768" w:rsidRPr="00E00B35" w:rsidRDefault="00E96768" w:rsidP="00E00B35">
            <w:pPr>
              <w:spacing w:after="0" w:line="312" w:lineRule="auto"/>
              <w:rPr>
                <w:szCs w:val="20"/>
              </w:rPr>
            </w:pPr>
            <w:r w:rsidRPr="00E00B35">
              <w:rPr>
                <w:szCs w:val="20"/>
              </w:rPr>
              <w:t>450</w:t>
            </w:r>
          </w:p>
        </w:tc>
        <w:tc>
          <w:tcPr>
            <w:tcW w:w="1630" w:type="dxa"/>
            <w:noWrap/>
            <w:vAlign w:val="center"/>
          </w:tcPr>
          <w:p w:rsidR="00E96768" w:rsidRPr="00E00B35" w:rsidRDefault="00E96768" w:rsidP="00E00B35">
            <w:pPr>
              <w:spacing w:after="0" w:line="312" w:lineRule="auto"/>
              <w:rPr>
                <w:szCs w:val="20"/>
              </w:rPr>
            </w:pPr>
            <w:r w:rsidRPr="00E00B35">
              <w:rPr>
                <w:szCs w:val="20"/>
              </w:rPr>
              <w:t>2011</w:t>
            </w:r>
          </w:p>
        </w:tc>
        <w:tc>
          <w:tcPr>
            <w:tcW w:w="2380" w:type="dxa"/>
            <w:noWrap/>
            <w:vAlign w:val="center"/>
          </w:tcPr>
          <w:p w:rsidR="00E96768" w:rsidRPr="00E00B35" w:rsidRDefault="00E96768" w:rsidP="00E00B35">
            <w:pPr>
              <w:spacing w:after="0" w:line="312" w:lineRule="auto"/>
              <w:rPr>
                <w:szCs w:val="20"/>
              </w:rPr>
            </w:pPr>
            <w:r w:rsidRPr="00E00B35">
              <w:rPr>
                <w:szCs w:val="20"/>
              </w:rPr>
              <w:t>48</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szCs w:val="20"/>
              </w:rPr>
            </w:pPr>
            <w:r w:rsidRPr="00E00B35">
              <w:rPr>
                <w:szCs w:val="20"/>
              </w:rPr>
              <w:t>2019</w:t>
            </w:r>
          </w:p>
        </w:tc>
        <w:tc>
          <w:tcPr>
            <w:tcW w:w="1450" w:type="dxa"/>
            <w:noWrap/>
            <w:vAlign w:val="center"/>
          </w:tcPr>
          <w:p w:rsidR="00E96768" w:rsidRPr="00E00B35" w:rsidRDefault="00E96768" w:rsidP="00E00B35">
            <w:pPr>
              <w:spacing w:after="0" w:line="312" w:lineRule="auto"/>
              <w:rPr>
                <w:szCs w:val="20"/>
              </w:rPr>
            </w:pPr>
            <w:r w:rsidRPr="00E00B35">
              <w:rPr>
                <w:szCs w:val="20"/>
              </w:rPr>
              <w:t>1584</w:t>
            </w:r>
          </w:p>
        </w:tc>
        <w:tc>
          <w:tcPr>
            <w:tcW w:w="1630" w:type="dxa"/>
            <w:noWrap/>
            <w:vAlign w:val="center"/>
          </w:tcPr>
          <w:p w:rsidR="00E96768" w:rsidRPr="00E00B35" w:rsidRDefault="00E96768" w:rsidP="00E00B35">
            <w:pPr>
              <w:spacing w:after="0" w:line="312" w:lineRule="auto"/>
              <w:rPr>
                <w:szCs w:val="20"/>
              </w:rPr>
            </w:pPr>
            <w:r w:rsidRPr="00E00B35">
              <w:rPr>
                <w:szCs w:val="20"/>
              </w:rPr>
              <w:t>480</w:t>
            </w:r>
          </w:p>
        </w:tc>
        <w:tc>
          <w:tcPr>
            <w:tcW w:w="1630" w:type="dxa"/>
            <w:noWrap/>
            <w:vAlign w:val="center"/>
          </w:tcPr>
          <w:p w:rsidR="00E96768" w:rsidRPr="00E00B35" w:rsidRDefault="00E96768" w:rsidP="00E00B35">
            <w:pPr>
              <w:spacing w:after="0" w:line="312" w:lineRule="auto"/>
              <w:rPr>
                <w:szCs w:val="20"/>
              </w:rPr>
            </w:pPr>
            <w:r w:rsidRPr="00E00B35">
              <w:rPr>
                <w:szCs w:val="20"/>
              </w:rPr>
              <w:t>2064</w:t>
            </w:r>
          </w:p>
        </w:tc>
        <w:tc>
          <w:tcPr>
            <w:tcW w:w="2380" w:type="dxa"/>
            <w:noWrap/>
            <w:vAlign w:val="center"/>
          </w:tcPr>
          <w:p w:rsidR="00E96768" w:rsidRPr="00E00B35" w:rsidRDefault="00E96768" w:rsidP="00E00B35">
            <w:pPr>
              <w:spacing w:after="0" w:line="312" w:lineRule="auto"/>
              <w:rPr>
                <w:szCs w:val="20"/>
              </w:rPr>
            </w:pPr>
            <w:r w:rsidRPr="00E00B35">
              <w:rPr>
                <w:szCs w:val="20"/>
              </w:rPr>
              <w:t>42</w:t>
            </w:r>
          </w:p>
        </w:tc>
      </w:tr>
      <w:tr w:rsidR="00E96768" w:rsidRPr="00E00B35" w:rsidTr="00E96768">
        <w:trPr>
          <w:trHeight w:val="340"/>
          <w:jc w:val="center"/>
        </w:trPr>
        <w:tc>
          <w:tcPr>
            <w:tcW w:w="1630" w:type="dxa"/>
            <w:noWrap/>
            <w:vAlign w:val="center"/>
          </w:tcPr>
          <w:p w:rsidR="00E96768" w:rsidRPr="00E00B35" w:rsidRDefault="00E96768" w:rsidP="00E00B35">
            <w:pPr>
              <w:spacing w:after="0" w:line="312" w:lineRule="auto"/>
              <w:rPr>
                <w:szCs w:val="20"/>
              </w:rPr>
            </w:pPr>
            <w:r w:rsidRPr="00E00B35">
              <w:rPr>
                <w:szCs w:val="20"/>
              </w:rPr>
              <w:t>2020</w:t>
            </w:r>
          </w:p>
        </w:tc>
        <w:tc>
          <w:tcPr>
            <w:tcW w:w="1450" w:type="dxa"/>
            <w:noWrap/>
            <w:vAlign w:val="center"/>
          </w:tcPr>
          <w:p w:rsidR="00E96768" w:rsidRPr="00E00B35" w:rsidRDefault="00E96768" w:rsidP="00E00B35">
            <w:pPr>
              <w:spacing w:after="0" w:line="312" w:lineRule="auto"/>
              <w:rPr>
                <w:szCs w:val="20"/>
              </w:rPr>
            </w:pPr>
            <w:r w:rsidRPr="00E00B35">
              <w:rPr>
                <w:szCs w:val="20"/>
              </w:rPr>
              <w:t>1583</w:t>
            </w:r>
          </w:p>
        </w:tc>
        <w:tc>
          <w:tcPr>
            <w:tcW w:w="1630" w:type="dxa"/>
            <w:noWrap/>
            <w:vAlign w:val="center"/>
          </w:tcPr>
          <w:p w:rsidR="00E96768" w:rsidRPr="00E00B35" w:rsidRDefault="00E96768" w:rsidP="00E00B35">
            <w:pPr>
              <w:spacing w:after="0" w:line="312" w:lineRule="auto"/>
              <w:rPr>
                <w:szCs w:val="20"/>
              </w:rPr>
            </w:pPr>
            <w:r w:rsidRPr="00E00B35">
              <w:rPr>
                <w:szCs w:val="20"/>
              </w:rPr>
              <w:t>476</w:t>
            </w:r>
          </w:p>
        </w:tc>
        <w:tc>
          <w:tcPr>
            <w:tcW w:w="1630" w:type="dxa"/>
            <w:noWrap/>
            <w:vAlign w:val="center"/>
          </w:tcPr>
          <w:p w:rsidR="00E96768" w:rsidRPr="00E00B35" w:rsidRDefault="00E96768" w:rsidP="00E00B35">
            <w:pPr>
              <w:spacing w:after="0" w:line="312" w:lineRule="auto"/>
              <w:rPr>
                <w:szCs w:val="20"/>
              </w:rPr>
            </w:pPr>
            <w:r w:rsidRPr="00E00B35">
              <w:rPr>
                <w:szCs w:val="20"/>
              </w:rPr>
              <w:t>2059</w:t>
            </w:r>
          </w:p>
        </w:tc>
        <w:tc>
          <w:tcPr>
            <w:tcW w:w="2380" w:type="dxa"/>
            <w:noWrap/>
            <w:vAlign w:val="center"/>
          </w:tcPr>
          <w:p w:rsidR="00E96768" w:rsidRPr="00E00B35" w:rsidRDefault="00E96768" w:rsidP="00E00B35">
            <w:pPr>
              <w:spacing w:after="0" w:line="312" w:lineRule="auto"/>
              <w:rPr>
                <w:szCs w:val="20"/>
              </w:rPr>
            </w:pPr>
            <w:r w:rsidRPr="00E00B35">
              <w:rPr>
                <w:szCs w:val="20"/>
              </w:rPr>
              <w:t>47</w:t>
            </w:r>
          </w:p>
        </w:tc>
      </w:tr>
    </w:tbl>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Zwolnienia w okresie 1 stycznia 2020 roku – 31 grudnia 2020 roku</w:t>
      </w:r>
    </w:p>
    <w:tbl>
      <w:tblPr>
        <w:tblW w:w="8739" w:type="dxa"/>
        <w:jc w:val="center"/>
        <w:tblInd w:w="-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969"/>
        <w:gridCol w:w="2268"/>
        <w:gridCol w:w="1559"/>
        <w:gridCol w:w="1943"/>
      </w:tblGrid>
      <w:tr w:rsidR="00E96768" w:rsidRPr="00E00B35" w:rsidTr="00E96768">
        <w:trPr>
          <w:trHeight w:val="340"/>
          <w:tblHeader/>
          <w:jc w:val="center"/>
        </w:trPr>
        <w:tc>
          <w:tcPr>
            <w:tcW w:w="2969" w:type="dxa"/>
            <w:shd w:val="clear" w:color="auto" w:fill="E6E6E6"/>
            <w:vAlign w:val="center"/>
          </w:tcPr>
          <w:p w:rsidR="00E96768" w:rsidRPr="00E00B35" w:rsidRDefault="00E96768" w:rsidP="00E00B35">
            <w:pPr>
              <w:spacing w:after="0" w:line="312" w:lineRule="auto"/>
              <w:rPr>
                <w:b/>
                <w:bCs/>
                <w:szCs w:val="20"/>
              </w:rPr>
            </w:pPr>
            <w:r w:rsidRPr="00E00B35">
              <w:rPr>
                <w:b/>
                <w:bCs/>
                <w:szCs w:val="20"/>
              </w:rPr>
              <w:t>Zwolnionych</w:t>
            </w:r>
          </w:p>
        </w:tc>
        <w:tc>
          <w:tcPr>
            <w:tcW w:w="2268" w:type="dxa"/>
            <w:shd w:val="clear" w:color="auto" w:fill="E6E6E6"/>
            <w:noWrap/>
            <w:vAlign w:val="center"/>
          </w:tcPr>
          <w:p w:rsidR="00E96768" w:rsidRPr="00E00B35" w:rsidRDefault="00E96768" w:rsidP="00E00B35">
            <w:pPr>
              <w:spacing w:after="0" w:line="312" w:lineRule="auto"/>
              <w:rPr>
                <w:rFonts w:eastAsia="Arial Unicode MS" w:cs="Arial Unicode MS"/>
                <w:b/>
                <w:bCs/>
                <w:szCs w:val="20"/>
              </w:rPr>
            </w:pPr>
            <w:r w:rsidRPr="00E00B35">
              <w:rPr>
                <w:b/>
                <w:bCs/>
                <w:szCs w:val="20"/>
              </w:rPr>
              <w:t>Kobiet</w:t>
            </w:r>
          </w:p>
        </w:tc>
        <w:tc>
          <w:tcPr>
            <w:tcW w:w="1559" w:type="dxa"/>
            <w:shd w:val="clear" w:color="auto" w:fill="E6E6E6"/>
            <w:noWrap/>
            <w:vAlign w:val="center"/>
          </w:tcPr>
          <w:p w:rsidR="00E96768" w:rsidRPr="00E00B35" w:rsidRDefault="00E96768" w:rsidP="00E00B35">
            <w:pPr>
              <w:spacing w:after="0" w:line="312" w:lineRule="auto"/>
              <w:rPr>
                <w:rFonts w:eastAsia="Arial Unicode MS" w:cs="Arial Unicode MS"/>
                <w:b/>
                <w:bCs/>
                <w:szCs w:val="20"/>
              </w:rPr>
            </w:pPr>
            <w:r w:rsidRPr="00E00B35">
              <w:rPr>
                <w:b/>
                <w:bCs/>
                <w:szCs w:val="20"/>
              </w:rPr>
              <w:t>Mężczyzn</w:t>
            </w:r>
          </w:p>
        </w:tc>
        <w:tc>
          <w:tcPr>
            <w:tcW w:w="1943" w:type="dxa"/>
            <w:shd w:val="clear" w:color="auto" w:fill="E6E6E6"/>
            <w:noWrap/>
            <w:vAlign w:val="center"/>
          </w:tcPr>
          <w:p w:rsidR="00E96768" w:rsidRPr="00E00B35" w:rsidRDefault="00E96768" w:rsidP="00E00B35">
            <w:pPr>
              <w:spacing w:after="0" w:line="312" w:lineRule="auto"/>
              <w:rPr>
                <w:rFonts w:eastAsia="Arial Unicode MS" w:cs="Arial Unicode MS"/>
                <w:b/>
                <w:bCs/>
                <w:szCs w:val="20"/>
              </w:rPr>
            </w:pPr>
            <w:r w:rsidRPr="00E00B35">
              <w:rPr>
                <w:b/>
                <w:bCs/>
                <w:szCs w:val="20"/>
              </w:rPr>
              <w:t>Ogółem</w:t>
            </w:r>
          </w:p>
        </w:tc>
      </w:tr>
      <w:tr w:rsidR="00E96768" w:rsidRPr="00E00B35" w:rsidTr="00E96768">
        <w:trPr>
          <w:trHeight w:val="340"/>
          <w:jc w:val="center"/>
        </w:trPr>
        <w:tc>
          <w:tcPr>
            <w:tcW w:w="2969" w:type="dxa"/>
            <w:vAlign w:val="center"/>
          </w:tcPr>
          <w:p w:rsidR="00E96768" w:rsidRPr="00E00B35" w:rsidRDefault="00E96768" w:rsidP="00E00B35">
            <w:pPr>
              <w:spacing w:after="0" w:line="312" w:lineRule="auto"/>
              <w:rPr>
                <w:szCs w:val="20"/>
              </w:rPr>
            </w:pPr>
            <w:r w:rsidRPr="00E00B35">
              <w:rPr>
                <w:bCs/>
                <w:szCs w:val="20"/>
              </w:rPr>
              <w:t>Razem:</w:t>
            </w:r>
          </w:p>
        </w:tc>
        <w:tc>
          <w:tcPr>
            <w:tcW w:w="2268"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124</w:t>
            </w:r>
          </w:p>
        </w:tc>
        <w:tc>
          <w:tcPr>
            <w:tcW w:w="1559"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33</w:t>
            </w:r>
          </w:p>
        </w:tc>
        <w:tc>
          <w:tcPr>
            <w:tcW w:w="1943"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157</w:t>
            </w:r>
          </w:p>
        </w:tc>
      </w:tr>
      <w:tr w:rsidR="00E96768" w:rsidRPr="00E00B35" w:rsidTr="00E96768">
        <w:trPr>
          <w:trHeight w:val="340"/>
          <w:jc w:val="center"/>
        </w:trPr>
        <w:tc>
          <w:tcPr>
            <w:tcW w:w="2969" w:type="dxa"/>
            <w:vAlign w:val="center"/>
          </w:tcPr>
          <w:p w:rsidR="00E96768" w:rsidRPr="00E00B35" w:rsidRDefault="00E96768" w:rsidP="00E00B35">
            <w:pPr>
              <w:spacing w:after="0" w:line="312" w:lineRule="auto"/>
              <w:rPr>
                <w:rFonts w:eastAsia="Arial Unicode MS" w:cs="Arial Unicode MS"/>
                <w:szCs w:val="20"/>
              </w:rPr>
            </w:pPr>
            <w:r w:rsidRPr="00E00B35">
              <w:rPr>
                <w:szCs w:val="20"/>
              </w:rPr>
              <w:t>w tym:</w:t>
            </w:r>
          </w:p>
          <w:p w:rsidR="00E96768" w:rsidRPr="00E00B35" w:rsidRDefault="00E96768" w:rsidP="00E00B35">
            <w:pPr>
              <w:spacing w:after="0" w:line="312" w:lineRule="auto"/>
              <w:rPr>
                <w:szCs w:val="20"/>
              </w:rPr>
            </w:pPr>
            <w:r w:rsidRPr="00E00B35">
              <w:rPr>
                <w:bCs/>
                <w:szCs w:val="20"/>
              </w:rPr>
              <w:t>emerytura</w:t>
            </w:r>
          </w:p>
        </w:tc>
        <w:tc>
          <w:tcPr>
            <w:tcW w:w="2268"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65</w:t>
            </w:r>
          </w:p>
        </w:tc>
        <w:tc>
          <w:tcPr>
            <w:tcW w:w="1559" w:type="dxa"/>
            <w:noWrap/>
            <w:vAlign w:val="center"/>
          </w:tcPr>
          <w:p w:rsidR="00E96768" w:rsidRPr="00E00B35" w:rsidRDefault="00E96768" w:rsidP="00E00B35">
            <w:pPr>
              <w:spacing w:after="0" w:line="312" w:lineRule="auto"/>
              <w:rPr>
                <w:rFonts w:eastAsia="Arial Unicode MS" w:cs="Arial Unicode MS"/>
                <w:szCs w:val="20"/>
              </w:rPr>
            </w:pPr>
            <w:r w:rsidRPr="00E00B35">
              <w:rPr>
                <w:rFonts w:eastAsia="Arial Unicode MS" w:cs="Arial Unicode MS"/>
                <w:szCs w:val="20"/>
              </w:rPr>
              <w:t>11</w:t>
            </w:r>
          </w:p>
        </w:tc>
        <w:tc>
          <w:tcPr>
            <w:tcW w:w="1943" w:type="dxa"/>
            <w:noWrap/>
            <w:vAlign w:val="center"/>
          </w:tcPr>
          <w:p w:rsidR="00E96768" w:rsidRPr="00E00B35" w:rsidRDefault="00E96768" w:rsidP="00E00B35">
            <w:pPr>
              <w:spacing w:after="0" w:line="312" w:lineRule="auto"/>
              <w:rPr>
                <w:rFonts w:eastAsia="Arial Unicode MS" w:cs="Arial Unicode MS"/>
                <w:szCs w:val="20"/>
              </w:rPr>
            </w:pPr>
            <w:r w:rsidRPr="00E00B35">
              <w:rPr>
                <w:szCs w:val="20"/>
              </w:rPr>
              <w:t>76</w:t>
            </w:r>
          </w:p>
        </w:tc>
      </w:tr>
    </w:tbl>
    <w:p w:rsidR="00E96768" w:rsidRPr="00E00B35" w:rsidRDefault="00E96768" w:rsidP="00E00B35">
      <w:pPr>
        <w:spacing w:after="0" w:line="312" w:lineRule="auto"/>
        <w:rPr>
          <w:b/>
          <w:bCs/>
          <w:szCs w:val="20"/>
        </w:rPr>
      </w:pPr>
    </w:p>
    <w:p w:rsidR="00E96768" w:rsidRPr="00E00B35" w:rsidRDefault="00E96768" w:rsidP="00E00B35">
      <w:pPr>
        <w:spacing w:after="0" w:line="312" w:lineRule="auto"/>
        <w:rPr>
          <w:color w:val="000000"/>
          <w:szCs w:val="20"/>
        </w:rPr>
      </w:pPr>
      <w:r w:rsidRPr="00E00B35">
        <w:rPr>
          <w:szCs w:val="20"/>
        </w:rPr>
        <w:t xml:space="preserve"> </w:t>
      </w:r>
      <w:r w:rsidRPr="00E00B35">
        <w:rPr>
          <w:color w:val="000000"/>
          <w:szCs w:val="20"/>
        </w:rPr>
        <w:t>Przyjęcia osób podejmujących pracę po raz pierwszy</w:t>
      </w:r>
    </w:p>
    <w:tbl>
      <w:tblPr>
        <w:tblW w:w="8861" w:type="dxa"/>
        <w:jc w:val="center"/>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526"/>
        <w:gridCol w:w="1412"/>
        <w:gridCol w:w="1323"/>
        <w:gridCol w:w="1600"/>
      </w:tblGrid>
      <w:tr w:rsidR="00E96768" w:rsidRPr="00E00B35" w:rsidTr="00E96768">
        <w:trPr>
          <w:trHeight w:val="340"/>
          <w:tblHeader/>
          <w:jc w:val="center"/>
        </w:trPr>
        <w:tc>
          <w:tcPr>
            <w:tcW w:w="4526" w:type="dxa"/>
            <w:shd w:val="clear" w:color="auto" w:fill="E6E6E6"/>
            <w:noWrap/>
            <w:vAlign w:val="center"/>
          </w:tcPr>
          <w:p w:rsidR="00E96768" w:rsidRPr="00E00B35" w:rsidRDefault="00E96768" w:rsidP="00E00B35">
            <w:pPr>
              <w:spacing w:after="0" w:line="312" w:lineRule="auto"/>
              <w:rPr>
                <w:rFonts w:eastAsia="Arial Unicode MS" w:cs="Arial Unicode MS"/>
                <w:b/>
                <w:bCs/>
                <w:color w:val="000000"/>
                <w:szCs w:val="20"/>
              </w:rPr>
            </w:pPr>
            <w:r w:rsidRPr="00E00B35">
              <w:rPr>
                <w:b/>
                <w:bCs/>
                <w:color w:val="000000"/>
                <w:szCs w:val="20"/>
              </w:rPr>
              <w:t>Wykształcenie</w:t>
            </w:r>
          </w:p>
        </w:tc>
        <w:tc>
          <w:tcPr>
            <w:tcW w:w="1412" w:type="dxa"/>
            <w:shd w:val="clear" w:color="auto" w:fill="E6E6E6"/>
            <w:noWrap/>
            <w:vAlign w:val="center"/>
          </w:tcPr>
          <w:p w:rsidR="00E96768" w:rsidRPr="00E00B35" w:rsidRDefault="00E96768" w:rsidP="00E00B35">
            <w:pPr>
              <w:spacing w:after="0" w:line="312" w:lineRule="auto"/>
              <w:rPr>
                <w:rFonts w:eastAsia="Arial Unicode MS" w:cs="Arial Unicode MS"/>
                <w:b/>
                <w:bCs/>
                <w:color w:val="000000"/>
                <w:szCs w:val="20"/>
              </w:rPr>
            </w:pPr>
            <w:r w:rsidRPr="00E00B35">
              <w:rPr>
                <w:b/>
                <w:bCs/>
                <w:color w:val="000000"/>
                <w:szCs w:val="20"/>
              </w:rPr>
              <w:t>Kobiet</w:t>
            </w:r>
          </w:p>
        </w:tc>
        <w:tc>
          <w:tcPr>
            <w:tcW w:w="1323" w:type="dxa"/>
            <w:shd w:val="clear" w:color="auto" w:fill="E6E6E6"/>
            <w:noWrap/>
            <w:vAlign w:val="center"/>
          </w:tcPr>
          <w:p w:rsidR="00E96768" w:rsidRPr="00E00B35" w:rsidRDefault="00E96768" w:rsidP="00E00B35">
            <w:pPr>
              <w:spacing w:after="0" w:line="312" w:lineRule="auto"/>
              <w:rPr>
                <w:rFonts w:eastAsia="Arial Unicode MS" w:cs="Arial Unicode MS"/>
                <w:b/>
                <w:bCs/>
                <w:color w:val="000000"/>
                <w:szCs w:val="20"/>
              </w:rPr>
            </w:pPr>
            <w:r w:rsidRPr="00E00B35">
              <w:rPr>
                <w:b/>
                <w:bCs/>
                <w:color w:val="000000"/>
                <w:szCs w:val="20"/>
              </w:rPr>
              <w:t>Mężczyzn</w:t>
            </w:r>
          </w:p>
        </w:tc>
        <w:tc>
          <w:tcPr>
            <w:tcW w:w="1600" w:type="dxa"/>
            <w:shd w:val="clear" w:color="auto" w:fill="E6E6E6"/>
            <w:noWrap/>
            <w:vAlign w:val="center"/>
          </w:tcPr>
          <w:p w:rsidR="00E96768" w:rsidRPr="00E00B35" w:rsidRDefault="00E96768" w:rsidP="00E00B35">
            <w:pPr>
              <w:spacing w:after="0" w:line="312" w:lineRule="auto"/>
              <w:rPr>
                <w:rFonts w:eastAsia="Arial Unicode MS" w:cs="Arial Unicode MS"/>
                <w:b/>
                <w:bCs/>
                <w:color w:val="000000"/>
                <w:szCs w:val="20"/>
              </w:rPr>
            </w:pPr>
            <w:r w:rsidRPr="00E00B35">
              <w:rPr>
                <w:b/>
                <w:bCs/>
                <w:color w:val="000000"/>
                <w:szCs w:val="20"/>
              </w:rPr>
              <w:t>Razem</w:t>
            </w:r>
          </w:p>
        </w:tc>
      </w:tr>
      <w:tr w:rsidR="00E96768" w:rsidRPr="00E00B35" w:rsidTr="00E96768">
        <w:trPr>
          <w:trHeight w:val="340"/>
          <w:jc w:val="center"/>
        </w:trPr>
        <w:tc>
          <w:tcPr>
            <w:tcW w:w="4526" w:type="dxa"/>
            <w:vAlign w:val="center"/>
          </w:tcPr>
          <w:p w:rsidR="00E96768" w:rsidRPr="00E00B35" w:rsidRDefault="00E96768" w:rsidP="00E00B35">
            <w:pPr>
              <w:spacing w:after="0" w:line="312" w:lineRule="auto"/>
              <w:rPr>
                <w:rFonts w:eastAsia="Arial Unicode MS" w:cs="Arial Unicode MS"/>
                <w:bCs/>
                <w:color w:val="000000"/>
                <w:szCs w:val="20"/>
              </w:rPr>
            </w:pPr>
            <w:r w:rsidRPr="00E00B35">
              <w:rPr>
                <w:bCs/>
                <w:color w:val="000000"/>
                <w:szCs w:val="20"/>
              </w:rPr>
              <w:t>Podejmujący pracę po raz pierwszy:</w:t>
            </w:r>
          </w:p>
        </w:tc>
        <w:tc>
          <w:tcPr>
            <w:tcW w:w="1412"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19</w:t>
            </w:r>
          </w:p>
        </w:tc>
        <w:tc>
          <w:tcPr>
            <w:tcW w:w="1323"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10</w:t>
            </w:r>
          </w:p>
        </w:tc>
        <w:tc>
          <w:tcPr>
            <w:tcW w:w="1600"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29</w:t>
            </w:r>
          </w:p>
        </w:tc>
      </w:tr>
      <w:tr w:rsidR="00E96768" w:rsidRPr="00E00B35" w:rsidTr="00E96768">
        <w:trPr>
          <w:trHeight w:val="340"/>
          <w:jc w:val="center"/>
        </w:trPr>
        <w:tc>
          <w:tcPr>
            <w:tcW w:w="4526"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absolwenci liceum ogólnokształcących</w:t>
            </w:r>
          </w:p>
        </w:tc>
        <w:tc>
          <w:tcPr>
            <w:tcW w:w="1412"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rFonts w:eastAsia="Arial Unicode MS" w:cs="Arial Unicode MS"/>
                <w:color w:val="000000"/>
                <w:szCs w:val="20"/>
              </w:rPr>
              <w:t>5</w:t>
            </w:r>
          </w:p>
        </w:tc>
        <w:tc>
          <w:tcPr>
            <w:tcW w:w="1323"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rFonts w:eastAsia="Arial Unicode MS" w:cs="Arial Unicode MS"/>
                <w:color w:val="000000"/>
                <w:szCs w:val="20"/>
              </w:rPr>
              <w:t>1</w:t>
            </w:r>
          </w:p>
        </w:tc>
        <w:tc>
          <w:tcPr>
            <w:tcW w:w="1600"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6</w:t>
            </w:r>
          </w:p>
        </w:tc>
      </w:tr>
      <w:tr w:rsidR="00E96768" w:rsidRPr="00E00B35" w:rsidTr="00E96768">
        <w:trPr>
          <w:trHeight w:val="340"/>
          <w:jc w:val="center"/>
        </w:trPr>
        <w:tc>
          <w:tcPr>
            <w:tcW w:w="4526"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absolwenci szkół policealnych i średnich zawodowych</w:t>
            </w:r>
          </w:p>
        </w:tc>
        <w:tc>
          <w:tcPr>
            <w:tcW w:w="1412"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0</w:t>
            </w:r>
          </w:p>
        </w:tc>
        <w:tc>
          <w:tcPr>
            <w:tcW w:w="1323"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rFonts w:eastAsia="Arial Unicode MS" w:cs="Arial Unicode MS"/>
                <w:color w:val="000000"/>
                <w:szCs w:val="20"/>
              </w:rPr>
              <w:t>0</w:t>
            </w:r>
          </w:p>
        </w:tc>
        <w:tc>
          <w:tcPr>
            <w:tcW w:w="1600"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0</w:t>
            </w:r>
          </w:p>
        </w:tc>
      </w:tr>
      <w:tr w:rsidR="00E96768" w:rsidRPr="00E00B35" w:rsidTr="00E96768">
        <w:trPr>
          <w:trHeight w:val="340"/>
          <w:jc w:val="center"/>
        </w:trPr>
        <w:tc>
          <w:tcPr>
            <w:tcW w:w="4526"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absolwenci szkół wyższych</w:t>
            </w:r>
          </w:p>
        </w:tc>
        <w:tc>
          <w:tcPr>
            <w:tcW w:w="1412"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6</w:t>
            </w:r>
          </w:p>
        </w:tc>
        <w:tc>
          <w:tcPr>
            <w:tcW w:w="1323"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6</w:t>
            </w:r>
          </w:p>
        </w:tc>
        <w:tc>
          <w:tcPr>
            <w:tcW w:w="1600" w:type="dxa"/>
            <w:noWrap/>
            <w:vAlign w:val="center"/>
          </w:tcPr>
          <w:p w:rsidR="00E96768" w:rsidRPr="00E00B35" w:rsidRDefault="00E96768" w:rsidP="00E00B35">
            <w:pPr>
              <w:spacing w:after="0" w:line="312" w:lineRule="auto"/>
              <w:rPr>
                <w:rFonts w:eastAsia="Arial Unicode MS" w:cs="Arial Unicode MS"/>
                <w:color w:val="000000"/>
                <w:szCs w:val="20"/>
              </w:rPr>
            </w:pPr>
            <w:r w:rsidRPr="00E00B35">
              <w:rPr>
                <w:color w:val="000000"/>
                <w:szCs w:val="20"/>
              </w:rPr>
              <w:t>12</w:t>
            </w:r>
          </w:p>
        </w:tc>
      </w:tr>
      <w:tr w:rsidR="00E96768" w:rsidRPr="00E00B35" w:rsidTr="00E96768">
        <w:trPr>
          <w:trHeight w:val="340"/>
          <w:jc w:val="center"/>
        </w:trPr>
        <w:tc>
          <w:tcPr>
            <w:tcW w:w="4526" w:type="dxa"/>
            <w:noWrap/>
            <w:vAlign w:val="center"/>
          </w:tcPr>
          <w:p w:rsidR="00E96768" w:rsidRPr="00E00B35" w:rsidRDefault="00E96768" w:rsidP="00E00B35">
            <w:pPr>
              <w:spacing w:after="0" w:line="312" w:lineRule="auto"/>
              <w:rPr>
                <w:rFonts w:eastAsia="Arial Unicode MS" w:cs="Arial Unicode MS"/>
                <w:bCs/>
                <w:color w:val="000000"/>
                <w:szCs w:val="20"/>
              </w:rPr>
            </w:pPr>
            <w:r w:rsidRPr="00E00B35">
              <w:rPr>
                <w:bCs/>
                <w:color w:val="000000"/>
                <w:szCs w:val="20"/>
              </w:rPr>
              <w:t>absolwenci ogółem:</w:t>
            </w:r>
          </w:p>
        </w:tc>
        <w:tc>
          <w:tcPr>
            <w:tcW w:w="1412" w:type="dxa"/>
            <w:noWrap/>
            <w:vAlign w:val="center"/>
          </w:tcPr>
          <w:p w:rsidR="00E96768" w:rsidRPr="00E00B35" w:rsidRDefault="00E96768" w:rsidP="00E00B35">
            <w:pPr>
              <w:spacing w:after="0" w:line="312" w:lineRule="auto"/>
              <w:rPr>
                <w:rFonts w:eastAsia="Arial Unicode MS" w:cs="Arial Unicode MS"/>
                <w:bCs/>
                <w:color w:val="000000"/>
                <w:szCs w:val="20"/>
              </w:rPr>
            </w:pPr>
            <w:r w:rsidRPr="00E00B35">
              <w:rPr>
                <w:rFonts w:eastAsia="Arial Unicode MS" w:cs="Arial Unicode MS"/>
                <w:bCs/>
                <w:color w:val="000000"/>
                <w:szCs w:val="20"/>
              </w:rPr>
              <w:t>11</w:t>
            </w:r>
          </w:p>
        </w:tc>
        <w:tc>
          <w:tcPr>
            <w:tcW w:w="1323" w:type="dxa"/>
            <w:noWrap/>
            <w:vAlign w:val="center"/>
          </w:tcPr>
          <w:p w:rsidR="00E96768" w:rsidRPr="00E00B35" w:rsidRDefault="00E96768" w:rsidP="00E00B35">
            <w:pPr>
              <w:spacing w:after="0" w:line="312" w:lineRule="auto"/>
              <w:rPr>
                <w:rFonts w:eastAsia="Arial Unicode MS" w:cs="Arial Unicode MS"/>
                <w:bCs/>
                <w:color w:val="000000"/>
                <w:szCs w:val="20"/>
              </w:rPr>
            </w:pPr>
            <w:r w:rsidRPr="00E00B35">
              <w:rPr>
                <w:bCs/>
                <w:color w:val="000000"/>
                <w:szCs w:val="20"/>
              </w:rPr>
              <w:t>7</w:t>
            </w:r>
          </w:p>
        </w:tc>
        <w:tc>
          <w:tcPr>
            <w:tcW w:w="1600" w:type="dxa"/>
            <w:noWrap/>
            <w:vAlign w:val="center"/>
          </w:tcPr>
          <w:p w:rsidR="00E96768" w:rsidRPr="00E00B35" w:rsidRDefault="00E96768" w:rsidP="00E00B35">
            <w:pPr>
              <w:spacing w:after="0" w:line="312" w:lineRule="auto"/>
              <w:rPr>
                <w:rFonts w:eastAsia="Arial Unicode MS" w:cs="Arial Unicode MS"/>
                <w:bCs/>
                <w:color w:val="000000"/>
                <w:szCs w:val="20"/>
              </w:rPr>
            </w:pPr>
            <w:r w:rsidRPr="00E00B35">
              <w:rPr>
                <w:bCs/>
                <w:color w:val="000000"/>
                <w:szCs w:val="20"/>
              </w:rPr>
              <w:t>18</w:t>
            </w:r>
          </w:p>
        </w:tc>
      </w:tr>
    </w:tbl>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Poziom wykształcenia pracowników Urzędu Miejskiego Wrocławia</w:t>
      </w:r>
    </w:p>
    <w:tbl>
      <w:tblPr>
        <w:tblW w:w="89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153"/>
        <w:gridCol w:w="2651"/>
        <w:gridCol w:w="2126"/>
      </w:tblGrid>
      <w:tr w:rsidR="00E96768" w:rsidRPr="00E00B35" w:rsidTr="00E96768">
        <w:trPr>
          <w:trHeight w:val="340"/>
        </w:trPr>
        <w:tc>
          <w:tcPr>
            <w:tcW w:w="4153" w:type="dxa"/>
            <w:shd w:val="clear" w:color="auto" w:fill="D9D9D9" w:themeFill="background1" w:themeFillShade="D9"/>
            <w:noWrap/>
            <w:vAlign w:val="center"/>
          </w:tcPr>
          <w:p w:rsidR="00E96768" w:rsidRPr="00E00B35" w:rsidRDefault="00E96768" w:rsidP="00E00B35">
            <w:pPr>
              <w:spacing w:after="0" w:line="312" w:lineRule="auto"/>
              <w:rPr>
                <w:b/>
                <w:bCs/>
                <w:color w:val="000000"/>
                <w:szCs w:val="20"/>
              </w:rPr>
            </w:pPr>
            <w:r w:rsidRPr="00E00B35">
              <w:rPr>
                <w:b/>
                <w:bCs/>
                <w:color w:val="000000"/>
                <w:szCs w:val="20"/>
              </w:rPr>
              <w:t>Wykształcenie</w:t>
            </w:r>
          </w:p>
        </w:tc>
        <w:tc>
          <w:tcPr>
            <w:tcW w:w="26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E96768" w:rsidRPr="00E00B35" w:rsidRDefault="00E96768" w:rsidP="00E00B35">
            <w:pPr>
              <w:spacing w:after="0" w:line="312" w:lineRule="auto"/>
              <w:rPr>
                <w:b/>
                <w:bCs/>
                <w:color w:val="000000"/>
                <w:szCs w:val="20"/>
              </w:rPr>
            </w:pPr>
            <w:r w:rsidRPr="00E00B35">
              <w:rPr>
                <w:b/>
                <w:bCs/>
                <w:color w:val="000000"/>
                <w:szCs w:val="20"/>
              </w:rPr>
              <w:t>Ilość osób</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96768" w:rsidRPr="00E00B35" w:rsidRDefault="00E96768" w:rsidP="00E00B35">
            <w:pPr>
              <w:spacing w:after="0" w:line="312" w:lineRule="auto"/>
              <w:rPr>
                <w:b/>
                <w:bCs/>
                <w:color w:val="000000"/>
                <w:szCs w:val="20"/>
              </w:rPr>
            </w:pPr>
            <w:r w:rsidRPr="00E00B35">
              <w:rPr>
                <w:b/>
                <w:bCs/>
                <w:color w:val="000000"/>
                <w:szCs w:val="20"/>
              </w:rPr>
              <w:t>%</w:t>
            </w:r>
          </w:p>
        </w:tc>
      </w:tr>
      <w:tr w:rsidR="00E96768" w:rsidRPr="00E00B35" w:rsidTr="00E96768">
        <w:trPr>
          <w:trHeight w:val="340"/>
        </w:trPr>
        <w:tc>
          <w:tcPr>
            <w:tcW w:w="4153" w:type="dxa"/>
            <w:noWrap/>
            <w:vAlign w:val="center"/>
          </w:tcPr>
          <w:p w:rsidR="00E96768" w:rsidRPr="00E00B35" w:rsidRDefault="00E96768" w:rsidP="00E00B35">
            <w:pPr>
              <w:spacing w:after="0" w:line="312" w:lineRule="auto"/>
              <w:rPr>
                <w:rFonts w:cs="Arial Unicode MS"/>
                <w:b/>
                <w:szCs w:val="20"/>
              </w:rPr>
            </w:pPr>
            <w:r w:rsidRPr="00E00B35">
              <w:rPr>
                <w:bCs/>
                <w:szCs w:val="20"/>
              </w:rPr>
              <w:t>Wyższe</w:t>
            </w:r>
          </w:p>
        </w:tc>
        <w:tc>
          <w:tcPr>
            <w:tcW w:w="2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1 679</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81,66%</w:t>
            </w:r>
          </w:p>
        </w:tc>
      </w:tr>
      <w:tr w:rsidR="00E96768" w:rsidRPr="00E00B35" w:rsidTr="00E96768">
        <w:trPr>
          <w:trHeight w:val="340"/>
        </w:trPr>
        <w:tc>
          <w:tcPr>
            <w:tcW w:w="4153" w:type="dxa"/>
            <w:noWrap/>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Policealne i średnie zawodowe</w:t>
            </w:r>
          </w:p>
        </w:tc>
        <w:tc>
          <w:tcPr>
            <w:tcW w:w="2651" w:type="dxa"/>
            <w:tcBorders>
              <w:top w:val="nil"/>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251</w:t>
            </w:r>
          </w:p>
        </w:tc>
        <w:tc>
          <w:tcPr>
            <w:tcW w:w="2126" w:type="dxa"/>
            <w:tcBorders>
              <w:top w:val="nil"/>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12,21%</w:t>
            </w:r>
          </w:p>
        </w:tc>
      </w:tr>
      <w:tr w:rsidR="00E96768" w:rsidRPr="00E00B35" w:rsidTr="00E96768">
        <w:trPr>
          <w:trHeight w:val="340"/>
        </w:trPr>
        <w:tc>
          <w:tcPr>
            <w:tcW w:w="4153" w:type="dxa"/>
            <w:noWrap/>
            <w:vAlign w:val="center"/>
          </w:tcPr>
          <w:p w:rsidR="00E96768" w:rsidRPr="00E00B35" w:rsidRDefault="00E96768" w:rsidP="00E00B35">
            <w:pPr>
              <w:spacing w:after="0" w:line="312" w:lineRule="auto"/>
              <w:rPr>
                <w:bCs/>
                <w:szCs w:val="20"/>
              </w:rPr>
            </w:pPr>
            <w:r w:rsidRPr="00E00B35">
              <w:rPr>
                <w:bCs/>
                <w:szCs w:val="20"/>
              </w:rPr>
              <w:t>Średnie ogólne</w:t>
            </w:r>
          </w:p>
        </w:tc>
        <w:tc>
          <w:tcPr>
            <w:tcW w:w="2651" w:type="dxa"/>
            <w:tcBorders>
              <w:top w:val="nil"/>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113</w:t>
            </w:r>
          </w:p>
        </w:tc>
        <w:tc>
          <w:tcPr>
            <w:tcW w:w="2126" w:type="dxa"/>
            <w:tcBorders>
              <w:top w:val="nil"/>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5,50%</w:t>
            </w:r>
          </w:p>
        </w:tc>
      </w:tr>
      <w:tr w:rsidR="00E96768" w:rsidRPr="00E00B35" w:rsidTr="00E96768">
        <w:trPr>
          <w:trHeight w:val="340"/>
        </w:trPr>
        <w:tc>
          <w:tcPr>
            <w:tcW w:w="4153" w:type="dxa"/>
            <w:noWrap/>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Zasadnicze zawodowe</w:t>
            </w:r>
          </w:p>
        </w:tc>
        <w:tc>
          <w:tcPr>
            <w:tcW w:w="2651" w:type="dxa"/>
            <w:tcBorders>
              <w:top w:val="nil"/>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13</w:t>
            </w:r>
          </w:p>
        </w:tc>
        <w:tc>
          <w:tcPr>
            <w:tcW w:w="2126" w:type="dxa"/>
            <w:tcBorders>
              <w:top w:val="nil"/>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0,63%</w:t>
            </w:r>
          </w:p>
        </w:tc>
      </w:tr>
      <w:tr w:rsidR="00E96768" w:rsidRPr="00E00B35" w:rsidTr="00E96768">
        <w:trPr>
          <w:trHeight w:val="340"/>
        </w:trPr>
        <w:tc>
          <w:tcPr>
            <w:tcW w:w="4153" w:type="dxa"/>
            <w:noWrap/>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Podstawowe</w:t>
            </w:r>
          </w:p>
        </w:tc>
        <w:tc>
          <w:tcPr>
            <w:tcW w:w="2651" w:type="dxa"/>
            <w:tcBorders>
              <w:top w:val="nil"/>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3</w:t>
            </w:r>
          </w:p>
        </w:tc>
        <w:tc>
          <w:tcPr>
            <w:tcW w:w="2126" w:type="dxa"/>
            <w:tcBorders>
              <w:top w:val="nil"/>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0,15%</w:t>
            </w:r>
          </w:p>
        </w:tc>
      </w:tr>
    </w:tbl>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Podział wiekowy</w:t>
      </w:r>
    </w:p>
    <w:tbl>
      <w:tblPr>
        <w:tblW w:w="8852" w:type="dxa"/>
        <w:jc w:val="center"/>
        <w:tblInd w:w="-4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143"/>
        <w:gridCol w:w="264"/>
        <w:gridCol w:w="2429"/>
        <w:gridCol w:w="2016"/>
      </w:tblGrid>
      <w:tr w:rsidR="00E96768" w:rsidRPr="00E00B35" w:rsidTr="00E96768">
        <w:trPr>
          <w:trHeight w:val="340"/>
          <w:jc w:val="center"/>
        </w:trPr>
        <w:tc>
          <w:tcPr>
            <w:tcW w:w="4407" w:type="dxa"/>
            <w:gridSpan w:val="2"/>
            <w:tcBorders>
              <w:bottom w:val="single" w:sz="4" w:space="0" w:color="auto"/>
            </w:tcBorders>
            <w:shd w:val="clear" w:color="auto" w:fill="E6E6E6"/>
            <w:noWrap/>
            <w:vAlign w:val="center"/>
          </w:tcPr>
          <w:p w:rsidR="00E96768" w:rsidRPr="00E00B35" w:rsidRDefault="00E96768" w:rsidP="00E00B35">
            <w:pPr>
              <w:spacing w:after="0" w:line="312" w:lineRule="auto"/>
              <w:rPr>
                <w:b/>
                <w:szCs w:val="20"/>
              </w:rPr>
            </w:pPr>
            <w:r w:rsidRPr="00E00B35">
              <w:rPr>
                <w:b/>
                <w:szCs w:val="20"/>
              </w:rPr>
              <w:t>Przedział wiekowy</w:t>
            </w:r>
          </w:p>
        </w:tc>
        <w:tc>
          <w:tcPr>
            <w:tcW w:w="2429" w:type="dxa"/>
            <w:shd w:val="clear" w:color="auto" w:fill="E6E6E6"/>
            <w:noWrap/>
            <w:vAlign w:val="center"/>
          </w:tcPr>
          <w:p w:rsidR="00E96768" w:rsidRPr="00E00B35" w:rsidRDefault="00E96768" w:rsidP="00E00B35">
            <w:pPr>
              <w:spacing w:after="0" w:line="312" w:lineRule="auto"/>
              <w:rPr>
                <w:b/>
                <w:szCs w:val="20"/>
              </w:rPr>
            </w:pPr>
            <w:r w:rsidRPr="00E00B35">
              <w:rPr>
                <w:b/>
                <w:szCs w:val="20"/>
              </w:rPr>
              <w:t>Ilość osób</w:t>
            </w:r>
          </w:p>
        </w:tc>
        <w:tc>
          <w:tcPr>
            <w:tcW w:w="2016" w:type="dxa"/>
            <w:shd w:val="clear" w:color="auto" w:fill="E6E6E6"/>
            <w:noWrap/>
            <w:vAlign w:val="center"/>
          </w:tcPr>
          <w:p w:rsidR="00E96768" w:rsidRPr="00E00B35" w:rsidRDefault="00E96768" w:rsidP="00E00B35">
            <w:pPr>
              <w:spacing w:after="0" w:line="312" w:lineRule="auto"/>
              <w:rPr>
                <w:b/>
                <w:szCs w:val="20"/>
              </w:rPr>
            </w:pPr>
            <w:r w:rsidRPr="00E00B35">
              <w:rPr>
                <w:b/>
                <w:szCs w:val="20"/>
              </w:rPr>
              <w:t>%</w:t>
            </w:r>
          </w:p>
        </w:tc>
      </w:tr>
      <w:tr w:rsidR="00E96768" w:rsidRPr="00E00B35" w:rsidTr="00E96768">
        <w:trPr>
          <w:trHeight w:val="340"/>
          <w:jc w:val="center"/>
        </w:trPr>
        <w:tc>
          <w:tcPr>
            <w:tcW w:w="4143" w:type="dxa"/>
            <w:noWrap/>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do 25</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43</w:t>
            </w:r>
          </w:p>
        </w:tc>
        <w:tc>
          <w:tcPr>
            <w:tcW w:w="2016" w:type="dxa"/>
            <w:tcBorders>
              <w:top w:val="single" w:sz="4" w:space="0" w:color="auto"/>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2,09%</w:t>
            </w:r>
          </w:p>
        </w:tc>
      </w:tr>
      <w:tr w:rsidR="00E96768" w:rsidRPr="00E00B35" w:rsidTr="00E96768">
        <w:trPr>
          <w:trHeight w:val="340"/>
          <w:jc w:val="center"/>
        </w:trPr>
        <w:tc>
          <w:tcPr>
            <w:tcW w:w="4143" w:type="dxa"/>
            <w:noWrap/>
            <w:vAlign w:val="center"/>
          </w:tcPr>
          <w:p w:rsidR="00E96768" w:rsidRPr="00E00B35" w:rsidRDefault="00E96768" w:rsidP="00E00B35">
            <w:pPr>
              <w:spacing w:after="0" w:line="312" w:lineRule="auto"/>
              <w:rPr>
                <w:rFonts w:eastAsia="Arial Unicode MS" w:cs="Arial Unicode MS"/>
                <w:bCs/>
                <w:szCs w:val="20"/>
              </w:rPr>
            </w:pPr>
            <w:r w:rsidRPr="00E00B35">
              <w:rPr>
                <w:bCs/>
                <w:szCs w:val="20"/>
              </w:rPr>
              <w:lastRenderedPageBreak/>
              <w:t>26 - 30</w:t>
            </w:r>
          </w:p>
        </w:tc>
        <w:tc>
          <w:tcPr>
            <w:tcW w:w="2693" w:type="dxa"/>
            <w:gridSpan w:val="2"/>
            <w:tcBorders>
              <w:top w:val="nil"/>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116</w:t>
            </w:r>
          </w:p>
        </w:tc>
        <w:tc>
          <w:tcPr>
            <w:tcW w:w="2016" w:type="dxa"/>
            <w:tcBorders>
              <w:top w:val="nil"/>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5,63%</w:t>
            </w:r>
          </w:p>
        </w:tc>
      </w:tr>
      <w:tr w:rsidR="00E96768" w:rsidRPr="00E00B35" w:rsidTr="00E96768">
        <w:trPr>
          <w:trHeight w:val="340"/>
          <w:jc w:val="center"/>
        </w:trPr>
        <w:tc>
          <w:tcPr>
            <w:tcW w:w="4143" w:type="dxa"/>
            <w:noWrap/>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31 - 40</w:t>
            </w:r>
          </w:p>
        </w:tc>
        <w:tc>
          <w:tcPr>
            <w:tcW w:w="2693" w:type="dxa"/>
            <w:gridSpan w:val="2"/>
            <w:tcBorders>
              <w:top w:val="nil"/>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612</w:t>
            </w:r>
          </w:p>
        </w:tc>
        <w:tc>
          <w:tcPr>
            <w:tcW w:w="2016" w:type="dxa"/>
            <w:tcBorders>
              <w:top w:val="nil"/>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29,72%</w:t>
            </w:r>
          </w:p>
        </w:tc>
      </w:tr>
      <w:tr w:rsidR="00E96768" w:rsidRPr="00E00B35" w:rsidTr="00E96768">
        <w:trPr>
          <w:trHeight w:val="340"/>
          <w:jc w:val="center"/>
        </w:trPr>
        <w:tc>
          <w:tcPr>
            <w:tcW w:w="4143" w:type="dxa"/>
            <w:noWrap/>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41 - 50</w:t>
            </w:r>
          </w:p>
        </w:tc>
        <w:tc>
          <w:tcPr>
            <w:tcW w:w="2693" w:type="dxa"/>
            <w:gridSpan w:val="2"/>
            <w:tcBorders>
              <w:top w:val="nil"/>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660</w:t>
            </w:r>
          </w:p>
        </w:tc>
        <w:tc>
          <w:tcPr>
            <w:tcW w:w="2016" w:type="dxa"/>
            <w:tcBorders>
              <w:top w:val="nil"/>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32,05%</w:t>
            </w:r>
          </w:p>
        </w:tc>
      </w:tr>
      <w:tr w:rsidR="00E96768" w:rsidRPr="00E00B35" w:rsidTr="00E96768">
        <w:trPr>
          <w:trHeight w:val="340"/>
          <w:jc w:val="center"/>
        </w:trPr>
        <w:tc>
          <w:tcPr>
            <w:tcW w:w="4143" w:type="dxa"/>
            <w:noWrap/>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51 - 55</w:t>
            </w:r>
          </w:p>
        </w:tc>
        <w:tc>
          <w:tcPr>
            <w:tcW w:w="2693" w:type="dxa"/>
            <w:gridSpan w:val="2"/>
            <w:tcBorders>
              <w:top w:val="nil"/>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187</w:t>
            </w:r>
          </w:p>
        </w:tc>
        <w:tc>
          <w:tcPr>
            <w:tcW w:w="2016" w:type="dxa"/>
            <w:tcBorders>
              <w:top w:val="nil"/>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9,08%</w:t>
            </w:r>
          </w:p>
        </w:tc>
      </w:tr>
      <w:tr w:rsidR="00E96768" w:rsidRPr="00E00B35" w:rsidTr="00E96768">
        <w:trPr>
          <w:trHeight w:val="340"/>
          <w:jc w:val="center"/>
        </w:trPr>
        <w:tc>
          <w:tcPr>
            <w:tcW w:w="4143" w:type="dxa"/>
            <w:noWrap/>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56 - 60</w:t>
            </w:r>
          </w:p>
        </w:tc>
        <w:tc>
          <w:tcPr>
            <w:tcW w:w="2693" w:type="dxa"/>
            <w:gridSpan w:val="2"/>
            <w:tcBorders>
              <w:top w:val="nil"/>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212</w:t>
            </w:r>
          </w:p>
        </w:tc>
        <w:tc>
          <w:tcPr>
            <w:tcW w:w="2016" w:type="dxa"/>
            <w:tcBorders>
              <w:top w:val="nil"/>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10,30%</w:t>
            </w:r>
          </w:p>
        </w:tc>
      </w:tr>
      <w:tr w:rsidR="00E96768" w:rsidRPr="00E00B35" w:rsidTr="00E96768">
        <w:trPr>
          <w:trHeight w:val="340"/>
          <w:jc w:val="center"/>
        </w:trPr>
        <w:tc>
          <w:tcPr>
            <w:tcW w:w="4143" w:type="dxa"/>
            <w:noWrap/>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powyżej 61</w:t>
            </w:r>
          </w:p>
        </w:tc>
        <w:tc>
          <w:tcPr>
            <w:tcW w:w="2693" w:type="dxa"/>
            <w:gridSpan w:val="2"/>
            <w:tcBorders>
              <w:top w:val="nil"/>
              <w:left w:val="single" w:sz="4" w:space="0" w:color="auto"/>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229</w:t>
            </w:r>
          </w:p>
        </w:tc>
        <w:tc>
          <w:tcPr>
            <w:tcW w:w="2016" w:type="dxa"/>
            <w:tcBorders>
              <w:top w:val="nil"/>
              <w:left w:val="nil"/>
              <w:bottom w:val="single" w:sz="4" w:space="0" w:color="auto"/>
              <w:right w:val="single" w:sz="4" w:space="0" w:color="auto"/>
            </w:tcBorders>
            <w:shd w:val="clear" w:color="auto" w:fill="auto"/>
            <w:noWrap/>
            <w:vAlign w:val="bottom"/>
          </w:tcPr>
          <w:p w:rsidR="00E96768" w:rsidRPr="00E00B35" w:rsidRDefault="00E96768" w:rsidP="00E00B35">
            <w:pPr>
              <w:spacing w:after="0" w:line="312" w:lineRule="auto"/>
              <w:rPr>
                <w:rFonts w:cs="Arial"/>
                <w:color w:val="000000"/>
                <w:szCs w:val="20"/>
              </w:rPr>
            </w:pPr>
            <w:r w:rsidRPr="00E00B35">
              <w:rPr>
                <w:rFonts w:cs="Arial"/>
                <w:color w:val="000000"/>
                <w:szCs w:val="20"/>
              </w:rPr>
              <w:t>11,12%</w:t>
            </w:r>
          </w:p>
        </w:tc>
      </w:tr>
    </w:tbl>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Struktura wiekowa pracowników przyjętych do Urzędu Miejskiego Wrocławia</w:t>
      </w:r>
    </w:p>
    <w:p w:rsidR="00E96768" w:rsidRPr="00E00B35" w:rsidRDefault="00E96768" w:rsidP="00E00B35">
      <w:pPr>
        <w:spacing w:after="0" w:line="312" w:lineRule="auto"/>
        <w:rPr>
          <w:noProof/>
          <w:szCs w:val="20"/>
        </w:rPr>
      </w:pPr>
      <w:r w:rsidRPr="00E00B35">
        <w:rPr>
          <w:noProof/>
          <w:szCs w:val="20"/>
          <w:lang w:val="pl-PL" w:eastAsia="pl-PL" w:bidi="ar-SA"/>
        </w:rPr>
        <w:drawing>
          <wp:inline distT="0" distB="0" distL="0" distR="0">
            <wp:extent cx="3979469" cy="2018995"/>
            <wp:effectExtent l="19050" t="0" r="1981" b="0"/>
            <wp:docPr id="125" name="Obraz 9" descr="Wykres słupkowy przedstawiający pracowników zatrudnionych w 2020 roku, pod kątem podziału na przedziału wiekowego. Dokładne dane w tab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35" cstate="print"/>
                    <a:srcRect/>
                    <a:stretch>
                      <a:fillRect/>
                    </a:stretch>
                  </pic:blipFill>
                  <pic:spPr bwMode="auto">
                    <a:xfrm>
                      <a:off x="0" y="0"/>
                      <a:ext cx="3988644" cy="2023650"/>
                    </a:xfrm>
                    <a:prstGeom prst="rect">
                      <a:avLst/>
                    </a:prstGeom>
                    <a:noFill/>
                    <a:ln w="9525">
                      <a:noFill/>
                      <a:miter lim="800000"/>
                      <a:headEnd/>
                      <a:tailEnd/>
                    </a:ln>
                  </pic:spPr>
                </pic:pic>
              </a:graphicData>
            </a:graphic>
          </wp:inline>
        </w:drawing>
      </w:r>
    </w:p>
    <w:p w:rsidR="005B50AD" w:rsidRPr="00E00B35" w:rsidRDefault="005B50AD" w:rsidP="00E00B35">
      <w:pPr>
        <w:spacing w:after="0" w:line="312" w:lineRule="auto"/>
        <w:rPr>
          <w:rFonts w:cs="Arial"/>
          <w:szCs w:val="20"/>
        </w:rPr>
      </w:pPr>
    </w:p>
    <w:p w:rsidR="00E96768" w:rsidRPr="00E00B35" w:rsidRDefault="00E96768" w:rsidP="00E00B35">
      <w:pPr>
        <w:spacing w:after="0" w:line="312" w:lineRule="auto"/>
        <w:rPr>
          <w:rFonts w:cs="Arial"/>
          <w:szCs w:val="20"/>
        </w:rPr>
      </w:pPr>
      <w:r w:rsidRPr="00E00B35">
        <w:rPr>
          <w:rFonts w:cs="Arial"/>
          <w:szCs w:val="20"/>
        </w:rPr>
        <w:t>Najliczniejszą grupą nowoprzyjętych do pracy w Urzędzie Miejskim stanowili pracownicy w wieku 31-40 lat, stanowili oni 30,07 % ogółu przyjętych do pracy w 2020 r.</w:t>
      </w:r>
    </w:p>
    <w:p w:rsidR="00E96768" w:rsidRPr="00E00B35" w:rsidRDefault="00E96768" w:rsidP="00E00B35">
      <w:pPr>
        <w:pStyle w:val="Tekstpodstawowy"/>
        <w:spacing w:after="0" w:line="312" w:lineRule="auto"/>
        <w:rPr>
          <w:color w:val="000000"/>
          <w:szCs w:val="20"/>
        </w:rPr>
      </w:pPr>
      <w:r w:rsidRPr="00E00B35">
        <w:rPr>
          <w:color w:val="000000"/>
          <w:szCs w:val="20"/>
        </w:rPr>
        <w:t>Struktura wiekowa pracowników w komórkach organizacyjnych Urzędu Miejskiego Wrocławia</w:t>
      </w:r>
    </w:p>
    <w:p w:rsidR="005B50AD" w:rsidRPr="00E00B35" w:rsidRDefault="005B50AD" w:rsidP="00E00B35">
      <w:pPr>
        <w:pStyle w:val="Nagwek4"/>
        <w:spacing w:before="0" w:after="0" w:line="312" w:lineRule="auto"/>
        <w:rPr>
          <w:sz w:val="20"/>
          <w:szCs w:val="20"/>
        </w:rPr>
      </w:pPr>
    </w:p>
    <w:p w:rsidR="00E96768" w:rsidRPr="00E00B35" w:rsidRDefault="00E96768" w:rsidP="00E00B35">
      <w:pPr>
        <w:pStyle w:val="Nagwek4"/>
        <w:spacing w:before="0" w:after="0" w:line="312" w:lineRule="auto"/>
        <w:rPr>
          <w:color w:val="000000"/>
          <w:sz w:val="20"/>
          <w:szCs w:val="20"/>
        </w:rPr>
      </w:pPr>
      <w:r w:rsidRPr="00E00B35">
        <w:rPr>
          <w:sz w:val="20"/>
          <w:szCs w:val="20"/>
        </w:rPr>
        <w:t>STAŻ PRACOWNIKÓW</w:t>
      </w:r>
    </w:p>
    <w:tbl>
      <w:tblPr>
        <w:tblW w:w="9376" w:type="dxa"/>
        <w:tblLayout w:type="fixed"/>
        <w:tblCellMar>
          <w:left w:w="70" w:type="dxa"/>
          <w:right w:w="70" w:type="dxa"/>
        </w:tblCellMar>
        <w:tblLook w:val="0000"/>
      </w:tblPr>
      <w:tblGrid>
        <w:gridCol w:w="2464"/>
        <w:gridCol w:w="864"/>
        <w:gridCol w:w="864"/>
        <w:gridCol w:w="864"/>
        <w:gridCol w:w="864"/>
        <w:gridCol w:w="864"/>
        <w:gridCol w:w="864"/>
        <w:gridCol w:w="864"/>
        <w:gridCol w:w="864"/>
      </w:tblGrid>
      <w:tr w:rsidR="00E96768" w:rsidRPr="00E00B35" w:rsidTr="00E96768">
        <w:trPr>
          <w:trHeight w:val="780"/>
        </w:trPr>
        <w:tc>
          <w:tcPr>
            <w:tcW w:w="2464" w:type="dxa"/>
            <w:tcBorders>
              <w:top w:val="single" w:sz="8" w:space="0" w:color="auto"/>
              <w:left w:val="single" w:sz="8" w:space="0" w:color="auto"/>
              <w:bottom w:val="single" w:sz="8" w:space="0" w:color="auto"/>
              <w:right w:val="single" w:sz="8" w:space="0" w:color="auto"/>
            </w:tcBorders>
            <w:shd w:val="clear" w:color="auto" w:fill="E6E6E6"/>
            <w:noWrap/>
            <w:vAlign w:val="center"/>
          </w:tcPr>
          <w:p w:rsidR="00E96768" w:rsidRPr="00E00B35" w:rsidRDefault="00E96768" w:rsidP="00E00B35">
            <w:pPr>
              <w:spacing w:after="0" w:line="312" w:lineRule="auto"/>
              <w:rPr>
                <w:b/>
                <w:szCs w:val="20"/>
              </w:rPr>
            </w:pPr>
            <w:r w:rsidRPr="00E00B35">
              <w:rPr>
                <w:b/>
                <w:szCs w:val="20"/>
              </w:rPr>
              <w:t>Staż pracowników</w:t>
            </w:r>
          </w:p>
        </w:tc>
        <w:tc>
          <w:tcPr>
            <w:tcW w:w="86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E96768" w:rsidRPr="00E00B35" w:rsidRDefault="00E96768" w:rsidP="00E00B35">
            <w:pPr>
              <w:spacing w:after="0" w:line="312" w:lineRule="auto"/>
              <w:rPr>
                <w:b/>
                <w:bCs/>
                <w:szCs w:val="20"/>
              </w:rPr>
            </w:pPr>
            <w:r w:rsidRPr="00E00B35">
              <w:rPr>
                <w:b/>
                <w:bCs/>
                <w:szCs w:val="20"/>
              </w:rPr>
              <w:t>2020</w:t>
            </w:r>
          </w:p>
        </w:tc>
        <w:tc>
          <w:tcPr>
            <w:tcW w:w="86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2019</w:t>
            </w:r>
          </w:p>
        </w:tc>
        <w:tc>
          <w:tcPr>
            <w:tcW w:w="86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2018</w:t>
            </w:r>
          </w:p>
        </w:tc>
        <w:tc>
          <w:tcPr>
            <w:tcW w:w="86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2017</w:t>
            </w:r>
          </w:p>
        </w:tc>
        <w:tc>
          <w:tcPr>
            <w:tcW w:w="86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2016</w:t>
            </w:r>
          </w:p>
        </w:tc>
        <w:tc>
          <w:tcPr>
            <w:tcW w:w="86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2015</w:t>
            </w:r>
          </w:p>
        </w:tc>
        <w:tc>
          <w:tcPr>
            <w:tcW w:w="86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2014</w:t>
            </w:r>
          </w:p>
        </w:tc>
        <w:tc>
          <w:tcPr>
            <w:tcW w:w="86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2013</w:t>
            </w:r>
          </w:p>
        </w:tc>
      </w:tr>
      <w:tr w:rsidR="00E96768" w:rsidRPr="00E00B35" w:rsidTr="00E96768">
        <w:trPr>
          <w:trHeight w:val="780"/>
        </w:trPr>
        <w:tc>
          <w:tcPr>
            <w:tcW w:w="2464"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tcPr>
          <w:p w:rsidR="00E96768" w:rsidRPr="00E00B35" w:rsidRDefault="00E96768" w:rsidP="00E00B35">
            <w:pPr>
              <w:spacing w:after="0" w:line="312" w:lineRule="auto"/>
              <w:rPr>
                <w:szCs w:val="20"/>
              </w:rPr>
            </w:pPr>
            <w:r w:rsidRPr="00E00B35">
              <w:rPr>
                <w:szCs w:val="20"/>
              </w:rPr>
              <w:t>Średni staż pracy w Urzędzie</w:t>
            </w:r>
          </w:p>
        </w:tc>
        <w:tc>
          <w:tcPr>
            <w:tcW w:w="864" w:type="dxa"/>
            <w:tcBorders>
              <w:top w:val="single" w:sz="8" w:space="0" w:color="auto"/>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szCs w:val="20"/>
              </w:rPr>
            </w:pPr>
            <w:r w:rsidRPr="00E00B35">
              <w:rPr>
                <w:szCs w:val="20"/>
              </w:rPr>
              <w:t>12,9</w:t>
            </w:r>
          </w:p>
        </w:tc>
        <w:tc>
          <w:tcPr>
            <w:tcW w:w="864" w:type="dxa"/>
            <w:tcBorders>
              <w:top w:val="single" w:sz="8"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bCs/>
                <w:szCs w:val="20"/>
              </w:rPr>
            </w:pPr>
            <w:r w:rsidRPr="00E00B35">
              <w:rPr>
                <w:bCs/>
                <w:szCs w:val="20"/>
              </w:rPr>
              <w:t>13,0</w:t>
            </w:r>
          </w:p>
        </w:tc>
        <w:tc>
          <w:tcPr>
            <w:tcW w:w="864" w:type="dxa"/>
            <w:tcBorders>
              <w:top w:val="single" w:sz="8"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bCs/>
                <w:szCs w:val="20"/>
              </w:rPr>
            </w:pPr>
            <w:r w:rsidRPr="00E00B35">
              <w:rPr>
                <w:bCs/>
                <w:szCs w:val="20"/>
              </w:rPr>
              <w:t>13,2</w:t>
            </w:r>
          </w:p>
        </w:tc>
        <w:tc>
          <w:tcPr>
            <w:tcW w:w="864" w:type="dxa"/>
            <w:tcBorders>
              <w:top w:val="single" w:sz="8"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bCs/>
                <w:szCs w:val="20"/>
              </w:rPr>
            </w:pPr>
            <w:r w:rsidRPr="00E00B35">
              <w:rPr>
                <w:bCs/>
                <w:szCs w:val="20"/>
              </w:rPr>
              <w:t>12,9</w:t>
            </w:r>
          </w:p>
        </w:tc>
        <w:tc>
          <w:tcPr>
            <w:tcW w:w="864" w:type="dxa"/>
            <w:tcBorders>
              <w:top w:val="single" w:sz="8"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12,8</w:t>
            </w:r>
          </w:p>
        </w:tc>
        <w:tc>
          <w:tcPr>
            <w:tcW w:w="864" w:type="dxa"/>
            <w:tcBorders>
              <w:top w:val="single" w:sz="8"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12,4</w:t>
            </w:r>
          </w:p>
        </w:tc>
        <w:tc>
          <w:tcPr>
            <w:tcW w:w="864" w:type="dxa"/>
            <w:tcBorders>
              <w:top w:val="single" w:sz="8"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12,0</w:t>
            </w:r>
          </w:p>
        </w:tc>
        <w:tc>
          <w:tcPr>
            <w:tcW w:w="864" w:type="dxa"/>
            <w:tcBorders>
              <w:top w:val="single" w:sz="8"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11,4</w:t>
            </w:r>
          </w:p>
        </w:tc>
      </w:tr>
      <w:tr w:rsidR="00E96768" w:rsidRPr="00E00B35" w:rsidTr="00E96768">
        <w:trPr>
          <w:trHeight w:val="780"/>
        </w:trPr>
        <w:tc>
          <w:tcPr>
            <w:tcW w:w="246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96768" w:rsidRPr="00E00B35" w:rsidRDefault="00E96768" w:rsidP="00E00B35">
            <w:pPr>
              <w:spacing w:after="0" w:line="312" w:lineRule="auto"/>
              <w:rPr>
                <w:szCs w:val="20"/>
              </w:rPr>
            </w:pPr>
            <w:r w:rsidRPr="00E00B35">
              <w:rPr>
                <w:szCs w:val="20"/>
              </w:rPr>
              <w:t>Średni staż pracy ogółem</w:t>
            </w:r>
          </w:p>
        </w:tc>
        <w:tc>
          <w:tcPr>
            <w:tcW w:w="864" w:type="dxa"/>
            <w:tcBorders>
              <w:top w:val="single" w:sz="4" w:space="0" w:color="auto"/>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szCs w:val="20"/>
              </w:rPr>
            </w:pPr>
            <w:r w:rsidRPr="00E00B35">
              <w:rPr>
                <w:szCs w:val="20"/>
              </w:rPr>
              <w:t>20,6</w:t>
            </w:r>
          </w:p>
        </w:tc>
        <w:tc>
          <w:tcPr>
            <w:tcW w:w="864"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bCs/>
                <w:szCs w:val="20"/>
              </w:rPr>
            </w:pPr>
            <w:r w:rsidRPr="00E00B35">
              <w:rPr>
                <w:bCs/>
                <w:szCs w:val="20"/>
              </w:rPr>
              <w:t>20,9</w:t>
            </w:r>
          </w:p>
        </w:tc>
        <w:tc>
          <w:tcPr>
            <w:tcW w:w="864"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bCs/>
                <w:szCs w:val="20"/>
              </w:rPr>
            </w:pPr>
            <w:r w:rsidRPr="00E00B35">
              <w:rPr>
                <w:bCs/>
                <w:szCs w:val="20"/>
              </w:rPr>
              <w:t>21,5</w:t>
            </w:r>
          </w:p>
        </w:tc>
        <w:tc>
          <w:tcPr>
            <w:tcW w:w="864"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bCs/>
                <w:szCs w:val="20"/>
              </w:rPr>
            </w:pPr>
            <w:r w:rsidRPr="00E00B35">
              <w:rPr>
                <w:bCs/>
                <w:szCs w:val="20"/>
              </w:rPr>
              <w:t>21,1</w:t>
            </w:r>
          </w:p>
        </w:tc>
        <w:tc>
          <w:tcPr>
            <w:tcW w:w="864"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21,2</w:t>
            </w:r>
          </w:p>
        </w:tc>
        <w:tc>
          <w:tcPr>
            <w:tcW w:w="864"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21,0</w:t>
            </w:r>
          </w:p>
        </w:tc>
        <w:tc>
          <w:tcPr>
            <w:tcW w:w="864"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20,8</w:t>
            </w:r>
          </w:p>
        </w:tc>
        <w:tc>
          <w:tcPr>
            <w:tcW w:w="864"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20,3</w:t>
            </w:r>
          </w:p>
        </w:tc>
      </w:tr>
    </w:tbl>
    <w:p w:rsidR="00E96768" w:rsidRPr="00E00B35" w:rsidRDefault="00E96768" w:rsidP="00E00B35">
      <w:pPr>
        <w:pStyle w:val="Nagwek3"/>
        <w:spacing w:after="0" w:line="312" w:lineRule="auto"/>
        <w:rPr>
          <w:b w:val="0"/>
          <w:sz w:val="20"/>
        </w:rPr>
      </w:pPr>
    </w:p>
    <w:p w:rsidR="00E96768" w:rsidRPr="00E00B35" w:rsidRDefault="00E96768" w:rsidP="00E00B35">
      <w:pPr>
        <w:pStyle w:val="Nagwek4"/>
        <w:spacing w:before="0" w:after="0" w:line="312" w:lineRule="auto"/>
        <w:rPr>
          <w:sz w:val="20"/>
          <w:szCs w:val="20"/>
        </w:rPr>
      </w:pPr>
      <w:r w:rsidRPr="00E00B35">
        <w:rPr>
          <w:sz w:val="20"/>
          <w:szCs w:val="20"/>
        </w:rPr>
        <w:t>BADANIA MEDYCYNY PRACY</w:t>
      </w:r>
    </w:p>
    <w:p w:rsidR="00E96768" w:rsidRPr="00E00B35" w:rsidRDefault="00E96768" w:rsidP="00E00B35">
      <w:pPr>
        <w:pStyle w:val="Tekstpodstawowy"/>
        <w:spacing w:after="0" w:line="312" w:lineRule="auto"/>
        <w:rPr>
          <w:szCs w:val="20"/>
        </w:rPr>
      </w:pPr>
      <w:r w:rsidRPr="00E00B35">
        <w:rPr>
          <w:szCs w:val="20"/>
        </w:rPr>
        <w:t>W 2020 r. na badania medycyny pracy, zarówno wstępne jak i okresowe skierowano łącznie 795  pracowników Urzędu Miejskiego Wrocławia.</w:t>
      </w:r>
    </w:p>
    <w:p w:rsidR="00E96768" w:rsidRPr="00E00B35" w:rsidRDefault="00E96768" w:rsidP="00E00B35">
      <w:pPr>
        <w:pStyle w:val="Tekstpodstawowy"/>
        <w:spacing w:after="0" w:line="312" w:lineRule="auto"/>
        <w:rPr>
          <w:szCs w:val="20"/>
        </w:rPr>
      </w:pPr>
    </w:p>
    <w:p w:rsidR="00E96768" w:rsidRPr="00E00B35" w:rsidRDefault="00E96768" w:rsidP="00E00B35">
      <w:pPr>
        <w:pStyle w:val="Nagwek4"/>
        <w:spacing w:before="0" w:after="0" w:line="312" w:lineRule="auto"/>
        <w:rPr>
          <w:sz w:val="20"/>
          <w:szCs w:val="20"/>
        </w:rPr>
      </w:pPr>
      <w:r w:rsidRPr="00E00B35">
        <w:rPr>
          <w:sz w:val="20"/>
          <w:szCs w:val="20"/>
        </w:rPr>
        <w:t xml:space="preserve">ZATRUDNIENIE W MIEJSKICH JEDNOSTKACH ORGANIZACYJNYCH </w:t>
      </w:r>
    </w:p>
    <w:p w:rsidR="00E96768" w:rsidRPr="00E00B35" w:rsidRDefault="00E96768" w:rsidP="00E00B35">
      <w:pPr>
        <w:spacing w:after="0" w:line="312" w:lineRule="auto"/>
        <w:rPr>
          <w:bCs/>
          <w:szCs w:val="20"/>
        </w:rPr>
      </w:pPr>
      <w:r w:rsidRPr="00E00B35">
        <w:rPr>
          <w:szCs w:val="20"/>
        </w:rPr>
        <w:t xml:space="preserve">Urząd Miejski Wrocławia obsługiwał w 2020 roku w zakresie kadrowym kierowników </w:t>
      </w:r>
      <w:r w:rsidRPr="00E00B35">
        <w:rPr>
          <w:bCs/>
          <w:szCs w:val="20"/>
        </w:rPr>
        <w:t xml:space="preserve">48 miejskich jednostek organizacyjnych, w tym: instytucje kultury (27), jednostka SP ZOZ (1), powiatowe służby i inspekcje PPIS i PINB (2) oraz jednostki i zakłady budżetowe </w:t>
      </w:r>
      <w:r w:rsidRPr="00E00B35">
        <w:rPr>
          <w:bCs/>
          <w:szCs w:val="20"/>
        </w:rPr>
        <w:br/>
      </w:r>
      <w:r w:rsidRPr="00E00B35">
        <w:rPr>
          <w:bCs/>
          <w:szCs w:val="20"/>
        </w:rPr>
        <w:lastRenderedPageBreak/>
        <w:t xml:space="preserve">- w tym również akta osobowe zastępców kierowników, których zgodnie ze statutem jednostki powołuje i odwołuje Prezydent Wrocławia. </w:t>
      </w:r>
    </w:p>
    <w:p w:rsidR="00E96768" w:rsidRPr="00E00B35" w:rsidRDefault="00E96768" w:rsidP="00E00B35">
      <w:pPr>
        <w:spacing w:after="0" w:line="312" w:lineRule="auto"/>
        <w:rPr>
          <w:bCs/>
          <w:szCs w:val="20"/>
        </w:rPr>
      </w:pPr>
      <w:r w:rsidRPr="00E00B35">
        <w:rPr>
          <w:bCs/>
          <w:szCs w:val="20"/>
        </w:rPr>
        <w:t xml:space="preserve">Obsługa kadrowa związana jest z zatrudnieniem i zwalnianiem jak również analizą wynagrodzeń z uwzględnieniem przepisów „ ustawy kominowej”. </w:t>
      </w:r>
    </w:p>
    <w:p w:rsidR="00E96768" w:rsidRPr="00E00B35" w:rsidRDefault="00E96768" w:rsidP="00E00B35">
      <w:pPr>
        <w:spacing w:after="0" w:line="312" w:lineRule="auto"/>
        <w:rPr>
          <w:b/>
          <w:bCs/>
          <w:szCs w:val="20"/>
        </w:rPr>
      </w:pPr>
    </w:p>
    <w:p w:rsidR="00E96768" w:rsidRPr="00E00B35" w:rsidRDefault="00E96768" w:rsidP="00E00B35">
      <w:pPr>
        <w:pStyle w:val="Nagwek4"/>
        <w:spacing w:before="0" w:after="0" w:line="312" w:lineRule="auto"/>
        <w:rPr>
          <w:bCs/>
          <w:sz w:val="20"/>
          <w:szCs w:val="20"/>
        </w:rPr>
      </w:pPr>
      <w:r w:rsidRPr="00E00B35">
        <w:rPr>
          <w:sz w:val="20"/>
          <w:szCs w:val="20"/>
        </w:rPr>
        <w:t>OŚWIADCZENIA MAJĄTKOWE</w:t>
      </w:r>
    </w:p>
    <w:p w:rsidR="00E96768" w:rsidRPr="00E00B35" w:rsidRDefault="00E96768" w:rsidP="00E00B35">
      <w:pPr>
        <w:spacing w:after="0" w:line="312" w:lineRule="auto"/>
        <w:rPr>
          <w:szCs w:val="20"/>
        </w:rPr>
      </w:pPr>
      <w:r w:rsidRPr="00E00B35">
        <w:rPr>
          <w:szCs w:val="20"/>
        </w:rPr>
        <w:t>Zgodnie z ustawą z dnia 8 marca 1990 r. o samorządzie gminnym, w 2020 roku złożonych było w sumie 653 oświadczeń majątkowych za 2019 rok.</w:t>
      </w:r>
    </w:p>
    <w:p w:rsidR="00E96768" w:rsidRPr="00E00B35" w:rsidRDefault="00E96768" w:rsidP="00E00B35">
      <w:pPr>
        <w:spacing w:after="0" w:line="312" w:lineRule="auto"/>
        <w:rPr>
          <w:szCs w:val="20"/>
        </w:rPr>
      </w:pPr>
      <w:r w:rsidRPr="00E00B35">
        <w:rPr>
          <w:szCs w:val="20"/>
        </w:rPr>
        <w:t>Ilość osób zobowiązanych to 654 osób w tym: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275 osób to kierownicy gminnych jednostek organizacyjnych oraz dyrektorzy placówek oświatowych,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35 to osoby wchodzące w skład zarządów jednoosobowych Spółek Gminy Wrocław.</w:t>
      </w:r>
    </w:p>
    <w:p w:rsidR="00E96768" w:rsidRPr="00E00B35" w:rsidRDefault="00E96768" w:rsidP="00E00B35">
      <w:pPr>
        <w:pStyle w:val="11Trescpisma"/>
        <w:spacing w:before="0" w:after="0" w:line="312" w:lineRule="auto"/>
        <w:jc w:val="left"/>
        <w:rPr>
          <w:szCs w:val="20"/>
        </w:rPr>
      </w:pPr>
      <w:r w:rsidRPr="00E00B35">
        <w:rPr>
          <w:szCs w:val="20"/>
        </w:rPr>
        <w:t xml:space="preserve">Po jednym egzemplarzu oświadczeń majątkowych za 2019 rok wraz z kopią zeznania podatkowego PIT przekazano do właściwych ze względu na miejsce zamieszkania Urzędów Skarbowych, celem dokonania ich analizy. Jawne informacje zawarte </w:t>
      </w:r>
      <w:r w:rsidRPr="00E00B35">
        <w:rPr>
          <w:szCs w:val="20"/>
        </w:rPr>
        <w:br/>
        <w:t>w oświadczeniach majątkowych zostały przekazane do publikacji  w Biuletynie Informacji Publicznej.</w:t>
      </w:r>
    </w:p>
    <w:p w:rsidR="00E96768" w:rsidRPr="00E00B35" w:rsidRDefault="00E96768" w:rsidP="00E00B35">
      <w:pPr>
        <w:spacing w:after="0" w:line="312" w:lineRule="auto"/>
        <w:rPr>
          <w:szCs w:val="20"/>
        </w:rPr>
      </w:pPr>
      <w:r w:rsidRPr="00E00B35">
        <w:rPr>
          <w:szCs w:val="20"/>
        </w:rPr>
        <w:t xml:space="preserve">Dokonano analizy oświadczeń majątkowych za 2019 rok obsługiwanych pod względem „kadrowym” kierowników  miejskich jednostek organizacyjnych oraz pracowników Urzędu Miejskiego Wrocławia upoważnionych do wydawania decyzji administracyjnych w imieniu Prezydenta Wrocławia. </w:t>
      </w:r>
    </w:p>
    <w:p w:rsidR="00E96768" w:rsidRPr="00E00B35" w:rsidRDefault="00E96768" w:rsidP="00E00B35">
      <w:pPr>
        <w:spacing w:after="0" w:line="312" w:lineRule="auto"/>
        <w:rPr>
          <w:szCs w:val="20"/>
        </w:rPr>
      </w:pPr>
      <w:r w:rsidRPr="00E00B35">
        <w:rPr>
          <w:szCs w:val="20"/>
        </w:rPr>
        <w:t xml:space="preserve">Analizy dokonały również jednostki (MOPS, PUP, ZDIUM)/ oraz komórki urzędu ( DEU, BNW) zajmujące się zagadnieniami związanymi z prowadzeniem oświadczeń majątkowych osób zobowiązanych. Informacja z analizy oświadczeń majątkowych złożonych Prezydentowi Wrocławia przez osoby zobowiązane została przedstawiona na Sesji Rady Miejskiej Wrocławia  w dniu 22 października 2020 rok. </w:t>
      </w:r>
    </w:p>
    <w:p w:rsidR="00E96768" w:rsidRPr="00E00B35" w:rsidRDefault="00E96768" w:rsidP="00E00B35">
      <w:pPr>
        <w:spacing w:after="0" w:line="312" w:lineRule="auto"/>
        <w:rPr>
          <w:szCs w:val="20"/>
        </w:rPr>
      </w:pPr>
      <w:r w:rsidRPr="00E00B35">
        <w:rPr>
          <w:szCs w:val="20"/>
        </w:rPr>
        <w:t>Informację o wynikach przeprowadzonej analizy oświadczeń majątkowych osób zobowiązanych przekazały również Radzie Miejskiej Wrocławia Urzędy Skarbowe.</w:t>
      </w:r>
    </w:p>
    <w:p w:rsidR="00E96768" w:rsidRPr="00E00B35" w:rsidRDefault="00E96768" w:rsidP="00E00B35">
      <w:pPr>
        <w:spacing w:after="0" w:line="312" w:lineRule="auto"/>
        <w:rPr>
          <w:szCs w:val="20"/>
        </w:rPr>
      </w:pPr>
      <w:r w:rsidRPr="00E00B35">
        <w:rPr>
          <w:szCs w:val="20"/>
        </w:rPr>
        <w:t>O stwierdzonych w wyniku tej analizy nieprawidłowościach poinformowane zostały zarówno osoby zainteresowane jak i komórki współpracujące w tym zakresie z  WOK.</w:t>
      </w:r>
    </w:p>
    <w:p w:rsidR="00E96768" w:rsidRPr="00E00B35" w:rsidRDefault="00E96768" w:rsidP="00E00B35">
      <w:pPr>
        <w:spacing w:after="0" w:line="312" w:lineRule="auto"/>
        <w:rPr>
          <w:szCs w:val="20"/>
        </w:rPr>
      </w:pPr>
      <w:r w:rsidRPr="00E00B35">
        <w:rPr>
          <w:szCs w:val="20"/>
        </w:rPr>
        <w:t xml:space="preserve">W grudniu 2020 roku dokonano likwidacji oświadczeń majątkowych za 2013 rok. Likwidacją objętych zostało 958 dokumentów. </w:t>
      </w:r>
    </w:p>
    <w:p w:rsidR="00E96768" w:rsidRPr="00E00B35" w:rsidRDefault="00E96768" w:rsidP="00E00B35">
      <w:pPr>
        <w:spacing w:after="0" w:line="312" w:lineRule="auto"/>
        <w:rPr>
          <w:szCs w:val="20"/>
        </w:rPr>
      </w:pPr>
    </w:p>
    <w:p w:rsidR="00E96768" w:rsidRPr="00E00B35" w:rsidRDefault="00E96768" w:rsidP="00E00B35">
      <w:pPr>
        <w:pStyle w:val="Nagwek4"/>
        <w:spacing w:before="0" w:after="0" w:line="312" w:lineRule="auto"/>
        <w:rPr>
          <w:sz w:val="20"/>
          <w:szCs w:val="20"/>
        </w:rPr>
      </w:pPr>
      <w:r w:rsidRPr="00E00B35">
        <w:rPr>
          <w:sz w:val="20"/>
          <w:szCs w:val="20"/>
        </w:rPr>
        <w:t>NABÓR NA WOLNE STANOWISKA URZĘDNICZE</w:t>
      </w:r>
    </w:p>
    <w:p w:rsidR="00E96768" w:rsidRPr="00E00B35" w:rsidRDefault="00E96768" w:rsidP="00E00B35">
      <w:pPr>
        <w:pStyle w:val="Tekstpodstawowy3"/>
        <w:spacing w:after="0" w:line="312" w:lineRule="auto"/>
        <w:rPr>
          <w:sz w:val="20"/>
          <w:szCs w:val="20"/>
        </w:rPr>
      </w:pPr>
      <w:r w:rsidRPr="00E00B35">
        <w:rPr>
          <w:sz w:val="20"/>
          <w:szCs w:val="20"/>
        </w:rPr>
        <w:t>Zestawienie naborów zewnętrznych w Urzędzie Miejskim Wrocławia w 2020 r.</w:t>
      </w:r>
    </w:p>
    <w:p w:rsidR="00E96768" w:rsidRPr="00E00B35" w:rsidRDefault="00E96768" w:rsidP="00E00B35">
      <w:pPr>
        <w:pStyle w:val="Tekstpodstawowy3"/>
        <w:spacing w:after="0" w:line="312" w:lineRule="auto"/>
        <w:rPr>
          <w:sz w:val="20"/>
          <w:szCs w:val="20"/>
        </w:rPr>
      </w:pPr>
    </w:p>
    <w:tbl>
      <w:tblPr>
        <w:tblW w:w="10240" w:type="dxa"/>
        <w:tblLayout w:type="fixed"/>
        <w:tblCellMar>
          <w:left w:w="0" w:type="dxa"/>
          <w:right w:w="0" w:type="dxa"/>
        </w:tblCellMar>
        <w:tblLook w:val="0620"/>
      </w:tblPr>
      <w:tblGrid>
        <w:gridCol w:w="2446"/>
        <w:gridCol w:w="970"/>
        <w:gridCol w:w="1474"/>
        <w:gridCol w:w="1331"/>
        <w:gridCol w:w="1379"/>
        <w:gridCol w:w="1194"/>
        <w:gridCol w:w="1446"/>
      </w:tblGrid>
      <w:tr w:rsidR="00E96768" w:rsidRPr="00E00B35" w:rsidTr="00E96768">
        <w:trPr>
          <w:trHeight w:val="2250"/>
          <w:tblHeader/>
        </w:trPr>
        <w:tc>
          <w:tcPr>
            <w:tcW w:w="2446" w:type="dxa"/>
            <w:tcBorders>
              <w:top w:val="single" w:sz="4" w:space="0" w:color="auto"/>
              <w:left w:val="single" w:sz="4" w:space="0" w:color="auto"/>
              <w:bottom w:val="single" w:sz="4" w:space="0" w:color="auto"/>
              <w:right w:val="single" w:sz="4" w:space="0" w:color="auto"/>
            </w:tcBorders>
            <w:shd w:val="clear" w:color="auto" w:fill="C0C0C0"/>
            <w:vAlign w:val="center"/>
          </w:tcPr>
          <w:p w:rsidR="00E96768" w:rsidRPr="00E00B35" w:rsidRDefault="00E96768" w:rsidP="00E00B35">
            <w:pPr>
              <w:spacing w:after="0" w:line="312" w:lineRule="auto"/>
              <w:rPr>
                <w:rFonts w:eastAsia="Arial Unicode MS" w:cs="Arial"/>
                <w:b/>
                <w:bCs/>
                <w:szCs w:val="20"/>
              </w:rPr>
            </w:pPr>
            <w:r w:rsidRPr="00E00B35">
              <w:rPr>
                <w:rFonts w:cs="Arial"/>
                <w:b/>
                <w:bCs/>
                <w:szCs w:val="20"/>
              </w:rPr>
              <w:t>KOMÓRKA ORGANIZACYJNA UMW</w:t>
            </w:r>
          </w:p>
        </w:tc>
        <w:tc>
          <w:tcPr>
            <w:tcW w:w="970" w:type="dxa"/>
            <w:tcBorders>
              <w:top w:val="single" w:sz="4" w:space="0" w:color="auto"/>
              <w:left w:val="nil"/>
              <w:bottom w:val="single" w:sz="4" w:space="0" w:color="auto"/>
              <w:right w:val="single" w:sz="4" w:space="0" w:color="auto"/>
            </w:tcBorders>
            <w:shd w:val="clear" w:color="auto" w:fill="C0C0C0"/>
            <w:vAlign w:val="center"/>
          </w:tcPr>
          <w:p w:rsidR="00E96768" w:rsidRPr="00E00B35" w:rsidRDefault="00E96768" w:rsidP="00E00B35">
            <w:pPr>
              <w:spacing w:after="0" w:line="312" w:lineRule="auto"/>
              <w:rPr>
                <w:rFonts w:cs="Arial"/>
                <w:b/>
                <w:bCs/>
                <w:szCs w:val="20"/>
              </w:rPr>
            </w:pPr>
            <w:r w:rsidRPr="00E00B35">
              <w:rPr>
                <w:rFonts w:cs="Arial"/>
                <w:b/>
                <w:bCs/>
                <w:szCs w:val="20"/>
              </w:rPr>
              <w:t>LICZBA NABORÓW</w:t>
            </w:r>
          </w:p>
        </w:tc>
        <w:tc>
          <w:tcPr>
            <w:tcW w:w="1474" w:type="dxa"/>
            <w:tcBorders>
              <w:top w:val="single" w:sz="4" w:space="0" w:color="auto"/>
              <w:left w:val="nil"/>
              <w:bottom w:val="single" w:sz="4" w:space="0" w:color="auto"/>
              <w:right w:val="single" w:sz="4" w:space="0" w:color="auto"/>
            </w:tcBorders>
            <w:shd w:val="clear" w:color="auto" w:fill="C0C0C0"/>
            <w:vAlign w:val="center"/>
          </w:tcPr>
          <w:p w:rsidR="00E96768" w:rsidRPr="00E00B35" w:rsidRDefault="00E96768" w:rsidP="00E00B35">
            <w:pPr>
              <w:spacing w:after="0" w:line="312" w:lineRule="auto"/>
              <w:rPr>
                <w:rFonts w:cs="Arial"/>
                <w:b/>
                <w:bCs/>
                <w:szCs w:val="20"/>
              </w:rPr>
            </w:pPr>
            <w:r w:rsidRPr="00E00B35">
              <w:rPr>
                <w:rFonts w:cs="Arial"/>
                <w:b/>
                <w:bCs/>
                <w:szCs w:val="20"/>
              </w:rPr>
              <w:t>LICZBA NABORÓW NA STANOWISKA MERYTORYCZNE</w:t>
            </w:r>
          </w:p>
        </w:tc>
        <w:tc>
          <w:tcPr>
            <w:tcW w:w="1331" w:type="dxa"/>
            <w:tcBorders>
              <w:top w:val="single" w:sz="4" w:space="0" w:color="auto"/>
              <w:left w:val="nil"/>
              <w:bottom w:val="single" w:sz="4" w:space="0" w:color="auto"/>
              <w:right w:val="single" w:sz="4" w:space="0" w:color="auto"/>
            </w:tcBorders>
            <w:shd w:val="clear" w:color="auto" w:fill="C0C0C0"/>
            <w:vAlign w:val="center"/>
          </w:tcPr>
          <w:p w:rsidR="00E96768" w:rsidRPr="00E00B35" w:rsidRDefault="00E96768" w:rsidP="00E00B35">
            <w:pPr>
              <w:spacing w:after="0" w:line="312" w:lineRule="auto"/>
              <w:rPr>
                <w:rFonts w:cs="Arial"/>
                <w:b/>
                <w:bCs/>
                <w:szCs w:val="20"/>
              </w:rPr>
            </w:pPr>
            <w:r w:rsidRPr="00E00B35">
              <w:rPr>
                <w:rFonts w:cs="Arial"/>
                <w:b/>
                <w:bCs/>
                <w:szCs w:val="20"/>
              </w:rPr>
              <w:t>LICZBA NABORÓW NA STANOWISKA KIEROWNICZE</w:t>
            </w:r>
          </w:p>
        </w:tc>
        <w:tc>
          <w:tcPr>
            <w:tcW w:w="1379" w:type="dxa"/>
            <w:tcBorders>
              <w:top w:val="single" w:sz="4" w:space="0" w:color="auto"/>
              <w:left w:val="nil"/>
              <w:bottom w:val="single" w:sz="4" w:space="0" w:color="auto"/>
              <w:right w:val="single" w:sz="4" w:space="0" w:color="auto"/>
            </w:tcBorders>
            <w:shd w:val="clear" w:color="auto" w:fill="C0C0C0"/>
            <w:vAlign w:val="center"/>
          </w:tcPr>
          <w:p w:rsidR="00E96768" w:rsidRPr="00E00B35" w:rsidRDefault="00E96768" w:rsidP="00E00B35">
            <w:pPr>
              <w:spacing w:after="0" w:line="312" w:lineRule="auto"/>
              <w:rPr>
                <w:rFonts w:cs="Arial"/>
                <w:b/>
                <w:bCs/>
                <w:szCs w:val="20"/>
              </w:rPr>
            </w:pPr>
            <w:r w:rsidRPr="00E00B35">
              <w:rPr>
                <w:rFonts w:cs="Arial"/>
                <w:b/>
                <w:bCs/>
                <w:szCs w:val="20"/>
              </w:rPr>
              <w:t>LICZBA NABORÓW OGŁOSZONYCH W BIP</w:t>
            </w:r>
          </w:p>
        </w:tc>
        <w:tc>
          <w:tcPr>
            <w:tcW w:w="1194" w:type="dxa"/>
            <w:tcBorders>
              <w:top w:val="single" w:sz="4" w:space="0" w:color="auto"/>
              <w:left w:val="nil"/>
              <w:bottom w:val="single" w:sz="4" w:space="0" w:color="auto"/>
              <w:right w:val="single" w:sz="4" w:space="0" w:color="auto"/>
            </w:tcBorders>
            <w:shd w:val="clear" w:color="auto" w:fill="C0C0C0"/>
            <w:vAlign w:val="center"/>
          </w:tcPr>
          <w:p w:rsidR="00E96768" w:rsidRPr="00E00B35" w:rsidRDefault="00E96768" w:rsidP="00E00B35">
            <w:pPr>
              <w:spacing w:after="0" w:line="312" w:lineRule="auto"/>
              <w:rPr>
                <w:rFonts w:cs="Arial"/>
                <w:b/>
                <w:bCs/>
                <w:szCs w:val="20"/>
              </w:rPr>
            </w:pPr>
            <w:r w:rsidRPr="00E00B35">
              <w:rPr>
                <w:rFonts w:cs="Arial"/>
                <w:b/>
                <w:bCs/>
                <w:szCs w:val="20"/>
              </w:rPr>
              <w:t>LICZBA NABORÓW OGŁOSZONYCH W PRASIE</w:t>
            </w:r>
          </w:p>
        </w:tc>
        <w:tc>
          <w:tcPr>
            <w:tcW w:w="1446" w:type="dxa"/>
            <w:tcBorders>
              <w:top w:val="single" w:sz="4" w:space="0" w:color="auto"/>
              <w:left w:val="nil"/>
              <w:bottom w:val="single" w:sz="4" w:space="0" w:color="auto"/>
              <w:right w:val="single" w:sz="4" w:space="0" w:color="auto"/>
            </w:tcBorders>
            <w:shd w:val="clear" w:color="auto" w:fill="C0C0C0"/>
            <w:vAlign w:val="center"/>
          </w:tcPr>
          <w:p w:rsidR="00E96768" w:rsidRPr="00E00B35" w:rsidRDefault="00E96768" w:rsidP="00E00B35">
            <w:pPr>
              <w:spacing w:after="0" w:line="312" w:lineRule="auto"/>
              <w:rPr>
                <w:rFonts w:cs="Arial"/>
                <w:b/>
                <w:bCs/>
                <w:szCs w:val="20"/>
              </w:rPr>
            </w:pPr>
            <w:r w:rsidRPr="00E00B35">
              <w:rPr>
                <w:rFonts w:cs="Arial"/>
                <w:b/>
                <w:bCs/>
                <w:szCs w:val="20"/>
              </w:rPr>
              <w:t>LICZBA NABORÓW OGŁOSZONYCH W SERWISACH INTERNETOWYCH</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shd w:val="clear" w:color="auto" w:fill="FFFFFF"/>
            <w:noWrap/>
            <w:vAlign w:val="center"/>
          </w:tcPr>
          <w:p w:rsidR="00E96768" w:rsidRPr="00E00B35" w:rsidRDefault="00E96768" w:rsidP="00E00B35">
            <w:pPr>
              <w:spacing w:after="0" w:line="312" w:lineRule="auto"/>
              <w:rPr>
                <w:rFonts w:cs="Arial"/>
                <w:bCs/>
                <w:szCs w:val="20"/>
              </w:rPr>
            </w:pPr>
            <w:r w:rsidRPr="00E00B35">
              <w:rPr>
                <w:rFonts w:cs="Arial"/>
                <w:bCs/>
                <w:szCs w:val="20"/>
              </w:rPr>
              <w:lastRenderedPageBreak/>
              <w:t>Urząd Miejski Wrocławia</w:t>
            </w:r>
          </w:p>
        </w:tc>
        <w:tc>
          <w:tcPr>
            <w:tcW w:w="970" w:type="dxa"/>
            <w:tcBorders>
              <w:top w:val="nil"/>
              <w:left w:val="nil"/>
              <w:bottom w:val="single" w:sz="4" w:space="0" w:color="auto"/>
              <w:right w:val="single" w:sz="4" w:space="0" w:color="auto"/>
            </w:tcBorders>
            <w:shd w:val="clear" w:color="auto" w:fill="FFFFFF"/>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120</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118</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379" w:type="dxa"/>
            <w:tcBorders>
              <w:top w:val="nil"/>
              <w:left w:val="nil"/>
              <w:bottom w:val="single" w:sz="4" w:space="0" w:color="auto"/>
              <w:right w:val="single" w:sz="4" w:space="0" w:color="auto"/>
            </w:tcBorders>
            <w:shd w:val="clear" w:color="auto" w:fill="FFFFFF"/>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120</w:t>
            </w:r>
          </w:p>
        </w:tc>
        <w:tc>
          <w:tcPr>
            <w:tcW w:w="1194" w:type="dxa"/>
            <w:tcBorders>
              <w:top w:val="nil"/>
              <w:left w:val="nil"/>
              <w:bottom w:val="single" w:sz="4" w:space="0" w:color="auto"/>
              <w:right w:val="single" w:sz="4" w:space="0" w:color="auto"/>
            </w:tcBorders>
            <w:shd w:val="clear" w:color="auto" w:fill="FFFFFF"/>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shd w:val="clear" w:color="auto" w:fill="FFFFFF"/>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2</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Biuro ds. Bezpieczeństwa Informacji</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Biuro Obsługi Infrastrukturalnej</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Biuro Obsługi Prawnej</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3</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3</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3</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Biuro Promocji Miasta i Turystyki</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Biuro Rozwoju Gospodarczego</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Biuro Rzecznika Konsumentów</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lang w:val="de-DE"/>
              </w:rPr>
            </w:pPr>
            <w:r w:rsidRPr="00E00B35">
              <w:rPr>
                <w:rFonts w:cs="Arial"/>
                <w:szCs w:val="20"/>
                <w:lang w:val="de-DE"/>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lang w:val="de-DE"/>
              </w:rPr>
            </w:pPr>
            <w:r w:rsidRPr="00E00B35">
              <w:rPr>
                <w:rFonts w:cs="Arial"/>
                <w:szCs w:val="20"/>
                <w:lang w:val="de-DE"/>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cs="Arial"/>
                <w:bCs/>
                <w:szCs w:val="20"/>
              </w:rPr>
              <w:t>Biuro Rozwoju Wrocławia</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4</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4</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4</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lang w:val="de-DE"/>
              </w:rPr>
            </w:pPr>
            <w:r w:rsidRPr="00E00B35">
              <w:rPr>
                <w:rFonts w:cs="Arial"/>
                <w:bCs/>
                <w:szCs w:val="20"/>
              </w:rPr>
              <w:t>Biuro Wrocław bez Barier</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Biuro Zrównoważonej Mobilności</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4</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4</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4</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cs="Arial"/>
                <w:bCs/>
                <w:szCs w:val="20"/>
                <w:lang w:val="de-DE"/>
              </w:rPr>
              <w:t>Departament Nieruchomości i Eksploatacji</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lang w:val="de-DE"/>
              </w:rPr>
              <w:t>Miejski Konserwator Zabytków</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6</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6</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6</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1</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Pion Ochrony Informacji Niejawnych</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lang w:val="de-DE"/>
              </w:rPr>
              <w:t>Urząd Stanu Cywilnego</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4</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4</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4</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lang w:val="de-DE"/>
              </w:rPr>
              <w:t>Wydział Architektury i Budownictwa</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6</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6</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6</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lang w:val="de-DE"/>
              </w:rPr>
              <w:t>Wydział Finansów Oświatowych</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cs="Arial"/>
                <w:bCs/>
                <w:szCs w:val="20"/>
              </w:rPr>
              <w:t>Wydział Finansowy</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lang w:val="de-DE"/>
              </w:rPr>
            </w:pPr>
            <w:r w:rsidRPr="00E00B35">
              <w:rPr>
                <w:rFonts w:cs="Arial"/>
                <w:bCs/>
                <w:szCs w:val="20"/>
              </w:rPr>
              <w:t>Wydział Inżynierii Miejskiej</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5</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5</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5</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lang w:val="de-DE"/>
              </w:rPr>
            </w:pPr>
            <w:r w:rsidRPr="00E00B35">
              <w:rPr>
                <w:rFonts w:cs="Arial"/>
                <w:bCs/>
                <w:szCs w:val="20"/>
                <w:lang w:val="de-DE"/>
              </w:rPr>
              <w:t>Wydział Kultury</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0</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1</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lang w:val="de-DE"/>
              </w:rPr>
            </w:pPr>
            <w:r w:rsidRPr="00E00B35">
              <w:rPr>
                <w:rFonts w:cs="Arial"/>
                <w:szCs w:val="20"/>
                <w:lang w:val="de-DE"/>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lang w:val="de-DE"/>
              </w:rPr>
            </w:pPr>
            <w:r w:rsidRPr="00E00B35">
              <w:rPr>
                <w:rFonts w:cs="Arial"/>
                <w:szCs w:val="20"/>
                <w:lang w:val="de-DE"/>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lang w:val="de-DE"/>
              </w:rPr>
            </w:pPr>
            <w:r w:rsidRPr="00E00B35">
              <w:rPr>
                <w:rFonts w:cs="Arial"/>
                <w:bCs/>
                <w:szCs w:val="20"/>
              </w:rPr>
              <w:lastRenderedPageBreak/>
              <w:t>Wydział Nieruchomości Komunalnych</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3</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3</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3</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lang w:val="de-DE"/>
              </w:rPr>
            </w:pPr>
            <w:r w:rsidRPr="00E00B35">
              <w:rPr>
                <w:rFonts w:cs="Arial"/>
                <w:szCs w:val="20"/>
                <w:lang w:val="de-DE"/>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lang w:val="de-DE"/>
              </w:rPr>
            </w:pPr>
            <w:r w:rsidRPr="00E00B35">
              <w:rPr>
                <w:rFonts w:cs="Arial"/>
                <w:szCs w:val="20"/>
                <w:lang w:val="de-DE"/>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lang w:val="de-DE"/>
              </w:rPr>
            </w:pPr>
            <w:r w:rsidRPr="00E00B35">
              <w:rPr>
                <w:rFonts w:cs="Arial"/>
                <w:bCs/>
                <w:szCs w:val="20"/>
              </w:rPr>
              <w:t>Wydział Komunikacji Społecznej</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cs="Arial"/>
                <w:bCs/>
                <w:szCs w:val="20"/>
              </w:rPr>
              <w:t>Wydział Księgowości</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2</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2</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2</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cs="Arial"/>
                <w:bCs/>
                <w:szCs w:val="20"/>
              </w:rPr>
              <w:t>Wydział Lokali Mieszkalnych</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2</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2</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2</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Wydział Nieruchomości Komunalnych</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2</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2</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eastAsia="Arial Unicode MS" w:cs="Arial"/>
                <w:szCs w:val="20"/>
                <w:lang w:val="de-DE"/>
              </w:rPr>
              <w:t>2</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lang w:val="de-DE"/>
              </w:rPr>
            </w:pPr>
            <w:r w:rsidRPr="00E00B35">
              <w:rPr>
                <w:rFonts w:cs="Arial"/>
                <w:szCs w:val="20"/>
                <w:lang w:val="de-DE"/>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Wydział Nabywania IiSprzedaży Nieruchomości</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13</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13</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13</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eastAsia="Arial Unicode MS" w:cs="Arial"/>
                <w:bCs/>
                <w:szCs w:val="20"/>
              </w:rPr>
              <w:t>Wydział Organizacyjny I Kadr</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eastAsia="Arial Unicode MS" w:cs="Arial"/>
                <w:bCs/>
                <w:szCs w:val="20"/>
              </w:rPr>
              <w:t>Wydział Obsługi Urzędu</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3</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3</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3</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cs="Arial"/>
                <w:bCs/>
                <w:szCs w:val="20"/>
              </w:rPr>
              <w:t>Wydział podatków i Opłat</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10</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9</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10</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Wydział Przedszkoli i Szkół Podstawowych</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cs="Arial"/>
                <w:bCs/>
                <w:szCs w:val="20"/>
              </w:rPr>
              <w:t>Wydział Szkół Ponadpodstawowych i Specjalnych</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cs="Arial"/>
                <w:bCs/>
                <w:szCs w:val="20"/>
              </w:rPr>
              <w:t>Wydział Spraw Obywatelskich</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8</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8</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8</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Wydział Środowiska i Rolnictwa</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6</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6</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6</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Wydział partycypacji Społecznej</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4</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4</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4</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Wydział transportu</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Wydział Wody i Energii</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5</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5</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5</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cs="Arial"/>
                <w:bCs/>
                <w:szCs w:val="20"/>
              </w:rPr>
              <w:t>Wydział Zdrowia i Spraw Społecznych</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bCs/>
                <w:szCs w:val="20"/>
              </w:rPr>
            </w:pPr>
            <w:r w:rsidRPr="00E00B35">
              <w:rPr>
                <w:rFonts w:cs="Arial"/>
                <w:bCs/>
                <w:szCs w:val="20"/>
              </w:rPr>
              <w:t>Wydział Zarządzania Funduszami</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2</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t xml:space="preserve">Wydział Zarządzania </w:t>
            </w:r>
            <w:r w:rsidRPr="00E00B35">
              <w:rPr>
                <w:rFonts w:cs="Arial"/>
                <w:bCs/>
                <w:szCs w:val="20"/>
              </w:rPr>
              <w:lastRenderedPageBreak/>
              <w:t>Należnościami</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lastRenderedPageBreak/>
              <w:t>5</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5</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5</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r>
      <w:tr w:rsidR="00E96768" w:rsidRPr="00E00B35" w:rsidTr="00E96768">
        <w:trPr>
          <w:trHeight w:val="255"/>
        </w:trPr>
        <w:tc>
          <w:tcPr>
            <w:tcW w:w="2446" w:type="dxa"/>
            <w:tcBorders>
              <w:top w:val="nil"/>
              <w:left w:val="single" w:sz="4" w:space="0" w:color="auto"/>
              <w:bottom w:val="single" w:sz="4" w:space="0" w:color="auto"/>
              <w:right w:val="single" w:sz="4" w:space="0" w:color="auto"/>
            </w:tcBorders>
            <w:noWrap/>
            <w:vAlign w:val="center"/>
          </w:tcPr>
          <w:p w:rsidR="00E96768" w:rsidRPr="00E00B35" w:rsidRDefault="00E96768" w:rsidP="00E00B35">
            <w:pPr>
              <w:spacing w:after="0" w:line="312" w:lineRule="auto"/>
              <w:rPr>
                <w:rFonts w:cs="Arial"/>
                <w:bCs/>
                <w:szCs w:val="20"/>
              </w:rPr>
            </w:pPr>
            <w:r w:rsidRPr="00E00B35">
              <w:rPr>
                <w:rFonts w:cs="Arial"/>
                <w:bCs/>
                <w:szCs w:val="20"/>
              </w:rPr>
              <w:lastRenderedPageBreak/>
              <w:t>Zespół ds. Audytu Wewnętrznego</w:t>
            </w:r>
          </w:p>
        </w:tc>
        <w:tc>
          <w:tcPr>
            <w:tcW w:w="970"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47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331"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0</w:t>
            </w:r>
          </w:p>
        </w:tc>
        <w:tc>
          <w:tcPr>
            <w:tcW w:w="1379"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eastAsia="Arial Unicode MS" w:cs="Arial"/>
                <w:szCs w:val="20"/>
              </w:rPr>
            </w:pPr>
            <w:r w:rsidRPr="00E00B35">
              <w:rPr>
                <w:rFonts w:eastAsia="Arial Unicode MS" w:cs="Arial"/>
                <w:szCs w:val="20"/>
              </w:rPr>
              <w:t>1</w:t>
            </w:r>
          </w:p>
        </w:tc>
        <w:tc>
          <w:tcPr>
            <w:tcW w:w="1194"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0</w:t>
            </w:r>
          </w:p>
        </w:tc>
        <w:tc>
          <w:tcPr>
            <w:tcW w:w="1446" w:type="dxa"/>
            <w:tcBorders>
              <w:top w:val="nil"/>
              <w:left w:val="nil"/>
              <w:bottom w:val="single" w:sz="4" w:space="0" w:color="auto"/>
              <w:right w:val="single" w:sz="4" w:space="0" w:color="auto"/>
            </w:tcBorders>
            <w:noWrap/>
            <w:vAlign w:val="center"/>
          </w:tcPr>
          <w:p w:rsidR="00E96768" w:rsidRPr="00E00B35" w:rsidRDefault="00E96768" w:rsidP="00E00B35">
            <w:pPr>
              <w:spacing w:after="0" w:line="312" w:lineRule="auto"/>
              <w:rPr>
                <w:rFonts w:cs="Arial"/>
                <w:szCs w:val="20"/>
              </w:rPr>
            </w:pPr>
            <w:r w:rsidRPr="00E00B35">
              <w:rPr>
                <w:rFonts w:cs="Arial"/>
                <w:szCs w:val="20"/>
              </w:rPr>
              <w:t>1</w:t>
            </w:r>
          </w:p>
        </w:tc>
      </w:tr>
    </w:tbl>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 xml:space="preserve">W 2020 roku wszczęto 7 naborów wewnętrznych na stanowiska merytoryczne, w tym: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 w Biurze Obsługi Infrastrukturalnej,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 w Biurze Miejskiego Rzecznika Konsumentów,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 w Wydziale Inżynierii Miejskiej,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 w Wydziale Kultury,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 w Wydziale Kontroli,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 w Wydziale Zarządzania Należnościami.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 2020 roku zostały przeprowadzone 2 nabory na stanowisko Dyrektora: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 w Powiatowym Urzędzie Pracy,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 w Zespole Placówek Opiekuńczo-Wychowawczych „Dziecięcy Dom”.</w:t>
      </w:r>
    </w:p>
    <w:p w:rsidR="00E96768" w:rsidRPr="00E00B35" w:rsidRDefault="00E96768" w:rsidP="00E00B35">
      <w:pPr>
        <w:pStyle w:val="Tekstpodstawowy2"/>
        <w:spacing w:after="0" w:line="312" w:lineRule="auto"/>
        <w:rPr>
          <w:b w:val="0"/>
          <w:bCs w:val="0"/>
          <w:sz w:val="20"/>
          <w:szCs w:val="20"/>
        </w:rPr>
      </w:pPr>
    </w:p>
    <w:p w:rsidR="00E96768" w:rsidRPr="00E00B35" w:rsidRDefault="00E96768" w:rsidP="00E00B35">
      <w:pPr>
        <w:pStyle w:val="Nagwek3"/>
        <w:spacing w:after="0" w:line="312" w:lineRule="auto"/>
        <w:rPr>
          <w:b w:val="0"/>
          <w:sz w:val="20"/>
        </w:rPr>
      </w:pPr>
      <w:r w:rsidRPr="00E00B35">
        <w:rPr>
          <w:sz w:val="20"/>
        </w:rPr>
        <w:t>SZKOLENIA</w:t>
      </w:r>
    </w:p>
    <w:p w:rsidR="00E96768" w:rsidRPr="00E00B35" w:rsidRDefault="00E96768" w:rsidP="00E00B35">
      <w:pPr>
        <w:autoSpaceDE w:val="0"/>
        <w:autoSpaceDN w:val="0"/>
        <w:adjustRightInd w:val="0"/>
        <w:spacing w:after="0" w:line="312" w:lineRule="auto"/>
        <w:rPr>
          <w:szCs w:val="20"/>
        </w:rPr>
      </w:pPr>
      <w:r w:rsidRPr="00E00B35">
        <w:rPr>
          <w:szCs w:val="20"/>
        </w:rPr>
        <w:t xml:space="preserve">W okresie sprawozdawczym pracownicy Urzędu Miejskiego Wrocławia podnosili swoje kwalifikacje zawodowe głównie poprzez udział w szkoleniach tematycznych związanych </w:t>
      </w:r>
      <w:r w:rsidRPr="00E00B35">
        <w:rPr>
          <w:szCs w:val="20"/>
        </w:rPr>
        <w:br/>
        <w:t xml:space="preserve">z zajmowanymi stanowiskami i kompetencjami komórek organizacyjnych, w których są zatrudnieni. </w:t>
      </w:r>
    </w:p>
    <w:p w:rsidR="00E96768" w:rsidRPr="00E00B35" w:rsidRDefault="00E96768" w:rsidP="00E00B35">
      <w:pPr>
        <w:pStyle w:val="Nagwek4"/>
        <w:spacing w:before="0" w:after="0" w:line="312" w:lineRule="auto"/>
        <w:rPr>
          <w:sz w:val="20"/>
          <w:szCs w:val="20"/>
        </w:rPr>
      </w:pPr>
      <w:r w:rsidRPr="00E00B35">
        <w:rPr>
          <w:sz w:val="20"/>
          <w:szCs w:val="20"/>
        </w:rPr>
        <w:t>SZKOLENIA ZAMKNIĘTE</w:t>
      </w:r>
    </w:p>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Szkolenia merytoryczne były organizowane przez Wydział Organizacyjny i Kadr na wniosek odpowiednich komórek organizacyjnych w zakresie: „BHP”, „Nowej ustawy Prawo zamówień publicznych”, „Ustawy o dostępności cyfrowej w administracji samorządowej”.</w:t>
      </w:r>
    </w:p>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Łączna liczba uczestników tych szkoleń wyniosła 344 osoby, w tym jeden pracownik mógł uczestniczyć w kilku szkoleniach.</w:t>
      </w:r>
    </w:p>
    <w:p w:rsidR="00E96768" w:rsidRPr="00E00B35" w:rsidRDefault="00E96768" w:rsidP="00E00B35">
      <w:pPr>
        <w:pStyle w:val="Nagwek4"/>
        <w:spacing w:before="0" w:after="0" w:line="312" w:lineRule="auto"/>
        <w:rPr>
          <w:sz w:val="20"/>
          <w:szCs w:val="20"/>
        </w:rPr>
      </w:pPr>
      <w:r w:rsidRPr="00E00B35">
        <w:rPr>
          <w:sz w:val="20"/>
          <w:szCs w:val="20"/>
        </w:rPr>
        <w:t>SZKOLENIA OTWARTE</w:t>
      </w:r>
    </w:p>
    <w:p w:rsidR="00E96768" w:rsidRPr="00E00B35" w:rsidRDefault="00E96768" w:rsidP="00E00B35">
      <w:pPr>
        <w:pStyle w:val="Tekstpodstawowy3"/>
        <w:tabs>
          <w:tab w:val="left" w:pos="0"/>
        </w:tabs>
        <w:spacing w:after="0" w:line="312" w:lineRule="auto"/>
        <w:rPr>
          <w:b/>
          <w:sz w:val="20"/>
          <w:szCs w:val="20"/>
        </w:rPr>
      </w:pPr>
      <w:r w:rsidRPr="00E00B35">
        <w:rPr>
          <w:sz w:val="20"/>
          <w:szCs w:val="20"/>
        </w:rPr>
        <w:t xml:space="preserve">W omawianym okresie liczba uczestników szkoleń otwartych wyniosła </w:t>
      </w:r>
      <w:r w:rsidRPr="00E00B35">
        <w:rPr>
          <w:color w:val="000000" w:themeColor="text1"/>
          <w:sz w:val="20"/>
          <w:szCs w:val="20"/>
        </w:rPr>
        <w:t>307</w:t>
      </w:r>
      <w:r w:rsidRPr="00E00B35">
        <w:rPr>
          <w:color w:val="FF0000"/>
          <w:sz w:val="20"/>
          <w:szCs w:val="20"/>
        </w:rPr>
        <w:t xml:space="preserve"> </w:t>
      </w:r>
      <w:r w:rsidRPr="00E00B35">
        <w:rPr>
          <w:sz w:val="20"/>
          <w:szCs w:val="20"/>
        </w:rPr>
        <w:t xml:space="preserve">osób (każdy pracownik mógł uczestniczyć w kilku szkoleniach). </w:t>
      </w:r>
    </w:p>
    <w:p w:rsidR="00E96768" w:rsidRPr="00E00B35" w:rsidRDefault="00E96768" w:rsidP="00E00B35">
      <w:pPr>
        <w:pStyle w:val="Tekstpodstawowy3"/>
        <w:spacing w:after="0" w:line="312" w:lineRule="auto"/>
        <w:rPr>
          <w:b/>
          <w:sz w:val="20"/>
          <w:szCs w:val="20"/>
        </w:rPr>
      </w:pPr>
      <w:r w:rsidRPr="00E00B35">
        <w:rPr>
          <w:sz w:val="20"/>
          <w:szCs w:val="20"/>
        </w:rPr>
        <w:t>Największym zainteresowaniem cieszyły się szkolenia z zakresu: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podatku VAT (np. „Specjalista w zakresie podatku VAT - I stopień”);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informacji publicznej  (np. „Dostęp do informacji publicznej oraz BIP - sprzeczności, problemy interpretacyjne i orzecznictwo”);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 xml:space="preserve">WCAG (np. „Nowa ustawa o dostępności cyfrowej stron internetowych i aplikacji mobilnych podmiotów publicznych - WCAG 2.1”). </w:t>
      </w:r>
    </w:p>
    <w:p w:rsidR="00E96768" w:rsidRPr="00E00B35" w:rsidRDefault="00E96768" w:rsidP="00E00B35">
      <w:pPr>
        <w:pStyle w:val="Akapitzlist"/>
        <w:spacing w:after="0" w:line="312" w:lineRule="auto"/>
        <w:ind w:left="567"/>
        <w:rPr>
          <w:szCs w:val="20"/>
        </w:rPr>
      </w:pPr>
    </w:p>
    <w:p w:rsidR="00E96768" w:rsidRPr="00E00B35" w:rsidRDefault="00E96768" w:rsidP="00E00B35">
      <w:pPr>
        <w:pStyle w:val="Nagwek4"/>
        <w:spacing w:before="0" w:after="0" w:line="312" w:lineRule="auto"/>
        <w:rPr>
          <w:sz w:val="20"/>
          <w:szCs w:val="20"/>
        </w:rPr>
      </w:pPr>
      <w:r w:rsidRPr="00E00B35">
        <w:rPr>
          <w:sz w:val="20"/>
          <w:szCs w:val="20"/>
        </w:rPr>
        <w:t>STUDIA/KURSY DŁUGOTERMINOWE:</w:t>
      </w:r>
    </w:p>
    <w:p w:rsidR="00E96768" w:rsidRPr="00E00B35" w:rsidRDefault="00E96768" w:rsidP="00E00B35">
      <w:pPr>
        <w:pStyle w:val="Tekstpodstawowy"/>
        <w:spacing w:after="0" w:line="312" w:lineRule="auto"/>
        <w:rPr>
          <w:szCs w:val="20"/>
        </w:rPr>
      </w:pPr>
      <w:r w:rsidRPr="00E00B35">
        <w:rPr>
          <w:szCs w:val="20"/>
        </w:rPr>
        <w:t xml:space="preserve">Ponadto pracownicy otrzymali dofinansowanie do nauki na: kursach językowych, studiach MBA oraz studiach podyplomowych. </w:t>
      </w:r>
    </w:p>
    <w:p w:rsidR="00E96768" w:rsidRPr="00E00B35" w:rsidRDefault="00E96768" w:rsidP="00E00B35">
      <w:pPr>
        <w:pStyle w:val="Tekstpodstawowy"/>
        <w:spacing w:after="0" w:line="312" w:lineRule="auto"/>
        <w:rPr>
          <w:szCs w:val="20"/>
        </w:rPr>
      </w:pPr>
      <w:r w:rsidRPr="00E00B35">
        <w:rPr>
          <w:szCs w:val="20"/>
        </w:rPr>
        <w:t>Z tej formy kształcenia dofinansowanie otrzymało 19 osób.</w:t>
      </w:r>
    </w:p>
    <w:p w:rsidR="00E96768" w:rsidRPr="00E00B35" w:rsidRDefault="00E96768" w:rsidP="00E00B35">
      <w:pPr>
        <w:spacing w:after="0" w:line="312" w:lineRule="auto"/>
        <w:rPr>
          <w:bCs/>
          <w:szCs w:val="20"/>
        </w:rPr>
      </w:pPr>
      <w:r w:rsidRPr="00E00B35">
        <w:rPr>
          <w:bCs/>
          <w:szCs w:val="20"/>
        </w:rPr>
        <w:t>Łącznie w 2020 roku na powyższe formy kształcenia wydano: 278 778,43 zł.</w:t>
      </w:r>
    </w:p>
    <w:p w:rsidR="00E96768" w:rsidRPr="00E00B35" w:rsidRDefault="00E96768" w:rsidP="00E00B35">
      <w:pPr>
        <w:pStyle w:val="Nagwek3"/>
        <w:spacing w:after="0" w:line="312" w:lineRule="auto"/>
        <w:rPr>
          <w:b w:val="0"/>
          <w:sz w:val="20"/>
        </w:rPr>
      </w:pPr>
      <w:r w:rsidRPr="00E00B35">
        <w:rPr>
          <w:sz w:val="20"/>
          <w:lang w:val="pl-PL"/>
        </w:rPr>
        <w:br/>
      </w:r>
      <w:r w:rsidRPr="00E00B35">
        <w:rPr>
          <w:sz w:val="20"/>
        </w:rPr>
        <w:t>SŁUŻBA PRZYGOTOWAWCZA</w:t>
      </w:r>
    </w:p>
    <w:p w:rsidR="00E96768" w:rsidRPr="00E00B35" w:rsidRDefault="00E96768" w:rsidP="00E00B35">
      <w:pPr>
        <w:pStyle w:val="11Trescpisma"/>
        <w:autoSpaceDE w:val="0"/>
        <w:autoSpaceDN w:val="0"/>
        <w:adjustRightInd w:val="0"/>
        <w:spacing w:before="0" w:after="0" w:line="312" w:lineRule="auto"/>
        <w:jc w:val="left"/>
        <w:rPr>
          <w:szCs w:val="20"/>
        </w:rPr>
      </w:pPr>
      <w:r w:rsidRPr="00E00B35">
        <w:rPr>
          <w:szCs w:val="20"/>
        </w:rPr>
        <w:t>Służba przygotowawcza organizowana jest w formie samokształcenia i kończy się egzaminem. Od 1 stycznia do 31 grudnia 2020 roku łącznie służbę przygotowawczą odbyło 110 osób.</w:t>
      </w:r>
    </w:p>
    <w:p w:rsidR="00E96768" w:rsidRPr="00E00B35" w:rsidRDefault="00E96768" w:rsidP="00E00B35">
      <w:pPr>
        <w:spacing w:after="0" w:line="312" w:lineRule="auto"/>
        <w:rPr>
          <w:szCs w:val="20"/>
        </w:rPr>
      </w:pPr>
    </w:p>
    <w:p w:rsidR="00E96768" w:rsidRPr="00E00B35" w:rsidRDefault="00E96768" w:rsidP="00E00B35">
      <w:pPr>
        <w:pStyle w:val="Nagwek3"/>
        <w:spacing w:after="0" w:line="312" w:lineRule="auto"/>
        <w:rPr>
          <w:b w:val="0"/>
          <w:sz w:val="20"/>
        </w:rPr>
      </w:pPr>
      <w:r w:rsidRPr="00E00B35">
        <w:rPr>
          <w:sz w:val="20"/>
        </w:rPr>
        <w:t>OCENA PRACOWNICZA</w:t>
      </w:r>
    </w:p>
    <w:p w:rsidR="00E96768" w:rsidRPr="00E00B35" w:rsidRDefault="00E96768" w:rsidP="00E00B35">
      <w:pPr>
        <w:pStyle w:val="11Trescpisma"/>
        <w:spacing w:before="0" w:after="0" w:line="312" w:lineRule="auto"/>
        <w:jc w:val="left"/>
        <w:rPr>
          <w:bCs/>
          <w:szCs w:val="20"/>
        </w:rPr>
      </w:pPr>
      <w:r w:rsidRPr="00E00B35">
        <w:rPr>
          <w:bCs/>
          <w:szCs w:val="20"/>
        </w:rPr>
        <w:t xml:space="preserve">W 2020 roku poddano ocenie pracowniczej </w:t>
      </w:r>
      <w:r w:rsidRPr="00E00B35">
        <w:rPr>
          <w:bCs/>
          <w:color w:val="000000" w:themeColor="text1"/>
          <w:szCs w:val="20"/>
        </w:rPr>
        <w:t xml:space="preserve">12 </w:t>
      </w:r>
      <w:r w:rsidRPr="00E00B35">
        <w:rPr>
          <w:bCs/>
          <w:szCs w:val="20"/>
        </w:rPr>
        <w:t xml:space="preserve">pracowników. Nowe kryteria oceny wyznaczono </w:t>
      </w:r>
      <w:r w:rsidRPr="00E00B35">
        <w:rPr>
          <w:bCs/>
          <w:color w:val="000000" w:themeColor="text1"/>
          <w:szCs w:val="20"/>
        </w:rPr>
        <w:t xml:space="preserve">82 </w:t>
      </w:r>
      <w:r w:rsidRPr="00E00B35">
        <w:rPr>
          <w:bCs/>
          <w:szCs w:val="20"/>
        </w:rPr>
        <w:t xml:space="preserve">pracownikom - również nowo zatrudnionym jak i powracającym po dłuższej nieobecności. </w:t>
      </w:r>
    </w:p>
    <w:p w:rsidR="00E96768" w:rsidRPr="00E00B35" w:rsidRDefault="00E96768" w:rsidP="00E00B35">
      <w:pPr>
        <w:spacing w:after="0" w:line="312" w:lineRule="auto"/>
        <w:rPr>
          <w:color w:val="FF0000"/>
          <w:szCs w:val="20"/>
        </w:rPr>
      </w:pPr>
    </w:p>
    <w:p w:rsidR="00E96768" w:rsidRPr="00E00B35" w:rsidRDefault="00E96768" w:rsidP="00E00B35">
      <w:pPr>
        <w:pStyle w:val="Nagwek3"/>
        <w:spacing w:after="0" w:line="312" w:lineRule="auto"/>
        <w:rPr>
          <w:b w:val="0"/>
          <w:sz w:val="20"/>
        </w:rPr>
      </w:pPr>
      <w:r w:rsidRPr="00E00B35">
        <w:rPr>
          <w:sz w:val="20"/>
        </w:rPr>
        <w:t>ŚWIADCZENIA SOCJALNE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tblPr>
      <w:tblGrid>
        <w:gridCol w:w="3828"/>
        <w:gridCol w:w="2551"/>
        <w:gridCol w:w="2835"/>
      </w:tblGrid>
      <w:tr w:rsidR="00E96768" w:rsidRPr="00E00B35" w:rsidTr="00E96768">
        <w:trPr>
          <w:tblHeader/>
        </w:trPr>
        <w:tc>
          <w:tcPr>
            <w:tcW w:w="3828" w:type="dxa"/>
            <w:shd w:val="clear" w:color="auto" w:fill="D9D9D9" w:themeFill="background1" w:themeFillShade="D9"/>
          </w:tcPr>
          <w:p w:rsidR="00E96768" w:rsidRPr="00E00B35" w:rsidRDefault="00E96768" w:rsidP="00E00B35">
            <w:pPr>
              <w:spacing w:after="0" w:line="312" w:lineRule="auto"/>
              <w:rPr>
                <w:b/>
                <w:szCs w:val="20"/>
              </w:rPr>
            </w:pPr>
            <w:r w:rsidRPr="00E00B35">
              <w:rPr>
                <w:b/>
                <w:szCs w:val="20"/>
              </w:rPr>
              <w:t>Rodzaj świadczenia</w:t>
            </w:r>
          </w:p>
        </w:tc>
        <w:tc>
          <w:tcPr>
            <w:tcW w:w="2551" w:type="dxa"/>
            <w:shd w:val="clear" w:color="auto" w:fill="D9D9D9" w:themeFill="background1" w:themeFillShade="D9"/>
          </w:tcPr>
          <w:p w:rsidR="00E96768" w:rsidRPr="00E00B35" w:rsidRDefault="00E96768" w:rsidP="00E00B35">
            <w:pPr>
              <w:spacing w:after="0" w:line="312" w:lineRule="auto"/>
              <w:ind w:right="-108"/>
              <w:rPr>
                <w:b/>
                <w:szCs w:val="20"/>
              </w:rPr>
            </w:pPr>
            <w:r w:rsidRPr="00E00B35">
              <w:rPr>
                <w:b/>
                <w:szCs w:val="20"/>
              </w:rPr>
              <w:t>Liczba pracowników, którym zostały wypłacone świadczenia</w:t>
            </w:r>
          </w:p>
        </w:tc>
        <w:tc>
          <w:tcPr>
            <w:tcW w:w="2835" w:type="dxa"/>
            <w:shd w:val="clear" w:color="auto" w:fill="D9D9D9" w:themeFill="background1" w:themeFillShade="D9"/>
          </w:tcPr>
          <w:p w:rsidR="00E96768" w:rsidRPr="00E00B35" w:rsidRDefault="00E96768" w:rsidP="00E00B35">
            <w:pPr>
              <w:spacing w:after="0" w:line="312" w:lineRule="auto"/>
              <w:rPr>
                <w:b/>
                <w:szCs w:val="20"/>
              </w:rPr>
            </w:pPr>
            <w:r w:rsidRPr="00E00B35">
              <w:rPr>
                <w:b/>
                <w:szCs w:val="20"/>
              </w:rPr>
              <w:t xml:space="preserve">Wypłacone kwoty w zł - wydatki ZFŚS </w:t>
            </w:r>
          </w:p>
        </w:tc>
      </w:tr>
      <w:tr w:rsidR="00E96768" w:rsidRPr="00E00B35" w:rsidTr="00E96768">
        <w:trPr>
          <w:trHeight w:val="1060"/>
        </w:trPr>
        <w:tc>
          <w:tcPr>
            <w:tcW w:w="3828" w:type="dxa"/>
          </w:tcPr>
          <w:p w:rsidR="00E96768" w:rsidRPr="00E00B35" w:rsidRDefault="00E96768" w:rsidP="00E00B35">
            <w:pPr>
              <w:pStyle w:val="Bezodstpw"/>
              <w:spacing w:line="312" w:lineRule="auto"/>
              <w:rPr>
                <w:rFonts w:ascii="Verdana" w:hAnsi="Verdana"/>
                <w:sz w:val="20"/>
                <w:szCs w:val="20"/>
              </w:rPr>
            </w:pPr>
            <w:r w:rsidRPr="00E00B35">
              <w:rPr>
                <w:rFonts w:ascii="Verdana" w:hAnsi="Verdana"/>
                <w:sz w:val="20"/>
                <w:szCs w:val="20"/>
              </w:rPr>
              <w:t>Wypoczynek „wczasy pod gruszą” pracowników i ich rodzin</w:t>
            </w:r>
          </w:p>
          <w:p w:rsidR="00E96768" w:rsidRPr="00E00B35" w:rsidRDefault="00E96768" w:rsidP="00E00B35">
            <w:pPr>
              <w:pStyle w:val="Bezodstpw"/>
              <w:spacing w:line="312" w:lineRule="auto"/>
              <w:rPr>
                <w:rFonts w:ascii="Verdana" w:hAnsi="Verdana"/>
                <w:sz w:val="20"/>
                <w:szCs w:val="20"/>
              </w:rPr>
            </w:pPr>
            <w:r w:rsidRPr="00E00B35">
              <w:rPr>
                <w:rFonts w:ascii="Verdana" w:hAnsi="Verdana"/>
                <w:sz w:val="20"/>
                <w:szCs w:val="20"/>
              </w:rPr>
              <w:t>Wypoczynek „wczasy pod gruszą” emerytów i ich rodzin</w:t>
            </w:r>
          </w:p>
        </w:tc>
        <w:tc>
          <w:tcPr>
            <w:tcW w:w="2551" w:type="dxa"/>
          </w:tcPr>
          <w:p w:rsidR="00E96768" w:rsidRPr="00E00B35" w:rsidRDefault="00E96768" w:rsidP="00E00B35">
            <w:pPr>
              <w:spacing w:after="0" w:line="312" w:lineRule="auto"/>
              <w:rPr>
                <w:szCs w:val="20"/>
              </w:rPr>
            </w:pPr>
            <w:r w:rsidRPr="00E00B35">
              <w:rPr>
                <w:szCs w:val="20"/>
              </w:rPr>
              <w:t>1 087 osób</w:t>
            </w:r>
          </w:p>
          <w:p w:rsidR="00E96768" w:rsidRPr="00E00B35" w:rsidRDefault="00E96768" w:rsidP="00E00B35">
            <w:pPr>
              <w:spacing w:after="0" w:line="312" w:lineRule="auto"/>
              <w:rPr>
                <w:szCs w:val="20"/>
              </w:rPr>
            </w:pPr>
            <w:r w:rsidRPr="00E00B35">
              <w:rPr>
                <w:szCs w:val="20"/>
              </w:rPr>
              <w:t>158 osób</w:t>
            </w:r>
          </w:p>
        </w:tc>
        <w:tc>
          <w:tcPr>
            <w:tcW w:w="2835" w:type="dxa"/>
          </w:tcPr>
          <w:p w:rsidR="00E96768" w:rsidRPr="00E00B35" w:rsidRDefault="00E96768" w:rsidP="00E00B35">
            <w:pPr>
              <w:spacing w:after="0" w:line="312" w:lineRule="auto"/>
              <w:rPr>
                <w:szCs w:val="20"/>
              </w:rPr>
            </w:pPr>
            <w:r w:rsidRPr="00E00B35">
              <w:rPr>
                <w:szCs w:val="20"/>
              </w:rPr>
              <w:t>1 050 892,00</w:t>
            </w:r>
          </w:p>
          <w:p w:rsidR="00E96768" w:rsidRPr="00E00B35" w:rsidRDefault="00E96768" w:rsidP="00E00B35">
            <w:pPr>
              <w:spacing w:after="0" w:line="312" w:lineRule="auto"/>
              <w:rPr>
                <w:szCs w:val="20"/>
              </w:rPr>
            </w:pPr>
            <w:r w:rsidRPr="00E00B35">
              <w:rPr>
                <w:szCs w:val="20"/>
              </w:rPr>
              <w:t>95 986,00</w:t>
            </w:r>
          </w:p>
        </w:tc>
      </w:tr>
      <w:tr w:rsidR="00E96768" w:rsidRPr="00E00B35" w:rsidTr="00E96768">
        <w:tc>
          <w:tcPr>
            <w:tcW w:w="3828" w:type="dxa"/>
          </w:tcPr>
          <w:p w:rsidR="00E96768" w:rsidRPr="00E00B35" w:rsidRDefault="00E96768" w:rsidP="00E00B35">
            <w:pPr>
              <w:spacing w:after="0" w:line="312" w:lineRule="auto"/>
              <w:rPr>
                <w:szCs w:val="20"/>
              </w:rPr>
            </w:pPr>
            <w:r w:rsidRPr="00E00B35">
              <w:rPr>
                <w:szCs w:val="20"/>
              </w:rPr>
              <w:t xml:space="preserve">Zapomogi </w:t>
            </w:r>
          </w:p>
        </w:tc>
        <w:tc>
          <w:tcPr>
            <w:tcW w:w="2551" w:type="dxa"/>
          </w:tcPr>
          <w:p w:rsidR="00E96768" w:rsidRPr="00E00B35" w:rsidRDefault="00E96768" w:rsidP="00E00B35">
            <w:pPr>
              <w:spacing w:after="0" w:line="312" w:lineRule="auto"/>
              <w:rPr>
                <w:szCs w:val="20"/>
              </w:rPr>
            </w:pPr>
            <w:r w:rsidRPr="00E00B35">
              <w:rPr>
                <w:szCs w:val="20"/>
              </w:rPr>
              <w:t>360 osób</w:t>
            </w:r>
          </w:p>
        </w:tc>
        <w:tc>
          <w:tcPr>
            <w:tcW w:w="2835" w:type="dxa"/>
          </w:tcPr>
          <w:p w:rsidR="00E96768" w:rsidRPr="00E00B35" w:rsidRDefault="00E96768" w:rsidP="00E00B35">
            <w:pPr>
              <w:spacing w:after="0" w:line="312" w:lineRule="auto"/>
              <w:rPr>
                <w:szCs w:val="20"/>
              </w:rPr>
            </w:pPr>
            <w:r w:rsidRPr="00E00B35">
              <w:rPr>
                <w:szCs w:val="20"/>
              </w:rPr>
              <w:t>752 900,00</w:t>
            </w:r>
          </w:p>
        </w:tc>
      </w:tr>
      <w:tr w:rsidR="00E96768" w:rsidRPr="00E00B35" w:rsidTr="00E96768">
        <w:trPr>
          <w:trHeight w:val="488"/>
        </w:trPr>
        <w:tc>
          <w:tcPr>
            <w:tcW w:w="3828" w:type="dxa"/>
          </w:tcPr>
          <w:p w:rsidR="00E96768" w:rsidRPr="00E00B35" w:rsidRDefault="00E96768" w:rsidP="00E00B35">
            <w:pPr>
              <w:spacing w:after="0" w:line="312" w:lineRule="auto"/>
              <w:rPr>
                <w:szCs w:val="20"/>
              </w:rPr>
            </w:pPr>
            <w:r w:rsidRPr="00E00B35">
              <w:rPr>
                <w:szCs w:val="20"/>
              </w:rPr>
              <w:t>Refundacja Sport i Kultura</w:t>
            </w:r>
          </w:p>
        </w:tc>
        <w:tc>
          <w:tcPr>
            <w:tcW w:w="2551" w:type="dxa"/>
          </w:tcPr>
          <w:p w:rsidR="00E96768" w:rsidRPr="00E00B35" w:rsidRDefault="00E96768" w:rsidP="00E00B35">
            <w:pPr>
              <w:spacing w:after="0" w:line="312" w:lineRule="auto"/>
              <w:rPr>
                <w:szCs w:val="20"/>
              </w:rPr>
            </w:pPr>
            <w:r w:rsidRPr="00E00B35">
              <w:rPr>
                <w:szCs w:val="20"/>
              </w:rPr>
              <w:t>1 518 osoby</w:t>
            </w:r>
          </w:p>
        </w:tc>
        <w:tc>
          <w:tcPr>
            <w:tcW w:w="2835" w:type="dxa"/>
          </w:tcPr>
          <w:p w:rsidR="00E96768" w:rsidRPr="00E00B35" w:rsidRDefault="00E96768" w:rsidP="00E00B35">
            <w:pPr>
              <w:spacing w:after="0" w:line="312" w:lineRule="auto"/>
              <w:rPr>
                <w:szCs w:val="20"/>
              </w:rPr>
            </w:pPr>
            <w:r w:rsidRPr="00E00B35">
              <w:rPr>
                <w:szCs w:val="20"/>
              </w:rPr>
              <w:t>674 491,50</w:t>
            </w:r>
          </w:p>
        </w:tc>
      </w:tr>
      <w:tr w:rsidR="00E96768" w:rsidRPr="00E00B35" w:rsidTr="00E96768">
        <w:tc>
          <w:tcPr>
            <w:tcW w:w="3828" w:type="dxa"/>
          </w:tcPr>
          <w:p w:rsidR="00E96768" w:rsidRPr="00E00B35" w:rsidRDefault="00E96768" w:rsidP="00E00B35">
            <w:pPr>
              <w:spacing w:after="0" w:line="312" w:lineRule="auto"/>
              <w:rPr>
                <w:szCs w:val="20"/>
              </w:rPr>
            </w:pPr>
            <w:r w:rsidRPr="00E00B35">
              <w:rPr>
                <w:szCs w:val="20"/>
              </w:rPr>
              <w:t xml:space="preserve">Pożyczki mieszkaniowe </w:t>
            </w:r>
          </w:p>
        </w:tc>
        <w:tc>
          <w:tcPr>
            <w:tcW w:w="2551" w:type="dxa"/>
          </w:tcPr>
          <w:p w:rsidR="00E96768" w:rsidRPr="00E00B35" w:rsidRDefault="00E96768" w:rsidP="00E00B35">
            <w:pPr>
              <w:spacing w:after="0" w:line="312" w:lineRule="auto"/>
              <w:rPr>
                <w:szCs w:val="20"/>
              </w:rPr>
            </w:pPr>
            <w:r w:rsidRPr="00E00B35">
              <w:rPr>
                <w:szCs w:val="20"/>
              </w:rPr>
              <w:t>252 osób</w:t>
            </w:r>
          </w:p>
        </w:tc>
        <w:tc>
          <w:tcPr>
            <w:tcW w:w="2835" w:type="dxa"/>
          </w:tcPr>
          <w:p w:rsidR="00E96768" w:rsidRPr="00E00B35" w:rsidRDefault="00E96768" w:rsidP="00E00B35">
            <w:pPr>
              <w:spacing w:after="0" w:line="312" w:lineRule="auto"/>
              <w:rPr>
                <w:szCs w:val="20"/>
              </w:rPr>
            </w:pPr>
            <w:r w:rsidRPr="00E00B35">
              <w:rPr>
                <w:szCs w:val="20"/>
              </w:rPr>
              <w:t xml:space="preserve">2 958 500,00 </w:t>
            </w:r>
          </w:p>
        </w:tc>
      </w:tr>
    </w:tbl>
    <w:p w:rsidR="00E96768" w:rsidRPr="00E00B35" w:rsidRDefault="00E96768" w:rsidP="00E00B35">
      <w:pPr>
        <w:spacing w:after="0" w:line="312" w:lineRule="auto"/>
        <w:rPr>
          <w:szCs w:val="20"/>
        </w:rPr>
      </w:pPr>
      <w:r w:rsidRPr="00E00B35">
        <w:rPr>
          <w:szCs w:val="20"/>
        </w:rPr>
        <w:t>Ogółem w 2020 r. wydatkowano 5 532 769,50 zł.</w:t>
      </w:r>
    </w:p>
    <w:p w:rsidR="00E96768" w:rsidRPr="00E00B35" w:rsidRDefault="00E96768" w:rsidP="00E00B35">
      <w:pPr>
        <w:spacing w:after="0" w:line="312" w:lineRule="auto"/>
        <w:rPr>
          <w:szCs w:val="20"/>
        </w:rPr>
      </w:pPr>
    </w:p>
    <w:p w:rsidR="00E96768" w:rsidRPr="00E00B35" w:rsidRDefault="00E96768" w:rsidP="00E00B35">
      <w:pPr>
        <w:pStyle w:val="Nagwek4"/>
        <w:spacing w:before="0" w:after="0" w:line="312" w:lineRule="auto"/>
        <w:rPr>
          <w:sz w:val="20"/>
          <w:szCs w:val="20"/>
        </w:rPr>
      </w:pPr>
      <w:r w:rsidRPr="00E00B35">
        <w:rPr>
          <w:sz w:val="20"/>
          <w:szCs w:val="20"/>
        </w:rPr>
        <w:t>DOSTĘP DO INFORMACJI PUBLICZNEJ</w:t>
      </w:r>
    </w:p>
    <w:p w:rsidR="00E96768" w:rsidRPr="00E00B35" w:rsidRDefault="00E96768" w:rsidP="00E00B35">
      <w:pPr>
        <w:autoSpaceDE w:val="0"/>
        <w:autoSpaceDN w:val="0"/>
        <w:adjustRightInd w:val="0"/>
        <w:spacing w:after="0" w:line="312" w:lineRule="auto"/>
        <w:rPr>
          <w:szCs w:val="20"/>
        </w:rPr>
      </w:pPr>
      <w:r w:rsidRPr="00E00B35">
        <w:rPr>
          <w:szCs w:val="20"/>
        </w:rPr>
        <w:t>W 2020 roku w Urzędzie Miejskim Wrocławia rozpatrzono i udzielono odpowiedzi na 837 wnioski o udostępnienie informacji publicznej oraz 2 000 odpowiedzi na zapytania dziennikarzy, które zgodnie z zapisami ustawy o dostępie do informacji publicznej traktowane są również jako przedmiotowe wnioski.</w:t>
      </w:r>
    </w:p>
    <w:p w:rsidR="00E96768" w:rsidRPr="00E00B35" w:rsidRDefault="00E96768" w:rsidP="00E00B35">
      <w:pPr>
        <w:spacing w:after="0" w:line="312" w:lineRule="auto"/>
        <w:rPr>
          <w:rFonts w:eastAsia="Arial Unicode MS"/>
          <w:szCs w:val="20"/>
        </w:rPr>
      </w:pPr>
      <w:r w:rsidRPr="00E00B35">
        <w:rPr>
          <w:szCs w:val="20"/>
        </w:rPr>
        <w:t>Wnioski składane były w formie pisemnej, w formie dokumentu elektronicznego poprzez platformę e-PUAP, e-mailem na adres Kancelarii Ogólnej Urzędu oraz adresy e-mail komórek organizacyjnych Urzędu oraz poprzez formularz wniosku dostępny na stronie BIP.</w:t>
      </w:r>
    </w:p>
    <w:p w:rsidR="00E96768" w:rsidRPr="00E00B35" w:rsidRDefault="00E96768" w:rsidP="00E00B35">
      <w:pPr>
        <w:autoSpaceDE w:val="0"/>
        <w:autoSpaceDN w:val="0"/>
        <w:adjustRightInd w:val="0"/>
        <w:spacing w:after="0" w:line="312" w:lineRule="auto"/>
        <w:rPr>
          <w:szCs w:val="20"/>
        </w:rPr>
      </w:pPr>
      <w:r w:rsidRPr="00E00B35">
        <w:rPr>
          <w:szCs w:val="20"/>
        </w:rPr>
        <w:lastRenderedPageBreak/>
        <w:t>Wydział Organizacyjny i Kadr, jako komórka koordynująca działania z zakresu rozpatrywania i realizacji zadań związanych z informacją publiczną wydał 3 decyzje odmawiające udostępnienia informacji publicznej.</w:t>
      </w:r>
    </w:p>
    <w:p w:rsidR="00E96768" w:rsidRPr="00E00B35" w:rsidRDefault="00E96768" w:rsidP="00E00B35">
      <w:pPr>
        <w:autoSpaceDE w:val="0"/>
        <w:autoSpaceDN w:val="0"/>
        <w:adjustRightInd w:val="0"/>
        <w:spacing w:after="0" w:line="312" w:lineRule="auto"/>
        <w:rPr>
          <w:rFonts w:eastAsia="Calibri"/>
          <w:szCs w:val="20"/>
        </w:rPr>
      </w:pPr>
      <w:r w:rsidRPr="00E00B35">
        <w:rPr>
          <w:rFonts w:eastAsia="Calibri"/>
          <w:szCs w:val="20"/>
        </w:rPr>
        <w:t>Decyzje o odmowie udostępnienia informacji zostały wydane z uwagi na: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brak odpowiedzi wnioskodawcy na wezwanie do wykazania szczególnie istotnego interesu publicznego dla pozyskania wskazanych danych (ich ilość zaznaczona na niebiesko);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obowiązujące ograniczenia co do ich udostępnienia, ze względu na ochronę prywatności.</w:t>
      </w:r>
    </w:p>
    <w:p w:rsidR="00E96768" w:rsidRPr="00E00B35" w:rsidRDefault="00E96768" w:rsidP="00E00B35">
      <w:pPr>
        <w:autoSpaceDE w:val="0"/>
        <w:autoSpaceDN w:val="0"/>
        <w:adjustRightInd w:val="0"/>
        <w:spacing w:after="0" w:line="312" w:lineRule="auto"/>
        <w:rPr>
          <w:color w:val="FF0000"/>
          <w:szCs w:val="20"/>
        </w:rPr>
      </w:pPr>
    </w:p>
    <w:p w:rsidR="00E96768" w:rsidRPr="00E00B35" w:rsidRDefault="00E96768" w:rsidP="00E00B35">
      <w:pPr>
        <w:pStyle w:val="Nagwek4"/>
        <w:spacing w:before="0" w:after="0" w:line="312" w:lineRule="auto"/>
        <w:rPr>
          <w:sz w:val="20"/>
          <w:szCs w:val="20"/>
        </w:rPr>
      </w:pPr>
      <w:r w:rsidRPr="00E00B35">
        <w:rPr>
          <w:sz w:val="20"/>
          <w:szCs w:val="20"/>
        </w:rPr>
        <w:t>PRZECIWDZIAŁANIE MOBBINGOWI I DYSKRYMINACJI W ZATRUDNIENIU</w:t>
      </w:r>
    </w:p>
    <w:p w:rsidR="00E96768" w:rsidRPr="00E00B35" w:rsidRDefault="00E96768" w:rsidP="00E00B35">
      <w:pPr>
        <w:autoSpaceDE w:val="0"/>
        <w:autoSpaceDN w:val="0"/>
        <w:adjustRightInd w:val="0"/>
        <w:spacing w:after="0" w:line="312" w:lineRule="auto"/>
        <w:rPr>
          <w:szCs w:val="20"/>
        </w:rPr>
      </w:pPr>
      <w:r w:rsidRPr="00E00B35">
        <w:rPr>
          <w:szCs w:val="20"/>
        </w:rPr>
        <w:t xml:space="preserve">W 2019 roku w ramach służby przygotowawczej </w:t>
      </w:r>
      <w:r w:rsidRPr="00E00B35">
        <w:rPr>
          <w:bCs/>
          <w:szCs w:val="20"/>
        </w:rPr>
        <w:t>110 pracowników</w:t>
      </w:r>
      <w:r w:rsidRPr="00E00B35">
        <w:rPr>
          <w:szCs w:val="20"/>
        </w:rPr>
        <w:t xml:space="preserve"> Urzędu Miejskiego zostało przeszkolonych z tematyki przeciwdziałania dyskryminacji i mobbingowi </w:t>
      </w:r>
      <w:r w:rsidRPr="00E00B35">
        <w:rPr>
          <w:szCs w:val="20"/>
        </w:rPr>
        <w:br/>
        <w:t>w miejscu pracy.</w:t>
      </w:r>
    </w:p>
    <w:p w:rsidR="00E96768" w:rsidRPr="00E00B35" w:rsidRDefault="00E96768" w:rsidP="00E00B35">
      <w:pPr>
        <w:tabs>
          <w:tab w:val="left" w:pos="360"/>
        </w:tabs>
        <w:autoSpaceDE w:val="0"/>
        <w:autoSpaceDN w:val="0"/>
        <w:adjustRightInd w:val="0"/>
        <w:spacing w:after="0" w:line="312" w:lineRule="auto"/>
        <w:ind w:left="357" w:hanging="357"/>
        <w:rPr>
          <w:color w:val="FF0000"/>
          <w:szCs w:val="20"/>
        </w:rPr>
      </w:pPr>
    </w:p>
    <w:p w:rsidR="00E96768" w:rsidRPr="00E00B35" w:rsidRDefault="00E96768" w:rsidP="00E00B35">
      <w:pPr>
        <w:pStyle w:val="Nagwek4"/>
        <w:spacing w:before="0" w:after="0" w:line="312" w:lineRule="auto"/>
        <w:rPr>
          <w:sz w:val="20"/>
          <w:szCs w:val="20"/>
        </w:rPr>
      </w:pPr>
      <w:r w:rsidRPr="00E00B35">
        <w:rPr>
          <w:sz w:val="20"/>
          <w:szCs w:val="20"/>
        </w:rPr>
        <w:t>DELEGACJE SŁUŻBOWE PRACOWNIKÓW URZĘDU</w:t>
      </w:r>
    </w:p>
    <w:p w:rsidR="00E96768" w:rsidRPr="00E00B35" w:rsidRDefault="00E96768" w:rsidP="00E00B35">
      <w:pPr>
        <w:spacing w:after="0" w:line="312" w:lineRule="auto"/>
        <w:rPr>
          <w:szCs w:val="20"/>
        </w:rPr>
      </w:pPr>
      <w:r w:rsidRPr="00E00B35">
        <w:rPr>
          <w:szCs w:val="20"/>
        </w:rPr>
        <w:t>W 2020 roku zrealizowano 345 wyjazdów w ramach podróży służbowych na obszarze kraju.</w:t>
      </w:r>
    </w:p>
    <w:p w:rsidR="00E96768" w:rsidRPr="00E00B35" w:rsidRDefault="00E96768" w:rsidP="00E00B35">
      <w:pPr>
        <w:spacing w:after="0" w:line="312" w:lineRule="auto"/>
        <w:rPr>
          <w:szCs w:val="20"/>
        </w:rPr>
      </w:pPr>
      <w:r w:rsidRPr="00E00B35">
        <w:rPr>
          <w:szCs w:val="20"/>
        </w:rPr>
        <w:t xml:space="preserve">Jednocześnie pracownicy Urzędu odbyli 29 delegacji zagranicznych, w przypadku </w:t>
      </w:r>
      <w:r w:rsidRPr="00E00B35">
        <w:rPr>
          <w:szCs w:val="20"/>
        </w:rPr>
        <w:br/>
        <w:t xml:space="preserve">11 wyjazdów środkiem transportu był samolot. </w:t>
      </w:r>
    </w:p>
    <w:p w:rsidR="00E96768" w:rsidRPr="00E00B35" w:rsidRDefault="00E96768" w:rsidP="00E00B35">
      <w:pPr>
        <w:spacing w:after="0" w:line="312" w:lineRule="auto"/>
        <w:rPr>
          <w:szCs w:val="20"/>
        </w:rPr>
      </w:pPr>
      <w:r w:rsidRPr="00E00B35">
        <w:rPr>
          <w:szCs w:val="20"/>
        </w:rPr>
        <w:t xml:space="preserve">Najczęstszymi kierunkami zagranicznych wyjazdów służbowych pracowników UMW </w:t>
      </w:r>
      <w:r w:rsidRPr="00E00B35">
        <w:rPr>
          <w:szCs w:val="20"/>
        </w:rPr>
        <w:br/>
        <w:t>w 2020 roku były: Gorlitz (6 delegacji), Utrecht (5), Fryburg (3), Drezno (3).</w:t>
      </w:r>
    </w:p>
    <w:p w:rsidR="00E96768" w:rsidRPr="00E00B35" w:rsidRDefault="00E96768" w:rsidP="00E00B35">
      <w:pPr>
        <w:spacing w:after="0" w:line="312" w:lineRule="auto"/>
        <w:rPr>
          <w:szCs w:val="20"/>
        </w:rPr>
      </w:pPr>
      <w:r w:rsidRPr="00E00B35">
        <w:rPr>
          <w:szCs w:val="20"/>
        </w:rPr>
        <w:t>Natomiast kierunkami delegacji związanych z przelotami były: Bruksela (2 delegacje), Kopenhaga (2), Tel Awiw (2), Apeldiim-Amsterdam (2).</w:t>
      </w:r>
    </w:p>
    <w:p w:rsidR="005B50AD" w:rsidRPr="00E00B35" w:rsidRDefault="005B50AD" w:rsidP="00E00B35">
      <w:pPr>
        <w:spacing w:after="0" w:line="312" w:lineRule="auto"/>
        <w:rPr>
          <w:szCs w:val="20"/>
        </w:rPr>
      </w:pPr>
    </w:p>
    <w:p w:rsidR="00E96768" w:rsidRPr="00E00B35" w:rsidRDefault="00E96768" w:rsidP="00E00B35">
      <w:pPr>
        <w:pStyle w:val="Nagwek4"/>
        <w:spacing w:before="0" w:after="0" w:line="312" w:lineRule="auto"/>
        <w:rPr>
          <w:sz w:val="20"/>
          <w:szCs w:val="20"/>
        </w:rPr>
      </w:pPr>
      <w:r w:rsidRPr="00E00B35">
        <w:rPr>
          <w:sz w:val="20"/>
          <w:szCs w:val="20"/>
        </w:rPr>
        <w:t>STAŻE I PRAKTYKI STUDENCKIE</w:t>
      </w:r>
    </w:p>
    <w:p w:rsidR="00E96768" w:rsidRPr="00E00B35" w:rsidRDefault="00E96768" w:rsidP="00E00B35">
      <w:pPr>
        <w:tabs>
          <w:tab w:val="num" w:pos="5760"/>
        </w:tabs>
        <w:spacing w:after="0" w:line="312" w:lineRule="auto"/>
        <w:rPr>
          <w:szCs w:val="20"/>
        </w:rPr>
      </w:pPr>
      <w:r w:rsidRPr="00E00B35">
        <w:rPr>
          <w:szCs w:val="20"/>
        </w:rPr>
        <w:t xml:space="preserve">W 2020 roku Urząd Miejski Wrocławia kontynuował działania w zakresie organizacji staży dla osób bezrobotnych zarejestrowanych w Powiatowym Urzędzie Pracy we Wrocławiu. </w:t>
      </w:r>
    </w:p>
    <w:p w:rsidR="00E96768" w:rsidRPr="00E00B35" w:rsidRDefault="00E96768" w:rsidP="00E00B35">
      <w:pPr>
        <w:spacing w:after="0" w:line="312" w:lineRule="auto"/>
        <w:rPr>
          <w:szCs w:val="20"/>
        </w:rPr>
      </w:pPr>
      <w:r w:rsidRPr="00E00B35">
        <w:rPr>
          <w:szCs w:val="20"/>
        </w:rPr>
        <w:t>W zależności od rodzaju i zakresu zadań danego stanowiska pracy, stażem objęte były osoby z wykształceniem średnim (bardzo często podejmujące studia wyższe w systemie zaocznym bądź wieczorowym), jak również z wykształceniem wyższym. Staż w Urzędzie trwa od 3 do 12 miesięcy i jest uzależniony głównie od potrzeb komórki organizacyjnej.</w:t>
      </w:r>
    </w:p>
    <w:p w:rsidR="00E96768" w:rsidRPr="00E00B35" w:rsidRDefault="00E96768" w:rsidP="00E00B35">
      <w:pPr>
        <w:pStyle w:val="11Trescpisma"/>
        <w:spacing w:before="0" w:after="0" w:line="312" w:lineRule="auto"/>
        <w:jc w:val="left"/>
        <w:rPr>
          <w:szCs w:val="20"/>
        </w:rPr>
      </w:pPr>
      <w:r w:rsidRPr="00E00B35">
        <w:rPr>
          <w:szCs w:val="20"/>
        </w:rPr>
        <w:t xml:space="preserve">Jednocześnie w Urzędzie Miejski Wrocławia odbywają się praktyki studenckie, w ramach których studenci szkół wyższych poznają od strony praktycznej zasady i procedury wykonywania zadań publicznych oraz nabywają doświadczenia zawodowe, pozwalające przełożyć swoją wiedzę teoretyczną na praktyczną. Studenci, odbywający praktyki, poznając specyfikę pracy w administracji samorządowej, także stanowią potencjalną grupę osób, która w przyszłości może zasilić szeregi kadrowe Urzędu. Dodatkowo Urząd Miejski Wrocławia we współpracy z Uniwersytetem Wrocławskim we Wrocławiu organizował  staż zawodowy w ramach programu stypendialnego „ im. L. Kirklanda”, przygotowującej studentów tejże uczelni do wykonywania zawodu w dziedzinie administracji publicznej. Program Kirklanda to dwusemestralne studia w Polsce dla obywateli Krajów Europy Środkowej i Wschodniej. Misją Programu jest wspieranie </w:t>
      </w:r>
      <w:r w:rsidRPr="00E00B35">
        <w:rPr>
          <w:szCs w:val="20"/>
        </w:rPr>
        <w:lastRenderedPageBreak/>
        <w:t xml:space="preserve">demokratycznych i wolnorynkowych przemian w krajach Europy Środkowej i Wschodniej. Program ma przyczyniać się do rozwoju społeczeństwa obywatelskiego w tych krajach, sprzyjać ich modernizacji oraz nawiązywania współpracy miedzy krajami regionu. </w:t>
      </w:r>
    </w:p>
    <w:p w:rsidR="00E96768" w:rsidRPr="00E00B35" w:rsidRDefault="00E96768" w:rsidP="00E00B35">
      <w:pPr>
        <w:pStyle w:val="Tekstpodstawowy"/>
        <w:spacing w:after="0" w:line="312" w:lineRule="auto"/>
        <w:rPr>
          <w:szCs w:val="20"/>
        </w:rPr>
      </w:pPr>
      <w:r w:rsidRPr="00E00B35">
        <w:rPr>
          <w:szCs w:val="20"/>
        </w:rPr>
        <w:t>Realizowano również program praktycznej nauki zawodu we współpracy z Wrocławskim Centrum Integracji w Wydziale Nieruchomości Skarbu Państwa dla uczestniczki grupy zawodowej „Pracownik biura i handlu” projektu „RAZEM można więcej”.</w:t>
      </w:r>
    </w:p>
    <w:p w:rsidR="00E96768" w:rsidRPr="00E00B35" w:rsidRDefault="00E96768" w:rsidP="00E00B35">
      <w:pPr>
        <w:pStyle w:val="14StanowiskoPodpisujacego"/>
        <w:spacing w:after="0" w:line="312" w:lineRule="auto"/>
        <w:jc w:val="left"/>
        <w:rPr>
          <w:sz w:val="20"/>
          <w:szCs w:val="20"/>
        </w:rPr>
      </w:pPr>
    </w:p>
    <w:p w:rsidR="00E96768" w:rsidRPr="00E00B35" w:rsidRDefault="00E96768" w:rsidP="00E00B35">
      <w:pPr>
        <w:pStyle w:val="14StanowiskoPodpisujacego"/>
        <w:spacing w:after="0" w:line="312" w:lineRule="auto"/>
        <w:jc w:val="left"/>
        <w:rPr>
          <w:sz w:val="20"/>
          <w:szCs w:val="20"/>
        </w:rPr>
      </w:pPr>
      <w:r w:rsidRPr="00E00B35">
        <w:rPr>
          <w:sz w:val="20"/>
          <w:szCs w:val="20"/>
        </w:rPr>
        <w:t>Ilość osób, które odbywały staż oraz praktyki w komórkach organizacyjnych Urzędu</w:t>
      </w:r>
    </w:p>
    <w:tbl>
      <w:tblPr>
        <w:tblW w:w="9143" w:type="dxa"/>
        <w:jc w:val="center"/>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tblPr>
      <w:tblGrid>
        <w:gridCol w:w="4746"/>
        <w:gridCol w:w="2469"/>
        <w:gridCol w:w="1928"/>
      </w:tblGrid>
      <w:tr w:rsidR="00E96768" w:rsidRPr="00E00B35" w:rsidTr="00E96768">
        <w:trPr>
          <w:trHeight w:val="538"/>
          <w:tblHeader/>
          <w:jc w:val="center"/>
        </w:trPr>
        <w:tc>
          <w:tcPr>
            <w:tcW w:w="4746" w:type="dxa"/>
            <w:shd w:val="clear" w:color="auto" w:fill="E6E6E6"/>
            <w:vAlign w:val="center"/>
          </w:tcPr>
          <w:p w:rsidR="00E96768" w:rsidRPr="00E00B35" w:rsidRDefault="00E96768" w:rsidP="00E00B35">
            <w:pPr>
              <w:spacing w:after="0" w:line="312" w:lineRule="auto"/>
              <w:rPr>
                <w:b/>
                <w:bCs/>
                <w:szCs w:val="20"/>
              </w:rPr>
            </w:pPr>
            <w:r w:rsidRPr="00E00B35">
              <w:rPr>
                <w:b/>
                <w:bCs/>
                <w:szCs w:val="20"/>
              </w:rPr>
              <w:t>Komórka organizacyjna</w:t>
            </w:r>
          </w:p>
        </w:tc>
        <w:tc>
          <w:tcPr>
            <w:tcW w:w="2469" w:type="dxa"/>
            <w:shd w:val="clear" w:color="auto" w:fill="E6E6E6"/>
            <w:vAlign w:val="center"/>
          </w:tcPr>
          <w:p w:rsidR="00E96768" w:rsidRPr="00E00B35" w:rsidRDefault="00E96768" w:rsidP="00E00B35">
            <w:pPr>
              <w:spacing w:after="0" w:line="312" w:lineRule="auto"/>
              <w:rPr>
                <w:b/>
                <w:bCs/>
                <w:szCs w:val="20"/>
              </w:rPr>
            </w:pPr>
            <w:r w:rsidRPr="00E00B35">
              <w:rPr>
                <w:b/>
                <w:bCs/>
                <w:szCs w:val="20"/>
              </w:rPr>
              <w:t xml:space="preserve">Liczba </w:t>
            </w:r>
          </w:p>
          <w:p w:rsidR="00E96768" w:rsidRPr="00E00B35" w:rsidRDefault="00E96768" w:rsidP="00E00B35">
            <w:pPr>
              <w:spacing w:after="0" w:line="312" w:lineRule="auto"/>
              <w:rPr>
                <w:b/>
                <w:bCs/>
                <w:szCs w:val="20"/>
              </w:rPr>
            </w:pPr>
            <w:r w:rsidRPr="00E00B35">
              <w:rPr>
                <w:b/>
                <w:bCs/>
                <w:szCs w:val="20"/>
              </w:rPr>
              <w:t>praktykantów</w:t>
            </w:r>
          </w:p>
        </w:tc>
        <w:tc>
          <w:tcPr>
            <w:tcW w:w="1928" w:type="dxa"/>
            <w:shd w:val="clear" w:color="auto" w:fill="E6E6E6"/>
            <w:vAlign w:val="center"/>
          </w:tcPr>
          <w:p w:rsidR="00E96768" w:rsidRPr="00E00B35" w:rsidRDefault="00E96768" w:rsidP="00E00B35">
            <w:pPr>
              <w:spacing w:after="0" w:line="312" w:lineRule="auto"/>
              <w:rPr>
                <w:b/>
                <w:bCs/>
                <w:szCs w:val="20"/>
              </w:rPr>
            </w:pPr>
            <w:r w:rsidRPr="00E00B35">
              <w:rPr>
                <w:b/>
                <w:bCs/>
                <w:szCs w:val="20"/>
              </w:rPr>
              <w:t>Liczba stażystów</w:t>
            </w:r>
          </w:p>
        </w:tc>
      </w:tr>
      <w:tr w:rsidR="00E96768" w:rsidRPr="00E00B35" w:rsidTr="00E96768">
        <w:trPr>
          <w:trHeight w:val="420"/>
          <w:jc w:val="center"/>
        </w:trPr>
        <w:tc>
          <w:tcPr>
            <w:tcW w:w="4746" w:type="dxa"/>
            <w:vAlign w:val="center"/>
          </w:tcPr>
          <w:p w:rsidR="00E96768" w:rsidRPr="00E00B35" w:rsidRDefault="00E96768" w:rsidP="00E00B35">
            <w:pPr>
              <w:spacing w:after="0" w:line="312" w:lineRule="auto"/>
              <w:rPr>
                <w:szCs w:val="20"/>
              </w:rPr>
            </w:pPr>
            <w:r w:rsidRPr="00E00B35">
              <w:rPr>
                <w:szCs w:val="20"/>
              </w:rPr>
              <w:t xml:space="preserve">Wydział Nieruchomości Skarbu Państwa </w:t>
            </w:r>
          </w:p>
        </w:tc>
        <w:tc>
          <w:tcPr>
            <w:tcW w:w="2469" w:type="dxa"/>
            <w:vAlign w:val="center"/>
          </w:tcPr>
          <w:p w:rsidR="00E96768" w:rsidRPr="00E00B35" w:rsidRDefault="00E96768" w:rsidP="00E00B35">
            <w:pPr>
              <w:spacing w:after="0" w:line="312" w:lineRule="auto"/>
              <w:rPr>
                <w:szCs w:val="20"/>
              </w:rPr>
            </w:pPr>
            <w:r w:rsidRPr="00E00B35">
              <w:rPr>
                <w:szCs w:val="20"/>
              </w:rPr>
              <w:t>1</w:t>
            </w:r>
          </w:p>
        </w:tc>
        <w:tc>
          <w:tcPr>
            <w:tcW w:w="1928" w:type="dxa"/>
            <w:vAlign w:val="center"/>
          </w:tcPr>
          <w:p w:rsidR="00E96768" w:rsidRPr="00E00B35" w:rsidRDefault="00E96768" w:rsidP="00E00B35">
            <w:pPr>
              <w:spacing w:after="0" w:line="312" w:lineRule="auto"/>
              <w:rPr>
                <w:szCs w:val="20"/>
              </w:rPr>
            </w:pPr>
            <w:r w:rsidRPr="00E00B35">
              <w:rPr>
                <w:szCs w:val="20"/>
              </w:rPr>
              <w:t>0</w:t>
            </w:r>
          </w:p>
        </w:tc>
      </w:tr>
      <w:tr w:rsidR="00E96768" w:rsidRPr="00E00B35" w:rsidTr="00E96768">
        <w:trPr>
          <w:trHeight w:val="420"/>
          <w:jc w:val="center"/>
        </w:trPr>
        <w:tc>
          <w:tcPr>
            <w:tcW w:w="4746" w:type="dxa"/>
            <w:vAlign w:val="center"/>
          </w:tcPr>
          <w:p w:rsidR="00E96768" w:rsidRPr="00E00B35" w:rsidRDefault="00E96768" w:rsidP="00E00B35">
            <w:pPr>
              <w:spacing w:after="0" w:line="312" w:lineRule="auto"/>
              <w:rPr>
                <w:szCs w:val="20"/>
              </w:rPr>
            </w:pPr>
            <w:r w:rsidRPr="00E00B35">
              <w:rPr>
                <w:szCs w:val="20"/>
              </w:rPr>
              <w:t>Biuro Rozwoju Gospodarczego</w:t>
            </w:r>
          </w:p>
        </w:tc>
        <w:tc>
          <w:tcPr>
            <w:tcW w:w="2469" w:type="dxa"/>
            <w:vAlign w:val="center"/>
          </w:tcPr>
          <w:p w:rsidR="00E96768" w:rsidRPr="00E00B35" w:rsidRDefault="00E96768" w:rsidP="00E00B35">
            <w:pPr>
              <w:spacing w:after="0" w:line="312" w:lineRule="auto"/>
              <w:rPr>
                <w:szCs w:val="20"/>
              </w:rPr>
            </w:pPr>
            <w:r w:rsidRPr="00E00B35">
              <w:rPr>
                <w:szCs w:val="20"/>
              </w:rPr>
              <w:t>1</w:t>
            </w:r>
          </w:p>
        </w:tc>
        <w:tc>
          <w:tcPr>
            <w:tcW w:w="1928" w:type="dxa"/>
            <w:vAlign w:val="center"/>
          </w:tcPr>
          <w:p w:rsidR="00E96768" w:rsidRPr="00E00B35" w:rsidRDefault="00E96768" w:rsidP="00E00B35">
            <w:pPr>
              <w:spacing w:after="0" w:line="312" w:lineRule="auto"/>
              <w:rPr>
                <w:szCs w:val="20"/>
              </w:rPr>
            </w:pPr>
            <w:r w:rsidRPr="00E00B35">
              <w:rPr>
                <w:szCs w:val="20"/>
              </w:rPr>
              <w:t>0</w:t>
            </w:r>
          </w:p>
        </w:tc>
      </w:tr>
      <w:tr w:rsidR="00E96768" w:rsidRPr="00E00B35" w:rsidTr="00E96768">
        <w:trPr>
          <w:trHeight w:val="420"/>
          <w:jc w:val="center"/>
        </w:trPr>
        <w:tc>
          <w:tcPr>
            <w:tcW w:w="4746" w:type="dxa"/>
            <w:vAlign w:val="center"/>
          </w:tcPr>
          <w:p w:rsidR="00E96768" w:rsidRPr="00E00B35" w:rsidRDefault="00E96768" w:rsidP="00E00B35">
            <w:pPr>
              <w:spacing w:after="0" w:line="312" w:lineRule="auto"/>
              <w:rPr>
                <w:szCs w:val="20"/>
              </w:rPr>
            </w:pPr>
            <w:r w:rsidRPr="00E00B35">
              <w:rPr>
                <w:szCs w:val="20"/>
              </w:rPr>
              <w:t>Wydział Architektury i Budownictwa</w:t>
            </w:r>
          </w:p>
        </w:tc>
        <w:tc>
          <w:tcPr>
            <w:tcW w:w="2469" w:type="dxa"/>
            <w:vAlign w:val="center"/>
          </w:tcPr>
          <w:p w:rsidR="00E96768" w:rsidRPr="00E00B35" w:rsidRDefault="00E96768" w:rsidP="00E00B35">
            <w:pPr>
              <w:spacing w:after="0" w:line="312" w:lineRule="auto"/>
              <w:rPr>
                <w:szCs w:val="20"/>
              </w:rPr>
            </w:pPr>
            <w:r w:rsidRPr="00E00B35">
              <w:rPr>
                <w:szCs w:val="20"/>
              </w:rPr>
              <w:t>9</w:t>
            </w:r>
          </w:p>
        </w:tc>
        <w:tc>
          <w:tcPr>
            <w:tcW w:w="1928" w:type="dxa"/>
            <w:vAlign w:val="center"/>
          </w:tcPr>
          <w:p w:rsidR="00E96768" w:rsidRPr="00E00B35" w:rsidRDefault="00E96768" w:rsidP="00E00B35">
            <w:pPr>
              <w:spacing w:after="0" w:line="312" w:lineRule="auto"/>
              <w:rPr>
                <w:szCs w:val="20"/>
              </w:rPr>
            </w:pPr>
            <w:r w:rsidRPr="00E00B35">
              <w:rPr>
                <w:szCs w:val="20"/>
              </w:rPr>
              <w:t>1</w:t>
            </w:r>
          </w:p>
        </w:tc>
      </w:tr>
      <w:tr w:rsidR="00E96768" w:rsidRPr="00E00B35" w:rsidTr="00E96768">
        <w:trPr>
          <w:trHeight w:val="420"/>
          <w:jc w:val="center"/>
        </w:trPr>
        <w:tc>
          <w:tcPr>
            <w:tcW w:w="4746" w:type="dxa"/>
            <w:vAlign w:val="center"/>
          </w:tcPr>
          <w:p w:rsidR="00E96768" w:rsidRPr="00E00B35" w:rsidRDefault="00E96768" w:rsidP="00E00B35">
            <w:pPr>
              <w:spacing w:after="0" w:line="312" w:lineRule="auto"/>
              <w:rPr>
                <w:szCs w:val="20"/>
              </w:rPr>
            </w:pPr>
            <w:r w:rsidRPr="00E00B35">
              <w:rPr>
                <w:szCs w:val="20"/>
              </w:rPr>
              <w:t>Wydział Środowiska i Rolnictwa</w:t>
            </w:r>
          </w:p>
        </w:tc>
        <w:tc>
          <w:tcPr>
            <w:tcW w:w="2469" w:type="dxa"/>
            <w:vAlign w:val="center"/>
          </w:tcPr>
          <w:p w:rsidR="00E96768" w:rsidRPr="00E00B35" w:rsidRDefault="00E96768" w:rsidP="00E00B35">
            <w:pPr>
              <w:spacing w:after="0" w:line="312" w:lineRule="auto"/>
              <w:rPr>
                <w:szCs w:val="20"/>
              </w:rPr>
            </w:pPr>
            <w:r w:rsidRPr="00E00B35">
              <w:rPr>
                <w:szCs w:val="20"/>
              </w:rPr>
              <w:t>2</w:t>
            </w:r>
          </w:p>
        </w:tc>
        <w:tc>
          <w:tcPr>
            <w:tcW w:w="1928" w:type="dxa"/>
            <w:vAlign w:val="center"/>
          </w:tcPr>
          <w:p w:rsidR="00E96768" w:rsidRPr="00E00B35" w:rsidRDefault="00E96768" w:rsidP="00E00B35">
            <w:pPr>
              <w:spacing w:after="0" w:line="312" w:lineRule="auto"/>
              <w:rPr>
                <w:szCs w:val="20"/>
              </w:rPr>
            </w:pPr>
            <w:r w:rsidRPr="00E00B35">
              <w:rPr>
                <w:szCs w:val="20"/>
              </w:rPr>
              <w:t>0</w:t>
            </w:r>
          </w:p>
        </w:tc>
      </w:tr>
      <w:tr w:rsidR="00E96768" w:rsidRPr="00E00B35" w:rsidTr="00E96768">
        <w:trPr>
          <w:cantSplit/>
          <w:trHeight w:val="420"/>
          <w:jc w:val="center"/>
        </w:trPr>
        <w:tc>
          <w:tcPr>
            <w:tcW w:w="4746" w:type="dxa"/>
            <w:vAlign w:val="center"/>
          </w:tcPr>
          <w:p w:rsidR="00E96768" w:rsidRPr="00E00B35" w:rsidRDefault="00E96768" w:rsidP="00E00B35">
            <w:pPr>
              <w:spacing w:after="0" w:line="312" w:lineRule="auto"/>
              <w:rPr>
                <w:szCs w:val="20"/>
              </w:rPr>
            </w:pPr>
            <w:r w:rsidRPr="00E00B35">
              <w:rPr>
                <w:szCs w:val="20"/>
              </w:rPr>
              <w:t>Biuro Rozwoju Wrocławia</w:t>
            </w:r>
          </w:p>
        </w:tc>
        <w:tc>
          <w:tcPr>
            <w:tcW w:w="2469" w:type="dxa"/>
            <w:vAlign w:val="center"/>
          </w:tcPr>
          <w:p w:rsidR="00E96768" w:rsidRPr="00E00B35" w:rsidRDefault="00E96768" w:rsidP="00E00B35">
            <w:pPr>
              <w:spacing w:after="0" w:line="312" w:lineRule="auto"/>
              <w:rPr>
                <w:szCs w:val="20"/>
              </w:rPr>
            </w:pPr>
            <w:r w:rsidRPr="00E00B35">
              <w:rPr>
                <w:szCs w:val="20"/>
              </w:rPr>
              <w:t>6</w:t>
            </w:r>
          </w:p>
        </w:tc>
        <w:tc>
          <w:tcPr>
            <w:tcW w:w="1928" w:type="dxa"/>
            <w:vAlign w:val="center"/>
          </w:tcPr>
          <w:p w:rsidR="00E96768" w:rsidRPr="00E00B35" w:rsidRDefault="00E96768" w:rsidP="00E00B35">
            <w:pPr>
              <w:spacing w:after="0" w:line="312" w:lineRule="auto"/>
              <w:rPr>
                <w:szCs w:val="20"/>
              </w:rPr>
            </w:pPr>
            <w:r w:rsidRPr="00E00B35">
              <w:rPr>
                <w:szCs w:val="20"/>
              </w:rPr>
              <w:t>1</w:t>
            </w:r>
          </w:p>
        </w:tc>
      </w:tr>
      <w:tr w:rsidR="00E96768" w:rsidRPr="00E00B35" w:rsidTr="00E96768">
        <w:trPr>
          <w:cantSplit/>
          <w:trHeight w:val="420"/>
          <w:jc w:val="center"/>
        </w:trPr>
        <w:tc>
          <w:tcPr>
            <w:tcW w:w="4746" w:type="dxa"/>
            <w:vAlign w:val="center"/>
          </w:tcPr>
          <w:p w:rsidR="00E96768" w:rsidRPr="00E00B35" w:rsidRDefault="00E96768" w:rsidP="00E00B35">
            <w:pPr>
              <w:pStyle w:val="Stopka"/>
              <w:tabs>
                <w:tab w:val="clear" w:pos="4536"/>
                <w:tab w:val="clear" w:pos="9072"/>
              </w:tabs>
              <w:spacing w:after="0" w:line="312" w:lineRule="auto"/>
              <w:rPr>
                <w:szCs w:val="20"/>
              </w:rPr>
            </w:pPr>
            <w:r w:rsidRPr="00E00B35">
              <w:rPr>
                <w:szCs w:val="20"/>
              </w:rPr>
              <w:t>Wydział Wody i Energii</w:t>
            </w:r>
          </w:p>
        </w:tc>
        <w:tc>
          <w:tcPr>
            <w:tcW w:w="2469" w:type="dxa"/>
            <w:vAlign w:val="center"/>
          </w:tcPr>
          <w:p w:rsidR="00E96768" w:rsidRPr="00E00B35" w:rsidRDefault="00E96768" w:rsidP="00E00B35">
            <w:pPr>
              <w:spacing w:after="0" w:line="312" w:lineRule="auto"/>
              <w:rPr>
                <w:szCs w:val="20"/>
              </w:rPr>
            </w:pPr>
            <w:r w:rsidRPr="00E00B35">
              <w:rPr>
                <w:szCs w:val="20"/>
              </w:rPr>
              <w:t>1</w:t>
            </w:r>
          </w:p>
        </w:tc>
        <w:tc>
          <w:tcPr>
            <w:tcW w:w="1928" w:type="dxa"/>
          </w:tcPr>
          <w:p w:rsidR="00E96768" w:rsidRPr="00E00B35" w:rsidRDefault="00E96768" w:rsidP="00E00B35">
            <w:pPr>
              <w:spacing w:after="0" w:line="312" w:lineRule="auto"/>
              <w:rPr>
                <w:szCs w:val="20"/>
              </w:rPr>
            </w:pPr>
            <w:r w:rsidRPr="00E00B35">
              <w:rPr>
                <w:szCs w:val="20"/>
              </w:rPr>
              <w:t>0</w:t>
            </w:r>
          </w:p>
        </w:tc>
      </w:tr>
      <w:tr w:rsidR="00E96768" w:rsidRPr="00E00B35" w:rsidTr="00E96768">
        <w:trPr>
          <w:cantSplit/>
          <w:trHeight w:val="420"/>
          <w:jc w:val="center"/>
        </w:trPr>
        <w:tc>
          <w:tcPr>
            <w:tcW w:w="4746" w:type="dxa"/>
            <w:vAlign w:val="center"/>
          </w:tcPr>
          <w:p w:rsidR="00E96768" w:rsidRPr="00E00B35" w:rsidRDefault="00E96768" w:rsidP="00E00B35">
            <w:pPr>
              <w:spacing w:after="0" w:line="312" w:lineRule="auto"/>
              <w:rPr>
                <w:szCs w:val="20"/>
              </w:rPr>
            </w:pPr>
            <w:r w:rsidRPr="00E00B35">
              <w:rPr>
                <w:szCs w:val="20"/>
              </w:rPr>
              <w:t xml:space="preserve">Wydział Zarządzania Należnościami </w:t>
            </w:r>
          </w:p>
        </w:tc>
        <w:tc>
          <w:tcPr>
            <w:tcW w:w="2469" w:type="dxa"/>
            <w:vAlign w:val="center"/>
          </w:tcPr>
          <w:p w:rsidR="00E96768" w:rsidRPr="00E00B35" w:rsidRDefault="00E96768" w:rsidP="00E00B35">
            <w:pPr>
              <w:spacing w:after="0" w:line="312" w:lineRule="auto"/>
              <w:rPr>
                <w:szCs w:val="20"/>
              </w:rPr>
            </w:pPr>
            <w:r w:rsidRPr="00E00B35">
              <w:rPr>
                <w:szCs w:val="20"/>
              </w:rPr>
              <w:t>2</w:t>
            </w:r>
          </w:p>
        </w:tc>
        <w:tc>
          <w:tcPr>
            <w:tcW w:w="1928" w:type="dxa"/>
          </w:tcPr>
          <w:p w:rsidR="00E96768" w:rsidRPr="00E00B35" w:rsidRDefault="00E96768" w:rsidP="00E00B35">
            <w:pPr>
              <w:spacing w:after="0" w:line="312" w:lineRule="auto"/>
              <w:rPr>
                <w:szCs w:val="20"/>
              </w:rPr>
            </w:pPr>
            <w:r w:rsidRPr="00E00B35">
              <w:rPr>
                <w:szCs w:val="20"/>
              </w:rPr>
              <w:t>0</w:t>
            </w:r>
          </w:p>
        </w:tc>
      </w:tr>
      <w:tr w:rsidR="00E96768" w:rsidRPr="00E00B35" w:rsidTr="00E96768">
        <w:trPr>
          <w:trHeight w:val="420"/>
          <w:jc w:val="center"/>
        </w:trPr>
        <w:tc>
          <w:tcPr>
            <w:tcW w:w="4746" w:type="dxa"/>
            <w:vAlign w:val="center"/>
          </w:tcPr>
          <w:p w:rsidR="00E96768" w:rsidRPr="00E00B35" w:rsidRDefault="00E96768" w:rsidP="00E00B35">
            <w:pPr>
              <w:spacing w:after="0" w:line="312" w:lineRule="auto"/>
              <w:rPr>
                <w:szCs w:val="20"/>
              </w:rPr>
            </w:pPr>
            <w:r w:rsidRPr="00E00B35">
              <w:rPr>
                <w:szCs w:val="20"/>
              </w:rPr>
              <w:t>Wydział Spraw Obywatelskich</w:t>
            </w:r>
          </w:p>
        </w:tc>
        <w:tc>
          <w:tcPr>
            <w:tcW w:w="2469" w:type="dxa"/>
            <w:vAlign w:val="center"/>
          </w:tcPr>
          <w:p w:rsidR="00E96768" w:rsidRPr="00E00B35" w:rsidRDefault="00E96768" w:rsidP="00E00B35">
            <w:pPr>
              <w:spacing w:after="0" w:line="312" w:lineRule="auto"/>
              <w:rPr>
                <w:szCs w:val="20"/>
              </w:rPr>
            </w:pPr>
            <w:r w:rsidRPr="00E00B35">
              <w:rPr>
                <w:szCs w:val="20"/>
              </w:rPr>
              <w:t>6</w:t>
            </w:r>
          </w:p>
        </w:tc>
        <w:tc>
          <w:tcPr>
            <w:tcW w:w="1928" w:type="dxa"/>
          </w:tcPr>
          <w:p w:rsidR="00E96768" w:rsidRPr="00E00B35" w:rsidRDefault="00E96768" w:rsidP="00E00B35">
            <w:pPr>
              <w:spacing w:after="0" w:line="312" w:lineRule="auto"/>
              <w:rPr>
                <w:szCs w:val="20"/>
              </w:rPr>
            </w:pPr>
            <w:r w:rsidRPr="00E00B35">
              <w:rPr>
                <w:szCs w:val="20"/>
              </w:rPr>
              <w:t>0</w:t>
            </w:r>
          </w:p>
        </w:tc>
      </w:tr>
      <w:tr w:rsidR="00E96768" w:rsidRPr="00E00B35" w:rsidTr="00E96768">
        <w:trPr>
          <w:trHeight w:val="420"/>
          <w:jc w:val="center"/>
        </w:trPr>
        <w:tc>
          <w:tcPr>
            <w:tcW w:w="4746" w:type="dxa"/>
            <w:vAlign w:val="center"/>
          </w:tcPr>
          <w:p w:rsidR="00E96768" w:rsidRPr="00E00B35" w:rsidRDefault="00E96768" w:rsidP="00E00B35">
            <w:pPr>
              <w:spacing w:after="0" w:line="312" w:lineRule="auto"/>
              <w:rPr>
                <w:szCs w:val="20"/>
              </w:rPr>
            </w:pPr>
            <w:r w:rsidRPr="00E00B35">
              <w:rPr>
                <w:szCs w:val="20"/>
              </w:rPr>
              <w:t>Biuro Rady Miejskiej</w:t>
            </w:r>
          </w:p>
        </w:tc>
        <w:tc>
          <w:tcPr>
            <w:tcW w:w="2469" w:type="dxa"/>
            <w:vAlign w:val="center"/>
          </w:tcPr>
          <w:p w:rsidR="00E96768" w:rsidRPr="00E00B35" w:rsidRDefault="00E96768" w:rsidP="00E00B35">
            <w:pPr>
              <w:spacing w:after="0" w:line="312" w:lineRule="auto"/>
              <w:rPr>
                <w:szCs w:val="20"/>
              </w:rPr>
            </w:pPr>
            <w:r w:rsidRPr="00E00B35">
              <w:rPr>
                <w:szCs w:val="20"/>
              </w:rPr>
              <w:t>1</w:t>
            </w:r>
          </w:p>
        </w:tc>
        <w:tc>
          <w:tcPr>
            <w:tcW w:w="1928" w:type="dxa"/>
          </w:tcPr>
          <w:p w:rsidR="00E96768" w:rsidRPr="00E00B35" w:rsidRDefault="00E96768" w:rsidP="00E00B35">
            <w:pPr>
              <w:spacing w:after="0" w:line="312" w:lineRule="auto"/>
              <w:rPr>
                <w:szCs w:val="20"/>
              </w:rPr>
            </w:pPr>
            <w:r w:rsidRPr="00E00B35">
              <w:rPr>
                <w:szCs w:val="20"/>
              </w:rPr>
              <w:t>0</w:t>
            </w:r>
          </w:p>
        </w:tc>
      </w:tr>
      <w:tr w:rsidR="00E96768" w:rsidRPr="00E00B35" w:rsidTr="00E96768">
        <w:trPr>
          <w:trHeight w:val="420"/>
          <w:jc w:val="center"/>
        </w:trPr>
        <w:tc>
          <w:tcPr>
            <w:tcW w:w="4746" w:type="dxa"/>
            <w:vAlign w:val="center"/>
          </w:tcPr>
          <w:p w:rsidR="00E96768" w:rsidRPr="00E00B35" w:rsidRDefault="00E96768" w:rsidP="00E00B35">
            <w:pPr>
              <w:spacing w:after="0" w:line="312" w:lineRule="auto"/>
              <w:rPr>
                <w:szCs w:val="20"/>
              </w:rPr>
            </w:pPr>
            <w:r w:rsidRPr="00E00B35">
              <w:rPr>
                <w:szCs w:val="20"/>
              </w:rPr>
              <w:t>Wydział Bezpieczeństwa i Zarządzania Kryzysowego</w:t>
            </w:r>
          </w:p>
        </w:tc>
        <w:tc>
          <w:tcPr>
            <w:tcW w:w="2469" w:type="dxa"/>
            <w:vAlign w:val="center"/>
          </w:tcPr>
          <w:p w:rsidR="00E96768" w:rsidRPr="00E00B35" w:rsidRDefault="00E96768" w:rsidP="00E00B35">
            <w:pPr>
              <w:spacing w:after="0" w:line="312" w:lineRule="auto"/>
              <w:rPr>
                <w:szCs w:val="20"/>
              </w:rPr>
            </w:pPr>
            <w:r w:rsidRPr="00E00B35">
              <w:rPr>
                <w:szCs w:val="20"/>
              </w:rPr>
              <w:t>1</w:t>
            </w:r>
          </w:p>
        </w:tc>
        <w:tc>
          <w:tcPr>
            <w:tcW w:w="1928" w:type="dxa"/>
          </w:tcPr>
          <w:p w:rsidR="00E96768" w:rsidRPr="00E00B35" w:rsidRDefault="00E96768" w:rsidP="00E00B35">
            <w:pPr>
              <w:spacing w:after="0" w:line="312" w:lineRule="auto"/>
              <w:rPr>
                <w:szCs w:val="20"/>
              </w:rPr>
            </w:pPr>
            <w:r w:rsidRPr="00E00B35">
              <w:rPr>
                <w:szCs w:val="20"/>
              </w:rPr>
              <w:t>0</w:t>
            </w:r>
          </w:p>
        </w:tc>
      </w:tr>
      <w:tr w:rsidR="00E96768" w:rsidRPr="00E00B35" w:rsidTr="00E96768">
        <w:trPr>
          <w:trHeight w:val="420"/>
          <w:jc w:val="center"/>
        </w:trPr>
        <w:tc>
          <w:tcPr>
            <w:tcW w:w="4746" w:type="dxa"/>
            <w:vAlign w:val="center"/>
          </w:tcPr>
          <w:p w:rsidR="00E96768" w:rsidRPr="00E00B35" w:rsidRDefault="00E96768" w:rsidP="00E00B35">
            <w:pPr>
              <w:spacing w:after="0" w:line="312" w:lineRule="auto"/>
              <w:rPr>
                <w:szCs w:val="20"/>
              </w:rPr>
            </w:pPr>
            <w:r w:rsidRPr="00E00B35">
              <w:rPr>
                <w:szCs w:val="20"/>
              </w:rPr>
              <w:t>Wydział Inżynierii Miejskiej</w:t>
            </w:r>
          </w:p>
        </w:tc>
        <w:tc>
          <w:tcPr>
            <w:tcW w:w="2469" w:type="dxa"/>
            <w:vAlign w:val="center"/>
          </w:tcPr>
          <w:p w:rsidR="00E96768" w:rsidRPr="00E00B35" w:rsidRDefault="00E96768" w:rsidP="00E00B35">
            <w:pPr>
              <w:spacing w:after="0" w:line="312" w:lineRule="auto"/>
              <w:rPr>
                <w:szCs w:val="20"/>
              </w:rPr>
            </w:pPr>
            <w:r w:rsidRPr="00E00B35">
              <w:rPr>
                <w:szCs w:val="20"/>
              </w:rPr>
              <w:t>2</w:t>
            </w:r>
          </w:p>
        </w:tc>
        <w:tc>
          <w:tcPr>
            <w:tcW w:w="1928" w:type="dxa"/>
          </w:tcPr>
          <w:p w:rsidR="00E96768" w:rsidRPr="00E00B35" w:rsidRDefault="00E96768" w:rsidP="00E00B35">
            <w:pPr>
              <w:spacing w:after="0" w:line="312" w:lineRule="auto"/>
              <w:rPr>
                <w:szCs w:val="20"/>
              </w:rPr>
            </w:pPr>
            <w:r w:rsidRPr="00E00B35">
              <w:rPr>
                <w:szCs w:val="20"/>
              </w:rPr>
              <w:t>0</w:t>
            </w:r>
          </w:p>
        </w:tc>
      </w:tr>
      <w:tr w:rsidR="00E96768" w:rsidRPr="00E00B35" w:rsidTr="00E96768">
        <w:trPr>
          <w:cantSplit/>
          <w:trHeight w:val="420"/>
          <w:jc w:val="center"/>
        </w:trPr>
        <w:tc>
          <w:tcPr>
            <w:tcW w:w="4746" w:type="dxa"/>
            <w:vAlign w:val="center"/>
          </w:tcPr>
          <w:p w:rsidR="00E96768" w:rsidRPr="00E00B35" w:rsidRDefault="00E96768" w:rsidP="00E00B35">
            <w:pPr>
              <w:pStyle w:val="Nagwek4"/>
              <w:spacing w:before="0" w:after="0" w:line="312" w:lineRule="auto"/>
              <w:rPr>
                <w:b w:val="0"/>
                <w:bCs/>
                <w:sz w:val="20"/>
                <w:szCs w:val="20"/>
              </w:rPr>
            </w:pPr>
            <w:r w:rsidRPr="00E00B35">
              <w:rPr>
                <w:b w:val="0"/>
                <w:bCs/>
                <w:sz w:val="20"/>
                <w:szCs w:val="20"/>
              </w:rPr>
              <w:t>Wydział Obsługi Urzędu</w:t>
            </w:r>
          </w:p>
        </w:tc>
        <w:tc>
          <w:tcPr>
            <w:tcW w:w="2469" w:type="dxa"/>
          </w:tcPr>
          <w:p w:rsidR="00E96768" w:rsidRPr="00E00B35" w:rsidRDefault="00E96768" w:rsidP="00E00B35">
            <w:pPr>
              <w:spacing w:after="0" w:line="312" w:lineRule="auto"/>
              <w:rPr>
                <w:szCs w:val="20"/>
              </w:rPr>
            </w:pPr>
            <w:r w:rsidRPr="00E00B35">
              <w:rPr>
                <w:szCs w:val="20"/>
              </w:rPr>
              <w:t>0</w:t>
            </w:r>
          </w:p>
        </w:tc>
        <w:tc>
          <w:tcPr>
            <w:tcW w:w="1928" w:type="dxa"/>
            <w:vAlign w:val="center"/>
          </w:tcPr>
          <w:p w:rsidR="00E96768" w:rsidRPr="00E00B35" w:rsidRDefault="00E96768" w:rsidP="00E00B35">
            <w:pPr>
              <w:spacing w:after="0" w:line="312" w:lineRule="auto"/>
              <w:rPr>
                <w:szCs w:val="20"/>
              </w:rPr>
            </w:pPr>
            <w:r w:rsidRPr="00E00B35">
              <w:rPr>
                <w:szCs w:val="20"/>
              </w:rPr>
              <w:t>3</w:t>
            </w:r>
          </w:p>
        </w:tc>
      </w:tr>
      <w:tr w:rsidR="00E96768" w:rsidRPr="00E00B35" w:rsidTr="00E96768">
        <w:trPr>
          <w:cantSplit/>
          <w:trHeight w:val="420"/>
          <w:jc w:val="center"/>
        </w:trPr>
        <w:tc>
          <w:tcPr>
            <w:tcW w:w="4746" w:type="dxa"/>
            <w:vAlign w:val="center"/>
          </w:tcPr>
          <w:p w:rsidR="00E96768" w:rsidRPr="00E00B35" w:rsidRDefault="00E96768" w:rsidP="00E00B35">
            <w:pPr>
              <w:pStyle w:val="Nagwek4"/>
              <w:spacing w:before="0" w:after="0" w:line="312" w:lineRule="auto"/>
              <w:rPr>
                <w:b w:val="0"/>
                <w:bCs/>
                <w:sz w:val="20"/>
                <w:szCs w:val="20"/>
              </w:rPr>
            </w:pPr>
            <w:r w:rsidRPr="00E00B35">
              <w:rPr>
                <w:b w:val="0"/>
                <w:bCs/>
                <w:sz w:val="20"/>
                <w:szCs w:val="20"/>
              </w:rPr>
              <w:t>Wydział Organizacyjny i Kadr</w:t>
            </w:r>
          </w:p>
        </w:tc>
        <w:tc>
          <w:tcPr>
            <w:tcW w:w="2469" w:type="dxa"/>
          </w:tcPr>
          <w:p w:rsidR="00E96768" w:rsidRPr="00E00B35" w:rsidRDefault="00E96768" w:rsidP="00E00B35">
            <w:pPr>
              <w:spacing w:after="0" w:line="312" w:lineRule="auto"/>
              <w:rPr>
                <w:szCs w:val="20"/>
              </w:rPr>
            </w:pPr>
            <w:r w:rsidRPr="00E00B35">
              <w:rPr>
                <w:szCs w:val="20"/>
              </w:rPr>
              <w:t>0</w:t>
            </w:r>
          </w:p>
        </w:tc>
        <w:tc>
          <w:tcPr>
            <w:tcW w:w="1928" w:type="dxa"/>
            <w:vAlign w:val="center"/>
          </w:tcPr>
          <w:p w:rsidR="00E96768" w:rsidRPr="00E00B35" w:rsidRDefault="00E96768" w:rsidP="00E00B35">
            <w:pPr>
              <w:spacing w:after="0" w:line="312" w:lineRule="auto"/>
              <w:rPr>
                <w:szCs w:val="20"/>
              </w:rPr>
            </w:pPr>
            <w:r w:rsidRPr="00E00B35">
              <w:rPr>
                <w:szCs w:val="20"/>
              </w:rPr>
              <w:t>1</w:t>
            </w:r>
          </w:p>
        </w:tc>
      </w:tr>
      <w:tr w:rsidR="00E96768" w:rsidRPr="00E00B35" w:rsidTr="00E96768">
        <w:trPr>
          <w:cantSplit/>
          <w:trHeight w:val="420"/>
          <w:jc w:val="center"/>
        </w:trPr>
        <w:tc>
          <w:tcPr>
            <w:tcW w:w="4746" w:type="dxa"/>
            <w:vAlign w:val="center"/>
          </w:tcPr>
          <w:p w:rsidR="00E96768" w:rsidRPr="00E00B35" w:rsidRDefault="00E96768" w:rsidP="00E00B35">
            <w:pPr>
              <w:pStyle w:val="Nagwek4"/>
              <w:spacing w:before="0" w:after="0" w:line="312" w:lineRule="auto"/>
              <w:rPr>
                <w:b w:val="0"/>
                <w:bCs/>
                <w:sz w:val="20"/>
                <w:szCs w:val="20"/>
              </w:rPr>
            </w:pPr>
            <w:r w:rsidRPr="00E00B35">
              <w:rPr>
                <w:b w:val="0"/>
                <w:bCs/>
                <w:sz w:val="20"/>
                <w:szCs w:val="20"/>
              </w:rPr>
              <w:t>Biuro Wrocław Bez Barier</w:t>
            </w:r>
          </w:p>
        </w:tc>
        <w:tc>
          <w:tcPr>
            <w:tcW w:w="2469" w:type="dxa"/>
          </w:tcPr>
          <w:p w:rsidR="00E96768" w:rsidRPr="00E00B35" w:rsidRDefault="00E96768" w:rsidP="00E00B35">
            <w:pPr>
              <w:spacing w:after="0" w:line="312" w:lineRule="auto"/>
              <w:rPr>
                <w:szCs w:val="20"/>
              </w:rPr>
            </w:pPr>
            <w:r w:rsidRPr="00E00B35">
              <w:rPr>
                <w:szCs w:val="20"/>
              </w:rPr>
              <w:t>0</w:t>
            </w:r>
          </w:p>
        </w:tc>
        <w:tc>
          <w:tcPr>
            <w:tcW w:w="1928" w:type="dxa"/>
            <w:vAlign w:val="center"/>
          </w:tcPr>
          <w:p w:rsidR="00E96768" w:rsidRPr="00E00B35" w:rsidRDefault="00E96768" w:rsidP="00E00B35">
            <w:pPr>
              <w:spacing w:after="0" w:line="312" w:lineRule="auto"/>
              <w:rPr>
                <w:szCs w:val="20"/>
              </w:rPr>
            </w:pPr>
            <w:r w:rsidRPr="00E00B35">
              <w:rPr>
                <w:szCs w:val="20"/>
              </w:rPr>
              <w:t>1</w:t>
            </w:r>
          </w:p>
        </w:tc>
      </w:tr>
      <w:tr w:rsidR="00E96768" w:rsidRPr="00E00B35" w:rsidTr="00E96768">
        <w:trPr>
          <w:cantSplit/>
          <w:trHeight w:val="420"/>
          <w:jc w:val="center"/>
        </w:trPr>
        <w:tc>
          <w:tcPr>
            <w:tcW w:w="4746" w:type="dxa"/>
            <w:vAlign w:val="center"/>
          </w:tcPr>
          <w:p w:rsidR="00E96768" w:rsidRPr="00E00B35" w:rsidRDefault="00E96768" w:rsidP="00E00B35">
            <w:pPr>
              <w:pStyle w:val="Nagwek4"/>
              <w:spacing w:before="0" w:after="0" w:line="312" w:lineRule="auto"/>
              <w:rPr>
                <w:b w:val="0"/>
                <w:bCs/>
                <w:sz w:val="20"/>
                <w:szCs w:val="20"/>
              </w:rPr>
            </w:pPr>
            <w:r w:rsidRPr="00E00B35">
              <w:rPr>
                <w:b w:val="0"/>
                <w:bCs/>
                <w:sz w:val="20"/>
                <w:szCs w:val="20"/>
              </w:rPr>
              <w:t>Wydział Finansów Oświatowych</w:t>
            </w:r>
          </w:p>
        </w:tc>
        <w:tc>
          <w:tcPr>
            <w:tcW w:w="2469" w:type="dxa"/>
          </w:tcPr>
          <w:p w:rsidR="00E96768" w:rsidRPr="00E00B35" w:rsidRDefault="00E96768" w:rsidP="00E00B35">
            <w:pPr>
              <w:spacing w:after="0" w:line="312" w:lineRule="auto"/>
              <w:rPr>
                <w:szCs w:val="20"/>
              </w:rPr>
            </w:pPr>
            <w:r w:rsidRPr="00E00B35">
              <w:rPr>
                <w:szCs w:val="20"/>
              </w:rPr>
              <w:t>0</w:t>
            </w:r>
          </w:p>
        </w:tc>
        <w:tc>
          <w:tcPr>
            <w:tcW w:w="1928" w:type="dxa"/>
            <w:vAlign w:val="center"/>
          </w:tcPr>
          <w:p w:rsidR="00E96768" w:rsidRPr="00E00B35" w:rsidRDefault="00E96768" w:rsidP="00E00B35">
            <w:pPr>
              <w:spacing w:after="0" w:line="312" w:lineRule="auto"/>
              <w:rPr>
                <w:szCs w:val="20"/>
              </w:rPr>
            </w:pPr>
            <w:r w:rsidRPr="00E00B35">
              <w:rPr>
                <w:szCs w:val="20"/>
              </w:rPr>
              <w:t>3</w:t>
            </w:r>
          </w:p>
        </w:tc>
      </w:tr>
      <w:tr w:rsidR="00E96768" w:rsidRPr="00E00B35" w:rsidTr="00E96768">
        <w:trPr>
          <w:cantSplit/>
          <w:trHeight w:val="420"/>
          <w:jc w:val="center"/>
        </w:trPr>
        <w:tc>
          <w:tcPr>
            <w:tcW w:w="4746" w:type="dxa"/>
            <w:vAlign w:val="center"/>
          </w:tcPr>
          <w:p w:rsidR="00E96768" w:rsidRPr="00E00B35" w:rsidRDefault="00E96768" w:rsidP="00E00B35">
            <w:pPr>
              <w:pStyle w:val="Nagwek4"/>
              <w:spacing w:before="0" w:after="0" w:line="312" w:lineRule="auto"/>
              <w:rPr>
                <w:b w:val="0"/>
                <w:bCs/>
                <w:sz w:val="20"/>
                <w:szCs w:val="20"/>
              </w:rPr>
            </w:pPr>
            <w:r w:rsidRPr="00E00B35">
              <w:rPr>
                <w:b w:val="0"/>
                <w:bCs/>
                <w:sz w:val="20"/>
                <w:szCs w:val="20"/>
              </w:rPr>
              <w:t>Wydział Zdrowia i Spraw Społecznych</w:t>
            </w:r>
          </w:p>
        </w:tc>
        <w:tc>
          <w:tcPr>
            <w:tcW w:w="2469" w:type="dxa"/>
          </w:tcPr>
          <w:p w:rsidR="00E96768" w:rsidRPr="00E00B35" w:rsidRDefault="00E96768" w:rsidP="00E00B35">
            <w:pPr>
              <w:spacing w:after="0" w:line="312" w:lineRule="auto"/>
              <w:rPr>
                <w:szCs w:val="20"/>
              </w:rPr>
            </w:pPr>
            <w:r w:rsidRPr="00E00B35">
              <w:rPr>
                <w:szCs w:val="20"/>
              </w:rPr>
              <w:t>0</w:t>
            </w:r>
          </w:p>
        </w:tc>
        <w:tc>
          <w:tcPr>
            <w:tcW w:w="1928" w:type="dxa"/>
            <w:vAlign w:val="center"/>
          </w:tcPr>
          <w:p w:rsidR="00E96768" w:rsidRPr="00E00B35" w:rsidRDefault="00E96768" w:rsidP="00E00B35">
            <w:pPr>
              <w:spacing w:after="0" w:line="312" w:lineRule="auto"/>
              <w:rPr>
                <w:szCs w:val="20"/>
              </w:rPr>
            </w:pPr>
            <w:r w:rsidRPr="00E00B35">
              <w:rPr>
                <w:szCs w:val="20"/>
              </w:rPr>
              <w:t>1</w:t>
            </w:r>
          </w:p>
        </w:tc>
      </w:tr>
      <w:tr w:rsidR="00E96768" w:rsidRPr="00E00B35" w:rsidTr="00E96768">
        <w:trPr>
          <w:cantSplit/>
          <w:trHeight w:val="420"/>
          <w:jc w:val="center"/>
        </w:trPr>
        <w:tc>
          <w:tcPr>
            <w:tcW w:w="4746" w:type="dxa"/>
            <w:vAlign w:val="center"/>
          </w:tcPr>
          <w:p w:rsidR="00E96768" w:rsidRPr="00E00B35" w:rsidRDefault="00E96768" w:rsidP="00E00B35">
            <w:pPr>
              <w:pStyle w:val="Nagwek4"/>
              <w:spacing w:before="0" w:after="0" w:line="312" w:lineRule="auto"/>
              <w:rPr>
                <w:b w:val="0"/>
                <w:bCs/>
                <w:sz w:val="20"/>
                <w:szCs w:val="20"/>
              </w:rPr>
            </w:pPr>
            <w:r w:rsidRPr="00E00B35">
              <w:rPr>
                <w:b w:val="0"/>
                <w:bCs/>
                <w:sz w:val="20"/>
                <w:szCs w:val="20"/>
              </w:rPr>
              <w:t xml:space="preserve">Biuro Zrównoważonej Mobilności </w:t>
            </w:r>
          </w:p>
        </w:tc>
        <w:tc>
          <w:tcPr>
            <w:tcW w:w="2469" w:type="dxa"/>
          </w:tcPr>
          <w:p w:rsidR="00E96768" w:rsidRPr="00E00B35" w:rsidRDefault="00E96768" w:rsidP="00E00B35">
            <w:pPr>
              <w:spacing w:after="0" w:line="312" w:lineRule="auto"/>
              <w:rPr>
                <w:szCs w:val="20"/>
              </w:rPr>
            </w:pPr>
            <w:r w:rsidRPr="00E00B35">
              <w:rPr>
                <w:szCs w:val="20"/>
              </w:rPr>
              <w:t>0</w:t>
            </w:r>
          </w:p>
        </w:tc>
        <w:tc>
          <w:tcPr>
            <w:tcW w:w="1928" w:type="dxa"/>
            <w:vAlign w:val="center"/>
          </w:tcPr>
          <w:p w:rsidR="00E96768" w:rsidRPr="00E00B35" w:rsidRDefault="00E96768" w:rsidP="00E00B35">
            <w:pPr>
              <w:spacing w:after="0" w:line="312" w:lineRule="auto"/>
              <w:rPr>
                <w:szCs w:val="20"/>
              </w:rPr>
            </w:pPr>
            <w:r w:rsidRPr="00E00B35">
              <w:rPr>
                <w:szCs w:val="20"/>
              </w:rPr>
              <w:t>1</w:t>
            </w:r>
          </w:p>
        </w:tc>
      </w:tr>
      <w:tr w:rsidR="00E96768" w:rsidRPr="00E00B35" w:rsidTr="00E96768">
        <w:trPr>
          <w:cantSplit/>
          <w:trHeight w:val="420"/>
          <w:jc w:val="center"/>
        </w:trPr>
        <w:tc>
          <w:tcPr>
            <w:tcW w:w="4746" w:type="dxa"/>
            <w:vAlign w:val="center"/>
          </w:tcPr>
          <w:p w:rsidR="00E96768" w:rsidRPr="00E00B35" w:rsidRDefault="00E96768" w:rsidP="00E00B35">
            <w:pPr>
              <w:pStyle w:val="Nagwek4"/>
              <w:spacing w:before="0" w:after="0" w:line="312" w:lineRule="auto"/>
              <w:rPr>
                <w:b w:val="0"/>
                <w:bCs/>
                <w:sz w:val="20"/>
                <w:szCs w:val="20"/>
              </w:rPr>
            </w:pPr>
            <w:r w:rsidRPr="00E00B35">
              <w:rPr>
                <w:b w:val="0"/>
                <w:bCs/>
                <w:sz w:val="20"/>
                <w:szCs w:val="20"/>
              </w:rPr>
              <w:t>Wydział Partycypacji Społecznej</w:t>
            </w:r>
          </w:p>
        </w:tc>
        <w:tc>
          <w:tcPr>
            <w:tcW w:w="2469" w:type="dxa"/>
          </w:tcPr>
          <w:p w:rsidR="00E96768" w:rsidRPr="00E00B35" w:rsidRDefault="00E96768" w:rsidP="00E00B35">
            <w:pPr>
              <w:spacing w:after="0" w:line="312" w:lineRule="auto"/>
              <w:rPr>
                <w:szCs w:val="20"/>
              </w:rPr>
            </w:pPr>
            <w:r w:rsidRPr="00E00B35">
              <w:rPr>
                <w:szCs w:val="20"/>
              </w:rPr>
              <w:t>0</w:t>
            </w:r>
          </w:p>
        </w:tc>
        <w:tc>
          <w:tcPr>
            <w:tcW w:w="1928" w:type="dxa"/>
            <w:vAlign w:val="center"/>
          </w:tcPr>
          <w:p w:rsidR="00E96768" w:rsidRPr="00E00B35" w:rsidRDefault="00E96768" w:rsidP="00E00B35">
            <w:pPr>
              <w:spacing w:after="0" w:line="312" w:lineRule="auto"/>
              <w:rPr>
                <w:szCs w:val="20"/>
              </w:rPr>
            </w:pPr>
            <w:r w:rsidRPr="00E00B35">
              <w:rPr>
                <w:szCs w:val="20"/>
              </w:rPr>
              <w:t>1</w:t>
            </w:r>
          </w:p>
        </w:tc>
      </w:tr>
      <w:tr w:rsidR="00E96768" w:rsidRPr="00E00B35" w:rsidTr="00E96768">
        <w:trPr>
          <w:cantSplit/>
          <w:trHeight w:val="420"/>
          <w:jc w:val="center"/>
        </w:trPr>
        <w:tc>
          <w:tcPr>
            <w:tcW w:w="4746" w:type="dxa"/>
            <w:vAlign w:val="center"/>
          </w:tcPr>
          <w:p w:rsidR="00E96768" w:rsidRPr="00E00B35" w:rsidRDefault="00E96768" w:rsidP="00E00B35">
            <w:pPr>
              <w:pStyle w:val="Nagwek4"/>
              <w:spacing w:before="0" w:after="0" w:line="312" w:lineRule="auto"/>
              <w:rPr>
                <w:b w:val="0"/>
                <w:bCs/>
                <w:sz w:val="20"/>
                <w:szCs w:val="20"/>
              </w:rPr>
            </w:pPr>
            <w:r w:rsidRPr="00E00B35">
              <w:rPr>
                <w:b w:val="0"/>
                <w:bCs/>
                <w:sz w:val="20"/>
                <w:szCs w:val="20"/>
              </w:rPr>
              <w:t>Wydział Komunikacji Społecznej</w:t>
            </w:r>
          </w:p>
        </w:tc>
        <w:tc>
          <w:tcPr>
            <w:tcW w:w="2469" w:type="dxa"/>
          </w:tcPr>
          <w:p w:rsidR="00E96768" w:rsidRPr="00E00B35" w:rsidRDefault="00E96768" w:rsidP="00E00B35">
            <w:pPr>
              <w:spacing w:after="0" w:line="312" w:lineRule="auto"/>
              <w:rPr>
                <w:szCs w:val="20"/>
              </w:rPr>
            </w:pPr>
            <w:r w:rsidRPr="00E00B35">
              <w:rPr>
                <w:szCs w:val="20"/>
              </w:rPr>
              <w:t>0</w:t>
            </w:r>
          </w:p>
        </w:tc>
        <w:tc>
          <w:tcPr>
            <w:tcW w:w="1928" w:type="dxa"/>
          </w:tcPr>
          <w:p w:rsidR="00E96768" w:rsidRPr="00E00B35" w:rsidRDefault="00E96768" w:rsidP="00E00B35">
            <w:pPr>
              <w:spacing w:after="0" w:line="312" w:lineRule="auto"/>
              <w:rPr>
                <w:szCs w:val="20"/>
              </w:rPr>
            </w:pPr>
            <w:r w:rsidRPr="00E00B35">
              <w:rPr>
                <w:szCs w:val="20"/>
              </w:rPr>
              <w:t>0</w:t>
            </w:r>
          </w:p>
        </w:tc>
      </w:tr>
      <w:tr w:rsidR="00E96768" w:rsidRPr="00E00B35" w:rsidTr="00E96768">
        <w:trPr>
          <w:trHeight w:val="420"/>
          <w:jc w:val="center"/>
        </w:trPr>
        <w:tc>
          <w:tcPr>
            <w:tcW w:w="4746" w:type="dxa"/>
            <w:vAlign w:val="center"/>
          </w:tcPr>
          <w:p w:rsidR="00E96768" w:rsidRPr="00E00B35" w:rsidRDefault="00E96768" w:rsidP="00E00B35">
            <w:pPr>
              <w:pStyle w:val="Tekstpodstawowy"/>
              <w:spacing w:after="0" w:line="312" w:lineRule="auto"/>
              <w:rPr>
                <w:bCs/>
                <w:szCs w:val="20"/>
              </w:rPr>
            </w:pPr>
            <w:r w:rsidRPr="00E00B35">
              <w:rPr>
                <w:bCs/>
                <w:szCs w:val="20"/>
              </w:rPr>
              <w:t>RAZEM</w:t>
            </w:r>
          </w:p>
        </w:tc>
        <w:tc>
          <w:tcPr>
            <w:tcW w:w="2469" w:type="dxa"/>
            <w:vAlign w:val="center"/>
          </w:tcPr>
          <w:p w:rsidR="00E96768" w:rsidRPr="00E00B35" w:rsidRDefault="00E96768" w:rsidP="00E00B35">
            <w:pPr>
              <w:pStyle w:val="Tekstpodstawowy"/>
              <w:spacing w:after="0" w:line="312" w:lineRule="auto"/>
              <w:ind w:right="-70"/>
              <w:rPr>
                <w:bCs/>
                <w:szCs w:val="20"/>
              </w:rPr>
            </w:pPr>
            <w:r w:rsidRPr="00E00B35">
              <w:rPr>
                <w:bCs/>
                <w:szCs w:val="20"/>
              </w:rPr>
              <w:t>33</w:t>
            </w:r>
          </w:p>
        </w:tc>
        <w:tc>
          <w:tcPr>
            <w:tcW w:w="1928" w:type="dxa"/>
            <w:vAlign w:val="center"/>
          </w:tcPr>
          <w:p w:rsidR="00E96768" w:rsidRPr="00E00B35" w:rsidRDefault="00E96768" w:rsidP="00E00B35">
            <w:pPr>
              <w:pStyle w:val="Tekstpodstawowy"/>
              <w:spacing w:after="0" w:line="312" w:lineRule="auto"/>
              <w:rPr>
                <w:bCs/>
                <w:szCs w:val="20"/>
              </w:rPr>
            </w:pPr>
            <w:r w:rsidRPr="00E00B35">
              <w:rPr>
                <w:bCs/>
                <w:szCs w:val="20"/>
              </w:rPr>
              <w:t>13</w:t>
            </w:r>
          </w:p>
        </w:tc>
      </w:tr>
    </w:tbl>
    <w:p w:rsidR="00E96768" w:rsidRPr="00E00B35" w:rsidRDefault="00E96768" w:rsidP="00E00B35">
      <w:pPr>
        <w:spacing w:after="0" w:line="312" w:lineRule="auto"/>
        <w:rPr>
          <w:szCs w:val="20"/>
        </w:rPr>
      </w:pPr>
    </w:p>
    <w:p w:rsidR="00E96768" w:rsidRPr="00E00B35" w:rsidRDefault="00E96768" w:rsidP="00E00B35">
      <w:pPr>
        <w:pStyle w:val="Nagwek4"/>
        <w:spacing w:before="0" w:after="0" w:line="312" w:lineRule="auto"/>
        <w:rPr>
          <w:sz w:val="20"/>
          <w:szCs w:val="20"/>
        </w:rPr>
      </w:pPr>
      <w:r w:rsidRPr="00E00B35">
        <w:rPr>
          <w:sz w:val="20"/>
          <w:szCs w:val="20"/>
        </w:rPr>
        <w:t>WEWNĘTRZNE REGULACJE PRAWNE W URZĘDZIE ORAZ MIEJSKICH JEDNOSTKACH ORGANIZACYJNYCH</w:t>
      </w:r>
    </w:p>
    <w:p w:rsidR="00E96768" w:rsidRPr="00E00B35" w:rsidRDefault="00E96768" w:rsidP="00E00B35">
      <w:pPr>
        <w:pStyle w:val="Tekstpodstawowy2"/>
        <w:spacing w:after="0" w:line="312" w:lineRule="auto"/>
        <w:rPr>
          <w:sz w:val="20"/>
          <w:szCs w:val="20"/>
        </w:rPr>
      </w:pPr>
    </w:p>
    <w:p w:rsidR="00E96768" w:rsidRPr="00E00B35" w:rsidRDefault="00E96768" w:rsidP="00E00B35">
      <w:pPr>
        <w:pStyle w:val="Nagwek5"/>
        <w:rPr>
          <w:szCs w:val="20"/>
        </w:rPr>
      </w:pPr>
      <w:r w:rsidRPr="00E00B35">
        <w:rPr>
          <w:szCs w:val="20"/>
        </w:rPr>
        <w:lastRenderedPageBreak/>
        <w:t>REGULAMIN ORGANIZACYJNY URZĘDU MIEJSKIEGO WROCŁAWIA</w:t>
      </w:r>
    </w:p>
    <w:p w:rsidR="00E96768" w:rsidRPr="00E00B35" w:rsidRDefault="00E96768" w:rsidP="00E00B35">
      <w:pPr>
        <w:spacing w:after="0" w:line="312" w:lineRule="auto"/>
        <w:rPr>
          <w:rFonts w:cs="Courier New"/>
          <w:szCs w:val="20"/>
        </w:rPr>
      </w:pPr>
      <w:r w:rsidRPr="00E00B35">
        <w:rPr>
          <w:bCs/>
          <w:szCs w:val="20"/>
        </w:rPr>
        <w:t xml:space="preserve">Zmiany zachodzące w strukturze organizacyjnej Urzędu w 2020 r. oraz jego funkcjonowaniu znalazły swoje odzwierciedlenie w zmianach zarządzenia nr 150/18 Prezydenta Wrocławia z dnia 28 grudnia 2018 r. w sprawie Regulaminu Organizacyjnego Urzędu Miejskiego Wrocławia oraz wprowadzeniu nowego </w:t>
      </w:r>
      <w:r w:rsidRPr="00E00B35">
        <w:rPr>
          <w:rFonts w:cs="Courier New"/>
          <w:szCs w:val="20"/>
        </w:rPr>
        <w:t>zarządzenia nr 3858/20 Prezydenta Wrocławia z dnia 30 września 2020 r. w sprawie Regulaminu Organizacyjnego Urzędu Miejskiego Wrocławia a następnie jego zmianach.</w:t>
      </w:r>
    </w:p>
    <w:p w:rsidR="00E96768" w:rsidRPr="00E00B35" w:rsidRDefault="00E96768" w:rsidP="00E00B35">
      <w:pPr>
        <w:pStyle w:val="Tekstpodstawowy"/>
        <w:spacing w:after="0" w:line="312" w:lineRule="auto"/>
        <w:rPr>
          <w:bCs/>
          <w:szCs w:val="20"/>
        </w:rPr>
      </w:pPr>
      <w:r w:rsidRPr="00E00B35">
        <w:rPr>
          <w:bCs/>
          <w:szCs w:val="20"/>
        </w:rPr>
        <w:t>Zarządzenie nr 150/18 Prezydenta Wrocławia z dnia 28 grudnia 2018 r. w sprawie Regulaminu Organizacyjnego Urzędu Miejskiego Wrocławia było zmieniane: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zarządzenia nr 2466/20 Prezydenta Wrocławia z 31 stycznia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zarządzenia nr 2653/20 Prezydenta Wrocławia z 28 lutego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zarządzenia nr 2827/20 Prezydenta Wrocławia z 31 marca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zarządzenia nr 2934/20 Prezydenta Wrocławia z 30 kwietnia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zarządzenia nr 3687/20 Prezydenta Wrocławia z 28 sierpnia 2020 r</w:t>
      </w:r>
    </w:p>
    <w:p w:rsidR="00E96768" w:rsidRPr="00E00B35" w:rsidRDefault="00E96768" w:rsidP="00E00B35">
      <w:pPr>
        <w:pStyle w:val="Tekstpodstawowy2"/>
        <w:spacing w:after="0" w:line="312" w:lineRule="auto"/>
        <w:rPr>
          <w:sz w:val="20"/>
          <w:szCs w:val="20"/>
        </w:rPr>
      </w:pPr>
    </w:p>
    <w:p w:rsidR="00E96768" w:rsidRPr="00E00B35" w:rsidRDefault="00E96768" w:rsidP="00E00B35">
      <w:pPr>
        <w:pStyle w:val="Tekstpodstawowy"/>
        <w:spacing w:after="0" w:line="312" w:lineRule="auto"/>
        <w:rPr>
          <w:bCs/>
          <w:szCs w:val="20"/>
        </w:rPr>
      </w:pPr>
      <w:r w:rsidRPr="00E00B35">
        <w:rPr>
          <w:bCs/>
          <w:szCs w:val="20"/>
        </w:rPr>
        <w:t>Zarządzenie nr 3858/20 Prezydenta Wrocławia z dnia 30 września 2020 r. w sprawie Regulaminu Organizacyjnego Urzędu Miejskiego Wrocławia było zmieniane: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zarządzenia nr 4018/20 Prezydenta Wrocławia z 30 października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zarządzenia nr 4197/20 Prezydenta Wrocławia z 27 listopada 2020 r.</w:t>
      </w:r>
    </w:p>
    <w:p w:rsidR="00E96768" w:rsidRPr="00E00B35" w:rsidRDefault="00E96768" w:rsidP="00E00B35">
      <w:pPr>
        <w:pStyle w:val="Tekstpodstawowy2"/>
        <w:spacing w:after="0" w:line="312" w:lineRule="auto"/>
        <w:rPr>
          <w:bCs w:val="0"/>
          <w:color w:val="FF0000"/>
          <w:sz w:val="20"/>
          <w:szCs w:val="20"/>
        </w:rPr>
      </w:pPr>
    </w:p>
    <w:p w:rsidR="00E96768" w:rsidRPr="00E00B35" w:rsidRDefault="00E96768" w:rsidP="00E00B35">
      <w:pPr>
        <w:pStyle w:val="Nagwek5"/>
        <w:rPr>
          <w:szCs w:val="20"/>
        </w:rPr>
      </w:pPr>
      <w:r w:rsidRPr="00E00B35">
        <w:rPr>
          <w:szCs w:val="20"/>
        </w:rPr>
        <w:t>REGULAMINY ORGANIZACYJNE KOMÓREK ORGANIZACYJNYCH URZĘDU</w:t>
      </w:r>
    </w:p>
    <w:p w:rsidR="00E96768" w:rsidRPr="00E00B35" w:rsidRDefault="00E96768" w:rsidP="00E00B35">
      <w:pPr>
        <w:pStyle w:val="Tekstpodstawowy"/>
        <w:spacing w:after="0" w:line="312" w:lineRule="auto"/>
        <w:rPr>
          <w:szCs w:val="20"/>
        </w:rPr>
      </w:pPr>
      <w:r w:rsidRPr="00E00B35">
        <w:rPr>
          <w:szCs w:val="20"/>
        </w:rPr>
        <w:t xml:space="preserve">W ślad za zmianami w strukturze organizacyjnej Urzędu Miejskiego Wrocławia w 2020 roku przygotowano </w:t>
      </w:r>
      <w:r w:rsidRPr="00E00B35">
        <w:rPr>
          <w:b/>
          <w:bCs/>
          <w:szCs w:val="20"/>
        </w:rPr>
        <w:t>22</w:t>
      </w:r>
      <w:r w:rsidRPr="00E00B35">
        <w:rPr>
          <w:szCs w:val="20"/>
        </w:rPr>
        <w:t xml:space="preserve"> projekty nowych regulaminów organizacyjnych komórek organizacyjnych Urzędu, które po zaopiniowaniu i zatwierdzeniu przez Prezydenta Wrocławia obowiązują od dnia: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Regulamin Organizacyjny Departamentu Spraw Społecznych z dnia 1 kwietnia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Regulamin Organizacyjny Departamentu Nieruchomości i Eksploatacji z dnia 1 stycznia 2020 r.1 marca 2020 r.1 sierpnia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Regulamin Organizacyjny Departamentu Infrastruktury i Transportu z dnia 1 lutego 2020 r.17 grudnia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Regulamin Organizacyjny Departamentu Obsługi i Administracji z dnia 1 maja 2020 r.1 lipca 2020 r.1 października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Regulamin Organizacyjny Departamentu Prezydenta z dnia 1 stycznia 2020 r.1 marca 2020 r.1 września 2020 r.1 października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Regulamin Organizacyjny Departamentu Finansów Publicznych z dnia 1 lutego 2020 r.16 marca 2020 r.1 grudnia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Regulamin Organizacyjny Departamentu Edukacji z dnia 1 czerwca 2020 r.1 września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Regulamin Organizacyjny Departamentu Strategii i Rozwoju Miasta z dnia 1 marca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Regulamin Organizacyjny Departamentu Zrównoważonego Rozwoju z dnia 1 marca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Regulamin Organizacyjny Biura ds. Bezpieczeństwa Informacji z dnia 1 stycznia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Regulamin Organizacyjny Biura Zintegrowanych Inwestycji Terytorialnych Wrocławskiego Obszaru Funkcjonalnego z dnia 1 marca 2020 r.</w:t>
      </w:r>
    </w:p>
    <w:p w:rsidR="00E96768" w:rsidRPr="00E00B35" w:rsidRDefault="00E96768" w:rsidP="00E00B35">
      <w:pPr>
        <w:pStyle w:val="Tekstpodstawowy"/>
        <w:spacing w:after="0" w:line="312" w:lineRule="auto"/>
        <w:rPr>
          <w:szCs w:val="20"/>
        </w:rPr>
      </w:pPr>
    </w:p>
    <w:p w:rsidR="00E96768" w:rsidRPr="00E00B35" w:rsidRDefault="00E96768" w:rsidP="00E00B35">
      <w:pPr>
        <w:pStyle w:val="Nagwek5"/>
        <w:rPr>
          <w:szCs w:val="20"/>
        </w:rPr>
      </w:pPr>
      <w:r w:rsidRPr="00E00B35">
        <w:rPr>
          <w:szCs w:val="20"/>
        </w:rPr>
        <w:t>AKTY WEWNĘTRZNE URZĘDU</w:t>
      </w:r>
    </w:p>
    <w:p w:rsidR="00E96768" w:rsidRPr="00E00B35" w:rsidRDefault="00E96768" w:rsidP="00E00B35">
      <w:pPr>
        <w:tabs>
          <w:tab w:val="num" w:pos="900"/>
        </w:tabs>
        <w:spacing w:after="0" w:line="312" w:lineRule="auto"/>
        <w:rPr>
          <w:szCs w:val="20"/>
        </w:rPr>
      </w:pPr>
      <w:r w:rsidRPr="00E00B35">
        <w:rPr>
          <w:szCs w:val="20"/>
        </w:rPr>
        <w:t xml:space="preserve">Realizowano zadania w zakresie przygotowania, jak również opiniowania przedstawionych projektów wewnętrznych aktów normatywnych. Opracowano ponad 100 wewnętrznych aktów normatywnych. </w:t>
      </w:r>
    </w:p>
    <w:p w:rsidR="00E96768" w:rsidRPr="00E00B35" w:rsidRDefault="00E96768" w:rsidP="00E00B35">
      <w:pPr>
        <w:pStyle w:val="Nagwek5"/>
        <w:rPr>
          <w:szCs w:val="20"/>
        </w:rPr>
      </w:pPr>
      <w:r w:rsidRPr="00E00B35">
        <w:rPr>
          <w:szCs w:val="20"/>
          <w:lang w:val="pl-PL"/>
        </w:rPr>
        <w:br/>
      </w:r>
      <w:r w:rsidRPr="00E00B35">
        <w:rPr>
          <w:szCs w:val="20"/>
        </w:rPr>
        <w:t>REGULAMINY ORGANIZACYJNE MIEJSKICH JEDNOSTEK ORGANIZACYJNYCH</w:t>
      </w:r>
    </w:p>
    <w:p w:rsidR="00E96768" w:rsidRPr="00E00B35" w:rsidRDefault="00E96768" w:rsidP="00E00B35">
      <w:pPr>
        <w:pStyle w:val="HTML-wstpniesformatowany"/>
        <w:spacing w:after="0" w:line="312" w:lineRule="auto"/>
        <w:rPr>
          <w:rFonts w:ascii="Verdana" w:hAnsi="Verdana"/>
        </w:rPr>
      </w:pPr>
      <w:r w:rsidRPr="00E00B35">
        <w:rPr>
          <w:rFonts w:ascii="Verdana" w:hAnsi="Verdana"/>
        </w:rPr>
        <w:t>W 2020 roku w związku ze zmianami w strukturach i zakresach zadań, miejskie jednostki organizacyjne przedłożyły w Urzędzie 10</w:t>
      </w:r>
      <w:r w:rsidRPr="00E00B35">
        <w:rPr>
          <w:rFonts w:ascii="Verdana" w:hAnsi="Verdana"/>
          <w:b/>
          <w:bCs/>
        </w:rPr>
        <w:t xml:space="preserve"> </w:t>
      </w:r>
      <w:r w:rsidRPr="00E00B35">
        <w:rPr>
          <w:rFonts w:ascii="Verdana" w:hAnsi="Verdana"/>
        </w:rPr>
        <w:t>projektów regulaminów organizacyjnych tych jednostek, które po zaopiniowaniu i zatwierdzeniu przez Prezydenta Wrocławia obowiązują od dnia: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Centrum Usług Informatycznych we Wrocławiu z dnia 31 stycznia 2020 r.4 listopada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Wrocławski Zespół Żłobków z dnia 3 lutego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Powiatowy Urząd Pracy z dnia 1 kwietnia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Wrocławskie Centrum Rozwoju Społecznego z dnia 29 maja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Młodzieżowe Centrum Sportu Wrocław z dnia 23 czerwca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Miejski Ośrodek Pomocy Społecznej z dnia 1 lipca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Wrocławskie Centrum Doskonalenia Nauczycieli z dnia 1 września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Wrocławski Zakład Aktywności Zawodowej z dnia 16 listopada 2020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Miejskie Centrum Usług Socjalnych z dnia 30 grudnia 2020 r.</w:t>
      </w:r>
    </w:p>
    <w:p w:rsidR="00E96768" w:rsidRPr="00E00B35" w:rsidRDefault="00E96768" w:rsidP="00E00B35">
      <w:pPr>
        <w:pStyle w:val="11Trescpisma"/>
        <w:spacing w:before="0" w:after="0" w:line="312" w:lineRule="auto"/>
        <w:jc w:val="left"/>
        <w:rPr>
          <w:color w:val="FF0000"/>
          <w:szCs w:val="20"/>
        </w:rPr>
      </w:pPr>
      <w:r w:rsidRPr="00E00B35">
        <w:rPr>
          <w:szCs w:val="20"/>
        </w:rPr>
        <w:br/>
        <w:t xml:space="preserve">Powyższe akty zostały przygotowane zgodnie z procedurą określoną przez zarządzenie </w:t>
      </w:r>
      <w:r w:rsidRPr="00E00B35">
        <w:rPr>
          <w:szCs w:val="20"/>
        </w:rPr>
        <w:br/>
        <w:t>nr 3208/15 Prezydenta Wrocławia z dnia 31 grudnia 2015 roku w sprawie określenia procedury wyrażania zgody na treść regulaminów organizacyjnych miejskich jednostek organizacyjnych Wrocławia.</w:t>
      </w:r>
    </w:p>
    <w:p w:rsidR="00E96768" w:rsidRPr="00E00B35" w:rsidRDefault="00E96768" w:rsidP="00E00B35">
      <w:pPr>
        <w:pStyle w:val="Nagwek5"/>
        <w:rPr>
          <w:szCs w:val="20"/>
        </w:rPr>
      </w:pPr>
      <w:r w:rsidRPr="00E00B35">
        <w:rPr>
          <w:szCs w:val="20"/>
        </w:rPr>
        <w:t>PEŁNOMOCNICTWA I UPOWAŻNIENIA</w:t>
      </w:r>
    </w:p>
    <w:p w:rsidR="00E96768" w:rsidRPr="00E00B35" w:rsidRDefault="00E96768" w:rsidP="00E00B35">
      <w:pPr>
        <w:pStyle w:val="11Trescpisma"/>
        <w:spacing w:before="0" w:after="0" w:line="312" w:lineRule="auto"/>
        <w:jc w:val="left"/>
        <w:rPr>
          <w:szCs w:val="20"/>
        </w:rPr>
      </w:pPr>
      <w:r w:rsidRPr="00E00B35">
        <w:rPr>
          <w:szCs w:val="20"/>
        </w:rPr>
        <w:t>W 2020 roku przygotowanych i wydanych zostało: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714 pełnomocnictw Prezydenta Wrocławia, w tym:</w:t>
      </w:r>
    </w:p>
    <w:p w:rsidR="00E96768" w:rsidRPr="00E00B35" w:rsidRDefault="00E96768" w:rsidP="00BC64AB">
      <w:pPr>
        <w:pStyle w:val="Tekstpodstawowy"/>
        <w:numPr>
          <w:ilvl w:val="0"/>
          <w:numId w:val="242"/>
        </w:numPr>
        <w:spacing w:after="0" w:line="312" w:lineRule="auto"/>
        <w:rPr>
          <w:szCs w:val="20"/>
        </w:rPr>
      </w:pPr>
      <w:r w:rsidRPr="00E00B35">
        <w:rPr>
          <w:szCs w:val="20"/>
        </w:rPr>
        <w:t>dla dyrektorów i pracowników Urzędu – 399,</w:t>
      </w:r>
    </w:p>
    <w:p w:rsidR="00E96768" w:rsidRPr="00E00B35" w:rsidRDefault="00E96768" w:rsidP="00BC64AB">
      <w:pPr>
        <w:pStyle w:val="Tekstpodstawowy"/>
        <w:numPr>
          <w:ilvl w:val="0"/>
          <w:numId w:val="242"/>
        </w:numPr>
        <w:spacing w:after="0" w:line="312" w:lineRule="auto"/>
        <w:rPr>
          <w:szCs w:val="20"/>
        </w:rPr>
      </w:pPr>
      <w:r w:rsidRPr="00E00B35">
        <w:rPr>
          <w:szCs w:val="20"/>
        </w:rPr>
        <w:t>dla dyrektorów i pracowników jednostek organizacyjnych Miasta – 291,</w:t>
      </w:r>
    </w:p>
    <w:p w:rsidR="00E96768" w:rsidRPr="00E00B35" w:rsidRDefault="00E96768" w:rsidP="00BC64AB">
      <w:pPr>
        <w:pStyle w:val="Tekstpodstawowy"/>
        <w:numPr>
          <w:ilvl w:val="0"/>
          <w:numId w:val="242"/>
        </w:numPr>
        <w:spacing w:after="0" w:line="312" w:lineRule="auto"/>
        <w:rPr>
          <w:szCs w:val="20"/>
        </w:rPr>
      </w:pPr>
      <w:r w:rsidRPr="00E00B35">
        <w:rPr>
          <w:szCs w:val="20"/>
        </w:rPr>
        <w:t>dla podmiotów zewnętrznych – 24;</w:t>
      </w:r>
    </w:p>
    <w:p w:rsidR="00E96768" w:rsidRPr="00E00B35" w:rsidRDefault="00E96768" w:rsidP="00E00B35">
      <w:pPr>
        <w:pStyle w:val="Tekstpodstawowy"/>
        <w:spacing w:after="0" w:line="312" w:lineRule="auto"/>
        <w:ind w:left="720"/>
        <w:rPr>
          <w:szCs w:val="20"/>
        </w:rPr>
      </w:pP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1 144 upoważnień Prezydenta Wrocławia, w tym:</w:t>
      </w:r>
    </w:p>
    <w:p w:rsidR="00E96768" w:rsidRPr="00E00B35" w:rsidRDefault="00E96768" w:rsidP="00BC64AB">
      <w:pPr>
        <w:pStyle w:val="Tekstpodstawowy"/>
        <w:numPr>
          <w:ilvl w:val="0"/>
          <w:numId w:val="242"/>
        </w:numPr>
        <w:spacing w:after="0" w:line="312" w:lineRule="auto"/>
        <w:rPr>
          <w:szCs w:val="20"/>
        </w:rPr>
      </w:pPr>
      <w:r w:rsidRPr="00E00B35">
        <w:rPr>
          <w:szCs w:val="20"/>
        </w:rPr>
        <w:t>dla dyrektorów i pracowników Urzędu – 298 w tym 61 do wydawania decyzji administracyjnych,</w:t>
      </w:r>
    </w:p>
    <w:p w:rsidR="00E96768" w:rsidRPr="00E00B35" w:rsidRDefault="00E96768" w:rsidP="00BC64AB">
      <w:pPr>
        <w:pStyle w:val="Tekstpodstawowy"/>
        <w:numPr>
          <w:ilvl w:val="0"/>
          <w:numId w:val="242"/>
        </w:numPr>
        <w:spacing w:after="0" w:line="312" w:lineRule="auto"/>
        <w:rPr>
          <w:szCs w:val="20"/>
        </w:rPr>
      </w:pPr>
      <w:r w:rsidRPr="00E00B35">
        <w:rPr>
          <w:szCs w:val="20"/>
        </w:rPr>
        <w:lastRenderedPageBreak/>
        <w:t>dla dyrektorów i pracowników jednostek organizacyjnych Miasta – 846 w tym 57 do wydawania decyzji administracyjnych.</w:t>
      </w:r>
    </w:p>
    <w:p w:rsidR="00E96768" w:rsidRPr="00E00B35" w:rsidRDefault="00E96768" w:rsidP="00E00B35">
      <w:pPr>
        <w:pStyle w:val="Tekstpodstawowy"/>
        <w:spacing w:after="0" w:line="312" w:lineRule="auto"/>
        <w:ind w:left="360"/>
        <w:rPr>
          <w:szCs w:val="20"/>
        </w:rPr>
      </w:pPr>
    </w:p>
    <w:p w:rsidR="00E96768" w:rsidRPr="00E00B35" w:rsidRDefault="00E96768" w:rsidP="00E00B35">
      <w:pPr>
        <w:tabs>
          <w:tab w:val="num" w:pos="1425"/>
          <w:tab w:val="num" w:pos="2145"/>
        </w:tabs>
        <w:spacing w:after="0" w:line="312" w:lineRule="auto"/>
        <w:rPr>
          <w:szCs w:val="20"/>
        </w:rPr>
      </w:pPr>
      <w:r w:rsidRPr="00E00B35">
        <w:rPr>
          <w:szCs w:val="20"/>
        </w:rPr>
        <w:t>Porównanie liczby udzielonych pełnomocnictw w poszczególnych latach</w:t>
      </w:r>
    </w:p>
    <w:tbl>
      <w:tblPr>
        <w:tblW w:w="0" w:type="auto"/>
        <w:jc w:val="center"/>
        <w:tblInd w:w="-118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2417"/>
        <w:gridCol w:w="1219"/>
        <w:gridCol w:w="1219"/>
        <w:gridCol w:w="1176"/>
        <w:gridCol w:w="1172"/>
        <w:gridCol w:w="1172"/>
      </w:tblGrid>
      <w:tr w:rsidR="00E96768" w:rsidRPr="00E00B35" w:rsidTr="00E96768">
        <w:trPr>
          <w:trHeight w:val="611"/>
          <w:jc w:val="center"/>
        </w:trPr>
        <w:tc>
          <w:tcPr>
            <w:tcW w:w="2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Tekstpodstawowy"/>
              <w:spacing w:after="0" w:line="312" w:lineRule="auto"/>
              <w:rPr>
                <w:b/>
                <w:szCs w:val="20"/>
              </w:rPr>
            </w:pPr>
            <w:r w:rsidRPr="00E00B35">
              <w:rPr>
                <w:b/>
                <w:szCs w:val="20"/>
              </w:rPr>
              <w:t>Rok</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2016 </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2017 </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2018 </w:t>
            </w:r>
          </w:p>
        </w:tc>
        <w:tc>
          <w:tcPr>
            <w:tcW w:w="11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2019 </w:t>
            </w:r>
          </w:p>
        </w:tc>
        <w:tc>
          <w:tcPr>
            <w:tcW w:w="11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tabs>
                <w:tab w:val="left" w:pos="672"/>
              </w:tabs>
              <w:spacing w:after="0" w:line="312" w:lineRule="auto"/>
              <w:rPr>
                <w:b/>
                <w:bCs/>
                <w:szCs w:val="20"/>
              </w:rPr>
            </w:pPr>
            <w:r w:rsidRPr="00E00B35">
              <w:rPr>
                <w:b/>
                <w:bCs/>
                <w:szCs w:val="20"/>
              </w:rPr>
              <w:t xml:space="preserve">2020 </w:t>
            </w:r>
          </w:p>
        </w:tc>
      </w:tr>
      <w:tr w:rsidR="00E96768" w:rsidRPr="00E00B35" w:rsidTr="00E96768">
        <w:trPr>
          <w:trHeight w:val="611"/>
          <w:jc w:val="center"/>
        </w:trPr>
        <w:tc>
          <w:tcPr>
            <w:tcW w:w="2417"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Ilość</w:t>
            </w:r>
          </w:p>
        </w:tc>
        <w:tc>
          <w:tcPr>
            <w:tcW w:w="1219"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488</w:t>
            </w:r>
          </w:p>
        </w:tc>
        <w:tc>
          <w:tcPr>
            <w:tcW w:w="1219"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710</w:t>
            </w:r>
          </w:p>
        </w:tc>
        <w:tc>
          <w:tcPr>
            <w:tcW w:w="1176"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600</w:t>
            </w:r>
          </w:p>
        </w:tc>
        <w:tc>
          <w:tcPr>
            <w:tcW w:w="117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1 174</w:t>
            </w:r>
          </w:p>
        </w:tc>
        <w:tc>
          <w:tcPr>
            <w:tcW w:w="117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bCs/>
                <w:szCs w:val="20"/>
              </w:rPr>
            </w:pPr>
            <w:r w:rsidRPr="00E00B35">
              <w:rPr>
                <w:bCs/>
                <w:szCs w:val="20"/>
              </w:rPr>
              <w:t>714</w:t>
            </w:r>
          </w:p>
        </w:tc>
      </w:tr>
    </w:tbl>
    <w:p w:rsidR="00E96768" w:rsidRPr="00E00B35" w:rsidRDefault="00E96768" w:rsidP="00E00B35">
      <w:pPr>
        <w:tabs>
          <w:tab w:val="num" w:pos="1425"/>
          <w:tab w:val="num" w:pos="2145"/>
        </w:tabs>
        <w:spacing w:after="0" w:line="312" w:lineRule="auto"/>
        <w:rPr>
          <w:szCs w:val="20"/>
        </w:rPr>
      </w:pPr>
    </w:p>
    <w:p w:rsidR="00E96768" w:rsidRPr="00E00B35" w:rsidRDefault="00E96768" w:rsidP="00E00B35">
      <w:pPr>
        <w:tabs>
          <w:tab w:val="num" w:pos="709"/>
          <w:tab w:val="num" w:pos="2145"/>
        </w:tabs>
        <w:spacing w:after="0" w:line="312" w:lineRule="auto"/>
        <w:rPr>
          <w:szCs w:val="20"/>
        </w:rPr>
      </w:pPr>
      <w:r w:rsidRPr="00E00B35">
        <w:rPr>
          <w:szCs w:val="20"/>
        </w:rPr>
        <w:t>Porównanie liczby udzielonych upoważnień w poszczególnych latach</w:t>
      </w:r>
    </w:p>
    <w:tbl>
      <w:tblPr>
        <w:tblW w:w="0" w:type="auto"/>
        <w:jc w:val="center"/>
        <w:tblInd w:w="-114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2376"/>
        <w:gridCol w:w="1223"/>
        <w:gridCol w:w="1223"/>
        <w:gridCol w:w="1179"/>
        <w:gridCol w:w="1175"/>
        <w:gridCol w:w="1175"/>
      </w:tblGrid>
      <w:tr w:rsidR="00E96768" w:rsidRPr="00E00B35" w:rsidTr="00E96768">
        <w:trPr>
          <w:trHeight w:val="553"/>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Tekstpodstawowy"/>
              <w:spacing w:after="0" w:line="312" w:lineRule="auto"/>
              <w:rPr>
                <w:b/>
                <w:szCs w:val="20"/>
              </w:rPr>
            </w:pPr>
            <w:r w:rsidRPr="00E00B35">
              <w:rPr>
                <w:b/>
                <w:szCs w:val="20"/>
              </w:rPr>
              <w:t>Rok</w:t>
            </w:r>
          </w:p>
        </w:tc>
        <w:tc>
          <w:tcPr>
            <w:tcW w:w="12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2016 </w:t>
            </w:r>
          </w:p>
        </w:tc>
        <w:tc>
          <w:tcPr>
            <w:tcW w:w="12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2017 </w:t>
            </w:r>
          </w:p>
        </w:tc>
        <w:tc>
          <w:tcPr>
            <w:tcW w:w="11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2018 </w:t>
            </w:r>
          </w:p>
        </w:tc>
        <w:tc>
          <w:tcPr>
            <w:tcW w:w="11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2019 </w:t>
            </w:r>
          </w:p>
        </w:tc>
        <w:tc>
          <w:tcPr>
            <w:tcW w:w="11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tabs>
                <w:tab w:val="left" w:pos="672"/>
              </w:tabs>
              <w:spacing w:after="0" w:line="312" w:lineRule="auto"/>
              <w:rPr>
                <w:b/>
                <w:bCs/>
                <w:szCs w:val="20"/>
              </w:rPr>
            </w:pPr>
            <w:r w:rsidRPr="00E00B35">
              <w:rPr>
                <w:b/>
                <w:bCs/>
                <w:szCs w:val="20"/>
              </w:rPr>
              <w:t xml:space="preserve">2020 </w:t>
            </w:r>
          </w:p>
        </w:tc>
      </w:tr>
      <w:tr w:rsidR="00E96768" w:rsidRPr="00E00B35" w:rsidTr="00E96768">
        <w:trPr>
          <w:trHeight w:val="553"/>
          <w:jc w:val="center"/>
        </w:trPr>
        <w:tc>
          <w:tcPr>
            <w:tcW w:w="2376"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Ilość</w:t>
            </w:r>
          </w:p>
        </w:tc>
        <w:tc>
          <w:tcPr>
            <w:tcW w:w="1223"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962</w:t>
            </w:r>
          </w:p>
        </w:tc>
        <w:tc>
          <w:tcPr>
            <w:tcW w:w="1223"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1 139</w:t>
            </w:r>
          </w:p>
        </w:tc>
        <w:tc>
          <w:tcPr>
            <w:tcW w:w="1179"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1 196</w:t>
            </w:r>
          </w:p>
        </w:tc>
        <w:tc>
          <w:tcPr>
            <w:tcW w:w="1175"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1 054</w:t>
            </w:r>
          </w:p>
        </w:tc>
        <w:tc>
          <w:tcPr>
            <w:tcW w:w="1175"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bCs/>
                <w:szCs w:val="20"/>
              </w:rPr>
            </w:pPr>
            <w:r w:rsidRPr="00E00B35">
              <w:rPr>
                <w:bCs/>
                <w:szCs w:val="20"/>
              </w:rPr>
              <w:t>1 144</w:t>
            </w:r>
          </w:p>
        </w:tc>
      </w:tr>
    </w:tbl>
    <w:p w:rsidR="00E96768" w:rsidRPr="00E00B35" w:rsidRDefault="00E96768" w:rsidP="00E00B35">
      <w:pPr>
        <w:pStyle w:val="Nagwek3"/>
        <w:spacing w:after="0" w:line="312" w:lineRule="auto"/>
        <w:rPr>
          <w:sz w:val="20"/>
          <w:lang w:val="pl-PL"/>
        </w:rPr>
      </w:pPr>
    </w:p>
    <w:p w:rsidR="00E96768" w:rsidRPr="00E00B35" w:rsidRDefault="00E96768" w:rsidP="00E00B35">
      <w:pPr>
        <w:pStyle w:val="Nagwek5"/>
        <w:rPr>
          <w:szCs w:val="20"/>
        </w:rPr>
      </w:pPr>
      <w:r w:rsidRPr="00E00B35">
        <w:rPr>
          <w:szCs w:val="20"/>
        </w:rPr>
        <w:t>PIECZĄTKI I PIECZĘCI</w:t>
      </w:r>
    </w:p>
    <w:p w:rsidR="00E96768" w:rsidRPr="00E00B35" w:rsidRDefault="00E96768" w:rsidP="00E00B35">
      <w:pPr>
        <w:spacing w:after="0" w:line="312" w:lineRule="auto"/>
        <w:rPr>
          <w:szCs w:val="20"/>
        </w:rPr>
      </w:pPr>
      <w:r w:rsidRPr="00E00B35">
        <w:rPr>
          <w:szCs w:val="20"/>
        </w:rPr>
        <w:t xml:space="preserve">W 2020 roku zrealizowano zamówienia na </w:t>
      </w:r>
      <w:r w:rsidRPr="00E00B35">
        <w:rPr>
          <w:bCs/>
          <w:szCs w:val="20"/>
        </w:rPr>
        <w:t>712</w:t>
      </w:r>
      <w:r w:rsidRPr="00E00B35">
        <w:rPr>
          <w:b/>
          <w:bCs/>
          <w:szCs w:val="20"/>
        </w:rPr>
        <w:t xml:space="preserve"> </w:t>
      </w:r>
      <w:r w:rsidRPr="00E00B35">
        <w:rPr>
          <w:bCs/>
          <w:szCs w:val="20"/>
        </w:rPr>
        <w:t xml:space="preserve">sztuk pieczątek na łączną kwotę </w:t>
      </w:r>
      <w:r w:rsidRPr="00E00B35">
        <w:rPr>
          <w:bCs/>
          <w:szCs w:val="20"/>
        </w:rPr>
        <w:br/>
        <w:t xml:space="preserve">16 001,84 zł oraz zamówienia na </w:t>
      </w:r>
      <w:r w:rsidRPr="00E00B35">
        <w:rPr>
          <w:szCs w:val="20"/>
        </w:rPr>
        <w:t>71</w:t>
      </w:r>
      <w:r w:rsidRPr="00E00B35">
        <w:rPr>
          <w:bCs/>
          <w:szCs w:val="20"/>
        </w:rPr>
        <w:t xml:space="preserve"> sztuk pieczęci urzędowych, </w:t>
      </w:r>
      <w:r w:rsidRPr="00E00B35">
        <w:rPr>
          <w:szCs w:val="20"/>
        </w:rPr>
        <w:t>metalowych,</w:t>
      </w:r>
      <w:r w:rsidRPr="00E00B35">
        <w:rPr>
          <w:bCs/>
          <w:szCs w:val="20"/>
        </w:rPr>
        <w:t xml:space="preserve"> okrągłych </w:t>
      </w:r>
      <w:r w:rsidRPr="00E00B35">
        <w:rPr>
          <w:bCs/>
          <w:szCs w:val="20"/>
        </w:rPr>
        <w:br/>
        <w:t>z wizerunkiem orła pośrodku,</w:t>
      </w:r>
      <w:r w:rsidRPr="00E00B35">
        <w:rPr>
          <w:szCs w:val="20"/>
        </w:rPr>
        <w:t xml:space="preserve"> które wykonane zostały zgodnie z Rozporządzeniem Rady Ministrów z dnia 7 grudnia 1955 roku w sprawie tablic i pieczęci urzędowych przez Mennicę Polską S.A. głównie dla jednostek oświatowych, które pokryły koszty ich wyrobienia.</w:t>
      </w:r>
    </w:p>
    <w:p w:rsidR="00E96768" w:rsidRPr="00E00B35" w:rsidRDefault="00E96768" w:rsidP="00E00B35">
      <w:pPr>
        <w:spacing w:after="0" w:line="312" w:lineRule="auto"/>
        <w:rPr>
          <w:iCs/>
          <w:szCs w:val="20"/>
        </w:rPr>
      </w:pPr>
      <w:r w:rsidRPr="00E00B35">
        <w:rPr>
          <w:szCs w:val="20"/>
        </w:rPr>
        <w:t xml:space="preserve">Skasowano i zlikwidowano </w:t>
      </w:r>
      <w:r w:rsidRPr="00E00B35">
        <w:rPr>
          <w:bCs/>
          <w:szCs w:val="20"/>
        </w:rPr>
        <w:t>657</w:t>
      </w:r>
      <w:r w:rsidRPr="00E00B35">
        <w:rPr>
          <w:szCs w:val="20"/>
        </w:rPr>
        <w:t xml:space="preserve"> polimerów z pieczątek, natomiast </w:t>
      </w:r>
      <w:r w:rsidRPr="00E00B35">
        <w:rPr>
          <w:iCs/>
          <w:szCs w:val="20"/>
        </w:rPr>
        <w:t xml:space="preserve">do wykonania </w:t>
      </w:r>
      <w:r w:rsidRPr="00E00B35">
        <w:rPr>
          <w:iCs/>
          <w:szCs w:val="20"/>
        </w:rPr>
        <w:br/>
      </w:r>
      <w:r w:rsidRPr="00E00B35">
        <w:rPr>
          <w:bCs/>
          <w:iCs/>
          <w:szCs w:val="20"/>
        </w:rPr>
        <w:t>336</w:t>
      </w:r>
      <w:r w:rsidRPr="00E00B35">
        <w:rPr>
          <w:b/>
          <w:bCs/>
          <w:iCs/>
          <w:szCs w:val="20"/>
        </w:rPr>
        <w:t xml:space="preserve"> </w:t>
      </w:r>
      <w:r w:rsidRPr="00E00B35">
        <w:rPr>
          <w:iCs/>
          <w:szCs w:val="20"/>
        </w:rPr>
        <w:t xml:space="preserve">sztuk nowych pieczątek, wykorzystane zostały automaty z odzysku pozostające </w:t>
      </w:r>
      <w:r w:rsidRPr="00E00B35">
        <w:rPr>
          <w:iCs/>
          <w:szCs w:val="20"/>
        </w:rPr>
        <w:br/>
        <w:t>w dyspozycji Wydziału Organizacyjnego i Kadr, co przyczyniło się do redukcji wydatków związanych z realizacją zamówień w tym zakresie.</w:t>
      </w:r>
    </w:p>
    <w:p w:rsidR="005B50AD" w:rsidRPr="00E00B35" w:rsidRDefault="005B50AD" w:rsidP="00E00B35">
      <w:pPr>
        <w:spacing w:after="0" w:line="312" w:lineRule="auto"/>
        <w:rPr>
          <w:bCs/>
          <w:szCs w:val="20"/>
        </w:rPr>
      </w:pPr>
    </w:p>
    <w:p w:rsidR="00E96768" w:rsidRPr="00E00B35" w:rsidRDefault="00E96768" w:rsidP="00E00B35">
      <w:pPr>
        <w:tabs>
          <w:tab w:val="num" w:pos="1425"/>
          <w:tab w:val="num" w:pos="2145"/>
        </w:tabs>
        <w:spacing w:after="0" w:line="312" w:lineRule="auto"/>
        <w:rPr>
          <w:szCs w:val="20"/>
        </w:rPr>
      </w:pPr>
      <w:r w:rsidRPr="00E00B35">
        <w:rPr>
          <w:szCs w:val="20"/>
        </w:rPr>
        <w:t>Porównanie liczby zrealizowanych zamówień na pieczątki w poszczególnych latach</w:t>
      </w:r>
    </w:p>
    <w:tbl>
      <w:tblPr>
        <w:tblW w:w="872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1246"/>
        <w:gridCol w:w="1246"/>
        <w:gridCol w:w="1246"/>
        <w:gridCol w:w="1246"/>
        <w:gridCol w:w="1246"/>
        <w:gridCol w:w="1246"/>
        <w:gridCol w:w="1246"/>
      </w:tblGrid>
      <w:tr w:rsidR="00E96768" w:rsidRPr="00E00B35" w:rsidTr="00E96768">
        <w:trPr>
          <w:trHeight w:val="715"/>
        </w:trPr>
        <w:tc>
          <w:tcPr>
            <w:tcW w:w="1246" w:type="dxa"/>
            <w:tcBorders>
              <w:top w:val="single" w:sz="4" w:space="0" w:color="auto"/>
              <w:left w:val="single" w:sz="4" w:space="0" w:color="auto"/>
              <w:bottom w:val="single" w:sz="4" w:space="0" w:color="auto"/>
              <w:right w:val="single" w:sz="4" w:space="0" w:color="auto"/>
            </w:tcBorders>
            <w:shd w:val="clear" w:color="auto" w:fill="E6E6E6"/>
            <w:vAlign w:val="center"/>
          </w:tcPr>
          <w:p w:rsidR="00E96768" w:rsidRPr="00E00B35" w:rsidRDefault="00E96768" w:rsidP="00E00B35">
            <w:pPr>
              <w:pStyle w:val="Tekstpodstawowy"/>
              <w:spacing w:after="0" w:line="312" w:lineRule="auto"/>
              <w:rPr>
                <w:b/>
                <w:bCs/>
                <w:szCs w:val="20"/>
              </w:rPr>
            </w:pPr>
            <w:r w:rsidRPr="00E00B35">
              <w:rPr>
                <w:b/>
                <w:bCs/>
                <w:szCs w:val="20"/>
              </w:rPr>
              <w:t>Rok</w:t>
            </w:r>
          </w:p>
        </w:tc>
        <w:tc>
          <w:tcPr>
            <w:tcW w:w="1246" w:type="dxa"/>
            <w:tcBorders>
              <w:top w:val="single" w:sz="4" w:space="0" w:color="auto"/>
              <w:left w:val="single" w:sz="4" w:space="0" w:color="auto"/>
              <w:bottom w:val="single" w:sz="4" w:space="0" w:color="auto"/>
              <w:right w:val="single" w:sz="4" w:space="0" w:color="auto"/>
            </w:tcBorders>
            <w:shd w:val="clear" w:color="auto" w:fill="E6E6E6"/>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2015 </w:t>
            </w:r>
          </w:p>
        </w:tc>
        <w:tc>
          <w:tcPr>
            <w:tcW w:w="1246" w:type="dxa"/>
            <w:tcBorders>
              <w:top w:val="single" w:sz="4" w:space="0" w:color="auto"/>
              <w:left w:val="single" w:sz="4" w:space="0" w:color="auto"/>
              <w:bottom w:val="single" w:sz="4" w:space="0" w:color="auto"/>
              <w:right w:val="single" w:sz="4" w:space="0" w:color="auto"/>
            </w:tcBorders>
            <w:shd w:val="clear" w:color="auto" w:fill="E6E6E6"/>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2016 </w:t>
            </w:r>
          </w:p>
        </w:tc>
        <w:tc>
          <w:tcPr>
            <w:tcW w:w="1246" w:type="dxa"/>
            <w:tcBorders>
              <w:top w:val="single" w:sz="4" w:space="0" w:color="auto"/>
              <w:left w:val="single" w:sz="4" w:space="0" w:color="auto"/>
              <w:bottom w:val="single" w:sz="4" w:space="0" w:color="auto"/>
              <w:right w:val="single" w:sz="4" w:space="0" w:color="auto"/>
            </w:tcBorders>
            <w:shd w:val="clear" w:color="auto" w:fill="E6E6E6"/>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2017 </w:t>
            </w:r>
          </w:p>
        </w:tc>
        <w:tc>
          <w:tcPr>
            <w:tcW w:w="1246" w:type="dxa"/>
            <w:tcBorders>
              <w:top w:val="single" w:sz="4" w:space="0" w:color="auto"/>
              <w:left w:val="single" w:sz="4" w:space="0" w:color="auto"/>
              <w:bottom w:val="single" w:sz="4" w:space="0" w:color="auto"/>
              <w:right w:val="single" w:sz="4" w:space="0" w:color="auto"/>
            </w:tcBorders>
            <w:shd w:val="clear" w:color="auto" w:fill="E6E6E6"/>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2018 </w:t>
            </w:r>
          </w:p>
        </w:tc>
        <w:tc>
          <w:tcPr>
            <w:tcW w:w="1246" w:type="dxa"/>
            <w:tcBorders>
              <w:top w:val="single" w:sz="4" w:space="0" w:color="auto"/>
              <w:left w:val="single" w:sz="4" w:space="0" w:color="auto"/>
              <w:bottom w:val="single" w:sz="4" w:space="0" w:color="auto"/>
              <w:right w:val="single" w:sz="4" w:space="0" w:color="auto"/>
            </w:tcBorders>
            <w:shd w:val="clear" w:color="auto" w:fill="E6E6E6"/>
            <w:vAlign w:val="center"/>
          </w:tcPr>
          <w:p w:rsidR="00E96768" w:rsidRPr="00E00B35" w:rsidRDefault="00E96768" w:rsidP="00E00B35">
            <w:pPr>
              <w:pStyle w:val="Tekstpodstawowy"/>
              <w:spacing w:after="0" w:line="312" w:lineRule="auto"/>
              <w:rPr>
                <w:b/>
                <w:bCs/>
                <w:szCs w:val="20"/>
              </w:rPr>
            </w:pPr>
            <w:r w:rsidRPr="00E00B35">
              <w:rPr>
                <w:b/>
                <w:bCs/>
                <w:szCs w:val="20"/>
              </w:rPr>
              <w:t xml:space="preserve">2019 </w:t>
            </w:r>
          </w:p>
        </w:tc>
        <w:tc>
          <w:tcPr>
            <w:tcW w:w="1246" w:type="dxa"/>
            <w:tcBorders>
              <w:top w:val="single" w:sz="4" w:space="0" w:color="auto"/>
              <w:left w:val="single" w:sz="4" w:space="0" w:color="auto"/>
              <w:bottom w:val="single" w:sz="4" w:space="0" w:color="auto"/>
              <w:right w:val="single" w:sz="4" w:space="0" w:color="auto"/>
            </w:tcBorders>
            <w:shd w:val="clear" w:color="auto" w:fill="E6E6E6"/>
            <w:vAlign w:val="center"/>
          </w:tcPr>
          <w:p w:rsidR="00E96768" w:rsidRPr="00E00B35" w:rsidRDefault="00E96768" w:rsidP="00E00B35">
            <w:pPr>
              <w:pStyle w:val="Tekstpodstawowy"/>
              <w:spacing w:after="0" w:line="312" w:lineRule="auto"/>
              <w:rPr>
                <w:b/>
                <w:bCs/>
                <w:szCs w:val="20"/>
              </w:rPr>
            </w:pPr>
            <w:r w:rsidRPr="00E00B35">
              <w:rPr>
                <w:b/>
                <w:bCs/>
                <w:szCs w:val="20"/>
              </w:rPr>
              <w:t xml:space="preserve">2020 </w:t>
            </w:r>
          </w:p>
        </w:tc>
      </w:tr>
      <w:tr w:rsidR="00E96768" w:rsidRPr="00E00B35" w:rsidTr="00E96768">
        <w:trPr>
          <w:trHeight w:val="711"/>
        </w:trPr>
        <w:tc>
          <w:tcPr>
            <w:tcW w:w="1246"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Ilość</w:t>
            </w:r>
          </w:p>
        </w:tc>
        <w:tc>
          <w:tcPr>
            <w:tcW w:w="1246"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618</w:t>
            </w:r>
          </w:p>
        </w:tc>
        <w:tc>
          <w:tcPr>
            <w:tcW w:w="1246"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563</w:t>
            </w:r>
          </w:p>
        </w:tc>
        <w:tc>
          <w:tcPr>
            <w:tcW w:w="1246"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814</w:t>
            </w:r>
          </w:p>
        </w:tc>
        <w:tc>
          <w:tcPr>
            <w:tcW w:w="1246"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959</w:t>
            </w:r>
          </w:p>
        </w:tc>
        <w:tc>
          <w:tcPr>
            <w:tcW w:w="1246"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1 036</w:t>
            </w:r>
          </w:p>
        </w:tc>
        <w:tc>
          <w:tcPr>
            <w:tcW w:w="1246"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Tekstpodstawowy"/>
              <w:spacing w:after="0" w:line="312" w:lineRule="auto"/>
              <w:rPr>
                <w:szCs w:val="20"/>
              </w:rPr>
            </w:pPr>
            <w:r w:rsidRPr="00E00B35">
              <w:rPr>
                <w:szCs w:val="20"/>
              </w:rPr>
              <w:t>712</w:t>
            </w:r>
          </w:p>
        </w:tc>
      </w:tr>
    </w:tbl>
    <w:p w:rsidR="00E96768" w:rsidRPr="00E00B35" w:rsidRDefault="00E96768" w:rsidP="00E00B35">
      <w:pPr>
        <w:spacing w:after="0" w:line="312" w:lineRule="auto"/>
        <w:rPr>
          <w:rFonts w:cs="Verdana"/>
          <w:color w:val="FF0000"/>
          <w:szCs w:val="20"/>
        </w:rPr>
      </w:pPr>
    </w:p>
    <w:p w:rsidR="00E96768" w:rsidRPr="00E00B35" w:rsidRDefault="00E96768" w:rsidP="00E00B35">
      <w:pPr>
        <w:pStyle w:val="Nagwek5"/>
        <w:rPr>
          <w:szCs w:val="20"/>
        </w:rPr>
      </w:pPr>
      <w:r w:rsidRPr="00E00B35">
        <w:rPr>
          <w:szCs w:val="20"/>
        </w:rPr>
        <w:lastRenderedPageBreak/>
        <w:t>OBSŁUGA KANCELARYJNA</w:t>
      </w:r>
    </w:p>
    <w:p w:rsidR="00E96768" w:rsidRPr="00E00B35" w:rsidRDefault="00E96768" w:rsidP="00E00B35">
      <w:pPr>
        <w:pStyle w:val="Tekstpodstawowywcity2"/>
        <w:keepNext/>
        <w:spacing w:after="0" w:line="312" w:lineRule="auto"/>
        <w:ind w:left="0" w:firstLine="0"/>
        <w:rPr>
          <w:bCs w:val="0"/>
          <w:szCs w:val="20"/>
        </w:rPr>
      </w:pPr>
      <w:r w:rsidRPr="00E00B35">
        <w:rPr>
          <w:rFonts w:cs="Verdana"/>
          <w:szCs w:val="20"/>
        </w:rPr>
        <w:t>W 2020 r. Kancelaria przyjęła około 106 000 listów poleconych i około 210 000</w:t>
      </w:r>
      <w:r w:rsidR="00000B36" w:rsidRPr="00E00B35">
        <w:rPr>
          <w:rFonts w:cs="Verdana"/>
          <w:szCs w:val="20"/>
        </w:rPr>
        <w:t xml:space="preserve"> listów </w:t>
      </w:r>
      <w:r w:rsidRPr="00E00B35">
        <w:rPr>
          <w:bCs w:val="0"/>
          <w:szCs w:val="20"/>
        </w:rPr>
        <w:t>zwykłych adresowanych do Urzędu Miejskiego Wrocławia.</w:t>
      </w:r>
    </w:p>
    <w:p w:rsidR="00E96768" w:rsidRPr="00E00B35" w:rsidRDefault="00E96768" w:rsidP="00E00B35">
      <w:pPr>
        <w:pStyle w:val="Tekstpodstawowywcity2"/>
        <w:keepNext/>
        <w:spacing w:after="0" w:line="312" w:lineRule="auto"/>
        <w:ind w:left="0" w:firstLine="0"/>
        <w:rPr>
          <w:bCs w:val="0"/>
          <w:szCs w:val="20"/>
        </w:rPr>
      </w:pPr>
      <w:r w:rsidRPr="00E00B35">
        <w:rPr>
          <w:bCs w:val="0"/>
          <w:szCs w:val="20"/>
        </w:rPr>
        <w:t>Wysłano pocztą około 538 000 listów poleconych i około 80 000 listów zwykłych oraz 970 paczek i 260 przesyłek kurierskich, co kosztowało około 5 800 000 zł.</w:t>
      </w:r>
    </w:p>
    <w:p w:rsidR="00E96768" w:rsidRPr="00E00B35" w:rsidRDefault="00E96768" w:rsidP="00E00B35">
      <w:pPr>
        <w:pStyle w:val="Tekstpodstawowywcity2"/>
        <w:keepNext/>
        <w:spacing w:after="0" w:line="312" w:lineRule="auto"/>
        <w:ind w:left="0" w:firstLine="0"/>
        <w:rPr>
          <w:bCs w:val="0"/>
          <w:szCs w:val="20"/>
        </w:rPr>
      </w:pPr>
      <w:r w:rsidRPr="00E00B35">
        <w:rPr>
          <w:bCs w:val="0"/>
          <w:szCs w:val="20"/>
        </w:rPr>
        <w:t>Bezpośrednio doręczono 10 900 przesyłek z potwierdzeniem odbioru.</w:t>
      </w:r>
    </w:p>
    <w:p w:rsidR="00E96768" w:rsidRPr="00E00B35" w:rsidRDefault="00E96768" w:rsidP="00E00B35">
      <w:pPr>
        <w:pStyle w:val="Tekstpodstawowywcity2"/>
        <w:keepNext/>
        <w:spacing w:after="0" w:line="312" w:lineRule="auto"/>
        <w:ind w:left="0" w:firstLine="0"/>
        <w:rPr>
          <w:bCs w:val="0"/>
          <w:szCs w:val="20"/>
        </w:rPr>
      </w:pPr>
      <w:r w:rsidRPr="00E00B35">
        <w:rPr>
          <w:bCs w:val="0"/>
          <w:szCs w:val="20"/>
        </w:rPr>
        <w:t>Kancelaria przyjęła, zarejestrowała i wywiesiła na urzędowej tablicy ogłoszeń 919 obwieszczeń sądowych i komorniczych, a po okresie ich wywieszenia, zwróciła nadawcom.</w:t>
      </w:r>
    </w:p>
    <w:p w:rsidR="00E96768" w:rsidRPr="00E00B35" w:rsidRDefault="00E96768" w:rsidP="00E00B35">
      <w:pPr>
        <w:pStyle w:val="Tekstpodstawowywcity3"/>
        <w:spacing w:after="0" w:line="312" w:lineRule="auto"/>
        <w:ind w:left="0"/>
        <w:jc w:val="left"/>
        <w:rPr>
          <w:rFonts w:cs="Verdana"/>
          <w:szCs w:val="20"/>
        </w:rPr>
      </w:pPr>
      <w:r w:rsidRPr="00E00B35">
        <w:rPr>
          <w:rFonts w:cs="Verdana"/>
          <w:szCs w:val="20"/>
        </w:rPr>
        <w:t>Wyszukano i złożono odpowiednie dokumenty do 712 reklamacji przesyłek rejestrowanych.</w:t>
      </w:r>
    </w:p>
    <w:p w:rsidR="00E96768" w:rsidRPr="00E00B35" w:rsidRDefault="00E96768" w:rsidP="00E00B35">
      <w:pPr>
        <w:spacing w:after="0" w:line="312" w:lineRule="auto"/>
        <w:rPr>
          <w:b/>
          <w:bCs/>
          <w:szCs w:val="20"/>
        </w:rPr>
      </w:pPr>
    </w:p>
    <w:p w:rsidR="00E96768" w:rsidRPr="00E00B35" w:rsidRDefault="00E96768" w:rsidP="00E00B35">
      <w:pPr>
        <w:pStyle w:val="Nagwek5"/>
        <w:rPr>
          <w:szCs w:val="20"/>
        </w:rPr>
      </w:pPr>
      <w:r w:rsidRPr="00E00B35">
        <w:rPr>
          <w:szCs w:val="20"/>
        </w:rPr>
        <w:t>PLATFORMA ePUAP</w:t>
      </w:r>
    </w:p>
    <w:p w:rsidR="00E96768" w:rsidRPr="00E00B35" w:rsidRDefault="00E96768" w:rsidP="00E00B35">
      <w:pPr>
        <w:spacing w:after="0" w:line="312" w:lineRule="auto"/>
        <w:rPr>
          <w:rFonts w:cs="Verdana"/>
          <w:color w:val="000000"/>
          <w:szCs w:val="20"/>
        </w:rPr>
      </w:pPr>
      <w:r w:rsidRPr="00E00B35">
        <w:rPr>
          <w:rFonts w:cs="Verdana"/>
          <w:color w:val="000000"/>
          <w:szCs w:val="20"/>
        </w:rPr>
        <w:t xml:space="preserve">Urząd Miejski Wrocławia w kontaktach z klientami zewnętrznymi wykorzystuje rozwiązania, dzięki którym za pośrednictwem internetowej platformy ePUAP bezpłatnie można załatwić szereg spraw urzędowych. Z katalogu usług świadczonych przez Urząd, dostępnych na platformie w 2020 roku na skrzynkę ePUAP Urzędu wpłynęło </w:t>
      </w:r>
      <w:r w:rsidRPr="00E00B35">
        <w:rPr>
          <w:rFonts w:cs="Verdana"/>
          <w:bCs/>
          <w:color w:val="000000"/>
          <w:szCs w:val="20"/>
        </w:rPr>
        <w:t>174 214</w:t>
      </w:r>
      <w:r w:rsidRPr="00E00B35">
        <w:rPr>
          <w:rFonts w:cs="Verdana"/>
          <w:color w:val="000000"/>
          <w:szCs w:val="20"/>
        </w:rPr>
        <w:t xml:space="preserve"> wniosków opatrzonych wymaganym podpisem kwalifikowanym. Natomiast wysyłanych wiadomości poprzez ePUAP zostało </w:t>
      </w:r>
      <w:r w:rsidRPr="00E00B35">
        <w:rPr>
          <w:rFonts w:cs="Verdana"/>
          <w:bCs/>
          <w:color w:val="000000"/>
          <w:szCs w:val="20"/>
        </w:rPr>
        <w:t>61 403</w:t>
      </w:r>
      <w:r w:rsidRPr="00E00B35">
        <w:rPr>
          <w:rFonts w:cs="Verdana"/>
          <w:color w:val="000000"/>
          <w:szCs w:val="20"/>
        </w:rPr>
        <w:t>. Liczba usług oferowana przez Urząd na platformie ePUAP systematycznie wzrasta. Przy ciągle powiększanej ilości usług oferowanych przez Urząd na platformie ePUAP przewiduje się większą liczbę wniosków składanych drogą elektroniczną w 2021 roku.</w:t>
      </w:r>
    </w:p>
    <w:p w:rsidR="00E96768" w:rsidRPr="00E00B35" w:rsidRDefault="00000B36" w:rsidP="00E00B35">
      <w:pPr>
        <w:pStyle w:val="Nagwek5"/>
        <w:rPr>
          <w:szCs w:val="20"/>
        </w:rPr>
      </w:pPr>
      <w:r w:rsidRPr="00E00B35">
        <w:rPr>
          <w:szCs w:val="20"/>
        </w:rPr>
        <w:br/>
      </w:r>
      <w:r w:rsidR="00E96768" w:rsidRPr="00E00B35">
        <w:rPr>
          <w:szCs w:val="20"/>
        </w:rPr>
        <w:t>INFORMACJA O URZĘDZIE</w:t>
      </w:r>
    </w:p>
    <w:p w:rsidR="00E96768" w:rsidRPr="00E00B35" w:rsidRDefault="00E96768" w:rsidP="00E00B35">
      <w:pPr>
        <w:autoSpaceDE w:val="0"/>
        <w:autoSpaceDN w:val="0"/>
        <w:adjustRightInd w:val="0"/>
        <w:spacing w:after="0" w:line="312" w:lineRule="auto"/>
        <w:rPr>
          <w:bCs/>
          <w:color w:val="000000"/>
          <w:szCs w:val="20"/>
        </w:rPr>
      </w:pPr>
      <w:bookmarkStart w:id="28" w:name="_Toc471717751"/>
      <w:r w:rsidRPr="00E00B35">
        <w:rPr>
          <w:color w:val="000000"/>
          <w:szCs w:val="20"/>
        </w:rPr>
        <w:t xml:space="preserve">Rok 2020 był siedemnastym pełnym rokiem działalności Punktu Informacyjnego Urzędu Miejskiego Wrocławia w obiekcie pl. Nowy Targ 1-8. W okresie sprawozdawczym Punkt Informacyjny Urzędu Miejskiego, ze względu na pandemię, obsłużył znacznie mniej klientów, tj. około </w:t>
      </w:r>
      <w:r w:rsidRPr="00E00B35">
        <w:rPr>
          <w:bCs/>
          <w:color w:val="000000"/>
          <w:szCs w:val="20"/>
        </w:rPr>
        <w:t xml:space="preserve">35 000 </w:t>
      </w:r>
      <w:r w:rsidRPr="00E00B35">
        <w:rPr>
          <w:color w:val="000000"/>
          <w:szCs w:val="20"/>
        </w:rPr>
        <w:t xml:space="preserve">– co dało około </w:t>
      </w:r>
      <w:r w:rsidRPr="00E00B35">
        <w:rPr>
          <w:bCs/>
          <w:color w:val="000000"/>
          <w:szCs w:val="20"/>
        </w:rPr>
        <w:t>133</w:t>
      </w:r>
      <w:r w:rsidRPr="00E00B35">
        <w:rPr>
          <w:color w:val="000000"/>
          <w:szCs w:val="20"/>
        </w:rPr>
        <w:t xml:space="preserve"> klientów dziennie, w tym około </w:t>
      </w:r>
      <w:r w:rsidRPr="00E00B35">
        <w:rPr>
          <w:bCs/>
          <w:color w:val="000000"/>
          <w:szCs w:val="20"/>
        </w:rPr>
        <w:t>45</w:t>
      </w:r>
      <w:r w:rsidRPr="00E00B35">
        <w:rPr>
          <w:color w:val="000000"/>
          <w:szCs w:val="20"/>
        </w:rPr>
        <w:t xml:space="preserve"> informacji telefonicznych dziennie, co w skali roku dało wynik około </w:t>
      </w:r>
      <w:r w:rsidRPr="00E00B35">
        <w:rPr>
          <w:bCs/>
          <w:color w:val="000000"/>
          <w:szCs w:val="20"/>
        </w:rPr>
        <w:t>11 800.</w:t>
      </w:r>
    </w:p>
    <w:p w:rsidR="00E96768" w:rsidRPr="00E00B35" w:rsidRDefault="00000B36" w:rsidP="00E00B35">
      <w:pPr>
        <w:pStyle w:val="Nagwek4"/>
        <w:spacing w:before="0" w:after="0" w:line="312" w:lineRule="auto"/>
        <w:rPr>
          <w:sz w:val="20"/>
          <w:szCs w:val="20"/>
        </w:rPr>
      </w:pPr>
      <w:r w:rsidRPr="00E00B35">
        <w:rPr>
          <w:sz w:val="20"/>
          <w:szCs w:val="20"/>
        </w:rPr>
        <w:br/>
      </w:r>
      <w:r w:rsidR="00E96768" w:rsidRPr="00E00B35">
        <w:rPr>
          <w:sz w:val="20"/>
          <w:szCs w:val="20"/>
        </w:rPr>
        <w:t xml:space="preserve">WYBORY </w:t>
      </w:r>
    </w:p>
    <w:p w:rsidR="00E96768" w:rsidRPr="00E00B35" w:rsidRDefault="00E96768" w:rsidP="00E00B35">
      <w:pPr>
        <w:pStyle w:val="Nagwek5"/>
        <w:rPr>
          <w:szCs w:val="20"/>
        </w:rPr>
      </w:pPr>
      <w:r w:rsidRPr="00E00B35">
        <w:rPr>
          <w:szCs w:val="20"/>
        </w:rPr>
        <w:t>WYBORY PREZYDENTA RZECZYPOSPOLITEJ POLSKIEJ</w:t>
      </w:r>
    </w:p>
    <w:p w:rsidR="00E96768" w:rsidRPr="00E00B35" w:rsidRDefault="00E96768" w:rsidP="00E00B35">
      <w:pPr>
        <w:autoSpaceDE w:val="0"/>
        <w:autoSpaceDN w:val="0"/>
        <w:adjustRightInd w:val="0"/>
        <w:spacing w:after="0" w:line="312" w:lineRule="auto"/>
        <w:rPr>
          <w:color w:val="000000"/>
          <w:szCs w:val="20"/>
        </w:rPr>
      </w:pPr>
      <w:r w:rsidRPr="00E00B35">
        <w:rPr>
          <w:color w:val="000000"/>
          <w:szCs w:val="20"/>
        </w:rPr>
        <w:t xml:space="preserve">W związku z postanowieniem Marszałka Sejmu Rzeczypospolitej Polskiej z dnia 3 czerwca </w:t>
      </w:r>
      <w:r w:rsidRPr="00E00B35">
        <w:rPr>
          <w:color w:val="000000"/>
          <w:szCs w:val="20"/>
        </w:rPr>
        <w:br/>
        <w:t xml:space="preserve">2020 roku w sprawie zarządzenia wyborów Prezydenta Rzeczypospolitej Polskiej na dzień </w:t>
      </w:r>
      <w:r w:rsidRPr="00E00B35">
        <w:rPr>
          <w:color w:val="000000"/>
          <w:szCs w:val="20"/>
        </w:rPr>
        <w:br/>
        <w:t>28 czerwca 2020 roku (II tura wyborów - 12 lipca 2020 roku):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przygotowano informację o numerach i granicach stałych obwodów głosowania,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sporządzono geografię wyborczą potrzebną dla wydrukowania spisów wyborców,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wydrukowano spisy wyborców dla 282 stałych obwodów głosowania oraz dla 30 odrębnych obwodów głosowania utworzonych w szpitalach, zakładach pomocy społecznej, zakładach karnych i aresztach śledczych,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dokonano aktualizacji spisów wyborców.</w:t>
      </w:r>
    </w:p>
    <w:p w:rsidR="00E96768" w:rsidRPr="00E00B35" w:rsidRDefault="00E96768" w:rsidP="00E00B35">
      <w:pPr>
        <w:pStyle w:val="15Spraweprowadzi"/>
        <w:spacing w:after="0" w:line="312" w:lineRule="auto"/>
        <w:jc w:val="left"/>
        <w:rPr>
          <w:color w:val="FF0000"/>
          <w:sz w:val="20"/>
          <w:szCs w:val="20"/>
        </w:rPr>
      </w:pPr>
    </w:p>
    <w:p w:rsidR="00E96768" w:rsidRPr="00E00B35" w:rsidRDefault="00E96768" w:rsidP="00E00B35">
      <w:pPr>
        <w:pStyle w:val="15Spraweprowadzi"/>
        <w:spacing w:after="0" w:line="312" w:lineRule="auto"/>
        <w:jc w:val="left"/>
        <w:rPr>
          <w:sz w:val="20"/>
          <w:szCs w:val="20"/>
        </w:rPr>
      </w:pPr>
      <w:r w:rsidRPr="00E00B35">
        <w:rPr>
          <w:sz w:val="20"/>
          <w:szCs w:val="20"/>
        </w:rPr>
        <w:lastRenderedPageBreak/>
        <w:t>W ramach aktualizacji spisów wyborców sporządzonych do przeprowadzenia I tury wyborów Prezydenta RP wykonano następujące czynności:</w:t>
      </w:r>
    </w:p>
    <w:p w:rsidR="00E96768" w:rsidRPr="00E00B35" w:rsidRDefault="00E96768" w:rsidP="00E00B35">
      <w:pPr>
        <w:pStyle w:val="15Spraweprowadzi"/>
        <w:spacing w:after="0" w:line="312" w:lineRule="auto"/>
        <w:jc w:val="left"/>
        <w:rPr>
          <w:sz w:val="20"/>
          <w:szCs w:val="20"/>
        </w:rPr>
      </w:pPr>
      <w:r w:rsidRPr="00E00B35">
        <w:rPr>
          <w:sz w:val="20"/>
          <w:szCs w:val="20"/>
        </w:rPr>
        <w:t xml:space="preserve">Wykreślono 33 226 osób ze spisów wyborców </w:t>
      </w:r>
    </w:p>
    <w:p w:rsidR="00E96768" w:rsidRPr="00E00B35" w:rsidRDefault="00E96768" w:rsidP="00E00B35">
      <w:pPr>
        <w:pStyle w:val="15Spraweprowadzi"/>
        <w:spacing w:after="0" w:line="312" w:lineRule="auto"/>
        <w:jc w:val="left"/>
        <w:rPr>
          <w:sz w:val="20"/>
          <w:szCs w:val="20"/>
        </w:rPr>
      </w:pPr>
      <w:r w:rsidRPr="00E00B35">
        <w:rPr>
          <w:sz w:val="20"/>
          <w:szCs w:val="20"/>
        </w:rPr>
        <w:t>Wydano zaświadczenia o prawie do głosowania dla 5 270 osób</w:t>
      </w:r>
    </w:p>
    <w:p w:rsidR="00E96768" w:rsidRPr="00E00B35" w:rsidRDefault="00E96768" w:rsidP="00E00B35">
      <w:pPr>
        <w:pStyle w:val="15Spraweprowadzi"/>
        <w:spacing w:after="0" w:line="312" w:lineRule="auto"/>
        <w:jc w:val="left"/>
        <w:rPr>
          <w:sz w:val="20"/>
          <w:szCs w:val="20"/>
        </w:rPr>
      </w:pPr>
      <w:r w:rsidRPr="00E00B35">
        <w:rPr>
          <w:sz w:val="20"/>
          <w:szCs w:val="20"/>
        </w:rPr>
        <w:t>Przyjęto wnioski o dopisanie do spisu wyborców od 35 887 osób</w:t>
      </w:r>
    </w:p>
    <w:p w:rsidR="00E96768" w:rsidRPr="00E00B35" w:rsidRDefault="00E96768" w:rsidP="00E00B35">
      <w:pPr>
        <w:pStyle w:val="15Spraweprowadzi"/>
        <w:spacing w:after="0" w:line="312" w:lineRule="auto"/>
        <w:jc w:val="left"/>
        <w:rPr>
          <w:sz w:val="20"/>
          <w:szCs w:val="20"/>
        </w:rPr>
      </w:pPr>
      <w:r w:rsidRPr="00E00B35">
        <w:rPr>
          <w:sz w:val="20"/>
          <w:szCs w:val="20"/>
        </w:rPr>
        <w:t>Przyjęto wnioski o sporządzenie aktu pełnomocnictwa od 211 osób</w:t>
      </w:r>
    </w:p>
    <w:p w:rsidR="00E96768" w:rsidRPr="00E00B35" w:rsidRDefault="00E96768" w:rsidP="00E00B35">
      <w:pPr>
        <w:pStyle w:val="15Spraweprowadzi"/>
        <w:spacing w:after="0" w:line="312" w:lineRule="auto"/>
        <w:jc w:val="left"/>
        <w:rPr>
          <w:sz w:val="20"/>
          <w:szCs w:val="20"/>
        </w:rPr>
      </w:pPr>
      <w:r w:rsidRPr="00E00B35">
        <w:rPr>
          <w:sz w:val="20"/>
          <w:szCs w:val="20"/>
        </w:rPr>
        <w:t>Przyjęto zgłoszenia głosowania korespondencyjnego od 4 066 osób</w:t>
      </w:r>
    </w:p>
    <w:p w:rsidR="00E96768" w:rsidRPr="00E00B35" w:rsidRDefault="00E96768" w:rsidP="00E00B35">
      <w:pPr>
        <w:pStyle w:val="15Spraweprowadzi"/>
        <w:spacing w:after="0" w:line="312" w:lineRule="auto"/>
        <w:jc w:val="left"/>
        <w:rPr>
          <w:bCs/>
          <w:sz w:val="20"/>
          <w:szCs w:val="20"/>
        </w:rPr>
      </w:pPr>
    </w:p>
    <w:p w:rsidR="00E96768" w:rsidRPr="00E00B35" w:rsidRDefault="00E96768" w:rsidP="00E00B35">
      <w:pPr>
        <w:pStyle w:val="15Spraweprowadzi"/>
        <w:spacing w:after="0" w:line="312" w:lineRule="auto"/>
        <w:jc w:val="left"/>
        <w:rPr>
          <w:sz w:val="20"/>
          <w:szCs w:val="20"/>
        </w:rPr>
      </w:pPr>
      <w:r w:rsidRPr="00E00B35">
        <w:rPr>
          <w:sz w:val="20"/>
          <w:szCs w:val="20"/>
        </w:rPr>
        <w:t>W ramach aktualizacji spisów wyborców sporządzonych do przeprowadzenia II tury wyborów Prezydenta RP wykonano następujące czynności:</w:t>
      </w:r>
    </w:p>
    <w:p w:rsidR="00E96768" w:rsidRPr="00E00B35" w:rsidRDefault="00E96768" w:rsidP="00E00B35">
      <w:pPr>
        <w:pStyle w:val="15Spraweprowadzi"/>
        <w:spacing w:after="0" w:line="312" w:lineRule="auto"/>
        <w:jc w:val="left"/>
        <w:rPr>
          <w:sz w:val="20"/>
          <w:szCs w:val="20"/>
        </w:rPr>
      </w:pPr>
      <w:r w:rsidRPr="00E00B35">
        <w:rPr>
          <w:sz w:val="20"/>
          <w:szCs w:val="20"/>
        </w:rPr>
        <w:t>Wykreślono ze spisów wyborców 2 973 osoby</w:t>
      </w:r>
    </w:p>
    <w:p w:rsidR="00E96768" w:rsidRPr="00E00B35" w:rsidRDefault="00E96768" w:rsidP="00E00B35">
      <w:pPr>
        <w:pStyle w:val="15Spraweprowadzi"/>
        <w:spacing w:after="0" w:line="312" w:lineRule="auto"/>
        <w:jc w:val="left"/>
        <w:rPr>
          <w:sz w:val="20"/>
          <w:szCs w:val="20"/>
        </w:rPr>
      </w:pPr>
      <w:r w:rsidRPr="00E00B35">
        <w:rPr>
          <w:sz w:val="20"/>
          <w:szCs w:val="20"/>
        </w:rPr>
        <w:t>Wydano zaświadczenia o prawie do głosowania dla 9 687 osób</w:t>
      </w:r>
    </w:p>
    <w:p w:rsidR="00E96768" w:rsidRPr="00E00B35" w:rsidRDefault="00E96768" w:rsidP="00E00B35">
      <w:pPr>
        <w:pStyle w:val="15Spraweprowadzi"/>
        <w:spacing w:after="0" w:line="312" w:lineRule="auto"/>
        <w:jc w:val="left"/>
        <w:rPr>
          <w:sz w:val="20"/>
          <w:szCs w:val="20"/>
        </w:rPr>
      </w:pPr>
      <w:r w:rsidRPr="00E00B35">
        <w:rPr>
          <w:sz w:val="20"/>
          <w:szCs w:val="20"/>
        </w:rPr>
        <w:t>Przyjęto wnioski o dopisanie do spisu wyborców od 11 373 osób</w:t>
      </w:r>
    </w:p>
    <w:p w:rsidR="00E96768" w:rsidRPr="00E00B35" w:rsidRDefault="00E96768" w:rsidP="00E00B35">
      <w:pPr>
        <w:pStyle w:val="15Spraweprowadzi"/>
        <w:spacing w:after="0" w:line="312" w:lineRule="auto"/>
        <w:jc w:val="left"/>
        <w:rPr>
          <w:sz w:val="20"/>
          <w:szCs w:val="20"/>
        </w:rPr>
      </w:pPr>
      <w:r w:rsidRPr="00E00B35">
        <w:rPr>
          <w:sz w:val="20"/>
          <w:szCs w:val="20"/>
        </w:rPr>
        <w:t>Przyjęto wnioski o sporządzenie aktu pełnomocnictwa od 73 osób</w:t>
      </w:r>
    </w:p>
    <w:p w:rsidR="00E96768" w:rsidRPr="00E00B35" w:rsidRDefault="00E96768" w:rsidP="00E00B35">
      <w:pPr>
        <w:pStyle w:val="15Spraweprowadzi"/>
        <w:spacing w:after="0" w:line="312" w:lineRule="auto"/>
        <w:jc w:val="left"/>
        <w:rPr>
          <w:sz w:val="20"/>
          <w:szCs w:val="20"/>
        </w:rPr>
      </w:pPr>
      <w:r w:rsidRPr="00E00B35">
        <w:rPr>
          <w:sz w:val="20"/>
          <w:szCs w:val="20"/>
        </w:rPr>
        <w:t>Przyjęto zgłoszenia głosowania korespondencyjnego od 583 osób</w:t>
      </w:r>
    </w:p>
    <w:p w:rsidR="00000B36" w:rsidRPr="00E00B35" w:rsidRDefault="00000B36" w:rsidP="00E00B35">
      <w:pPr>
        <w:pStyle w:val="15Spraweprowadzi"/>
        <w:spacing w:after="0" w:line="312" w:lineRule="auto"/>
        <w:jc w:val="left"/>
        <w:rPr>
          <w:sz w:val="20"/>
          <w:szCs w:val="20"/>
        </w:rPr>
      </w:pPr>
    </w:p>
    <w:p w:rsidR="00E96768" w:rsidRPr="00E00B35" w:rsidRDefault="00E96768" w:rsidP="00E00B35">
      <w:pPr>
        <w:pStyle w:val="Nagwek4"/>
        <w:spacing w:before="0" w:after="0" w:line="312" w:lineRule="auto"/>
        <w:rPr>
          <w:sz w:val="20"/>
          <w:szCs w:val="20"/>
        </w:rPr>
      </w:pPr>
      <w:r w:rsidRPr="00E00B35">
        <w:rPr>
          <w:sz w:val="20"/>
          <w:szCs w:val="20"/>
        </w:rPr>
        <w:t>TELEINFORMATYCZNE CENTRUM OBSŁUGI MIESZKAŃCA</w:t>
      </w:r>
    </w:p>
    <w:p w:rsidR="00E96768" w:rsidRPr="00E00B35" w:rsidRDefault="00E96768" w:rsidP="00E00B35">
      <w:pPr>
        <w:pStyle w:val="Nagwek5"/>
        <w:rPr>
          <w:szCs w:val="20"/>
        </w:rPr>
      </w:pPr>
      <w:bookmarkStart w:id="29" w:name="_Toc471717759"/>
      <w:bookmarkEnd w:id="28"/>
      <w:r w:rsidRPr="00E00B35">
        <w:rPr>
          <w:szCs w:val="20"/>
        </w:rPr>
        <w:t xml:space="preserve">ILOŚĆ OBSŁUŻONYCH POŁĄCZEŃ OD MIESZKAŃCÓW </w:t>
      </w:r>
    </w:p>
    <w:p w:rsidR="00E96768" w:rsidRPr="00E00B35" w:rsidRDefault="00E96768" w:rsidP="00E00B35">
      <w:pPr>
        <w:spacing w:after="0" w:line="312" w:lineRule="auto"/>
        <w:rPr>
          <w:szCs w:val="20"/>
        </w:rPr>
      </w:pPr>
      <w:r w:rsidRPr="00E00B35">
        <w:rPr>
          <w:szCs w:val="20"/>
        </w:rPr>
        <w:t>Ilość obsłużonych przez Teleinformatyczne Centrum Obsługi Mieszkańca połączeń prezentuje poniższe zestawienie: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Styczeń 14 378</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Luty 14 744</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Marzec 17 009</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Kwiecień 12 659</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Maj 16 890</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Czerwiec 20 772</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Lipiec 19 440</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Sierpień 15 005</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Wrzesień 9 524</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Październik 10 063</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Listopad 11 040</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Grudzień 15 377</w:t>
      </w:r>
    </w:p>
    <w:p w:rsidR="00E96768" w:rsidRPr="00E00B35" w:rsidRDefault="00000B36" w:rsidP="00E00B35">
      <w:pPr>
        <w:spacing w:after="0" w:line="312" w:lineRule="auto"/>
        <w:rPr>
          <w:bCs/>
          <w:szCs w:val="20"/>
        </w:rPr>
      </w:pPr>
      <w:r w:rsidRPr="00E00B35">
        <w:rPr>
          <w:bCs/>
          <w:szCs w:val="20"/>
        </w:rPr>
        <w:br/>
      </w:r>
      <w:r w:rsidR="00E96768" w:rsidRPr="00E00B35">
        <w:rPr>
          <w:bCs/>
          <w:szCs w:val="20"/>
        </w:rPr>
        <w:t xml:space="preserve">Od początku 2020 roku w sumie obsłużonych zostało 176 901 połączeń telefonicznych, </w:t>
      </w:r>
      <w:r w:rsidR="00E96768" w:rsidRPr="00E00B35">
        <w:rPr>
          <w:bCs/>
          <w:szCs w:val="20"/>
        </w:rPr>
        <w:br/>
        <w:t>a średnia miesięczna ilość połączeń wyniosła 14 741.</w:t>
      </w:r>
    </w:p>
    <w:p w:rsidR="00E96768" w:rsidRPr="00E00B35" w:rsidRDefault="00E96768" w:rsidP="00E00B35">
      <w:pPr>
        <w:spacing w:after="0" w:line="312" w:lineRule="auto"/>
        <w:rPr>
          <w:bCs/>
          <w:szCs w:val="20"/>
        </w:rPr>
      </w:pPr>
      <w:r w:rsidRPr="00E00B35">
        <w:rPr>
          <w:bCs/>
          <w:szCs w:val="20"/>
        </w:rPr>
        <w:t>W 2020 roku TCOM obsługiwał również dodatkowe kampanie informacyjne w tym: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obsługa zgłoszeń telefonicznych Help Desk – 7 718 połączeń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Wybory prezydenckie – 7 218 połączeń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Nieodpłatna Pomoc Prawna – 4 011 połączeń,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PUP mikropożyczki – 1 009 połączeń,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Nasz Wrocław – 586 połączeń,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Program KAWKA – 360 połączeń.</w:t>
      </w:r>
    </w:p>
    <w:p w:rsidR="00E96768" w:rsidRPr="00E00B35" w:rsidRDefault="00000B36" w:rsidP="00E00B35">
      <w:pPr>
        <w:pStyle w:val="Nagwek5"/>
        <w:rPr>
          <w:szCs w:val="20"/>
        </w:rPr>
      </w:pPr>
      <w:bookmarkStart w:id="30" w:name="_Toc471717752"/>
      <w:r w:rsidRPr="00E00B35">
        <w:rPr>
          <w:szCs w:val="20"/>
          <w:lang w:val="pl-PL"/>
        </w:rPr>
        <w:lastRenderedPageBreak/>
        <w:br/>
      </w:r>
      <w:r w:rsidR="00E96768" w:rsidRPr="00E00B35">
        <w:rPr>
          <w:szCs w:val="20"/>
        </w:rPr>
        <w:t>PRZYPORZĄDKOWANIE TEMATÓW ZGŁOSZEŃ POSZCZEGÓLNYM WYDZIAŁOM</w:t>
      </w:r>
      <w:bookmarkEnd w:id="30"/>
    </w:p>
    <w:p w:rsidR="00E96768" w:rsidRPr="00E00B35" w:rsidRDefault="00E96768" w:rsidP="00E00B35">
      <w:pPr>
        <w:spacing w:after="0" w:line="312" w:lineRule="auto"/>
        <w:rPr>
          <w:rFonts w:cstheme="minorHAnsi"/>
          <w:szCs w:val="20"/>
        </w:rPr>
      </w:pPr>
      <w:r w:rsidRPr="00E00B35">
        <w:rPr>
          <w:rFonts w:cstheme="minorHAnsi"/>
          <w:szCs w:val="20"/>
        </w:rPr>
        <w:t xml:space="preserve">W 2020 roku najwięcej (45,6 %) rozmów telefonicznych dotyczyło tematów </w:t>
      </w:r>
      <w:r w:rsidRPr="00E00B35">
        <w:rPr>
          <w:rFonts w:cstheme="minorHAnsi"/>
          <w:szCs w:val="20"/>
        </w:rPr>
        <w:br/>
        <w:t xml:space="preserve">z zakresu Informacji Ogólnych urzędu (danych adresowych, nr telefonów i godzin przyjęć, numerów kont, prowadzonych kampanii, opłat oraz ogólnych informacji miejskich). Kolejnym obszarem tematycznym (31,9 %) były sprawy z obszaru WSO. </w:t>
      </w:r>
      <w:r w:rsidRPr="00E00B35">
        <w:rPr>
          <w:rFonts w:cstheme="minorHAnsi"/>
          <w:szCs w:val="20"/>
        </w:rPr>
        <w:br/>
        <w:t>z zakresu WAB obsłużono (8,2 %) tematów rozmów natomiast z WPO (6,1 %). Rozmów dotyczących spraw z zakresu DEU było (1,2 %), WZD (1,0 %).</w:t>
      </w:r>
    </w:p>
    <w:p w:rsidR="00E96768" w:rsidRPr="00E00B35" w:rsidRDefault="00E96768" w:rsidP="00E00B35">
      <w:pPr>
        <w:spacing w:after="0" w:line="312" w:lineRule="auto"/>
        <w:rPr>
          <w:rFonts w:cstheme="minorHAnsi"/>
          <w:szCs w:val="20"/>
        </w:rPr>
      </w:pPr>
      <w:r w:rsidRPr="00E00B35">
        <w:rPr>
          <w:rFonts w:cstheme="minorHAnsi"/>
          <w:szCs w:val="20"/>
        </w:rPr>
        <w:t xml:space="preserve">Reszta zdiagnozowanych obszarów tematycznych poruszanych w rozmowach </w:t>
      </w:r>
      <w:r w:rsidRPr="00E00B35">
        <w:rPr>
          <w:rFonts w:cstheme="minorHAnsi"/>
          <w:szCs w:val="20"/>
        </w:rPr>
        <w:br/>
        <w:t>z mieszkańcami, w podziale na poszczególne wydziały, wyniosła ilościowo poniżej procenta, co sumarycznie w kategorii  „Pozostałe”  stanowi (1,6 %).</w:t>
      </w:r>
    </w:p>
    <w:p w:rsidR="00E96768" w:rsidRPr="00E00B35" w:rsidRDefault="00E96768" w:rsidP="00E00B35">
      <w:pPr>
        <w:spacing w:after="0" w:line="312" w:lineRule="auto"/>
        <w:rPr>
          <w:rFonts w:cstheme="minorHAnsi"/>
          <w:szCs w:val="20"/>
        </w:rPr>
      </w:pPr>
      <w:r w:rsidRPr="00E00B35">
        <w:rPr>
          <w:rFonts w:cstheme="minorHAnsi"/>
          <w:szCs w:val="20"/>
        </w:rPr>
        <w:t>Dodatkowo (4,3 %) stanowiły połączenia z zakresu Help Desk CUI.</w:t>
      </w:r>
    </w:p>
    <w:p w:rsidR="00E96768" w:rsidRPr="00E00B35" w:rsidRDefault="00E96768" w:rsidP="00E00B35">
      <w:pPr>
        <w:pStyle w:val="Nagwek5"/>
        <w:rPr>
          <w:szCs w:val="20"/>
        </w:rPr>
      </w:pPr>
      <w:bookmarkStart w:id="31" w:name="_Toc471717753"/>
      <w:r w:rsidRPr="00E00B35">
        <w:rPr>
          <w:szCs w:val="20"/>
        </w:rPr>
        <w:t>ZGŁOSZENIA PRZEKAZANE DO SŁUŻB / JEDNOSTEK MIEJSKICH</w:t>
      </w:r>
      <w:bookmarkEnd w:id="31"/>
      <w:r w:rsidRPr="00E00B35">
        <w:rPr>
          <w:szCs w:val="20"/>
        </w:rPr>
        <w:t xml:space="preserve"> </w:t>
      </w:r>
    </w:p>
    <w:p w:rsidR="00E96768" w:rsidRPr="00E00B35" w:rsidRDefault="00E96768" w:rsidP="00E00B35">
      <w:pPr>
        <w:spacing w:after="0" w:line="312" w:lineRule="auto"/>
        <w:rPr>
          <w:rFonts w:cstheme="minorHAnsi"/>
          <w:szCs w:val="20"/>
        </w:rPr>
      </w:pPr>
      <w:r w:rsidRPr="00E00B35">
        <w:rPr>
          <w:rFonts w:cstheme="minorHAnsi"/>
          <w:szCs w:val="20"/>
        </w:rPr>
        <w:t>W 2020 roku najwięcej (49,3 %) zgłoszonych telefonicznie spraw od mieszkańców dotyczyło obszaru działania ZDiUM, (33,0 %) dotyczyło obszaru działania jednostki Ekosystem, (16,4 %) dotyczyło obszaru działania WBiZK (CZK), natomiast ZZM (0,9 %). Odpowiednio (0,3 %) i (0,1 %) stanowiły sprawy skierowane do Straży Miejskiej oraz Wrocławskiego Centrum Rozwoju Społecznego.</w:t>
      </w:r>
    </w:p>
    <w:p w:rsidR="00E96768" w:rsidRPr="00E00B35" w:rsidRDefault="00E96768" w:rsidP="00E00B35">
      <w:pPr>
        <w:pStyle w:val="Nagwek5"/>
        <w:rPr>
          <w:szCs w:val="20"/>
        </w:rPr>
      </w:pPr>
      <w:bookmarkStart w:id="32" w:name="_Toc471717754"/>
      <w:r w:rsidRPr="00E00B35">
        <w:rPr>
          <w:szCs w:val="20"/>
        </w:rPr>
        <w:t>KANAŁY KOMUNIKACJI ELEKTRONICZNEJ WYKORZYSTANE W OBSŁUDZE MIESZKAŃCA</w:t>
      </w:r>
      <w:bookmarkEnd w:id="32"/>
      <w:r w:rsidRPr="00E00B35">
        <w:rPr>
          <w:szCs w:val="20"/>
        </w:rPr>
        <w:t xml:space="preserve"> (BEZ UWZGLĘDNIENIA TELEFONÓW)</w:t>
      </w:r>
    </w:p>
    <w:p w:rsidR="00E96768" w:rsidRPr="00E00B35" w:rsidRDefault="00E96768" w:rsidP="00E00B35">
      <w:pPr>
        <w:spacing w:after="0" w:line="312" w:lineRule="auto"/>
        <w:rPr>
          <w:szCs w:val="20"/>
        </w:rPr>
      </w:pPr>
      <w:r w:rsidRPr="00E00B35">
        <w:rPr>
          <w:szCs w:val="20"/>
        </w:rPr>
        <w:t xml:space="preserve">Wśród obsłużonych w TCOM kanałów komunikacji elektronicznej 79% to zgłoszenia przekazane aplikacją mobilną MAM, a 21% pytań obsłużono poprzez formularze kontaktowe www. </w:t>
      </w:r>
    </w:p>
    <w:p w:rsidR="00E96768" w:rsidRPr="00E00B35" w:rsidRDefault="00E96768" w:rsidP="00E00B35">
      <w:pPr>
        <w:pStyle w:val="Nagwek5"/>
        <w:rPr>
          <w:szCs w:val="20"/>
        </w:rPr>
      </w:pPr>
      <w:bookmarkStart w:id="33" w:name="_Toc471717755"/>
      <w:r w:rsidRPr="00E00B35">
        <w:rPr>
          <w:szCs w:val="20"/>
        </w:rPr>
        <w:t>ŚREDNIE CZASY OBSŁUŻONYCH ROZMÓW TELEFONICZNYCH</w:t>
      </w:r>
      <w:bookmarkEnd w:id="33"/>
      <w:r w:rsidRPr="00E00B35">
        <w:rPr>
          <w:szCs w:val="20"/>
        </w:rPr>
        <w:t xml:space="preserve"> </w:t>
      </w:r>
    </w:p>
    <w:p w:rsidR="00E96768" w:rsidRPr="00E00B35" w:rsidRDefault="00E96768" w:rsidP="00E00B35">
      <w:pPr>
        <w:spacing w:after="0" w:line="312" w:lineRule="auto"/>
        <w:rPr>
          <w:szCs w:val="20"/>
        </w:rPr>
      </w:pPr>
      <w:r w:rsidRPr="00E00B35">
        <w:rPr>
          <w:szCs w:val="20"/>
        </w:rPr>
        <w:t xml:space="preserve">Rozkład średnich czasów połączeń w roku 2020 obrazuje poniższe zestawienie. Średni czas rozmów w całym roku 2020 to </w:t>
      </w:r>
      <w:r w:rsidRPr="00E00B35">
        <w:rPr>
          <w:b/>
          <w:szCs w:val="20"/>
        </w:rPr>
        <w:t>1 minuta 38 sekundy</w:t>
      </w:r>
      <w:r w:rsidRPr="00E00B35">
        <w:rPr>
          <w:szCs w:val="20"/>
        </w:rPr>
        <w:t xml:space="preserve">.  </w:t>
      </w:r>
    </w:p>
    <w:p w:rsidR="00E96768" w:rsidRPr="00E00B35" w:rsidRDefault="00E96768" w:rsidP="00E00B35">
      <w:pPr>
        <w:spacing w:after="0" w:line="312" w:lineRule="auto"/>
        <w:rPr>
          <w:szCs w:val="20"/>
        </w:rPr>
      </w:pPr>
      <w:r w:rsidRPr="00E00B35">
        <w:rPr>
          <w:szCs w:val="20"/>
        </w:rPr>
        <w:t>Dzięki na bieżąco prowadzonym analizom ruchu telefonicznego, zapewniona została odpowiednia ilość Konsultantów w poszczególnych godzinach pracy Teleinformatycznego Centrum Obsługi Mieszkańców, w wyniku czego odpowiedziano na wszystkie połączenia telefoniczne od mieszkańców.</w:t>
      </w:r>
    </w:p>
    <w:p w:rsidR="00E96768" w:rsidRPr="00E00B35" w:rsidRDefault="00E96768" w:rsidP="00BC64AB">
      <w:pPr>
        <w:pStyle w:val="Akapitzlist"/>
        <w:numPr>
          <w:ilvl w:val="0"/>
          <w:numId w:val="245"/>
        </w:numPr>
        <w:spacing w:after="0" w:line="312" w:lineRule="auto"/>
        <w:ind w:left="567" w:hanging="567"/>
        <w:rPr>
          <w:szCs w:val="20"/>
        </w:rPr>
      </w:pPr>
      <w:bookmarkStart w:id="34" w:name="_Toc471717756"/>
      <w:r w:rsidRPr="00E00B35">
        <w:rPr>
          <w:szCs w:val="20"/>
        </w:rPr>
        <w:t>Styczeń 1 min 28 sekundy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Luty 1 min 28 sekundy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Marzec 1 min 34 sekundy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Kwiecień 1 min 34 sekundy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Maj 1 min 34 sekundy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Czerwiec 1 min 46 sekundy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Lipiec 1 min 52 sekundy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Sierpień 1 min 41 sekundy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Wrzesień 1 min 37 sekundy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Październik 1 min 38 sekundy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Listopad 1 min 38 sekundy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Grudzień 1 min 41 sekundy</w:t>
      </w:r>
    </w:p>
    <w:p w:rsidR="00E96768" w:rsidRPr="00E00B35" w:rsidRDefault="00E96768" w:rsidP="00E00B35">
      <w:pPr>
        <w:pStyle w:val="Akapitzlist"/>
        <w:spacing w:after="0" w:line="312" w:lineRule="auto"/>
        <w:ind w:left="567"/>
        <w:rPr>
          <w:szCs w:val="20"/>
        </w:rPr>
      </w:pPr>
    </w:p>
    <w:p w:rsidR="00E96768" w:rsidRPr="00E00B35" w:rsidRDefault="00E96768" w:rsidP="00E00B35">
      <w:pPr>
        <w:pStyle w:val="Nagwek5"/>
        <w:rPr>
          <w:szCs w:val="20"/>
        </w:rPr>
      </w:pPr>
      <w:r w:rsidRPr="00E00B35">
        <w:rPr>
          <w:szCs w:val="20"/>
        </w:rPr>
        <w:lastRenderedPageBreak/>
        <w:t>PIKI ILOŚCI POŁĄCZEŃ W ROZBICIU NA POSZCZEGÓLNE PÓŁGODZINY DNIA PRACY</w:t>
      </w:r>
      <w:bookmarkEnd w:id="34"/>
      <w:r w:rsidRPr="00E00B35">
        <w:rPr>
          <w:szCs w:val="20"/>
        </w:rPr>
        <w:t xml:space="preserve"> </w:t>
      </w:r>
    </w:p>
    <w:p w:rsidR="00E96768" w:rsidRPr="00E00B35" w:rsidRDefault="00E96768" w:rsidP="00E00B35">
      <w:pPr>
        <w:spacing w:after="0" w:line="312" w:lineRule="auto"/>
        <w:rPr>
          <w:szCs w:val="20"/>
        </w:rPr>
      </w:pPr>
      <w:r w:rsidRPr="00E00B35">
        <w:rPr>
          <w:szCs w:val="20"/>
        </w:rPr>
        <w:t xml:space="preserve">W 2020 roku w oparciu o rozkład ilości połączeń obsługiwanych przez pracowników TCOM </w:t>
      </w:r>
      <w:r w:rsidRPr="00E00B35">
        <w:rPr>
          <w:szCs w:val="20"/>
        </w:rPr>
        <w:br/>
        <w:t xml:space="preserve">w ciągu dnia ich pracy, w rozbiciu na poszczególne półgodziny, w przedziale czasu pomiędzy godzinami 8.00 a 15.00 natężenie ruchu wyraźnie było największe. Poza tym przedziałem czasu (g. 15.30 – g. 17.45), ruch wyraźnie się zmniejszał. </w:t>
      </w:r>
    </w:p>
    <w:p w:rsidR="00E96768" w:rsidRPr="00E00B35" w:rsidRDefault="00000B36" w:rsidP="00E00B35">
      <w:pPr>
        <w:pStyle w:val="Nagwek5"/>
        <w:rPr>
          <w:szCs w:val="20"/>
        </w:rPr>
      </w:pPr>
      <w:bookmarkStart w:id="35" w:name="_Toc344981225"/>
      <w:bookmarkStart w:id="36" w:name="_Toc471717757"/>
      <w:r w:rsidRPr="00E00B35">
        <w:rPr>
          <w:szCs w:val="20"/>
          <w:lang w:val="pl-PL"/>
        </w:rPr>
        <w:br/>
      </w:r>
      <w:r w:rsidR="00E96768" w:rsidRPr="00E00B35">
        <w:rPr>
          <w:szCs w:val="20"/>
        </w:rPr>
        <w:t>REALIZACJA DODATKOWYCH PROCESÓW OBSŁUGI MIESZKAŃCÓW W TCOM</w:t>
      </w:r>
      <w:bookmarkEnd w:id="35"/>
      <w:bookmarkEnd w:id="36"/>
    </w:p>
    <w:p w:rsidR="00E96768" w:rsidRPr="00E00B35" w:rsidRDefault="00E96768" w:rsidP="00E00B35">
      <w:pPr>
        <w:autoSpaceDE w:val="0"/>
        <w:autoSpaceDN w:val="0"/>
        <w:adjustRightInd w:val="0"/>
        <w:spacing w:after="0" w:line="312" w:lineRule="auto"/>
        <w:rPr>
          <w:bCs/>
          <w:szCs w:val="20"/>
        </w:rPr>
      </w:pPr>
      <w:r w:rsidRPr="00E00B35">
        <w:rPr>
          <w:bCs/>
          <w:szCs w:val="20"/>
        </w:rPr>
        <w:t>W 2020 roku zespół TCOM WOK obsłużył dodatkowe kanały komunikacji elektronicznej: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434 – formularzy kontaktowych,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1 593 – zgłoszeń z aplikacji mobilnej MAM. </w:t>
      </w:r>
    </w:p>
    <w:p w:rsidR="00E96768" w:rsidRPr="00E00B35" w:rsidRDefault="00E96768" w:rsidP="00E00B35">
      <w:pPr>
        <w:pStyle w:val="Akapitzlist"/>
        <w:spacing w:after="0" w:line="312" w:lineRule="auto"/>
        <w:ind w:left="567"/>
        <w:rPr>
          <w:szCs w:val="20"/>
        </w:rPr>
      </w:pPr>
    </w:p>
    <w:p w:rsidR="00E96768" w:rsidRPr="00E00B35" w:rsidRDefault="00E96768" w:rsidP="00E00B35">
      <w:pPr>
        <w:pStyle w:val="Nagwek5"/>
        <w:rPr>
          <w:szCs w:val="20"/>
        </w:rPr>
      </w:pPr>
      <w:r w:rsidRPr="00E00B35">
        <w:rPr>
          <w:szCs w:val="20"/>
        </w:rPr>
        <w:t>PUNKT INFORMACYJNY</w:t>
      </w:r>
    </w:p>
    <w:p w:rsidR="00E96768" w:rsidRPr="00E00B35" w:rsidRDefault="00E96768" w:rsidP="00E00B35">
      <w:pPr>
        <w:spacing w:after="0" w:line="312" w:lineRule="auto"/>
        <w:rPr>
          <w:szCs w:val="20"/>
        </w:rPr>
      </w:pPr>
      <w:r w:rsidRPr="00E00B35">
        <w:rPr>
          <w:szCs w:val="20"/>
        </w:rPr>
        <w:t xml:space="preserve">W drugiej połowie miesiąca października 2020 roku został uruchomiony dodatkowy Punkt Informacji Ogólnej Urzędu Miejskiego Wrocławia zlokalizowany na parterze budynku przy ul. Gabrieli Zapolskiej 4, do którego obsługi zostali wyznaczeni pracownicy Zespołu TCOM. Od początku uruchomienia punktu do końca roku w sprawach związanych </w:t>
      </w:r>
      <w:r w:rsidRPr="00E00B35">
        <w:rPr>
          <w:szCs w:val="20"/>
        </w:rPr>
        <w:br/>
        <w:t xml:space="preserve">z procedurami UMW obsłużono bezpośrednio 2 936 klientów.  </w:t>
      </w:r>
    </w:p>
    <w:bookmarkEnd w:id="29"/>
    <w:p w:rsidR="00E96768" w:rsidRPr="00E00B35" w:rsidRDefault="00000B36" w:rsidP="00E00B35">
      <w:pPr>
        <w:pStyle w:val="Nagwek4"/>
        <w:spacing w:before="0" w:after="0" w:line="312" w:lineRule="auto"/>
        <w:rPr>
          <w:sz w:val="20"/>
          <w:szCs w:val="20"/>
        </w:rPr>
      </w:pPr>
      <w:r w:rsidRPr="00E00B35">
        <w:rPr>
          <w:sz w:val="20"/>
          <w:szCs w:val="20"/>
        </w:rPr>
        <w:br/>
      </w:r>
      <w:r w:rsidR="00E96768" w:rsidRPr="00E00B35">
        <w:rPr>
          <w:sz w:val="20"/>
          <w:szCs w:val="20"/>
        </w:rPr>
        <w:t>FUNKCJONOWANIE ZINTEGROWANEGO SYSTEMU ZARZĄDZANIA</w:t>
      </w:r>
    </w:p>
    <w:p w:rsidR="00E96768" w:rsidRPr="00E00B35" w:rsidRDefault="00E96768" w:rsidP="00E00B35">
      <w:pPr>
        <w:pStyle w:val="11Trescpisma"/>
        <w:spacing w:before="0" w:after="0" w:line="312" w:lineRule="auto"/>
        <w:jc w:val="left"/>
        <w:rPr>
          <w:rFonts w:cs="Arial"/>
          <w:b/>
          <w:color w:val="000000"/>
          <w:szCs w:val="20"/>
        </w:rPr>
      </w:pPr>
      <w:r w:rsidRPr="00E00B35">
        <w:rPr>
          <w:rFonts w:cs="Arial"/>
          <w:b/>
          <w:color w:val="000000"/>
          <w:szCs w:val="20"/>
        </w:rPr>
        <w:t xml:space="preserve">Realizacją zadań w zakresie Zintegrowanego Systemu Zarządzania kierował Pełnomocnik Prezydenta ds. Zintegrowanego Systemu Zarządzania. </w:t>
      </w:r>
    </w:p>
    <w:p w:rsidR="00E96768" w:rsidRPr="00E00B35" w:rsidRDefault="00E96768" w:rsidP="00E00B35">
      <w:pPr>
        <w:pStyle w:val="11Trescpisma"/>
        <w:spacing w:before="0" w:after="0" w:line="312" w:lineRule="auto"/>
        <w:jc w:val="left"/>
        <w:rPr>
          <w:rFonts w:cs="Arial"/>
          <w:color w:val="000000"/>
          <w:szCs w:val="20"/>
        </w:rPr>
      </w:pPr>
      <w:r w:rsidRPr="00E00B35">
        <w:rPr>
          <w:color w:val="000000"/>
          <w:szCs w:val="20"/>
        </w:rPr>
        <w:t xml:space="preserve">Od  marca do czerwca 2020 roku realizowane były szkolenia </w:t>
      </w:r>
      <w:r w:rsidRPr="00E00B35">
        <w:rPr>
          <w:rFonts w:cs="Arial"/>
          <w:color w:val="000000"/>
          <w:szCs w:val="20"/>
        </w:rPr>
        <w:t>dla Audytorów wewnętrznych (doskonalące) Zintegrowanego Systemu Zarządzania. W szkoleniach z zakresu Systemu Zarządzania Jakością, Systemu Bezpieczeństwa i Higieny Pracy oraz Systemu Ekozarządzania i Audytu (EMAS) wzięło udział 31 osób.</w:t>
      </w:r>
    </w:p>
    <w:p w:rsidR="00E96768" w:rsidRPr="00E00B35" w:rsidRDefault="00E96768" w:rsidP="00E00B35">
      <w:pPr>
        <w:tabs>
          <w:tab w:val="num" w:pos="720"/>
        </w:tabs>
        <w:autoSpaceDE w:val="0"/>
        <w:autoSpaceDN w:val="0"/>
        <w:adjustRightInd w:val="0"/>
        <w:spacing w:after="0" w:line="312" w:lineRule="auto"/>
        <w:rPr>
          <w:rFonts w:cs="Arial"/>
          <w:color w:val="000000"/>
          <w:szCs w:val="20"/>
        </w:rPr>
      </w:pPr>
      <w:r w:rsidRPr="00E00B35">
        <w:rPr>
          <w:rFonts w:cs="Arial"/>
          <w:color w:val="000000"/>
          <w:szCs w:val="20"/>
        </w:rPr>
        <w:t xml:space="preserve">W okresie od 23 czerwca do 1 września 2020 roku odbyły się audyty wewnętrzne zgodnie </w:t>
      </w:r>
      <w:r w:rsidRPr="00E00B35">
        <w:rPr>
          <w:rFonts w:cs="Arial"/>
          <w:color w:val="000000"/>
          <w:szCs w:val="20"/>
        </w:rPr>
        <w:br/>
        <w:t xml:space="preserve">z Planem audytów zatwierdzonym przez Prezydenta Wrocławia z dnia 18 czerwca 2020 roku. </w:t>
      </w:r>
    </w:p>
    <w:p w:rsidR="00E96768" w:rsidRPr="00E00B35" w:rsidRDefault="00E96768" w:rsidP="00E00B35">
      <w:pPr>
        <w:tabs>
          <w:tab w:val="num" w:pos="720"/>
        </w:tabs>
        <w:autoSpaceDE w:val="0"/>
        <w:autoSpaceDN w:val="0"/>
        <w:adjustRightInd w:val="0"/>
        <w:spacing w:after="0" w:line="312" w:lineRule="auto"/>
        <w:rPr>
          <w:rFonts w:cs="Arial"/>
          <w:color w:val="000000"/>
          <w:szCs w:val="20"/>
        </w:rPr>
      </w:pPr>
      <w:r w:rsidRPr="00E00B35">
        <w:rPr>
          <w:rFonts w:cs="Arial"/>
          <w:color w:val="000000"/>
          <w:szCs w:val="20"/>
        </w:rPr>
        <w:t>Audyty zaplanowano pod kątem standardów dotyczących: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zarządzania jakością</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zarządzania środowiskowego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zarządzania bezpieczeństwem i higieną pracy.</w:t>
      </w:r>
    </w:p>
    <w:p w:rsidR="00E96768" w:rsidRPr="00E00B35" w:rsidRDefault="00000B36" w:rsidP="00E00B35">
      <w:pPr>
        <w:tabs>
          <w:tab w:val="num" w:pos="720"/>
        </w:tabs>
        <w:autoSpaceDE w:val="0"/>
        <w:autoSpaceDN w:val="0"/>
        <w:adjustRightInd w:val="0"/>
        <w:spacing w:after="0" w:line="312" w:lineRule="auto"/>
        <w:rPr>
          <w:rFonts w:cs="Arial"/>
          <w:color w:val="000000"/>
          <w:szCs w:val="20"/>
        </w:rPr>
      </w:pPr>
      <w:r w:rsidRPr="00E00B35">
        <w:rPr>
          <w:rFonts w:cs="Arial"/>
          <w:color w:val="000000"/>
          <w:szCs w:val="20"/>
        </w:rPr>
        <w:br/>
      </w:r>
      <w:r w:rsidR="00E96768" w:rsidRPr="00E00B35">
        <w:rPr>
          <w:rFonts w:cs="Arial"/>
          <w:color w:val="000000"/>
          <w:szCs w:val="20"/>
        </w:rPr>
        <w:t>Audyt przeprowadzono w 26 komórkach organizacyjnych Urzędu we wszystkich Departamentach. W audytach brało udział 15 audytorów, powołanych Zarządzeniem Prezydenta nr K/21/20 z dnia 17 kwietnia 2020 roku w sprawie Wewnętrznego Audytu Zintegrowanego Systemu Zarządzania w Urzędzie Miejskim Wrocławia. 14 osób pełniło funkcję audytorów wiodących.</w:t>
      </w:r>
    </w:p>
    <w:p w:rsidR="00E96768" w:rsidRPr="00E00B35" w:rsidRDefault="00E96768" w:rsidP="00E00B35">
      <w:pPr>
        <w:tabs>
          <w:tab w:val="num" w:pos="720"/>
        </w:tabs>
        <w:autoSpaceDE w:val="0"/>
        <w:autoSpaceDN w:val="0"/>
        <w:adjustRightInd w:val="0"/>
        <w:spacing w:after="0" w:line="312" w:lineRule="auto"/>
        <w:rPr>
          <w:rFonts w:cs="Arial"/>
          <w:color w:val="000000"/>
          <w:szCs w:val="20"/>
        </w:rPr>
      </w:pPr>
      <w:r w:rsidRPr="00E00B35">
        <w:rPr>
          <w:rFonts w:cs="Arial"/>
          <w:color w:val="000000"/>
          <w:szCs w:val="20"/>
        </w:rPr>
        <w:t>W sierpniu przeprowadzono ocenę stanu formalno-prawnego, analizę aspektów środowiskowych, przedstawienie aktualnych praktyk i działań podejmowanych przez Urząd Miejski Wrocławia w zakresie zarządzania środowiskowego.</w:t>
      </w:r>
    </w:p>
    <w:p w:rsidR="00E96768" w:rsidRPr="00E00B35" w:rsidRDefault="00E96768" w:rsidP="00E00B35">
      <w:pPr>
        <w:pStyle w:val="Tekstpodstawowy2"/>
        <w:autoSpaceDE w:val="0"/>
        <w:autoSpaceDN w:val="0"/>
        <w:adjustRightInd w:val="0"/>
        <w:spacing w:after="0" w:line="312" w:lineRule="auto"/>
        <w:rPr>
          <w:rFonts w:cs="Arial"/>
          <w:color w:val="000000"/>
          <w:sz w:val="20"/>
          <w:szCs w:val="20"/>
        </w:rPr>
      </w:pPr>
      <w:r w:rsidRPr="00E00B35">
        <w:rPr>
          <w:rFonts w:cs="Arial"/>
          <w:color w:val="000000"/>
          <w:sz w:val="20"/>
          <w:szCs w:val="20"/>
        </w:rPr>
        <w:lastRenderedPageBreak/>
        <w:t>W wyniku działań prowadzonych w I półroczu, w miesiącach lipiec-październik 2020 r. dokonano aktualizacji dokumentacji systemowej.</w:t>
      </w:r>
    </w:p>
    <w:p w:rsidR="00E96768" w:rsidRPr="00E00B35" w:rsidRDefault="00E96768" w:rsidP="00E00B35">
      <w:pPr>
        <w:pStyle w:val="Tekstpodstawowy2"/>
        <w:spacing w:after="0" w:line="312" w:lineRule="auto"/>
        <w:rPr>
          <w:color w:val="000000"/>
          <w:sz w:val="20"/>
          <w:szCs w:val="20"/>
        </w:rPr>
      </w:pPr>
      <w:r w:rsidRPr="00E00B35">
        <w:rPr>
          <w:color w:val="000000"/>
          <w:sz w:val="20"/>
          <w:szCs w:val="20"/>
        </w:rPr>
        <w:t>We wrześniu 2020 roku odbył się Przegląd Zarządzania,</w:t>
      </w:r>
      <w:r w:rsidRPr="00E00B35">
        <w:rPr>
          <w:rFonts w:cs="Arial"/>
          <w:color w:val="000000"/>
          <w:sz w:val="20"/>
          <w:szCs w:val="20"/>
        </w:rPr>
        <w:t xml:space="preserve"> na którym ustalono adekwatność polityki Zintegrowanego Systemu Zarządzania, stopień realizacji celów ZSZ oraz działania doskonalące na 2020 r</w:t>
      </w:r>
      <w:r w:rsidRPr="00E00B35">
        <w:rPr>
          <w:color w:val="000000"/>
          <w:sz w:val="20"/>
          <w:szCs w:val="20"/>
        </w:rPr>
        <w:t xml:space="preserve">oku. </w:t>
      </w:r>
    </w:p>
    <w:p w:rsidR="00E96768" w:rsidRPr="00E00B35" w:rsidRDefault="00E96768" w:rsidP="00E00B35">
      <w:pPr>
        <w:tabs>
          <w:tab w:val="num" w:pos="720"/>
        </w:tabs>
        <w:autoSpaceDE w:val="0"/>
        <w:autoSpaceDN w:val="0"/>
        <w:adjustRightInd w:val="0"/>
        <w:spacing w:after="0" w:line="312" w:lineRule="auto"/>
        <w:rPr>
          <w:color w:val="000000"/>
          <w:szCs w:val="20"/>
        </w:rPr>
      </w:pPr>
      <w:r w:rsidRPr="00E00B35">
        <w:rPr>
          <w:color w:val="000000"/>
          <w:szCs w:val="20"/>
        </w:rPr>
        <w:t>Urząd po raz kolejny pozytywnie przeszedł weryfikację Systemu Ekozarządzania i Audytu EMAS. Weryfikację przeprowadziła firma zewnętrzna, czego poświadczeniem jest Oświadczenie weryfikatora środowiskowego w sprawie czynności weryfikacyj</w:t>
      </w:r>
      <w:r w:rsidR="00000B36" w:rsidRPr="00E00B35">
        <w:rPr>
          <w:color w:val="000000"/>
          <w:szCs w:val="20"/>
        </w:rPr>
        <w:t xml:space="preserve">nych </w:t>
      </w:r>
      <w:r w:rsidRPr="00E00B35">
        <w:rPr>
          <w:color w:val="000000"/>
          <w:szCs w:val="20"/>
        </w:rPr>
        <w:t>i walidacyjnych z 29 października 2020 roku.</w:t>
      </w:r>
    </w:p>
    <w:p w:rsidR="00E96768" w:rsidRPr="00E00B35" w:rsidRDefault="00E96768" w:rsidP="00E00B35">
      <w:pPr>
        <w:tabs>
          <w:tab w:val="num" w:pos="720"/>
        </w:tabs>
        <w:autoSpaceDE w:val="0"/>
        <w:autoSpaceDN w:val="0"/>
        <w:adjustRightInd w:val="0"/>
        <w:spacing w:after="0" w:line="312" w:lineRule="auto"/>
        <w:rPr>
          <w:color w:val="000000"/>
          <w:szCs w:val="20"/>
        </w:rPr>
      </w:pPr>
      <w:r w:rsidRPr="00E00B35">
        <w:rPr>
          <w:color w:val="000000"/>
          <w:szCs w:val="20"/>
        </w:rPr>
        <w:t>Urząd Miejski Wrocławia, po pozytywnym wyniku audytu nadzoru, utrzymał certyfikat</w:t>
      </w:r>
      <w:r w:rsidRPr="00E00B35">
        <w:rPr>
          <w:color w:val="000000"/>
          <w:szCs w:val="20"/>
        </w:rPr>
        <w:br/>
        <w:t>w zakresie Systemu Zarządzania Jakością (ISO 9001:2015).</w:t>
      </w:r>
    </w:p>
    <w:p w:rsidR="00E96768" w:rsidRPr="00E00B35" w:rsidRDefault="00E96768" w:rsidP="00E00B35">
      <w:pPr>
        <w:tabs>
          <w:tab w:val="num" w:pos="720"/>
        </w:tabs>
        <w:autoSpaceDE w:val="0"/>
        <w:autoSpaceDN w:val="0"/>
        <w:adjustRightInd w:val="0"/>
        <w:spacing w:after="0" w:line="312" w:lineRule="auto"/>
        <w:rPr>
          <w:color w:val="000000"/>
          <w:szCs w:val="20"/>
        </w:rPr>
      </w:pPr>
      <w:r w:rsidRPr="00E00B35">
        <w:rPr>
          <w:color w:val="000000"/>
          <w:szCs w:val="20"/>
        </w:rPr>
        <w:t>Cały rok trwały prace nad przystosowaniem Urzędu do spełnienia wymagań Systemu Zarządzania Bezpieczeństwem i Higieną Pracy, czego  potwierdzeniem jest otrzymanie certyfikatu na zgodność z normą ISO 45001:2018.</w:t>
      </w:r>
    </w:p>
    <w:p w:rsidR="00E96768" w:rsidRPr="00E00B35" w:rsidRDefault="00E96768" w:rsidP="00E00B35">
      <w:pPr>
        <w:tabs>
          <w:tab w:val="num" w:pos="720"/>
        </w:tabs>
        <w:autoSpaceDE w:val="0"/>
        <w:autoSpaceDN w:val="0"/>
        <w:adjustRightInd w:val="0"/>
        <w:spacing w:after="0" w:line="312" w:lineRule="auto"/>
        <w:rPr>
          <w:rFonts w:cs="Arial"/>
          <w:color w:val="000000"/>
          <w:szCs w:val="20"/>
        </w:rPr>
      </w:pPr>
      <w:r w:rsidRPr="00E00B35">
        <w:rPr>
          <w:rFonts w:cs="Arial"/>
          <w:color w:val="000000"/>
          <w:szCs w:val="20"/>
        </w:rPr>
        <w:t>W ramach Zintegrowanego Systemu Zarządzania, prowadzone były szkolenia dla pracowników zatrudnianych w Urzędzie, praktykantów i stażystów w ramach obowiązkowych szkoleń wstępnych oraz w ramach służby przygotowawczej.</w:t>
      </w:r>
    </w:p>
    <w:p w:rsidR="00E96768" w:rsidRPr="00E00B35" w:rsidRDefault="00000B36" w:rsidP="00E00B35">
      <w:pPr>
        <w:pStyle w:val="Nagwek4"/>
        <w:spacing w:before="0" w:after="0" w:line="312" w:lineRule="auto"/>
        <w:rPr>
          <w:sz w:val="20"/>
          <w:szCs w:val="20"/>
        </w:rPr>
      </w:pPr>
      <w:r w:rsidRPr="00E00B35">
        <w:rPr>
          <w:sz w:val="20"/>
          <w:szCs w:val="20"/>
        </w:rPr>
        <w:br/>
      </w:r>
      <w:r w:rsidR="00E96768" w:rsidRPr="00E00B35">
        <w:rPr>
          <w:sz w:val="20"/>
          <w:szCs w:val="20"/>
        </w:rPr>
        <w:t>BIULETYN INFORMACJI PUBLICZNEJ</w:t>
      </w:r>
    </w:p>
    <w:p w:rsidR="00E96768" w:rsidRPr="00E00B35" w:rsidRDefault="00E96768" w:rsidP="00E00B35">
      <w:pPr>
        <w:spacing w:after="0" w:line="312" w:lineRule="auto"/>
        <w:rPr>
          <w:rFonts w:cs="Arial"/>
          <w:szCs w:val="20"/>
        </w:rPr>
      </w:pPr>
      <w:r w:rsidRPr="00E00B35">
        <w:rPr>
          <w:rFonts w:cs="Arial"/>
          <w:szCs w:val="20"/>
        </w:rPr>
        <w:t>Pomimo pandemii koronawirusa, która wpłynęła na każdą dziedzinę życia w 2020 roku zanotowaliśmy przyrost informacji, stron i zakładek w BIP Urzędu Miejskiego Wrocławia: 43 tysiące artykułów i 90 tysięcy załączników</w:t>
      </w:r>
      <w:r w:rsidRPr="00E00B35">
        <w:rPr>
          <w:rFonts w:cs="Arial"/>
          <w:color w:val="000000"/>
          <w:szCs w:val="20"/>
        </w:rPr>
        <w:t xml:space="preserve">. Wzrost liczby artykułów (+3 tys.) i załączników (+15 tys.) to niezmienna odpowiedź Redakcji i Urzędu na </w:t>
      </w:r>
      <w:r w:rsidRPr="00E00B35">
        <w:rPr>
          <w:rFonts w:cs="Arial"/>
          <w:szCs w:val="20"/>
        </w:rPr>
        <w:t xml:space="preserve">zapotrzebowanie klientów aby jak najwięcej informacji było dostępne przez Internet, stosowania zasady jak największej dostępności i przejrzystości informacji oraz sposób na zmniejszenie ilości wniosków o dostęp do informacji publicznej. </w:t>
      </w:r>
    </w:p>
    <w:p w:rsidR="00E96768" w:rsidRPr="00E00B35" w:rsidRDefault="00E96768" w:rsidP="00E00B35">
      <w:pPr>
        <w:spacing w:after="0" w:line="312" w:lineRule="auto"/>
        <w:rPr>
          <w:rFonts w:cs="Arial"/>
          <w:szCs w:val="20"/>
        </w:rPr>
      </w:pPr>
      <w:r w:rsidRPr="00E00B35">
        <w:rPr>
          <w:rFonts w:cs="Arial"/>
          <w:szCs w:val="20"/>
        </w:rPr>
        <w:t>Zespół redakcyjny (290 osób ściśle współpracujących z Redakcją, w tym 105 posiadających umiejętności u uprawnienia do samodzielnej aktualizacji stron) oraz pozostali pracownicy UM dbają by zamieszczane tam informacje były aktualne, kompletne i spełniały oczekiwania Klientów/internautów.</w:t>
      </w:r>
    </w:p>
    <w:p w:rsidR="005B50AD" w:rsidRPr="00E00B35" w:rsidRDefault="005B50AD" w:rsidP="00E00B35">
      <w:pPr>
        <w:spacing w:after="0" w:line="312" w:lineRule="auto"/>
        <w:rPr>
          <w:rFonts w:cs="Arial"/>
          <w:szCs w:val="20"/>
        </w:rPr>
      </w:pPr>
    </w:p>
    <w:p w:rsidR="00E96768" w:rsidRPr="00E00B35" w:rsidRDefault="00E96768" w:rsidP="00E00B35">
      <w:pPr>
        <w:pStyle w:val="Tekstpodstawowy"/>
        <w:spacing w:after="0" w:line="312" w:lineRule="auto"/>
        <w:rPr>
          <w:rFonts w:cs="Arial"/>
          <w:b/>
          <w:szCs w:val="20"/>
        </w:rPr>
      </w:pPr>
      <w:r w:rsidRPr="00E00B35">
        <w:rPr>
          <w:rFonts w:cs="Arial"/>
          <w:b/>
          <w:szCs w:val="20"/>
        </w:rPr>
        <w:t xml:space="preserve">Statystyki odwiedzin potwierdzają, że te działania idą w dobrym kierunku. </w:t>
      </w:r>
    </w:p>
    <w:p w:rsidR="00E96768" w:rsidRPr="00E00B35" w:rsidRDefault="00E96768" w:rsidP="00E00B35">
      <w:pPr>
        <w:pStyle w:val="Tekstpodstawowy"/>
        <w:spacing w:after="0" w:line="312" w:lineRule="auto"/>
        <w:rPr>
          <w:rFonts w:cs="Arial"/>
          <w:szCs w:val="20"/>
        </w:rPr>
      </w:pPr>
      <w:r w:rsidRPr="00E00B35">
        <w:rPr>
          <w:rFonts w:cs="Arial"/>
          <w:szCs w:val="20"/>
        </w:rPr>
        <w:t xml:space="preserve">Wśród najczęściej odwiedzanych stron znajdują się niezmiennie: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Oferty pracy (145 opublikowanych ogłoszeń o naborze),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Przetargi, oferty miasta (138 opublikowanych postępowań),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Przetargi na nieruchomości (320 opublikowanych ogłoszeń),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Urzędowy wykaz wniosków o udostępnienie informacji (827 opublikowanych wniosków),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Poradnik Klienta (370 opisanych spraw).</w:t>
      </w:r>
    </w:p>
    <w:p w:rsidR="00E96768" w:rsidRPr="00E00B35" w:rsidRDefault="00E96768" w:rsidP="00E00B35">
      <w:pPr>
        <w:spacing w:after="0" w:line="312" w:lineRule="auto"/>
        <w:rPr>
          <w:rFonts w:cs="Arial"/>
          <w:szCs w:val="20"/>
        </w:rPr>
      </w:pPr>
    </w:p>
    <w:p w:rsidR="00E96768" w:rsidRPr="00E00B35" w:rsidRDefault="00E96768" w:rsidP="00E00B35">
      <w:pPr>
        <w:spacing w:after="0" w:line="312" w:lineRule="auto"/>
        <w:rPr>
          <w:rFonts w:cs="Arial"/>
          <w:szCs w:val="20"/>
        </w:rPr>
      </w:pPr>
      <w:r w:rsidRPr="00E00B35">
        <w:rPr>
          <w:rFonts w:cs="Arial"/>
          <w:szCs w:val="20"/>
        </w:rPr>
        <w:t>Zdecydowanie większym zainteresowaniem w 2020 roku cieszyła się usługa</w:t>
      </w:r>
      <w:r w:rsidRPr="00E00B35">
        <w:rPr>
          <w:rFonts w:cs="Arial"/>
          <w:b/>
          <w:szCs w:val="20"/>
        </w:rPr>
        <w:t xml:space="preserve"> </w:t>
      </w:r>
      <w:r w:rsidRPr="00E00B35">
        <w:rPr>
          <w:rFonts w:cs="Arial"/>
          <w:szCs w:val="20"/>
        </w:rPr>
        <w:t>Wirtualnego Doradcy. Zanotowano 6 865 rozmów, podczas których zadano 13 340 pytań (wzrost odpowiednio o 2,5 tys. i 4,3 tys.).</w:t>
      </w:r>
    </w:p>
    <w:p w:rsidR="00E96768" w:rsidRPr="00E00B35" w:rsidRDefault="00E96768" w:rsidP="00E00B35">
      <w:pPr>
        <w:spacing w:after="0" w:line="312" w:lineRule="auto"/>
        <w:rPr>
          <w:szCs w:val="20"/>
        </w:rPr>
      </w:pPr>
      <w:r w:rsidRPr="00E00B35">
        <w:rPr>
          <w:rFonts w:cs="Arial"/>
          <w:szCs w:val="20"/>
        </w:rPr>
        <w:lastRenderedPageBreak/>
        <w:t xml:space="preserve">W ostatnim kwartale 2020 roku </w:t>
      </w:r>
      <w:r w:rsidRPr="00E00B35">
        <w:rPr>
          <w:szCs w:val="20"/>
        </w:rPr>
        <w:t>realizując w Gminie Wrocław jeden z celów RODO (przejrzystość) na BIP-ie pojawił się wyciąg z Rejestru Czynności Przetwarzania (http://bip.um.wroc.pl/rcp) prowadzony na podstawie dyspozycji art. 30.</w:t>
      </w:r>
    </w:p>
    <w:p w:rsidR="00E96768" w:rsidRPr="00E00B35" w:rsidRDefault="00E96768" w:rsidP="00E00B35">
      <w:pPr>
        <w:spacing w:after="0" w:line="312" w:lineRule="auto"/>
        <w:rPr>
          <w:szCs w:val="20"/>
        </w:rPr>
      </w:pPr>
      <w:r w:rsidRPr="00E00B35">
        <w:rPr>
          <w:szCs w:val="20"/>
        </w:rPr>
        <w:t>Uruchomiony został również nowy moduł architektoniczny do zgłaszania budowy instalacji gazowej i przebudowy budynków jednorodzinnych.</w:t>
      </w:r>
    </w:p>
    <w:p w:rsidR="00E96768" w:rsidRPr="00E00B35" w:rsidRDefault="00E96768" w:rsidP="00E00B35">
      <w:pPr>
        <w:spacing w:after="0" w:line="312" w:lineRule="auto"/>
        <w:rPr>
          <w:szCs w:val="20"/>
        </w:rPr>
      </w:pPr>
      <w:r w:rsidRPr="00E00B35">
        <w:rPr>
          <w:rFonts w:cs="Arial"/>
          <w:bCs/>
          <w:szCs w:val="20"/>
        </w:rPr>
        <w:t>W zakresie rozwoju firma prowadząca obsługę techniczną biuletynu,</w:t>
      </w:r>
      <w:r w:rsidRPr="00E00B35">
        <w:rPr>
          <w:rFonts w:cs="Arial"/>
          <w:b/>
          <w:bCs/>
          <w:szCs w:val="20"/>
        </w:rPr>
        <w:t xml:space="preserve"> </w:t>
      </w:r>
      <w:r w:rsidRPr="00E00B35">
        <w:rPr>
          <w:rFonts w:cs="Arial"/>
          <w:bCs/>
          <w:szCs w:val="20"/>
        </w:rPr>
        <w:t>przeprowadziła kilka aktualizacji systemu i zmodernizowała edytor w CMSie.</w:t>
      </w:r>
    </w:p>
    <w:p w:rsidR="00E96768" w:rsidRPr="00E00B35" w:rsidRDefault="00E96768" w:rsidP="00E00B35">
      <w:pPr>
        <w:spacing w:after="0" w:line="312" w:lineRule="auto"/>
        <w:rPr>
          <w:szCs w:val="20"/>
        </w:rPr>
      </w:pPr>
      <w:r w:rsidRPr="00E00B35">
        <w:rPr>
          <w:rFonts w:cs="Arial"/>
          <w:szCs w:val="20"/>
        </w:rPr>
        <w:t xml:space="preserve">W związku z obowiązującą ustawą o dostępności cyfrowej stron internetowych i aplikacji mobilnych w wyznaczonym czasie na stronach BIP pojawiła się Deklaracja dostępności oraz </w:t>
      </w:r>
      <w:r w:rsidRPr="00E00B35">
        <w:rPr>
          <w:szCs w:val="20"/>
        </w:rPr>
        <w:t xml:space="preserve">prowadzone były prace nad dostosowaniem systemu, stron i plików do wymogów cyfrowej dostępności. </w:t>
      </w:r>
    </w:p>
    <w:p w:rsidR="00E96768" w:rsidRPr="00E00B35" w:rsidRDefault="00E96768" w:rsidP="00E00B35">
      <w:pPr>
        <w:pStyle w:val="Tekstpodstawowy"/>
        <w:spacing w:after="0" w:line="312" w:lineRule="auto"/>
        <w:rPr>
          <w:rFonts w:cs="Arial"/>
          <w:b/>
          <w:bCs/>
          <w:szCs w:val="20"/>
        </w:rPr>
      </w:pPr>
    </w:p>
    <w:p w:rsidR="00E96768" w:rsidRPr="00E00B35" w:rsidRDefault="00E96768" w:rsidP="00E00B35">
      <w:pPr>
        <w:pStyle w:val="Nagwek4"/>
        <w:spacing w:before="0" w:after="0" w:line="312" w:lineRule="auto"/>
        <w:rPr>
          <w:sz w:val="20"/>
          <w:szCs w:val="20"/>
        </w:rPr>
      </w:pPr>
      <w:r w:rsidRPr="00E00B35">
        <w:rPr>
          <w:sz w:val="20"/>
          <w:szCs w:val="20"/>
        </w:rPr>
        <w:t>STAN BEZPIECZEŃSTWA I HIGIENY PRACY ORAZ REALIZACJI ZADAŃ PRZEZ ZESPÓŁ DS. BEZPIECZEŃSTWA I HIGIENY PRACY W URZĘDZIE MIEJSKIM WROCŁAWIA</w:t>
      </w:r>
    </w:p>
    <w:p w:rsidR="00E96768" w:rsidRPr="00E00B35" w:rsidRDefault="00E96768" w:rsidP="00E00B35">
      <w:pPr>
        <w:spacing w:after="0" w:line="312" w:lineRule="auto"/>
        <w:rPr>
          <w:rFonts w:cs="Arial"/>
          <w:szCs w:val="20"/>
          <w:shd w:val="clear" w:color="auto" w:fill="FFFFFF"/>
        </w:rPr>
      </w:pPr>
      <w:r w:rsidRPr="00E00B35">
        <w:rPr>
          <w:szCs w:val="20"/>
        </w:rPr>
        <w:t xml:space="preserve">Zespół ds. Bezpieczeństwa i Higieny Pracy realizuje zadania wynikające z Rozporządzenia Rady Ministrów z dnia 2 września 1997 roku w sprawie służby bezpieczeństwa i higieny pracy (Dz. U. Nr 109, poz. 704, ze zmianami z 2004 roku Nr 246, poz. 2468 oraz wynikające z 2005 roku Nr 117, poz. 986), Zarządzenia Nr 835/15 Prezydenta Wrocławia </w:t>
      </w:r>
      <w:r w:rsidRPr="00E00B35">
        <w:rPr>
          <w:szCs w:val="20"/>
        </w:rPr>
        <w:br/>
        <w:t xml:space="preserve">w sprawie Regulaminu Organizacyjnego Urzędu Miejskiego Wrocławia (ze zm.) oraz uwzględniając założenia Zintegrowanego Systemu Zarządzania, w tym wymogi normy </w:t>
      </w:r>
      <w:r w:rsidRPr="00E00B35">
        <w:rPr>
          <w:rFonts w:cs="Arial"/>
          <w:szCs w:val="20"/>
        </w:rPr>
        <w:t xml:space="preserve">PN-ISO 45001:2018 </w:t>
      </w:r>
      <w:r w:rsidRPr="00E00B35">
        <w:rPr>
          <w:rFonts w:cs="Arial"/>
          <w:szCs w:val="20"/>
          <w:shd w:val="clear" w:color="auto" w:fill="FFFFFF"/>
        </w:rPr>
        <w:t>Systemy zarządzania bezpieczeństwem i higieną pracy – Wymagania i wytyczne stosowania</w:t>
      </w:r>
      <w:r w:rsidRPr="00E00B35">
        <w:rPr>
          <w:szCs w:val="20"/>
        </w:rPr>
        <w:t xml:space="preserve">. Ogólne cele w tym zakresie, opisane są w zatwierdzonej przez Prezydenta Wrocławia Polityce Zintegrowanego Systemu Zarządzania w UMW. Działania te głównie mają służyć zapewnieniu bezpiecznych i higienicznych warunków pracy, zapobieganiu wypadkom przy pracy oraz chorobom zawodowym. Wiąże się to przede wszystkim z zapewnieniem zgodności stanu bezpieczeństwa i higieny pracy, </w:t>
      </w:r>
      <w:r w:rsidRPr="00E00B35">
        <w:rPr>
          <w:szCs w:val="20"/>
        </w:rPr>
        <w:br/>
        <w:t xml:space="preserve">z wymaganiami prawnymi. </w:t>
      </w:r>
    </w:p>
    <w:p w:rsidR="00E96768" w:rsidRPr="00E00B35" w:rsidRDefault="00E96768" w:rsidP="00E00B35">
      <w:pPr>
        <w:spacing w:after="0" w:line="312" w:lineRule="auto"/>
        <w:rPr>
          <w:szCs w:val="20"/>
        </w:rPr>
      </w:pPr>
      <w:r w:rsidRPr="00E00B35">
        <w:rPr>
          <w:szCs w:val="20"/>
        </w:rPr>
        <w:t xml:space="preserve">W 2020 roku Zespół ds. BHP podejmował szereg działań w celu zapewnienia zgodności </w:t>
      </w:r>
      <w:r w:rsidRPr="00E00B35">
        <w:rPr>
          <w:szCs w:val="20"/>
        </w:rPr>
        <w:br/>
        <w:t xml:space="preserve">z istniejącymi wymogami oraz zapewnienia wysokiego poziomu bezpieczeństwa i higieny pracy w Urzędzie Miejskim Wrocławia. Podejmowane działania miały w szczególności na celu zapobieganie wypadkom przy pracy i schorzeniom mogącym wiązać się </w:t>
      </w:r>
      <w:r w:rsidRPr="00E00B35">
        <w:rPr>
          <w:szCs w:val="20"/>
        </w:rPr>
        <w:br/>
        <w:t xml:space="preserve">z wykonywaną pracą oraz nowym zagrożeniem związanym z Sars-CoV-2. Poniżej zostały wymienione istotne działania w poszczególnych  obszarach oraz stwierdzony stan bezpieczeństwa i higieny pracy. Zespół ds. BHP stale podnosi świadomości pracowników i kierownictwa poprzez konsultacje, porady, Emile, spotkania itp. </w:t>
      </w:r>
    </w:p>
    <w:p w:rsidR="00E96768" w:rsidRPr="00E00B35" w:rsidRDefault="00E96768" w:rsidP="00E00B35">
      <w:pPr>
        <w:pStyle w:val="Tekstpodstawowy"/>
        <w:spacing w:after="0" w:line="312" w:lineRule="auto"/>
        <w:rPr>
          <w:szCs w:val="20"/>
        </w:rPr>
      </w:pPr>
    </w:p>
    <w:p w:rsidR="00E96768" w:rsidRPr="00E00B35" w:rsidRDefault="00E96768" w:rsidP="00E00B35">
      <w:pPr>
        <w:pStyle w:val="Tekstpodstawowy"/>
        <w:spacing w:after="0" w:line="312" w:lineRule="auto"/>
        <w:rPr>
          <w:szCs w:val="20"/>
        </w:rPr>
      </w:pPr>
      <w:r w:rsidRPr="00E00B35">
        <w:rPr>
          <w:szCs w:val="20"/>
        </w:rPr>
        <w:t>Informacje dot. ilości zrealizowanych w roku 2020 postępowań i zadań na tle lat poprzednich, w zakresie wybranych zagadnień przedstawiono w poniższej tabeli.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38"/>
        <w:gridCol w:w="1718"/>
        <w:gridCol w:w="1718"/>
        <w:gridCol w:w="1718"/>
        <w:gridCol w:w="1718"/>
      </w:tblGrid>
      <w:tr w:rsidR="00E96768" w:rsidRPr="00E00B35" w:rsidTr="00E96768">
        <w:trPr>
          <w:cantSplit/>
          <w:trHeight w:val="304"/>
          <w:tblHeader/>
        </w:trPr>
        <w:tc>
          <w:tcPr>
            <w:tcW w:w="2338" w:type="dxa"/>
            <w:shd w:val="clear" w:color="auto" w:fill="D9D9D9"/>
            <w:vAlign w:val="center"/>
          </w:tcPr>
          <w:p w:rsidR="00E96768" w:rsidRPr="00E00B35" w:rsidRDefault="00E96768" w:rsidP="00E00B35">
            <w:pPr>
              <w:pStyle w:val="Tekstpodstawowy"/>
              <w:spacing w:after="0" w:line="312" w:lineRule="auto"/>
              <w:rPr>
                <w:b/>
                <w:bCs/>
                <w:szCs w:val="20"/>
              </w:rPr>
            </w:pPr>
            <w:r w:rsidRPr="00E00B35">
              <w:rPr>
                <w:b/>
                <w:bCs/>
                <w:szCs w:val="20"/>
              </w:rPr>
              <w:t>Rodzaj sprawy</w:t>
            </w:r>
          </w:p>
        </w:tc>
        <w:tc>
          <w:tcPr>
            <w:tcW w:w="1718" w:type="dxa"/>
            <w:shd w:val="clear" w:color="auto" w:fill="D9D9D9"/>
            <w:vAlign w:val="center"/>
          </w:tcPr>
          <w:p w:rsidR="00E96768" w:rsidRPr="00E00B35" w:rsidRDefault="00E96768" w:rsidP="00E00B35">
            <w:pPr>
              <w:pStyle w:val="Tekstpodstawowy"/>
              <w:spacing w:after="0" w:line="312" w:lineRule="auto"/>
              <w:rPr>
                <w:b/>
                <w:bCs/>
                <w:szCs w:val="20"/>
              </w:rPr>
            </w:pPr>
            <w:r w:rsidRPr="00E00B35">
              <w:rPr>
                <w:b/>
                <w:bCs/>
                <w:szCs w:val="20"/>
              </w:rPr>
              <w:t>2020</w:t>
            </w:r>
          </w:p>
        </w:tc>
        <w:tc>
          <w:tcPr>
            <w:tcW w:w="1718" w:type="dxa"/>
            <w:shd w:val="clear" w:color="auto" w:fill="D9D9D9"/>
            <w:vAlign w:val="center"/>
          </w:tcPr>
          <w:p w:rsidR="00E96768" w:rsidRPr="00E00B35" w:rsidRDefault="00E96768" w:rsidP="00E00B35">
            <w:pPr>
              <w:pStyle w:val="Tekstpodstawowy"/>
              <w:spacing w:after="0" w:line="312" w:lineRule="auto"/>
              <w:rPr>
                <w:b/>
                <w:bCs/>
                <w:szCs w:val="20"/>
              </w:rPr>
            </w:pPr>
            <w:r w:rsidRPr="00E00B35">
              <w:rPr>
                <w:b/>
                <w:bCs/>
                <w:szCs w:val="20"/>
              </w:rPr>
              <w:t>2019</w:t>
            </w:r>
          </w:p>
        </w:tc>
        <w:tc>
          <w:tcPr>
            <w:tcW w:w="1718" w:type="dxa"/>
            <w:shd w:val="clear" w:color="auto" w:fill="D9D9D9"/>
            <w:vAlign w:val="center"/>
          </w:tcPr>
          <w:p w:rsidR="00E96768" w:rsidRPr="00E00B35" w:rsidRDefault="00E96768" w:rsidP="00E00B35">
            <w:pPr>
              <w:pStyle w:val="Tekstpodstawowy"/>
              <w:spacing w:after="0" w:line="312" w:lineRule="auto"/>
              <w:rPr>
                <w:b/>
                <w:bCs/>
                <w:szCs w:val="20"/>
              </w:rPr>
            </w:pPr>
            <w:r w:rsidRPr="00E00B35">
              <w:rPr>
                <w:b/>
                <w:bCs/>
                <w:szCs w:val="20"/>
              </w:rPr>
              <w:t>2018</w:t>
            </w:r>
          </w:p>
        </w:tc>
        <w:tc>
          <w:tcPr>
            <w:tcW w:w="1718" w:type="dxa"/>
            <w:shd w:val="clear" w:color="auto" w:fill="D9D9D9"/>
            <w:vAlign w:val="center"/>
          </w:tcPr>
          <w:p w:rsidR="00E96768" w:rsidRPr="00E00B35" w:rsidRDefault="00E96768" w:rsidP="00E00B35">
            <w:pPr>
              <w:pStyle w:val="Tekstpodstawowy"/>
              <w:spacing w:after="0" w:line="312" w:lineRule="auto"/>
              <w:rPr>
                <w:b/>
                <w:bCs/>
                <w:szCs w:val="20"/>
              </w:rPr>
            </w:pPr>
            <w:r w:rsidRPr="00E00B35">
              <w:rPr>
                <w:b/>
                <w:bCs/>
                <w:szCs w:val="20"/>
              </w:rPr>
              <w:t>2017</w:t>
            </w:r>
          </w:p>
        </w:tc>
      </w:tr>
      <w:tr w:rsidR="00E96768" w:rsidRPr="00E00B35" w:rsidTr="00E96768">
        <w:tc>
          <w:tcPr>
            <w:tcW w:w="2338" w:type="dxa"/>
            <w:vAlign w:val="center"/>
          </w:tcPr>
          <w:p w:rsidR="00E96768" w:rsidRPr="00E00B35" w:rsidRDefault="00E96768" w:rsidP="00E00B35">
            <w:pPr>
              <w:pStyle w:val="Tekstpodstawowy"/>
              <w:spacing w:after="0" w:line="312" w:lineRule="auto"/>
              <w:rPr>
                <w:szCs w:val="20"/>
              </w:rPr>
            </w:pPr>
            <w:r w:rsidRPr="00E00B35">
              <w:rPr>
                <w:szCs w:val="20"/>
              </w:rPr>
              <w:t xml:space="preserve">Wypadki przy pracy pracowników i wypadki zrównane z </w:t>
            </w:r>
            <w:r w:rsidRPr="00E00B35">
              <w:rPr>
                <w:szCs w:val="20"/>
              </w:rPr>
              <w:lastRenderedPageBreak/>
              <w:t>wypadkami przy pracy</w:t>
            </w:r>
          </w:p>
        </w:tc>
        <w:tc>
          <w:tcPr>
            <w:tcW w:w="1718" w:type="dxa"/>
            <w:vAlign w:val="center"/>
          </w:tcPr>
          <w:p w:rsidR="00E96768" w:rsidRPr="00E00B35" w:rsidRDefault="00E96768" w:rsidP="00E00B35">
            <w:pPr>
              <w:pStyle w:val="Tekstpodstawowy"/>
              <w:spacing w:after="0" w:line="312" w:lineRule="auto"/>
              <w:rPr>
                <w:szCs w:val="20"/>
              </w:rPr>
            </w:pPr>
            <w:r w:rsidRPr="00E00B35">
              <w:rPr>
                <w:rFonts w:cs="Helv"/>
                <w:szCs w:val="20"/>
              </w:rPr>
              <w:lastRenderedPageBreak/>
              <w:t xml:space="preserve">9 wypadków przy pracy pracowników </w:t>
            </w:r>
            <w:r w:rsidRPr="00E00B35">
              <w:rPr>
                <w:rFonts w:cs="Helv"/>
                <w:szCs w:val="20"/>
              </w:rPr>
              <w:lastRenderedPageBreak/>
              <w:t>na umowę o prace i 3 wypadki przy pracy pracowników na umowę zlecenie</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lastRenderedPageBreak/>
              <w:t>14</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12</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 xml:space="preserve">15 (w tym 2 postępowania rozpoczęte w </w:t>
            </w:r>
            <w:r w:rsidRPr="00E00B35">
              <w:rPr>
                <w:szCs w:val="20"/>
              </w:rPr>
              <w:lastRenderedPageBreak/>
              <w:t>2016 roku)</w:t>
            </w:r>
          </w:p>
        </w:tc>
      </w:tr>
      <w:tr w:rsidR="00E96768" w:rsidRPr="00E00B35" w:rsidTr="00E96768">
        <w:tc>
          <w:tcPr>
            <w:tcW w:w="2338" w:type="dxa"/>
            <w:vAlign w:val="center"/>
          </w:tcPr>
          <w:p w:rsidR="00E96768" w:rsidRPr="00E00B35" w:rsidRDefault="00E96768" w:rsidP="00E00B35">
            <w:pPr>
              <w:pStyle w:val="Tekstpodstawowy"/>
              <w:spacing w:after="0" w:line="312" w:lineRule="auto"/>
              <w:rPr>
                <w:szCs w:val="20"/>
              </w:rPr>
            </w:pPr>
            <w:r w:rsidRPr="00E00B35">
              <w:rPr>
                <w:szCs w:val="20"/>
              </w:rPr>
              <w:lastRenderedPageBreak/>
              <w:t>Zgłoszenia zdarzeń potencjalnie wypadkowych</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11</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10</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11</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26</w:t>
            </w:r>
          </w:p>
        </w:tc>
      </w:tr>
      <w:tr w:rsidR="00E96768" w:rsidRPr="00E00B35" w:rsidTr="00E96768">
        <w:tc>
          <w:tcPr>
            <w:tcW w:w="2338" w:type="dxa"/>
            <w:vAlign w:val="center"/>
          </w:tcPr>
          <w:p w:rsidR="00E96768" w:rsidRPr="00E00B35" w:rsidRDefault="00E96768" w:rsidP="00E00B35">
            <w:pPr>
              <w:pStyle w:val="Tekstpodstawowy"/>
              <w:spacing w:after="0" w:line="312" w:lineRule="auto"/>
              <w:rPr>
                <w:szCs w:val="20"/>
              </w:rPr>
            </w:pPr>
            <w:r w:rsidRPr="00E00B35">
              <w:rPr>
                <w:szCs w:val="20"/>
              </w:rPr>
              <w:t xml:space="preserve">Postępowania ws. wypadków </w:t>
            </w:r>
            <w:r w:rsidRPr="00E00B35">
              <w:rPr>
                <w:szCs w:val="20"/>
              </w:rPr>
              <w:br/>
              <w:t xml:space="preserve">w drodze do pracy </w:t>
            </w:r>
            <w:r w:rsidRPr="00E00B35">
              <w:rPr>
                <w:szCs w:val="20"/>
              </w:rPr>
              <w:br/>
              <w:t>i z pracy</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17</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21</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14</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23</w:t>
            </w:r>
          </w:p>
        </w:tc>
      </w:tr>
      <w:tr w:rsidR="00E96768" w:rsidRPr="00E00B35" w:rsidTr="00E96768">
        <w:trPr>
          <w:trHeight w:val="1002"/>
        </w:trPr>
        <w:tc>
          <w:tcPr>
            <w:tcW w:w="2338" w:type="dxa"/>
          </w:tcPr>
          <w:p w:rsidR="00E96768" w:rsidRPr="00E00B35" w:rsidRDefault="00E96768" w:rsidP="00E00B35">
            <w:pPr>
              <w:pStyle w:val="Tekstpodstawowy"/>
              <w:spacing w:after="0" w:line="312" w:lineRule="auto"/>
              <w:rPr>
                <w:szCs w:val="20"/>
              </w:rPr>
            </w:pPr>
            <w:r w:rsidRPr="00E00B35">
              <w:rPr>
                <w:szCs w:val="20"/>
              </w:rPr>
              <w:t>Udział i przeglądy obiektów w ramach komisji bezpieczeństwa i higieny pracy</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13</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13</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10</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10</w:t>
            </w:r>
          </w:p>
        </w:tc>
      </w:tr>
      <w:tr w:rsidR="00E96768" w:rsidRPr="00E00B35" w:rsidTr="00E96768">
        <w:tc>
          <w:tcPr>
            <w:tcW w:w="2338" w:type="dxa"/>
            <w:vAlign w:val="center"/>
          </w:tcPr>
          <w:p w:rsidR="00E96768" w:rsidRPr="00E00B35" w:rsidRDefault="00E96768" w:rsidP="00E00B35">
            <w:pPr>
              <w:pStyle w:val="Tekstpodstawowy"/>
              <w:spacing w:after="0" w:line="312" w:lineRule="auto"/>
              <w:rPr>
                <w:szCs w:val="20"/>
              </w:rPr>
            </w:pPr>
            <w:r w:rsidRPr="00E00B35">
              <w:rPr>
                <w:szCs w:val="20"/>
              </w:rPr>
              <w:t>Opiniowanie wniosków  ws. odzieży, obuwia roboczego, środków ochrony indywidualnej</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18</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22</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18</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12</w:t>
            </w:r>
          </w:p>
        </w:tc>
      </w:tr>
      <w:tr w:rsidR="00E96768" w:rsidRPr="00E00B35" w:rsidTr="00E96768">
        <w:tc>
          <w:tcPr>
            <w:tcW w:w="2338" w:type="dxa"/>
            <w:shd w:val="clear" w:color="auto" w:fill="FFFFFF"/>
          </w:tcPr>
          <w:p w:rsidR="00E96768" w:rsidRPr="00E00B35" w:rsidRDefault="00E96768" w:rsidP="00E00B35">
            <w:pPr>
              <w:pStyle w:val="Tekstpodstawowy"/>
              <w:spacing w:after="0" w:line="312" w:lineRule="auto"/>
              <w:rPr>
                <w:szCs w:val="20"/>
              </w:rPr>
            </w:pPr>
            <w:r w:rsidRPr="00E00B35">
              <w:rPr>
                <w:szCs w:val="20"/>
              </w:rPr>
              <w:t>Ocena komputerowych stanowisk pracy (ilość wydziałów/biur)</w:t>
            </w:r>
          </w:p>
        </w:tc>
        <w:tc>
          <w:tcPr>
            <w:tcW w:w="1718" w:type="dxa"/>
            <w:shd w:val="clear" w:color="auto" w:fill="FFFFFF"/>
            <w:vAlign w:val="center"/>
          </w:tcPr>
          <w:p w:rsidR="00E96768" w:rsidRPr="00E00B35" w:rsidRDefault="00E96768" w:rsidP="00E00B35">
            <w:pPr>
              <w:pStyle w:val="Tekstpodstawowy"/>
              <w:spacing w:after="0" w:line="312" w:lineRule="auto"/>
              <w:rPr>
                <w:szCs w:val="20"/>
              </w:rPr>
            </w:pPr>
            <w:r w:rsidRPr="00E00B35">
              <w:rPr>
                <w:szCs w:val="20"/>
              </w:rPr>
              <w:t>18</w:t>
            </w:r>
          </w:p>
        </w:tc>
        <w:tc>
          <w:tcPr>
            <w:tcW w:w="1718" w:type="dxa"/>
            <w:shd w:val="clear" w:color="auto" w:fill="FFFFFF"/>
            <w:vAlign w:val="center"/>
          </w:tcPr>
          <w:p w:rsidR="00E96768" w:rsidRPr="00E00B35" w:rsidRDefault="00E96768" w:rsidP="00E00B35">
            <w:pPr>
              <w:pStyle w:val="Tekstpodstawowy"/>
              <w:spacing w:after="0" w:line="312" w:lineRule="auto"/>
              <w:rPr>
                <w:szCs w:val="20"/>
              </w:rPr>
            </w:pPr>
            <w:r w:rsidRPr="00E00B35">
              <w:rPr>
                <w:szCs w:val="20"/>
              </w:rPr>
              <w:t>2</w:t>
            </w:r>
          </w:p>
        </w:tc>
        <w:tc>
          <w:tcPr>
            <w:tcW w:w="1718" w:type="dxa"/>
            <w:shd w:val="clear" w:color="auto" w:fill="FFFFFF"/>
            <w:vAlign w:val="center"/>
          </w:tcPr>
          <w:p w:rsidR="00E96768" w:rsidRPr="00E00B35" w:rsidRDefault="00E96768" w:rsidP="00E00B35">
            <w:pPr>
              <w:pStyle w:val="Tekstpodstawowy"/>
              <w:spacing w:after="0" w:line="312" w:lineRule="auto"/>
              <w:rPr>
                <w:szCs w:val="20"/>
              </w:rPr>
            </w:pPr>
            <w:r w:rsidRPr="00E00B35">
              <w:rPr>
                <w:szCs w:val="20"/>
              </w:rPr>
              <w:t>1</w:t>
            </w:r>
          </w:p>
        </w:tc>
        <w:tc>
          <w:tcPr>
            <w:tcW w:w="1718" w:type="dxa"/>
            <w:shd w:val="clear" w:color="auto" w:fill="FFFFFF"/>
            <w:vAlign w:val="center"/>
          </w:tcPr>
          <w:p w:rsidR="00E96768" w:rsidRPr="00E00B35" w:rsidRDefault="00E96768" w:rsidP="00E00B35">
            <w:pPr>
              <w:pStyle w:val="Tekstpodstawowy"/>
              <w:spacing w:after="0" w:line="312" w:lineRule="auto"/>
              <w:rPr>
                <w:szCs w:val="20"/>
              </w:rPr>
            </w:pPr>
            <w:r w:rsidRPr="00E00B35">
              <w:rPr>
                <w:szCs w:val="20"/>
              </w:rPr>
              <w:t>15</w:t>
            </w:r>
          </w:p>
        </w:tc>
      </w:tr>
      <w:tr w:rsidR="00E96768" w:rsidRPr="00E00B35" w:rsidTr="00E96768">
        <w:tc>
          <w:tcPr>
            <w:tcW w:w="2338" w:type="dxa"/>
            <w:vAlign w:val="center"/>
          </w:tcPr>
          <w:p w:rsidR="00E96768" w:rsidRPr="00E00B35" w:rsidRDefault="00E96768" w:rsidP="00E00B35">
            <w:pPr>
              <w:pStyle w:val="Tekstpodstawowy"/>
              <w:spacing w:after="0" w:line="312" w:lineRule="auto"/>
              <w:rPr>
                <w:szCs w:val="20"/>
              </w:rPr>
            </w:pPr>
            <w:r w:rsidRPr="00E00B35">
              <w:rPr>
                <w:szCs w:val="20"/>
              </w:rPr>
              <w:t>Przeglądy dot. stanowisk pracy kobiet w ciąży i pracowników niepełnosprawnych będących pod szczególną ochroną zgodnie z § 2 rozporządzenia Rady Ministrów w sprawie służby bhp</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10</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16</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38</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50</w:t>
            </w:r>
          </w:p>
        </w:tc>
      </w:tr>
      <w:tr w:rsidR="00E96768" w:rsidRPr="00E00B35" w:rsidTr="00E96768">
        <w:tc>
          <w:tcPr>
            <w:tcW w:w="2338" w:type="dxa"/>
            <w:vAlign w:val="center"/>
          </w:tcPr>
          <w:p w:rsidR="00E96768" w:rsidRPr="00E00B35" w:rsidRDefault="00E96768" w:rsidP="00E00B35">
            <w:pPr>
              <w:pStyle w:val="Tekstpodstawowy"/>
              <w:spacing w:after="0" w:line="312" w:lineRule="auto"/>
              <w:rPr>
                <w:szCs w:val="20"/>
              </w:rPr>
            </w:pPr>
            <w:r w:rsidRPr="00E00B35">
              <w:rPr>
                <w:szCs w:val="20"/>
              </w:rPr>
              <w:t xml:space="preserve">Instrukcje </w:t>
            </w:r>
            <w:r w:rsidRPr="00E00B35">
              <w:rPr>
                <w:szCs w:val="20"/>
              </w:rPr>
              <w:lastRenderedPageBreak/>
              <w:t>stanowiskowe bhp</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lastRenderedPageBreak/>
              <w:t>3</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8</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3</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 xml:space="preserve">10 w tym </w:t>
            </w:r>
            <w:r w:rsidRPr="00E00B35">
              <w:rPr>
                <w:szCs w:val="20"/>
              </w:rPr>
              <w:lastRenderedPageBreak/>
              <w:t>instrukcja bezpieczeństwa pożarowego dla Urzędu Miejskiego Wrocławia</w:t>
            </w:r>
          </w:p>
        </w:tc>
      </w:tr>
      <w:tr w:rsidR="00E96768" w:rsidRPr="00E00B35" w:rsidTr="00E96768">
        <w:tc>
          <w:tcPr>
            <w:tcW w:w="2338" w:type="dxa"/>
            <w:vAlign w:val="center"/>
          </w:tcPr>
          <w:p w:rsidR="00E96768" w:rsidRPr="00E00B35" w:rsidRDefault="00E96768" w:rsidP="00E00B35">
            <w:pPr>
              <w:pStyle w:val="Tekstpodstawowy"/>
              <w:spacing w:after="0" w:line="312" w:lineRule="auto"/>
              <w:rPr>
                <w:szCs w:val="20"/>
              </w:rPr>
            </w:pPr>
            <w:r w:rsidRPr="00E00B35">
              <w:rPr>
                <w:szCs w:val="20"/>
              </w:rPr>
              <w:lastRenderedPageBreak/>
              <w:t>Ocena ryzyka zawodowego</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4 oceny</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4 oceny</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3 oceny</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4 oceny</w:t>
            </w:r>
          </w:p>
        </w:tc>
      </w:tr>
      <w:tr w:rsidR="00E96768" w:rsidRPr="00E00B35" w:rsidTr="00E96768">
        <w:tc>
          <w:tcPr>
            <w:tcW w:w="2338" w:type="dxa"/>
            <w:vAlign w:val="center"/>
          </w:tcPr>
          <w:p w:rsidR="00E96768" w:rsidRPr="00E00B35" w:rsidRDefault="00E96768" w:rsidP="00E00B35">
            <w:pPr>
              <w:pStyle w:val="Tekstpodstawowy"/>
              <w:spacing w:after="0" w:line="312" w:lineRule="auto"/>
              <w:rPr>
                <w:szCs w:val="20"/>
              </w:rPr>
            </w:pPr>
            <w:r w:rsidRPr="00E00B35">
              <w:rPr>
                <w:szCs w:val="20"/>
              </w:rPr>
              <w:t xml:space="preserve">Opracowanie </w:t>
            </w:r>
            <w:r w:rsidRPr="00E00B35">
              <w:rPr>
                <w:szCs w:val="20"/>
              </w:rPr>
              <w:br/>
              <w:t xml:space="preserve">i aktualizacja procedur </w:t>
            </w:r>
            <w:r w:rsidRPr="00E00B35">
              <w:rPr>
                <w:szCs w:val="20"/>
              </w:rPr>
              <w:br/>
              <w:t>i Zarządzeń Prezydenta.</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7</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3</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6</w:t>
            </w:r>
          </w:p>
        </w:tc>
      </w:tr>
      <w:tr w:rsidR="00E96768" w:rsidRPr="00E00B35" w:rsidTr="00E96768">
        <w:tc>
          <w:tcPr>
            <w:tcW w:w="2338" w:type="dxa"/>
          </w:tcPr>
          <w:p w:rsidR="00E96768" w:rsidRPr="00E00B35" w:rsidRDefault="00E96768" w:rsidP="00E00B35">
            <w:pPr>
              <w:pStyle w:val="Tekstpodstawowy"/>
              <w:spacing w:after="0" w:line="312" w:lineRule="auto"/>
              <w:rPr>
                <w:szCs w:val="20"/>
              </w:rPr>
            </w:pPr>
            <w:r w:rsidRPr="00E00B35">
              <w:rPr>
                <w:szCs w:val="20"/>
              </w:rPr>
              <w:t xml:space="preserve">Przeszkolono w zakresie instruktażu ogólnego </w:t>
            </w:r>
            <w:r w:rsidRPr="00E00B35">
              <w:rPr>
                <w:szCs w:val="20"/>
              </w:rPr>
              <w:br/>
              <w:t>w dziedzinie bhp</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235</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296</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282</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357</w:t>
            </w:r>
          </w:p>
        </w:tc>
      </w:tr>
      <w:tr w:rsidR="00E96768" w:rsidRPr="00E00B35" w:rsidTr="00E96768">
        <w:tc>
          <w:tcPr>
            <w:tcW w:w="2338" w:type="dxa"/>
          </w:tcPr>
          <w:p w:rsidR="00E96768" w:rsidRPr="00E00B35" w:rsidRDefault="00E96768" w:rsidP="00E00B35">
            <w:pPr>
              <w:pStyle w:val="Tekstpodstawowy"/>
              <w:spacing w:after="0" w:line="312" w:lineRule="auto"/>
              <w:rPr>
                <w:szCs w:val="20"/>
              </w:rPr>
            </w:pPr>
            <w:r w:rsidRPr="00E00B35">
              <w:rPr>
                <w:szCs w:val="20"/>
              </w:rPr>
              <w:t>Opracowanie lub aktualizacja broszur bhp/p.poż</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2</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2</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2</w:t>
            </w:r>
          </w:p>
        </w:tc>
      </w:tr>
      <w:tr w:rsidR="00E96768" w:rsidRPr="00E00B35" w:rsidTr="00E96768">
        <w:trPr>
          <w:trHeight w:val="764"/>
        </w:trPr>
        <w:tc>
          <w:tcPr>
            <w:tcW w:w="2338" w:type="dxa"/>
          </w:tcPr>
          <w:p w:rsidR="00E96768" w:rsidRPr="00E00B35" w:rsidRDefault="00E96768" w:rsidP="00E00B35">
            <w:pPr>
              <w:pStyle w:val="Tekstpodstawowy"/>
              <w:spacing w:after="0" w:line="312" w:lineRule="auto"/>
              <w:rPr>
                <w:szCs w:val="20"/>
              </w:rPr>
            </w:pPr>
            <w:r w:rsidRPr="00E00B35">
              <w:rPr>
                <w:szCs w:val="20"/>
              </w:rPr>
              <w:t>Materiały propagujące bhp w Urzędzie Miasta Wrocławia  (artykuły, slajdy itp.)</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w:t>
            </w:r>
          </w:p>
        </w:tc>
        <w:tc>
          <w:tcPr>
            <w:tcW w:w="1718" w:type="dxa"/>
            <w:vAlign w:val="center"/>
          </w:tcPr>
          <w:p w:rsidR="00E96768" w:rsidRPr="00E00B35" w:rsidRDefault="00E96768" w:rsidP="00E00B35">
            <w:pPr>
              <w:pStyle w:val="Tekstpodstawowy"/>
              <w:spacing w:after="0" w:line="312" w:lineRule="auto"/>
              <w:rPr>
                <w:szCs w:val="20"/>
              </w:rPr>
            </w:pPr>
            <w:r w:rsidRPr="00E00B35">
              <w:rPr>
                <w:szCs w:val="20"/>
              </w:rPr>
              <w:t>1</w:t>
            </w:r>
          </w:p>
        </w:tc>
      </w:tr>
    </w:tbl>
    <w:p w:rsidR="00E96768" w:rsidRPr="00E00B35" w:rsidRDefault="00E96768" w:rsidP="00E00B35">
      <w:pPr>
        <w:pStyle w:val="Tekstpodstawowy"/>
        <w:spacing w:after="0" w:line="312" w:lineRule="auto"/>
        <w:rPr>
          <w:b/>
          <w:bCs/>
          <w:szCs w:val="20"/>
        </w:rPr>
      </w:pPr>
    </w:p>
    <w:p w:rsidR="00E96768" w:rsidRPr="00E00B35" w:rsidRDefault="00E96768" w:rsidP="00E00B35">
      <w:pPr>
        <w:pStyle w:val="Nagwek5"/>
        <w:rPr>
          <w:szCs w:val="20"/>
        </w:rPr>
      </w:pPr>
      <w:r w:rsidRPr="00E00B35">
        <w:rPr>
          <w:szCs w:val="20"/>
        </w:rPr>
        <w:t>WYPADKI PRZY PRACY, WYPADKI W DRODZE DO I Z PRACY, ZDARZENIA POTENCJALNIE WYPADKOWE</w:t>
      </w:r>
    </w:p>
    <w:p w:rsidR="00E96768" w:rsidRPr="00E00B35" w:rsidRDefault="00E96768" w:rsidP="00E00B35">
      <w:pPr>
        <w:spacing w:after="0" w:line="312" w:lineRule="auto"/>
        <w:rPr>
          <w:szCs w:val="20"/>
        </w:rPr>
      </w:pPr>
      <w:r w:rsidRPr="00E00B35">
        <w:rPr>
          <w:szCs w:val="20"/>
        </w:rPr>
        <w:t xml:space="preserve">Zakończono postępowania w sprawie 12 zdarzeń zgłoszonych i zakwalifikowanych jako wypadki przy pracy lub wypadki traktowane na równi z wypadkami przy pracy – dotyczące pracowników Urzędu. </w:t>
      </w:r>
    </w:p>
    <w:p w:rsidR="00E96768" w:rsidRPr="00E00B35" w:rsidRDefault="00E96768" w:rsidP="00E00B35">
      <w:pPr>
        <w:spacing w:after="0" w:line="312" w:lineRule="auto"/>
        <w:rPr>
          <w:szCs w:val="20"/>
        </w:rPr>
      </w:pPr>
      <w:r w:rsidRPr="00E00B35">
        <w:rPr>
          <w:szCs w:val="20"/>
        </w:rPr>
        <w:t>W ramach prowadzonych ustaleń nie stwierdzono wypadków zbiorowych (co najmniej 2 osoby poszkodowane w wyniku jednego zdarzenia) oraz aby skutkami były urazy ciężkie lub śmiertelne. Skutkami wypadków były lekkie urazy. Najczęściej występującą przyczyną zdarzeń wypadkowych było niezachowanie wystarczającej uwagi przez poszkodowanego pracownika.</w:t>
      </w:r>
    </w:p>
    <w:p w:rsidR="00E96768" w:rsidRPr="00E00B35" w:rsidRDefault="00E96768" w:rsidP="00E00B35">
      <w:pPr>
        <w:pStyle w:val="Tekstpodstawowy"/>
        <w:spacing w:after="0" w:line="312" w:lineRule="auto"/>
        <w:rPr>
          <w:szCs w:val="20"/>
        </w:rPr>
      </w:pPr>
      <w:r w:rsidRPr="00E00B35">
        <w:rPr>
          <w:szCs w:val="20"/>
        </w:rPr>
        <w:t xml:space="preserve">Powyższa tabela  miedzy innymi obrazuje ilość pracowników Urzędu poszkodowanych </w:t>
      </w:r>
      <w:r w:rsidRPr="00E00B35">
        <w:rPr>
          <w:szCs w:val="20"/>
        </w:rPr>
        <w:br/>
        <w:t>w wypadkach przy pracy i wypadkach traktowanych na równi z wypadkami przy pracy (podczas delegacji służbowej), zgodnie z rokiem wystąpienia. W 2020 roku zaobserwowano nieznaczny spadek wypadkowości w odniesieniu do poprzedniego roku w Urzędzie Miejskim Wrocławia. Na bieżąco podejmowano działania celem zapobiegania powtórzeniu się przyczyn.</w:t>
      </w:r>
    </w:p>
    <w:p w:rsidR="00E96768" w:rsidRPr="00E00B35" w:rsidRDefault="00E96768" w:rsidP="00E00B35">
      <w:pPr>
        <w:spacing w:after="0" w:line="312" w:lineRule="auto"/>
        <w:rPr>
          <w:szCs w:val="20"/>
        </w:rPr>
      </w:pPr>
      <w:r w:rsidRPr="00E00B35">
        <w:rPr>
          <w:szCs w:val="20"/>
        </w:rPr>
        <w:lastRenderedPageBreak/>
        <w:t xml:space="preserve">Zakończono postępowania dot. 17 zgłoszeń wypadków w drodze z domu do pracy bądź </w:t>
      </w:r>
      <w:r w:rsidRPr="00E00B35">
        <w:rPr>
          <w:szCs w:val="20"/>
        </w:rPr>
        <w:br/>
        <w:t xml:space="preserve">z pracy do domu, które również zostały odpowiednio zakwalifikowane. Wszystkie zdarzenia, miały wyłącznie znamiona wypadków lekkich, przeważnie powodujących czasową niezdolność do pracy. </w:t>
      </w:r>
    </w:p>
    <w:p w:rsidR="00E96768" w:rsidRPr="00E00B35" w:rsidRDefault="00E96768" w:rsidP="00E00B35">
      <w:pPr>
        <w:pStyle w:val="11Trescpisma"/>
        <w:spacing w:before="0" w:after="0" w:line="312" w:lineRule="auto"/>
        <w:jc w:val="left"/>
        <w:rPr>
          <w:szCs w:val="20"/>
        </w:rPr>
      </w:pPr>
      <w:r w:rsidRPr="00E00B35">
        <w:rPr>
          <w:szCs w:val="20"/>
        </w:rPr>
        <w:t>Podjęto działania w sprawie 11 zgłoszeń zdarzeń potencjalnie wypadkowych, gdzie zaistniały symptomy wypadku przy pracy lecz pracownicy nie doznali urazów. W wyniku przeprowadzonych postępowań, podjęto działania mające na celu uniknięcie wystąpienia w przyszłości podobnych zdarzeń, które mogłyby być wypadkami przy pracy.</w:t>
      </w:r>
    </w:p>
    <w:p w:rsidR="005B50AD" w:rsidRPr="00E00B35" w:rsidRDefault="005B50AD" w:rsidP="00E00B35">
      <w:pPr>
        <w:pStyle w:val="11Trescpisma"/>
        <w:spacing w:before="0" w:after="0" w:line="312" w:lineRule="auto"/>
        <w:jc w:val="left"/>
        <w:rPr>
          <w:szCs w:val="20"/>
        </w:rPr>
      </w:pPr>
    </w:p>
    <w:p w:rsidR="00E96768" w:rsidRPr="00E00B35" w:rsidRDefault="00E96768" w:rsidP="00E00B35">
      <w:pPr>
        <w:pStyle w:val="Nagwek5"/>
        <w:rPr>
          <w:szCs w:val="20"/>
        </w:rPr>
      </w:pPr>
      <w:r w:rsidRPr="00E00B35">
        <w:rPr>
          <w:szCs w:val="20"/>
        </w:rPr>
        <w:t>CHOROBY ZAWODOWE</w:t>
      </w:r>
    </w:p>
    <w:p w:rsidR="00E96768" w:rsidRPr="00E00B35" w:rsidRDefault="00E96768" w:rsidP="00E00B35">
      <w:pPr>
        <w:spacing w:after="0" w:line="312" w:lineRule="auto"/>
        <w:rPr>
          <w:szCs w:val="20"/>
        </w:rPr>
      </w:pPr>
      <w:r w:rsidRPr="00E00B35">
        <w:rPr>
          <w:szCs w:val="20"/>
        </w:rPr>
        <w:t xml:space="preserve">W 2020 roku Zespół ds. BHP na bieżąco współpracował z lekarzem medycyny pracy </w:t>
      </w:r>
      <w:r w:rsidRPr="00E00B35">
        <w:rPr>
          <w:szCs w:val="20"/>
        </w:rPr>
        <w:br/>
        <w:t>w zakresie stosowania profilaktyki i zapobiegania schorzeniom związanym z warunkami środowiska pracy, podczas:</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przeglądów stanowisk pracy w ramach komisji bhp,</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omawiania kart ocen ryzyka zawodowego,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konsultacji dotyczących indywidualnych stanowisk pracy,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konsultacje dotyczące stanowisk pracy osób niepełnosprawnych,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konsultacje w sprawie Sars-CoV-2.</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Za pomocą opracowanej ankiety  przeprowadzono ocenę stanowisk komputerowych </w:t>
      </w:r>
      <w:r w:rsidRPr="00E00B35">
        <w:rPr>
          <w:szCs w:val="20"/>
        </w:rPr>
        <w:br/>
        <w:t xml:space="preserve">w nowych obiektach Urzędu Miejskiego Wrocławia. Ankietę w 2020 roku przesłano zgodnie z planem do komórek organizacyjnych i po wypełnieniu przez pracowników, podejmowano działania zmierzające do wyeliminowania zawartych uwag w zakresie zagrożeń schorzeniami lub zagrożeń wypadkowych. Przyjęta forma ankiety i informacje </w:t>
      </w:r>
      <w:r w:rsidRPr="00E00B35">
        <w:rPr>
          <w:szCs w:val="20"/>
        </w:rPr>
        <w:br/>
        <w:t>w niej zawarte, uwzględniają optymalizowanie działań na rzecz doskonalenia stanu bhp, w aspektach: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spełnienia wymagań prawnych,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świadomości pracowników,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zaangażowania pracowników,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umiejętności prawidłowego postępowania i komunikacji w zakresie właściwego wyposażenia indywidualnego stanowiska pracy oraz organizacji pracy,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bieżącego nadzoru nad warunkami pracy na stanowisku komputerowym (narzędzie dla osób kierujących pracownikami i pracowników).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angażowania kierowników działów do podejmowania działań w zakresie bhp.</w:t>
      </w:r>
    </w:p>
    <w:p w:rsidR="00E96768" w:rsidRPr="00E00B35" w:rsidRDefault="00E96768" w:rsidP="00E00B35">
      <w:pPr>
        <w:spacing w:after="0" w:line="312" w:lineRule="auto"/>
        <w:rPr>
          <w:szCs w:val="20"/>
        </w:rPr>
      </w:pPr>
      <w:r w:rsidRPr="00E00B35">
        <w:rPr>
          <w:szCs w:val="20"/>
        </w:rPr>
        <w:t>Nie uzyskano informacji o ewentualnym stwierdzeniu na przestrzeni roku 2020 chorób zawodowych. Zespół ds. BHP prowadził celowe działania związane z podnoszeniem świadomości pracowników oraz stosowaniem właściwej organizacji stanowisk i procesów pracy.</w:t>
      </w:r>
    </w:p>
    <w:p w:rsidR="005B50AD" w:rsidRPr="00E00B35" w:rsidRDefault="005B50AD" w:rsidP="00E00B35">
      <w:pPr>
        <w:spacing w:after="0" w:line="312" w:lineRule="auto"/>
        <w:rPr>
          <w:szCs w:val="20"/>
        </w:rPr>
      </w:pPr>
    </w:p>
    <w:p w:rsidR="00E96768" w:rsidRPr="00E00B35" w:rsidRDefault="00E96768" w:rsidP="00E00B35">
      <w:pPr>
        <w:pStyle w:val="Nagwek5"/>
        <w:rPr>
          <w:szCs w:val="20"/>
        </w:rPr>
      </w:pPr>
      <w:r w:rsidRPr="00E00B35">
        <w:rPr>
          <w:szCs w:val="20"/>
        </w:rPr>
        <w:t>OPRACOWANIE LUB AKTUALIZACJA BROSZUR BHP I PPOŻ</w:t>
      </w:r>
    </w:p>
    <w:p w:rsidR="00E96768" w:rsidRPr="00E00B35" w:rsidRDefault="00E96768" w:rsidP="00E00B35">
      <w:pPr>
        <w:spacing w:after="0" w:line="312" w:lineRule="auto"/>
        <w:rPr>
          <w:szCs w:val="20"/>
        </w:rPr>
      </w:pPr>
      <w:r w:rsidRPr="00E00B35">
        <w:rPr>
          <w:szCs w:val="20"/>
        </w:rPr>
        <w:t xml:space="preserve">Zespół ds. BHP, w roku 2020 aktualizował opracowaną </w:t>
      </w:r>
      <w:r w:rsidR="00000B36" w:rsidRPr="00E00B35">
        <w:rPr>
          <w:szCs w:val="20"/>
        </w:rPr>
        <w:t xml:space="preserve">broszurę: „BHP na co dzień”, we </w:t>
      </w:r>
      <w:r w:rsidRPr="00E00B35">
        <w:rPr>
          <w:szCs w:val="20"/>
        </w:rPr>
        <w:t>współpracy z Biurem Promocji Miasta i Turystyki. Broszury dostępne są stale dla wszystkich pracowników w zasobach sieciowych, w lokalizacji</w:t>
      </w:r>
      <w:r w:rsidR="00000B36" w:rsidRPr="00E00B35">
        <w:rPr>
          <w:szCs w:val="20"/>
        </w:rPr>
        <w:t xml:space="preserve"> </w:t>
      </w:r>
      <w:r w:rsidRPr="00E00B35">
        <w:rPr>
          <w:szCs w:val="20"/>
        </w:rPr>
        <w:lastRenderedPageBreak/>
        <w:t>M:\BHP_EMAS_Instrukcje\BHP\Publikacje, porady</w:t>
      </w:r>
      <w:r w:rsidR="00000B36" w:rsidRPr="00E00B35">
        <w:rPr>
          <w:szCs w:val="20"/>
        </w:rPr>
        <w:t xml:space="preserve"> </w:t>
      </w:r>
      <w:r w:rsidRPr="00E00B35">
        <w:rPr>
          <w:szCs w:val="20"/>
        </w:rPr>
        <w:t xml:space="preserve">i m.in. przekazywane są nowozatrudnionym osobom. Broszury w pigułce wskazują podstawowe informacje i procedury, odpowiednio z zakresu ochrony ppoż. oraz udzielania pierwszej pomocy. Opracowane broszury, w treści ujmują powiązania z inną dokumentacją niezbędną lub pomocną w zakresie bhp. </w:t>
      </w:r>
    </w:p>
    <w:p w:rsidR="00E96768" w:rsidRPr="00E00B35" w:rsidRDefault="00E96768" w:rsidP="00E00B35">
      <w:pPr>
        <w:spacing w:after="0" w:line="312" w:lineRule="auto"/>
        <w:rPr>
          <w:szCs w:val="20"/>
        </w:rPr>
      </w:pPr>
      <w:r w:rsidRPr="00E00B35">
        <w:rPr>
          <w:szCs w:val="20"/>
        </w:rPr>
        <w:t>W 2020 roku Zespół ds. BHP ponadto opracował i za pomocą poczty elektronicznej Lotus, wysłał do wszystkich pracowników Urzędu materiały, artykuły dotyczące Sars-CoV-2 jak również w ramach podnoszenia świadomości i wiedzy opracował Test BHP dla wszystkich pracowników.</w:t>
      </w:r>
    </w:p>
    <w:p w:rsidR="00E96768" w:rsidRPr="00E00B35" w:rsidRDefault="00E96768" w:rsidP="00E00B35">
      <w:pPr>
        <w:pStyle w:val="Tekstpodstawowywcity2"/>
        <w:spacing w:after="0" w:line="312" w:lineRule="auto"/>
        <w:ind w:firstLine="426"/>
        <w:rPr>
          <w:szCs w:val="20"/>
        </w:rPr>
      </w:pPr>
    </w:p>
    <w:p w:rsidR="00E96768" w:rsidRPr="00E00B35" w:rsidRDefault="00E96768" w:rsidP="00E00B35">
      <w:pPr>
        <w:pStyle w:val="Nagwek5"/>
        <w:rPr>
          <w:szCs w:val="20"/>
        </w:rPr>
      </w:pPr>
      <w:r w:rsidRPr="00E00B35">
        <w:rPr>
          <w:szCs w:val="20"/>
        </w:rPr>
        <w:t>SZKOLENIA Z ZAKRESU BHP</w:t>
      </w:r>
    </w:p>
    <w:p w:rsidR="00E96768" w:rsidRPr="00E00B35" w:rsidRDefault="00E96768" w:rsidP="00E00B35">
      <w:pPr>
        <w:spacing w:after="0" w:line="312" w:lineRule="auto"/>
        <w:rPr>
          <w:szCs w:val="20"/>
        </w:rPr>
      </w:pPr>
      <w:r w:rsidRPr="00E00B35">
        <w:rPr>
          <w:szCs w:val="20"/>
        </w:rPr>
        <w:t>Pracownicy Zespołu ds. BHP przeprowadzili w 2020 roku szkolenia wstępne ogólne dla 235 osób (pracowników, stażystów, praktykantów), co jest ilością mniejszą w porównaniu do ilości takich szkoleń, przeprowadzonych w roku 2019 (296 osób).</w:t>
      </w:r>
    </w:p>
    <w:p w:rsidR="00E96768" w:rsidRPr="00E00B35" w:rsidRDefault="00E96768" w:rsidP="00E00B35">
      <w:pPr>
        <w:spacing w:after="0" w:line="312" w:lineRule="auto"/>
        <w:rPr>
          <w:szCs w:val="20"/>
        </w:rPr>
      </w:pPr>
      <w:r w:rsidRPr="00E00B35">
        <w:rPr>
          <w:szCs w:val="20"/>
        </w:rPr>
        <w:t xml:space="preserve">Prowadzono bieżącą współpracę z Wydziałem Organizacyjnym i Kadr, dotyczącą m.in. wyznaczania osób na właściwe ze względu na zajmowane stanowisko pracy, obowiązkowe szkolenia okresowe z zakresu bezpieczeństwa i higieny pracy. Organizatorom szkoleń okresowych przekazywano aktualizowane materiały i informacje </w:t>
      </w:r>
      <w:r w:rsidRPr="00E00B35">
        <w:rPr>
          <w:szCs w:val="20"/>
        </w:rPr>
        <w:br/>
        <w:t>z zakresu BHP, dotyczące specyfiki Urzędu Miejskiego Wrocławia, do wykorzystania podczas przeprowadzania tych szkoleń.</w:t>
      </w:r>
    </w:p>
    <w:p w:rsidR="00E96768" w:rsidRPr="00E00B35" w:rsidRDefault="00E96768" w:rsidP="00E00B35">
      <w:pPr>
        <w:spacing w:after="0" w:line="312" w:lineRule="auto"/>
        <w:rPr>
          <w:szCs w:val="20"/>
        </w:rPr>
      </w:pPr>
      <w:r w:rsidRPr="00E00B35">
        <w:rPr>
          <w:szCs w:val="20"/>
        </w:rPr>
        <w:t xml:space="preserve">Na bieżąco uaktualniano materiały bhp i ppoż. dostępne dla pracowników Urzędu, które są dostępne w lokalizacji sieciowej M:\BHP_EMAS_Instrukcje\BHP. </w:t>
      </w:r>
    </w:p>
    <w:p w:rsidR="00E96768" w:rsidRPr="00E00B35" w:rsidRDefault="00E96768" w:rsidP="00E00B35">
      <w:pPr>
        <w:spacing w:after="0" w:line="312" w:lineRule="auto"/>
        <w:rPr>
          <w:szCs w:val="20"/>
        </w:rPr>
      </w:pPr>
      <w:r w:rsidRPr="00E00B35">
        <w:rPr>
          <w:szCs w:val="20"/>
        </w:rPr>
        <w:t>W 2020 roku wypracowano rozwiązanie dot. stałego dostępu do aktualizowanej dokumentacji z zakresu bhp, dla prowadzącego szkolenia okresowe bhp pracowników Urzędu - za pośrednictwem Centrum Usług Informatycznych i w uzgodnieniu z Działem Zasobów Ludzkich i Szkoleń (WOK). Prowadzący posiada obecnie zdalny dostęp do wybranych materiałów – obowiązujących w Urzędzie aktów prawnych, instrukcji bhp, ocen ryzyka zawodowego, opracowań (niezbędnych do prowadzenia szkoleń okresowych), które zamieszczone są w zasobach sieciowych Urzędu i dostępne dla pracowników (katalog „BHP” na dysku „M”). Tym samym zapewniono stosowanie aktualnych wymagań prawnych (uwzględnione w uzgodnionych i obowiązujących obecnie programach szkoleń okresowych).</w:t>
      </w:r>
    </w:p>
    <w:p w:rsidR="00E96768" w:rsidRPr="00E00B35" w:rsidRDefault="00E96768" w:rsidP="00E00B35">
      <w:pPr>
        <w:pStyle w:val="Nagwek5"/>
        <w:rPr>
          <w:szCs w:val="20"/>
        </w:rPr>
      </w:pPr>
      <w:r w:rsidRPr="00E00B35">
        <w:rPr>
          <w:szCs w:val="20"/>
        </w:rPr>
        <w:t>SPRAWY ORGANIZACYJNO-PRAWNE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Udzielano szeregu porad i zaleceń związanych z organizacją nowych stanowisk pracy jak i licznymi przeprowadzkami oraz nowymi obiektami.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We współpracy z Wydziałem Obsługi Urzędu, pracownicy Zespołu ds. BHP podejmowali działania w zakresie przystosowania stanowisk pracy osób niepełnosprawnych, które były nowotworzone bądź reorganizowane w Urzędzie. Przeprowadzano przeglądy w tym zakresie.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Udzielano konsultacji i przeprowadzano przeglądy obiektów UMW, w ramach prac Komisji BHP. Podczas spotkań tej Komisji, które odbywają się okresowo, omawiano na bieżąco środki profilaktyczne. W ramach tych działań nie stwierdzono istotnych uchybień lub zaniedbań w zakresie bezpieczeństwa i higieny pracy w Urzędzie.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 xml:space="preserve">Udzielano szeregu informacji i porad dla Wydziałów Urzędu, pracowników </w:t>
      </w:r>
      <w:r w:rsidRPr="00E00B35">
        <w:rPr>
          <w:szCs w:val="20"/>
        </w:rPr>
        <w:br/>
        <w:t>i jednostek gminnych.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Opiniowano wnioski dyrektorów wydziałów o przyznanie odzieży i obuwia roboczego oraz środków ochrony indywidualnej dla pracowników Urzędu.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Na ogólnodostępnej w Urzędzie lokalizacji sieciowej: M:\BHP_EMAS_instrukcje\BHP, udostępniane są istotne i bieżących informacje z zakresu bezpieczeństwa i higieny pracy, które są na bieżąco aktualizowane (instrukcje, oceny ryzyka zawodowego, programy szkoleń dla kadry kierowniczej Urzędu, informacje dotyczące organizacji udzielania pierwszej pomocy, zasady bezpiecznej pracy, itp.), wspomagające pracę kierownictwa.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Współpracowano z lekarzem medycyny pracy, prowadząc również ustalenia </w:t>
      </w:r>
      <w:r w:rsidRPr="00E00B35">
        <w:rPr>
          <w:szCs w:val="20"/>
        </w:rPr>
        <w:br/>
        <w:t>z zakresu wydawanych zaleceń dot. organizacji stanowisk pracy, pomiaru temperatury ciała w związku z Sars-Cov-2, opiniowaniem ocen ryzyka zawodowego.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Konsultacje w sprawie planowych korekt do Regulaminu Pracy.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Konsultacje w sprawie rozwiązań organizacyjno-technicznych dotyczących wykonywania pracy zdalnej w Urzędzie Miejskim Wrocławia na czas zagrożenia epidemicznego.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Prowadzono czynności związane z pisemną korespondencją, w tym elektroniczną, jaka wypływała do Zespołu.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Aktualizowano wypracowane w poprzednich latach opracowania i druki, opracowane w poprzednich latach przez Zespół ds. BHP, które są przystosowane do specyfiki Urzędu dla potrzeb pracowników, osób kierujących pracownikami oraz potrzeb komórek organizacyjnych, m. in. takie jak:</w:t>
      </w:r>
    </w:p>
    <w:p w:rsidR="00E96768" w:rsidRPr="00E00B35" w:rsidRDefault="00E96768" w:rsidP="00BC64AB">
      <w:pPr>
        <w:pStyle w:val="Tekstpodstawowy"/>
        <w:numPr>
          <w:ilvl w:val="0"/>
          <w:numId w:val="246"/>
        </w:numPr>
        <w:spacing w:after="0" w:line="312" w:lineRule="auto"/>
        <w:rPr>
          <w:szCs w:val="20"/>
        </w:rPr>
      </w:pPr>
      <w:r w:rsidRPr="00E00B35">
        <w:rPr>
          <w:szCs w:val="20"/>
        </w:rPr>
        <w:t>ankieta oceny komputerowego stanowiska pracy,</w:t>
      </w:r>
    </w:p>
    <w:p w:rsidR="00E96768" w:rsidRPr="00E00B35" w:rsidRDefault="00E96768" w:rsidP="00BC64AB">
      <w:pPr>
        <w:pStyle w:val="Tekstpodstawowy"/>
        <w:numPr>
          <w:ilvl w:val="0"/>
          <w:numId w:val="246"/>
        </w:numPr>
        <w:spacing w:after="0" w:line="312" w:lineRule="auto"/>
        <w:rPr>
          <w:szCs w:val="20"/>
        </w:rPr>
      </w:pPr>
      <w:r w:rsidRPr="00E00B35">
        <w:rPr>
          <w:szCs w:val="20"/>
        </w:rPr>
        <w:t>lista kontrolna dot. stanowiska pracy pracownika niepełnosprawnego,</w:t>
      </w:r>
    </w:p>
    <w:p w:rsidR="00E96768" w:rsidRPr="00E00B35" w:rsidRDefault="00E96768" w:rsidP="00BC64AB">
      <w:pPr>
        <w:pStyle w:val="Tekstpodstawowy"/>
        <w:numPr>
          <w:ilvl w:val="0"/>
          <w:numId w:val="246"/>
        </w:numPr>
        <w:spacing w:after="0" w:line="312" w:lineRule="auto"/>
        <w:rPr>
          <w:szCs w:val="20"/>
        </w:rPr>
      </w:pPr>
      <w:r w:rsidRPr="00E00B35">
        <w:rPr>
          <w:szCs w:val="20"/>
        </w:rPr>
        <w:t>lista kontrolna dot. aktualności przeglądów i konserwacji dla obiektów Urzędu,</w:t>
      </w:r>
    </w:p>
    <w:p w:rsidR="00E96768" w:rsidRPr="00E00B35" w:rsidRDefault="00E96768" w:rsidP="00BC64AB">
      <w:pPr>
        <w:pStyle w:val="Tekstpodstawowy"/>
        <w:numPr>
          <w:ilvl w:val="0"/>
          <w:numId w:val="246"/>
        </w:numPr>
        <w:spacing w:after="0" w:line="312" w:lineRule="auto"/>
        <w:rPr>
          <w:szCs w:val="20"/>
        </w:rPr>
      </w:pPr>
      <w:r w:rsidRPr="00E00B35">
        <w:rPr>
          <w:szCs w:val="20"/>
        </w:rPr>
        <w:t>skierowanie na badania z zakresu medycyny pracy (druk  wynikający z przepisów prawnych lecz uszczegółowiony),</w:t>
      </w:r>
    </w:p>
    <w:p w:rsidR="00E96768" w:rsidRPr="00E00B35" w:rsidRDefault="00E96768" w:rsidP="00BC64AB">
      <w:pPr>
        <w:pStyle w:val="Tekstpodstawowy"/>
        <w:numPr>
          <w:ilvl w:val="0"/>
          <w:numId w:val="246"/>
        </w:numPr>
        <w:spacing w:after="0" w:line="312" w:lineRule="auto"/>
        <w:rPr>
          <w:szCs w:val="20"/>
        </w:rPr>
      </w:pPr>
      <w:r w:rsidRPr="00E00B35">
        <w:rPr>
          <w:szCs w:val="20"/>
        </w:rPr>
        <w:t>wniosek z opinią lekarza w sprawie okresu zwolnienia lekarskiego po wypadku,</w:t>
      </w:r>
    </w:p>
    <w:p w:rsidR="00E96768" w:rsidRPr="00E00B35" w:rsidRDefault="00E96768" w:rsidP="00BC64AB">
      <w:pPr>
        <w:pStyle w:val="Tekstpodstawowy"/>
        <w:numPr>
          <w:ilvl w:val="0"/>
          <w:numId w:val="246"/>
        </w:numPr>
        <w:spacing w:after="0" w:line="312" w:lineRule="auto"/>
        <w:rPr>
          <w:szCs w:val="20"/>
        </w:rPr>
      </w:pPr>
      <w:r w:rsidRPr="00E00B35">
        <w:rPr>
          <w:szCs w:val="20"/>
        </w:rPr>
        <w:t>informacja dla poszkodowanego w wypadku przy pracy,</w:t>
      </w:r>
    </w:p>
    <w:p w:rsidR="00E96768" w:rsidRPr="00E00B35" w:rsidRDefault="00E96768" w:rsidP="00BC64AB">
      <w:pPr>
        <w:pStyle w:val="Tekstpodstawowy"/>
        <w:numPr>
          <w:ilvl w:val="0"/>
          <w:numId w:val="246"/>
        </w:numPr>
        <w:spacing w:after="0" w:line="312" w:lineRule="auto"/>
        <w:rPr>
          <w:szCs w:val="20"/>
        </w:rPr>
      </w:pPr>
      <w:r w:rsidRPr="00E00B35">
        <w:rPr>
          <w:szCs w:val="20"/>
        </w:rPr>
        <w:t>informacja dla poszkodowanego w wypadku w drodze do/z pracy,</w:t>
      </w:r>
    </w:p>
    <w:p w:rsidR="00E96768" w:rsidRPr="00E00B35" w:rsidRDefault="00E96768" w:rsidP="00BC64AB">
      <w:pPr>
        <w:pStyle w:val="Tekstpodstawowy"/>
        <w:numPr>
          <w:ilvl w:val="0"/>
          <w:numId w:val="246"/>
        </w:numPr>
        <w:spacing w:after="0" w:line="312" w:lineRule="auto"/>
        <w:rPr>
          <w:szCs w:val="20"/>
        </w:rPr>
      </w:pPr>
      <w:r w:rsidRPr="00E00B35">
        <w:rPr>
          <w:szCs w:val="20"/>
        </w:rPr>
        <w:t>klauzula informacyjna dotycząca przetwarzania przez Zespół ds. BHP danych osobowych.</w:t>
      </w:r>
    </w:p>
    <w:p w:rsidR="00E96768" w:rsidRPr="00E00B35" w:rsidRDefault="00E96768" w:rsidP="00E00B35">
      <w:pPr>
        <w:spacing w:after="0" w:line="312" w:lineRule="auto"/>
        <w:ind w:left="567"/>
        <w:rPr>
          <w:szCs w:val="20"/>
        </w:rPr>
      </w:pPr>
      <w:r w:rsidRPr="00E00B35">
        <w:rPr>
          <w:szCs w:val="20"/>
        </w:rPr>
        <w:t>W 2020 r. opracowano i zaktualizowano m.in. instrukcję stanowiskową bhp prac związanych z instalowaniem urządzeń mierzących ruch na drodze, instrukcję bhp dot. urządzeń elektronicznych w miejscu zamieszkania, zasady i zalecenia bezpiecznej pracy w Urzędzie Miejskim Wrocławia w związku z zagrożeniem koronawirusem SARS-COV-2.</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Aktualizowano karty ocen ryzyka zawodowego.</w:t>
      </w:r>
    </w:p>
    <w:p w:rsidR="00E96768" w:rsidRPr="00E00B35" w:rsidRDefault="00E96768" w:rsidP="00E00B35">
      <w:pPr>
        <w:pStyle w:val="Akapitzlist"/>
        <w:spacing w:after="0" w:line="312" w:lineRule="auto"/>
        <w:ind w:left="567"/>
        <w:rPr>
          <w:szCs w:val="20"/>
        </w:rPr>
      </w:pPr>
    </w:p>
    <w:p w:rsidR="00E96768" w:rsidRPr="00E00B35" w:rsidRDefault="00E96768" w:rsidP="00E00B35">
      <w:pPr>
        <w:pStyle w:val="Nagwek5"/>
        <w:rPr>
          <w:szCs w:val="20"/>
        </w:rPr>
      </w:pPr>
      <w:r w:rsidRPr="00E00B35">
        <w:rPr>
          <w:szCs w:val="20"/>
        </w:rPr>
        <w:t>DZIAŁANIA W RAMACH ZINTEGROWANEGO SYSTEM ZARZĄDZANIA</w:t>
      </w:r>
    </w:p>
    <w:p w:rsidR="00E96768" w:rsidRPr="00E00B35" w:rsidRDefault="00E96768" w:rsidP="00E00B35">
      <w:pPr>
        <w:spacing w:after="0" w:line="312" w:lineRule="auto"/>
        <w:rPr>
          <w:b/>
          <w:szCs w:val="20"/>
        </w:rPr>
      </w:pPr>
      <w:r w:rsidRPr="00E00B35">
        <w:rPr>
          <w:szCs w:val="20"/>
        </w:rPr>
        <w:t xml:space="preserve">Pracownicy, Zespołu ds. BHP, po odbyciu szkoleń dla audytorów wewnętrznych brali czynny udział w audytach wewnętrznych oraz zewnętrznych, w ramach Zintegrowanego </w:t>
      </w:r>
      <w:r w:rsidRPr="00E00B35">
        <w:rPr>
          <w:szCs w:val="20"/>
        </w:rPr>
        <w:lastRenderedPageBreak/>
        <w:t xml:space="preserve">Systemu Zarządzania w UMW, co przyczyniało się również do poprawy stanu bhp </w:t>
      </w:r>
      <w:r w:rsidRPr="00E00B35">
        <w:rPr>
          <w:szCs w:val="20"/>
        </w:rPr>
        <w:br/>
        <w:t xml:space="preserve">w Urzędzie. W ramach Zintegrowanego Systemu Zarządzania zastąpiono normę </w:t>
      </w:r>
      <w:r w:rsidRPr="00E00B35">
        <w:rPr>
          <w:szCs w:val="20"/>
        </w:rPr>
        <w:br/>
      </w:r>
      <w:r w:rsidRPr="00E00B35">
        <w:rPr>
          <w:rFonts w:cs="Arial"/>
          <w:szCs w:val="20"/>
        </w:rPr>
        <w:t>PN-N-18001</w:t>
      </w:r>
      <w:r w:rsidRPr="00E00B35">
        <w:rPr>
          <w:szCs w:val="20"/>
        </w:rPr>
        <w:t xml:space="preserve"> normą </w:t>
      </w:r>
      <w:r w:rsidRPr="00E00B35">
        <w:rPr>
          <w:rFonts w:cs="Arial"/>
          <w:szCs w:val="20"/>
        </w:rPr>
        <w:t>PN-ISO 45001:2018</w:t>
      </w:r>
      <w:r w:rsidRPr="00E00B35">
        <w:rPr>
          <w:szCs w:val="20"/>
        </w:rPr>
        <w:t>.</w:t>
      </w:r>
    </w:p>
    <w:p w:rsidR="00E96768" w:rsidRPr="00E00B35" w:rsidRDefault="00E96768" w:rsidP="00E00B35">
      <w:pPr>
        <w:spacing w:after="0" w:line="312" w:lineRule="auto"/>
        <w:rPr>
          <w:szCs w:val="20"/>
        </w:rPr>
      </w:pPr>
      <w:r w:rsidRPr="00E00B35">
        <w:rPr>
          <w:szCs w:val="20"/>
        </w:rPr>
        <w:t>Zgodnie z ISO 45001</w:t>
      </w:r>
      <w:r w:rsidRPr="00E00B35">
        <w:rPr>
          <w:rFonts w:cs="Arial"/>
          <w:szCs w:val="20"/>
        </w:rPr>
        <w:t>:2018</w:t>
      </w:r>
      <w:r w:rsidRPr="00E00B35">
        <w:rPr>
          <w:szCs w:val="20"/>
        </w:rPr>
        <w:t xml:space="preserve"> wdrożenie i utrzymanie systemu zarządzania BHP, jego skuteczność i zdolność do osiągnięcia zamierzonych wyników zależy od wielu czynników, które mogą obejmować:</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przywództwo, zaangażowanie, odpowiedzialność najwyższego kierownictwa;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rozwijanie w organizacji kultury bezpiecznej pracy;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komunikację;</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konsultacje i udział pracowników / przedstawicieli pracowników;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przydzielanie niezbędnych zasobów;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polityki w zakresie BHP, zgodne z ogólnymi celami strategicznymi i kierunkiem działania organizacji;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skuteczny proces  identyfikacji zagrożeń, kontrolowania ryzyka związanego z BHP </w:t>
      </w:r>
      <w:r w:rsidRPr="00E00B35">
        <w:rPr>
          <w:szCs w:val="20"/>
        </w:rPr>
        <w:br/>
        <w:t>i wykorzystywania szans;</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ciągłą ocenę wyników i monitorowanie systemu zarządzania BHP w celu poprawy wyników;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integrację systemu zarządzania BHP z procesami biznesowymi organizacji;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cele BHP spójne z polityką BHP, które uwzględniają zagrożenia, ryzyka i szanse;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zgodność z wymaganiami prawnymi i innymi.</w:t>
      </w:r>
    </w:p>
    <w:p w:rsidR="00E96768" w:rsidRPr="00E00B35" w:rsidRDefault="00E96768" w:rsidP="00E00B35">
      <w:pPr>
        <w:pStyle w:val="Tekstpodstawowy"/>
        <w:spacing w:after="0" w:line="312" w:lineRule="auto"/>
        <w:rPr>
          <w:szCs w:val="20"/>
        </w:rPr>
      </w:pPr>
      <w:r w:rsidRPr="00E00B35">
        <w:rPr>
          <w:szCs w:val="20"/>
        </w:rPr>
        <w:t xml:space="preserve">W ramach przeprowadzonych audytów potwierdzono, że procesy przebiegają zgodnie </w:t>
      </w:r>
      <w:r w:rsidRPr="00E00B35">
        <w:rPr>
          <w:szCs w:val="20"/>
        </w:rPr>
        <w:br/>
        <w:t xml:space="preserve">z opisanymi procedurami. Audytorzy wewnętrzni podczas przeglądu wnosili spostrzeżenia dot. rozszerzenia zapisów w procedurze komunikacji bhp dot. stron zewnętrznych, większego ujednolicenia zapisów dot. postępowania w sytuacjach awaryjnych </w:t>
      </w:r>
      <w:r w:rsidRPr="00E00B35">
        <w:rPr>
          <w:szCs w:val="20"/>
        </w:rPr>
        <w:br/>
        <w:t>w instrukcjach stanowiskowych bhp oraz ściślejszego wskazania odpowiedzialności pracowników i kierowników, w procedurze oceny ryzyka zawodowego. Spostrzeżenia zostały uwzględnione w zaktualizowanej dokumentacji.</w:t>
      </w:r>
    </w:p>
    <w:p w:rsidR="00E96768" w:rsidRPr="00E00B35" w:rsidRDefault="00E96768" w:rsidP="00E00B35">
      <w:pPr>
        <w:pStyle w:val="Tekstpodstawowy"/>
        <w:spacing w:after="0" w:line="312" w:lineRule="auto"/>
        <w:rPr>
          <w:szCs w:val="20"/>
        </w:rPr>
      </w:pPr>
      <w:r w:rsidRPr="00E00B35">
        <w:rPr>
          <w:szCs w:val="20"/>
        </w:rPr>
        <w:t xml:space="preserve">Audyt zewnętrzny, przeprowadzony w Zespole ds. BHP potwierdził właściwość prowadzonych przez Zespół działań i spełnienie wymagań systemu w odniesieniu do całej organizacji, skuteczne docieranie do świadomości pracowników i klientów Urzędu. </w:t>
      </w:r>
      <w:r w:rsidRPr="00E00B35">
        <w:rPr>
          <w:rFonts w:cs="Helvetica"/>
          <w:szCs w:val="20"/>
        </w:rPr>
        <w:t>Brak zaleceń ze strony audytorów zewnętrznych.</w:t>
      </w:r>
    </w:p>
    <w:p w:rsidR="00E96768" w:rsidRPr="00E00B35" w:rsidRDefault="00E96768" w:rsidP="00E00B35">
      <w:pPr>
        <w:pStyle w:val="11Trescpisma"/>
        <w:spacing w:before="0" w:after="0" w:line="312" w:lineRule="auto"/>
        <w:jc w:val="left"/>
        <w:rPr>
          <w:szCs w:val="20"/>
        </w:rPr>
      </w:pPr>
      <w:r w:rsidRPr="00E00B35">
        <w:rPr>
          <w:szCs w:val="20"/>
        </w:rPr>
        <w:t xml:space="preserve">Zespół BHP brał bezpośredni udział we wdrażaniu obowiązujących w UMW procedur związanych wynikających w szczególności z wymagań </w:t>
      </w:r>
      <w:r w:rsidRPr="00E00B35">
        <w:rPr>
          <w:rFonts w:cs="Arial"/>
          <w:szCs w:val="20"/>
        </w:rPr>
        <w:t>PN-ISO 45001</w:t>
      </w:r>
      <w:r w:rsidRPr="00E00B35">
        <w:rPr>
          <w:szCs w:val="20"/>
        </w:rPr>
        <w:t xml:space="preserve">. Uczestniczono </w:t>
      </w:r>
      <w:r w:rsidRPr="00E00B35">
        <w:rPr>
          <w:szCs w:val="20"/>
        </w:rPr>
        <w:br/>
        <w:t>w organizowanych przez Urząd spotkaniach i szkoleniach dotyczących Zintegrowanego Systemu Zarządzania, mających na celu m.in. doskonalenie zarządzania w zakresie BHP.</w:t>
      </w:r>
    </w:p>
    <w:p w:rsidR="00E96768" w:rsidRPr="00E00B35" w:rsidRDefault="00E96768" w:rsidP="00E00B35">
      <w:pPr>
        <w:spacing w:after="0" w:line="312" w:lineRule="auto"/>
        <w:rPr>
          <w:szCs w:val="20"/>
        </w:rPr>
      </w:pPr>
      <w:r w:rsidRPr="00E00B35">
        <w:rPr>
          <w:szCs w:val="20"/>
        </w:rPr>
        <w:t>Procedury związane z bhp, modyfikowane/wprowadzone w 2020 roku (7 procedur):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określanie potrzeb szkoleniowych i ich realizacja;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postępowanie komisji bhp;</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postępowanie w sytuacjach awaryjnych;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postępowanie w związku z wypadkiem przy pracy lub zdarzeniem potencjalnie wypadkowym;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zarządzanie oceną ryzyka zawodowego w UMW;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monitorowanie BHP w Urzędzie Miejskim Wrocławia;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postępowanie w związku z zaopatrzeniem w wyroby lub usługi w UMW, w tym wynajmowanie pomieszczeń (połączono dotychczasowe 2 procedury: 1 - dot. podwykonawstwa, 2 - dot. zakupów).</w:t>
      </w:r>
    </w:p>
    <w:p w:rsidR="00E96768" w:rsidRPr="00E00B35" w:rsidRDefault="00E96768" w:rsidP="00E00B35">
      <w:pPr>
        <w:spacing w:after="0" w:line="312" w:lineRule="auto"/>
        <w:ind w:left="360"/>
        <w:rPr>
          <w:szCs w:val="20"/>
        </w:rPr>
      </w:pPr>
      <w:r w:rsidRPr="00E00B35">
        <w:rPr>
          <w:szCs w:val="20"/>
        </w:rPr>
        <w:t xml:space="preserve"> </w:t>
      </w:r>
    </w:p>
    <w:p w:rsidR="00E96768" w:rsidRPr="00E00B35" w:rsidRDefault="00E96768" w:rsidP="00E00B35">
      <w:pPr>
        <w:pStyle w:val="Tekstpodstawowy2"/>
        <w:spacing w:after="0" w:line="312" w:lineRule="auto"/>
        <w:rPr>
          <w:color w:val="auto"/>
          <w:sz w:val="20"/>
          <w:szCs w:val="20"/>
        </w:rPr>
      </w:pPr>
      <w:r w:rsidRPr="00E00B35">
        <w:rPr>
          <w:color w:val="auto"/>
          <w:sz w:val="20"/>
          <w:szCs w:val="20"/>
        </w:rPr>
        <w:t>Szczególnie istotne zadania związane z bezpieczeństwem i higieną pracy, realizowane na bieżąco przez Zespół ds. BHP w ramach Zintegrowanego Systemu Zarządzania, przedstawiono poniżej: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profilaktyka – reagowanie na zagrożenia i zapobieganie występowaniu wypadków przy pracy oraz chorób zawodowych, współpraca z lekarzem medycyny pracy;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postępowania w związku ze zgłoszonymi wypadkami przy pracy pracowników i osób świadczących pracę na podstawie umów cywilno-prawnych oraz wypadkami w drodze z domu do pracy i z pracy do domu – zgodnie z rozporządzeniem Rady Ministrów </w:t>
      </w:r>
      <w:r w:rsidRPr="00E00B35">
        <w:rPr>
          <w:szCs w:val="20"/>
        </w:rPr>
        <w:br/>
        <w:t xml:space="preserve">z dnia 1 lipca 2009 roku w sprawie ustalania okoliczności i przyczyn wypadków przy pracy (Dz. U. Nr 105, poz. 870) i odpowiednio zgodnie z rozporządzenia Ministra Pracy i Polityki Społecznej z dnia 19 grudnia 2002 roku w sprawie trybu uznawania zdarzenia powstałego w okresie ubezpieczenia wypadkowego za wypadek przy pracy, kwalifikacji prawnej zdarzenia, wzoru karty wypadku i terminu jej sporządzenia </w:t>
      </w:r>
      <w:r w:rsidRPr="00E00B35">
        <w:rPr>
          <w:szCs w:val="20"/>
        </w:rPr>
        <w:br/>
        <w:t>(Dz. U. z 2013 roku  poz. 1618) oraz zgodnie z rozporządzeniem Ministra Pracy i Polityki Społecznej z dnia 24 grudnia 2002 roku w sprawie szczegółowych zasad oraz trybu uznawania zdarzenia za wypadek w drodze do pracy lub z pracy, sposobu jego dokumentowania, wzoru karty wypadku w drodze do pracy lub z pracy oraz terminu jej sporządzania (Dz. U. z 2013 roku poz. 924);</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realizacja procesu szkoleń z zakresu BHP– zgodnie z rozporządzeniem Ministra Gospodarki i Pracy z dnia 27 lipca 2004 roku w sprawie szkolenia w dziedzinie bezpieczeństwa i higieny pracy (Dz. U. Nr 180, poz. 1860 ze zmianami oraz z 2019 roku poz. 1099);</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analiza i ocena ryzyka zawodowego pracowników Urzędu – zgodnie z ustawą z dnia 26 czerwca 1974 roku - Kodeks pracy (Dz. U. z 2020 roku poz. 1320);</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wypełnianie zadań związanych z udziałem w Komisji BHP, m.in. dokonującej przeglądów budynków i stanowisk pracy w Urzędzie - zgodnie z ustawą z dnia 26 czerwca 1974 roku - Kodeks pracy (Dz. U. z 2020 roku poz. 1320) oraz zgodnie z Zarządzeniem NR /K/9/18 Prezydenta Wrocławia z dnia 19 marca 2018 roku.</w:t>
      </w:r>
    </w:p>
    <w:p w:rsidR="00E96768" w:rsidRPr="00E00B35" w:rsidRDefault="00E96768" w:rsidP="00E00B35">
      <w:pPr>
        <w:pStyle w:val="Nagwek3"/>
        <w:spacing w:after="0" w:line="312" w:lineRule="auto"/>
        <w:rPr>
          <w:b w:val="0"/>
          <w:sz w:val="20"/>
        </w:rPr>
      </w:pPr>
    </w:p>
    <w:p w:rsidR="00E96768" w:rsidRPr="00E00B35" w:rsidRDefault="00E96768" w:rsidP="00E00B35">
      <w:pPr>
        <w:pStyle w:val="Nagwek5"/>
        <w:rPr>
          <w:szCs w:val="20"/>
        </w:rPr>
      </w:pPr>
      <w:r w:rsidRPr="00E00B35">
        <w:rPr>
          <w:szCs w:val="20"/>
        </w:rPr>
        <w:t>KOMISJA BEZPIECZEŃSTWA I HIGIENY PRACY</w:t>
      </w:r>
    </w:p>
    <w:p w:rsidR="00E96768" w:rsidRPr="00E00B35" w:rsidRDefault="00E96768" w:rsidP="00E00B35">
      <w:pPr>
        <w:spacing w:after="0" w:line="312" w:lineRule="auto"/>
        <w:rPr>
          <w:szCs w:val="20"/>
        </w:rPr>
      </w:pPr>
      <w:r w:rsidRPr="00E00B35">
        <w:rPr>
          <w:szCs w:val="20"/>
        </w:rPr>
        <w:t xml:space="preserve">Komisja Bezpieczeństwa i Higieny Pracy powołana zarządzeniem nr K/9/18 Prezydenta Wrocławia z dnia 29 marca 2018 roku ze zm., w 2020 roku zebrała się na 13 posiedzeniach, realizując cele wyznaczone w planie spotkań na ten rok. Komisja m.in. wskazywała zgłaszane przez pracowników i stwierdzone podczas przeglądów, potrzeby dotyczące poprawy stanu bezpieczeństwa i higieny pracy w obiektach Urzędu i bezpośrednio na stanowiskach pracy. Podczas spotkań Komisji z pracownikami i w trakcie </w:t>
      </w:r>
      <w:r w:rsidRPr="00E00B35">
        <w:rPr>
          <w:szCs w:val="20"/>
        </w:rPr>
        <w:lastRenderedPageBreak/>
        <w:t>przeglądów, przekazywano pracownikom informacje o ich prawach i obowiązkach. W ramach działań Komisja miała na uwadze identyfikację ewentualnych zmian które wymagałyby aktualizacji „Karty oceny ryzyka zawodowego”.</w:t>
      </w:r>
      <w:r w:rsidRPr="00E00B35">
        <w:rPr>
          <w:rFonts w:cs="Verdana"/>
          <w:szCs w:val="20"/>
        </w:rPr>
        <w:t xml:space="preserve"> Wskazywano ewentualne potencjalne zagrożenia oraz sposoby im zapobiegania.</w:t>
      </w:r>
      <w:r w:rsidRPr="00E00B35">
        <w:rPr>
          <w:szCs w:val="20"/>
        </w:rPr>
        <w:t xml:space="preserve"> </w:t>
      </w:r>
      <w:r w:rsidRPr="00E00B35">
        <w:rPr>
          <w:rFonts w:cs="Verdana"/>
          <w:szCs w:val="20"/>
        </w:rPr>
        <w:t>Zwracano uwagę na organizację i wyposażenie stanowisk pracy, pomieszczeń, stan klatek schodowych, korytarzy obiektów w których wykonują obowiązki służbowe pracownicy Urzędu Miejskiego Wrocławia. Zwracano się do administratorów obiektów o informacje dotyczące sprawności instalacji elektrycznych, odgromowych, dymowych. Formułowano zalecenia i przypominano o zasadach wyposażania apteczek pierwszej pomocy, zabezpieczania wszelkiego rodzaju przewodów przebiegających w pomieszczeniach pracy, oznakowania i wyposażania miejsc gdzie może występować zwiększone ryzyko wypadku oraz wskazywano propozycje ewentualnych modernizacji. Interweniowano w tych miejscach, gdzie pracownicy zgłaszali problemy Oddziałowym Społecznym Inspektorom Pracy lub bezpośrednio członkom Komisji BHP.</w:t>
      </w:r>
    </w:p>
    <w:p w:rsidR="00E96768" w:rsidRPr="00E00B35" w:rsidRDefault="00E96768" w:rsidP="00E00B35">
      <w:pPr>
        <w:pStyle w:val="Tekstpodstawowy"/>
        <w:spacing w:after="0" w:line="312" w:lineRule="auto"/>
        <w:rPr>
          <w:szCs w:val="20"/>
        </w:rPr>
      </w:pPr>
      <w:r w:rsidRPr="00E00B35">
        <w:rPr>
          <w:szCs w:val="20"/>
        </w:rPr>
        <w:t>Realizacja szeregu wydanych przez Komisję zaleceń, przyczynia się do stałej poprawy warunków pracy pracowników Urzędu Miejskiego Wrocławia, wpływa na zmniejszenie ilości występujących wypadków przy pracy oraz zmniejszenie prawdopodobieństwa zachorowań na choroby zawodowe. Komisja BHP mając na względzie udział  przedstawicieli pracowników oraz przedstawicieli pracodawcy, w ramach konsultacji przyczynia się do odpowiedniej optymalizacji i określenia priorytetów dot. podejmowanych działań na rzecz doskonalenia stanu bezpieczeństwa i higieny pracy, uwzględniając również utrzymanie jak najlepszego wizerunku Urzędu i urzędnika dla klientów zewnętrznych.</w:t>
      </w:r>
    </w:p>
    <w:p w:rsidR="00E96768" w:rsidRPr="00E00B35" w:rsidRDefault="00000B36" w:rsidP="00E00B35">
      <w:pPr>
        <w:pStyle w:val="Nagwek5"/>
        <w:rPr>
          <w:szCs w:val="20"/>
        </w:rPr>
      </w:pPr>
      <w:r w:rsidRPr="00E00B35">
        <w:rPr>
          <w:szCs w:val="20"/>
          <w:lang w:val="pl-PL"/>
        </w:rPr>
        <w:br/>
      </w:r>
      <w:r w:rsidR="00E96768" w:rsidRPr="00E00B35">
        <w:rPr>
          <w:szCs w:val="20"/>
        </w:rPr>
        <w:t>KONTROLE ORGANÓW NADZORU NAD WARUNKAMI PRACY</w:t>
      </w:r>
    </w:p>
    <w:p w:rsidR="00E96768" w:rsidRPr="00E00B35" w:rsidRDefault="00E96768" w:rsidP="00E00B35">
      <w:pPr>
        <w:pStyle w:val="Tekstpodstawowy3"/>
        <w:spacing w:after="0" w:line="312" w:lineRule="auto"/>
        <w:rPr>
          <w:sz w:val="20"/>
          <w:szCs w:val="20"/>
        </w:rPr>
      </w:pPr>
      <w:r w:rsidRPr="00E00B35">
        <w:rPr>
          <w:sz w:val="20"/>
          <w:szCs w:val="20"/>
        </w:rPr>
        <w:t>W 2020 r. została przeprowadzona kontrola przez Państwową Inspekcję Pracy, obejmująca  między innymi aspekty bezpieczeństwa i higieny pracy –  wydała zalecenia, które zostały zrealizowane.</w:t>
      </w:r>
    </w:p>
    <w:p w:rsidR="00E96768" w:rsidRPr="00E00B35" w:rsidRDefault="00E96768" w:rsidP="00E00B35">
      <w:pPr>
        <w:spacing w:after="0" w:line="312" w:lineRule="auto"/>
        <w:rPr>
          <w:szCs w:val="20"/>
        </w:rPr>
      </w:pPr>
      <w:r w:rsidRPr="00E00B35">
        <w:rPr>
          <w:szCs w:val="20"/>
        </w:rPr>
        <w:t>Państwowa Inspekcja Sanitarna w komórce bhp nie przeprowadziła kontroli w 2020 roku</w:t>
      </w:r>
    </w:p>
    <w:p w:rsidR="00E96768" w:rsidRPr="00E00B35" w:rsidRDefault="00E96768" w:rsidP="00E00B35">
      <w:pPr>
        <w:spacing w:after="0" w:line="312" w:lineRule="auto"/>
        <w:rPr>
          <w:szCs w:val="20"/>
        </w:rPr>
      </w:pPr>
      <w:r w:rsidRPr="00E00B35">
        <w:rPr>
          <w:szCs w:val="20"/>
        </w:rPr>
        <w:t xml:space="preserve">Państwowa Straż Pożarna nie przeprowadziła kontroli w </w:t>
      </w:r>
      <w:r w:rsidRPr="00E00B35">
        <w:rPr>
          <w:rFonts w:cs="Verdana"/>
          <w:color w:val="000000"/>
          <w:szCs w:val="20"/>
        </w:rPr>
        <w:t>obiektach administracyjnych urzędu w</w:t>
      </w:r>
      <w:r w:rsidRPr="00E00B35">
        <w:rPr>
          <w:szCs w:val="20"/>
        </w:rPr>
        <w:t xml:space="preserve"> 2020 roku.</w:t>
      </w:r>
    </w:p>
    <w:p w:rsidR="00E96768" w:rsidRPr="00E00B35" w:rsidRDefault="00000B36" w:rsidP="00E00B35">
      <w:pPr>
        <w:pStyle w:val="Nagwek4"/>
        <w:spacing w:before="0" w:after="0" w:line="312" w:lineRule="auto"/>
        <w:rPr>
          <w:sz w:val="20"/>
          <w:szCs w:val="20"/>
        </w:rPr>
      </w:pPr>
      <w:r w:rsidRPr="00E00B35">
        <w:rPr>
          <w:sz w:val="20"/>
          <w:szCs w:val="20"/>
        </w:rPr>
        <w:br/>
      </w:r>
      <w:r w:rsidR="00E96768" w:rsidRPr="00E00B35">
        <w:rPr>
          <w:sz w:val="20"/>
          <w:szCs w:val="20"/>
        </w:rPr>
        <w:t>PRZEPROWADZONE DZIAŁANIA MAJĄCE NA CELU PODWYŻSZENIE JAKOŚCI OBSŁUGI KLIENTÓW ORAZ USPRAWNIENIE FUNKCJONOWANIA URZĘDU</w:t>
      </w:r>
    </w:p>
    <w:p w:rsidR="00E96768" w:rsidRPr="00E00B35" w:rsidRDefault="00E96768" w:rsidP="00E00B35">
      <w:pPr>
        <w:spacing w:after="0" w:line="312" w:lineRule="auto"/>
        <w:rPr>
          <w:szCs w:val="20"/>
        </w:rPr>
      </w:pPr>
      <w:r w:rsidRPr="00E00B35">
        <w:rPr>
          <w:szCs w:val="20"/>
        </w:rPr>
        <w:t>Wydział Obsługi Urzędu w ramach realizacji przydzielonych zadań w 2020 roku podejmował działania na podstawie zaplanowanych i przyjętych założeń: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utrzymania infrastruktury Urzędu Miejskiego Wrocławia w stanie gwarantującym optymalne i bezpieczne warunki pracy,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zapewnienia zasobów materiałowo-technicznych i technologii umożliwiającej terminową realizację zadań,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podwyższenia standardów, optymalizowania i stałego monitorowania kosztów i potrzeb.</w:t>
      </w:r>
    </w:p>
    <w:p w:rsidR="00E96768" w:rsidRPr="00E00B35" w:rsidRDefault="00E96768" w:rsidP="00E00B35">
      <w:pPr>
        <w:spacing w:after="0" w:line="312" w:lineRule="auto"/>
        <w:rPr>
          <w:rFonts w:cs="Arial"/>
          <w:b/>
          <w:szCs w:val="20"/>
        </w:rPr>
      </w:pPr>
    </w:p>
    <w:p w:rsidR="00E96768" w:rsidRPr="00E00B35" w:rsidRDefault="00E96768" w:rsidP="00E00B35">
      <w:pPr>
        <w:pStyle w:val="Nagwek4"/>
        <w:spacing w:before="0" w:after="0" w:line="312" w:lineRule="auto"/>
        <w:rPr>
          <w:sz w:val="20"/>
          <w:szCs w:val="20"/>
        </w:rPr>
      </w:pPr>
      <w:r w:rsidRPr="00E00B35">
        <w:rPr>
          <w:sz w:val="20"/>
          <w:szCs w:val="20"/>
        </w:rPr>
        <w:lastRenderedPageBreak/>
        <w:t>REMONTY I INWESTYCJE</w:t>
      </w:r>
    </w:p>
    <w:p w:rsidR="00E96768" w:rsidRPr="00E00B35" w:rsidRDefault="00E96768" w:rsidP="00E00B35">
      <w:pPr>
        <w:pStyle w:val="Nagwek5"/>
        <w:rPr>
          <w:szCs w:val="20"/>
        </w:rPr>
      </w:pPr>
      <w:r w:rsidRPr="00E00B35">
        <w:rPr>
          <w:szCs w:val="20"/>
        </w:rPr>
        <w:t>INWESTYCJE</w:t>
      </w:r>
    </w:p>
    <w:p w:rsidR="00E96768" w:rsidRPr="00E00B35" w:rsidRDefault="00E96768" w:rsidP="00E00B35">
      <w:pPr>
        <w:spacing w:after="0" w:line="312" w:lineRule="auto"/>
        <w:contextualSpacing/>
        <w:rPr>
          <w:rFonts w:cs="Arial"/>
          <w:szCs w:val="20"/>
        </w:rPr>
      </w:pPr>
      <w:r w:rsidRPr="00E00B35">
        <w:rPr>
          <w:rFonts w:cs="Arial"/>
          <w:szCs w:val="20"/>
        </w:rPr>
        <w:t>Modernizacja elewacji obiektu UMW przy ul. G. Zapolskiej 4</w:t>
      </w:r>
    </w:p>
    <w:p w:rsidR="00E96768" w:rsidRPr="00E00B35" w:rsidRDefault="00E96768" w:rsidP="00E00B35">
      <w:pPr>
        <w:pStyle w:val="Akapitzlist"/>
        <w:spacing w:after="0" w:line="312" w:lineRule="auto"/>
        <w:ind w:left="0"/>
        <w:rPr>
          <w:rFonts w:cs="Arial"/>
          <w:color w:val="FF0000"/>
          <w:szCs w:val="20"/>
        </w:rPr>
      </w:pPr>
      <w:r w:rsidRPr="00E00B35">
        <w:rPr>
          <w:rFonts w:cs="Arial"/>
          <w:szCs w:val="20"/>
        </w:rPr>
        <w:t>Wartość umowna inwestycji – 2 288 954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wykonanych robót – 2 288 954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Procentowy wskaźnik wykonania robót: 100%</w:t>
      </w:r>
    </w:p>
    <w:p w:rsidR="00E96768" w:rsidRPr="00E00B35" w:rsidRDefault="00E96768" w:rsidP="00E00B35">
      <w:pPr>
        <w:spacing w:after="0" w:line="312" w:lineRule="auto"/>
        <w:rPr>
          <w:rFonts w:cs="Arial"/>
          <w:szCs w:val="20"/>
        </w:rPr>
      </w:pPr>
      <w:r w:rsidRPr="00E00B35">
        <w:rPr>
          <w:rFonts w:cs="Arial"/>
          <w:szCs w:val="20"/>
        </w:rPr>
        <w:t xml:space="preserve">Zakres prac obejmował: </w:t>
      </w:r>
    </w:p>
    <w:p w:rsidR="00E96768" w:rsidRPr="00E00B35" w:rsidRDefault="00E96768" w:rsidP="00BC64AB">
      <w:pPr>
        <w:pStyle w:val="Akapitzlist"/>
        <w:numPr>
          <w:ilvl w:val="0"/>
          <w:numId w:val="245"/>
        </w:numPr>
        <w:spacing w:after="0" w:line="312" w:lineRule="auto"/>
        <w:ind w:left="567" w:hanging="567"/>
        <w:rPr>
          <w:szCs w:val="20"/>
        </w:rPr>
      </w:pPr>
      <w:r w:rsidRPr="00E00B35">
        <w:rPr>
          <w:rFonts w:cs="Arial"/>
          <w:szCs w:val="20"/>
        </w:rPr>
        <w:t xml:space="preserve">Remont dachu w zakresie: przemurowania ogniomurów i kominów, wymiany </w:t>
      </w:r>
      <w:r w:rsidRPr="00E00B35">
        <w:rPr>
          <w:rFonts w:cs="Arial"/>
          <w:szCs w:val="20"/>
        </w:rPr>
        <w:br/>
        <w:t xml:space="preserve">i wzmocnienia uszkodzonych elementów więźby dachowej, oczyszczenia i impregnacji elementów drewnianej </w:t>
      </w:r>
      <w:r w:rsidRPr="00E00B35">
        <w:rPr>
          <w:szCs w:val="20"/>
        </w:rPr>
        <w:t>więźby dachu przed szkodliwym działaniem ognia, owadów, grzybów domowych i pleśniowych, wymiany obróbek blacharskich i rur spustowych, ułożenia folii paro przepuszczalnej, wymiany ceramicznego pokrycia dachu, remontu lukarn, osadzenia wyłazów dachowych z siłownikami.</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szCs w:val="20"/>
        </w:rPr>
        <w:t>Remont elewacji w zakresie: wymiany i wzmocnienia uszkodzonych tynków zewnętrznych, wzmocnienia uszkodzonej konstrukcji ceglanych ścian, uzupełnienia, cyzelowania i odtworzenia ozdobnego detalu dekoracyjnego wraz z ich strukturalnym wzmocnieniem, wykonania tynków zewnętrznych mineralnych i malowanie ich farbami silikatowymi, remontu balkonów wraz z ich zabezpieczeniem siatkami przed ptakami, konserwacji balustrad wraz z zabezpieczeniem antykorozyjnym, wymiany obróbek blacharskich, parapetów oraz rur spustowych wraz z żeliwnymi czyszczakami, konserwacji i renowacji zewnętrznej</w:t>
      </w:r>
      <w:r w:rsidRPr="00E00B35">
        <w:rPr>
          <w:rFonts w:cs="Arial"/>
          <w:szCs w:val="20"/>
        </w:rPr>
        <w:t xml:space="preserve"> stolarki drzwiowej, konserwacji odsłoniętych zabytkowych napisów, wymiany instalacji odgromowej.</w:t>
      </w:r>
    </w:p>
    <w:p w:rsidR="00E96768" w:rsidRPr="00E00B35" w:rsidRDefault="00E96768" w:rsidP="00E00B35">
      <w:pPr>
        <w:spacing w:after="0" w:line="312" w:lineRule="auto"/>
        <w:contextualSpacing/>
        <w:rPr>
          <w:rFonts w:cs="Arial"/>
          <w:szCs w:val="20"/>
        </w:rPr>
      </w:pPr>
      <w:r w:rsidRPr="00E00B35">
        <w:rPr>
          <w:rFonts w:cs="Arial"/>
          <w:szCs w:val="20"/>
        </w:rPr>
        <w:t>Przebudowa pomieszczeń lokalu użytkowego Piwnica Świdnicka w budynku Ratusza Staromiejskiego przy Sukiennicach 12-15 we Wrocławiu.</w:t>
      </w:r>
    </w:p>
    <w:p w:rsidR="00E96768" w:rsidRPr="00E00B35" w:rsidRDefault="00E96768" w:rsidP="00E00B35">
      <w:pPr>
        <w:spacing w:after="0" w:line="312" w:lineRule="auto"/>
        <w:rPr>
          <w:rFonts w:cs="Arial"/>
          <w:szCs w:val="20"/>
        </w:rPr>
      </w:pPr>
      <w:r w:rsidRPr="00E00B35">
        <w:rPr>
          <w:rFonts w:cs="Arial"/>
          <w:szCs w:val="20"/>
        </w:rPr>
        <w:t>Wartość umowna inwestycji – 4 464 962  zł brutto</w:t>
      </w:r>
    </w:p>
    <w:p w:rsidR="00E96768" w:rsidRPr="00E00B35" w:rsidRDefault="00E96768" w:rsidP="00E00B35">
      <w:pPr>
        <w:spacing w:after="0" w:line="312" w:lineRule="auto"/>
        <w:rPr>
          <w:rFonts w:cs="Arial"/>
          <w:szCs w:val="20"/>
        </w:rPr>
      </w:pPr>
      <w:r w:rsidRPr="00E00B35">
        <w:rPr>
          <w:rFonts w:cs="Arial"/>
          <w:szCs w:val="20"/>
        </w:rPr>
        <w:t xml:space="preserve">Wartość planowanych robót do wykonania w 2020 r. – 3 799 987 zł brutto </w:t>
      </w:r>
    </w:p>
    <w:p w:rsidR="00E96768" w:rsidRPr="00E00B35" w:rsidRDefault="00E96768" w:rsidP="00E00B35">
      <w:pPr>
        <w:spacing w:after="0" w:line="312" w:lineRule="auto"/>
        <w:rPr>
          <w:rFonts w:cs="Arial"/>
          <w:szCs w:val="20"/>
        </w:rPr>
      </w:pPr>
      <w:r w:rsidRPr="00E00B35">
        <w:rPr>
          <w:rFonts w:cs="Arial"/>
          <w:szCs w:val="20"/>
        </w:rPr>
        <w:t>Wartość wykonanych robót – 3 799 987 zł brutto</w:t>
      </w:r>
    </w:p>
    <w:p w:rsidR="00E96768" w:rsidRPr="00E00B35" w:rsidRDefault="00E96768" w:rsidP="00E00B35">
      <w:pPr>
        <w:spacing w:after="0" w:line="312" w:lineRule="auto"/>
        <w:rPr>
          <w:rFonts w:cs="Arial"/>
          <w:szCs w:val="20"/>
        </w:rPr>
      </w:pPr>
      <w:r w:rsidRPr="00E00B35">
        <w:rPr>
          <w:rFonts w:cs="Arial"/>
          <w:szCs w:val="20"/>
        </w:rPr>
        <w:t>Procentowy wskaźnik wykonania robót: 100%</w:t>
      </w:r>
    </w:p>
    <w:p w:rsidR="00E96768" w:rsidRPr="00E00B35" w:rsidRDefault="00E96768" w:rsidP="00E00B35">
      <w:pPr>
        <w:spacing w:after="0" w:line="312" w:lineRule="auto"/>
        <w:rPr>
          <w:rFonts w:cs="Arial"/>
          <w:szCs w:val="20"/>
        </w:rPr>
      </w:pPr>
      <w:r w:rsidRPr="00E00B35">
        <w:rPr>
          <w:rFonts w:cs="Arial"/>
          <w:szCs w:val="20"/>
        </w:rPr>
        <w:t>Przebudowa pomieszczeń lokalu użytkowego polegała na wymianie wyeksploatowanych (zużytych technicznie) instalacji sanitarnych oraz elektrycznych w przedmiotowym obiekcie oraz dostosowania go do obowiązujących przepisów budowlanych, w tym dostępu dla osób niepełnosprawnych.</w:t>
      </w:r>
    </w:p>
    <w:p w:rsidR="00E96768" w:rsidRPr="00E00B35" w:rsidRDefault="00E96768" w:rsidP="00E00B35">
      <w:pPr>
        <w:spacing w:after="0" w:line="312" w:lineRule="auto"/>
        <w:rPr>
          <w:rFonts w:cs="Arial"/>
          <w:szCs w:val="20"/>
        </w:rPr>
      </w:pPr>
      <w:r w:rsidRPr="00E00B35">
        <w:rPr>
          <w:rFonts w:cs="Arial"/>
          <w:szCs w:val="20"/>
        </w:rPr>
        <w:t>Całkowita powierzchnia lokalu użytkowego: 1 543,60 m².</w:t>
      </w:r>
    </w:p>
    <w:p w:rsidR="00E96768" w:rsidRPr="00E00B35" w:rsidRDefault="00E96768" w:rsidP="00E00B35">
      <w:pPr>
        <w:spacing w:after="0" w:line="312" w:lineRule="auto"/>
        <w:rPr>
          <w:rFonts w:cs="Arial"/>
          <w:szCs w:val="20"/>
        </w:rPr>
      </w:pPr>
      <w:r w:rsidRPr="00E00B35">
        <w:rPr>
          <w:rFonts w:cs="Arial"/>
          <w:szCs w:val="20"/>
        </w:rPr>
        <w:t>Zakres prac obejmował:</w:t>
      </w:r>
    </w:p>
    <w:p w:rsidR="00E96768" w:rsidRPr="00E00B35" w:rsidRDefault="00E96768" w:rsidP="00BC64AB">
      <w:pPr>
        <w:pStyle w:val="Akapitzlist"/>
        <w:numPr>
          <w:ilvl w:val="0"/>
          <w:numId w:val="245"/>
        </w:numPr>
        <w:spacing w:after="0" w:line="312" w:lineRule="auto"/>
        <w:ind w:left="567" w:hanging="567"/>
        <w:rPr>
          <w:szCs w:val="20"/>
        </w:rPr>
      </w:pPr>
      <w:r w:rsidRPr="00E00B35">
        <w:rPr>
          <w:rFonts w:cs="Arial"/>
          <w:szCs w:val="20"/>
        </w:rPr>
        <w:t xml:space="preserve">Roboty sanitarne - demontaż wszystkich wewnętrznych instalacji sanitarnych, urządzeń, osprzętu oraz ich obudowy w obrębie zaplecza kuchennego i toalet ogólnodostępnych, wykonanie instalacji wody zimnej, ciepłej i cyrkulacji, wykonanie instalacji hydrantowej, wykonanie </w:t>
      </w:r>
      <w:r w:rsidRPr="00E00B35">
        <w:rPr>
          <w:szCs w:val="20"/>
        </w:rPr>
        <w:t>instalacji kanalizacji sanitarnej, centralnego ogrzewania oraz ciepła technologicznego, remont węzła cieplnego, wykonanie wentylacji mechanicznej, klimatyzacji oraz oddymiania, wykonanie instalacji wody lodowej oraz glikolowego odzysku ciepła.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Roboty elektryczne - demontaż wewnętrznych instalacji elektrycznych, urządzeń oraz osprzętu, wykonanie linii zasilających z przyłączy energetycznych wraz z montażem rozdzielnicy głównej, wykonanie zasilania urządzeń wraz z tablicami strefowymi.</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szCs w:val="20"/>
        </w:rPr>
        <w:t>Roboty budowlane - rozbiórki oblicowania ścian z płytek w obrębie zaplecza kuchennego i toalet ogólnodostępnych, uzupełnienie murów, tynków i posadzek po montażu instalacji sanitarnych i elektrycznych, wykonanie ścianek działowych z płyt GK oraz systemowych sufitów podwieszonych w pomieszczeniach toalet ogólnodostępnych, zabezpieczenie przeciwwilgociowe powierzchni ścian, studni i studzienek, zabezpieczenie p.poż. istniejącego</w:t>
      </w:r>
      <w:r w:rsidRPr="00E00B35">
        <w:rPr>
          <w:rFonts w:cs="Arial"/>
          <w:szCs w:val="20"/>
        </w:rPr>
        <w:t xml:space="preserve"> kanału wentylacyjnego, montaż windy towarowej, pochylni dla niepełnosprawnych oraz czerpni powietrza.</w:t>
      </w:r>
    </w:p>
    <w:p w:rsidR="00000B36" w:rsidRPr="00E00B35" w:rsidRDefault="00000B36" w:rsidP="00E00B35">
      <w:pPr>
        <w:spacing w:after="0" w:line="312" w:lineRule="auto"/>
        <w:contextualSpacing/>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Budowa szybu wraz z dostawą i montażem windy osobowej w budynku przy pl. Nowy Targ 1-8.</w:t>
      </w:r>
    </w:p>
    <w:p w:rsidR="00E96768" w:rsidRPr="00E00B35" w:rsidRDefault="00E96768" w:rsidP="00E00B35">
      <w:pPr>
        <w:pStyle w:val="Akapitzlist"/>
        <w:spacing w:after="0" w:line="312" w:lineRule="auto"/>
        <w:ind w:left="0"/>
        <w:rPr>
          <w:rFonts w:cs="Arial"/>
          <w:szCs w:val="20"/>
        </w:rPr>
      </w:pPr>
      <w:r w:rsidRPr="00E00B35">
        <w:rPr>
          <w:rFonts w:cs="Arial"/>
          <w:szCs w:val="20"/>
        </w:rPr>
        <w:t>Wartość umowna inwestycji – 658 960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planowanych robót do wykonania w 2020 r. – 639 040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wykonanych robót – 639 034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Procentowy wskaźnik wykonania robót:100%</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opracowanie dokumentacji projektowej wraz z uzyskaniem niezbędnych uzgodnień i decyzji administracyjnych, budowę szybu windowego, dostawę, montaż windy osobowej, wykonanie zasilania windy oraz systemu sygnalizacji pożaru klatki schodowej.</w:t>
      </w:r>
    </w:p>
    <w:p w:rsidR="00000B36" w:rsidRPr="00E00B35" w:rsidRDefault="00000B36" w:rsidP="00E00B35">
      <w:pPr>
        <w:spacing w:after="0" w:line="312" w:lineRule="auto"/>
        <w:contextualSpacing/>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Rozbudowa systemu klimatyzacji wraz z elementami współpracującymi w obiektach UMW.</w:t>
      </w:r>
    </w:p>
    <w:p w:rsidR="00E96768" w:rsidRPr="00E00B35" w:rsidRDefault="00E96768" w:rsidP="00E00B35">
      <w:pPr>
        <w:pStyle w:val="Akapitzlist"/>
        <w:spacing w:after="0" w:line="312" w:lineRule="auto"/>
        <w:ind w:left="0"/>
        <w:rPr>
          <w:rFonts w:cs="Arial"/>
          <w:szCs w:val="20"/>
        </w:rPr>
      </w:pPr>
      <w:r w:rsidRPr="00E00B35">
        <w:rPr>
          <w:rFonts w:cs="Arial"/>
          <w:szCs w:val="20"/>
        </w:rPr>
        <w:t>Wartość umowna inwestycji – 129 150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wykonanych robót – 129 150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Procentowy wskaźnik wykonania robót: 100%</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dostawę i montaż 13 szt. wewnętrznych jednostek  klimatyzacyjnych oraz 5 szt. jednostek zewnętrznym wraz z wykonaniem instalacji chłodniczej z rur miedzianych i instalacji odprowadzenia skroplin oraz instalacji elektrycznej zasilającej urządzenia w pomieszczeniach biurowych oraz technicznych</w:t>
      </w:r>
    </w:p>
    <w:p w:rsidR="00E96768" w:rsidRPr="00E00B35" w:rsidRDefault="00E96768" w:rsidP="00E00B35">
      <w:pPr>
        <w:pStyle w:val="Akapitzlist"/>
        <w:spacing w:after="0" w:line="312" w:lineRule="auto"/>
        <w:ind w:left="0"/>
        <w:rPr>
          <w:rFonts w:cs="Arial"/>
          <w:szCs w:val="20"/>
        </w:rPr>
      </w:pPr>
      <w:r w:rsidRPr="00E00B35">
        <w:rPr>
          <w:rFonts w:cs="Arial"/>
          <w:szCs w:val="20"/>
        </w:rPr>
        <w:t>W ramach tego przedsięwzięcia jednostki klimatyzacyjne wewnętrzne zostały zamontowane w następujących pomieszczeniach, w obiektach Urzędu Miejskiego Wrocławia: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Sukiennice 9 – pomieszczenie nr 103,</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Sukiennice 10 – pomieszczenie nr: 106, 112, 113, 114, 115, 116, 117, 119B,</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ul. G. Zapolskiej 4 – pomieszczenie nr: 526, 526A,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pl. Nowy Targ 1-8 – pomieszczenie nr 111 (serwerownia),</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szCs w:val="20"/>
        </w:rPr>
        <w:t>ul. Strz</w:t>
      </w:r>
      <w:r w:rsidRPr="00E00B35">
        <w:rPr>
          <w:rFonts w:cs="Arial"/>
          <w:szCs w:val="20"/>
        </w:rPr>
        <w:t>egomska 148 – pomieszczenie nr 220 (serwerownia).</w:t>
      </w:r>
    </w:p>
    <w:p w:rsidR="00E96768" w:rsidRPr="00E00B35" w:rsidRDefault="00E96768" w:rsidP="00E00B35">
      <w:pPr>
        <w:pStyle w:val="Akapitzlist"/>
        <w:spacing w:after="0" w:line="312" w:lineRule="auto"/>
        <w:ind w:left="0"/>
        <w:rPr>
          <w:rFonts w:cs="Arial"/>
          <w:szCs w:val="20"/>
        </w:rPr>
      </w:pPr>
      <w:r w:rsidRPr="00E00B35">
        <w:rPr>
          <w:rFonts w:cs="Arial"/>
          <w:szCs w:val="20"/>
        </w:rPr>
        <w:t>Natomiast jednostki klimatyzacyjne zewnętrzne zostały zamontowane w następujących obiektach Urzędu Miejskiego Wrocławia: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Sukiennice 9 – 1 szt.,</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Sukiennice 10 – 2 szt.,</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ul. G. Zapolskiej 4 – 1 szt.,</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szCs w:val="20"/>
        </w:rPr>
        <w:t>ul. Strz</w:t>
      </w:r>
      <w:r w:rsidRPr="00E00B35">
        <w:rPr>
          <w:rFonts w:cs="Arial"/>
          <w:szCs w:val="20"/>
        </w:rPr>
        <w:t>egomska 148 – 1 szt.</w:t>
      </w:r>
    </w:p>
    <w:p w:rsidR="00E96768" w:rsidRPr="00E00B35" w:rsidRDefault="00E96768" w:rsidP="00E00B35">
      <w:pPr>
        <w:spacing w:after="0" w:line="312" w:lineRule="auto"/>
        <w:contextualSpacing/>
        <w:rPr>
          <w:rFonts w:cs="Arial"/>
          <w:szCs w:val="20"/>
        </w:rPr>
      </w:pPr>
      <w:r w:rsidRPr="00E00B35">
        <w:rPr>
          <w:rFonts w:cs="Arial"/>
          <w:szCs w:val="20"/>
        </w:rPr>
        <w:t>Prace przygotowawcze i zadania towarzyszące inwestycji przebudowy dziedzińca budynku UMW przy pl. Nowy Targ 1-8.</w:t>
      </w:r>
    </w:p>
    <w:p w:rsidR="00E96768" w:rsidRPr="00E00B35" w:rsidRDefault="00E96768" w:rsidP="00E00B35">
      <w:pPr>
        <w:pStyle w:val="Akapitzlist"/>
        <w:spacing w:after="0" w:line="312" w:lineRule="auto"/>
        <w:ind w:left="0"/>
        <w:rPr>
          <w:rFonts w:cs="Arial"/>
          <w:szCs w:val="20"/>
        </w:rPr>
      </w:pPr>
      <w:r w:rsidRPr="00E00B35">
        <w:rPr>
          <w:rFonts w:cs="Arial"/>
          <w:szCs w:val="20"/>
        </w:rPr>
        <w:t>Wartość umowna inwestycji – 1 864 348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wykonanych robót – 1 864 348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Procentowy wskaźnik wykonania robót: 100%</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rFonts w:cs="Arial"/>
          <w:szCs w:val="20"/>
        </w:rPr>
        <w:t xml:space="preserve">Roboty </w:t>
      </w:r>
      <w:r w:rsidRPr="00E00B35">
        <w:rPr>
          <w:szCs w:val="20"/>
        </w:rPr>
        <w:t>budowlane</w:t>
      </w:r>
      <w:r w:rsidRPr="00E00B35">
        <w:rPr>
          <w:rFonts w:cs="Arial"/>
          <w:szCs w:val="20"/>
        </w:rPr>
        <w:t>:</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roboty rozbiórkowe – rozbiórka: nawierzchni, wiaty, schodów terenowych i murków oporowych oraz murków ceglanych znajdujących się pod powierzchnią gruntu kolidujących z zaprojektowanymi murami oporowymi i zadaszenia studzienek okiennych,</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wykonanie nawierzchni wraz z krawężnikami i obrzeżami oraz z podbudową chodników, miejsc postojowych i drogi wewnętrznej,</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renowacja istniejących schodów wejściowych oraz wejść do budynku.</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rFonts w:cs="Arial"/>
          <w:szCs w:val="20"/>
        </w:rPr>
        <w:t>Zagospodarowanie terenu – mała architektura oraz zieleń:</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wykonanie muru oporowego i schodów terenowych,</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rozbiórka i renowacja płytami granitowymi istniejących schodów wraz z wykonaniem barierki przy budynku garaży na terenie dziedzińca,</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wykonanie elementów małej architektury w zakresie: zadaszenia studzienek piwnicznych okiennych wraz z izolacją przeciwwilgociową ścian i drenażu odwadniającego, osłony agregatu wody lodowej oraz wiaty dla rowerów ze stojakami, rzeźb parkowych, montażu ławek parkowych,</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 xml:space="preserve">wykonanie wycinki drzew w związku z prowadzoną inwestycją, </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oczyszczenie oraz zabezpieczenie korzeni istniejących drzew pod projektowaną nawierzchnią drogi dziedzińca,</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wykonanie cięć pielęgnacyjnych konarów drzew,</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uzupełnienie nasadzeń w postaci drzew (lipa srebrzysta – 4 szt.) oraz krzewów (o pow. 222,4 m²) oraz założenie trawników o łącznej powierzchni 251,7 m².</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rFonts w:cs="Arial"/>
          <w:szCs w:val="20"/>
        </w:rPr>
        <w:t>Roboty sanitarne:</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przebudowa instalacji zewnętrznej kanalizacji ogólnospławnej i sanitarnej Ø160 mm,</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budowa kanalizacji deszczowej Ø160 mm z retencją wód opadowych Ø400 mm,</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wykonanie wewnętrznej instalacji kanalizacji sanitarnej w piwnicy budynku oraz studni rewizyjnych,</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renowacja istniejącego kanału sanitarnego pod posadzką budynku,</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budowa instalacji wodociągowej do podlewania trawników – automatyczny system zraszania trawnika,</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wymiana istniejącego zewnętrznego hydrantu przeciwpożarowego wraz z jego instalacją,</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wykonanie instalacji zraszania trawnika.</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rFonts w:cs="Arial"/>
          <w:szCs w:val="20"/>
        </w:rPr>
        <w:lastRenderedPageBreak/>
        <w:t>Roboty elektryczne:</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wykonanie oświetlenia zewnętrznego dziedzińca wraz z wykonaniem instalacji zasilającej z obiektu,</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wykonanie instalacji zasilania automatycznego systemu zraszania trawnika.   Podstawowe parametry techniczne dziedzińca budynku:</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powierzchnia dziedzińca (łącznie z budynkami garaży): 1 840, 20 m²,</w:t>
      </w:r>
    </w:p>
    <w:p w:rsidR="00E96768" w:rsidRPr="00E00B35" w:rsidRDefault="00E96768" w:rsidP="00BC64AB">
      <w:pPr>
        <w:pStyle w:val="Akapitzlist"/>
        <w:numPr>
          <w:ilvl w:val="0"/>
          <w:numId w:val="244"/>
        </w:numPr>
        <w:spacing w:after="0" w:line="312" w:lineRule="auto"/>
        <w:ind w:left="993" w:hanging="426"/>
        <w:rPr>
          <w:rFonts w:cs="Arial"/>
          <w:szCs w:val="20"/>
        </w:rPr>
      </w:pPr>
      <w:r w:rsidRPr="00E00B35">
        <w:rPr>
          <w:rFonts w:cs="Arial"/>
          <w:szCs w:val="20"/>
        </w:rPr>
        <w:t>liczba miejsc parkingowych dla samochodów: 11.</w:t>
      </w:r>
    </w:p>
    <w:p w:rsidR="00000B36" w:rsidRPr="00E00B35" w:rsidRDefault="00000B36" w:rsidP="00E00B35">
      <w:pPr>
        <w:pStyle w:val="Akapitzlist"/>
        <w:spacing w:after="0" w:line="312" w:lineRule="auto"/>
        <w:ind w:left="993"/>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Przebudowa kabiny dźwigu osobowego zainstalowanego przy głównej klatce schodowej w obiekcie UMW przy pl. Nowy Targ 1-8.</w:t>
      </w:r>
    </w:p>
    <w:p w:rsidR="00E96768" w:rsidRPr="00E00B35" w:rsidRDefault="00E96768" w:rsidP="00E00B35">
      <w:pPr>
        <w:pStyle w:val="Akapitzlist"/>
        <w:spacing w:after="0" w:line="312" w:lineRule="auto"/>
        <w:ind w:left="0"/>
        <w:rPr>
          <w:rFonts w:cs="Arial"/>
          <w:szCs w:val="20"/>
        </w:rPr>
      </w:pPr>
      <w:r w:rsidRPr="00E00B35">
        <w:rPr>
          <w:rFonts w:cs="Arial"/>
          <w:szCs w:val="20"/>
        </w:rPr>
        <w:t>Wartość umowna inwestycji – 159 300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wykonanych robót – 159 300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Procentowy wskaźnik wykonania robót: 100%</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opracowanie dokumentacji projektowej wraz z uzyskaniem niezbędnych uzgodnień i decyzji administracyjnych, demontaż, renowację, zabezpieczenie ogniowe oraz dostosowanie istniejącej kabiny do nowej ramy kabinowej    i drzwi automatycznych, demontaż istniejących elementów nośnych kabiny i prowadnic, montaż nowych prowadnic wraz z dostosowaniem wsporników, montaż nowej konstrukcji nośnej kabiny, układu kontroli prędkości oraz chwytaczy, montaż automatycznych przeszklonych drzwi kabinowych oraz ryglowania drzwi przystankowych, wykonanie zabudowy lin nośnych w całej przestrzeni szybu, zabezpieczenie antykorozyjne konstrukcji szybu i kabiny.</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Budowa wielofunkcyjnej hali sportowej we Wrocławiu przy ul. Racławickiej 62.</w:t>
      </w:r>
    </w:p>
    <w:p w:rsidR="00E96768" w:rsidRPr="00E00B35" w:rsidRDefault="00E96768" w:rsidP="00E00B35">
      <w:pPr>
        <w:pStyle w:val="Akapitzlist"/>
        <w:spacing w:after="0" w:line="312" w:lineRule="auto"/>
        <w:ind w:left="0"/>
        <w:rPr>
          <w:rFonts w:cs="Arial"/>
          <w:szCs w:val="20"/>
        </w:rPr>
      </w:pPr>
      <w:r w:rsidRPr="00E00B35">
        <w:rPr>
          <w:rFonts w:cs="Arial"/>
          <w:szCs w:val="20"/>
        </w:rPr>
        <w:t>Wartość umowna inwestycji – 26 820 350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planowanych robót do wykonania 2020 r. – 4 302 371 zł</w:t>
      </w:r>
    </w:p>
    <w:p w:rsidR="00E96768" w:rsidRPr="00E00B35" w:rsidRDefault="00E96768" w:rsidP="00E00B35">
      <w:pPr>
        <w:pStyle w:val="Akapitzlist"/>
        <w:spacing w:after="0" w:line="312" w:lineRule="auto"/>
        <w:ind w:left="0"/>
        <w:rPr>
          <w:rFonts w:cs="Arial"/>
          <w:szCs w:val="20"/>
        </w:rPr>
      </w:pPr>
      <w:r w:rsidRPr="00E00B35">
        <w:rPr>
          <w:rFonts w:cs="Arial"/>
          <w:szCs w:val="20"/>
        </w:rPr>
        <w:t>Wartość wykonanych robót – 4 303 275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Procentowy wskaźnik wykonania robót: 100%</w:t>
      </w:r>
    </w:p>
    <w:p w:rsidR="00E96768" w:rsidRPr="00E00B35" w:rsidRDefault="00E96768" w:rsidP="00E00B35">
      <w:pPr>
        <w:pStyle w:val="Akapitzlist"/>
        <w:spacing w:after="0" w:line="312" w:lineRule="auto"/>
        <w:ind w:left="0"/>
        <w:rPr>
          <w:rFonts w:cs="Arial"/>
          <w:szCs w:val="20"/>
        </w:rPr>
      </w:pPr>
      <w:r w:rsidRPr="00E00B35">
        <w:rPr>
          <w:rFonts w:cs="Arial"/>
          <w:szCs w:val="20"/>
        </w:rPr>
        <w:t xml:space="preserve">Przedmiotowa inwestycja polega na zaprojektowaniu i budowie wielofunkcyjnej hali sportowej o całkowitej powierzchni użytkowej 3 500,0 m² wraz z zagospodarowaniem terenu. Hala pełnić będzie funkcję bazy sportowej dla wrocławskich klubów sportowych  w następujących dyscyplinach: boksie, judo, zapasach i podnoszeniu ciężarów. </w:t>
      </w:r>
    </w:p>
    <w:p w:rsidR="00E96768" w:rsidRPr="00E00B35" w:rsidRDefault="00E96768" w:rsidP="00E00B35">
      <w:pPr>
        <w:pStyle w:val="Akapitzlist"/>
        <w:spacing w:after="0" w:line="312" w:lineRule="auto"/>
        <w:ind w:left="0"/>
        <w:rPr>
          <w:rFonts w:cs="Arial"/>
          <w:szCs w:val="20"/>
        </w:rPr>
      </w:pPr>
      <w:r w:rsidRPr="00E00B35">
        <w:rPr>
          <w:rFonts w:cs="Arial"/>
          <w:szCs w:val="20"/>
        </w:rPr>
        <w:t>Wykorzystana będzie również do rozgrywania zawodów rangi okręgowej, wojewódzkiej i krajowej z widownią na 400 miejsc.</w:t>
      </w:r>
    </w:p>
    <w:p w:rsidR="00E96768" w:rsidRPr="00E00B35" w:rsidRDefault="00E96768" w:rsidP="00E00B35">
      <w:pPr>
        <w:pStyle w:val="Akapitzlist"/>
        <w:spacing w:after="0" w:line="312" w:lineRule="auto"/>
        <w:ind w:left="0"/>
        <w:rPr>
          <w:rFonts w:cs="Arial"/>
          <w:szCs w:val="20"/>
        </w:rPr>
      </w:pPr>
      <w:r w:rsidRPr="00E00B35">
        <w:rPr>
          <w:rFonts w:cs="Arial"/>
          <w:szCs w:val="20"/>
        </w:rPr>
        <w:t xml:space="preserve">Obiekt wyposażony będzie we wszystkie niezbędne pomieszczenia do uprawiania ww. dyscyplin sportowych, a także dodatkowo w pomieszczenia do gry w tenisa stołowego i bilarda oraz baro-kawiarnię. </w:t>
      </w:r>
    </w:p>
    <w:p w:rsidR="00E96768" w:rsidRPr="00E00B35" w:rsidRDefault="00E96768" w:rsidP="00E00B35">
      <w:pPr>
        <w:pStyle w:val="Akapitzlist"/>
        <w:spacing w:after="0" w:line="312" w:lineRule="auto"/>
        <w:ind w:left="0"/>
        <w:rPr>
          <w:rFonts w:cs="Arial"/>
          <w:szCs w:val="20"/>
        </w:rPr>
      </w:pPr>
      <w:r w:rsidRPr="00E00B35">
        <w:rPr>
          <w:rFonts w:cs="Arial"/>
          <w:szCs w:val="20"/>
        </w:rPr>
        <w:t>Zakres wykonanych prac obejmował opracowanie dokumentacji projektowej wraz z uzyskaniem niezbędnych uzgodnień i decyzji administracyjnych, rozbiórkę niecki basenu, wykonanie robót ziemnych – wykopy pod fundamenty, wykonanie ław, stóp oraz ścian fundamentowych, wykonanie części ścian konstrukcyjnych parteru, budowę kanalizacji deszczowej wraz z uzgodnieniami i odtworzeniem nawierzchni.</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lastRenderedPageBreak/>
        <w:t>Montaż dławików do kompensacji mocy biernej w obiektach UMW.</w:t>
      </w:r>
    </w:p>
    <w:p w:rsidR="00E96768" w:rsidRPr="00E00B35" w:rsidRDefault="00E96768" w:rsidP="00E00B35">
      <w:pPr>
        <w:pStyle w:val="Akapitzlist"/>
        <w:spacing w:after="0" w:line="312" w:lineRule="auto"/>
        <w:ind w:left="0"/>
        <w:rPr>
          <w:rFonts w:cs="Arial"/>
          <w:szCs w:val="20"/>
        </w:rPr>
      </w:pPr>
      <w:r w:rsidRPr="00E00B35">
        <w:rPr>
          <w:rFonts w:cs="Arial"/>
          <w:szCs w:val="20"/>
        </w:rPr>
        <w:t>Wartość umowna inwestycji – 57 441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wykonanych robót – 57 441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Procentowy wskaźnik wykonania robót: 100%</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dostawę i montaż  4 szt. dławików do kompensacji  mocy biernej, które zostały zamontowane w następujących obiektach Urzędu Miejskiego Wrocławia: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Sukiennice 10,</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pl. Nowy Targ 1-8,</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ul. Bogusławskiego 8-10,</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szCs w:val="20"/>
        </w:rPr>
        <w:t>ul. Hubska</w:t>
      </w:r>
      <w:r w:rsidRPr="00E00B35">
        <w:rPr>
          <w:rFonts w:cs="Arial"/>
          <w:szCs w:val="20"/>
        </w:rPr>
        <w:t xml:space="preserve"> 8-16. </w:t>
      </w:r>
    </w:p>
    <w:p w:rsidR="00E96768" w:rsidRPr="00E00B35" w:rsidRDefault="00E96768" w:rsidP="00E00B35">
      <w:pPr>
        <w:pStyle w:val="Akapitzlist"/>
        <w:spacing w:after="0" w:line="312" w:lineRule="auto"/>
        <w:ind w:left="0"/>
        <w:rPr>
          <w:rFonts w:cs="Arial"/>
          <w:szCs w:val="20"/>
        </w:rPr>
      </w:pPr>
      <w:r w:rsidRPr="00E00B35">
        <w:rPr>
          <w:rFonts w:cs="Arial"/>
          <w:szCs w:val="20"/>
        </w:rPr>
        <w:t>Montaż tych urządzeń wyeliminował opłaty za ponadnormatywny pobór energii biernej w ww. budynkach UMW.</w:t>
      </w:r>
    </w:p>
    <w:p w:rsidR="00000B36" w:rsidRPr="00E00B35" w:rsidRDefault="00000B36" w:rsidP="00E00B35">
      <w:pPr>
        <w:pStyle w:val="Nagwek4"/>
        <w:spacing w:before="0" w:after="0" w:line="312" w:lineRule="auto"/>
        <w:rPr>
          <w:sz w:val="20"/>
          <w:szCs w:val="20"/>
        </w:rPr>
      </w:pPr>
    </w:p>
    <w:p w:rsidR="00E96768" w:rsidRPr="00E00B35" w:rsidRDefault="00E96768" w:rsidP="00E00B35">
      <w:pPr>
        <w:pStyle w:val="Nagwek5"/>
        <w:rPr>
          <w:szCs w:val="20"/>
        </w:rPr>
      </w:pPr>
      <w:r w:rsidRPr="00E00B35">
        <w:rPr>
          <w:szCs w:val="20"/>
        </w:rPr>
        <w:t>REMONTY</w:t>
      </w:r>
    </w:p>
    <w:p w:rsidR="00E96768" w:rsidRPr="00E00B35" w:rsidRDefault="00E96768" w:rsidP="00E00B35">
      <w:pPr>
        <w:spacing w:after="0" w:line="312" w:lineRule="auto"/>
        <w:rPr>
          <w:rFonts w:cs="Arial"/>
          <w:szCs w:val="20"/>
        </w:rPr>
      </w:pPr>
      <w:r w:rsidRPr="00E00B35">
        <w:rPr>
          <w:rFonts w:cs="Arial"/>
          <w:szCs w:val="20"/>
        </w:rPr>
        <w:t xml:space="preserve">W ramach zadań remontowych wykonano roboty związane z drobnymi pracami remontowymi i naprawami bieżącymi oraz roboty związane z usuwaniem wszelkiego rodzaju awarii, nieprawidłowości związanych </w:t>
      </w:r>
      <w:r w:rsidRPr="00E00B35">
        <w:rPr>
          <w:rFonts w:cs="Arial"/>
          <w:szCs w:val="20"/>
        </w:rPr>
        <w:br/>
        <w:t xml:space="preserve">z funkcjonowaniem obiektów budowlanych i zabezpieczenia elementów budynków, które były konieczne do wykonania dla prawidłowego i bezpiecznego użytkowania obiektów budowlanych. </w:t>
      </w:r>
    </w:p>
    <w:p w:rsidR="00E96768" w:rsidRPr="00E00B35" w:rsidRDefault="00E96768" w:rsidP="00E00B35">
      <w:pPr>
        <w:pStyle w:val="Akapitzlist"/>
        <w:spacing w:after="0" w:line="312" w:lineRule="auto"/>
        <w:ind w:left="0"/>
        <w:rPr>
          <w:rFonts w:cs="Arial"/>
          <w:szCs w:val="20"/>
        </w:rPr>
      </w:pPr>
      <w:r w:rsidRPr="00E00B35">
        <w:rPr>
          <w:rFonts w:cs="Arial"/>
          <w:szCs w:val="20"/>
        </w:rPr>
        <w:t>Roboty budowlane.</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planowanych robót budowlanych – 1 516 160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wykonanych robót – 1 493 421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 xml:space="preserve">Procentowy wskaźnik wykonania robót: 98,5% </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pStyle w:val="Akapitzlist"/>
        <w:spacing w:after="0" w:line="312" w:lineRule="auto"/>
        <w:ind w:left="0"/>
        <w:rPr>
          <w:rFonts w:cs="Arial"/>
          <w:szCs w:val="20"/>
        </w:rPr>
      </w:pPr>
      <w:r w:rsidRPr="00E00B35">
        <w:rPr>
          <w:rFonts w:cs="Arial"/>
          <w:szCs w:val="20"/>
        </w:rPr>
        <w:t>Roboty elektryczne.</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planowanych robót budowlanych – 558 596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wykonanych robót – 558 277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Procentowy wskaźnik wykonania robót: 99,9%</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pStyle w:val="Akapitzlist"/>
        <w:spacing w:after="0" w:line="312" w:lineRule="auto"/>
        <w:ind w:left="0"/>
        <w:rPr>
          <w:rFonts w:cs="Arial"/>
          <w:szCs w:val="20"/>
        </w:rPr>
      </w:pPr>
      <w:r w:rsidRPr="00E00B35">
        <w:rPr>
          <w:rFonts w:cs="Arial"/>
          <w:szCs w:val="20"/>
        </w:rPr>
        <w:t>Roboty instalacyjne wodno-kanalizacyjna. i centralnego ogrzewania.</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planowanych robót budowlanych – 281 480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wykonanych robót – 280 657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 xml:space="preserve">Procentowy wskaźnik wykonania robót: 99,7% </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pStyle w:val="Akapitzlist"/>
        <w:spacing w:after="0" w:line="312" w:lineRule="auto"/>
        <w:ind w:left="0"/>
        <w:rPr>
          <w:rFonts w:cs="Arial"/>
          <w:szCs w:val="20"/>
        </w:rPr>
      </w:pPr>
      <w:r w:rsidRPr="00E00B35">
        <w:rPr>
          <w:rFonts w:cs="Arial"/>
          <w:szCs w:val="20"/>
        </w:rPr>
        <w:t>Roboty dekarskie</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planowanych robót budowlanych – 195 260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Wartość wykonanych robót – 195 260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 xml:space="preserve">Procentowy wskaźnik wykonania robót: 100% </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pStyle w:val="Akapitzlist"/>
        <w:spacing w:after="0" w:line="312" w:lineRule="auto"/>
        <w:ind w:left="0"/>
        <w:rPr>
          <w:rFonts w:cs="Arial"/>
          <w:b/>
          <w:szCs w:val="20"/>
        </w:rPr>
      </w:pPr>
      <w:r w:rsidRPr="00E00B35">
        <w:rPr>
          <w:rFonts w:cs="Arial"/>
          <w:b/>
          <w:szCs w:val="20"/>
        </w:rPr>
        <w:t>Wykonano następujące prace remontowe w poszczególnych obiektach Urzędu Miejskiego Wrocławia:</w:t>
      </w:r>
    </w:p>
    <w:p w:rsidR="00E96768" w:rsidRPr="00E00B35" w:rsidRDefault="00E96768" w:rsidP="00E00B35">
      <w:pPr>
        <w:spacing w:after="0" w:line="312" w:lineRule="auto"/>
        <w:contextualSpacing/>
        <w:rPr>
          <w:rFonts w:cs="Arial"/>
          <w:szCs w:val="20"/>
        </w:rPr>
      </w:pPr>
      <w:r w:rsidRPr="00E00B35">
        <w:rPr>
          <w:rFonts w:cs="Arial"/>
          <w:szCs w:val="20"/>
        </w:rPr>
        <w:t>Obiekt UM Wrocławia przy ul. Świdnickiej 53</w:t>
      </w:r>
    </w:p>
    <w:p w:rsidR="00E96768" w:rsidRPr="00E00B35" w:rsidRDefault="00E96768" w:rsidP="00E00B35">
      <w:pPr>
        <w:pStyle w:val="Akapitzlist"/>
        <w:spacing w:after="0" w:line="312" w:lineRule="auto"/>
        <w:ind w:left="0"/>
        <w:rPr>
          <w:rFonts w:cs="Arial"/>
          <w:szCs w:val="20"/>
        </w:rPr>
      </w:pPr>
      <w:r w:rsidRPr="00E00B35">
        <w:rPr>
          <w:rFonts w:cs="Arial"/>
          <w:szCs w:val="20"/>
        </w:rPr>
        <w:lastRenderedPageBreak/>
        <w:t>Wartość prac remontowych: 102 192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Pomieszczenia nr 551, 552, 553</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demontaż i montaż zabudowy z płyt GK, malowanie powierzchni ścian i sufitów wraz z przygotowaniem podłoża, malowanie stolarki i instalacji c.o.</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203, 204, 213, 213B, 214, 215, 216, 217</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cyklinowanie i lakierowanie posadzek parkietowych, malowanie powierzchni ścian i sufitów wraz z przygotowaniem podłoża, malowanie stolarki drzwiowej, okiennej oraz instalacji c.o.</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411, 412A, 412B, 412C, 415, 417</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zerwanie wykładziny podłogowej dywanowej, ułożenie paneli podłogowych lub wykładziny PCV z listwami podłogowymi wraz z przygotowaniem podłoża.</w:t>
      </w:r>
    </w:p>
    <w:p w:rsidR="00E96768" w:rsidRPr="00E00B35" w:rsidRDefault="00E96768" w:rsidP="00E00B35">
      <w:pPr>
        <w:pStyle w:val="Akapitzlist"/>
        <w:spacing w:after="0" w:line="312" w:lineRule="auto"/>
        <w:ind w:left="0"/>
        <w:rPr>
          <w:rFonts w:cs="Arial"/>
          <w:szCs w:val="20"/>
        </w:rPr>
      </w:pPr>
      <w:r w:rsidRPr="00E00B35">
        <w:rPr>
          <w:rFonts w:cs="Arial"/>
          <w:szCs w:val="20"/>
        </w:rPr>
        <w:t>Łącznie wyremontowano: 17 pomieszczeń.</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Obiekt UM Wrocławia przy ul. G. Zapolskiej 4</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prac remontowych: 298 286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Pomieszczenia sanitariatów na I, II, III i IV piętrze (od strony ul. Bogusławskiego)</w:t>
      </w:r>
    </w:p>
    <w:p w:rsidR="00E96768" w:rsidRPr="00E00B35" w:rsidRDefault="00E96768" w:rsidP="00E00B35">
      <w:pPr>
        <w:pStyle w:val="Akapitzlist"/>
        <w:spacing w:after="0" w:line="312" w:lineRule="auto"/>
        <w:ind w:left="0"/>
        <w:rPr>
          <w:rFonts w:cs="Arial"/>
          <w:szCs w:val="20"/>
        </w:rPr>
      </w:pPr>
      <w:r w:rsidRPr="00E00B35">
        <w:rPr>
          <w:rFonts w:cs="Arial"/>
          <w:szCs w:val="20"/>
        </w:rPr>
        <w:t xml:space="preserve">Zakres prac obejmował: demontaż ścianek działowych i stolarki drzwiowej, rozbiórka okładzin ściennych i posadzek, montaż systemowych kabin ustępowych, wykonanie ścianek działowych oraz okładzin ściennych z płyt GK, montaż systemowego sufitu podwieszonego oraz stolarki drzwiowej, wykonanie izolacji przeciwwilgociowych podłoży, licowanie ścian płytkami ceramicznymi, wykonanie nawierzchni podłogi z płytek gresowych, malowanie powierzchni ścian i sufitów z przygotowaniem podłoża, malowanie grzejników i rur c.o. oraz stolarki okiennej, wymianę osprzętu elektrycznego i opraw oświetlenia ogólnego.  </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19A, 19B, 19C, 101, 102, 103, 104, 105, 108, 109, 110, 111, 112, 113, 114, 115, 116, 117, 209, 211, 212, 214, holl przy pom. 1, 2, 4 (parter)</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cyklinowanie i lakierowanie posadzek parkietowych, malowanie powierzchni ścian i sufitów wraz z przygotowaniem podłoża, malowanie stolarki drzwiowej i instalacji c.o., wymianę osprzętu elektrycznego i opraw oświetlenia ogólnego.</w:t>
      </w:r>
    </w:p>
    <w:p w:rsidR="00E96768" w:rsidRPr="00E00B35" w:rsidRDefault="00E96768" w:rsidP="00E00B35">
      <w:pPr>
        <w:pStyle w:val="Akapitzlist"/>
        <w:spacing w:after="0" w:line="312" w:lineRule="auto"/>
        <w:ind w:left="0"/>
        <w:rPr>
          <w:rFonts w:cs="Arial"/>
          <w:szCs w:val="20"/>
        </w:rPr>
      </w:pPr>
      <w:r w:rsidRPr="00E00B35">
        <w:rPr>
          <w:rFonts w:cs="Arial"/>
          <w:szCs w:val="20"/>
        </w:rPr>
        <w:t>Łącznie wyremontowano: 27 pomieszczeń.</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Obiekt UM Wrocławia przy ul. Bogusławskiego 8, 10</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prac remontowych: 20 396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504, 523, 524, korytarz na V piętrze, WC przy Sali S5</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malowanie powierzchni ścian i sufitów wraz z przygotowaniem podłoża, zabudowę otworu drzwiowego, wymianę stolarki drzwiowej.</w:t>
      </w:r>
    </w:p>
    <w:p w:rsidR="00E96768" w:rsidRPr="00E00B35" w:rsidRDefault="00E96768" w:rsidP="00E00B35">
      <w:pPr>
        <w:pStyle w:val="Akapitzlist"/>
        <w:spacing w:after="0" w:line="312" w:lineRule="auto"/>
        <w:ind w:left="0"/>
        <w:rPr>
          <w:rFonts w:cs="Arial"/>
          <w:szCs w:val="20"/>
        </w:rPr>
      </w:pPr>
      <w:r w:rsidRPr="00E00B35">
        <w:rPr>
          <w:rFonts w:cs="Arial"/>
          <w:szCs w:val="20"/>
        </w:rPr>
        <w:t>Łącznie wyremontowano: 5 pomieszczeń.</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Obiekt UM Wrocławia Sukiennice 9</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prac remontowych: 71 242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 xml:space="preserve">Pomieszczenie nr: 113, 114, 203, WC i korytarz przy pom. 117 </w:t>
      </w:r>
    </w:p>
    <w:p w:rsidR="00E96768" w:rsidRPr="00E00B35" w:rsidRDefault="00E96768" w:rsidP="00E00B35">
      <w:pPr>
        <w:pStyle w:val="Akapitzlist"/>
        <w:spacing w:after="0" w:line="312" w:lineRule="auto"/>
        <w:ind w:left="0"/>
        <w:rPr>
          <w:rFonts w:cs="Arial"/>
          <w:szCs w:val="20"/>
        </w:rPr>
      </w:pPr>
      <w:r w:rsidRPr="00E00B35">
        <w:rPr>
          <w:rFonts w:cs="Arial"/>
          <w:szCs w:val="20"/>
        </w:rPr>
        <w:lastRenderedPageBreak/>
        <w:t xml:space="preserve">Zakres prac obejmował: cyklinowanie i lakierowanie stopnic schodów wewnętrznych wraz z listwami cokołowymi, rozbiórkę oblicowania ścian oraz nawierzchni podłogowej z płytek ceramicznych, cyklinowanie i lakierowanie posadzek parkietowych wraz z wymianą uszkodzonych deszczółek podłogowych, wykonanie poziomej i pionowej izolacji przeciwwilgociowej ścian i posadzki, licowanie ścian płytkami ceramicznymi, wykonanie nawierzchni podłogi z płytek gresowych, malowanie powierzchni ścian i sufitów z przygotowaniem podłoża, malowanie stolarki drzwiowej i okiennej oraz parapetów, </w:t>
      </w:r>
    </w:p>
    <w:p w:rsidR="00E96768" w:rsidRPr="00E00B35" w:rsidRDefault="00E96768" w:rsidP="00E00B35">
      <w:pPr>
        <w:pStyle w:val="Akapitzlist"/>
        <w:spacing w:after="0" w:line="312" w:lineRule="auto"/>
        <w:ind w:left="0"/>
        <w:rPr>
          <w:rFonts w:cs="Arial"/>
          <w:szCs w:val="20"/>
        </w:rPr>
      </w:pPr>
      <w:r w:rsidRPr="00E00B35">
        <w:rPr>
          <w:rFonts w:cs="Arial"/>
          <w:szCs w:val="20"/>
        </w:rPr>
        <w:t>malowanie grzejników i rur c.o.</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3, 4</w:t>
      </w:r>
    </w:p>
    <w:p w:rsidR="00E96768" w:rsidRPr="00E00B35" w:rsidRDefault="00E96768" w:rsidP="00E00B35">
      <w:pPr>
        <w:pStyle w:val="Akapitzlist"/>
        <w:spacing w:after="0" w:line="312" w:lineRule="auto"/>
        <w:ind w:left="0"/>
        <w:rPr>
          <w:rFonts w:cs="Arial"/>
          <w:szCs w:val="20"/>
        </w:rPr>
      </w:pPr>
      <w:r w:rsidRPr="00E00B35">
        <w:rPr>
          <w:rFonts w:cs="Arial"/>
          <w:szCs w:val="20"/>
        </w:rPr>
        <w:t xml:space="preserve">Zakres prac obejmował: rozbiórkę ścianki działowej, wykucie ościeżnic drzwiowych z muru, uzupełnienie posadzki parkietowej wraz z warstwami podkładowymi, cyklinowanie i lakierowanie posadzek parkietowych wraz z listwami cokołowymi, malowanie powierzchni ścian i sufitów wraz z przygotowaniem podłoża, malowanie rur c.o. </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215</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demontaż paneli podłogowych wraz z listwami przypodłogowymi i podkładem, wykonanie ślepej podłogi z płyt OSB, ułożenie paneli podłogowych wraz z listwami, montaż systemu uchylania okna z poziomu posadzki, malowanie powierzchni ścian i sufitów wraz z przygotowaniem podłoża, malowanie rur instalacyjnych.</w:t>
      </w:r>
    </w:p>
    <w:p w:rsidR="00E96768" w:rsidRPr="00E00B35" w:rsidRDefault="00E96768" w:rsidP="00E00B35">
      <w:pPr>
        <w:pStyle w:val="Akapitzlist"/>
        <w:spacing w:after="0" w:line="312" w:lineRule="auto"/>
        <w:ind w:left="0"/>
        <w:rPr>
          <w:rFonts w:cs="Arial"/>
          <w:szCs w:val="20"/>
        </w:rPr>
      </w:pPr>
      <w:r w:rsidRPr="00E00B35">
        <w:rPr>
          <w:rFonts w:cs="Arial"/>
          <w:szCs w:val="20"/>
        </w:rPr>
        <w:t>Łącznie wyremontowano: 8 pomieszczeń.</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Obiekt UM Wrocławia Sukiennice 10</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prac remontowych: 36 887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2, 2a, 116, 317</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cyklinowanie i lakierowanie posadzek parkietowych wraz z wymianą uszkodzonych deszczółek podłogowych, malowanie powierzchni ścian i sufitów wraz z przygotowaniem podłoża, malowanie stolarki drzwiowej i okiennej oraz parapetów, malowanie grzejników i rur c.o.</w:t>
      </w:r>
    </w:p>
    <w:p w:rsidR="00E96768" w:rsidRPr="00E00B35" w:rsidRDefault="00E96768" w:rsidP="00E00B35">
      <w:pPr>
        <w:pStyle w:val="Akapitzlist"/>
        <w:spacing w:after="0" w:line="312" w:lineRule="auto"/>
        <w:ind w:left="0"/>
        <w:rPr>
          <w:rFonts w:cs="Arial"/>
          <w:szCs w:val="20"/>
        </w:rPr>
      </w:pPr>
      <w:r w:rsidRPr="00E00B35">
        <w:rPr>
          <w:rFonts w:cs="Arial"/>
          <w:szCs w:val="20"/>
        </w:rPr>
        <w:t>Korytarze na IV i V piętrze, WC dla niepełnosprawnych na II piętrze</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wymianę sufitu podwieszonego z płyt GK, malowanie powierzchni ścian i sufitów wraz z przygotowaniem podłoża, malowanie stolarki drzwiowej i powierzchni posadzki betonowej.</w:t>
      </w:r>
    </w:p>
    <w:p w:rsidR="00E96768" w:rsidRPr="00E00B35" w:rsidRDefault="00E96768" w:rsidP="00E00B35">
      <w:pPr>
        <w:pStyle w:val="Akapitzlist"/>
        <w:spacing w:after="0" w:line="312" w:lineRule="auto"/>
        <w:ind w:left="0"/>
        <w:rPr>
          <w:rFonts w:cs="Arial"/>
          <w:szCs w:val="20"/>
        </w:rPr>
      </w:pPr>
      <w:r w:rsidRPr="00E00B35">
        <w:rPr>
          <w:rFonts w:cs="Arial"/>
          <w:szCs w:val="20"/>
        </w:rPr>
        <w:t>Łącznie wyremontowano: 7 pomieszczeń.</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Obiekt UM Wrocławia Rynek 13</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prac remontowych: 30 582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400, antresola, WC, korytarz na IV piętrze</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malowanie powierzchni ścian i sufitów wraz z przygotowaniem podłoża, malowanie grzejników i rur c.o.</w:t>
      </w:r>
    </w:p>
    <w:p w:rsidR="00E96768" w:rsidRPr="00E00B35" w:rsidRDefault="00E96768" w:rsidP="00E00B35">
      <w:pPr>
        <w:pStyle w:val="Akapitzlist"/>
        <w:spacing w:after="0" w:line="312" w:lineRule="auto"/>
        <w:ind w:left="0"/>
        <w:rPr>
          <w:rFonts w:cs="Arial"/>
          <w:szCs w:val="20"/>
        </w:rPr>
      </w:pPr>
      <w:r w:rsidRPr="00E00B35">
        <w:rPr>
          <w:rFonts w:cs="Arial"/>
          <w:szCs w:val="20"/>
        </w:rPr>
        <w:t>Łącznie wyremontowano: 4 pomieszczenia.</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Obiekt UM Wrocławia przy pl. Nowy Targ 1-8</w:t>
      </w:r>
    </w:p>
    <w:p w:rsidR="00E96768" w:rsidRPr="00E00B35" w:rsidRDefault="00E96768" w:rsidP="00E00B35">
      <w:pPr>
        <w:pStyle w:val="Akapitzlist"/>
        <w:spacing w:after="0" w:line="312" w:lineRule="auto"/>
        <w:ind w:left="0"/>
        <w:rPr>
          <w:rFonts w:cs="Arial"/>
          <w:szCs w:val="20"/>
        </w:rPr>
      </w:pPr>
      <w:r w:rsidRPr="00E00B35">
        <w:rPr>
          <w:rFonts w:cs="Arial"/>
          <w:szCs w:val="20"/>
        </w:rPr>
        <w:lastRenderedPageBreak/>
        <w:t>Wartość prac remontowych: 226 888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Przejście w murze ogrodzeniowym</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wykonanie otworu drzwiowego w ścianie murowanej wraz z osadzeniem nadproży oraz uzupełnieniem tynków zewnętrznych i powłok malarskich, wykonanie schodów terenowych, montaż furtki stalowej.</w:t>
      </w:r>
    </w:p>
    <w:p w:rsidR="00E96768" w:rsidRPr="00E00B35" w:rsidRDefault="00E96768" w:rsidP="00E00B35">
      <w:pPr>
        <w:pStyle w:val="Akapitzlist"/>
        <w:spacing w:after="0" w:line="312" w:lineRule="auto"/>
        <w:ind w:left="0"/>
        <w:rPr>
          <w:rFonts w:cs="Arial"/>
          <w:szCs w:val="20"/>
        </w:rPr>
      </w:pPr>
      <w:r w:rsidRPr="00E00B35">
        <w:rPr>
          <w:rFonts w:cs="Arial"/>
          <w:szCs w:val="20"/>
        </w:rPr>
        <w:t>Klatka schodowa od strony ul. Krowiej</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demontaż ścianek działowych i sufitów podwieszonych z płyt GK, rozbiórkę posadzek z płytek ceramicznych, montaż ścianek i sufitów oraz okładzin z płyt GKF, montaż drzwi i okien oraz parapetów, wykonanie posadzki z płytek gresowych wraz z podłożem, malowanie powierzchni ścian i sufitów z przygotowaniem podłoża, malowanie balustrad wraz z pochwytem.</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311</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malowanie powierzchni ścian i sufitu wraz z przygotowaniem podłoża.</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021A, 021B, garaże szt. 2 od strony ul. Krowiej, poligrafia</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wykonanie nawierzchni z płytek gresowych wraz z przygotowaniem podłoża, malowanie powierzchni ścian i sufitów z przygotowaniem podłoża, malowanie bram wjazdowych, grzejników i rur c.o, montaż stolarki drzwiowej.</w:t>
      </w:r>
    </w:p>
    <w:p w:rsidR="00E96768" w:rsidRPr="00E00B35" w:rsidRDefault="00E96768" w:rsidP="00E00B35">
      <w:pPr>
        <w:pStyle w:val="Akapitzlist"/>
        <w:spacing w:after="0" w:line="312" w:lineRule="auto"/>
        <w:ind w:left="0"/>
        <w:rPr>
          <w:rFonts w:cs="Arial"/>
          <w:szCs w:val="20"/>
        </w:rPr>
      </w:pPr>
      <w:r w:rsidRPr="00E00B35">
        <w:rPr>
          <w:rFonts w:cs="Arial"/>
          <w:szCs w:val="20"/>
        </w:rPr>
        <w:t>Łącznie wyremontowano: 5 pomieszczeń i klatkę schodową od strony ul. Krowiej.</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 xml:space="preserve">Obiekt UM Wrocławia przy ul. Kotlarskiej 41 </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prac remontowych: 21 050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02 i 03</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wykonanie nawierzchni posadzki z płytek gresowych wraz z cokolikiem przyściennym oraz z przygotowaniem podłoża.</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315</w:t>
      </w:r>
    </w:p>
    <w:p w:rsidR="00E96768" w:rsidRPr="00E00B35" w:rsidRDefault="00E96768" w:rsidP="00E00B35">
      <w:pPr>
        <w:pStyle w:val="Akapitzlist"/>
        <w:spacing w:after="0" w:line="312" w:lineRule="auto"/>
        <w:ind w:left="0"/>
        <w:rPr>
          <w:rFonts w:cs="Arial"/>
          <w:szCs w:val="20"/>
        </w:rPr>
      </w:pPr>
      <w:r w:rsidRPr="00E00B35">
        <w:rPr>
          <w:rFonts w:cs="Arial"/>
          <w:szCs w:val="20"/>
        </w:rPr>
        <w:t xml:space="preserve">Zakres prac obejmował: uzupełnienie zawilgoconego tynku wewnętrznego na ścianach wraz z osuszeniem podłoża, malowanie powierzchni ścian i sufitów z przygotowaniem podłoża. </w:t>
      </w:r>
    </w:p>
    <w:p w:rsidR="00E96768" w:rsidRPr="00E00B35" w:rsidRDefault="00E96768" w:rsidP="00E00B35">
      <w:pPr>
        <w:pStyle w:val="Akapitzlist"/>
        <w:spacing w:after="0" w:line="312" w:lineRule="auto"/>
        <w:ind w:left="0"/>
        <w:rPr>
          <w:rFonts w:cs="Arial"/>
          <w:szCs w:val="20"/>
        </w:rPr>
      </w:pPr>
      <w:r w:rsidRPr="00E00B35">
        <w:rPr>
          <w:rFonts w:cs="Arial"/>
          <w:szCs w:val="20"/>
        </w:rPr>
        <w:t>Łącznie wyremontowano: 3 pomieszczenia.</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Obiekt UM Wrocławia przy ul. Kuźniczej 43-45/ul. Uniwersytecka 27-28</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prac remontowych: 261 493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1, 2, 2A, 3, 4, 4A, 4B, 5, 6, 7, 7A, 8, 9, 9A, 10, 11, 12, 13, 13A, 14, 18, 19, 20, 21, gospodarcze, magazynowe, WC, kotłownia, korytarze</w:t>
      </w:r>
    </w:p>
    <w:p w:rsidR="00E96768" w:rsidRPr="00E00B35" w:rsidRDefault="00E96768" w:rsidP="00E00B35">
      <w:pPr>
        <w:pStyle w:val="Akapitzlist"/>
        <w:spacing w:after="0" w:line="312" w:lineRule="auto"/>
        <w:ind w:left="0"/>
        <w:rPr>
          <w:rFonts w:cs="Arial"/>
          <w:szCs w:val="20"/>
        </w:rPr>
      </w:pPr>
      <w:r w:rsidRPr="00E00B35">
        <w:rPr>
          <w:rFonts w:cs="Arial"/>
          <w:szCs w:val="20"/>
        </w:rPr>
        <w:t xml:space="preserve">Zakres prac obejmował: wymianę wykładziny podłogowej rulonowej na wykładzinę typu tarkett z listwami podłogowymi, demontaż zewnętrznych krat okiennych,  montaż klamek z kluczem w istniejącej stolarce okiennej, licowanie ścian płytkami ceramicznymi, wykonanie ścianek działowych z płyt GK, montaż wewnętrznej stolarki drzwiowej, malowanie powierzchni ścian i sufitów z przygotowaniem podłoża, malowanie stolarki okiennej, wymianę opraw oświetlenia ogólnego i ewakuacyjnego, montaż </w:t>
      </w:r>
      <w:r w:rsidRPr="00E00B35">
        <w:rPr>
          <w:rFonts w:cs="Arial"/>
          <w:szCs w:val="20"/>
        </w:rPr>
        <w:lastRenderedPageBreak/>
        <w:t xml:space="preserve">przeciwpożarowego wyłącznika prądu, wymianę osprzętu zabezpieczającego w rozdzielnicy oraz elektrycznego w pomieszczeniach. </w:t>
      </w:r>
    </w:p>
    <w:p w:rsidR="00E96768" w:rsidRPr="00E00B35" w:rsidRDefault="00E96768" w:rsidP="00E00B35">
      <w:pPr>
        <w:pStyle w:val="Akapitzlist"/>
        <w:spacing w:after="0" w:line="312" w:lineRule="auto"/>
        <w:ind w:left="0"/>
        <w:rPr>
          <w:rFonts w:cs="Arial"/>
          <w:szCs w:val="20"/>
        </w:rPr>
      </w:pPr>
      <w:r w:rsidRPr="00E00B35">
        <w:rPr>
          <w:rFonts w:cs="Arial"/>
          <w:szCs w:val="20"/>
        </w:rPr>
        <w:t>Łącznie wyremontowano: 30 pomieszczeń.</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Obiekt UM Wrocławia przy al. Marcina Kromera 44</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prac remontowych: 84 064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Pomieszczenie nr: 28, 31, 134, 135, 136, 141, 215, 217, 230, 241, 319, 237, COM</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demontaż wykładziny podłogowej, montaż paneli podłogowych lub wykładziny tarkett z przygotowaniem podłoża, malowanie powierzchni ścian i sufitów wraz z przygotowaniem podłoża, malowanie parapetów, grzejników oraz rur c.o., wymianę opraw oświetleniowych.</w:t>
      </w:r>
    </w:p>
    <w:p w:rsidR="00E96768" w:rsidRPr="00E00B35" w:rsidRDefault="00E96768" w:rsidP="00E00B35">
      <w:pPr>
        <w:pStyle w:val="Akapitzlist"/>
        <w:spacing w:after="0" w:line="312" w:lineRule="auto"/>
        <w:ind w:left="0"/>
        <w:rPr>
          <w:rFonts w:cs="Arial"/>
          <w:szCs w:val="20"/>
        </w:rPr>
      </w:pPr>
      <w:r w:rsidRPr="00E00B35">
        <w:rPr>
          <w:rFonts w:cs="Arial"/>
          <w:szCs w:val="20"/>
        </w:rPr>
        <w:t>Łącznie wyremontowano: 13 pomieszczeń.</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Obiekt UM Wrocławia przy ul. Nowodworskiej 19</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prac remontowych: 346 866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demontaż stolarki okiennej i drzwi zewnętrznych, zamurowanie otworów okiennych i drzwiowych w ścianach zewnętrznych, montaż bram uchylnych garażowych z napędem elektrycznym, montaż drzwi zewnętrznych, uzupełnienie tynków, malowanie powierzchni ścian i sufitów wraz z przygotowaniem podłoża, remont pokrycia papowego dachu wraz z wymianą obróbek blacharskich oraz rur spustowych.</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Obiekt UM Wrocławia przy ul. Bernardyńskiej 5</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prac remontowych: 25 570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montaż ścianki szklanej z drzwiami jednoskrzydłowymi dla wydzielenia strefy klienta i strefy wejściowej do budynku.</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spacing w:after="0" w:line="312" w:lineRule="auto"/>
        <w:contextualSpacing/>
        <w:rPr>
          <w:rFonts w:cs="Arial"/>
          <w:szCs w:val="20"/>
        </w:rPr>
      </w:pPr>
      <w:r w:rsidRPr="00E00B35">
        <w:rPr>
          <w:rFonts w:cs="Arial"/>
          <w:szCs w:val="20"/>
        </w:rPr>
        <w:t>Obiekt UM Wrocławia przy ul. Włodkowica 20</w:t>
      </w:r>
    </w:p>
    <w:p w:rsidR="00E96768" w:rsidRPr="00E00B35" w:rsidRDefault="00E96768" w:rsidP="00E00B35">
      <w:pPr>
        <w:pStyle w:val="Akapitzlist"/>
        <w:spacing w:after="0" w:line="312" w:lineRule="auto"/>
        <w:ind w:left="0"/>
        <w:rPr>
          <w:rFonts w:cs="Arial"/>
          <w:szCs w:val="20"/>
        </w:rPr>
      </w:pPr>
      <w:r w:rsidRPr="00E00B35">
        <w:rPr>
          <w:rFonts w:cs="Arial"/>
          <w:szCs w:val="20"/>
        </w:rPr>
        <w:t>Wartość prac remontowych: 5 060 zł brutto</w:t>
      </w:r>
    </w:p>
    <w:p w:rsidR="00E96768" w:rsidRPr="00E00B35" w:rsidRDefault="00E96768" w:rsidP="00E00B35">
      <w:pPr>
        <w:pStyle w:val="Akapitzlist"/>
        <w:spacing w:after="0" w:line="312" w:lineRule="auto"/>
        <w:ind w:left="0"/>
        <w:rPr>
          <w:rFonts w:cs="Arial"/>
          <w:szCs w:val="20"/>
        </w:rPr>
      </w:pPr>
      <w:r w:rsidRPr="00E00B35">
        <w:rPr>
          <w:rFonts w:cs="Arial"/>
          <w:szCs w:val="20"/>
        </w:rPr>
        <w:t>Zakres prac obejmował: montaż poręczy schodowych w obrębie klatki schodowej na parterze budynku.</w:t>
      </w:r>
    </w:p>
    <w:p w:rsidR="00E96768" w:rsidRPr="00E00B35" w:rsidRDefault="00E96768" w:rsidP="00E00B35">
      <w:pPr>
        <w:pStyle w:val="Akapitzlist"/>
        <w:spacing w:after="0" w:line="312" w:lineRule="auto"/>
        <w:ind w:left="0"/>
        <w:rPr>
          <w:rFonts w:cs="Arial"/>
          <w:szCs w:val="20"/>
        </w:rPr>
      </w:pPr>
    </w:p>
    <w:p w:rsidR="00E96768" w:rsidRPr="00E00B35" w:rsidRDefault="00E96768" w:rsidP="00E00B35">
      <w:pPr>
        <w:pStyle w:val="Nagwek5"/>
        <w:rPr>
          <w:szCs w:val="20"/>
        </w:rPr>
      </w:pPr>
      <w:r w:rsidRPr="00E00B35">
        <w:rPr>
          <w:szCs w:val="20"/>
        </w:rPr>
        <w:t>OBSŁUGA OBIEKTÓW</w:t>
      </w:r>
    </w:p>
    <w:p w:rsidR="00E96768" w:rsidRPr="00E00B35" w:rsidRDefault="00E96768" w:rsidP="00E00B35">
      <w:pPr>
        <w:autoSpaceDE w:val="0"/>
        <w:autoSpaceDN w:val="0"/>
        <w:adjustRightInd w:val="0"/>
        <w:spacing w:after="0" w:line="312" w:lineRule="auto"/>
        <w:rPr>
          <w:color w:val="000000"/>
          <w:szCs w:val="20"/>
        </w:rPr>
      </w:pPr>
      <w:r w:rsidRPr="00E00B35">
        <w:rPr>
          <w:color w:val="000000"/>
          <w:szCs w:val="20"/>
        </w:rPr>
        <w:t>W 2020 roku realizowano zadania nakierowane na zapewnienie środków bezpieczeństwa i wdrożenie nowych zasad i zaleceń bezpiecznej pracy w trakcie trwającej epidemii COVID-19 we wszystkich budynkach Urzędu Miejskiego Wrocławia, w tym m.in.:</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Wprowadzono zmiany w dostępności budynków UMW dla klienta zewnętrznego - obsługa mieszkańców odbywa się wyłącznie w czynnych Centrach Obsługi Mieszkańca na parterach budynków, do których wpuszczani są kolejno klienci w ilości odpowiadającej liczbie wolnych stanowisk w Centrach Obsługi Mieszkańca.</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szCs w:val="20"/>
        </w:rPr>
        <w:t>W budynkach UMW otwarte są tylko wejścia główne, w których wszystkim wchodzącym mierzona</w:t>
      </w:r>
      <w:r w:rsidRPr="00E00B35">
        <w:rPr>
          <w:rFonts w:cs="Helv"/>
          <w:color w:val="000000"/>
          <w:szCs w:val="20"/>
        </w:rPr>
        <w:t xml:space="preserve"> jest temperatura oraz dezynfekowane są ręce.</w:t>
      </w:r>
    </w:p>
    <w:p w:rsidR="00000B36" w:rsidRPr="00E00B35" w:rsidRDefault="00000B36" w:rsidP="00E00B35">
      <w:pPr>
        <w:autoSpaceDE w:val="0"/>
        <w:autoSpaceDN w:val="0"/>
        <w:adjustRightInd w:val="0"/>
        <w:spacing w:after="0" w:line="312" w:lineRule="auto"/>
        <w:rPr>
          <w:rFonts w:cs="Helv"/>
          <w:color w:val="000000"/>
          <w:szCs w:val="20"/>
        </w:rPr>
      </w:pPr>
    </w:p>
    <w:p w:rsidR="00E96768" w:rsidRPr="00E00B35" w:rsidRDefault="00E96768" w:rsidP="00E00B35">
      <w:pPr>
        <w:autoSpaceDE w:val="0"/>
        <w:autoSpaceDN w:val="0"/>
        <w:adjustRightInd w:val="0"/>
        <w:spacing w:after="0" w:line="312" w:lineRule="auto"/>
        <w:rPr>
          <w:rFonts w:cs="Helv"/>
          <w:color w:val="000000"/>
          <w:szCs w:val="20"/>
        </w:rPr>
      </w:pPr>
      <w:r w:rsidRPr="00E00B35">
        <w:rPr>
          <w:rFonts w:cs="Helv"/>
          <w:color w:val="000000"/>
          <w:szCs w:val="20"/>
        </w:rPr>
        <w:lastRenderedPageBreak/>
        <w:t>W tym celu zakupiono: 10 szt. kamer termowizyjnych za kwotę 193 670,58 zł, 21 szt. bezdotykowych termometrów naściennych za kwotę 13 650,00 zł, 42 szt. bezdotykowych stacji do dezynfekcji rąk na kwotę 39 999,60 zł i 229 szt. naściennych dozowników na płyn dezynfekujący za kwotę 29 688,81 zł</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Pracownicy UMW na bieżąco wyposażani byli w maseczki, przyłbice, rękawiczki jednorazowe oraz płyny do dezynfekcji, a na stanowiskach obsługujących klientów w COM-ach dodatkowo zamontowano pełnowymiarowe przesłony z pleksi.</w:t>
      </w:r>
    </w:p>
    <w:p w:rsidR="00000B36" w:rsidRPr="00E00B35" w:rsidRDefault="00000B36" w:rsidP="00E00B35">
      <w:pPr>
        <w:autoSpaceDE w:val="0"/>
        <w:autoSpaceDN w:val="0"/>
        <w:adjustRightInd w:val="0"/>
        <w:spacing w:after="0" w:line="312" w:lineRule="auto"/>
        <w:rPr>
          <w:rFonts w:cs="Helv"/>
          <w:color w:val="000000"/>
          <w:szCs w:val="20"/>
        </w:rPr>
      </w:pPr>
    </w:p>
    <w:p w:rsidR="00E96768" w:rsidRPr="00E00B35" w:rsidRDefault="00E96768" w:rsidP="00E00B35">
      <w:pPr>
        <w:autoSpaceDE w:val="0"/>
        <w:autoSpaceDN w:val="0"/>
        <w:adjustRightInd w:val="0"/>
        <w:spacing w:after="0" w:line="312" w:lineRule="auto"/>
        <w:rPr>
          <w:rFonts w:cs="Helv"/>
          <w:color w:val="000000"/>
          <w:szCs w:val="20"/>
        </w:rPr>
      </w:pPr>
      <w:r w:rsidRPr="00E00B35">
        <w:rPr>
          <w:rFonts w:cs="Helv"/>
          <w:color w:val="000000"/>
          <w:szCs w:val="20"/>
        </w:rPr>
        <w:t>Łączna wartość zakupu 194 szt. przesłon z pleksi wyniosła 155 782,28  zł</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Firmy sprzątające  w budynkach UMW na bieżąco w ciągu dnia dezynfekowały klamki, drzwi, powierzchnie blatów, biurek itp. oraz dwukrotnie w ciągu dnia dezynfekowane były toalety.</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W trakcie codziennego sprzątania po godzinach pracy UMW, firmy sprzątające wprowadziły na stałe do realizacji usługi płyny dezynfekujące powierzchnie mebli, sprzętów i podłóg, a dodatkowo co tydzień przeprowadzana była kompleksowa dezynfekcja COM-ów.</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Na bieżąco prowadzone były działania informacyjne w zakresie zachowania środków ostrożności w trosce o zdrowie własne i innych – informacje przy wejściach do budynków, przy windach, pocztą LOTUS itp.</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Ponadto w celu poprawy obsługi klienta zewnętrznego w lokalizacji przy al. M.Kromera 44, pl. Nowy Targ 1-8, ul. Kotlarska 41, ul. G.Zapolskiej 4 i ul. P.Włodkowica 20 ustawiono tymczasowe, ogrzewane hale namiotowe wyposażone w krzesła i stoliki, w których mogą przebywać klienci w oczekiwaniu na wejście do budynku. Łączna powierzchnia wszystkich hal to 477 m2, a ich koszt zakupu wyniósł 311 559,00 zł.</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Dotychczasowa, stała ochrona budynków UMW została wzmocniona przez 11 dodatkowych pracowników Straży Miejskiej, którzy byli odpowiedzialni, m.in. za informowanie klientów o obowiązkowym pomiarze temperatury, dezynfekcji rąk oraz za utrzymanie porządku w strefie wejścia do budynków.</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W obiektach przy Sukiennice 9 oraz 10 zamontowano 2 depozytory na klucze do wszystkich pomieszczeń w budynku, dzięki którym poprawi się nadzór nad poboremi zdawaniem kluczy, w tym ich codziennej dezynfekcji.</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Łączny koszt zakupu 2 szt. depozytorów na 110 kluczy wyniósł 98 336,04 zł.</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Przy wjeździe na teren nieruchomości Urzędu Stanu Cywilnego przy ul. P. Włodkowica 20, po uzgodnieniach z Plastykiem Miejskim, wykonana została nowa, zamykana wiata na pojemniki na odpady, dzięki której wyeliminowano podrzucanie odpadów przez osoby niepowołane w ścisłej strefie Promenady Śródmiejskiej.</w:t>
      </w:r>
    </w:p>
    <w:p w:rsidR="00000B36" w:rsidRPr="00E00B35" w:rsidRDefault="00000B36" w:rsidP="00E00B35">
      <w:pPr>
        <w:autoSpaceDE w:val="0"/>
        <w:autoSpaceDN w:val="0"/>
        <w:adjustRightInd w:val="0"/>
        <w:spacing w:after="0" w:line="312" w:lineRule="auto"/>
        <w:rPr>
          <w:rFonts w:cs="Helv"/>
          <w:color w:val="000000"/>
          <w:szCs w:val="20"/>
        </w:rPr>
      </w:pPr>
    </w:p>
    <w:p w:rsidR="00E96768" w:rsidRPr="00E00B35" w:rsidRDefault="00E96768" w:rsidP="00E00B35">
      <w:pPr>
        <w:autoSpaceDE w:val="0"/>
        <w:autoSpaceDN w:val="0"/>
        <w:adjustRightInd w:val="0"/>
        <w:spacing w:after="0" w:line="312" w:lineRule="auto"/>
        <w:rPr>
          <w:rFonts w:cs="Helv"/>
          <w:color w:val="000000"/>
          <w:szCs w:val="20"/>
        </w:rPr>
      </w:pPr>
      <w:r w:rsidRPr="00E00B35">
        <w:rPr>
          <w:rFonts w:cs="Helv"/>
          <w:color w:val="000000"/>
          <w:szCs w:val="20"/>
        </w:rPr>
        <w:t>Łączny koszt zakupu wraz z montażem wiaty wyniósł 20 000,00 zł</w:t>
      </w:r>
    </w:p>
    <w:p w:rsidR="00E96768" w:rsidRPr="00E00B35" w:rsidRDefault="00E96768" w:rsidP="00E00B35">
      <w:pPr>
        <w:autoSpaceDE w:val="0"/>
        <w:autoSpaceDN w:val="0"/>
        <w:adjustRightInd w:val="0"/>
        <w:spacing w:after="0" w:line="312" w:lineRule="auto"/>
        <w:rPr>
          <w:color w:val="000000"/>
          <w:szCs w:val="20"/>
        </w:rPr>
      </w:pPr>
    </w:p>
    <w:p w:rsidR="00E96768" w:rsidRPr="00E00B35" w:rsidRDefault="00E96768" w:rsidP="00E00B35">
      <w:pPr>
        <w:pStyle w:val="Nagwek5"/>
        <w:rPr>
          <w:szCs w:val="20"/>
        </w:rPr>
      </w:pPr>
      <w:r w:rsidRPr="00E00B35">
        <w:rPr>
          <w:szCs w:val="20"/>
        </w:rPr>
        <w:lastRenderedPageBreak/>
        <w:t>LOGISTYKA</w:t>
      </w:r>
    </w:p>
    <w:p w:rsidR="00E96768" w:rsidRPr="00E00B35" w:rsidRDefault="00E96768" w:rsidP="00E00B35">
      <w:pPr>
        <w:pStyle w:val="Nagwek3"/>
        <w:spacing w:after="0" w:line="312" w:lineRule="auto"/>
        <w:rPr>
          <w:b w:val="0"/>
          <w:bCs w:val="0"/>
          <w:sz w:val="20"/>
        </w:rPr>
      </w:pPr>
      <w:r w:rsidRPr="00E00B35">
        <w:rPr>
          <w:sz w:val="20"/>
        </w:rPr>
        <w:t xml:space="preserve">W 2020 roku kontynuowano zadania z zakresu logistyki ukierunkowane na poprawę obsługi komórek organizacyjnych Urzędu oraz obsługi klienta, a także na obniżenie kosztów działalności Urzędu. W tym celu przede wszystkim: </w:t>
      </w:r>
    </w:p>
    <w:p w:rsidR="00E96768" w:rsidRPr="00E00B35" w:rsidRDefault="00E96768" w:rsidP="00E00B35">
      <w:pPr>
        <w:spacing w:after="0" w:line="312" w:lineRule="auto"/>
        <w:contextualSpacing/>
        <w:rPr>
          <w:szCs w:val="20"/>
        </w:rPr>
      </w:pPr>
      <w:r w:rsidRPr="00E00B35">
        <w:rPr>
          <w:szCs w:val="20"/>
        </w:rPr>
        <w:t xml:space="preserve">Prowadzono działania nakierowane na doskonalenie systemu łączności telefonicznej w Urzędzie w celu obniżania kosztów za usługi telekomunikacyjne, przede wszystkim: </w:t>
      </w:r>
    </w:p>
    <w:p w:rsidR="00E96768" w:rsidRPr="00E00B35" w:rsidRDefault="00E96768" w:rsidP="00E00B35">
      <w:pPr>
        <w:pStyle w:val="Tekstpodstawowywcity3"/>
        <w:tabs>
          <w:tab w:val="left" w:pos="567"/>
        </w:tabs>
        <w:spacing w:after="0" w:line="312" w:lineRule="auto"/>
        <w:ind w:left="0"/>
        <w:jc w:val="left"/>
        <w:rPr>
          <w:szCs w:val="20"/>
        </w:rPr>
      </w:pPr>
      <w:r w:rsidRPr="00E00B35">
        <w:rPr>
          <w:szCs w:val="20"/>
        </w:rPr>
        <w:t>przeprowadzone w 2019 roku postępowanie przetargowe na świadczenie usług telefonii komórkowej (w tym: bezprzewodowego dostępu do Internetu LTE, świadczenie usług połączeń głosowych wychodzących i przychodzących z telefonii stacjonarnej  na telefonię komórkową poprzez posiadane przez UM bramki GSM oraz dostawę fabrycznie nowych telefonów komórkowych, akcesoriów do tych telefonów oraz modemów) dla Urzędu i jednostek gminy CUI, ZZM oraz placówek oświatowych i żłobków, w wyniku którego obniżono cenę jednostkową abonamentu, co w znacznym stopniu w 2020 r. wpłynęło na zmniejszenie kosztów ponoszonych na usługi telefonii komórkowej do roku ubiegłego. Ponadto w 2020 roku również pandemia koronawirusa ma wpływ na spadek płatności za kompleksowe usługi telefonii komórkowej, ponieważ pracownicy nie wyjeżdżali służbowo poza granice kraju.</w:t>
      </w:r>
    </w:p>
    <w:p w:rsidR="00E96768" w:rsidRPr="00E00B35" w:rsidRDefault="00E96768" w:rsidP="00E00B35">
      <w:pPr>
        <w:spacing w:after="0" w:line="312" w:lineRule="auto"/>
        <w:contextualSpacing/>
        <w:rPr>
          <w:szCs w:val="20"/>
        </w:rPr>
      </w:pPr>
      <w:r w:rsidRPr="00E00B35">
        <w:rPr>
          <w:szCs w:val="20"/>
        </w:rPr>
        <w:t>Płatność za usługi telefonii komórkowej.</w:t>
      </w:r>
    </w:p>
    <w:p w:rsidR="00E96768" w:rsidRPr="00E00B35" w:rsidRDefault="00E96768" w:rsidP="00E00B35">
      <w:pPr>
        <w:pStyle w:val="Tekstpodstawowywcity3"/>
        <w:tabs>
          <w:tab w:val="left" w:pos="567"/>
        </w:tabs>
        <w:spacing w:after="0" w:line="312" w:lineRule="auto"/>
        <w:ind w:left="0"/>
        <w:jc w:val="left"/>
        <w:rPr>
          <w:szCs w:val="20"/>
        </w:rPr>
      </w:pPr>
      <w:r w:rsidRPr="00E00B35">
        <w:rPr>
          <w:szCs w:val="20"/>
        </w:rPr>
        <w:t>w wyniku pandemii koronawirusa w 2020 roku nastąpił wzrost kosztów rozmów telefonii stacjonarnej o 13,56% w stosunku do roku ubiegłego. Z kwoty 4 4321 na 50 332 Numery telefonów stacjonarnych pracowników pracujących zdalnie zostały przekierowane na telefony komórkowe, co spowodowało generowanie dodatkowych kosztów połączeń telefonów komórkowych.</w:t>
      </w:r>
    </w:p>
    <w:p w:rsidR="00E96768" w:rsidRPr="00E00B35" w:rsidRDefault="00E96768" w:rsidP="00E00B35">
      <w:pPr>
        <w:spacing w:after="0" w:line="312" w:lineRule="auto"/>
        <w:contextualSpacing/>
        <w:rPr>
          <w:szCs w:val="20"/>
        </w:rPr>
      </w:pPr>
      <w:r w:rsidRPr="00E00B35">
        <w:rPr>
          <w:szCs w:val="20"/>
        </w:rPr>
        <w:t>Przeprowadzono wnikliwą analizę stanu technicznego kserokopiarek. W celu poprawy działalności Urzędu w zakresie sprawnego realizowania zadań związanych z obsługą klienta w związku z pandemią COVID-19 zakupiono 11 szt. nowych cyfrowych kserokopiarek sieciowych na URBANCARD na potrzeby poszczególnych komórek organizacyjnych UM.</w:t>
      </w:r>
    </w:p>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Ponadto w celu zapewnienia ciągłości funkcjonowania Urzędu Miejskiego działania logistyczne koncentrowały się na realizacji bieżących potrzeb komórek organizacyjnych w zakresie:</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szCs w:val="20"/>
        </w:rPr>
        <w:t xml:space="preserve">zaopatrzenia w </w:t>
      </w:r>
      <w:r w:rsidRPr="00E00B35">
        <w:rPr>
          <w:rFonts w:cs="Helv"/>
          <w:color w:val="000000"/>
          <w:szCs w:val="20"/>
        </w:rPr>
        <w:t>artykuły piśmienno – biurowe, materiały eksploatacyjne do drukarek i urządzeń wielofunkcyjnych oraz faksów, papier ksero, prasę w formie papierowej i elektronicznej, książki, artykuły spożywcze, materiały konserwatorskie, środki czystości, wyposażenie budynków i inne drobne zakupy artykułów na potrzeby bieżące wydziałów Urzędu,</w:t>
      </w:r>
    </w:p>
    <w:p w:rsidR="00E96768" w:rsidRPr="00E00B35" w:rsidRDefault="00E96768" w:rsidP="00BC64AB">
      <w:pPr>
        <w:pStyle w:val="Akapitzlist"/>
        <w:numPr>
          <w:ilvl w:val="0"/>
          <w:numId w:val="245"/>
        </w:numPr>
        <w:spacing w:after="0" w:line="312" w:lineRule="auto"/>
        <w:ind w:left="567" w:hanging="567"/>
        <w:rPr>
          <w:szCs w:val="20"/>
        </w:rPr>
      </w:pPr>
      <w:r w:rsidRPr="00E00B35">
        <w:rPr>
          <w:rFonts w:cs="Helv"/>
          <w:color w:val="000000"/>
          <w:szCs w:val="20"/>
        </w:rPr>
        <w:t>zamieszczania ogłoszeń Urzędu Miejskiego w prasie codziennej o zasięgu lokalnym, wojewódzkim i ogólnokrajowym</w:t>
      </w:r>
      <w:r w:rsidRPr="00E00B35">
        <w:rPr>
          <w:szCs w:val="20"/>
        </w:rPr>
        <w:t>,</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wyposażenia pracowników Urzędu w odzież ochronną i roboczą oraz środki ochrony indywidualnej,</w:t>
      </w:r>
    </w:p>
    <w:p w:rsidR="00E96768" w:rsidRPr="00E00B35" w:rsidRDefault="00E96768" w:rsidP="00BC64AB">
      <w:pPr>
        <w:pStyle w:val="Akapitzlist"/>
        <w:numPr>
          <w:ilvl w:val="0"/>
          <w:numId w:val="245"/>
        </w:numPr>
        <w:spacing w:after="0" w:line="312" w:lineRule="auto"/>
        <w:ind w:left="567" w:hanging="567"/>
        <w:rPr>
          <w:szCs w:val="20"/>
        </w:rPr>
      </w:pPr>
      <w:r w:rsidRPr="00E00B35">
        <w:rPr>
          <w:rFonts w:cs="Helv"/>
          <w:color w:val="000000"/>
          <w:szCs w:val="20"/>
        </w:rPr>
        <w:t>dofinansowania zakupu okularów korygujących wzrok pracownikom Urzędu  zatrudnionych</w:t>
      </w:r>
      <w:r w:rsidRPr="00E00B35">
        <w:rPr>
          <w:szCs w:val="20"/>
        </w:rPr>
        <w:t xml:space="preserve"> na stanowiskach z monitorami ekranowymi.</w:t>
      </w:r>
    </w:p>
    <w:p w:rsidR="00E96768" w:rsidRPr="00E00B35" w:rsidRDefault="00E96768" w:rsidP="00E00B35">
      <w:pPr>
        <w:spacing w:after="0" w:line="312" w:lineRule="auto"/>
        <w:rPr>
          <w:szCs w:val="20"/>
        </w:rPr>
      </w:pPr>
      <w:r w:rsidRPr="00E00B35">
        <w:rPr>
          <w:szCs w:val="20"/>
        </w:rPr>
        <w:lastRenderedPageBreak/>
        <w:t xml:space="preserve">W celu </w:t>
      </w:r>
      <w:r w:rsidRPr="00E00B35">
        <w:rPr>
          <w:rFonts w:cs="Verdana"/>
          <w:szCs w:val="20"/>
        </w:rPr>
        <w:t xml:space="preserve">przeciwdziałania i zwalczania COVID-19 </w:t>
      </w:r>
      <w:r w:rsidRPr="00E00B35">
        <w:rPr>
          <w:szCs w:val="20"/>
        </w:rPr>
        <w:t xml:space="preserve">na terenie UM zakupiono na potrzeby pracowników i obiektów UM niezbędny asortyment w tym zakresie na kwotę brutto </w:t>
      </w:r>
      <w:r w:rsidRPr="00E00B35">
        <w:rPr>
          <w:szCs w:val="20"/>
        </w:rPr>
        <w:br/>
        <w:t>902 386,39 zł</w:t>
      </w:r>
    </w:p>
    <w:p w:rsidR="00E96768" w:rsidRPr="00E00B35" w:rsidRDefault="00E96768" w:rsidP="00E00B35">
      <w:pPr>
        <w:spacing w:after="0" w:line="312" w:lineRule="auto"/>
        <w:contextualSpacing/>
        <w:rPr>
          <w:szCs w:val="20"/>
        </w:rPr>
      </w:pPr>
      <w:r w:rsidRPr="00E00B35">
        <w:rPr>
          <w:szCs w:val="20"/>
        </w:rPr>
        <w:t>Zakupiony asortyment ochronny.</w:t>
      </w:r>
    </w:p>
    <w:tbl>
      <w:tblPr>
        <w:tblW w:w="9111" w:type="dxa"/>
        <w:tblInd w:w="55" w:type="dxa"/>
        <w:tblCellMar>
          <w:left w:w="70" w:type="dxa"/>
          <w:right w:w="70" w:type="dxa"/>
        </w:tblCellMar>
        <w:tblLook w:val="04A0"/>
      </w:tblPr>
      <w:tblGrid>
        <w:gridCol w:w="5400"/>
        <w:gridCol w:w="1416"/>
        <w:gridCol w:w="1275"/>
        <w:gridCol w:w="1066"/>
      </w:tblGrid>
      <w:tr w:rsidR="00E96768" w:rsidRPr="00E00B35" w:rsidTr="00E96768">
        <w:trPr>
          <w:trHeight w:val="265"/>
          <w:tblHeader/>
        </w:trPr>
        <w:tc>
          <w:tcPr>
            <w:tcW w:w="5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96768" w:rsidRPr="00E00B35" w:rsidRDefault="00E96768" w:rsidP="00E00B35">
            <w:pPr>
              <w:spacing w:after="0" w:line="312" w:lineRule="auto"/>
              <w:rPr>
                <w:rFonts w:cs="Arial"/>
                <w:b/>
                <w:bCs/>
                <w:szCs w:val="20"/>
              </w:rPr>
            </w:pPr>
            <w:r w:rsidRPr="00E00B35">
              <w:rPr>
                <w:rFonts w:cs="Arial"/>
                <w:b/>
                <w:bCs/>
                <w:szCs w:val="20"/>
              </w:rPr>
              <w:t>ZAKUPIONY ASORTYMENT DLA UM</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96768" w:rsidRPr="00E00B35" w:rsidRDefault="00E96768" w:rsidP="00E00B35">
            <w:pPr>
              <w:spacing w:after="0" w:line="312" w:lineRule="auto"/>
              <w:rPr>
                <w:rFonts w:cs="Arial"/>
                <w:b/>
                <w:bCs/>
                <w:szCs w:val="20"/>
              </w:rPr>
            </w:pPr>
            <w:r w:rsidRPr="00E00B35">
              <w:rPr>
                <w:rFonts w:cs="Arial"/>
                <w:b/>
                <w:bCs/>
                <w:szCs w:val="20"/>
              </w:rPr>
              <w:t>ILOŚĆ</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96768" w:rsidRPr="00E00B35" w:rsidRDefault="00E96768" w:rsidP="00E00B35">
            <w:pPr>
              <w:spacing w:after="0" w:line="312" w:lineRule="auto"/>
              <w:rPr>
                <w:rFonts w:cs="Arial"/>
                <w:b/>
                <w:bCs/>
                <w:szCs w:val="20"/>
              </w:rPr>
            </w:pPr>
            <w:r w:rsidRPr="00E00B35">
              <w:rPr>
                <w:rFonts w:cs="Arial"/>
                <w:b/>
                <w:bCs/>
                <w:szCs w:val="20"/>
              </w:rPr>
              <w:t>WARTOŚĆ BRUTTO</w:t>
            </w:r>
          </w:p>
        </w:tc>
        <w:tc>
          <w:tcPr>
            <w:tcW w:w="1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96768" w:rsidRPr="00E00B35" w:rsidRDefault="00E96768" w:rsidP="00E00B35">
            <w:pPr>
              <w:spacing w:after="0" w:line="312" w:lineRule="auto"/>
              <w:rPr>
                <w:rFonts w:cs="Arial"/>
                <w:b/>
                <w:bCs/>
                <w:szCs w:val="20"/>
              </w:rPr>
            </w:pPr>
            <w:r w:rsidRPr="00E00B35">
              <w:rPr>
                <w:rFonts w:cs="Arial"/>
                <w:b/>
                <w:bCs/>
                <w:szCs w:val="20"/>
              </w:rPr>
              <w:t>ILOŚĆ LITRÓW</w:t>
            </w:r>
          </w:p>
        </w:tc>
      </w:tr>
      <w:tr w:rsidR="00E96768" w:rsidRPr="00E00B35" w:rsidTr="00E96768">
        <w:trPr>
          <w:trHeight w:val="285"/>
        </w:trPr>
        <w:tc>
          <w:tcPr>
            <w:tcW w:w="5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 xml:space="preserve">dozownik płynu naścienny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229 szt.</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29 688,81</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x</w:t>
            </w:r>
          </w:p>
        </w:tc>
      </w:tr>
      <w:tr w:rsidR="00E96768" w:rsidRPr="00E00B35" w:rsidTr="00E96768">
        <w:trPr>
          <w:trHeight w:val="285"/>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maseczka higieniczna</w:t>
            </w:r>
          </w:p>
        </w:tc>
        <w:tc>
          <w:tcPr>
            <w:tcW w:w="1417"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42 688 szt.</w:t>
            </w:r>
          </w:p>
        </w:tc>
        <w:tc>
          <w:tcPr>
            <w:tcW w:w="127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224 331,26</w:t>
            </w:r>
          </w:p>
        </w:tc>
        <w:tc>
          <w:tcPr>
            <w:tcW w:w="101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x</w:t>
            </w:r>
          </w:p>
        </w:tc>
      </w:tr>
      <w:tr w:rsidR="00E96768" w:rsidRPr="00E00B35" w:rsidTr="00E96768">
        <w:trPr>
          <w:trHeight w:val="285"/>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półmaska z zaworkiem</w:t>
            </w:r>
          </w:p>
        </w:tc>
        <w:tc>
          <w:tcPr>
            <w:tcW w:w="1417"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320 szt.</w:t>
            </w:r>
          </w:p>
        </w:tc>
        <w:tc>
          <w:tcPr>
            <w:tcW w:w="127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5 975,09</w:t>
            </w:r>
          </w:p>
        </w:tc>
        <w:tc>
          <w:tcPr>
            <w:tcW w:w="101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x</w:t>
            </w:r>
          </w:p>
        </w:tc>
      </w:tr>
      <w:tr w:rsidR="00E96768" w:rsidRPr="00E00B35" w:rsidTr="00E96768">
        <w:trPr>
          <w:trHeight w:val="285"/>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płyn do dezynfekcji powierzchni pojemność 1l i 5l</w:t>
            </w:r>
          </w:p>
        </w:tc>
        <w:tc>
          <w:tcPr>
            <w:tcW w:w="1417"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370 szt.</w:t>
            </w:r>
          </w:p>
        </w:tc>
        <w:tc>
          <w:tcPr>
            <w:tcW w:w="127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24 067,98</w:t>
            </w:r>
          </w:p>
        </w:tc>
        <w:tc>
          <w:tcPr>
            <w:tcW w:w="101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522,0</w:t>
            </w:r>
          </w:p>
        </w:tc>
      </w:tr>
      <w:tr w:rsidR="00E96768" w:rsidRPr="00E00B35" w:rsidTr="00E96768">
        <w:trPr>
          <w:trHeight w:val="285"/>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płyn do dezynfekcji rąk pojemność 0,1l, 0,25l, 0,3l, 0,5l, 1l i 5l</w:t>
            </w:r>
          </w:p>
        </w:tc>
        <w:tc>
          <w:tcPr>
            <w:tcW w:w="1417"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5 516 szt.</w:t>
            </w:r>
          </w:p>
        </w:tc>
        <w:tc>
          <w:tcPr>
            <w:tcW w:w="127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251 075,89</w:t>
            </w:r>
          </w:p>
        </w:tc>
        <w:tc>
          <w:tcPr>
            <w:tcW w:w="101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3 744,4</w:t>
            </w:r>
          </w:p>
        </w:tc>
      </w:tr>
      <w:tr w:rsidR="00E96768" w:rsidRPr="00E00B35" w:rsidTr="00E96768">
        <w:trPr>
          <w:trHeight w:val="285"/>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rękawice jednorazowe w opak. 100 szt., 200 szt.</w:t>
            </w:r>
          </w:p>
        </w:tc>
        <w:tc>
          <w:tcPr>
            <w:tcW w:w="1417"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3 158 op.</w:t>
            </w:r>
          </w:p>
        </w:tc>
        <w:tc>
          <w:tcPr>
            <w:tcW w:w="127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193 392,76</w:t>
            </w:r>
          </w:p>
        </w:tc>
        <w:tc>
          <w:tcPr>
            <w:tcW w:w="101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x</w:t>
            </w:r>
          </w:p>
        </w:tc>
      </w:tr>
      <w:tr w:rsidR="00E96768" w:rsidRPr="00E00B35" w:rsidTr="00E96768">
        <w:trPr>
          <w:trHeight w:val="285"/>
        </w:trPr>
        <w:tc>
          <w:tcPr>
            <w:tcW w:w="5402" w:type="dxa"/>
            <w:tcBorders>
              <w:top w:val="nil"/>
              <w:left w:val="single" w:sz="4" w:space="0" w:color="auto"/>
              <w:bottom w:val="nil"/>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 xml:space="preserve">spryskiwacz-butelka z atomizerem </w:t>
            </w:r>
          </w:p>
        </w:tc>
        <w:tc>
          <w:tcPr>
            <w:tcW w:w="1417" w:type="dxa"/>
            <w:tcBorders>
              <w:top w:val="nil"/>
              <w:left w:val="nil"/>
              <w:bottom w:val="nil"/>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362 szt.</w:t>
            </w:r>
          </w:p>
        </w:tc>
        <w:tc>
          <w:tcPr>
            <w:tcW w:w="1276" w:type="dxa"/>
            <w:tcBorders>
              <w:top w:val="nil"/>
              <w:left w:val="nil"/>
              <w:bottom w:val="nil"/>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2 386,36</w:t>
            </w:r>
          </w:p>
        </w:tc>
        <w:tc>
          <w:tcPr>
            <w:tcW w:w="1016" w:type="dxa"/>
            <w:tcBorders>
              <w:top w:val="nil"/>
              <w:left w:val="nil"/>
              <w:bottom w:val="nil"/>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x</w:t>
            </w:r>
          </w:p>
        </w:tc>
      </w:tr>
      <w:tr w:rsidR="00E96768" w:rsidRPr="00E00B35" w:rsidTr="00E96768">
        <w:trPr>
          <w:trHeight w:val="285"/>
        </w:trPr>
        <w:tc>
          <w:tcPr>
            <w:tcW w:w="5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przyłbica ochronna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1 750 szt.</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33 087,00</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x</w:t>
            </w:r>
          </w:p>
        </w:tc>
      </w:tr>
      <w:tr w:rsidR="00E96768" w:rsidRPr="00E00B35" w:rsidTr="00E96768">
        <w:trPr>
          <w:trHeight w:val="285"/>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bezdotykowy termometr ścienny</w:t>
            </w:r>
          </w:p>
        </w:tc>
        <w:tc>
          <w:tcPr>
            <w:tcW w:w="1417"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21 szt.</w:t>
            </w:r>
          </w:p>
        </w:tc>
        <w:tc>
          <w:tcPr>
            <w:tcW w:w="127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13 650,00</w:t>
            </w:r>
          </w:p>
        </w:tc>
        <w:tc>
          <w:tcPr>
            <w:tcW w:w="101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x</w:t>
            </w:r>
          </w:p>
        </w:tc>
      </w:tr>
      <w:tr w:rsidR="00E96768" w:rsidRPr="00E00B35" w:rsidTr="00E96768">
        <w:trPr>
          <w:trHeight w:val="285"/>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bezdotykowa stacja do dezynfekcji rąk-stojąca</w:t>
            </w:r>
          </w:p>
        </w:tc>
        <w:tc>
          <w:tcPr>
            <w:tcW w:w="1417"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42 szt.</w:t>
            </w:r>
          </w:p>
        </w:tc>
        <w:tc>
          <w:tcPr>
            <w:tcW w:w="127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39 999,60</w:t>
            </w:r>
          </w:p>
        </w:tc>
        <w:tc>
          <w:tcPr>
            <w:tcW w:w="101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x</w:t>
            </w:r>
          </w:p>
        </w:tc>
      </w:tr>
      <w:tr w:rsidR="00E96768" w:rsidRPr="00E00B35" w:rsidTr="00E96768">
        <w:trPr>
          <w:trHeight w:val="285"/>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osłona z plexi dla stanowisk pracy</w:t>
            </w:r>
          </w:p>
        </w:tc>
        <w:tc>
          <w:tcPr>
            <w:tcW w:w="1417"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52 szt.</w:t>
            </w:r>
          </w:p>
        </w:tc>
        <w:tc>
          <w:tcPr>
            <w:tcW w:w="127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34 681,62</w:t>
            </w:r>
          </w:p>
        </w:tc>
        <w:tc>
          <w:tcPr>
            <w:tcW w:w="1016" w:type="dxa"/>
            <w:tcBorders>
              <w:top w:val="nil"/>
              <w:left w:val="nil"/>
              <w:bottom w:val="single" w:sz="4" w:space="0" w:color="auto"/>
              <w:right w:val="single" w:sz="4" w:space="0" w:color="auto"/>
            </w:tcBorders>
            <w:shd w:val="clear" w:color="auto" w:fill="auto"/>
            <w:noWrap/>
            <w:vAlign w:val="bottom"/>
            <w:hideMark/>
          </w:tcPr>
          <w:p w:rsidR="00E96768" w:rsidRPr="00E00B35" w:rsidRDefault="00E96768" w:rsidP="00E00B35">
            <w:pPr>
              <w:spacing w:after="0" w:line="312" w:lineRule="auto"/>
              <w:rPr>
                <w:rFonts w:cs="Arial"/>
                <w:szCs w:val="20"/>
              </w:rPr>
            </w:pPr>
            <w:r w:rsidRPr="00E00B35">
              <w:rPr>
                <w:rFonts w:cs="Arial"/>
                <w:szCs w:val="20"/>
              </w:rPr>
              <w:t>x</w:t>
            </w:r>
          </w:p>
        </w:tc>
      </w:tr>
    </w:tbl>
    <w:p w:rsidR="00E96768" w:rsidRPr="00E00B35" w:rsidRDefault="00E96768" w:rsidP="00E00B35">
      <w:pPr>
        <w:spacing w:after="0" w:line="312" w:lineRule="auto"/>
        <w:rPr>
          <w:szCs w:val="20"/>
        </w:rPr>
      </w:pPr>
    </w:p>
    <w:p w:rsidR="00E96768" w:rsidRPr="00E00B35" w:rsidRDefault="00E96768" w:rsidP="00E00B35">
      <w:pPr>
        <w:pStyle w:val="Nagwek5"/>
        <w:rPr>
          <w:szCs w:val="20"/>
        </w:rPr>
      </w:pPr>
      <w:r w:rsidRPr="00E00B35">
        <w:rPr>
          <w:szCs w:val="20"/>
        </w:rPr>
        <w:t>TONERY</w:t>
      </w:r>
    </w:p>
    <w:p w:rsidR="00E96768" w:rsidRPr="00E00B35" w:rsidRDefault="00E96768" w:rsidP="00E00B35">
      <w:pPr>
        <w:spacing w:after="0" w:line="312" w:lineRule="auto"/>
        <w:rPr>
          <w:rFonts w:cs="Helv"/>
          <w:color w:val="000000"/>
          <w:szCs w:val="20"/>
        </w:rPr>
      </w:pPr>
      <w:r w:rsidRPr="00E00B35">
        <w:rPr>
          <w:szCs w:val="20"/>
        </w:rPr>
        <w:t>Ilość zakupionych materiałów eksploatacyjnych do urządzeń drukujących (</w:t>
      </w:r>
      <w:r w:rsidRPr="00E00B35">
        <w:rPr>
          <w:rFonts w:cs="Verdana"/>
          <w:szCs w:val="20"/>
        </w:rPr>
        <w:t xml:space="preserve">drukarek, urządzeń </w:t>
      </w:r>
      <w:r w:rsidRPr="00E00B35">
        <w:rPr>
          <w:rFonts w:cs="Helv"/>
          <w:color w:val="000000"/>
          <w:szCs w:val="20"/>
        </w:rPr>
        <w:t>wielofunkcyjnych, faksów) na potrzeby komórek organizacyjnych UM:</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2017 rok – 2 898 sztuk</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2018 rok – 2 335 sztuk</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2019 rok – 2 740 sztuk</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szCs w:val="20"/>
        </w:rPr>
        <w:t>2020 rok – 2 644 sztuk</w:t>
      </w:r>
    </w:p>
    <w:p w:rsidR="00E96768" w:rsidRPr="00E00B35" w:rsidRDefault="00E96768" w:rsidP="00E00B35">
      <w:pPr>
        <w:pStyle w:val="Akapitzlist"/>
        <w:spacing w:after="0" w:line="312" w:lineRule="auto"/>
        <w:ind w:left="567"/>
        <w:rPr>
          <w:szCs w:val="20"/>
        </w:rPr>
      </w:pPr>
    </w:p>
    <w:p w:rsidR="00E96768" w:rsidRPr="00E00B35" w:rsidRDefault="00E96768" w:rsidP="00E00B35">
      <w:pPr>
        <w:spacing w:after="0" w:line="312" w:lineRule="auto"/>
        <w:rPr>
          <w:szCs w:val="20"/>
        </w:rPr>
      </w:pPr>
      <w:r w:rsidRPr="00E00B35">
        <w:rPr>
          <w:szCs w:val="20"/>
        </w:rPr>
        <w:t>Średnioroczne zużycie tonerów na jednego pracownika.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2017 rok – 1,50 sztuk</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2018 rok – 1,20 sztuk</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2019 rok – 1,38 sztuk</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2020 rok – 1,02 sztuk</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rFonts w:cs="Verdana"/>
          <w:szCs w:val="20"/>
        </w:rPr>
      </w:pPr>
      <w:r w:rsidRPr="00E00B35">
        <w:rPr>
          <w:rFonts w:cs="Verdana"/>
          <w:szCs w:val="20"/>
        </w:rPr>
        <w:t>Zakup i odbiór zużytych tonerów do urządzeń drukujących dokonywany jest zgodnie z zapotrzebowaniami składanymi przez komórki organizacyjne Urzędu. Dla zachowania ciągłości pracy urządzeń drukujących dopuszcza się zamówienie przez użytkownika urządzenia drukującego tonera w ilości nie przekraczającej 1 sztuki.</w:t>
      </w:r>
    </w:p>
    <w:p w:rsidR="00E96768" w:rsidRPr="00E00B35" w:rsidRDefault="00E96768" w:rsidP="00E00B35">
      <w:pPr>
        <w:spacing w:after="0" w:line="312" w:lineRule="auto"/>
        <w:rPr>
          <w:szCs w:val="20"/>
        </w:rPr>
      </w:pPr>
      <w:r w:rsidRPr="00E00B35">
        <w:rPr>
          <w:szCs w:val="20"/>
        </w:rPr>
        <w:t>Wskaźnik zużycia tonerów w 2020 roku został utrzymany na poziomie średniorocznego zużycia  tonerów z ostatnich 3 lat.</w:t>
      </w:r>
    </w:p>
    <w:p w:rsidR="00E96768" w:rsidRPr="00E00B35" w:rsidRDefault="00000B36" w:rsidP="00E00B35">
      <w:pPr>
        <w:pStyle w:val="Nagwek5"/>
        <w:rPr>
          <w:szCs w:val="20"/>
        </w:rPr>
      </w:pPr>
      <w:r w:rsidRPr="00E00B35">
        <w:rPr>
          <w:szCs w:val="20"/>
          <w:lang w:val="pl-PL"/>
        </w:rPr>
        <w:lastRenderedPageBreak/>
        <w:br/>
      </w:r>
      <w:r w:rsidR="00E96768" w:rsidRPr="00E00B35">
        <w:rPr>
          <w:szCs w:val="20"/>
        </w:rPr>
        <w:t>DOSTAWA PAPIERU KSERO</w:t>
      </w:r>
    </w:p>
    <w:p w:rsidR="00E96768" w:rsidRPr="00E00B35" w:rsidRDefault="00E96768" w:rsidP="00E00B35">
      <w:pPr>
        <w:spacing w:after="0" w:line="312" w:lineRule="auto"/>
        <w:rPr>
          <w:szCs w:val="20"/>
        </w:rPr>
      </w:pPr>
      <w:r w:rsidRPr="00E00B35">
        <w:rPr>
          <w:szCs w:val="20"/>
        </w:rPr>
        <w:t>Ilość zakupionego papieru ksero do urządzeń drukujących na potrzeby komórek organizacyjnych UM przedstawia poniższy wykres:</w:t>
      </w:r>
    </w:p>
    <w:p w:rsidR="00E96768" w:rsidRPr="00E00B35" w:rsidRDefault="00E96768" w:rsidP="00E00B35">
      <w:pPr>
        <w:spacing w:after="0" w:line="312" w:lineRule="auto"/>
        <w:rPr>
          <w:szCs w:val="20"/>
        </w:rPr>
      </w:pPr>
      <w:r w:rsidRPr="00E00B35">
        <w:rPr>
          <w:szCs w:val="20"/>
        </w:rPr>
        <w:t>Dostawa papieru ksero dla wydziałów Urzędu Miejskiego Wrocławia.</w:t>
      </w:r>
    </w:p>
    <w:p w:rsidR="00E96768" w:rsidRPr="00E00B35" w:rsidRDefault="00E96768" w:rsidP="00E00B35">
      <w:pPr>
        <w:spacing w:after="0" w:line="312" w:lineRule="auto"/>
        <w:rPr>
          <w:szCs w:val="20"/>
        </w:rPr>
      </w:pPr>
      <w:r w:rsidRPr="00E00B35">
        <w:rPr>
          <w:szCs w:val="20"/>
        </w:rPr>
        <w:t>2017 rok – 23 416 sztuk</w:t>
      </w:r>
    </w:p>
    <w:p w:rsidR="00E96768" w:rsidRPr="00E00B35" w:rsidRDefault="00E96768" w:rsidP="00E00B35">
      <w:pPr>
        <w:spacing w:after="0" w:line="312" w:lineRule="auto"/>
        <w:rPr>
          <w:szCs w:val="20"/>
        </w:rPr>
      </w:pPr>
      <w:r w:rsidRPr="00E00B35">
        <w:rPr>
          <w:szCs w:val="20"/>
        </w:rPr>
        <w:t>2018 rok – 25 576 sztuk</w:t>
      </w:r>
    </w:p>
    <w:p w:rsidR="00E96768" w:rsidRPr="00E00B35" w:rsidRDefault="00E96768" w:rsidP="00E00B35">
      <w:pPr>
        <w:spacing w:after="0" w:line="312" w:lineRule="auto"/>
        <w:rPr>
          <w:szCs w:val="20"/>
        </w:rPr>
      </w:pPr>
      <w:r w:rsidRPr="00E00B35">
        <w:rPr>
          <w:szCs w:val="20"/>
        </w:rPr>
        <w:t>2019 rok – 26 222 sztuk</w:t>
      </w:r>
    </w:p>
    <w:p w:rsidR="00E96768" w:rsidRPr="00E00B35" w:rsidRDefault="00E96768" w:rsidP="00E00B35">
      <w:pPr>
        <w:spacing w:after="0" w:line="312" w:lineRule="auto"/>
        <w:rPr>
          <w:szCs w:val="20"/>
        </w:rPr>
      </w:pPr>
      <w:r w:rsidRPr="00E00B35">
        <w:rPr>
          <w:szCs w:val="20"/>
        </w:rPr>
        <w:t>2020 rok – 23 791 sztuk</w:t>
      </w:r>
    </w:p>
    <w:p w:rsidR="00E96768" w:rsidRPr="00E00B35" w:rsidRDefault="00E96768" w:rsidP="00E00B35">
      <w:pPr>
        <w:spacing w:after="0" w:line="312" w:lineRule="auto"/>
        <w:rPr>
          <w:szCs w:val="20"/>
        </w:rPr>
      </w:pPr>
      <w:r w:rsidRPr="00E00B35">
        <w:rPr>
          <w:szCs w:val="20"/>
        </w:rPr>
        <w:t>Dostawa papieru ksero dla UM obejmuje obsługę mieszkańca, w tym min.:</w:t>
      </w:r>
    </w:p>
    <w:p w:rsidR="00E96768" w:rsidRPr="00E00B35" w:rsidRDefault="00E96768" w:rsidP="00E00B35">
      <w:pPr>
        <w:spacing w:after="0" w:line="312" w:lineRule="auto"/>
        <w:rPr>
          <w:rFonts w:cs="Arial"/>
          <w:szCs w:val="20"/>
        </w:rPr>
      </w:pPr>
      <w:r w:rsidRPr="00E00B35">
        <w:rPr>
          <w:rFonts w:cs="Arial"/>
          <w:szCs w:val="20"/>
        </w:rPr>
        <w:t>Wydział Podatków Oświatowych - druk inf. dla podatnika, wysyłanie decyzji podatkowych (za użytkowanie wieczyste, od nieruchomości)</w:t>
      </w:r>
      <w:r w:rsidRPr="00E00B35">
        <w:rPr>
          <w:rFonts w:cs="Arial"/>
          <w:szCs w:val="20"/>
        </w:rPr>
        <w:br/>
        <w:t>WSO - druki dla mieszkańca (dowód osobisty, potwierdzenie zameldowania/wymeldowania, prawo jazdy, rejestracja pojazdów, rejestracja dział. gospodarczej)</w:t>
      </w:r>
      <w:r w:rsidRPr="00E00B35">
        <w:rPr>
          <w:rFonts w:cs="Arial"/>
          <w:szCs w:val="20"/>
        </w:rPr>
        <w:br/>
        <w:t xml:space="preserve">USC - wydawanie zaświadczeń dla mieszkańca (aktu urodzenia, aktu zgonu, aktu ślubu) </w:t>
      </w:r>
    </w:p>
    <w:p w:rsidR="00E96768" w:rsidRPr="00E00B35" w:rsidRDefault="00E96768" w:rsidP="00E00B35">
      <w:pPr>
        <w:spacing w:after="0" w:line="312" w:lineRule="auto"/>
        <w:rPr>
          <w:rFonts w:cs="Arial"/>
          <w:szCs w:val="20"/>
        </w:rPr>
      </w:pPr>
      <w:r w:rsidRPr="00E00B35">
        <w:rPr>
          <w:rFonts w:cs="Arial"/>
          <w:szCs w:val="20"/>
        </w:rPr>
        <w:t>Wydział Księgowości (kasy) - wyciągi bankowe, potwierdzenie wpłaty dla klienta</w:t>
      </w:r>
      <w:r w:rsidRPr="00E00B35">
        <w:rPr>
          <w:rFonts w:cs="Arial"/>
          <w:szCs w:val="20"/>
        </w:rPr>
        <w:br/>
        <w:t>Wydział Architektury i Budownictwa (kancelaria ogólna) - wydawanie decyzji, pozwoleń, postanowień</w:t>
      </w:r>
      <w:r w:rsidRPr="00E00B35">
        <w:rPr>
          <w:rFonts w:cs="Arial"/>
          <w:szCs w:val="20"/>
        </w:rPr>
        <w:br/>
        <w:t>Wydział Nieruchomości Komunalnych - druki do mieszkańca za użytkowanie wieczyste</w:t>
      </w:r>
      <w:r w:rsidRPr="00E00B35">
        <w:rPr>
          <w:rFonts w:cs="Arial"/>
          <w:szCs w:val="20"/>
        </w:rPr>
        <w:br/>
        <w:t>Wydział Zarządzania Należnościami - windykacja należności pieniężnych Gminy i Skarbu Państwa</w:t>
      </w:r>
    </w:p>
    <w:p w:rsidR="00E96768" w:rsidRPr="00E00B35" w:rsidRDefault="00E96768" w:rsidP="00E00B35">
      <w:pPr>
        <w:spacing w:after="0" w:line="312" w:lineRule="auto"/>
        <w:rPr>
          <w:rFonts w:cs="Arial"/>
          <w:szCs w:val="20"/>
        </w:rPr>
      </w:pPr>
      <w:r w:rsidRPr="00E00B35">
        <w:rPr>
          <w:rFonts w:cs="Arial"/>
          <w:szCs w:val="20"/>
        </w:rPr>
        <w:t>Wydział Środowiska - druki/wnioski dla mieszkańca do programu KAWKA</w:t>
      </w:r>
      <w:r w:rsidRPr="00E00B35">
        <w:rPr>
          <w:rFonts w:cs="Arial"/>
          <w:szCs w:val="20"/>
        </w:rPr>
        <w:br/>
        <w:t>Wydział Transportu - druki rozkładu jazdy komunikacji miejskiej, zezwolenia na transport</w:t>
      </w:r>
      <w:r w:rsidRPr="00E00B35">
        <w:rPr>
          <w:rFonts w:cs="Arial"/>
          <w:szCs w:val="20"/>
        </w:rPr>
        <w:br/>
        <w:t xml:space="preserve">POBÓR, WYBORY - druki inf. dla komisji poborowych i komisji wyborczych. </w:t>
      </w:r>
    </w:p>
    <w:p w:rsidR="00E96768" w:rsidRPr="00E00B35" w:rsidRDefault="00E96768" w:rsidP="00E00B35">
      <w:pPr>
        <w:spacing w:after="0" w:line="312" w:lineRule="auto"/>
        <w:rPr>
          <w:rFonts w:cs="Arial"/>
          <w:szCs w:val="20"/>
        </w:rPr>
      </w:pPr>
      <w:r w:rsidRPr="00E00B35">
        <w:rPr>
          <w:rFonts w:cs="Arial"/>
          <w:szCs w:val="20"/>
        </w:rPr>
        <w:t>Przepisy prawa nakładają na Urząd obowiązek wydawania decyzji, zaświadczeń czy potwierdzeń w systemie tradycyjnym. Na wniosek klienta Urząd zobowiązany jest do przekazania mieszkańcowi żądanych dokumentów na nośniku papierowym. Wiele spraw dla mieszkańców, Urząd stara się prowadzić w oparciu o elektroniczne nośniki informacji z wykorzystaniem elektronicznego systemu obiegu dokumentów, jednakże w chwili obecnej nie można wyłączyć wersji papierowej.</w:t>
      </w:r>
    </w:p>
    <w:p w:rsidR="00E96768" w:rsidRPr="00E00B35" w:rsidRDefault="00815F93" w:rsidP="00E00B35">
      <w:pPr>
        <w:pStyle w:val="Nagwek5"/>
        <w:rPr>
          <w:szCs w:val="20"/>
        </w:rPr>
      </w:pPr>
      <w:r w:rsidRPr="00E00B35">
        <w:rPr>
          <w:szCs w:val="20"/>
        </w:rPr>
        <w:br/>
      </w:r>
      <w:r w:rsidR="00E96768" w:rsidRPr="00E00B35">
        <w:rPr>
          <w:szCs w:val="20"/>
        </w:rPr>
        <w:t>OGŁOSZENIA</w:t>
      </w:r>
    </w:p>
    <w:p w:rsidR="00E96768" w:rsidRPr="00E00B35" w:rsidRDefault="00E96768" w:rsidP="00E00B35">
      <w:pPr>
        <w:spacing w:after="0" w:line="312" w:lineRule="auto"/>
        <w:rPr>
          <w:szCs w:val="20"/>
        </w:rPr>
      </w:pPr>
      <w:r w:rsidRPr="00E00B35">
        <w:rPr>
          <w:szCs w:val="20"/>
        </w:rPr>
        <w:t>Ilość opublikowanych ogłoszeń w prasie o zasięgu lokalnym, zasięgu wojewódzkim i zasięgu ogólnopolskim w 2020 roku, związanych z działalnością UMW przedstawiają poniższe wykresy:</w:t>
      </w:r>
    </w:p>
    <w:p w:rsidR="00E96768" w:rsidRPr="00E00B35" w:rsidRDefault="00E96768" w:rsidP="00E00B35">
      <w:pPr>
        <w:spacing w:after="0" w:line="312" w:lineRule="auto"/>
        <w:rPr>
          <w:szCs w:val="20"/>
        </w:rPr>
      </w:pPr>
      <w:r w:rsidRPr="00E00B35">
        <w:rPr>
          <w:szCs w:val="20"/>
        </w:rPr>
        <w:t>Ilość zrealizowanych ogłoszeń wg zasięgu:</w:t>
      </w:r>
    </w:p>
    <w:p w:rsidR="00E96768" w:rsidRPr="00E00B35" w:rsidRDefault="00E96768" w:rsidP="00E00B35">
      <w:pPr>
        <w:spacing w:after="0" w:line="312" w:lineRule="auto"/>
        <w:rPr>
          <w:szCs w:val="20"/>
        </w:rPr>
      </w:pPr>
      <w:r w:rsidRPr="00E00B35">
        <w:rPr>
          <w:szCs w:val="20"/>
        </w:rPr>
        <w:t>Lokalny</w:t>
      </w:r>
    </w:p>
    <w:p w:rsidR="00E96768" w:rsidRPr="00E00B35" w:rsidRDefault="00E96768" w:rsidP="00E00B35">
      <w:pPr>
        <w:spacing w:after="0" w:line="312" w:lineRule="auto"/>
        <w:rPr>
          <w:szCs w:val="20"/>
        </w:rPr>
      </w:pPr>
      <w:r w:rsidRPr="00E00B35">
        <w:rPr>
          <w:szCs w:val="20"/>
        </w:rPr>
        <w:t>2017 - 153</w:t>
      </w:r>
    </w:p>
    <w:p w:rsidR="00E96768" w:rsidRPr="00E00B35" w:rsidRDefault="00E96768" w:rsidP="00E00B35">
      <w:pPr>
        <w:spacing w:after="0" w:line="312" w:lineRule="auto"/>
        <w:rPr>
          <w:szCs w:val="20"/>
        </w:rPr>
      </w:pPr>
      <w:r w:rsidRPr="00E00B35">
        <w:rPr>
          <w:szCs w:val="20"/>
        </w:rPr>
        <w:t>2018 - 185</w:t>
      </w:r>
    </w:p>
    <w:p w:rsidR="00E96768" w:rsidRPr="00E00B35" w:rsidRDefault="00E96768" w:rsidP="00E00B35">
      <w:pPr>
        <w:spacing w:after="0" w:line="312" w:lineRule="auto"/>
        <w:rPr>
          <w:szCs w:val="20"/>
        </w:rPr>
      </w:pPr>
      <w:r w:rsidRPr="00E00B35">
        <w:rPr>
          <w:szCs w:val="20"/>
        </w:rPr>
        <w:t>2019 - 182</w:t>
      </w:r>
    </w:p>
    <w:p w:rsidR="00E96768" w:rsidRPr="00E00B35" w:rsidRDefault="00E96768" w:rsidP="00E00B35">
      <w:pPr>
        <w:spacing w:after="0" w:line="312" w:lineRule="auto"/>
        <w:rPr>
          <w:szCs w:val="20"/>
        </w:rPr>
      </w:pPr>
      <w:r w:rsidRPr="00E00B35">
        <w:rPr>
          <w:szCs w:val="20"/>
        </w:rPr>
        <w:t>2020 - 181</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lastRenderedPageBreak/>
        <w:t>Wojewódzki</w:t>
      </w:r>
    </w:p>
    <w:p w:rsidR="00E96768" w:rsidRPr="00E00B35" w:rsidRDefault="00E96768" w:rsidP="00E00B35">
      <w:pPr>
        <w:spacing w:after="0" w:line="312" w:lineRule="auto"/>
        <w:rPr>
          <w:szCs w:val="20"/>
        </w:rPr>
      </w:pPr>
      <w:r w:rsidRPr="00E00B35">
        <w:rPr>
          <w:szCs w:val="20"/>
        </w:rPr>
        <w:t>2017 - 530</w:t>
      </w:r>
    </w:p>
    <w:p w:rsidR="00E96768" w:rsidRPr="00E00B35" w:rsidRDefault="00E96768" w:rsidP="00E00B35">
      <w:pPr>
        <w:spacing w:after="0" w:line="312" w:lineRule="auto"/>
        <w:rPr>
          <w:szCs w:val="20"/>
        </w:rPr>
      </w:pPr>
      <w:r w:rsidRPr="00E00B35">
        <w:rPr>
          <w:szCs w:val="20"/>
        </w:rPr>
        <w:t>2018 - 526</w:t>
      </w:r>
    </w:p>
    <w:p w:rsidR="00E96768" w:rsidRPr="00E00B35" w:rsidRDefault="00E96768" w:rsidP="00E00B35">
      <w:pPr>
        <w:spacing w:after="0" w:line="312" w:lineRule="auto"/>
        <w:rPr>
          <w:szCs w:val="20"/>
        </w:rPr>
      </w:pPr>
      <w:r w:rsidRPr="00E00B35">
        <w:rPr>
          <w:szCs w:val="20"/>
        </w:rPr>
        <w:t>2019 - 483</w:t>
      </w:r>
    </w:p>
    <w:p w:rsidR="00E96768" w:rsidRPr="00E00B35" w:rsidRDefault="00E96768" w:rsidP="00E00B35">
      <w:pPr>
        <w:spacing w:after="0" w:line="312" w:lineRule="auto"/>
        <w:rPr>
          <w:szCs w:val="20"/>
        </w:rPr>
      </w:pPr>
      <w:r w:rsidRPr="00E00B35">
        <w:rPr>
          <w:szCs w:val="20"/>
        </w:rPr>
        <w:t>2020 - 548</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Ogólnopolski</w:t>
      </w:r>
    </w:p>
    <w:p w:rsidR="00E96768" w:rsidRPr="00E00B35" w:rsidRDefault="00E96768" w:rsidP="00E00B35">
      <w:pPr>
        <w:spacing w:after="0" w:line="312" w:lineRule="auto"/>
        <w:rPr>
          <w:szCs w:val="20"/>
        </w:rPr>
      </w:pPr>
      <w:r w:rsidRPr="00E00B35">
        <w:rPr>
          <w:szCs w:val="20"/>
        </w:rPr>
        <w:t>2017 - 108</w:t>
      </w:r>
    </w:p>
    <w:p w:rsidR="00E96768" w:rsidRPr="00E00B35" w:rsidRDefault="00E96768" w:rsidP="00E00B35">
      <w:pPr>
        <w:spacing w:after="0" w:line="312" w:lineRule="auto"/>
        <w:rPr>
          <w:szCs w:val="20"/>
        </w:rPr>
      </w:pPr>
      <w:r w:rsidRPr="00E00B35">
        <w:rPr>
          <w:szCs w:val="20"/>
        </w:rPr>
        <w:t>2018 - 95</w:t>
      </w:r>
    </w:p>
    <w:p w:rsidR="00E96768" w:rsidRPr="00E00B35" w:rsidRDefault="00E96768" w:rsidP="00E00B35">
      <w:pPr>
        <w:spacing w:after="0" w:line="312" w:lineRule="auto"/>
        <w:rPr>
          <w:szCs w:val="20"/>
        </w:rPr>
      </w:pPr>
      <w:r w:rsidRPr="00E00B35">
        <w:rPr>
          <w:szCs w:val="20"/>
        </w:rPr>
        <w:t>2019 - 74</w:t>
      </w:r>
    </w:p>
    <w:p w:rsidR="00E96768" w:rsidRPr="00E00B35" w:rsidRDefault="00E96768" w:rsidP="00E00B35">
      <w:pPr>
        <w:spacing w:after="0" w:line="312" w:lineRule="auto"/>
        <w:rPr>
          <w:szCs w:val="20"/>
        </w:rPr>
      </w:pPr>
      <w:r w:rsidRPr="00E00B35">
        <w:rPr>
          <w:szCs w:val="20"/>
        </w:rPr>
        <w:t>2020 - 141</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Ilość zrealizowanych ogłoszeń wg rodzaju ogłoszeń:</w:t>
      </w:r>
    </w:p>
    <w:p w:rsidR="00E96768" w:rsidRPr="00E00B35" w:rsidRDefault="00E96768" w:rsidP="00E00B35">
      <w:pPr>
        <w:spacing w:after="0" w:line="312" w:lineRule="auto"/>
        <w:rPr>
          <w:szCs w:val="20"/>
        </w:rPr>
      </w:pPr>
      <w:r w:rsidRPr="00E00B35">
        <w:rPr>
          <w:szCs w:val="20"/>
        </w:rPr>
        <w:t>Nekrologi</w:t>
      </w:r>
    </w:p>
    <w:p w:rsidR="00E96768" w:rsidRPr="00E00B35" w:rsidRDefault="00E96768" w:rsidP="00E00B35">
      <w:pPr>
        <w:spacing w:after="0" w:line="312" w:lineRule="auto"/>
        <w:rPr>
          <w:szCs w:val="20"/>
        </w:rPr>
      </w:pPr>
      <w:r w:rsidRPr="00E00B35">
        <w:rPr>
          <w:szCs w:val="20"/>
        </w:rPr>
        <w:t>2017 - 23</w:t>
      </w:r>
    </w:p>
    <w:p w:rsidR="00E96768" w:rsidRPr="00E00B35" w:rsidRDefault="00E96768" w:rsidP="00E00B35">
      <w:pPr>
        <w:spacing w:after="0" w:line="312" w:lineRule="auto"/>
        <w:rPr>
          <w:szCs w:val="20"/>
        </w:rPr>
      </w:pPr>
      <w:r w:rsidRPr="00E00B35">
        <w:rPr>
          <w:szCs w:val="20"/>
        </w:rPr>
        <w:t>2018 - 20</w:t>
      </w:r>
    </w:p>
    <w:p w:rsidR="00E96768" w:rsidRPr="00E00B35" w:rsidRDefault="00E96768" w:rsidP="00E00B35">
      <w:pPr>
        <w:spacing w:after="0" w:line="312" w:lineRule="auto"/>
        <w:rPr>
          <w:szCs w:val="20"/>
        </w:rPr>
      </w:pPr>
      <w:r w:rsidRPr="00E00B35">
        <w:rPr>
          <w:szCs w:val="20"/>
        </w:rPr>
        <w:t>2019 - 41</w:t>
      </w:r>
    </w:p>
    <w:p w:rsidR="00E96768" w:rsidRPr="00E00B35" w:rsidRDefault="00E96768" w:rsidP="00E00B35">
      <w:pPr>
        <w:spacing w:after="0" w:line="312" w:lineRule="auto"/>
        <w:rPr>
          <w:szCs w:val="20"/>
        </w:rPr>
      </w:pPr>
      <w:r w:rsidRPr="00E00B35">
        <w:rPr>
          <w:szCs w:val="20"/>
        </w:rPr>
        <w:t>2020 – 48</w:t>
      </w:r>
    </w:p>
    <w:p w:rsidR="00E96768" w:rsidRPr="00E00B35" w:rsidRDefault="00E96768" w:rsidP="00E00B35">
      <w:pPr>
        <w:spacing w:after="0" w:line="312" w:lineRule="auto"/>
        <w:rPr>
          <w:szCs w:val="20"/>
        </w:rPr>
      </w:pPr>
      <w:r w:rsidRPr="00E00B35">
        <w:rPr>
          <w:szCs w:val="20"/>
        </w:rPr>
        <w:t>Informacje</w:t>
      </w:r>
    </w:p>
    <w:p w:rsidR="00E96768" w:rsidRPr="00E00B35" w:rsidRDefault="00E96768" w:rsidP="00E00B35">
      <w:pPr>
        <w:spacing w:after="0" w:line="312" w:lineRule="auto"/>
        <w:rPr>
          <w:szCs w:val="20"/>
        </w:rPr>
      </w:pPr>
      <w:r w:rsidRPr="00E00B35">
        <w:rPr>
          <w:szCs w:val="20"/>
        </w:rPr>
        <w:t>2017 - 17</w:t>
      </w:r>
    </w:p>
    <w:p w:rsidR="00E96768" w:rsidRPr="00E00B35" w:rsidRDefault="00E96768" w:rsidP="00E00B35">
      <w:pPr>
        <w:spacing w:after="0" w:line="312" w:lineRule="auto"/>
        <w:rPr>
          <w:szCs w:val="20"/>
        </w:rPr>
      </w:pPr>
      <w:r w:rsidRPr="00E00B35">
        <w:rPr>
          <w:szCs w:val="20"/>
        </w:rPr>
        <w:t>2018 - 14</w:t>
      </w:r>
    </w:p>
    <w:p w:rsidR="00E96768" w:rsidRPr="00E00B35" w:rsidRDefault="00E96768" w:rsidP="00E00B35">
      <w:pPr>
        <w:spacing w:after="0" w:line="312" w:lineRule="auto"/>
        <w:rPr>
          <w:szCs w:val="20"/>
        </w:rPr>
      </w:pPr>
      <w:r w:rsidRPr="00E00B35">
        <w:rPr>
          <w:szCs w:val="20"/>
        </w:rPr>
        <w:t>2019 - 18</w:t>
      </w:r>
    </w:p>
    <w:p w:rsidR="00E96768" w:rsidRPr="00E00B35" w:rsidRDefault="00E96768" w:rsidP="00E00B35">
      <w:pPr>
        <w:spacing w:after="0" w:line="312" w:lineRule="auto"/>
        <w:rPr>
          <w:szCs w:val="20"/>
        </w:rPr>
      </w:pPr>
      <w:r w:rsidRPr="00E00B35">
        <w:rPr>
          <w:szCs w:val="20"/>
        </w:rPr>
        <w:t>2020 - 18</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Konkursy</w:t>
      </w:r>
    </w:p>
    <w:p w:rsidR="00E96768" w:rsidRPr="00E00B35" w:rsidRDefault="00E96768" w:rsidP="00E00B35">
      <w:pPr>
        <w:spacing w:after="0" w:line="312" w:lineRule="auto"/>
        <w:rPr>
          <w:szCs w:val="20"/>
        </w:rPr>
      </w:pPr>
      <w:r w:rsidRPr="00E00B35">
        <w:rPr>
          <w:szCs w:val="20"/>
        </w:rPr>
        <w:t>2017 - 4</w:t>
      </w:r>
    </w:p>
    <w:p w:rsidR="00E96768" w:rsidRPr="00E00B35" w:rsidRDefault="00E96768" w:rsidP="00E00B35">
      <w:pPr>
        <w:spacing w:after="0" w:line="312" w:lineRule="auto"/>
        <w:rPr>
          <w:szCs w:val="20"/>
        </w:rPr>
      </w:pPr>
      <w:r w:rsidRPr="00E00B35">
        <w:rPr>
          <w:szCs w:val="20"/>
        </w:rPr>
        <w:t>2018 - 6</w:t>
      </w:r>
    </w:p>
    <w:p w:rsidR="00E96768" w:rsidRPr="00E00B35" w:rsidRDefault="00E96768" w:rsidP="00E00B35">
      <w:pPr>
        <w:spacing w:after="0" w:line="312" w:lineRule="auto"/>
        <w:rPr>
          <w:szCs w:val="20"/>
        </w:rPr>
      </w:pPr>
      <w:r w:rsidRPr="00E00B35">
        <w:rPr>
          <w:szCs w:val="20"/>
        </w:rPr>
        <w:t>2019 - 2</w:t>
      </w:r>
    </w:p>
    <w:p w:rsidR="00E96768" w:rsidRPr="00E00B35" w:rsidRDefault="00E96768" w:rsidP="00E00B35">
      <w:pPr>
        <w:spacing w:after="0" w:line="312" w:lineRule="auto"/>
        <w:rPr>
          <w:szCs w:val="20"/>
        </w:rPr>
      </w:pPr>
      <w:r w:rsidRPr="00E00B35">
        <w:rPr>
          <w:szCs w:val="20"/>
        </w:rPr>
        <w:t>2020 - 6</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Obwieszczenia</w:t>
      </w:r>
    </w:p>
    <w:p w:rsidR="00E96768" w:rsidRPr="00E00B35" w:rsidRDefault="00E96768" w:rsidP="00E00B35">
      <w:pPr>
        <w:spacing w:after="0" w:line="312" w:lineRule="auto"/>
        <w:rPr>
          <w:szCs w:val="20"/>
        </w:rPr>
      </w:pPr>
      <w:r w:rsidRPr="00E00B35">
        <w:rPr>
          <w:szCs w:val="20"/>
        </w:rPr>
        <w:t>2017 - 135</w:t>
      </w:r>
    </w:p>
    <w:p w:rsidR="00E96768" w:rsidRPr="00E00B35" w:rsidRDefault="00E96768" w:rsidP="00E00B35">
      <w:pPr>
        <w:spacing w:after="0" w:line="312" w:lineRule="auto"/>
        <w:rPr>
          <w:szCs w:val="20"/>
        </w:rPr>
      </w:pPr>
      <w:r w:rsidRPr="00E00B35">
        <w:rPr>
          <w:szCs w:val="20"/>
        </w:rPr>
        <w:t>2018 - 217</w:t>
      </w:r>
    </w:p>
    <w:p w:rsidR="00E96768" w:rsidRPr="00E00B35" w:rsidRDefault="00E96768" w:rsidP="00E00B35">
      <w:pPr>
        <w:spacing w:after="0" w:line="312" w:lineRule="auto"/>
        <w:rPr>
          <w:szCs w:val="20"/>
        </w:rPr>
      </w:pPr>
      <w:r w:rsidRPr="00E00B35">
        <w:rPr>
          <w:szCs w:val="20"/>
        </w:rPr>
        <w:t>2019 - 192</w:t>
      </w:r>
    </w:p>
    <w:p w:rsidR="00E96768" w:rsidRPr="00E00B35" w:rsidRDefault="00E96768" w:rsidP="00E00B35">
      <w:pPr>
        <w:spacing w:after="0" w:line="312" w:lineRule="auto"/>
        <w:rPr>
          <w:szCs w:val="20"/>
        </w:rPr>
      </w:pPr>
      <w:r w:rsidRPr="00E00B35">
        <w:rPr>
          <w:szCs w:val="20"/>
        </w:rPr>
        <w:t>2020 - 194</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Przetargi</w:t>
      </w:r>
    </w:p>
    <w:p w:rsidR="00E96768" w:rsidRPr="00E00B35" w:rsidRDefault="00E96768" w:rsidP="00E00B35">
      <w:pPr>
        <w:spacing w:after="0" w:line="312" w:lineRule="auto"/>
        <w:rPr>
          <w:szCs w:val="20"/>
        </w:rPr>
      </w:pPr>
      <w:r w:rsidRPr="00E00B35">
        <w:rPr>
          <w:szCs w:val="20"/>
        </w:rPr>
        <w:t>2017 - 612</w:t>
      </w:r>
    </w:p>
    <w:p w:rsidR="00E96768" w:rsidRPr="00E00B35" w:rsidRDefault="00E96768" w:rsidP="00E00B35">
      <w:pPr>
        <w:spacing w:after="0" w:line="312" w:lineRule="auto"/>
        <w:rPr>
          <w:szCs w:val="20"/>
        </w:rPr>
      </w:pPr>
      <w:r w:rsidRPr="00E00B35">
        <w:rPr>
          <w:szCs w:val="20"/>
        </w:rPr>
        <w:t>2018 - 549</w:t>
      </w:r>
    </w:p>
    <w:p w:rsidR="00E96768" w:rsidRPr="00E00B35" w:rsidRDefault="00E96768" w:rsidP="00E00B35">
      <w:pPr>
        <w:spacing w:after="0" w:line="312" w:lineRule="auto"/>
        <w:rPr>
          <w:szCs w:val="20"/>
        </w:rPr>
      </w:pPr>
      <w:r w:rsidRPr="00E00B35">
        <w:rPr>
          <w:szCs w:val="20"/>
        </w:rPr>
        <w:t>2019 - 485</w:t>
      </w:r>
    </w:p>
    <w:p w:rsidR="00E96768" w:rsidRPr="00E00B35" w:rsidRDefault="00E96768" w:rsidP="00E00B35">
      <w:pPr>
        <w:spacing w:after="0" w:line="312" w:lineRule="auto"/>
        <w:rPr>
          <w:szCs w:val="20"/>
        </w:rPr>
      </w:pPr>
      <w:r w:rsidRPr="00E00B35">
        <w:rPr>
          <w:szCs w:val="20"/>
        </w:rPr>
        <w:t>2020 - 602</w:t>
      </w:r>
    </w:p>
    <w:p w:rsidR="00E96768" w:rsidRPr="00E00B35" w:rsidRDefault="00815F93" w:rsidP="00E00B35">
      <w:pPr>
        <w:pStyle w:val="Nagwek5"/>
        <w:rPr>
          <w:szCs w:val="20"/>
        </w:rPr>
      </w:pPr>
      <w:r w:rsidRPr="00E00B35">
        <w:rPr>
          <w:szCs w:val="20"/>
        </w:rPr>
        <w:lastRenderedPageBreak/>
        <w:br/>
      </w:r>
      <w:r w:rsidR="00E96768" w:rsidRPr="00E00B35">
        <w:rPr>
          <w:szCs w:val="20"/>
        </w:rPr>
        <w:t>BHP</w:t>
      </w:r>
    </w:p>
    <w:p w:rsidR="00E96768" w:rsidRPr="00E00B35" w:rsidRDefault="00E96768" w:rsidP="00E00B35">
      <w:pPr>
        <w:spacing w:after="0" w:line="312" w:lineRule="auto"/>
        <w:rPr>
          <w:szCs w:val="20"/>
        </w:rPr>
      </w:pPr>
      <w:r w:rsidRPr="00E00B35">
        <w:rPr>
          <w:szCs w:val="20"/>
        </w:rPr>
        <w:t xml:space="preserve">W 2020 roku zgodnie z Zarządzeniem nr K/49/18 Prezydenta Wrocławia z dnia 28 grudnia 2018 roku dofinansowano zakup okularów korygujących wzrok 263 pracownikom UM zatrudnionym na stanowiskach z monitorami ekranowymi. </w:t>
      </w:r>
    </w:p>
    <w:p w:rsidR="00E96768" w:rsidRPr="00E00B35" w:rsidRDefault="00E96768" w:rsidP="00E00B35">
      <w:pPr>
        <w:spacing w:after="0" w:line="312" w:lineRule="auto"/>
        <w:rPr>
          <w:szCs w:val="20"/>
        </w:rPr>
      </w:pPr>
      <w:r w:rsidRPr="00E00B35">
        <w:rPr>
          <w:szCs w:val="20"/>
        </w:rPr>
        <w:t>Dofinansowanie zakupu okularów korygujących wzrok dla pracowników Urzędu Miejskiego zatrudnionych na stanowiskach z monitorami ekranowymi.</w:t>
      </w:r>
    </w:p>
    <w:p w:rsidR="00E96768" w:rsidRPr="00E00B35" w:rsidRDefault="00E96768" w:rsidP="00E00B35">
      <w:pPr>
        <w:spacing w:after="0" w:line="312" w:lineRule="auto"/>
        <w:rPr>
          <w:szCs w:val="20"/>
        </w:rPr>
      </w:pPr>
      <w:r w:rsidRPr="00E00B35">
        <w:rPr>
          <w:szCs w:val="20"/>
        </w:rPr>
        <w:t>Ilość pracowników:</w:t>
      </w:r>
    </w:p>
    <w:p w:rsidR="00E96768" w:rsidRPr="00E00B35" w:rsidRDefault="00E96768" w:rsidP="00E00B35">
      <w:pPr>
        <w:spacing w:after="0" w:line="312" w:lineRule="auto"/>
        <w:rPr>
          <w:szCs w:val="20"/>
        </w:rPr>
      </w:pPr>
      <w:r w:rsidRPr="00E00B35">
        <w:rPr>
          <w:szCs w:val="20"/>
        </w:rPr>
        <w:t>2017 - 189</w:t>
      </w:r>
    </w:p>
    <w:p w:rsidR="00E96768" w:rsidRPr="00E00B35" w:rsidRDefault="00E96768" w:rsidP="00E00B35">
      <w:pPr>
        <w:spacing w:after="0" w:line="312" w:lineRule="auto"/>
        <w:rPr>
          <w:szCs w:val="20"/>
        </w:rPr>
      </w:pPr>
      <w:r w:rsidRPr="00E00B35">
        <w:rPr>
          <w:szCs w:val="20"/>
        </w:rPr>
        <w:t>2018 - 220</w:t>
      </w:r>
    </w:p>
    <w:p w:rsidR="00E96768" w:rsidRPr="00E00B35" w:rsidRDefault="00E96768" w:rsidP="00E00B35">
      <w:pPr>
        <w:spacing w:after="0" w:line="312" w:lineRule="auto"/>
        <w:rPr>
          <w:szCs w:val="20"/>
        </w:rPr>
      </w:pPr>
      <w:r w:rsidRPr="00E00B35">
        <w:rPr>
          <w:szCs w:val="20"/>
        </w:rPr>
        <w:t>2019 - 430</w:t>
      </w:r>
    </w:p>
    <w:p w:rsidR="00E96768" w:rsidRPr="00E00B35" w:rsidRDefault="00E96768" w:rsidP="00E00B35">
      <w:pPr>
        <w:spacing w:after="0" w:line="312" w:lineRule="auto"/>
        <w:rPr>
          <w:szCs w:val="20"/>
        </w:rPr>
      </w:pPr>
      <w:r w:rsidRPr="00E00B35">
        <w:rPr>
          <w:szCs w:val="20"/>
        </w:rPr>
        <w:t>2020 - 263</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Wartość brutto</w:t>
      </w:r>
    </w:p>
    <w:p w:rsidR="00E96768" w:rsidRPr="00E00B35" w:rsidRDefault="00E96768" w:rsidP="00E00B35">
      <w:pPr>
        <w:spacing w:after="0" w:line="312" w:lineRule="auto"/>
        <w:rPr>
          <w:szCs w:val="20"/>
        </w:rPr>
      </w:pPr>
      <w:r w:rsidRPr="00E00B35">
        <w:rPr>
          <w:szCs w:val="20"/>
        </w:rPr>
        <w:t>2017 – 63 377</w:t>
      </w:r>
    </w:p>
    <w:p w:rsidR="00E96768" w:rsidRPr="00E00B35" w:rsidRDefault="00E96768" w:rsidP="00E00B35">
      <w:pPr>
        <w:spacing w:after="0" w:line="312" w:lineRule="auto"/>
        <w:rPr>
          <w:szCs w:val="20"/>
        </w:rPr>
      </w:pPr>
      <w:r w:rsidRPr="00E00B35">
        <w:rPr>
          <w:szCs w:val="20"/>
        </w:rPr>
        <w:t>2018 – 72 939</w:t>
      </w:r>
    </w:p>
    <w:p w:rsidR="00E96768" w:rsidRPr="00E00B35" w:rsidRDefault="00E96768" w:rsidP="00E00B35">
      <w:pPr>
        <w:spacing w:after="0" w:line="312" w:lineRule="auto"/>
        <w:rPr>
          <w:szCs w:val="20"/>
        </w:rPr>
      </w:pPr>
      <w:r w:rsidRPr="00E00B35">
        <w:rPr>
          <w:szCs w:val="20"/>
        </w:rPr>
        <w:t>2019 – 148 833</w:t>
      </w:r>
    </w:p>
    <w:p w:rsidR="00E96768" w:rsidRPr="00E00B35" w:rsidRDefault="00E96768" w:rsidP="00E00B35">
      <w:pPr>
        <w:spacing w:after="0" w:line="312" w:lineRule="auto"/>
        <w:rPr>
          <w:szCs w:val="20"/>
        </w:rPr>
      </w:pPr>
      <w:r w:rsidRPr="00E00B35">
        <w:rPr>
          <w:szCs w:val="20"/>
        </w:rPr>
        <w:t>2020 – 91 356</w:t>
      </w:r>
    </w:p>
    <w:p w:rsidR="00E96768" w:rsidRPr="00E00B35" w:rsidRDefault="00E96768" w:rsidP="00E00B35">
      <w:pPr>
        <w:spacing w:after="0" w:line="312" w:lineRule="auto"/>
        <w:rPr>
          <w:szCs w:val="20"/>
        </w:rPr>
      </w:pPr>
      <w:r w:rsidRPr="00E00B35">
        <w:rPr>
          <w:szCs w:val="20"/>
        </w:rPr>
        <w:t xml:space="preserve">W 2020 roku zgodnie z Zarządzeniem nr K/38/19 Prezydenta Wrocławia z dnia 31 grudnia 2019 roku zmieniające Zarządzenie nr K/8/17 Prezydenta Wrocławia z dnia 24 stycznia 2017 roku wyposażono pracowników UM w środki ochrony indywidualnej oraz odzież i obuwie robocze. </w:t>
      </w:r>
    </w:p>
    <w:p w:rsidR="00E96768" w:rsidRPr="00E00B35" w:rsidRDefault="00815F93" w:rsidP="00E00B35">
      <w:pPr>
        <w:pStyle w:val="Nagwek5"/>
        <w:rPr>
          <w:szCs w:val="20"/>
        </w:rPr>
      </w:pPr>
      <w:r w:rsidRPr="00E00B35">
        <w:rPr>
          <w:szCs w:val="20"/>
        </w:rPr>
        <w:br/>
      </w:r>
      <w:r w:rsidR="00E96768" w:rsidRPr="00E00B35">
        <w:rPr>
          <w:szCs w:val="20"/>
        </w:rPr>
        <w:t>UBEZPIECZENIA</w:t>
      </w:r>
    </w:p>
    <w:p w:rsidR="00E96768" w:rsidRPr="00E00B35" w:rsidRDefault="00E96768" w:rsidP="00E00B35">
      <w:pPr>
        <w:spacing w:after="0" w:line="312" w:lineRule="auto"/>
        <w:rPr>
          <w:szCs w:val="20"/>
        </w:rPr>
      </w:pPr>
      <w:r w:rsidRPr="00E00B35">
        <w:rPr>
          <w:szCs w:val="20"/>
        </w:rPr>
        <w:t>W latach 2017 – 2020 Gmina Wrocław realizowała strategię kompleksowego zabezpieczenia mienia i interesów majątkowych wszystkich jednostek organizacyjnych oraz instytucji kultury. W ramach przyjętej polityki ubezpieczeniowej Gmina Wrocław zawarła umowy ubezpieczenia w podziale na grupy jednostek Gminy lub (w przypadku ubezpieczenia odpowiedzialności cywilnej) na rodzaj zadań realizowanych przez Gminę:</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ZADANIE NR 1 - ubezpieczenie mienia Urzędu Miasta Wrocławia i innych jednostek organizacyjnych Gminy Wrocław (z wyłączeniem mienia którym dysponują jednostki oświatowe, pomocy społecznej, opieki zdrowotnej, instytucje kultury oraz mienia komunalnego,</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ZADANIE NR 2 - ubezpieczenie mienia instytucji kultury oraz jednostek pomocy społecznej,</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ZADANIE NR 3 - ubezpieczenie mienia jednostek oświatowych,</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ZADANIE NR 4 – ubezpieczenie odpowiedzialności cywilnej Gminy Wrocław z tytułu prowadzonej działalności oraz posiadania mienia,</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ZADANIE NR 5 - ubezpieczenie odpowiedzialności cywilnej w związku z zarządzeniem i administrowaniem drogami i zielenią miejską,</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ZADANIE NR 6 - ubezpieczenie mienia komunalnego oraz odpowiedzialności cywilnej z tytułu zarządzania zasobem komunalnym,</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lastRenderedPageBreak/>
        <w:t>ZADANIE NR 7 – ubezpieczenia komunikacyjne wszystkich jednostek organizacyjnych i instytucji kultury.</w:t>
      </w:r>
    </w:p>
    <w:p w:rsidR="00E96768" w:rsidRPr="00E00B35" w:rsidRDefault="00E96768" w:rsidP="00E00B35">
      <w:pPr>
        <w:spacing w:after="0" w:line="312" w:lineRule="auto"/>
        <w:rPr>
          <w:szCs w:val="20"/>
        </w:rPr>
      </w:pPr>
      <w:r w:rsidRPr="00E00B35">
        <w:rPr>
          <w:szCs w:val="20"/>
        </w:rPr>
        <w:t>Podział umów ubezpieczenia na wyżej wymienione zadania wynika z celu jaki Gmina realizuje w długim okresie tj. zwiększenie konkurencyjności w postępowaniach publicznych na wybór Ubezpieczycieli. Efektem wprowadzonego rozwiązania jest  zwiększenie zainteresowania ubezpieczycieli w postępowaniach przetargowych na ubezpieczenie Gminy Wrocław – we wszystkich zadaniach złożono po 2 - 3 oferty ubezpieczenia, również w postępowaniach przetargowych przeprowadzonych w 2020 roku.</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b/>
          <w:szCs w:val="20"/>
        </w:rPr>
      </w:pPr>
      <w:r w:rsidRPr="00E00B35">
        <w:rPr>
          <w:b/>
          <w:szCs w:val="20"/>
        </w:rPr>
        <w:t>Efekty funkcjonowania programu ubezpieczenia – korzyści dla Gminy:</w:t>
      </w:r>
    </w:p>
    <w:p w:rsidR="00E96768" w:rsidRPr="00E00B35" w:rsidRDefault="00E96768" w:rsidP="00E00B35">
      <w:pPr>
        <w:spacing w:after="0" w:line="312" w:lineRule="auto"/>
        <w:contextualSpacing/>
        <w:rPr>
          <w:szCs w:val="20"/>
        </w:rPr>
      </w:pPr>
      <w:r w:rsidRPr="00E00B35">
        <w:rPr>
          <w:szCs w:val="20"/>
        </w:rPr>
        <w:t>Zawarcie umów ubezpieczenia w wyżej wymienionym kształcie umożliwiło realizację przyjętych celów:</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Utrzymanie korzystnych warunków ubezpieczenia Gminy Wrocław oraz zwiększenie zakresu udzielanej ochrony ubezpieczeniowej.</w:t>
      </w:r>
    </w:p>
    <w:p w:rsidR="00E96768" w:rsidRPr="00E00B35" w:rsidRDefault="00E96768" w:rsidP="00E00B35">
      <w:pPr>
        <w:pStyle w:val="Akapitzlist"/>
        <w:spacing w:after="0" w:line="312" w:lineRule="auto"/>
        <w:ind w:left="567"/>
        <w:rPr>
          <w:rFonts w:cs="Helv"/>
          <w:color w:val="000000"/>
          <w:szCs w:val="20"/>
        </w:rPr>
      </w:pPr>
      <w:r w:rsidRPr="00E00B35">
        <w:rPr>
          <w:rFonts w:cs="Helv"/>
          <w:color w:val="000000"/>
          <w:szCs w:val="20"/>
        </w:rPr>
        <w:t xml:space="preserve">W tym zakresie w szczególności należy zwrócić uwagę na ubezpieczenie ryzyka powodzi. W latach 2017 -2020 łączny limit odpowiedzialności ubezpieczycieli dla tego ryzyka wynosił 200 mln zł w każdym rocznym okresie ubezpieczenia (w ramach 4 zadań ubezpieczenia mienia limit odpowiedzialności dla każdej z tych części wynosił 50 mln zł). </w:t>
      </w:r>
    </w:p>
    <w:p w:rsidR="00E96768" w:rsidRPr="00E00B35" w:rsidRDefault="00E96768" w:rsidP="00E00B35">
      <w:pPr>
        <w:pStyle w:val="Akapitzlist"/>
        <w:spacing w:after="0" w:line="312" w:lineRule="auto"/>
        <w:ind w:left="567"/>
        <w:rPr>
          <w:rFonts w:cs="Helv"/>
          <w:color w:val="000000"/>
          <w:szCs w:val="20"/>
        </w:rPr>
      </w:pPr>
      <w:r w:rsidRPr="00E00B35">
        <w:rPr>
          <w:rFonts w:cs="Helv"/>
          <w:color w:val="000000"/>
          <w:szCs w:val="20"/>
        </w:rPr>
        <w:t xml:space="preserve">W wyniku przeprowadzonego w 2020 roku postępowania przetargowego na ubezpieczenia mienia zwiększeniu uległ stopień zabezpieczenia mienia na skutek powodzi o 40% tj. w ramach programu ubezpieczeniowego, który będzie realizowany w kolejnych latach, łączny limit dla ww. ryzyka będzie wynosił </w:t>
      </w:r>
      <w:r w:rsidRPr="00E00B35">
        <w:rPr>
          <w:rFonts w:cs="Helv"/>
          <w:color w:val="000000"/>
          <w:szCs w:val="20"/>
        </w:rPr>
        <w:br/>
        <w:t>280 mln zł w okresie rocznym.</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Zwiększenie zakresu ubezpieczenia majątku. </w:t>
      </w:r>
    </w:p>
    <w:p w:rsidR="00E96768" w:rsidRPr="00E00B35" w:rsidRDefault="00E96768" w:rsidP="00E00B35">
      <w:pPr>
        <w:pStyle w:val="Akapitzlist"/>
        <w:spacing w:after="0" w:line="312" w:lineRule="auto"/>
        <w:ind w:left="567"/>
        <w:rPr>
          <w:rFonts w:cs="Helv"/>
          <w:color w:val="000000"/>
          <w:szCs w:val="20"/>
        </w:rPr>
      </w:pPr>
      <w:r w:rsidRPr="00E00B35">
        <w:rPr>
          <w:rFonts w:cs="Helv"/>
          <w:color w:val="000000"/>
          <w:szCs w:val="20"/>
        </w:rPr>
        <w:t xml:space="preserve">Mimo utrzymywania w latach 2017-2020 szerokiego zakresu ubezpieczenia mienia od ryzyk żywiołowych majątku gminnego, na skutek rozstrzygniętego postępowania na ubezpieczenia w kolejnych latach, uzyskano dodatkowe rozszerzenia zakresu ubezpieczenia, bez konieczności ponoszenia dodatkowych kosztów. Zmianie uległa konstrukcja ubezpieczenia mienia z ryzyk nazwanych na  konstrukcję all risks. Zakres ubezpieczenia w systemie all risks charakteryzuje się szerszym zakresem </w:t>
      </w:r>
      <w:r w:rsidRPr="00E00B35">
        <w:rPr>
          <w:rFonts w:cs="Helv"/>
          <w:color w:val="000000"/>
          <w:szCs w:val="20"/>
        </w:rPr>
        <w:br/>
        <w:t>i dogodniejszym dla Ubezpieczonego procesem dochodzenia roszczeń.</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Urealnienie wartości nieruchomości zgłoszonych do ubezpieczenia mienia.</w:t>
      </w:r>
    </w:p>
    <w:p w:rsidR="00E96768" w:rsidRPr="00E00B35" w:rsidRDefault="00E96768" w:rsidP="00E00B35">
      <w:pPr>
        <w:pStyle w:val="Akapitzlist"/>
        <w:spacing w:after="0" w:line="312" w:lineRule="auto"/>
        <w:ind w:left="567"/>
        <w:rPr>
          <w:rFonts w:cs="Helv"/>
          <w:color w:val="000000"/>
          <w:szCs w:val="20"/>
        </w:rPr>
      </w:pPr>
      <w:r w:rsidRPr="00E00B35">
        <w:rPr>
          <w:rFonts w:cs="Helv"/>
          <w:color w:val="000000"/>
          <w:szCs w:val="20"/>
        </w:rPr>
        <w:t xml:space="preserve">W toku przeprowadzonego w 2020 roku postępowania przetargowego na ubezpieczenie majątku Gminy Wrocław urealniono wartość mienia zgłaszanego do ubezpieczenia w kolejnych latach, w szczególności w odniesieniu do zasobu komunalnego, mienia jednostek oświatowych a także innych kluczowych obiektów Gminnych. Konieczność przeszacowania wartości kluczowego dla Gminy Wrocław mienia podyktowana jest faktem rosnących kosztów odtworzenia majątku po szkodzie. Na skutek dokonanych przeszacowań łączna suma ubezpieczenia (wartość całego majątku gminnego w zadaniach 1, 2, 3 i 6) zwiększyła się o ponad 30% w porównaniu do lat poprzednich, co w żaden sposób nie przyczyniło się do </w:t>
      </w:r>
      <w:r w:rsidRPr="00E00B35">
        <w:rPr>
          <w:rFonts w:cs="Helv"/>
          <w:color w:val="000000"/>
          <w:szCs w:val="20"/>
        </w:rPr>
        <w:lastRenderedPageBreak/>
        <w:t xml:space="preserve">zwiększenia kosztów ochrony ubezpieczeniowej. Mimo istotnego wzrostu wartości mienia, koszty ubezpieczeniowe za ubezpieczenie majątku spadły o ponad 10% w stosunku do roku poprzedniego. </w:t>
      </w:r>
    </w:p>
    <w:p w:rsidR="00E96768" w:rsidRPr="00E00B35" w:rsidRDefault="00E96768" w:rsidP="00E00B35">
      <w:pPr>
        <w:pStyle w:val="Akapitzlist"/>
        <w:spacing w:after="0" w:line="312" w:lineRule="auto"/>
        <w:ind w:left="567"/>
        <w:rPr>
          <w:rFonts w:cs="Helv"/>
          <w:color w:val="000000"/>
          <w:szCs w:val="20"/>
        </w:rPr>
      </w:pPr>
      <w:r w:rsidRPr="00E00B35">
        <w:rPr>
          <w:szCs w:val="20"/>
        </w:rPr>
        <w:t xml:space="preserve">Jednocześnie program </w:t>
      </w:r>
      <w:r w:rsidRPr="00E00B35">
        <w:rPr>
          <w:rFonts w:cs="Helv"/>
          <w:color w:val="000000"/>
          <w:szCs w:val="20"/>
        </w:rPr>
        <w:t>ubezpieczenia Gminy Wrocław obejmuje automatyczną ochroną wzrost wartości mienia na skutek realizowanych inwestycji/ modernizacji. Dzięki właściwej konstrukcji ubezpieczenia, mienie ubezpieczone jest od chwili przejścia ryzyka na Gminę Wrocław. Nowe inwestycje skutkują wzrostem sumy ubezpieczenia (łącznej sumy ubezpieczenia) w przedziale od 1-5% rocznie.</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Sprawny proces obsługi ubezpieczenia i odciążenie jednostek Gminy w tym zakresie.</w:t>
      </w:r>
    </w:p>
    <w:p w:rsidR="00E96768" w:rsidRPr="00E00B35" w:rsidRDefault="00E96768" w:rsidP="00E00B35">
      <w:pPr>
        <w:pStyle w:val="Akapitzlist"/>
        <w:spacing w:after="0" w:line="312" w:lineRule="auto"/>
        <w:ind w:left="567"/>
        <w:rPr>
          <w:rFonts w:cs="Helv"/>
          <w:color w:val="000000"/>
          <w:szCs w:val="20"/>
        </w:rPr>
      </w:pPr>
      <w:r w:rsidRPr="00E00B35">
        <w:rPr>
          <w:rFonts w:cs="Helv"/>
          <w:color w:val="000000"/>
          <w:szCs w:val="20"/>
        </w:rPr>
        <w:t>Program ubezpieczenia usprawnia proces zbierania danych do ubezpieczenia oraz jak największe ograniczenie obowiązków związanych z przekazywaniem danych odnośnie wartości majątku poszczególnych jednostek Gminy. Umowy ubezpieczenia zawierają rozwiązanie zgodnie z którym aktualizacja wartości ubezpieczanego majątku następuje tylko raz w roku, co w znaczny sposób odciąży jednostki Gminy w zakresie prac związanych z administrowaniem ubezpieczeniem. Zbieranie danych do ubezpieczenia odbywa się w formie elektronicznej, za pomocą prostych w obsłudze ankiet internetowych.</w:t>
      </w:r>
    </w:p>
    <w:p w:rsidR="00E96768" w:rsidRPr="00E00B35" w:rsidRDefault="00E96768" w:rsidP="00E00B35">
      <w:pPr>
        <w:pStyle w:val="Akapitzlist"/>
        <w:spacing w:after="0" w:line="312" w:lineRule="auto"/>
        <w:ind w:left="567"/>
        <w:rPr>
          <w:rFonts w:cs="Helv"/>
          <w:color w:val="000000"/>
          <w:szCs w:val="20"/>
        </w:rPr>
      </w:pPr>
      <w:r w:rsidRPr="00E00B35">
        <w:rPr>
          <w:rFonts w:cs="Helv"/>
          <w:color w:val="000000"/>
          <w:szCs w:val="20"/>
        </w:rPr>
        <w:t>Ułatwieniu i usprawnieniu działalności jednostek służy także EIB IMS (Insurance Management System®), który stanowi elektroniczną platformę do obsługi programu ubezpieczenia, w tym zgłaszania szkód. Program umożliwia także bieżącą kontrolę i nadzór nad realizacją programu ubezpieczenia, w tym podgląd procesu likwidacji szkód poprzez m.in. możliwość generowania statystyk szkodowych.</w:t>
      </w:r>
    </w:p>
    <w:p w:rsidR="00E96768" w:rsidRPr="00E00B35" w:rsidRDefault="00E96768" w:rsidP="00E00B35">
      <w:pPr>
        <w:spacing w:after="0" w:line="312" w:lineRule="auto"/>
        <w:rPr>
          <w:rFonts w:cs="Helv"/>
          <w:color w:val="000000"/>
          <w:szCs w:val="20"/>
        </w:rPr>
      </w:pPr>
      <w:r w:rsidRPr="00E00B35">
        <w:rPr>
          <w:rFonts w:cs="Helv"/>
          <w:color w:val="000000"/>
          <w:szCs w:val="20"/>
        </w:rPr>
        <w:t>Dodatkowo w okresie 2017 - 2020 w ramach obowiązującej w Gminie Wrocław polityki ubezpieczeniowej konsorcjum brokerskie realizowało następujące czynności:</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Przeprowadzenie postępowań publicznych na nowy okres w zakresie ubezpieczeń komunikacyjnych oraz ubezpieczenia mienia i OC.</w:t>
      </w:r>
    </w:p>
    <w:p w:rsidR="00E96768" w:rsidRPr="00E00B35" w:rsidRDefault="00E96768" w:rsidP="00E00B35">
      <w:pPr>
        <w:pStyle w:val="Akapitzlist"/>
        <w:spacing w:after="0" w:line="312" w:lineRule="auto"/>
        <w:ind w:left="567"/>
        <w:rPr>
          <w:rFonts w:cs="Helv"/>
          <w:color w:val="000000"/>
          <w:szCs w:val="20"/>
        </w:rPr>
      </w:pPr>
      <w:r w:rsidRPr="00E00B35">
        <w:rPr>
          <w:rFonts w:cs="Helv"/>
          <w:color w:val="000000"/>
          <w:szCs w:val="20"/>
        </w:rPr>
        <w:t>W wyniku przeprowadzonych postępowania przetargowego na ubezpieczenia mienia i OC uzyskano istotnie szerszy zakres ubezpieczenia oraz znacząco urealniono wartość majątku gminnego zachowując przy tym koszty na tym samym poziomie. Z kolei w rozstrzygniętym postępowaniu na ubezpieczenia komunikacyjne Gmina osiągnęła oszczędności w wysokości 30% poprzednio wydatkowych środków pieniężnych.</w:t>
      </w:r>
    </w:p>
    <w:p w:rsidR="00E96768" w:rsidRPr="00E00B35" w:rsidRDefault="00E96768" w:rsidP="00E00B35">
      <w:pPr>
        <w:pStyle w:val="Akapitzlist"/>
        <w:spacing w:after="0" w:line="312" w:lineRule="auto"/>
        <w:ind w:left="567"/>
        <w:rPr>
          <w:rFonts w:cs="Helv"/>
          <w:color w:val="000000"/>
          <w:szCs w:val="20"/>
        </w:rPr>
      </w:pPr>
      <w:r w:rsidRPr="00E00B35">
        <w:rPr>
          <w:rFonts w:cs="Helv"/>
          <w:color w:val="000000"/>
          <w:szCs w:val="20"/>
        </w:rPr>
        <w:t>Ponadto należy wskazać, że zarówno postępowanie na ubezpieczenia komunikacyjne jak  i postępowanie na ubezpieczenie mienia i OC cieszyło się zainteresowaniem ze strony Wykonawców. Praktycznie w każdej z części zamówienia uzyskano od 2 do 3 ofert, co świadczy o konkurencyjności prowadzonych przetargów.</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Szkolenia wdrożeniowe przedstawiające program ubezpieczenia oraz zasady likwidacji szkód.</w:t>
      </w:r>
    </w:p>
    <w:p w:rsidR="00E96768" w:rsidRPr="00E00B35" w:rsidRDefault="00E96768" w:rsidP="00E00B35">
      <w:pPr>
        <w:pStyle w:val="Akapitzlist"/>
        <w:spacing w:after="0" w:line="312" w:lineRule="auto"/>
        <w:ind w:left="567"/>
        <w:rPr>
          <w:rFonts w:cs="Helv"/>
          <w:color w:val="000000"/>
          <w:szCs w:val="20"/>
        </w:rPr>
      </w:pPr>
      <w:r w:rsidRPr="00E00B35">
        <w:rPr>
          <w:rFonts w:cs="Helv"/>
          <w:color w:val="000000"/>
          <w:szCs w:val="20"/>
        </w:rPr>
        <w:t xml:space="preserve">Przeprowadzono szereg spotkań szkoleniowych dla pracowników poszczególnych jednostek Gminy, których celem było przybliżenie warunków programu ubezpieczenia, w tym przedmiotu i zakresu ubezpieczenia oraz przedstawienie </w:t>
      </w:r>
      <w:r w:rsidRPr="00E00B35">
        <w:rPr>
          <w:rFonts w:cs="Helv"/>
          <w:color w:val="000000"/>
          <w:szCs w:val="20"/>
        </w:rPr>
        <w:lastRenderedPageBreak/>
        <w:t>procedur i zasad likwidacji szkód. Spotkania te przybliżyły także rolę brokera w postępowaniu likwidacyjnym oraz obowiązki ubezpieczonego w wypadku wystąpienia szkody. Celem szkoleń było zapewnienie, aby należne Gminie Wrocław odszkodowania były dochodzone w pełnej wysokości i jak najszybszym czasie. Podczas spotkań uwrażliwiono również uczestników, jakie problemy mogą się pojawić w procesie likwidacji szkód i jak można im zaradzić. W przeprowadzonych szkoleniach uczestniczyli pracownicy komórek organizacyjnych UMW oraz jednostek organizacyjnych Gminy.</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Doradztwo prawne dotyczące zapisów ubezpieczeniowych w procesie przygotowywania umów z Kontrahentami Gminy Wrocław.</w:t>
      </w:r>
    </w:p>
    <w:p w:rsidR="00E96768" w:rsidRPr="00E00B35" w:rsidRDefault="00E96768" w:rsidP="00E00B35">
      <w:pPr>
        <w:pStyle w:val="Akapitzlist"/>
        <w:spacing w:after="0" w:line="312" w:lineRule="auto"/>
        <w:ind w:left="567"/>
        <w:rPr>
          <w:rFonts w:cs="Helv"/>
          <w:color w:val="000000"/>
          <w:szCs w:val="20"/>
        </w:rPr>
      </w:pPr>
      <w:r w:rsidRPr="00E00B35">
        <w:rPr>
          <w:rFonts w:cs="Helv"/>
          <w:color w:val="000000"/>
          <w:szCs w:val="20"/>
        </w:rPr>
        <w:t>Konsorcjum brokerskie opracowało propozycje zapisów ubezpieczeniowych na potrzeby umów najmu lokali użytkowych Gminy Wrocław oraz prowadzono bieżące konsultacje zapisów ubezpieczeniowych w innych dziedzinach (w szczególności dotyczących prowadzonych na rzecz Gminy Wrocław prac budowlanych). Celem wprowadzonych rozwiązań było zwiększenie poziomu bezpieczeństwa majątku Gminy oraz wprowadzenie obowiązków ubezpieczeniowych dla Wykonawców, tak aby w razie ewentualnych zdarzeń szkodowych nie obciążać rachunku szkodowego Gminy i nie powodować ewentualnego wzrostu ceny za usługi ubezpieczeniowe w kolejnych okresach.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Odnowienie innych </w:t>
      </w:r>
      <w:r w:rsidRPr="00E00B35">
        <w:rPr>
          <w:rFonts w:cs="Helv"/>
          <w:color w:val="000000"/>
          <w:szCs w:val="20"/>
        </w:rPr>
        <w:t>umów</w:t>
      </w:r>
      <w:r w:rsidRPr="00E00B35">
        <w:rPr>
          <w:szCs w:val="20"/>
        </w:rPr>
        <w:t xml:space="preserve"> ubezpieczenia.</w:t>
      </w:r>
    </w:p>
    <w:p w:rsidR="00E96768" w:rsidRPr="00E00B35" w:rsidRDefault="00E96768" w:rsidP="00E00B35">
      <w:pPr>
        <w:spacing w:after="0" w:line="312" w:lineRule="auto"/>
        <w:ind w:left="567"/>
        <w:rPr>
          <w:szCs w:val="20"/>
        </w:rPr>
      </w:pPr>
      <w:r w:rsidRPr="00E00B35">
        <w:rPr>
          <w:szCs w:val="20"/>
        </w:rPr>
        <w:t>W trakcie okresu sprawozdawczego odnowiono lub zawarto na rzecz Gminy Wrocław następujące umowy ubezpieczenia (w szczególności):</w:t>
      </w:r>
    </w:p>
    <w:p w:rsidR="00E96768" w:rsidRPr="00E00B35" w:rsidRDefault="00E96768" w:rsidP="00BC64AB">
      <w:pPr>
        <w:numPr>
          <w:ilvl w:val="0"/>
          <w:numId w:val="250"/>
        </w:numPr>
        <w:spacing w:after="0" w:line="312" w:lineRule="auto"/>
        <w:rPr>
          <w:szCs w:val="20"/>
        </w:rPr>
      </w:pPr>
      <w:r w:rsidRPr="00E00B35">
        <w:rPr>
          <w:szCs w:val="20"/>
        </w:rPr>
        <w:t>Ubezpieczenie wystaw dzieł sztuki,</w:t>
      </w:r>
    </w:p>
    <w:p w:rsidR="00E96768" w:rsidRPr="00E00B35" w:rsidRDefault="00E96768" w:rsidP="00BC64AB">
      <w:pPr>
        <w:numPr>
          <w:ilvl w:val="0"/>
          <w:numId w:val="250"/>
        </w:numPr>
        <w:spacing w:after="0" w:line="312" w:lineRule="auto"/>
        <w:rPr>
          <w:szCs w:val="20"/>
        </w:rPr>
      </w:pPr>
      <w:r w:rsidRPr="00E00B35">
        <w:rPr>
          <w:szCs w:val="20"/>
        </w:rPr>
        <w:t xml:space="preserve">Ubezpieczenie następstw nieszczęśliwych wypadków członków Ochotniczej Straży Pożarnej, </w:t>
      </w:r>
    </w:p>
    <w:p w:rsidR="00E96768" w:rsidRPr="00E00B35" w:rsidRDefault="00E96768" w:rsidP="00BC64AB">
      <w:pPr>
        <w:numPr>
          <w:ilvl w:val="0"/>
          <w:numId w:val="250"/>
        </w:numPr>
        <w:spacing w:after="0" w:line="312" w:lineRule="auto"/>
        <w:rPr>
          <w:szCs w:val="20"/>
        </w:rPr>
      </w:pPr>
      <w:r w:rsidRPr="00E00B35">
        <w:rPr>
          <w:szCs w:val="20"/>
        </w:rPr>
        <w:t>Ubezpieczenie następstw nieszczęśliwych wypadków wolontariuszy, praktykantów i stażystów,</w:t>
      </w:r>
    </w:p>
    <w:p w:rsidR="00E96768" w:rsidRPr="00E00B35" w:rsidRDefault="00E96768" w:rsidP="00BC64AB">
      <w:pPr>
        <w:numPr>
          <w:ilvl w:val="0"/>
          <w:numId w:val="250"/>
        </w:numPr>
        <w:spacing w:after="0" w:line="312" w:lineRule="auto"/>
        <w:rPr>
          <w:szCs w:val="20"/>
        </w:rPr>
      </w:pPr>
      <w:r w:rsidRPr="00E00B35">
        <w:rPr>
          <w:szCs w:val="20"/>
        </w:rPr>
        <w:t>Ubezpieczenie kosztów leczenia oraz NNW podczas podróży służbowych,</w:t>
      </w:r>
    </w:p>
    <w:p w:rsidR="00E96768" w:rsidRPr="00E00B35" w:rsidRDefault="00E96768" w:rsidP="00BC64AB">
      <w:pPr>
        <w:numPr>
          <w:ilvl w:val="0"/>
          <w:numId w:val="250"/>
        </w:numPr>
        <w:spacing w:after="0" w:line="312" w:lineRule="auto"/>
        <w:rPr>
          <w:szCs w:val="20"/>
        </w:rPr>
      </w:pPr>
      <w:r w:rsidRPr="00E00B35">
        <w:rPr>
          <w:szCs w:val="20"/>
        </w:rPr>
        <w:t>Ubezpieczenie koni Straży Miejskiej,</w:t>
      </w:r>
    </w:p>
    <w:p w:rsidR="00E96768" w:rsidRPr="00E00B35" w:rsidRDefault="00E96768" w:rsidP="00BC64AB">
      <w:pPr>
        <w:numPr>
          <w:ilvl w:val="0"/>
          <w:numId w:val="250"/>
        </w:numPr>
        <w:spacing w:after="0" w:line="312" w:lineRule="auto"/>
        <w:rPr>
          <w:szCs w:val="20"/>
        </w:rPr>
      </w:pPr>
      <w:r w:rsidRPr="00E00B35">
        <w:rPr>
          <w:szCs w:val="20"/>
        </w:rPr>
        <w:t>Ubezpieczenie dronów.</w:t>
      </w:r>
    </w:p>
    <w:p w:rsidR="005B50AD" w:rsidRPr="00E00B35" w:rsidRDefault="005B50AD" w:rsidP="00E00B35">
      <w:pPr>
        <w:spacing w:after="0" w:line="312" w:lineRule="auto"/>
        <w:ind w:left="927"/>
        <w:rPr>
          <w:szCs w:val="20"/>
        </w:rPr>
      </w:pPr>
    </w:p>
    <w:p w:rsidR="00E96768" w:rsidRPr="00E00B35" w:rsidRDefault="00E96768" w:rsidP="00E00B35">
      <w:pPr>
        <w:spacing w:after="0" w:line="312" w:lineRule="auto"/>
        <w:rPr>
          <w:szCs w:val="20"/>
        </w:rPr>
      </w:pPr>
      <w:r w:rsidRPr="00E00B35">
        <w:rPr>
          <w:szCs w:val="20"/>
        </w:rPr>
        <w:t>Przeprowadzone przez Konsorcjum brokerów przy wsparciu pracowników Urzędu prace związane z odnowieniem ww. umów ubezpieczenia doprowadziły co najmniej do utrzymania dotychczasowych korzystnych warunków ubezpieczenia Gminy Wrocław oraz jej jednostek organizacyjnych, a w niektórych przypadkach skutkowały istotną poprawą warunków dotyczących zakresu ubezpieczenia (w szczególności dotyczy to nowo aranżowanego programu ubezpieczenia mienia i OC), obniżeniem składki lub wprowadzeniem mechanizmów automatyzujących proces obsługi ubezpieczeniowej, co dodatkowo przełożyło się na odciążenie pracowników odpowiedzialnych za obsługę programu ubezpieczenia.</w:t>
      </w:r>
    </w:p>
    <w:p w:rsidR="00E96768" w:rsidRPr="00E00B35" w:rsidRDefault="00E96768" w:rsidP="00E00B35">
      <w:pPr>
        <w:spacing w:after="0" w:line="312" w:lineRule="auto"/>
        <w:rPr>
          <w:szCs w:val="20"/>
        </w:rPr>
      </w:pPr>
      <w:r w:rsidRPr="00E00B35">
        <w:rPr>
          <w:szCs w:val="20"/>
        </w:rPr>
        <w:t xml:space="preserve">Oprócz wymienionych umów ubezpieczenia zawarto także szereg jednostkowych polis i umów ubezpieczenia związanych z organizowanymi przez jednostki Gminy wydarzeniami </w:t>
      </w:r>
      <w:r w:rsidRPr="00E00B35">
        <w:rPr>
          <w:szCs w:val="20"/>
        </w:rPr>
        <w:lastRenderedPageBreak/>
        <w:t>(ubezpieczenia NNW) oraz odbywanymi podróżami służbowymi (ubezpieczenia kosztów leczenia i NNW).</w:t>
      </w:r>
    </w:p>
    <w:p w:rsidR="00E96768" w:rsidRPr="00E00B35" w:rsidRDefault="00815F93" w:rsidP="00E00B35">
      <w:pPr>
        <w:pStyle w:val="Nagwek5"/>
        <w:rPr>
          <w:szCs w:val="20"/>
        </w:rPr>
      </w:pPr>
      <w:r w:rsidRPr="00E00B35">
        <w:rPr>
          <w:szCs w:val="20"/>
        </w:rPr>
        <w:br/>
      </w:r>
      <w:r w:rsidR="00E96768" w:rsidRPr="00E00B35">
        <w:rPr>
          <w:szCs w:val="20"/>
        </w:rPr>
        <w:t>TRANSPORT</w:t>
      </w:r>
    </w:p>
    <w:p w:rsidR="00E96768" w:rsidRPr="00E00B35" w:rsidRDefault="00E96768" w:rsidP="00E00B35">
      <w:pPr>
        <w:pStyle w:val="Tekstpodstawowywcity"/>
        <w:spacing w:after="0" w:line="312" w:lineRule="auto"/>
        <w:ind w:left="0"/>
        <w:rPr>
          <w:rFonts w:cs="Arial"/>
          <w:szCs w:val="20"/>
        </w:rPr>
      </w:pPr>
      <w:r w:rsidRPr="00E00B35">
        <w:rPr>
          <w:rFonts w:cs="Arial"/>
          <w:szCs w:val="20"/>
        </w:rPr>
        <w:t>Dział Transportu w 2020 roku na bieżąco prowadził działania zapewniające transport wszystkim dysponentom i pracownikom Urzędu Miejskiego Wrocławia w celu zapewnienia sprawnej realizacji wyznaczonych zadań.</w:t>
      </w:r>
    </w:p>
    <w:p w:rsidR="00E96768" w:rsidRPr="00E00B35" w:rsidRDefault="00815F93" w:rsidP="00E00B35">
      <w:pPr>
        <w:pStyle w:val="Tekstpodstawowywcity3"/>
        <w:spacing w:after="0" w:line="312" w:lineRule="auto"/>
        <w:ind w:left="0"/>
        <w:jc w:val="left"/>
        <w:rPr>
          <w:rFonts w:cs="Arial"/>
          <w:szCs w:val="20"/>
        </w:rPr>
      </w:pPr>
      <w:r w:rsidRPr="00E00B35">
        <w:rPr>
          <w:szCs w:val="20"/>
        </w:rPr>
        <w:br/>
      </w:r>
      <w:r w:rsidR="00E96768" w:rsidRPr="00E00B35">
        <w:rPr>
          <w:szCs w:val="20"/>
        </w:rPr>
        <w:t>Ilość i koszty zakupu paliwa do samochodów służbowych UM w 2020 r.</w:t>
      </w:r>
    </w:p>
    <w:tbl>
      <w:tblPr>
        <w:tblW w:w="9081" w:type="dxa"/>
        <w:tblInd w:w="61" w:type="dxa"/>
        <w:tblCellMar>
          <w:left w:w="70" w:type="dxa"/>
          <w:right w:w="70" w:type="dxa"/>
        </w:tblCellMar>
        <w:tblLook w:val="04A0"/>
      </w:tblPr>
      <w:tblGrid>
        <w:gridCol w:w="2240"/>
        <w:gridCol w:w="1738"/>
        <w:gridCol w:w="2127"/>
        <w:gridCol w:w="2976"/>
      </w:tblGrid>
      <w:tr w:rsidR="00E96768" w:rsidRPr="00E00B35" w:rsidTr="00E96768">
        <w:trPr>
          <w:trHeight w:val="340"/>
        </w:trPr>
        <w:tc>
          <w:tcPr>
            <w:tcW w:w="2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6768" w:rsidRPr="00E00B35" w:rsidRDefault="00E96768" w:rsidP="00E00B35">
            <w:pPr>
              <w:spacing w:after="0" w:line="312" w:lineRule="auto"/>
              <w:rPr>
                <w:rFonts w:cs="Arial"/>
                <w:b/>
                <w:bCs/>
                <w:szCs w:val="20"/>
              </w:rPr>
            </w:pPr>
            <w:r w:rsidRPr="00E00B35">
              <w:rPr>
                <w:rFonts w:cs="Arial"/>
                <w:b/>
                <w:bCs/>
                <w:szCs w:val="20"/>
              </w:rPr>
              <w:t>Nazwa nośnika energii</w:t>
            </w:r>
          </w:p>
        </w:tc>
        <w:tc>
          <w:tcPr>
            <w:tcW w:w="17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96768" w:rsidRPr="00E00B35" w:rsidRDefault="00E96768" w:rsidP="00E00B35">
            <w:pPr>
              <w:spacing w:after="0" w:line="312" w:lineRule="auto"/>
              <w:rPr>
                <w:rFonts w:cs="Arial"/>
                <w:b/>
                <w:bCs/>
                <w:szCs w:val="20"/>
              </w:rPr>
            </w:pPr>
            <w:r w:rsidRPr="00E00B35">
              <w:rPr>
                <w:rFonts w:cs="Arial"/>
                <w:b/>
                <w:bCs/>
                <w:szCs w:val="20"/>
              </w:rPr>
              <w:t>Jednostka miary</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96768" w:rsidRPr="00E00B35" w:rsidRDefault="00E96768" w:rsidP="00E00B35">
            <w:pPr>
              <w:spacing w:after="0" w:line="312" w:lineRule="auto"/>
              <w:rPr>
                <w:rFonts w:cs="Arial"/>
                <w:b/>
                <w:bCs/>
                <w:szCs w:val="20"/>
              </w:rPr>
            </w:pPr>
            <w:r w:rsidRPr="00E00B35">
              <w:rPr>
                <w:rFonts w:cs="Arial"/>
                <w:b/>
                <w:bCs/>
                <w:szCs w:val="20"/>
              </w:rPr>
              <w:t>Zużycie nośnika energii</w:t>
            </w:r>
          </w:p>
        </w:tc>
        <w:tc>
          <w:tcPr>
            <w:tcW w:w="29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96768" w:rsidRPr="00E00B35" w:rsidRDefault="00E96768" w:rsidP="00E00B35">
            <w:pPr>
              <w:spacing w:after="0" w:line="312" w:lineRule="auto"/>
              <w:rPr>
                <w:rFonts w:cs="Arial"/>
                <w:b/>
                <w:bCs/>
                <w:szCs w:val="20"/>
              </w:rPr>
            </w:pPr>
            <w:r w:rsidRPr="00E00B35">
              <w:rPr>
                <w:rFonts w:cs="Arial"/>
                <w:b/>
                <w:bCs/>
                <w:szCs w:val="20"/>
              </w:rPr>
              <w:t>Wartość brutto (zł)</w:t>
            </w:r>
          </w:p>
        </w:tc>
      </w:tr>
      <w:tr w:rsidR="00E96768" w:rsidRPr="00E00B35" w:rsidTr="00E96768">
        <w:trPr>
          <w:trHeight w:val="340"/>
        </w:trPr>
        <w:tc>
          <w:tcPr>
            <w:tcW w:w="2240" w:type="dxa"/>
            <w:tcBorders>
              <w:top w:val="nil"/>
              <w:left w:val="single" w:sz="4" w:space="0" w:color="auto"/>
              <w:bottom w:val="single" w:sz="4" w:space="0" w:color="auto"/>
              <w:right w:val="single" w:sz="4" w:space="0" w:color="auto"/>
            </w:tcBorders>
            <w:shd w:val="clear" w:color="000000" w:fill="FFFFFF"/>
            <w:vAlign w:val="center"/>
          </w:tcPr>
          <w:p w:rsidR="00E96768" w:rsidRPr="00E00B35" w:rsidRDefault="00E96768" w:rsidP="00E00B35">
            <w:pPr>
              <w:spacing w:after="0" w:line="312" w:lineRule="auto"/>
              <w:rPr>
                <w:rFonts w:cs="Arial"/>
                <w:bCs/>
                <w:szCs w:val="20"/>
              </w:rPr>
            </w:pPr>
            <w:r w:rsidRPr="00E00B35">
              <w:rPr>
                <w:rFonts w:cs="Arial"/>
                <w:bCs/>
                <w:szCs w:val="20"/>
              </w:rPr>
              <w:t>Benzyna silnikowa</w:t>
            </w:r>
          </w:p>
        </w:tc>
        <w:tc>
          <w:tcPr>
            <w:tcW w:w="1738" w:type="dxa"/>
            <w:tcBorders>
              <w:top w:val="nil"/>
              <w:left w:val="nil"/>
              <w:bottom w:val="single" w:sz="4" w:space="0" w:color="auto"/>
              <w:right w:val="single" w:sz="4" w:space="0" w:color="auto"/>
            </w:tcBorders>
            <w:shd w:val="clear" w:color="auto" w:fill="auto"/>
            <w:vAlign w:val="bottom"/>
          </w:tcPr>
          <w:p w:rsidR="00E96768" w:rsidRPr="00E00B35" w:rsidRDefault="00E96768" w:rsidP="00E00B35">
            <w:pPr>
              <w:spacing w:after="0" w:line="312" w:lineRule="auto"/>
              <w:rPr>
                <w:rFonts w:cs="Arial"/>
                <w:szCs w:val="20"/>
              </w:rPr>
            </w:pPr>
            <w:r w:rsidRPr="00E00B35">
              <w:rPr>
                <w:rFonts w:cs="Arial"/>
                <w:szCs w:val="20"/>
              </w:rPr>
              <w:t>litr</w:t>
            </w:r>
          </w:p>
        </w:tc>
        <w:tc>
          <w:tcPr>
            <w:tcW w:w="2127" w:type="dxa"/>
            <w:tcBorders>
              <w:top w:val="nil"/>
              <w:left w:val="nil"/>
              <w:bottom w:val="single" w:sz="4" w:space="0" w:color="auto"/>
              <w:right w:val="single" w:sz="4" w:space="0" w:color="auto"/>
            </w:tcBorders>
            <w:shd w:val="clear" w:color="auto" w:fill="auto"/>
            <w:vAlign w:val="bottom"/>
          </w:tcPr>
          <w:p w:rsidR="00E96768" w:rsidRPr="00E00B35" w:rsidRDefault="00E96768" w:rsidP="00E00B35">
            <w:pPr>
              <w:spacing w:after="0" w:line="312" w:lineRule="auto"/>
              <w:rPr>
                <w:rFonts w:cs="Arial"/>
                <w:szCs w:val="20"/>
              </w:rPr>
            </w:pPr>
            <w:r w:rsidRPr="00E00B35">
              <w:rPr>
                <w:rFonts w:cs="Arial"/>
                <w:szCs w:val="20"/>
              </w:rPr>
              <w:t>21 534,86</w:t>
            </w:r>
          </w:p>
        </w:tc>
        <w:tc>
          <w:tcPr>
            <w:tcW w:w="2976" w:type="dxa"/>
            <w:tcBorders>
              <w:top w:val="nil"/>
              <w:left w:val="nil"/>
              <w:bottom w:val="single" w:sz="4" w:space="0" w:color="auto"/>
              <w:right w:val="single" w:sz="4" w:space="0" w:color="auto"/>
            </w:tcBorders>
            <w:shd w:val="clear" w:color="auto" w:fill="auto"/>
            <w:vAlign w:val="bottom"/>
          </w:tcPr>
          <w:p w:rsidR="00E96768" w:rsidRPr="00E00B35" w:rsidRDefault="00E96768" w:rsidP="00E00B35">
            <w:pPr>
              <w:spacing w:after="0" w:line="312" w:lineRule="auto"/>
              <w:rPr>
                <w:rFonts w:cs="Arial"/>
                <w:szCs w:val="20"/>
              </w:rPr>
            </w:pPr>
            <w:r w:rsidRPr="00E00B35">
              <w:rPr>
                <w:rFonts w:cs="Arial"/>
                <w:szCs w:val="20"/>
              </w:rPr>
              <w:t>95 957,09</w:t>
            </w:r>
          </w:p>
        </w:tc>
      </w:tr>
      <w:tr w:rsidR="00E96768" w:rsidRPr="00E00B35" w:rsidTr="00E96768">
        <w:trPr>
          <w:trHeight w:val="340"/>
        </w:trPr>
        <w:tc>
          <w:tcPr>
            <w:tcW w:w="2240" w:type="dxa"/>
            <w:tcBorders>
              <w:top w:val="nil"/>
              <w:left w:val="single" w:sz="4" w:space="0" w:color="auto"/>
              <w:bottom w:val="single" w:sz="4" w:space="0" w:color="auto"/>
              <w:right w:val="single" w:sz="4" w:space="0" w:color="auto"/>
            </w:tcBorders>
            <w:shd w:val="clear" w:color="000000" w:fill="FFFFFF"/>
            <w:vAlign w:val="center"/>
          </w:tcPr>
          <w:p w:rsidR="00E96768" w:rsidRPr="00E00B35" w:rsidRDefault="00E96768" w:rsidP="00E00B35">
            <w:pPr>
              <w:spacing w:after="0" w:line="312" w:lineRule="auto"/>
              <w:rPr>
                <w:rFonts w:cs="Arial"/>
                <w:bCs/>
                <w:szCs w:val="20"/>
              </w:rPr>
            </w:pPr>
            <w:r w:rsidRPr="00E00B35">
              <w:rPr>
                <w:rFonts w:cs="Arial"/>
                <w:bCs/>
                <w:szCs w:val="20"/>
              </w:rPr>
              <w:t>Olej napędowy</w:t>
            </w:r>
          </w:p>
        </w:tc>
        <w:tc>
          <w:tcPr>
            <w:tcW w:w="1738" w:type="dxa"/>
            <w:tcBorders>
              <w:top w:val="nil"/>
              <w:left w:val="nil"/>
              <w:bottom w:val="single" w:sz="4" w:space="0" w:color="auto"/>
              <w:right w:val="single" w:sz="4" w:space="0" w:color="auto"/>
            </w:tcBorders>
            <w:shd w:val="clear" w:color="auto" w:fill="auto"/>
            <w:vAlign w:val="bottom"/>
          </w:tcPr>
          <w:p w:rsidR="00E96768" w:rsidRPr="00E00B35" w:rsidRDefault="00E96768" w:rsidP="00E00B35">
            <w:pPr>
              <w:spacing w:after="0" w:line="312" w:lineRule="auto"/>
              <w:rPr>
                <w:rFonts w:cs="Arial"/>
                <w:szCs w:val="20"/>
              </w:rPr>
            </w:pPr>
            <w:r w:rsidRPr="00E00B35">
              <w:rPr>
                <w:rFonts w:cs="Arial"/>
                <w:szCs w:val="20"/>
              </w:rPr>
              <w:t>litr</w:t>
            </w:r>
          </w:p>
        </w:tc>
        <w:tc>
          <w:tcPr>
            <w:tcW w:w="2127" w:type="dxa"/>
            <w:tcBorders>
              <w:top w:val="nil"/>
              <w:left w:val="nil"/>
              <w:bottom w:val="single" w:sz="4" w:space="0" w:color="auto"/>
              <w:right w:val="single" w:sz="4" w:space="0" w:color="auto"/>
            </w:tcBorders>
            <w:shd w:val="clear" w:color="auto" w:fill="auto"/>
            <w:vAlign w:val="bottom"/>
          </w:tcPr>
          <w:p w:rsidR="00E96768" w:rsidRPr="00E00B35" w:rsidRDefault="00E96768" w:rsidP="00E00B35">
            <w:pPr>
              <w:spacing w:after="0" w:line="312" w:lineRule="auto"/>
              <w:rPr>
                <w:rFonts w:cs="Arial"/>
                <w:szCs w:val="20"/>
              </w:rPr>
            </w:pPr>
            <w:r w:rsidRPr="00E00B35">
              <w:rPr>
                <w:rFonts w:cs="Arial"/>
                <w:szCs w:val="20"/>
              </w:rPr>
              <w:t>13 183,14</w:t>
            </w:r>
          </w:p>
        </w:tc>
        <w:tc>
          <w:tcPr>
            <w:tcW w:w="2976" w:type="dxa"/>
            <w:tcBorders>
              <w:top w:val="nil"/>
              <w:left w:val="nil"/>
              <w:bottom w:val="single" w:sz="4" w:space="0" w:color="auto"/>
              <w:right w:val="single" w:sz="4" w:space="0" w:color="auto"/>
            </w:tcBorders>
            <w:shd w:val="clear" w:color="auto" w:fill="auto"/>
            <w:vAlign w:val="bottom"/>
          </w:tcPr>
          <w:p w:rsidR="00E96768" w:rsidRPr="00E00B35" w:rsidRDefault="00E96768" w:rsidP="00E00B35">
            <w:pPr>
              <w:spacing w:after="0" w:line="312" w:lineRule="auto"/>
              <w:rPr>
                <w:rFonts w:cs="Arial"/>
                <w:szCs w:val="20"/>
              </w:rPr>
            </w:pPr>
            <w:r w:rsidRPr="00E00B35">
              <w:rPr>
                <w:rFonts w:cs="Arial"/>
                <w:szCs w:val="20"/>
              </w:rPr>
              <w:t>59 367,00</w:t>
            </w:r>
          </w:p>
        </w:tc>
      </w:tr>
    </w:tbl>
    <w:p w:rsidR="00E96768" w:rsidRPr="00E00B35" w:rsidRDefault="00E96768" w:rsidP="00E00B35">
      <w:pPr>
        <w:spacing w:after="0" w:line="312" w:lineRule="auto"/>
        <w:rPr>
          <w:rFonts w:cs="Arial"/>
          <w:szCs w:val="20"/>
        </w:rPr>
      </w:pPr>
    </w:p>
    <w:p w:rsidR="00E96768" w:rsidRPr="00E00B35" w:rsidRDefault="00E96768" w:rsidP="00E00B35">
      <w:pPr>
        <w:spacing w:after="0" w:line="312" w:lineRule="auto"/>
        <w:rPr>
          <w:rFonts w:cs="Arial"/>
          <w:szCs w:val="20"/>
        </w:rPr>
      </w:pPr>
      <w:r w:rsidRPr="00E00B35">
        <w:rPr>
          <w:rFonts w:cs="Arial"/>
          <w:szCs w:val="20"/>
        </w:rPr>
        <w:t>W wyniku postępowania publicznego w trybie przetargu nieograniczonego w 2020 r. zakupiono na potrzeby Urzędu Miejskiego Wrocławia dwa fabrycznie nowe samochody osobowe: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samochód osobowy marki Skoda Superb - zgodnie z umową nr WOU.DO/272/35/2020/DL z dn. 20 stycznia 2020 r., wartość pojazdu – 154 000,00 zł brutto.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samochód osobowy marki Ford Transit zgodnie z umową nr WOU.DO/272/85/2020/DT z dn. 4 marca 2020 r., wartość pojazdu – 218 100,00 zł brutto.</w:t>
      </w:r>
    </w:p>
    <w:p w:rsidR="00E96768" w:rsidRPr="00E00B35" w:rsidRDefault="00E96768" w:rsidP="00E00B35">
      <w:pPr>
        <w:pStyle w:val="Tekstpodstawowywcity3"/>
        <w:spacing w:after="0" w:line="312" w:lineRule="auto"/>
        <w:ind w:left="0"/>
        <w:jc w:val="left"/>
        <w:rPr>
          <w:szCs w:val="20"/>
        </w:rPr>
      </w:pPr>
      <w:r w:rsidRPr="00E00B35">
        <w:rPr>
          <w:szCs w:val="20"/>
        </w:rPr>
        <w:t>Samochód Ford Transit zakupiony został z myślą do przewozu osób niepełnosprawnych na wózkach inwalidzkich. Posiada najazd inwalidzki antypoślizgowy składany tzw. rampę podjazdową składającą się z dwóch szyn antypoślizgowych do przetransportowania wózka inwalidzkiego z osoba, bezpośrednio z podłoża do pojazdu.</w:t>
      </w:r>
    </w:p>
    <w:p w:rsidR="00E96768" w:rsidRPr="00E00B35" w:rsidRDefault="00815F93" w:rsidP="00E00B35">
      <w:pPr>
        <w:pStyle w:val="Nagwek5"/>
        <w:rPr>
          <w:szCs w:val="20"/>
        </w:rPr>
      </w:pPr>
      <w:r w:rsidRPr="00E00B35">
        <w:rPr>
          <w:szCs w:val="20"/>
        </w:rPr>
        <w:br/>
      </w:r>
      <w:r w:rsidR="00E96768" w:rsidRPr="00E00B35">
        <w:rPr>
          <w:szCs w:val="20"/>
        </w:rPr>
        <w:t>ARCHIWUM</w:t>
      </w:r>
    </w:p>
    <w:p w:rsidR="00E96768" w:rsidRPr="00E00B35" w:rsidRDefault="00E96768" w:rsidP="00E00B35">
      <w:pPr>
        <w:spacing w:after="0" w:line="312" w:lineRule="auto"/>
        <w:rPr>
          <w:szCs w:val="20"/>
        </w:rPr>
      </w:pPr>
      <w:r w:rsidRPr="00E00B35">
        <w:rPr>
          <w:szCs w:val="20"/>
        </w:rPr>
        <w:t>W roku sprawozdawczym przyjęto na stan archiwum zakładowego ponad 520 mb akt - 20 899 jednostek archiwalnych [j.a.], w tym: 2511 j.a. materiałów archiwalnych (przechowywanych wieczyście) oraz 18 388 j.a. dokumentacji niearchiwalnej o zróżnicowanym okresie przechowywania.</w:t>
      </w:r>
    </w:p>
    <w:p w:rsidR="00E96768" w:rsidRPr="00E00B35" w:rsidRDefault="00E96768" w:rsidP="00E00B35">
      <w:pPr>
        <w:spacing w:after="0" w:line="312" w:lineRule="auto"/>
        <w:rPr>
          <w:szCs w:val="20"/>
        </w:rPr>
      </w:pPr>
      <w:r w:rsidRPr="00E00B35">
        <w:rPr>
          <w:szCs w:val="20"/>
        </w:rPr>
        <w:t>Ilość przyjętej dokumentacji w jednostkach aktowych.</w:t>
      </w:r>
    </w:p>
    <w:p w:rsidR="00E96768" w:rsidRPr="00E00B35" w:rsidRDefault="00E96768" w:rsidP="00E00B35">
      <w:pPr>
        <w:spacing w:after="0" w:line="312" w:lineRule="auto"/>
        <w:rPr>
          <w:szCs w:val="20"/>
        </w:rPr>
      </w:pPr>
      <w:r w:rsidRPr="00E00B35">
        <w:rPr>
          <w:szCs w:val="20"/>
        </w:rPr>
        <w:t xml:space="preserve">2017 </w:t>
      </w:r>
    </w:p>
    <w:p w:rsidR="00E96768" w:rsidRPr="00E00B35" w:rsidRDefault="00E96768" w:rsidP="00E00B35">
      <w:pPr>
        <w:spacing w:after="0" w:line="312" w:lineRule="auto"/>
        <w:rPr>
          <w:szCs w:val="20"/>
        </w:rPr>
      </w:pPr>
      <w:r w:rsidRPr="00E00B35">
        <w:rPr>
          <w:szCs w:val="20"/>
        </w:rPr>
        <w:t>Kategoria A: 6 937</w:t>
      </w:r>
    </w:p>
    <w:p w:rsidR="00E96768" w:rsidRPr="00E00B35" w:rsidRDefault="00E96768" w:rsidP="00E00B35">
      <w:pPr>
        <w:spacing w:after="0" w:line="312" w:lineRule="auto"/>
        <w:rPr>
          <w:szCs w:val="20"/>
        </w:rPr>
      </w:pPr>
      <w:r w:rsidRPr="00E00B35">
        <w:rPr>
          <w:szCs w:val="20"/>
        </w:rPr>
        <w:t>Kategoria B: 15 617</w:t>
      </w:r>
    </w:p>
    <w:p w:rsidR="00E96768" w:rsidRPr="00E00B35" w:rsidRDefault="00E96768" w:rsidP="00E00B35">
      <w:pPr>
        <w:spacing w:after="0" w:line="312" w:lineRule="auto"/>
        <w:rPr>
          <w:szCs w:val="20"/>
        </w:rPr>
      </w:pPr>
      <w:r w:rsidRPr="00E00B35">
        <w:rPr>
          <w:szCs w:val="20"/>
        </w:rPr>
        <w:t xml:space="preserve">2018 </w:t>
      </w:r>
    </w:p>
    <w:p w:rsidR="00E96768" w:rsidRPr="00E00B35" w:rsidRDefault="00E96768" w:rsidP="00E00B35">
      <w:pPr>
        <w:spacing w:after="0" w:line="312" w:lineRule="auto"/>
        <w:rPr>
          <w:szCs w:val="20"/>
        </w:rPr>
      </w:pPr>
      <w:r w:rsidRPr="00E00B35">
        <w:rPr>
          <w:szCs w:val="20"/>
        </w:rPr>
        <w:t>Kategoria A: 5 701</w:t>
      </w:r>
    </w:p>
    <w:p w:rsidR="00E96768" w:rsidRPr="00E00B35" w:rsidRDefault="00E96768" w:rsidP="00E00B35">
      <w:pPr>
        <w:spacing w:after="0" w:line="312" w:lineRule="auto"/>
        <w:rPr>
          <w:szCs w:val="20"/>
        </w:rPr>
      </w:pPr>
      <w:r w:rsidRPr="00E00B35">
        <w:rPr>
          <w:szCs w:val="20"/>
        </w:rPr>
        <w:t>Kategoria B: 14 968</w:t>
      </w:r>
    </w:p>
    <w:p w:rsidR="00E96768" w:rsidRPr="00E00B35" w:rsidRDefault="00E96768" w:rsidP="00E00B35">
      <w:pPr>
        <w:spacing w:after="0" w:line="312" w:lineRule="auto"/>
        <w:rPr>
          <w:szCs w:val="20"/>
        </w:rPr>
      </w:pPr>
      <w:r w:rsidRPr="00E00B35">
        <w:rPr>
          <w:szCs w:val="20"/>
        </w:rPr>
        <w:t xml:space="preserve">2019 </w:t>
      </w:r>
    </w:p>
    <w:p w:rsidR="00E96768" w:rsidRPr="00E00B35" w:rsidRDefault="00E96768" w:rsidP="00E00B35">
      <w:pPr>
        <w:spacing w:after="0" w:line="312" w:lineRule="auto"/>
        <w:rPr>
          <w:szCs w:val="20"/>
        </w:rPr>
      </w:pPr>
      <w:r w:rsidRPr="00E00B35">
        <w:rPr>
          <w:szCs w:val="20"/>
        </w:rPr>
        <w:t>Kategoria A: 7 452</w:t>
      </w:r>
    </w:p>
    <w:p w:rsidR="00E96768" w:rsidRPr="00E00B35" w:rsidRDefault="00E96768" w:rsidP="00E00B35">
      <w:pPr>
        <w:spacing w:after="0" w:line="312" w:lineRule="auto"/>
        <w:rPr>
          <w:szCs w:val="20"/>
        </w:rPr>
      </w:pPr>
      <w:r w:rsidRPr="00E00B35">
        <w:rPr>
          <w:szCs w:val="20"/>
        </w:rPr>
        <w:t>Kategoria B: 18 076</w:t>
      </w:r>
    </w:p>
    <w:p w:rsidR="00E96768" w:rsidRPr="00E00B35" w:rsidRDefault="00E96768" w:rsidP="00E00B35">
      <w:pPr>
        <w:spacing w:after="0" w:line="312" w:lineRule="auto"/>
        <w:rPr>
          <w:szCs w:val="20"/>
        </w:rPr>
      </w:pPr>
      <w:r w:rsidRPr="00E00B35">
        <w:rPr>
          <w:szCs w:val="20"/>
        </w:rPr>
        <w:lastRenderedPageBreak/>
        <w:t xml:space="preserve">2020 </w:t>
      </w:r>
    </w:p>
    <w:p w:rsidR="00E96768" w:rsidRPr="00E00B35" w:rsidRDefault="00E96768" w:rsidP="00E00B35">
      <w:pPr>
        <w:spacing w:after="0" w:line="312" w:lineRule="auto"/>
        <w:rPr>
          <w:szCs w:val="20"/>
        </w:rPr>
      </w:pPr>
      <w:r w:rsidRPr="00E00B35">
        <w:rPr>
          <w:szCs w:val="20"/>
        </w:rPr>
        <w:t>Kategoria A: 2 511</w:t>
      </w:r>
    </w:p>
    <w:p w:rsidR="00E96768" w:rsidRPr="00E00B35" w:rsidRDefault="00E96768" w:rsidP="00E00B35">
      <w:pPr>
        <w:spacing w:after="0" w:line="312" w:lineRule="auto"/>
        <w:rPr>
          <w:szCs w:val="20"/>
        </w:rPr>
      </w:pPr>
      <w:r w:rsidRPr="00E00B35">
        <w:rPr>
          <w:szCs w:val="20"/>
        </w:rPr>
        <w:t>Kategoria B: 18 388</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color w:val="FF0000"/>
          <w:szCs w:val="20"/>
        </w:rPr>
      </w:pPr>
      <w:r w:rsidRPr="00E00B35">
        <w:rPr>
          <w:szCs w:val="20"/>
        </w:rPr>
        <w:t>Równocześnie zniszczono 8 220 j.a., czyli ok. 191 mb akt. W efekcie na koniec 2020 r. zasób archiwum zakładowego UMW wynosił 8 641,5 mb akt, co oznacza przyrost o 230 mb w stosunku do roku poprzedniego.</w:t>
      </w:r>
      <w:r w:rsidRPr="00E00B35">
        <w:rPr>
          <w:color w:val="FF0000"/>
          <w:szCs w:val="20"/>
        </w:rPr>
        <w:t xml:space="preserve"> </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Ilość wybrakowanej dokumentacji w metrach bieżących.</w:t>
      </w:r>
    </w:p>
    <w:p w:rsidR="00E96768" w:rsidRPr="00E00B35" w:rsidRDefault="00E96768" w:rsidP="00E00B35">
      <w:pPr>
        <w:spacing w:after="0" w:line="312" w:lineRule="auto"/>
        <w:rPr>
          <w:szCs w:val="20"/>
        </w:rPr>
      </w:pPr>
      <w:r w:rsidRPr="00E00B35">
        <w:rPr>
          <w:szCs w:val="20"/>
        </w:rPr>
        <w:t>2017 – 904</w:t>
      </w:r>
    </w:p>
    <w:p w:rsidR="00E96768" w:rsidRPr="00E00B35" w:rsidRDefault="00E96768" w:rsidP="00E00B35">
      <w:pPr>
        <w:spacing w:after="0" w:line="312" w:lineRule="auto"/>
        <w:rPr>
          <w:szCs w:val="20"/>
        </w:rPr>
      </w:pPr>
      <w:r w:rsidRPr="00E00B35">
        <w:rPr>
          <w:szCs w:val="20"/>
        </w:rPr>
        <w:t>2018 – 278,4</w:t>
      </w:r>
    </w:p>
    <w:p w:rsidR="00E96768" w:rsidRPr="00E00B35" w:rsidRDefault="00E96768" w:rsidP="00E00B35">
      <w:pPr>
        <w:spacing w:after="0" w:line="312" w:lineRule="auto"/>
        <w:rPr>
          <w:szCs w:val="20"/>
        </w:rPr>
      </w:pPr>
      <w:r w:rsidRPr="00E00B35">
        <w:rPr>
          <w:szCs w:val="20"/>
        </w:rPr>
        <w:t>2019 – 641,28</w:t>
      </w:r>
    </w:p>
    <w:p w:rsidR="00E96768" w:rsidRPr="00E00B35" w:rsidRDefault="00E96768" w:rsidP="00E00B35">
      <w:pPr>
        <w:spacing w:after="0" w:line="312" w:lineRule="auto"/>
        <w:rPr>
          <w:szCs w:val="20"/>
        </w:rPr>
      </w:pPr>
      <w:r w:rsidRPr="00E00B35">
        <w:rPr>
          <w:szCs w:val="20"/>
        </w:rPr>
        <w:t>2020 – 191,51</w:t>
      </w:r>
    </w:p>
    <w:p w:rsidR="00E96768" w:rsidRPr="00E00B35" w:rsidRDefault="00815F93" w:rsidP="00E00B35">
      <w:pPr>
        <w:spacing w:after="0" w:line="312" w:lineRule="auto"/>
        <w:rPr>
          <w:szCs w:val="20"/>
        </w:rPr>
      </w:pPr>
      <w:r w:rsidRPr="00E00B35">
        <w:rPr>
          <w:szCs w:val="20"/>
        </w:rPr>
        <w:br/>
      </w:r>
      <w:r w:rsidR="00E96768" w:rsidRPr="00E00B35">
        <w:rPr>
          <w:szCs w:val="20"/>
        </w:rPr>
        <w:t>Ilość udostępnionej i wypożyczonej dokumentacji.</w:t>
      </w:r>
    </w:p>
    <w:p w:rsidR="00E96768" w:rsidRPr="00E00B35" w:rsidRDefault="00E96768" w:rsidP="00E00B35">
      <w:pPr>
        <w:spacing w:after="0" w:line="312" w:lineRule="auto"/>
        <w:rPr>
          <w:szCs w:val="20"/>
        </w:rPr>
      </w:pPr>
      <w:r w:rsidRPr="00E00B35">
        <w:rPr>
          <w:szCs w:val="20"/>
        </w:rPr>
        <w:t xml:space="preserve">2017 </w:t>
      </w:r>
    </w:p>
    <w:p w:rsidR="00E96768" w:rsidRPr="00E00B35" w:rsidRDefault="00E96768" w:rsidP="00E00B35">
      <w:pPr>
        <w:spacing w:after="0" w:line="312" w:lineRule="auto"/>
        <w:rPr>
          <w:szCs w:val="20"/>
        </w:rPr>
      </w:pPr>
      <w:r w:rsidRPr="00E00B35">
        <w:rPr>
          <w:szCs w:val="20"/>
        </w:rPr>
        <w:t>Udostępnienie: 4 530</w:t>
      </w:r>
    </w:p>
    <w:p w:rsidR="00E96768" w:rsidRPr="00E00B35" w:rsidRDefault="00E96768" w:rsidP="00E00B35">
      <w:pPr>
        <w:spacing w:after="0" w:line="312" w:lineRule="auto"/>
        <w:rPr>
          <w:szCs w:val="20"/>
        </w:rPr>
      </w:pPr>
      <w:r w:rsidRPr="00E00B35">
        <w:rPr>
          <w:szCs w:val="20"/>
        </w:rPr>
        <w:t>Wypożyczenie: 5 041</w:t>
      </w:r>
    </w:p>
    <w:p w:rsidR="00E96768" w:rsidRPr="00E00B35" w:rsidRDefault="00E96768" w:rsidP="00E00B35">
      <w:pPr>
        <w:spacing w:after="0" w:line="312" w:lineRule="auto"/>
        <w:rPr>
          <w:szCs w:val="20"/>
        </w:rPr>
      </w:pPr>
      <w:r w:rsidRPr="00E00B35">
        <w:rPr>
          <w:szCs w:val="20"/>
        </w:rPr>
        <w:t xml:space="preserve">2018 </w:t>
      </w:r>
    </w:p>
    <w:p w:rsidR="00E96768" w:rsidRPr="00E00B35" w:rsidRDefault="00E96768" w:rsidP="00E00B35">
      <w:pPr>
        <w:spacing w:after="0" w:line="312" w:lineRule="auto"/>
        <w:rPr>
          <w:szCs w:val="20"/>
        </w:rPr>
      </w:pPr>
      <w:r w:rsidRPr="00E00B35">
        <w:rPr>
          <w:szCs w:val="20"/>
        </w:rPr>
        <w:t>Udostępnienie: 4 553</w:t>
      </w:r>
    </w:p>
    <w:p w:rsidR="00E96768" w:rsidRPr="00E00B35" w:rsidRDefault="00E96768" w:rsidP="00E00B35">
      <w:pPr>
        <w:spacing w:after="0" w:line="312" w:lineRule="auto"/>
        <w:rPr>
          <w:szCs w:val="20"/>
        </w:rPr>
      </w:pPr>
      <w:r w:rsidRPr="00E00B35">
        <w:rPr>
          <w:szCs w:val="20"/>
        </w:rPr>
        <w:t>Wypożyczenie: 4 583</w:t>
      </w:r>
    </w:p>
    <w:p w:rsidR="00E96768" w:rsidRPr="00E00B35" w:rsidRDefault="00E96768" w:rsidP="00E00B35">
      <w:pPr>
        <w:spacing w:after="0" w:line="312" w:lineRule="auto"/>
        <w:rPr>
          <w:szCs w:val="20"/>
        </w:rPr>
      </w:pPr>
      <w:r w:rsidRPr="00E00B35">
        <w:rPr>
          <w:szCs w:val="20"/>
        </w:rPr>
        <w:t xml:space="preserve">2019 </w:t>
      </w:r>
    </w:p>
    <w:p w:rsidR="00E96768" w:rsidRPr="00E00B35" w:rsidRDefault="00E96768" w:rsidP="00E00B35">
      <w:pPr>
        <w:spacing w:after="0" w:line="312" w:lineRule="auto"/>
        <w:rPr>
          <w:szCs w:val="20"/>
        </w:rPr>
      </w:pPr>
      <w:r w:rsidRPr="00E00B35">
        <w:rPr>
          <w:szCs w:val="20"/>
        </w:rPr>
        <w:t>Udostępnienie: 6 164</w:t>
      </w:r>
    </w:p>
    <w:p w:rsidR="00E96768" w:rsidRPr="00E00B35" w:rsidRDefault="00E96768" w:rsidP="00E00B35">
      <w:pPr>
        <w:spacing w:after="0" w:line="312" w:lineRule="auto"/>
        <w:rPr>
          <w:szCs w:val="20"/>
        </w:rPr>
      </w:pPr>
      <w:r w:rsidRPr="00E00B35">
        <w:rPr>
          <w:szCs w:val="20"/>
        </w:rPr>
        <w:t>Wypożyczenie: 4 045</w:t>
      </w:r>
    </w:p>
    <w:p w:rsidR="00E96768" w:rsidRPr="00E00B35" w:rsidRDefault="00E96768" w:rsidP="00E00B35">
      <w:pPr>
        <w:spacing w:after="0" w:line="312" w:lineRule="auto"/>
        <w:rPr>
          <w:szCs w:val="20"/>
        </w:rPr>
      </w:pPr>
      <w:r w:rsidRPr="00E00B35">
        <w:rPr>
          <w:szCs w:val="20"/>
        </w:rPr>
        <w:t xml:space="preserve">2020 </w:t>
      </w:r>
    </w:p>
    <w:p w:rsidR="00E96768" w:rsidRPr="00E00B35" w:rsidRDefault="00E96768" w:rsidP="00E00B35">
      <w:pPr>
        <w:spacing w:after="0" w:line="312" w:lineRule="auto"/>
        <w:rPr>
          <w:szCs w:val="20"/>
        </w:rPr>
      </w:pPr>
      <w:r w:rsidRPr="00E00B35">
        <w:rPr>
          <w:szCs w:val="20"/>
        </w:rPr>
        <w:t>Udostępnienie: 3 245</w:t>
      </w:r>
    </w:p>
    <w:p w:rsidR="00E96768" w:rsidRPr="00E00B35" w:rsidRDefault="00E96768" w:rsidP="00E00B35">
      <w:pPr>
        <w:spacing w:after="0" w:line="312" w:lineRule="auto"/>
        <w:rPr>
          <w:szCs w:val="20"/>
        </w:rPr>
      </w:pPr>
      <w:r w:rsidRPr="00E00B35">
        <w:rPr>
          <w:szCs w:val="20"/>
        </w:rPr>
        <w:t>Wypożyczenie: 2 587</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Liczba osób korzystających z archiwum.</w:t>
      </w:r>
    </w:p>
    <w:p w:rsidR="00E96768" w:rsidRPr="00E00B35" w:rsidRDefault="00E96768" w:rsidP="00E00B35">
      <w:pPr>
        <w:spacing w:after="0" w:line="312" w:lineRule="auto"/>
        <w:rPr>
          <w:szCs w:val="20"/>
        </w:rPr>
      </w:pPr>
      <w:r w:rsidRPr="00E00B35">
        <w:rPr>
          <w:szCs w:val="20"/>
        </w:rPr>
        <w:t>2017 – 369</w:t>
      </w:r>
    </w:p>
    <w:p w:rsidR="00E96768" w:rsidRPr="00E00B35" w:rsidRDefault="00E96768" w:rsidP="00E00B35">
      <w:pPr>
        <w:spacing w:after="0" w:line="312" w:lineRule="auto"/>
        <w:rPr>
          <w:szCs w:val="20"/>
        </w:rPr>
      </w:pPr>
      <w:r w:rsidRPr="00E00B35">
        <w:rPr>
          <w:szCs w:val="20"/>
        </w:rPr>
        <w:t>2018 – 364</w:t>
      </w:r>
    </w:p>
    <w:p w:rsidR="00E96768" w:rsidRPr="00E00B35" w:rsidRDefault="00E96768" w:rsidP="00E00B35">
      <w:pPr>
        <w:spacing w:after="0" w:line="312" w:lineRule="auto"/>
        <w:rPr>
          <w:szCs w:val="20"/>
        </w:rPr>
      </w:pPr>
      <w:r w:rsidRPr="00E00B35">
        <w:rPr>
          <w:szCs w:val="20"/>
        </w:rPr>
        <w:t>2019 – 470</w:t>
      </w:r>
    </w:p>
    <w:p w:rsidR="00E96768" w:rsidRPr="00E00B35" w:rsidRDefault="00E96768" w:rsidP="00E00B35">
      <w:pPr>
        <w:spacing w:after="0" w:line="312" w:lineRule="auto"/>
        <w:rPr>
          <w:szCs w:val="20"/>
        </w:rPr>
      </w:pPr>
      <w:r w:rsidRPr="00E00B35">
        <w:rPr>
          <w:szCs w:val="20"/>
        </w:rPr>
        <w:t>2020 – 424</w:t>
      </w:r>
    </w:p>
    <w:p w:rsidR="00E96768" w:rsidRPr="00E00B35" w:rsidRDefault="00815F93" w:rsidP="00E00B35">
      <w:pPr>
        <w:spacing w:after="0" w:line="312" w:lineRule="auto"/>
        <w:rPr>
          <w:rFonts w:cs="Helv"/>
          <w:color w:val="000000"/>
          <w:szCs w:val="20"/>
        </w:rPr>
      </w:pPr>
      <w:r w:rsidRPr="00E00B35">
        <w:rPr>
          <w:szCs w:val="20"/>
        </w:rPr>
        <w:br/>
      </w:r>
      <w:r w:rsidR="00E96768" w:rsidRPr="00E00B35">
        <w:rPr>
          <w:szCs w:val="20"/>
        </w:rPr>
        <w:t>Pracownicy archiwum zakładowego przygotowali 2 272 j.a. do przekazania do Archiwum Państwowego we Wrocławiu. Wytypowali także 13 809 j.a. do przeprowadzenia ekspertyzy dokumentacji przez Archiwum Państwowe. Zdigitalizowano 13 386 decyzji przenoszących własność Skarbu Państwa na rzecz gminy Wrocław.</w:t>
      </w:r>
    </w:p>
    <w:p w:rsidR="00E96768" w:rsidRPr="00E00B35" w:rsidRDefault="00E96768" w:rsidP="00E00B35">
      <w:pPr>
        <w:spacing w:after="0" w:line="312" w:lineRule="auto"/>
        <w:rPr>
          <w:szCs w:val="20"/>
        </w:rPr>
      </w:pPr>
      <w:r w:rsidRPr="00E00B35">
        <w:rPr>
          <w:szCs w:val="20"/>
        </w:rPr>
        <w:t>Z archiwum przy pl. Nowy Targ 1-8 wywieziono prawie 6,5 tony makulatury, tj. dokumentacji niestanowiącej akt spraw prowadzonych w UMW.</w:t>
      </w:r>
    </w:p>
    <w:p w:rsidR="00E96768" w:rsidRPr="00E00B35" w:rsidRDefault="00E96768" w:rsidP="00E00B35">
      <w:pPr>
        <w:spacing w:after="0" w:line="312" w:lineRule="auto"/>
        <w:rPr>
          <w:szCs w:val="20"/>
        </w:rPr>
      </w:pPr>
      <w:r w:rsidRPr="00E00B35">
        <w:rPr>
          <w:szCs w:val="20"/>
        </w:rPr>
        <w:t xml:space="preserve">Archiwum zakładowe UMW we współpracy z Koordynatorem EZD rozpoczęło pracę nad zmianą obiegu kancelaryjnego obowiązującego w jednostce - pilotaż wyjątków na rzecz systemu elektronicznego. W porozumieniu z komórkami organizacyjnymi wytypowano 21 </w:t>
      </w:r>
      <w:r w:rsidRPr="00E00B35">
        <w:rPr>
          <w:szCs w:val="20"/>
        </w:rPr>
        <w:lastRenderedPageBreak/>
        <w:t>haseł klasyfikacyjnych z Jednolitego Rzeczowego Wykazu Akt, które można by było prowadzić w sposób elektroniczny.</w:t>
      </w:r>
    </w:p>
    <w:p w:rsidR="00E96768" w:rsidRPr="00E00B35" w:rsidRDefault="00E96768" w:rsidP="00E00B35">
      <w:pPr>
        <w:pStyle w:val="Nagwek3"/>
        <w:spacing w:after="0" w:line="312" w:lineRule="auto"/>
        <w:rPr>
          <w:b w:val="0"/>
          <w:bCs w:val="0"/>
          <w:sz w:val="20"/>
        </w:rPr>
      </w:pPr>
    </w:p>
    <w:p w:rsidR="00E96768" w:rsidRPr="00E00B35" w:rsidRDefault="00E96768" w:rsidP="00E00B35">
      <w:pPr>
        <w:pStyle w:val="Nagwek3"/>
        <w:spacing w:after="0" w:line="312" w:lineRule="auto"/>
        <w:rPr>
          <w:sz w:val="20"/>
        </w:rPr>
      </w:pPr>
      <w:r w:rsidRPr="00E00B35">
        <w:rPr>
          <w:sz w:val="20"/>
        </w:rPr>
        <w:t>ZAMÓWIENIA PUBLICZNE</w:t>
      </w:r>
    </w:p>
    <w:p w:rsidR="00E96768" w:rsidRPr="00E00B35" w:rsidRDefault="00E96768" w:rsidP="00E00B35">
      <w:pPr>
        <w:spacing w:after="0" w:line="312" w:lineRule="auto"/>
        <w:rPr>
          <w:szCs w:val="20"/>
        </w:rPr>
      </w:pPr>
      <w:r w:rsidRPr="00E00B35">
        <w:rPr>
          <w:szCs w:val="20"/>
        </w:rPr>
        <w:t xml:space="preserve">W ramach regulaminowej działalności w 2020 roku </w:t>
      </w:r>
      <w:r w:rsidRPr="00E00B35">
        <w:rPr>
          <w:bCs/>
          <w:szCs w:val="20"/>
        </w:rPr>
        <w:t>zarejestrowano</w:t>
      </w:r>
      <w:r w:rsidRPr="00E00B35">
        <w:rPr>
          <w:szCs w:val="20"/>
        </w:rPr>
        <w:t xml:space="preserve"> w Centralnym Rejestrze Postępowań w sumie </w:t>
      </w:r>
      <w:r w:rsidRPr="00E00B35">
        <w:rPr>
          <w:bCs/>
          <w:szCs w:val="20"/>
        </w:rPr>
        <w:t xml:space="preserve">94 </w:t>
      </w:r>
      <w:r w:rsidRPr="00E00B35">
        <w:rPr>
          <w:szCs w:val="20"/>
        </w:rPr>
        <w:t xml:space="preserve">wnioski o wszczęcie postępowań o zamówienia publiczne, z tego </w:t>
      </w:r>
      <w:r w:rsidRPr="00E00B35">
        <w:rPr>
          <w:bCs/>
          <w:szCs w:val="20"/>
        </w:rPr>
        <w:t>4</w:t>
      </w:r>
      <w:r w:rsidRPr="00E00B35">
        <w:rPr>
          <w:szCs w:val="20"/>
        </w:rPr>
        <w:t xml:space="preserve"> wnioski zostały wycofane z inicjatywy Wnioskującego. </w:t>
      </w:r>
    </w:p>
    <w:p w:rsidR="00E96768" w:rsidRPr="00E00B35" w:rsidRDefault="00E96768" w:rsidP="00E00B35">
      <w:pPr>
        <w:spacing w:after="0" w:line="312" w:lineRule="auto"/>
        <w:rPr>
          <w:szCs w:val="20"/>
        </w:rPr>
      </w:pPr>
      <w:r w:rsidRPr="00E00B35">
        <w:rPr>
          <w:szCs w:val="20"/>
        </w:rPr>
        <w:t>W liczbie pozostałych 90 wniosków mieszczą się:</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wnioski o wszczęcie postępowania</w:t>
      </w:r>
      <w:r w:rsidRPr="00E00B35">
        <w:rPr>
          <w:bCs/>
          <w:szCs w:val="20"/>
        </w:rPr>
        <w:t xml:space="preserve"> </w:t>
      </w:r>
      <w:r w:rsidRPr="00E00B35">
        <w:rPr>
          <w:szCs w:val="20"/>
        </w:rPr>
        <w:t xml:space="preserve">o udzielenie zamówienia publicznego </w:t>
      </w:r>
      <w:r w:rsidRPr="00E00B35">
        <w:rPr>
          <w:bCs/>
          <w:szCs w:val="20"/>
        </w:rPr>
        <w:t>przeprowadzonego przez</w:t>
      </w:r>
      <w:r w:rsidRPr="00E00B35">
        <w:rPr>
          <w:szCs w:val="20"/>
        </w:rPr>
        <w:t xml:space="preserve"> </w:t>
      </w:r>
      <w:r w:rsidRPr="00E00B35">
        <w:rPr>
          <w:bCs/>
          <w:szCs w:val="20"/>
        </w:rPr>
        <w:t>Komisję Przetargową</w:t>
      </w:r>
      <w:r w:rsidRPr="00E00B35">
        <w:rPr>
          <w:szCs w:val="20"/>
        </w:rPr>
        <w:t xml:space="preserve"> w sumie 82</w:t>
      </w:r>
      <w:r w:rsidRPr="00E00B35">
        <w:rPr>
          <w:bCs/>
          <w:szCs w:val="20"/>
        </w:rPr>
        <w:t xml:space="preserve"> postępowania, w tym: </w:t>
      </w:r>
      <w:r w:rsidRPr="00E00B35">
        <w:rPr>
          <w:szCs w:val="20"/>
        </w:rPr>
        <w:t xml:space="preserve"> </w:t>
      </w:r>
    </w:p>
    <w:p w:rsidR="00E96768" w:rsidRPr="00E00B35" w:rsidRDefault="00E96768" w:rsidP="00BC64AB">
      <w:pPr>
        <w:numPr>
          <w:ilvl w:val="0"/>
          <w:numId w:val="250"/>
        </w:numPr>
        <w:spacing w:after="0" w:line="312" w:lineRule="auto"/>
        <w:rPr>
          <w:szCs w:val="20"/>
        </w:rPr>
      </w:pPr>
      <w:r w:rsidRPr="00E00B35">
        <w:rPr>
          <w:szCs w:val="20"/>
        </w:rPr>
        <w:t>w trybie przetargu nieograniczonego -  74 postępowania,</w:t>
      </w:r>
    </w:p>
    <w:p w:rsidR="00E96768" w:rsidRPr="00E00B35" w:rsidRDefault="00E96768" w:rsidP="00BC64AB">
      <w:pPr>
        <w:numPr>
          <w:ilvl w:val="0"/>
          <w:numId w:val="250"/>
        </w:numPr>
        <w:spacing w:after="0" w:line="312" w:lineRule="auto"/>
        <w:rPr>
          <w:szCs w:val="20"/>
        </w:rPr>
      </w:pPr>
      <w:r w:rsidRPr="00E00B35">
        <w:rPr>
          <w:szCs w:val="20"/>
        </w:rPr>
        <w:t>w trybie zamówienia na usługi społeczne, o których mowa w art. 138o ustawy Pzp – 8 postępowań;</w:t>
      </w:r>
    </w:p>
    <w:p w:rsidR="00E96768" w:rsidRPr="00E00B35" w:rsidRDefault="00E96768" w:rsidP="00BC64AB">
      <w:pPr>
        <w:pStyle w:val="Akapitzlist"/>
        <w:numPr>
          <w:ilvl w:val="0"/>
          <w:numId w:val="245"/>
        </w:numPr>
        <w:spacing w:after="0" w:line="312" w:lineRule="auto"/>
        <w:ind w:left="567" w:hanging="567"/>
        <w:rPr>
          <w:bCs/>
          <w:szCs w:val="20"/>
        </w:rPr>
      </w:pPr>
      <w:r w:rsidRPr="00E00B35">
        <w:rPr>
          <w:szCs w:val="20"/>
        </w:rPr>
        <w:t xml:space="preserve">wnioski o wszczęcie postępowania o udzielenie zamówienia publicznego </w:t>
      </w:r>
      <w:r w:rsidRPr="00E00B35">
        <w:rPr>
          <w:bCs/>
          <w:szCs w:val="20"/>
        </w:rPr>
        <w:t>przeprowadzanego przez Osobę Wskazaną</w:t>
      </w:r>
      <w:r w:rsidRPr="00E00B35">
        <w:rPr>
          <w:szCs w:val="20"/>
        </w:rPr>
        <w:t xml:space="preserve"> </w:t>
      </w:r>
      <w:r w:rsidRPr="00E00B35">
        <w:rPr>
          <w:bCs/>
          <w:szCs w:val="20"/>
        </w:rPr>
        <w:t xml:space="preserve">w trybie z wolnej ręki </w:t>
      </w:r>
      <w:r w:rsidRPr="00E00B35">
        <w:rPr>
          <w:szCs w:val="20"/>
        </w:rPr>
        <w:t>– 8</w:t>
      </w:r>
      <w:r w:rsidRPr="00E00B35">
        <w:rPr>
          <w:bCs/>
          <w:szCs w:val="20"/>
        </w:rPr>
        <w:t xml:space="preserve"> postępowań.</w:t>
      </w:r>
    </w:p>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 xml:space="preserve">W ramach regulaminowej działalności w 2020 roku przeprowadzonych zostało łącznie 90 postępowań o udzielenie zamówień publicznych w Urzędzie Miejskim Wrocławia. </w:t>
      </w:r>
    </w:p>
    <w:p w:rsidR="00E96768" w:rsidRPr="00E00B35" w:rsidRDefault="00E96768" w:rsidP="00E00B35">
      <w:pPr>
        <w:pStyle w:val="Tekstpodstawowywcity"/>
        <w:spacing w:after="0" w:line="312" w:lineRule="auto"/>
        <w:ind w:left="0"/>
        <w:rPr>
          <w:szCs w:val="20"/>
        </w:rPr>
      </w:pPr>
      <w:r w:rsidRPr="00E00B35">
        <w:rPr>
          <w:szCs w:val="20"/>
        </w:rPr>
        <w:t xml:space="preserve">Wśród tej liczby największą ilość stanowiły zamówienia na </w:t>
      </w:r>
      <w:r w:rsidRPr="00E00B35">
        <w:rPr>
          <w:bCs/>
          <w:szCs w:val="20"/>
        </w:rPr>
        <w:t xml:space="preserve">usługi, tj. 56  </w:t>
      </w:r>
      <w:r w:rsidRPr="00E00B35">
        <w:rPr>
          <w:szCs w:val="20"/>
        </w:rPr>
        <w:t xml:space="preserve">postępowań, w tym: 7 postępowań przeprowadzono w procedurze pełnej, z uwagi na ich wartość powyżej progu unijnego. </w:t>
      </w:r>
    </w:p>
    <w:p w:rsidR="00E96768" w:rsidRPr="00E00B35" w:rsidRDefault="00E96768" w:rsidP="00E00B35">
      <w:pPr>
        <w:pStyle w:val="Tekstpodstawowywcity"/>
        <w:spacing w:after="0" w:line="312" w:lineRule="auto"/>
        <w:ind w:left="0"/>
        <w:rPr>
          <w:szCs w:val="20"/>
        </w:rPr>
      </w:pPr>
      <w:r w:rsidRPr="00E00B35">
        <w:rPr>
          <w:szCs w:val="20"/>
        </w:rPr>
        <w:t xml:space="preserve">W zakresie </w:t>
      </w:r>
      <w:r w:rsidRPr="00E00B35">
        <w:rPr>
          <w:bCs/>
          <w:szCs w:val="20"/>
        </w:rPr>
        <w:t>dostaw</w:t>
      </w:r>
      <w:r w:rsidRPr="00E00B35">
        <w:rPr>
          <w:szCs w:val="20"/>
        </w:rPr>
        <w:t xml:space="preserve"> przeprowadzono </w:t>
      </w:r>
      <w:r w:rsidRPr="00E00B35">
        <w:rPr>
          <w:bCs/>
          <w:szCs w:val="20"/>
        </w:rPr>
        <w:t>21 postępowań</w:t>
      </w:r>
      <w:r w:rsidRPr="00E00B35">
        <w:rPr>
          <w:szCs w:val="20"/>
        </w:rPr>
        <w:t>, w tym: 4 postępowania  przeprowadzono w procedurze pełnej, z uwagi na ich wartość powyżej progu unijnego.</w:t>
      </w:r>
    </w:p>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 xml:space="preserve">W zakresie robót budowlanych przeprowadzono 13 postępowań, wszystkie poniżej progu unijnego. </w:t>
      </w:r>
    </w:p>
    <w:p w:rsidR="00E96768" w:rsidRPr="00E00B35" w:rsidRDefault="00E96768" w:rsidP="00E00B35">
      <w:pPr>
        <w:spacing w:after="0" w:line="312" w:lineRule="auto"/>
        <w:rPr>
          <w:rFonts w:cs="Arial"/>
          <w:szCs w:val="20"/>
        </w:rPr>
      </w:pPr>
      <w:r w:rsidRPr="00E00B35">
        <w:rPr>
          <w:bCs/>
          <w:szCs w:val="20"/>
        </w:rPr>
        <w:t>11 zamówień przeprowadzono na Platformie Elektronicznej e-Zamówienia.</w:t>
      </w:r>
    </w:p>
    <w:p w:rsidR="005B50AD" w:rsidRPr="00E00B35" w:rsidRDefault="005B50AD" w:rsidP="00E00B35">
      <w:pPr>
        <w:spacing w:after="0" w:line="312" w:lineRule="auto"/>
        <w:rPr>
          <w:bCs/>
          <w:szCs w:val="20"/>
        </w:rPr>
      </w:pPr>
    </w:p>
    <w:p w:rsidR="00E96768" w:rsidRPr="00E00B35" w:rsidRDefault="00E96768" w:rsidP="00E00B35">
      <w:pPr>
        <w:spacing w:after="0" w:line="312" w:lineRule="auto"/>
        <w:rPr>
          <w:bCs/>
          <w:szCs w:val="20"/>
        </w:rPr>
      </w:pPr>
      <w:r w:rsidRPr="00E00B35">
        <w:rPr>
          <w:bCs/>
          <w:szCs w:val="20"/>
        </w:rPr>
        <w:t>W ramach regulaminowej działalności w zakresie prowadzonych postępowań wydano łącznie 103 decyzje, w tym: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o powołaniu Komisji Przetargowych do przeprowadzenia postępowania w sprawie zamówienia – 81 decyzji,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 zmianie składu Komisji Przetargowej -  14 decyzji,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o powołaniu Osób Wskazanych do przeprowadzenia postępowania w sprawie zamówienia publicznego w trybie z wolnej ręki - </w:t>
      </w:r>
      <w:r w:rsidRPr="00E00B35">
        <w:rPr>
          <w:bCs/>
          <w:szCs w:val="20"/>
        </w:rPr>
        <w:t>8</w:t>
      </w:r>
      <w:r w:rsidRPr="00E00B35">
        <w:rPr>
          <w:szCs w:val="20"/>
        </w:rPr>
        <w:t xml:space="preserve"> decyzji.</w:t>
      </w:r>
    </w:p>
    <w:p w:rsidR="005B50AD" w:rsidRPr="00E00B35" w:rsidRDefault="005B50AD" w:rsidP="00E00B35">
      <w:pPr>
        <w:pStyle w:val="Tekstpodstawowy3"/>
        <w:tabs>
          <w:tab w:val="left" w:pos="1260"/>
          <w:tab w:val="left" w:pos="1440"/>
        </w:tabs>
        <w:spacing w:after="0" w:line="312" w:lineRule="auto"/>
        <w:rPr>
          <w:bCs/>
          <w:sz w:val="20"/>
          <w:szCs w:val="20"/>
        </w:rPr>
      </w:pPr>
    </w:p>
    <w:p w:rsidR="00E96768" w:rsidRPr="00E00B35" w:rsidRDefault="00E96768" w:rsidP="00E00B35">
      <w:pPr>
        <w:pStyle w:val="Tekstpodstawowy3"/>
        <w:tabs>
          <w:tab w:val="left" w:pos="1260"/>
          <w:tab w:val="left" w:pos="1440"/>
        </w:tabs>
        <w:spacing w:after="0" w:line="312" w:lineRule="auto"/>
        <w:rPr>
          <w:sz w:val="20"/>
          <w:szCs w:val="20"/>
        </w:rPr>
      </w:pPr>
      <w:r w:rsidRPr="00E00B35">
        <w:rPr>
          <w:bCs/>
          <w:sz w:val="20"/>
          <w:szCs w:val="20"/>
        </w:rPr>
        <w:t>W postępowaniach</w:t>
      </w:r>
      <w:r w:rsidRPr="00E00B35">
        <w:rPr>
          <w:sz w:val="20"/>
          <w:szCs w:val="20"/>
        </w:rPr>
        <w:t xml:space="preserve"> o udzielenie zamówień publicznych prowadzonych w okresie sprawozdawczym, </w:t>
      </w:r>
      <w:r w:rsidRPr="00E00B35">
        <w:rPr>
          <w:bCs/>
          <w:sz w:val="20"/>
          <w:szCs w:val="20"/>
        </w:rPr>
        <w:t xml:space="preserve">w ramach uprawnień Wykonawców, wniesiono 1 informację </w:t>
      </w:r>
      <w:r w:rsidRPr="00E00B35">
        <w:rPr>
          <w:bCs/>
          <w:sz w:val="20"/>
          <w:szCs w:val="20"/>
        </w:rPr>
        <w:br/>
        <w:t>o niezgodnej z przepisami ustawy Prawo zamówień publicznych czynności podjętej przez Zamawiającego</w:t>
      </w:r>
      <w:r w:rsidRPr="00E00B35">
        <w:rPr>
          <w:sz w:val="20"/>
          <w:szCs w:val="20"/>
        </w:rPr>
        <w:t xml:space="preserve"> na czynności dokonane po otwarciu ofert tj. wybór oferty. Podniesione zarzuty zostały uznane za bezzasadne. </w:t>
      </w:r>
    </w:p>
    <w:p w:rsidR="00E96768" w:rsidRPr="00E00B35" w:rsidRDefault="00E96768" w:rsidP="00E00B35">
      <w:pPr>
        <w:pStyle w:val="Tekstpodstawowy"/>
        <w:spacing w:after="0" w:line="312" w:lineRule="auto"/>
        <w:rPr>
          <w:bCs/>
          <w:szCs w:val="20"/>
        </w:rPr>
      </w:pPr>
      <w:r w:rsidRPr="00E00B35">
        <w:rPr>
          <w:bCs/>
          <w:szCs w:val="20"/>
        </w:rPr>
        <w:t>Ponadto, w zakresie zamówień publicznych: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na podstawie projektów planów zamówień przesłanych ze wszystkich komórek organizacyjnych Urzędu, sporządzono Harmonogram zamówień publicznych w zakresie robót budowlanych, dostaw i usług na 2020 rok,</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na podstawie zgłoszeń przesłanych przez komórki organizacyjne Urzędu, wprowadzono do Harmonogramu zamówień publicznych 3 250 zmian dotyczących: dodania nowego lub rezygnacji z dotychczasowego zamówienia, wartości zamówienia, terminu wszczęcia procedury jak również informacji o wcześniej nieplanowanych zamówieniach o wartości nie przekraczającej równowartości  30 000 euro,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sporządzono roczne sprawozdanie o udzielonych zamówieniach w 2019 roku </w:t>
      </w:r>
      <w:r w:rsidRPr="00E00B35">
        <w:rPr>
          <w:szCs w:val="20"/>
        </w:rPr>
        <w:br/>
        <w:t>i przekazano do Prezesa Urzędu Zamówień Publicznych,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sporządzono i skierowano do publikacji w Dzienniku Urzędowym Unii Europejskiej wstępne ogłoszenie informacyjne o planowanych w 2020 roku zamówieniach publicznych w Urzędzie Miejskim Wrocławia,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na podstawie § 49 Regulaminu zamówień publicznych w 2020 roku zaplanowano </w:t>
      </w:r>
      <w:r w:rsidRPr="00E00B35">
        <w:rPr>
          <w:szCs w:val="20"/>
        </w:rPr>
        <w:br/>
        <w:t xml:space="preserve">i przeprowadzono okresową kontrolę udzielania zamówień wyłączonych ze stosowania przepisów ustawy Pzp w okresie od dnia 1 stycznia 2019 roku do dnia 31 grudnia </w:t>
      </w:r>
      <w:r w:rsidRPr="00E00B35">
        <w:rPr>
          <w:szCs w:val="20"/>
        </w:rPr>
        <w:br/>
        <w:t xml:space="preserve">2019 roku. W okresie objętym kontrolą udzielono w Urzędzie 2 789 zamówień. Wszystkie zostały objęte kontrolą. Na tę okoliczność sporządzono protokoły </w:t>
      </w:r>
      <w:r w:rsidRPr="00E00B35">
        <w:rPr>
          <w:szCs w:val="20"/>
        </w:rPr>
        <w:br/>
        <w:t>z ustaleniami pokontrolnymi,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na podstawie § 50 ust. 3 Regulaminu zamówień publicznych sporządzono i przekazano do Sekretarza Miasta informację o wynikach przeprowadzonej w Komórkach organizacyjnych Urzędu kontroli udzielania zamówień z wyłączeniem stosowania ustawy Pzp za okres 2019 roku,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na podstawie § 50 ust. 4 Regulaminu zamówień publicznych przekazano do Dyrektorów Departamentów informację o stwierdzonych nieprawidłowościach przy udzielaniu zamówień wyłączonych ze stosowania ustawy Pzp w podległych im Komórkach organizacyjnych za okres 2019 roku,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na podstawie § 51 Regulaminu zamówień publicznych dokonano kontroli prawidłowości przeprowadzenia procedury przez Osobę Wskazaną w 6 postępowaniach udzielonych w trybie zamówienia z wolnej ręki,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na podstawie § 33 Regulaminu zamówień publicznych zaopiniowano 100 aneksów wprowadzających zmiany do zawartych umów o udzielenie zamówienia publicznego,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na żądanie zainteresowanych udostępniono do wglądu protokół postępowania o zamówienie publiczne wraz załącznikami w oparciu o ustawę z  dnia 6 września 2001 r. o dostępie do informacji publicznej, zgodnie z rozporządzeniem Ministra Rozwoju z dnia 26 lipca 2016 roku w sprawie protokołu postępowania </w:t>
      </w:r>
      <w:r w:rsidRPr="00E00B35">
        <w:rPr>
          <w:szCs w:val="20"/>
        </w:rPr>
        <w:br/>
        <w:t>o udzielenie</w:t>
      </w:r>
      <w:r w:rsidRPr="00E00B35">
        <w:rPr>
          <w:rFonts w:cs="Tahoma"/>
          <w:szCs w:val="20"/>
        </w:rPr>
        <w:t xml:space="preserve"> zamówienia publicznego.</w:t>
      </w:r>
    </w:p>
    <w:p w:rsidR="00E96768" w:rsidRPr="00E00B35" w:rsidRDefault="00E96768" w:rsidP="00E00B35">
      <w:pPr>
        <w:pStyle w:val="Tekstpodstawowy3"/>
        <w:spacing w:after="0" w:line="312" w:lineRule="auto"/>
        <w:rPr>
          <w:bCs/>
          <w:sz w:val="20"/>
          <w:szCs w:val="20"/>
        </w:rPr>
      </w:pPr>
    </w:p>
    <w:p w:rsidR="00E96768" w:rsidRPr="00E00B35" w:rsidRDefault="00E96768" w:rsidP="00E00B35">
      <w:pPr>
        <w:pStyle w:val="Nagwek3"/>
        <w:spacing w:after="0" w:line="312" w:lineRule="auto"/>
        <w:rPr>
          <w:sz w:val="20"/>
        </w:rPr>
      </w:pPr>
      <w:r w:rsidRPr="00E00B35">
        <w:rPr>
          <w:sz w:val="20"/>
        </w:rPr>
        <w:t>OBSŁUGA MIESZKAŃCÓW W ZAKRESIE SPRAW OBYWATELSKICH</w:t>
      </w:r>
    </w:p>
    <w:p w:rsidR="00E96768" w:rsidRPr="00E00B35" w:rsidRDefault="00E96768" w:rsidP="00E00B35">
      <w:pPr>
        <w:spacing w:after="0" w:line="312" w:lineRule="auto"/>
        <w:rPr>
          <w:b/>
          <w:szCs w:val="20"/>
        </w:rPr>
      </w:pPr>
      <w:r w:rsidRPr="00E00B35">
        <w:rPr>
          <w:szCs w:val="20"/>
        </w:rPr>
        <w:t xml:space="preserve">Wydział Spraw Obywatelskich realizował wynikające z ustaw, uchwał Rady Miejskiej Wrocławia i zarządzeń Prezydenta Wrocławia, zadania i kompetencje wymienione </w:t>
      </w:r>
      <w:r w:rsidRPr="00E00B35">
        <w:rPr>
          <w:szCs w:val="20"/>
        </w:rPr>
        <w:br/>
        <w:t>w Regulaminie organizacyjnym Urzędu Miejskiego Wrocławia w sposób precyzyjny określone w Regulaminie Organizacyjnym Departamentu Obsługi i Administracji oraz na podstawie posiadanych upoważnień.</w:t>
      </w:r>
    </w:p>
    <w:p w:rsidR="00E96768" w:rsidRPr="00E00B35" w:rsidRDefault="00E96768" w:rsidP="00E00B35">
      <w:pPr>
        <w:spacing w:after="0" w:line="312" w:lineRule="auto"/>
        <w:rPr>
          <w:szCs w:val="20"/>
        </w:rPr>
      </w:pPr>
      <w:r w:rsidRPr="00E00B35">
        <w:rPr>
          <w:szCs w:val="20"/>
        </w:rPr>
        <w:lastRenderedPageBreak/>
        <w:t>W oparciu o powyższe w 2020 r. zrealizowano następujące zadania:</w:t>
      </w:r>
    </w:p>
    <w:p w:rsidR="00E96768" w:rsidRPr="00E00B35" w:rsidRDefault="00E96768" w:rsidP="00BC64AB">
      <w:pPr>
        <w:pStyle w:val="Akapitzlist"/>
        <w:numPr>
          <w:ilvl w:val="0"/>
          <w:numId w:val="245"/>
        </w:numPr>
        <w:spacing w:after="0" w:line="312" w:lineRule="auto"/>
        <w:ind w:left="567" w:hanging="567"/>
        <w:rPr>
          <w:szCs w:val="20"/>
        </w:rPr>
      </w:pPr>
      <w:r w:rsidRPr="00E00B35">
        <w:rPr>
          <w:iCs/>
          <w:szCs w:val="20"/>
        </w:rPr>
        <w:t xml:space="preserve">Z ustawy z dnia 6 sierpnia 2010 roku o dowodach osobistych </w:t>
      </w:r>
      <w:r w:rsidRPr="00E00B35">
        <w:rPr>
          <w:szCs w:val="20"/>
        </w:rPr>
        <w:t>(Dz. U. z 2020 roku poz. 332 z późn. zm.) oraz z ustawy z dnia 24 września 2010 roku o ewidencji ludności (Dz. U. z 2019 roku poz. 1397 z późn. zm.)</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Liczba wydanych dowodów osobistych:</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2017 – 108 162</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2018 – 78 790</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2019 – 66 686</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2020 – 47</w:t>
      </w:r>
      <w:r w:rsidR="00815F93" w:rsidRPr="00E00B35">
        <w:rPr>
          <w:rFonts w:cs="Helv"/>
          <w:color w:val="000000"/>
          <w:szCs w:val="20"/>
        </w:rPr>
        <w:t> </w:t>
      </w:r>
      <w:r w:rsidRPr="00E00B35">
        <w:rPr>
          <w:rFonts w:cs="Helv"/>
          <w:color w:val="000000"/>
          <w:szCs w:val="20"/>
        </w:rPr>
        <w:t>298</w:t>
      </w:r>
      <w:r w:rsidR="00815F93" w:rsidRPr="00E00B35">
        <w:rPr>
          <w:rFonts w:cs="Helv"/>
          <w:color w:val="000000"/>
          <w:szCs w:val="20"/>
        </w:rPr>
        <w:br/>
      </w:r>
    </w:p>
    <w:p w:rsidR="00E96768" w:rsidRPr="00E00B35" w:rsidRDefault="00E96768" w:rsidP="00E00B35">
      <w:pPr>
        <w:pStyle w:val="Nagwek6"/>
        <w:spacing w:before="0" w:after="0" w:line="312" w:lineRule="auto"/>
        <w:rPr>
          <w:rFonts w:ascii="Verdana" w:hAnsi="Verdana"/>
          <w:b/>
          <w:color w:val="auto"/>
          <w:szCs w:val="20"/>
        </w:rPr>
      </w:pPr>
      <w:r w:rsidRPr="00E00B35">
        <w:rPr>
          <w:rFonts w:ascii="Verdana" w:hAnsi="Verdana"/>
          <w:color w:val="auto"/>
          <w:szCs w:val="20"/>
        </w:rPr>
        <w:t>W 2020 roku przyjęto 465 wniosków o wydanie dowodu osobistego w miejscu przebywania osób, które nie mogą z różnych przyczyn (z powodu podeszłego wieku, stanu zdrowia również osób osadzonych w zakładach karnych itp.) przybyć do urzędu i złożyć wniosek osobiście. Następnie dostarczono 509 spersonalizowanych dowodów osobistych do miejsc przebywania tych osób tj. zakładów karnych, domów pomocy społecznej, szpitali.</w:t>
      </w:r>
    </w:p>
    <w:p w:rsidR="00E96768" w:rsidRPr="00E00B35" w:rsidRDefault="00E96768" w:rsidP="00E00B35">
      <w:pPr>
        <w:spacing w:after="0" w:line="312" w:lineRule="auto"/>
        <w:rPr>
          <w:bCs/>
          <w:szCs w:val="20"/>
        </w:rPr>
      </w:pPr>
      <w:r w:rsidRPr="00E00B35">
        <w:rPr>
          <w:szCs w:val="20"/>
        </w:rPr>
        <w:t xml:space="preserve"> </w:t>
      </w:r>
      <w:r w:rsidRPr="00E00B35">
        <w:rPr>
          <w:bCs/>
          <w:szCs w:val="20"/>
        </w:rPr>
        <w:t xml:space="preserve">W tym wydano 21 050 dowodów osobistych na podstawie wniosków złożonych elektronicznie za pośrednictwem ePUAP, co stanowi 44,5 % wszystkich wniosków </w:t>
      </w:r>
      <w:r w:rsidRPr="00E00B35">
        <w:rPr>
          <w:bCs/>
          <w:szCs w:val="20"/>
        </w:rPr>
        <w:br/>
        <w:t>o wydanie dowodów osobistych.</w:t>
      </w:r>
    </w:p>
    <w:p w:rsidR="00E96768" w:rsidRPr="00E00B35" w:rsidRDefault="00E96768" w:rsidP="00E00B35">
      <w:pPr>
        <w:spacing w:after="0" w:line="312" w:lineRule="auto"/>
        <w:rPr>
          <w:bCs/>
          <w:szCs w:val="20"/>
        </w:rPr>
      </w:pPr>
      <w:r w:rsidRPr="00E00B35">
        <w:rPr>
          <w:bCs/>
          <w:szCs w:val="20"/>
        </w:rPr>
        <w:t>Zameldowano na pobyt stały 23 932 osoby</w:t>
      </w:r>
    </w:p>
    <w:p w:rsidR="00E96768" w:rsidRPr="00E00B35" w:rsidRDefault="00E96768" w:rsidP="00E00B35">
      <w:pPr>
        <w:spacing w:after="0" w:line="312" w:lineRule="auto"/>
        <w:rPr>
          <w:bCs/>
          <w:szCs w:val="20"/>
        </w:rPr>
      </w:pPr>
      <w:r w:rsidRPr="00E00B35">
        <w:rPr>
          <w:bCs/>
          <w:szCs w:val="20"/>
        </w:rPr>
        <w:t>Wymeldowano z pobytu stałego 6 375 osoby</w:t>
      </w:r>
    </w:p>
    <w:p w:rsidR="00E96768" w:rsidRPr="00E00B35" w:rsidRDefault="00E96768" w:rsidP="00E00B35">
      <w:pPr>
        <w:spacing w:after="0" w:line="312" w:lineRule="auto"/>
        <w:rPr>
          <w:bCs/>
          <w:szCs w:val="20"/>
        </w:rPr>
      </w:pPr>
      <w:r w:rsidRPr="00E00B35">
        <w:rPr>
          <w:bCs/>
          <w:szCs w:val="20"/>
        </w:rPr>
        <w:t>Zameldowano na pobyt czasowy 28 433 osoby</w:t>
      </w:r>
    </w:p>
    <w:p w:rsidR="00E96768" w:rsidRPr="00E00B35" w:rsidRDefault="00E96768" w:rsidP="00E00B35">
      <w:pPr>
        <w:spacing w:after="0" w:line="312" w:lineRule="auto"/>
        <w:rPr>
          <w:bCs/>
          <w:szCs w:val="20"/>
        </w:rPr>
      </w:pPr>
      <w:r w:rsidRPr="00E00B35">
        <w:rPr>
          <w:bCs/>
          <w:szCs w:val="20"/>
        </w:rPr>
        <w:t>Wymeldowano z pobytu czasowego 1 184 osoby</w:t>
      </w:r>
    </w:p>
    <w:p w:rsidR="00E96768" w:rsidRPr="00E00B35" w:rsidRDefault="00E96768" w:rsidP="00E00B35">
      <w:pPr>
        <w:spacing w:after="0" w:line="312" w:lineRule="auto"/>
        <w:rPr>
          <w:bCs/>
          <w:szCs w:val="20"/>
        </w:rPr>
      </w:pPr>
      <w:r w:rsidRPr="00E00B35">
        <w:rPr>
          <w:bCs/>
          <w:szCs w:val="20"/>
        </w:rPr>
        <w:t>Zgłoszono wyjazd poza granice Rzeczypospolitej Polskiej na pobyt stały 148 osób</w:t>
      </w:r>
    </w:p>
    <w:p w:rsidR="00E96768" w:rsidRPr="00E00B35" w:rsidRDefault="00E96768" w:rsidP="00E00B35">
      <w:pPr>
        <w:spacing w:after="0" w:line="312" w:lineRule="auto"/>
        <w:rPr>
          <w:bCs/>
          <w:szCs w:val="20"/>
        </w:rPr>
      </w:pPr>
      <w:r w:rsidRPr="00E00B35">
        <w:rPr>
          <w:bCs/>
          <w:szCs w:val="20"/>
        </w:rPr>
        <w:t>Zgłoszono wyjazd poza granice Rzeczypospolitej Polskiej na pobyt czasowy dłuższy niż 6 miesięcy 53 osoby</w:t>
      </w:r>
    </w:p>
    <w:p w:rsidR="00E96768" w:rsidRPr="00E00B35" w:rsidRDefault="00E96768" w:rsidP="00E00B35">
      <w:pPr>
        <w:spacing w:after="0" w:line="312" w:lineRule="auto"/>
        <w:rPr>
          <w:bCs/>
          <w:szCs w:val="20"/>
        </w:rPr>
      </w:pPr>
      <w:r w:rsidRPr="00E00B35">
        <w:rPr>
          <w:bCs/>
          <w:szCs w:val="20"/>
        </w:rPr>
        <w:t>Zgłoszono powrót z wyjazdu poza granice Rzeczypospolitej Polskiej trwającego dłużej niż 6 miesięcy 32 osoby</w:t>
      </w:r>
    </w:p>
    <w:p w:rsidR="00E96768" w:rsidRPr="00E00B35" w:rsidRDefault="00E96768" w:rsidP="00E00B35">
      <w:pPr>
        <w:spacing w:after="0" w:line="312" w:lineRule="auto"/>
        <w:rPr>
          <w:bCs/>
          <w:szCs w:val="20"/>
        </w:rPr>
      </w:pPr>
      <w:r w:rsidRPr="00E00B35">
        <w:rPr>
          <w:bCs/>
          <w:szCs w:val="20"/>
        </w:rPr>
        <w:t>Usunięto niezgodności w rejestrze PESEL na wniosek osoby i z urzędu 225 510 osoby</w:t>
      </w:r>
    </w:p>
    <w:p w:rsidR="00E96768" w:rsidRPr="00E00B35" w:rsidRDefault="00E96768" w:rsidP="00E00B35">
      <w:pPr>
        <w:spacing w:after="0" w:line="312" w:lineRule="auto"/>
        <w:rPr>
          <w:bCs/>
          <w:szCs w:val="20"/>
        </w:rPr>
      </w:pPr>
      <w:r w:rsidRPr="00E00B35">
        <w:rPr>
          <w:bCs/>
          <w:szCs w:val="20"/>
        </w:rPr>
        <w:t>Wydano zaświadczenia o zameldowaniu na wniosek osoby i z urzędu 62 425 osoby</w:t>
      </w:r>
    </w:p>
    <w:p w:rsidR="00E96768" w:rsidRPr="00E00B35" w:rsidRDefault="00E96768" w:rsidP="00E00B35">
      <w:pPr>
        <w:spacing w:after="0" w:line="312" w:lineRule="auto"/>
        <w:rPr>
          <w:bCs/>
          <w:szCs w:val="20"/>
        </w:rPr>
      </w:pPr>
      <w:r w:rsidRPr="00E00B35">
        <w:rPr>
          <w:bCs/>
          <w:szCs w:val="20"/>
        </w:rPr>
        <w:t>Wystąpiono o nadanie, zmianę lub usunięcie numeru PESEL 18 908 osób</w:t>
      </w:r>
    </w:p>
    <w:p w:rsidR="00E96768" w:rsidRPr="00E00B35" w:rsidRDefault="00E96768" w:rsidP="00E00B35">
      <w:pPr>
        <w:spacing w:after="0" w:line="312" w:lineRule="auto"/>
        <w:rPr>
          <w:bCs/>
          <w:szCs w:val="20"/>
        </w:rPr>
      </w:pPr>
      <w:r w:rsidRPr="00E00B35">
        <w:rPr>
          <w:bCs/>
          <w:szCs w:val="20"/>
        </w:rPr>
        <w:t>Wydano powiadomienie o nadaniu lub zmianie numeru PESEL</w:t>
      </w:r>
      <w:r w:rsidRPr="00E00B35">
        <w:rPr>
          <w:bCs/>
          <w:szCs w:val="20"/>
        </w:rPr>
        <w:tab/>
        <w:t>18 908 osób</w:t>
      </w:r>
    </w:p>
    <w:p w:rsidR="00E96768" w:rsidRPr="00E00B35" w:rsidRDefault="00E96768" w:rsidP="00E00B35">
      <w:pPr>
        <w:spacing w:after="0" w:line="312" w:lineRule="auto"/>
        <w:rPr>
          <w:bCs/>
          <w:szCs w:val="20"/>
        </w:rPr>
      </w:pPr>
      <w:r w:rsidRPr="00E00B35">
        <w:rPr>
          <w:bCs/>
          <w:szCs w:val="20"/>
        </w:rPr>
        <w:t>Udostępniono dane z rejestru mieszkańców i rejestru PESEL 15 731 osób</w:t>
      </w:r>
    </w:p>
    <w:p w:rsidR="00E96768" w:rsidRPr="00E00B35" w:rsidRDefault="00E96768" w:rsidP="00E00B35">
      <w:pPr>
        <w:spacing w:after="0" w:line="312" w:lineRule="auto"/>
        <w:rPr>
          <w:bCs/>
          <w:szCs w:val="20"/>
        </w:rPr>
      </w:pPr>
      <w:r w:rsidRPr="00E00B35">
        <w:rPr>
          <w:bCs/>
          <w:szCs w:val="20"/>
        </w:rPr>
        <w:t>Wydano zaświadczenia o utracie dowodu osobistego 7 674 osób</w:t>
      </w:r>
    </w:p>
    <w:p w:rsidR="00E96768" w:rsidRPr="00E00B35" w:rsidRDefault="00E96768" w:rsidP="00E00B35">
      <w:pPr>
        <w:spacing w:after="0" w:line="312" w:lineRule="auto"/>
        <w:rPr>
          <w:bCs/>
          <w:szCs w:val="20"/>
        </w:rPr>
      </w:pPr>
      <w:r w:rsidRPr="00E00B35">
        <w:rPr>
          <w:bCs/>
          <w:szCs w:val="20"/>
        </w:rPr>
        <w:t>Wypożyczono dokumentację związaną z wydanym dowodem osobistym uprawnionym organom 995 osób</w:t>
      </w:r>
    </w:p>
    <w:p w:rsidR="00E96768" w:rsidRPr="00E00B35" w:rsidRDefault="00E96768" w:rsidP="00E00B35">
      <w:pPr>
        <w:spacing w:after="0" w:line="312" w:lineRule="auto"/>
        <w:rPr>
          <w:bCs/>
          <w:szCs w:val="20"/>
        </w:rPr>
      </w:pPr>
      <w:r w:rsidRPr="00E00B35">
        <w:rPr>
          <w:bCs/>
          <w:szCs w:val="20"/>
        </w:rPr>
        <w:t>Udostępniono dane z Rejestru Dowodów Osobistych</w:t>
      </w:r>
      <w:r w:rsidRPr="00E00B35">
        <w:rPr>
          <w:bCs/>
          <w:szCs w:val="20"/>
        </w:rPr>
        <w:tab/>
        <w:t>1 131 osób</w:t>
      </w:r>
    </w:p>
    <w:p w:rsidR="00E96768" w:rsidRPr="00E00B35" w:rsidRDefault="00E96768" w:rsidP="00E00B35">
      <w:pPr>
        <w:spacing w:after="0" w:line="312" w:lineRule="auto"/>
        <w:ind w:firstLine="708"/>
        <w:rPr>
          <w:bCs/>
          <w:szCs w:val="20"/>
        </w:rPr>
      </w:pPr>
    </w:p>
    <w:p w:rsidR="00E96768" w:rsidRPr="00E00B35" w:rsidRDefault="00E96768" w:rsidP="00E00B35">
      <w:pPr>
        <w:pStyle w:val="Tekstpodstawowy"/>
        <w:spacing w:after="0" w:line="312" w:lineRule="auto"/>
        <w:rPr>
          <w:iCs/>
          <w:szCs w:val="20"/>
        </w:rPr>
      </w:pPr>
      <w:r w:rsidRPr="00E00B35">
        <w:rPr>
          <w:iCs/>
          <w:szCs w:val="20"/>
        </w:rPr>
        <w:t>Na dzień 31 grudnia 2020 roku zameldowanych było we Wrocławiu 606 247 osób w tym 583 189 na pobyt stały.</w:t>
      </w:r>
    </w:p>
    <w:p w:rsidR="00E96768" w:rsidRPr="00E00B35" w:rsidRDefault="00E96768" w:rsidP="00E00B35">
      <w:pPr>
        <w:pStyle w:val="Tekstpodstawowy"/>
        <w:spacing w:after="0" w:line="312" w:lineRule="auto"/>
        <w:rPr>
          <w:iCs/>
          <w:szCs w:val="20"/>
        </w:rPr>
      </w:pPr>
    </w:p>
    <w:p w:rsidR="00E96768" w:rsidRPr="00E00B35" w:rsidRDefault="00E96768" w:rsidP="00BC64AB">
      <w:pPr>
        <w:pStyle w:val="Akapitzlist"/>
        <w:numPr>
          <w:ilvl w:val="0"/>
          <w:numId w:val="245"/>
        </w:numPr>
        <w:spacing w:after="0" w:line="312" w:lineRule="auto"/>
        <w:ind w:left="567" w:hanging="567"/>
        <w:rPr>
          <w:iCs/>
          <w:szCs w:val="20"/>
        </w:rPr>
      </w:pPr>
      <w:r w:rsidRPr="00E00B35">
        <w:rPr>
          <w:iCs/>
          <w:szCs w:val="20"/>
        </w:rPr>
        <w:lastRenderedPageBreak/>
        <w:t xml:space="preserve">Z ustawy z dnia 9 listopada 2000 roku o repatriacji (Dz. U. z 2019 roku poz. 1472) wykonano </w:t>
      </w:r>
      <w:r w:rsidRPr="00E00B35">
        <w:rPr>
          <w:szCs w:val="20"/>
        </w:rPr>
        <w:t>następujące</w:t>
      </w:r>
      <w:r w:rsidRPr="00E00B35">
        <w:rPr>
          <w:iCs/>
          <w:szCs w:val="20"/>
        </w:rPr>
        <w:t xml:space="preserve"> czynności:</w:t>
      </w:r>
    </w:p>
    <w:p w:rsidR="00E96768" w:rsidRPr="00E00B35" w:rsidRDefault="00E96768" w:rsidP="00BC64AB">
      <w:pPr>
        <w:numPr>
          <w:ilvl w:val="0"/>
          <w:numId w:val="250"/>
        </w:numPr>
        <w:spacing w:after="0" w:line="312" w:lineRule="auto"/>
        <w:rPr>
          <w:szCs w:val="20"/>
        </w:rPr>
      </w:pPr>
      <w:r w:rsidRPr="00E00B35">
        <w:rPr>
          <w:rFonts w:cs="Verdana"/>
          <w:szCs w:val="20"/>
        </w:rPr>
        <w:t xml:space="preserve">udzielono </w:t>
      </w:r>
      <w:r w:rsidRPr="00E00B35">
        <w:rPr>
          <w:szCs w:val="20"/>
        </w:rPr>
        <w:t xml:space="preserve">pomocy repatriantom przy załatwianiu spraw życiowych przybyłym </w:t>
      </w:r>
      <w:r w:rsidRPr="00E00B35">
        <w:rPr>
          <w:szCs w:val="20"/>
        </w:rPr>
        <w:br/>
        <w:t>i osiedlonym we Wrocławiu,</w:t>
      </w:r>
    </w:p>
    <w:p w:rsidR="00E96768" w:rsidRPr="00E00B35" w:rsidRDefault="00E96768" w:rsidP="00BC64AB">
      <w:pPr>
        <w:numPr>
          <w:ilvl w:val="0"/>
          <w:numId w:val="250"/>
        </w:numPr>
        <w:spacing w:after="0" w:line="312" w:lineRule="auto"/>
        <w:rPr>
          <w:rFonts w:cs="Verdana"/>
          <w:szCs w:val="20"/>
        </w:rPr>
      </w:pPr>
      <w:r w:rsidRPr="00E00B35">
        <w:rPr>
          <w:szCs w:val="20"/>
        </w:rPr>
        <w:t>udzielono pomocy przy wypełnianiu, pisaniu, interpretacji dokumentów (ZUS ,PUP, USC, UW</w:t>
      </w:r>
      <w:r w:rsidRPr="00E00B35">
        <w:rPr>
          <w:rFonts w:cs="Verdana"/>
          <w:szCs w:val="20"/>
        </w:rPr>
        <w:t>, NFZ),</w:t>
      </w:r>
    </w:p>
    <w:p w:rsidR="00E96768" w:rsidRPr="00E00B35" w:rsidRDefault="00E96768" w:rsidP="00BC64AB">
      <w:pPr>
        <w:pStyle w:val="Akapitzlist"/>
        <w:numPr>
          <w:ilvl w:val="0"/>
          <w:numId w:val="245"/>
        </w:numPr>
        <w:spacing w:after="0" w:line="312" w:lineRule="auto"/>
        <w:ind w:left="567" w:hanging="567"/>
        <w:rPr>
          <w:szCs w:val="20"/>
        </w:rPr>
      </w:pPr>
      <w:r w:rsidRPr="00E00B35">
        <w:rPr>
          <w:rFonts w:cs="Verdana"/>
          <w:szCs w:val="20"/>
        </w:rPr>
        <w:t xml:space="preserve">otoczono </w:t>
      </w:r>
      <w:r w:rsidRPr="00E00B35">
        <w:rPr>
          <w:szCs w:val="20"/>
        </w:rPr>
        <w:t>wsparciem i opieką nowo przybyłe rodziny repatriantów (wizyty pracowników w domach w godzinach pracy i po godzinach pracy Urzędu, kontaktowano się telefonicznie z repatriantami w godzinach pracy i po godzinach pracy Urzędu w różnych życiowych sprawach),</w:t>
      </w:r>
    </w:p>
    <w:p w:rsidR="00E96768" w:rsidRPr="00E00B35" w:rsidRDefault="00E96768" w:rsidP="00BC64AB">
      <w:pPr>
        <w:pStyle w:val="Akapitzlist"/>
        <w:numPr>
          <w:ilvl w:val="0"/>
          <w:numId w:val="245"/>
        </w:numPr>
        <w:spacing w:after="0" w:line="312" w:lineRule="auto"/>
        <w:ind w:left="567" w:hanging="567"/>
        <w:rPr>
          <w:rFonts w:cs="Verdana"/>
          <w:szCs w:val="20"/>
        </w:rPr>
      </w:pPr>
      <w:r w:rsidRPr="00E00B35">
        <w:rPr>
          <w:szCs w:val="20"/>
        </w:rPr>
        <w:t xml:space="preserve">prowadzono korespondencję z repatriantami chcącymi osiedlić się we Wrocławiu poprzez zaproszenie </w:t>
      </w:r>
      <w:r w:rsidRPr="00E00B35">
        <w:rPr>
          <w:rFonts w:cs="Verdana"/>
          <w:szCs w:val="20"/>
        </w:rPr>
        <w:t>Gminy Wrocław, rodziny lub we własnym zakresie,</w:t>
      </w:r>
    </w:p>
    <w:p w:rsidR="00E96768" w:rsidRPr="00E00B35" w:rsidRDefault="00E96768" w:rsidP="00BC64AB">
      <w:pPr>
        <w:pStyle w:val="Akapitzlist"/>
        <w:numPr>
          <w:ilvl w:val="0"/>
          <w:numId w:val="245"/>
        </w:numPr>
        <w:spacing w:after="0" w:line="312" w:lineRule="auto"/>
        <w:ind w:left="567" w:hanging="567"/>
        <w:rPr>
          <w:szCs w:val="20"/>
        </w:rPr>
      </w:pPr>
      <w:r w:rsidRPr="00E00B35">
        <w:rPr>
          <w:rFonts w:cs="Verdana"/>
          <w:szCs w:val="20"/>
        </w:rPr>
        <w:t xml:space="preserve">udzielono pomocy </w:t>
      </w:r>
      <w:r w:rsidRPr="00E00B35">
        <w:rPr>
          <w:rFonts w:cs="Verdana"/>
          <w:bCs/>
          <w:szCs w:val="20"/>
        </w:rPr>
        <w:t xml:space="preserve">30 </w:t>
      </w:r>
      <w:r w:rsidRPr="00E00B35">
        <w:rPr>
          <w:szCs w:val="20"/>
        </w:rPr>
        <w:t>rodzinom, zaproszonych uchwałami do gminy Wrocław (kontakt z WLM, ZZK - w przypadku remontu, pomoc przy odbiorze lokalu, pomoc przy podpisywaniu umowy najmu, pomoc w wypełnianiu wniosków dot. przyłączenia mediów do danego mieszkania),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przyjęto i zaktualizowano 74 wnioski osób zainteresowanych osiedleniem się we Wrocławiu, które przekazano do Komisji Społecznych, Osiedli i Partycypacji Rady Miejskiej Wrocławia,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przyjęto do końca grudnia 2020 r. 84 wnioski repatriantów  chcących się osiedlić we Wrocławiu,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przygotowano 6 projektów uchwał zapraszających repatriantów do Wrocławia oraz 1 projekt uchwały uchylającej zaproszenie do Wrocławia,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zawarto 3 umowy z pracodawcami zapewniającymi aktywizację zawodową repatriantom (zwrot części kosztów na wynagrodzenie, nagrody i składki na ubezpieczenie społeczne, zwrot części kosztów przeszkolenia repatrianta, zwrot części kosztów na utworzenie stanowiska pracy),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wydano 9 decyzji przyznających pomoc ze środków budżetu państwa na częściowe pokrycie kosztów związanych z remontem, adaptacją lub wyposażeniem lokalu mieszkalnego,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skierowano do DUW 36 wniosków wraz z decyzjami dot. wypłaty środków </w:t>
      </w:r>
      <w:r w:rsidRPr="00E00B35">
        <w:rPr>
          <w:szCs w:val="20"/>
        </w:rPr>
        <w:br/>
        <w:t>z budżetu państwa przyznanych decyzją Pełnomocnika Rządu do Spraw Repatriacji na pokrycie kosztów przejazdu, zagospodarowanie i bieżące utrzymanie, pokrycie kosztów związanych z podjęciem w Rzeczypospolitej Polskiej nauki przez osobę małoletnią,</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złożono 6 wniosków do DUW o udzielenie  dotacji celowej Gminie Wrocław </w:t>
      </w:r>
      <w:r w:rsidRPr="00E00B35">
        <w:rPr>
          <w:szCs w:val="20"/>
        </w:rPr>
        <w:br/>
        <w:t>z budżetu państwa na zapewnienie mieszkań dla repatriantów,</w:t>
      </w:r>
    </w:p>
    <w:p w:rsidR="00E96768" w:rsidRPr="00E00B35" w:rsidRDefault="00E96768" w:rsidP="00BC64AB">
      <w:pPr>
        <w:pStyle w:val="Akapitzlist"/>
        <w:numPr>
          <w:ilvl w:val="0"/>
          <w:numId w:val="245"/>
        </w:numPr>
        <w:spacing w:after="0" w:line="312" w:lineRule="auto"/>
        <w:ind w:left="567" w:hanging="567"/>
        <w:rPr>
          <w:rFonts w:cs="Verdana"/>
          <w:szCs w:val="20"/>
        </w:rPr>
      </w:pPr>
      <w:r w:rsidRPr="00E00B35">
        <w:rPr>
          <w:szCs w:val="20"/>
        </w:rPr>
        <w:t>przygotowano 48 dokumentów finansowych dotyczących wypłat świadczeń finansowych (obsługa finansowa 3 umowy dotyczące aktywizacji zawodowej repatriantów- miesięczne wypłaty z tytułu wynagrodzenia, środki z 36 decyzji pełnomocnika Rządu ds. Repatriacji, przyjęcie dotacji z budżetu wojewody, wypłacono środki z tytułu 9 decyz</w:t>
      </w:r>
      <w:r w:rsidRPr="00E00B35">
        <w:rPr>
          <w:rFonts w:cs="Verdana"/>
          <w:szCs w:val="20"/>
        </w:rPr>
        <w:t xml:space="preserve">ji administracyjnych przyznających pomocy ze </w:t>
      </w:r>
      <w:r w:rsidRPr="00E00B35">
        <w:rPr>
          <w:rFonts w:cs="Verdana"/>
          <w:szCs w:val="20"/>
        </w:rPr>
        <w:lastRenderedPageBreak/>
        <w:t xml:space="preserve">środków budżetu państwa na częściowe pokrycie kosztów związanych </w:t>
      </w:r>
      <w:r w:rsidRPr="00E00B35">
        <w:rPr>
          <w:rFonts w:cs="Verdana"/>
          <w:szCs w:val="20"/>
        </w:rPr>
        <w:br/>
        <w:t>z remontem, adaptacją lub wyposażeniem lokalu mieszkalnego),</w:t>
      </w:r>
    </w:p>
    <w:p w:rsidR="00E96768" w:rsidRPr="00E00B35" w:rsidRDefault="00E96768" w:rsidP="00BC64AB">
      <w:pPr>
        <w:pStyle w:val="Akapitzlist"/>
        <w:numPr>
          <w:ilvl w:val="0"/>
          <w:numId w:val="245"/>
        </w:numPr>
        <w:spacing w:after="0" w:line="312" w:lineRule="auto"/>
        <w:ind w:left="567" w:hanging="567"/>
        <w:rPr>
          <w:szCs w:val="20"/>
        </w:rPr>
      </w:pPr>
      <w:r w:rsidRPr="00E00B35">
        <w:rPr>
          <w:rFonts w:cs="Verdana"/>
          <w:szCs w:val="20"/>
        </w:rPr>
        <w:t xml:space="preserve">dokonano </w:t>
      </w:r>
      <w:r w:rsidRPr="00E00B35">
        <w:rPr>
          <w:szCs w:val="20"/>
        </w:rPr>
        <w:t>rozliczania oraz sprawozdawczości z przyznawanych dotacji z budżetu państwa oraz środków własnych z budżetu gminy,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przygotowano projekt budżetu repatriantów na rok 2021 oraz sporządzono sprawozdanie z wykonanie budżetu za rok 2020,</w:t>
      </w:r>
    </w:p>
    <w:p w:rsidR="00E96768" w:rsidRPr="00E00B35" w:rsidRDefault="00E96768" w:rsidP="00BC64AB">
      <w:pPr>
        <w:pStyle w:val="Akapitzlist"/>
        <w:numPr>
          <w:ilvl w:val="0"/>
          <w:numId w:val="245"/>
        </w:numPr>
        <w:spacing w:after="0" w:line="312" w:lineRule="auto"/>
        <w:ind w:left="567" w:hanging="567"/>
        <w:rPr>
          <w:rFonts w:cs="Verdana"/>
          <w:bCs/>
          <w:szCs w:val="20"/>
        </w:rPr>
      </w:pPr>
      <w:r w:rsidRPr="00E00B35">
        <w:rPr>
          <w:szCs w:val="20"/>
        </w:rPr>
        <w:t>koordynowano rozliczenie</w:t>
      </w:r>
      <w:r w:rsidRPr="00E00B35">
        <w:rPr>
          <w:rFonts w:cs="Verdana"/>
          <w:szCs w:val="20"/>
        </w:rPr>
        <w:t xml:space="preserve"> dotacji celowej z budżetu państwa przyznanej przez Wojewodę dla </w:t>
      </w:r>
      <w:r w:rsidRPr="00E00B35">
        <w:rPr>
          <w:rFonts w:cs="Verdana"/>
          <w:bCs/>
          <w:szCs w:val="20"/>
        </w:rPr>
        <w:t>6</w:t>
      </w:r>
      <w:r w:rsidRPr="00E00B35">
        <w:rPr>
          <w:rFonts w:cs="Verdana"/>
          <w:szCs w:val="20"/>
        </w:rPr>
        <w:t xml:space="preserve"> rodzin repatriantów, którym zapewniono lokal mieszkalny.</w:t>
      </w:r>
    </w:p>
    <w:p w:rsidR="00E96768" w:rsidRPr="00E00B35" w:rsidRDefault="00E96768" w:rsidP="00E00B35">
      <w:pPr>
        <w:pStyle w:val="Tekstpodstawowy"/>
        <w:spacing w:after="0" w:line="312" w:lineRule="auto"/>
        <w:ind w:left="360"/>
        <w:rPr>
          <w:rFonts w:cs="Verdana"/>
          <w:bCs/>
          <w:szCs w:val="20"/>
        </w:rPr>
      </w:pPr>
    </w:p>
    <w:p w:rsidR="00E96768" w:rsidRPr="00E00B35" w:rsidRDefault="00E96768" w:rsidP="00E00B35">
      <w:pPr>
        <w:pStyle w:val="Tekstpodstawowy"/>
        <w:spacing w:after="0" w:line="312" w:lineRule="auto"/>
        <w:ind w:left="75"/>
        <w:rPr>
          <w:rFonts w:cs="Verdana"/>
          <w:szCs w:val="20"/>
        </w:rPr>
      </w:pPr>
      <w:r w:rsidRPr="00E00B35">
        <w:rPr>
          <w:rFonts w:cs="Verdana"/>
          <w:szCs w:val="20"/>
        </w:rPr>
        <w:t xml:space="preserve">Ponadto przesłano </w:t>
      </w:r>
      <w:r w:rsidRPr="00E00B35">
        <w:rPr>
          <w:rFonts w:cs="Verdana"/>
          <w:bCs/>
          <w:szCs w:val="20"/>
        </w:rPr>
        <w:t>118</w:t>
      </w:r>
      <w:r w:rsidRPr="00E00B35">
        <w:rPr>
          <w:rFonts w:cs="Verdana"/>
          <w:szCs w:val="20"/>
        </w:rPr>
        <w:t xml:space="preserve"> listów gratulacyjnych w imieniu Prezydenta Wrocławia dla osób, które ukończyły 100 lat życia i więcej.</w:t>
      </w:r>
    </w:p>
    <w:p w:rsidR="00E96768" w:rsidRPr="00E00B35" w:rsidRDefault="00E96768" w:rsidP="00E00B35">
      <w:pPr>
        <w:pStyle w:val="Tekstpodstawowy"/>
        <w:spacing w:after="0" w:line="312" w:lineRule="auto"/>
        <w:ind w:left="75"/>
        <w:rPr>
          <w:b/>
          <w:iCs/>
          <w:szCs w:val="20"/>
        </w:rPr>
      </w:pPr>
    </w:p>
    <w:p w:rsidR="00E96768" w:rsidRPr="00E00B35" w:rsidRDefault="00E96768" w:rsidP="00BC64AB">
      <w:pPr>
        <w:pStyle w:val="Akapitzlist"/>
        <w:numPr>
          <w:ilvl w:val="0"/>
          <w:numId w:val="245"/>
        </w:numPr>
        <w:spacing w:after="0" w:line="312" w:lineRule="auto"/>
        <w:ind w:left="567" w:hanging="567"/>
        <w:rPr>
          <w:iCs/>
          <w:szCs w:val="20"/>
        </w:rPr>
      </w:pPr>
      <w:r w:rsidRPr="00E00B35">
        <w:rPr>
          <w:iCs/>
          <w:szCs w:val="20"/>
        </w:rPr>
        <w:t xml:space="preserve">Z ustawy z dnia 6 marca 2018 roku o Centralnej Ewidencji i Informacji o Działalności </w:t>
      </w:r>
      <w:r w:rsidRPr="00E00B35">
        <w:rPr>
          <w:szCs w:val="20"/>
        </w:rPr>
        <w:t>Gospodarczej</w:t>
      </w:r>
      <w:r w:rsidRPr="00E00B35">
        <w:rPr>
          <w:iCs/>
          <w:szCs w:val="20"/>
        </w:rPr>
        <w:t xml:space="preserve"> i Punkcie Informacji dla Przedsiębiorcy (Dz. U. z 2020 roku poz. 2296) wykonano następujące czynności:</w:t>
      </w:r>
    </w:p>
    <w:p w:rsidR="00E96768" w:rsidRPr="00E00B35" w:rsidRDefault="00E96768" w:rsidP="00E00B35">
      <w:pPr>
        <w:pStyle w:val="Tekstpodstawowy"/>
        <w:spacing w:after="0" w:line="312" w:lineRule="auto"/>
        <w:rPr>
          <w:b/>
          <w:iCs/>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90"/>
        <w:gridCol w:w="1459"/>
        <w:gridCol w:w="1459"/>
        <w:gridCol w:w="1424"/>
        <w:gridCol w:w="1459"/>
        <w:gridCol w:w="1647"/>
        <w:gridCol w:w="804"/>
      </w:tblGrid>
      <w:tr w:rsidR="00E96768" w:rsidRPr="00E00B35" w:rsidTr="00E96768">
        <w:tc>
          <w:tcPr>
            <w:tcW w:w="1134" w:type="dxa"/>
            <w:shd w:val="clear" w:color="auto" w:fill="D9D9D9" w:themeFill="background1" w:themeFillShade="D9"/>
          </w:tcPr>
          <w:p w:rsidR="00E96768" w:rsidRPr="00E00B35" w:rsidRDefault="00E96768" w:rsidP="00E00B35">
            <w:pPr>
              <w:pStyle w:val="Tekstpodstawowy"/>
              <w:spacing w:after="0" w:line="312" w:lineRule="auto"/>
              <w:rPr>
                <w:b/>
                <w:iCs/>
                <w:szCs w:val="20"/>
              </w:rPr>
            </w:pPr>
            <w:r w:rsidRPr="00E00B35">
              <w:rPr>
                <w:b/>
                <w:iCs/>
                <w:szCs w:val="20"/>
              </w:rPr>
              <w:t>Gmina</w:t>
            </w:r>
          </w:p>
        </w:tc>
        <w:tc>
          <w:tcPr>
            <w:tcW w:w="1418" w:type="dxa"/>
            <w:shd w:val="clear" w:color="auto" w:fill="D9D9D9" w:themeFill="background1" w:themeFillShade="D9"/>
          </w:tcPr>
          <w:p w:rsidR="00E96768" w:rsidRPr="00E00B35" w:rsidRDefault="00E96768" w:rsidP="00E00B35">
            <w:pPr>
              <w:pStyle w:val="Tekstpodstawowy"/>
              <w:spacing w:after="0" w:line="312" w:lineRule="auto"/>
              <w:rPr>
                <w:b/>
                <w:szCs w:val="20"/>
              </w:rPr>
            </w:pPr>
            <w:r w:rsidRPr="00E00B35">
              <w:rPr>
                <w:b/>
                <w:szCs w:val="20"/>
              </w:rPr>
              <w:t>Nowa</w:t>
            </w:r>
          </w:p>
          <w:p w:rsidR="00E96768" w:rsidRPr="00E00B35" w:rsidRDefault="00E96768" w:rsidP="00E00B35">
            <w:pPr>
              <w:pStyle w:val="Tekstpodstawowy"/>
              <w:spacing w:after="0" w:line="312" w:lineRule="auto"/>
              <w:rPr>
                <w:b/>
                <w:bCs/>
                <w:iCs/>
                <w:szCs w:val="20"/>
              </w:rPr>
            </w:pPr>
            <w:r w:rsidRPr="00E00B35">
              <w:rPr>
                <w:b/>
                <w:szCs w:val="20"/>
              </w:rPr>
              <w:t>rejestracja działalności gospodarczej</w:t>
            </w:r>
          </w:p>
        </w:tc>
        <w:tc>
          <w:tcPr>
            <w:tcW w:w="1337" w:type="dxa"/>
            <w:shd w:val="clear" w:color="auto" w:fill="D9D9D9" w:themeFill="background1" w:themeFillShade="D9"/>
          </w:tcPr>
          <w:p w:rsidR="00E96768" w:rsidRPr="00E00B35" w:rsidRDefault="00E96768" w:rsidP="00E00B35">
            <w:pPr>
              <w:pStyle w:val="Tytu"/>
              <w:spacing w:after="0" w:line="312" w:lineRule="auto"/>
              <w:jc w:val="left"/>
              <w:rPr>
                <w:szCs w:val="20"/>
              </w:rPr>
            </w:pPr>
            <w:r w:rsidRPr="00E00B35">
              <w:rPr>
                <w:szCs w:val="20"/>
              </w:rPr>
              <w:t>Zmiany w rejestrze działalności</w:t>
            </w:r>
          </w:p>
          <w:p w:rsidR="00E96768" w:rsidRPr="00E00B35" w:rsidRDefault="00E96768" w:rsidP="00E00B35">
            <w:pPr>
              <w:pStyle w:val="Tekstpodstawowy"/>
              <w:spacing w:after="0" w:line="312" w:lineRule="auto"/>
              <w:rPr>
                <w:b/>
                <w:bCs/>
                <w:iCs/>
                <w:szCs w:val="20"/>
              </w:rPr>
            </w:pPr>
            <w:r w:rsidRPr="00E00B35">
              <w:rPr>
                <w:b/>
                <w:szCs w:val="20"/>
              </w:rPr>
              <w:t>gospodarczej</w:t>
            </w:r>
          </w:p>
        </w:tc>
        <w:tc>
          <w:tcPr>
            <w:tcW w:w="1356" w:type="dxa"/>
            <w:shd w:val="clear" w:color="auto" w:fill="D9D9D9" w:themeFill="background1" w:themeFillShade="D9"/>
          </w:tcPr>
          <w:p w:rsidR="00E96768" w:rsidRPr="00E00B35" w:rsidRDefault="00E96768" w:rsidP="00E00B35">
            <w:pPr>
              <w:pStyle w:val="Tekstpodstawowy"/>
              <w:spacing w:after="0" w:line="312" w:lineRule="auto"/>
              <w:rPr>
                <w:b/>
                <w:iCs/>
                <w:szCs w:val="20"/>
              </w:rPr>
            </w:pPr>
            <w:r w:rsidRPr="00E00B35">
              <w:rPr>
                <w:b/>
                <w:iCs/>
                <w:szCs w:val="20"/>
              </w:rPr>
              <w:t>Zawieszenia, wznowienia i wezwania</w:t>
            </w:r>
          </w:p>
        </w:tc>
        <w:tc>
          <w:tcPr>
            <w:tcW w:w="1337" w:type="dxa"/>
            <w:shd w:val="clear" w:color="auto" w:fill="D9D9D9" w:themeFill="background1" w:themeFillShade="D9"/>
          </w:tcPr>
          <w:p w:rsidR="00E96768" w:rsidRPr="00E00B35" w:rsidRDefault="00E96768" w:rsidP="00E00B35">
            <w:pPr>
              <w:pStyle w:val="Tekstpodstawowy"/>
              <w:spacing w:after="0" w:line="312" w:lineRule="auto"/>
              <w:rPr>
                <w:b/>
                <w:bCs/>
                <w:iCs/>
                <w:szCs w:val="20"/>
              </w:rPr>
            </w:pPr>
            <w:r w:rsidRPr="00E00B35">
              <w:rPr>
                <w:b/>
                <w:szCs w:val="20"/>
              </w:rPr>
              <w:t>Wykreślenie z rejestru działalności gospodarczej</w:t>
            </w:r>
          </w:p>
        </w:tc>
        <w:tc>
          <w:tcPr>
            <w:tcW w:w="1518" w:type="dxa"/>
            <w:shd w:val="clear" w:color="auto" w:fill="D9D9D9" w:themeFill="background1" w:themeFillShade="D9"/>
          </w:tcPr>
          <w:p w:rsidR="00E96768" w:rsidRPr="00E00B35" w:rsidRDefault="00E96768" w:rsidP="00E00B35">
            <w:pPr>
              <w:pStyle w:val="Tekstpodstawowy"/>
              <w:spacing w:after="0" w:line="312" w:lineRule="auto"/>
              <w:rPr>
                <w:b/>
                <w:szCs w:val="20"/>
              </w:rPr>
            </w:pPr>
            <w:r w:rsidRPr="00E00B35">
              <w:rPr>
                <w:b/>
                <w:szCs w:val="20"/>
              </w:rPr>
              <w:t>Inne</w:t>
            </w:r>
            <w:r w:rsidRPr="00E00B35">
              <w:rPr>
                <w:b/>
                <w:szCs w:val="20"/>
              </w:rPr>
              <w:br/>
              <w:t>(aktualizacje, duplikaty, zaświadczenia, potwierdzenia)</w:t>
            </w:r>
          </w:p>
        </w:tc>
        <w:tc>
          <w:tcPr>
            <w:tcW w:w="984" w:type="dxa"/>
            <w:shd w:val="clear" w:color="auto" w:fill="D9D9D9" w:themeFill="background1" w:themeFillShade="D9"/>
          </w:tcPr>
          <w:p w:rsidR="00E96768" w:rsidRPr="00E00B35" w:rsidRDefault="00E96768" w:rsidP="00E00B35">
            <w:pPr>
              <w:pStyle w:val="Tytu"/>
              <w:spacing w:after="0" w:line="312" w:lineRule="auto"/>
              <w:jc w:val="left"/>
              <w:rPr>
                <w:szCs w:val="20"/>
              </w:rPr>
            </w:pPr>
            <w:r w:rsidRPr="00E00B35">
              <w:rPr>
                <w:szCs w:val="20"/>
              </w:rPr>
              <w:t>Razem</w:t>
            </w:r>
          </w:p>
          <w:p w:rsidR="00E96768" w:rsidRPr="00E00B35" w:rsidRDefault="00E96768" w:rsidP="00E00B35">
            <w:pPr>
              <w:pStyle w:val="Tekstpodstawowy"/>
              <w:spacing w:after="0" w:line="312" w:lineRule="auto"/>
              <w:rPr>
                <w:b/>
                <w:bCs/>
                <w:iCs/>
                <w:szCs w:val="20"/>
              </w:rPr>
            </w:pPr>
          </w:p>
        </w:tc>
      </w:tr>
      <w:tr w:rsidR="00E96768" w:rsidRPr="00E00B35" w:rsidTr="00E96768">
        <w:tc>
          <w:tcPr>
            <w:tcW w:w="1134" w:type="dxa"/>
          </w:tcPr>
          <w:p w:rsidR="00E96768" w:rsidRPr="00E00B35" w:rsidRDefault="00E96768" w:rsidP="00E00B35">
            <w:pPr>
              <w:pStyle w:val="Tekstpodstawowy"/>
              <w:spacing w:after="0" w:line="312" w:lineRule="auto"/>
              <w:rPr>
                <w:iCs/>
                <w:szCs w:val="20"/>
              </w:rPr>
            </w:pPr>
            <w:r w:rsidRPr="00E00B35">
              <w:rPr>
                <w:iCs/>
                <w:szCs w:val="20"/>
              </w:rPr>
              <w:t>Wrocław</w:t>
            </w:r>
          </w:p>
          <w:p w:rsidR="00E96768" w:rsidRPr="00E00B35" w:rsidRDefault="00E96768" w:rsidP="00E00B35">
            <w:pPr>
              <w:pStyle w:val="Tekstpodstawowy"/>
              <w:spacing w:after="0" w:line="312" w:lineRule="auto"/>
              <w:rPr>
                <w:bCs/>
                <w:iCs/>
                <w:szCs w:val="20"/>
              </w:rPr>
            </w:pPr>
          </w:p>
        </w:tc>
        <w:tc>
          <w:tcPr>
            <w:tcW w:w="1418" w:type="dxa"/>
          </w:tcPr>
          <w:p w:rsidR="00E96768" w:rsidRPr="00E00B35" w:rsidRDefault="00E96768" w:rsidP="00E00B35">
            <w:pPr>
              <w:pStyle w:val="Tekstpodstawowy"/>
              <w:spacing w:after="0" w:line="312" w:lineRule="auto"/>
              <w:rPr>
                <w:iCs/>
                <w:szCs w:val="20"/>
              </w:rPr>
            </w:pPr>
            <w:r w:rsidRPr="00E00B35">
              <w:rPr>
                <w:iCs/>
                <w:szCs w:val="20"/>
              </w:rPr>
              <w:t>2 736</w:t>
            </w:r>
          </w:p>
        </w:tc>
        <w:tc>
          <w:tcPr>
            <w:tcW w:w="1337" w:type="dxa"/>
          </w:tcPr>
          <w:p w:rsidR="00E96768" w:rsidRPr="00E00B35" w:rsidRDefault="00E96768" w:rsidP="00E00B35">
            <w:pPr>
              <w:pStyle w:val="Tekstpodstawowy"/>
              <w:spacing w:after="0" w:line="312" w:lineRule="auto"/>
              <w:rPr>
                <w:iCs/>
                <w:szCs w:val="20"/>
              </w:rPr>
            </w:pPr>
            <w:r w:rsidRPr="00E00B35">
              <w:rPr>
                <w:iCs/>
                <w:szCs w:val="20"/>
              </w:rPr>
              <w:t>10 294</w:t>
            </w:r>
          </w:p>
        </w:tc>
        <w:tc>
          <w:tcPr>
            <w:tcW w:w="1356" w:type="dxa"/>
          </w:tcPr>
          <w:p w:rsidR="00E96768" w:rsidRPr="00E00B35" w:rsidRDefault="00E96768" w:rsidP="00E00B35">
            <w:pPr>
              <w:pStyle w:val="Tekstpodstawowy"/>
              <w:spacing w:after="0" w:line="312" w:lineRule="auto"/>
              <w:rPr>
                <w:iCs/>
                <w:szCs w:val="20"/>
              </w:rPr>
            </w:pPr>
            <w:r w:rsidRPr="00E00B35">
              <w:rPr>
                <w:iCs/>
                <w:szCs w:val="20"/>
              </w:rPr>
              <w:t>4 191</w:t>
            </w:r>
          </w:p>
        </w:tc>
        <w:tc>
          <w:tcPr>
            <w:tcW w:w="1337" w:type="dxa"/>
          </w:tcPr>
          <w:p w:rsidR="00E96768" w:rsidRPr="00E00B35" w:rsidRDefault="00E96768" w:rsidP="00E00B35">
            <w:pPr>
              <w:pStyle w:val="Tekstpodstawowy"/>
              <w:spacing w:after="0" w:line="312" w:lineRule="auto"/>
              <w:rPr>
                <w:iCs/>
                <w:szCs w:val="20"/>
              </w:rPr>
            </w:pPr>
            <w:r w:rsidRPr="00E00B35">
              <w:rPr>
                <w:iCs/>
                <w:szCs w:val="20"/>
              </w:rPr>
              <w:t>1 767</w:t>
            </w:r>
          </w:p>
        </w:tc>
        <w:tc>
          <w:tcPr>
            <w:tcW w:w="1518" w:type="dxa"/>
          </w:tcPr>
          <w:p w:rsidR="00E96768" w:rsidRPr="00E00B35" w:rsidRDefault="00E96768" w:rsidP="00E00B35">
            <w:pPr>
              <w:pStyle w:val="Tekstpodstawowy"/>
              <w:spacing w:after="0" w:line="312" w:lineRule="auto"/>
              <w:rPr>
                <w:iCs/>
                <w:szCs w:val="20"/>
              </w:rPr>
            </w:pPr>
            <w:r w:rsidRPr="00E00B35">
              <w:rPr>
                <w:iCs/>
                <w:szCs w:val="20"/>
              </w:rPr>
              <w:t>89</w:t>
            </w:r>
          </w:p>
        </w:tc>
        <w:tc>
          <w:tcPr>
            <w:tcW w:w="984" w:type="dxa"/>
          </w:tcPr>
          <w:p w:rsidR="00E96768" w:rsidRPr="00E00B35" w:rsidRDefault="00E96768" w:rsidP="00E00B35">
            <w:pPr>
              <w:pStyle w:val="Tekstpodstawowy"/>
              <w:spacing w:after="0" w:line="312" w:lineRule="auto"/>
              <w:rPr>
                <w:iCs/>
                <w:szCs w:val="20"/>
              </w:rPr>
            </w:pPr>
            <w:r w:rsidRPr="00E00B35">
              <w:rPr>
                <w:iCs/>
                <w:szCs w:val="20"/>
              </w:rPr>
              <w:t>19 077</w:t>
            </w:r>
          </w:p>
        </w:tc>
      </w:tr>
    </w:tbl>
    <w:p w:rsidR="00E96768" w:rsidRPr="00E00B35" w:rsidRDefault="00E96768" w:rsidP="00E00B35">
      <w:pPr>
        <w:pStyle w:val="Tytu"/>
        <w:spacing w:after="0" w:line="312" w:lineRule="auto"/>
        <w:jc w:val="left"/>
        <w:rPr>
          <w:szCs w:val="20"/>
        </w:rPr>
      </w:pPr>
    </w:p>
    <w:p w:rsidR="00E96768" w:rsidRPr="00E00B35" w:rsidRDefault="00E96768" w:rsidP="00E00B35">
      <w:pPr>
        <w:pStyle w:val="Tytu"/>
        <w:spacing w:after="0" w:line="312" w:lineRule="auto"/>
        <w:jc w:val="left"/>
        <w:rPr>
          <w:b w:val="0"/>
          <w:bCs/>
          <w:iCs/>
          <w:szCs w:val="20"/>
        </w:rPr>
      </w:pPr>
      <w:r w:rsidRPr="00E00B35">
        <w:rPr>
          <w:b w:val="0"/>
          <w:iCs/>
          <w:szCs w:val="20"/>
        </w:rPr>
        <w:t>W 2020 roku wykonano ogółem 18 988 czynności w zakresie ewidencji działalności gospodarczej, udzielono 150 pisemnych informacji o przedsiębiorcach do Ministerstwa Rozwoju, urzędów skarbowych, Zakładu Ubezpieczeń Społecznych, Urzędu Kontroli Skarbowej, prokuratury, sądów powszechnych, Policji, Powiatowego Urzędu Pracy i osobom fizycznym.</w:t>
      </w:r>
    </w:p>
    <w:p w:rsidR="00E96768" w:rsidRPr="00E00B35" w:rsidRDefault="00E96768" w:rsidP="00E00B35">
      <w:pPr>
        <w:pStyle w:val="Tytu"/>
        <w:spacing w:after="0" w:line="312" w:lineRule="auto"/>
        <w:jc w:val="left"/>
        <w:rPr>
          <w:b w:val="0"/>
          <w:bCs/>
          <w:iCs/>
          <w:szCs w:val="20"/>
        </w:rPr>
      </w:pPr>
      <w:r w:rsidRPr="00E00B35">
        <w:rPr>
          <w:b w:val="0"/>
          <w:iCs/>
          <w:szCs w:val="20"/>
        </w:rPr>
        <w:t>Ponadto udzielono około 5 700 informacji telefonicznie oraz 37 drogą elektroniczną osobom zainteresowanym rejestracją działalności gospodarczej. Przyjęto 21 463 interesantów w sprawach merytorycznych. Przyjęto 3 009 wniosków do potwierdzenia tożsamości posiadaczy profilu zaufanego (PPZ). Dział wykonuje zadania dot. obsługi  wniosków o wpis do Centralnej Ewidencji i Informacji o Działalności Gospodarczej, zatem nie wydaje dokumentacji o aktualnych danych o wpisie do CEIDG.</w:t>
      </w:r>
    </w:p>
    <w:p w:rsidR="00E96768" w:rsidRPr="00E00B35" w:rsidRDefault="00E96768" w:rsidP="00E00B35">
      <w:pPr>
        <w:spacing w:after="0" w:line="312" w:lineRule="auto"/>
        <w:rPr>
          <w:iCs/>
          <w:szCs w:val="20"/>
        </w:rPr>
      </w:pPr>
      <w:r w:rsidRPr="00E00B35">
        <w:rPr>
          <w:iCs/>
          <w:szCs w:val="20"/>
        </w:rPr>
        <w:t xml:space="preserve">Z ustawy z dnia 20 czerwca 1997 roku Prawo o ruchu drogowym (Dz. U. </w:t>
      </w:r>
      <w:r w:rsidRPr="00E00B35">
        <w:rPr>
          <w:iCs/>
          <w:szCs w:val="20"/>
        </w:rPr>
        <w:br/>
        <w:t>z 2020 roku poz. 110) oraz ustawy z dnia 5 stycznia 2011 roku o kierujących pojazdami (Dz. U. z 2020 roku poz. 1286)</w:t>
      </w:r>
    </w:p>
    <w:p w:rsidR="00E96768" w:rsidRPr="00E00B35" w:rsidRDefault="00E96768" w:rsidP="00E00B35">
      <w:pPr>
        <w:pStyle w:val="Tekstpodstawowy"/>
        <w:spacing w:after="0" w:line="312" w:lineRule="auto"/>
        <w:rPr>
          <w:iCs/>
          <w:szCs w:val="20"/>
        </w:rPr>
      </w:pPr>
      <w:r w:rsidRPr="00E00B35">
        <w:rPr>
          <w:iCs/>
          <w:szCs w:val="20"/>
        </w:rPr>
        <w:t>w zakresie rejestracji pojazdów</w:t>
      </w:r>
    </w:p>
    <w:p w:rsidR="00E96768" w:rsidRPr="00E00B35" w:rsidRDefault="00E96768" w:rsidP="00E00B35">
      <w:pPr>
        <w:spacing w:after="0" w:line="312" w:lineRule="auto"/>
        <w:rPr>
          <w:szCs w:val="20"/>
        </w:rPr>
      </w:pPr>
      <w:r w:rsidRPr="00E00B35">
        <w:rPr>
          <w:szCs w:val="20"/>
        </w:rPr>
        <w:t>Ilość wydanych dowodów rejestracyjnych w 2020 roku - 92 032 szt.</w:t>
      </w:r>
    </w:p>
    <w:p w:rsidR="00E96768" w:rsidRPr="00E00B35" w:rsidRDefault="00E96768" w:rsidP="00E00B35">
      <w:pPr>
        <w:spacing w:after="0" w:line="312" w:lineRule="auto"/>
        <w:rPr>
          <w:szCs w:val="20"/>
        </w:rPr>
      </w:pPr>
      <w:r w:rsidRPr="00E00B35">
        <w:rPr>
          <w:szCs w:val="20"/>
        </w:rPr>
        <w:lastRenderedPageBreak/>
        <w:t>Ilość wydanych pozwoleń czasowych w 2020 roku – 101 946 szt.</w:t>
      </w:r>
    </w:p>
    <w:p w:rsidR="00E96768" w:rsidRPr="00E00B35" w:rsidRDefault="00E96768" w:rsidP="00E00B35">
      <w:pPr>
        <w:spacing w:after="0" w:line="312" w:lineRule="auto"/>
        <w:rPr>
          <w:szCs w:val="20"/>
        </w:rPr>
      </w:pPr>
    </w:p>
    <w:p w:rsidR="00E96768" w:rsidRPr="00E00B35" w:rsidRDefault="00E96768" w:rsidP="00E00B35">
      <w:pPr>
        <w:spacing w:after="0" w:line="312" w:lineRule="auto"/>
        <w:ind w:left="142" w:hanging="142"/>
        <w:rPr>
          <w:szCs w:val="20"/>
        </w:rPr>
      </w:pPr>
      <w:r w:rsidRPr="00E00B35">
        <w:rPr>
          <w:szCs w:val="20"/>
        </w:rPr>
        <w:t>Ilość pojazdów zarejestrowanych sprowadzonych z zagranicy w:</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2020 r. – 10 325</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2019 r. – 12 087</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2018 r. – 13 401</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2017 r. – 14 273</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2016 r. – 15 426</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2015 r. – 14 182</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Wydano dowody rejestracyjne stałe: 92 032 sztuk</w:t>
      </w:r>
    </w:p>
    <w:p w:rsidR="00E96768" w:rsidRPr="00E00B35" w:rsidRDefault="00E96768" w:rsidP="00E00B35">
      <w:pPr>
        <w:spacing w:after="0" w:line="312" w:lineRule="auto"/>
        <w:rPr>
          <w:szCs w:val="20"/>
        </w:rPr>
      </w:pPr>
      <w:r w:rsidRPr="00E00B35">
        <w:rPr>
          <w:szCs w:val="20"/>
        </w:rPr>
        <w:t>Wydano nowe tablice rejestracyjne stałe</w:t>
      </w:r>
    </w:p>
    <w:p w:rsidR="00E96768" w:rsidRPr="00E00B35" w:rsidRDefault="00E96768" w:rsidP="00E00B35">
      <w:pPr>
        <w:spacing w:after="0" w:line="312" w:lineRule="auto"/>
        <w:rPr>
          <w:szCs w:val="20"/>
        </w:rPr>
      </w:pPr>
      <w:r w:rsidRPr="00E00B35">
        <w:rPr>
          <w:szCs w:val="20"/>
        </w:rPr>
        <w:t>samochodowe (w tym zmniejszone): 124 046 sztuk</w:t>
      </w:r>
    </w:p>
    <w:p w:rsidR="00E96768" w:rsidRPr="00E00B35" w:rsidRDefault="00E96768" w:rsidP="00E00B35">
      <w:pPr>
        <w:spacing w:after="0" w:line="312" w:lineRule="auto"/>
        <w:rPr>
          <w:szCs w:val="20"/>
        </w:rPr>
      </w:pPr>
      <w:r w:rsidRPr="00E00B35">
        <w:rPr>
          <w:szCs w:val="20"/>
        </w:rPr>
        <w:t>motocykle, motorowery, ciągniki: 3 345 sztuk</w:t>
      </w:r>
    </w:p>
    <w:p w:rsidR="00E96768" w:rsidRPr="00E00B35" w:rsidRDefault="00E96768" w:rsidP="00E00B35">
      <w:pPr>
        <w:spacing w:after="0" w:line="312" w:lineRule="auto"/>
        <w:rPr>
          <w:szCs w:val="20"/>
        </w:rPr>
      </w:pPr>
      <w:r w:rsidRPr="00E00B35">
        <w:rPr>
          <w:szCs w:val="20"/>
        </w:rPr>
        <w:t>Wydano pozwolenia czasowe: 101 946 sztuk</w:t>
      </w:r>
    </w:p>
    <w:p w:rsidR="00E96768" w:rsidRPr="00E00B35" w:rsidRDefault="00E96768" w:rsidP="00E00B35">
      <w:pPr>
        <w:spacing w:after="0" w:line="312" w:lineRule="auto"/>
        <w:rPr>
          <w:szCs w:val="20"/>
        </w:rPr>
      </w:pPr>
      <w:r w:rsidRPr="00E00B35">
        <w:rPr>
          <w:szCs w:val="20"/>
        </w:rPr>
        <w:t>Wydano tablice rejestracyjne tymczasowe: 2 349 sztuk</w:t>
      </w:r>
    </w:p>
    <w:p w:rsidR="00E96768" w:rsidRPr="00E00B35" w:rsidRDefault="00E96768" w:rsidP="00E00B35">
      <w:pPr>
        <w:spacing w:after="0" w:line="312" w:lineRule="auto"/>
        <w:rPr>
          <w:szCs w:val="20"/>
        </w:rPr>
      </w:pPr>
      <w:r w:rsidRPr="00E00B35">
        <w:rPr>
          <w:szCs w:val="20"/>
        </w:rPr>
        <w:t>Przyjęto zgłoszenia o zbyciu/nabyciu pojazdów: 37 246 sztuk</w:t>
      </w:r>
    </w:p>
    <w:p w:rsidR="00E96768" w:rsidRPr="00E00B35" w:rsidRDefault="00E96768" w:rsidP="00E00B35">
      <w:pPr>
        <w:spacing w:after="0" w:line="312" w:lineRule="auto"/>
        <w:rPr>
          <w:szCs w:val="20"/>
        </w:rPr>
      </w:pPr>
      <w:r w:rsidRPr="00E00B35">
        <w:rPr>
          <w:szCs w:val="20"/>
        </w:rPr>
        <w:t>Wyrejestrowano pojazdów na stałe: 5 072 sztuk</w:t>
      </w:r>
    </w:p>
    <w:p w:rsidR="00E96768" w:rsidRPr="00E00B35" w:rsidRDefault="00E96768" w:rsidP="00E00B35">
      <w:pPr>
        <w:spacing w:after="0" w:line="312" w:lineRule="auto"/>
        <w:rPr>
          <w:szCs w:val="20"/>
        </w:rPr>
      </w:pPr>
      <w:r w:rsidRPr="00E00B35">
        <w:rPr>
          <w:szCs w:val="20"/>
        </w:rPr>
        <w:t>Wydano dowody rejestracyjne po zatrzymaniu przez policję: 525 sztuk</w:t>
      </w:r>
    </w:p>
    <w:p w:rsidR="00E96768" w:rsidRPr="00E00B35" w:rsidRDefault="00E96768" w:rsidP="00E00B35">
      <w:pPr>
        <w:spacing w:after="0" w:line="312" w:lineRule="auto"/>
        <w:rPr>
          <w:szCs w:val="20"/>
        </w:rPr>
      </w:pPr>
      <w:r w:rsidRPr="00E00B35">
        <w:rPr>
          <w:szCs w:val="20"/>
        </w:rPr>
        <w:t>Przyjęto dokumenty modyfikujące dane w pojazdach</w:t>
      </w:r>
    </w:p>
    <w:p w:rsidR="00E96768" w:rsidRPr="00E00B35" w:rsidRDefault="00E96768" w:rsidP="00E00B35">
      <w:pPr>
        <w:spacing w:after="0" w:line="312" w:lineRule="auto"/>
        <w:rPr>
          <w:szCs w:val="20"/>
        </w:rPr>
      </w:pPr>
      <w:r w:rsidRPr="00E00B35">
        <w:rPr>
          <w:szCs w:val="20"/>
        </w:rPr>
        <w:t>(wpis: hak, gaz, zastaw, korekta danych): 47 642 sztuk</w:t>
      </w:r>
    </w:p>
    <w:p w:rsidR="00E96768" w:rsidRPr="00E00B35" w:rsidRDefault="00E96768" w:rsidP="00E00B35">
      <w:pPr>
        <w:spacing w:after="0" w:line="312" w:lineRule="auto"/>
        <w:rPr>
          <w:szCs w:val="20"/>
        </w:rPr>
      </w:pPr>
      <w:r w:rsidRPr="00E00B35">
        <w:rPr>
          <w:szCs w:val="20"/>
        </w:rPr>
        <w:t>Wydano kart pojazdów: 20 954 sztuk</w:t>
      </w:r>
    </w:p>
    <w:p w:rsidR="00E96768" w:rsidRPr="00E00B35" w:rsidRDefault="00E96768" w:rsidP="00E00B35">
      <w:pPr>
        <w:spacing w:after="0" w:line="312" w:lineRule="auto"/>
        <w:rPr>
          <w:szCs w:val="20"/>
        </w:rPr>
      </w:pPr>
      <w:r w:rsidRPr="00E00B35">
        <w:rPr>
          <w:szCs w:val="20"/>
        </w:rPr>
        <w:t>Wydano nalepki kontrolne: 60 075 sztuk</w:t>
      </w:r>
    </w:p>
    <w:p w:rsidR="00E96768" w:rsidRPr="00E00B35" w:rsidRDefault="00E96768" w:rsidP="00E00B35">
      <w:pPr>
        <w:spacing w:after="0" w:line="312" w:lineRule="auto"/>
        <w:rPr>
          <w:szCs w:val="20"/>
        </w:rPr>
      </w:pPr>
      <w:r w:rsidRPr="00E00B35">
        <w:rPr>
          <w:szCs w:val="20"/>
        </w:rPr>
        <w:t>Wydano znaki legalizacyjne: 82 788 sztuk</w:t>
      </w:r>
    </w:p>
    <w:p w:rsidR="00E96768" w:rsidRPr="00E00B35" w:rsidRDefault="00E96768" w:rsidP="00E00B35">
      <w:pPr>
        <w:spacing w:after="0" w:line="312" w:lineRule="auto"/>
        <w:rPr>
          <w:szCs w:val="20"/>
        </w:rPr>
      </w:pPr>
      <w:r w:rsidRPr="00E00B35">
        <w:rPr>
          <w:szCs w:val="20"/>
        </w:rPr>
        <w:t>Wydano zaświadczeń o rejestracji pojazdów: 1 020 sztuk</w:t>
      </w:r>
    </w:p>
    <w:p w:rsidR="00E96768" w:rsidRPr="00E00B35" w:rsidRDefault="00E96768" w:rsidP="00E00B35">
      <w:pPr>
        <w:spacing w:after="0" w:line="312" w:lineRule="auto"/>
        <w:rPr>
          <w:szCs w:val="20"/>
        </w:rPr>
      </w:pPr>
      <w:r w:rsidRPr="00E00B35">
        <w:rPr>
          <w:szCs w:val="20"/>
        </w:rPr>
        <w:t>Przydzielono numerów tablic indywidualnych ogółem dla Województwa Dolnośląskiego: 1 167 kompletów</w:t>
      </w:r>
    </w:p>
    <w:p w:rsidR="00E96768" w:rsidRPr="00E00B35" w:rsidRDefault="00E96768" w:rsidP="00E00B35">
      <w:pPr>
        <w:spacing w:after="0" w:line="312" w:lineRule="auto"/>
        <w:rPr>
          <w:szCs w:val="20"/>
        </w:rPr>
      </w:pPr>
      <w:r w:rsidRPr="00E00B35">
        <w:rPr>
          <w:szCs w:val="20"/>
        </w:rPr>
        <w:t xml:space="preserve">w tym: dla Wrocławia: 592 kompletów </w:t>
      </w:r>
    </w:p>
    <w:p w:rsidR="00E96768" w:rsidRPr="00E00B35" w:rsidRDefault="00E96768" w:rsidP="00E00B35">
      <w:pPr>
        <w:spacing w:after="0" w:line="312" w:lineRule="auto"/>
        <w:rPr>
          <w:szCs w:val="20"/>
        </w:rPr>
      </w:pPr>
      <w:r w:rsidRPr="00E00B35">
        <w:rPr>
          <w:szCs w:val="20"/>
        </w:rPr>
        <w:t>Wydano decyzje o nadaniu nr nadwozia, silnika, dorobienia tabliczki zastępczej: 151 sztuk</w:t>
      </w:r>
    </w:p>
    <w:p w:rsidR="00E96768" w:rsidRPr="00E00B35" w:rsidRDefault="00E96768" w:rsidP="00E00B35">
      <w:pPr>
        <w:pStyle w:val="Tekstpodstawowy"/>
        <w:spacing w:after="0" w:line="312" w:lineRule="auto"/>
        <w:rPr>
          <w:iCs/>
          <w:szCs w:val="20"/>
        </w:rPr>
      </w:pPr>
      <w:r w:rsidRPr="00E00B35">
        <w:rPr>
          <w:iCs/>
          <w:szCs w:val="20"/>
        </w:rPr>
        <w:t>Na dzień 31 grudnia 2020 roku zarejestrowanych we Wrocławiu było 633 024, pojazdów w tym 486 565 osobowych.</w:t>
      </w:r>
    </w:p>
    <w:p w:rsidR="00E96768" w:rsidRPr="00E00B35" w:rsidRDefault="00E96768" w:rsidP="00E00B35">
      <w:pPr>
        <w:pStyle w:val="Tekstpodstawowy"/>
        <w:spacing w:after="0" w:line="312" w:lineRule="auto"/>
        <w:rPr>
          <w:iCs/>
          <w:szCs w:val="20"/>
        </w:rPr>
      </w:pPr>
      <w:r w:rsidRPr="00E00B35">
        <w:rPr>
          <w:iCs/>
          <w:szCs w:val="20"/>
        </w:rPr>
        <w:t xml:space="preserve">Ponadto w związku z wejściem w życie z dniem 1 stycznia 2020 roku nowych przepisów </w:t>
      </w:r>
      <w:r w:rsidRPr="00E00B35">
        <w:rPr>
          <w:iCs/>
          <w:szCs w:val="20"/>
        </w:rPr>
        <w:br/>
        <w:t>z zakresu ustawy prawo o ruchu drogowym wydano w 2020 roku 461 decyzji o nałożeniu kary pieniężnej za naruszenie terminu zgłoszenia nabycia lub zbycia pojazdu albo niezarejestrowanie w terminie pojazdu sprowadzonego z UE. Z tego tytułu wpłynęło do budżetu Miasta 24 970 zł.</w:t>
      </w:r>
    </w:p>
    <w:p w:rsidR="00E96768" w:rsidRPr="00E00B35" w:rsidRDefault="00E96768" w:rsidP="00E00B35">
      <w:pPr>
        <w:pStyle w:val="Tekstpodstawowy"/>
        <w:spacing w:after="0" w:line="312" w:lineRule="auto"/>
        <w:rPr>
          <w:iCs/>
          <w:szCs w:val="20"/>
        </w:rPr>
      </w:pPr>
    </w:p>
    <w:p w:rsidR="00E96768" w:rsidRPr="00E00B35" w:rsidRDefault="005B50AD" w:rsidP="00E00B35">
      <w:pPr>
        <w:pStyle w:val="Tekstpodstawowy"/>
        <w:spacing w:after="0" w:line="312" w:lineRule="auto"/>
        <w:rPr>
          <w:iCs/>
          <w:szCs w:val="20"/>
        </w:rPr>
      </w:pPr>
      <w:r w:rsidRPr="00E00B35">
        <w:rPr>
          <w:iCs/>
          <w:szCs w:val="20"/>
        </w:rPr>
        <w:t>W</w:t>
      </w:r>
      <w:r w:rsidR="00E96768" w:rsidRPr="00E00B35">
        <w:rPr>
          <w:iCs/>
          <w:szCs w:val="20"/>
        </w:rPr>
        <w:t xml:space="preserve"> zakresie wydawania  uprawnień do kierowania pojazdami:</w:t>
      </w:r>
    </w:p>
    <w:p w:rsidR="00E96768" w:rsidRPr="00E00B35" w:rsidRDefault="00E96768" w:rsidP="00E00B35">
      <w:pPr>
        <w:pStyle w:val="Tekstpodstawowy"/>
        <w:spacing w:after="0" w:line="312" w:lineRule="auto"/>
        <w:rPr>
          <w:szCs w:val="20"/>
        </w:rPr>
      </w:pPr>
    </w:p>
    <w:p w:rsidR="00E96768" w:rsidRPr="00E00B35" w:rsidRDefault="00E96768" w:rsidP="00E00B35">
      <w:pPr>
        <w:spacing w:after="0" w:line="312" w:lineRule="auto"/>
        <w:rPr>
          <w:szCs w:val="20"/>
        </w:rPr>
      </w:pPr>
      <w:r w:rsidRPr="00E00B35">
        <w:rPr>
          <w:szCs w:val="20"/>
        </w:rPr>
        <w:t>Ilość wydanych praw jazdy po raz pierwszy w 2020 roku – 5 026 szt.</w:t>
      </w:r>
    </w:p>
    <w:p w:rsidR="00E96768" w:rsidRPr="00E00B35" w:rsidRDefault="00E96768" w:rsidP="00E00B35">
      <w:pPr>
        <w:spacing w:after="0" w:line="312" w:lineRule="auto"/>
        <w:rPr>
          <w:szCs w:val="20"/>
        </w:rPr>
      </w:pPr>
      <w:r w:rsidRPr="00E00B35">
        <w:rPr>
          <w:szCs w:val="20"/>
        </w:rPr>
        <w:t>Ilość wymienionych i wtórników praw jazdy w 2020 roku – 7 450 szt.</w:t>
      </w:r>
    </w:p>
    <w:p w:rsidR="00E96768" w:rsidRPr="00E00B35" w:rsidRDefault="00E96768" w:rsidP="00E00B35">
      <w:pPr>
        <w:pStyle w:val="Tekstpodstawowy"/>
        <w:spacing w:after="0" w:line="312" w:lineRule="auto"/>
        <w:rPr>
          <w:iCs/>
          <w:szCs w:val="20"/>
        </w:rPr>
      </w:pPr>
      <w:r w:rsidRPr="00E00B35">
        <w:rPr>
          <w:iCs/>
          <w:szCs w:val="20"/>
        </w:rPr>
        <w:t>a ponadto:</w:t>
      </w:r>
    </w:p>
    <w:p w:rsidR="00E96768" w:rsidRPr="00E00B35" w:rsidRDefault="00815F93" w:rsidP="00E00B35">
      <w:pPr>
        <w:pStyle w:val="Tekstpodstawowy"/>
        <w:spacing w:after="0" w:line="312" w:lineRule="auto"/>
        <w:rPr>
          <w:szCs w:val="20"/>
        </w:rPr>
      </w:pPr>
      <w:r w:rsidRPr="00E00B35">
        <w:rPr>
          <w:szCs w:val="20"/>
        </w:rPr>
        <w:lastRenderedPageBreak/>
        <w:br/>
      </w:r>
      <w:r w:rsidR="00E96768" w:rsidRPr="00E00B35">
        <w:rPr>
          <w:szCs w:val="20"/>
        </w:rPr>
        <w:t>Wydano praw jazdy:12 476 szt.</w:t>
      </w:r>
    </w:p>
    <w:p w:rsidR="00E96768" w:rsidRPr="00E00B35" w:rsidRDefault="00E96768" w:rsidP="00E00B35">
      <w:pPr>
        <w:pStyle w:val="Tekstpodstawowy"/>
        <w:spacing w:after="0" w:line="312" w:lineRule="auto"/>
        <w:rPr>
          <w:szCs w:val="20"/>
        </w:rPr>
      </w:pPr>
      <w:r w:rsidRPr="00E00B35">
        <w:rPr>
          <w:szCs w:val="20"/>
        </w:rPr>
        <w:t xml:space="preserve">Wydano pozwoleń tramwajowych: 168 szt. </w:t>
      </w:r>
    </w:p>
    <w:p w:rsidR="00E96768" w:rsidRPr="00E00B35" w:rsidRDefault="00E96768" w:rsidP="00E00B35">
      <w:pPr>
        <w:pStyle w:val="Tekstpodstawowy"/>
        <w:spacing w:after="0" w:line="312" w:lineRule="auto"/>
        <w:rPr>
          <w:szCs w:val="20"/>
        </w:rPr>
      </w:pPr>
      <w:r w:rsidRPr="00E00B35">
        <w:rPr>
          <w:szCs w:val="20"/>
        </w:rPr>
        <w:t xml:space="preserve">Wydano międzynarodowych praw jazdy: 642 szt. </w:t>
      </w:r>
    </w:p>
    <w:p w:rsidR="00E96768" w:rsidRPr="00E00B35" w:rsidRDefault="00E96768" w:rsidP="00E00B35">
      <w:pPr>
        <w:pStyle w:val="Tekstpodstawowy"/>
        <w:spacing w:after="0" w:line="312" w:lineRule="auto"/>
        <w:rPr>
          <w:szCs w:val="20"/>
        </w:rPr>
      </w:pPr>
      <w:r w:rsidRPr="00E00B35">
        <w:rPr>
          <w:szCs w:val="20"/>
        </w:rPr>
        <w:t xml:space="preserve">Zażądano z innych urzędów akt kierowców: 2 247 szt. </w:t>
      </w:r>
    </w:p>
    <w:p w:rsidR="00E96768" w:rsidRPr="00E00B35" w:rsidRDefault="00E96768" w:rsidP="00E00B35">
      <w:pPr>
        <w:pStyle w:val="Tekstpodstawowy"/>
        <w:spacing w:after="0" w:line="312" w:lineRule="auto"/>
        <w:rPr>
          <w:szCs w:val="20"/>
        </w:rPr>
      </w:pPr>
      <w:r w:rsidRPr="00E00B35">
        <w:rPr>
          <w:szCs w:val="20"/>
        </w:rPr>
        <w:t>Przekazano do innych urzędów akta kierowców, którzy zmienili adres zamieszkania: 1 140 szt.</w:t>
      </w:r>
    </w:p>
    <w:p w:rsidR="00E96768" w:rsidRPr="00E00B35" w:rsidRDefault="00E96768" w:rsidP="00E00B35">
      <w:pPr>
        <w:pStyle w:val="Tekstpodstawowy"/>
        <w:spacing w:after="0" w:line="312" w:lineRule="auto"/>
        <w:rPr>
          <w:szCs w:val="20"/>
        </w:rPr>
      </w:pPr>
      <w:r w:rsidRPr="00E00B35">
        <w:rPr>
          <w:szCs w:val="20"/>
        </w:rPr>
        <w:t xml:space="preserve">Zarejestrowano i zweryfikowano dokumenty w związku z wydaniem postanowienia o zatrzymaniu prawa jazdy bądź orzeczonym wyrokiem sądu: 2 800 szt. </w:t>
      </w:r>
    </w:p>
    <w:p w:rsidR="00E96768" w:rsidRPr="00E00B35" w:rsidRDefault="00E96768" w:rsidP="00E00B35">
      <w:pPr>
        <w:pStyle w:val="Tekstpodstawowy"/>
        <w:spacing w:after="0" w:line="312" w:lineRule="auto"/>
        <w:rPr>
          <w:szCs w:val="20"/>
        </w:rPr>
      </w:pPr>
      <w:r w:rsidRPr="00E00B35">
        <w:rPr>
          <w:szCs w:val="20"/>
        </w:rPr>
        <w:t>Wydano decyzji  w sprawach nadzoru nad kierującymi ogółem :</w:t>
      </w:r>
    </w:p>
    <w:p w:rsidR="00E96768" w:rsidRPr="00E00B35" w:rsidRDefault="00E96768" w:rsidP="00E00B35">
      <w:pPr>
        <w:pStyle w:val="Tekstpodstawowy"/>
        <w:spacing w:after="0" w:line="312" w:lineRule="auto"/>
        <w:rPr>
          <w:szCs w:val="20"/>
        </w:rPr>
      </w:pPr>
      <w:r w:rsidRPr="00E00B35">
        <w:rPr>
          <w:szCs w:val="20"/>
        </w:rPr>
        <w:t>w tym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skierowaniu na kurs reedukacyjny: 520 sztuk</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skierowaniu na badania lekarskie lub psychologiczne: 1 142 sztuk</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cofnięciu uprawnień: 640 sztuk</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przywróceniu uprawnień 191 sztuk</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umorzeniu postępowania: 37 sztuk</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zatrzymaniu prawa jazdy: 1 189 sztuk</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skierowaniu na egzamin sprawdzający kwalifikacje: 71 sztuk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odmowie wydania prawa jazdy: 113 sztuk</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uchyleniu decyzji lub zmianie decyzji: 3 921 sztuk</w:t>
      </w:r>
    </w:p>
    <w:p w:rsidR="00E96768" w:rsidRPr="00E00B35" w:rsidRDefault="00E96768" w:rsidP="00E00B35">
      <w:pPr>
        <w:pStyle w:val="Tekstpodstawowy"/>
        <w:spacing w:after="0" w:line="312" w:lineRule="auto"/>
        <w:ind w:left="360"/>
        <w:rPr>
          <w:szCs w:val="20"/>
        </w:rPr>
      </w:pPr>
    </w:p>
    <w:p w:rsidR="00E96768" w:rsidRPr="00E00B35" w:rsidRDefault="00E96768" w:rsidP="00E00B35">
      <w:pPr>
        <w:pStyle w:val="Tekstpodstawowy"/>
        <w:spacing w:after="0" w:line="312" w:lineRule="auto"/>
        <w:rPr>
          <w:szCs w:val="20"/>
        </w:rPr>
      </w:pPr>
      <w:r w:rsidRPr="00E00B35">
        <w:rPr>
          <w:szCs w:val="20"/>
        </w:rPr>
        <w:t>Wydano PKK na egzamin sprawdzający kwalifikacje po zatrzymaniu prawa jazdy na okres powyżej 1 roku: 278 sztuk</w:t>
      </w:r>
      <w:r w:rsidRPr="00E00B35">
        <w:rPr>
          <w:szCs w:val="20"/>
        </w:rPr>
        <w:tab/>
      </w:r>
    </w:p>
    <w:p w:rsidR="00E96768" w:rsidRPr="00E00B35" w:rsidRDefault="00E96768" w:rsidP="00E00B35">
      <w:pPr>
        <w:pStyle w:val="Tekstpodstawowy"/>
        <w:spacing w:after="0" w:line="312" w:lineRule="auto"/>
        <w:rPr>
          <w:szCs w:val="20"/>
        </w:rPr>
      </w:pPr>
      <w:r w:rsidRPr="00E00B35">
        <w:rPr>
          <w:szCs w:val="20"/>
        </w:rPr>
        <w:t xml:space="preserve">Ewidencja osób , którym sąd orzekł zakaz prowadzenia pojazdów, a nie posiadających prawa jazdy: 237 sztuk </w:t>
      </w:r>
    </w:p>
    <w:p w:rsidR="00E96768" w:rsidRPr="00E00B35" w:rsidRDefault="00E96768" w:rsidP="00E00B35">
      <w:pPr>
        <w:pStyle w:val="Tekstpodstawowy"/>
        <w:spacing w:after="0" w:line="312" w:lineRule="auto"/>
        <w:rPr>
          <w:szCs w:val="20"/>
        </w:rPr>
      </w:pPr>
      <w:r w:rsidRPr="00E00B35">
        <w:rPr>
          <w:szCs w:val="20"/>
        </w:rPr>
        <w:t xml:space="preserve">Udzielono pisemnych odpowiedzi w sprawach uprawnień do kierowania pojazdami: 380 sztuk </w:t>
      </w:r>
    </w:p>
    <w:p w:rsidR="00E96768" w:rsidRPr="00E00B35" w:rsidRDefault="00E96768" w:rsidP="00E00B35">
      <w:pPr>
        <w:pStyle w:val="Tekstpodstawowy"/>
        <w:spacing w:after="0" w:line="312" w:lineRule="auto"/>
        <w:rPr>
          <w:szCs w:val="20"/>
        </w:rPr>
      </w:pPr>
      <w:r w:rsidRPr="00E00B35">
        <w:rPr>
          <w:szCs w:val="20"/>
        </w:rPr>
        <w:t>Przyjęto korespondencję: 15 511 sztuk</w:t>
      </w:r>
    </w:p>
    <w:p w:rsidR="00E96768" w:rsidRPr="00E00B35" w:rsidRDefault="00E96768" w:rsidP="00E00B35">
      <w:pPr>
        <w:pStyle w:val="Tekstpodstawowy"/>
        <w:spacing w:after="0" w:line="312" w:lineRule="auto"/>
        <w:rPr>
          <w:szCs w:val="20"/>
        </w:rPr>
      </w:pPr>
      <w:r w:rsidRPr="00E00B35">
        <w:rPr>
          <w:szCs w:val="20"/>
        </w:rPr>
        <w:t>Wysłano na wniosek strony prawa jazdy pocztą za zwrotnym potwierdzeniem odbioru</w:t>
      </w:r>
    </w:p>
    <w:p w:rsidR="00E96768" w:rsidRPr="00E00B35" w:rsidRDefault="00E96768" w:rsidP="00E00B35">
      <w:pPr>
        <w:pStyle w:val="Tekstpodstawowy"/>
        <w:spacing w:after="0" w:line="312" w:lineRule="auto"/>
        <w:rPr>
          <w:szCs w:val="20"/>
        </w:rPr>
      </w:pPr>
      <w:r w:rsidRPr="00E00B35">
        <w:rPr>
          <w:szCs w:val="20"/>
        </w:rPr>
        <w:t>895 sztuk</w:t>
      </w:r>
    </w:p>
    <w:p w:rsidR="00E96768" w:rsidRPr="00E00B35" w:rsidRDefault="00E96768" w:rsidP="00E00B35">
      <w:pPr>
        <w:pStyle w:val="Tekstpodstawowy"/>
        <w:spacing w:after="0" w:line="312" w:lineRule="auto"/>
        <w:rPr>
          <w:szCs w:val="20"/>
        </w:rPr>
      </w:pPr>
      <w:r w:rsidRPr="00E00B35">
        <w:rPr>
          <w:szCs w:val="20"/>
        </w:rPr>
        <w:t>Wydano profil kandydata na kierowcę: 8 123 sztuk</w:t>
      </w:r>
    </w:p>
    <w:p w:rsidR="00E96768" w:rsidRPr="00E00B35" w:rsidRDefault="00E96768" w:rsidP="00E00B35">
      <w:pPr>
        <w:pStyle w:val="Tekstpodstawowy"/>
        <w:spacing w:after="0" w:line="312" w:lineRule="auto"/>
        <w:rPr>
          <w:szCs w:val="20"/>
        </w:rPr>
      </w:pPr>
      <w:r w:rsidRPr="00E00B35">
        <w:rPr>
          <w:szCs w:val="20"/>
        </w:rPr>
        <w:t>Wydano zezwoleń na kierowanie pojazdem uprzywilejowanym</w:t>
      </w:r>
      <w:r w:rsidRPr="00E00B35">
        <w:rPr>
          <w:szCs w:val="20"/>
        </w:rPr>
        <w:tab/>
        <w:t>115 sztuk</w:t>
      </w:r>
    </w:p>
    <w:p w:rsidR="00E96768" w:rsidRPr="00E00B35" w:rsidRDefault="00E96768" w:rsidP="00E00B35">
      <w:pPr>
        <w:pStyle w:val="Tekstpodstawowy"/>
        <w:spacing w:after="0" w:line="312" w:lineRule="auto"/>
        <w:rPr>
          <w:b/>
          <w:szCs w:val="20"/>
        </w:rPr>
      </w:pPr>
    </w:p>
    <w:p w:rsidR="00E96768" w:rsidRPr="00E00B35" w:rsidRDefault="00E96768" w:rsidP="00E00B35">
      <w:pPr>
        <w:pStyle w:val="Tekstpodstawowy"/>
        <w:spacing w:after="0" w:line="312" w:lineRule="auto"/>
        <w:rPr>
          <w:szCs w:val="20"/>
        </w:rPr>
      </w:pPr>
      <w:r w:rsidRPr="00E00B35">
        <w:rPr>
          <w:szCs w:val="20"/>
        </w:rPr>
        <w:t>Na dzień 31 grudnia 2020 roku – 363 012 mieszkańców Wrocławia posiadało prawa jazdy.</w:t>
      </w:r>
    </w:p>
    <w:p w:rsidR="00E96768" w:rsidRPr="00E00B35" w:rsidRDefault="00E96768" w:rsidP="00E00B35">
      <w:pPr>
        <w:pStyle w:val="Tekstpodstawowy"/>
        <w:spacing w:after="0" w:line="312" w:lineRule="auto"/>
        <w:rPr>
          <w:szCs w:val="20"/>
        </w:rPr>
      </w:pPr>
      <w:r w:rsidRPr="00E00B35">
        <w:rPr>
          <w:szCs w:val="20"/>
        </w:rPr>
        <w:t>Ponadto na zapytania organów zagranicznych wymieniających polskie prawo jazdy wysłano, poprzez system teleinformatyczny Eucaris informacje dotyczącą statusu dokumentu dla 188 osób.</w:t>
      </w:r>
    </w:p>
    <w:p w:rsidR="00E96768" w:rsidRPr="00E00B35" w:rsidRDefault="00E96768" w:rsidP="00E00B35">
      <w:pPr>
        <w:pStyle w:val="Tekstpodstawowy"/>
        <w:spacing w:after="0" w:line="312" w:lineRule="auto"/>
        <w:rPr>
          <w:szCs w:val="20"/>
        </w:rPr>
      </w:pPr>
      <w:r w:rsidRPr="00E00B35">
        <w:rPr>
          <w:szCs w:val="20"/>
        </w:rPr>
        <w:t>W 2020 roku dokonano również wymiany 1 753 zagranicznych praw jazdy, z czego 554 praw jazdy wydanych na Ukrainie.</w:t>
      </w:r>
    </w:p>
    <w:p w:rsidR="00E96768" w:rsidRPr="00E00B35" w:rsidRDefault="00E96768" w:rsidP="00E00B35">
      <w:pPr>
        <w:pStyle w:val="Tekstpodstawowy"/>
        <w:spacing w:after="0" w:line="312" w:lineRule="auto"/>
        <w:rPr>
          <w:iCs/>
          <w:szCs w:val="20"/>
        </w:rPr>
      </w:pPr>
      <w:r w:rsidRPr="00E00B35">
        <w:rPr>
          <w:iCs/>
          <w:szCs w:val="20"/>
        </w:rPr>
        <w:t>W zakresie zadań wpisanych do rejestru działalności regulowanej przedsiębiorców prowadzących stacje kontroli pojazdów (SKP) i ośrodki szkolenia kierowców (OSK) w okresie od 1 stycznia do 31 grudnia 2020 roku.</w:t>
      </w:r>
    </w:p>
    <w:p w:rsidR="00E96768" w:rsidRPr="00E00B35" w:rsidRDefault="00E96768" w:rsidP="00E00B35">
      <w:pPr>
        <w:pStyle w:val="Tekstpodstawowy"/>
        <w:spacing w:after="0" w:line="312" w:lineRule="auto"/>
        <w:rPr>
          <w:iCs/>
          <w:szCs w:val="20"/>
        </w:rPr>
      </w:pPr>
      <w:r w:rsidRPr="00E00B35">
        <w:rPr>
          <w:iCs/>
          <w:szCs w:val="20"/>
        </w:rPr>
        <w:lastRenderedPageBreak/>
        <w:t>Na terenie miasta Wrocławia do rejestru wpisanych było:</w:t>
      </w:r>
    </w:p>
    <w:p w:rsidR="00E96768" w:rsidRPr="00E00B35" w:rsidRDefault="00E96768" w:rsidP="00E00B35">
      <w:pPr>
        <w:pStyle w:val="Tekstpodstawowy"/>
        <w:spacing w:after="0" w:line="312" w:lineRule="auto"/>
        <w:rPr>
          <w:iCs/>
          <w:szCs w:val="20"/>
        </w:rPr>
      </w:pPr>
      <w:r w:rsidRPr="00E00B35">
        <w:rPr>
          <w:iCs/>
          <w:szCs w:val="20"/>
        </w:rPr>
        <w:t>Stacji kontroli pojazdów: 63</w:t>
      </w:r>
    </w:p>
    <w:p w:rsidR="00E96768" w:rsidRPr="00E00B35" w:rsidRDefault="00E96768" w:rsidP="00E00B35">
      <w:pPr>
        <w:pStyle w:val="Tekstpodstawowy"/>
        <w:spacing w:after="0" w:line="312" w:lineRule="auto"/>
        <w:rPr>
          <w:iCs/>
          <w:szCs w:val="20"/>
        </w:rPr>
      </w:pPr>
      <w:r w:rsidRPr="00E00B35">
        <w:rPr>
          <w:iCs/>
          <w:szCs w:val="20"/>
        </w:rPr>
        <w:t>Ośrodków szkolenia kierowców: 51</w:t>
      </w:r>
    </w:p>
    <w:p w:rsidR="00E96768" w:rsidRPr="00E00B35" w:rsidRDefault="00E96768" w:rsidP="00E00B35">
      <w:pPr>
        <w:pStyle w:val="Tekstpodstawowy"/>
        <w:spacing w:after="0" w:line="312" w:lineRule="auto"/>
        <w:rPr>
          <w:iCs/>
          <w:szCs w:val="20"/>
        </w:rPr>
      </w:pPr>
      <w:r w:rsidRPr="00E00B35">
        <w:rPr>
          <w:iCs/>
          <w:szCs w:val="20"/>
        </w:rPr>
        <w:t>Wpisano do ewidencji:</w:t>
      </w:r>
    </w:p>
    <w:p w:rsidR="00E96768" w:rsidRPr="00E00B35" w:rsidRDefault="00E96768" w:rsidP="00E00B35">
      <w:pPr>
        <w:pStyle w:val="Tekstpodstawowy"/>
        <w:spacing w:after="0" w:line="312" w:lineRule="auto"/>
        <w:rPr>
          <w:iCs/>
          <w:szCs w:val="20"/>
        </w:rPr>
      </w:pPr>
      <w:r w:rsidRPr="00E00B35">
        <w:rPr>
          <w:iCs/>
          <w:szCs w:val="20"/>
        </w:rPr>
        <w:t>Instruktorów nauki jazdy: 18</w:t>
      </w:r>
    </w:p>
    <w:p w:rsidR="00E96768" w:rsidRPr="00E00B35" w:rsidRDefault="00E96768" w:rsidP="00E00B35">
      <w:pPr>
        <w:pStyle w:val="Tekstpodstawowy"/>
        <w:spacing w:after="0" w:line="312" w:lineRule="auto"/>
        <w:rPr>
          <w:iCs/>
          <w:szCs w:val="20"/>
        </w:rPr>
      </w:pPr>
      <w:r w:rsidRPr="00E00B35">
        <w:rPr>
          <w:iCs/>
          <w:szCs w:val="20"/>
        </w:rPr>
        <w:t>Wykładowców:</w:t>
      </w:r>
    </w:p>
    <w:p w:rsidR="00E96768" w:rsidRPr="00E00B35" w:rsidRDefault="00E96768" w:rsidP="00E00B35">
      <w:pPr>
        <w:pStyle w:val="Tekstpodstawowy"/>
        <w:spacing w:after="0" w:line="312" w:lineRule="auto"/>
        <w:rPr>
          <w:iCs/>
          <w:szCs w:val="20"/>
        </w:rPr>
      </w:pPr>
      <w:r w:rsidRPr="00E00B35">
        <w:rPr>
          <w:iCs/>
          <w:szCs w:val="20"/>
        </w:rPr>
        <w:t>Łączna liczba instruktorów nauki jazdy; 370</w:t>
      </w:r>
    </w:p>
    <w:p w:rsidR="00E96768" w:rsidRPr="00E00B35" w:rsidRDefault="00E96768" w:rsidP="00E00B35">
      <w:pPr>
        <w:pStyle w:val="Tekstpodstawowy"/>
        <w:spacing w:after="0" w:line="312" w:lineRule="auto"/>
        <w:rPr>
          <w:iCs/>
          <w:szCs w:val="20"/>
        </w:rPr>
      </w:pPr>
      <w:r w:rsidRPr="00E00B35">
        <w:rPr>
          <w:iCs/>
          <w:szCs w:val="20"/>
        </w:rPr>
        <w:t>Łączna liczba wykładowców: 2</w:t>
      </w:r>
    </w:p>
    <w:p w:rsidR="00E96768" w:rsidRPr="00E00B35" w:rsidRDefault="00E96768" w:rsidP="00E00B35">
      <w:pPr>
        <w:pStyle w:val="Tekstpodstawowy"/>
        <w:spacing w:after="0" w:line="312" w:lineRule="auto"/>
        <w:rPr>
          <w:iCs/>
          <w:szCs w:val="20"/>
        </w:rPr>
      </w:pPr>
      <w:r w:rsidRPr="00E00B35">
        <w:rPr>
          <w:iCs/>
          <w:szCs w:val="20"/>
        </w:rPr>
        <w:t>Nadano uprawnienia:</w:t>
      </w:r>
    </w:p>
    <w:p w:rsidR="00E96768" w:rsidRPr="00E00B35" w:rsidRDefault="00E96768" w:rsidP="00E00B35">
      <w:pPr>
        <w:pStyle w:val="Tekstpodstawowy"/>
        <w:spacing w:after="0" w:line="312" w:lineRule="auto"/>
        <w:rPr>
          <w:iCs/>
          <w:szCs w:val="20"/>
        </w:rPr>
      </w:pPr>
      <w:r w:rsidRPr="00E00B35">
        <w:rPr>
          <w:iCs/>
          <w:szCs w:val="20"/>
        </w:rPr>
        <w:t>Diagnostom: 4</w:t>
      </w:r>
    </w:p>
    <w:p w:rsidR="00E96768" w:rsidRPr="00E00B35" w:rsidRDefault="00E96768" w:rsidP="00E00B35">
      <w:pPr>
        <w:pStyle w:val="Tekstpodstawowy"/>
        <w:spacing w:after="0" w:line="312" w:lineRule="auto"/>
        <w:rPr>
          <w:iCs/>
          <w:szCs w:val="20"/>
        </w:rPr>
      </w:pPr>
      <w:r w:rsidRPr="00E00B35">
        <w:rPr>
          <w:iCs/>
          <w:szCs w:val="20"/>
        </w:rPr>
        <w:t>Łączna liczba diagnostów: 224</w:t>
      </w:r>
    </w:p>
    <w:p w:rsidR="00E96768" w:rsidRPr="00E00B35" w:rsidRDefault="00E96768" w:rsidP="00E00B35">
      <w:pPr>
        <w:pStyle w:val="Tekstpodstawowy"/>
        <w:spacing w:after="0" w:line="312" w:lineRule="auto"/>
        <w:rPr>
          <w:iCs/>
          <w:szCs w:val="20"/>
        </w:rPr>
      </w:pPr>
    </w:p>
    <w:p w:rsidR="00E96768" w:rsidRPr="00E00B35" w:rsidRDefault="00E96768" w:rsidP="00E00B35">
      <w:pPr>
        <w:pStyle w:val="Tekstpodstawowy"/>
        <w:spacing w:after="0" w:line="312" w:lineRule="auto"/>
        <w:rPr>
          <w:iCs/>
          <w:szCs w:val="20"/>
        </w:rPr>
      </w:pPr>
      <w:r w:rsidRPr="00E00B35">
        <w:rPr>
          <w:iCs/>
          <w:szCs w:val="20"/>
        </w:rPr>
        <w:t>Postępowania administracyjne w stosunku do diagnostów: cofnięcie uprawnień (w trakcie): 4</w:t>
      </w:r>
    </w:p>
    <w:p w:rsidR="00E96768" w:rsidRPr="00E00B35" w:rsidRDefault="00E96768" w:rsidP="00E00B35">
      <w:pPr>
        <w:pStyle w:val="Tekstpodstawowy"/>
        <w:spacing w:after="0" w:line="312" w:lineRule="auto"/>
        <w:rPr>
          <w:iCs/>
          <w:szCs w:val="20"/>
        </w:rPr>
      </w:pPr>
      <w:r w:rsidRPr="00E00B35">
        <w:rPr>
          <w:iCs/>
          <w:szCs w:val="20"/>
        </w:rPr>
        <w:t>Postępowania administracyjne w stosunku do instruktorów – wykreślenie z ewidencji: 32</w:t>
      </w:r>
    </w:p>
    <w:p w:rsidR="00E96768" w:rsidRPr="00E00B35" w:rsidRDefault="00E96768" w:rsidP="00E00B35">
      <w:pPr>
        <w:pStyle w:val="Tekstpodstawowy"/>
        <w:spacing w:after="0" w:line="312" w:lineRule="auto"/>
        <w:rPr>
          <w:iCs/>
          <w:szCs w:val="20"/>
        </w:rPr>
      </w:pPr>
      <w:r w:rsidRPr="00E00B35">
        <w:rPr>
          <w:iCs/>
          <w:szCs w:val="20"/>
        </w:rPr>
        <w:t>Skreślenia OSK na wniosek przedsiębiorcy: 3</w:t>
      </w:r>
    </w:p>
    <w:p w:rsidR="00E96768" w:rsidRPr="00E00B35" w:rsidRDefault="00E96768" w:rsidP="00E00B35">
      <w:pPr>
        <w:pStyle w:val="Tekstpodstawowy"/>
        <w:spacing w:after="0" w:line="312" w:lineRule="auto"/>
        <w:rPr>
          <w:iCs/>
          <w:szCs w:val="20"/>
        </w:rPr>
      </w:pPr>
      <w:r w:rsidRPr="00E00B35">
        <w:rPr>
          <w:iCs/>
          <w:szCs w:val="20"/>
        </w:rPr>
        <w:t>Skreślenia OSK z urzędu w wyniku postępowania: brak</w:t>
      </w:r>
    </w:p>
    <w:p w:rsidR="00E96768" w:rsidRPr="00E00B35" w:rsidRDefault="00E96768" w:rsidP="00E00B35">
      <w:pPr>
        <w:pStyle w:val="Tekstpodstawowy"/>
        <w:spacing w:after="0" w:line="312" w:lineRule="auto"/>
        <w:rPr>
          <w:iCs/>
          <w:szCs w:val="20"/>
        </w:rPr>
      </w:pPr>
      <w:r w:rsidRPr="00E00B35">
        <w:rPr>
          <w:iCs/>
          <w:szCs w:val="20"/>
        </w:rPr>
        <w:t>Skreślenia SKP na wniosek przedsiębiorcy: 3</w:t>
      </w:r>
    </w:p>
    <w:p w:rsidR="00E96768" w:rsidRPr="00E00B35" w:rsidRDefault="00E96768" w:rsidP="00E00B35">
      <w:pPr>
        <w:spacing w:after="0" w:line="312" w:lineRule="auto"/>
        <w:rPr>
          <w:iCs/>
          <w:szCs w:val="20"/>
        </w:rPr>
      </w:pPr>
      <w:r w:rsidRPr="00E00B35">
        <w:rPr>
          <w:iCs/>
          <w:szCs w:val="20"/>
        </w:rPr>
        <w:t>Z ustawy z dnia 14 czerwca 1960 roku Kodeks postępowania administracyjnego (Dz. U. z 2020 roku poz. 256 z późn. zm.) oraz z ustawy z dnia 8 marca 1990 roku o samorządzie gminnym (Dz. U. z 2019 roku poz. 506, 1309, 1571, 1696 i 1815)</w:t>
      </w:r>
    </w:p>
    <w:p w:rsidR="00E96768" w:rsidRPr="00E00B35" w:rsidRDefault="00E96768" w:rsidP="00E00B35">
      <w:pPr>
        <w:pStyle w:val="Zwykytekst"/>
        <w:spacing w:after="0" w:line="312" w:lineRule="auto"/>
        <w:rPr>
          <w:rFonts w:ascii="Verdana" w:hAnsi="Verdana"/>
          <w:bCs/>
        </w:rPr>
      </w:pPr>
      <w:r w:rsidRPr="00E00B35">
        <w:rPr>
          <w:rFonts w:ascii="Verdana" w:hAnsi="Verdana"/>
          <w:bCs/>
        </w:rPr>
        <w:t>W okresie od 1 stycznia 2020 roku do 31 grudnia 2020 roku w Centralnym Rejestrze Skarg i Wniosków Urzędu Miejskiego Wrocławia (CRSiW) zaewidencjonowano ogółem 124 skargi (w tym z uwagi na braki formalne 2 skargi pozostawiona bez rozpatrzenia) oraz 25 wniosków (w tym z uwagi na braki formalne 1 wniosek pozostawiono bez rozpatrzenia).</w:t>
      </w:r>
    </w:p>
    <w:p w:rsidR="00E96768" w:rsidRPr="00E00B35" w:rsidRDefault="00E96768" w:rsidP="00E00B35">
      <w:pPr>
        <w:pStyle w:val="Zwykytekst"/>
        <w:spacing w:after="0" w:line="312" w:lineRule="auto"/>
        <w:rPr>
          <w:rFonts w:ascii="Verdana" w:hAnsi="Verdana"/>
          <w:bCs/>
        </w:rPr>
      </w:pPr>
      <w:r w:rsidRPr="00E00B35">
        <w:rPr>
          <w:rFonts w:ascii="Verdana" w:hAnsi="Verdana"/>
          <w:bCs/>
        </w:rPr>
        <w:t>Dla porównania - w 2019 r. W CRSiW zarejestrowano 83 skargi  i  11 wniosków.</w:t>
      </w:r>
    </w:p>
    <w:p w:rsidR="00E96768" w:rsidRPr="00E00B35" w:rsidRDefault="00E96768" w:rsidP="00E00B35">
      <w:pPr>
        <w:pStyle w:val="Zwykytekst"/>
        <w:spacing w:after="0" w:line="312" w:lineRule="auto"/>
        <w:rPr>
          <w:rFonts w:ascii="Verdana" w:hAnsi="Verdana"/>
        </w:rPr>
      </w:pPr>
      <w:r w:rsidRPr="00E00B35">
        <w:rPr>
          <w:rFonts w:ascii="Verdana" w:hAnsi="Verdana"/>
        </w:rPr>
        <w:t xml:space="preserve">Spośród wszystkich skarg zaewidencjonowanych w Centralnym Rejestrze Skarg </w:t>
      </w:r>
      <w:r w:rsidRPr="00E00B35">
        <w:rPr>
          <w:rFonts w:ascii="Verdana" w:hAnsi="Verdana"/>
        </w:rPr>
        <w:br/>
        <w:t>i Wniosków w 2020 roku - 91 skarg (ok. 75%) dotyczyło komórek organizacyjnych Urzędu Miejskiego Wrocławia, natomiast pozostałe skargi odnosiły się do zadań wykonywanych przez jednostki organizacyjne Miasta, takie jak m.in.: Zarząd Zasobu Komunalnego (9), Straż Miejska (9), Miejski Ośrodek Pomocy Społecznej (5), Zarząd Zieleni Miejskiej (3), Zarząd Dróg i Utrzymania Miasta (2), Zarząd Cmentarzy Komunalnych (1), Powiatowy Urząd Pracy (1).</w:t>
      </w:r>
    </w:p>
    <w:p w:rsidR="00E96768" w:rsidRPr="00E00B35" w:rsidRDefault="00E96768" w:rsidP="00E00B35">
      <w:pPr>
        <w:pStyle w:val="Tekstpodstawowy"/>
        <w:spacing w:after="0" w:line="312" w:lineRule="auto"/>
        <w:rPr>
          <w:szCs w:val="20"/>
        </w:rPr>
      </w:pPr>
      <w:r w:rsidRPr="00E00B35">
        <w:rPr>
          <w:szCs w:val="20"/>
        </w:rPr>
        <w:t>Należy  również wskazać, iż w 2020 roku, w odniesieniu do roku poprzedniego, odnotowano również znaczący wzrost ilości skarg (o 28 skarg więcej) dot. zadań wykonywanych przez spółki prawa handlowego z udziałem Miasta tj.: Ekosystem Sp. z o.o. (13 skarg), Wrocławskie Mieszkania Sp. z o.o. (12 skarg), Miejskie Przedsiębiorstwo Wodociągów i Kanalizacji S.A. (4 skargi), Miejskie Przedsiębiorstwo Komunikacyjne Sp. z o.o. (3 skargi), Wrocławskie Inwestycje (1 skarga), Towarzystwo Budownictwa Społecznego Sp. z o.o. (1) oraz Wrocławski Park Wodny S.A. (1) – łącznie 35 skarg.</w:t>
      </w:r>
    </w:p>
    <w:p w:rsidR="00E96768" w:rsidRPr="00E00B35" w:rsidRDefault="00E96768" w:rsidP="00E00B35">
      <w:pPr>
        <w:pStyle w:val="Tekstpodstawowy"/>
        <w:spacing w:after="0" w:line="312" w:lineRule="auto"/>
        <w:rPr>
          <w:szCs w:val="20"/>
        </w:rPr>
      </w:pPr>
    </w:p>
    <w:p w:rsidR="00E96768" w:rsidRPr="00E00B35" w:rsidRDefault="00E96768" w:rsidP="00E00B35">
      <w:pPr>
        <w:pStyle w:val="Tekstpodstawowy"/>
        <w:spacing w:after="0" w:line="312" w:lineRule="auto"/>
        <w:rPr>
          <w:szCs w:val="20"/>
        </w:rPr>
      </w:pPr>
      <w:r w:rsidRPr="00E00B35">
        <w:rPr>
          <w:szCs w:val="20"/>
        </w:rPr>
        <w:t xml:space="preserve">Ponadto opracowano projekt Zarządzenia nr K/7/20 Prezydenta Wrocławia z dnia 14 lutego 2020 roku zmieniającego zarządzenie nr K/37/19 Prezydenta Wrocławia z dnia 31 </w:t>
      </w:r>
      <w:r w:rsidRPr="00E00B35">
        <w:rPr>
          <w:szCs w:val="20"/>
        </w:rPr>
        <w:lastRenderedPageBreak/>
        <w:t xml:space="preserve">grudnia 2019 roku w sprawie określenia zasad postępowania ze skargami i wnioskami kierowanymi do Urzędu Miejskiego Wrocławia oraz organizacji przyjmowania klientów </w:t>
      </w:r>
      <w:r w:rsidRPr="00E00B35">
        <w:rPr>
          <w:szCs w:val="20"/>
        </w:rPr>
        <w:br/>
        <w:t xml:space="preserve">w ramach skarg i wniosków. Wprowadzenie zmian wynikało m.in. z konieczności dostosowania przepisów dotychczasowego Zarządzenia do wprowadzonych w Urzędzie zmian organizacyjnych (dot. zakresów upoważnień do rozpatrywania i załatwiania skarg </w:t>
      </w:r>
      <w:r w:rsidRPr="00E00B35">
        <w:rPr>
          <w:szCs w:val="20"/>
        </w:rPr>
        <w:br/>
        <w:t xml:space="preserve">i wniosków) oraz potrzeby wzmocnienia procesu koordynacji przyjmowania i rozpatrywania skarg i wniosków w UMW, przez Wydział Spraw Obywatelskich, jako komórki wiodącej w przedmiotowym zakresie spraw. </w:t>
      </w:r>
    </w:p>
    <w:p w:rsidR="00E96768" w:rsidRPr="00E00B35" w:rsidRDefault="00E96768" w:rsidP="00E00B35">
      <w:pPr>
        <w:spacing w:after="0" w:line="312" w:lineRule="auto"/>
        <w:rPr>
          <w:iCs/>
          <w:szCs w:val="20"/>
        </w:rPr>
      </w:pPr>
      <w:r w:rsidRPr="00E00B35">
        <w:rPr>
          <w:iCs/>
          <w:szCs w:val="20"/>
        </w:rPr>
        <w:t>Z ustawy z dnia 5 stycznia 2011 roku – Kodeks wyborczy (Dz. U. z 2018 roku poz. 754 z późn. zm.).</w:t>
      </w:r>
    </w:p>
    <w:p w:rsidR="00E96768" w:rsidRPr="00E00B35" w:rsidRDefault="00E96768" w:rsidP="00E00B35">
      <w:pPr>
        <w:pStyle w:val="15Spraweprowadzi"/>
        <w:spacing w:after="0" w:line="312" w:lineRule="auto"/>
        <w:jc w:val="left"/>
        <w:rPr>
          <w:sz w:val="20"/>
          <w:szCs w:val="20"/>
        </w:rPr>
      </w:pPr>
      <w:r w:rsidRPr="00E00B35">
        <w:rPr>
          <w:sz w:val="20"/>
          <w:szCs w:val="20"/>
        </w:rPr>
        <w:t>W 2020 roku wydano 2 622</w:t>
      </w:r>
      <w:r w:rsidRPr="00E00B35">
        <w:rPr>
          <w:bCs/>
          <w:sz w:val="20"/>
          <w:szCs w:val="20"/>
        </w:rPr>
        <w:t xml:space="preserve"> </w:t>
      </w:r>
      <w:r w:rsidRPr="00E00B35">
        <w:rPr>
          <w:sz w:val="20"/>
          <w:szCs w:val="20"/>
        </w:rPr>
        <w:t>decyzje dotyczące rejestru wyborców, w tym 2 091 o wpisaniu do rejestru wyborców oraz 531 o odmowie wpisania do rejestru wyborców. Żaden wyborca nie złożył skargi do Sadu Rejonowego na decyzję o odmowie wpisania do rejestru wyborców.</w:t>
      </w:r>
    </w:p>
    <w:p w:rsidR="005D3FB0" w:rsidRDefault="005D3FB0" w:rsidP="00E00B35">
      <w:pPr>
        <w:pStyle w:val="Nagwek4"/>
        <w:spacing w:before="0" w:after="0" w:line="312" w:lineRule="auto"/>
        <w:rPr>
          <w:sz w:val="20"/>
          <w:szCs w:val="20"/>
        </w:rPr>
      </w:pPr>
    </w:p>
    <w:p w:rsidR="00E96768" w:rsidRPr="00E00B35" w:rsidRDefault="00E96768" w:rsidP="00E00B35">
      <w:pPr>
        <w:pStyle w:val="Nagwek4"/>
        <w:spacing w:before="0" w:after="0" w:line="312" w:lineRule="auto"/>
        <w:rPr>
          <w:sz w:val="20"/>
          <w:szCs w:val="20"/>
        </w:rPr>
      </w:pPr>
      <w:r w:rsidRPr="00E00B35">
        <w:rPr>
          <w:sz w:val="20"/>
          <w:szCs w:val="20"/>
        </w:rPr>
        <w:t>AKTA STANU CYWILNEGO</w:t>
      </w:r>
    </w:p>
    <w:p w:rsidR="00E96768" w:rsidRPr="00E00B35" w:rsidRDefault="00E96768" w:rsidP="00E00B35">
      <w:pPr>
        <w:spacing w:after="0" w:line="312" w:lineRule="auto"/>
        <w:rPr>
          <w:szCs w:val="20"/>
        </w:rPr>
      </w:pPr>
      <w:r w:rsidRPr="00E00B35">
        <w:rPr>
          <w:szCs w:val="20"/>
        </w:rPr>
        <w:t>Zrealizowano zadania z zakresu:</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rejestracji stanu cywilnego jako zadanie zlecone;</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zmiany imion i nazwisk jako zadanie zlecone;</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wydawania pozwoleń na sprowadzanie zwłok i szczątków ludzkich z zagranicy w celu pochowania jako zadanie własne powiatu;</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inicjowania nadania medalu Za Długoletnie Pożycie Małżeńskie jako zadanie własne gminy.</w:t>
      </w:r>
    </w:p>
    <w:p w:rsidR="00E96768" w:rsidRPr="00E00B35" w:rsidRDefault="00E96768" w:rsidP="00E00B35">
      <w:pPr>
        <w:spacing w:after="0" w:line="312" w:lineRule="auto"/>
        <w:contextualSpacing/>
        <w:rPr>
          <w:szCs w:val="20"/>
        </w:rPr>
      </w:pPr>
    </w:p>
    <w:p w:rsidR="00E96768" w:rsidRPr="00E00B35" w:rsidRDefault="00E96768" w:rsidP="00E00B35">
      <w:pPr>
        <w:spacing w:after="0" w:line="312" w:lineRule="auto"/>
        <w:rPr>
          <w:szCs w:val="20"/>
        </w:rPr>
      </w:pPr>
      <w:r w:rsidRPr="00E00B35">
        <w:rPr>
          <w:szCs w:val="20"/>
        </w:rPr>
        <w:t>Od 1 stycznia 2020 roku do 31 grudnia 2020 roku wykonano poniżej wymienione czynności w następujących ilościach</w:t>
      </w:r>
    </w:p>
    <w:p w:rsidR="00E96768" w:rsidRPr="00E00B35" w:rsidRDefault="00E96768" w:rsidP="00E00B35">
      <w:pPr>
        <w:pStyle w:val="Tekstpodstawowywcity2"/>
        <w:spacing w:after="0" w:line="312" w:lineRule="auto"/>
        <w:rPr>
          <w:szCs w:val="20"/>
        </w:rPr>
      </w:pPr>
    </w:p>
    <w:p w:rsidR="00E96768" w:rsidRPr="00E00B35" w:rsidRDefault="00E96768" w:rsidP="00E00B35">
      <w:pPr>
        <w:pStyle w:val="Tekstpodstawowywcity2"/>
        <w:spacing w:after="0" w:line="312" w:lineRule="auto"/>
        <w:ind w:firstLine="0"/>
        <w:rPr>
          <w:szCs w:val="20"/>
        </w:rPr>
      </w:pPr>
      <w:r w:rsidRPr="00E00B35">
        <w:rPr>
          <w:szCs w:val="20"/>
        </w:rPr>
        <w:t>akty urodzeń w tym:</w:t>
      </w:r>
      <w:r w:rsidR="00815F93" w:rsidRPr="00E00B35">
        <w:rPr>
          <w:szCs w:val="20"/>
        </w:rPr>
        <w:t xml:space="preserve"> </w:t>
      </w:r>
      <w:r w:rsidRPr="00E00B35">
        <w:rPr>
          <w:szCs w:val="20"/>
        </w:rPr>
        <w:t>10 671</w:t>
      </w:r>
    </w:p>
    <w:p w:rsidR="00E96768" w:rsidRPr="00E00B35" w:rsidRDefault="00E96768" w:rsidP="00E00B35">
      <w:pPr>
        <w:pStyle w:val="Tekstpodstawowywcity2"/>
        <w:spacing w:after="0" w:line="312" w:lineRule="auto"/>
        <w:ind w:firstLine="0"/>
        <w:rPr>
          <w:szCs w:val="20"/>
        </w:rPr>
      </w:pPr>
      <w:r w:rsidRPr="00E00B35">
        <w:rPr>
          <w:szCs w:val="20"/>
        </w:rPr>
        <w:t>dzieci urodzonych we Wrocławiu:</w:t>
      </w:r>
      <w:r w:rsidR="00815F93" w:rsidRPr="00E00B35">
        <w:rPr>
          <w:szCs w:val="20"/>
        </w:rPr>
        <w:t xml:space="preserve"> </w:t>
      </w:r>
      <w:r w:rsidRPr="00E00B35">
        <w:rPr>
          <w:szCs w:val="20"/>
        </w:rPr>
        <w:t>8 637</w:t>
      </w:r>
    </w:p>
    <w:p w:rsidR="00E96768" w:rsidRPr="00E00B35" w:rsidRDefault="00E96768" w:rsidP="00E00B35">
      <w:pPr>
        <w:pStyle w:val="Tekstpodstawowywcity2"/>
        <w:spacing w:after="0" w:line="312" w:lineRule="auto"/>
        <w:ind w:firstLine="0"/>
        <w:rPr>
          <w:szCs w:val="20"/>
        </w:rPr>
      </w:pPr>
      <w:r w:rsidRPr="00E00B35">
        <w:rPr>
          <w:szCs w:val="20"/>
        </w:rPr>
        <w:t>dzieci urodzonych za granicą:</w:t>
      </w:r>
      <w:r w:rsidR="00815F93" w:rsidRPr="00E00B35">
        <w:rPr>
          <w:szCs w:val="20"/>
        </w:rPr>
        <w:t xml:space="preserve"> </w:t>
      </w:r>
      <w:r w:rsidRPr="00E00B35">
        <w:rPr>
          <w:szCs w:val="20"/>
        </w:rPr>
        <w:t>2 034</w:t>
      </w:r>
    </w:p>
    <w:p w:rsidR="00E96768" w:rsidRPr="00E00B35" w:rsidRDefault="00E96768" w:rsidP="00E00B35">
      <w:pPr>
        <w:pStyle w:val="Tekstpodstawowywcity2"/>
        <w:spacing w:after="0" w:line="312" w:lineRule="auto"/>
        <w:ind w:firstLine="0"/>
        <w:rPr>
          <w:szCs w:val="20"/>
        </w:rPr>
      </w:pPr>
      <w:r w:rsidRPr="00E00B35">
        <w:rPr>
          <w:szCs w:val="20"/>
        </w:rPr>
        <w:t>akty małżeństw, w tym:</w:t>
      </w:r>
      <w:r w:rsidR="00815F93" w:rsidRPr="00E00B35">
        <w:rPr>
          <w:szCs w:val="20"/>
        </w:rPr>
        <w:t xml:space="preserve"> </w:t>
      </w:r>
      <w:r w:rsidRPr="00E00B35">
        <w:rPr>
          <w:szCs w:val="20"/>
        </w:rPr>
        <w:t>2 643</w:t>
      </w:r>
    </w:p>
    <w:p w:rsidR="00E96768" w:rsidRPr="00E00B35" w:rsidRDefault="00E96768" w:rsidP="00E00B35">
      <w:pPr>
        <w:pStyle w:val="Tekstpodstawowywcity2"/>
        <w:spacing w:after="0" w:line="312" w:lineRule="auto"/>
        <w:ind w:firstLine="0"/>
        <w:rPr>
          <w:szCs w:val="20"/>
        </w:rPr>
      </w:pPr>
      <w:r w:rsidRPr="00E00B35">
        <w:rPr>
          <w:szCs w:val="20"/>
        </w:rPr>
        <w:t>małżeństw zawartych za granicą:</w:t>
      </w:r>
      <w:r w:rsidR="00815F93" w:rsidRPr="00E00B35">
        <w:rPr>
          <w:szCs w:val="20"/>
        </w:rPr>
        <w:t xml:space="preserve"> </w:t>
      </w:r>
      <w:r w:rsidRPr="00E00B35">
        <w:rPr>
          <w:szCs w:val="20"/>
        </w:rPr>
        <w:t>607</w:t>
      </w:r>
    </w:p>
    <w:p w:rsidR="00E96768" w:rsidRPr="00E00B35" w:rsidRDefault="00E96768" w:rsidP="00E00B35">
      <w:pPr>
        <w:pStyle w:val="Tekstpodstawowywcity2"/>
        <w:spacing w:after="0" w:line="312" w:lineRule="auto"/>
        <w:ind w:firstLine="0"/>
        <w:rPr>
          <w:szCs w:val="20"/>
        </w:rPr>
      </w:pPr>
      <w:r w:rsidRPr="00E00B35">
        <w:rPr>
          <w:szCs w:val="20"/>
        </w:rPr>
        <w:t>zawartych we Wrocławiu w tym:</w:t>
      </w:r>
      <w:r w:rsidR="00815F93" w:rsidRPr="00E00B35">
        <w:rPr>
          <w:szCs w:val="20"/>
        </w:rPr>
        <w:t xml:space="preserve"> </w:t>
      </w:r>
      <w:r w:rsidRPr="00E00B35">
        <w:rPr>
          <w:szCs w:val="20"/>
        </w:rPr>
        <w:t>2 036</w:t>
      </w:r>
    </w:p>
    <w:p w:rsidR="00E96768" w:rsidRPr="00E00B35" w:rsidRDefault="00E96768" w:rsidP="00E00B35">
      <w:pPr>
        <w:pStyle w:val="Tekstpodstawowywcity2"/>
        <w:spacing w:after="0" w:line="312" w:lineRule="auto"/>
        <w:ind w:firstLine="0"/>
        <w:rPr>
          <w:szCs w:val="20"/>
        </w:rPr>
      </w:pPr>
      <w:r w:rsidRPr="00E00B35">
        <w:rPr>
          <w:szCs w:val="20"/>
        </w:rPr>
        <w:t>małżeństw cywilnych w tym:</w:t>
      </w:r>
      <w:r w:rsidR="00815F93" w:rsidRPr="00E00B35">
        <w:rPr>
          <w:szCs w:val="20"/>
        </w:rPr>
        <w:t xml:space="preserve"> </w:t>
      </w:r>
      <w:r w:rsidRPr="00E00B35">
        <w:rPr>
          <w:szCs w:val="20"/>
        </w:rPr>
        <w:t>1 396</w:t>
      </w:r>
    </w:p>
    <w:p w:rsidR="00E96768" w:rsidRPr="00E00B35" w:rsidRDefault="00E96768" w:rsidP="00E00B35">
      <w:pPr>
        <w:pStyle w:val="Tekstpodstawowywcity2"/>
        <w:spacing w:after="0" w:line="312" w:lineRule="auto"/>
        <w:ind w:firstLine="0"/>
        <w:rPr>
          <w:szCs w:val="20"/>
        </w:rPr>
      </w:pPr>
      <w:r w:rsidRPr="00E00B35">
        <w:rPr>
          <w:szCs w:val="20"/>
        </w:rPr>
        <w:t>małżeństw zawartych poza lokalem Urzędu:</w:t>
      </w:r>
      <w:r w:rsidR="00815F93" w:rsidRPr="00E00B35">
        <w:rPr>
          <w:szCs w:val="20"/>
        </w:rPr>
        <w:t xml:space="preserve"> </w:t>
      </w:r>
      <w:r w:rsidRPr="00E00B35">
        <w:rPr>
          <w:szCs w:val="20"/>
        </w:rPr>
        <w:t>11</w:t>
      </w:r>
    </w:p>
    <w:p w:rsidR="00E96768" w:rsidRPr="00E00B35" w:rsidRDefault="00E96768" w:rsidP="00E00B35">
      <w:pPr>
        <w:pStyle w:val="Tekstpodstawowywcity2"/>
        <w:spacing w:after="0" w:line="312" w:lineRule="auto"/>
        <w:ind w:firstLine="0"/>
        <w:rPr>
          <w:szCs w:val="20"/>
        </w:rPr>
      </w:pPr>
      <w:r w:rsidRPr="00E00B35">
        <w:rPr>
          <w:szCs w:val="20"/>
        </w:rPr>
        <w:t>małżeństw konkordatowych:</w:t>
      </w:r>
      <w:r w:rsidR="00815F93" w:rsidRPr="00E00B35">
        <w:rPr>
          <w:szCs w:val="20"/>
        </w:rPr>
        <w:t xml:space="preserve"> </w:t>
      </w:r>
      <w:r w:rsidRPr="00E00B35">
        <w:rPr>
          <w:szCs w:val="20"/>
        </w:rPr>
        <w:t>640</w:t>
      </w:r>
    </w:p>
    <w:p w:rsidR="00E96768" w:rsidRPr="00E00B35" w:rsidRDefault="00E96768" w:rsidP="00E00B35">
      <w:pPr>
        <w:pStyle w:val="Tekstpodstawowywcity2"/>
        <w:spacing w:after="0" w:line="312" w:lineRule="auto"/>
        <w:ind w:firstLine="0"/>
        <w:rPr>
          <w:szCs w:val="20"/>
        </w:rPr>
      </w:pPr>
      <w:r w:rsidRPr="00E00B35">
        <w:rPr>
          <w:szCs w:val="20"/>
        </w:rPr>
        <w:t>akty zgonu w tym:</w:t>
      </w:r>
      <w:r w:rsidR="00815F93" w:rsidRPr="00E00B35">
        <w:rPr>
          <w:szCs w:val="20"/>
        </w:rPr>
        <w:t xml:space="preserve"> </w:t>
      </w:r>
      <w:r w:rsidRPr="00E00B35">
        <w:rPr>
          <w:szCs w:val="20"/>
        </w:rPr>
        <w:t>9 109</w:t>
      </w:r>
    </w:p>
    <w:p w:rsidR="00E96768" w:rsidRPr="00E00B35" w:rsidRDefault="00E96768" w:rsidP="00E00B35">
      <w:pPr>
        <w:pStyle w:val="Tekstpodstawowywcity2"/>
        <w:spacing w:after="0" w:line="312" w:lineRule="auto"/>
        <w:ind w:firstLine="0"/>
        <w:rPr>
          <w:szCs w:val="20"/>
        </w:rPr>
      </w:pPr>
      <w:r w:rsidRPr="00E00B35">
        <w:rPr>
          <w:szCs w:val="20"/>
        </w:rPr>
        <w:t>osób zmarłych we Wrocławiu:</w:t>
      </w:r>
      <w:r w:rsidR="00815F93" w:rsidRPr="00E00B35">
        <w:rPr>
          <w:szCs w:val="20"/>
        </w:rPr>
        <w:t xml:space="preserve"> </w:t>
      </w:r>
      <w:r w:rsidRPr="00E00B35">
        <w:rPr>
          <w:szCs w:val="20"/>
        </w:rPr>
        <w:t>8 986</w:t>
      </w:r>
    </w:p>
    <w:p w:rsidR="00E96768" w:rsidRPr="00E00B35" w:rsidRDefault="00E96768" w:rsidP="00E00B35">
      <w:pPr>
        <w:pStyle w:val="Tekstpodstawowywcity2"/>
        <w:spacing w:after="0" w:line="312" w:lineRule="auto"/>
        <w:ind w:firstLine="0"/>
        <w:rPr>
          <w:szCs w:val="20"/>
        </w:rPr>
      </w:pPr>
      <w:r w:rsidRPr="00E00B35">
        <w:rPr>
          <w:szCs w:val="20"/>
        </w:rPr>
        <w:t>osób zmarłych za granicą:</w:t>
      </w:r>
      <w:r w:rsidR="00815F93" w:rsidRPr="00E00B35">
        <w:rPr>
          <w:szCs w:val="20"/>
        </w:rPr>
        <w:t xml:space="preserve"> </w:t>
      </w:r>
      <w:r w:rsidRPr="00E00B35">
        <w:rPr>
          <w:szCs w:val="20"/>
        </w:rPr>
        <w:t>123</w:t>
      </w:r>
    </w:p>
    <w:p w:rsidR="00E96768" w:rsidRPr="00E00B35" w:rsidRDefault="00E96768" w:rsidP="00E00B35">
      <w:pPr>
        <w:pStyle w:val="Tekstpodstawowywcity2"/>
        <w:spacing w:after="0" w:line="312" w:lineRule="auto"/>
        <w:ind w:firstLine="0"/>
        <w:rPr>
          <w:szCs w:val="20"/>
        </w:rPr>
      </w:pPr>
      <w:r w:rsidRPr="00E00B35">
        <w:rPr>
          <w:szCs w:val="20"/>
        </w:rPr>
        <w:t>nadano:</w:t>
      </w:r>
    </w:p>
    <w:p w:rsidR="00E96768" w:rsidRPr="00E00B35" w:rsidRDefault="00E96768" w:rsidP="00E00B35">
      <w:pPr>
        <w:pStyle w:val="Tekstpodstawowywcity2"/>
        <w:spacing w:after="0" w:line="312" w:lineRule="auto"/>
        <w:ind w:firstLine="0"/>
        <w:rPr>
          <w:szCs w:val="20"/>
        </w:rPr>
      </w:pPr>
      <w:r w:rsidRPr="00E00B35">
        <w:rPr>
          <w:szCs w:val="20"/>
        </w:rPr>
        <w:t>numery Pesel noworodkom</w:t>
      </w:r>
      <w:r w:rsidR="00815F93" w:rsidRPr="00E00B35">
        <w:rPr>
          <w:szCs w:val="20"/>
        </w:rPr>
        <w:t xml:space="preserve">: </w:t>
      </w:r>
      <w:r w:rsidRPr="00E00B35">
        <w:rPr>
          <w:szCs w:val="20"/>
        </w:rPr>
        <w:t>8 637</w:t>
      </w:r>
    </w:p>
    <w:p w:rsidR="00E96768" w:rsidRPr="00E00B35" w:rsidRDefault="00E96768" w:rsidP="00E00B35">
      <w:pPr>
        <w:pStyle w:val="Tekstpodstawowywcity2"/>
        <w:spacing w:after="0" w:line="312" w:lineRule="auto"/>
        <w:ind w:firstLine="0"/>
        <w:rPr>
          <w:szCs w:val="20"/>
        </w:rPr>
      </w:pPr>
      <w:r w:rsidRPr="00E00B35">
        <w:rPr>
          <w:szCs w:val="20"/>
        </w:rPr>
        <w:t>zainicjowano nadanie:</w:t>
      </w:r>
    </w:p>
    <w:p w:rsidR="00E96768" w:rsidRPr="00E00B35" w:rsidRDefault="00E96768" w:rsidP="00E00B35">
      <w:pPr>
        <w:pStyle w:val="Tekstpodstawowywcity2"/>
        <w:spacing w:after="0" w:line="312" w:lineRule="auto"/>
        <w:ind w:firstLine="0"/>
        <w:rPr>
          <w:szCs w:val="20"/>
        </w:rPr>
      </w:pPr>
      <w:r w:rsidRPr="00E00B35">
        <w:rPr>
          <w:szCs w:val="20"/>
        </w:rPr>
        <w:t>Medale za Długoletnie Pożycie Małżeńskie:</w:t>
      </w:r>
      <w:r w:rsidR="00815F93" w:rsidRPr="00E00B35">
        <w:rPr>
          <w:szCs w:val="20"/>
        </w:rPr>
        <w:t xml:space="preserve"> </w:t>
      </w:r>
      <w:r w:rsidRPr="00E00B35">
        <w:rPr>
          <w:szCs w:val="20"/>
        </w:rPr>
        <w:t>353</w:t>
      </w:r>
    </w:p>
    <w:p w:rsidR="00E96768" w:rsidRPr="00E00B35" w:rsidRDefault="00815F93" w:rsidP="00E00B35">
      <w:pPr>
        <w:pStyle w:val="Tekstpodstawowywcity2"/>
        <w:spacing w:after="0" w:line="312" w:lineRule="auto"/>
        <w:ind w:firstLine="0"/>
        <w:rPr>
          <w:szCs w:val="20"/>
        </w:rPr>
      </w:pPr>
      <w:r w:rsidRPr="00E00B35">
        <w:rPr>
          <w:szCs w:val="20"/>
        </w:rPr>
        <w:lastRenderedPageBreak/>
        <w:t>wydano</w:t>
      </w:r>
      <w:r w:rsidR="00E96768" w:rsidRPr="00E00B35">
        <w:rPr>
          <w:szCs w:val="20"/>
        </w:rPr>
        <w:t>:</w:t>
      </w:r>
    </w:p>
    <w:p w:rsidR="00E96768" w:rsidRPr="00E00B35" w:rsidRDefault="00E96768" w:rsidP="00E00B35">
      <w:pPr>
        <w:pStyle w:val="Tekstpodstawowywcity2"/>
        <w:spacing w:after="0" w:line="312" w:lineRule="auto"/>
        <w:ind w:firstLine="0"/>
        <w:rPr>
          <w:szCs w:val="20"/>
        </w:rPr>
      </w:pPr>
      <w:r w:rsidRPr="00E00B35">
        <w:rPr>
          <w:szCs w:val="20"/>
        </w:rPr>
        <w:t>zezwolenia  na  zawarcie małżeństwa przed upływem ustawowego terminu:</w:t>
      </w:r>
      <w:r w:rsidR="00815F93" w:rsidRPr="00E00B35">
        <w:rPr>
          <w:szCs w:val="20"/>
        </w:rPr>
        <w:t xml:space="preserve"> </w:t>
      </w:r>
      <w:r w:rsidRPr="00E00B35">
        <w:rPr>
          <w:szCs w:val="20"/>
        </w:rPr>
        <w:t xml:space="preserve">247 </w:t>
      </w:r>
    </w:p>
    <w:p w:rsidR="00E96768" w:rsidRPr="00E00B35" w:rsidRDefault="00E96768" w:rsidP="00E00B35">
      <w:pPr>
        <w:pStyle w:val="Tekstpodstawowywcity2"/>
        <w:spacing w:after="0" w:line="312" w:lineRule="auto"/>
        <w:ind w:firstLine="0"/>
        <w:rPr>
          <w:szCs w:val="20"/>
        </w:rPr>
      </w:pPr>
      <w:r w:rsidRPr="00E00B35">
        <w:rPr>
          <w:szCs w:val="20"/>
        </w:rPr>
        <w:t>decyzje w sprawie zmiany imion i nazwisk:</w:t>
      </w:r>
      <w:r w:rsidR="00815F93" w:rsidRPr="00E00B35">
        <w:rPr>
          <w:szCs w:val="20"/>
        </w:rPr>
        <w:t xml:space="preserve"> </w:t>
      </w:r>
      <w:r w:rsidRPr="00E00B35">
        <w:rPr>
          <w:szCs w:val="20"/>
        </w:rPr>
        <w:t>812</w:t>
      </w:r>
    </w:p>
    <w:p w:rsidR="00E96768" w:rsidRPr="00E00B35" w:rsidRDefault="00E96768" w:rsidP="00E00B35">
      <w:pPr>
        <w:pStyle w:val="Tekstpodstawowywcity2"/>
        <w:spacing w:after="0" w:line="312" w:lineRule="auto"/>
        <w:ind w:firstLine="0"/>
        <w:rPr>
          <w:szCs w:val="20"/>
        </w:rPr>
      </w:pPr>
      <w:r w:rsidRPr="00E00B35">
        <w:rPr>
          <w:szCs w:val="20"/>
        </w:rPr>
        <w:t>pozwolenia na sprowadzanie zwłok i szczątków ludzkich z zagranicy w celu ich pochowania:</w:t>
      </w:r>
      <w:r w:rsidR="00815F93" w:rsidRPr="00E00B35">
        <w:rPr>
          <w:szCs w:val="20"/>
        </w:rPr>
        <w:t xml:space="preserve"> </w:t>
      </w:r>
      <w:r w:rsidRPr="00E00B35">
        <w:rPr>
          <w:szCs w:val="20"/>
        </w:rPr>
        <w:t>112</w:t>
      </w:r>
    </w:p>
    <w:p w:rsidR="00E96768" w:rsidRPr="00E00B35" w:rsidRDefault="00E96768" w:rsidP="00E00B35">
      <w:pPr>
        <w:pStyle w:val="Tekstpodstawowywcity2"/>
        <w:spacing w:after="0" w:line="312" w:lineRule="auto"/>
        <w:ind w:firstLine="0"/>
        <w:rPr>
          <w:szCs w:val="20"/>
        </w:rPr>
      </w:pPr>
      <w:r w:rsidRPr="00E00B35">
        <w:rPr>
          <w:szCs w:val="20"/>
        </w:rPr>
        <w:t>zaświadczenia  o zdolności prawnej do zawarcia związku małżeńskiego za granicą:</w:t>
      </w:r>
      <w:r w:rsidR="00815F93" w:rsidRPr="00E00B35">
        <w:rPr>
          <w:szCs w:val="20"/>
        </w:rPr>
        <w:t xml:space="preserve"> </w:t>
      </w:r>
      <w:r w:rsidRPr="00E00B35">
        <w:rPr>
          <w:szCs w:val="20"/>
        </w:rPr>
        <w:t>159</w:t>
      </w:r>
    </w:p>
    <w:p w:rsidR="00E96768" w:rsidRPr="00E00B35" w:rsidRDefault="00E96768" w:rsidP="00E00B35">
      <w:pPr>
        <w:pStyle w:val="Tekstpodstawowywcity2"/>
        <w:spacing w:after="0" w:line="312" w:lineRule="auto"/>
        <w:ind w:firstLine="0"/>
        <w:rPr>
          <w:szCs w:val="20"/>
        </w:rPr>
      </w:pPr>
      <w:r w:rsidRPr="00E00B35">
        <w:rPr>
          <w:szCs w:val="20"/>
        </w:rPr>
        <w:t>zaświadczenia o braku okoliczności wyłączającej zawarcie małżeństwa:</w:t>
      </w:r>
      <w:r w:rsidR="00815F93" w:rsidRPr="00E00B35">
        <w:rPr>
          <w:szCs w:val="20"/>
        </w:rPr>
        <w:t xml:space="preserve"> </w:t>
      </w:r>
      <w:r w:rsidRPr="00E00B35">
        <w:rPr>
          <w:szCs w:val="20"/>
        </w:rPr>
        <w:t>1 666</w:t>
      </w:r>
    </w:p>
    <w:p w:rsidR="00E96768" w:rsidRPr="00E00B35" w:rsidRDefault="00E96768" w:rsidP="00E00B35">
      <w:pPr>
        <w:pStyle w:val="Tekstpodstawowywcity2"/>
        <w:spacing w:after="0" w:line="312" w:lineRule="auto"/>
        <w:ind w:firstLine="0"/>
        <w:rPr>
          <w:szCs w:val="20"/>
        </w:rPr>
      </w:pPr>
      <w:r w:rsidRPr="00E00B35">
        <w:rPr>
          <w:szCs w:val="20"/>
        </w:rPr>
        <w:t>zaświadczenia o nieposiadaniu księgi stanu cywilnego:</w:t>
      </w:r>
      <w:r w:rsidR="00815F93" w:rsidRPr="00E00B35">
        <w:rPr>
          <w:szCs w:val="20"/>
        </w:rPr>
        <w:t xml:space="preserve"> </w:t>
      </w:r>
      <w:r w:rsidRPr="00E00B35">
        <w:rPr>
          <w:szCs w:val="20"/>
        </w:rPr>
        <w:t>77</w:t>
      </w:r>
    </w:p>
    <w:p w:rsidR="00E96768" w:rsidRPr="00E00B35" w:rsidRDefault="00E96768" w:rsidP="00E00B35">
      <w:pPr>
        <w:pStyle w:val="Tekstpodstawowywcity2"/>
        <w:spacing w:after="0" w:line="312" w:lineRule="auto"/>
        <w:ind w:firstLine="0"/>
        <w:rPr>
          <w:szCs w:val="20"/>
        </w:rPr>
      </w:pPr>
      <w:r w:rsidRPr="00E00B35">
        <w:rPr>
          <w:szCs w:val="20"/>
        </w:rPr>
        <w:t>zaświadczenia o zamieszczonych lub niezamieszczonych w rejestrze stanu cywilnego danych dotyczących wskazanej osoby:</w:t>
      </w:r>
      <w:r w:rsidR="00815F93" w:rsidRPr="00E00B35">
        <w:rPr>
          <w:szCs w:val="20"/>
        </w:rPr>
        <w:t xml:space="preserve"> </w:t>
      </w:r>
      <w:r w:rsidRPr="00E00B35">
        <w:rPr>
          <w:szCs w:val="20"/>
        </w:rPr>
        <w:t>6</w:t>
      </w:r>
    </w:p>
    <w:p w:rsidR="00E96768" w:rsidRPr="00E00B35" w:rsidRDefault="00E96768" w:rsidP="00E00B35">
      <w:pPr>
        <w:pStyle w:val="Tekstpodstawowywcity2"/>
        <w:spacing w:after="0" w:line="312" w:lineRule="auto"/>
        <w:ind w:firstLine="0"/>
        <w:rPr>
          <w:szCs w:val="20"/>
        </w:rPr>
      </w:pPr>
      <w:r w:rsidRPr="00E00B35">
        <w:rPr>
          <w:szCs w:val="20"/>
        </w:rPr>
        <w:t>zaświadczeń o stanie cywilnym:</w:t>
      </w:r>
      <w:r w:rsidR="00815F93" w:rsidRPr="00E00B35">
        <w:rPr>
          <w:szCs w:val="20"/>
        </w:rPr>
        <w:t xml:space="preserve"> </w:t>
      </w:r>
      <w:r w:rsidRPr="00E00B35">
        <w:rPr>
          <w:szCs w:val="20"/>
        </w:rPr>
        <w:t>429</w:t>
      </w:r>
    </w:p>
    <w:p w:rsidR="00E96768" w:rsidRPr="00E00B35" w:rsidRDefault="00E96768" w:rsidP="00E00B35">
      <w:pPr>
        <w:pStyle w:val="Tekstpodstawowywcity2"/>
        <w:spacing w:after="0" w:line="312" w:lineRule="auto"/>
        <w:ind w:firstLine="0"/>
        <w:rPr>
          <w:szCs w:val="20"/>
        </w:rPr>
      </w:pPr>
      <w:r w:rsidRPr="00E00B35">
        <w:rPr>
          <w:szCs w:val="20"/>
        </w:rPr>
        <w:t>odpisy zupełne z aktów stanu cywilnego:</w:t>
      </w:r>
      <w:r w:rsidR="00815F93" w:rsidRPr="00E00B35">
        <w:rPr>
          <w:szCs w:val="20"/>
        </w:rPr>
        <w:t xml:space="preserve"> </w:t>
      </w:r>
      <w:r w:rsidRPr="00E00B35">
        <w:rPr>
          <w:szCs w:val="20"/>
        </w:rPr>
        <w:t>11 987</w:t>
      </w:r>
    </w:p>
    <w:p w:rsidR="00E96768" w:rsidRPr="00E00B35" w:rsidRDefault="00E96768" w:rsidP="00E00B35">
      <w:pPr>
        <w:pStyle w:val="Tekstpodstawowywcity2"/>
        <w:spacing w:after="0" w:line="312" w:lineRule="auto"/>
        <w:ind w:firstLine="0"/>
        <w:rPr>
          <w:szCs w:val="20"/>
        </w:rPr>
      </w:pPr>
      <w:r w:rsidRPr="00E00B35">
        <w:rPr>
          <w:szCs w:val="20"/>
        </w:rPr>
        <w:t>odpisy skrócone z aktów stanu cywilnego:</w:t>
      </w:r>
      <w:r w:rsidR="00815F93" w:rsidRPr="00E00B35">
        <w:rPr>
          <w:szCs w:val="20"/>
        </w:rPr>
        <w:t xml:space="preserve"> </w:t>
      </w:r>
      <w:r w:rsidRPr="00E00B35">
        <w:rPr>
          <w:szCs w:val="20"/>
        </w:rPr>
        <w:t>78 234</w:t>
      </w:r>
    </w:p>
    <w:p w:rsidR="00E96768" w:rsidRPr="00E00B35" w:rsidRDefault="00E96768" w:rsidP="00E00B35">
      <w:pPr>
        <w:pStyle w:val="Tekstpodstawowywcity2"/>
        <w:spacing w:after="0" w:line="312" w:lineRule="auto"/>
        <w:ind w:firstLine="0"/>
        <w:rPr>
          <w:szCs w:val="20"/>
        </w:rPr>
      </w:pPr>
      <w:r w:rsidRPr="00E00B35">
        <w:rPr>
          <w:szCs w:val="20"/>
        </w:rPr>
        <w:t>kserokopie z akt stanu cywilnego:</w:t>
      </w:r>
      <w:r w:rsidR="00815F93" w:rsidRPr="00E00B35">
        <w:rPr>
          <w:szCs w:val="20"/>
        </w:rPr>
        <w:t xml:space="preserve"> </w:t>
      </w:r>
      <w:r w:rsidRPr="00E00B35">
        <w:rPr>
          <w:szCs w:val="20"/>
        </w:rPr>
        <w:t>264</w:t>
      </w:r>
    </w:p>
    <w:p w:rsidR="00E96768" w:rsidRPr="00E00B35" w:rsidRDefault="00E96768" w:rsidP="00E00B35">
      <w:pPr>
        <w:pStyle w:val="Tekstpodstawowywcity2"/>
        <w:spacing w:after="0" w:line="312" w:lineRule="auto"/>
        <w:ind w:firstLine="0"/>
        <w:rPr>
          <w:szCs w:val="20"/>
        </w:rPr>
      </w:pPr>
      <w:r w:rsidRPr="00E00B35">
        <w:rPr>
          <w:szCs w:val="20"/>
        </w:rPr>
        <w:t>wielojęzyczne formularze tłumaczeń:</w:t>
      </w:r>
      <w:r w:rsidR="00815F93" w:rsidRPr="00E00B35">
        <w:rPr>
          <w:szCs w:val="20"/>
        </w:rPr>
        <w:t xml:space="preserve"> </w:t>
      </w:r>
      <w:r w:rsidRPr="00E00B35">
        <w:rPr>
          <w:szCs w:val="20"/>
        </w:rPr>
        <w:t>207</w:t>
      </w:r>
    </w:p>
    <w:p w:rsidR="00E96768" w:rsidRPr="00E00B35" w:rsidRDefault="00E96768" w:rsidP="00E00B35">
      <w:pPr>
        <w:pStyle w:val="Tekstpodstawowywcity2"/>
        <w:spacing w:after="0" w:line="312" w:lineRule="auto"/>
        <w:ind w:firstLine="0"/>
        <w:rPr>
          <w:szCs w:val="20"/>
        </w:rPr>
      </w:pPr>
      <w:r w:rsidRPr="00E00B35">
        <w:rPr>
          <w:szCs w:val="20"/>
        </w:rPr>
        <w:t>przyjęto:</w:t>
      </w:r>
    </w:p>
    <w:p w:rsidR="00E96768" w:rsidRPr="00E00B35" w:rsidRDefault="00E96768" w:rsidP="00E00B35">
      <w:pPr>
        <w:pStyle w:val="Tekstpodstawowywcity2"/>
        <w:spacing w:after="0" w:line="312" w:lineRule="auto"/>
        <w:ind w:firstLine="0"/>
        <w:rPr>
          <w:szCs w:val="20"/>
        </w:rPr>
      </w:pPr>
      <w:r w:rsidRPr="00E00B35">
        <w:rPr>
          <w:szCs w:val="20"/>
        </w:rPr>
        <w:t>oświadczenia o uznaniu ojcostwa:</w:t>
      </w:r>
      <w:r w:rsidR="00815F93" w:rsidRPr="00E00B35">
        <w:rPr>
          <w:szCs w:val="20"/>
        </w:rPr>
        <w:t xml:space="preserve"> </w:t>
      </w:r>
      <w:r w:rsidRPr="00E00B35">
        <w:rPr>
          <w:szCs w:val="20"/>
        </w:rPr>
        <w:t>2 261</w:t>
      </w:r>
    </w:p>
    <w:p w:rsidR="00E96768" w:rsidRPr="00E00B35" w:rsidRDefault="00E96768" w:rsidP="00E00B35">
      <w:pPr>
        <w:pStyle w:val="Tekstpodstawowywcity2"/>
        <w:spacing w:after="0" w:line="312" w:lineRule="auto"/>
        <w:ind w:firstLine="0"/>
        <w:rPr>
          <w:szCs w:val="20"/>
        </w:rPr>
      </w:pPr>
      <w:r w:rsidRPr="00E00B35">
        <w:rPr>
          <w:szCs w:val="20"/>
        </w:rPr>
        <w:t>oświadczenia o zmianie imienia/nazwiska dziecka:</w:t>
      </w:r>
      <w:r w:rsidR="00815F93" w:rsidRPr="00E00B35">
        <w:rPr>
          <w:szCs w:val="20"/>
        </w:rPr>
        <w:t xml:space="preserve"> </w:t>
      </w:r>
      <w:r w:rsidRPr="00E00B35">
        <w:rPr>
          <w:szCs w:val="20"/>
        </w:rPr>
        <w:t>52</w:t>
      </w:r>
    </w:p>
    <w:p w:rsidR="00E96768" w:rsidRPr="00E00B35" w:rsidRDefault="00E96768" w:rsidP="00E00B35">
      <w:pPr>
        <w:pStyle w:val="Tekstpodstawowywcity2"/>
        <w:spacing w:after="0" w:line="312" w:lineRule="auto"/>
        <w:ind w:firstLine="0"/>
        <w:rPr>
          <w:szCs w:val="20"/>
        </w:rPr>
      </w:pPr>
      <w:r w:rsidRPr="00E00B35">
        <w:rPr>
          <w:szCs w:val="20"/>
        </w:rPr>
        <w:t>zapewnienia o braku przeszkód do zawarcia małżeństwa:</w:t>
      </w:r>
      <w:r w:rsidR="00815F93" w:rsidRPr="00E00B35">
        <w:rPr>
          <w:szCs w:val="20"/>
        </w:rPr>
        <w:t xml:space="preserve"> </w:t>
      </w:r>
      <w:r w:rsidRPr="00E00B35">
        <w:rPr>
          <w:szCs w:val="20"/>
        </w:rPr>
        <w:t>3 554</w:t>
      </w:r>
    </w:p>
    <w:p w:rsidR="00E96768" w:rsidRPr="00E00B35" w:rsidRDefault="00E96768" w:rsidP="00E00B35">
      <w:pPr>
        <w:pStyle w:val="Tekstpodstawowywcity2"/>
        <w:spacing w:after="0" w:line="312" w:lineRule="auto"/>
        <w:ind w:firstLine="0"/>
        <w:rPr>
          <w:szCs w:val="20"/>
        </w:rPr>
      </w:pPr>
      <w:r w:rsidRPr="00E00B35">
        <w:rPr>
          <w:szCs w:val="20"/>
        </w:rPr>
        <w:t>oświadczenia o powrocie do nazwiska noszonego przed zawarciem związku małżeńskiego:</w:t>
      </w:r>
      <w:r w:rsidR="00815F93" w:rsidRPr="00E00B35">
        <w:rPr>
          <w:szCs w:val="20"/>
        </w:rPr>
        <w:t xml:space="preserve"> </w:t>
      </w:r>
      <w:r w:rsidRPr="00E00B35">
        <w:rPr>
          <w:szCs w:val="20"/>
        </w:rPr>
        <w:t>206</w:t>
      </w:r>
    </w:p>
    <w:p w:rsidR="00E96768" w:rsidRPr="00E00B35" w:rsidRDefault="00E96768" w:rsidP="00E00B35">
      <w:pPr>
        <w:pStyle w:val="Tekstpodstawowywcity2"/>
        <w:spacing w:after="0" w:line="312" w:lineRule="auto"/>
        <w:ind w:firstLine="0"/>
        <w:rPr>
          <w:szCs w:val="20"/>
        </w:rPr>
      </w:pPr>
      <w:r w:rsidRPr="00E00B35">
        <w:rPr>
          <w:szCs w:val="20"/>
        </w:rPr>
        <w:t>wykonano:</w:t>
      </w:r>
    </w:p>
    <w:p w:rsidR="00E96768" w:rsidRPr="00E00B35" w:rsidRDefault="00E96768" w:rsidP="00E00B35">
      <w:pPr>
        <w:pStyle w:val="Tekstpodstawowywcity2"/>
        <w:spacing w:after="0" w:line="312" w:lineRule="auto"/>
        <w:ind w:firstLine="0"/>
        <w:rPr>
          <w:szCs w:val="20"/>
        </w:rPr>
      </w:pPr>
      <w:r w:rsidRPr="00E00B35">
        <w:rPr>
          <w:szCs w:val="20"/>
        </w:rPr>
        <w:t>wzmianki dodatkowe w aktach stanu cywilnego:</w:t>
      </w:r>
      <w:r w:rsidR="00815F93" w:rsidRPr="00E00B35">
        <w:rPr>
          <w:szCs w:val="20"/>
        </w:rPr>
        <w:t xml:space="preserve"> </w:t>
      </w:r>
      <w:r w:rsidRPr="00E00B35">
        <w:rPr>
          <w:szCs w:val="20"/>
        </w:rPr>
        <w:t>8 634</w:t>
      </w:r>
    </w:p>
    <w:p w:rsidR="00E96768" w:rsidRPr="00E00B35" w:rsidRDefault="00E96768" w:rsidP="00E00B35">
      <w:pPr>
        <w:pStyle w:val="Tekstpodstawowywcity2"/>
        <w:spacing w:after="0" w:line="312" w:lineRule="auto"/>
        <w:ind w:firstLine="0"/>
        <w:rPr>
          <w:szCs w:val="20"/>
        </w:rPr>
      </w:pPr>
      <w:r w:rsidRPr="00E00B35">
        <w:rPr>
          <w:szCs w:val="20"/>
        </w:rPr>
        <w:t>przypiski:</w:t>
      </w:r>
      <w:r w:rsidR="00815F93" w:rsidRPr="00E00B35">
        <w:rPr>
          <w:szCs w:val="20"/>
        </w:rPr>
        <w:t xml:space="preserve"> </w:t>
      </w:r>
      <w:r w:rsidRPr="00E00B35">
        <w:rPr>
          <w:szCs w:val="20"/>
        </w:rPr>
        <w:t>43 226</w:t>
      </w:r>
    </w:p>
    <w:p w:rsidR="00E96768" w:rsidRPr="00E00B35" w:rsidRDefault="00E96768" w:rsidP="00E00B35">
      <w:pPr>
        <w:pStyle w:val="Tekstpodstawowywcity2"/>
        <w:spacing w:after="0" w:line="312" w:lineRule="auto"/>
        <w:ind w:firstLine="0"/>
        <w:rPr>
          <w:szCs w:val="20"/>
        </w:rPr>
      </w:pPr>
      <w:r w:rsidRPr="00E00B35">
        <w:rPr>
          <w:szCs w:val="20"/>
        </w:rPr>
        <w:t>migracje aktów stanu cywilnego do rejestru stanu cywilnego:</w:t>
      </w:r>
      <w:r w:rsidR="00815F93" w:rsidRPr="00E00B35">
        <w:rPr>
          <w:szCs w:val="20"/>
        </w:rPr>
        <w:t xml:space="preserve"> </w:t>
      </w:r>
      <w:r w:rsidRPr="00E00B35">
        <w:rPr>
          <w:szCs w:val="20"/>
        </w:rPr>
        <w:t>88 232</w:t>
      </w:r>
    </w:p>
    <w:p w:rsidR="00E96768" w:rsidRPr="00E00B35" w:rsidRDefault="00E96768" w:rsidP="00E00B35">
      <w:pPr>
        <w:pStyle w:val="Tekstpodstawowywcity2"/>
        <w:spacing w:after="0" w:line="312" w:lineRule="auto"/>
        <w:ind w:firstLine="0"/>
        <w:rPr>
          <w:szCs w:val="20"/>
        </w:rPr>
      </w:pPr>
      <w:r w:rsidRPr="00E00B35">
        <w:rPr>
          <w:szCs w:val="20"/>
        </w:rPr>
        <w:t>aktualizacja rejestru Pesel:</w:t>
      </w:r>
      <w:r w:rsidR="00815F93" w:rsidRPr="00E00B35">
        <w:rPr>
          <w:szCs w:val="20"/>
        </w:rPr>
        <w:t xml:space="preserve"> </w:t>
      </w:r>
      <w:r w:rsidRPr="00E00B35">
        <w:rPr>
          <w:szCs w:val="20"/>
        </w:rPr>
        <w:t>15 876</w:t>
      </w:r>
    </w:p>
    <w:p w:rsidR="00E96768" w:rsidRPr="00E00B35" w:rsidRDefault="00E96768" w:rsidP="00E00B35">
      <w:pPr>
        <w:pStyle w:val="Tekstpodstawowywcity2"/>
        <w:spacing w:after="0" w:line="312" w:lineRule="auto"/>
        <w:ind w:firstLine="0"/>
        <w:rPr>
          <w:szCs w:val="20"/>
        </w:rPr>
      </w:pPr>
      <w:r w:rsidRPr="00E00B35">
        <w:rPr>
          <w:szCs w:val="20"/>
        </w:rPr>
        <w:t>zrealizowano:</w:t>
      </w:r>
    </w:p>
    <w:p w:rsidR="00E96768" w:rsidRPr="00E00B35" w:rsidRDefault="00E96768" w:rsidP="00E00B35">
      <w:pPr>
        <w:pStyle w:val="Tekstpodstawowywcity2"/>
        <w:spacing w:after="0" w:line="312" w:lineRule="auto"/>
        <w:ind w:firstLine="0"/>
        <w:rPr>
          <w:szCs w:val="20"/>
        </w:rPr>
      </w:pPr>
      <w:r w:rsidRPr="00E00B35">
        <w:rPr>
          <w:szCs w:val="20"/>
        </w:rPr>
        <w:t>zlecenia innych urzędów stanu cywilnego i organów ewidencji ludności:</w:t>
      </w:r>
      <w:r w:rsidR="00815F93" w:rsidRPr="00E00B35">
        <w:rPr>
          <w:szCs w:val="20"/>
        </w:rPr>
        <w:t xml:space="preserve"> </w:t>
      </w:r>
      <w:r w:rsidRPr="00E00B35">
        <w:rPr>
          <w:szCs w:val="20"/>
        </w:rPr>
        <w:t>14 394</w:t>
      </w:r>
    </w:p>
    <w:p w:rsidR="00E96768" w:rsidRPr="00E00B35" w:rsidRDefault="00E96768" w:rsidP="00E00B35">
      <w:pPr>
        <w:pStyle w:val="Tekstpodstawowywcity2"/>
        <w:spacing w:after="0" w:line="312" w:lineRule="auto"/>
        <w:ind w:firstLine="0"/>
        <w:rPr>
          <w:szCs w:val="20"/>
        </w:rPr>
      </w:pPr>
      <w:r w:rsidRPr="00E00B35">
        <w:rPr>
          <w:szCs w:val="20"/>
        </w:rPr>
        <w:t>pobrano:</w:t>
      </w:r>
    </w:p>
    <w:p w:rsidR="00E96768" w:rsidRPr="00E00B35" w:rsidRDefault="00E96768" w:rsidP="00E00B35">
      <w:pPr>
        <w:pStyle w:val="Tekstpodstawowywcity2"/>
        <w:spacing w:after="0" w:line="312" w:lineRule="auto"/>
        <w:ind w:firstLine="0"/>
        <w:rPr>
          <w:szCs w:val="20"/>
        </w:rPr>
      </w:pPr>
      <w:r w:rsidRPr="00E00B35">
        <w:rPr>
          <w:szCs w:val="20"/>
        </w:rPr>
        <w:t>opłat w punkcie kasowym w USC (od 01.01.2020 r. do 13.03.2020 r.):</w:t>
      </w:r>
      <w:r w:rsidR="00815F93" w:rsidRPr="00E00B35">
        <w:rPr>
          <w:szCs w:val="20"/>
        </w:rPr>
        <w:t xml:space="preserve"> </w:t>
      </w:r>
      <w:r w:rsidRPr="00E00B35">
        <w:rPr>
          <w:szCs w:val="20"/>
        </w:rPr>
        <w:t>228 224</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b/>
          <w:szCs w:val="20"/>
        </w:rPr>
      </w:pPr>
      <w:r w:rsidRPr="00E00B35">
        <w:rPr>
          <w:b/>
          <w:szCs w:val="20"/>
        </w:rPr>
        <w:t>ZESTAWIENIE ANALITYCZNE ZA LATA 2017 – 2020</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20"/>
        <w:gridCol w:w="1120"/>
        <w:gridCol w:w="1276"/>
        <w:gridCol w:w="1134"/>
        <w:gridCol w:w="1134"/>
      </w:tblGrid>
      <w:tr w:rsidR="00E96768" w:rsidRPr="00E00B35" w:rsidTr="00E96768">
        <w:trPr>
          <w:tblHeader/>
        </w:trPr>
        <w:tc>
          <w:tcPr>
            <w:tcW w:w="4620" w:type="dxa"/>
            <w:shd w:val="clear" w:color="auto" w:fill="D9D9D9" w:themeFill="background1" w:themeFillShade="D9"/>
          </w:tcPr>
          <w:p w:rsidR="00E96768" w:rsidRPr="00E00B35" w:rsidRDefault="00E96768" w:rsidP="00E00B35">
            <w:pPr>
              <w:spacing w:after="0" w:line="312" w:lineRule="auto"/>
              <w:rPr>
                <w:b/>
                <w:szCs w:val="20"/>
              </w:rPr>
            </w:pPr>
            <w:r w:rsidRPr="00E00B35">
              <w:rPr>
                <w:b/>
                <w:szCs w:val="20"/>
              </w:rPr>
              <w:t>Rok</w:t>
            </w:r>
          </w:p>
        </w:tc>
        <w:tc>
          <w:tcPr>
            <w:tcW w:w="1120" w:type="dxa"/>
            <w:shd w:val="clear" w:color="auto" w:fill="D9D9D9" w:themeFill="background1" w:themeFillShade="D9"/>
          </w:tcPr>
          <w:p w:rsidR="00E96768" w:rsidRPr="00E00B35" w:rsidRDefault="00E96768" w:rsidP="00E00B35">
            <w:pPr>
              <w:spacing w:after="0" w:line="312" w:lineRule="auto"/>
              <w:rPr>
                <w:b/>
                <w:bCs/>
                <w:szCs w:val="20"/>
              </w:rPr>
            </w:pPr>
            <w:r w:rsidRPr="00E00B35">
              <w:rPr>
                <w:b/>
                <w:bCs/>
                <w:szCs w:val="20"/>
              </w:rPr>
              <w:t>2020</w:t>
            </w:r>
          </w:p>
        </w:tc>
        <w:tc>
          <w:tcPr>
            <w:tcW w:w="1276" w:type="dxa"/>
            <w:shd w:val="clear" w:color="auto" w:fill="D9D9D9" w:themeFill="background1" w:themeFillShade="D9"/>
          </w:tcPr>
          <w:p w:rsidR="00E96768" w:rsidRPr="00E00B35" w:rsidRDefault="00E96768" w:rsidP="00E00B35">
            <w:pPr>
              <w:spacing w:after="0" w:line="312" w:lineRule="auto"/>
              <w:rPr>
                <w:b/>
                <w:bCs/>
                <w:szCs w:val="20"/>
              </w:rPr>
            </w:pPr>
            <w:r w:rsidRPr="00E00B35">
              <w:rPr>
                <w:b/>
                <w:bCs/>
                <w:szCs w:val="20"/>
              </w:rPr>
              <w:t>2019</w:t>
            </w:r>
          </w:p>
        </w:tc>
        <w:tc>
          <w:tcPr>
            <w:tcW w:w="1134" w:type="dxa"/>
            <w:shd w:val="clear" w:color="auto" w:fill="D9D9D9" w:themeFill="background1" w:themeFillShade="D9"/>
          </w:tcPr>
          <w:p w:rsidR="00E96768" w:rsidRPr="00E00B35" w:rsidRDefault="00E96768" w:rsidP="00E00B35">
            <w:pPr>
              <w:spacing w:after="0" w:line="312" w:lineRule="auto"/>
              <w:rPr>
                <w:b/>
                <w:bCs/>
                <w:szCs w:val="20"/>
              </w:rPr>
            </w:pPr>
            <w:r w:rsidRPr="00E00B35">
              <w:rPr>
                <w:b/>
                <w:bCs/>
                <w:szCs w:val="20"/>
              </w:rPr>
              <w:t>2018</w:t>
            </w:r>
          </w:p>
        </w:tc>
        <w:tc>
          <w:tcPr>
            <w:tcW w:w="1134" w:type="dxa"/>
            <w:shd w:val="clear" w:color="auto" w:fill="D9D9D9" w:themeFill="background1" w:themeFillShade="D9"/>
          </w:tcPr>
          <w:p w:rsidR="00E96768" w:rsidRPr="00E00B35" w:rsidRDefault="00E96768" w:rsidP="00E00B35">
            <w:pPr>
              <w:spacing w:after="0" w:line="312" w:lineRule="auto"/>
              <w:rPr>
                <w:b/>
                <w:bCs/>
                <w:szCs w:val="20"/>
              </w:rPr>
            </w:pPr>
            <w:r w:rsidRPr="00E00B35">
              <w:rPr>
                <w:b/>
                <w:bCs/>
                <w:szCs w:val="20"/>
              </w:rPr>
              <w:t>2017</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Sporządzono akty urodzeń w tym:</w:t>
            </w:r>
          </w:p>
        </w:tc>
        <w:tc>
          <w:tcPr>
            <w:tcW w:w="1120" w:type="dxa"/>
          </w:tcPr>
          <w:p w:rsidR="00E96768" w:rsidRPr="00E00B35" w:rsidRDefault="00E96768" w:rsidP="00E00B35">
            <w:pPr>
              <w:spacing w:after="0" w:line="312" w:lineRule="auto"/>
              <w:rPr>
                <w:szCs w:val="20"/>
              </w:rPr>
            </w:pPr>
            <w:r w:rsidRPr="00E00B35">
              <w:rPr>
                <w:szCs w:val="20"/>
              </w:rPr>
              <w:t>10 671</w:t>
            </w:r>
          </w:p>
        </w:tc>
        <w:tc>
          <w:tcPr>
            <w:tcW w:w="1276" w:type="dxa"/>
          </w:tcPr>
          <w:p w:rsidR="00E96768" w:rsidRPr="00E00B35" w:rsidRDefault="00E96768" w:rsidP="00E00B35">
            <w:pPr>
              <w:spacing w:after="0" w:line="312" w:lineRule="auto"/>
              <w:rPr>
                <w:szCs w:val="20"/>
              </w:rPr>
            </w:pPr>
            <w:r w:rsidRPr="00E00B35">
              <w:rPr>
                <w:szCs w:val="20"/>
              </w:rPr>
              <w:t>11 876</w:t>
            </w:r>
          </w:p>
        </w:tc>
        <w:tc>
          <w:tcPr>
            <w:tcW w:w="1134" w:type="dxa"/>
          </w:tcPr>
          <w:p w:rsidR="00E96768" w:rsidRPr="00E00B35" w:rsidRDefault="00E96768" w:rsidP="00E00B35">
            <w:pPr>
              <w:spacing w:after="0" w:line="312" w:lineRule="auto"/>
              <w:rPr>
                <w:szCs w:val="20"/>
              </w:rPr>
            </w:pPr>
            <w:r w:rsidRPr="00E00B35">
              <w:rPr>
                <w:szCs w:val="20"/>
              </w:rPr>
              <w:t>12 334</w:t>
            </w:r>
          </w:p>
        </w:tc>
        <w:tc>
          <w:tcPr>
            <w:tcW w:w="1134" w:type="dxa"/>
          </w:tcPr>
          <w:p w:rsidR="00E96768" w:rsidRPr="00E00B35" w:rsidRDefault="00E96768" w:rsidP="00E00B35">
            <w:pPr>
              <w:spacing w:after="0" w:line="312" w:lineRule="auto"/>
              <w:rPr>
                <w:szCs w:val="20"/>
              </w:rPr>
            </w:pPr>
            <w:r w:rsidRPr="00E00B35">
              <w:rPr>
                <w:szCs w:val="20"/>
              </w:rPr>
              <w:t>12 300</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dzieci urodzonych we Wrocławiu</w:t>
            </w:r>
          </w:p>
        </w:tc>
        <w:tc>
          <w:tcPr>
            <w:tcW w:w="1120" w:type="dxa"/>
          </w:tcPr>
          <w:p w:rsidR="00E96768" w:rsidRPr="00E00B35" w:rsidRDefault="00E96768" w:rsidP="00E00B35">
            <w:pPr>
              <w:spacing w:after="0" w:line="312" w:lineRule="auto"/>
              <w:rPr>
                <w:szCs w:val="20"/>
              </w:rPr>
            </w:pPr>
            <w:r w:rsidRPr="00E00B35">
              <w:rPr>
                <w:szCs w:val="20"/>
              </w:rPr>
              <w:t>8 637</w:t>
            </w:r>
          </w:p>
        </w:tc>
        <w:tc>
          <w:tcPr>
            <w:tcW w:w="1276" w:type="dxa"/>
          </w:tcPr>
          <w:p w:rsidR="00E96768" w:rsidRPr="00E00B35" w:rsidRDefault="00E96768" w:rsidP="00E00B35">
            <w:pPr>
              <w:spacing w:after="0" w:line="312" w:lineRule="auto"/>
              <w:rPr>
                <w:szCs w:val="20"/>
              </w:rPr>
            </w:pPr>
            <w:r w:rsidRPr="00E00B35">
              <w:rPr>
                <w:szCs w:val="20"/>
              </w:rPr>
              <w:t>9 608</w:t>
            </w:r>
          </w:p>
        </w:tc>
        <w:tc>
          <w:tcPr>
            <w:tcW w:w="1134" w:type="dxa"/>
          </w:tcPr>
          <w:p w:rsidR="00E96768" w:rsidRPr="00E00B35" w:rsidRDefault="00E96768" w:rsidP="00E00B35">
            <w:pPr>
              <w:spacing w:after="0" w:line="312" w:lineRule="auto"/>
              <w:rPr>
                <w:szCs w:val="20"/>
              </w:rPr>
            </w:pPr>
            <w:r w:rsidRPr="00E00B35">
              <w:rPr>
                <w:szCs w:val="20"/>
              </w:rPr>
              <w:t>10 275</w:t>
            </w:r>
          </w:p>
        </w:tc>
        <w:tc>
          <w:tcPr>
            <w:tcW w:w="1134" w:type="dxa"/>
          </w:tcPr>
          <w:p w:rsidR="00E96768" w:rsidRPr="00E00B35" w:rsidRDefault="00E96768" w:rsidP="00E00B35">
            <w:pPr>
              <w:spacing w:after="0" w:line="312" w:lineRule="auto"/>
              <w:rPr>
                <w:szCs w:val="20"/>
              </w:rPr>
            </w:pPr>
            <w:r w:rsidRPr="00E00B35">
              <w:rPr>
                <w:szCs w:val="20"/>
              </w:rPr>
              <w:t>10 376</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dzieci urodzonych za granicą</w:t>
            </w:r>
          </w:p>
        </w:tc>
        <w:tc>
          <w:tcPr>
            <w:tcW w:w="1120" w:type="dxa"/>
          </w:tcPr>
          <w:p w:rsidR="00E96768" w:rsidRPr="00E00B35" w:rsidRDefault="00E96768" w:rsidP="00E00B35">
            <w:pPr>
              <w:spacing w:after="0" w:line="312" w:lineRule="auto"/>
              <w:rPr>
                <w:szCs w:val="20"/>
              </w:rPr>
            </w:pPr>
            <w:r w:rsidRPr="00E00B35">
              <w:rPr>
                <w:szCs w:val="20"/>
              </w:rPr>
              <w:t>2 034</w:t>
            </w:r>
          </w:p>
        </w:tc>
        <w:tc>
          <w:tcPr>
            <w:tcW w:w="1276" w:type="dxa"/>
          </w:tcPr>
          <w:p w:rsidR="00E96768" w:rsidRPr="00E00B35" w:rsidRDefault="00E96768" w:rsidP="00E00B35">
            <w:pPr>
              <w:spacing w:after="0" w:line="312" w:lineRule="auto"/>
              <w:rPr>
                <w:szCs w:val="20"/>
              </w:rPr>
            </w:pPr>
            <w:r w:rsidRPr="00E00B35">
              <w:rPr>
                <w:szCs w:val="20"/>
              </w:rPr>
              <w:t>2 268</w:t>
            </w:r>
          </w:p>
        </w:tc>
        <w:tc>
          <w:tcPr>
            <w:tcW w:w="1134" w:type="dxa"/>
          </w:tcPr>
          <w:p w:rsidR="00E96768" w:rsidRPr="00E00B35" w:rsidRDefault="00E96768" w:rsidP="00E00B35">
            <w:pPr>
              <w:spacing w:after="0" w:line="312" w:lineRule="auto"/>
              <w:rPr>
                <w:szCs w:val="20"/>
              </w:rPr>
            </w:pPr>
            <w:r w:rsidRPr="00E00B35">
              <w:rPr>
                <w:szCs w:val="20"/>
              </w:rPr>
              <w:t>2 059</w:t>
            </w:r>
          </w:p>
        </w:tc>
        <w:tc>
          <w:tcPr>
            <w:tcW w:w="1134" w:type="dxa"/>
          </w:tcPr>
          <w:p w:rsidR="00E96768" w:rsidRPr="00E00B35" w:rsidRDefault="00E96768" w:rsidP="00E00B35">
            <w:pPr>
              <w:spacing w:after="0" w:line="312" w:lineRule="auto"/>
              <w:rPr>
                <w:szCs w:val="20"/>
              </w:rPr>
            </w:pPr>
            <w:r w:rsidRPr="00E00B35">
              <w:rPr>
                <w:szCs w:val="20"/>
              </w:rPr>
              <w:t>1 924</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akty małżeństw, w tym:</w:t>
            </w:r>
          </w:p>
        </w:tc>
        <w:tc>
          <w:tcPr>
            <w:tcW w:w="1120" w:type="dxa"/>
          </w:tcPr>
          <w:p w:rsidR="00E96768" w:rsidRPr="00E00B35" w:rsidRDefault="00E96768" w:rsidP="00E00B35">
            <w:pPr>
              <w:spacing w:after="0" w:line="312" w:lineRule="auto"/>
              <w:rPr>
                <w:szCs w:val="20"/>
              </w:rPr>
            </w:pPr>
            <w:r w:rsidRPr="00E00B35">
              <w:rPr>
                <w:szCs w:val="20"/>
              </w:rPr>
              <w:t>2 643</w:t>
            </w:r>
          </w:p>
        </w:tc>
        <w:tc>
          <w:tcPr>
            <w:tcW w:w="1276" w:type="dxa"/>
          </w:tcPr>
          <w:p w:rsidR="00E96768" w:rsidRPr="00E00B35" w:rsidRDefault="00E96768" w:rsidP="00E00B35">
            <w:pPr>
              <w:spacing w:after="0" w:line="312" w:lineRule="auto"/>
              <w:rPr>
                <w:szCs w:val="20"/>
              </w:rPr>
            </w:pPr>
            <w:r w:rsidRPr="00E00B35">
              <w:rPr>
                <w:szCs w:val="20"/>
              </w:rPr>
              <w:t>3 455</w:t>
            </w:r>
          </w:p>
        </w:tc>
        <w:tc>
          <w:tcPr>
            <w:tcW w:w="1134" w:type="dxa"/>
          </w:tcPr>
          <w:p w:rsidR="00E96768" w:rsidRPr="00E00B35" w:rsidRDefault="00E96768" w:rsidP="00E00B35">
            <w:pPr>
              <w:spacing w:after="0" w:line="312" w:lineRule="auto"/>
              <w:rPr>
                <w:szCs w:val="20"/>
              </w:rPr>
            </w:pPr>
            <w:r w:rsidRPr="00E00B35">
              <w:rPr>
                <w:szCs w:val="20"/>
              </w:rPr>
              <w:t>3 702</w:t>
            </w:r>
          </w:p>
        </w:tc>
        <w:tc>
          <w:tcPr>
            <w:tcW w:w="1134" w:type="dxa"/>
          </w:tcPr>
          <w:p w:rsidR="00E96768" w:rsidRPr="00E00B35" w:rsidRDefault="00E96768" w:rsidP="00E00B35">
            <w:pPr>
              <w:spacing w:after="0" w:line="312" w:lineRule="auto"/>
              <w:rPr>
                <w:szCs w:val="20"/>
              </w:rPr>
            </w:pPr>
            <w:r w:rsidRPr="00E00B35">
              <w:rPr>
                <w:szCs w:val="20"/>
              </w:rPr>
              <w:t>3 622</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 xml:space="preserve">małżeństw zawartych zagranicą </w:t>
            </w:r>
          </w:p>
        </w:tc>
        <w:tc>
          <w:tcPr>
            <w:tcW w:w="1120" w:type="dxa"/>
          </w:tcPr>
          <w:p w:rsidR="00E96768" w:rsidRPr="00E00B35" w:rsidRDefault="00E96768" w:rsidP="00E00B35">
            <w:pPr>
              <w:spacing w:after="0" w:line="312" w:lineRule="auto"/>
              <w:rPr>
                <w:szCs w:val="20"/>
              </w:rPr>
            </w:pPr>
            <w:r w:rsidRPr="00E00B35">
              <w:rPr>
                <w:szCs w:val="20"/>
              </w:rPr>
              <w:t>60</w:t>
            </w:r>
          </w:p>
        </w:tc>
        <w:tc>
          <w:tcPr>
            <w:tcW w:w="1276" w:type="dxa"/>
          </w:tcPr>
          <w:p w:rsidR="00E96768" w:rsidRPr="00E00B35" w:rsidRDefault="00E96768" w:rsidP="00E00B35">
            <w:pPr>
              <w:spacing w:after="0" w:line="312" w:lineRule="auto"/>
              <w:rPr>
                <w:szCs w:val="20"/>
              </w:rPr>
            </w:pPr>
            <w:r w:rsidRPr="00E00B35">
              <w:rPr>
                <w:szCs w:val="20"/>
              </w:rPr>
              <w:t>821</w:t>
            </w:r>
          </w:p>
        </w:tc>
        <w:tc>
          <w:tcPr>
            <w:tcW w:w="1134" w:type="dxa"/>
          </w:tcPr>
          <w:p w:rsidR="00E96768" w:rsidRPr="00E00B35" w:rsidRDefault="00E96768" w:rsidP="00E00B35">
            <w:pPr>
              <w:spacing w:after="0" w:line="312" w:lineRule="auto"/>
              <w:rPr>
                <w:szCs w:val="20"/>
              </w:rPr>
            </w:pPr>
            <w:r w:rsidRPr="00E00B35">
              <w:rPr>
                <w:szCs w:val="20"/>
              </w:rPr>
              <w:t>820</w:t>
            </w:r>
          </w:p>
        </w:tc>
        <w:tc>
          <w:tcPr>
            <w:tcW w:w="1134" w:type="dxa"/>
          </w:tcPr>
          <w:p w:rsidR="00E96768" w:rsidRPr="00E00B35" w:rsidRDefault="00E96768" w:rsidP="00E00B35">
            <w:pPr>
              <w:spacing w:after="0" w:line="312" w:lineRule="auto"/>
              <w:rPr>
                <w:szCs w:val="20"/>
              </w:rPr>
            </w:pPr>
            <w:r w:rsidRPr="00E00B35">
              <w:rPr>
                <w:szCs w:val="20"/>
              </w:rPr>
              <w:t>906</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zawartych we Wrocławiu w tym</w:t>
            </w:r>
          </w:p>
        </w:tc>
        <w:tc>
          <w:tcPr>
            <w:tcW w:w="1120" w:type="dxa"/>
          </w:tcPr>
          <w:p w:rsidR="00E96768" w:rsidRPr="00E00B35" w:rsidRDefault="00E96768" w:rsidP="00E00B35">
            <w:pPr>
              <w:spacing w:after="0" w:line="312" w:lineRule="auto"/>
              <w:rPr>
                <w:szCs w:val="20"/>
              </w:rPr>
            </w:pPr>
            <w:r w:rsidRPr="00E00B35">
              <w:rPr>
                <w:szCs w:val="20"/>
              </w:rPr>
              <w:t>2 036</w:t>
            </w:r>
          </w:p>
        </w:tc>
        <w:tc>
          <w:tcPr>
            <w:tcW w:w="1276" w:type="dxa"/>
          </w:tcPr>
          <w:p w:rsidR="00E96768" w:rsidRPr="00E00B35" w:rsidRDefault="00E96768" w:rsidP="00E00B35">
            <w:pPr>
              <w:spacing w:after="0" w:line="312" w:lineRule="auto"/>
              <w:rPr>
                <w:szCs w:val="20"/>
              </w:rPr>
            </w:pPr>
            <w:r w:rsidRPr="00E00B35">
              <w:rPr>
                <w:szCs w:val="20"/>
              </w:rPr>
              <w:t>2 634</w:t>
            </w:r>
          </w:p>
        </w:tc>
        <w:tc>
          <w:tcPr>
            <w:tcW w:w="1134" w:type="dxa"/>
          </w:tcPr>
          <w:p w:rsidR="00E96768" w:rsidRPr="00E00B35" w:rsidRDefault="00E96768" w:rsidP="00E00B35">
            <w:pPr>
              <w:spacing w:after="0" w:line="312" w:lineRule="auto"/>
              <w:rPr>
                <w:szCs w:val="20"/>
              </w:rPr>
            </w:pPr>
            <w:r w:rsidRPr="00E00B35">
              <w:rPr>
                <w:szCs w:val="20"/>
              </w:rPr>
              <w:t>2 882</w:t>
            </w:r>
          </w:p>
        </w:tc>
        <w:tc>
          <w:tcPr>
            <w:tcW w:w="1134" w:type="dxa"/>
          </w:tcPr>
          <w:p w:rsidR="00E96768" w:rsidRPr="00E00B35" w:rsidRDefault="00E96768" w:rsidP="00E00B35">
            <w:pPr>
              <w:spacing w:after="0" w:line="312" w:lineRule="auto"/>
              <w:rPr>
                <w:szCs w:val="20"/>
              </w:rPr>
            </w:pPr>
            <w:r w:rsidRPr="00E00B35">
              <w:rPr>
                <w:szCs w:val="20"/>
              </w:rPr>
              <w:t>2 756</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małżeństw cywilnych w tym:</w:t>
            </w:r>
          </w:p>
        </w:tc>
        <w:tc>
          <w:tcPr>
            <w:tcW w:w="1120" w:type="dxa"/>
          </w:tcPr>
          <w:p w:rsidR="00E96768" w:rsidRPr="00E00B35" w:rsidRDefault="00E96768" w:rsidP="00E00B35">
            <w:pPr>
              <w:spacing w:after="0" w:line="312" w:lineRule="auto"/>
              <w:rPr>
                <w:szCs w:val="20"/>
              </w:rPr>
            </w:pPr>
            <w:r w:rsidRPr="00E00B35">
              <w:rPr>
                <w:szCs w:val="20"/>
              </w:rPr>
              <w:t>1 396</w:t>
            </w:r>
          </w:p>
        </w:tc>
        <w:tc>
          <w:tcPr>
            <w:tcW w:w="1276" w:type="dxa"/>
          </w:tcPr>
          <w:p w:rsidR="00E96768" w:rsidRPr="00E00B35" w:rsidRDefault="00E96768" w:rsidP="00E00B35">
            <w:pPr>
              <w:spacing w:after="0" w:line="312" w:lineRule="auto"/>
              <w:rPr>
                <w:szCs w:val="20"/>
              </w:rPr>
            </w:pPr>
            <w:r w:rsidRPr="00E00B35">
              <w:rPr>
                <w:szCs w:val="20"/>
              </w:rPr>
              <w:t>1 744</w:t>
            </w:r>
          </w:p>
        </w:tc>
        <w:tc>
          <w:tcPr>
            <w:tcW w:w="1134" w:type="dxa"/>
          </w:tcPr>
          <w:p w:rsidR="00E96768" w:rsidRPr="00E00B35" w:rsidRDefault="00E96768" w:rsidP="00E00B35">
            <w:pPr>
              <w:spacing w:after="0" w:line="312" w:lineRule="auto"/>
              <w:rPr>
                <w:szCs w:val="20"/>
              </w:rPr>
            </w:pPr>
            <w:r w:rsidRPr="00E00B35">
              <w:rPr>
                <w:szCs w:val="20"/>
              </w:rPr>
              <w:t>1 883</w:t>
            </w:r>
          </w:p>
        </w:tc>
        <w:tc>
          <w:tcPr>
            <w:tcW w:w="1134" w:type="dxa"/>
          </w:tcPr>
          <w:p w:rsidR="00E96768" w:rsidRPr="00E00B35" w:rsidRDefault="00E96768" w:rsidP="00E00B35">
            <w:pPr>
              <w:spacing w:after="0" w:line="312" w:lineRule="auto"/>
              <w:rPr>
                <w:szCs w:val="20"/>
              </w:rPr>
            </w:pPr>
            <w:r w:rsidRPr="00E00B35">
              <w:rPr>
                <w:szCs w:val="20"/>
              </w:rPr>
              <w:t>1 704</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małżeństw zawartych poza lokalem USC</w:t>
            </w:r>
          </w:p>
          <w:p w:rsidR="00E96768" w:rsidRPr="00E00B35" w:rsidRDefault="00E96768" w:rsidP="00E00B35">
            <w:pPr>
              <w:spacing w:after="0" w:line="312" w:lineRule="auto"/>
              <w:rPr>
                <w:szCs w:val="20"/>
              </w:rPr>
            </w:pPr>
            <w:r w:rsidRPr="00E00B35">
              <w:rPr>
                <w:szCs w:val="20"/>
              </w:rPr>
              <w:t>małżeństw konkordatowych</w:t>
            </w:r>
          </w:p>
        </w:tc>
        <w:tc>
          <w:tcPr>
            <w:tcW w:w="1120" w:type="dxa"/>
          </w:tcPr>
          <w:p w:rsidR="00E96768" w:rsidRPr="00E00B35" w:rsidRDefault="00E96768" w:rsidP="00E00B35">
            <w:pPr>
              <w:spacing w:after="0" w:line="312" w:lineRule="auto"/>
              <w:rPr>
                <w:szCs w:val="20"/>
              </w:rPr>
            </w:pPr>
            <w:r w:rsidRPr="00E00B35">
              <w:rPr>
                <w:szCs w:val="20"/>
              </w:rPr>
              <w:t>11</w:t>
            </w:r>
          </w:p>
        </w:tc>
        <w:tc>
          <w:tcPr>
            <w:tcW w:w="1276" w:type="dxa"/>
          </w:tcPr>
          <w:p w:rsidR="00E96768" w:rsidRPr="00E00B35" w:rsidRDefault="00E96768" w:rsidP="00E00B35">
            <w:pPr>
              <w:spacing w:after="0" w:line="312" w:lineRule="auto"/>
              <w:rPr>
                <w:szCs w:val="20"/>
              </w:rPr>
            </w:pPr>
            <w:r w:rsidRPr="00E00B35">
              <w:rPr>
                <w:szCs w:val="20"/>
              </w:rPr>
              <w:t>169</w:t>
            </w:r>
          </w:p>
        </w:tc>
        <w:tc>
          <w:tcPr>
            <w:tcW w:w="1134" w:type="dxa"/>
          </w:tcPr>
          <w:p w:rsidR="00E96768" w:rsidRPr="00E00B35" w:rsidRDefault="00E96768" w:rsidP="00E00B35">
            <w:pPr>
              <w:spacing w:after="0" w:line="312" w:lineRule="auto"/>
              <w:rPr>
                <w:szCs w:val="20"/>
              </w:rPr>
            </w:pPr>
            <w:r w:rsidRPr="00E00B35">
              <w:rPr>
                <w:szCs w:val="20"/>
              </w:rPr>
              <w:t>175</w:t>
            </w:r>
          </w:p>
        </w:tc>
        <w:tc>
          <w:tcPr>
            <w:tcW w:w="1134" w:type="dxa"/>
          </w:tcPr>
          <w:p w:rsidR="00E96768" w:rsidRPr="00E00B35" w:rsidRDefault="00E96768" w:rsidP="00E00B35">
            <w:pPr>
              <w:spacing w:after="0" w:line="312" w:lineRule="auto"/>
              <w:rPr>
                <w:szCs w:val="20"/>
              </w:rPr>
            </w:pPr>
            <w:r w:rsidRPr="00E00B35">
              <w:rPr>
                <w:szCs w:val="20"/>
              </w:rPr>
              <w:t>137</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lastRenderedPageBreak/>
              <w:t>małżeństw konkordatowych</w:t>
            </w:r>
          </w:p>
        </w:tc>
        <w:tc>
          <w:tcPr>
            <w:tcW w:w="1120" w:type="dxa"/>
          </w:tcPr>
          <w:p w:rsidR="00E96768" w:rsidRPr="00E00B35" w:rsidRDefault="00E96768" w:rsidP="00E00B35">
            <w:pPr>
              <w:spacing w:after="0" w:line="312" w:lineRule="auto"/>
              <w:rPr>
                <w:szCs w:val="20"/>
              </w:rPr>
            </w:pPr>
            <w:r w:rsidRPr="00E00B35">
              <w:rPr>
                <w:szCs w:val="20"/>
              </w:rPr>
              <w:t>640</w:t>
            </w:r>
          </w:p>
        </w:tc>
        <w:tc>
          <w:tcPr>
            <w:tcW w:w="1276" w:type="dxa"/>
          </w:tcPr>
          <w:p w:rsidR="00E96768" w:rsidRPr="00E00B35" w:rsidRDefault="00E96768" w:rsidP="00E00B35">
            <w:pPr>
              <w:spacing w:after="0" w:line="312" w:lineRule="auto"/>
              <w:rPr>
                <w:szCs w:val="20"/>
              </w:rPr>
            </w:pPr>
            <w:r w:rsidRPr="00E00B35">
              <w:rPr>
                <w:szCs w:val="20"/>
              </w:rPr>
              <w:t>890</w:t>
            </w:r>
          </w:p>
        </w:tc>
        <w:tc>
          <w:tcPr>
            <w:tcW w:w="1134" w:type="dxa"/>
          </w:tcPr>
          <w:p w:rsidR="00E96768" w:rsidRPr="00E00B35" w:rsidRDefault="00E96768" w:rsidP="00E00B35">
            <w:pPr>
              <w:spacing w:after="0" w:line="312" w:lineRule="auto"/>
              <w:rPr>
                <w:szCs w:val="20"/>
              </w:rPr>
            </w:pPr>
            <w:r w:rsidRPr="00E00B35">
              <w:rPr>
                <w:szCs w:val="20"/>
              </w:rPr>
              <w:t>999</w:t>
            </w:r>
          </w:p>
        </w:tc>
        <w:tc>
          <w:tcPr>
            <w:tcW w:w="1134" w:type="dxa"/>
          </w:tcPr>
          <w:p w:rsidR="00E96768" w:rsidRPr="00E00B35" w:rsidRDefault="00E96768" w:rsidP="00E00B35">
            <w:pPr>
              <w:spacing w:after="0" w:line="312" w:lineRule="auto"/>
              <w:rPr>
                <w:szCs w:val="20"/>
              </w:rPr>
            </w:pPr>
            <w:r w:rsidRPr="00E00B35">
              <w:rPr>
                <w:szCs w:val="20"/>
              </w:rPr>
              <w:t>1 052</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akty zgonu w tym:</w:t>
            </w:r>
          </w:p>
          <w:p w:rsidR="00E96768" w:rsidRPr="00E00B35" w:rsidRDefault="00E96768" w:rsidP="00E00B35">
            <w:pPr>
              <w:spacing w:after="0" w:line="312" w:lineRule="auto"/>
              <w:rPr>
                <w:szCs w:val="20"/>
              </w:rPr>
            </w:pPr>
            <w:r w:rsidRPr="00E00B35">
              <w:rPr>
                <w:szCs w:val="20"/>
              </w:rPr>
              <w:t>osób zmarłych we Wrocławiu</w:t>
            </w:r>
          </w:p>
        </w:tc>
        <w:tc>
          <w:tcPr>
            <w:tcW w:w="1120" w:type="dxa"/>
          </w:tcPr>
          <w:p w:rsidR="00E96768" w:rsidRPr="00E00B35" w:rsidRDefault="00E96768" w:rsidP="00E00B35">
            <w:pPr>
              <w:spacing w:after="0" w:line="312" w:lineRule="auto"/>
              <w:rPr>
                <w:szCs w:val="20"/>
              </w:rPr>
            </w:pPr>
            <w:r w:rsidRPr="00E00B35">
              <w:rPr>
                <w:szCs w:val="20"/>
              </w:rPr>
              <w:t>9 109</w:t>
            </w:r>
          </w:p>
          <w:p w:rsidR="00E96768" w:rsidRPr="00E00B35" w:rsidRDefault="00E96768" w:rsidP="00E00B35">
            <w:pPr>
              <w:spacing w:after="0" w:line="312" w:lineRule="auto"/>
              <w:rPr>
                <w:szCs w:val="20"/>
              </w:rPr>
            </w:pPr>
            <w:r w:rsidRPr="00E00B35">
              <w:rPr>
                <w:szCs w:val="20"/>
              </w:rPr>
              <w:t>8 986</w:t>
            </w:r>
          </w:p>
        </w:tc>
        <w:tc>
          <w:tcPr>
            <w:tcW w:w="1276" w:type="dxa"/>
          </w:tcPr>
          <w:p w:rsidR="00E96768" w:rsidRPr="00E00B35" w:rsidRDefault="00E96768" w:rsidP="00E00B35">
            <w:pPr>
              <w:spacing w:after="0" w:line="312" w:lineRule="auto"/>
              <w:rPr>
                <w:szCs w:val="20"/>
              </w:rPr>
            </w:pPr>
            <w:r w:rsidRPr="00E00B35">
              <w:rPr>
                <w:szCs w:val="20"/>
              </w:rPr>
              <w:t>8 014</w:t>
            </w:r>
          </w:p>
          <w:p w:rsidR="00E96768" w:rsidRPr="00E00B35" w:rsidRDefault="00E96768" w:rsidP="00E00B35">
            <w:pPr>
              <w:spacing w:after="0" w:line="312" w:lineRule="auto"/>
              <w:rPr>
                <w:szCs w:val="20"/>
              </w:rPr>
            </w:pPr>
            <w:r w:rsidRPr="00E00B35">
              <w:rPr>
                <w:szCs w:val="20"/>
              </w:rPr>
              <w:t>7 882</w:t>
            </w:r>
          </w:p>
        </w:tc>
        <w:tc>
          <w:tcPr>
            <w:tcW w:w="1134" w:type="dxa"/>
          </w:tcPr>
          <w:p w:rsidR="00E96768" w:rsidRPr="00E00B35" w:rsidRDefault="00E96768" w:rsidP="00E00B35">
            <w:pPr>
              <w:spacing w:after="0" w:line="312" w:lineRule="auto"/>
              <w:rPr>
                <w:szCs w:val="20"/>
              </w:rPr>
            </w:pPr>
            <w:r w:rsidRPr="00E00B35">
              <w:rPr>
                <w:szCs w:val="20"/>
              </w:rPr>
              <w:t>8 129</w:t>
            </w:r>
          </w:p>
          <w:p w:rsidR="00E96768" w:rsidRPr="00E00B35" w:rsidRDefault="00E96768" w:rsidP="00E00B35">
            <w:pPr>
              <w:spacing w:after="0" w:line="312" w:lineRule="auto"/>
              <w:rPr>
                <w:szCs w:val="20"/>
              </w:rPr>
            </w:pPr>
            <w:r w:rsidRPr="00E00B35">
              <w:rPr>
                <w:szCs w:val="20"/>
              </w:rPr>
              <w:t>8 007</w:t>
            </w:r>
          </w:p>
        </w:tc>
        <w:tc>
          <w:tcPr>
            <w:tcW w:w="1134" w:type="dxa"/>
          </w:tcPr>
          <w:p w:rsidR="00E96768" w:rsidRPr="00E00B35" w:rsidRDefault="00E96768" w:rsidP="00E00B35">
            <w:pPr>
              <w:spacing w:after="0" w:line="312" w:lineRule="auto"/>
              <w:rPr>
                <w:szCs w:val="20"/>
              </w:rPr>
            </w:pPr>
            <w:r w:rsidRPr="00E00B35">
              <w:rPr>
                <w:szCs w:val="20"/>
              </w:rPr>
              <w:t>7 930</w:t>
            </w:r>
          </w:p>
          <w:p w:rsidR="00E96768" w:rsidRPr="00E00B35" w:rsidRDefault="00E96768" w:rsidP="00E00B35">
            <w:pPr>
              <w:spacing w:after="0" w:line="312" w:lineRule="auto"/>
              <w:rPr>
                <w:szCs w:val="20"/>
              </w:rPr>
            </w:pPr>
            <w:r w:rsidRPr="00E00B35">
              <w:rPr>
                <w:szCs w:val="20"/>
              </w:rPr>
              <w:t>7 787</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osób zmarłych za granicą</w:t>
            </w:r>
          </w:p>
        </w:tc>
        <w:tc>
          <w:tcPr>
            <w:tcW w:w="1120" w:type="dxa"/>
          </w:tcPr>
          <w:p w:rsidR="00E96768" w:rsidRPr="00E00B35" w:rsidRDefault="00E96768" w:rsidP="00E00B35">
            <w:pPr>
              <w:spacing w:after="0" w:line="312" w:lineRule="auto"/>
              <w:rPr>
                <w:szCs w:val="20"/>
              </w:rPr>
            </w:pPr>
            <w:r w:rsidRPr="00E00B35">
              <w:rPr>
                <w:szCs w:val="20"/>
              </w:rPr>
              <w:t>123</w:t>
            </w:r>
          </w:p>
        </w:tc>
        <w:tc>
          <w:tcPr>
            <w:tcW w:w="1276" w:type="dxa"/>
          </w:tcPr>
          <w:p w:rsidR="00E96768" w:rsidRPr="00E00B35" w:rsidRDefault="00E96768" w:rsidP="00E00B35">
            <w:pPr>
              <w:spacing w:after="0" w:line="312" w:lineRule="auto"/>
              <w:rPr>
                <w:szCs w:val="20"/>
              </w:rPr>
            </w:pPr>
            <w:r w:rsidRPr="00E00B35">
              <w:rPr>
                <w:szCs w:val="20"/>
              </w:rPr>
              <w:t>132</w:t>
            </w:r>
          </w:p>
        </w:tc>
        <w:tc>
          <w:tcPr>
            <w:tcW w:w="1134" w:type="dxa"/>
          </w:tcPr>
          <w:p w:rsidR="00E96768" w:rsidRPr="00E00B35" w:rsidRDefault="00E96768" w:rsidP="00E00B35">
            <w:pPr>
              <w:spacing w:after="0" w:line="312" w:lineRule="auto"/>
              <w:rPr>
                <w:szCs w:val="20"/>
              </w:rPr>
            </w:pPr>
            <w:r w:rsidRPr="00E00B35">
              <w:rPr>
                <w:szCs w:val="20"/>
              </w:rPr>
              <w:t>122</w:t>
            </w:r>
          </w:p>
        </w:tc>
        <w:tc>
          <w:tcPr>
            <w:tcW w:w="1134" w:type="dxa"/>
          </w:tcPr>
          <w:p w:rsidR="00E96768" w:rsidRPr="00E00B35" w:rsidRDefault="00E96768" w:rsidP="00E00B35">
            <w:pPr>
              <w:spacing w:after="0" w:line="312" w:lineRule="auto"/>
              <w:rPr>
                <w:szCs w:val="20"/>
              </w:rPr>
            </w:pPr>
            <w:r w:rsidRPr="00E00B35">
              <w:rPr>
                <w:szCs w:val="20"/>
              </w:rPr>
              <w:t>143</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Nadano numery Pesel noworodkom</w:t>
            </w:r>
          </w:p>
        </w:tc>
        <w:tc>
          <w:tcPr>
            <w:tcW w:w="1120" w:type="dxa"/>
          </w:tcPr>
          <w:p w:rsidR="00E96768" w:rsidRPr="00E00B35" w:rsidRDefault="00E96768" w:rsidP="00E00B35">
            <w:pPr>
              <w:spacing w:after="0" w:line="312" w:lineRule="auto"/>
              <w:rPr>
                <w:szCs w:val="20"/>
              </w:rPr>
            </w:pPr>
            <w:r w:rsidRPr="00E00B35">
              <w:rPr>
                <w:szCs w:val="20"/>
              </w:rPr>
              <w:t>8 637</w:t>
            </w:r>
          </w:p>
        </w:tc>
        <w:tc>
          <w:tcPr>
            <w:tcW w:w="1276" w:type="dxa"/>
          </w:tcPr>
          <w:p w:rsidR="00E96768" w:rsidRPr="00E00B35" w:rsidRDefault="00E96768" w:rsidP="00E00B35">
            <w:pPr>
              <w:spacing w:after="0" w:line="312" w:lineRule="auto"/>
              <w:rPr>
                <w:szCs w:val="20"/>
              </w:rPr>
            </w:pPr>
            <w:r w:rsidRPr="00E00B35">
              <w:rPr>
                <w:szCs w:val="20"/>
              </w:rPr>
              <w:t>9 608</w:t>
            </w:r>
          </w:p>
        </w:tc>
        <w:tc>
          <w:tcPr>
            <w:tcW w:w="1134" w:type="dxa"/>
          </w:tcPr>
          <w:p w:rsidR="00E96768" w:rsidRPr="00E00B35" w:rsidRDefault="00E96768" w:rsidP="00E00B35">
            <w:pPr>
              <w:spacing w:after="0" w:line="312" w:lineRule="auto"/>
              <w:rPr>
                <w:szCs w:val="20"/>
              </w:rPr>
            </w:pPr>
            <w:r w:rsidRPr="00E00B35">
              <w:rPr>
                <w:szCs w:val="20"/>
              </w:rPr>
              <w:t>10 275</w:t>
            </w:r>
          </w:p>
        </w:tc>
        <w:tc>
          <w:tcPr>
            <w:tcW w:w="1134" w:type="dxa"/>
          </w:tcPr>
          <w:p w:rsidR="00E96768" w:rsidRPr="00E00B35" w:rsidRDefault="00E96768" w:rsidP="00E00B35">
            <w:pPr>
              <w:spacing w:after="0" w:line="312" w:lineRule="auto"/>
              <w:rPr>
                <w:szCs w:val="20"/>
              </w:rPr>
            </w:pPr>
            <w:r w:rsidRPr="00E00B35">
              <w:rPr>
                <w:szCs w:val="20"/>
              </w:rPr>
              <w:t>10 376</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Zaicjonowano nadanie medali za Długoletnie Pożycie Małżeńskie</w:t>
            </w:r>
          </w:p>
        </w:tc>
        <w:tc>
          <w:tcPr>
            <w:tcW w:w="1120" w:type="dxa"/>
          </w:tcPr>
          <w:p w:rsidR="00E96768" w:rsidRPr="00E00B35" w:rsidRDefault="00E96768" w:rsidP="00E00B35">
            <w:pPr>
              <w:spacing w:after="0" w:line="312" w:lineRule="auto"/>
              <w:rPr>
                <w:szCs w:val="20"/>
              </w:rPr>
            </w:pPr>
            <w:r w:rsidRPr="00E00B35">
              <w:rPr>
                <w:szCs w:val="20"/>
              </w:rPr>
              <w:t>353</w:t>
            </w:r>
          </w:p>
        </w:tc>
        <w:tc>
          <w:tcPr>
            <w:tcW w:w="1276" w:type="dxa"/>
          </w:tcPr>
          <w:p w:rsidR="00E96768" w:rsidRPr="00E00B35" w:rsidRDefault="00E96768" w:rsidP="00E00B35">
            <w:pPr>
              <w:spacing w:after="0" w:line="312" w:lineRule="auto"/>
              <w:rPr>
                <w:szCs w:val="20"/>
              </w:rPr>
            </w:pPr>
            <w:r w:rsidRPr="00E00B35">
              <w:rPr>
                <w:szCs w:val="20"/>
              </w:rPr>
              <w:t>246</w:t>
            </w:r>
          </w:p>
        </w:tc>
        <w:tc>
          <w:tcPr>
            <w:tcW w:w="1134" w:type="dxa"/>
          </w:tcPr>
          <w:p w:rsidR="00E96768" w:rsidRPr="00E00B35" w:rsidRDefault="00E96768" w:rsidP="00E00B35">
            <w:pPr>
              <w:spacing w:after="0" w:line="312" w:lineRule="auto"/>
              <w:rPr>
                <w:szCs w:val="20"/>
              </w:rPr>
            </w:pPr>
            <w:r w:rsidRPr="00E00B35">
              <w:rPr>
                <w:szCs w:val="20"/>
              </w:rPr>
              <w:t>256</w:t>
            </w:r>
          </w:p>
        </w:tc>
        <w:tc>
          <w:tcPr>
            <w:tcW w:w="1134" w:type="dxa"/>
          </w:tcPr>
          <w:p w:rsidR="00E96768" w:rsidRPr="00E00B35" w:rsidRDefault="00E96768" w:rsidP="00E00B35">
            <w:pPr>
              <w:spacing w:after="0" w:line="312" w:lineRule="auto"/>
              <w:rPr>
                <w:szCs w:val="20"/>
              </w:rPr>
            </w:pPr>
            <w:r w:rsidRPr="00E00B35">
              <w:rPr>
                <w:szCs w:val="20"/>
              </w:rPr>
              <w:t>242</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 xml:space="preserve">Wydano zezwolenia na zawarcie małżeństwa przed upływem ustawowego terminu </w:t>
            </w:r>
          </w:p>
        </w:tc>
        <w:tc>
          <w:tcPr>
            <w:tcW w:w="1120" w:type="dxa"/>
          </w:tcPr>
          <w:p w:rsidR="00E96768" w:rsidRPr="00E00B35" w:rsidRDefault="00E96768" w:rsidP="00E00B35">
            <w:pPr>
              <w:spacing w:after="0" w:line="312" w:lineRule="auto"/>
              <w:rPr>
                <w:szCs w:val="20"/>
              </w:rPr>
            </w:pPr>
            <w:r w:rsidRPr="00E00B35">
              <w:rPr>
                <w:szCs w:val="20"/>
              </w:rPr>
              <w:t>247</w:t>
            </w:r>
          </w:p>
        </w:tc>
        <w:tc>
          <w:tcPr>
            <w:tcW w:w="1276" w:type="dxa"/>
          </w:tcPr>
          <w:p w:rsidR="00E96768" w:rsidRPr="00E00B35" w:rsidRDefault="00E96768" w:rsidP="00E00B35">
            <w:pPr>
              <w:spacing w:after="0" w:line="312" w:lineRule="auto"/>
              <w:rPr>
                <w:szCs w:val="20"/>
              </w:rPr>
            </w:pPr>
            <w:r w:rsidRPr="00E00B35">
              <w:rPr>
                <w:szCs w:val="20"/>
              </w:rPr>
              <w:t>206</w:t>
            </w:r>
          </w:p>
        </w:tc>
        <w:tc>
          <w:tcPr>
            <w:tcW w:w="1134" w:type="dxa"/>
          </w:tcPr>
          <w:p w:rsidR="00E96768" w:rsidRPr="00E00B35" w:rsidRDefault="00E96768" w:rsidP="00E00B35">
            <w:pPr>
              <w:spacing w:after="0" w:line="312" w:lineRule="auto"/>
              <w:rPr>
                <w:szCs w:val="20"/>
              </w:rPr>
            </w:pPr>
            <w:r w:rsidRPr="00E00B35">
              <w:rPr>
                <w:szCs w:val="20"/>
              </w:rPr>
              <w:t>236</w:t>
            </w:r>
          </w:p>
        </w:tc>
        <w:tc>
          <w:tcPr>
            <w:tcW w:w="1134" w:type="dxa"/>
          </w:tcPr>
          <w:p w:rsidR="00E96768" w:rsidRPr="00E00B35" w:rsidRDefault="00E96768" w:rsidP="00E00B35">
            <w:pPr>
              <w:spacing w:after="0" w:line="312" w:lineRule="auto"/>
              <w:rPr>
                <w:szCs w:val="20"/>
              </w:rPr>
            </w:pPr>
            <w:r w:rsidRPr="00E00B35">
              <w:rPr>
                <w:szCs w:val="20"/>
              </w:rPr>
              <w:t>170</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decyzje w sprawie zmiany imion i nazwisk</w:t>
            </w:r>
          </w:p>
        </w:tc>
        <w:tc>
          <w:tcPr>
            <w:tcW w:w="1120" w:type="dxa"/>
          </w:tcPr>
          <w:p w:rsidR="00E96768" w:rsidRPr="00E00B35" w:rsidRDefault="00E96768" w:rsidP="00E00B35">
            <w:pPr>
              <w:spacing w:after="0" w:line="312" w:lineRule="auto"/>
              <w:rPr>
                <w:szCs w:val="20"/>
              </w:rPr>
            </w:pPr>
            <w:r w:rsidRPr="00E00B35">
              <w:rPr>
                <w:szCs w:val="20"/>
              </w:rPr>
              <w:t>812</w:t>
            </w:r>
          </w:p>
        </w:tc>
        <w:tc>
          <w:tcPr>
            <w:tcW w:w="1276" w:type="dxa"/>
          </w:tcPr>
          <w:p w:rsidR="00E96768" w:rsidRPr="00E00B35" w:rsidRDefault="00E96768" w:rsidP="00E00B35">
            <w:pPr>
              <w:spacing w:after="0" w:line="312" w:lineRule="auto"/>
              <w:rPr>
                <w:szCs w:val="20"/>
              </w:rPr>
            </w:pPr>
            <w:r w:rsidRPr="00E00B35">
              <w:rPr>
                <w:szCs w:val="20"/>
              </w:rPr>
              <w:t>806</w:t>
            </w:r>
          </w:p>
        </w:tc>
        <w:tc>
          <w:tcPr>
            <w:tcW w:w="1134" w:type="dxa"/>
          </w:tcPr>
          <w:p w:rsidR="00E96768" w:rsidRPr="00E00B35" w:rsidRDefault="00E96768" w:rsidP="00E00B35">
            <w:pPr>
              <w:spacing w:after="0" w:line="312" w:lineRule="auto"/>
              <w:rPr>
                <w:szCs w:val="20"/>
              </w:rPr>
            </w:pPr>
            <w:r w:rsidRPr="00E00B35">
              <w:rPr>
                <w:szCs w:val="20"/>
              </w:rPr>
              <w:t>784</w:t>
            </w:r>
          </w:p>
        </w:tc>
        <w:tc>
          <w:tcPr>
            <w:tcW w:w="1134" w:type="dxa"/>
          </w:tcPr>
          <w:p w:rsidR="00E96768" w:rsidRPr="00E00B35" w:rsidRDefault="00E96768" w:rsidP="00E00B35">
            <w:pPr>
              <w:spacing w:after="0" w:line="312" w:lineRule="auto"/>
              <w:rPr>
                <w:szCs w:val="20"/>
              </w:rPr>
            </w:pPr>
            <w:r w:rsidRPr="00E00B35">
              <w:rPr>
                <w:szCs w:val="20"/>
              </w:rPr>
              <w:t>775</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pozwolenia na sprowadzanie zwłok i szczątków ludzkich z zagranicy w celu ich pochowania</w:t>
            </w:r>
          </w:p>
        </w:tc>
        <w:tc>
          <w:tcPr>
            <w:tcW w:w="1120" w:type="dxa"/>
          </w:tcPr>
          <w:p w:rsidR="00E96768" w:rsidRPr="00E00B35" w:rsidRDefault="00E96768" w:rsidP="00E00B35">
            <w:pPr>
              <w:spacing w:after="0" w:line="312" w:lineRule="auto"/>
              <w:rPr>
                <w:szCs w:val="20"/>
              </w:rPr>
            </w:pPr>
            <w:r w:rsidRPr="00E00B35">
              <w:rPr>
                <w:szCs w:val="20"/>
              </w:rPr>
              <w:t>112</w:t>
            </w:r>
          </w:p>
        </w:tc>
        <w:tc>
          <w:tcPr>
            <w:tcW w:w="1276" w:type="dxa"/>
          </w:tcPr>
          <w:p w:rsidR="00E96768" w:rsidRPr="00E00B35" w:rsidRDefault="00E96768" w:rsidP="00E00B35">
            <w:pPr>
              <w:spacing w:after="0" w:line="312" w:lineRule="auto"/>
              <w:rPr>
                <w:szCs w:val="20"/>
              </w:rPr>
            </w:pPr>
            <w:r w:rsidRPr="00E00B35">
              <w:rPr>
                <w:szCs w:val="20"/>
              </w:rPr>
              <w:t>129</w:t>
            </w:r>
          </w:p>
        </w:tc>
        <w:tc>
          <w:tcPr>
            <w:tcW w:w="1134" w:type="dxa"/>
          </w:tcPr>
          <w:p w:rsidR="00E96768" w:rsidRPr="00E00B35" w:rsidRDefault="00E96768" w:rsidP="00E00B35">
            <w:pPr>
              <w:spacing w:after="0" w:line="312" w:lineRule="auto"/>
              <w:rPr>
                <w:szCs w:val="20"/>
              </w:rPr>
            </w:pPr>
            <w:r w:rsidRPr="00E00B35">
              <w:rPr>
                <w:szCs w:val="20"/>
              </w:rPr>
              <w:t>133</w:t>
            </w:r>
          </w:p>
        </w:tc>
        <w:tc>
          <w:tcPr>
            <w:tcW w:w="1134" w:type="dxa"/>
          </w:tcPr>
          <w:p w:rsidR="00E96768" w:rsidRPr="00E00B35" w:rsidRDefault="00E96768" w:rsidP="00E00B35">
            <w:pPr>
              <w:spacing w:after="0" w:line="312" w:lineRule="auto"/>
              <w:rPr>
                <w:szCs w:val="20"/>
              </w:rPr>
            </w:pPr>
            <w:r w:rsidRPr="00E00B35">
              <w:rPr>
                <w:szCs w:val="20"/>
              </w:rPr>
              <w:t>129</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zaświadczenia  o zdolności prawnej do zawarcia związku małżeńskiego za granicą</w:t>
            </w:r>
          </w:p>
        </w:tc>
        <w:tc>
          <w:tcPr>
            <w:tcW w:w="1120" w:type="dxa"/>
          </w:tcPr>
          <w:p w:rsidR="00E96768" w:rsidRPr="00E00B35" w:rsidRDefault="00E96768" w:rsidP="00E00B35">
            <w:pPr>
              <w:spacing w:after="0" w:line="312" w:lineRule="auto"/>
              <w:rPr>
                <w:szCs w:val="20"/>
              </w:rPr>
            </w:pPr>
            <w:r w:rsidRPr="00E00B35">
              <w:rPr>
                <w:szCs w:val="20"/>
              </w:rPr>
              <w:t>159</w:t>
            </w:r>
          </w:p>
        </w:tc>
        <w:tc>
          <w:tcPr>
            <w:tcW w:w="1276" w:type="dxa"/>
          </w:tcPr>
          <w:p w:rsidR="00E96768" w:rsidRPr="00E00B35" w:rsidRDefault="00E96768" w:rsidP="00E00B35">
            <w:pPr>
              <w:spacing w:after="0" w:line="312" w:lineRule="auto"/>
              <w:rPr>
                <w:szCs w:val="20"/>
              </w:rPr>
            </w:pPr>
            <w:r w:rsidRPr="00E00B35">
              <w:rPr>
                <w:szCs w:val="20"/>
              </w:rPr>
              <w:t>256</w:t>
            </w:r>
          </w:p>
        </w:tc>
        <w:tc>
          <w:tcPr>
            <w:tcW w:w="1134" w:type="dxa"/>
          </w:tcPr>
          <w:p w:rsidR="00E96768" w:rsidRPr="00E00B35" w:rsidRDefault="00E96768" w:rsidP="00E00B35">
            <w:pPr>
              <w:spacing w:after="0" w:line="312" w:lineRule="auto"/>
              <w:rPr>
                <w:szCs w:val="20"/>
              </w:rPr>
            </w:pPr>
            <w:r w:rsidRPr="00E00B35">
              <w:rPr>
                <w:szCs w:val="20"/>
              </w:rPr>
              <w:t>278</w:t>
            </w:r>
          </w:p>
        </w:tc>
        <w:tc>
          <w:tcPr>
            <w:tcW w:w="1134" w:type="dxa"/>
          </w:tcPr>
          <w:p w:rsidR="00E96768" w:rsidRPr="00E00B35" w:rsidRDefault="00E96768" w:rsidP="00E00B35">
            <w:pPr>
              <w:spacing w:after="0" w:line="312" w:lineRule="auto"/>
              <w:rPr>
                <w:szCs w:val="20"/>
              </w:rPr>
            </w:pPr>
            <w:r w:rsidRPr="00E00B35">
              <w:rPr>
                <w:szCs w:val="20"/>
              </w:rPr>
              <w:t>281</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zaświadczenia o braku okoliczności wyłączającej zawarcie małżeństwa</w:t>
            </w:r>
          </w:p>
        </w:tc>
        <w:tc>
          <w:tcPr>
            <w:tcW w:w="1120" w:type="dxa"/>
          </w:tcPr>
          <w:p w:rsidR="00E96768" w:rsidRPr="00E00B35" w:rsidRDefault="00E96768" w:rsidP="00E00B35">
            <w:pPr>
              <w:spacing w:after="0" w:line="312" w:lineRule="auto"/>
              <w:rPr>
                <w:szCs w:val="20"/>
              </w:rPr>
            </w:pPr>
            <w:r w:rsidRPr="00E00B35">
              <w:rPr>
                <w:szCs w:val="20"/>
              </w:rPr>
              <w:t>1 666</w:t>
            </w:r>
          </w:p>
        </w:tc>
        <w:tc>
          <w:tcPr>
            <w:tcW w:w="1276" w:type="dxa"/>
          </w:tcPr>
          <w:p w:rsidR="00E96768" w:rsidRPr="00E00B35" w:rsidRDefault="00E96768" w:rsidP="00E00B35">
            <w:pPr>
              <w:spacing w:after="0" w:line="312" w:lineRule="auto"/>
              <w:rPr>
                <w:szCs w:val="20"/>
              </w:rPr>
            </w:pPr>
            <w:r w:rsidRPr="00E00B35">
              <w:rPr>
                <w:szCs w:val="20"/>
              </w:rPr>
              <w:t>2 235</w:t>
            </w:r>
          </w:p>
        </w:tc>
        <w:tc>
          <w:tcPr>
            <w:tcW w:w="1134" w:type="dxa"/>
          </w:tcPr>
          <w:p w:rsidR="00E96768" w:rsidRPr="00E00B35" w:rsidRDefault="00E96768" w:rsidP="00E00B35">
            <w:pPr>
              <w:spacing w:after="0" w:line="312" w:lineRule="auto"/>
              <w:rPr>
                <w:szCs w:val="20"/>
              </w:rPr>
            </w:pPr>
            <w:r w:rsidRPr="00E00B35">
              <w:rPr>
                <w:szCs w:val="20"/>
              </w:rPr>
              <w:t>2 378</w:t>
            </w:r>
          </w:p>
        </w:tc>
        <w:tc>
          <w:tcPr>
            <w:tcW w:w="1134" w:type="dxa"/>
          </w:tcPr>
          <w:p w:rsidR="00E96768" w:rsidRPr="00E00B35" w:rsidRDefault="00E96768" w:rsidP="00E00B35">
            <w:pPr>
              <w:spacing w:after="0" w:line="312" w:lineRule="auto"/>
              <w:rPr>
                <w:szCs w:val="20"/>
              </w:rPr>
            </w:pPr>
            <w:r w:rsidRPr="00E00B35">
              <w:rPr>
                <w:szCs w:val="20"/>
              </w:rPr>
              <w:t>2 394</w:t>
            </w:r>
          </w:p>
        </w:tc>
      </w:tr>
      <w:tr w:rsidR="00E96768" w:rsidRPr="00E00B35" w:rsidTr="00E96768">
        <w:tc>
          <w:tcPr>
            <w:tcW w:w="4620" w:type="dxa"/>
          </w:tcPr>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zaświadczenia o nieposiadaniu księgi stanu cywilnego</w:t>
            </w:r>
          </w:p>
        </w:tc>
        <w:tc>
          <w:tcPr>
            <w:tcW w:w="1120" w:type="dxa"/>
          </w:tcPr>
          <w:p w:rsidR="00E96768" w:rsidRPr="00E00B35" w:rsidRDefault="00E96768" w:rsidP="00E00B35">
            <w:pPr>
              <w:spacing w:after="0" w:line="312" w:lineRule="auto"/>
              <w:rPr>
                <w:szCs w:val="20"/>
              </w:rPr>
            </w:pPr>
            <w:r w:rsidRPr="00E00B35">
              <w:rPr>
                <w:szCs w:val="20"/>
              </w:rPr>
              <w:t>77</w:t>
            </w:r>
          </w:p>
        </w:tc>
        <w:tc>
          <w:tcPr>
            <w:tcW w:w="1276" w:type="dxa"/>
          </w:tcPr>
          <w:p w:rsidR="00E96768" w:rsidRPr="00E00B35" w:rsidRDefault="00E96768" w:rsidP="00E00B35">
            <w:pPr>
              <w:spacing w:after="0" w:line="312" w:lineRule="auto"/>
              <w:rPr>
                <w:szCs w:val="20"/>
              </w:rPr>
            </w:pPr>
            <w:r w:rsidRPr="00E00B35">
              <w:rPr>
                <w:szCs w:val="20"/>
              </w:rPr>
              <w:t>53</w:t>
            </w:r>
          </w:p>
        </w:tc>
        <w:tc>
          <w:tcPr>
            <w:tcW w:w="1134" w:type="dxa"/>
          </w:tcPr>
          <w:p w:rsidR="00E96768" w:rsidRPr="00E00B35" w:rsidRDefault="00E96768" w:rsidP="00E00B35">
            <w:pPr>
              <w:spacing w:after="0" w:line="312" w:lineRule="auto"/>
              <w:rPr>
                <w:szCs w:val="20"/>
              </w:rPr>
            </w:pPr>
            <w:r w:rsidRPr="00E00B35">
              <w:rPr>
                <w:szCs w:val="20"/>
              </w:rPr>
              <w:t>66</w:t>
            </w:r>
          </w:p>
        </w:tc>
        <w:tc>
          <w:tcPr>
            <w:tcW w:w="1134" w:type="dxa"/>
          </w:tcPr>
          <w:p w:rsidR="00E96768" w:rsidRPr="00E00B35" w:rsidRDefault="00E96768" w:rsidP="00E00B35">
            <w:pPr>
              <w:spacing w:after="0" w:line="312" w:lineRule="auto"/>
              <w:rPr>
                <w:szCs w:val="20"/>
              </w:rPr>
            </w:pPr>
            <w:r w:rsidRPr="00E00B35">
              <w:rPr>
                <w:szCs w:val="20"/>
              </w:rPr>
              <w:t>98</w:t>
            </w:r>
          </w:p>
        </w:tc>
      </w:tr>
      <w:tr w:rsidR="00E96768" w:rsidRPr="00E00B35" w:rsidTr="00E96768">
        <w:tc>
          <w:tcPr>
            <w:tcW w:w="4620" w:type="dxa"/>
          </w:tcPr>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zaświadczenia o zamieszczonych lub niezamieszczonych w rejestrze stanu cywilnego danych dotyczących wskazanej osoby</w:t>
            </w:r>
          </w:p>
        </w:tc>
        <w:tc>
          <w:tcPr>
            <w:tcW w:w="1120" w:type="dxa"/>
          </w:tcPr>
          <w:p w:rsidR="00E96768" w:rsidRPr="00E00B35" w:rsidRDefault="00E96768" w:rsidP="00E00B35">
            <w:pPr>
              <w:spacing w:after="0" w:line="312" w:lineRule="auto"/>
              <w:rPr>
                <w:szCs w:val="20"/>
              </w:rPr>
            </w:pPr>
            <w:r w:rsidRPr="00E00B35">
              <w:rPr>
                <w:szCs w:val="20"/>
              </w:rPr>
              <w:t>6</w:t>
            </w:r>
          </w:p>
        </w:tc>
        <w:tc>
          <w:tcPr>
            <w:tcW w:w="1276" w:type="dxa"/>
          </w:tcPr>
          <w:p w:rsidR="00E96768" w:rsidRPr="00E00B35" w:rsidRDefault="00E96768" w:rsidP="00E00B35">
            <w:pPr>
              <w:spacing w:after="0" w:line="312" w:lineRule="auto"/>
              <w:rPr>
                <w:szCs w:val="20"/>
              </w:rPr>
            </w:pPr>
            <w:r w:rsidRPr="00E00B35">
              <w:rPr>
                <w:szCs w:val="20"/>
              </w:rPr>
              <w:t>4</w:t>
            </w:r>
          </w:p>
        </w:tc>
        <w:tc>
          <w:tcPr>
            <w:tcW w:w="1134" w:type="dxa"/>
          </w:tcPr>
          <w:p w:rsidR="00E96768" w:rsidRPr="00E00B35" w:rsidRDefault="00E96768" w:rsidP="00E00B35">
            <w:pPr>
              <w:spacing w:after="0" w:line="312" w:lineRule="auto"/>
              <w:rPr>
                <w:szCs w:val="20"/>
              </w:rPr>
            </w:pPr>
            <w:r w:rsidRPr="00E00B35">
              <w:rPr>
                <w:szCs w:val="20"/>
              </w:rPr>
              <w:t>7</w:t>
            </w:r>
          </w:p>
        </w:tc>
        <w:tc>
          <w:tcPr>
            <w:tcW w:w="1134" w:type="dxa"/>
          </w:tcPr>
          <w:p w:rsidR="00E96768" w:rsidRPr="00E00B35" w:rsidRDefault="00E96768" w:rsidP="00E00B35">
            <w:pPr>
              <w:spacing w:after="0" w:line="312" w:lineRule="auto"/>
              <w:rPr>
                <w:szCs w:val="20"/>
              </w:rPr>
            </w:pPr>
            <w:r w:rsidRPr="00E00B35">
              <w:rPr>
                <w:szCs w:val="20"/>
              </w:rPr>
              <w:t>11</w:t>
            </w:r>
          </w:p>
        </w:tc>
      </w:tr>
      <w:tr w:rsidR="00E96768" w:rsidRPr="00E00B35" w:rsidTr="00E96768">
        <w:tc>
          <w:tcPr>
            <w:tcW w:w="4620" w:type="dxa"/>
          </w:tcPr>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zaświadczeń o stanie cywilnym</w:t>
            </w:r>
          </w:p>
        </w:tc>
        <w:tc>
          <w:tcPr>
            <w:tcW w:w="1120" w:type="dxa"/>
          </w:tcPr>
          <w:p w:rsidR="00E96768" w:rsidRPr="00E00B35" w:rsidRDefault="00E96768" w:rsidP="00E00B35">
            <w:pPr>
              <w:spacing w:after="0" w:line="312" w:lineRule="auto"/>
              <w:rPr>
                <w:szCs w:val="20"/>
              </w:rPr>
            </w:pPr>
            <w:r w:rsidRPr="00E00B35">
              <w:rPr>
                <w:szCs w:val="20"/>
              </w:rPr>
              <w:t>429</w:t>
            </w:r>
          </w:p>
        </w:tc>
        <w:tc>
          <w:tcPr>
            <w:tcW w:w="1276" w:type="dxa"/>
          </w:tcPr>
          <w:p w:rsidR="00E96768" w:rsidRPr="00E00B35" w:rsidRDefault="00E96768" w:rsidP="00E00B35">
            <w:pPr>
              <w:spacing w:after="0" w:line="312" w:lineRule="auto"/>
              <w:rPr>
                <w:szCs w:val="20"/>
              </w:rPr>
            </w:pPr>
            <w:r w:rsidRPr="00E00B35">
              <w:rPr>
                <w:szCs w:val="20"/>
              </w:rPr>
              <w:t>487</w:t>
            </w:r>
          </w:p>
        </w:tc>
        <w:tc>
          <w:tcPr>
            <w:tcW w:w="1134" w:type="dxa"/>
          </w:tcPr>
          <w:p w:rsidR="00E96768" w:rsidRPr="00E00B35" w:rsidRDefault="00E96768" w:rsidP="00E00B35">
            <w:pPr>
              <w:spacing w:after="0" w:line="312" w:lineRule="auto"/>
              <w:rPr>
                <w:szCs w:val="20"/>
              </w:rPr>
            </w:pPr>
            <w:r w:rsidRPr="00E00B35">
              <w:rPr>
                <w:szCs w:val="20"/>
              </w:rPr>
              <w:t>460</w:t>
            </w:r>
          </w:p>
        </w:tc>
        <w:tc>
          <w:tcPr>
            <w:tcW w:w="1134" w:type="dxa"/>
          </w:tcPr>
          <w:p w:rsidR="00E96768" w:rsidRPr="00E00B35" w:rsidRDefault="00E96768" w:rsidP="00E00B35">
            <w:pPr>
              <w:spacing w:after="0" w:line="312" w:lineRule="auto"/>
              <w:rPr>
                <w:szCs w:val="20"/>
              </w:rPr>
            </w:pPr>
            <w:r w:rsidRPr="00E00B35">
              <w:rPr>
                <w:szCs w:val="20"/>
              </w:rPr>
              <w:t>419</w:t>
            </w:r>
          </w:p>
        </w:tc>
      </w:tr>
      <w:tr w:rsidR="00E96768" w:rsidRPr="00E00B35" w:rsidTr="00E96768">
        <w:tc>
          <w:tcPr>
            <w:tcW w:w="4620" w:type="dxa"/>
          </w:tcPr>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odpisy zupełne z aktów stanu cywilnego</w:t>
            </w:r>
          </w:p>
        </w:tc>
        <w:tc>
          <w:tcPr>
            <w:tcW w:w="1120" w:type="dxa"/>
          </w:tcPr>
          <w:p w:rsidR="00E96768" w:rsidRPr="00E00B35" w:rsidRDefault="00E96768" w:rsidP="00E00B35">
            <w:pPr>
              <w:spacing w:after="0" w:line="312" w:lineRule="auto"/>
              <w:rPr>
                <w:szCs w:val="20"/>
              </w:rPr>
            </w:pPr>
            <w:r w:rsidRPr="00E00B35">
              <w:rPr>
                <w:szCs w:val="20"/>
              </w:rPr>
              <w:t>11 987</w:t>
            </w:r>
          </w:p>
        </w:tc>
        <w:tc>
          <w:tcPr>
            <w:tcW w:w="1276" w:type="dxa"/>
          </w:tcPr>
          <w:p w:rsidR="00E96768" w:rsidRPr="00E00B35" w:rsidRDefault="00E96768" w:rsidP="00E00B35">
            <w:pPr>
              <w:spacing w:after="0" w:line="312" w:lineRule="auto"/>
              <w:rPr>
                <w:szCs w:val="20"/>
              </w:rPr>
            </w:pPr>
            <w:r w:rsidRPr="00E00B35">
              <w:rPr>
                <w:szCs w:val="20"/>
              </w:rPr>
              <w:t>13 678</w:t>
            </w:r>
          </w:p>
        </w:tc>
        <w:tc>
          <w:tcPr>
            <w:tcW w:w="1134" w:type="dxa"/>
          </w:tcPr>
          <w:p w:rsidR="00E96768" w:rsidRPr="00E00B35" w:rsidRDefault="00E96768" w:rsidP="00E00B35">
            <w:pPr>
              <w:spacing w:after="0" w:line="312" w:lineRule="auto"/>
              <w:rPr>
                <w:szCs w:val="20"/>
              </w:rPr>
            </w:pPr>
            <w:r w:rsidRPr="00E00B35">
              <w:rPr>
                <w:szCs w:val="20"/>
              </w:rPr>
              <w:t>13 556</w:t>
            </w:r>
          </w:p>
        </w:tc>
        <w:tc>
          <w:tcPr>
            <w:tcW w:w="1134" w:type="dxa"/>
          </w:tcPr>
          <w:p w:rsidR="00E96768" w:rsidRPr="00E00B35" w:rsidRDefault="00E96768" w:rsidP="00E00B35">
            <w:pPr>
              <w:spacing w:after="0" w:line="312" w:lineRule="auto"/>
              <w:rPr>
                <w:szCs w:val="20"/>
              </w:rPr>
            </w:pPr>
            <w:r w:rsidRPr="00E00B35">
              <w:rPr>
                <w:szCs w:val="20"/>
              </w:rPr>
              <w:t>12 702</w:t>
            </w:r>
          </w:p>
        </w:tc>
      </w:tr>
      <w:tr w:rsidR="00E96768" w:rsidRPr="00E00B35" w:rsidTr="00E96768">
        <w:tc>
          <w:tcPr>
            <w:tcW w:w="4620" w:type="dxa"/>
          </w:tcPr>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odpisy skrócone z aktów stanu cywilnego</w:t>
            </w:r>
          </w:p>
        </w:tc>
        <w:tc>
          <w:tcPr>
            <w:tcW w:w="1120" w:type="dxa"/>
          </w:tcPr>
          <w:p w:rsidR="00E96768" w:rsidRPr="00E00B35" w:rsidRDefault="00E96768" w:rsidP="00E00B35">
            <w:pPr>
              <w:spacing w:after="0" w:line="312" w:lineRule="auto"/>
              <w:rPr>
                <w:szCs w:val="20"/>
              </w:rPr>
            </w:pPr>
            <w:r w:rsidRPr="00E00B35">
              <w:rPr>
                <w:szCs w:val="20"/>
              </w:rPr>
              <w:t>78 234</w:t>
            </w:r>
          </w:p>
        </w:tc>
        <w:tc>
          <w:tcPr>
            <w:tcW w:w="1276" w:type="dxa"/>
          </w:tcPr>
          <w:p w:rsidR="00E96768" w:rsidRPr="00E00B35" w:rsidRDefault="00E96768" w:rsidP="00E00B35">
            <w:pPr>
              <w:spacing w:after="0" w:line="312" w:lineRule="auto"/>
              <w:rPr>
                <w:szCs w:val="20"/>
              </w:rPr>
            </w:pPr>
            <w:r w:rsidRPr="00E00B35">
              <w:rPr>
                <w:szCs w:val="20"/>
              </w:rPr>
              <w:t>85 897</w:t>
            </w:r>
          </w:p>
        </w:tc>
        <w:tc>
          <w:tcPr>
            <w:tcW w:w="1134" w:type="dxa"/>
          </w:tcPr>
          <w:p w:rsidR="00E96768" w:rsidRPr="00E00B35" w:rsidRDefault="00E96768" w:rsidP="00E00B35">
            <w:pPr>
              <w:spacing w:after="0" w:line="312" w:lineRule="auto"/>
              <w:rPr>
                <w:szCs w:val="20"/>
              </w:rPr>
            </w:pPr>
            <w:r w:rsidRPr="00E00B35">
              <w:rPr>
                <w:szCs w:val="20"/>
              </w:rPr>
              <w:t>85 446</w:t>
            </w:r>
          </w:p>
        </w:tc>
        <w:tc>
          <w:tcPr>
            <w:tcW w:w="1134" w:type="dxa"/>
          </w:tcPr>
          <w:p w:rsidR="00E96768" w:rsidRPr="00E00B35" w:rsidRDefault="00E96768" w:rsidP="00E00B35">
            <w:pPr>
              <w:spacing w:after="0" w:line="312" w:lineRule="auto"/>
              <w:rPr>
                <w:szCs w:val="20"/>
              </w:rPr>
            </w:pPr>
            <w:r w:rsidRPr="00E00B35">
              <w:rPr>
                <w:szCs w:val="20"/>
              </w:rPr>
              <w:t>77 633</w:t>
            </w:r>
          </w:p>
        </w:tc>
      </w:tr>
      <w:tr w:rsidR="00E96768" w:rsidRPr="00E00B35" w:rsidTr="00E96768">
        <w:tc>
          <w:tcPr>
            <w:tcW w:w="4620" w:type="dxa"/>
          </w:tcPr>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kserokopie z akt stanu cywilnego</w:t>
            </w:r>
          </w:p>
        </w:tc>
        <w:tc>
          <w:tcPr>
            <w:tcW w:w="1120" w:type="dxa"/>
          </w:tcPr>
          <w:p w:rsidR="00E96768" w:rsidRPr="00E00B35" w:rsidRDefault="00E96768" w:rsidP="00E00B35">
            <w:pPr>
              <w:spacing w:after="0" w:line="312" w:lineRule="auto"/>
              <w:rPr>
                <w:szCs w:val="20"/>
              </w:rPr>
            </w:pPr>
            <w:r w:rsidRPr="00E00B35">
              <w:rPr>
                <w:szCs w:val="20"/>
              </w:rPr>
              <w:t>264</w:t>
            </w:r>
          </w:p>
        </w:tc>
        <w:tc>
          <w:tcPr>
            <w:tcW w:w="1276" w:type="dxa"/>
          </w:tcPr>
          <w:p w:rsidR="00E96768" w:rsidRPr="00E00B35" w:rsidRDefault="00E96768" w:rsidP="00E00B35">
            <w:pPr>
              <w:spacing w:after="0" w:line="312" w:lineRule="auto"/>
              <w:rPr>
                <w:szCs w:val="20"/>
              </w:rPr>
            </w:pPr>
            <w:r w:rsidRPr="00E00B35">
              <w:rPr>
                <w:szCs w:val="20"/>
              </w:rPr>
              <w:t>199</w:t>
            </w:r>
          </w:p>
        </w:tc>
        <w:tc>
          <w:tcPr>
            <w:tcW w:w="1134" w:type="dxa"/>
          </w:tcPr>
          <w:p w:rsidR="00E96768" w:rsidRPr="00E00B35" w:rsidRDefault="00E96768" w:rsidP="00E00B35">
            <w:pPr>
              <w:spacing w:after="0" w:line="312" w:lineRule="auto"/>
              <w:rPr>
                <w:szCs w:val="20"/>
              </w:rPr>
            </w:pPr>
            <w:r w:rsidRPr="00E00B35">
              <w:rPr>
                <w:szCs w:val="20"/>
              </w:rPr>
              <w:t>2.080</w:t>
            </w:r>
          </w:p>
        </w:tc>
        <w:tc>
          <w:tcPr>
            <w:tcW w:w="1134" w:type="dxa"/>
          </w:tcPr>
          <w:p w:rsidR="00E96768" w:rsidRPr="00E00B35" w:rsidRDefault="00E96768" w:rsidP="00E00B35">
            <w:pPr>
              <w:spacing w:after="0" w:line="312" w:lineRule="auto"/>
              <w:rPr>
                <w:szCs w:val="20"/>
              </w:rPr>
            </w:pPr>
            <w:r w:rsidRPr="00E00B35">
              <w:rPr>
                <w:szCs w:val="20"/>
              </w:rPr>
              <w:t>868</w:t>
            </w:r>
          </w:p>
        </w:tc>
      </w:tr>
      <w:tr w:rsidR="00E96768" w:rsidRPr="00E00B35" w:rsidTr="00E96768">
        <w:tc>
          <w:tcPr>
            <w:tcW w:w="4620" w:type="dxa"/>
          </w:tcPr>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wielojęzyczne formularze tłumaczeń</w:t>
            </w:r>
          </w:p>
        </w:tc>
        <w:tc>
          <w:tcPr>
            <w:tcW w:w="1120" w:type="dxa"/>
          </w:tcPr>
          <w:p w:rsidR="00E96768" w:rsidRPr="00E00B35" w:rsidRDefault="00E96768" w:rsidP="00E00B35">
            <w:pPr>
              <w:spacing w:after="0" w:line="312" w:lineRule="auto"/>
              <w:rPr>
                <w:szCs w:val="20"/>
              </w:rPr>
            </w:pPr>
            <w:r w:rsidRPr="00E00B35">
              <w:rPr>
                <w:szCs w:val="20"/>
              </w:rPr>
              <w:t>207</w:t>
            </w:r>
          </w:p>
        </w:tc>
        <w:tc>
          <w:tcPr>
            <w:tcW w:w="1276" w:type="dxa"/>
          </w:tcPr>
          <w:p w:rsidR="00E96768" w:rsidRPr="00E00B35" w:rsidRDefault="00E96768" w:rsidP="00E00B35">
            <w:pPr>
              <w:spacing w:after="0" w:line="312" w:lineRule="auto"/>
              <w:rPr>
                <w:szCs w:val="20"/>
              </w:rPr>
            </w:pPr>
            <w:r w:rsidRPr="00E00B35">
              <w:rPr>
                <w:szCs w:val="20"/>
              </w:rPr>
              <w:t>74</w:t>
            </w:r>
          </w:p>
        </w:tc>
        <w:tc>
          <w:tcPr>
            <w:tcW w:w="1134" w:type="dxa"/>
          </w:tcPr>
          <w:p w:rsidR="00E96768" w:rsidRPr="00E00B35" w:rsidRDefault="00E96768" w:rsidP="00E00B35">
            <w:pPr>
              <w:spacing w:after="0" w:line="312" w:lineRule="auto"/>
              <w:rPr>
                <w:szCs w:val="20"/>
              </w:rPr>
            </w:pPr>
            <w:r w:rsidRPr="00E00B35">
              <w:rPr>
                <w:szCs w:val="20"/>
              </w:rPr>
              <w:t>-</w:t>
            </w:r>
          </w:p>
        </w:tc>
        <w:tc>
          <w:tcPr>
            <w:tcW w:w="1134" w:type="dxa"/>
          </w:tcPr>
          <w:p w:rsidR="00E96768" w:rsidRPr="00E00B35" w:rsidRDefault="00E96768" w:rsidP="00E00B35">
            <w:pPr>
              <w:spacing w:after="0" w:line="312" w:lineRule="auto"/>
              <w:rPr>
                <w:szCs w:val="20"/>
              </w:rPr>
            </w:pPr>
            <w:r w:rsidRPr="00E00B35">
              <w:rPr>
                <w:szCs w:val="20"/>
              </w:rPr>
              <w:t>-</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Przyjęto oświadczenia o uznaniu ojcostwa</w:t>
            </w:r>
          </w:p>
        </w:tc>
        <w:tc>
          <w:tcPr>
            <w:tcW w:w="1120" w:type="dxa"/>
          </w:tcPr>
          <w:p w:rsidR="00E96768" w:rsidRPr="00E00B35" w:rsidRDefault="00E96768" w:rsidP="00E00B35">
            <w:pPr>
              <w:spacing w:after="0" w:line="312" w:lineRule="auto"/>
              <w:rPr>
                <w:szCs w:val="20"/>
              </w:rPr>
            </w:pPr>
            <w:r w:rsidRPr="00E00B35">
              <w:rPr>
                <w:szCs w:val="20"/>
              </w:rPr>
              <w:t>2 261</w:t>
            </w:r>
          </w:p>
        </w:tc>
        <w:tc>
          <w:tcPr>
            <w:tcW w:w="1276" w:type="dxa"/>
          </w:tcPr>
          <w:p w:rsidR="00E96768" w:rsidRPr="00E00B35" w:rsidRDefault="00E96768" w:rsidP="00E00B35">
            <w:pPr>
              <w:spacing w:after="0" w:line="312" w:lineRule="auto"/>
              <w:rPr>
                <w:szCs w:val="20"/>
              </w:rPr>
            </w:pPr>
            <w:r w:rsidRPr="00E00B35">
              <w:rPr>
                <w:szCs w:val="20"/>
              </w:rPr>
              <w:t>2 482</w:t>
            </w:r>
          </w:p>
        </w:tc>
        <w:tc>
          <w:tcPr>
            <w:tcW w:w="1134" w:type="dxa"/>
          </w:tcPr>
          <w:p w:rsidR="00E96768" w:rsidRPr="00E00B35" w:rsidRDefault="00E96768" w:rsidP="00E00B35">
            <w:pPr>
              <w:spacing w:after="0" w:line="312" w:lineRule="auto"/>
              <w:rPr>
                <w:szCs w:val="20"/>
              </w:rPr>
            </w:pPr>
            <w:r w:rsidRPr="00E00B35">
              <w:rPr>
                <w:szCs w:val="20"/>
              </w:rPr>
              <w:t>2 602</w:t>
            </w:r>
          </w:p>
        </w:tc>
        <w:tc>
          <w:tcPr>
            <w:tcW w:w="1134" w:type="dxa"/>
          </w:tcPr>
          <w:p w:rsidR="00E96768" w:rsidRPr="00E00B35" w:rsidRDefault="00E96768" w:rsidP="00E00B35">
            <w:pPr>
              <w:spacing w:after="0" w:line="312" w:lineRule="auto"/>
              <w:rPr>
                <w:szCs w:val="20"/>
              </w:rPr>
            </w:pPr>
            <w:r w:rsidRPr="00E00B35">
              <w:rPr>
                <w:szCs w:val="20"/>
              </w:rPr>
              <w:t>2 604</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oświadczenia o zmianie imienia/nazwiska dziecka</w:t>
            </w:r>
          </w:p>
        </w:tc>
        <w:tc>
          <w:tcPr>
            <w:tcW w:w="1120" w:type="dxa"/>
          </w:tcPr>
          <w:p w:rsidR="00E96768" w:rsidRPr="00E00B35" w:rsidRDefault="00E96768" w:rsidP="00E00B35">
            <w:pPr>
              <w:spacing w:after="0" w:line="312" w:lineRule="auto"/>
              <w:rPr>
                <w:szCs w:val="20"/>
              </w:rPr>
            </w:pPr>
            <w:r w:rsidRPr="00E00B35">
              <w:rPr>
                <w:szCs w:val="20"/>
              </w:rPr>
              <w:t>52</w:t>
            </w:r>
          </w:p>
        </w:tc>
        <w:tc>
          <w:tcPr>
            <w:tcW w:w="1276" w:type="dxa"/>
          </w:tcPr>
          <w:p w:rsidR="00E96768" w:rsidRPr="00E00B35" w:rsidRDefault="00E96768" w:rsidP="00E00B35">
            <w:pPr>
              <w:spacing w:after="0" w:line="312" w:lineRule="auto"/>
              <w:rPr>
                <w:szCs w:val="20"/>
              </w:rPr>
            </w:pPr>
            <w:r w:rsidRPr="00E00B35">
              <w:rPr>
                <w:szCs w:val="20"/>
              </w:rPr>
              <w:t>87</w:t>
            </w:r>
          </w:p>
        </w:tc>
        <w:tc>
          <w:tcPr>
            <w:tcW w:w="1134" w:type="dxa"/>
          </w:tcPr>
          <w:p w:rsidR="00E96768" w:rsidRPr="00E00B35" w:rsidRDefault="00E96768" w:rsidP="00E00B35">
            <w:pPr>
              <w:spacing w:after="0" w:line="312" w:lineRule="auto"/>
              <w:rPr>
                <w:szCs w:val="20"/>
              </w:rPr>
            </w:pPr>
            <w:r w:rsidRPr="00E00B35">
              <w:rPr>
                <w:szCs w:val="20"/>
              </w:rPr>
              <w:t>75</w:t>
            </w:r>
          </w:p>
        </w:tc>
        <w:tc>
          <w:tcPr>
            <w:tcW w:w="1134" w:type="dxa"/>
          </w:tcPr>
          <w:p w:rsidR="00E96768" w:rsidRPr="00E00B35" w:rsidRDefault="00E96768" w:rsidP="00E00B35">
            <w:pPr>
              <w:spacing w:after="0" w:line="312" w:lineRule="auto"/>
              <w:rPr>
                <w:szCs w:val="20"/>
              </w:rPr>
            </w:pPr>
            <w:r w:rsidRPr="00E00B35">
              <w:rPr>
                <w:szCs w:val="20"/>
              </w:rPr>
              <w:t>63</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zapewnienia o braku przeszkód do zawarcia małżeństwa</w:t>
            </w:r>
          </w:p>
        </w:tc>
        <w:tc>
          <w:tcPr>
            <w:tcW w:w="1120" w:type="dxa"/>
          </w:tcPr>
          <w:p w:rsidR="00E96768" w:rsidRPr="00E00B35" w:rsidRDefault="00E96768" w:rsidP="00E00B35">
            <w:pPr>
              <w:spacing w:after="0" w:line="312" w:lineRule="auto"/>
              <w:rPr>
                <w:szCs w:val="20"/>
              </w:rPr>
            </w:pPr>
            <w:r w:rsidRPr="00E00B35">
              <w:rPr>
                <w:szCs w:val="20"/>
              </w:rPr>
              <w:t>3 554</w:t>
            </w:r>
          </w:p>
        </w:tc>
        <w:tc>
          <w:tcPr>
            <w:tcW w:w="1276" w:type="dxa"/>
          </w:tcPr>
          <w:p w:rsidR="00E96768" w:rsidRPr="00E00B35" w:rsidRDefault="00E96768" w:rsidP="00E00B35">
            <w:pPr>
              <w:spacing w:after="0" w:line="312" w:lineRule="auto"/>
              <w:rPr>
                <w:szCs w:val="20"/>
              </w:rPr>
            </w:pPr>
            <w:r w:rsidRPr="00E00B35">
              <w:rPr>
                <w:szCs w:val="20"/>
              </w:rPr>
              <w:t>3 982</w:t>
            </w:r>
          </w:p>
        </w:tc>
        <w:tc>
          <w:tcPr>
            <w:tcW w:w="1134" w:type="dxa"/>
          </w:tcPr>
          <w:p w:rsidR="00E96768" w:rsidRPr="00E00B35" w:rsidRDefault="00E96768" w:rsidP="00E00B35">
            <w:pPr>
              <w:spacing w:after="0" w:line="312" w:lineRule="auto"/>
              <w:rPr>
                <w:szCs w:val="20"/>
              </w:rPr>
            </w:pPr>
            <w:r w:rsidRPr="00E00B35">
              <w:rPr>
                <w:szCs w:val="20"/>
              </w:rPr>
              <w:t>4 363</w:t>
            </w:r>
          </w:p>
        </w:tc>
        <w:tc>
          <w:tcPr>
            <w:tcW w:w="1134" w:type="dxa"/>
          </w:tcPr>
          <w:p w:rsidR="00E96768" w:rsidRPr="00E00B35" w:rsidRDefault="00E96768" w:rsidP="00E00B35">
            <w:pPr>
              <w:spacing w:after="0" w:line="312" w:lineRule="auto"/>
              <w:rPr>
                <w:szCs w:val="20"/>
              </w:rPr>
            </w:pPr>
            <w:r w:rsidRPr="00E00B35">
              <w:rPr>
                <w:szCs w:val="20"/>
              </w:rPr>
              <w:t>4 380</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oświadczenia o powrocie do nazwiska noszonego przed zawarciem związku małżeńskiego</w:t>
            </w:r>
          </w:p>
        </w:tc>
        <w:tc>
          <w:tcPr>
            <w:tcW w:w="1120" w:type="dxa"/>
          </w:tcPr>
          <w:p w:rsidR="00E96768" w:rsidRPr="00E00B35" w:rsidRDefault="00E96768" w:rsidP="00E00B35">
            <w:pPr>
              <w:spacing w:after="0" w:line="312" w:lineRule="auto"/>
              <w:rPr>
                <w:szCs w:val="20"/>
              </w:rPr>
            </w:pPr>
            <w:r w:rsidRPr="00E00B35">
              <w:rPr>
                <w:szCs w:val="20"/>
              </w:rPr>
              <w:t>206</w:t>
            </w:r>
          </w:p>
        </w:tc>
        <w:tc>
          <w:tcPr>
            <w:tcW w:w="1276" w:type="dxa"/>
          </w:tcPr>
          <w:p w:rsidR="00E96768" w:rsidRPr="00E00B35" w:rsidRDefault="00E96768" w:rsidP="00E00B35">
            <w:pPr>
              <w:spacing w:after="0" w:line="312" w:lineRule="auto"/>
              <w:rPr>
                <w:szCs w:val="20"/>
              </w:rPr>
            </w:pPr>
            <w:r w:rsidRPr="00E00B35">
              <w:rPr>
                <w:szCs w:val="20"/>
              </w:rPr>
              <w:t>356</w:t>
            </w:r>
          </w:p>
        </w:tc>
        <w:tc>
          <w:tcPr>
            <w:tcW w:w="1134" w:type="dxa"/>
          </w:tcPr>
          <w:p w:rsidR="00E96768" w:rsidRPr="00E00B35" w:rsidRDefault="00E96768" w:rsidP="00E00B35">
            <w:pPr>
              <w:spacing w:after="0" w:line="312" w:lineRule="auto"/>
              <w:rPr>
                <w:szCs w:val="20"/>
              </w:rPr>
            </w:pPr>
            <w:r w:rsidRPr="00E00B35">
              <w:rPr>
                <w:szCs w:val="20"/>
              </w:rPr>
              <w:t>272</w:t>
            </w:r>
          </w:p>
        </w:tc>
        <w:tc>
          <w:tcPr>
            <w:tcW w:w="1134" w:type="dxa"/>
          </w:tcPr>
          <w:p w:rsidR="00E96768" w:rsidRPr="00E00B35" w:rsidRDefault="00E96768" w:rsidP="00E00B35">
            <w:pPr>
              <w:spacing w:after="0" w:line="312" w:lineRule="auto"/>
              <w:rPr>
                <w:szCs w:val="20"/>
              </w:rPr>
            </w:pPr>
            <w:r w:rsidRPr="00E00B35">
              <w:rPr>
                <w:szCs w:val="20"/>
              </w:rPr>
              <w:t>237</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 xml:space="preserve">Wykonano wzmianki dodatkowe w aktach stanu cywilnego </w:t>
            </w:r>
          </w:p>
        </w:tc>
        <w:tc>
          <w:tcPr>
            <w:tcW w:w="1120" w:type="dxa"/>
          </w:tcPr>
          <w:p w:rsidR="00E96768" w:rsidRPr="00E00B35" w:rsidRDefault="00E96768" w:rsidP="00E00B35">
            <w:pPr>
              <w:spacing w:after="0" w:line="312" w:lineRule="auto"/>
              <w:rPr>
                <w:szCs w:val="20"/>
              </w:rPr>
            </w:pPr>
            <w:r w:rsidRPr="00E00B35">
              <w:rPr>
                <w:szCs w:val="20"/>
              </w:rPr>
              <w:t>8 634</w:t>
            </w:r>
          </w:p>
        </w:tc>
        <w:tc>
          <w:tcPr>
            <w:tcW w:w="1276" w:type="dxa"/>
          </w:tcPr>
          <w:p w:rsidR="00E96768" w:rsidRPr="00E00B35" w:rsidRDefault="00E96768" w:rsidP="00E00B35">
            <w:pPr>
              <w:spacing w:after="0" w:line="312" w:lineRule="auto"/>
              <w:rPr>
                <w:szCs w:val="20"/>
              </w:rPr>
            </w:pPr>
            <w:r w:rsidRPr="00E00B35">
              <w:rPr>
                <w:szCs w:val="20"/>
              </w:rPr>
              <w:t>10 463</w:t>
            </w:r>
          </w:p>
        </w:tc>
        <w:tc>
          <w:tcPr>
            <w:tcW w:w="1134" w:type="dxa"/>
          </w:tcPr>
          <w:p w:rsidR="00E96768" w:rsidRPr="00E00B35" w:rsidRDefault="00E96768" w:rsidP="00E00B35">
            <w:pPr>
              <w:spacing w:after="0" w:line="312" w:lineRule="auto"/>
              <w:rPr>
                <w:szCs w:val="20"/>
              </w:rPr>
            </w:pPr>
            <w:r w:rsidRPr="00E00B35">
              <w:rPr>
                <w:szCs w:val="20"/>
              </w:rPr>
              <w:t>9 559</w:t>
            </w:r>
          </w:p>
        </w:tc>
        <w:tc>
          <w:tcPr>
            <w:tcW w:w="1134" w:type="dxa"/>
          </w:tcPr>
          <w:p w:rsidR="00E96768" w:rsidRPr="00E00B35" w:rsidRDefault="00E96768" w:rsidP="00E00B35">
            <w:pPr>
              <w:spacing w:after="0" w:line="312" w:lineRule="auto"/>
              <w:rPr>
                <w:szCs w:val="20"/>
              </w:rPr>
            </w:pPr>
            <w:r w:rsidRPr="00E00B35">
              <w:rPr>
                <w:szCs w:val="20"/>
              </w:rPr>
              <w:t>8 967</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przypiski</w:t>
            </w:r>
          </w:p>
        </w:tc>
        <w:tc>
          <w:tcPr>
            <w:tcW w:w="1120" w:type="dxa"/>
          </w:tcPr>
          <w:p w:rsidR="00E96768" w:rsidRPr="00E00B35" w:rsidRDefault="00E96768" w:rsidP="00E00B35">
            <w:pPr>
              <w:spacing w:after="0" w:line="312" w:lineRule="auto"/>
              <w:rPr>
                <w:szCs w:val="20"/>
              </w:rPr>
            </w:pPr>
            <w:r w:rsidRPr="00E00B35">
              <w:rPr>
                <w:szCs w:val="20"/>
              </w:rPr>
              <w:t>43 226</w:t>
            </w:r>
          </w:p>
        </w:tc>
        <w:tc>
          <w:tcPr>
            <w:tcW w:w="1276" w:type="dxa"/>
          </w:tcPr>
          <w:p w:rsidR="00E96768" w:rsidRPr="00E00B35" w:rsidRDefault="00E96768" w:rsidP="00E00B35">
            <w:pPr>
              <w:spacing w:after="0" w:line="312" w:lineRule="auto"/>
              <w:rPr>
                <w:szCs w:val="20"/>
              </w:rPr>
            </w:pPr>
            <w:r w:rsidRPr="00E00B35">
              <w:rPr>
                <w:szCs w:val="20"/>
              </w:rPr>
              <w:t>42 055</w:t>
            </w:r>
          </w:p>
        </w:tc>
        <w:tc>
          <w:tcPr>
            <w:tcW w:w="1134" w:type="dxa"/>
          </w:tcPr>
          <w:p w:rsidR="00E96768" w:rsidRPr="00E00B35" w:rsidRDefault="00E96768" w:rsidP="00E00B35">
            <w:pPr>
              <w:spacing w:after="0" w:line="312" w:lineRule="auto"/>
              <w:rPr>
                <w:szCs w:val="20"/>
              </w:rPr>
            </w:pPr>
            <w:r w:rsidRPr="00E00B35">
              <w:rPr>
                <w:szCs w:val="20"/>
              </w:rPr>
              <w:t>27 675</w:t>
            </w:r>
          </w:p>
        </w:tc>
        <w:tc>
          <w:tcPr>
            <w:tcW w:w="1134" w:type="dxa"/>
          </w:tcPr>
          <w:p w:rsidR="00E96768" w:rsidRPr="00E00B35" w:rsidRDefault="00E96768" w:rsidP="00E00B35">
            <w:pPr>
              <w:spacing w:after="0" w:line="312" w:lineRule="auto"/>
              <w:rPr>
                <w:szCs w:val="20"/>
              </w:rPr>
            </w:pPr>
            <w:r w:rsidRPr="00E00B35">
              <w:rPr>
                <w:szCs w:val="20"/>
              </w:rPr>
              <w:t>13 533</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 xml:space="preserve">migracje aktów stanu cywilnego do rejestru </w:t>
            </w:r>
            <w:r w:rsidRPr="00E00B35">
              <w:rPr>
                <w:szCs w:val="20"/>
              </w:rPr>
              <w:lastRenderedPageBreak/>
              <w:t>stanu cywilnego</w:t>
            </w:r>
          </w:p>
        </w:tc>
        <w:tc>
          <w:tcPr>
            <w:tcW w:w="1120" w:type="dxa"/>
          </w:tcPr>
          <w:p w:rsidR="00E96768" w:rsidRPr="00E00B35" w:rsidRDefault="00E96768" w:rsidP="00E00B35">
            <w:pPr>
              <w:spacing w:after="0" w:line="312" w:lineRule="auto"/>
              <w:rPr>
                <w:szCs w:val="20"/>
              </w:rPr>
            </w:pPr>
            <w:r w:rsidRPr="00E00B35">
              <w:rPr>
                <w:szCs w:val="20"/>
              </w:rPr>
              <w:lastRenderedPageBreak/>
              <w:t>88 232</w:t>
            </w:r>
          </w:p>
        </w:tc>
        <w:tc>
          <w:tcPr>
            <w:tcW w:w="1276" w:type="dxa"/>
          </w:tcPr>
          <w:p w:rsidR="00E96768" w:rsidRPr="00E00B35" w:rsidRDefault="00E96768" w:rsidP="00E00B35">
            <w:pPr>
              <w:spacing w:after="0" w:line="312" w:lineRule="auto"/>
              <w:rPr>
                <w:szCs w:val="20"/>
              </w:rPr>
            </w:pPr>
            <w:r w:rsidRPr="00E00B35">
              <w:rPr>
                <w:szCs w:val="20"/>
              </w:rPr>
              <w:t>72 793</w:t>
            </w:r>
          </w:p>
        </w:tc>
        <w:tc>
          <w:tcPr>
            <w:tcW w:w="1134" w:type="dxa"/>
          </w:tcPr>
          <w:p w:rsidR="00E96768" w:rsidRPr="00E00B35" w:rsidRDefault="00E96768" w:rsidP="00E00B35">
            <w:pPr>
              <w:spacing w:after="0" w:line="312" w:lineRule="auto"/>
              <w:rPr>
                <w:szCs w:val="20"/>
              </w:rPr>
            </w:pPr>
            <w:r w:rsidRPr="00E00B35">
              <w:rPr>
                <w:szCs w:val="20"/>
              </w:rPr>
              <w:t>69 603</w:t>
            </w:r>
          </w:p>
        </w:tc>
        <w:tc>
          <w:tcPr>
            <w:tcW w:w="1134" w:type="dxa"/>
          </w:tcPr>
          <w:p w:rsidR="00E96768" w:rsidRPr="00E00B35" w:rsidRDefault="00E96768" w:rsidP="00E00B35">
            <w:pPr>
              <w:spacing w:after="0" w:line="312" w:lineRule="auto"/>
              <w:rPr>
                <w:szCs w:val="20"/>
              </w:rPr>
            </w:pPr>
            <w:r w:rsidRPr="00E00B35">
              <w:rPr>
                <w:szCs w:val="20"/>
              </w:rPr>
              <w:t>55 108</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lastRenderedPageBreak/>
              <w:t>aktualizacja rejestru Pesel</w:t>
            </w:r>
          </w:p>
        </w:tc>
        <w:tc>
          <w:tcPr>
            <w:tcW w:w="1120" w:type="dxa"/>
          </w:tcPr>
          <w:p w:rsidR="00E96768" w:rsidRPr="00E00B35" w:rsidRDefault="00E96768" w:rsidP="00E00B35">
            <w:pPr>
              <w:spacing w:after="0" w:line="312" w:lineRule="auto"/>
              <w:rPr>
                <w:szCs w:val="20"/>
              </w:rPr>
            </w:pPr>
            <w:r w:rsidRPr="00E00B35">
              <w:rPr>
                <w:szCs w:val="20"/>
              </w:rPr>
              <w:t>15 876</w:t>
            </w:r>
          </w:p>
        </w:tc>
        <w:tc>
          <w:tcPr>
            <w:tcW w:w="1276" w:type="dxa"/>
          </w:tcPr>
          <w:p w:rsidR="00E96768" w:rsidRPr="00E00B35" w:rsidRDefault="00E96768" w:rsidP="00E00B35">
            <w:pPr>
              <w:spacing w:after="0" w:line="312" w:lineRule="auto"/>
              <w:rPr>
                <w:szCs w:val="20"/>
              </w:rPr>
            </w:pPr>
            <w:r w:rsidRPr="00E00B35">
              <w:rPr>
                <w:szCs w:val="20"/>
              </w:rPr>
              <w:t>22 158</w:t>
            </w:r>
          </w:p>
        </w:tc>
        <w:tc>
          <w:tcPr>
            <w:tcW w:w="1134" w:type="dxa"/>
          </w:tcPr>
          <w:p w:rsidR="00E96768" w:rsidRPr="00E00B35" w:rsidRDefault="00E96768" w:rsidP="00E00B35">
            <w:pPr>
              <w:spacing w:after="0" w:line="312" w:lineRule="auto"/>
              <w:rPr>
                <w:szCs w:val="20"/>
              </w:rPr>
            </w:pPr>
            <w:r w:rsidRPr="00E00B35">
              <w:rPr>
                <w:szCs w:val="20"/>
              </w:rPr>
              <w:t>29 673</w:t>
            </w:r>
          </w:p>
        </w:tc>
        <w:tc>
          <w:tcPr>
            <w:tcW w:w="1134" w:type="dxa"/>
          </w:tcPr>
          <w:p w:rsidR="00E96768" w:rsidRPr="00E00B35" w:rsidRDefault="00E96768" w:rsidP="00E00B35">
            <w:pPr>
              <w:spacing w:after="0" w:line="312" w:lineRule="auto"/>
              <w:rPr>
                <w:szCs w:val="20"/>
              </w:rPr>
            </w:pPr>
            <w:r w:rsidRPr="00E00B35">
              <w:rPr>
                <w:szCs w:val="20"/>
              </w:rPr>
              <w:t>10 535</w:t>
            </w:r>
          </w:p>
        </w:tc>
      </w:tr>
      <w:tr w:rsidR="00E96768" w:rsidRPr="00E00B35" w:rsidTr="00E96768">
        <w:tc>
          <w:tcPr>
            <w:tcW w:w="4620" w:type="dxa"/>
          </w:tcPr>
          <w:p w:rsidR="00E96768" w:rsidRPr="00E00B35" w:rsidRDefault="00E96768" w:rsidP="00E00B35">
            <w:pPr>
              <w:spacing w:after="0" w:line="312" w:lineRule="auto"/>
              <w:rPr>
                <w:szCs w:val="20"/>
              </w:rPr>
            </w:pPr>
            <w:r w:rsidRPr="00E00B35">
              <w:rPr>
                <w:szCs w:val="20"/>
              </w:rPr>
              <w:t>zrealizowano zlecenia innych urzędów stanu cywilnego i organów ewidencji ludności</w:t>
            </w:r>
          </w:p>
        </w:tc>
        <w:tc>
          <w:tcPr>
            <w:tcW w:w="1120" w:type="dxa"/>
          </w:tcPr>
          <w:p w:rsidR="00E96768" w:rsidRPr="00E00B35" w:rsidRDefault="00E96768" w:rsidP="00E00B35">
            <w:pPr>
              <w:spacing w:after="0" w:line="312" w:lineRule="auto"/>
              <w:rPr>
                <w:szCs w:val="20"/>
              </w:rPr>
            </w:pPr>
            <w:r w:rsidRPr="00E00B35">
              <w:rPr>
                <w:szCs w:val="20"/>
              </w:rPr>
              <w:t>14 394</w:t>
            </w:r>
          </w:p>
        </w:tc>
        <w:tc>
          <w:tcPr>
            <w:tcW w:w="1276" w:type="dxa"/>
          </w:tcPr>
          <w:p w:rsidR="00E96768" w:rsidRPr="00E00B35" w:rsidRDefault="00E96768" w:rsidP="00E00B35">
            <w:pPr>
              <w:spacing w:after="0" w:line="312" w:lineRule="auto"/>
              <w:rPr>
                <w:szCs w:val="20"/>
              </w:rPr>
            </w:pPr>
            <w:r w:rsidRPr="00E00B35">
              <w:rPr>
                <w:szCs w:val="20"/>
              </w:rPr>
              <w:t>20 756</w:t>
            </w:r>
          </w:p>
        </w:tc>
        <w:tc>
          <w:tcPr>
            <w:tcW w:w="1134" w:type="dxa"/>
          </w:tcPr>
          <w:p w:rsidR="00E96768" w:rsidRPr="00E00B35" w:rsidRDefault="00E96768" w:rsidP="00E00B35">
            <w:pPr>
              <w:spacing w:after="0" w:line="312" w:lineRule="auto"/>
              <w:rPr>
                <w:szCs w:val="20"/>
              </w:rPr>
            </w:pPr>
            <w:r w:rsidRPr="00E00B35">
              <w:rPr>
                <w:szCs w:val="20"/>
              </w:rPr>
              <w:t>20 717</w:t>
            </w:r>
          </w:p>
        </w:tc>
        <w:tc>
          <w:tcPr>
            <w:tcW w:w="1134" w:type="dxa"/>
          </w:tcPr>
          <w:p w:rsidR="00E96768" w:rsidRPr="00E00B35" w:rsidRDefault="00E96768" w:rsidP="00E00B35">
            <w:pPr>
              <w:spacing w:after="0" w:line="312" w:lineRule="auto"/>
              <w:rPr>
                <w:szCs w:val="20"/>
              </w:rPr>
            </w:pPr>
            <w:r w:rsidRPr="00E00B35">
              <w:rPr>
                <w:szCs w:val="20"/>
              </w:rPr>
              <w:t>19 448</w:t>
            </w:r>
          </w:p>
        </w:tc>
      </w:tr>
      <w:tr w:rsidR="00E96768" w:rsidRPr="00E00B35" w:rsidTr="00E96768">
        <w:trPr>
          <w:trHeight w:val="241"/>
        </w:trPr>
        <w:tc>
          <w:tcPr>
            <w:tcW w:w="4620" w:type="dxa"/>
          </w:tcPr>
          <w:p w:rsidR="00E96768" w:rsidRPr="00E00B35" w:rsidRDefault="00E96768" w:rsidP="00E00B35">
            <w:pPr>
              <w:spacing w:after="0" w:line="312" w:lineRule="auto"/>
              <w:rPr>
                <w:szCs w:val="20"/>
              </w:rPr>
            </w:pPr>
            <w:r w:rsidRPr="00E00B35">
              <w:rPr>
                <w:szCs w:val="20"/>
              </w:rPr>
              <w:t>Pobrano opłat w punkcie kasowym w usc na kwotę:</w:t>
            </w:r>
          </w:p>
        </w:tc>
        <w:tc>
          <w:tcPr>
            <w:tcW w:w="1120" w:type="dxa"/>
          </w:tcPr>
          <w:p w:rsidR="00E96768" w:rsidRPr="00E00B35" w:rsidRDefault="00E96768" w:rsidP="00E00B35">
            <w:pPr>
              <w:spacing w:after="0" w:line="312" w:lineRule="auto"/>
              <w:rPr>
                <w:szCs w:val="20"/>
              </w:rPr>
            </w:pPr>
            <w:r w:rsidRPr="00E00B35">
              <w:rPr>
                <w:szCs w:val="20"/>
              </w:rPr>
              <w:t>228 224</w:t>
            </w:r>
          </w:p>
        </w:tc>
        <w:tc>
          <w:tcPr>
            <w:tcW w:w="1276" w:type="dxa"/>
          </w:tcPr>
          <w:p w:rsidR="00E96768" w:rsidRPr="00E00B35" w:rsidRDefault="00E96768" w:rsidP="00E00B35">
            <w:pPr>
              <w:spacing w:after="0" w:line="312" w:lineRule="auto"/>
              <w:rPr>
                <w:szCs w:val="20"/>
              </w:rPr>
            </w:pPr>
            <w:r w:rsidRPr="00E00B35">
              <w:rPr>
                <w:szCs w:val="20"/>
              </w:rPr>
              <w:t>1 145 556</w:t>
            </w:r>
          </w:p>
        </w:tc>
        <w:tc>
          <w:tcPr>
            <w:tcW w:w="1134" w:type="dxa"/>
          </w:tcPr>
          <w:p w:rsidR="00E96768" w:rsidRPr="00E00B35" w:rsidRDefault="00E96768" w:rsidP="00E00B35">
            <w:pPr>
              <w:spacing w:after="0" w:line="312" w:lineRule="auto"/>
              <w:rPr>
                <w:szCs w:val="20"/>
              </w:rPr>
            </w:pPr>
            <w:r w:rsidRPr="00E00B35">
              <w:rPr>
                <w:szCs w:val="20"/>
              </w:rPr>
              <w:t>1 064 540</w:t>
            </w:r>
          </w:p>
        </w:tc>
        <w:tc>
          <w:tcPr>
            <w:tcW w:w="1134" w:type="dxa"/>
          </w:tcPr>
          <w:p w:rsidR="00E96768" w:rsidRPr="00E00B35" w:rsidRDefault="00E96768" w:rsidP="00E00B35">
            <w:pPr>
              <w:spacing w:after="0" w:line="312" w:lineRule="auto"/>
              <w:rPr>
                <w:szCs w:val="20"/>
              </w:rPr>
            </w:pPr>
            <w:r w:rsidRPr="00E00B35">
              <w:rPr>
                <w:szCs w:val="20"/>
              </w:rPr>
              <w:t>31 179</w:t>
            </w:r>
          </w:p>
        </w:tc>
      </w:tr>
    </w:tbl>
    <w:p w:rsidR="00815F93" w:rsidRPr="00E00B35" w:rsidRDefault="00815F93"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Nadal spada liczba urodzeń.</w:t>
      </w:r>
    </w:p>
    <w:p w:rsidR="00E96768" w:rsidRPr="00E00B35" w:rsidRDefault="00E96768" w:rsidP="00E00B35">
      <w:pPr>
        <w:spacing w:after="0" w:line="312" w:lineRule="auto"/>
        <w:rPr>
          <w:szCs w:val="20"/>
        </w:rPr>
      </w:pPr>
      <w:r w:rsidRPr="00E00B35">
        <w:rPr>
          <w:szCs w:val="20"/>
        </w:rPr>
        <w:t>O ponad 1 000 wzrosła liczba zarejestrowanych zgonów, najznaczniejszy ich przyrost odnotowano w miesiącach listopadzie i grudniu 2020 roku.</w:t>
      </w:r>
    </w:p>
    <w:p w:rsidR="00E96768" w:rsidRPr="00E00B35" w:rsidRDefault="00E96768" w:rsidP="00E00B35">
      <w:pPr>
        <w:spacing w:after="0" w:line="312" w:lineRule="auto"/>
        <w:rPr>
          <w:szCs w:val="20"/>
        </w:rPr>
      </w:pPr>
      <w:r w:rsidRPr="00E00B35">
        <w:rPr>
          <w:szCs w:val="20"/>
        </w:rPr>
        <w:t>W wyniku ograniczeń związanych z pandemią:</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mniej niż w latach poprzednich odbyło się uroczystości zawarcia związku małżeńskiego;</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mniej przyjętych zostało oświadczeń w trybie przepisów kodeksu rodzinnego </w:t>
      </w:r>
      <w:r w:rsidRPr="00E00B35">
        <w:rPr>
          <w:rFonts w:cs="Helv"/>
          <w:color w:val="000000"/>
          <w:szCs w:val="20"/>
        </w:rPr>
        <w:br/>
        <w:t>i opiekuńczego;</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mniej wydanych zostało odpisów i zaświadczeń z rejestru stanu cywilnego.</w:t>
      </w:r>
    </w:p>
    <w:p w:rsidR="00E96768" w:rsidRPr="00E00B35" w:rsidRDefault="00E96768" w:rsidP="00E00B35">
      <w:pPr>
        <w:spacing w:after="0" w:line="312" w:lineRule="auto"/>
        <w:rPr>
          <w:szCs w:val="20"/>
        </w:rPr>
      </w:pPr>
      <w:r w:rsidRPr="00E00B35">
        <w:rPr>
          <w:szCs w:val="20"/>
        </w:rPr>
        <w:t>Około 11 000 wniosków o rejestrację urodzenia dziecka oraz wydanie dokumentów z Rejestru Stanu Cywilnego złożonych zostało za pomocą platformy e-PUAP czyli bez konieczności osobistej wizyty interesantów w USC.</w:t>
      </w:r>
    </w:p>
    <w:p w:rsidR="00E96768" w:rsidRPr="00E00B35" w:rsidRDefault="00E96768" w:rsidP="00E00B35">
      <w:pPr>
        <w:spacing w:after="0" w:line="312" w:lineRule="auto"/>
        <w:rPr>
          <w:szCs w:val="20"/>
        </w:rPr>
      </w:pPr>
      <w:r w:rsidRPr="00E00B35">
        <w:rPr>
          <w:szCs w:val="20"/>
        </w:rPr>
        <w:t xml:space="preserve">Czas powstały w związku z obsługą mniejszej ilości interesantów bezpośrednio na stanowiskach obsługi został wykorzystany na zasilanie Rejestru Stanu Cywilnego. </w:t>
      </w:r>
      <w:r w:rsidRPr="00E00B35">
        <w:rPr>
          <w:szCs w:val="20"/>
        </w:rPr>
        <w:br/>
        <w:t>W 2020 roku zostało zmigrowanych do rejestru państwowego o 15 493 aktów stanu cywilnego więcej niż w roku poprzednim, co przełożyło się na dodatkową kwotę </w:t>
      </w:r>
      <w:r w:rsidRPr="00E00B35">
        <w:rPr>
          <w:szCs w:val="20"/>
        </w:rPr>
        <w:br/>
        <w:t xml:space="preserve">240 141 zł otrzymaną w ramach dotacji. </w:t>
      </w:r>
    </w:p>
    <w:p w:rsidR="00E96768" w:rsidRPr="00E00B35" w:rsidRDefault="00815F93" w:rsidP="00E00B35">
      <w:pPr>
        <w:pStyle w:val="Nagwek4"/>
        <w:spacing w:before="0" w:after="0" w:line="312" w:lineRule="auto"/>
        <w:rPr>
          <w:sz w:val="20"/>
          <w:szCs w:val="20"/>
        </w:rPr>
      </w:pPr>
      <w:r w:rsidRPr="00E00B35">
        <w:rPr>
          <w:sz w:val="20"/>
          <w:szCs w:val="20"/>
        </w:rPr>
        <w:br/>
      </w:r>
      <w:r w:rsidR="00E96768" w:rsidRPr="00E00B35">
        <w:rPr>
          <w:sz w:val="20"/>
          <w:szCs w:val="20"/>
        </w:rPr>
        <w:t>CZYNNOŚCI KONTROLNE W URZĘDZIE, JEDNOSTKACH GMINNYCH, STACJACH KONTROLI POJAZDÓW, OŚRODKACH SZKOLENIA KIEROWCÓW ORAZ INNYCH PODMIOTACH</w:t>
      </w:r>
    </w:p>
    <w:p w:rsidR="00E96768" w:rsidRPr="00E00B35" w:rsidRDefault="00E96768" w:rsidP="00E00B35">
      <w:pPr>
        <w:pStyle w:val="Nagwek5"/>
        <w:rPr>
          <w:szCs w:val="20"/>
        </w:rPr>
      </w:pPr>
      <w:r w:rsidRPr="00E00B35">
        <w:rPr>
          <w:szCs w:val="20"/>
        </w:rPr>
        <w:t>KONTROLE PRZEPROWADZONE PRZEZ WYDZIAŁ KONTROLI</w:t>
      </w:r>
    </w:p>
    <w:p w:rsidR="00E96768" w:rsidRPr="00E00B35" w:rsidRDefault="00E96768" w:rsidP="00E00B35">
      <w:pPr>
        <w:tabs>
          <w:tab w:val="left" w:pos="567"/>
        </w:tabs>
        <w:autoSpaceDE w:val="0"/>
        <w:autoSpaceDN w:val="0"/>
        <w:adjustRightInd w:val="0"/>
        <w:spacing w:after="0" w:line="312" w:lineRule="auto"/>
        <w:rPr>
          <w:szCs w:val="20"/>
        </w:rPr>
      </w:pPr>
      <w:r w:rsidRPr="00E00B35">
        <w:rPr>
          <w:szCs w:val="20"/>
        </w:rPr>
        <w:t>Kontrole w 2020 roku przeprowadzane były w oparciu o:</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Plan kontroli na 2020 roku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Plan kontroli przedsiębiorców prowadzących stacje kontroli pojazdów wpisanych w rejestr działalności regulowanej prowadzony przez Prezydenta Wrocławia obejmujący rok 2020,</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Plan kontroli przedsiębiorców prowadzących ośrodki szkolenia kierowców i podmiotów prowadzących szkolenia osób ubiegających się o uzyskanie uprawnienia do kierowania tramwajem obejmujący rok 2020.</w:t>
      </w:r>
    </w:p>
    <w:p w:rsidR="00E96768" w:rsidRPr="00E00B35" w:rsidRDefault="00E96768" w:rsidP="00E00B35">
      <w:pPr>
        <w:pStyle w:val="Tekstpodstawowywcity3"/>
        <w:spacing w:after="0" w:line="312" w:lineRule="auto"/>
        <w:ind w:left="0"/>
        <w:jc w:val="left"/>
        <w:rPr>
          <w:szCs w:val="20"/>
        </w:rPr>
      </w:pPr>
      <w:r w:rsidRPr="00E00B35">
        <w:rPr>
          <w:szCs w:val="20"/>
        </w:rPr>
        <w:t xml:space="preserve">W 2020 roku przeprowadzono łącznie </w:t>
      </w:r>
      <w:r w:rsidRPr="00E00B35">
        <w:rPr>
          <w:b/>
          <w:bCs/>
          <w:szCs w:val="20"/>
        </w:rPr>
        <w:t>262 kontrole</w:t>
      </w:r>
      <w:r w:rsidRPr="00E00B35">
        <w:rPr>
          <w:szCs w:val="20"/>
        </w:rPr>
        <w:t xml:space="preserve">, z tego </w:t>
      </w:r>
      <w:r w:rsidRPr="00E00B35">
        <w:rPr>
          <w:b/>
          <w:bCs/>
          <w:szCs w:val="20"/>
        </w:rPr>
        <w:t>209 kontroli planowych</w:t>
      </w:r>
      <w:r w:rsidRPr="00E00B35">
        <w:rPr>
          <w:szCs w:val="20"/>
        </w:rPr>
        <w:t xml:space="preserve"> i </w:t>
      </w:r>
      <w:r w:rsidRPr="00E00B35">
        <w:rPr>
          <w:b/>
          <w:bCs/>
          <w:szCs w:val="20"/>
        </w:rPr>
        <w:t>53 o charakterze doraźnym</w:t>
      </w:r>
      <w:r w:rsidRPr="00E00B35">
        <w:rPr>
          <w:szCs w:val="20"/>
        </w:rPr>
        <w:t>.</w:t>
      </w:r>
    </w:p>
    <w:p w:rsidR="00E96768" w:rsidRPr="00E00B35" w:rsidRDefault="00E96768" w:rsidP="00E00B35">
      <w:pPr>
        <w:pStyle w:val="Tekstpodstawowywcity3"/>
        <w:spacing w:after="0" w:line="312" w:lineRule="auto"/>
        <w:ind w:left="0"/>
        <w:jc w:val="left"/>
        <w:rPr>
          <w:szCs w:val="20"/>
        </w:rPr>
      </w:pPr>
      <w:r w:rsidRPr="00E00B35">
        <w:rPr>
          <w:szCs w:val="20"/>
        </w:rPr>
        <w:t xml:space="preserve">Działaniami kontrolnymi w 2020 roku objęto jednostki wyszczególnione w poniższej tabeli: </w:t>
      </w:r>
    </w:p>
    <w:p w:rsidR="00E96768" w:rsidRPr="00E00B35" w:rsidRDefault="00E96768" w:rsidP="00E00B35">
      <w:pPr>
        <w:spacing w:after="0" w:line="312" w:lineRule="auto"/>
        <w:rPr>
          <w:szCs w:val="20"/>
        </w:rPr>
      </w:pPr>
      <w:r w:rsidRPr="00E00B35">
        <w:rPr>
          <w:szCs w:val="20"/>
        </w:rPr>
        <w:t>Zestawienie ilości kontroli przeprowadzonych w 2020 roku.</w:t>
      </w:r>
    </w:p>
    <w:tbl>
      <w:tblPr>
        <w:tblW w:w="0" w:type="auto"/>
        <w:tblInd w:w="15" w:type="dxa"/>
        <w:tblCellMar>
          <w:left w:w="0" w:type="dxa"/>
          <w:right w:w="0" w:type="dxa"/>
        </w:tblCellMar>
        <w:tblLook w:val="0620"/>
      </w:tblPr>
      <w:tblGrid>
        <w:gridCol w:w="4334"/>
        <w:gridCol w:w="1966"/>
        <w:gridCol w:w="1800"/>
        <w:gridCol w:w="987"/>
      </w:tblGrid>
      <w:tr w:rsidR="00E96768" w:rsidRPr="00E00B35" w:rsidTr="00E96768">
        <w:trPr>
          <w:trHeight w:val="510"/>
          <w:tblHead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5" w:type="dxa"/>
              <w:bottom w:w="0" w:type="dxa"/>
              <w:right w:w="15" w:type="dxa"/>
            </w:tcMar>
            <w:vAlign w:val="center"/>
          </w:tcPr>
          <w:p w:rsidR="00E96768" w:rsidRPr="00E00B35" w:rsidRDefault="00E96768" w:rsidP="00E00B35">
            <w:pPr>
              <w:spacing w:after="0" w:line="312" w:lineRule="auto"/>
              <w:rPr>
                <w:rFonts w:eastAsia="Arial Unicode MS"/>
                <w:b/>
                <w:szCs w:val="20"/>
              </w:rPr>
            </w:pPr>
            <w:r w:rsidRPr="00E00B35">
              <w:rPr>
                <w:rFonts w:eastAsia="Arial Unicode MS"/>
                <w:b/>
                <w:szCs w:val="20"/>
              </w:rPr>
              <w:lastRenderedPageBreak/>
              <w:t>Wyszczególnienie</w:t>
            </w:r>
          </w:p>
        </w:tc>
        <w:tc>
          <w:tcPr>
            <w:tcW w:w="1966"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b/>
                <w:szCs w:val="20"/>
              </w:rPr>
            </w:pPr>
            <w:r w:rsidRPr="00E00B35">
              <w:rPr>
                <w:b/>
                <w:szCs w:val="20"/>
              </w:rPr>
              <w:t xml:space="preserve">Kontrole planowe </w:t>
            </w:r>
          </w:p>
        </w:tc>
        <w:tc>
          <w:tcPr>
            <w:tcW w:w="180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Tekstpodstawowy3"/>
              <w:spacing w:after="0" w:line="312" w:lineRule="auto"/>
              <w:rPr>
                <w:rFonts w:eastAsia="Arial Unicode MS" w:cs="Arial Unicode MS"/>
                <w:b/>
                <w:sz w:val="20"/>
                <w:szCs w:val="20"/>
              </w:rPr>
            </w:pPr>
            <w:r w:rsidRPr="00E00B35">
              <w:rPr>
                <w:b/>
                <w:sz w:val="20"/>
                <w:szCs w:val="20"/>
              </w:rPr>
              <w:t xml:space="preserve">Kontrole </w:t>
            </w:r>
            <w:r w:rsidRPr="00E00B35">
              <w:rPr>
                <w:b/>
                <w:sz w:val="20"/>
                <w:szCs w:val="20"/>
              </w:rPr>
              <w:br/>
              <w:t>o charakterze doraźnym</w:t>
            </w:r>
          </w:p>
        </w:tc>
        <w:tc>
          <w:tcPr>
            <w:tcW w:w="987"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b/>
                <w:szCs w:val="20"/>
              </w:rPr>
            </w:pPr>
            <w:r w:rsidRPr="00E00B35">
              <w:rPr>
                <w:rFonts w:eastAsia="Arial Unicode MS" w:cs="Arial Unicode MS"/>
                <w:b/>
                <w:szCs w:val="20"/>
              </w:rPr>
              <w:t>Razem</w:t>
            </w:r>
          </w:p>
        </w:tc>
      </w:tr>
      <w:tr w:rsidR="00E96768" w:rsidRPr="00E00B35" w:rsidTr="00E96768">
        <w:trPr>
          <w:trHeight w:val="510"/>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szCs w:val="20"/>
              </w:rPr>
              <w:t>Jednostki organizacyjne Gminy Wrocław</w:t>
            </w:r>
          </w:p>
        </w:tc>
        <w:tc>
          <w:tcPr>
            <w:tcW w:w="1966"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rFonts w:eastAsia="Arial Unicode MS" w:cs="Arial Unicode MS"/>
                <w:szCs w:val="20"/>
              </w:rPr>
              <w:t>66</w:t>
            </w:r>
          </w:p>
        </w:tc>
        <w:tc>
          <w:tcPr>
            <w:tcW w:w="180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34</w:t>
            </w:r>
          </w:p>
        </w:tc>
        <w:tc>
          <w:tcPr>
            <w:tcW w:w="987"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100</w:t>
            </w:r>
          </w:p>
        </w:tc>
      </w:tr>
      <w:tr w:rsidR="00E96768" w:rsidRPr="00E00B35" w:rsidTr="00E96768">
        <w:trPr>
          <w:trHeight w:val="510"/>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szCs w:val="20"/>
              </w:rPr>
              <w:t>Publiczne i niepubliczne jednostki oświatowe</w:t>
            </w:r>
          </w:p>
        </w:tc>
        <w:tc>
          <w:tcPr>
            <w:tcW w:w="1966"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rFonts w:eastAsia="Arial Unicode MS" w:cs="Arial Unicode MS"/>
                <w:szCs w:val="20"/>
              </w:rPr>
              <w:t>9</w:t>
            </w:r>
          </w:p>
        </w:tc>
        <w:tc>
          <w:tcPr>
            <w:tcW w:w="180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4</w:t>
            </w:r>
          </w:p>
        </w:tc>
        <w:tc>
          <w:tcPr>
            <w:tcW w:w="987"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13</w:t>
            </w:r>
          </w:p>
        </w:tc>
      </w:tr>
      <w:tr w:rsidR="00E96768" w:rsidRPr="00E00B35" w:rsidTr="00E96768">
        <w:trPr>
          <w:trHeight w:val="510"/>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szCs w:val="20"/>
              </w:rPr>
              <w:t>Organizacje pozarządowe i kościelne osoby prawne</w:t>
            </w:r>
          </w:p>
        </w:tc>
        <w:tc>
          <w:tcPr>
            <w:tcW w:w="1966"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15</w:t>
            </w:r>
          </w:p>
        </w:tc>
        <w:tc>
          <w:tcPr>
            <w:tcW w:w="180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0</w:t>
            </w:r>
          </w:p>
        </w:tc>
        <w:tc>
          <w:tcPr>
            <w:tcW w:w="987"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15</w:t>
            </w:r>
          </w:p>
        </w:tc>
      </w:tr>
      <w:tr w:rsidR="00E96768" w:rsidRPr="00E00B35" w:rsidTr="00E96768">
        <w:trPr>
          <w:trHeight w:val="510"/>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Podmioty, którym przekazano dotacje na prowadzenie niepublicznych żłobków</w:t>
            </w:r>
          </w:p>
        </w:tc>
        <w:tc>
          <w:tcPr>
            <w:tcW w:w="1966"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9</w:t>
            </w:r>
          </w:p>
        </w:tc>
        <w:tc>
          <w:tcPr>
            <w:tcW w:w="180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0</w:t>
            </w:r>
          </w:p>
        </w:tc>
        <w:tc>
          <w:tcPr>
            <w:tcW w:w="987"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9</w:t>
            </w:r>
          </w:p>
        </w:tc>
      </w:tr>
      <w:tr w:rsidR="00E96768" w:rsidRPr="00E00B35" w:rsidTr="00E96768">
        <w:trPr>
          <w:trHeight w:val="510"/>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szCs w:val="20"/>
              </w:rPr>
              <w:t>Komórki organizacyjne Urzędu Miejskiego Wrocławia</w:t>
            </w:r>
          </w:p>
        </w:tc>
        <w:tc>
          <w:tcPr>
            <w:tcW w:w="1966"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1</w:t>
            </w:r>
          </w:p>
        </w:tc>
        <w:tc>
          <w:tcPr>
            <w:tcW w:w="180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0</w:t>
            </w:r>
          </w:p>
        </w:tc>
        <w:tc>
          <w:tcPr>
            <w:tcW w:w="987"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1</w:t>
            </w:r>
          </w:p>
        </w:tc>
      </w:tr>
      <w:tr w:rsidR="00E96768" w:rsidRPr="00E00B35" w:rsidTr="00E96768">
        <w:trPr>
          <w:trHeight w:val="510"/>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Instytucje kultury</w:t>
            </w:r>
          </w:p>
        </w:tc>
        <w:tc>
          <w:tcPr>
            <w:tcW w:w="1966"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0</w:t>
            </w:r>
          </w:p>
        </w:tc>
        <w:tc>
          <w:tcPr>
            <w:tcW w:w="180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2</w:t>
            </w:r>
          </w:p>
        </w:tc>
        <w:tc>
          <w:tcPr>
            <w:tcW w:w="987"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2</w:t>
            </w:r>
          </w:p>
        </w:tc>
      </w:tr>
      <w:tr w:rsidR="00E96768" w:rsidRPr="00E00B35" w:rsidTr="00E96768">
        <w:trPr>
          <w:trHeight w:val="510"/>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 xml:space="preserve">Podmioty posiadające osobowość prawną, w których Miasto posiada co najmniej 50% udziałów albo akcji </w:t>
            </w:r>
          </w:p>
        </w:tc>
        <w:tc>
          <w:tcPr>
            <w:tcW w:w="1966"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0</w:t>
            </w:r>
          </w:p>
        </w:tc>
        <w:tc>
          <w:tcPr>
            <w:tcW w:w="180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0</w:t>
            </w:r>
          </w:p>
        </w:tc>
        <w:tc>
          <w:tcPr>
            <w:tcW w:w="987"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0</w:t>
            </w:r>
          </w:p>
        </w:tc>
      </w:tr>
      <w:tr w:rsidR="00E96768" w:rsidRPr="00E00B35" w:rsidTr="00E96768">
        <w:trPr>
          <w:trHeight w:val="510"/>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Stacje kontroli pojazdów</w:t>
            </w:r>
          </w:p>
        </w:tc>
        <w:tc>
          <w:tcPr>
            <w:tcW w:w="1966"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60</w:t>
            </w:r>
          </w:p>
        </w:tc>
        <w:tc>
          <w:tcPr>
            <w:tcW w:w="180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1</w:t>
            </w:r>
          </w:p>
        </w:tc>
        <w:tc>
          <w:tcPr>
            <w:tcW w:w="987"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61</w:t>
            </w:r>
          </w:p>
        </w:tc>
      </w:tr>
      <w:tr w:rsidR="00E96768" w:rsidRPr="00E00B35" w:rsidTr="00E96768">
        <w:trPr>
          <w:trHeight w:val="510"/>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Ośrodki szkolenia kierowców</w:t>
            </w:r>
          </w:p>
        </w:tc>
        <w:tc>
          <w:tcPr>
            <w:tcW w:w="1966"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48</w:t>
            </w:r>
          </w:p>
        </w:tc>
        <w:tc>
          <w:tcPr>
            <w:tcW w:w="180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12</w:t>
            </w:r>
          </w:p>
        </w:tc>
        <w:tc>
          <w:tcPr>
            <w:tcW w:w="987"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60</w:t>
            </w:r>
          </w:p>
        </w:tc>
      </w:tr>
      <w:tr w:rsidR="00E96768" w:rsidRPr="00E00B35" w:rsidTr="00E96768">
        <w:trPr>
          <w:trHeight w:val="510"/>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Podmioty prowadzące szkolenia osób ubiegających się o uzyskanie uprawnienia do kierowania tramwajem</w:t>
            </w:r>
          </w:p>
        </w:tc>
        <w:tc>
          <w:tcPr>
            <w:tcW w:w="196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1</w:t>
            </w:r>
          </w:p>
        </w:tc>
        <w:tc>
          <w:tcPr>
            <w:tcW w:w="180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0</w:t>
            </w:r>
          </w:p>
        </w:tc>
        <w:tc>
          <w:tcPr>
            <w:tcW w:w="98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1</w:t>
            </w:r>
          </w:p>
        </w:tc>
      </w:tr>
      <w:tr w:rsidR="00E96768" w:rsidRPr="00E00B35" w:rsidTr="00E96768">
        <w:trPr>
          <w:trHeight w:val="510"/>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ind w:left="180"/>
              <w:rPr>
                <w:szCs w:val="20"/>
              </w:rPr>
            </w:pPr>
            <w:r w:rsidRPr="00E00B35">
              <w:rPr>
                <w:szCs w:val="20"/>
              </w:rPr>
              <w:t>Razem</w:t>
            </w:r>
          </w:p>
        </w:tc>
        <w:tc>
          <w:tcPr>
            <w:tcW w:w="196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209</w:t>
            </w:r>
          </w:p>
        </w:tc>
        <w:tc>
          <w:tcPr>
            <w:tcW w:w="180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53</w:t>
            </w:r>
          </w:p>
        </w:tc>
        <w:tc>
          <w:tcPr>
            <w:tcW w:w="98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262</w:t>
            </w:r>
          </w:p>
        </w:tc>
      </w:tr>
    </w:tbl>
    <w:p w:rsidR="00E96768" w:rsidRPr="00E00B35" w:rsidRDefault="00E96768" w:rsidP="00E00B35">
      <w:pPr>
        <w:pStyle w:val="Tekstpodstawowywcity3"/>
        <w:spacing w:after="0" w:line="312" w:lineRule="auto"/>
        <w:ind w:left="0"/>
        <w:jc w:val="left"/>
        <w:rPr>
          <w:szCs w:val="20"/>
        </w:rPr>
      </w:pPr>
    </w:p>
    <w:p w:rsidR="00E96768" w:rsidRPr="00E00B35" w:rsidRDefault="00E96768" w:rsidP="00E00B35">
      <w:pPr>
        <w:spacing w:after="0" w:line="312" w:lineRule="auto"/>
        <w:rPr>
          <w:szCs w:val="20"/>
        </w:rPr>
      </w:pPr>
      <w:r w:rsidRPr="00E00B35">
        <w:rPr>
          <w:szCs w:val="20"/>
        </w:rPr>
        <w:t xml:space="preserve">Zestawienie ilości kontroli przeprowadzonych w latach 2017-2020 w podziale na kontrole planowe </w:t>
      </w:r>
      <w:r w:rsidRPr="00E00B35">
        <w:rPr>
          <w:szCs w:val="20"/>
        </w:rPr>
        <w:br/>
        <w:t xml:space="preserve">i o charakterze doraźnym </w:t>
      </w:r>
    </w:p>
    <w:tbl>
      <w:tblPr>
        <w:tblW w:w="0" w:type="auto"/>
        <w:tblInd w:w="15" w:type="dxa"/>
        <w:tblCellMar>
          <w:left w:w="0" w:type="dxa"/>
          <w:right w:w="0" w:type="dxa"/>
        </w:tblCellMar>
        <w:tblLook w:val="0620"/>
      </w:tblPr>
      <w:tblGrid>
        <w:gridCol w:w="1440"/>
        <w:gridCol w:w="2700"/>
        <w:gridCol w:w="2520"/>
        <w:gridCol w:w="2340"/>
      </w:tblGrid>
      <w:tr w:rsidR="00E96768" w:rsidRPr="00E00B35" w:rsidTr="00E96768">
        <w:trPr>
          <w:cantSplit/>
          <w:trHeight w:val="614"/>
          <w:tblHeader/>
        </w:trPr>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5" w:type="dxa"/>
              <w:bottom w:w="0" w:type="dxa"/>
              <w:right w:w="15" w:type="dxa"/>
            </w:tcMar>
            <w:vAlign w:val="center"/>
          </w:tcPr>
          <w:p w:rsidR="00E96768" w:rsidRPr="00E00B35" w:rsidRDefault="00E96768" w:rsidP="00E00B35">
            <w:pPr>
              <w:spacing w:after="0" w:line="312" w:lineRule="auto"/>
              <w:rPr>
                <w:rFonts w:eastAsia="Arial Unicode MS"/>
                <w:bCs/>
                <w:szCs w:val="20"/>
              </w:rPr>
            </w:pPr>
            <w:r w:rsidRPr="00E00B35">
              <w:rPr>
                <w:rFonts w:eastAsia="Arial Unicode MS"/>
                <w:bCs/>
                <w:szCs w:val="20"/>
              </w:rPr>
              <w:t>Rok</w:t>
            </w:r>
          </w:p>
        </w:tc>
        <w:tc>
          <w:tcPr>
            <w:tcW w:w="270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 xml:space="preserve">Kontrole planowe </w:t>
            </w:r>
          </w:p>
        </w:tc>
        <w:tc>
          <w:tcPr>
            <w:tcW w:w="252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 xml:space="preserve">Kontrole </w:t>
            </w:r>
            <w:r w:rsidRPr="00E00B35">
              <w:rPr>
                <w:bCs/>
                <w:szCs w:val="20"/>
              </w:rPr>
              <w:br/>
              <w:t>o charakterze doraźnym</w:t>
            </w:r>
          </w:p>
        </w:tc>
        <w:tc>
          <w:tcPr>
            <w:tcW w:w="234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bCs/>
                <w:szCs w:val="20"/>
              </w:rPr>
            </w:pPr>
            <w:r w:rsidRPr="00E00B35">
              <w:rPr>
                <w:bCs/>
                <w:szCs w:val="20"/>
              </w:rPr>
              <w:t>Razem</w:t>
            </w:r>
          </w:p>
        </w:tc>
      </w:tr>
      <w:tr w:rsidR="00E96768" w:rsidRPr="00E00B35" w:rsidTr="00E96768">
        <w:trPr>
          <w:trHeight w:val="340"/>
        </w:trPr>
        <w:tc>
          <w:tcPr>
            <w:tcW w:w="14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ind w:left="180"/>
              <w:rPr>
                <w:rFonts w:eastAsia="Arial Unicode MS" w:cs="Arial Unicode MS"/>
                <w:szCs w:val="20"/>
              </w:rPr>
            </w:pPr>
            <w:r w:rsidRPr="00E00B35">
              <w:rPr>
                <w:rFonts w:eastAsia="Arial Unicode MS" w:cs="Arial Unicode MS"/>
                <w:szCs w:val="20"/>
              </w:rPr>
              <w:t>2017</w:t>
            </w:r>
          </w:p>
        </w:tc>
        <w:tc>
          <w:tcPr>
            <w:tcW w:w="2700"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rFonts w:eastAsia="Arial Unicode MS" w:cs="Arial Unicode MS"/>
                <w:szCs w:val="20"/>
              </w:rPr>
              <w:t>227</w:t>
            </w:r>
          </w:p>
        </w:tc>
        <w:tc>
          <w:tcPr>
            <w:tcW w:w="252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13</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bCs/>
                <w:szCs w:val="20"/>
              </w:rPr>
            </w:pPr>
            <w:r w:rsidRPr="00E00B35">
              <w:rPr>
                <w:rFonts w:eastAsia="Arial Unicode MS"/>
                <w:bCs/>
                <w:szCs w:val="20"/>
              </w:rPr>
              <w:t>240</w:t>
            </w:r>
          </w:p>
        </w:tc>
      </w:tr>
      <w:tr w:rsidR="00E96768" w:rsidRPr="00E00B35" w:rsidTr="00E96768">
        <w:trPr>
          <w:trHeight w:val="340"/>
        </w:trPr>
        <w:tc>
          <w:tcPr>
            <w:tcW w:w="14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ind w:left="180"/>
              <w:rPr>
                <w:rFonts w:eastAsia="Arial Unicode MS" w:cs="Arial Unicode MS"/>
                <w:szCs w:val="20"/>
              </w:rPr>
            </w:pPr>
            <w:r w:rsidRPr="00E00B35">
              <w:rPr>
                <w:rFonts w:eastAsia="Arial Unicode MS" w:cs="Arial Unicode MS"/>
                <w:szCs w:val="20"/>
              </w:rPr>
              <w:t>2018</w:t>
            </w:r>
          </w:p>
        </w:tc>
        <w:tc>
          <w:tcPr>
            <w:tcW w:w="2700"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rFonts w:eastAsia="Arial Unicode MS" w:cs="Arial Unicode MS"/>
                <w:szCs w:val="20"/>
              </w:rPr>
              <w:t>238</w:t>
            </w:r>
          </w:p>
        </w:tc>
        <w:tc>
          <w:tcPr>
            <w:tcW w:w="252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30</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bCs/>
                <w:szCs w:val="20"/>
              </w:rPr>
            </w:pPr>
            <w:r w:rsidRPr="00E00B35">
              <w:rPr>
                <w:rFonts w:eastAsia="Arial Unicode MS"/>
                <w:bCs/>
                <w:szCs w:val="20"/>
              </w:rPr>
              <w:t>268</w:t>
            </w:r>
          </w:p>
        </w:tc>
      </w:tr>
      <w:tr w:rsidR="00E96768" w:rsidRPr="00E00B35" w:rsidTr="00E96768">
        <w:trPr>
          <w:trHeight w:val="340"/>
        </w:trPr>
        <w:tc>
          <w:tcPr>
            <w:tcW w:w="14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ind w:left="180"/>
              <w:rPr>
                <w:rFonts w:eastAsia="Arial Unicode MS" w:cs="Arial Unicode MS"/>
                <w:szCs w:val="20"/>
              </w:rPr>
            </w:pPr>
            <w:r w:rsidRPr="00E00B35">
              <w:rPr>
                <w:rFonts w:eastAsia="Arial Unicode MS" w:cs="Arial Unicode MS"/>
                <w:szCs w:val="20"/>
              </w:rPr>
              <w:t>2019</w:t>
            </w:r>
          </w:p>
        </w:tc>
        <w:tc>
          <w:tcPr>
            <w:tcW w:w="2700"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rFonts w:eastAsia="Arial Unicode MS" w:cs="Arial Unicode MS"/>
                <w:szCs w:val="20"/>
              </w:rPr>
              <w:t>192</w:t>
            </w:r>
          </w:p>
        </w:tc>
        <w:tc>
          <w:tcPr>
            <w:tcW w:w="252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39</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bCs/>
                <w:szCs w:val="20"/>
              </w:rPr>
            </w:pPr>
            <w:r w:rsidRPr="00E00B35">
              <w:rPr>
                <w:rFonts w:eastAsia="Arial Unicode MS"/>
                <w:bCs/>
                <w:szCs w:val="20"/>
              </w:rPr>
              <w:t>231</w:t>
            </w:r>
          </w:p>
        </w:tc>
      </w:tr>
      <w:tr w:rsidR="00E96768" w:rsidRPr="00E00B35" w:rsidTr="00E96768">
        <w:trPr>
          <w:trHeight w:val="340"/>
        </w:trPr>
        <w:tc>
          <w:tcPr>
            <w:tcW w:w="1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ind w:left="180"/>
              <w:rPr>
                <w:rFonts w:eastAsia="Arial Unicode MS" w:cs="Arial Unicode MS"/>
                <w:szCs w:val="20"/>
              </w:rPr>
            </w:pPr>
            <w:r w:rsidRPr="00E00B35">
              <w:rPr>
                <w:rFonts w:eastAsia="Arial Unicode MS" w:cs="Arial Unicode MS"/>
                <w:szCs w:val="20"/>
              </w:rPr>
              <w:t>2020</w:t>
            </w:r>
          </w:p>
        </w:tc>
        <w:tc>
          <w:tcPr>
            <w:tcW w:w="27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rFonts w:eastAsia="Arial Unicode MS" w:cs="Arial Unicode MS"/>
                <w:szCs w:val="20"/>
              </w:rPr>
              <w:t>209</w:t>
            </w:r>
          </w:p>
        </w:tc>
        <w:tc>
          <w:tcPr>
            <w:tcW w:w="2520"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53</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bCs/>
                <w:szCs w:val="20"/>
              </w:rPr>
            </w:pPr>
            <w:r w:rsidRPr="00E00B35">
              <w:rPr>
                <w:rFonts w:eastAsia="Arial Unicode MS"/>
                <w:bCs/>
                <w:szCs w:val="20"/>
              </w:rPr>
              <w:t>262</w:t>
            </w:r>
          </w:p>
        </w:tc>
      </w:tr>
    </w:tbl>
    <w:p w:rsidR="00E96768" w:rsidRPr="00E00B35" w:rsidRDefault="00E96768" w:rsidP="00E00B35">
      <w:pPr>
        <w:pStyle w:val="Tekstpodstawowywcity3"/>
        <w:spacing w:after="0" w:line="312" w:lineRule="auto"/>
        <w:ind w:left="0"/>
        <w:jc w:val="left"/>
        <w:rPr>
          <w:szCs w:val="20"/>
        </w:rPr>
      </w:pPr>
    </w:p>
    <w:p w:rsidR="00E96768" w:rsidRPr="00E00B35" w:rsidRDefault="00E96768" w:rsidP="00E00B35">
      <w:pPr>
        <w:spacing w:after="0" w:line="312" w:lineRule="auto"/>
        <w:rPr>
          <w:szCs w:val="20"/>
        </w:rPr>
      </w:pPr>
      <w:r w:rsidRPr="00E00B35">
        <w:rPr>
          <w:szCs w:val="20"/>
        </w:rPr>
        <w:t xml:space="preserve">Zestawienie ilości kontroli przeprowadzonych w latach 2017-2020 w jednostkach i podmiotach </w:t>
      </w:r>
    </w:p>
    <w:tbl>
      <w:tblPr>
        <w:tblW w:w="0" w:type="auto"/>
        <w:tblInd w:w="15" w:type="dxa"/>
        <w:tblCellMar>
          <w:left w:w="0" w:type="dxa"/>
          <w:right w:w="0" w:type="dxa"/>
        </w:tblCellMar>
        <w:tblLook w:val="0620"/>
      </w:tblPr>
      <w:tblGrid>
        <w:gridCol w:w="3318"/>
        <w:gridCol w:w="1404"/>
        <w:gridCol w:w="1404"/>
        <w:gridCol w:w="1404"/>
        <w:gridCol w:w="1404"/>
      </w:tblGrid>
      <w:tr w:rsidR="00E96768" w:rsidRPr="00E00B35" w:rsidTr="00E96768">
        <w:trPr>
          <w:cantSplit/>
          <w:trHeight w:val="565"/>
          <w:tblHeader/>
        </w:trPr>
        <w:tc>
          <w:tcPr>
            <w:tcW w:w="33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5" w:type="dxa"/>
              <w:bottom w:w="0" w:type="dxa"/>
              <w:right w:w="15" w:type="dxa"/>
            </w:tcMar>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Wyszczególnienie</w:t>
            </w:r>
          </w:p>
        </w:tc>
        <w:tc>
          <w:tcPr>
            <w:tcW w:w="140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96768" w:rsidRPr="00E00B35" w:rsidRDefault="00E96768" w:rsidP="00E00B35">
            <w:pPr>
              <w:spacing w:after="0" w:line="312" w:lineRule="auto"/>
              <w:rPr>
                <w:rFonts w:eastAsia="Arial Unicode MS" w:cs="Arial Unicode MS"/>
                <w:szCs w:val="20"/>
              </w:rPr>
            </w:pPr>
            <w:r w:rsidRPr="00E00B35">
              <w:rPr>
                <w:szCs w:val="20"/>
              </w:rPr>
              <w:t>2017</w:t>
            </w:r>
          </w:p>
        </w:tc>
        <w:tc>
          <w:tcPr>
            <w:tcW w:w="140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96768" w:rsidRPr="00E00B35" w:rsidRDefault="00E96768" w:rsidP="00E00B35">
            <w:pPr>
              <w:spacing w:after="0" w:line="312" w:lineRule="auto"/>
              <w:rPr>
                <w:szCs w:val="20"/>
              </w:rPr>
            </w:pPr>
            <w:r w:rsidRPr="00E00B35">
              <w:rPr>
                <w:szCs w:val="20"/>
              </w:rPr>
              <w:t>2018</w:t>
            </w:r>
          </w:p>
        </w:tc>
        <w:tc>
          <w:tcPr>
            <w:tcW w:w="140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96768" w:rsidRPr="00E00B35" w:rsidRDefault="00E96768" w:rsidP="00E00B35">
            <w:pPr>
              <w:spacing w:after="0" w:line="312" w:lineRule="auto"/>
              <w:rPr>
                <w:szCs w:val="20"/>
              </w:rPr>
            </w:pPr>
            <w:r w:rsidRPr="00E00B35">
              <w:rPr>
                <w:szCs w:val="20"/>
              </w:rPr>
              <w:t>2019</w:t>
            </w:r>
          </w:p>
        </w:tc>
        <w:tc>
          <w:tcPr>
            <w:tcW w:w="140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96768" w:rsidRPr="00E00B35" w:rsidRDefault="00E96768" w:rsidP="00E00B35">
            <w:pPr>
              <w:spacing w:after="0" w:line="312" w:lineRule="auto"/>
              <w:rPr>
                <w:szCs w:val="20"/>
              </w:rPr>
            </w:pPr>
            <w:r w:rsidRPr="00E00B35">
              <w:rPr>
                <w:szCs w:val="20"/>
              </w:rPr>
              <w:t>2020</w:t>
            </w:r>
          </w:p>
        </w:tc>
      </w:tr>
      <w:tr w:rsidR="00E96768" w:rsidRPr="00E00B35" w:rsidTr="00E96768">
        <w:trPr>
          <w:trHeight w:val="580"/>
        </w:trPr>
        <w:tc>
          <w:tcPr>
            <w:tcW w:w="33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szCs w:val="20"/>
              </w:rPr>
              <w:t>Jednostki organizacyjne Gminy Wrocław</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83</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88</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71</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100</w:t>
            </w:r>
          </w:p>
        </w:tc>
      </w:tr>
      <w:tr w:rsidR="00E96768" w:rsidRPr="00E00B35" w:rsidTr="00E96768">
        <w:trPr>
          <w:trHeight w:val="580"/>
        </w:trPr>
        <w:tc>
          <w:tcPr>
            <w:tcW w:w="33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szCs w:val="20"/>
              </w:rPr>
              <w:lastRenderedPageBreak/>
              <w:t>Publiczne i niepubliczne jednostki oświatowe</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16</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16</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10</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13</w:t>
            </w:r>
          </w:p>
        </w:tc>
      </w:tr>
      <w:tr w:rsidR="00E96768" w:rsidRPr="00E00B35" w:rsidTr="00E96768">
        <w:trPr>
          <w:trHeight w:val="580"/>
        </w:trPr>
        <w:tc>
          <w:tcPr>
            <w:tcW w:w="33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szCs w:val="20"/>
              </w:rPr>
              <w:t>Organizacje pozarządowe i kościelne osoby prawne</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21</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19</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7</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15</w:t>
            </w:r>
          </w:p>
        </w:tc>
      </w:tr>
      <w:tr w:rsidR="00E96768" w:rsidRPr="00E00B35" w:rsidTr="00E96768">
        <w:trPr>
          <w:trHeight w:val="580"/>
        </w:trPr>
        <w:tc>
          <w:tcPr>
            <w:tcW w:w="33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Podmioty, którym przekazano dotacje na prowadzenie niepublicznych żłobków</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0</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6</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3</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9</w:t>
            </w:r>
          </w:p>
        </w:tc>
      </w:tr>
      <w:tr w:rsidR="00E96768" w:rsidRPr="00E00B35" w:rsidTr="00E96768">
        <w:trPr>
          <w:trHeight w:val="580"/>
        </w:trPr>
        <w:tc>
          <w:tcPr>
            <w:tcW w:w="33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szCs w:val="20"/>
              </w:rPr>
              <w:t>Komórki organizacyjne Urzędu Miejskiego Wrocławia</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6</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9</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8</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1</w:t>
            </w:r>
          </w:p>
        </w:tc>
      </w:tr>
      <w:tr w:rsidR="00E96768" w:rsidRPr="00E00B35" w:rsidTr="00E96768">
        <w:trPr>
          <w:trHeight w:val="580"/>
        </w:trPr>
        <w:tc>
          <w:tcPr>
            <w:tcW w:w="33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Instytucje kultury</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1</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0</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0</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2</w:t>
            </w:r>
          </w:p>
        </w:tc>
      </w:tr>
      <w:tr w:rsidR="00E96768" w:rsidRPr="00E00B35" w:rsidTr="00E96768">
        <w:trPr>
          <w:trHeight w:val="580"/>
        </w:trPr>
        <w:tc>
          <w:tcPr>
            <w:tcW w:w="33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Podmioty posiadające osobowość prawną, w których Miasto posiada co najmniej 50% udziałów albo akcji</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1</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1</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2</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0</w:t>
            </w:r>
          </w:p>
        </w:tc>
      </w:tr>
      <w:tr w:rsidR="00E96768" w:rsidRPr="00E00B35" w:rsidTr="00E96768">
        <w:trPr>
          <w:trHeight w:val="580"/>
        </w:trPr>
        <w:tc>
          <w:tcPr>
            <w:tcW w:w="33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rFonts w:eastAsia="Arial Unicode MS" w:cs="Arial Unicode MS"/>
                <w:szCs w:val="20"/>
              </w:rPr>
            </w:pPr>
            <w:r w:rsidRPr="00E00B35">
              <w:rPr>
                <w:szCs w:val="20"/>
              </w:rPr>
              <w:t>Samodzielne publiczne zakłady opieki zdrowotnej</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2</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0</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rFonts w:eastAsia="Arial Unicode MS"/>
                <w:szCs w:val="20"/>
              </w:rPr>
            </w:pPr>
            <w:r w:rsidRPr="00E00B35">
              <w:rPr>
                <w:rFonts w:eastAsia="Arial Unicode MS"/>
                <w:szCs w:val="20"/>
              </w:rPr>
              <w:t>0</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rFonts w:eastAsia="Arial Unicode MS"/>
                <w:szCs w:val="20"/>
              </w:rPr>
            </w:pPr>
          </w:p>
          <w:p w:rsidR="00E96768" w:rsidRPr="00E00B35" w:rsidRDefault="00E96768" w:rsidP="00E00B35">
            <w:pPr>
              <w:spacing w:after="0" w:line="312" w:lineRule="auto"/>
              <w:rPr>
                <w:rFonts w:eastAsia="Arial Unicode MS"/>
                <w:szCs w:val="20"/>
              </w:rPr>
            </w:pPr>
            <w:r w:rsidRPr="00E00B35">
              <w:rPr>
                <w:rFonts w:eastAsia="Arial Unicode MS"/>
                <w:szCs w:val="20"/>
              </w:rPr>
              <w:t>0</w:t>
            </w:r>
          </w:p>
        </w:tc>
      </w:tr>
      <w:tr w:rsidR="00E96768" w:rsidRPr="00E00B35" w:rsidTr="00E96768">
        <w:trPr>
          <w:trHeight w:val="580"/>
        </w:trPr>
        <w:tc>
          <w:tcPr>
            <w:tcW w:w="33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Stacje kontroli pojazdów</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57</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63</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64</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61</w:t>
            </w:r>
          </w:p>
        </w:tc>
      </w:tr>
      <w:tr w:rsidR="00E96768" w:rsidRPr="00E00B35" w:rsidTr="00E96768">
        <w:trPr>
          <w:trHeight w:val="580"/>
        </w:trPr>
        <w:tc>
          <w:tcPr>
            <w:tcW w:w="33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Ośrodki szkolenia kierowców</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52</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65</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65</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60</w:t>
            </w:r>
          </w:p>
        </w:tc>
      </w:tr>
      <w:tr w:rsidR="00E96768" w:rsidRPr="00E00B35" w:rsidTr="00E96768">
        <w:trPr>
          <w:trHeight w:val="580"/>
        </w:trPr>
        <w:tc>
          <w:tcPr>
            <w:tcW w:w="33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Podmioty prowadzące szkolenia osób ubiegających się o uzyskanie uprawnienia do kierowania tramw</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1</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1</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1</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1</w:t>
            </w:r>
          </w:p>
        </w:tc>
      </w:tr>
      <w:tr w:rsidR="00E96768" w:rsidRPr="00E00B35" w:rsidTr="00E96768">
        <w:trPr>
          <w:trHeight w:val="580"/>
        </w:trPr>
        <w:tc>
          <w:tcPr>
            <w:tcW w:w="33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96768" w:rsidRPr="00E00B35" w:rsidRDefault="00E96768" w:rsidP="00E00B35">
            <w:pPr>
              <w:spacing w:after="0" w:line="312" w:lineRule="auto"/>
              <w:rPr>
                <w:szCs w:val="20"/>
              </w:rPr>
            </w:pPr>
            <w:r w:rsidRPr="00E00B35">
              <w:rPr>
                <w:szCs w:val="20"/>
              </w:rPr>
              <w:t>Razem</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240</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268</w:t>
            </w:r>
          </w:p>
        </w:tc>
        <w:tc>
          <w:tcPr>
            <w:tcW w:w="1404" w:type="dxa"/>
            <w:tcBorders>
              <w:top w:val="single" w:sz="4" w:space="0" w:color="auto"/>
              <w:left w:val="nil"/>
              <w:bottom w:val="single" w:sz="4" w:space="0" w:color="auto"/>
              <w:right w:val="single" w:sz="4" w:space="0" w:color="auto"/>
            </w:tcBorders>
            <w:vAlign w:val="center"/>
          </w:tcPr>
          <w:p w:rsidR="00E96768" w:rsidRPr="00E00B35" w:rsidRDefault="00E96768" w:rsidP="00E00B35">
            <w:pPr>
              <w:spacing w:after="0" w:line="312" w:lineRule="auto"/>
              <w:rPr>
                <w:szCs w:val="20"/>
              </w:rPr>
            </w:pPr>
            <w:r w:rsidRPr="00E00B35">
              <w:rPr>
                <w:szCs w:val="20"/>
              </w:rPr>
              <w:t>231</w:t>
            </w:r>
          </w:p>
        </w:tc>
        <w:tc>
          <w:tcPr>
            <w:tcW w:w="1404" w:type="dxa"/>
            <w:tcBorders>
              <w:top w:val="single" w:sz="4" w:space="0" w:color="auto"/>
              <w:left w:val="nil"/>
              <w:bottom w:val="single" w:sz="4" w:space="0" w:color="auto"/>
              <w:right w:val="single" w:sz="4" w:space="0" w:color="auto"/>
            </w:tcBorders>
          </w:tcPr>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262</w:t>
            </w:r>
          </w:p>
        </w:tc>
      </w:tr>
    </w:tbl>
    <w:p w:rsidR="00815F93" w:rsidRPr="00E00B35" w:rsidRDefault="00815F93" w:rsidP="00E00B35">
      <w:pPr>
        <w:pStyle w:val="Tekstpodstawowy2"/>
        <w:tabs>
          <w:tab w:val="left" w:pos="1080"/>
        </w:tabs>
        <w:spacing w:after="0" w:line="312" w:lineRule="auto"/>
        <w:rPr>
          <w:sz w:val="20"/>
          <w:szCs w:val="20"/>
        </w:rPr>
      </w:pPr>
    </w:p>
    <w:p w:rsidR="00E96768" w:rsidRPr="00E00B35" w:rsidRDefault="00E96768" w:rsidP="00E00B35">
      <w:pPr>
        <w:pStyle w:val="Tekstpodstawowy2"/>
        <w:tabs>
          <w:tab w:val="left" w:pos="1080"/>
        </w:tabs>
        <w:spacing w:after="0" w:line="312" w:lineRule="auto"/>
        <w:rPr>
          <w:sz w:val="20"/>
          <w:szCs w:val="20"/>
        </w:rPr>
      </w:pPr>
      <w:r w:rsidRPr="00E00B35">
        <w:rPr>
          <w:sz w:val="20"/>
          <w:szCs w:val="20"/>
        </w:rPr>
        <w:t xml:space="preserve">Kontrole w 2020 roku przeprowadzono w: </w:t>
      </w:r>
    </w:p>
    <w:p w:rsidR="00E96768" w:rsidRPr="00E00B35" w:rsidRDefault="00E96768" w:rsidP="00BC64AB">
      <w:pPr>
        <w:pStyle w:val="Akapitzlist"/>
        <w:numPr>
          <w:ilvl w:val="0"/>
          <w:numId w:val="245"/>
        </w:numPr>
        <w:spacing w:after="0" w:line="312" w:lineRule="auto"/>
        <w:ind w:left="567" w:hanging="567"/>
        <w:rPr>
          <w:szCs w:val="20"/>
        </w:rPr>
      </w:pPr>
      <w:r w:rsidRPr="00E00B35">
        <w:rPr>
          <w:rFonts w:cs="Helv"/>
          <w:color w:val="000000"/>
          <w:szCs w:val="20"/>
        </w:rPr>
        <w:t>jednostkach</w:t>
      </w:r>
      <w:r w:rsidRPr="00E00B35">
        <w:rPr>
          <w:szCs w:val="20"/>
        </w:rPr>
        <w:t xml:space="preserve"> organizacyjnych Gminy Wrocław, w szczególności w przedszkolach, szkołach i placówkach oświatowych, w zakresie: </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zgodności planowania i realizacji budżetu z zasadami opracowanymi przez organ prowadzący,</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zagadnień finansowo – księgowych, organizacyjno-prawnych i kadrowo-płacowych,</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przestrzegania przepisów dotyczących zapewnienia bezpiecznych warunków nauki i pracy,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realizacji zawartych umów,</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przestrzegania przepisów ustaw Kodeks pracy i Prawo zamówień publicznych,</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prawidłowości wydatkowania środków publicznych,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lastRenderedPageBreak/>
        <w:t xml:space="preserve">zgodności przyznanych podwyżek dla pracowników administracji i obsługi </w:t>
      </w:r>
      <w:r w:rsidRPr="00E00B35">
        <w:rPr>
          <w:rFonts w:cs="Helv"/>
          <w:color w:val="000000"/>
          <w:szCs w:val="20"/>
        </w:rPr>
        <w:br/>
        <w:t>z wytycznymi organu prowadzącego,</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zgodności ze stanem faktycznym danych o liczbie uczniów wykazanych w SIO, mających wpływ na kwotę uzupełniającą części oświatowej subwencji ogólnej;</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publicznych i niepublicznych jednostkach oświatowych, m.in. w zakresie prawidłowości pobrania i wykorzystania dotacji zgodnie z art. 35 ustawy o finansowaniu zadań oświatowych;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Kontrolą objęto jednostki oświatowe, którym przekazano w latach 2018-2019 dotacje w łącznej kwocie 5 732 639,15 zł;</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organizacjach pozarządowych i kościelnych osobach prawnych, w zakresie realizacji umów dotacyjnych;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Kontrole przeprowadzono w podmiotach, którym na podstawie umów przekazano w latach 2017-2019 dotacje w łącznej kwocie 5 371 500,00 zł;</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podmiotach, którym przekazano dotacje na prowadzenie niepublicznych żłobków, w zakresie realizacji umów dotacyjnych;</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Kontrole przeprowadzono w podmiotach, którym na podstawie umów przekazano w latach 2018-2019 dotacje w łącznej kwocie 1 896 520,00 zł;</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komórce organizacyjnej Urzędu Miejskiego Wrocławia, w zakresie prowadzenia dokumentacji księgowej i finansowej;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instytucjach kultury, w zakresie:</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prowadzenia gospodarki finansowej, w szczególności realizacji zakupów,</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 xml:space="preserve">wykonywania czynności z zakresu prawa pracy wobec pracowników, </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zawierania</w:t>
      </w:r>
      <w:r w:rsidRPr="00E00B35">
        <w:rPr>
          <w:bCs/>
          <w:szCs w:val="20"/>
        </w:rPr>
        <w:t xml:space="preserve"> i realizacji umów najmu;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stacjach </w:t>
      </w:r>
      <w:r w:rsidRPr="00E00B35">
        <w:rPr>
          <w:rFonts w:cs="Helv"/>
          <w:color w:val="000000"/>
          <w:szCs w:val="20"/>
        </w:rPr>
        <w:t>kontroli</w:t>
      </w:r>
      <w:r w:rsidRPr="00E00B35">
        <w:rPr>
          <w:szCs w:val="20"/>
        </w:rPr>
        <w:t xml:space="preserve"> pojazdów, w zakresie:</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zgodności stacji z wymaganiami, o których mowa w art. 83 ust. 3 ustawy Prawo o ruchu drogowym,</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prawidłowości wykonywania badań technicznych pojazdów,</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prawidłowości</w:t>
      </w:r>
      <w:r w:rsidRPr="00E00B35">
        <w:rPr>
          <w:szCs w:val="20"/>
        </w:rPr>
        <w:t xml:space="preserve"> prowadzenia wymaganej dokumentacji;</w:t>
      </w:r>
    </w:p>
    <w:p w:rsidR="00E96768" w:rsidRPr="00E00B35" w:rsidRDefault="00E96768" w:rsidP="00BC64AB">
      <w:pPr>
        <w:pStyle w:val="Akapitzlist"/>
        <w:numPr>
          <w:ilvl w:val="0"/>
          <w:numId w:val="245"/>
        </w:numPr>
        <w:spacing w:after="0" w:line="312" w:lineRule="auto"/>
        <w:ind w:left="567" w:hanging="567"/>
        <w:rPr>
          <w:szCs w:val="20"/>
        </w:rPr>
      </w:pPr>
      <w:r w:rsidRPr="00E00B35">
        <w:rPr>
          <w:rFonts w:cs="Helv"/>
          <w:color w:val="000000"/>
          <w:szCs w:val="20"/>
        </w:rPr>
        <w:t>ośrodkach</w:t>
      </w:r>
      <w:r w:rsidRPr="00E00B35">
        <w:rPr>
          <w:szCs w:val="20"/>
        </w:rPr>
        <w:t xml:space="preserve"> szkolenia kierowców, w zakresie:</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spełniania przez przedsiębiorcę prowadzącego ośrodek szkolenia kierowców wymagań, o których mowa w art. 28 ust. 2 oraz odpowiednio w art. 31 ust. 1 ustawy o kierujących pojazdami</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zgodności</w:t>
      </w:r>
      <w:r w:rsidRPr="00E00B35">
        <w:rPr>
          <w:szCs w:val="20"/>
        </w:rPr>
        <w:t xml:space="preserve"> prowadzonego kursu lub zajęć z:</w:t>
      </w:r>
    </w:p>
    <w:p w:rsidR="00E96768" w:rsidRPr="00E00B35" w:rsidRDefault="00E96768" w:rsidP="00BC64AB">
      <w:pPr>
        <w:pStyle w:val="Tekstpodstawowy"/>
        <w:numPr>
          <w:ilvl w:val="2"/>
          <w:numId w:val="248"/>
        </w:numPr>
        <w:suppressAutoHyphens/>
        <w:spacing w:after="0" w:line="312" w:lineRule="auto"/>
        <w:ind w:hanging="584"/>
        <w:rPr>
          <w:szCs w:val="20"/>
        </w:rPr>
      </w:pPr>
      <w:r w:rsidRPr="00E00B35">
        <w:rPr>
          <w:szCs w:val="20"/>
        </w:rPr>
        <w:t>przepisami określającymi zasady i warunki prowadzenia szkolenia,</w:t>
      </w:r>
    </w:p>
    <w:p w:rsidR="00E96768" w:rsidRPr="00E00B35" w:rsidRDefault="00E96768" w:rsidP="00BC64AB">
      <w:pPr>
        <w:pStyle w:val="Tekstpodstawowy"/>
        <w:numPr>
          <w:ilvl w:val="2"/>
          <w:numId w:val="248"/>
        </w:numPr>
        <w:suppressAutoHyphens/>
        <w:spacing w:after="0" w:line="312" w:lineRule="auto"/>
        <w:ind w:hanging="584"/>
        <w:rPr>
          <w:szCs w:val="20"/>
        </w:rPr>
      </w:pPr>
      <w:r w:rsidRPr="00E00B35">
        <w:rPr>
          <w:szCs w:val="20"/>
        </w:rPr>
        <w:t>informacją lub danymi, o których mowa w art. 27 ust. 1 pkt 1 ww. ustawy,</w:t>
      </w:r>
    </w:p>
    <w:p w:rsidR="00E96768" w:rsidRPr="00E00B35" w:rsidRDefault="00E96768" w:rsidP="00BC64AB">
      <w:pPr>
        <w:pStyle w:val="Tekstpodstawowy"/>
        <w:numPr>
          <w:ilvl w:val="2"/>
          <w:numId w:val="248"/>
        </w:numPr>
        <w:suppressAutoHyphens/>
        <w:spacing w:after="0" w:line="312" w:lineRule="auto"/>
        <w:ind w:hanging="584"/>
        <w:rPr>
          <w:szCs w:val="20"/>
        </w:rPr>
      </w:pPr>
      <w:r w:rsidRPr="00E00B35">
        <w:rPr>
          <w:szCs w:val="20"/>
        </w:rPr>
        <w:t>dokumentami, o których mowa w art. 27 ust. 1 pkt 6 ww. ustawy,</w:t>
      </w:r>
    </w:p>
    <w:p w:rsidR="00E96768" w:rsidRPr="00E00B35" w:rsidRDefault="00E96768" w:rsidP="00BC64AB">
      <w:pPr>
        <w:numPr>
          <w:ilvl w:val="0"/>
          <w:numId w:val="243"/>
        </w:numPr>
        <w:tabs>
          <w:tab w:val="clear" w:pos="720"/>
          <w:tab w:val="num" w:pos="464"/>
          <w:tab w:val="left" w:pos="1080"/>
        </w:tabs>
        <w:spacing w:after="0" w:line="312" w:lineRule="auto"/>
        <w:ind w:left="464" w:hanging="256"/>
        <w:rPr>
          <w:szCs w:val="20"/>
        </w:rPr>
      </w:pPr>
      <w:r w:rsidRPr="00E00B35">
        <w:rPr>
          <w:szCs w:val="20"/>
        </w:rPr>
        <w:t>kwalifikacji osób prowadzących szkolenie;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podmiocie prowadzącym szkolenie osób ubiegających się o uzyskanie uprawnienia do </w:t>
      </w:r>
      <w:r w:rsidRPr="00E00B35">
        <w:rPr>
          <w:rFonts w:cs="Helv"/>
          <w:color w:val="000000"/>
          <w:szCs w:val="20"/>
        </w:rPr>
        <w:t>kierowania</w:t>
      </w:r>
      <w:r w:rsidRPr="00E00B35">
        <w:rPr>
          <w:szCs w:val="20"/>
        </w:rPr>
        <w:t xml:space="preserve"> tramwajem, w zakresie:</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spełniania przez podmiot prowadzący szkolenie osób ubiegających się o uzyskanie uprawnienia do kierowania tramwajem wymagań, o których mowa w art. 28 ust. 2 ustawy o kierujących pojazdami,</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lastRenderedPageBreak/>
        <w:t>zgodności</w:t>
      </w:r>
      <w:r w:rsidRPr="00E00B35">
        <w:rPr>
          <w:szCs w:val="20"/>
        </w:rPr>
        <w:t xml:space="preserve"> prowadzonego kursu lub zajęć z:</w:t>
      </w:r>
    </w:p>
    <w:p w:rsidR="00E96768" w:rsidRPr="00E00B35" w:rsidRDefault="00E96768" w:rsidP="00BC64AB">
      <w:pPr>
        <w:pStyle w:val="Tekstpodstawowy"/>
        <w:numPr>
          <w:ilvl w:val="2"/>
          <w:numId w:val="248"/>
        </w:numPr>
        <w:suppressAutoHyphens/>
        <w:spacing w:after="0" w:line="312" w:lineRule="auto"/>
        <w:ind w:hanging="584"/>
        <w:rPr>
          <w:szCs w:val="20"/>
        </w:rPr>
      </w:pPr>
      <w:r w:rsidRPr="00E00B35">
        <w:rPr>
          <w:szCs w:val="20"/>
        </w:rPr>
        <w:t>przepisami określającymi zasady i warunki prowadzenia szkolenia,</w:t>
      </w:r>
    </w:p>
    <w:p w:rsidR="00E96768" w:rsidRPr="00E00B35" w:rsidRDefault="00E96768" w:rsidP="00BC64AB">
      <w:pPr>
        <w:pStyle w:val="Tekstpodstawowy"/>
        <w:numPr>
          <w:ilvl w:val="2"/>
          <w:numId w:val="248"/>
        </w:numPr>
        <w:suppressAutoHyphens/>
        <w:spacing w:after="0" w:line="312" w:lineRule="auto"/>
        <w:ind w:hanging="584"/>
        <w:rPr>
          <w:szCs w:val="20"/>
        </w:rPr>
      </w:pPr>
      <w:r w:rsidRPr="00E00B35">
        <w:rPr>
          <w:szCs w:val="20"/>
        </w:rPr>
        <w:t>informacją lub danymi, o których mowa w art. 27 ust. 2 pkt 1 ww. ustawy,</w:t>
      </w:r>
    </w:p>
    <w:p w:rsidR="00E96768" w:rsidRPr="00E00B35" w:rsidRDefault="00E96768" w:rsidP="00BC64AB">
      <w:pPr>
        <w:pStyle w:val="Tekstpodstawowy"/>
        <w:numPr>
          <w:ilvl w:val="2"/>
          <w:numId w:val="248"/>
        </w:numPr>
        <w:suppressAutoHyphens/>
        <w:spacing w:after="0" w:line="312" w:lineRule="auto"/>
        <w:ind w:hanging="584"/>
        <w:rPr>
          <w:szCs w:val="20"/>
        </w:rPr>
      </w:pPr>
      <w:r w:rsidRPr="00E00B35">
        <w:rPr>
          <w:szCs w:val="20"/>
        </w:rPr>
        <w:t>dokumentami, o których mowa w art. 27 ust. 2 pkt 5 ww. ustawy,</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kwalifikacji</w:t>
      </w:r>
      <w:r w:rsidRPr="00E00B35">
        <w:rPr>
          <w:szCs w:val="20"/>
        </w:rPr>
        <w:t xml:space="preserve"> osób prowadzących szkolenie.</w:t>
      </w:r>
    </w:p>
    <w:p w:rsidR="00E96768" w:rsidRPr="00E00B35" w:rsidRDefault="00E96768" w:rsidP="00E00B35">
      <w:pPr>
        <w:tabs>
          <w:tab w:val="left" w:pos="1080"/>
        </w:tabs>
        <w:spacing w:after="0" w:line="312" w:lineRule="auto"/>
        <w:rPr>
          <w:szCs w:val="20"/>
        </w:rPr>
      </w:pPr>
    </w:p>
    <w:p w:rsidR="00E96768" w:rsidRPr="00E00B35" w:rsidRDefault="00E96768" w:rsidP="00E00B35">
      <w:pPr>
        <w:tabs>
          <w:tab w:val="left" w:pos="1080"/>
        </w:tabs>
        <w:spacing w:after="0" w:line="312" w:lineRule="auto"/>
        <w:rPr>
          <w:szCs w:val="20"/>
        </w:rPr>
      </w:pPr>
      <w:r w:rsidRPr="00E00B35">
        <w:rPr>
          <w:szCs w:val="20"/>
        </w:rPr>
        <w:t>Wyniki kontroli zostały przekazane kierownikom kontrolowanych podmiotów, przedsiębiorcom prowadzącym ośrodki szkolenia kierowców, stacje kontroli pojazdów oraz prowadzącym szkolenia osób ubiegających się o uzyskanie uprawnienia do kierowania tramwajem, dyrektorom komórek organizacyjnych Urzędu sprawującym nadzór nad kontrolowanymi podmiotami i monitorującym realizację wykorzystania środków publicznych oraz osobom prowadzącym publiczne i niepubliczne jednostki oświatowe.</w:t>
      </w:r>
    </w:p>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Kontrole przeprowadzone w 2020 r. wykazały nieprawidłowości głównie w zakresie:</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aktualności i stosowania obowiązujących w jednostkach wewnętrznych procedur,</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sporządzania projektów planów finansowych oraz ich realizacji przez jednostki oświatowe z wytycznymi organu prowadzącego,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przestrzegania zapisów umów zawieranych w trybie ustawy Prawo zamówień publicznych,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zawartych umów najmu i użyczenia,</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przestrzegania przepisów dotyczących zapewnienia bezpiecznych warunków nauki i pracy oraz wynikających z przepisów kodeksu pracy,</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wykazywania w Systemie Informacji Oświatowej danych,</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naliczania podwyżek dla pracowników jednostek oświatowych,</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wykazywania przez osoby prowadzące publiczne i niepubliczne jednostki oświatowe liczby uczniów, a tym samym zawyżenia wysokości należnych dotacji,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wykorzystania dotacji przez podmioty, którym są przekazywane środki publiczne,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wykazywania liczby dzieci przyjmowanych do żłobka,</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zgłaszania zmian do ewidencji szkół i placówek niepublicznych,</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sporządzania sprawozdań składanych w Urzędzie Miejskim Wrocławia,</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 xml:space="preserve">sposobu realizacji zadań publicznych z postanowieniami zawartych umów, </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prowadzenia dokumentacji przebiegu nauczania,</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ustalenia wartości zbiorów muzealnych oraz zbiorów przekazanych w depozyt, poprzez nieprzeprowadzenie rzetelnej inwentaryzacji zbiorów, nierzetelne prowadzenie ksiąg rachunkowych, brak ksiąg inwentarzowych muzealiów, niezgodność zapisów w ewidencji zbiorów prowadzonych w systemie elektronicznym z zapisami w księgach rachunkowych oraz zabezpieczenia zbiorów muzealnych,</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wykonywania czynności z zakresu prawa pracy wobec pracowników,</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stosowania właściwych aktów prawnych w odniesieniu do pobrania i rozliczenia otrzymanych dotacji,</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lastRenderedPageBreak/>
        <w:t>wykonywania badań technicznych pojazdów i prowadzenia wymaganej w tym zakresie dokumentacji,</w:t>
      </w:r>
    </w:p>
    <w:p w:rsidR="00E96768" w:rsidRPr="00E00B35" w:rsidRDefault="00E96768" w:rsidP="00BC64AB">
      <w:pPr>
        <w:pStyle w:val="Akapitzlist"/>
        <w:numPr>
          <w:ilvl w:val="0"/>
          <w:numId w:val="245"/>
        </w:numPr>
        <w:spacing w:after="0" w:line="312" w:lineRule="auto"/>
        <w:ind w:left="567" w:hanging="567"/>
        <w:rPr>
          <w:szCs w:val="20"/>
        </w:rPr>
      </w:pPr>
      <w:r w:rsidRPr="00E00B35">
        <w:rPr>
          <w:rFonts w:cs="Helv"/>
          <w:color w:val="000000"/>
          <w:szCs w:val="20"/>
        </w:rPr>
        <w:t>prowadzenia dokumentacji związanej ze szkoleniem kand</w:t>
      </w:r>
      <w:r w:rsidRPr="00E00B35">
        <w:rPr>
          <w:szCs w:val="20"/>
        </w:rPr>
        <w:t xml:space="preserve">ydatów  na kierowców. </w:t>
      </w:r>
    </w:p>
    <w:p w:rsidR="00E96768" w:rsidRPr="00E00B35" w:rsidRDefault="00E96768" w:rsidP="00E00B35">
      <w:pPr>
        <w:pStyle w:val="11Trescpisma"/>
        <w:suppressAutoHyphens/>
        <w:spacing w:before="0" w:after="0" w:line="312" w:lineRule="auto"/>
        <w:jc w:val="left"/>
        <w:rPr>
          <w:szCs w:val="20"/>
        </w:rPr>
      </w:pPr>
    </w:p>
    <w:p w:rsidR="00E96768" w:rsidRPr="00E00B35" w:rsidRDefault="00E96768" w:rsidP="00E00B35">
      <w:pPr>
        <w:pStyle w:val="11Trescpisma"/>
        <w:suppressAutoHyphens/>
        <w:spacing w:before="0" w:after="0" w:line="312" w:lineRule="auto"/>
        <w:jc w:val="left"/>
        <w:rPr>
          <w:szCs w:val="20"/>
        </w:rPr>
      </w:pPr>
      <w:r w:rsidRPr="00E00B35">
        <w:rPr>
          <w:szCs w:val="20"/>
        </w:rPr>
        <w:t>W następstwie podjętych czynności kontrolnych:</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wprowadzono w kontrolowanych podmiotach działania i mechanizmy proceduralne oraz organizacyjne mające na celu wyeliminowanie stwierdzonych nieprawidłowości i sytuacji ponownego ich występowania,</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wskazano kierownikom i pracownikom kontrolowanych podmiotów zagrożenia  wynikające z nieprzestrzegania obowiązujących przepisów, m.in. związanych z bezpieczeństwem i higieną pracy,</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dokonano korekty danych w Systemie Informacji Oświatowej,</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kierownictwo Urzędu uzyskało informacje o obszarach, w których kontrolowane podmioty prawidłowo realizowały zadania oraz o obszarach wymagających szczególnego nadzoru,</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skompletowano dokumentację pozwalającą prowadzić postępowania w zakresie zwrotów dotacji wykorzystanych nieprawidłowo i po terminie oraz pobranych w nadmiernej wysokości,</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uzyskano informacje dotyczące sposobu funkcjonowania szkół niepublicznych, w których nie jest realizowany obowiązek szkolny lub obowiązek nauki,</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osoby zarządzające organizacjami pozarządowymi oraz osoby prowadzące publiczne i niepubliczne jednostki oświatowe i niepubliczne żłobki poszerzyły swoją wiedzę w zakresie obowiązujących norm prawnych, prawidłowości i zgodności swoich działań z przepisami prawa oraz prawidłowości wydatkowania i rozliczenia przekazanych środków publicznych,</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zalecono przedsiębiorcom podjęcie środków zmierzających do poprawy działalności stacji kontroli pojazdów w zakresie wykonywania badań technicznych pojazdów i prawidłowości prowadzenia wymaganej dokumentacji,</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zalecono przedsiębiorcom podjęcie środków zmierzających do poprawy działalności ośrodków szkolenia kierowców w zakresie prawidłowości prowadzenia wymaganej dokumentacji,</w:t>
      </w:r>
    </w:p>
    <w:p w:rsidR="00E96768" w:rsidRPr="00E00B35" w:rsidRDefault="00E96768" w:rsidP="00BC64AB">
      <w:pPr>
        <w:pStyle w:val="Akapitzlist"/>
        <w:numPr>
          <w:ilvl w:val="0"/>
          <w:numId w:val="245"/>
        </w:numPr>
        <w:spacing w:after="0" w:line="312" w:lineRule="auto"/>
        <w:ind w:left="567" w:hanging="567"/>
        <w:rPr>
          <w:rFonts w:cs="Helv"/>
          <w:color w:val="000000"/>
          <w:szCs w:val="20"/>
        </w:rPr>
      </w:pPr>
      <w:r w:rsidRPr="00E00B35">
        <w:rPr>
          <w:rFonts w:cs="Helv"/>
          <w:color w:val="000000"/>
          <w:szCs w:val="20"/>
        </w:rPr>
        <w:t>sporządzono 4 zawiadomienia o podejrzeniu popełnienia przestępstwa.</w:t>
      </w:r>
    </w:p>
    <w:p w:rsidR="00E96768" w:rsidRPr="00E00B35" w:rsidRDefault="00E96768" w:rsidP="00E00B35">
      <w:pPr>
        <w:pStyle w:val="Akapitzlist"/>
        <w:spacing w:after="0" w:line="312" w:lineRule="auto"/>
        <w:ind w:left="567"/>
        <w:rPr>
          <w:rFonts w:cs="Helv"/>
          <w:color w:val="000000"/>
          <w:szCs w:val="20"/>
        </w:rPr>
      </w:pPr>
    </w:p>
    <w:p w:rsidR="00E96768" w:rsidRPr="00E00B35" w:rsidRDefault="00E96768" w:rsidP="00E00B35">
      <w:pPr>
        <w:pStyle w:val="Nagwek5"/>
        <w:rPr>
          <w:szCs w:val="20"/>
        </w:rPr>
      </w:pPr>
      <w:r w:rsidRPr="00E00B35">
        <w:rPr>
          <w:szCs w:val="20"/>
        </w:rPr>
        <w:t xml:space="preserve">KONTROLE PRZEPROWADZONE PRZEZ ZEWNĘTRZNE PODMIOTY KONTROLNE </w:t>
      </w:r>
    </w:p>
    <w:p w:rsidR="00E96768" w:rsidRPr="00E00B35" w:rsidRDefault="00E96768" w:rsidP="00E00B35">
      <w:pPr>
        <w:pStyle w:val="11Trescpisma"/>
        <w:suppressAutoHyphens/>
        <w:spacing w:before="0" w:after="0" w:line="312" w:lineRule="auto"/>
        <w:jc w:val="left"/>
        <w:rPr>
          <w:szCs w:val="20"/>
        </w:rPr>
      </w:pPr>
      <w:r w:rsidRPr="00E00B35">
        <w:rPr>
          <w:szCs w:val="20"/>
        </w:rPr>
        <w:t xml:space="preserve">W 2020 r. w Książce kontroli - Rejestrze kontroli zewnętrznych prowadzonym w Urzędzie Miejskim Wrocławia zarejestrowano 61 kontroli. Łączny czas trwania kontroli w 2020 r. wyniósł 1 337 dni, co było skutkiem prowadzenia przez podmioty zewnętrzne równocześnie kilku kontroli. </w:t>
      </w:r>
    </w:p>
    <w:p w:rsidR="00E96768" w:rsidRPr="00E00B35" w:rsidRDefault="00E96768" w:rsidP="00E00B35">
      <w:pPr>
        <w:pStyle w:val="11Trescpisma"/>
        <w:suppressAutoHyphens/>
        <w:spacing w:before="0" w:after="0" w:line="312" w:lineRule="auto"/>
        <w:jc w:val="left"/>
        <w:rPr>
          <w:szCs w:val="20"/>
        </w:rPr>
      </w:pPr>
      <w:r w:rsidRPr="00E00B35">
        <w:rPr>
          <w:szCs w:val="20"/>
        </w:rPr>
        <w:t>Zestawienie ilości kontroli przeprowadzonych w 2020 r. przez podmioty zewnętrzne</w:t>
      </w:r>
    </w:p>
    <w:tbl>
      <w:tblPr>
        <w:tblW w:w="0" w:type="auto"/>
        <w:jc w:val="center"/>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
      <w:tblGrid>
        <w:gridCol w:w="3403"/>
        <w:gridCol w:w="2409"/>
        <w:gridCol w:w="2409"/>
      </w:tblGrid>
      <w:tr w:rsidR="00E96768" w:rsidRPr="00E00B35" w:rsidTr="00E96768">
        <w:trPr>
          <w:tblHeader/>
          <w:jc w:val="center"/>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6768" w:rsidRPr="00E00B35" w:rsidRDefault="00E96768" w:rsidP="00E00B35">
            <w:pPr>
              <w:pStyle w:val="11Trescpisma"/>
              <w:suppressAutoHyphens/>
              <w:spacing w:before="0" w:after="0" w:line="312" w:lineRule="auto"/>
              <w:jc w:val="left"/>
              <w:rPr>
                <w:b/>
                <w:szCs w:val="20"/>
              </w:rPr>
            </w:pPr>
            <w:r w:rsidRPr="00E00B35">
              <w:rPr>
                <w:b/>
                <w:szCs w:val="20"/>
              </w:rPr>
              <w:t>Nazwa zewnętrznego podmiotu kontroli</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6768" w:rsidRPr="00E00B35" w:rsidRDefault="00E96768" w:rsidP="00E00B35">
            <w:pPr>
              <w:pStyle w:val="11Trescpisma"/>
              <w:suppressAutoHyphens/>
              <w:spacing w:before="0" w:after="0" w:line="312" w:lineRule="auto"/>
              <w:jc w:val="left"/>
              <w:rPr>
                <w:b/>
                <w:szCs w:val="20"/>
              </w:rPr>
            </w:pPr>
            <w:r w:rsidRPr="00E00B35">
              <w:rPr>
                <w:b/>
                <w:szCs w:val="20"/>
              </w:rPr>
              <w:t>Liczba kontroli prowadzonych przez podmiot</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6768" w:rsidRPr="00E00B35" w:rsidRDefault="00E96768" w:rsidP="00E00B35">
            <w:pPr>
              <w:pStyle w:val="11Trescpisma"/>
              <w:suppressAutoHyphens/>
              <w:spacing w:before="0" w:after="0" w:line="312" w:lineRule="auto"/>
              <w:jc w:val="left"/>
              <w:rPr>
                <w:b/>
                <w:szCs w:val="20"/>
              </w:rPr>
            </w:pPr>
            <w:r w:rsidRPr="00E00B35">
              <w:rPr>
                <w:b/>
                <w:szCs w:val="20"/>
              </w:rPr>
              <w:t xml:space="preserve">Czas trwania kontroli </w:t>
            </w:r>
            <w:r w:rsidRPr="00E00B35">
              <w:rPr>
                <w:b/>
                <w:szCs w:val="20"/>
              </w:rPr>
              <w:br/>
              <w:t>w dniach</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lastRenderedPageBreak/>
              <w:t>Najwyższa Izba Kontroli</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6*</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382*</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 xml:space="preserve">Państwowa Inspekcja Pracy </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74*</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Dolnośląski Urząd Wojewódzki</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3</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Izba Administracji Skarbowej</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4</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86</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spacing w:after="0" w:line="312" w:lineRule="auto"/>
              <w:rPr>
                <w:szCs w:val="20"/>
              </w:rPr>
            </w:pPr>
            <w:r w:rsidRPr="00E00B35">
              <w:rPr>
                <w:rFonts w:cs="Arial"/>
                <w:szCs w:val="20"/>
              </w:rPr>
              <w:t>Regionalna Izba Obrachunkowa we Wrocławiu</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88</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Ministerstwo Funduszy i Polityki Regionalnej</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41</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Centrum Unijnych Projektów Transportowych</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46</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Narodowy Fundusz Ochrony Środowiska i Gospodarki Wodnej</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6</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Urząd Marszałkowski Województwa Dolnośląskiego</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37</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461</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Dolnośląski Wojewódzki Urząd Pracy</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6</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89</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Dolnośląska Instytucja Pośrednicząca</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61</w:t>
            </w:r>
          </w:p>
        </w:tc>
      </w:tr>
      <w:tr w:rsidR="00E96768" w:rsidRPr="00E00B35" w:rsidTr="00E96768">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SUMA</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65*</w:t>
            </w:r>
          </w:p>
        </w:tc>
        <w:tc>
          <w:tcPr>
            <w:tcW w:w="2409"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1 337*</w:t>
            </w:r>
          </w:p>
        </w:tc>
      </w:tr>
    </w:tbl>
    <w:p w:rsidR="00E96768" w:rsidRPr="00E00B35" w:rsidRDefault="00E96768" w:rsidP="00E00B35">
      <w:pPr>
        <w:pStyle w:val="11Trescpisma"/>
        <w:suppressAutoHyphens/>
        <w:spacing w:before="0" w:after="0" w:line="312" w:lineRule="auto"/>
        <w:ind w:left="284" w:hanging="284"/>
        <w:jc w:val="left"/>
        <w:rPr>
          <w:szCs w:val="20"/>
        </w:rPr>
      </w:pPr>
      <w:r w:rsidRPr="00E00B35">
        <w:rPr>
          <w:szCs w:val="20"/>
        </w:rPr>
        <w:t>* Uwzględnione zostały kontrole, które rozpoczęły się w latach poprzednich, a czynności kontrolne były kontynuowane w roku 2020 - NIK – 179 dni, PIP – 11 dni</w:t>
      </w:r>
    </w:p>
    <w:p w:rsidR="00E96768" w:rsidRPr="00E00B35" w:rsidRDefault="00E96768" w:rsidP="00E00B35">
      <w:pPr>
        <w:pStyle w:val="11Trescpisma"/>
        <w:suppressAutoHyphens/>
        <w:spacing w:before="0" w:after="0" w:line="312" w:lineRule="auto"/>
        <w:jc w:val="left"/>
        <w:rPr>
          <w:szCs w:val="20"/>
        </w:rPr>
      </w:pPr>
    </w:p>
    <w:p w:rsidR="00E96768" w:rsidRPr="00E00B35" w:rsidRDefault="00E96768" w:rsidP="00E00B35">
      <w:pPr>
        <w:pStyle w:val="11Trescpisma"/>
        <w:suppressAutoHyphens/>
        <w:spacing w:before="0" w:after="0" w:line="312" w:lineRule="auto"/>
        <w:jc w:val="left"/>
        <w:rPr>
          <w:szCs w:val="20"/>
        </w:rPr>
      </w:pPr>
      <w:r w:rsidRPr="00E00B35">
        <w:rPr>
          <w:szCs w:val="20"/>
        </w:rPr>
        <w:t xml:space="preserve">Do końca roku czynności kontrolne z 5 kontroli rozpoczętych w 2020 r., prowadzonych m.in. przez Najwyższą Izbę Kontroli oraz Regionalną Izbę Obrachunkową nie zostały zakończone. </w:t>
      </w:r>
    </w:p>
    <w:p w:rsidR="00E96768" w:rsidRPr="00E00B35" w:rsidRDefault="00E96768" w:rsidP="00E00B35">
      <w:pPr>
        <w:pStyle w:val="11Trescpisma"/>
        <w:suppressAutoHyphens/>
        <w:spacing w:before="0" w:after="0" w:line="312" w:lineRule="auto"/>
        <w:jc w:val="left"/>
        <w:rPr>
          <w:szCs w:val="20"/>
        </w:rPr>
      </w:pPr>
      <w:r w:rsidRPr="00E00B35">
        <w:rPr>
          <w:szCs w:val="20"/>
        </w:rPr>
        <w:t xml:space="preserve">W okresie sprawozdawczym zewnętrzne podmioty kontrolne prowadziły kontrole, które swoim zakresem objęły w szczególności następujące obszary: </w:t>
      </w:r>
    </w:p>
    <w:p w:rsidR="00E96768" w:rsidRPr="00E00B35" w:rsidRDefault="00E96768" w:rsidP="00E00B35">
      <w:pPr>
        <w:pStyle w:val="Nagwek4"/>
        <w:spacing w:before="0" w:after="0" w:line="312" w:lineRule="auto"/>
        <w:rPr>
          <w:sz w:val="20"/>
          <w:szCs w:val="20"/>
        </w:rPr>
      </w:pPr>
      <w:r w:rsidRPr="00E00B35">
        <w:rPr>
          <w:sz w:val="20"/>
          <w:szCs w:val="20"/>
        </w:rPr>
        <w:t>Najwyższa Izba Kontroli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przygotowanie oraz wykorzystanie obiektów na Światowe Igrzyska Sportowe – The World Games 2017 - w okresie od 3 września </w:t>
      </w:r>
      <w:r w:rsidRPr="00E00B35">
        <w:rPr>
          <w:rFonts w:cs="Arial"/>
          <w:szCs w:val="20"/>
          <w:lang w:eastAsia="pl-PL"/>
        </w:rPr>
        <w:t xml:space="preserve">2018 r. do 30 kwietnia 2020 r. </w:t>
      </w:r>
      <w:r w:rsidRPr="00E00B35">
        <w:rPr>
          <w:szCs w:val="20"/>
        </w:rPr>
        <w:t>przedmiotowym zakresem kontroli zostały objęte zagadnienia dotyczące:</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przygotowania Gminy Wrocław do organizacji The World Games 2017,</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efektywności wykorzystania obiektów sportowych objętych inwestycjami/przedsięwzięciami, w związku z realizacją The World Games 2017 w trakcie</w:t>
      </w:r>
      <w:r w:rsidRPr="00E00B35">
        <w:rPr>
          <w:szCs w:val="20"/>
        </w:rPr>
        <w:t>, jak i po zakończeniu Igrzysk;</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działania na rzecz ograniczenia powstawania odpadów z tworzyw sztucznych i ich skutecznego gospodarowania w Polsce - w okresie od 7 lutego do 4 maja 2020 r. przedmiotowym zakresem kontroli zostały objęte zagadnienia dotyczące:</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monitoringu źródeł powstawania odpadów z tworzyw sztucznych, ich ilości oraz zagospodarowania,</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działań informacyjnych oraz zachęcających do ograniczania wytwarzania odpadó</w:t>
      </w:r>
      <w:r w:rsidRPr="00E00B35">
        <w:rPr>
          <w:szCs w:val="20"/>
        </w:rPr>
        <w:t>w z tworzyw sztucznych;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wsparcie rozwoju elektromobilności – w okresie od 26 września 2019 r. do 13 stycznia 2020 r., przedmiotowym zakresem kontroli zostały objęte zagadnienia dotyczące: </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realizacji zadań w zakresie tworzenia infrastruktury oraz innych warunków rozwoju elektromobilności,</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realizacji zadań dotyczących rozwoju floty autobusów zero emisyjnych w komunikacji miejskiej,</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realizacji zadań w zakresie zapewnienia udziału pojazdów zero emisyjnych w działalności urzędu gminy oraz zero i niskoemisyjnych w wykonywaniu zadań publicznych</w:t>
      </w:r>
      <w:r w:rsidRPr="00E00B35">
        <w:rPr>
          <w:szCs w:val="20"/>
        </w:rPr>
        <w:t xml:space="preserve"> przez gminę;</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centralizacja podatku VAT w jednostkach samorządu terytorialnego - w okresie od 12 listopada 2019 r. do 13 lutego 2020 r. przedmiotowym zakresem kontroli zostały objęte zagadnienia dotyczące:</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przygotowania i wdrożenia zadań związanych z centralizacją rozliczeń w VAT,</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wypełniania obowiązków podatników VAT przez jednostkę samorządu terytorialnego,</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podejmowania działań przez jednostkę samorządu terytorialnego w celu realizacji uprawnień</w:t>
      </w:r>
      <w:r w:rsidRPr="00E00B35">
        <w:rPr>
          <w:szCs w:val="20"/>
        </w:rPr>
        <w:t xml:space="preserve"> podatnika VAT;</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zbieranie i oczyszczanie ścieków komunalnych – w okresie od października 2020 r. do chwili obecnej, przedmiotowym zakresem kontroli zostały objęte zagadnienia dotyczące:</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szCs w:val="20"/>
        </w:rPr>
        <w:t xml:space="preserve">planowania, </w:t>
      </w:r>
      <w:r w:rsidRPr="00E00B35">
        <w:rPr>
          <w:rFonts w:cs="Verdana"/>
          <w:szCs w:val="20"/>
        </w:rPr>
        <w:t>monitorowania, koordynowania i nadzorowania realizacji zadań w zakresie gospodarki ściekowej,</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sprawowania nadzoru nad postępowaniem ze ściekami komunalnymi,</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finansowania zbierania</w:t>
      </w:r>
      <w:r w:rsidRPr="00E00B35">
        <w:rPr>
          <w:szCs w:val="20"/>
        </w:rPr>
        <w:t xml:space="preserve"> i oczyszczania ścieków komunalnych;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finansowanie i wspieranie działalności spółek z udziałem jednostek samorządu terytorialnego w województwie dolnośląskim w okresie od listopada 2020 r. do chwili obecnej, przedmiotowym zakresem kontroli zostały objęte zagadnienia dotyczące: </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szCs w:val="20"/>
        </w:rPr>
        <w:t xml:space="preserve">udzielania </w:t>
      </w:r>
      <w:r w:rsidRPr="00E00B35">
        <w:rPr>
          <w:rFonts w:cs="Verdana"/>
          <w:szCs w:val="20"/>
        </w:rPr>
        <w:t>wsparcia spółkom komunalnym,</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realizacji nadzoru nad wykorzystaniem świadczeń przekazanych spółkom komunalny</w:t>
      </w:r>
      <w:r w:rsidRPr="00E00B35">
        <w:rPr>
          <w:szCs w:val="20"/>
        </w:rPr>
        <w:t>m oraz nad transakcjami gospodarczymi między nimi;</w:t>
      </w:r>
    </w:p>
    <w:p w:rsidR="00E96768" w:rsidRPr="00E00B35" w:rsidRDefault="00E96768" w:rsidP="00E00B35">
      <w:pPr>
        <w:pStyle w:val="11Trescpisma"/>
        <w:suppressAutoHyphens/>
        <w:spacing w:before="0" w:after="0" w:line="312" w:lineRule="auto"/>
        <w:jc w:val="left"/>
        <w:rPr>
          <w:szCs w:val="20"/>
        </w:rPr>
      </w:pPr>
    </w:p>
    <w:p w:rsidR="00E96768" w:rsidRPr="00E00B35" w:rsidRDefault="00E96768" w:rsidP="00E00B35">
      <w:pPr>
        <w:pStyle w:val="Nagwek4"/>
        <w:spacing w:before="0" w:after="0" w:line="312" w:lineRule="auto"/>
        <w:rPr>
          <w:sz w:val="20"/>
          <w:szCs w:val="20"/>
        </w:rPr>
      </w:pPr>
      <w:r w:rsidRPr="00E00B35">
        <w:rPr>
          <w:sz w:val="20"/>
          <w:szCs w:val="20"/>
        </w:rPr>
        <w:t>Dolnośląski Urząd Wojewódzki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 październiku 2020 r. kontrolą objęto realizację zadań z zakresu sposobu rejestracji przebiegu imprez masowych na Stadionie Olimpijskim we Wrocławiu;</w:t>
      </w:r>
    </w:p>
    <w:p w:rsidR="00E96768" w:rsidRPr="00E00B35" w:rsidRDefault="00E96768" w:rsidP="00E00B35">
      <w:pPr>
        <w:pStyle w:val="11Trescpisma"/>
        <w:suppressAutoHyphens/>
        <w:spacing w:before="0" w:after="0" w:line="312" w:lineRule="auto"/>
        <w:jc w:val="left"/>
        <w:rPr>
          <w:szCs w:val="20"/>
        </w:rPr>
      </w:pPr>
    </w:p>
    <w:p w:rsidR="00E96768" w:rsidRPr="00E00B35" w:rsidRDefault="00E96768" w:rsidP="00E00B35">
      <w:pPr>
        <w:pStyle w:val="Nagwek4"/>
        <w:spacing w:before="0" w:after="0" w:line="312" w:lineRule="auto"/>
        <w:rPr>
          <w:sz w:val="20"/>
          <w:szCs w:val="20"/>
        </w:rPr>
      </w:pPr>
      <w:r w:rsidRPr="00E00B35">
        <w:rPr>
          <w:sz w:val="20"/>
          <w:szCs w:val="20"/>
        </w:rPr>
        <w:t>Regionalna Izba Obrachunkowa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kompleksowa kontrola gospodarki finansowej Miasta Wrocławia - w okresie od listopada 2020 r. do chwili obecnej, przedmiotowym zakresem kontroli zostały objęte zagadnienia dotyczące gospodarki finansowej i zamówień publicznych;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dochody z mienia Skarbu Państwa – w okresie od września do października 2020 r. przedmiotowym zakresem kontroli zostały objęte zagadnienia dotyczące:</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szCs w:val="20"/>
        </w:rPr>
        <w:t xml:space="preserve">ewidencji </w:t>
      </w:r>
      <w:r w:rsidRPr="00E00B35">
        <w:rPr>
          <w:rFonts w:cs="Verdana"/>
          <w:szCs w:val="20"/>
        </w:rPr>
        <w:t>księgowej i sprawozdawczości,</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zbywania i udostępniania nieruchomości Skarbu Państwa,</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ustalania, pobierania i windykacji dochodów z mienia Skarbu Państwa,</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prawidłowości i terminowości odprowadzania dochodów z realizacji zadania zleconego w zakresie gospodarowania nieruchomościami Skarbu Państwa do budżetu państwa oraz prawidłowości dokonywania potrąceń z tego tytułu na rzecz jednostek samorządu terytorialnego,</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wykorzystywania dotacji za zadania zlecone w zakresie gospodarowania nieruchomościami</w:t>
      </w:r>
      <w:r w:rsidRPr="00E00B35">
        <w:rPr>
          <w:szCs w:val="20"/>
        </w:rPr>
        <w:t xml:space="preserve"> Skarbu Państwa i zwroty dotacji.</w:t>
      </w:r>
    </w:p>
    <w:p w:rsidR="00E96768" w:rsidRPr="00E00B35" w:rsidRDefault="003D14BB" w:rsidP="00E00B35">
      <w:pPr>
        <w:pStyle w:val="11Trescpisma"/>
        <w:suppressAutoHyphens/>
        <w:spacing w:before="0" w:after="0" w:line="312" w:lineRule="auto"/>
        <w:jc w:val="left"/>
        <w:rPr>
          <w:szCs w:val="20"/>
        </w:rPr>
      </w:pPr>
      <w:r w:rsidRPr="00E00B35">
        <w:rPr>
          <w:szCs w:val="20"/>
        </w:rPr>
        <w:br/>
      </w:r>
      <w:r w:rsidR="00E96768" w:rsidRPr="00E00B35">
        <w:rPr>
          <w:szCs w:val="20"/>
        </w:rPr>
        <w:t>Odnośnie kontroli wskazanych w tabeli powyżej koordynowano działania mające na celu udzielenie odpowiedzi na pytania zawarte w pismach adresowanych do Kierownictwa Urzędu. Łącznie koordynowano 91 odpowiedzi, do udzielenia których niezbędne było pozyskanie danych ze wszystkich komórek organizacyjnych Urzędu oraz jednostek gminnych, w skład których wchodziły zestawienia tabelaryczne. Odpowiedzi udzielone zostały po przeprowadzeniu analizy zgromadzonych danych. Dodatkowo aktywnie wspierano pracowników komórek organizacyjnych Urzędu oraz jednostek organizacyjnych Gminy Wrocław, poprzez konsultacje przy tworzeniu pisemnych informacji służących do opracowania zbiorczych odpowiedzi.</w:t>
      </w:r>
    </w:p>
    <w:p w:rsidR="00E96768" w:rsidRPr="00E00B35" w:rsidRDefault="00E96768" w:rsidP="00E00B35">
      <w:pPr>
        <w:pStyle w:val="11Trescpisma"/>
        <w:suppressAutoHyphens/>
        <w:spacing w:before="0" w:after="0" w:line="312" w:lineRule="auto"/>
        <w:jc w:val="left"/>
        <w:rPr>
          <w:szCs w:val="20"/>
        </w:rPr>
      </w:pPr>
      <w:r w:rsidRPr="00E00B35">
        <w:rPr>
          <w:szCs w:val="20"/>
        </w:rPr>
        <w:t>Prowadzono również działania związane z koordynacją i udzielaniem odpowiedzi, w zakresie realizacji wniosków i zaleceń pokontrolnych, dotyczących zakończonych kontroli zewnętrznych. Kontynuowano współpracę z komórkami organizacyjnymi Urzędu oraz jednostkami organizacyjnymi Gminy Wrocław w zakresie udzielania odpowiedzi, w szczególności podczas kontroli prowadzonych przez Najwyższą Izbę Kontroli.</w:t>
      </w:r>
    </w:p>
    <w:p w:rsidR="00E96768" w:rsidRPr="00E00B35" w:rsidRDefault="00E96768" w:rsidP="00E00B35">
      <w:pPr>
        <w:pStyle w:val="11Trescpisma"/>
        <w:suppressAutoHyphens/>
        <w:spacing w:before="0" w:after="0" w:line="312" w:lineRule="auto"/>
        <w:jc w:val="left"/>
        <w:rPr>
          <w:szCs w:val="20"/>
        </w:rPr>
      </w:pPr>
    </w:p>
    <w:p w:rsidR="00E96768" w:rsidRPr="00E00B35" w:rsidRDefault="00E96768" w:rsidP="00E00B35">
      <w:pPr>
        <w:pStyle w:val="11Trescpisma"/>
        <w:suppressAutoHyphens/>
        <w:spacing w:before="0" w:after="0" w:line="312" w:lineRule="auto"/>
        <w:jc w:val="left"/>
        <w:rPr>
          <w:szCs w:val="20"/>
        </w:rPr>
      </w:pPr>
      <w:r w:rsidRPr="00E00B35">
        <w:rPr>
          <w:szCs w:val="20"/>
        </w:rPr>
        <w:t xml:space="preserve">Udzielanie odpowiedzi na pytania kontrolujących oraz dotyczące bieżącej realizacji wniosków i zaleceń pokontrolnych odbywało się z zachowaniem wyznaczonych terminów. </w:t>
      </w:r>
    </w:p>
    <w:p w:rsidR="00E96768" w:rsidRPr="00E00B35" w:rsidRDefault="00E96768" w:rsidP="00E00B35">
      <w:pPr>
        <w:spacing w:after="0" w:line="312" w:lineRule="auto"/>
        <w:rPr>
          <w:szCs w:val="20"/>
        </w:rPr>
      </w:pPr>
      <w:r w:rsidRPr="00E00B35">
        <w:rPr>
          <w:szCs w:val="20"/>
        </w:rPr>
        <w:t>Poniżej przedstawiono porównanie do lat poprzednich zarówno ilości jak i czasu trwania kontroli przeprowadzonych przez zewnętrzne pomioty kontrolne.</w:t>
      </w:r>
    </w:p>
    <w:p w:rsidR="00E96768" w:rsidRPr="00E00B35" w:rsidRDefault="00E96768" w:rsidP="00E00B35">
      <w:pPr>
        <w:spacing w:after="0" w:line="312" w:lineRule="auto"/>
        <w:rPr>
          <w:szCs w:val="20"/>
        </w:rPr>
      </w:pPr>
      <w:r w:rsidRPr="00E00B35">
        <w:rPr>
          <w:szCs w:val="20"/>
        </w:rPr>
        <w:t>Zestawienie ilości kontroli przeprowadzonych w latach 2017 – 2020 wraz z czasem ich trwania</w:t>
      </w:r>
    </w:p>
    <w:tbl>
      <w:tblPr>
        <w:tblW w:w="878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992"/>
        <w:gridCol w:w="851"/>
        <w:gridCol w:w="992"/>
        <w:gridCol w:w="851"/>
        <w:gridCol w:w="992"/>
        <w:gridCol w:w="850"/>
        <w:gridCol w:w="993"/>
        <w:gridCol w:w="850"/>
      </w:tblGrid>
      <w:tr w:rsidR="00E96768" w:rsidRPr="00E00B35" w:rsidTr="00E96768">
        <w:trPr>
          <w:tblHeader/>
          <w:jc w:val="center"/>
        </w:trPr>
        <w:tc>
          <w:tcPr>
            <w:tcW w:w="1417" w:type="dxa"/>
            <w:tcBorders>
              <w:bottom w:val="single" w:sz="4" w:space="0" w:color="auto"/>
            </w:tcBorders>
            <w:shd w:val="clear" w:color="auto" w:fill="D9D9D9" w:themeFill="background1" w:themeFillShade="D9"/>
            <w:vAlign w:val="center"/>
            <w:hideMark/>
          </w:tcPr>
          <w:p w:rsidR="00E96768" w:rsidRPr="00E00B35" w:rsidRDefault="00E96768" w:rsidP="00E00B35">
            <w:pPr>
              <w:pStyle w:val="11Trescpisma"/>
              <w:spacing w:before="0" w:after="0" w:line="312" w:lineRule="auto"/>
              <w:jc w:val="left"/>
              <w:rPr>
                <w:b/>
                <w:szCs w:val="20"/>
              </w:rPr>
            </w:pPr>
            <w:r w:rsidRPr="00E00B35">
              <w:rPr>
                <w:b/>
                <w:szCs w:val="20"/>
              </w:rPr>
              <w:lastRenderedPageBreak/>
              <w:t>Nazwa zewnętrznego podmiotu kontrolującego</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11Trescpisma"/>
              <w:suppressAutoHyphens/>
              <w:spacing w:before="0" w:after="0" w:line="312" w:lineRule="auto"/>
              <w:jc w:val="left"/>
              <w:rPr>
                <w:b/>
                <w:szCs w:val="20"/>
              </w:rPr>
            </w:pPr>
            <w:r w:rsidRPr="00E00B35">
              <w:rPr>
                <w:b/>
                <w:szCs w:val="20"/>
              </w:rPr>
              <w:t>Liczba kontroli prowadzonych przez podmiot w 2017 roku</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6768" w:rsidRPr="00E00B35" w:rsidRDefault="00E96768" w:rsidP="00E00B35">
            <w:pPr>
              <w:pStyle w:val="11Trescpisma"/>
              <w:suppressAutoHyphens/>
              <w:spacing w:before="0" w:after="0" w:line="312" w:lineRule="auto"/>
              <w:jc w:val="left"/>
              <w:rPr>
                <w:b/>
                <w:szCs w:val="20"/>
              </w:rPr>
            </w:pPr>
            <w:r w:rsidRPr="00E00B35">
              <w:rPr>
                <w:b/>
                <w:szCs w:val="20"/>
              </w:rPr>
              <w:t xml:space="preserve">Czas trwania kontroli </w:t>
            </w:r>
            <w:r w:rsidRPr="00E00B35">
              <w:rPr>
                <w:b/>
                <w:szCs w:val="20"/>
              </w:rPr>
              <w:br/>
              <w:t>w dniach w 2017 roku</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11Trescpisma"/>
              <w:suppressAutoHyphens/>
              <w:spacing w:before="0" w:after="0" w:line="312" w:lineRule="auto"/>
              <w:jc w:val="left"/>
              <w:rPr>
                <w:b/>
                <w:szCs w:val="20"/>
              </w:rPr>
            </w:pPr>
            <w:r w:rsidRPr="00E00B35">
              <w:rPr>
                <w:b/>
                <w:szCs w:val="20"/>
              </w:rPr>
              <w:t>Liczba kontroli prowadzonych przez podmiot w 2018 roku</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11Trescpisma"/>
              <w:suppressAutoHyphens/>
              <w:spacing w:before="0" w:after="0" w:line="312" w:lineRule="auto"/>
              <w:jc w:val="left"/>
              <w:rPr>
                <w:b/>
                <w:szCs w:val="20"/>
              </w:rPr>
            </w:pPr>
            <w:r w:rsidRPr="00E00B35">
              <w:rPr>
                <w:b/>
                <w:szCs w:val="20"/>
              </w:rPr>
              <w:t>Czas trwania kontroli w dniach w 2018 roku</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11Trescpisma"/>
              <w:suppressAutoHyphens/>
              <w:spacing w:before="0" w:after="0" w:line="312" w:lineRule="auto"/>
              <w:jc w:val="left"/>
              <w:rPr>
                <w:b/>
                <w:szCs w:val="20"/>
              </w:rPr>
            </w:pPr>
            <w:r w:rsidRPr="00E00B35">
              <w:rPr>
                <w:b/>
                <w:szCs w:val="20"/>
              </w:rPr>
              <w:t>Liczba kontroli prowa-dzonych przez podmiot w 2019 roku</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6768" w:rsidRPr="00E00B35" w:rsidRDefault="00E96768" w:rsidP="00E00B35">
            <w:pPr>
              <w:pStyle w:val="11Trescpisma"/>
              <w:suppressAutoHyphens/>
              <w:spacing w:before="0" w:after="0" w:line="312" w:lineRule="auto"/>
              <w:jc w:val="left"/>
              <w:rPr>
                <w:b/>
                <w:szCs w:val="20"/>
              </w:rPr>
            </w:pPr>
            <w:r w:rsidRPr="00E00B35">
              <w:rPr>
                <w:b/>
                <w:szCs w:val="20"/>
              </w:rPr>
              <w:t xml:space="preserve">Czas trwania kontroli </w:t>
            </w:r>
            <w:r w:rsidRPr="00E00B35">
              <w:rPr>
                <w:b/>
                <w:szCs w:val="20"/>
              </w:rPr>
              <w:br/>
              <w:t>w dniach w 2019 roku</w:t>
            </w:r>
          </w:p>
        </w:tc>
        <w:tc>
          <w:tcPr>
            <w:tcW w:w="993" w:type="dxa"/>
            <w:shd w:val="clear" w:color="auto" w:fill="D9D9D9" w:themeFill="background1" w:themeFillShade="D9"/>
            <w:vAlign w:val="center"/>
          </w:tcPr>
          <w:p w:rsidR="00E96768" w:rsidRPr="00E00B35" w:rsidRDefault="00E96768" w:rsidP="00E00B35">
            <w:pPr>
              <w:pStyle w:val="11Trescpisma"/>
              <w:suppressAutoHyphens/>
              <w:spacing w:before="0" w:after="0" w:line="312" w:lineRule="auto"/>
              <w:jc w:val="left"/>
              <w:rPr>
                <w:b/>
                <w:szCs w:val="20"/>
              </w:rPr>
            </w:pPr>
            <w:r w:rsidRPr="00E00B35">
              <w:rPr>
                <w:b/>
                <w:szCs w:val="20"/>
              </w:rPr>
              <w:t>Liczba kontroli prowa-dzonych przez podmiot w 2020 roku</w:t>
            </w:r>
          </w:p>
        </w:tc>
        <w:tc>
          <w:tcPr>
            <w:tcW w:w="850" w:type="dxa"/>
            <w:shd w:val="clear" w:color="auto" w:fill="D9D9D9" w:themeFill="background1" w:themeFillShade="D9"/>
            <w:vAlign w:val="center"/>
          </w:tcPr>
          <w:p w:rsidR="00E96768" w:rsidRPr="00E00B35" w:rsidRDefault="00E96768" w:rsidP="00E00B35">
            <w:pPr>
              <w:pStyle w:val="11Trescpisma"/>
              <w:suppressAutoHyphens/>
              <w:spacing w:before="0" w:after="0" w:line="312" w:lineRule="auto"/>
              <w:jc w:val="left"/>
              <w:rPr>
                <w:b/>
                <w:szCs w:val="20"/>
              </w:rPr>
            </w:pPr>
            <w:r w:rsidRPr="00E00B35">
              <w:rPr>
                <w:b/>
                <w:szCs w:val="20"/>
              </w:rPr>
              <w:t xml:space="preserve">Czas trwania kontroli </w:t>
            </w:r>
            <w:r w:rsidRPr="00E00B35">
              <w:rPr>
                <w:b/>
                <w:szCs w:val="20"/>
              </w:rPr>
              <w:br/>
              <w:t>w dniach w 2020 roku</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Najwyższa Izba Kontroli</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505</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5</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543</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365</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6*</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382*</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 xml:space="preserve">Państwowa Inspekcja Pracy </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75</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6</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16</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74*</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Dolnośląski Urząd Wojewódzki</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5</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76</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3</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3</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Archiwum Państwowe we Wrocławiu</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42</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r>
      <w:tr w:rsidR="00E96768" w:rsidRPr="00E00B35" w:rsidTr="00E96768">
        <w:trPr>
          <w:trHeight w:val="482"/>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Centrum Projektów Europejskich</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3</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r>
      <w:tr w:rsidR="00E96768" w:rsidRPr="00E00B35" w:rsidTr="00E96768">
        <w:trPr>
          <w:trHeight w:val="643"/>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Ministerstwo Kultury i Dziedzictwa Narodowego</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3</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Szef Obrony Cywilnej Kraju</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32</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 xml:space="preserve">Centrum Unijnych Projektów Transporto-wych </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69</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9</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546</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6</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298</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46</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lastRenderedPageBreak/>
              <w:t>Dolnośląski Wojewódzki Urząd Pracy</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6</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9</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6</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89</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Krajowa Administracja Skarbowa</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3</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110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Ministerstwo Finansów</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19</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56</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Narodowy Fundusz Ochrony Środowiska i Gospodarki Wodnej</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6</w:t>
            </w:r>
          </w:p>
        </w:tc>
      </w:tr>
      <w:tr w:rsidR="00E96768" w:rsidRPr="00E00B35" w:rsidTr="00E96768">
        <w:trPr>
          <w:trHeight w:val="724"/>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Urząd Marszałkow-ski Województwa Dolnośląskiego</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45</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1 470</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72</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2 070</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56</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612</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37</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461</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Dolnośląski Inspektor Transportu Drogowego</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5</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Krajowe Biuro Wyborcze</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lastRenderedPageBreak/>
              <w:t>Ministerstwo Obrony Narodowej</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5</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Narodowy Bank Polski</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Państwowy Fundusz Rehabilitacyj-</w:t>
            </w:r>
          </w:p>
          <w:p w:rsidR="00E96768" w:rsidRPr="00E00B35" w:rsidRDefault="00E96768" w:rsidP="00E00B35">
            <w:pPr>
              <w:pStyle w:val="11Trescpisma"/>
              <w:spacing w:before="0" w:after="0" w:line="312" w:lineRule="auto"/>
              <w:jc w:val="left"/>
              <w:rPr>
                <w:szCs w:val="20"/>
              </w:rPr>
            </w:pPr>
            <w:r w:rsidRPr="00E00B35">
              <w:rPr>
                <w:szCs w:val="20"/>
              </w:rPr>
              <w:t>ny Osób Niepełnosprawnych</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5</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Rada Miejska Wrocławia</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70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spacing w:after="0" w:line="312" w:lineRule="auto"/>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Dolnośląska Instytucja Pośrednicząca</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217</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3</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212</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169</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61</w:t>
            </w:r>
          </w:p>
        </w:tc>
      </w:tr>
      <w:tr w:rsidR="00E96768" w:rsidRPr="00E00B35" w:rsidTr="00E96768">
        <w:trPr>
          <w:trHeight w:val="694"/>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Izba Administracji Skarbowej</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5</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4</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86</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Wojewódzki Urząd Ochrony Zabytków</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8</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t xml:space="preserve">Regionalna Izba Obrachunkowa we </w:t>
            </w:r>
            <w:r w:rsidRPr="00E00B35">
              <w:rPr>
                <w:szCs w:val="20"/>
              </w:rPr>
              <w:lastRenderedPageBreak/>
              <w:t>Wrocławiu</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lastRenderedPageBreak/>
              <w:t>0</w:t>
            </w:r>
          </w:p>
        </w:tc>
        <w:tc>
          <w:tcPr>
            <w:tcW w:w="851" w:type="dxa"/>
            <w:tcBorders>
              <w:top w:val="single" w:sz="4" w:space="0" w:color="auto"/>
              <w:left w:val="single" w:sz="4" w:space="0" w:color="auto"/>
              <w:bottom w:val="single" w:sz="4" w:space="0" w:color="auto"/>
              <w:right w:val="single" w:sz="4" w:space="0" w:color="auto"/>
            </w:tcBorders>
            <w:hideMark/>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2</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88</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pacing w:before="0" w:after="0" w:line="312" w:lineRule="auto"/>
              <w:jc w:val="left"/>
              <w:rPr>
                <w:szCs w:val="20"/>
              </w:rPr>
            </w:pPr>
            <w:r w:rsidRPr="00E00B35">
              <w:rPr>
                <w:szCs w:val="20"/>
              </w:rPr>
              <w:lastRenderedPageBreak/>
              <w:t>Wojewódzki Zespół do Spraw Orzekania o Niepełnosprawności w Województwie Dolnośląskim</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4</w:t>
            </w:r>
          </w:p>
        </w:tc>
        <w:tc>
          <w:tcPr>
            <w:tcW w:w="993"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Ministerstwo Funduszy i Polityki Regionalnej</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1"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2"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850" w:type="dxa"/>
            <w:tcBorders>
              <w:top w:val="single" w:sz="4" w:space="0" w:color="auto"/>
              <w:left w:val="single" w:sz="4" w:space="0" w:color="auto"/>
              <w:bottom w:val="single" w:sz="4" w:space="0" w:color="auto"/>
              <w:right w:val="single" w:sz="4" w:space="0" w:color="auto"/>
            </w:tcBorders>
          </w:tcPr>
          <w:p w:rsidR="00E96768" w:rsidRPr="00E00B35" w:rsidRDefault="00E96768" w:rsidP="00E00B35">
            <w:pPr>
              <w:pStyle w:val="11Trescpisma"/>
              <w:suppressAutoHyphens/>
              <w:spacing w:before="0" w:after="0" w:line="312" w:lineRule="auto"/>
              <w:jc w:val="left"/>
              <w:rPr>
                <w:szCs w:val="20"/>
              </w:rPr>
            </w:pPr>
            <w:r w:rsidRPr="00E00B35">
              <w:rPr>
                <w:szCs w:val="20"/>
              </w:rPr>
              <w:t>0</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41</w:t>
            </w:r>
          </w:p>
        </w:tc>
      </w:tr>
      <w:tr w:rsidR="00E96768" w:rsidRPr="00E00B35" w:rsidTr="00E96768">
        <w:trPr>
          <w:trHeight w:val="39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SUMA</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75</w:t>
            </w:r>
          </w:p>
        </w:tc>
        <w:tc>
          <w:tcPr>
            <w:tcW w:w="851" w:type="dxa"/>
            <w:tcBorders>
              <w:top w:val="single" w:sz="4" w:space="0" w:color="auto"/>
              <w:left w:val="single" w:sz="4" w:space="0" w:color="auto"/>
              <w:bottom w:val="single" w:sz="4" w:space="0" w:color="auto"/>
              <w:right w:val="single" w:sz="4" w:space="0" w:color="auto"/>
            </w:tcBorders>
            <w:vAlign w:val="center"/>
            <w:hideMark/>
          </w:tcPr>
          <w:p w:rsidR="00E96768" w:rsidRPr="00E00B35" w:rsidRDefault="00E96768" w:rsidP="00E00B35">
            <w:pPr>
              <w:pStyle w:val="11Trescpisma"/>
              <w:suppressAutoHyphens/>
              <w:spacing w:before="0" w:after="0" w:line="312" w:lineRule="auto"/>
              <w:jc w:val="left"/>
              <w:rPr>
                <w:szCs w:val="20"/>
              </w:rPr>
            </w:pPr>
            <w:r w:rsidRPr="00E00B35">
              <w:rPr>
                <w:szCs w:val="20"/>
              </w:rPr>
              <w:t>2 457</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107</w:t>
            </w:r>
          </w:p>
        </w:tc>
        <w:tc>
          <w:tcPr>
            <w:tcW w:w="851"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3 712</w:t>
            </w:r>
          </w:p>
        </w:tc>
        <w:tc>
          <w:tcPr>
            <w:tcW w:w="992"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79</w:t>
            </w:r>
          </w:p>
        </w:tc>
        <w:tc>
          <w:tcPr>
            <w:tcW w:w="850" w:type="dxa"/>
            <w:tcBorders>
              <w:top w:val="single" w:sz="4" w:space="0" w:color="auto"/>
              <w:left w:val="single" w:sz="4" w:space="0" w:color="auto"/>
              <w:bottom w:val="single" w:sz="4" w:space="0" w:color="auto"/>
              <w:right w:val="single" w:sz="4" w:space="0" w:color="auto"/>
            </w:tcBorders>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1 487</w:t>
            </w:r>
          </w:p>
        </w:tc>
        <w:tc>
          <w:tcPr>
            <w:tcW w:w="993"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65*</w:t>
            </w:r>
          </w:p>
        </w:tc>
        <w:tc>
          <w:tcPr>
            <w:tcW w:w="850" w:type="dxa"/>
            <w:vAlign w:val="center"/>
          </w:tcPr>
          <w:p w:rsidR="00E96768" w:rsidRPr="00E00B35" w:rsidRDefault="00E96768" w:rsidP="00E00B35">
            <w:pPr>
              <w:pStyle w:val="11Trescpisma"/>
              <w:suppressAutoHyphens/>
              <w:spacing w:before="0" w:after="0" w:line="312" w:lineRule="auto"/>
              <w:jc w:val="left"/>
              <w:rPr>
                <w:szCs w:val="20"/>
              </w:rPr>
            </w:pPr>
            <w:r w:rsidRPr="00E00B35">
              <w:rPr>
                <w:szCs w:val="20"/>
              </w:rPr>
              <w:t>1 337*</w:t>
            </w:r>
          </w:p>
        </w:tc>
      </w:tr>
    </w:tbl>
    <w:p w:rsidR="00E96768" w:rsidRPr="00E00B35" w:rsidRDefault="00E96768" w:rsidP="00E00B35">
      <w:pPr>
        <w:pStyle w:val="11Trescpisma"/>
        <w:suppressAutoHyphens/>
        <w:spacing w:before="0" w:after="0" w:line="312" w:lineRule="auto"/>
        <w:ind w:left="142" w:hanging="142"/>
        <w:jc w:val="left"/>
        <w:rPr>
          <w:szCs w:val="20"/>
        </w:rPr>
      </w:pPr>
      <w:r w:rsidRPr="00E00B35">
        <w:rPr>
          <w:szCs w:val="20"/>
        </w:rPr>
        <w:t>* Uwzględnione zostały kontrole, które rozpoczęły się w latach poprzednich, a czynności kontrolne były kontynuowane w roku 2020 - NIK – 179 dni, PIP – 11 dni</w:t>
      </w:r>
    </w:p>
    <w:p w:rsidR="00E96768" w:rsidRPr="00E00B35" w:rsidRDefault="003D14BB" w:rsidP="00E00B35">
      <w:pPr>
        <w:pStyle w:val="Nagwek5"/>
        <w:rPr>
          <w:szCs w:val="20"/>
        </w:rPr>
      </w:pPr>
      <w:r w:rsidRPr="00E00B35">
        <w:rPr>
          <w:szCs w:val="20"/>
          <w:lang w:val="pl-PL"/>
        </w:rPr>
        <w:br/>
      </w:r>
      <w:r w:rsidR="00E96768" w:rsidRPr="00E00B35">
        <w:rPr>
          <w:szCs w:val="20"/>
        </w:rPr>
        <w:t>POZOSTAŁE ZADANIA</w:t>
      </w:r>
    </w:p>
    <w:p w:rsidR="00E96768" w:rsidRPr="00E00B35" w:rsidRDefault="00E96768" w:rsidP="00E00B35">
      <w:pPr>
        <w:suppressAutoHyphens/>
        <w:spacing w:after="0" w:line="312" w:lineRule="auto"/>
        <w:rPr>
          <w:szCs w:val="20"/>
        </w:rPr>
      </w:pPr>
      <w:r w:rsidRPr="00E00B35">
        <w:rPr>
          <w:szCs w:val="20"/>
        </w:rPr>
        <w:t>W zakresie pozostałych zadań koordynowano i monitorowano terminowe udzielenie</w:t>
      </w:r>
      <w:r w:rsidRPr="00E00B35">
        <w:rPr>
          <w:color w:val="FF0000"/>
          <w:szCs w:val="20"/>
        </w:rPr>
        <w:t xml:space="preserve"> </w:t>
      </w:r>
      <w:r w:rsidRPr="00E00B35">
        <w:rPr>
          <w:szCs w:val="20"/>
        </w:rPr>
        <w:t xml:space="preserve">odpowiedzi w 23 sprawach związanych z postępowaniami innymi niż kontrole wykonywane w Gminie Wrocław, prowadzonymi przez organy i instytucje, współpracując z komórkami organizacyjnymi Urzędu Miejskiego Wrocławia, jak i jednostkami organizacyjnymi Gminy Wrocław. </w:t>
      </w:r>
    </w:p>
    <w:p w:rsidR="00E96768" w:rsidRPr="00E00B35" w:rsidRDefault="00E96768" w:rsidP="00E00B35">
      <w:pPr>
        <w:suppressAutoHyphens/>
        <w:spacing w:after="0" w:line="312" w:lineRule="auto"/>
        <w:rPr>
          <w:color w:val="FF0000"/>
          <w:szCs w:val="20"/>
        </w:rPr>
      </w:pPr>
      <w:r w:rsidRPr="00E00B35">
        <w:rPr>
          <w:szCs w:val="20"/>
        </w:rPr>
        <w:t>Koordynacja i monitoring obejmowały również 3 sprawy dotyczące kontroli organizacji pozarządowych oraz niepublicznych jednostek oświatowych przeprowadzonych przez Izbę Administracji Skarbowej we Wrocławiu i Dolnośląski Urząd Celno-Skarbowy we Wrocławiu, w zakresie dotacji udzielonych przez Gminę i Miasto Wrocław.</w:t>
      </w:r>
      <w:r w:rsidRPr="00E00B35">
        <w:rPr>
          <w:color w:val="FF0000"/>
          <w:szCs w:val="20"/>
        </w:rPr>
        <w:t xml:space="preserve"> </w:t>
      </w:r>
    </w:p>
    <w:p w:rsidR="00E96768" w:rsidRPr="00E00B35" w:rsidRDefault="00E96768" w:rsidP="00E00B35">
      <w:pPr>
        <w:pStyle w:val="11Trescpisma"/>
        <w:suppressAutoHyphens/>
        <w:spacing w:before="0" w:after="0" w:line="312" w:lineRule="auto"/>
        <w:jc w:val="left"/>
        <w:rPr>
          <w:szCs w:val="20"/>
        </w:rPr>
      </w:pPr>
      <w:r w:rsidRPr="00E00B35">
        <w:rPr>
          <w:szCs w:val="20"/>
        </w:rPr>
        <w:lastRenderedPageBreak/>
        <w:t>Ponadto przekazywano do komórek organizacyjnych Urzędu zbiorcze informacje</w:t>
      </w:r>
      <w:r w:rsidRPr="00E00B35">
        <w:rPr>
          <w:szCs w:val="20"/>
        </w:rPr>
        <w:br/>
        <w:t>o wynikach kontroli przeprowadzanych w podmiotach innych niż Gmina Wrocław, sporządzane przez zewnętrzne organy kontroli.</w:t>
      </w:r>
    </w:p>
    <w:p w:rsidR="00E96768" w:rsidRPr="00E00B35" w:rsidRDefault="00E96768" w:rsidP="00E00B35">
      <w:pPr>
        <w:pStyle w:val="11Trescpisma"/>
        <w:suppressAutoHyphens/>
        <w:spacing w:before="0" w:after="0" w:line="312" w:lineRule="auto"/>
        <w:jc w:val="left"/>
        <w:rPr>
          <w:szCs w:val="20"/>
        </w:rPr>
      </w:pPr>
      <w:r w:rsidRPr="00E00B35">
        <w:rPr>
          <w:szCs w:val="20"/>
        </w:rPr>
        <w:t>Koordynowano również procedurę przebiegu samooceny kontroli zarządczej oraz przygotowano Diagnozę stanu kontroli zarządczej za 2019 r. w Gminie Wrocław. Diagnoza została sporządzona z uwzględnieniem informacji z 267 jednostek organizacyjnych Gminy Wrocław oraz 9 Departamentów i 5 komórek organizacyjnych utworzonych poza strukturą Departamentu Urzędu.</w:t>
      </w:r>
    </w:p>
    <w:p w:rsidR="00E96768" w:rsidRPr="00E00B35" w:rsidRDefault="00E96768" w:rsidP="00E00B35">
      <w:pPr>
        <w:pStyle w:val="11Trescpisma"/>
        <w:suppressAutoHyphens/>
        <w:spacing w:before="0" w:after="0" w:line="312" w:lineRule="auto"/>
        <w:jc w:val="left"/>
        <w:rPr>
          <w:szCs w:val="20"/>
        </w:rPr>
      </w:pPr>
      <w:r w:rsidRPr="00E00B35">
        <w:rPr>
          <w:szCs w:val="20"/>
        </w:rPr>
        <w:t>Samoocena została sporządzona także w oparciu o analizę materiałów z kontroli zewnętrznych i wewnętrznych wykonaną przez Wydział Kontroli na podstawie dokumentacji pokontrolnej.</w:t>
      </w:r>
    </w:p>
    <w:p w:rsidR="00E96768" w:rsidRPr="00E00B35" w:rsidRDefault="00E96768" w:rsidP="00E00B35">
      <w:pPr>
        <w:pStyle w:val="11Trescpisma"/>
        <w:suppressAutoHyphens/>
        <w:spacing w:before="0" w:after="0" w:line="312" w:lineRule="auto"/>
        <w:jc w:val="left"/>
        <w:rPr>
          <w:szCs w:val="20"/>
        </w:rPr>
      </w:pPr>
      <w:r w:rsidRPr="00E00B35">
        <w:rPr>
          <w:szCs w:val="20"/>
        </w:rPr>
        <w:t xml:space="preserve">Sporządzono 12 sprawozdań z zakresu zadań będących w obszarze kompetencji Wydziału Kontroli, przygotowano 9 informacji poprzedzonych analizą wraz z dokumentacją </w:t>
      </w:r>
      <w:r w:rsidRPr="00E00B35">
        <w:rPr>
          <w:szCs w:val="20"/>
        </w:rPr>
        <w:br/>
        <w:t xml:space="preserve">w zakresie udzielania informacji publicznej oraz zamieszczono w Biuletynie Informacji Publicznej 241 plików z dokumentacji przebiegu i efektów kontroli.   </w:t>
      </w:r>
    </w:p>
    <w:p w:rsidR="00E96768" w:rsidRPr="00E00B35" w:rsidRDefault="00E96768" w:rsidP="00E00B35">
      <w:pPr>
        <w:pStyle w:val="11Trescpisma"/>
        <w:suppressAutoHyphens/>
        <w:spacing w:before="0" w:after="0" w:line="312" w:lineRule="auto"/>
        <w:jc w:val="left"/>
        <w:rPr>
          <w:szCs w:val="20"/>
        </w:rPr>
      </w:pPr>
    </w:p>
    <w:p w:rsidR="00E96768" w:rsidRPr="00E00B35" w:rsidRDefault="00E96768" w:rsidP="00E00B35">
      <w:pPr>
        <w:pStyle w:val="Nagwek4"/>
        <w:spacing w:before="0" w:after="0" w:line="312" w:lineRule="auto"/>
        <w:rPr>
          <w:sz w:val="20"/>
          <w:szCs w:val="20"/>
        </w:rPr>
      </w:pPr>
      <w:r w:rsidRPr="00E00B35">
        <w:rPr>
          <w:sz w:val="20"/>
          <w:szCs w:val="20"/>
        </w:rPr>
        <w:t xml:space="preserve">REALIZACJA ZADAŃ Z ZAKRESU OCHRONY DANYCH OSOBOWYCH I BEZPIECZEŃSTWA INFORMACJI </w:t>
      </w:r>
    </w:p>
    <w:p w:rsidR="00E96768" w:rsidRPr="00E00B35" w:rsidRDefault="00E96768" w:rsidP="00E00B35">
      <w:pPr>
        <w:pStyle w:val="Stopka"/>
        <w:tabs>
          <w:tab w:val="clear" w:pos="4536"/>
          <w:tab w:val="clear" w:pos="9072"/>
        </w:tabs>
        <w:spacing w:after="0" w:line="312" w:lineRule="auto"/>
        <w:rPr>
          <w:bCs/>
          <w:szCs w:val="20"/>
        </w:rPr>
      </w:pPr>
      <w:r w:rsidRPr="00E00B35">
        <w:rPr>
          <w:bCs/>
          <w:szCs w:val="20"/>
        </w:rPr>
        <w:t>Działania związane z ochroną danych osobowych i bezpieczeństwem informacji w Urzędzie Miejskim Wrocławia opierają się na podstawie: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ustawa z dnia 10 maja 2018 r. o ochronie danych osobowych (Dz. U. 2019 r., poz. 1781);</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zarządzenie Nr K/13/18 Prezydenta Wrocławia z dnia 25 maja 2018 r. w sprawie Polityki Ochrony Danych Osobowych i Bezpieczeństwa Informacji Urzędu Miejskiego Wrocławia (z późn. zm.);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zarządzenie Nr K/17/20 Prezydenta Wrocławia z dnia 12 maja 2020 r. w sprawie zarządzania ryzykiem związanym z przetwarzaniem danych osobowych w Urzędzie Miejskim Wrocławia.</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 xml:space="preserve">Inspektor Ochrony Danych UMW (IOD), który zgodnie z postanowieniami Regulaminu Organizacyjnego Urzędu Miejskiego Wrocławia kieruje też Biurem ds. Bezpieczeństwa Informacji (BBI) odpowiada za zapewnienie stosowania w Urzędzie Miejskim Wrocławia przepisów rozporządzenia ogólnego o ochronie danych osobowych, krajowej ustawy </w:t>
      </w:r>
      <w:r w:rsidRPr="00E00B35">
        <w:rPr>
          <w:szCs w:val="20"/>
        </w:rPr>
        <w:br/>
        <w:t xml:space="preserve">o ochronie danych osobowych a także wprowadzonej w Urzędzie Polityki Ochrony Danych Osobowych i Bezpieczeństwa Informacji. </w:t>
      </w:r>
    </w:p>
    <w:p w:rsidR="00E96768" w:rsidRPr="00E00B35" w:rsidRDefault="00E96768" w:rsidP="00E00B35">
      <w:pPr>
        <w:spacing w:after="0" w:line="312" w:lineRule="auto"/>
        <w:rPr>
          <w:szCs w:val="20"/>
        </w:rPr>
      </w:pPr>
      <w:r w:rsidRPr="00E00B35">
        <w:rPr>
          <w:szCs w:val="20"/>
        </w:rPr>
        <w:t xml:space="preserve">Ponadto jednym z głównych zadań jakie na bieżąco realizowane są przez IOD/BBI jest stałe podnoszenie wiedzy oraz świadomości pracowników Urzędu z zakresu ochrony danych osobowych i bezpieczeństwa informacji m.in. poprzez kolportowanie Biuletynów </w:t>
      </w:r>
      <w:r w:rsidRPr="00E00B35">
        <w:rPr>
          <w:szCs w:val="20"/>
        </w:rPr>
        <w:lastRenderedPageBreak/>
        <w:t xml:space="preserve">Bezpieczeństwa Informacji Urzędu Miejskiego Wrocławia czy też przesyłanie drogą elektroniczną opracowanych informacji/rekomendacji związanych z tematyką. </w:t>
      </w:r>
    </w:p>
    <w:p w:rsidR="00E96768" w:rsidRPr="00E00B35" w:rsidRDefault="00E96768" w:rsidP="00E00B35">
      <w:pPr>
        <w:spacing w:after="0" w:line="312" w:lineRule="auto"/>
        <w:rPr>
          <w:szCs w:val="20"/>
        </w:rPr>
      </w:pPr>
      <w:r w:rsidRPr="00E00B35">
        <w:rPr>
          <w:szCs w:val="20"/>
        </w:rPr>
        <w:t xml:space="preserve">Na przestrzeni 2020 roku, dość specyficznego z perspektywy pandemii SARS-COV-2 zadania realizowane w IOD/BBI UMW obejmowały przede wszystkim współpracę z organem nadzorczym w zakresie procedowanych w UMW naruszeń ochrony danych osobowych, planowanie oraz przeprowadzanie audytów zgodności przetwarzania z przepisami </w:t>
      </w:r>
      <w:r w:rsidRPr="00E00B35">
        <w:rPr>
          <w:szCs w:val="20"/>
        </w:rPr>
        <w:br/>
        <w:t xml:space="preserve">o ochronie danych osobowych czy też bieżącą współpracę z Konsultantami BBI wyznaczonymi w komórkach organizacyjnych UMW, w tym zmian/rekomendacji związanych z ochroną danych osobowych oraz działalnością IOD UMW w czasie pandemii. Inspektor Ochrony Danych w zakresie swoich kompetencji brał także czynny udział </w:t>
      </w:r>
      <w:r w:rsidRPr="00E00B35">
        <w:rPr>
          <w:szCs w:val="20"/>
        </w:rPr>
        <w:br/>
        <w:t xml:space="preserve">w pracach związanych z unormowaniem w Urzędzie w Miejskim Wrocławia realizacji pracy zdalnej. Ponadto swoją wiedzą ekspercką z zakresu ochrony danych osobowych </w:t>
      </w:r>
      <w:r w:rsidRPr="00E00B35">
        <w:rPr>
          <w:szCs w:val="20"/>
        </w:rPr>
        <w:br/>
        <w:t xml:space="preserve">i bezpieczeństwa informacji wspierał wdrażane i realizowane w UMW projekty. IOD/BBI UMW ściśle współpracował z Centrum Usług Informatycznych w zakresie zapewnienia wymaganego poziomu bezpieczeństwa przetwarzania danych osobowych w systemach informatycznych administrowanych przez CUI. </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Ponadto działania realizowane przez IOD UMW/BBI UMW w 2020 roku obejmowały również:</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nowelizację Polityki Ochrony Danych Osobowych i Bezpieczeństwa Informacji UMW,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nowelizację zarządzenia w sprawie zarządzania ryzykiem związanym z przetwarzaniem danych osobowych w Urzędzie Miejskim Wrocławia,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przeprowadzenie 7 audytów zgodności przetwarzania z przepisami o ochronie danych osobowych w komórkach organizacyjnych UMW,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przeszkolenie 215 osób z zakresu ochrony danych osobowych w ramach szkoleń wewnętrznych przeprowadzanych dla nowo przyjętych pracowników,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przeprowadzenie 4 szkoleń dla pracowników komórek organizacyjnych UMW, jednostek organizacyjnych Gminy Wrocław, w tym szkoleń przeprowadzanych w ramach akcji roznoszenia decyzji podatkowych etc., szkoleń urzędników wyborczych czy też szkoleń przeprowadzanych jako element działań korygujących i naprawczych jak np. po naruszeniu ochrony danych osobowych,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umożliwienie odbycia szkolenia i zaliczenia testu na platformie e-learningowej UMW dla 157 pracowników w ramach szkolenia pn. "Ochrona danych osobowych wg RODO w Urzędzie Miejskim Wrocławia",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opracowanie nowego szkolenia e-learningowego dotyczącego obszaru związanego z incydentami bezpieczeństwa informacji (do chwili opracowania niniejszej informacji test zaliczyło ok. 88% pracowników UMW)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zarejestrowanie 15 nowych zasobów informacyjnych w rejestrze czynności przetwarzania i rejestrze kategorii czynności przetwarzania UMW,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zaktualizowanie 27 zasobów informacyjnych w rejestrze czynności przetwarzania i rejestrze kategorii czynności przetwarzania UMW,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wykreślenie 4 zasobów informacyjnych z rejestru czynności przetwarzania i rejestru kategorii czynności przetwarzania UMW,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wydanie 12 Biuletynów Bezpieczeństwa Informacji Urzędu Miejskiego Wrocławia,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przeprowadzenie 1 spotkania, powołanej Zarządzeniem Nr 10804/18 Prezydenta Wrocławia z dnia 31 października 2018 r., Wrocławskiej Rady Inspektorów Ochrony Danych, w tym w okresie pandemii bieżące zamieszczanie materiałów/rekomendacji </w:t>
      </w:r>
      <w:r w:rsidRPr="00E00B35">
        <w:rPr>
          <w:szCs w:val="20"/>
        </w:rPr>
        <w:br/>
        <w:t>w elektronicznym repozytorium Rady,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procedowanie zaistniałych w Urzędzie Miejskim Wrocławia incydentów bezpieczeństwa informacji, w tym w szczególności naruszeń ochrony danych osobowych, obejmujące m.in. wydawanie rekomendacji po incydencie (wydano 14 rekomendacji/zaleceń), a w razie konieczności notyfikacja naruszeń do Prezesa Urzędu Ochrony Danych Osobowych oraz powiadomienia osób, których danych dotyczyło naruszenie, działanie zostanie podsumowane rocznym raportem przekazanym do administratora danych w lutym 2021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koordynowanie procesu zarządzania ryzykiem (identyfikacja, analiza, ocena, postępowanie z ryzykiem, informowanie i raportowanie, kontrola i monitoring) w obszarze ochrony danych osobowych  zgodnie z obowiązującym w tym zakresie zarządzeniem Prezydenta Wrocławia, działanie zostanie podsumowane rocznym raportem przekazanym do administratora danych w pierwszym kwartale 2021 r.,</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przesłanie za pośrednictwem poczty elektronicznej do pracowników Urzędu Miejskiego Wrocławia 10 wiadomości zawierających materiały/rekomendacje z obszaru ochrony danych osobowych,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stałą współpracę z Konsultantami BBI, w tym bieżące przesyłanie rekomendacji/materiałów z obszaru ochrony danych osobowych, a także współpraca w zakresie zadań zleconych konsultantom dot. aktualizacji Rejestru Czynności Przetwarzania UMW: </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weryfikacja nazw czynności i procesów przetwarzania danych osobowych,</w:t>
      </w:r>
    </w:p>
    <w:p w:rsidR="00E96768" w:rsidRPr="00E00B35" w:rsidRDefault="00E96768" w:rsidP="00BC64AB">
      <w:pPr>
        <w:numPr>
          <w:ilvl w:val="0"/>
          <w:numId w:val="247"/>
        </w:numPr>
        <w:tabs>
          <w:tab w:val="left" w:pos="1560"/>
        </w:tabs>
        <w:spacing w:after="0" w:line="312" w:lineRule="auto"/>
        <w:ind w:hanging="637"/>
        <w:rPr>
          <w:rFonts w:cs="Verdana"/>
          <w:szCs w:val="20"/>
        </w:rPr>
      </w:pPr>
      <w:r w:rsidRPr="00E00B35">
        <w:rPr>
          <w:rFonts w:cs="Verdana"/>
          <w:szCs w:val="20"/>
        </w:rPr>
        <w:t xml:space="preserve">weryfikacja umów powierzenia przetwarzania danych podpisanych w komórkach organizacyjnych UMW, </w:t>
      </w:r>
    </w:p>
    <w:p w:rsidR="00E96768" w:rsidRPr="00E00B35" w:rsidRDefault="00E96768" w:rsidP="00BC64AB">
      <w:pPr>
        <w:numPr>
          <w:ilvl w:val="0"/>
          <w:numId w:val="247"/>
        </w:numPr>
        <w:tabs>
          <w:tab w:val="left" w:pos="1560"/>
        </w:tabs>
        <w:spacing w:after="0" w:line="312" w:lineRule="auto"/>
        <w:ind w:hanging="637"/>
        <w:rPr>
          <w:szCs w:val="20"/>
        </w:rPr>
      </w:pPr>
      <w:r w:rsidRPr="00E00B35">
        <w:rPr>
          <w:rFonts w:cs="Verdana"/>
          <w:szCs w:val="20"/>
        </w:rPr>
        <w:t>przekazanie uwag i wprowadzenie zmian w zakresie sformułowań dot. terminów usunięcia danych</w:t>
      </w:r>
      <w:r w:rsidRPr="00E00B35">
        <w:rPr>
          <w:szCs w:val="20"/>
        </w:rPr>
        <w:t xml:space="preserve"> osobowych,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przeszkolenie 1 848 pracowników w ramach szkolenia e-learningowego dot. incydentów bezpieczeństwa informacji w UMW,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przeprowadzenia konkursu dla pracowników UMW z obszaru ochrony danych osobowych pn. „Z RODO za pan brat”,</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udostępnienie wyciągu z Rejestru Czynności Przetwarzania UMW w Biuletynie Informacji Publicznej,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tworzenie nowych i rozbudowywanie istniejących funkcjonalności narzędzi wspierających i automatyzujacych oraz obiektywizujących działania w ramach procesu zarządzania bezpieczeństwem informacji i ochroną danych osobowych (kalkulator oceny powagi naruszenia, kalkulator oceny powagi powierzenia, kalkulator ryzyka poaudytowego, tabele audytowi, listy weryfikacyjne podmiotów przetwarzających).</w:t>
      </w:r>
    </w:p>
    <w:p w:rsidR="00E96768" w:rsidRPr="00E00B35" w:rsidRDefault="00E96768" w:rsidP="00E00B35">
      <w:pPr>
        <w:spacing w:after="0" w:line="312" w:lineRule="auto"/>
        <w:rPr>
          <w:szCs w:val="20"/>
        </w:rPr>
      </w:pPr>
    </w:p>
    <w:tbl>
      <w:tblPr>
        <w:tblW w:w="1087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8" w:type="dxa"/>
          <w:bottom w:w="28" w:type="dxa"/>
          <w:right w:w="68" w:type="dxa"/>
        </w:tblCellMar>
        <w:tblLook w:val="0000"/>
      </w:tblPr>
      <w:tblGrid>
        <w:gridCol w:w="4781"/>
        <w:gridCol w:w="1559"/>
        <w:gridCol w:w="850"/>
        <w:gridCol w:w="851"/>
        <w:gridCol w:w="992"/>
        <w:gridCol w:w="851"/>
        <w:gridCol w:w="992"/>
      </w:tblGrid>
      <w:tr w:rsidR="00E96768" w:rsidRPr="00E00B35" w:rsidTr="00E96768">
        <w:trPr>
          <w:trHeight w:val="535"/>
          <w:tblHeader/>
        </w:trPr>
        <w:tc>
          <w:tcPr>
            <w:tcW w:w="4781"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Nazwa działania</w:t>
            </w:r>
          </w:p>
        </w:tc>
        <w:tc>
          <w:tcPr>
            <w:tcW w:w="1559"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Status</w:t>
            </w:r>
          </w:p>
        </w:tc>
        <w:tc>
          <w:tcPr>
            <w:tcW w:w="850"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2020</w:t>
            </w:r>
          </w:p>
        </w:tc>
        <w:tc>
          <w:tcPr>
            <w:tcW w:w="851"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2019</w:t>
            </w:r>
          </w:p>
        </w:tc>
        <w:tc>
          <w:tcPr>
            <w:tcW w:w="992"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od</w:t>
            </w:r>
          </w:p>
          <w:p w:rsidR="00E96768" w:rsidRPr="00E00B35" w:rsidRDefault="00E96768" w:rsidP="00E00B35">
            <w:pPr>
              <w:spacing w:after="0" w:line="312" w:lineRule="auto"/>
              <w:rPr>
                <w:b/>
                <w:szCs w:val="20"/>
              </w:rPr>
            </w:pPr>
            <w:r w:rsidRPr="00E00B35">
              <w:rPr>
                <w:b/>
                <w:szCs w:val="20"/>
              </w:rPr>
              <w:t>25.05. 2018</w:t>
            </w:r>
          </w:p>
        </w:tc>
        <w:tc>
          <w:tcPr>
            <w:tcW w:w="851"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do</w:t>
            </w:r>
          </w:p>
          <w:p w:rsidR="00E96768" w:rsidRPr="00E00B35" w:rsidRDefault="00E96768" w:rsidP="00E00B35">
            <w:pPr>
              <w:spacing w:after="0" w:line="312" w:lineRule="auto"/>
              <w:rPr>
                <w:b/>
                <w:szCs w:val="20"/>
              </w:rPr>
            </w:pPr>
            <w:r w:rsidRPr="00E00B35">
              <w:rPr>
                <w:b/>
                <w:szCs w:val="20"/>
              </w:rPr>
              <w:t>25.05.2018</w:t>
            </w:r>
          </w:p>
        </w:tc>
        <w:tc>
          <w:tcPr>
            <w:tcW w:w="992"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2017</w:t>
            </w:r>
          </w:p>
        </w:tc>
      </w:tr>
      <w:tr w:rsidR="00E96768" w:rsidRPr="00E00B35" w:rsidTr="00E96768">
        <w:trPr>
          <w:trHeight w:val="1134"/>
          <w:tblHeader/>
        </w:trPr>
        <w:tc>
          <w:tcPr>
            <w:tcW w:w="4781" w:type="dxa"/>
            <w:shd w:val="clear" w:color="auto" w:fill="FFFFFF"/>
            <w:vAlign w:val="center"/>
          </w:tcPr>
          <w:p w:rsidR="00E96768" w:rsidRPr="00E00B35" w:rsidRDefault="00E96768" w:rsidP="00E00B35">
            <w:pPr>
              <w:spacing w:after="0" w:line="312" w:lineRule="auto"/>
              <w:rPr>
                <w:b/>
                <w:szCs w:val="20"/>
              </w:rPr>
            </w:pPr>
            <w:r w:rsidRPr="00E00B35">
              <w:rPr>
                <w:szCs w:val="20"/>
              </w:rPr>
              <w:t>Liczba wprowadzonych bądź znowelizowanych dokumentów regulujących przetwarzanie danych osobowych w UMW (Polityka Ochrony Danych Osobowych i Bezpieczeństwa Informacji od 25 maja 2018 r.; Polityka Bezpieczeństwa Informacji do 25 maja 2018 r., Zarządzanie ryzykiem związanym z przetwarzaniem danych osobowych w UMW).</w:t>
            </w:r>
          </w:p>
        </w:tc>
        <w:tc>
          <w:tcPr>
            <w:tcW w:w="1559" w:type="dxa"/>
            <w:shd w:val="clear" w:color="auto" w:fill="FFFFFF"/>
            <w:vAlign w:val="center"/>
          </w:tcPr>
          <w:p w:rsidR="00E96768" w:rsidRPr="00E00B35" w:rsidRDefault="00E96768" w:rsidP="00E00B35">
            <w:pPr>
              <w:spacing w:after="0" w:line="312" w:lineRule="auto"/>
              <w:rPr>
                <w:rFonts w:cs="Verdana"/>
                <w:bCs/>
                <w:szCs w:val="20"/>
              </w:rPr>
            </w:pPr>
            <w:r w:rsidRPr="00E00B35">
              <w:rPr>
                <w:rFonts w:cs="Verdana"/>
                <w:bCs/>
                <w:szCs w:val="20"/>
              </w:rPr>
              <w:t>zrealizowano</w:t>
            </w:r>
          </w:p>
        </w:tc>
        <w:tc>
          <w:tcPr>
            <w:tcW w:w="850"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2</w:t>
            </w:r>
          </w:p>
        </w:tc>
        <w:tc>
          <w:tcPr>
            <w:tcW w:w="851"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2</w:t>
            </w:r>
          </w:p>
        </w:tc>
        <w:tc>
          <w:tcPr>
            <w:tcW w:w="992"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2</w:t>
            </w:r>
          </w:p>
        </w:tc>
        <w:tc>
          <w:tcPr>
            <w:tcW w:w="851"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1</w:t>
            </w:r>
          </w:p>
        </w:tc>
        <w:tc>
          <w:tcPr>
            <w:tcW w:w="992"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1</w:t>
            </w:r>
          </w:p>
        </w:tc>
      </w:tr>
      <w:tr w:rsidR="00E96768" w:rsidRPr="00E00B35" w:rsidTr="00E96768">
        <w:trPr>
          <w:trHeight w:val="520"/>
          <w:tblHeader/>
        </w:trPr>
        <w:tc>
          <w:tcPr>
            <w:tcW w:w="4781" w:type="dxa"/>
            <w:shd w:val="clear" w:color="auto" w:fill="FFFFFF"/>
            <w:vAlign w:val="center"/>
          </w:tcPr>
          <w:p w:rsidR="00E96768" w:rsidRPr="00E00B35" w:rsidRDefault="00E96768" w:rsidP="00E00B35">
            <w:pPr>
              <w:spacing w:after="0" w:line="312" w:lineRule="auto"/>
              <w:rPr>
                <w:b/>
                <w:szCs w:val="20"/>
              </w:rPr>
            </w:pPr>
            <w:r w:rsidRPr="00E00B35">
              <w:rPr>
                <w:szCs w:val="20"/>
              </w:rPr>
              <w:t>Liczba przeprowadzonych audytów/sprawdzeń zgodności przetwarzania z przepisami o ochronie danych osobowych zbiorach danych osobowych UMW.</w:t>
            </w:r>
          </w:p>
        </w:tc>
        <w:tc>
          <w:tcPr>
            <w:tcW w:w="1559"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bCs/>
                <w:szCs w:val="20"/>
              </w:rPr>
              <w:t>zrealizowano</w:t>
            </w:r>
          </w:p>
        </w:tc>
        <w:tc>
          <w:tcPr>
            <w:tcW w:w="850"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7</w:t>
            </w:r>
          </w:p>
        </w:tc>
        <w:tc>
          <w:tcPr>
            <w:tcW w:w="851"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10</w:t>
            </w:r>
          </w:p>
        </w:tc>
        <w:tc>
          <w:tcPr>
            <w:tcW w:w="992"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0</w:t>
            </w:r>
          </w:p>
        </w:tc>
        <w:tc>
          <w:tcPr>
            <w:tcW w:w="851"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2</w:t>
            </w:r>
          </w:p>
        </w:tc>
        <w:tc>
          <w:tcPr>
            <w:tcW w:w="992"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12</w:t>
            </w:r>
          </w:p>
        </w:tc>
      </w:tr>
      <w:tr w:rsidR="00E96768" w:rsidRPr="00E00B35" w:rsidTr="00E96768">
        <w:trPr>
          <w:trHeight w:val="363"/>
          <w:tblHeader/>
        </w:trPr>
        <w:tc>
          <w:tcPr>
            <w:tcW w:w="4781" w:type="dxa"/>
            <w:shd w:val="clear" w:color="auto" w:fill="FFFFFF"/>
            <w:vAlign w:val="center"/>
          </w:tcPr>
          <w:p w:rsidR="00E96768" w:rsidRPr="00E00B35" w:rsidRDefault="00E96768" w:rsidP="00E00B35">
            <w:pPr>
              <w:spacing w:after="0" w:line="312" w:lineRule="auto"/>
              <w:rPr>
                <w:b/>
                <w:szCs w:val="20"/>
              </w:rPr>
            </w:pPr>
            <w:r w:rsidRPr="00E00B35">
              <w:rPr>
                <w:szCs w:val="20"/>
              </w:rPr>
              <w:t>Liczba przeszkolonych osób z zakresu ochrony danych osobowych w tym w ramach szkoleń wewnętrznych przeprowadzanych dla przyjętych pracowników.</w:t>
            </w:r>
          </w:p>
        </w:tc>
        <w:tc>
          <w:tcPr>
            <w:tcW w:w="1559"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bCs/>
                <w:szCs w:val="20"/>
              </w:rPr>
              <w:t>zrealizowano</w:t>
            </w:r>
          </w:p>
        </w:tc>
        <w:tc>
          <w:tcPr>
            <w:tcW w:w="850" w:type="dxa"/>
            <w:vAlign w:val="center"/>
          </w:tcPr>
          <w:p w:rsidR="00E96768" w:rsidRPr="00E00B35" w:rsidRDefault="00E96768" w:rsidP="00E00B35">
            <w:pPr>
              <w:spacing w:after="0" w:line="312" w:lineRule="auto"/>
              <w:rPr>
                <w:rFonts w:cs="Verdana"/>
                <w:szCs w:val="20"/>
              </w:rPr>
            </w:pPr>
            <w:r w:rsidRPr="00E00B35">
              <w:rPr>
                <w:rFonts w:cs="Verdana"/>
                <w:szCs w:val="20"/>
              </w:rPr>
              <w:t>215</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361</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110</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175</w:t>
            </w:r>
          </w:p>
        </w:tc>
        <w:tc>
          <w:tcPr>
            <w:tcW w:w="992"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379</w:t>
            </w:r>
          </w:p>
        </w:tc>
      </w:tr>
      <w:tr w:rsidR="00E96768" w:rsidRPr="00E00B35" w:rsidTr="00E96768">
        <w:trPr>
          <w:trHeight w:val="928"/>
          <w:tblHeader/>
        </w:trPr>
        <w:tc>
          <w:tcPr>
            <w:tcW w:w="4781" w:type="dxa"/>
            <w:shd w:val="clear" w:color="auto" w:fill="FFFFFF"/>
            <w:vAlign w:val="center"/>
          </w:tcPr>
          <w:p w:rsidR="00E96768" w:rsidRPr="00E00B35" w:rsidRDefault="00E96768" w:rsidP="00E00B35">
            <w:pPr>
              <w:spacing w:after="0" w:line="312" w:lineRule="auto"/>
              <w:rPr>
                <w:b/>
                <w:szCs w:val="20"/>
              </w:rPr>
            </w:pPr>
            <w:r w:rsidRPr="00E00B35">
              <w:rPr>
                <w:szCs w:val="20"/>
              </w:rPr>
              <w:t>Liczba szkoleń przeprowadzonych dla pracowników komórek organizacyjnych lub jednostek organizacyjnych Gminy Wrocław (szkolenia po incydentach, w ramach akcji roznoszenia decyzji podatkowych etc., szkolenia dedykowane urzędnikom wyborczym).</w:t>
            </w:r>
          </w:p>
        </w:tc>
        <w:tc>
          <w:tcPr>
            <w:tcW w:w="1559"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bCs/>
                <w:szCs w:val="20"/>
              </w:rPr>
              <w:t>zrealizowano</w:t>
            </w:r>
          </w:p>
        </w:tc>
        <w:tc>
          <w:tcPr>
            <w:tcW w:w="850" w:type="dxa"/>
            <w:vAlign w:val="center"/>
          </w:tcPr>
          <w:p w:rsidR="00E96768" w:rsidRPr="00E00B35" w:rsidRDefault="00E96768" w:rsidP="00E00B35">
            <w:pPr>
              <w:spacing w:after="0" w:line="312" w:lineRule="auto"/>
              <w:rPr>
                <w:rFonts w:cs="Verdana"/>
                <w:szCs w:val="20"/>
              </w:rPr>
            </w:pPr>
            <w:r w:rsidRPr="00E00B35">
              <w:rPr>
                <w:rFonts w:cs="Verdana"/>
                <w:szCs w:val="20"/>
              </w:rPr>
              <w:t>4</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6</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2</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3</w:t>
            </w:r>
          </w:p>
        </w:tc>
        <w:tc>
          <w:tcPr>
            <w:tcW w:w="992"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1</w:t>
            </w:r>
          </w:p>
        </w:tc>
      </w:tr>
      <w:tr w:rsidR="00E96768" w:rsidRPr="00E00B35" w:rsidTr="00E96768">
        <w:trPr>
          <w:trHeight w:val="606"/>
          <w:tblHeader/>
        </w:trPr>
        <w:tc>
          <w:tcPr>
            <w:tcW w:w="4781" w:type="dxa"/>
            <w:vAlign w:val="center"/>
          </w:tcPr>
          <w:p w:rsidR="00E96768" w:rsidRPr="00E00B35" w:rsidRDefault="00E96768" w:rsidP="00E00B35">
            <w:pPr>
              <w:spacing w:after="0" w:line="312" w:lineRule="auto"/>
              <w:rPr>
                <w:b/>
                <w:szCs w:val="20"/>
              </w:rPr>
            </w:pPr>
            <w:r w:rsidRPr="00E00B35">
              <w:rPr>
                <w:szCs w:val="20"/>
              </w:rPr>
              <w:t>Liczba szkoleń dedykowanych Konsultantom BBI.</w:t>
            </w:r>
          </w:p>
        </w:tc>
        <w:tc>
          <w:tcPr>
            <w:tcW w:w="1559" w:type="dxa"/>
            <w:vAlign w:val="center"/>
          </w:tcPr>
          <w:p w:rsidR="00E96768" w:rsidRPr="00E00B35" w:rsidRDefault="00E96768" w:rsidP="00E00B35">
            <w:pPr>
              <w:spacing w:after="0" w:line="312" w:lineRule="auto"/>
              <w:rPr>
                <w:rFonts w:cs="Verdana"/>
                <w:szCs w:val="20"/>
              </w:rPr>
            </w:pPr>
            <w:r w:rsidRPr="00E00B35">
              <w:rPr>
                <w:rFonts w:cs="Verdana"/>
                <w:bCs/>
                <w:szCs w:val="20"/>
              </w:rPr>
              <w:t>zrealizowano</w:t>
            </w:r>
          </w:p>
        </w:tc>
        <w:tc>
          <w:tcPr>
            <w:tcW w:w="850"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0</w:t>
            </w:r>
          </w:p>
        </w:tc>
        <w:tc>
          <w:tcPr>
            <w:tcW w:w="851"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2</w:t>
            </w:r>
          </w:p>
        </w:tc>
        <w:tc>
          <w:tcPr>
            <w:tcW w:w="992"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2</w:t>
            </w:r>
          </w:p>
        </w:tc>
        <w:tc>
          <w:tcPr>
            <w:tcW w:w="851"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2</w:t>
            </w:r>
          </w:p>
        </w:tc>
        <w:tc>
          <w:tcPr>
            <w:tcW w:w="992"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3</w:t>
            </w:r>
          </w:p>
        </w:tc>
      </w:tr>
      <w:tr w:rsidR="00E96768" w:rsidRPr="00E00B35" w:rsidTr="00E96768">
        <w:trPr>
          <w:trHeight w:val="700"/>
          <w:tblHeader/>
        </w:trPr>
        <w:tc>
          <w:tcPr>
            <w:tcW w:w="4781" w:type="dxa"/>
            <w:vAlign w:val="center"/>
          </w:tcPr>
          <w:p w:rsidR="00E96768" w:rsidRPr="00E00B35" w:rsidRDefault="00E96768" w:rsidP="00E00B35">
            <w:pPr>
              <w:spacing w:after="0" w:line="312" w:lineRule="auto"/>
              <w:rPr>
                <w:b/>
                <w:szCs w:val="20"/>
              </w:rPr>
            </w:pPr>
            <w:r w:rsidRPr="00E00B35">
              <w:rPr>
                <w:szCs w:val="20"/>
              </w:rPr>
              <w:t>Liczba osób, które zaliczyły w przewidzianym terminie szkolenie i test e-learningowy „Szkolenie z ochrony danych osobowych wg RODO w Urzędzie Miejskim Wrocławia”.</w:t>
            </w:r>
          </w:p>
        </w:tc>
        <w:tc>
          <w:tcPr>
            <w:tcW w:w="1559" w:type="dxa"/>
            <w:vAlign w:val="center"/>
          </w:tcPr>
          <w:p w:rsidR="00E96768" w:rsidRPr="00E00B35" w:rsidRDefault="00E96768" w:rsidP="00E00B35">
            <w:pPr>
              <w:spacing w:after="0" w:line="312" w:lineRule="auto"/>
              <w:rPr>
                <w:rFonts w:cs="Verdana"/>
                <w:bCs/>
                <w:szCs w:val="20"/>
              </w:rPr>
            </w:pPr>
            <w:r w:rsidRPr="00E00B35">
              <w:rPr>
                <w:rFonts w:cs="Verdana"/>
                <w:bCs/>
                <w:szCs w:val="20"/>
              </w:rPr>
              <w:t>zrealizowano</w:t>
            </w:r>
          </w:p>
        </w:tc>
        <w:tc>
          <w:tcPr>
            <w:tcW w:w="850" w:type="dxa"/>
            <w:vAlign w:val="center"/>
          </w:tcPr>
          <w:p w:rsidR="00E96768" w:rsidRPr="00E00B35" w:rsidRDefault="00E96768" w:rsidP="00E00B35">
            <w:pPr>
              <w:spacing w:after="0" w:line="312" w:lineRule="auto"/>
              <w:rPr>
                <w:rFonts w:cs="Verdana"/>
                <w:color w:val="000000"/>
                <w:szCs w:val="20"/>
              </w:rPr>
            </w:pPr>
            <w:r w:rsidRPr="00E00B35">
              <w:rPr>
                <w:rFonts w:cs="Verdana"/>
                <w:color w:val="000000"/>
                <w:szCs w:val="20"/>
              </w:rPr>
              <w:t>157</w:t>
            </w:r>
          </w:p>
        </w:tc>
        <w:tc>
          <w:tcPr>
            <w:tcW w:w="851" w:type="dxa"/>
            <w:vAlign w:val="center"/>
          </w:tcPr>
          <w:p w:rsidR="00E96768" w:rsidRPr="00E00B35" w:rsidRDefault="00E96768" w:rsidP="00E00B35">
            <w:pPr>
              <w:spacing w:after="0" w:line="312" w:lineRule="auto"/>
              <w:rPr>
                <w:rFonts w:cs="Verdana"/>
                <w:szCs w:val="20"/>
              </w:rPr>
            </w:pPr>
            <w:r w:rsidRPr="00E00B35">
              <w:rPr>
                <w:rFonts w:cs="Verdana"/>
                <w:color w:val="000000"/>
                <w:szCs w:val="20"/>
              </w:rPr>
              <w:t>135</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1 663</w:t>
            </w:r>
          </w:p>
        </w:tc>
        <w:tc>
          <w:tcPr>
            <w:tcW w:w="851" w:type="dxa"/>
          </w:tcPr>
          <w:p w:rsidR="00E96768" w:rsidRPr="00E00B35" w:rsidRDefault="00E96768" w:rsidP="00E00B35">
            <w:pPr>
              <w:spacing w:after="0" w:line="312" w:lineRule="auto"/>
              <w:rPr>
                <w:szCs w:val="20"/>
              </w:rPr>
            </w:pPr>
            <w:r w:rsidRPr="00E00B35">
              <w:rPr>
                <w:rFonts w:cs="Verdana"/>
                <w:szCs w:val="20"/>
              </w:rPr>
              <w:t>brak</w:t>
            </w:r>
          </w:p>
        </w:tc>
        <w:tc>
          <w:tcPr>
            <w:tcW w:w="992" w:type="dxa"/>
          </w:tcPr>
          <w:p w:rsidR="00E96768" w:rsidRPr="00E00B35" w:rsidRDefault="00E96768" w:rsidP="00E00B35">
            <w:pPr>
              <w:spacing w:after="0" w:line="312" w:lineRule="auto"/>
              <w:rPr>
                <w:szCs w:val="20"/>
              </w:rPr>
            </w:pPr>
            <w:r w:rsidRPr="00E00B35">
              <w:rPr>
                <w:rFonts w:cs="Verdana"/>
                <w:szCs w:val="20"/>
              </w:rPr>
              <w:t>brak</w:t>
            </w:r>
          </w:p>
        </w:tc>
      </w:tr>
      <w:tr w:rsidR="00E96768" w:rsidRPr="00E00B35" w:rsidTr="00E96768">
        <w:trPr>
          <w:trHeight w:val="684"/>
          <w:tblHeader/>
        </w:trPr>
        <w:tc>
          <w:tcPr>
            <w:tcW w:w="4781" w:type="dxa"/>
            <w:vAlign w:val="center"/>
          </w:tcPr>
          <w:p w:rsidR="00E96768" w:rsidRPr="00E00B35" w:rsidRDefault="00E96768" w:rsidP="00E00B35">
            <w:pPr>
              <w:spacing w:after="0" w:line="312" w:lineRule="auto"/>
              <w:rPr>
                <w:b/>
                <w:szCs w:val="20"/>
              </w:rPr>
            </w:pPr>
            <w:r w:rsidRPr="00E00B35">
              <w:rPr>
                <w:szCs w:val="20"/>
              </w:rPr>
              <w:t>Liczba wydanych upoważnień do przetwarzaniach danych osobowych dla pracowników UMW- do 25 maja 2018 r.</w:t>
            </w:r>
          </w:p>
        </w:tc>
        <w:tc>
          <w:tcPr>
            <w:tcW w:w="1559" w:type="dxa"/>
            <w:vAlign w:val="center"/>
          </w:tcPr>
          <w:p w:rsidR="00E96768" w:rsidRPr="00E00B35" w:rsidRDefault="00E96768" w:rsidP="00E00B35">
            <w:pPr>
              <w:spacing w:after="0" w:line="312" w:lineRule="auto"/>
              <w:rPr>
                <w:rFonts w:cs="Verdana"/>
                <w:szCs w:val="20"/>
              </w:rPr>
            </w:pPr>
            <w:r w:rsidRPr="00E00B35">
              <w:rPr>
                <w:rFonts w:cs="Verdana"/>
                <w:bCs/>
                <w:szCs w:val="20"/>
              </w:rPr>
              <w:t>zrealizowano</w:t>
            </w:r>
          </w:p>
        </w:tc>
        <w:tc>
          <w:tcPr>
            <w:tcW w:w="850" w:type="dxa"/>
          </w:tcPr>
          <w:p w:rsidR="00E96768" w:rsidRPr="00E00B35" w:rsidRDefault="00E96768" w:rsidP="00E00B35">
            <w:pPr>
              <w:spacing w:after="0" w:line="312" w:lineRule="auto"/>
              <w:rPr>
                <w:szCs w:val="20"/>
              </w:rPr>
            </w:pPr>
            <w:r w:rsidRPr="00E00B35">
              <w:rPr>
                <w:rFonts w:cs="Verdana"/>
                <w:szCs w:val="20"/>
              </w:rPr>
              <w:t>brak</w:t>
            </w:r>
          </w:p>
        </w:tc>
        <w:tc>
          <w:tcPr>
            <w:tcW w:w="851" w:type="dxa"/>
          </w:tcPr>
          <w:p w:rsidR="00E96768" w:rsidRPr="00E00B35" w:rsidRDefault="00E96768" w:rsidP="00E00B35">
            <w:pPr>
              <w:spacing w:after="0" w:line="312" w:lineRule="auto"/>
              <w:rPr>
                <w:szCs w:val="20"/>
              </w:rPr>
            </w:pPr>
            <w:r w:rsidRPr="00E00B35">
              <w:rPr>
                <w:rFonts w:cs="Verdana"/>
                <w:szCs w:val="20"/>
              </w:rPr>
              <w:t>brak</w:t>
            </w:r>
          </w:p>
        </w:tc>
        <w:tc>
          <w:tcPr>
            <w:tcW w:w="992" w:type="dxa"/>
          </w:tcPr>
          <w:p w:rsidR="00E96768" w:rsidRPr="00E00B35" w:rsidRDefault="00E96768" w:rsidP="00E00B35">
            <w:pPr>
              <w:spacing w:after="0" w:line="312" w:lineRule="auto"/>
              <w:rPr>
                <w:szCs w:val="20"/>
              </w:rPr>
            </w:pPr>
            <w:r w:rsidRPr="00E00B35">
              <w:rPr>
                <w:rFonts w:cs="Verdana"/>
                <w:szCs w:val="20"/>
              </w:rPr>
              <w:t>brak</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403</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 xml:space="preserve">1 278 </w:t>
            </w:r>
          </w:p>
        </w:tc>
      </w:tr>
      <w:tr w:rsidR="00E96768" w:rsidRPr="00E00B35" w:rsidTr="00E96768">
        <w:trPr>
          <w:trHeight w:val="1118"/>
          <w:tblHeader/>
        </w:trPr>
        <w:tc>
          <w:tcPr>
            <w:tcW w:w="4781" w:type="dxa"/>
            <w:vAlign w:val="center"/>
          </w:tcPr>
          <w:p w:rsidR="00E96768" w:rsidRPr="00E00B35" w:rsidRDefault="00E96768" w:rsidP="00E00B35">
            <w:pPr>
              <w:spacing w:after="0" w:line="312" w:lineRule="auto"/>
              <w:rPr>
                <w:b/>
                <w:szCs w:val="20"/>
              </w:rPr>
            </w:pPr>
            <w:r w:rsidRPr="00E00B35">
              <w:rPr>
                <w:szCs w:val="20"/>
              </w:rPr>
              <w:lastRenderedPageBreak/>
              <w:t xml:space="preserve">Liczba nadzorowanych przez BBI upoważnień do przetwarzania danych osobowych zgromadzonych w rejestrze PESEL, rejestrze dowodów osobistych i rejestrze stanu Cywilnego oraz rejestrach systemów informatycznych, w których prowadzone są przedmiotowe rejestry- do 25 maja 2018 r. </w:t>
            </w:r>
          </w:p>
        </w:tc>
        <w:tc>
          <w:tcPr>
            <w:tcW w:w="1559" w:type="dxa"/>
            <w:vAlign w:val="center"/>
          </w:tcPr>
          <w:p w:rsidR="00E96768" w:rsidRPr="00E00B35" w:rsidRDefault="00E96768" w:rsidP="00E00B35">
            <w:pPr>
              <w:spacing w:after="0" w:line="312" w:lineRule="auto"/>
              <w:rPr>
                <w:rFonts w:cs="Verdana"/>
                <w:szCs w:val="20"/>
              </w:rPr>
            </w:pPr>
            <w:r w:rsidRPr="00E00B35">
              <w:rPr>
                <w:rFonts w:cs="Verdana"/>
                <w:bCs/>
                <w:szCs w:val="20"/>
              </w:rPr>
              <w:t>zrealizowano</w:t>
            </w:r>
          </w:p>
        </w:tc>
        <w:tc>
          <w:tcPr>
            <w:tcW w:w="850" w:type="dxa"/>
            <w:vAlign w:val="center"/>
          </w:tcPr>
          <w:p w:rsidR="00E96768" w:rsidRPr="00E00B35" w:rsidRDefault="00E96768" w:rsidP="00E00B35">
            <w:pPr>
              <w:spacing w:after="0" w:line="312" w:lineRule="auto"/>
              <w:rPr>
                <w:rFonts w:cs="Verdana"/>
                <w:szCs w:val="20"/>
              </w:rPr>
            </w:pPr>
            <w:r w:rsidRPr="00E00B35">
              <w:rPr>
                <w:rFonts w:cs="Verdana"/>
                <w:szCs w:val="20"/>
              </w:rPr>
              <w:t>brak</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brak</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33</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23</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 xml:space="preserve">95 </w:t>
            </w:r>
          </w:p>
        </w:tc>
      </w:tr>
      <w:tr w:rsidR="00E96768" w:rsidRPr="00E00B35" w:rsidTr="00E96768">
        <w:trPr>
          <w:trHeight w:val="683"/>
          <w:tblHeader/>
        </w:trPr>
        <w:tc>
          <w:tcPr>
            <w:tcW w:w="4781" w:type="dxa"/>
            <w:vAlign w:val="center"/>
          </w:tcPr>
          <w:p w:rsidR="00E96768" w:rsidRPr="00E00B35" w:rsidRDefault="00E96768" w:rsidP="00E00B35">
            <w:pPr>
              <w:spacing w:after="0" w:line="312" w:lineRule="auto"/>
              <w:rPr>
                <w:b/>
                <w:szCs w:val="20"/>
              </w:rPr>
            </w:pPr>
            <w:r w:rsidRPr="00E00B35">
              <w:rPr>
                <w:szCs w:val="20"/>
              </w:rPr>
              <w:t>Rejestracja nowych zasobów informacyjnych w rejestrze czynności przetwarzania i rejestrze kategorii czynności przetwarzania UMW.</w:t>
            </w:r>
          </w:p>
        </w:tc>
        <w:tc>
          <w:tcPr>
            <w:tcW w:w="1559" w:type="dxa"/>
            <w:vAlign w:val="center"/>
          </w:tcPr>
          <w:p w:rsidR="00E96768" w:rsidRPr="00E00B35" w:rsidRDefault="00E96768" w:rsidP="00E00B35">
            <w:pPr>
              <w:spacing w:after="0" w:line="312" w:lineRule="auto"/>
              <w:rPr>
                <w:rFonts w:cs="Verdana"/>
                <w:szCs w:val="20"/>
              </w:rPr>
            </w:pPr>
            <w:r w:rsidRPr="00E00B35">
              <w:rPr>
                <w:rFonts w:cs="Verdana"/>
                <w:bCs/>
                <w:szCs w:val="20"/>
              </w:rPr>
              <w:t>zrealizowano</w:t>
            </w:r>
          </w:p>
        </w:tc>
        <w:tc>
          <w:tcPr>
            <w:tcW w:w="850" w:type="dxa"/>
            <w:vAlign w:val="center"/>
          </w:tcPr>
          <w:p w:rsidR="00E96768" w:rsidRPr="00E00B35" w:rsidRDefault="00E96768" w:rsidP="00E00B35">
            <w:pPr>
              <w:spacing w:after="0" w:line="312" w:lineRule="auto"/>
              <w:rPr>
                <w:rFonts w:cs="Verdana"/>
                <w:szCs w:val="20"/>
              </w:rPr>
            </w:pPr>
            <w:r w:rsidRPr="00E00B35">
              <w:rPr>
                <w:rFonts w:cs="Verdana"/>
                <w:szCs w:val="20"/>
              </w:rPr>
              <w:t>15</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19</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12</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3</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6</w:t>
            </w:r>
          </w:p>
        </w:tc>
      </w:tr>
      <w:tr w:rsidR="00E96768" w:rsidRPr="00E00B35" w:rsidTr="00E96768">
        <w:trPr>
          <w:trHeight w:val="652"/>
          <w:tblHeader/>
        </w:trPr>
        <w:tc>
          <w:tcPr>
            <w:tcW w:w="4781" w:type="dxa"/>
            <w:vAlign w:val="center"/>
          </w:tcPr>
          <w:p w:rsidR="00E96768" w:rsidRPr="00E00B35" w:rsidRDefault="00E96768" w:rsidP="00E00B35">
            <w:pPr>
              <w:spacing w:after="0" w:line="312" w:lineRule="auto"/>
              <w:rPr>
                <w:b/>
                <w:szCs w:val="20"/>
              </w:rPr>
            </w:pPr>
            <w:r w:rsidRPr="00E00B35">
              <w:rPr>
                <w:szCs w:val="20"/>
              </w:rPr>
              <w:t>Aktualizacja zasobów informacyjnych w rejestrze czynności przetwarzania i rejestrze kategorii czynności przetwarzania UMW.</w:t>
            </w:r>
          </w:p>
        </w:tc>
        <w:tc>
          <w:tcPr>
            <w:tcW w:w="1559" w:type="dxa"/>
            <w:vAlign w:val="center"/>
          </w:tcPr>
          <w:p w:rsidR="00E96768" w:rsidRPr="00E00B35" w:rsidRDefault="00E96768" w:rsidP="00E00B35">
            <w:pPr>
              <w:spacing w:after="0" w:line="312" w:lineRule="auto"/>
              <w:rPr>
                <w:rFonts w:cs="Verdana"/>
                <w:szCs w:val="20"/>
              </w:rPr>
            </w:pPr>
            <w:r w:rsidRPr="00E00B35">
              <w:rPr>
                <w:rFonts w:cs="Verdana"/>
                <w:bCs/>
                <w:szCs w:val="20"/>
              </w:rPr>
              <w:t>zrealizowano</w:t>
            </w:r>
          </w:p>
        </w:tc>
        <w:tc>
          <w:tcPr>
            <w:tcW w:w="850" w:type="dxa"/>
            <w:vAlign w:val="center"/>
          </w:tcPr>
          <w:p w:rsidR="00E96768" w:rsidRPr="00E00B35" w:rsidRDefault="00E96768" w:rsidP="00E00B35">
            <w:pPr>
              <w:spacing w:after="0" w:line="312" w:lineRule="auto"/>
              <w:rPr>
                <w:rFonts w:cs="Verdana"/>
                <w:szCs w:val="20"/>
              </w:rPr>
            </w:pPr>
            <w:r w:rsidRPr="00E00B35">
              <w:rPr>
                <w:rFonts w:cs="Verdana"/>
                <w:szCs w:val="20"/>
              </w:rPr>
              <w:t>27</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39</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26</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11</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15</w:t>
            </w:r>
          </w:p>
        </w:tc>
      </w:tr>
      <w:tr w:rsidR="00E96768" w:rsidRPr="00E00B35" w:rsidTr="00E96768">
        <w:trPr>
          <w:trHeight w:val="636"/>
          <w:tblHeader/>
        </w:trPr>
        <w:tc>
          <w:tcPr>
            <w:tcW w:w="4781" w:type="dxa"/>
            <w:vAlign w:val="center"/>
          </w:tcPr>
          <w:p w:rsidR="00E96768" w:rsidRPr="00E00B35" w:rsidRDefault="00E96768" w:rsidP="00E00B35">
            <w:pPr>
              <w:spacing w:after="0" w:line="312" w:lineRule="auto"/>
              <w:rPr>
                <w:b/>
                <w:szCs w:val="20"/>
              </w:rPr>
            </w:pPr>
            <w:r w:rsidRPr="00E00B35">
              <w:rPr>
                <w:szCs w:val="20"/>
              </w:rPr>
              <w:t>Wykreślenie zasobów informacyjnych z rejestru czynności przetwarzania i rejestru kategorii czynności przetwarzania UMW.</w:t>
            </w:r>
          </w:p>
        </w:tc>
        <w:tc>
          <w:tcPr>
            <w:tcW w:w="1559" w:type="dxa"/>
            <w:vAlign w:val="center"/>
          </w:tcPr>
          <w:p w:rsidR="00E96768" w:rsidRPr="00E00B35" w:rsidRDefault="00E96768" w:rsidP="00E00B35">
            <w:pPr>
              <w:spacing w:after="0" w:line="312" w:lineRule="auto"/>
              <w:rPr>
                <w:rFonts w:cs="Verdana"/>
                <w:szCs w:val="20"/>
              </w:rPr>
            </w:pPr>
            <w:r w:rsidRPr="00E00B35">
              <w:rPr>
                <w:rFonts w:cs="Verdana"/>
                <w:bCs/>
                <w:szCs w:val="20"/>
              </w:rPr>
              <w:t>zrealizowano</w:t>
            </w:r>
          </w:p>
        </w:tc>
        <w:tc>
          <w:tcPr>
            <w:tcW w:w="850" w:type="dxa"/>
            <w:vAlign w:val="center"/>
          </w:tcPr>
          <w:p w:rsidR="00E96768" w:rsidRPr="00E00B35" w:rsidRDefault="00E96768" w:rsidP="00E00B35">
            <w:pPr>
              <w:spacing w:after="0" w:line="312" w:lineRule="auto"/>
              <w:rPr>
                <w:rFonts w:cs="Verdana"/>
                <w:szCs w:val="20"/>
              </w:rPr>
            </w:pPr>
            <w:r w:rsidRPr="00E00B35">
              <w:rPr>
                <w:rFonts w:cs="Verdana"/>
                <w:szCs w:val="20"/>
              </w:rPr>
              <w:t>4</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9</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0</w:t>
            </w:r>
          </w:p>
        </w:tc>
        <w:tc>
          <w:tcPr>
            <w:tcW w:w="851" w:type="dxa"/>
            <w:vAlign w:val="center"/>
          </w:tcPr>
          <w:p w:rsidR="00E96768" w:rsidRPr="00E00B35" w:rsidRDefault="00E96768" w:rsidP="00E00B35">
            <w:pPr>
              <w:spacing w:after="0" w:line="312" w:lineRule="auto"/>
              <w:rPr>
                <w:rFonts w:cs="Verdana"/>
                <w:szCs w:val="20"/>
              </w:rPr>
            </w:pPr>
            <w:r w:rsidRPr="00E00B35">
              <w:rPr>
                <w:rFonts w:cs="Verdana"/>
                <w:szCs w:val="20"/>
              </w:rPr>
              <w:t>2</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2</w:t>
            </w:r>
          </w:p>
        </w:tc>
      </w:tr>
      <w:tr w:rsidR="00E96768" w:rsidRPr="00E00B35" w:rsidTr="00E96768">
        <w:trPr>
          <w:trHeight w:val="843"/>
          <w:tblHeader/>
        </w:trPr>
        <w:tc>
          <w:tcPr>
            <w:tcW w:w="4781" w:type="dxa"/>
            <w:vAlign w:val="center"/>
          </w:tcPr>
          <w:p w:rsidR="00E96768" w:rsidRPr="00E00B35" w:rsidRDefault="00E96768" w:rsidP="00E00B35">
            <w:pPr>
              <w:spacing w:after="0" w:line="312" w:lineRule="auto"/>
              <w:rPr>
                <w:b/>
                <w:szCs w:val="20"/>
              </w:rPr>
            </w:pPr>
            <w:r w:rsidRPr="00E00B35">
              <w:rPr>
                <w:szCs w:val="20"/>
              </w:rPr>
              <w:t>Wydanie Biuletynów Bezpieczeństwa Informacji Urzędu Miejskiego Wrocławia kolportowanych przez Biuro ds. Bezpieczeństwa Informacji/ Inspektora Ochrony Danych wcześniej Administratora Bezpieczeństwa Informacji.</w:t>
            </w:r>
          </w:p>
        </w:tc>
        <w:tc>
          <w:tcPr>
            <w:tcW w:w="1559" w:type="dxa"/>
            <w:vAlign w:val="center"/>
          </w:tcPr>
          <w:p w:rsidR="00E96768" w:rsidRPr="00E00B35" w:rsidRDefault="00E96768" w:rsidP="00E00B35">
            <w:pPr>
              <w:spacing w:after="0" w:line="312" w:lineRule="auto"/>
              <w:rPr>
                <w:rFonts w:cs="Verdana"/>
                <w:bCs/>
                <w:szCs w:val="20"/>
              </w:rPr>
            </w:pPr>
            <w:r w:rsidRPr="00E00B35">
              <w:rPr>
                <w:rFonts w:cs="Verdana"/>
                <w:bCs/>
                <w:szCs w:val="20"/>
              </w:rPr>
              <w:t>zrealizowano</w:t>
            </w:r>
          </w:p>
        </w:tc>
        <w:tc>
          <w:tcPr>
            <w:tcW w:w="850"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12</w:t>
            </w:r>
          </w:p>
        </w:tc>
        <w:tc>
          <w:tcPr>
            <w:tcW w:w="851"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12</w:t>
            </w:r>
          </w:p>
        </w:tc>
        <w:tc>
          <w:tcPr>
            <w:tcW w:w="1843" w:type="dxa"/>
            <w:gridSpan w:val="2"/>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11</w:t>
            </w:r>
          </w:p>
        </w:tc>
        <w:tc>
          <w:tcPr>
            <w:tcW w:w="992" w:type="dxa"/>
            <w:vAlign w:val="center"/>
          </w:tcPr>
          <w:p w:rsidR="00E96768" w:rsidRPr="00E00B35" w:rsidRDefault="00E96768" w:rsidP="00E00B35">
            <w:pPr>
              <w:spacing w:after="0" w:line="312" w:lineRule="auto"/>
              <w:rPr>
                <w:rFonts w:cs="Verdana"/>
                <w:szCs w:val="20"/>
              </w:rPr>
            </w:pPr>
            <w:r w:rsidRPr="00E00B35">
              <w:rPr>
                <w:rFonts w:cs="Verdana"/>
                <w:szCs w:val="20"/>
              </w:rPr>
              <w:t>12</w:t>
            </w:r>
          </w:p>
        </w:tc>
      </w:tr>
      <w:tr w:rsidR="00E96768" w:rsidRPr="00E00B35" w:rsidTr="00E96768">
        <w:trPr>
          <w:trHeight w:val="760"/>
          <w:tblHeader/>
        </w:trPr>
        <w:tc>
          <w:tcPr>
            <w:tcW w:w="4781" w:type="dxa"/>
            <w:vAlign w:val="center"/>
          </w:tcPr>
          <w:p w:rsidR="00E96768" w:rsidRPr="00E00B35" w:rsidRDefault="00E96768" w:rsidP="00E00B35">
            <w:pPr>
              <w:spacing w:after="0" w:line="312" w:lineRule="auto"/>
              <w:rPr>
                <w:b/>
                <w:szCs w:val="20"/>
              </w:rPr>
            </w:pPr>
            <w:r w:rsidRPr="00E00B35">
              <w:rPr>
                <w:szCs w:val="20"/>
              </w:rPr>
              <w:t xml:space="preserve">Przeprowadzanie spotkań Wrocławskiej Rady Inspektorów Ochrony Danych powołanej Zarządzeniem Nr 10804/18 Prezydenta Wrocławia z dnia 31 października 2018 r. </w:t>
            </w:r>
          </w:p>
        </w:tc>
        <w:tc>
          <w:tcPr>
            <w:tcW w:w="1559" w:type="dxa"/>
            <w:vAlign w:val="center"/>
          </w:tcPr>
          <w:p w:rsidR="00E96768" w:rsidRPr="00E00B35" w:rsidRDefault="00E96768" w:rsidP="00E00B35">
            <w:pPr>
              <w:spacing w:after="0" w:line="312" w:lineRule="auto"/>
              <w:rPr>
                <w:rFonts w:cs="Verdana"/>
                <w:bCs/>
                <w:szCs w:val="20"/>
              </w:rPr>
            </w:pPr>
            <w:r w:rsidRPr="00E00B35">
              <w:rPr>
                <w:rFonts w:cs="Verdana"/>
                <w:bCs/>
                <w:szCs w:val="20"/>
              </w:rPr>
              <w:t>zrealizowano</w:t>
            </w:r>
          </w:p>
        </w:tc>
        <w:tc>
          <w:tcPr>
            <w:tcW w:w="850"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1</w:t>
            </w:r>
          </w:p>
        </w:tc>
        <w:tc>
          <w:tcPr>
            <w:tcW w:w="851"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4</w:t>
            </w:r>
          </w:p>
        </w:tc>
        <w:tc>
          <w:tcPr>
            <w:tcW w:w="1843" w:type="dxa"/>
            <w:gridSpan w:val="2"/>
            <w:shd w:val="clear" w:color="auto" w:fill="FFFFFF"/>
          </w:tcPr>
          <w:p w:rsidR="00E96768" w:rsidRPr="00E00B35" w:rsidRDefault="00E96768" w:rsidP="00E00B35">
            <w:pPr>
              <w:spacing w:after="0" w:line="312" w:lineRule="auto"/>
              <w:rPr>
                <w:szCs w:val="20"/>
              </w:rPr>
            </w:pPr>
            <w:r w:rsidRPr="00E00B35">
              <w:rPr>
                <w:rFonts w:cs="Verdana"/>
                <w:szCs w:val="20"/>
              </w:rPr>
              <w:t>brak</w:t>
            </w:r>
          </w:p>
        </w:tc>
        <w:tc>
          <w:tcPr>
            <w:tcW w:w="992" w:type="dxa"/>
          </w:tcPr>
          <w:p w:rsidR="00E96768" w:rsidRPr="00E00B35" w:rsidRDefault="00E96768" w:rsidP="00E00B35">
            <w:pPr>
              <w:spacing w:after="0" w:line="312" w:lineRule="auto"/>
              <w:rPr>
                <w:szCs w:val="20"/>
              </w:rPr>
            </w:pPr>
            <w:r w:rsidRPr="00E00B35">
              <w:rPr>
                <w:rFonts w:cs="Verdana"/>
                <w:szCs w:val="20"/>
              </w:rPr>
              <w:t>brak</w:t>
            </w:r>
          </w:p>
        </w:tc>
      </w:tr>
      <w:tr w:rsidR="00E96768" w:rsidRPr="00E00B35" w:rsidTr="00E96768">
        <w:trPr>
          <w:trHeight w:val="589"/>
          <w:tblHeader/>
        </w:trPr>
        <w:tc>
          <w:tcPr>
            <w:tcW w:w="4781" w:type="dxa"/>
            <w:vAlign w:val="center"/>
          </w:tcPr>
          <w:p w:rsidR="00E96768" w:rsidRPr="00E00B35" w:rsidRDefault="00E96768" w:rsidP="00E00B35">
            <w:pPr>
              <w:spacing w:after="0" w:line="312" w:lineRule="auto"/>
              <w:rPr>
                <w:b/>
                <w:szCs w:val="20"/>
              </w:rPr>
            </w:pPr>
            <w:r w:rsidRPr="00E00B35">
              <w:rPr>
                <w:szCs w:val="20"/>
              </w:rPr>
              <w:t>Liczba osób, które zaliczyły w przewidzianym terminie szkolenie i test e-learningowy dotyczące incydentów bezpieczeństwa informacji w UMW.</w:t>
            </w:r>
          </w:p>
        </w:tc>
        <w:tc>
          <w:tcPr>
            <w:tcW w:w="1559" w:type="dxa"/>
            <w:vAlign w:val="center"/>
          </w:tcPr>
          <w:p w:rsidR="00E96768" w:rsidRPr="00E00B35" w:rsidRDefault="00E96768" w:rsidP="00E00B35">
            <w:pPr>
              <w:spacing w:after="0" w:line="312" w:lineRule="auto"/>
              <w:rPr>
                <w:rFonts w:cs="Verdana"/>
                <w:bCs/>
                <w:szCs w:val="20"/>
              </w:rPr>
            </w:pPr>
            <w:r w:rsidRPr="00E00B35">
              <w:rPr>
                <w:rFonts w:cs="Verdana"/>
                <w:bCs/>
                <w:szCs w:val="20"/>
              </w:rPr>
              <w:t>Zrealizowano</w:t>
            </w:r>
          </w:p>
        </w:tc>
        <w:tc>
          <w:tcPr>
            <w:tcW w:w="850"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1 848</w:t>
            </w:r>
          </w:p>
        </w:tc>
        <w:tc>
          <w:tcPr>
            <w:tcW w:w="851" w:type="dxa"/>
            <w:shd w:val="clear" w:color="auto" w:fill="FFFFFF"/>
            <w:vAlign w:val="center"/>
          </w:tcPr>
          <w:p w:rsidR="00E96768" w:rsidRPr="00E00B35" w:rsidRDefault="00E96768" w:rsidP="00E00B35">
            <w:pPr>
              <w:spacing w:after="0" w:line="312" w:lineRule="auto"/>
              <w:rPr>
                <w:rFonts w:cs="Verdana"/>
                <w:szCs w:val="20"/>
              </w:rPr>
            </w:pPr>
            <w:r w:rsidRPr="00E00B35">
              <w:rPr>
                <w:rFonts w:cs="Verdana"/>
                <w:szCs w:val="20"/>
              </w:rPr>
              <w:t>brak</w:t>
            </w:r>
          </w:p>
        </w:tc>
        <w:tc>
          <w:tcPr>
            <w:tcW w:w="1843" w:type="dxa"/>
            <w:gridSpan w:val="2"/>
            <w:shd w:val="clear" w:color="auto" w:fill="FFFFFF"/>
          </w:tcPr>
          <w:p w:rsidR="00E96768" w:rsidRPr="00E00B35" w:rsidRDefault="00E96768" w:rsidP="00E00B35">
            <w:pPr>
              <w:spacing w:after="0" w:line="312" w:lineRule="auto"/>
              <w:rPr>
                <w:szCs w:val="20"/>
              </w:rPr>
            </w:pPr>
            <w:r w:rsidRPr="00E00B35">
              <w:rPr>
                <w:rFonts w:cs="Verdana"/>
                <w:szCs w:val="20"/>
              </w:rPr>
              <w:t>brak</w:t>
            </w:r>
          </w:p>
        </w:tc>
        <w:tc>
          <w:tcPr>
            <w:tcW w:w="992" w:type="dxa"/>
          </w:tcPr>
          <w:p w:rsidR="00E96768" w:rsidRPr="00E00B35" w:rsidRDefault="00E96768" w:rsidP="00E00B35">
            <w:pPr>
              <w:spacing w:after="0" w:line="312" w:lineRule="auto"/>
              <w:rPr>
                <w:szCs w:val="20"/>
              </w:rPr>
            </w:pPr>
            <w:r w:rsidRPr="00E00B35">
              <w:rPr>
                <w:rFonts w:cs="Verdana"/>
                <w:szCs w:val="20"/>
              </w:rPr>
              <w:t>brak</w:t>
            </w:r>
          </w:p>
        </w:tc>
      </w:tr>
    </w:tbl>
    <w:p w:rsidR="003D14BB" w:rsidRPr="00E00B35" w:rsidRDefault="003D14BB" w:rsidP="00E00B35">
      <w:pPr>
        <w:pStyle w:val="Nagwek20"/>
        <w:spacing w:after="0" w:line="312" w:lineRule="auto"/>
        <w:rPr>
          <w:sz w:val="20"/>
          <w:szCs w:val="20"/>
        </w:rPr>
      </w:pPr>
    </w:p>
    <w:p w:rsidR="003D14BB" w:rsidRPr="00E00B35" w:rsidRDefault="003D14BB" w:rsidP="00E00B35">
      <w:pPr>
        <w:pStyle w:val="Nagwek20"/>
        <w:spacing w:after="0" w:line="312" w:lineRule="auto"/>
        <w:rPr>
          <w:sz w:val="20"/>
          <w:szCs w:val="20"/>
        </w:rPr>
      </w:pPr>
    </w:p>
    <w:p w:rsidR="00E96768" w:rsidRPr="00E00B35" w:rsidRDefault="00E96768" w:rsidP="00E00B35">
      <w:pPr>
        <w:pStyle w:val="Nagwek4"/>
        <w:spacing w:before="0" w:after="0" w:line="312" w:lineRule="auto"/>
        <w:rPr>
          <w:sz w:val="20"/>
          <w:szCs w:val="20"/>
        </w:rPr>
      </w:pPr>
      <w:r w:rsidRPr="00E00B35">
        <w:rPr>
          <w:sz w:val="20"/>
          <w:szCs w:val="20"/>
        </w:rPr>
        <w:t>BEZPIECZEŃSTWO I ZARZĄDZANIE KRYZYSOWE</w:t>
      </w:r>
    </w:p>
    <w:p w:rsidR="00E96768" w:rsidRPr="00E00B35" w:rsidRDefault="00E96768" w:rsidP="00E00B35">
      <w:pPr>
        <w:spacing w:after="0" w:line="312" w:lineRule="auto"/>
        <w:rPr>
          <w:rFonts w:cs="Verdana"/>
          <w:b/>
          <w:bCs/>
          <w:color w:val="FF0000"/>
          <w:szCs w:val="20"/>
        </w:rPr>
      </w:pPr>
    </w:p>
    <w:p w:rsidR="00E96768" w:rsidRPr="00E00B35" w:rsidRDefault="00E96768" w:rsidP="00E00B35">
      <w:pPr>
        <w:pStyle w:val="Nagwek5"/>
        <w:rPr>
          <w:szCs w:val="20"/>
        </w:rPr>
      </w:pPr>
      <w:r w:rsidRPr="00E00B35">
        <w:rPr>
          <w:szCs w:val="20"/>
        </w:rPr>
        <w:t>CENTRUM ZARZĄDZANIA KRYZYSOWEGO</w:t>
      </w:r>
    </w:p>
    <w:p w:rsidR="00E96768" w:rsidRPr="00E00B35" w:rsidRDefault="00E96768" w:rsidP="00E00B35">
      <w:pPr>
        <w:spacing w:after="0" w:line="312" w:lineRule="auto"/>
        <w:rPr>
          <w:rFonts w:cs="Verdana"/>
          <w:bCs/>
          <w:szCs w:val="20"/>
        </w:rPr>
      </w:pPr>
      <w:r w:rsidRPr="00E00B35">
        <w:rPr>
          <w:rFonts w:cs="Verdana"/>
          <w:bCs/>
          <w:szCs w:val="20"/>
        </w:rPr>
        <w:t>Reagowanie, monitorowanie zagrożeń i prognozowanie rozwoju sytuacji oraz podejmowanie działań związanych z bezpieczeństwem mieszkańców w 2020 roku.</w:t>
      </w:r>
    </w:p>
    <w:p w:rsidR="00E96768" w:rsidRPr="00E00B35" w:rsidRDefault="00E96768" w:rsidP="00E00B35">
      <w:pPr>
        <w:pStyle w:val="Nagwek3"/>
        <w:spacing w:after="0" w:line="312" w:lineRule="auto"/>
        <w:rPr>
          <w:b w:val="0"/>
          <w:sz w:val="20"/>
        </w:rPr>
      </w:pPr>
      <w:r w:rsidRPr="00E00B35">
        <w:rPr>
          <w:sz w:val="20"/>
        </w:rPr>
        <w:t>COVID-19</w:t>
      </w:r>
    </w:p>
    <w:p w:rsidR="00E96768" w:rsidRPr="00E00B35" w:rsidRDefault="00E96768" w:rsidP="00E00B35">
      <w:pPr>
        <w:spacing w:after="0" w:line="312" w:lineRule="auto"/>
        <w:rPr>
          <w:szCs w:val="20"/>
        </w:rPr>
      </w:pPr>
      <w:r w:rsidRPr="00E00B35">
        <w:rPr>
          <w:szCs w:val="20"/>
        </w:rPr>
        <w:t xml:space="preserve">W związku z wystąpieniem na terenie Polski choroby COVID-19, od początku lutego </w:t>
      </w:r>
      <w:r w:rsidRPr="00E00B35">
        <w:rPr>
          <w:szCs w:val="20"/>
        </w:rPr>
        <w:br/>
        <w:t xml:space="preserve">2020 r. Centrum Zarządzania Kryzysowego realizowało zadania związane z zapobieganiem i zwalczaniem COVID-19. </w:t>
      </w:r>
    </w:p>
    <w:p w:rsidR="00E96768" w:rsidRPr="00E00B35" w:rsidRDefault="00E96768" w:rsidP="00E00B35">
      <w:pPr>
        <w:pStyle w:val="Nagwek3"/>
        <w:spacing w:after="0" w:line="312" w:lineRule="auto"/>
        <w:rPr>
          <w:b w:val="0"/>
          <w:sz w:val="20"/>
        </w:rPr>
      </w:pPr>
      <w:r w:rsidRPr="00E00B35">
        <w:rPr>
          <w:sz w:val="20"/>
        </w:rPr>
        <w:lastRenderedPageBreak/>
        <w:t>Działania logistyczne:</w:t>
      </w:r>
    </w:p>
    <w:p w:rsidR="00E96768" w:rsidRPr="00E00B35" w:rsidRDefault="00E96768" w:rsidP="00E00B35">
      <w:pPr>
        <w:spacing w:after="0" w:line="312" w:lineRule="auto"/>
        <w:rPr>
          <w:szCs w:val="20"/>
        </w:rPr>
      </w:pPr>
      <w:r w:rsidRPr="00E00B35">
        <w:rPr>
          <w:szCs w:val="20"/>
        </w:rPr>
        <w:t>Zbudowano bazę sił i środków przeznaczonych do walki z COVID-19 oraz zakupiono: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maski FFP2,</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maski FFP3,</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maseczki jednorazowe,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płyny do dezynfekcji,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rękawiczki lateksowe/nitrylowe,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kombinezony/ubrania ochronne,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fartuchy flizelinowe,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przyłbice ochronne,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termometry,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okulary ochronne,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ozonatory na potrzeby dezynfekcji miejsc publicznych.</w:t>
      </w:r>
    </w:p>
    <w:p w:rsidR="003D14BB" w:rsidRPr="00E00B35" w:rsidRDefault="003D14BB" w:rsidP="00E00B35">
      <w:pPr>
        <w:pStyle w:val="Akapitzlist"/>
        <w:spacing w:after="0" w:line="312" w:lineRule="auto"/>
        <w:ind w:left="567"/>
        <w:rPr>
          <w:szCs w:val="20"/>
        </w:rPr>
      </w:pPr>
    </w:p>
    <w:p w:rsidR="00E96768" w:rsidRPr="00E00B35" w:rsidRDefault="00E96768" w:rsidP="00E00B35">
      <w:pPr>
        <w:spacing w:after="0" w:line="312" w:lineRule="auto"/>
        <w:rPr>
          <w:szCs w:val="20"/>
        </w:rPr>
      </w:pPr>
      <w:r w:rsidRPr="00E00B35">
        <w:rPr>
          <w:szCs w:val="20"/>
        </w:rPr>
        <w:t>Zakupione środki ochronne rozdysponowano służbom, inspekcjom, strażom oraz innym podmiotom takim jak m.in.:</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Komenda Miejska Policji,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Komenda Miejska Państwowej Straży Pożarnej,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Straż Miejska Wrocławia,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Pogotowie Ratunkowe,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Straż Graniczna,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Miejski Ośrodek Pomocy Społecznej - Domy Pomocy Społecznej,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Wrocławskie Centrum Rozwoju Społecznego,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Miejskie Centrum Usług Socjalnych,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Magazyn Edukacja,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Wrocławskie Centrum Zdrowia,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Wrocławski Zespół Żłobków,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Wrocławskie Centrum Integracji,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Młodzieżowe Centrum Sportu,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Zarząd Dróg i Utrzymania Miasta,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Specjalistyczny  Zakład Profilaktyczno-Leczniczy PROVITA</w:t>
      </w:r>
    </w:p>
    <w:p w:rsidR="003D14BB" w:rsidRPr="00E00B35" w:rsidRDefault="003D14BB"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W ramach zakupu środków ochrony zakupiono również 1 500 000 sztuk maseczek, które rozdano mieszkańcom gminy Wrocław oraz 10 000 sztuk wymazówek dla Pogotowia Ratunkowego.</w:t>
      </w:r>
    </w:p>
    <w:p w:rsidR="00E96768" w:rsidRPr="00E00B35" w:rsidRDefault="00E96768" w:rsidP="00E00B35">
      <w:pPr>
        <w:spacing w:after="0" w:line="312" w:lineRule="auto"/>
        <w:rPr>
          <w:szCs w:val="20"/>
        </w:rPr>
      </w:pPr>
      <w:r w:rsidRPr="00E00B35">
        <w:rPr>
          <w:szCs w:val="20"/>
        </w:rPr>
        <w:t>W związku z koniecznością zapewnienia bezpiecznych warunków pracy służbom zlokalizowanym  w budynku przy ul. Strzegomskiej 148, przygotowano i uruchomiono 2 zapasowe pomieszczenia umożliwiające zwiększenie dystansu społecznego w miejscu pracy.</w:t>
      </w:r>
    </w:p>
    <w:p w:rsidR="00E96768" w:rsidRPr="00E00B35" w:rsidRDefault="00E96768" w:rsidP="00E00B35">
      <w:pPr>
        <w:spacing w:after="0" w:line="312" w:lineRule="auto"/>
        <w:rPr>
          <w:szCs w:val="20"/>
        </w:rPr>
      </w:pPr>
      <w:r w:rsidRPr="00E00B35">
        <w:rPr>
          <w:szCs w:val="20"/>
        </w:rPr>
        <w:t>W ramach zadań antycovidowych koordynowano działania w zakresie testowania na COVID-19 pracowników UMW oraz innych jednostek miejskich jak również prowadzono pomoc w organizacji dezynfekcji pomieszczeń publicznych oraz  placówek oświaty.</w:t>
      </w:r>
    </w:p>
    <w:p w:rsidR="005B50AD" w:rsidRPr="00E00B35" w:rsidRDefault="005B50AD" w:rsidP="00E00B35">
      <w:pPr>
        <w:spacing w:after="0" w:line="312" w:lineRule="auto"/>
        <w:rPr>
          <w:szCs w:val="20"/>
        </w:rPr>
      </w:pPr>
    </w:p>
    <w:p w:rsidR="00E96768" w:rsidRPr="00E00B35" w:rsidRDefault="00E96768" w:rsidP="00E00B35">
      <w:pPr>
        <w:spacing w:after="0" w:line="312" w:lineRule="auto"/>
        <w:rPr>
          <w:b/>
          <w:szCs w:val="20"/>
        </w:rPr>
      </w:pPr>
      <w:r w:rsidRPr="00E00B35">
        <w:rPr>
          <w:b/>
          <w:szCs w:val="20"/>
        </w:rPr>
        <w:t>Ponadto: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Prowadzono działania z zakresu informowania mieszkańców o zagrożeniu.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Prowadzono działalność informacyjną dotyczącą sposobów zachowań w czasie epidemii.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Przeprowadzono analizę materiałów informacyjnych związanych z COVID – (plakat MPK, broszury informacyjne).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Kierowano sprawy mieszkańców do odpowiednich instytucji.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Udzielano informacji telefonicznej  instytucjom i osobom w przedmiotowym zakresie.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Prowadzono współpracę z zarządcami w zakresie koordynacji działań związanych z informowaniem mieszkańców Wrocławia oraz zabezpieczeniem i dezynfekcją obiektów.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Analizowano projekty i wdrażano zapisy aktów prawnych (Ustawa z dnia 2 marca 2020 roku o szczególnych rozwiązaniach związanych z zapobieganiem, przeciwdziałaniem i zwalczaniem COVID-19, innych chorób zakaźnych oraz wywołanych nimi sytuacji kryzysowych, Rozporządzenie Rady Ministrów w sprawie ustanowienia określonych ograniczeń, nakazów i zakazów w związku z wystąpieniem stanu epidemii).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Wydawano zalecenia w związku z obowiązującymi przepisami.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Zapewniano przepływ informacji pomiędzy szczeblami zarządzania kryzysowego dotyczącymi poleceń i pism kierowanych z Wojewódzkiego Centrum Zarządzania Kryzysowego  oraz Wojewody Dolnośląskiego.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Realizowano procedury związane z zagrożeniem epidemiologicznym.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Monitorowano sytuację związaną z zagrożeniem epidemiologicznym.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Koordynowano przepływ informacji o zagrożeniu od momentu wprowadzenia obostrzeń na granicach i lotniskach.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Monitorowano rozwój epidemii COVID-19 pod kątem wpływu na funkcjonowanie miasta oraz egzekucji obostrzeń sanitarnych.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Koordynowano zadania na płaszczyźnie współdziałania służb i jednostek oraz innych instytucji związanych z funkcjonowaniem miasta w czasie epidemii i zagrożeń współistniejących.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Prowadzono działania koordynujące, związane z przeprowadzeniem „rozpoznania” </w:t>
      </w:r>
      <w:r w:rsidRPr="00E00B35">
        <w:rPr>
          <w:szCs w:val="20"/>
        </w:rPr>
        <w:br/>
        <w:t xml:space="preserve">i „informowania” wśród instytucji i jednostek leczniczych, pomocowych, kulturalnych </w:t>
      </w:r>
      <w:r w:rsidRPr="00E00B35">
        <w:rPr>
          <w:szCs w:val="20"/>
        </w:rPr>
        <w:br/>
        <w:t xml:space="preserve">i oświatowych; dotyczące stanu przygotowań tych jednostek  oraz stanu ich zasobów </w:t>
      </w:r>
      <w:r w:rsidRPr="00E00B35">
        <w:rPr>
          <w:szCs w:val="20"/>
        </w:rPr>
        <w:br/>
        <w:t>w środki ochrony osobistej.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Utrzymywano bezpośredni kontakt z Powiatową Stacją Sanitarno-Epidemiologiczną oraz Dolnośląskim Urzędem Wojewódzkim w zakresie walki z zagrożeniem.</w:t>
      </w:r>
    </w:p>
    <w:p w:rsidR="00E96768" w:rsidRPr="00E00B35" w:rsidRDefault="00E96768" w:rsidP="00E00B35">
      <w:pPr>
        <w:pStyle w:val="Tekstpodstawowy"/>
        <w:spacing w:after="0" w:line="312" w:lineRule="auto"/>
        <w:rPr>
          <w:b/>
          <w:szCs w:val="20"/>
        </w:rPr>
      </w:pPr>
    </w:p>
    <w:p w:rsidR="00E96768" w:rsidRPr="00E00B35" w:rsidRDefault="00E96768" w:rsidP="00E00B35">
      <w:pPr>
        <w:pStyle w:val="Tekstpodstawowy"/>
        <w:spacing w:after="0" w:line="312" w:lineRule="auto"/>
        <w:rPr>
          <w:b/>
          <w:szCs w:val="20"/>
        </w:rPr>
      </w:pPr>
      <w:r w:rsidRPr="00E00B35">
        <w:rPr>
          <w:b/>
          <w:szCs w:val="20"/>
        </w:rPr>
        <w:t>Kwarantanna: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Na początku marca 2020 roku przygotowano i zapewniono 50 miejsc kwarantanny dla osób z terenu Wrocławia.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Realizowano zadania związane z zapewnieniem warunków do odbycia kwarantanny zbiorowej w Domu Studenckim przy ul. Wittiga dla osób z terenu województwa dolnośląskiego zgodnie z Decyzją Wojewody Dolnośląskiego. W ramach tych zadań zakupiono środki ochrony osobistej, pościel, środki czyszczące; zapewniono wyżywienie; zlecano dezynfekcję oraz pranie.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Prowadzono działania organizacyjne w zakresie kwarantanny indywidualnej.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Realizowano zamówienia i zapotrzebowania dotyczące osób przebywających w kwarantannie.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Zapewniano obieg informacji o potrzebach od osób objętych kwarantanną indywidualną do jednostek pomocowych.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Organizowano transport osób zagrożonym chorobą  COVID-19 (np. transport z lotniska, transport osób bezdomnych do miejsc kwarantanny).</w:t>
      </w:r>
    </w:p>
    <w:p w:rsidR="00E96768" w:rsidRPr="00E00B35" w:rsidRDefault="00E96768" w:rsidP="00E00B35">
      <w:pPr>
        <w:spacing w:after="0" w:line="312" w:lineRule="auto"/>
        <w:rPr>
          <w:b/>
          <w:szCs w:val="20"/>
        </w:rPr>
      </w:pPr>
    </w:p>
    <w:p w:rsidR="00E96768" w:rsidRPr="00E00B35" w:rsidRDefault="00E96768" w:rsidP="00E00B35">
      <w:pPr>
        <w:pStyle w:val="Nagwek5"/>
        <w:rPr>
          <w:szCs w:val="20"/>
        </w:rPr>
      </w:pPr>
      <w:r w:rsidRPr="00E00B35">
        <w:rPr>
          <w:szCs w:val="20"/>
        </w:rPr>
        <w:t>INNE ZAGROŻENIA</w:t>
      </w:r>
    </w:p>
    <w:p w:rsidR="003D14BB" w:rsidRPr="00E00B35" w:rsidRDefault="003D14BB"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26 stycznia 2020 r. – pożar hali produkcyjnej przy ul. Stabłowickiej</w:t>
      </w:r>
    </w:p>
    <w:p w:rsidR="00E96768" w:rsidRPr="00E00B35" w:rsidRDefault="00E96768" w:rsidP="00E00B35">
      <w:pPr>
        <w:spacing w:after="0" w:line="312" w:lineRule="auto"/>
        <w:rPr>
          <w:szCs w:val="20"/>
        </w:rPr>
      </w:pPr>
      <w:r w:rsidRPr="00E00B35">
        <w:rPr>
          <w:szCs w:val="20"/>
        </w:rPr>
        <w:t>Zorganizowano posiłki dla służb prowadzących działania na miejscu zdarzenia.</w:t>
      </w:r>
    </w:p>
    <w:p w:rsidR="003D14BB" w:rsidRPr="00E00B35" w:rsidRDefault="003D14BB"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18 marca 2020 r. – grypa ptaków</w:t>
      </w:r>
    </w:p>
    <w:p w:rsidR="00E96768" w:rsidRPr="00E00B35" w:rsidRDefault="00E96768" w:rsidP="00E00B35">
      <w:pPr>
        <w:spacing w:after="0" w:line="312" w:lineRule="auto"/>
        <w:rPr>
          <w:rFonts w:cs="Courier"/>
          <w:color w:val="000000"/>
          <w:szCs w:val="20"/>
        </w:rPr>
      </w:pPr>
      <w:r w:rsidRPr="00E00B35">
        <w:rPr>
          <w:szCs w:val="20"/>
        </w:rPr>
        <w:t xml:space="preserve">Otrzymano od </w:t>
      </w:r>
      <w:r w:rsidRPr="00E00B35">
        <w:rPr>
          <w:rFonts w:cs="Courier"/>
          <w:color w:val="000000"/>
          <w:szCs w:val="20"/>
        </w:rPr>
        <w:t>Powiatowego Lekarza Weterynarii (PLW) we Wrocławiu informację, iż część miasta Wrocławia znajduje się w obszarze zagrożonym grypą ptaków zgodnie z zapisem w Rozporządzeniu nr 10 Wojewody Dolnośląskiego z 13 marca 2020 r. Na polecenie PLW Centrum Zarządzania Kryzysowego przekazało do realizacji Zarządowi Dróg i Utrzymania Miasta zainstalowanie 4 tablic informujących, wyznaczających strefę zagrożoną.</w:t>
      </w:r>
    </w:p>
    <w:p w:rsidR="003D14BB" w:rsidRPr="00E00B35" w:rsidRDefault="003D14BB"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Czerwiec 2020 r. - wezbranie</w:t>
      </w:r>
    </w:p>
    <w:p w:rsidR="00E96768" w:rsidRPr="00E00B35" w:rsidRDefault="00E96768" w:rsidP="00E00B35">
      <w:pPr>
        <w:pStyle w:val="Tekstpodstawowy"/>
        <w:spacing w:after="0" w:line="312" w:lineRule="auto"/>
        <w:rPr>
          <w:szCs w:val="20"/>
        </w:rPr>
      </w:pPr>
      <w:r w:rsidRPr="00E00B35">
        <w:rPr>
          <w:szCs w:val="20"/>
        </w:rPr>
        <w:t>Wraz z PGW Wody Polskie i MPWiK przeprowadzono działania wynikające z zapisów Planu Operacyjnego Ochrony Miasta przed Powodzią. Obserwacja wezbrania.</w:t>
      </w:r>
    </w:p>
    <w:p w:rsidR="003D14BB" w:rsidRPr="00E00B35" w:rsidRDefault="003D14BB"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Październik 2020 r. - wezbranie</w:t>
      </w:r>
    </w:p>
    <w:p w:rsidR="00E96768" w:rsidRPr="00E00B35" w:rsidRDefault="00E96768" w:rsidP="00E00B35">
      <w:pPr>
        <w:pStyle w:val="Tekstpodstawowy"/>
        <w:spacing w:after="0" w:line="312" w:lineRule="auto"/>
        <w:rPr>
          <w:szCs w:val="20"/>
        </w:rPr>
      </w:pPr>
      <w:r w:rsidRPr="00E00B35">
        <w:rPr>
          <w:szCs w:val="20"/>
        </w:rPr>
        <w:t xml:space="preserve">Ogłoszenie i odwołanie pogotowia przeciwpowodziowego dla wszystkich wrocławskich rzek. Koordynacja i ścisła współpraca z PGW Wody Polskie i MPWiK w bezpiecznym przeprowadzeniu fal wezbraniowych przez Wrocławski Węzeł Wodny. Działania prowadzono zgodnie z Planem Operacyjnym Ochrony przed Powodzią. Sporządzono raport opisujący szczegółowo przebieg wezbrania. </w:t>
      </w:r>
    </w:p>
    <w:p w:rsidR="003D14BB" w:rsidRPr="00E00B35" w:rsidRDefault="003D14BB"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24 listopada 2020 r. – beczki z niebezpieczną substancją</w:t>
      </w:r>
    </w:p>
    <w:p w:rsidR="00E96768" w:rsidRPr="00E00B35" w:rsidRDefault="00E96768" w:rsidP="00E00B35">
      <w:pPr>
        <w:spacing w:after="0" w:line="312" w:lineRule="auto"/>
        <w:rPr>
          <w:szCs w:val="20"/>
        </w:rPr>
      </w:pPr>
      <w:r w:rsidRPr="00E00B35">
        <w:rPr>
          <w:rFonts w:eastAsia="Calibri" w:cs="Helv"/>
          <w:color w:val="000000"/>
          <w:szCs w:val="20"/>
        </w:rPr>
        <w:t xml:space="preserve">Otrzymano zgłoszenie od KM PSP dotyczące porzuconych </w:t>
      </w:r>
      <w:r w:rsidRPr="00E00B35">
        <w:rPr>
          <w:szCs w:val="20"/>
        </w:rPr>
        <w:t>44 beczek z niebezpiecznymi substancjami</w:t>
      </w:r>
      <w:r w:rsidRPr="00E00B35">
        <w:rPr>
          <w:rFonts w:eastAsia="Calibri" w:cs="Helv"/>
          <w:color w:val="000000"/>
          <w:szCs w:val="20"/>
        </w:rPr>
        <w:t xml:space="preserve"> w strefie pasa ruchu drogowego na ul. Mościckiego</w:t>
      </w:r>
      <w:r w:rsidRPr="00E00B35">
        <w:rPr>
          <w:szCs w:val="20"/>
        </w:rPr>
        <w:t xml:space="preserve">. CZK podjęło niezwłoczne  działania zmierzające do usunięcia i utylizacji porzuconych odpadów. Nawiązano kontakty z firmami, które mogły dokonać ustalenia rodzaju środka </w:t>
      </w:r>
      <w:r w:rsidRPr="00E00B35">
        <w:rPr>
          <w:szCs w:val="20"/>
        </w:rPr>
        <w:lastRenderedPageBreak/>
        <w:t xml:space="preserve">niebezpiecznego. W związku ze skażeniem gleby wynikłym z rozszczelnienia się jednej </w:t>
      </w:r>
      <w:r w:rsidRPr="00E00B35">
        <w:rPr>
          <w:szCs w:val="20"/>
        </w:rPr>
        <w:br/>
        <w:t xml:space="preserve">z beczek, podjęto decyzję o wymianie skażonej gleby oraz jej utylizacji. 25 listopada 2020 r. firma specjalistyczna podjęła działania polegające na usunięciu niebezpiecznej substancji z terenu i przewiezienie jej na składowisko posiadające niezbędne warunki do zapewnienia skutecznej likwidacji substancji niebezpiecznej. 17 grudnia 2020 r. wykonano usługę odkażania gleby. </w:t>
      </w:r>
    </w:p>
    <w:p w:rsidR="003D14BB" w:rsidRPr="00E00B35" w:rsidRDefault="003D14BB" w:rsidP="00E00B35">
      <w:pPr>
        <w:spacing w:after="0" w:line="312" w:lineRule="auto"/>
        <w:rPr>
          <w:b/>
          <w:szCs w:val="20"/>
        </w:rPr>
      </w:pPr>
    </w:p>
    <w:p w:rsidR="00E96768" w:rsidRPr="00E00B35" w:rsidRDefault="00E96768" w:rsidP="00E00B35">
      <w:pPr>
        <w:spacing w:after="0" w:line="312" w:lineRule="auto"/>
        <w:rPr>
          <w:b/>
          <w:szCs w:val="20"/>
        </w:rPr>
      </w:pPr>
      <w:r w:rsidRPr="00E00B35">
        <w:rPr>
          <w:b/>
          <w:szCs w:val="20"/>
        </w:rPr>
        <w:t>Statystyki podsumowujące pracę Dyżurnych CZK:</w:t>
      </w:r>
    </w:p>
    <w:p w:rsidR="00E96768" w:rsidRPr="00E00B35" w:rsidRDefault="00E96768" w:rsidP="00E00B35">
      <w:pPr>
        <w:spacing w:after="0" w:line="312" w:lineRule="auto"/>
        <w:rPr>
          <w:b/>
          <w:szCs w:val="20"/>
        </w:rPr>
      </w:pPr>
      <w:r w:rsidRPr="00E00B35">
        <w:rPr>
          <w:color w:val="000000"/>
          <w:szCs w:val="20"/>
        </w:rPr>
        <w:t xml:space="preserve">W 2020 r. podjęto </w:t>
      </w:r>
      <w:r w:rsidRPr="00E00B35">
        <w:rPr>
          <w:szCs w:val="20"/>
        </w:rPr>
        <w:t>15 123</w:t>
      </w:r>
      <w:r w:rsidRPr="00E00B35">
        <w:rPr>
          <w:color w:val="FF0000"/>
          <w:szCs w:val="20"/>
        </w:rPr>
        <w:t xml:space="preserve"> </w:t>
      </w:r>
      <w:r w:rsidRPr="00E00B35">
        <w:rPr>
          <w:color w:val="000000"/>
          <w:szCs w:val="20"/>
        </w:rPr>
        <w:t>działania, w tym:</w:t>
      </w:r>
    </w:p>
    <w:p w:rsidR="00E96768" w:rsidRPr="00E00B35" w:rsidRDefault="00E96768" w:rsidP="00BC64AB">
      <w:pPr>
        <w:pStyle w:val="Akapitzlist"/>
        <w:numPr>
          <w:ilvl w:val="0"/>
          <w:numId w:val="245"/>
        </w:numPr>
        <w:spacing w:after="0" w:line="312" w:lineRule="auto"/>
        <w:ind w:left="567" w:hanging="567"/>
        <w:rPr>
          <w:szCs w:val="20"/>
        </w:rPr>
      </w:pPr>
      <w:r w:rsidRPr="00E00B35">
        <w:rPr>
          <w:rFonts w:cs="Verdana"/>
          <w:szCs w:val="20"/>
        </w:rPr>
        <w:t xml:space="preserve">11 033 </w:t>
      </w:r>
      <w:r w:rsidRPr="00E00B35">
        <w:rPr>
          <w:szCs w:val="20"/>
        </w:rPr>
        <w:t>interwencji w Dzienniku Zgłoszeń CZK,</w:t>
      </w:r>
    </w:p>
    <w:p w:rsidR="00E96768" w:rsidRPr="00E00B35" w:rsidRDefault="00E96768" w:rsidP="00BC64AB">
      <w:pPr>
        <w:pStyle w:val="Akapitzlist"/>
        <w:numPr>
          <w:ilvl w:val="0"/>
          <w:numId w:val="245"/>
        </w:numPr>
        <w:spacing w:after="0" w:line="312" w:lineRule="auto"/>
        <w:ind w:left="567" w:hanging="567"/>
        <w:rPr>
          <w:rFonts w:cs="Verdana"/>
          <w:szCs w:val="20"/>
        </w:rPr>
      </w:pPr>
      <w:r w:rsidRPr="00E00B35">
        <w:rPr>
          <w:szCs w:val="20"/>
        </w:rPr>
        <w:t>4 090 dysp</w:t>
      </w:r>
      <w:r w:rsidRPr="00E00B35">
        <w:rPr>
          <w:rFonts w:cs="Verdana"/>
          <w:szCs w:val="20"/>
        </w:rPr>
        <w:t>ozycji lawet w Dzienniku Lawet CZK.</w:t>
      </w:r>
    </w:p>
    <w:p w:rsidR="00E96768" w:rsidRPr="00E00B35" w:rsidRDefault="00E96768" w:rsidP="00E00B35">
      <w:pPr>
        <w:spacing w:after="0" w:line="312" w:lineRule="auto"/>
        <w:rPr>
          <w:bCs/>
          <w:szCs w:val="20"/>
        </w:rPr>
      </w:pPr>
      <w:r w:rsidRPr="00E00B35">
        <w:rPr>
          <w:bCs/>
          <w:szCs w:val="20"/>
        </w:rPr>
        <w:t>Porządkowe (śmieci, sprzątanie po kolizjach, dysponowanie firm utylizacyjnych, śliskość na jezdni etc.).</w:t>
      </w:r>
    </w:p>
    <w:p w:rsidR="00E96768" w:rsidRPr="00E00B35" w:rsidRDefault="00E96768" w:rsidP="00E00B35">
      <w:pPr>
        <w:spacing w:after="0" w:line="312" w:lineRule="auto"/>
        <w:rPr>
          <w:bCs/>
          <w:szCs w:val="20"/>
        </w:rPr>
      </w:pPr>
      <w:r w:rsidRPr="00E00B35">
        <w:rPr>
          <w:bCs/>
          <w:szCs w:val="20"/>
        </w:rPr>
        <w:t>Infrastruktura (dot. infrastruktury miejskiej, znaki, przystanki, sygnalizacja świetlna, awarie sieciowe etc.).</w:t>
      </w:r>
    </w:p>
    <w:p w:rsidR="00E96768" w:rsidRPr="00E00B35" w:rsidRDefault="00E96768" w:rsidP="00E00B35">
      <w:pPr>
        <w:spacing w:after="0" w:line="312" w:lineRule="auto"/>
        <w:rPr>
          <w:bCs/>
          <w:szCs w:val="20"/>
        </w:rPr>
      </w:pPr>
      <w:r w:rsidRPr="00E00B35">
        <w:rPr>
          <w:bCs/>
          <w:szCs w:val="20"/>
        </w:rPr>
        <w:t>Mieszkaniowe (dot. lokali mieszkalnych, sprawy lokatorskie - awarie).</w:t>
      </w:r>
    </w:p>
    <w:p w:rsidR="00E96768" w:rsidRPr="00E00B35" w:rsidRDefault="00E96768" w:rsidP="00E00B35">
      <w:pPr>
        <w:spacing w:after="0" w:line="312" w:lineRule="auto"/>
        <w:rPr>
          <w:bCs/>
          <w:szCs w:val="20"/>
        </w:rPr>
      </w:pPr>
      <w:r w:rsidRPr="00E00B35">
        <w:rPr>
          <w:bCs/>
          <w:szCs w:val="20"/>
        </w:rPr>
        <w:t>Pozostałe (dot. rannych zwierząt, pozostałe zagrożenia, zgony, informacje</w:t>
      </w:r>
      <w:r w:rsidRPr="00E00B35">
        <w:rPr>
          <w:bCs/>
          <w:szCs w:val="20"/>
        </w:rPr>
        <w:br/>
        <w:t>o zgromadzeniach, informacje wewnętrzne i koordynujące oraz raportowanie).</w:t>
      </w:r>
    </w:p>
    <w:p w:rsidR="00E96768" w:rsidRPr="00E00B35" w:rsidRDefault="00E96768" w:rsidP="00E00B35">
      <w:pPr>
        <w:spacing w:after="0" w:line="312" w:lineRule="auto"/>
        <w:rPr>
          <w:bCs/>
          <w:szCs w:val="20"/>
        </w:rPr>
      </w:pPr>
      <w:r w:rsidRPr="00E00B35">
        <w:rPr>
          <w:bCs/>
          <w:szCs w:val="20"/>
        </w:rPr>
        <w:t>Służby pracujące w CZK przyjęły następujące ilości zgłoszeń na terenie Wrocławia: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Straż Miejska - 44 873 zgłoszeń,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Policja - 173 350 zgłoszeń,</w:t>
      </w:r>
    </w:p>
    <w:p w:rsidR="00E96768" w:rsidRPr="00E00B35" w:rsidRDefault="00E96768" w:rsidP="00BC64AB">
      <w:pPr>
        <w:pStyle w:val="Akapitzlist"/>
        <w:numPr>
          <w:ilvl w:val="0"/>
          <w:numId w:val="245"/>
        </w:numPr>
        <w:spacing w:after="0" w:line="312" w:lineRule="auto"/>
        <w:ind w:left="567" w:hanging="567"/>
        <w:rPr>
          <w:rFonts w:cstheme="minorBidi"/>
          <w:bCs/>
          <w:szCs w:val="20"/>
        </w:rPr>
      </w:pPr>
      <w:r w:rsidRPr="00E00B35">
        <w:rPr>
          <w:szCs w:val="20"/>
        </w:rPr>
        <w:t xml:space="preserve">Państwowa Straż Pożarna – 11 274 zgłoszenia, w tym: 2 356 dotyczących pożarów oraz 7 </w:t>
      </w:r>
      <w:r w:rsidRPr="00E00B35">
        <w:rPr>
          <w:bCs/>
          <w:color w:val="000000"/>
          <w:szCs w:val="20"/>
        </w:rPr>
        <w:t xml:space="preserve">411 dotyczących  innych </w:t>
      </w:r>
      <w:r w:rsidRPr="00E00B35">
        <w:rPr>
          <w:color w:val="000000"/>
          <w:szCs w:val="20"/>
        </w:rPr>
        <w:t>miejscowych zagrożeń</w:t>
      </w:r>
      <w:r w:rsidRPr="00E00B35">
        <w:rPr>
          <w:bCs/>
          <w:color w:val="000000"/>
          <w:szCs w:val="20"/>
        </w:rPr>
        <w:t xml:space="preserve"> </w:t>
      </w:r>
    </w:p>
    <w:p w:rsidR="00E96768" w:rsidRPr="00E00B35" w:rsidRDefault="00E96768" w:rsidP="00E00B35">
      <w:pPr>
        <w:spacing w:after="0" w:line="312" w:lineRule="auto"/>
        <w:rPr>
          <w:bCs/>
          <w:szCs w:val="20"/>
        </w:rPr>
      </w:pPr>
      <w:r w:rsidRPr="00E00B35">
        <w:rPr>
          <w:bCs/>
          <w:szCs w:val="20"/>
        </w:rPr>
        <w:t>W zakresie opracowywania i aktualizowania planów zarządzania kryzysowego: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Aktualizowano Plan Zarządzania Kryzysowego Miasta Wrocławia zgodnie </w:t>
      </w:r>
      <w:r w:rsidRPr="00E00B35">
        <w:rPr>
          <w:szCs w:val="20"/>
        </w:rPr>
        <w:br/>
        <w:t>z obowiązującym stanem prawnym,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Aktualizowano procedury reagowania kryzysowego dla dyżurnych Centrum Zarządzania Kryzysowego.</w:t>
      </w:r>
    </w:p>
    <w:p w:rsidR="00E96768" w:rsidRPr="00E00B35" w:rsidRDefault="00E96768" w:rsidP="00E00B35">
      <w:pPr>
        <w:spacing w:after="0" w:line="312" w:lineRule="auto"/>
        <w:rPr>
          <w:szCs w:val="20"/>
        </w:rPr>
      </w:pPr>
      <w:r w:rsidRPr="00E00B35">
        <w:rPr>
          <w:szCs w:val="20"/>
        </w:rPr>
        <w:t>Odbyły się 4 zbiorowe Posiedzenia Zespołu Zarządzania Kryzysowego oraz 43 w formie wideokonferencji w ramach Kolegium Prezydenta.</w:t>
      </w:r>
    </w:p>
    <w:p w:rsidR="00E96768" w:rsidRPr="00E00B35" w:rsidRDefault="00E96768" w:rsidP="00E00B35">
      <w:pPr>
        <w:pStyle w:val="Akapitzlist"/>
        <w:spacing w:after="0" w:line="312" w:lineRule="auto"/>
        <w:ind w:left="0"/>
        <w:rPr>
          <w:szCs w:val="20"/>
        </w:rPr>
      </w:pPr>
      <w:r w:rsidRPr="00E00B35">
        <w:rPr>
          <w:szCs w:val="20"/>
        </w:rPr>
        <w:t>Zaktualizowano mapy i plany Wrocławia oraz powiatu wrocławskiego, które będą służyły do aktualizacji planów obronnych oraz do zabezpieczenia działań prowadzonych przez CZK.</w:t>
      </w:r>
    </w:p>
    <w:p w:rsidR="00E96768" w:rsidRPr="00E00B35" w:rsidRDefault="00E96768" w:rsidP="00E00B35">
      <w:pPr>
        <w:spacing w:after="0" w:line="312" w:lineRule="auto"/>
        <w:rPr>
          <w:b/>
          <w:szCs w:val="20"/>
        </w:rPr>
      </w:pPr>
    </w:p>
    <w:p w:rsidR="00E96768" w:rsidRPr="00E00B35" w:rsidRDefault="00E96768" w:rsidP="00E00B35">
      <w:pPr>
        <w:spacing w:after="0" w:line="312" w:lineRule="auto"/>
        <w:rPr>
          <w:b/>
          <w:szCs w:val="20"/>
        </w:rPr>
      </w:pPr>
      <w:r w:rsidRPr="00E00B35">
        <w:rPr>
          <w:b/>
          <w:szCs w:val="20"/>
        </w:rPr>
        <w:t>Działania prewencyjne w zakresie reagowania na zagrożenia:</w:t>
      </w:r>
    </w:p>
    <w:p w:rsidR="00E96768" w:rsidRPr="00E00B35" w:rsidRDefault="00E96768" w:rsidP="00E00B35">
      <w:pPr>
        <w:spacing w:after="0" w:line="312" w:lineRule="auto"/>
        <w:rPr>
          <w:szCs w:val="20"/>
        </w:rPr>
      </w:pPr>
      <w:r w:rsidRPr="00E00B35">
        <w:rPr>
          <w:szCs w:val="20"/>
        </w:rPr>
        <w:t>Opracowywano i  przesyłano do Wydziału Komunikacji Społecznej Prezydenta Wrocławia komunikaty i ostrzeżenia związane z występowaniem niebezpiecznych zjawisk meteorologicznych (dyżurni CZK), a także wysłano ostrzeżenia dla Wrocławia za pośrednictwem aplikacji BLISKO.</w:t>
      </w:r>
    </w:p>
    <w:p w:rsidR="00E96768" w:rsidRPr="00E00B35" w:rsidRDefault="00E96768" w:rsidP="00E00B35">
      <w:pPr>
        <w:spacing w:after="0" w:line="312" w:lineRule="auto"/>
        <w:rPr>
          <w:szCs w:val="20"/>
        </w:rPr>
      </w:pPr>
      <w:r w:rsidRPr="00E00B35">
        <w:rPr>
          <w:szCs w:val="20"/>
        </w:rPr>
        <w:t xml:space="preserve">Wdrożono opracowaną przez Wydział Środowiska i Rolnictwa procedurę uruchamiania zadań przewidzianych Planem Działań Krótkoterminowych oraz monitorowano działania wprowadzone przez instytucje odpowiedzialne za ich realizację. </w:t>
      </w:r>
    </w:p>
    <w:p w:rsidR="00E96768" w:rsidRPr="00E00B35" w:rsidRDefault="00E96768" w:rsidP="00E00B35">
      <w:pPr>
        <w:pStyle w:val="Tekstpodstawowy"/>
        <w:spacing w:after="0" w:line="312" w:lineRule="auto"/>
        <w:rPr>
          <w:b/>
          <w:szCs w:val="20"/>
        </w:rPr>
      </w:pPr>
    </w:p>
    <w:p w:rsidR="00E96768" w:rsidRPr="00E00B35" w:rsidRDefault="00E96768" w:rsidP="00E00B35">
      <w:pPr>
        <w:pStyle w:val="Nagwek5"/>
        <w:rPr>
          <w:szCs w:val="20"/>
          <w:lang w:val="pl-PL"/>
        </w:rPr>
      </w:pPr>
      <w:r w:rsidRPr="00E00B35">
        <w:rPr>
          <w:szCs w:val="20"/>
        </w:rPr>
        <w:lastRenderedPageBreak/>
        <w:t>OCHRONA PRZECIWPOWODZIOWA</w:t>
      </w:r>
    </w:p>
    <w:p w:rsidR="00E96768" w:rsidRPr="00E00B35" w:rsidRDefault="00E96768" w:rsidP="00E00B35">
      <w:pPr>
        <w:pStyle w:val="Tekstpodstawowy"/>
        <w:spacing w:after="0" w:line="312" w:lineRule="auto"/>
        <w:rPr>
          <w:szCs w:val="20"/>
        </w:rPr>
      </w:pPr>
      <w:r w:rsidRPr="00E00B35">
        <w:rPr>
          <w:szCs w:val="20"/>
        </w:rPr>
        <w:t>Zaktualizowano Plan Operacyjny Ochrony przed Powodzią.</w:t>
      </w:r>
    </w:p>
    <w:p w:rsidR="00E96768" w:rsidRPr="00E00B35" w:rsidRDefault="00E96768" w:rsidP="00E00B35">
      <w:pPr>
        <w:pStyle w:val="Tekstpodstawowy"/>
        <w:spacing w:after="0" w:line="312" w:lineRule="auto"/>
        <w:rPr>
          <w:szCs w:val="20"/>
        </w:rPr>
      </w:pPr>
      <w:r w:rsidRPr="00E00B35">
        <w:rPr>
          <w:szCs w:val="20"/>
        </w:rPr>
        <w:t>Istniejący plan wymagał aktualizacji ze względu na zmieniające się okoliczności: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remont nabrzeża przy ul. Michalczyka,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oddanie do eksploatacji zbiornika przeciwpowodziowego Racibórz,</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aktualizacja map zagrożenia i ryzyka powodziowego (ISOK),</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występujące wezbrania, zwłaszcza wezbranie w październiku 2020 r.</w:t>
      </w:r>
    </w:p>
    <w:p w:rsidR="00E96768" w:rsidRPr="00E00B35" w:rsidRDefault="00E96768" w:rsidP="00E00B35">
      <w:pPr>
        <w:pStyle w:val="Tekstpodstawowy"/>
        <w:spacing w:after="0" w:line="312" w:lineRule="auto"/>
        <w:rPr>
          <w:szCs w:val="20"/>
        </w:rPr>
      </w:pPr>
      <w:r w:rsidRPr="00E00B35">
        <w:rPr>
          <w:szCs w:val="20"/>
        </w:rPr>
        <w:t>Uczestniczono w naradzie z dyrekcją Zarządu Zlewni RZGW, PGW Wody Polskie we Wrocławiu w sprawie organizacji wspólnych działań z zakresu ochrony przeciwpowodziowej na rok 2020 r.</w:t>
      </w:r>
    </w:p>
    <w:p w:rsidR="00E96768" w:rsidRPr="00E00B35" w:rsidRDefault="00E96768" w:rsidP="00E00B35">
      <w:pPr>
        <w:spacing w:after="0" w:line="312" w:lineRule="auto"/>
        <w:contextualSpacing/>
        <w:rPr>
          <w:szCs w:val="20"/>
        </w:rPr>
      </w:pPr>
      <w:r w:rsidRPr="00E00B35">
        <w:rPr>
          <w:szCs w:val="20"/>
        </w:rPr>
        <w:t xml:space="preserve">Współpracowano z Liderami Powodziowymi zarówno w czasie wezbrań, jak </w:t>
      </w:r>
      <w:r w:rsidRPr="00E00B35">
        <w:rPr>
          <w:szCs w:val="20"/>
        </w:rPr>
        <w:br/>
        <w:t>również w trakcie rozwiązywania  problemów bieżących.</w:t>
      </w:r>
    </w:p>
    <w:p w:rsidR="00E96768" w:rsidRPr="00E00B35" w:rsidRDefault="00E96768" w:rsidP="00E00B35">
      <w:pPr>
        <w:spacing w:after="0" w:line="312" w:lineRule="auto"/>
        <w:contextualSpacing/>
        <w:rPr>
          <w:szCs w:val="20"/>
        </w:rPr>
      </w:pPr>
      <w:r w:rsidRPr="00E00B35">
        <w:rPr>
          <w:szCs w:val="20"/>
        </w:rPr>
        <w:t>Uczestniczono w pracach „Niebieskiego Stołu” – gremium powstałego przy Biurze Rozwoju Wrocławia mającego na celu koordynację działań projektowo-urbanistycznych związanych z wrocławskimi rzekami. Konsultowano m.in. koncepcję powstania Tramwaju Wodnego.</w:t>
      </w:r>
    </w:p>
    <w:p w:rsidR="00E96768" w:rsidRPr="00E00B35" w:rsidRDefault="00E96768" w:rsidP="00E00B35">
      <w:pPr>
        <w:pStyle w:val="Tekstpodstawowy"/>
        <w:spacing w:after="0" w:line="312" w:lineRule="auto"/>
        <w:rPr>
          <w:bCs/>
          <w:szCs w:val="20"/>
        </w:rPr>
      </w:pPr>
      <w:r w:rsidRPr="00E00B35">
        <w:rPr>
          <w:bCs/>
          <w:szCs w:val="20"/>
        </w:rPr>
        <w:t xml:space="preserve">Zainicjowano działania w kierunku wykonania remontu zasuw na jazie Małgorzata, którego wykonanie zlecił ZZM. Uczestniczono  w odbiorze wykonanej inwestycji. </w:t>
      </w:r>
    </w:p>
    <w:p w:rsidR="00E96768" w:rsidRPr="00E00B35" w:rsidRDefault="00E96768" w:rsidP="00E00B35">
      <w:pPr>
        <w:pStyle w:val="Tekstpodstawowy"/>
        <w:spacing w:after="0" w:line="312" w:lineRule="auto"/>
        <w:rPr>
          <w:bCs/>
          <w:szCs w:val="20"/>
        </w:rPr>
      </w:pPr>
      <w:r w:rsidRPr="00E00B35">
        <w:rPr>
          <w:bCs/>
          <w:szCs w:val="20"/>
        </w:rPr>
        <w:t>Współpracowano z Politechniką Wrocławską w zakresie przygotowania planu operacyjnego dla terenów Wybrzeża Wyspiańskiego i Na Grobli. Prowadzono konsultacje, wizje terenowe, spotkania oraz korespondencję w tej sprawie.</w:t>
      </w:r>
    </w:p>
    <w:p w:rsidR="00E96768" w:rsidRPr="00E00B35" w:rsidRDefault="00E96768" w:rsidP="00E00B35">
      <w:pPr>
        <w:pStyle w:val="Tekstpodstawowy"/>
        <w:spacing w:after="0" w:line="312" w:lineRule="auto"/>
        <w:rPr>
          <w:bCs/>
          <w:szCs w:val="20"/>
        </w:rPr>
      </w:pPr>
      <w:r w:rsidRPr="00E00B35">
        <w:rPr>
          <w:bCs/>
          <w:szCs w:val="20"/>
        </w:rPr>
        <w:t>Uczestniczono w licznych spotkaniach, naradach i konsultacjach pomiędzy Urzędem Miejskim, MPWiK oraz deweloperem Vantage Development S.A. budującym nowe osiedle na terenie portu Popowice, w sprawie zabezpieczenia przeciwpowodziowego nowej inwestycji i partycypacji miasta przy przebudowie kanalizacji deszczowej.</w:t>
      </w:r>
    </w:p>
    <w:p w:rsidR="00E96768" w:rsidRPr="00E00B35" w:rsidRDefault="00E96768" w:rsidP="00E00B35">
      <w:pPr>
        <w:pStyle w:val="Tekstpodstawowy"/>
        <w:spacing w:after="0" w:line="312" w:lineRule="auto"/>
        <w:rPr>
          <w:bCs/>
          <w:szCs w:val="20"/>
        </w:rPr>
      </w:pPr>
      <w:r w:rsidRPr="00E00B35">
        <w:rPr>
          <w:bCs/>
          <w:szCs w:val="20"/>
        </w:rPr>
        <w:t>Uczestniczono w spotkaniu dotyczącym „Przeglądu i aktualizacji planów zarządzania ryzykiem powodziowym”.</w:t>
      </w:r>
    </w:p>
    <w:p w:rsidR="00E96768" w:rsidRPr="00E00B35" w:rsidRDefault="00E96768" w:rsidP="00E00B35">
      <w:pPr>
        <w:pStyle w:val="Tekstpodstawowy"/>
        <w:spacing w:after="0" w:line="312" w:lineRule="auto"/>
        <w:rPr>
          <w:bCs/>
          <w:szCs w:val="20"/>
        </w:rPr>
      </w:pPr>
      <w:r w:rsidRPr="00E00B35">
        <w:rPr>
          <w:bCs/>
          <w:szCs w:val="20"/>
        </w:rPr>
        <w:t xml:space="preserve">Zgłoszono w trakcie spotkania uwagi i miejsca, które powinny zostać uwzględnione </w:t>
      </w:r>
      <w:r w:rsidRPr="00E00B35">
        <w:rPr>
          <w:bCs/>
          <w:szCs w:val="20"/>
        </w:rPr>
        <w:br/>
        <w:t>w najnowszej aktualizacji wyżej wymienionego planu.</w:t>
      </w:r>
    </w:p>
    <w:p w:rsidR="00E96768" w:rsidRPr="00E00B35" w:rsidRDefault="00E96768" w:rsidP="00E00B35">
      <w:pPr>
        <w:pStyle w:val="Tekstpodstawowy"/>
        <w:spacing w:after="0" w:line="312" w:lineRule="auto"/>
        <w:rPr>
          <w:bCs/>
          <w:szCs w:val="20"/>
        </w:rPr>
      </w:pPr>
      <w:r w:rsidRPr="00E00B35">
        <w:rPr>
          <w:bCs/>
          <w:szCs w:val="20"/>
        </w:rPr>
        <w:t>Uczestniczono w spotkaniach dotyczących analizy stanu miasta pod względem Gospodarowania Wodami Opadowymi (GWO).</w:t>
      </w:r>
    </w:p>
    <w:p w:rsidR="00E96768" w:rsidRPr="00E00B35" w:rsidRDefault="00E96768" w:rsidP="00E00B35">
      <w:pPr>
        <w:pStyle w:val="Tekstpodstawowy"/>
        <w:spacing w:after="0" w:line="312" w:lineRule="auto"/>
        <w:rPr>
          <w:bCs/>
          <w:szCs w:val="20"/>
        </w:rPr>
      </w:pPr>
      <w:r w:rsidRPr="00E00B35">
        <w:rPr>
          <w:bCs/>
          <w:szCs w:val="20"/>
        </w:rPr>
        <w:t>Wraz z MPWiK, Biurem Wody i Energii na polecenie Prezydenta utworzono wspólną analizę stanu gospodarowania wodami opadowymi we Wrocławiu.</w:t>
      </w:r>
    </w:p>
    <w:p w:rsidR="00E96768" w:rsidRPr="00E00B35" w:rsidRDefault="00E96768" w:rsidP="00E00B35">
      <w:pPr>
        <w:pStyle w:val="Tekstpodstawowy"/>
        <w:spacing w:after="0" w:line="312" w:lineRule="auto"/>
        <w:rPr>
          <w:bCs/>
          <w:szCs w:val="20"/>
        </w:rPr>
      </w:pPr>
      <w:r w:rsidRPr="00E00B35">
        <w:rPr>
          <w:bCs/>
          <w:szCs w:val="20"/>
        </w:rPr>
        <w:t xml:space="preserve">Uczestniczono w przeglądach wałów przeciwpowodziowych organizowanych przez PGW Wody Polskie. </w:t>
      </w:r>
    </w:p>
    <w:p w:rsidR="00E96768" w:rsidRPr="00E00B35" w:rsidRDefault="00E96768" w:rsidP="00E00B35">
      <w:pPr>
        <w:pStyle w:val="Tekstpodstawowy"/>
        <w:spacing w:after="0" w:line="312" w:lineRule="auto"/>
        <w:rPr>
          <w:noProof/>
          <w:szCs w:val="20"/>
        </w:rPr>
      </w:pPr>
      <w:r w:rsidRPr="00E00B35">
        <w:rPr>
          <w:bCs/>
          <w:szCs w:val="20"/>
        </w:rPr>
        <w:t xml:space="preserve">Przeglądy dotyczyły </w:t>
      </w:r>
      <w:r w:rsidRPr="00E00B35">
        <w:rPr>
          <w:szCs w:val="20"/>
        </w:rPr>
        <w:t>wałów wszystkich wrocławskich rzek i polderów przeciwpowodziowych.</w:t>
      </w:r>
    </w:p>
    <w:p w:rsidR="00E96768" w:rsidRPr="00E00B35" w:rsidRDefault="00E96768" w:rsidP="00E00B35">
      <w:pPr>
        <w:pStyle w:val="Tekstpodstawowy"/>
        <w:spacing w:after="0" w:line="312" w:lineRule="auto"/>
        <w:rPr>
          <w:szCs w:val="20"/>
        </w:rPr>
      </w:pPr>
      <w:r w:rsidRPr="00E00B35">
        <w:rPr>
          <w:szCs w:val="20"/>
        </w:rPr>
        <w:t xml:space="preserve">Wykonano tablice informacyjne, które zostały zamontowane przy wszystkich górkach </w:t>
      </w:r>
      <w:r w:rsidRPr="00E00B35">
        <w:rPr>
          <w:szCs w:val="20"/>
        </w:rPr>
        <w:br/>
        <w:t>w mieście.</w:t>
      </w:r>
    </w:p>
    <w:p w:rsidR="00E96768" w:rsidRPr="00E00B35" w:rsidRDefault="00E96768" w:rsidP="00E00B35">
      <w:pPr>
        <w:pStyle w:val="Tekstpodstawowy"/>
        <w:spacing w:after="0" w:line="312" w:lineRule="auto"/>
        <w:rPr>
          <w:szCs w:val="20"/>
        </w:rPr>
      </w:pPr>
      <w:r w:rsidRPr="00E00B35">
        <w:rPr>
          <w:szCs w:val="20"/>
        </w:rPr>
        <w:t xml:space="preserve">Uczestniczono w comiesięcznych przeglądach i odbiorach robót konserwacyjnych na Jazie Małgorzata i fosie Miejskiej. </w:t>
      </w:r>
    </w:p>
    <w:p w:rsidR="00E96768" w:rsidRPr="00E00B35" w:rsidRDefault="00E96768" w:rsidP="00E00B35">
      <w:pPr>
        <w:pStyle w:val="Tekstpodstawowy"/>
        <w:spacing w:after="0" w:line="312" w:lineRule="auto"/>
        <w:rPr>
          <w:szCs w:val="20"/>
        </w:rPr>
      </w:pPr>
      <w:r w:rsidRPr="00E00B35">
        <w:rPr>
          <w:szCs w:val="20"/>
        </w:rPr>
        <w:t>Przeglądy są organizowane przez administratora obiektu Zarządu Zieleni Miejskiej.</w:t>
      </w:r>
    </w:p>
    <w:p w:rsidR="00E96768" w:rsidRPr="00E00B35" w:rsidRDefault="00E96768" w:rsidP="00E00B35">
      <w:pPr>
        <w:pStyle w:val="Tekstpodstawowy"/>
        <w:spacing w:after="0" w:line="312" w:lineRule="auto"/>
        <w:rPr>
          <w:bCs/>
          <w:szCs w:val="20"/>
        </w:rPr>
      </w:pPr>
      <w:r w:rsidRPr="00E00B35">
        <w:rPr>
          <w:szCs w:val="20"/>
        </w:rPr>
        <w:lastRenderedPageBreak/>
        <w:t xml:space="preserve">Wspólnie z Wydziałem Wody i Energii prowadzono działania w kierunku pozyskania środków na przebudowę ulicy Ślęzoujście. </w:t>
      </w:r>
    </w:p>
    <w:p w:rsidR="00E96768" w:rsidRPr="00E00B35" w:rsidRDefault="00E96768" w:rsidP="00E00B35">
      <w:pPr>
        <w:pStyle w:val="Tekstpodstawowy"/>
        <w:spacing w:after="0" w:line="312" w:lineRule="auto"/>
        <w:rPr>
          <w:szCs w:val="20"/>
        </w:rPr>
      </w:pPr>
      <w:r w:rsidRPr="00E00B35">
        <w:rPr>
          <w:szCs w:val="20"/>
        </w:rPr>
        <w:t xml:space="preserve">Zorganizowano przegląd roczny oraz pięcioletni wału Kozanów, przy udziale specjalisty </w:t>
      </w:r>
      <w:r w:rsidRPr="00E00B35">
        <w:rPr>
          <w:szCs w:val="20"/>
        </w:rPr>
        <w:br/>
        <w:t>z uprawnieniami hydrotechnicznymi oraz przedstawicielami zainteresowanych jednostek (ZDiUM, MPWiK, PGW WP, ZZM, Biuro Wody i Energii oraz WBZ UW Wrocław).  W ramach pięcioletniego przeglądu zlecono firmie Geoteko wykonanie terenowych badań geotechnicznych oraz pomiarów geodezyjnych w myśl zapisów prawa budowlanego.</w:t>
      </w:r>
    </w:p>
    <w:p w:rsidR="00E96768" w:rsidRPr="00E00B35" w:rsidRDefault="00E96768" w:rsidP="00E00B35">
      <w:pPr>
        <w:spacing w:after="0" w:line="312" w:lineRule="auto"/>
        <w:contextualSpacing/>
        <w:rPr>
          <w:bCs/>
          <w:szCs w:val="20"/>
        </w:rPr>
      </w:pPr>
      <w:r w:rsidRPr="00E00B35">
        <w:rPr>
          <w:bCs/>
          <w:szCs w:val="20"/>
        </w:rPr>
        <w:t>Dokonano przeglądu i konserwacji systemu monitoringu Wrocławskiego Węzła Wodnego.</w:t>
      </w:r>
    </w:p>
    <w:p w:rsidR="00E96768" w:rsidRPr="00E00B35" w:rsidRDefault="00E96768" w:rsidP="00E00B35">
      <w:pPr>
        <w:spacing w:after="0" w:line="312" w:lineRule="auto"/>
        <w:contextualSpacing/>
        <w:rPr>
          <w:bCs/>
          <w:szCs w:val="20"/>
        </w:rPr>
      </w:pPr>
    </w:p>
    <w:p w:rsidR="00E96768" w:rsidRPr="00E00B35" w:rsidRDefault="00E96768" w:rsidP="00E00B35">
      <w:pPr>
        <w:spacing w:after="0" w:line="312" w:lineRule="auto"/>
        <w:contextualSpacing/>
        <w:rPr>
          <w:bCs/>
          <w:szCs w:val="20"/>
        </w:rPr>
      </w:pPr>
      <w:r w:rsidRPr="00E00B35">
        <w:rPr>
          <w:bCs/>
          <w:szCs w:val="20"/>
        </w:rPr>
        <w:t>Działania w kierunku poprawy infrastruktury oraz wyposażenia siedziby Wydziału Bezpieczeństwa i Zarządzania Kryzysowego - Centrum Zarządzania Kryzysowego na ul. Strzegomskiej 148:</w:t>
      </w:r>
    </w:p>
    <w:p w:rsidR="00E96768" w:rsidRPr="00E00B35" w:rsidRDefault="00E96768" w:rsidP="00E00B35">
      <w:pPr>
        <w:spacing w:after="0" w:line="312" w:lineRule="auto"/>
        <w:contextualSpacing/>
        <w:rPr>
          <w:szCs w:val="20"/>
        </w:rPr>
      </w:pPr>
      <w:r w:rsidRPr="00E00B35">
        <w:rPr>
          <w:szCs w:val="20"/>
        </w:rPr>
        <w:t>Modernizacja Sali Dyspozytorskiej - dodano nowe sterowniki oświetlenia w pomieszczeniach dyspozytorskich celem zwiększenia komfortu pracy, szczególnie w godzinach nocnych.</w:t>
      </w:r>
    </w:p>
    <w:p w:rsidR="00E96768" w:rsidRPr="00E00B35" w:rsidRDefault="00E96768" w:rsidP="00E00B35">
      <w:pPr>
        <w:pStyle w:val="Akapitzlist"/>
        <w:tabs>
          <w:tab w:val="left" w:pos="225"/>
        </w:tabs>
        <w:spacing w:after="0" w:line="312" w:lineRule="auto"/>
        <w:ind w:left="0"/>
        <w:rPr>
          <w:szCs w:val="20"/>
        </w:rPr>
      </w:pPr>
      <w:r w:rsidRPr="00E00B35">
        <w:rPr>
          <w:szCs w:val="20"/>
        </w:rPr>
        <w:t>Zakupiono narzędzia oraz sprzęt do utrzymania sprawnego działania Centrum Zarządzania Kryzysowego.</w:t>
      </w:r>
    </w:p>
    <w:p w:rsidR="00E96768" w:rsidRPr="00E00B35" w:rsidRDefault="00E96768" w:rsidP="00E00B35">
      <w:pPr>
        <w:spacing w:after="0" w:line="312" w:lineRule="auto"/>
        <w:contextualSpacing/>
        <w:rPr>
          <w:szCs w:val="20"/>
        </w:rPr>
      </w:pPr>
      <w:r w:rsidRPr="00E00B35">
        <w:rPr>
          <w:szCs w:val="20"/>
        </w:rPr>
        <w:t>Rozbudowano system klimatyzacji w budynku C.</w:t>
      </w:r>
    </w:p>
    <w:p w:rsidR="00E96768" w:rsidRPr="00E00B35" w:rsidRDefault="00E96768" w:rsidP="00E00B35">
      <w:pPr>
        <w:spacing w:after="0" w:line="312" w:lineRule="auto"/>
        <w:rPr>
          <w:szCs w:val="20"/>
        </w:rPr>
      </w:pPr>
      <w:r w:rsidRPr="00E00B35">
        <w:rPr>
          <w:szCs w:val="20"/>
        </w:rPr>
        <w:t>Zakupiono oraz wdrożono cztery stanowiska operatorskie DGT DCA.</w:t>
      </w:r>
    </w:p>
    <w:p w:rsidR="00E96768" w:rsidRPr="00E00B35" w:rsidRDefault="00E96768" w:rsidP="00E00B35">
      <w:pPr>
        <w:spacing w:after="0" w:line="312" w:lineRule="auto"/>
        <w:rPr>
          <w:szCs w:val="20"/>
        </w:rPr>
      </w:pPr>
      <w:r w:rsidRPr="00E00B35">
        <w:rPr>
          <w:szCs w:val="20"/>
        </w:rPr>
        <w:t>Przebudowano rozdzielnicę piętrową budynku C przy ul. Strzegomskiej 148 wraz z zasilaniem rezerwowym.</w:t>
      </w:r>
    </w:p>
    <w:p w:rsidR="00E96768" w:rsidRPr="00E00B35" w:rsidRDefault="00E96768" w:rsidP="00E00B35">
      <w:pPr>
        <w:spacing w:after="0" w:line="312" w:lineRule="auto"/>
        <w:rPr>
          <w:szCs w:val="20"/>
        </w:rPr>
      </w:pPr>
      <w:r w:rsidRPr="00E00B35">
        <w:rPr>
          <w:szCs w:val="20"/>
        </w:rPr>
        <w:t>Utworzono dodatkowy punkt dystrybucyjny na potrzeby przeniesienia Sali Dyspozytorskiej w sytuacjach kryzysowych wymagających rozdzielenia pracy służb.</w:t>
      </w:r>
    </w:p>
    <w:p w:rsidR="00E96768" w:rsidRPr="00E00B35" w:rsidRDefault="00E96768" w:rsidP="00E00B35">
      <w:pPr>
        <w:spacing w:after="0" w:line="312" w:lineRule="auto"/>
        <w:rPr>
          <w:bCs/>
          <w:szCs w:val="20"/>
        </w:rPr>
      </w:pPr>
      <w:r w:rsidRPr="00E00B35">
        <w:rPr>
          <w:bCs/>
          <w:szCs w:val="20"/>
        </w:rPr>
        <w:t xml:space="preserve">Rozbudowano Systemu DART: utworzono </w:t>
      </w:r>
      <w:r w:rsidRPr="00E00B35">
        <w:rPr>
          <w:szCs w:val="20"/>
        </w:rPr>
        <w:t>Dziennik zgłoszeń CZK, Bazę danych CZK, oraz inne aplikacje powiązane.</w:t>
      </w:r>
    </w:p>
    <w:p w:rsidR="00E96768" w:rsidRPr="00E00B35" w:rsidRDefault="00E96768" w:rsidP="00E00B35">
      <w:pPr>
        <w:spacing w:after="0" w:line="312" w:lineRule="auto"/>
        <w:contextualSpacing/>
        <w:rPr>
          <w:bCs/>
          <w:szCs w:val="20"/>
        </w:rPr>
      </w:pPr>
      <w:r w:rsidRPr="00E00B35">
        <w:rPr>
          <w:bCs/>
          <w:szCs w:val="20"/>
        </w:rPr>
        <w:t>Monitoring Prewencyjny Wrocławia</w:t>
      </w:r>
    </w:p>
    <w:p w:rsidR="00E96768" w:rsidRPr="00E00B35" w:rsidRDefault="00E96768" w:rsidP="00E00B35">
      <w:pPr>
        <w:spacing w:after="0" w:line="312" w:lineRule="auto"/>
        <w:rPr>
          <w:szCs w:val="20"/>
        </w:rPr>
      </w:pPr>
      <w:r w:rsidRPr="00E00B35">
        <w:rPr>
          <w:szCs w:val="20"/>
        </w:rPr>
        <w:t>Uruchomiono system analityki wideo wraz z modułem mapowym dla monitoringu miejskiego.</w:t>
      </w:r>
    </w:p>
    <w:p w:rsidR="00E96768" w:rsidRPr="00E00B35" w:rsidRDefault="00E96768" w:rsidP="00E00B35">
      <w:pPr>
        <w:spacing w:after="0" w:line="312" w:lineRule="auto"/>
        <w:contextualSpacing/>
        <w:rPr>
          <w:szCs w:val="20"/>
        </w:rPr>
      </w:pPr>
      <w:r w:rsidRPr="00E00B35">
        <w:rPr>
          <w:szCs w:val="20"/>
        </w:rPr>
        <w:t>Uruchomiono tymczasową instalację monitoringu na terenie bulwaru Xawerego Dunikowskiego</w:t>
      </w:r>
    </w:p>
    <w:p w:rsidR="00E96768" w:rsidRPr="00E00B35" w:rsidRDefault="00E96768" w:rsidP="00E00B35">
      <w:pPr>
        <w:spacing w:after="0" w:line="312" w:lineRule="auto"/>
        <w:rPr>
          <w:szCs w:val="20"/>
        </w:rPr>
      </w:pPr>
      <w:r w:rsidRPr="00E00B35">
        <w:rPr>
          <w:szCs w:val="20"/>
        </w:rPr>
        <w:t>Rozbudowano i zmodernizowano dziewięć punktów kamerowych na terenie miasta Wrocławia.</w:t>
      </w:r>
    </w:p>
    <w:p w:rsidR="00E96768" w:rsidRPr="00E00B35" w:rsidRDefault="00E96768" w:rsidP="00E00B35">
      <w:pPr>
        <w:spacing w:after="0" w:line="312" w:lineRule="auto"/>
        <w:rPr>
          <w:szCs w:val="20"/>
        </w:rPr>
      </w:pPr>
      <w:r w:rsidRPr="00E00B35">
        <w:rPr>
          <w:szCs w:val="20"/>
        </w:rPr>
        <w:t>Przeprowadzono czyszczenie 121 kamer.</w:t>
      </w:r>
    </w:p>
    <w:p w:rsidR="00E96768" w:rsidRPr="00E00B35" w:rsidRDefault="00E96768" w:rsidP="00E00B35">
      <w:pPr>
        <w:spacing w:after="0" w:line="312" w:lineRule="auto"/>
        <w:contextualSpacing/>
        <w:rPr>
          <w:bCs/>
          <w:szCs w:val="20"/>
        </w:rPr>
      </w:pPr>
      <w:r w:rsidRPr="00E00B35">
        <w:rPr>
          <w:bCs/>
          <w:szCs w:val="20"/>
        </w:rPr>
        <w:t xml:space="preserve">Inne działania </w:t>
      </w:r>
    </w:p>
    <w:p w:rsidR="00E96768" w:rsidRPr="00E00B35" w:rsidRDefault="00E96768" w:rsidP="00E00B35">
      <w:pPr>
        <w:spacing w:after="0" w:line="312" w:lineRule="auto"/>
        <w:rPr>
          <w:szCs w:val="20"/>
        </w:rPr>
      </w:pPr>
      <w:r w:rsidRPr="00E00B35">
        <w:rPr>
          <w:szCs w:val="20"/>
        </w:rPr>
        <w:t xml:space="preserve">Uczestniczono w powołanym przez Prezydenta Wrocławia oraz Wydział Rolnictwa </w:t>
      </w:r>
      <w:r w:rsidRPr="00E00B35">
        <w:rPr>
          <w:szCs w:val="20"/>
        </w:rPr>
        <w:br/>
        <w:t>i Środowiska Zespole ds. redukcji hałasu mającym na celu wyznaczenie obszarów cichych i podjęto działania, które służą poprawie warunków akustycznych na terenie Wrocławia.</w:t>
      </w:r>
    </w:p>
    <w:p w:rsidR="00E96768" w:rsidRPr="00E00B35" w:rsidRDefault="00E96768" w:rsidP="00E00B35">
      <w:pPr>
        <w:spacing w:after="0" w:line="312" w:lineRule="auto"/>
        <w:rPr>
          <w:szCs w:val="20"/>
        </w:rPr>
      </w:pPr>
      <w:r w:rsidRPr="00E00B35">
        <w:rPr>
          <w:szCs w:val="20"/>
        </w:rPr>
        <w:t>Uczestniczono w 36</w:t>
      </w:r>
      <w:r w:rsidRPr="00E00B35">
        <w:rPr>
          <w:b/>
          <w:szCs w:val="20"/>
        </w:rPr>
        <w:t xml:space="preserve"> </w:t>
      </w:r>
      <w:r w:rsidRPr="00E00B35">
        <w:rPr>
          <w:szCs w:val="20"/>
        </w:rPr>
        <w:t xml:space="preserve">posiedzeniach Komisji Bezpieczeństwa Ruchu Drogowego. </w:t>
      </w:r>
    </w:p>
    <w:p w:rsidR="005B50AD" w:rsidRPr="00E00B35" w:rsidRDefault="005B50AD" w:rsidP="00E00B35">
      <w:pPr>
        <w:spacing w:after="0" w:line="312" w:lineRule="auto"/>
        <w:rPr>
          <w:b/>
          <w:bCs/>
          <w:szCs w:val="20"/>
        </w:rPr>
      </w:pPr>
    </w:p>
    <w:p w:rsidR="00E96768" w:rsidRPr="00E00B35" w:rsidRDefault="00E96768" w:rsidP="00E00B35">
      <w:pPr>
        <w:pStyle w:val="Nagwek5"/>
        <w:rPr>
          <w:szCs w:val="20"/>
        </w:rPr>
      </w:pPr>
      <w:r w:rsidRPr="00E00B35">
        <w:rPr>
          <w:szCs w:val="20"/>
        </w:rPr>
        <w:t>BEZPIECZEŃSTWO I OBRONNOŚĆ</w:t>
      </w:r>
    </w:p>
    <w:p w:rsidR="00E96768" w:rsidRPr="00E00B35" w:rsidRDefault="00E96768" w:rsidP="00E00B35">
      <w:pPr>
        <w:pStyle w:val="Tekstpodstawowy"/>
        <w:spacing w:after="0" w:line="312" w:lineRule="auto"/>
        <w:rPr>
          <w:bCs/>
          <w:szCs w:val="20"/>
        </w:rPr>
      </w:pPr>
      <w:r w:rsidRPr="00E00B35">
        <w:rPr>
          <w:bCs/>
          <w:szCs w:val="20"/>
        </w:rPr>
        <w:t xml:space="preserve">Realizowano ustawę z dnia 20 marca 2009 r. </w:t>
      </w:r>
      <w:r w:rsidRPr="00E00B35">
        <w:rPr>
          <w:bCs/>
          <w:iCs/>
          <w:szCs w:val="20"/>
        </w:rPr>
        <w:t xml:space="preserve">o bezpieczeństwie imprez masowych. </w:t>
      </w:r>
      <w:r w:rsidRPr="00E00B35">
        <w:rPr>
          <w:bCs/>
          <w:szCs w:val="20"/>
        </w:rPr>
        <w:t xml:space="preserve"> </w:t>
      </w:r>
    </w:p>
    <w:p w:rsidR="00E96768" w:rsidRPr="00E00B35" w:rsidRDefault="00E96768" w:rsidP="00E00B35">
      <w:pPr>
        <w:pStyle w:val="Tekstpodstawowy"/>
        <w:spacing w:after="0" w:line="312" w:lineRule="auto"/>
        <w:rPr>
          <w:szCs w:val="20"/>
        </w:rPr>
      </w:pPr>
      <w:r w:rsidRPr="00E00B35">
        <w:rPr>
          <w:szCs w:val="20"/>
        </w:rPr>
        <w:t>2017</w:t>
      </w:r>
    </w:p>
    <w:p w:rsidR="00E96768" w:rsidRPr="00E00B35" w:rsidRDefault="00E96768" w:rsidP="00E00B35">
      <w:pPr>
        <w:pStyle w:val="Tekstpodstawowy"/>
        <w:spacing w:after="0" w:line="312" w:lineRule="auto"/>
        <w:rPr>
          <w:szCs w:val="20"/>
        </w:rPr>
      </w:pPr>
      <w:r w:rsidRPr="00E00B35">
        <w:rPr>
          <w:szCs w:val="20"/>
        </w:rPr>
        <w:t>Liczba imprez:256</w:t>
      </w:r>
    </w:p>
    <w:p w:rsidR="00E96768" w:rsidRPr="00E00B35" w:rsidRDefault="00E96768" w:rsidP="00E00B35">
      <w:pPr>
        <w:pStyle w:val="Tekstpodstawowy"/>
        <w:spacing w:after="0" w:line="312" w:lineRule="auto"/>
        <w:rPr>
          <w:szCs w:val="20"/>
        </w:rPr>
      </w:pPr>
      <w:r w:rsidRPr="00E00B35">
        <w:rPr>
          <w:szCs w:val="20"/>
        </w:rPr>
        <w:lastRenderedPageBreak/>
        <w:t>Liczba zezwoleń:97</w:t>
      </w:r>
    </w:p>
    <w:p w:rsidR="00E96768" w:rsidRPr="00E00B35" w:rsidRDefault="00E96768" w:rsidP="00E00B35">
      <w:pPr>
        <w:pStyle w:val="Tekstpodstawowy"/>
        <w:spacing w:after="0" w:line="312" w:lineRule="auto"/>
        <w:rPr>
          <w:szCs w:val="20"/>
        </w:rPr>
      </w:pPr>
      <w:r w:rsidRPr="00E00B35">
        <w:rPr>
          <w:szCs w:val="20"/>
        </w:rPr>
        <w:t>2018</w:t>
      </w:r>
    </w:p>
    <w:p w:rsidR="00E96768" w:rsidRPr="00E00B35" w:rsidRDefault="00E96768" w:rsidP="00E00B35">
      <w:pPr>
        <w:pStyle w:val="Tekstpodstawowy"/>
        <w:spacing w:after="0" w:line="312" w:lineRule="auto"/>
        <w:rPr>
          <w:szCs w:val="20"/>
        </w:rPr>
      </w:pPr>
      <w:r w:rsidRPr="00E00B35">
        <w:rPr>
          <w:szCs w:val="20"/>
        </w:rPr>
        <w:t>Liczba imprez:230</w:t>
      </w:r>
    </w:p>
    <w:p w:rsidR="00E96768" w:rsidRPr="00E00B35" w:rsidRDefault="00E96768" w:rsidP="00E00B35">
      <w:pPr>
        <w:pStyle w:val="Tekstpodstawowy"/>
        <w:spacing w:after="0" w:line="312" w:lineRule="auto"/>
        <w:rPr>
          <w:szCs w:val="20"/>
        </w:rPr>
      </w:pPr>
      <w:r w:rsidRPr="00E00B35">
        <w:rPr>
          <w:szCs w:val="20"/>
        </w:rPr>
        <w:t>Liczba zezwoleń:121</w:t>
      </w:r>
    </w:p>
    <w:p w:rsidR="00E96768" w:rsidRPr="00E00B35" w:rsidRDefault="00E96768" w:rsidP="00E00B35">
      <w:pPr>
        <w:pStyle w:val="Tekstpodstawowy"/>
        <w:spacing w:after="0" w:line="312" w:lineRule="auto"/>
        <w:rPr>
          <w:szCs w:val="20"/>
        </w:rPr>
      </w:pPr>
      <w:r w:rsidRPr="00E00B35">
        <w:rPr>
          <w:szCs w:val="20"/>
        </w:rPr>
        <w:t>2019</w:t>
      </w:r>
    </w:p>
    <w:p w:rsidR="00E96768" w:rsidRPr="00E00B35" w:rsidRDefault="00E96768" w:rsidP="00E00B35">
      <w:pPr>
        <w:pStyle w:val="Tekstpodstawowy"/>
        <w:spacing w:after="0" w:line="312" w:lineRule="auto"/>
        <w:rPr>
          <w:szCs w:val="20"/>
        </w:rPr>
      </w:pPr>
      <w:r w:rsidRPr="00E00B35">
        <w:rPr>
          <w:szCs w:val="20"/>
        </w:rPr>
        <w:t>Liczba imprez:260</w:t>
      </w:r>
    </w:p>
    <w:p w:rsidR="00E96768" w:rsidRPr="00E00B35" w:rsidRDefault="00E96768" w:rsidP="00E00B35">
      <w:pPr>
        <w:pStyle w:val="Tekstpodstawowy"/>
        <w:spacing w:after="0" w:line="312" w:lineRule="auto"/>
        <w:rPr>
          <w:szCs w:val="20"/>
        </w:rPr>
      </w:pPr>
      <w:r w:rsidRPr="00E00B35">
        <w:rPr>
          <w:szCs w:val="20"/>
        </w:rPr>
        <w:t>Liczba zezwoleń:136</w:t>
      </w:r>
    </w:p>
    <w:p w:rsidR="00E96768" w:rsidRPr="00E00B35" w:rsidRDefault="00E96768" w:rsidP="00E00B35">
      <w:pPr>
        <w:pStyle w:val="Tekstpodstawowy"/>
        <w:spacing w:after="0" w:line="312" w:lineRule="auto"/>
        <w:rPr>
          <w:szCs w:val="20"/>
        </w:rPr>
      </w:pPr>
      <w:r w:rsidRPr="00E00B35">
        <w:rPr>
          <w:szCs w:val="20"/>
        </w:rPr>
        <w:t>2020</w:t>
      </w:r>
    </w:p>
    <w:p w:rsidR="00E96768" w:rsidRPr="00E00B35" w:rsidRDefault="00E96768" w:rsidP="00E00B35">
      <w:pPr>
        <w:pStyle w:val="Tekstpodstawowy"/>
        <w:spacing w:after="0" w:line="312" w:lineRule="auto"/>
        <w:rPr>
          <w:szCs w:val="20"/>
        </w:rPr>
      </w:pPr>
      <w:r w:rsidRPr="00E00B35">
        <w:rPr>
          <w:szCs w:val="20"/>
        </w:rPr>
        <w:t>Liczba imprez:90</w:t>
      </w:r>
    </w:p>
    <w:p w:rsidR="00E96768" w:rsidRPr="00E00B35" w:rsidRDefault="00E96768" w:rsidP="00E00B35">
      <w:pPr>
        <w:pStyle w:val="Tekstpodstawowy"/>
        <w:spacing w:after="0" w:line="312" w:lineRule="auto"/>
        <w:rPr>
          <w:szCs w:val="20"/>
        </w:rPr>
      </w:pPr>
      <w:r w:rsidRPr="00E00B35">
        <w:rPr>
          <w:szCs w:val="20"/>
        </w:rPr>
        <w:t>Liczba zezwoleń:50</w:t>
      </w:r>
    </w:p>
    <w:p w:rsidR="00E96768" w:rsidRPr="00E00B35" w:rsidRDefault="003D14BB" w:rsidP="00E00B35">
      <w:pPr>
        <w:spacing w:after="0" w:line="312" w:lineRule="auto"/>
        <w:rPr>
          <w:szCs w:val="20"/>
        </w:rPr>
      </w:pPr>
      <w:r w:rsidRPr="00E00B35">
        <w:rPr>
          <w:szCs w:val="20"/>
        </w:rPr>
        <w:br/>
      </w:r>
      <w:r w:rsidR="00E96768" w:rsidRPr="00E00B35">
        <w:rPr>
          <w:szCs w:val="20"/>
        </w:rPr>
        <w:t xml:space="preserve">W okresie od 1 stycznia 2020 r. do 31 grudnia 2020 r. wpłynęło 50 wniosków o wydanie zezwolenia na przeprowadzenie imprezy masowej, zmianę wydanego już zezwolenia lub uchylenie decyzji. </w:t>
      </w:r>
    </w:p>
    <w:p w:rsidR="00E96768" w:rsidRPr="00E00B35" w:rsidRDefault="00E96768" w:rsidP="00E00B35">
      <w:pPr>
        <w:spacing w:after="0" w:line="312" w:lineRule="auto"/>
        <w:rPr>
          <w:szCs w:val="20"/>
        </w:rPr>
      </w:pPr>
      <w:r w:rsidRPr="00E00B35">
        <w:rPr>
          <w:szCs w:val="20"/>
        </w:rPr>
        <w:t>W wyniku ich rozpatrzenia wydanych zostało: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21 zezwoleń jednorazowych,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15 zezwoleń na imprezy odbywające się według ustalonego terminarza,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6 zezwoleń zmieniających,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 decyzja uchylająca,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 decyzja umarzająca,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1 decyzja odmowna,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5 decyzji zakazujących.</w:t>
      </w:r>
    </w:p>
    <w:p w:rsidR="00E96768" w:rsidRPr="00E00B35" w:rsidRDefault="00E96768" w:rsidP="00E00B35">
      <w:pPr>
        <w:tabs>
          <w:tab w:val="left" w:pos="284"/>
        </w:tabs>
        <w:spacing w:after="0" w:line="312" w:lineRule="auto"/>
        <w:rPr>
          <w:szCs w:val="20"/>
        </w:rPr>
      </w:pPr>
      <w:r w:rsidRPr="00E00B35">
        <w:rPr>
          <w:szCs w:val="20"/>
        </w:rPr>
        <w:t>Decyzje wydane w powyższym okresie zezwoliły na przeprowadzenie około 99 imprez masowych. Od marca 2020 r. z powodu pandemii koronowirusa odwołano bądź przełożono wiele imprez masowych. Wyjątkowa sytuacja związana z epidemią COVID-19 spowodowała kolejno: wprowadzenie całkowitego zakazu imprez masowych, następnie wprowadzenie ograniczeń o zróżnicowanym charakterze, po czym ponownie utrzymano zakaz organizacji imprez masowych, który obowiązywał do 31 grudnia 2020 r.</w:t>
      </w:r>
    </w:p>
    <w:p w:rsidR="00E96768" w:rsidRPr="00E00B35" w:rsidRDefault="00E96768" w:rsidP="00E00B35">
      <w:pPr>
        <w:autoSpaceDE w:val="0"/>
        <w:autoSpaceDN w:val="0"/>
        <w:adjustRightInd w:val="0"/>
        <w:spacing w:after="0" w:line="312" w:lineRule="auto"/>
        <w:rPr>
          <w:bCs/>
          <w:szCs w:val="20"/>
        </w:rPr>
      </w:pPr>
    </w:p>
    <w:p w:rsidR="00E96768" w:rsidRPr="00E00B35" w:rsidRDefault="00E96768" w:rsidP="00E00B35">
      <w:pPr>
        <w:tabs>
          <w:tab w:val="left" w:pos="7200"/>
        </w:tabs>
        <w:spacing w:after="0" w:line="312" w:lineRule="auto"/>
        <w:rPr>
          <w:szCs w:val="20"/>
        </w:rPr>
      </w:pPr>
      <w:r w:rsidRPr="00E00B35">
        <w:rPr>
          <w:szCs w:val="20"/>
        </w:rPr>
        <w:t>Zgodnie z art. 31 ust. 1 i 2  ustawy o bezpieczeństwie imprez masowych przeprowadzono kontrolę 14 imprez masowych.</w:t>
      </w:r>
    </w:p>
    <w:p w:rsidR="00E96768" w:rsidRPr="00E00B35" w:rsidRDefault="00E96768" w:rsidP="00E00B35">
      <w:pPr>
        <w:spacing w:after="0" w:line="312" w:lineRule="auto"/>
        <w:rPr>
          <w:szCs w:val="20"/>
        </w:rPr>
      </w:pPr>
      <w:r w:rsidRPr="00E00B35">
        <w:rPr>
          <w:szCs w:val="20"/>
        </w:rPr>
        <w:t>Kontrolą objęto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liczebność, uprawnienia, oznakowanie, wyposażenie i rozmieszczenie służby porządkowej i informacyjnej,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organizację zabezpieczenia i ewakuacji wynikającą z planu graficznego,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umieszczenie regulaminu imprezy i regulaminu obiektu,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funkcjonowanie monitoringu,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spełnienie warunków wynikających z opinii organów, o których mowa w art. 26 ust. 2 ustawy o bezpieczeństwie imprez masowych. </w:t>
      </w:r>
    </w:p>
    <w:p w:rsidR="00E96768" w:rsidRPr="00E00B35" w:rsidRDefault="00E96768" w:rsidP="00E00B35">
      <w:pPr>
        <w:spacing w:after="0" w:line="312" w:lineRule="auto"/>
        <w:rPr>
          <w:szCs w:val="20"/>
        </w:rPr>
      </w:pPr>
      <w:r w:rsidRPr="00E00B35">
        <w:rPr>
          <w:szCs w:val="20"/>
        </w:rPr>
        <w:t>Stwierdzone odstępstwa nie powodowały zagrożenia dla bezpieczeństwa uczestników imprezy, dlatego nie było przypadku jej przerwania.</w:t>
      </w:r>
    </w:p>
    <w:p w:rsidR="00E96768" w:rsidRPr="00E00B35" w:rsidRDefault="00E96768" w:rsidP="00E00B35">
      <w:pPr>
        <w:autoSpaceDE w:val="0"/>
        <w:autoSpaceDN w:val="0"/>
        <w:adjustRightInd w:val="0"/>
        <w:spacing w:after="0" w:line="312" w:lineRule="auto"/>
        <w:rPr>
          <w:szCs w:val="20"/>
        </w:rPr>
      </w:pPr>
      <w:r w:rsidRPr="00E00B35">
        <w:rPr>
          <w:szCs w:val="20"/>
        </w:rPr>
        <w:lastRenderedPageBreak/>
        <w:t xml:space="preserve">Do najczęstszych nieprawidłowości podczas imprez masowych dochodziło na stadionie podczas meczy piłki nożnej, było to odpalanie rac świetlnych i hukowych przez kibiców oraz rozkładanie tzw. sektorówek. </w:t>
      </w:r>
    </w:p>
    <w:p w:rsidR="00E96768" w:rsidRPr="00E00B35" w:rsidRDefault="00E96768" w:rsidP="00E00B35">
      <w:pPr>
        <w:pStyle w:val="Tekstpodstawowy"/>
        <w:spacing w:after="0" w:line="312" w:lineRule="auto"/>
        <w:rPr>
          <w:szCs w:val="20"/>
        </w:rPr>
      </w:pPr>
      <w:r w:rsidRPr="00E00B35">
        <w:rPr>
          <w:szCs w:val="20"/>
        </w:rPr>
        <w:t xml:space="preserve">W omawianym okresie organ gminy na bieżąco współpracował ze służbami zaangażowanymi w procedurę administracyjną dotyczącą imprez masowych </w:t>
      </w:r>
      <w:r w:rsidRPr="00E00B35">
        <w:rPr>
          <w:szCs w:val="20"/>
        </w:rPr>
        <w:br/>
        <w:t>i zgromadzeń publicznych (KMP, KMPSP, SM, Pogotowie Ratunkowe, Sanepid). Podczas spotkań omawiano zaistniałe problemy i wymieniano poglądy.</w:t>
      </w:r>
    </w:p>
    <w:p w:rsidR="00E96768" w:rsidRPr="00E00B35" w:rsidRDefault="00E96768" w:rsidP="00E00B35">
      <w:pPr>
        <w:autoSpaceDE w:val="0"/>
        <w:autoSpaceDN w:val="0"/>
        <w:adjustRightInd w:val="0"/>
        <w:spacing w:after="0" w:line="312" w:lineRule="auto"/>
        <w:rPr>
          <w:rFonts w:cs="Arial"/>
          <w:color w:val="000000"/>
          <w:szCs w:val="20"/>
        </w:rPr>
      </w:pPr>
      <w:r w:rsidRPr="00E00B35">
        <w:rPr>
          <w:szCs w:val="20"/>
        </w:rPr>
        <w:t xml:space="preserve">Ponadto przedstawiciele Wydziału Bezpieczeństwa i Zarządzania Kryzysowego uczestniczyli w pracach Zespołu ds. organizacji imprez masowych przy Wojewodzie Dolnośląskim, którego głównym zadaniem jest ocena potencjalnych i występujących zagrożeń mogących mieć wpływ na bezpieczeństwo imprez masowych oraz prognozowanie tych zagrożeń, analiza i ocena działań podmiotów współodpowiedzialnych za bezpieczeństwo imprez masowych. Na bieżąco omawiano zaistniałe problemy </w:t>
      </w:r>
      <w:r w:rsidRPr="00E00B35">
        <w:rPr>
          <w:szCs w:val="20"/>
        </w:rPr>
        <w:br/>
        <w:t xml:space="preserve">i wymieniano poglądy. </w:t>
      </w:r>
    </w:p>
    <w:p w:rsidR="00E96768" w:rsidRPr="00E00B35" w:rsidRDefault="00E96768" w:rsidP="00E00B35">
      <w:pPr>
        <w:pStyle w:val="Tekstpodstawowy"/>
        <w:spacing w:after="0" w:line="312" w:lineRule="auto"/>
        <w:rPr>
          <w:bCs/>
          <w:szCs w:val="20"/>
        </w:rPr>
      </w:pPr>
      <w:r w:rsidRPr="00E00B35">
        <w:rPr>
          <w:bCs/>
          <w:szCs w:val="20"/>
        </w:rPr>
        <w:t xml:space="preserve">Realizowano ustawę z dnia 24 lipca 2015r. </w:t>
      </w:r>
      <w:r w:rsidRPr="00E00B35">
        <w:rPr>
          <w:bCs/>
          <w:iCs/>
          <w:szCs w:val="20"/>
        </w:rPr>
        <w:t>Prawo o zgromadzeniach.</w:t>
      </w:r>
      <w:r w:rsidRPr="00E00B35">
        <w:rPr>
          <w:bCs/>
          <w:szCs w:val="20"/>
        </w:rPr>
        <w:t xml:space="preserve"> </w:t>
      </w:r>
    </w:p>
    <w:p w:rsidR="00E96768" w:rsidRPr="00E00B35" w:rsidRDefault="00E96768" w:rsidP="00E00B35">
      <w:pPr>
        <w:pStyle w:val="Tekstpodstawowy"/>
        <w:spacing w:after="0" w:line="312" w:lineRule="auto"/>
        <w:rPr>
          <w:bCs/>
          <w:szCs w:val="20"/>
        </w:rPr>
      </w:pPr>
      <w:r w:rsidRPr="00E00B35">
        <w:rPr>
          <w:bCs/>
          <w:szCs w:val="20"/>
        </w:rPr>
        <w:t>Liczba zgromadzeń: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2017 - 395</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2018 - 507</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2019 - 573</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2020 - 523</w:t>
      </w:r>
    </w:p>
    <w:p w:rsidR="00E96768" w:rsidRPr="00E00B35" w:rsidRDefault="00E96768" w:rsidP="00E00B35">
      <w:pPr>
        <w:autoSpaceDE w:val="0"/>
        <w:autoSpaceDN w:val="0"/>
        <w:adjustRightInd w:val="0"/>
        <w:spacing w:after="0" w:line="312" w:lineRule="auto"/>
        <w:rPr>
          <w:rFonts w:cs="Verdana"/>
          <w:szCs w:val="20"/>
        </w:rPr>
      </w:pPr>
    </w:p>
    <w:p w:rsidR="00E96768" w:rsidRPr="00E00B35" w:rsidRDefault="00E96768" w:rsidP="00E00B35">
      <w:pPr>
        <w:pStyle w:val="Tekstpodstawowywcity"/>
        <w:spacing w:after="0" w:line="312" w:lineRule="auto"/>
        <w:ind w:left="0"/>
        <w:rPr>
          <w:szCs w:val="20"/>
        </w:rPr>
      </w:pPr>
      <w:r w:rsidRPr="00E00B35">
        <w:rPr>
          <w:szCs w:val="20"/>
        </w:rPr>
        <w:t xml:space="preserve">W okresie od 1 stycznia 2020 r. do 31 grudnia 2020 r. przyjęto 523 zawiadomień </w:t>
      </w:r>
      <w:r w:rsidRPr="00E00B35">
        <w:rPr>
          <w:szCs w:val="20"/>
        </w:rPr>
        <w:br/>
        <w:t xml:space="preserve">o zgromadzeniach publicznych organizowanych na terenie miasta Wrocławia, z tego: </w:t>
      </w:r>
      <w:r w:rsidRPr="00E00B35">
        <w:rPr>
          <w:szCs w:val="20"/>
        </w:rPr>
        <w:br/>
        <w:t xml:space="preserve">66 w trybie zwykłym, 457 w trybie uproszczonym, 85 zgromadzeń odwołano. </w:t>
      </w:r>
    </w:p>
    <w:p w:rsidR="00E96768" w:rsidRPr="00E00B35" w:rsidRDefault="00E96768" w:rsidP="00E00B35">
      <w:pPr>
        <w:pStyle w:val="Tekstpodstawowy"/>
        <w:spacing w:after="0" w:line="312" w:lineRule="auto"/>
        <w:rPr>
          <w:szCs w:val="20"/>
        </w:rPr>
      </w:pPr>
      <w:r w:rsidRPr="00E00B35">
        <w:rPr>
          <w:szCs w:val="20"/>
        </w:rPr>
        <w:t xml:space="preserve">Upoważnieni przez Prezydenta Wrocławia pracownicy  uczestniczyli w 90 zgromadzeniach publicznych. Każdorazowo przewodniczący zgromadzeń byli pouczani przez przedstawiciela organu gminy (w obecności funkcjonariusza Komendy Miejskiej Policji) o przysługujących im prawach i obowiązkach wynikających z ustawy Prawo o zgromadzeniach. </w:t>
      </w:r>
    </w:p>
    <w:p w:rsidR="00E96768" w:rsidRPr="00E00B35" w:rsidRDefault="00E96768" w:rsidP="00E00B35">
      <w:pPr>
        <w:pStyle w:val="Tekstpodstawowy"/>
        <w:spacing w:after="0" w:line="312" w:lineRule="auto"/>
        <w:rPr>
          <w:szCs w:val="20"/>
        </w:rPr>
      </w:pPr>
      <w:r w:rsidRPr="00E00B35">
        <w:rPr>
          <w:szCs w:val="20"/>
        </w:rPr>
        <w:t>We wskazanym okresie wydano 8 decyzji rozwiązujących zgromadzenie (8 marca 2020 r. plac Nowy Targ – naruszenie art. 140 i 141 kodeksu wykroczeń; 10 marca 2020 r. przed Szpitalem przy ul. Marii-Curie Skłodowskiej - naruszenie art. 140 i 141 kodeksu wykroczeń; 10 października 2020 r. – 6 zgromadzeń Rynek przy Pręgierzu - w związku ze stwarzaniem przez przebieg zgromadzenia zagrożenia dla życia lub zdrowia ludzi). Pozostałe zgromadzenia przebiegały spokojnie, pokojowo, zgodnie ze złożonym wcześniej zawiadomieniem. Podczas zgromadzeń publicznych przedstawiciele Prezydenta Wrocławia byli w stałym kontakcie z funkcjonariuszami zabezpieczającymi zgromadzenia.</w:t>
      </w:r>
    </w:p>
    <w:p w:rsidR="00E96768" w:rsidRPr="00E00B35" w:rsidRDefault="00E96768" w:rsidP="00E00B35">
      <w:pPr>
        <w:autoSpaceDE w:val="0"/>
        <w:autoSpaceDN w:val="0"/>
        <w:adjustRightInd w:val="0"/>
        <w:spacing w:after="0" w:line="312" w:lineRule="auto"/>
        <w:rPr>
          <w:rFonts w:cs="Verdana"/>
          <w:szCs w:val="20"/>
        </w:rPr>
      </w:pPr>
    </w:p>
    <w:p w:rsidR="00E96768" w:rsidRPr="00E00B35" w:rsidRDefault="00E96768" w:rsidP="00E00B35">
      <w:pPr>
        <w:autoSpaceDE w:val="0"/>
        <w:autoSpaceDN w:val="0"/>
        <w:adjustRightInd w:val="0"/>
        <w:spacing w:after="0" w:line="312" w:lineRule="auto"/>
        <w:rPr>
          <w:rFonts w:cs="Verdana"/>
          <w:szCs w:val="20"/>
        </w:rPr>
      </w:pPr>
      <w:r w:rsidRPr="00E00B35">
        <w:rPr>
          <w:rFonts w:cs="Verdana"/>
          <w:szCs w:val="20"/>
        </w:rPr>
        <w:t>Pozwolenia wydane na zajęcie terenu Rynku i okolic oraz pl. Wolności.</w:t>
      </w:r>
    </w:p>
    <w:p w:rsidR="00E96768" w:rsidRPr="00E00B35" w:rsidRDefault="00E96768" w:rsidP="00E00B35">
      <w:pPr>
        <w:pStyle w:val="Tekstpodstawowy"/>
        <w:spacing w:after="0" w:line="312" w:lineRule="auto"/>
        <w:rPr>
          <w:bCs/>
          <w:szCs w:val="20"/>
        </w:rPr>
      </w:pPr>
      <w:r w:rsidRPr="00E00B35">
        <w:rPr>
          <w:bCs/>
          <w:szCs w:val="20"/>
        </w:rPr>
        <w:t>2017 - 316</w:t>
      </w:r>
    </w:p>
    <w:p w:rsidR="00E96768" w:rsidRPr="00E00B35" w:rsidRDefault="00E96768" w:rsidP="00E00B35">
      <w:pPr>
        <w:pStyle w:val="Tekstpodstawowy"/>
        <w:spacing w:after="0" w:line="312" w:lineRule="auto"/>
        <w:rPr>
          <w:bCs/>
          <w:szCs w:val="20"/>
        </w:rPr>
      </w:pPr>
      <w:r w:rsidRPr="00E00B35">
        <w:rPr>
          <w:bCs/>
          <w:szCs w:val="20"/>
        </w:rPr>
        <w:t>2018 - 262</w:t>
      </w:r>
    </w:p>
    <w:p w:rsidR="00E96768" w:rsidRPr="00E00B35" w:rsidRDefault="00E96768" w:rsidP="00E00B35">
      <w:pPr>
        <w:pStyle w:val="Tekstpodstawowy"/>
        <w:spacing w:after="0" w:line="312" w:lineRule="auto"/>
        <w:rPr>
          <w:bCs/>
          <w:szCs w:val="20"/>
        </w:rPr>
      </w:pPr>
      <w:r w:rsidRPr="00E00B35">
        <w:rPr>
          <w:bCs/>
          <w:szCs w:val="20"/>
        </w:rPr>
        <w:t>2019 - 289</w:t>
      </w:r>
    </w:p>
    <w:p w:rsidR="00E96768" w:rsidRPr="00E00B35" w:rsidRDefault="00E96768" w:rsidP="00E00B35">
      <w:pPr>
        <w:pStyle w:val="Tekstpodstawowy"/>
        <w:spacing w:after="0" w:line="312" w:lineRule="auto"/>
        <w:rPr>
          <w:bCs/>
          <w:szCs w:val="20"/>
        </w:rPr>
      </w:pPr>
      <w:r w:rsidRPr="00E00B35">
        <w:rPr>
          <w:bCs/>
          <w:szCs w:val="20"/>
        </w:rPr>
        <w:t>2020 - 213</w:t>
      </w:r>
    </w:p>
    <w:p w:rsidR="00E96768" w:rsidRPr="00E00B35" w:rsidRDefault="00E96768" w:rsidP="00E00B35">
      <w:pPr>
        <w:autoSpaceDE w:val="0"/>
        <w:autoSpaceDN w:val="0"/>
        <w:adjustRightInd w:val="0"/>
        <w:spacing w:after="0" w:line="312" w:lineRule="auto"/>
        <w:rPr>
          <w:rFonts w:cs="Verdana"/>
          <w:b/>
          <w:szCs w:val="20"/>
        </w:rPr>
      </w:pPr>
    </w:p>
    <w:p w:rsidR="00E96768" w:rsidRPr="00E00B35" w:rsidRDefault="00E96768" w:rsidP="00E00B35">
      <w:pPr>
        <w:autoSpaceDE w:val="0"/>
        <w:autoSpaceDN w:val="0"/>
        <w:adjustRightInd w:val="0"/>
        <w:spacing w:after="0" w:line="312" w:lineRule="auto"/>
        <w:rPr>
          <w:rFonts w:cs="Verdana"/>
          <w:b/>
          <w:szCs w:val="20"/>
        </w:rPr>
      </w:pPr>
      <w:r w:rsidRPr="00E00B35">
        <w:rPr>
          <w:rFonts w:cs="Verdana"/>
          <w:b/>
          <w:szCs w:val="20"/>
        </w:rPr>
        <w:t>Przygotowano i przeprowadzono kwalifikację wojskową dla miasta Wrocławia.</w:t>
      </w:r>
    </w:p>
    <w:p w:rsidR="00E96768" w:rsidRPr="00E00B35" w:rsidRDefault="00E96768" w:rsidP="00E00B35">
      <w:pPr>
        <w:pStyle w:val="Tekstpodstawowy"/>
        <w:spacing w:after="0" w:line="312" w:lineRule="auto"/>
        <w:rPr>
          <w:bCs/>
          <w:szCs w:val="20"/>
        </w:rPr>
      </w:pPr>
      <w:r w:rsidRPr="00E00B35">
        <w:rPr>
          <w:bCs/>
          <w:szCs w:val="20"/>
        </w:rPr>
        <w:t xml:space="preserve">2017 </w:t>
      </w:r>
    </w:p>
    <w:p w:rsidR="00E96768" w:rsidRPr="00E00B35" w:rsidRDefault="00E96768" w:rsidP="00E00B35">
      <w:pPr>
        <w:pStyle w:val="Tekstpodstawowy"/>
        <w:spacing w:after="0" w:line="312" w:lineRule="auto"/>
        <w:rPr>
          <w:bCs/>
          <w:szCs w:val="20"/>
        </w:rPr>
      </w:pPr>
      <w:r w:rsidRPr="00E00B35">
        <w:rPr>
          <w:bCs/>
          <w:szCs w:val="20"/>
        </w:rPr>
        <w:t>Wezwanych:2 265</w:t>
      </w:r>
    </w:p>
    <w:p w:rsidR="00E96768" w:rsidRPr="00E00B35" w:rsidRDefault="00E96768" w:rsidP="00E00B35">
      <w:pPr>
        <w:pStyle w:val="Tekstpodstawowy"/>
        <w:spacing w:after="0" w:line="312" w:lineRule="auto"/>
        <w:rPr>
          <w:bCs/>
          <w:szCs w:val="20"/>
        </w:rPr>
      </w:pPr>
      <w:r w:rsidRPr="00E00B35">
        <w:rPr>
          <w:bCs/>
          <w:szCs w:val="20"/>
        </w:rPr>
        <w:t>Zgłosiło się:1 948</w:t>
      </w:r>
    </w:p>
    <w:p w:rsidR="00E96768" w:rsidRPr="00E00B35" w:rsidRDefault="00E96768" w:rsidP="00E00B35">
      <w:pPr>
        <w:pStyle w:val="Tekstpodstawowy"/>
        <w:spacing w:after="0" w:line="312" w:lineRule="auto"/>
        <w:rPr>
          <w:bCs/>
          <w:szCs w:val="20"/>
        </w:rPr>
      </w:pPr>
      <w:r w:rsidRPr="00E00B35">
        <w:rPr>
          <w:bCs/>
          <w:szCs w:val="20"/>
        </w:rPr>
        <w:t xml:space="preserve">2018 </w:t>
      </w:r>
    </w:p>
    <w:p w:rsidR="00E96768" w:rsidRPr="00E00B35" w:rsidRDefault="00E96768" w:rsidP="00E00B35">
      <w:pPr>
        <w:pStyle w:val="Tekstpodstawowy"/>
        <w:spacing w:after="0" w:line="312" w:lineRule="auto"/>
        <w:rPr>
          <w:bCs/>
          <w:szCs w:val="20"/>
        </w:rPr>
      </w:pPr>
      <w:r w:rsidRPr="00E00B35">
        <w:rPr>
          <w:bCs/>
          <w:szCs w:val="20"/>
        </w:rPr>
        <w:t>Wezwanych:2 098</w:t>
      </w:r>
    </w:p>
    <w:p w:rsidR="00E96768" w:rsidRPr="00E00B35" w:rsidRDefault="00E96768" w:rsidP="00E00B35">
      <w:pPr>
        <w:pStyle w:val="Tekstpodstawowy"/>
        <w:spacing w:after="0" w:line="312" w:lineRule="auto"/>
        <w:rPr>
          <w:bCs/>
          <w:szCs w:val="20"/>
        </w:rPr>
      </w:pPr>
      <w:r w:rsidRPr="00E00B35">
        <w:rPr>
          <w:bCs/>
          <w:szCs w:val="20"/>
        </w:rPr>
        <w:t>Zgłosiło się:1 835</w:t>
      </w:r>
    </w:p>
    <w:p w:rsidR="00E96768" w:rsidRPr="00E00B35" w:rsidRDefault="00E96768" w:rsidP="00E00B35">
      <w:pPr>
        <w:pStyle w:val="Tekstpodstawowy"/>
        <w:spacing w:after="0" w:line="312" w:lineRule="auto"/>
        <w:rPr>
          <w:bCs/>
          <w:szCs w:val="20"/>
        </w:rPr>
      </w:pPr>
      <w:r w:rsidRPr="00E00B35">
        <w:rPr>
          <w:bCs/>
          <w:szCs w:val="20"/>
        </w:rPr>
        <w:t xml:space="preserve">2019 </w:t>
      </w:r>
    </w:p>
    <w:p w:rsidR="00E96768" w:rsidRPr="00E00B35" w:rsidRDefault="00E96768" w:rsidP="00E00B35">
      <w:pPr>
        <w:pStyle w:val="Tekstpodstawowy"/>
        <w:spacing w:after="0" w:line="312" w:lineRule="auto"/>
        <w:rPr>
          <w:bCs/>
          <w:szCs w:val="20"/>
        </w:rPr>
      </w:pPr>
      <w:r w:rsidRPr="00E00B35">
        <w:rPr>
          <w:bCs/>
          <w:szCs w:val="20"/>
        </w:rPr>
        <w:t>Wezwanych:2 110</w:t>
      </w:r>
    </w:p>
    <w:p w:rsidR="00E96768" w:rsidRPr="00E00B35" w:rsidRDefault="00E96768" w:rsidP="00E00B35">
      <w:pPr>
        <w:pStyle w:val="Tekstpodstawowy"/>
        <w:spacing w:after="0" w:line="312" w:lineRule="auto"/>
        <w:rPr>
          <w:bCs/>
          <w:szCs w:val="20"/>
        </w:rPr>
      </w:pPr>
      <w:r w:rsidRPr="00E00B35">
        <w:rPr>
          <w:bCs/>
          <w:szCs w:val="20"/>
        </w:rPr>
        <w:t>Zgłosiło się:1 807</w:t>
      </w:r>
    </w:p>
    <w:p w:rsidR="00E96768" w:rsidRPr="00E00B35" w:rsidRDefault="00E96768" w:rsidP="00E00B35">
      <w:pPr>
        <w:pStyle w:val="Tekstpodstawowy"/>
        <w:spacing w:after="0" w:line="312" w:lineRule="auto"/>
        <w:rPr>
          <w:bCs/>
          <w:szCs w:val="20"/>
        </w:rPr>
      </w:pPr>
      <w:r w:rsidRPr="00E00B35">
        <w:rPr>
          <w:bCs/>
          <w:szCs w:val="20"/>
        </w:rPr>
        <w:t xml:space="preserve">2020 </w:t>
      </w:r>
    </w:p>
    <w:p w:rsidR="00E96768" w:rsidRPr="00E00B35" w:rsidRDefault="00E96768" w:rsidP="00E00B35">
      <w:pPr>
        <w:pStyle w:val="Tekstpodstawowy"/>
        <w:spacing w:after="0" w:line="312" w:lineRule="auto"/>
        <w:rPr>
          <w:bCs/>
          <w:szCs w:val="20"/>
        </w:rPr>
      </w:pPr>
      <w:r w:rsidRPr="00E00B35">
        <w:rPr>
          <w:bCs/>
          <w:szCs w:val="20"/>
        </w:rPr>
        <w:t>Wezwanych:2 576</w:t>
      </w:r>
    </w:p>
    <w:p w:rsidR="00E96768" w:rsidRPr="00E00B35" w:rsidRDefault="00E96768" w:rsidP="00E00B35">
      <w:pPr>
        <w:pStyle w:val="Tekstpodstawowy"/>
        <w:spacing w:after="0" w:line="312" w:lineRule="auto"/>
        <w:rPr>
          <w:bCs/>
          <w:szCs w:val="20"/>
        </w:rPr>
      </w:pPr>
      <w:r w:rsidRPr="00E00B35">
        <w:rPr>
          <w:bCs/>
          <w:szCs w:val="20"/>
        </w:rPr>
        <w:t>Zgłosiło się:474</w:t>
      </w:r>
    </w:p>
    <w:p w:rsidR="00E96768" w:rsidRPr="00E00B35" w:rsidRDefault="00E96768" w:rsidP="00E00B35">
      <w:pPr>
        <w:pStyle w:val="Tekstpodstawowy3"/>
        <w:spacing w:after="0" w:line="312" w:lineRule="auto"/>
        <w:rPr>
          <w:sz w:val="20"/>
          <w:szCs w:val="20"/>
        </w:rPr>
      </w:pPr>
    </w:p>
    <w:p w:rsidR="00E96768" w:rsidRPr="00E00B35" w:rsidRDefault="00E96768" w:rsidP="00E00B35">
      <w:pPr>
        <w:pStyle w:val="Tekstpodstawowy3"/>
        <w:spacing w:after="0" w:line="312" w:lineRule="auto"/>
        <w:rPr>
          <w:sz w:val="20"/>
          <w:szCs w:val="20"/>
        </w:rPr>
      </w:pPr>
      <w:r w:rsidRPr="00E00B35">
        <w:rPr>
          <w:sz w:val="20"/>
          <w:szCs w:val="20"/>
        </w:rPr>
        <w:t>Realizując plan na 2020 r. przygotowano i przeprowadzono kwalifikację wojskową rocznika 2001 i roczników 1996-2000 na terenie  miasta Wrocławia. W roku sprawozdawczym we Wrocławiu powinny działać  trzy Powiatowe Komisje Lekarskie.</w:t>
      </w:r>
    </w:p>
    <w:p w:rsidR="00E96768" w:rsidRPr="00E00B35" w:rsidRDefault="00E96768" w:rsidP="00E00B35">
      <w:pPr>
        <w:pStyle w:val="Tekstpodstawowy3"/>
        <w:spacing w:after="0" w:line="312" w:lineRule="auto"/>
        <w:rPr>
          <w:sz w:val="20"/>
          <w:szCs w:val="20"/>
        </w:rPr>
      </w:pPr>
      <w:r w:rsidRPr="00E00B35">
        <w:rPr>
          <w:sz w:val="20"/>
          <w:szCs w:val="20"/>
        </w:rPr>
        <w:t xml:space="preserve">Ze względu na pandemię w okresie od 19 lutego do 13 marca działalność podjęła tylko Powiatowa Komisja Lekarska Wrocław Psie Pole. </w:t>
      </w:r>
    </w:p>
    <w:p w:rsidR="00E96768" w:rsidRPr="00E00B35" w:rsidRDefault="00E96768" w:rsidP="00E00B35">
      <w:pPr>
        <w:pStyle w:val="Tekstpodstawowy3"/>
        <w:spacing w:after="0" w:line="312" w:lineRule="auto"/>
        <w:rPr>
          <w:sz w:val="20"/>
          <w:szCs w:val="20"/>
        </w:rPr>
      </w:pPr>
      <w:r w:rsidRPr="00E00B35">
        <w:rPr>
          <w:sz w:val="20"/>
          <w:szCs w:val="20"/>
        </w:rPr>
        <w:t>Wcześniejsze zakończenie kwalifikacji wojskowej zarządzono przepisami  rozporządzenia MSWiA oraz MON z dnia 12 marca 2020 r. zmieniającego rozporządzenie w sprawie przeprowadzenia kwalifikacji wojskowej w 2020 r.</w:t>
      </w:r>
    </w:p>
    <w:p w:rsidR="00E96768" w:rsidRPr="00E00B35" w:rsidRDefault="00E96768" w:rsidP="00E00B35">
      <w:pPr>
        <w:pStyle w:val="Tekstpodstawowy3"/>
        <w:spacing w:after="0" w:line="312" w:lineRule="auto"/>
        <w:rPr>
          <w:sz w:val="20"/>
          <w:szCs w:val="20"/>
        </w:rPr>
      </w:pPr>
      <w:r w:rsidRPr="00E00B35">
        <w:rPr>
          <w:sz w:val="20"/>
          <w:szCs w:val="20"/>
        </w:rPr>
        <w:t>W toku przygotowań do kwalifikacji wojskowej w 2020 r. w  celu ich prawidłowego działania: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użyczono pomieszczenia  w placówkach kulturalnych,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zabezpieczono składy lekarzy i średniego personelu medycznego,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zawarto umowę z wybraną przychodnią lekarską na wykonanie badań  specjalistycznych osobom podlegającym kwalifikacji wojskowej.</w:t>
      </w:r>
    </w:p>
    <w:p w:rsidR="00E96768" w:rsidRPr="00E00B35" w:rsidRDefault="00E96768" w:rsidP="00E00B35">
      <w:pPr>
        <w:pStyle w:val="Tekstpodstawowy3"/>
        <w:spacing w:after="0" w:line="312" w:lineRule="auto"/>
        <w:ind w:left="426"/>
        <w:rPr>
          <w:sz w:val="20"/>
          <w:szCs w:val="20"/>
        </w:rPr>
      </w:pPr>
    </w:p>
    <w:p w:rsidR="00E96768" w:rsidRPr="00E00B35" w:rsidRDefault="00E96768" w:rsidP="00E00B35">
      <w:pPr>
        <w:pStyle w:val="Tekstpodstawowy3"/>
        <w:spacing w:after="0" w:line="312" w:lineRule="auto"/>
        <w:rPr>
          <w:sz w:val="20"/>
          <w:szCs w:val="20"/>
        </w:rPr>
      </w:pPr>
      <w:r w:rsidRPr="00E00B35">
        <w:rPr>
          <w:sz w:val="20"/>
          <w:szCs w:val="20"/>
        </w:rPr>
        <w:t xml:space="preserve">W 2020 r. wezwano </w:t>
      </w:r>
      <w:r w:rsidRPr="00E00B35">
        <w:rPr>
          <w:bCs/>
          <w:sz w:val="20"/>
          <w:szCs w:val="20"/>
        </w:rPr>
        <w:t>2 053</w:t>
      </w:r>
      <w:r w:rsidRPr="00E00B35">
        <w:rPr>
          <w:sz w:val="20"/>
          <w:szCs w:val="20"/>
        </w:rPr>
        <w:t xml:space="preserve"> mężczyzn podlegających kwalifikacji wojskowej rocznika podstawowego, z czego zgłosiło się </w:t>
      </w:r>
      <w:r w:rsidRPr="00E00B35">
        <w:rPr>
          <w:bCs/>
          <w:sz w:val="20"/>
          <w:szCs w:val="20"/>
        </w:rPr>
        <w:t>454</w:t>
      </w:r>
      <w:r w:rsidRPr="00E00B35">
        <w:rPr>
          <w:sz w:val="20"/>
          <w:szCs w:val="20"/>
        </w:rPr>
        <w:t xml:space="preserve">; wezwano również </w:t>
      </w:r>
      <w:r w:rsidRPr="00E00B35">
        <w:rPr>
          <w:bCs/>
          <w:sz w:val="20"/>
          <w:szCs w:val="20"/>
        </w:rPr>
        <w:t>523</w:t>
      </w:r>
      <w:r w:rsidRPr="00E00B35">
        <w:rPr>
          <w:sz w:val="20"/>
          <w:szCs w:val="20"/>
        </w:rPr>
        <w:t xml:space="preserve"> mężczyzn roczników starszych, a zgłosiło się </w:t>
      </w:r>
      <w:r w:rsidRPr="00E00B35">
        <w:rPr>
          <w:bCs/>
          <w:sz w:val="20"/>
          <w:szCs w:val="20"/>
        </w:rPr>
        <w:t>20</w:t>
      </w:r>
      <w:r w:rsidRPr="00E00B35">
        <w:rPr>
          <w:sz w:val="20"/>
          <w:szCs w:val="20"/>
        </w:rPr>
        <w:t xml:space="preserve">. Wszyscy otrzymali orzeczenia o zdolności do czynnej służby wojskowej, a zgłaszający się po raz pierwszy otrzymali książeczkę wojskową. </w:t>
      </w:r>
    </w:p>
    <w:p w:rsidR="00E96768" w:rsidRPr="00E00B35" w:rsidRDefault="00E96768" w:rsidP="00E00B35">
      <w:pPr>
        <w:pStyle w:val="Tekstpodstawowy3"/>
        <w:spacing w:after="0" w:line="312" w:lineRule="auto"/>
        <w:rPr>
          <w:sz w:val="20"/>
          <w:szCs w:val="20"/>
        </w:rPr>
      </w:pPr>
      <w:r w:rsidRPr="00E00B35">
        <w:rPr>
          <w:sz w:val="20"/>
          <w:szCs w:val="20"/>
        </w:rPr>
        <w:t xml:space="preserve">Na badania specjalistyczne skierowano </w:t>
      </w:r>
      <w:r w:rsidRPr="00E00B35">
        <w:rPr>
          <w:bCs/>
          <w:sz w:val="20"/>
          <w:szCs w:val="20"/>
        </w:rPr>
        <w:t>9</w:t>
      </w:r>
      <w:r w:rsidRPr="00E00B35">
        <w:rPr>
          <w:sz w:val="20"/>
          <w:szCs w:val="20"/>
        </w:rPr>
        <w:t xml:space="preserve"> osób podlegające kwalifikacji wojskowej.</w:t>
      </w:r>
    </w:p>
    <w:p w:rsidR="00E96768" w:rsidRPr="00E00B35" w:rsidRDefault="00E96768" w:rsidP="00E00B35">
      <w:pPr>
        <w:pStyle w:val="Tekstpodstawowy3"/>
        <w:spacing w:after="0" w:line="312" w:lineRule="auto"/>
        <w:rPr>
          <w:sz w:val="20"/>
          <w:szCs w:val="20"/>
        </w:rPr>
      </w:pPr>
      <w:r w:rsidRPr="00E00B35">
        <w:rPr>
          <w:sz w:val="20"/>
          <w:szCs w:val="20"/>
        </w:rPr>
        <w:t xml:space="preserve">Sporządzono </w:t>
      </w:r>
      <w:r w:rsidRPr="00E00B35">
        <w:rPr>
          <w:bCs/>
          <w:sz w:val="20"/>
          <w:szCs w:val="20"/>
        </w:rPr>
        <w:t xml:space="preserve">88 </w:t>
      </w:r>
      <w:r w:rsidRPr="00E00B35">
        <w:rPr>
          <w:sz w:val="20"/>
          <w:szCs w:val="20"/>
        </w:rPr>
        <w:t xml:space="preserve">wniosków o przymusowe doprowadzenie przez Policję, z czego doprowadzono </w:t>
      </w:r>
      <w:r w:rsidRPr="00E00B35">
        <w:rPr>
          <w:bCs/>
          <w:sz w:val="20"/>
          <w:szCs w:val="20"/>
        </w:rPr>
        <w:t>14</w:t>
      </w:r>
      <w:r w:rsidRPr="00E00B35">
        <w:rPr>
          <w:sz w:val="20"/>
          <w:szCs w:val="20"/>
        </w:rPr>
        <w:t xml:space="preserve"> osób. W pozostałych przypadkach sporządzono notatki podające przyczyny nie zgłoszenia się osób podlegających kwalifikacji wojskowej. Nie było odwołań od orzeczeń Powiatowych Komisji Lekarskich. </w:t>
      </w:r>
    </w:p>
    <w:p w:rsidR="005B50AD" w:rsidRPr="00E00B35" w:rsidRDefault="005B50AD" w:rsidP="00E00B35">
      <w:pPr>
        <w:pStyle w:val="Tekstpodstawowy3"/>
        <w:spacing w:after="0" w:line="312" w:lineRule="auto"/>
        <w:rPr>
          <w:sz w:val="20"/>
          <w:szCs w:val="20"/>
        </w:rPr>
      </w:pPr>
    </w:p>
    <w:p w:rsidR="00E96768" w:rsidRPr="00E00B35" w:rsidRDefault="00E96768" w:rsidP="00E00B35">
      <w:pPr>
        <w:spacing w:after="0" w:line="312" w:lineRule="auto"/>
        <w:rPr>
          <w:b/>
          <w:szCs w:val="20"/>
        </w:rPr>
      </w:pPr>
      <w:r w:rsidRPr="00E00B35">
        <w:rPr>
          <w:b/>
          <w:szCs w:val="20"/>
        </w:rPr>
        <w:t>Świadczenia na rzecz obrony</w:t>
      </w:r>
    </w:p>
    <w:p w:rsidR="00E96768" w:rsidRPr="00E00B35" w:rsidRDefault="00E96768" w:rsidP="00E00B35">
      <w:pPr>
        <w:autoSpaceDE w:val="0"/>
        <w:autoSpaceDN w:val="0"/>
        <w:adjustRightInd w:val="0"/>
        <w:spacing w:after="0" w:line="312" w:lineRule="auto"/>
        <w:rPr>
          <w:rFonts w:cs="Verdana"/>
          <w:szCs w:val="20"/>
        </w:rPr>
      </w:pPr>
      <w:r w:rsidRPr="00E00B35">
        <w:rPr>
          <w:rFonts w:cs="Verdana"/>
          <w:szCs w:val="20"/>
        </w:rPr>
        <w:lastRenderedPageBreak/>
        <w:t>Realizowano na bieżąco zadania związane z nakładaniem świadczeń osobistychi rzeczowych na rzecz Sił Zbrojnych oraz jednostek organizacyjnych wykonujących zadania na potrzeby obrony Państwa.</w:t>
      </w:r>
    </w:p>
    <w:p w:rsidR="00E96768" w:rsidRPr="00E00B35" w:rsidRDefault="00E96768" w:rsidP="00E00B35">
      <w:pPr>
        <w:pStyle w:val="Tekstpodstawowywcity2"/>
        <w:spacing w:after="0" w:line="312" w:lineRule="auto"/>
        <w:rPr>
          <w:szCs w:val="20"/>
        </w:rPr>
      </w:pPr>
      <w:r w:rsidRPr="00E00B35">
        <w:rPr>
          <w:szCs w:val="20"/>
        </w:rPr>
        <w:t>W 2020 r. wydano 316 decyzji administracyjnych, w tym: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nakładające świadczenia rzeczowe - 60</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nakładające świadczenia osobiste - 174</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nakładające świadczenia na nieruchomości –4</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uchylające świadczenia rzeczowe - 46</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uchylające świadczenia osobiste - 30</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szCs w:val="20"/>
        </w:rPr>
        <w:t>uchylające świadczenia</w:t>
      </w:r>
      <w:r w:rsidRPr="00E00B35">
        <w:rPr>
          <w:rFonts w:cs="Arial"/>
          <w:szCs w:val="20"/>
        </w:rPr>
        <w:t xml:space="preserve"> na nieruchomości - 2.</w:t>
      </w:r>
    </w:p>
    <w:p w:rsidR="00E96768" w:rsidRPr="00E00B35" w:rsidRDefault="002D2715" w:rsidP="00E00B35">
      <w:pPr>
        <w:spacing w:after="0" w:line="312" w:lineRule="auto"/>
        <w:rPr>
          <w:rFonts w:cs="Arial"/>
          <w:szCs w:val="20"/>
        </w:rPr>
      </w:pPr>
      <w:r w:rsidRPr="00E00B35">
        <w:rPr>
          <w:rFonts w:cs="Arial"/>
          <w:szCs w:val="20"/>
        </w:rPr>
        <w:br/>
      </w:r>
      <w:r w:rsidR="00E96768" w:rsidRPr="00E00B35">
        <w:rPr>
          <w:rFonts w:cs="Arial"/>
          <w:szCs w:val="20"/>
        </w:rPr>
        <w:t>Od dwóch decyzji wniesiono odwołanie - obie zostały uchylone przez Wojewodę Dolnośląskiego i przekazane do ponownego rozpatrzenia przez organ pierwszej instancji</w:t>
      </w:r>
      <w:r w:rsidR="00E96768" w:rsidRPr="00E00B35">
        <w:rPr>
          <w:rFonts w:cs="Arial"/>
          <w:color w:val="000000"/>
          <w:szCs w:val="20"/>
        </w:rPr>
        <w:t xml:space="preserve">. </w:t>
      </w:r>
    </w:p>
    <w:p w:rsidR="00E96768" w:rsidRPr="00E00B35" w:rsidRDefault="00E96768" w:rsidP="00E00B35">
      <w:pPr>
        <w:spacing w:after="0" w:line="312" w:lineRule="auto"/>
        <w:rPr>
          <w:rFonts w:cs="Arial"/>
          <w:szCs w:val="20"/>
        </w:rPr>
      </w:pPr>
      <w:r w:rsidRPr="00E00B35">
        <w:rPr>
          <w:rFonts w:cs="Arial"/>
          <w:szCs w:val="20"/>
        </w:rPr>
        <w:t xml:space="preserve">W związku z wprowadzeniem stanu epidemii oględziny zostały wstrzymane </w:t>
      </w:r>
      <w:r w:rsidRPr="00E00B35">
        <w:rPr>
          <w:rFonts w:cs="Arial"/>
          <w:szCs w:val="20"/>
        </w:rPr>
        <w:br/>
        <w:t xml:space="preserve">i przeplanowane na 2021 r. </w:t>
      </w:r>
      <w:r w:rsidRPr="00E00B35">
        <w:rPr>
          <w:szCs w:val="20"/>
        </w:rPr>
        <w:t>Większość kierowników jednostek organizacyjnych oraz przedsiębiorców akceptuje i widzi potrzebę realizacji zadań obronnych, w tym wykonywania świadczeń na rzecz obrony Państwa. Na uwagę zasługuje firma Hasco-Lek S.A. oraz Wrocławskie Przedsiębiorstwo Budowlane Spółka z o.o. i Persan Polska S.A. Jednostki te traktują sprawy obronne bardzo odpowiedzialnie, z uwagi na świadomość istotnej roli świadczeń w sytuacjach związanych z potencjalnym zagrożeniem bezpieczeństwa państwa.</w:t>
      </w:r>
    </w:p>
    <w:p w:rsidR="00E96768" w:rsidRPr="00E00B35" w:rsidRDefault="00E96768" w:rsidP="00E00B35">
      <w:pPr>
        <w:spacing w:after="0" w:line="312" w:lineRule="auto"/>
        <w:rPr>
          <w:szCs w:val="20"/>
        </w:rPr>
      </w:pPr>
      <w:r w:rsidRPr="00E00B35">
        <w:rPr>
          <w:szCs w:val="20"/>
        </w:rPr>
        <w:t>W zakresie świadczeń na rzecz obrony współpracowano z Wojskową Komendą Uzupełnień, z 10 Pułkiem Dowodzenia, Wojewódzkim Sztabem Wojskowym oraz Urzędem Żeglugi Śródlądowej we Wrocławiu.</w:t>
      </w:r>
    </w:p>
    <w:p w:rsidR="00E96768" w:rsidRPr="00E00B35" w:rsidRDefault="00E96768" w:rsidP="00E00B35">
      <w:pPr>
        <w:spacing w:after="0" w:line="312" w:lineRule="auto"/>
        <w:rPr>
          <w:szCs w:val="20"/>
        </w:rPr>
      </w:pPr>
      <w:r w:rsidRPr="00E00B35">
        <w:rPr>
          <w:szCs w:val="20"/>
        </w:rPr>
        <w:t>Świadczenia na rzecz obrony:</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2017 - 455</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2018 - 338</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2019 – 1 430</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2020 - 316</w:t>
      </w:r>
    </w:p>
    <w:p w:rsidR="00E96768" w:rsidRPr="00E00B35" w:rsidRDefault="00E96768" w:rsidP="00E00B35">
      <w:pPr>
        <w:spacing w:after="0" w:line="312" w:lineRule="auto"/>
        <w:rPr>
          <w:szCs w:val="20"/>
        </w:rPr>
      </w:pPr>
    </w:p>
    <w:p w:rsidR="00E96768" w:rsidRPr="00E00B35" w:rsidRDefault="00E96768" w:rsidP="00E00B35">
      <w:pPr>
        <w:spacing w:after="0" w:line="312" w:lineRule="auto"/>
        <w:contextualSpacing/>
        <w:rPr>
          <w:b/>
          <w:szCs w:val="20"/>
        </w:rPr>
      </w:pPr>
      <w:r w:rsidRPr="00E00B35">
        <w:rPr>
          <w:b/>
          <w:szCs w:val="20"/>
        </w:rPr>
        <w:t>Komisja Bezpieczeństwa i Porządku Prezydenta Wrocławia</w:t>
      </w:r>
    </w:p>
    <w:p w:rsidR="00E96768" w:rsidRPr="00E00B35" w:rsidRDefault="00E96768" w:rsidP="00E00B35">
      <w:pPr>
        <w:pStyle w:val="Tekstpodstawowy"/>
        <w:spacing w:after="0" w:line="312" w:lineRule="auto"/>
        <w:rPr>
          <w:szCs w:val="20"/>
        </w:rPr>
      </w:pPr>
      <w:r w:rsidRPr="00E00B35">
        <w:rPr>
          <w:szCs w:val="20"/>
        </w:rPr>
        <w:t>Komisję Bezpieczeństwa i Porządku utworzono na mocy ustawy z dnia 27 lipca 2001 r. o zmianie ustawy o Policji, ustawy o działalności ubezpieczeniowej, ustawy – prawo bankowe, ustawy o samorządzie powiatowym oraz ustawy – przepisy wprowadzające ustawy reformujące administrację publiczną.</w:t>
      </w:r>
    </w:p>
    <w:p w:rsidR="00E96768" w:rsidRPr="00E00B35" w:rsidRDefault="00E96768" w:rsidP="00E00B35">
      <w:pPr>
        <w:pStyle w:val="Tekstpodstawowy"/>
        <w:spacing w:after="0" w:line="312" w:lineRule="auto"/>
        <w:rPr>
          <w:szCs w:val="20"/>
        </w:rPr>
      </w:pPr>
      <w:r w:rsidRPr="00E00B35">
        <w:rPr>
          <w:szCs w:val="20"/>
        </w:rPr>
        <w:t>Komisja Bezpieczeństwa i Porządku jest w myśl art. 38a ust. 1 ustawy o samorządzie powiatowym organem powołanym w celu realizacji zadań starosty powiatowego (prezydenta miasta na prawach powiatu) w zakresie zwierzchnictwa nad powiatowymi służbami, inspekcjami i strażami (stanowiącymi tzw. powiatową administrację zespoloną) oraz zadań określonych w ustawach w zakresie porządku publicznego i bezpieczeństwa obywateli.</w:t>
      </w:r>
    </w:p>
    <w:p w:rsidR="00E96768" w:rsidRPr="00E00B35" w:rsidRDefault="00E96768" w:rsidP="00E00B35">
      <w:pPr>
        <w:pStyle w:val="NormalnyWeb"/>
        <w:spacing w:before="0" w:beforeAutospacing="0" w:after="0" w:afterAutospacing="0" w:line="312" w:lineRule="auto"/>
        <w:rPr>
          <w:color w:val="000000"/>
          <w:szCs w:val="20"/>
        </w:rPr>
      </w:pPr>
      <w:r w:rsidRPr="00E00B35">
        <w:rPr>
          <w:color w:val="000000"/>
          <w:szCs w:val="20"/>
        </w:rPr>
        <w:t>Do podstawowych zadań i kompetencji Komisji Bezpiec</w:t>
      </w:r>
      <w:r w:rsidR="002D2715" w:rsidRPr="00E00B35">
        <w:rPr>
          <w:color w:val="000000"/>
          <w:szCs w:val="20"/>
        </w:rPr>
        <w:t>zeństwa i Porządku (określonych</w:t>
      </w:r>
      <w:r w:rsidRPr="00E00B35">
        <w:rPr>
          <w:color w:val="000000"/>
          <w:szCs w:val="20"/>
        </w:rPr>
        <w:t>w art. 38a ust. 2 ww. ustawy) należy m.in.:</w:t>
      </w:r>
    </w:p>
    <w:p w:rsidR="00E96768" w:rsidRPr="00E00B35" w:rsidRDefault="00E96768" w:rsidP="00BC64AB">
      <w:pPr>
        <w:pStyle w:val="Akapitzlist"/>
        <w:numPr>
          <w:ilvl w:val="0"/>
          <w:numId w:val="245"/>
        </w:numPr>
        <w:spacing w:after="0" w:line="312" w:lineRule="auto"/>
        <w:ind w:left="567" w:hanging="567"/>
        <w:rPr>
          <w:szCs w:val="20"/>
        </w:rPr>
      </w:pPr>
      <w:r w:rsidRPr="00E00B35">
        <w:rPr>
          <w:color w:val="000000"/>
          <w:szCs w:val="20"/>
        </w:rPr>
        <w:lastRenderedPageBreak/>
        <w:t xml:space="preserve">ocena </w:t>
      </w:r>
      <w:r w:rsidRPr="00E00B35">
        <w:rPr>
          <w:szCs w:val="20"/>
        </w:rPr>
        <w:t>zagrożeń porządku publicznego i bezpieczeństwa obywateli na terenie    powiatu,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opiniowanie pracy Policji i innych powiatowych służb, inspekcji i straży, a także jednostek organizacyjnych wykonujących na terenie powiatu zadania z zakresu porządku publicznego i bezpieczeństwa obywateli,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przygotowywanie projektu powiatowego programu zapobiegania przestępczości oraz porządku publicznego i bezpieczeństwa obywateli (Wrocław przyjął w formie uchwał Rady Miejskiej z dnia 7 grudnia 2000 r. „Program Poprawy Bezpieczeństwa we Wrocławiu w latach 2001-2004”, dnia 9 grudnia 2004 r. na lata 2005-2008, z dnia 16 października 2008 r. na lata 2009-2012 i na lata 2013-2016 z 18 października 2012 r., z dnia 20 października 2016 roku na lata 2017-2020), zapewniając jednocześnie środki finansowe na jego realizację,</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opiniowanie projektów innych programów współdziałania Policji i innych powiatowych służb, inspekcji i straży oraz jednostek,</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organizacyjnych wykonujących na terenie powiatu zadania z zakresu porządku publicznego i bezpieczeństwa obywateli,</w:t>
      </w:r>
    </w:p>
    <w:p w:rsidR="00E96768" w:rsidRPr="00E00B35" w:rsidRDefault="00E96768" w:rsidP="00BC64AB">
      <w:pPr>
        <w:pStyle w:val="Akapitzlist"/>
        <w:numPr>
          <w:ilvl w:val="0"/>
          <w:numId w:val="245"/>
        </w:numPr>
        <w:spacing w:after="0" w:line="312" w:lineRule="auto"/>
        <w:ind w:left="567" w:hanging="567"/>
        <w:rPr>
          <w:color w:val="000000"/>
          <w:szCs w:val="20"/>
        </w:rPr>
      </w:pPr>
      <w:r w:rsidRPr="00E00B35">
        <w:rPr>
          <w:szCs w:val="20"/>
        </w:rPr>
        <w:t>opiniowanie projektów</w:t>
      </w:r>
      <w:r w:rsidRPr="00E00B35">
        <w:rPr>
          <w:color w:val="000000"/>
          <w:szCs w:val="20"/>
        </w:rPr>
        <w:t xml:space="preserve"> aktów prawa miejscowego i innych dokumentów w sprawach związanych z wykonywaniem zadań, o których mowa jak wyżej.</w:t>
      </w:r>
    </w:p>
    <w:p w:rsidR="00E96768" w:rsidRPr="00E00B35" w:rsidRDefault="00E96768" w:rsidP="00E00B35">
      <w:pPr>
        <w:pStyle w:val="Tekstpodstawowy"/>
        <w:spacing w:after="0" w:line="312" w:lineRule="auto"/>
        <w:rPr>
          <w:szCs w:val="20"/>
        </w:rPr>
      </w:pPr>
      <w:r w:rsidRPr="00E00B35">
        <w:rPr>
          <w:szCs w:val="20"/>
        </w:rPr>
        <w:t>Zgodnie z art. 38b. ust. 1 Przewodniczący komisji, w celu wykonania zadań komisji, może żądać od Policji oraz innych powiatowych służb, inspekcji i straży, a także od powiatowych i gminnych jednostek organizacyjnych wykonujących zadania z zakresu porządku publicznego i bezpieczeństwa obywateli, dokumentów i informacji o ich pracy, z wyjątkiem akt personalnych pracowników i funkcjonariuszy, materiałów operacyjno-rozpoznawczych lub dochodzeniowo-śledczych oraz akt w indywidualnych sprawach administracyjnych.</w:t>
      </w:r>
    </w:p>
    <w:p w:rsidR="005B50AD" w:rsidRPr="00E00B35" w:rsidRDefault="005B50AD" w:rsidP="00E00B35">
      <w:pPr>
        <w:pStyle w:val="Tekstpodstawowy"/>
        <w:spacing w:after="0" w:line="312" w:lineRule="auto"/>
        <w:rPr>
          <w:szCs w:val="20"/>
        </w:rPr>
      </w:pPr>
    </w:p>
    <w:p w:rsidR="00E96768" w:rsidRPr="00E00B35" w:rsidRDefault="00E96768" w:rsidP="00E00B35">
      <w:pPr>
        <w:pStyle w:val="Nagwek5"/>
        <w:rPr>
          <w:szCs w:val="20"/>
        </w:rPr>
      </w:pPr>
      <w:r w:rsidRPr="00E00B35">
        <w:rPr>
          <w:szCs w:val="20"/>
        </w:rPr>
        <w:t>KOMISJA BEZPIECZEŃSTWA I PORZĄDKU W 2020 ROKU</w:t>
      </w:r>
    </w:p>
    <w:p w:rsidR="00E96768" w:rsidRPr="00E00B35" w:rsidRDefault="00E96768" w:rsidP="00E00B35">
      <w:pPr>
        <w:pStyle w:val="Tekstpodstawowy2"/>
        <w:spacing w:after="0" w:line="312" w:lineRule="auto"/>
        <w:rPr>
          <w:b w:val="0"/>
          <w:bCs w:val="0"/>
          <w:color w:val="auto"/>
          <w:sz w:val="20"/>
          <w:szCs w:val="20"/>
        </w:rPr>
      </w:pPr>
      <w:r w:rsidRPr="00E00B35">
        <w:rPr>
          <w:b w:val="0"/>
          <w:color w:val="auto"/>
          <w:sz w:val="20"/>
          <w:szCs w:val="20"/>
        </w:rPr>
        <w:t>W 2020 roku z racji pandemii koronawirusa COVID-19 nie zwołano żadnego posiedzenia Komisji. Dnia 19 marca 2020 r. w formie telekonferencji odbyło się spotkanie Kolegium Prezydenta Wrocławia, na którym Wojciech Adamski, Dyrektor Wydziału Bezpieczeństwa i Zarządzania Kryzysowego Urzędu Miejskiego we Wrocławiu przedstawił zakres merytoryczny sprawozdania z działalności funkcjonującej przy Prezydencie Wrocławia Komisji Bezpieczeństwa i Porządku za 2019 r.</w:t>
      </w:r>
    </w:p>
    <w:p w:rsidR="00E96768" w:rsidRPr="00E00B35" w:rsidRDefault="00E96768" w:rsidP="00E00B35">
      <w:pPr>
        <w:pStyle w:val="Tekstpodstawowy2"/>
        <w:spacing w:after="0" w:line="312" w:lineRule="auto"/>
        <w:rPr>
          <w:b w:val="0"/>
          <w:bCs w:val="0"/>
          <w:color w:val="auto"/>
          <w:sz w:val="20"/>
          <w:szCs w:val="20"/>
        </w:rPr>
      </w:pPr>
      <w:r w:rsidRPr="00E00B35">
        <w:rPr>
          <w:b w:val="0"/>
          <w:color w:val="auto"/>
          <w:sz w:val="20"/>
          <w:szCs w:val="20"/>
        </w:rPr>
        <w:t>Przez cały rok członkowie Komisji konsultowali między sobą podejmowane działania antycovidowe oraz zwalczające skutki pandemii, ponieważ każdy dzień weryfikował stan rzeczywisty każdej dziedziny życia społecznego i gospodarczego.</w:t>
      </w:r>
    </w:p>
    <w:p w:rsidR="00E96768" w:rsidRPr="00E00B35" w:rsidRDefault="00E96768" w:rsidP="00E00B35">
      <w:pPr>
        <w:pStyle w:val="Tekstpodstawowy2"/>
        <w:spacing w:after="0" w:line="312" w:lineRule="auto"/>
        <w:rPr>
          <w:b w:val="0"/>
          <w:bCs w:val="0"/>
          <w:color w:val="auto"/>
          <w:sz w:val="20"/>
          <w:szCs w:val="20"/>
        </w:rPr>
      </w:pPr>
      <w:r w:rsidRPr="00E00B35">
        <w:rPr>
          <w:b w:val="0"/>
          <w:color w:val="auto"/>
          <w:sz w:val="20"/>
          <w:szCs w:val="20"/>
        </w:rPr>
        <w:t>Dnia 7 lipca 2020 r. wysłano pismo do wszystkich członków Komisji o przełożeniu spotkań na czas na to pozwalający.</w:t>
      </w:r>
    </w:p>
    <w:p w:rsidR="00E96768" w:rsidRPr="00E00B35" w:rsidRDefault="00E96768" w:rsidP="00E00B35">
      <w:pPr>
        <w:pStyle w:val="Tekstpodstawowy2"/>
        <w:spacing w:after="0" w:line="312" w:lineRule="auto"/>
        <w:rPr>
          <w:b w:val="0"/>
          <w:color w:val="auto"/>
          <w:sz w:val="20"/>
          <w:szCs w:val="20"/>
        </w:rPr>
      </w:pPr>
      <w:r w:rsidRPr="00E00B35">
        <w:rPr>
          <w:b w:val="0"/>
          <w:color w:val="auto"/>
          <w:sz w:val="20"/>
          <w:szCs w:val="20"/>
        </w:rPr>
        <w:t>Ważnym punktem działań Komisji były prace związane z opracowaniem Programu Poprawy Bezpieczeństwa we Wrocławiu w latach 2021-2024, który został uchwalony na styczniowej, tegorocznej sesji Rady Miejskiej Wrocławia w trybie zdalnym.</w:t>
      </w:r>
    </w:p>
    <w:p w:rsidR="005B50AD" w:rsidRPr="00E00B35" w:rsidRDefault="005B50AD" w:rsidP="00E00B35">
      <w:pPr>
        <w:pStyle w:val="Tekstpodstawowy2"/>
        <w:spacing w:after="0" w:line="312" w:lineRule="auto"/>
        <w:rPr>
          <w:b w:val="0"/>
          <w:bCs w:val="0"/>
          <w:color w:val="auto"/>
          <w:sz w:val="20"/>
          <w:szCs w:val="20"/>
        </w:rPr>
      </w:pPr>
    </w:p>
    <w:p w:rsidR="00E96768" w:rsidRPr="00E00B35" w:rsidRDefault="00E96768" w:rsidP="00E00B35">
      <w:pPr>
        <w:pStyle w:val="Nagwek5"/>
        <w:rPr>
          <w:szCs w:val="20"/>
        </w:rPr>
      </w:pPr>
      <w:r w:rsidRPr="00E00B35">
        <w:rPr>
          <w:szCs w:val="20"/>
        </w:rPr>
        <w:lastRenderedPageBreak/>
        <w:t>PROGRAM POPRAWY BEZPIECZEŃSTWA WE WROCŁAWIU W LATACH 2017-2020</w:t>
      </w:r>
    </w:p>
    <w:p w:rsidR="00E96768" w:rsidRPr="00E00B35" w:rsidRDefault="00E96768" w:rsidP="00E00B35">
      <w:pPr>
        <w:spacing w:after="0" w:line="312" w:lineRule="auto"/>
        <w:rPr>
          <w:rFonts w:cs="Verdana"/>
          <w:bCs/>
          <w:szCs w:val="20"/>
        </w:rPr>
      </w:pPr>
      <w:r w:rsidRPr="00E00B35">
        <w:rPr>
          <w:rFonts w:cs="Verdana"/>
          <w:bCs/>
          <w:szCs w:val="20"/>
        </w:rPr>
        <w:t>Wykonanie „Programu Poprawy Bezpiecze</w:t>
      </w:r>
      <w:r w:rsidRPr="00E00B35">
        <w:rPr>
          <w:rFonts w:cs="Verdana-Bold"/>
          <w:bCs/>
          <w:szCs w:val="20"/>
        </w:rPr>
        <w:t>ń</w:t>
      </w:r>
      <w:r w:rsidRPr="00E00B35">
        <w:rPr>
          <w:rFonts w:cs="Verdana"/>
          <w:bCs/>
          <w:szCs w:val="20"/>
        </w:rPr>
        <w:t>stwa we Wroc</w:t>
      </w:r>
      <w:r w:rsidRPr="00E00B35">
        <w:rPr>
          <w:rFonts w:cs="Verdana-Bold"/>
          <w:bCs/>
          <w:szCs w:val="20"/>
        </w:rPr>
        <w:t>ł</w:t>
      </w:r>
      <w:r w:rsidRPr="00E00B35">
        <w:rPr>
          <w:rFonts w:cs="Verdana"/>
          <w:bCs/>
          <w:szCs w:val="20"/>
        </w:rPr>
        <w:t>awiu” w 2020 r.</w:t>
      </w:r>
    </w:p>
    <w:p w:rsidR="00E96768" w:rsidRPr="00E00B35" w:rsidRDefault="00E96768" w:rsidP="00E00B35">
      <w:pPr>
        <w:spacing w:after="0" w:line="312" w:lineRule="auto"/>
        <w:rPr>
          <w:rFonts w:cs="Verdana"/>
          <w:szCs w:val="20"/>
        </w:rPr>
      </w:pPr>
      <w:r w:rsidRPr="00E00B35">
        <w:rPr>
          <w:rFonts w:cs="Verdana"/>
          <w:szCs w:val="20"/>
        </w:rPr>
        <w:t>W ramach „Programu Poprawy Bezpieczeństwa we Wrocławiu w latach 2017-2020” (przyjętego 20 października 2016 r., uchwałą nr XXXI/642/16 Rady Miejskiej Wrocławia) podejmowano działania mające istotne znaczenie dla mieszkańców, jak również osób odwiedzających miasto.</w:t>
      </w:r>
    </w:p>
    <w:p w:rsidR="00E96768" w:rsidRPr="00E00B35" w:rsidRDefault="00E96768" w:rsidP="00E00B35">
      <w:pPr>
        <w:spacing w:after="0" w:line="312" w:lineRule="auto"/>
        <w:contextualSpacing/>
        <w:rPr>
          <w:b/>
          <w:szCs w:val="20"/>
        </w:rPr>
      </w:pPr>
      <w:r w:rsidRPr="00E00B35">
        <w:rPr>
          <w:rFonts w:cs="Verdana"/>
          <w:color w:val="000000"/>
          <w:szCs w:val="20"/>
        </w:rPr>
        <w:t>W ramach „Programu Poprawy Bezpieczeństwa we Wrocławiu” wspierano finansowo programy prewencyjne realizowane przez miejskie służby i instytucje. Przede wszystkim, w ramach współpracy z Komendą Miejską Policji, wdrażane są programy prewencyjne, których celem jest ograniczenie przestępczości wśród nieletnich, organizacja wypoczynku dla dzieci z rodzin ubogich i patologicznych, edukacja dzieci i młodzieży w zakresie bezpieczeństwa w domu, w szkole, na drodze, zapobieganie patologiom społecznym, ograniczenie drobnych kradzieży w środkach komunikacji miejskiej, instytucjach publicznych, centrach handlowych, lokalach gastronomicznych. Ze względu na obostrzenia związane z występowaniem od marca 2020 r. epidemii COVID-19 wiele działań podejmowanych przez funkcjonariuszy KMP miało ograniczony charakter– zwłaszcza te nakierowane na nieletnich (programy prewencyjne realizowane w szkołach). Wspierając zadania prewencyjne i gotowość bojową Komendy Miejskiej Państwowej Straży Pożarnej oraz wrocławskich Ochotniczych Straży Pożarnych,  wzmacniano  jednostki ratownicze stale podejmujące  interwencje w terenie.</w:t>
      </w:r>
    </w:p>
    <w:p w:rsidR="00E96768" w:rsidRPr="00E00B35" w:rsidRDefault="00E96768" w:rsidP="00E00B35">
      <w:pPr>
        <w:spacing w:after="0" w:line="312" w:lineRule="auto"/>
        <w:contextualSpacing/>
        <w:rPr>
          <w:szCs w:val="20"/>
        </w:rPr>
      </w:pPr>
    </w:p>
    <w:p w:rsidR="00E96768" w:rsidRPr="00E00B35" w:rsidRDefault="00E96768" w:rsidP="00E00B35">
      <w:pPr>
        <w:spacing w:after="0" w:line="312" w:lineRule="auto"/>
        <w:rPr>
          <w:rFonts w:cs="Verdana"/>
          <w:szCs w:val="20"/>
        </w:rPr>
      </w:pPr>
      <w:r w:rsidRPr="00E00B35">
        <w:rPr>
          <w:rFonts w:cs="Verdana"/>
          <w:szCs w:val="20"/>
        </w:rPr>
        <w:t>Dzięki współpracy z Komendą Miejską Policji we Wrocławiu wdrożono zainicjowane w latach wcześniejszych następujące programy prewencyjne: „</w:t>
      </w:r>
      <w:r w:rsidRPr="00E00B35">
        <w:rPr>
          <w:rFonts w:cs="Helv"/>
          <w:color w:val="000000"/>
          <w:szCs w:val="20"/>
        </w:rPr>
        <w:t>Wrocławscy dzielnicowi -stop przestępstwom”, „Bezpieczny Senior”, „Twój rower Twoja własność”, „Certyfikat bezpieczeństwa”, „Komisarz Lew - Akademia Komisarza Lwa”, „Twój przyjaciel pies”.</w:t>
      </w:r>
      <w:r w:rsidRPr="00E00B35">
        <w:rPr>
          <w:rFonts w:cs="Verdana"/>
          <w:szCs w:val="20"/>
        </w:rPr>
        <w:t xml:space="preserve">Na przeprowadzenie powyższych programów oraz zakup materiałów prewencyjnych zostało przekazane 91 000 zł. Dodatkowo doposażono Ogniwo Przewodników Psów Służbowych KMP poprzez zakup akcesoriów dla psów służbowych  w kwocie 40 000 zł. Osobną pozycją w budżecie były środki finansowe na działania koordynacyjno – zabezpieczające w mieście. </w:t>
      </w:r>
    </w:p>
    <w:p w:rsidR="00E96768" w:rsidRPr="00E00B35" w:rsidRDefault="00E96768" w:rsidP="00E00B35">
      <w:pPr>
        <w:spacing w:after="0" w:line="312" w:lineRule="auto"/>
        <w:rPr>
          <w:rFonts w:cs="Helv"/>
          <w:color w:val="000000"/>
          <w:szCs w:val="20"/>
        </w:rPr>
      </w:pPr>
      <w:r w:rsidRPr="00E00B35">
        <w:rPr>
          <w:rFonts w:cs="Verdana"/>
          <w:szCs w:val="20"/>
        </w:rPr>
        <w:t xml:space="preserve">Dzięki nim na dodatkowe patrole policyjne, w tym też na służbę patrolową w pobliżu nielegalnych składowisk odpadów wydano 128 460 zł. W minionym roku w ramach akcji „Sponsoring 2016” dofinansowano zakup dziesięciu pojazdów dla jednostek policji w kwocie 493 099 zł. Wsparto wyposażenie wrocławskiej policji w testy do wykrywania narkotyków: łącznie kwotą 8 978 zł. </w:t>
      </w:r>
    </w:p>
    <w:p w:rsidR="00E96768" w:rsidRPr="00E00B35" w:rsidRDefault="00E96768" w:rsidP="00E00B35">
      <w:pPr>
        <w:spacing w:after="0" w:line="312" w:lineRule="auto"/>
        <w:rPr>
          <w:rFonts w:cs="Verdana"/>
          <w:szCs w:val="20"/>
        </w:rPr>
      </w:pPr>
      <w:r w:rsidRPr="00E00B35">
        <w:rPr>
          <w:rFonts w:cs="Verdana"/>
          <w:szCs w:val="20"/>
        </w:rPr>
        <w:t xml:space="preserve">Na wykonanie zadań związanych z realizacją „Programu” Straż Miejska Wrocławia (kontynuacja przedsięwzięć z lat ubiegłych: Bezpieczne Osiedle, Bezpieczna szkoła, Czyste miasto, Bezpieczne ferie i wakacje) otrzymała 45 000 zł, natomiast Komenda Miejska Państwowej Straży Pożarnej – 70 000 zł, na pokrycie kosztów realizacji przedsięwzięć związanych z zapewnieniem ochrony przeciwpożarowej. Równocześnie Miasto partycypowało w zakupie samochodu ratowniczo gaśniczego z funkcją ograniczania stref skażeń chemicznych i ekologicznych przekazując 349 765 zł na ten cel do KM PSP we Wrocławiu. </w:t>
      </w:r>
    </w:p>
    <w:p w:rsidR="00E96768" w:rsidRPr="00E00B35" w:rsidRDefault="00E96768" w:rsidP="00E00B35">
      <w:pPr>
        <w:spacing w:after="0" w:line="312" w:lineRule="auto"/>
        <w:rPr>
          <w:rFonts w:cs="Verdana"/>
          <w:szCs w:val="20"/>
        </w:rPr>
      </w:pPr>
      <w:r w:rsidRPr="00E00B35">
        <w:rPr>
          <w:rFonts w:cs="Verdana"/>
          <w:szCs w:val="20"/>
        </w:rPr>
        <w:lastRenderedPageBreak/>
        <w:t>W celu dofinansowania w  minionym roku Ochotniczej Straży Pożarnej (OSP) – Jednostki Ratownictwa Specjalistycznego przekazano 14 000 zł z przeznaczeniem na pokrycie kosztów wyposażenia, utrzymania,  wyszkolenia i zapewnienia gotowości bojowej  oraz 160 000 zł na zakup samochodu ratowniczego z wyposażeniem.</w:t>
      </w:r>
    </w:p>
    <w:p w:rsidR="00E96768" w:rsidRPr="00E00B35" w:rsidRDefault="00E96768" w:rsidP="00E00B35">
      <w:pPr>
        <w:spacing w:after="0" w:line="312" w:lineRule="auto"/>
        <w:rPr>
          <w:rFonts w:cs="Verdana"/>
          <w:szCs w:val="20"/>
        </w:rPr>
      </w:pPr>
      <w:r w:rsidRPr="00E00B35">
        <w:rPr>
          <w:rFonts w:cs="Verdana"/>
          <w:szCs w:val="20"/>
        </w:rPr>
        <w:t>Jednostka ochotniczej straży pożarnej: OSP-ORW  została finansowo wsparta w wysokości 14 000 zł. Środki na utrzymanie gotowości uzyskała również jednostka OSP – Grupa Ratownictwa Specjalistycznego „Starówka” w wysokości 14 000 zł oraz 25 000 zł na pokrycie kosztów zakupu  niezbędnych usług i sprzętu.</w:t>
      </w:r>
    </w:p>
    <w:p w:rsidR="00E96768" w:rsidRPr="00E00B35" w:rsidRDefault="00E96768" w:rsidP="00E00B35">
      <w:pPr>
        <w:spacing w:after="0" w:line="312" w:lineRule="auto"/>
        <w:rPr>
          <w:rFonts w:cs="Verdana"/>
          <w:szCs w:val="20"/>
        </w:rPr>
      </w:pPr>
      <w:r w:rsidRPr="00E00B35">
        <w:rPr>
          <w:rFonts w:cs="Verdana"/>
          <w:szCs w:val="20"/>
        </w:rPr>
        <w:t xml:space="preserve">Tradycyjnie, w okresie od lata do końca roku zapewniono funkcjonowanie patroli wodnych WOPR na terenie miasta dzięki dotacji w wysokości 140 000 zł. </w:t>
      </w:r>
    </w:p>
    <w:p w:rsidR="005B50AD" w:rsidRPr="00E00B35" w:rsidRDefault="005B50AD" w:rsidP="00E00B35">
      <w:pPr>
        <w:spacing w:after="0" w:line="312" w:lineRule="auto"/>
        <w:rPr>
          <w:rFonts w:cs="Verdana"/>
          <w:szCs w:val="20"/>
        </w:rPr>
      </w:pPr>
    </w:p>
    <w:p w:rsidR="00E96768" w:rsidRPr="00E00B35" w:rsidRDefault="00E96768" w:rsidP="00E00B35">
      <w:pPr>
        <w:spacing w:after="0" w:line="312" w:lineRule="auto"/>
        <w:ind w:left="-142"/>
        <w:contextualSpacing/>
        <w:rPr>
          <w:szCs w:val="20"/>
        </w:rPr>
      </w:pPr>
      <w:r w:rsidRPr="00E00B35">
        <w:rPr>
          <w:szCs w:val="20"/>
        </w:rPr>
        <w:t>Tabela wydatkowanych środków finansowych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1"/>
        <w:gridCol w:w="1575"/>
        <w:gridCol w:w="1858"/>
        <w:gridCol w:w="1683"/>
        <w:gridCol w:w="1559"/>
      </w:tblGrid>
      <w:tr w:rsidR="00E96768" w:rsidRPr="00E00B35" w:rsidTr="00E96768">
        <w:trPr>
          <w:trHeight w:val="626"/>
        </w:trPr>
        <w:tc>
          <w:tcPr>
            <w:tcW w:w="2141" w:type="dxa"/>
            <w:shd w:val="clear" w:color="auto" w:fill="F2F2F2" w:themeFill="background1" w:themeFillShade="F2"/>
            <w:vAlign w:val="center"/>
          </w:tcPr>
          <w:p w:rsidR="00E96768" w:rsidRPr="00E00B35" w:rsidRDefault="00E96768" w:rsidP="00E00B35">
            <w:pPr>
              <w:spacing w:after="0" w:line="312" w:lineRule="auto"/>
              <w:rPr>
                <w:b/>
                <w:szCs w:val="20"/>
              </w:rPr>
            </w:pPr>
            <w:r w:rsidRPr="00E00B35">
              <w:rPr>
                <w:b/>
                <w:szCs w:val="20"/>
              </w:rPr>
              <w:t>Służby i instytucje</w:t>
            </w:r>
          </w:p>
        </w:tc>
        <w:tc>
          <w:tcPr>
            <w:tcW w:w="1575" w:type="dxa"/>
            <w:shd w:val="clear" w:color="auto" w:fill="F2F2F2" w:themeFill="background1" w:themeFillShade="F2"/>
            <w:vAlign w:val="center"/>
          </w:tcPr>
          <w:p w:rsidR="00E96768" w:rsidRPr="00E00B35" w:rsidRDefault="00E96768" w:rsidP="00E00B35">
            <w:pPr>
              <w:spacing w:after="0" w:line="312" w:lineRule="auto"/>
              <w:rPr>
                <w:b/>
                <w:szCs w:val="20"/>
              </w:rPr>
            </w:pPr>
            <w:r w:rsidRPr="00E00B35">
              <w:rPr>
                <w:b/>
                <w:szCs w:val="20"/>
              </w:rPr>
              <w:t>2017</w:t>
            </w:r>
          </w:p>
        </w:tc>
        <w:tc>
          <w:tcPr>
            <w:tcW w:w="1858" w:type="dxa"/>
            <w:shd w:val="clear" w:color="auto" w:fill="F2F2F2" w:themeFill="background1" w:themeFillShade="F2"/>
            <w:vAlign w:val="center"/>
          </w:tcPr>
          <w:p w:rsidR="00E96768" w:rsidRPr="00E00B35" w:rsidRDefault="00E96768" w:rsidP="00E00B35">
            <w:pPr>
              <w:spacing w:after="0" w:line="312" w:lineRule="auto"/>
              <w:rPr>
                <w:b/>
                <w:szCs w:val="20"/>
              </w:rPr>
            </w:pPr>
            <w:r w:rsidRPr="00E00B35">
              <w:rPr>
                <w:b/>
                <w:szCs w:val="20"/>
              </w:rPr>
              <w:t>2018</w:t>
            </w:r>
          </w:p>
        </w:tc>
        <w:tc>
          <w:tcPr>
            <w:tcW w:w="1683" w:type="dxa"/>
            <w:shd w:val="clear" w:color="auto" w:fill="F2F2F2" w:themeFill="background1" w:themeFillShade="F2"/>
            <w:vAlign w:val="center"/>
          </w:tcPr>
          <w:p w:rsidR="00E96768" w:rsidRPr="00E00B35" w:rsidRDefault="00E96768" w:rsidP="00E00B35">
            <w:pPr>
              <w:spacing w:after="0" w:line="312" w:lineRule="auto"/>
              <w:rPr>
                <w:b/>
                <w:szCs w:val="20"/>
              </w:rPr>
            </w:pPr>
            <w:r w:rsidRPr="00E00B35">
              <w:rPr>
                <w:b/>
                <w:szCs w:val="20"/>
              </w:rPr>
              <w:t>2019</w:t>
            </w:r>
          </w:p>
        </w:tc>
        <w:tc>
          <w:tcPr>
            <w:tcW w:w="1559" w:type="dxa"/>
            <w:shd w:val="clear" w:color="auto" w:fill="F2F2F2" w:themeFill="background1" w:themeFillShade="F2"/>
            <w:vAlign w:val="center"/>
          </w:tcPr>
          <w:p w:rsidR="00E96768" w:rsidRPr="00E00B35" w:rsidRDefault="00E96768" w:rsidP="00E00B35">
            <w:pPr>
              <w:spacing w:after="0" w:line="312" w:lineRule="auto"/>
              <w:rPr>
                <w:b/>
                <w:szCs w:val="20"/>
              </w:rPr>
            </w:pPr>
            <w:r w:rsidRPr="00E00B35">
              <w:rPr>
                <w:b/>
                <w:szCs w:val="20"/>
              </w:rPr>
              <w:t>2020</w:t>
            </w:r>
          </w:p>
        </w:tc>
      </w:tr>
      <w:tr w:rsidR="00E96768" w:rsidRPr="00E00B35" w:rsidTr="00E96768">
        <w:trPr>
          <w:trHeight w:val="455"/>
        </w:trPr>
        <w:tc>
          <w:tcPr>
            <w:tcW w:w="2141" w:type="dxa"/>
            <w:shd w:val="clear" w:color="auto" w:fill="F2F2F2" w:themeFill="background1" w:themeFillShade="F2"/>
            <w:vAlign w:val="center"/>
          </w:tcPr>
          <w:p w:rsidR="00E96768" w:rsidRPr="00E00B35" w:rsidRDefault="00E96768" w:rsidP="00E00B35">
            <w:pPr>
              <w:spacing w:after="0" w:line="312" w:lineRule="auto"/>
              <w:rPr>
                <w:szCs w:val="20"/>
              </w:rPr>
            </w:pPr>
            <w:r w:rsidRPr="00E00B35">
              <w:rPr>
                <w:szCs w:val="20"/>
              </w:rPr>
              <w:t>Komenda Miejska Policji</w:t>
            </w:r>
          </w:p>
        </w:tc>
        <w:tc>
          <w:tcPr>
            <w:tcW w:w="1575" w:type="dxa"/>
            <w:vAlign w:val="center"/>
          </w:tcPr>
          <w:p w:rsidR="00E96768" w:rsidRPr="00E00B35" w:rsidRDefault="00E96768" w:rsidP="00E00B35">
            <w:pPr>
              <w:spacing w:after="0" w:line="312" w:lineRule="auto"/>
              <w:rPr>
                <w:szCs w:val="20"/>
              </w:rPr>
            </w:pPr>
            <w:r w:rsidRPr="00E00B35">
              <w:rPr>
                <w:szCs w:val="20"/>
              </w:rPr>
              <w:t>957 006</w:t>
            </w:r>
          </w:p>
        </w:tc>
        <w:tc>
          <w:tcPr>
            <w:tcW w:w="1858" w:type="dxa"/>
            <w:vAlign w:val="center"/>
          </w:tcPr>
          <w:p w:rsidR="00E96768" w:rsidRPr="00E00B35" w:rsidRDefault="00E96768" w:rsidP="00E00B35">
            <w:pPr>
              <w:spacing w:after="0" w:line="312" w:lineRule="auto"/>
              <w:rPr>
                <w:szCs w:val="20"/>
              </w:rPr>
            </w:pPr>
            <w:r w:rsidRPr="00E00B35">
              <w:rPr>
                <w:szCs w:val="20"/>
              </w:rPr>
              <w:t>842 759</w:t>
            </w:r>
          </w:p>
        </w:tc>
        <w:tc>
          <w:tcPr>
            <w:tcW w:w="1683" w:type="dxa"/>
            <w:vAlign w:val="center"/>
          </w:tcPr>
          <w:p w:rsidR="00E96768" w:rsidRPr="00E00B35" w:rsidRDefault="00E96768" w:rsidP="00E00B35">
            <w:pPr>
              <w:spacing w:after="0" w:line="312" w:lineRule="auto"/>
              <w:rPr>
                <w:szCs w:val="20"/>
              </w:rPr>
            </w:pPr>
            <w:r w:rsidRPr="00E00B35">
              <w:rPr>
                <w:szCs w:val="20"/>
              </w:rPr>
              <w:t>1 007 813</w:t>
            </w:r>
          </w:p>
        </w:tc>
        <w:tc>
          <w:tcPr>
            <w:tcW w:w="1559" w:type="dxa"/>
            <w:vAlign w:val="center"/>
          </w:tcPr>
          <w:p w:rsidR="00E96768" w:rsidRPr="00E00B35" w:rsidRDefault="00E96768" w:rsidP="00E00B35">
            <w:pPr>
              <w:spacing w:after="0" w:line="312" w:lineRule="auto"/>
              <w:rPr>
                <w:szCs w:val="20"/>
              </w:rPr>
            </w:pPr>
            <w:r w:rsidRPr="00E00B35">
              <w:rPr>
                <w:szCs w:val="20"/>
              </w:rPr>
              <w:t>761 537</w:t>
            </w:r>
          </w:p>
        </w:tc>
      </w:tr>
      <w:tr w:rsidR="00E96768" w:rsidRPr="00E00B35" w:rsidTr="00E96768">
        <w:trPr>
          <w:trHeight w:val="775"/>
        </w:trPr>
        <w:tc>
          <w:tcPr>
            <w:tcW w:w="2141" w:type="dxa"/>
            <w:shd w:val="clear" w:color="auto" w:fill="F2F2F2" w:themeFill="background1" w:themeFillShade="F2"/>
            <w:vAlign w:val="center"/>
          </w:tcPr>
          <w:p w:rsidR="00E96768" w:rsidRPr="00E00B35" w:rsidRDefault="00E96768" w:rsidP="00E00B35">
            <w:pPr>
              <w:spacing w:after="0" w:line="312" w:lineRule="auto"/>
              <w:rPr>
                <w:szCs w:val="20"/>
              </w:rPr>
            </w:pPr>
            <w:r w:rsidRPr="00E00B35">
              <w:rPr>
                <w:szCs w:val="20"/>
              </w:rPr>
              <w:t>Komenda Miejska Państwowej Straży Pożarnej</w:t>
            </w:r>
          </w:p>
        </w:tc>
        <w:tc>
          <w:tcPr>
            <w:tcW w:w="1575" w:type="dxa"/>
            <w:vAlign w:val="center"/>
          </w:tcPr>
          <w:p w:rsidR="00E96768" w:rsidRPr="00E00B35" w:rsidRDefault="00E96768" w:rsidP="00E00B35">
            <w:pPr>
              <w:spacing w:after="0" w:line="312" w:lineRule="auto"/>
              <w:rPr>
                <w:szCs w:val="20"/>
              </w:rPr>
            </w:pPr>
            <w:r w:rsidRPr="00E00B35">
              <w:rPr>
                <w:szCs w:val="20"/>
              </w:rPr>
              <w:t>105 000</w:t>
            </w:r>
          </w:p>
        </w:tc>
        <w:tc>
          <w:tcPr>
            <w:tcW w:w="1858" w:type="dxa"/>
            <w:vAlign w:val="center"/>
          </w:tcPr>
          <w:p w:rsidR="00E96768" w:rsidRPr="00E00B35" w:rsidRDefault="00E96768" w:rsidP="00E00B35">
            <w:pPr>
              <w:spacing w:after="0" w:line="312" w:lineRule="auto"/>
              <w:rPr>
                <w:szCs w:val="20"/>
              </w:rPr>
            </w:pPr>
            <w:r w:rsidRPr="00E00B35">
              <w:rPr>
                <w:szCs w:val="20"/>
              </w:rPr>
              <w:t>70 000</w:t>
            </w:r>
          </w:p>
        </w:tc>
        <w:tc>
          <w:tcPr>
            <w:tcW w:w="1683" w:type="dxa"/>
            <w:vAlign w:val="center"/>
          </w:tcPr>
          <w:p w:rsidR="00E96768" w:rsidRPr="00E00B35" w:rsidRDefault="00E96768" w:rsidP="00E00B35">
            <w:pPr>
              <w:spacing w:after="0" w:line="312" w:lineRule="auto"/>
              <w:rPr>
                <w:szCs w:val="20"/>
              </w:rPr>
            </w:pPr>
            <w:r w:rsidRPr="00E00B35">
              <w:rPr>
                <w:szCs w:val="20"/>
              </w:rPr>
              <w:t>390 600</w:t>
            </w:r>
          </w:p>
        </w:tc>
        <w:tc>
          <w:tcPr>
            <w:tcW w:w="1559" w:type="dxa"/>
            <w:vAlign w:val="center"/>
          </w:tcPr>
          <w:p w:rsidR="00E96768" w:rsidRPr="00E00B35" w:rsidRDefault="00E96768" w:rsidP="00E00B35">
            <w:pPr>
              <w:spacing w:after="0" w:line="312" w:lineRule="auto"/>
              <w:rPr>
                <w:szCs w:val="20"/>
              </w:rPr>
            </w:pPr>
            <w:r w:rsidRPr="00E00B35">
              <w:rPr>
                <w:szCs w:val="20"/>
              </w:rPr>
              <w:t>419 765</w:t>
            </w:r>
          </w:p>
        </w:tc>
      </w:tr>
      <w:tr w:rsidR="00E96768" w:rsidRPr="00E00B35" w:rsidTr="00E96768">
        <w:trPr>
          <w:trHeight w:val="479"/>
        </w:trPr>
        <w:tc>
          <w:tcPr>
            <w:tcW w:w="2141" w:type="dxa"/>
            <w:shd w:val="clear" w:color="auto" w:fill="F2F2F2" w:themeFill="background1" w:themeFillShade="F2"/>
            <w:vAlign w:val="center"/>
          </w:tcPr>
          <w:p w:rsidR="00E96768" w:rsidRPr="00E00B35" w:rsidRDefault="00E96768" w:rsidP="00E00B35">
            <w:pPr>
              <w:spacing w:after="0" w:line="312" w:lineRule="auto"/>
              <w:rPr>
                <w:szCs w:val="20"/>
              </w:rPr>
            </w:pPr>
            <w:r w:rsidRPr="00E00B35">
              <w:rPr>
                <w:szCs w:val="20"/>
              </w:rPr>
              <w:t>Straż Miejska Wrocławia</w:t>
            </w:r>
          </w:p>
        </w:tc>
        <w:tc>
          <w:tcPr>
            <w:tcW w:w="1575" w:type="dxa"/>
            <w:vAlign w:val="center"/>
          </w:tcPr>
          <w:p w:rsidR="00E96768" w:rsidRPr="00E00B35" w:rsidRDefault="00E96768" w:rsidP="00E00B35">
            <w:pPr>
              <w:spacing w:after="0" w:line="312" w:lineRule="auto"/>
              <w:rPr>
                <w:szCs w:val="20"/>
              </w:rPr>
            </w:pPr>
            <w:r w:rsidRPr="00E00B35">
              <w:rPr>
                <w:szCs w:val="20"/>
              </w:rPr>
              <w:t>80 000</w:t>
            </w:r>
          </w:p>
        </w:tc>
        <w:tc>
          <w:tcPr>
            <w:tcW w:w="1858" w:type="dxa"/>
            <w:vAlign w:val="center"/>
          </w:tcPr>
          <w:p w:rsidR="00E96768" w:rsidRPr="00E00B35" w:rsidRDefault="00E96768" w:rsidP="00E00B35">
            <w:pPr>
              <w:spacing w:after="0" w:line="312" w:lineRule="auto"/>
              <w:rPr>
                <w:szCs w:val="20"/>
              </w:rPr>
            </w:pPr>
            <w:r w:rsidRPr="00E00B35">
              <w:rPr>
                <w:szCs w:val="20"/>
              </w:rPr>
              <w:t>70 000</w:t>
            </w:r>
          </w:p>
        </w:tc>
        <w:tc>
          <w:tcPr>
            <w:tcW w:w="1683" w:type="dxa"/>
            <w:vAlign w:val="center"/>
          </w:tcPr>
          <w:p w:rsidR="00E96768" w:rsidRPr="00E00B35" w:rsidRDefault="00E96768" w:rsidP="00E00B35">
            <w:pPr>
              <w:spacing w:after="0" w:line="312" w:lineRule="auto"/>
              <w:rPr>
                <w:szCs w:val="20"/>
              </w:rPr>
            </w:pPr>
            <w:r w:rsidRPr="00E00B35">
              <w:rPr>
                <w:szCs w:val="20"/>
              </w:rPr>
              <w:t>70 000</w:t>
            </w:r>
          </w:p>
        </w:tc>
        <w:tc>
          <w:tcPr>
            <w:tcW w:w="1559" w:type="dxa"/>
            <w:vAlign w:val="center"/>
          </w:tcPr>
          <w:p w:rsidR="00E96768" w:rsidRPr="00E00B35" w:rsidRDefault="00E96768" w:rsidP="00E00B35">
            <w:pPr>
              <w:spacing w:after="0" w:line="312" w:lineRule="auto"/>
              <w:rPr>
                <w:szCs w:val="20"/>
              </w:rPr>
            </w:pPr>
            <w:r w:rsidRPr="00E00B35">
              <w:rPr>
                <w:szCs w:val="20"/>
              </w:rPr>
              <w:t>45 000</w:t>
            </w:r>
          </w:p>
        </w:tc>
      </w:tr>
      <w:tr w:rsidR="00E96768" w:rsidRPr="00E00B35" w:rsidTr="00E96768">
        <w:trPr>
          <w:trHeight w:val="520"/>
        </w:trPr>
        <w:tc>
          <w:tcPr>
            <w:tcW w:w="2141" w:type="dxa"/>
            <w:shd w:val="clear" w:color="auto" w:fill="F2F2F2" w:themeFill="background1" w:themeFillShade="F2"/>
            <w:vAlign w:val="center"/>
          </w:tcPr>
          <w:p w:rsidR="00E96768" w:rsidRPr="00E00B35" w:rsidRDefault="00E96768" w:rsidP="00E00B35">
            <w:pPr>
              <w:spacing w:after="0" w:line="312" w:lineRule="auto"/>
              <w:rPr>
                <w:szCs w:val="20"/>
              </w:rPr>
            </w:pPr>
            <w:r w:rsidRPr="00E00B35">
              <w:rPr>
                <w:szCs w:val="20"/>
              </w:rPr>
              <w:t>Ochotnicze straż pożarne</w:t>
            </w:r>
          </w:p>
        </w:tc>
        <w:tc>
          <w:tcPr>
            <w:tcW w:w="1575" w:type="dxa"/>
            <w:vAlign w:val="center"/>
          </w:tcPr>
          <w:p w:rsidR="00E96768" w:rsidRPr="00E00B35" w:rsidRDefault="00E96768" w:rsidP="00E00B35">
            <w:pPr>
              <w:spacing w:after="0" w:line="312" w:lineRule="auto"/>
              <w:rPr>
                <w:szCs w:val="20"/>
              </w:rPr>
            </w:pPr>
            <w:r w:rsidRPr="00E00B35">
              <w:rPr>
                <w:szCs w:val="20"/>
              </w:rPr>
              <w:t>130 000</w:t>
            </w:r>
          </w:p>
        </w:tc>
        <w:tc>
          <w:tcPr>
            <w:tcW w:w="1858" w:type="dxa"/>
            <w:vAlign w:val="center"/>
          </w:tcPr>
          <w:p w:rsidR="00E96768" w:rsidRPr="00E00B35" w:rsidRDefault="00E96768" w:rsidP="00E00B35">
            <w:pPr>
              <w:spacing w:after="0" w:line="312" w:lineRule="auto"/>
              <w:rPr>
                <w:szCs w:val="20"/>
              </w:rPr>
            </w:pPr>
            <w:r w:rsidRPr="00E00B35">
              <w:rPr>
                <w:szCs w:val="20"/>
              </w:rPr>
              <w:t>235 605</w:t>
            </w:r>
          </w:p>
        </w:tc>
        <w:tc>
          <w:tcPr>
            <w:tcW w:w="1683" w:type="dxa"/>
            <w:vAlign w:val="center"/>
          </w:tcPr>
          <w:p w:rsidR="00E96768" w:rsidRPr="00E00B35" w:rsidRDefault="00E96768" w:rsidP="00E00B35">
            <w:pPr>
              <w:spacing w:after="0" w:line="312" w:lineRule="auto"/>
              <w:rPr>
                <w:szCs w:val="20"/>
              </w:rPr>
            </w:pPr>
            <w:r w:rsidRPr="00E00B35">
              <w:rPr>
                <w:szCs w:val="20"/>
              </w:rPr>
              <w:t>388 000</w:t>
            </w:r>
          </w:p>
        </w:tc>
        <w:tc>
          <w:tcPr>
            <w:tcW w:w="1559" w:type="dxa"/>
            <w:vAlign w:val="center"/>
          </w:tcPr>
          <w:p w:rsidR="00E96768" w:rsidRPr="00E00B35" w:rsidRDefault="00E96768" w:rsidP="00E00B35">
            <w:pPr>
              <w:spacing w:after="0" w:line="312" w:lineRule="auto"/>
              <w:rPr>
                <w:szCs w:val="20"/>
              </w:rPr>
            </w:pPr>
            <w:r w:rsidRPr="00E00B35">
              <w:rPr>
                <w:szCs w:val="20"/>
              </w:rPr>
              <w:t>227 000</w:t>
            </w:r>
          </w:p>
        </w:tc>
      </w:tr>
      <w:tr w:rsidR="00E96768" w:rsidRPr="00E00B35" w:rsidTr="00E96768">
        <w:trPr>
          <w:trHeight w:val="1266"/>
        </w:trPr>
        <w:tc>
          <w:tcPr>
            <w:tcW w:w="2141" w:type="dxa"/>
            <w:shd w:val="clear" w:color="auto" w:fill="F2F2F2" w:themeFill="background1" w:themeFillShade="F2"/>
            <w:vAlign w:val="center"/>
          </w:tcPr>
          <w:p w:rsidR="00E96768" w:rsidRPr="00E00B35" w:rsidRDefault="00E96768" w:rsidP="00E00B35">
            <w:pPr>
              <w:spacing w:after="0" w:line="312" w:lineRule="auto"/>
              <w:rPr>
                <w:szCs w:val="20"/>
              </w:rPr>
            </w:pPr>
            <w:r w:rsidRPr="00E00B35">
              <w:rPr>
                <w:szCs w:val="20"/>
              </w:rPr>
              <w:t>Wrocławska Bezpieczna Szkoła (KMP+szkoły)</w:t>
            </w:r>
          </w:p>
        </w:tc>
        <w:tc>
          <w:tcPr>
            <w:tcW w:w="1575" w:type="dxa"/>
            <w:vAlign w:val="center"/>
          </w:tcPr>
          <w:p w:rsidR="00E96768" w:rsidRPr="00E00B35" w:rsidRDefault="00E96768" w:rsidP="00E00B35">
            <w:pPr>
              <w:spacing w:after="0" w:line="312" w:lineRule="auto"/>
              <w:rPr>
                <w:szCs w:val="20"/>
              </w:rPr>
            </w:pPr>
            <w:r w:rsidRPr="00E00B35">
              <w:rPr>
                <w:szCs w:val="20"/>
              </w:rPr>
              <w:t>40 000</w:t>
            </w:r>
          </w:p>
        </w:tc>
        <w:tc>
          <w:tcPr>
            <w:tcW w:w="1858" w:type="dxa"/>
            <w:vAlign w:val="center"/>
          </w:tcPr>
          <w:p w:rsidR="00E96768" w:rsidRPr="00E00B35" w:rsidRDefault="00E96768" w:rsidP="00E00B35">
            <w:pPr>
              <w:spacing w:after="0" w:line="312" w:lineRule="auto"/>
              <w:rPr>
                <w:szCs w:val="20"/>
              </w:rPr>
            </w:pPr>
            <w:r w:rsidRPr="00E00B35">
              <w:rPr>
                <w:szCs w:val="20"/>
              </w:rPr>
              <w:t>50 000</w:t>
            </w:r>
          </w:p>
        </w:tc>
        <w:tc>
          <w:tcPr>
            <w:tcW w:w="1683" w:type="dxa"/>
            <w:vAlign w:val="center"/>
          </w:tcPr>
          <w:p w:rsidR="00E96768" w:rsidRPr="00E00B35" w:rsidRDefault="00E96768" w:rsidP="00E00B35">
            <w:pPr>
              <w:spacing w:after="0" w:line="312" w:lineRule="auto"/>
              <w:rPr>
                <w:szCs w:val="20"/>
              </w:rPr>
            </w:pPr>
            <w:r w:rsidRPr="00E00B35">
              <w:rPr>
                <w:szCs w:val="20"/>
              </w:rPr>
              <w:t>40 000</w:t>
            </w:r>
          </w:p>
        </w:tc>
        <w:tc>
          <w:tcPr>
            <w:tcW w:w="1559" w:type="dxa"/>
            <w:vAlign w:val="center"/>
          </w:tcPr>
          <w:p w:rsidR="00E96768" w:rsidRPr="00E00B35" w:rsidRDefault="00E96768" w:rsidP="00E00B35">
            <w:pPr>
              <w:spacing w:after="0" w:line="312" w:lineRule="auto"/>
              <w:rPr>
                <w:szCs w:val="20"/>
              </w:rPr>
            </w:pPr>
            <w:r w:rsidRPr="00E00B35">
              <w:rPr>
                <w:szCs w:val="20"/>
              </w:rPr>
              <w:t>z powodu zamknięcia szkół program został zawieszony w 2020 roku</w:t>
            </w:r>
          </w:p>
        </w:tc>
      </w:tr>
      <w:tr w:rsidR="00E96768" w:rsidRPr="00E00B35" w:rsidTr="00E96768">
        <w:trPr>
          <w:trHeight w:val="661"/>
        </w:trPr>
        <w:tc>
          <w:tcPr>
            <w:tcW w:w="2141" w:type="dxa"/>
            <w:shd w:val="clear" w:color="auto" w:fill="F2F2F2" w:themeFill="background1" w:themeFillShade="F2"/>
            <w:vAlign w:val="center"/>
          </w:tcPr>
          <w:p w:rsidR="00E96768" w:rsidRPr="00E00B35" w:rsidRDefault="00E96768" w:rsidP="00E00B35">
            <w:pPr>
              <w:spacing w:after="0" w:line="312" w:lineRule="auto"/>
              <w:rPr>
                <w:szCs w:val="20"/>
              </w:rPr>
            </w:pPr>
            <w:r w:rsidRPr="00E00B35">
              <w:rPr>
                <w:szCs w:val="20"/>
              </w:rPr>
              <w:t>Bezpiecznie nad wodą (letnie patrole wodne)</w:t>
            </w:r>
          </w:p>
        </w:tc>
        <w:tc>
          <w:tcPr>
            <w:tcW w:w="1575" w:type="dxa"/>
            <w:vAlign w:val="center"/>
          </w:tcPr>
          <w:p w:rsidR="00E96768" w:rsidRPr="00E00B35" w:rsidRDefault="00E96768" w:rsidP="00E00B35">
            <w:pPr>
              <w:spacing w:after="0" w:line="312" w:lineRule="auto"/>
              <w:rPr>
                <w:szCs w:val="20"/>
              </w:rPr>
            </w:pPr>
            <w:r w:rsidRPr="00E00B35">
              <w:rPr>
                <w:szCs w:val="20"/>
              </w:rPr>
              <w:t>40 000</w:t>
            </w:r>
          </w:p>
        </w:tc>
        <w:tc>
          <w:tcPr>
            <w:tcW w:w="1858" w:type="dxa"/>
            <w:vAlign w:val="center"/>
          </w:tcPr>
          <w:p w:rsidR="00E96768" w:rsidRPr="00E00B35" w:rsidRDefault="00E96768" w:rsidP="00E00B35">
            <w:pPr>
              <w:spacing w:after="0" w:line="312" w:lineRule="auto"/>
              <w:rPr>
                <w:szCs w:val="20"/>
              </w:rPr>
            </w:pPr>
            <w:r w:rsidRPr="00E00B35">
              <w:rPr>
                <w:szCs w:val="20"/>
              </w:rPr>
              <w:t>40 000</w:t>
            </w:r>
          </w:p>
        </w:tc>
        <w:tc>
          <w:tcPr>
            <w:tcW w:w="1683" w:type="dxa"/>
            <w:vAlign w:val="center"/>
          </w:tcPr>
          <w:p w:rsidR="00E96768" w:rsidRPr="00E00B35" w:rsidRDefault="00E96768" w:rsidP="00E00B35">
            <w:pPr>
              <w:spacing w:after="0" w:line="312" w:lineRule="auto"/>
              <w:rPr>
                <w:szCs w:val="20"/>
              </w:rPr>
            </w:pPr>
            <w:r w:rsidRPr="00E00B35">
              <w:rPr>
                <w:szCs w:val="20"/>
              </w:rPr>
              <w:t>140 000</w:t>
            </w:r>
          </w:p>
        </w:tc>
        <w:tc>
          <w:tcPr>
            <w:tcW w:w="1559" w:type="dxa"/>
            <w:vAlign w:val="center"/>
          </w:tcPr>
          <w:p w:rsidR="00E96768" w:rsidRPr="00E00B35" w:rsidRDefault="00E96768" w:rsidP="00E00B35">
            <w:pPr>
              <w:spacing w:after="0" w:line="312" w:lineRule="auto"/>
              <w:rPr>
                <w:szCs w:val="20"/>
              </w:rPr>
            </w:pPr>
            <w:r w:rsidRPr="00E00B35">
              <w:rPr>
                <w:szCs w:val="20"/>
              </w:rPr>
              <w:t>140 000</w:t>
            </w:r>
          </w:p>
        </w:tc>
      </w:tr>
    </w:tbl>
    <w:p w:rsidR="00E96768" w:rsidRPr="00E00B35" w:rsidRDefault="00E96768" w:rsidP="00E00B35">
      <w:pPr>
        <w:spacing w:after="0" w:line="312" w:lineRule="auto"/>
        <w:rPr>
          <w:rFonts w:cs="Verdana"/>
          <w:szCs w:val="20"/>
        </w:rPr>
      </w:pPr>
    </w:p>
    <w:p w:rsidR="00E96768" w:rsidRPr="00E00B35" w:rsidRDefault="00E96768" w:rsidP="00E00B35">
      <w:pPr>
        <w:spacing w:after="0" w:line="312" w:lineRule="auto"/>
        <w:rPr>
          <w:rFonts w:cs="Verdana"/>
          <w:szCs w:val="20"/>
        </w:rPr>
      </w:pPr>
      <w:r w:rsidRPr="00E00B35">
        <w:rPr>
          <w:rFonts w:cs="Verdana"/>
          <w:szCs w:val="20"/>
        </w:rPr>
        <w:t>Od wiosny 2020r. Wydział Bezpieczeństwa i Zarządzania Kryzysowego bierze udział w walce z epidemią Covid-19. W ramach wsparcia udzielonego wrocławskim jednostkom służby zdrowia  przekazano kwotę 7 272 375 zł. na zakup niezbędnych środków ochrony osobistej oraz sprzętu medycznego.</w:t>
      </w:r>
    </w:p>
    <w:p w:rsidR="00E96768" w:rsidRPr="00E00B35" w:rsidRDefault="00E96768" w:rsidP="00E00B35">
      <w:pPr>
        <w:spacing w:after="0" w:line="312" w:lineRule="auto"/>
        <w:rPr>
          <w:rFonts w:cs="Verdana"/>
          <w:szCs w:val="20"/>
        </w:rPr>
      </w:pPr>
      <w:r w:rsidRPr="00E00B35">
        <w:rPr>
          <w:rFonts w:cs="Verdana"/>
          <w:szCs w:val="20"/>
        </w:rPr>
        <w:t>W lipcu 2020 r. Gmina Wrocław wsparła finansowo trzy gminy: Markowa, Lewin Kłodzki oraz Łańcut łączną kwotą 500 000 zł na realizację inwestycji związanych z odbudową gminnej infrastruktury komunalnej zniszczonej po obfitych opadach deszczu.</w:t>
      </w:r>
    </w:p>
    <w:p w:rsidR="005B50AD" w:rsidRPr="00E00B35" w:rsidRDefault="005B50AD" w:rsidP="00E00B35">
      <w:pPr>
        <w:spacing w:after="0" w:line="312" w:lineRule="auto"/>
        <w:rPr>
          <w:rFonts w:cs="Verdana"/>
          <w:szCs w:val="20"/>
        </w:rPr>
      </w:pPr>
    </w:p>
    <w:p w:rsidR="00E96768" w:rsidRPr="00E00B35" w:rsidRDefault="00E96768" w:rsidP="00E00B35">
      <w:pPr>
        <w:pStyle w:val="Nagwek5"/>
        <w:rPr>
          <w:szCs w:val="20"/>
        </w:rPr>
      </w:pPr>
      <w:r w:rsidRPr="00E00B35">
        <w:rPr>
          <w:szCs w:val="20"/>
        </w:rPr>
        <w:lastRenderedPageBreak/>
        <w:t>OBRONA CYWILNA</w:t>
      </w:r>
    </w:p>
    <w:p w:rsidR="00E96768" w:rsidRPr="00E00B35" w:rsidRDefault="00E96768" w:rsidP="00E00B35">
      <w:pPr>
        <w:spacing w:after="0" w:line="312" w:lineRule="auto"/>
        <w:rPr>
          <w:rFonts w:cs="Verdana"/>
          <w:b/>
          <w:szCs w:val="20"/>
        </w:rPr>
      </w:pPr>
      <w:r w:rsidRPr="00E00B35">
        <w:rPr>
          <w:szCs w:val="20"/>
        </w:rPr>
        <w:t>Opracowano Zarządzenie Prezydenta Wrocławia (Nr 4251/20) w sprawie przygotowania i zapewnienia działania miejskiego systemu wczesnego ostrzegania o zagrożeniach oraz miejskiego systemu wykrywania i alarmowania.</w:t>
      </w:r>
    </w:p>
    <w:p w:rsidR="00E96768" w:rsidRPr="00E00B35" w:rsidRDefault="00E96768" w:rsidP="00E00B35">
      <w:pPr>
        <w:spacing w:after="0" w:line="312" w:lineRule="auto"/>
        <w:rPr>
          <w:szCs w:val="20"/>
        </w:rPr>
      </w:pPr>
      <w:r w:rsidRPr="00E00B35">
        <w:rPr>
          <w:szCs w:val="20"/>
        </w:rPr>
        <w:t xml:space="preserve">W ramach utrzymania w stałej gotowości powszechnego systemu o zagrożeniach i stanach kryzysowych dokonano wymiany kompletów akumulatorów buforowych w 5 punktach systemu ostrzegania i alarmowania oraz naprawy serwisowej 3 syren alarmowych i urządzeń sterujących. </w:t>
      </w:r>
    </w:p>
    <w:p w:rsidR="00E96768" w:rsidRPr="00E00B35" w:rsidRDefault="00E96768" w:rsidP="00E00B35">
      <w:pPr>
        <w:spacing w:after="0" w:line="312" w:lineRule="auto"/>
        <w:rPr>
          <w:szCs w:val="20"/>
        </w:rPr>
      </w:pPr>
      <w:r w:rsidRPr="00E00B35">
        <w:rPr>
          <w:szCs w:val="20"/>
        </w:rPr>
        <w:t>Uczestniczono w 3 ogólnopolskich i 1 wojewódzkim treningach systemu ostrzegania i alarmowania.</w:t>
      </w:r>
    </w:p>
    <w:p w:rsidR="00E96768" w:rsidRPr="00E00B35" w:rsidRDefault="00E96768" w:rsidP="00E00B35">
      <w:pPr>
        <w:spacing w:after="0" w:line="312" w:lineRule="auto"/>
        <w:rPr>
          <w:szCs w:val="20"/>
        </w:rPr>
      </w:pPr>
      <w:r w:rsidRPr="00E00B35">
        <w:rPr>
          <w:color w:val="000000"/>
          <w:szCs w:val="20"/>
        </w:rPr>
        <w:t>Raz na kwartał drużyny łączności i alarmowania, sekcje łączności i alarmowania oraz punkty alarmowania zgodnie ze strukturą podległości nawiązały łączność w celu potwierdzenia stanu gotowości oraz  aktualizacji danych teleadresowych.</w:t>
      </w:r>
    </w:p>
    <w:p w:rsidR="00E96768" w:rsidRPr="00E00B35" w:rsidRDefault="00E96768" w:rsidP="00E00B35">
      <w:pPr>
        <w:spacing w:after="0" w:line="312" w:lineRule="auto"/>
        <w:rPr>
          <w:szCs w:val="20"/>
        </w:rPr>
      </w:pPr>
      <w:r w:rsidRPr="00E00B35">
        <w:rPr>
          <w:szCs w:val="20"/>
        </w:rPr>
        <w:t>Dokonano zmian organizacyjnych w strukturach Systemu Wykrywania i Alarmowania (drużyny łączności i alarmowania, sekcje łączności i alarmowania, punkty alarmowania) w 6 jednostkach administracyjnych, zakładach pracy i instytucjach. Zaktualizowano bazę sił i środków omawianego systemu.</w:t>
      </w:r>
    </w:p>
    <w:p w:rsidR="00E96768" w:rsidRPr="00E00B35" w:rsidRDefault="00E96768" w:rsidP="00E00B35">
      <w:pPr>
        <w:spacing w:after="0" w:line="312" w:lineRule="auto"/>
        <w:rPr>
          <w:color w:val="000000"/>
          <w:szCs w:val="20"/>
        </w:rPr>
      </w:pPr>
      <w:r w:rsidRPr="00E00B35">
        <w:rPr>
          <w:szCs w:val="20"/>
        </w:rPr>
        <w:t xml:space="preserve">W zakresie organizacyjnym na szczeblu powiatowym opracowano ocenę stanu przygotowań ochrony ludności i obrony cywilnej za 2019 r. zgodnie z wytycznymi  Szefa Obrony Cywilnej Kraju z dnia 30 sierpnia 2016 r. jak również </w:t>
      </w:r>
      <w:r w:rsidRPr="00E00B35">
        <w:rPr>
          <w:color w:val="000000"/>
          <w:szCs w:val="20"/>
        </w:rPr>
        <w:t xml:space="preserve">Plan działania w zakresie obrony cywilnej na 2020 r. </w:t>
      </w:r>
    </w:p>
    <w:p w:rsidR="00E96768" w:rsidRPr="00E00B35" w:rsidRDefault="00E96768" w:rsidP="00E00B35">
      <w:pPr>
        <w:spacing w:after="0" w:line="312" w:lineRule="auto"/>
        <w:rPr>
          <w:color w:val="000000"/>
          <w:szCs w:val="20"/>
        </w:rPr>
      </w:pPr>
      <w:r w:rsidRPr="00E00B35">
        <w:rPr>
          <w:color w:val="000000"/>
          <w:szCs w:val="20"/>
        </w:rPr>
        <w:t>Przeprowadzono 50 konsultacji zdalnych związanych z opracowywaniem planów obrony cywilnej oraz innej dokumentacji z zakresu ochrony ludności.</w:t>
      </w:r>
    </w:p>
    <w:p w:rsidR="00E96768" w:rsidRPr="00E00B35" w:rsidRDefault="00E96768" w:rsidP="00E00B35">
      <w:pPr>
        <w:spacing w:after="0" w:line="312" w:lineRule="auto"/>
        <w:rPr>
          <w:szCs w:val="20"/>
        </w:rPr>
      </w:pPr>
      <w:r w:rsidRPr="00E00B35">
        <w:rPr>
          <w:color w:val="000000"/>
          <w:szCs w:val="20"/>
        </w:rPr>
        <w:t>Utrzymywano w sprawności eksploatacyjnej i technicznej awaryjne ujęcia wody pitnej, przeprowadzono wyrywkową inwentaryzację studni.</w:t>
      </w:r>
    </w:p>
    <w:p w:rsidR="00E96768" w:rsidRPr="00E00B35" w:rsidRDefault="00E96768" w:rsidP="00E00B35">
      <w:pPr>
        <w:spacing w:after="0" w:line="312" w:lineRule="auto"/>
        <w:rPr>
          <w:szCs w:val="20"/>
        </w:rPr>
      </w:pPr>
      <w:r w:rsidRPr="00E00B35">
        <w:rPr>
          <w:color w:val="000000"/>
          <w:szCs w:val="20"/>
        </w:rPr>
        <w:t>Zaktualizowano Plan ochrony zabytków Wrocławia.</w:t>
      </w:r>
    </w:p>
    <w:p w:rsidR="00E96768" w:rsidRPr="00E00B35" w:rsidRDefault="00E96768" w:rsidP="00E00B35">
      <w:pPr>
        <w:spacing w:after="0" w:line="312" w:lineRule="auto"/>
        <w:rPr>
          <w:szCs w:val="20"/>
        </w:rPr>
      </w:pPr>
      <w:r w:rsidRPr="00E00B35">
        <w:rPr>
          <w:color w:val="000000"/>
          <w:szCs w:val="20"/>
        </w:rPr>
        <w:t>Udzielono 42 informacje i konsultacje dotyczące budowli ochronnych.</w:t>
      </w:r>
    </w:p>
    <w:p w:rsidR="00E96768" w:rsidRPr="00E00B35" w:rsidRDefault="00E96768" w:rsidP="00E00B35">
      <w:pPr>
        <w:spacing w:after="0" w:line="312" w:lineRule="auto"/>
        <w:rPr>
          <w:szCs w:val="20"/>
        </w:rPr>
      </w:pPr>
      <w:r w:rsidRPr="00E00B35">
        <w:rPr>
          <w:color w:val="000000"/>
          <w:szCs w:val="20"/>
        </w:rPr>
        <w:t>Przeprowadzono 22 wizje lokalne oraz oceny stanów technicznych obiektów ochronnych.</w:t>
      </w:r>
    </w:p>
    <w:p w:rsidR="00E96768" w:rsidRPr="00E00B35" w:rsidRDefault="00E96768" w:rsidP="00E00B35">
      <w:pPr>
        <w:spacing w:after="0" w:line="312" w:lineRule="auto"/>
        <w:rPr>
          <w:szCs w:val="20"/>
        </w:rPr>
      </w:pPr>
      <w:r w:rsidRPr="00E00B35">
        <w:rPr>
          <w:color w:val="000000"/>
          <w:szCs w:val="20"/>
        </w:rPr>
        <w:t>Na bieżąco dokonywano inwentaryzacji sprzętu obrony cywilnej z dostarczeniem zestawienia inwentaryzacyjnego wraz z informacją o bazie magazynowej.</w:t>
      </w:r>
      <w:r w:rsidRPr="00E00B35">
        <w:rPr>
          <w:szCs w:val="20"/>
        </w:rPr>
        <w:t xml:space="preserve"> Zdezaktualizowany s</w:t>
      </w:r>
      <w:r w:rsidRPr="00E00B35">
        <w:rPr>
          <w:color w:val="000000"/>
          <w:szCs w:val="20"/>
        </w:rPr>
        <w:t>przęt OC wycofano i utylizowano zgodnie z obowiązującymi przepisami, natomiast sprawny sprzęt OC konserwowano oraz legalizowano zgodnie z wytycznymi producenta.</w:t>
      </w:r>
    </w:p>
    <w:p w:rsidR="00E96768" w:rsidRPr="00E00B35" w:rsidRDefault="00E96768" w:rsidP="00E00B35">
      <w:pPr>
        <w:spacing w:after="0" w:line="312" w:lineRule="auto"/>
        <w:rPr>
          <w:szCs w:val="20"/>
        </w:rPr>
      </w:pPr>
      <w:r w:rsidRPr="00E00B35">
        <w:rPr>
          <w:szCs w:val="20"/>
        </w:rPr>
        <w:t>W 100 jednostkach organizacyjnych opracowano tematyczne i kalendarzowe plany szkolenia, oddzielnie na każdą grupę szkoleniową.</w:t>
      </w:r>
    </w:p>
    <w:p w:rsidR="00E96768" w:rsidRPr="00E00B35" w:rsidRDefault="002D2715" w:rsidP="00E00B35">
      <w:pPr>
        <w:pStyle w:val="Nagwek5"/>
        <w:rPr>
          <w:szCs w:val="20"/>
        </w:rPr>
      </w:pPr>
      <w:r w:rsidRPr="00E00B35">
        <w:rPr>
          <w:szCs w:val="20"/>
        </w:rPr>
        <w:br/>
      </w:r>
      <w:r w:rsidR="00E96768" w:rsidRPr="00E00B35">
        <w:rPr>
          <w:szCs w:val="20"/>
        </w:rPr>
        <w:t>ZADANIA W ZAKRESIE USUWANIA I PRZECHOWYWANIA POJAZDÓW USUWANYCH Z DRÓG WROCŁAWIA NA PODSTAWIE PRAWO O RUCHU DROGOWYM</w:t>
      </w:r>
    </w:p>
    <w:p w:rsidR="00E96768" w:rsidRPr="00E00B35" w:rsidRDefault="00E96768" w:rsidP="00E00B35">
      <w:pPr>
        <w:spacing w:after="0" w:line="312" w:lineRule="auto"/>
        <w:rPr>
          <w:szCs w:val="20"/>
        </w:rPr>
      </w:pPr>
      <w:r w:rsidRPr="00E00B35">
        <w:rPr>
          <w:bCs/>
          <w:szCs w:val="20"/>
        </w:rPr>
        <w:t xml:space="preserve">Corocznie przygotowywany jest projekt uchwały w </w:t>
      </w:r>
      <w:r w:rsidRPr="00E00B35">
        <w:rPr>
          <w:szCs w:val="20"/>
        </w:rPr>
        <w:t>sprawie opłat za usunięcie</w:t>
      </w:r>
      <w:r w:rsidRPr="00E00B35">
        <w:rPr>
          <w:szCs w:val="20"/>
        </w:rPr>
        <w:br/>
        <w:t>i przechowywanie pojazdów usuwanych z dróg Wrocławia na podstawie przepisów ustawy prawo o ruchu drogowym.</w:t>
      </w:r>
    </w:p>
    <w:p w:rsidR="005B50AD" w:rsidRPr="00E00B35" w:rsidRDefault="005B50AD" w:rsidP="00E00B35">
      <w:pPr>
        <w:spacing w:after="0" w:line="312" w:lineRule="auto"/>
        <w:rPr>
          <w:szCs w:val="20"/>
        </w:rPr>
      </w:pPr>
    </w:p>
    <w:p w:rsidR="00E96768" w:rsidRPr="00E00B35" w:rsidRDefault="00E96768" w:rsidP="00E00B35">
      <w:pPr>
        <w:pStyle w:val="Akapitzlist"/>
        <w:spacing w:after="0" w:line="312" w:lineRule="auto"/>
        <w:ind w:left="0"/>
        <w:rPr>
          <w:bCs/>
          <w:szCs w:val="20"/>
        </w:rPr>
      </w:pPr>
      <w:r w:rsidRPr="00E00B35">
        <w:rPr>
          <w:bCs/>
          <w:szCs w:val="20"/>
        </w:rPr>
        <w:lastRenderedPageBreak/>
        <w:t>Ilość pojazdów usuniętych z dróg na podstawie ustawy Prawo o ruchu drogowym</w:t>
      </w:r>
    </w:p>
    <w:tbl>
      <w:tblPr>
        <w:tblpPr w:leftFromText="141" w:rightFromText="141" w:vertAnchor="text" w:horzAnchor="page" w:tblpX="1487"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5"/>
        <w:gridCol w:w="1276"/>
        <w:gridCol w:w="1418"/>
        <w:gridCol w:w="1417"/>
        <w:gridCol w:w="1418"/>
        <w:gridCol w:w="1383"/>
      </w:tblGrid>
      <w:tr w:rsidR="00E96768" w:rsidRPr="00E00B35" w:rsidTr="00E96768">
        <w:trPr>
          <w:trHeight w:val="695"/>
        </w:trPr>
        <w:tc>
          <w:tcPr>
            <w:tcW w:w="2375"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Rok</w:t>
            </w:r>
          </w:p>
        </w:tc>
        <w:tc>
          <w:tcPr>
            <w:tcW w:w="1276"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2016</w:t>
            </w:r>
          </w:p>
        </w:tc>
        <w:tc>
          <w:tcPr>
            <w:tcW w:w="1418"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2017</w:t>
            </w:r>
          </w:p>
        </w:tc>
        <w:tc>
          <w:tcPr>
            <w:tcW w:w="1417"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2018</w:t>
            </w:r>
          </w:p>
        </w:tc>
        <w:tc>
          <w:tcPr>
            <w:tcW w:w="1418"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2019</w:t>
            </w:r>
          </w:p>
        </w:tc>
        <w:tc>
          <w:tcPr>
            <w:tcW w:w="1383"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2020</w:t>
            </w:r>
          </w:p>
        </w:tc>
      </w:tr>
      <w:tr w:rsidR="00E96768" w:rsidRPr="00E00B35" w:rsidTr="00E96768">
        <w:tc>
          <w:tcPr>
            <w:tcW w:w="2375" w:type="dxa"/>
          </w:tcPr>
          <w:p w:rsidR="00E96768" w:rsidRPr="00E00B35" w:rsidRDefault="00E96768" w:rsidP="00E00B35">
            <w:pPr>
              <w:spacing w:after="0" w:line="312" w:lineRule="auto"/>
              <w:rPr>
                <w:szCs w:val="20"/>
              </w:rPr>
            </w:pPr>
            <w:r w:rsidRPr="00E00B35">
              <w:rPr>
                <w:szCs w:val="20"/>
              </w:rPr>
              <w:t>Ilość usuniętych pojazdów (art. 50a)</w:t>
            </w:r>
          </w:p>
        </w:tc>
        <w:tc>
          <w:tcPr>
            <w:tcW w:w="1276" w:type="dxa"/>
            <w:vAlign w:val="center"/>
          </w:tcPr>
          <w:p w:rsidR="00E96768" w:rsidRPr="00E00B35" w:rsidRDefault="00E96768" w:rsidP="00E00B35">
            <w:pPr>
              <w:spacing w:after="0" w:line="312" w:lineRule="auto"/>
              <w:rPr>
                <w:szCs w:val="20"/>
              </w:rPr>
            </w:pPr>
            <w:r w:rsidRPr="00E00B35">
              <w:rPr>
                <w:szCs w:val="20"/>
              </w:rPr>
              <w:t>247</w:t>
            </w:r>
          </w:p>
        </w:tc>
        <w:tc>
          <w:tcPr>
            <w:tcW w:w="1418" w:type="dxa"/>
            <w:vAlign w:val="center"/>
          </w:tcPr>
          <w:p w:rsidR="00E96768" w:rsidRPr="00E00B35" w:rsidRDefault="00E96768" w:rsidP="00E00B35">
            <w:pPr>
              <w:spacing w:after="0" w:line="312" w:lineRule="auto"/>
              <w:rPr>
                <w:szCs w:val="20"/>
              </w:rPr>
            </w:pPr>
            <w:r w:rsidRPr="00E00B35">
              <w:rPr>
                <w:szCs w:val="20"/>
              </w:rPr>
              <w:t>297</w:t>
            </w:r>
          </w:p>
        </w:tc>
        <w:tc>
          <w:tcPr>
            <w:tcW w:w="1417" w:type="dxa"/>
            <w:vAlign w:val="center"/>
          </w:tcPr>
          <w:p w:rsidR="00E96768" w:rsidRPr="00E00B35" w:rsidRDefault="00E96768" w:rsidP="00E00B35">
            <w:pPr>
              <w:spacing w:after="0" w:line="312" w:lineRule="auto"/>
              <w:rPr>
                <w:szCs w:val="20"/>
              </w:rPr>
            </w:pPr>
            <w:r w:rsidRPr="00E00B35">
              <w:rPr>
                <w:szCs w:val="20"/>
              </w:rPr>
              <w:t>372</w:t>
            </w:r>
          </w:p>
        </w:tc>
        <w:tc>
          <w:tcPr>
            <w:tcW w:w="1418" w:type="dxa"/>
            <w:vAlign w:val="center"/>
          </w:tcPr>
          <w:p w:rsidR="00E96768" w:rsidRPr="00E00B35" w:rsidRDefault="00E96768" w:rsidP="00E00B35">
            <w:pPr>
              <w:spacing w:after="0" w:line="312" w:lineRule="auto"/>
              <w:rPr>
                <w:szCs w:val="20"/>
              </w:rPr>
            </w:pPr>
            <w:r w:rsidRPr="00E00B35">
              <w:rPr>
                <w:szCs w:val="20"/>
              </w:rPr>
              <w:t>369</w:t>
            </w:r>
          </w:p>
        </w:tc>
        <w:tc>
          <w:tcPr>
            <w:tcW w:w="1383" w:type="dxa"/>
            <w:vAlign w:val="center"/>
          </w:tcPr>
          <w:p w:rsidR="00E96768" w:rsidRPr="00E00B35" w:rsidRDefault="00E96768" w:rsidP="00E00B35">
            <w:pPr>
              <w:spacing w:after="0" w:line="312" w:lineRule="auto"/>
              <w:rPr>
                <w:szCs w:val="20"/>
              </w:rPr>
            </w:pPr>
            <w:r w:rsidRPr="00E00B35">
              <w:rPr>
                <w:szCs w:val="20"/>
              </w:rPr>
              <w:t>416</w:t>
            </w:r>
          </w:p>
        </w:tc>
      </w:tr>
      <w:tr w:rsidR="00E96768" w:rsidRPr="00E00B35" w:rsidTr="00E96768">
        <w:tc>
          <w:tcPr>
            <w:tcW w:w="2375" w:type="dxa"/>
          </w:tcPr>
          <w:p w:rsidR="00E96768" w:rsidRPr="00E00B35" w:rsidRDefault="00E96768" w:rsidP="00E00B35">
            <w:pPr>
              <w:spacing w:after="0" w:line="312" w:lineRule="auto"/>
              <w:rPr>
                <w:szCs w:val="20"/>
              </w:rPr>
            </w:pPr>
            <w:r w:rsidRPr="00E00B35">
              <w:rPr>
                <w:szCs w:val="20"/>
              </w:rPr>
              <w:t>Ilość usuniętych pojazdów (art. 130a)</w:t>
            </w:r>
          </w:p>
        </w:tc>
        <w:tc>
          <w:tcPr>
            <w:tcW w:w="1276" w:type="dxa"/>
            <w:vAlign w:val="center"/>
          </w:tcPr>
          <w:p w:rsidR="00E96768" w:rsidRPr="00E00B35" w:rsidRDefault="00E96768" w:rsidP="00E00B35">
            <w:pPr>
              <w:spacing w:after="0" w:line="312" w:lineRule="auto"/>
              <w:rPr>
                <w:szCs w:val="20"/>
              </w:rPr>
            </w:pPr>
            <w:r w:rsidRPr="00E00B35">
              <w:rPr>
                <w:szCs w:val="20"/>
              </w:rPr>
              <w:t>3 144</w:t>
            </w:r>
          </w:p>
        </w:tc>
        <w:tc>
          <w:tcPr>
            <w:tcW w:w="1418" w:type="dxa"/>
            <w:vAlign w:val="center"/>
          </w:tcPr>
          <w:p w:rsidR="00E96768" w:rsidRPr="00E00B35" w:rsidRDefault="00E96768" w:rsidP="00E00B35">
            <w:pPr>
              <w:spacing w:after="0" w:line="312" w:lineRule="auto"/>
              <w:rPr>
                <w:szCs w:val="20"/>
              </w:rPr>
            </w:pPr>
            <w:r w:rsidRPr="00E00B35">
              <w:rPr>
                <w:szCs w:val="20"/>
              </w:rPr>
              <w:t>2 853</w:t>
            </w:r>
          </w:p>
        </w:tc>
        <w:tc>
          <w:tcPr>
            <w:tcW w:w="1417" w:type="dxa"/>
            <w:vAlign w:val="center"/>
          </w:tcPr>
          <w:p w:rsidR="00E96768" w:rsidRPr="00E00B35" w:rsidRDefault="00E96768" w:rsidP="00E00B35">
            <w:pPr>
              <w:spacing w:after="0" w:line="312" w:lineRule="auto"/>
              <w:rPr>
                <w:szCs w:val="20"/>
              </w:rPr>
            </w:pPr>
            <w:r w:rsidRPr="00E00B35">
              <w:rPr>
                <w:szCs w:val="20"/>
              </w:rPr>
              <w:t>3 892</w:t>
            </w:r>
          </w:p>
        </w:tc>
        <w:tc>
          <w:tcPr>
            <w:tcW w:w="1418" w:type="dxa"/>
            <w:vAlign w:val="center"/>
          </w:tcPr>
          <w:p w:rsidR="00E96768" w:rsidRPr="00E00B35" w:rsidRDefault="00E96768" w:rsidP="00E00B35">
            <w:pPr>
              <w:spacing w:after="0" w:line="312" w:lineRule="auto"/>
              <w:rPr>
                <w:szCs w:val="20"/>
              </w:rPr>
            </w:pPr>
            <w:r w:rsidRPr="00E00B35">
              <w:rPr>
                <w:szCs w:val="20"/>
              </w:rPr>
              <w:t>4 216</w:t>
            </w:r>
          </w:p>
        </w:tc>
        <w:tc>
          <w:tcPr>
            <w:tcW w:w="1383" w:type="dxa"/>
            <w:vAlign w:val="center"/>
          </w:tcPr>
          <w:p w:rsidR="00E96768" w:rsidRPr="00E00B35" w:rsidRDefault="00E96768" w:rsidP="00E00B35">
            <w:pPr>
              <w:spacing w:after="0" w:line="312" w:lineRule="auto"/>
              <w:rPr>
                <w:szCs w:val="20"/>
              </w:rPr>
            </w:pPr>
            <w:r w:rsidRPr="00E00B35">
              <w:rPr>
                <w:szCs w:val="20"/>
              </w:rPr>
              <w:t>3 164</w:t>
            </w:r>
          </w:p>
        </w:tc>
      </w:tr>
      <w:tr w:rsidR="00E96768" w:rsidRPr="00E00B35" w:rsidTr="00E96768">
        <w:trPr>
          <w:trHeight w:val="440"/>
        </w:trPr>
        <w:tc>
          <w:tcPr>
            <w:tcW w:w="2375" w:type="dxa"/>
            <w:vAlign w:val="center"/>
          </w:tcPr>
          <w:p w:rsidR="00E96768" w:rsidRPr="00E00B35" w:rsidRDefault="00E96768" w:rsidP="00E00B35">
            <w:pPr>
              <w:spacing w:after="0" w:line="312" w:lineRule="auto"/>
              <w:rPr>
                <w:szCs w:val="20"/>
              </w:rPr>
            </w:pPr>
            <w:r w:rsidRPr="00E00B35">
              <w:rPr>
                <w:szCs w:val="20"/>
              </w:rPr>
              <w:t>RAZEM</w:t>
            </w:r>
          </w:p>
        </w:tc>
        <w:tc>
          <w:tcPr>
            <w:tcW w:w="1276" w:type="dxa"/>
            <w:vAlign w:val="center"/>
          </w:tcPr>
          <w:p w:rsidR="00E96768" w:rsidRPr="00E00B35" w:rsidRDefault="00E96768" w:rsidP="00E00B35">
            <w:pPr>
              <w:spacing w:after="0" w:line="312" w:lineRule="auto"/>
              <w:rPr>
                <w:szCs w:val="20"/>
              </w:rPr>
            </w:pPr>
            <w:r w:rsidRPr="00E00B35">
              <w:rPr>
                <w:szCs w:val="20"/>
              </w:rPr>
              <w:t>3 391</w:t>
            </w:r>
          </w:p>
        </w:tc>
        <w:tc>
          <w:tcPr>
            <w:tcW w:w="1418" w:type="dxa"/>
            <w:vAlign w:val="center"/>
          </w:tcPr>
          <w:p w:rsidR="00E96768" w:rsidRPr="00E00B35" w:rsidRDefault="00E96768" w:rsidP="00E00B35">
            <w:pPr>
              <w:spacing w:after="0" w:line="312" w:lineRule="auto"/>
              <w:rPr>
                <w:szCs w:val="20"/>
              </w:rPr>
            </w:pPr>
            <w:r w:rsidRPr="00E00B35">
              <w:rPr>
                <w:szCs w:val="20"/>
              </w:rPr>
              <w:t>3 152</w:t>
            </w:r>
          </w:p>
        </w:tc>
        <w:tc>
          <w:tcPr>
            <w:tcW w:w="1417" w:type="dxa"/>
            <w:vAlign w:val="center"/>
          </w:tcPr>
          <w:p w:rsidR="00E96768" w:rsidRPr="00E00B35" w:rsidRDefault="00E96768" w:rsidP="00E00B35">
            <w:pPr>
              <w:spacing w:after="0" w:line="312" w:lineRule="auto"/>
              <w:rPr>
                <w:szCs w:val="20"/>
              </w:rPr>
            </w:pPr>
            <w:r w:rsidRPr="00E00B35">
              <w:rPr>
                <w:szCs w:val="20"/>
              </w:rPr>
              <w:t>4 264</w:t>
            </w:r>
          </w:p>
        </w:tc>
        <w:tc>
          <w:tcPr>
            <w:tcW w:w="1418" w:type="dxa"/>
            <w:vAlign w:val="center"/>
          </w:tcPr>
          <w:p w:rsidR="00E96768" w:rsidRPr="00E00B35" w:rsidRDefault="00E96768" w:rsidP="00E00B35">
            <w:pPr>
              <w:spacing w:after="0" w:line="312" w:lineRule="auto"/>
              <w:rPr>
                <w:szCs w:val="20"/>
              </w:rPr>
            </w:pPr>
            <w:r w:rsidRPr="00E00B35">
              <w:rPr>
                <w:szCs w:val="20"/>
              </w:rPr>
              <w:t>4 585</w:t>
            </w:r>
          </w:p>
        </w:tc>
        <w:tc>
          <w:tcPr>
            <w:tcW w:w="1383" w:type="dxa"/>
            <w:vAlign w:val="center"/>
          </w:tcPr>
          <w:p w:rsidR="00E96768" w:rsidRPr="00E00B35" w:rsidRDefault="00E96768" w:rsidP="00E00B35">
            <w:pPr>
              <w:spacing w:after="0" w:line="312" w:lineRule="auto"/>
              <w:rPr>
                <w:szCs w:val="20"/>
              </w:rPr>
            </w:pPr>
            <w:r w:rsidRPr="00E00B35">
              <w:rPr>
                <w:szCs w:val="20"/>
              </w:rPr>
              <w:t>3 580</w:t>
            </w:r>
          </w:p>
        </w:tc>
      </w:tr>
    </w:tbl>
    <w:p w:rsidR="00E96768" w:rsidRPr="00E00B35" w:rsidRDefault="00E96768" w:rsidP="00E00B35">
      <w:pPr>
        <w:pStyle w:val="Akapitzlist"/>
        <w:spacing w:after="0" w:line="312" w:lineRule="auto"/>
        <w:rPr>
          <w:b/>
          <w:bCs/>
          <w:szCs w:val="20"/>
        </w:rPr>
      </w:pPr>
    </w:p>
    <w:p w:rsidR="00E96768" w:rsidRPr="00E00B35" w:rsidRDefault="00E96768" w:rsidP="00E00B35">
      <w:pPr>
        <w:spacing w:after="0" w:line="312" w:lineRule="auto"/>
        <w:rPr>
          <w:szCs w:val="20"/>
        </w:rPr>
      </w:pPr>
      <w:r w:rsidRPr="00E00B35">
        <w:rPr>
          <w:szCs w:val="20"/>
        </w:rPr>
        <w:t xml:space="preserve">Pojazdy przejęte na własność przez Gminę Wrocław na podstawie postanowienia </w:t>
      </w:r>
      <w:r w:rsidRPr="00E00B35">
        <w:rPr>
          <w:szCs w:val="20"/>
        </w:rPr>
        <w:br/>
        <w:t>o przepadku pojazdu (art. 130a) i z mocy prawa (art. 50a), przekazane do stacji demontażu pojazdów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3"/>
        <w:gridCol w:w="1240"/>
        <w:gridCol w:w="1262"/>
        <w:gridCol w:w="1418"/>
        <w:gridCol w:w="1276"/>
        <w:gridCol w:w="1241"/>
      </w:tblGrid>
      <w:tr w:rsidR="00E96768" w:rsidRPr="00E00B35" w:rsidTr="00E96768">
        <w:tc>
          <w:tcPr>
            <w:tcW w:w="2743"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 xml:space="preserve">Rok </w:t>
            </w:r>
          </w:p>
        </w:tc>
        <w:tc>
          <w:tcPr>
            <w:tcW w:w="1240"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2016</w:t>
            </w:r>
          </w:p>
        </w:tc>
        <w:tc>
          <w:tcPr>
            <w:tcW w:w="1262"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2017</w:t>
            </w:r>
          </w:p>
        </w:tc>
        <w:tc>
          <w:tcPr>
            <w:tcW w:w="1418"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2018</w:t>
            </w:r>
          </w:p>
        </w:tc>
        <w:tc>
          <w:tcPr>
            <w:tcW w:w="1276"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2019</w:t>
            </w:r>
          </w:p>
        </w:tc>
        <w:tc>
          <w:tcPr>
            <w:tcW w:w="1241"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2020</w:t>
            </w:r>
          </w:p>
        </w:tc>
      </w:tr>
      <w:tr w:rsidR="00E96768" w:rsidRPr="00E00B35" w:rsidTr="00E96768">
        <w:tc>
          <w:tcPr>
            <w:tcW w:w="2743" w:type="dxa"/>
          </w:tcPr>
          <w:p w:rsidR="00E96768" w:rsidRPr="00E00B35" w:rsidRDefault="00E96768" w:rsidP="00E00B35">
            <w:pPr>
              <w:spacing w:after="0" w:line="312" w:lineRule="auto"/>
              <w:rPr>
                <w:szCs w:val="20"/>
              </w:rPr>
            </w:pPr>
            <w:r w:rsidRPr="00E00B35">
              <w:rPr>
                <w:szCs w:val="20"/>
              </w:rPr>
              <w:t>Postanowienie Sądu o przepadku pojazdu</w:t>
            </w:r>
          </w:p>
        </w:tc>
        <w:tc>
          <w:tcPr>
            <w:tcW w:w="1240" w:type="dxa"/>
            <w:vAlign w:val="center"/>
          </w:tcPr>
          <w:p w:rsidR="00E96768" w:rsidRPr="00E00B35" w:rsidRDefault="00E96768" w:rsidP="00E00B35">
            <w:pPr>
              <w:spacing w:after="0" w:line="312" w:lineRule="auto"/>
              <w:rPr>
                <w:szCs w:val="20"/>
              </w:rPr>
            </w:pPr>
            <w:r w:rsidRPr="00E00B35">
              <w:rPr>
                <w:szCs w:val="20"/>
              </w:rPr>
              <w:t>59</w:t>
            </w:r>
          </w:p>
        </w:tc>
        <w:tc>
          <w:tcPr>
            <w:tcW w:w="1262" w:type="dxa"/>
            <w:vAlign w:val="center"/>
          </w:tcPr>
          <w:p w:rsidR="00E96768" w:rsidRPr="00E00B35" w:rsidRDefault="00E96768" w:rsidP="00E00B35">
            <w:pPr>
              <w:spacing w:after="0" w:line="312" w:lineRule="auto"/>
              <w:rPr>
                <w:szCs w:val="20"/>
              </w:rPr>
            </w:pPr>
            <w:r w:rsidRPr="00E00B35">
              <w:rPr>
                <w:szCs w:val="20"/>
              </w:rPr>
              <w:t>69</w:t>
            </w:r>
          </w:p>
        </w:tc>
        <w:tc>
          <w:tcPr>
            <w:tcW w:w="1418" w:type="dxa"/>
            <w:vAlign w:val="center"/>
          </w:tcPr>
          <w:p w:rsidR="00E96768" w:rsidRPr="00E00B35" w:rsidRDefault="00E96768" w:rsidP="00E00B35">
            <w:pPr>
              <w:spacing w:after="0" w:line="312" w:lineRule="auto"/>
              <w:rPr>
                <w:szCs w:val="20"/>
              </w:rPr>
            </w:pPr>
            <w:r w:rsidRPr="00E00B35">
              <w:rPr>
                <w:szCs w:val="20"/>
              </w:rPr>
              <w:t>87</w:t>
            </w:r>
          </w:p>
        </w:tc>
        <w:tc>
          <w:tcPr>
            <w:tcW w:w="1276" w:type="dxa"/>
            <w:vAlign w:val="center"/>
          </w:tcPr>
          <w:p w:rsidR="00E96768" w:rsidRPr="00E00B35" w:rsidRDefault="00E96768" w:rsidP="00E00B35">
            <w:pPr>
              <w:spacing w:after="0" w:line="312" w:lineRule="auto"/>
              <w:rPr>
                <w:szCs w:val="20"/>
              </w:rPr>
            </w:pPr>
            <w:r w:rsidRPr="00E00B35">
              <w:rPr>
                <w:szCs w:val="20"/>
              </w:rPr>
              <w:t>86</w:t>
            </w:r>
          </w:p>
        </w:tc>
        <w:tc>
          <w:tcPr>
            <w:tcW w:w="1241" w:type="dxa"/>
            <w:vAlign w:val="center"/>
          </w:tcPr>
          <w:p w:rsidR="00E96768" w:rsidRPr="00E00B35" w:rsidRDefault="00E96768" w:rsidP="00E00B35">
            <w:pPr>
              <w:spacing w:after="0" w:line="312" w:lineRule="auto"/>
              <w:rPr>
                <w:szCs w:val="20"/>
              </w:rPr>
            </w:pPr>
            <w:r w:rsidRPr="00E00B35">
              <w:rPr>
                <w:szCs w:val="20"/>
              </w:rPr>
              <w:t>18</w:t>
            </w:r>
          </w:p>
        </w:tc>
      </w:tr>
      <w:tr w:rsidR="00E96768" w:rsidRPr="00E00B35" w:rsidTr="00E96768">
        <w:trPr>
          <w:trHeight w:val="471"/>
        </w:trPr>
        <w:tc>
          <w:tcPr>
            <w:tcW w:w="2743" w:type="dxa"/>
            <w:vAlign w:val="center"/>
          </w:tcPr>
          <w:p w:rsidR="00E96768" w:rsidRPr="00E00B35" w:rsidRDefault="00E96768" w:rsidP="00E00B35">
            <w:pPr>
              <w:spacing w:after="0" w:line="312" w:lineRule="auto"/>
              <w:rPr>
                <w:szCs w:val="20"/>
              </w:rPr>
            </w:pPr>
            <w:r w:rsidRPr="00E00B35">
              <w:rPr>
                <w:szCs w:val="20"/>
              </w:rPr>
              <w:t>Przepadek z mocy prawa</w:t>
            </w:r>
          </w:p>
        </w:tc>
        <w:tc>
          <w:tcPr>
            <w:tcW w:w="1240" w:type="dxa"/>
            <w:vAlign w:val="center"/>
          </w:tcPr>
          <w:p w:rsidR="00E96768" w:rsidRPr="00E00B35" w:rsidRDefault="00E96768" w:rsidP="00E00B35">
            <w:pPr>
              <w:spacing w:after="0" w:line="312" w:lineRule="auto"/>
              <w:rPr>
                <w:szCs w:val="20"/>
              </w:rPr>
            </w:pPr>
            <w:r w:rsidRPr="00E00B35">
              <w:rPr>
                <w:szCs w:val="20"/>
              </w:rPr>
              <w:t>129</w:t>
            </w:r>
          </w:p>
        </w:tc>
        <w:tc>
          <w:tcPr>
            <w:tcW w:w="1262" w:type="dxa"/>
            <w:vAlign w:val="center"/>
          </w:tcPr>
          <w:p w:rsidR="00E96768" w:rsidRPr="00E00B35" w:rsidRDefault="00E96768" w:rsidP="00E00B35">
            <w:pPr>
              <w:spacing w:after="0" w:line="312" w:lineRule="auto"/>
              <w:rPr>
                <w:szCs w:val="20"/>
              </w:rPr>
            </w:pPr>
            <w:r w:rsidRPr="00E00B35">
              <w:rPr>
                <w:szCs w:val="20"/>
              </w:rPr>
              <w:t>251</w:t>
            </w:r>
          </w:p>
        </w:tc>
        <w:tc>
          <w:tcPr>
            <w:tcW w:w="1418" w:type="dxa"/>
            <w:vAlign w:val="center"/>
          </w:tcPr>
          <w:p w:rsidR="00E96768" w:rsidRPr="00E00B35" w:rsidRDefault="00E96768" w:rsidP="00E00B35">
            <w:pPr>
              <w:spacing w:after="0" w:line="312" w:lineRule="auto"/>
              <w:rPr>
                <w:szCs w:val="20"/>
              </w:rPr>
            </w:pPr>
            <w:r w:rsidRPr="00E00B35">
              <w:rPr>
                <w:szCs w:val="20"/>
              </w:rPr>
              <w:t>289</w:t>
            </w:r>
          </w:p>
        </w:tc>
        <w:tc>
          <w:tcPr>
            <w:tcW w:w="1276" w:type="dxa"/>
            <w:vAlign w:val="center"/>
          </w:tcPr>
          <w:p w:rsidR="00E96768" w:rsidRPr="00E00B35" w:rsidRDefault="00E96768" w:rsidP="00E00B35">
            <w:pPr>
              <w:spacing w:after="0" w:line="312" w:lineRule="auto"/>
              <w:rPr>
                <w:szCs w:val="20"/>
              </w:rPr>
            </w:pPr>
            <w:r w:rsidRPr="00E00B35">
              <w:rPr>
                <w:szCs w:val="20"/>
              </w:rPr>
              <w:t>317</w:t>
            </w:r>
          </w:p>
        </w:tc>
        <w:tc>
          <w:tcPr>
            <w:tcW w:w="1241" w:type="dxa"/>
            <w:vAlign w:val="center"/>
          </w:tcPr>
          <w:p w:rsidR="00E96768" w:rsidRPr="00E00B35" w:rsidRDefault="00E96768" w:rsidP="00E00B35">
            <w:pPr>
              <w:spacing w:after="0" w:line="312" w:lineRule="auto"/>
              <w:rPr>
                <w:szCs w:val="20"/>
              </w:rPr>
            </w:pPr>
            <w:r w:rsidRPr="00E00B35">
              <w:rPr>
                <w:szCs w:val="20"/>
              </w:rPr>
              <w:t>343</w:t>
            </w:r>
          </w:p>
        </w:tc>
      </w:tr>
      <w:tr w:rsidR="00E96768" w:rsidRPr="00E00B35" w:rsidTr="00E96768">
        <w:trPr>
          <w:trHeight w:val="450"/>
        </w:trPr>
        <w:tc>
          <w:tcPr>
            <w:tcW w:w="2743" w:type="dxa"/>
            <w:vAlign w:val="center"/>
          </w:tcPr>
          <w:p w:rsidR="00E96768" w:rsidRPr="00E00B35" w:rsidRDefault="00E96768" w:rsidP="00E00B35">
            <w:pPr>
              <w:spacing w:after="0" w:line="312" w:lineRule="auto"/>
              <w:rPr>
                <w:szCs w:val="20"/>
              </w:rPr>
            </w:pPr>
            <w:r w:rsidRPr="00E00B35">
              <w:rPr>
                <w:b/>
                <w:szCs w:val="20"/>
              </w:rPr>
              <w:t>RAZEM</w:t>
            </w:r>
          </w:p>
        </w:tc>
        <w:tc>
          <w:tcPr>
            <w:tcW w:w="1240" w:type="dxa"/>
            <w:vAlign w:val="center"/>
          </w:tcPr>
          <w:p w:rsidR="00E96768" w:rsidRPr="00E00B35" w:rsidRDefault="00E96768" w:rsidP="00E00B35">
            <w:pPr>
              <w:spacing w:after="0" w:line="312" w:lineRule="auto"/>
              <w:rPr>
                <w:b/>
                <w:szCs w:val="20"/>
              </w:rPr>
            </w:pPr>
            <w:r w:rsidRPr="00E00B35">
              <w:rPr>
                <w:b/>
                <w:szCs w:val="20"/>
              </w:rPr>
              <w:t>188</w:t>
            </w:r>
          </w:p>
        </w:tc>
        <w:tc>
          <w:tcPr>
            <w:tcW w:w="1262" w:type="dxa"/>
            <w:vAlign w:val="center"/>
          </w:tcPr>
          <w:p w:rsidR="00E96768" w:rsidRPr="00E00B35" w:rsidRDefault="00E96768" w:rsidP="00E00B35">
            <w:pPr>
              <w:spacing w:after="0" w:line="312" w:lineRule="auto"/>
              <w:rPr>
                <w:b/>
                <w:szCs w:val="20"/>
              </w:rPr>
            </w:pPr>
            <w:r w:rsidRPr="00E00B35">
              <w:rPr>
                <w:b/>
                <w:szCs w:val="20"/>
              </w:rPr>
              <w:t>320</w:t>
            </w:r>
          </w:p>
        </w:tc>
        <w:tc>
          <w:tcPr>
            <w:tcW w:w="1418" w:type="dxa"/>
            <w:vAlign w:val="center"/>
          </w:tcPr>
          <w:p w:rsidR="00E96768" w:rsidRPr="00E00B35" w:rsidRDefault="00E96768" w:rsidP="00E00B35">
            <w:pPr>
              <w:spacing w:after="0" w:line="312" w:lineRule="auto"/>
              <w:rPr>
                <w:b/>
                <w:szCs w:val="20"/>
              </w:rPr>
            </w:pPr>
            <w:r w:rsidRPr="00E00B35">
              <w:rPr>
                <w:b/>
                <w:szCs w:val="20"/>
              </w:rPr>
              <w:t>376</w:t>
            </w:r>
          </w:p>
        </w:tc>
        <w:tc>
          <w:tcPr>
            <w:tcW w:w="1276" w:type="dxa"/>
            <w:vAlign w:val="center"/>
          </w:tcPr>
          <w:p w:rsidR="00E96768" w:rsidRPr="00E00B35" w:rsidRDefault="00E96768" w:rsidP="00E00B35">
            <w:pPr>
              <w:spacing w:after="0" w:line="312" w:lineRule="auto"/>
              <w:rPr>
                <w:b/>
                <w:szCs w:val="20"/>
              </w:rPr>
            </w:pPr>
            <w:r w:rsidRPr="00E00B35">
              <w:rPr>
                <w:b/>
                <w:szCs w:val="20"/>
              </w:rPr>
              <w:t>403</w:t>
            </w:r>
          </w:p>
        </w:tc>
        <w:tc>
          <w:tcPr>
            <w:tcW w:w="1241" w:type="dxa"/>
            <w:vAlign w:val="center"/>
          </w:tcPr>
          <w:p w:rsidR="00E96768" w:rsidRPr="00E00B35" w:rsidRDefault="00E96768" w:rsidP="00E00B35">
            <w:pPr>
              <w:spacing w:after="0" w:line="312" w:lineRule="auto"/>
              <w:rPr>
                <w:b/>
                <w:szCs w:val="20"/>
              </w:rPr>
            </w:pPr>
            <w:r w:rsidRPr="00E00B35">
              <w:rPr>
                <w:b/>
                <w:szCs w:val="20"/>
              </w:rPr>
              <w:t>361</w:t>
            </w:r>
          </w:p>
        </w:tc>
      </w:tr>
    </w:tbl>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Ilość przeprowadzonych postępowań administracyjnych w sprawie ustalenia kosztów usunięcia i przechowywania pojazdów usuwanych z dróg na podstawie art. 130a - nieodebranych przez właścicieli.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1276"/>
        <w:gridCol w:w="1276"/>
        <w:gridCol w:w="1417"/>
        <w:gridCol w:w="1421"/>
        <w:gridCol w:w="1379"/>
      </w:tblGrid>
      <w:tr w:rsidR="00E96768" w:rsidRPr="00E00B35" w:rsidTr="00E96768">
        <w:trPr>
          <w:tblHeader/>
        </w:trPr>
        <w:tc>
          <w:tcPr>
            <w:tcW w:w="2410"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 xml:space="preserve">Rok </w:t>
            </w:r>
          </w:p>
        </w:tc>
        <w:tc>
          <w:tcPr>
            <w:tcW w:w="1276"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2016</w:t>
            </w:r>
          </w:p>
        </w:tc>
        <w:tc>
          <w:tcPr>
            <w:tcW w:w="1276"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2017</w:t>
            </w:r>
          </w:p>
        </w:tc>
        <w:tc>
          <w:tcPr>
            <w:tcW w:w="1417"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2018</w:t>
            </w:r>
          </w:p>
        </w:tc>
        <w:tc>
          <w:tcPr>
            <w:tcW w:w="1421"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2019</w:t>
            </w:r>
          </w:p>
        </w:tc>
        <w:tc>
          <w:tcPr>
            <w:tcW w:w="1379"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2020</w:t>
            </w:r>
          </w:p>
        </w:tc>
      </w:tr>
      <w:tr w:rsidR="00E96768" w:rsidRPr="00E00B35" w:rsidTr="00E96768">
        <w:tc>
          <w:tcPr>
            <w:tcW w:w="2410" w:type="dxa"/>
          </w:tcPr>
          <w:p w:rsidR="00E96768" w:rsidRPr="00E00B35" w:rsidRDefault="00E96768" w:rsidP="00E00B35">
            <w:pPr>
              <w:spacing w:after="0" w:line="312" w:lineRule="auto"/>
              <w:rPr>
                <w:szCs w:val="20"/>
              </w:rPr>
            </w:pPr>
            <w:r w:rsidRPr="00E00B35">
              <w:rPr>
                <w:szCs w:val="20"/>
              </w:rPr>
              <w:t>Ilość decyzji ostatecznych</w:t>
            </w:r>
          </w:p>
        </w:tc>
        <w:tc>
          <w:tcPr>
            <w:tcW w:w="1276" w:type="dxa"/>
            <w:vAlign w:val="center"/>
          </w:tcPr>
          <w:p w:rsidR="00E96768" w:rsidRPr="00E00B35" w:rsidRDefault="00E96768" w:rsidP="00E00B35">
            <w:pPr>
              <w:spacing w:after="0" w:line="312" w:lineRule="auto"/>
              <w:rPr>
                <w:szCs w:val="20"/>
              </w:rPr>
            </w:pPr>
            <w:r w:rsidRPr="00E00B35">
              <w:rPr>
                <w:szCs w:val="20"/>
              </w:rPr>
              <w:t>32</w:t>
            </w:r>
          </w:p>
        </w:tc>
        <w:tc>
          <w:tcPr>
            <w:tcW w:w="1276" w:type="dxa"/>
            <w:vAlign w:val="center"/>
          </w:tcPr>
          <w:p w:rsidR="00E96768" w:rsidRPr="00E00B35" w:rsidRDefault="00E96768" w:rsidP="00E00B35">
            <w:pPr>
              <w:spacing w:after="0" w:line="312" w:lineRule="auto"/>
              <w:rPr>
                <w:szCs w:val="20"/>
              </w:rPr>
            </w:pPr>
            <w:r w:rsidRPr="00E00B35">
              <w:rPr>
                <w:szCs w:val="20"/>
              </w:rPr>
              <w:t>23</w:t>
            </w:r>
          </w:p>
        </w:tc>
        <w:tc>
          <w:tcPr>
            <w:tcW w:w="1417" w:type="dxa"/>
            <w:vAlign w:val="center"/>
          </w:tcPr>
          <w:p w:rsidR="00E96768" w:rsidRPr="00E00B35" w:rsidRDefault="00E96768" w:rsidP="00E00B35">
            <w:pPr>
              <w:spacing w:after="0" w:line="312" w:lineRule="auto"/>
              <w:rPr>
                <w:szCs w:val="20"/>
              </w:rPr>
            </w:pPr>
            <w:r w:rsidRPr="00E00B35">
              <w:rPr>
                <w:szCs w:val="20"/>
              </w:rPr>
              <w:t>50</w:t>
            </w:r>
          </w:p>
        </w:tc>
        <w:tc>
          <w:tcPr>
            <w:tcW w:w="1421" w:type="dxa"/>
            <w:vAlign w:val="center"/>
          </w:tcPr>
          <w:p w:rsidR="00E96768" w:rsidRPr="00E00B35" w:rsidRDefault="00E96768" w:rsidP="00E00B35">
            <w:pPr>
              <w:spacing w:after="0" w:line="312" w:lineRule="auto"/>
              <w:rPr>
                <w:szCs w:val="20"/>
              </w:rPr>
            </w:pPr>
            <w:r w:rsidRPr="00E00B35">
              <w:rPr>
                <w:szCs w:val="20"/>
              </w:rPr>
              <w:t>62</w:t>
            </w:r>
          </w:p>
        </w:tc>
        <w:tc>
          <w:tcPr>
            <w:tcW w:w="1379" w:type="dxa"/>
            <w:vAlign w:val="center"/>
          </w:tcPr>
          <w:p w:rsidR="00E96768" w:rsidRPr="00E00B35" w:rsidRDefault="00E96768" w:rsidP="00E00B35">
            <w:pPr>
              <w:spacing w:after="0" w:line="312" w:lineRule="auto"/>
              <w:rPr>
                <w:szCs w:val="20"/>
              </w:rPr>
            </w:pPr>
            <w:r w:rsidRPr="00E00B35">
              <w:rPr>
                <w:szCs w:val="20"/>
              </w:rPr>
              <w:t>19</w:t>
            </w:r>
          </w:p>
        </w:tc>
      </w:tr>
      <w:tr w:rsidR="00E96768" w:rsidRPr="00E00B35" w:rsidTr="00E96768">
        <w:tc>
          <w:tcPr>
            <w:tcW w:w="2410" w:type="dxa"/>
          </w:tcPr>
          <w:p w:rsidR="00E96768" w:rsidRPr="00E00B35" w:rsidRDefault="00E96768" w:rsidP="00E00B35">
            <w:pPr>
              <w:spacing w:after="0" w:line="312" w:lineRule="auto"/>
              <w:rPr>
                <w:szCs w:val="20"/>
              </w:rPr>
            </w:pPr>
            <w:r w:rsidRPr="00E00B35">
              <w:rPr>
                <w:szCs w:val="20"/>
              </w:rPr>
              <w:t>Kwota kosztów wynikająca z decyzji</w:t>
            </w:r>
          </w:p>
        </w:tc>
        <w:tc>
          <w:tcPr>
            <w:tcW w:w="1276" w:type="dxa"/>
            <w:vAlign w:val="center"/>
          </w:tcPr>
          <w:p w:rsidR="00E96768" w:rsidRPr="00E00B35" w:rsidRDefault="00E96768" w:rsidP="00E00B35">
            <w:pPr>
              <w:spacing w:after="0" w:line="312" w:lineRule="auto"/>
              <w:rPr>
                <w:szCs w:val="20"/>
              </w:rPr>
            </w:pPr>
            <w:r w:rsidRPr="00E00B35">
              <w:rPr>
                <w:szCs w:val="20"/>
              </w:rPr>
              <w:t>50 211,36</w:t>
            </w:r>
          </w:p>
        </w:tc>
        <w:tc>
          <w:tcPr>
            <w:tcW w:w="1276" w:type="dxa"/>
            <w:vAlign w:val="center"/>
          </w:tcPr>
          <w:p w:rsidR="00E96768" w:rsidRPr="00E00B35" w:rsidRDefault="00E96768" w:rsidP="00E00B35">
            <w:pPr>
              <w:spacing w:after="0" w:line="312" w:lineRule="auto"/>
              <w:rPr>
                <w:szCs w:val="20"/>
              </w:rPr>
            </w:pPr>
            <w:r w:rsidRPr="00E00B35">
              <w:rPr>
                <w:szCs w:val="20"/>
              </w:rPr>
              <w:t>20 048,29</w:t>
            </w:r>
          </w:p>
        </w:tc>
        <w:tc>
          <w:tcPr>
            <w:tcW w:w="1417" w:type="dxa"/>
            <w:vAlign w:val="center"/>
          </w:tcPr>
          <w:p w:rsidR="00E96768" w:rsidRPr="00E00B35" w:rsidRDefault="00E96768" w:rsidP="00E00B35">
            <w:pPr>
              <w:spacing w:after="0" w:line="312" w:lineRule="auto"/>
              <w:rPr>
                <w:szCs w:val="20"/>
              </w:rPr>
            </w:pPr>
            <w:r w:rsidRPr="00E00B35">
              <w:rPr>
                <w:szCs w:val="20"/>
              </w:rPr>
              <w:t>80 466,59</w:t>
            </w:r>
          </w:p>
        </w:tc>
        <w:tc>
          <w:tcPr>
            <w:tcW w:w="1421" w:type="dxa"/>
            <w:vAlign w:val="center"/>
          </w:tcPr>
          <w:p w:rsidR="00E96768" w:rsidRPr="00E00B35" w:rsidRDefault="00E96768" w:rsidP="00E00B35">
            <w:pPr>
              <w:spacing w:after="0" w:line="312" w:lineRule="auto"/>
              <w:rPr>
                <w:szCs w:val="20"/>
              </w:rPr>
            </w:pPr>
            <w:r w:rsidRPr="00E00B35">
              <w:rPr>
                <w:szCs w:val="20"/>
              </w:rPr>
              <w:t>158 539,68</w:t>
            </w:r>
          </w:p>
        </w:tc>
        <w:tc>
          <w:tcPr>
            <w:tcW w:w="1379" w:type="dxa"/>
            <w:vAlign w:val="center"/>
          </w:tcPr>
          <w:p w:rsidR="00E96768" w:rsidRPr="00E00B35" w:rsidRDefault="00E96768" w:rsidP="00E00B35">
            <w:pPr>
              <w:spacing w:after="0" w:line="312" w:lineRule="auto"/>
              <w:rPr>
                <w:szCs w:val="20"/>
              </w:rPr>
            </w:pPr>
            <w:r w:rsidRPr="00E00B35">
              <w:rPr>
                <w:szCs w:val="20"/>
              </w:rPr>
              <w:t>74 913,94</w:t>
            </w:r>
          </w:p>
        </w:tc>
      </w:tr>
    </w:tbl>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Wydatki i przychody związane z usuwaniem pojazdów z dróg ponoszone przez Urząd Miejski Wrocławia</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
        <w:gridCol w:w="1410"/>
        <w:gridCol w:w="1560"/>
        <w:gridCol w:w="1417"/>
        <w:gridCol w:w="1418"/>
        <w:gridCol w:w="1382"/>
      </w:tblGrid>
      <w:tr w:rsidR="00E96768" w:rsidRPr="00E00B35" w:rsidTr="00E96768">
        <w:trPr>
          <w:trHeight w:val="261"/>
        </w:trPr>
        <w:tc>
          <w:tcPr>
            <w:tcW w:w="1992" w:type="dxa"/>
            <w:gridSpan w:val="2"/>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Wydatki w roku</w:t>
            </w:r>
          </w:p>
        </w:tc>
        <w:tc>
          <w:tcPr>
            <w:tcW w:w="1410"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2016</w:t>
            </w:r>
          </w:p>
        </w:tc>
        <w:tc>
          <w:tcPr>
            <w:tcW w:w="1560"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2017</w:t>
            </w:r>
          </w:p>
        </w:tc>
        <w:tc>
          <w:tcPr>
            <w:tcW w:w="1417"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2018</w:t>
            </w:r>
          </w:p>
        </w:tc>
        <w:tc>
          <w:tcPr>
            <w:tcW w:w="1418"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2019</w:t>
            </w:r>
          </w:p>
        </w:tc>
        <w:tc>
          <w:tcPr>
            <w:tcW w:w="1382"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2020</w:t>
            </w:r>
          </w:p>
        </w:tc>
      </w:tr>
      <w:tr w:rsidR="00E96768" w:rsidRPr="00E00B35" w:rsidTr="00E96768">
        <w:tc>
          <w:tcPr>
            <w:tcW w:w="1985" w:type="dxa"/>
            <w:vAlign w:val="center"/>
          </w:tcPr>
          <w:p w:rsidR="00E96768" w:rsidRPr="00E00B35" w:rsidRDefault="00E96768" w:rsidP="00E00B35">
            <w:pPr>
              <w:spacing w:after="0" w:line="312" w:lineRule="auto"/>
              <w:ind w:left="-108"/>
              <w:rPr>
                <w:szCs w:val="20"/>
              </w:rPr>
            </w:pPr>
            <w:r w:rsidRPr="00E00B35">
              <w:rPr>
                <w:szCs w:val="20"/>
              </w:rPr>
              <w:t>Usuwanie i przechowywanie pojazdów</w:t>
            </w:r>
          </w:p>
        </w:tc>
        <w:tc>
          <w:tcPr>
            <w:tcW w:w="1417" w:type="dxa"/>
            <w:gridSpan w:val="2"/>
            <w:vAlign w:val="center"/>
          </w:tcPr>
          <w:p w:rsidR="00E96768" w:rsidRPr="00E00B35" w:rsidRDefault="00E96768" w:rsidP="00E00B35">
            <w:pPr>
              <w:spacing w:after="0" w:line="312" w:lineRule="auto"/>
              <w:ind w:left="-108"/>
              <w:rPr>
                <w:szCs w:val="20"/>
              </w:rPr>
            </w:pPr>
          </w:p>
          <w:p w:rsidR="00E96768" w:rsidRPr="00E00B35" w:rsidRDefault="00E96768" w:rsidP="00E00B35">
            <w:pPr>
              <w:spacing w:after="0" w:line="312" w:lineRule="auto"/>
              <w:ind w:left="-108"/>
              <w:rPr>
                <w:szCs w:val="20"/>
              </w:rPr>
            </w:pPr>
            <w:r w:rsidRPr="00E00B35">
              <w:rPr>
                <w:szCs w:val="20"/>
              </w:rPr>
              <w:t>1 068 450,31</w:t>
            </w:r>
          </w:p>
        </w:tc>
        <w:tc>
          <w:tcPr>
            <w:tcW w:w="1560" w:type="dxa"/>
            <w:vAlign w:val="center"/>
          </w:tcPr>
          <w:p w:rsidR="00E96768" w:rsidRPr="00E00B35" w:rsidRDefault="00E96768" w:rsidP="00E00B35">
            <w:pPr>
              <w:spacing w:after="0" w:line="312" w:lineRule="auto"/>
              <w:ind w:left="-108" w:right="175"/>
              <w:rPr>
                <w:szCs w:val="20"/>
              </w:rPr>
            </w:pPr>
          </w:p>
          <w:p w:rsidR="00E96768" w:rsidRPr="00E00B35" w:rsidRDefault="00E96768" w:rsidP="00E00B35">
            <w:pPr>
              <w:spacing w:after="0" w:line="312" w:lineRule="auto"/>
              <w:ind w:left="-108" w:right="175"/>
              <w:rPr>
                <w:szCs w:val="20"/>
              </w:rPr>
            </w:pPr>
            <w:r w:rsidRPr="00E00B35">
              <w:rPr>
                <w:szCs w:val="20"/>
              </w:rPr>
              <w:t>1 412 259,31</w:t>
            </w:r>
          </w:p>
        </w:tc>
        <w:tc>
          <w:tcPr>
            <w:tcW w:w="1417" w:type="dxa"/>
            <w:vAlign w:val="center"/>
          </w:tcPr>
          <w:p w:rsidR="00E96768" w:rsidRPr="00E00B35" w:rsidRDefault="00E96768" w:rsidP="00E00B35">
            <w:pPr>
              <w:spacing w:after="0" w:line="312" w:lineRule="auto"/>
              <w:ind w:left="55" w:hanging="163"/>
              <w:rPr>
                <w:szCs w:val="20"/>
              </w:rPr>
            </w:pPr>
          </w:p>
          <w:p w:rsidR="00E96768" w:rsidRPr="00E00B35" w:rsidRDefault="00E96768" w:rsidP="00E00B35">
            <w:pPr>
              <w:spacing w:after="0" w:line="312" w:lineRule="auto"/>
              <w:ind w:left="55" w:hanging="163"/>
              <w:rPr>
                <w:szCs w:val="20"/>
              </w:rPr>
            </w:pPr>
            <w:r w:rsidRPr="00E00B35">
              <w:rPr>
                <w:szCs w:val="20"/>
              </w:rPr>
              <w:t>1 905 261,73</w:t>
            </w:r>
          </w:p>
        </w:tc>
        <w:tc>
          <w:tcPr>
            <w:tcW w:w="1418" w:type="dxa"/>
            <w:vAlign w:val="center"/>
          </w:tcPr>
          <w:p w:rsidR="00E96768" w:rsidRPr="00E00B35" w:rsidRDefault="00E96768" w:rsidP="00E00B35">
            <w:pPr>
              <w:spacing w:after="0" w:line="312" w:lineRule="auto"/>
              <w:rPr>
                <w:szCs w:val="20"/>
              </w:rPr>
            </w:pPr>
          </w:p>
          <w:p w:rsidR="00E96768" w:rsidRPr="00E00B35" w:rsidRDefault="00E96768" w:rsidP="00E00B35">
            <w:pPr>
              <w:spacing w:after="0" w:line="312" w:lineRule="auto"/>
              <w:ind w:left="-108"/>
              <w:rPr>
                <w:szCs w:val="20"/>
              </w:rPr>
            </w:pPr>
            <w:r w:rsidRPr="00E00B35">
              <w:rPr>
                <w:szCs w:val="20"/>
              </w:rPr>
              <w:t>2 391 852,94</w:t>
            </w:r>
          </w:p>
        </w:tc>
        <w:tc>
          <w:tcPr>
            <w:tcW w:w="1382" w:type="dxa"/>
            <w:vAlign w:val="center"/>
          </w:tcPr>
          <w:p w:rsidR="00E96768" w:rsidRPr="00E00B35" w:rsidRDefault="00E96768" w:rsidP="00E00B35">
            <w:pPr>
              <w:spacing w:after="0" w:line="312" w:lineRule="auto"/>
              <w:rPr>
                <w:szCs w:val="20"/>
              </w:rPr>
            </w:pPr>
          </w:p>
          <w:p w:rsidR="00E96768" w:rsidRPr="00E00B35" w:rsidRDefault="00E96768" w:rsidP="00E00B35">
            <w:pPr>
              <w:spacing w:after="0" w:line="312" w:lineRule="auto"/>
              <w:ind w:left="-108"/>
              <w:rPr>
                <w:szCs w:val="20"/>
              </w:rPr>
            </w:pPr>
            <w:r w:rsidRPr="00E00B35">
              <w:rPr>
                <w:szCs w:val="20"/>
              </w:rPr>
              <w:t>1 561 127,44</w:t>
            </w:r>
          </w:p>
        </w:tc>
      </w:tr>
      <w:tr w:rsidR="00E96768" w:rsidRPr="00E00B35" w:rsidTr="00E96768">
        <w:trPr>
          <w:trHeight w:val="492"/>
        </w:trPr>
        <w:tc>
          <w:tcPr>
            <w:tcW w:w="1985" w:type="dxa"/>
            <w:vAlign w:val="center"/>
          </w:tcPr>
          <w:p w:rsidR="00E96768" w:rsidRPr="00E00B35" w:rsidRDefault="00E96768" w:rsidP="00E00B35">
            <w:pPr>
              <w:spacing w:after="0" w:line="312" w:lineRule="auto"/>
              <w:rPr>
                <w:szCs w:val="20"/>
              </w:rPr>
            </w:pPr>
            <w:r w:rsidRPr="00E00B35">
              <w:rPr>
                <w:szCs w:val="20"/>
              </w:rPr>
              <w:t>Wycena pojazdów</w:t>
            </w:r>
          </w:p>
        </w:tc>
        <w:tc>
          <w:tcPr>
            <w:tcW w:w="1417" w:type="dxa"/>
            <w:gridSpan w:val="2"/>
            <w:vAlign w:val="center"/>
          </w:tcPr>
          <w:p w:rsidR="00E96768" w:rsidRPr="00E00B35" w:rsidRDefault="00E96768" w:rsidP="00E00B35">
            <w:pPr>
              <w:spacing w:after="0" w:line="312" w:lineRule="auto"/>
              <w:rPr>
                <w:szCs w:val="20"/>
              </w:rPr>
            </w:pPr>
            <w:r w:rsidRPr="00E00B35">
              <w:rPr>
                <w:szCs w:val="20"/>
              </w:rPr>
              <w:t>62 760,60</w:t>
            </w:r>
          </w:p>
        </w:tc>
        <w:tc>
          <w:tcPr>
            <w:tcW w:w="1560" w:type="dxa"/>
            <w:vAlign w:val="center"/>
          </w:tcPr>
          <w:p w:rsidR="00E96768" w:rsidRPr="00E00B35" w:rsidRDefault="00E96768" w:rsidP="00E00B35">
            <w:pPr>
              <w:spacing w:after="0" w:line="312" w:lineRule="auto"/>
              <w:rPr>
                <w:szCs w:val="20"/>
              </w:rPr>
            </w:pPr>
            <w:r w:rsidRPr="00E00B35">
              <w:rPr>
                <w:szCs w:val="20"/>
              </w:rPr>
              <w:t>40 306,60</w:t>
            </w:r>
          </w:p>
        </w:tc>
        <w:tc>
          <w:tcPr>
            <w:tcW w:w="1417" w:type="dxa"/>
            <w:vAlign w:val="center"/>
          </w:tcPr>
          <w:p w:rsidR="00E96768" w:rsidRPr="00E00B35" w:rsidRDefault="00E96768" w:rsidP="00E00B35">
            <w:pPr>
              <w:spacing w:after="0" w:line="312" w:lineRule="auto"/>
              <w:rPr>
                <w:szCs w:val="20"/>
              </w:rPr>
            </w:pPr>
            <w:r w:rsidRPr="00E00B35">
              <w:rPr>
                <w:szCs w:val="20"/>
              </w:rPr>
              <w:t>533,00</w:t>
            </w:r>
          </w:p>
        </w:tc>
        <w:tc>
          <w:tcPr>
            <w:tcW w:w="1418" w:type="dxa"/>
            <w:vAlign w:val="center"/>
          </w:tcPr>
          <w:p w:rsidR="00E96768" w:rsidRPr="00E00B35" w:rsidRDefault="00E96768" w:rsidP="00E00B35">
            <w:pPr>
              <w:spacing w:after="0" w:line="312" w:lineRule="auto"/>
              <w:rPr>
                <w:szCs w:val="20"/>
              </w:rPr>
            </w:pPr>
            <w:r w:rsidRPr="00E00B35">
              <w:rPr>
                <w:szCs w:val="20"/>
              </w:rPr>
              <w:t>209,10</w:t>
            </w:r>
          </w:p>
        </w:tc>
        <w:tc>
          <w:tcPr>
            <w:tcW w:w="1382" w:type="dxa"/>
            <w:vAlign w:val="center"/>
          </w:tcPr>
          <w:p w:rsidR="00E96768" w:rsidRPr="00E00B35" w:rsidRDefault="00E96768" w:rsidP="00E00B35">
            <w:pPr>
              <w:spacing w:after="0" w:line="312" w:lineRule="auto"/>
              <w:rPr>
                <w:szCs w:val="20"/>
              </w:rPr>
            </w:pPr>
            <w:r w:rsidRPr="00E00B35">
              <w:rPr>
                <w:szCs w:val="20"/>
              </w:rPr>
              <w:t>627,30</w:t>
            </w:r>
          </w:p>
        </w:tc>
      </w:tr>
    </w:tbl>
    <w:p w:rsidR="00E96768" w:rsidRPr="00E00B35" w:rsidRDefault="00E96768" w:rsidP="00E00B35">
      <w:pPr>
        <w:spacing w:after="0" w:line="312" w:lineRule="auto"/>
        <w:rPr>
          <w:szCs w:val="20"/>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2"/>
        <w:gridCol w:w="1410"/>
        <w:gridCol w:w="1560"/>
        <w:gridCol w:w="1417"/>
        <w:gridCol w:w="1418"/>
        <w:gridCol w:w="1382"/>
      </w:tblGrid>
      <w:tr w:rsidR="00E96768" w:rsidRPr="00E00B35" w:rsidTr="00E96768">
        <w:trPr>
          <w:trHeight w:val="261"/>
        </w:trPr>
        <w:tc>
          <w:tcPr>
            <w:tcW w:w="1992"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Przychody w roku</w:t>
            </w:r>
          </w:p>
        </w:tc>
        <w:tc>
          <w:tcPr>
            <w:tcW w:w="1410"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2016</w:t>
            </w:r>
          </w:p>
        </w:tc>
        <w:tc>
          <w:tcPr>
            <w:tcW w:w="1560"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2017</w:t>
            </w:r>
          </w:p>
        </w:tc>
        <w:tc>
          <w:tcPr>
            <w:tcW w:w="1417"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2018</w:t>
            </w:r>
          </w:p>
        </w:tc>
        <w:tc>
          <w:tcPr>
            <w:tcW w:w="1418"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2019</w:t>
            </w:r>
          </w:p>
        </w:tc>
        <w:tc>
          <w:tcPr>
            <w:tcW w:w="1382" w:type="dxa"/>
            <w:shd w:val="clear" w:color="auto" w:fill="F2F2F2" w:themeFill="background1" w:themeFillShade="F2"/>
          </w:tcPr>
          <w:p w:rsidR="00E96768" w:rsidRPr="00E00B35" w:rsidRDefault="00E96768" w:rsidP="00E00B35">
            <w:pPr>
              <w:spacing w:after="0" w:line="312" w:lineRule="auto"/>
              <w:rPr>
                <w:b/>
                <w:szCs w:val="20"/>
              </w:rPr>
            </w:pPr>
            <w:r w:rsidRPr="00E00B35">
              <w:rPr>
                <w:b/>
                <w:szCs w:val="20"/>
              </w:rPr>
              <w:t>2020</w:t>
            </w:r>
          </w:p>
        </w:tc>
      </w:tr>
      <w:tr w:rsidR="00E96768" w:rsidRPr="00E00B35" w:rsidTr="00E96768">
        <w:tc>
          <w:tcPr>
            <w:tcW w:w="1992" w:type="dxa"/>
            <w:vAlign w:val="center"/>
          </w:tcPr>
          <w:p w:rsidR="00E96768" w:rsidRPr="00E00B35" w:rsidRDefault="00E96768" w:rsidP="00E00B35">
            <w:pPr>
              <w:spacing w:after="0" w:line="312" w:lineRule="auto"/>
              <w:rPr>
                <w:szCs w:val="20"/>
              </w:rPr>
            </w:pPr>
            <w:r w:rsidRPr="00E00B35">
              <w:rPr>
                <w:szCs w:val="20"/>
              </w:rPr>
              <w:t>Usuwanie i przechowywanie pojazdów</w:t>
            </w:r>
          </w:p>
        </w:tc>
        <w:tc>
          <w:tcPr>
            <w:tcW w:w="1410" w:type="dxa"/>
            <w:vAlign w:val="center"/>
          </w:tcPr>
          <w:p w:rsidR="00E96768" w:rsidRPr="00E00B35" w:rsidRDefault="00E96768" w:rsidP="00E00B35">
            <w:pPr>
              <w:spacing w:after="0" w:line="312" w:lineRule="auto"/>
              <w:ind w:left="-134"/>
              <w:rPr>
                <w:szCs w:val="20"/>
              </w:rPr>
            </w:pPr>
            <w:r w:rsidRPr="00E00B35">
              <w:rPr>
                <w:szCs w:val="20"/>
              </w:rPr>
              <w:t>1 769 979</w:t>
            </w:r>
          </w:p>
        </w:tc>
        <w:tc>
          <w:tcPr>
            <w:tcW w:w="1560" w:type="dxa"/>
            <w:vAlign w:val="center"/>
          </w:tcPr>
          <w:p w:rsidR="00E96768" w:rsidRPr="00E00B35" w:rsidRDefault="00E96768" w:rsidP="00E00B35">
            <w:pPr>
              <w:spacing w:after="0" w:line="312" w:lineRule="auto"/>
              <w:rPr>
                <w:szCs w:val="20"/>
              </w:rPr>
            </w:pPr>
            <w:r w:rsidRPr="00E00B35">
              <w:rPr>
                <w:szCs w:val="20"/>
              </w:rPr>
              <w:t>1 608 216</w:t>
            </w:r>
          </w:p>
        </w:tc>
        <w:tc>
          <w:tcPr>
            <w:tcW w:w="1417" w:type="dxa"/>
            <w:vAlign w:val="center"/>
          </w:tcPr>
          <w:p w:rsidR="00E96768" w:rsidRPr="00E00B35" w:rsidRDefault="00E96768" w:rsidP="00E00B35">
            <w:pPr>
              <w:spacing w:after="0" w:line="312" w:lineRule="auto"/>
              <w:rPr>
                <w:szCs w:val="20"/>
              </w:rPr>
            </w:pPr>
            <w:r w:rsidRPr="00E00B35">
              <w:rPr>
                <w:szCs w:val="20"/>
              </w:rPr>
              <w:t>1 929 609</w:t>
            </w:r>
          </w:p>
        </w:tc>
        <w:tc>
          <w:tcPr>
            <w:tcW w:w="1418" w:type="dxa"/>
            <w:vAlign w:val="center"/>
          </w:tcPr>
          <w:p w:rsidR="00E96768" w:rsidRPr="00E00B35" w:rsidRDefault="00E96768" w:rsidP="00E00B35">
            <w:pPr>
              <w:spacing w:after="0" w:line="312" w:lineRule="auto"/>
              <w:rPr>
                <w:szCs w:val="20"/>
              </w:rPr>
            </w:pPr>
            <w:r w:rsidRPr="00E00B35">
              <w:rPr>
                <w:szCs w:val="20"/>
              </w:rPr>
              <w:t>1 628 615</w:t>
            </w:r>
          </w:p>
        </w:tc>
        <w:tc>
          <w:tcPr>
            <w:tcW w:w="1382" w:type="dxa"/>
            <w:vAlign w:val="center"/>
          </w:tcPr>
          <w:p w:rsidR="00E96768" w:rsidRPr="00E00B35" w:rsidRDefault="00E96768" w:rsidP="00E00B35">
            <w:pPr>
              <w:spacing w:after="0" w:line="312" w:lineRule="auto"/>
              <w:rPr>
                <w:szCs w:val="20"/>
              </w:rPr>
            </w:pPr>
            <w:r w:rsidRPr="00E00B35">
              <w:rPr>
                <w:szCs w:val="20"/>
              </w:rPr>
              <w:t>1 131 911</w:t>
            </w:r>
          </w:p>
        </w:tc>
      </w:tr>
      <w:tr w:rsidR="00E96768" w:rsidRPr="00E00B35" w:rsidTr="00E96768">
        <w:trPr>
          <w:trHeight w:val="569"/>
        </w:trPr>
        <w:tc>
          <w:tcPr>
            <w:tcW w:w="1992" w:type="dxa"/>
            <w:vAlign w:val="center"/>
          </w:tcPr>
          <w:p w:rsidR="00E96768" w:rsidRPr="00E00B35" w:rsidRDefault="00E96768" w:rsidP="00E00B35">
            <w:pPr>
              <w:spacing w:after="0" w:line="312" w:lineRule="auto"/>
              <w:rPr>
                <w:szCs w:val="20"/>
              </w:rPr>
            </w:pPr>
            <w:r w:rsidRPr="00E00B35">
              <w:rPr>
                <w:szCs w:val="20"/>
              </w:rPr>
              <w:lastRenderedPageBreak/>
              <w:t>Demontaż pojazdów</w:t>
            </w:r>
          </w:p>
        </w:tc>
        <w:tc>
          <w:tcPr>
            <w:tcW w:w="1410" w:type="dxa"/>
            <w:vAlign w:val="center"/>
          </w:tcPr>
          <w:p w:rsidR="00E96768" w:rsidRPr="00E00B35" w:rsidRDefault="00E96768" w:rsidP="00E00B35">
            <w:pPr>
              <w:spacing w:after="0" w:line="312" w:lineRule="auto"/>
              <w:rPr>
                <w:szCs w:val="20"/>
              </w:rPr>
            </w:pPr>
            <w:r w:rsidRPr="00E00B35">
              <w:rPr>
                <w:szCs w:val="20"/>
              </w:rPr>
              <w:t>30 082,05</w:t>
            </w:r>
          </w:p>
        </w:tc>
        <w:tc>
          <w:tcPr>
            <w:tcW w:w="1560" w:type="dxa"/>
            <w:vAlign w:val="center"/>
          </w:tcPr>
          <w:p w:rsidR="00E96768" w:rsidRPr="00E00B35" w:rsidRDefault="00E96768" w:rsidP="00E00B35">
            <w:pPr>
              <w:spacing w:after="0" w:line="312" w:lineRule="auto"/>
              <w:rPr>
                <w:szCs w:val="20"/>
              </w:rPr>
            </w:pPr>
            <w:r w:rsidRPr="00E00B35">
              <w:rPr>
                <w:szCs w:val="20"/>
              </w:rPr>
              <w:t>88 950</w:t>
            </w:r>
          </w:p>
        </w:tc>
        <w:tc>
          <w:tcPr>
            <w:tcW w:w="1417" w:type="dxa"/>
            <w:vAlign w:val="center"/>
          </w:tcPr>
          <w:p w:rsidR="00E96768" w:rsidRPr="00E00B35" w:rsidRDefault="00E96768" w:rsidP="00E00B35">
            <w:pPr>
              <w:spacing w:after="0" w:line="312" w:lineRule="auto"/>
              <w:rPr>
                <w:szCs w:val="20"/>
              </w:rPr>
            </w:pPr>
            <w:r w:rsidRPr="00E00B35">
              <w:rPr>
                <w:szCs w:val="20"/>
              </w:rPr>
              <w:t>83 000</w:t>
            </w:r>
          </w:p>
        </w:tc>
        <w:tc>
          <w:tcPr>
            <w:tcW w:w="1418" w:type="dxa"/>
            <w:vAlign w:val="center"/>
          </w:tcPr>
          <w:p w:rsidR="00E96768" w:rsidRPr="00E00B35" w:rsidRDefault="00E96768" w:rsidP="00E00B35">
            <w:pPr>
              <w:spacing w:after="0" w:line="312" w:lineRule="auto"/>
              <w:rPr>
                <w:szCs w:val="20"/>
              </w:rPr>
            </w:pPr>
            <w:r w:rsidRPr="00E00B35">
              <w:rPr>
                <w:szCs w:val="20"/>
              </w:rPr>
              <w:t>94 650</w:t>
            </w:r>
          </w:p>
        </w:tc>
        <w:tc>
          <w:tcPr>
            <w:tcW w:w="1382" w:type="dxa"/>
            <w:vAlign w:val="center"/>
          </w:tcPr>
          <w:p w:rsidR="00E96768" w:rsidRPr="00E00B35" w:rsidRDefault="00E96768" w:rsidP="00E00B35">
            <w:pPr>
              <w:spacing w:after="0" w:line="312" w:lineRule="auto"/>
              <w:rPr>
                <w:szCs w:val="20"/>
              </w:rPr>
            </w:pPr>
            <w:r w:rsidRPr="00E00B35">
              <w:rPr>
                <w:szCs w:val="20"/>
              </w:rPr>
              <w:t>86 620</w:t>
            </w:r>
          </w:p>
        </w:tc>
      </w:tr>
      <w:tr w:rsidR="00E96768" w:rsidRPr="00E00B35" w:rsidTr="00E96768">
        <w:tc>
          <w:tcPr>
            <w:tcW w:w="1992" w:type="dxa"/>
            <w:vAlign w:val="center"/>
          </w:tcPr>
          <w:p w:rsidR="00E96768" w:rsidRPr="00E00B35" w:rsidRDefault="00E96768" w:rsidP="00E00B35">
            <w:pPr>
              <w:spacing w:after="0" w:line="312" w:lineRule="auto"/>
              <w:rPr>
                <w:szCs w:val="20"/>
              </w:rPr>
            </w:pPr>
            <w:r w:rsidRPr="00E00B35">
              <w:rPr>
                <w:szCs w:val="20"/>
              </w:rPr>
              <w:t xml:space="preserve">Dotacja z NFOŚiGW za pojazdy przekazane </w:t>
            </w:r>
            <w:r w:rsidRPr="00E00B35">
              <w:rPr>
                <w:szCs w:val="20"/>
              </w:rPr>
              <w:br/>
              <w:t>do demontażu</w:t>
            </w:r>
          </w:p>
        </w:tc>
        <w:tc>
          <w:tcPr>
            <w:tcW w:w="1410" w:type="dxa"/>
            <w:vAlign w:val="center"/>
          </w:tcPr>
          <w:p w:rsidR="00E96768" w:rsidRPr="00E00B35" w:rsidRDefault="00E96768" w:rsidP="00E00B35">
            <w:pPr>
              <w:spacing w:after="0" w:line="312" w:lineRule="auto"/>
              <w:rPr>
                <w:szCs w:val="20"/>
              </w:rPr>
            </w:pPr>
            <w:r w:rsidRPr="00E00B35">
              <w:rPr>
                <w:szCs w:val="20"/>
              </w:rPr>
              <w:t>258 000</w:t>
            </w:r>
          </w:p>
        </w:tc>
        <w:tc>
          <w:tcPr>
            <w:tcW w:w="1560" w:type="dxa"/>
            <w:vAlign w:val="center"/>
          </w:tcPr>
          <w:p w:rsidR="00E96768" w:rsidRPr="00E00B35" w:rsidRDefault="00E96768" w:rsidP="00E00B35">
            <w:pPr>
              <w:spacing w:after="0" w:line="312" w:lineRule="auto"/>
              <w:rPr>
                <w:szCs w:val="20"/>
              </w:rPr>
            </w:pPr>
            <w:r w:rsidRPr="00E00B35">
              <w:rPr>
                <w:szCs w:val="20"/>
              </w:rPr>
              <w:t>102 000</w:t>
            </w:r>
          </w:p>
        </w:tc>
        <w:tc>
          <w:tcPr>
            <w:tcW w:w="1417" w:type="dxa"/>
            <w:vAlign w:val="center"/>
          </w:tcPr>
          <w:p w:rsidR="00E96768" w:rsidRPr="00E00B35" w:rsidRDefault="00E96768" w:rsidP="00E00B35">
            <w:pPr>
              <w:spacing w:after="0" w:line="312" w:lineRule="auto"/>
              <w:rPr>
                <w:szCs w:val="20"/>
              </w:rPr>
            </w:pPr>
            <w:r w:rsidRPr="00E00B35">
              <w:rPr>
                <w:szCs w:val="20"/>
              </w:rPr>
              <w:t>167 500</w:t>
            </w:r>
          </w:p>
        </w:tc>
        <w:tc>
          <w:tcPr>
            <w:tcW w:w="1418" w:type="dxa"/>
            <w:vAlign w:val="center"/>
          </w:tcPr>
          <w:p w:rsidR="00E96768" w:rsidRPr="00E00B35" w:rsidRDefault="00E96768" w:rsidP="00E00B35">
            <w:pPr>
              <w:spacing w:after="0" w:line="312" w:lineRule="auto"/>
              <w:rPr>
                <w:szCs w:val="20"/>
              </w:rPr>
            </w:pPr>
            <w:r w:rsidRPr="00E00B35">
              <w:rPr>
                <w:szCs w:val="20"/>
              </w:rPr>
              <w:t>program został zakończony</w:t>
            </w:r>
          </w:p>
        </w:tc>
        <w:tc>
          <w:tcPr>
            <w:tcW w:w="1382" w:type="dxa"/>
            <w:vAlign w:val="center"/>
          </w:tcPr>
          <w:p w:rsidR="00E96768" w:rsidRPr="00E00B35" w:rsidRDefault="00E96768" w:rsidP="00E00B35">
            <w:pPr>
              <w:spacing w:after="0" w:line="312" w:lineRule="auto"/>
              <w:rPr>
                <w:szCs w:val="20"/>
              </w:rPr>
            </w:pPr>
            <w:r w:rsidRPr="00E00B35">
              <w:rPr>
                <w:szCs w:val="20"/>
              </w:rPr>
              <w:t>program został zakończony</w:t>
            </w:r>
          </w:p>
        </w:tc>
      </w:tr>
    </w:tbl>
    <w:p w:rsidR="00E96768" w:rsidRPr="00E00B35" w:rsidRDefault="00E96768" w:rsidP="00E00B35">
      <w:pPr>
        <w:spacing w:after="0" w:line="312" w:lineRule="auto"/>
        <w:ind w:left="720"/>
        <w:rPr>
          <w:szCs w:val="20"/>
        </w:rPr>
      </w:pPr>
    </w:p>
    <w:p w:rsidR="00E96768" w:rsidRPr="00E00B35" w:rsidRDefault="00E96768" w:rsidP="00E00B35">
      <w:pPr>
        <w:spacing w:after="0" w:line="312" w:lineRule="auto"/>
        <w:rPr>
          <w:szCs w:val="20"/>
        </w:rPr>
      </w:pPr>
      <w:r w:rsidRPr="00E00B35">
        <w:rPr>
          <w:szCs w:val="20"/>
        </w:rPr>
        <w:t>Powyższe dane pokazują, że z roku na rok sukcesywnie wzrasta liczba usuwanych z dróg pojazdów, zwłaszcza na podstawie art. 130a ustawy Prawo o ruchu drogowym w związku z popełnianiem przez kierujących wykroczeń i przestępstw. Na wysokim poziomie utrzymuje się liczba pojazdów nieodbieranych przez właścicieli. Wszystkoto powoduje wzrost wydatków po stronie Gminy Wrocław.</w:t>
      </w:r>
    </w:p>
    <w:p w:rsidR="00E96768" w:rsidRPr="00E00B35" w:rsidRDefault="00E96768" w:rsidP="00E00B35">
      <w:pPr>
        <w:spacing w:after="0" w:line="312" w:lineRule="auto"/>
        <w:rPr>
          <w:szCs w:val="20"/>
        </w:rPr>
      </w:pPr>
      <w:r w:rsidRPr="00E00B35">
        <w:rPr>
          <w:szCs w:val="20"/>
        </w:rPr>
        <w:t>Specyficznie pod tym względem wygląda sytuacja w roku 2020. Dalej zauważalny jest wzrost liczby nieużytkowanych pojazdów usuwanych z dróg, tzw. wraków. Spadła natomiast o 25% liczba pojazdów usuwanych z dróg po wykroczeniach drogowych. Spowodowane jest to bezpośrednio obecną sytuacją epidemiczną w kraju (zmniejszony ruch pojazdów wynikający z wprowadzanych ograniczeń w przemieszczaniu się, wprowadzoną na dużą skalę pracą zdalną, ograniczeniami wielu branż gospodarki, itp.)</w:t>
      </w:r>
    </w:p>
    <w:p w:rsidR="00E96768" w:rsidRPr="00E00B35" w:rsidRDefault="00E96768" w:rsidP="00E00B35">
      <w:pPr>
        <w:spacing w:after="0" w:line="312" w:lineRule="auto"/>
        <w:rPr>
          <w:szCs w:val="20"/>
        </w:rPr>
      </w:pPr>
    </w:p>
    <w:p w:rsidR="00E96768" w:rsidRPr="00E00B35" w:rsidRDefault="00E96768" w:rsidP="00E00B35">
      <w:pPr>
        <w:pStyle w:val="Nagwek5"/>
        <w:rPr>
          <w:szCs w:val="20"/>
        </w:rPr>
      </w:pPr>
      <w:r w:rsidRPr="00E00B35">
        <w:rPr>
          <w:szCs w:val="20"/>
        </w:rPr>
        <w:t>OCHRONA PRZECIWPOŻAROWA</w:t>
      </w:r>
    </w:p>
    <w:p w:rsidR="00E96768" w:rsidRPr="00E00B35" w:rsidRDefault="00E96768" w:rsidP="00E00B35">
      <w:pPr>
        <w:spacing w:after="0" w:line="312" w:lineRule="auto"/>
        <w:rPr>
          <w:szCs w:val="20"/>
        </w:rPr>
      </w:pPr>
      <w:r w:rsidRPr="00E00B35">
        <w:rPr>
          <w:szCs w:val="20"/>
        </w:rPr>
        <w:t>W ramach ochrony przeciwpożarowej realizowano zadania w zakresie: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ochrony przeciwpożarowej w obiektach własnych w tym lasach gminy Wrocław,</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kontroli realizacji wydanych zaleceń,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uczestnictwa w praktycznym sprawdzeniu organizacji i warunków ewakuacji w obiektach użyteczności publicznej,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akcji propagandowych z zakresu ochrony przeciwpożarowej,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szkoleń pracowników działu ochrony przeciwpożarowej,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szkoleń ppoż. w ramach praktyk studenckich i stażu w działach WBZ,</w:t>
      </w:r>
    </w:p>
    <w:p w:rsidR="00E96768" w:rsidRPr="00E00B35" w:rsidRDefault="00E96768" w:rsidP="00BC64AB">
      <w:pPr>
        <w:pStyle w:val="Akapitzlist"/>
        <w:numPr>
          <w:ilvl w:val="0"/>
          <w:numId w:val="245"/>
        </w:numPr>
        <w:spacing w:after="0" w:line="312" w:lineRule="auto"/>
        <w:ind w:left="567" w:hanging="567"/>
        <w:rPr>
          <w:rFonts w:cs="Verdana"/>
          <w:szCs w:val="20"/>
        </w:rPr>
      </w:pPr>
      <w:r w:rsidRPr="00E00B35">
        <w:rPr>
          <w:szCs w:val="20"/>
        </w:rPr>
        <w:t>okresowych analiz</w:t>
      </w:r>
      <w:r w:rsidRPr="00E00B35">
        <w:rPr>
          <w:rFonts w:cs="Verdana"/>
          <w:szCs w:val="20"/>
        </w:rPr>
        <w:t xml:space="preserve"> stanu ochrony przeciwpożarowej. </w:t>
      </w:r>
    </w:p>
    <w:p w:rsidR="00E96768" w:rsidRPr="00E00B35" w:rsidRDefault="00E96768" w:rsidP="00E00B35">
      <w:pPr>
        <w:pStyle w:val="Tekstpodstawowy"/>
        <w:suppressAutoHyphens/>
        <w:overflowPunct w:val="0"/>
        <w:autoSpaceDE w:val="0"/>
        <w:autoSpaceDN w:val="0"/>
        <w:adjustRightInd w:val="0"/>
        <w:spacing w:after="0" w:line="312" w:lineRule="auto"/>
        <w:ind w:left="360"/>
        <w:textAlignment w:val="baseline"/>
        <w:rPr>
          <w:rFonts w:cs="Verdana"/>
          <w:szCs w:val="20"/>
        </w:rPr>
      </w:pPr>
    </w:p>
    <w:p w:rsidR="00E96768" w:rsidRPr="00E00B35" w:rsidRDefault="00E96768" w:rsidP="00E00B35">
      <w:pPr>
        <w:pStyle w:val="Tekstpodstawowy"/>
        <w:spacing w:after="0" w:line="312" w:lineRule="auto"/>
        <w:rPr>
          <w:rFonts w:cs="Verdana"/>
          <w:bCs/>
          <w:szCs w:val="20"/>
        </w:rPr>
      </w:pPr>
      <w:r w:rsidRPr="00E00B35">
        <w:rPr>
          <w:rFonts w:cs="Verdana"/>
          <w:bCs/>
          <w:szCs w:val="20"/>
        </w:rPr>
        <w:t>Realizacja zadań związanych z ochroną przeciwpożarową w obiektach własnych gminy</w:t>
      </w:r>
    </w:p>
    <w:p w:rsidR="00E96768" w:rsidRPr="00E00B35" w:rsidRDefault="00E96768" w:rsidP="00E00B35">
      <w:pPr>
        <w:pStyle w:val="Tekstpodstawowy"/>
        <w:spacing w:after="0" w:line="312" w:lineRule="auto"/>
        <w:rPr>
          <w:rFonts w:cs="Verdana"/>
          <w:bCs/>
          <w:szCs w:val="20"/>
        </w:rPr>
      </w:pPr>
      <w:r w:rsidRPr="00E00B35">
        <w:rPr>
          <w:rFonts w:cs="Verdana"/>
          <w:bCs/>
          <w:szCs w:val="20"/>
        </w:rPr>
        <w:t>Ewakuacje w obiektach: 182</w:t>
      </w:r>
    </w:p>
    <w:p w:rsidR="00E96768" w:rsidRPr="00E00B35" w:rsidRDefault="00E96768" w:rsidP="00E00B35">
      <w:pPr>
        <w:pStyle w:val="Tekstpodstawowy"/>
        <w:spacing w:after="0" w:line="312" w:lineRule="auto"/>
        <w:rPr>
          <w:rFonts w:cs="Verdana"/>
          <w:bCs/>
          <w:szCs w:val="20"/>
        </w:rPr>
      </w:pPr>
      <w:r w:rsidRPr="00E00B35">
        <w:rPr>
          <w:rFonts w:cs="Verdana"/>
          <w:bCs/>
          <w:szCs w:val="20"/>
        </w:rPr>
        <w:t>Kontrole w obiektach: 57</w:t>
      </w:r>
    </w:p>
    <w:p w:rsidR="00E96768" w:rsidRPr="00E00B35" w:rsidRDefault="00E96768" w:rsidP="00E00B35">
      <w:pPr>
        <w:pStyle w:val="Tekstpodstawowy"/>
        <w:spacing w:after="0" w:line="312" w:lineRule="auto"/>
        <w:rPr>
          <w:rFonts w:cs="Verdana"/>
          <w:bCs/>
          <w:szCs w:val="20"/>
        </w:rPr>
      </w:pPr>
      <w:r w:rsidRPr="00E00B35">
        <w:rPr>
          <w:rFonts w:cs="Verdana"/>
          <w:bCs/>
          <w:szCs w:val="20"/>
        </w:rPr>
        <w:t>Konsultacje: 81</w:t>
      </w:r>
    </w:p>
    <w:p w:rsidR="00E96768" w:rsidRPr="00E00B35" w:rsidRDefault="00E96768" w:rsidP="00E00B35">
      <w:pPr>
        <w:pStyle w:val="Tekstpodstawowy"/>
        <w:spacing w:after="0" w:line="312" w:lineRule="auto"/>
        <w:rPr>
          <w:rFonts w:cs="Verdana"/>
          <w:b/>
          <w:bCs/>
          <w:szCs w:val="20"/>
        </w:rPr>
      </w:pPr>
      <w:r w:rsidRPr="00E00B35">
        <w:rPr>
          <w:rFonts w:cs="Verdana"/>
          <w:bCs/>
          <w:szCs w:val="20"/>
        </w:rPr>
        <w:t>Wydane zalecenia: 57</w:t>
      </w:r>
    </w:p>
    <w:p w:rsidR="00E96768" w:rsidRPr="00E00B35" w:rsidRDefault="00E96768" w:rsidP="00E00B35">
      <w:pPr>
        <w:pStyle w:val="Tekstpodstawowy"/>
        <w:spacing w:after="0" w:line="312" w:lineRule="auto"/>
        <w:rPr>
          <w:rFonts w:cs="Verdana"/>
          <w:b/>
          <w:bCs/>
          <w:i/>
          <w:szCs w:val="20"/>
        </w:rPr>
      </w:pPr>
    </w:p>
    <w:p w:rsidR="00E96768" w:rsidRPr="00E00B35" w:rsidRDefault="00E96768" w:rsidP="00E00B35">
      <w:pPr>
        <w:pStyle w:val="Tekstpodstawowy"/>
        <w:spacing w:after="0" w:line="312" w:lineRule="auto"/>
        <w:rPr>
          <w:rFonts w:cs="Verdana"/>
          <w:szCs w:val="20"/>
        </w:rPr>
      </w:pPr>
      <w:r w:rsidRPr="00E00B35">
        <w:rPr>
          <w:rFonts w:cs="Verdana"/>
          <w:szCs w:val="20"/>
        </w:rPr>
        <w:t>Zakres tematyczny kontroli obejmował realizowanie obowiązku zapewnienia przez zarządzających obiektami ochrony przeciwpożarowej, a w szczególności: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przestrzeganie przeciwpożarowych wymagań techniczno-budowlanych, instalacyjnych </w:t>
      </w:r>
      <w:r w:rsidRPr="00E00B35">
        <w:rPr>
          <w:szCs w:val="20"/>
        </w:rPr>
        <w:br/>
        <w:t>i technologicznych;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wyposażenie budynku, obiektu budowlanego lub terenu w wymagane urządzenia przeciwpożarowe i gaśnice;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konserwację oraz naprawy urządzeń przeciwpożarowych i gaśnic w sposób gwarantujący ich sprawne i niezawodne funkcjonowanie;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zapewnienie osobom przebywającym w budynku, obiekcie budowlanym lub na terenie, bezpieczeństwa i możliwość ewakuacji;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przygotowanie budynku, obiektu budowlanego lub terenu do prowadzenia akcji ratowniczej;</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zapoznanie pracowników z przepisami ppoż.,</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ustalenie sposobów postępowania na wypadek powstania pożaru, klęski żywiołowej lub innego miejscowego zagrożenia.</w:t>
      </w:r>
    </w:p>
    <w:p w:rsidR="00E96768" w:rsidRPr="00E00B35" w:rsidRDefault="00E96768" w:rsidP="00E00B35">
      <w:pPr>
        <w:pStyle w:val="Akapitzlist"/>
        <w:spacing w:after="0" w:line="312" w:lineRule="auto"/>
        <w:ind w:left="567"/>
        <w:rPr>
          <w:szCs w:val="20"/>
        </w:rPr>
      </w:pPr>
    </w:p>
    <w:p w:rsidR="00E96768" w:rsidRPr="00E00B35" w:rsidRDefault="00E96768" w:rsidP="00E00B35">
      <w:pPr>
        <w:pStyle w:val="Tekstpodstawowy"/>
        <w:spacing w:after="0" w:line="312" w:lineRule="auto"/>
        <w:rPr>
          <w:rFonts w:cs="Verdana"/>
          <w:szCs w:val="20"/>
        </w:rPr>
      </w:pPr>
      <w:r w:rsidRPr="00E00B35">
        <w:rPr>
          <w:szCs w:val="20"/>
        </w:rPr>
        <w:t>Najczęstsze występujące braki w zabezpieczeniu ppoż. to: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braki wymaganych zapisów w instrukcjach bezpieczeństwa pożarowego,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niekompletne oznakowanie obiektów znakami ewakuacji i bezpieczeństwa,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brak prawidłowego wyposażenia w gaśnice,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 xml:space="preserve">brak instalacji hydrantowej, </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brak awaryjnych świateł ewakuacyjnych,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brak wyposażenia klatek schodowych w urządzenia służące do zapobiegające zadymieniu lub do jego usuwania,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brak zabezpieczenia przeciwpożarowego palnych elementów konstrukcji dachów oraz wykładzin,</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brak oddzieleń przeciwpożarowych i podziału na strefy pożarowe,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brak przeciwpożarowych  wyłączników prądu,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składowanie materiałów palnych i pożarowo niebezpiecznych w pomieszczeniach do tych celów nieprzeznaczonych,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brak konserwacji lub nieterminowa konserwacja urządzeń ppoż.,</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niskie ciśnienie w instalacji hydrantowej.</w:t>
      </w:r>
    </w:p>
    <w:p w:rsidR="002D2715" w:rsidRPr="00E00B35" w:rsidRDefault="002D2715" w:rsidP="00E00B35">
      <w:pPr>
        <w:pStyle w:val="Akapitzlist"/>
        <w:spacing w:after="0" w:line="312" w:lineRule="auto"/>
        <w:ind w:left="567"/>
        <w:rPr>
          <w:szCs w:val="20"/>
        </w:rPr>
      </w:pPr>
    </w:p>
    <w:p w:rsidR="00E96768" w:rsidRPr="00E00B35" w:rsidRDefault="00E96768" w:rsidP="00E00B35">
      <w:pPr>
        <w:pStyle w:val="Tekstpodstawowy"/>
        <w:widowControl w:val="0"/>
        <w:spacing w:after="0" w:line="312" w:lineRule="auto"/>
        <w:rPr>
          <w:szCs w:val="20"/>
        </w:rPr>
      </w:pPr>
      <w:r w:rsidRPr="00E00B35">
        <w:rPr>
          <w:szCs w:val="20"/>
        </w:rPr>
        <w:t>W 2020 r. w stosunku do lat poprzednich nastąpił procentowy wzrost ujawnionych nieprawidłowości w stosunku do ilości kontroli o 27,4%.</w:t>
      </w:r>
    </w:p>
    <w:p w:rsidR="00E96768" w:rsidRPr="00E00B35" w:rsidRDefault="00E96768" w:rsidP="00E00B35">
      <w:pPr>
        <w:pStyle w:val="Tekstpodstawowy"/>
        <w:widowControl w:val="0"/>
        <w:spacing w:after="0" w:line="312" w:lineRule="auto"/>
        <w:rPr>
          <w:szCs w:val="20"/>
        </w:rPr>
      </w:pPr>
      <w:r w:rsidRPr="00E00B35">
        <w:rPr>
          <w:szCs w:val="20"/>
        </w:rPr>
        <w:t>Konsultacje dotyczyły głównie prowadzenia dokumentacji i prawidłowego użytkowania obiektu (zgodnie z przepisami ppoż.).</w:t>
      </w:r>
    </w:p>
    <w:p w:rsidR="00E96768" w:rsidRPr="00E00B35" w:rsidRDefault="00E96768" w:rsidP="00E00B35">
      <w:pPr>
        <w:pStyle w:val="Tekstpodstawowy"/>
        <w:spacing w:after="0" w:line="312" w:lineRule="auto"/>
        <w:rPr>
          <w:rFonts w:cs="Verdana"/>
          <w:bCs/>
          <w:szCs w:val="20"/>
        </w:rPr>
      </w:pPr>
      <w:r w:rsidRPr="00E00B35">
        <w:rPr>
          <w:rFonts w:cs="Verdana"/>
          <w:bCs/>
          <w:szCs w:val="20"/>
        </w:rPr>
        <w:t>Uczestnictwo w praktycznym sprawdzeniu organizacji i warunków ewakuacji i w obiektach użyteczności publicznej</w:t>
      </w:r>
    </w:p>
    <w:tbl>
      <w:tblPr>
        <w:tblW w:w="9032" w:type="dxa"/>
        <w:jc w:val="center"/>
        <w:tblInd w:w="206" w:type="dxa"/>
        <w:tblCellMar>
          <w:left w:w="70" w:type="dxa"/>
          <w:right w:w="70" w:type="dxa"/>
        </w:tblCellMar>
        <w:tblLook w:val="04A0"/>
      </w:tblPr>
      <w:tblGrid>
        <w:gridCol w:w="2134"/>
        <w:gridCol w:w="2261"/>
        <w:gridCol w:w="2268"/>
        <w:gridCol w:w="2369"/>
      </w:tblGrid>
      <w:tr w:rsidR="00E96768" w:rsidRPr="00E00B35" w:rsidTr="00E96768">
        <w:trPr>
          <w:trHeight w:val="855"/>
          <w:jc w:val="center"/>
        </w:trPr>
        <w:tc>
          <w:tcPr>
            <w:tcW w:w="2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96768" w:rsidRPr="00E00B35" w:rsidRDefault="00E96768" w:rsidP="00E00B35">
            <w:pPr>
              <w:spacing w:after="0" w:line="312" w:lineRule="auto"/>
              <w:rPr>
                <w:rFonts w:cs="Arial"/>
                <w:b/>
                <w:color w:val="000000"/>
                <w:szCs w:val="20"/>
              </w:rPr>
            </w:pPr>
            <w:r w:rsidRPr="00E00B35">
              <w:rPr>
                <w:rFonts w:cs="Arial"/>
                <w:b/>
                <w:color w:val="000000"/>
                <w:szCs w:val="20"/>
              </w:rPr>
              <w:t>Ilość zgłoszonych ewakuacji</w:t>
            </w:r>
          </w:p>
        </w:tc>
        <w:tc>
          <w:tcPr>
            <w:tcW w:w="22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E96768" w:rsidRPr="00E00B35" w:rsidRDefault="00E96768" w:rsidP="00E00B35">
            <w:pPr>
              <w:spacing w:after="0" w:line="312" w:lineRule="auto"/>
              <w:rPr>
                <w:rFonts w:cs="Arial"/>
                <w:b/>
                <w:color w:val="000000"/>
                <w:szCs w:val="20"/>
              </w:rPr>
            </w:pPr>
            <w:r w:rsidRPr="00E00B35">
              <w:rPr>
                <w:rFonts w:cs="Arial"/>
                <w:b/>
                <w:color w:val="000000"/>
                <w:szCs w:val="20"/>
              </w:rPr>
              <w:t>Ilość ewakuacji odwołanych ze względu na epidemię</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E96768" w:rsidRPr="00E00B35" w:rsidRDefault="00E96768" w:rsidP="00E00B35">
            <w:pPr>
              <w:spacing w:after="0" w:line="312" w:lineRule="auto"/>
              <w:rPr>
                <w:rFonts w:cs="Arial"/>
                <w:b/>
                <w:color w:val="000000"/>
                <w:szCs w:val="20"/>
              </w:rPr>
            </w:pPr>
            <w:r w:rsidRPr="00E00B35">
              <w:rPr>
                <w:rFonts w:cs="Arial"/>
                <w:b/>
                <w:color w:val="000000"/>
                <w:szCs w:val="20"/>
              </w:rPr>
              <w:t>Ewakuacje bez udziału pracowników WBZ</w:t>
            </w:r>
          </w:p>
        </w:tc>
        <w:tc>
          <w:tcPr>
            <w:tcW w:w="236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E96768" w:rsidRPr="00E00B35" w:rsidRDefault="00E96768" w:rsidP="00E00B35">
            <w:pPr>
              <w:spacing w:after="0" w:line="312" w:lineRule="auto"/>
              <w:rPr>
                <w:rFonts w:cs="Arial"/>
                <w:b/>
                <w:color w:val="000000"/>
                <w:szCs w:val="20"/>
              </w:rPr>
            </w:pPr>
            <w:r w:rsidRPr="00E00B35">
              <w:rPr>
                <w:rFonts w:cs="Arial"/>
                <w:b/>
                <w:color w:val="000000"/>
                <w:szCs w:val="20"/>
              </w:rPr>
              <w:t>Ilość ewakuacji z udziałem pracowników WBZ</w:t>
            </w:r>
          </w:p>
        </w:tc>
      </w:tr>
      <w:tr w:rsidR="00E96768" w:rsidRPr="00E00B35" w:rsidTr="00E96768">
        <w:trPr>
          <w:trHeight w:val="690"/>
          <w:jc w:val="center"/>
        </w:trPr>
        <w:tc>
          <w:tcPr>
            <w:tcW w:w="2134" w:type="dxa"/>
            <w:tcBorders>
              <w:top w:val="nil"/>
              <w:left w:val="single" w:sz="4" w:space="0" w:color="auto"/>
              <w:bottom w:val="single" w:sz="4" w:space="0" w:color="auto"/>
              <w:right w:val="single" w:sz="4" w:space="0" w:color="auto"/>
            </w:tcBorders>
            <w:shd w:val="clear" w:color="auto" w:fill="auto"/>
            <w:vAlign w:val="center"/>
            <w:hideMark/>
          </w:tcPr>
          <w:p w:rsidR="00E96768" w:rsidRPr="00E00B35" w:rsidRDefault="00E96768" w:rsidP="00E00B35">
            <w:pPr>
              <w:spacing w:after="0" w:line="312" w:lineRule="auto"/>
              <w:rPr>
                <w:rFonts w:cs="Arial"/>
                <w:color w:val="000000"/>
                <w:szCs w:val="20"/>
              </w:rPr>
            </w:pPr>
            <w:r w:rsidRPr="00E00B35">
              <w:rPr>
                <w:rFonts w:cs="Arial"/>
                <w:color w:val="000000"/>
                <w:szCs w:val="20"/>
              </w:rPr>
              <w:t>182</w:t>
            </w:r>
          </w:p>
        </w:tc>
        <w:tc>
          <w:tcPr>
            <w:tcW w:w="2261" w:type="dxa"/>
            <w:tcBorders>
              <w:top w:val="nil"/>
              <w:left w:val="nil"/>
              <w:bottom w:val="single" w:sz="4" w:space="0" w:color="auto"/>
              <w:right w:val="single" w:sz="4" w:space="0" w:color="auto"/>
            </w:tcBorders>
            <w:shd w:val="clear" w:color="auto" w:fill="auto"/>
            <w:vAlign w:val="center"/>
            <w:hideMark/>
          </w:tcPr>
          <w:p w:rsidR="00E96768" w:rsidRPr="00E00B35" w:rsidRDefault="00E96768" w:rsidP="00E00B35">
            <w:pPr>
              <w:spacing w:after="0" w:line="312" w:lineRule="auto"/>
              <w:rPr>
                <w:rFonts w:cs="Arial"/>
                <w:color w:val="000000"/>
                <w:szCs w:val="20"/>
              </w:rPr>
            </w:pPr>
            <w:r w:rsidRPr="00E00B35">
              <w:rPr>
                <w:rFonts w:cs="Arial"/>
                <w:color w:val="000000"/>
                <w:szCs w:val="20"/>
              </w:rPr>
              <w:t>23</w:t>
            </w:r>
          </w:p>
        </w:tc>
        <w:tc>
          <w:tcPr>
            <w:tcW w:w="2268" w:type="dxa"/>
            <w:tcBorders>
              <w:top w:val="nil"/>
              <w:left w:val="nil"/>
              <w:bottom w:val="single" w:sz="4" w:space="0" w:color="auto"/>
              <w:right w:val="single" w:sz="4" w:space="0" w:color="auto"/>
            </w:tcBorders>
            <w:shd w:val="clear" w:color="auto" w:fill="auto"/>
            <w:vAlign w:val="center"/>
            <w:hideMark/>
          </w:tcPr>
          <w:p w:rsidR="00E96768" w:rsidRPr="00E00B35" w:rsidRDefault="00E96768" w:rsidP="00E00B35">
            <w:pPr>
              <w:spacing w:after="0" w:line="312" w:lineRule="auto"/>
              <w:rPr>
                <w:rFonts w:cs="Arial"/>
                <w:color w:val="000000"/>
                <w:szCs w:val="20"/>
              </w:rPr>
            </w:pPr>
            <w:r w:rsidRPr="00E00B35">
              <w:rPr>
                <w:rFonts w:cs="Arial"/>
                <w:color w:val="000000"/>
                <w:szCs w:val="20"/>
              </w:rPr>
              <w:t>21</w:t>
            </w:r>
          </w:p>
        </w:tc>
        <w:tc>
          <w:tcPr>
            <w:tcW w:w="2369" w:type="dxa"/>
            <w:tcBorders>
              <w:top w:val="nil"/>
              <w:left w:val="nil"/>
              <w:bottom w:val="single" w:sz="4" w:space="0" w:color="auto"/>
              <w:right w:val="single" w:sz="4" w:space="0" w:color="auto"/>
            </w:tcBorders>
            <w:shd w:val="clear" w:color="auto" w:fill="auto"/>
            <w:vAlign w:val="center"/>
            <w:hideMark/>
          </w:tcPr>
          <w:p w:rsidR="00E96768" w:rsidRPr="00E00B35" w:rsidRDefault="00E96768" w:rsidP="00E00B35">
            <w:pPr>
              <w:spacing w:after="0" w:line="312" w:lineRule="auto"/>
              <w:rPr>
                <w:rFonts w:cs="Arial"/>
                <w:color w:val="000000"/>
                <w:szCs w:val="20"/>
              </w:rPr>
            </w:pPr>
            <w:r w:rsidRPr="00E00B35">
              <w:rPr>
                <w:rFonts w:cs="Arial"/>
                <w:color w:val="000000"/>
                <w:szCs w:val="20"/>
              </w:rPr>
              <w:t>138</w:t>
            </w:r>
          </w:p>
        </w:tc>
      </w:tr>
    </w:tbl>
    <w:p w:rsidR="00E96768" w:rsidRPr="00E00B35" w:rsidRDefault="00E96768" w:rsidP="00E00B35">
      <w:pPr>
        <w:pStyle w:val="Tekstpodstawowy"/>
        <w:spacing w:after="0" w:line="312" w:lineRule="auto"/>
        <w:rPr>
          <w:rFonts w:cs="Verdana"/>
          <w:szCs w:val="20"/>
        </w:rPr>
      </w:pPr>
    </w:p>
    <w:p w:rsidR="00E96768" w:rsidRPr="00E00B35" w:rsidRDefault="00E96768" w:rsidP="00E00B35">
      <w:pPr>
        <w:pStyle w:val="Tekstpodstawowy"/>
        <w:spacing w:after="0" w:line="312" w:lineRule="auto"/>
        <w:rPr>
          <w:rFonts w:cs="Verdana"/>
          <w:szCs w:val="20"/>
        </w:rPr>
      </w:pPr>
      <w:r w:rsidRPr="00E00B35">
        <w:rPr>
          <w:rFonts w:cs="Verdana"/>
          <w:szCs w:val="20"/>
        </w:rPr>
        <w:lastRenderedPageBreak/>
        <w:t>Nastąpił spadek planowanych ewakuacji w stosunku do roku 2019 w związku z sytuacją epidemiczną o 45,9%.</w:t>
      </w:r>
    </w:p>
    <w:p w:rsidR="00E96768" w:rsidRPr="00E00B35" w:rsidRDefault="00E96768" w:rsidP="00E00B35">
      <w:pPr>
        <w:pStyle w:val="Tekstpodstawowy"/>
        <w:spacing w:after="0" w:line="312" w:lineRule="auto"/>
        <w:ind w:left="284" w:hanging="284"/>
        <w:rPr>
          <w:rFonts w:cs="Verdana"/>
          <w:b/>
          <w:bCs/>
          <w:szCs w:val="20"/>
        </w:rPr>
      </w:pPr>
      <w:r w:rsidRPr="00E00B35">
        <w:rPr>
          <w:rFonts w:cs="Verdana"/>
          <w:b/>
          <w:bCs/>
          <w:szCs w:val="20"/>
        </w:rPr>
        <w:t>Akcja prewencyjna z zakresu ochrony przeciwpożarowej.</w:t>
      </w:r>
    </w:p>
    <w:p w:rsidR="00E96768" w:rsidRPr="00E00B35" w:rsidRDefault="00E96768" w:rsidP="00E00B35">
      <w:pPr>
        <w:pStyle w:val="Tekstpodstawowy"/>
        <w:spacing w:after="0" w:line="312" w:lineRule="auto"/>
        <w:rPr>
          <w:rFonts w:cs="Verdana"/>
          <w:szCs w:val="20"/>
        </w:rPr>
      </w:pPr>
      <w:r w:rsidRPr="00E00B35">
        <w:rPr>
          <w:rFonts w:cs="Verdana"/>
          <w:szCs w:val="20"/>
        </w:rPr>
        <w:t xml:space="preserve">W związku z organizowaną akcją prewencyjną przekazano w przedszkolach oraz miejskich ośrodkach pomocy społecznej materiały typu broszury, kolorowanki, krzyżówki oraz przeprowadzono pogadanki o bezpieczeństwie pożarowym.  </w:t>
      </w:r>
    </w:p>
    <w:p w:rsidR="00E96768" w:rsidRPr="00E00B35" w:rsidRDefault="00E96768" w:rsidP="00E00B35">
      <w:pPr>
        <w:spacing w:after="0" w:line="312" w:lineRule="auto"/>
        <w:rPr>
          <w:b/>
          <w:bCs/>
          <w:szCs w:val="20"/>
        </w:rPr>
      </w:pPr>
    </w:p>
    <w:p w:rsidR="00E96768" w:rsidRPr="00E00B35" w:rsidRDefault="00E96768" w:rsidP="00E00B35">
      <w:pPr>
        <w:pStyle w:val="Nagwek4"/>
        <w:spacing w:before="0" w:after="0" w:line="312" w:lineRule="auto"/>
        <w:rPr>
          <w:sz w:val="20"/>
          <w:szCs w:val="20"/>
        </w:rPr>
      </w:pPr>
      <w:r w:rsidRPr="00E00B35">
        <w:rPr>
          <w:sz w:val="20"/>
          <w:szCs w:val="20"/>
        </w:rPr>
        <w:t>BIURO OBSŁUGI PRAWNEJ ORAZ ZESPÓŁ RADCÓW PRAWNYCH</w:t>
      </w:r>
    </w:p>
    <w:p w:rsidR="00E96768" w:rsidRPr="00E00B35" w:rsidRDefault="00E96768" w:rsidP="00E00B35">
      <w:pPr>
        <w:spacing w:after="0" w:line="312" w:lineRule="auto"/>
        <w:rPr>
          <w:szCs w:val="20"/>
        </w:rPr>
      </w:pPr>
      <w:r w:rsidRPr="00E00B35">
        <w:rPr>
          <w:szCs w:val="20"/>
        </w:rPr>
        <w:t xml:space="preserve">Sposób funkcjonowania obsługi prawnej w 2020 r. regulowało zarządzenie nr K/5/20 </w:t>
      </w:r>
      <w:r w:rsidRPr="00E00B35">
        <w:rPr>
          <w:szCs w:val="20"/>
        </w:rPr>
        <w:br/>
        <w:t>z dnia 11 lutego 2020 r., które określało: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zakres oraz tryb obsługi prawnej świadczonej na rzecz komórek organizacyjnych Urzędu;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funkcjonowanie zastępstwa procesowego;</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tryb zlecania usług prawnych kancelariom zewnętrznym.</w:t>
      </w:r>
      <w:r w:rsidR="002D2715" w:rsidRPr="00E00B35">
        <w:rPr>
          <w:szCs w:val="20"/>
        </w:rPr>
        <w:br/>
      </w:r>
    </w:p>
    <w:p w:rsidR="00E96768" w:rsidRPr="00E00B35" w:rsidRDefault="00E96768" w:rsidP="00E00B35">
      <w:pPr>
        <w:spacing w:after="0" w:line="312" w:lineRule="auto"/>
        <w:rPr>
          <w:szCs w:val="20"/>
        </w:rPr>
      </w:pPr>
      <w:r w:rsidRPr="00E00B35">
        <w:rPr>
          <w:szCs w:val="20"/>
        </w:rPr>
        <w:t xml:space="preserve">Zadania realizowane przez radców prawnych obejmowały obsługę prawną Urzędu </w:t>
      </w:r>
      <w:r w:rsidRPr="00E00B35">
        <w:rPr>
          <w:szCs w:val="20"/>
        </w:rPr>
        <w:br/>
        <w:t>i organów Miasta, a w szczególności: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zastępstwo procesowe w postępowaniach przed sądami powszechnymi i sądami administracyjnymi oraz przed innymi organami;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opiniowanie projektów aktów prawa miejscowego i innych aktów normatywnych, umów i porozumień;</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udzielanie opinii prawnych, wyjaśnień oraz konsultacji;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nadzór nad formalnoprawną stroną procedur przetargowych.</w:t>
      </w:r>
    </w:p>
    <w:p w:rsidR="00E96768" w:rsidRPr="00E00B35" w:rsidRDefault="00E96768" w:rsidP="00E00B35">
      <w:pPr>
        <w:spacing w:after="0" w:line="312" w:lineRule="auto"/>
        <w:ind w:left="284"/>
        <w:rPr>
          <w:szCs w:val="20"/>
        </w:rPr>
      </w:pPr>
    </w:p>
    <w:p w:rsidR="00E96768" w:rsidRPr="00E00B35" w:rsidRDefault="00E96768" w:rsidP="00E00B35">
      <w:pPr>
        <w:spacing w:after="0" w:line="312" w:lineRule="auto"/>
        <w:rPr>
          <w:szCs w:val="20"/>
        </w:rPr>
      </w:pPr>
      <w:r w:rsidRPr="00E00B35">
        <w:rPr>
          <w:szCs w:val="20"/>
        </w:rPr>
        <w:t>Przed sądami powszechnymi prowadzono 2 563 spraw, z których 1 396 zostało wszczętych w 2020 r.</w:t>
      </w:r>
    </w:p>
    <w:p w:rsidR="00E96768" w:rsidRPr="00E00B35" w:rsidRDefault="00E96768" w:rsidP="00E00B35">
      <w:pPr>
        <w:spacing w:after="0" w:line="312" w:lineRule="auto"/>
        <w:rPr>
          <w:szCs w:val="20"/>
        </w:rPr>
      </w:pPr>
    </w:p>
    <w:p w:rsidR="00E96768" w:rsidRPr="00E00B35" w:rsidRDefault="00E96768" w:rsidP="00E00B35">
      <w:pPr>
        <w:pStyle w:val="Nagwek5"/>
        <w:rPr>
          <w:szCs w:val="20"/>
        </w:rPr>
      </w:pPr>
      <w:r w:rsidRPr="00E00B35">
        <w:rPr>
          <w:szCs w:val="20"/>
        </w:rPr>
        <w:t>SPRAWY PRZED SĄDAMI CYWILNYMI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14"/>
        <w:gridCol w:w="1701"/>
        <w:gridCol w:w="1559"/>
        <w:gridCol w:w="1418"/>
        <w:gridCol w:w="1276"/>
      </w:tblGrid>
      <w:tr w:rsidR="00E96768" w:rsidRPr="00E00B35" w:rsidTr="00E96768">
        <w:trPr>
          <w:trHeight w:val="598"/>
        </w:trPr>
        <w:tc>
          <w:tcPr>
            <w:tcW w:w="3614"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Miasto jako powód</w:t>
            </w:r>
          </w:p>
        </w:tc>
        <w:tc>
          <w:tcPr>
            <w:tcW w:w="1701"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2020 rok</w:t>
            </w:r>
          </w:p>
        </w:tc>
        <w:tc>
          <w:tcPr>
            <w:tcW w:w="1559"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2019 rok</w:t>
            </w:r>
          </w:p>
        </w:tc>
        <w:tc>
          <w:tcPr>
            <w:tcW w:w="1418"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2018 rok</w:t>
            </w:r>
          </w:p>
        </w:tc>
        <w:tc>
          <w:tcPr>
            <w:tcW w:w="1276"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2017 rok</w:t>
            </w:r>
          </w:p>
        </w:tc>
      </w:tr>
      <w:tr w:rsidR="00E96768" w:rsidRPr="00E00B35" w:rsidTr="00E96768">
        <w:tc>
          <w:tcPr>
            <w:tcW w:w="3614" w:type="dxa"/>
          </w:tcPr>
          <w:p w:rsidR="00E96768" w:rsidRPr="00E00B35" w:rsidRDefault="00E96768" w:rsidP="00E00B35">
            <w:pPr>
              <w:spacing w:after="0" w:line="312" w:lineRule="auto"/>
              <w:rPr>
                <w:szCs w:val="20"/>
              </w:rPr>
            </w:pPr>
            <w:r w:rsidRPr="00E00B35">
              <w:rPr>
                <w:szCs w:val="20"/>
              </w:rPr>
              <w:t>o zapłatę</w:t>
            </w:r>
          </w:p>
        </w:tc>
        <w:tc>
          <w:tcPr>
            <w:tcW w:w="1701" w:type="dxa"/>
          </w:tcPr>
          <w:p w:rsidR="00E96768" w:rsidRPr="00E00B35" w:rsidRDefault="00E96768" w:rsidP="00E00B35">
            <w:pPr>
              <w:spacing w:after="0" w:line="312" w:lineRule="auto"/>
              <w:rPr>
                <w:szCs w:val="20"/>
              </w:rPr>
            </w:pPr>
            <w:r w:rsidRPr="00E00B35">
              <w:rPr>
                <w:szCs w:val="20"/>
              </w:rPr>
              <w:t>878</w:t>
            </w:r>
          </w:p>
        </w:tc>
        <w:tc>
          <w:tcPr>
            <w:tcW w:w="1559" w:type="dxa"/>
          </w:tcPr>
          <w:p w:rsidR="00E96768" w:rsidRPr="00E00B35" w:rsidRDefault="00E96768" w:rsidP="00E00B35">
            <w:pPr>
              <w:spacing w:after="0" w:line="312" w:lineRule="auto"/>
              <w:rPr>
                <w:szCs w:val="20"/>
              </w:rPr>
            </w:pPr>
            <w:r w:rsidRPr="00E00B35">
              <w:rPr>
                <w:szCs w:val="20"/>
              </w:rPr>
              <w:t>1 143</w:t>
            </w:r>
          </w:p>
        </w:tc>
        <w:tc>
          <w:tcPr>
            <w:tcW w:w="1418" w:type="dxa"/>
          </w:tcPr>
          <w:p w:rsidR="00E96768" w:rsidRPr="00E00B35" w:rsidRDefault="00E96768" w:rsidP="00E00B35">
            <w:pPr>
              <w:spacing w:after="0" w:line="312" w:lineRule="auto"/>
              <w:rPr>
                <w:szCs w:val="20"/>
              </w:rPr>
            </w:pPr>
            <w:r w:rsidRPr="00E00B35">
              <w:rPr>
                <w:szCs w:val="20"/>
              </w:rPr>
              <w:t>1 374</w:t>
            </w:r>
          </w:p>
        </w:tc>
        <w:tc>
          <w:tcPr>
            <w:tcW w:w="1276" w:type="dxa"/>
          </w:tcPr>
          <w:p w:rsidR="00E96768" w:rsidRPr="00E00B35" w:rsidRDefault="00E96768" w:rsidP="00E00B35">
            <w:pPr>
              <w:spacing w:after="0" w:line="312" w:lineRule="auto"/>
              <w:rPr>
                <w:szCs w:val="20"/>
              </w:rPr>
            </w:pPr>
            <w:r w:rsidRPr="00E00B35">
              <w:rPr>
                <w:szCs w:val="20"/>
              </w:rPr>
              <w:t>1 130</w:t>
            </w:r>
          </w:p>
        </w:tc>
      </w:tr>
      <w:tr w:rsidR="00E96768" w:rsidRPr="00E00B35" w:rsidTr="00E96768">
        <w:tc>
          <w:tcPr>
            <w:tcW w:w="3614" w:type="dxa"/>
          </w:tcPr>
          <w:p w:rsidR="00E96768" w:rsidRPr="00E00B35" w:rsidRDefault="00E96768" w:rsidP="00E00B35">
            <w:pPr>
              <w:spacing w:after="0" w:line="312" w:lineRule="auto"/>
              <w:rPr>
                <w:szCs w:val="20"/>
              </w:rPr>
            </w:pPr>
            <w:r w:rsidRPr="00E00B35">
              <w:rPr>
                <w:szCs w:val="20"/>
              </w:rPr>
              <w:t>o eksmisję</w:t>
            </w:r>
          </w:p>
        </w:tc>
        <w:tc>
          <w:tcPr>
            <w:tcW w:w="1701" w:type="dxa"/>
          </w:tcPr>
          <w:p w:rsidR="00E96768" w:rsidRPr="00E00B35" w:rsidRDefault="00E96768" w:rsidP="00E00B35">
            <w:pPr>
              <w:spacing w:after="0" w:line="312" w:lineRule="auto"/>
              <w:rPr>
                <w:szCs w:val="20"/>
              </w:rPr>
            </w:pPr>
            <w:r w:rsidRPr="00E00B35">
              <w:rPr>
                <w:szCs w:val="20"/>
              </w:rPr>
              <w:t>235</w:t>
            </w:r>
          </w:p>
        </w:tc>
        <w:tc>
          <w:tcPr>
            <w:tcW w:w="1559" w:type="dxa"/>
          </w:tcPr>
          <w:p w:rsidR="00E96768" w:rsidRPr="00E00B35" w:rsidRDefault="00E96768" w:rsidP="00E00B35">
            <w:pPr>
              <w:spacing w:after="0" w:line="312" w:lineRule="auto"/>
              <w:rPr>
                <w:szCs w:val="20"/>
              </w:rPr>
            </w:pPr>
            <w:r w:rsidRPr="00E00B35">
              <w:rPr>
                <w:szCs w:val="20"/>
              </w:rPr>
              <w:t>364</w:t>
            </w:r>
          </w:p>
        </w:tc>
        <w:tc>
          <w:tcPr>
            <w:tcW w:w="1418" w:type="dxa"/>
          </w:tcPr>
          <w:p w:rsidR="00E96768" w:rsidRPr="00E00B35" w:rsidRDefault="00E96768" w:rsidP="00E00B35">
            <w:pPr>
              <w:spacing w:after="0" w:line="312" w:lineRule="auto"/>
              <w:rPr>
                <w:szCs w:val="20"/>
              </w:rPr>
            </w:pPr>
            <w:r w:rsidRPr="00E00B35">
              <w:rPr>
                <w:szCs w:val="20"/>
              </w:rPr>
              <w:t>418</w:t>
            </w:r>
          </w:p>
        </w:tc>
        <w:tc>
          <w:tcPr>
            <w:tcW w:w="1276" w:type="dxa"/>
          </w:tcPr>
          <w:p w:rsidR="00E96768" w:rsidRPr="00E00B35" w:rsidRDefault="00E96768" w:rsidP="00E00B35">
            <w:pPr>
              <w:spacing w:after="0" w:line="312" w:lineRule="auto"/>
              <w:rPr>
                <w:szCs w:val="20"/>
              </w:rPr>
            </w:pPr>
            <w:r w:rsidRPr="00E00B35">
              <w:rPr>
                <w:szCs w:val="20"/>
              </w:rPr>
              <w:t>570</w:t>
            </w:r>
          </w:p>
        </w:tc>
      </w:tr>
      <w:tr w:rsidR="00E96768" w:rsidRPr="00E00B35" w:rsidTr="00E96768">
        <w:tc>
          <w:tcPr>
            <w:tcW w:w="3614" w:type="dxa"/>
          </w:tcPr>
          <w:p w:rsidR="00E96768" w:rsidRPr="00E00B35" w:rsidRDefault="00E96768" w:rsidP="00E00B35">
            <w:pPr>
              <w:spacing w:after="0" w:line="312" w:lineRule="auto"/>
              <w:rPr>
                <w:szCs w:val="20"/>
              </w:rPr>
            </w:pPr>
            <w:r w:rsidRPr="00E00B35">
              <w:rPr>
                <w:szCs w:val="20"/>
              </w:rPr>
              <w:t>o stwierdzenie nabycia spadku</w:t>
            </w:r>
          </w:p>
        </w:tc>
        <w:tc>
          <w:tcPr>
            <w:tcW w:w="1701" w:type="dxa"/>
          </w:tcPr>
          <w:p w:rsidR="00E96768" w:rsidRPr="00E00B35" w:rsidRDefault="00E96768" w:rsidP="00E00B35">
            <w:pPr>
              <w:spacing w:after="0" w:line="312" w:lineRule="auto"/>
              <w:rPr>
                <w:szCs w:val="20"/>
              </w:rPr>
            </w:pPr>
            <w:r w:rsidRPr="00E00B35">
              <w:rPr>
                <w:szCs w:val="20"/>
              </w:rPr>
              <w:t>80</w:t>
            </w:r>
          </w:p>
        </w:tc>
        <w:tc>
          <w:tcPr>
            <w:tcW w:w="1559" w:type="dxa"/>
          </w:tcPr>
          <w:p w:rsidR="00E96768" w:rsidRPr="00E00B35" w:rsidRDefault="00E96768" w:rsidP="00E00B35">
            <w:pPr>
              <w:spacing w:after="0" w:line="312" w:lineRule="auto"/>
              <w:rPr>
                <w:szCs w:val="20"/>
              </w:rPr>
            </w:pPr>
            <w:r w:rsidRPr="00E00B35">
              <w:rPr>
                <w:szCs w:val="20"/>
              </w:rPr>
              <w:t>60</w:t>
            </w:r>
          </w:p>
        </w:tc>
        <w:tc>
          <w:tcPr>
            <w:tcW w:w="1418" w:type="dxa"/>
          </w:tcPr>
          <w:p w:rsidR="00E96768" w:rsidRPr="00E00B35" w:rsidRDefault="00E96768" w:rsidP="00E00B35">
            <w:pPr>
              <w:spacing w:after="0" w:line="312" w:lineRule="auto"/>
              <w:rPr>
                <w:szCs w:val="20"/>
              </w:rPr>
            </w:pPr>
            <w:r w:rsidRPr="00E00B35">
              <w:rPr>
                <w:szCs w:val="20"/>
              </w:rPr>
              <w:t>107</w:t>
            </w:r>
          </w:p>
        </w:tc>
        <w:tc>
          <w:tcPr>
            <w:tcW w:w="1276" w:type="dxa"/>
          </w:tcPr>
          <w:p w:rsidR="00E96768" w:rsidRPr="00E00B35" w:rsidRDefault="00E96768" w:rsidP="00E00B35">
            <w:pPr>
              <w:spacing w:after="0" w:line="312" w:lineRule="auto"/>
              <w:rPr>
                <w:szCs w:val="20"/>
              </w:rPr>
            </w:pPr>
            <w:r w:rsidRPr="00E00B35">
              <w:rPr>
                <w:szCs w:val="20"/>
              </w:rPr>
              <w:t>68</w:t>
            </w:r>
          </w:p>
        </w:tc>
      </w:tr>
      <w:tr w:rsidR="00E96768" w:rsidRPr="00E00B35" w:rsidTr="00E96768">
        <w:tc>
          <w:tcPr>
            <w:tcW w:w="3614" w:type="dxa"/>
          </w:tcPr>
          <w:p w:rsidR="00E96768" w:rsidRPr="00E00B35" w:rsidRDefault="00E96768" w:rsidP="00E00B35">
            <w:pPr>
              <w:spacing w:after="0" w:line="312" w:lineRule="auto"/>
              <w:rPr>
                <w:szCs w:val="20"/>
              </w:rPr>
            </w:pPr>
            <w:r w:rsidRPr="00E00B35">
              <w:rPr>
                <w:szCs w:val="20"/>
              </w:rPr>
              <w:t>o przepadek pojazdu</w:t>
            </w:r>
          </w:p>
        </w:tc>
        <w:tc>
          <w:tcPr>
            <w:tcW w:w="1701" w:type="dxa"/>
          </w:tcPr>
          <w:p w:rsidR="00E96768" w:rsidRPr="00E00B35" w:rsidRDefault="00E96768" w:rsidP="00E00B35">
            <w:pPr>
              <w:spacing w:after="0" w:line="312" w:lineRule="auto"/>
              <w:rPr>
                <w:szCs w:val="20"/>
              </w:rPr>
            </w:pPr>
            <w:r w:rsidRPr="00E00B35">
              <w:rPr>
                <w:szCs w:val="20"/>
              </w:rPr>
              <w:t>34</w:t>
            </w:r>
          </w:p>
        </w:tc>
        <w:tc>
          <w:tcPr>
            <w:tcW w:w="1559" w:type="dxa"/>
          </w:tcPr>
          <w:p w:rsidR="00E96768" w:rsidRPr="00E00B35" w:rsidRDefault="00E96768" w:rsidP="00E00B35">
            <w:pPr>
              <w:spacing w:after="0" w:line="312" w:lineRule="auto"/>
              <w:rPr>
                <w:szCs w:val="20"/>
              </w:rPr>
            </w:pPr>
            <w:r w:rsidRPr="00E00B35">
              <w:rPr>
                <w:szCs w:val="20"/>
              </w:rPr>
              <w:t>40</w:t>
            </w:r>
          </w:p>
        </w:tc>
        <w:tc>
          <w:tcPr>
            <w:tcW w:w="1418" w:type="dxa"/>
          </w:tcPr>
          <w:p w:rsidR="00E96768" w:rsidRPr="00E00B35" w:rsidRDefault="00E96768" w:rsidP="00E00B35">
            <w:pPr>
              <w:spacing w:after="0" w:line="312" w:lineRule="auto"/>
              <w:rPr>
                <w:szCs w:val="20"/>
              </w:rPr>
            </w:pPr>
            <w:r w:rsidRPr="00E00B35">
              <w:rPr>
                <w:szCs w:val="20"/>
              </w:rPr>
              <w:t>73</w:t>
            </w:r>
          </w:p>
        </w:tc>
        <w:tc>
          <w:tcPr>
            <w:tcW w:w="1276" w:type="dxa"/>
          </w:tcPr>
          <w:p w:rsidR="00E96768" w:rsidRPr="00E00B35" w:rsidRDefault="00E96768" w:rsidP="00E00B35">
            <w:pPr>
              <w:spacing w:after="0" w:line="312" w:lineRule="auto"/>
              <w:rPr>
                <w:szCs w:val="20"/>
              </w:rPr>
            </w:pPr>
            <w:r w:rsidRPr="00E00B35">
              <w:rPr>
                <w:szCs w:val="20"/>
              </w:rPr>
              <w:t>205</w:t>
            </w:r>
          </w:p>
        </w:tc>
      </w:tr>
      <w:tr w:rsidR="00E96768" w:rsidRPr="00E00B35" w:rsidTr="00E96768">
        <w:tc>
          <w:tcPr>
            <w:tcW w:w="3614" w:type="dxa"/>
          </w:tcPr>
          <w:p w:rsidR="00E96768" w:rsidRPr="00E00B35" w:rsidRDefault="00E96768" w:rsidP="00E00B35">
            <w:pPr>
              <w:spacing w:after="0" w:line="312" w:lineRule="auto"/>
              <w:rPr>
                <w:szCs w:val="20"/>
              </w:rPr>
            </w:pPr>
            <w:r w:rsidRPr="00E00B35">
              <w:rPr>
                <w:szCs w:val="20"/>
              </w:rPr>
              <w:t>inne sprawy</w:t>
            </w:r>
          </w:p>
        </w:tc>
        <w:tc>
          <w:tcPr>
            <w:tcW w:w="1701" w:type="dxa"/>
          </w:tcPr>
          <w:p w:rsidR="00E96768" w:rsidRPr="00E00B35" w:rsidRDefault="00E96768" w:rsidP="00E00B35">
            <w:pPr>
              <w:spacing w:after="0" w:line="312" w:lineRule="auto"/>
              <w:rPr>
                <w:szCs w:val="20"/>
              </w:rPr>
            </w:pPr>
            <w:r w:rsidRPr="00E00B35">
              <w:rPr>
                <w:szCs w:val="20"/>
              </w:rPr>
              <w:t>135</w:t>
            </w:r>
          </w:p>
        </w:tc>
        <w:tc>
          <w:tcPr>
            <w:tcW w:w="1559" w:type="dxa"/>
          </w:tcPr>
          <w:p w:rsidR="00E96768" w:rsidRPr="00E00B35" w:rsidRDefault="00E96768" w:rsidP="00E00B35">
            <w:pPr>
              <w:spacing w:after="0" w:line="312" w:lineRule="auto"/>
              <w:rPr>
                <w:szCs w:val="20"/>
              </w:rPr>
            </w:pPr>
            <w:r w:rsidRPr="00E00B35">
              <w:rPr>
                <w:szCs w:val="20"/>
              </w:rPr>
              <w:t>80</w:t>
            </w:r>
          </w:p>
        </w:tc>
        <w:tc>
          <w:tcPr>
            <w:tcW w:w="1418" w:type="dxa"/>
          </w:tcPr>
          <w:p w:rsidR="00E96768" w:rsidRPr="00E00B35" w:rsidRDefault="00E96768" w:rsidP="00E00B35">
            <w:pPr>
              <w:spacing w:after="0" w:line="312" w:lineRule="auto"/>
              <w:rPr>
                <w:szCs w:val="20"/>
              </w:rPr>
            </w:pPr>
            <w:r w:rsidRPr="00E00B35">
              <w:rPr>
                <w:szCs w:val="20"/>
              </w:rPr>
              <w:t>245</w:t>
            </w:r>
          </w:p>
        </w:tc>
        <w:tc>
          <w:tcPr>
            <w:tcW w:w="1276" w:type="dxa"/>
          </w:tcPr>
          <w:p w:rsidR="00E96768" w:rsidRPr="00E00B35" w:rsidRDefault="00E96768" w:rsidP="00E00B35">
            <w:pPr>
              <w:spacing w:after="0" w:line="312" w:lineRule="auto"/>
              <w:rPr>
                <w:szCs w:val="20"/>
              </w:rPr>
            </w:pPr>
            <w:r w:rsidRPr="00E00B35">
              <w:rPr>
                <w:szCs w:val="20"/>
              </w:rPr>
              <w:t>58</w:t>
            </w:r>
          </w:p>
        </w:tc>
      </w:tr>
      <w:tr w:rsidR="00E96768" w:rsidRPr="00E00B35" w:rsidTr="00E96768">
        <w:tc>
          <w:tcPr>
            <w:tcW w:w="3614" w:type="dxa"/>
          </w:tcPr>
          <w:p w:rsidR="00E96768" w:rsidRPr="00E00B35" w:rsidRDefault="00E96768" w:rsidP="00E00B35">
            <w:pPr>
              <w:spacing w:after="0" w:line="312" w:lineRule="auto"/>
              <w:rPr>
                <w:b/>
                <w:szCs w:val="20"/>
              </w:rPr>
            </w:pPr>
            <w:r w:rsidRPr="00E00B35">
              <w:rPr>
                <w:szCs w:val="20"/>
              </w:rPr>
              <w:t>Razem</w:t>
            </w:r>
          </w:p>
        </w:tc>
        <w:tc>
          <w:tcPr>
            <w:tcW w:w="1701" w:type="dxa"/>
          </w:tcPr>
          <w:p w:rsidR="00E96768" w:rsidRPr="00E00B35" w:rsidRDefault="00E96768" w:rsidP="00E00B35">
            <w:pPr>
              <w:spacing w:after="0" w:line="312" w:lineRule="auto"/>
              <w:rPr>
                <w:bCs/>
                <w:szCs w:val="20"/>
              </w:rPr>
            </w:pPr>
            <w:r w:rsidRPr="00E00B35">
              <w:rPr>
                <w:bCs/>
                <w:szCs w:val="20"/>
              </w:rPr>
              <w:t>1 362</w:t>
            </w:r>
          </w:p>
        </w:tc>
        <w:tc>
          <w:tcPr>
            <w:tcW w:w="1559" w:type="dxa"/>
          </w:tcPr>
          <w:p w:rsidR="00E96768" w:rsidRPr="00E00B35" w:rsidRDefault="00E96768" w:rsidP="00E00B35">
            <w:pPr>
              <w:spacing w:after="0" w:line="312" w:lineRule="auto"/>
              <w:rPr>
                <w:bCs/>
                <w:szCs w:val="20"/>
              </w:rPr>
            </w:pPr>
            <w:r w:rsidRPr="00E00B35">
              <w:rPr>
                <w:bCs/>
                <w:szCs w:val="20"/>
              </w:rPr>
              <w:t>1 687</w:t>
            </w:r>
          </w:p>
        </w:tc>
        <w:tc>
          <w:tcPr>
            <w:tcW w:w="1418" w:type="dxa"/>
          </w:tcPr>
          <w:p w:rsidR="00E96768" w:rsidRPr="00E00B35" w:rsidRDefault="00E96768" w:rsidP="00E00B35">
            <w:pPr>
              <w:spacing w:after="0" w:line="312" w:lineRule="auto"/>
              <w:rPr>
                <w:bCs/>
                <w:szCs w:val="20"/>
              </w:rPr>
            </w:pPr>
            <w:r w:rsidRPr="00E00B35">
              <w:rPr>
                <w:bCs/>
                <w:szCs w:val="20"/>
              </w:rPr>
              <w:t>2 217</w:t>
            </w:r>
          </w:p>
        </w:tc>
        <w:tc>
          <w:tcPr>
            <w:tcW w:w="1276" w:type="dxa"/>
          </w:tcPr>
          <w:p w:rsidR="00E96768" w:rsidRPr="00E00B35" w:rsidRDefault="00E96768" w:rsidP="00E00B35">
            <w:pPr>
              <w:spacing w:after="0" w:line="312" w:lineRule="auto"/>
              <w:rPr>
                <w:bCs/>
                <w:szCs w:val="20"/>
              </w:rPr>
            </w:pPr>
            <w:r w:rsidRPr="00E00B35">
              <w:rPr>
                <w:bCs/>
                <w:szCs w:val="20"/>
              </w:rPr>
              <w:t>2 031</w:t>
            </w:r>
          </w:p>
        </w:tc>
      </w:tr>
    </w:tbl>
    <w:p w:rsidR="00E96768" w:rsidRPr="00E00B35" w:rsidRDefault="00E96768" w:rsidP="00E00B35">
      <w:pPr>
        <w:spacing w:after="0" w:line="312" w:lineRule="auto"/>
        <w:rPr>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4"/>
        <w:gridCol w:w="1701"/>
        <w:gridCol w:w="1559"/>
        <w:gridCol w:w="1418"/>
        <w:gridCol w:w="1276"/>
      </w:tblGrid>
      <w:tr w:rsidR="00E96768" w:rsidRPr="00E00B35" w:rsidTr="00E96768">
        <w:trPr>
          <w:trHeight w:val="522"/>
          <w:tblHeader/>
        </w:trPr>
        <w:tc>
          <w:tcPr>
            <w:tcW w:w="3544"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Miasto jako pozwany</w:t>
            </w:r>
          </w:p>
        </w:tc>
        <w:tc>
          <w:tcPr>
            <w:tcW w:w="1701"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2020 rok</w:t>
            </w:r>
          </w:p>
        </w:tc>
        <w:tc>
          <w:tcPr>
            <w:tcW w:w="1559"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2019 rok</w:t>
            </w:r>
          </w:p>
        </w:tc>
        <w:tc>
          <w:tcPr>
            <w:tcW w:w="1418"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2018 rok</w:t>
            </w:r>
          </w:p>
        </w:tc>
        <w:tc>
          <w:tcPr>
            <w:tcW w:w="1276"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2017 rok</w:t>
            </w:r>
          </w:p>
        </w:tc>
      </w:tr>
      <w:tr w:rsidR="00E96768" w:rsidRPr="00E00B35" w:rsidTr="00E96768">
        <w:tc>
          <w:tcPr>
            <w:tcW w:w="3544" w:type="dxa"/>
          </w:tcPr>
          <w:p w:rsidR="00E96768" w:rsidRPr="00E00B35" w:rsidRDefault="00E96768" w:rsidP="00E00B35">
            <w:pPr>
              <w:spacing w:after="0" w:line="312" w:lineRule="auto"/>
              <w:rPr>
                <w:szCs w:val="20"/>
              </w:rPr>
            </w:pPr>
            <w:r w:rsidRPr="00E00B35">
              <w:rPr>
                <w:szCs w:val="20"/>
              </w:rPr>
              <w:t>o ustalenie</w:t>
            </w:r>
          </w:p>
        </w:tc>
        <w:tc>
          <w:tcPr>
            <w:tcW w:w="1701" w:type="dxa"/>
          </w:tcPr>
          <w:p w:rsidR="00E96768" w:rsidRPr="00E00B35" w:rsidRDefault="00E96768" w:rsidP="00E00B35">
            <w:pPr>
              <w:spacing w:after="0" w:line="312" w:lineRule="auto"/>
              <w:rPr>
                <w:szCs w:val="20"/>
              </w:rPr>
            </w:pPr>
            <w:r w:rsidRPr="00E00B35">
              <w:rPr>
                <w:szCs w:val="20"/>
              </w:rPr>
              <w:t>119</w:t>
            </w:r>
          </w:p>
        </w:tc>
        <w:tc>
          <w:tcPr>
            <w:tcW w:w="1559" w:type="dxa"/>
          </w:tcPr>
          <w:p w:rsidR="00E96768" w:rsidRPr="00E00B35" w:rsidRDefault="00E96768" w:rsidP="00E00B35">
            <w:pPr>
              <w:spacing w:after="0" w:line="312" w:lineRule="auto"/>
              <w:rPr>
                <w:szCs w:val="20"/>
              </w:rPr>
            </w:pPr>
            <w:r w:rsidRPr="00E00B35">
              <w:rPr>
                <w:szCs w:val="20"/>
              </w:rPr>
              <w:t>154</w:t>
            </w:r>
          </w:p>
        </w:tc>
        <w:tc>
          <w:tcPr>
            <w:tcW w:w="1418" w:type="dxa"/>
          </w:tcPr>
          <w:p w:rsidR="00E96768" w:rsidRPr="00E00B35" w:rsidRDefault="00E96768" w:rsidP="00E00B35">
            <w:pPr>
              <w:spacing w:after="0" w:line="312" w:lineRule="auto"/>
              <w:rPr>
                <w:szCs w:val="20"/>
              </w:rPr>
            </w:pPr>
            <w:r w:rsidRPr="00E00B35">
              <w:rPr>
                <w:szCs w:val="20"/>
              </w:rPr>
              <w:t>180</w:t>
            </w:r>
          </w:p>
        </w:tc>
        <w:tc>
          <w:tcPr>
            <w:tcW w:w="1276" w:type="dxa"/>
          </w:tcPr>
          <w:p w:rsidR="00E96768" w:rsidRPr="00E00B35" w:rsidRDefault="00E96768" w:rsidP="00E00B35">
            <w:pPr>
              <w:spacing w:after="0" w:line="312" w:lineRule="auto"/>
              <w:rPr>
                <w:szCs w:val="20"/>
              </w:rPr>
            </w:pPr>
            <w:r w:rsidRPr="00E00B35">
              <w:rPr>
                <w:szCs w:val="20"/>
              </w:rPr>
              <w:t>122</w:t>
            </w:r>
          </w:p>
        </w:tc>
      </w:tr>
      <w:tr w:rsidR="00E96768" w:rsidRPr="00E00B35" w:rsidTr="00E96768">
        <w:tc>
          <w:tcPr>
            <w:tcW w:w="3544" w:type="dxa"/>
          </w:tcPr>
          <w:p w:rsidR="00E96768" w:rsidRPr="00E00B35" w:rsidRDefault="00E96768" w:rsidP="00E00B35">
            <w:pPr>
              <w:spacing w:after="0" w:line="312" w:lineRule="auto"/>
              <w:rPr>
                <w:szCs w:val="20"/>
              </w:rPr>
            </w:pPr>
            <w:r w:rsidRPr="00E00B35">
              <w:rPr>
                <w:szCs w:val="20"/>
              </w:rPr>
              <w:t>o stwierdzenie nabycia spadku-sprawy przy udziale Gminy</w:t>
            </w:r>
          </w:p>
        </w:tc>
        <w:tc>
          <w:tcPr>
            <w:tcW w:w="1701" w:type="dxa"/>
          </w:tcPr>
          <w:p w:rsidR="00E96768" w:rsidRPr="00E00B35" w:rsidRDefault="00E96768" w:rsidP="00E00B35">
            <w:pPr>
              <w:spacing w:after="0" w:line="312" w:lineRule="auto"/>
              <w:rPr>
                <w:szCs w:val="20"/>
              </w:rPr>
            </w:pPr>
            <w:r w:rsidRPr="00E00B35">
              <w:rPr>
                <w:szCs w:val="20"/>
              </w:rPr>
              <w:t>87</w:t>
            </w:r>
          </w:p>
        </w:tc>
        <w:tc>
          <w:tcPr>
            <w:tcW w:w="1559" w:type="dxa"/>
          </w:tcPr>
          <w:p w:rsidR="00E96768" w:rsidRPr="00E00B35" w:rsidRDefault="00E96768" w:rsidP="00E00B35">
            <w:pPr>
              <w:spacing w:after="0" w:line="312" w:lineRule="auto"/>
              <w:rPr>
                <w:szCs w:val="20"/>
              </w:rPr>
            </w:pPr>
            <w:r w:rsidRPr="00E00B35">
              <w:rPr>
                <w:szCs w:val="20"/>
              </w:rPr>
              <w:t>57</w:t>
            </w:r>
          </w:p>
        </w:tc>
        <w:tc>
          <w:tcPr>
            <w:tcW w:w="1418" w:type="dxa"/>
          </w:tcPr>
          <w:p w:rsidR="00E96768" w:rsidRPr="00E00B35" w:rsidRDefault="00E96768" w:rsidP="00E00B35">
            <w:pPr>
              <w:spacing w:after="0" w:line="312" w:lineRule="auto"/>
              <w:rPr>
                <w:szCs w:val="20"/>
              </w:rPr>
            </w:pPr>
            <w:r w:rsidRPr="00E00B35">
              <w:rPr>
                <w:szCs w:val="20"/>
              </w:rPr>
              <w:t>89</w:t>
            </w:r>
          </w:p>
        </w:tc>
        <w:tc>
          <w:tcPr>
            <w:tcW w:w="1276" w:type="dxa"/>
          </w:tcPr>
          <w:p w:rsidR="00E96768" w:rsidRPr="00E00B35" w:rsidRDefault="00E96768" w:rsidP="00E00B35">
            <w:pPr>
              <w:spacing w:after="0" w:line="312" w:lineRule="auto"/>
              <w:rPr>
                <w:szCs w:val="20"/>
              </w:rPr>
            </w:pPr>
            <w:r w:rsidRPr="00E00B35">
              <w:rPr>
                <w:szCs w:val="20"/>
              </w:rPr>
              <w:t>107</w:t>
            </w:r>
          </w:p>
        </w:tc>
      </w:tr>
      <w:tr w:rsidR="00E96768" w:rsidRPr="00E00B35" w:rsidTr="00E96768">
        <w:tc>
          <w:tcPr>
            <w:tcW w:w="3544" w:type="dxa"/>
          </w:tcPr>
          <w:p w:rsidR="00E96768" w:rsidRPr="00E00B35" w:rsidRDefault="00E96768" w:rsidP="00E00B35">
            <w:pPr>
              <w:spacing w:after="0" w:line="312" w:lineRule="auto"/>
              <w:rPr>
                <w:szCs w:val="20"/>
              </w:rPr>
            </w:pPr>
            <w:r w:rsidRPr="00E00B35">
              <w:rPr>
                <w:szCs w:val="20"/>
              </w:rPr>
              <w:t xml:space="preserve">o zapłatę z tytułu niedostarczenia </w:t>
            </w:r>
            <w:r w:rsidRPr="00E00B35">
              <w:rPr>
                <w:szCs w:val="20"/>
              </w:rPr>
              <w:lastRenderedPageBreak/>
              <w:t>lokalu socjalnego</w:t>
            </w:r>
          </w:p>
        </w:tc>
        <w:tc>
          <w:tcPr>
            <w:tcW w:w="1701" w:type="dxa"/>
          </w:tcPr>
          <w:p w:rsidR="00E96768" w:rsidRPr="00E00B35" w:rsidRDefault="00E96768" w:rsidP="00E00B35">
            <w:pPr>
              <w:spacing w:after="0" w:line="312" w:lineRule="auto"/>
              <w:rPr>
                <w:szCs w:val="20"/>
              </w:rPr>
            </w:pPr>
            <w:r w:rsidRPr="00E00B35">
              <w:rPr>
                <w:szCs w:val="20"/>
              </w:rPr>
              <w:lastRenderedPageBreak/>
              <w:t>148</w:t>
            </w:r>
          </w:p>
        </w:tc>
        <w:tc>
          <w:tcPr>
            <w:tcW w:w="1559" w:type="dxa"/>
          </w:tcPr>
          <w:p w:rsidR="00E96768" w:rsidRPr="00E00B35" w:rsidRDefault="00E96768" w:rsidP="00E00B35">
            <w:pPr>
              <w:spacing w:after="0" w:line="312" w:lineRule="auto"/>
              <w:rPr>
                <w:szCs w:val="20"/>
              </w:rPr>
            </w:pPr>
            <w:r w:rsidRPr="00E00B35">
              <w:rPr>
                <w:szCs w:val="20"/>
              </w:rPr>
              <w:t>85</w:t>
            </w:r>
          </w:p>
        </w:tc>
        <w:tc>
          <w:tcPr>
            <w:tcW w:w="1418" w:type="dxa"/>
          </w:tcPr>
          <w:p w:rsidR="00E96768" w:rsidRPr="00E00B35" w:rsidRDefault="00E96768" w:rsidP="00E00B35">
            <w:pPr>
              <w:spacing w:after="0" w:line="312" w:lineRule="auto"/>
              <w:rPr>
                <w:szCs w:val="20"/>
              </w:rPr>
            </w:pPr>
            <w:r w:rsidRPr="00E00B35">
              <w:rPr>
                <w:szCs w:val="20"/>
              </w:rPr>
              <w:t>131</w:t>
            </w:r>
          </w:p>
        </w:tc>
        <w:tc>
          <w:tcPr>
            <w:tcW w:w="1276" w:type="dxa"/>
          </w:tcPr>
          <w:p w:rsidR="00E96768" w:rsidRPr="00E00B35" w:rsidRDefault="00E96768" w:rsidP="00E00B35">
            <w:pPr>
              <w:spacing w:after="0" w:line="312" w:lineRule="auto"/>
              <w:rPr>
                <w:szCs w:val="20"/>
              </w:rPr>
            </w:pPr>
            <w:r w:rsidRPr="00E00B35">
              <w:rPr>
                <w:szCs w:val="20"/>
              </w:rPr>
              <w:t>172</w:t>
            </w:r>
          </w:p>
        </w:tc>
      </w:tr>
      <w:tr w:rsidR="00E96768" w:rsidRPr="00E00B35" w:rsidTr="00E96768">
        <w:tc>
          <w:tcPr>
            <w:tcW w:w="3544" w:type="dxa"/>
          </w:tcPr>
          <w:p w:rsidR="00E96768" w:rsidRPr="00E00B35" w:rsidRDefault="00E96768" w:rsidP="00E00B35">
            <w:pPr>
              <w:spacing w:after="0" w:line="312" w:lineRule="auto"/>
              <w:rPr>
                <w:szCs w:val="20"/>
              </w:rPr>
            </w:pPr>
            <w:r w:rsidRPr="00E00B35">
              <w:rPr>
                <w:szCs w:val="20"/>
              </w:rPr>
              <w:lastRenderedPageBreak/>
              <w:t xml:space="preserve">inne sprawy </w:t>
            </w:r>
          </w:p>
        </w:tc>
        <w:tc>
          <w:tcPr>
            <w:tcW w:w="1701" w:type="dxa"/>
          </w:tcPr>
          <w:p w:rsidR="00E96768" w:rsidRPr="00E00B35" w:rsidRDefault="00E96768" w:rsidP="00E00B35">
            <w:pPr>
              <w:spacing w:after="0" w:line="312" w:lineRule="auto"/>
              <w:rPr>
                <w:szCs w:val="20"/>
              </w:rPr>
            </w:pPr>
            <w:r w:rsidRPr="00E00B35">
              <w:rPr>
                <w:szCs w:val="20"/>
              </w:rPr>
              <w:t>238</w:t>
            </w:r>
          </w:p>
        </w:tc>
        <w:tc>
          <w:tcPr>
            <w:tcW w:w="1559" w:type="dxa"/>
          </w:tcPr>
          <w:p w:rsidR="00E96768" w:rsidRPr="00E00B35" w:rsidRDefault="00E96768" w:rsidP="00E00B35">
            <w:pPr>
              <w:spacing w:after="0" w:line="312" w:lineRule="auto"/>
              <w:rPr>
                <w:szCs w:val="20"/>
              </w:rPr>
            </w:pPr>
            <w:r w:rsidRPr="00E00B35">
              <w:rPr>
                <w:szCs w:val="20"/>
              </w:rPr>
              <w:t>330</w:t>
            </w:r>
          </w:p>
        </w:tc>
        <w:tc>
          <w:tcPr>
            <w:tcW w:w="1418" w:type="dxa"/>
          </w:tcPr>
          <w:p w:rsidR="00E96768" w:rsidRPr="00E00B35" w:rsidRDefault="00E96768" w:rsidP="00E00B35">
            <w:pPr>
              <w:spacing w:after="0" w:line="312" w:lineRule="auto"/>
              <w:rPr>
                <w:szCs w:val="20"/>
              </w:rPr>
            </w:pPr>
            <w:r w:rsidRPr="00E00B35">
              <w:rPr>
                <w:szCs w:val="20"/>
              </w:rPr>
              <w:t>137</w:t>
            </w:r>
          </w:p>
        </w:tc>
        <w:tc>
          <w:tcPr>
            <w:tcW w:w="1276" w:type="dxa"/>
          </w:tcPr>
          <w:p w:rsidR="00E96768" w:rsidRPr="00E00B35" w:rsidRDefault="00E96768" w:rsidP="00E00B35">
            <w:pPr>
              <w:spacing w:after="0" w:line="312" w:lineRule="auto"/>
              <w:rPr>
                <w:szCs w:val="20"/>
              </w:rPr>
            </w:pPr>
            <w:r w:rsidRPr="00E00B35">
              <w:rPr>
                <w:szCs w:val="20"/>
              </w:rPr>
              <w:t>74</w:t>
            </w:r>
          </w:p>
        </w:tc>
      </w:tr>
      <w:tr w:rsidR="00E96768" w:rsidRPr="00E00B35" w:rsidTr="00E96768">
        <w:tc>
          <w:tcPr>
            <w:tcW w:w="3544" w:type="dxa"/>
          </w:tcPr>
          <w:p w:rsidR="00E96768" w:rsidRPr="00E00B35" w:rsidRDefault="00E96768" w:rsidP="00E00B35">
            <w:pPr>
              <w:spacing w:after="0" w:line="312" w:lineRule="auto"/>
              <w:rPr>
                <w:szCs w:val="20"/>
              </w:rPr>
            </w:pPr>
            <w:r w:rsidRPr="00E00B35">
              <w:rPr>
                <w:szCs w:val="20"/>
              </w:rPr>
              <w:t>o ustalenie służebności drogi koniecznej i służebności przesyłu</w:t>
            </w:r>
          </w:p>
        </w:tc>
        <w:tc>
          <w:tcPr>
            <w:tcW w:w="1701" w:type="dxa"/>
          </w:tcPr>
          <w:p w:rsidR="00E96768" w:rsidRPr="00E00B35" w:rsidRDefault="00E96768" w:rsidP="00E00B35">
            <w:pPr>
              <w:spacing w:after="0" w:line="312" w:lineRule="auto"/>
              <w:rPr>
                <w:szCs w:val="20"/>
              </w:rPr>
            </w:pPr>
            <w:r w:rsidRPr="00E00B35">
              <w:rPr>
                <w:szCs w:val="20"/>
              </w:rPr>
              <w:t>11</w:t>
            </w:r>
          </w:p>
        </w:tc>
        <w:tc>
          <w:tcPr>
            <w:tcW w:w="1559" w:type="dxa"/>
          </w:tcPr>
          <w:p w:rsidR="00E96768" w:rsidRPr="00E00B35" w:rsidRDefault="00E96768" w:rsidP="00E00B35">
            <w:pPr>
              <w:spacing w:after="0" w:line="312" w:lineRule="auto"/>
              <w:rPr>
                <w:szCs w:val="20"/>
              </w:rPr>
            </w:pPr>
            <w:r w:rsidRPr="00E00B35">
              <w:rPr>
                <w:szCs w:val="20"/>
              </w:rPr>
              <w:t>22</w:t>
            </w:r>
          </w:p>
        </w:tc>
        <w:tc>
          <w:tcPr>
            <w:tcW w:w="1418" w:type="dxa"/>
          </w:tcPr>
          <w:p w:rsidR="00E96768" w:rsidRPr="00E00B35" w:rsidRDefault="00E96768" w:rsidP="00E00B35">
            <w:pPr>
              <w:spacing w:after="0" w:line="312" w:lineRule="auto"/>
              <w:rPr>
                <w:szCs w:val="20"/>
              </w:rPr>
            </w:pPr>
            <w:r w:rsidRPr="00E00B35">
              <w:rPr>
                <w:szCs w:val="20"/>
              </w:rPr>
              <w:t>70</w:t>
            </w:r>
          </w:p>
        </w:tc>
        <w:tc>
          <w:tcPr>
            <w:tcW w:w="1276" w:type="dxa"/>
          </w:tcPr>
          <w:p w:rsidR="00E96768" w:rsidRPr="00E00B35" w:rsidRDefault="00E96768" w:rsidP="00E00B35">
            <w:pPr>
              <w:spacing w:after="0" w:line="312" w:lineRule="auto"/>
              <w:rPr>
                <w:szCs w:val="20"/>
              </w:rPr>
            </w:pPr>
            <w:r w:rsidRPr="00E00B35">
              <w:rPr>
                <w:szCs w:val="20"/>
              </w:rPr>
              <w:t>23</w:t>
            </w:r>
          </w:p>
        </w:tc>
      </w:tr>
      <w:tr w:rsidR="00E96768" w:rsidRPr="00E00B35" w:rsidTr="00E96768">
        <w:tc>
          <w:tcPr>
            <w:tcW w:w="3544" w:type="dxa"/>
          </w:tcPr>
          <w:p w:rsidR="00E96768" w:rsidRPr="00E00B35" w:rsidRDefault="00E96768" w:rsidP="00E00B35">
            <w:pPr>
              <w:spacing w:after="0" w:line="312" w:lineRule="auto"/>
              <w:rPr>
                <w:b/>
                <w:szCs w:val="20"/>
              </w:rPr>
            </w:pPr>
            <w:r w:rsidRPr="00E00B35">
              <w:rPr>
                <w:b/>
                <w:szCs w:val="20"/>
              </w:rPr>
              <w:t>Razem</w:t>
            </w:r>
          </w:p>
        </w:tc>
        <w:tc>
          <w:tcPr>
            <w:tcW w:w="1701" w:type="dxa"/>
          </w:tcPr>
          <w:p w:rsidR="00E96768" w:rsidRPr="00E00B35" w:rsidRDefault="00E96768" w:rsidP="00E00B35">
            <w:pPr>
              <w:spacing w:after="0" w:line="312" w:lineRule="auto"/>
              <w:rPr>
                <w:b/>
                <w:bCs/>
                <w:szCs w:val="20"/>
              </w:rPr>
            </w:pPr>
            <w:r w:rsidRPr="00E00B35">
              <w:rPr>
                <w:b/>
                <w:bCs/>
                <w:szCs w:val="20"/>
              </w:rPr>
              <w:t>603</w:t>
            </w:r>
          </w:p>
        </w:tc>
        <w:tc>
          <w:tcPr>
            <w:tcW w:w="1559" w:type="dxa"/>
          </w:tcPr>
          <w:p w:rsidR="00E96768" w:rsidRPr="00E00B35" w:rsidRDefault="00E96768" w:rsidP="00E00B35">
            <w:pPr>
              <w:spacing w:after="0" w:line="312" w:lineRule="auto"/>
              <w:rPr>
                <w:b/>
                <w:bCs/>
                <w:szCs w:val="20"/>
              </w:rPr>
            </w:pPr>
            <w:r w:rsidRPr="00E00B35">
              <w:rPr>
                <w:b/>
                <w:bCs/>
                <w:szCs w:val="20"/>
              </w:rPr>
              <w:t>648</w:t>
            </w:r>
          </w:p>
        </w:tc>
        <w:tc>
          <w:tcPr>
            <w:tcW w:w="1418" w:type="dxa"/>
          </w:tcPr>
          <w:p w:rsidR="00E96768" w:rsidRPr="00E00B35" w:rsidRDefault="00E96768" w:rsidP="00E00B35">
            <w:pPr>
              <w:spacing w:after="0" w:line="312" w:lineRule="auto"/>
              <w:rPr>
                <w:b/>
                <w:bCs/>
                <w:szCs w:val="20"/>
              </w:rPr>
            </w:pPr>
            <w:r w:rsidRPr="00E00B35">
              <w:rPr>
                <w:b/>
                <w:bCs/>
                <w:szCs w:val="20"/>
              </w:rPr>
              <w:t>607</w:t>
            </w:r>
          </w:p>
        </w:tc>
        <w:tc>
          <w:tcPr>
            <w:tcW w:w="1276" w:type="dxa"/>
          </w:tcPr>
          <w:p w:rsidR="00E96768" w:rsidRPr="00E00B35" w:rsidRDefault="00E96768" w:rsidP="00E00B35">
            <w:pPr>
              <w:spacing w:after="0" w:line="312" w:lineRule="auto"/>
              <w:rPr>
                <w:b/>
                <w:bCs/>
                <w:szCs w:val="20"/>
              </w:rPr>
            </w:pPr>
            <w:r w:rsidRPr="00E00B35">
              <w:rPr>
                <w:b/>
                <w:bCs/>
                <w:szCs w:val="20"/>
              </w:rPr>
              <w:t xml:space="preserve"> 498</w:t>
            </w:r>
          </w:p>
        </w:tc>
      </w:tr>
    </w:tbl>
    <w:p w:rsidR="00E96768" w:rsidRPr="00E00B35" w:rsidRDefault="00E96768" w:rsidP="00E00B35">
      <w:pPr>
        <w:spacing w:after="0" w:line="312" w:lineRule="auto"/>
        <w:rPr>
          <w:szCs w:val="20"/>
        </w:rPr>
      </w:pPr>
    </w:p>
    <w:p w:rsidR="00E96768" w:rsidRPr="00E00B35" w:rsidRDefault="00E96768" w:rsidP="00E00B35">
      <w:pPr>
        <w:pStyle w:val="Nagwek5"/>
        <w:rPr>
          <w:szCs w:val="20"/>
        </w:rPr>
      </w:pPr>
      <w:r w:rsidRPr="00E00B35">
        <w:rPr>
          <w:szCs w:val="20"/>
        </w:rPr>
        <w:t>SPRAWY PRZED Wojewódzkim Sądem Administracyjnym/Naczelnym Sądem Administracyjnym</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86"/>
        <w:gridCol w:w="1559"/>
        <w:gridCol w:w="1559"/>
        <w:gridCol w:w="1418"/>
        <w:gridCol w:w="1276"/>
      </w:tblGrid>
      <w:tr w:rsidR="00E96768" w:rsidRPr="00E00B35" w:rsidTr="00E96768">
        <w:trPr>
          <w:trHeight w:val="622"/>
        </w:trPr>
        <w:tc>
          <w:tcPr>
            <w:tcW w:w="3686"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Przedmiot skargi</w:t>
            </w:r>
          </w:p>
        </w:tc>
        <w:tc>
          <w:tcPr>
            <w:tcW w:w="1559"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2020 rok</w:t>
            </w:r>
          </w:p>
        </w:tc>
        <w:tc>
          <w:tcPr>
            <w:tcW w:w="1559"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2019 rok</w:t>
            </w:r>
          </w:p>
        </w:tc>
        <w:tc>
          <w:tcPr>
            <w:tcW w:w="1418"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2018 rok</w:t>
            </w:r>
          </w:p>
        </w:tc>
        <w:tc>
          <w:tcPr>
            <w:tcW w:w="1276" w:type="dxa"/>
            <w:shd w:val="clear" w:color="auto" w:fill="D9D9D9" w:themeFill="background1" w:themeFillShade="D9"/>
            <w:vAlign w:val="center"/>
          </w:tcPr>
          <w:p w:rsidR="00E96768" w:rsidRPr="00E00B35" w:rsidRDefault="00E96768" w:rsidP="00E00B35">
            <w:pPr>
              <w:spacing w:after="0" w:line="312" w:lineRule="auto"/>
              <w:rPr>
                <w:b/>
                <w:szCs w:val="20"/>
              </w:rPr>
            </w:pPr>
            <w:r w:rsidRPr="00E00B35">
              <w:rPr>
                <w:b/>
                <w:szCs w:val="20"/>
              </w:rPr>
              <w:t>2017 rok</w:t>
            </w:r>
          </w:p>
        </w:tc>
      </w:tr>
      <w:tr w:rsidR="00E96768" w:rsidRPr="00E00B35" w:rsidTr="00E96768">
        <w:tc>
          <w:tcPr>
            <w:tcW w:w="3686" w:type="dxa"/>
          </w:tcPr>
          <w:p w:rsidR="00E96768" w:rsidRPr="00E00B35" w:rsidRDefault="00E96768" w:rsidP="00E00B35">
            <w:pPr>
              <w:spacing w:after="0" w:line="312" w:lineRule="auto"/>
              <w:rPr>
                <w:szCs w:val="20"/>
              </w:rPr>
            </w:pPr>
            <w:r w:rsidRPr="00E00B35">
              <w:rPr>
                <w:szCs w:val="20"/>
              </w:rPr>
              <w:t>na uchwały Rady Miejskiej</w:t>
            </w:r>
          </w:p>
        </w:tc>
        <w:tc>
          <w:tcPr>
            <w:tcW w:w="1559" w:type="dxa"/>
          </w:tcPr>
          <w:p w:rsidR="00E96768" w:rsidRPr="00E00B35" w:rsidRDefault="00E96768" w:rsidP="00E00B35">
            <w:pPr>
              <w:spacing w:after="0" w:line="312" w:lineRule="auto"/>
              <w:rPr>
                <w:szCs w:val="20"/>
              </w:rPr>
            </w:pPr>
            <w:r w:rsidRPr="00E00B35">
              <w:rPr>
                <w:szCs w:val="20"/>
              </w:rPr>
              <w:t>9</w:t>
            </w:r>
          </w:p>
        </w:tc>
        <w:tc>
          <w:tcPr>
            <w:tcW w:w="1559" w:type="dxa"/>
          </w:tcPr>
          <w:p w:rsidR="00E96768" w:rsidRPr="00E00B35" w:rsidRDefault="00E96768" w:rsidP="00E00B35">
            <w:pPr>
              <w:spacing w:after="0" w:line="312" w:lineRule="auto"/>
              <w:rPr>
                <w:szCs w:val="20"/>
              </w:rPr>
            </w:pPr>
            <w:r w:rsidRPr="00E00B35">
              <w:rPr>
                <w:szCs w:val="20"/>
              </w:rPr>
              <w:t>9</w:t>
            </w:r>
          </w:p>
        </w:tc>
        <w:tc>
          <w:tcPr>
            <w:tcW w:w="1418" w:type="dxa"/>
          </w:tcPr>
          <w:p w:rsidR="00E96768" w:rsidRPr="00E00B35" w:rsidRDefault="00E96768" w:rsidP="00E00B35">
            <w:pPr>
              <w:spacing w:after="0" w:line="312" w:lineRule="auto"/>
              <w:rPr>
                <w:szCs w:val="20"/>
              </w:rPr>
            </w:pPr>
            <w:r w:rsidRPr="00E00B35">
              <w:rPr>
                <w:szCs w:val="20"/>
              </w:rPr>
              <w:t>11</w:t>
            </w:r>
          </w:p>
        </w:tc>
        <w:tc>
          <w:tcPr>
            <w:tcW w:w="1276" w:type="dxa"/>
          </w:tcPr>
          <w:p w:rsidR="00E96768" w:rsidRPr="00E00B35" w:rsidRDefault="00E96768" w:rsidP="00E00B35">
            <w:pPr>
              <w:spacing w:after="0" w:line="312" w:lineRule="auto"/>
              <w:rPr>
                <w:szCs w:val="20"/>
              </w:rPr>
            </w:pPr>
            <w:r w:rsidRPr="00E00B35">
              <w:rPr>
                <w:szCs w:val="20"/>
              </w:rPr>
              <w:t>8</w:t>
            </w:r>
          </w:p>
        </w:tc>
      </w:tr>
      <w:tr w:rsidR="00E96768" w:rsidRPr="00E00B35" w:rsidTr="00E96768">
        <w:tc>
          <w:tcPr>
            <w:tcW w:w="3686" w:type="dxa"/>
          </w:tcPr>
          <w:p w:rsidR="00E96768" w:rsidRPr="00E00B35" w:rsidRDefault="00E96768" w:rsidP="00E00B35">
            <w:pPr>
              <w:spacing w:after="0" w:line="312" w:lineRule="auto"/>
              <w:rPr>
                <w:szCs w:val="20"/>
              </w:rPr>
            </w:pPr>
            <w:r w:rsidRPr="00E00B35">
              <w:rPr>
                <w:szCs w:val="20"/>
              </w:rPr>
              <w:t>na decyzje Prezydenta</w:t>
            </w:r>
          </w:p>
        </w:tc>
        <w:tc>
          <w:tcPr>
            <w:tcW w:w="1559" w:type="dxa"/>
          </w:tcPr>
          <w:p w:rsidR="00E96768" w:rsidRPr="00E00B35" w:rsidRDefault="00E96768" w:rsidP="00E00B35">
            <w:pPr>
              <w:spacing w:after="0" w:line="312" w:lineRule="auto"/>
              <w:rPr>
                <w:szCs w:val="20"/>
              </w:rPr>
            </w:pPr>
            <w:r w:rsidRPr="00E00B35">
              <w:rPr>
                <w:szCs w:val="20"/>
              </w:rPr>
              <w:t>56</w:t>
            </w:r>
          </w:p>
        </w:tc>
        <w:tc>
          <w:tcPr>
            <w:tcW w:w="1559" w:type="dxa"/>
          </w:tcPr>
          <w:p w:rsidR="00E96768" w:rsidRPr="00E00B35" w:rsidRDefault="00E96768" w:rsidP="00E00B35">
            <w:pPr>
              <w:spacing w:after="0" w:line="312" w:lineRule="auto"/>
              <w:rPr>
                <w:szCs w:val="20"/>
              </w:rPr>
            </w:pPr>
          </w:p>
        </w:tc>
        <w:tc>
          <w:tcPr>
            <w:tcW w:w="1418" w:type="dxa"/>
          </w:tcPr>
          <w:p w:rsidR="00E96768" w:rsidRPr="00E00B35" w:rsidRDefault="00E96768" w:rsidP="00E00B35">
            <w:pPr>
              <w:spacing w:after="0" w:line="312" w:lineRule="auto"/>
              <w:rPr>
                <w:szCs w:val="20"/>
              </w:rPr>
            </w:pPr>
            <w:r w:rsidRPr="00E00B35">
              <w:rPr>
                <w:szCs w:val="20"/>
              </w:rPr>
              <w:t>7</w:t>
            </w:r>
          </w:p>
        </w:tc>
        <w:tc>
          <w:tcPr>
            <w:tcW w:w="1276" w:type="dxa"/>
          </w:tcPr>
          <w:p w:rsidR="00E96768" w:rsidRPr="00E00B35" w:rsidRDefault="00E96768" w:rsidP="00E00B35">
            <w:pPr>
              <w:spacing w:after="0" w:line="312" w:lineRule="auto"/>
              <w:rPr>
                <w:szCs w:val="20"/>
              </w:rPr>
            </w:pPr>
            <w:r w:rsidRPr="00E00B35">
              <w:rPr>
                <w:szCs w:val="20"/>
              </w:rPr>
              <w:t>11</w:t>
            </w:r>
          </w:p>
        </w:tc>
      </w:tr>
      <w:tr w:rsidR="00E96768" w:rsidRPr="00E00B35" w:rsidTr="00E96768">
        <w:tc>
          <w:tcPr>
            <w:tcW w:w="3686" w:type="dxa"/>
          </w:tcPr>
          <w:p w:rsidR="00E96768" w:rsidRPr="00E00B35" w:rsidRDefault="00E96768" w:rsidP="00E00B35">
            <w:pPr>
              <w:spacing w:after="0" w:line="312" w:lineRule="auto"/>
              <w:rPr>
                <w:b/>
                <w:szCs w:val="20"/>
              </w:rPr>
            </w:pPr>
            <w:r w:rsidRPr="00E00B35">
              <w:rPr>
                <w:szCs w:val="20"/>
              </w:rPr>
              <w:t>Razem</w:t>
            </w:r>
          </w:p>
        </w:tc>
        <w:tc>
          <w:tcPr>
            <w:tcW w:w="1559" w:type="dxa"/>
          </w:tcPr>
          <w:p w:rsidR="00E96768" w:rsidRPr="00E00B35" w:rsidRDefault="00E96768" w:rsidP="00E00B35">
            <w:pPr>
              <w:spacing w:after="0" w:line="312" w:lineRule="auto"/>
              <w:rPr>
                <w:bCs/>
                <w:szCs w:val="20"/>
              </w:rPr>
            </w:pPr>
            <w:r w:rsidRPr="00E00B35">
              <w:rPr>
                <w:bCs/>
                <w:szCs w:val="20"/>
              </w:rPr>
              <w:t>65</w:t>
            </w:r>
          </w:p>
        </w:tc>
        <w:tc>
          <w:tcPr>
            <w:tcW w:w="1559" w:type="dxa"/>
          </w:tcPr>
          <w:p w:rsidR="00E96768" w:rsidRPr="00E00B35" w:rsidRDefault="00E96768" w:rsidP="00E00B35">
            <w:pPr>
              <w:spacing w:after="0" w:line="312" w:lineRule="auto"/>
              <w:rPr>
                <w:bCs/>
                <w:szCs w:val="20"/>
              </w:rPr>
            </w:pPr>
            <w:r w:rsidRPr="00E00B35">
              <w:rPr>
                <w:bCs/>
                <w:szCs w:val="20"/>
              </w:rPr>
              <w:t>9</w:t>
            </w:r>
          </w:p>
        </w:tc>
        <w:tc>
          <w:tcPr>
            <w:tcW w:w="1418" w:type="dxa"/>
          </w:tcPr>
          <w:p w:rsidR="00E96768" w:rsidRPr="00E00B35" w:rsidRDefault="00E96768" w:rsidP="00E00B35">
            <w:pPr>
              <w:spacing w:after="0" w:line="312" w:lineRule="auto"/>
              <w:rPr>
                <w:bCs/>
                <w:szCs w:val="20"/>
              </w:rPr>
            </w:pPr>
            <w:r w:rsidRPr="00E00B35">
              <w:rPr>
                <w:bCs/>
                <w:szCs w:val="20"/>
              </w:rPr>
              <w:t>18</w:t>
            </w:r>
          </w:p>
        </w:tc>
        <w:tc>
          <w:tcPr>
            <w:tcW w:w="1276" w:type="dxa"/>
          </w:tcPr>
          <w:p w:rsidR="00E96768" w:rsidRPr="00E00B35" w:rsidRDefault="00E96768" w:rsidP="00E00B35">
            <w:pPr>
              <w:spacing w:after="0" w:line="312" w:lineRule="auto"/>
              <w:rPr>
                <w:bCs/>
                <w:szCs w:val="20"/>
              </w:rPr>
            </w:pPr>
            <w:r w:rsidRPr="00E00B35">
              <w:rPr>
                <w:bCs/>
                <w:szCs w:val="20"/>
              </w:rPr>
              <w:t>19</w:t>
            </w:r>
          </w:p>
        </w:tc>
      </w:tr>
    </w:tbl>
    <w:p w:rsidR="00E96768" w:rsidRPr="00E00B35" w:rsidRDefault="00E96768" w:rsidP="00E00B35">
      <w:pPr>
        <w:spacing w:after="0" w:line="312" w:lineRule="auto"/>
        <w:rPr>
          <w:szCs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620"/>
        <w:gridCol w:w="1382"/>
        <w:gridCol w:w="1276"/>
      </w:tblGrid>
      <w:tr w:rsidR="00E96768" w:rsidRPr="00E00B35" w:rsidTr="00E96768">
        <w:trPr>
          <w:tblHeader/>
        </w:trPr>
        <w:tc>
          <w:tcPr>
            <w:tcW w:w="3756" w:type="dxa"/>
            <w:shd w:val="clear" w:color="auto" w:fill="BFBFBF" w:themeFill="background1" w:themeFillShade="BF"/>
            <w:vAlign w:val="center"/>
          </w:tcPr>
          <w:p w:rsidR="00E96768" w:rsidRPr="00E00B35" w:rsidRDefault="00E96768" w:rsidP="00E00B35">
            <w:pPr>
              <w:spacing w:after="0" w:line="312" w:lineRule="auto"/>
              <w:rPr>
                <w:b/>
                <w:bCs/>
                <w:szCs w:val="20"/>
              </w:rPr>
            </w:pPr>
            <w:r w:rsidRPr="00E00B35">
              <w:rPr>
                <w:b/>
                <w:bCs/>
                <w:szCs w:val="20"/>
              </w:rPr>
              <w:t>Ilość spraw zakończonych wyrokami</w:t>
            </w:r>
          </w:p>
        </w:tc>
        <w:tc>
          <w:tcPr>
            <w:tcW w:w="1534" w:type="dxa"/>
            <w:shd w:val="clear" w:color="auto" w:fill="BFBFBF" w:themeFill="background1" w:themeFillShade="BF"/>
            <w:vAlign w:val="center"/>
          </w:tcPr>
          <w:p w:rsidR="00E96768" w:rsidRPr="00E00B35" w:rsidRDefault="00E96768" w:rsidP="00E00B35">
            <w:pPr>
              <w:spacing w:after="0" w:line="312" w:lineRule="auto"/>
              <w:rPr>
                <w:b/>
                <w:bCs/>
                <w:szCs w:val="20"/>
              </w:rPr>
            </w:pPr>
            <w:r w:rsidRPr="00E00B35">
              <w:rPr>
                <w:b/>
                <w:bCs/>
                <w:szCs w:val="20"/>
              </w:rPr>
              <w:t xml:space="preserve">2020 </w:t>
            </w:r>
            <w:r w:rsidRPr="00E00B35">
              <w:rPr>
                <w:b/>
                <w:szCs w:val="20"/>
              </w:rPr>
              <w:t>rok</w:t>
            </w:r>
          </w:p>
        </w:tc>
        <w:tc>
          <w:tcPr>
            <w:tcW w:w="1620" w:type="dxa"/>
            <w:shd w:val="clear" w:color="auto" w:fill="BFBFBF" w:themeFill="background1" w:themeFillShade="BF"/>
            <w:vAlign w:val="center"/>
          </w:tcPr>
          <w:p w:rsidR="00E96768" w:rsidRPr="00E00B35" w:rsidRDefault="00E96768" w:rsidP="00E00B35">
            <w:pPr>
              <w:spacing w:after="0" w:line="312" w:lineRule="auto"/>
              <w:rPr>
                <w:b/>
                <w:bCs/>
                <w:szCs w:val="20"/>
              </w:rPr>
            </w:pPr>
            <w:r w:rsidRPr="00E00B35">
              <w:rPr>
                <w:b/>
                <w:bCs/>
                <w:szCs w:val="20"/>
              </w:rPr>
              <w:t xml:space="preserve">2019 </w:t>
            </w:r>
            <w:r w:rsidRPr="00E00B35">
              <w:rPr>
                <w:b/>
                <w:szCs w:val="20"/>
              </w:rPr>
              <w:t>rok</w:t>
            </w:r>
          </w:p>
        </w:tc>
        <w:tc>
          <w:tcPr>
            <w:tcW w:w="1382" w:type="dxa"/>
            <w:shd w:val="clear" w:color="auto" w:fill="BFBFBF" w:themeFill="background1" w:themeFillShade="BF"/>
            <w:vAlign w:val="center"/>
          </w:tcPr>
          <w:p w:rsidR="00E96768" w:rsidRPr="00E00B35" w:rsidRDefault="00E96768" w:rsidP="00E00B35">
            <w:pPr>
              <w:spacing w:after="0" w:line="312" w:lineRule="auto"/>
              <w:rPr>
                <w:b/>
                <w:bCs/>
                <w:szCs w:val="20"/>
              </w:rPr>
            </w:pPr>
            <w:r w:rsidRPr="00E00B35">
              <w:rPr>
                <w:b/>
                <w:bCs/>
                <w:szCs w:val="20"/>
              </w:rPr>
              <w:t xml:space="preserve">2018 </w:t>
            </w:r>
            <w:r w:rsidRPr="00E00B35">
              <w:rPr>
                <w:b/>
                <w:szCs w:val="20"/>
              </w:rPr>
              <w:t>rok</w:t>
            </w:r>
          </w:p>
        </w:tc>
        <w:tc>
          <w:tcPr>
            <w:tcW w:w="1276" w:type="dxa"/>
            <w:shd w:val="clear" w:color="auto" w:fill="BFBFBF" w:themeFill="background1" w:themeFillShade="BF"/>
            <w:vAlign w:val="center"/>
          </w:tcPr>
          <w:p w:rsidR="00E96768" w:rsidRPr="00E00B35" w:rsidRDefault="00E96768" w:rsidP="00E00B35">
            <w:pPr>
              <w:spacing w:after="0" w:line="312" w:lineRule="auto"/>
              <w:rPr>
                <w:b/>
                <w:bCs/>
                <w:szCs w:val="20"/>
              </w:rPr>
            </w:pPr>
            <w:r w:rsidRPr="00E00B35">
              <w:rPr>
                <w:b/>
                <w:bCs/>
                <w:szCs w:val="20"/>
              </w:rPr>
              <w:t xml:space="preserve">2017 </w:t>
            </w:r>
            <w:r w:rsidRPr="00E00B35">
              <w:rPr>
                <w:b/>
                <w:szCs w:val="20"/>
              </w:rPr>
              <w:t>rok</w:t>
            </w:r>
          </w:p>
        </w:tc>
      </w:tr>
      <w:tr w:rsidR="00E96768" w:rsidRPr="00E00B35" w:rsidTr="00E96768">
        <w:tc>
          <w:tcPr>
            <w:tcW w:w="3756" w:type="dxa"/>
          </w:tcPr>
          <w:p w:rsidR="00E96768" w:rsidRPr="00E00B35" w:rsidRDefault="00E96768" w:rsidP="00E00B35">
            <w:pPr>
              <w:spacing w:after="0" w:line="312" w:lineRule="auto"/>
              <w:rPr>
                <w:szCs w:val="20"/>
              </w:rPr>
            </w:pPr>
            <w:r w:rsidRPr="00E00B35">
              <w:rPr>
                <w:szCs w:val="20"/>
              </w:rPr>
              <w:t>Sprawy wygrane</w:t>
            </w:r>
          </w:p>
          <w:p w:rsidR="00E96768" w:rsidRPr="00E00B35" w:rsidRDefault="00E96768" w:rsidP="00E00B35">
            <w:pPr>
              <w:spacing w:after="0" w:line="312" w:lineRule="auto"/>
              <w:rPr>
                <w:szCs w:val="20"/>
              </w:rPr>
            </w:pPr>
          </w:p>
        </w:tc>
        <w:tc>
          <w:tcPr>
            <w:tcW w:w="1534" w:type="dxa"/>
          </w:tcPr>
          <w:p w:rsidR="00E96768" w:rsidRPr="00E00B35" w:rsidRDefault="00E96768" w:rsidP="00E00B35">
            <w:pPr>
              <w:spacing w:after="0" w:line="312" w:lineRule="auto"/>
              <w:rPr>
                <w:szCs w:val="20"/>
              </w:rPr>
            </w:pPr>
            <w:r w:rsidRPr="00E00B35">
              <w:rPr>
                <w:szCs w:val="20"/>
              </w:rPr>
              <w:t>444</w:t>
            </w:r>
          </w:p>
        </w:tc>
        <w:tc>
          <w:tcPr>
            <w:tcW w:w="1620" w:type="dxa"/>
          </w:tcPr>
          <w:p w:rsidR="00E96768" w:rsidRPr="00E00B35" w:rsidRDefault="00E96768" w:rsidP="00E00B35">
            <w:pPr>
              <w:spacing w:after="0" w:line="312" w:lineRule="auto"/>
              <w:rPr>
                <w:szCs w:val="20"/>
              </w:rPr>
            </w:pPr>
            <w:r w:rsidRPr="00E00B35">
              <w:rPr>
                <w:szCs w:val="20"/>
              </w:rPr>
              <w:t>1061</w:t>
            </w:r>
          </w:p>
        </w:tc>
        <w:tc>
          <w:tcPr>
            <w:tcW w:w="1382" w:type="dxa"/>
          </w:tcPr>
          <w:p w:rsidR="00E96768" w:rsidRPr="00E00B35" w:rsidRDefault="00E96768" w:rsidP="00E00B35">
            <w:pPr>
              <w:spacing w:after="0" w:line="312" w:lineRule="auto"/>
              <w:rPr>
                <w:szCs w:val="20"/>
              </w:rPr>
            </w:pPr>
            <w:r w:rsidRPr="00E00B35">
              <w:rPr>
                <w:szCs w:val="20"/>
              </w:rPr>
              <w:t>1169</w:t>
            </w:r>
          </w:p>
        </w:tc>
        <w:tc>
          <w:tcPr>
            <w:tcW w:w="1276" w:type="dxa"/>
          </w:tcPr>
          <w:p w:rsidR="00E96768" w:rsidRPr="00E00B35" w:rsidRDefault="00E96768" w:rsidP="00E00B35">
            <w:pPr>
              <w:spacing w:after="0" w:line="312" w:lineRule="auto"/>
              <w:rPr>
                <w:szCs w:val="20"/>
              </w:rPr>
            </w:pPr>
            <w:r w:rsidRPr="00E00B35">
              <w:rPr>
                <w:szCs w:val="20"/>
              </w:rPr>
              <w:t>709</w:t>
            </w:r>
          </w:p>
        </w:tc>
      </w:tr>
      <w:tr w:rsidR="00E96768" w:rsidRPr="00E00B35" w:rsidTr="00E96768">
        <w:tc>
          <w:tcPr>
            <w:tcW w:w="3756" w:type="dxa"/>
          </w:tcPr>
          <w:p w:rsidR="00E96768" w:rsidRPr="00E00B35" w:rsidRDefault="00E96768" w:rsidP="00E00B35">
            <w:pPr>
              <w:spacing w:after="0" w:line="312" w:lineRule="auto"/>
              <w:rPr>
                <w:szCs w:val="20"/>
              </w:rPr>
            </w:pPr>
            <w:r w:rsidRPr="00E00B35">
              <w:rPr>
                <w:szCs w:val="20"/>
              </w:rPr>
              <w:t>Sprawy przegrane</w:t>
            </w:r>
          </w:p>
          <w:p w:rsidR="00E96768" w:rsidRPr="00E00B35" w:rsidRDefault="00E96768" w:rsidP="00E00B35">
            <w:pPr>
              <w:spacing w:after="0" w:line="312" w:lineRule="auto"/>
              <w:rPr>
                <w:szCs w:val="20"/>
              </w:rPr>
            </w:pPr>
          </w:p>
        </w:tc>
        <w:tc>
          <w:tcPr>
            <w:tcW w:w="1534" w:type="dxa"/>
          </w:tcPr>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54</w:t>
            </w:r>
          </w:p>
        </w:tc>
        <w:tc>
          <w:tcPr>
            <w:tcW w:w="1620" w:type="dxa"/>
          </w:tcPr>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72</w:t>
            </w:r>
          </w:p>
        </w:tc>
        <w:tc>
          <w:tcPr>
            <w:tcW w:w="1382" w:type="dxa"/>
          </w:tcPr>
          <w:p w:rsidR="00E96768" w:rsidRPr="00E00B35" w:rsidRDefault="00E96768" w:rsidP="00E00B35">
            <w:pPr>
              <w:spacing w:after="0" w:line="312" w:lineRule="auto"/>
              <w:rPr>
                <w:szCs w:val="20"/>
              </w:rPr>
            </w:pPr>
            <w:r w:rsidRPr="00E00B35">
              <w:rPr>
                <w:szCs w:val="20"/>
              </w:rPr>
              <w:t>288</w:t>
            </w:r>
          </w:p>
        </w:tc>
        <w:tc>
          <w:tcPr>
            <w:tcW w:w="1276" w:type="dxa"/>
          </w:tcPr>
          <w:p w:rsidR="00E96768" w:rsidRPr="00E00B35" w:rsidRDefault="00E96768" w:rsidP="00E00B35">
            <w:pPr>
              <w:spacing w:after="0" w:line="312" w:lineRule="auto"/>
              <w:rPr>
                <w:szCs w:val="20"/>
              </w:rPr>
            </w:pPr>
            <w:r w:rsidRPr="00E00B35">
              <w:rPr>
                <w:szCs w:val="20"/>
              </w:rPr>
              <w:t>106</w:t>
            </w:r>
          </w:p>
        </w:tc>
      </w:tr>
      <w:tr w:rsidR="00E96768" w:rsidRPr="00E00B35" w:rsidTr="00E96768">
        <w:tc>
          <w:tcPr>
            <w:tcW w:w="3756" w:type="dxa"/>
          </w:tcPr>
          <w:p w:rsidR="00E96768" w:rsidRPr="00E00B35" w:rsidRDefault="00E96768" w:rsidP="00E00B35">
            <w:pPr>
              <w:spacing w:after="0" w:line="312" w:lineRule="auto"/>
              <w:rPr>
                <w:szCs w:val="20"/>
              </w:rPr>
            </w:pPr>
            <w:r w:rsidRPr="00E00B35">
              <w:rPr>
                <w:szCs w:val="20"/>
              </w:rPr>
              <w:t>Sprawy rozstrzygnięte w inny sposób</w:t>
            </w:r>
          </w:p>
        </w:tc>
        <w:tc>
          <w:tcPr>
            <w:tcW w:w="1534" w:type="dxa"/>
          </w:tcPr>
          <w:p w:rsidR="00E96768" w:rsidRPr="00E00B35" w:rsidRDefault="00E96768" w:rsidP="00E00B35">
            <w:pPr>
              <w:spacing w:after="0" w:line="312" w:lineRule="auto"/>
              <w:rPr>
                <w:szCs w:val="20"/>
              </w:rPr>
            </w:pPr>
            <w:r w:rsidRPr="00E00B35">
              <w:rPr>
                <w:szCs w:val="20"/>
              </w:rPr>
              <w:t>3</w:t>
            </w:r>
          </w:p>
        </w:tc>
        <w:tc>
          <w:tcPr>
            <w:tcW w:w="1620" w:type="dxa"/>
          </w:tcPr>
          <w:p w:rsidR="00E96768" w:rsidRPr="00E00B35" w:rsidRDefault="00E96768" w:rsidP="00E00B35">
            <w:pPr>
              <w:spacing w:after="0" w:line="312" w:lineRule="auto"/>
              <w:rPr>
                <w:szCs w:val="20"/>
              </w:rPr>
            </w:pPr>
            <w:r w:rsidRPr="00E00B35">
              <w:rPr>
                <w:szCs w:val="20"/>
              </w:rPr>
              <w:t>54</w:t>
            </w:r>
          </w:p>
        </w:tc>
        <w:tc>
          <w:tcPr>
            <w:tcW w:w="1382" w:type="dxa"/>
          </w:tcPr>
          <w:p w:rsidR="00E96768" w:rsidRPr="00E00B35" w:rsidRDefault="00E96768" w:rsidP="00E00B35">
            <w:pPr>
              <w:spacing w:after="0" w:line="312" w:lineRule="auto"/>
              <w:rPr>
                <w:szCs w:val="20"/>
              </w:rPr>
            </w:pPr>
            <w:r w:rsidRPr="00E00B35">
              <w:rPr>
                <w:szCs w:val="20"/>
              </w:rPr>
              <w:t>60</w:t>
            </w:r>
          </w:p>
        </w:tc>
        <w:tc>
          <w:tcPr>
            <w:tcW w:w="1276" w:type="dxa"/>
          </w:tcPr>
          <w:p w:rsidR="00E96768" w:rsidRPr="00E00B35" w:rsidRDefault="00E96768" w:rsidP="00E00B35">
            <w:pPr>
              <w:spacing w:after="0" w:line="312" w:lineRule="auto"/>
              <w:rPr>
                <w:szCs w:val="20"/>
              </w:rPr>
            </w:pPr>
            <w:r w:rsidRPr="00E00B35">
              <w:rPr>
                <w:szCs w:val="20"/>
              </w:rPr>
              <w:t>43</w:t>
            </w:r>
          </w:p>
        </w:tc>
      </w:tr>
      <w:tr w:rsidR="00E96768" w:rsidRPr="00E00B35" w:rsidTr="00E96768">
        <w:tc>
          <w:tcPr>
            <w:tcW w:w="3756" w:type="dxa"/>
          </w:tcPr>
          <w:p w:rsidR="00E96768" w:rsidRPr="00E00B35" w:rsidRDefault="00E96768" w:rsidP="00E00B35">
            <w:pPr>
              <w:pStyle w:val="Nagwek4"/>
              <w:spacing w:before="0" w:after="0" w:line="312" w:lineRule="auto"/>
              <w:rPr>
                <w:b w:val="0"/>
                <w:sz w:val="20"/>
                <w:szCs w:val="20"/>
              </w:rPr>
            </w:pPr>
            <w:r w:rsidRPr="00E00B35">
              <w:rPr>
                <w:b w:val="0"/>
                <w:sz w:val="20"/>
                <w:szCs w:val="20"/>
              </w:rPr>
              <w:t>Razem</w:t>
            </w:r>
          </w:p>
        </w:tc>
        <w:tc>
          <w:tcPr>
            <w:tcW w:w="1534" w:type="dxa"/>
          </w:tcPr>
          <w:p w:rsidR="00E96768" w:rsidRPr="00E00B35" w:rsidRDefault="00E96768" w:rsidP="00E00B35">
            <w:pPr>
              <w:spacing w:after="0" w:line="312" w:lineRule="auto"/>
              <w:rPr>
                <w:bCs/>
                <w:szCs w:val="20"/>
              </w:rPr>
            </w:pPr>
            <w:r w:rsidRPr="00E00B35">
              <w:rPr>
                <w:bCs/>
                <w:szCs w:val="20"/>
              </w:rPr>
              <w:t>501</w:t>
            </w:r>
          </w:p>
        </w:tc>
        <w:tc>
          <w:tcPr>
            <w:tcW w:w="1620" w:type="dxa"/>
          </w:tcPr>
          <w:p w:rsidR="00E96768" w:rsidRPr="00E00B35" w:rsidRDefault="00E96768" w:rsidP="00E00B35">
            <w:pPr>
              <w:spacing w:after="0" w:line="312" w:lineRule="auto"/>
              <w:rPr>
                <w:bCs/>
                <w:szCs w:val="20"/>
              </w:rPr>
            </w:pPr>
            <w:r w:rsidRPr="00E00B35">
              <w:rPr>
                <w:bCs/>
                <w:szCs w:val="20"/>
              </w:rPr>
              <w:t xml:space="preserve"> 1 187</w:t>
            </w:r>
          </w:p>
        </w:tc>
        <w:tc>
          <w:tcPr>
            <w:tcW w:w="1382" w:type="dxa"/>
          </w:tcPr>
          <w:p w:rsidR="00E96768" w:rsidRPr="00E00B35" w:rsidRDefault="00E96768" w:rsidP="00E00B35">
            <w:pPr>
              <w:spacing w:after="0" w:line="312" w:lineRule="auto"/>
              <w:rPr>
                <w:bCs/>
                <w:szCs w:val="20"/>
              </w:rPr>
            </w:pPr>
            <w:r w:rsidRPr="00E00B35">
              <w:rPr>
                <w:bCs/>
                <w:szCs w:val="20"/>
              </w:rPr>
              <w:t>1 517</w:t>
            </w:r>
          </w:p>
        </w:tc>
        <w:tc>
          <w:tcPr>
            <w:tcW w:w="1276" w:type="dxa"/>
          </w:tcPr>
          <w:p w:rsidR="00E96768" w:rsidRPr="00E00B35" w:rsidRDefault="00E96768" w:rsidP="00E00B35">
            <w:pPr>
              <w:spacing w:after="0" w:line="312" w:lineRule="auto"/>
              <w:rPr>
                <w:bCs/>
                <w:szCs w:val="20"/>
              </w:rPr>
            </w:pPr>
            <w:r w:rsidRPr="00E00B35">
              <w:rPr>
                <w:bCs/>
                <w:szCs w:val="20"/>
              </w:rPr>
              <w:t>858</w:t>
            </w:r>
          </w:p>
        </w:tc>
      </w:tr>
    </w:tbl>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Poniżej procentowy udział spraw pod względem rozstrzygnięcia wydanego na rzecz Gminy Wrocław/Skarbu Państwa.</w:t>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64"/>
        <w:gridCol w:w="1616"/>
        <w:gridCol w:w="1616"/>
        <w:gridCol w:w="1437"/>
        <w:gridCol w:w="1257"/>
      </w:tblGrid>
      <w:tr w:rsidR="00E96768" w:rsidRPr="00E00B35" w:rsidTr="00E96768">
        <w:trPr>
          <w:trHeight w:val="515"/>
        </w:trPr>
        <w:tc>
          <w:tcPr>
            <w:tcW w:w="3664" w:type="dxa"/>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Rozstrzygnięcia sądowe</w:t>
            </w:r>
          </w:p>
        </w:tc>
        <w:tc>
          <w:tcPr>
            <w:tcW w:w="1616" w:type="dxa"/>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 xml:space="preserve">2020 </w:t>
            </w:r>
            <w:r w:rsidRPr="00E00B35">
              <w:rPr>
                <w:b/>
                <w:szCs w:val="20"/>
              </w:rPr>
              <w:t>rok</w:t>
            </w:r>
          </w:p>
        </w:tc>
        <w:tc>
          <w:tcPr>
            <w:tcW w:w="1616" w:type="dxa"/>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 xml:space="preserve">2019 </w:t>
            </w:r>
            <w:r w:rsidRPr="00E00B35">
              <w:rPr>
                <w:b/>
                <w:szCs w:val="20"/>
              </w:rPr>
              <w:t>rok</w:t>
            </w:r>
          </w:p>
        </w:tc>
        <w:tc>
          <w:tcPr>
            <w:tcW w:w="1437" w:type="dxa"/>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 xml:space="preserve">2018 </w:t>
            </w:r>
            <w:r w:rsidRPr="00E00B35">
              <w:rPr>
                <w:b/>
                <w:szCs w:val="20"/>
              </w:rPr>
              <w:t>rok</w:t>
            </w:r>
          </w:p>
        </w:tc>
        <w:tc>
          <w:tcPr>
            <w:tcW w:w="1257" w:type="dxa"/>
            <w:shd w:val="clear" w:color="auto" w:fill="D9D9D9" w:themeFill="background1" w:themeFillShade="D9"/>
            <w:vAlign w:val="center"/>
          </w:tcPr>
          <w:p w:rsidR="00E96768" w:rsidRPr="00E00B35" w:rsidRDefault="00E96768" w:rsidP="00E00B35">
            <w:pPr>
              <w:spacing w:after="0" w:line="312" w:lineRule="auto"/>
              <w:rPr>
                <w:b/>
                <w:bCs/>
                <w:szCs w:val="20"/>
              </w:rPr>
            </w:pPr>
            <w:r w:rsidRPr="00E00B35">
              <w:rPr>
                <w:b/>
                <w:bCs/>
                <w:szCs w:val="20"/>
              </w:rPr>
              <w:t xml:space="preserve">2017 </w:t>
            </w:r>
            <w:r w:rsidRPr="00E00B35">
              <w:rPr>
                <w:b/>
                <w:szCs w:val="20"/>
              </w:rPr>
              <w:t>rok</w:t>
            </w:r>
          </w:p>
        </w:tc>
      </w:tr>
      <w:tr w:rsidR="00E96768" w:rsidRPr="00E00B35" w:rsidTr="00E96768">
        <w:trPr>
          <w:trHeight w:val="375"/>
        </w:trPr>
        <w:tc>
          <w:tcPr>
            <w:tcW w:w="3664" w:type="dxa"/>
          </w:tcPr>
          <w:p w:rsidR="00E96768" w:rsidRPr="00E00B35" w:rsidRDefault="00E96768" w:rsidP="00E00B35">
            <w:pPr>
              <w:spacing w:after="0" w:line="312" w:lineRule="auto"/>
              <w:rPr>
                <w:szCs w:val="20"/>
              </w:rPr>
            </w:pPr>
            <w:r w:rsidRPr="00E00B35">
              <w:rPr>
                <w:szCs w:val="20"/>
              </w:rPr>
              <w:t>Sprawy wygrane</w:t>
            </w:r>
          </w:p>
          <w:p w:rsidR="00E96768" w:rsidRPr="00E00B35" w:rsidRDefault="00E96768" w:rsidP="00E00B35">
            <w:pPr>
              <w:spacing w:after="0" w:line="312" w:lineRule="auto"/>
              <w:rPr>
                <w:szCs w:val="20"/>
              </w:rPr>
            </w:pPr>
          </w:p>
        </w:tc>
        <w:tc>
          <w:tcPr>
            <w:tcW w:w="1616" w:type="dxa"/>
            <w:vAlign w:val="center"/>
          </w:tcPr>
          <w:p w:rsidR="00E96768" w:rsidRPr="00E00B35" w:rsidRDefault="00E96768" w:rsidP="00E00B35">
            <w:pPr>
              <w:spacing w:after="0" w:line="312" w:lineRule="auto"/>
              <w:rPr>
                <w:szCs w:val="20"/>
              </w:rPr>
            </w:pPr>
            <w:r w:rsidRPr="00E00B35">
              <w:rPr>
                <w:szCs w:val="20"/>
              </w:rPr>
              <w:t>88,62%</w:t>
            </w:r>
          </w:p>
        </w:tc>
        <w:tc>
          <w:tcPr>
            <w:tcW w:w="1616" w:type="dxa"/>
            <w:vAlign w:val="center"/>
          </w:tcPr>
          <w:p w:rsidR="00E96768" w:rsidRPr="00E00B35" w:rsidRDefault="00E96768" w:rsidP="00E00B35">
            <w:pPr>
              <w:spacing w:after="0" w:line="312" w:lineRule="auto"/>
              <w:rPr>
                <w:szCs w:val="20"/>
              </w:rPr>
            </w:pPr>
            <w:r w:rsidRPr="00E00B35">
              <w:rPr>
                <w:szCs w:val="20"/>
              </w:rPr>
              <w:t>89,38%</w:t>
            </w:r>
          </w:p>
        </w:tc>
        <w:tc>
          <w:tcPr>
            <w:tcW w:w="1437" w:type="dxa"/>
            <w:vAlign w:val="center"/>
          </w:tcPr>
          <w:p w:rsidR="00E96768" w:rsidRPr="00E00B35" w:rsidRDefault="00E96768" w:rsidP="00E00B35">
            <w:pPr>
              <w:spacing w:after="0" w:line="312" w:lineRule="auto"/>
              <w:rPr>
                <w:szCs w:val="20"/>
              </w:rPr>
            </w:pPr>
            <w:r w:rsidRPr="00E00B35">
              <w:rPr>
                <w:szCs w:val="20"/>
              </w:rPr>
              <w:t>77,05%</w:t>
            </w:r>
          </w:p>
        </w:tc>
        <w:tc>
          <w:tcPr>
            <w:tcW w:w="1257" w:type="dxa"/>
            <w:vAlign w:val="center"/>
          </w:tcPr>
          <w:p w:rsidR="00E96768" w:rsidRPr="00E00B35" w:rsidRDefault="00E96768" w:rsidP="00E00B35">
            <w:pPr>
              <w:spacing w:after="0" w:line="312" w:lineRule="auto"/>
              <w:rPr>
                <w:szCs w:val="20"/>
              </w:rPr>
            </w:pPr>
            <w:r w:rsidRPr="00E00B35">
              <w:rPr>
                <w:szCs w:val="20"/>
              </w:rPr>
              <w:t>82,63%</w:t>
            </w:r>
          </w:p>
        </w:tc>
      </w:tr>
      <w:tr w:rsidR="00E96768" w:rsidRPr="00E00B35" w:rsidTr="00E96768">
        <w:trPr>
          <w:trHeight w:val="375"/>
        </w:trPr>
        <w:tc>
          <w:tcPr>
            <w:tcW w:w="3664" w:type="dxa"/>
          </w:tcPr>
          <w:p w:rsidR="00E96768" w:rsidRPr="00E00B35" w:rsidRDefault="00E96768" w:rsidP="00E00B35">
            <w:pPr>
              <w:spacing w:after="0" w:line="312" w:lineRule="auto"/>
              <w:rPr>
                <w:szCs w:val="20"/>
              </w:rPr>
            </w:pPr>
            <w:r w:rsidRPr="00E00B35">
              <w:rPr>
                <w:szCs w:val="20"/>
              </w:rPr>
              <w:t>Sprawy przegrane</w:t>
            </w:r>
          </w:p>
          <w:p w:rsidR="00E96768" w:rsidRPr="00E00B35" w:rsidRDefault="00E96768" w:rsidP="00E00B35">
            <w:pPr>
              <w:spacing w:after="0" w:line="312" w:lineRule="auto"/>
              <w:rPr>
                <w:szCs w:val="20"/>
              </w:rPr>
            </w:pPr>
          </w:p>
        </w:tc>
        <w:tc>
          <w:tcPr>
            <w:tcW w:w="1616" w:type="dxa"/>
            <w:vAlign w:val="center"/>
          </w:tcPr>
          <w:p w:rsidR="00E96768" w:rsidRPr="00E00B35" w:rsidRDefault="00E96768" w:rsidP="00E00B35">
            <w:pPr>
              <w:spacing w:after="0" w:line="312" w:lineRule="auto"/>
              <w:rPr>
                <w:szCs w:val="20"/>
              </w:rPr>
            </w:pPr>
            <w:r w:rsidRPr="00E00B35">
              <w:rPr>
                <w:szCs w:val="20"/>
              </w:rPr>
              <w:t>10,77%</w:t>
            </w:r>
          </w:p>
        </w:tc>
        <w:tc>
          <w:tcPr>
            <w:tcW w:w="1616" w:type="dxa"/>
            <w:vAlign w:val="center"/>
          </w:tcPr>
          <w:p w:rsidR="00E96768" w:rsidRPr="00E00B35" w:rsidRDefault="00E96768" w:rsidP="00E00B35">
            <w:pPr>
              <w:spacing w:after="0" w:line="312" w:lineRule="auto"/>
              <w:rPr>
                <w:szCs w:val="20"/>
              </w:rPr>
            </w:pPr>
            <w:r w:rsidRPr="00E00B35">
              <w:rPr>
                <w:szCs w:val="20"/>
              </w:rPr>
              <w:t>6,06%</w:t>
            </w:r>
          </w:p>
        </w:tc>
        <w:tc>
          <w:tcPr>
            <w:tcW w:w="1437" w:type="dxa"/>
            <w:vAlign w:val="center"/>
          </w:tcPr>
          <w:p w:rsidR="00E96768" w:rsidRPr="00E00B35" w:rsidRDefault="00E96768" w:rsidP="00E00B35">
            <w:pPr>
              <w:spacing w:after="0" w:line="312" w:lineRule="auto"/>
              <w:rPr>
                <w:szCs w:val="20"/>
              </w:rPr>
            </w:pPr>
            <w:r w:rsidRPr="00E00B35">
              <w:rPr>
                <w:szCs w:val="20"/>
              </w:rPr>
              <w:t>18,99%</w:t>
            </w:r>
          </w:p>
        </w:tc>
        <w:tc>
          <w:tcPr>
            <w:tcW w:w="1257" w:type="dxa"/>
            <w:vAlign w:val="center"/>
          </w:tcPr>
          <w:p w:rsidR="00E96768" w:rsidRPr="00E00B35" w:rsidRDefault="00E96768" w:rsidP="00E00B35">
            <w:pPr>
              <w:spacing w:after="0" w:line="312" w:lineRule="auto"/>
              <w:rPr>
                <w:szCs w:val="20"/>
              </w:rPr>
            </w:pPr>
            <w:r w:rsidRPr="00E00B35">
              <w:rPr>
                <w:szCs w:val="20"/>
              </w:rPr>
              <w:t>12,35%</w:t>
            </w:r>
          </w:p>
        </w:tc>
      </w:tr>
      <w:tr w:rsidR="00E96768" w:rsidRPr="00E00B35" w:rsidTr="00E96768">
        <w:trPr>
          <w:trHeight w:val="562"/>
        </w:trPr>
        <w:tc>
          <w:tcPr>
            <w:tcW w:w="3664" w:type="dxa"/>
          </w:tcPr>
          <w:p w:rsidR="00E96768" w:rsidRPr="00E00B35" w:rsidRDefault="00E96768" w:rsidP="00E00B35">
            <w:pPr>
              <w:spacing w:after="0" w:line="312" w:lineRule="auto"/>
              <w:rPr>
                <w:szCs w:val="20"/>
              </w:rPr>
            </w:pPr>
            <w:r w:rsidRPr="00E00B35">
              <w:rPr>
                <w:szCs w:val="20"/>
              </w:rPr>
              <w:t>Sprawy rozstrzygnięte w inny sposób</w:t>
            </w:r>
          </w:p>
        </w:tc>
        <w:tc>
          <w:tcPr>
            <w:tcW w:w="1616" w:type="dxa"/>
            <w:vAlign w:val="center"/>
          </w:tcPr>
          <w:p w:rsidR="00E96768" w:rsidRPr="00E00B35" w:rsidRDefault="00E96768" w:rsidP="00E00B35">
            <w:pPr>
              <w:spacing w:after="0" w:line="312" w:lineRule="auto"/>
              <w:rPr>
                <w:szCs w:val="20"/>
              </w:rPr>
            </w:pPr>
            <w:r w:rsidRPr="00E00B35">
              <w:rPr>
                <w:szCs w:val="20"/>
              </w:rPr>
              <w:t>0,59%</w:t>
            </w:r>
          </w:p>
        </w:tc>
        <w:tc>
          <w:tcPr>
            <w:tcW w:w="1616" w:type="dxa"/>
            <w:vAlign w:val="center"/>
          </w:tcPr>
          <w:p w:rsidR="00E96768" w:rsidRPr="00E00B35" w:rsidRDefault="00E96768" w:rsidP="00E00B35">
            <w:pPr>
              <w:spacing w:after="0" w:line="312" w:lineRule="auto"/>
              <w:rPr>
                <w:szCs w:val="20"/>
              </w:rPr>
            </w:pPr>
            <w:r w:rsidRPr="00E00B35">
              <w:rPr>
                <w:szCs w:val="20"/>
              </w:rPr>
              <w:t>4,54%</w:t>
            </w:r>
          </w:p>
        </w:tc>
        <w:tc>
          <w:tcPr>
            <w:tcW w:w="1437" w:type="dxa"/>
            <w:vAlign w:val="center"/>
          </w:tcPr>
          <w:p w:rsidR="00E96768" w:rsidRPr="00E00B35" w:rsidRDefault="00E96768" w:rsidP="00E00B35">
            <w:pPr>
              <w:spacing w:after="0" w:line="312" w:lineRule="auto"/>
              <w:rPr>
                <w:szCs w:val="20"/>
              </w:rPr>
            </w:pPr>
            <w:r w:rsidRPr="00E00B35">
              <w:rPr>
                <w:szCs w:val="20"/>
              </w:rPr>
              <w:t>3,99%</w:t>
            </w:r>
          </w:p>
        </w:tc>
        <w:tc>
          <w:tcPr>
            <w:tcW w:w="1257" w:type="dxa"/>
            <w:vAlign w:val="center"/>
          </w:tcPr>
          <w:p w:rsidR="00E96768" w:rsidRPr="00E00B35" w:rsidRDefault="00E96768" w:rsidP="00E00B35">
            <w:pPr>
              <w:spacing w:after="0" w:line="312" w:lineRule="auto"/>
              <w:rPr>
                <w:szCs w:val="20"/>
              </w:rPr>
            </w:pPr>
            <w:r w:rsidRPr="00E00B35">
              <w:rPr>
                <w:szCs w:val="20"/>
              </w:rPr>
              <w:t>5,02%</w:t>
            </w:r>
          </w:p>
        </w:tc>
      </w:tr>
    </w:tbl>
    <w:p w:rsidR="00E96768" w:rsidRPr="00E00B35" w:rsidRDefault="00E96768" w:rsidP="00E00B35">
      <w:pPr>
        <w:spacing w:after="0" w:line="312" w:lineRule="auto"/>
        <w:rPr>
          <w:szCs w:val="20"/>
        </w:rPr>
      </w:pPr>
    </w:p>
    <w:p w:rsidR="00E96768" w:rsidRPr="00E00B35" w:rsidRDefault="00E96768" w:rsidP="00E00B35">
      <w:pPr>
        <w:spacing w:after="0" w:line="312" w:lineRule="auto"/>
        <w:rPr>
          <w:szCs w:val="20"/>
        </w:rPr>
      </w:pPr>
      <w:r w:rsidRPr="00E00B35">
        <w:rPr>
          <w:szCs w:val="20"/>
        </w:rPr>
        <w:t>Wśród spraw sądowych  ilościowo dominowały postępowania:</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 zapłatę z tytułu użytkowania wieczystego, dzierżawy, bezumownego korzystania z nieruchomości, najmu;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 eksmisję z lokali mieszkalnych, o ustalenie istnienia lub nieistnienia stosunku najmu, o dostarczenie lokalu socjalnego, o podział majątku;</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o zasiedzenie, o aktualizację opłat za wieczyste użytkowanie nieruchomości;</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lastRenderedPageBreak/>
        <w:t>o wyjawienie majątku dłużnika, upadłościowe i układowe, przeciwko członkom za</w:t>
      </w:r>
      <w:r w:rsidR="001426C9" w:rsidRPr="00E00B35">
        <w:rPr>
          <w:szCs w:val="20"/>
        </w:rPr>
        <w:t>rządów firm.</w:t>
      </w:r>
    </w:p>
    <w:p w:rsidR="00E96768" w:rsidRPr="00E00B35" w:rsidRDefault="001426C9" w:rsidP="00E00B35">
      <w:pPr>
        <w:spacing w:after="0" w:line="312" w:lineRule="auto"/>
        <w:rPr>
          <w:szCs w:val="20"/>
        </w:rPr>
      </w:pPr>
      <w:r w:rsidRPr="00E00B35">
        <w:rPr>
          <w:szCs w:val="20"/>
        </w:rPr>
        <w:br/>
      </w:r>
      <w:r w:rsidR="00E96768" w:rsidRPr="00E00B35">
        <w:rPr>
          <w:szCs w:val="20"/>
        </w:rPr>
        <w:t>Radcowie prawni zatrudnieni w Urzędzie:</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parafowali pod względem formalnoprawnym około 3500 dokumentów (umowy, akty normatywne, zarządzenia, uchwały, dokumenty przetargowe, porozumienia, pisma w postępowaniu administracyjnym);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wydali 160 pisemnych opinii prawnych;</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uczestniczyli w naradach oraz konsultacjach świadcząc doradztwo prawne na rzecz pracowników, dyrektorów oraz kierownictwa Urzędu.</w:t>
      </w:r>
    </w:p>
    <w:p w:rsidR="00E96768" w:rsidRPr="00E00B35" w:rsidRDefault="00E96768" w:rsidP="00E00B35">
      <w:pPr>
        <w:spacing w:after="0" w:line="312" w:lineRule="auto"/>
        <w:rPr>
          <w:szCs w:val="20"/>
        </w:rPr>
      </w:pPr>
      <w:r w:rsidRPr="00E00B35">
        <w:rPr>
          <w:szCs w:val="20"/>
        </w:rPr>
        <w:t>W 2020 r. zostało wydanych 134 opinii w zakresie przekazywanych do opiniowania projektów uchwał oraz innych dokumentów wynikających z bieżących potrzeb w przedmiocie legislacji i stanowienia prawa.</w:t>
      </w:r>
    </w:p>
    <w:p w:rsidR="00E96768" w:rsidRPr="00E00B35" w:rsidRDefault="00E96768" w:rsidP="00E00B35">
      <w:pPr>
        <w:spacing w:after="0" w:line="312" w:lineRule="auto"/>
        <w:rPr>
          <w:szCs w:val="20"/>
        </w:rPr>
      </w:pPr>
      <w:r w:rsidRPr="00E00B35">
        <w:rPr>
          <w:szCs w:val="20"/>
        </w:rPr>
        <w:t xml:space="preserve">W zakresie realizacji budżetu zostało przygotowanych 808 wniosków o dokonanie płatności, zakupiono i wydano 1073 sztuk znaków opłaty sądowej oraz przygotowano </w:t>
      </w:r>
      <w:r w:rsidRPr="00E00B35">
        <w:rPr>
          <w:szCs w:val="20"/>
        </w:rPr>
        <w:br/>
        <w:t>1 513 pełnomocnictw procesowych.</w:t>
      </w:r>
    </w:p>
    <w:p w:rsidR="00E96768" w:rsidRPr="00E00B35" w:rsidRDefault="00E96768" w:rsidP="00E00B35">
      <w:pPr>
        <w:spacing w:after="0" w:line="312" w:lineRule="auto"/>
        <w:rPr>
          <w:szCs w:val="20"/>
        </w:rPr>
      </w:pPr>
      <w:r w:rsidRPr="00E00B35">
        <w:rPr>
          <w:szCs w:val="20"/>
        </w:rPr>
        <w:t xml:space="preserve">W ramach rozpoczętego w 2010 r. programu praktyk studenckich studentów Wydziału Prawa, Administracji i Ekonomii Uniwersytetu Wrocławskiego, którego celem jest zdobycie doświadczenia w pracy w jednostce samorządu terytorialnego, w 2020 r. </w:t>
      </w:r>
      <w:r w:rsidRPr="00E00B35">
        <w:rPr>
          <w:szCs w:val="20"/>
        </w:rPr>
        <w:br/>
        <w:t>3-tygodniową praktykę odbyło w Urzędzie 5 studentów.</w:t>
      </w:r>
    </w:p>
    <w:p w:rsidR="00E96768" w:rsidRPr="00E00B35" w:rsidRDefault="001426C9" w:rsidP="00E00B35">
      <w:pPr>
        <w:pStyle w:val="Nagwek4"/>
        <w:spacing w:before="0" w:after="0" w:line="312" w:lineRule="auto"/>
        <w:rPr>
          <w:sz w:val="20"/>
          <w:szCs w:val="20"/>
        </w:rPr>
      </w:pPr>
      <w:r w:rsidRPr="00E00B35">
        <w:rPr>
          <w:sz w:val="20"/>
          <w:szCs w:val="20"/>
        </w:rPr>
        <w:br/>
      </w:r>
      <w:r w:rsidR="00E96768" w:rsidRPr="00E00B35">
        <w:rPr>
          <w:sz w:val="20"/>
          <w:szCs w:val="20"/>
        </w:rPr>
        <w:t>SPRAWY UPADŁOŚCIOWE (1 STYCZNIA 2020 R. - 31 GRUDNIA 2020 R.)</w:t>
      </w:r>
    </w:p>
    <w:p w:rsidR="00E96768" w:rsidRPr="00E00B35" w:rsidRDefault="00E96768" w:rsidP="00E00B35">
      <w:pPr>
        <w:spacing w:after="0" w:line="312" w:lineRule="auto"/>
        <w:rPr>
          <w:szCs w:val="20"/>
        </w:rPr>
      </w:pPr>
      <w:r w:rsidRPr="00E00B35">
        <w:rPr>
          <w:szCs w:val="20"/>
        </w:rPr>
        <w:t>Ilość spraw czynnych na  1 stycznia 2020 r.: 292</w:t>
      </w:r>
    </w:p>
    <w:p w:rsidR="00E96768" w:rsidRPr="00E00B35" w:rsidRDefault="00E96768" w:rsidP="00E00B35">
      <w:pPr>
        <w:spacing w:after="0" w:line="312" w:lineRule="auto"/>
        <w:rPr>
          <w:szCs w:val="20"/>
        </w:rPr>
      </w:pPr>
      <w:r w:rsidRPr="00E00B35">
        <w:rPr>
          <w:szCs w:val="20"/>
        </w:rPr>
        <w:t xml:space="preserve">Ilość spraw czynnych na  1 stycznia 2020 r.: 32 – Gmina Wrocław, 8- Skarb Państwa </w:t>
      </w:r>
    </w:p>
    <w:p w:rsidR="00E96768" w:rsidRPr="00E00B35" w:rsidRDefault="00E96768" w:rsidP="00E00B35">
      <w:pPr>
        <w:spacing w:after="0" w:line="312" w:lineRule="auto"/>
        <w:rPr>
          <w:szCs w:val="20"/>
        </w:rPr>
      </w:pPr>
      <w:r w:rsidRPr="00E00B35">
        <w:rPr>
          <w:szCs w:val="20"/>
        </w:rPr>
        <w:t>Ilość spraw podjętych w okresie: 107</w:t>
      </w:r>
    </w:p>
    <w:p w:rsidR="00E96768" w:rsidRPr="00E00B35" w:rsidRDefault="00E96768" w:rsidP="00E00B35">
      <w:pPr>
        <w:spacing w:after="0" w:line="312" w:lineRule="auto"/>
        <w:rPr>
          <w:szCs w:val="20"/>
        </w:rPr>
      </w:pPr>
      <w:r w:rsidRPr="00E00B35">
        <w:rPr>
          <w:szCs w:val="20"/>
        </w:rPr>
        <w:t>Ilość spraw podjętych i zakończonych z uwagi na brak zgłoszenia: 52</w:t>
      </w:r>
    </w:p>
    <w:p w:rsidR="00E96768" w:rsidRPr="00E00B35" w:rsidRDefault="00E96768" w:rsidP="00E00B35">
      <w:pPr>
        <w:spacing w:after="0" w:line="312" w:lineRule="auto"/>
        <w:rPr>
          <w:szCs w:val="20"/>
        </w:rPr>
      </w:pPr>
      <w:r w:rsidRPr="00E00B35">
        <w:rPr>
          <w:szCs w:val="20"/>
        </w:rPr>
        <w:t>Ilość spraw czynnych na 31 grudnia 2020 r: 307</w:t>
      </w:r>
    </w:p>
    <w:p w:rsidR="00E96768" w:rsidRPr="00E00B35" w:rsidRDefault="00E96768" w:rsidP="00E00B35">
      <w:pPr>
        <w:pStyle w:val="Tekstpodstawowy"/>
        <w:spacing w:after="0" w:line="312" w:lineRule="auto"/>
        <w:rPr>
          <w:szCs w:val="20"/>
        </w:rPr>
      </w:pPr>
      <w:r w:rsidRPr="00E00B35">
        <w:rPr>
          <w:szCs w:val="20"/>
        </w:rPr>
        <w:t xml:space="preserve">W 2020 r. zgłoszono do Sądów upadłościowych i Syndyków w całej Polsce </w:t>
      </w:r>
      <w:r w:rsidRPr="00E00B35">
        <w:rPr>
          <w:bCs/>
          <w:szCs w:val="20"/>
        </w:rPr>
        <w:t xml:space="preserve">55 </w:t>
      </w:r>
      <w:r w:rsidRPr="00E00B35">
        <w:rPr>
          <w:szCs w:val="20"/>
        </w:rPr>
        <w:t>zgłoszenia wierzytelności w tym: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Gmina Wrocław- 43 szt. na kwotę 2 921 367,21 zł,</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Skarb Państwa – Prezydent Wrocławia - 7 szt. na kwotę 18 168,88 zł,</w:t>
      </w:r>
    </w:p>
    <w:p w:rsidR="00E96768" w:rsidRPr="00E00B35" w:rsidRDefault="00E96768" w:rsidP="00BC64AB">
      <w:pPr>
        <w:pStyle w:val="Akapitzlist"/>
        <w:numPr>
          <w:ilvl w:val="0"/>
          <w:numId w:val="245"/>
        </w:numPr>
        <w:spacing w:after="0" w:line="312" w:lineRule="auto"/>
        <w:ind w:left="567" w:hanging="567"/>
        <w:rPr>
          <w:bCs/>
          <w:szCs w:val="20"/>
        </w:rPr>
      </w:pPr>
      <w:r w:rsidRPr="00E00B35">
        <w:rPr>
          <w:szCs w:val="20"/>
        </w:rPr>
        <w:t>5 zgłoszeń</w:t>
      </w:r>
      <w:r w:rsidRPr="00E00B35">
        <w:rPr>
          <w:bCs/>
          <w:szCs w:val="20"/>
        </w:rPr>
        <w:t xml:space="preserve"> GW i SP </w:t>
      </w:r>
      <w:r w:rsidRPr="00E00B35">
        <w:rPr>
          <w:szCs w:val="20"/>
        </w:rPr>
        <w:t>(uzupełnienia, korekty).</w:t>
      </w:r>
    </w:p>
    <w:p w:rsidR="00E96768" w:rsidRPr="00E00B35" w:rsidRDefault="00E96768" w:rsidP="00E00B35">
      <w:pPr>
        <w:pStyle w:val="Tekstpodstawowy"/>
        <w:spacing w:after="0" w:line="312" w:lineRule="auto"/>
        <w:rPr>
          <w:bCs/>
          <w:szCs w:val="20"/>
        </w:rPr>
      </w:pPr>
      <w:r w:rsidRPr="00E00B35">
        <w:rPr>
          <w:bCs/>
          <w:szCs w:val="20"/>
        </w:rPr>
        <w:t xml:space="preserve">Suma zgłoszonej wierzytelności od </w:t>
      </w:r>
      <w:r w:rsidRPr="00E00B35">
        <w:rPr>
          <w:szCs w:val="20"/>
        </w:rPr>
        <w:t>1 stycznia 2020 r. do 31 grudnia 2020 r</w:t>
      </w:r>
      <w:r w:rsidRPr="00E00B35">
        <w:rPr>
          <w:bCs/>
          <w:szCs w:val="20"/>
        </w:rPr>
        <w:t xml:space="preserve">. w postępowaniach upadłościowych </w:t>
      </w:r>
      <w:r w:rsidRPr="00E00B35">
        <w:rPr>
          <w:szCs w:val="20"/>
        </w:rPr>
        <w:t xml:space="preserve">wynosi </w:t>
      </w:r>
      <w:r w:rsidRPr="00E00B35">
        <w:rPr>
          <w:bCs/>
          <w:szCs w:val="20"/>
        </w:rPr>
        <w:t>2 939 536,09 zł.</w:t>
      </w:r>
    </w:p>
    <w:p w:rsidR="00E96768" w:rsidRPr="00E00B35" w:rsidRDefault="00E96768" w:rsidP="00E00B35">
      <w:pPr>
        <w:pStyle w:val="Tekstpodstawowy"/>
        <w:spacing w:after="0" w:line="312" w:lineRule="auto"/>
        <w:rPr>
          <w:szCs w:val="20"/>
        </w:rPr>
      </w:pPr>
    </w:p>
    <w:p w:rsidR="00E96768" w:rsidRPr="00E00B35" w:rsidRDefault="00E96768" w:rsidP="00E00B35">
      <w:pPr>
        <w:pStyle w:val="Nagwek4"/>
        <w:spacing w:before="0" w:after="0" w:line="312" w:lineRule="auto"/>
        <w:rPr>
          <w:sz w:val="20"/>
          <w:szCs w:val="20"/>
        </w:rPr>
      </w:pPr>
      <w:r w:rsidRPr="00E00B35">
        <w:rPr>
          <w:sz w:val="20"/>
          <w:szCs w:val="20"/>
        </w:rPr>
        <w:t>SPRAWY RESTRUKTURYZACYJNE (1 STYCZNIA 2020 ROKU - 31 GRUDNIA 2020 ROKU)</w:t>
      </w:r>
    </w:p>
    <w:p w:rsidR="00E96768" w:rsidRPr="00E00B35" w:rsidRDefault="00E96768" w:rsidP="00E00B35">
      <w:pPr>
        <w:pStyle w:val="Tekstpodstawowy"/>
        <w:spacing w:after="0" w:line="312" w:lineRule="auto"/>
        <w:rPr>
          <w:bCs/>
          <w:szCs w:val="20"/>
        </w:rPr>
      </w:pPr>
      <w:r w:rsidRPr="00E00B35">
        <w:rPr>
          <w:szCs w:val="20"/>
        </w:rPr>
        <w:t xml:space="preserve">W 2020 roku </w:t>
      </w:r>
      <w:r w:rsidRPr="00E00B35">
        <w:rPr>
          <w:bCs/>
          <w:szCs w:val="20"/>
        </w:rPr>
        <w:t xml:space="preserve">9 szt. informacji do Nadzorców układu, Zarządców i Sądów w postępowaniach restrukturyzacyjnych </w:t>
      </w:r>
      <w:r w:rsidRPr="00E00B35">
        <w:rPr>
          <w:szCs w:val="20"/>
        </w:rPr>
        <w:t>na kwotę</w:t>
      </w:r>
      <w:r w:rsidRPr="00E00B35">
        <w:rPr>
          <w:bCs/>
          <w:szCs w:val="20"/>
        </w:rPr>
        <w:t xml:space="preserve"> 1 464 470,90 zł</w:t>
      </w:r>
      <w:r w:rsidR="002D2715" w:rsidRPr="00E00B35">
        <w:rPr>
          <w:bCs/>
          <w:szCs w:val="20"/>
        </w:rPr>
        <w:t xml:space="preserve"> </w:t>
      </w:r>
      <w:r w:rsidRPr="00E00B35">
        <w:rPr>
          <w:iCs/>
          <w:szCs w:val="20"/>
        </w:rPr>
        <w:t>w tym:</w:t>
      </w:r>
    </w:p>
    <w:p w:rsidR="00E96768" w:rsidRPr="00E00B35" w:rsidRDefault="00E96768" w:rsidP="00BC64AB">
      <w:pPr>
        <w:pStyle w:val="Akapitzlist"/>
        <w:numPr>
          <w:ilvl w:val="0"/>
          <w:numId w:val="245"/>
        </w:numPr>
        <w:spacing w:after="0" w:line="312" w:lineRule="auto"/>
        <w:ind w:left="567" w:hanging="567"/>
        <w:rPr>
          <w:szCs w:val="20"/>
        </w:rPr>
      </w:pPr>
      <w:r w:rsidRPr="00E00B35">
        <w:rPr>
          <w:szCs w:val="20"/>
        </w:rPr>
        <w:t>Gmina Wrocław - 7 szt. na kwotę – 950 723,15 zł,</w:t>
      </w:r>
    </w:p>
    <w:p w:rsidR="00E96768" w:rsidRPr="00E00B35" w:rsidRDefault="00E96768" w:rsidP="00BC64AB">
      <w:pPr>
        <w:pStyle w:val="Akapitzlist"/>
        <w:numPr>
          <w:ilvl w:val="0"/>
          <w:numId w:val="245"/>
        </w:numPr>
        <w:spacing w:after="0" w:line="312" w:lineRule="auto"/>
        <w:ind w:left="567" w:hanging="567"/>
        <w:rPr>
          <w:bCs/>
          <w:szCs w:val="20"/>
        </w:rPr>
      </w:pPr>
      <w:r w:rsidRPr="00E00B35">
        <w:rPr>
          <w:szCs w:val="20"/>
        </w:rPr>
        <w:t>Skarb Państwa</w:t>
      </w:r>
      <w:r w:rsidRPr="00E00B35">
        <w:rPr>
          <w:bCs/>
          <w:szCs w:val="20"/>
        </w:rPr>
        <w:t xml:space="preserve"> - Prezydent Wrocławia </w:t>
      </w:r>
      <w:r w:rsidRPr="00E00B35">
        <w:rPr>
          <w:szCs w:val="20"/>
        </w:rPr>
        <w:t>- 2 szt. na kwotę</w:t>
      </w:r>
      <w:r w:rsidRPr="00E00B35">
        <w:rPr>
          <w:bCs/>
          <w:szCs w:val="20"/>
        </w:rPr>
        <w:t xml:space="preserve"> 513 747,75 zł.</w:t>
      </w:r>
    </w:p>
    <w:p w:rsidR="00E96768" w:rsidRPr="00E00B35" w:rsidRDefault="00E96768" w:rsidP="00E00B35">
      <w:pPr>
        <w:pStyle w:val="Tekstpodstawowy"/>
        <w:spacing w:after="0" w:line="312" w:lineRule="auto"/>
        <w:rPr>
          <w:bCs/>
          <w:i/>
          <w:iCs/>
          <w:szCs w:val="20"/>
        </w:rPr>
      </w:pPr>
      <w:r w:rsidRPr="00E00B35">
        <w:rPr>
          <w:bCs/>
          <w:szCs w:val="20"/>
        </w:rPr>
        <w:t>Suma wierzytelności Gminy i Skarbu Państwa w obu postępowaniach to kwota 4 404 006,99 zł – zgłoszeń 64.</w:t>
      </w:r>
    </w:p>
    <w:p w:rsidR="00E96768" w:rsidRPr="00E00B35" w:rsidRDefault="00E96768" w:rsidP="00E00B35">
      <w:pPr>
        <w:pStyle w:val="Tekstpodstawowy"/>
        <w:spacing w:after="0" w:line="312" w:lineRule="auto"/>
        <w:rPr>
          <w:szCs w:val="20"/>
        </w:rPr>
      </w:pPr>
      <w:r w:rsidRPr="00E00B35">
        <w:rPr>
          <w:bCs/>
          <w:szCs w:val="20"/>
        </w:rPr>
        <w:lastRenderedPageBreak/>
        <w:t>Z toczących się postępowań upadłościowych i restrukturyzacyjnych</w:t>
      </w:r>
      <w:r w:rsidRPr="00E00B35">
        <w:rPr>
          <w:szCs w:val="20"/>
        </w:rPr>
        <w:t xml:space="preserve"> - z planów podziału funduszów masy upadłości i realizacji układów w restrukturyzacji na konta Gminy Wrocław i Skarbu Państwa - </w:t>
      </w:r>
      <w:r w:rsidRPr="00E00B35">
        <w:rPr>
          <w:bCs/>
          <w:szCs w:val="20"/>
        </w:rPr>
        <w:t xml:space="preserve">wpłynęła łączna </w:t>
      </w:r>
      <w:r w:rsidRPr="00E00B35">
        <w:rPr>
          <w:szCs w:val="20"/>
        </w:rPr>
        <w:t xml:space="preserve">kwota </w:t>
      </w:r>
      <w:r w:rsidRPr="00E00B35">
        <w:rPr>
          <w:bCs/>
          <w:szCs w:val="20"/>
        </w:rPr>
        <w:t>209 799,22 zł</w:t>
      </w:r>
      <w:r w:rsidRPr="00E00B35">
        <w:rPr>
          <w:szCs w:val="20"/>
        </w:rPr>
        <w:t>:</w:t>
      </w:r>
    </w:p>
    <w:p w:rsidR="00E96768" w:rsidRPr="00E00B35" w:rsidRDefault="00E96768" w:rsidP="00BC64AB">
      <w:pPr>
        <w:pStyle w:val="Akapitzlist"/>
        <w:numPr>
          <w:ilvl w:val="0"/>
          <w:numId w:val="245"/>
        </w:numPr>
        <w:spacing w:after="0" w:line="312" w:lineRule="auto"/>
        <w:ind w:left="567" w:hanging="567"/>
        <w:rPr>
          <w:szCs w:val="20"/>
        </w:rPr>
      </w:pPr>
      <w:r w:rsidRPr="00E00B35">
        <w:rPr>
          <w:bCs/>
          <w:szCs w:val="20"/>
        </w:rPr>
        <w:t xml:space="preserve">z </w:t>
      </w:r>
      <w:r w:rsidRPr="00E00B35">
        <w:rPr>
          <w:szCs w:val="20"/>
        </w:rPr>
        <w:t>postępowań</w:t>
      </w:r>
      <w:r w:rsidRPr="00E00B35">
        <w:rPr>
          <w:bCs/>
          <w:szCs w:val="20"/>
        </w:rPr>
        <w:t xml:space="preserve"> upad</w:t>
      </w:r>
      <w:r w:rsidR="002D2715" w:rsidRPr="00E00B35">
        <w:rPr>
          <w:bCs/>
          <w:szCs w:val="20"/>
        </w:rPr>
        <w:t xml:space="preserve">łościowych łącznie 32 765,31 zł, </w:t>
      </w:r>
      <w:r w:rsidRPr="00E00B35">
        <w:rPr>
          <w:iCs/>
          <w:szCs w:val="20"/>
        </w:rPr>
        <w:t>w tym</w:t>
      </w:r>
      <w:r w:rsidRPr="00E00B35">
        <w:rPr>
          <w:szCs w:val="20"/>
        </w:rPr>
        <w:t>:</w:t>
      </w:r>
    </w:p>
    <w:p w:rsidR="00E96768" w:rsidRPr="00E00B35" w:rsidRDefault="00E96768" w:rsidP="00BC64AB">
      <w:pPr>
        <w:numPr>
          <w:ilvl w:val="0"/>
          <w:numId w:val="247"/>
        </w:numPr>
        <w:tabs>
          <w:tab w:val="clear" w:pos="1204"/>
          <w:tab w:val="num" w:pos="1134"/>
          <w:tab w:val="left" w:pos="1560"/>
        </w:tabs>
        <w:spacing w:after="0" w:line="312" w:lineRule="auto"/>
        <w:ind w:hanging="637"/>
        <w:rPr>
          <w:szCs w:val="20"/>
        </w:rPr>
      </w:pPr>
      <w:r w:rsidRPr="00E00B35">
        <w:rPr>
          <w:szCs w:val="20"/>
        </w:rPr>
        <w:t>z</w:t>
      </w:r>
      <w:r w:rsidR="006A5FEE" w:rsidRPr="00E00B35">
        <w:rPr>
          <w:szCs w:val="20"/>
        </w:rPr>
        <w:tab/>
      </w:r>
      <w:r w:rsidRPr="00E00B35">
        <w:rPr>
          <w:rFonts w:cs="Verdana"/>
          <w:szCs w:val="20"/>
        </w:rPr>
        <w:t>planów</w:t>
      </w:r>
      <w:r w:rsidRPr="00E00B35">
        <w:rPr>
          <w:szCs w:val="20"/>
        </w:rPr>
        <w:t xml:space="preserve"> podziału funduszów masy upadłości łącznie </w:t>
      </w:r>
      <w:r w:rsidRPr="00E00B35">
        <w:rPr>
          <w:bCs/>
          <w:szCs w:val="20"/>
        </w:rPr>
        <w:t>23 969,63 zł</w:t>
      </w:r>
    </w:p>
    <w:p w:rsidR="00E96768" w:rsidRPr="00E00B35" w:rsidRDefault="00E96768" w:rsidP="00BC64AB">
      <w:pPr>
        <w:pStyle w:val="Tekstpodstawowy"/>
        <w:numPr>
          <w:ilvl w:val="0"/>
          <w:numId w:val="249"/>
        </w:numPr>
        <w:spacing w:after="0" w:line="312" w:lineRule="auto"/>
        <w:ind w:hanging="577"/>
        <w:rPr>
          <w:szCs w:val="20"/>
        </w:rPr>
      </w:pPr>
      <w:r w:rsidRPr="00E00B35">
        <w:rPr>
          <w:szCs w:val="20"/>
        </w:rPr>
        <w:t>Gmina – 23 167,84 zł</w:t>
      </w:r>
    </w:p>
    <w:p w:rsidR="00E96768" w:rsidRPr="00E00B35" w:rsidRDefault="00E96768" w:rsidP="00BC64AB">
      <w:pPr>
        <w:pStyle w:val="Tekstpodstawowy"/>
        <w:numPr>
          <w:ilvl w:val="0"/>
          <w:numId w:val="249"/>
        </w:numPr>
        <w:spacing w:after="0" w:line="312" w:lineRule="auto"/>
        <w:ind w:hanging="577"/>
        <w:rPr>
          <w:szCs w:val="20"/>
        </w:rPr>
      </w:pPr>
      <w:r w:rsidRPr="00E00B35">
        <w:rPr>
          <w:szCs w:val="20"/>
        </w:rPr>
        <w:t>Skarb Państwa –  801,79 zł</w:t>
      </w:r>
    </w:p>
    <w:p w:rsidR="00E96768" w:rsidRPr="00E00B35" w:rsidRDefault="00E96768" w:rsidP="00BC64AB">
      <w:pPr>
        <w:numPr>
          <w:ilvl w:val="0"/>
          <w:numId w:val="247"/>
        </w:numPr>
        <w:tabs>
          <w:tab w:val="clear" w:pos="1204"/>
          <w:tab w:val="num" w:pos="1134"/>
          <w:tab w:val="left" w:pos="1560"/>
        </w:tabs>
        <w:spacing w:after="0" w:line="312" w:lineRule="auto"/>
        <w:ind w:hanging="637"/>
        <w:rPr>
          <w:szCs w:val="20"/>
        </w:rPr>
      </w:pPr>
      <w:r w:rsidRPr="00E00B35">
        <w:rPr>
          <w:szCs w:val="20"/>
        </w:rPr>
        <w:t xml:space="preserve">z planu spłaty ustalonym przez Sąd w postępowaniach konsumenckich </w:t>
      </w:r>
      <w:r w:rsidRPr="00E00B35">
        <w:rPr>
          <w:bCs/>
          <w:szCs w:val="20"/>
        </w:rPr>
        <w:t xml:space="preserve">8 795,68 zł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 xml:space="preserve">z </w:t>
      </w:r>
      <w:r w:rsidRPr="00E00B35">
        <w:rPr>
          <w:szCs w:val="20"/>
        </w:rPr>
        <w:t>realizacji</w:t>
      </w:r>
      <w:r w:rsidRPr="00E00B35">
        <w:rPr>
          <w:bCs/>
          <w:szCs w:val="20"/>
        </w:rPr>
        <w:t xml:space="preserve"> układów w postępowaniach restrukturyzacyjnych 177 033,91 zł </w:t>
      </w:r>
      <w:r w:rsidRPr="00E00B35">
        <w:rPr>
          <w:i/>
          <w:iCs/>
          <w:szCs w:val="20"/>
        </w:rPr>
        <w:t>z tego:</w:t>
      </w:r>
    </w:p>
    <w:p w:rsidR="00E96768" w:rsidRPr="00E00B35" w:rsidRDefault="00E96768" w:rsidP="00BC64AB">
      <w:pPr>
        <w:numPr>
          <w:ilvl w:val="0"/>
          <w:numId w:val="247"/>
        </w:numPr>
        <w:tabs>
          <w:tab w:val="clear" w:pos="1204"/>
          <w:tab w:val="num" w:pos="1134"/>
          <w:tab w:val="left" w:pos="1560"/>
        </w:tabs>
        <w:spacing w:after="0" w:line="312" w:lineRule="auto"/>
        <w:ind w:hanging="637"/>
        <w:rPr>
          <w:szCs w:val="20"/>
        </w:rPr>
      </w:pPr>
      <w:r w:rsidRPr="00E00B35">
        <w:rPr>
          <w:szCs w:val="20"/>
        </w:rPr>
        <w:t>Gmina – podatek od nieruchomości 28 158,90 zł, podatek od środków transportowych 5 032,80 zł; opłata za gospodarowanie odpadami 310,98 zł</w:t>
      </w:r>
    </w:p>
    <w:p w:rsidR="00E96768" w:rsidRPr="00E00B35" w:rsidRDefault="00E96768" w:rsidP="00E00B35">
      <w:pPr>
        <w:pStyle w:val="Tekstpodstawowy"/>
        <w:spacing w:after="0" w:line="312" w:lineRule="auto"/>
        <w:rPr>
          <w:bCs/>
          <w:szCs w:val="20"/>
        </w:rPr>
      </w:pPr>
      <w:r w:rsidRPr="00E00B35">
        <w:rPr>
          <w:bCs/>
          <w:szCs w:val="20"/>
        </w:rPr>
        <w:t xml:space="preserve">Gmina </w:t>
      </w:r>
      <w:r w:rsidRPr="00E00B35">
        <w:rPr>
          <w:szCs w:val="20"/>
        </w:rPr>
        <w:t>łącznie –</w:t>
      </w:r>
      <w:r w:rsidRPr="00E00B35">
        <w:rPr>
          <w:bCs/>
          <w:szCs w:val="20"/>
        </w:rPr>
        <w:t xml:space="preserve"> 33 502,68 zł</w:t>
      </w:r>
    </w:p>
    <w:p w:rsidR="00E96768" w:rsidRPr="00E00B35" w:rsidRDefault="00E96768" w:rsidP="00E00B35">
      <w:pPr>
        <w:pStyle w:val="Tekstpodstawowy"/>
        <w:spacing w:after="0" w:line="312" w:lineRule="auto"/>
        <w:rPr>
          <w:bCs/>
          <w:szCs w:val="20"/>
        </w:rPr>
      </w:pPr>
      <w:r w:rsidRPr="00E00B35">
        <w:rPr>
          <w:bCs/>
          <w:szCs w:val="20"/>
        </w:rPr>
        <w:t>Skarb Państwa – użytkowanie wieczyste – 143 531,23 zł</w:t>
      </w:r>
    </w:p>
    <w:p w:rsidR="00E96768" w:rsidRPr="00E00B35" w:rsidRDefault="00E96768" w:rsidP="00E00B35">
      <w:pPr>
        <w:pStyle w:val="Tekstpodstawowy"/>
        <w:spacing w:after="0" w:line="312" w:lineRule="auto"/>
        <w:rPr>
          <w:szCs w:val="20"/>
        </w:rPr>
      </w:pPr>
    </w:p>
    <w:p w:rsidR="00E96768" w:rsidRPr="00E00B35" w:rsidRDefault="00E96768" w:rsidP="00E00B35">
      <w:pPr>
        <w:pStyle w:val="Tekstpodstawowy"/>
        <w:spacing w:after="0" w:line="312" w:lineRule="auto"/>
        <w:rPr>
          <w:bCs/>
          <w:szCs w:val="20"/>
        </w:rPr>
      </w:pPr>
      <w:r w:rsidRPr="00E00B35">
        <w:rPr>
          <w:b/>
          <w:bCs/>
          <w:szCs w:val="20"/>
        </w:rPr>
        <w:t>Ilość pism i zgłoszeń wierzytelności</w:t>
      </w:r>
      <w:r w:rsidRPr="00E00B35">
        <w:rPr>
          <w:szCs w:val="20"/>
        </w:rPr>
        <w:t xml:space="preserve"> w toczących się postępowaniach upadłościowych i restrukturyzacyjnych </w:t>
      </w:r>
      <w:r w:rsidRPr="00E00B35">
        <w:rPr>
          <w:bCs/>
          <w:szCs w:val="20"/>
        </w:rPr>
        <w:t>w 2020 r</w:t>
      </w:r>
      <w:r w:rsidRPr="00E00B35">
        <w:rPr>
          <w:szCs w:val="20"/>
        </w:rPr>
        <w:t>. to liczba</w:t>
      </w:r>
      <w:r w:rsidRPr="00E00B35">
        <w:rPr>
          <w:bCs/>
          <w:szCs w:val="20"/>
        </w:rPr>
        <w:t xml:space="preserve"> 784 szt. </w:t>
      </w:r>
    </w:p>
    <w:p w:rsidR="00E96768" w:rsidRPr="00E00B35" w:rsidRDefault="00E96768" w:rsidP="00E00B35">
      <w:pPr>
        <w:pStyle w:val="Tekstpodstawowy"/>
        <w:spacing w:after="0" w:line="312" w:lineRule="auto"/>
        <w:rPr>
          <w:szCs w:val="20"/>
        </w:rPr>
      </w:pPr>
      <w:r w:rsidRPr="00E00B35">
        <w:rPr>
          <w:bCs/>
          <w:szCs w:val="20"/>
        </w:rPr>
        <w:t>W 2020 r</w:t>
      </w:r>
      <w:r w:rsidRPr="00E00B35">
        <w:rPr>
          <w:szCs w:val="20"/>
        </w:rPr>
        <w:t xml:space="preserve">. i kolejnych latach </w:t>
      </w:r>
      <w:r w:rsidRPr="00E00B35">
        <w:rPr>
          <w:bCs/>
          <w:szCs w:val="20"/>
        </w:rPr>
        <w:t xml:space="preserve">są realizowane zatwierdzone układy w ilości 5 szt., </w:t>
      </w:r>
      <w:r w:rsidRPr="00E00B35">
        <w:rPr>
          <w:szCs w:val="20"/>
        </w:rPr>
        <w:t xml:space="preserve">z tego </w:t>
      </w:r>
      <w:r w:rsidRPr="00E00B35">
        <w:rPr>
          <w:szCs w:val="20"/>
        </w:rPr>
        <w:br/>
      </w:r>
      <w:r w:rsidRPr="00E00B35">
        <w:rPr>
          <w:bCs/>
          <w:szCs w:val="20"/>
        </w:rPr>
        <w:t>(1 zrealizowany w całości w 2020 r.)</w:t>
      </w:r>
      <w:r w:rsidRPr="00E00B35">
        <w:rPr>
          <w:szCs w:val="20"/>
        </w:rPr>
        <w:t xml:space="preserve"> w otwartych postępowaniach restrukturyzacyjnych postępowania sanacyjne, przyśpieszone postępowania układowe otwarte w latach </w:t>
      </w:r>
      <w:r w:rsidRPr="00E00B35">
        <w:rPr>
          <w:szCs w:val="20"/>
        </w:rPr>
        <w:br/>
        <w:t xml:space="preserve">2016-2020 oraz </w:t>
      </w:r>
      <w:r w:rsidRPr="00E00B35">
        <w:rPr>
          <w:bCs/>
          <w:szCs w:val="20"/>
        </w:rPr>
        <w:t xml:space="preserve">7 </w:t>
      </w:r>
      <w:r w:rsidRPr="00E00B35">
        <w:rPr>
          <w:szCs w:val="20"/>
        </w:rPr>
        <w:t xml:space="preserve">nowych postępowań restrukturyzacyjnych otwartych w 2020 r. plus w toku - </w:t>
      </w:r>
      <w:r w:rsidRPr="00E00B35">
        <w:rPr>
          <w:bCs/>
          <w:szCs w:val="20"/>
        </w:rPr>
        <w:t xml:space="preserve">6 </w:t>
      </w:r>
      <w:r w:rsidRPr="00E00B35">
        <w:rPr>
          <w:szCs w:val="20"/>
        </w:rPr>
        <w:t>postępowań restrukturyzacyjnych - były spisy wierzytelności i Zgromadzenia Wierzycieli - oddanie głosu.</w:t>
      </w:r>
    </w:p>
    <w:p w:rsidR="00E96768" w:rsidRPr="00E00B35" w:rsidRDefault="00E96768" w:rsidP="00E00B35">
      <w:pPr>
        <w:pStyle w:val="Tekstpodstawowy"/>
        <w:spacing w:after="0" w:line="312" w:lineRule="auto"/>
        <w:rPr>
          <w:szCs w:val="20"/>
        </w:rPr>
      </w:pPr>
      <w:r w:rsidRPr="00E00B35">
        <w:rPr>
          <w:szCs w:val="20"/>
        </w:rPr>
        <w:t xml:space="preserve">Zostało umorzonych 6 postępowań restrukturyzacyjnych, z tego </w:t>
      </w:r>
      <w:r w:rsidRPr="00E00B35">
        <w:rPr>
          <w:bCs/>
          <w:szCs w:val="20"/>
        </w:rPr>
        <w:t>wznowiona</w:t>
      </w:r>
      <w:r w:rsidRPr="00E00B35">
        <w:rPr>
          <w:szCs w:val="20"/>
        </w:rPr>
        <w:t xml:space="preserve"> </w:t>
      </w:r>
      <w:r w:rsidRPr="00E00B35">
        <w:rPr>
          <w:szCs w:val="20"/>
        </w:rPr>
        <w:br/>
      </w:r>
      <w:r w:rsidRPr="00E00B35">
        <w:rPr>
          <w:bCs/>
          <w:szCs w:val="20"/>
        </w:rPr>
        <w:t>1 restrukturyzacja</w:t>
      </w:r>
      <w:r w:rsidRPr="00E00B35">
        <w:rPr>
          <w:szCs w:val="20"/>
        </w:rPr>
        <w:t xml:space="preserve"> i 2 upadłości, dalsza ich analiza w 2021 r. z uwagi na wznowienie sprawy lub ogłoszenie upadłości.</w:t>
      </w:r>
    </w:p>
    <w:p w:rsidR="00E96768" w:rsidRPr="00E00B35" w:rsidRDefault="00E96768" w:rsidP="00E00B35">
      <w:pPr>
        <w:pStyle w:val="Tekstpodstawowy"/>
        <w:spacing w:after="0" w:line="312" w:lineRule="auto"/>
        <w:rPr>
          <w:bCs/>
          <w:szCs w:val="20"/>
        </w:rPr>
      </w:pPr>
      <w:r w:rsidRPr="00E00B35">
        <w:rPr>
          <w:bCs/>
          <w:szCs w:val="20"/>
        </w:rPr>
        <w:t>Na dzień sporządzenia sprawozdania, od 2016 r. toczy się 18 postępowań restrukturyzacyjnych.</w:t>
      </w:r>
    </w:p>
    <w:p w:rsidR="00E96768" w:rsidRPr="00E00B35" w:rsidRDefault="006A5FEE" w:rsidP="00E00B35">
      <w:pPr>
        <w:pStyle w:val="Nagwek3"/>
        <w:spacing w:after="0" w:line="312" w:lineRule="auto"/>
        <w:rPr>
          <w:rFonts w:cs="Verdana"/>
          <w:sz w:val="20"/>
        </w:rPr>
      </w:pPr>
      <w:r w:rsidRPr="00E00B35">
        <w:rPr>
          <w:sz w:val="20"/>
          <w:lang w:val="pl-PL"/>
        </w:rPr>
        <w:br/>
      </w:r>
      <w:r w:rsidR="00E96768" w:rsidRPr="00E00B35">
        <w:rPr>
          <w:sz w:val="20"/>
        </w:rPr>
        <w:t>POWIATOWY URZĄD PRACY WE WROCŁAWIU</w:t>
      </w:r>
    </w:p>
    <w:p w:rsidR="00E96768" w:rsidRPr="00E00B35" w:rsidRDefault="00E96768" w:rsidP="00E00B35">
      <w:pPr>
        <w:pStyle w:val="Nagwek4"/>
        <w:spacing w:before="0" w:after="0" w:line="312" w:lineRule="auto"/>
        <w:rPr>
          <w:sz w:val="20"/>
          <w:szCs w:val="20"/>
        </w:rPr>
      </w:pPr>
      <w:r w:rsidRPr="00E00B35">
        <w:rPr>
          <w:sz w:val="20"/>
          <w:szCs w:val="20"/>
        </w:rPr>
        <w:t>OGÓLNA SYTUACJA NA LOKALNYM RYNKU PRACY</w:t>
      </w:r>
    </w:p>
    <w:p w:rsidR="00E96768" w:rsidRPr="00E00B35" w:rsidRDefault="00E96768" w:rsidP="00E00B35">
      <w:pPr>
        <w:spacing w:after="0" w:line="312" w:lineRule="auto"/>
        <w:rPr>
          <w:szCs w:val="20"/>
        </w:rPr>
      </w:pPr>
      <w:r w:rsidRPr="00E00B35">
        <w:rPr>
          <w:rFonts w:cs="Verdana"/>
          <w:color w:val="00000A"/>
          <w:szCs w:val="20"/>
        </w:rPr>
        <w:t>Powiatowy Urząd Pracy we Wrocławiu obejmuje swoim działaniem Wrocław i Powiat Wrocławski. Według stanu na koniec 2020 roku w Urzędzie zarejestrowanych było 11 302 bezrobotnych: 9 555 z Wrocławia i 1 747 z Powiatu Wrocławskiego oraz 276 osób poszukujących pracy: 243 z Wrocławia i 33 z Powiatu Wrocławskiego.</w:t>
      </w:r>
    </w:p>
    <w:p w:rsidR="00E96768" w:rsidRPr="00E00B35" w:rsidRDefault="00E96768" w:rsidP="00E00B35">
      <w:pPr>
        <w:spacing w:after="0" w:line="312" w:lineRule="auto"/>
        <w:rPr>
          <w:szCs w:val="20"/>
        </w:rPr>
      </w:pPr>
      <w:r w:rsidRPr="00E00B35">
        <w:rPr>
          <w:rFonts w:cs="Verdana"/>
          <w:color w:val="00000A"/>
          <w:szCs w:val="20"/>
        </w:rPr>
        <w:t xml:space="preserve">W porównaniu do 2019 roku liczba zarejestrowanych bezrobotnych zwiększyła się o 3 678 osób (o 3 126 osób we Wrocławiu i o 552 osób w Powiecie Wrocławskim), natomiast poszukujących pracy o 59 osób (o 51 osób we Wrocławiu, zaś w Powiecie wrocławskim </w:t>
      </w:r>
      <w:r w:rsidRPr="00E00B35">
        <w:rPr>
          <w:rFonts w:cs="Verdana"/>
          <w:color w:val="00000A"/>
          <w:szCs w:val="20"/>
        </w:rPr>
        <w:br/>
        <w:t>o 8 osób).</w:t>
      </w:r>
    </w:p>
    <w:p w:rsidR="00E96768" w:rsidRPr="00E00B35" w:rsidRDefault="00E96768" w:rsidP="00E00B35">
      <w:pPr>
        <w:pStyle w:val="Nagwek4"/>
        <w:spacing w:before="0" w:after="0" w:line="312" w:lineRule="auto"/>
        <w:rPr>
          <w:sz w:val="20"/>
          <w:szCs w:val="20"/>
        </w:rPr>
      </w:pPr>
      <w:r w:rsidRPr="00E00B35">
        <w:rPr>
          <w:sz w:val="20"/>
          <w:szCs w:val="20"/>
        </w:rPr>
        <w:lastRenderedPageBreak/>
        <w:t>STOPA BEZROBOCIA</w:t>
      </w:r>
    </w:p>
    <w:p w:rsidR="00E96768" w:rsidRPr="00E00B35" w:rsidRDefault="00E96768" w:rsidP="00E00B35">
      <w:pPr>
        <w:pStyle w:val="Akapitzlist3"/>
        <w:spacing w:after="0" w:line="312" w:lineRule="auto"/>
        <w:ind w:left="0"/>
        <w:rPr>
          <w:rFonts w:cs="Verdana"/>
          <w:szCs w:val="20"/>
        </w:rPr>
      </w:pPr>
      <w:r w:rsidRPr="00E00B35">
        <w:rPr>
          <w:rFonts w:cs="Verdana"/>
          <w:szCs w:val="20"/>
        </w:rPr>
        <w:t xml:space="preserve">Stopy bezrobocia na dzień 31 grudnia 2020 roku wynosiły 2,4% we Wrocławiu oraz 2,3% </w:t>
      </w:r>
      <w:r w:rsidRPr="00E00B35">
        <w:rPr>
          <w:rFonts w:cs="Verdana"/>
          <w:szCs w:val="20"/>
        </w:rPr>
        <w:br/>
        <w:t xml:space="preserve">w Powiecie Wrocławskim i zwiększyła się w porównaniu do ubiegłego roku odpowiednio </w:t>
      </w:r>
      <w:r w:rsidRPr="00E00B35">
        <w:rPr>
          <w:rFonts w:cs="Verdana"/>
          <w:szCs w:val="20"/>
        </w:rPr>
        <w:br/>
        <w:t xml:space="preserve">o 0,8% oraz 0,7%. </w:t>
      </w:r>
    </w:p>
    <w:p w:rsidR="00E96768" w:rsidRPr="00E00B35" w:rsidRDefault="002D2715" w:rsidP="00E00B35">
      <w:pPr>
        <w:spacing w:after="0" w:line="312" w:lineRule="auto"/>
        <w:rPr>
          <w:szCs w:val="20"/>
        </w:rPr>
      </w:pPr>
      <w:r w:rsidRPr="00E00B35">
        <w:rPr>
          <w:rFonts w:cs="Verdana"/>
          <w:color w:val="00000A"/>
          <w:szCs w:val="20"/>
        </w:rPr>
        <w:br/>
      </w:r>
      <w:r w:rsidR="00E96768" w:rsidRPr="00E00B35">
        <w:rPr>
          <w:rFonts w:cs="Verdana"/>
          <w:color w:val="00000A"/>
          <w:szCs w:val="20"/>
        </w:rPr>
        <w:t>Jesteśmy jednym z czterech miast w Polsce, z tak niską stopą bezrobocia w kraju, za Katowicami (1,7%), Warszawą (1,8%) i Poznaniem (2,0%).</w:t>
      </w:r>
    </w:p>
    <w:p w:rsidR="00E96768" w:rsidRPr="00E00B35" w:rsidRDefault="00E96768" w:rsidP="00E00B35">
      <w:pPr>
        <w:spacing w:after="0" w:line="312" w:lineRule="auto"/>
        <w:rPr>
          <w:szCs w:val="20"/>
        </w:rPr>
      </w:pPr>
      <w:r w:rsidRPr="00E00B35">
        <w:rPr>
          <w:rFonts w:cs="Verdana"/>
          <w:color w:val="00000A"/>
          <w:szCs w:val="20"/>
        </w:rPr>
        <w:t>Stopa bezrobocia na obszarze działania Urzędu nie przekraczała 150% przeciętnej stopy bezrobocia w kraju w dniu 30. czerwca 2019 r., w związku z czym w 2020 r. zasadniczo okres pobierania zasiłku dla bezrobotnych wynosił 6 miesięcy.</w:t>
      </w:r>
    </w:p>
    <w:p w:rsidR="00E96768" w:rsidRPr="00E00B35" w:rsidRDefault="00E96768" w:rsidP="00E00B35">
      <w:pPr>
        <w:pStyle w:val="Nagwek4"/>
        <w:spacing w:before="0" w:after="0" w:line="312" w:lineRule="auto"/>
        <w:rPr>
          <w:sz w:val="20"/>
          <w:szCs w:val="20"/>
          <w:shd w:val="clear" w:color="auto" w:fill="FFFF00"/>
        </w:rPr>
      </w:pPr>
      <w:r w:rsidRPr="00E00B35">
        <w:rPr>
          <w:sz w:val="20"/>
          <w:szCs w:val="20"/>
        </w:rPr>
        <w:t>STRUKTURA BEZROBOCIA</w:t>
      </w:r>
    </w:p>
    <w:p w:rsidR="00E96768" w:rsidRPr="00E00B35" w:rsidRDefault="00E96768" w:rsidP="00E00B35">
      <w:pPr>
        <w:pStyle w:val="Nagwek5"/>
        <w:rPr>
          <w:szCs w:val="20"/>
        </w:rPr>
      </w:pPr>
      <w:r w:rsidRPr="00E00B35">
        <w:rPr>
          <w:szCs w:val="20"/>
        </w:rPr>
        <w:t>Wiek bezrobotnych</w:t>
      </w:r>
    </w:p>
    <w:p w:rsidR="00E96768" w:rsidRPr="00E00B35" w:rsidRDefault="002D2715" w:rsidP="00E00B35">
      <w:pPr>
        <w:pStyle w:val="western"/>
        <w:spacing w:before="0" w:beforeAutospacing="0" w:after="0" w:afterAutospacing="0" w:line="312" w:lineRule="auto"/>
        <w:jc w:val="left"/>
        <w:rPr>
          <w:rFonts w:ascii="Verdana" w:hAnsi="Verdana"/>
          <w:sz w:val="20"/>
          <w:szCs w:val="20"/>
        </w:rPr>
      </w:pPr>
      <w:r w:rsidRPr="00E00B35">
        <w:rPr>
          <w:rFonts w:ascii="Verdana" w:hAnsi="Verdana" w:cs="Verdana"/>
          <w:sz w:val="20"/>
          <w:szCs w:val="20"/>
        </w:rPr>
        <w:t>P</w:t>
      </w:r>
      <w:r w:rsidR="00E96768" w:rsidRPr="00E00B35">
        <w:rPr>
          <w:rFonts w:ascii="Verdana" w:hAnsi="Verdana" w:cs="Verdana"/>
          <w:sz w:val="20"/>
          <w:szCs w:val="20"/>
        </w:rPr>
        <w:t>odział zarejestrowanych bezrobotnych według grup wiekowych.</w:t>
      </w:r>
      <w:r w:rsidRPr="00E00B35">
        <w:rPr>
          <w:rFonts w:ascii="Verdana" w:hAnsi="Verdana"/>
          <w:sz w:val="20"/>
          <w:szCs w:val="20"/>
        </w:rPr>
        <w:t xml:space="preserve"> </w:t>
      </w:r>
      <w:r w:rsidR="00E96768" w:rsidRPr="00E00B35">
        <w:rPr>
          <w:rFonts w:ascii="Verdana" w:hAnsi="Verdana" w:cs="Verdana"/>
          <w:sz w:val="20"/>
          <w:szCs w:val="20"/>
        </w:rPr>
        <w:t>Wiek zarejestrowanych bezrobotnych:</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18-24 lata – 690 osób – 6,11%;</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25-34 lata – 2 775 osób – 24,55 %;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35-44 lata – 3 255 osób – 28,80 %;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45-54 lata – 2 261 osób – 20,01 %;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55-59 lata – 1 279 osób – 11,32 %;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60 lat i więcej – 1 042 osób – 9,22 %.</w:t>
      </w:r>
    </w:p>
    <w:p w:rsidR="005B50AD" w:rsidRPr="00E00B35" w:rsidRDefault="005B50AD" w:rsidP="00E00B35">
      <w:pPr>
        <w:pStyle w:val="Akapitzlist"/>
        <w:spacing w:after="0" w:line="312" w:lineRule="auto"/>
        <w:ind w:left="567"/>
        <w:rPr>
          <w:bCs/>
          <w:szCs w:val="20"/>
        </w:rPr>
      </w:pPr>
    </w:p>
    <w:p w:rsidR="00E96768" w:rsidRPr="00E00B35" w:rsidRDefault="00E96768" w:rsidP="00E00B35">
      <w:pPr>
        <w:pStyle w:val="Nagwek5"/>
        <w:rPr>
          <w:szCs w:val="20"/>
        </w:rPr>
      </w:pPr>
      <w:r w:rsidRPr="00E00B35">
        <w:rPr>
          <w:szCs w:val="20"/>
        </w:rPr>
        <w:t>Wykształcenie</w:t>
      </w:r>
    </w:p>
    <w:p w:rsidR="00E96768" w:rsidRPr="00E00B35" w:rsidRDefault="00E96768" w:rsidP="00E00B35">
      <w:pPr>
        <w:spacing w:after="0" w:line="312" w:lineRule="auto"/>
        <w:rPr>
          <w:szCs w:val="20"/>
        </w:rPr>
      </w:pPr>
      <w:r w:rsidRPr="00E00B35">
        <w:rPr>
          <w:rFonts w:cs="Verdana"/>
          <w:color w:val="00000A"/>
          <w:szCs w:val="20"/>
        </w:rPr>
        <w:t>W 2020 roku podobnie jak w latach ubiegłych, najmniej liczną grupą byli bezrobotni z wykształceniem średnim ogólnokształcącym. Stanowili jedynie 11,61% ogółu zarejestrowanych bezrobotnych. Najliczniejsza natomiast była grupa z wykształceniem wyższym, która stanowiła 31,21% całej populacji bezrobotnych.</w:t>
      </w:r>
    </w:p>
    <w:p w:rsidR="00E96768" w:rsidRPr="00E00B35" w:rsidRDefault="00E96768" w:rsidP="00E00B35">
      <w:pPr>
        <w:pStyle w:val="western"/>
        <w:spacing w:before="0" w:beforeAutospacing="0" w:after="0" w:afterAutospacing="0" w:line="312" w:lineRule="auto"/>
        <w:jc w:val="left"/>
        <w:rPr>
          <w:rFonts w:ascii="Verdana" w:hAnsi="Verdana" w:cs="Verdana"/>
          <w:sz w:val="20"/>
          <w:szCs w:val="20"/>
        </w:rPr>
      </w:pPr>
      <w:r w:rsidRPr="00E00B35">
        <w:rPr>
          <w:rFonts w:ascii="Verdana" w:hAnsi="Verdana" w:cs="Verdana"/>
          <w:sz w:val="20"/>
          <w:szCs w:val="20"/>
        </w:rPr>
        <w:t>Wykształcenie zarejestrowanych bezrobotnych:</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wyższe  – 3 527 osób – 31 %;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policealne i średnie zawodowe – 2 300 osób – 20 %;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średnie ogólnokształcące – 1 312 osób – 12 %;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zasadnicze zawodowe – 1 758 osób – 16 %;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gimnazjalne i poniżej – 2 405 osób – 21 %.</w:t>
      </w:r>
    </w:p>
    <w:p w:rsidR="005B50AD" w:rsidRPr="00E00B35" w:rsidRDefault="005B50AD" w:rsidP="00E00B35">
      <w:pPr>
        <w:pStyle w:val="Akapitzlist"/>
        <w:spacing w:after="0" w:line="312" w:lineRule="auto"/>
        <w:ind w:left="567"/>
        <w:rPr>
          <w:bCs/>
          <w:szCs w:val="20"/>
        </w:rPr>
      </w:pPr>
    </w:p>
    <w:p w:rsidR="00E96768" w:rsidRPr="00E00B35" w:rsidRDefault="00E96768" w:rsidP="00E00B35">
      <w:pPr>
        <w:pStyle w:val="Nagwek5"/>
        <w:rPr>
          <w:szCs w:val="20"/>
        </w:rPr>
      </w:pPr>
      <w:r w:rsidRPr="00E00B35">
        <w:rPr>
          <w:szCs w:val="20"/>
        </w:rPr>
        <w:t>Staż pracy</w:t>
      </w:r>
    </w:p>
    <w:p w:rsidR="00E96768" w:rsidRPr="00E00B35" w:rsidRDefault="00E96768" w:rsidP="00E00B35">
      <w:pPr>
        <w:spacing w:after="0" w:line="312" w:lineRule="auto"/>
        <w:rPr>
          <w:szCs w:val="20"/>
        </w:rPr>
      </w:pPr>
      <w:r w:rsidRPr="00E00B35">
        <w:rPr>
          <w:rFonts w:cs="Verdana"/>
          <w:color w:val="00000A"/>
          <w:szCs w:val="20"/>
        </w:rPr>
        <w:t>W strukturze osób bezrobotnych według stażu pracy niezmiennie największy odsetek stanowiły osoby ze stażem pracy do 1 roku, a w następnej kolejności osoby ze stażem od 1 do 5 lat.</w:t>
      </w:r>
    </w:p>
    <w:p w:rsidR="00E96768" w:rsidRPr="00E00B35" w:rsidRDefault="00E96768" w:rsidP="00E00B35">
      <w:pPr>
        <w:pStyle w:val="western"/>
        <w:spacing w:before="0" w:beforeAutospacing="0" w:after="0" w:afterAutospacing="0" w:line="312" w:lineRule="auto"/>
        <w:jc w:val="left"/>
        <w:rPr>
          <w:rFonts w:ascii="Verdana" w:hAnsi="Verdana" w:cs="Verdana"/>
          <w:sz w:val="20"/>
          <w:szCs w:val="20"/>
        </w:rPr>
      </w:pPr>
      <w:r w:rsidRPr="00E00B35">
        <w:rPr>
          <w:rFonts w:ascii="Verdana" w:hAnsi="Verdana" w:cs="Verdana"/>
          <w:sz w:val="20"/>
          <w:szCs w:val="20"/>
        </w:rPr>
        <w:t>Staż pracy zarejestrowanych bezrobotnych:</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bez stażu – 702 osoby – 6 %;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do 1 roku – 2 664 osób – 24 %;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1-5 lat – 2 417 osób – 21 %;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5-10 lat – 1 857 osób – 16 %;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lastRenderedPageBreak/>
        <w:t>10-20 lat – 1 990 osób – 18 %;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20-30 lat – 1 180 osób – 10 %;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30 lat i więcej – 492 osób – 4 %.</w:t>
      </w:r>
    </w:p>
    <w:p w:rsidR="005B50AD" w:rsidRPr="00E00B35" w:rsidRDefault="005B50AD" w:rsidP="00E00B35">
      <w:pPr>
        <w:pStyle w:val="Akapitzlist"/>
        <w:spacing w:after="0" w:line="312" w:lineRule="auto"/>
        <w:ind w:left="567"/>
        <w:rPr>
          <w:bCs/>
          <w:szCs w:val="20"/>
        </w:rPr>
      </w:pPr>
    </w:p>
    <w:p w:rsidR="00E96768" w:rsidRPr="00E00B35" w:rsidRDefault="00E96768" w:rsidP="00E00B35">
      <w:pPr>
        <w:pStyle w:val="Nagwek5"/>
        <w:rPr>
          <w:szCs w:val="20"/>
        </w:rPr>
      </w:pPr>
      <w:r w:rsidRPr="00E00B35">
        <w:rPr>
          <w:szCs w:val="20"/>
        </w:rPr>
        <w:t>Czas pozostawania bez pracy</w:t>
      </w:r>
    </w:p>
    <w:p w:rsidR="00E96768" w:rsidRPr="00E00B35" w:rsidRDefault="00E96768" w:rsidP="00E00B35">
      <w:pPr>
        <w:spacing w:after="0" w:line="312" w:lineRule="auto"/>
        <w:rPr>
          <w:szCs w:val="20"/>
        </w:rPr>
      </w:pPr>
      <w:r w:rsidRPr="00E00B35">
        <w:rPr>
          <w:rFonts w:cs="Verdana"/>
          <w:color w:val="00000A"/>
          <w:szCs w:val="20"/>
        </w:rPr>
        <w:t>Poniższy wykres obrazuje podział zarejestrowanych bezrobotnych według czasu pozostawania bez pracy. Największą grupę stanowią bezrobotni pozostający w rejestrach od 6 do 12 miesięcy.</w:t>
      </w:r>
    </w:p>
    <w:p w:rsidR="00E96768" w:rsidRPr="00E00B35" w:rsidRDefault="00E96768" w:rsidP="00E00B35">
      <w:pPr>
        <w:pStyle w:val="western"/>
        <w:spacing w:before="0" w:beforeAutospacing="0" w:after="0" w:afterAutospacing="0" w:line="312" w:lineRule="auto"/>
        <w:jc w:val="left"/>
        <w:rPr>
          <w:rFonts w:ascii="Verdana" w:hAnsi="Verdana" w:cs="Verdana"/>
          <w:sz w:val="20"/>
          <w:szCs w:val="20"/>
        </w:rPr>
      </w:pPr>
      <w:r w:rsidRPr="00E00B35">
        <w:rPr>
          <w:rFonts w:ascii="Verdana" w:hAnsi="Verdana" w:cs="Verdana"/>
          <w:sz w:val="20"/>
          <w:szCs w:val="20"/>
        </w:rPr>
        <w:t>Czas pozostawania bez pracy zarejestrowanych bezrobotnych:</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do 1 miesiąca – 896 osób – 8 %;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1-3 miesięcy – 2 053 osób – 18 %;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3-6 miesięcy – 1 992 osób – 18 %;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6-12 miesięcy – 2 771 osób – 25 %;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12-24 miesięcy – 1 735 osób – 15 %;</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powyżej 24 miesięcy – 1 855 osób – 16 %.</w:t>
      </w:r>
      <w:bookmarkStart w:id="37" w:name="_1673418628"/>
      <w:bookmarkEnd w:id="37"/>
    </w:p>
    <w:p w:rsidR="00E96768" w:rsidRPr="00E00B35" w:rsidRDefault="001426C9" w:rsidP="00E00B35">
      <w:pPr>
        <w:pStyle w:val="Nagwek4"/>
        <w:spacing w:before="0" w:after="0" w:line="312" w:lineRule="auto"/>
        <w:rPr>
          <w:sz w:val="20"/>
          <w:szCs w:val="20"/>
        </w:rPr>
      </w:pPr>
      <w:r w:rsidRPr="00E00B35">
        <w:rPr>
          <w:sz w:val="20"/>
          <w:szCs w:val="20"/>
        </w:rPr>
        <w:br/>
      </w:r>
      <w:r w:rsidR="00E96768" w:rsidRPr="00E00B35">
        <w:rPr>
          <w:sz w:val="20"/>
          <w:szCs w:val="20"/>
        </w:rPr>
        <w:t>FLUKTACJA BEZROBOTNYCH</w:t>
      </w:r>
    </w:p>
    <w:p w:rsidR="00E96768" w:rsidRPr="00E00B35" w:rsidRDefault="00E96768" w:rsidP="00E00B35">
      <w:pPr>
        <w:pStyle w:val="Akapitzlist3"/>
        <w:spacing w:after="0" w:line="312" w:lineRule="auto"/>
        <w:ind w:left="0"/>
        <w:rPr>
          <w:szCs w:val="20"/>
        </w:rPr>
      </w:pPr>
      <w:r w:rsidRPr="00E00B35">
        <w:rPr>
          <w:rFonts w:cs="Verdana"/>
          <w:szCs w:val="20"/>
        </w:rPr>
        <w:t xml:space="preserve">W 2020 roku zarejestrowało się </w:t>
      </w:r>
      <w:r w:rsidRPr="00E00B35">
        <w:rPr>
          <w:rFonts w:cs="Verdana"/>
          <w:bCs/>
          <w:szCs w:val="20"/>
        </w:rPr>
        <w:t>15 143</w:t>
      </w:r>
      <w:r w:rsidRPr="00E00B35">
        <w:rPr>
          <w:rFonts w:cs="Verdana"/>
          <w:szCs w:val="20"/>
        </w:rPr>
        <w:t xml:space="preserve"> osób bezrobotnych, natomiast wyrejestrowało się </w:t>
      </w:r>
      <w:r w:rsidRPr="00E00B35">
        <w:rPr>
          <w:rFonts w:cs="Verdana"/>
          <w:bCs/>
          <w:szCs w:val="20"/>
        </w:rPr>
        <w:t>11 465</w:t>
      </w:r>
      <w:r w:rsidRPr="00E00B35">
        <w:rPr>
          <w:rFonts w:cs="Verdana"/>
          <w:szCs w:val="20"/>
        </w:rPr>
        <w:t>.</w:t>
      </w:r>
    </w:p>
    <w:p w:rsidR="00E96768" w:rsidRPr="00E00B35" w:rsidRDefault="00E96768" w:rsidP="00E00B35">
      <w:pPr>
        <w:pStyle w:val="Akapitzlist3"/>
        <w:spacing w:after="0" w:line="312" w:lineRule="auto"/>
        <w:ind w:left="0"/>
        <w:rPr>
          <w:szCs w:val="20"/>
        </w:rPr>
      </w:pPr>
      <w:r w:rsidRPr="00E00B35">
        <w:rPr>
          <w:rFonts w:cs="Verdana"/>
          <w:szCs w:val="20"/>
        </w:rPr>
        <w:t>Podobnie jak w zeszłym roku najczęstszą przyczyną wyrejestrowania osób bezrobotnych było podjęcie pracy (63,50% wszystkich wyłączeń).</w:t>
      </w:r>
    </w:p>
    <w:p w:rsidR="00E96768" w:rsidRPr="00E00B35" w:rsidRDefault="00E96768" w:rsidP="00E00B35">
      <w:pPr>
        <w:spacing w:after="0" w:line="312" w:lineRule="auto"/>
        <w:rPr>
          <w:szCs w:val="20"/>
          <w:lang w:eastAsia="zh-CN"/>
        </w:rPr>
      </w:pPr>
    </w:p>
    <w:p w:rsidR="00E96768" w:rsidRPr="00E00B35" w:rsidRDefault="00E96768" w:rsidP="00E00B35">
      <w:pPr>
        <w:pStyle w:val="Nagwek4"/>
        <w:spacing w:before="0" w:after="0" w:line="312" w:lineRule="auto"/>
        <w:rPr>
          <w:sz w:val="20"/>
          <w:szCs w:val="20"/>
          <w:lang w:eastAsia="zh-CN"/>
        </w:rPr>
      </w:pPr>
      <w:r w:rsidRPr="00E00B35">
        <w:rPr>
          <w:sz w:val="20"/>
          <w:szCs w:val="20"/>
          <w:lang w:eastAsia="zh-CN"/>
        </w:rPr>
        <w:t>USŁUGI I INSTRUMENTY RYNKU PRACY</w:t>
      </w:r>
    </w:p>
    <w:p w:rsidR="00E96768" w:rsidRPr="00E00B35" w:rsidRDefault="00E96768" w:rsidP="00E00B35">
      <w:pPr>
        <w:pStyle w:val="Nagwek5"/>
        <w:rPr>
          <w:szCs w:val="20"/>
        </w:rPr>
      </w:pPr>
      <w:r w:rsidRPr="00E00B35">
        <w:rPr>
          <w:szCs w:val="20"/>
        </w:rPr>
        <w:t>Pośrednictwo pracy</w:t>
      </w:r>
    </w:p>
    <w:p w:rsidR="00E96768" w:rsidRPr="00E00B35" w:rsidRDefault="00E96768" w:rsidP="00E00B35">
      <w:pPr>
        <w:spacing w:after="0" w:line="312" w:lineRule="auto"/>
        <w:rPr>
          <w:rFonts w:cs="Verdana"/>
          <w:color w:val="00000A"/>
          <w:szCs w:val="20"/>
        </w:rPr>
      </w:pPr>
      <w:r w:rsidRPr="00E00B35">
        <w:rPr>
          <w:rFonts w:cs="Verdana"/>
          <w:color w:val="00000A"/>
          <w:szCs w:val="20"/>
        </w:rPr>
        <w:t xml:space="preserve">W 2020 roku Urząd posiadał 52 979 ofert pracy i aktywizacji zawodowej, w tym 1 104 dla osób niepełnosprawnych. Oferty zatrudnienia lub innej pracy zarobkowej stanowiły 98,19% (52 021 ofert), natomiast pozostałe 958 obejmowało miejsca aktywizacji zawodowej (staże i prace społecznie użyteczne); 997 ofert stanowiły oferty na subsydiowane miejsca pracy. </w:t>
      </w:r>
    </w:p>
    <w:p w:rsidR="00E96768" w:rsidRPr="00E00B35" w:rsidRDefault="00E96768" w:rsidP="00E00B35">
      <w:pPr>
        <w:pStyle w:val="Akapitzlist3"/>
        <w:spacing w:after="0" w:line="312" w:lineRule="auto"/>
        <w:ind w:left="0"/>
        <w:rPr>
          <w:rFonts w:cs="Verdana"/>
          <w:szCs w:val="20"/>
          <w:lang w:eastAsia="pl-PL"/>
        </w:rPr>
      </w:pPr>
      <w:r w:rsidRPr="00E00B35">
        <w:rPr>
          <w:rFonts w:cs="Verdana"/>
          <w:szCs w:val="20"/>
          <w:lang w:eastAsia="pl-PL"/>
        </w:rPr>
        <w:t>Najwięcej ofert dotyczyło zawodów niewymagających wysokich kwalifikacji:</w:t>
      </w:r>
    </w:p>
    <w:p w:rsidR="00E96768" w:rsidRPr="00E00B35" w:rsidRDefault="00E96768" w:rsidP="00E00B35">
      <w:pPr>
        <w:pStyle w:val="Akapitzlist3"/>
        <w:spacing w:after="0" w:line="312" w:lineRule="auto"/>
        <w:ind w:left="0"/>
        <w:rPr>
          <w:rFonts w:cs="Verdana"/>
          <w:szCs w:val="20"/>
          <w:lang w:eastAsia="pl-PL"/>
        </w:rPr>
      </w:pPr>
      <w:r w:rsidRPr="00E00B35">
        <w:rPr>
          <w:rFonts w:cs="Verdana"/>
          <w:szCs w:val="20"/>
          <w:lang w:eastAsia="pl-PL"/>
        </w:rPr>
        <w:t>pozostali robotnicy wykonujący prace proste w przemyśle- 6 558 miejsc pracy;</w:t>
      </w:r>
    </w:p>
    <w:p w:rsidR="00E96768" w:rsidRPr="00E00B35" w:rsidRDefault="00E96768" w:rsidP="00E00B35">
      <w:pPr>
        <w:pStyle w:val="Akapitzlist3"/>
        <w:spacing w:after="0" w:line="312" w:lineRule="auto"/>
        <w:ind w:left="0"/>
        <w:rPr>
          <w:rFonts w:cs="Verdana"/>
          <w:szCs w:val="20"/>
          <w:lang w:eastAsia="pl-PL"/>
        </w:rPr>
      </w:pPr>
      <w:r w:rsidRPr="00E00B35">
        <w:rPr>
          <w:rFonts w:cs="Verdana"/>
          <w:szCs w:val="20"/>
          <w:lang w:eastAsia="pl-PL"/>
        </w:rPr>
        <w:t>magazynier- 4 233 miejsca pracy;</w:t>
      </w:r>
    </w:p>
    <w:p w:rsidR="00E96768" w:rsidRPr="00E00B35" w:rsidRDefault="00E96768" w:rsidP="00E00B35">
      <w:pPr>
        <w:pStyle w:val="Akapitzlist3"/>
        <w:spacing w:after="0" w:line="312" w:lineRule="auto"/>
        <w:ind w:left="0"/>
        <w:rPr>
          <w:rFonts w:cs="Verdana"/>
          <w:szCs w:val="20"/>
          <w:lang w:eastAsia="pl-PL"/>
        </w:rPr>
      </w:pPr>
      <w:r w:rsidRPr="00E00B35">
        <w:rPr>
          <w:rFonts w:cs="Verdana"/>
          <w:szCs w:val="20"/>
          <w:lang w:eastAsia="pl-PL"/>
        </w:rPr>
        <w:t>pakowacz ręczny- 3 353 miejsca pracy;</w:t>
      </w:r>
    </w:p>
    <w:p w:rsidR="00E96768" w:rsidRPr="00E00B35" w:rsidRDefault="00E96768" w:rsidP="00E00B35">
      <w:pPr>
        <w:pStyle w:val="Akapitzlist3"/>
        <w:spacing w:after="0" w:line="312" w:lineRule="auto"/>
        <w:ind w:left="0"/>
        <w:rPr>
          <w:rFonts w:cs="Verdana"/>
          <w:szCs w:val="20"/>
          <w:lang w:eastAsia="pl-PL"/>
        </w:rPr>
      </w:pPr>
      <w:r w:rsidRPr="00E00B35">
        <w:rPr>
          <w:rFonts w:cs="Verdana"/>
          <w:szCs w:val="20"/>
          <w:lang w:eastAsia="pl-PL"/>
        </w:rPr>
        <w:t>pozostali pracownicy wykonujący prace proste gdzie indziej niesklasyfikowani- 3 092 miejsca pracy;</w:t>
      </w:r>
    </w:p>
    <w:p w:rsidR="00E96768" w:rsidRPr="00E00B35" w:rsidRDefault="00E96768" w:rsidP="00E00B35">
      <w:pPr>
        <w:pStyle w:val="Akapitzlist3"/>
        <w:spacing w:after="0" w:line="312" w:lineRule="auto"/>
        <w:ind w:left="0"/>
        <w:rPr>
          <w:rFonts w:cs="Verdana"/>
          <w:szCs w:val="20"/>
          <w:lang w:eastAsia="pl-PL"/>
        </w:rPr>
      </w:pPr>
      <w:r w:rsidRPr="00E00B35">
        <w:rPr>
          <w:rFonts w:cs="Verdana"/>
          <w:szCs w:val="20"/>
          <w:lang w:eastAsia="pl-PL"/>
        </w:rPr>
        <w:t>pozostali pracownicy zajmujący się sprzątaniem gdzie indziej niesklasyfikowani- 2 205 miejsc pracy;</w:t>
      </w:r>
    </w:p>
    <w:p w:rsidR="00E96768" w:rsidRPr="00E00B35" w:rsidRDefault="00E96768" w:rsidP="00E00B35">
      <w:pPr>
        <w:pStyle w:val="Akapitzlist3"/>
        <w:spacing w:after="0" w:line="312" w:lineRule="auto"/>
        <w:ind w:left="0"/>
        <w:rPr>
          <w:rFonts w:cs="Verdana"/>
          <w:szCs w:val="20"/>
          <w:lang w:eastAsia="pl-PL"/>
        </w:rPr>
      </w:pPr>
      <w:r w:rsidRPr="00E00B35">
        <w:rPr>
          <w:rFonts w:cs="Verdana"/>
          <w:szCs w:val="20"/>
          <w:lang w:eastAsia="pl-PL"/>
        </w:rPr>
        <w:t>pomocniczy robotnik budowlany- 2 047 miejsc pracy;</w:t>
      </w:r>
    </w:p>
    <w:p w:rsidR="00E96768" w:rsidRPr="00E00B35" w:rsidRDefault="00E96768" w:rsidP="00E00B35">
      <w:pPr>
        <w:pStyle w:val="Akapitzlist3"/>
        <w:spacing w:after="0" w:line="312" w:lineRule="auto"/>
        <w:ind w:left="0"/>
        <w:rPr>
          <w:rFonts w:cs="Verdana"/>
          <w:szCs w:val="20"/>
          <w:lang w:eastAsia="pl-PL"/>
        </w:rPr>
      </w:pPr>
      <w:r w:rsidRPr="00E00B35">
        <w:rPr>
          <w:rFonts w:cs="Verdana"/>
          <w:szCs w:val="20"/>
          <w:lang w:eastAsia="pl-PL"/>
        </w:rPr>
        <w:t>robotnik magazynowy- 1 789 miejsc pracy;</w:t>
      </w:r>
    </w:p>
    <w:p w:rsidR="00E96768" w:rsidRPr="00E00B35" w:rsidRDefault="00E96768" w:rsidP="00E00B35">
      <w:pPr>
        <w:pStyle w:val="Akapitzlist3"/>
        <w:spacing w:after="0" w:line="312" w:lineRule="auto"/>
        <w:ind w:left="0"/>
        <w:rPr>
          <w:rFonts w:cs="Verdana"/>
          <w:szCs w:val="20"/>
          <w:lang w:eastAsia="pl-PL"/>
        </w:rPr>
      </w:pPr>
      <w:r w:rsidRPr="00E00B35">
        <w:rPr>
          <w:rFonts w:cs="Verdana"/>
          <w:szCs w:val="20"/>
          <w:lang w:eastAsia="pl-PL"/>
        </w:rPr>
        <w:t>pomoc kuchenna- 1 384 miejsca pracy;</w:t>
      </w:r>
    </w:p>
    <w:p w:rsidR="00E96768" w:rsidRPr="00E00B35" w:rsidRDefault="00E96768" w:rsidP="00E00B35">
      <w:pPr>
        <w:pStyle w:val="Akapitzlist3"/>
        <w:spacing w:after="0" w:line="312" w:lineRule="auto"/>
        <w:ind w:left="0"/>
        <w:rPr>
          <w:rFonts w:cs="Verdana"/>
          <w:szCs w:val="20"/>
          <w:lang w:eastAsia="pl-PL"/>
        </w:rPr>
      </w:pPr>
      <w:r w:rsidRPr="00E00B35">
        <w:rPr>
          <w:rFonts w:cs="Verdana"/>
          <w:szCs w:val="20"/>
          <w:lang w:eastAsia="pl-PL"/>
        </w:rPr>
        <w:t>operator zautomatyzowanej linii produkcyjnej- 892 miejsca pracy;</w:t>
      </w:r>
    </w:p>
    <w:p w:rsidR="00E96768" w:rsidRPr="00E00B35" w:rsidRDefault="00E96768" w:rsidP="00E00B35">
      <w:pPr>
        <w:pStyle w:val="Akapitzlist3"/>
        <w:spacing w:after="0" w:line="312" w:lineRule="auto"/>
        <w:ind w:left="0"/>
        <w:rPr>
          <w:rFonts w:cs="Verdana"/>
          <w:szCs w:val="20"/>
          <w:lang w:eastAsia="pl-PL"/>
        </w:rPr>
      </w:pPr>
      <w:r w:rsidRPr="00E00B35">
        <w:rPr>
          <w:rFonts w:cs="Verdana"/>
          <w:szCs w:val="20"/>
          <w:lang w:eastAsia="pl-PL"/>
        </w:rPr>
        <w:t>pozostali magazynierzy i pokrewni- 887 miejsc pracy.</w:t>
      </w:r>
    </w:p>
    <w:p w:rsidR="00E96768" w:rsidRPr="00E00B35" w:rsidRDefault="00E96768" w:rsidP="00E00B35">
      <w:pPr>
        <w:spacing w:after="0" w:line="312" w:lineRule="auto"/>
        <w:rPr>
          <w:szCs w:val="20"/>
        </w:rPr>
      </w:pPr>
      <w:r w:rsidRPr="00E00B35">
        <w:rPr>
          <w:rFonts w:cs="Verdana"/>
          <w:color w:val="00000A"/>
          <w:szCs w:val="20"/>
        </w:rPr>
        <w:lastRenderedPageBreak/>
        <w:t xml:space="preserve">W 2020 roku pośrednicy pracy pełniący funkcję doradcy klienta instytucjonalnego nawiązali kontakt ze </w:t>
      </w:r>
      <w:r w:rsidRPr="00E00B35">
        <w:rPr>
          <w:rFonts w:cs="Verdana"/>
          <w:bCs/>
          <w:color w:val="00000A"/>
          <w:szCs w:val="20"/>
        </w:rPr>
        <w:t>131 nowymi pracodawcami</w:t>
      </w:r>
      <w:r w:rsidRPr="00E00B35">
        <w:rPr>
          <w:rFonts w:cs="Verdana"/>
          <w:color w:val="00000A"/>
          <w:szCs w:val="20"/>
        </w:rPr>
        <w:t xml:space="preserve">. W wyniku kontaktów bezpośrednich, telefonicznych i drogą elektroniczną </w:t>
      </w:r>
      <w:r w:rsidRPr="00E00B35">
        <w:rPr>
          <w:rFonts w:cs="Verdana"/>
          <w:bCs/>
          <w:color w:val="00000A"/>
          <w:szCs w:val="20"/>
        </w:rPr>
        <w:t xml:space="preserve">pozyskali </w:t>
      </w:r>
      <w:r w:rsidRPr="00E00B35">
        <w:rPr>
          <w:rFonts w:cs="Verdana"/>
          <w:color w:val="00000A"/>
          <w:szCs w:val="20"/>
        </w:rPr>
        <w:t xml:space="preserve">oni </w:t>
      </w:r>
      <w:r w:rsidRPr="00E00B35">
        <w:rPr>
          <w:rFonts w:cs="Verdana"/>
          <w:bCs/>
          <w:color w:val="00000A"/>
          <w:szCs w:val="20"/>
        </w:rPr>
        <w:t>3 383 miejsca pracy</w:t>
      </w:r>
      <w:r w:rsidRPr="00E00B35">
        <w:rPr>
          <w:rFonts w:cs="Verdana"/>
          <w:color w:val="00000A"/>
          <w:szCs w:val="20"/>
        </w:rPr>
        <w:t xml:space="preserve">. Ponadto pośrednicy kontaktowali się z pracodawcami w celu promocji i pozyskania miejsc odbywania stażu, co zaowocowało złożeniem wniosków stażowych przez </w:t>
      </w:r>
      <w:r w:rsidRPr="00E00B35">
        <w:rPr>
          <w:rFonts w:cs="Verdana"/>
          <w:bCs/>
          <w:color w:val="00000A"/>
          <w:szCs w:val="20"/>
        </w:rPr>
        <w:t>45</w:t>
      </w:r>
      <w:r w:rsidRPr="00E00B35">
        <w:rPr>
          <w:rFonts w:cs="Verdana"/>
          <w:color w:val="00000A"/>
          <w:szCs w:val="20"/>
        </w:rPr>
        <w:t xml:space="preserve"> firm na </w:t>
      </w:r>
      <w:r w:rsidRPr="00E00B35">
        <w:rPr>
          <w:rFonts w:cs="Verdana"/>
          <w:bCs/>
          <w:color w:val="00000A"/>
          <w:szCs w:val="20"/>
        </w:rPr>
        <w:t>69</w:t>
      </w:r>
      <w:r w:rsidRPr="00E00B35">
        <w:rPr>
          <w:rFonts w:cs="Verdana"/>
          <w:color w:val="00000A"/>
          <w:szCs w:val="20"/>
        </w:rPr>
        <w:t xml:space="preserve"> miejsc stażowych.</w:t>
      </w:r>
    </w:p>
    <w:p w:rsidR="00E96768" w:rsidRPr="00E00B35" w:rsidRDefault="00E96768" w:rsidP="00E00B35">
      <w:pPr>
        <w:spacing w:after="0" w:line="312" w:lineRule="auto"/>
        <w:rPr>
          <w:szCs w:val="20"/>
        </w:rPr>
      </w:pPr>
      <w:r w:rsidRPr="00E00B35">
        <w:rPr>
          <w:rFonts w:cs="Verdana"/>
          <w:color w:val="00000A"/>
          <w:szCs w:val="20"/>
        </w:rPr>
        <w:t xml:space="preserve">Pośrednicy pracy pełniący funkcję doradcy klienta indywidualnego odnotowali </w:t>
      </w:r>
      <w:r w:rsidRPr="00E00B35">
        <w:rPr>
          <w:rFonts w:cs="Verdana"/>
          <w:bCs/>
          <w:color w:val="00000A"/>
          <w:szCs w:val="20"/>
        </w:rPr>
        <w:t>63 864</w:t>
      </w:r>
      <w:r w:rsidRPr="00E00B35">
        <w:rPr>
          <w:rFonts w:cs="Verdana"/>
          <w:b/>
          <w:bCs/>
          <w:color w:val="00000A"/>
          <w:szCs w:val="20"/>
        </w:rPr>
        <w:t xml:space="preserve"> </w:t>
      </w:r>
      <w:r w:rsidRPr="00E00B35">
        <w:rPr>
          <w:rFonts w:cs="Verdana"/>
          <w:color w:val="00000A"/>
          <w:szCs w:val="20"/>
        </w:rPr>
        <w:t xml:space="preserve">wizyt oraz kontaktów mailowych i telefonicznych osób bezrobotnych i poszukujących pracy, w efekcie których wydano </w:t>
      </w:r>
      <w:r w:rsidRPr="00E00B35">
        <w:rPr>
          <w:rFonts w:cs="Verdana"/>
          <w:bCs/>
          <w:color w:val="00000A"/>
          <w:szCs w:val="20"/>
        </w:rPr>
        <w:t>5 788</w:t>
      </w:r>
      <w:r w:rsidRPr="00E00B35">
        <w:rPr>
          <w:rFonts w:cs="Verdana"/>
          <w:color w:val="00000A"/>
          <w:szCs w:val="20"/>
        </w:rPr>
        <w:t xml:space="preserve"> skierowań do pracodawców.</w:t>
      </w:r>
    </w:p>
    <w:p w:rsidR="00E96768" w:rsidRPr="00E00B35" w:rsidRDefault="00E96768" w:rsidP="00E00B35">
      <w:pPr>
        <w:spacing w:after="0" w:line="312" w:lineRule="auto"/>
        <w:rPr>
          <w:szCs w:val="20"/>
        </w:rPr>
      </w:pPr>
      <w:r w:rsidRPr="00E00B35">
        <w:rPr>
          <w:rFonts w:cs="Verdana"/>
          <w:color w:val="00000A"/>
          <w:szCs w:val="20"/>
        </w:rPr>
        <w:t>Z uwagi na ogłoszony stan epidemii i wprowadzone czasowe ograniczenia osobistego dostępu klienta ilość wydanych skierowań na bezpośrednią rozmowę do pracodawców była znacznie mniejsza niż w roku poprzednim (</w:t>
      </w:r>
      <w:r w:rsidRPr="00E00B35">
        <w:rPr>
          <w:rFonts w:cs="Verdana"/>
          <w:bCs/>
          <w:color w:val="00000A"/>
          <w:szCs w:val="20"/>
        </w:rPr>
        <w:t>22 065</w:t>
      </w:r>
      <w:r w:rsidRPr="00E00B35">
        <w:rPr>
          <w:rFonts w:cs="Verdana"/>
          <w:color w:val="00000A"/>
          <w:szCs w:val="20"/>
        </w:rPr>
        <w:t xml:space="preserve"> skierowań do pracodawców w 2019 roku). Zgłaszane w tym czasie przez pracodawców oferty pracy przyjmowane były wyłącznie w formie otwartej, która zawierała dane umożliwiające identyfikację pracodawcy, tj. podane: nazwa i adres pracodawcy, stanowisko, wymagane kwalifikacje oraz dane kontaktowe. Codziennie, na bieżąco oferty pracy udostępniano na stronie oferty.praca.gov.pl dla każdej osoby zainteresowanej kontaktem z pracodawcą.</w:t>
      </w:r>
    </w:p>
    <w:p w:rsidR="00E96768" w:rsidRPr="00E00B35" w:rsidRDefault="00E96768" w:rsidP="00E00B35">
      <w:pPr>
        <w:spacing w:after="0" w:line="312" w:lineRule="auto"/>
        <w:rPr>
          <w:szCs w:val="20"/>
        </w:rPr>
      </w:pPr>
      <w:r w:rsidRPr="00E00B35">
        <w:rPr>
          <w:rFonts w:cs="Verdana"/>
          <w:color w:val="00000A"/>
          <w:szCs w:val="20"/>
        </w:rPr>
        <w:t xml:space="preserve">W ramach sieci EURES pośrednicy dysponowali </w:t>
      </w:r>
      <w:r w:rsidRPr="00E00B35">
        <w:rPr>
          <w:rFonts w:cs="Verdana"/>
          <w:bCs/>
          <w:color w:val="00000A"/>
          <w:szCs w:val="20"/>
        </w:rPr>
        <w:t>1 821</w:t>
      </w:r>
      <w:r w:rsidRPr="00E00B35">
        <w:rPr>
          <w:rFonts w:cs="Verdana"/>
          <w:color w:val="00000A"/>
          <w:szCs w:val="20"/>
        </w:rPr>
        <w:t xml:space="preserve"> miejscami pracy za granicą; asystent EURES udzielił pomocy </w:t>
      </w:r>
      <w:r w:rsidRPr="00E00B35">
        <w:rPr>
          <w:rFonts w:cs="Verdana"/>
          <w:bCs/>
          <w:color w:val="00000A"/>
          <w:szCs w:val="20"/>
        </w:rPr>
        <w:t>340</w:t>
      </w:r>
      <w:r w:rsidRPr="00E00B35">
        <w:rPr>
          <w:rFonts w:cs="Verdana"/>
          <w:color w:val="00000A"/>
          <w:szCs w:val="20"/>
        </w:rPr>
        <w:t xml:space="preserve"> osobom zainteresowanym miejscami pracy zgłoszonymi przez pracodawców z Europejskiego Obszaru Gospodarczego.</w:t>
      </w:r>
    </w:p>
    <w:p w:rsidR="00E96768" w:rsidRPr="00E00B35" w:rsidRDefault="00E96768" w:rsidP="00E00B35">
      <w:pPr>
        <w:spacing w:after="0" w:line="312" w:lineRule="auto"/>
        <w:rPr>
          <w:rFonts w:cs="Verdana"/>
          <w:color w:val="00000A"/>
          <w:szCs w:val="20"/>
        </w:rPr>
      </w:pPr>
      <w:r w:rsidRPr="00E00B35">
        <w:rPr>
          <w:rFonts w:cs="Verdana"/>
          <w:color w:val="00000A"/>
          <w:szCs w:val="20"/>
        </w:rPr>
        <w:t xml:space="preserve">Pośrednicy pracy skierowali </w:t>
      </w:r>
      <w:r w:rsidRPr="00E00B35">
        <w:rPr>
          <w:rFonts w:cs="Verdana"/>
          <w:bCs/>
          <w:color w:val="00000A"/>
          <w:szCs w:val="20"/>
        </w:rPr>
        <w:t>555</w:t>
      </w:r>
      <w:r w:rsidRPr="00E00B35">
        <w:rPr>
          <w:rFonts w:cs="Verdana"/>
          <w:color w:val="00000A"/>
          <w:szCs w:val="20"/>
        </w:rPr>
        <w:t xml:space="preserve"> osób do doradców zawodowych w celu udzielenia porad ułatwiających wybór zawodu, zmianę kwalifikacji, podjęcie zatrudnienia lub skierowania na specjalistyczne badania lekarskie umożliwiające wydanie opinii o przydatności zawodowej do pracy i opracowanie na tej podstawie Indywidualnego Planu Działania.</w:t>
      </w:r>
    </w:p>
    <w:p w:rsidR="005B50AD" w:rsidRPr="00E00B35" w:rsidRDefault="005B50AD" w:rsidP="00E00B35">
      <w:pPr>
        <w:spacing w:after="0" w:line="312" w:lineRule="auto"/>
        <w:rPr>
          <w:rFonts w:cs="Verdana"/>
          <w:color w:val="00000A"/>
          <w:szCs w:val="20"/>
        </w:rPr>
      </w:pPr>
    </w:p>
    <w:p w:rsidR="00E96768" w:rsidRPr="00E00B35" w:rsidRDefault="00E96768" w:rsidP="00E00B35">
      <w:pPr>
        <w:pStyle w:val="Nagwek5"/>
        <w:rPr>
          <w:szCs w:val="20"/>
        </w:rPr>
      </w:pPr>
      <w:r w:rsidRPr="00E00B35">
        <w:rPr>
          <w:szCs w:val="20"/>
        </w:rPr>
        <w:t>Poradnictwo zawodowe</w:t>
      </w:r>
    </w:p>
    <w:p w:rsidR="00E96768" w:rsidRPr="00E00B35" w:rsidRDefault="00E96768" w:rsidP="00E00B35">
      <w:pPr>
        <w:pStyle w:val="western"/>
        <w:spacing w:before="0" w:beforeAutospacing="0" w:after="0" w:afterAutospacing="0" w:line="312" w:lineRule="auto"/>
        <w:jc w:val="left"/>
        <w:rPr>
          <w:rFonts w:ascii="Verdana" w:hAnsi="Verdana"/>
          <w:sz w:val="20"/>
          <w:szCs w:val="20"/>
        </w:rPr>
      </w:pPr>
      <w:r w:rsidRPr="00E00B35">
        <w:rPr>
          <w:rFonts w:ascii="Verdana" w:hAnsi="Verdana" w:cs="Verdana"/>
          <w:color w:val="00000A"/>
          <w:sz w:val="20"/>
          <w:szCs w:val="20"/>
        </w:rPr>
        <w:t xml:space="preserve">Doradcy zawodowi udzielili </w:t>
      </w:r>
      <w:r w:rsidRPr="00E00B35">
        <w:rPr>
          <w:rFonts w:ascii="Verdana" w:hAnsi="Verdana" w:cs="Verdana"/>
          <w:bCs/>
          <w:color w:val="00000A"/>
          <w:sz w:val="20"/>
          <w:szCs w:val="20"/>
        </w:rPr>
        <w:t>2 521</w:t>
      </w:r>
      <w:r w:rsidRPr="00E00B35">
        <w:rPr>
          <w:rFonts w:ascii="Verdana" w:hAnsi="Verdana" w:cs="Verdana"/>
          <w:color w:val="00000A"/>
          <w:sz w:val="20"/>
          <w:szCs w:val="20"/>
        </w:rPr>
        <w:t xml:space="preserve"> porad indywidualnych dla </w:t>
      </w:r>
      <w:r w:rsidRPr="00E00B35">
        <w:rPr>
          <w:rFonts w:ascii="Verdana" w:hAnsi="Verdana" w:cs="Verdana"/>
          <w:bCs/>
          <w:color w:val="00000A"/>
          <w:sz w:val="20"/>
          <w:szCs w:val="20"/>
        </w:rPr>
        <w:t>1 877</w:t>
      </w:r>
      <w:r w:rsidRPr="00E00B35">
        <w:rPr>
          <w:rFonts w:ascii="Verdana" w:hAnsi="Verdana" w:cs="Verdana"/>
          <w:color w:val="00000A"/>
          <w:sz w:val="20"/>
          <w:szCs w:val="20"/>
        </w:rPr>
        <w:t xml:space="preserve"> osób, w tym </w:t>
      </w:r>
      <w:r w:rsidRPr="00E00B35">
        <w:rPr>
          <w:rFonts w:ascii="Verdana" w:hAnsi="Verdana" w:cs="Verdana"/>
          <w:bCs/>
          <w:color w:val="00000A"/>
          <w:sz w:val="20"/>
          <w:szCs w:val="20"/>
        </w:rPr>
        <w:t>381</w:t>
      </w:r>
      <w:r w:rsidRPr="00E00B35">
        <w:rPr>
          <w:rFonts w:ascii="Verdana" w:hAnsi="Verdana" w:cs="Verdana"/>
          <w:color w:val="00000A"/>
          <w:sz w:val="20"/>
          <w:szCs w:val="20"/>
        </w:rPr>
        <w:t xml:space="preserve"> porad dla </w:t>
      </w:r>
      <w:r w:rsidRPr="00E00B35">
        <w:rPr>
          <w:rFonts w:ascii="Verdana" w:hAnsi="Verdana" w:cs="Verdana"/>
          <w:bCs/>
          <w:color w:val="00000A"/>
          <w:sz w:val="20"/>
          <w:szCs w:val="20"/>
        </w:rPr>
        <w:t>292</w:t>
      </w:r>
      <w:r w:rsidRPr="00E00B35">
        <w:rPr>
          <w:rFonts w:ascii="Verdana" w:hAnsi="Verdana" w:cs="Verdana"/>
          <w:color w:val="00000A"/>
          <w:sz w:val="20"/>
          <w:szCs w:val="20"/>
        </w:rPr>
        <w:t xml:space="preserve"> osób z terenu Powiatu Wrocławskiego. Zorganizowali i przeprowadzili </w:t>
      </w:r>
      <w:r w:rsidRPr="00E00B35">
        <w:rPr>
          <w:rFonts w:ascii="Verdana" w:hAnsi="Verdana" w:cs="Verdana"/>
          <w:bCs/>
          <w:color w:val="00000A"/>
          <w:sz w:val="20"/>
          <w:szCs w:val="20"/>
        </w:rPr>
        <w:t>2</w:t>
      </w:r>
      <w:r w:rsidRPr="00E00B35">
        <w:rPr>
          <w:rFonts w:ascii="Verdana" w:hAnsi="Verdana" w:cs="Verdana"/>
          <w:color w:val="00000A"/>
          <w:sz w:val="20"/>
          <w:szCs w:val="20"/>
        </w:rPr>
        <w:t xml:space="preserve"> porady grupowe dla </w:t>
      </w:r>
      <w:r w:rsidRPr="00E00B35">
        <w:rPr>
          <w:rFonts w:ascii="Verdana" w:hAnsi="Verdana" w:cs="Verdana"/>
          <w:bCs/>
          <w:color w:val="00000A"/>
          <w:sz w:val="20"/>
          <w:szCs w:val="20"/>
        </w:rPr>
        <w:t>25</w:t>
      </w:r>
      <w:r w:rsidRPr="00E00B35">
        <w:rPr>
          <w:rFonts w:ascii="Verdana" w:hAnsi="Verdana" w:cs="Verdana"/>
          <w:color w:val="00000A"/>
          <w:sz w:val="20"/>
          <w:szCs w:val="20"/>
        </w:rPr>
        <w:t xml:space="preserve"> osób, w tym </w:t>
      </w:r>
      <w:r w:rsidRPr="00E00B35">
        <w:rPr>
          <w:rFonts w:ascii="Verdana" w:hAnsi="Verdana" w:cs="Verdana"/>
          <w:bCs/>
          <w:color w:val="00000A"/>
          <w:sz w:val="20"/>
          <w:szCs w:val="20"/>
        </w:rPr>
        <w:t>3</w:t>
      </w:r>
      <w:r w:rsidRPr="00E00B35">
        <w:rPr>
          <w:rFonts w:ascii="Verdana" w:hAnsi="Verdana" w:cs="Verdana"/>
          <w:color w:val="00000A"/>
          <w:sz w:val="20"/>
          <w:szCs w:val="20"/>
        </w:rPr>
        <w:t xml:space="preserve"> osób z terenu Powiatu Wrocławskiego.</w:t>
      </w:r>
    </w:p>
    <w:p w:rsidR="00E96768" w:rsidRPr="00E00B35" w:rsidRDefault="00E96768" w:rsidP="00E00B35">
      <w:pPr>
        <w:spacing w:after="0" w:line="312" w:lineRule="auto"/>
        <w:rPr>
          <w:rFonts w:cs="Verdana"/>
          <w:color w:val="00000A"/>
          <w:szCs w:val="20"/>
        </w:rPr>
      </w:pPr>
      <w:r w:rsidRPr="00E00B35">
        <w:rPr>
          <w:rFonts w:cs="Verdana"/>
          <w:color w:val="00000A"/>
          <w:szCs w:val="20"/>
        </w:rPr>
        <w:t xml:space="preserve">Pomimo epidemii dodatkowo przeprowadzono </w:t>
      </w:r>
      <w:r w:rsidRPr="00E00B35">
        <w:rPr>
          <w:rFonts w:cs="Verdana"/>
          <w:bCs/>
          <w:color w:val="00000A"/>
          <w:szCs w:val="20"/>
        </w:rPr>
        <w:t>2</w:t>
      </w:r>
      <w:r w:rsidRPr="00E00B35">
        <w:rPr>
          <w:rFonts w:cs="Verdana"/>
          <w:color w:val="00000A"/>
          <w:szCs w:val="20"/>
        </w:rPr>
        <w:t xml:space="preserve"> spotkania informacyjne online „Dobry start” dla studentów studiów informatyki, z których skorzystało łącznie </w:t>
      </w:r>
      <w:r w:rsidRPr="00E00B35">
        <w:rPr>
          <w:rFonts w:cs="Verdana"/>
          <w:bCs/>
          <w:color w:val="00000A"/>
          <w:szCs w:val="20"/>
        </w:rPr>
        <w:t>138</w:t>
      </w:r>
      <w:r w:rsidRPr="00E00B35">
        <w:rPr>
          <w:rFonts w:cs="Verdana"/>
          <w:color w:val="00000A"/>
          <w:szCs w:val="20"/>
        </w:rPr>
        <w:t xml:space="preserve"> osób. Na pomoc udzielaną osobom zwalnianym grupowo z przyczyn niedotyczących pracowników zdecydowało się dwóch pracodawców dla których zorganizowano i przeprowadzono </w:t>
      </w:r>
      <w:r w:rsidRPr="00E00B35">
        <w:rPr>
          <w:rFonts w:cs="Verdana"/>
          <w:bCs/>
          <w:color w:val="00000A"/>
          <w:szCs w:val="20"/>
        </w:rPr>
        <w:t xml:space="preserve">1 </w:t>
      </w:r>
      <w:r w:rsidRPr="00E00B35">
        <w:rPr>
          <w:rFonts w:cs="Verdana"/>
          <w:color w:val="00000A"/>
          <w:szCs w:val="20"/>
        </w:rPr>
        <w:t xml:space="preserve">spotkanie informacyjne online oraz </w:t>
      </w:r>
      <w:r w:rsidRPr="00E00B35">
        <w:rPr>
          <w:rFonts w:cs="Verdana"/>
          <w:bCs/>
          <w:color w:val="00000A"/>
          <w:szCs w:val="20"/>
        </w:rPr>
        <w:t>1</w:t>
      </w:r>
      <w:r w:rsidRPr="00E00B35">
        <w:rPr>
          <w:rFonts w:cs="Verdana"/>
          <w:color w:val="00000A"/>
          <w:szCs w:val="20"/>
        </w:rPr>
        <w:t xml:space="preserve"> dyżur telefoniczny.</w:t>
      </w:r>
    </w:p>
    <w:p w:rsidR="005B50AD" w:rsidRPr="00E00B35" w:rsidRDefault="005B50AD" w:rsidP="00E00B35">
      <w:pPr>
        <w:spacing w:after="0" w:line="312" w:lineRule="auto"/>
        <w:rPr>
          <w:szCs w:val="20"/>
        </w:rPr>
      </w:pPr>
    </w:p>
    <w:p w:rsidR="00E96768" w:rsidRPr="00E00B35" w:rsidRDefault="00E96768" w:rsidP="00E00B35">
      <w:pPr>
        <w:pStyle w:val="Nagwek4"/>
        <w:spacing w:before="0" w:after="0" w:line="312" w:lineRule="auto"/>
        <w:rPr>
          <w:sz w:val="20"/>
          <w:szCs w:val="20"/>
        </w:rPr>
      </w:pPr>
      <w:r w:rsidRPr="00E00B35">
        <w:rPr>
          <w:sz w:val="20"/>
          <w:szCs w:val="20"/>
        </w:rPr>
        <w:t>ROZWÓJ ZAWODOWY</w:t>
      </w:r>
    </w:p>
    <w:p w:rsidR="005B50AD" w:rsidRPr="00E00B35" w:rsidRDefault="005B50AD" w:rsidP="00E00B35">
      <w:pPr>
        <w:pStyle w:val="Nagwek4"/>
        <w:spacing w:before="0" w:after="0" w:line="312" w:lineRule="auto"/>
        <w:rPr>
          <w:sz w:val="20"/>
          <w:szCs w:val="20"/>
        </w:rPr>
      </w:pPr>
    </w:p>
    <w:p w:rsidR="00E96768" w:rsidRPr="00E00B35" w:rsidRDefault="00E96768" w:rsidP="00E00B35">
      <w:pPr>
        <w:pStyle w:val="Nagwek5"/>
        <w:rPr>
          <w:szCs w:val="20"/>
        </w:rPr>
      </w:pPr>
      <w:r w:rsidRPr="00E00B35">
        <w:rPr>
          <w:szCs w:val="20"/>
        </w:rPr>
        <w:t>Szkolenia, egzaminy i studia podyplomowe</w:t>
      </w:r>
    </w:p>
    <w:p w:rsidR="00E96768" w:rsidRPr="00E00B35" w:rsidRDefault="00E96768" w:rsidP="00E00B35">
      <w:pPr>
        <w:spacing w:after="0" w:line="312" w:lineRule="auto"/>
        <w:textAlignment w:val="baseline"/>
        <w:rPr>
          <w:szCs w:val="20"/>
        </w:rPr>
      </w:pPr>
      <w:r w:rsidRPr="00E00B35">
        <w:rPr>
          <w:rFonts w:eastAsia="NimbusSanL-Bold" w:cs="Verdana"/>
          <w:color w:val="00000A"/>
          <w:szCs w:val="20"/>
        </w:rPr>
        <w:t>W 2020 roku na szkolenia skierowano łącznie 60 osób (z tego 47 mieszkańców Wrocławia i 13 Powiatu Wrocławskiego). W ciągu roku szkolenia ukończyło 66 osób (54 z Wrocławia, 12 z Powiatu Wrocławskiego).</w:t>
      </w:r>
    </w:p>
    <w:p w:rsidR="00E96768" w:rsidRPr="00E00B35" w:rsidRDefault="00E96768" w:rsidP="00E00B35">
      <w:pPr>
        <w:spacing w:after="0" w:line="312" w:lineRule="auto"/>
        <w:textAlignment w:val="baseline"/>
        <w:rPr>
          <w:szCs w:val="20"/>
        </w:rPr>
      </w:pPr>
      <w:r w:rsidRPr="00E00B35">
        <w:rPr>
          <w:rFonts w:eastAsia="NimbusSanL-Bold" w:cs="Verdana"/>
          <w:color w:val="00000A"/>
          <w:szCs w:val="20"/>
        </w:rPr>
        <w:t xml:space="preserve">W związku z zapotrzebowaniem pracodawców na wykwalifikowanych pracowników  zaplanowano na 2020 roku cztery szkolenia grupowe. Pomimo trudnej sytuacji </w:t>
      </w:r>
      <w:r w:rsidRPr="00E00B35">
        <w:rPr>
          <w:rFonts w:eastAsia="NimbusSanL-Bold" w:cs="Verdana"/>
          <w:color w:val="00000A"/>
          <w:szCs w:val="20"/>
        </w:rPr>
        <w:lastRenderedPageBreak/>
        <w:t>epidemiologicznej udało się zrealizować szkolenie pn. „Kierowca operator wózków jezdniowych”.</w:t>
      </w:r>
    </w:p>
    <w:p w:rsidR="00E96768" w:rsidRPr="00E00B35" w:rsidRDefault="00E96768" w:rsidP="00E00B35">
      <w:pPr>
        <w:spacing w:after="0" w:line="312" w:lineRule="auto"/>
        <w:textAlignment w:val="baseline"/>
        <w:rPr>
          <w:szCs w:val="20"/>
        </w:rPr>
      </w:pPr>
      <w:r w:rsidRPr="00E00B35">
        <w:rPr>
          <w:rFonts w:eastAsia="NimbusSanL-Bold" w:cs="Verdana"/>
          <w:color w:val="00000A"/>
          <w:szCs w:val="20"/>
        </w:rPr>
        <w:t>W 2020 roku najczęściej składanymi wnioskami o skierowanie na wskazane przez bezrobotnych szkolenia były: prawo jazdy kat. C, E/C z kwalifikacją wstępną przyspieszoną. Urząd sfinansował 50 szkoleń wskazanych przez 46 bezrobotnych, między innymi:</w:t>
      </w:r>
    </w:p>
    <w:p w:rsidR="00E96768" w:rsidRPr="00E00B35" w:rsidRDefault="00E96768" w:rsidP="00BC64AB">
      <w:pPr>
        <w:pStyle w:val="Akapitzlist"/>
        <w:numPr>
          <w:ilvl w:val="0"/>
          <w:numId w:val="245"/>
        </w:numPr>
        <w:spacing w:after="0" w:line="312" w:lineRule="auto"/>
        <w:ind w:left="567" w:hanging="567"/>
        <w:rPr>
          <w:bCs/>
          <w:szCs w:val="20"/>
        </w:rPr>
      </w:pPr>
      <w:r w:rsidRPr="00E00B35">
        <w:rPr>
          <w:rFonts w:eastAsia="NimbusSanL-Bold" w:cs="Verdana"/>
          <w:color w:val="00000A"/>
          <w:szCs w:val="20"/>
        </w:rPr>
        <w:t xml:space="preserve">prawo </w:t>
      </w:r>
      <w:r w:rsidRPr="00E00B35">
        <w:rPr>
          <w:bCs/>
          <w:szCs w:val="20"/>
        </w:rPr>
        <w:t>jazdy kat. C + przewóz rzeczy, kat. C/E + przewóz rzeczy,</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prawo jazdy kat. D + przewóz osób,</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szkolenie elektroenergetyczne w zakresie eksploatacji i dozoru,</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makijaż permanentny,</w:t>
      </w:r>
    </w:p>
    <w:p w:rsidR="00E96768" w:rsidRPr="00E00B35" w:rsidRDefault="00E96768" w:rsidP="00BC64AB">
      <w:pPr>
        <w:pStyle w:val="Akapitzlist"/>
        <w:numPr>
          <w:ilvl w:val="0"/>
          <w:numId w:val="245"/>
        </w:numPr>
        <w:spacing w:after="0" w:line="312" w:lineRule="auto"/>
        <w:ind w:left="567" w:hanging="567"/>
        <w:rPr>
          <w:rFonts w:eastAsia="NimbusSanL-Bold" w:cs="Verdana"/>
          <w:color w:val="00000A"/>
          <w:szCs w:val="20"/>
        </w:rPr>
      </w:pPr>
      <w:r w:rsidRPr="00E00B35">
        <w:rPr>
          <w:bCs/>
          <w:szCs w:val="20"/>
        </w:rPr>
        <w:t>programo</w:t>
      </w:r>
      <w:r w:rsidRPr="00E00B35">
        <w:rPr>
          <w:rFonts w:eastAsia="NimbusSanL-Bold" w:cs="Verdana"/>
          <w:color w:val="00000A"/>
          <w:szCs w:val="20"/>
        </w:rPr>
        <w:t>wanie Java.</w:t>
      </w:r>
    </w:p>
    <w:p w:rsidR="00E96768" w:rsidRPr="00E00B35" w:rsidRDefault="00E96768" w:rsidP="00E00B35">
      <w:pPr>
        <w:spacing w:after="0" w:line="312" w:lineRule="auto"/>
        <w:textAlignment w:val="baseline"/>
        <w:rPr>
          <w:szCs w:val="20"/>
        </w:rPr>
      </w:pPr>
      <w:r w:rsidRPr="00E00B35">
        <w:rPr>
          <w:rFonts w:eastAsia="NimbusSanL-Bold" w:cs="Verdana"/>
          <w:color w:val="00000A"/>
          <w:szCs w:val="20"/>
        </w:rPr>
        <w:t>W ramach aktywizacji zawodowej osób uprawnionych, Urząd ma możliwość finansowania kosztów egzaminów umożliwiających uzyskanie certyfikatów lub tytułów zawodowych oraz kosztów uzyskania licencji niezbędnych do wykonywania zawodu. W 2020 roku najczęściej wnioskowano o sfinansowanie egzaminów na uzyskanie prawa jazdy kat. C, kat. C/E. Łącznie sfinansowano egzaminy 22 osobom (19 z Wrocławia, 3 z Powiatu Wrocławskiego).</w:t>
      </w:r>
    </w:p>
    <w:p w:rsidR="00E96768" w:rsidRPr="00E00B35" w:rsidRDefault="00E96768" w:rsidP="00E00B35">
      <w:pPr>
        <w:spacing w:after="0" w:line="312" w:lineRule="auto"/>
        <w:textAlignment w:val="baseline"/>
        <w:rPr>
          <w:szCs w:val="20"/>
        </w:rPr>
      </w:pPr>
      <w:r w:rsidRPr="00E00B35">
        <w:rPr>
          <w:rFonts w:eastAsia="NimbusSanL-Bold" w:cs="Verdana"/>
          <w:color w:val="00000A"/>
          <w:szCs w:val="20"/>
        </w:rPr>
        <w:t>Z ustawowej możliwości sfinansowania kosztów studiów podyplomowych w 2020 roku skorzystało 15 osób, (12 z Wrocławia, 3 z Powiatu Wrocławskiego). Urząd sfinansował m. in. poniższe kierunki studiów podyplomowych:</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Pedagogiczne studia podyplomowe,</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Optometria,</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Wycena nieruchomości,</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Przemysłowe systemy sterowania,</w:t>
      </w:r>
    </w:p>
    <w:p w:rsidR="00E96768" w:rsidRPr="00E00B35" w:rsidRDefault="00E96768" w:rsidP="00BC64AB">
      <w:pPr>
        <w:pStyle w:val="Akapitzlist"/>
        <w:numPr>
          <w:ilvl w:val="0"/>
          <w:numId w:val="245"/>
        </w:numPr>
        <w:spacing w:after="0" w:line="312" w:lineRule="auto"/>
        <w:ind w:left="567" w:hanging="567"/>
        <w:rPr>
          <w:rFonts w:eastAsia="NimbusSanL-Bold" w:cs="Verdana"/>
          <w:color w:val="00000A"/>
          <w:szCs w:val="20"/>
        </w:rPr>
      </w:pPr>
      <w:r w:rsidRPr="00E00B35">
        <w:rPr>
          <w:bCs/>
          <w:szCs w:val="20"/>
        </w:rPr>
        <w:t>Za</w:t>
      </w:r>
      <w:r w:rsidRPr="00E00B35">
        <w:rPr>
          <w:rFonts w:eastAsia="NimbusSanL-Bold" w:cs="Verdana"/>
          <w:color w:val="00000A"/>
          <w:szCs w:val="20"/>
        </w:rPr>
        <w:t>rządzanie projektem informatycznym.</w:t>
      </w:r>
    </w:p>
    <w:p w:rsidR="005B50AD" w:rsidRPr="00E00B35" w:rsidRDefault="005B50AD" w:rsidP="00E00B35">
      <w:pPr>
        <w:pStyle w:val="Akapitzlist"/>
        <w:spacing w:after="0" w:line="312" w:lineRule="auto"/>
        <w:ind w:left="567"/>
        <w:rPr>
          <w:rFonts w:eastAsia="NimbusSanL-Bold" w:cs="Verdana"/>
          <w:color w:val="00000A"/>
          <w:szCs w:val="20"/>
        </w:rPr>
      </w:pPr>
    </w:p>
    <w:p w:rsidR="00E96768" w:rsidRPr="00E00B35" w:rsidRDefault="00E96768" w:rsidP="00E00B35">
      <w:pPr>
        <w:pStyle w:val="Nagwek5"/>
        <w:rPr>
          <w:szCs w:val="20"/>
        </w:rPr>
      </w:pPr>
      <w:r w:rsidRPr="00E00B35">
        <w:rPr>
          <w:szCs w:val="20"/>
        </w:rPr>
        <w:t>Krajowy Fundusz Szkoleniowy</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 xml:space="preserve">W 2020 roku Minister Rodziny, Pracy i Polityki Społecznej przyznał środki Krajowego Funduszu Szkoleniowego stanowiące wydzieloną część Funduszu Pracy w wysokości </w:t>
      </w:r>
      <w:r w:rsidRPr="00E00B35">
        <w:rPr>
          <w:rFonts w:cs="Verdana"/>
          <w:bCs/>
          <w:color w:val="00000A"/>
          <w:szCs w:val="20"/>
        </w:rPr>
        <w:t xml:space="preserve">3 711 000,00 </w:t>
      </w:r>
      <w:r w:rsidRPr="00E00B35">
        <w:rPr>
          <w:rFonts w:cs="Verdana"/>
          <w:color w:val="00000A"/>
          <w:szCs w:val="20"/>
        </w:rPr>
        <w:t>zł,</w:t>
      </w:r>
      <w:r w:rsidRPr="00E00B35">
        <w:rPr>
          <w:rFonts w:cs="Verdana"/>
          <w:bCs/>
          <w:color w:val="00000A"/>
          <w:szCs w:val="20"/>
        </w:rPr>
        <w:t xml:space="preserve"> </w:t>
      </w:r>
      <w:r w:rsidRPr="00E00B35">
        <w:rPr>
          <w:rFonts w:cs="Verdana"/>
          <w:color w:val="00000A"/>
          <w:szCs w:val="20"/>
        </w:rPr>
        <w:t>które są przeznaczone na sfinansowanie kosztów kształcenia ustawicznego pracowników oraz pracodawców. Zainteresowanie przedsiębiorców kształceniem ustawicznym pracowników i pracodawców nie maleje.</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 xml:space="preserve">Pracodawcy prowadzący działalność gospodarczą na terenie Miasta Wrocławia oraz Powiatu Wrocławskiego w </w:t>
      </w:r>
      <w:r w:rsidRPr="00E00B35">
        <w:rPr>
          <w:rFonts w:cs="Verdana"/>
          <w:bCs/>
          <w:color w:val="00000A"/>
          <w:szCs w:val="20"/>
        </w:rPr>
        <w:t>3</w:t>
      </w:r>
      <w:r w:rsidRPr="00E00B35">
        <w:rPr>
          <w:rFonts w:cs="Verdana"/>
          <w:color w:val="00000A"/>
          <w:szCs w:val="20"/>
        </w:rPr>
        <w:t xml:space="preserve"> ogłoszonych naborach w 2020 r. złożyli łącznie </w:t>
      </w:r>
      <w:r w:rsidRPr="00E00B35">
        <w:rPr>
          <w:rFonts w:cs="Verdana"/>
          <w:bCs/>
          <w:color w:val="00000A"/>
          <w:szCs w:val="20"/>
        </w:rPr>
        <w:t>538</w:t>
      </w:r>
      <w:r w:rsidRPr="00E00B35">
        <w:rPr>
          <w:rFonts w:cs="Verdana"/>
          <w:color w:val="00000A"/>
          <w:szCs w:val="20"/>
        </w:rPr>
        <w:t xml:space="preserve"> wniosków na kwotę </w:t>
      </w:r>
      <w:r w:rsidRPr="00E00B35">
        <w:rPr>
          <w:rFonts w:cs="Verdana"/>
          <w:bCs/>
          <w:color w:val="00000A"/>
          <w:szCs w:val="20"/>
        </w:rPr>
        <w:t xml:space="preserve">10 250 744,34 </w:t>
      </w:r>
      <w:r w:rsidRPr="00E00B35">
        <w:rPr>
          <w:rFonts w:cs="Verdana"/>
          <w:color w:val="00000A"/>
          <w:szCs w:val="20"/>
        </w:rPr>
        <w:t xml:space="preserve">zł, w których wnioskowali o sfinansowanie szkoleń, egzaminów, badań lekarskich, studiów podyplomowych dla </w:t>
      </w:r>
      <w:r w:rsidRPr="00E00B35">
        <w:rPr>
          <w:rFonts w:cs="Verdana"/>
          <w:bCs/>
          <w:color w:val="00000A"/>
          <w:szCs w:val="20"/>
        </w:rPr>
        <w:t>3 336 osób</w:t>
      </w:r>
      <w:r w:rsidRPr="00E00B35">
        <w:rPr>
          <w:rFonts w:cs="Verdana"/>
          <w:color w:val="00000A"/>
          <w:szCs w:val="20"/>
        </w:rPr>
        <w:t>.</w:t>
      </w:r>
    </w:p>
    <w:p w:rsidR="00E96768" w:rsidRPr="00E00B35" w:rsidRDefault="00E96768" w:rsidP="00E00B35">
      <w:pPr>
        <w:spacing w:after="0" w:line="312" w:lineRule="auto"/>
        <w:textAlignment w:val="baseline"/>
        <w:rPr>
          <w:rFonts w:cs="Verdana"/>
          <w:szCs w:val="20"/>
        </w:rPr>
      </w:pPr>
      <w:r w:rsidRPr="00E00B35">
        <w:rPr>
          <w:rFonts w:cs="Verdana"/>
          <w:color w:val="00000A"/>
          <w:szCs w:val="20"/>
        </w:rPr>
        <w:t xml:space="preserve">Konieczność aneksowania wielu zawartych umów, z powodu braku możliwości zrealizowania szkoleń w okresie </w:t>
      </w:r>
      <w:r w:rsidRPr="00E00B35">
        <w:rPr>
          <w:rFonts w:cs="Verdana"/>
          <w:szCs w:val="20"/>
        </w:rPr>
        <w:t xml:space="preserve">pandemii COVID-19, spowodowała, że ostatecznie wydatkowano kwotę </w:t>
      </w:r>
      <w:r w:rsidRPr="00E00B35">
        <w:rPr>
          <w:rFonts w:cs="Verdana"/>
          <w:bCs/>
          <w:szCs w:val="20"/>
        </w:rPr>
        <w:t>3 289 486,08</w:t>
      </w:r>
      <w:r w:rsidRPr="00E00B35">
        <w:rPr>
          <w:rFonts w:cs="Verdana"/>
          <w:szCs w:val="20"/>
        </w:rPr>
        <w:t xml:space="preserve"> zł.</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 xml:space="preserve">Liczba pracodawców wnioskujących o wsparcie 538, kwota w tysiącach: 10 250, 74 </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 xml:space="preserve">Liczba zawartych umów:250, kwota w tysiącach:3 719, 64 </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 xml:space="preserve">Liczba pozytywnie rozpatrzonych wniosków:262, kwota w tysiącach:3 927, 02 </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 xml:space="preserve">Liczba wniosków nieuzupełnionych w terminie:110, kwota w tysiącach:1 477, 40 </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lastRenderedPageBreak/>
        <w:t xml:space="preserve">Liczba rezygnacji pracodawców:33, kwota w tysiącach:645, 99 </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 xml:space="preserve">Wnioski rozpatrzone negatywnie:60, kwota w tysiącach:839, 57 </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Wnioski pozostawione bez rozpatrzenia z przyczyn formalnych (po I etapie oceny):94, kwota w tysiącach:1 998, 61</w:t>
      </w:r>
    </w:p>
    <w:p w:rsidR="005B50AD" w:rsidRPr="00E00B35" w:rsidRDefault="005B50AD" w:rsidP="00E00B35">
      <w:pPr>
        <w:spacing w:after="0" w:line="312" w:lineRule="auto"/>
        <w:textAlignment w:val="baseline"/>
        <w:rPr>
          <w:rFonts w:cs="Verdana"/>
          <w:color w:val="00000A"/>
          <w:szCs w:val="20"/>
        </w:rPr>
      </w:pPr>
    </w:p>
    <w:p w:rsidR="00E96768" w:rsidRPr="00E00B35" w:rsidRDefault="00E96768" w:rsidP="00E00B35">
      <w:pPr>
        <w:pStyle w:val="Nagwek5"/>
        <w:rPr>
          <w:szCs w:val="20"/>
        </w:rPr>
      </w:pPr>
      <w:r w:rsidRPr="00E00B35">
        <w:rPr>
          <w:szCs w:val="20"/>
        </w:rPr>
        <w:t>Staże</w:t>
      </w:r>
    </w:p>
    <w:p w:rsidR="00E96768" w:rsidRPr="00E00B35" w:rsidRDefault="00E96768" w:rsidP="00E00B35">
      <w:pPr>
        <w:spacing w:after="0" w:line="312" w:lineRule="auto"/>
        <w:textAlignment w:val="baseline"/>
        <w:rPr>
          <w:szCs w:val="20"/>
        </w:rPr>
      </w:pPr>
      <w:r w:rsidRPr="00E00B35">
        <w:rPr>
          <w:rFonts w:cs="Verdana"/>
          <w:color w:val="00000A"/>
          <w:szCs w:val="20"/>
        </w:rPr>
        <w:t>Organizowanie stażu w miejscu pracy jest jedną z najpopularniejszych form wsparcia osób bezrobotnych od wielu lat. Celem stażu jest przygotowanie bezrobotnego do pracy poprzez wykonywanie zadań na stanowisku pracy bez nawiązywania stosunku pracy z pracodawcą.</w:t>
      </w:r>
    </w:p>
    <w:p w:rsidR="00E96768" w:rsidRPr="00E00B35" w:rsidRDefault="00E96768" w:rsidP="00E00B35">
      <w:pPr>
        <w:spacing w:after="0" w:line="312" w:lineRule="auto"/>
        <w:textAlignment w:val="baseline"/>
        <w:rPr>
          <w:szCs w:val="20"/>
        </w:rPr>
      </w:pPr>
      <w:r w:rsidRPr="00E00B35">
        <w:rPr>
          <w:rFonts w:cs="Verdana"/>
          <w:color w:val="00000A"/>
          <w:szCs w:val="20"/>
        </w:rPr>
        <w:t>W 2020 roku pracodawcy złożyli 377 wniosków o organizację stażu, zawarto 278 umów.</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Ponad 90% wniosków o organizację stażu złożyli pracodawcy z Wrocławia, pozostałe pochodziły od pracodawców z Powiatu Wrocławskiego.</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Liczba złożonych wniosków:</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Miasto Wrocław: 340</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Powiat Wrocławski: 37</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Razem: 377</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Stażami objęto 384 osób, z tego 333 osoby z Wrocławia i 51 osób z Powiatu Wrocławskiego. Oprócz staży finansowanych ze środków Funduszu Pracy, staże były organizowane w ramach środków Europejskiego Funduszu Społecznego: PO WER dla osób do 30. roku życia i RPO dla osób powyżej 30. roku życia.</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Umowy zawarte ze środków Program Operacyjny Wiedza Edukacja Rozwój</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Miasto Wrocław: 156</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Powiat Wrocławski: 16</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Razem: 172</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Umowy zawarte ze środków funduszu Pracy</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Miasto Wrocław: 9</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Powiat Wrocławski: 0</w:t>
      </w:r>
    </w:p>
    <w:p w:rsidR="00E96768" w:rsidRPr="00E00B35" w:rsidRDefault="00E96768" w:rsidP="00E00B35">
      <w:pPr>
        <w:spacing w:after="0" w:line="312" w:lineRule="auto"/>
        <w:textAlignment w:val="baseline"/>
        <w:rPr>
          <w:rFonts w:cs="Verdana"/>
          <w:color w:val="00000A"/>
          <w:szCs w:val="20"/>
        </w:rPr>
      </w:pPr>
      <w:r w:rsidRPr="00E00B35">
        <w:rPr>
          <w:rFonts w:cs="Verdana"/>
          <w:color w:val="00000A"/>
          <w:szCs w:val="20"/>
        </w:rPr>
        <w:t>Razem: 9</w:t>
      </w:r>
    </w:p>
    <w:p w:rsidR="00E96768" w:rsidRPr="00E00B35" w:rsidRDefault="006A5FEE" w:rsidP="00E00B35">
      <w:pPr>
        <w:pStyle w:val="Nagwek4"/>
        <w:spacing w:before="0" w:after="0" w:line="312" w:lineRule="auto"/>
        <w:rPr>
          <w:sz w:val="20"/>
          <w:szCs w:val="20"/>
        </w:rPr>
      </w:pPr>
      <w:r w:rsidRPr="00E00B35">
        <w:rPr>
          <w:sz w:val="20"/>
          <w:szCs w:val="20"/>
        </w:rPr>
        <w:br/>
      </w:r>
      <w:r w:rsidR="00E96768" w:rsidRPr="00E00B35">
        <w:rPr>
          <w:sz w:val="20"/>
          <w:szCs w:val="20"/>
        </w:rPr>
        <w:t>INSTRUMENTY RYNKU PRACY</w:t>
      </w:r>
    </w:p>
    <w:p w:rsidR="00E96768" w:rsidRPr="00E00B35" w:rsidRDefault="00E96768" w:rsidP="00E00B35">
      <w:pPr>
        <w:pStyle w:val="Tekstpodstawowy"/>
        <w:spacing w:after="0" w:line="312" w:lineRule="auto"/>
        <w:rPr>
          <w:szCs w:val="20"/>
        </w:rPr>
      </w:pPr>
      <w:r w:rsidRPr="00E00B35">
        <w:rPr>
          <w:rFonts w:cs="Verdana"/>
          <w:szCs w:val="20"/>
        </w:rPr>
        <w:t>W zakresie podstawowej działalności Urzędu tj. poprzez udzielenie wsparcia w powrocie na rynek pracy na przykład w ramach organizowanych staży, szkoleń, prac interwencyjnych, refundacji kosztów wyposażenia lub doposażenia miejsca pracy, dofinansowania wynagrodzenia dla osób powyżej 50 r.ż. objęto pomocą 2 672 osób, natomiast na rynek pracy powróciło 186 osób w ramach jednorazowego dofinansowania działalności gospodarczej. Wybrane programy aktywizacji skutecznie przyczyniły się do powrotu na rynek pracy bezrobotnych oraz zmniejszenia liczby osób pozostających bez pracy na terenie działania Urzędu.</w:t>
      </w:r>
    </w:p>
    <w:p w:rsidR="00E96768" w:rsidRPr="00E00B35" w:rsidRDefault="00E96768" w:rsidP="00E00B35">
      <w:pPr>
        <w:spacing w:after="0" w:line="312" w:lineRule="auto"/>
        <w:rPr>
          <w:szCs w:val="20"/>
        </w:rPr>
      </w:pPr>
      <w:r w:rsidRPr="00E00B35">
        <w:rPr>
          <w:rFonts w:eastAsia="NimbusSanL-Regu" w:cs="Verdana"/>
          <w:color w:val="00000A"/>
          <w:szCs w:val="20"/>
        </w:rPr>
        <w:t>Struktura wydatków na instrumenty rynku pracy wraz ze szkoleniami, stażami i KFS przedstawia się następująco.</w:t>
      </w:r>
    </w:p>
    <w:tbl>
      <w:tblPr>
        <w:tblW w:w="0" w:type="auto"/>
        <w:tblInd w:w="145" w:type="dxa"/>
        <w:tblLayout w:type="fixed"/>
        <w:tblCellMar>
          <w:left w:w="98" w:type="dxa"/>
        </w:tblCellMar>
        <w:tblLook w:val="0620"/>
      </w:tblPr>
      <w:tblGrid>
        <w:gridCol w:w="2505"/>
        <w:gridCol w:w="1155"/>
        <w:gridCol w:w="1125"/>
        <w:gridCol w:w="1125"/>
        <w:gridCol w:w="1125"/>
        <w:gridCol w:w="810"/>
        <w:gridCol w:w="1208"/>
      </w:tblGrid>
      <w:tr w:rsidR="00E96768" w:rsidRPr="00E00B35" w:rsidTr="00E96768">
        <w:trPr>
          <w:trHeight w:val="855"/>
          <w:tblHeader/>
        </w:trPr>
        <w:tc>
          <w:tcPr>
            <w:tcW w:w="2505" w:type="dxa"/>
            <w:tcBorders>
              <w:top w:val="single" w:sz="4" w:space="0" w:color="000000"/>
              <w:left w:val="single" w:sz="4" w:space="0" w:color="000000"/>
              <w:bottom w:val="single" w:sz="4" w:space="0" w:color="000000"/>
            </w:tcBorders>
            <w:shd w:val="clear" w:color="auto" w:fill="D9D9D9" w:themeFill="background1" w:themeFillShade="D9"/>
            <w:vAlign w:val="center"/>
          </w:tcPr>
          <w:p w:rsidR="00E96768" w:rsidRPr="00E00B35" w:rsidRDefault="00E96768" w:rsidP="00E00B35">
            <w:pPr>
              <w:snapToGrid w:val="0"/>
              <w:spacing w:after="0" w:line="312" w:lineRule="auto"/>
              <w:rPr>
                <w:b/>
                <w:color w:val="000000" w:themeColor="text1"/>
                <w:szCs w:val="20"/>
              </w:rPr>
            </w:pPr>
            <w:r w:rsidRPr="00E00B35">
              <w:rPr>
                <w:rFonts w:cs="Verdana"/>
                <w:b/>
                <w:color w:val="000000" w:themeColor="text1"/>
                <w:szCs w:val="20"/>
              </w:rPr>
              <w:lastRenderedPageBreak/>
              <w:t>Instrumenty rynku pracy oraz szkolenia, KFS i inne</w:t>
            </w:r>
          </w:p>
        </w:tc>
        <w:tc>
          <w:tcPr>
            <w:tcW w:w="1155" w:type="dxa"/>
            <w:tcBorders>
              <w:top w:val="single" w:sz="4" w:space="0" w:color="000000"/>
              <w:left w:val="single" w:sz="4" w:space="0" w:color="000000"/>
              <w:bottom w:val="single" w:sz="4" w:space="0" w:color="000000"/>
            </w:tcBorders>
            <w:shd w:val="clear" w:color="auto" w:fill="D9D9D9" w:themeFill="background1" w:themeFillShade="D9"/>
            <w:vAlign w:val="center"/>
          </w:tcPr>
          <w:p w:rsidR="00E96768" w:rsidRPr="00E00B35" w:rsidRDefault="00E96768" w:rsidP="00E00B35">
            <w:pPr>
              <w:spacing w:after="0" w:line="312" w:lineRule="auto"/>
              <w:rPr>
                <w:b/>
                <w:color w:val="000000" w:themeColor="text1"/>
                <w:szCs w:val="20"/>
              </w:rPr>
            </w:pPr>
            <w:r w:rsidRPr="00E00B35">
              <w:rPr>
                <w:rFonts w:cs="Verdana"/>
                <w:b/>
                <w:color w:val="000000" w:themeColor="text1"/>
                <w:szCs w:val="20"/>
              </w:rPr>
              <w:t>Ilość złożonych wniosków</w:t>
            </w:r>
          </w:p>
        </w:tc>
        <w:tc>
          <w:tcPr>
            <w:tcW w:w="1125" w:type="dxa"/>
            <w:tcBorders>
              <w:top w:val="single" w:sz="4" w:space="0" w:color="000000"/>
              <w:left w:val="single" w:sz="4" w:space="0" w:color="000000"/>
              <w:bottom w:val="single" w:sz="4" w:space="0" w:color="000000"/>
            </w:tcBorders>
            <w:shd w:val="clear" w:color="auto" w:fill="D9D9D9" w:themeFill="background1" w:themeFillShade="D9"/>
            <w:vAlign w:val="center"/>
          </w:tcPr>
          <w:p w:rsidR="00E96768" w:rsidRPr="00E00B35" w:rsidRDefault="00E96768" w:rsidP="00E00B35">
            <w:pPr>
              <w:spacing w:after="0" w:line="312" w:lineRule="auto"/>
              <w:rPr>
                <w:b/>
                <w:color w:val="000000" w:themeColor="text1"/>
                <w:szCs w:val="20"/>
              </w:rPr>
            </w:pPr>
            <w:r w:rsidRPr="00E00B35">
              <w:rPr>
                <w:rFonts w:cs="Verdana"/>
                <w:b/>
                <w:color w:val="000000" w:themeColor="text1"/>
                <w:szCs w:val="20"/>
              </w:rPr>
              <w:t>Ilość zawartych umów/porozumień</w:t>
            </w:r>
          </w:p>
        </w:tc>
        <w:tc>
          <w:tcPr>
            <w:tcW w:w="1125" w:type="dxa"/>
            <w:tcBorders>
              <w:top w:val="single" w:sz="4" w:space="0" w:color="000000"/>
              <w:left w:val="single" w:sz="4" w:space="0" w:color="000000"/>
              <w:bottom w:val="single" w:sz="4" w:space="0" w:color="000000"/>
            </w:tcBorders>
            <w:shd w:val="clear" w:color="auto" w:fill="D9D9D9" w:themeFill="background1" w:themeFillShade="D9"/>
            <w:vAlign w:val="center"/>
          </w:tcPr>
          <w:p w:rsidR="00E96768" w:rsidRPr="00E00B35" w:rsidRDefault="00E96768" w:rsidP="00E00B35">
            <w:pPr>
              <w:spacing w:after="0" w:line="312" w:lineRule="auto"/>
              <w:rPr>
                <w:b/>
                <w:color w:val="000000" w:themeColor="text1"/>
                <w:szCs w:val="20"/>
              </w:rPr>
            </w:pPr>
            <w:r w:rsidRPr="00E00B35">
              <w:rPr>
                <w:rFonts w:cs="Verdana"/>
                <w:b/>
                <w:color w:val="000000" w:themeColor="text1"/>
                <w:szCs w:val="20"/>
              </w:rPr>
              <w:t>Ilość umów monitorowa-nych z lat ubiegłych</w:t>
            </w:r>
          </w:p>
        </w:tc>
        <w:tc>
          <w:tcPr>
            <w:tcW w:w="1125" w:type="dxa"/>
            <w:tcBorders>
              <w:top w:val="single" w:sz="4" w:space="0" w:color="000000"/>
              <w:left w:val="single" w:sz="4" w:space="0" w:color="000000"/>
              <w:bottom w:val="single" w:sz="4" w:space="0" w:color="000000"/>
            </w:tcBorders>
            <w:shd w:val="clear" w:color="auto" w:fill="D9D9D9" w:themeFill="background1" w:themeFillShade="D9"/>
            <w:vAlign w:val="center"/>
          </w:tcPr>
          <w:p w:rsidR="00E96768" w:rsidRPr="00E00B35" w:rsidRDefault="00E96768" w:rsidP="00E00B35">
            <w:pPr>
              <w:spacing w:after="0" w:line="312" w:lineRule="auto"/>
              <w:rPr>
                <w:b/>
                <w:color w:val="000000" w:themeColor="text1"/>
                <w:szCs w:val="20"/>
              </w:rPr>
            </w:pPr>
            <w:r w:rsidRPr="00E00B35">
              <w:rPr>
                <w:rFonts w:cs="Verdana"/>
                <w:b/>
                <w:color w:val="000000" w:themeColor="text1"/>
                <w:szCs w:val="20"/>
              </w:rPr>
              <w:t>Ilość osób</w:t>
            </w:r>
          </w:p>
          <w:p w:rsidR="00E96768" w:rsidRPr="00E00B35" w:rsidRDefault="00E96768" w:rsidP="00E00B35">
            <w:pPr>
              <w:spacing w:after="0" w:line="312" w:lineRule="auto"/>
              <w:rPr>
                <w:b/>
                <w:color w:val="000000" w:themeColor="text1"/>
                <w:szCs w:val="20"/>
              </w:rPr>
            </w:pPr>
            <w:r w:rsidRPr="00E00B35">
              <w:rPr>
                <w:rFonts w:cs="Verdana"/>
                <w:b/>
                <w:color w:val="000000" w:themeColor="text1"/>
                <w:szCs w:val="20"/>
              </w:rPr>
              <w:t>objętych instrumentem</w:t>
            </w:r>
          </w:p>
        </w:tc>
        <w:tc>
          <w:tcPr>
            <w:tcW w:w="810" w:type="dxa"/>
            <w:tcBorders>
              <w:top w:val="single" w:sz="4" w:space="0" w:color="000000"/>
              <w:left w:val="single" w:sz="4" w:space="0" w:color="000000"/>
              <w:bottom w:val="single" w:sz="4" w:space="0" w:color="000000"/>
            </w:tcBorders>
            <w:shd w:val="clear" w:color="auto" w:fill="D9D9D9" w:themeFill="background1" w:themeFillShade="D9"/>
            <w:vAlign w:val="center"/>
          </w:tcPr>
          <w:p w:rsidR="00E96768" w:rsidRPr="00E00B35" w:rsidRDefault="00E96768" w:rsidP="00E00B35">
            <w:pPr>
              <w:spacing w:after="0" w:line="312" w:lineRule="auto"/>
              <w:rPr>
                <w:b/>
                <w:color w:val="000000" w:themeColor="text1"/>
                <w:szCs w:val="20"/>
              </w:rPr>
            </w:pPr>
            <w:r w:rsidRPr="00E00B35">
              <w:rPr>
                <w:rFonts w:cs="Verdana"/>
                <w:b/>
                <w:color w:val="000000" w:themeColor="text1"/>
                <w:szCs w:val="20"/>
              </w:rPr>
              <w:t>Ilość osób skierowa-nych</w:t>
            </w:r>
          </w:p>
        </w:tc>
        <w:tc>
          <w:tcPr>
            <w:tcW w:w="12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96768" w:rsidRPr="00E00B35" w:rsidRDefault="00E96768" w:rsidP="00E00B35">
            <w:pPr>
              <w:spacing w:after="0" w:line="312" w:lineRule="auto"/>
              <w:ind w:left="-3" w:right="-3"/>
              <w:rPr>
                <w:b/>
                <w:color w:val="000000" w:themeColor="text1"/>
                <w:szCs w:val="20"/>
              </w:rPr>
            </w:pPr>
            <w:r w:rsidRPr="00E00B35">
              <w:rPr>
                <w:rFonts w:cs="Verdana"/>
                <w:b/>
                <w:color w:val="000000" w:themeColor="text1"/>
                <w:szCs w:val="20"/>
              </w:rPr>
              <w:t>Wydatki</w:t>
            </w:r>
          </w:p>
          <w:p w:rsidR="00E96768" w:rsidRPr="00E00B35" w:rsidRDefault="00E96768" w:rsidP="00E00B35">
            <w:pPr>
              <w:spacing w:after="0" w:line="312" w:lineRule="auto"/>
              <w:rPr>
                <w:b/>
                <w:color w:val="000000" w:themeColor="text1"/>
                <w:szCs w:val="20"/>
              </w:rPr>
            </w:pPr>
            <w:r w:rsidRPr="00E00B35">
              <w:rPr>
                <w:rFonts w:cs="Verdana"/>
                <w:b/>
                <w:color w:val="000000" w:themeColor="text1"/>
                <w:szCs w:val="20"/>
              </w:rPr>
              <w:t>w tys. zł</w:t>
            </w:r>
          </w:p>
        </w:tc>
      </w:tr>
      <w:tr w:rsidR="00E96768" w:rsidRPr="00E00B35" w:rsidTr="00E96768">
        <w:trPr>
          <w:trHeight w:val="345"/>
        </w:trPr>
        <w:tc>
          <w:tcPr>
            <w:tcW w:w="250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color w:val="00000A"/>
                <w:szCs w:val="20"/>
              </w:rPr>
              <w:t>Prace interwencyjne</w:t>
            </w:r>
          </w:p>
        </w:tc>
        <w:tc>
          <w:tcPr>
            <w:tcW w:w="115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44</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19</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159</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62</w:t>
            </w:r>
          </w:p>
        </w:tc>
        <w:tc>
          <w:tcPr>
            <w:tcW w:w="810"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20</w:t>
            </w:r>
          </w:p>
        </w:tc>
        <w:tc>
          <w:tcPr>
            <w:tcW w:w="1208" w:type="dxa"/>
            <w:tcBorders>
              <w:left w:val="single" w:sz="4" w:space="0" w:color="000000"/>
              <w:bottom w:val="single" w:sz="4" w:space="0" w:color="000000"/>
              <w:right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148,67</w:t>
            </w:r>
          </w:p>
        </w:tc>
      </w:tr>
      <w:tr w:rsidR="00E96768" w:rsidRPr="00E00B35" w:rsidTr="00E96768">
        <w:trPr>
          <w:trHeight w:val="688"/>
        </w:trPr>
        <w:tc>
          <w:tcPr>
            <w:tcW w:w="250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color w:val="00000A"/>
                <w:szCs w:val="20"/>
              </w:rPr>
              <w:t xml:space="preserve">Refundacja kosztów </w:t>
            </w:r>
          </w:p>
          <w:p w:rsidR="00E96768" w:rsidRPr="00E00B35" w:rsidRDefault="00E96768" w:rsidP="00E00B35">
            <w:pPr>
              <w:spacing w:after="0" w:line="312" w:lineRule="auto"/>
              <w:rPr>
                <w:szCs w:val="20"/>
              </w:rPr>
            </w:pPr>
            <w:r w:rsidRPr="00E00B35">
              <w:rPr>
                <w:rFonts w:cs="Verdana"/>
                <w:color w:val="00000A"/>
                <w:szCs w:val="20"/>
              </w:rPr>
              <w:t>wyposażenia lub doposażenia miejsca pracy</w:t>
            </w:r>
          </w:p>
        </w:tc>
        <w:tc>
          <w:tcPr>
            <w:tcW w:w="115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45</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13</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134</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91</w:t>
            </w:r>
          </w:p>
        </w:tc>
        <w:tc>
          <w:tcPr>
            <w:tcW w:w="810"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25</w:t>
            </w:r>
          </w:p>
        </w:tc>
        <w:tc>
          <w:tcPr>
            <w:tcW w:w="1208" w:type="dxa"/>
            <w:tcBorders>
              <w:left w:val="single" w:sz="4" w:space="0" w:color="000000"/>
              <w:bottom w:val="single" w:sz="4" w:space="0" w:color="000000"/>
              <w:right w:val="single" w:sz="4" w:space="0" w:color="000000"/>
            </w:tcBorders>
            <w:shd w:val="clear" w:color="auto" w:fill="FFFFFF"/>
            <w:vAlign w:val="center"/>
          </w:tcPr>
          <w:p w:rsidR="00E96768" w:rsidRPr="00E00B35" w:rsidRDefault="00E96768" w:rsidP="00E00B35">
            <w:pPr>
              <w:spacing w:after="0" w:line="312" w:lineRule="auto"/>
              <w:ind w:left="-153" w:right="-3"/>
              <w:rPr>
                <w:szCs w:val="20"/>
              </w:rPr>
            </w:pPr>
            <w:r w:rsidRPr="00E00B35">
              <w:rPr>
                <w:rFonts w:cs="Verdana"/>
                <w:bCs/>
                <w:szCs w:val="20"/>
              </w:rPr>
              <w:t>265,22</w:t>
            </w:r>
          </w:p>
        </w:tc>
      </w:tr>
      <w:tr w:rsidR="00E96768" w:rsidRPr="00E00B35" w:rsidTr="00E96768">
        <w:trPr>
          <w:trHeight w:val="470"/>
        </w:trPr>
        <w:tc>
          <w:tcPr>
            <w:tcW w:w="250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color w:val="00000A"/>
                <w:szCs w:val="20"/>
              </w:rPr>
              <w:t>Dofinansowanie działalności gospodarczej</w:t>
            </w:r>
          </w:p>
        </w:tc>
        <w:tc>
          <w:tcPr>
            <w:tcW w:w="115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598</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186</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514</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700</w:t>
            </w:r>
          </w:p>
        </w:tc>
        <w:tc>
          <w:tcPr>
            <w:tcW w:w="810"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186</w:t>
            </w:r>
          </w:p>
        </w:tc>
        <w:tc>
          <w:tcPr>
            <w:tcW w:w="1208" w:type="dxa"/>
            <w:tcBorders>
              <w:left w:val="single" w:sz="4" w:space="0" w:color="000000"/>
              <w:bottom w:val="single" w:sz="4" w:space="0" w:color="000000"/>
              <w:right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4272,36</w:t>
            </w:r>
          </w:p>
        </w:tc>
      </w:tr>
      <w:tr w:rsidR="00E96768" w:rsidRPr="00E00B35" w:rsidTr="00E96768">
        <w:trPr>
          <w:trHeight w:val="297"/>
        </w:trPr>
        <w:tc>
          <w:tcPr>
            <w:tcW w:w="250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szCs w:val="20"/>
              </w:rPr>
              <w:t>Prace społecznie użyteczne</w:t>
            </w:r>
          </w:p>
        </w:tc>
        <w:tc>
          <w:tcPr>
            <w:tcW w:w="115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46</w:t>
            </w:r>
          </w:p>
        </w:tc>
        <w:tc>
          <w:tcPr>
            <w:tcW w:w="810"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46</w:t>
            </w:r>
          </w:p>
        </w:tc>
        <w:tc>
          <w:tcPr>
            <w:tcW w:w="1208" w:type="dxa"/>
            <w:tcBorders>
              <w:left w:val="single" w:sz="4" w:space="0" w:color="000000"/>
              <w:bottom w:val="single" w:sz="4" w:space="0" w:color="000000"/>
              <w:right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37,39</w:t>
            </w:r>
          </w:p>
        </w:tc>
      </w:tr>
      <w:tr w:rsidR="00E96768" w:rsidRPr="00E00B35" w:rsidTr="00E96768">
        <w:trPr>
          <w:trHeight w:val="486"/>
        </w:trPr>
        <w:tc>
          <w:tcPr>
            <w:tcW w:w="250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szCs w:val="20"/>
              </w:rPr>
              <w:t>Dofinansowanie wynagrodzenia dla osób powyżej 50 r.ż.</w:t>
            </w:r>
          </w:p>
        </w:tc>
        <w:tc>
          <w:tcPr>
            <w:tcW w:w="115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11</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7</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85</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30</w:t>
            </w:r>
          </w:p>
        </w:tc>
        <w:tc>
          <w:tcPr>
            <w:tcW w:w="810"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3</w:t>
            </w:r>
          </w:p>
        </w:tc>
        <w:tc>
          <w:tcPr>
            <w:tcW w:w="1208" w:type="dxa"/>
            <w:tcBorders>
              <w:left w:val="single" w:sz="4" w:space="0" w:color="000000"/>
              <w:bottom w:val="single" w:sz="4" w:space="0" w:color="000000"/>
              <w:right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63,16</w:t>
            </w:r>
          </w:p>
        </w:tc>
      </w:tr>
      <w:tr w:rsidR="00E96768" w:rsidRPr="00E00B35" w:rsidTr="00E96768">
        <w:trPr>
          <w:trHeight w:val="353"/>
        </w:trPr>
        <w:tc>
          <w:tcPr>
            <w:tcW w:w="250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szCs w:val="20"/>
              </w:rPr>
              <w:t>Bon zatrudnieniowy</w:t>
            </w:r>
          </w:p>
        </w:tc>
        <w:tc>
          <w:tcPr>
            <w:tcW w:w="115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21</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3</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16</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5</w:t>
            </w:r>
          </w:p>
        </w:tc>
        <w:tc>
          <w:tcPr>
            <w:tcW w:w="810"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3</w:t>
            </w:r>
          </w:p>
        </w:tc>
        <w:tc>
          <w:tcPr>
            <w:tcW w:w="1208" w:type="dxa"/>
            <w:tcBorders>
              <w:left w:val="single" w:sz="4" w:space="0" w:color="000000"/>
              <w:bottom w:val="single" w:sz="4" w:space="0" w:color="000000"/>
              <w:right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18,25</w:t>
            </w:r>
          </w:p>
        </w:tc>
      </w:tr>
      <w:tr w:rsidR="00E96768" w:rsidRPr="00E00B35" w:rsidTr="00E96768">
        <w:trPr>
          <w:trHeight w:val="330"/>
        </w:trPr>
        <w:tc>
          <w:tcPr>
            <w:tcW w:w="250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szCs w:val="20"/>
              </w:rPr>
              <w:t>Bon zasiedleniowy</w:t>
            </w:r>
          </w:p>
        </w:tc>
        <w:tc>
          <w:tcPr>
            <w:tcW w:w="115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23</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7</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28</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21</w:t>
            </w:r>
          </w:p>
        </w:tc>
        <w:tc>
          <w:tcPr>
            <w:tcW w:w="810"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9</w:t>
            </w:r>
          </w:p>
        </w:tc>
        <w:tc>
          <w:tcPr>
            <w:tcW w:w="1208" w:type="dxa"/>
            <w:tcBorders>
              <w:left w:val="single" w:sz="4" w:space="0" w:color="000000"/>
              <w:bottom w:val="single" w:sz="4" w:space="0" w:color="000000"/>
              <w:right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41,99</w:t>
            </w:r>
          </w:p>
        </w:tc>
      </w:tr>
      <w:tr w:rsidR="00E96768" w:rsidRPr="00E00B35" w:rsidTr="00E96768">
        <w:trPr>
          <w:trHeight w:val="627"/>
        </w:trPr>
        <w:tc>
          <w:tcPr>
            <w:tcW w:w="250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szCs w:val="20"/>
              </w:rPr>
              <w:t>Refundacja składek na ubezpieczenia społeczne dla spółdzielni socjalnych</w:t>
            </w:r>
          </w:p>
        </w:tc>
        <w:tc>
          <w:tcPr>
            <w:tcW w:w="115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0</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0</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6</w:t>
            </w:r>
          </w:p>
        </w:tc>
        <w:tc>
          <w:tcPr>
            <w:tcW w:w="810" w:type="dxa"/>
            <w:tcBorders>
              <w:left w:val="single" w:sz="4" w:space="0" w:color="000000"/>
              <w:bottom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0</w:t>
            </w:r>
          </w:p>
        </w:tc>
        <w:tc>
          <w:tcPr>
            <w:tcW w:w="1208" w:type="dxa"/>
            <w:tcBorders>
              <w:left w:val="single" w:sz="4" w:space="0" w:color="000000"/>
              <w:bottom w:val="single" w:sz="4" w:space="0" w:color="000000"/>
              <w:right w:val="single" w:sz="4" w:space="0" w:color="000000"/>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0</w:t>
            </w:r>
          </w:p>
        </w:tc>
      </w:tr>
      <w:tr w:rsidR="00E96768" w:rsidRPr="00E00B35" w:rsidTr="00E96768">
        <w:trPr>
          <w:trHeight w:val="695"/>
        </w:trPr>
        <w:tc>
          <w:tcPr>
            <w:tcW w:w="250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color w:val="00000A"/>
                <w:szCs w:val="20"/>
              </w:rPr>
              <w:t>Szkolenia, bon szkoleniowy i studia podyplomowe i egzaminy</w:t>
            </w:r>
          </w:p>
        </w:tc>
        <w:tc>
          <w:tcPr>
            <w:tcW w:w="115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color w:val="00000A"/>
                <w:szCs w:val="20"/>
              </w:rPr>
              <w:t>263</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color w:val="00000A"/>
                <w:szCs w:val="20"/>
              </w:rPr>
              <w:t>89</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color w:val="00000A"/>
                <w:szCs w:val="20"/>
              </w:rPr>
              <w:t>38</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color w:val="00000A"/>
                <w:szCs w:val="20"/>
              </w:rPr>
              <w:t>125</w:t>
            </w:r>
          </w:p>
        </w:tc>
        <w:tc>
          <w:tcPr>
            <w:tcW w:w="810"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color w:val="00000A"/>
                <w:szCs w:val="20"/>
              </w:rPr>
              <w:t>97</w:t>
            </w:r>
          </w:p>
        </w:tc>
        <w:tc>
          <w:tcPr>
            <w:tcW w:w="1208" w:type="dxa"/>
            <w:tcBorders>
              <w:left w:val="single" w:sz="4" w:space="0" w:color="000000"/>
              <w:bottom w:val="single" w:sz="4" w:space="0" w:color="000000"/>
              <w:right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color w:val="00000A"/>
                <w:szCs w:val="20"/>
              </w:rPr>
              <w:t>431,69</w:t>
            </w:r>
          </w:p>
        </w:tc>
      </w:tr>
      <w:tr w:rsidR="00E96768" w:rsidRPr="00E00B35" w:rsidTr="00E96768">
        <w:trPr>
          <w:trHeight w:val="488"/>
        </w:trPr>
        <w:tc>
          <w:tcPr>
            <w:tcW w:w="250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color w:val="00000A"/>
                <w:szCs w:val="20"/>
              </w:rPr>
              <w:t>Staż, bony stażowe</w:t>
            </w:r>
          </w:p>
        </w:tc>
        <w:tc>
          <w:tcPr>
            <w:tcW w:w="115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bCs/>
                <w:color w:val="00000A"/>
                <w:szCs w:val="20"/>
              </w:rPr>
              <w:t>377</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bCs/>
                <w:color w:val="00000A"/>
                <w:szCs w:val="20"/>
              </w:rPr>
              <w:t>278</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bCs/>
                <w:color w:val="00000A"/>
                <w:szCs w:val="20"/>
              </w:rPr>
              <w:t>4</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bCs/>
                <w:color w:val="00000A"/>
                <w:szCs w:val="20"/>
              </w:rPr>
              <w:t>384</w:t>
            </w:r>
          </w:p>
        </w:tc>
        <w:tc>
          <w:tcPr>
            <w:tcW w:w="810"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bCs/>
                <w:color w:val="00000A"/>
                <w:szCs w:val="20"/>
              </w:rPr>
              <w:t>380</w:t>
            </w:r>
          </w:p>
        </w:tc>
        <w:tc>
          <w:tcPr>
            <w:tcW w:w="1208" w:type="dxa"/>
            <w:tcBorders>
              <w:left w:val="single" w:sz="4" w:space="0" w:color="000000"/>
              <w:bottom w:val="single" w:sz="4" w:space="0" w:color="000000"/>
              <w:right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bCs/>
                <w:color w:val="00000A"/>
                <w:szCs w:val="20"/>
              </w:rPr>
              <w:t>2 795,40</w:t>
            </w:r>
          </w:p>
        </w:tc>
      </w:tr>
      <w:tr w:rsidR="00E96768" w:rsidRPr="00E00B35" w:rsidTr="00E96768">
        <w:trPr>
          <w:trHeight w:val="496"/>
        </w:trPr>
        <w:tc>
          <w:tcPr>
            <w:tcW w:w="250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color w:val="00000A"/>
                <w:szCs w:val="20"/>
              </w:rPr>
              <w:t>Krajowy Fundusz Szkoleniowy</w:t>
            </w:r>
          </w:p>
        </w:tc>
        <w:tc>
          <w:tcPr>
            <w:tcW w:w="115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szCs w:val="20"/>
              </w:rPr>
              <w:t>538</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szCs w:val="20"/>
              </w:rPr>
              <w:t>250</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szCs w:val="20"/>
              </w:rPr>
              <w:t>7</w:t>
            </w:r>
          </w:p>
        </w:tc>
        <w:tc>
          <w:tcPr>
            <w:tcW w:w="1125"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szCs w:val="20"/>
              </w:rPr>
              <w:t>1 202</w:t>
            </w:r>
          </w:p>
        </w:tc>
        <w:tc>
          <w:tcPr>
            <w:tcW w:w="810" w:type="dxa"/>
            <w:tcBorders>
              <w:left w:val="single" w:sz="4" w:space="0" w:color="000000"/>
              <w:bottom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szCs w:val="20"/>
              </w:rPr>
              <w:t>0</w:t>
            </w:r>
          </w:p>
        </w:tc>
        <w:tc>
          <w:tcPr>
            <w:tcW w:w="1208" w:type="dxa"/>
            <w:tcBorders>
              <w:left w:val="single" w:sz="4" w:space="0" w:color="000000"/>
              <w:bottom w:val="single" w:sz="4" w:space="0" w:color="000000"/>
              <w:right w:val="single" w:sz="4" w:space="0" w:color="000000"/>
            </w:tcBorders>
            <w:shd w:val="clear" w:color="auto" w:fill="FFFFFF"/>
            <w:vAlign w:val="center"/>
          </w:tcPr>
          <w:p w:rsidR="00E96768" w:rsidRPr="00E00B35" w:rsidRDefault="00E96768" w:rsidP="00E00B35">
            <w:pPr>
              <w:snapToGrid w:val="0"/>
              <w:spacing w:after="0" w:line="312" w:lineRule="auto"/>
              <w:textAlignment w:val="baseline"/>
              <w:rPr>
                <w:szCs w:val="20"/>
              </w:rPr>
            </w:pPr>
            <w:r w:rsidRPr="00E00B35">
              <w:rPr>
                <w:rFonts w:cs="Verdana"/>
                <w:szCs w:val="20"/>
              </w:rPr>
              <w:t>3 289,49</w:t>
            </w:r>
          </w:p>
        </w:tc>
      </w:tr>
    </w:tbl>
    <w:p w:rsidR="00E96768" w:rsidRPr="00E00B35" w:rsidRDefault="00E96768" w:rsidP="00E00B35">
      <w:pPr>
        <w:spacing w:after="0" w:line="312" w:lineRule="auto"/>
        <w:textAlignment w:val="baseline"/>
        <w:rPr>
          <w:rFonts w:eastAsia="Verdana" w:cs="Verdana"/>
          <w:color w:val="00000A"/>
          <w:szCs w:val="20"/>
          <w:shd w:val="clear" w:color="auto" w:fill="FFFF00"/>
        </w:rPr>
      </w:pPr>
    </w:p>
    <w:p w:rsidR="00E96768" w:rsidRPr="00E00B35" w:rsidRDefault="00E96768" w:rsidP="00E00B35">
      <w:pPr>
        <w:spacing w:after="0" w:line="312" w:lineRule="auto"/>
        <w:textAlignment w:val="baseline"/>
        <w:rPr>
          <w:szCs w:val="20"/>
        </w:rPr>
      </w:pPr>
      <w:r w:rsidRPr="00E00B35">
        <w:rPr>
          <w:szCs w:val="20"/>
        </w:rPr>
        <w:t>Urząd realizował również zadania w zakresie wsparcia osób niepełnosprawnych finansowane ze środków Państwowego Funduszu Rehabilitacji Osób Niepełnosprawnych dla miasta Wrocławia. W 2020 roku łącznie na realizację tych zadań zostało wydatkowanych 92 300 zł, co obrazuje poniższa tabela.</w:t>
      </w:r>
    </w:p>
    <w:tbl>
      <w:tblPr>
        <w:tblW w:w="0" w:type="auto"/>
        <w:tblInd w:w="108" w:type="dxa"/>
        <w:tblLayout w:type="fixed"/>
        <w:tblLook w:val="0620"/>
      </w:tblPr>
      <w:tblGrid>
        <w:gridCol w:w="2325"/>
        <w:gridCol w:w="1247"/>
        <w:gridCol w:w="1247"/>
        <w:gridCol w:w="1247"/>
        <w:gridCol w:w="1247"/>
        <w:gridCol w:w="1792"/>
      </w:tblGrid>
      <w:tr w:rsidR="00E96768" w:rsidRPr="00E00B35" w:rsidTr="00E96768">
        <w:trPr>
          <w:trHeight w:val="1735"/>
          <w:tblHeader/>
        </w:trPr>
        <w:tc>
          <w:tcPr>
            <w:tcW w:w="2325" w:type="dxa"/>
            <w:tcBorders>
              <w:top w:val="single" w:sz="4" w:space="0" w:color="000001"/>
              <w:left w:val="single" w:sz="4" w:space="0" w:color="000001"/>
              <w:bottom w:val="single" w:sz="4" w:space="0" w:color="000001"/>
            </w:tcBorders>
            <w:shd w:val="clear" w:color="auto" w:fill="D9D9D9" w:themeFill="background1" w:themeFillShade="D9"/>
            <w:vAlign w:val="center"/>
          </w:tcPr>
          <w:p w:rsidR="00E96768" w:rsidRPr="00E00B35" w:rsidRDefault="00E96768" w:rsidP="00E00B35">
            <w:pPr>
              <w:spacing w:after="0" w:line="312" w:lineRule="auto"/>
              <w:rPr>
                <w:b/>
                <w:szCs w:val="20"/>
              </w:rPr>
            </w:pPr>
            <w:r w:rsidRPr="00E00B35">
              <w:rPr>
                <w:rFonts w:eastAsia="Verdana" w:cs="Verdana"/>
                <w:b/>
                <w:szCs w:val="20"/>
              </w:rPr>
              <w:lastRenderedPageBreak/>
              <w:t>Nazwa zadania</w:t>
            </w:r>
          </w:p>
        </w:tc>
        <w:tc>
          <w:tcPr>
            <w:tcW w:w="1247" w:type="dxa"/>
            <w:tcBorders>
              <w:top w:val="single" w:sz="4" w:space="0" w:color="000001"/>
              <w:left w:val="single" w:sz="4" w:space="0" w:color="000001"/>
              <w:bottom w:val="single" w:sz="4" w:space="0" w:color="000001"/>
            </w:tcBorders>
            <w:shd w:val="clear" w:color="auto" w:fill="D9D9D9" w:themeFill="background1" w:themeFillShade="D9"/>
            <w:vAlign w:val="center"/>
          </w:tcPr>
          <w:p w:rsidR="00E96768" w:rsidRPr="00E00B35" w:rsidRDefault="00E96768" w:rsidP="00E00B35">
            <w:pPr>
              <w:spacing w:after="0" w:line="312" w:lineRule="auto"/>
              <w:rPr>
                <w:b/>
                <w:szCs w:val="20"/>
              </w:rPr>
            </w:pPr>
            <w:r w:rsidRPr="00E00B35">
              <w:rPr>
                <w:rFonts w:eastAsia="Verdana" w:cs="Verdana"/>
                <w:b/>
                <w:szCs w:val="20"/>
              </w:rPr>
              <w:t>Ilość złożonych wniosków</w:t>
            </w:r>
          </w:p>
        </w:tc>
        <w:tc>
          <w:tcPr>
            <w:tcW w:w="1247" w:type="dxa"/>
            <w:tcBorders>
              <w:top w:val="single" w:sz="4" w:space="0" w:color="000001"/>
              <w:left w:val="single" w:sz="6" w:space="0" w:color="000001"/>
              <w:bottom w:val="single" w:sz="4" w:space="0" w:color="000001"/>
            </w:tcBorders>
            <w:shd w:val="clear" w:color="auto" w:fill="D9D9D9" w:themeFill="background1" w:themeFillShade="D9"/>
            <w:vAlign w:val="center"/>
          </w:tcPr>
          <w:p w:rsidR="00E96768" w:rsidRPr="00E00B35" w:rsidRDefault="00E96768" w:rsidP="00E00B35">
            <w:pPr>
              <w:spacing w:after="0" w:line="312" w:lineRule="auto"/>
              <w:rPr>
                <w:b/>
                <w:szCs w:val="20"/>
              </w:rPr>
            </w:pPr>
            <w:r w:rsidRPr="00E00B35">
              <w:rPr>
                <w:rFonts w:eastAsia="Verdana" w:cs="Verdana"/>
                <w:b/>
                <w:szCs w:val="20"/>
              </w:rPr>
              <w:t>Ilość zawartych umów</w:t>
            </w:r>
          </w:p>
        </w:tc>
        <w:tc>
          <w:tcPr>
            <w:tcW w:w="1247" w:type="dxa"/>
            <w:tcBorders>
              <w:top w:val="single" w:sz="4" w:space="0" w:color="000001"/>
              <w:left w:val="single" w:sz="6" w:space="0" w:color="000001"/>
              <w:bottom w:val="single" w:sz="4" w:space="0" w:color="000001"/>
            </w:tcBorders>
            <w:shd w:val="clear" w:color="auto" w:fill="D9D9D9" w:themeFill="background1" w:themeFillShade="D9"/>
            <w:vAlign w:val="center"/>
          </w:tcPr>
          <w:p w:rsidR="00E96768" w:rsidRPr="00E00B35" w:rsidRDefault="00E96768" w:rsidP="00E00B35">
            <w:pPr>
              <w:spacing w:after="0" w:line="312" w:lineRule="auto"/>
              <w:rPr>
                <w:b/>
                <w:szCs w:val="20"/>
              </w:rPr>
            </w:pPr>
            <w:r w:rsidRPr="00E00B35">
              <w:rPr>
                <w:rFonts w:eastAsia="Verdana" w:cs="Verdana"/>
                <w:b/>
                <w:szCs w:val="20"/>
              </w:rPr>
              <w:t>Ilość umów monitorowanych z lat ubiegłych</w:t>
            </w:r>
          </w:p>
        </w:tc>
        <w:tc>
          <w:tcPr>
            <w:tcW w:w="1247" w:type="dxa"/>
            <w:tcBorders>
              <w:top w:val="single" w:sz="4" w:space="0" w:color="000001"/>
              <w:left w:val="single" w:sz="4" w:space="0" w:color="000001"/>
              <w:bottom w:val="single" w:sz="4" w:space="0" w:color="000001"/>
            </w:tcBorders>
            <w:shd w:val="clear" w:color="auto" w:fill="D9D9D9" w:themeFill="background1" w:themeFillShade="D9"/>
            <w:vAlign w:val="center"/>
          </w:tcPr>
          <w:p w:rsidR="00E96768" w:rsidRPr="00E00B35" w:rsidRDefault="00E96768" w:rsidP="00E00B35">
            <w:pPr>
              <w:spacing w:after="0" w:line="312" w:lineRule="auto"/>
              <w:rPr>
                <w:b/>
                <w:szCs w:val="20"/>
              </w:rPr>
            </w:pPr>
            <w:r w:rsidRPr="00E00B35">
              <w:rPr>
                <w:rFonts w:eastAsia="Verdana" w:cs="Verdana"/>
                <w:b/>
                <w:szCs w:val="20"/>
              </w:rPr>
              <w:t xml:space="preserve">Ilość osób za które wypłacono środki  </w:t>
            </w:r>
          </w:p>
        </w:tc>
        <w:tc>
          <w:tcPr>
            <w:tcW w:w="1792"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vAlign w:val="center"/>
          </w:tcPr>
          <w:p w:rsidR="00E96768" w:rsidRPr="00E00B35" w:rsidRDefault="00E96768" w:rsidP="00E00B35">
            <w:pPr>
              <w:spacing w:after="0" w:line="312" w:lineRule="auto"/>
              <w:rPr>
                <w:b/>
                <w:szCs w:val="20"/>
              </w:rPr>
            </w:pPr>
            <w:r w:rsidRPr="00E00B35">
              <w:rPr>
                <w:rFonts w:eastAsia="Verdana" w:cs="Verdana"/>
                <w:b/>
                <w:szCs w:val="20"/>
              </w:rPr>
              <w:t xml:space="preserve">Wydatki </w:t>
            </w:r>
          </w:p>
          <w:p w:rsidR="00E96768" w:rsidRPr="00E00B35" w:rsidRDefault="00E96768" w:rsidP="00E00B35">
            <w:pPr>
              <w:spacing w:after="0" w:line="312" w:lineRule="auto"/>
              <w:rPr>
                <w:b/>
                <w:szCs w:val="20"/>
              </w:rPr>
            </w:pPr>
            <w:r w:rsidRPr="00E00B35">
              <w:rPr>
                <w:rFonts w:eastAsia="Verdana" w:cs="Verdana"/>
                <w:b/>
                <w:szCs w:val="20"/>
              </w:rPr>
              <w:t>w tys. zł</w:t>
            </w:r>
          </w:p>
        </w:tc>
      </w:tr>
      <w:tr w:rsidR="00E96768" w:rsidRPr="00E00B35" w:rsidTr="00E96768">
        <w:trPr>
          <w:trHeight w:val="787"/>
        </w:trPr>
        <w:tc>
          <w:tcPr>
            <w:tcW w:w="2325" w:type="dxa"/>
            <w:tcBorders>
              <w:top w:val="single" w:sz="4" w:space="0" w:color="000001"/>
              <w:left w:val="single" w:sz="4"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eastAsia="Verdana" w:cs="Verdana"/>
                <w:szCs w:val="20"/>
              </w:rPr>
              <w:t xml:space="preserve">Refundacja kosztów zatrudniania pracowników pomagających pracownikowi niepełnosprawnemu </w:t>
            </w:r>
          </w:p>
        </w:tc>
        <w:tc>
          <w:tcPr>
            <w:tcW w:w="1247" w:type="dxa"/>
            <w:tcBorders>
              <w:top w:val="single" w:sz="4" w:space="0" w:color="000001"/>
              <w:left w:val="single" w:sz="4"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w:t>
            </w:r>
          </w:p>
        </w:tc>
        <w:tc>
          <w:tcPr>
            <w:tcW w:w="1247" w:type="dxa"/>
            <w:tcBorders>
              <w:top w:val="single" w:sz="4" w:space="0" w:color="000001"/>
              <w:left w:val="single" w:sz="6"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w:t>
            </w:r>
          </w:p>
        </w:tc>
        <w:tc>
          <w:tcPr>
            <w:tcW w:w="1247" w:type="dxa"/>
            <w:tcBorders>
              <w:top w:val="single" w:sz="4" w:space="0" w:color="000001"/>
              <w:left w:val="single" w:sz="6"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0</w:t>
            </w:r>
          </w:p>
        </w:tc>
        <w:tc>
          <w:tcPr>
            <w:tcW w:w="1247" w:type="dxa"/>
            <w:tcBorders>
              <w:top w:val="single" w:sz="4" w:space="0" w:color="000001"/>
              <w:left w:val="single" w:sz="4"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12</w:t>
            </w:r>
          </w:p>
        </w:tc>
        <w:tc>
          <w:tcPr>
            <w:tcW w:w="1792"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96768" w:rsidRPr="00E00B35" w:rsidRDefault="00E96768" w:rsidP="00E00B35">
            <w:pPr>
              <w:spacing w:after="0" w:line="312" w:lineRule="auto"/>
              <w:ind w:right="624"/>
              <w:rPr>
                <w:szCs w:val="20"/>
              </w:rPr>
            </w:pPr>
            <w:r w:rsidRPr="00E00B35">
              <w:rPr>
                <w:rFonts w:cs="Verdana"/>
                <w:bCs/>
                <w:szCs w:val="20"/>
              </w:rPr>
              <w:t>8,3</w:t>
            </w:r>
          </w:p>
        </w:tc>
      </w:tr>
      <w:tr w:rsidR="00E96768" w:rsidRPr="00E00B35" w:rsidTr="00E96768">
        <w:trPr>
          <w:trHeight w:val="787"/>
        </w:trPr>
        <w:tc>
          <w:tcPr>
            <w:tcW w:w="2325" w:type="dxa"/>
            <w:tcBorders>
              <w:top w:val="single" w:sz="4" w:space="0" w:color="000001"/>
              <w:left w:val="single" w:sz="4"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eastAsia="Verdana" w:cs="Verdana"/>
                <w:szCs w:val="20"/>
              </w:rPr>
              <w:t xml:space="preserve">Refundacja kosztów </w:t>
            </w:r>
          </w:p>
          <w:p w:rsidR="00E96768" w:rsidRPr="00E00B35" w:rsidRDefault="00E96768" w:rsidP="00E00B35">
            <w:pPr>
              <w:spacing w:after="0" w:line="312" w:lineRule="auto"/>
              <w:rPr>
                <w:szCs w:val="20"/>
              </w:rPr>
            </w:pPr>
            <w:r w:rsidRPr="00E00B35">
              <w:rPr>
                <w:rFonts w:eastAsia="Verdana" w:cs="Verdana"/>
                <w:szCs w:val="20"/>
              </w:rPr>
              <w:t>wyposażenia lub doposażenia miejsca pracy dla osoby niepełnosprawnej</w:t>
            </w:r>
          </w:p>
        </w:tc>
        <w:tc>
          <w:tcPr>
            <w:tcW w:w="1247" w:type="dxa"/>
            <w:tcBorders>
              <w:top w:val="single" w:sz="4" w:space="0" w:color="000001"/>
              <w:left w:val="single" w:sz="4"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w:t>
            </w:r>
          </w:p>
        </w:tc>
        <w:tc>
          <w:tcPr>
            <w:tcW w:w="1247" w:type="dxa"/>
            <w:tcBorders>
              <w:top w:val="single" w:sz="4" w:space="0" w:color="000001"/>
              <w:left w:val="single" w:sz="6"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w:t>
            </w:r>
          </w:p>
        </w:tc>
        <w:tc>
          <w:tcPr>
            <w:tcW w:w="1247" w:type="dxa"/>
            <w:tcBorders>
              <w:top w:val="single" w:sz="4" w:space="0" w:color="000001"/>
              <w:left w:val="single" w:sz="6"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6</w:t>
            </w:r>
          </w:p>
        </w:tc>
        <w:tc>
          <w:tcPr>
            <w:tcW w:w="1247" w:type="dxa"/>
            <w:tcBorders>
              <w:top w:val="single" w:sz="4" w:space="0" w:color="000001"/>
              <w:left w:val="single" w:sz="4"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1</w:t>
            </w:r>
          </w:p>
        </w:tc>
        <w:tc>
          <w:tcPr>
            <w:tcW w:w="1792"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96768" w:rsidRPr="00E00B35" w:rsidRDefault="00E96768" w:rsidP="00E00B35">
            <w:pPr>
              <w:spacing w:after="0" w:line="312" w:lineRule="auto"/>
              <w:ind w:right="624"/>
              <w:rPr>
                <w:szCs w:val="20"/>
              </w:rPr>
            </w:pPr>
            <w:r w:rsidRPr="00E00B35">
              <w:rPr>
                <w:rFonts w:cs="Verdana"/>
                <w:bCs/>
                <w:szCs w:val="20"/>
              </w:rPr>
              <w:t>38,0</w:t>
            </w:r>
          </w:p>
        </w:tc>
      </w:tr>
      <w:tr w:rsidR="00E96768" w:rsidRPr="00E00B35" w:rsidTr="00E96768">
        <w:trPr>
          <w:trHeight w:val="450"/>
        </w:trPr>
        <w:tc>
          <w:tcPr>
            <w:tcW w:w="2325" w:type="dxa"/>
            <w:tcBorders>
              <w:top w:val="single" w:sz="4" w:space="0" w:color="000001"/>
              <w:left w:val="single" w:sz="4"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eastAsia="Verdana" w:cs="Verdana"/>
                <w:szCs w:val="20"/>
              </w:rPr>
              <w:t>Dotacje dla osoby niepełnosprawnej</w:t>
            </w:r>
          </w:p>
        </w:tc>
        <w:tc>
          <w:tcPr>
            <w:tcW w:w="1247" w:type="dxa"/>
            <w:tcBorders>
              <w:top w:val="single" w:sz="4" w:space="0" w:color="000001"/>
              <w:left w:val="single" w:sz="4"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3</w:t>
            </w:r>
          </w:p>
        </w:tc>
        <w:tc>
          <w:tcPr>
            <w:tcW w:w="1247" w:type="dxa"/>
            <w:tcBorders>
              <w:top w:val="single" w:sz="4" w:space="0" w:color="000001"/>
              <w:left w:val="single" w:sz="6"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w:t>
            </w:r>
          </w:p>
        </w:tc>
        <w:tc>
          <w:tcPr>
            <w:tcW w:w="1247" w:type="dxa"/>
            <w:tcBorders>
              <w:top w:val="single" w:sz="4" w:space="0" w:color="000001"/>
              <w:left w:val="single" w:sz="6"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5</w:t>
            </w:r>
          </w:p>
        </w:tc>
        <w:tc>
          <w:tcPr>
            <w:tcW w:w="1247" w:type="dxa"/>
            <w:tcBorders>
              <w:top w:val="single" w:sz="4" w:space="0" w:color="000001"/>
              <w:left w:val="single" w:sz="4" w:space="0" w:color="000001"/>
              <w:bottom w:val="single" w:sz="4" w:space="0" w:color="000001"/>
            </w:tcBorders>
            <w:shd w:val="clear" w:color="auto" w:fill="FFFFFF"/>
            <w:vAlign w:val="center"/>
          </w:tcPr>
          <w:p w:rsidR="00E96768" w:rsidRPr="00E00B35" w:rsidRDefault="00E96768" w:rsidP="00E00B35">
            <w:pPr>
              <w:spacing w:after="0" w:line="312" w:lineRule="auto"/>
              <w:rPr>
                <w:szCs w:val="20"/>
              </w:rPr>
            </w:pPr>
            <w:r w:rsidRPr="00E00B35">
              <w:rPr>
                <w:rFonts w:cs="Verdana"/>
                <w:bCs/>
                <w:szCs w:val="20"/>
              </w:rPr>
              <w:t>2</w:t>
            </w:r>
          </w:p>
        </w:tc>
        <w:tc>
          <w:tcPr>
            <w:tcW w:w="1792"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96768" w:rsidRPr="00E00B35" w:rsidRDefault="00E96768" w:rsidP="00E00B35">
            <w:pPr>
              <w:spacing w:after="0" w:line="312" w:lineRule="auto"/>
              <w:ind w:right="624"/>
              <w:rPr>
                <w:szCs w:val="20"/>
              </w:rPr>
            </w:pPr>
            <w:r w:rsidRPr="00E00B35">
              <w:rPr>
                <w:rFonts w:cs="Verdana"/>
                <w:bCs/>
                <w:szCs w:val="20"/>
              </w:rPr>
              <w:t>46,0</w:t>
            </w:r>
          </w:p>
        </w:tc>
      </w:tr>
    </w:tbl>
    <w:p w:rsidR="00E96768" w:rsidRPr="00E00B35" w:rsidRDefault="00E96768" w:rsidP="00E00B35">
      <w:pPr>
        <w:spacing w:after="0" w:line="312" w:lineRule="auto"/>
        <w:textAlignment w:val="baseline"/>
        <w:rPr>
          <w:rFonts w:cs="Verdana"/>
          <w:b/>
          <w:bCs/>
          <w:color w:val="00000A"/>
          <w:szCs w:val="20"/>
          <w:shd w:val="clear" w:color="auto" w:fill="FFFF00"/>
        </w:rPr>
      </w:pPr>
    </w:p>
    <w:p w:rsidR="00E96768" w:rsidRPr="00E00B35" w:rsidRDefault="00E96768" w:rsidP="00E00B35">
      <w:pPr>
        <w:pStyle w:val="Nagwek4"/>
        <w:spacing w:before="0" w:after="0" w:line="312" w:lineRule="auto"/>
        <w:rPr>
          <w:sz w:val="20"/>
          <w:szCs w:val="20"/>
        </w:rPr>
      </w:pPr>
      <w:r w:rsidRPr="00E00B35">
        <w:rPr>
          <w:sz w:val="20"/>
          <w:szCs w:val="20"/>
        </w:rPr>
        <w:t>PROJEKTY RYNKU PRACY</w:t>
      </w:r>
    </w:p>
    <w:p w:rsidR="00E96768" w:rsidRPr="00E00B35" w:rsidRDefault="00E96768" w:rsidP="00E00B35">
      <w:pPr>
        <w:tabs>
          <w:tab w:val="left" w:pos="0"/>
        </w:tabs>
        <w:spacing w:after="0" w:line="312" w:lineRule="auto"/>
        <w:textAlignment w:val="baseline"/>
        <w:rPr>
          <w:szCs w:val="20"/>
        </w:rPr>
      </w:pPr>
      <w:r w:rsidRPr="00E00B35">
        <w:rPr>
          <w:rFonts w:cs="Verdana"/>
          <w:szCs w:val="20"/>
        </w:rPr>
        <w:t xml:space="preserve">W 2020 roku Urząd, w ramach Regionalnego Programu Operacyjnego (RPO WD) Województwa Dolnośląskiego 2014-2020, zrealizował projekt „Aktywizacja osób bezrobotnych powyżej 30. roku życia w Powiecie Wrocławskim oraz powiecie m. Wrocław” współfinansowany z Unii Europejskiej w wysokości </w:t>
      </w:r>
      <w:r w:rsidRPr="00E00B35">
        <w:rPr>
          <w:rFonts w:cs="Verdana"/>
          <w:bCs/>
          <w:szCs w:val="20"/>
        </w:rPr>
        <w:t>108 725 645,48</w:t>
      </w:r>
      <w:r w:rsidRPr="00E00B35">
        <w:rPr>
          <w:rFonts w:cs="Verdana"/>
          <w:szCs w:val="20"/>
        </w:rPr>
        <w:t xml:space="preserve"> zł, w tym na realizację działań wspierających przedsiębiorców związanych z COVID-19 (art. 15zzb, art. 15zzc i art. 15zze) w wysokości </w:t>
      </w:r>
      <w:r w:rsidRPr="00E00B35">
        <w:rPr>
          <w:rFonts w:cs="Verdana"/>
          <w:bCs/>
          <w:szCs w:val="20"/>
        </w:rPr>
        <w:t>102 167 285,00</w:t>
      </w:r>
      <w:r w:rsidRPr="00E00B35">
        <w:rPr>
          <w:rFonts w:cs="Verdana"/>
          <w:szCs w:val="20"/>
        </w:rPr>
        <w:t xml:space="preserve"> zł (działaniami tymi wsparto 7 773 podmioty gospodarcze) pozostałą kwotę w wysokości </w:t>
      </w:r>
      <w:r w:rsidRPr="00E00B35">
        <w:rPr>
          <w:rFonts w:cs="Verdana"/>
          <w:bCs/>
          <w:szCs w:val="20"/>
        </w:rPr>
        <w:t>6 558 360,48</w:t>
      </w:r>
      <w:r w:rsidRPr="00E00B35">
        <w:rPr>
          <w:rFonts w:cs="Verdana"/>
          <w:szCs w:val="20"/>
        </w:rPr>
        <w:t xml:space="preserve"> zł przeznaczono na aktywizację osób bezrobotnych zarejestrowanych w Urzędzie.</w:t>
      </w:r>
    </w:p>
    <w:p w:rsidR="00E96768" w:rsidRPr="00E00B35" w:rsidRDefault="00E96768" w:rsidP="00E00B35">
      <w:pPr>
        <w:spacing w:after="0" w:line="312" w:lineRule="auto"/>
        <w:rPr>
          <w:szCs w:val="20"/>
        </w:rPr>
      </w:pPr>
      <w:r w:rsidRPr="00E00B35">
        <w:rPr>
          <w:rFonts w:cs="Verdana"/>
          <w:szCs w:val="20"/>
        </w:rPr>
        <w:t>W ramach projektu wsparciem objęto 302 osoby bezrobotne, w tym 208 kobiet. Uczestnikami projektu były osoby bezrobotne w większości znajdujące się w szczególnej sytuacji na rynku pracy, w tym osoby:</w:t>
      </w:r>
    </w:p>
    <w:p w:rsidR="00E96768" w:rsidRPr="00E00B35" w:rsidRDefault="00E96768" w:rsidP="00E00B35">
      <w:pPr>
        <w:spacing w:after="0" w:line="312" w:lineRule="auto"/>
        <w:rPr>
          <w:rFonts w:cs="Verdana"/>
          <w:szCs w:val="20"/>
        </w:rPr>
      </w:pPr>
      <w:r w:rsidRPr="00E00B35">
        <w:rPr>
          <w:rFonts w:cs="Verdana"/>
          <w:szCs w:val="20"/>
        </w:rPr>
        <w:t>w wieku 50 lat i więcej: 31 osób, w tym 21 kobiet;</w:t>
      </w:r>
    </w:p>
    <w:p w:rsidR="00E96768" w:rsidRPr="00E00B35" w:rsidRDefault="00E96768" w:rsidP="00E00B35">
      <w:pPr>
        <w:spacing w:after="0" w:line="312" w:lineRule="auto"/>
        <w:rPr>
          <w:rFonts w:cs="Verdana"/>
          <w:szCs w:val="20"/>
        </w:rPr>
      </w:pPr>
      <w:r w:rsidRPr="00E00B35">
        <w:rPr>
          <w:rFonts w:cs="Verdana"/>
          <w:szCs w:val="20"/>
        </w:rPr>
        <w:t>z niepełnosprawnościami: 13 osób, w tym 10 kobiet;</w:t>
      </w:r>
    </w:p>
    <w:p w:rsidR="00E96768" w:rsidRPr="00E00B35" w:rsidRDefault="00E96768" w:rsidP="00E00B35">
      <w:pPr>
        <w:spacing w:after="0" w:line="312" w:lineRule="auto"/>
        <w:rPr>
          <w:rFonts w:cs="Verdana"/>
          <w:szCs w:val="20"/>
        </w:rPr>
      </w:pPr>
      <w:r w:rsidRPr="00E00B35">
        <w:rPr>
          <w:rFonts w:cs="Verdana"/>
          <w:szCs w:val="20"/>
        </w:rPr>
        <w:t>długotrwale bezrobotne: 95 osób, w tym 66 kobiet;</w:t>
      </w:r>
    </w:p>
    <w:p w:rsidR="00E96768" w:rsidRPr="00E00B35" w:rsidRDefault="00E96768" w:rsidP="00E00B35">
      <w:pPr>
        <w:spacing w:after="0" w:line="312" w:lineRule="auto"/>
        <w:rPr>
          <w:rFonts w:cs="Verdana"/>
          <w:szCs w:val="20"/>
        </w:rPr>
      </w:pPr>
      <w:r w:rsidRPr="00E00B35">
        <w:rPr>
          <w:rFonts w:cs="Verdana"/>
          <w:szCs w:val="20"/>
        </w:rPr>
        <w:t>o niskich kwalifikacjach: 86 osób, w tym 58 kobiet;</w:t>
      </w:r>
    </w:p>
    <w:p w:rsidR="00E96768" w:rsidRPr="00E00B35" w:rsidRDefault="00E96768" w:rsidP="00E00B35">
      <w:pPr>
        <w:spacing w:after="0" w:line="312" w:lineRule="auto"/>
        <w:rPr>
          <w:rFonts w:cs="Verdana"/>
          <w:szCs w:val="20"/>
        </w:rPr>
      </w:pPr>
      <w:r w:rsidRPr="00E00B35">
        <w:rPr>
          <w:rFonts w:cs="Verdana"/>
          <w:szCs w:val="20"/>
        </w:rPr>
        <w:t>z obszarów DEGURBA3: 47 osób, w tym 27 kobiet;</w:t>
      </w:r>
    </w:p>
    <w:p w:rsidR="00E96768" w:rsidRPr="00E00B35" w:rsidRDefault="00E96768" w:rsidP="00E00B35">
      <w:pPr>
        <w:spacing w:after="0" w:line="312" w:lineRule="auto"/>
        <w:rPr>
          <w:rFonts w:cs="Verdana"/>
          <w:szCs w:val="20"/>
        </w:rPr>
      </w:pPr>
      <w:r w:rsidRPr="00E00B35">
        <w:rPr>
          <w:rFonts w:cs="Verdana"/>
          <w:szCs w:val="20"/>
        </w:rPr>
        <w:t>z obszarów objętych rewitalizacją: 14 osób, w tym 11 kobiet;</w:t>
      </w:r>
    </w:p>
    <w:p w:rsidR="00E96768" w:rsidRPr="00E00B35" w:rsidRDefault="00E96768" w:rsidP="00E00B35">
      <w:pPr>
        <w:spacing w:after="0" w:line="312" w:lineRule="auto"/>
        <w:rPr>
          <w:rFonts w:cs="Verdana"/>
          <w:szCs w:val="20"/>
        </w:rPr>
      </w:pPr>
      <w:r w:rsidRPr="00E00B35">
        <w:rPr>
          <w:rFonts w:cs="Verdana"/>
          <w:szCs w:val="20"/>
        </w:rPr>
        <w:t>imigranci/reemigranci: 5 osób, w tym 3 kobiety;</w:t>
      </w:r>
    </w:p>
    <w:p w:rsidR="00E96768" w:rsidRPr="00E00B35" w:rsidRDefault="00E96768" w:rsidP="00E00B35">
      <w:pPr>
        <w:spacing w:after="0" w:line="312" w:lineRule="auto"/>
        <w:rPr>
          <w:rFonts w:cs="Verdana"/>
          <w:szCs w:val="20"/>
        </w:rPr>
      </w:pPr>
      <w:r w:rsidRPr="00E00B35">
        <w:rPr>
          <w:rFonts w:cs="Verdana"/>
          <w:szCs w:val="20"/>
        </w:rPr>
        <w:t>uczestnicy projektu z zakresu włączenia społecznego realizowanego w ramach celu tematycznego 9 w RPO: 5 osób, w tym 4 kobiety;</w:t>
      </w:r>
    </w:p>
    <w:p w:rsidR="00E96768" w:rsidRPr="00E00B35" w:rsidRDefault="00E96768" w:rsidP="00E00B35">
      <w:pPr>
        <w:spacing w:after="0" w:line="312" w:lineRule="auto"/>
        <w:rPr>
          <w:rFonts w:cs="Verdana"/>
          <w:szCs w:val="20"/>
        </w:rPr>
      </w:pPr>
      <w:r w:rsidRPr="00E00B35">
        <w:rPr>
          <w:rFonts w:cs="Verdana"/>
          <w:szCs w:val="20"/>
        </w:rPr>
        <w:t>mężczyźni spoza ww. kategorii: 23 osoby.</w:t>
      </w:r>
    </w:p>
    <w:p w:rsidR="00E96768" w:rsidRPr="00E00B35" w:rsidRDefault="00E96768" w:rsidP="00E00B35">
      <w:pPr>
        <w:spacing w:after="0" w:line="312" w:lineRule="auto"/>
        <w:rPr>
          <w:rFonts w:cs="Verdana"/>
          <w:szCs w:val="20"/>
        </w:rPr>
      </w:pPr>
      <w:r w:rsidRPr="00E00B35">
        <w:rPr>
          <w:rFonts w:cs="Verdana"/>
          <w:szCs w:val="20"/>
        </w:rPr>
        <w:lastRenderedPageBreak/>
        <w:t>* obszar słabo zaludniony.</w:t>
      </w:r>
    </w:p>
    <w:p w:rsidR="00E96768" w:rsidRPr="00E00B35" w:rsidRDefault="00E96768" w:rsidP="00E00B35">
      <w:pPr>
        <w:spacing w:after="0" w:line="312" w:lineRule="auto"/>
        <w:rPr>
          <w:rFonts w:cs="Verdana"/>
          <w:szCs w:val="20"/>
        </w:rPr>
      </w:pPr>
      <w:r w:rsidRPr="00E00B35">
        <w:rPr>
          <w:rFonts w:cs="Verdana"/>
          <w:szCs w:val="20"/>
        </w:rPr>
        <w:t>Część osób kwalifikowało się do więcej, niż jednej z ww. kategorii.</w:t>
      </w:r>
    </w:p>
    <w:p w:rsidR="00E96768" w:rsidRPr="00E00B35" w:rsidRDefault="00E96768" w:rsidP="00E00B35">
      <w:pPr>
        <w:spacing w:after="0" w:line="312" w:lineRule="auto"/>
        <w:rPr>
          <w:rFonts w:cs="Verdana"/>
          <w:szCs w:val="20"/>
        </w:rPr>
      </w:pPr>
      <w:r w:rsidRPr="00E00B35">
        <w:rPr>
          <w:rFonts w:cs="Verdana"/>
          <w:szCs w:val="20"/>
        </w:rPr>
        <w:t>W ramach projektu uczestników objęto następującymi instrumentami i usługami rynku  pracy:</w:t>
      </w:r>
    </w:p>
    <w:p w:rsidR="00E96768" w:rsidRPr="00E00B35" w:rsidRDefault="00E96768" w:rsidP="00E00B35">
      <w:pPr>
        <w:spacing w:after="0" w:line="312" w:lineRule="auto"/>
        <w:textAlignment w:val="baseline"/>
        <w:rPr>
          <w:rFonts w:cs="Verdana"/>
          <w:szCs w:val="20"/>
        </w:rPr>
      </w:pPr>
      <w:r w:rsidRPr="00E00B35">
        <w:rPr>
          <w:rFonts w:cs="Verdana"/>
          <w:szCs w:val="20"/>
        </w:rPr>
        <w:t>pośrednictwo pracy i poradnictwo zawodowe– 302 osoby, w tym 208 kobiet;</w:t>
      </w:r>
    </w:p>
    <w:p w:rsidR="00E96768" w:rsidRPr="00E00B35" w:rsidRDefault="00E96768" w:rsidP="00E00B35">
      <w:pPr>
        <w:spacing w:after="0" w:line="312" w:lineRule="auto"/>
        <w:textAlignment w:val="baseline"/>
        <w:rPr>
          <w:rFonts w:cs="Verdana"/>
          <w:szCs w:val="20"/>
        </w:rPr>
      </w:pPr>
      <w:r w:rsidRPr="00E00B35">
        <w:rPr>
          <w:rFonts w:cs="Verdana"/>
          <w:szCs w:val="20"/>
        </w:rPr>
        <w:t>Indywidualny Plan Działania– 302 osoby, w tym 208 kobiet;</w:t>
      </w:r>
    </w:p>
    <w:p w:rsidR="00E96768" w:rsidRPr="00E00B35" w:rsidRDefault="00E96768" w:rsidP="00E00B35">
      <w:pPr>
        <w:spacing w:after="0" w:line="312" w:lineRule="auto"/>
        <w:textAlignment w:val="baseline"/>
        <w:rPr>
          <w:rFonts w:cs="Verdana"/>
          <w:szCs w:val="20"/>
        </w:rPr>
      </w:pPr>
      <w:r w:rsidRPr="00E00B35">
        <w:rPr>
          <w:rFonts w:cs="Verdana"/>
          <w:szCs w:val="20"/>
        </w:rPr>
        <w:t>staże– 167 osoby, w tym 140 kobiet;</w:t>
      </w:r>
    </w:p>
    <w:p w:rsidR="00E96768" w:rsidRPr="00E00B35" w:rsidRDefault="00E96768" w:rsidP="00E00B35">
      <w:pPr>
        <w:spacing w:after="0" w:line="312" w:lineRule="auto"/>
        <w:textAlignment w:val="baseline"/>
        <w:rPr>
          <w:rFonts w:cs="Verdana"/>
          <w:szCs w:val="20"/>
        </w:rPr>
      </w:pPr>
      <w:r w:rsidRPr="00E00B35">
        <w:rPr>
          <w:rFonts w:cs="Verdana"/>
          <w:szCs w:val="20"/>
        </w:rPr>
        <w:t>jednorazowe środki na podjęcie działalności gospodarczej– 124 osoby, w tym 62 kobiety;</w:t>
      </w:r>
    </w:p>
    <w:p w:rsidR="00E96768" w:rsidRPr="00E00B35" w:rsidRDefault="00E96768" w:rsidP="00E00B35">
      <w:pPr>
        <w:spacing w:after="0" w:line="312" w:lineRule="auto"/>
        <w:textAlignment w:val="baseline"/>
        <w:rPr>
          <w:rFonts w:cs="Verdana"/>
          <w:szCs w:val="20"/>
        </w:rPr>
      </w:pPr>
      <w:r w:rsidRPr="00E00B35">
        <w:rPr>
          <w:rFonts w:cs="Verdana"/>
          <w:szCs w:val="20"/>
        </w:rPr>
        <w:t>szkolenia– 4 osoby, w tym 1 kobieta;</w:t>
      </w:r>
    </w:p>
    <w:p w:rsidR="00E96768" w:rsidRPr="00E00B35" w:rsidRDefault="00E96768" w:rsidP="00E00B35">
      <w:pPr>
        <w:spacing w:after="0" w:line="312" w:lineRule="auto"/>
        <w:textAlignment w:val="baseline"/>
        <w:rPr>
          <w:rFonts w:cs="Verdana"/>
          <w:szCs w:val="20"/>
        </w:rPr>
      </w:pPr>
      <w:r w:rsidRPr="00E00B35">
        <w:rPr>
          <w:rFonts w:cs="Verdana"/>
          <w:szCs w:val="20"/>
        </w:rPr>
        <w:t>refundacja kosztów wyposażenia lub doposażenia stanowiska pracy– 3 osoby, w tym 2 kobiety,</w:t>
      </w:r>
    </w:p>
    <w:p w:rsidR="00E96768" w:rsidRPr="00E00B35" w:rsidRDefault="00E96768" w:rsidP="00E00B35">
      <w:pPr>
        <w:spacing w:after="0" w:line="312" w:lineRule="auto"/>
        <w:textAlignment w:val="baseline"/>
        <w:rPr>
          <w:rFonts w:cs="Verdana"/>
          <w:szCs w:val="20"/>
        </w:rPr>
      </w:pPr>
      <w:r w:rsidRPr="00E00B35">
        <w:rPr>
          <w:rFonts w:cs="Verdana"/>
          <w:szCs w:val="20"/>
        </w:rPr>
        <w:t>prace interwencyjne– 4 osoby, w tym 4 kobiety.</w:t>
      </w:r>
    </w:p>
    <w:p w:rsidR="00E96768" w:rsidRPr="00E00B35" w:rsidRDefault="00E96768" w:rsidP="00E00B35">
      <w:pPr>
        <w:spacing w:after="0" w:line="312" w:lineRule="auto"/>
        <w:textAlignment w:val="baseline"/>
        <w:rPr>
          <w:szCs w:val="20"/>
        </w:rPr>
      </w:pPr>
      <w:r w:rsidRPr="00E00B35">
        <w:rPr>
          <w:rFonts w:cs="Verdana"/>
          <w:szCs w:val="20"/>
        </w:rPr>
        <w:t>W 2020 roku rozpoczęto realizację w ramach Programu Operacyjnego Wiedza Edukacja Rozwój (PO WER), projektu „Aktywizacja osób młodych pozostających bez pracy w Powiecie Wrocławskim (V) oraz powiecie m. Wrocław (V)” współfinansowanego ze środków Unii Europejskiej w ramach Europejskiego Funduszu Społecznego. Jest to projekt przewidziany na rok 2020 i 2021. Budżet projektu w 2020 roku wyniósł 41 170 574,94 zł. Z tej kwoty 3</w:t>
      </w:r>
      <w:r w:rsidRPr="00E00B35">
        <w:rPr>
          <w:rFonts w:cs="Verdana"/>
          <w:bCs/>
          <w:szCs w:val="20"/>
        </w:rPr>
        <w:t>4 867 257,02</w:t>
      </w:r>
      <w:r w:rsidRPr="00E00B35">
        <w:rPr>
          <w:rFonts w:cs="Verdana"/>
          <w:szCs w:val="20"/>
        </w:rPr>
        <w:t xml:space="preserve"> zł zostało przeznaczone na wsparcie przedsiębiorców związane z pandemią COVID–19 (art. 15zzb, art. 15zzc i art. 15zze), a działaniami tymi wsparto 1 789 podmiotów gospodarczych. Pozostałą kwotę w wysokości 6 303 317,92 zł przeznaczono na aktywizację osób bezrobotnych poniżej 30. roku życia, zarejestrowanych w Urzędzie.</w:t>
      </w:r>
    </w:p>
    <w:p w:rsidR="00E96768" w:rsidRPr="00E00B35" w:rsidRDefault="00E96768" w:rsidP="00E00B35">
      <w:pPr>
        <w:spacing w:after="0" w:line="312" w:lineRule="auto"/>
        <w:textAlignment w:val="baseline"/>
        <w:rPr>
          <w:szCs w:val="20"/>
        </w:rPr>
      </w:pPr>
      <w:r w:rsidRPr="00E00B35">
        <w:rPr>
          <w:rFonts w:cs="Verdana"/>
          <w:szCs w:val="20"/>
        </w:rPr>
        <w:t xml:space="preserve">W ramach projektu wsparcie uzyskało w 2020 roku </w:t>
      </w:r>
      <w:r w:rsidRPr="00E00B35">
        <w:rPr>
          <w:rFonts w:cs="Verdana"/>
          <w:bCs/>
          <w:szCs w:val="20"/>
        </w:rPr>
        <w:t>296</w:t>
      </w:r>
      <w:r w:rsidRPr="00E00B35">
        <w:rPr>
          <w:rFonts w:cs="Verdana"/>
          <w:szCs w:val="20"/>
        </w:rPr>
        <w:t xml:space="preserve"> bezrobotnych osób młodych, w tym 202 kobiety, w podziale na kategorie:</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z niepełnosprawnościami - 7 osób, w tym 4 kobiety;</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długotrwale bezrobotne- 89 osób, w tym 55 kobiet;</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z niskimi kwalifikacjami- 105 osób, w tym 66 kobiet;</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z obszarów DEGURBA 3- 39 osób, w tym 26 kobiet;</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osoby NEET (młodzież nieuczącą się, niepracującą i nieszkoląca się, która nie ukończyła 30. roku życia)- 266 osób, w tym 181 kobiet.</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Część osób kwalifikowało się do więcej niż jednej kategorii lub nie wpisywało się, w żadną z nich.</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Instrumenty i usługi rynku pracy, którymi objęto uczestników projektu w ramach proponowanego wsparcia aktywizacyjnego:</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pośrednictwo pracy i poradnictwo zawodowe, Indywidualny Plan Działania – wszyscy uczestnicy projektu– 296 osoby, w tym 202 kobiety;</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staże– 207 osób, w tym 151 kobiet;</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jednorazowe środki na podjęcie działalności gospodarczej– 75 osoby, w tym 44 kobiety;</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bony na zasiedlenie– 6 osób, w tym 4 kobiety;</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szkolenia– 1 osoba;</w:t>
      </w:r>
    </w:p>
    <w:p w:rsidR="00E96768" w:rsidRPr="00E00B35" w:rsidRDefault="00E96768" w:rsidP="00E00B35">
      <w:pPr>
        <w:tabs>
          <w:tab w:val="left" w:pos="0"/>
        </w:tabs>
        <w:spacing w:after="0" w:line="312" w:lineRule="auto"/>
        <w:textAlignment w:val="baseline"/>
        <w:rPr>
          <w:rFonts w:cs="Verdana"/>
          <w:szCs w:val="20"/>
        </w:rPr>
      </w:pPr>
      <w:r w:rsidRPr="00E00B35">
        <w:rPr>
          <w:rFonts w:cs="Verdana"/>
          <w:szCs w:val="20"/>
        </w:rPr>
        <w:t>refundacja kosztów wyposażenia lub doposażenia stanowiska pracy</w:t>
      </w:r>
      <w:r w:rsidRPr="00E00B35">
        <w:rPr>
          <w:rFonts w:cs="Verdana"/>
          <w:szCs w:val="20"/>
        </w:rPr>
        <w:tab/>
        <w:t>– 2 osoby;</w:t>
      </w:r>
    </w:p>
    <w:p w:rsidR="00E96768" w:rsidRPr="00E00B35" w:rsidRDefault="00E96768" w:rsidP="00E00B35">
      <w:pPr>
        <w:tabs>
          <w:tab w:val="left" w:pos="0"/>
        </w:tabs>
        <w:spacing w:after="0" w:line="312" w:lineRule="auto"/>
        <w:textAlignment w:val="baseline"/>
        <w:rPr>
          <w:rFonts w:cs="Verdana"/>
          <w:color w:val="FF0000"/>
          <w:szCs w:val="20"/>
        </w:rPr>
      </w:pPr>
      <w:r w:rsidRPr="00E00B35">
        <w:rPr>
          <w:rFonts w:cs="Verdana"/>
          <w:szCs w:val="20"/>
        </w:rPr>
        <w:t>prace interwencyjne– 5 osób, w tym 2 kobiety.</w:t>
      </w:r>
    </w:p>
    <w:p w:rsidR="00E96768" w:rsidRPr="00E00B35" w:rsidRDefault="00E96768" w:rsidP="00E00B35">
      <w:pPr>
        <w:spacing w:after="0" w:line="312" w:lineRule="auto"/>
        <w:textAlignment w:val="baseline"/>
        <w:rPr>
          <w:rFonts w:cs="Verdana"/>
          <w:b/>
          <w:bCs/>
          <w:color w:val="00000A"/>
          <w:szCs w:val="20"/>
        </w:rPr>
      </w:pPr>
    </w:p>
    <w:p w:rsidR="00E96768" w:rsidRPr="00E00B35" w:rsidRDefault="00E96768" w:rsidP="00E00B35">
      <w:pPr>
        <w:spacing w:after="0" w:line="312" w:lineRule="auto"/>
        <w:textAlignment w:val="baseline"/>
        <w:rPr>
          <w:szCs w:val="20"/>
        </w:rPr>
      </w:pPr>
      <w:r w:rsidRPr="00E00B35">
        <w:rPr>
          <w:rFonts w:cs="Verdana"/>
          <w:b/>
          <w:bCs/>
          <w:color w:val="00000A"/>
          <w:szCs w:val="20"/>
        </w:rPr>
        <w:lastRenderedPageBreak/>
        <w:t>WSPARCIE PRZEDSIĘBIORCÓW I INNYCH PODMIOTÓW W RAMACH TARCZ ANTYKRYZYSOWYCH</w:t>
      </w:r>
    </w:p>
    <w:p w:rsidR="00E96768" w:rsidRPr="00E00B35" w:rsidRDefault="00E96768" w:rsidP="00E00B35">
      <w:pPr>
        <w:pStyle w:val="Tekstpodstawowy"/>
        <w:spacing w:after="0" w:line="312" w:lineRule="auto"/>
        <w:textAlignment w:val="baseline"/>
        <w:rPr>
          <w:szCs w:val="20"/>
        </w:rPr>
      </w:pPr>
      <w:r w:rsidRPr="00E00B35">
        <w:rPr>
          <w:rFonts w:cs="Verdana"/>
          <w:szCs w:val="20"/>
        </w:rPr>
        <w:t xml:space="preserve">W 2020 roku z uwagi na ogłoszony stan epidemii działania Powiatowego Urzędu Pracy w przeważającej większości zostały skierowane na pomoc pracodawcom i przedsiębiorcom w ramach działań tzw. „Tarczy antykryzysowej”. Usługi wspierające prowadzenie działalności gospodarczej cieszyły się bardzo dużym zainteresowaniem klientów, przykładem jest niskooprocentowana pożyczka dla mikroprzedsiębiorców, z której skorzystało do końca 2020 roku 56 263 podmioty. Przy rozpatrywaniu wniosków o pożyczki padło kilka rekordów: 8 maja 2020 roku wpłynęło  2 961 wniosków o pożyczkę, 2 czerwca 2020 roku rozpatrzono 3 030 wniosków, 4. czerwca 2020 roku podpisano 2 026 umów z pożyczkobiorcami, tego samego dnia przelano na konta wnioskodawców łącznie </w:t>
      </w:r>
      <w:r w:rsidRPr="00E00B35">
        <w:rPr>
          <w:rFonts w:cs="Verdana"/>
          <w:color w:val="333333"/>
          <w:szCs w:val="20"/>
        </w:rPr>
        <w:t>11 019 350,00 zł. Tylko przy obsłudze pożyczek, w maju i czerwcu pracowało  blisko 50% obecnych pracowników.</w:t>
      </w:r>
    </w:p>
    <w:p w:rsidR="00E96768" w:rsidRPr="00E00B35" w:rsidRDefault="00E96768" w:rsidP="00E00B35">
      <w:pPr>
        <w:pStyle w:val="Tekstpodstawowy"/>
        <w:spacing w:after="0" w:line="312" w:lineRule="auto"/>
        <w:textAlignment w:val="baseline"/>
        <w:rPr>
          <w:rFonts w:cs="Verdana"/>
          <w:szCs w:val="20"/>
        </w:rPr>
      </w:pPr>
    </w:p>
    <w:p w:rsidR="00E96768" w:rsidRPr="00E00B35" w:rsidRDefault="00E96768" w:rsidP="00E00B35">
      <w:pPr>
        <w:pStyle w:val="Tekstpodstawowy"/>
        <w:spacing w:after="0" w:line="312" w:lineRule="auto"/>
        <w:textAlignment w:val="baseline"/>
        <w:rPr>
          <w:color w:val="000000" w:themeColor="text1"/>
          <w:szCs w:val="20"/>
        </w:rPr>
      </w:pPr>
      <w:r w:rsidRPr="00E00B35">
        <w:rPr>
          <w:rFonts w:cs="Verdana"/>
          <w:szCs w:val="20"/>
        </w:rPr>
        <w:t>Usługi realizowane przez Powiatowy Urząd Pracy we Wrocławiu w ramach tzw. Tarczy Antykryzysowej.</w:t>
      </w:r>
    </w:p>
    <w:tbl>
      <w:tblPr>
        <w:tblW w:w="0" w:type="auto"/>
        <w:tblInd w:w="57" w:type="dxa"/>
        <w:tblLayout w:type="fixed"/>
        <w:tblCellMar>
          <w:top w:w="57" w:type="dxa"/>
          <w:left w:w="57" w:type="dxa"/>
          <w:bottom w:w="57" w:type="dxa"/>
          <w:right w:w="57" w:type="dxa"/>
        </w:tblCellMar>
        <w:tblLook w:val="0620"/>
      </w:tblPr>
      <w:tblGrid>
        <w:gridCol w:w="3058"/>
        <w:gridCol w:w="3074"/>
        <w:gridCol w:w="2988"/>
      </w:tblGrid>
      <w:tr w:rsidR="00E96768" w:rsidRPr="00E00B35" w:rsidTr="00E96768">
        <w:trPr>
          <w:trHeight w:val="508"/>
          <w:tblHeader/>
        </w:trPr>
        <w:tc>
          <w:tcPr>
            <w:tcW w:w="3058" w:type="dxa"/>
            <w:tcBorders>
              <w:top w:val="single" w:sz="6" w:space="0" w:color="000000"/>
              <w:left w:val="single" w:sz="6" w:space="0" w:color="000000"/>
              <w:bottom w:val="single" w:sz="6" w:space="0" w:color="000000"/>
            </w:tcBorders>
            <w:shd w:val="clear" w:color="auto" w:fill="D9D9D9" w:themeFill="background1" w:themeFillShade="D9"/>
            <w:tcMar>
              <w:right w:w="0" w:type="dxa"/>
            </w:tcMar>
          </w:tcPr>
          <w:p w:rsidR="00E96768" w:rsidRPr="00E00B35" w:rsidRDefault="00E96768" w:rsidP="00E00B35">
            <w:pPr>
              <w:spacing w:after="0" w:line="312" w:lineRule="auto"/>
              <w:rPr>
                <w:b/>
                <w:color w:val="000000" w:themeColor="text1"/>
                <w:szCs w:val="20"/>
              </w:rPr>
            </w:pPr>
            <w:r w:rsidRPr="00E00B35">
              <w:rPr>
                <w:rFonts w:cs="Verdana"/>
                <w:b/>
                <w:color w:val="000000" w:themeColor="text1"/>
                <w:szCs w:val="20"/>
              </w:rPr>
              <w:t>Usługa</w:t>
            </w:r>
          </w:p>
        </w:tc>
        <w:tc>
          <w:tcPr>
            <w:tcW w:w="3074" w:type="dxa"/>
            <w:tcBorders>
              <w:top w:val="single" w:sz="6" w:space="0" w:color="000000"/>
              <w:left w:val="single" w:sz="6" w:space="0" w:color="000000"/>
              <w:bottom w:val="single" w:sz="6" w:space="0" w:color="000000"/>
            </w:tcBorders>
            <w:shd w:val="clear" w:color="auto" w:fill="D9D9D9" w:themeFill="background1" w:themeFillShade="D9"/>
            <w:tcMar>
              <w:right w:w="0" w:type="dxa"/>
            </w:tcMar>
          </w:tcPr>
          <w:p w:rsidR="00E96768" w:rsidRPr="00E00B35" w:rsidRDefault="00E96768" w:rsidP="00E00B35">
            <w:pPr>
              <w:spacing w:after="0" w:line="312" w:lineRule="auto"/>
              <w:rPr>
                <w:b/>
                <w:color w:val="000000" w:themeColor="text1"/>
                <w:szCs w:val="20"/>
              </w:rPr>
            </w:pPr>
            <w:r w:rsidRPr="00E00B35">
              <w:rPr>
                <w:rFonts w:cs="Verdana"/>
                <w:b/>
                <w:color w:val="000000" w:themeColor="text1"/>
                <w:szCs w:val="20"/>
              </w:rPr>
              <w:t>Liczba osób lub podmiotów objętych wsparciem</w:t>
            </w:r>
          </w:p>
        </w:tc>
        <w:tc>
          <w:tcPr>
            <w:tcW w:w="298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E96768" w:rsidRPr="00E00B35" w:rsidRDefault="00E96768" w:rsidP="00E00B35">
            <w:pPr>
              <w:spacing w:after="0" w:line="312" w:lineRule="auto"/>
              <w:rPr>
                <w:b/>
                <w:color w:val="000000" w:themeColor="text1"/>
                <w:szCs w:val="20"/>
              </w:rPr>
            </w:pPr>
            <w:r w:rsidRPr="00E00B35">
              <w:rPr>
                <w:rFonts w:cs="Verdana"/>
                <w:b/>
                <w:color w:val="000000" w:themeColor="text1"/>
                <w:szCs w:val="20"/>
              </w:rPr>
              <w:t>Wypłacone środki w tys. zł</w:t>
            </w:r>
          </w:p>
        </w:tc>
      </w:tr>
      <w:tr w:rsidR="00E96768" w:rsidRPr="00E00B35" w:rsidTr="00E96768">
        <w:tblPrEx>
          <w:tblCellMar>
            <w:top w:w="0" w:type="dxa"/>
          </w:tblCellMar>
        </w:tblPrEx>
        <w:trPr>
          <w:trHeight w:val="1335"/>
        </w:trPr>
        <w:tc>
          <w:tcPr>
            <w:tcW w:w="3058" w:type="dxa"/>
            <w:tcBorders>
              <w:left w:val="single" w:sz="6" w:space="0" w:color="000000"/>
              <w:bottom w:val="single" w:sz="6" w:space="0" w:color="000000"/>
            </w:tcBorders>
            <w:shd w:val="clear" w:color="auto" w:fill="auto"/>
            <w:tcMar>
              <w:right w:w="0" w:type="dxa"/>
            </w:tcMar>
          </w:tcPr>
          <w:p w:rsidR="00E96768" w:rsidRPr="00E00B35" w:rsidRDefault="00E96768" w:rsidP="00E00B35">
            <w:pPr>
              <w:spacing w:after="0" w:line="312" w:lineRule="auto"/>
              <w:rPr>
                <w:szCs w:val="20"/>
              </w:rPr>
            </w:pPr>
            <w:r w:rsidRPr="00E00B35">
              <w:rPr>
                <w:rFonts w:cs="Verdana"/>
                <w:color w:val="00000A"/>
                <w:szCs w:val="20"/>
              </w:rPr>
              <w:t>Dofinansowanie części kosztów wynagrodzeń pracowników oraz należnych od nich składak na ubezpieczenie społeczne dla mikro, małych i średnich przedsiębiorców (art. 15zzb)</w:t>
            </w:r>
          </w:p>
        </w:tc>
        <w:tc>
          <w:tcPr>
            <w:tcW w:w="3074" w:type="dxa"/>
            <w:tcBorders>
              <w:left w:val="single" w:sz="6" w:space="0" w:color="000000"/>
              <w:bottom w:val="single" w:sz="6" w:space="0" w:color="000000"/>
            </w:tcBorders>
            <w:shd w:val="clear" w:color="auto" w:fill="FFFFFF"/>
            <w:tcMar>
              <w:right w:w="0" w:type="dxa"/>
            </w:tcMar>
            <w:vAlign w:val="center"/>
          </w:tcPr>
          <w:p w:rsidR="00E96768" w:rsidRPr="00E00B35" w:rsidRDefault="00E96768" w:rsidP="00E00B35">
            <w:pPr>
              <w:spacing w:after="0" w:line="312" w:lineRule="auto"/>
              <w:ind w:right="1191"/>
              <w:rPr>
                <w:szCs w:val="20"/>
              </w:rPr>
            </w:pPr>
            <w:r w:rsidRPr="00E00B35">
              <w:rPr>
                <w:rFonts w:cs="Verdana"/>
                <w:bCs/>
                <w:szCs w:val="20"/>
              </w:rPr>
              <w:t>2 316</w:t>
            </w:r>
          </w:p>
        </w:tc>
        <w:tc>
          <w:tcPr>
            <w:tcW w:w="2988" w:type="dxa"/>
            <w:tcBorders>
              <w:left w:val="single" w:sz="6" w:space="0" w:color="000000"/>
              <w:bottom w:val="single" w:sz="6" w:space="0" w:color="000000"/>
              <w:right w:val="single" w:sz="6" w:space="0" w:color="000000"/>
            </w:tcBorders>
            <w:shd w:val="clear" w:color="auto" w:fill="FFFFFF"/>
            <w:vAlign w:val="center"/>
          </w:tcPr>
          <w:p w:rsidR="00E96768" w:rsidRPr="00E00B35" w:rsidRDefault="00E96768" w:rsidP="00E00B35">
            <w:pPr>
              <w:spacing w:after="0" w:line="312" w:lineRule="auto"/>
              <w:ind w:right="1021"/>
              <w:rPr>
                <w:szCs w:val="20"/>
              </w:rPr>
            </w:pPr>
            <w:r w:rsidRPr="00E00B35">
              <w:rPr>
                <w:rFonts w:cs="Verdana"/>
                <w:bCs/>
                <w:color w:val="00000A"/>
                <w:szCs w:val="20"/>
              </w:rPr>
              <w:t>75 995,3</w:t>
            </w:r>
          </w:p>
        </w:tc>
      </w:tr>
      <w:tr w:rsidR="00E96768" w:rsidRPr="00E00B35" w:rsidTr="00E96768">
        <w:tblPrEx>
          <w:tblCellMar>
            <w:top w:w="0" w:type="dxa"/>
          </w:tblCellMar>
        </w:tblPrEx>
        <w:trPr>
          <w:trHeight w:val="938"/>
        </w:trPr>
        <w:tc>
          <w:tcPr>
            <w:tcW w:w="3058" w:type="dxa"/>
            <w:tcBorders>
              <w:left w:val="single" w:sz="6" w:space="0" w:color="000000"/>
              <w:bottom w:val="single" w:sz="6" w:space="0" w:color="000000"/>
            </w:tcBorders>
            <w:shd w:val="clear" w:color="auto" w:fill="auto"/>
            <w:tcMar>
              <w:right w:w="0" w:type="dxa"/>
            </w:tcMar>
          </w:tcPr>
          <w:p w:rsidR="00E96768" w:rsidRPr="00E00B35" w:rsidRDefault="00E96768" w:rsidP="00E00B35">
            <w:pPr>
              <w:spacing w:after="0" w:line="312" w:lineRule="auto"/>
              <w:rPr>
                <w:szCs w:val="20"/>
              </w:rPr>
            </w:pPr>
            <w:r w:rsidRPr="00E00B35">
              <w:rPr>
                <w:rFonts w:cs="Verdana"/>
                <w:color w:val="00000A"/>
                <w:szCs w:val="20"/>
              </w:rPr>
              <w:t>Dofinansowanie części kosztów prowadzenia działalności gospodarczej dla samozatrudnionych (art. 15zzc)</w:t>
            </w:r>
          </w:p>
        </w:tc>
        <w:tc>
          <w:tcPr>
            <w:tcW w:w="3074" w:type="dxa"/>
            <w:tcBorders>
              <w:left w:val="single" w:sz="6" w:space="0" w:color="000000"/>
              <w:bottom w:val="single" w:sz="6" w:space="0" w:color="000000"/>
            </w:tcBorders>
            <w:shd w:val="clear" w:color="auto" w:fill="FFFFFF"/>
            <w:tcMar>
              <w:right w:w="0" w:type="dxa"/>
            </w:tcMar>
            <w:vAlign w:val="center"/>
          </w:tcPr>
          <w:p w:rsidR="00E96768" w:rsidRPr="00E00B35" w:rsidRDefault="00E96768" w:rsidP="00E00B35">
            <w:pPr>
              <w:spacing w:after="0" w:line="312" w:lineRule="auto"/>
              <w:ind w:right="1191"/>
              <w:rPr>
                <w:szCs w:val="20"/>
              </w:rPr>
            </w:pPr>
            <w:r w:rsidRPr="00E00B35">
              <w:rPr>
                <w:rFonts w:cs="Verdana"/>
                <w:bCs/>
                <w:color w:val="00000A"/>
                <w:szCs w:val="20"/>
              </w:rPr>
              <w:t>7 096</w:t>
            </w:r>
          </w:p>
        </w:tc>
        <w:tc>
          <w:tcPr>
            <w:tcW w:w="2988" w:type="dxa"/>
            <w:tcBorders>
              <w:left w:val="single" w:sz="6" w:space="0" w:color="000000"/>
              <w:bottom w:val="single" w:sz="6" w:space="0" w:color="000000"/>
              <w:right w:val="single" w:sz="6" w:space="0" w:color="000000"/>
            </w:tcBorders>
            <w:shd w:val="clear" w:color="auto" w:fill="FFFFFF"/>
            <w:vAlign w:val="center"/>
          </w:tcPr>
          <w:p w:rsidR="00E96768" w:rsidRPr="00E00B35" w:rsidRDefault="00E96768" w:rsidP="00E00B35">
            <w:pPr>
              <w:spacing w:after="0" w:line="312" w:lineRule="auto"/>
              <w:ind w:right="1021"/>
              <w:rPr>
                <w:szCs w:val="20"/>
              </w:rPr>
            </w:pPr>
            <w:r w:rsidRPr="00E00B35">
              <w:rPr>
                <w:rFonts w:cs="Verdana"/>
                <w:bCs/>
                <w:color w:val="00000A"/>
                <w:szCs w:val="20"/>
              </w:rPr>
              <w:t>39 211,8</w:t>
            </w:r>
          </w:p>
        </w:tc>
      </w:tr>
      <w:tr w:rsidR="00E96768" w:rsidRPr="00E00B35" w:rsidTr="00E96768">
        <w:tblPrEx>
          <w:tblCellMar>
            <w:top w:w="0" w:type="dxa"/>
          </w:tblCellMar>
        </w:tblPrEx>
        <w:trPr>
          <w:trHeight w:val="922"/>
        </w:trPr>
        <w:tc>
          <w:tcPr>
            <w:tcW w:w="3058" w:type="dxa"/>
            <w:tcBorders>
              <w:left w:val="single" w:sz="6" w:space="0" w:color="000000"/>
              <w:bottom w:val="single" w:sz="6" w:space="0" w:color="000000"/>
            </w:tcBorders>
            <w:shd w:val="clear" w:color="auto" w:fill="auto"/>
            <w:tcMar>
              <w:right w:w="0" w:type="dxa"/>
            </w:tcMar>
          </w:tcPr>
          <w:p w:rsidR="00E96768" w:rsidRPr="00E00B35" w:rsidRDefault="00E96768" w:rsidP="00E00B35">
            <w:pPr>
              <w:spacing w:after="0" w:line="312" w:lineRule="auto"/>
              <w:rPr>
                <w:szCs w:val="20"/>
              </w:rPr>
            </w:pPr>
            <w:r w:rsidRPr="00E00B35">
              <w:rPr>
                <w:rFonts w:cs="Verdana"/>
                <w:color w:val="00000A"/>
                <w:szCs w:val="20"/>
              </w:rPr>
              <w:t>Niskooprocentowana pożyczka FP dla mikroprzedsiębiorców oraz dla organizacji pozarządowych (art 15zzd i 15zzda)</w:t>
            </w:r>
          </w:p>
        </w:tc>
        <w:tc>
          <w:tcPr>
            <w:tcW w:w="3074" w:type="dxa"/>
            <w:tcBorders>
              <w:left w:val="single" w:sz="6" w:space="0" w:color="000000"/>
              <w:bottom w:val="single" w:sz="6" w:space="0" w:color="000000"/>
            </w:tcBorders>
            <w:shd w:val="clear" w:color="auto" w:fill="FFFFFF"/>
            <w:tcMar>
              <w:right w:w="0" w:type="dxa"/>
            </w:tcMar>
            <w:vAlign w:val="center"/>
          </w:tcPr>
          <w:p w:rsidR="00E96768" w:rsidRPr="00E00B35" w:rsidRDefault="00E96768" w:rsidP="00E00B35">
            <w:pPr>
              <w:spacing w:after="0" w:line="312" w:lineRule="auto"/>
              <w:ind w:right="1191"/>
              <w:rPr>
                <w:szCs w:val="20"/>
              </w:rPr>
            </w:pPr>
            <w:r w:rsidRPr="00E00B35">
              <w:rPr>
                <w:rFonts w:cs="Verdana"/>
                <w:bCs/>
                <w:color w:val="00000A"/>
                <w:szCs w:val="20"/>
              </w:rPr>
              <w:t>56 263</w:t>
            </w:r>
          </w:p>
        </w:tc>
        <w:tc>
          <w:tcPr>
            <w:tcW w:w="2988" w:type="dxa"/>
            <w:tcBorders>
              <w:left w:val="single" w:sz="6" w:space="0" w:color="000000"/>
              <w:bottom w:val="single" w:sz="6" w:space="0" w:color="000000"/>
              <w:right w:val="single" w:sz="6" w:space="0" w:color="000000"/>
            </w:tcBorders>
            <w:shd w:val="clear" w:color="auto" w:fill="FFFFFF"/>
            <w:vAlign w:val="center"/>
          </w:tcPr>
          <w:p w:rsidR="00E96768" w:rsidRPr="00E00B35" w:rsidRDefault="00E96768" w:rsidP="00E00B35">
            <w:pPr>
              <w:spacing w:after="0" w:line="312" w:lineRule="auto"/>
              <w:ind w:right="1021"/>
              <w:rPr>
                <w:szCs w:val="20"/>
              </w:rPr>
            </w:pPr>
            <w:r w:rsidRPr="00E00B35">
              <w:rPr>
                <w:rFonts w:cs="Verdana"/>
                <w:bCs/>
                <w:color w:val="00000A"/>
                <w:szCs w:val="20"/>
              </w:rPr>
              <w:t>280 917,7</w:t>
            </w:r>
          </w:p>
        </w:tc>
      </w:tr>
      <w:tr w:rsidR="00E96768" w:rsidRPr="00E00B35" w:rsidTr="00E96768">
        <w:tblPrEx>
          <w:tblCellMar>
            <w:top w:w="0" w:type="dxa"/>
          </w:tblCellMar>
        </w:tblPrEx>
        <w:trPr>
          <w:trHeight w:val="1749"/>
        </w:trPr>
        <w:tc>
          <w:tcPr>
            <w:tcW w:w="3058" w:type="dxa"/>
            <w:tcBorders>
              <w:left w:val="single" w:sz="6" w:space="0" w:color="000000"/>
              <w:bottom w:val="single" w:sz="6" w:space="0" w:color="000000"/>
            </w:tcBorders>
            <w:shd w:val="clear" w:color="auto" w:fill="auto"/>
            <w:tcMar>
              <w:right w:w="0" w:type="dxa"/>
            </w:tcMar>
          </w:tcPr>
          <w:p w:rsidR="00E96768" w:rsidRPr="00E00B35" w:rsidRDefault="00E96768" w:rsidP="00E00B35">
            <w:pPr>
              <w:spacing w:after="0" w:line="312" w:lineRule="auto"/>
              <w:rPr>
                <w:szCs w:val="20"/>
              </w:rPr>
            </w:pPr>
            <w:r w:rsidRPr="00E00B35">
              <w:rPr>
                <w:rFonts w:cs="Verdana"/>
                <w:color w:val="00000A"/>
                <w:szCs w:val="20"/>
              </w:rPr>
              <w:lastRenderedPageBreak/>
              <w:t>Dofinansowanie części kosztów wynagrodzeń pracowników oraz należnych od nich składek na ubezpieczenia społeczne dla organizacji pozarządowych oraz kościelnych osób prawnych i ich jednostek organizacyjnych (art. 15zze i art. 15zze</w:t>
            </w:r>
            <w:r w:rsidRPr="00E00B35">
              <w:rPr>
                <w:rFonts w:cs="Verdana"/>
                <w:color w:val="00000A"/>
                <w:szCs w:val="20"/>
                <w:vertAlign w:val="superscript"/>
              </w:rPr>
              <w:t>2</w:t>
            </w:r>
            <w:r w:rsidRPr="00E00B35">
              <w:rPr>
                <w:rFonts w:cs="Verdana"/>
                <w:color w:val="00000A"/>
                <w:szCs w:val="20"/>
              </w:rPr>
              <w:t>)</w:t>
            </w:r>
          </w:p>
        </w:tc>
        <w:tc>
          <w:tcPr>
            <w:tcW w:w="3074" w:type="dxa"/>
            <w:tcBorders>
              <w:left w:val="single" w:sz="6" w:space="0" w:color="000000"/>
              <w:bottom w:val="single" w:sz="6" w:space="0" w:color="000000"/>
            </w:tcBorders>
            <w:shd w:val="clear" w:color="auto" w:fill="FFFFFF"/>
            <w:tcMar>
              <w:right w:w="0" w:type="dxa"/>
            </w:tcMar>
            <w:vAlign w:val="center"/>
          </w:tcPr>
          <w:p w:rsidR="00E96768" w:rsidRPr="00E00B35" w:rsidRDefault="00E96768" w:rsidP="00E00B35">
            <w:pPr>
              <w:spacing w:after="0" w:line="312" w:lineRule="auto"/>
              <w:ind w:right="1191"/>
              <w:rPr>
                <w:szCs w:val="20"/>
              </w:rPr>
            </w:pPr>
            <w:r w:rsidRPr="00E00B35">
              <w:rPr>
                <w:rFonts w:cs="Verdana"/>
                <w:bCs/>
                <w:color w:val="00000A"/>
                <w:szCs w:val="20"/>
              </w:rPr>
              <w:t>46</w:t>
            </w:r>
          </w:p>
        </w:tc>
        <w:tc>
          <w:tcPr>
            <w:tcW w:w="2988" w:type="dxa"/>
            <w:tcBorders>
              <w:left w:val="single" w:sz="6" w:space="0" w:color="000000"/>
              <w:bottom w:val="single" w:sz="6" w:space="0" w:color="000000"/>
              <w:right w:val="single" w:sz="6" w:space="0" w:color="000000"/>
            </w:tcBorders>
            <w:shd w:val="clear" w:color="auto" w:fill="FFFFFF"/>
            <w:vAlign w:val="center"/>
          </w:tcPr>
          <w:p w:rsidR="00E96768" w:rsidRPr="00E00B35" w:rsidRDefault="00E96768" w:rsidP="00E00B35">
            <w:pPr>
              <w:spacing w:after="0" w:line="312" w:lineRule="auto"/>
              <w:ind w:right="1021"/>
              <w:rPr>
                <w:szCs w:val="20"/>
              </w:rPr>
            </w:pPr>
            <w:r w:rsidRPr="00E00B35">
              <w:rPr>
                <w:rFonts w:cs="Verdana"/>
                <w:bCs/>
                <w:color w:val="00000A"/>
                <w:szCs w:val="20"/>
              </w:rPr>
              <w:t>1 771</w:t>
            </w:r>
          </w:p>
        </w:tc>
      </w:tr>
      <w:tr w:rsidR="00E96768" w:rsidRPr="00E00B35" w:rsidTr="00E96768">
        <w:tblPrEx>
          <w:tblCellMar>
            <w:top w:w="0" w:type="dxa"/>
          </w:tblCellMar>
        </w:tblPrEx>
        <w:trPr>
          <w:trHeight w:val="1144"/>
        </w:trPr>
        <w:tc>
          <w:tcPr>
            <w:tcW w:w="3058" w:type="dxa"/>
            <w:tcBorders>
              <w:left w:val="single" w:sz="6" w:space="0" w:color="000000"/>
              <w:bottom w:val="single" w:sz="6" w:space="0" w:color="000000"/>
            </w:tcBorders>
            <w:shd w:val="clear" w:color="auto" w:fill="auto"/>
            <w:tcMar>
              <w:right w:w="0" w:type="dxa"/>
            </w:tcMar>
          </w:tcPr>
          <w:p w:rsidR="00E96768" w:rsidRPr="00E00B35" w:rsidRDefault="00E96768" w:rsidP="00E00B35">
            <w:pPr>
              <w:spacing w:after="0" w:line="312" w:lineRule="auto"/>
              <w:rPr>
                <w:szCs w:val="20"/>
              </w:rPr>
            </w:pPr>
            <w:r w:rsidRPr="00E00B35">
              <w:rPr>
                <w:rFonts w:cs="Verdana"/>
                <w:color w:val="00000A"/>
                <w:szCs w:val="20"/>
              </w:rPr>
              <w:t>Dotacja na pokrycie bieżących kosztów prowadzenia działalności gospodarczej mikro i małego przedsiębiorcy z określonym PKD (art. 15zze</w:t>
            </w:r>
            <w:r w:rsidRPr="00E00B35">
              <w:rPr>
                <w:rFonts w:cs="Verdana"/>
                <w:color w:val="00000A"/>
                <w:szCs w:val="20"/>
                <w:vertAlign w:val="superscript"/>
              </w:rPr>
              <w:t>4</w:t>
            </w:r>
            <w:r w:rsidRPr="00E00B35">
              <w:rPr>
                <w:rFonts w:cs="Verdana"/>
                <w:color w:val="00000A"/>
                <w:szCs w:val="20"/>
              </w:rPr>
              <w:t>)</w:t>
            </w:r>
          </w:p>
        </w:tc>
        <w:tc>
          <w:tcPr>
            <w:tcW w:w="3074" w:type="dxa"/>
            <w:tcBorders>
              <w:left w:val="single" w:sz="6" w:space="0" w:color="000000"/>
              <w:bottom w:val="single" w:sz="6" w:space="0" w:color="000000"/>
            </w:tcBorders>
            <w:shd w:val="clear" w:color="auto" w:fill="FFFFFF"/>
            <w:tcMar>
              <w:right w:w="0" w:type="dxa"/>
            </w:tcMar>
            <w:vAlign w:val="center"/>
          </w:tcPr>
          <w:p w:rsidR="00E96768" w:rsidRPr="00E00B35" w:rsidRDefault="00E96768" w:rsidP="00E00B35">
            <w:pPr>
              <w:spacing w:after="0" w:line="312" w:lineRule="auto"/>
              <w:ind w:right="1191"/>
              <w:rPr>
                <w:szCs w:val="20"/>
              </w:rPr>
            </w:pPr>
            <w:r w:rsidRPr="00E00B35">
              <w:rPr>
                <w:rFonts w:cs="Verdana"/>
                <w:bCs/>
                <w:color w:val="00000A"/>
                <w:szCs w:val="20"/>
              </w:rPr>
              <w:t>15</w:t>
            </w:r>
          </w:p>
        </w:tc>
        <w:tc>
          <w:tcPr>
            <w:tcW w:w="2988" w:type="dxa"/>
            <w:tcBorders>
              <w:left w:val="single" w:sz="6" w:space="0" w:color="000000"/>
              <w:bottom w:val="single" w:sz="6" w:space="0" w:color="000000"/>
              <w:right w:val="single" w:sz="6" w:space="0" w:color="000000"/>
            </w:tcBorders>
            <w:shd w:val="clear" w:color="auto" w:fill="FFFFFF"/>
            <w:vAlign w:val="center"/>
          </w:tcPr>
          <w:p w:rsidR="00E96768" w:rsidRPr="00E00B35" w:rsidRDefault="00E96768" w:rsidP="00E00B35">
            <w:pPr>
              <w:spacing w:after="0" w:line="312" w:lineRule="auto"/>
              <w:ind w:right="1021"/>
              <w:rPr>
                <w:szCs w:val="20"/>
              </w:rPr>
            </w:pPr>
            <w:r w:rsidRPr="00E00B35">
              <w:rPr>
                <w:rFonts w:cs="Verdana"/>
                <w:bCs/>
                <w:color w:val="00000A"/>
                <w:szCs w:val="20"/>
              </w:rPr>
              <w:t>75,00</w:t>
            </w:r>
          </w:p>
        </w:tc>
      </w:tr>
    </w:tbl>
    <w:p w:rsidR="00E96768" w:rsidRPr="00E00B35" w:rsidRDefault="00E96768" w:rsidP="00E00B35">
      <w:pPr>
        <w:spacing w:after="0" w:line="312" w:lineRule="auto"/>
        <w:rPr>
          <w:rFonts w:cs="Verdana"/>
          <w:szCs w:val="20"/>
          <w:shd w:val="clear" w:color="auto" w:fill="FFFF00"/>
        </w:rPr>
      </w:pPr>
    </w:p>
    <w:p w:rsidR="005B50AD" w:rsidRPr="00E00B35" w:rsidRDefault="005B50AD" w:rsidP="00E00B35">
      <w:pPr>
        <w:spacing w:after="0" w:line="312" w:lineRule="auto"/>
        <w:rPr>
          <w:rFonts w:cs="Verdana"/>
          <w:b/>
          <w:bCs/>
          <w:szCs w:val="20"/>
        </w:rPr>
      </w:pPr>
    </w:p>
    <w:p w:rsidR="00E96768" w:rsidRPr="00E00B35" w:rsidRDefault="00E96768" w:rsidP="00E00B35">
      <w:pPr>
        <w:spacing w:after="0" w:line="312" w:lineRule="auto"/>
        <w:rPr>
          <w:rFonts w:cs="Verdana"/>
          <w:b/>
          <w:bCs/>
          <w:szCs w:val="20"/>
        </w:rPr>
      </w:pPr>
      <w:r w:rsidRPr="00E00B35">
        <w:rPr>
          <w:rFonts w:cs="Verdana"/>
          <w:b/>
          <w:bCs/>
          <w:szCs w:val="20"/>
        </w:rPr>
        <w:t>POZOSTAŁE DZIAŁANIA</w:t>
      </w:r>
    </w:p>
    <w:p w:rsidR="005B50AD" w:rsidRPr="00E00B35" w:rsidRDefault="005B50AD" w:rsidP="00E00B35">
      <w:pPr>
        <w:spacing w:after="0" w:line="312" w:lineRule="auto"/>
        <w:rPr>
          <w:szCs w:val="20"/>
        </w:rPr>
      </w:pPr>
    </w:p>
    <w:p w:rsidR="00E96768" w:rsidRPr="00E00B35" w:rsidRDefault="00E96768" w:rsidP="00E00B35">
      <w:pPr>
        <w:spacing w:after="0" w:line="312" w:lineRule="auto"/>
        <w:rPr>
          <w:szCs w:val="20"/>
        </w:rPr>
      </w:pPr>
      <w:r w:rsidRPr="00E00B35">
        <w:rPr>
          <w:rFonts w:cs="Verdana"/>
          <w:b/>
          <w:bCs/>
          <w:color w:val="00000A"/>
          <w:szCs w:val="20"/>
        </w:rPr>
        <w:t>POZOSTAŁE DZIAŁANIA URZĘDU W DOBIE PANDEMII</w:t>
      </w:r>
    </w:p>
    <w:p w:rsidR="00E96768" w:rsidRPr="00E00B35" w:rsidRDefault="00E96768" w:rsidP="00E00B35">
      <w:pPr>
        <w:spacing w:after="0" w:line="312" w:lineRule="auto"/>
        <w:rPr>
          <w:szCs w:val="20"/>
        </w:rPr>
      </w:pPr>
      <w:r w:rsidRPr="00E00B35">
        <w:rPr>
          <w:rFonts w:eastAsia="Lucida Sans Unicode" w:cs="Verdana"/>
          <w:bCs/>
          <w:color w:val="00000A"/>
          <w:szCs w:val="20"/>
          <w:shd w:val="clear" w:color="auto" w:fill="FFFFFF"/>
        </w:rPr>
        <w:t>W 2020 roku zawarte zostało porozumienie pomiędzy Powiatowym Urzędem Pracy we Wrocławiu a Miejskim Ośrodkiem Pomocy Społecznej we Wrocławiu w zakresie realizacji Programu Aktywizacja i Integracja. Z uwagi na zaistniałą sytuację epidemiologiczną w kraju nie było możliwości zrealizowania założeń opisanych w porozumieniu.</w:t>
      </w:r>
    </w:p>
    <w:p w:rsidR="00E96768" w:rsidRPr="00E00B35" w:rsidRDefault="00E96768" w:rsidP="00E00B35">
      <w:pPr>
        <w:spacing w:after="0" w:line="312" w:lineRule="auto"/>
        <w:rPr>
          <w:szCs w:val="20"/>
        </w:rPr>
      </w:pPr>
      <w:r w:rsidRPr="00E00B35">
        <w:rPr>
          <w:rFonts w:cs="Verdana"/>
          <w:color w:val="00000A"/>
          <w:szCs w:val="20"/>
        </w:rPr>
        <w:t>Ze względu na pandemię i obostrzenia dotyczące organizacji spotkań grupowych, nie doszło do planowanej przez</w:t>
      </w:r>
      <w:r w:rsidRPr="00E00B35">
        <w:rPr>
          <w:rFonts w:cs="Verdana"/>
          <w:b/>
          <w:szCs w:val="20"/>
        </w:rPr>
        <w:t xml:space="preserve"> </w:t>
      </w:r>
      <w:r w:rsidRPr="00E00B35">
        <w:rPr>
          <w:rFonts w:cs="Verdana"/>
          <w:szCs w:val="20"/>
        </w:rPr>
        <w:t>Centrum Aktywizacji Zawodowej Powiatowego Urzędu Pracy we Wrocławiu we współpracy z Zachodnią Izbą Gospodarczą – Pracodawcy i Przedsiębiorcy organizacji Targów Pracy.</w:t>
      </w:r>
    </w:p>
    <w:p w:rsidR="00E96768" w:rsidRPr="00E00B35" w:rsidRDefault="00E96768" w:rsidP="00E00B35">
      <w:pPr>
        <w:spacing w:after="0" w:line="312" w:lineRule="auto"/>
        <w:rPr>
          <w:szCs w:val="20"/>
        </w:rPr>
      </w:pPr>
      <w:r w:rsidRPr="00E00B35">
        <w:rPr>
          <w:rFonts w:cs="Verdana"/>
          <w:szCs w:val="20"/>
        </w:rPr>
        <w:t xml:space="preserve">Ponadto promocja oferta Urzędu Pracy była realizowana w sposób szczególny, ograniczając się głównie do formy zdalnej, elektronicznej i telefonicznej, z pominięciem organizacji spotkań grupowych i indywidualnych. W największym wymiarze Urząd Pracy prowadził działania związane z promocją form wsparcia przedsiębiorców w ramach tzw. </w:t>
      </w:r>
      <w:r w:rsidRPr="00E00B35">
        <w:rPr>
          <w:rFonts w:cs="Verdana"/>
          <w:b/>
          <w:szCs w:val="20"/>
        </w:rPr>
        <w:t>Tarczy Antykryzysowej</w:t>
      </w:r>
      <w:r w:rsidRPr="00E00B35">
        <w:rPr>
          <w:rFonts w:cs="Verdana"/>
          <w:szCs w:val="20"/>
        </w:rPr>
        <w:t xml:space="preserve">. Z wykorzystaniem strony internetowej Urzędu, poczty elektronicznej, infolinii, newsletter’a oraz we współpracy z Urzędem Miasta Wrocławia, samorządami terytorialnymi i gospodarczymi i innymi partnerami z otoczenia biznesu, z którymi Urząd stale współpracuje, opracowywano i upowszechniano informacje o prowadzonych naborach wniosków, dostępnych formach wsparcia, zasadach udzielania pomocy, potencjalnych kwestiach problemowych związanych z formami pomocy i innych </w:t>
      </w:r>
      <w:r w:rsidRPr="00E00B35">
        <w:rPr>
          <w:rFonts w:cs="Verdana"/>
          <w:szCs w:val="20"/>
        </w:rPr>
        <w:lastRenderedPageBreak/>
        <w:t>istotnych kwestiach dotyczących Tarczy. Przeszkolono pracowników Teleinformatycznego Centrum Obsługi Mieszkańca oraz Centrum Wsparcia Przedsiębiorców Urzędu Miejskiego w zakresie dostępnych form pomocy dla przedsiębiorców, dzięki czemu ww. komórki Urzędu Miejskiego wspierały Urząd Pracy w udzielaniu informacji telefonicznej o Tarczy Antykryzysowej.</w:t>
      </w:r>
    </w:p>
    <w:p w:rsidR="00E96768" w:rsidRPr="00E00B35" w:rsidRDefault="00E96768" w:rsidP="00E00B35">
      <w:pPr>
        <w:spacing w:after="0" w:line="312" w:lineRule="auto"/>
        <w:rPr>
          <w:szCs w:val="20"/>
        </w:rPr>
      </w:pPr>
      <w:r w:rsidRPr="00E00B35">
        <w:rPr>
          <w:rFonts w:eastAsia="Lucida Sans Unicode" w:cs="Verdana"/>
          <w:bCs/>
          <w:szCs w:val="20"/>
          <w:shd w:val="clear" w:color="auto" w:fill="FFFFFF"/>
        </w:rPr>
        <w:t>Urząd zakupił środki ochrony indywidualnej m. in. maseczki, przyłbice, rękawice oraz płyny antybakteryjne, a także zainstalował osłony pleksi na stanowiskach obsługi w otwartym systemie obsługi klienta. Dokonano jednorazowej akcji odkażania budynków Urzędu. Łączne wydatki w tym zakresie to 76 700,88 zł.</w:t>
      </w:r>
    </w:p>
    <w:p w:rsidR="00E96768" w:rsidRPr="00E00B35" w:rsidRDefault="00E96768" w:rsidP="00E00B35">
      <w:pPr>
        <w:spacing w:after="0" w:line="312" w:lineRule="auto"/>
        <w:rPr>
          <w:rFonts w:cs="Verdana"/>
          <w:szCs w:val="20"/>
        </w:rPr>
      </w:pPr>
    </w:p>
    <w:p w:rsidR="00E96768" w:rsidRPr="00E00B35" w:rsidRDefault="00E96768" w:rsidP="00E00B35">
      <w:pPr>
        <w:spacing w:after="0" w:line="312" w:lineRule="auto"/>
        <w:rPr>
          <w:rFonts w:cs="Verdana"/>
          <w:b/>
          <w:bCs/>
          <w:color w:val="00000A"/>
          <w:szCs w:val="20"/>
        </w:rPr>
      </w:pPr>
      <w:r w:rsidRPr="00E00B35">
        <w:rPr>
          <w:rFonts w:cs="Verdana"/>
          <w:b/>
          <w:bCs/>
          <w:color w:val="00000A"/>
          <w:szCs w:val="20"/>
        </w:rPr>
        <w:t>PRACE SPOŁECZNIE UŻYTECZNE</w:t>
      </w:r>
    </w:p>
    <w:p w:rsidR="00E96768" w:rsidRPr="00E00B35" w:rsidRDefault="00E96768" w:rsidP="00E00B35">
      <w:pPr>
        <w:spacing w:after="0" w:line="312" w:lineRule="auto"/>
        <w:rPr>
          <w:szCs w:val="20"/>
        </w:rPr>
      </w:pPr>
      <w:r w:rsidRPr="00E00B35">
        <w:rPr>
          <w:rFonts w:eastAsia="Verdana" w:cs="Verdana"/>
          <w:bCs/>
          <w:color w:val="00000A"/>
          <w:szCs w:val="20"/>
        </w:rPr>
        <w:t>Programem zostały objęte osoby bezrobotne bez prawa do zasiłku korzystające ze świadczeń pomocy społecznej oraz osoby uczestniczące w kontrakcie socjalnym, indywidualnym programie usamodzielnienia, lokalnym programie pomocy społecznej lub indywidualnym programie zatrudnienia socjalnego, jeżeli podjęły uczestnictwo w tych formach w wyniku skierowania urzędu pracy. Prace</w:t>
      </w:r>
      <w:r w:rsidRPr="00E00B35">
        <w:rPr>
          <w:rFonts w:eastAsia="Verdana" w:cs="Verdana"/>
          <w:b/>
          <w:bCs/>
          <w:color w:val="00000A"/>
          <w:szCs w:val="20"/>
        </w:rPr>
        <w:t xml:space="preserve"> </w:t>
      </w:r>
      <w:r w:rsidRPr="00E00B35">
        <w:rPr>
          <w:rFonts w:eastAsia="Verdana" w:cs="Verdana"/>
          <w:bCs/>
          <w:color w:val="00000A"/>
          <w:szCs w:val="20"/>
        </w:rPr>
        <w:t>społecznie użyteczne zorganizowano we współpracy z Miejskim Ośrodkiem Pomocy Społecznej we Wrocławiu oraz w wyniku podpisanego porozumienia z gminą Czernica.</w:t>
      </w:r>
      <w:r w:rsidRPr="00E00B35">
        <w:rPr>
          <w:rFonts w:eastAsia="Verdana" w:cs="Verdana"/>
          <w:color w:val="00000A"/>
          <w:szCs w:val="20"/>
        </w:rPr>
        <w:t xml:space="preserve"> </w:t>
      </w:r>
    </w:p>
    <w:p w:rsidR="00E96768" w:rsidRPr="00E00B35" w:rsidRDefault="00E96768" w:rsidP="00E00B35">
      <w:pPr>
        <w:spacing w:after="0" w:line="312" w:lineRule="auto"/>
        <w:rPr>
          <w:rFonts w:eastAsia="Verdana" w:cs="Verdana"/>
          <w:color w:val="00000A"/>
          <w:szCs w:val="20"/>
          <w:shd w:val="clear" w:color="auto" w:fill="FFFF00"/>
        </w:rPr>
      </w:pPr>
    </w:p>
    <w:p w:rsidR="00E96768" w:rsidRPr="00E00B35" w:rsidRDefault="00E96768" w:rsidP="00E00B35">
      <w:pPr>
        <w:pStyle w:val="Textbody"/>
        <w:spacing w:after="0" w:line="312" w:lineRule="auto"/>
        <w:ind w:left="17" w:hanging="17"/>
        <w:jc w:val="left"/>
        <w:rPr>
          <w:szCs w:val="20"/>
        </w:rPr>
      </w:pPr>
      <w:r w:rsidRPr="00E00B35">
        <w:rPr>
          <w:rFonts w:eastAsia="Lucida Sans Unicode" w:cs="Verdana"/>
          <w:szCs w:val="20"/>
          <w:shd w:val="clear" w:color="auto" w:fill="FFFFFF"/>
        </w:rPr>
        <w:t>PROMOCJA OFERTY POWIATOWEGO URZĘDU PRACY WE WROCŁAWIU</w:t>
      </w:r>
    </w:p>
    <w:p w:rsidR="00E96768" w:rsidRPr="00E00B35" w:rsidRDefault="00E96768" w:rsidP="00E00B35">
      <w:pPr>
        <w:spacing w:after="0" w:line="312" w:lineRule="auto"/>
        <w:rPr>
          <w:szCs w:val="20"/>
        </w:rPr>
      </w:pPr>
      <w:r w:rsidRPr="00E00B35">
        <w:rPr>
          <w:rFonts w:cs="Verdana"/>
          <w:szCs w:val="20"/>
        </w:rPr>
        <w:t xml:space="preserve">Od początku 2020 roku podejmowano również coroczne działania w celu rozpowszechnienia informacji na temat środków na aktywizację osób bezrobotnych, którymi dysponuje </w:t>
      </w:r>
      <w:r w:rsidRPr="00E00B35">
        <w:rPr>
          <w:rFonts w:cs="Verdana"/>
          <w:szCs w:val="20"/>
        </w:rPr>
        <w:br/>
        <w:t xml:space="preserve">w ramach projektów realizowanych w programach PO WER oraz RPO Województwa Dolnośląskiego 2014-2020, ze szczególnym uwzględnieniem promocji programu staży. </w:t>
      </w:r>
      <w:r w:rsidRPr="00E00B35">
        <w:rPr>
          <w:rFonts w:cs="Verdana"/>
          <w:szCs w:val="20"/>
        </w:rPr>
        <w:br/>
        <w:t>W tym celu do Wójtów i Burmistrzów wszystkich gmin Powiatu Wrocławskiego, Przewodniczących wszystkich samorządów gospodarczych z terenu Wrocławia i Powiatu Wrocławskiego, wysłano pisma zawierające informacje na temat programu staży oraz prośbę o ich upowszechnienie wśród, mieszkańców, pracodawców oraz osób poszukujących pracy. W dniach 7 i 24 stycznia oraz 20 marca 2020 roku organizowano spotkania informacyjno-konsultacyjne dla pracodawców oraz osób bezrobotnych na temat wparcia w tworzeniu miejsc pracy dla osób bezrobotnych.</w:t>
      </w:r>
    </w:p>
    <w:p w:rsidR="00E96768" w:rsidRPr="00E00B35" w:rsidRDefault="00E96768" w:rsidP="00E00B35">
      <w:pPr>
        <w:spacing w:after="0" w:line="312" w:lineRule="auto"/>
        <w:rPr>
          <w:szCs w:val="20"/>
        </w:rPr>
      </w:pPr>
      <w:r w:rsidRPr="00E00B35">
        <w:rPr>
          <w:rFonts w:cs="Verdana"/>
          <w:szCs w:val="20"/>
        </w:rPr>
        <w:t xml:space="preserve">Na stronie internetowej wroclaw.praca.gov.pl, www.facebook.com/pupwroclaw/ oraz </w:t>
      </w:r>
      <w:r w:rsidRPr="00E00B35">
        <w:rPr>
          <w:rFonts w:cs="Verdana"/>
          <w:szCs w:val="20"/>
        </w:rPr>
        <w:br/>
        <w:t xml:space="preserve">w newsletterze umieszczono stałą informację promocyjną. Wykorzystano także tablice informacyjne na terenie Urzędu (plakaty, ulotki) oraz elektroniczny system wizualizacji na korytarzach w budynkach Urzędu. Ponadto wyżej wymienione informacje były udostępniane na stronach internetowych biur karier wrocławskich uczelni, m. in.: Akademii Wychowania Fizycznego, Dolnośląskiej Szkoły Wyższej, Wyższej Szkoły Handlowej, Uniwersytetu Ekonomicznego, Wyższej Szkoły Informatyki Stosowanej Horyzont i Wyższej Szkoły Psychologii Społecznej, a w ramach kontaktów z mediami, informacji udzielano stacjom telewizyjnym i radiowy oraz lokalnym gazetom. W ramach bezpośrednich kontaktów z przedstawicielami urzędów gmin w Powiecie Wrocławskim dostarczano plakaty, ulotki dotyczące staży w celu rozpowszechnienia ich na terenie </w:t>
      </w:r>
      <w:r w:rsidRPr="00E00B35">
        <w:rPr>
          <w:rFonts w:cs="Verdana"/>
          <w:szCs w:val="20"/>
        </w:rPr>
        <w:lastRenderedPageBreak/>
        <w:t>urzędów gmin oraz na i stronach internetowych. Doradcy klienta informowali, w ramach bezpośrednich spotkań oraz za pośrednictwem rozmów telefonicznych pracodawców oraz potencjalnych stażystów o stażach. W ramach tzw. marketingu szeptanego każdy pracodawca, z którym pośrednik przeprowadzał rozmowę na temat staży proszony był o przekazywanie informacji o projekcie stażowym zaprzyjaźnionym firmom.</w:t>
      </w:r>
    </w:p>
    <w:p w:rsidR="005B50AD" w:rsidRPr="00E00B35" w:rsidRDefault="005B50AD" w:rsidP="00E00B35">
      <w:pPr>
        <w:pStyle w:val="Textbody"/>
        <w:spacing w:after="0" w:line="312" w:lineRule="auto"/>
        <w:ind w:left="17" w:hanging="17"/>
        <w:jc w:val="left"/>
        <w:rPr>
          <w:rFonts w:cs="Verdana"/>
          <w:szCs w:val="20"/>
        </w:rPr>
      </w:pPr>
    </w:p>
    <w:p w:rsidR="00E96768" w:rsidRPr="00E00B35" w:rsidRDefault="00E96768" w:rsidP="00E00B35">
      <w:pPr>
        <w:pStyle w:val="Textbody"/>
        <w:spacing w:after="0" w:line="312" w:lineRule="auto"/>
        <w:ind w:left="17" w:hanging="17"/>
        <w:jc w:val="left"/>
        <w:rPr>
          <w:szCs w:val="20"/>
        </w:rPr>
      </w:pPr>
      <w:r w:rsidRPr="00E00B35">
        <w:rPr>
          <w:rFonts w:cs="Verdana"/>
          <w:szCs w:val="20"/>
        </w:rPr>
        <w:t>WSPÓŁPRACA Z SAMORZĄDAMI GOSPODARCZYMI</w:t>
      </w:r>
    </w:p>
    <w:p w:rsidR="00E96768" w:rsidRPr="00E00B35" w:rsidRDefault="00E96768" w:rsidP="00E00B35">
      <w:pPr>
        <w:spacing w:after="0" w:line="312" w:lineRule="auto"/>
        <w:rPr>
          <w:szCs w:val="20"/>
        </w:rPr>
      </w:pPr>
      <w:r w:rsidRPr="00E00B35">
        <w:rPr>
          <w:rFonts w:cs="Verdana"/>
          <w:szCs w:val="20"/>
        </w:rPr>
        <w:t>Powiatowy Urząd Pracy we Wrocławiu, w ramach współpracy z samorządami gospodarczymi z terenu Wrocławia i Powiatu Wrocławskiego, podejmował wspólne działania na rzecz promocji zatrudnienia i aktywizacji zawodowej osób bezrobotnych, jak też podkreślania wagi rozwoju przedsiębiorczości.</w:t>
      </w:r>
    </w:p>
    <w:p w:rsidR="00E96768" w:rsidRPr="00E00B35" w:rsidRDefault="00E96768" w:rsidP="00E00B35">
      <w:pPr>
        <w:spacing w:after="0" w:line="312" w:lineRule="auto"/>
        <w:rPr>
          <w:szCs w:val="20"/>
        </w:rPr>
      </w:pPr>
      <w:r w:rsidRPr="00E00B35">
        <w:rPr>
          <w:rFonts w:cs="Verdana"/>
          <w:szCs w:val="20"/>
        </w:rPr>
        <w:t>Kontynuowano współpracę ze wszystkimi samorządami gospodarczymi, z którymi w </w:t>
      </w:r>
      <w:r w:rsidRPr="00E00B35">
        <w:rPr>
          <w:rFonts w:cs="Verdana"/>
          <w:szCs w:val="20"/>
        </w:rPr>
        <w:br/>
        <w:t>2014 roku podpisano porozumienia tworzącego instytucję Partnerstwa Lokalnego na rzecz rynku pracy, w szczególności w zakresie upowszechnienia wśród pracodawców informacji o ofercie Urzędu, prowadzonych naborach wniosków i innych istotnych działaniach, związanych z realizacja projektów w ramach Programu Operacyjnego Wiedza Edukacja Rozwój 2014-2020, Regionalnego Programu Województwa Dolnośląskiego 2014 -2020 oraz zadań Urzędu Pracy finansowanych z Funduszu Pracy i Krajowego Funduszu Szkoleniowego.</w:t>
      </w:r>
    </w:p>
    <w:p w:rsidR="00E96768" w:rsidRPr="00E00B35" w:rsidRDefault="00E96768" w:rsidP="00E00B35">
      <w:pPr>
        <w:spacing w:after="0" w:line="312" w:lineRule="auto"/>
        <w:rPr>
          <w:rFonts w:cs="Verdana"/>
          <w:szCs w:val="20"/>
        </w:rPr>
      </w:pPr>
      <w:r w:rsidRPr="00E00B35">
        <w:rPr>
          <w:rFonts w:cs="Verdana"/>
          <w:szCs w:val="20"/>
        </w:rPr>
        <w:t>Ponadto, w dniu</w:t>
      </w:r>
      <w:r w:rsidRPr="00E00B35">
        <w:rPr>
          <w:rFonts w:cs="Verdana"/>
          <w:b/>
          <w:szCs w:val="20"/>
        </w:rPr>
        <w:t xml:space="preserve"> </w:t>
      </w:r>
      <w:r w:rsidRPr="00E00B35">
        <w:rPr>
          <w:rFonts w:cs="Verdana"/>
          <w:szCs w:val="20"/>
        </w:rPr>
        <w:t>31 stycznia 2020 roku zorganizowano spotkanie pracowników Urzędu Pracy z przedstawicielami działających na terenie Wrocławia i Powiatu Wrocławskiego samorządów gospodarczych; w programie spotkania znalazło się omówienie takich zagadnień jak Krajowy Fundusz Szkoleniowy (podsumowanie realizacji w 2019 roku oraz wysokość i priorytety wydatkowania środków na 2020 rok) oraz oferta Urzędu dla pracodawców i przedsiębiorców, w tym informacja na temat wysokości środków na aktywizację zawodową na 2020 rok.</w:t>
      </w:r>
    </w:p>
    <w:p w:rsidR="00E96768" w:rsidRPr="00E00B35" w:rsidRDefault="00E96768" w:rsidP="00E00B35">
      <w:pPr>
        <w:spacing w:after="0" w:line="312" w:lineRule="auto"/>
        <w:rPr>
          <w:szCs w:val="20"/>
        </w:rPr>
      </w:pPr>
    </w:p>
    <w:p w:rsidR="00E96768" w:rsidRPr="00E00B35" w:rsidRDefault="00E96768" w:rsidP="00E00B35">
      <w:pPr>
        <w:pStyle w:val="TableContents"/>
        <w:spacing w:line="312" w:lineRule="auto"/>
        <w:rPr>
          <w:rFonts w:ascii="Verdana" w:hAnsi="Verdana"/>
          <w:sz w:val="20"/>
          <w:szCs w:val="20"/>
        </w:rPr>
      </w:pPr>
      <w:r w:rsidRPr="00E00B35">
        <w:rPr>
          <w:rFonts w:ascii="Verdana" w:hAnsi="Verdana" w:cs="Verdana"/>
          <w:b/>
          <w:bCs/>
          <w:sz w:val="20"/>
          <w:szCs w:val="20"/>
        </w:rPr>
        <w:t>WSPÓŁPRACA Z PARTNERAMI ZEWNĘTRZNYMI</w:t>
      </w:r>
    </w:p>
    <w:p w:rsidR="00E96768" w:rsidRPr="00E00B35" w:rsidRDefault="00E96768" w:rsidP="00E00B35">
      <w:pPr>
        <w:pStyle w:val="Standard"/>
        <w:spacing w:after="0" w:line="312" w:lineRule="auto"/>
        <w:rPr>
          <w:rFonts w:ascii="Verdana" w:hAnsi="Verdana"/>
          <w:sz w:val="20"/>
          <w:szCs w:val="20"/>
        </w:rPr>
      </w:pPr>
      <w:r w:rsidRPr="00E00B35">
        <w:rPr>
          <w:rFonts w:ascii="Verdana" w:eastAsia="NimbusSanL-Regu" w:hAnsi="Verdana" w:cs="Verdana"/>
          <w:sz w:val="20"/>
          <w:szCs w:val="20"/>
          <w:shd w:val="clear" w:color="auto" w:fill="FFFFFF"/>
        </w:rPr>
        <w:t xml:space="preserve">W 2020 roku Urząd współpracował m. in. z następującymi parterami zewnętrznymi: Agencją Rozwoju Aglomeracji Wrocławskiej, </w:t>
      </w:r>
      <w:r w:rsidRPr="00E00B35">
        <w:rPr>
          <w:rFonts w:ascii="Verdana" w:hAnsi="Verdana" w:cs="Verdana"/>
          <w:sz w:val="20"/>
          <w:szCs w:val="20"/>
          <w:shd w:val="clear" w:color="auto" w:fill="FFFFFF"/>
        </w:rPr>
        <w:t xml:space="preserve">samorządami gospodarczymi z terenu Wrocławia i Powiatu Wrocławskiego, Dolnośląską Agencją Współpracy Gospodarczej, </w:t>
      </w:r>
      <w:r w:rsidRPr="00E00B35">
        <w:rPr>
          <w:rFonts w:ascii="Verdana" w:eastAsia="NimbusSanL-Regu" w:hAnsi="Verdana" w:cs="Verdana"/>
          <w:sz w:val="20"/>
          <w:szCs w:val="20"/>
          <w:shd w:val="clear" w:color="auto" w:fill="FFFFFF"/>
        </w:rPr>
        <w:t xml:space="preserve">Starostwem Powiatu Wrocławskiego, </w:t>
      </w:r>
      <w:r w:rsidRPr="00E00B35">
        <w:rPr>
          <w:rFonts w:ascii="Verdana" w:eastAsia="NimbusSanL-Regu" w:hAnsi="Verdana" w:cs="Verdana"/>
          <w:color w:val="000000"/>
          <w:sz w:val="20"/>
          <w:szCs w:val="20"/>
          <w:shd w:val="clear" w:color="auto" w:fill="FFFFFF"/>
        </w:rPr>
        <w:t>g</w:t>
      </w:r>
      <w:r w:rsidRPr="00E00B35">
        <w:rPr>
          <w:rFonts w:ascii="Verdana" w:eastAsia="NimbusSanL-Regu" w:hAnsi="Verdana" w:cs="Verdana"/>
          <w:sz w:val="20"/>
          <w:szCs w:val="20"/>
          <w:shd w:val="clear" w:color="auto" w:fill="FFFFFF"/>
        </w:rPr>
        <w:t xml:space="preserve">minami z terenu Powiatu </w:t>
      </w:r>
      <w:r w:rsidRPr="00E00B35">
        <w:rPr>
          <w:rFonts w:ascii="Verdana" w:eastAsia="NimbusSanL-Regu" w:hAnsi="Verdana" w:cs="Verdana"/>
          <w:color w:val="000000"/>
          <w:sz w:val="20"/>
          <w:szCs w:val="20"/>
          <w:shd w:val="clear" w:color="auto" w:fill="FFFFFF"/>
        </w:rPr>
        <w:t>W</w:t>
      </w:r>
      <w:r w:rsidRPr="00E00B35">
        <w:rPr>
          <w:rFonts w:ascii="Verdana" w:eastAsia="NimbusSanL-Regu" w:hAnsi="Verdana" w:cs="Verdana"/>
          <w:sz w:val="20"/>
          <w:szCs w:val="20"/>
          <w:shd w:val="clear" w:color="auto" w:fill="FFFFFF"/>
        </w:rPr>
        <w:t>rocławskiego, Urzędem Marszałkowskim Województwa Dolnośląskiego, Zakładem Ubezpieczeń Społecznych, oddział we Wrocławiu, Polską Organizacją Pracodawców Osób Niepełnosprawnych, Wojewódzką Komendą Uzupełnień we Wrocławiu, Państwową Inspekcją Pracy</w:t>
      </w:r>
      <w:r w:rsidRPr="00E00B35">
        <w:rPr>
          <w:rFonts w:ascii="Verdana" w:hAnsi="Verdana" w:cs="Verdana"/>
          <w:sz w:val="20"/>
          <w:szCs w:val="20"/>
        </w:rPr>
        <w:t xml:space="preserve"> / </w:t>
      </w:r>
      <w:r w:rsidRPr="00E00B35">
        <w:rPr>
          <w:rFonts w:ascii="Verdana" w:eastAsia="NimbusSanL-Regu" w:hAnsi="Verdana" w:cs="Verdana"/>
          <w:sz w:val="20"/>
          <w:szCs w:val="20"/>
          <w:shd w:val="clear" w:color="auto" w:fill="FFFFFF"/>
        </w:rPr>
        <w:t>Okręgowym Inspektoratem Pracy we Wrocławiu, Centrum Informacji i Planowania Kariery Zawodowej DWUP, Nadodrzańskim Oddziałem Straży Granicznej, Dolnośląską Izbą Rzemieślniczą, Dolnośląskim Ośrodkiem Doradztwa Rolniczego, Fundacją Ukraina, uczelniami wyższymi oraz szkołami ponad</w:t>
      </w:r>
      <w:r w:rsidRPr="00E00B35">
        <w:rPr>
          <w:rFonts w:ascii="Verdana" w:eastAsia="NimbusSanL-Regu" w:hAnsi="Verdana" w:cs="Verdana"/>
          <w:color w:val="000000"/>
          <w:sz w:val="20"/>
          <w:szCs w:val="20"/>
          <w:shd w:val="clear" w:color="auto" w:fill="FFFFFF"/>
        </w:rPr>
        <w:t>podstawowymi</w:t>
      </w:r>
      <w:r w:rsidRPr="00E00B35">
        <w:rPr>
          <w:rFonts w:ascii="Verdana" w:eastAsia="NimbusSanL-Regu" w:hAnsi="Verdana" w:cs="Verdana"/>
          <w:sz w:val="20"/>
          <w:szCs w:val="20"/>
          <w:shd w:val="clear" w:color="auto" w:fill="FFFFFF"/>
        </w:rPr>
        <w:t xml:space="preserve"> z terenu Wrocławia i powiatu</w:t>
      </w:r>
      <w:r w:rsidRPr="00E00B35">
        <w:rPr>
          <w:rFonts w:ascii="Verdana" w:eastAsia="NimbusSanL-Regu" w:hAnsi="Verdana" w:cs="Verdana"/>
          <w:sz w:val="20"/>
          <w:szCs w:val="20"/>
        </w:rPr>
        <w:t xml:space="preserve">, </w:t>
      </w:r>
      <w:r w:rsidRPr="00E00B35">
        <w:rPr>
          <w:rFonts w:ascii="Verdana" w:eastAsia="Lucida Sans Unicode" w:hAnsi="Verdana" w:cs="Verdana"/>
          <w:sz w:val="20"/>
          <w:szCs w:val="20"/>
        </w:rPr>
        <w:t>mediami o zasięgu lokalnym i regionalnym.</w:t>
      </w:r>
    </w:p>
    <w:p w:rsidR="00E96768" w:rsidRPr="00E00B35" w:rsidRDefault="00E96768" w:rsidP="00E00B35">
      <w:pPr>
        <w:pStyle w:val="Standard"/>
        <w:spacing w:after="0" w:line="312" w:lineRule="auto"/>
        <w:rPr>
          <w:rFonts w:ascii="Verdana" w:hAnsi="Verdana" w:cs="Verdana"/>
          <w:sz w:val="20"/>
          <w:szCs w:val="20"/>
          <w:shd w:val="clear" w:color="auto" w:fill="FFFF00"/>
        </w:rPr>
      </w:pPr>
    </w:p>
    <w:p w:rsidR="00E96768" w:rsidRPr="00E00B35" w:rsidRDefault="00E96768" w:rsidP="00E00B35">
      <w:pPr>
        <w:spacing w:after="0" w:line="312" w:lineRule="auto"/>
        <w:textAlignment w:val="baseline"/>
        <w:rPr>
          <w:szCs w:val="20"/>
        </w:rPr>
      </w:pPr>
      <w:r w:rsidRPr="00E00B35">
        <w:rPr>
          <w:rFonts w:cs="Verdana"/>
          <w:b/>
          <w:bCs/>
          <w:color w:val="00000A"/>
          <w:szCs w:val="20"/>
        </w:rPr>
        <w:t>SPOTKANIA INFORMACYJNO-KONSULTACYJNE</w:t>
      </w:r>
    </w:p>
    <w:p w:rsidR="00E96768" w:rsidRPr="00E00B35" w:rsidRDefault="00E96768" w:rsidP="00E00B35">
      <w:pPr>
        <w:spacing w:after="0" w:line="312" w:lineRule="auto"/>
        <w:rPr>
          <w:szCs w:val="20"/>
        </w:rPr>
      </w:pPr>
      <w:r w:rsidRPr="00E00B35">
        <w:rPr>
          <w:rFonts w:cs="Verdana"/>
          <w:color w:val="00000A"/>
          <w:szCs w:val="20"/>
        </w:rPr>
        <w:lastRenderedPageBreak/>
        <w:t xml:space="preserve">W celu promocji i zwiększenia stanu wiedzy klientów o możliwościach korzystania z instrumentów rynku pracy oraz promowania usług Urzędu doradcy klienta z Centrum Aktywizacji Zawodowej zorganizowali dni informacyjno-konsultacyjne, na które zaproszono osoby bezrobotne oraz pracodawców. </w:t>
      </w:r>
    </w:p>
    <w:p w:rsidR="00E96768" w:rsidRPr="00E00B35" w:rsidRDefault="00E96768" w:rsidP="00E00B35">
      <w:pPr>
        <w:spacing w:after="0" w:line="312" w:lineRule="auto"/>
        <w:rPr>
          <w:szCs w:val="20"/>
        </w:rPr>
      </w:pPr>
      <w:r w:rsidRPr="00E00B35">
        <w:rPr>
          <w:rFonts w:cs="Verdana"/>
          <w:color w:val="00000A"/>
          <w:szCs w:val="20"/>
        </w:rPr>
        <w:t xml:space="preserve">Na spotkaniu dla pracodawców, które odbyło się </w:t>
      </w:r>
      <w:r w:rsidRPr="00E00B35">
        <w:rPr>
          <w:rFonts w:cs="Verdana"/>
          <w:bCs/>
          <w:color w:val="00000A"/>
          <w:szCs w:val="20"/>
        </w:rPr>
        <w:t>17 stycznia 2020</w:t>
      </w:r>
      <w:r w:rsidRPr="00E00B35">
        <w:rPr>
          <w:rFonts w:cs="Verdana"/>
          <w:color w:val="00000A"/>
          <w:szCs w:val="20"/>
        </w:rPr>
        <w:t xml:space="preserve"> roku obecni mogli się dowiedzieć na temat wparcia w tworzeniu miejsc pracy dla osób bezrobotnych oraz uzyskać szczegółowe informacje od pracowników Działu Instrumentów Rynku Pracy oraz pracowników Działu Rozwoju Zawodowego. </w:t>
      </w:r>
    </w:p>
    <w:p w:rsidR="00E96768" w:rsidRPr="00E00B35" w:rsidRDefault="00E96768" w:rsidP="00E00B35">
      <w:pPr>
        <w:spacing w:after="0" w:line="312" w:lineRule="auto"/>
        <w:rPr>
          <w:szCs w:val="20"/>
        </w:rPr>
      </w:pPr>
      <w:r w:rsidRPr="00E00B35">
        <w:rPr>
          <w:rFonts w:cs="Verdana"/>
          <w:color w:val="00000A"/>
          <w:szCs w:val="20"/>
        </w:rPr>
        <w:t>24 stycznia 2020 roku zorganizowano spotkanie informacyjno-konsultacyjne dla osób bezrobotnych, w trakcie którego omówiono ofertę Urzędu w zakresie udziału w stażu, jednorazowej dotacji na rozpoczęcie działalności gospodarczej oraz bonów na zasiedlenie.</w:t>
      </w:r>
    </w:p>
    <w:p w:rsidR="00E96768" w:rsidRPr="00E00B35" w:rsidRDefault="00E96768" w:rsidP="00E00B35">
      <w:pPr>
        <w:spacing w:after="0" w:line="312" w:lineRule="auto"/>
        <w:rPr>
          <w:szCs w:val="20"/>
        </w:rPr>
      </w:pPr>
      <w:r w:rsidRPr="00E00B35">
        <w:rPr>
          <w:rFonts w:cs="Verdana"/>
          <w:color w:val="00000A"/>
          <w:szCs w:val="20"/>
        </w:rPr>
        <w:t xml:space="preserve">Kolejne spotkanie dla pracodawców oraz osób bezrobotnych odbyło się 20 marca </w:t>
      </w:r>
      <w:r w:rsidRPr="00E00B35">
        <w:rPr>
          <w:rFonts w:cs="Verdana"/>
          <w:color w:val="00000A"/>
          <w:szCs w:val="20"/>
        </w:rPr>
        <w:br/>
        <w:t xml:space="preserve">2020 roku i było poświęcone organizacji staży oraz finansowaniu szkoleń dla osób bezrobotnych.  </w:t>
      </w:r>
    </w:p>
    <w:p w:rsidR="00E96768" w:rsidRPr="00E00B35" w:rsidRDefault="00E96768" w:rsidP="00E00B35">
      <w:pPr>
        <w:spacing w:after="0" w:line="312" w:lineRule="auto"/>
        <w:textAlignment w:val="baseline"/>
        <w:rPr>
          <w:szCs w:val="20"/>
        </w:rPr>
      </w:pPr>
      <w:r w:rsidRPr="00E00B35">
        <w:rPr>
          <w:rFonts w:cs="Verdana"/>
          <w:color w:val="00000A"/>
          <w:szCs w:val="20"/>
        </w:rPr>
        <w:t xml:space="preserve">Ponadto mając na względzie stan pandemii związanej z COVID-19 w dniu </w:t>
      </w:r>
      <w:r w:rsidRPr="00E00B35">
        <w:rPr>
          <w:rFonts w:cs="Verdana"/>
          <w:bCs/>
          <w:color w:val="00000A"/>
          <w:szCs w:val="20"/>
        </w:rPr>
        <w:t>10 listopada 2020 roku</w:t>
      </w:r>
      <w:r w:rsidRPr="00E00B35">
        <w:rPr>
          <w:rFonts w:cs="Verdana"/>
          <w:color w:val="00000A"/>
          <w:szCs w:val="20"/>
        </w:rPr>
        <w:t xml:space="preserve"> w ramach  Europejskich Dni Pracodawców pracownicy Działu Instrumentów Rynku Pracy telefonicznie odpowiadali na pytania w zakresie tworzenia </w:t>
      </w:r>
      <w:r w:rsidRPr="00E00B35">
        <w:rPr>
          <w:rFonts w:cs="Verdana"/>
          <w:color w:val="00000A"/>
          <w:szCs w:val="20"/>
        </w:rPr>
        <w:br/>
        <w:t>i współfinansowania nowych miejsc pracy.</w:t>
      </w:r>
    </w:p>
    <w:p w:rsidR="00E96768" w:rsidRPr="00E00B35" w:rsidRDefault="00E96768" w:rsidP="00E00B35">
      <w:pPr>
        <w:spacing w:after="0" w:line="312" w:lineRule="auto"/>
        <w:textAlignment w:val="baseline"/>
        <w:rPr>
          <w:rFonts w:cs="Verdana"/>
          <w:color w:val="00000A"/>
          <w:szCs w:val="20"/>
        </w:rPr>
      </w:pPr>
    </w:p>
    <w:p w:rsidR="00E96768" w:rsidRPr="00E00B35" w:rsidRDefault="00E96768" w:rsidP="00E00B35">
      <w:pPr>
        <w:spacing w:after="0" w:line="312" w:lineRule="auto"/>
        <w:textAlignment w:val="baseline"/>
        <w:rPr>
          <w:rFonts w:cs="Verdana"/>
          <w:b/>
          <w:bCs/>
          <w:color w:val="00000A"/>
          <w:szCs w:val="20"/>
        </w:rPr>
      </w:pPr>
      <w:r w:rsidRPr="00E00B35">
        <w:rPr>
          <w:rFonts w:cs="Verdana"/>
          <w:b/>
          <w:bCs/>
          <w:color w:val="00000A"/>
          <w:szCs w:val="20"/>
        </w:rPr>
        <w:t>INNE DZIAŁANIA</w:t>
      </w:r>
    </w:p>
    <w:p w:rsidR="00E96768" w:rsidRPr="00E00B35" w:rsidRDefault="00E96768" w:rsidP="00E00B35">
      <w:pPr>
        <w:spacing w:after="0" w:line="312" w:lineRule="auto"/>
        <w:textAlignment w:val="baseline"/>
        <w:rPr>
          <w:szCs w:val="20"/>
        </w:rPr>
      </w:pPr>
      <w:r w:rsidRPr="00E00B35">
        <w:rPr>
          <w:rFonts w:eastAsia="NimbusSanL-Bold" w:cs="Verdana"/>
          <w:color w:val="00000A"/>
          <w:szCs w:val="20"/>
        </w:rPr>
        <w:t>W ramach współpracy z partnerami rynku pracy p</w:t>
      </w:r>
      <w:r w:rsidRPr="00E00B35">
        <w:rPr>
          <w:rFonts w:eastAsia="NimbusSanL-Regu" w:cs="Verdana"/>
          <w:color w:val="00000A"/>
          <w:szCs w:val="20"/>
        </w:rPr>
        <w:t>ośrednicy pracy z Działu Pośrednictwa i Poradnictwa uczestniczyli w nastę</w:t>
      </w:r>
      <w:r w:rsidRPr="00E00B35">
        <w:rPr>
          <w:rFonts w:cs="Verdana"/>
          <w:color w:val="00000A"/>
          <w:szCs w:val="20"/>
        </w:rPr>
        <w:t>pujących przedsięwzięciach:</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3 marca – szkoleniu „Aktywizacja zawodowa seniorów” organizowanym przez POLPROM,</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6 marca – szkoleniu „Komunikacja międzykulturowa” organizowanym przez Fundację Ukraina,</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9 marca – Festiwalu Pracy Jobicon,</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10 marca – konferencji „Kariera jest Kobietą” organizowanej przez Dolnośląski Wojewódzki Urząd Pracy,</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8 września – webinarium na temat roli PSZ w zwalczaniu kryzysu rynku pracy wywołanego pandemią koronawirusa organizowanym przez Sieć Europejskich Publicznych Służb Zatrudnienia,</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2 października – badaniu-prognozie na 2020 rok „Barometr Zawodów”,</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29 października – webinarium „Komunikacja międzykulturowa w czasach pandemii” organizowanym przez Fundację Ukraina,</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9-13 listopada – Międzynarodowym Dniu Pracodawców online organizowanym z inicjatywy Europejskich Publicznych Służb Zatrudnienia,</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10 grudnia – konferencji prasowej online z okazji otwarcia Instytutu Praw Migrantów,</w:t>
      </w:r>
    </w:p>
    <w:p w:rsidR="00E96768" w:rsidRPr="00E00B35" w:rsidRDefault="00E96768" w:rsidP="00BC64AB">
      <w:pPr>
        <w:pStyle w:val="Akapitzlist"/>
        <w:numPr>
          <w:ilvl w:val="0"/>
          <w:numId w:val="245"/>
        </w:numPr>
        <w:spacing w:after="0" w:line="312" w:lineRule="auto"/>
        <w:ind w:left="567" w:hanging="567"/>
        <w:rPr>
          <w:bCs/>
          <w:szCs w:val="20"/>
        </w:rPr>
      </w:pPr>
      <w:r w:rsidRPr="00E00B35">
        <w:rPr>
          <w:bCs/>
          <w:szCs w:val="20"/>
        </w:rPr>
        <w:t>16 grudnia – śniadaniu biznesowym online z liderami ManpowerGroup dotyczącym prognoz rynku pracy na 2021 rok,</w:t>
      </w:r>
    </w:p>
    <w:p w:rsidR="00E96768" w:rsidRPr="00E00B35" w:rsidRDefault="00E96768" w:rsidP="00BC64AB">
      <w:pPr>
        <w:pStyle w:val="Akapitzlist"/>
        <w:numPr>
          <w:ilvl w:val="0"/>
          <w:numId w:val="245"/>
        </w:numPr>
        <w:spacing w:after="0" w:line="312" w:lineRule="auto"/>
        <w:ind w:left="567" w:hanging="567"/>
        <w:rPr>
          <w:szCs w:val="20"/>
        </w:rPr>
      </w:pPr>
      <w:r w:rsidRPr="00E00B35">
        <w:rPr>
          <w:bCs/>
          <w:szCs w:val="20"/>
        </w:rPr>
        <w:t>16 grudnia – spotkaniu online podsumowującym produkty i rezultaty projektu MPPC dla urzędów pracy z woj. dolnośląskiego</w:t>
      </w:r>
      <w:r w:rsidRPr="00E00B35">
        <w:rPr>
          <w:rFonts w:cs="Verdana"/>
          <w:szCs w:val="20"/>
        </w:rPr>
        <w:t>, kujawsko-pomorskiego i lubuskiego.</w:t>
      </w:r>
    </w:p>
    <w:p w:rsidR="00E96768" w:rsidRPr="00E00B35" w:rsidRDefault="00E96768" w:rsidP="00E00B35">
      <w:pPr>
        <w:spacing w:after="0" w:line="312" w:lineRule="auto"/>
        <w:rPr>
          <w:rFonts w:eastAsia="NimbusSanL-Bold" w:cs="Verdana"/>
          <w:bCs/>
          <w:color w:val="00000A"/>
          <w:szCs w:val="20"/>
        </w:rPr>
      </w:pPr>
    </w:p>
    <w:p w:rsidR="00E96768" w:rsidRPr="00E00B35" w:rsidRDefault="00E96768" w:rsidP="00E00B35">
      <w:pPr>
        <w:spacing w:after="0" w:line="312" w:lineRule="auto"/>
        <w:rPr>
          <w:rFonts w:eastAsia="NimbusSanL-Bold" w:cs="Verdana"/>
          <w:b/>
          <w:bCs/>
          <w:color w:val="00000A"/>
          <w:szCs w:val="20"/>
        </w:rPr>
      </w:pPr>
      <w:r w:rsidRPr="00E00B35">
        <w:rPr>
          <w:rFonts w:eastAsia="NimbusSanL-Bold" w:cs="Verdana"/>
          <w:b/>
          <w:bCs/>
          <w:color w:val="00000A"/>
          <w:szCs w:val="20"/>
        </w:rPr>
        <w:t>OBSŁUGA FORMALNA KLIENTÓW</w:t>
      </w:r>
    </w:p>
    <w:p w:rsidR="00E96768" w:rsidRPr="00E00B35" w:rsidRDefault="00E96768" w:rsidP="00E00B35">
      <w:pPr>
        <w:pStyle w:val="western"/>
        <w:spacing w:before="0" w:beforeAutospacing="0" w:after="0" w:afterAutospacing="0" w:line="312" w:lineRule="auto"/>
        <w:jc w:val="left"/>
        <w:rPr>
          <w:rFonts w:ascii="Verdana" w:hAnsi="Verdana"/>
          <w:sz w:val="20"/>
          <w:szCs w:val="20"/>
        </w:rPr>
      </w:pPr>
      <w:r w:rsidRPr="00E00B35">
        <w:rPr>
          <w:rFonts w:ascii="Verdana" w:hAnsi="Verdana" w:cs="Verdana"/>
          <w:color w:val="00000A"/>
          <w:sz w:val="20"/>
          <w:szCs w:val="20"/>
        </w:rPr>
        <w:t xml:space="preserve">W 2020 roku wydano </w:t>
      </w:r>
      <w:r w:rsidRPr="00E00B35">
        <w:rPr>
          <w:rFonts w:ascii="Verdana" w:hAnsi="Verdana" w:cs="Verdana"/>
          <w:bCs/>
          <w:color w:val="00000A"/>
          <w:sz w:val="20"/>
          <w:szCs w:val="20"/>
        </w:rPr>
        <w:t xml:space="preserve">35 089 </w:t>
      </w:r>
      <w:r w:rsidRPr="00E00B35">
        <w:rPr>
          <w:rFonts w:ascii="Verdana" w:hAnsi="Verdana" w:cs="Verdana"/>
          <w:color w:val="00000A"/>
          <w:sz w:val="20"/>
          <w:szCs w:val="20"/>
        </w:rPr>
        <w:t xml:space="preserve">decyzji administracyjnych w sprawach związanych ze statusem i uprawnieniami osób, do których zastosowanie miały przepisy ustawy o promocji zatrudnienia i instytucjach rynku pracy i ustawy o rehabilitacji zawodowej i społecznej oraz zatrudnianiu osób niepełnosprawnych oraz </w:t>
      </w:r>
      <w:r w:rsidRPr="00E00B35">
        <w:rPr>
          <w:rFonts w:ascii="Verdana" w:hAnsi="Verdana" w:cs="Verdana"/>
          <w:bCs/>
          <w:color w:val="00000A"/>
          <w:sz w:val="20"/>
          <w:szCs w:val="20"/>
        </w:rPr>
        <w:t>2 950</w:t>
      </w:r>
      <w:r w:rsidRPr="00E00B35">
        <w:rPr>
          <w:rFonts w:ascii="Verdana" w:hAnsi="Verdana" w:cs="Verdana"/>
          <w:color w:val="00000A"/>
          <w:sz w:val="20"/>
          <w:szCs w:val="20"/>
        </w:rPr>
        <w:t xml:space="preserve"> decyzji administracyjnych w sprawach związanych z legalizacją zatrudnienia cudzoziemca.</w:t>
      </w:r>
    </w:p>
    <w:p w:rsidR="00E96768" w:rsidRPr="00E00B35" w:rsidRDefault="00E96768" w:rsidP="00E00B35">
      <w:pPr>
        <w:spacing w:after="0" w:line="312" w:lineRule="auto"/>
        <w:textAlignment w:val="baseline"/>
        <w:rPr>
          <w:szCs w:val="20"/>
        </w:rPr>
      </w:pPr>
      <w:r w:rsidRPr="00E00B35">
        <w:rPr>
          <w:rFonts w:eastAsia="NimbusSanL-Regu" w:cs="Verdana"/>
          <w:color w:val="00000A"/>
          <w:szCs w:val="20"/>
        </w:rPr>
        <w:t xml:space="preserve">Bezrobotnym wydano </w:t>
      </w:r>
      <w:r w:rsidRPr="00E00B35">
        <w:rPr>
          <w:rFonts w:eastAsia="NimbusSanL-Regu" w:cs="Verdana"/>
          <w:bCs/>
          <w:color w:val="00000A"/>
          <w:szCs w:val="20"/>
        </w:rPr>
        <w:t>31 995</w:t>
      </w:r>
      <w:r w:rsidRPr="00E00B35">
        <w:rPr>
          <w:rFonts w:eastAsia="NimbusSanL-Regu" w:cs="Verdana"/>
          <w:color w:val="00000A"/>
          <w:szCs w:val="20"/>
        </w:rPr>
        <w:t xml:space="preserve"> zaświadczeń, </w:t>
      </w:r>
      <w:r w:rsidRPr="00E00B35">
        <w:rPr>
          <w:rFonts w:eastAsia="Verdana" w:cs="Verdana"/>
          <w:szCs w:val="20"/>
        </w:rPr>
        <w:t xml:space="preserve">w tym </w:t>
      </w:r>
      <w:r w:rsidRPr="00E00B35">
        <w:rPr>
          <w:rFonts w:eastAsia="Verdana-Bold" w:cs="Verdana"/>
          <w:szCs w:val="20"/>
        </w:rPr>
        <w:t xml:space="preserve">8 495 </w:t>
      </w:r>
      <w:r w:rsidRPr="00E00B35">
        <w:rPr>
          <w:rFonts w:eastAsia="Verdana" w:cs="Verdana"/>
          <w:szCs w:val="20"/>
        </w:rPr>
        <w:t>w systemie SEPI –</w:t>
      </w:r>
      <w:r w:rsidRPr="00E00B35">
        <w:rPr>
          <w:rFonts w:eastAsia="Verdana" w:cs="Verdana"/>
          <w:color w:val="00000A"/>
          <w:szCs w:val="20"/>
        </w:rPr>
        <w:t xml:space="preserve"> w ramach elektronicznej i bez udziału klienta wymiany danych pomiędzy Urzędem Pracy </w:t>
      </w:r>
      <w:r w:rsidRPr="00E00B35">
        <w:rPr>
          <w:rFonts w:eastAsia="Verdana" w:cs="Verdana"/>
          <w:color w:val="00000A"/>
          <w:szCs w:val="20"/>
        </w:rPr>
        <w:br/>
        <w:t xml:space="preserve">a ośrodkami pomocy społecznej. Pracodawcom ubiegającym się o wydanie zezwolenia na pracę cudzoziemca wydano </w:t>
      </w:r>
      <w:r w:rsidRPr="00E00B35">
        <w:rPr>
          <w:rFonts w:eastAsia="Verdana" w:cs="Verdana"/>
          <w:bCs/>
          <w:color w:val="00000A"/>
          <w:szCs w:val="20"/>
        </w:rPr>
        <w:t>3 224</w:t>
      </w:r>
      <w:r w:rsidRPr="00E00B35">
        <w:rPr>
          <w:rFonts w:eastAsia="Verdana" w:cs="Verdana"/>
          <w:color w:val="00000A"/>
          <w:szCs w:val="20"/>
        </w:rPr>
        <w:t xml:space="preserve"> zaświadczenia.</w:t>
      </w:r>
    </w:p>
    <w:p w:rsidR="00E96768" w:rsidRPr="00E00B35" w:rsidRDefault="00E96768" w:rsidP="00E00B35">
      <w:pPr>
        <w:spacing w:after="0" w:line="312" w:lineRule="auto"/>
        <w:textAlignment w:val="baseline"/>
        <w:rPr>
          <w:szCs w:val="20"/>
        </w:rPr>
      </w:pPr>
      <w:r w:rsidRPr="00E00B35">
        <w:rPr>
          <w:rFonts w:eastAsia="NimbusSanL-Regu" w:cs="Verdana"/>
          <w:color w:val="00000A"/>
          <w:szCs w:val="20"/>
        </w:rPr>
        <w:t xml:space="preserve">Zostało zaskarżonych </w:t>
      </w:r>
      <w:r w:rsidRPr="00E00B35">
        <w:rPr>
          <w:rFonts w:eastAsia="NimbusSanL-Regu" w:cs="Verdana"/>
          <w:bCs/>
          <w:color w:val="00000A"/>
          <w:szCs w:val="20"/>
        </w:rPr>
        <w:t>309</w:t>
      </w:r>
      <w:r w:rsidRPr="00E00B35">
        <w:rPr>
          <w:rFonts w:eastAsia="NimbusSanL-Regu" w:cs="Verdana"/>
          <w:color w:val="00000A"/>
          <w:szCs w:val="20"/>
        </w:rPr>
        <w:t xml:space="preserve"> decyzji, z których </w:t>
      </w:r>
      <w:r w:rsidRPr="00E00B35">
        <w:rPr>
          <w:rFonts w:eastAsia="NimbusSanL-Regu" w:cs="Verdana"/>
          <w:bCs/>
          <w:color w:val="00000A"/>
          <w:szCs w:val="20"/>
        </w:rPr>
        <w:t>182</w:t>
      </w:r>
      <w:r w:rsidRPr="00E00B35">
        <w:rPr>
          <w:rFonts w:eastAsia="NimbusSanL-Regu" w:cs="Verdana"/>
          <w:color w:val="00000A"/>
          <w:szCs w:val="20"/>
        </w:rPr>
        <w:t xml:space="preserve"> przekazano do Wojewody Dolnośląskiego, co stanowi około </w:t>
      </w:r>
      <w:r w:rsidRPr="00E00B35">
        <w:rPr>
          <w:rFonts w:eastAsia="NimbusSanL-Regu" w:cs="Verdana"/>
          <w:bCs/>
          <w:color w:val="00000A"/>
          <w:szCs w:val="20"/>
        </w:rPr>
        <w:t>0,47</w:t>
      </w:r>
      <w:r w:rsidRPr="00E00B35">
        <w:rPr>
          <w:rFonts w:eastAsia="NimbusSanL-Regu" w:cs="Verdana"/>
          <w:szCs w:val="20"/>
        </w:rPr>
        <w:t xml:space="preserve"> </w:t>
      </w:r>
      <w:r w:rsidRPr="00E00B35">
        <w:rPr>
          <w:rFonts w:eastAsia="NimbusSanL-Regu" w:cs="Verdana"/>
          <w:bCs/>
          <w:szCs w:val="20"/>
        </w:rPr>
        <w:t>%</w:t>
      </w:r>
      <w:r w:rsidRPr="00E00B35">
        <w:rPr>
          <w:rFonts w:eastAsia="NimbusSanL-Regu" w:cs="Verdana"/>
          <w:color w:val="00000A"/>
          <w:szCs w:val="20"/>
        </w:rPr>
        <w:t xml:space="preserve"> wydanych decyzji. Nie zaskarżono żadnej decyzji do ministra właściwego ds. pracy oraz do Samorządowego Kolegium </w:t>
      </w:r>
    </w:p>
    <w:p w:rsidR="00E96768" w:rsidRPr="00E00B35" w:rsidRDefault="00E96768" w:rsidP="00E00B35">
      <w:pPr>
        <w:spacing w:after="0" w:line="312" w:lineRule="auto"/>
        <w:textAlignment w:val="baseline"/>
        <w:rPr>
          <w:rFonts w:eastAsia="NimbusSanL-Regu" w:cs="Verdana"/>
          <w:color w:val="00000A"/>
          <w:szCs w:val="20"/>
        </w:rPr>
      </w:pPr>
      <w:r w:rsidRPr="00E00B35">
        <w:rPr>
          <w:rFonts w:eastAsia="NimbusSanL-Regu" w:cs="Verdana"/>
          <w:color w:val="00000A"/>
          <w:szCs w:val="20"/>
        </w:rPr>
        <w:t>W 2020 roku pracownicy Urzędu zarejestrowali 75 212 oświadczeń o powierzeniu wykonywania pracy cudzoziemcowi przyjętych od pracodawców, wydali 5 980 informacji starosty, dotyczących 45 729 miejsc pracy, na temat możliwości zaspokojenia potrzeb kadrowych pracodawcy w oparciu o rejestry bezrobotnych i poszukujących pracy lub o negatywnym wyniku rekrutacji organizowanej dla pracodawcy zgłaszającego zamiar zatrudnienia cudzoziemca.</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b/>
          <w:bCs/>
          <w:szCs w:val="20"/>
        </w:rPr>
      </w:pPr>
      <w:r w:rsidRPr="00E00B35">
        <w:rPr>
          <w:b/>
          <w:szCs w:val="20"/>
        </w:rPr>
        <w:t>ARCHIWUM MIEJSKIE WROCŁAWIA</w:t>
      </w:r>
    </w:p>
    <w:p w:rsidR="00E96768" w:rsidRPr="00E00B35" w:rsidRDefault="00E96768" w:rsidP="00E00B35">
      <w:pPr>
        <w:autoSpaceDE w:val="0"/>
        <w:autoSpaceDN w:val="0"/>
        <w:spacing w:after="0" w:line="312" w:lineRule="auto"/>
        <w:rPr>
          <w:rFonts w:cs="Arial"/>
          <w:b/>
          <w:bCs/>
          <w:szCs w:val="20"/>
        </w:rPr>
      </w:pPr>
      <w:r w:rsidRPr="00E00B35">
        <w:rPr>
          <w:rFonts w:cs="Arial"/>
          <w:b/>
          <w:bCs/>
          <w:szCs w:val="20"/>
        </w:rPr>
        <w:t xml:space="preserve">UWAGI OGÓLNE </w:t>
      </w:r>
    </w:p>
    <w:p w:rsidR="00E96768" w:rsidRPr="00E00B35" w:rsidRDefault="00E96768" w:rsidP="00E00B35">
      <w:pPr>
        <w:pStyle w:val="Tekstpodstawowy"/>
        <w:spacing w:after="0" w:line="312" w:lineRule="auto"/>
        <w:rPr>
          <w:rFonts w:cs="Arial"/>
          <w:szCs w:val="20"/>
        </w:rPr>
      </w:pPr>
      <w:r w:rsidRPr="00E00B35">
        <w:rPr>
          <w:rFonts w:cs="Arial"/>
          <w:szCs w:val="20"/>
        </w:rPr>
        <w:t xml:space="preserve">Archiwum Miejskie Wrocławia zostało powołane uchwałą Rady Miasta nr LXII/408/93 </w:t>
      </w:r>
      <w:r w:rsidRPr="00E00B35">
        <w:rPr>
          <w:rFonts w:cs="Arial"/>
          <w:szCs w:val="20"/>
        </w:rPr>
        <w:br/>
        <w:t xml:space="preserve">z dnia 17 kwietnia 1993 roku w celu przejmowania, przechowywania, zabezpieczania </w:t>
      </w:r>
      <w:r w:rsidRPr="00E00B35">
        <w:rPr>
          <w:rFonts w:cs="Arial"/>
          <w:szCs w:val="20"/>
        </w:rPr>
        <w:br/>
        <w:t>i ewidencjonowania dokumentacji niearchiwalnej ze zlikwidowanych jednostek organizacyjnych Gminy Wrocław oraz pełnienia funkcji archiwum wielozakładowego dla gminnych jednostek organizacyjnych na warunkach i zasadach wynikających z odrębnie zawartych porozumień i umów. W 2018 roku Archiwum rozpoczęło proces digitalizacji zasobu, w celu usprawnienia pracy, ochrony i zabezpieczenia dokumentów.</w:t>
      </w:r>
    </w:p>
    <w:p w:rsidR="00E96768" w:rsidRPr="00E00B35" w:rsidRDefault="00E96768" w:rsidP="00E00B35">
      <w:pPr>
        <w:pStyle w:val="Tekstpodstawowy"/>
        <w:spacing w:after="0" w:line="312" w:lineRule="auto"/>
        <w:rPr>
          <w:rFonts w:cs="Arial"/>
          <w:szCs w:val="20"/>
        </w:rPr>
      </w:pPr>
    </w:p>
    <w:p w:rsidR="00E96768" w:rsidRPr="00E00B35" w:rsidRDefault="00E96768" w:rsidP="00E00B35">
      <w:pPr>
        <w:autoSpaceDE w:val="0"/>
        <w:autoSpaceDN w:val="0"/>
        <w:spacing w:after="0" w:line="312" w:lineRule="auto"/>
        <w:rPr>
          <w:rFonts w:cs="Arial"/>
          <w:b/>
          <w:bCs/>
          <w:szCs w:val="20"/>
        </w:rPr>
      </w:pPr>
      <w:r w:rsidRPr="00E00B35">
        <w:rPr>
          <w:rFonts w:cs="Arial"/>
          <w:b/>
          <w:bCs/>
          <w:szCs w:val="20"/>
        </w:rPr>
        <w:t xml:space="preserve">ZASÓB ARCHIWUM </w:t>
      </w:r>
    </w:p>
    <w:p w:rsidR="00E96768" w:rsidRPr="00E00B35" w:rsidRDefault="00E96768" w:rsidP="00E00B35">
      <w:pPr>
        <w:autoSpaceDE w:val="0"/>
        <w:autoSpaceDN w:val="0"/>
        <w:spacing w:after="0" w:line="312" w:lineRule="auto"/>
        <w:rPr>
          <w:rFonts w:cs="Arial"/>
          <w:szCs w:val="20"/>
        </w:rPr>
      </w:pPr>
      <w:r w:rsidRPr="00E00B35">
        <w:rPr>
          <w:rFonts w:cs="Arial"/>
          <w:szCs w:val="20"/>
        </w:rPr>
        <w:t xml:space="preserve">Archiwum Miejskie Wrocławia przechowuje akta zlikwidowanych jednostek komunalnych </w:t>
      </w:r>
      <w:r w:rsidRPr="00E00B35">
        <w:rPr>
          <w:rFonts w:cs="Arial"/>
          <w:i/>
          <w:iCs/>
          <w:szCs w:val="20"/>
        </w:rPr>
        <w:t>(przedsiębiorstw komunalnych)</w:t>
      </w:r>
      <w:r w:rsidRPr="00E00B35">
        <w:rPr>
          <w:rFonts w:cs="Arial"/>
          <w:szCs w:val="20"/>
        </w:rPr>
        <w:t xml:space="preserve"> i placówek oświatowych </w:t>
      </w:r>
      <w:r w:rsidRPr="00E00B35">
        <w:rPr>
          <w:rFonts w:cs="Arial"/>
          <w:iCs/>
          <w:szCs w:val="20"/>
        </w:rPr>
        <w:t>(m.in. szkoły, przedszkola, zespoły szkolno-wychowawcze, poradnie pedagogiczne, itp.)</w:t>
      </w:r>
      <w:r w:rsidRPr="00E00B35">
        <w:rPr>
          <w:rFonts w:cs="Arial"/>
          <w:szCs w:val="20"/>
        </w:rPr>
        <w:t xml:space="preserve"> oraz istniejących gminnych jednostek organizacyjnych na warunkach i zasadach wynikających z odrębnie zawartych porozumień w łącznej liczbie 406 </w:t>
      </w:r>
      <w:r w:rsidRPr="00E00B35">
        <w:rPr>
          <w:rFonts w:cs="Arial"/>
          <w:iCs/>
          <w:szCs w:val="20"/>
        </w:rPr>
        <w:t>(w tym są też akta jednostek wchłoniętych przez ostatnią likwidowaną instytucję)</w:t>
      </w:r>
      <w:r w:rsidRPr="00E00B35">
        <w:rPr>
          <w:rFonts w:cs="Arial"/>
          <w:szCs w:val="20"/>
        </w:rPr>
        <w:t>, co stanowi</w:t>
      </w:r>
      <w:r w:rsidRPr="00E00B35">
        <w:rPr>
          <w:rFonts w:cs="Arial"/>
          <w:i/>
          <w:iCs/>
          <w:szCs w:val="20"/>
        </w:rPr>
        <w:t xml:space="preserve"> </w:t>
      </w:r>
      <w:r w:rsidRPr="00E00B35">
        <w:rPr>
          <w:rFonts w:cs="Arial"/>
          <w:bCs/>
          <w:szCs w:val="20"/>
        </w:rPr>
        <w:t>ok. 5 393,5 mb</w:t>
      </w:r>
      <w:r w:rsidRPr="00E00B35">
        <w:rPr>
          <w:rFonts w:cs="Arial"/>
          <w:szCs w:val="20"/>
        </w:rPr>
        <w:t xml:space="preserve"> dokumentacji aktowej.</w:t>
      </w:r>
    </w:p>
    <w:p w:rsidR="00E96768" w:rsidRPr="00E00B35" w:rsidRDefault="00E96768" w:rsidP="00E00B35">
      <w:pPr>
        <w:autoSpaceDE w:val="0"/>
        <w:autoSpaceDN w:val="0"/>
        <w:spacing w:after="0" w:line="312" w:lineRule="auto"/>
        <w:rPr>
          <w:rFonts w:cs="Arial"/>
          <w:szCs w:val="20"/>
        </w:rPr>
      </w:pPr>
    </w:p>
    <w:p w:rsidR="00E96768" w:rsidRPr="00E00B35" w:rsidRDefault="00E96768" w:rsidP="00E00B35">
      <w:pPr>
        <w:autoSpaceDE w:val="0"/>
        <w:autoSpaceDN w:val="0"/>
        <w:spacing w:after="0" w:line="312" w:lineRule="auto"/>
        <w:rPr>
          <w:rFonts w:cs="Arial"/>
          <w:b/>
          <w:bCs/>
          <w:szCs w:val="20"/>
        </w:rPr>
      </w:pPr>
      <w:r w:rsidRPr="00E00B35">
        <w:rPr>
          <w:rFonts w:cs="Arial"/>
          <w:b/>
          <w:bCs/>
          <w:szCs w:val="20"/>
        </w:rPr>
        <w:t xml:space="preserve">DZIAŁALNOŚĆ MERYTORYCZNA </w:t>
      </w:r>
    </w:p>
    <w:p w:rsidR="00E96768" w:rsidRPr="00E00B35" w:rsidRDefault="00E96768" w:rsidP="00E00B35">
      <w:pPr>
        <w:autoSpaceDE w:val="0"/>
        <w:autoSpaceDN w:val="0"/>
        <w:spacing w:after="0" w:line="312" w:lineRule="auto"/>
        <w:rPr>
          <w:rFonts w:cs="Arial"/>
          <w:szCs w:val="20"/>
        </w:rPr>
      </w:pPr>
      <w:r w:rsidRPr="00E00B35">
        <w:rPr>
          <w:rFonts w:cs="Arial"/>
          <w:szCs w:val="20"/>
        </w:rPr>
        <w:t xml:space="preserve">Działalność merytoryczna Archiwum Miejskiego skupiona jest przede wszystkim na następujących zadaniach: </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rFonts w:cs="Arial"/>
          <w:szCs w:val="20"/>
        </w:rPr>
        <w:t xml:space="preserve">udostępnianie zasobu </w:t>
      </w:r>
      <w:r w:rsidRPr="00E00B35">
        <w:rPr>
          <w:rFonts w:cs="Verdana"/>
          <w:color w:val="00000A"/>
          <w:szCs w:val="20"/>
        </w:rPr>
        <w:t>archiwalnego</w:t>
      </w:r>
      <w:r w:rsidRPr="00E00B35">
        <w:rPr>
          <w:rFonts w:cs="Arial"/>
          <w:szCs w:val="20"/>
        </w:rPr>
        <w:t xml:space="preserve"> poprzez: </w:t>
      </w:r>
    </w:p>
    <w:p w:rsidR="00E96768" w:rsidRPr="00E00B35" w:rsidRDefault="00E96768" w:rsidP="00BC64AB">
      <w:pPr>
        <w:numPr>
          <w:ilvl w:val="0"/>
          <w:numId w:val="251"/>
        </w:numPr>
        <w:autoSpaceDE w:val="0"/>
        <w:autoSpaceDN w:val="0"/>
        <w:spacing w:after="0" w:line="312" w:lineRule="auto"/>
        <w:ind w:left="993" w:hanging="426"/>
        <w:rPr>
          <w:rFonts w:cs="Arial"/>
          <w:szCs w:val="20"/>
        </w:rPr>
      </w:pPr>
      <w:r w:rsidRPr="00E00B35">
        <w:rPr>
          <w:rFonts w:cs="Arial"/>
          <w:szCs w:val="20"/>
        </w:rPr>
        <w:lastRenderedPageBreak/>
        <w:t xml:space="preserve">wystawianie zaświadczeń do rent, emerytur, kapitału początkowego np. </w:t>
      </w:r>
      <w:r w:rsidRPr="00E00B35">
        <w:rPr>
          <w:rFonts w:cs="Arial"/>
          <w:szCs w:val="20"/>
        </w:rPr>
        <w:br/>
        <w:t xml:space="preserve">o wynagrodzeniu, zatrudnieniu, okresach składkach i nieskładkowych itp., </w:t>
      </w:r>
    </w:p>
    <w:p w:rsidR="00E96768" w:rsidRPr="00E00B35" w:rsidRDefault="00E96768" w:rsidP="00BC64AB">
      <w:pPr>
        <w:numPr>
          <w:ilvl w:val="0"/>
          <w:numId w:val="251"/>
        </w:numPr>
        <w:autoSpaceDE w:val="0"/>
        <w:autoSpaceDN w:val="0"/>
        <w:spacing w:after="0" w:line="312" w:lineRule="auto"/>
        <w:ind w:left="993" w:hanging="426"/>
        <w:rPr>
          <w:rFonts w:cs="Arial"/>
          <w:szCs w:val="20"/>
        </w:rPr>
      </w:pPr>
      <w:r w:rsidRPr="00E00B35">
        <w:rPr>
          <w:rFonts w:cs="Arial"/>
          <w:szCs w:val="20"/>
        </w:rPr>
        <w:t>wydawanie uwierzytelnionych kserokopii przechowywanej dokumentacji,</w:t>
      </w:r>
    </w:p>
    <w:p w:rsidR="00E96768" w:rsidRPr="00E00B35" w:rsidRDefault="00E96768" w:rsidP="00BC64AB">
      <w:pPr>
        <w:numPr>
          <w:ilvl w:val="0"/>
          <w:numId w:val="251"/>
        </w:numPr>
        <w:autoSpaceDE w:val="0"/>
        <w:autoSpaceDN w:val="0"/>
        <w:spacing w:after="0" w:line="312" w:lineRule="auto"/>
        <w:ind w:left="993" w:hanging="426"/>
        <w:rPr>
          <w:rFonts w:cs="Arial"/>
          <w:szCs w:val="20"/>
        </w:rPr>
      </w:pPr>
      <w:r w:rsidRPr="00E00B35">
        <w:rPr>
          <w:rFonts w:cs="Arial"/>
          <w:szCs w:val="20"/>
        </w:rPr>
        <w:t>wypożyczenia dokumentacji do sądów okręgowych i rejonowych,</w:t>
      </w:r>
    </w:p>
    <w:p w:rsidR="00E96768" w:rsidRPr="00E00B35" w:rsidRDefault="00E96768" w:rsidP="00BC64AB">
      <w:pPr>
        <w:numPr>
          <w:ilvl w:val="0"/>
          <w:numId w:val="251"/>
        </w:numPr>
        <w:autoSpaceDE w:val="0"/>
        <w:autoSpaceDN w:val="0"/>
        <w:spacing w:after="0" w:line="312" w:lineRule="auto"/>
        <w:ind w:left="993" w:hanging="426"/>
        <w:rPr>
          <w:rFonts w:cs="Arial"/>
          <w:i/>
          <w:iCs/>
          <w:szCs w:val="20"/>
        </w:rPr>
      </w:pPr>
      <w:r w:rsidRPr="00E00B35">
        <w:rPr>
          <w:rFonts w:cs="Arial"/>
          <w:szCs w:val="20"/>
        </w:rPr>
        <w:t xml:space="preserve">udostępnianie dokumentacji do wglądu w siedzibie archiwum </w:t>
      </w:r>
      <w:r w:rsidRPr="00E00B35">
        <w:rPr>
          <w:rFonts w:cs="Arial"/>
          <w:iCs/>
          <w:szCs w:val="20"/>
        </w:rPr>
        <w:t>(np. pracownikom izby skarbowej i urzędów skarbowych, pracownikom Zarządu Zasobem Komunalnym, itp.),</w:t>
      </w:r>
    </w:p>
    <w:p w:rsidR="00E96768" w:rsidRPr="00E00B35" w:rsidRDefault="00E96768" w:rsidP="00BC64AB">
      <w:pPr>
        <w:numPr>
          <w:ilvl w:val="0"/>
          <w:numId w:val="251"/>
        </w:numPr>
        <w:autoSpaceDE w:val="0"/>
        <w:autoSpaceDN w:val="0"/>
        <w:spacing w:after="0" w:line="312" w:lineRule="auto"/>
        <w:ind w:left="993" w:hanging="426"/>
        <w:rPr>
          <w:rFonts w:cs="Arial"/>
          <w:szCs w:val="20"/>
        </w:rPr>
      </w:pPr>
      <w:r w:rsidRPr="00E00B35">
        <w:rPr>
          <w:rFonts w:cs="Arial"/>
          <w:szCs w:val="20"/>
        </w:rPr>
        <w:t xml:space="preserve">wystawianie innych zaświadczeń; </w:t>
      </w:r>
    </w:p>
    <w:p w:rsidR="00E96768" w:rsidRPr="00E00B35" w:rsidRDefault="00E96768" w:rsidP="00E00B35">
      <w:pPr>
        <w:autoSpaceDE w:val="0"/>
        <w:autoSpaceDN w:val="0"/>
        <w:spacing w:after="0" w:line="312" w:lineRule="auto"/>
        <w:rPr>
          <w:rFonts w:cs="Arial"/>
          <w:szCs w:val="20"/>
        </w:rPr>
      </w:pP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Liczba wydanych dokumentów w latach 2017 – 2020</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2017_ 8 815</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2018 – 8 510</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2019 – 7 009</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2020 – 4 920</w:t>
      </w:r>
    </w:p>
    <w:p w:rsidR="00E96768" w:rsidRPr="00E00B35" w:rsidRDefault="00E96768" w:rsidP="00E00B35">
      <w:pPr>
        <w:autoSpaceDE w:val="0"/>
        <w:autoSpaceDN w:val="0"/>
        <w:spacing w:after="0" w:line="312" w:lineRule="auto"/>
        <w:ind w:left="567"/>
        <w:rPr>
          <w:rFonts w:cs="Arial"/>
          <w:bCs/>
          <w:szCs w:val="20"/>
        </w:rPr>
      </w:pPr>
      <w:r w:rsidRPr="00E00B35">
        <w:rPr>
          <w:rFonts w:cs="Arial"/>
          <w:bCs/>
          <w:szCs w:val="20"/>
        </w:rPr>
        <w:t>Ilość podań wpływających do Archiwum w latach 2017 – 2019</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2017 – 1 836</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2018 – 1 3 64</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2019 – 1 599</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2020 – 1 296</w:t>
      </w:r>
    </w:p>
    <w:p w:rsidR="00E96768" w:rsidRPr="00E00B35" w:rsidRDefault="00E96768" w:rsidP="00E00B35">
      <w:pPr>
        <w:autoSpaceDE w:val="0"/>
        <w:autoSpaceDN w:val="0"/>
        <w:spacing w:after="0" w:line="312" w:lineRule="auto"/>
        <w:rPr>
          <w:rFonts w:cs="Arial"/>
          <w:bCs/>
          <w:szCs w:val="20"/>
        </w:rPr>
      </w:pP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rFonts w:cs="Arial"/>
          <w:szCs w:val="20"/>
        </w:rPr>
        <w:t>przejmowanie akt zlikwidowanych i przekształcanych jednostek komunalnych i placówek oświatowych oraz istniejących jednostek na zasadzie porozumień.</w:t>
      </w:r>
    </w:p>
    <w:p w:rsidR="005B50AD" w:rsidRPr="00E00B35" w:rsidRDefault="005B50AD" w:rsidP="00E00B35">
      <w:pPr>
        <w:autoSpaceDE w:val="0"/>
        <w:autoSpaceDN w:val="0"/>
        <w:spacing w:after="0" w:line="312" w:lineRule="auto"/>
        <w:rPr>
          <w:rFonts w:cs="Arial"/>
          <w:szCs w:val="20"/>
        </w:rPr>
      </w:pPr>
    </w:p>
    <w:p w:rsidR="00E96768" w:rsidRPr="00E00B35" w:rsidRDefault="00E96768" w:rsidP="00E00B35">
      <w:pPr>
        <w:autoSpaceDE w:val="0"/>
        <w:autoSpaceDN w:val="0"/>
        <w:spacing w:after="0" w:line="312" w:lineRule="auto"/>
        <w:ind w:firstLine="567"/>
        <w:rPr>
          <w:rFonts w:cs="Arial"/>
          <w:szCs w:val="20"/>
        </w:rPr>
      </w:pPr>
      <w:r w:rsidRPr="00E00B35">
        <w:rPr>
          <w:rFonts w:cs="Arial"/>
          <w:szCs w:val="20"/>
        </w:rPr>
        <w:t xml:space="preserve">W 2020 roku przyjęto na stan dokumentację z następujących jednostek: </w:t>
      </w:r>
    </w:p>
    <w:p w:rsidR="00E96768" w:rsidRPr="00E00B35" w:rsidRDefault="00E96768" w:rsidP="00BC64AB">
      <w:pPr>
        <w:pStyle w:val="Akapitzlist"/>
        <w:numPr>
          <w:ilvl w:val="1"/>
          <w:numId w:val="245"/>
        </w:numPr>
        <w:spacing w:after="0" w:line="312" w:lineRule="auto"/>
        <w:ind w:left="993" w:hanging="426"/>
        <w:rPr>
          <w:rFonts w:cs="Arial"/>
          <w:szCs w:val="20"/>
        </w:rPr>
      </w:pPr>
      <w:r w:rsidRPr="00E00B35">
        <w:rPr>
          <w:rFonts w:cs="Arial"/>
          <w:szCs w:val="20"/>
        </w:rPr>
        <w:t>Gimnazjum Nr 22 we Wrocławiu,</w:t>
      </w:r>
    </w:p>
    <w:p w:rsidR="00E96768" w:rsidRPr="00E00B35" w:rsidRDefault="00E96768" w:rsidP="00BC64AB">
      <w:pPr>
        <w:pStyle w:val="Akapitzlist"/>
        <w:numPr>
          <w:ilvl w:val="1"/>
          <w:numId w:val="245"/>
        </w:numPr>
        <w:spacing w:after="0" w:line="312" w:lineRule="auto"/>
        <w:ind w:left="993" w:hanging="426"/>
        <w:rPr>
          <w:rFonts w:cs="Arial"/>
          <w:szCs w:val="20"/>
        </w:rPr>
      </w:pPr>
      <w:r w:rsidRPr="00E00B35">
        <w:rPr>
          <w:rFonts w:cs="Arial"/>
          <w:szCs w:val="20"/>
        </w:rPr>
        <w:t>Gimnazjum Nr 3 we Wrocławiu;</w:t>
      </w:r>
    </w:p>
    <w:p w:rsidR="00923EB5" w:rsidRPr="00E00B35" w:rsidRDefault="00923EB5" w:rsidP="00E00B35">
      <w:pPr>
        <w:pStyle w:val="Akapitzlist"/>
        <w:spacing w:after="0" w:line="312" w:lineRule="auto"/>
        <w:ind w:left="567"/>
        <w:rPr>
          <w:rFonts w:cs="Arial"/>
          <w:szCs w:val="20"/>
        </w:rPr>
      </w:pP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rFonts w:cs="Arial"/>
          <w:szCs w:val="20"/>
        </w:rPr>
        <w:t xml:space="preserve">opracowywanie i konserwowanie przechowywanego zasobu aktowego. </w:t>
      </w:r>
    </w:p>
    <w:p w:rsidR="00E96768" w:rsidRPr="00E00B35" w:rsidRDefault="00E96768" w:rsidP="00BC64AB">
      <w:pPr>
        <w:numPr>
          <w:ilvl w:val="0"/>
          <w:numId w:val="252"/>
        </w:numPr>
        <w:autoSpaceDE w:val="0"/>
        <w:autoSpaceDN w:val="0"/>
        <w:spacing w:after="0" w:line="312" w:lineRule="auto"/>
        <w:rPr>
          <w:rFonts w:cs="Arial"/>
          <w:szCs w:val="20"/>
        </w:rPr>
      </w:pPr>
      <w:r w:rsidRPr="00E00B35">
        <w:rPr>
          <w:rFonts w:cs="Arial"/>
          <w:szCs w:val="20"/>
        </w:rPr>
        <w:t>konserwacja i kompleksowe porządkowanie dokumentacji oraz skanowanie – ok 8 mb,</w:t>
      </w:r>
    </w:p>
    <w:p w:rsidR="00E96768" w:rsidRPr="00E00B35" w:rsidRDefault="00E96768" w:rsidP="00BC64AB">
      <w:pPr>
        <w:numPr>
          <w:ilvl w:val="0"/>
          <w:numId w:val="252"/>
        </w:numPr>
        <w:autoSpaceDE w:val="0"/>
        <w:autoSpaceDN w:val="0"/>
        <w:spacing w:after="0" w:line="312" w:lineRule="auto"/>
        <w:rPr>
          <w:rFonts w:cs="Arial"/>
          <w:szCs w:val="20"/>
        </w:rPr>
      </w:pPr>
      <w:r w:rsidRPr="00E00B35">
        <w:rPr>
          <w:rFonts w:cs="Arial"/>
          <w:szCs w:val="20"/>
        </w:rPr>
        <w:t>wypożyczenia dokumentacji do spraw – 708 spraw,</w:t>
      </w:r>
    </w:p>
    <w:p w:rsidR="00E96768" w:rsidRPr="00E00B35" w:rsidRDefault="00E96768" w:rsidP="00BC64AB">
      <w:pPr>
        <w:numPr>
          <w:ilvl w:val="0"/>
          <w:numId w:val="252"/>
        </w:numPr>
        <w:autoSpaceDE w:val="0"/>
        <w:autoSpaceDN w:val="0"/>
        <w:spacing w:after="0" w:line="312" w:lineRule="auto"/>
        <w:rPr>
          <w:rFonts w:cs="Arial"/>
          <w:szCs w:val="20"/>
        </w:rPr>
      </w:pPr>
      <w:r w:rsidRPr="00E00B35">
        <w:rPr>
          <w:rFonts w:cs="Arial"/>
          <w:szCs w:val="20"/>
        </w:rPr>
        <w:t>przejmowanie dokumentacji – ok 245 mb,</w:t>
      </w:r>
    </w:p>
    <w:p w:rsidR="00E96768" w:rsidRPr="00E00B35" w:rsidRDefault="00E96768" w:rsidP="00BC64AB">
      <w:pPr>
        <w:numPr>
          <w:ilvl w:val="0"/>
          <w:numId w:val="252"/>
        </w:numPr>
        <w:autoSpaceDE w:val="0"/>
        <w:autoSpaceDN w:val="0"/>
        <w:spacing w:after="0" w:line="312" w:lineRule="auto"/>
        <w:rPr>
          <w:rFonts w:cs="Arial"/>
          <w:szCs w:val="20"/>
        </w:rPr>
      </w:pPr>
      <w:r w:rsidRPr="00E00B35">
        <w:rPr>
          <w:rFonts w:cs="Arial"/>
          <w:szCs w:val="20"/>
        </w:rPr>
        <w:t>sporządzanie komputerowej ewidencji zasobu archiwalnego – 1 000 poz.,</w:t>
      </w:r>
    </w:p>
    <w:p w:rsidR="00E96768" w:rsidRPr="00E00B35" w:rsidRDefault="00E96768" w:rsidP="00BC64AB">
      <w:pPr>
        <w:numPr>
          <w:ilvl w:val="0"/>
          <w:numId w:val="252"/>
        </w:numPr>
        <w:autoSpaceDE w:val="0"/>
        <w:autoSpaceDN w:val="0"/>
        <w:spacing w:after="0" w:line="312" w:lineRule="auto"/>
        <w:rPr>
          <w:rFonts w:cs="Arial"/>
          <w:szCs w:val="20"/>
        </w:rPr>
      </w:pPr>
      <w:r w:rsidRPr="00E00B35">
        <w:rPr>
          <w:rFonts w:cs="Arial"/>
          <w:szCs w:val="20"/>
        </w:rPr>
        <w:t>skontrum dokumentacji PiNB – ok 184 mb;</w:t>
      </w:r>
    </w:p>
    <w:p w:rsidR="00923EB5" w:rsidRPr="00E00B35" w:rsidRDefault="00923EB5" w:rsidP="00BC64AB">
      <w:pPr>
        <w:pStyle w:val="Akapitzlist"/>
        <w:numPr>
          <w:ilvl w:val="0"/>
          <w:numId w:val="245"/>
        </w:numPr>
        <w:spacing w:after="0" w:line="312" w:lineRule="auto"/>
        <w:ind w:left="567" w:hanging="567"/>
        <w:rPr>
          <w:rFonts w:cs="Arial"/>
          <w:szCs w:val="20"/>
        </w:rPr>
      </w:pP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rFonts w:cs="Arial"/>
          <w:szCs w:val="20"/>
        </w:rPr>
        <w:t>zbieranie danych do katalogu akt zlikwidowanych zakładów pracy (państwowych, samorządowych podlegających Marszałkowi Woj. Dolnośląskiego, spółdzielni pracy, spółek cywilnych, spółek z o.o.);</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rFonts w:cs="Arial"/>
          <w:szCs w:val="20"/>
        </w:rPr>
        <w:t>bieżąca współpraca z Archiwum Państwowym we Wrocławiu (konsultacje archiwalne), sądami, Zakładem Ubezpieczeń Społecznych, urzędami administracji państwowej i samorządowej, itp.;</w:t>
      </w: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rFonts w:cs="Arial"/>
          <w:szCs w:val="20"/>
        </w:rPr>
        <w:lastRenderedPageBreak/>
        <w:t>prowadzenie spraw bieżących: korespondencja, przyjmowanie podań telefoniczne i bezpośrednie w Sekretariacie Archiwum udzielanie informacji i porad nt. miejsca przechowywania dokumentacji pracowniczej;</w:t>
      </w:r>
    </w:p>
    <w:p w:rsidR="00E96768" w:rsidRPr="00E00B35" w:rsidRDefault="00E96768" w:rsidP="00E00B35">
      <w:pPr>
        <w:autoSpaceDE w:val="0"/>
        <w:autoSpaceDN w:val="0"/>
        <w:spacing w:after="0" w:line="312" w:lineRule="auto"/>
        <w:rPr>
          <w:rFonts w:cs="Arial"/>
          <w:szCs w:val="20"/>
        </w:rPr>
      </w:pP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Liczba udzielonych informacji dot. miejsca przechowywania dokumentacji pracowniczej w latach 2017 – 2020</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2017_3 645</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2018 – 3 621</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2019 – 2 932</w:t>
      </w:r>
    </w:p>
    <w:p w:rsidR="00E96768" w:rsidRPr="00E00B35" w:rsidRDefault="00E96768" w:rsidP="00E00B35">
      <w:pPr>
        <w:autoSpaceDE w:val="0"/>
        <w:autoSpaceDN w:val="0"/>
        <w:spacing w:after="0" w:line="312" w:lineRule="auto"/>
        <w:ind w:left="567"/>
        <w:rPr>
          <w:rFonts w:cs="Arial"/>
          <w:szCs w:val="20"/>
        </w:rPr>
      </w:pPr>
      <w:r w:rsidRPr="00E00B35">
        <w:rPr>
          <w:rFonts w:cs="Arial"/>
          <w:szCs w:val="20"/>
        </w:rPr>
        <w:t>2020 – 3 284</w:t>
      </w:r>
    </w:p>
    <w:p w:rsidR="00E96768" w:rsidRPr="00E00B35" w:rsidRDefault="00E96768" w:rsidP="00E00B35">
      <w:pPr>
        <w:autoSpaceDE w:val="0"/>
        <w:autoSpaceDN w:val="0"/>
        <w:spacing w:after="0" w:line="312" w:lineRule="auto"/>
        <w:rPr>
          <w:rFonts w:cs="Arial"/>
          <w:szCs w:val="20"/>
        </w:rPr>
      </w:pPr>
    </w:p>
    <w:p w:rsidR="00E96768" w:rsidRPr="00E00B35" w:rsidRDefault="00E96768" w:rsidP="00BC64AB">
      <w:pPr>
        <w:pStyle w:val="Akapitzlist"/>
        <w:numPr>
          <w:ilvl w:val="0"/>
          <w:numId w:val="245"/>
        </w:numPr>
        <w:spacing w:after="0" w:line="312" w:lineRule="auto"/>
        <w:ind w:left="567" w:hanging="567"/>
        <w:rPr>
          <w:rFonts w:cs="Arial"/>
          <w:szCs w:val="20"/>
        </w:rPr>
      </w:pPr>
      <w:r w:rsidRPr="00E00B35">
        <w:rPr>
          <w:rFonts w:cs="Arial"/>
          <w:szCs w:val="20"/>
        </w:rPr>
        <w:t xml:space="preserve">Archiwum Miejskie co roku przyjmuje praktykantów z Uniwersytetu Wrocławskiego, </w:t>
      </w:r>
      <w:r w:rsidRPr="00E00B35">
        <w:rPr>
          <w:rFonts w:cs="Arial"/>
          <w:szCs w:val="20"/>
        </w:rPr>
        <w:br/>
        <w:t>z Instytutu Historycznego o specjalności archiwalnej w liczbie od 2 do 10 osób.</w:t>
      </w:r>
    </w:p>
    <w:p w:rsidR="00E96768" w:rsidRPr="00E00B35" w:rsidRDefault="00E96768" w:rsidP="00E00B35">
      <w:pPr>
        <w:spacing w:after="0" w:line="312" w:lineRule="auto"/>
        <w:rPr>
          <w:szCs w:val="20"/>
        </w:rPr>
      </w:pPr>
    </w:p>
    <w:p w:rsidR="00E96768" w:rsidRPr="00E00B35" w:rsidRDefault="00E96768" w:rsidP="00E00B35">
      <w:pPr>
        <w:spacing w:after="0" w:line="312" w:lineRule="auto"/>
        <w:rPr>
          <w:color w:val="000000"/>
          <w:szCs w:val="20"/>
          <w:lang w:val="pl-PL"/>
        </w:rPr>
      </w:pPr>
    </w:p>
    <w:p w:rsidR="00211817" w:rsidRPr="00E00B35" w:rsidRDefault="00211817"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E00B35" w:rsidP="00E00B35">
      <w:pPr>
        <w:pStyle w:val="Nagwek20"/>
        <w:rPr>
          <w:sz w:val="20"/>
          <w:lang w:val="pl-PL"/>
        </w:rPr>
      </w:pPr>
      <w:bookmarkStart w:id="38" w:name="_Toc78189480"/>
      <w:r>
        <w:rPr>
          <w:lang w:val="pl-PL"/>
        </w:rPr>
        <w:t>DEPARTAMENT STRATEGII I ROZWOJU MIASTA</w:t>
      </w:r>
      <w:bookmarkEnd w:id="38"/>
    </w:p>
    <w:p w:rsidR="00923EB5" w:rsidRPr="00E00B35" w:rsidRDefault="00923EB5" w:rsidP="00E00B35">
      <w:pPr>
        <w:spacing w:after="0" w:line="312" w:lineRule="auto"/>
        <w:rPr>
          <w:color w:val="000000"/>
          <w:szCs w:val="20"/>
          <w:lang w:val="pl-PL"/>
        </w:rPr>
      </w:pPr>
    </w:p>
    <w:p w:rsidR="00BE6C24" w:rsidRPr="00E00B35" w:rsidRDefault="00BE6C24" w:rsidP="00E00B35">
      <w:pPr>
        <w:pStyle w:val="Nagwek3"/>
        <w:spacing w:after="0" w:line="312" w:lineRule="auto"/>
        <w:rPr>
          <w:sz w:val="20"/>
        </w:rPr>
      </w:pPr>
      <w:r w:rsidRPr="00E00B35">
        <w:rPr>
          <w:sz w:val="20"/>
        </w:rPr>
        <w:t>SPRAWOZDANIE BIURA ROZWOJU GOSPODARCZEGO</w:t>
      </w:r>
    </w:p>
    <w:p w:rsidR="00BE6C24" w:rsidRPr="00E00B35" w:rsidRDefault="00BE6C24" w:rsidP="00E00B35">
      <w:pPr>
        <w:tabs>
          <w:tab w:val="left" w:pos="720"/>
        </w:tabs>
        <w:autoSpaceDE w:val="0"/>
        <w:autoSpaceDN w:val="0"/>
        <w:adjustRightInd w:val="0"/>
        <w:spacing w:after="0" w:line="312" w:lineRule="auto"/>
        <w:rPr>
          <w:rFonts w:cs="Verdana"/>
          <w:szCs w:val="20"/>
        </w:rPr>
      </w:pPr>
    </w:p>
    <w:p w:rsidR="00BE6C24" w:rsidRPr="00E00B35" w:rsidRDefault="00BE6C24" w:rsidP="00E00B35">
      <w:pPr>
        <w:pStyle w:val="Nagwek4"/>
        <w:spacing w:before="0" w:after="0" w:line="312" w:lineRule="auto"/>
        <w:rPr>
          <w:sz w:val="20"/>
          <w:szCs w:val="20"/>
        </w:rPr>
      </w:pPr>
      <w:r w:rsidRPr="00E00B35">
        <w:rPr>
          <w:sz w:val="20"/>
          <w:szCs w:val="20"/>
        </w:rPr>
        <w:t>Wzrost konkurencyjności lokalnego handlu w oparciu o walory regionalne, turystyczne i historyczne (zadanie 74 założeń polityki społeczno-gospodarczej)</w:t>
      </w:r>
    </w:p>
    <w:p w:rsidR="00F52FA3" w:rsidRPr="00E00B35" w:rsidRDefault="00F52FA3" w:rsidP="00E00B35">
      <w:pPr>
        <w:pStyle w:val="Nagwek4"/>
        <w:spacing w:before="0" w:after="0" w:line="312" w:lineRule="auto"/>
        <w:rPr>
          <w:sz w:val="20"/>
          <w:szCs w:val="20"/>
        </w:rPr>
      </w:pPr>
    </w:p>
    <w:p w:rsidR="00BE6C24" w:rsidRPr="00E00B35" w:rsidRDefault="00BE6C24" w:rsidP="00BC64AB">
      <w:pPr>
        <w:pStyle w:val="Nagwek4"/>
        <w:numPr>
          <w:ilvl w:val="0"/>
          <w:numId w:val="270"/>
        </w:numPr>
        <w:spacing w:before="0" w:after="0" w:line="312" w:lineRule="auto"/>
        <w:ind w:left="426" w:hanging="426"/>
        <w:rPr>
          <w:sz w:val="20"/>
          <w:szCs w:val="20"/>
        </w:rPr>
      </w:pPr>
      <w:r w:rsidRPr="00E00B35">
        <w:rPr>
          <w:sz w:val="20"/>
          <w:szCs w:val="20"/>
        </w:rPr>
        <w:t xml:space="preserve">Promocja wrocławskiego rzemiosła na Jarmarku Dominikańskim w Gdańsku </w:t>
      </w:r>
    </w:p>
    <w:p w:rsidR="00BE6C24" w:rsidRPr="00E00B35" w:rsidRDefault="00BE6C24" w:rsidP="00E00B35">
      <w:pPr>
        <w:spacing w:after="0" w:line="312" w:lineRule="auto"/>
        <w:rPr>
          <w:szCs w:val="20"/>
        </w:rPr>
      </w:pPr>
      <w:r w:rsidRPr="00E00B35">
        <w:rPr>
          <w:szCs w:val="20"/>
        </w:rPr>
        <w:t>W dniach 25 lipca – 16 sierpnia 2020 roku, we współpracy z Dolnośląską Izbą Rzemieślniczą, zorganizowano i umożliwiono nieodpłatny udział wrocławskich rzemieślników w Jarmarku Św. Dominika w Gdańsku. Wrocław reprezentowało 7 podmiotów:</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 xml:space="preserve">Rextorn, wrocławska pracownia repuserska, która zyskała międzynarodowy rozgłos tworząc legendarne artefakty z serialu „Gra o Tron” produkowanego przez HBO, </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Pracownia Rękodzieła Artystycznego,</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Galeria Karmelu,</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 xml:space="preserve">Pracownia Muszkacik – twórca modeli nowych miniatur, </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HUGBAG pracownia kaletnicza,</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 xml:space="preserve">Onimo Pracownia Makiet Architektonicznych, </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 xml:space="preserve">Atelier Design Pracownia Szkła Artystycznego i Użytkowego. </w:t>
      </w:r>
    </w:p>
    <w:p w:rsidR="00BE6C24" w:rsidRPr="00E00B35" w:rsidRDefault="00BE6C24" w:rsidP="00E00B35">
      <w:pPr>
        <w:spacing w:after="0" w:line="312" w:lineRule="auto"/>
        <w:rPr>
          <w:szCs w:val="20"/>
        </w:rPr>
      </w:pPr>
      <w:r w:rsidRPr="00E00B35">
        <w:rPr>
          <w:szCs w:val="20"/>
        </w:rPr>
        <w:t xml:space="preserve">Stoisko wrocławskiego rzemiosła na Jarmarku Domikańskim w Gdańsku – w całości sfinansowane przez Gminę Wrocław - było pierwszą próbą i badaniem możliwości promocji, jakie stwarza tego typu impreza. </w:t>
      </w:r>
    </w:p>
    <w:p w:rsidR="00BE6C24" w:rsidRPr="00E00B35" w:rsidRDefault="00BE6C24" w:rsidP="00E00B35">
      <w:pPr>
        <w:spacing w:after="0" w:line="312" w:lineRule="auto"/>
        <w:rPr>
          <w:rFonts w:cs="Verdana"/>
          <w:szCs w:val="20"/>
        </w:rPr>
      </w:pPr>
    </w:p>
    <w:p w:rsidR="00BE6C24" w:rsidRPr="00E00B35" w:rsidRDefault="00BE6C24" w:rsidP="00BC64AB">
      <w:pPr>
        <w:pStyle w:val="Nagwek4"/>
        <w:numPr>
          <w:ilvl w:val="0"/>
          <w:numId w:val="270"/>
        </w:numPr>
        <w:spacing w:before="0" w:after="0" w:line="312" w:lineRule="auto"/>
        <w:ind w:left="426" w:hanging="426"/>
        <w:rPr>
          <w:sz w:val="20"/>
          <w:szCs w:val="20"/>
        </w:rPr>
      </w:pPr>
      <w:r w:rsidRPr="00E00B35">
        <w:rPr>
          <w:sz w:val="20"/>
          <w:szCs w:val="20"/>
        </w:rPr>
        <w:t>Jarmarki i imprezy okolicznościowe na terenach Gminy Wrocław</w:t>
      </w:r>
    </w:p>
    <w:p w:rsidR="00BE6C24" w:rsidRPr="00E00B35" w:rsidRDefault="00BE6C24" w:rsidP="00E00B35">
      <w:pPr>
        <w:spacing w:after="0" w:line="312" w:lineRule="auto"/>
        <w:rPr>
          <w:szCs w:val="20"/>
        </w:rPr>
      </w:pPr>
      <w:r w:rsidRPr="00E00B35">
        <w:rPr>
          <w:szCs w:val="20"/>
        </w:rPr>
        <w:t>Ze względu na zagrożenie epidemiczne udało się zorganizować tylko część z zaplanowanych wydarzeń, wśród nich:</w:t>
      </w:r>
    </w:p>
    <w:p w:rsidR="00BE6C24" w:rsidRPr="00E00B35" w:rsidRDefault="00BE6C24" w:rsidP="00BC64AB">
      <w:pPr>
        <w:pStyle w:val="Akapitzlist"/>
        <w:numPr>
          <w:ilvl w:val="0"/>
          <w:numId w:val="245"/>
        </w:numPr>
        <w:spacing w:after="0" w:line="312" w:lineRule="auto"/>
        <w:ind w:left="567" w:hanging="567"/>
        <w:rPr>
          <w:szCs w:val="20"/>
        </w:rPr>
      </w:pPr>
      <w:r w:rsidRPr="00E00B35">
        <w:rPr>
          <w:b/>
          <w:bCs/>
          <w:szCs w:val="20"/>
        </w:rPr>
        <w:t xml:space="preserve">Jarmark Produktów Włoskich "Fiere del Gusto &amp; Buon Gusto" – </w:t>
      </w:r>
      <w:r w:rsidRPr="00E00B35">
        <w:rPr>
          <w:szCs w:val="20"/>
        </w:rPr>
        <w:t xml:space="preserve">impreza miała miejsce w dniach </w:t>
      </w:r>
      <w:r w:rsidRPr="00E00B35">
        <w:rPr>
          <w:b/>
          <w:bCs/>
          <w:szCs w:val="20"/>
        </w:rPr>
        <w:t xml:space="preserve">12 - 25 sierpnia 2020  </w:t>
      </w:r>
      <w:r w:rsidRPr="00E00B35">
        <w:rPr>
          <w:szCs w:val="20"/>
        </w:rPr>
        <w:t xml:space="preserve">roku na placu przy ul. </w:t>
      </w:r>
      <w:r w:rsidRPr="00E00B35">
        <w:rPr>
          <w:szCs w:val="20"/>
        </w:rPr>
        <w:lastRenderedPageBreak/>
        <w:t>Szewskiej/Wita Stwosza. Uczestniczyło w nim 17 przedsiębiorców z Włoch, którzy prezentowali ofertę produktów spożywczych charakterystycznych dla poszczególnych regionów tego kraju. Jarmark organizowany jest cyklicznie – w 2020 r. odbyła się V edycja wydarzenia – liczba wystawców utrzymuje się na tym samym poziomie, jarmark włoski zyskał stałych klientów, a mieszkańcy Wrocławia doceniają jakość oferowanych produktów. W tym roku jarmarkowi nie towarzyszyły wydarzenia artystyczne tj. koncerty kameralnej muzyki na żywo. Codziennie odbywały się jednak degustacje produktów. Organizator jarmarku wypełnił wszystkie obowiązujące zalecenia sanitarne.</w:t>
      </w:r>
    </w:p>
    <w:p w:rsidR="00BE6C24" w:rsidRPr="00E00B35" w:rsidRDefault="00BE6C24" w:rsidP="00BC64AB">
      <w:pPr>
        <w:pStyle w:val="Akapitzlist"/>
        <w:numPr>
          <w:ilvl w:val="0"/>
          <w:numId w:val="245"/>
        </w:numPr>
        <w:spacing w:after="0" w:line="312" w:lineRule="auto"/>
        <w:ind w:left="567" w:hanging="567"/>
        <w:rPr>
          <w:szCs w:val="20"/>
        </w:rPr>
      </w:pPr>
      <w:r w:rsidRPr="00E00B35">
        <w:rPr>
          <w:b/>
          <w:bCs/>
          <w:szCs w:val="20"/>
        </w:rPr>
        <w:t xml:space="preserve">Food Trucki wracają na plac Nowy Targ – </w:t>
      </w:r>
      <w:r w:rsidRPr="00E00B35">
        <w:rPr>
          <w:szCs w:val="20"/>
        </w:rPr>
        <w:t xml:space="preserve">impreza odbyła się w dniach </w:t>
      </w:r>
      <w:r w:rsidRPr="00E00B35">
        <w:rPr>
          <w:szCs w:val="20"/>
        </w:rPr>
        <w:br/>
      </w:r>
      <w:r w:rsidRPr="00E00B35">
        <w:rPr>
          <w:b/>
          <w:bCs/>
          <w:szCs w:val="20"/>
        </w:rPr>
        <w:t xml:space="preserve">12 – 13 września 2020 </w:t>
      </w:r>
      <w:r w:rsidRPr="00E00B35">
        <w:rPr>
          <w:szCs w:val="20"/>
        </w:rPr>
        <w:t xml:space="preserve">roku w ramach Strefy rekreacyjno – gastronomicznej na placu Nowy Targ. Uczestnicy wydarzenia mogli skorzystać z oferty gastronomicznej 25 food trucków, przestrzeni wypoczynkowej, biesiadnej oraz rozrywkowej dla dzieci. Wydarzeniu towarzyszyły konkursy, degustacje oraz oprawa muzyczna. </w:t>
      </w:r>
    </w:p>
    <w:p w:rsidR="00BE6C24" w:rsidRPr="00E00B35" w:rsidRDefault="00BE6C24" w:rsidP="00BC64AB">
      <w:pPr>
        <w:pStyle w:val="Akapitzlist"/>
        <w:numPr>
          <w:ilvl w:val="0"/>
          <w:numId w:val="245"/>
        </w:numPr>
        <w:spacing w:after="0" w:line="312" w:lineRule="auto"/>
        <w:ind w:left="567" w:hanging="567"/>
        <w:rPr>
          <w:szCs w:val="20"/>
        </w:rPr>
      </w:pPr>
      <w:r w:rsidRPr="00E00B35">
        <w:rPr>
          <w:b/>
          <w:bCs/>
          <w:szCs w:val="20"/>
        </w:rPr>
        <w:t xml:space="preserve">Pierwszy Zlot Food Trucków na ryneczku Psiego Pola </w:t>
      </w:r>
      <w:r w:rsidRPr="00E00B35">
        <w:rPr>
          <w:szCs w:val="20"/>
        </w:rPr>
        <w:t xml:space="preserve">– w dniach </w:t>
      </w:r>
      <w:r w:rsidRPr="00E00B35">
        <w:rPr>
          <w:b/>
          <w:bCs/>
          <w:szCs w:val="20"/>
        </w:rPr>
        <w:t xml:space="preserve">17 – 18 października 2020 roku </w:t>
      </w:r>
      <w:r w:rsidRPr="00E00B35">
        <w:rPr>
          <w:szCs w:val="20"/>
        </w:rPr>
        <w:t>odbyła się pierwsza tego rodzaju impreza na ryneczku Psiego Pola i od razu zyskała sympatię lokalnej społeczności oraz Rady Osiedla Psie Pole Zawidawie. Budowanie osiedlowych miejsc spotkań i integracja mieszkańców jest jednym z priorytetowych zadań Gminy. Mieszkańcy osiedla mogli skorzystać z oferty gastronomicznej 12 food trucków oraz strefy wypoczynkowej i biesiadnej z oprawą muzyczną. Organizator prowadził imprezę z zachowaniem obowiązujących reżimów sanitarnych.</w:t>
      </w:r>
    </w:p>
    <w:p w:rsidR="00BE6C24" w:rsidRPr="00E00B35" w:rsidRDefault="00BE6C24" w:rsidP="00E00B35">
      <w:pPr>
        <w:spacing w:after="0" w:line="312" w:lineRule="auto"/>
        <w:rPr>
          <w:szCs w:val="20"/>
        </w:rPr>
      </w:pPr>
      <w:r w:rsidRPr="00E00B35">
        <w:rPr>
          <w:szCs w:val="20"/>
        </w:rPr>
        <w:t>Nie odbyły się - mimo wyłonienienia organizatorów - dwa najważniejsze wrocławskie jarmarki:</w:t>
      </w:r>
    </w:p>
    <w:p w:rsidR="00BE6C24" w:rsidRPr="00E00B35" w:rsidRDefault="00BE6C24" w:rsidP="00BC64AB">
      <w:pPr>
        <w:pStyle w:val="Akapitzlist"/>
        <w:numPr>
          <w:ilvl w:val="0"/>
          <w:numId w:val="245"/>
        </w:numPr>
        <w:spacing w:after="0" w:line="312" w:lineRule="auto"/>
        <w:ind w:left="567" w:hanging="567"/>
        <w:rPr>
          <w:szCs w:val="20"/>
        </w:rPr>
      </w:pPr>
      <w:r w:rsidRPr="00E00B35">
        <w:rPr>
          <w:b/>
          <w:bCs/>
          <w:szCs w:val="20"/>
        </w:rPr>
        <w:t xml:space="preserve">Jarmark Świętojański </w:t>
      </w:r>
      <w:r w:rsidRPr="00E00B35">
        <w:rPr>
          <w:szCs w:val="20"/>
        </w:rPr>
        <w:t xml:space="preserve">– coroczna impreza, planowana od połowy maja do końca czerwca 2020 roku, związana z tradycją Nocy Świętojańskiej oraz obchodami Święta Wrocławia. Na początku roku ogłoszono konkurs na wyłonienie organizatora imprezy. Konkurs został rozstrzygnięty 10 marca 2020 roku. </w:t>
      </w:r>
    </w:p>
    <w:p w:rsidR="00BE6C24" w:rsidRPr="00E00B35" w:rsidRDefault="00BE6C24" w:rsidP="00BC64AB">
      <w:pPr>
        <w:pStyle w:val="Akapitzlist"/>
        <w:numPr>
          <w:ilvl w:val="0"/>
          <w:numId w:val="245"/>
        </w:numPr>
        <w:spacing w:after="0" w:line="312" w:lineRule="auto"/>
        <w:ind w:left="567" w:hanging="567"/>
        <w:rPr>
          <w:szCs w:val="20"/>
        </w:rPr>
      </w:pPr>
      <w:r w:rsidRPr="00E00B35">
        <w:rPr>
          <w:b/>
          <w:bCs/>
          <w:szCs w:val="20"/>
        </w:rPr>
        <w:t xml:space="preserve">Jarmark Bożonarodzeniowy – </w:t>
      </w:r>
      <w:r w:rsidRPr="00E00B35">
        <w:rPr>
          <w:szCs w:val="20"/>
        </w:rPr>
        <w:t xml:space="preserve">na stałe wpisał się w kalendarz wydarzeń na wrocławskim Rynku. Od wielu lat jest kolorowym i radosnym wydarzeniem nie tylko handlowym, ale także miejscem spotkań mieszkańców i turystów. Na początku 2020 r. ogłoszono konkurs na wyłonienie organizatora. Pomimo bardzo zaawansowanych działań pozwalających na realizację wydarzenia, 5 listopada Gmina Wrocław oraz Organizator jarmarku wydali wspólny komunikat prasowy </w:t>
      </w:r>
      <w:r w:rsidRPr="00E00B35">
        <w:rPr>
          <w:b/>
          <w:bCs/>
          <w:szCs w:val="20"/>
        </w:rPr>
        <w:t>odwołujący jarmark</w:t>
      </w:r>
      <w:r w:rsidRPr="00E00B35">
        <w:rPr>
          <w:szCs w:val="20"/>
        </w:rPr>
        <w:t xml:space="preserve">. </w:t>
      </w:r>
    </w:p>
    <w:p w:rsidR="00BE6C24" w:rsidRPr="00E00B35" w:rsidRDefault="00BE6C24" w:rsidP="00E00B35">
      <w:pPr>
        <w:spacing w:after="0" w:line="312" w:lineRule="auto"/>
        <w:rPr>
          <w:kern w:val="36"/>
          <w:szCs w:val="20"/>
        </w:rPr>
      </w:pPr>
      <w:r w:rsidRPr="00E00B35">
        <w:rPr>
          <w:kern w:val="36"/>
          <w:szCs w:val="20"/>
        </w:rPr>
        <w:t xml:space="preserve">Zrezygnowano także z organizacji 4 zaplanowanych wydarzeń plenerowych, m.in., na pl. Nowy Targ. </w:t>
      </w:r>
    </w:p>
    <w:p w:rsidR="00BE6C24" w:rsidRPr="00E00B35" w:rsidRDefault="00BE6C24" w:rsidP="00E00B35">
      <w:pPr>
        <w:spacing w:after="0" w:line="312" w:lineRule="auto"/>
        <w:rPr>
          <w:kern w:val="36"/>
          <w:szCs w:val="20"/>
        </w:rPr>
      </w:pPr>
      <w:r w:rsidRPr="00E00B35">
        <w:rPr>
          <w:kern w:val="36"/>
          <w:szCs w:val="20"/>
        </w:rPr>
        <w:t xml:space="preserve">Skutki epidemii wirusa COVID-19 dla realizacji jarmarków i imprez okolicznościowych: </w:t>
      </w:r>
    </w:p>
    <w:p w:rsidR="00BE6C24" w:rsidRPr="00E00B35" w:rsidRDefault="00BE6C24" w:rsidP="00E00B35">
      <w:pPr>
        <w:spacing w:after="0" w:line="312" w:lineRule="auto"/>
        <w:rPr>
          <w:szCs w:val="20"/>
        </w:rPr>
      </w:pPr>
      <w:r w:rsidRPr="00E00B35">
        <w:rPr>
          <w:szCs w:val="20"/>
        </w:rPr>
        <w:t xml:space="preserve">Branża eventowa – w tym wystawcy z działalnością gastronomiczną, handlową </w:t>
      </w:r>
      <w:r w:rsidRPr="00E00B35">
        <w:rPr>
          <w:szCs w:val="20"/>
        </w:rPr>
        <w:br/>
        <w:t xml:space="preserve">i </w:t>
      </w:r>
      <w:r w:rsidRPr="00E00B35">
        <w:rPr>
          <w:b/>
          <w:bCs/>
          <w:kern w:val="36"/>
          <w:szCs w:val="20"/>
        </w:rPr>
        <w:t xml:space="preserve">rozrywkową oraz produktami regionalnymi, rękodzielniczymi </w:t>
      </w:r>
      <w:r w:rsidRPr="00E00B35">
        <w:rPr>
          <w:szCs w:val="20"/>
        </w:rPr>
        <w:t xml:space="preserve">–  została najbardziej dotknięta skutkami trwającego stanu epidemicznego. Przedsiębiorcy z tej branży najdłużej pozostawali całkowicie zamknięci i dotknęły ich największe ograniczenia związane z zachowaniem reżimu sanitarnego. Kontakt z organizatorami wrocławskich </w:t>
      </w:r>
      <w:r w:rsidRPr="00E00B35">
        <w:rPr>
          <w:szCs w:val="20"/>
        </w:rPr>
        <w:lastRenderedPageBreak/>
        <w:t xml:space="preserve">wydarzeń jest stale utrzymywany, a kalendarz imprez miejskich na bieżąco aktualizowany – proponowane są inne terminy realizacji wydarzeń i zasady organizacji ustalane są zgodnie z obowiązującym reżimem sanitarnym. </w:t>
      </w:r>
    </w:p>
    <w:p w:rsidR="00BE6C24" w:rsidRPr="00E00B35" w:rsidRDefault="00BE6C24" w:rsidP="00E00B35">
      <w:pPr>
        <w:autoSpaceDE w:val="0"/>
        <w:autoSpaceDN w:val="0"/>
        <w:adjustRightInd w:val="0"/>
        <w:spacing w:after="0" w:line="312" w:lineRule="auto"/>
        <w:ind w:left="700"/>
        <w:rPr>
          <w:rFonts w:cs="Verdana"/>
          <w:strike/>
          <w:szCs w:val="20"/>
        </w:rPr>
      </w:pPr>
    </w:p>
    <w:p w:rsidR="00BE6C24" w:rsidRPr="00E00B35" w:rsidRDefault="00BE6C24" w:rsidP="00E00B35">
      <w:pPr>
        <w:pStyle w:val="Nagwek4"/>
        <w:spacing w:before="0" w:after="0" w:line="312" w:lineRule="auto"/>
        <w:rPr>
          <w:sz w:val="20"/>
          <w:szCs w:val="20"/>
        </w:rPr>
      </w:pPr>
      <w:r w:rsidRPr="00E00B35">
        <w:rPr>
          <w:sz w:val="20"/>
          <w:szCs w:val="20"/>
        </w:rPr>
        <w:t>Wzmacnianie potencjału gospodarczo-społecznego miasta, w szczególności poprzez projekty i działania wspierające rozwój przedsiębiorczości (zadanie 133 założeń polityki społeczno-gospodarczej)</w:t>
      </w:r>
    </w:p>
    <w:p w:rsidR="00BE6C24" w:rsidRPr="00E00B35" w:rsidRDefault="00BE6C24" w:rsidP="00E00B35">
      <w:pPr>
        <w:spacing w:after="0" w:line="312" w:lineRule="auto"/>
        <w:rPr>
          <w:szCs w:val="20"/>
        </w:rPr>
      </w:pPr>
    </w:p>
    <w:p w:rsidR="00BE6C24" w:rsidRPr="00E00B35" w:rsidRDefault="00BE6C24" w:rsidP="00BC64AB">
      <w:pPr>
        <w:pStyle w:val="Nagwek4"/>
        <w:numPr>
          <w:ilvl w:val="0"/>
          <w:numId w:val="271"/>
        </w:numPr>
        <w:spacing w:before="0" w:after="0" w:line="312" w:lineRule="auto"/>
        <w:ind w:left="567" w:hanging="567"/>
        <w:rPr>
          <w:sz w:val="20"/>
          <w:szCs w:val="20"/>
        </w:rPr>
      </w:pPr>
      <w:r w:rsidRPr="00E00B35">
        <w:rPr>
          <w:sz w:val="20"/>
          <w:szCs w:val="20"/>
        </w:rPr>
        <w:t xml:space="preserve">INNE CENTRUM - kreowanie i promowanie marki centrum staromiejskiego jako miejsca atrakcyjnego dla aktywności gospodarczej (2019-2021) (220 zadanie kwartalne Prezydenta) </w:t>
      </w:r>
    </w:p>
    <w:p w:rsidR="00BE6C24" w:rsidRPr="00E00B35" w:rsidRDefault="00BE6C24" w:rsidP="00E00B35">
      <w:pPr>
        <w:spacing w:after="0" w:line="312" w:lineRule="auto"/>
        <w:rPr>
          <w:szCs w:val="20"/>
        </w:rPr>
      </w:pPr>
      <w:r w:rsidRPr="00E00B35">
        <w:rPr>
          <w:szCs w:val="20"/>
        </w:rPr>
        <w:t xml:space="preserve">W 2020 r. zespół Innego Centrum przeprowadził serię wydarzeń oraz działań, których celem było ożywienie społeczno-gospodarcze Centrum Staromiejskiego, a szczególnie wsparcie przedsiębiorców z centrum w czasie pandemii, promocja Centrum Staromiejskiego - jego tożsamości i wyjątkowej historii, a także działania na rzecz poprawy estetyki przestrzeni publicznej w ramach rozwijającego się programu „Dobry Widok” we Wrocławiu. </w:t>
      </w:r>
    </w:p>
    <w:p w:rsidR="00BE6C24" w:rsidRPr="00E00B35" w:rsidRDefault="00BE6C24" w:rsidP="00E00B35">
      <w:pPr>
        <w:spacing w:after="0" w:line="312" w:lineRule="auto"/>
        <w:rPr>
          <w:szCs w:val="20"/>
        </w:rPr>
      </w:pPr>
      <w:r w:rsidRPr="00E00B35">
        <w:rPr>
          <w:szCs w:val="20"/>
        </w:rPr>
        <w:t>W pierwszym kwartale zorganizowano</w:t>
      </w:r>
      <w:r w:rsidRPr="00E00B35">
        <w:rPr>
          <w:b/>
          <w:bCs/>
          <w:szCs w:val="20"/>
        </w:rPr>
        <w:t xml:space="preserve"> 4 Inne Koncerty </w:t>
      </w:r>
      <w:r w:rsidRPr="00E00B35">
        <w:rPr>
          <w:szCs w:val="20"/>
        </w:rPr>
        <w:t xml:space="preserve">(125 uczestników), z których udostępniono nagrania wideo (kilkuset odbiorców). Koncerty odbywały sie w lokalach usługowych, co stanowiło ich dodatkową promocję. </w:t>
      </w:r>
    </w:p>
    <w:p w:rsidR="00BE6C24" w:rsidRPr="00E00B35" w:rsidRDefault="00BE6C24" w:rsidP="00E00B35">
      <w:pPr>
        <w:spacing w:after="0" w:line="312" w:lineRule="auto"/>
        <w:rPr>
          <w:szCs w:val="20"/>
        </w:rPr>
      </w:pPr>
      <w:r w:rsidRPr="00E00B35">
        <w:rPr>
          <w:szCs w:val="20"/>
        </w:rPr>
        <w:t>Po ogłoszeniu pandemii COVID-19 działania projektu przeniosły się do sieci. W ramach doraźnego wsparcia przedsiębiorców zorganizowano</w:t>
      </w:r>
      <w:r w:rsidRPr="00E00B35">
        <w:rPr>
          <w:b/>
          <w:bCs/>
          <w:szCs w:val="20"/>
        </w:rPr>
        <w:t xml:space="preserve"> szkolenia</w:t>
      </w:r>
      <w:r w:rsidRPr="00E00B35">
        <w:rPr>
          <w:szCs w:val="20"/>
        </w:rPr>
        <w:t xml:space="preserve"> m.in. na temat: pozycjonowania w sieci, social media, e-commerce, wsparcia z tarczy antykryzysowej (ok. 100 uczestników). Przeprowadzono również </w:t>
      </w:r>
      <w:r w:rsidRPr="00E00B35">
        <w:rPr>
          <w:b/>
          <w:bCs/>
          <w:szCs w:val="20"/>
        </w:rPr>
        <w:t>indywidualne konsultacje</w:t>
      </w:r>
      <w:r w:rsidRPr="00E00B35">
        <w:rPr>
          <w:szCs w:val="20"/>
        </w:rPr>
        <w:t xml:space="preserve"> z zakresu zarządzania finansami, księgowości, prawa oraz prowadzenia sklepu internetowego (ok. 10 uczestników). Zorganizowane zostały</w:t>
      </w:r>
      <w:r w:rsidRPr="00E00B35">
        <w:rPr>
          <w:b/>
          <w:bCs/>
          <w:szCs w:val="20"/>
        </w:rPr>
        <w:t xml:space="preserve"> akcje na Facebook’u – „Centrum pomaga”, „Centrum działa”, „Zamów z Centrum na Wynos”</w:t>
      </w:r>
      <w:r w:rsidRPr="00E00B35">
        <w:rPr>
          <w:szCs w:val="20"/>
        </w:rPr>
        <w:t xml:space="preserve"> – wspierające przedsiębiorców oraz „Domowe Centrum Kultury” – wspierające instytucje kultury znajdujące się w centrum (kilka tysięcy odbiorców postów na Facebook’u). Zespół projektu Inne Centrum był w </w:t>
      </w:r>
      <w:r w:rsidRPr="00E00B35">
        <w:rPr>
          <w:b/>
          <w:bCs/>
          <w:szCs w:val="20"/>
        </w:rPr>
        <w:t>bieżącym kontakcie z przedsiębiorcami</w:t>
      </w:r>
      <w:r w:rsidRPr="00E00B35">
        <w:rPr>
          <w:szCs w:val="20"/>
        </w:rPr>
        <w:t xml:space="preserve"> monitorując ich sytuację w związku z kryzysem (mailowo, telefonicznie, bezpośrednio - ponad 100 rozmów). </w:t>
      </w:r>
    </w:p>
    <w:p w:rsidR="00BE6C24" w:rsidRPr="00E00B35" w:rsidRDefault="00BE6C24" w:rsidP="00E00B35">
      <w:pPr>
        <w:spacing w:after="0" w:line="312" w:lineRule="auto"/>
        <w:rPr>
          <w:szCs w:val="20"/>
        </w:rPr>
      </w:pPr>
      <w:r w:rsidRPr="00E00B35">
        <w:rPr>
          <w:szCs w:val="20"/>
        </w:rPr>
        <w:t xml:space="preserve">W okresie letnim zorganizowano </w:t>
      </w:r>
      <w:r w:rsidRPr="00E00B35">
        <w:rPr>
          <w:b/>
          <w:bCs/>
          <w:szCs w:val="20"/>
        </w:rPr>
        <w:t>4 spacery miejskie „Inne Spacery”</w:t>
      </w:r>
      <w:r w:rsidRPr="00E00B35">
        <w:rPr>
          <w:szCs w:val="20"/>
        </w:rPr>
        <w:t xml:space="preserve"> po najważniejszych miejscach w Centrum Staromiejskim, które okazały się sukcesem frekwencyjnym (180 uczestników). Wraz ze wsparciem finansowym Narodowego Centrum Kultury udało się przeprowadzić </w:t>
      </w:r>
      <w:r w:rsidRPr="00E00B35">
        <w:rPr>
          <w:b/>
          <w:bCs/>
          <w:szCs w:val="20"/>
        </w:rPr>
        <w:t>serię wydarzeń</w:t>
      </w:r>
      <w:r w:rsidRPr="00E00B35">
        <w:rPr>
          <w:szCs w:val="20"/>
        </w:rPr>
        <w:t xml:space="preserve"> </w:t>
      </w:r>
      <w:r w:rsidRPr="00E00B35">
        <w:rPr>
          <w:b/>
          <w:bCs/>
          <w:szCs w:val="20"/>
        </w:rPr>
        <w:t>oraz zebrać materiały edukacyjne</w:t>
      </w:r>
      <w:r w:rsidRPr="00E00B35">
        <w:rPr>
          <w:szCs w:val="20"/>
        </w:rPr>
        <w:t xml:space="preserve"> </w:t>
      </w:r>
      <w:r w:rsidRPr="00E00B35">
        <w:rPr>
          <w:b/>
          <w:bCs/>
          <w:szCs w:val="20"/>
        </w:rPr>
        <w:t>nt. projektowania miejskiego na nowopowstałej stronie www.dobrywidok.com</w:t>
      </w:r>
      <w:r w:rsidRPr="00E00B35">
        <w:rPr>
          <w:szCs w:val="20"/>
        </w:rPr>
        <w:t xml:space="preserve"> oraz fanpage’u na Facebook’u „Dobry Widok”. Odbyły się </w:t>
      </w:r>
      <w:r w:rsidRPr="00E00B35">
        <w:rPr>
          <w:b/>
          <w:bCs/>
          <w:szCs w:val="20"/>
        </w:rPr>
        <w:t>4 webinary nt. estetyki w mieście</w:t>
      </w:r>
      <w:r w:rsidRPr="00E00B35">
        <w:rPr>
          <w:szCs w:val="20"/>
        </w:rPr>
        <w:t xml:space="preserve">, na stronie dostępne są artykuły, słownik pojęć, infografiki, dobre praktyki, dotychczasowe realizacje redizajnu witryn oraz informacje o projektantach (kilkanaście tysięcy odbiorców na Facebook’u). Odświeżone zostały witryny lokali usługowych, w tym m.in. sklep ogrodniczy Pan Tulipan z ul. Stawowej. </w:t>
      </w:r>
    </w:p>
    <w:p w:rsidR="00BE6C24" w:rsidRPr="00E00B35" w:rsidRDefault="00BE6C24" w:rsidP="00E00B35">
      <w:pPr>
        <w:spacing w:after="0" w:line="312" w:lineRule="auto"/>
        <w:rPr>
          <w:szCs w:val="20"/>
        </w:rPr>
      </w:pPr>
      <w:r w:rsidRPr="00E00B35">
        <w:rPr>
          <w:szCs w:val="20"/>
        </w:rPr>
        <w:t xml:space="preserve">Zorganizowana została </w:t>
      </w:r>
      <w:r w:rsidRPr="00E00B35">
        <w:rPr>
          <w:b/>
          <w:bCs/>
          <w:szCs w:val="20"/>
        </w:rPr>
        <w:t>wystawa archiwalnych zdjęć z placu Kościuszki</w:t>
      </w:r>
      <w:r w:rsidRPr="00E00B35">
        <w:rPr>
          <w:szCs w:val="20"/>
        </w:rPr>
        <w:t xml:space="preserve">, którą oglądać można było w witrynach lokali usługowych. Stworzone zostały </w:t>
      </w:r>
      <w:r w:rsidRPr="00E00B35">
        <w:rPr>
          <w:b/>
          <w:bCs/>
          <w:szCs w:val="20"/>
        </w:rPr>
        <w:t xml:space="preserve">2 filmy </w:t>
      </w:r>
      <w:r w:rsidRPr="00E00B35">
        <w:rPr>
          <w:b/>
          <w:bCs/>
          <w:szCs w:val="20"/>
        </w:rPr>
        <w:lastRenderedPageBreak/>
        <w:t>promocyjne „Biznes po sąsiedzku”</w:t>
      </w:r>
      <w:r w:rsidRPr="00E00B35">
        <w:rPr>
          <w:szCs w:val="20"/>
        </w:rPr>
        <w:t xml:space="preserve"> promujące wspólnotę w biznesie oraz budujące pozytywny wizerunek poszczególnych biznesów (kilkuset odbiorców online). Pod koniec roku zespół projektowy przygotował </w:t>
      </w:r>
      <w:r w:rsidRPr="00E00B35">
        <w:rPr>
          <w:b/>
          <w:bCs/>
          <w:szCs w:val="20"/>
        </w:rPr>
        <w:t>powitanie odrestaurowanego neonu „PZU Ubezpiecz mieszkanie”</w:t>
      </w:r>
      <w:r w:rsidRPr="00E00B35">
        <w:rPr>
          <w:szCs w:val="20"/>
        </w:rPr>
        <w:t xml:space="preserve"> na placu Kościuszki, zbierając materiały na ten temat  oraz transmitując na żywo moment ponownego rozświetlenie neonu (kilkanaście tysięcy odbiorców). Przeprowadzony został </w:t>
      </w:r>
      <w:r w:rsidRPr="00E00B35">
        <w:rPr>
          <w:b/>
          <w:bCs/>
          <w:szCs w:val="20"/>
        </w:rPr>
        <w:t>konkurs na najlepszą witrynę świąteczną</w:t>
      </w:r>
      <w:r w:rsidRPr="00E00B35">
        <w:rPr>
          <w:szCs w:val="20"/>
        </w:rPr>
        <w:t xml:space="preserve"> „Witryna na Gwiazdkę” oraz stworzony został film instruktażowy dla przedsiębiorców (21 zgłoszonych witryn, ponad 30 tys. odbiorców na Facebook’u), w którym na przykładzie księgarni Wratilavia pokazano, jak w tani i prosty sposób zmienić aranżację witryny.</w:t>
      </w:r>
    </w:p>
    <w:p w:rsidR="00BE6C24" w:rsidRPr="00E00B35" w:rsidRDefault="00BE6C24" w:rsidP="00E00B35">
      <w:pPr>
        <w:autoSpaceDE w:val="0"/>
        <w:autoSpaceDN w:val="0"/>
        <w:adjustRightInd w:val="0"/>
        <w:spacing w:after="0" w:line="312" w:lineRule="auto"/>
        <w:rPr>
          <w:rFonts w:cs="Verdana"/>
          <w:szCs w:val="20"/>
        </w:rPr>
      </w:pPr>
    </w:p>
    <w:p w:rsidR="00BE6C24" w:rsidRPr="00E00B35" w:rsidRDefault="00BE6C24" w:rsidP="00BC64AB">
      <w:pPr>
        <w:pStyle w:val="Nagwek4"/>
        <w:numPr>
          <w:ilvl w:val="0"/>
          <w:numId w:val="271"/>
        </w:numPr>
        <w:spacing w:before="0" w:after="0" w:line="312" w:lineRule="auto"/>
        <w:ind w:left="567" w:hanging="567"/>
        <w:rPr>
          <w:sz w:val="20"/>
          <w:szCs w:val="20"/>
        </w:rPr>
      </w:pPr>
      <w:r w:rsidRPr="00E00B35">
        <w:rPr>
          <w:sz w:val="20"/>
          <w:szCs w:val="20"/>
        </w:rPr>
        <w:t>Prowadzenie punktu informacji i wsparcia przedsiębiorczości na Nadodrzu (2019-2021)</w:t>
      </w:r>
    </w:p>
    <w:p w:rsidR="00BE6C24" w:rsidRPr="00E00B35" w:rsidRDefault="00BE6C24" w:rsidP="00E00B35">
      <w:pPr>
        <w:spacing w:after="0" w:line="312" w:lineRule="auto"/>
        <w:rPr>
          <w:szCs w:val="20"/>
        </w:rPr>
      </w:pPr>
      <w:r w:rsidRPr="00E00B35">
        <w:rPr>
          <w:szCs w:val="20"/>
        </w:rPr>
        <w:t xml:space="preserve">Tak jak w przypadku większości podmiotów o charakterze szkoleniowo-integracyjnym, działalność Infopunktu Nadodrze przeniosła się do Internetu. </w:t>
      </w:r>
    </w:p>
    <w:p w:rsidR="00BE6C24" w:rsidRPr="00E00B35" w:rsidRDefault="00BE6C24" w:rsidP="00E00B35">
      <w:pPr>
        <w:spacing w:after="0" w:line="312" w:lineRule="auto"/>
        <w:rPr>
          <w:szCs w:val="20"/>
        </w:rPr>
      </w:pPr>
      <w:r w:rsidRPr="00E00B35">
        <w:rPr>
          <w:szCs w:val="20"/>
        </w:rPr>
        <w:t>Zaplanowana na marzec wiosenna edycja „Specjałów Nadodrza” została zamieniona w </w:t>
      </w:r>
      <w:r w:rsidRPr="00E00B35">
        <w:rPr>
          <w:b/>
          <w:bCs/>
          <w:szCs w:val="20"/>
        </w:rPr>
        <w:t>akcję promocyjną zamówień na dowóz od lokalnej gastronomii</w:t>
      </w:r>
      <w:r w:rsidRPr="00E00B35">
        <w:rPr>
          <w:szCs w:val="20"/>
        </w:rPr>
        <w:t>. Przez cały rok 2020 pracownicy Infopunktu informowali o tym, w jaki sposób działają lokalni przedsiębiorcy - jak funkcjonują lokale, jak można korzystać z ich oferty, które działalności przeniosły się do Internetu.</w:t>
      </w:r>
    </w:p>
    <w:p w:rsidR="00BE6C24" w:rsidRPr="00E00B35" w:rsidRDefault="00BE6C24" w:rsidP="00E00B35">
      <w:pPr>
        <w:spacing w:after="0" w:line="312" w:lineRule="auto"/>
        <w:rPr>
          <w:szCs w:val="20"/>
        </w:rPr>
      </w:pPr>
      <w:r w:rsidRPr="00E00B35">
        <w:rPr>
          <w:szCs w:val="20"/>
        </w:rPr>
        <w:t xml:space="preserve">W początkowej fazie lockdown’u zorganizowane zostały </w:t>
      </w:r>
      <w:r w:rsidRPr="00E00B35">
        <w:rPr>
          <w:b/>
          <w:bCs/>
          <w:szCs w:val="20"/>
        </w:rPr>
        <w:t>webinaria</w:t>
      </w:r>
      <w:r w:rsidRPr="00E00B35">
        <w:rPr>
          <w:szCs w:val="20"/>
        </w:rPr>
        <w:t xml:space="preserve"> o prawnych aspektach “tarcz antykryzysowych”, specyfice przenoszenia działalności do Internetu (6 warsztatów, w których wzięło udział ok. 80 osób) oraz </w:t>
      </w:r>
      <w:r w:rsidRPr="00E00B35">
        <w:rPr>
          <w:b/>
          <w:bCs/>
          <w:szCs w:val="20"/>
        </w:rPr>
        <w:t>konsultacje z prawnikiem oraz specjalistką od ekonomii i księgowości</w:t>
      </w:r>
      <w:r w:rsidRPr="00E00B35">
        <w:rPr>
          <w:szCs w:val="20"/>
        </w:rPr>
        <w:t xml:space="preserve"> (kilkanaście konsultacji oraz publikacje informacji w kanałach internetowych). </w:t>
      </w:r>
    </w:p>
    <w:p w:rsidR="00BE6C24" w:rsidRPr="00E00B35" w:rsidRDefault="00BE6C24" w:rsidP="00E00B35">
      <w:pPr>
        <w:spacing w:after="0" w:line="312" w:lineRule="auto"/>
        <w:rPr>
          <w:szCs w:val="20"/>
        </w:rPr>
      </w:pPr>
      <w:r w:rsidRPr="00E00B35">
        <w:rPr>
          <w:szCs w:val="20"/>
        </w:rPr>
        <w:t xml:space="preserve">Mimo lockdown’u udało się zorganizować </w:t>
      </w:r>
      <w:r w:rsidRPr="00E00B35">
        <w:rPr>
          <w:b/>
          <w:bCs/>
          <w:szCs w:val="20"/>
        </w:rPr>
        <w:t>wydarzenia plenerowe: dwie edycje „Nocy Nadodrza”</w:t>
      </w:r>
      <w:r w:rsidRPr="00E00B35">
        <w:rPr>
          <w:szCs w:val="20"/>
        </w:rPr>
        <w:t xml:space="preserve"> (w której udział wzięło 40 miejsc), </w:t>
      </w:r>
      <w:r w:rsidRPr="00E00B35">
        <w:rPr>
          <w:b/>
          <w:bCs/>
          <w:szCs w:val="20"/>
        </w:rPr>
        <w:t>tematyczne spacery z przewodnikami</w:t>
      </w:r>
      <w:r w:rsidRPr="00E00B35">
        <w:rPr>
          <w:szCs w:val="20"/>
        </w:rPr>
        <w:t xml:space="preserve"> (5 spacerów, ok. 240 uczestników), </w:t>
      </w:r>
      <w:r w:rsidRPr="00E00B35">
        <w:rPr>
          <w:b/>
          <w:bCs/>
          <w:szCs w:val="20"/>
        </w:rPr>
        <w:t>wystawę prac graficznych w witrynach lokali</w:t>
      </w:r>
      <w:r w:rsidRPr="00E00B35">
        <w:rPr>
          <w:szCs w:val="20"/>
        </w:rPr>
        <w:t xml:space="preserve"> (7 lokalizacji) </w:t>
      </w:r>
      <w:r w:rsidRPr="00E00B35">
        <w:rPr>
          <w:b/>
          <w:bCs/>
          <w:szCs w:val="20"/>
        </w:rPr>
        <w:t>oraz „Specjały Nadodrza”</w:t>
      </w:r>
      <w:r w:rsidRPr="00E00B35">
        <w:rPr>
          <w:szCs w:val="20"/>
        </w:rPr>
        <w:t xml:space="preserve"> (18 miejsc z gastronomią) - szczególnie z wykorzystaniem ogródków gastronomicznych, w zasadach reżimu sanitarnego. </w:t>
      </w:r>
    </w:p>
    <w:p w:rsidR="00BE6C24" w:rsidRPr="00E00B35" w:rsidRDefault="00BE6C24" w:rsidP="00E00B35">
      <w:pPr>
        <w:spacing w:after="0" w:line="312" w:lineRule="auto"/>
        <w:rPr>
          <w:szCs w:val="20"/>
        </w:rPr>
      </w:pPr>
      <w:r w:rsidRPr="00E00B35">
        <w:rPr>
          <w:szCs w:val="20"/>
        </w:rPr>
        <w:t xml:space="preserve">Rok 2020 zakończono </w:t>
      </w:r>
      <w:r w:rsidRPr="00E00B35">
        <w:rPr>
          <w:b/>
          <w:bCs/>
          <w:szCs w:val="20"/>
        </w:rPr>
        <w:t>świąteczną akcją „Prezent od rzemieślnika”</w:t>
      </w:r>
      <w:r w:rsidRPr="00E00B35">
        <w:rPr>
          <w:szCs w:val="20"/>
        </w:rPr>
        <w:t xml:space="preserve"> (udział 25 rzemieślników), której celem było zaproszenie mieszkańców i mieszkanek do korzystania z małych sklepów i lokalnych zakładów rzemieślniczych. Ponadto, Infopunkt kontynuował badania nad kondycją nadodrzańskiego rzemiosła, aby sprawdzić, jak małe zakłady promują się w czasie pandemii i w jaki sposób temat rękodzieła może być atrakcyjny dla świadomych odbiorców. </w:t>
      </w:r>
    </w:p>
    <w:p w:rsidR="00BE6C24" w:rsidRPr="00E00B35" w:rsidRDefault="00BE6C24" w:rsidP="00E00B35">
      <w:pPr>
        <w:pStyle w:val="normal0"/>
        <w:spacing w:line="312" w:lineRule="auto"/>
        <w:rPr>
          <w:rFonts w:ascii="Verdana" w:hAnsi="Verdana" w:cs="Verdana"/>
          <w:sz w:val="20"/>
          <w:szCs w:val="20"/>
        </w:rPr>
      </w:pPr>
    </w:p>
    <w:p w:rsidR="00BE6C24" w:rsidRPr="00E00B35" w:rsidRDefault="00BE6C24" w:rsidP="00BC64AB">
      <w:pPr>
        <w:pStyle w:val="Nagwek4"/>
        <w:numPr>
          <w:ilvl w:val="0"/>
          <w:numId w:val="271"/>
        </w:numPr>
        <w:spacing w:before="0" w:after="0" w:line="312" w:lineRule="auto"/>
        <w:ind w:left="567" w:hanging="567"/>
        <w:rPr>
          <w:sz w:val="20"/>
          <w:szCs w:val="20"/>
        </w:rPr>
      </w:pPr>
      <w:r w:rsidRPr="00E00B35">
        <w:rPr>
          <w:sz w:val="20"/>
          <w:szCs w:val="20"/>
        </w:rPr>
        <w:t xml:space="preserve">Centrum Rozwoju Zawodowego CRZ Krzywy Komin </w:t>
      </w:r>
    </w:p>
    <w:p w:rsidR="00BE6C24" w:rsidRPr="00E00B35" w:rsidRDefault="00BE6C24" w:rsidP="00E00B35">
      <w:pPr>
        <w:spacing w:after="0" w:line="312" w:lineRule="auto"/>
        <w:rPr>
          <w:szCs w:val="20"/>
        </w:rPr>
      </w:pPr>
      <w:r w:rsidRPr="00E00B35">
        <w:rPr>
          <w:szCs w:val="20"/>
        </w:rPr>
        <w:t xml:space="preserve">Od marca 2020 r. zmianie uległa forma oraz zakładany czas realizacji wydarzeń Krzywego Komina. Większość wydarzeń została zorganizowana w formie online (poprzez platformy streamingowe), w postaci webinarów i zajęć online. Dzięki temu w  wielu obszarach osiągnięto rezultaty większe niż zakładane. Po analizie sugestii i wniosków z przeprowadzonych ankiet i wywiadów oraz obserwacji lokalnego środowiska </w:t>
      </w:r>
      <w:r w:rsidRPr="00E00B35">
        <w:rPr>
          <w:szCs w:val="20"/>
        </w:rPr>
        <w:lastRenderedPageBreak/>
        <w:t xml:space="preserve">wzbogacono ofertę CRZ o nowe działania i </w:t>
      </w:r>
      <w:r w:rsidRPr="00E00B35">
        <w:rPr>
          <w:b/>
          <w:bCs/>
          <w:szCs w:val="20"/>
        </w:rPr>
        <w:t>zwiększono liczbę warsztatów</w:t>
      </w:r>
      <w:r w:rsidRPr="00E00B35">
        <w:rPr>
          <w:szCs w:val="20"/>
        </w:rPr>
        <w:t xml:space="preserve">, które cieszyły się największą popularnością. </w:t>
      </w:r>
    </w:p>
    <w:p w:rsidR="00BE6C24" w:rsidRPr="00E00B35" w:rsidRDefault="00BE6C24" w:rsidP="00E00B35">
      <w:pPr>
        <w:spacing w:after="0" w:line="312" w:lineRule="auto"/>
        <w:rPr>
          <w:b/>
          <w:bCs/>
          <w:szCs w:val="20"/>
        </w:rPr>
      </w:pPr>
      <w:r w:rsidRPr="00E00B35">
        <w:rPr>
          <w:b/>
          <w:bCs/>
          <w:szCs w:val="20"/>
        </w:rPr>
        <w:t>Zajęcia online zostały dostosowane pod względem formy i merytoryki do określonych grup wiekowych i tematycznych.</w:t>
      </w:r>
    </w:p>
    <w:p w:rsidR="00BE6C24" w:rsidRPr="00E00B35" w:rsidRDefault="00BE6C24" w:rsidP="00E00B35">
      <w:pPr>
        <w:spacing w:after="0" w:line="312" w:lineRule="auto"/>
        <w:rPr>
          <w:szCs w:val="20"/>
        </w:rPr>
      </w:pPr>
      <w:r w:rsidRPr="00E00B35">
        <w:rPr>
          <w:szCs w:val="20"/>
        </w:rPr>
        <w:t>Zakres programu umożliwił uczestnictwo osobom z różnych grup społecznych, ekonomicznych, również zagrożonych wykluczeniem. Prowadzone zajęcia były nastawione na budowanie postawy współpracy i integrację poprzez kulturę, sztukę, dizajn i rzemiosło.</w:t>
      </w:r>
    </w:p>
    <w:p w:rsidR="00BE6C24" w:rsidRPr="00E00B35" w:rsidRDefault="00BE6C24" w:rsidP="00E00B35">
      <w:pPr>
        <w:spacing w:after="0" w:line="312" w:lineRule="auto"/>
        <w:rPr>
          <w:szCs w:val="20"/>
        </w:rPr>
      </w:pPr>
      <w:r w:rsidRPr="00E00B35">
        <w:rPr>
          <w:szCs w:val="20"/>
        </w:rPr>
        <w:t xml:space="preserve">Z oferty CRZ skorzystało 2723 uczestników, podczas 265 wydarzeń. </w:t>
      </w:r>
    </w:p>
    <w:p w:rsidR="00BE6C24" w:rsidRPr="00E00B35" w:rsidRDefault="00BE6C24" w:rsidP="00E00B35">
      <w:pPr>
        <w:spacing w:after="0" w:line="312" w:lineRule="auto"/>
        <w:rPr>
          <w:rFonts w:cs="Verdana"/>
          <w:b/>
          <w:bCs/>
          <w:szCs w:val="20"/>
        </w:rPr>
      </w:pPr>
    </w:p>
    <w:p w:rsidR="00BE6C24" w:rsidRPr="00E00B35" w:rsidRDefault="00BE6C24" w:rsidP="00BC64AB">
      <w:pPr>
        <w:pStyle w:val="Nagwek4"/>
        <w:numPr>
          <w:ilvl w:val="0"/>
          <w:numId w:val="271"/>
        </w:numPr>
        <w:spacing w:before="0" w:after="0" w:line="312" w:lineRule="auto"/>
        <w:ind w:left="567" w:hanging="567"/>
        <w:rPr>
          <w:sz w:val="20"/>
          <w:szCs w:val="20"/>
        </w:rPr>
      </w:pPr>
      <w:r w:rsidRPr="00E00B35">
        <w:rPr>
          <w:sz w:val="20"/>
          <w:szCs w:val="20"/>
        </w:rPr>
        <w:t xml:space="preserve">#WrocławZdalnieLokalnie </w:t>
      </w:r>
    </w:p>
    <w:p w:rsidR="00BE6C24" w:rsidRPr="00E00B35" w:rsidRDefault="00BE6C24" w:rsidP="00E00B35">
      <w:pPr>
        <w:spacing w:after="0" w:line="312" w:lineRule="auto"/>
        <w:rPr>
          <w:szCs w:val="20"/>
        </w:rPr>
      </w:pPr>
      <w:r w:rsidRPr="00E00B35">
        <w:rPr>
          <w:szCs w:val="20"/>
        </w:rPr>
        <w:t xml:space="preserve">To realizowana od maja 2020 r. akcja wsparcia wrocławskich przedsiębiorców – zwłaszcza z branży handlowej – w związku z pandemią COVID-19. We współpracy z wrocławską firmą Zado.pl oraz Katedrą Grafiki Uniwersytetu SWPS, zachęcano mieszkańców do zakupów w formie zdalnej (przez telefon lub Internet) u lokalnych przedsiębiorców. W tym celu - twórcy serwisu - przygotowali aktywną mapę, która w jednym miejscu zbiera najważniejsze informacje o lokalnych sklepach, oferujących zakupy z dostawą lub bezpiecznym odbiorem osobistym. Ponadto dla przedsiębiorców z Wrocławia, przygotowano możliwość bezpłatnego uruchomienia profesjonalnego sklepu internetowego wraz z darmowym miesiącem jego prowadzenia (bez prowizji od sprzedaży). </w:t>
      </w:r>
    </w:p>
    <w:p w:rsidR="00BE6C24" w:rsidRPr="00E00B35" w:rsidRDefault="00BE6C24" w:rsidP="00E00B35">
      <w:pPr>
        <w:spacing w:after="0" w:line="312" w:lineRule="auto"/>
        <w:rPr>
          <w:szCs w:val="20"/>
        </w:rPr>
      </w:pPr>
      <w:r w:rsidRPr="00E00B35">
        <w:rPr>
          <w:szCs w:val="20"/>
        </w:rPr>
        <w:t>W ramach akcji zrealizowano - w sierpniu 2020 r. - kampanię promocyjno-informacyjną na 18 nośnikach outdoorowych. Środki przeznaczone na realizację akcji #WrocławZdalnieLokalnie w roku 2020 wyniosły łącznie 9 181,95 zł.</w:t>
      </w:r>
    </w:p>
    <w:p w:rsidR="00BE6C24" w:rsidRPr="00E00B35" w:rsidRDefault="00BE6C24" w:rsidP="00E00B35">
      <w:pPr>
        <w:spacing w:after="0" w:line="312" w:lineRule="auto"/>
        <w:rPr>
          <w:rFonts w:cs="Verdana"/>
          <w:szCs w:val="20"/>
        </w:rPr>
      </w:pPr>
    </w:p>
    <w:p w:rsidR="00BE6C24" w:rsidRPr="00E00B35" w:rsidRDefault="00BE6C24" w:rsidP="00E00B35">
      <w:pPr>
        <w:pStyle w:val="Nagwek4"/>
        <w:spacing w:before="0" w:after="0" w:line="312" w:lineRule="auto"/>
        <w:rPr>
          <w:sz w:val="20"/>
          <w:szCs w:val="20"/>
        </w:rPr>
      </w:pPr>
      <w:r w:rsidRPr="00E00B35">
        <w:rPr>
          <w:sz w:val="20"/>
          <w:szCs w:val="20"/>
        </w:rPr>
        <w:t>Poprawa estetyki przestrzeni publicznej w centrum staromiejskim we Wrocławiu poprzez realizację uchwały nr LVI/1465/14 RMW z dnia 10 kwietnia 2014 r. (Park Kulturowy) (zadanie 134 założeń polityki społeczno-gospodarczej)</w:t>
      </w:r>
    </w:p>
    <w:p w:rsidR="00BE6C24" w:rsidRPr="00E00B35" w:rsidRDefault="00BE6C24" w:rsidP="00E00B35">
      <w:pPr>
        <w:spacing w:after="0" w:line="312" w:lineRule="auto"/>
        <w:rPr>
          <w:rFonts w:cs="Verdana"/>
          <w:b/>
          <w:bCs/>
          <w:szCs w:val="20"/>
        </w:rPr>
      </w:pPr>
    </w:p>
    <w:p w:rsidR="00BE6C24" w:rsidRPr="00E00B35" w:rsidRDefault="00BE6C24" w:rsidP="00BC64AB">
      <w:pPr>
        <w:pStyle w:val="Nagwek4"/>
        <w:numPr>
          <w:ilvl w:val="0"/>
          <w:numId w:val="272"/>
        </w:numPr>
        <w:spacing w:before="0" w:after="0" w:line="312" w:lineRule="auto"/>
        <w:ind w:left="567" w:hanging="567"/>
        <w:rPr>
          <w:sz w:val="20"/>
          <w:szCs w:val="20"/>
        </w:rPr>
      </w:pPr>
      <w:r w:rsidRPr="00E00B35">
        <w:rPr>
          <w:sz w:val="20"/>
          <w:szCs w:val="20"/>
        </w:rPr>
        <w:t>Zarządzenie nr 1161/19 Prezydenta Wrocławia z dnia 17 czerwca 2019r. w sprawie określania zasad udostępniania nieruchomości w celu umieszczania szyldów, tablic reklamowych i urządzeń reklamowych</w:t>
      </w:r>
    </w:p>
    <w:p w:rsidR="00BE6C24" w:rsidRPr="00E00B35" w:rsidRDefault="00BE6C24" w:rsidP="00E00B35">
      <w:pPr>
        <w:spacing w:after="0" w:line="312" w:lineRule="auto"/>
        <w:rPr>
          <w:szCs w:val="20"/>
        </w:rPr>
      </w:pPr>
      <w:r w:rsidRPr="00E00B35">
        <w:rPr>
          <w:szCs w:val="20"/>
        </w:rPr>
        <w:t>Działając w oparciu o w/w zarządzenie, wykonano następujące zadania:</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Verdana"/>
          <w:szCs w:val="20"/>
        </w:rPr>
        <w:t xml:space="preserve">realizowano </w:t>
      </w:r>
      <w:r w:rsidRPr="00E00B35">
        <w:rPr>
          <w:rFonts w:cs="Arial"/>
          <w:iCs/>
          <w:szCs w:val="20"/>
        </w:rPr>
        <w:t xml:space="preserve">4 </w:t>
      </w:r>
      <w:r w:rsidRPr="00E00B35">
        <w:rPr>
          <w:rFonts w:cs="Arial"/>
          <w:i/>
          <w:szCs w:val="20"/>
        </w:rPr>
        <w:t>umowy</w:t>
      </w:r>
      <w:r w:rsidRPr="00E00B35">
        <w:rPr>
          <w:rFonts w:cs="Arial"/>
          <w:iCs/>
          <w:szCs w:val="20"/>
        </w:rPr>
        <w:t xml:space="preserve"> z inwestorami reklamy zewnętrznej, umieszczającymi na </w:t>
      </w:r>
      <w:r w:rsidRPr="00E00B35">
        <w:rPr>
          <w:rFonts w:cs="Arial"/>
          <w:i/>
          <w:szCs w:val="20"/>
        </w:rPr>
        <w:t>nieruchomościach</w:t>
      </w:r>
      <w:r w:rsidRPr="00E00B35">
        <w:rPr>
          <w:rFonts w:cs="Arial"/>
          <w:iCs/>
          <w:szCs w:val="20"/>
        </w:rPr>
        <w:t xml:space="preserve"> miasta: sieci stypizowanych nośników reklamowych (w celu wynajmowania </w:t>
      </w:r>
      <w:r w:rsidRPr="00E00B35">
        <w:rPr>
          <w:rFonts w:cs="Arial"/>
          <w:i/>
          <w:szCs w:val="20"/>
        </w:rPr>
        <w:t>powierzchni</w:t>
      </w:r>
      <w:r w:rsidRPr="00E00B35">
        <w:rPr>
          <w:rFonts w:cs="Arial"/>
          <w:iCs/>
          <w:szCs w:val="20"/>
        </w:rPr>
        <w:t xml:space="preserve"> reklamowej innym podmiotom), na łączną liczbę 69 lokalizacji nośników. Obsługa inwestorów polega w szczególności na: rozpatrywaniu ofert, realizacji umów cywilnoprawnych, uzgadnianiu lokalizacji nośników reklamowych w ramach konsultacji prowadzonych z właściwymi wydziałami i jednostkami organizacyjnymi miasta, wystawianiu faktur VAT oraz sporządzaniu rejestrów sprzedaży, </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lastRenderedPageBreak/>
        <w:t xml:space="preserve">prowadzono monitoring nośników reklamowych zrealizowanych na podstawie umów, </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egzekwowano demontaże reklam umieszczonych na nieruchomościach komunalnych bez tytułu prawnego.</w:t>
      </w:r>
    </w:p>
    <w:p w:rsidR="00BE6C24" w:rsidRPr="00E00B35" w:rsidRDefault="00BE6C24" w:rsidP="00E00B35">
      <w:pPr>
        <w:spacing w:after="0" w:line="312" w:lineRule="auto"/>
        <w:rPr>
          <w:rFonts w:cs="Verdana"/>
          <w:szCs w:val="20"/>
        </w:rPr>
      </w:pPr>
    </w:p>
    <w:p w:rsidR="00BE6C24" w:rsidRPr="00E00B35" w:rsidRDefault="00BE6C24" w:rsidP="00BC64AB">
      <w:pPr>
        <w:pStyle w:val="Nagwek4"/>
        <w:numPr>
          <w:ilvl w:val="0"/>
          <w:numId w:val="272"/>
        </w:numPr>
        <w:spacing w:before="0" w:after="0" w:line="312" w:lineRule="auto"/>
        <w:ind w:left="567" w:hanging="567"/>
        <w:rPr>
          <w:sz w:val="20"/>
          <w:szCs w:val="20"/>
        </w:rPr>
      </w:pPr>
      <w:r w:rsidRPr="00E00B35">
        <w:rPr>
          <w:sz w:val="20"/>
          <w:szCs w:val="20"/>
        </w:rPr>
        <w:t>Uchwała</w:t>
      </w:r>
      <w:r w:rsidRPr="00E00B35">
        <w:rPr>
          <w:rFonts w:cs="Verdana"/>
          <w:b w:val="0"/>
          <w:bCs/>
          <w:sz w:val="20"/>
          <w:szCs w:val="20"/>
        </w:rPr>
        <w:t xml:space="preserve"> </w:t>
      </w:r>
      <w:r w:rsidRPr="00E00B35">
        <w:rPr>
          <w:sz w:val="20"/>
          <w:szCs w:val="20"/>
        </w:rPr>
        <w:t>nr LVI/1465/17 Rady Miejskiej Wrocławia z dnia 10 kwietnia 2014r. w sprawie utworzenia Parku Kulturowego „Stare Miasto”</w:t>
      </w:r>
    </w:p>
    <w:p w:rsidR="00BE6C24" w:rsidRPr="00E00B35" w:rsidRDefault="00BE6C24" w:rsidP="00E00B35">
      <w:pPr>
        <w:tabs>
          <w:tab w:val="left" w:pos="567"/>
        </w:tabs>
        <w:autoSpaceDE w:val="0"/>
        <w:autoSpaceDN w:val="0"/>
        <w:adjustRightInd w:val="0"/>
        <w:spacing w:after="0" w:line="312" w:lineRule="auto"/>
        <w:rPr>
          <w:rFonts w:cs="Verdana"/>
          <w:b/>
          <w:bCs/>
          <w:szCs w:val="20"/>
        </w:rPr>
      </w:pPr>
      <w:r w:rsidRPr="00E00B35">
        <w:rPr>
          <w:rFonts w:cs="Verdana"/>
          <w:szCs w:val="20"/>
        </w:rPr>
        <w:t>Działając w oparciu o ww. uchwałę o Parku Kulturowym współpracowano z Zespołem Roboczym ds. Parku Kulturowego "Stare Miasto” we Wrocławiu w celu kompleksowej ochrony przestrzeni publicznej o najwyższych wartościach kulturowych poprzez realizację przepisów ograniczających negatywne zjawiska, takie jak np. reklamy wielkoformatowe, nośniki reklamowe (billboardy, citylighty), reklamy o niskiej jakości, wyklejanki w witrynach lokali użytkowych, nagabywanie, lokale prowadzące działalność o charakterze erotycznym, graffiti na elewacjach nieruchomości,  nielegalny handel. Realizując zadanie m.in.:</w:t>
      </w:r>
    </w:p>
    <w:p w:rsidR="00BE6C24" w:rsidRPr="00E00B35" w:rsidRDefault="00BE6C24" w:rsidP="00BC64AB">
      <w:pPr>
        <w:pStyle w:val="Akapitzlist"/>
        <w:numPr>
          <w:ilvl w:val="0"/>
          <w:numId w:val="245"/>
        </w:numPr>
        <w:spacing w:after="0" w:line="312" w:lineRule="auto"/>
        <w:ind w:left="567" w:hanging="567"/>
        <w:rPr>
          <w:rFonts w:cs="Verdana"/>
          <w:szCs w:val="20"/>
        </w:rPr>
      </w:pPr>
      <w:r w:rsidRPr="00E00B35">
        <w:rPr>
          <w:rFonts w:cs="Arial"/>
          <w:iCs/>
          <w:szCs w:val="20"/>
        </w:rPr>
        <w:t>koordynowano</w:t>
      </w:r>
      <w:r w:rsidRPr="00E00B35">
        <w:rPr>
          <w:rFonts w:cs="Verdana"/>
          <w:szCs w:val="20"/>
        </w:rPr>
        <w:t xml:space="preserve"> działania jednostek organizacyjnych Miasta w powyższym zakresie,</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przeprowadzono liczne wizje w terenie z udziałem SM, w ramach których: informowano o przepisach uchwały, kontrolowano realizację ww. uchwały RMW, prowadzono bezpośrednie rozmowy z przedsiębiorcami o konieczności usunięcia naruszeń przepisów uchwały,</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prowadzono korespondencję dot. usunięcia naruszeń przepisów uchwały,</w:t>
      </w:r>
    </w:p>
    <w:p w:rsidR="00BE6C24" w:rsidRPr="00E00B35" w:rsidRDefault="00BE6C24" w:rsidP="00BC64AB">
      <w:pPr>
        <w:pStyle w:val="Akapitzlist"/>
        <w:numPr>
          <w:ilvl w:val="0"/>
          <w:numId w:val="245"/>
        </w:numPr>
        <w:spacing w:after="0" w:line="312" w:lineRule="auto"/>
        <w:ind w:left="567" w:hanging="567"/>
        <w:rPr>
          <w:rFonts w:cs="Verdana"/>
          <w:szCs w:val="20"/>
        </w:rPr>
      </w:pPr>
      <w:r w:rsidRPr="00E00B35">
        <w:rPr>
          <w:rFonts w:cs="Arial"/>
          <w:iCs/>
          <w:szCs w:val="20"/>
        </w:rPr>
        <w:t>w lipcu 2020 r. zorganizowano wizytę studyjną dla przedstawicieli samorządu z Gdańska w celu zapoznania się przez nich z procedurami wprowadzania uchwały o parku kulturowym</w:t>
      </w:r>
      <w:r w:rsidRPr="00E00B35">
        <w:rPr>
          <w:rFonts w:cs="Verdana"/>
          <w:szCs w:val="20"/>
        </w:rPr>
        <w:t xml:space="preserve"> i egzekwowania jego zapisów.  </w:t>
      </w:r>
    </w:p>
    <w:p w:rsidR="00BE6C24" w:rsidRPr="00E00B35" w:rsidRDefault="00BE6C24" w:rsidP="00E00B35">
      <w:pPr>
        <w:tabs>
          <w:tab w:val="left" w:pos="567"/>
        </w:tabs>
        <w:autoSpaceDE w:val="0"/>
        <w:autoSpaceDN w:val="0"/>
        <w:adjustRightInd w:val="0"/>
        <w:spacing w:after="0" w:line="312" w:lineRule="auto"/>
        <w:ind w:left="340"/>
        <w:rPr>
          <w:rFonts w:cs="Verdana"/>
          <w:szCs w:val="20"/>
        </w:rPr>
      </w:pPr>
      <w:r w:rsidRPr="00E00B35">
        <w:rPr>
          <w:rFonts w:cs="Verdana"/>
          <w:szCs w:val="20"/>
        </w:rPr>
        <w:t>Łącznie w Parku Kulturowym dzięki współpracy różnych jednostek organizacyjnych Gminy wyegzekwowano usunięcie około 53 naruszeń uchwały.</w:t>
      </w:r>
    </w:p>
    <w:p w:rsidR="00BE6C24" w:rsidRPr="00E00B35" w:rsidRDefault="00BE6C24" w:rsidP="00E00B35">
      <w:pPr>
        <w:tabs>
          <w:tab w:val="left" w:pos="567"/>
        </w:tabs>
        <w:autoSpaceDE w:val="0"/>
        <w:autoSpaceDN w:val="0"/>
        <w:adjustRightInd w:val="0"/>
        <w:spacing w:after="0" w:line="312" w:lineRule="auto"/>
        <w:rPr>
          <w:rFonts w:cs="Verdana"/>
          <w:b/>
          <w:bCs/>
          <w:szCs w:val="20"/>
        </w:rPr>
      </w:pPr>
    </w:p>
    <w:p w:rsidR="00BE6C24" w:rsidRPr="00E00B35" w:rsidRDefault="00BE6C24" w:rsidP="00E00B35">
      <w:pPr>
        <w:tabs>
          <w:tab w:val="left" w:pos="567"/>
        </w:tabs>
        <w:autoSpaceDE w:val="0"/>
        <w:autoSpaceDN w:val="0"/>
        <w:adjustRightInd w:val="0"/>
        <w:spacing w:after="0" w:line="312" w:lineRule="auto"/>
        <w:rPr>
          <w:szCs w:val="20"/>
        </w:rPr>
      </w:pPr>
      <w:r w:rsidRPr="00E00B35">
        <w:rPr>
          <w:rFonts w:cs="Verdana"/>
          <w:bCs/>
          <w:szCs w:val="20"/>
        </w:rPr>
        <w:t>Tabela nr 2</w:t>
      </w:r>
      <w:r w:rsidR="00CD6DA6" w:rsidRPr="00E00B35">
        <w:rPr>
          <w:rFonts w:cs="Verdana"/>
          <w:bCs/>
          <w:szCs w:val="20"/>
        </w:rPr>
        <w:t xml:space="preserve"> - </w:t>
      </w:r>
      <w:r w:rsidRPr="00E00B35">
        <w:rPr>
          <w:szCs w:val="20"/>
        </w:rPr>
        <w:t xml:space="preserve">Liczba usuniętych naruszeń przepisów uchwały o Parku Kulturowym "Stare Miasto" w latach 2017-20, ze wskazaniem naruszeń określonych jako priorytetowe, do usunięcia. </w:t>
      </w:r>
    </w:p>
    <w:tbl>
      <w:tblPr>
        <w:tblW w:w="9514" w:type="dxa"/>
        <w:tblInd w:w="-106" w:type="dxa"/>
        <w:tblLayout w:type="fixed"/>
        <w:tblLook w:val="0000"/>
      </w:tblPr>
      <w:tblGrid>
        <w:gridCol w:w="634"/>
        <w:gridCol w:w="5073"/>
        <w:gridCol w:w="952"/>
        <w:gridCol w:w="951"/>
        <w:gridCol w:w="952"/>
        <w:gridCol w:w="952"/>
      </w:tblGrid>
      <w:tr w:rsidR="00BE6C24" w:rsidRPr="00E00B35" w:rsidTr="00CD6DA6">
        <w:trPr>
          <w:trHeight w:val="1"/>
          <w:tblHeader/>
        </w:trPr>
        <w:tc>
          <w:tcPr>
            <w:tcW w:w="634"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
                <w:bCs/>
                <w:szCs w:val="20"/>
              </w:rPr>
              <w:t>Lp.</w:t>
            </w:r>
          </w:p>
        </w:tc>
        <w:tc>
          <w:tcPr>
            <w:tcW w:w="5073"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
                <w:bCs/>
                <w:szCs w:val="20"/>
              </w:rPr>
              <w:t xml:space="preserve">Naruszenia priorytetowe </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
                <w:bCs/>
                <w:szCs w:val="20"/>
              </w:rPr>
              <w:t>2017</w:t>
            </w:r>
          </w:p>
        </w:tc>
        <w:tc>
          <w:tcPr>
            <w:tcW w:w="951"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
                <w:bCs/>
                <w:szCs w:val="20"/>
              </w:rPr>
              <w:t>2018</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b/>
                <w:bCs/>
                <w:szCs w:val="20"/>
              </w:rPr>
            </w:pPr>
            <w:r w:rsidRPr="00E00B35">
              <w:rPr>
                <w:rFonts w:cs="Verdana"/>
                <w:b/>
                <w:bCs/>
                <w:szCs w:val="20"/>
              </w:rPr>
              <w:t>2019</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b/>
                <w:bCs/>
                <w:szCs w:val="20"/>
              </w:rPr>
            </w:pPr>
            <w:r w:rsidRPr="00E00B35">
              <w:rPr>
                <w:rFonts w:cs="Verdana"/>
                <w:b/>
                <w:bCs/>
                <w:szCs w:val="20"/>
              </w:rPr>
              <w:t>2020</w:t>
            </w:r>
          </w:p>
        </w:tc>
      </w:tr>
      <w:tr w:rsidR="00BE6C24" w:rsidRPr="00E00B35" w:rsidTr="00BE6C24">
        <w:trPr>
          <w:trHeight w:val="1"/>
        </w:trPr>
        <w:tc>
          <w:tcPr>
            <w:tcW w:w="634"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1.</w:t>
            </w:r>
          </w:p>
        </w:tc>
        <w:tc>
          <w:tcPr>
            <w:tcW w:w="5073"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reklama wielkoformatowa</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4</w:t>
            </w:r>
          </w:p>
        </w:tc>
        <w:tc>
          <w:tcPr>
            <w:tcW w:w="951"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r>
      <w:tr w:rsidR="00BE6C24" w:rsidRPr="00E00B35" w:rsidTr="00BE6C24">
        <w:trPr>
          <w:trHeight w:val="1"/>
        </w:trPr>
        <w:tc>
          <w:tcPr>
            <w:tcW w:w="634"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2.</w:t>
            </w:r>
          </w:p>
        </w:tc>
        <w:tc>
          <w:tcPr>
            <w:tcW w:w="5073"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Citylighty</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c>
          <w:tcPr>
            <w:tcW w:w="951"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r>
      <w:tr w:rsidR="00BE6C24" w:rsidRPr="00E00B35" w:rsidTr="00BE6C24">
        <w:trPr>
          <w:trHeight w:val="1"/>
        </w:trPr>
        <w:tc>
          <w:tcPr>
            <w:tcW w:w="634"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3.</w:t>
            </w:r>
          </w:p>
        </w:tc>
        <w:tc>
          <w:tcPr>
            <w:tcW w:w="5073"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Billboardy</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2</w:t>
            </w:r>
          </w:p>
        </w:tc>
        <w:tc>
          <w:tcPr>
            <w:tcW w:w="951"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1</w:t>
            </w:r>
          </w:p>
        </w:tc>
      </w:tr>
      <w:tr w:rsidR="00BE6C24" w:rsidRPr="00E00B35" w:rsidTr="00BE6C24">
        <w:trPr>
          <w:trHeight w:val="1"/>
        </w:trPr>
        <w:tc>
          <w:tcPr>
            <w:tcW w:w="634"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4.</w:t>
            </w:r>
          </w:p>
        </w:tc>
        <w:tc>
          <w:tcPr>
            <w:tcW w:w="5073"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wymiana słupów reklamowych</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c>
          <w:tcPr>
            <w:tcW w:w="951"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r>
      <w:tr w:rsidR="00BE6C24" w:rsidRPr="00E00B35" w:rsidTr="00BE6C24">
        <w:trPr>
          <w:trHeight w:val="1"/>
        </w:trPr>
        <w:tc>
          <w:tcPr>
            <w:tcW w:w="634"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5.</w:t>
            </w:r>
          </w:p>
        </w:tc>
        <w:tc>
          <w:tcPr>
            <w:tcW w:w="5073"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Graffiti</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12</w:t>
            </w:r>
          </w:p>
        </w:tc>
        <w:tc>
          <w:tcPr>
            <w:tcW w:w="951"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29</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32</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1</w:t>
            </w:r>
          </w:p>
        </w:tc>
      </w:tr>
      <w:tr w:rsidR="00BE6C24" w:rsidRPr="00E00B35" w:rsidTr="00BE6C24">
        <w:trPr>
          <w:trHeight w:val="1"/>
        </w:trPr>
        <w:tc>
          <w:tcPr>
            <w:tcW w:w="634"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6.</w:t>
            </w:r>
          </w:p>
        </w:tc>
        <w:tc>
          <w:tcPr>
            <w:tcW w:w="5073"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działalność erotyczna w lokalach</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c>
          <w:tcPr>
            <w:tcW w:w="951"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3</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12</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0</w:t>
            </w:r>
          </w:p>
        </w:tc>
      </w:tr>
      <w:tr w:rsidR="00BE6C24" w:rsidRPr="00E00B35" w:rsidTr="00BE6C24">
        <w:trPr>
          <w:trHeight w:val="1"/>
        </w:trPr>
        <w:tc>
          <w:tcPr>
            <w:tcW w:w="634"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7.</w:t>
            </w:r>
          </w:p>
        </w:tc>
        <w:tc>
          <w:tcPr>
            <w:tcW w:w="5073"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
                <w:bCs/>
                <w:szCs w:val="20"/>
              </w:rPr>
              <w:t>naruszenia inne</w:t>
            </w:r>
            <w:r w:rsidRPr="00E00B35">
              <w:rPr>
                <w:rFonts w:cs="Verdana"/>
                <w:szCs w:val="20"/>
              </w:rPr>
              <w:t xml:space="preserve"> (np. banery,</w:t>
            </w:r>
          </w:p>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wyklejanki w oknach, stojaki reklamowe, kolorowe parasole w ogródkach gastronomicznych, ulotki, nagabywanie, nielegalny handel) – łącznie</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p>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823</w:t>
            </w:r>
          </w:p>
        </w:tc>
        <w:tc>
          <w:tcPr>
            <w:tcW w:w="951"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p>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1.722</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p>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576</w:t>
            </w:r>
          </w:p>
        </w:tc>
        <w:tc>
          <w:tcPr>
            <w:tcW w:w="952"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p>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53</w:t>
            </w:r>
          </w:p>
        </w:tc>
      </w:tr>
    </w:tbl>
    <w:p w:rsidR="00BE6C24" w:rsidRPr="00E00B35" w:rsidRDefault="00BE6C24" w:rsidP="00E00B35">
      <w:pPr>
        <w:tabs>
          <w:tab w:val="left" w:pos="567"/>
        </w:tabs>
        <w:autoSpaceDE w:val="0"/>
        <w:autoSpaceDN w:val="0"/>
        <w:adjustRightInd w:val="0"/>
        <w:spacing w:after="0" w:line="312" w:lineRule="auto"/>
        <w:rPr>
          <w:rFonts w:cs="Verdana"/>
          <w:b/>
          <w:bCs/>
          <w:szCs w:val="20"/>
        </w:rPr>
      </w:pPr>
    </w:p>
    <w:p w:rsidR="00BE6C24" w:rsidRPr="00E00B35" w:rsidRDefault="00BE6C24" w:rsidP="00E00B35">
      <w:pPr>
        <w:spacing w:after="0" w:line="312" w:lineRule="auto"/>
        <w:rPr>
          <w:rFonts w:cs="Verdana"/>
          <w:szCs w:val="20"/>
        </w:rPr>
      </w:pPr>
    </w:p>
    <w:p w:rsidR="00BE6C24" w:rsidRPr="00E00B35" w:rsidRDefault="00BE6C24" w:rsidP="00E00B35">
      <w:pPr>
        <w:spacing w:after="0" w:line="312" w:lineRule="auto"/>
        <w:rPr>
          <w:rFonts w:cs="Verdana"/>
          <w:szCs w:val="20"/>
        </w:rPr>
      </w:pPr>
      <w:r w:rsidRPr="00E00B35">
        <w:rPr>
          <w:rFonts w:cs="Verdana"/>
          <w:szCs w:val="20"/>
        </w:rPr>
        <w:t>Tabela nr 3</w:t>
      </w:r>
      <w:r w:rsidR="00CD6DA6" w:rsidRPr="00E00B35">
        <w:rPr>
          <w:rFonts w:cs="Verdana"/>
          <w:szCs w:val="20"/>
        </w:rPr>
        <w:t xml:space="preserve"> - </w:t>
      </w:r>
      <w:r w:rsidRPr="00E00B35">
        <w:rPr>
          <w:rFonts w:cs="Verdana"/>
          <w:szCs w:val="20"/>
        </w:rPr>
        <w:t>Liczba umów z firmami reklamy zewnętrznej i nośników reklamowych na nieruchomościach komunalnych w latach 2017-2020</w:t>
      </w:r>
    </w:p>
    <w:tbl>
      <w:tblPr>
        <w:tblW w:w="0" w:type="auto"/>
        <w:tblInd w:w="-106" w:type="dxa"/>
        <w:tblLayout w:type="fixed"/>
        <w:tblLook w:val="0000"/>
      </w:tblPr>
      <w:tblGrid>
        <w:gridCol w:w="770"/>
        <w:gridCol w:w="4044"/>
        <w:gridCol w:w="1139"/>
        <w:gridCol w:w="1140"/>
        <w:gridCol w:w="1140"/>
        <w:gridCol w:w="1140"/>
      </w:tblGrid>
      <w:tr w:rsidR="00BE6C24" w:rsidRPr="00E00B35" w:rsidTr="00CD6DA6">
        <w:trPr>
          <w:trHeight w:val="1"/>
          <w:tblHeader/>
        </w:trPr>
        <w:tc>
          <w:tcPr>
            <w:tcW w:w="77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
                <w:bCs/>
                <w:szCs w:val="20"/>
              </w:rPr>
              <w:t>Lp.</w:t>
            </w:r>
          </w:p>
        </w:tc>
        <w:tc>
          <w:tcPr>
            <w:tcW w:w="4044"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
                <w:bCs/>
                <w:szCs w:val="20"/>
              </w:rPr>
              <w:t>Umowa/ lokalizacje</w:t>
            </w:r>
          </w:p>
        </w:tc>
        <w:tc>
          <w:tcPr>
            <w:tcW w:w="1139"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
                <w:bCs/>
                <w:szCs w:val="20"/>
              </w:rPr>
              <w:t>2017</w:t>
            </w:r>
          </w:p>
        </w:tc>
        <w:tc>
          <w:tcPr>
            <w:tcW w:w="114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
                <w:bCs/>
                <w:szCs w:val="20"/>
              </w:rPr>
              <w:t>2018</w:t>
            </w:r>
          </w:p>
        </w:tc>
        <w:tc>
          <w:tcPr>
            <w:tcW w:w="114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b/>
                <w:bCs/>
                <w:szCs w:val="20"/>
              </w:rPr>
            </w:pPr>
            <w:r w:rsidRPr="00E00B35">
              <w:rPr>
                <w:rFonts w:cs="Verdana"/>
                <w:b/>
                <w:bCs/>
                <w:szCs w:val="20"/>
              </w:rPr>
              <w:t>2019</w:t>
            </w:r>
          </w:p>
        </w:tc>
        <w:tc>
          <w:tcPr>
            <w:tcW w:w="114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b/>
                <w:bCs/>
                <w:szCs w:val="20"/>
              </w:rPr>
            </w:pPr>
            <w:r w:rsidRPr="00E00B35">
              <w:rPr>
                <w:rFonts w:cs="Verdana"/>
                <w:b/>
                <w:bCs/>
                <w:szCs w:val="20"/>
              </w:rPr>
              <w:t>2020</w:t>
            </w:r>
          </w:p>
        </w:tc>
      </w:tr>
      <w:tr w:rsidR="00BE6C24" w:rsidRPr="00E00B35" w:rsidTr="00BE6C24">
        <w:trPr>
          <w:trHeight w:val="1"/>
        </w:trPr>
        <w:tc>
          <w:tcPr>
            <w:tcW w:w="77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1.</w:t>
            </w:r>
          </w:p>
        </w:tc>
        <w:tc>
          <w:tcPr>
            <w:tcW w:w="4044"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Umowy</w:t>
            </w:r>
          </w:p>
        </w:tc>
        <w:tc>
          <w:tcPr>
            <w:tcW w:w="1139"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5</w:t>
            </w:r>
          </w:p>
        </w:tc>
        <w:tc>
          <w:tcPr>
            <w:tcW w:w="114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4</w:t>
            </w:r>
          </w:p>
        </w:tc>
        <w:tc>
          <w:tcPr>
            <w:tcW w:w="114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4</w:t>
            </w:r>
          </w:p>
        </w:tc>
        <w:tc>
          <w:tcPr>
            <w:tcW w:w="114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4</w:t>
            </w:r>
          </w:p>
        </w:tc>
      </w:tr>
      <w:tr w:rsidR="00BE6C24" w:rsidRPr="00E00B35" w:rsidTr="00BE6C24">
        <w:trPr>
          <w:trHeight w:val="1"/>
        </w:trPr>
        <w:tc>
          <w:tcPr>
            <w:tcW w:w="77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2.</w:t>
            </w:r>
          </w:p>
        </w:tc>
        <w:tc>
          <w:tcPr>
            <w:tcW w:w="4044"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Lokalizacje</w:t>
            </w:r>
          </w:p>
        </w:tc>
        <w:tc>
          <w:tcPr>
            <w:tcW w:w="1139"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76</w:t>
            </w:r>
          </w:p>
        </w:tc>
        <w:tc>
          <w:tcPr>
            <w:tcW w:w="114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73</w:t>
            </w:r>
          </w:p>
        </w:tc>
        <w:tc>
          <w:tcPr>
            <w:tcW w:w="114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69</w:t>
            </w:r>
          </w:p>
        </w:tc>
        <w:tc>
          <w:tcPr>
            <w:tcW w:w="1140" w:type="dxa"/>
            <w:tcBorders>
              <w:top w:val="single" w:sz="2" w:space="0" w:color="000000"/>
              <w:left w:val="single" w:sz="2" w:space="0" w:color="000000"/>
              <w:bottom w:val="single" w:sz="2" w:space="0" w:color="000000"/>
              <w:right w:val="single" w:sz="2" w:space="0" w:color="000000"/>
            </w:tcBorders>
            <w:shd w:val="clear" w:color="000000" w:fill="FFFFFF"/>
          </w:tcPr>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69</w:t>
            </w:r>
          </w:p>
        </w:tc>
      </w:tr>
    </w:tbl>
    <w:p w:rsidR="00BE6C24" w:rsidRPr="00E00B35" w:rsidRDefault="00BE6C24" w:rsidP="00E00B35">
      <w:pPr>
        <w:tabs>
          <w:tab w:val="left" w:pos="567"/>
        </w:tabs>
        <w:autoSpaceDE w:val="0"/>
        <w:autoSpaceDN w:val="0"/>
        <w:adjustRightInd w:val="0"/>
        <w:spacing w:after="0" w:line="312" w:lineRule="auto"/>
        <w:rPr>
          <w:rFonts w:cs="Verdana"/>
          <w:szCs w:val="20"/>
        </w:rPr>
      </w:pPr>
    </w:p>
    <w:p w:rsidR="00BE6C24" w:rsidRPr="00E00B35" w:rsidRDefault="00BE6C24" w:rsidP="00E00B35">
      <w:pPr>
        <w:spacing w:after="0" w:line="312" w:lineRule="auto"/>
        <w:rPr>
          <w:rFonts w:cs="Verdana"/>
          <w:b/>
          <w:bCs/>
          <w:szCs w:val="20"/>
        </w:rPr>
      </w:pPr>
    </w:p>
    <w:p w:rsidR="00BE6C24" w:rsidRPr="00E00B35" w:rsidRDefault="00BE6C24" w:rsidP="00E00B35">
      <w:pPr>
        <w:pStyle w:val="Nagwek4"/>
        <w:spacing w:before="0" w:after="0" w:line="312" w:lineRule="auto"/>
        <w:rPr>
          <w:sz w:val="20"/>
          <w:szCs w:val="20"/>
        </w:rPr>
      </w:pPr>
      <w:r w:rsidRPr="00E00B35">
        <w:rPr>
          <w:sz w:val="20"/>
          <w:szCs w:val="20"/>
        </w:rPr>
        <w:t>Rewitalizacja społeczno-gospodarcza miasta (zadanie 135 założeń polityki społeczno-gospodarczej)</w:t>
      </w:r>
    </w:p>
    <w:p w:rsidR="00BE6C24" w:rsidRPr="00E00B35" w:rsidRDefault="00BE6C24" w:rsidP="00E00B35">
      <w:pPr>
        <w:pStyle w:val="Akapitzlist"/>
        <w:spacing w:after="0" w:line="312" w:lineRule="auto"/>
        <w:ind w:left="0"/>
        <w:rPr>
          <w:rFonts w:cs="Verdana"/>
          <w:b/>
          <w:bCs/>
          <w:szCs w:val="20"/>
        </w:rPr>
      </w:pPr>
      <w:r w:rsidRPr="00E00B35">
        <w:rPr>
          <w:rFonts w:cs="Verdana"/>
          <w:b/>
          <w:bCs/>
          <w:szCs w:val="20"/>
        </w:rPr>
        <w:t>Strefa rekreacyjno-gastronomiczna na pl. Nowy Targ (246 zadanie kwartalne Prezydenta)</w:t>
      </w:r>
    </w:p>
    <w:p w:rsidR="00BE6C24" w:rsidRPr="00E00B35" w:rsidRDefault="00BE6C24" w:rsidP="00E00B35">
      <w:pPr>
        <w:spacing w:after="0" w:line="312" w:lineRule="auto"/>
        <w:rPr>
          <w:rFonts w:cs="Verdana"/>
          <w:szCs w:val="20"/>
        </w:rPr>
      </w:pPr>
      <w:r w:rsidRPr="00E00B35">
        <w:rPr>
          <w:rFonts w:cs="Verdana"/>
          <w:szCs w:val="20"/>
        </w:rPr>
        <w:t xml:space="preserve">Podstawowym celem tego projektu jest ożywienie placu Nowy Targ, wykreowanie z tego miejsca przyjaznej i bezpiecznej przestrzeni. Ważne dla powodzenia przedsięwzięcia jest zaspokajanie potrzeb i oczekiwań mieszkańców, turystów oraz lokalnych i regionalnych wystawców, oferujących tradycyjną kuchnię, food-streetowe specjały oraz produkty regionalne. Na początku czerwca 2020 roku ogłoszono konkurs na organizatora strefy, której głównym punktem ma być instalacja przestrzenna z roślinnością oraz miejscami do odpoczynku i konsumpcji. Na placu będą organizowane wydarzenia - min. 4 w roku  np.  warsztaty kulinarne, bazarki, jarmarki, animacje dla dzieci.  Gastronomia oparta ma być na gastrowozach, tj. wózkach rowerowych czy food truckach. W lipcu 2020 roku została podpisana umowa z organizatorem strefy. </w:t>
      </w:r>
    </w:p>
    <w:p w:rsidR="00BE6C24" w:rsidRPr="00E00B35" w:rsidRDefault="00BE6C24" w:rsidP="00E00B35">
      <w:pPr>
        <w:spacing w:after="0" w:line="312" w:lineRule="auto"/>
        <w:rPr>
          <w:rFonts w:cs="Verdana"/>
          <w:szCs w:val="20"/>
        </w:rPr>
      </w:pPr>
      <w:r w:rsidRPr="00E00B35">
        <w:rPr>
          <w:rFonts w:cs="Verdana"/>
          <w:b/>
          <w:bCs/>
          <w:szCs w:val="20"/>
        </w:rPr>
        <w:t xml:space="preserve">Strefa działa z zachowaniem reżimu sanitarnego. </w:t>
      </w:r>
      <w:r w:rsidRPr="00E00B35">
        <w:rPr>
          <w:rFonts w:cs="Verdana"/>
          <w:szCs w:val="20"/>
        </w:rPr>
        <w:t xml:space="preserve">W ramach strefy we wrześniu 2020 r. udało się zrealizować imprezę „Food Trucki wracają na pl. Nowy Targ”. Pełne uruchomienie Strefy planowane jest na marzec 2021 (o ile pozwoli na to sytuacja epidemiczna). </w:t>
      </w:r>
    </w:p>
    <w:p w:rsidR="00BE6C24" w:rsidRPr="00E00B35" w:rsidRDefault="00BE6C24" w:rsidP="00E00B35">
      <w:pPr>
        <w:spacing w:after="0" w:line="312" w:lineRule="auto"/>
        <w:rPr>
          <w:rFonts w:cs="Verdana"/>
          <w:szCs w:val="20"/>
        </w:rPr>
      </w:pPr>
    </w:p>
    <w:p w:rsidR="00BE6C24" w:rsidRPr="00E00B35" w:rsidRDefault="00BE6C24" w:rsidP="00E00B35">
      <w:pPr>
        <w:pStyle w:val="Nagwek4"/>
        <w:spacing w:before="0" w:after="0" w:line="312" w:lineRule="auto"/>
        <w:rPr>
          <w:sz w:val="20"/>
          <w:szCs w:val="20"/>
        </w:rPr>
      </w:pPr>
      <w:r w:rsidRPr="00E00B35">
        <w:rPr>
          <w:sz w:val="20"/>
          <w:szCs w:val="20"/>
        </w:rPr>
        <w:t>Realizacja Programu „Edukacja przedsiębiorczości” (zadanie 139 założeń polityki społeczno- gospodarczej)</w:t>
      </w:r>
    </w:p>
    <w:p w:rsidR="00BE6C24" w:rsidRPr="00E00B35" w:rsidRDefault="00BE6C24" w:rsidP="00E00B35">
      <w:pPr>
        <w:pStyle w:val="Tekstblokowy"/>
        <w:tabs>
          <w:tab w:val="left" w:pos="540"/>
          <w:tab w:val="left" w:pos="1260"/>
        </w:tabs>
        <w:spacing w:line="312" w:lineRule="auto"/>
        <w:ind w:left="0" w:right="48"/>
        <w:jc w:val="left"/>
        <w:rPr>
          <w:rFonts w:cs="Verdana"/>
          <w:color w:val="auto"/>
          <w:szCs w:val="20"/>
        </w:rPr>
      </w:pPr>
      <w:r w:rsidRPr="00E00B35">
        <w:rPr>
          <w:rFonts w:cs="Verdana"/>
          <w:color w:val="auto"/>
          <w:szCs w:val="20"/>
        </w:rPr>
        <w:t>„Edukacja przedsiębiorczości”</w:t>
      </w:r>
      <w:r w:rsidRPr="00E00B35">
        <w:rPr>
          <w:rFonts w:cs="Verdana"/>
          <w:b/>
          <w:bCs/>
          <w:color w:val="auto"/>
          <w:szCs w:val="20"/>
        </w:rPr>
        <w:t xml:space="preserve"> </w:t>
      </w:r>
      <w:r w:rsidRPr="00E00B35">
        <w:rPr>
          <w:rFonts w:cs="Verdana"/>
          <w:color w:val="auto"/>
          <w:szCs w:val="20"/>
        </w:rPr>
        <w:t xml:space="preserve">to jedyny w Polsce program, w ramach którego są kreowane, produkowane, a następnie oferowane dzieciom i  młodzieży oraz nauczycielom nowatorskie narzędzia edukacyjne z zakresu przedsiębiorczości. Głównym celem Programu jest tworzenie we Wrocławiu większej ilości mikro, małych i średnich firm świadomych i konkurencyjnych w warunkach gospodarki rynkowej oraz promowanie kultury przedsiębiorczości, jako pożądanej kompetencji na rynku pracy. </w:t>
      </w:r>
    </w:p>
    <w:p w:rsidR="00BE6C24" w:rsidRPr="00E00B35" w:rsidRDefault="00BE6C24" w:rsidP="00E00B35">
      <w:pPr>
        <w:tabs>
          <w:tab w:val="left" w:pos="540"/>
          <w:tab w:val="left" w:pos="1260"/>
        </w:tabs>
        <w:spacing w:after="0" w:line="312" w:lineRule="auto"/>
        <w:ind w:right="48"/>
        <w:rPr>
          <w:rFonts w:cs="Verdana"/>
          <w:szCs w:val="20"/>
        </w:rPr>
      </w:pPr>
      <w:r w:rsidRPr="00E00B35">
        <w:rPr>
          <w:rFonts w:cs="Verdana"/>
          <w:szCs w:val="20"/>
        </w:rPr>
        <w:t xml:space="preserve">W 2020 roku, z uwagi na zaistniałą sytuację epidemiczną oraz wynikające z niej czasowe ograniczenia w funkcjonowaniu szkół i placówek oświatowych, realizacja części planowanych projektów nie była możliwa. </w:t>
      </w:r>
    </w:p>
    <w:p w:rsidR="00BE6C24" w:rsidRPr="00E00B35" w:rsidRDefault="00BE6C24" w:rsidP="00E00B35">
      <w:pPr>
        <w:spacing w:after="0" w:line="312" w:lineRule="auto"/>
        <w:rPr>
          <w:rFonts w:cs="Verdana"/>
          <w:b/>
          <w:bCs/>
          <w:szCs w:val="20"/>
        </w:rPr>
      </w:pPr>
    </w:p>
    <w:p w:rsidR="00BE6C24" w:rsidRPr="00E00B35" w:rsidRDefault="00BE6C24" w:rsidP="00E00B35">
      <w:pPr>
        <w:pStyle w:val="Akapitzlist"/>
        <w:spacing w:after="0" w:line="312" w:lineRule="auto"/>
        <w:ind w:left="0"/>
        <w:rPr>
          <w:rFonts w:cs="Verdana"/>
          <w:b/>
          <w:bCs/>
          <w:szCs w:val="20"/>
        </w:rPr>
      </w:pPr>
      <w:r w:rsidRPr="00E00B35">
        <w:rPr>
          <w:rFonts w:cs="Verdana"/>
          <w:b/>
          <w:bCs/>
          <w:szCs w:val="20"/>
        </w:rPr>
        <w:t xml:space="preserve">„Przedsiębiorczy przedszkolak – kreatywne zajęcia edukacyjne” </w:t>
      </w:r>
    </w:p>
    <w:p w:rsidR="00BE6C24" w:rsidRPr="00E00B35" w:rsidRDefault="00BE6C24" w:rsidP="00E00B35">
      <w:pPr>
        <w:pStyle w:val="Tekstblokowy"/>
        <w:tabs>
          <w:tab w:val="left" w:pos="540"/>
          <w:tab w:val="left" w:pos="1260"/>
        </w:tabs>
        <w:spacing w:line="312" w:lineRule="auto"/>
        <w:ind w:left="0" w:right="48"/>
        <w:jc w:val="left"/>
        <w:rPr>
          <w:rFonts w:cs="Verdana"/>
          <w:color w:val="auto"/>
          <w:szCs w:val="20"/>
        </w:rPr>
      </w:pPr>
      <w:r w:rsidRPr="00E00B35">
        <w:rPr>
          <w:rFonts w:cs="Verdana"/>
          <w:color w:val="auto"/>
          <w:szCs w:val="20"/>
        </w:rPr>
        <w:t>Cel: Popularyzacja postaw przedsiębiorczych i wiedzy ekonomicznej wśród dzieci przedszkolnych (5- i 6-latki) wrocławskich placówek wychowania przedszkolnego poprzez przeprowadzenie lekcji teatralnych i warsztatów w co najmniej 10 placówkach.</w:t>
      </w:r>
    </w:p>
    <w:p w:rsidR="00BE6C24" w:rsidRPr="00E00B35" w:rsidRDefault="00BE6C24" w:rsidP="00E00B35">
      <w:pPr>
        <w:pStyle w:val="Tekstpodstawowy"/>
        <w:tabs>
          <w:tab w:val="left" w:pos="1260"/>
          <w:tab w:val="left" w:pos="1620"/>
          <w:tab w:val="left" w:pos="5940"/>
          <w:tab w:val="left" w:pos="6120"/>
          <w:tab w:val="left" w:pos="6300"/>
          <w:tab w:val="left" w:pos="6480"/>
          <w:tab w:val="left" w:pos="6840"/>
        </w:tabs>
        <w:spacing w:after="0" w:line="312" w:lineRule="auto"/>
        <w:rPr>
          <w:szCs w:val="20"/>
        </w:rPr>
      </w:pPr>
      <w:r w:rsidRPr="00E00B35">
        <w:rPr>
          <w:szCs w:val="20"/>
        </w:rPr>
        <w:lastRenderedPageBreak/>
        <w:t>Realizatorem projektu było Stowarzyszenie Społeczno – Kulturalne DW Działamy Wspólnie. Cel projektu realizowany był poprzez zajęcia w formie warsztatów i spektakli teatralnych, których efektem były udźwiękowione i namalowane przez dzieci bajki obrazkowe, prezentowane później w formie krótkich etiud. Zajęcia miały charakter interaktywny. Uczestnikom została przekazana wiedza dotycząca zasad pracy w grupie, konieczności dzielenia się, oszczędzania zasobów, dbałości o wspólne zasoby. W atrakcyjny sposób przekazano dzieciom wiedzę o przedsiębiorczości w kontekście współczesnych trendów: zasad zrównoważonego rozwoju oraz ekonomii współdzielenia.</w:t>
      </w:r>
    </w:p>
    <w:p w:rsidR="00BE6C24" w:rsidRPr="00E00B35" w:rsidRDefault="00BE6C24" w:rsidP="00E00B35">
      <w:r w:rsidRPr="00E00B35">
        <w:t>Rezultaty:</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udział w projekcie wzięło 430 dzieci (5- i 6-letnich) z 10 placówek wychowania przedszkolnego z terenu Gminy Wrocław</w:t>
      </w:r>
    </w:p>
    <w:p w:rsidR="00BE6C24" w:rsidRPr="00E00B35" w:rsidRDefault="00BE6C24" w:rsidP="00BC64AB">
      <w:pPr>
        <w:pStyle w:val="Akapitzlist"/>
        <w:numPr>
          <w:ilvl w:val="0"/>
          <w:numId w:val="245"/>
        </w:numPr>
        <w:spacing w:after="0" w:line="312" w:lineRule="auto"/>
        <w:ind w:left="567" w:hanging="567"/>
        <w:rPr>
          <w:rFonts w:cs="Verdana"/>
          <w:szCs w:val="20"/>
        </w:rPr>
      </w:pPr>
      <w:r w:rsidRPr="00E00B35">
        <w:rPr>
          <w:rFonts w:cs="Arial"/>
          <w:iCs/>
          <w:szCs w:val="20"/>
        </w:rPr>
        <w:t>opanowanie wiedzy ogólnej o ograniczoności zasobów naturalnych, ekonomii i ekonomii</w:t>
      </w:r>
      <w:r w:rsidRPr="00E00B35">
        <w:rPr>
          <w:rFonts w:cs="Verdana"/>
          <w:szCs w:val="20"/>
        </w:rPr>
        <w:t xml:space="preserve"> współdzielenia.</w:t>
      </w:r>
    </w:p>
    <w:p w:rsidR="00BE6C24" w:rsidRPr="00E00B35" w:rsidRDefault="00BE6C24" w:rsidP="00E00B35">
      <w:pPr>
        <w:spacing w:after="0" w:line="312" w:lineRule="auto"/>
        <w:rPr>
          <w:rFonts w:cs="Verdana"/>
          <w:b/>
          <w:bCs/>
          <w:szCs w:val="20"/>
        </w:rPr>
      </w:pPr>
      <w:r w:rsidRPr="00E00B35">
        <w:rPr>
          <w:rFonts w:cs="Verdana"/>
          <w:szCs w:val="20"/>
        </w:rPr>
        <w:t>Koszty:</w:t>
      </w:r>
      <w:r w:rsidRPr="00E00B35">
        <w:rPr>
          <w:rFonts w:cs="Verdana"/>
          <w:b/>
          <w:bCs/>
          <w:szCs w:val="20"/>
        </w:rPr>
        <w:t xml:space="preserve"> </w:t>
      </w:r>
      <w:r w:rsidRPr="00E00B35">
        <w:rPr>
          <w:rFonts w:cs="Verdana"/>
          <w:szCs w:val="20"/>
        </w:rPr>
        <w:t>30.000 zł (dotacja dla NGO)</w:t>
      </w:r>
    </w:p>
    <w:p w:rsidR="00BE6C24" w:rsidRPr="00E00B35" w:rsidRDefault="00BE6C24" w:rsidP="00E00B35">
      <w:pPr>
        <w:spacing w:after="0" w:line="312" w:lineRule="auto"/>
        <w:rPr>
          <w:rFonts w:cs="Verdana"/>
          <w:b/>
          <w:bCs/>
          <w:szCs w:val="20"/>
        </w:rPr>
      </w:pPr>
    </w:p>
    <w:p w:rsidR="00BE6C24" w:rsidRPr="00E00B35" w:rsidRDefault="00BE6C24" w:rsidP="00E00B35">
      <w:pPr>
        <w:pStyle w:val="Nagwek4"/>
        <w:spacing w:before="0" w:after="0" w:line="312" w:lineRule="auto"/>
        <w:rPr>
          <w:sz w:val="20"/>
          <w:szCs w:val="20"/>
        </w:rPr>
      </w:pPr>
      <w:r w:rsidRPr="00E00B35">
        <w:rPr>
          <w:sz w:val="20"/>
          <w:szCs w:val="20"/>
        </w:rPr>
        <w:t>Zadania własne gminy, zadania zlecone oraz powierzone, w szczególności wynikające z uchwał Rady Miejskiej Wrocławia i zarządzeń Prezydenta Wrocławia</w:t>
      </w:r>
    </w:p>
    <w:p w:rsidR="00BE6C24" w:rsidRPr="00E00B35" w:rsidRDefault="00BE6C24" w:rsidP="00BC64AB">
      <w:pPr>
        <w:pStyle w:val="Nagwek4"/>
        <w:numPr>
          <w:ilvl w:val="0"/>
          <w:numId w:val="273"/>
        </w:numPr>
        <w:spacing w:before="0" w:after="0" w:line="312" w:lineRule="auto"/>
        <w:ind w:left="426" w:hanging="426"/>
        <w:rPr>
          <w:sz w:val="20"/>
          <w:szCs w:val="20"/>
        </w:rPr>
      </w:pPr>
      <w:r w:rsidRPr="00E00B35">
        <w:rPr>
          <w:sz w:val="20"/>
          <w:szCs w:val="20"/>
        </w:rPr>
        <w:t>Zarządzenie nr 2556/20 Prezydenta Wrocławia z dnia 14 lutego 2020 r. w sprawie udostępniania miejsc przeznaczonych do handlu okrężnego oraz zasad ich funkcjonowania (handel targowiskowy i uliczny)</w:t>
      </w:r>
    </w:p>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szCs w:val="20"/>
        </w:rPr>
        <w:t>Realizując zadanie handlu poza lokalami użytkowymi m.in.:</w:t>
      </w:r>
    </w:p>
    <w:p w:rsidR="00BE6C24" w:rsidRPr="00E00B35" w:rsidRDefault="00BE6C24" w:rsidP="00BC64AB">
      <w:pPr>
        <w:numPr>
          <w:ilvl w:val="0"/>
          <w:numId w:val="266"/>
        </w:numPr>
        <w:tabs>
          <w:tab w:val="clear" w:pos="720"/>
          <w:tab w:val="left" w:pos="426"/>
          <w:tab w:val="left" w:pos="900"/>
        </w:tabs>
        <w:autoSpaceDE w:val="0"/>
        <w:autoSpaceDN w:val="0"/>
        <w:adjustRightInd w:val="0"/>
        <w:spacing w:after="0" w:line="312" w:lineRule="auto"/>
        <w:ind w:left="426" w:hanging="426"/>
        <w:rPr>
          <w:rFonts w:cs="Verdana"/>
          <w:szCs w:val="20"/>
        </w:rPr>
      </w:pPr>
      <w:r w:rsidRPr="00E00B35">
        <w:rPr>
          <w:rFonts w:cs="Verdana"/>
          <w:szCs w:val="20"/>
        </w:rPr>
        <w:t xml:space="preserve">Przeprowadzono 12 losowań wolnych miejsc do handlu okrężnego celem prowadzenia sprzedaży całorocznej (w tym losowania na miejsca wyznaczone pod pojazdy i wózki gastronomiczne na terenie parku kulturowego „Stare Miasto”) oraz sezonowej lub okolicznościowej w miejscach wyznaczonych poza placami targowymi. Przygotowano program informatyczny LOMI do losowań miejsc do handlu, celem umożliwienia prowadzenia losowań bez bezpośredniego udziału wnioskodawców. </w:t>
      </w:r>
    </w:p>
    <w:p w:rsidR="00BE6C24" w:rsidRPr="00E00B35" w:rsidRDefault="00BE6C24" w:rsidP="00BC64AB">
      <w:pPr>
        <w:numPr>
          <w:ilvl w:val="0"/>
          <w:numId w:val="266"/>
        </w:numPr>
        <w:tabs>
          <w:tab w:val="clear" w:pos="720"/>
          <w:tab w:val="left" w:pos="426"/>
          <w:tab w:val="left" w:pos="900"/>
        </w:tabs>
        <w:autoSpaceDE w:val="0"/>
        <w:autoSpaceDN w:val="0"/>
        <w:adjustRightInd w:val="0"/>
        <w:spacing w:after="0" w:line="312" w:lineRule="auto"/>
        <w:ind w:left="426" w:hanging="426"/>
        <w:rPr>
          <w:rFonts w:cs="Verdana"/>
          <w:szCs w:val="20"/>
        </w:rPr>
      </w:pPr>
      <w:r w:rsidRPr="00E00B35">
        <w:rPr>
          <w:rFonts w:cs="Verdana"/>
          <w:szCs w:val="20"/>
        </w:rPr>
        <w:t xml:space="preserve">Zawarto i realizowano umowy, określające zasady udostępniania miejsc do handlu okrężnego, wystawiono faktury i rejestry faktur, monitorowano stoiska;  łącznie w roku 2020 –  </w:t>
      </w:r>
      <w:r w:rsidRPr="00E00B35">
        <w:rPr>
          <w:rFonts w:cs="Verdana"/>
          <w:b/>
          <w:bCs/>
          <w:szCs w:val="20"/>
        </w:rPr>
        <w:t>145 umów, uprawniających przedsiębiorców do prowadzenia sprzedaży w ramach handlu okrężnego</w:t>
      </w:r>
      <w:r w:rsidRPr="00E00B35">
        <w:rPr>
          <w:rFonts w:cs="Verdana"/>
          <w:szCs w:val="20"/>
        </w:rPr>
        <w:t>, (tj. 59 umów rocznych z możliwością przedłużenia do lat 3, 86 umów sezonowych i okolicznościowych).</w:t>
      </w:r>
    </w:p>
    <w:p w:rsidR="00BE6C24" w:rsidRPr="00E00B35" w:rsidRDefault="00BE6C24" w:rsidP="00BC64AB">
      <w:pPr>
        <w:numPr>
          <w:ilvl w:val="0"/>
          <w:numId w:val="266"/>
        </w:numPr>
        <w:tabs>
          <w:tab w:val="clear" w:pos="720"/>
          <w:tab w:val="left" w:pos="426"/>
        </w:tabs>
        <w:spacing w:after="0" w:line="312" w:lineRule="auto"/>
        <w:ind w:left="426" w:hanging="426"/>
        <w:rPr>
          <w:rFonts w:cs="Verdana"/>
          <w:szCs w:val="20"/>
        </w:rPr>
      </w:pPr>
      <w:r w:rsidRPr="00E00B35">
        <w:rPr>
          <w:rFonts w:cs="Verdana"/>
          <w:szCs w:val="20"/>
        </w:rPr>
        <w:t>Prowadzono obsługę dzierżawców/operatorów 7 targowisk działających na nieruchomościach komunalnych, tj. przy ul. Komandorskiej, ul. Niedźwiedziej, ul. Ptasiej, ul. Lotniczej, na ul. Żmigrodzkiej/Broniewskiego, ul. Skoczylasa oraz ul. Jemiołowej, tj.  realizowano umowy, wystawiano faktury, przedstawiano wnioski w sprawie dalszej współpracy na Kolegium Prezydenta.</w:t>
      </w:r>
    </w:p>
    <w:p w:rsidR="00BE6C24" w:rsidRPr="00E00B35" w:rsidRDefault="00BE6C24" w:rsidP="00BC64AB">
      <w:pPr>
        <w:pStyle w:val="Akapitzlist"/>
        <w:numPr>
          <w:ilvl w:val="0"/>
          <w:numId w:val="266"/>
        </w:numPr>
        <w:tabs>
          <w:tab w:val="clear" w:pos="720"/>
          <w:tab w:val="left" w:pos="426"/>
        </w:tabs>
        <w:spacing w:after="0" w:line="312" w:lineRule="auto"/>
        <w:ind w:left="426" w:hanging="426"/>
        <w:contextualSpacing w:val="0"/>
        <w:rPr>
          <w:rFonts w:cs="Verdana"/>
          <w:b/>
          <w:bCs/>
          <w:szCs w:val="20"/>
        </w:rPr>
      </w:pPr>
      <w:r w:rsidRPr="00E00B35">
        <w:rPr>
          <w:rFonts w:cs="Verdana"/>
          <w:szCs w:val="20"/>
        </w:rPr>
        <w:t xml:space="preserve">Wystosowano do zarządów/ stowarzyszeń hal targowych i targowisk w związku z zakażeniem wirusem SARS – CoV2  prośbę o przeanalizowanie możliwości wprowadzenia wszelkich działań zabezpieczających zarówno w mniejszych obiektach handlowych jak i na targowiskach. Zarządy  podjęły decyzje o czasowym ograniczeniu działalności handlowej w mniejszych halach targowych, jak również na </w:t>
      </w:r>
      <w:r w:rsidRPr="00E00B35">
        <w:rPr>
          <w:rFonts w:cs="Verdana"/>
          <w:szCs w:val="20"/>
        </w:rPr>
        <w:lastRenderedPageBreak/>
        <w:t xml:space="preserve">targowiskach. W pierwszym okresie większość stoisk branży przemysłowej była zamknięta. Prowadzona była sprzedaż w branży spożywczej i drogeryjnej. Zarządy podejmowały indywidualne decyzje o ograniczeniu np. dni handlowych,  godzin sprzedaży, liczby wejść/wyjść, wyłączeniu ze sprzedaży stoisk przemysłowych albo całkowitym zamknięciu miejsca do handlu. Wprowadziły dodatkowe wymogi sanitarne. </w:t>
      </w:r>
      <w:r w:rsidRPr="00E00B35">
        <w:rPr>
          <w:rFonts w:cs="Verdana"/>
          <w:b/>
          <w:bCs/>
          <w:szCs w:val="20"/>
        </w:rPr>
        <w:t>Na wniosek dzierżawców  targowisk gmina dokonała umorzeń czynszów na łączną kwotę: 61.973,51 zł.</w:t>
      </w:r>
    </w:p>
    <w:p w:rsidR="00BE6C24" w:rsidRPr="00E00B35" w:rsidRDefault="00BE6C24" w:rsidP="00BC64AB">
      <w:pPr>
        <w:pStyle w:val="Akapitzlist"/>
        <w:numPr>
          <w:ilvl w:val="0"/>
          <w:numId w:val="266"/>
        </w:numPr>
        <w:tabs>
          <w:tab w:val="clear" w:pos="720"/>
          <w:tab w:val="left" w:pos="426"/>
        </w:tabs>
        <w:spacing w:after="0" w:line="312" w:lineRule="auto"/>
        <w:ind w:left="426" w:hanging="426"/>
        <w:contextualSpacing w:val="0"/>
        <w:rPr>
          <w:rFonts w:cs="Verdana"/>
          <w:szCs w:val="20"/>
        </w:rPr>
      </w:pPr>
      <w:r w:rsidRPr="00E00B35">
        <w:rPr>
          <w:rFonts w:cs="Verdana"/>
          <w:szCs w:val="20"/>
        </w:rPr>
        <w:t xml:space="preserve">Prowadzono prace nad ożywianiem wrocławskich targowisk na przykładzie targowiska przy ul. Legnickiej/Niedźwiedziej - biorąc pod uwagę negatywne skutki pandemii dla funkcjonowania targowisk oraz mając na uwadze plany Prezydenta Wrocławia dotyczące ożywiania przestrzeni publicznej poprzez tworzenie lokalnych ryneczków, jak również uwzględniając zmieniające się zachowania konsumentów. Na targowisku zostało usunięte ogrodzenie, a od strony ul. Legnickiej usytuowano ciąg gastronomii mobilnej. Dzierżawca wprowadził do oferty targowiska giełdę staroci, zorganizował święto pieroga. Planowana jest także organizacja kiermaszy okolicznościowych - jak tylko pozwoli na to sytuacja epidemiczna.  </w:t>
      </w:r>
    </w:p>
    <w:p w:rsidR="00BE6C24" w:rsidRPr="00E00B35" w:rsidRDefault="00BE6C24" w:rsidP="00BC64AB">
      <w:pPr>
        <w:pStyle w:val="Akapitzlist"/>
        <w:numPr>
          <w:ilvl w:val="0"/>
          <w:numId w:val="266"/>
        </w:numPr>
        <w:tabs>
          <w:tab w:val="clear" w:pos="720"/>
          <w:tab w:val="left" w:pos="426"/>
        </w:tabs>
        <w:spacing w:after="0" w:line="312" w:lineRule="auto"/>
        <w:ind w:left="426" w:hanging="426"/>
        <w:contextualSpacing w:val="0"/>
        <w:rPr>
          <w:rFonts w:cs="Verdana"/>
          <w:szCs w:val="20"/>
        </w:rPr>
      </w:pPr>
      <w:r w:rsidRPr="00E00B35">
        <w:rPr>
          <w:rFonts w:cs="Verdana"/>
          <w:szCs w:val="20"/>
        </w:rPr>
        <w:t xml:space="preserve">Przeprowadzono konkurs ofert na usługę uporządkowania części terenu targowiska przy ul. Niedźwiedziej/Legnickiej, polegającą na rozebraniu, transporcie i utylizacji 15 porzuconych kontenerów handlowych, w ramach tworzenia stref  wielofunkcyjnych rozwoju przedsiębiorczości osiedlowej we Wrocławiu. W efekcie nastąpiła poprawa estetyki przestrzeni targowiska, zwiększona została również przestrzeń terenu możliwa do efektywnego wykorzystania. Koszt zadania to: 31.346,55 zł brutto. </w:t>
      </w:r>
    </w:p>
    <w:p w:rsidR="00BE6C24" w:rsidRPr="00E00B35" w:rsidRDefault="00BE6C24" w:rsidP="00BC64AB">
      <w:pPr>
        <w:pStyle w:val="Akapitzlist"/>
        <w:numPr>
          <w:ilvl w:val="0"/>
          <w:numId w:val="266"/>
        </w:numPr>
        <w:tabs>
          <w:tab w:val="clear" w:pos="720"/>
          <w:tab w:val="left" w:pos="426"/>
        </w:tabs>
        <w:spacing w:after="0" w:line="312" w:lineRule="auto"/>
        <w:ind w:left="426" w:hanging="426"/>
        <w:contextualSpacing w:val="0"/>
        <w:rPr>
          <w:rFonts w:cs="Verdana"/>
          <w:szCs w:val="20"/>
        </w:rPr>
      </w:pPr>
      <w:r w:rsidRPr="00E00B35">
        <w:rPr>
          <w:rFonts w:cs="Verdana"/>
          <w:szCs w:val="20"/>
        </w:rPr>
        <w:t xml:space="preserve">Koordynowano uzgodnienia  miejsca w obszarze pasa drogowego na Jagodnie dla kilku pojazdów gastronomii mobilnej podczas pandemii. Miejsce pilotażowe zostało udostępnione przez Gminę Wrocław. Taka inicjatywa wpisuje się w tworzenie miejsc aktywności i lokalnej w ramach osiedli kompletnych. Miejsce stało się inspiracją dla kolejnych przedsiębiorców do podejmowania tego rodzaju inicjatyw biznesowych. </w:t>
      </w:r>
    </w:p>
    <w:p w:rsidR="00BE6C24" w:rsidRPr="00E00B35" w:rsidRDefault="00BE6C24" w:rsidP="00BC64AB">
      <w:pPr>
        <w:pStyle w:val="Akapitzlist"/>
        <w:numPr>
          <w:ilvl w:val="0"/>
          <w:numId w:val="266"/>
        </w:numPr>
        <w:tabs>
          <w:tab w:val="clear" w:pos="720"/>
          <w:tab w:val="left" w:pos="426"/>
        </w:tabs>
        <w:spacing w:after="0" w:line="312" w:lineRule="auto"/>
        <w:ind w:left="426" w:hanging="426"/>
        <w:contextualSpacing w:val="0"/>
        <w:rPr>
          <w:rFonts w:cs="Verdana"/>
          <w:szCs w:val="20"/>
        </w:rPr>
      </w:pPr>
      <w:r w:rsidRPr="00E00B35">
        <w:rPr>
          <w:rFonts w:cs="Verdana"/>
          <w:szCs w:val="20"/>
        </w:rPr>
        <w:t>Zrealizowano umowę z organizatorem Kiermaszu Wszystkich Świętych na organizację okolicznościowej sprzedaży kwiatów i zniczy przy 4 głównych cmentarzach we Wrocławiu (Grabiszyński, Osobowicki, przy ul. Bujwida oraz przy ul. Smętnej).</w:t>
      </w:r>
    </w:p>
    <w:p w:rsidR="00BE6C24" w:rsidRPr="00E00B35" w:rsidRDefault="00BE6C24" w:rsidP="00BC64AB">
      <w:pPr>
        <w:pStyle w:val="Akapitzlist"/>
        <w:numPr>
          <w:ilvl w:val="0"/>
          <w:numId w:val="266"/>
        </w:numPr>
        <w:tabs>
          <w:tab w:val="clear" w:pos="720"/>
          <w:tab w:val="left" w:pos="426"/>
        </w:tabs>
        <w:spacing w:after="0" w:line="312" w:lineRule="auto"/>
        <w:ind w:left="426" w:hanging="426"/>
        <w:contextualSpacing w:val="0"/>
        <w:rPr>
          <w:rFonts w:cs="Verdana"/>
          <w:szCs w:val="20"/>
        </w:rPr>
      </w:pPr>
      <w:r w:rsidRPr="00E00B35">
        <w:rPr>
          <w:rFonts w:cs="Verdana"/>
          <w:szCs w:val="20"/>
        </w:rPr>
        <w:t>Wydłużono termin okolicznościowej sprzedaży kwiatów i zniczy (miejsca dodatkowe) - do 8 listopada 2020r. - ze względu na decyzję rządu o zamknięciu cmentarzy w dniach 31 października do 2 listopada  br. Decyzja dotyczyła miejsc do sprzedaży organizowanej co roku, tj. - 15 umów indywidualnych, Kiermasz Wszystkich Świętych prowadzony przez organizatora, tj. Marpol Trade sp. z o. o.  - przed 4 cmentarzami (31 umów na 69 miejsc).  Przeprowadzono także szereg rozmów ze sprzedawcami kwiatów i zniczy, wysłano informację o interwencyjnym wykupie kwiatów.</w:t>
      </w:r>
    </w:p>
    <w:p w:rsidR="00BE6C24" w:rsidRPr="00E00B35" w:rsidRDefault="00BE6C24" w:rsidP="00E00B35">
      <w:pPr>
        <w:tabs>
          <w:tab w:val="left" w:pos="567"/>
        </w:tabs>
        <w:autoSpaceDE w:val="0"/>
        <w:autoSpaceDN w:val="0"/>
        <w:adjustRightInd w:val="0"/>
        <w:spacing w:after="0" w:line="312" w:lineRule="auto"/>
        <w:rPr>
          <w:rFonts w:cs="Verdana"/>
          <w:b/>
          <w:bCs/>
          <w:szCs w:val="20"/>
        </w:rPr>
      </w:pPr>
    </w:p>
    <w:p w:rsidR="00BE6C24" w:rsidRPr="00E00B35" w:rsidRDefault="00BE6C24" w:rsidP="00BC64AB">
      <w:pPr>
        <w:pStyle w:val="Nagwek4"/>
        <w:numPr>
          <w:ilvl w:val="0"/>
          <w:numId w:val="273"/>
        </w:numPr>
        <w:spacing w:before="0" w:after="0" w:line="312" w:lineRule="auto"/>
        <w:ind w:left="426" w:hanging="426"/>
        <w:rPr>
          <w:sz w:val="20"/>
          <w:szCs w:val="20"/>
        </w:rPr>
      </w:pPr>
      <w:r w:rsidRPr="00E00B35">
        <w:rPr>
          <w:sz w:val="20"/>
          <w:szCs w:val="20"/>
        </w:rPr>
        <w:t>Targowisko „Ryneczek Jemiołowa” (Program Prezydenta, obszar przestrzeń, rozwój osiedlowej przedsiębiorczości)</w:t>
      </w:r>
    </w:p>
    <w:p w:rsidR="00BE6C24" w:rsidRPr="00E00B35" w:rsidRDefault="00BE6C24" w:rsidP="00E00B35">
      <w:pPr>
        <w:spacing w:after="0" w:line="312" w:lineRule="auto"/>
        <w:rPr>
          <w:rFonts w:cs="Verdana"/>
          <w:szCs w:val="20"/>
        </w:rPr>
      </w:pPr>
      <w:r w:rsidRPr="00E00B35">
        <w:rPr>
          <w:rFonts w:cs="Verdana"/>
          <w:szCs w:val="20"/>
        </w:rPr>
        <w:t xml:space="preserve">Miejsce zorganizowane zostało na wniosek Rady Osiedla Gajowice. Lokalizacja targowiska jest związana z potrzebą znalezienia miejsca jak najbliżej Społem przy ul. Jemiołowej - gdzie prowadzony był handel nielegalny. Uroczyste otwarcie miało miejsce 14 września </w:t>
      </w:r>
      <w:r w:rsidRPr="00E00B35">
        <w:rPr>
          <w:rFonts w:cs="Verdana"/>
          <w:szCs w:val="20"/>
        </w:rPr>
        <w:lastRenderedPageBreak/>
        <w:t>2019 r., a 26 września 2020 r. na Ryneczku Jemiołowa obchodzono pierwszą rocznicę funkcjonowania. Ryneczek Jemiołowa, oprócz funkcji czysto handlowych, stanowi miejsce spotkań lokalnej społeczności.</w:t>
      </w:r>
    </w:p>
    <w:p w:rsidR="00BE6C24" w:rsidRPr="00E00B35" w:rsidRDefault="00BE6C24" w:rsidP="00E00B35">
      <w:pPr>
        <w:pStyle w:val="Akapitzlist"/>
        <w:spacing w:after="0" w:line="312" w:lineRule="auto"/>
        <w:ind w:left="0"/>
        <w:rPr>
          <w:rFonts w:cs="Verdana"/>
          <w:szCs w:val="20"/>
        </w:rPr>
      </w:pPr>
      <w:r w:rsidRPr="00E00B35">
        <w:rPr>
          <w:rFonts w:cs="Verdana"/>
          <w:szCs w:val="20"/>
        </w:rPr>
        <w:t xml:space="preserve">W 2020 r. przeprowadzono uzgodnienia w ramach II etapu prac na Ryneczku, tj. spotkania z przedsiębiorcami, operatorem targowiska (Areną sp. z o. o.), zarządcami terenów  - ZZK i ZDiUM – w celu uzgodnienia lokalizacji zamiennej, terminu inwestycji, podpisania aneksu do umowy, wydania zezwolenia ZDiUM na zajęcie pasa drogowego dla lokalizacji zamiennej.  </w:t>
      </w:r>
    </w:p>
    <w:p w:rsidR="00BE6C24" w:rsidRPr="00E00B35" w:rsidRDefault="00BE6C24" w:rsidP="00E00B35">
      <w:pPr>
        <w:autoSpaceDE w:val="0"/>
        <w:autoSpaceDN w:val="0"/>
        <w:adjustRightInd w:val="0"/>
        <w:spacing w:after="0" w:line="312" w:lineRule="auto"/>
        <w:rPr>
          <w:rFonts w:cs="Verdana"/>
          <w:szCs w:val="20"/>
        </w:rPr>
      </w:pPr>
      <w:r w:rsidRPr="00E00B35">
        <w:rPr>
          <w:rFonts w:cs="Verdana"/>
          <w:szCs w:val="20"/>
        </w:rPr>
        <w:t xml:space="preserve">W ramach </w:t>
      </w:r>
      <w:r w:rsidRPr="00E00B35">
        <w:rPr>
          <w:rFonts w:cs="Verdana"/>
          <w:b/>
          <w:bCs/>
          <w:szCs w:val="20"/>
        </w:rPr>
        <w:t>II etapu</w:t>
      </w:r>
      <w:r w:rsidRPr="00E00B35">
        <w:rPr>
          <w:rFonts w:cs="Verdana"/>
          <w:szCs w:val="20"/>
        </w:rPr>
        <w:t xml:space="preserve"> prac wykonana została: nowa nawierzchnia (kostka brukowa) i studzienki kanalizacyjne (koszt ponad 600.000 zł). Stara asfaltowa nawierzchnia była bardzo złej jakości i rozpuszczała się pod wpływem słońca, uniemożliwiając m.in. handel. Nowa nawierzchnia umożliwia wjazd  samochodów z branży gastronomii mobilnej. Dla poprawy logistyki technicznej organizacji zlotów food trucków (ok. 20 miejsc) w przyszłości zrealizowane zostaną dodatkowe punkty poboru energii elektrycznej (do VIII 2022 r.). Kupcy i mieszkańcy korzystają z odnowionego terenu od grudnia 2020 roku.</w:t>
      </w:r>
    </w:p>
    <w:p w:rsidR="00BE6C24" w:rsidRPr="00E00B35" w:rsidRDefault="00BE6C24" w:rsidP="00E00B35">
      <w:pPr>
        <w:tabs>
          <w:tab w:val="left" w:pos="567"/>
        </w:tabs>
        <w:autoSpaceDE w:val="0"/>
        <w:autoSpaceDN w:val="0"/>
        <w:adjustRightInd w:val="0"/>
        <w:spacing w:after="0" w:line="312" w:lineRule="auto"/>
        <w:rPr>
          <w:rFonts w:cs="Verdana"/>
          <w:b/>
          <w:bCs/>
          <w:szCs w:val="20"/>
        </w:rPr>
      </w:pPr>
    </w:p>
    <w:p w:rsidR="00BE6C24" w:rsidRPr="00E00B35" w:rsidRDefault="00BE6C24" w:rsidP="00E00B35">
      <w:pPr>
        <w:tabs>
          <w:tab w:val="left" w:pos="567"/>
        </w:tabs>
        <w:autoSpaceDE w:val="0"/>
        <w:autoSpaceDN w:val="0"/>
        <w:adjustRightInd w:val="0"/>
        <w:spacing w:after="0" w:line="312" w:lineRule="auto"/>
        <w:rPr>
          <w:szCs w:val="20"/>
        </w:rPr>
      </w:pPr>
      <w:r w:rsidRPr="00E00B35">
        <w:rPr>
          <w:rFonts w:cs="Verdana"/>
          <w:bCs/>
          <w:szCs w:val="20"/>
        </w:rPr>
        <w:t>Tabela nr 4</w:t>
      </w:r>
      <w:r w:rsidR="00CD6DA6" w:rsidRPr="00E00B35">
        <w:rPr>
          <w:rFonts w:cs="Verdana"/>
          <w:bCs/>
          <w:szCs w:val="20"/>
        </w:rPr>
        <w:t xml:space="preserve"> - </w:t>
      </w:r>
      <w:r w:rsidRPr="00E00B35">
        <w:rPr>
          <w:szCs w:val="20"/>
        </w:rPr>
        <w:t>Liczba miejsc do sprzedaży na targowiskach i w handlu ulicznym organizowana na nieruchomościach komunalnych  w latach 2017-2020</w:t>
      </w:r>
    </w:p>
    <w:tbl>
      <w:tblPr>
        <w:tblW w:w="977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95"/>
        <w:gridCol w:w="4766"/>
        <w:gridCol w:w="1112"/>
        <w:gridCol w:w="1113"/>
        <w:gridCol w:w="1113"/>
        <w:gridCol w:w="979"/>
      </w:tblGrid>
      <w:tr w:rsidR="00BE6C24" w:rsidRPr="00E00B35" w:rsidTr="00CD6DA6">
        <w:trPr>
          <w:trHeight w:val="969"/>
          <w:tblHeader/>
        </w:trPr>
        <w:tc>
          <w:tcPr>
            <w:tcW w:w="695" w:type="dxa"/>
          </w:tcPr>
          <w:p w:rsidR="00BE6C24" w:rsidRPr="00E00B35" w:rsidRDefault="00BE6C24" w:rsidP="00E00B35">
            <w:pPr>
              <w:tabs>
                <w:tab w:val="left" w:pos="567"/>
              </w:tabs>
              <w:spacing w:after="0" w:line="312" w:lineRule="auto"/>
              <w:rPr>
                <w:rFonts w:cs="Verdana"/>
                <w:b/>
                <w:bCs/>
                <w:szCs w:val="20"/>
              </w:rPr>
            </w:pPr>
            <w:r w:rsidRPr="00E00B35">
              <w:rPr>
                <w:rFonts w:cs="Verdana"/>
                <w:b/>
                <w:bCs/>
                <w:szCs w:val="20"/>
              </w:rPr>
              <w:t>Lp.</w:t>
            </w:r>
          </w:p>
        </w:tc>
        <w:tc>
          <w:tcPr>
            <w:tcW w:w="4766" w:type="dxa"/>
          </w:tcPr>
          <w:p w:rsidR="00BE6C24" w:rsidRPr="00E00B35" w:rsidRDefault="00BE6C24" w:rsidP="00E00B35">
            <w:pPr>
              <w:tabs>
                <w:tab w:val="left" w:pos="567"/>
              </w:tabs>
              <w:spacing w:after="0" w:line="312" w:lineRule="auto"/>
              <w:rPr>
                <w:rFonts w:cs="Verdana"/>
                <w:b/>
                <w:bCs/>
                <w:szCs w:val="20"/>
              </w:rPr>
            </w:pPr>
            <w:r w:rsidRPr="00E00B35">
              <w:rPr>
                <w:rFonts w:cs="Verdana"/>
                <w:b/>
                <w:bCs/>
                <w:szCs w:val="20"/>
              </w:rPr>
              <w:t>Liczba miejsc do handlu/gastronomii na targowiskach, jarmarkach, w handlu okrężnym</w:t>
            </w:r>
          </w:p>
        </w:tc>
        <w:tc>
          <w:tcPr>
            <w:tcW w:w="1112" w:type="dxa"/>
          </w:tcPr>
          <w:p w:rsidR="00BE6C24" w:rsidRPr="00E00B35" w:rsidRDefault="00BE6C24" w:rsidP="00E00B35">
            <w:pPr>
              <w:tabs>
                <w:tab w:val="left" w:pos="567"/>
              </w:tabs>
              <w:spacing w:after="0" w:line="312" w:lineRule="auto"/>
              <w:rPr>
                <w:rFonts w:cs="Verdana"/>
                <w:b/>
                <w:bCs/>
                <w:szCs w:val="20"/>
              </w:rPr>
            </w:pPr>
          </w:p>
          <w:p w:rsidR="00BE6C24" w:rsidRPr="00E00B35" w:rsidRDefault="00BE6C24" w:rsidP="00E00B35">
            <w:pPr>
              <w:tabs>
                <w:tab w:val="left" w:pos="567"/>
              </w:tabs>
              <w:spacing w:after="0" w:line="312" w:lineRule="auto"/>
              <w:rPr>
                <w:rFonts w:cs="Verdana"/>
                <w:b/>
                <w:bCs/>
                <w:szCs w:val="20"/>
              </w:rPr>
            </w:pPr>
            <w:r w:rsidRPr="00E00B35">
              <w:rPr>
                <w:rFonts w:cs="Verdana"/>
                <w:b/>
                <w:bCs/>
                <w:szCs w:val="20"/>
              </w:rPr>
              <w:t>2017</w:t>
            </w:r>
          </w:p>
        </w:tc>
        <w:tc>
          <w:tcPr>
            <w:tcW w:w="1113" w:type="dxa"/>
          </w:tcPr>
          <w:p w:rsidR="00BE6C24" w:rsidRPr="00E00B35" w:rsidRDefault="00BE6C24" w:rsidP="00E00B35">
            <w:pPr>
              <w:tabs>
                <w:tab w:val="left" w:pos="567"/>
              </w:tabs>
              <w:spacing w:after="0" w:line="312" w:lineRule="auto"/>
              <w:rPr>
                <w:rFonts w:cs="Verdana"/>
                <w:b/>
                <w:bCs/>
                <w:szCs w:val="20"/>
              </w:rPr>
            </w:pPr>
          </w:p>
          <w:p w:rsidR="00BE6C24" w:rsidRPr="00E00B35" w:rsidRDefault="00BE6C24" w:rsidP="00E00B35">
            <w:pPr>
              <w:tabs>
                <w:tab w:val="left" w:pos="567"/>
              </w:tabs>
              <w:spacing w:after="0" w:line="312" w:lineRule="auto"/>
              <w:rPr>
                <w:rFonts w:cs="Verdana"/>
                <w:b/>
                <w:bCs/>
                <w:szCs w:val="20"/>
              </w:rPr>
            </w:pPr>
            <w:r w:rsidRPr="00E00B35">
              <w:rPr>
                <w:rFonts w:cs="Verdana"/>
                <w:b/>
                <w:bCs/>
                <w:szCs w:val="20"/>
              </w:rPr>
              <w:t>2018</w:t>
            </w:r>
          </w:p>
        </w:tc>
        <w:tc>
          <w:tcPr>
            <w:tcW w:w="1113" w:type="dxa"/>
          </w:tcPr>
          <w:p w:rsidR="00BE6C24" w:rsidRPr="00E00B35" w:rsidRDefault="00BE6C24" w:rsidP="00E00B35">
            <w:pPr>
              <w:tabs>
                <w:tab w:val="left" w:pos="567"/>
              </w:tabs>
              <w:spacing w:after="0" w:line="312" w:lineRule="auto"/>
              <w:rPr>
                <w:rFonts w:cs="Verdana"/>
                <w:b/>
                <w:bCs/>
                <w:szCs w:val="20"/>
              </w:rPr>
            </w:pPr>
          </w:p>
          <w:p w:rsidR="00BE6C24" w:rsidRPr="00E00B35" w:rsidRDefault="00BE6C24" w:rsidP="00E00B35">
            <w:pPr>
              <w:tabs>
                <w:tab w:val="left" w:pos="567"/>
              </w:tabs>
              <w:spacing w:after="0" w:line="312" w:lineRule="auto"/>
              <w:rPr>
                <w:rFonts w:cs="Verdana"/>
                <w:b/>
                <w:bCs/>
                <w:szCs w:val="20"/>
              </w:rPr>
            </w:pPr>
            <w:r w:rsidRPr="00E00B35">
              <w:rPr>
                <w:rFonts w:cs="Verdana"/>
                <w:b/>
                <w:bCs/>
                <w:szCs w:val="20"/>
              </w:rPr>
              <w:t>2019</w:t>
            </w:r>
          </w:p>
        </w:tc>
        <w:tc>
          <w:tcPr>
            <w:tcW w:w="979" w:type="dxa"/>
          </w:tcPr>
          <w:p w:rsidR="00BE6C24" w:rsidRPr="00E00B35" w:rsidRDefault="00BE6C24" w:rsidP="00E00B35">
            <w:pPr>
              <w:tabs>
                <w:tab w:val="left" w:pos="567"/>
              </w:tabs>
              <w:spacing w:after="0" w:line="312" w:lineRule="auto"/>
              <w:rPr>
                <w:rFonts w:cs="Verdana"/>
                <w:b/>
                <w:bCs/>
                <w:szCs w:val="20"/>
              </w:rPr>
            </w:pPr>
          </w:p>
          <w:p w:rsidR="00BE6C24" w:rsidRPr="00E00B35" w:rsidRDefault="00BE6C24" w:rsidP="00E00B35">
            <w:pPr>
              <w:tabs>
                <w:tab w:val="left" w:pos="567"/>
              </w:tabs>
              <w:spacing w:after="0" w:line="312" w:lineRule="auto"/>
              <w:rPr>
                <w:rFonts w:cs="Verdana"/>
                <w:b/>
                <w:bCs/>
                <w:szCs w:val="20"/>
              </w:rPr>
            </w:pPr>
            <w:r w:rsidRPr="00E00B35">
              <w:rPr>
                <w:rFonts w:cs="Verdana"/>
                <w:b/>
                <w:bCs/>
                <w:szCs w:val="20"/>
              </w:rPr>
              <w:t>2020</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1.</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Jarmark Bożonarodzeniowy</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180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190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213</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2.</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Jarmark Świętojański</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64</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64</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70</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3.</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Jarmark Ekologiczny</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4.</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Kiermasz Wszystkich Świętych</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69</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69</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69</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69</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5.</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Jarmark Włoski</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20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17</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17</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6.</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Świąteczny Zlot Food Trucków</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14</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7.</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Targowisko - Lotnicza*</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47</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47</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47</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47</w:t>
            </w:r>
          </w:p>
        </w:tc>
      </w:tr>
      <w:tr w:rsidR="00BE6C24" w:rsidRPr="00E00B35" w:rsidTr="00BE6C24">
        <w:trPr>
          <w:trHeight w:val="224"/>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8.</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Targowisko - Żmigrodzka*</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60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60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60</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60</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9.</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Targowisko – Ptasia</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30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30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30</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30</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10.</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Targowisko – Skoczylasa</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30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30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30</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30</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11.</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Targowisko – Komandorska</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120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120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120</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120</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12.</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Targowisko - Niedźwiedzia*</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120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120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120</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120</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13.</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Targowisko – Jemiołowa</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0</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35</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35</w:t>
            </w:r>
          </w:p>
        </w:tc>
      </w:tr>
      <w:tr w:rsidR="00BE6C24" w:rsidRPr="00E00B35" w:rsidTr="00BE6C24">
        <w:trPr>
          <w:trHeight w:val="239"/>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14.</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Handel okrężny - całoroczny*</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54</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54</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54</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59</w:t>
            </w:r>
          </w:p>
        </w:tc>
      </w:tr>
      <w:tr w:rsidR="00BE6C24" w:rsidRPr="00E00B35" w:rsidTr="00BE6C24">
        <w:trPr>
          <w:trHeight w:val="477"/>
        </w:trPr>
        <w:tc>
          <w:tcPr>
            <w:tcW w:w="695" w:type="dxa"/>
          </w:tcPr>
          <w:p w:rsidR="00BE6C24" w:rsidRPr="00E00B35" w:rsidRDefault="00BE6C24" w:rsidP="00E00B35">
            <w:pPr>
              <w:tabs>
                <w:tab w:val="left" w:pos="567"/>
              </w:tabs>
              <w:spacing w:after="0" w:line="312" w:lineRule="auto"/>
              <w:rPr>
                <w:rFonts w:cs="Verdana"/>
                <w:szCs w:val="20"/>
              </w:rPr>
            </w:pPr>
            <w:r w:rsidRPr="00E00B35">
              <w:rPr>
                <w:rFonts w:cs="Verdana"/>
                <w:szCs w:val="20"/>
              </w:rPr>
              <w:t>15.</w:t>
            </w:r>
          </w:p>
        </w:tc>
        <w:tc>
          <w:tcPr>
            <w:tcW w:w="4766" w:type="dxa"/>
          </w:tcPr>
          <w:p w:rsidR="00BE6C24" w:rsidRPr="00E00B35" w:rsidRDefault="00BE6C24" w:rsidP="00E00B35">
            <w:pPr>
              <w:tabs>
                <w:tab w:val="left" w:pos="567"/>
              </w:tabs>
              <w:spacing w:after="0" w:line="312" w:lineRule="auto"/>
              <w:rPr>
                <w:rFonts w:cs="Verdana"/>
                <w:szCs w:val="20"/>
              </w:rPr>
            </w:pPr>
            <w:r w:rsidRPr="00E00B35">
              <w:rPr>
                <w:rFonts w:cs="Verdana"/>
                <w:szCs w:val="20"/>
              </w:rPr>
              <w:t>Handel okrężny - miejsca sezonowe*</w:t>
            </w:r>
          </w:p>
        </w:tc>
        <w:tc>
          <w:tcPr>
            <w:tcW w:w="1112" w:type="dxa"/>
          </w:tcPr>
          <w:p w:rsidR="00BE6C24" w:rsidRPr="00E00B35" w:rsidRDefault="00BE6C24" w:rsidP="00E00B35">
            <w:pPr>
              <w:tabs>
                <w:tab w:val="left" w:pos="567"/>
              </w:tabs>
              <w:spacing w:after="0" w:line="312" w:lineRule="auto"/>
              <w:rPr>
                <w:rFonts w:cs="Verdana"/>
                <w:szCs w:val="20"/>
              </w:rPr>
            </w:pPr>
            <w:r w:rsidRPr="00E00B35">
              <w:rPr>
                <w:rFonts w:cs="Verdana"/>
                <w:szCs w:val="20"/>
              </w:rPr>
              <w:t>76</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76</w:t>
            </w:r>
          </w:p>
        </w:tc>
        <w:tc>
          <w:tcPr>
            <w:tcW w:w="1113" w:type="dxa"/>
          </w:tcPr>
          <w:p w:rsidR="00BE6C24" w:rsidRPr="00E00B35" w:rsidRDefault="00BE6C24" w:rsidP="00E00B35">
            <w:pPr>
              <w:tabs>
                <w:tab w:val="left" w:pos="567"/>
              </w:tabs>
              <w:spacing w:after="0" w:line="312" w:lineRule="auto"/>
              <w:rPr>
                <w:rFonts w:cs="Verdana"/>
                <w:szCs w:val="20"/>
              </w:rPr>
            </w:pPr>
            <w:r w:rsidRPr="00E00B35">
              <w:rPr>
                <w:rFonts w:cs="Verdana"/>
                <w:szCs w:val="20"/>
              </w:rPr>
              <w:t>83</w:t>
            </w:r>
          </w:p>
        </w:tc>
        <w:tc>
          <w:tcPr>
            <w:tcW w:w="979" w:type="dxa"/>
          </w:tcPr>
          <w:p w:rsidR="00BE6C24" w:rsidRPr="00E00B35" w:rsidRDefault="00BE6C24" w:rsidP="00E00B35">
            <w:pPr>
              <w:tabs>
                <w:tab w:val="left" w:pos="567"/>
              </w:tabs>
              <w:spacing w:after="0" w:line="312" w:lineRule="auto"/>
              <w:rPr>
                <w:rFonts w:cs="Verdana"/>
                <w:szCs w:val="20"/>
              </w:rPr>
            </w:pPr>
            <w:r w:rsidRPr="00E00B35">
              <w:rPr>
                <w:rFonts w:cs="Verdana"/>
                <w:szCs w:val="20"/>
              </w:rPr>
              <w:t>86</w:t>
            </w:r>
          </w:p>
        </w:tc>
      </w:tr>
      <w:tr w:rsidR="00BE6C24" w:rsidRPr="00E00B35" w:rsidTr="00BE6C24">
        <w:trPr>
          <w:trHeight w:val="254"/>
        </w:trPr>
        <w:tc>
          <w:tcPr>
            <w:tcW w:w="695" w:type="dxa"/>
          </w:tcPr>
          <w:p w:rsidR="00BE6C24" w:rsidRPr="00E00B35" w:rsidRDefault="00BE6C24" w:rsidP="00E00B35">
            <w:pPr>
              <w:tabs>
                <w:tab w:val="left" w:pos="567"/>
              </w:tabs>
              <w:spacing w:after="0" w:line="312" w:lineRule="auto"/>
              <w:rPr>
                <w:rFonts w:cs="Verdana"/>
                <w:szCs w:val="20"/>
              </w:rPr>
            </w:pPr>
          </w:p>
        </w:tc>
        <w:tc>
          <w:tcPr>
            <w:tcW w:w="4766" w:type="dxa"/>
          </w:tcPr>
          <w:p w:rsidR="00BE6C24" w:rsidRPr="00E00B35" w:rsidRDefault="00BE6C24" w:rsidP="00E00B35">
            <w:pPr>
              <w:tabs>
                <w:tab w:val="left" w:pos="567"/>
              </w:tabs>
              <w:spacing w:after="0" w:line="312" w:lineRule="auto"/>
              <w:rPr>
                <w:rFonts w:cs="Verdana"/>
                <w:b/>
                <w:bCs/>
                <w:szCs w:val="20"/>
              </w:rPr>
            </w:pPr>
            <w:r w:rsidRPr="00E00B35">
              <w:rPr>
                <w:rFonts w:cs="Verdana"/>
                <w:b/>
                <w:bCs/>
                <w:szCs w:val="20"/>
              </w:rPr>
              <w:t>Łącznie:</w:t>
            </w:r>
          </w:p>
        </w:tc>
        <w:tc>
          <w:tcPr>
            <w:tcW w:w="1112" w:type="dxa"/>
          </w:tcPr>
          <w:p w:rsidR="00BE6C24" w:rsidRPr="00E00B35" w:rsidRDefault="00BE6C24" w:rsidP="00E00B35">
            <w:pPr>
              <w:tabs>
                <w:tab w:val="left" w:pos="567"/>
              </w:tabs>
              <w:spacing w:after="0" w:line="312" w:lineRule="auto"/>
              <w:rPr>
                <w:rFonts w:cs="Verdana"/>
                <w:b/>
                <w:bCs/>
                <w:szCs w:val="20"/>
              </w:rPr>
            </w:pPr>
            <w:r w:rsidRPr="00E00B35">
              <w:rPr>
                <w:rFonts w:cs="Verdana"/>
                <w:b/>
                <w:bCs/>
                <w:szCs w:val="20"/>
              </w:rPr>
              <w:t>850</w:t>
            </w:r>
          </w:p>
        </w:tc>
        <w:tc>
          <w:tcPr>
            <w:tcW w:w="1113" w:type="dxa"/>
          </w:tcPr>
          <w:p w:rsidR="00BE6C24" w:rsidRPr="00E00B35" w:rsidRDefault="00BE6C24" w:rsidP="00E00B35">
            <w:pPr>
              <w:tabs>
                <w:tab w:val="left" w:pos="567"/>
              </w:tabs>
              <w:spacing w:after="0" w:line="312" w:lineRule="auto"/>
              <w:rPr>
                <w:rFonts w:cs="Verdana"/>
                <w:b/>
                <w:bCs/>
                <w:szCs w:val="20"/>
              </w:rPr>
            </w:pPr>
            <w:r w:rsidRPr="00E00B35">
              <w:rPr>
                <w:rFonts w:cs="Verdana"/>
                <w:b/>
                <w:bCs/>
                <w:szCs w:val="20"/>
              </w:rPr>
              <w:t>830</w:t>
            </w:r>
          </w:p>
        </w:tc>
        <w:tc>
          <w:tcPr>
            <w:tcW w:w="1113" w:type="dxa"/>
          </w:tcPr>
          <w:p w:rsidR="00BE6C24" w:rsidRPr="00E00B35" w:rsidRDefault="00BE6C24" w:rsidP="00E00B35">
            <w:pPr>
              <w:tabs>
                <w:tab w:val="left" w:pos="567"/>
              </w:tabs>
              <w:spacing w:after="0" w:line="312" w:lineRule="auto"/>
              <w:rPr>
                <w:rFonts w:cs="Verdana"/>
                <w:b/>
                <w:bCs/>
                <w:szCs w:val="20"/>
              </w:rPr>
            </w:pPr>
            <w:r w:rsidRPr="00E00B35">
              <w:rPr>
                <w:rFonts w:cs="Verdana"/>
                <w:b/>
                <w:bCs/>
                <w:szCs w:val="20"/>
              </w:rPr>
              <w:t>962</w:t>
            </w:r>
          </w:p>
        </w:tc>
        <w:tc>
          <w:tcPr>
            <w:tcW w:w="979" w:type="dxa"/>
          </w:tcPr>
          <w:p w:rsidR="00BE6C24" w:rsidRPr="00E00B35" w:rsidRDefault="00BE6C24" w:rsidP="00E00B35">
            <w:pPr>
              <w:tabs>
                <w:tab w:val="left" w:pos="567"/>
              </w:tabs>
              <w:spacing w:after="0" w:line="312" w:lineRule="auto"/>
              <w:rPr>
                <w:rFonts w:cs="Verdana"/>
                <w:b/>
                <w:bCs/>
                <w:szCs w:val="20"/>
              </w:rPr>
            </w:pPr>
            <w:r w:rsidRPr="00E00B35">
              <w:rPr>
                <w:rFonts w:cs="Verdana"/>
                <w:b/>
                <w:bCs/>
                <w:szCs w:val="20"/>
              </w:rPr>
              <w:t>673</w:t>
            </w:r>
          </w:p>
        </w:tc>
      </w:tr>
    </w:tbl>
    <w:p w:rsidR="00BE6C24" w:rsidRPr="00E00B35" w:rsidRDefault="00BE6C24" w:rsidP="00E00B35">
      <w:pPr>
        <w:tabs>
          <w:tab w:val="left" w:pos="567"/>
        </w:tabs>
        <w:spacing w:after="0" w:line="312" w:lineRule="auto"/>
        <w:rPr>
          <w:rFonts w:cs="Verdana"/>
          <w:szCs w:val="20"/>
        </w:rPr>
      </w:pPr>
      <w:r w:rsidRPr="00E00B35">
        <w:rPr>
          <w:rFonts w:cs="Verdana"/>
          <w:szCs w:val="20"/>
        </w:rPr>
        <w:t>Uwaga:* oznacza, że są wolne miejsca</w:t>
      </w:r>
    </w:p>
    <w:p w:rsidR="00BE6C24" w:rsidRPr="00E00B35" w:rsidRDefault="00BE6C24" w:rsidP="00E00B35">
      <w:pPr>
        <w:tabs>
          <w:tab w:val="left" w:pos="567"/>
        </w:tabs>
        <w:autoSpaceDE w:val="0"/>
        <w:autoSpaceDN w:val="0"/>
        <w:adjustRightInd w:val="0"/>
        <w:spacing w:after="0" w:line="312" w:lineRule="auto"/>
        <w:rPr>
          <w:rFonts w:cs="Verdana"/>
          <w:b/>
          <w:bCs/>
          <w:szCs w:val="20"/>
        </w:rPr>
      </w:pPr>
    </w:p>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Cs/>
          <w:szCs w:val="20"/>
        </w:rPr>
        <w:t xml:space="preserve">Wykres nr 4 - </w:t>
      </w:r>
      <w:r w:rsidRPr="00E00B35">
        <w:rPr>
          <w:rFonts w:cs="Verdana"/>
          <w:szCs w:val="20"/>
        </w:rPr>
        <w:t>Liczba miejsc do sprzedaży na targowiskach i w handlu ulicznym organizowana na nieruchomościach komunalnych w ramach jarmarków, kiermaszy, handlu okrężnego w latach 2015-2020</w:t>
      </w:r>
    </w:p>
    <w:p w:rsidR="00BE6C24" w:rsidRPr="00E00B35" w:rsidRDefault="00BE6C24" w:rsidP="00E00B35">
      <w:pPr>
        <w:spacing w:after="0" w:line="312" w:lineRule="auto"/>
        <w:rPr>
          <w:rFonts w:cs="Verdana"/>
          <w:noProof/>
          <w:szCs w:val="20"/>
        </w:rPr>
      </w:pPr>
      <w:r w:rsidRPr="00E00B35">
        <w:rPr>
          <w:rFonts w:cs="Verdana"/>
          <w:noProof/>
          <w:szCs w:val="20"/>
        </w:rPr>
        <w:lastRenderedPageBreak/>
        <w:drawing>
          <wp:inline distT="0" distB="0" distL="0" distR="0">
            <wp:extent cx="6229350" cy="2943225"/>
            <wp:effectExtent l="0" t="0" r="0" b="0"/>
            <wp:docPr id="157" name="Obiek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E6C24" w:rsidRPr="00E00B35" w:rsidRDefault="00BE6C24" w:rsidP="00E00B35">
      <w:pPr>
        <w:spacing w:after="0" w:line="312" w:lineRule="auto"/>
        <w:rPr>
          <w:rFonts w:cs="Verdana"/>
          <w:szCs w:val="20"/>
        </w:rPr>
      </w:pPr>
    </w:p>
    <w:p w:rsidR="00BE6C24" w:rsidRPr="00E00B35" w:rsidRDefault="00BE6C24" w:rsidP="00BC64AB">
      <w:pPr>
        <w:pStyle w:val="Akapitzlist"/>
        <w:numPr>
          <w:ilvl w:val="0"/>
          <w:numId w:val="265"/>
        </w:numPr>
        <w:spacing w:after="0" w:line="312" w:lineRule="auto"/>
        <w:ind w:left="426" w:hanging="426"/>
        <w:contextualSpacing w:val="0"/>
        <w:rPr>
          <w:rFonts w:cs="Verdana"/>
          <w:b/>
          <w:bCs/>
          <w:szCs w:val="20"/>
        </w:rPr>
      </w:pPr>
      <w:r w:rsidRPr="00E00B35">
        <w:rPr>
          <w:rFonts w:eastAsia="font415"/>
          <w:b/>
          <w:iCs/>
          <w:szCs w:val="20"/>
        </w:rPr>
        <w:t>Tworzenie warunków rozwoju gospodarczego Wrocławia, pobudzanie i wspie</w:t>
      </w:r>
      <w:r w:rsidRPr="00E00B35">
        <w:rPr>
          <w:rFonts w:cs="Verdana"/>
          <w:b/>
          <w:bCs/>
          <w:szCs w:val="20"/>
        </w:rPr>
        <w:t>ranie przedsiębiorczości, w tym projektów innowacyjnych</w:t>
      </w:r>
    </w:p>
    <w:p w:rsidR="00BE6C24" w:rsidRPr="00E00B35" w:rsidRDefault="00BE6C24" w:rsidP="00BC64AB">
      <w:pPr>
        <w:pStyle w:val="Akapitzlist"/>
        <w:numPr>
          <w:ilvl w:val="0"/>
          <w:numId w:val="267"/>
        </w:numPr>
        <w:spacing w:after="0" w:line="312" w:lineRule="auto"/>
        <w:ind w:left="426" w:hanging="426"/>
        <w:contextualSpacing w:val="0"/>
        <w:rPr>
          <w:rFonts w:cs="Verdana"/>
          <w:szCs w:val="20"/>
        </w:rPr>
      </w:pPr>
      <w:r w:rsidRPr="00E00B35">
        <w:rPr>
          <w:rFonts w:cs="Verdana"/>
          <w:szCs w:val="20"/>
        </w:rPr>
        <w:t>Warsztaty dla obcokrajowców (201 zadanie kwartalne Prezydenta)</w:t>
      </w:r>
    </w:p>
    <w:p w:rsidR="00BE6C24" w:rsidRPr="00E00B35" w:rsidRDefault="00BE6C24" w:rsidP="00E00B35">
      <w:pPr>
        <w:autoSpaceDE w:val="0"/>
        <w:autoSpaceDN w:val="0"/>
        <w:adjustRightInd w:val="0"/>
        <w:spacing w:after="0" w:line="312" w:lineRule="auto"/>
        <w:rPr>
          <w:rFonts w:cs="Verdana"/>
          <w:szCs w:val="20"/>
        </w:rPr>
      </w:pPr>
      <w:r w:rsidRPr="00E00B35">
        <w:rPr>
          <w:rFonts w:cs="Verdana"/>
          <w:b/>
          <w:bCs/>
          <w:szCs w:val="20"/>
        </w:rPr>
        <w:t>Spotkania dla obcokrajowców</w:t>
      </w:r>
      <w:r w:rsidRPr="00E00B35">
        <w:rPr>
          <w:rFonts w:cs="Verdana"/>
          <w:szCs w:val="20"/>
        </w:rPr>
        <w:t xml:space="preserve"> </w:t>
      </w:r>
      <w:r w:rsidRPr="00E00B35">
        <w:rPr>
          <w:rFonts w:cs="Verdana"/>
          <w:b/>
          <w:bCs/>
          <w:szCs w:val="20"/>
        </w:rPr>
        <w:t xml:space="preserve">„How to register your business in Poland” </w:t>
      </w:r>
      <w:r w:rsidRPr="00E00B35">
        <w:rPr>
          <w:rFonts w:cs="Verdana"/>
          <w:szCs w:val="20"/>
        </w:rPr>
        <w:t>współorganizowane z biurem coworking’owym IdeaPlace</w:t>
      </w:r>
      <w:r w:rsidRPr="00E00B35">
        <w:rPr>
          <w:rFonts w:cs="Verdana"/>
          <w:b/>
          <w:bCs/>
          <w:szCs w:val="20"/>
        </w:rPr>
        <w:t xml:space="preserve"> </w:t>
      </w:r>
      <w:r w:rsidRPr="00E00B35">
        <w:rPr>
          <w:rFonts w:cs="Verdana"/>
          <w:szCs w:val="20"/>
        </w:rPr>
        <w:t>prowadzone są od roku 2018. W 2020 r. z uwagi na pandemię wydarzenie zostało przeprowadzone w formie webinaru. Wzięło w nim udział około 40 osób z różnych krajów świata. Z uwagi na duże zainteresowanie zaplanowano kolejne spotkania w tym zakresie. Spotkania prowadzone są w języku angielskim.</w:t>
      </w:r>
    </w:p>
    <w:p w:rsidR="00BE6C24" w:rsidRPr="00E00B35" w:rsidRDefault="00BE6C24" w:rsidP="00E00B35">
      <w:pPr>
        <w:spacing w:after="0" w:line="312" w:lineRule="auto"/>
        <w:rPr>
          <w:rFonts w:cs="Verdana"/>
          <w:szCs w:val="20"/>
        </w:rPr>
      </w:pPr>
    </w:p>
    <w:p w:rsidR="00BE6C24" w:rsidRPr="00E00B35" w:rsidRDefault="00BE6C24" w:rsidP="00BC64AB">
      <w:pPr>
        <w:numPr>
          <w:ilvl w:val="0"/>
          <w:numId w:val="267"/>
        </w:numPr>
        <w:spacing w:after="0" w:line="312" w:lineRule="auto"/>
        <w:ind w:left="426" w:hanging="426"/>
        <w:rPr>
          <w:rFonts w:cs="Verdana"/>
          <w:color w:val="000000"/>
          <w:szCs w:val="20"/>
        </w:rPr>
      </w:pPr>
      <w:r w:rsidRPr="00E00B35">
        <w:rPr>
          <w:rFonts w:cs="Verdana"/>
          <w:color w:val="000000"/>
          <w:szCs w:val="20"/>
        </w:rPr>
        <w:t>Działalność informacyjno-doradcza Punktu Informacji Gospodarczej</w:t>
      </w:r>
    </w:p>
    <w:p w:rsidR="00BE6C24" w:rsidRPr="00E00B35" w:rsidRDefault="00BE6C24" w:rsidP="00E00B35">
      <w:pPr>
        <w:autoSpaceDE w:val="0"/>
        <w:autoSpaceDN w:val="0"/>
        <w:adjustRightInd w:val="0"/>
        <w:spacing w:after="0" w:line="312" w:lineRule="auto"/>
        <w:rPr>
          <w:rFonts w:cs="Verdana"/>
          <w:szCs w:val="20"/>
        </w:rPr>
      </w:pPr>
      <w:r w:rsidRPr="00E00B35">
        <w:rPr>
          <w:rFonts w:cs="Verdana"/>
          <w:szCs w:val="20"/>
        </w:rPr>
        <w:t xml:space="preserve">W Punkcie Informacji Gospodarczej prowadzone jest doradztwo osobiste, telefoniczne i mailowe. Przyjmowane są zapytania na temat różnych aspektów prowadzenia działalności gospodarczej: </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 xml:space="preserve">pomoc na start dla początkujących przedsiębiorców, </w:t>
      </w:r>
    </w:p>
    <w:p w:rsidR="00BE6C24" w:rsidRPr="00E00B35" w:rsidRDefault="00BE6C24" w:rsidP="00BC64AB">
      <w:pPr>
        <w:pStyle w:val="Akapitzlist"/>
        <w:numPr>
          <w:ilvl w:val="0"/>
          <w:numId w:val="245"/>
        </w:numPr>
        <w:spacing w:after="0" w:line="312" w:lineRule="auto"/>
        <w:ind w:left="567" w:hanging="567"/>
        <w:rPr>
          <w:rFonts w:cs="Arial"/>
          <w:iCs/>
          <w:szCs w:val="20"/>
        </w:rPr>
      </w:pPr>
      <w:r w:rsidRPr="00E00B35">
        <w:rPr>
          <w:rFonts w:cs="Arial"/>
          <w:iCs/>
          <w:szCs w:val="20"/>
        </w:rPr>
        <w:t xml:space="preserve">wsparcie dla MŚP na różnych etapach, </w:t>
      </w:r>
    </w:p>
    <w:p w:rsidR="00BE6C24" w:rsidRPr="00E00B35" w:rsidRDefault="00BE6C24" w:rsidP="00BC64AB">
      <w:pPr>
        <w:pStyle w:val="Akapitzlist"/>
        <w:numPr>
          <w:ilvl w:val="0"/>
          <w:numId w:val="245"/>
        </w:numPr>
        <w:spacing w:after="0" w:line="312" w:lineRule="auto"/>
        <w:ind w:left="567" w:hanging="567"/>
        <w:rPr>
          <w:rFonts w:cs="Verdana"/>
          <w:szCs w:val="20"/>
        </w:rPr>
      </w:pPr>
      <w:r w:rsidRPr="00E00B35">
        <w:rPr>
          <w:rFonts w:cs="Arial"/>
          <w:iCs/>
          <w:szCs w:val="20"/>
        </w:rPr>
        <w:t>rozwiązywanie</w:t>
      </w:r>
      <w:r w:rsidRPr="00E00B35">
        <w:rPr>
          <w:rFonts w:cs="Verdana"/>
          <w:szCs w:val="20"/>
        </w:rPr>
        <w:t xml:space="preserve"> indywidualnych problemów (studia przypadków).</w:t>
      </w:r>
    </w:p>
    <w:p w:rsidR="00BE6C24" w:rsidRPr="00E00B35" w:rsidRDefault="00BE6C24" w:rsidP="00E00B35">
      <w:pPr>
        <w:autoSpaceDE w:val="0"/>
        <w:autoSpaceDN w:val="0"/>
        <w:adjustRightInd w:val="0"/>
        <w:spacing w:after="0" w:line="312" w:lineRule="auto"/>
        <w:rPr>
          <w:rFonts w:cs="Verdana"/>
          <w:b/>
          <w:bCs/>
          <w:szCs w:val="20"/>
        </w:rPr>
      </w:pPr>
      <w:r w:rsidRPr="00E00B35">
        <w:rPr>
          <w:rFonts w:cs="Verdana"/>
          <w:szCs w:val="20"/>
        </w:rPr>
        <w:t xml:space="preserve">W 2020 roku z uwagi na pandemię COVID-19 </w:t>
      </w:r>
      <w:r w:rsidRPr="00E00B35">
        <w:rPr>
          <w:rFonts w:cs="Verdana"/>
          <w:b/>
          <w:bCs/>
          <w:szCs w:val="20"/>
        </w:rPr>
        <w:t xml:space="preserve">najwięcej pytań skierowanych do Punktu dotyczyło form i możliwości wsparcia oferowanych w ramach Wrocławskiego Pakietu Pomocowego oraz rządowych Tarcz Antykryzysowych. </w:t>
      </w:r>
    </w:p>
    <w:p w:rsidR="00BE6C24" w:rsidRPr="00E00B35" w:rsidRDefault="00BE6C24" w:rsidP="00E00B35">
      <w:pPr>
        <w:autoSpaceDE w:val="0"/>
        <w:autoSpaceDN w:val="0"/>
        <w:adjustRightInd w:val="0"/>
        <w:spacing w:after="0" w:line="312" w:lineRule="auto"/>
        <w:rPr>
          <w:rFonts w:cs="Verdana"/>
          <w:szCs w:val="20"/>
        </w:rPr>
      </w:pPr>
      <w:r w:rsidRPr="00E00B35">
        <w:rPr>
          <w:rFonts w:cs="Verdana"/>
          <w:szCs w:val="20"/>
        </w:rPr>
        <w:t>W Punkcie zapewniona jest obsługa wielojęzyczna (polski, angielski, francuski, niemiecki, hiszpański), dzięki czemu istnieje możliwość przyjęcia zapytań z całego świata.</w:t>
      </w:r>
    </w:p>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Cs/>
          <w:szCs w:val="20"/>
        </w:rPr>
        <w:t>Tabela nr 5</w:t>
      </w:r>
      <w:r w:rsidR="00CD6DA6" w:rsidRPr="00E00B35">
        <w:rPr>
          <w:rFonts w:cs="Verdana"/>
          <w:bCs/>
          <w:szCs w:val="20"/>
        </w:rPr>
        <w:t xml:space="preserve"> - </w:t>
      </w:r>
      <w:r w:rsidRPr="00E00B35">
        <w:rPr>
          <w:rFonts w:cs="Verdana"/>
          <w:szCs w:val="20"/>
        </w:rPr>
        <w:t>Liczba zapytań skierowanych do Punktu Informacji Gospodarczej w latach 2017–2020</w:t>
      </w:r>
    </w:p>
    <w:tbl>
      <w:tblPr>
        <w:tblW w:w="9263" w:type="dxa"/>
        <w:tblInd w:w="2" w:type="dxa"/>
        <w:tblLayout w:type="fixed"/>
        <w:tblLook w:val="0000"/>
      </w:tblPr>
      <w:tblGrid>
        <w:gridCol w:w="3355"/>
        <w:gridCol w:w="1442"/>
        <w:gridCol w:w="1440"/>
        <w:gridCol w:w="1513"/>
        <w:gridCol w:w="1513"/>
      </w:tblGrid>
      <w:tr w:rsidR="00BE6C24" w:rsidRPr="00E00B35" w:rsidTr="00CD6DA6">
        <w:trPr>
          <w:trHeight w:val="1"/>
          <w:tblHeader/>
        </w:trPr>
        <w:tc>
          <w:tcPr>
            <w:tcW w:w="3355" w:type="dxa"/>
            <w:tcBorders>
              <w:top w:val="single" w:sz="2" w:space="0" w:color="000000"/>
              <w:left w:val="single" w:sz="2" w:space="0" w:color="000000"/>
              <w:bottom w:val="single" w:sz="2" w:space="0" w:color="000000"/>
              <w:right w:val="single" w:sz="2" w:space="0" w:color="000000"/>
            </w:tcBorders>
            <w:shd w:val="clear" w:color="auto" w:fill="D9D9D9"/>
          </w:tcPr>
          <w:p w:rsidR="00BE6C24" w:rsidRPr="00E00B35" w:rsidRDefault="00BE6C24" w:rsidP="00E0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12" w:lineRule="auto"/>
              <w:rPr>
                <w:rFonts w:cs="Verdana"/>
                <w:szCs w:val="20"/>
              </w:rPr>
            </w:pPr>
            <w:r w:rsidRPr="00E00B35">
              <w:rPr>
                <w:rFonts w:cs="Verdana"/>
                <w:szCs w:val="20"/>
              </w:rPr>
              <w:t>Rok</w:t>
            </w:r>
          </w:p>
        </w:tc>
        <w:tc>
          <w:tcPr>
            <w:tcW w:w="1442" w:type="dxa"/>
            <w:tcBorders>
              <w:top w:val="single" w:sz="2" w:space="0" w:color="000000"/>
              <w:left w:val="single" w:sz="2" w:space="0" w:color="000000"/>
              <w:bottom w:val="single" w:sz="2" w:space="0" w:color="000000"/>
              <w:right w:val="single" w:sz="2" w:space="0" w:color="000000"/>
            </w:tcBorders>
            <w:shd w:val="clear" w:color="auto" w:fill="D9D9D9"/>
          </w:tcPr>
          <w:p w:rsidR="00BE6C24" w:rsidRPr="00E00B35" w:rsidRDefault="00BE6C24" w:rsidP="00E0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12" w:lineRule="auto"/>
              <w:rPr>
                <w:rFonts w:cs="Verdana"/>
                <w:szCs w:val="20"/>
              </w:rPr>
            </w:pPr>
            <w:r w:rsidRPr="00E00B35">
              <w:rPr>
                <w:rFonts w:cs="Verdana"/>
                <w:b/>
                <w:bCs/>
                <w:szCs w:val="20"/>
              </w:rPr>
              <w:t>2017</w:t>
            </w:r>
          </w:p>
        </w:tc>
        <w:tc>
          <w:tcPr>
            <w:tcW w:w="1440" w:type="dxa"/>
            <w:tcBorders>
              <w:top w:val="single" w:sz="2" w:space="0" w:color="000000"/>
              <w:left w:val="single" w:sz="2" w:space="0" w:color="000000"/>
              <w:bottom w:val="single" w:sz="2" w:space="0" w:color="000000"/>
              <w:right w:val="single" w:sz="2" w:space="0" w:color="000000"/>
            </w:tcBorders>
            <w:shd w:val="clear" w:color="auto" w:fill="D9D9D9"/>
          </w:tcPr>
          <w:p w:rsidR="00BE6C24" w:rsidRPr="00E00B35" w:rsidRDefault="00BE6C24" w:rsidP="00E0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12" w:lineRule="auto"/>
              <w:rPr>
                <w:rFonts w:cs="Verdana"/>
                <w:szCs w:val="20"/>
              </w:rPr>
            </w:pPr>
            <w:r w:rsidRPr="00E00B35">
              <w:rPr>
                <w:rFonts w:cs="Verdana"/>
                <w:b/>
                <w:bCs/>
                <w:szCs w:val="20"/>
              </w:rPr>
              <w:t>2018</w:t>
            </w:r>
          </w:p>
        </w:tc>
        <w:tc>
          <w:tcPr>
            <w:tcW w:w="1513" w:type="dxa"/>
            <w:tcBorders>
              <w:top w:val="single" w:sz="2" w:space="0" w:color="000000"/>
              <w:left w:val="single" w:sz="2" w:space="0" w:color="000000"/>
              <w:bottom w:val="single" w:sz="2" w:space="0" w:color="000000"/>
              <w:right w:val="single" w:sz="2" w:space="0" w:color="000000"/>
            </w:tcBorders>
            <w:shd w:val="clear" w:color="auto" w:fill="D9D9D9"/>
          </w:tcPr>
          <w:p w:rsidR="00BE6C24" w:rsidRPr="00E00B35" w:rsidRDefault="00BE6C24" w:rsidP="00E0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12" w:lineRule="auto"/>
              <w:rPr>
                <w:rFonts w:cs="Verdana"/>
                <w:b/>
                <w:bCs/>
                <w:szCs w:val="20"/>
              </w:rPr>
            </w:pPr>
            <w:r w:rsidRPr="00E00B35">
              <w:rPr>
                <w:rFonts w:cs="Verdana"/>
                <w:b/>
                <w:bCs/>
                <w:szCs w:val="20"/>
              </w:rPr>
              <w:t>2019</w:t>
            </w:r>
          </w:p>
        </w:tc>
        <w:tc>
          <w:tcPr>
            <w:tcW w:w="1513" w:type="dxa"/>
            <w:tcBorders>
              <w:top w:val="single" w:sz="2" w:space="0" w:color="000000"/>
              <w:left w:val="single" w:sz="2" w:space="0" w:color="000000"/>
              <w:bottom w:val="single" w:sz="2" w:space="0" w:color="000000"/>
              <w:right w:val="single" w:sz="2" w:space="0" w:color="000000"/>
            </w:tcBorders>
            <w:shd w:val="clear" w:color="auto" w:fill="D9D9D9"/>
          </w:tcPr>
          <w:p w:rsidR="00BE6C24" w:rsidRPr="00E00B35" w:rsidRDefault="00BE6C24" w:rsidP="00E0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12" w:lineRule="auto"/>
              <w:rPr>
                <w:rFonts w:cs="Verdana"/>
                <w:b/>
                <w:bCs/>
                <w:szCs w:val="20"/>
              </w:rPr>
            </w:pPr>
            <w:r w:rsidRPr="00E00B35">
              <w:rPr>
                <w:rFonts w:cs="Verdana"/>
                <w:b/>
                <w:bCs/>
                <w:szCs w:val="20"/>
              </w:rPr>
              <w:t>2020</w:t>
            </w:r>
          </w:p>
        </w:tc>
      </w:tr>
      <w:tr w:rsidR="00BE6C24" w:rsidRPr="00E00B35" w:rsidTr="00BE6C24">
        <w:trPr>
          <w:trHeight w:val="1"/>
        </w:trPr>
        <w:tc>
          <w:tcPr>
            <w:tcW w:w="3355" w:type="dxa"/>
            <w:tcBorders>
              <w:top w:val="single" w:sz="2" w:space="0" w:color="000000"/>
              <w:left w:val="single" w:sz="2" w:space="0" w:color="000000"/>
              <w:bottom w:val="single" w:sz="2" w:space="0" w:color="000000"/>
              <w:right w:val="single" w:sz="2" w:space="0" w:color="000000"/>
            </w:tcBorders>
            <w:shd w:val="clear" w:color="auto" w:fill="D9D9D9"/>
          </w:tcPr>
          <w:p w:rsidR="00BE6C24" w:rsidRPr="00E00B35" w:rsidRDefault="00BE6C24" w:rsidP="00E0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12" w:lineRule="auto"/>
              <w:rPr>
                <w:rFonts w:cs="Verdana"/>
                <w:szCs w:val="20"/>
              </w:rPr>
            </w:pPr>
            <w:r w:rsidRPr="00E00B35">
              <w:rPr>
                <w:rFonts w:cs="Verdana"/>
                <w:szCs w:val="20"/>
              </w:rPr>
              <w:t xml:space="preserve">Ilość zapytań w PIG ogółem </w:t>
            </w:r>
            <w:r w:rsidRPr="00E00B35">
              <w:rPr>
                <w:rFonts w:cs="Verdana"/>
                <w:i/>
                <w:iCs/>
                <w:szCs w:val="20"/>
              </w:rPr>
              <w:t>(mail, tel., osobiście)</w:t>
            </w:r>
            <w:r w:rsidRPr="00E00B35">
              <w:rPr>
                <w:rFonts w:cs="Verdana"/>
                <w:szCs w:val="20"/>
              </w:rPr>
              <w:t xml:space="preserve"> </w:t>
            </w:r>
          </w:p>
        </w:tc>
        <w:tc>
          <w:tcPr>
            <w:tcW w:w="1442" w:type="dxa"/>
            <w:tcBorders>
              <w:top w:val="single" w:sz="2" w:space="0" w:color="000000"/>
              <w:left w:val="single" w:sz="2" w:space="0" w:color="000000"/>
              <w:bottom w:val="single" w:sz="2" w:space="0" w:color="000000"/>
              <w:right w:val="single" w:sz="2" w:space="0" w:color="000000"/>
            </w:tcBorders>
          </w:tcPr>
          <w:p w:rsidR="00BE6C24" w:rsidRPr="00E00B35" w:rsidRDefault="00BE6C24" w:rsidP="00E0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12" w:lineRule="auto"/>
              <w:rPr>
                <w:rFonts w:cs="Verdana"/>
                <w:szCs w:val="20"/>
              </w:rPr>
            </w:pPr>
            <w:r w:rsidRPr="00E00B35">
              <w:rPr>
                <w:rFonts w:cs="Verdana"/>
                <w:szCs w:val="20"/>
              </w:rPr>
              <w:t>1300</w:t>
            </w:r>
          </w:p>
        </w:tc>
        <w:tc>
          <w:tcPr>
            <w:tcW w:w="1440" w:type="dxa"/>
            <w:tcBorders>
              <w:top w:val="single" w:sz="2" w:space="0" w:color="000000"/>
              <w:left w:val="single" w:sz="2" w:space="0" w:color="000000"/>
              <w:bottom w:val="single" w:sz="2" w:space="0" w:color="000000"/>
              <w:right w:val="single" w:sz="2" w:space="0" w:color="000000"/>
            </w:tcBorders>
          </w:tcPr>
          <w:p w:rsidR="00BE6C24" w:rsidRPr="00E00B35" w:rsidRDefault="00BE6C24" w:rsidP="00E0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12" w:lineRule="auto"/>
              <w:rPr>
                <w:rFonts w:cs="Verdana"/>
                <w:szCs w:val="20"/>
              </w:rPr>
            </w:pPr>
            <w:r w:rsidRPr="00E00B35">
              <w:rPr>
                <w:rFonts w:cs="Verdana"/>
                <w:szCs w:val="20"/>
              </w:rPr>
              <w:t>1500</w:t>
            </w:r>
          </w:p>
        </w:tc>
        <w:tc>
          <w:tcPr>
            <w:tcW w:w="1513" w:type="dxa"/>
            <w:tcBorders>
              <w:top w:val="single" w:sz="2" w:space="0" w:color="000000"/>
              <w:left w:val="single" w:sz="2" w:space="0" w:color="000000"/>
              <w:bottom w:val="single" w:sz="2" w:space="0" w:color="000000"/>
              <w:right w:val="single" w:sz="2" w:space="0" w:color="000000"/>
            </w:tcBorders>
          </w:tcPr>
          <w:p w:rsidR="00BE6C24" w:rsidRPr="00E00B35" w:rsidRDefault="00BE6C24" w:rsidP="00E0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12" w:lineRule="auto"/>
              <w:rPr>
                <w:rFonts w:cs="Verdana"/>
                <w:szCs w:val="20"/>
              </w:rPr>
            </w:pPr>
            <w:r w:rsidRPr="00E00B35">
              <w:rPr>
                <w:rFonts w:cs="Verdana"/>
                <w:szCs w:val="20"/>
              </w:rPr>
              <w:t>1650</w:t>
            </w:r>
          </w:p>
        </w:tc>
        <w:tc>
          <w:tcPr>
            <w:tcW w:w="1513" w:type="dxa"/>
            <w:tcBorders>
              <w:top w:val="single" w:sz="2" w:space="0" w:color="000000"/>
              <w:left w:val="single" w:sz="2" w:space="0" w:color="000000"/>
              <w:bottom w:val="single" w:sz="2" w:space="0" w:color="000000"/>
              <w:right w:val="single" w:sz="2" w:space="0" w:color="000000"/>
            </w:tcBorders>
          </w:tcPr>
          <w:p w:rsidR="00BE6C24" w:rsidRPr="00E00B35" w:rsidRDefault="00BE6C24" w:rsidP="00E0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12" w:lineRule="auto"/>
              <w:rPr>
                <w:rFonts w:cs="Verdana"/>
                <w:szCs w:val="20"/>
              </w:rPr>
            </w:pPr>
            <w:r w:rsidRPr="00E00B35">
              <w:rPr>
                <w:rFonts w:cs="Verdana"/>
                <w:szCs w:val="20"/>
              </w:rPr>
              <w:t>1700</w:t>
            </w:r>
          </w:p>
        </w:tc>
      </w:tr>
    </w:tbl>
    <w:p w:rsidR="00BE6C24" w:rsidRPr="00E00B35" w:rsidRDefault="00BE6C24" w:rsidP="00E00B35">
      <w:pPr>
        <w:autoSpaceDE w:val="0"/>
        <w:autoSpaceDN w:val="0"/>
        <w:adjustRightInd w:val="0"/>
        <w:spacing w:after="0" w:line="312" w:lineRule="auto"/>
        <w:rPr>
          <w:rFonts w:cs="Verdana"/>
          <w:szCs w:val="20"/>
          <w:u w:val="single"/>
        </w:rPr>
      </w:pPr>
    </w:p>
    <w:p w:rsidR="00BE6C24" w:rsidRPr="00E00B35" w:rsidRDefault="00BE6C24" w:rsidP="00E00B35">
      <w:pPr>
        <w:autoSpaceDE w:val="0"/>
        <w:autoSpaceDN w:val="0"/>
        <w:adjustRightInd w:val="0"/>
        <w:spacing w:after="0" w:line="312" w:lineRule="auto"/>
        <w:rPr>
          <w:rFonts w:cs="Verdana"/>
          <w:szCs w:val="20"/>
          <w:u w:val="single"/>
        </w:rPr>
      </w:pPr>
    </w:p>
    <w:p w:rsidR="00BE6C24" w:rsidRPr="00E00B35" w:rsidRDefault="00BE6C24" w:rsidP="00E00B35">
      <w:pPr>
        <w:autoSpaceDE w:val="0"/>
        <w:autoSpaceDN w:val="0"/>
        <w:adjustRightInd w:val="0"/>
        <w:spacing w:after="0" w:line="312" w:lineRule="auto"/>
        <w:rPr>
          <w:rFonts w:cs="Verdana"/>
          <w:szCs w:val="20"/>
        </w:rPr>
      </w:pPr>
      <w:r w:rsidRPr="00E00B35">
        <w:rPr>
          <w:rFonts w:cs="Verdana"/>
          <w:szCs w:val="20"/>
        </w:rPr>
        <w:t>Tematyka zapytań pozostaje w korelacji z krajem pochodzenia przedsiębiorcy:</w:t>
      </w:r>
    </w:p>
    <w:p w:rsidR="00BE6C24" w:rsidRPr="00E00B35" w:rsidRDefault="00BE6C24" w:rsidP="00BC64AB">
      <w:pPr>
        <w:pStyle w:val="Akapitzlist"/>
        <w:numPr>
          <w:ilvl w:val="0"/>
          <w:numId w:val="245"/>
        </w:numPr>
        <w:spacing w:after="0" w:line="312" w:lineRule="auto"/>
        <w:ind w:left="567" w:hanging="567"/>
        <w:rPr>
          <w:rFonts w:cs="Verdana"/>
          <w:szCs w:val="20"/>
        </w:rPr>
      </w:pPr>
      <w:r w:rsidRPr="00E00B35">
        <w:rPr>
          <w:rFonts w:cs="Verdana"/>
          <w:b/>
          <w:bCs/>
          <w:szCs w:val="20"/>
        </w:rPr>
        <w:t>Polacy</w:t>
      </w:r>
      <w:r w:rsidRPr="00E00B35">
        <w:rPr>
          <w:rFonts w:cs="Verdana"/>
          <w:szCs w:val="20"/>
        </w:rPr>
        <w:t>: wsparcie finansowe w związku z COVID-19, możliwość przebranżowienia, problemy i wyzwania związane z obostrzeniami wprowadzonymi w wyniku pandemii, dofinansowanie do założenia działalności (zwrotne, bezzwrotne), fundusze na rozwój firmy, doradztwo dot. lokali użytkowych.</w:t>
      </w:r>
    </w:p>
    <w:p w:rsidR="00BE6C24" w:rsidRPr="00E00B35" w:rsidRDefault="00BE6C24" w:rsidP="00BC64AB">
      <w:pPr>
        <w:pStyle w:val="Akapitzlist"/>
        <w:numPr>
          <w:ilvl w:val="0"/>
          <w:numId w:val="245"/>
        </w:numPr>
        <w:spacing w:after="0" w:line="312" w:lineRule="auto"/>
        <w:ind w:left="567" w:hanging="567"/>
        <w:rPr>
          <w:rFonts w:cs="Verdana"/>
          <w:szCs w:val="20"/>
        </w:rPr>
      </w:pPr>
      <w:r w:rsidRPr="00E00B35">
        <w:rPr>
          <w:rFonts w:cs="Verdana"/>
          <w:b/>
          <w:bCs/>
          <w:szCs w:val="20"/>
        </w:rPr>
        <w:t xml:space="preserve">Inne kraje (w tym najczęściej: Ukraińcy, Hindusi, Brytyjczycy, Hiszpanie, Portugalczycy, Egipcjanie): </w:t>
      </w:r>
      <w:r w:rsidRPr="00E00B35">
        <w:rPr>
          <w:rFonts w:cs="Verdana"/>
          <w:szCs w:val="20"/>
        </w:rPr>
        <w:t>kwestie formalno-prawne dot. pobytu i podjęcia działalności gospodarczej w Polsce, ulgi i ułatwienia dla przedsiębiorców.</w:t>
      </w:r>
    </w:p>
    <w:p w:rsidR="00BE6C24" w:rsidRPr="00E00B35" w:rsidRDefault="00BE6C24" w:rsidP="00E00B35">
      <w:pPr>
        <w:autoSpaceDE w:val="0"/>
        <w:autoSpaceDN w:val="0"/>
        <w:adjustRightInd w:val="0"/>
        <w:spacing w:after="0" w:line="312" w:lineRule="auto"/>
        <w:ind w:left="680"/>
        <w:rPr>
          <w:rFonts w:cs="Verdana"/>
          <w:szCs w:val="20"/>
        </w:rPr>
      </w:pPr>
    </w:p>
    <w:p w:rsidR="00BE6C24" w:rsidRPr="00E00B35" w:rsidRDefault="00BE6C24" w:rsidP="00BC64AB">
      <w:pPr>
        <w:numPr>
          <w:ilvl w:val="0"/>
          <w:numId w:val="267"/>
        </w:numPr>
        <w:spacing w:after="0" w:line="312" w:lineRule="auto"/>
        <w:ind w:left="426" w:hanging="426"/>
        <w:rPr>
          <w:rFonts w:cs="Verdana"/>
          <w:color w:val="000000"/>
          <w:szCs w:val="20"/>
        </w:rPr>
      </w:pPr>
      <w:r w:rsidRPr="00E00B35">
        <w:rPr>
          <w:rFonts w:cs="Verdana"/>
          <w:color w:val="000000"/>
          <w:szCs w:val="20"/>
        </w:rPr>
        <w:t>Prowadzenie portalu tematycznego BIZNES na Wrocław.pl oraz praca nad nowym serwisem „Przedsiębiorczy Wrocław”</w:t>
      </w:r>
    </w:p>
    <w:p w:rsidR="00BE6C24" w:rsidRPr="00E00B35" w:rsidRDefault="00BE6C24" w:rsidP="00E00B35">
      <w:pPr>
        <w:autoSpaceDE w:val="0"/>
        <w:autoSpaceDN w:val="0"/>
        <w:adjustRightInd w:val="0"/>
        <w:spacing w:after="0" w:line="312" w:lineRule="auto"/>
        <w:rPr>
          <w:rFonts w:cs="Verdana"/>
          <w:szCs w:val="20"/>
        </w:rPr>
      </w:pPr>
      <w:r w:rsidRPr="00E00B35">
        <w:rPr>
          <w:rFonts w:cs="Verdana"/>
          <w:b/>
          <w:bCs/>
          <w:szCs w:val="20"/>
        </w:rPr>
        <w:t>Portal tematyczny BIZNES</w:t>
      </w:r>
      <w:r w:rsidRPr="00E00B35">
        <w:rPr>
          <w:rFonts w:cs="Verdana"/>
          <w:szCs w:val="20"/>
        </w:rPr>
        <w:t xml:space="preserve"> stanowi źródło łatwo dostępnych informacji o rozwoju biznesu we Wrocławiu, kompendium wiedzy o tym, jak założyć i prowadzić własną firmę oraz orientację o działaniach miasta na rzecz biznesu i wspierania przedsiębiorczości mieszkańców.</w:t>
      </w:r>
    </w:p>
    <w:p w:rsidR="00CD6DA6" w:rsidRPr="00E00B35" w:rsidRDefault="00CD6DA6" w:rsidP="00E00B35">
      <w:pPr>
        <w:autoSpaceDE w:val="0"/>
        <w:autoSpaceDN w:val="0"/>
        <w:adjustRightInd w:val="0"/>
        <w:spacing w:after="0" w:line="312" w:lineRule="auto"/>
        <w:rPr>
          <w:rFonts w:cs="Verdana"/>
          <w:szCs w:val="20"/>
        </w:rPr>
      </w:pPr>
    </w:p>
    <w:p w:rsidR="00BE6C24" w:rsidRPr="00E00B35" w:rsidRDefault="00BE6C24" w:rsidP="00E00B35">
      <w:pPr>
        <w:tabs>
          <w:tab w:val="left" w:pos="567"/>
        </w:tabs>
        <w:autoSpaceDE w:val="0"/>
        <w:autoSpaceDN w:val="0"/>
        <w:adjustRightInd w:val="0"/>
        <w:spacing w:after="0" w:line="312" w:lineRule="auto"/>
        <w:rPr>
          <w:rFonts w:cs="Verdana"/>
          <w:szCs w:val="20"/>
        </w:rPr>
      </w:pPr>
      <w:r w:rsidRPr="00E00B35">
        <w:rPr>
          <w:rFonts w:cs="Verdana"/>
          <w:bCs/>
          <w:szCs w:val="20"/>
        </w:rPr>
        <w:t xml:space="preserve">Tabela nr 6 - </w:t>
      </w:r>
      <w:r w:rsidRPr="00E00B35">
        <w:rPr>
          <w:rFonts w:cs="Verdana"/>
          <w:szCs w:val="20"/>
        </w:rPr>
        <w:t>Liczba odwiedzin serwisu Biznes na www.wroclaw.pl w latach 2017 – 2020</w:t>
      </w:r>
    </w:p>
    <w:tbl>
      <w:tblPr>
        <w:tblW w:w="490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87"/>
        <w:gridCol w:w="4648"/>
      </w:tblGrid>
      <w:tr w:rsidR="00BE6C24" w:rsidRPr="00E00B35" w:rsidTr="00BE6C24">
        <w:trPr>
          <w:trHeight w:val="257"/>
        </w:trPr>
        <w:tc>
          <w:tcPr>
            <w:tcW w:w="2428" w:type="pct"/>
          </w:tcPr>
          <w:p w:rsidR="00BE6C24" w:rsidRPr="00E00B35" w:rsidRDefault="00BE6C24" w:rsidP="00E00B35">
            <w:pPr>
              <w:autoSpaceDE w:val="0"/>
              <w:autoSpaceDN w:val="0"/>
              <w:adjustRightInd w:val="0"/>
              <w:spacing w:after="0" w:line="312" w:lineRule="auto"/>
              <w:rPr>
                <w:rFonts w:cs="Verdana"/>
                <w:b/>
                <w:bCs/>
                <w:szCs w:val="20"/>
              </w:rPr>
            </w:pPr>
            <w:r w:rsidRPr="00E00B35">
              <w:rPr>
                <w:rFonts w:cs="Verdana"/>
                <w:b/>
                <w:bCs/>
                <w:szCs w:val="20"/>
              </w:rPr>
              <w:t>Rok</w:t>
            </w:r>
          </w:p>
        </w:tc>
        <w:tc>
          <w:tcPr>
            <w:tcW w:w="2572" w:type="pct"/>
          </w:tcPr>
          <w:p w:rsidR="00BE6C24" w:rsidRPr="00E00B35" w:rsidRDefault="00BE6C24" w:rsidP="00E00B35">
            <w:pPr>
              <w:autoSpaceDE w:val="0"/>
              <w:autoSpaceDN w:val="0"/>
              <w:adjustRightInd w:val="0"/>
              <w:spacing w:after="0" w:line="312" w:lineRule="auto"/>
              <w:rPr>
                <w:rFonts w:cs="Verdana"/>
                <w:b/>
                <w:bCs/>
                <w:szCs w:val="20"/>
              </w:rPr>
            </w:pPr>
            <w:r w:rsidRPr="00E00B35">
              <w:rPr>
                <w:rFonts w:cs="Verdana"/>
                <w:b/>
                <w:bCs/>
                <w:szCs w:val="20"/>
              </w:rPr>
              <w:t>Liczba odsłon rocznie</w:t>
            </w:r>
          </w:p>
        </w:tc>
      </w:tr>
      <w:tr w:rsidR="00BE6C24" w:rsidRPr="00E00B35" w:rsidTr="00BE6C24">
        <w:trPr>
          <w:trHeight w:val="241"/>
        </w:trPr>
        <w:tc>
          <w:tcPr>
            <w:tcW w:w="2428" w:type="pct"/>
          </w:tcPr>
          <w:p w:rsidR="00BE6C24" w:rsidRPr="00E00B35" w:rsidRDefault="00BE6C24" w:rsidP="00E00B35">
            <w:pPr>
              <w:autoSpaceDE w:val="0"/>
              <w:autoSpaceDN w:val="0"/>
              <w:adjustRightInd w:val="0"/>
              <w:spacing w:after="0" w:line="312" w:lineRule="auto"/>
              <w:rPr>
                <w:rFonts w:cs="Verdana"/>
                <w:szCs w:val="20"/>
              </w:rPr>
            </w:pPr>
            <w:r w:rsidRPr="00E00B35">
              <w:rPr>
                <w:rFonts w:cs="Verdana"/>
                <w:szCs w:val="20"/>
              </w:rPr>
              <w:t>2017</w:t>
            </w:r>
          </w:p>
        </w:tc>
        <w:tc>
          <w:tcPr>
            <w:tcW w:w="2572" w:type="pct"/>
          </w:tcPr>
          <w:p w:rsidR="00BE6C24" w:rsidRPr="00E00B35" w:rsidRDefault="00BE6C24" w:rsidP="00E00B35">
            <w:pPr>
              <w:autoSpaceDE w:val="0"/>
              <w:autoSpaceDN w:val="0"/>
              <w:adjustRightInd w:val="0"/>
              <w:spacing w:after="0" w:line="312" w:lineRule="auto"/>
              <w:rPr>
                <w:rFonts w:cs="Verdana"/>
                <w:b/>
                <w:bCs/>
                <w:szCs w:val="20"/>
              </w:rPr>
            </w:pPr>
            <w:r w:rsidRPr="00E00B35">
              <w:rPr>
                <w:rFonts w:cs="Verdana"/>
                <w:b/>
                <w:bCs/>
                <w:szCs w:val="20"/>
              </w:rPr>
              <w:t>440 183</w:t>
            </w:r>
          </w:p>
        </w:tc>
      </w:tr>
      <w:tr w:rsidR="00BE6C24" w:rsidRPr="00E00B35" w:rsidTr="00BE6C24">
        <w:trPr>
          <w:trHeight w:val="257"/>
        </w:trPr>
        <w:tc>
          <w:tcPr>
            <w:tcW w:w="2428" w:type="pct"/>
          </w:tcPr>
          <w:p w:rsidR="00BE6C24" w:rsidRPr="00E00B35" w:rsidRDefault="00BE6C24" w:rsidP="00E00B35">
            <w:pPr>
              <w:autoSpaceDE w:val="0"/>
              <w:autoSpaceDN w:val="0"/>
              <w:adjustRightInd w:val="0"/>
              <w:spacing w:after="0" w:line="312" w:lineRule="auto"/>
              <w:rPr>
                <w:rFonts w:cs="Verdana"/>
                <w:szCs w:val="20"/>
              </w:rPr>
            </w:pPr>
            <w:r w:rsidRPr="00E00B35">
              <w:rPr>
                <w:rFonts w:cs="Verdana"/>
                <w:szCs w:val="20"/>
              </w:rPr>
              <w:t>2018</w:t>
            </w:r>
          </w:p>
        </w:tc>
        <w:tc>
          <w:tcPr>
            <w:tcW w:w="2572" w:type="pct"/>
          </w:tcPr>
          <w:p w:rsidR="00BE6C24" w:rsidRPr="00E00B35" w:rsidRDefault="00BE6C24" w:rsidP="00E00B35">
            <w:pPr>
              <w:autoSpaceDE w:val="0"/>
              <w:autoSpaceDN w:val="0"/>
              <w:adjustRightInd w:val="0"/>
              <w:spacing w:after="0" w:line="312" w:lineRule="auto"/>
              <w:rPr>
                <w:rFonts w:cs="Verdana"/>
                <w:szCs w:val="20"/>
              </w:rPr>
            </w:pPr>
            <w:r w:rsidRPr="00E00B35">
              <w:rPr>
                <w:rFonts w:cs="Verdana"/>
                <w:b/>
                <w:bCs/>
                <w:szCs w:val="20"/>
              </w:rPr>
              <w:t>459 528</w:t>
            </w:r>
          </w:p>
        </w:tc>
      </w:tr>
      <w:tr w:rsidR="00BE6C24" w:rsidRPr="00E00B35" w:rsidTr="00BE6C24">
        <w:trPr>
          <w:trHeight w:val="257"/>
        </w:trPr>
        <w:tc>
          <w:tcPr>
            <w:tcW w:w="2428" w:type="pct"/>
          </w:tcPr>
          <w:p w:rsidR="00BE6C24" w:rsidRPr="00E00B35" w:rsidRDefault="00BE6C24" w:rsidP="00E00B35">
            <w:pPr>
              <w:autoSpaceDE w:val="0"/>
              <w:autoSpaceDN w:val="0"/>
              <w:adjustRightInd w:val="0"/>
              <w:spacing w:after="0" w:line="312" w:lineRule="auto"/>
              <w:rPr>
                <w:rFonts w:cs="Verdana"/>
                <w:szCs w:val="20"/>
              </w:rPr>
            </w:pPr>
            <w:r w:rsidRPr="00E00B35">
              <w:rPr>
                <w:rFonts w:cs="Verdana"/>
                <w:szCs w:val="20"/>
              </w:rPr>
              <w:t>2019</w:t>
            </w:r>
          </w:p>
        </w:tc>
        <w:tc>
          <w:tcPr>
            <w:tcW w:w="2572" w:type="pct"/>
          </w:tcPr>
          <w:p w:rsidR="00BE6C24" w:rsidRPr="00E00B35" w:rsidRDefault="00BE6C24" w:rsidP="00E00B35">
            <w:pPr>
              <w:autoSpaceDE w:val="0"/>
              <w:autoSpaceDN w:val="0"/>
              <w:adjustRightInd w:val="0"/>
              <w:spacing w:after="0" w:line="312" w:lineRule="auto"/>
              <w:rPr>
                <w:rFonts w:cs="Verdana"/>
                <w:b/>
                <w:bCs/>
                <w:szCs w:val="20"/>
              </w:rPr>
            </w:pPr>
            <w:r w:rsidRPr="00E00B35">
              <w:rPr>
                <w:rFonts w:cs="Verdana"/>
                <w:b/>
                <w:bCs/>
                <w:szCs w:val="20"/>
              </w:rPr>
              <w:t>547 962</w:t>
            </w:r>
          </w:p>
        </w:tc>
      </w:tr>
      <w:tr w:rsidR="00BE6C24" w:rsidRPr="00E00B35" w:rsidTr="00BE6C24">
        <w:trPr>
          <w:trHeight w:val="273"/>
        </w:trPr>
        <w:tc>
          <w:tcPr>
            <w:tcW w:w="2428" w:type="pct"/>
          </w:tcPr>
          <w:p w:rsidR="00BE6C24" w:rsidRPr="00E00B35" w:rsidRDefault="00BE6C24" w:rsidP="00E00B35">
            <w:pPr>
              <w:autoSpaceDE w:val="0"/>
              <w:autoSpaceDN w:val="0"/>
              <w:adjustRightInd w:val="0"/>
              <w:spacing w:after="0" w:line="312" w:lineRule="auto"/>
              <w:rPr>
                <w:rFonts w:cs="Verdana"/>
                <w:szCs w:val="20"/>
              </w:rPr>
            </w:pPr>
            <w:r w:rsidRPr="00E00B35">
              <w:rPr>
                <w:rFonts w:cs="Verdana"/>
                <w:szCs w:val="20"/>
              </w:rPr>
              <w:t>2020</w:t>
            </w:r>
          </w:p>
        </w:tc>
        <w:tc>
          <w:tcPr>
            <w:tcW w:w="2572" w:type="pct"/>
          </w:tcPr>
          <w:p w:rsidR="00BE6C24" w:rsidRPr="00E00B35" w:rsidRDefault="00BE6C24" w:rsidP="00E00B35">
            <w:pPr>
              <w:autoSpaceDE w:val="0"/>
              <w:autoSpaceDN w:val="0"/>
              <w:adjustRightInd w:val="0"/>
              <w:spacing w:after="0" w:line="312" w:lineRule="auto"/>
              <w:rPr>
                <w:rFonts w:cs="Verdana"/>
                <w:b/>
                <w:bCs/>
                <w:szCs w:val="20"/>
              </w:rPr>
            </w:pPr>
            <w:r w:rsidRPr="00E00B35">
              <w:rPr>
                <w:rFonts w:cs="Verdana"/>
                <w:b/>
                <w:bCs/>
                <w:szCs w:val="20"/>
              </w:rPr>
              <w:t>540 329</w:t>
            </w:r>
          </w:p>
        </w:tc>
      </w:tr>
    </w:tbl>
    <w:p w:rsidR="00BE6C24" w:rsidRPr="00E00B35" w:rsidRDefault="00BE6C24" w:rsidP="00E00B35">
      <w:pPr>
        <w:autoSpaceDE w:val="0"/>
        <w:autoSpaceDN w:val="0"/>
        <w:adjustRightInd w:val="0"/>
        <w:spacing w:after="0" w:line="312" w:lineRule="auto"/>
        <w:rPr>
          <w:rFonts w:cs="Verdana"/>
          <w:szCs w:val="20"/>
        </w:rPr>
      </w:pPr>
    </w:p>
    <w:p w:rsidR="00BE6C24" w:rsidRPr="00E00B35" w:rsidRDefault="00BE6C24" w:rsidP="00E00B35">
      <w:pPr>
        <w:autoSpaceDE w:val="0"/>
        <w:autoSpaceDN w:val="0"/>
        <w:adjustRightInd w:val="0"/>
        <w:spacing w:after="0" w:line="312" w:lineRule="auto"/>
        <w:rPr>
          <w:rFonts w:cs="Verdana"/>
          <w:szCs w:val="20"/>
        </w:rPr>
      </w:pPr>
      <w:r w:rsidRPr="00E00B35">
        <w:rPr>
          <w:rFonts w:cs="Verdana"/>
          <w:szCs w:val="20"/>
        </w:rPr>
        <w:t xml:space="preserve">Znaczącym narzędziem serwisu jest </w:t>
      </w:r>
      <w:hyperlink r:id="rId37" w:history="1">
        <w:r w:rsidRPr="00E00B35">
          <w:rPr>
            <w:rFonts w:cs="Verdana"/>
            <w:b/>
            <w:bCs/>
            <w:szCs w:val="20"/>
          </w:rPr>
          <w:t>Przewodnik Wrocławskiego Przedsiębiorcy</w:t>
        </w:r>
      </w:hyperlink>
      <w:r w:rsidRPr="00E00B35">
        <w:rPr>
          <w:rFonts w:cs="Verdana"/>
          <w:szCs w:val="20"/>
        </w:rPr>
        <w:t xml:space="preserve"> – elektroniczna wersja poradnika przygotowanego jako publikacja własna BRG i udostępnianego nieodpłatnie przedsiębiorcom odwiedzającym Punkt Informacji Gospodarczej w poszukiwaniu informacji i porad związanych z prowadzeniem własnej firmy. </w:t>
      </w:r>
    </w:p>
    <w:p w:rsidR="00BE6C24" w:rsidRPr="00E00B35" w:rsidRDefault="00BE6C24" w:rsidP="00E00B35">
      <w:pPr>
        <w:autoSpaceDE w:val="0"/>
        <w:autoSpaceDN w:val="0"/>
        <w:adjustRightInd w:val="0"/>
        <w:spacing w:after="0" w:line="312" w:lineRule="auto"/>
        <w:rPr>
          <w:rFonts w:cs="Verdana"/>
          <w:szCs w:val="20"/>
        </w:rPr>
      </w:pPr>
      <w:r w:rsidRPr="00E00B35">
        <w:rPr>
          <w:rFonts w:cs="Verdana"/>
          <w:szCs w:val="20"/>
        </w:rPr>
        <w:t>Wydano drugą, rozszerzoną i zaktualizowaną edycję  Przewodnika Wrocławskiego Przedsiębiorcy w nakładzie 1.000 sztuk. Zaktualizowana wersja wzbogacona została m.in. dodaniem kodów QR przekierowujących na strony internetowe podmiotów opisanych w publikacji, a także informacjami na temat podmiotów ekonomii społecznej. W 2020 roku wydano Przewodnik w angielskiej wersji językowej oraz opublikowano go w obu językach na stronie Wrocław.pl/BIZNES</w:t>
      </w:r>
    </w:p>
    <w:p w:rsidR="00BE6C24" w:rsidRPr="00E00B35" w:rsidRDefault="00BE6C24" w:rsidP="00E00B35">
      <w:pPr>
        <w:autoSpaceDE w:val="0"/>
        <w:autoSpaceDN w:val="0"/>
        <w:adjustRightInd w:val="0"/>
        <w:spacing w:after="0" w:line="312" w:lineRule="auto"/>
        <w:rPr>
          <w:rFonts w:cs="Verdana"/>
          <w:szCs w:val="20"/>
        </w:rPr>
      </w:pPr>
    </w:p>
    <w:p w:rsidR="00BE6C24" w:rsidRPr="00E00B35" w:rsidRDefault="00BE6C24" w:rsidP="00E00B35">
      <w:pPr>
        <w:autoSpaceDE w:val="0"/>
        <w:autoSpaceDN w:val="0"/>
        <w:adjustRightInd w:val="0"/>
        <w:spacing w:after="0" w:line="312" w:lineRule="auto"/>
        <w:rPr>
          <w:rFonts w:cs="Verdana"/>
          <w:szCs w:val="20"/>
        </w:rPr>
      </w:pPr>
      <w:r w:rsidRPr="00E00B35">
        <w:rPr>
          <w:rFonts w:cs="Verdana"/>
          <w:szCs w:val="20"/>
        </w:rPr>
        <w:t>W 2020 r. przeprowadzono szeroką aktualizację treści stałych zamieszczonych w serwisie. Treści te zostaną przeniesione na nowopowstającą stronę „Przedsiębiorczy Wrocław”.</w:t>
      </w:r>
    </w:p>
    <w:p w:rsidR="00BE6C24" w:rsidRPr="00E00B35" w:rsidRDefault="00BE6C24" w:rsidP="00E00B35">
      <w:pPr>
        <w:autoSpaceDE w:val="0"/>
        <w:autoSpaceDN w:val="0"/>
        <w:adjustRightInd w:val="0"/>
        <w:spacing w:after="0" w:line="312" w:lineRule="auto"/>
        <w:rPr>
          <w:rFonts w:cs="Verdana"/>
          <w:szCs w:val="20"/>
        </w:rPr>
      </w:pPr>
    </w:p>
    <w:p w:rsidR="00BE6C24" w:rsidRPr="00E00B35" w:rsidRDefault="00BE6C24" w:rsidP="00BC64AB">
      <w:pPr>
        <w:numPr>
          <w:ilvl w:val="0"/>
          <w:numId w:val="269"/>
        </w:numPr>
        <w:spacing w:after="0" w:line="312" w:lineRule="auto"/>
        <w:ind w:left="426" w:hanging="426"/>
        <w:rPr>
          <w:rFonts w:cs="Verdana"/>
          <w:color w:val="000000"/>
          <w:szCs w:val="20"/>
        </w:rPr>
      </w:pPr>
      <w:r w:rsidRPr="00E00B35">
        <w:rPr>
          <w:rFonts w:cs="Verdana"/>
          <w:color w:val="000000"/>
          <w:szCs w:val="20"/>
        </w:rPr>
        <w:t xml:space="preserve">Prowadzenie </w:t>
      </w:r>
      <w:r w:rsidRPr="00E00B35">
        <w:rPr>
          <w:rFonts w:cs="Verdana"/>
          <w:b/>
          <w:bCs/>
          <w:color w:val="000000"/>
          <w:szCs w:val="20"/>
        </w:rPr>
        <w:t>stałego monitoringu branż kluczowych</w:t>
      </w:r>
      <w:r w:rsidRPr="00E00B35">
        <w:rPr>
          <w:rFonts w:cs="Verdana"/>
          <w:color w:val="000000"/>
          <w:szCs w:val="20"/>
        </w:rPr>
        <w:t xml:space="preserve"> dla funkcjonowania miasta, łańcuchów dostaw (analiza sytuacji w porozumieniu z jednostkami miejskimi </w:t>
      </w:r>
      <w:r w:rsidRPr="00E00B35">
        <w:rPr>
          <w:rFonts w:cs="Verdana"/>
          <w:color w:val="000000"/>
          <w:szCs w:val="20"/>
        </w:rPr>
        <w:lastRenderedPageBreak/>
        <w:t>i instytucjami otoczenia biznesu), stanowiącego punkt wyjścia dla podejmowanych działań pomocowych i rozwojowych.</w:t>
      </w:r>
    </w:p>
    <w:p w:rsidR="00BE6C24" w:rsidRPr="00E00B35" w:rsidRDefault="00BE6C24" w:rsidP="00BC64AB">
      <w:pPr>
        <w:numPr>
          <w:ilvl w:val="0"/>
          <w:numId w:val="269"/>
        </w:numPr>
        <w:spacing w:after="0" w:line="312" w:lineRule="auto"/>
        <w:ind w:left="426" w:hanging="426"/>
        <w:rPr>
          <w:rFonts w:cs="Verdana"/>
          <w:color w:val="000000"/>
          <w:szCs w:val="20"/>
        </w:rPr>
      </w:pPr>
      <w:r w:rsidRPr="00E00B35">
        <w:rPr>
          <w:rFonts w:cs="Verdana"/>
          <w:color w:val="000000"/>
          <w:szCs w:val="20"/>
        </w:rPr>
        <w:t xml:space="preserve">Przygotowywanie </w:t>
      </w:r>
      <w:r w:rsidRPr="00E00B35">
        <w:rPr>
          <w:rFonts w:cs="Verdana"/>
          <w:b/>
          <w:bCs/>
          <w:color w:val="000000"/>
          <w:szCs w:val="20"/>
        </w:rPr>
        <w:t>raportów dot. kondycji przedsiębiorców</w:t>
      </w:r>
      <w:r w:rsidRPr="00E00B35">
        <w:rPr>
          <w:rFonts w:cs="Verdana"/>
          <w:color w:val="000000"/>
          <w:szCs w:val="20"/>
        </w:rPr>
        <w:t xml:space="preserve"> - ponad 2000 bezpośrednich rozmów telefonicznych z wrocławskimi przedsiębiorcami w najtrudniejszym okresie III-V 2020.</w:t>
      </w:r>
    </w:p>
    <w:p w:rsidR="00BE6C24" w:rsidRPr="00E00B35" w:rsidRDefault="00BE6C24" w:rsidP="00BC64AB">
      <w:pPr>
        <w:numPr>
          <w:ilvl w:val="0"/>
          <w:numId w:val="269"/>
        </w:numPr>
        <w:spacing w:after="0" w:line="312" w:lineRule="auto"/>
        <w:ind w:left="426" w:hanging="426"/>
        <w:rPr>
          <w:rFonts w:cs="Verdana"/>
          <w:color w:val="000000"/>
          <w:szCs w:val="20"/>
        </w:rPr>
      </w:pPr>
      <w:r w:rsidRPr="00E00B35">
        <w:rPr>
          <w:rFonts w:cs="Verdana"/>
          <w:color w:val="000000"/>
          <w:szCs w:val="20"/>
        </w:rPr>
        <w:t xml:space="preserve">Aktywny udział w pracach stworzonego przez Prezydenta Wrocławia </w:t>
      </w:r>
      <w:r w:rsidRPr="00E00B35">
        <w:rPr>
          <w:rFonts w:cs="Verdana"/>
          <w:b/>
          <w:bCs/>
          <w:color w:val="000000"/>
          <w:szCs w:val="20"/>
        </w:rPr>
        <w:t>Centrum Wsparcia Przedsiębiorców</w:t>
      </w:r>
      <w:r w:rsidRPr="00E00B35">
        <w:rPr>
          <w:rFonts w:cs="Verdana"/>
          <w:color w:val="000000"/>
          <w:szCs w:val="20"/>
        </w:rPr>
        <w:t xml:space="preserve"> w zakresie pomocy firmom w skorzystaniu z narzędzi Wrocławskiego Pakietu Pomocowego; koordynacja i przyspieszenie procedowania wniosków pomocowych przez jednostki udzielające wsparcia (w tym: czynsz za 1 zł, zwolnienie z podatku od nieruchomości, pomoc w otwarciu ogródków gastronomicznych etc.).</w:t>
      </w:r>
    </w:p>
    <w:p w:rsidR="00BE6C24" w:rsidRPr="00E00B35" w:rsidRDefault="00BE6C24" w:rsidP="00BC64AB">
      <w:pPr>
        <w:pStyle w:val="Akapitzlist"/>
        <w:numPr>
          <w:ilvl w:val="0"/>
          <w:numId w:val="269"/>
        </w:numPr>
        <w:spacing w:after="0" w:line="312" w:lineRule="auto"/>
        <w:ind w:left="426" w:hanging="426"/>
        <w:contextualSpacing w:val="0"/>
        <w:rPr>
          <w:rFonts w:cs="Verdana"/>
          <w:color w:val="000000"/>
          <w:szCs w:val="20"/>
        </w:rPr>
      </w:pPr>
      <w:r w:rsidRPr="00E00B35">
        <w:rPr>
          <w:rFonts w:cs="Verdana"/>
          <w:color w:val="000000"/>
          <w:szCs w:val="20"/>
        </w:rPr>
        <w:t xml:space="preserve">Działania z Dolnośląskim Ośrodkiem Ekonomii Społecznej w celu zintensyfikowania </w:t>
      </w:r>
      <w:r w:rsidRPr="00E00B35">
        <w:rPr>
          <w:rFonts w:cs="Verdana"/>
          <w:b/>
          <w:bCs/>
          <w:color w:val="000000"/>
          <w:szCs w:val="20"/>
        </w:rPr>
        <w:t>współpracy biznesu z podmiotami ekonomii społecznej</w:t>
      </w:r>
      <w:r w:rsidRPr="00E00B35">
        <w:rPr>
          <w:rFonts w:cs="Verdana"/>
          <w:color w:val="000000"/>
          <w:szCs w:val="20"/>
        </w:rPr>
        <w:t>.</w:t>
      </w:r>
    </w:p>
    <w:p w:rsidR="00BE6C24" w:rsidRPr="00E00B35" w:rsidRDefault="00BE6C24" w:rsidP="00BC64AB">
      <w:pPr>
        <w:pStyle w:val="Akapitzlist"/>
        <w:numPr>
          <w:ilvl w:val="0"/>
          <w:numId w:val="269"/>
        </w:numPr>
        <w:spacing w:after="0" w:line="312" w:lineRule="auto"/>
        <w:ind w:left="426" w:hanging="426"/>
        <w:contextualSpacing w:val="0"/>
        <w:rPr>
          <w:rFonts w:cs="Verdana"/>
          <w:color w:val="000000"/>
          <w:szCs w:val="20"/>
        </w:rPr>
      </w:pPr>
      <w:r w:rsidRPr="00E00B35">
        <w:rPr>
          <w:rFonts w:cs="Verdana"/>
          <w:color w:val="000000"/>
          <w:szCs w:val="20"/>
        </w:rPr>
        <w:t xml:space="preserve">Promocja zapisów Deklaracji Brukselskiej, podpisanej przez Prezydenta Miasta - </w:t>
      </w:r>
      <w:r w:rsidRPr="00E00B35">
        <w:rPr>
          <w:rFonts w:cs="Verdana"/>
          <w:b/>
          <w:bCs/>
          <w:color w:val="000000"/>
          <w:szCs w:val="20"/>
        </w:rPr>
        <w:t>zwrócenie uwagi na znaczenie zrównoważonego rozwoju miasta, zielony ład, gospodarkę o obiegu zamkniętym</w:t>
      </w:r>
      <w:r w:rsidRPr="00E00B35">
        <w:rPr>
          <w:rFonts w:cs="Verdana"/>
          <w:color w:val="000000"/>
          <w:szCs w:val="20"/>
        </w:rPr>
        <w:t>, czyste powietrze, brak marnotrawstwa; przygotowanie we współpracy z ARAW spotkania z firmami, które przedstawiły rozwiązania na rzecz zrównoważonego rozwoju wdrażane w swoich firmach.</w:t>
      </w:r>
    </w:p>
    <w:p w:rsidR="00BE6C24" w:rsidRPr="00E00B35" w:rsidRDefault="00BE6C24" w:rsidP="00BC64AB">
      <w:pPr>
        <w:pStyle w:val="Akapitzlist"/>
        <w:numPr>
          <w:ilvl w:val="0"/>
          <w:numId w:val="269"/>
        </w:numPr>
        <w:spacing w:after="0" w:line="312" w:lineRule="auto"/>
        <w:ind w:left="426" w:hanging="426"/>
        <w:contextualSpacing w:val="0"/>
        <w:rPr>
          <w:rFonts w:cs="Verdana"/>
          <w:color w:val="000000"/>
          <w:szCs w:val="20"/>
        </w:rPr>
      </w:pPr>
      <w:r w:rsidRPr="00E00B35">
        <w:rPr>
          <w:rFonts w:cs="Verdana"/>
          <w:color w:val="000000"/>
          <w:szCs w:val="20"/>
        </w:rPr>
        <w:t xml:space="preserve">Podjęcie działań w celu wzmocnienia współpracy członków Międzynarodowego Stowarzyszenia METREX, działającego </w:t>
      </w:r>
      <w:r w:rsidRPr="00E00B35">
        <w:rPr>
          <w:rFonts w:cs="Verdana"/>
          <w:b/>
          <w:bCs/>
          <w:color w:val="000000"/>
          <w:szCs w:val="20"/>
        </w:rPr>
        <w:t>na rzecz zrównoważonego rozwoju obszarów metropolitalnych</w:t>
      </w:r>
      <w:r w:rsidRPr="00E00B35">
        <w:rPr>
          <w:rFonts w:cs="Verdana"/>
          <w:color w:val="000000"/>
          <w:szCs w:val="20"/>
        </w:rPr>
        <w:t>. Celem działania jest podniesienie pozycji krajów Europy Środkowej i Wschodniej wchodzących w skład stowarzyszenia.</w:t>
      </w:r>
    </w:p>
    <w:p w:rsidR="00BE6C24" w:rsidRPr="00E00B35" w:rsidRDefault="00BE6C24" w:rsidP="00BC64AB">
      <w:pPr>
        <w:pStyle w:val="Akapitzlist"/>
        <w:numPr>
          <w:ilvl w:val="0"/>
          <w:numId w:val="269"/>
        </w:numPr>
        <w:spacing w:after="0" w:line="312" w:lineRule="auto"/>
        <w:ind w:left="426" w:hanging="426"/>
        <w:contextualSpacing w:val="0"/>
        <w:rPr>
          <w:rFonts w:cs="Verdana"/>
          <w:color w:val="000000"/>
          <w:szCs w:val="20"/>
        </w:rPr>
      </w:pPr>
      <w:r w:rsidRPr="00E00B35">
        <w:rPr>
          <w:rFonts w:cs="Verdana"/>
          <w:b/>
          <w:bCs/>
          <w:color w:val="000000"/>
          <w:szCs w:val="20"/>
        </w:rPr>
        <w:t>Wsparcie informacyjne i doradcze przy tworzeniu Dolnośląskiego Inkubatora Integracyjnego</w:t>
      </w:r>
      <w:r w:rsidRPr="00E00B35">
        <w:rPr>
          <w:rFonts w:cs="Verdana"/>
          <w:color w:val="000000"/>
          <w:szCs w:val="20"/>
        </w:rPr>
        <w:t xml:space="preserve"> - we współpracy z m.in. WPT, PUP, ZUS.</w:t>
      </w:r>
    </w:p>
    <w:p w:rsidR="00BE6C24" w:rsidRPr="00E00B35" w:rsidRDefault="00BE6C24" w:rsidP="00E00B35">
      <w:pPr>
        <w:spacing w:after="0" w:line="312" w:lineRule="auto"/>
        <w:rPr>
          <w:rFonts w:cs="Verdana"/>
          <w:szCs w:val="20"/>
        </w:rPr>
      </w:pPr>
    </w:p>
    <w:p w:rsidR="00BE6C24" w:rsidRPr="00E00B35" w:rsidRDefault="00BE6C24" w:rsidP="00E00B35">
      <w:pPr>
        <w:pStyle w:val="Nagwek4"/>
        <w:spacing w:before="0" w:after="0" w:line="312" w:lineRule="auto"/>
        <w:rPr>
          <w:sz w:val="20"/>
          <w:szCs w:val="20"/>
        </w:rPr>
      </w:pPr>
      <w:r w:rsidRPr="00E00B35">
        <w:rPr>
          <w:sz w:val="20"/>
          <w:szCs w:val="20"/>
        </w:rPr>
        <w:t>DZIAŁANIA ZWIĄZANE Z REAGOWANIEM NA SKUTKI COVID-19 - podsumowanie</w:t>
      </w:r>
    </w:p>
    <w:p w:rsidR="00BE6C24" w:rsidRPr="00E00B35" w:rsidRDefault="00BE6C24" w:rsidP="00BC64AB">
      <w:pPr>
        <w:pStyle w:val="Akapitzlist"/>
        <w:numPr>
          <w:ilvl w:val="0"/>
          <w:numId w:val="268"/>
        </w:numPr>
        <w:spacing w:after="0" w:line="312" w:lineRule="auto"/>
        <w:ind w:left="426" w:hanging="426"/>
        <w:contextualSpacing w:val="0"/>
        <w:rPr>
          <w:rFonts w:cs="Verdana"/>
          <w:b/>
          <w:bCs/>
          <w:szCs w:val="20"/>
        </w:rPr>
      </w:pPr>
      <w:r w:rsidRPr="00E00B35">
        <w:rPr>
          <w:rFonts w:cs="Verdana"/>
          <w:szCs w:val="20"/>
        </w:rPr>
        <w:t xml:space="preserve">Stały kontakt i wsparcie zarządców hal targowych i targowisk. Na wniosek dzierżawców targowisk Gmina dokonała </w:t>
      </w:r>
      <w:r w:rsidRPr="00E00B35">
        <w:rPr>
          <w:rFonts w:cs="Verdana"/>
          <w:b/>
          <w:bCs/>
          <w:szCs w:val="20"/>
        </w:rPr>
        <w:t>umorzeń czynszów na łączną kwotę: 61.973,51 zł.</w:t>
      </w:r>
    </w:p>
    <w:p w:rsidR="00BE6C24" w:rsidRPr="00E00B35" w:rsidRDefault="00BE6C24" w:rsidP="00BC64AB">
      <w:pPr>
        <w:pStyle w:val="Akapitzlist"/>
        <w:numPr>
          <w:ilvl w:val="0"/>
          <w:numId w:val="268"/>
        </w:numPr>
        <w:spacing w:after="0" w:line="312" w:lineRule="auto"/>
        <w:ind w:left="426" w:hanging="426"/>
        <w:contextualSpacing w:val="0"/>
        <w:rPr>
          <w:rFonts w:cs="Verdana"/>
          <w:szCs w:val="20"/>
        </w:rPr>
      </w:pPr>
      <w:r w:rsidRPr="00E00B35">
        <w:rPr>
          <w:rFonts w:cs="Verdana"/>
          <w:szCs w:val="20"/>
        </w:rPr>
        <w:t>Wydłużenie terminu okolicznościowej sprzedaży kwiatów i zniczy (miejsca dodatkowe) - do 8 listopada 2020r. - ze względu na decyzję rządu o zamknięciu cmentarzy w dniach 31 października do 2 listopada  br.</w:t>
      </w:r>
    </w:p>
    <w:p w:rsidR="00BE6C24" w:rsidRPr="00E00B35" w:rsidRDefault="00BE6C24" w:rsidP="00BC64AB">
      <w:pPr>
        <w:pStyle w:val="Akapitzlist"/>
        <w:numPr>
          <w:ilvl w:val="0"/>
          <w:numId w:val="268"/>
        </w:numPr>
        <w:spacing w:after="0" w:line="312" w:lineRule="auto"/>
        <w:ind w:left="426" w:hanging="426"/>
        <w:contextualSpacing w:val="0"/>
        <w:rPr>
          <w:rFonts w:cs="Verdana"/>
          <w:szCs w:val="20"/>
        </w:rPr>
      </w:pPr>
      <w:r w:rsidRPr="00E00B35">
        <w:rPr>
          <w:rFonts w:cs="Verdana"/>
          <w:szCs w:val="20"/>
        </w:rPr>
        <w:t xml:space="preserve">Kontakt z organizatorami wrocławskich wydarzeń związanych z ożywianiem Centrum Staromiejskiego jest stale utrzymywany, a kalendarz imprez miejskich na bieżąco aktualizowany – proponowane są inne terminy realizacji wydarzeń i zasady organizacji ustalane są zgodnie z obowiązującym reżimem sanitarnym.  </w:t>
      </w:r>
    </w:p>
    <w:p w:rsidR="00BE6C24" w:rsidRPr="00E00B35" w:rsidRDefault="00BE6C24" w:rsidP="00BC64AB">
      <w:pPr>
        <w:pStyle w:val="Akapitzlist"/>
        <w:numPr>
          <w:ilvl w:val="0"/>
          <w:numId w:val="268"/>
        </w:numPr>
        <w:spacing w:after="0" w:line="312" w:lineRule="auto"/>
        <w:ind w:left="426" w:hanging="426"/>
        <w:contextualSpacing w:val="0"/>
        <w:rPr>
          <w:rFonts w:cs="Verdana"/>
          <w:szCs w:val="20"/>
        </w:rPr>
      </w:pPr>
      <w:r w:rsidRPr="00E00B35">
        <w:rPr>
          <w:rFonts w:cs="Verdana"/>
          <w:szCs w:val="20"/>
        </w:rPr>
        <w:t xml:space="preserve">Prowadzony jest stały monitoring </w:t>
      </w:r>
      <w:r w:rsidRPr="00E00B35">
        <w:rPr>
          <w:rFonts w:cs="Verdana"/>
          <w:b/>
          <w:bCs/>
          <w:color w:val="000000"/>
          <w:szCs w:val="20"/>
        </w:rPr>
        <w:t>branż kluczowych</w:t>
      </w:r>
      <w:r w:rsidRPr="00E00B35">
        <w:rPr>
          <w:rFonts w:cs="Verdana"/>
          <w:color w:val="000000"/>
          <w:szCs w:val="20"/>
        </w:rPr>
        <w:t xml:space="preserve"> dla funkcjonowania miasta, łańcuchów dostaw (analiza sytuacji w porozumieniu z jednostkami miejskimi i instytucjami otoczenia biznesu), stanowiących punkt wyjścia dla podejmowanych działań pomocowych i rozwojowych.</w:t>
      </w:r>
    </w:p>
    <w:p w:rsidR="00BE6C24" w:rsidRPr="00E00B35" w:rsidRDefault="00BE6C24" w:rsidP="00BC64AB">
      <w:pPr>
        <w:pStyle w:val="Akapitzlist"/>
        <w:numPr>
          <w:ilvl w:val="0"/>
          <w:numId w:val="268"/>
        </w:numPr>
        <w:spacing w:after="0" w:line="312" w:lineRule="auto"/>
        <w:ind w:left="426" w:hanging="426"/>
        <w:contextualSpacing w:val="0"/>
        <w:rPr>
          <w:rFonts w:cs="Verdana"/>
          <w:color w:val="000000"/>
          <w:szCs w:val="20"/>
        </w:rPr>
      </w:pPr>
      <w:r w:rsidRPr="00E00B35">
        <w:rPr>
          <w:rFonts w:cs="Verdana"/>
          <w:szCs w:val="20"/>
        </w:rPr>
        <w:t xml:space="preserve">Podczas pierwszej fali pandemii </w:t>
      </w:r>
      <w:r w:rsidRPr="00E00B35">
        <w:rPr>
          <w:rFonts w:cs="Verdana"/>
          <w:color w:val="000000"/>
          <w:szCs w:val="20"/>
        </w:rPr>
        <w:t xml:space="preserve">przygotowywano </w:t>
      </w:r>
      <w:r w:rsidRPr="00E00B35">
        <w:rPr>
          <w:rFonts w:cs="Verdana"/>
          <w:b/>
          <w:bCs/>
          <w:color w:val="000000"/>
          <w:szCs w:val="20"/>
        </w:rPr>
        <w:t>raporty dot. kondycji przedsiębiorców</w:t>
      </w:r>
      <w:r w:rsidRPr="00E00B35">
        <w:rPr>
          <w:rFonts w:cs="Verdana"/>
          <w:color w:val="000000"/>
          <w:szCs w:val="20"/>
        </w:rPr>
        <w:t xml:space="preserve"> – przeprowadzono ponad 2000 bezpośrednich rozmów telefonicznych z wrocławskimi przedsiębiorcami.</w:t>
      </w:r>
    </w:p>
    <w:p w:rsidR="00BE6C24" w:rsidRPr="00E00B35" w:rsidRDefault="00BE6C24" w:rsidP="00BC64AB">
      <w:pPr>
        <w:pStyle w:val="Akapitzlist"/>
        <w:numPr>
          <w:ilvl w:val="0"/>
          <w:numId w:val="268"/>
        </w:numPr>
        <w:spacing w:after="0" w:line="312" w:lineRule="auto"/>
        <w:ind w:left="426" w:hanging="426"/>
        <w:contextualSpacing w:val="0"/>
        <w:rPr>
          <w:rFonts w:cs="Verdana"/>
          <w:color w:val="000000"/>
          <w:szCs w:val="20"/>
        </w:rPr>
      </w:pPr>
      <w:r w:rsidRPr="00E00B35">
        <w:rPr>
          <w:rFonts w:cs="Verdana"/>
          <w:color w:val="000000"/>
          <w:szCs w:val="20"/>
        </w:rPr>
        <w:lastRenderedPageBreak/>
        <w:t xml:space="preserve">Aktywny udział w pracach stworzonego przez Prezydenta Wrocławia </w:t>
      </w:r>
      <w:r w:rsidRPr="00E00B35">
        <w:rPr>
          <w:rFonts w:cs="Verdana"/>
          <w:b/>
          <w:bCs/>
          <w:color w:val="000000"/>
          <w:szCs w:val="20"/>
        </w:rPr>
        <w:t>Centrum Wsparcia Przedsiębiorców</w:t>
      </w:r>
      <w:r w:rsidRPr="00E00B35">
        <w:rPr>
          <w:rFonts w:cs="Verdana"/>
          <w:color w:val="000000"/>
          <w:szCs w:val="20"/>
        </w:rPr>
        <w:t xml:space="preserve"> w zakresie pomocy firmom w skorzystaniu z narzędzi Wrocławskiego Pakietu Pomocowego; koordynacja i przyspieszenie procedowania wniosków pomocowych przez jednostki udzielające wsparcia (w tym: czynsz za 1 zł, zwolnienie z podatku od nieruchomości, pomoc w otwarciu ogródków gastronomicznych etc.).</w:t>
      </w:r>
    </w:p>
    <w:p w:rsidR="00BE6C24" w:rsidRPr="00E00B35" w:rsidRDefault="00BE6C24" w:rsidP="00BC64AB">
      <w:pPr>
        <w:pStyle w:val="Akapitzlist"/>
        <w:numPr>
          <w:ilvl w:val="0"/>
          <w:numId w:val="268"/>
        </w:numPr>
        <w:spacing w:after="0" w:line="312" w:lineRule="auto"/>
        <w:ind w:left="426" w:hanging="426"/>
        <w:contextualSpacing w:val="0"/>
        <w:rPr>
          <w:rFonts w:cs="Verdana"/>
          <w:color w:val="000000"/>
          <w:szCs w:val="20"/>
        </w:rPr>
      </w:pPr>
      <w:r w:rsidRPr="00E00B35">
        <w:rPr>
          <w:rFonts w:cs="Verdana"/>
          <w:szCs w:val="20"/>
        </w:rPr>
        <w:t xml:space="preserve">Realizacja </w:t>
      </w:r>
      <w:r w:rsidRPr="00E00B35">
        <w:rPr>
          <w:rFonts w:cs="Verdana"/>
          <w:b/>
          <w:bCs/>
          <w:szCs w:val="20"/>
        </w:rPr>
        <w:t>#WrocławZdalnieLokanie</w:t>
      </w:r>
      <w:r w:rsidRPr="00E00B35">
        <w:rPr>
          <w:rFonts w:cs="Verdana"/>
          <w:szCs w:val="20"/>
        </w:rPr>
        <w:t xml:space="preserve"> – akcji wsparcia wrocławskich przedsiębiorców – zwłaszcza z branży handlowej – zachęcającej mieszkańców do zakupów w formie zdalnej (przez telefon lub Internet) u lokalnych przedsiębiorców.</w:t>
      </w:r>
    </w:p>
    <w:p w:rsidR="00BE6C24" w:rsidRPr="00E00B35" w:rsidRDefault="00BE6C24" w:rsidP="00BC64AB">
      <w:pPr>
        <w:pStyle w:val="Akapitzlist"/>
        <w:numPr>
          <w:ilvl w:val="0"/>
          <w:numId w:val="268"/>
        </w:numPr>
        <w:spacing w:after="0" w:line="312" w:lineRule="auto"/>
        <w:ind w:left="426" w:hanging="426"/>
        <w:contextualSpacing w:val="0"/>
        <w:rPr>
          <w:rFonts w:cs="Verdana"/>
          <w:color w:val="000000"/>
          <w:szCs w:val="20"/>
        </w:rPr>
      </w:pPr>
      <w:r w:rsidRPr="00E00B35">
        <w:rPr>
          <w:rFonts w:cs="Verdana"/>
          <w:szCs w:val="20"/>
        </w:rPr>
        <w:t>Organizacja wyjazdu wrocławskich rzemieślników na Jarmark Św. Dominika w Gdańsku, w celu promocji ich produktów i usług oraz poszerzenia kręgu klientów w dobie kryzysu gospodarczego.</w:t>
      </w:r>
    </w:p>
    <w:p w:rsidR="00BE6C24" w:rsidRPr="00E00B35" w:rsidRDefault="00BE6C24" w:rsidP="00BC64AB">
      <w:pPr>
        <w:pStyle w:val="Akapitzlist"/>
        <w:numPr>
          <w:ilvl w:val="0"/>
          <w:numId w:val="268"/>
        </w:numPr>
        <w:spacing w:after="0" w:line="312" w:lineRule="auto"/>
        <w:ind w:left="426" w:hanging="426"/>
        <w:contextualSpacing w:val="0"/>
        <w:rPr>
          <w:rFonts w:cs="Verdana"/>
          <w:color w:val="000000"/>
          <w:szCs w:val="20"/>
        </w:rPr>
      </w:pPr>
      <w:r w:rsidRPr="00E00B35">
        <w:rPr>
          <w:rFonts w:cs="Verdana"/>
          <w:szCs w:val="20"/>
        </w:rPr>
        <w:t>Koordynacja prac i wsparcie podmiotów: CRZ Krzywy Komin, Inne Centrum, Infopunkt Nadodrze w celu dostosowania ich działalności do potrzeb mieszkańców i przedsiębiorców w czasie pandemii.</w:t>
      </w:r>
    </w:p>
    <w:p w:rsidR="00BE6C24" w:rsidRPr="00E00B35" w:rsidRDefault="00BE6C24" w:rsidP="00BC64AB">
      <w:pPr>
        <w:pStyle w:val="Akapitzlist"/>
        <w:numPr>
          <w:ilvl w:val="0"/>
          <w:numId w:val="268"/>
        </w:numPr>
        <w:spacing w:after="0" w:line="312" w:lineRule="auto"/>
        <w:ind w:left="426" w:hanging="426"/>
        <w:contextualSpacing w:val="0"/>
        <w:rPr>
          <w:rFonts w:cs="Verdana"/>
          <w:b/>
          <w:bCs/>
          <w:color w:val="000000"/>
          <w:szCs w:val="20"/>
        </w:rPr>
      </w:pPr>
      <w:r w:rsidRPr="00E00B35">
        <w:rPr>
          <w:szCs w:val="20"/>
        </w:rPr>
        <w:t xml:space="preserve">Stały kontakt i wsparcie przedstawicieli wrocławskiej gastronomii – pomoc w uzyskaniu form wsparcia w ramach Wrocławskiego Pakietu Pomocowego, doradztwo w zakresie możliwości uzyskania wsparcia z rządowych tarcz antykryzysowych i finansowych. </w:t>
      </w:r>
    </w:p>
    <w:p w:rsidR="00923EB5" w:rsidRPr="00E00B35" w:rsidRDefault="00923EB5" w:rsidP="00E00B35">
      <w:pPr>
        <w:spacing w:after="0" w:line="312" w:lineRule="auto"/>
        <w:rPr>
          <w:color w:val="000000"/>
          <w:szCs w:val="20"/>
          <w:lang w:val="pl-PL"/>
        </w:rPr>
      </w:pPr>
    </w:p>
    <w:p w:rsidR="006C7858" w:rsidRPr="00E00B35" w:rsidRDefault="006C7858" w:rsidP="00E00B35">
      <w:pPr>
        <w:pStyle w:val="Nagwek3"/>
        <w:spacing w:after="0" w:line="312" w:lineRule="auto"/>
        <w:rPr>
          <w:sz w:val="20"/>
        </w:rPr>
      </w:pPr>
      <w:r w:rsidRPr="00E00B35">
        <w:rPr>
          <w:sz w:val="20"/>
        </w:rPr>
        <w:t>PLANOWANIE PRZESTRZENNE, ROZWÓJ SPOŁECZNO-GOSPODARCZY WROCŁAWIA, SYSTEM INFORMACJI PRZESTRZENNEJ</w:t>
      </w:r>
    </w:p>
    <w:p w:rsidR="006C7858" w:rsidRPr="00E00B35" w:rsidRDefault="006C7858" w:rsidP="00E00B35">
      <w:pPr>
        <w:pStyle w:val="Tekstpodstawowy2"/>
        <w:spacing w:after="0" w:line="312" w:lineRule="auto"/>
        <w:rPr>
          <w:b w:val="0"/>
          <w:bCs w:val="0"/>
          <w:color w:val="auto"/>
          <w:sz w:val="20"/>
          <w:szCs w:val="20"/>
        </w:rPr>
      </w:pPr>
      <w:r w:rsidRPr="00E00B35">
        <w:rPr>
          <w:b w:val="0"/>
          <w:bCs w:val="0"/>
          <w:color w:val="auto"/>
          <w:sz w:val="20"/>
          <w:szCs w:val="20"/>
        </w:rPr>
        <w:t>W roku sprawozdawczym realizowano zadania w zakresie:</w:t>
      </w:r>
    </w:p>
    <w:p w:rsidR="006C7858" w:rsidRPr="00E00B35" w:rsidRDefault="006C7858" w:rsidP="00BC64AB">
      <w:pPr>
        <w:numPr>
          <w:ilvl w:val="0"/>
          <w:numId w:val="274"/>
        </w:numPr>
        <w:tabs>
          <w:tab w:val="left" w:pos="426"/>
        </w:tabs>
        <w:spacing w:after="0" w:line="312" w:lineRule="auto"/>
        <w:ind w:left="426" w:hanging="426"/>
        <w:rPr>
          <w:b/>
          <w:bCs/>
          <w:szCs w:val="20"/>
        </w:rPr>
      </w:pPr>
      <w:r w:rsidRPr="00E00B35">
        <w:rPr>
          <w:bCs/>
          <w:szCs w:val="20"/>
        </w:rPr>
        <w:t>Planowania rozwoju przestrzennego Miasta, w tym:</w:t>
      </w:r>
    </w:p>
    <w:p w:rsidR="006C7858" w:rsidRPr="00E00B35" w:rsidRDefault="006C7858" w:rsidP="00BC64AB">
      <w:pPr>
        <w:numPr>
          <w:ilvl w:val="1"/>
          <w:numId w:val="278"/>
        </w:numPr>
        <w:tabs>
          <w:tab w:val="left" w:pos="180"/>
        </w:tabs>
        <w:spacing w:after="0" w:line="312" w:lineRule="auto"/>
        <w:ind w:left="993" w:hanging="567"/>
        <w:rPr>
          <w:b/>
          <w:bCs/>
          <w:szCs w:val="20"/>
        </w:rPr>
      </w:pPr>
      <w:r w:rsidRPr="00E00B35">
        <w:rPr>
          <w:bCs/>
          <w:szCs w:val="20"/>
        </w:rPr>
        <w:t>kształtowania polityki przestrzennej poprzez sporządzanie miejscowych planów zagospodarowania przestrzennego Miasta,</w:t>
      </w:r>
    </w:p>
    <w:p w:rsidR="006C7858" w:rsidRPr="00E00B35" w:rsidRDefault="006C7858" w:rsidP="00BC64AB">
      <w:pPr>
        <w:numPr>
          <w:ilvl w:val="1"/>
          <w:numId w:val="278"/>
        </w:numPr>
        <w:tabs>
          <w:tab w:val="left" w:pos="180"/>
        </w:tabs>
        <w:spacing w:after="0" w:line="312" w:lineRule="auto"/>
        <w:ind w:left="993" w:hanging="567"/>
        <w:rPr>
          <w:b/>
          <w:bCs/>
          <w:szCs w:val="20"/>
        </w:rPr>
      </w:pPr>
      <w:r w:rsidRPr="00E00B35">
        <w:rPr>
          <w:bCs/>
          <w:szCs w:val="20"/>
        </w:rPr>
        <w:t>sporządzania innych planów i analiz obejmujących obszar Miasta;</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Sporządzania koncepcji sposobu zagospodarowania obszarów w Mieście;</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Sporządzania propozycji lokalizacji i analizy lokalizacji ważnych dla Miasta obiektów;</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Przygotowania propozycji ofert przestrzennych dla różnego rodzaju inwestycji;</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Koordynacji, opiniowania i weryfikowania opracowań sporządzanych w wydziałach i jednostkach organizacyjnych Miasta;</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Prognozowania, gromadzenia oraz analizy danych dotyczących rozwoju Miasta;</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Koordynacji i sporządzania planów, analiz i opinii urbanistycznych w zakresie polityki rzecznej;</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Koordynacji prac organizacyjno-technicznych związanych z przetwarzaniem danych przestrzennych, w tym prac dotyczących koordynacji procesu budowy SIP – Systemu Informacji Przestrzennej Miasta;</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Zapewnienia pełnej zgodności systemu informatycznego, w którym prowadzona jest EMUiA do zmieniających się wymagań prawnych określających szczegółowo organizację i tryb tworzenia, aktualizacji i udostępniania baz danych ewidencji;</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lastRenderedPageBreak/>
        <w:t>Sporządzania wyrysów i wypisów z obowiązującego Studium uwarunkowań i kierunków zagospodarowania przestrzennego Wrocławia oraz wydawanie opinii pomocniczych;</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Realizacji zadań z zakresu nazewnictwa ulic i adresów.</w:t>
      </w:r>
    </w:p>
    <w:p w:rsidR="006C7858" w:rsidRPr="00E00B35" w:rsidRDefault="006C7858" w:rsidP="00E00B35">
      <w:pPr>
        <w:spacing w:after="0" w:line="312" w:lineRule="auto"/>
        <w:rPr>
          <w:bCs/>
          <w:szCs w:val="20"/>
        </w:rPr>
      </w:pPr>
    </w:p>
    <w:p w:rsidR="006C7858" w:rsidRPr="00E00B35" w:rsidRDefault="006C7858" w:rsidP="00E00B35">
      <w:pPr>
        <w:spacing w:after="0" w:line="312" w:lineRule="auto"/>
        <w:rPr>
          <w:bCs/>
          <w:szCs w:val="20"/>
        </w:rPr>
      </w:pPr>
      <w:r w:rsidRPr="00E00B35">
        <w:rPr>
          <w:bCs/>
          <w:szCs w:val="20"/>
        </w:rPr>
        <w:t>Planowanie przestrzenne jest jednym z ważniejszych zadań samorządu lokalnego oraz zadaniem własnym gminy. Poprzez racjonalne kształtowanie przestrzeni, uwzględniające uwarunkowania, wymagania funkcjonalne, środowiskowe, społeczno- gospodarcze oraz kulturowe, planowanie przestrzenne zapewnia prawidłowy i zrównoważony rozwój miasta. Jednym z instrumentów planowania przestrzennego są miejscowe plany zagospodarowania przestrzennego (mpzp). Ich realizacja przyczynia się do zachowania porządku, ładu przestrzennego oraz krajobrazu kulturowego.</w:t>
      </w:r>
    </w:p>
    <w:p w:rsidR="006C7858" w:rsidRPr="00E00B35" w:rsidRDefault="006C7858" w:rsidP="00E00B35">
      <w:pPr>
        <w:spacing w:after="0" w:line="312" w:lineRule="auto"/>
        <w:rPr>
          <w:b/>
          <w:szCs w:val="20"/>
        </w:rPr>
      </w:pPr>
      <w:r w:rsidRPr="00E00B35">
        <w:rPr>
          <w:rFonts w:cs="Verdana"/>
          <w:szCs w:val="20"/>
        </w:rPr>
        <w:t>Na koniec roku 2020</w:t>
      </w:r>
      <w:r w:rsidRPr="00E00B35">
        <w:rPr>
          <w:rFonts w:cs="Verdana"/>
          <w:b/>
          <w:szCs w:val="20"/>
        </w:rPr>
        <w:t xml:space="preserve"> </w:t>
      </w:r>
      <w:r w:rsidRPr="00E00B35">
        <w:rPr>
          <w:rFonts w:cs="Verdana"/>
          <w:b/>
          <w:bCs/>
          <w:szCs w:val="20"/>
        </w:rPr>
        <w:t xml:space="preserve">powierzchnia Miasta </w:t>
      </w:r>
      <w:r w:rsidRPr="00E00B35">
        <w:rPr>
          <w:rFonts w:cs="Verdana"/>
          <w:bCs/>
          <w:szCs w:val="20"/>
        </w:rPr>
        <w:t>objęta</w:t>
      </w:r>
      <w:r w:rsidRPr="00E00B35">
        <w:rPr>
          <w:rFonts w:cs="Verdana"/>
          <w:b/>
          <w:bCs/>
          <w:szCs w:val="20"/>
        </w:rPr>
        <w:t xml:space="preserve"> uchwalonymi mpzp </w:t>
      </w:r>
      <w:r w:rsidRPr="00E00B35">
        <w:rPr>
          <w:rFonts w:cs="Verdana"/>
          <w:bCs/>
          <w:szCs w:val="20"/>
        </w:rPr>
        <w:t xml:space="preserve">wyniosła </w:t>
      </w:r>
      <w:r w:rsidRPr="00E00B35">
        <w:rPr>
          <w:rFonts w:cs="Verdana"/>
          <w:szCs w:val="20"/>
        </w:rPr>
        <w:t>dla wszystkich uchwalonych mpzp (</w:t>
      </w:r>
      <w:r w:rsidRPr="00E00B35">
        <w:rPr>
          <w:rFonts w:cs="Verdana"/>
          <w:bCs/>
          <w:szCs w:val="20"/>
        </w:rPr>
        <w:t>475 mpzp</w:t>
      </w:r>
      <w:r w:rsidRPr="00E00B35">
        <w:rPr>
          <w:rFonts w:cs="Verdana"/>
          <w:szCs w:val="20"/>
        </w:rPr>
        <w:t xml:space="preserve">) </w:t>
      </w:r>
      <w:r w:rsidRPr="00E00B35">
        <w:rPr>
          <w:rFonts w:cs="Verdana"/>
          <w:b/>
          <w:szCs w:val="20"/>
        </w:rPr>
        <w:t>–</w:t>
      </w:r>
      <w:r w:rsidRPr="00E00B35">
        <w:rPr>
          <w:b/>
          <w:szCs w:val="20"/>
        </w:rPr>
        <w:t xml:space="preserve"> </w:t>
      </w:r>
      <w:r w:rsidRPr="00E00B35">
        <w:rPr>
          <w:rFonts w:cs="Helvetica"/>
          <w:szCs w:val="20"/>
          <w:shd w:val="clear" w:color="auto" w:fill="FEFEFE"/>
        </w:rPr>
        <w:t xml:space="preserve">17509,74 </w:t>
      </w:r>
      <w:r w:rsidRPr="00E00B35">
        <w:rPr>
          <w:rFonts w:cs="Verdana"/>
          <w:bCs/>
          <w:szCs w:val="20"/>
        </w:rPr>
        <w:t>ha</w:t>
      </w:r>
      <w:r w:rsidRPr="00E00B35">
        <w:rPr>
          <w:rFonts w:cs="Verdana"/>
          <w:szCs w:val="20"/>
        </w:rPr>
        <w:t>, co stanowi</w:t>
      </w:r>
      <w:r w:rsidRPr="00E00B35">
        <w:rPr>
          <w:rFonts w:cs="Verdana"/>
          <w:b/>
          <w:bCs/>
          <w:szCs w:val="20"/>
        </w:rPr>
        <w:t> </w:t>
      </w:r>
      <w:r w:rsidRPr="00E00B35">
        <w:rPr>
          <w:szCs w:val="20"/>
        </w:rPr>
        <w:t>59,8</w:t>
      </w:r>
      <w:r w:rsidRPr="00E00B35">
        <w:rPr>
          <w:rFonts w:cs="Verdana"/>
          <w:bCs/>
          <w:szCs w:val="20"/>
        </w:rPr>
        <w:t>%</w:t>
      </w:r>
      <w:r w:rsidRPr="00E00B35">
        <w:rPr>
          <w:rFonts w:cs="Verdana"/>
          <w:b/>
          <w:szCs w:val="20"/>
        </w:rPr>
        <w:t xml:space="preserve"> </w:t>
      </w:r>
      <w:r w:rsidRPr="00E00B35">
        <w:rPr>
          <w:rFonts w:cs="Verdana"/>
          <w:szCs w:val="20"/>
        </w:rPr>
        <w:t>powierzchni Wrocławia.</w:t>
      </w:r>
    </w:p>
    <w:p w:rsidR="006C7858" w:rsidRPr="00E00B35" w:rsidRDefault="006C7858" w:rsidP="00E00B35">
      <w:pPr>
        <w:pStyle w:val="Tekstpodstawowy"/>
        <w:spacing w:after="0" w:line="312" w:lineRule="auto"/>
        <w:rPr>
          <w:b/>
          <w:szCs w:val="20"/>
        </w:rPr>
      </w:pPr>
      <w:r w:rsidRPr="00E00B35">
        <w:rPr>
          <w:szCs w:val="20"/>
        </w:rPr>
        <w:t>W roku 2020 przystąpiono do opracowania</w:t>
      </w:r>
      <w:r w:rsidRPr="00E00B35">
        <w:rPr>
          <w:b/>
          <w:szCs w:val="20"/>
        </w:rPr>
        <w:t xml:space="preserve"> 22 mpzp </w:t>
      </w:r>
      <w:r w:rsidRPr="00E00B35">
        <w:rPr>
          <w:szCs w:val="20"/>
        </w:rPr>
        <w:t>obejmujących</w:t>
      </w:r>
      <w:r w:rsidRPr="00E00B35">
        <w:rPr>
          <w:b/>
          <w:szCs w:val="20"/>
        </w:rPr>
        <w:t xml:space="preserve"> 406,01 ha</w:t>
      </w:r>
      <w:r w:rsidRPr="00E00B35">
        <w:rPr>
          <w:szCs w:val="20"/>
        </w:rPr>
        <w:t>,</w:t>
      </w:r>
      <w:r w:rsidRPr="00E00B35">
        <w:rPr>
          <w:b/>
          <w:szCs w:val="20"/>
        </w:rPr>
        <w:t xml:space="preserve"> </w:t>
      </w:r>
      <w:r w:rsidRPr="00E00B35">
        <w:rPr>
          <w:szCs w:val="20"/>
        </w:rPr>
        <w:t>co stanowiło</w:t>
      </w:r>
      <w:r w:rsidRPr="00E00B35">
        <w:rPr>
          <w:b/>
          <w:szCs w:val="20"/>
        </w:rPr>
        <w:t xml:space="preserve"> 1,4 % powierzchni Miasta</w:t>
      </w:r>
      <w:r w:rsidRPr="00E00B35">
        <w:rPr>
          <w:szCs w:val="20"/>
        </w:rPr>
        <w:t>.</w:t>
      </w:r>
    </w:p>
    <w:p w:rsidR="006C7858" w:rsidRPr="00E00B35" w:rsidRDefault="006C7858" w:rsidP="00E00B35">
      <w:pPr>
        <w:pStyle w:val="Tekstpodstawowy"/>
        <w:spacing w:after="0" w:line="312" w:lineRule="auto"/>
        <w:rPr>
          <w:szCs w:val="20"/>
        </w:rPr>
      </w:pPr>
      <w:r w:rsidRPr="00E00B35">
        <w:rPr>
          <w:szCs w:val="20"/>
        </w:rPr>
        <w:t xml:space="preserve">W roku 2020 w opracowaniu (na różnych etapach procedury formalno-prawnej) znajdowały się łącznie </w:t>
      </w:r>
      <w:r w:rsidRPr="00E00B35">
        <w:rPr>
          <w:b/>
          <w:szCs w:val="20"/>
        </w:rPr>
        <w:t>120 mpzp</w:t>
      </w:r>
      <w:r w:rsidRPr="00E00B35">
        <w:rPr>
          <w:szCs w:val="20"/>
        </w:rPr>
        <w:t xml:space="preserve">, z czego w 2020 r. uchwalono </w:t>
      </w:r>
      <w:r w:rsidRPr="00E00B35">
        <w:rPr>
          <w:b/>
          <w:szCs w:val="20"/>
        </w:rPr>
        <w:t>28 mpzp</w:t>
      </w:r>
      <w:r w:rsidRPr="00E00B35">
        <w:rPr>
          <w:szCs w:val="20"/>
        </w:rPr>
        <w:t xml:space="preserve">, w </w:t>
      </w:r>
      <w:r w:rsidRPr="00E00B35">
        <w:rPr>
          <w:b/>
          <w:szCs w:val="20"/>
        </w:rPr>
        <w:t>tym 4 opracowane w trybie zmiany mpzp</w:t>
      </w:r>
      <w:r w:rsidRPr="00E00B35">
        <w:rPr>
          <w:szCs w:val="20"/>
        </w:rPr>
        <w:t>.</w:t>
      </w:r>
    </w:p>
    <w:p w:rsidR="006C7858" w:rsidRPr="00E00B35" w:rsidRDefault="006C7858" w:rsidP="00E00B35">
      <w:pPr>
        <w:pStyle w:val="Tekstpodstawowy"/>
        <w:spacing w:after="0" w:line="312" w:lineRule="auto"/>
        <w:rPr>
          <w:szCs w:val="20"/>
        </w:rPr>
      </w:pPr>
      <w:r w:rsidRPr="00E00B35">
        <w:rPr>
          <w:szCs w:val="20"/>
        </w:rPr>
        <w:t>Poniższe tabele przedstawiają procentowy udział powierzchni planów uchwalonych i planów znajdujących się w opracowaniu w ogólnej powierzchni Miasta.</w:t>
      </w:r>
    </w:p>
    <w:p w:rsidR="006C7858" w:rsidRPr="00E00B35" w:rsidRDefault="006C7858" w:rsidP="00E00B35">
      <w:pPr>
        <w:pStyle w:val="Tekstpodstawowy"/>
        <w:spacing w:after="0" w:line="312" w:lineRule="auto"/>
        <w:rPr>
          <w:szCs w:val="20"/>
        </w:rPr>
      </w:pPr>
    </w:p>
    <w:p w:rsidR="006C7858" w:rsidRPr="00E00B35" w:rsidRDefault="006C7858" w:rsidP="00E00B35">
      <w:pPr>
        <w:pStyle w:val="Tekstpodstawowy"/>
        <w:spacing w:after="0" w:line="312" w:lineRule="auto"/>
        <w:rPr>
          <w:b/>
          <w:bCs/>
          <w:szCs w:val="20"/>
        </w:rPr>
      </w:pPr>
      <w:r w:rsidRPr="00E00B35">
        <w:rPr>
          <w:szCs w:val="20"/>
        </w:rPr>
        <w:t>Udział mpzp w ogólnej powierzchni Miasta</w:t>
      </w:r>
    </w:p>
    <w:tbl>
      <w:tblPr>
        <w:tblW w:w="0" w:type="auto"/>
        <w:tblInd w:w="70" w:type="dxa"/>
        <w:tblLayout w:type="fixed"/>
        <w:tblCellMar>
          <w:left w:w="70" w:type="dxa"/>
          <w:right w:w="70" w:type="dxa"/>
        </w:tblCellMar>
        <w:tblLook w:val="0000"/>
      </w:tblPr>
      <w:tblGrid>
        <w:gridCol w:w="2520"/>
        <w:gridCol w:w="1800"/>
        <w:gridCol w:w="2519"/>
        <w:gridCol w:w="2351"/>
      </w:tblGrid>
      <w:tr w:rsidR="006C7858" w:rsidRPr="00E00B35" w:rsidTr="006C7858">
        <w:trPr>
          <w:trHeight w:val="20"/>
          <w:tblHeader/>
        </w:trPr>
        <w:tc>
          <w:tcPr>
            <w:tcW w:w="2520"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b/>
                <w:bCs/>
                <w:szCs w:val="20"/>
              </w:rPr>
            </w:pPr>
            <w:r w:rsidRPr="00E00B35">
              <w:rPr>
                <w:b/>
                <w:bCs/>
                <w:szCs w:val="20"/>
              </w:rPr>
              <w:t>Plany</w:t>
            </w:r>
          </w:p>
        </w:tc>
        <w:tc>
          <w:tcPr>
            <w:tcW w:w="1800"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b/>
                <w:bCs/>
                <w:szCs w:val="20"/>
              </w:rPr>
            </w:pPr>
            <w:r w:rsidRPr="00E00B35">
              <w:rPr>
                <w:b/>
                <w:bCs/>
                <w:szCs w:val="20"/>
              </w:rPr>
              <w:t>Liczba planów</w:t>
            </w:r>
          </w:p>
        </w:tc>
        <w:tc>
          <w:tcPr>
            <w:tcW w:w="2519"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b/>
                <w:bCs/>
                <w:szCs w:val="20"/>
              </w:rPr>
            </w:pPr>
            <w:r w:rsidRPr="00E00B35">
              <w:rPr>
                <w:b/>
                <w:bCs/>
                <w:szCs w:val="20"/>
              </w:rPr>
              <w:t>Powierzchnia [ha]</w:t>
            </w:r>
            <w:r w:rsidRPr="00E00B35">
              <w:rPr>
                <w:rFonts w:cs="Arial"/>
                <w:szCs w:val="20"/>
              </w:rPr>
              <w:t xml:space="preserve"> **</w:t>
            </w:r>
          </w:p>
        </w:tc>
        <w:tc>
          <w:tcPr>
            <w:tcW w:w="23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C7858" w:rsidRPr="00E00B35" w:rsidRDefault="006C7858" w:rsidP="00E00B35">
            <w:pPr>
              <w:pStyle w:val="Tekstpodstawowy"/>
              <w:spacing w:after="0" w:line="312" w:lineRule="auto"/>
              <w:rPr>
                <w:szCs w:val="20"/>
              </w:rPr>
            </w:pPr>
            <w:r w:rsidRPr="00E00B35">
              <w:rPr>
                <w:b/>
                <w:bCs/>
                <w:szCs w:val="20"/>
              </w:rPr>
              <w:t>Udział w powierzchni miasta [%]</w:t>
            </w:r>
          </w:p>
        </w:tc>
      </w:tr>
      <w:tr w:rsidR="006C7858" w:rsidRPr="00E00B35" w:rsidTr="001F7163">
        <w:trPr>
          <w:trHeight w:val="20"/>
        </w:trPr>
        <w:tc>
          <w:tcPr>
            <w:tcW w:w="252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uchwalone od 1995 r.</w:t>
            </w:r>
          </w:p>
        </w:tc>
        <w:tc>
          <w:tcPr>
            <w:tcW w:w="1800"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szCs w:val="20"/>
              </w:rPr>
            </w:pPr>
            <w:r w:rsidRPr="00E00B35">
              <w:rPr>
                <w:rFonts w:cs="Tahoma"/>
                <w:bCs/>
                <w:szCs w:val="20"/>
              </w:rPr>
              <w:t>475</w:t>
            </w:r>
          </w:p>
        </w:tc>
        <w:tc>
          <w:tcPr>
            <w:tcW w:w="2519"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bCs/>
                <w:szCs w:val="20"/>
              </w:rPr>
            </w:pPr>
            <w:r w:rsidRPr="00E00B35">
              <w:rPr>
                <w:rFonts w:cs="Helvetica"/>
                <w:szCs w:val="20"/>
                <w:shd w:val="clear" w:color="auto" w:fill="FEFEFE"/>
              </w:rPr>
              <w:t>17509,74</w:t>
            </w:r>
          </w:p>
        </w:tc>
        <w:tc>
          <w:tcPr>
            <w:tcW w:w="2351"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spacing w:after="0" w:line="312" w:lineRule="auto"/>
              <w:rPr>
                <w:szCs w:val="20"/>
              </w:rPr>
            </w:pPr>
            <w:r w:rsidRPr="00E00B35">
              <w:rPr>
                <w:szCs w:val="20"/>
              </w:rPr>
              <w:t>59,8</w:t>
            </w:r>
          </w:p>
        </w:tc>
      </w:tr>
      <w:tr w:rsidR="006C7858" w:rsidRPr="00E00B35" w:rsidTr="001F7163">
        <w:trPr>
          <w:trHeight w:val="20"/>
        </w:trPr>
        <w:tc>
          <w:tcPr>
            <w:tcW w:w="2520"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szCs w:val="20"/>
              </w:rPr>
            </w:pPr>
            <w:r w:rsidRPr="00E00B35">
              <w:rPr>
                <w:szCs w:val="20"/>
              </w:rPr>
              <w:t>uchwalone w 2020 r.</w:t>
            </w:r>
          </w:p>
        </w:tc>
        <w:tc>
          <w:tcPr>
            <w:tcW w:w="1800"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spacing w:after="0" w:line="312" w:lineRule="auto"/>
              <w:rPr>
                <w:rFonts w:cs="Tahoma"/>
                <w:bCs/>
                <w:szCs w:val="20"/>
              </w:rPr>
            </w:pPr>
            <w:r w:rsidRPr="00E00B35">
              <w:rPr>
                <w:rFonts w:cs="Tahoma"/>
                <w:bCs/>
                <w:szCs w:val="20"/>
              </w:rPr>
              <w:t>28</w:t>
            </w:r>
          </w:p>
        </w:tc>
        <w:tc>
          <w:tcPr>
            <w:tcW w:w="2519"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spacing w:after="0" w:line="312" w:lineRule="auto"/>
              <w:rPr>
                <w:rFonts w:cs="Tahoma"/>
                <w:bCs/>
                <w:szCs w:val="20"/>
              </w:rPr>
            </w:pPr>
            <w:r w:rsidRPr="00E00B35">
              <w:rPr>
                <w:rFonts w:cs="Tahoma"/>
                <w:bCs/>
                <w:szCs w:val="20"/>
              </w:rPr>
              <w:t>504,79</w:t>
            </w:r>
          </w:p>
        </w:tc>
        <w:tc>
          <w:tcPr>
            <w:tcW w:w="23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C7858" w:rsidRPr="00E00B35" w:rsidRDefault="006C7858" w:rsidP="00E00B35">
            <w:pPr>
              <w:spacing w:after="0" w:line="312" w:lineRule="auto"/>
              <w:rPr>
                <w:szCs w:val="20"/>
              </w:rPr>
            </w:pPr>
            <w:r w:rsidRPr="00E00B35">
              <w:rPr>
                <w:szCs w:val="20"/>
              </w:rPr>
              <w:t>1,7</w:t>
            </w:r>
          </w:p>
        </w:tc>
      </w:tr>
      <w:tr w:rsidR="006C7858" w:rsidRPr="00E00B35" w:rsidTr="001F7163">
        <w:trPr>
          <w:trHeight w:val="227"/>
        </w:trPr>
        <w:tc>
          <w:tcPr>
            <w:tcW w:w="252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uchwalone obowiązujące*</w:t>
            </w:r>
          </w:p>
        </w:tc>
        <w:tc>
          <w:tcPr>
            <w:tcW w:w="1800"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szCs w:val="20"/>
              </w:rPr>
            </w:pPr>
            <w:r w:rsidRPr="00E00B35">
              <w:rPr>
                <w:rFonts w:cs="Tahoma"/>
                <w:bCs/>
                <w:szCs w:val="20"/>
              </w:rPr>
              <w:t>475</w:t>
            </w:r>
          </w:p>
        </w:tc>
        <w:tc>
          <w:tcPr>
            <w:tcW w:w="2519"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bCs/>
                <w:szCs w:val="20"/>
              </w:rPr>
            </w:pPr>
            <w:r w:rsidRPr="00E00B35">
              <w:rPr>
                <w:rFonts w:cs="Helvetica"/>
                <w:szCs w:val="20"/>
                <w:shd w:val="clear" w:color="auto" w:fill="FEFEFE"/>
              </w:rPr>
              <w:t>17509,74</w:t>
            </w:r>
          </w:p>
        </w:tc>
        <w:tc>
          <w:tcPr>
            <w:tcW w:w="2351"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spacing w:after="0" w:line="312" w:lineRule="auto"/>
              <w:rPr>
                <w:szCs w:val="20"/>
              </w:rPr>
            </w:pPr>
            <w:r w:rsidRPr="00E00B35">
              <w:rPr>
                <w:szCs w:val="20"/>
              </w:rPr>
              <w:t>59,8</w:t>
            </w:r>
          </w:p>
        </w:tc>
      </w:tr>
      <w:tr w:rsidR="006C7858" w:rsidRPr="00E00B35" w:rsidTr="001F7163">
        <w:trPr>
          <w:trHeight w:val="227"/>
        </w:trPr>
        <w:tc>
          <w:tcPr>
            <w:tcW w:w="252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cs="Tahoma"/>
                <w:bCs/>
                <w:szCs w:val="20"/>
              </w:rPr>
            </w:pPr>
            <w:r w:rsidRPr="00E00B35">
              <w:rPr>
                <w:szCs w:val="20"/>
              </w:rPr>
              <w:t>w opracowaniu</w:t>
            </w:r>
          </w:p>
        </w:tc>
        <w:tc>
          <w:tcPr>
            <w:tcW w:w="1800"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bCs/>
                <w:szCs w:val="20"/>
              </w:rPr>
            </w:pPr>
            <w:r w:rsidRPr="00E00B35">
              <w:rPr>
                <w:rFonts w:cs="Tahoma"/>
                <w:bCs/>
                <w:szCs w:val="20"/>
              </w:rPr>
              <w:t>91</w:t>
            </w:r>
          </w:p>
        </w:tc>
        <w:tc>
          <w:tcPr>
            <w:tcW w:w="2519"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bCs/>
                <w:szCs w:val="20"/>
              </w:rPr>
            </w:pPr>
            <w:r w:rsidRPr="00E00B35">
              <w:rPr>
                <w:szCs w:val="20"/>
              </w:rPr>
              <w:t>1953,12</w:t>
            </w:r>
          </w:p>
        </w:tc>
        <w:tc>
          <w:tcPr>
            <w:tcW w:w="2351"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spacing w:after="0" w:line="312" w:lineRule="auto"/>
              <w:rPr>
                <w:rFonts w:cs="Arial"/>
                <w:i/>
                <w:iCs/>
                <w:szCs w:val="20"/>
              </w:rPr>
            </w:pPr>
            <w:r w:rsidRPr="00E00B35">
              <w:rPr>
                <w:szCs w:val="20"/>
              </w:rPr>
              <w:t>6,7</w:t>
            </w:r>
          </w:p>
        </w:tc>
      </w:tr>
    </w:tbl>
    <w:p w:rsidR="006C7858" w:rsidRPr="00E00B35" w:rsidRDefault="006C7858" w:rsidP="00E00B35">
      <w:pPr>
        <w:pStyle w:val="Tekstpodstawowy"/>
        <w:spacing w:after="0" w:line="312" w:lineRule="auto"/>
        <w:rPr>
          <w:rFonts w:cs="Arial"/>
          <w:iCs/>
          <w:szCs w:val="20"/>
        </w:rPr>
      </w:pPr>
      <w:r w:rsidRPr="00E00B35">
        <w:rPr>
          <w:rFonts w:cs="Arial"/>
          <w:iCs/>
          <w:szCs w:val="20"/>
        </w:rPr>
        <w:t>* liczba planów obowiązujących nie obejmuje uchwał RM stanowiących zmianę uchwalonego planu miejscowego</w:t>
      </w:r>
      <w:r w:rsidRPr="00E00B35">
        <w:rPr>
          <w:rFonts w:cs="Arial"/>
          <w:iCs/>
          <w:szCs w:val="20"/>
        </w:rPr>
        <w:br/>
        <w:t>** obszar objęty planami (powierzchnia obszarów planów po scaleniu nałożeń)</w:t>
      </w:r>
    </w:p>
    <w:p w:rsidR="006C7858" w:rsidRPr="00E00B35" w:rsidRDefault="006C7858" w:rsidP="00E00B35">
      <w:pPr>
        <w:pStyle w:val="Tekstpodstawowy"/>
        <w:spacing w:after="0" w:line="312" w:lineRule="auto"/>
        <w:rPr>
          <w:szCs w:val="20"/>
        </w:rPr>
      </w:pPr>
    </w:p>
    <w:p w:rsidR="006C7858" w:rsidRPr="00E00B35" w:rsidRDefault="006C7858" w:rsidP="00E00B35">
      <w:pPr>
        <w:pStyle w:val="Tekstpodstawowy"/>
        <w:spacing w:after="0" w:line="312" w:lineRule="auto"/>
        <w:rPr>
          <w:szCs w:val="20"/>
        </w:rPr>
      </w:pPr>
      <w:r w:rsidRPr="00E00B35">
        <w:rPr>
          <w:szCs w:val="20"/>
        </w:rPr>
        <w:t xml:space="preserve">Tereny objęte mpzp uchwalonymi po 1 stycznia 1995 r. </w:t>
      </w:r>
    </w:p>
    <w:tbl>
      <w:tblPr>
        <w:tblW w:w="9346" w:type="dxa"/>
        <w:tblInd w:w="2" w:type="dxa"/>
        <w:tblLayout w:type="fixed"/>
        <w:tblCellMar>
          <w:left w:w="70" w:type="dxa"/>
          <w:right w:w="70" w:type="dxa"/>
        </w:tblCellMar>
        <w:tblLook w:val="0000"/>
      </w:tblPr>
      <w:tblGrid>
        <w:gridCol w:w="1408"/>
        <w:gridCol w:w="995"/>
        <w:gridCol w:w="995"/>
        <w:gridCol w:w="995"/>
        <w:gridCol w:w="995"/>
        <w:gridCol w:w="1123"/>
        <w:gridCol w:w="995"/>
        <w:gridCol w:w="1840"/>
      </w:tblGrid>
      <w:tr w:rsidR="006C7858" w:rsidRPr="00E00B35" w:rsidTr="006C7858">
        <w:trPr>
          <w:cantSplit/>
          <w:trHeight w:val="624"/>
          <w:tblHeader/>
        </w:trPr>
        <w:tc>
          <w:tcPr>
            <w:tcW w:w="1408" w:type="dxa"/>
            <w:vMerge w:val="restart"/>
            <w:tcBorders>
              <w:top w:val="single" w:sz="4" w:space="0" w:color="000000"/>
              <w:left w:val="single" w:sz="4" w:space="0" w:color="000000"/>
            </w:tcBorders>
            <w:shd w:val="clear" w:color="auto" w:fill="E6E6E6"/>
            <w:vAlign w:val="center"/>
          </w:tcPr>
          <w:p w:rsidR="006C7858" w:rsidRPr="00E00B35" w:rsidRDefault="006C7858" w:rsidP="00E00B35">
            <w:pPr>
              <w:snapToGrid w:val="0"/>
              <w:spacing w:after="0" w:line="312" w:lineRule="auto"/>
              <w:rPr>
                <w:rFonts w:cs="Verdana"/>
                <w:bCs/>
                <w:szCs w:val="20"/>
              </w:rPr>
            </w:pPr>
            <w:bookmarkStart w:id="39" w:name="OLE_LINK13"/>
            <w:bookmarkEnd w:id="39"/>
          </w:p>
        </w:tc>
        <w:tc>
          <w:tcPr>
            <w:tcW w:w="995"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bCs/>
                <w:szCs w:val="20"/>
              </w:rPr>
            </w:pPr>
            <w:r w:rsidRPr="00E00B35">
              <w:rPr>
                <w:bCs/>
                <w:szCs w:val="20"/>
              </w:rPr>
              <w:t>II-III Kadencja RMW</w:t>
            </w:r>
          </w:p>
        </w:tc>
        <w:tc>
          <w:tcPr>
            <w:tcW w:w="995"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bCs/>
                <w:szCs w:val="20"/>
              </w:rPr>
            </w:pPr>
            <w:r w:rsidRPr="00E00B35">
              <w:rPr>
                <w:bCs/>
                <w:szCs w:val="20"/>
              </w:rPr>
              <w:t>IV Kadencja RMW</w:t>
            </w:r>
          </w:p>
        </w:tc>
        <w:tc>
          <w:tcPr>
            <w:tcW w:w="995"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bCs/>
                <w:szCs w:val="20"/>
              </w:rPr>
            </w:pPr>
            <w:r w:rsidRPr="00E00B35">
              <w:rPr>
                <w:bCs/>
                <w:szCs w:val="20"/>
              </w:rPr>
              <w:t>V</w:t>
            </w:r>
          </w:p>
          <w:p w:rsidR="006C7858" w:rsidRPr="00E00B35" w:rsidRDefault="006C7858" w:rsidP="00E00B35">
            <w:pPr>
              <w:pStyle w:val="Tekstpodstawowy"/>
              <w:spacing w:after="0" w:line="312" w:lineRule="auto"/>
              <w:rPr>
                <w:bCs/>
                <w:szCs w:val="20"/>
              </w:rPr>
            </w:pPr>
            <w:r w:rsidRPr="00E00B35">
              <w:rPr>
                <w:bCs/>
                <w:szCs w:val="20"/>
              </w:rPr>
              <w:t>Kadencja</w:t>
            </w:r>
          </w:p>
          <w:p w:rsidR="006C7858" w:rsidRPr="00E00B35" w:rsidRDefault="006C7858" w:rsidP="00E00B35">
            <w:pPr>
              <w:pStyle w:val="Tekstpodstawowy"/>
              <w:spacing w:after="0" w:line="312" w:lineRule="auto"/>
              <w:rPr>
                <w:bCs/>
                <w:szCs w:val="20"/>
              </w:rPr>
            </w:pPr>
            <w:r w:rsidRPr="00E00B35">
              <w:rPr>
                <w:bCs/>
                <w:szCs w:val="20"/>
              </w:rPr>
              <w:t>RMW</w:t>
            </w:r>
          </w:p>
        </w:tc>
        <w:tc>
          <w:tcPr>
            <w:tcW w:w="99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C7858" w:rsidRPr="00E00B35" w:rsidRDefault="006C7858" w:rsidP="00E00B35">
            <w:pPr>
              <w:pStyle w:val="Tekstpodstawowy"/>
              <w:spacing w:after="0" w:line="312" w:lineRule="auto"/>
              <w:rPr>
                <w:bCs/>
                <w:szCs w:val="20"/>
              </w:rPr>
            </w:pPr>
            <w:r w:rsidRPr="00E00B35">
              <w:rPr>
                <w:bCs/>
                <w:szCs w:val="20"/>
              </w:rPr>
              <w:t>VI</w:t>
            </w:r>
          </w:p>
          <w:p w:rsidR="006C7858" w:rsidRPr="00E00B35" w:rsidRDefault="006C7858" w:rsidP="00E00B35">
            <w:pPr>
              <w:pStyle w:val="Tekstpodstawowy"/>
              <w:spacing w:after="0" w:line="312" w:lineRule="auto"/>
              <w:rPr>
                <w:bCs/>
                <w:szCs w:val="20"/>
              </w:rPr>
            </w:pPr>
            <w:r w:rsidRPr="00E00B35">
              <w:rPr>
                <w:bCs/>
                <w:szCs w:val="20"/>
              </w:rPr>
              <w:t>Kadencja</w:t>
            </w:r>
          </w:p>
          <w:p w:rsidR="006C7858" w:rsidRPr="00E00B35" w:rsidRDefault="006C7858" w:rsidP="00E00B35">
            <w:pPr>
              <w:pStyle w:val="Tekstpodstawowy"/>
              <w:spacing w:after="0" w:line="312" w:lineRule="auto"/>
              <w:rPr>
                <w:bCs/>
                <w:szCs w:val="20"/>
              </w:rPr>
            </w:pPr>
            <w:r w:rsidRPr="00E00B35">
              <w:rPr>
                <w:bCs/>
                <w:szCs w:val="20"/>
              </w:rPr>
              <w:t>RMW</w:t>
            </w:r>
          </w:p>
        </w:tc>
        <w:tc>
          <w:tcPr>
            <w:tcW w:w="1123"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bCs/>
                <w:szCs w:val="20"/>
              </w:rPr>
            </w:pPr>
            <w:r w:rsidRPr="00E00B35">
              <w:rPr>
                <w:bCs/>
                <w:szCs w:val="20"/>
              </w:rPr>
              <w:t>VII</w:t>
            </w:r>
          </w:p>
          <w:p w:rsidR="006C7858" w:rsidRPr="00E00B35" w:rsidRDefault="006C7858" w:rsidP="00E00B35">
            <w:pPr>
              <w:pStyle w:val="Tekstpodstawowy"/>
              <w:spacing w:after="0" w:line="312" w:lineRule="auto"/>
              <w:rPr>
                <w:bCs/>
                <w:szCs w:val="20"/>
              </w:rPr>
            </w:pPr>
            <w:r w:rsidRPr="00E00B35">
              <w:rPr>
                <w:bCs/>
                <w:szCs w:val="20"/>
              </w:rPr>
              <w:t>Kadencja</w:t>
            </w:r>
          </w:p>
          <w:p w:rsidR="006C7858" w:rsidRPr="00E00B35" w:rsidRDefault="006C7858" w:rsidP="00E00B35">
            <w:pPr>
              <w:pStyle w:val="Tekstpodstawowy"/>
              <w:spacing w:after="0" w:line="312" w:lineRule="auto"/>
              <w:rPr>
                <w:bCs/>
                <w:szCs w:val="20"/>
              </w:rPr>
            </w:pPr>
            <w:r w:rsidRPr="00E00B35">
              <w:rPr>
                <w:bCs/>
                <w:szCs w:val="20"/>
              </w:rPr>
              <w:t>RMW</w:t>
            </w:r>
          </w:p>
        </w:tc>
        <w:tc>
          <w:tcPr>
            <w:tcW w:w="995"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bCs/>
                <w:szCs w:val="20"/>
              </w:rPr>
            </w:pPr>
            <w:r w:rsidRPr="00E00B35">
              <w:rPr>
                <w:bCs/>
                <w:szCs w:val="20"/>
              </w:rPr>
              <w:t>VIII</w:t>
            </w:r>
          </w:p>
          <w:p w:rsidR="006C7858" w:rsidRPr="00E00B35" w:rsidRDefault="006C7858" w:rsidP="00E00B35">
            <w:pPr>
              <w:pStyle w:val="Tekstpodstawowy"/>
              <w:spacing w:after="0" w:line="312" w:lineRule="auto"/>
              <w:rPr>
                <w:bCs/>
                <w:szCs w:val="20"/>
              </w:rPr>
            </w:pPr>
            <w:r w:rsidRPr="00E00B35">
              <w:rPr>
                <w:bCs/>
                <w:szCs w:val="20"/>
              </w:rPr>
              <w:t>Kadencja</w:t>
            </w:r>
          </w:p>
          <w:p w:rsidR="006C7858" w:rsidRPr="00E00B35" w:rsidRDefault="006C7858" w:rsidP="00E00B35">
            <w:pPr>
              <w:pStyle w:val="Tekstpodstawowy"/>
              <w:spacing w:after="0" w:line="312" w:lineRule="auto"/>
              <w:rPr>
                <w:bCs/>
                <w:szCs w:val="20"/>
              </w:rPr>
            </w:pPr>
            <w:r w:rsidRPr="00E00B35">
              <w:rPr>
                <w:bCs/>
                <w:szCs w:val="20"/>
              </w:rPr>
              <w:t>RMW</w:t>
            </w:r>
          </w:p>
        </w:tc>
        <w:tc>
          <w:tcPr>
            <w:tcW w:w="184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C7858" w:rsidRPr="00E00B35" w:rsidRDefault="006C7858" w:rsidP="00E00B35">
            <w:pPr>
              <w:pStyle w:val="Tekstpodstawowy"/>
              <w:spacing w:after="0" w:line="312" w:lineRule="auto"/>
              <w:rPr>
                <w:szCs w:val="20"/>
              </w:rPr>
            </w:pPr>
            <w:r w:rsidRPr="00E00B35">
              <w:rPr>
                <w:bCs/>
                <w:szCs w:val="20"/>
              </w:rPr>
              <w:t xml:space="preserve">Powierzchnia Miasta obecnie objęta mpzp </w:t>
            </w:r>
          </w:p>
        </w:tc>
      </w:tr>
      <w:tr w:rsidR="006C7858" w:rsidRPr="00E00B35" w:rsidTr="006C7858">
        <w:trPr>
          <w:cantSplit/>
          <w:trHeight w:val="624"/>
          <w:tblHeader/>
        </w:trPr>
        <w:tc>
          <w:tcPr>
            <w:tcW w:w="1408" w:type="dxa"/>
            <w:vMerge/>
            <w:tcBorders>
              <w:left w:val="single" w:sz="4" w:space="0" w:color="000000"/>
              <w:bottom w:val="single" w:sz="4" w:space="0" w:color="000000"/>
            </w:tcBorders>
            <w:vAlign w:val="center"/>
          </w:tcPr>
          <w:p w:rsidR="006C7858" w:rsidRPr="00E00B35" w:rsidRDefault="006C7858" w:rsidP="00E00B35">
            <w:pPr>
              <w:pStyle w:val="Tekstpodstawowy"/>
              <w:snapToGrid w:val="0"/>
              <w:spacing w:after="0" w:line="312" w:lineRule="auto"/>
              <w:rPr>
                <w:szCs w:val="20"/>
              </w:rPr>
            </w:pPr>
          </w:p>
        </w:tc>
        <w:tc>
          <w:tcPr>
            <w:tcW w:w="6098" w:type="dxa"/>
            <w:gridSpan w:val="6"/>
            <w:tcBorders>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szCs w:val="20"/>
              </w:rPr>
            </w:pPr>
            <w:r w:rsidRPr="00E00B35">
              <w:rPr>
                <w:szCs w:val="20"/>
              </w:rPr>
              <w:t>procedury z </w:t>
            </w:r>
            <w:r w:rsidRPr="00E00B35">
              <w:rPr>
                <w:bCs/>
                <w:szCs w:val="20"/>
              </w:rPr>
              <w:t>uwzględnieniem</w:t>
            </w:r>
            <w:r w:rsidRPr="00E00B35">
              <w:rPr>
                <w:szCs w:val="20"/>
              </w:rPr>
              <w:t> uchylonych mpzp </w:t>
            </w:r>
          </w:p>
        </w:tc>
        <w:tc>
          <w:tcPr>
            <w:tcW w:w="184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C7858" w:rsidRPr="00E00B35" w:rsidRDefault="006C7858" w:rsidP="00E00B35">
            <w:pPr>
              <w:spacing w:after="0" w:line="312" w:lineRule="auto"/>
              <w:rPr>
                <w:szCs w:val="20"/>
              </w:rPr>
            </w:pPr>
            <w:r w:rsidRPr="00E00B35">
              <w:rPr>
                <w:rFonts w:cs="Verdana"/>
                <w:szCs w:val="20"/>
              </w:rPr>
              <w:t>bez  uchylonych mpzp</w:t>
            </w:r>
            <w:r w:rsidRPr="00E00B35">
              <w:rPr>
                <w:b/>
                <w:bCs/>
                <w:szCs w:val="20"/>
              </w:rPr>
              <w:t>*</w:t>
            </w:r>
          </w:p>
        </w:tc>
      </w:tr>
      <w:tr w:rsidR="006C7858" w:rsidRPr="00E00B35" w:rsidTr="001F7163">
        <w:trPr>
          <w:trHeight w:val="624"/>
        </w:trPr>
        <w:tc>
          <w:tcPr>
            <w:tcW w:w="1408"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bCs/>
                <w:szCs w:val="20"/>
              </w:rPr>
            </w:pPr>
            <w:r w:rsidRPr="00E00B35">
              <w:rPr>
                <w:szCs w:val="20"/>
              </w:rPr>
              <w:lastRenderedPageBreak/>
              <w:t>Powierzchnia miasta objęta planami (%)</w:t>
            </w:r>
          </w:p>
        </w:tc>
        <w:tc>
          <w:tcPr>
            <w:tcW w:w="995"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szCs w:val="20"/>
              </w:rPr>
            </w:pPr>
            <w:r w:rsidRPr="00E00B35">
              <w:rPr>
                <w:bCs/>
                <w:szCs w:val="20"/>
              </w:rPr>
              <w:t>6,1</w:t>
            </w:r>
          </w:p>
        </w:tc>
        <w:tc>
          <w:tcPr>
            <w:tcW w:w="995"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szCs w:val="20"/>
              </w:rPr>
            </w:pPr>
            <w:r w:rsidRPr="00E00B35">
              <w:rPr>
                <w:szCs w:val="20"/>
              </w:rPr>
              <w:t>23,2</w:t>
            </w:r>
          </w:p>
        </w:tc>
        <w:tc>
          <w:tcPr>
            <w:tcW w:w="995"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bCs/>
                <w:szCs w:val="20"/>
                <w:shd w:val="clear" w:color="auto" w:fill="C0C0C0"/>
              </w:rPr>
            </w:pPr>
            <w:r w:rsidRPr="00E00B35">
              <w:rPr>
                <w:szCs w:val="20"/>
              </w:rPr>
              <w:t>17,7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858" w:rsidRPr="00E00B35" w:rsidRDefault="006C7858" w:rsidP="00E00B35">
            <w:pPr>
              <w:pStyle w:val="Tekstpodstawowy"/>
              <w:spacing w:after="0" w:line="312" w:lineRule="auto"/>
              <w:rPr>
                <w:szCs w:val="20"/>
              </w:rPr>
            </w:pPr>
            <w:r w:rsidRPr="00E00B35">
              <w:rPr>
                <w:szCs w:val="20"/>
              </w:rPr>
              <w:t>13,1</w:t>
            </w:r>
          </w:p>
        </w:tc>
        <w:tc>
          <w:tcPr>
            <w:tcW w:w="1123"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szCs w:val="20"/>
              </w:rPr>
            </w:pPr>
            <w:r w:rsidRPr="00E00B35">
              <w:rPr>
                <w:szCs w:val="20"/>
              </w:rPr>
              <w:t>3,2</w:t>
            </w:r>
          </w:p>
        </w:tc>
        <w:tc>
          <w:tcPr>
            <w:tcW w:w="995"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rFonts w:cs="Tahoma"/>
                <w:bCs/>
                <w:szCs w:val="20"/>
              </w:rPr>
              <w:t>2,3</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858" w:rsidRPr="00E00B35" w:rsidRDefault="006C7858" w:rsidP="00E00B35">
            <w:pPr>
              <w:pStyle w:val="Tekstpodstawowy"/>
              <w:spacing w:after="0" w:line="312" w:lineRule="auto"/>
              <w:rPr>
                <w:szCs w:val="20"/>
              </w:rPr>
            </w:pPr>
            <w:r w:rsidRPr="00E00B35">
              <w:rPr>
                <w:szCs w:val="20"/>
              </w:rPr>
              <w:t>59,8</w:t>
            </w:r>
          </w:p>
        </w:tc>
      </w:tr>
      <w:tr w:rsidR="006C7858" w:rsidRPr="00E00B35" w:rsidTr="001F7163">
        <w:trPr>
          <w:trHeight w:val="624"/>
        </w:trPr>
        <w:tc>
          <w:tcPr>
            <w:tcW w:w="1408"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bCs/>
                <w:szCs w:val="20"/>
              </w:rPr>
            </w:pPr>
            <w:r w:rsidRPr="00E00B35">
              <w:rPr>
                <w:szCs w:val="20"/>
              </w:rPr>
              <w:t>Powierzchnia miasta objęta planami (ha)</w:t>
            </w:r>
          </w:p>
        </w:tc>
        <w:tc>
          <w:tcPr>
            <w:tcW w:w="995"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szCs w:val="20"/>
              </w:rPr>
            </w:pPr>
            <w:r w:rsidRPr="00E00B35">
              <w:rPr>
                <w:bCs/>
                <w:szCs w:val="20"/>
              </w:rPr>
              <w:t>1791</w:t>
            </w:r>
          </w:p>
        </w:tc>
        <w:tc>
          <w:tcPr>
            <w:tcW w:w="995"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szCs w:val="20"/>
              </w:rPr>
            </w:pPr>
            <w:r w:rsidRPr="00E00B35">
              <w:rPr>
                <w:szCs w:val="20"/>
              </w:rPr>
              <w:t>6781</w:t>
            </w:r>
          </w:p>
        </w:tc>
        <w:tc>
          <w:tcPr>
            <w:tcW w:w="995"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bCs/>
                <w:szCs w:val="20"/>
                <w:shd w:val="clear" w:color="auto" w:fill="C0C0C0"/>
              </w:rPr>
            </w:pPr>
            <w:r w:rsidRPr="00E00B35">
              <w:rPr>
                <w:szCs w:val="20"/>
              </w:rPr>
              <w:t>5193</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858" w:rsidRPr="00E00B35" w:rsidRDefault="006C7858" w:rsidP="00E00B35">
            <w:pPr>
              <w:pStyle w:val="Tekstpodstawowy"/>
              <w:spacing w:after="0" w:line="312" w:lineRule="auto"/>
              <w:rPr>
                <w:szCs w:val="20"/>
              </w:rPr>
            </w:pPr>
            <w:r w:rsidRPr="00E00B35">
              <w:rPr>
                <w:szCs w:val="20"/>
              </w:rPr>
              <w:t>3843,65</w:t>
            </w:r>
          </w:p>
        </w:tc>
        <w:tc>
          <w:tcPr>
            <w:tcW w:w="1123"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szCs w:val="20"/>
              </w:rPr>
            </w:pPr>
            <w:r w:rsidRPr="00E00B35">
              <w:rPr>
                <w:szCs w:val="20"/>
              </w:rPr>
              <w:t>951,36</w:t>
            </w:r>
          </w:p>
        </w:tc>
        <w:tc>
          <w:tcPr>
            <w:tcW w:w="995"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cs="Helvetica"/>
                <w:szCs w:val="20"/>
                <w:shd w:val="clear" w:color="auto" w:fill="FEFEFE"/>
              </w:rPr>
            </w:pPr>
            <w:r w:rsidRPr="00E00B35">
              <w:rPr>
                <w:rFonts w:cs="Tahoma"/>
                <w:bCs/>
                <w:szCs w:val="20"/>
              </w:rPr>
              <w:t>679,79</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858" w:rsidRPr="00E00B35" w:rsidRDefault="006C7858" w:rsidP="00E00B35">
            <w:pPr>
              <w:pStyle w:val="Tekstpodstawowy"/>
              <w:spacing w:after="0" w:line="312" w:lineRule="auto"/>
              <w:rPr>
                <w:bCs/>
                <w:szCs w:val="20"/>
              </w:rPr>
            </w:pPr>
            <w:r w:rsidRPr="00E00B35">
              <w:rPr>
                <w:rFonts w:cs="Helvetica"/>
                <w:szCs w:val="20"/>
                <w:shd w:val="clear" w:color="auto" w:fill="FEFEFE"/>
              </w:rPr>
              <w:t>17509,74</w:t>
            </w:r>
          </w:p>
        </w:tc>
      </w:tr>
      <w:tr w:rsidR="006C7858" w:rsidRPr="00E00B35" w:rsidTr="001F7163">
        <w:trPr>
          <w:trHeight w:val="624"/>
        </w:trPr>
        <w:tc>
          <w:tcPr>
            <w:tcW w:w="1408"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bCs/>
                <w:szCs w:val="20"/>
              </w:rPr>
            </w:pPr>
            <w:r w:rsidRPr="00E00B35">
              <w:rPr>
                <w:szCs w:val="20"/>
              </w:rPr>
              <w:t>Liczba planów uchwalonych</w:t>
            </w:r>
          </w:p>
        </w:tc>
        <w:tc>
          <w:tcPr>
            <w:tcW w:w="995"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bCs/>
                <w:szCs w:val="20"/>
              </w:rPr>
            </w:pPr>
          </w:p>
          <w:p w:rsidR="006C7858" w:rsidRPr="00E00B35" w:rsidRDefault="006C7858" w:rsidP="00E00B35">
            <w:pPr>
              <w:pStyle w:val="Tekstpodstawowy"/>
              <w:spacing w:after="0" w:line="312" w:lineRule="auto"/>
              <w:rPr>
                <w:bCs/>
                <w:szCs w:val="20"/>
              </w:rPr>
            </w:pPr>
            <w:r w:rsidRPr="00E00B35">
              <w:rPr>
                <w:bCs/>
                <w:szCs w:val="20"/>
              </w:rPr>
              <w:t>54</w:t>
            </w:r>
          </w:p>
          <w:p w:rsidR="006C7858" w:rsidRPr="00E00B35" w:rsidRDefault="006C7858" w:rsidP="00E00B35">
            <w:pPr>
              <w:pStyle w:val="Tekstpodstawowy"/>
              <w:spacing w:after="0" w:line="312" w:lineRule="auto"/>
              <w:rPr>
                <w:bCs/>
                <w:szCs w:val="20"/>
              </w:rPr>
            </w:pPr>
          </w:p>
        </w:tc>
        <w:tc>
          <w:tcPr>
            <w:tcW w:w="995"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bCs/>
                <w:szCs w:val="20"/>
              </w:rPr>
            </w:pPr>
            <w:r w:rsidRPr="00E00B35">
              <w:rPr>
                <w:bCs/>
                <w:szCs w:val="20"/>
              </w:rPr>
              <w:t>113</w:t>
            </w:r>
          </w:p>
        </w:tc>
        <w:tc>
          <w:tcPr>
            <w:tcW w:w="995"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bCs/>
                <w:szCs w:val="20"/>
              </w:rPr>
            </w:pPr>
            <w:r w:rsidRPr="00E00B35">
              <w:rPr>
                <w:bCs/>
                <w:szCs w:val="20"/>
              </w:rPr>
              <w:t xml:space="preserve">115 </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858" w:rsidRPr="00E00B35" w:rsidRDefault="006C7858" w:rsidP="00E00B35">
            <w:pPr>
              <w:pStyle w:val="Tekstpodstawowy"/>
              <w:spacing w:after="0" w:line="312" w:lineRule="auto"/>
              <w:rPr>
                <w:bCs/>
                <w:szCs w:val="20"/>
              </w:rPr>
            </w:pPr>
            <w:r w:rsidRPr="00E00B35">
              <w:rPr>
                <w:szCs w:val="20"/>
              </w:rPr>
              <w:t>97</w:t>
            </w:r>
          </w:p>
        </w:tc>
        <w:tc>
          <w:tcPr>
            <w:tcW w:w="1123" w:type="dxa"/>
            <w:tcBorders>
              <w:top w:val="single" w:sz="4" w:space="0" w:color="000000"/>
              <w:left w:val="single" w:sz="4" w:space="0" w:color="000000"/>
              <w:bottom w:val="single" w:sz="4" w:space="0" w:color="000000"/>
            </w:tcBorders>
            <w:shd w:val="clear" w:color="auto" w:fill="auto"/>
            <w:vAlign w:val="center"/>
          </w:tcPr>
          <w:p w:rsidR="006C7858" w:rsidRPr="00E00B35" w:rsidRDefault="006C7858" w:rsidP="00E00B35">
            <w:pPr>
              <w:pStyle w:val="Tekstpodstawowy"/>
              <w:spacing w:after="0" w:line="312" w:lineRule="auto"/>
              <w:rPr>
                <w:bCs/>
                <w:szCs w:val="20"/>
              </w:rPr>
            </w:pPr>
            <w:r w:rsidRPr="00E00B35">
              <w:rPr>
                <w:bCs/>
                <w:szCs w:val="20"/>
              </w:rPr>
              <w:t>85</w:t>
            </w:r>
          </w:p>
        </w:tc>
        <w:tc>
          <w:tcPr>
            <w:tcW w:w="995"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cs="Tahoma"/>
                <w:bCs/>
                <w:szCs w:val="20"/>
              </w:rPr>
            </w:pPr>
            <w:r w:rsidRPr="00E00B35">
              <w:rPr>
                <w:rFonts w:cs="Tahoma"/>
                <w:bCs/>
                <w:szCs w:val="20"/>
              </w:rPr>
              <w:t>45</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858" w:rsidRPr="00E00B35" w:rsidRDefault="006C7858" w:rsidP="00E00B35">
            <w:pPr>
              <w:pStyle w:val="Tekstpodstawowy"/>
              <w:spacing w:after="0" w:line="312" w:lineRule="auto"/>
              <w:rPr>
                <w:szCs w:val="20"/>
              </w:rPr>
            </w:pPr>
            <w:r w:rsidRPr="00E00B35">
              <w:rPr>
                <w:rFonts w:cs="Tahoma"/>
                <w:bCs/>
                <w:szCs w:val="20"/>
              </w:rPr>
              <w:t>475</w:t>
            </w:r>
          </w:p>
        </w:tc>
      </w:tr>
    </w:tbl>
    <w:p w:rsidR="006C7858" w:rsidRPr="00E00B35" w:rsidRDefault="006C7858" w:rsidP="00E00B35">
      <w:pPr>
        <w:pStyle w:val="Tekstpodstawowy"/>
        <w:spacing w:after="0" w:line="312" w:lineRule="auto"/>
        <w:rPr>
          <w:rFonts w:cs="Arial"/>
          <w:iCs/>
          <w:szCs w:val="20"/>
        </w:rPr>
      </w:pPr>
      <w:r w:rsidRPr="00E00B35">
        <w:rPr>
          <w:rFonts w:cs="Arial"/>
          <w:iCs/>
          <w:szCs w:val="20"/>
        </w:rPr>
        <w:t>* liczba planów obowiązujących nie obejmuje uchwał RM stanowiących zmianę uchwalonego planu miejscowego</w:t>
      </w:r>
    </w:p>
    <w:p w:rsidR="006C7858" w:rsidRPr="00E00B35" w:rsidRDefault="006C7858" w:rsidP="00E00B35">
      <w:pPr>
        <w:pStyle w:val="Tekstpodstawowy"/>
        <w:spacing w:after="0" w:line="312" w:lineRule="auto"/>
        <w:rPr>
          <w:szCs w:val="20"/>
        </w:rPr>
      </w:pPr>
    </w:p>
    <w:p w:rsidR="006C7858" w:rsidRPr="00E00B35" w:rsidRDefault="006C7858" w:rsidP="00E00B35">
      <w:pPr>
        <w:pStyle w:val="Tekstpodstawowy"/>
        <w:spacing w:after="0" w:line="312" w:lineRule="auto"/>
        <w:rPr>
          <w:szCs w:val="20"/>
        </w:rPr>
      </w:pPr>
      <w:r w:rsidRPr="00E00B35">
        <w:rPr>
          <w:szCs w:val="20"/>
        </w:rPr>
        <w:t xml:space="preserve">Liczba mpzp lub zmian mpzp uchwalonych w latach 2003-2020 </w:t>
      </w:r>
    </w:p>
    <w:p w:rsidR="006C7858" w:rsidRPr="00E00B35" w:rsidRDefault="006C7858" w:rsidP="00E00B35">
      <w:pPr>
        <w:pStyle w:val="Tekstpodstawowy"/>
        <w:spacing w:after="0" w:line="312" w:lineRule="auto"/>
        <w:rPr>
          <w:b/>
          <w:bCs/>
          <w:szCs w:val="20"/>
        </w:rPr>
      </w:pPr>
      <w:r w:rsidRPr="00E00B35">
        <w:rPr>
          <w:szCs w:val="20"/>
        </w:rPr>
        <w:t xml:space="preserve">(z uwzględnieniem  mpzp w międzyczasie uchylonych) </w:t>
      </w:r>
    </w:p>
    <w:tbl>
      <w:tblPr>
        <w:tblW w:w="0" w:type="auto"/>
        <w:tblInd w:w="70" w:type="dxa"/>
        <w:tblLayout w:type="fixed"/>
        <w:tblCellMar>
          <w:left w:w="70" w:type="dxa"/>
          <w:right w:w="70" w:type="dxa"/>
        </w:tblCellMar>
        <w:tblLook w:val="0000"/>
      </w:tblPr>
      <w:tblGrid>
        <w:gridCol w:w="1440"/>
        <w:gridCol w:w="2340"/>
        <w:gridCol w:w="2700"/>
        <w:gridCol w:w="2710"/>
      </w:tblGrid>
      <w:tr w:rsidR="006C7858" w:rsidRPr="00E00B35" w:rsidTr="006C7858">
        <w:trPr>
          <w:trHeight w:val="340"/>
          <w:tblHeader/>
        </w:trPr>
        <w:tc>
          <w:tcPr>
            <w:tcW w:w="1440"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b/>
                <w:bCs/>
                <w:szCs w:val="20"/>
              </w:rPr>
            </w:pPr>
            <w:r w:rsidRPr="00E00B35">
              <w:rPr>
                <w:b/>
                <w:bCs/>
                <w:szCs w:val="20"/>
              </w:rPr>
              <w:t>Lata</w:t>
            </w:r>
          </w:p>
        </w:tc>
        <w:tc>
          <w:tcPr>
            <w:tcW w:w="2340"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b/>
                <w:bCs/>
                <w:szCs w:val="20"/>
              </w:rPr>
            </w:pPr>
            <w:r w:rsidRPr="00E00B35">
              <w:rPr>
                <w:b/>
                <w:bCs/>
                <w:szCs w:val="20"/>
              </w:rPr>
              <w:t>Liczba planów</w:t>
            </w:r>
          </w:p>
        </w:tc>
        <w:tc>
          <w:tcPr>
            <w:tcW w:w="2700" w:type="dxa"/>
            <w:tcBorders>
              <w:top w:val="single" w:sz="4" w:space="0" w:color="000000"/>
              <w:left w:val="single" w:sz="4" w:space="0" w:color="000000"/>
              <w:bottom w:val="single" w:sz="4" w:space="0" w:color="000000"/>
            </w:tcBorders>
            <w:shd w:val="clear" w:color="auto" w:fill="E6E6E6"/>
            <w:vAlign w:val="center"/>
          </w:tcPr>
          <w:p w:rsidR="006C7858" w:rsidRPr="00E00B35" w:rsidRDefault="006C7858" w:rsidP="00E00B35">
            <w:pPr>
              <w:pStyle w:val="Tekstpodstawowy"/>
              <w:spacing w:after="0" w:line="312" w:lineRule="auto"/>
              <w:rPr>
                <w:b/>
                <w:bCs/>
                <w:szCs w:val="20"/>
              </w:rPr>
            </w:pPr>
            <w:r w:rsidRPr="00E00B35">
              <w:rPr>
                <w:b/>
                <w:bCs/>
                <w:szCs w:val="20"/>
              </w:rPr>
              <w:t>Powierzchnia [ha]</w:t>
            </w:r>
          </w:p>
        </w:tc>
        <w:tc>
          <w:tcPr>
            <w:tcW w:w="271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C7858" w:rsidRPr="00E00B35" w:rsidRDefault="006C7858" w:rsidP="00E00B35">
            <w:pPr>
              <w:pStyle w:val="Tekstpodstawowy"/>
              <w:spacing w:after="0" w:line="312" w:lineRule="auto"/>
              <w:rPr>
                <w:szCs w:val="20"/>
              </w:rPr>
            </w:pPr>
            <w:r w:rsidRPr="00E00B35">
              <w:rPr>
                <w:b/>
                <w:bCs/>
                <w:szCs w:val="20"/>
              </w:rPr>
              <w:t>Udział w powierzchni miasta [%]</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2020</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bCs/>
                <w:szCs w:val="20"/>
              </w:rPr>
            </w:pPr>
            <w:r w:rsidRPr="00E00B35">
              <w:rPr>
                <w:rFonts w:cs="Tahoma"/>
                <w:bCs/>
                <w:szCs w:val="20"/>
              </w:rPr>
              <w:t>28</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bCs/>
                <w:szCs w:val="20"/>
              </w:rPr>
            </w:pPr>
            <w:r w:rsidRPr="00E00B35">
              <w:rPr>
                <w:rFonts w:cs="Tahoma"/>
                <w:bCs/>
                <w:szCs w:val="20"/>
              </w:rPr>
              <w:t>504,79</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spacing w:after="0" w:line="312" w:lineRule="auto"/>
              <w:rPr>
                <w:szCs w:val="20"/>
              </w:rPr>
            </w:pPr>
            <w:r w:rsidRPr="00E00B35">
              <w:rPr>
                <w:szCs w:val="20"/>
              </w:rPr>
              <w:t>1,7</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2019</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bCs/>
                <w:szCs w:val="20"/>
              </w:rPr>
            </w:pPr>
            <w:r w:rsidRPr="00E00B35">
              <w:rPr>
                <w:rFonts w:cs="Tahoma"/>
                <w:bCs/>
                <w:szCs w:val="20"/>
              </w:rPr>
              <w:t>17</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bCs/>
                <w:szCs w:val="20"/>
              </w:rPr>
            </w:pPr>
            <w:r w:rsidRPr="00E00B35">
              <w:rPr>
                <w:rFonts w:cs="Tahoma"/>
                <w:bCs/>
                <w:szCs w:val="20"/>
              </w:rPr>
              <w:t>175,01</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spacing w:after="0" w:line="312" w:lineRule="auto"/>
              <w:rPr>
                <w:szCs w:val="20"/>
              </w:rPr>
            </w:pPr>
            <w:r w:rsidRPr="00E00B35">
              <w:rPr>
                <w:szCs w:val="20"/>
              </w:rPr>
              <w:t>0,6</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2018</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bCs/>
                <w:szCs w:val="20"/>
              </w:rPr>
            </w:pPr>
            <w:r w:rsidRPr="00E00B35">
              <w:rPr>
                <w:rFonts w:cs="Tahoma"/>
                <w:bCs/>
                <w:szCs w:val="20"/>
              </w:rPr>
              <w:t>25</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szCs w:val="20"/>
              </w:rPr>
            </w:pPr>
            <w:r w:rsidRPr="00E00B35">
              <w:rPr>
                <w:rFonts w:cs="Tahoma"/>
                <w:bCs/>
                <w:szCs w:val="20"/>
              </w:rPr>
              <w:t>388,41</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spacing w:after="0" w:line="312" w:lineRule="auto"/>
              <w:rPr>
                <w:szCs w:val="20"/>
              </w:rPr>
            </w:pPr>
            <w:r w:rsidRPr="00E00B35">
              <w:rPr>
                <w:szCs w:val="20"/>
              </w:rPr>
              <w:t>1,3</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2017</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bCs/>
                <w:szCs w:val="20"/>
              </w:rPr>
            </w:pPr>
            <w:r w:rsidRPr="00E00B35">
              <w:rPr>
                <w:rFonts w:cs="Tahoma"/>
                <w:bCs/>
                <w:szCs w:val="20"/>
              </w:rPr>
              <w:t>11</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spacing w:after="0" w:line="312" w:lineRule="auto"/>
              <w:rPr>
                <w:rFonts w:cs="Tahoma"/>
                <w:bCs/>
                <w:szCs w:val="20"/>
              </w:rPr>
            </w:pPr>
            <w:r w:rsidRPr="00E00B35">
              <w:rPr>
                <w:szCs w:val="20"/>
              </w:rPr>
              <w:t>162,51</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spacing w:after="0" w:line="312" w:lineRule="auto"/>
              <w:rPr>
                <w:szCs w:val="20"/>
              </w:rPr>
            </w:pPr>
            <w:r w:rsidRPr="00E00B35">
              <w:rPr>
                <w:szCs w:val="20"/>
              </w:rPr>
              <w:t>0,6</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2016</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113,05</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0,4</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2015</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29</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287,42</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1,0</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2014</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29</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423</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1,4</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2013</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21</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783</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2,7</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2012</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 xml:space="preserve">24 </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 xml:space="preserve">1722 </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 xml:space="preserve">5,9 </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2011</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28</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940</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3,2</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2010</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23</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747</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2,6</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2009</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25</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1348</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4,6</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2008</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35</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2123</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7,3</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2007</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31</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1037</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3,5</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2006</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32</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1908</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szCs w:val="20"/>
              </w:rPr>
              <w:t>6,5</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eastAsia="Arial Unicode MS"/>
                <w:szCs w:val="20"/>
              </w:rPr>
            </w:pPr>
            <w:r w:rsidRPr="00E00B35">
              <w:rPr>
                <w:szCs w:val="20"/>
              </w:rPr>
              <w:lastRenderedPageBreak/>
              <w:t>2005</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eastAsia="Arial Unicode MS"/>
                <w:szCs w:val="20"/>
              </w:rPr>
            </w:pPr>
            <w:r w:rsidRPr="00E00B35">
              <w:rPr>
                <w:rFonts w:eastAsia="Arial Unicode MS"/>
                <w:szCs w:val="20"/>
              </w:rPr>
              <w:t>22</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eastAsia="Arial Unicode MS"/>
                <w:szCs w:val="20"/>
              </w:rPr>
            </w:pPr>
            <w:r w:rsidRPr="00E00B35">
              <w:rPr>
                <w:rFonts w:eastAsia="Arial Unicode MS"/>
                <w:szCs w:val="20"/>
              </w:rPr>
              <w:t>446</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rFonts w:eastAsia="Arial Unicode MS"/>
                <w:szCs w:val="20"/>
              </w:rPr>
              <w:t>1,5</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eastAsia="Arial Unicode MS"/>
                <w:szCs w:val="20"/>
              </w:rPr>
            </w:pPr>
            <w:r w:rsidRPr="00E00B35">
              <w:rPr>
                <w:szCs w:val="20"/>
              </w:rPr>
              <w:t>2004</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eastAsia="Arial Unicode MS"/>
                <w:szCs w:val="20"/>
              </w:rPr>
            </w:pPr>
            <w:r w:rsidRPr="00E00B35">
              <w:rPr>
                <w:rFonts w:eastAsia="Arial Unicode MS"/>
                <w:szCs w:val="20"/>
              </w:rPr>
              <w:t>28</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eastAsia="Arial Unicode MS"/>
                <w:szCs w:val="20"/>
              </w:rPr>
            </w:pPr>
            <w:r w:rsidRPr="00E00B35">
              <w:rPr>
                <w:rFonts w:eastAsia="Arial Unicode MS"/>
                <w:szCs w:val="20"/>
              </w:rPr>
              <w:t>1759</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rPr>
            </w:pPr>
            <w:r w:rsidRPr="00E00B35">
              <w:rPr>
                <w:rFonts w:eastAsia="Arial Unicode MS"/>
                <w:szCs w:val="20"/>
              </w:rPr>
              <w:t>6,0</w:t>
            </w:r>
          </w:p>
        </w:tc>
      </w:tr>
      <w:tr w:rsidR="006C7858" w:rsidRPr="00E00B35" w:rsidTr="001F7163">
        <w:trPr>
          <w:trHeight w:val="340"/>
        </w:trPr>
        <w:tc>
          <w:tcPr>
            <w:tcW w:w="14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eastAsia="Arial Unicode MS"/>
                <w:szCs w:val="20"/>
              </w:rPr>
            </w:pPr>
            <w:r w:rsidRPr="00E00B35">
              <w:rPr>
                <w:szCs w:val="20"/>
              </w:rPr>
              <w:t>2003</w:t>
            </w:r>
          </w:p>
        </w:tc>
        <w:tc>
          <w:tcPr>
            <w:tcW w:w="234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eastAsia="Arial Unicode MS"/>
                <w:szCs w:val="20"/>
              </w:rPr>
            </w:pPr>
            <w:r w:rsidRPr="00E00B35">
              <w:rPr>
                <w:rFonts w:eastAsia="Arial Unicode MS"/>
                <w:szCs w:val="20"/>
              </w:rPr>
              <w:t>32</w:t>
            </w:r>
          </w:p>
        </w:tc>
        <w:tc>
          <w:tcPr>
            <w:tcW w:w="2700" w:type="dxa"/>
            <w:tcBorders>
              <w:top w:val="single" w:sz="4" w:space="0" w:color="000000"/>
              <w:left w:val="single" w:sz="4" w:space="0" w:color="000000"/>
              <w:bottom w:val="single" w:sz="4" w:space="0" w:color="000000"/>
            </w:tcBorders>
            <w:vAlign w:val="center"/>
          </w:tcPr>
          <w:p w:rsidR="006C7858" w:rsidRPr="00E00B35" w:rsidRDefault="006C7858" w:rsidP="00E00B35">
            <w:pPr>
              <w:pStyle w:val="Tekstpodstawowy"/>
              <w:spacing w:after="0" w:line="312" w:lineRule="auto"/>
              <w:rPr>
                <w:rFonts w:eastAsia="Arial Unicode MS"/>
                <w:szCs w:val="20"/>
              </w:rPr>
            </w:pPr>
            <w:r w:rsidRPr="00E00B35">
              <w:rPr>
                <w:rFonts w:eastAsia="Arial Unicode MS"/>
                <w:szCs w:val="20"/>
              </w:rPr>
              <w:t>2680</w:t>
            </w:r>
          </w:p>
        </w:tc>
        <w:tc>
          <w:tcPr>
            <w:tcW w:w="2710" w:type="dxa"/>
            <w:tcBorders>
              <w:top w:val="single" w:sz="4" w:space="0" w:color="000000"/>
              <w:left w:val="single" w:sz="4" w:space="0" w:color="000000"/>
              <w:bottom w:val="single" w:sz="4" w:space="0" w:color="000000"/>
              <w:right w:val="single" w:sz="4" w:space="0" w:color="000000"/>
            </w:tcBorders>
            <w:vAlign w:val="center"/>
          </w:tcPr>
          <w:p w:rsidR="006C7858" w:rsidRPr="00E00B35" w:rsidRDefault="006C7858" w:rsidP="00E00B35">
            <w:pPr>
              <w:pStyle w:val="Tekstpodstawowy"/>
              <w:spacing w:after="0" w:line="312" w:lineRule="auto"/>
              <w:rPr>
                <w:szCs w:val="20"/>
                <w:shd w:val="clear" w:color="auto" w:fill="C0C0C0"/>
              </w:rPr>
            </w:pPr>
            <w:r w:rsidRPr="00E00B35">
              <w:rPr>
                <w:rFonts w:eastAsia="Arial Unicode MS"/>
                <w:szCs w:val="20"/>
              </w:rPr>
              <w:t>9,2</w:t>
            </w:r>
          </w:p>
        </w:tc>
      </w:tr>
    </w:tbl>
    <w:p w:rsidR="006C7858" w:rsidRPr="00E00B35" w:rsidRDefault="006C7858" w:rsidP="00E00B35">
      <w:pPr>
        <w:tabs>
          <w:tab w:val="left" w:pos="0"/>
        </w:tabs>
        <w:spacing w:after="0" w:line="312" w:lineRule="auto"/>
        <w:rPr>
          <w:rFonts w:cs="Verdana"/>
          <w:szCs w:val="20"/>
          <w:shd w:val="clear" w:color="auto" w:fill="C0C0C0"/>
        </w:rPr>
      </w:pPr>
    </w:p>
    <w:p w:rsidR="005D3FB0" w:rsidRDefault="005D3FB0" w:rsidP="005D3FB0">
      <w:pPr>
        <w:spacing w:after="0" w:line="312" w:lineRule="auto"/>
        <w:rPr>
          <w:szCs w:val="20"/>
        </w:rPr>
      </w:pPr>
    </w:p>
    <w:p w:rsidR="006C7858" w:rsidRPr="00E00B35" w:rsidRDefault="006C7858" w:rsidP="005D3FB0">
      <w:pPr>
        <w:pStyle w:val="Nagwek4"/>
      </w:pPr>
      <w:r w:rsidRPr="00E00B35">
        <w:t>OPRACOWANIA I ANALIZY ZWIĄZANE Z ROZWOJEM I ZAGOSPODAROWANIEM PRZESTRZENNYM MIASTA</w:t>
      </w:r>
    </w:p>
    <w:p w:rsidR="006C7858" w:rsidRPr="00E00B35" w:rsidRDefault="006C7858" w:rsidP="00E00B35">
      <w:pPr>
        <w:pStyle w:val="Nagwek5"/>
        <w:rPr>
          <w:szCs w:val="20"/>
        </w:rPr>
      </w:pPr>
      <w:r w:rsidRPr="00E00B35">
        <w:rPr>
          <w:szCs w:val="20"/>
        </w:rPr>
        <w:t>ZMIANA STUDIUM UWARUNKOWAŃ I KIERUNKÓW ZAGOSPODAROWANIA PRZESTRZENNEGO WROCŁAWIA</w:t>
      </w:r>
    </w:p>
    <w:p w:rsidR="006C7858" w:rsidRPr="00E00B35" w:rsidRDefault="006C7858" w:rsidP="00E00B35">
      <w:pPr>
        <w:pStyle w:val="Tekstpodstawowy3"/>
        <w:spacing w:after="0" w:line="312" w:lineRule="auto"/>
        <w:rPr>
          <w:rFonts w:cs="Verdana"/>
          <w:color w:val="000000"/>
          <w:sz w:val="20"/>
          <w:szCs w:val="20"/>
        </w:rPr>
      </w:pPr>
      <w:r w:rsidRPr="00E00B35">
        <w:rPr>
          <w:rFonts w:cs="Verdana"/>
          <w:color w:val="000000"/>
          <w:sz w:val="20"/>
          <w:szCs w:val="20"/>
        </w:rPr>
        <w:t>W 2020 roku rozpoczęte zostały prace dotyczące zmiany Studium uwarunkowań i kierunków zagospodarowania przestrzennego Wrocławia. Przedmiotem prac przygotowawczych były analizy dotyczące zakresu zmiany dokumentu oraz aktualnych wyzwań stojących przed miastem, które powinny zostać uwzględnione w nowym dokumencie. 22 października 2020 roku Rada Miejska Wrocławia podjęła uchwałę dotyczącą zmiany obowiązującego dokumentu. Opracowaniem objęty został cały obszar w granicach administracyjnych miasta. Tożsamość, równowaga oraz odporność na niespodziewane zdarzenia określone zostały jako filary nowego spojrzenia na Wrocław. Samą otwartość na transformacje i projekty cywilizacyjne należy traktować jako szansę na kreowanie współczesnej europejskiej metropolii, a jednocześnie miasta bliskiego mieszkańcom.</w:t>
      </w:r>
    </w:p>
    <w:p w:rsidR="001F7163" w:rsidRPr="00E00B35" w:rsidRDefault="001F7163" w:rsidP="00E00B35">
      <w:pPr>
        <w:pStyle w:val="Tekstpodstawowy3"/>
        <w:spacing w:after="0" w:line="312" w:lineRule="auto"/>
        <w:rPr>
          <w:rFonts w:cs="Verdana"/>
          <w:color w:val="000000"/>
          <w:sz w:val="20"/>
          <w:szCs w:val="20"/>
        </w:rPr>
      </w:pPr>
    </w:p>
    <w:p w:rsidR="006C7858" w:rsidRPr="00E00B35" w:rsidRDefault="006C7858" w:rsidP="00E00B35">
      <w:pPr>
        <w:pStyle w:val="Nagwek5"/>
        <w:rPr>
          <w:szCs w:val="20"/>
        </w:rPr>
      </w:pPr>
      <w:r w:rsidRPr="00E00B35">
        <w:rPr>
          <w:szCs w:val="20"/>
        </w:rPr>
        <w:t xml:space="preserve">MODELOWE PLANOWANIE WROCŁAWIA WSPÓLNIE Z MIESZKAŃCAMI </w:t>
      </w:r>
    </w:p>
    <w:p w:rsidR="006C7858" w:rsidRPr="00E00B35" w:rsidRDefault="006C7858" w:rsidP="00E00B35">
      <w:pPr>
        <w:pStyle w:val="Nagwek5"/>
        <w:rPr>
          <w:szCs w:val="20"/>
        </w:rPr>
      </w:pPr>
      <w:r w:rsidRPr="00E00B35">
        <w:rPr>
          <w:szCs w:val="20"/>
        </w:rPr>
        <w:t>– PROGRAM OSIEDLA KOMPLETNE</w:t>
      </w:r>
    </w:p>
    <w:p w:rsidR="006C7858" w:rsidRPr="00E00B35" w:rsidRDefault="006C7858" w:rsidP="00E00B35">
      <w:pPr>
        <w:pStyle w:val="Pa0"/>
        <w:spacing w:line="312" w:lineRule="auto"/>
        <w:rPr>
          <w:rFonts w:cs="Verdana"/>
          <w:color w:val="000000"/>
          <w:sz w:val="20"/>
          <w:szCs w:val="20"/>
        </w:rPr>
      </w:pPr>
      <w:r w:rsidRPr="00E00B35">
        <w:rPr>
          <w:rFonts w:cs="Verdana"/>
          <w:color w:val="000000"/>
          <w:sz w:val="20"/>
          <w:szCs w:val="20"/>
        </w:rPr>
        <w:t xml:space="preserve">Programem Osiedla Kompletne w roku 2020 objęte zostały trzy jednostki urbanistyczne – Nowy Dwór, Krzyki Zachód oraz Zakrzów Centrum, oznaczone w Studium odpowiednio symbolami E2, D10 i B22. Edycja stanowi kontynuację działań, które rozpoczęte zostały w 2019 roku fazą pilotażu, przeprowadzoną na czterech innych obszarach w mieście. </w:t>
      </w:r>
    </w:p>
    <w:p w:rsidR="006C7858" w:rsidRPr="00E00B35" w:rsidRDefault="006C7858" w:rsidP="00E00B35">
      <w:pPr>
        <w:pStyle w:val="Pa0"/>
        <w:spacing w:line="312" w:lineRule="auto"/>
        <w:rPr>
          <w:rFonts w:cs="Verdana"/>
          <w:color w:val="000000"/>
          <w:sz w:val="20"/>
          <w:szCs w:val="20"/>
        </w:rPr>
      </w:pPr>
      <w:r w:rsidRPr="00E00B35">
        <w:rPr>
          <w:rFonts w:cs="Verdana"/>
          <w:color w:val="000000"/>
          <w:sz w:val="20"/>
          <w:szCs w:val="20"/>
        </w:rPr>
        <w:t>Wytyczne przestrzenne na rzecz osiedli kompletnych wskazują kierunki doskonalenia przestrzeni i wspierania lokalnej społeczności, tak, aby mieszkańcom żyło się coraz lepiej. Wytyczne mają ułatwiać planowanie i koordynację podejmowanych inicjatyw. Jako wspólnie wypracowana baza kierunków i potrzeb rozwoju osiedla mogą być pomocne dla wszystkich, którzy chcą podejmować działania inwestycyjne lub realizować różne projekty społeczne czy kulturalne w skali osiedlowej. Wytyczne stanowią również podstawę dla Rad Osiedli i władz miasta w realizacji polityki rozwoju tych obszarów.</w:t>
      </w:r>
    </w:p>
    <w:p w:rsidR="006C7858" w:rsidRPr="00E00B35" w:rsidRDefault="006C7858" w:rsidP="00E00B35">
      <w:pPr>
        <w:pStyle w:val="Pa0"/>
        <w:spacing w:line="312" w:lineRule="auto"/>
        <w:rPr>
          <w:rFonts w:cs="Verdana"/>
          <w:color w:val="000000"/>
          <w:sz w:val="20"/>
          <w:szCs w:val="20"/>
        </w:rPr>
      </w:pPr>
      <w:r w:rsidRPr="00E00B35">
        <w:rPr>
          <w:rFonts w:cs="Verdana"/>
          <w:color w:val="000000"/>
          <w:sz w:val="20"/>
          <w:szCs w:val="20"/>
        </w:rPr>
        <w:t xml:space="preserve">Wytyczne składają się z ogólnej części tekstowej oraz części graficznej – mapy, na którą wprowadzane są różnego typu obiekty. Stworzona metodologia postępowania zakłada określenie możliwych ról i elementów wyposażenia każdego z tych miejsc, które formułowane są na indywidualnych kartach. W ten sposób projekty osiedli, stosując spójne podejście i operując porównywalnymi narzędziami, pozwalają na uchwycenie unikalnej specyfiki, tożsamości, różnorodności i potencjału miejsca. Dla wzmocnienia </w:t>
      </w:r>
      <w:r w:rsidRPr="00E00B35">
        <w:rPr>
          <w:rFonts w:cs="Verdana"/>
          <w:color w:val="000000"/>
          <w:sz w:val="20"/>
          <w:szCs w:val="20"/>
        </w:rPr>
        <w:lastRenderedPageBreak/>
        <w:t>tego efektu do edycji 2020, podobnie jak dla wcześniejszego pilotażu, włączone zostały obszary mocno się różniące.</w:t>
      </w:r>
    </w:p>
    <w:p w:rsidR="006C7858" w:rsidRPr="00E00B35" w:rsidRDefault="006C7858" w:rsidP="00E00B35">
      <w:pPr>
        <w:pStyle w:val="Pa0"/>
        <w:spacing w:line="312" w:lineRule="auto"/>
        <w:rPr>
          <w:rFonts w:cs="Verdana"/>
          <w:color w:val="000000"/>
          <w:sz w:val="20"/>
          <w:szCs w:val="20"/>
        </w:rPr>
      </w:pPr>
      <w:r w:rsidRPr="00E00B35">
        <w:rPr>
          <w:rFonts w:cs="Verdana"/>
          <w:color w:val="000000"/>
          <w:sz w:val="20"/>
          <w:szCs w:val="20"/>
        </w:rPr>
        <w:t xml:space="preserve">Stworzenie założeń przestrzennych i ustalenie treści kart wytycznych odbywa się na podstawie istniejących planów i zbiorów danych, analiz urbanistycznych oraz przeprowadzanych konsultacji społecznych. </w:t>
      </w:r>
    </w:p>
    <w:p w:rsidR="006C7858" w:rsidRPr="00E00B35" w:rsidRDefault="006C7858" w:rsidP="00E00B35">
      <w:pPr>
        <w:pStyle w:val="Pa0"/>
        <w:spacing w:line="312" w:lineRule="auto"/>
        <w:rPr>
          <w:rFonts w:cs="Verdana"/>
          <w:color w:val="000000"/>
          <w:sz w:val="20"/>
          <w:szCs w:val="20"/>
        </w:rPr>
      </w:pPr>
      <w:r w:rsidRPr="00E00B35">
        <w:rPr>
          <w:rFonts w:cs="Verdana"/>
          <w:color w:val="000000"/>
          <w:sz w:val="20"/>
          <w:szCs w:val="20"/>
        </w:rPr>
        <w:t>Pandemia koronawirusa utrudniła prowadzenie prac według wcześniej założonych zasad jednak przyczyniła się do wprowadzenia nowego, zaawansowanego narzędzia w procesie partycypacji. Próbując zrównoważyć ograniczenia dotyczące spotkań, aby nawiązać kontakt z mieszkańcami i uzyskać informacje o osiedlach, zbudowana została ogólnodostępna platforma mapowa, umożliwiająca zgłoszenie wniosku w przestrzeni, ze wskazaniem miejsca, którego, według wnioskodawcy, ma on dotyczyć. Rozwiązanie spotkało się z dużym zainteresowaniem lokalnej społeczności a wniesione treści zachowane zostały jako powszechnie dostępne on-line po zakończeniu konsultacji.</w:t>
      </w:r>
    </w:p>
    <w:p w:rsidR="006C7858" w:rsidRPr="00E00B35" w:rsidRDefault="006C7858" w:rsidP="00E00B35">
      <w:pPr>
        <w:pStyle w:val="Pa0"/>
        <w:spacing w:line="312" w:lineRule="auto"/>
        <w:rPr>
          <w:rFonts w:cs="Verdana"/>
          <w:color w:val="000000"/>
          <w:sz w:val="20"/>
          <w:szCs w:val="20"/>
        </w:rPr>
      </w:pPr>
      <w:r w:rsidRPr="00E00B35">
        <w:rPr>
          <w:rFonts w:cs="Verdana"/>
          <w:color w:val="000000"/>
          <w:sz w:val="20"/>
          <w:szCs w:val="20"/>
        </w:rPr>
        <w:t xml:space="preserve">Prace dotyczące Osiedli Kompletnych dla Nowego Dworu, Krzyków Zachód i Zakrzowa Centrum rozpoczęły się w trzecim kwartale 2020 roku, z końcem roku doprowadzone zostały do etapu, na którym rozpoczęto wewnętrzne konsultacje międzywydziałowe a zakończenie edycji nastąpi w 2021 roku. </w:t>
      </w:r>
    </w:p>
    <w:p w:rsidR="006C7858" w:rsidRPr="00E00B35" w:rsidRDefault="006C7858" w:rsidP="00E00B35">
      <w:pPr>
        <w:pStyle w:val="Pa0"/>
        <w:spacing w:line="312" w:lineRule="auto"/>
        <w:rPr>
          <w:rFonts w:cs="Verdana"/>
          <w:color w:val="000000"/>
          <w:sz w:val="20"/>
          <w:szCs w:val="20"/>
        </w:rPr>
      </w:pPr>
      <w:r w:rsidRPr="00E00B35">
        <w:rPr>
          <w:rFonts w:cs="Verdana"/>
          <w:color w:val="000000"/>
          <w:sz w:val="20"/>
          <w:szCs w:val="20"/>
        </w:rPr>
        <w:t xml:space="preserve">Jednocześnie podejmowane były działania dotyczące upowszechniania i wykorzystywania projektów Osiedli Kompletnych opracowanych w 2019 roku, w szczególności na rzecz współpracy międzywydziałowej i dialogu z lokalnymi społecznościami. Podsumowanie pilotażu prezentowane było na sesji Rady Miejskiej Wrocławia 23 stycznia 2020 roku. </w:t>
      </w:r>
    </w:p>
    <w:p w:rsidR="006C7858" w:rsidRPr="00E00B35" w:rsidRDefault="006C7858" w:rsidP="00E00B35">
      <w:pPr>
        <w:pStyle w:val="Tekstpodstawowy3"/>
        <w:spacing w:after="0" w:line="312" w:lineRule="auto"/>
        <w:rPr>
          <w:bCs/>
          <w:sz w:val="20"/>
          <w:szCs w:val="20"/>
        </w:rPr>
      </w:pPr>
    </w:p>
    <w:p w:rsidR="006C7858" w:rsidRPr="00E00B35" w:rsidRDefault="006C7858" w:rsidP="00E00B35">
      <w:pPr>
        <w:pStyle w:val="Nagwek5"/>
        <w:rPr>
          <w:szCs w:val="20"/>
        </w:rPr>
      </w:pPr>
      <w:r w:rsidRPr="00E00B35">
        <w:rPr>
          <w:szCs w:val="20"/>
        </w:rPr>
        <w:t>DZIAŁANIA ZWIĄZANE Z REALIZACJĄ ZADAŃ ZESPOŁU „NIEBIESKI STÓŁ”</w:t>
      </w:r>
    </w:p>
    <w:p w:rsidR="006C7858" w:rsidRPr="00E00B35" w:rsidRDefault="006C7858" w:rsidP="00BC64AB">
      <w:pPr>
        <w:numPr>
          <w:ilvl w:val="0"/>
          <w:numId w:val="274"/>
        </w:numPr>
        <w:tabs>
          <w:tab w:val="left" w:pos="426"/>
        </w:tabs>
        <w:spacing w:after="0" w:line="312" w:lineRule="auto"/>
        <w:ind w:left="426" w:hanging="426"/>
        <w:rPr>
          <w:szCs w:val="20"/>
        </w:rPr>
      </w:pPr>
      <w:r w:rsidRPr="00E00B35">
        <w:rPr>
          <w:bCs/>
          <w:szCs w:val="20"/>
        </w:rPr>
        <w:t>Analiza</w:t>
      </w:r>
      <w:r w:rsidRPr="00E00B35">
        <w:rPr>
          <w:szCs w:val="20"/>
        </w:rPr>
        <w:t xml:space="preserve"> możliwości funkcjonowania tramwaju wodnego na rzece Odrze:</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sporządzenie opracowania dotyczącego trasy pilotażowej tramwaju wodnego wraz z lokalizacją kilkunastu przystanków – uzyskanie opinii od Wydziałów UM Wrocławia i jednostek pomocniczych Miasta oraz od Państwowego Gospodarstwa Wodnego Wody Polskie RZGW oraz od Urzędu Żeglugi Śródlądowej we Wrocławiu,</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złożenie wniosku w ramach programu europejskiego EUCF o środki na sporządzenie Koncepcji Inwestycyjnej systemu tramwaju wodnego we Wrocławiu,</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opracowanie zakresu Koncepcji Inwestycyjnej systemu tramwaju wodnego we Wrocławiu;</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współpraca z Pracownikami Uniwersytetu Ekonomicznego we Wrocławiu przy ankiecie dotyczącej preferencji mieszkańców w kontekście wprowadzenia tramwaju wodnego na Wrocławski Węzeł Wodny (opiniowanie drzewa ankietowego);</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Mapa Koordynacyjna lokalizowania obiektów pływających na gruntach pokrytych wodami oraz zagospodarowania obszarów nadrzecznych – opracowanie danych w zakresie możliwości lokalizowania obiektów o różnych funkcjach przy nabrzeżach na Wrocławskim Węźle Wodnym (spotkania warsztatowe z Pracownikami </w:t>
      </w:r>
      <w:r w:rsidRPr="00E00B35">
        <w:rPr>
          <w:bCs/>
          <w:szCs w:val="20"/>
        </w:rPr>
        <w:lastRenderedPageBreak/>
        <w:t>Państwowego Gospodarstwa Wodnego Wody Polskie RZGW oraz Urzędu Żeglugi Śródlądowej we Wrocławiu);</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Sporządzenie opracowania dotyczącego lokalizacji miejsc do obsługi jednostek pływających w zakresie poboru wody, prądu oraz zrzutu nieczystości, a także możliwości tankowania - uzyskanie opinii od Wydziałów UM Wrocławia i jednostek pomocniczych Miasta oraz od Państwowego Gospodarstwa Wodnego Wody Polskie RZGW oraz od Urzędu Żeglugi Śródlądowej we Wrocławiu;</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Podpisanie listu intencyjnego w sprawie współpracy na rzecz rozwoju żeglugi śródlądowej na Wrocławskim Węźle Wodnym pomiędzy Prezydentem i Prezesem Państwowego Gospodarstwa Wodnego Wody Polskie;</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Opiniowanie lokalizacji obiektów pływających na gruntach pokrytych wodami oraz zagospodarowania terenów nadrzecznych – kilkanaście wniosków przesłanych </w:t>
      </w:r>
      <w:r w:rsidRPr="00E00B35">
        <w:rPr>
          <w:bCs/>
          <w:szCs w:val="20"/>
        </w:rPr>
        <w:br/>
        <w:t>z Państwowego Gospodarstwa Wodnego Wody Polskie RZGW we Wrocławiu oraz wnioski opiniowane wewnątrz UM Wrocławia;</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Analiza możliwości lokalizacyjnych dla nowej siedziby Technikum Żeglugi Śródlądowej – propozycja lokalizacji przesłana do MGMiŻŚ;</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Koordynacja działań w zakresie oznakowania przegród dróg wodnych oraz akwenów i bulwarów należących do Miasta (zakończenie etapu I – zawieszonych zostało ponad 40 znaków);</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Uczestnictwo w spotkaniach Zespołu ds. Żeglugi na Odrze oraz w spotkaniach Zespołu ds. żeglugi śródlądowej i turystyki wodnej;</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Współpraca przy organizacji Dnia Marynarza Rzecznego – lipiec 2020 r.;</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Koordynacja prac nad zapisami dotyczącymi zagospodarowania terenów zlokalizowanych w obszarach szczególnego zagrożenia powodzią w sporządzanych miejscowych planach zagospodarowania przestrzennego.</w:t>
      </w:r>
    </w:p>
    <w:p w:rsidR="006C7858" w:rsidRPr="00E00B35" w:rsidRDefault="006C7858" w:rsidP="00E00B35">
      <w:pPr>
        <w:tabs>
          <w:tab w:val="left" w:pos="426"/>
        </w:tabs>
        <w:spacing w:after="0" w:line="312" w:lineRule="auto"/>
        <w:ind w:left="426"/>
        <w:rPr>
          <w:bCs/>
          <w:szCs w:val="20"/>
        </w:rPr>
      </w:pPr>
    </w:p>
    <w:p w:rsidR="006C7858" w:rsidRPr="00E00B35" w:rsidRDefault="006C7858" w:rsidP="00E00B35">
      <w:pPr>
        <w:pStyle w:val="Nagwek5"/>
        <w:rPr>
          <w:szCs w:val="20"/>
        </w:rPr>
      </w:pPr>
      <w:r w:rsidRPr="00E00B35">
        <w:rPr>
          <w:szCs w:val="20"/>
        </w:rPr>
        <w:t>DZIAŁANIA ZWIĄZANE Z MIEJSCOWYMI PLANAMI ZAGOSPODAROWANIA PRZESTRZENNEGO</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Koncepcje, analizy przygotowywane w związku z projektami uchwał w sprawie przystąpień do sporządzenia projektów miejscowych planów zagospodarowania przestrzennego;</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Przygotowywanie uchwał w sprawie przystąpień do sporządzenia miejscowych planów zagospodarowania przestrzennego;</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Przygotowanie zarządzeń Prezydenta Wrocławia;</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Opracowywanie projektów miejscowych planów;</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Wizualizacje dla miejscowych planów zagospodarowania przestrzennego, wykonane w programach SketchUp i ArcScene;</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Analizy własnościowe i powierzchniowe na potrzeby sporządzania prognozy skutków finansowych uchwalenia miejscowych planów zagospodarowania przestrzennego;</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Prace związane z weryfikacją i aktualizacją wzorców pism i uchwał w celu dostosowania do obowiązujących przepisów prawa, zmian ustaleń wynikających z potrzeb kształtowania standardu techniki zapisu treści pism i uchwał oraz treści graficznej rysunków planów;</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lastRenderedPageBreak/>
        <w:t>Przygotowanie opinii pomocniczych;</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Przygotowywanie obwieszczeń wraz z tekstami jednolitymi uchwał w sprawie uchwalenia miejscowych planów zagospodarowania przestrzennego;</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Udział w posiedzeniach komisji Rady Miejskiej Wrocławia;</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Przygotowanie wyjaśnień dla Wojewody a także stanowisk BRW oraz pism procesowych w sprawach sądowych;</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Przygotowywanie odpowiedzi na interpelacje i petycje Radnych;</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Prowadzenie i udostępnianie w ramach SIP Wrocławia rejestru uchwalonych planów miejscowych oraz informacji o sporządzanych planach miejscowych;</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Sporządzenie analiz ekonomicznych do 54 przystąpień do mpzp i 26 prognoz skutków finansowych uchwalenia mpzp;</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Sporządzenie 54 analiz społecznych dla planowanych miejscowych planów zagospodarowania przestrzennego;</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Koordynacja i organizacja prac oraz spotkań Miejskiej Komisji Urbanistyczno – Architektonicznej.</w:t>
      </w:r>
    </w:p>
    <w:p w:rsidR="006C7858" w:rsidRPr="00E00B35" w:rsidRDefault="006C7858" w:rsidP="00E00B35">
      <w:pPr>
        <w:pStyle w:val="Tekstpodstawowy3"/>
        <w:spacing w:after="0" w:line="312" w:lineRule="auto"/>
        <w:ind w:left="720"/>
        <w:rPr>
          <w:iCs/>
          <w:sz w:val="20"/>
          <w:szCs w:val="20"/>
        </w:rPr>
      </w:pPr>
    </w:p>
    <w:p w:rsidR="006C7858" w:rsidRPr="00E00B35" w:rsidRDefault="006C7858" w:rsidP="00E00B35">
      <w:pPr>
        <w:pStyle w:val="Tekstpodstawowy3"/>
        <w:spacing w:after="0" w:line="312" w:lineRule="auto"/>
        <w:ind w:left="720"/>
        <w:rPr>
          <w:iCs/>
          <w:sz w:val="20"/>
          <w:szCs w:val="20"/>
        </w:rPr>
      </w:pPr>
      <w:r w:rsidRPr="00E00B35">
        <w:rPr>
          <w:iCs/>
          <w:sz w:val="20"/>
          <w:szCs w:val="20"/>
        </w:rPr>
        <w:t>Prace Komisji w roku 2020</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7"/>
        <w:gridCol w:w="1559"/>
      </w:tblGrid>
      <w:tr w:rsidR="006C7858" w:rsidRPr="00E00B35" w:rsidTr="001F7163">
        <w:tc>
          <w:tcPr>
            <w:tcW w:w="7797" w:type="dxa"/>
            <w:shd w:val="clear" w:color="auto" w:fill="FFFFFF"/>
            <w:vAlign w:val="center"/>
          </w:tcPr>
          <w:p w:rsidR="006C7858" w:rsidRPr="00E00B35" w:rsidRDefault="006C7858" w:rsidP="00E00B35">
            <w:pPr>
              <w:spacing w:after="0" w:line="312" w:lineRule="auto"/>
              <w:rPr>
                <w:b/>
                <w:szCs w:val="20"/>
                <w:lang w:eastAsia="pl-PL"/>
              </w:rPr>
            </w:pPr>
          </w:p>
          <w:p w:rsidR="006C7858" w:rsidRPr="00E00B35" w:rsidRDefault="006C7858" w:rsidP="00E00B35">
            <w:pPr>
              <w:spacing w:after="0" w:line="312" w:lineRule="auto"/>
              <w:rPr>
                <w:b/>
                <w:szCs w:val="20"/>
                <w:lang w:eastAsia="pl-PL"/>
              </w:rPr>
            </w:pPr>
            <w:r w:rsidRPr="00E00B35">
              <w:rPr>
                <w:b/>
                <w:szCs w:val="20"/>
                <w:lang w:eastAsia="pl-PL"/>
              </w:rPr>
              <w:t>MKUA</w:t>
            </w:r>
          </w:p>
          <w:p w:rsidR="006C7858" w:rsidRPr="00E00B35" w:rsidRDefault="006C7858" w:rsidP="00E00B35">
            <w:pPr>
              <w:spacing w:after="0" w:line="312" w:lineRule="auto"/>
              <w:rPr>
                <w:b/>
                <w:szCs w:val="20"/>
                <w:lang w:eastAsia="pl-PL"/>
              </w:rPr>
            </w:pPr>
          </w:p>
        </w:tc>
        <w:tc>
          <w:tcPr>
            <w:tcW w:w="1559" w:type="dxa"/>
            <w:shd w:val="clear" w:color="auto" w:fill="FFFFFF"/>
            <w:vAlign w:val="center"/>
          </w:tcPr>
          <w:p w:rsidR="006C7858" w:rsidRPr="00E00B35" w:rsidRDefault="006C7858" w:rsidP="00E00B35">
            <w:pPr>
              <w:spacing w:after="0" w:line="312" w:lineRule="auto"/>
              <w:rPr>
                <w:b/>
                <w:szCs w:val="20"/>
                <w:lang w:eastAsia="pl-PL"/>
              </w:rPr>
            </w:pPr>
            <w:r w:rsidRPr="00E00B35">
              <w:rPr>
                <w:b/>
                <w:szCs w:val="20"/>
                <w:lang w:eastAsia="pl-PL"/>
              </w:rPr>
              <w:t>2020</w:t>
            </w:r>
          </w:p>
        </w:tc>
      </w:tr>
      <w:tr w:rsidR="006C7858" w:rsidRPr="00E00B35" w:rsidTr="001F7163">
        <w:tc>
          <w:tcPr>
            <w:tcW w:w="7797" w:type="dxa"/>
          </w:tcPr>
          <w:p w:rsidR="006C7858" w:rsidRPr="00E00B35" w:rsidRDefault="006C7858" w:rsidP="00E00B35">
            <w:pPr>
              <w:spacing w:after="0" w:line="312" w:lineRule="auto"/>
              <w:rPr>
                <w:szCs w:val="20"/>
                <w:lang w:eastAsia="pl-PL"/>
              </w:rPr>
            </w:pPr>
            <w:r w:rsidRPr="00E00B35">
              <w:rPr>
                <w:szCs w:val="20"/>
                <w:lang w:eastAsia="pl-PL"/>
              </w:rPr>
              <w:t xml:space="preserve">Liczba posiedzeń Komisji </w:t>
            </w:r>
          </w:p>
        </w:tc>
        <w:tc>
          <w:tcPr>
            <w:tcW w:w="1559" w:type="dxa"/>
          </w:tcPr>
          <w:p w:rsidR="006C7858" w:rsidRPr="00E00B35" w:rsidRDefault="006C7858" w:rsidP="00E00B35">
            <w:pPr>
              <w:spacing w:after="0" w:line="312" w:lineRule="auto"/>
              <w:rPr>
                <w:szCs w:val="20"/>
                <w:lang w:eastAsia="pl-PL"/>
              </w:rPr>
            </w:pPr>
            <w:r w:rsidRPr="00E00B35">
              <w:rPr>
                <w:szCs w:val="20"/>
                <w:lang w:eastAsia="pl-PL"/>
              </w:rPr>
              <w:t>10 (w tym 7 zdalnych od kwietnia 2020 roku)</w:t>
            </w:r>
          </w:p>
          <w:p w:rsidR="006C7858" w:rsidRPr="00E00B35" w:rsidRDefault="006C7858" w:rsidP="00E00B35">
            <w:pPr>
              <w:spacing w:after="0" w:line="312" w:lineRule="auto"/>
              <w:rPr>
                <w:szCs w:val="20"/>
                <w:lang w:eastAsia="pl-PL"/>
              </w:rPr>
            </w:pPr>
          </w:p>
        </w:tc>
      </w:tr>
      <w:tr w:rsidR="006C7858" w:rsidRPr="00E00B35" w:rsidTr="001F7163">
        <w:tc>
          <w:tcPr>
            <w:tcW w:w="7797" w:type="dxa"/>
          </w:tcPr>
          <w:p w:rsidR="006C7858" w:rsidRPr="00E00B35" w:rsidRDefault="006C7858" w:rsidP="00E00B35">
            <w:pPr>
              <w:spacing w:after="0" w:line="312" w:lineRule="auto"/>
              <w:rPr>
                <w:szCs w:val="20"/>
                <w:lang w:eastAsia="pl-PL"/>
              </w:rPr>
            </w:pPr>
            <w:r w:rsidRPr="00E00B35">
              <w:rPr>
                <w:szCs w:val="20"/>
                <w:lang w:eastAsia="pl-PL"/>
              </w:rPr>
              <w:t xml:space="preserve">Liczba przekazanych Komisji informacji o przystąpieniach </w:t>
            </w:r>
          </w:p>
          <w:p w:rsidR="006C7858" w:rsidRPr="00E00B35" w:rsidRDefault="006C7858" w:rsidP="00E00B35">
            <w:pPr>
              <w:spacing w:after="0" w:line="312" w:lineRule="auto"/>
              <w:rPr>
                <w:szCs w:val="20"/>
                <w:lang w:eastAsia="pl-PL"/>
              </w:rPr>
            </w:pPr>
            <w:r w:rsidRPr="00E00B35">
              <w:rPr>
                <w:szCs w:val="20"/>
                <w:lang w:eastAsia="pl-PL"/>
              </w:rPr>
              <w:t>do sporządzenia mpzp</w:t>
            </w:r>
          </w:p>
        </w:tc>
        <w:tc>
          <w:tcPr>
            <w:tcW w:w="1559" w:type="dxa"/>
          </w:tcPr>
          <w:p w:rsidR="006C7858" w:rsidRPr="00E00B35" w:rsidRDefault="006C7858" w:rsidP="00E00B35">
            <w:pPr>
              <w:spacing w:after="0" w:line="312" w:lineRule="auto"/>
              <w:rPr>
                <w:szCs w:val="20"/>
                <w:lang w:eastAsia="pl-PL"/>
              </w:rPr>
            </w:pPr>
            <w:r w:rsidRPr="00E00B35">
              <w:rPr>
                <w:szCs w:val="20"/>
                <w:lang w:eastAsia="pl-PL"/>
              </w:rPr>
              <w:t>31</w:t>
            </w:r>
          </w:p>
        </w:tc>
      </w:tr>
      <w:tr w:rsidR="006C7858" w:rsidRPr="00E00B35" w:rsidTr="001F7163">
        <w:tc>
          <w:tcPr>
            <w:tcW w:w="7797" w:type="dxa"/>
          </w:tcPr>
          <w:p w:rsidR="006C7858" w:rsidRPr="00E00B35" w:rsidRDefault="006C7858" w:rsidP="00E00B35">
            <w:pPr>
              <w:spacing w:after="0" w:line="312" w:lineRule="auto"/>
              <w:rPr>
                <w:szCs w:val="20"/>
                <w:lang w:eastAsia="pl-PL"/>
              </w:rPr>
            </w:pPr>
            <w:r w:rsidRPr="00E00B35">
              <w:rPr>
                <w:szCs w:val="20"/>
                <w:lang w:eastAsia="pl-PL"/>
              </w:rPr>
              <w:t>Liczba przekazanych Komisji projektów mpzp do zaopiniowania</w:t>
            </w:r>
          </w:p>
        </w:tc>
        <w:tc>
          <w:tcPr>
            <w:tcW w:w="1559" w:type="dxa"/>
          </w:tcPr>
          <w:p w:rsidR="006C7858" w:rsidRPr="00E00B35" w:rsidRDefault="006C7858" w:rsidP="00E00B35">
            <w:pPr>
              <w:spacing w:after="0" w:line="312" w:lineRule="auto"/>
              <w:rPr>
                <w:szCs w:val="20"/>
                <w:lang w:eastAsia="pl-PL"/>
              </w:rPr>
            </w:pPr>
            <w:r w:rsidRPr="00E00B35">
              <w:rPr>
                <w:szCs w:val="20"/>
                <w:lang w:eastAsia="pl-PL"/>
              </w:rPr>
              <w:t>30</w:t>
            </w:r>
          </w:p>
          <w:p w:rsidR="006C7858" w:rsidRPr="00E00B35" w:rsidRDefault="006C7858" w:rsidP="00E00B35">
            <w:pPr>
              <w:spacing w:after="0" w:line="312" w:lineRule="auto"/>
              <w:rPr>
                <w:szCs w:val="20"/>
                <w:lang w:eastAsia="pl-PL"/>
              </w:rPr>
            </w:pPr>
          </w:p>
        </w:tc>
      </w:tr>
      <w:tr w:rsidR="006C7858" w:rsidRPr="00E00B35" w:rsidTr="001F7163">
        <w:tc>
          <w:tcPr>
            <w:tcW w:w="7797" w:type="dxa"/>
          </w:tcPr>
          <w:p w:rsidR="006C7858" w:rsidRPr="00E00B35" w:rsidRDefault="006C7858" w:rsidP="00E00B35">
            <w:pPr>
              <w:spacing w:after="0" w:line="312" w:lineRule="auto"/>
              <w:rPr>
                <w:szCs w:val="20"/>
                <w:lang w:eastAsia="pl-PL"/>
              </w:rPr>
            </w:pPr>
            <w:r w:rsidRPr="00E00B35">
              <w:rPr>
                <w:szCs w:val="20"/>
                <w:lang w:eastAsia="pl-PL"/>
              </w:rPr>
              <w:t>Liczba wydanych przez Komisję opinii</w:t>
            </w:r>
          </w:p>
        </w:tc>
        <w:tc>
          <w:tcPr>
            <w:tcW w:w="1559" w:type="dxa"/>
          </w:tcPr>
          <w:p w:rsidR="006C7858" w:rsidRPr="00E00B35" w:rsidRDefault="006C7858" w:rsidP="00E00B35">
            <w:pPr>
              <w:spacing w:after="0" w:line="312" w:lineRule="auto"/>
              <w:rPr>
                <w:szCs w:val="20"/>
                <w:lang w:eastAsia="pl-PL"/>
              </w:rPr>
            </w:pPr>
            <w:r w:rsidRPr="00E00B35">
              <w:rPr>
                <w:szCs w:val="20"/>
                <w:lang w:eastAsia="pl-PL"/>
              </w:rPr>
              <w:t>30</w:t>
            </w:r>
          </w:p>
          <w:p w:rsidR="006C7858" w:rsidRPr="00E00B35" w:rsidRDefault="006C7858" w:rsidP="00E00B35">
            <w:pPr>
              <w:spacing w:after="0" w:line="312" w:lineRule="auto"/>
              <w:rPr>
                <w:szCs w:val="20"/>
                <w:lang w:eastAsia="pl-PL"/>
              </w:rPr>
            </w:pPr>
          </w:p>
        </w:tc>
      </w:tr>
    </w:tbl>
    <w:p w:rsidR="006C7858" w:rsidRPr="00E00B35" w:rsidRDefault="006C7858" w:rsidP="00E00B35">
      <w:pPr>
        <w:pStyle w:val="Tekstpodstawowy3"/>
        <w:spacing w:after="0" w:line="312" w:lineRule="auto"/>
        <w:ind w:left="720"/>
        <w:rPr>
          <w:sz w:val="20"/>
          <w:szCs w:val="20"/>
        </w:rPr>
      </w:pPr>
    </w:p>
    <w:p w:rsidR="006C7858" w:rsidRPr="00E00B35" w:rsidRDefault="006C7858" w:rsidP="00E00B35">
      <w:pPr>
        <w:pStyle w:val="Nagwek5"/>
        <w:rPr>
          <w:szCs w:val="20"/>
        </w:rPr>
      </w:pPr>
      <w:r w:rsidRPr="00E00B35">
        <w:rPr>
          <w:szCs w:val="20"/>
        </w:rPr>
        <w:t>ANALIZY FUNKCJONALNO-PRZESTRZENNE</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Prace analityczne uwzględniające demografię i rozwój mieszkalnictwa niezbędne do planowania nowych inwestycji infrastruktury społecznej;</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Analizy przestrzenne w celu określenia możliwości lokalizacji: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nowych obiektów edukacji,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szpitali i hospicjów,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skwerów,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punktów gastronomicznych,</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szaletów na terenach zieleni i bulwarów;</w:t>
      </w:r>
    </w:p>
    <w:p w:rsidR="006C7858" w:rsidRPr="00E00B35" w:rsidRDefault="006C7858" w:rsidP="00BC64AB">
      <w:pPr>
        <w:pStyle w:val="Akapitzlist"/>
        <w:numPr>
          <w:ilvl w:val="0"/>
          <w:numId w:val="277"/>
        </w:numPr>
        <w:spacing w:after="0" w:line="312" w:lineRule="auto"/>
        <w:ind w:left="426"/>
        <w:contextualSpacing w:val="0"/>
        <w:rPr>
          <w:b/>
          <w:szCs w:val="20"/>
        </w:rPr>
      </w:pPr>
      <w:r w:rsidRPr="00E00B35">
        <w:rPr>
          <w:b/>
          <w:szCs w:val="20"/>
        </w:rPr>
        <w:t>Sporządzenie koncepcji zagospodarowania:</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terenu w rejonie zajezdni przy ul. Legnickiej,</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lastRenderedPageBreak/>
        <w:t>centrum treningowego WKS Śląsk Wrocław na Żernikach,</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obszaru FAT i Hutmen w rejonie ul. Grabiszyńskiej i ul. Klecińskiej,</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obszaru w rejonie Dworca Świebodzkiego,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lokalnego centrum w rejonie ul. Konduktorskiej wraz z analizą „Centrum Edukacji Chrześcijańskiej”,</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ogrodów działkowych w rejonie alei Architektów i ulicy Szczecińskiej wraz analizą wariantów lokalizacji,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terenów poszpitalnych na obszarze Wrocławia,</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lotniczej bazy załadunkowo – rozładunkowej APOD Wrocław-Strachowice;</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Współpraca z Radą Osiedla Polanowice-Poświętne-Ligota w zakresie analizy obszarów problemowych oraz potrzeb dotyczących przystąpień do sporządzenia planów miejscowych;</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Analiza nieruchomości KOWR na terenie miasta;</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Analiza na potrzeby wydzielenia działki pod plac między ul. Św. Antoniego, a ul. Kazimierza Wielkiego we Wrocławiu</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Analizy przestrzenne propozycji zmian granic obwodów szkół podstawowych.</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Prezentacja rozmieszczenia nieruchomości publicznych wraz z przygotowaniem zestawienia gruntów, dla których w mpzp ustalono klasę przeznaczenia szpitale i pomoc społeczną.</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Wyszukanie propozycji nieruchomości na potrzeby: nowej przychodni WCZ, budowy nowego ośrodka Kardiochirurgii - nowego obiektu szpitalnego - Szpital Centrum - Chorób Serca.</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Przygotowanie analizy dla przedszkoli i punktów przedszkolnych lokalizowanych na małych działkach.</w:t>
      </w:r>
    </w:p>
    <w:p w:rsidR="006C7858" w:rsidRPr="00E00B35" w:rsidRDefault="006C7858" w:rsidP="00E00B35">
      <w:pPr>
        <w:pStyle w:val="Akapitzlist"/>
        <w:spacing w:after="0" w:line="312" w:lineRule="auto"/>
        <w:ind w:left="1080"/>
        <w:rPr>
          <w:rFonts w:cs="Helv"/>
          <w:b/>
          <w:bCs/>
          <w:color w:val="000000"/>
          <w:szCs w:val="20"/>
        </w:rPr>
      </w:pPr>
    </w:p>
    <w:p w:rsidR="006C7858" w:rsidRPr="00E00B35" w:rsidRDefault="006C7858" w:rsidP="00E00B35">
      <w:pPr>
        <w:pStyle w:val="Nagwek5"/>
        <w:rPr>
          <w:szCs w:val="20"/>
        </w:rPr>
      </w:pPr>
      <w:r w:rsidRPr="00E00B35">
        <w:rPr>
          <w:szCs w:val="20"/>
        </w:rPr>
        <w:t>POZOSTAŁE DZIAŁANIA</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Współpraca z Wydziałem Obsługi Urzędu w przygotowaniu zleceń dotyczących publikacji w lokalnej prasie ogłoszeń Prezydenta Wrocławia związanych z procedurą planistyczną o przystąpieniu do sporządzania mpzp i wyłożeniu do publicznego wglądu projektów mpzp (119 ogłoszeń);</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Współpraca z redakcją Biuletynu Informacji Publicznej Urzędu Miejskiego w zakresie zamieszczania i aktualizowania w Biuletynie informacji dot. mpzp  - plany w toku;</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Zamieszczanie w BIP Zarządzeń Prezydenta w sprawie rozpatrzenia wniosków i uwag wniesionych do projektów mpzp;</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Przygotowywanie, przekazywanie i publikowanie informacji na stronach internetowych, odpowiadanie na okresowo wysyłane przez redakcję BIP e-maile dot. sprawdzenia i zaktualizowania stron BIP;</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Współpraca z Biurem Rady Miejskiej – przekazywanie ogłoszeń o przystąpieniach </w:t>
      </w:r>
      <w:r w:rsidRPr="00E00B35">
        <w:rPr>
          <w:bCs/>
          <w:szCs w:val="20"/>
        </w:rPr>
        <w:br/>
        <w:t>i wyłożeniach projektów mpzp zamieszczonych w BIP;</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Uzupełnianie zasobu kart informacyjnych w wykazie danych o środowisku i jego ochronie umieszczonych w BIP, wprowadzenie i opublikowanie 184 kart informacyjnych;</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lastRenderedPageBreak/>
        <w:t>Aktualizacja i przygotowanie informacji o zmianach dotyczących wezwań do usunięcia naruszenia interesu prawnego, planów w toku postępowania sądowego, planów miejscowych lub ich części unieważnionych wyrokiem sądu oraz rozstrzygnięć nadzorczych Wojewody Dolnośląskiego;</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Prace geodezyjno-kartograficzne:</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pozyskiwanie wejściowych materiałów z zasobu geodezyjno-kartograficznego niezbędnych do sporządzenia mpzp i innych opracowań planistycznych,</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sporządzanie roboczych wykazów właścicieli i władających dla potrzeb mpzp </w:t>
      </w:r>
      <w:r w:rsidRPr="00E00B35">
        <w:rPr>
          <w:szCs w:val="20"/>
        </w:rPr>
        <w:br/>
        <w:t>i innych opracowań planistycznych,</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sporządzanie analiz: własności wybranych terenów, terenów pod kątem konieczności sporządzania wniosku o zmianę przeznaczenia na cele nieleśne, terenów zamkniętych, propozycji lokalizacji przestrzennych, danych geodezyjnych działek dla potrzeb lokalizacji w studium lub mpzp, nieruchomości pod względem lokalizacji (mpzp),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sprawdzanie stanu prawnego nieruchomości w Wydziale Ksiąg Wieczystych Sądu Rejonowego.</w:t>
      </w:r>
    </w:p>
    <w:p w:rsidR="006C7858" w:rsidRPr="00E00B35" w:rsidRDefault="006C7858" w:rsidP="00E00B35">
      <w:pPr>
        <w:pStyle w:val="Tekstpodstawowy3"/>
        <w:spacing w:after="0" w:line="312" w:lineRule="auto"/>
        <w:ind w:left="644"/>
        <w:rPr>
          <w:sz w:val="20"/>
          <w:szCs w:val="20"/>
        </w:rPr>
      </w:pPr>
    </w:p>
    <w:p w:rsidR="006C7858" w:rsidRPr="00E00B35" w:rsidRDefault="006C7858" w:rsidP="00E00B35">
      <w:pPr>
        <w:pStyle w:val="Nagwek5"/>
        <w:rPr>
          <w:szCs w:val="20"/>
        </w:rPr>
      </w:pPr>
      <w:r w:rsidRPr="00E00B35">
        <w:rPr>
          <w:szCs w:val="20"/>
        </w:rPr>
        <w:t>INNE</w:t>
      </w:r>
    </w:p>
    <w:p w:rsidR="006C7858" w:rsidRPr="00E00B35" w:rsidRDefault="006C7858" w:rsidP="00BC64AB">
      <w:pPr>
        <w:pStyle w:val="Tekstpodstawowy3"/>
        <w:numPr>
          <w:ilvl w:val="0"/>
          <w:numId w:val="276"/>
        </w:numPr>
        <w:tabs>
          <w:tab w:val="num" w:pos="322"/>
        </w:tabs>
        <w:spacing w:after="0" w:line="312" w:lineRule="auto"/>
        <w:ind w:left="426" w:hanging="426"/>
        <w:rPr>
          <w:sz w:val="20"/>
          <w:szCs w:val="20"/>
        </w:rPr>
      </w:pPr>
      <w:r w:rsidRPr="00E00B35">
        <w:rPr>
          <w:sz w:val="20"/>
          <w:szCs w:val="20"/>
        </w:rPr>
        <w:t>Udział w zadaniach Zielonego Stołu - prace</w:t>
      </w:r>
      <w:r w:rsidRPr="00E00B35">
        <w:rPr>
          <w:bCs/>
          <w:sz w:val="20"/>
          <w:szCs w:val="20"/>
        </w:rPr>
        <w:t xml:space="preserve"> doty</w:t>
      </w:r>
      <w:r w:rsidRPr="00E00B35">
        <w:rPr>
          <w:sz w:val="20"/>
          <w:szCs w:val="20"/>
        </w:rPr>
        <w:t>czące:</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gospodarowania wodami opadowymi we Wrocławiu we współpracy z Wydziałem Inżynierii Miejskiej, Miejskim Przedsiębiorstwem Wodociągów i Kanalizacji, Wydziałem Wody i Energii, Wydziałem Środowiska i Rolnictwa (realizacja Zarządzenia nr 1158/19 Prezydenta Wrocławia z dnia 17 czerwca 2019 r. w sprawie gospodarowania wodami opadowymi we Wrocławiu,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projektu Program Mieszkaniowy, weryfikacja informacji udostępnianej w ramach mapy Serwisu Informacji Przestrzennej Wrocławia (SIP) oraz na stronie Biuletynu Informacji Publicznej (BIP) pod kątem wprowadzenia zmian treści graficznych i opisowych mających na celu aktualizację informacji dotyczących Programu,</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planu adaptacji do zmian klimatu w miastach powyżej 100 tys. mieszkańców dla Wrocławia (MPA) – analiza raportu z konsultacji społecznych w zakresie udzielonych w trakcie konsultacji odpowiedzi ekspertów ze strony Urzędu Miejskiego Wrocławia;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projektu „Plan Zazieleniania Miasta Wrocławia” - dokumencie strategicznym, który zbiera i wskazuje kierunki wszelkich działań Miasta w zakresie przyrody, jej inwentaryzacji, analizy, ochrony, planowania i realizacji, a także metody ewaluacji tych działań. Działania podjęto zgodnie z wymogami zawartymi w „Unijnej Strategii na Rzecz Bioróżnorodności 2030 z dnia 20 maja 2020 r.”, która zakłada odbudowę bioróżnorodności biologicznej w Europie z korzyścią dla ludzi, klimatu i planety;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„Zielonej Karty” dla osiedla Maślice;</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wsparcia w sporządzeniu „Programu ochrony środowiska dla miasta Wrocławia na lata 2021-2025 z perspektywą do roku 2030”; </w:t>
      </w:r>
    </w:p>
    <w:p w:rsidR="006C7858" w:rsidRPr="00E00B35" w:rsidRDefault="006C7858" w:rsidP="00BC64AB">
      <w:pPr>
        <w:pStyle w:val="Tekstpodstawowy3"/>
        <w:numPr>
          <w:ilvl w:val="0"/>
          <w:numId w:val="276"/>
        </w:numPr>
        <w:spacing w:after="0" w:line="312" w:lineRule="auto"/>
        <w:ind w:left="426" w:hanging="426"/>
        <w:rPr>
          <w:rFonts w:cs="Helv"/>
          <w:b/>
          <w:sz w:val="20"/>
          <w:szCs w:val="20"/>
        </w:rPr>
      </w:pPr>
      <w:r w:rsidRPr="00E00B35">
        <w:rPr>
          <w:rFonts w:cs="Helv"/>
          <w:sz w:val="20"/>
          <w:szCs w:val="20"/>
        </w:rPr>
        <w:lastRenderedPageBreak/>
        <w:t>Udział 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szkoleniu online Narodowego Instytutu Samorządu Terytorialnego dotyczącego „Prawnych i ekonomicznych aspektów uchwalenia miejscowych planów zagospodarowania przestrzennego”,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szkoleniu (w formie warsztatowej) dla pracowników administracji publicznej, wykonujących zadania dotyczące planowania przestrzennego i procesu inwestycyjno – budowlanego, w zakresie dostępności przestrzeni i budynków dla osób z niepełnosprawnościami, w tym projektowania uniwersalnego realizowanym w ramach projektu „Bliżej dostępności”,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webinarium „Wykorzystanie narzędzi do cyfryzacji aktów planowania przestrzennego (APP) zgodnie z obowiązującymi przepisami prawa”;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webinarium „Zielone dachy”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pracach dotyczących zintegrowanych działań i współpracy na rzecz poprawy jakości klimatu akustycznego na terenie Wrocławia (realizacja Zarządzenia Prezydenta Wrocławia nr 391/19 z dnia 11 lutego 2019 r. w sprawie powołania Zespołu ds. redukcji hałasu we Wrocławiu);</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spotkaniu w ramach Panelu Obywatelskiego „Kierunki Rozwoju Miasta” – wystąpienie ekspertów;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w Dolnośląskim Festiwalu Architektury (DOFA) – „Otwarte Miasto”;</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W ramach współpracy z WNiSN, projekty podziału, koncepcje zagospodarowania i opinie dla nieruchomości;</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Przygotowywanie opinii: pomocniczych dla WAB i innych instytucji;</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We współpracy z Biurem Strategii Miasta, Działem Kształtowania Środowiska i Klimatu oraz Biurem Zrównoważonej Mobilności formułowanie wniosków, opinii i uzgodnień do projektów miejscowych planów zagospodarowania przestrzennego i projektów studium (w tym zmian) w gminach ościennych, przygotowanie prezentacji na Posiedzenia Planistyczne i udzielanie zbiorczych odpowiedzi;</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Współpraca z Wydziałem Partycypacji Społecznej i Wydziałem Architektury i Budownictwa w zakresie wyznaczenia obszaru zdegradowanego i obszaru rewitalizacji, analizy dotyczące możliwości wskazania na obszarze rewitalizacji zakazu wydawania decyzji o warunkach zabudowy; </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Współpraca z Biurem Rozwoju Organizacji w zakresie opisywania procesów towarzyszących realizowaniu: miejscowych planów zagospodarowania przestrzennego i studium uwarunkowań i kierunków zagospodarowania przestrzennego oraz wskazywanie możliwości poprawy i cyfryzacji tych procesów; </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Współpraca z Wydziałem Partycypacji Społecznej w zakresie opiniowania projektów zgłoszonych w ramach Funduszu Osiedlowego i Wrocławskiego Budżetu Obywatelskiego </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Współpraca z Wydziałem Partycypacji Społecznej i z Zespołem ds. reformy samorządowych jednostek pomocniczych we Wrocławiu </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Udział w formułowaniu wytycznych warsztatowych oraz udział w dyskusji oceniającej prace dotyczące koncepcji urbanistycznej w ramach warsztatów Aku.ura Miasta pn. „Serce Celiny” </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lastRenderedPageBreak/>
        <w:t xml:space="preserve">Współpraca z Zarządem Inwestycji Miejskich w zakresie lokalizacji i zasad zagospodarowania nowych miejskich skateparków </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Współpraca z Departamentem Spraw Społecznych w zakresie lokalizacji nowych noclegowni</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Współpraca z Departamentem Spraw Społecznych w zakresie lokalizacji osiedla socjalnego </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Prace dotyczące kształtowania terenu przy ul. Królewieckiej oraz koordynacji planowanych i rozważanych na tym terenie inwestycji </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Możliwości realizacji ogródków gastronomicznych w obszarze parku kulturowego „Stare Miasto” w kontekście Zarządzenia Nr 2059/19 Prezydenta Wrocławia z dnia 15 listopada 2019 r. w sprawie zasad postępowania komórek organizacyjnych Urzędu Miejskiego Wrocławia oraz miejskich jednostek organizacyjnych  w zakresie organizowania ogródków gastronomicznych na gruntach zarządzanych przez Prezydenta Wrocławia stanowiących własność Gminy Wrocław oraz w pasie drogowym dróg publicznych zarządzanych przez Prezydenta Wrocławia;(przełom 2019/2020)</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Sprawozdanie z realizacji programu ochrony powietrza dla miasta Wrocławia w mpzp za rok 2020;</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Prace nad plakatem dla mieszkańców dotyczącym procedury sporządzania planu miejscowego;</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Prowadzenie profilu Biura Rozwoju Wrocławia na Facebooku; </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Prowadzenie zbioru przykładów pism, wraz z wykazem zmian, stosowanych w Biurze Rozwoju Wrocławia </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Sporządzenie prezentacji na temat archiwizacji planów miejscowych;</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Bieżąca archiwizacja dokumentacji planistycznej (18 dokumentacji formalno-prawnych planów miejscowych oraz spraw kategorii B) oraz innej wytworzonej w Biurze;</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 xml:space="preserve">Współpraca z Biurem Zrównoważonej Mobilności w zakresie wizualizacji nowych rozwiązań drogowych; </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Współpraca przy skierowaniu do opiniowania przez Wojewódzkiego Konserwatora Zabytków projektu uchwały zmieniającej uchwałę w sprawie utworzenia parku kulturowego „Stare Miasto”</w:t>
      </w:r>
    </w:p>
    <w:p w:rsidR="006C7858" w:rsidRPr="00E00B35" w:rsidRDefault="006C7858" w:rsidP="00E00B35">
      <w:pPr>
        <w:tabs>
          <w:tab w:val="left" w:pos="426"/>
        </w:tabs>
        <w:spacing w:after="0" w:line="312" w:lineRule="auto"/>
        <w:ind w:left="426"/>
        <w:rPr>
          <w:bCs/>
          <w:szCs w:val="20"/>
        </w:rPr>
      </w:pPr>
    </w:p>
    <w:p w:rsidR="006C7858" w:rsidRPr="00E00B35" w:rsidRDefault="006C7858" w:rsidP="00E00B35">
      <w:pPr>
        <w:pStyle w:val="Nagwek5"/>
        <w:rPr>
          <w:szCs w:val="20"/>
        </w:rPr>
      </w:pPr>
      <w:r w:rsidRPr="00E00B35">
        <w:rPr>
          <w:szCs w:val="20"/>
        </w:rPr>
        <w:t>PROWADZENIE REJESTRÓW PRZESTRZENNYCH, PRZETWARZANIE DANYCH REJESTRÓW, PROWADZENIE MONITORINGU, UDOSTĘPNIANIE RAPORTÓW I STATYSTYK</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Prowadzenie rejestrów wniosków o sporządzanie lub zmianę planów oraz wniosków o zmianę Studium uwarunkowań i kierunków zagospodarowania przestrzennego Wrocławia - analiza, opracowywanie materiałów na Kolegium Prezydenta, korespondencja z wnioskodawcami;</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Prowadzenie rejestrów wniosków o sporządzanych i uchwalonych planach miejscowych na stronie: http://geoportal.wroclaw.pl/www/mapa-wyszuk-mpzp.shtml;</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lastRenderedPageBreak/>
        <w:t>Publikacja przestrzenna ofert przetargowych w portalach Nieruchomości i Program mieszkaniowy;</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Prowadzenie bazy lokalizacji przestrzennej punktów użyteczności publicznej w Mieście (POI)</w:t>
      </w:r>
    </w:p>
    <w:p w:rsidR="006C7858" w:rsidRPr="00E00B35" w:rsidRDefault="006C7858" w:rsidP="00E00B35">
      <w:pPr>
        <w:pStyle w:val="Tekstpodstawowy3"/>
        <w:spacing w:after="0" w:line="312" w:lineRule="auto"/>
        <w:rPr>
          <w:b/>
          <w:bCs/>
          <w:sz w:val="20"/>
          <w:szCs w:val="20"/>
        </w:rPr>
      </w:pPr>
    </w:p>
    <w:p w:rsidR="006C7858" w:rsidRPr="00E00B35" w:rsidRDefault="006C7858" w:rsidP="00E00B35">
      <w:pPr>
        <w:pStyle w:val="Nagwek5"/>
        <w:rPr>
          <w:szCs w:val="20"/>
        </w:rPr>
      </w:pPr>
      <w:r w:rsidRPr="00E00B35">
        <w:rPr>
          <w:szCs w:val="20"/>
        </w:rPr>
        <w:t>INFORMACJA PUBLICZNA</w:t>
      </w:r>
    </w:p>
    <w:p w:rsidR="006C7858" w:rsidRPr="00E00B35" w:rsidRDefault="006C7858" w:rsidP="00BC64AB">
      <w:pPr>
        <w:pStyle w:val="Tekstpodstawowy3"/>
        <w:numPr>
          <w:ilvl w:val="0"/>
          <w:numId w:val="275"/>
        </w:numPr>
        <w:tabs>
          <w:tab w:val="clear" w:pos="720"/>
          <w:tab w:val="num" w:pos="322"/>
        </w:tabs>
        <w:spacing w:after="0" w:line="312" w:lineRule="auto"/>
        <w:ind w:left="322" w:hanging="322"/>
        <w:rPr>
          <w:sz w:val="20"/>
          <w:szCs w:val="20"/>
        </w:rPr>
      </w:pPr>
      <w:r w:rsidRPr="00E00B35">
        <w:rPr>
          <w:sz w:val="20"/>
          <w:szCs w:val="20"/>
        </w:rPr>
        <w:t xml:space="preserve">Przygotowanie treści i udzielanie odpowiedzi dotyczących informacji publicznej </w:t>
      </w:r>
      <w:r w:rsidRPr="00E00B35">
        <w:rPr>
          <w:sz w:val="20"/>
          <w:szCs w:val="20"/>
        </w:rPr>
        <w:br/>
        <w:t>(58 odpowiedzi);</w:t>
      </w:r>
    </w:p>
    <w:p w:rsidR="006C7858" w:rsidRPr="00E00B35" w:rsidRDefault="006C7858" w:rsidP="00BC64AB">
      <w:pPr>
        <w:pStyle w:val="Tekstpodstawowy3"/>
        <w:numPr>
          <w:ilvl w:val="0"/>
          <w:numId w:val="275"/>
        </w:numPr>
        <w:tabs>
          <w:tab w:val="clear" w:pos="720"/>
          <w:tab w:val="num" w:pos="322"/>
        </w:tabs>
        <w:spacing w:after="0" w:line="312" w:lineRule="auto"/>
        <w:ind w:left="322" w:hanging="322"/>
        <w:rPr>
          <w:sz w:val="20"/>
          <w:szCs w:val="20"/>
        </w:rPr>
      </w:pPr>
      <w:r w:rsidRPr="00E00B35">
        <w:rPr>
          <w:sz w:val="20"/>
          <w:szCs w:val="20"/>
        </w:rPr>
        <w:t>Przygotowywanie wypisów i wyrysów ze Studium uwarunkowań i kierunków zagospodarowania przestrzennego Wrocławia (120 spraw, w tym 5 ze Studium archiwalnego)</w:t>
      </w:r>
    </w:p>
    <w:p w:rsidR="006C7858" w:rsidRPr="00E00B35" w:rsidRDefault="006C7858" w:rsidP="00E00B35">
      <w:pPr>
        <w:pStyle w:val="Nagwek4"/>
        <w:spacing w:before="0" w:after="0" w:line="312" w:lineRule="auto"/>
        <w:rPr>
          <w:sz w:val="20"/>
          <w:szCs w:val="20"/>
        </w:rPr>
      </w:pPr>
    </w:p>
    <w:p w:rsidR="006C7858" w:rsidRPr="00E00B35" w:rsidRDefault="006C7858" w:rsidP="00E00B35">
      <w:pPr>
        <w:pStyle w:val="Nagwek4"/>
        <w:spacing w:before="0" w:after="0" w:line="312" w:lineRule="auto"/>
        <w:rPr>
          <w:sz w:val="20"/>
          <w:szCs w:val="20"/>
        </w:rPr>
      </w:pPr>
      <w:r w:rsidRPr="00E00B35">
        <w:rPr>
          <w:bCs/>
          <w:sz w:val="20"/>
          <w:szCs w:val="20"/>
        </w:rPr>
        <w:t>SYSTEM INFORMACJI PRZESTRZENNEJ</w:t>
      </w:r>
    </w:p>
    <w:p w:rsidR="006C7858" w:rsidRPr="00E00B35" w:rsidRDefault="006C7858" w:rsidP="00E00B35">
      <w:pPr>
        <w:pStyle w:val="Tekstpodstawowy3"/>
        <w:spacing w:after="0" w:line="312" w:lineRule="auto"/>
        <w:rPr>
          <w:sz w:val="20"/>
          <w:szCs w:val="20"/>
        </w:rPr>
      </w:pPr>
      <w:r w:rsidRPr="00E00B35">
        <w:rPr>
          <w:b/>
          <w:bCs/>
          <w:sz w:val="20"/>
          <w:szCs w:val="20"/>
        </w:rPr>
        <w:t>Dział Systemu Informacji Przestrzennej</w:t>
      </w:r>
      <w:r w:rsidRPr="00E00B35">
        <w:rPr>
          <w:sz w:val="20"/>
          <w:szCs w:val="20"/>
        </w:rPr>
        <w:t xml:space="preserve"> realizuje zadania we współpracy z pozostałymi zespołami BRW, wspomaga także funkcjonowanie innych jednostek UM i Gminy wspierając ich prace bieżące i realizację projektów, ze szczególnym uwzględnieniem działań o charakterze integracyjnym, standaryzacyjnym oraz interoperacyjnym. Dział SIP wspomaga (poprzez know-how, wsparcie eksperckie i organizacyjne, udostępnianie specjalistycznych narzędzi informatycznych itp.) budowę dziedzinowych baz danych przestrzennych oraz specjalizowanych rozwiązań informatycznych. Stymuluje rozwój rozwiązań, które (dzięki wykorzystaniu wspólnej infrastruktury informatycznej i informacyjnej) pozwalają na maksymalnie efektywne wykorzystanie posiadanych przez Gminę zasobów.</w:t>
      </w:r>
    </w:p>
    <w:p w:rsidR="006C7858" w:rsidRPr="00E00B35" w:rsidRDefault="006C7858" w:rsidP="00E00B35">
      <w:pPr>
        <w:pStyle w:val="Tekstpodstawowy3"/>
        <w:spacing w:after="0" w:line="312" w:lineRule="auto"/>
        <w:rPr>
          <w:sz w:val="20"/>
          <w:szCs w:val="20"/>
        </w:rPr>
      </w:pPr>
    </w:p>
    <w:p w:rsidR="006C7858" w:rsidRPr="00E00B35" w:rsidRDefault="006C7858" w:rsidP="00E00B35">
      <w:pPr>
        <w:pStyle w:val="Nagwek5"/>
        <w:rPr>
          <w:szCs w:val="20"/>
        </w:rPr>
      </w:pPr>
      <w:r w:rsidRPr="00E00B35">
        <w:rPr>
          <w:szCs w:val="20"/>
        </w:rPr>
        <w:t>ROZWÓJ BAZ DANYCH - PRZYGOTOWANIE KONCEPCJI I WDRAŻANIE METOD AKTUALIZACJI I ROZWOJU WYBRANYCH BAZ SIP, POZYSKIWANIE DANYCH, OPRACOWANIE REGUŁ IMPORTU I PRZETWARZANIA DLA POTRZEB RÓŻNYCH UŻYTKOWNIKÓW ORAZ RÓŻNORODNYCH MECHANIZMÓW UDOSTĘPNIANIA</w:t>
      </w:r>
    </w:p>
    <w:p w:rsidR="006C7858" w:rsidRPr="00E00B35" w:rsidRDefault="006C7858" w:rsidP="00BC64AB">
      <w:pPr>
        <w:numPr>
          <w:ilvl w:val="0"/>
          <w:numId w:val="274"/>
        </w:numPr>
        <w:tabs>
          <w:tab w:val="left" w:pos="426"/>
        </w:tabs>
        <w:spacing w:after="0" w:line="312" w:lineRule="auto"/>
        <w:ind w:left="426" w:hanging="426"/>
        <w:rPr>
          <w:szCs w:val="20"/>
        </w:rPr>
      </w:pPr>
      <w:r w:rsidRPr="00E00B35">
        <w:rPr>
          <w:rFonts w:cs="Arial"/>
          <w:szCs w:val="20"/>
        </w:rPr>
        <w:t xml:space="preserve">Baza </w:t>
      </w:r>
      <w:r w:rsidRPr="00E00B35">
        <w:rPr>
          <w:szCs w:val="20"/>
        </w:rPr>
        <w:t>adresowa</w:t>
      </w:r>
      <w:r w:rsidRPr="00E00B35">
        <w:rPr>
          <w:rFonts w:cs="Arial"/>
          <w:szCs w:val="20"/>
        </w:rPr>
        <w:t xml:space="preserve">: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utrzymanie mechanizmów zasilania Państwowego Rejestru Granic danymi EMUiA odpowiednio do zmian wersji usług sieciowych wprowadzonych przez GUGiK; utrzymanie tygodniowego cyklu aktualizacji danych w PRG,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wydawanie bazy adresowej dla podmiotów zewnętrznych,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sukcesywne zmiany adresów i nazw ulic, niezgodnych z regulacjami prawnymi dla  EMUiA, (m.in. budynków znajdujących się na tej samej nieruchomości i oznaczonych tym samym numerem porządkowym, budynków nieposiadających przypisanego numeru porządkowego),</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bieżące prowadzenie spraw z zakresu nazewnictwa ulic i adresów: w ramach 47 spraw ustanowiono 22 nowe ulice, 2 ronda, 9 skwerów, 2 parki, 1 aleję, uchwałami Rady Miejskiej Wrocławia zmieniono przebieg 4 ulic, w ramach 485 spraw ustalono 1594 numery porządkowe i odwołano 67 numerów;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przygotowano 3 projekty obwieszczeń wraz z projektami tekstów jednolitych uchwał Rady Miejskiej Wrocławia z zakresu nazewnictwa ulic i innych obiektów </w:t>
      </w:r>
      <w:r w:rsidRPr="00E00B35">
        <w:rPr>
          <w:szCs w:val="20"/>
        </w:rPr>
        <w:lastRenderedPageBreak/>
        <w:t>miejskich; rozwój bazy EMUiA pod kątem wsparcia  zadania wykorzystania danych EMUiA w nowym systemie ZGKiKM;</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bCs/>
          <w:szCs w:val="20"/>
        </w:rPr>
        <w:t>Mapa zasadnicza, bazy danych EGiB, BDOT500, GESUT – prace analityczne i testowe nad nowymi narzędziami do importu danych z ZGKiKM;</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bCs/>
          <w:szCs w:val="20"/>
        </w:rPr>
        <w:t>Baza zasobów zieleni – utrzymanie i rozwój (we współpracy z Zarządem Zieleni Miejskiej) bazy danych zieleni w ramach wdrażania Zarządzenia Nr 12317/19</w:t>
      </w:r>
      <w:r w:rsidRPr="00E00B35">
        <w:rPr>
          <w:szCs w:val="20"/>
        </w:rPr>
        <w:t xml:space="preserve"> Prezydenta Wrocławia z dnia 28 czerwca 2019 r. w sprawie ochrony drzew i rozwoju terenów zieleni Wrocławia</w:t>
      </w:r>
      <w:r w:rsidRPr="00E00B35">
        <w:rPr>
          <w:rFonts w:cs="Arial"/>
          <w:szCs w:val="20"/>
        </w:rPr>
        <w:t xml:space="preserve">, w tym: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weryfikacja, aktualizacja lub przygotowanie do weryfikacji danych dotyczących cmentarzy, lasów, ogrodów działkowych, parków, zieleńców, terenów nadrzecznych</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aktualizacja analiz zakresu i dostępności terenów zieleni  w mieście,</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współpraca przy rozszerzeniu wdrożenia importu danych z rejestrowania przestrzennego decyzji WSR dot. wycinek i nasadzeń drzew oraz zgłoszeń dotyczących zamiaru usunięcia drzewa, prowadzonych w EZD,</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zdefiniowanie i aktualizacja w SIP struktur dla danych pozyskiwanych od jednostek miejskich dla: opracowań dotyczących drzew, bazy terenów pod nasadzenia, planów nasadzeń, danych o wnioskowanych i zrealizowanych przez jednostki miejskie wycinkach i nasadzeniach drzew i krzewów,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aktualizacja i rozwój aplikacji webowej do inwentaryzacji i oceny drzew, w tym m.in. w zakresie treści informacyjnych, symboliki, sposobów wyszukiwania, obsługi generowania wniosków o wycinkę,</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rozwój narzędzi do importu danych pochodzących z opracowań dotyczących drzew, oraz obsługa importu danych (535 opracowań),</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scalenie i przetworzenie danych z jednostek miejskich dla drzew usuniętych, nasadzonych, bazy terenów pod nasadzenia, planu nasadzeń za rok 2019,</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utrzymanie narzędzia do wprowadzania danych o drzewach i krzewach w ZZK</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utrzymanie, rozwój oraz udostępnienie wszystkim aplikacji do walidacji danych z opracowań dotyczących drzew i krzewów,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aktualizacja wspólnie z ZZM wytycznych i instrukcji dla pozyskiwania danych z opracowań dotyczących drzew;</w:t>
      </w:r>
    </w:p>
    <w:p w:rsidR="006C7858" w:rsidRPr="00E00B35" w:rsidRDefault="006C7858" w:rsidP="00BC64AB">
      <w:pPr>
        <w:numPr>
          <w:ilvl w:val="0"/>
          <w:numId w:val="274"/>
        </w:numPr>
        <w:tabs>
          <w:tab w:val="num" w:pos="284"/>
          <w:tab w:val="left" w:pos="426"/>
        </w:tabs>
        <w:spacing w:after="0" w:line="312" w:lineRule="auto"/>
        <w:ind w:left="426" w:hanging="426"/>
        <w:rPr>
          <w:rFonts w:cs="Arial"/>
          <w:b/>
          <w:szCs w:val="20"/>
        </w:rPr>
      </w:pPr>
      <w:r w:rsidRPr="00E00B35">
        <w:rPr>
          <w:rFonts w:cs="Arial"/>
          <w:szCs w:val="20"/>
        </w:rPr>
        <w:t xml:space="preserve">Aktualizacja baz danych: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sprzedanych nieruchomości gruntowych miasta,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demografii,</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lokalizacji obiektów zbiorowego zakwaterowania,</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powierzchni dróg,</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osi dróg,</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terenów zamkniętych,</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zarządców budynków,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inwestycji mieszkaniowych,</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wód powierzchniowych,</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specjalnych stref ekonomicznych,</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terenów zieleni,</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lastRenderedPageBreak/>
        <w:t>danych map zagrożenia powodziowego,</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numerycznego modelu terenu,</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numerycznego modelu pokrycia terenu,</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gminnej ewidencji zabytków,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rejestru zabytków,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nieruchomości wchodzących w skład KZN,</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użytków ekologicznych,</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użytkowania gruntów,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pól irygacyjnych,</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ortofotomapy 2019,</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ortofotomapy 2020;</w:t>
      </w:r>
    </w:p>
    <w:p w:rsidR="006C7858" w:rsidRPr="00E00B35" w:rsidRDefault="006C7858" w:rsidP="00BC64AB">
      <w:pPr>
        <w:numPr>
          <w:ilvl w:val="0"/>
          <w:numId w:val="274"/>
        </w:numPr>
        <w:tabs>
          <w:tab w:val="left" w:pos="426"/>
        </w:tabs>
        <w:spacing w:after="0" w:line="312" w:lineRule="auto"/>
        <w:ind w:left="426" w:hanging="426"/>
        <w:rPr>
          <w:bCs/>
          <w:szCs w:val="20"/>
        </w:rPr>
      </w:pPr>
      <w:r w:rsidRPr="00E00B35">
        <w:rPr>
          <w:rFonts w:cs="Arial"/>
          <w:szCs w:val="20"/>
        </w:rPr>
        <w:t xml:space="preserve">Konfiguracja bazy danych i projektów dla aplikacji ArcMap do prowadzenia baz danych dla </w:t>
      </w:r>
      <w:r w:rsidRPr="00E00B35">
        <w:rPr>
          <w:bCs/>
          <w:szCs w:val="20"/>
        </w:rPr>
        <w:t>tematów: Wrocław bez smogu - Zmień piec (dla BPK), Ruch ciężarowy - ograniczenia przejazdu tonażowe i wysokościowe (dla WIM), Tereny zamknięte (dla BRW), Nieruchomości KZN (dla BRW), Uchwała krajobrazowa (dla WAB), Obiekty ZZM (dla ZZM);</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bCs/>
          <w:szCs w:val="20"/>
        </w:rPr>
        <w:t>Pozyskiwanie</w:t>
      </w:r>
      <w:r w:rsidRPr="00E00B35">
        <w:rPr>
          <w:rFonts w:cs="Arial"/>
          <w:szCs w:val="20"/>
        </w:rPr>
        <w:t xml:space="preserve"> zasobów z rejestrów publicznych w związku z realizacją zadań publicznych: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wystąpienie z wnioskiem do GUS (zasoby mieszkaniowe, obiekty zbiorowego zakwaterowania, REGON;</w:t>
      </w:r>
    </w:p>
    <w:p w:rsidR="006C7858" w:rsidRPr="00E00B35" w:rsidRDefault="006C7858" w:rsidP="00BC64AB">
      <w:pPr>
        <w:pStyle w:val="Akapitzlist"/>
        <w:numPr>
          <w:ilvl w:val="0"/>
          <w:numId w:val="279"/>
        </w:numPr>
        <w:spacing w:after="0" w:line="312" w:lineRule="auto"/>
        <w:ind w:left="993" w:hanging="567"/>
        <w:rPr>
          <w:rFonts w:cs="Arial"/>
          <w:szCs w:val="20"/>
        </w:rPr>
      </w:pPr>
      <w:r w:rsidRPr="00E00B35">
        <w:rPr>
          <w:szCs w:val="20"/>
        </w:rPr>
        <w:t>koordynacja i wsparcie opracowania wniosków dla pozyskania licencji na korzystanie z danych</w:t>
      </w:r>
      <w:r w:rsidRPr="00E00B35">
        <w:rPr>
          <w:rFonts w:cs="Arial"/>
          <w:szCs w:val="20"/>
        </w:rPr>
        <w:t xml:space="preserve"> geodezyjnych dla realizacji wszystkich zadań publicznych wydziałów UM i jednostek organizacyjnych gminy realizowanych za pomocą SIP; import danych i ich przetwarzanie odpowiednio do potrzeb jednostek;</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Utrzymanie i rozwój narzędzi do przetwarzania danych GTFS z aktualnymi przebiegami linii tramwajowych/autobusowych w mieście;</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Prace analityczne i koncepcyjne dotyczące integracji danych opisujących sieć drogową</w:t>
      </w:r>
    </w:p>
    <w:p w:rsidR="006C7858" w:rsidRPr="00E00B35" w:rsidRDefault="006C7858" w:rsidP="00E00B35">
      <w:pPr>
        <w:pStyle w:val="Tekstpodstawowy3"/>
        <w:spacing w:after="0" w:line="312" w:lineRule="auto"/>
        <w:rPr>
          <w:rFonts w:cs="Arial"/>
          <w:b/>
          <w:sz w:val="20"/>
          <w:szCs w:val="20"/>
        </w:rPr>
      </w:pPr>
    </w:p>
    <w:p w:rsidR="006C7858" w:rsidRPr="00E00B35" w:rsidRDefault="006C7858" w:rsidP="00E00B35">
      <w:pPr>
        <w:pStyle w:val="Tekstpodstawowy3"/>
        <w:spacing w:after="0" w:line="312" w:lineRule="auto"/>
        <w:rPr>
          <w:rFonts w:cs="Arial"/>
          <w:b/>
          <w:sz w:val="20"/>
          <w:szCs w:val="20"/>
        </w:rPr>
      </w:pPr>
      <w:r w:rsidRPr="00E00B35">
        <w:rPr>
          <w:rFonts w:cs="Arial"/>
          <w:b/>
          <w:sz w:val="20"/>
          <w:szCs w:val="20"/>
        </w:rPr>
        <w:t>PROJEKTOWANIE I WDRAŻANIE NARZĘDZI SIP</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Wdrażanie i rozbudowa aplikacji  Edytor POI i adresów:</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przygotowanie i nadzór nad realizacją zlecenia „Budowa responsywnej wersji Edytora POI i adresów wraz z dostosowanie aplikacji do standardów dostępności WCAG 2.1”</w:t>
      </w:r>
    </w:p>
    <w:p w:rsidR="006C7858" w:rsidRPr="00E00B35" w:rsidRDefault="006C7858" w:rsidP="00BC64AB">
      <w:pPr>
        <w:pStyle w:val="Akapitzlist"/>
        <w:numPr>
          <w:ilvl w:val="0"/>
          <w:numId w:val="279"/>
        </w:numPr>
        <w:spacing w:after="0" w:line="312" w:lineRule="auto"/>
        <w:ind w:left="993" w:hanging="567"/>
        <w:rPr>
          <w:rFonts w:cs="Arial"/>
          <w:szCs w:val="20"/>
        </w:rPr>
      </w:pPr>
      <w:r w:rsidRPr="00E00B35">
        <w:rPr>
          <w:szCs w:val="20"/>
        </w:rPr>
        <w:t>wdrożenie nowej, zgodnej z ustawą o dostępności cyfrowej stron internetowych i aplikacji mobilnych podmiotów publicznych, wersji Edytora POI i adresów;</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Rozbudowa funkcjonalności aplikacji internetowej mapowej iMap;</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Publikacja nowych aplikacji w technologii Portal for ArcGIS (np. Termo KAWKA Plus, Osiedla kompletne: Zgłoś opinię);</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Utrzymanie mechanizmu dwujęzyczności serwisu </w:t>
      </w:r>
      <w:hyperlink r:id="rId38" w:history="1">
        <w:r w:rsidRPr="00E00B35">
          <w:rPr>
            <w:szCs w:val="20"/>
          </w:rPr>
          <w:t>www.geoportal.wroclaw.pl</w:t>
        </w:r>
      </w:hyperlink>
      <w:r w:rsidRPr="00E00B35">
        <w:rPr>
          <w:szCs w:val="20"/>
        </w:rPr>
        <w:t>, bieżące tłumaczenie nowych treści;</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Prace związane z dostępnością cyfrową strony internetowej </w:t>
      </w:r>
      <w:hyperlink r:id="rId39" w:history="1">
        <w:r w:rsidRPr="00E00B35">
          <w:rPr>
            <w:szCs w:val="20"/>
          </w:rPr>
          <w:t>https://geoportal.wroclaw.pl/</w:t>
        </w:r>
      </w:hyperlink>
      <w:r w:rsidRPr="00E00B35">
        <w:rPr>
          <w:szCs w:val="20"/>
        </w:rPr>
        <w:t>, w tym  publikacja deklaracji dostępności,</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lastRenderedPageBreak/>
        <w:t xml:space="preserve">Utrzymanie i aktualizacja aplikacji mapowych SIP Wrocławia i bieżąca kontrola dostępności;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Rozbudowa treści, konfiguracja i administrowanie portalem mapowym:</w:t>
      </w:r>
    </w:p>
    <w:p w:rsidR="006C7858" w:rsidRPr="00E00B35" w:rsidRDefault="006C7858" w:rsidP="00BC64AB">
      <w:pPr>
        <w:pStyle w:val="Akapitzlist"/>
        <w:numPr>
          <w:ilvl w:val="0"/>
          <w:numId w:val="279"/>
        </w:numPr>
        <w:spacing w:after="0" w:line="312" w:lineRule="auto"/>
        <w:ind w:left="993" w:hanging="567"/>
        <w:rPr>
          <w:rFonts w:cs="Arial"/>
          <w:szCs w:val="20"/>
        </w:rPr>
      </w:pPr>
      <w:r w:rsidRPr="00E00B35">
        <w:rPr>
          <w:rFonts w:cs="Arial"/>
          <w:szCs w:val="20"/>
        </w:rPr>
        <w:t xml:space="preserve">istotna </w:t>
      </w:r>
      <w:r w:rsidRPr="00E00B35">
        <w:rPr>
          <w:szCs w:val="20"/>
        </w:rPr>
        <w:t>rozbudowa</w:t>
      </w:r>
      <w:r w:rsidRPr="00E00B35">
        <w:rPr>
          <w:rFonts w:cs="Arial"/>
          <w:szCs w:val="20"/>
        </w:rPr>
        <w:t xml:space="preserve"> i modernizacja treści oraz narzędzi serwisów internetowych (opublikowane):  Demografia, Wypadki i kolizje drogowe, Osiedla kompletne, Program mieszkaniowy, Mapa rowerowa, Komunikacja, utrudnienia, Mapa podstawowa, Mapa wysokościowa, Uchwała krajobrazowa, Ortofotomapy, Baza zasobów zieleni, Edukacja, Ochrona przeciwpowodziowa, Przekroje wysokościowe; budowa nowych serwisów intra- i internetowych (budowa zaawansowana): </w:t>
      </w:r>
      <w:r w:rsidRPr="00E00B35">
        <w:rPr>
          <w:rFonts w:cs="Arial"/>
          <w:color w:val="000000"/>
          <w:szCs w:val="20"/>
        </w:rPr>
        <w:t>Wybory Prezydenta RP,</w:t>
      </w:r>
      <w:r w:rsidRPr="00E00B35">
        <w:rPr>
          <w:rFonts w:cs="Arial"/>
          <w:szCs w:val="20"/>
        </w:rPr>
        <w:t xml:space="preserve"> Demografia: Seniorzy, Giełda nieruchomości, Infrastruktura techniczna posadowiona na działkach Skarbu Państwa, Termo KAWKA Plus, Osiedla kompletne: Zgłoś opinię (3 odrębne aplikacje dla Zakrzów Centrum, Krzyki Zachód, Nowy Dwór), Mapa udokumentowanych odwiertów geologicznych,</w:t>
      </w:r>
    </w:p>
    <w:p w:rsidR="006C7858" w:rsidRPr="00E00B35" w:rsidRDefault="006C7858" w:rsidP="00BC64AB">
      <w:pPr>
        <w:pStyle w:val="Akapitzlist"/>
        <w:numPr>
          <w:ilvl w:val="0"/>
          <w:numId w:val="279"/>
        </w:numPr>
        <w:spacing w:after="0" w:line="312" w:lineRule="auto"/>
        <w:ind w:left="993" w:hanging="567"/>
        <w:rPr>
          <w:szCs w:val="20"/>
        </w:rPr>
      </w:pPr>
      <w:r w:rsidRPr="00E00B35">
        <w:rPr>
          <w:rFonts w:cs="Arial"/>
          <w:szCs w:val="20"/>
        </w:rPr>
        <w:t xml:space="preserve">uruchomienie </w:t>
      </w:r>
      <w:r w:rsidRPr="00E00B35">
        <w:rPr>
          <w:szCs w:val="20"/>
        </w:rPr>
        <w:t>prac związanych z modernizacją „mapy inwestycji miejskich” rekonfiguracja funkcjonalna portalu iMap (optymalizacja działania, rozbudowa w zakresie zgłaszanych uwag),</w:t>
      </w:r>
    </w:p>
    <w:p w:rsidR="006C7858" w:rsidRPr="00E00B35" w:rsidRDefault="006C7858" w:rsidP="00BC64AB">
      <w:pPr>
        <w:pStyle w:val="Akapitzlist"/>
        <w:numPr>
          <w:ilvl w:val="0"/>
          <w:numId w:val="279"/>
        </w:numPr>
        <w:spacing w:after="0" w:line="312" w:lineRule="auto"/>
        <w:ind w:left="993" w:hanging="567"/>
        <w:rPr>
          <w:rFonts w:cs="Arial"/>
          <w:szCs w:val="20"/>
        </w:rPr>
      </w:pPr>
      <w:r w:rsidRPr="00E00B35">
        <w:rPr>
          <w:szCs w:val="20"/>
        </w:rPr>
        <w:t>administracja użytkownikami</w:t>
      </w:r>
      <w:r w:rsidRPr="00E00B35">
        <w:rPr>
          <w:rFonts w:cs="Arial"/>
          <w:szCs w:val="20"/>
        </w:rPr>
        <w:t xml:space="preserve"> portalu mapowego;</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publikacja nowych usług danych przestrzennych - Ortofotomapa 2020;</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udostępnianie na stronie geoportal.wroclaw.pl nowych zbiorów danych do pobrania - Wypadki i kolizje drogowe: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tworzenie różnych aplikacji/skryptów na potrzeby bieżących zadań Działu Systemu Informacji Przestrzennej;</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Udostępnianie zbiorów danych dla aplikacji desktopowych;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Prace koncepcyjne nad modernizacją aplikacji webowych i mobilnych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Obsługa skrzynki pocztowej </w:t>
      </w:r>
      <w:hyperlink r:id="rId40" w:history="1">
        <w:r w:rsidRPr="00E00B35">
          <w:rPr>
            <w:rFonts w:cs="Arial"/>
            <w:szCs w:val="20"/>
          </w:rPr>
          <w:t>sip@um.wroc.pl</w:t>
        </w:r>
      </w:hyperlink>
      <w:r w:rsidRPr="00E00B35">
        <w:rPr>
          <w:rFonts w:cs="Arial"/>
          <w:szCs w:val="20"/>
        </w:rPr>
        <w:t xml:space="preserve"> - weryfikacja wiadomości, udzielanie odpowiedzi na zapytania użytkowników.</w:t>
      </w:r>
    </w:p>
    <w:p w:rsidR="006C7858" w:rsidRPr="00E00B35" w:rsidRDefault="006C7858" w:rsidP="00E00B35">
      <w:pPr>
        <w:pStyle w:val="Tekstpodstawowy3"/>
        <w:spacing w:after="0" w:line="312" w:lineRule="auto"/>
        <w:rPr>
          <w:rFonts w:cs="Arial"/>
          <w:b/>
          <w:sz w:val="20"/>
          <w:szCs w:val="20"/>
        </w:rPr>
      </w:pPr>
    </w:p>
    <w:p w:rsidR="006C7858" w:rsidRPr="00E00B35" w:rsidRDefault="006C7858" w:rsidP="00E00B35">
      <w:pPr>
        <w:pStyle w:val="Nagwek5"/>
        <w:rPr>
          <w:szCs w:val="20"/>
        </w:rPr>
      </w:pPr>
      <w:r w:rsidRPr="00E00B35">
        <w:rPr>
          <w:szCs w:val="20"/>
        </w:rPr>
        <w:t xml:space="preserve">ROZWÓJ SIP WROCŁAWIA - ROZSZERZENIE I OPTYMALIZACJA WYKORZYSTANIA LICENCJI, BAZ DANYCH, I NARZĘDZI. WSPOMAGANIE BUDOWY SIP W INNYCH JEDNOSTKACH GMINY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Koordynacja realizacji umowy korporacyjnej z firmą ESRI (administrowanie licencjami, nadzór, wspomaganie instalacji i suportu, sprawozdawczość, współpraca z jednostkami gminy dla optymalnego wykorzystania licencji i efektywnego rozwoju SIP, określenie założeń i realizacja Programu Wsparcia Kluczowego Klienta mającego na celu optymalizację funkcjonowania SIP);</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Utrzymanie i rozwój form zasilania SIP przez EGiB i inne zasoby geodezyjne; rozszerzanie form udostępniania ww. danych jako referencyjnych dla wspomagania zadań gminy;</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Koordynowanie autoryzowanych szkoleń i seminariów ESRI dla użytkowników SIP w urzędzie i jednostkach gminy;</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lastRenderedPageBreak/>
        <w:t>Prowadzenie konsultacji z zakresie wykorzystywania ArcGIS Desktop, ArcGIS Pro, instalacji serwerów GIS, doboru lokalnych rozwiązań SIP w wydziałach urzędu, jednostkach gminy i spółkach gminnych;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Wspomaganie wdrożenia GIS w ZZK, ZDIUM i ZZM, w tym: administrowanie zasobami GIS, opracowanie kompozycji mapowych GIS, koordynowanie instalacji oprogramowania i udostępniania licencji sieciowej;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Monitorowanie niezawodności działania i poziomu odwiedzin serwisów mapowych;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Aktualizacja kompozycji mapowych dla użytkowników SIP i uzupełnianie ich o nowe zbiory danych,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Prace związane z zapewnieniem odpowiedniego poziomu dostępności danych, usług i aplikacji SIP,</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Inwentaryzacja zasobów SIP, rozwój narzędzi do aktualizacji danych o zasobach SIP,</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Udział w rozwoju struktury bazy danych ZZM;</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Przeprowadzenie pilotażu badania potrzeb w WPO, w celu optymalizacji kierunków rozwoju SIP.</w:t>
      </w:r>
    </w:p>
    <w:p w:rsidR="006C7858" w:rsidRPr="00E00B35" w:rsidRDefault="006C7858" w:rsidP="00E00B35">
      <w:pPr>
        <w:pStyle w:val="Tekstpodstawowy3"/>
        <w:spacing w:after="0" w:line="312" w:lineRule="auto"/>
        <w:rPr>
          <w:rFonts w:cs="Arial"/>
          <w:b/>
          <w:sz w:val="20"/>
          <w:szCs w:val="20"/>
        </w:rPr>
      </w:pPr>
      <w:r w:rsidRPr="00E00B35">
        <w:rPr>
          <w:rFonts w:cs="Arial"/>
          <w:b/>
          <w:sz w:val="20"/>
          <w:szCs w:val="20"/>
        </w:rPr>
        <w:t xml:space="preserve"> </w:t>
      </w:r>
    </w:p>
    <w:p w:rsidR="006C7858" w:rsidRPr="00E00B35" w:rsidRDefault="006C7858" w:rsidP="00E00B35">
      <w:pPr>
        <w:pStyle w:val="Nagwek5"/>
        <w:rPr>
          <w:szCs w:val="20"/>
        </w:rPr>
      </w:pPr>
      <w:r w:rsidRPr="00E00B35">
        <w:rPr>
          <w:szCs w:val="20"/>
        </w:rPr>
        <w:t>WSPOMAGANIE PROJEKTÓW MIEJSKICH i ZADAŃ JEDOSTEK MIEJSKICH WYMAGAJĄCYCH WSPARCIA PRZEZ SIP (NARZĘDZIA, DANE, MAPY)</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Rozwój (we współpracy z BPK, BZM, WIM, WNS, WSR, MPWiK, ZZM i ZDiUM) aplikacji webowej (serwisu mapowego) wspomagającej działania z zakresu gospodarowania wodami opadowymi;</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Prace na rzecz projektów WSR: </w:t>
      </w:r>
    </w:p>
    <w:p w:rsidR="006C7858" w:rsidRPr="00E00B35" w:rsidRDefault="006C7858" w:rsidP="00BC64AB">
      <w:pPr>
        <w:pStyle w:val="Akapitzlist"/>
        <w:numPr>
          <w:ilvl w:val="0"/>
          <w:numId w:val="279"/>
        </w:numPr>
        <w:spacing w:after="0" w:line="312" w:lineRule="auto"/>
        <w:ind w:left="993" w:hanging="567"/>
        <w:rPr>
          <w:szCs w:val="20"/>
        </w:rPr>
      </w:pPr>
      <w:r w:rsidRPr="00E00B35">
        <w:rPr>
          <w:rFonts w:cs="Arial"/>
          <w:szCs w:val="20"/>
        </w:rPr>
        <w:t xml:space="preserve">aktualizacja </w:t>
      </w:r>
      <w:r w:rsidRPr="00E00B35">
        <w:rPr>
          <w:szCs w:val="20"/>
        </w:rPr>
        <w:t>obszarów i obiektów obsługiwanych przez kanalizację i projektowanych do skanalizowania, obliczanie liczby mieszkańców obsługiwanych dziś i prognozy na potrzeby sprawozdawania z realizacji KPOŚK,</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współpraca w projekcie aktualizacji KPOŚK i związanej z nią aktualizacji aglomeracji Wrocław w zakresie przegotowania, przetworzenia danych, wsparcia gmin biorących udział w aglomeracji w aktualizacji ich danych, przygotowania aktualnych map stanowiących załącznik do uchwały Rady Miejskiej Wrocławia,</w:t>
      </w:r>
    </w:p>
    <w:p w:rsidR="006C7858" w:rsidRPr="00E00B35" w:rsidRDefault="006C7858" w:rsidP="00BC64AB">
      <w:pPr>
        <w:pStyle w:val="Akapitzlist"/>
        <w:numPr>
          <w:ilvl w:val="0"/>
          <w:numId w:val="279"/>
        </w:numPr>
        <w:spacing w:after="0" w:line="312" w:lineRule="auto"/>
        <w:ind w:left="993" w:hanging="567"/>
        <w:rPr>
          <w:rFonts w:cs="Arial"/>
          <w:szCs w:val="20"/>
        </w:rPr>
      </w:pPr>
      <w:r w:rsidRPr="00E00B35">
        <w:rPr>
          <w:szCs w:val="20"/>
        </w:rPr>
        <w:t>opracowanie map i wykazów nieruchomości dla zlecenia deratyzacji na gminnych terenach zewnętrznych</w:t>
      </w:r>
      <w:r w:rsidRPr="00E00B35">
        <w:rPr>
          <w:rFonts w:cs="Arial"/>
          <w:szCs w:val="20"/>
        </w:rPr>
        <w:t xml:space="preserve"> centrum miasta;</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Integracja i synchronizacja Systemu Informacji Przestrzennej z Systemem Zarządzania Placówkami:</w:t>
      </w:r>
    </w:p>
    <w:p w:rsidR="006C7858" w:rsidRPr="00E00B35" w:rsidRDefault="006C7858" w:rsidP="00BC64AB">
      <w:pPr>
        <w:pStyle w:val="Akapitzlist"/>
        <w:numPr>
          <w:ilvl w:val="0"/>
          <w:numId w:val="279"/>
        </w:numPr>
        <w:spacing w:after="0" w:line="312" w:lineRule="auto"/>
        <w:ind w:left="993" w:hanging="567"/>
        <w:rPr>
          <w:szCs w:val="20"/>
        </w:rPr>
      </w:pPr>
      <w:r w:rsidRPr="00E00B35">
        <w:rPr>
          <w:rFonts w:cs="Arial"/>
          <w:szCs w:val="20"/>
        </w:rPr>
        <w:t xml:space="preserve">zapewnienie </w:t>
      </w:r>
      <w:r w:rsidRPr="00E00B35">
        <w:rPr>
          <w:szCs w:val="20"/>
        </w:rPr>
        <w:t>aktualizacji danych placówek oświatowych w SIP przez SZP,</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zapewnienie aktualizacji bazy adresów zgodnie z harmonogramem rekrutacji do szkół,</w:t>
      </w:r>
    </w:p>
    <w:p w:rsidR="006C7858" w:rsidRPr="00E00B35" w:rsidRDefault="006C7858" w:rsidP="00BC64AB">
      <w:pPr>
        <w:pStyle w:val="Akapitzlist"/>
        <w:numPr>
          <w:ilvl w:val="0"/>
          <w:numId w:val="279"/>
        </w:numPr>
        <w:spacing w:after="0" w:line="312" w:lineRule="auto"/>
        <w:ind w:left="993" w:hanging="567"/>
        <w:rPr>
          <w:rFonts w:cs="Arial"/>
          <w:szCs w:val="20"/>
        </w:rPr>
      </w:pPr>
      <w:r w:rsidRPr="00E00B35">
        <w:rPr>
          <w:szCs w:val="20"/>
        </w:rPr>
        <w:t>przetwarza</w:t>
      </w:r>
      <w:r w:rsidRPr="00E00B35">
        <w:rPr>
          <w:rFonts w:cs="Arial"/>
          <w:szCs w:val="20"/>
        </w:rPr>
        <w:t>nie danych o zameldowaniach na potrzeby analizy potencjalnej ilości uczniów w przyszłych latach;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szCs w:val="20"/>
        </w:rPr>
        <w:t>Wspó</w:t>
      </w:r>
      <w:r w:rsidRPr="00E00B35">
        <w:rPr>
          <w:rFonts w:cs="Arial"/>
          <w:szCs w:val="20"/>
        </w:rPr>
        <w:t>łpraca przy projekcie rozbudowy ITS: integracja SIP - ITS, opiniowanie dokumentacji, konsultacje, wsparcie przy tworzeniu dedykowanych ITS zbiorów danych (osie torowisk, sieć dróg dla komunikacji autobusowej);</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lastRenderedPageBreak/>
        <w:t>Opracowanie metody pozyskiwania do SIP danych z programu „KAWKA” i „Termo KAWKA”; wdrożenie mechanizmu pobierania tych danych;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Aktualizacja zestawień tabelarycznych dotyczących przeznaczenia w studium i MPZP działek należących do skarbu państwa na potrzeby Krajowego Zasobu Nieruchomości;</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Przetwarzanie danych pochodzących z systemu SEWiK na potrzeby Wydziału Inżynierii Miejskiej;</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Wsparcie projektu monitorowania zajętości miejsc parkingowych dla osób niepełnosprawnych i autokarów turystycznych,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Wdrożenie mechanizmu pozyskiwania do SIP danych z Giełdy Nieruchomości; opracowanie zasad funkcjonowania integracji pomiędzy oboma systemami; opracowanie i włączenie do SIP zbioru z danymi pozyskiwanymi z giełdy;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Wsparcie WPP podczas prac nad nową siatką obwodów szkolnych oraz w zakresie wyodrębnienia na podstawie bazy meldunkowej danych o ilości dzieci w poszczególnych obwodach szkolnych;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Wsparcie WSS w procesie wyłaniania członków panelu obywatelskiego dotyczącego transportu;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Optymalizacja sposobu prowadzenia zbioru „Docelowa obsługa komunikacyjna inwestycji (rejestr opinii WIM)”; prace przygotowawcze związane z rozbudową zbioru o dane pochodzące ze ZDiUM;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Wsparcie przez analizy danych SIP koordynacji weryfikacji Wykazu adresów, budynków, mieszkań i obiektów zbiorowego zakwaterowania dla potrzeb NSP2021,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Weryfikacja wykazu adresowo-mieszkaniowego Urzędu Statystycznego w ramach przygotowań do Narodowego Spisu Powszechnego Ludności i Mieszkań 2021 w zakresie:      </w:t>
      </w:r>
    </w:p>
    <w:p w:rsidR="006C7858" w:rsidRPr="00E00B35" w:rsidRDefault="006C7858" w:rsidP="00BC64AB">
      <w:pPr>
        <w:pStyle w:val="Akapitzlist"/>
        <w:numPr>
          <w:ilvl w:val="0"/>
          <w:numId w:val="279"/>
        </w:numPr>
        <w:spacing w:after="0" w:line="312" w:lineRule="auto"/>
        <w:ind w:left="993" w:hanging="567"/>
        <w:rPr>
          <w:szCs w:val="20"/>
        </w:rPr>
      </w:pPr>
      <w:r w:rsidRPr="00E00B35">
        <w:rPr>
          <w:szCs w:val="20"/>
        </w:rPr>
        <w:t xml:space="preserve">adresów archiwalnych lub adresów niezgodnych z regulacjami prawnymi dla EMUiA </w:t>
      </w:r>
    </w:p>
    <w:p w:rsidR="006C7858" w:rsidRPr="00E00B35" w:rsidRDefault="006C7858" w:rsidP="00BC64AB">
      <w:pPr>
        <w:pStyle w:val="Akapitzlist"/>
        <w:numPr>
          <w:ilvl w:val="0"/>
          <w:numId w:val="279"/>
        </w:numPr>
        <w:spacing w:after="0" w:line="312" w:lineRule="auto"/>
        <w:ind w:left="993" w:hanging="567"/>
        <w:rPr>
          <w:rFonts w:cs="Arial"/>
          <w:szCs w:val="20"/>
        </w:rPr>
      </w:pPr>
      <w:r w:rsidRPr="00E00B35">
        <w:rPr>
          <w:szCs w:val="20"/>
        </w:rPr>
        <w:t>obiek</w:t>
      </w:r>
      <w:r w:rsidRPr="00E00B35">
        <w:rPr>
          <w:rFonts w:cs="Arial"/>
          <w:szCs w:val="20"/>
        </w:rPr>
        <w:t>tów zbiorowego zakwaterowania;</w:t>
      </w:r>
      <w:r w:rsidRPr="00E00B35" w:rsidDel="00D86881">
        <w:rPr>
          <w:rStyle w:val="Odwoaniedokomentarza"/>
          <w:b/>
          <w:sz w:val="20"/>
          <w:szCs w:val="20"/>
        </w:rPr>
        <w:t xml:space="preserve">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Modernizacja zbioru „stacje ładowania pojazdów elektrycznych” i ustalenie zasad jego aktualizacji;</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Przygotowanie map i danych na potrzeby akcji „Zmień Piec”;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Losowanie lokali na potrzeby kolportażu broszury Strategia Wrocław 2030 (BSM);</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Wsparcie Biura Smart City i Zarządzania Projektami w pozyskiwaniu, przetwarzaniu i analizie danych w ramach pilotażu projektu Mobileye;</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Wykonanie aplikacji do przeprowadzania konsultacji społecznych on-line na potrzeby Osiedli Kompletnych;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Utworzenie danych na potrzeby serwisu Infrastruktura techniczna posadowiona na działkach SP (dla WSP);</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Wykonanie analiz dostępności zieleni na potrzeby monitorowania realizacji Strategii Wrocław 2030 (dla BSM) oraz dla pojedynczych lokalizacji Parków;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Przygotowanie wskaźnika NDVI w postaci rastrowej dla zieleni;</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Przetworzenie danych na potrzeby monitorowania wskaźników Miejskiego programu Adaptacji;</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lastRenderedPageBreak/>
        <w:t>Wykonanie analiz przestrzennych na potrzeby projektów FOODSHIFT (Ogrody Społeczne) oraz Programu Zazielenienia Wrocławia;</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Wykonanie analizy zmian zabudowy  na podstawie danych rastrowych z 2006, 2015 i 2019;</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Opracowanie i cykliczne przetwarzanie danych mapy zasadniczej w nowych formatach (gml, dxf) na potrzeby map podkładowych dla projektów planów miejscowych;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Wsparcie prac projektu nowych trasy autobusów i tramwajów – pomoc w przygotowaniu danych, testowanie narzędzi, opracowanie prototypu aplikacji na potrzeby konsultacji;</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szCs w:val="20"/>
        </w:rPr>
        <w:t xml:space="preserve">Wsparcie organizacji wyborów na prezydenta RP - przetworzenie danych „Geografia </w:t>
      </w:r>
      <w:r w:rsidRPr="00E00B35">
        <w:rPr>
          <w:rFonts w:cs="Arial"/>
          <w:szCs w:val="20"/>
        </w:rPr>
        <w:t>Wyborcza”, przygotowanie i udostępnienie wyszukiwarki lokali wyborczych;</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Udział w pracach zespołu roboczego projektu „Transformacja cyfrowa DSM”;</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Wsparcie sporządzenia przez WWE sprawozdania SG-01 poprzez dostarczenie części informacji oraz weryfikacji informacji przekazywanych przez jednostki miejskie;</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Weryfikacja obiektów fizjograficznych na podstawie posiadanych przez SIP danych na potrzeby prowadzonej przez GUGiK aktualizacji Państwowego Rejestru Nazw Geograficznych – zadanie koordynowane przez ZGKiKM;</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Współpraca przy opracowaniu dokumentacji projektów „System transformacji cyfrowej i procesowej w Departamencie Strategii i Rozwoju Miasta Urzędu Miejskiego Wrocławia” oraz „System zarządzania zielenią ZZM”</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Kompleksowe wsparcie projektów: Osiedla kompletne, Zielony stół, Niebieski stół, Ochrona drzew i rozwój terenów zieleni, Gospodarowanie wodami opadowymi, </w:t>
      </w:r>
    </w:p>
    <w:p w:rsidR="006C7858" w:rsidRPr="00E00B35" w:rsidRDefault="006C7858" w:rsidP="00BC64AB">
      <w:pPr>
        <w:numPr>
          <w:ilvl w:val="0"/>
          <w:numId w:val="274"/>
        </w:numPr>
        <w:tabs>
          <w:tab w:val="left" w:pos="426"/>
        </w:tabs>
        <w:spacing w:after="0" w:line="312" w:lineRule="auto"/>
        <w:ind w:left="426" w:hanging="426"/>
        <w:rPr>
          <w:rFonts w:cs="Arial"/>
          <w:b/>
          <w:bCs/>
          <w:szCs w:val="20"/>
        </w:rPr>
      </w:pPr>
      <w:r w:rsidRPr="00E00B35">
        <w:rPr>
          <w:rFonts w:cs="Arial"/>
          <w:szCs w:val="20"/>
        </w:rPr>
        <w:t>Udostępnianie informacji i danych przestrzennych dla innych zadań gminy i dla realizacji zadań publicznych innych jednostek administracji.</w:t>
      </w:r>
    </w:p>
    <w:p w:rsidR="006C7858" w:rsidRPr="00E00B35" w:rsidRDefault="006C7858" w:rsidP="00E00B35">
      <w:pPr>
        <w:pStyle w:val="Tekstpodstawowy3"/>
        <w:spacing w:after="0" w:line="312" w:lineRule="auto"/>
        <w:rPr>
          <w:rFonts w:cs="Arial"/>
          <w:b/>
          <w:sz w:val="20"/>
          <w:szCs w:val="20"/>
        </w:rPr>
      </w:pPr>
    </w:p>
    <w:p w:rsidR="006C7858" w:rsidRPr="00E00B35" w:rsidRDefault="006C7858" w:rsidP="00E00B35">
      <w:pPr>
        <w:pStyle w:val="Nagwek5"/>
        <w:rPr>
          <w:szCs w:val="20"/>
        </w:rPr>
      </w:pPr>
      <w:r w:rsidRPr="00E00B35">
        <w:rPr>
          <w:szCs w:val="20"/>
        </w:rPr>
        <w:t>PROWADZENIE I ROZWÓJ BAZY MIEJSCOWYCH PLANÓW ZAGOSPODAROWANIA PRZESTRZENNEGO I STUDIUM - PRZETWARZANIE DANYCH DO POSTACI OPERACYJNEJ/BAZODANOWEJ, WDRAŻANIE NOWYCH NARZĘDZI DLA STANDARYZACJI MPZP ORAZ NARZĘDZI DLA UDOSTĘPNIANIA TREŚCI MPZP W RÓŻNYCH FORMATACH I RÓŻNYM UŻYTKOWNIKOM</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Aktualizacja stanu rejestru po sesjach planistycznych oraz uzupełnianie bazy planów  po wejściu planów w życie, a także prowadzenie bieżącej statystyki planów;</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Aktualizacja informacji o zaskarżonych planach, udostępnianie informacji o zaskarżeniach i wydanych wyrokach w geoportalu oraz weryfikowanie stanu rejestru po zapadnięciu wyroków unieważniających plany w części lub w całości;</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Opracowywanie zestawień statystycznych dla GUS, dla potrzeb własnych raportowania i zarządzania, a także dla mediów i uczelni, obliczanie wskaźnika efektywności procedury planistycznej dla  Zintegrowanego Systemu Zarządzania;</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Kalibracja rastrów (przetworzonych załączników graficznych) planów miejscowych i wprowadzanie ich do bazy, prace nad zeskanowaniem brakujących planów miejscowych oraz ich kalibracja;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lastRenderedPageBreak/>
        <w:t>Wektoryzacja i przetwarzanie miejscowych planów zagospodarowania przestrzennego;</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Budowa oraz publiczne udostępnienie bazy ustaleń mpzp (aktualizacja bazy danych przeznaczeń terenów ustalonych w miejscowych planach zagospodarowania przestrzennego);</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Opracowanie i bieżące kodowanie wskaźników wynikających z ustaleń mpzp powierzchnia biologicznie czynna, intensywność zabudowy, wysokość zabudowy, powierzchnia zabudowy, obszar zabudowy;</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Bieżące utrzymanie, aktualizacja i publiczne udostępnianie (</w:t>
      </w:r>
      <w:hyperlink r:id="rId41" w:history="1">
        <w:r w:rsidRPr="00E00B35">
          <w:rPr>
            <w:rFonts w:cs="Arial"/>
            <w:szCs w:val="20"/>
          </w:rPr>
          <w:t>www.geoportal.wroclaw.pl/mpzp/</w:t>
        </w:r>
      </w:hyperlink>
      <w:r w:rsidRPr="00E00B35">
        <w:rPr>
          <w:rFonts w:cs="Arial"/>
          <w:szCs w:val="20"/>
        </w:rPr>
        <w:t xml:space="preserve">) kompleksowej informacji o mpzp,  opracowywanych, obowiązujących i archiwalnych, zawierającej wyszukiwarkę planów, szczegółowe i aktualne informacje o planach, odnośniki do ich dokumentów i miejsc publikacji, metadanych, zestawień i statystyk;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Udostępnianie informacji o mpzp obowiązujących, w opracowaniu oraz archiwalnych w języku angielskim na stronie www.geoportal.wroclaw.pl/en/local_plans;</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Udostępnianie w Intranecie i w Internecie miejscowych planów zagospodarowania przestrzennego (mpzp) w różnych formatach, publikacja informacji o wyłożeniach planów;</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Publikacja zbioru danych i usług Infrastruktury Informacji Przestrzennej dla tematu „zagospodarowanie przestrzenne” w zakresie planów miejscowych zgodnie z Dyrektywą INSPIRE, związanymi z nią rozporządzeniami Komisji Europejskiej i specyfikacjami technicznymi;</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Publikacja w postaci usług WMS i WFS ustaleń mpzp oraz danych o przeznaczeniu terenów, sklasyfikowanych wg wymogów dyrektywy INSPIRE a także usługi wyszukiwania CSW dla tematu zagospodarowanie przestrzenne;  </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Administracja aplikacją KAJET (harmonogramowanie prac dla planów miejscowych), prace analityczne związane z planowanym rozwojem aplikacji;</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Utrzymanie i rozwój edytora rysunku mpzp, w tym pomoc techniczna i merytoryczna dla użytkowników edytora</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Prace analityczne i testowe nad nowa aplikacją dla rejestru mpzp</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Udział w konsultacjach społecznych projektu  </w:t>
      </w:r>
      <w:hyperlink r:id="rId42" w:history="1">
        <w:r w:rsidRPr="00E00B35">
          <w:rPr>
            <w:rFonts w:cs="Arial"/>
            <w:szCs w:val="20"/>
          </w:rPr>
          <w:t>rozporządzeniu Ministra Rozwoju, Pracy i Technologii w sprawie zbiorów danych przestrzennych oraz metadanych w zakresie zagospodarowania przestrzennego</w:t>
        </w:r>
      </w:hyperlink>
      <w:r w:rsidRPr="00E00B35">
        <w:rPr>
          <w:rFonts w:cs="Arial"/>
          <w:szCs w:val="20"/>
        </w:rPr>
        <w:t>,</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Prace analityczne i koncepcyjne związane z realizacją nowych wymogów dotyczących zbiorów danych przestrzennych w temacie zagospodarowanie przestrzenne,</w:t>
      </w:r>
    </w:p>
    <w:p w:rsidR="006C7858" w:rsidRPr="00E00B35" w:rsidRDefault="006C7858" w:rsidP="00BC64AB">
      <w:pPr>
        <w:numPr>
          <w:ilvl w:val="0"/>
          <w:numId w:val="274"/>
        </w:numPr>
        <w:tabs>
          <w:tab w:val="left" w:pos="426"/>
        </w:tabs>
        <w:spacing w:after="0" w:line="312" w:lineRule="auto"/>
        <w:ind w:left="426" w:hanging="426"/>
        <w:rPr>
          <w:rFonts w:cs="Arial"/>
          <w:szCs w:val="20"/>
        </w:rPr>
      </w:pPr>
      <w:r w:rsidRPr="00E00B35">
        <w:rPr>
          <w:rFonts w:cs="Arial"/>
          <w:szCs w:val="20"/>
        </w:rPr>
        <w:t>Utworzenie zbioru danych przestrzennych w postaci pliku gml dla planu miejscowego uchwalonego po zmianie przepisów (31.10), określających wymóg dodania nowego załącznika do uchwały uchwalającej akt planowania przestrzennego.</w:t>
      </w:r>
      <w:r w:rsidRPr="00E00B35" w:rsidDel="009C42A8">
        <w:rPr>
          <w:rFonts w:cs="Arial"/>
          <w:szCs w:val="20"/>
        </w:rPr>
        <w:t xml:space="preserve"> </w:t>
      </w:r>
    </w:p>
    <w:p w:rsidR="006C7858" w:rsidRPr="00E00B35" w:rsidRDefault="006C7858" w:rsidP="00E00B35">
      <w:pPr>
        <w:pStyle w:val="Tekstpodstawowy3"/>
        <w:spacing w:after="0" w:line="312" w:lineRule="auto"/>
        <w:rPr>
          <w:sz w:val="20"/>
          <w:szCs w:val="20"/>
        </w:rPr>
      </w:pPr>
    </w:p>
    <w:p w:rsidR="006C7858" w:rsidRPr="00E00B35" w:rsidRDefault="006C7858" w:rsidP="00E00B35">
      <w:pPr>
        <w:pStyle w:val="Nagwek4"/>
        <w:spacing w:before="0" w:after="0" w:line="312" w:lineRule="auto"/>
        <w:rPr>
          <w:sz w:val="20"/>
          <w:szCs w:val="20"/>
        </w:rPr>
      </w:pPr>
      <w:r w:rsidRPr="00E00B35">
        <w:rPr>
          <w:sz w:val="20"/>
          <w:szCs w:val="20"/>
        </w:rPr>
        <w:t>ODPORNOŚĆ MIASTA</w:t>
      </w:r>
    </w:p>
    <w:p w:rsidR="006C7858" w:rsidRPr="00E00B35" w:rsidRDefault="006C7858" w:rsidP="00E00B35">
      <w:pPr>
        <w:autoSpaceDE w:val="0"/>
        <w:autoSpaceDN w:val="0"/>
        <w:adjustRightInd w:val="0"/>
        <w:spacing w:after="0" w:line="312" w:lineRule="auto"/>
        <w:rPr>
          <w:rFonts w:cs="Verdana"/>
          <w:szCs w:val="20"/>
          <w:lang w:eastAsia="pl-PL"/>
        </w:rPr>
      </w:pPr>
      <w:r w:rsidRPr="00E00B35">
        <w:rPr>
          <w:rFonts w:cs="Verdana"/>
          <w:szCs w:val="20"/>
          <w:lang w:eastAsia="pl-PL"/>
        </w:rPr>
        <w:t xml:space="preserve">Dynamika rozwoju Wrocławia oraz nowe czynniki determinujące życie mieszkańców stały się podstawą do zaktualizowania polityki przestrzennej miasta i tym samym, zmiany Studium uwarunkowań i kierunków zagospodarowania przestrzennego Wrocławia, które </w:t>
      </w:r>
      <w:r w:rsidRPr="00E00B35">
        <w:rPr>
          <w:rFonts w:cs="Verdana"/>
          <w:szCs w:val="20"/>
          <w:lang w:eastAsia="pl-PL"/>
        </w:rPr>
        <w:lastRenderedPageBreak/>
        <w:t xml:space="preserve">jest głównym dokumentem określającym kierunki rozwoju przestrzennego. Przedmiotowa zmiana będzie podkreślać potrzebę równoważenia dalszego rozwoju działaniami proekologicznymi i na rzecz ochrony środowiska. Stanowić będzie odpowiedź na bieżące oczekiwania społeczne, zmieniającą się sytuację gospodarczą i postępujące zmiany klimatyczne. </w:t>
      </w:r>
    </w:p>
    <w:p w:rsidR="006C7858" w:rsidRPr="00E00B35" w:rsidRDefault="006C7858" w:rsidP="00E00B35">
      <w:pPr>
        <w:autoSpaceDE w:val="0"/>
        <w:autoSpaceDN w:val="0"/>
        <w:adjustRightInd w:val="0"/>
        <w:spacing w:after="0" w:line="312" w:lineRule="auto"/>
        <w:rPr>
          <w:rFonts w:cs="Verdana"/>
          <w:szCs w:val="20"/>
          <w:lang w:eastAsia="pl-PL"/>
        </w:rPr>
      </w:pPr>
      <w:r w:rsidRPr="00E00B35">
        <w:rPr>
          <w:rFonts w:cs="Verdana"/>
          <w:szCs w:val="20"/>
          <w:lang w:eastAsia="pl-PL"/>
        </w:rPr>
        <w:t>Jakość i komfort życia w mieście w znacznym stopniu zależy od współpracy i integracji jego mieszkańców. Dążenie do działania w trosce o dobro własne, ale i na rzecz interesu publicznego wzmacnia poczucie przywiązania i odpowiedzialności za swoje otoczenie. Trwająca pandemia choroby COVID-19 zweryfikowały myślenie o rozwoju miast i potrzebach jego mieszkańców oraz uwypukliły wiele dotychczasowych wyzwań.</w:t>
      </w:r>
    </w:p>
    <w:p w:rsidR="006C7858" w:rsidRPr="00E00B35" w:rsidRDefault="006C7858" w:rsidP="00E00B35">
      <w:pPr>
        <w:autoSpaceDE w:val="0"/>
        <w:autoSpaceDN w:val="0"/>
        <w:adjustRightInd w:val="0"/>
        <w:spacing w:after="0" w:line="312" w:lineRule="auto"/>
        <w:rPr>
          <w:rFonts w:cs="Verdana"/>
          <w:szCs w:val="20"/>
          <w:lang w:eastAsia="pl-PL"/>
        </w:rPr>
      </w:pPr>
      <w:r w:rsidRPr="00E00B35">
        <w:rPr>
          <w:rFonts w:cs="Verdana"/>
          <w:szCs w:val="20"/>
          <w:lang w:eastAsia="pl-PL"/>
        </w:rPr>
        <w:t xml:space="preserve">Zamieszkiwanie w dużych miastach wiąże się z szeroko rozumianą odpornością. Odporność człowieka i odporność środowiska miejskiego uzyskała swego rodzaju wspólny mianownik. Nastąpiło istotne przewartościowanie wielu aspektów życia, które mają bezpośredni wpływ na kwestie społeczne, gospodarcze i stanowią jedno z największych współczesnych wyzwań rozwoju miast. </w:t>
      </w:r>
    </w:p>
    <w:p w:rsidR="006C7858" w:rsidRPr="00E00B35" w:rsidRDefault="006C7858" w:rsidP="00E00B35">
      <w:pPr>
        <w:autoSpaceDE w:val="0"/>
        <w:autoSpaceDN w:val="0"/>
        <w:adjustRightInd w:val="0"/>
        <w:spacing w:after="0" w:line="312" w:lineRule="auto"/>
        <w:rPr>
          <w:rFonts w:cs="Verdana"/>
          <w:szCs w:val="20"/>
          <w:lang w:eastAsia="pl-PL"/>
        </w:rPr>
      </w:pPr>
      <w:r w:rsidRPr="00E00B35">
        <w:rPr>
          <w:rFonts w:cs="Verdana"/>
          <w:szCs w:val="20"/>
          <w:lang w:eastAsia="pl-PL"/>
        </w:rPr>
        <w:t xml:space="preserve">Termin „odporności miasta” do końca 2019 roku, choć także odnoszony do świata natury, określał przede wszystkim poziom przygotowania miasta i jego infrastruktury na anomalie pogodowe, takie jak nawalne deszcze, czy susze. Kwestie te w dużym stopniu wpływają na komfort życia, zdrowie i efektywność człowieka, a także odciskają wyraźne piętno na środowisku przyrodniczym i klimacie oraz często skutkują szkodami materialnymi. Przeciwdziałanie tym zmianom polega na ograniczaniu antropopresji, czyli wpływu działań człowieka na środowisko, w szczególności poprzez redukcję emisji, oszczędne gospodarowanie dostępnymi zasobami oraz podnoszenie świadomości ekologicznej. Wśród silnie przekształconych, zainwestowanych i rozdrobnionych własnościowo przestrzeni miejskich dążenia te są niezbędne. Retencjonowanie wód, pozyskiwanie energii z odnawialnych źródeł, pasywna odporność obiektów na niskie i wysokie temperatury, zagospodarowanie zielenią otoczenia budynków czy nasycenia nią przestrzeni publicznych to zabiegi, które sprzyjają zarówno użytkownikom jak i środowisku przyrodniczemu. Okres przymusowego zamknięcia ludzi we własnych domach skutecznie zwrócił uwagę jak ważny dla człowieka jest mikroklimat wynikający z architektury budynku i jego integracji z zielenią. Zmiany modelu życia w równym stopniu dotyczą sfery publicznej jak i prywatnej. W celu ochrony zdrowia wprowadzono restrykcje ograniczające ludzką aktywność i swobodę co zreorganizowało powszedni plan dnia oraz zmieniło podejście do codziennych obowiązków. W wielu branżach umożliwiona została praca zdalna, co ograniczyło codzienne podróże, a także wpłynęło na uelastycznienie czasu, w którym jest ona wykonywana. Podobna transformacja dotknęła branżę usługową, która przeniosła się w znacznej mierze do internetu. Zmiany te traktować należy jako nowe trendy, a te z kolei wymagają uwzględnienia w strukturze funkcjonalno-przestrzennej miasta. Dotyczą one między innymi relacji obszarów mieszkaniowych względem usługowych i ich obukierunkowej adaptacji czy nowych wyzwań dla przestrzeni publicznych i systemu transportowego. Doświadczenia ostatnich lat pokazały, że sytuacja mieszkańców miast jest podatna na różnego typu wahania, a jakość życia człowieka zależy od realizacji podstawowych potrzeb i utrzymywania </w:t>
      </w:r>
      <w:r w:rsidRPr="00E00B35">
        <w:rPr>
          <w:rFonts w:cs="Verdana"/>
          <w:szCs w:val="20"/>
          <w:lang w:eastAsia="pl-PL"/>
        </w:rPr>
        <w:lastRenderedPageBreak/>
        <w:t>kontaktów międzyludzkich. Niezwykle istotne są działania wspierające lokalne społeczności, w zakresie budowania tożsamości, poczucia przywiązania i odpowiedzialności za wspólne otoczenie i jego funkcjonowanie.</w:t>
      </w:r>
    </w:p>
    <w:p w:rsidR="006C7858" w:rsidRPr="00E00B35" w:rsidRDefault="006C7858" w:rsidP="00E00B35">
      <w:pPr>
        <w:autoSpaceDE w:val="0"/>
        <w:autoSpaceDN w:val="0"/>
        <w:adjustRightInd w:val="0"/>
        <w:spacing w:after="0" w:line="312" w:lineRule="auto"/>
        <w:rPr>
          <w:rFonts w:cs="Verdana"/>
          <w:szCs w:val="20"/>
          <w:lang w:eastAsia="pl-PL"/>
        </w:rPr>
      </w:pPr>
      <w:r w:rsidRPr="00E00B35">
        <w:rPr>
          <w:rFonts w:cs="Verdana"/>
          <w:szCs w:val="20"/>
          <w:lang w:eastAsia="pl-PL"/>
        </w:rPr>
        <w:t xml:space="preserve">Tożsamość, równowaga oraz odporność stanowią filary nowego spojrzenia na Wrocław jako miasta innowacyjnego i przygotowanego na stojące przed nim wyzwania. Otwartość na transformacje i projekty cywilizacyjne jest szansą na kreowanie europejskiej </w:t>
      </w:r>
      <w:r w:rsidRPr="00E00B35">
        <w:rPr>
          <w:rFonts w:cs="Verdana"/>
          <w:szCs w:val="20"/>
        </w:rPr>
        <w:t xml:space="preserve">nowoczesnej metropolii i miasta bliskiego mieszkańcom. </w:t>
      </w:r>
      <w:r w:rsidRPr="00E00B35">
        <w:rPr>
          <w:rFonts w:cs="Verdana"/>
          <w:szCs w:val="20"/>
          <w:lang w:eastAsia="pl-PL"/>
        </w:rPr>
        <w:t>Opracowanie zmiany Studium ma na celu dostosowanie jego ustaleń do zachodzących przemian w strukturze przestrzennej miasta, w tym dotyczących przeznaczenia terenów oraz wyzwań w zakresie rozwoju społeczno – gospodarczego Wrocławia. Aktualizacji wymaga część uwarunkowań oraz ustaleń kierunkowych, które zostaną dostosowane do aktualnego stanu zagospodarowania i uwarunkowań prawnych.</w:t>
      </w:r>
    </w:p>
    <w:p w:rsidR="006C7858" w:rsidRPr="00E00B35" w:rsidRDefault="006C7858" w:rsidP="00E00B35">
      <w:pPr>
        <w:autoSpaceDE w:val="0"/>
        <w:autoSpaceDN w:val="0"/>
        <w:adjustRightInd w:val="0"/>
        <w:spacing w:after="0" w:line="312" w:lineRule="auto"/>
        <w:rPr>
          <w:rFonts w:cs="Verdana"/>
          <w:szCs w:val="20"/>
          <w:lang w:eastAsia="pl-PL"/>
        </w:rPr>
      </w:pPr>
      <w:r w:rsidRPr="00E00B35">
        <w:rPr>
          <w:rFonts w:cs="Verdana"/>
          <w:szCs w:val="20"/>
          <w:lang w:eastAsia="pl-PL"/>
        </w:rPr>
        <w:t>Projekt zmiany Studium będzie  konsultowany z mieszkańcami, specjalistami oraz instytucjami i organizacjami pozarządowymi. Propozycje zmian oraz warianty rozwiązań, będą udostępniane publicznie, a ich ostatecznie przyjęta forma będzie efektem przeprowadzonych dyskusji i warsztatów tematycznych pomiędzy wszystkimi uczestnikami procesu planistycznego.</w:t>
      </w:r>
    </w:p>
    <w:p w:rsidR="006C7858" w:rsidRPr="00E00B35" w:rsidRDefault="006C7858" w:rsidP="00E00B35">
      <w:pPr>
        <w:autoSpaceDE w:val="0"/>
        <w:autoSpaceDN w:val="0"/>
        <w:adjustRightInd w:val="0"/>
        <w:spacing w:after="0" w:line="312" w:lineRule="auto"/>
        <w:rPr>
          <w:rFonts w:cs="Verdana"/>
          <w:szCs w:val="20"/>
          <w:lang w:eastAsia="pl-PL"/>
        </w:rPr>
      </w:pPr>
      <w:r w:rsidRPr="00E00B35">
        <w:rPr>
          <w:rFonts w:cs="Verdana"/>
          <w:szCs w:val="20"/>
          <w:lang w:eastAsia="pl-PL"/>
        </w:rPr>
        <w:t>Przyjęte ustalenia kierunkowe oraz kształt polityk zawarte w obecnie obowiązującym Studium są nadal aktualne i będą kontynuowane w nowym dokumencie. Nowa edycja Studium jest reakcją na postępujące przemiany społeczno-gospodarcze oraz zjawiska zachodzące w środowisku przyrodniczym i przy uwzględnieniu tych procesów będzie opracowana w trybie zmiany dla całego obszaru miasta.</w:t>
      </w:r>
    </w:p>
    <w:p w:rsidR="00BE6C24" w:rsidRPr="00E00B35" w:rsidRDefault="00BE6C24" w:rsidP="00E00B35">
      <w:pPr>
        <w:spacing w:after="0" w:line="312" w:lineRule="auto"/>
        <w:rPr>
          <w:color w:val="000000"/>
          <w:szCs w:val="20"/>
          <w:lang w:val="pl-PL"/>
        </w:rPr>
      </w:pPr>
    </w:p>
    <w:p w:rsidR="00F408D9" w:rsidRPr="00E00B35" w:rsidRDefault="00F408D9" w:rsidP="00E00B35">
      <w:pPr>
        <w:pStyle w:val="Nagwek3"/>
        <w:spacing w:after="0" w:line="312" w:lineRule="auto"/>
        <w:rPr>
          <w:sz w:val="20"/>
        </w:rPr>
      </w:pPr>
      <w:bookmarkStart w:id="40" w:name="_Toc38006316"/>
      <w:r w:rsidRPr="00E00B35">
        <w:rPr>
          <w:sz w:val="20"/>
        </w:rPr>
        <w:t>BIURO STRATEGII MIASTA</w:t>
      </w:r>
      <w:bookmarkEnd w:id="40"/>
    </w:p>
    <w:p w:rsidR="00F408D9" w:rsidRPr="00E00B35" w:rsidRDefault="00F408D9" w:rsidP="00E00B35">
      <w:pPr>
        <w:pStyle w:val="Nagwek4"/>
        <w:spacing w:before="0" w:after="0" w:line="312" w:lineRule="auto"/>
        <w:rPr>
          <w:sz w:val="20"/>
          <w:szCs w:val="20"/>
        </w:rPr>
      </w:pPr>
      <w:r w:rsidRPr="00E00B35">
        <w:rPr>
          <w:sz w:val="20"/>
          <w:szCs w:val="20"/>
        </w:rPr>
        <w:t>KLUCZOWE ZADANIE REALIZOWANE PRZEZ BIURO</w:t>
      </w:r>
    </w:p>
    <w:p w:rsidR="00F408D9" w:rsidRPr="00E00B35" w:rsidRDefault="00F408D9" w:rsidP="00BC64AB">
      <w:pPr>
        <w:pStyle w:val="Nagwek5"/>
        <w:numPr>
          <w:ilvl w:val="0"/>
          <w:numId w:val="280"/>
        </w:numPr>
        <w:ind w:left="426" w:hanging="426"/>
        <w:rPr>
          <w:szCs w:val="20"/>
        </w:rPr>
      </w:pPr>
      <w:r w:rsidRPr="00E00B35">
        <w:rPr>
          <w:szCs w:val="20"/>
        </w:rPr>
        <w:t>Raport o stanie gminy Wrocław:</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koordynacja prac i opracowanie Raportu za rok 2019, współpraca z departamentami i podległymi mu jednostkami, instytucjami, spółkami, przygotowanie materiałów na sesję absolutoryjną dla Prezydenta Jacka Sutryka,</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prace koncepcyjne Raportu za rok 2020: opracowanie struktury dokumentu, harmonogramu prac, koordynacja wstępnych prac, współpraca z departamentami i podległymi mu jednostkami, instytucjami, spółkami;</w:t>
      </w:r>
    </w:p>
    <w:p w:rsidR="00F408D9" w:rsidRPr="00E00B35" w:rsidRDefault="00F408D9" w:rsidP="00BC64AB">
      <w:pPr>
        <w:pStyle w:val="Nagwek5"/>
        <w:numPr>
          <w:ilvl w:val="0"/>
          <w:numId w:val="280"/>
        </w:numPr>
        <w:ind w:left="426" w:hanging="426"/>
        <w:rPr>
          <w:szCs w:val="20"/>
        </w:rPr>
      </w:pPr>
      <w:r w:rsidRPr="00E00B35">
        <w:rPr>
          <w:szCs w:val="20"/>
        </w:rPr>
        <w:t>Założenia polityki społeczno-gospodarczej Wrocławia</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opracowanie strategicznego dokumentu krótkookresowego na rok budżetowy 2021, zawierającego  szczegółowe cele rozwoju społeczno-gospodarczego miasta w perspektywie jednorocznej; harmonogram prac, współpraca z departamentami i podległymi mu jednostkami, instytucjami, spółkami,</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monitoring realizacji zadań zawartych w dokumencie Założeń na 2019;</w:t>
      </w:r>
    </w:p>
    <w:p w:rsidR="00FF6C85" w:rsidRPr="00E00B35" w:rsidRDefault="00F408D9" w:rsidP="00BC64AB">
      <w:pPr>
        <w:pStyle w:val="Nagwek5"/>
        <w:numPr>
          <w:ilvl w:val="0"/>
          <w:numId w:val="280"/>
        </w:numPr>
        <w:ind w:left="426" w:hanging="426"/>
        <w:rPr>
          <w:szCs w:val="20"/>
        </w:rPr>
      </w:pPr>
      <w:r w:rsidRPr="00E00B35">
        <w:rPr>
          <w:szCs w:val="20"/>
        </w:rPr>
        <w:lastRenderedPageBreak/>
        <w:t xml:space="preserve">Monitoring wdrażania Strategii Wrocław 2030 </w:t>
      </w:r>
    </w:p>
    <w:p w:rsidR="00F408D9" w:rsidRPr="00E00B35" w:rsidRDefault="00F408D9" w:rsidP="00E00B35">
      <w:pPr>
        <w:pStyle w:val="Nagwek5"/>
        <w:ind w:left="426"/>
        <w:rPr>
          <w:b w:val="0"/>
          <w:szCs w:val="20"/>
        </w:rPr>
      </w:pPr>
      <w:r w:rsidRPr="00E00B35">
        <w:rPr>
          <w:b w:val="0"/>
          <w:szCs w:val="20"/>
        </w:rPr>
        <w:t xml:space="preserve">przygotowanie i prowadzenie prac Komitetu Monitorującego Strategię Wrocław 2030; </w:t>
      </w:r>
    </w:p>
    <w:p w:rsidR="00FF6C85" w:rsidRPr="00E00B35" w:rsidRDefault="00F408D9" w:rsidP="00BC64AB">
      <w:pPr>
        <w:pStyle w:val="Nagwek5"/>
        <w:numPr>
          <w:ilvl w:val="0"/>
          <w:numId w:val="280"/>
        </w:numPr>
        <w:ind w:left="426" w:hanging="426"/>
        <w:rPr>
          <w:szCs w:val="20"/>
        </w:rPr>
      </w:pPr>
      <w:r w:rsidRPr="00E00B35">
        <w:rPr>
          <w:szCs w:val="20"/>
        </w:rPr>
        <w:t>Wrocławski Obszar Metropolitalny</w:t>
      </w:r>
    </w:p>
    <w:p w:rsidR="00F408D9" w:rsidRPr="00E00B35" w:rsidRDefault="00F408D9" w:rsidP="00E00B35">
      <w:pPr>
        <w:pStyle w:val="Nagwek5"/>
        <w:ind w:left="426"/>
        <w:rPr>
          <w:b w:val="0"/>
          <w:szCs w:val="20"/>
        </w:rPr>
      </w:pPr>
      <w:r w:rsidRPr="00E00B35">
        <w:rPr>
          <w:b w:val="0"/>
          <w:szCs w:val="20"/>
        </w:rPr>
        <w:t>działania realizowane w różnych formułach i stowarzyszeniach dolnośląskich samorządów, w takich obszarach tematycznych, jak transport aglomeracyjny, walka ze smogiem, wykorzystanie Odry, mieszkalnictwo, suburbanizacja, zbieranie i analiza danych oraz sporządzanie opracowań i publikacji danych statystycznych o Wrocławiu i Wrocławskim Obszarze M</w:t>
      </w:r>
      <w:r w:rsidR="00FF6C85" w:rsidRPr="00E00B35">
        <w:rPr>
          <w:b w:val="0"/>
          <w:szCs w:val="20"/>
        </w:rPr>
        <w:t>etropolitalnym</w:t>
      </w:r>
    </w:p>
    <w:p w:rsidR="00F408D9" w:rsidRPr="00E00B35" w:rsidRDefault="00FF6C85" w:rsidP="00E00B35">
      <w:pPr>
        <w:pStyle w:val="Nagwek4"/>
        <w:spacing w:before="0" w:after="0" w:line="312" w:lineRule="auto"/>
        <w:rPr>
          <w:sz w:val="20"/>
          <w:szCs w:val="20"/>
        </w:rPr>
      </w:pPr>
      <w:r w:rsidRPr="00E00B35">
        <w:rPr>
          <w:sz w:val="20"/>
          <w:szCs w:val="20"/>
        </w:rPr>
        <w:t>DZIAŁANIA INNE</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Działania edukacyjno-informacyjne na temat założeń Strategii Wrocław 2030 (broszury, biuletyn informacyjny);</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Przygotowania i organizacja I seminarium Sztuczna inteligencja – szanse dla Wrocławskiego Obszaru Metropolitalnego – luty 2020 r.;</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Współpraca przy przygotowaniu II seminarium Sztuczna inteligencja dla dobrego życia: medycyna -nauka- biznes – wrzesień 2020 r.;</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Współpraca i wsparcie merytoryczne przy stworzeniu nowej delimitacji obszaru Zintegrowanych Inwestycji Terytorialnych WrOF, zakończone decyzją Komitetu Sterującego ZITWrOF decyzją o rozszerzeniu obszaru o 4 gminy: miasto Oława, gmina Oława, gmina Dobroszyce, Zawonia;</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Nadzór nad opiniowaniem aktów prawnych w celu wypracowania wspólnego stanowiska samorządu terytorialnego w ramach KRWIST/ZMP/UMP − koordynowanie prowadzenia korespondencji;</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Organizacja i wsparcie merytoryczne spotkań z samorządami odnośnie kluczowych inwestycji drogowych w regionie Dolnego Śląska, celem spójnego stanowisko do rządu i Generalnej Dyrekcji Dróg Krajowych i Autostrad</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Współpraca przy analizie obszarów strategicznych i zadań na rzecz neutralności miasta na rzecz klimatu;</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Przygotowywanie stanowisk pomocniczych - opiniowanie projektów miejscowych planów zagospodarowania przestrzennego i studiów uwarunkowań i kierunków zagospodarowania przestrzennego gmin sąsiadujących z Wrocławiem.</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Ewaluacja zadań zawartych w Programie Prezydenta;</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Współpraca merytoryczna dot. Raportu z wykonania Programu Ochrony Środowiska dla miasta Wrocławia na lata 2016-2020;</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Udział w pracach stałego zespołu Centrów Aktywności Lokalnej;</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Udział w pracach koncepcyjnych zagospodarowania przestrzenno-funkcjonalnego zespołu dawnej zajezdni nr 5 „Popowice”;</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Udział w warsztatach „Building a safer and more resilient Wrocław in the nextnormal” – próba wypracowania ustrukturyzowane podejście do zwiększenia odporności budżetu miejskiego;</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Prace koncepcyjne dotyczące rozwoju lokalnych ryneczków osiedlowych;</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Analizy wstępne na rzecz wypracowania scenariuszy rozwoju Wrocławia.</w:t>
      </w:r>
    </w:p>
    <w:p w:rsidR="00FF6C85" w:rsidRPr="00E00B35" w:rsidRDefault="00FF6C85" w:rsidP="00E00B35">
      <w:pPr>
        <w:tabs>
          <w:tab w:val="left" w:pos="426"/>
        </w:tabs>
        <w:spacing w:after="0" w:line="312" w:lineRule="auto"/>
        <w:ind w:left="426"/>
        <w:rPr>
          <w:rFonts w:cs="Arial"/>
          <w:szCs w:val="20"/>
        </w:rPr>
      </w:pPr>
    </w:p>
    <w:p w:rsidR="00F408D9" w:rsidRPr="00E00B35" w:rsidRDefault="00F408D9" w:rsidP="00E00B35">
      <w:pPr>
        <w:pStyle w:val="Nagwek3"/>
        <w:spacing w:after="0" w:line="312" w:lineRule="auto"/>
        <w:rPr>
          <w:sz w:val="20"/>
        </w:rPr>
      </w:pPr>
      <w:r w:rsidRPr="00E00B35">
        <w:rPr>
          <w:sz w:val="20"/>
        </w:rPr>
        <w:lastRenderedPageBreak/>
        <w:t xml:space="preserve">BIURA ROZWOJU ORGANIZACJI </w:t>
      </w:r>
    </w:p>
    <w:p w:rsidR="00F408D9" w:rsidRPr="00E00B35" w:rsidRDefault="00F408D9" w:rsidP="00E00B35">
      <w:pPr>
        <w:spacing w:after="0" w:line="312" w:lineRule="auto"/>
        <w:rPr>
          <w:szCs w:val="20"/>
        </w:rPr>
      </w:pPr>
      <w:r w:rsidRPr="00E00B35">
        <w:rPr>
          <w:szCs w:val="20"/>
        </w:rPr>
        <w:t>W ramach zadań realizowanych przez Biuro Rozwoju Organizacji w 2020 roku podjęto prace w obszarze transformacji cyfrowej i procesowej Urzędu Miejskiego Wrocławia oraz Gospodarki Obiegu Zamkniętego.</w:t>
      </w:r>
    </w:p>
    <w:p w:rsidR="00FF6C85" w:rsidRPr="00E00B35" w:rsidRDefault="00FF6C85" w:rsidP="00E00B35">
      <w:pPr>
        <w:spacing w:after="0" w:line="312" w:lineRule="auto"/>
        <w:rPr>
          <w:szCs w:val="20"/>
        </w:rPr>
      </w:pPr>
    </w:p>
    <w:p w:rsidR="00F408D9" w:rsidRPr="00E00B35" w:rsidRDefault="00F408D9" w:rsidP="00E00B35">
      <w:pPr>
        <w:pStyle w:val="Nagwek4"/>
        <w:spacing w:before="0" w:after="0" w:line="312" w:lineRule="auto"/>
        <w:rPr>
          <w:sz w:val="20"/>
          <w:szCs w:val="20"/>
        </w:rPr>
      </w:pPr>
      <w:r w:rsidRPr="00E00B35">
        <w:rPr>
          <w:sz w:val="20"/>
          <w:szCs w:val="20"/>
        </w:rPr>
        <w:t>TRANSFORMACJA CYFROWA I PROCESOWA W UMW</w:t>
      </w:r>
    </w:p>
    <w:p w:rsidR="00F408D9" w:rsidRPr="00E00B35" w:rsidRDefault="00F408D9" w:rsidP="00E00B35">
      <w:pPr>
        <w:spacing w:after="0" w:line="312" w:lineRule="auto"/>
        <w:rPr>
          <w:szCs w:val="20"/>
        </w:rPr>
      </w:pPr>
      <w:r w:rsidRPr="00E00B35">
        <w:rPr>
          <w:szCs w:val="20"/>
        </w:rPr>
        <w:t>W ramach działalności Biura kontynuowano prace w obszarze transformacji cyfrowej i procesowej. Szereg procesów zostało poddanych modelowaniu, analizie i optymalizacji służących poprawie jakości i efektywności zarówno realizowanych zadań, jak i świadczonych usług. Wybrane obszary procesowe zostały rekomendowane do optymalizacji poprzez ich cyfryzację.</w:t>
      </w:r>
    </w:p>
    <w:p w:rsidR="00FF6C85" w:rsidRPr="00E00B35" w:rsidRDefault="00FF6C85" w:rsidP="00E00B35">
      <w:pPr>
        <w:spacing w:after="0" w:line="312" w:lineRule="auto"/>
        <w:rPr>
          <w:szCs w:val="20"/>
        </w:rPr>
      </w:pPr>
    </w:p>
    <w:p w:rsidR="00F408D9" w:rsidRPr="00E00B35" w:rsidRDefault="00F408D9" w:rsidP="00E00B35">
      <w:pPr>
        <w:pStyle w:val="Nagwek5"/>
        <w:rPr>
          <w:szCs w:val="20"/>
        </w:rPr>
      </w:pPr>
      <w:r w:rsidRPr="00E00B35">
        <w:rPr>
          <w:szCs w:val="20"/>
        </w:rPr>
        <w:t>Zespół ds. transformacji cyfrowej Wrocławia</w:t>
      </w:r>
    </w:p>
    <w:p w:rsidR="00F408D9" w:rsidRPr="00E00B35" w:rsidRDefault="00F408D9" w:rsidP="00E00B35">
      <w:pPr>
        <w:spacing w:after="0" w:line="312" w:lineRule="auto"/>
        <w:rPr>
          <w:szCs w:val="20"/>
        </w:rPr>
      </w:pPr>
      <w:r w:rsidRPr="00E00B35">
        <w:rPr>
          <w:szCs w:val="20"/>
        </w:rPr>
        <w:t xml:space="preserve">Zarządzeniem Prezydenta Wrocławia nr 2936/20 z dn. 30 kwietnia 2020 roku powołano Zespół ds. transformacji cyfrowej Wrocławia. Biuro Rozwoju Organizacji prowadzi obsługę organizacyjno-techniczną Zespołu. Podstawowym celem funkcjonowania Zespołu jest wypracowanie spójnej wizji Wrocławia w obszarze transformacji cyfrowej. Do zadań Zespołu należy w pierwszej kolejności opiniowanie wszelkich inicjatyw podejmowanych przez komórki organizacyjne UMW w ramach realizowanych zadań z zakresu transformacji cyfrowej oraz identyfikacja i analiza obszarów, które powinny zostać objęte transformacją cyfrową oraz nadanie im odpowiednich priorytetów. Zespół pełni funkcje inicjujące i rekomendacyjne we wszelkich sprawach dotyczących wypracowania strategicznych priorytetów transformacji cyfrowej dla Miasta. W 2020 roku podczas spotkań Zespołu omawiano następujące zagadnienia: </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projekty proponowane do realizacji w ramach programu Zintegrowanych Inwestycji Terytorialnych Wrocławskiego Obszaru Funkcjonalnego (ZIT WrOF) wraz z zagadnieniami finansowymi; </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funkcjonalności systemu wprowadzonego w Zarządzie Geodezji, Kartografii i Katastru Miejskiego w kontekście łączenia z innymi systemami dziedzinowymi;</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kwestia powołania Zespołu ds. otwierania danych oraz wypracowania Polityki Otwartości Miasta Wrocławia;</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projekty zgłaszane przez Miasto Wrocław do Marszałka Województwa Dolnośląskiego w ramach prac przygotowawczych dla Krajowego Programu Odbudowy;</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zainicjowanie wypracowania Programu Transformacji Cyfrowej UMW;</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omówienie systemów dziedzinowych funkcjonujących w UMW będących przedmiotem ostatnich wdrożeń;</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inne tematy zgłaszane w ramach prac Zespołu.</w:t>
      </w:r>
    </w:p>
    <w:p w:rsidR="00FF6C85" w:rsidRPr="00E00B35" w:rsidRDefault="00FF6C85" w:rsidP="00E00B35">
      <w:pPr>
        <w:tabs>
          <w:tab w:val="left" w:pos="426"/>
        </w:tabs>
        <w:spacing w:after="0" w:line="312" w:lineRule="auto"/>
        <w:ind w:left="426"/>
        <w:rPr>
          <w:rFonts w:cs="Arial"/>
          <w:szCs w:val="20"/>
        </w:rPr>
      </w:pPr>
    </w:p>
    <w:p w:rsidR="00F408D9" w:rsidRPr="00E00B35" w:rsidRDefault="00F408D9" w:rsidP="00E00B35">
      <w:pPr>
        <w:pStyle w:val="Nagwek5"/>
        <w:rPr>
          <w:szCs w:val="20"/>
        </w:rPr>
      </w:pPr>
      <w:r w:rsidRPr="00E00B35">
        <w:rPr>
          <w:szCs w:val="20"/>
        </w:rPr>
        <w:t>Program Transformacji Cyfrowej</w:t>
      </w:r>
    </w:p>
    <w:p w:rsidR="00F408D9" w:rsidRPr="00E00B35" w:rsidRDefault="00F408D9" w:rsidP="00E00B35">
      <w:pPr>
        <w:spacing w:after="0" w:line="312" w:lineRule="auto"/>
        <w:rPr>
          <w:szCs w:val="20"/>
        </w:rPr>
      </w:pPr>
      <w:r w:rsidRPr="00E00B35">
        <w:rPr>
          <w:szCs w:val="20"/>
        </w:rPr>
        <w:t xml:space="preserve">Rozpoczęto prace zmierzające do opracowania Programu Transformacji Cyfrowej Urzędu Miejskiego Wrocławia. Przeprowadzono warsztaty, w których uczestniczył Zespół ds. transformacji cyfrowej Wrocławia. Warsztaty dotyczyły wypracowania filarów cyfrowej </w:t>
      </w:r>
      <w:r w:rsidRPr="00E00B35">
        <w:rPr>
          <w:szCs w:val="20"/>
        </w:rPr>
        <w:lastRenderedPageBreak/>
        <w:t>transformacji, wyznaczenia obszarów tej transformacji, a także wskazania megatrendów technologicznych i społecznych wpływających na transformację cyfrową UMW.</w:t>
      </w:r>
    </w:p>
    <w:p w:rsidR="00F408D9" w:rsidRPr="00E00B35" w:rsidRDefault="00F408D9" w:rsidP="00E00B35">
      <w:pPr>
        <w:spacing w:after="0" w:line="312" w:lineRule="auto"/>
        <w:rPr>
          <w:szCs w:val="20"/>
        </w:rPr>
      </w:pPr>
      <w:r w:rsidRPr="00E00B35">
        <w:rPr>
          <w:szCs w:val="20"/>
        </w:rPr>
        <w:t>Nawiązano współpracę z Uniwersytetem Ekonomicznym w celu wypracowania modelu transformacji dla UMW. W ramach tej współpracy powstał Raport „Wstępna analiza oraz koncepcja transformacji procesowej i cyfrowej kluczowych procesów w UMW”. Na podstawie przeprowadzonych prac ustalono, iż zasadne jest wyodrębnienie trzech etapów wprowadzania programu procesowej i cyfrowej transformacji Urzędu: rozpoczynając od Departamentu Strategii i Rozwoju Miasta, poprzez transformację w zakresie strategicznych priorytetów Miasta takich jak transport i komunikacja, bezpieczeństwo, czyste powietrze oraz gospodarka cyrkularna i finalnie obejmując kompleksowo główne procesy departamentów Urzędu.</w:t>
      </w:r>
    </w:p>
    <w:p w:rsidR="00F408D9" w:rsidRPr="00E00B35" w:rsidRDefault="00F408D9" w:rsidP="00E00B35">
      <w:pPr>
        <w:spacing w:after="0" w:line="312" w:lineRule="auto"/>
        <w:rPr>
          <w:szCs w:val="20"/>
        </w:rPr>
      </w:pPr>
    </w:p>
    <w:p w:rsidR="00F408D9" w:rsidRPr="00E00B35" w:rsidRDefault="00F408D9" w:rsidP="00E00B35">
      <w:pPr>
        <w:pStyle w:val="Nagwek5"/>
        <w:rPr>
          <w:szCs w:val="20"/>
        </w:rPr>
      </w:pPr>
      <w:r w:rsidRPr="00E00B35">
        <w:rPr>
          <w:szCs w:val="20"/>
        </w:rPr>
        <w:t>Modelowanie procesów</w:t>
      </w:r>
    </w:p>
    <w:p w:rsidR="00F408D9" w:rsidRPr="00E00B35" w:rsidRDefault="00F408D9" w:rsidP="00E00B35">
      <w:pPr>
        <w:spacing w:after="0" w:line="312" w:lineRule="auto"/>
        <w:rPr>
          <w:szCs w:val="20"/>
        </w:rPr>
      </w:pPr>
      <w:r w:rsidRPr="00E00B35">
        <w:rPr>
          <w:szCs w:val="20"/>
        </w:rPr>
        <w:t>Podjęto realizację pierwszego etapu wprowadzenia programu procesowej i cyfrowej transformacji Urzędu. W wyniku przeprowadzonych wśród kierownictwa i pracowników Departamentu Strategii i Rozwoju Miasta spotkań, analiz, webinariów i ankiet określono procesy, których doskonalenie i usprawnianie uznano za najbardziej priorytetowe. Wskazano łącznie 15 takich procesów. Wszystkie one zostały opisane i przygotowano ich mapy procesowe, a dla części procesów przygotowano także wstępną ich optymalizację. Dodatkowo część procesów funkcjonujących w WAB i dotyczących procesu obsługi decyzji inwestycyjno-budowlanych włączono w projekt pn. „System transformacji cyfrowej i procesowej w Departamencie Strategii i Rozwoju Miasta Urzędu Miejskiego Wrocławia” w ramach aplikacji o środki unijne w obszarze ZIT WrOF. 13 procesów kończących się e-usługą, wskazanych w ramach projektu, zostało opisanych zarówno w stanie obecnym („As Is”), jak i w stanie projektowym („To Be”).</w:t>
      </w:r>
    </w:p>
    <w:p w:rsidR="00F408D9" w:rsidRPr="00E00B35" w:rsidRDefault="00F408D9" w:rsidP="00E00B35">
      <w:pPr>
        <w:spacing w:after="0" w:line="312" w:lineRule="auto"/>
        <w:rPr>
          <w:szCs w:val="20"/>
        </w:rPr>
      </w:pPr>
    </w:p>
    <w:p w:rsidR="00F408D9" w:rsidRPr="00E00B35" w:rsidRDefault="00F408D9" w:rsidP="00E00B35">
      <w:pPr>
        <w:pStyle w:val="Nagwek5"/>
        <w:rPr>
          <w:szCs w:val="20"/>
        </w:rPr>
      </w:pPr>
      <w:r w:rsidRPr="00E00B35">
        <w:rPr>
          <w:szCs w:val="20"/>
        </w:rPr>
        <w:t>Optymalizacja procesów</w:t>
      </w:r>
    </w:p>
    <w:p w:rsidR="00F408D9" w:rsidRPr="00E00B35" w:rsidRDefault="00F408D9" w:rsidP="00E00B35">
      <w:pPr>
        <w:spacing w:after="0" w:line="312" w:lineRule="auto"/>
        <w:rPr>
          <w:szCs w:val="20"/>
        </w:rPr>
      </w:pPr>
      <w:r w:rsidRPr="00E00B35">
        <w:rPr>
          <w:szCs w:val="20"/>
        </w:rPr>
        <w:t>Istotnym elementem pracy Biura stanowiło zaangażowanie w optymalizację procesów w dwóch obszarach: wymianie źródeł ogrzewania w mieszkaniowym zasobie komunalnym oraz obsłudze „mikropożyczek” realizowanej w Powiatowym Urzędzie Pracy.</w:t>
      </w:r>
    </w:p>
    <w:p w:rsidR="00F408D9" w:rsidRPr="00E00B35" w:rsidRDefault="00F408D9" w:rsidP="00E00B35">
      <w:pPr>
        <w:spacing w:after="0" w:line="312" w:lineRule="auto"/>
        <w:rPr>
          <w:szCs w:val="20"/>
        </w:rPr>
      </w:pPr>
    </w:p>
    <w:p w:rsidR="00F408D9" w:rsidRPr="00E00B35" w:rsidRDefault="00F408D9" w:rsidP="00E00B35">
      <w:pPr>
        <w:pStyle w:val="Nagwek5"/>
        <w:rPr>
          <w:szCs w:val="20"/>
        </w:rPr>
      </w:pPr>
      <w:r w:rsidRPr="00E00B35">
        <w:rPr>
          <w:szCs w:val="20"/>
        </w:rPr>
        <w:t>Współpraca z ZZK i WM – wymiana źródeł ogrzewania</w:t>
      </w:r>
    </w:p>
    <w:p w:rsidR="00F408D9" w:rsidRPr="00E00B35" w:rsidRDefault="00F408D9" w:rsidP="00E00B35">
      <w:pPr>
        <w:spacing w:after="0" w:line="312" w:lineRule="auto"/>
        <w:rPr>
          <w:szCs w:val="20"/>
        </w:rPr>
      </w:pPr>
      <w:r w:rsidRPr="00E00B35">
        <w:rPr>
          <w:szCs w:val="20"/>
        </w:rPr>
        <w:t>Biuro Rozwoju Organizacji uczestniczyło w 2020 roku w procesie wymiany źródeł ogrzewania w mieszkaniowym zasobie komunalnym. Poprzez wyznaczenie i scharakteryzowanie rodzajów klientów mogących skorzystać z wymiany ogrzewania oraz wskazania dla całości procesu ryzyk wraz z działaniami minimalizującymi. W toku prac w tym obszarze zarekomendowano również modernizację oprogramowania informatycznego w Zarządzie Zasobu Komunalnego oraz w spółce Wrocławskie Mieszkania, a przede wszystkim podjęcie działań w kierunku integracji i automatyzacji procesów zarządzania nieruchomościami komunalnymi w obu podmiotach oraz wdrożenie programu scalania baz danych. Wskazano również potrzebę integrowania systemów funkcjonujących u zarządców z innymi systemami miejskimi.</w:t>
      </w:r>
    </w:p>
    <w:p w:rsidR="00F408D9" w:rsidRPr="00E00B35" w:rsidRDefault="00F408D9" w:rsidP="00E00B35">
      <w:pPr>
        <w:spacing w:after="0" w:line="312" w:lineRule="auto"/>
        <w:rPr>
          <w:szCs w:val="20"/>
        </w:rPr>
      </w:pPr>
    </w:p>
    <w:p w:rsidR="00F408D9" w:rsidRPr="00E00B35" w:rsidRDefault="00F408D9" w:rsidP="00E00B35">
      <w:pPr>
        <w:pStyle w:val="Nagwek5"/>
        <w:rPr>
          <w:szCs w:val="20"/>
        </w:rPr>
      </w:pPr>
      <w:r w:rsidRPr="00E00B35">
        <w:rPr>
          <w:szCs w:val="20"/>
        </w:rPr>
        <w:lastRenderedPageBreak/>
        <w:t>Wsparcie działań Powiatowego Urzędu Pracy w zakresie udzielenia „mikropożyczek”</w:t>
      </w:r>
    </w:p>
    <w:p w:rsidR="00F408D9" w:rsidRPr="00E00B35" w:rsidRDefault="00F408D9" w:rsidP="00E00B35">
      <w:pPr>
        <w:spacing w:after="0" w:line="312" w:lineRule="auto"/>
        <w:rPr>
          <w:szCs w:val="20"/>
        </w:rPr>
      </w:pPr>
      <w:r w:rsidRPr="00E00B35">
        <w:rPr>
          <w:szCs w:val="20"/>
        </w:rPr>
        <w:t>W ramach przeciwdziałania skutkom pandemii COVID-19 Powiatowy Urząd Pracy we Wrocławiu od 1 kwietnia 2020 roku prowadził nabór wniosków m.in. o udzielenie pożyczki na pokrycie bieżących kosztów prowadzenia działalności gospodarczej mikroprzedsiębiorcy, tzw. „mikropożyczki”. Olbrzymie zainteresowanie przedsiębiorców tą formą wsparcia sprawiło, że koniecznym stało się zoptymalizowanie procesu realizacji złożonych wniosków, tak by były one jak najszybciej weryfikowane i procedowane, a pożyczki wypłacane. W toku przeprowadzonych działań optymalizacyjnych Wrocław stał się liderem wśród miast pod kątem szybkości weryfikacji wniosków o udzielenie pożyczki, a także wysokości udzielonych świadczeń finansowych.</w:t>
      </w:r>
    </w:p>
    <w:p w:rsidR="00F408D9" w:rsidRPr="00E00B35" w:rsidRDefault="00F408D9" w:rsidP="00E00B35">
      <w:pPr>
        <w:spacing w:after="0" w:line="312" w:lineRule="auto"/>
        <w:rPr>
          <w:szCs w:val="20"/>
        </w:rPr>
      </w:pPr>
    </w:p>
    <w:p w:rsidR="00F408D9" w:rsidRPr="00E00B35" w:rsidRDefault="00F408D9" w:rsidP="00E00B35">
      <w:pPr>
        <w:pStyle w:val="Nagwek5"/>
        <w:rPr>
          <w:szCs w:val="20"/>
        </w:rPr>
      </w:pPr>
      <w:r w:rsidRPr="00E00B35">
        <w:rPr>
          <w:szCs w:val="20"/>
        </w:rPr>
        <w:t>Tworzenie Katalogu usług</w:t>
      </w:r>
    </w:p>
    <w:p w:rsidR="00F408D9" w:rsidRPr="00E00B35" w:rsidRDefault="00F408D9" w:rsidP="00E00B35">
      <w:pPr>
        <w:spacing w:after="0" w:line="312" w:lineRule="auto"/>
        <w:rPr>
          <w:szCs w:val="20"/>
        </w:rPr>
      </w:pPr>
      <w:r w:rsidRPr="00E00B35">
        <w:rPr>
          <w:szCs w:val="20"/>
        </w:rPr>
        <w:t xml:space="preserve">W pracach nad tworzeniem Katalogu usług rozpoczęto pierwszy etap polegający na ewidencji usług Urzędu Miejskiego Wrocławia świadczonych na rzecz mieszkańców. Na koniec 2020 roku zebrano 353 usługi i określono dla każdej z nich poziom dojrzałości cyfrowej. Wraz z CUI dokonano diagnozy usług pod kątem szybkiej ścieżki cyfryzacji. W toku przygotowywania Katalogu usług skatalogowano wszystkie usługi i ustalono ich podział na 12 kategorii. Jednocześnie opracowano drzewo strony internetowej poświęconej usługom oraz scharakteryzowano rodzaje i profile klientów strony www. </w:t>
      </w:r>
    </w:p>
    <w:p w:rsidR="00F408D9" w:rsidRPr="00E00B35" w:rsidRDefault="00F408D9" w:rsidP="00E00B35">
      <w:pPr>
        <w:spacing w:after="0" w:line="312" w:lineRule="auto"/>
        <w:rPr>
          <w:szCs w:val="20"/>
        </w:rPr>
      </w:pPr>
    </w:p>
    <w:p w:rsidR="00F408D9" w:rsidRPr="00E00B35" w:rsidRDefault="00F408D9" w:rsidP="00E00B35">
      <w:pPr>
        <w:pStyle w:val="Nagwek4"/>
        <w:spacing w:before="0" w:after="0" w:line="312" w:lineRule="auto"/>
        <w:rPr>
          <w:sz w:val="20"/>
          <w:szCs w:val="20"/>
        </w:rPr>
      </w:pPr>
      <w:r w:rsidRPr="00E00B35">
        <w:rPr>
          <w:sz w:val="20"/>
          <w:szCs w:val="20"/>
        </w:rPr>
        <w:t>GOSPODARKA OBIEGU ZAMKNIĘTEGO</w:t>
      </w:r>
    </w:p>
    <w:p w:rsidR="00F408D9" w:rsidRPr="00E00B35" w:rsidRDefault="00F408D9" w:rsidP="00E00B35">
      <w:pPr>
        <w:spacing w:after="0" w:line="312" w:lineRule="auto"/>
        <w:rPr>
          <w:szCs w:val="20"/>
        </w:rPr>
      </w:pPr>
      <w:r w:rsidRPr="00E00B35">
        <w:rPr>
          <w:szCs w:val="20"/>
        </w:rPr>
        <w:t>Zarządzeniem Prezydenta Wrocławia nr 2671/20 z dn. 5 marca 2020 r. powołano Pełnomocnika Prezydenta ds. gospodarki cyrkularnej. Obsługę administracyjno-techniczną Pełnomocnika prowadzi Biuro Rozwoju Organizacji. W ramach działalności Pełnomocnika wykonywane były czynności związane z inicjowaniem i koordynacją działań podejmowanych w ramach Urzędu Miejskiego Wrocławia związanych z realizacją założeń gospodarki cyrkularnej na terenie Miasta. Odbyło się to m.in. poprzez koordynowanie prac jednostek odpowiedzialnych za realizację zadań wynikających z przyjętych celów gospodarki cyrkularnej oraz nadzór nad planowaniem inwestycji oraz projektów wspierających transformację ku gospodarce o obiegu zamkniętym.</w:t>
      </w: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r w:rsidRPr="00E00B35">
        <w:rPr>
          <w:szCs w:val="20"/>
        </w:rPr>
        <w:t xml:space="preserve">W obszarze transformacji w kierunku gospodarki obiegu zamkniętego w 2020 roku realizowane były działania związane z podnoszeniem efektywności energetycznej </w:t>
      </w:r>
      <w:r w:rsidRPr="00E00B35">
        <w:rPr>
          <w:szCs w:val="20"/>
        </w:rPr>
        <w:br/>
        <w:t>i gospodarki odpadami.</w:t>
      </w:r>
    </w:p>
    <w:p w:rsidR="00F408D9" w:rsidRPr="00E00B35" w:rsidRDefault="00F408D9" w:rsidP="00E00B35">
      <w:pPr>
        <w:spacing w:after="0" w:line="312" w:lineRule="auto"/>
        <w:rPr>
          <w:szCs w:val="20"/>
        </w:rPr>
      </w:pPr>
    </w:p>
    <w:p w:rsidR="00F408D9" w:rsidRPr="00E00B35" w:rsidRDefault="00F408D9" w:rsidP="00E00B35">
      <w:pPr>
        <w:pStyle w:val="Nagwek5"/>
        <w:rPr>
          <w:szCs w:val="20"/>
        </w:rPr>
      </w:pPr>
      <w:r w:rsidRPr="00E00B35">
        <w:rPr>
          <w:szCs w:val="20"/>
        </w:rPr>
        <w:t>Podnoszenie efektywności energetycznej</w:t>
      </w:r>
    </w:p>
    <w:p w:rsidR="00F408D9" w:rsidRPr="00E00B35" w:rsidRDefault="00F408D9" w:rsidP="00E00B35">
      <w:pPr>
        <w:spacing w:after="0" w:line="312" w:lineRule="auto"/>
        <w:rPr>
          <w:szCs w:val="20"/>
        </w:rPr>
      </w:pPr>
      <w:r w:rsidRPr="00E00B35">
        <w:rPr>
          <w:szCs w:val="20"/>
        </w:rPr>
        <w:t>W ramach tego obszaru zostały wykonane następujące czynności i dokumenty:</w:t>
      </w:r>
    </w:p>
    <w:p w:rsidR="00F408D9" w:rsidRPr="00E00B35" w:rsidRDefault="00F408D9" w:rsidP="00E00B35">
      <w:pPr>
        <w:spacing w:after="0" w:line="312" w:lineRule="auto"/>
        <w:rPr>
          <w:szCs w:val="20"/>
        </w:rPr>
      </w:pPr>
      <w:r w:rsidRPr="00E00B35">
        <w:rPr>
          <w:szCs w:val="20"/>
        </w:rPr>
        <w:t xml:space="preserve">Przeprowadzono audyty efektywności energetycznej oraz wykonano dokumentację przetargową pięciu obiektów miejskich oraz audyt dla oświetlenia ulicznego. </w:t>
      </w:r>
    </w:p>
    <w:p w:rsidR="00F408D9" w:rsidRPr="00E00B35" w:rsidRDefault="00F408D9" w:rsidP="00E00B35">
      <w:pPr>
        <w:spacing w:after="0" w:line="312" w:lineRule="auto"/>
        <w:rPr>
          <w:szCs w:val="20"/>
        </w:rPr>
      </w:pPr>
      <w:r w:rsidRPr="00E00B35">
        <w:rPr>
          <w:szCs w:val="20"/>
        </w:rPr>
        <w:t xml:space="preserve">Koordynowane były prace w zakresie wykonania audytu efektywności energetycznej dla wszystkich obiektów w spółce Spartan. </w:t>
      </w:r>
    </w:p>
    <w:p w:rsidR="00F408D9" w:rsidRPr="00E00B35" w:rsidRDefault="00F408D9" w:rsidP="00E00B35">
      <w:pPr>
        <w:spacing w:after="0" w:line="312" w:lineRule="auto"/>
        <w:rPr>
          <w:szCs w:val="20"/>
        </w:rPr>
      </w:pPr>
      <w:r w:rsidRPr="00E00B35">
        <w:rPr>
          <w:szCs w:val="20"/>
        </w:rPr>
        <w:lastRenderedPageBreak/>
        <w:t xml:space="preserve">Wykonano analizę w zakresie podniesienia efektywności energetycznej dla spółki Ekosystem. </w:t>
      </w:r>
    </w:p>
    <w:p w:rsidR="00F408D9" w:rsidRPr="00E00B35" w:rsidRDefault="00F408D9" w:rsidP="00E00B35">
      <w:pPr>
        <w:spacing w:after="0" w:line="312" w:lineRule="auto"/>
        <w:rPr>
          <w:szCs w:val="20"/>
        </w:rPr>
      </w:pPr>
      <w:r w:rsidRPr="00E00B35">
        <w:rPr>
          <w:szCs w:val="20"/>
        </w:rPr>
        <w:t xml:space="preserve">Opracowano fiszkę zgłoszeniową dla przedsięwzięcia związanego z poprawą efektywności energetycznej w budynkach użyteczności publicznej Gminy Wrocław, niezbędną do analizy zapotrzebowania realizacji projektów EFRR na potrzeby przygotowania RPO WD 2021-2027. </w:t>
      </w:r>
    </w:p>
    <w:p w:rsidR="00F408D9" w:rsidRPr="00E00B35" w:rsidRDefault="00F408D9" w:rsidP="00E00B35">
      <w:pPr>
        <w:spacing w:after="0" w:line="312" w:lineRule="auto"/>
        <w:rPr>
          <w:szCs w:val="20"/>
        </w:rPr>
      </w:pPr>
      <w:r w:rsidRPr="00E00B35">
        <w:rPr>
          <w:szCs w:val="20"/>
        </w:rPr>
        <w:t xml:space="preserve">Opracowano program obejmujący realizację projektów w zakresie podniesienia efektywności energetycznej dla 50 budynków użyteczności publicznej. Wraz </w:t>
      </w:r>
      <w:r w:rsidRPr="00E00B35">
        <w:rPr>
          <w:szCs w:val="20"/>
        </w:rPr>
        <w:br/>
        <w:t xml:space="preserve">z Departamentem Edukacji, Wrocławskim Zespołem Żłobków oraz spółkami Spartan </w:t>
      </w:r>
      <w:r w:rsidRPr="00E00B35">
        <w:rPr>
          <w:szCs w:val="20"/>
        </w:rPr>
        <w:br/>
        <w:t>i Ekosystem określono zakres rzeczowy dla programu i wytypowano 50 budynków, które mają zostać tym programem objęte.</w:t>
      </w:r>
    </w:p>
    <w:p w:rsidR="00F408D9" w:rsidRPr="00E00B35" w:rsidRDefault="00F408D9" w:rsidP="00E00B35">
      <w:pPr>
        <w:spacing w:after="0" w:line="312" w:lineRule="auto"/>
        <w:rPr>
          <w:szCs w:val="20"/>
        </w:rPr>
      </w:pPr>
      <w:r w:rsidRPr="00E00B35">
        <w:rPr>
          <w:szCs w:val="20"/>
        </w:rPr>
        <w:t>Zweryfikowano możliwości budowy instalacji fotowoltaicznej dla budynku Straży Miejskiej przy ul. Na Grobli.</w:t>
      </w:r>
    </w:p>
    <w:p w:rsidR="00F408D9" w:rsidRPr="00E00B35" w:rsidRDefault="00F408D9" w:rsidP="00E00B35">
      <w:pPr>
        <w:spacing w:after="0" w:line="312" w:lineRule="auto"/>
        <w:rPr>
          <w:szCs w:val="20"/>
        </w:rPr>
      </w:pPr>
    </w:p>
    <w:p w:rsidR="00F408D9" w:rsidRPr="00E00B35" w:rsidRDefault="00F408D9" w:rsidP="00E00B35">
      <w:pPr>
        <w:pStyle w:val="Nagwek5"/>
        <w:rPr>
          <w:szCs w:val="20"/>
        </w:rPr>
      </w:pPr>
      <w:r w:rsidRPr="00E00B35">
        <w:rPr>
          <w:szCs w:val="20"/>
        </w:rPr>
        <w:t>Gospodarka odpadami</w:t>
      </w:r>
    </w:p>
    <w:p w:rsidR="00F408D9" w:rsidRPr="00E00B35" w:rsidRDefault="00F408D9" w:rsidP="00E00B35">
      <w:pPr>
        <w:spacing w:after="0" w:line="312" w:lineRule="auto"/>
        <w:rPr>
          <w:szCs w:val="20"/>
        </w:rPr>
      </w:pPr>
      <w:r w:rsidRPr="00E00B35">
        <w:rPr>
          <w:szCs w:val="20"/>
        </w:rPr>
        <w:t>W ramach tego obszaru zostały wykonane następujące czynności:</w:t>
      </w:r>
    </w:p>
    <w:p w:rsidR="00F408D9" w:rsidRPr="00E00B35" w:rsidRDefault="00F408D9" w:rsidP="00E00B35">
      <w:pPr>
        <w:spacing w:after="0" w:line="312" w:lineRule="auto"/>
        <w:rPr>
          <w:szCs w:val="20"/>
        </w:rPr>
      </w:pPr>
      <w:r w:rsidRPr="00E00B35">
        <w:rPr>
          <w:szCs w:val="20"/>
        </w:rPr>
        <w:t>Koordynowano działania w obszarze gospodarowania odpadami w zakresie planowania budowy instalacji biogazowi.</w:t>
      </w:r>
    </w:p>
    <w:p w:rsidR="00F408D9" w:rsidRPr="00E00B35" w:rsidRDefault="00F408D9" w:rsidP="00E00B35">
      <w:pPr>
        <w:spacing w:after="0" w:line="312" w:lineRule="auto"/>
        <w:rPr>
          <w:szCs w:val="20"/>
        </w:rPr>
      </w:pPr>
      <w:r w:rsidRPr="00E00B35">
        <w:rPr>
          <w:szCs w:val="20"/>
        </w:rPr>
        <w:t>Koordynowano działania związane z wykonaniem przez spółkę Ekosystem koncepcji zagospodarowania terenu dla planowanych dwóch nowych Punktów Selektywnego Zbierania Odpadów Komunalnych (PSZOK-i) na terenie Wrocławia.</w:t>
      </w:r>
    </w:p>
    <w:p w:rsidR="00F408D9" w:rsidRPr="00E00B35" w:rsidRDefault="00F408D9" w:rsidP="00E00B35">
      <w:pPr>
        <w:spacing w:after="0" w:line="312" w:lineRule="auto"/>
        <w:rPr>
          <w:szCs w:val="20"/>
        </w:rPr>
      </w:pPr>
      <w:r w:rsidRPr="00E00B35">
        <w:rPr>
          <w:szCs w:val="20"/>
        </w:rPr>
        <w:t>Koordynowano działania związane z wykonaniem przez spółkę Ekosystem badań opinii publicznej w zakresie funkcjonowania gospodarki odpadami na terenie Wrocławia.</w:t>
      </w:r>
    </w:p>
    <w:p w:rsidR="00F408D9" w:rsidRPr="00E00B35" w:rsidRDefault="00F408D9" w:rsidP="00E00B35">
      <w:pPr>
        <w:spacing w:after="0" w:line="312" w:lineRule="auto"/>
        <w:rPr>
          <w:szCs w:val="20"/>
        </w:rPr>
      </w:pPr>
      <w:r w:rsidRPr="00E00B35">
        <w:rPr>
          <w:szCs w:val="20"/>
        </w:rPr>
        <w:t xml:space="preserve"> </w:t>
      </w:r>
    </w:p>
    <w:p w:rsidR="00F408D9" w:rsidRPr="00E00B35" w:rsidRDefault="00F408D9" w:rsidP="00E00B35">
      <w:pPr>
        <w:pStyle w:val="Nagwek3"/>
        <w:spacing w:after="0" w:line="312" w:lineRule="auto"/>
        <w:rPr>
          <w:sz w:val="20"/>
        </w:rPr>
      </w:pPr>
      <w:r w:rsidRPr="00E00B35">
        <w:rPr>
          <w:sz w:val="20"/>
        </w:rPr>
        <w:t>OCHRONA ZABYTKÓW</w:t>
      </w:r>
    </w:p>
    <w:p w:rsidR="00F408D9" w:rsidRPr="00E00B35" w:rsidRDefault="00F408D9" w:rsidP="00E00B35">
      <w:pPr>
        <w:spacing w:after="0" w:line="312" w:lineRule="auto"/>
        <w:rPr>
          <w:szCs w:val="20"/>
        </w:rPr>
      </w:pPr>
      <w:r w:rsidRPr="00E00B35">
        <w:rPr>
          <w:szCs w:val="20"/>
        </w:rPr>
        <w:t>Wydatki majątkowe – plan po zmianach 6.900.000 zł:</w:t>
      </w:r>
    </w:p>
    <w:p w:rsidR="00F408D9" w:rsidRPr="00E00B35" w:rsidRDefault="00F408D9" w:rsidP="00E00B35">
      <w:pPr>
        <w:spacing w:after="0" w:line="312" w:lineRule="auto"/>
        <w:rPr>
          <w:szCs w:val="20"/>
        </w:rPr>
      </w:pPr>
      <w:r w:rsidRPr="00E00B35">
        <w:rPr>
          <w:szCs w:val="20"/>
        </w:rPr>
        <w:t xml:space="preserve">dotacje przyznane w oparciu o uchwałę nr LIV/3242/06 Rady Miejskiej Wrocławia </w:t>
      </w:r>
      <w:r w:rsidRPr="00E00B35">
        <w:rPr>
          <w:szCs w:val="20"/>
        </w:rPr>
        <w:br/>
        <w:t>w sprawie przyjęcia zasad i trybu udzielania dotacji celowej na prace konserwatorskie, restauratorskie i roboty budowlane przy zabytku wpisanym do rejestru zabytków położonym na terenie Gminy Wrocław. Zadanie zrealizowano za kwotę 3.172.797,39 zł na remont 9 kamienic. Wykonano prace konserwatorsko-budowlane w poniżej wymienionych nieruchomościach:</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ul. Jedności Narodowej 174 – elewacje,</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ul. gen. Karola Kniaziewicza 17 – elewacje,</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ul. Hugona Kołłątaja 11/12 – elewacja,</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ul. Białoskórnicza 26/27 – elewacje,</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ul. św. Mikołaja 43 – elewacja,</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ul. Rynek 18 – dach,</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ul. Rynek – Ratusz 15 – dach,</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ul. Stanisława Worcella 5a – elewacje,</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ul. Władysława Łokietka 2 – dach, elewacje;</w:t>
      </w:r>
    </w:p>
    <w:p w:rsidR="00F408D9" w:rsidRPr="00E00B35" w:rsidRDefault="00F408D9" w:rsidP="00E00B35">
      <w:pPr>
        <w:spacing w:after="0" w:line="312" w:lineRule="auto"/>
        <w:rPr>
          <w:szCs w:val="20"/>
        </w:rPr>
      </w:pPr>
      <w:r w:rsidRPr="00E00B35">
        <w:rPr>
          <w:szCs w:val="20"/>
        </w:rPr>
        <w:t xml:space="preserve">zrealizowano zadanie publiczne z zakresu ochrony dóbr kultury i dziedzictwa narodowego, polegające na prowadzeniu prac konserwatorskich, restauratorskich oraz </w:t>
      </w:r>
      <w:r w:rsidRPr="00E00B35">
        <w:rPr>
          <w:szCs w:val="20"/>
        </w:rPr>
        <w:lastRenderedPageBreak/>
        <w:t>robót remontowo-budowlanych obiektów sakralnych oraz świeckich, ruchomych i nieruchomych, zabytków techniki wpisanych do rejestru zabytków, położonych na terenie Wrocławia. Wykorzystano 3.435.943,17 zł, dofinansowano 20 obiektów dla 18 organizacji pozarządowych. Wykonano między innymi następujące prace konserwatorsko-budowlane:</w:t>
      </w:r>
    </w:p>
    <w:p w:rsidR="00F408D9" w:rsidRPr="00E00B35" w:rsidRDefault="00F408D9" w:rsidP="00E00B35">
      <w:pPr>
        <w:spacing w:after="0" w:line="312" w:lineRule="auto"/>
        <w:rPr>
          <w:szCs w:val="20"/>
        </w:rPr>
      </w:pPr>
      <w:r w:rsidRPr="00E00B35">
        <w:rPr>
          <w:szCs w:val="20"/>
        </w:rPr>
        <w:t xml:space="preserve">w zespole budynków Zgromadzenia Sióstr Urszulanek Unii Rzymskiej przy pl. Nankiera wzmocnienie konstrukcji sklepień ceglanych oraz remont dachu, elewacji i wnętrza budynku dawnej kaplicy z przeznaczeniem na salę sportową liceum SS Urszulanek a także remont elewacji zachodniej w wirydarzu A, </w:t>
      </w:r>
    </w:p>
    <w:p w:rsidR="00F408D9" w:rsidRPr="00E00B35" w:rsidRDefault="00F408D9" w:rsidP="00E00B35">
      <w:pPr>
        <w:spacing w:after="0" w:line="312" w:lineRule="auto"/>
        <w:rPr>
          <w:szCs w:val="20"/>
        </w:rPr>
      </w:pPr>
      <w:r w:rsidRPr="00E00B35">
        <w:rPr>
          <w:szCs w:val="20"/>
        </w:rPr>
        <w:t xml:space="preserve">prace konserwatorskie wnętrza Katedry p. w. św. Jana Chrzciciela we Wrocławiu, </w:t>
      </w:r>
    </w:p>
    <w:p w:rsidR="00F408D9" w:rsidRPr="00E00B35" w:rsidRDefault="00F408D9" w:rsidP="00E00B35">
      <w:pPr>
        <w:spacing w:after="0" w:line="312" w:lineRule="auto"/>
        <w:rPr>
          <w:szCs w:val="20"/>
        </w:rPr>
      </w:pPr>
      <w:r w:rsidRPr="00E00B35">
        <w:rPr>
          <w:szCs w:val="20"/>
        </w:rPr>
        <w:t>szklenie okien greckokatolickiego kościoła p. w. św. Wincentego i Jakuba przy pl. Nankiera oraz prawosławnej cerkwi katedralnej p. w. Narodzenia Przenajświętszej Bogarodzicy przy ul. św. Mikołaja,</w:t>
      </w:r>
    </w:p>
    <w:p w:rsidR="00F408D9" w:rsidRPr="00E00B35" w:rsidRDefault="00F408D9" w:rsidP="00E00B35">
      <w:pPr>
        <w:spacing w:after="0" w:line="312" w:lineRule="auto"/>
        <w:rPr>
          <w:szCs w:val="20"/>
        </w:rPr>
      </w:pPr>
      <w:r w:rsidRPr="00E00B35">
        <w:rPr>
          <w:szCs w:val="20"/>
        </w:rPr>
        <w:t>remont organów w kościele p. w. św. Anny we Wrocławiu – Pracze Odrzańskie,</w:t>
      </w:r>
    </w:p>
    <w:p w:rsidR="00F408D9" w:rsidRPr="00E00B35" w:rsidRDefault="00F408D9" w:rsidP="00E00B35">
      <w:pPr>
        <w:spacing w:after="0" w:line="312" w:lineRule="auto"/>
        <w:rPr>
          <w:szCs w:val="20"/>
        </w:rPr>
      </w:pPr>
      <w:r w:rsidRPr="00E00B35">
        <w:rPr>
          <w:szCs w:val="20"/>
        </w:rPr>
        <w:t>kontynuacja prac rewitalizacyjnych na terenie Fortu Wrocław nr 9 we Wrocławiu – Fundacja Inicjatyw Społecznych i Kulturalnych „JEDYNKA”,</w:t>
      </w:r>
    </w:p>
    <w:p w:rsidR="00F408D9" w:rsidRPr="00E00B35" w:rsidRDefault="00F408D9" w:rsidP="00E00B35">
      <w:pPr>
        <w:spacing w:after="0" w:line="312" w:lineRule="auto"/>
        <w:rPr>
          <w:szCs w:val="20"/>
        </w:rPr>
      </w:pPr>
      <w:r w:rsidRPr="00E00B35">
        <w:rPr>
          <w:szCs w:val="20"/>
        </w:rPr>
        <w:t>restauracja zabytkowego autobusu socjalnego Jelcz 080 i przyczepy pasażerskiej Jelcz P-080 – Klub Sympatyków Transportu Miejskiego Wrocławia.</w:t>
      </w:r>
    </w:p>
    <w:p w:rsidR="00F408D9" w:rsidRPr="00E00B35" w:rsidRDefault="00F408D9" w:rsidP="00E00B35">
      <w:pPr>
        <w:spacing w:after="0" w:line="312" w:lineRule="auto"/>
        <w:rPr>
          <w:szCs w:val="20"/>
        </w:rPr>
      </w:pPr>
      <w:r w:rsidRPr="00E00B35">
        <w:rPr>
          <w:szCs w:val="20"/>
        </w:rPr>
        <w:t>W ciągu 2020 r. wydano:</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1442 decyzji konserwatorskich</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92 postanowień konserwatorskich.</w:t>
      </w:r>
    </w:p>
    <w:p w:rsidR="00F408D9" w:rsidRPr="00E00B35" w:rsidRDefault="00F408D9" w:rsidP="00E00B35">
      <w:pPr>
        <w:spacing w:after="0" w:line="312" w:lineRule="auto"/>
        <w:rPr>
          <w:szCs w:val="20"/>
        </w:rPr>
      </w:pPr>
    </w:p>
    <w:p w:rsidR="00F408D9" w:rsidRPr="00E00B35" w:rsidRDefault="00F408D9" w:rsidP="00E00B35">
      <w:pPr>
        <w:pStyle w:val="Nagwek3"/>
        <w:spacing w:after="0" w:line="312" w:lineRule="auto"/>
        <w:rPr>
          <w:sz w:val="20"/>
        </w:rPr>
      </w:pPr>
      <w:r w:rsidRPr="00E00B35">
        <w:rPr>
          <w:sz w:val="20"/>
        </w:rPr>
        <w:t>ARCHITEKTURA I BUDOWNICTWO</w:t>
      </w:r>
    </w:p>
    <w:p w:rsidR="00F408D9" w:rsidRPr="00E00B35" w:rsidRDefault="00F408D9" w:rsidP="00E00B35">
      <w:pPr>
        <w:pStyle w:val="Nagwek3"/>
        <w:spacing w:after="0" w:line="312" w:lineRule="auto"/>
        <w:rPr>
          <w:sz w:val="20"/>
        </w:rPr>
      </w:pPr>
    </w:p>
    <w:p w:rsidR="00F408D9" w:rsidRPr="00E00B35" w:rsidRDefault="00F408D9" w:rsidP="00E00B35">
      <w:pPr>
        <w:pStyle w:val="Nagwek4"/>
        <w:spacing w:before="0" w:after="0" w:line="312" w:lineRule="auto"/>
        <w:rPr>
          <w:sz w:val="20"/>
          <w:szCs w:val="20"/>
        </w:rPr>
      </w:pPr>
      <w:r w:rsidRPr="00E00B35">
        <w:rPr>
          <w:sz w:val="20"/>
          <w:szCs w:val="20"/>
        </w:rPr>
        <w:t>ZADANIA PODEJMOWANE PRZEZ ARCHITEKTA MIASTA I KOORDYNATORA PROJEKTU WYSTROJU PLASTYCZNEGO MIASTA</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koordynacja </w:t>
      </w:r>
      <w:r w:rsidRPr="00E00B35">
        <w:rPr>
          <w:rFonts w:cs="Arial"/>
          <w:szCs w:val="20"/>
        </w:rPr>
        <w:t>projektu</w:t>
      </w:r>
      <w:r w:rsidRPr="00E00B35">
        <w:rPr>
          <w:szCs w:val="20"/>
        </w:rPr>
        <w:t xml:space="preserve"> Nowe Żerniki, prowadzonego wspólnie z Dolnośląską Okręgową Izbą Architektów (przy współpracy ze Stowarzyszeniem Architektów Polskich) zmierzającego do zaprojektowania i wybudowania wzorcowego osiedla mieszkaniowego:</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udział w wyborze ofert w przetargach miejskich (sprzedaż nieruchomości deweloperom), poprzez przygotowanie wytycznych i ocenę architektoniczną ofert,</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opiniowanie projektów koncepcyjnych i szczegółowych rozwiązań,</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budowa modelu przestrzennego osiedla - aktualizacja,</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prezentacja projektu na otwartych spotkaniach i konferencjach,</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opracowanie wytycznych dla 2 etapu budowy osiedla,</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przygotowanie wniosków do zmiany mpzp,</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opracowywanie modelu przestrzennego obszaru całego miasta</w:t>
      </w:r>
    </w:p>
    <w:p w:rsidR="00F408D9" w:rsidRPr="00E00B35" w:rsidRDefault="00F408D9" w:rsidP="00BC64AB">
      <w:pPr>
        <w:numPr>
          <w:ilvl w:val="0"/>
          <w:numId w:val="274"/>
        </w:numPr>
        <w:tabs>
          <w:tab w:val="left" w:pos="426"/>
        </w:tabs>
        <w:spacing w:after="0" w:line="312" w:lineRule="auto"/>
        <w:ind w:left="426" w:hanging="426"/>
        <w:rPr>
          <w:rFonts w:cs="Arial"/>
          <w:szCs w:val="20"/>
        </w:rPr>
      </w:pPr>
      <w:r w:rsidRPr="00E00B35">
        <w:rPr>
          <w:rFonts w:cs="Arial"/>
          <w:szCs w:val="20"/>
        </w:rPr>
        <w:t xml:space="preserve">przygotowanie konkursu „Piękny Wrocław” – XXX edycja konkursu na najlepszą realizację architektoniczną w roku 2019 – rozstrzygnięcie przełożono na przyszłoroczną edycję ze względu na stan pandemii wywołany wirusem SARS-CoV-2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rFonts w:cs="Arial"/>
          <w:szCs w:val="20"/>
        </w:rPr>
        <w:t>porządko</w:t>
      </w:r>
      <w:r w:rsidRPr="00E00B35">
        <w:rPr>
          <w:szCs w:val="20"/>
        </w:rPr>
        <w:t>wanie i podnoszenie jakości miejskich przestrzeni publicznych:</w:t>
      </w:r>
    </w:p>
    <w:p w:rsidR="00F408D9" w:rsidRPr="00E00B35" w:rsidRDefault="00F408D9" w:rsidP="00BC64AB">
      <w:pPr>
        <w:pStyle w:val="Akapitzlist"/>
        <w:numPr>
          <w:ilvl w:val="0"/>
          <w:numId w:val="281"/>
        </w:numPr>
        <w:spacing w:after="0" w:line="312" w:lineRule="auto"/>
        <w:ind w:left="851" w:hanging="425"/>
        <w:rPr>
          <w:szCs w:val="20"/>
        </w:rPr>
      </w:pPr>
      <w:r w:rsidRPr="00E00B35">
        <w:rPr>
          <w:szCs w:val="20"/>
        </w:rPr>
        <w:lastRenderedPageBreak/>
        <w:t>opiniowanie projektów zagospodarowania miejskich przestrzeni publicznych oraz konsultacje wykonawcze pod względem elementów małej architektury, nawierzchni, zieleni, oświetlenia:</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wydzielonej trasy autobusowo-tramwajowej (TAT) łączącej osiedle Nowy Dwór z centrum Wrocławia,</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budowy nowej trasy  tramwajowej od ul.Jagiełły do ul.Milenijnej,</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zadania „02090 Budowa Alei Wielkiej Wyspy we Wrocławiu”,</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koncepcji programowo-przestrzennej zagospodarowania obszarów w ramach projektu Promenady Krzyckiej we Wrocławiu,</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przebudowa trakcji tramwajowej wzdłuż ul.Olszewskiego,</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projektu nowego bulwaru wzdłuż inwestycji przy ul.Księcia Witolda oraz wzdłuż inwestycji po dawnym Szpitalu im.Babińskiego (od ul.Podwale do ul.Nowy Świat),</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zadania nr 03940 Budowa Mostów Bolesława Chrobrego,</w:t>
      </w:r>
    </w:p>
    <w:p w:rsidR="00F408D9" w:rsidRPr="00E00B35" w:rsidRDefault="00F408D9" w:rsidP="00BC64AB">
      <w:pPr>
        <w:pStyle w:val="Akapitzlist"/>
        <w:numPr>
          <w:ilvl w:val="1"/>
          <w:numId w:val="279"/>
        </w:numPr>
        <w:spacing w:after="0" w:line="312" w:lineRule="auto"/>
        <w:ind w:left="1418" w:hanging="567"/>
        <w:rPr>
          <w:szCs w:val="20"/>
        </w:rPr>
      </w:pPr>
      <w:r w:rsidRPr="00E00B35">
        <w:rPr>
          <w:rFonts w:cs="Arial"/>
          <w:szCs w:val="20"/>
        </w:rPr>
        <w:t>projektó</w:t>
      </w:r>
      <w:r w:rsidRPr="00E00B35">
        <w:rPr>
          <w:szCs w:val="20"/>
        </w:rPr>
        <w:t>w remontów i budowy  ulic miejskich dojazdowych przy nowych inwestycjach;</w:t>
      </w:r>
    </w:p>
    <w:p w:rsidR="00F408D9" w:rsidRPr="00E00B35" w:rsidRDefault="00F408D9" w:rsidP="00BC64AB">
      <w:pPr>
        <w:pStyle w:val="Akapitzlist"/>
        <w:numPr>
          <w:ilvl w:val="0"/>
          <w:numId w:val="281"/>
        </w:numPr>
        <w:spacing w:after="0" w:line="312" w:lineRule="auto"/>
        <w:ind w:left="851" w:hanging="425"/>
        <w:rPr>
          <w:szCs w:val="20"/>
        </w:rPr>
      </w:pPr>
      <w:r w:rsidRPr="00E00B35">
        <w:rPr>
          <w:szCs w:val="20"/>
        </w:rPr>
        <w:t>opiniowanie plastyczne elementów zagospodarowania przestrzeni publicznej ze szczególnym uwzględnieniem obszaru Parku Kulturowego Stare Miasto we Wrocławiu  takich jak projekty:</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murali (np.”Sami Swoi” dla Sylwestra Chęcińskiego, dla Olgi Tokarczuk, mural przy Ofiar Oświęcimskich, mural „antyprzemocowy”  itp)</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szyldów na elewacjach budynków,</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nośników reklamowych,</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ustawienie ławek,</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małych obiektów kubaturowych – typu kioski, pawilony w tym  realizowane w roku 2020 dwa punkty gastronomiczne na Bulwarze Xawerego Dunikowskiego czy strefa rekreacyjno – gastronomiczna na pl.Nowy Targ,</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kolorystyki elewacji modernizowanych szkół (inwestycje ZIM),</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sezonowych ogródków gastronomicznych,</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obiektów przestrzennych ustawianych w ramach wydarzeń społeczno-kulturalnych na terenie miasta (BPR,WKL, ZDiUM),</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czasowych działań artystycznych,</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iluminacji obiektów (np. budynek Prokuratury)</w:t>
      </w:r>
    </w:p>
    <w:p w:rsidR="00F408D9" w:rsidRPr="00E00B35" w:rsidRDefault="00F408D9" w:rsidP="00BC64AB">
      <w:pPr>
        <w:pStyle w:val="Akapitzlist"/>
        <w:numPr>
          <w:ilvl w:val="0"/>
          <w:numId w:val="281"/>
        </w:numPr>
        <w:spacing w:after="0" w:line="312" w:lineRule="auto"/>
        <w:ind w:left="851" w:hanging="425"/>
        <w:rPr>
          <w:szCs w:val="20"/>
        </w:rPr>
      </w:pPr>
      <w:r w:rsidRPr="00E00B35">
        <w:rPr>
          <w:szCs w:val="20"/>
        </w:rPr>
        <w:t>praca nad poniesieniem jakości zagospodarowania terenu modelowego osiedla Nowe Żerniki:</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czasowa lokalizacja smart ławki (użyczonej przez firmę mmcite) na terenie przyszłego bazarku i jego słupkowanie (współpraca ze ZDiUM),</w:t>
      </w:r>
    </w:p>
    <w:p w:rsidR="00F408D9" w:rsidRPr="00E00B35" w:rsidRDefault="00F408D9" w:rsidP="00BC64AB">
      <w:pPr>
        <w:pStyle w:val="Akapitzlist"/>
        <w:numPr>
          <w:ilvl w:val="1"/>
          <w:numId w:val="279"/>
        </w:numPr>
        <w:spacing w:after="0" w:line="312" w:lineRule="auto"/>
        <w:ind w:left="1418" w:hanging="567"/>
        <w:rPr>
          <w:rFonts w:cs="Arial"/>
          <w:szCs w:val="20"/>
        </w:rPr>
      </w:pPr>
      <w:r w:rsidRPr="00E00B35">
        <w:rPr>
          <w:rFonts w:cs="Arial"/>
          <w:szCs w:val="20"/>
        </w:rPr>
        <w:t>lokalizacja miejsc „handlu poza budynkami” na terenie przyszłego bazarku (współpraca z BRG)</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praca nad przygotowaniem uchwały krajobrazowej dla miasta:</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maj – czerwiec,  ponowne opiniowanie wewnętrzne projektu po korektach z 2019 r.,</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lipiec- sierpień,  korekty po uwagach,</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lastRenderedPageBreak/>
        <w:t>wrzesień – zaparafowanie projektu uchwały przez Radcę Prawnego,</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listopad – uzyskanie akceptacji Prezydenta na przekazanie projektu uchwały do uzgodnienia (zgodnie z wymogami ustawy o planowaniu i zagospodarowaniu przestrzennym),</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grudzień – wysłanie projektu do DWKZ;</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przygotowanie wytycznych oraz opiniowanie projektu iluminacji świątecznej na sezon 2020/21;</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ocena pod względem plastyczno-przestrzennym projektów WBO - realizowanych oraz nowych wniosków 2020;</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współpraca:</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z ASP nad umową na roczną wystawę prac dyplomantów „Młoda rzeźba”</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pl. Nowy Targ  (w gablotach Mota Engil) wraz z wydaniem katalogu, wystawa dotowana przez DSM,</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 xml:space="preserve">z Zewnętrzną Galeria Sztuki - Szewska Pasja p. Julii Janowskiej – </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 xml:space="preserve">dwumiesięczne  wystawy graficzne (WKL) z  kuratorem  Tomaszem Brodą </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(ASP Wrocław), wystawa dotowana przez WKL,</w:t>
      </w:r>
    </w:p>
    <w:p w:rsidR="00F408D9" w:rsidRPr="00E00B35" w:rsidRDefault="00F408D9" w:rsidP="00BC64AB">
      <w:pPr>
        <w:pStyle w:val="Akapitzlist"/>
        <w:numPr>
          <w:ilvl w:val="0"/>
          <w:numId w:val="279"/>
        </w:numPr>
        <w:spacing w:after="0" w:line="312" w:lineRule="auto"/>
        <w:ind w:left="993" w:hanging="567"/>
        <w:rPr>
          <w:rFonts w:cs="Arial"/>
          <w:szCs w:val="20"/>
        </w:rPr>
      </w:pPr>
      <w:r w:rsidRPr="00E00B35">
        <w:rPr>
          <w:rFonts w:cs="Arial"/>
          <w:szCs w:val="20"/>
        </w:rPr>
        <w:t>z Wrocławskim Domem Literatury nad projektem zagospodarowania ścieżki literackiej pn. „Zaułka Pisarzy” w Przejściu Garncarskim.</w:t>
      </w:r>
    </w:p>
    <w:p w:rsidR="00F408D9" w:rsidRPr="00E00B35" w:rsidRDefault="00F408D9" w:rsidP="00E00B35">
      <w:pPr>
        <w:spacing w:after="0" w:line="312" w:lineRule="auto"/>
        <w:rPr>
          <w:szCs w:val="20"/>
        </w:rPr>
      </w:pPr>
    </w:p>
    <w:p w:rsidR="00F408D9" w:rsidRPr="00E00B35" w:rsidRDefault="00F408D9" w:rsidP="00E00B35">
      <w:pPr>
        <w:pStyle w:val="Nagwek4"/>
        <w:spacing w:before="0" w:after="0" w:line="312" w:lineRule="auto"/>
        <w:rPr>
          <w:sz w:val="20"/>
          <w:szCs w:val="20"/>
        </w:rPr>
      </w:pPr>
      <w:r w:rsidRPr="00E00B35">
        <w:rPr>
          <w:sz w:val="20"/>
          <w:szCs w:val="20"/>
        </w:rPr>
        <w:t>UDZIAŁ W KOMISJACH PRZETARGOWYCH, ZESPOŁACH, SĄDACH KONKURSOWYCH, KONFERENCJACH, WYJAZDACH STUDIALNYCH, WYSTAWACH</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udział w komisjach przetargowych, w przetargach ofertowych dot. sprzedaży nieruchomości Gminy,</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praca w zespole doradczym ds. Parku Kulturowego:</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 xml:space="preserve">współpraca przy zapisach zmian do </w:t>
      </w:r>
      <w:r w:rsidRPr="00E00B35">
        <w:rPr>
          <w:rFonts w:cs="Arial"/>
          <w:szCs w:val="20"/>
        </w:rPr>
        <w:t>uchwały</w:t>
      </w:r>
      <w:r w:rsidRPr="00E00B35">
        <w:rPr>
          <w:szCs w:val="20"/>
        </w:rPr>
        <w:t xml:space="preserve"> o PK, przygotowanie załączników;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sądy konkursowe, konferencje, seminaria, warsztaty, szkolenia:</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udział w prezentacji projektu Nowe Żerniki – nominowanego modelowego osiedla powstającego w ramach współpracy Miasta ze środowiskiem wrocławskich architektów – w ogólnopolskim konkursie na najbardziej znaczące realizacje architektonicznie „Życie w Architekturze” /P. Fokczyński/,</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udział w gali finałowej IX edycji konkursu „Życie w Architekturze” na najlepsze obiekty architektury powstałe w latach 2015 – 2019 organizowanego przez miesięcznik „Architektura - murator", 19 listopad 2020 r. /P. Fokczyński/,</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udział w jury konkursu pn.„Przyjazna Przestrzeń Publiczna” organizowany przez SARP w ramach DoFA’20,</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 xml:space="preserve">udział w jury konkursu pn „Plac trójkątny” - zorganizowany przez SARP </w:t>
      </w:r>
      <w:r w:rsidRPr="00E00B35">
        <w:rPr>
          <w:szCs w:val="20"/>
        </w:rPr>
        <w:br/>
        <w:t>w ramach DoFA’20 – Akupunktura Miasta na zagospodarowanie terenu przy ul.Komuny Paryskiej (Przedmieście Oławskie), konkurs dotowany przez DSM,</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udział w jury konkursu pn „Witryny Świąteczne” – zorganizowany przez Fundacje Dom Pokoju w ramach projektu „Inne Centrum”– konkurs dla przedsiębiorców Staromiejskiego Centrum,</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 xml:space="preserve">sędziowanie konkursu architektoniczno – urbanistycznego Mieszkanie Plus </w:t>
      </w:r>
      <w:r w:rsidRPr="00E00B35">
        <w:rPr>
          <w:szCs w:val="20"/>
        </w:rPr>
        <w:br/>
        <w:t xml:space="preserve">z prekwalifikacją kandydatów na opracowanie koncepcji zabudowy </w:t>
      </w:r>
      <w:r w:rsidRPr="00E00B35">
        <w:rPr>
          <w:szCs w:val="20"/>
        </w:rPr>
        <w:lastRenderedPageBreak/>
        <w:t>mieszkaniowej wielorodzinnej i usługowej w obszarze pomiędzy ulicami Zatorską i Odolanowską we Wrocławiu oraz współpraca przy opracowaniu warunków konkursu, Polski Fundusz Rozwoju Nieruchomości S.A. przy wsparciu Stowarzyszenia Architektów Polskich SARP Oddział we Wrocławiu /P. Fokczyński/,</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sędziowanie konkursu architektonicznego na wykonanie koncepcji architektoniczno-urbanistycznej kompleksu zajezdni tramwajowej we Wrocławiu wraz z elementami towarzyszącymi, Gmina Wrocław (WI) przy współpracy Stowarzyszenia Architektów Polskich SARP Oddział we Wrocławiu /P. Fokczyński/,</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sędziowanie konkursu studialnego na opracowanie koncepcji urbanistyczno-architektonicznej zagospodarowania obszaru pokolejowego zlokalizowanego wzdłuż ul. S. Małachowskiego we Wrocławiu, Wrocławski Oddział Stowarzyszenia Architektów Polskich w porozumieniu z Urzędem Miejskim Wrocławia /P. Fokczyński/,</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sędziowanie konkursu (przewodniczący sądu konkursowego) na opracowanie koncepcji architektonicznej Zespołu Szkolno-Przedszkolnego wraz zagospodarowaniem działki szkolnej przy ul. Asfaltowej we Wrocławiu, analiza dotychczasowych realizacji pokonkursowych i współpraca przy opracowaniu warunków konkursu,  Gmina Wrocław (ZIM) /P. Fokczyński/,</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sędziowanie konkursu (przewodniczący sądu) na opracowanie koncepcji architektonicznej Zespołu Szkolno-Przedszkolnego przy ul. Cynamonowej we Wrocławiu, Gmina Wrocław (ZIM) /P. Fokczyński/,</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sędziowanie konkursu na projekt pomnika Żołnierzy Wyklętych we Wrocławiu, Gmina Wrocław /P. Fokczyński/,</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 xml:space="preserve">sędziowanie konkursu urbanistyczno-architektonicznego na opracowanie koncepcji zagospodarowania fragmentu ul. Komuny Paryskiej wraz </w:t>
      </w:r>
      <w:r w:rsidRPr="00E00B35">
        <w:rPr>
          <w:szCs w:val="20"/>
        </w:rPr>
        <w:br/>
        <w:t>z przestrzeniami publicznymi na styku ulic T. Kościuszki (plac trójkątny) i gen.K. Pułaskiego we Wrocławiu, przy współpracy Stowarzyszenia Architektów Polskich SARP Oddział we Wrocławiu /P. Fokczyński/.</w:t>
      </w:r>
    </w:p>
    <w:p w:rsidR="00F408D9" w:rsidRPr="00E00B35" w:rsidRDefault="00F408D9" w:rsidP="00E00B35">
      <w:pPr>
        <w:spacing w:after="0" w:line="312" w:lineRule="auto"/>
        <w:rPr>
          <w:szCs w:val="20"/>
        </w:rPr>
      </w:pPr>
    </w:p>
    <w:p w:rsidR="00F408D9" w:rsidRPr="00E00B35" w:rsidRDefault="00F408D9" w:rsidP="00E00B35">
      <w:pPr>
        <w:pStyle w:val="Nagwek4"/>
        <w:spacing w:before="0" w:after="0" w:line="312" w:lineRule="auto"/>
        <w:rPr>
          <w:sz w:val="20"/>
          <w:szCs w:val="20"/>
        </w:rPr>
      </w:pPr>
      <w:r w:rsidRPr="00E00B35">
        <w:rPr>
          <w:sz w:val="20"/>
          <w:szCs w:val="20"/>
        </w:rPr>
        <w:t>INWESTYCJE PRIORYTETOWE DLA MIASTA – POSTĘPOWANIA ADMINISTRACYJNE</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Centrum Południowe – kontynuacja zabudowy zespołu budynków biurowo – usługowych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Wrocławski Park Wodny – budowa krytej pływalni i basenu zewnętrznego przy ul. Polnej,</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Port Popowice – zespół budynków wielorodzinnych,</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Port Popowice - Biurowiec Biznes Port,</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Atal City Square – zespół budynków wielorodzinnych przy ul. gen. K. Pułaskiego,</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Zespół szkolno-przedszkolny przy ul. Asfaltowej, Gmina Wrocław,</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Uniwersytet Przyrodniczy – Budynek laboratoryjny uniwersytetu oraz Laboratorium naukowo-badawcze przy ul.J.Chełmońskiego i przy ul.Bartniczej,</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lastRenderedPageBreak/>
        <w:t xml:space="preserve">Budynek na terenie Portu Miejskiego KLECZKÓW,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Bulwar pomiędzy mostami Pomorskim i Sikorskiego na Kępie Mieszczańskiej,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Quorum - zabudowa mieszkaniowa, biurowo – usługowa przy ul. gen. W. Sikorskiego,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Rozbudowa Specjalnego Ośrodka Szkolno – Wychowawczego nr 10 przy ul. Parkowej,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Browar Mieszczański - Grupa Archicom , ul.Jedności Narodowej</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wydzielona trasa autobusowo-tramwajowa (TAT) łączącej osiedle Nowy Dwór </w:t>
      </w:r>
      <w:r w:rsidRPr="00E00B35">
        <w:rPr>
          <w:szCs w:val="20"/>
        </w:rPr>
        <w:br/>
        <w:t>z centrum Wrocławia,</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Budowa Alei Wielkiej Wyspy we Wrocławiu,</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Ustalenie warunków zabudowy dla rejonu ul.Browarnej,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Ustalenie warunków zabudowy przy ul.Bujwida.</w:t>
      </w:r>
    </w:p>
    <w:p w:rsidR="00F408D9" w:rsidRPr="00E00B35" w:rsidRDefault="00F408D9" w:rsidP="00E00B35">
      <w:pPr>
        <w:spacing w:after="0" w:line="312" w:lineRule="auto"/>
        <w:rPr>
          <w:szCs w:val="20"/>
        </w:rPr>
      </w:pPr>
    </w:p>
    <w:p w:rsidR="00F408D9" w:rsidRPr="00E00B35" w:rsidRDefault="00F408D9" w:rsidP="00E00B35">
      <w:pPr>
        <w:pStyle w:val="Nagwek4"/>
        <w:spacing w:before="0" w:after="0" w:line="312" w:lineRule="auto"/>
        <w:rPr>
          <w:sz w:val="20"/>
          <w:szCs w:val="20"/>
        </w:rPr>
      </w:pPr>
      <w:r w:rsidRPr="00E00B35">
        <w:rPr>
          <w:sz w:val="20"/>
          <w:szCs w:val="20"/>
        </w:rPr>
        <w:t>INNE ZADANIA W RAMACH WSPÓŁPRACY Z KOMÓRKAMI ORGANIZACYJNYMI URZĘDU, MIEJSKIMI JEDNOSTKAMI ORGANIZACYJNYMI I INNYMI ORGANAMI</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Wydawanie opinii o zgodności z mpzp, odnoszących się do:</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samodzielności działek budowlanych przeznaczonych do sprzedaży przez Gminę Wrocław;</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planowanych ofert sprzedaży nieruchomości przez Gminę Wrocław, w tym proponowanych podziałów geodezyjnych nieruchomości na poszczególne oferty;</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innych zamierzeń inwestycyjnych Gminy Wrocław;</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lokalizacji obiektów związanych z gospodarką odpadami dla Wydziału Środowiska i Rolnictwa oraz dla Marszałka Województwa Dolnośląskiego;</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sposobów odprowadzania wód opadowych i roztopowych – dla Zarządów Zlewni Państwowego Gospodarstwa Wodnego Wody Polskie;</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lokalizacji przystani turystycznych i pasażerskich, pływających obiektów gastronomicznych i domów na wodzie – dla Biura Zarządzania Projektami;</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istniejących obiektów budowlanych, których wzniesienie nie wymaga uzyskania pozwolenia na budowę ani zgłoszenia budowy – dla Powiatowego Inspektora Nadzoru Budowlanego.</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Wyjaśnianie niejasnych zapisów w mpzp w ramach współpracy z komórkami organizacyjnymi tut. Urzędu, miejskimi jednostkami organizacyjnymi, Powiatowym Inspektorem Nadzoru Budowlanego oraz inwestorami i projektantami (opinie urbanistyczne – konsultacje pisemne, e-mail i ustne).</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Wydawanie zaświadczeń wymaganych przepisami prawa, m.in.:</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o zgodności budowy (samowoli budowlanej) z ustaleniami mpzp lub dwz – na potrzeby prowadzonych przez PINB postępowań legalizacyjnych;</w:t>
      </w:r>
    </w:p>
    <w:p w:rsidR="00F408D9" w:rsidRPr="00E00B35" w:rsidRDefault="00F408D9" w:rsidP="00BC64AB">
      <w:pPr>
        <w:pStyle w:val="Akapitzlist"/>
        <w:numPr>
          <w:ilvl w:val="0"/>
          <w:numId w:val="279"/>
        </w:numPr>
        <w:spacing w:after="0" w:line="312" w:lineRule="auto"/>
        <w:ind w:left="993" w:hanging="567"/>
        <w:rPr>
          <w:szCs w:val="20"/>
        </w:rPr>
      </w:pPr>
      <w:r w:rsidRPr="00E00B35">
        <w:rPr>
          <w:szCs w:val="20"/>
        </w:rPr>
        <w:t>o zgodności zamierzonego sposobu użytkowania obiektów budowlanego lub jego części z mpzp lub dwz – na potrzeby zgłoszeń zmiany sposobu użytkowania obiektów budowlanych lub ich części;</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Opiniowanie ustaleń wybranych projektów miejscowych planów zagospodarowania przestrzennego dla Biura Rozwoju Wrocławia (konsultacje pisemne, e-mail i ustne).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lastRenderedPageBreak/>
        <w:t>Pełnienie funkcji biegłych urbanistów w postępowaniach administracyjnych w sprawie wydania decyzji o warunkach zabudowy i decyzji o lokalizacji celów publicznych - sprawdzanie i podpisywanie projektów ww. decyzji sporządzonych w WAB.</w:t>
      </w:r>
    </w:p>
    <w:p w:rsidR="00F408D9" w:rsidRPr="00E00B35" w:rsidRDefault="00F408D9" w:rsidP="00E00B35">
      <w:pPr>
        <w:spacing w:after="0" w:line="312" w:lineRule="auto"/>
        <w:rPr>
          <w:szCs w:val="20"/>
        </w:rPr>
      </w:pPr>
    </w:p>
    <w:p w:rsidR="00F408D9" w:rsidRPr="00E00B35" w:rsidRDefault="00F408D9" w:rsidP="00E00B35">
      <w:pPr>
        <w:pStyle w:val="Nagwek4"/>
        <w:spacing w:before="0" w:after="0" w:line="312" w:lineRule="auto"/>
        <w:rPr>
          <w:sz w:val="20"/>
          <w:szCs w:val="20"/>
        </w:rPr>
      </w:pPr>
      <w:r w:rsidRPr="00E00B35">
        <w:rPr>
          <w:sz w:val="20"/>
          <w:szCs w:val="20"/>
        </w:rPr>
        <w:t>NAGRODY, WYRÓŻNIENIA, NOMINACJE:</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1 miejsce dla Wydziału Architektury i Budownictwa w X edycji Rankingu Miast,</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W Rankingu wzięło udział 19 miast. Zestawienie jest corocznie przygotowywane przez Polski Związek Firm Deweloperskich, którego celem jest sprawdzenie, czy władze samorządowe wydają decyzje potrzebne do rozpoczęcia budowy </w:t>
      </w:r>
      <w:r w:rsidRPr="00E00B35">
        <w:rPr>
          <w:szCs w:val="20"/>
        </w:rPr>
        <w:br/>
        <w:t>w ustawowym terminie. Ranking Miast ma promować dobrą współpracę deweloperów z miastami, doceniając te ośrodki miejskie, które wyróżniają się sprawną i dobrze działającą administracją,</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Wrocław od wielu lat zajmuje miejsce na podium. W 2019 r – 3 miejsce, w 2018 r. – 3 miejsce, w 2017 r. – 3 miejsce, w 2014 r. – 2 miejsce,</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Nagroda Real Estate Impactor w kategorii "Wizja zmieniająca oblicze miasta" za realizację modelowego osiedla Nowe Żerniki,</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Organizatorem wydarzenia jest redakcja „Rzeczpospolitej” i „Nieruchomości Rzeczpospolitej”. Laureatami zostały dwa miasta – Warszawa i Wrocław, których przedsięwzięcia kładą silny nacisk na odpowiadanie na rozmaite potrzeby mieszkańców, co zostało docenione przez kapitułę nagrody,</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I nagroda w konkursie „Życie w Architekturze” na najlepsze obiekty architektury powstałe w latach 2015 – 2019 organizowanego przez miesięcznik „Architektura - murator" dla modelowego osiedla Nowe Żerniki w kategorii Najlepszy budynek wielorodzinny 2015-2019,</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nagroda Ulubieniec Polski 2015-2019 dla zwycięzcy internetowego plebiscytu, który towarzyszył konkursowi „Życie w Architekturze” organizowanemu przez miesięcznik „Architektura – murator” – dla twórców idei budowy osiedla Nowe Żerniki we Wrocławiu.</w:t>
      </w: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r w:rsidRPr="00E00B35">
        <w:rPr>
          <w:szCs w:val="20"/>
        </w:rPr>
        <w:br w:type="page"/>
      </w:r>
      <w:r w:rsidRPr="00E00B35">
        <w:rPr>
          <w:szCs w:val="20"/>
        </w:rPr>
        <w:lastRenderedPageBreak/>
        <w:t>Ilość i rodzaj spraw rozpatrywanych w 2020 r.</w:t>
      </w:r>
    </w:p>
    <w:p w:rsidR="00F408D9" w:rsidRPr="00E00B35" w:rsidRDefault="00F408D9" w:rsidP="00E00B35">
      <w:pPr>
        <w:spacing w:after="0" w:line="312" w:lineRule="auto"/>
        <w:rPr>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tblPr>
      <w:tblGrid>
        <w:gridCol w:w="607"/>
        <w:gridCol w:w="1066"/>
        <w:gridCol w:w="5823"/>
        <w:gridCol w:w="718"/>
        <w:gridCol w:w="858"/>
      </w:tblGrid>
      <w:tr w:rsidR="00F408D9" w:rsidRPr="00E00B35" w:rsidTr="007903FB">
        <w:trPr>
          <w:cantSplit/>
          <w:trHeight w:val="57"/>
          <w:tblHeader/>
          <w:jc w:val="center"/>
        </w:trPr>
        <w:tc>
          <w:tcPr>
            <w:tcW w:w="607" w:type="dxa"/>
            <w:tcBorders>
              <w:top w:val="double" w:sz="4" w:space="0" w:color="auto"/>
              <w:left w:val="double" w:sz="4" w:space="0" w:color="auto"/>
            </w:tcBorders>
            <w:vAlign w:val="center"/>
          </w:tcPr>
          <w:p w:rsidR="00F408D9" w:rsidRPr="00E00B35" w:rsidRDefault="00F408D9" w:rsidP="00E00B35">
            <w:pPr>
              <w:spacing w:after="0" w:line="312" w:lineRule="auto"/>
              <w:rPr>
                <w:szCs w:val="20"/>
              </w:rPr>
            </w:pPr>
            <w:r w:rsidRPr="00E00B35">
              <w:rPr>
                <w:szCs w:val="20"/>
              </w:rPr>
              <w:t>l.p.</w:t>
            </w:r>
          </w:p>
        </w:tc>
        <w:tc>
          <w:tcPr>
            <w:tcW w:w="6889" w:type="dxa"/>
            <w:gridSpan w:val="2"/>
            <w:tcBorders>
              <w:top w:val="double" w:sz="4" w:space="0" w:color="auto"/>
            </w:tcBorders>
            <w:vAlign w:val="center"/>
          </w:tcPr>
          <w:p w:rsidR="00F408D9" w:rsidRPr="00E00B35" w:rsidRDefault="00F408D9" w:rsidP="00E00B35">
            <w:pPr>
              <w:spacing w:after="0" w:line="312" w:lineRule="auto"/>
              <w:rPr>
                <w:szCs w:val="20"/>
              </w:rPr>
            </w:pPr>
            <w:r w:rsidRPr="00E00B35">
              <w:rPr>
                <w:szCs w:val="20"/>
              </w:rPr>
              <w:t>rodzaj spraw</w:t>
            </w:r>
          </w:p>
        </w:tc>
        <w:tc>
          <w:tcPr>
            <w:tcW w:w="1576" w:type="dxa"/>
            <w:gridSpan w:val="2"/>
            <w:tcBorders>
              <w:top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ilość</w:t>
            </w:r>
          </w:p>
        </w:tc>
      </w:tr>
      <w:tr w:rsidR="00F408D9" w:rsidRPr="00E00B35" w:rsidTr="001F7163">
        <w:trPr>
          <w:cantSplit/>
          <w:trHeight w:val="57"/>
          <w:jc w:val="center"/>
        </w:trPr>
        <w:tc>
          <w:tcPr>
            <w:tcW w:w="8214" w:type="dxa"/>
            <w:gridSpan w:val="4"/>
            <w:tcBorders>
              <w:left w:val="double" w:sz="4" w:space="0" w:color="auto"/>
            </w:tcBorders>
            <w:vAlign w:val="center"/>
          </w:tcPr>
          <w:p w:rsidR="00F408D9" w:rsidRPr="00E00B35" w:rsidRDefault="00F408D9" w:rsidP="00E00B35">
            <w:pPr>
              <w:spacing w:after="0" w:line="312" w:lineRule="auto"/>
              <w:rPr>
                <w:szCs w:val="20"/>
              </w:rPr>
            </w:pPr>
            <w:r w:rsidRPr="00E00B35">
              <w:rPr>
                <w:szCs w:val="20"/>
              </w:rPr>
              <w:t>korespondencja, która wpłynęła do Wydziału</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40863</w:t>
            </w:r>
          </w:p>
        </w:tc>
      </w:tr>
      <w:tr w:rsidR="00F408D9" w:rsidRPr="00E00B35" w:rsidTr="001F7163">
        <w:trPr>
          <w:cantSplit/>
          <w:trHeight w:val="57"/>
          <w:jc w:val="center"/>
        </w:trPr>
        <w:tc>
          <w:tcPr>
            <w:tcW w:w="8214" w:type="dxa"/>
            <w:gridSpan w:val="4"/>
            <w:tcBorders>
              <w:left w:val="double" w:sz="4" w:space="0" w:color="auto"/>
            </w:tcBorders>
            <w:vAlign w:val="center"/>
          </w:tcPr>
          <w:p w:rsidR="00F408D9" w:rsidRPr="00E00B35" w:rsidRDefault="00F408D9" w:rsidP="00E00B35">
            <w:pPr>
              <w:spacing w:after="0" w:line="312" w:lineRule="auto"/>
              <w:rPr>
                <w:szCs w:val="20"/>
              </w:rPr>
            </w:pPr>
            <w:r w:rsidRPr="00E00B35">
              <w:rPr>
                <w:szCs w:val="20"/>
              </w:rPr>
              <w:t xml:space="preserve">ilość spraw </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17780</w:t>
            </w:r>
          </w:p>
        </w:tc>
      </w:tr>
      <w:tr w:rsidR="00F408D9" w:rsidRPr="00E00B35" w:rsidTr="001F7163">
        <w:trPr>
          <w:cantSplit/>
          <w:trHeight w:val="57"/>
          <w:jc w:val="center"/>
        </w:trPr>
        <w:tc>
          <w:tcPr>
            <w:tcW w:w="8214" w:type="dxa"/>
            <w:gridSpan w:val="4"/>
            <w:tcBorders>
              <w:left w:val="double" w:sz="4" w:space="0" w:color="auto"/>
            </w:tcBorders>
            <w:vAlign w:val="center"/>
          </w:tcPr>
          <w:p w:rsidR="00F408D9" w:rsidRPr="00E00B35" w:rsidRDefault="00F408D9" w:rsidP="00E00B35">
            <w:pPr>
              <w:spacing w:after="0" w:line="312" w:lineRule="auto"/>
              <w:rPr>
                <w:szCs w:val="20"/>
              </w:rPr>
            </w:pPr>
            <w:r w:rsidRPr="00E00B35">
              <w:rPr>
                <w:szCs w:val="20"/>
              </w:rPr>
              <w:t>wszystkie wydane dokumenty</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47782</w:t>
            </w:r>
          </w:p>
        </w:tc>
      </w:tr>
      <w:tr w:rsidR="00F408D9" w:rsidRPr="00E00B35" w:rsidTr="001F7163">
        <w:trPr>
          <w:cantSplit/>
          <w:trHeight w:val="57"/>
          <w:jc w:val="center"/>
        </w:trPr>
        <w:tc>
          <w:tcPr>
            <w:tcW w:w="1673" w:type="dxa"/>
            <w:gridSpan w:val="2"/>
            <w:tcBorders>
              <w:left w:val="double" w:sz="4" w:space="0" w:color="auto"/>
              <w:right w:val="nil"/>
            </w:tcBorders>
            <w:vAlign w:val="center"/>
          </w:tcPr>
          <w:p w:rsidR="00F408D9" w:rsidRPr="00E00B35" w:rsidRDefault="00F408D9" w:rsidP="00E00B35">
            <w:pPr>
              <w:spacing w:after="0" w:line="312" w:lineRule="auto"/>
              <w:rPr>
                <w:szCs w:val="20"/>
              </w:rPr>
            </w:pPr>
            <w:r w:rsidRPr="00E00B35">
              <w:rPr>
                <w:szCs w:val="20"/>
              </w:rPr>
              <w:t>w tym:</w:t>
            </w:r>
          </w:p>
        </w:tc>
        <w:tc>
          <w:tcPr>
            <w:tcW w:w="6541" w:type="dxa"/>
            <w:gridSpan w:val="2"/>
            <w:tcBorders>
              <w:top w:val="single" w:sz="4" w:space="0" w:color="auto"/>
              <w:left w:val="nil"/>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decyzje</w:t>
            </w:r>
          </w:p>
        </w:tc>
        <w:tc>
          <w:tcPr>
            <w:tcW w:w="858" w:type="dxa"/>
            <w:tcBorders>
              <w:left w:val="sing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5434</w:t>
            </w:r>
          </w:p>
        </w:tc>
      </w:tr>
      <w:tr w:rsidR="00F408D9" w:rsidRPr="00E00B35" w:rsidTr="001F7163">
        <w:trPr>
          <w:cantSplit/>
          <w:trHeight w:val="57"/>
          <w:jc w:val="center"/>
        </w:trPr>
        <w:tc>
          <w:tcPr>
            <w:tcW w:w="1673" w:type="dxa"/>
            <w:gridSpan w:val="2"/>
            <w:tcBorders>
              <w:left w:val="double" w:sz="4" w:space="0" w:color="auto"/>
              <w:right w:val="nil"/>
            </w:tcBorders>
            <w:vAlign w:val="center"/>
          </w:tcPr>
          <w:p w:rsidR="00F408D9" w:rsidRPr="00E00B35" w:rsidRDefault="00F408D9" w:rsidP="00E00B35">
            <w:pPr>
              <w:spacing w:after="0" w:line="312" w:lineRule="auto"/>
              <w:rPr>
                <w:szCs w:val="20"/>
              </w:rPr>
            </w:pPr>
            <w:r w:rsidRPr="00E00B35">
              <w:rPr>
                <w:szCs w:val="20"/>
              </w:rPr>
              <w:t>w tym:</w:t>
            </w:r>
          </w:p>
        </w:tc>
        <w:tc>
          <w:tcPr>
            <w:tcW w:w="5823" w:type="dxa"/>
            <w:tcBorders>
              <w:top w:val="single" w:sz="4" w:space="0" w:color="auto"/>
              <w:left w:val="nil"/>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decyzje wydane w oparciu o ustawę o planowaniu</w:t>
            </w:r>
            <w:r w:rsidRPr="00E00B35">
              <w:rPr>
                <w:szCs w:val="20"/>
              </w:rPr>
              <w:br/>
              <w:t>i zagospodarowaniu przestrzennym</w:t>
            </w:r>
          </w:p>
        </w:tc>
        <w:tc>
          <w:tcPr>
            <w:tcW w:w="718"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958</w:t>
            </w:r>
          </w:p>
        </w:tc>
        <w:tc>
          <w:tcPr>
            <w:tcW w:w="858" w:type="dxa"/>
            <w:tcBorders>
              <w:left w:val="single" w:sz="4" w:space="0" w:color="auto"/>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1673" w:type="dxa"/>
            <w:gridSpan w:val="2"/>
            <w:tcBorders>
              <w:left w:val="double" w:sz="4" w:space="0" w:color="auto"/>
              <w:right w:val="nil"/>
            </w:tcBorders>
            <w:vAlign w:val="center"/>
          </w:tcPr>
          <w:p w:rsidR="00F408D9" w:rsidRPr="00E00B35" w:rsidRDefault="00F408D9" w:rsidP="00E00B35">
            <w:pPr>
              <w:spacing w:after="0" w:line="312" w:lineRule="auto"/>
              <w:rPr>
                <w:szCs w:val="20"/>
              </w:rPr>
            </w:pPr>
          </w:p>
        </w:tc>
        <w:tc>
          <w:tcPr>
            <w:tcW w:w="5823" w:type="dxa"/>
            <w:tcBorders>
              <w:top w:val="single" w:sz="4" w:space="0" w:color="auto"/>
              <w:left w:val="nil"/>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decyzje wydane w oparciu o prawo budowlane</w:t>
            </w:r>
          </w:p>
        </w:tc>
        <w:tc>
          <w:tcPr>
            <w:tcW w:w="718"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4476</w:t>
            </w:r>
          </w:p>
        </w:tc>
        <w:tc>
          <w:tcPr>
            <w:tcW w:w="858" w:type="dxa"/>
            <w:tcBorders>
              <w:left w:val="single" w:sz="4" w:space="0" w:color="auto"/>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8214" w:type="dxa"/>
            <w:gridSpan w:val="4"/>
            <w:tcBorders>
              <w:left w:val="double" w:sz="4" w:space="0" w:color="auto"/>
            </w:tcBorders>
            <w:vAlign w:val="center"/>
          </w:tcPr>
          <w:p w:rsidR="00F408D9" w:rsidRPr="00E00B35" w:rsidRDefault="00F408D9" w:rsidP="00E00B35">
            <w:pPr>
              <w:spacing w:after="0" w:line="312" w:lineRule="auto"/>
              <w:rPr>
                <w:szCs w:val="20"/>
              </w:rPr>
            </w:pPr>
            <w:r w:rsidRPr="00E00B35">
              <w:rPr>
                <w:szCs w:val="20"/>
              </w:rPr>
              <w:t>postanowienia</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3944</w:t>
            </w:r>
          </w:p>
        </w:tc>
      </w:tr>
      <w:tr w:rsidR="00F408D9" w:rsidRPr="00E00B35" w:rsidTr="001F7163">
        <w:trPr>
          <w:cantSplit/>
          <w:trHeight w:val="57"/>
          <w:jc w:val="center"/>
        </w:trPr>
        <w:tc>
          <w:tcPr>
            <w:tcW w:w="8214" w:type="dxa"/>
            <w:gridSpan w:val="4"/>
            <w:tcBorders>
              <w:left w:val="double" w:sz="4" w:space="0" w:color="auto"/>
              <w:bottom w:val="double" w:sz="4" w:space="0" w:color="auto"/>
            </w:tcBorders>
            <w:vAlign w:val="center"/>
          </w:tcPr>
          <w:p w:rsidR="00F408D9" w:rsidRPr="00E00B35" w:rsidRDefault="00F408D9" w:rsidP="00E00B35">
            <w:pPr>
              <w:spacing w:after="0" w:line="312" w:lineRule="auto"/>
              <w:rPr>
                <w:szCs w:val="20"/>
              </w:rPr>
            </w:pPr>
            <w:r w:rsidRPr="00E00B35">
              <w:rPr>
                <w:szCs w:val="20"/>
              </w:rPr>
              <w:t>zaświadczenia</w:t>
            </w:r>
          </w:p>
        </w:tc>
        <w:tc>
          <w:tcPr>
            <w:tcW w:w="858" w:type="dxa"/>
            <w:tcBorders>
              <w:bottom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18073</w:t>
            </w:r>
          </w:p>
        </w:tc>
      </w:tr>
      <w:tr w:rsidR="00F408D9" w:rsidRPr="00E00B35" w:rsidTr="001F7163">
        <w:trPr>
          <w:cantSplit/>
          <w:trHeight w:val="57"/>
          <w:jc w:val="center"/>
        </w:trPr>
        <w:tc>
          <w:tcPr>
            <w:tcW w:w="9072" w:type="dxa"/>
            <w:gridSpan w:val="5"/>
            <w:tcBorders>
              <w:top w:val="double" w:sz="4" w:space="0" w:color="auto"/>
              <w:left w:val="double" w:sz="4" w:space="0" w:color="auto"/>
              <w:bottom w:val="double" w:sz="4" w:space="0" w:color="auto"/>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val="restart"/>
            <w:tcBorders>
              <w:top w:val="double" w:sz="4" w:space="0" w:color="auto"/>
              <w:left w:val="double" w:sz="4" w:space="0" w:color="auto"/>
            </w:tcBorders>
            <w:vAlign w:val="center"/>
          </w:tcPr>
          <w:p w:rsidR="00F408D9" w:rsidRPr="00E00B35" w:rsidRDefault="00F408D9" w:rsidP="00E00B35">
            <w:pPr>
              <w:spacing w:after="0" w:line="312" w:lineRule="auto"/>
              <w:rPr>
                <w:szCs w:val="20"/>
              </w:rPr>
            </w:pPr>
            <w:r w:rsidRPr="00E00B35">
              <w:rPr>
                <w:szCs w:val="20"/>
              </w:rPr>
              <w:t>1</w:t>
            </w:r>
          </w:p>
        </w:tc>
        <w:tc>
          <w:tcPr>
            <w:tcW w:w="7607" w:type="dxa"/>
            <w:gridSpan w:val="3"/>
            <w:tcBorders>
              <w:top w:val="double" w:sz="4" w:space="0" w:color="auto"/>
            </w:tcBorders>
            <w:vAlign w:val="center"/>
          </w:tcPr>
          <w:p w:rsidR="00F408D9" w:rsidRPr="00E00B35" w:rsidRDefault="00F408D9" w:rsidP="00E00B35">
            <w:pPr>
              <w:spacing w:after="0" w:line="312" w:lineRule="auto"/>
              <w:rPr>
                <w:szCs w:val="20"/>
              </w:rPr>
            </w:pPr>
            <w:r w:rsidRPr="00E00B35">
              <w:rPr>
                <w:szCs w:val="20"/>
              </w:rPr>
              <w:t>decyzje o warunkach zabudowy</w:t>
            </w:r>
          </w:p>
        </w:tc>
        <w:tc>
          <w:tcPr>
            <w:tcW w:w="858" w:type="dxa"/>
            <w:tcBorders>
              <w:top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498</w:t>
            </w: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r w:rsidRPr="00E00B35">
              <w:rPr>
                <w:szCs w:val="20"/>
              </w:rPr>
              <w:t>w tym:</w:t>
            </w: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ustalające warunki</w:t>
            </w:r>
          </w:p>
        </w:tc>
        <w:tc>
          <w:tcPr>
            <w:tcW w:w="718" w:type="dxa"/>
            <w:vAlign w:val="center"/>
          </w:tcPr>
          <w:p w:rsidR="00F408D9" w:rsidRPr="00E00B35" w:rsidRDefault="00F408D9" w:rsidP="00E00B35">
            <w:pPr>
              <w:spacing w:after="0" w:line="312" w:lineRule="auto"/>
              <w:rPr>
                <w:szCs w:val="20"/>
              </w:rPr>
            </w:pPr>
            <w:r w:rsidRPr="00E00B35">
              <w:rPr>
                <w:szCs w:val="20"/>
              </w:rPr>
              <w:t>372</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odmawiające ustalenia warunków zabudowy</w:t>
            </w:r>
          </w:p>
        </w:tc>
        <w:tc>
          <w:tcPr>
            <w:tcW w:w="718" w:type="dxa"/>
            <w:vAlign w:val="center"/>
          </w:tcPr>
          <w:p w:rsidR="00F408D9" w:rsidRPr="00E00B35" w:rsidRDefault="00F408D9" w:rsidP="00E00B35">
            <w:pPr>
              <w:spacing w:after="0" w:line="312" w:lineRule="auto"/>
              <w:rPr>
                <w:szCs w:val="20"/>
              </w:rPr>
            </w:pPr>
            <w:r w:rsidRPr="00E00B35">
              <w:rPr>
                <w:szCs w:val="20"/>
              </w:rPr>
              <w:t>126</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2</w:t>
            </w:r>
          </w:p>
        </w:tc>
        <w:tc>
          <w:tcPr>
            <w:tcW w:w="7607" w:type="dxa"/>
            <w:gridSpan w:val="3"/>
            <w:vAlign w:val="center"/>
          </w:tcPr>
          <w:p w:rsidR="00F408D9" w:rsidRPr="00E00B35" w:rsidRDefault="00F408D9" w:rsidP="00E00B35">
            <w:pPr>
              <w:spacing w:after="0" w:line="312" w:lineRule="auto"/>
              <w:rPr>
                <w:szCs w:val="20"/>
              </w:rPr>
            </w:pPr>
            <w:r w:rsidRPr="00E00B35">
              <w:rPr>
                <w:szCs w:val="20"/>
              </w:rPr>
              <w:t>decyzje o przeniesieniu decyzji o warunkach zabudowy</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58</w:t>
            </w: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3</w:t>
            </w:r>
          </w:p>
        </w:tc>
        <w:tc>
          <w:tcPr>
            <w:tcW w:w="7607" w:type="dxa"/>
            <w:gridSpan w:val="3"/>
            <w:vAlign w:val="center"/>
          </w:tcPr>
          <w:p w:rsidR="00F408D9" w:rsidRPr="00E00B35" w:rsidRDefault="00F408D9" w:rsidP="00E00B35">
            <w:pPr>
              <w:spacing w:after="0" w:line="312" w:lineRule="auto"/>
              <w:rPr>
                <w:szCs w:val="20"/>
              </w:rPr>
            </w:pPr>
            <w:r w:rsidRPr="00E00B35">
              <w:rPr>
                <w:szCs w:val="20"/>
              </w:rPr>
              <w:t xml:space="preserve">decyzje inne związane z decyzją o warunkach zabudowy </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219</w:t>
            </w:r>
          </w:p>
        </w:tc>
      </w:tr>
      <w:tr w:rsidR="00F408D9" w:rsidRPr="00E00B35" w:rsidTr="001F7163">
        <w:trPr>
          <w:cantSplit/>
          <w:trHeight w:val="57"/>
          <w:jc w:val="center"/>
        </w:trPr>
        <w:tc>
          <w:tcPr>
            <w:tcW w:w="607" w:type="dxa"/>
            <w:vMerge w:val="restart"/>
            <w:tcBorders>
              <w:left w:val="double" w:sz="4" w:space="0" w:color="auto"/>
            </w:tcBorders>
            <w:vAlign w:val="center"/>
          </w:tcPr>
          <w:p w:rsidR="00F408D9" w:rsidRPr="00E00B35" w:rsidRDefault="00F408D9" w:rsidP="00E00B35">
            <w:pPr>
              <w:spacing w:after="0" w:line="312" w:lineRule="auto"/>
              <w:rPr>
                <w:szCs w:val="20"/>
              </w:rPr>
            </w:pPr>
            <w:r w:rsidRPr="00E00B35">
              <w:rPr>
                <w:szCs w:val="20"/>
              </w:rPr>
              <w:t>4</w:t>
            </w:r>
          </w:p>
        </w:tc>
        <w:tc>
          <w:tcPr>
            <w:tcW w:w="7607" w:type="dxa"/>
            <w:gridSpan w:val="3"/>
            <w:vAlign w:val="center"/>
          </w:tcPr>
          <w:p w:rsidR="00F408D9" w:rsidRPr="00E00B35" w:rsidRDefault="00F408D9" w:rsidP="00E00B35">
            <w:pPr>
              <w:spacing w:after="0" w:line="312" w:lineRule="auto"/>
              <w:rPr>
                <w:szCs w:val="20"/>
              </w:rPr>
            </w:pPr>
            <w:r w:rsidRPr="00E00B35">
              <w:rPr>
                <w:szCs w:val="20"/>
              </w:rPr>
              <w:t>decyzje o ustaleniu lokalizacji inwestycji celu publicznego</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148</w:t>
            </w: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r w:rsidRPr="00E00B35">
              <w:rPr>
                <w:szCs w:val="20"/>
              </w:rPr>
              <w:t>w tym:</w:t>
            </w: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ustalające lokalizację</w:t>
            </w:r>
          </w:p>
        </w:tc>
        <w:tc>
          <w:tcPr>
            <w:tcW w:w="718" w:type="dxa"/>
            <w:vAlign w:val="center"/>
          </w:tcPr>
          <w:p w:rsidR="00F408D9" w:rsidRPr="00E00B35" w:rsidRDefault="00F408D9" w:rsidP="00E00B35">
            <w:pPr>
              <w:spacing w:after="0" w:line="312" w:lineRule="auto"/>
              <w:rPr>
                <w:szCs w:val="20"/>
              </w:rPr>
            </w:pPr>
            <w:r w:rsidRPr="00E00B35">
              <w:rPr>
                <w:szCs w:val="20"/>
              </w:rPr>
              <w:t>146</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odmawiające ustalenia lokalizacji</w:t>
            </w:r>
          </w:p>
        </w:tc>
        <w:tc>
          <w:tcPr>
            <w:tcW w:w="718" w:type="dxa"/>
            <w:vAlign w:val="center"/>
          </w:tcPr>
          <w:p w:rsidR="00F408D9" w:rsidRPr="00E00B35" w:rsidRDefault="00F408D9" w:rsidP="00E00B35">
            <w:pPr>
              <w:spacing w:after="0" w:line="312" w:lineRule="auto"/>
              <w:rPr>
                <w:szCs w:val="20"/>
              </w:rPr>
            </w:pPr>
            <w:r w:rsidRPr="00E00B35">
              <w:rPr>
                <w:szCs w:val="20"/>
              </w:rPr>
              <w:t>2</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tcBorders>
              <w:left w:val="double" w:sz="4" w:space="0" w:color="auto"/>
              <w:bottom w:val="double" w:sz="4" w:space="0" w:color="auto"/>
            </w:tcBorders>
            <w:vAlign w:val="center"/>
          </w:tcPr>
          <w:p w:rsidR="00F408D9" w:rsidRPr="00E00B35" w:rsidRDefault="00F408D9" w:rsidP="00E00B35">
            <w:pPr>
              <w:spacing w:after="0" w:line="312" w:lineRule="auto"/>
              <w:rPr>
                <w:szCs w:val="20"/>
              </w:rPr>
            </w:pPr>
            <w:r w:rsidRPr="00E00B35">
              <w:rPr>
                <w:szCs w:val="20"/>
              </w:rPr>
              <w:t>5</w:t>
            </w:r>
          </w:p>
        </w:tc>
        <w:tc>
          <w:tcPr>
            <w:tcW w:w="7607" w:type="dxa"/>
            <w:gridSpan w:val="3"/>
            <w:tcBorders>
              <w:bottom w:val="double" w:sz="4" w:space="0" w:color="auto"/>
            </w:tcBorders>
            <w:vAlign w:val="center"/>
          </w:tcPr>
          <w:p w:rsidR="00F408D9" w:rsidRPr="00E00B35" w:rsidRDefault="00F408D9" w:rsidP="00E00B35">
            <w:pPr>
              <w:spacing w:after="0" w:line="312" w:lineRule="auto"/>
              <w:rPr>
                <w:szCs w:val="20"/>
              </w:rPr>
            </w:pPr>
            <w:r w:rsidRPr="00E00B35">
              <w:rPr>
                <w:szCs w:val="20"/>
              </w:rPr>
              <w:t>decyzje inne związane z ustaleniem lokalizacji</w:t>
            </w:r>
          </w:p>
        </w:tc>
        <w:tc>
          <w:tcPr>
            <w:tcW w:w="858" w:type="dxa"/>
            <w:tcBorders>
              <w:bottom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35</w:t>
            </w:r>
          </w:p>
        </w:tc>
      </w:tr>
      <w:tr w:rsidR="00F408D9" w:rsidRPr="00E00B35" w:rsidTr="001F7163">
        <w:trPr>
          <w:cantSplit/>
          <w:trHeight w:val="57"/>
          <w:jc w:val="center"/>
        </w:trPr>
        <w:tc>
          <w:tcPr>
            <w:tcW w:w="9072" w:type="dxa"/>
            <w:gridSpan w:val="5"/>
            <w:tcBorders>
              <w:top w:val="double" w:sz="4" w:space="0" w:color="auto"/>
              <w:left w:val="double" w:sz="4" w:space="0" w:color="auto"/>
              <w:bottom w:val="double" w:sz="4" w:space="0" w:color="auto"/>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val="restart"/>
            <w:tcBorders>
              <w:top w:val="double" w:sz="4" w:space="0" w:color="auto"/>
              <w:left w:val="double" w:sz="4" w:space="0" w:color="auto"/>
            </w:tcBorders>
            <w:vAlign w:val="center"/>
          </w:tcPr>
          <w:p w:rsidR="00F408D9" w:rsidRPr="00E00B35" w:rsidRDefault="00F408D9" w:rsidP="00E00B35">
            <w:pPr>
              <w:spacing w:after="0" w:line="312" w:lineRule="auto"/>
              <w:rPr>
                <w:szCs w:val="20"/>
              </w:rPr>
            </w:pPr>
            <w:r w:rsidRPr="00E00B35">
              <w:rPr>
                <w:szCs w:val="20"/>
              </w:rPr>
              <w:t>6</w:t>
            </w:r>
          </w:p>
        </w:tc>
        <w:tc>
          <w:tcPr>
            <w:tcW w:w="7607" w:type="dxa"/>
            <w:gridSpan w:val="3"/>
            <w:tcBorders>
              <w:top w:val="double" w:sz="4" w:space="0" w:color="auto"/>
            </w:tcBorders>
            <w:vAlign w:val="center"/>
          </w:tcPr>
          <w:p w:rsidR="00F408D9" w:rsidRPr="00E00B35" w:rsidRDefault="00F408D9" w:rsidP="00E00B35">
            <w:pPr>
              <w:spacing w:after="0" w:line="312" w:lineRule="auto"/>
              <w:rPr>
                <w:szCs w:val="20"/>
              </w:rPr>
            </w:pPr>
            <w:r w:rsidRPr="00E00B35">
              <w:rPr>
                <w:szCs w:val="20"/>
              </w:rPr>
              <w:t>decyzje o pozwoleniu na budowę i zatwierdzeniu projektu budowlanego</w:t>
            </w:r>
          </w:p>
        </w:tc>
        <w:tc>
          <w:tcPr>
            <w:tcW w:w="858" w:type="dxa"/>
            <w:tcBorders>
              <w:top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2980</w:t>
            </w: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r w:rsidRPr="00E00B35">
              <w:rPr>
                <w:szCs w:val="20"/>
              </w:rPr>
              <w:t>w tym:</w:t>
            </w: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decyzje udzielające pozwolenia na budowę</w:t>
            </w:r>
          </w:p>
        </w:tc>
        <w:tc>
          <w:tcPr>
            <w:tcW w:w="718" w:type="dxa"/>
            <w:vAlign w:val="center"/>
          </w:tcPr>
          <w:p w:rsidR="00F408D9" w:rsidRPr="00E00B35" w:rsidRDefault="00F408D9" w:rsidP="00E00B35">
            <w:pPr>
              <w:spacing w:after="0" w:line="312" w:lineRule="auto"/>
              <w:rPr>
                <w:szCs w:val="20"/>
              </w:rPr>
            </w:pPr>
            <w:r w:rsidRPr="00E00B35">
              <w:rPr>
                <w:szCs w:val="20"/>
              </w:rPr>
              <w:t>2901</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rFonts w:eastAsia="Arial Unicode MS"/>
                <w:szCs w:val="20"/>
              </w:rPr>
            </w:pPr>
            <w:r w:rsidRPr="00E00B35">
              <w:rPr>
                <w:szCs w:val="20"/>
              </w:rPr>
              <w:t xml:space="preserve">w tym: </w:t>
            </w:r>
          </w:p>
        </w:tc>
        <w:tc>
          <w:tcPr>
            <w:tcW w:w="5823" w:type="dxa"/>
            <w:tcBorders>
              <w:left w:val="nil"/>
            </w:tcBorders>
            <w:vAlign w:val="center"/>
          </w:tcPr>
          <w:p w:rsidR="00F408D9" w:rsidRPr="00E00B35" w:rsidRDefault="00F408D9" w:rsidP="00E00B35">
            <w:pPr>
              <w:spacing w:after="0" w:line="312" w:lineRule="auto"/>
              <w:rPr>
                <w:rFonts w:eastAsia="Arial Unicode MS"/>
                <w:szCs w:val="20"/>
              </w:rPr>
            </w:pPr>
            <w:r w:rsidRPr="00E00B35">
              <w:rPr>
                <w:szCs w:val="20"/>
              </w:rPr>
              <w:t xml:space="preserve">budownictwo jednorodzinne </w:t>
            </w:r>
          </w:p>
        </w:tc>
        <w:tc>
          <w:tcPr>
            <w:tcW w:w="718" w:type="dxa"/>
            <w:vAlign w:val="center"/>
          </w:tcPr>
          <w:p w:rsidR="00F408D9" w:rsidRPr="00E00B35" w:rsidRDefault="00F408D9" w:rsidP="00E00B35">
            <w:pPr>
              <w:spacing w:after="0" w:line="312" w:lineRule="auto"/>
              <w:rPr>
                <w:szCs w:val="20"/>
              </w:rPr>
            </w:pPr>
            <w:r w:rsidRPr="00E00B35">
              <w:rPr>
                <w:szCs w:val="20"/>
              </w:rPr>
              <w:t>262</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rFonts w:eastAsia="Arial Unicode MS"/>
                <w:szCs w:val="20"/>
              </w:rPr>
            </w:pPr>
            <w:r w:rsidRPr="00E00B35">
              <w:rPr>
                <w:szCs w:val="20"/>
              </w:rPr>
              <w:t xml:space="preserve">budownictwo wielorodzinne </w:t>
            </w:r>
          </w:p>
        </w:tc>
        <w:tc>
          <w:tcPr>
            <w:tcW w:w="718" w:type="dxa"/>
            <w:vAlign w:val="center"/>
          </w:tcPr>
          <w:p w:rsidR="00F408D9" w:rsidRPr="00E00B35" w:rsidRDefault="00F408D9" w:rsidP="00E00B35">
            <w:pPr>
              <w:spacing w:after="0" w:line="312" w:lineRule="auto"/>
              <w:rPr>
                <w:szCs w:val="20"/>
              </w:rPr>
            </w:pPr>
            <w:r w:rsidRPr="00E00B35">
              <w:rPr>
                <w:szCs w:val="20"/>
              </w:rPr>
              <w:t>72</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rFonts w:eastAsia="Arial Unicode MS"/>
                <w:szCs w:val="20"/>
              </w:rPr>
            </w:pPr>
            <w:r w:rsidRPr="00E00B35">
              <w:rPr>
                <w:szCs w:val="20"/>
              </w:rPr>
              <w:t xml:space="preserve">infrastruktura techniczna </w:t>
            </w:r>
          </w:p>
        </w:tc>
        <w:tc>
          <w:tcPr>
            <w:tcW w:w="718" w:type="dxa"/>
            <w:vAlign w:val="center"/>
          </w:tcPr>
          <w:p w:rsidR="00F408D9" w:rsidRPr="00E00B35" w:rsidRDefault="00F408D9" w:rsidP="00E00B35">
            <w:pPr>
              <w:spacing w:after="0" w:line="312" w:lineRule="auto"/>
              <w:rPr>
                <w:szCs w:val="20"/>
              </w:rPr>
            </w:pPr>
            <w:r w:rsidRPr="00E00B35">
              <w:rPr>
                <w:szCs w:val="20"/>
              </w:rPr>
              <w:t>203</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6889" w:type="dxa"/>
            <w:gridSpan w:val="2"/>
            <w:vAlign w:val="center"/>
          </w:tcPr>
          <w:p w:rsidR="00F408D9" w:rsidRPr="00E00B35" w:rsidRDefault="00F408D9" w:rsidP="00E00B35">
            <w:pPr>
              <w:spacing w:after="0" w:line="312" w:lineRule="auto"/>
              <w:rPr>
                <w:rFonts w:eastAsia="Arial Unicode MS"/>
                <w:szCs w:val="20"/>
              </w:rPr>
            </w:pPr>
            <w:r w:rsidRPr="00E00B35">
              <w:rPr>
                <w:szCs w:val="20"/>
              </w:rPr>
              <w:t>decyzje odmawiające pozwolenia na budowę</w:t>
            </w:r>
          </w:p>
        </w:tc>
        <w:tc>
          <w:tcPr>
            <w:tcW w:w="718" w:type="dxa"/>
            <w:vAlign w:val="center"/>
          </w:tcPr>
          <w:p w:rsidR="00F408D9" w:rsidRPr="00E00B35" w:rsidRDefault="00F408D9" w:rsidP="00E00B35">
            <w:pPr>
              <w:spacing w:after="0" w:line="312" w:lineRule="auto"/>
              <w:rPr>
                <w:szCs w:val="20"/>
              </w:rPr>
            </w:pPr>
            <w:r w:rsidRPr="00E00B35">
              <w:rPr>
                <w:szCs w:val="20"/>
              </w:rPr>
              <w:t>79</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val="restart"/>
            <w:tcBorders>
              <w:left w:val="double" w:sz="4" w:space="0" w:color="auto"/>
            </w:tcBorders>
            <w:vAlign w:val="center"/>
          </w:tcPr>
          <w:p w:rsidR="00F408D9" w:rsidRPr="00E00B35" w:rsidRDefault="00F408D9" w:rsidP="00E00B35">
            <w:pPr>
              <w:spacing w:after="0" w:line="312" w:lineRule="auto"/>
              <w:rPr>
                <w:szCs w:val="20"/>
              </w:rPr>
            </w:pPr>
            <w:r w:rsidRPr="00E00B35">
              <w:rPr>
                <w:szCs w:val="20"/>
              </w:rPr>
              <w:t>7</w:t>
            </w:r>
          </w:p>
        </w:tc>
        <w:tc>
          <w:tcPr>
            <w:tcW w:w="7607" w:type="dxa"/>
            <w:gridSpan w:val="3"/>
            <w:vAlign w:val="center"/>
          </w:tcPr>
          <w:p w:rsidR="00F408D9" w:rsidRPr="00E00B35" w:rsidRDefault="00F408D9" w:rsidP="00E00B35">
            <w:pPr>
              <w:spacing w:after="0" w:line="312" w:lineRule="auto"/>
              <w:rPr>
                <w:szCs w:val="20"/>
              </w:rPr>
            </w:pPr>
            <w:r w:rsidRPr="00E00B35">
              <w:rPr>
                <w:szCs w:val="20"/>
              </w:rPr>
              <w:t>decyzje o zmianie pozwolenia na budowę</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521</w:t>
            </w: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r w:rsidRPr="00E00B35">
              <w:rPr>
                <w:szCs w:val="20"/>
              </w:rPr>
              <w:t>w tym:</w:t>
            </w:r>
          </w:p>
        </w:tc>
        <w:tc>
          <w:tcPr>
            <w:tcW w:w="5823" w:type="dxa"/>
            <w:tcBorders>
              <w:left w:val="nil"/>
            </w:tcBorders>
            <w:vAlign w:val="center"/>
          </w:tcPr>
          <w:p w:rsidR="00F408D9" w:rsidRPr="00E00B35" w:rsidRDefault="00F408D9" w:rsidP="00E00B35">
            <w:pPr>
              <w:spacing w:after="0" w:line="312" w:lineRule="auto"/>
              <w:rPr>
                <w:rFonts w:eastAsia="Arial Unicode MS"/>
                <w:szCs w:val="20"/>
              </w:rPr>
            </w:pPr>
            <w:r w:rsidRPr="00E00B35">
              <w:rPr>
                <w:szCs w:val="20"/>
              </w:rPr>
              <w:t>zmieniające decyzje o pozwoleniu na budowę</w:t>
            </w:r>
          </w:p>
        </w:tc>
        <w:tc>
          <w:tcPr>
            <w:tcW w:w="718" w:type="dxa"/>
            <w:vAlign w:val="center"/>
          </w:tcPr>
          <w:p w:rsidR="00F408D9" w:rsidRPr="00E00B35" w:rsidRDefault="00F408D9" w:rsidP="00E00B35">
            <w:pPr>
              <w:spacing w:after="0" w:line="312" w:lineRule="auto"/>
              <w:rPr>
                <w:szCs w:val="20"/>
              </w:rPr>
            </w:pPr>
            <w:r w:rsidRPr="00E00B35">
              <w:rPr>
                <w:szCs w:val="20"/>
              </w:rPr>
              <w:t>514</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rFonts w:eastAsia="Arial Unicode MS"/>
                <w:szCs w:val="20"/>
              </w:rPr>
            </w:pPr>
            <w:r w:rsidRPr="00E00B35">
              <w:rPr>
                <w:szCs w:val="20"/>
              </w:rPr>
              <w:t>odmawiające zmiany decyzji</w:t>
            </w:r>
          </w:p>
        </w:tc>
        <w:tc>
          <w:tcPr>
            <w:tcW w:w="718" w:type="dxa"/>
            <w:vAlign w:val="center"/>
          </w:tcPr>
          <w:p w:rsidR="00F408D9" w:rsidRPr="00E00B35" w:rsidRDefault="00F408D9" w:rsidP="00E00B35">
            <w:pPr>
              <w:spacing w:after="0" w:line="312" w:lineRule="auto"/>
              <w:rPr>
                <w:szCs w:val="20"/>
              </w:rPr>
            </w:pPr>
            <w:r w:rsidRPr="00E00B35">
              <w:rPr>
                <w:szCs w:val="20"/>
              </w:rPr>
              <w:t>7</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8</w:t>
            </w:r>
          </w:p>
        </w:tc>
        <w:tc>
          <w:tcPr>
            <w:tcW w:w="7607" w:type="dxa"/>
            <w:gridSpan w:val="3"/>
            <w:vAlign w:val="center"/>
          </w:tcPr>
          <w:p w:rsidR="00F408D9" w:rsidRPr="00E00B35" w:rsidRDefault="00F408D9" w:rsidP="00E00B35">
            <w:pPr>
              <w:spacing w:after="0" w:line="312" w:lineRule="auto"/>
              <w:rPr>
                <w:szCs w:val="20"/>
              </w:rPr>
            </w:pPr>
            <w:r w:rsidRPr="00E00B35">
              <w:rPr>
                <w:szCs w:val="20"/>
              </w:rPr>
              <w:t>zezwolenia na realizację inwestycji drogowej</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13</w:t>
            </w:r>
          </w:p>
        </w:tc>
      </w:tr>
      <w:tr w:rsidR="00F408D9" w:rsidRPr="00E00B35" w:rsidTr="001F7163">
        <w:trPr>
          <w:cantSplit/>
          <w:trHeight w:val="57"/>
          <w:jc w:val="center"/>
        </w:trPr>
        <w:tc>
          <w:tcPr>
            <w:tcW w:w="607" w:type="dxa"/>
            <w:vMerge w:val="restart"/>
            <w:tcBorders>
              <w:left w:val="double" w:sz="4" w:space="0" w:color="auto"/>
            </w:tcBorders>
            <w:vAlign w:val="center"/>
          </w:tcPr>
          <w:p w:rsidR="00F408D9" w:rsidRPr="00E00B35" w:rsidRDefault="00F408D9" w:rsidP="00E00B35">
            <w:pPr>
              <w:spacing w:after="0" w:line="312" w:lineRule="auto"/>
              <w:rPr>
                <w:szCs w:val="20"/>
              </w:rPr>
            </w:pPr>
            <w:r w:rsidRPr="00E00B35">
              <w:rPr>
                <w:szCs w:val="20"/>
              </w:rPr>
              <w:t>9</w:t>
            </w:r>
          </w:p>
        </w:tc>
        <w:tc>
          <w:tcPr>
            <w:tcW w:w="7607" w:type="dxa"/>
            <w:gridSpan w:val="3"/>
            <w:vAlign w:val="center"/>
          </w:tcPr>
          <w:p w:rsidR="00F408D9" w:rsidRPr="00E00B35" w:rsidRDefault="00F408D9" w:rsidP="00E00B35">
            <w:pPr>
              <w:spacing w:after="0" w:line="312" w:lineRule="auto"/>
              <w:rPr>
                <w:szCs w:val="20"/>
              </w:rPr>
            </w:pPr>
            <w:r w:rsidRPr="00E00B35">
              <w:rPr>
                <w:szCs w:val="20"/>
              </w:rPr>
              <w:t>decyzje pozwolenia na rozbiórkę</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92</w:t>
            </w: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r w:rsidRPr="00E00B35">
              <w:rPr>
                <w:szCs w:val="20"/>
              </w:rPr>
              <w:t>w tym:</w:t>
            </w:r>
          </w:p>
        </w:tc>
        <w:tc>
          <w:tcPr>
            <w:tcW w:w="5823" w:type="dxa"/>
            <w:tcBorders>
              <w:left w:val="nil"/>
            </w:tcBorders>
            <w:vAlign w:val="center"/>
          </w:tcPr>
          <w:p w:rsidR="00F408D9" w:rsidRPr="00E00B35" w:rsidRDefault="00F408D9" w:rsidP="00E00B35">
            <w:pPr>
              <w:spacing w:after="0" w:line="312" w:lineRule="auto"/>
              <w:rPr>
                <w:rFonts w:eastAsia="Arial Unicode MS"/>
                <w:szCs w:val="20"/>
              </w:rPr>
            </w:pPr>
            <w:r w:rsidRPr="00E00B35">
              <w:rPr>
                <w:szCs w:val="20"/>
              </w:rPr>
              <w:t>decyzje udzielające pozwolenia na rozbiórkę</w:t>
            </w:r>
          </w:p>
        </w:tc>
        <w:tc>
          <w:tcPr>
            <w:tcW w:w="718" w:type="dxa"/>
            <w:vAlign w:val="center"/>
          </w:tcPr>
          <w:p w:rsidR="00F408D9" w:rsidRPr="00E00B35" w:rsidRDefault="00F408D9" w:rsidP="00E00B35">
            <w:pPr>
              <w:spacing w:after="0" w:line="312" w:lineRule="auto"/>
              <w:rPr>
                <w:szCs w:val="20"/>
              </w:rPr>
            </w:pPr>
            <w:r w:rsidRPr="00E00B35">
              <w:rPr>
                <w:szCs w:val="20"/>
              </w:rPr>
              <w:t>87</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rFonts w:eastAsia="Arial Unicode MS"/>
                <w:szCs w:val="20"/>
              </w:rPr>
            </w:pPr>
            <w:r w:rsidRPr="00E00B35">
              <w:rPr>
                <w:szCs w:val="20"/>
              </w:rPr>
              <w:t>odmawiające pozwolenia na rozbiórkę</w:t>
            </w:r>
          </w:p>
        </w:tc>
        <w:tc>
          <w:tcPr>
            <w:tcW w:w="718" w:type="dxa"/>
            <w:vAlign w:val="center"/>
          </w:tcPr>
          <w:p w:rsidR="00F408D9" w:rsidRPr="00E00B35" w:rsidRDefault="00F408D9" w:rsidP="00E00B35">
            <w:pPr>
              <w:spacing w:after="0" w:line="312" w:lineRule="auto"/>
              <w:rPr>
                <w:szCs w:val="20"/>
              </w:rPr>
            </w:pPr>
            <w:r w:rsidRPr="00E00B35">
              <w:rPr>
                <w:szCs w:val="20"/>
              </w:rPr>
              <w:t>5</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10</w:t>
            </w:r>
          </w:p>
        </w:tc>
        <w:tc>
          <w:tcPr>
            <w:tcW w:w="7607" w:type="dxa"/>
            <w:gridSpan w:val="3"/>
            <w:vAlign w:val="center"/>
          </w:tcPr>
          <w:p w:rsidR="00F408D9" w:rsidRPr="00E00B35" w:rsidRDefault="00F408D9" w:rsidP="00E00B35">
            <w:pPr>
              <w:spacing w:after="0" w:line="312" w:lineRule="auto"/>
              <w:rPr>
                <w:szCs w:val="20"/>
              </w:rPr>
            </w:pPr>
            <w:r w:rsidRPr="00E00B35">
              <w:rPr>
                <w:szCs w:val="20"/>
              </w:rPr>
              <w:t>decyzje o przeniesieniu pozwolenia na budowę</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131</w:t>
            </w: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11</w:t>
            </w:r>
          </w:p>
        </w:tc>
        <w:tc>
          <w:tcPr>
            <w:tcW w:w="7607" w:type="dxa"/>
            <w:gridSpan w:val="3"/>
            <w:vAlign w:val="center"/>
          </w:tcPr>
          <w:p w:rsidR="00F408D9" w:rsidRPr="00E00B35" w:rsidRDefault="00F408D9" w:rsidP="00E00B35">
            <w:pPr>
              <w:spacing w:after="0" w:line="312" w:lineRule="auto"/>
              <w:rPr>
                <w:szCs w:val="20"/>
              </w:rPr>
            </w:pPr>
            <w:r w:rsidRPr="00E00B35">
              <w:rPr>
                <w:szCs w:val="20"/>
              </w:rPr>
              <w:t>decyzje inne</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326</w:t>
            </w: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12</w:t>
            </w:r>
          </w:p>
        </w:tc>
        <w:tc>
          <w:tcPr>
            <w:tcW w:w="7607" w:type="dxa"/>
            <w:gridSpan w:val="3"/>
            <w:vAlign w:val="center"/>
          </w:tcPr>
          <w:p w:rsidR="00F408D9" w:rsidRPr="00E00B35" w:rsidRDefault="00F408D9" w:rsidP="00E00B35">
            <w:pPr>
              <w:spacing w:after="0" w:line="312" w:lineRule="auto"/>
              <w:rPr>
                <w:szCs w:val="20"/>
              </w:rPr>
            </w:pPr>
            <w:r w:rsidRPr="00E00B35">
              <w:rPr>
                <w:szCs w:val="20"/>
              </w:rPr>
              <w:t>decyzje wnoszące sprzeciw wobec budowy, prowadzenia robót budowlanych lub zmiany sposobu użytkowania</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413</w:t>
            </w: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13</w:t>
            </w:r>
          </w:p>
        </w:tc>
        <w:tc>
          <w:tcPr>
            <w:tcW w:w="7607" w:type="dxa"/>
            <w:gridSpan w:val="3"/>
            <w:vAlign w:val="center"/>
          </w:tcPr>
          <w:p w:rsidR="00F408D9" w:rsidRPr="00E00B35" w:rsidRDefault="00F408D9" w:rsidP="00E00B35">
            <w:pPr>
              <w:spacing w:after="0" w:line="312" w:lineRule="auto"/>
              <w:rPr>
                <w:szCs w:val="20"/>
              </w:rPr>
            </w:pPr>
            <w:r w:rsidRPr="00E00B35">
              <w:rPr>
                <w:szCs w:val="20"/>
              </w:rPr>
              <w:t xml:space="preserve">zgłoszenia budowy wolno stojących budynków mieszkalnych jednorodzinnych, stacji transformatorowych i sieci </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374</w:t>
            </w: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14</w:t>
            </w:r>
          </w:p>
        </w:tc>
        <w:tc>
          <w:tcPr>
            <w:tcW w:w="7607" w:type="dxa"/>
            <w:gridSpan w:val="3"/>
            <w:vAlign w:val="center"/>
          </w:tcPr>
          <w:p w:rsidR="00F408D9" w:rsidRPr="00E00B35" w:rsidRDefault="00F408D9" w:rsidP="00E00B35">
            <w:pPr>
              <w:spacing w:after="0" w:line="312" w:lineRule="auto"/>
              <w:rPr>
                <w:szCs w:val="20"/>
              </w:rPr>
            </w:pPr>
            <w:r w:rsidRPr="00E00B35">
              <w:rPr>
                <w:szCs w:val="20"/>
              </w:rPr>
              <w:t xml:space="preserve">pozostałe zgłoszenia: budowy, rozbiórki, prowadzenia robót budowlanych i zgłoszenia zmiany sposobu użytkowania </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1639</w:t>
            </w:r>
          </w:p>
        </w:tc>
      </w:tr>
      <w:tr w:rsidR="00F408D9" w:rsidRPr="00E00B35" w:rsidTr="001F7163">
        <w:trPr>
          <w:cantSplit/>
          <w:trHeight w:val="37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15</w:t>
            </w:r>
          </w:p>
        </w:tc>
        <w:tc>
          <w:tcPr>
            <w:tcW w:w="7607" w:type="dxa"/>
            <w:gridSpan w:val="3"/>
            <w:vAlign w:val="center"/>
          </w:tcPr>
          <w:p w:rsidR="00F408D9" w:rsidRPr="00E00B35" w:rsidRDefault="00F408D9" w:rsidP="00E00B35">
            <w:pPr>
              <w:spacing w:after="0" w:line="312" w:lineRule="auto"/>
              <w:rPr>
                <w:szCs w:val="20"/>
              </w:rPr>
            </w:pPr>
            <w:r w:rsidRPr="00E00B35">
              <w:rPr>
                <w:szCs w:val="20"/>
              </w:rPr>
              <w:t>postanowienia o usunięciu nieprawidłowości w projekcie budowlanym</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2406</w:t>
            </w:r>
          </w:p>
        </w:tc>
      </w:tr>
      <w:tr w:rsidR="00F408D9" w:rsidRPr="00E00B35" w:rsidTr="001F7163">
        <w:trPr>
          <w:cantSplit/>
          <w:trHeight w:val="57"/>
          <w:jc w:val="center"/>
        </w:trPr>
        <w:tc>
          <w:tcPr>
            <w:tcW w:w="607" w:type="dxa"/>
            <w:tcBorders>
              <w:left w:val="double" w:sz="4" w:space="0" w:color="auto"/>
              <w:bottom w:val="double" w:sz="4" w:space="0" w:color="auto"/>
            </w:tcBorders>
            <w:vAlign w:val="center"/>
          </w:tcPr>
          <w:p w:rsidR="00F408D9" w:rsidRPr="00E00B35" w:rsidRDefault="00F408D9" w:rsidP="00E00B35">
            <w:pPr>
              <w:spacing w:after="0" w:line="312" w:lineRule="auto"/>
              <w:rPr>
                <w:szCs w:val="20"/>
              </w:rPr>
            </w:pPr>
            <w:r w:rsidRPr="00E00B35">
              <w:rPr>
                <w:szCs w:val="20"/>
              </w:rPr>
              <w:t>16</w:t>
            </w:r>
          </w:p>
        </w:tc>
        <w:tc>
          <w:tcPr>
            <w:tcW w:w="7607" w:type="dxa"/>
            <w:gridSpan w:val="3"/>
            <w:tcBorders>
              <w:bottom w:val="double" w:sz="4" w:space="0" w:color="auto"/>
            </w:tcBorders>
            <w:vAlign w:val="center"/>
          </w:tcPr>
          <w:p w:rsidR="00F408D9" w:rsidRPr="00E00B35" w:rsidRDefault="00F408D9" w:rsidP="00E00B35">
            <w:pPr>
              <w:spacing w:after="0" w:line="312" w:lineRule="auto"/>
              <w:rPr>
                <w:szCs w:val="20"/>
              </w:rPr>
            </w:pPr>
            <w:r w:rsidRPr="00E00B35">
              <w:rPr>
                <w:szCs w:val="20"/>
              </w:rPr>
              <w:t xml:space="preserve">rejestracja dziennika budowy </w:t>
            </w:r>
          </w:p>
        </w:tc>
        <w:tc>
          <w:tcPr>
            <w:tcW w:w="858" w:type="dxa"/>
            <w:tcBorders>
              <w:bottom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2344</w:t>
            </w:r>
          </w:p>
        </w:tc>
      </w:tr>
      <w:tr w:rsidR="00F408D9" w:rsidRPr="00E00B35" w:rsidTr="001F7163">
        <w:trPr>
          <w:cantSplit/>
          <w:trHeight w:val="57"/>
          <w:jc w:val="center"/>
        </w:trPr>
        <w:tc>
          <w:tcPr>
            <w:tcW w:w="9072" w:type="dxa"/>
            <w:gridSpan w:val="5"/>
            <w:tcBorders>
              <w:top w:val="double" w:sz="4" w:space="0" w:color="auto"/>
              <w:left w:val="double" w:sz="4" w:space="0" w:color="auto"/>
              <w:bottom w:val="double" w:sz="4" w:space="0" w:color="auto"/>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tcBorders>
              <w:top w:val="double" w:sz="4" w:space="0" w:color="auto"/>
              <w:left w:val="double" w:sz="4" w:space="0" w:color="auto"/>
            </w:tcBorders>
            <w:vAlign w:val="center"/>
          </w:tcPr>
          <w:p w:rsidR="00F408D9" w:rsidRPr="00E00B35" w:rsidRDefault="00F408D9" w:rsidP="00E00B35">
            <w:pPr>
              <w:spacing w:after="0" w:line="312" w:lineRule="auto"/>
              <w:rPr>
                <w:szCs w:val="20"/>
              </w:rPr>
            </w:pPr>
            <w:r w:rsidRPr="00E00B35">
              <w:rPr>
                <w:szCs w:val="20"/>
              </w:rPr>
              <w:t>17</w:t>
            </w:r>
          </w:p>
        </w:tc>
        <w:tc>
          <w:tcPr>
            <w:tcW w:w="7607" w:type="dxa"/>
            <w:gridSpan w:val="3"/>
            <w:tcBorders>
              <w:top w:val="double" w:sz="4" w:space="0" w:color="auto"/>
            </w:tcBorders>
            <w:vAlign w:val="center"/>
          </w:tcPr>
          <w:p w:rsidR="00F408D9" w:rsidRPr="00E00B35" w:rsidRDefault="00F408D9" w:rsidP="00E00B35">
            <w:pPr>
              <w:spacing w:after="0" w:line="312" w:lineRule="auto"/>
              <w:rPr>
                <w:szCs w:val="20"/>
              </w:rPr>
            </w:pPr>
            <w:r w:rsidRPr="00E00B35">
              <w:rPr>
                <w:szCs w:val="20"/>
              </w:rPr>
              <w:t>zaświadczenia o samodzielności lokali</w:t>
            </w:r>
          </w:p>
        </w:tc>
        <w:tc>
          <w:tcPr>
            <w:tcW w:w="858" w:type="dxa"/>
            <w:tcBorders>
              <w:top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14819</w:t>
            </w: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18</w:t>
            </w:r>
          </w:p>
        </w:tc>
        <w:tc>
          <w:tcPr>
            <w:tcW w:w="7607" w:type="dxa"/>
            <w:gridSpan w:val="3"/>
            <w:vAlign w:val="center"/>
          </w:tcPr>
          <w:p w:rsidR="00F408D9" w:rsidRPr="00E00B35" w:rsidRDefault="00F408D9" w:rsidP="00E00B35">
            <w:pPr>
              <w:spacing w:after="0" w:line="312" w:lineRule="auto"/>
              <w:rPr>
                <w:szCs w:val="20"/>
              </w:rPr>
            </w:pPr>
            <w:r w:rsidRPr="00E00B35">
              <w:rPr>
                <w:szCs w:val="20"/>
              </w:rPr>
              <w:t>postanowienia o odmowie wydania zaświadczenia o samodzielności lokalu</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9</w:t>
            </w:r>
          </w:p>
        </w:tc>
      </w:tr>
      <w:tr w:rsidR="00F408D9" w:rsidRPr="00E00B35" w:rsidTr="001F7163">
        <w:trPr>
          <w:cantSplit/>
          <w:trHeight w:val="57"/>
          <w:jc w:val="center"/>
        </w:trPr>
        <w:tc>
          <w:tcPr>
            <w:tcW w:w="607" w:type="dxa"/>
            <w:tcBorders>
              <w:left w:val="double" w:sz="4" w:space="0" w:color="auto"/>
              <w:bottom w:val="double" w:sz="4" w:space="0" w:color="auto"/>
            </w:tcBorders>
            <w:vAlign w:val="center"/>
          </w:tcPr>
          <w:p w:rsidR="00F408D9" w:rsidRPr="00E00B35" w:rsidRDefault="00F408D9" w:rsidP="00E00B35">
            <w:pPr>
              <w:spacing w:after="0" w:line="312" w:lineRule="auto"/>
              <w:rPr>
                <w:szCs w:val="20"/>
              </w:rPr>
            </w:pPr>
            <w:r w:rsidRPr="00E00B35">
              <w:rPr>
                <w:szCs w:val="20"/>
              </w:rPr>
              <w:t>19</w:t>
            </w:r>
          </w:p>
        </w:tc>
        <w:tc>
          <w:tcPr>
            <w:tcW w:w="7607" w:type="dxa"/>
            <w:gridSpan w:val="3"/>
            <w:tcBorders>
              <w:bottom w:val="double" w:sz="4" w:space="0" w:color="auto"/>
            </w:tcBorders>
            <w:vAlign w:val="center"/>
          </w:tcPr>
          <w:p w:rsidR="00F408D9" w:rsidRPr="00E00B35" w:rsidRDefault="00F408D9" w:rsidP="00E00B35">
            <w:pPr>
              <w:spacing w:after="0" w:line="312" w:lineRule="auto"/>
              <w:rPr>
                <w:szCs w:val="20"/>
              </w:rPr>
            </w:pPr>
            <w:r w:rsidRPr="00E00B35">
              <w:rPr>
                <w:szCs w:val="20"/>
              </w:rPr>
              <w:t>zaświadczenia inne (np. o ostateczności decyzji, o przyjęciu zgłoszenia prowadzenia robót budowlanych, zmiany sposobu użytkowania)</w:t>
            </w:r>
          </w:p>
        </w:tc>
        <w:tc>
          <w:tcPr>
            <w:tcW w:w="858" w:type="dxa"/>
            <w:tcBorders>
              <w:bottom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3254</w:t>
            </w:r>
          </w:p>
        </w:tc>
      </w:tr>
      <w:tr w:rsidR="00F408D9" w:rsidRPr="00E00B35" w:rsidTr="001F7163">
        <w:trPr>
          <w:cantSplit/>
          <w:trHeight w:val="57"/>
          <w:jc w:val="center"/>
        </w:trPr>
        <w:tc>
          <w:tcPr>
            <w:tcW w:w="9072" w:type="dxa"/>
            <w:gridSpan w:val="5"/>
            <w:tcBorders>
              <w:top w:val="double" w:sz="4" w:space="0" w:color="auto"/>
              <w:left w:val="double" w:sz="4" w:space="0" w:color="auto"/>
              <w:bottom w:val="double" w:sz="4" w:space="0" w:color="auto"/>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tcBorders>
              <w:top w:val="double" w:sz="4" w:space="0" w:color="auto"/>
              <w:left w:val="double" w:sz="4" w:space="0" w:color="auto"/>
            </w:tcBorders>
            <w:vAlign w:val="center"/>
          </w:tcPr>
          <w:p w:rsidR="00F408D9" w:rsidRPr="00E00B35" w:rsidRDefault="00F408D9" w:rsidP="00E00B35">
            <w:pPr>
              <w:spacing w:after="0" w:line="312" w:lineRule="auto"/>
              <w:rPr>
                <w:szCs w:val="20"/>
              </w:rPr>
            </w:pPr>
            <w:r w:rsidRPr="00E00B35">
              <w:rPr>
                <w:szCs w:val="20"/>
              </w:rPr>
              <w:t>20</w:t>
            </w:r>
          </w:p>
        </w:tc>
        <w:tc>
          <w:tcPr>
            <w:tcW w:w="7607" w:type="dxa"/>
            <w:gridSpan w:val="3"/>
            <w:tcBorders>
              <w:top w:val="double" w:sz="4" w:space="0" w:color="auto"/>
            </w:tcBorders>
            <w:vAlign w:val="center"/>
          </w:tcPr>
          <w:p w:rsidR="00F408D9" w:rsidRPr="00E00B35" w:rsidRDefault="00F408D9" w:rsidP="00E00B35">
            <w:pPr>
              <w:spacing w:after="0" w:line="312" w:lineRule="auto"/>
              <w:rPr>
                <w:szCs w:val="20"/>
              </w:rPr>
            </w:pPr>
            <w:r w:rsidRPr="00E00B35">
              <w:rPr>
                <w:szCs w:val="20"/>
              </w:rPr>
              <w:t xml:space="preserve">postanowienia opiniujące podział </w:t>
            </w:r>
          </w:p>
        </w:tc>
        <w:tc>
          <w:tcPr>
            <w:tcW w:w="858" w:type="dxa"/>
            <w:tcBorders>
              <w:top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242</w:t>
            </w:r>
          </w:p>
        </w:tc>
      </w:tr>
      <w:tr w:rsidR="00F408D9" w:rsidRPr="00E00B35" w:rsidTr="001F7163">
        <w:trPr>
          <w:cantSplit/>
          <w:trHeight w:val="57"/>
          <w:jc w:val="center"/>
        </w:trPr>
        <w:tc>
          <w:tcPr>
            <w:tcW w:w="607" w:type="dxa"/>
            <w:vMerge w:val="restart"/>
            <w:tcBorders>
              <w:left w:val="double" w:sz="4" w:space="0" w:color="auto"/>
            </w:tcBorders>
            <w:vAlign w:val="center"/>
          </w:tcPr>
          <w:p w:rsidR="00F408D9" w:rsidRPr="00E00B35" w:rsidRDefault="00F408D9" w:rsidP="00E00B35">
            <w:pPr>
              <w:spacing w:after="0" w:line="312" w:lineRule="auto"/>
              <w:rPr>
                <w:szCs w:val="20"/>
              </w:rPr>
            </w:pPr>
            <w:r w:rsidRPr="00E00B35">
              <w:rPr>
                <w:szCs w:val="20"/>
              </w:rPr>
              <w:t>21</w:t>
            </w:r>
          </w:p>
        </w:tc>
        <w:tc>
          <w:tcPr>
            <w:tcW w:w="7607" w:type="dxa"/>
            <w:gridSpan w:val="3"/>
            <w:vAlign w:val="center"/>
          </w:tcPr>
          <w:p w:rsidR="00F408D9" w:rsidRPr="00E00B35" w:rsidRDefault="00F408D9" w:rsidP="00E00B35">
            <w:pPr>
              <w:spacing w:after="0" w:line="312" w:lineRule="auto"/>
              <w:rPr>
                <w:szCs w:val="20"/>
              </w:rPr>
            </w:pPr>
            <w:r w:rsidRPr="00E00B35">
              <w:rPr>
                <w:szCs w:val="20"/>
              </w:rPr>
              <w:t>wypisy i wyrysy z obowiązujących planów miejscowych</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1603</w:t>
            </w: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r w:rsidRPr="00E00B35">
              <w:rPr>
                <w:szCs w:val="20"/>
              </w:rPr>
              <w:t>w tym:</w:t>
            </w:r>
          </w:p>
        </w:tc>
        <w:tc>
          <w:tcPr>
            <w:tcW w:w="5823" w:type="dxa"/>
            <w:tcBorders>
              <w:left w:val="nil"/>
            </w:tcBorders>
            <w:vAlign w:val="center"/>
          </w:tcPr>
          <w:p w:rsidR="00F408D9" w:rsidRPr="00E00B35" w:rsidRDefault="00F408D9" w:rsidP="00E00B35">
            <w:pPr>
              <w:spacing w:after="0" w:line="312" w:lineRule="auto"/>
              <w:rPr>
                <w:rFonts w:eastAsia="Arial Unicode MS"/>
                <w:szCs w:val="20"/>
              </w:rPr>
            </w:pPr>
            <w:r w:rsidRPr="00E00B35">
              <w:rPr>
                <w:szCs w:val="20"/>
              </w:rPr>
              <w:t>dla WNS</w:t>
            </w:r>
          </w:p>
        </w:tc>
        <w:tc>
          <w:tcPr>
            <w:tcW w:w="718" w:type="dxa"/>
            <w:vAlign w:val="center"/>
          </w:tcPr>
          <w:p w:rsidR="00F408D9" w:rsidRPr="00E00B35" w:rsidRDefault="00F408D9" w:rsidP="00E00B35">
            <w:pPr>
              <w:spacing w:after="0" w:line="312" w:lineRule="auto"/>
              <w:rPr>
                <w:szCs w:val="20"/>
              </w:rPr>
            </w:pPr>
            <w:r w:rsidRPr="00E00B35">
              <w:rPr>
                <w:szCs w:val="20"/>
              </w:rPr>
              <w:t>196</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rFonts w:eastAsia="Arial Unicode MS"/>
                <w:szCs w:val="20"/>
              </w:rPr>
            </w:pPr>
            <w:r w:rsidRPr="00E00B35">
              <w:rPr>
                <w:szCs w:val="20"/>
              </w:rPr>
              <w:t>dla WSR</w:t>
            </w:r>
          </w:p>
        </w:tc>
        <w:tc>
          <w:tcPr>
            <w:tcW w:w="718" w:type="dxa"/>
            <w:vAlign w:val="center"/>
          </w:tcPr>
          <w:p w:rsidR="00F408D9" w:rsidRPr="00E00B35" w:rsidRDefault="00F408D9" w:rsidP="00E00B35">
            <w:pPr>
              <w:spacing w:after="0" w:line="312" w:lineRule="auto"/>
              <w:rPr>
                <w:szCs w:val="20"/>
              </w:rPr>
            </w:pPr>
            <w:r w:rsidRPr="00E00B35">
              <w:rPr>
                <w:szCs w:val="20"/>
              </w:rPr>
              <w:t>27</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dla WNK</w:t>
            </w:r>
          </w:p>
        </w:tc>
        <w:tc>
          <w:tcPr>
            <w:tcW w:w="718" w:type="dxa"/>
            <w:vAlign w:val="center"/>
          </w:tcPr>
          <w:p w:rsidR="00F408D9" w:rsidRPr="00E00B35" w:rsidRDefault="00F408D9" w:rsidP="00E00B35">
            <w:pPr>
              <w:spacing w:after="0" w:line="312" w:lineRule="auto"/>
              <w:rPr>
                <w:szCs w:val="20"/>
              </w:rPr>
            </w:pPr>
            <w:r w:rsidRPr="00E00B35">
              <w:rPr>
                <w:szCs w:val="20"/>
              </w:rPr>
              <w:t>100</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dla WSP</w:t>
            </w:r>
          </w:p>
        </w:tc>
        <w:tc>
          <w:tcPr>
            <w:tcW w:w="718" w:type="dxa"/>
            <w:vAlign w:val="center"/>
          </w:tcPr>
          <w:p w:rsidR="00F408D9" w:rsidRPr="00E00B35" w:rsidRDefault="00F408D9" w:rsidP="00E00B35">
            <w:pPr>
              <w:spacing w:after="0" w:line="312" w:lineRule="auto"/>
              <w:rPr>
                <w:szCs w:val="20"/>
              </w:rPr>
            </w:pPr>
            <w:r w:rsidRPr="00E00B35">
              <w:rPr>
                <w:szCs w:val="20"/>
              </w:rPr>
              <w:t>5</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val="restart"/>
            <w:tcBorders>
              <w:left w:val="double" w:sz="4" w:space="0" w:color="auto"/>
            </w:tcBorders>
            <w:vAlign w:val="center"/>
          </w:tcPr>
          <w:p w:rsidR="00F408D9" w:rsidRPr="00E00B35" w:rsidRDefault="00F408D9" w:rsidP="00E00B35">
            <w:pPr>
              <w:spacing w:after="0" w:line="312" w:lineRule="auto"/>
              <w:rPr>
                <w:szCs w:val="20"/>
              </w:rPr>
            </w:pPr>
            <w:r w:rsidRPr="00E00B35">
              <w:rPr>
                <w:szCs w:val="20"/>
              </w:rPr>
              <w:t>22</w:t>
            </w:r>
          </w:p>
        </w:tc>
        <w:tc>
          <w:tcPr>
            <w:tcW w:w="7607" w:type="dxa"/>
            <w:gridSpan w:val="3"/>
            <w:vAlign w:val="center"/>
          </w:tcPr>
          <w:p w:rsidR="00F408D9" w:rsidRPr="00E00B35" w:rsidRDefault="00F408D9" w:rsidP="00E00B35">
            <w:pPr>
              <w:spacing w:after="0" w:line="312" w:lineRule="auto"/>
              <w:rPr>
                <w:szCs w:val="20"/>
              </w:rPr>
            </w:pPr>
            <w:r w:rsidRPr="00E00B35">
              <w:rPr>
                <w:szCs w:val="20"/>
              </w:rPr>
              <w:t>opinie urbanistyczne</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140</w:t>
            </w: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r w:rsidRPr="00E00B35">
              <w:rPr>
                <w:szCs w:val="20"/>
              </w:rPr>
              <w:t xml:space="preserve">w tym: </w:t>
            </w: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dla WNS</w:t>
            </w:r>
          </w:p>
        </w:tc>
        <w:tc>
          <w:tcPr>
            <w:tcW w:w="718" w:type="dxa"/>
            <w:vAlign w:val="center"/>
          </w:tcPr>
          <w:p w:rsidR="00F408D9" w:rsidRPr="00E00B35" w:rsidRDefault="00F408D9" w:rsidP="00E00B35">
            <w:pPr>
              <w:spacing w:after="0" w:line="312" w:lineRule="auto"/>
              <w:rPr>
                <w:szCs w:val="20"/>
              </w:rPr>
            </w:pPr>
            <w:r w:rsidRPr="00E00B35">
              <w:rPr>
                <w:szCs w:val="20"/>
              </w:rPr>
              <w:t>7</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dla WSR</w:t>
            </w:r>
          </w:p>
        </w:tc>
        <w:tc>
          <w:tcPr>
            <w:tcW w:w="718" w:type="dxa"/>
            <w:vAlign w:val="center"/>
          </w:tcPr>
          <w:p w:rsidR="00F408D9" w:rsidRPr="00E00B35" w:rsidRDefault="00F408D9" w:rsidP="00E00B35">
            <w:pPr>
              <w:spacing w:after="0" w:line="312" w:lineRule="auto"/>
              <w:rPr>
                <w:szCs w:val="20"/>
              </w:rPr>
            </w:pPr>
            <w:r w:rsidRPr="00E00B35">
              <w:rPr>
                <w:szCs w:val="20"/>
              </w:rPr>
              <w:t>22</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dla WNK</w:t>
            </w:r>
          </w:p>
        </w:tc>
        <w:tc>
          <w:tcPr>
            <w:tcW w:w="718" w:type="dxa"/>
            <w:vAlign w:val="center"/>
          </w:tcPr>
          <w:p w:rsidR="00F408D9" w:rsidRPr="00E00B35" w:rsidRDefault="00F408D9" w:rsidP="00E00B35">
            <w:pPr>
              <w:spacing w:after="0" w:line="312" w:lineRule="auto"/>
              <w:rPr>
                <w:szCs w:val="20"/>
              </w:rPr>
            </w:pPr>
            <w:r w:rsidRPr="00E00B35">
              <w:rPr>
                <w:szCs w:val="20"/>
              </w:rPr>
              <w:t>8</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dla WSP</w:t>
            </w:r>
          </w:p>
        </w:tc>
        <w:tc>
          <w:tcPr>
            <w:tcW w:w="718" w:type="dxa"/>
            <w:vAlign w:val="center"/>
          </w:tcPr>
          <w:p w:rsidR="00F408D9" w:rsidRPr="00E00B35" w:rsidRDefault="00F408D9" w:rsidP="00E00B35">
            <w:pPr>
              <w:spacing w:after="0" w:line="312" w:lineRule="auto"/>
              <w:rPr>
                <w:szCs w:val="20"/>
              </w:rPr>
            </w:pPr>
            <w:r w:rsidRPr="00E00B35">
              <w:rPr>
                <w:szCs w:val="20"/>
              </w:rPr>
              <w:t>0</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vMerge/>
            <w:tcBorders>
              <w:left w:val="double" w:sz="4" w:space="0" w:color="auto"/>
            </w:tcBorders>
            <w:vAlign w:val="center"/>
          </w:tcPr>
          <w:p w:rsidR="00F408D9" w:rsidRPr="00E00B35" w:rsidRDefault="00F408D9" w:rsidP="00E00B35">
            <w:pPr>
              <w:spacing w:after="0" w:line="312" w:lineRule="auto"/>
              <w:rPr>
                <w:szCs w:val="20"/>
              </w:rPr>
            </w:pPr>
          </w:p>
        </w:tc>
        <w:tc>
          <w:tcPr>
            <w:tcW w:w="1066" w:type="dxa"/>
            <w:tcBorders>
              <w:right w:val="nil"/>
            </w:tcBorders>
            <w:vAlign w:val="center"/>
          </w:tcPr>
          <w:p w:rsidR="00F408D9" w:rsidRPr="00E00B35" w:rsidRDefault="00F408D9" w:rsidP="00E00B35">
            <w:pPr>
              <w:spacing w:after="0" w:line="312" w:lineRule="auto"/>
              <w:rPr>
                <w:szCs w:val="20"/>
              </w:rPr>
            </w:pPr>
          </w:p>
        </w:tc>
        <w:tc>
          <w:tcPr>
            <w:tcW w:w="5823" w:type="dxa"/>
            <w:tcBorders>
              <w:left w:val="nil"/>
            </w:tcBorders>
            <w:vAlign w:val="center"/>
          </w:tcPr>
          <w:p w:rsidR="00F408D9" w:rsidRPr="00E00B35" w:rsidRDefault="00F408D9" w:rsidP="00E00B35">
            <w:pPr>
              <w:spacing w:after="0" w:line="312" w:lineRule="auto"/>
              <w:rPr>
                <w:szCs w:val="20"/>
              </w:rPr>
            </w:pPr>
            <w:r w:rsidRPr="00E00B35">
              <w:rPr>
                <w:szCs w:val="20"/>
              </w:rPr>
              <w:t>dla PINB</w:t>
            </w:r>
          </w:p>
        </w:tc>
        <w:tc>
          <w:tcPr>
            <w:tcW w:w="718" w:type="dxa"/>
            <w:vAlign w:val="center"/>
          </w:tcPr>
          <w:p w:rsidR="00F408D9" w:rsidRPr="00E00B35" w:rsidRDefault="00F408D9" w:rsidP="00E00B35">
            <w:pPr>
              <w:spacing w:after="0" w:line="312" w:lineRule="auto"/>
              <w:rPr>
                <w:szCs w:val="20"/>
              </w:rPr>
            </w:pPr>
            <w:r w:rsidRPr="00E00B35">
              <w:rPr>
                <w:szCs w:val="20"/>
              </w:rPr>
              <w:t>1</w:t>
            </w:r>
          </w:p>
        </w:tc>
        <w:tc>
          <w:tcPr>
            <w:tcW w:w="858" w:type="dxa"/>
            <w:tcBorders>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23</w:t>
            </w:r>
          </w:p>
        </w:tc>
        <w:tc>
          <w:tcPr>
            <w:tcW w:w="7607" w:type="dxa"/>
            <w:gridSpan w:val="3"/>
            <w:vAlign w:val="center"/>
          </w:tcPr>
          <w:p w:rsidR="00F408D9" w:rsidRPr="00E00B35" w:rsidRDefault="00F408D9" w:rsidP="00E00B35">
            <w:pPr>
              <w:spacing w:after="0" w:line="312" w:lineRule="auto"/>
              <w:rPr>
                <w:szCs w:val="20"/>
              </w:rPr>
            </w:pPr>
            <w:r w:rsidRPr="00E00B35">
              <w:rPr>
                <w:szCs w:val="20"/>
              </w:rPr>
              <w:t xml:space="preserve">opinie i pisma dotyczące estetyki miasta </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1117</w:t>
            </w: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24</w:t>
            </w:r>
          </w:p>
        </w:tc>
        <w:tc>
          <w:tcPr>
            <w:tcW w:w="7607" w:type="dxa"/>
            <w:gridSpan w:val="3"/>
            <w:vAlign w:val="center"/>
          </w:tcPr>
          <w:p w:rsidR="00F408D9" w:rsidRPr="00E00B35" w:rsidRDefault="00F408D9" w:rsidP="00E00B35">
            <w:pPr>
              <w:spacing w:after="0" w:line="312" w:lineRule="auto"/>
              <w:rPr>
                <w:szCs w:val="20"/>
              </w:rPr>
            </w:pPr>
            <w:r w:rsidRPr="00E00B35">
              <w:rPr>
                <w:szCs w:val="20"/>
              </w:rPr>
              <w:t xml:space="preserve">udostępnienie informacji publicznej  </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294</w:t>
            </w: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25</w:t>
            </w:r>
          </w:p>
        </w:tc>
        <w:tc>
          <w:tcPr>
            <w:tcW w:w="7607" w:type="dxa"/>
            <w:gridSpan w:val="3"/>
            <w:vAlign w:val="center"/>
          </w:tcPr>
          <w:p w:rsidR="00F408D9" w:rsidRPr="00E00B35" w:rsidRDefault="00F408D9" w:rsidP="00E00B35">
            <w:pPr>
              <w:spacing w:after="0" w:line="312" w:lineRule="auto"/>
              <w:rPr>
                <w:szCs w:val="20"/>
              </w:rPr>
            </w:pPr>
            <w:r w:rsidRPr="00E00B35">
              <w:rPr>
                <w:szCs w:val="20"/>
              </w:rPr>
              <w:t xml:space="preserve">udostępnienie akt archiwalnych  </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980</w:t>
            </w: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26</w:t>
            </w:r>
          </w:p>
        </w:tc>
        <w:tc>
          <w:tcPr>
            <w:tcW w:w="7607" w:type="dxa"/>
            <w:gridSpan w:val="3"/>
            <w:vAlign w:val="center"/>
          </w:tcPr>
          <w:p w:rsidR="00F408D9" w:rsidRPr="00E00B35" w:rsidRDefault="00F408D9" w:rsidP="00E00B35">
            <w:pPr>
              <w:spacing w:after="0" w:line="312" w:lineRule="auto"/>
              <w:rPr>
                <w:szCs w:val="20"/>
              </w:rPr>
            </w:pPr>
            <w:r w:rsidRPr="00E00B35">
              <w:rPr>
                <w:szCs w:val="20"/>
              </w:rPr>
              <w:t xml:space="preserve">udostępnienie akt w postępowaniu administracyjnym </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1320</w:t>
            </w:r>
          </w:p>
        </w:tc>
      </w:tr>
      <w:tr w:rsidR="00F408D9" w:rsidRPr="00E00B35" w:rsidTr="001F7163">
        <w:trPr>
          <w:cantSplit/>
          <w:trHeight w:val="57"/>
          <w:jc w:val="center"/>
        </w:trPr>
        <w:tc>
          <w:tcPr>
            <w:tcW w:w="607" w:type="dxa"/>
            <w:tcBorders>
              <w:left w:val="double" w:sz="4" w:space="0" w:color="auto"/>
            </w:tcBorders>
            <w:vAlign w:val="center"/>
          </w:tcPr>
          <w:p w:rsidR="00F408D9" w:rsidRPr="00E00B35" w:rsidRDefault="00F408D9" w:rsidP="00E00B35">
            <w:pPr>
              <w:spacing w:after="0" w:line="312" w:lineRule="auto"/>
              <w:rPr>
                <w:szCs w:val="20"/>
              </w:rPr>
            </w:pPr>
            <w:r w:rsidRPr="00E00B35">
              <w:rPr>
                <w:szCs w:val="20"/>
              </w:rPr>
              <w:t>27</w:t>
            </w:r>
          </w:p>
        </w:tc>
        <w:tc>
          <w:tcPr>
            <w:tcW w:w="7607" w:type="dxa"/>
            <w:gridSpan w:val="3"/>
            <w:vAlign w:val="center"/>
          </w:tcPr>
          <w:p w:rsidR="00F408D9" w:rsidRPr="00E00B35" w:rsidRDefault="00F408D9" w:rsidP="00E00B35">
            <w:pPr>
              <w:spacing w:after="0" w:line="312" w:lineRule="auto"/>
              <w:rPr>
                <w:szCs w:val="20"/>
              </w:rPr>
            </w:pPr>
            <w:r w:rsidRPr="00E00B35">
              <w:rPr>
                <w:szCs w:val="20"/>
              </w:rPr>
              <w:t>udostępnienie danych osobowych</w:t>
            </w:r>
          </w:p>
        </w:tc>
        <w:tc>
          <w:tcPr>
            <w:tcW w:w="858" w:type="dxa"/>
            <w:tcBorders>
              <w:right w:val="double" w:sz="4" w:space="0" w:color="auto"/>
            </w:tcBorders>
            <w:vAlign w:val="center"/>
          </w:tcPr>
          <w:p w:rsidR="00F408D9" w:rsidRPr="00E00B35" w:rsidRDefault="00F408D9" w:rsidP="00E00B35">
            <w:pPr>
              <w:spacing w:after="0" w:line="312" w:lineRule="auto"/>
              <w:rPr>
                <w:szCs w:val="20"/>
              </w:rPr>
            </w:pPr>
            <w:r w:rsidRPr="00E00B35">
              <w:rPr>
                <w:szCs w:val="20"/>
              </w:rPr>
              <w:t>0</w:t>
            </w:r>
          </w:p>
        </w:tc>
      </w:tr>
      <w:tr w:rsidR="00F408D9" w:rsidRPr="00E00B35" w:rsidTr="001F7163">
        <w:trPr>
          <w:cantSplit/>
          <w:trHeight w:val="57"/>
          <w:jc w:val="center"/>
        </w:trPr>
        <w:tc>
          <w:tcPr>
            <w:tcW w:w="607" w:type="dxa"/>
            <w:tcBorders>
              <w:left w:val="double" w:sz="4" w:space="0" w:color="auto"/>
              <w:bottom w:val="double" w:sz="4" w:space="0" w:color="auto"/>
            </w:tcBorders>
            <w:vAlign w:val="center"/>
          </w:tcPr>
          <w:p w:rsidR="00F408D9" w:rsidRPr="00E00B35" w:rsidRDefault="00F408D9" w:rsidP="00E00B35">
            <w:pPr>
              <w:spacing w:after="0" w:line="312" w:lineRule="auto"/>
              <w:rPr>
                <w:szCs w:val="20"/>
              </w:rPr>
            </w:pPr>
            <w:r w:rsidRPr="00E00B35">
              <w:rPr>
                <w:szCs w:val="20"/>
              </w:rPr>
              <w:t>28</w:t>
            </w:r>
          </w:p>
        </w:tc>
        <w:tc>
          <w:tcPr>
            <w:tcW w:w="7607" w:type="dxa"/>
            <w:gridSpan w:val="3"/>
            <w:tcBorders>
              <w:bottom w:val="double" w:sz="4" w:space="0" w:color="auto"/>
            </w:tcBorders>
            <w:vAlign w:val="center"/>
          </w:tcPr>
          <w:p w:rsidR="00F408D9" w:rsidRPr="00E00B35" w:rsidRDefault="00F408D9" w:rsidP="00E00B35">
            <w:pPr>
              <w:spacing w:after="0" w:line="312" w:lineRule="auto"/>
              <w:rPr>
                <w:szCs w:val="20"/>
              </w:rPr>
            </w:pPr>
            <w:r w:rsidRPr="00E00B35">
              <w:rPr>
                <w:szCs w:val="20"/>
              </w:rPr>
              <w:t xml:space="preserve">wykazy decyzji dla BRW  </w:t>
            </w:r>
          </w:p>
        </w:tc>
        <w:tc>
          <w:tcPr>
            <w:tcW w:w="858" w:type="dxa"/>
            <w:tcBorders>
              <w:bottom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33</w:t>
            </w:r>
          </w:p>
        </w:tc>
      </w:tr>
      <w:tr w:rsidR="00F408D9" w:rsidRPr="00E00B35" w:rsidTr="001F7163">
        <w:trPr>
          <w:cantSplit/>
          <w:trHeight w:val="57"/>
          <w:jc w:val="center"/>
        </w:trPr>
        <w:tc>
          <w:tcPr>
            <w:tcW w:w="9072" w:type="dxa"/>
            <w:gridSpan w:val="5"/>
            <w:tcBorders>
              <w:top w:val="double" w:sz="4" w:space="0" w:color="auto"/>
              <w:left w:val="double" w:sz="4" w:space="0" w:color="auto"/>
              <w:bottom w:val="double" w:sz="4" w:space="0" w:color="auto"/>
              <w:right w:val="double" w:sz="4" w:space="0" w:color="auto"/>
            </w:tcBorders>
            <w:vAlign w:val="center"/>
          </w:tcPr>
          <w:p w:rsidR="00F408D9" w:rsidRPr="00E00B35" w:rsidRDefault="00F408D9" w:rsidP="00E00B35">
            <w:pPr>
              <w:spacing w:after="0" w:line="312" w:lineRule="auto"/>
              <w:rPr>
                <w:szCs w:val="20"/>
              </w:rPr>
            </w:pPr>
          </w:p>
        </w:tc>
      </w:tr>
      <w:tr w:rsidR="00F408D9" w:rsidRPr="00E00B35" w:rsidTr="001F7163">
        <w:trPr>
          <w:cantSplit/>
          <w:trHeight w:val="57"/>
          <w:jc w:val="center"/>
        </w:trPr>
        <w:tc>
          <w:tcPr>
            <w:tcW w:w="607" w:type="dxa"/>
            <w:tcBorders>
              <w:top w:val="double" w:sz="4" w:space="0" w:color="auto"/>
              <w:left w:val="double" w:sz="4" w:space="0" w:color="auto"/>
            </w:tcBorders>
            <w:vAlign w:val="center"/>
          </w:tcPr>
          <w:p w:rsidR="00F408D9" w:rsidRPr="00E00B35" w:rsidRDefault="00F408D9" w:rsidP="00E00B35">
            <w:pPr>
              <w:spacing w:after="0" w:line="312" w:lineRule="auto"/>
              <w:rPr>
                <w:szCs w:val="20"/>
              </w:rPr>
            </w:pPr>
            <w:r w:rsidRPr="00E00B35">
              <w:rPr>
                <w:szCs w:val="20"/>
              </w:rPr>
              <w:t>29</w:t>
            </w:r>
          </w:p>
        </w:tc>
        <w:tc>
          <w:tcPr>
            <w:tcW w:w="7607" w:type="dxa"/>
            <w:gridSpan w:val="3"/>
            <w:tcBorders>
              <w:top w:val="double" w:sz="4" w:space="0" w:color="auto"/>
            </w:tcBorders>
            <w:vAlign w:val="center"/>
          </w:tcPr>
          <w:p w:rsidR="00F408D9" w:rsidRPr="00E00B35" w:rsidRDefault="00F408D9" w:rsidP="00E00B35">
            <w:pPr>
              <w:spacing w:after="0" w:line="312" w:lineRule="auto"/>
              <w:rPr>
                <w:szCs w:val="20"/>
              </w:rPr>
            </w:pPr>
            <w:r w:rsidRPr="00E00B35">
              <w:rPr>
                <w:szCs w:val="20"/>
              </w:rPr>
              <w:t>skargi</w:t>
            </w:r>
          </w:p>
        </w:tc>
        <w:tc>
          <w:tcPr>
            <w:tcW w:w="858" w:type="dxa"/>
            <w:tcBorders>
              <w:top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3</w:t>
            </w:r>
          </w:p>
        </w:tc>
      </w:tr>
      <w:tr w:rsidR="00F408D9" w:rsidRPr="00E00B35" w:rsidTr="001F7163">
        <w:trPr>
          <w:cantSplit/>
          <w:trHeight w:val="57"/>
          <w:jc w:val="center"/>
        </w:trPr>
        <w:tc>
          <w:tcPr>
            <w:tcW w:w="607" w:type="dxa"/>
            <w:tcBorders>
              <w:left w:val="double" w:sz="4" w:space="0" w:color="auto"/>
              <w:bottom w:val="double" w:sz="4" w:space="0" w:color="auto"/>
            </w:tcBorders>
            <w:vAlign w:val="center"/>
          </w:tcPr>
          <w:p w:rsidR="00F408D9" w:rsidRPr="00E00B35" w:rsidRDefault="00F408D9" w:rsidP="00E00B35">
            <w:pPr>
              <w:spacing w:after="0" w:line="312" w:lineRule="auto"/>
              <w:rPr>
                <w:szCs w:val="20"/>
              </w:rPr>
            </w:pPr>
            <w:r w:rsidRPr="00E00B35">
              <w:rPr>
                <w:szCs w:val="20"/>
              </w:rPr>
              <w:t>30</w:t>
            </w:r>
          </w:p>
        </w:tc>
        <w:tc>
          <w:tcPr>
            <w:tcW w:w="7607" w:type="dxa"/>
            <w:gridSpan w:val="3"/>
            <w:tcBorders>
              <w:bottom w:val="double" w:sz="4" w:space="0" w:color="auto"/>
            </w:tcBorders>
            <w:vAlign w:val="center"/>
          </w:tcPr>
          <w:p w:rsidR="00F408D9" w:rsidRPr="00E00B35" w:rsidRDefault="00F408D9" w:rsidP="00E00B35">
            <w:pPr>
              <w:spacing w:after="0" w:line="312" w:lineRule="auto"/>
              <w:rPr>
                <w:szCs w:val="20"/>
              </w:rPr>
            </w:pPr>
            <w:r w:rsidRPr="00E00B35">
              <w:rPr>
                <w:szCs w:val="20"/>
              </w:rPr>
              <w:t>wnioski</w:t>
            </w:r>
          </w:p>
        </w:tc>
        <w:tc>
          <w:tcPr>
            <w:tcW w:w="858" w:type="dxa"/>
            <w:tcBorders>
              <w:bottom w:val="double" w:sz="4" w:space="0" w:color="auto"/>
              <w:right w:val="double" w:sz="4" w:space="0" w:color="auto"/>
            </w:tcBorders>
            <w:vAlign w:val="center"/>
          </w:tcPr>
          <w:p w:rsidR="00F408D9" w:rsidRPr="00E00B35" w:rsidRDefault="00F408D9" w:rsidP="00E00B35">
            <w:pPr>
              <w:spacing w:after="0" w:line="312" w:lineRule="auto"/>
              <w:rPr>
                <w:szCs w:val="20"/>
              </w:rPr>
            </w:pPr>
            <w:r w:rsidRPr="00E00B35">
              <w:rPr>
                <w:szCs w:val="20"/>
              </w:rPr>
              <w:t>-</w:t>
            </w:r>
          </w:p>
        </w:tc>
      </w:tr>
    </w:tbl>
    <w:p w:rsidR="00F408D9" w:rsidRPr="00E00B35" w:rsidRDefault="00F408D9" w:rsidP="00E00B35">
      <w:pPr>
        <w:spacing w:after="0" w:line="312" w:lineRule="auto"/>
        <w:rPr>
          <w:szCs w:val="20"/>
        </w:rPr>
      </w:pPr>
    </w:p>
    <w:p w:rsidR="00F408D9" w:rsidRDefault="006A488E" w:rsidP="00E00B35">
      <w:pPr>
        <w:spacing w:after="0" w:line="312" w:lineRule="auto"/>
        <w:rPr>
          <w:szCs w:val="20"/>
        </w:rPr>
      </w:pPr>
      <w:r>
        <w:rPr>
          <w:szCs w:val="20"/>
        </w:rPr>
        <w:t>Zestawienie wpływu i sposobu załatwiania skarg/wniosków</w:t>
      </w:r>
    </w:p>
    <w:p w:rsidR="006A488E" w:rsidRDefault="006A488E" w:rsidP="00E00B35">
      <w:pPr>
        <w:spacing w:after="0" w:line="312" w:lineRule="auto"/>
        <w:rPr>
          <w:szCs w:val="20"/>
        </w:rPr>
      </w:pPr>
      <w:r>
        <w:rPr>
          <w:szCs w:val="20"/>
        </w:rPr>
        <w:t>Skargi/wnioski ogółem</w:t>
      </w:r>
    </w:p>
    <w:p w:rsidR="006A488E" w:rsidRDefault="006A488E" w:rsidP="00E00B35">
      <w:pPr>
        <w:spacing w:after="0" w:line="312" w:lineRule="auto"/>
        <w:rPr>
          <w:szCs w:val="20"/>
        </w:rPr>
      </w:pPr>
      <w:r>
        <w:rPr>
          <w:szCs w:val="20"/>
        </w:rPr>
        <w:t>2016 r. – 3</w:t>
      </w:r>
    </w:p>
    <w:p w:rsidR="006A488E" w:rsidRDefault="006A488E" w:rsidP="00E00B35">
      <w:pPr>
        <w:spacing w:after="0" w:line="312" w:lineRule="auto"/>
        <w:rPr>
          <w:szCs w:val="20"/>
        </w:rPr>
      </w:pPr>
      <w:r>
        <w:rPr>
          <w:szCs w:val="20"/>
        </w:rPr>
        <w:t>2017 r. – 3</w:t>
      </w:r>
    </w:p>
    <w:p w:rsidR="006A488E" w:rsidRDefault="006A488E" w:rsidP="00E00B35">
      <w:pPr>
        <w:spacing w:after="0" w:line="312" w:lineRule="auto"/>
        <w:rPr>
          <w:szCs w:val="20"/>
        </w:rPr>
      </w:pPr>
      <w:r>
        <w:rPr>
          <w:szCs w:val="20"/>
        </w:rPr>
        <w:t>2018 r. – 3</w:t>
      </w:r>
    </w:p>
    <w:p w:rsidR="006A488E" w:rsidRDefault="006A488E" w:rsidP="00E00B35">
      <w:pPr>
        <w:spacing w:after="0" w:line="312" w:lineRule="auto"/>
        <w:rPr>
          <w:szCs w:val="20"/>
        </w:rPr>
      </w:pPr>
      <w:r>
        <w:rPr>
          <w:szCs w:val="20"/>
        </w:rPr>
        <w:t>2019 r. – 2</w:t>
      </w:r>
    </w:p>
    <w:p w:rsidR="006A488E" w:rsidRDefault="006A488E" w:rsidP="00E00B35">
      <w:pPr>
        <w:spacing w:after="0" w:line="312" w:lineRule="auto"/>
        <w:rPr>
          <w:szCs w:val="20"/>
        </w:rPr>
      </w:pPr>
      <w:r>
        <w:rPr>
          <w:szCs w:val="20"/>
        </w:rPr>
        <w:t>2020 r. – 3</w:t>
      </w:r>
    </w:p>
    <w:p w:rsidR="006A488E" w:rsidRDefault="006A488E" w:rsidP="00E00B35">
      <w:pPr>
        <w:spacing w:after="0" w:line="312" w:lineRule="auto"/>
        <w:rPr>
          <w:szCs w:val="20"/>
        </w:rPr>
      </w:pPr>
      <w:r>
        <w:rPr>
          <w:szCs w:val="20"/>
        </w:rPr>
        <w:t>Skargi rozpatrywane przez WAB</w:t>
      </w:r>
    </w:p>
    <w:p w:rsidR="006A488E" w:rsidRDefault="006A488E" w:rsidP="006A488E">
      <w:pPr>
        <w:spacing w:after="0" w:line="312" w:lineRule="auto"/>
        <w:rPr>
          <w:szCs w:val="20"/>
        </w:rPr>
      </w:pPr>
      <w:r>
        <w:rPr>
          <w:szCs w:val="20"/>
        </w:rPr>
        <w:t>2016 r. – 1</w:t>
      </w:r>
    </w:p>
    <w:p w:rsidR="006A488E" w:rsidRDefault="006A488E" w:rsidP="006A488E">
      <w:pPr>
        <w:spacing w:after="0" w:line="312" w:lineRule="auto"/>
        <w:rPr>
          <w:szCs w:val="20"/>
        </w:rPr>
      </w:pPr>
      <w:r>
        <w:rPr>
          <w:szCs w:val="20"/>
        </w:rPr>
        <w:t>2017 r. – 3</w:t>
      </w:r>
    </w:p>
    <w:p w:rsidR="006A488E" w:rsidRDefault="006A488E" w:rsidP="006A488E">
      <w:pPr>
        <w:spacing w:after="0" w:line="312" w:lineRule="auto"/>
        <w:rPr>
          <w:szCs w:val="20"/>
        </w:rPr>
      </w:pPr>
      <w:r>
        <w:rPr>
          <w:szCs w:val="20"/>
        </w:rPr>
        <w:t>2018 r. – 3</w:t>
      </w:r>
    </w:p>
    <w:p w:rsidR="006A488E" w:rsidRDefault="006A488E" w:rsidP="006A488E">
      <w:pPr>
        <w:spacing w:after="0" w:line="312" w:lineRule="auto"/>
        <w:rPr>
          <w:szCs w:val="20"/>
        </w:rPr>
      </w:pPr>
      <w:r>
        <w:rPr>
          <w:szCs w:val="20"/>
        </w:rPr>
        <w:t>2019 r. – 2</w:t>
      </w:r>
    </w:p>
    <w:p w:rsidR="006A488E" w:rsidRDefault="006A488E" w:rsidP="006A488E">
      <w:pPr>
        <w:spacing w:after="0" w:line="312" w:lineRule="auto"/>
        <w:rPr>
          <w:szCs w:val="20"/>
        </w:rPr>
      </w:pPr>
      <w:r>
        <w:rPr>
          <w:szCs w:val="20"/>
        </w:rPr>
        <w:t>2020 r. – 3</w:t>
      </w:r>
    </w:p>
    <w:p w:rsidR="006A488E" w:rsidRDefault="006A488E" w:rsidP="00E00B35">
      <w:pPr>
        <w:spacing w:after="0" w:line="312" w:lineRule="auto"/>
        <w:rPr>
          <w:szCs w:val="20"/>
        </w:rPr>
      </w:pPr>
      <w:r>
        <w:rPr>
          <w:szCs w:val="20"/>
        </w:rPr>
        <w:t>Skargi zasadne</w:t>
      </w:r>
    </w:p>
    <w:p w:rsidR="006A488E" w:rsidRDefault="006A488E" w:rsidP="006A488E">
      <w:pPr>
        <w:spacing w:after="0" w:line="312" w:lineRule="auto"/>
        <w:rPr>
          <w:szCs w:val="20"/>
        </w:rPr>
      </w:pPr>
      <w:r>
        <w:rPr>
          <w:szCs w:val="20"/>
        </w:rPr>
        <w:t>2016 r. – 0</w:t>
      </w:r>
    </w:p>
    <w:p w:rsidR="006A488E" w:rsidRDefault="006A488E" w:rsidP="006A488E">
      <w:pPr>
        <w:spacing w:after="0" w:line="312" w:lineRule="auto"/>
        <w:rPr>
          <w:szCs w:val="20"/>
        </w:rPr>
      </w:pPr>
      <w:r>
        <w:rPr>
          <w:szCs w:val="20"/>
        </w:rPr>
        <w:t>2017 r. – 1</w:t>
      </w:r>
    </w:p>
    <w:p w:rsidR="006A488E" w:rsidRDefault="006A488E" w:rsidP="006A488E">
      <w:pPr>
        <w:spacing w:after="0" w:line="312" w:lineRule="auto"/>
        <w:rPr>
          <w:szCs w:val="20"/>
        </w:rPr>
      </w:pPr>
      <w:r>
        <w:rPr>
          <w:szCs w:val="20"/>
        </w:rPr>
        <w:t>2018 r. – 0</w:t>
      </w:r>
    </w:p>
    <w:p w:rsidR="006A488E" w:rsidRDefault="006A488E" w:rsidP="006A488E">
      <w:pPr>
        <w:spacing w:after="0" w:line="312" w:lineRule="auto"/>
        <w:rPr>
          <w:szCs w:val="20"/>
        </w:rPr>
      </w:pPr>
      <w:r>
        <w:rPr>
          <w:szCs w:val="20"/>
        </w:rPr>
        <w:t>2019 r. – 0</w:t>
      </w:r>
    </w:p>
    <w:p w:rsidR="006A488E" w:rsidRDefault="006A488E" w:rsidP="006A488E">
      <w:pPr>
        <w:spacing w:after="0" w:line="312" w:lineRule="auto"/>
        <w:rPr>
          <w:szCs w:val="20"/>
        </w:rPr>
      </w:pPr>
      <w:r>
        <w:rPr>
          <w:szCs w:val="20"/>
        </w:rPr>
        <w:t>2020 r. – 0</w:t>
      </w:r>
    </w:p>
    <w:p w:rsidR="006A488E" w:rsidRPr="00E00B35" w:rsidRDefault="006A488E" w:rsidP="00E00B35">
      <w:pPr>
        <w:spacing w:after="0" w:line="312" w:lineRule="auto"/>
        <w:rPr>
          <w:szCs w:val="20"/>
        </w:rPr>
      </w:pPr>
    </w:p>
    <w:p w:rsidR="00F408D9" w:rsidRDefault="006A488E" w:rsidP="00E00B35">
      <w:pPr>
        <w:spacing w:after="0" w:line="312" w:lineRule="auto"/>
        <w:rPr>
          <w:szCs w:val="20"/>
        </w:rPr>
      </w:pPr>
      <w:r>
        <w:rPr>
          <w:szCs w:val="20"/>
        </w:rPr>
        <w:t>Dokumenty wydane w 2020 roku – suma 47 782</w:t>
      </w:r>
    </w:p>
    <w:p w:rsidR="006A488E" w:rsidRDefault="006A488E" w:rsidP="00E00B35">
      <w:pPr>
        <w:spacing w:after="0" w:line="312" w:lineRule="auto"/>
        <w:rPr>
          <w:szCs w:val="20"/>
        </w:rPr>
      </w:pPr>
      <w:r>
        <w:rPr>
          <w:szCs w:val="20"/>
        </w:rPr>
        <w:t>Decyzje wydane na podstawie ustawy Prawo budowlane – 4 476</w:t>
      </w:r>
    </w:p>
    <w:p w:rsidR="006A488E" w:rsidRDefault="006A488E" w:rsidP="00E00B35">
      <w:pPr>
        <w:spacing w:after="0" w:line="312" w:lineRule="auto"/>
        <w:rPr>
          <w:szCs w:val="20"/>
        </w:rPr>
      </w:pPr>
      <w:r>
        <w:rPr>
          <w:szCs w:val="20"/>
        </w:rPr>
        <w:t>Decyzje wydane na podstawie ustawy o planowaniu i zagospodarowaniu przestrzennym – 958</w:t>
      </w:r>
    </w:p>
    <w:p w:rsidR="006A488E" w:rsidRDefault="006A488E" w:rsidP="00E00B35">
      <w:pPr>
        <w:spacing w:after="0" w:line="312" w:lineRule="auto"/>
        <w:rPr>
          <w:szCs w:val="20"/>
        </w:rPr>
      </w:pPr>
      <w:r>
        <w:rPr>
          <w:szCs w:val="20"/>
        </w:rPr>
        <w:lastRenderedPageBreak/>
        <w:t>Wyrysy i wypisy z miejscowych planów zagospodarowania przestrzennego – 1 603</w:t>
      </w:r>
    </w:p>
    <w:p w:rsidR="006A488E" w:rsidRDefault="006A488E" w:rsidP="00E00B35">
      <w:pPr>
        <w:spacing w:after="0" w:line="312" w:lineRule="auto"/>
        <w:rPr>
          <w:szCs w:val="20"/>
        </w:rPr>
      </w:pPr>
      <w:r>
        <w:rPr>
          <w:szCs w:val="20"/>
        </w:rPr>
        <w:t>Zaświadczenia – 18 073</w:t>
      </w:r>
    </w:p>
    <w:p w:rsidR="006A488E" w:rsidRPr="00E00B35" w:rsidRDefault="006A488E" w:rsidP="00E00B35">
      <w:pPr>
        <w:spacing w:after="0" w:line="312" w:lineRule="auto"/>
        <w:rPr>
          <w:szCs w:val="20"/>
        </w:rPr>
      </w:pPr>
      <w:r>
        <w:rPr>
          <w:szCs w:val="20"/>
        </w:rPr>
        <w:t>Inne dokumenty (w tym w toku postępowania) – 22</w:t>
      </w:r>
      <w:r w:rsidR="008C054F">
        <w:rPr>
          <w:szCs w:val="20"/>
        </w:rPr>
        <w:t> </w:t>
      </w:r>
      <w:r>
        <w:rPr>
          <w:szCs w:val="20"/>
        </w:rPr>
        <w:t>672</w:t>
      </w:r>
    </w:p>
    <w:p w:rsidR="006A488E" w:rsidRDefault="006A488E" w:rsidP="00E00B35">
      <w:pPr>
        <w:spacing w:after="0" w:line="312" w:lineRule="auto"/>
        <w:rPr>
          <w:szCs w:val="20"/>
        </w:rPr>
      </w:pPr>
    </w:p>
    <w:p w:rsidR="008C054F" w:rsidRPr="008C054F" w:rsidRDefault="008C054F" w:rsidP="008C054F">
      <w:pPr>
        <w:spacing w:after="0" w:line="312" w:lineRule="auto"/>
        <w:rPr>
          <w:szCs w:val="20"/>
          <w:lang w:val="pl-PL"/>
        </w:rPr>
      </w:pPr>
      <w:r w:rsidRPr="008C054F">
        <w:rPr>
          <w:b/>
          <w:bCs/>
          <w:szCs w:val="20"/>
          <w:lang w:val="pl-PL"/>
        </w:rPr>
        <w:t>ILOŚĆ PRZYJĘTYCH WNIOSKÓW I WYDANYCH DOKUMENTÓW</w:t>
      </w:r>
    </w:p>
    <w:p w:rsidR="008C054F" w:rsidRDefault="008C054F" w:rsidP="00E00B35">
      <w:pPr>
        <w:spacing w:after="0" w:line="312" w:lineRule="auto"/>
        <w:rPr>
          <w:szCs w:val="20"/>
        </w:rPr>
      </w:pPr>
    </w:p>
    <w:p w:rsidR="008C054F" w:rsidRDefault="008C054F" w:rsidP="00E00B35">
      <w:pPr>
        <w:spacing w:after="0" w:line="312" w:lineRule="auto"/>
        <w:rPr>
          <w:szCs w:val="20"/>
        </w:rPr>
      </w:pPr>
      <w:r>
        <w:rPr>
          <w:szCs w:val="20"/>
        </w:rPr>
        <w:t>Ilośc spraw</w:t>
      </w:r>
      <w:r w:rsidR="00B65FD4">
        <w:rPr>
          <w:szCs w:val="20"/>
        </w:rPr>
        <w:t xml:space="preserve"> (w latach 2016-2020 wnioski i zgłoszenia)</w:t>
      </w:r>
    </w:p>
    <w:p w:rsidR="008C054F" w:rsidRDefault="008C054F" w:rsidP="008C054F">
      <w:pPr>
        <w:spacing w:after="0" w:line="312" w:lineRule="auto"/>
        <w:rPr>
          <w:szCs w:val="20"/>
        </w:rPr>
      </w:pPr>
      <w:r>
        <w:rPr>
          <w:szCs w:val="20"/>
        </w:rPr>
        <w:t xml:space="preserve">2016 r. – </w:t>
      </w:r>
      <w:r w:rsidR="00B65FD4">
        <w:rPr>
          <w:szCs w:val="20"/>
        </w:rPr>
        <w:t>22 817</w:t>
      </w:r>
    </w:p>
    <w:p w:rsidR="008C054F" w:rsidRDefault="008C054F" w:rsidP="008C054F">
      <w:pPr>
        <w:spacing w:after="0" w:line="312" w:lineRule="auto"/>
        <w:rPr>
          <w:szCs w:val="20"/>
        </w:rPr>
      </w:pPr>
      <w:r>
        <w:rPr>
          <w:szCs w:val="20"/>
        </w:rPr>
        <w:t xml:space="preserve">2017 r. – </w:t>
      </w:r>
      <w:r w:rsidR="00B65FD4">
        <w:rPr>
          <w:szCs w:val="20"/>
        </w:rPr>
        <w:t>23 243</w:t>
      </w:r>
    </w:p>
    <w:p w:rsidR="008C054F" w:rsidRDefault="008C054F" w:rsidP="008C054F">
      <w:pPr>
        <w:spacing w:after="0" w:line="312" w:lineRule="auto"/>
        <w:rPr>
          <w:szCs w:val="20"/>
        </w:rPr>
      </w:pPr>
      <w:r>
        <w:rPr>
          <w:szCs w:val="20"/>
        </w:rPr>
        <w:t xml:space="preserve">2018 r. – </w:t>
      </w:r>
      <w:r w:rsidR="00B65FD4">
        <w:rPr>
          <w:szCs w:val="20"/>
        </w:rPr>
        <w:t>23 473</w:t>
      </w:r>
    </w:p>
    <w:p w:rsidR="008C054F" w:rsidRDefault="008C054F" w:rsidP="008C054F">
      <w:pPr>
        <w:spacing w:after="0" w:line="312" w:lineRule="auto"/>
        <w:rPr>
          <w:szCs w:val="20"/>
        </w:rPr>
      </w:pPr>
      <w:r>
        <w:rPr>
          <w:szCs w:val="20"/>
        </w:rPr>
        <w:t xml:space="preserve">2019 r. – </w:t>
      </w:r>
      <w:r w:rsidR="00B65FD4">
        <w:rPr>
          <w:szCs w:val="20"/>
        </w:rPr>
        <w:t>21 616</w:t>
      </w:r>
    </w:p>
    <w:p w:rsidR="008C054F" w:rsidRDefault="008C054F" w:rsidP="00E00B35">
      <w:pPr>
        <w:spacing w:after="0" w:line="312" w:lineRule="auto"/>
        <w:rPr>
          <w:szCs w:val="20"/>
        </w:rPr>
      </w:pPr>
      <w:r>
        <w:rPr>
          <w:szCs w:val="20"/>
        </w:rPr>
        <w:t xml:space="preserve">2020 r. – </w:t>
      </w:r>
      <w:r w:rsidR="00B65FD4">
        <w:rPr>
          <w:szCs w:val="20"/>
        </w:rPr>
        <w:t>17 780</w:t>
      </w:r>
    </w:p>
    <w:p w:rsidR="00B65FD4" w:rsidRDefault="00B65FD4" w:rsidP="00E00B35">
      <w:pPr>
        <w:spacing w:after="0" w:line="312" w:lineRule="auto"/>
        <w:rPr>
          <w:szCs w:val="20"/>
        </w:rPr>
      </w:pPr>
    </w:p>
    <w:p w:rsidR="00401AAE" w:rsidRDefault="00401AAE" w:rsidP="00401AAE">
      <w:pPr>
        <w:spacing w:after="0" w:line="312" w:lineRule="auto"/>
        <w:rPr>
          <w:szCs w:val="20"/>
        </w:rPr>
      </w:pPr>
      <w:r>
        <w:rPr>
          <w:szCs w:val="20"/>
        </w:rPr>
        <w:t>Wszystkie wpływające dokumenty</w:t>
      </w:r>
    </w:p>
    <w:p w:rsidR="00401AAE" w:rsidRDefault="00401AAE" w:rsidP="00401AAE">
      <w:pPr>
        <w:spacing w:after="0" w:line="312" w:lineRule="auto"/>
        <w:rPr>
          <w:szCs w:val="20"/>
        </w:rPr>
      </w:pPr>
      <w:r>
        <w:rPr>
          <w:szCs w:val="20"/>
        </w:rPr>
        <w:t>2016 r. – 43 828</w:t>
      </w:r>
    </w:p>
    <w:p w:rsidR="00401AAE" w:rsidRDefault="00401AAE" w:rsidP="00401AAE">
      <w:pPr>
        <w:spacing w:after="0" w:line="312" w:lineRule="auto"/>
        <w:rPr>
          <w:szCs w:val="20"/>
        </w:rPr>
      </w:pPr>
      <w:r>
        <w:rPr>
          <w:szCs w:val="20"/>
        </w:rPr>
        <w:t>2017 r. – 45 340</w:t>
      </w:r>
    </w:p>
    <w:p w:rsidR="00401AAE" w:rsidRDefault="00401AAE" w:rsidP="00401AAE">
      <w:pPr>
        <w:spacing w:after="0" w:line="312" w:lineRule="auto"/>
        <w:rPr>
          <w:szCs w:val="20"/>
        </w:rPr>
      </w:pPr>
      <w:r>
        <w:rPr>
          <w:szCs w:val="20"/>
        </w:rPr>
        <w:t>2018 r. – 45 514</w:t>
      </w:r>
    </w:p>
    <w:p w:rsidR="00401AAE" w:rsidRDefault="00401AAE" w:rsidP="00401AAE">
      <w:pPr>
        <w:spacing w:after="0" w:line="312" w:lineRule="auto"/>
        <w:rPr>
          <w:szCs w:val="20"/>
        </w:rPr>
      </w:pPr>
      <w:r>
        <w:rPr>
          <w:szCs w:val="20"/>
        </w:rPr>
        <w:t>2019 r. – 42 423</w:t>
      </w:r>
    </w:p>
    <w:p w:rsidR="00401AAE" w:rsidRDefault="00401AAE" w:rsidP="00401AAE">
      <w:pPr>
        <w:spacing w:after="0" w:line="312" w:lineRule="auto"/>
        <w:rPr>
          <w:szCs w:val="20"/>
        </w:rPr>
      </w:pPr>
      <w:r>
        <w:rPr>
          <w:szCs w:val="20"/>
        </w:rPr>
        <w:t>2020 r. – 40 863</w:t>
      </w:r>
    </w:p>
    <w:p w:rsidR="00401AAE" w:rsidRDefault="00401AAE" w:rsidP="00E00B35">
      <w:pPr>
        <w:spacing w:after="0" w:line="312" w:lineRule="auto"/>
        <w:rPr>
          <w:szCs w:val="20"/>
        </w:rPr>
      </w:pPr>
    </w:p>
    <w:p w:rsidR="00401AAE" w:rsidRDefault="00401AAE" w:rsidP="00401AAE">
      <w:pPr>
        <w:spacing w:after="0" w:line="312" w:lineRule="auto"/>
        <w:rPr>
          <w:szCs w:val="20"/>
        </w:rPr>
      </w:pPr>
      <w:r>
        <w:rPr>
          <w:szCs w:val="20"/>
        </w:rPr>
        <w:t>Wszystkie wydane dokumenty</w:t>
      </w:r>
    </w:p>
    <w:p w:rsidR="00401AAE" w:rsidRDefault="00401AAE" w:rsidP="00401AAE">
      <w:pPr>
        <w:spacing w:after="0" w:line="312" w:lineRule="auto"/>
        <w:rPr>
          <w:szCs w:val="20"/>
        </w:rPr>
      </w:pPr>
      <w:r>
        <w:rPr>
          <w:szCs w:val="20"/>
        </w:rPr>
        <w:t>2016 r. – 50 617</w:t>
      </w:r>
    </w:p>
    <w:p w:rsidR="00401AAE" w:rsidRDefault="00401AAE" w:rsidP="00401AAE">
      <w:pPr>
        <w:spacing w:after="0" w:line="312" w:lineRule="auto"/>
        <w:rPr>
          <w:szCs w:val="20"/>
        </w:rPr>
      </w:pPr>
      <w:r>
        <w:rPr>
          <w:szCs w:val="20"/>
        </w:rPr>
        <w:t>2017 r. – 52 638</w:t>
      </w:r>
    </w:p>
    <w:p w:rsidR="00401AAE" w:rsidRDefault="00401AAE" w:rsidP="00401AAE">
      <w:pPr>
        <w:spacing w:after="0" w:line="312" w:lineRule="auto"/>
        <w:rPr>
          <w:szCs w:val="20"/>
        </w:rPr>
      </w:pPr>
      <w:r>
        <w:rPr>
          <w:szCs w:val="20"/>
        </w:rPr>
        <w:t>2018 r. – 54 011</w:t>
      </w:r>
    </w:p>
    <w:p w:rsidR="00401AAE" w:rsidRDefault="00401AAE" w:rsidP="00401AAE">
      <w:pPr>
        <w:spacing w:after="0" w:line="312" w:lineRule="auto"/>
        <w:rPr>
          <w:szCs w:val="20"/>
        </w:rPr>
      </w:pPr>
      <w:r>
        <w:rPr>
          <w:szCs w:val="20"/>
        </w:rPr>
        <w:t>2019 r. – 51 539</w:t>
      </w:r>
    </w:p>
    <w:p w:rsidR="00401AAE" w:rsidRDefault="00401AAE" w:rsidP="00401AAE">
      <w:pPr>
        <w:spacing w:after="0" w:line="312" w:lineRule="auto"/>
        <w:rPr>
          <w:szCs w:val="20"/>
        </w:rPr>
      </w:pPr>
      <w:r>
        <w:rPr>
          <w:szCs w:val="20"/>
        </w:rPr>
        <w:t>2020 r. – 47</w:t>
      </w:r>
      <w:r w:rsidR="005D3FB0">
        <w:rPr>
          <w:szCs w:val="20"/>
        </w:rPr>
        <w:t> </w:t>
      </w:r>
      <w:r>
        <w:rPr>
          <w:szCs w:val="20"/>
        </w:rPr>
        <w:t>782</w:t>
      </w:r>
    </w:p>
    <w:p w:rsidR="005D3FB0" w:rsidRDefault="005D3FB0" w:rsidP="00401AAE">
      <w:pPr>
        <w:spacing w:after="0" w:line="312" w:lineRule="auto"/>
        <w:rPr>
          <w:szCs w:val="20"/>
        </w:rPr>
      </w:pPr>
    </w:p>
    <w:p w:rsidR="005D3FB0" w:rsidRDefault="005D3FB0" w:rsidP="005D3FB0">
      <w:pPr>
        <w:spacing w:after="0" w:line="312" w:lineRule="auto"/>
        <w:rPr>
          <w:szCs w:val="20"/>
        </w:rPr>
      </w:pPr>
      <w:r>
        <w:rPr>
          <w:szCs w:val="20"/>
        </w:rPr>
        <w:t>Decyzje razem</w:t>
      </w:r>
    </w:p>
    <w:p w:rsidR="005D3FB0" w:rsidRDefault="005D3FB0" w:rsidP="005D3FB0">
      <w:pPr>
        <w:spacing w:after="0" w:line="312" w:lineRule="auto"/>
        <w:rPr>
          <w:szCs w:val="20"/>
        </w:rPr>
      </w:pPr>
      <w:r>
        <w:rPr>
          <w:szCs w:val="20"/>
        </w:rPr>
        <w:t>2016 r. – 6 959</w:t>
      </w:r>
    </w:p>
    <w:p w:rsidR="005D3FB0" w:rsidRDefault="005D3FB0" w:rsidP="005D3FB0">
      <w:pPr>
        <w:spacing w:after="0" w:line="312" w:lineRule="auto"/>
        <w:rPr>
          <w:szCs w:val="20"/>
        </w:rPr>
      </w:pPr>
      <w:r>
        <w:rPr>
          <w:szCs w:val="20"/>
        </w:rPr>
        <w:t>2017 r. – 7 134</w:t>
      </w:r>
    </w:p>
    <w:p w:rsidR="005D3FB0" w:rsidRDefault="005D3FB0" w:rsidP="005D3FB0">
      <w:pPr>
        <w:spacing w:after="0" w:line="312" w:lineRule="auto"/>
        <w:rPr>
          <w:szCs w:val="20"/>
        </w:rPr>
      </w:pPr>
      <w:r>
        <w:rPr>
          <w:szCs w:val="20"/>
        </w:rPr>
        <w:t>2018 r. – 6 562</w:t>
      </w:r>
    </w:p>
    <w:p w:rsidR="005D3FB0" w:rsidRDefault="005D3FB0" w:rsidP="005D3FB0">
      <w:pPr>
        <w:spacing w:after="0" w:line="312" w:lineRule="auto"/>
        <w:rPr>
          <w:szCs w:val="20"/>
        </w:rPr>
      </w:pPr>
      <w:r>
        <w:rPr>
          <w:szCs w:val="20"/>
        </w:rPr>
        <w:t>2019 r. – 6 056</w:t>
      </w:r>
    </w:p>
    <w:p w:rsidR="005D3FB0" w:rsidRDefault="005D3FB0" w:rsidP="005D3FB0">
      <w:pPr>
        <w:spacing w:after="0" w:line="312" w:lineRule="auto"/>
        <w:rPr>
          <w:szCs w:val="20"/>
        </w:rPr>
      </w:pPr>
      <w:r>
        <w:rPr>
          <w:szCs w:val="20"/>
        </w:rPr>
        <w:t>2020 r. – 5 434</w:t>
      </w:r>
    </w:p>
    <w:p w:rsidR="005D3FB0" w:rsidRDefault="005D3FB0" w:rsidP="005D3FB0">
      <w:pPr>
        <w:spacing w:after="0" w:line="312" w:lineRule="auto"/>
        <w:rPr>
          <w:szCs w:val="20"/>
        </w:rPr>
      </w:pPr>
    </w:p>
    <w:p w:rsidR="005D3FB0" w:rsidRDefault="005D3FB0" w:rsidP="005D3FB0">
      <w:pPr>
        <w:spacing w:after="0" w:line="312" w:lineRule="auto"/>
        <w:rPr>
          <w:szCs w:val="20"/>
        </w:rPr>
      </w:pPr>
      <w:r>
        <w:rPr>
          <w:szCs w:val="20"/>
        </w:rPr>
        <w:t>Warunki zabudowy i lokalizacja inwestycji celu publicznego</w:t>
      </w:r>
    </w:p>
    <w:p w:rsidR="005D3FB0" w:rsidRDefault="005D3FB0" w:rsidP="005D3FB0">
      <w:pPr>
        <w:spacing w:after="0" w:line="312" w:lineRule="auto"/>
        <w:rPr>
          <w:szCs w:val="20"/>
        </w:rPr>
      </w:pPr>
      <w:r>
        <w:rPr>
          <w:szCs w:val="20"/>
        </w:rPr>
        <w:t>2016 r. – 788</w:t>
      </w:r>
    </w:p>
    <w:p w:rsidR="005D3FB0" w:rsidRDefault="005D3FB0" w:rsidP="005D3FB0">
      <w:pPr>
        <w:spacing w:after="0" w:line="312" w:lineRule="auto"/>
        <w:rPr>
          <w:szCs w:val="20"/>
        </w:rPr>
      </w:pPr>
      <w:r>
        <w:rPr>
          <w:szCs w:val="20"/>
        </w:rPr>
        <w:t xml:space="preserve">2017 r. – </w:t>
      </w:r>
      <w:r w:rsidR="00B1753A">
        <w:rPr>
          <w:szCs w:val="20"/>
        </w:rPr>
        <w:t>883</w:t>
      </w:r>
    </w:p>
    <w:p w:rsidR="005D3FB0" w:rsidRDefault="00B1753A" w:rsidP="005D3FB0">
      <w:pPr>
        <w:spacing w:after="0" w:line="312" w:lineRule="auto"/>
        <w:rPr>
          <w:szCs w:val="20"/>
        </w:rPr>
      </w:pPr>
      <w:r>
        <w:rPr>
          <w:szCs w:val="20"/>
        </w:rPr>
        <w:t>2018 r. – 831</w:t>
      </w:r>
    </w:p>
    <w:p w:rsidR="005D3FB0" w:rsidRDefault="00B1753A" w:rsidP="005D3FB0">
      <w:pPr>
        <w:spacing w:after="0" w:line="312" w:lineRule="auto"/>
        <w:rPr>
          <w:szCs w:val="20"/>
        </w:rPr>
      </w:pPr>
      <w:r>
        <w:rPr>
          <w:szCs w:val="20"/>
        </w:rPr>
        <w:t>2019 r. – 756</w:t>
      </w:r>
    </w:p>
    <w:p w:rsidR="005D3FB0" w:rsidRDefault="00B1753A" w:rsidP="005D3FB0">
      <w:pPr>
        <w:spacing w:after="0" w:line="312" w:lineRule="auto"/>
        <w:rPr>
          <w:szCs w:val="20"/>
        </w:rPr>
      </w:pPr>
      <w:r>
        <w:rPr>
          <w:szCs w:val="20"/>
        </w:rPr>
        <w:t>2020 r. – 646</w:t>
      </w:r>
    </w:p>
    <w:p w:rsidR="005D3FB0" w:rsidRDefault="005D3FB0" w:rsidP="005D3FB0">
      <w:pPr>
        <w:spacing w:after="0" w:line="312" w:lineRule="auto"/>
        <w:rPr>
          <w:szCs w:val="20"/>
        </w:rPr>
      </w:pPr>
    </w:p>
    <w:p w:rsidR="00B1753A" w:rsidRDefault="00B1753A" w:rsidP="005D3FB0">
      <w:pPr>
        <w:spacing w:after="0" w:line="312" w:lineRule="auto"/>
        <w:rPr>
          <w:szCs w:val="20"/>
        </w:rPr>
      </w:pPr>
      <w:r>
        <w:rPr>
          <w:szCs w:val="20"/>
        </w:rPr>
        <w:t>Pozwolenia na budowę</w:t>
      </w:r>
    </w:p>
    <w:p w:rsidR="005D3FB0" w:rsidRDefault="00B1753A" w:rsidP="005D3FB0">
      <w:pPr>
        <w:spacing w:after="0" w:line="312" w:lineRule="auto"/>
        <w:rPr>
          <w:szCs w:val="20"/>
        </w:rPr>
      </w:pPr>
      <w:r>
        <w:rPr>
          <w:szCs w:val="20"/>
        </w:rPr>
        <w:t>2016 r. – 3 538</w:t>
      </w:r>
    </w:p>
    <w:p w:rsidR="005D3FB0" w:rsidRDefault="00B1753A" w:rsidP="005D3FB0">
      <w:pPr>
        <w:spacing w:after="0" w:line="312" w:lineRule="auto"/>
        <w:rPr>
          <w:szCs w:val="20"/>
        </w:rPr>
      </w:pPr>
      <w:r>
        <w:rPr>
          <w:szCs w:val="20"/>
        </w:rPr>
        <w:lastRenderedPageBreak/>
        <w:t>2017 r. – 3 827</w:t>
      </w:r>
    </w:p>
    <w:p w:rsidR="005D3FB0" w:rsidRDefault="005D3FB0" w:rsidP="005D3FB0">
      <w:pPr>
        <w:spacing w:after="0" w:line="312" w:lineRule="auto"/>
        <w:rPr>
          <w:szCs w:val="20"/>
        </w:rPr>
      </w:pPr>
      <w:r>
        <w:rPr>
          <w:szCs w:val="20"/>
        </w:rPr>
        <w:t xml:space="preserve">2018 r. </w:t>
      </w:r>
      <w:r w:rsidR="00B1753A">
        <w:rPr>
          <w:szCs w:val="20"/>
        </w:rPr>
        <w:t>– 3 433</w:t>
      </w:r>
    </w:p>
    <w:p w:rsidR="005D3FB0" w:rsidRDefault="00B1753A" w:rsidP="005D3FB0">
      <w:pPr>
        <w:spacing w:after="0" w:line="312" w:lineRule="auto"/>
        <w:rPr>
          <w:szCs w:val="20"/>
        </w:rPr>
      </w:pPr>
      <w:r>
        <w:rPr>
          <w:szCs w:val="20"/>
        </w:rPr>
        <w:t>2019 r. – 3 099</w:t>
      </w:r>
    </w:p>
    <w:p w:rsidR="005D3FB0" w:rsidRDefault="00B1753A" w:rsidP="005D3FB0">
      <w:pPr>
        <w:spacing w:after="0" w:line="312" w:lineRule="auto"/>
        <w:rPr>
          <w:szCs w:val="20"/>
        </w:rPr>
      </w:pPr>
      <w:r>
        <w:rPr>
          <w:szCs w:val="20"/>
        </w:rPr>
        <w:t>2020 r. – 2 980</w:t>
      </w:r>
    </w:p>
    <w:p w:rsidR="00B1753A" w:rsidRDefault="00B1753A" w:rsidP="005D3FB0">
      <w:pPr>
        <w:spacing w:after="0" w:line="312" w:lineRule="auto"/>
        <w:rPr>
          <w:szCs w:val="20"/>
        </w:rPr>
      </w:pPr>
      <w:r>
        <w:rPr>
          <w:szCs w:val="20"/>
        </w:rPr>
        <w:t>Zaświadczenia</w:t>
      </w:r>
    </w:p>
    <w:p w:rsidR="00B1753A" w:rsidRDefault="00B1753A" w:rsidP="00B1753A">
      <w:pPr>
        <w:spacing w:after="0" w:line="312" w:lineRule="auto"/>
        <w:rPr>
          <w:szCs w:val="20"/>
        </w:rPr>
      </w:pPr>
      <w:r>
        <w:rPr>
          <w:szCs w:val="20"/>
        </w:rPr>
        <w:t>2016 r. – 14 459</w:t>
      </w:r>
    </w:p>
    <w:p w:rsidR="00B1753A" w:rsidRDefault="00B1753A" w:rsidP="00B1753A">
      <w:pPr>
        <w:spacing w:after="0" w:line="312" w:lineRule="auto"/>
        <w:rPr>
          <w:szCs w:val="20"/>
        </w:rPr>
      </w:pPr>
      <w:r>
        <w:rPr>
          <w:szCs w:val="20"/>
        </w:rPr>
        <w:t>2017 r. – 15 632</w:t>
      </w:r>
    </w:p>
    <w:p w:rsidR="00B1753A" w:rsidRDefault="00B1753A" w:rsidP="00B1753A">
      <w:pPr>
        <w:spacing w:after="0" w:line="312" w:lineRule="auto"/>
        <w:rPr>
          <w:szCs w:val="20"/>
        </w:rPr>
      </w:pPr>
      <w:r>
        <w:rPr>
          <w:szCs w:val="20"/>
        </w:rPr>
        <w:t>2018 r. – 17 646</w:t>
      </w:r>
    </w:p>
    <w:p w:rsidR="00B1753A" w:rsidRDefault="00B1753A" w:rsidP="00B1753A">
      <w:pPr>
        <w:spacing w:after="0" w:line="312" w:lineRule="auto"/>
        <w:rPr>
          <w:szCs w:val="20"/>
        </w:rPr>
      </w:pPr>
      <w:r>
        <w:rPr>
          <w:szCs w:val="20"/>
        </w:rPr>
        <w:t>2019 r. – 17 497</w:t>
      </w:r>
    </w:p>
    <w:p w:rsidR="00B1753A" w:rsidRDefault="00B1753A" w:rsidP="00B1753A">
      <w:pPr>
        <w:spacing w:after="0" w:line="312" w:lineRule="auto"/>
        <w:rPr>
          <w:szCs w:val="20"/>
        </w:rPr>
      </w:pPr>
      <w:r>
        <w:rPr>
          <w:szCs w:val="20"/>
        </w:rPr>
        <w:t>2020 r. – 18 073</w:t>
      </w:r>
    </w:p>
    <w:p w:rsidR="00B1753A" w:rsidRDefault="00B1753A" w:rsidP="00B1753A">
      <w:pPr>
        <w:spacing w:after="0" w:line="312" w:lineRule="auto"/>
        <w:rPr>
          <w:szCs w:val="20"/>
        </w:rPr>
      </w:pPr>
    </w:p>
    <w:p w:rsidR="00B1753A" w:rsidRDefault="00B1753A" w:rsidP="00B1753A">
      <w:pPr>
        <w:spacing w:after="0" w:line="312" w:lineRule="auto"/>
        <w:rPr>
          <w:szCs w:val="20"/>
        </w:rPr>
      </w:pPr>
      <w:r>
        <w:rPr>
          <w:szCs w:val="20"/>
        </w:rPr>
        <w:t>Postawienie</w:t>
      </w:r>
    </w:p>
    <w:p w:rsidR="00B1753A" w:rsidRDefault="00B1753A" w:rsidP="00B1753A">
      <w:pPr>
        <w:spacing w:after="0" w:line="312" w:lineRule="auto"/>
        <w:rPr>
          <w:szCs w:val="20"/>
        </w:rPr>
      </w:pPr>
      <w:r>
        <w:rPr>
          <w:szCs w:val="20"/>
        </w:rPr>
        <w:t>2016 r. – 3 705</w:t>
      </w:r>
    </w:p>
    <w:p w:rsidR="00B1753A" w:rsidRDefault="00B1753A" w:rsidP="00B1753A">
      <w:pPr>
        <w:spacing w:after="0" w:line="312" w:lineRule="auto"/>
        <w:rPr>
          <w:szCs w:val="20"/>
        </w:rPr>
      </w:pPr>
      <w:r>
        <w:rPr>
          <w:szCs w:val="20"/>
        </w:rPr>
        <w:t>2017 r. – 4 097</w:t>
      </w:r>
    </w:p>
    <w:p w:rsidR="00B1753A" w:rsidRDefault="00B1753A" w:rsidP="00B1753A">
      <w:pPr>
        <w:spacing w:after="0" w:line="312" w:lineRule="auto"/>
        <w:rPr>
          <w:szCs w:val="20"/>
        </w:rPr>
      </w:pPr>
      <w:r>
        <w:rPr>
          <w:szCs w:val="20"/>
        </w:rPr>
        <w:t>2018 r. – 4 368</w:t>
      </w:r>
    </w:p>
    <w:p w:rsidR="00B1753A" w:rsidRDefault="00B1753A" w:rsidP="00B1753A">
      <w:pPr>
        <w:spacing w:after="0" w:line="312" w:lineRule="auto"/>
        <w:rPr>
          <w:szCs w:val="20"/>
        </w:rPr>
      </w:pPr>
      <w:r>
        <w:rPr>
          <w:szCs w:val="20"/>
        </w:rPr>
        <w:t>2019 r. – 4 204</w:t>
      </w:r>
    </w:p>
    <w:p w:rsidR="00B1753A" w:rsidRDefault="00B1753A" w:rsidP="00B1753A">
      <w:pPr>
        <w:spacing w:after="0" w:line="312" w:lineRule="auto"/>
        <w:rPr>
          <w:szCs w:val="20"/>
        </w:rPr>
      </w:pPr>
      <w:r>
        <w:rPr>
          <w:szCs w:val="20"/>
        </w:rPr>
        <w:t>2020 r. – 3 944</w:t>
      </w:r>
    </w:p>
    <w:p w:rsidR="00B1753A" w:rsidRDefault="00B1753A" w:rsidP="00B1753A">
      <w:pPr>
        <w:spacing w:after="0" w:line="312" w:lineRule="auto"/>
        <w:rPr>
          <w:szCs w:val="20"/>
        </w:rPr>
      </w:pPr>
    </w:p>
    <w:p w:rsidR="00F408D9" w:rsidRPr="00E00B35" w:rsidRDefault="00F408D9" w:rsidP="00E00B35">
      <w:pPr>
        <w:pStyle w:val="Nagwek4"/>
        <w:spacing w:before="0" w:after="0" w:line="312" w:lineRule="auto"/>
        <w:rPr>
          <w:sz w:val="20"/>
          <w:szCs w:val="20"/>
        </w:rPr>
      </w:pPr>
      <w:bookmarkStart w:id="41" w:name="_Toc348097871"/>
      <w:r w:rsidRPr="00E00B35">
        <w:rPr>
          <w:sz w:val="20"/>
          <w:szCs w:val="20"/>
        </w:rPr>
        <w:t>ZATRUDNIENIE</w:t>
      </w:r>
      <w:bookmarkEnd w:id="41"/>
    </w:p>
    <w:p w:rsidR="00F408D9" w:rsidRPr="00E00B35" w:rsidRDefault="00F408D9" w:rsidP="00E00B35">
      <w:pPr>
        <w:spacing w:after="0" w:line="312" w:lineRule="auto"/>
        <w:rPr>
          <w:szCs w:val="20"/>
        </w:rPr>
      </w:pPr>
      <w:r w:rsidRPr="00E00B35">
        <w:rPr>
          <w:szCs w:val="20"/>
        </w:rPr>
        <w:t xml:space="preserve">Według stanu na grudzień 2020 r. do realizacji zadań Wydziału wykorzystane było 139 etatów (liczonych łącznie z zasiłkami chorobowymi, urlopami macierzyńskimi i zastępstwami) na planowane 149. </w:t>
      </w:r>
    </w:p>
    <w:p w:rsidR="00F408D9" w:rsidRPr="00E00B35" w:rsidRDefault="00F408D9" w:rsidP="00E00B35">
      <w:pPr>
        <w:spacing w:after="0" w:line="312" w:lineRule="auto"/>
        <w:rPr>
          <w:szCs w:val="20"/>
        </w:rPr>
      </w:pPr>
      <w:r w:rsidRPr="00E00B35">
        <w:rPr>
          <w:szCs w:val="20"/>
        </w:rPr>
        <w:t>W ciągu roku odnotowano znaczący ruch kadrowy:</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10 pracowników odeszło na emeryturę,</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6 osób rozwiązało umowy o pracę, w tym  2 umowy-zastępstwa,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2 osoby przeniosły się do pracy w innych wydziałach w ramach struktury UM</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3 osoby zostały zatrudnione w wyniku naboru, w tym 1 wcześniej pracowała na zastępstwo,</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7 osób realizowało zadania w ramach umowy zastępstwa, co spowodowane było korzystaniem przez pracowników z uprawnień urlopowych związanych  </w:t>
      </w:r>
      <w:r w:rsidRPr="00E00B35">
        <w:rPr>
          <w:szCs w:val="20"/>
        </w:rPr>
        <w:br/>
        <w:t>z rodzicielstwem bądź ich absencją chorobową,</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na długotrwałych zwolnieniach lekarskich przebywało 5 pracowników,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 xml:space="preserve">6 osób korzystało z urlopów macierzyńskich, rodzicielskich, wychowawczych, </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5 pracowników złożyło wnioski o zmniejszenie wymiaru etatu,</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1 osoba odbywała staż (3 miesiące), 5 studentów  przyjęto na praktyki studenckie.</w:t>
      </w: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r w:rsidRPr="00E00B35">
        <w:rPr>
          <w:szCs w:val="20"/>
        </w:rPr>
        <w:t>struktura stanowisk w grudniu 2020 r.</w:t>
      </w:r>
    </w:p>
    <w:tbl>
      <w:tblPr>
        <w:tblW w:w="0" w:type="auto"/>
        <w:jc w:val="center"/>
        <w:tblInd w:w="-1656" w:type="dxa"/>
        <w:tblBorders>
          <w:top w:val="double" w:sz="4" w:space="0" w:color="000000"/>
          <w:left w:val="double" w:sz="4" w:space="0" w:color="000000"/>
          <w:bottom w:val="double" w:sz="4" w:space="0" w:color="000000"/>
          <w:right w:val="double" w:sz="4" w:space="0" w:color="000000"/>
        </w:tblBorders>
        <w:tblCellMar>
          <w:left w:w="70" w:type="dxa"/>
          <w:right w:w="70" w:type="dxa"/>
        </w:tblCellMar>
        <w:tblLook w:val="0000"/>
      </w:tblPr>
      <w:tblGrid>
        <w:gridCol w:w="4830"/>
        <w:gridCol w:w="2595"/>
      </w:tblGrid>
      <w:tr w:rsidR="00F408D9" w:rsidRPr="00E00B35" w:rsidTr="007903FB">
        <w:trPr>
          <w:trHeight w:val="343"/>
          <w:tblHeader/>
          <w:jc w:val="center"/>
        </w:trPr>
        <w:tc>
          <w:tcPr>
            <w:tcW w:w="4830" w:type="dxa"/>
            <w:tcBorders>
              <w:top w:val="double" w:sz="4" w:space="0" w:color="000000"/>
              <w:left w:val="double" w:sz="4" w:space="0" w:color="000000"/>
              <w:bottom w:val="doub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 xml:space="preserve">struktura stanowisk </w:t>
            </w:r>
          </w:p>
        </w:tc>
        <w:tc>
          <w:tcPr>
            <w:tcW w:w="2595" w:type="dxa"/>
            <w:tcBorders>
              <w:top w:val="double" w:sz="4" w:space="0" w:color="000000"/>
              <w:left w:val="single" w:sz="4" w:space="0" w:color="000000"/>
              <w:bottom w:val="doub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liczba etatów</w:t>
            </w:r>
          </w:p>
        </w:tc>
      </w:tr>
      <w:tr w:rsidR="00F408D9" w:rsidRPr="00E00B35" w:rsidTr="001F7163">
        <w:trPr>
          <w:jc w:val="center"/>
        </w:trPr>
        <w:tc>
          <w:tcPr>
            <w:tcW w:w="4830" w:type="dxa"/>
            <w:tcBorders>
              <w:top w:val="double" w:sz="4" w:space="0" w:color="000000"/>
              <w:left w:val="double" w:sz="4" w:space="0" w:color="000000"/>
              <w:bottom w:val="sing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dyrektor</w:t>
            </w:r>
          </w:p>
        </w:tc>
        <w:tc>
          <w:tcPr>
            <w:tcW w:w="2595" w:type="dxa"/>
            <w:tcBorders>
              <w:top w:val="double" w:sz="4" w:space="0" w:color="000000"/>
              <w:left w:val="single" w:sz="4" w:space="0" w:color="000000"/>
              <w:bottom w:val="sing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1</w:t>
            </w:r>
          </w:p>
        </w:tc>
      </w:tr>
      <w:tr w:rsidR="00F408D9" w:rsidRPr="00E00B35" w:rsidTr="001F7163">
        <w:trPr>
          <w:jc w:val="center"/>
        </w:trPr>
        <w:tc>
          <w:tcPr>
            <w:tcW w:w="4830" w:type="dxa"/>
            <w:tcBorders>
              <w:top w:val="single" w:sz="4" w:space="0" w:color="000000"/>
              <w:left w:val="double" w:sz="4" w:space="0" w:color="000000"/>
              <w:bottom w:val="sing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zastępca dyrektora</w:t>
            </w:r>
          </w:p>
        </w:tc>
        <w:tc>
          <w:tcPr>
            <w:tcW w:w="2595" w:type="dxa"/>
            <w:tcBorders>
              <w:top w:val="single" w:sz="4" w:space="0" w:color="000000"/>
              <w:left w:val="single" w:sz="4" w:space="0" w:color="000000"/>
              <w:bottom w:val="sing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3</w:t>
            </w:r>
          </w:p>
        </w:tc>
      </w:tr>
      <w:tr w:rsidR="00F408D9" w:rsidRPr="00E00B35" w:rsidTr="001F7163">
        <w:trPr>
          <w:jc w:val="center"/>
        </w:trPr>
        <w:tc>
          <w:tcPr>
            <w:tcW w:w="4830" w:type="dxa"/>
            <w:tcBorders>
              <w:top w:val="single" w:sz="4" w:space="0" w:color="000000"/>
              <w:left w:val="double" w:sz="4" w:space="0" w:color="000000"/>
              <w:bottom w:val="sing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koordynator projektu</w:t>
            </w:r>
          </w:p>
        </w:tc>
        <w:tc>
          <w:tcPr>
            <w:tcW w:w="2595" w:type="dxa"/>
            <w:tcBorders>
              <w:top w:val="single" w:sz="4" w:space="0" w:color="000000"/>
              <w:left w:val="single" w:sz="4" w:space="0" w:color="000000"/>
              <w:bottom w:val="sing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2</w:t>
            </w:r>
          </w:p>
        </w:tc>
      </w:tr>
      <w:tr w:rsidR="00F408D9" w:rsidRPr="00E00B35" w:rsidTr="001F7163">
        <w:trPr>
          <w:jc w:val="center"/>
        </w:trPr>
        <w:tc>
          <w:tcPr>
            <w:tcW w:w="4830" w:type="dxa"/>
            <w:tcBorders>
              <w:top w:val="single" w:sz="4" w:space="0" w:color="000000"/>
              <w:left w:val="double" w:sz="4" w:space="0" w:color="000000"/>
              <w:bottom w:val="sing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lastRenderedPageBreak/>
              <w:t>kierownik zespołu</w:t>
            </w:r>
          </w:p>
        </w:tc>
        <w:tc>
          <w:tcPr>
            <w:tcW w:w="2595" w:type="dxa"/>
            <w:tcBorders>
              <w:top w:val="single" w:sz="4" w:space="0" w:color="000000"/>
              <w:left w:val="single" w:sz="4" w:space="0" w:color="000000"/>
              <w:bottom w:val="sing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11,875</w:t>
            </w:r>
          </w:p>
        </w:tc>
      </w:tr>
      <w:tr w:rsidR="00F408D9" w:rsidRPr="00E00B35" w:rsidTr="001F7163">
        <w:trPr>
          <w:jc w:val="center"/>
        </w:trPr>
        <w:tc>
          <w:tcPr>
            <w:tcW w:w="4830" w:type="dxa"/>
            <w:tcBorders>
              <w:top w:val="single" w:sz="4" w:space="0" w:color="000000"/>
              <w:left w:val="double" w:sz="4" w:space="0" w:color="000000"/>
              <w:bottom w:val="sing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główny specjalista</w:t>
            </w:r>
          </w:p>
        </w:tc>
        <w:tc>
          <w:tcPr>
            <w:tcW w:w="2595" w:type="dxa"/>
            <w:tcBorders>
              <w:top w:val="single" w:sz="4" w:space="0" w:color="000000"/>
              <w:left w:val="single" w:sz="4" w:space="0" w:color="000000"/>
              <w:bottom w:val="sing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53,275</w:t>
            </w:r>
          </w:p>
        </w:tc>
      </w:tr>
      <w:tr w:rsidR="00F408D9" w:rsidRPr="00E00B35" w:rsidTr="001F7163">
        <w:trPr>
          <w:jc w:val="center"/>
        </w:trPr>
        <w:tc>
          <w:tcPr>
            <w:tcW w:w="4830" w:type="dxa"/>
            <w:tcBorders>
              <w:top w:val="single" w:sz="4" w:space="0" w:color="000000"/>
              <w:left w:val="double" w:sz="4" w:space="0" w:color="000000"/>
              <w:bottom w:val="sing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starszy specjalista</w:t>
            </w:r>
          </w:p>
        </w:tc>
        <w:tc>
          <w:tcPr>
            <w:tcW w:w="2595" w:type="dxa"/>
            <w:tcBorders>
              <w:top w:val="single" w:sz="4" w:space="0" w:color="000000"/>
              <w:left w:val="single" w:sz="4" w:space="0" w:color="000000"/>
              <w:bottom w:val="sing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47,475</w:t>
            </w:r>
          </w:p>
        </w:tc>
      </w:tr>
      <w:tr w:rsidR="00F408D9" w:rsidRPr="00E00B35" w:rsidTr="001F7163">
        <w:trPr>
          <w:jc w:val="center"/>
        </w:trPr>
        <w:tc>
          <w:tcPr>
            <w:tcW w:w="4830" w:type="dxa"/>
            <w:tcBorders>
              <w:top w:val="single" w:sz="4" w:space="0" w:color="000000"/>
              <w:left w:val="double" w:sz="4" w:space="0" w:color="000000"/>
              <w:bottom w:val="sing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specjalista</w:t>
            </w:r>
          </w:p>
        </w:tc>
        <w:tc>
          <w:tcPr>
            <w:tcW w:w="2595" w:type="dxa"/>
            <w:tcBorders>
              <w:top w:val="single" w:sz="4" w:space="0" w:color="000000"/>
              <w:left w:val="single" w:sz="4" w:space="0" w:color="000000"/>
              <w:bottom w:val="sing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13</w:t>
            </w:r>
          </w:p>
        </w:tc>
      </w:tr>
      <w:tr w:rsidR="00F408D9" w:rsidRPr="00E00B35" w:rsidTr="001F7163">
        <w:trPr>
          <w:jc w:val="center"/>
        </w:trPr>
        <w:tc>
          <w:tcPr>
            <w:tcW w:w="4830" w:type="dxa"/>
            <w:tcBorders>
              <w:top w:val="single" w:sz="4" w:space="0" w:color="000000"/>
              <w:left w:val="double" w:sz="4" w:space="0" w:color="000000"/>
              <w:bottom w:val="sing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samodzielny referent</w:t>
            </w:r>
          </w:p>
        </w:tc>
        <w:tc>
          <w:tcPr>
            <w:tcW w:w="2595" w:type="dxa"/>
            <w:tcBorders>
              <w:top w:val="single" w:sz="4" w:space="0" w:color="000000"/>
              <w:left w:val="single" w:sz="4" w:space="0" w:color="000000"/>
              <w:bottom w:val="sing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6</w:t>
            </w:r>
          </w:p>
        </w:tc>
      </w:tr>
      <w:tr w:rsidR="00F408D9" w:rsidRPr="00E00B35" w:rsidTr="001F7163">
        <w:trPr>
          <w:jc w:val="center"/>
        </w:trPr>
        <w:tc>
          <w:tcPr>
            <w:tcW w:w="4830" w:type="dxa"/>
            <w:tcBorders>
              <w:top w:val="single" w:sz="4" w:space="0" w:color="000000"/>
              <w:left w:val="double" w:sz="4" w:space="0" w:color="000000"/>
              <w:bottom w:val="sing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starszy referent</w:t>
            </w:r>
          </w:p>
        </w:tc>
        <w:tc>
          <w:tcPr>
            <w:tcW w:w="2595" w:type="dxa"/>
            <w:tcBorders>
              <w:top w:val="single" w:sz="4" w:space="0" w:color="000000"/>
              <w:left w:val="single" w:sz="4" w:space="0" w:color="000000"/>
              <w:bottom w:val="sing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1</w:t>
            </w:r>
          </w:p>
        </w:tc>
      </w:tr>
      <w:tr w:rsidR="00F408D9" w:rsidRPr="00E00B35" w:rsidTr="001F7163">
        <w:trPr>
          <w:jc w:val="center"/>
        </w:trPr>
        <w:tc>
          <w:tcPr>
            <w:tcW w:w="4830" w:type="dxa"/>
            <w:tcBorders>
              <w:top w:val="single" w:sz="4" w:space="0" w:color="000000"/>
              <w:left w:val="double" w:sz="4" w:space="0" w:color="000000"/>
              <w:bottom w:val="sing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referent</w:t>
            </w:r>
          </w:p>
        </w:tc>
        <w:tc>
          <w:tcPr>
            <w:tcW w:w="2595" w:type="dxa"/>
            <w:tcBorders>
              <w:top w:val="single" w:sz="4" w:space="0" w:color="000000"/>
              <w:left w:val="single" w:sz="4" w:space="0" w:color="000000"/>
              <w:bottom w:val="sing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p>
        </w:tc>
      </w:tr>
      <w:tr w:rsidR="00F408D9" w:rsidRPr="00E00B35" w:rsidTr="001F7163">
        <w:trPr>
          <w:jc w:val="center"/>
        </w:trPr>
        <w:tc>
          <w:tcPr>
            <w:tcW w:w="4830" w:type="dxa"/>
            <w:tcBorders>
              <w:top w:val="single" w:sz="4" w:space="0" w:color="000000"/>
              <w:left w:val="double" w:sz="4" w:space="0" w:color="000000"/>
              <w:bottom w:val="single" w:sz="4" w:space="0" w:color="000000"/>
              <w:right w:val="sing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razem:</w:t>
            </w:r>
          </w:p>
        </w:tc>
        <w:tc>
          <w:tcPr>
            <w:tcW w:w="2595" w:type="dxa"/>
            <w:tcBorders>
              <w:top w:val="single" w:sz="4" w:space="0" w:color="000000"/>
              <w:left w:val="single" w:sz="4" w:space="0" w:color="000000"/>
              <w:bottom w:val="single" w:sz="4" w:space="0" w:color="000000"/>
              <w:right w:val="double" w:sz="4" w:space="0" w:color="000000"/>
            </w:tcBorders>
            <w:tcMar>
              <w:top w:w="57" w:type="dxa"/>
              <w:left w:w="70" w:type="dxa"/>
              <w:bottom w:w="57" w:type="dxa"/>
              <w:right w:w="70" w:type="dxa"/>
            </w:tcMar>
            <w:vAlign w:val="center"/>
          </w:tcPr>
          <w:p w:rsidR="00F408D9" w:rsidRPr="00E00B35" w:rsidRDefault="00F408D9" w:rsidP="00E00B35">
            <w:pPr>
              <w:spacing w:after="0" w:line="312" w:lineRule="auto"/>
              <w:rPr>
                <w:szCs w:val="20"/>
              </w:rPr>
            </w:pPr>
            <w:r w:rsidRPr="00E00B35">
              <w:rPr>
                <w:szCs w:val="20"/>
              </w:rPr>
              <w:t>138,625</w:t>
            </w:r>
          </w:p>
        </w:tc>
      </w:tr>
    </w:tbl>
    <w:p w:rsidR="00F408D9" w:rsidRPr="00E00B35" w:rsidRDefault="00F408D9" w:rsidP="00E00B35">
      <w:pPr>
        <w:spacing w:after="0" w:line="312" w:lineRule="auto"/>
        <w:rPr>
          <w:szCs w:val="20"/>
          <w:highlight w:val="yellow"/>
        </w:rPr>
      </w:pPr>
    </w:p>
    <w:p w:rsidR="00F408D9" w:rsidRPr="00E00B35" w:rsidRDefault="00F408D9" w:rsidP="00E00B35">
      <w:pPr>
        <w:pStyle w:val="Nagwek4"/>
        <w:spacing w:before="0" w:after="0" w:line="312" w:lineRule="auto"/>
        <w:rPr>
          <w:sz w:val="20"/>
          <w:szCs w:val="20"/>
        </w:rPr>
      </w:pPr>
      <w:r w:rsidRPr="00E00B35">
        <w:rPr>
          <w:sz w:val="20"/>
          <w:szCs w:val="20"/>
        </w:rPr>
        <w:t>PODSUMOWANIE</w:t>
      </w:r>
    </w:p>
    <w:p w:rsidR="00F408D9" w:rsidRPr="00E00B35" w:rsidRDefault="00F408D9" w:rsidP="00E00B35">
      <w:pPr>
        <w:spacing w:after="0" w:line="312" w:lineRule="auto"/>
        <w:rPr>
          <w:szCs w:val="20"/>
        </w:rPr>
      </w:pPr>
      <w:r w:rsidRPr="00E00B35">
        <w:rPr>
          <w:szCs w:val="20"/>
        </w:rPr>
        <w:t xml:space="preserve">W 2020 roku, pomimo trwającego w Polsce stanu pandemii wywołanego wirusem SARS-CoV-2, utrzymała się ilość wpływających do Wydziału Architektury i Budownictwa wniosków i podań w porównaniu do lat poprzednich. </w:t>
      </w:r>
    </w:p>
    <w:p w:rsidR="00F408D9" w:rsidRPr="00E00B35" w:rsidRDefault="00F408D9" w:rsidP="00E00B35">
      <w:pPr>
        <w:spacing w:after="0" w:line="312" w:lineRule="auto"/>
        <w:rPr>
          <w:szCs w:val="20"/>
        </w:rPr>
      </w:pPr>
      <w:r w:rsidRPr="00E00B35">
        <w:rPr>
          <w:szCs w:val="20"/>
        </w:rPr>
        <w:t xml:space="preserve">Mimo licznych trudności, zmian organizacyjnych wymuszonych przez obostrzenia, liczne zachorowania pracowników realizowaliśmy w wydziale nasze zadania terminowo. Skuteczność i terminowość prowadzonych postępowań administracyjnych w tym trudnym okresie zostały docenione przez klientów naszego wydziału, co ma odzwierciedlenie min. w uzyskanym 1-wszym miejscu dla Wydziału Architektury i Budownictwa w X edycji Rankingu Miast Polskiego Związku Firm Deweloperskich, którego celem jest sprawdzenie, czy władze samorządowe wydają decyzje potrzebne do rozpoczęcia budowy </w:t>
      </w:r>
      <w:r w:rsidRPr="00E00B35">
        <w:rPr>
          <w:szCs w:val="20"/>
        </w:rPr>
        <w:br/>
        <w:t>w ustawowym terminie.</w:t>
      </w:r>
    </w:p>
    <w:p w:rsidR="00F408D9" w:rsidRPr="00E00B35" w:rsidRDefault="00F408D9" w:rsidP="00E00B35">
      <w:pPr>
        <w:spacing w:after="0" w:line="312" w:lineRule="auto"/>
        <w:rPr>
          <w:szCs w:val="20"/>
        </w:rPr>
      </w:pPr>
      <w:r w:rsidRPr="00E00B35">
        <w:rPr>
          <w:szCs w:val="20"/>
        </w:rPr>
        <w:t xml:space="preserve">W minionym okresie w bardzo ograniczonym zakresie pracownicy WAB korzystali z pracy zdalnej. Specyfika prowadzonych postępowań administracyjnych pozwalała na wykonywanie pracy zdalnej tylko w wyjątkowych sytuacjach. </w:t>
      </w: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r w:rsidRPr="00E00B35">
        <w:rPr>
          <w:szCs w:val="20"/>
        </w:rPr>
        <w:t xml:space="preserve">W roku 2020, tak jak w latach poprzednich, nadal największe trudności w pracy Wydziału związane były z prowadzeniem długotrwałych i skomplikowanych postępowań administracyjnych dotyczących ustalania warunków zabudowy. </w:t>
      </w:r>
    </w:p>
    <w:p w:rsidR="00F408D9" w:rsidRPr="00E00B35" w:rsidRDefault="00F408D9" w:rsidP="00E00B35">
      <w:pPr>
        <w:spacing w:after="0" w:line="312" w:lineRule="auto"/>
        <w:rPr>
          <w:szCs w:val="20"/>
        </w:rPr>
      </w:pPr>
      <w:r w:rsidRPr="00E00B35">
        <w:rPr>
          <w:szCs w:val="20"/>
        </w:rPr>
        <w:t>Na wydłużenie czasu postępowań znacząco wpływają:</w:t>
      </w:r>
    </w:p>
    <w:p w:rsidR="00F408D9" w:rsidRPr="00E00B35" w:rsidRDefault="00F408D9" w:rsidP="00E00B35">
      <w:pPr>
        <w:spacing w:after="0" w:line="312" w:lineRule="auto"/>
        <w:rPr>
          <w:szCs w:val="20"/>
        </w:rPr>
      </w:pPr>
      <w:r w:rsidRPr="00E00B35">
        <w:rPr>
          <w:szCs w:val="20"/>
        </w:rPr>
        <w:t>orzecznictwo Samorządowego Kolegium Odwoławczego,</w:t>
      </w:r>
    </w:p>
    <w:p w:rsidR="00F408D9" w:rsidRPr="00E00B35" w:rsidRDefault="00F408D9" w:rsidP="00E00B35">
      <w:pPr>
        <w:spacing w:after="0" w:line="312" w:lineRule="auto"/>
        <w:rPr>
          <w:szCs w:val="20"/>
        </w:rPr>
      </w:pPr>
      <w:r w:rsidRPr="00E00B35">
        <w:rPr>
          <w:szCs w:val="20"/>
        </w:rPr>
        <w:t>niekompletność składanych wniosków,</w:t>
      </w:r>
    </w:p>
    <w:p w:rsidR="00F408D9" w:rsidRPr="00E00B35" w:rsidRDefault="00F408D9" w:rsidP="00E00B35">
      <w:pPr>
        <w:spacing w:after="0" w:line="312" w:lineRule="auto"/>
        <w:rPr>
          <w:szCs w:val="20"/>
        </w:rPr>
      </w:pPr>
      <w:r w:rsidRPr="00E00B35">
        <w:rPr>
          <w:szCs w:val="20"/>
        </w:rPr>
        <w:t>konieczność uzyskania wymaganych ustawą uzgodnień,</w:t>
      </w:r>
    </w:p>
    <w:p w:rsidR="00F408D9" w:rsidRPr="00E00B35" w:rsidRDefault="00F408D9" w:rsidP="00E00B35">
      <w:pPr>
        <w:spacing w:after="0" w:line="312" w:lineRule="auto"/>
        <w:rPr>
          <w:szCs w:val="20"/>
        </w:rPr>
      </w:pPr>
      <w:r w:rsidRPr="00E00B35">
        <w:rPr>
          <w:szCs w:val="20"/>
        </w:rPr>
        <w:t>konieczność uzyskiwania w trakcie postępowania umów z dostawcami mediów wynikająca ze złego stanu uzbrojenia terenów,</w:t>
      </w:r>
    </w:p>
    <w:p w:rsidR="00F408D9" w:rsidRPr="00E00B35" w:rsidRDefault="00F408D9" w:rsidP="00E00B35">
      <w:pPr>
        <w:spacing w:after="0" w:line="312" w:lineRule="auto"/>
        <w:rPr>
          <w:szCs w:val="20"/>
        </w:rPr>
      </w:pPr>
      <w:r w:rsidRPr="00E00B35">
        <w:rPr>
          <w:szCs w:val="20"/>
        </w:rPr>
        <w:t>coraz bardziej skomplikowane analizy, z uwagi na obszar, sąsiedztwo,</w:t>
      </w:r>
    </w:p>
    <w:p w:rsidR="00F408D9" w:rsidRPr="00E00B35" w:rsidRDefault="00F408D9" w:rsidP="00E00B35">
      <w:pPr>
        <w:spacing w:after="0" w:line="312" w:lineRule="auto"/>
        <w:rPr>
          <w:szCs w:val="20"/>
        </w:rPr>
      </w:pPr>
      <w:r w:rsidRPr="00E00B35">
        <w:rPr>
          <w:szCs w:val="20"/>
        </w:rPr>
        <w:t>bardzo szeroki udział stron postępowania wynikający z coraz większych terenów analiz urbanistycznych oraz braku danych o zarządach wspólnot mieszkaniowych.</w:t>
      </w:r>
    </w:p>
    <w:p w:rsidR="00F408D9" w:rsidRPr="00E00B35" w:rsidRDefault="00F408D9" w:rsidP="00E00B35">
      <w:pPr>
        <w:spacing w:after="0" w:line="312" w:lineRule="auto"/>
        <w:rPr>
          <w:szCs w:val="20"/>
        </w:rPr>
      </w:pPr>
      <w:bookmarkStart w:id="42" w:name="OLE_LINK3"/>
      <w:r w:rsidRPr="00E00B35">
        <w:rPr>
          <w:szCs w:val="20"/>
        </w:rPr>
        <w:t xml:space="preserve">Brak planów miejscowych, na niektórych terenach miasta powoduje, że podmioty podejmujące działania inwestycyjne muszą uzyskać decyzje zawierające ustalenia </w:t>
      </w:r>
      <w:r w:rsidRPr="00E00B35">
        <w:rPr>
          <w:szCs w:val="20"/>
        </w:rPr>
        <w:lastRenderedPageBreak/>
        <w:t xml:space="preserve">dotyczące przeznaczenia terenu (zastępujące plany). To samo dotyczy terenów, na których coraz częściej, wyrokami sądów, plany są unieważniane. Coraz częściej wpływają wnioski o ustalenie warunków zabudowy dla obszarów, dla których, ze względu na ich wielkość, położenie i warunki uzbrojenia, rozstrzygnięcia dotyczące zagospodarowania przestrzennego powinny być podejmowane w ramach ustaleń planu miejscowego.  Proces wydawania pozwoleń na budowę, pomimo braków i nieprawidłowości występujących </w:t>
      </w:r>
      <w:r w:rsidRPr="00E00B35">
        <w:rPr>
          <w:szCs w:val="20"/>
        </w:rPr>
        <w:br/>
        <w:t xml:space="preserve">w składanej dokumentacji zamyka się w ustawowo dopuszczonym czasie – 65 dni. </w:t>
      </w:r>
      <w:r w:rsidRPr="00E00B35">
        <w:rPr>
          <w:szCs w:val="20"/>
        </w:rPr>
        <w:br/>
        <w:t xml:space="preserve">W procesie tym, w przypadku inwestycji lokalizowanych na obszarach objętych planami miejscowymi, często, wobec niejednoznacznych zapisów w nich zawartych, występują trudności w badaniu zgodności projektu budowlanego z ustaleniami planu miejscowego. Bardzo trudną sytuacją jest unieważnianie obowiązujących planów miejscowych, często </w:t>
      </w:r>
      <w:r w:rsidRPr="00E00B35">
        <w:rPr>
          <w:szCs w:val="20"/>
        </w:rPr>
        <w:br/>
        <w:t>w trakcie prowadzonych postępowań administracyjnych.</w:t>
      </w:r>
    </w:p>
    <w:p w:rsidR="00F408D9" w:rsidRPr="00E00B35" w:rsidRDefault="00F408D9" w:rsidP="00E00B35">
      <w:pPr>
        <w:spacing w:after="0" w:line="312" w:lineRule="auto"/>
        <w:rPr>
          <w:szCs w:val="20"/>
        </w:rPr>
      </w:pPr>
      <w:r w:rsidRPr="00E00B35">
        <w:rPr>
          <w:szCs w:val="20"/>
        </w:rPr>
        <w:t xml:space="preserve">Z analizy wskaźników przyjętych do monitorowania zadań Wydziału wynika, że czas wydawania decyzji o pozwoleniu na budowę pozostał na podobnym poziomie jak w latach poprzednich – ponad połowa pozwoleń na budowę wydano w czasie krótszym niż 50% czasu przewidzianego przez prawo budowlane, czyli w czasie do 1 miesiąca. Na podobnym poziomie jak w poprzednim roku jest czas wydawania decyzji o warunkach zabudowy i zagospodarowania terenu, bowiem ponad 70% decyzji wydana była </w:t>
      </w:r>
      <w:r w:rsidRPr="00E00B35">
        <w:rPr>
          <w:szCs w:val="20"/>
        </w:rPr>
        <w:br/>
        <w:t>w zakładanym czasie 4 miesięcy i krótszym niż 4 miesiące.</w:t>
      </w:r>
    </w:p>
    <w:bookmarkEnd w:id="42"/>
    <w:p w:rsidR="00F408D9" w:rsidRPr="00E00B35" w:rsidRDefault="00F408D9" w:rsidP="00E00B35">
      <w:pPr>
        <w:spacing w:after="0" w:line="312" w:lineRule="auto"/>
        <w:rPr>
          <w:szCs w:val="20"/>
        </w:rPr>
      </w:pPr>
      <w:r w:rsidRPr="00E00B35">
        <w:rPr>
          <w:szCs w:val="20"/>
        </w:rPr>
        <w:t xml:space="preserve">Przeprowadzono analizę orzecznictwa SKO, a także szerszą analizę orzecznictwa sądowo-administracyjnego. Wnioski dla dalszych działań w zarządzaniu przestrzenią miejską opracowane w roku poprzednim są ciągle aktualne: </w:t>
      </w:r>
    </w:p>
    <w:p w:rsidR="00F408D9" w:rsidRPr="00E00B35" w:rsidRDefault="00F408D9" w:rsidP="00E00B35">
      <w:pPr>
        <w:spacing w:after="0" w:line="312" w:lineRule="auto"/>
        <w:rPr>
          <w:szCs w:val="20"/>
        </w:rPr>
      </w:pPr>
      <w:r w:rsidRPr="00E00B35">
        <w:rPr>
          <w:szCs w:val="20"/>
        </w:rPr>
        <w:t xml:space="preserve">Dalsza liberalizacja i dopuszczanie zabudowy na terenach niezabudowanych, na pozostałościach pasmowych podziałów, prowadzi do najgorszego z możliwych zjawiska, czyli rozprzestrzeniania się zabudowy w sposób przypadkowy </w:t>
      </w:r>
      <w:r w:rsidRPr="00E00B35">
        <w:rPr>
          <w:szCs w:val="20"/>
        </w:rPr>
        <w:br/>
        <w:t>i niepodporządkowany żadnym zasadom planowania. Tego typu odmowa jest rzeczywiście najbardziej dyskusyjna, ponieważ nie można jej skorygować parametrami. Jeśli inwestor nie ma zabudowy dookoła a Prezydent nie sporządzi dla niego planu, to nigdy nie będzie mógł skorzystać z prawa do zabudowy, co z kolei, jak twierdzą sądy administracyjne, narusza konstytucję. Tego typu blokada przy pomocy decyzji administracyjnej jest niedopuszczalna. Planem miejscowym tak. To oznacza, że w praktyce każda decyzja odmowna z powodu niemożności ustalenia linii zabudowy powinna automatycznie powodować przystąpienie do sporządzenia mpzp.</w:t>
      </w:r>
    </w:p>
    <w:p w:rsidR="00F408D9" w:rsidRPr="00E00B35" w:rsidRDefault="00F408D9" w:rsidP="00E00B35">
      <w:pPr>
        <w:spacing w:after="0" w:line="312" w:lineRule="auto"/>
        <w:rPr>
          <w:szCs w:val="20"/>
        </w:rPr>
      </w:pPr>
      <w:r w:rsidRPr="00E00B35">
        <w:rPr>
          <w:szCs w:val="20"/>
        </w:rPr>
        <w:t xml:space="preserve">Nie jest możliwa polemika z osobami bez uprawnień (SKO) na temat właściwych gabarytów zabudowy. Nie mając właściwego przygotowania zawodowego dokonują błędnej oceny materiału dowodowego i w rezultacie wskazują Prezydentowi, </w:t>
      </w:r>
      <w:r w:rsidRPr="00E00B35">
        <w:rPr>
          <w:szCs w:val="20"/>
        </w:rPr>
        <w:br/>
        <w:t xml:space="preserve">w zasadzie w formie nakazu, rozstrzygnięcie wprowadzające chaos przestrzenny. Uważam, że polemika tego typu narusza przepis art. 60 ust. 4 ustawy o planowaniu </w:t>
      </w:r>
      <w:r w:rsidRPr="00E00B35">
        <w:rPr>
          <w:szCs w:val="20"/>
        </w:rPr>
        <w:br/>
        <w:t>i zagospodarowaniu przestrzennym. Prowadzi to do fatalnej sytuacji, gdzie osoba sporządzająca dla Prezydenta projekt decyzji jest zmuszana do działania niezgodnego ze swoją wiedzą i zasadami odpowiedzialności zawodowej. Ten parametr (gabaryty) w przeciwieństwie do poprzedniego można zmienić i uzyskać, na zasadzie dobrego sąsiedztwa, decyzję pozytywną.</w:t>
      </w:r>
    </w:p>
    <w:p w:rsidR="00F408D9" w:rsidRPr="00E00B35" w:rsidRDefault="00F408D9" w:rsidP="00E00B35">
      <w:pPr>
        <w:spacing w:after="0" w:line="312" w:lineRule="auto"/>
        <w:rPr>
          <w:szCs w:val="20"/>
        </w:rPr>
      </w:pPr>
      <w:r w:rsidRPr="00E00B35">
        <w:rPr>
          <w:szCs w:val="20"/>
        </w:rPr>
        <w:lastRenderedPageBreak/>
        <w:t xml:space="preserve">Nie jest możliwa polemika z osobami bez uprawnień (SKO) na temat przeznaczenia terenu. Układ funkcjonalny zespołów urbanistycznych stanowi jedną z podstaw planowania urbanistycznego i swobodne wprowadzanie nowych, niewystępujących na analizowanym obszarze, funkcji prowadzi do obniżenia warunków zamieszkiwania. Niestety ta kwestia nie została uregulowana rozporządzeniem dotyczącym sposobu ustalania wymagań. Ocena materiału dowodowego nie może jednak polegać na swobodnej jego interpretacji, ale musi być podparta szeroką wiedzą na temat sposobu użytkowania terenów o różnym przeznaczeniu. Techniczne ograniczenia </w:t>
      </w:r>
      <w:r w:rsidRPr="00E00B35">
        <w:rPr>
          <w:szCs w:val="20"/>
        </w:rPr>
        <w:br/>
        <w:t>i uciążliwości to element specjalistycznej wiedzy. W mojej ocenie zupełnie nieuzasadnione i wręcz niedopuszczalne jest przekształcanie przeznaczenia terenów, szczególnie produkcyjno-magazynowego, przy pomocy decyzji o warunkach zabudowy. Możliwe jest ono tylko w szczególnych przypadkach, na obrzeżach zdegradowanych terenów magazynowo-produkcyjnych, w przypadku ich przylegania do zabudowy mieszkaniowej. Podobnie jak w poprzednim zagadnieniu funkcję zabudowy można zmienić i dopasować do istniejącej, a w rezultacie uzyskać decyzję pozytywną.</w:t>
      </w:r>
    </w:p>
    <w:p w:rsidR="00F408D9" w:rsidRPr="00E00B35" w:rsidRDefault="00F408D9" w:rsidP="00E00B35">
      <w:pPr>
        <w:spacing w:after="0" w:line="312" w:lineRule="auto"/>
        <w:rPr>
          <w:szCs w:val="20"/>
        </w:rPr>
      </w:pPr>
      <w:r w:rsidRPr="00E00B35">
        <w:rPr>
          <w:szCs w:val="20"/>
        </w:rPr>
        <w:t xml:space="preserve">Po wieloletniej, bezskutecznej pracy nad dostosowaniem systemu Elektronicznego Zarządzania Dokumentami (EZD) do specyfiki Wydziału i zapewnieniem takiej jego funkcjonalności, która rozwiąże problemy związane z raportowaniem </w:t>
      </w:r>
      <w:r w:rsidRPr="00E00B35">
        <w:rPr>
          <w:szCs w:val="20"/>
        </w:rPr>
        <w:br/>
        <w:t xml:space="preserve">i sprawozdawczością oraz powiązaniem z Systemem Informacji Przestrzennej -  rozpoczęto w 2020 r. współpracę z Biurem Rozwoju Organizacji nad wdrożeniem </w:t>
      </w:r>
      <w:r w:rsidRPr="00E00B35">
        <w:rPr>
          <w:szCs w:val="20"/>
        </w:rPr>
        <w:br/>
        <w:t xml:space="preserve">w WAB nowego Systemu Wspierania Obsługi Spraw (SWOS) uwzględniającego specyfikę realizowanych zadań i jednocześnie pozwalającego na integrację </w:t>
      </w:r>
      <w:r w:rsidRPr="00E00B35">
        <w:rPr>
          <w:szCs w:val="20"/>
        </w:rPr>
        <w:br/>
        <w:t>z istniejącymi systemami w UMW.</w:t>
      </w:r>
    </w:p>
    <w:p w:rsidR="00F408D9" w:rsidRPr="00E00B35" w:rsidRDefault="00F408D9" w:rsidP="00E00B35">
      <w:pPr>
        <w:spacing w:after="0" w:line="312" w:lineRule="auto"/>
        <w:rPr>
          <w:szCs w:val="20"/>
          <w:highlight w:val="yellow"/>
        </w:rPr>
      </w:pPr>
    </w:p>
    <w:p w:rsidR="00F408D9" w:rsidRPr="00E00B35" w:rsidRDefault="00F408D9" w:rsidP="00E00B35">
      <w:pPr>
        <w:pStyle w:val="Nagwek3"/>
        <w:spacing w:after="0" w:line="312" w:lineRule="auto"/>
        <w:rPr>
          <w:sz w:val="20"/>
        </w:rPr>
      </w:pPr>
      <w:r w:rsidRPr="00E00B35">
        <w:rPr>
          <w:sz w:val="20"/>
        </w:rPr>
        <w:t>GEODEZJA I KARTOGRAFIA</w:t>
      </w:r>
    </w:p>
    <w:p w:rsidR="00F408D9" w:rsidRPr="00E00B35" w:rsidRDefault="00F408D9" w:rsidP="00E00B35">
      <w:pPr>
        <w:pStyle w:val="Nagwek4"/>
        <w:spacing w:before="0" w:after="0" w:line="312" w:lineRule="auto"/>
        <w:rPr>
          <w:sz w:val="20"/>
          <w:szCs w:val="20"/>
        </w:rPr>
      </w:pPr>
      <w:r w:rsidRPr="00E00B35">
        <w:rPr>
          <w:sz w:val="20"/>
          <w:szCs w:val="20"/>
        </w:rPr>
        <w:t>REALIZACJA ZADAŃ OBEJMUJĄCYCH PRACE ZWIĄZANE Z PROWADZENIEM PAŃSTWOWEGO ZASOBU GEODEZYJNEGO I KARTOGRAFICZNEGO</w:t>
      </w:r>
    </w:p>
    <w:p w:rsidR="00F408D9" w:rsidRPr="00E00B35" w:rsidRDefault="00F408D9" w:rsidP="00E00B35">
      <w:pPr>
        <w:spacing w:after="0" w:line="312" w:lineRule="auto"/>
        <w:rPr>
          <w:szCs w:val="20"/>
        </w:rPr>
      </w:pPr>
      <w:r w:rsidRPr="00E00B35">
        <w:rPr>
          <w:szCs w:val="20"/>
        </w:rPr>
        <w:t>Prowadzono bieżącą aktualizację baz danych państwowego zasobu geodezyjnego i kartograficznego w oparciu o:</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wyniki zgłoszonych prac geodezyjnych i kartograficznych przekazanych do zasobu oraz wyciągi z operatów szacunkowych;</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wnioski właścicieli i władających gruntami;</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prawomocne orzeczenia sądowe, ostateczne decyzje administracyjne, zawiadomienia z ksiąg wieczystych, odpisy aktów notarialnych, akty normatywne (w tym uchwały Rady Miejskiej Wrocławia).</w:t>
      </w:r>
    </w:p>
    <w:p w:rsidR="00F408D9" w:rsidRPr="00E00B35" w:rsidRDefault="00F408D9" w:rsidP="00E00B35">
      <w:pPr>
        <w:spacing w:after="0" w:line="312" w:lineRule="auto"/>
        <w:rPr>
          <w:szCs w:val="20"/>
        </w:rPr>
      </w:pPr>
      <w:r w:rsidRPr="00E00B35">
        <w:rPr>
          <w:szCs w:val="20"/>
        </w:rPr>
        <w:t>Prowadzono obsługę interesantów:</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przyjmowano zamówienia i wnioski na udostępnianie informacji i wydano dokumenty z państwowego zasobu geodezyjnego i kartograficznego, w tym do zgłoszeń prac geodezyjnych i kartograficznych;</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przygotowano i udostępniano materiały, informacje i dokumenty dla złożonych zamówień i wniosków, w tym dla zgłoszonych prac geodezyjnych i kartograficznych;</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udostępnianie informacji następowało poprzez: e-usługi, ePUAP, pocztę elektroniczną, pocztę oraz bezpośredni kontakt;</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lastRenderedPageBreak/>
        <w:t>w trybie art. 15 ustawy o informatyzacji podmiotów realizujących zadania publiczne realizowano 62 wnioski o udostępnienie danych zgromadzonych w rejestrze publicznym;</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pobierano opłaty za udostępnione materiały, dokumenty oraz udzielane informacje zgodnie z ustawą Prawo geodezyjne i kartograficzne;</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przygotowano różnorodne dokumentacje dla potrzeb wydziałów merytorycznych Urzędu Miejskiego oraz jednostek gminy związane z prowadzonymi przez te jednostki postępowaniami itp. dla potrzeb komunalizacji, regulacji stanów prawnych, decyzji o warunkach zabudowy, sprzedaży mienia komunalnego itp.;</w:t>
      </w:r>
    </w:p>
    <w:p w:rsidR="00F408D9" w:rsidRPr="00E00B35" w:rsidRDefault="00F408D9" w:rsidP="00BC64AB">
      <w:pPr>
        <w:numPr>
          <w:ilvl w:val="0"/>
          <w:numId w:val="274"/>
        </w:numPr>
        <w:tabs>
          <w:tab w:val="left" w:pos="426"/>
        </w:tabs>
        <w:spacing w:after="0" w:line="312" w:lineRule="auto"/>
        <w:ind w:left="426" w:hanging="426"/>
        <w:rPr>
          <w:szCs w:val="20"/>
        </w:rPr>
      </w:pPr>
      <w:r w:rsidRPr="00E00B35">
        <w:rPr>
          <w:szCs w:val="20"/>
        </w:rPr>
        <w:t>dopracowano i kontynuowano proces związany z wykonywaniem podziałów działek mienia komunalnego i Skarbu Państwa oraz rozgraniczeń, wznowień znaków granicznych i okazań granic działek dla nowych nabywców mienia komunalnego i Skarbu Państwa - realizacja tych prac umożliwiała opracowanie dokumentacji do sprzedaży nieruchomości komunalnych i Skarbu Państwa.</w:t>
      </w: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r w:rsidRPr="00E00B35">
        <w:rPr>
          <w:szCs w:val="20"/>
        </w:rPr>
        <w:t>Wykaz wybranych zrealizowanych zadań przez ZGKiKM</w:t>
      </w:r>
    </w:p>
    <w:p w:rsidR="00F408D9" w:rsidRPr="00E00B35" w:rsidRDefault="00F408D9" w:rsidP="00E00B35">
      <w:pPr>
        <w:spacing w:after="0" w:line="312" w:lineRule="auto"/>
        <w:rPr>
          <w:szCs w:val="20"/>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44"/>
        <w:gridCol w:w="1701"/>
        <w:gridCol w:w="1048"/>
        <w:gridCol w:w="992"/>
        <w:gridCol w:w="992"/>
        <w:gridCol w:w="1134"/>
        <w:gridCol w:w="1276"/>
      </w:tblGrid>
      <w:tr w:rsidR="00F408D9" w:rsidRPr="00E00B35" w:rsidTr="007903FB">
        <w:trPr>
          <w:cantSplit/>
          <w:trHeight w:val="690"/>
          <w:tblHeader/>
          <w:jc w:val="center"/>
        </w:trPr>
        <w:tc>
          <w:tcPr>
            <w:tcW w:w="1944" w:type="dxa"/>
            <w:vMerge w:val="restart"/>
            <w:tcBorders>
              <w:top w:val="single" w:sz="12"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Wyszczególnienie czynności</w:t>
            </w:r>
          </w:p>
        </w:tc>
        <w:tc>
          <w:tcPr>
            <w:tcW w:w="1701" w:type="dxa"/>
            <w:vMerge w:val="restart"/>
            <w:tcBorders>
              <w:top w:val="single" w:sz="12" w:space="0" w:color="auto"/>
              <w:left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jednostka</w:t>
            </w:r>
          </w:p>
        </w:tc>
        <w:tc>
          <w:tcPr>
            <w:tcW w:w="5442" w:type="dxa"/>
            <w:gridSpan w:val="5"/>
            <w:tcBorders>
              <w:top w:val="single" w:sz="12"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Ilość</w:t>
            </w:r>
          </w:p>
        </w:tc>
      </w:tr>
      <w:tr w:rsidR="00F408D9" w:rsidRPr="00E00B35" w:rsidTr="007903FB">
        <w:trPr>
          <w:trHeight w:val="370"/>
          <w:tblHeader/>
          <w:jc w:val="center"/>
        </w:trPr>
        <w:tc>
          <w:tcPr>
            <w:tcW w:w="1944" w:type="dxa"/>
            <w:vMerge/>
            <w:tcBorders>
              <w:top w:val="single" w:sz="4"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p>
        </w:tc>
        <w:tc>
          <w:tcPr>
            <w:tcW w:w="1701" w:type="dxa"/>
            <w:vMerge/>
            <w:tcBorders>
              <w:left w:val="single" w:sz="4" w:space="0" w:color="auto"/>
              <w:bottom w:val="single" w:sz="12" w:space="0" w:color="auto"/>
              <w:right w:val="single" w:sz="4" w:space="0" w:color="auto"/>
            </w:tcBorders>
          </w:tcPr>
          <w:p w:rsidR="00F408D9" w:rsidRPr="00E00B35" w:rsidRDefault="00F408D9" w:rsidP="00E00B35">
            <w:pPr>
              <w:spacing w:after="0" w:line="312" w:lineRule="auto"/>
              <w:rPr>
                <w:szCs w:val="20"/>
              </w:rPr>
            </w:pPr>
          </w:p>
        </w:tc>
        <w:tc>
          <w:tcPr>
            <w:tcW w:w="1048" w:type="dxa"/>
            <w:tcBorders>
              <w:top w:val="single" w:sz="4"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2016</w:t>
            </w:r>
          </w:p>
        </w:tc>
        <w:tc>
          <w:tcPr>
            <w:tcW w:w="992" w:type="dxa"/>
            <w:tcBorders>
              <w:top w:val="single" w:sz="4"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2017</w:t>
            </w:r>
          </w:p>
        </w:tc>
        <w:tc>
          <w:tcPr>
            <w:tcW w:w="992" w:type="dxa"/>
            <w:tcBorders>
              <w:top w:val="single" w:sz="4"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2018</w:t>
            </w:r>
          </w:p>
        </w:tc>
        <w:tc>
          <w:tcPr>
            <w:tcW w:w="1134" w:type="dxa"/>
            <w:tcBorders>
              <w:top w:val="single" w:sz="4" w:space="0" w:color="auto"/>
              <w:left w:val="single" w:sz="4" w:space="0" w:color="auto"/>
              <w:bottom w:val="single" w:sz="12"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2019</w:t>
            </w:r>
          </w:p>
        </w:tc>
        <w:tc>
          <w:tcPr>
            <w:tcW w:w="1276" w:type="dxa"/>
            <w:tcBorders>
              <w:top w:val="single" w:sz="4" w:space="0" w:color="auto"/>
              <w:left w:val="single" w:sz="4" w:space="0" w:color="auto"/>
              <w:bottom w:val="single" w:sz="12"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2020</w:t>
            </w:r>
          </w:p>
        </w:tc>
      </w:tr>
      <w:tr w:rsidR="00F408D9" w:rsidRPr="00E00B35" w:rsidTr="001F7163">
        <w:trPr>
          <w:jc w:val="center"/>
        </w:trPr>
        <w:tc>
          <w:tcPr>
            <w:tcW w:w="1944" w:type="dxa"/>
            <w:tcBorders>
              <w:top w:val="single" w:sz="12" w:space="0" w:color="auto"/>
              <w:left w:val="single" w:sz="4" w:space="0" w:color="auto"/>
              <w:bottom w:val="single" w:sz="12" w:space="0" w:color="auto"/>
              <w:right w:val="single" w:sz="4" w:space="0" w:color="auto"/>
            </w:tcBorders>
          </w:tcPr>
          <w:p w:rsidR="00F408D9" w:rsidRPr="00E00B35" w:rsidRDefault="00F408D9" w:rsidP="00E00B35">
            <w:pPr>
              <w:spacing w:after="0" w:line="312" w:lineRule="auto"/>
              <w:rPr>
                <w:szCs w:val="20"/>
              </w:rPr>
            </w:pPr>
            <w:r w:rsidRPr="00E00B35">
              <w:rPr>
                <w:szCs w:val="20"/>
              </w:rPr>
              <w:t>2</w:t>
            </w:r>
          </w:p>
        </w:tc>
        <w:tc>
          <w:tcPr>
            <w:tcW w:w="1701" w:type="dxa"/>
            <w:tcBorders>
              <w:top w:val="single" w:sz="12" w:space="0" w:color="auto"/>
              <w:left w:val="single" w:sz="4" w:space="0" w:color="auto"/>
              <w:bottom w:val="single" w:sz="12" w:space="0" w:color="auto"/>
              <w:right w:val="single" w:sz="4" w:space="0" w:color="auto"/>
            </w:tcBorders>
          </w:tcPr>
          <w:p w:rsidR="00F408D9" w:rsidRPr="00E00B35" w:rsidRDefault="00F408D9" w:rsidP="00E00B35">
            <w:pPr>
              <w:spacing w:after="0" w:line="312" w:lineRule="auto"/>
              <w:rPr>
                <w:szCs w:val="20"/>
              </w:rPr>
            </w:pPr>
            <w:r w:rsidRPr="00E00B35">
              <w:rPr>
                <w:szCs w:val="20"/>
              </w:rPr>
              <w:t>3</w:t>
            </w:r>
          </w:p>
        </w:tc>
        <w:tc>
          <w:tcPr>
            <w:tcW w:w="1048" w:type="dxa"/>
            <w:tcBorders>
              <w:top w:val="single" w:sz="12"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4</w:t>
            </w:r>
          </w:p>
        </w:tc>
        <w:tc>
          <w:tcPr>
            <w:tcW w:w="992" w:type="dxa"/>
            <w:tcBorders>
              <w:top w:val="single" w:sz="12"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5</w:t>
            </w:r>
          </w:p>
        </w:tc>
        <w:tc>
          <w:tcPr>
            <w:tcW w:w="992" w:type="dxa"/>
            <w:tcBorders>
              <w:top w:val="single" w:sz="12"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6</w:t>
            </w:r>
          </w:p>
        </w:tc>
        <w:tc>
          <w:tcPr>
            <w:tcW w:w="1134" w:type="dxa"/>
            <w:tcBorders>
              <w:top w:val="single" w:sz="12" w:space="0" w:color="auto"/>
              <w:left w:val="single" w:sz="4" w:space="0" w:color="auto"/>
              <w:bottom w:val="single" w:sz="12"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7</w:t>
            </w:r>
          </w:p>
        </w:tc>
        <w:tc>
          <w:tcPr>
            <w:tcW w:w="1276" w:type="dxa"/>
            <w:tcBorders>
              <w:top w:val="single" w:sz="12" w:space="0" w:color="auto"/>
              <w:left w:val="single" w:sz="4" w:space="0" w:color="auto"/>
              <w:bottom w:val="single" w:sz="12"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8</w:t>
            </w:r>
          </w:p>
        </w:tc>
      </w:tr>
      <w:tr w:rsidR="00F408D9" w:rsidRPr="00E00B35" w:rsidTr="001F7163">
        <w:trPr>
          <w:jc w:val="center"/>
        </w:trPr>
        <w:tc>
          <w:tcPr>
            <w:tcW w:w="1944" w:type="dxa"/>
            <w:tcBorders>
              <w:top w:val="single" w:sz="12" w:space="0" w:color="auto"/>
              <w:left w:val="single" w:sz="4" w:space="0" w:color="auto"/>
              <w:bottom w:val="single" w:sz="4" w:space="0" w:color="auto"/>
              <w:right w:val="single" w:sz="4" w:space="0" w:color="auto"/>
            </w:tcBorders>
          </w:tcPr>
          <w:p w:rsidR="00F408D9" w:rsidRPr="00E00B35" w:rsidRDefault="00F408D9" w:rsidP="00E00B35">
            <w:pPr>
              <w:spacing w:after="0" w:line="312" w:lineRule="auto"/>
              <w:rPr>
                <w:szCs w:val="20"/>
              </w:rPr>
            </w:pPr>
            <w:r w:rsidRPr="00E00B35">
              <w:rPr>
                <w:szCs w:val="20"/>
              </w:rPr>
              <w:t>Wprowadzanie zmian do operatu ewidencyjnego</w:t>
            </w:r>
          </w:p>
        </w:tc>
        <w:tc>
          <w:tcPr>
            <w:tcW w:w="1701" w:type="dxa"/>
            <w:tcBorders>
              <w:top w:val="single" w:sz="12"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zmiana</w:t>
            </w:r>
          </w:p>
        </w:tc>
        <w:tc>
          <w:tcPr>
            <w:tcW w:w="1048" w:type="dxa"/>
            <w:tcBorders>
              <w:top w:val="single" w:sz="12"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105203</w:t>
            </w:r>
          </w:p>
        </w:tc>
        <w:tc>
          <w:tcPr>
            <w:tcW w:w="992" w:type="dxa"/>
            <w:tcBorders>
              <w:top w:val="single" w:sz="12"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115777</w:t>
            </w:r>
          </w:p>
        </w:tc>
        <w:tc>
          <w:tcPr>
            <w:tcW w:w="992" w:type="dxa"/>
            <w:tcBorders>
              <w:top w:val="single" w:sz="12"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127805</w:t>
            </w:r>
          </w:p>
        </w:tc>
        <w:tc>
          <w:tcPr>
            <w:tcW w:w="1134" w:type="dxa"/>
            <w:tcBorders>
              <w:top w:val="single" w:sz="12"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122764</w:t>
            </w:r>
          </w:p>
        </w:tc>
        <w:tc>
          <w:tcPr>
            <w:tcW w:w="1276" w:type="dxa"/>
            <w:tcBorders>
              <w:top w:val="single" w:sz="12"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113 913</w:t>
            </w:r>
          </w:p>
        </w:tc>
      </w:tr>
      <w:tr w:rsidR="00F408D9" w:rsidRPr="00E00B35" w:rsidTr="001F7163">
        <w:trPr>
          <w:jc w:val="center"/>
        </w:trPr>
        <w:tc>
          <w:tcPr>
            <w:tcW w:w="1944" w:type="dxa"/>
            <w:tcBorders>
              <w:top w:val="nil"/>
              <w:left w:val="single" w:sz="4" w:space="0" w:color="auto"/>
              <w:bottom w:val="single" w:sz="4" w:space="0" w:color="auto"/>
              <w:right w:val="single" w:sz="4" w:space="0" w:color="auto"/>
            </w:tcBorders>
          </w:tcPr>
          <w:p w:rsidR="00F408D9" w:rsidRPr="00E00B35" w:rsidRDefault="00F408D9" w:rsidP="00E00B35">
            <w:pPr>
              <w:spacing w:after="0" w:line="312" w:lineRule="auto"/>
              <w:rPr>
                <w:szCs w:val="20"/>
              </w:rPr>
            </w:pPr>
            <w:r w:rsidRPr="00E00B35">
              <w:rPr>
                <w:szCs w:val="20"/>
              </w:rPr>
              <w:t>Przygotowywanie i wysyłka zawiadomień o wprowadzonych zmianach w ewidencji gruntów</w:t>
            </w:r>
          </w:p>
        </w:tc>
        <w:tc>
          <w:tcPr>
            <w:tcW w:w="1701" w:type="dxa"/>
            <w:tcBorders>
              <w:top w:val="nil"/>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zawiadomienie</w:t>
            </w:r>
          </w:p>
        </w:tc>
        <w:tc>
          <w:tcPr>
            <w:tcW w:w="1048" w:type="dxa"/>
            <w:tcBorders>
              <w:top w:val="nil"/>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34251</w:t>
            </w:r>
          </w:p>
        </w:tc>
        <w:tc>
          <w:tcPr>
            <w:tcW w:w="992" w:type="dxa"/>
            <w:tcBorders>
              <w:top w:val="nil"/>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28288</w:t>
            </w:r>
          </w:p>
        </w:tc>
        <w:tc>
          <w:tcPr>
            <w:tcW w:w="992" w:type="dxa"/>
            <w:tcBorders>
              <w:top w:val="nil"/>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37068</w:t>
            </w:r>
          </w:p>
        </w:tc>
        <w:tc>
          <w:tcPr>
            <w:tcW w:w="1134" w:type="dxa"/>
            <w:tcBorders>
              <w:top w:val="nil"/>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23537</w:t>
            </w:r>
          </w:p>
        </w:tc>
        <w:tc>
          <w:tcPr>
            <w:tcW w:w="1276" w:type="dxa"/>
            <w:tcBorders>
              <w:top w:val="nil"/>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48 305</w:t>
            </w:r>
          </w:p>
        </w:tc>
      </w:tr>
      <w:tr w:rsidR="00F408D9" w:rsidRPr="00E00B35" w:rsidTr="001F7163">
        <w:trPr>
          <w:jc w:val="center"/>
        </w:trPr>
        <w:tc>
          <w:tcPr>
            <w:tcW w:w="1944" w:type="dxa"/>
            <w:tcBorders>
              <w:top w:val="single" w:sz="4" w:space="0" w:color="auto"/>
              <w:left w:val="single" w:sz="4" w:space="0" w:color="auto"/>
              <w:bottom w:val="single" w:sz="4" w:space="0" w:color="auto"/>
              <w:right w:val="single" w:sz="4" w:space="0" w:color="auto"/>
            </w:tcBorders>
          </w:tcPr>
          <w:p w:rsidR="00F408D9" w:rsidRPr="00E00B35" w:rsidRDefault="00F408D9" w:rsidP="00E00B35">
            <w:pPr>
              <w:spacing w:after="0" w:line="312" w:lineRule="auto"/>
              <w:rPr>
                <w:szCs w:val="20"/>
              </w:rPr>
            </w:pPr>
            <w:r w:rsidRPr="00E00B35">
              <w:rPr>
                <w:szCs w:val="20"/>
              </w:rPr>
              <w:t>Przyjmowanie zamówień i przygotowywanie materiałów do prac geodezyjnych</w:t>
            </w:r>
          </w:p>
        </w:tc>
        <w:tc>
          <w:tcPr>
            <w:tcW w:w="1701"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zamówienie</w:t>
            </w:r>
          </w:p>
        </w:tc>
        <w:tc>
          <w:tcPr>
            <w:tcW w:w="1048"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9560</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10169</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10748</w:t>
            </w:r>
          </w:p>
        </w:tc>
        <w:tc>
          <w:tcPr>
            <w:tcW w:w="1134"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9946</w:t>
            </w:r>
          </w:p>
        </w:tc>
        <w:tc>
          <w:tcPr>
            <w:tcW w:w="1276"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7 858</w:t>
            </w:r>
          </w:p>
        </w:tc>
      </w:tr>
      <w:tr w:rsidR="00F408D9" w:rsidRPr="00E00B35" w:rsidTr="001F7163">
        <w:trPr>
          <w:jc w:val="center"/>
        </w:trPr>
        <w:tc>
          <w:tcPr>
            <w:tcW w:w="1944" w:type="dxa"/>
            <w:tcBorders>
              <w:top w:val="single" w:sz="4" w:space="0" w:color="auto"/>
              <w:left w:val="single" w:sz="4" w:space="0" w:color="auto"/>
              <w:bottom w:val="single" w:sz="4" w:space="0" w:color="auto"/>
              <w:right w:val="single" w:sz="4" w:space="0" w:color="auto"/>
            </w:tcBorders>
          </w:tcPr>
          <w:p w:rsidR="00F408D9" w:rsidRPr="00E00B35" w:rsidRDefault="00F408D9" w:rsidP="00E00B35">
            <w:pPr>
              <w:spacing w:after="0" w:line="312" w:lineRule="auto"/>
              <w:rPr>
                <w:szCs w:val="20"/>
              </w:rPr>
            </w:pPr>
            <w:r w:rsidRPr="00E00B35">
              <w:rPr>
                <w:szCs w:val="20"/>
              </w:rPr>
              <w:t>Kontrola/weryfikacja operatów przyjmowanych do zasobu</w:t>
            </w:r>
          </w:p>
        </w:tc>
        <w:tc>
          <w:tcPr>
            <w:tcW w:w="1701"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przyjmowany operat geodezyjny</w:t>
            </w:r>
          </w:p>
        </w:tc>
        <w:tc>
          <w:tcPr>
            <w:tcW w:w="1048"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7506</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7294</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6926</w:t>
            </w:r>
          </w:p>
        </w:tc>
        <w:tc>
          <w:tcPr>
            <w:tcW w:w="1134"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6 397</w:t>
            </w:r>
          </w:p>
        </w:tc>
        <w:tc>
          <w:tcPr>
            <w:tcW w:w="1276"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5 718</w:t>
            </w:r>
          </w:p>
        </w:tc>
      </w:tr>
      <w:tr w:rsidR="00F408D9" w:rsidRPr="00E00B35" w:rsidTr="001F7163">
        <w:trPr>
          <w:jc w:val="center"/>
        </w:trPr>
        <w:tc>
          <w:tcPr>
            <w:tcW w:w="1944" w:type="dxa"/>
            <w:tcBorders>
              <w:top w:val="single" w:sz="4" w:space="0" w:color="auto"/>
              <w:left w:val="single" w:sz="4" w:space="0" w:color="auto"/>
              <w:bottom w:val="single" w:sz="4" w:space="0" w:color="auto"/>
              <w:right w:val="single" w:sz="4" w:space="0" w:color="auto"/>
            </w:tcBorders>
          </w:tcPr>
          <w:p w:rsidR="00F408D9" w:rsidRPr="00E00B35" w:rsidRDefault="00F408D9" w:rsidP="00E00B35">
            <w:pPr>
              <w:spacing w:after="0" w:line="312" w:lineRule="auto"/>
              <w:rPr>
                <w:szCs w:val="20"/>
              </w:rPr>
            </w:pPr>
            <w:r w:rsidRPr="00E00B35">
              <w:rPr>
                <w:szCs w:val="20"/>
              </w:rPr>
              <w:t xml:space="preserve">Przygotowanie </w:t>
            </w:r>
            <w:r w:rsidRPr="00E00B35">
              <w:rPr>
                <w:szCs w:val="20"/>
              </w:rPr>
              <w:lastRenderedPageBreak/>
              <w:t>dokumentacji dla potrzeb Urzędu Miejskiego oraz jednostek organizacyjnych Gminy /ilość spraw/</w:t>
            </w:r>
          </w:p>
        </w:tc>
        <w:tc>
          <w:tcPr>
            <w:tcW w:w="1701"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lastRenderedPageBreak/>
              <w:t>zamówienie</w:t>
            </w:r>
          </w:p>
        </w:tc>
        <w:tc>
          <w:tcPr>
            <w:tcW w:w="1048"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1861</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2645</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1801</w:t>
            </w:r>
          </w:p>
        </w:tc>
        <w:tc>
          <w:tcPr>
            <w:tcW w:w="1134"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1319</w:t>
            </w:r>
          </w:p>
        </w:tc>
        <w:tc>
          <w:tcPr>
            <w:tcW w:w="1276"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929</w:t>
            </w:r>
          </w:p>
        </w:tc>
      </w:tr>
      <w:tr w:rsidR="00F408D9" w:rsidRPr="00E00B35" w:rsidTr="001F7163">
        <w:trPr>
          <w:jc w:val="center"/>
        </w:trPr>
        <w:tc>
          <w:tcPr>
            <w:tcW w:w="1944" w:type="dxa"/>
            <w:tcBorders>
              <w:top w:val="single" w:sz="4" w:space="0" w:color="auto"/>
              <w:left w:val="single" w:sz="4" w:space="0" w:color="auto"/>
              <w:bottom w:val="single" w:sz="4" w:space="0" w:color="auto"/>
              <w:right w:val="single" w:sz="4" w:space="0" w:color="auto"/>
            </w:tcBorders>
          </w:tcPr>
          <w:p w:rsidR="00F408D9" w:rsidRPr="00E00B35" w:rsidRDefault="00F408D9" w:rsidP="00E00B35">
            <w:pPr>
              <w:spacing w:after="0" w:line="312" w:lineRule="auto"/>
              <w:rPr>
                <w:szCs w:val="20"/>
              </w:rPr>
            </w:pPr>
            <w:r w:rsidRPr="00E00B35">
              <w:rPr>
                <w:szCs w:val="20"/>
              </w:rPr>
              <w:lastRenderedPageBreak/>
              <w:t>Liczba przyjętych do uzgadniania projektów/na naradę koordynacyjną</w:t>
            </w:r>
          </w:p>
        </w:tc>
        <w:tc>
          <w:tcPr>
            <w:tcW w:w="1701"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przyjęty projekt</w:t>
            </w:r>
          </w:p>
        </w:tc>
        <w:tc>
          <w:tcPr>
            <w:tcW w:w="1048"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1995</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2088</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2020</w:t>
            </w:r>
          </w:p>
        </w:tc>
        <w:tc>
          <w:tcPr>
            <w:tcW w:w="1134"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1866</w:t>
            </w:r>
          </w:p>
        </w:tc>
        <w:tc>
          <w:tcPr>
            <w:tcW w:w="1276"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2 158</w:t>
            </w:r>
          </w:p>
        </w:tc>
      </w:tr>
      <w:tr w:rsidR="00F408D9" w:rsidRPr="00E00B35" w:rsidTr="001F7163">
        <w:trPr>
          <w:jc w:val="center"/>
        </w:trPr>
        <w:tc>
          <w:tcPr>
            <w:tcW w:w="1944" w:type="dxa"/>
            <w:tcBorders>
              <w:top w:val="single" w:sz="4" w:space="0" w:color="auto"/>
              <w:left w:val="single" w:sz="4" w:space="0" w:color="auto"/>
              <w:bottom w:val="single" w:sz="4" w:space="0" w:color="auto"/>
              <w:right w:val="single" w:sz="4" w:space="0" w:color="auto"/>
            </w:tcBorders>
          </w:tcPr>
          <w:p w:rsidR="00F408D9" w:rsidRPr="00E00B35" w:rsidRDefault="00F408D9" w:rsidP="00E00B35">
            <w:pPr>
              <w:spacing w:after="0" w:line="312" w:lineRule="auto"/>
              <w:rPr>
                <w:szCs w:val="20"/>
              </w:rPr>
            </w:pPr>
            <w:r w:rsidRPr="00E00B35">
              <w:rPr>
                <w:szCs w:val="20"/>
              </w:rPr>
              <w:t>Liczba uzgodnionych projektów</w:t>
            </w:r>
          </w:p>
          <w:p w:rsidR="00F408D9" w:rsidRPr="00E00B35" w:rsidRDefault="00F408D9" w:rsidP="00E00B35">
            <w:pPr>
              <w:spacing w:after="0" w:line="312" w:lineRule="auto"/>
              <w:rPr>
                <w:szCs w:val="20"/>
              </w:rPr>
            </w:pPr>
            <w:r w:rsidRPr="00E00B35">
              <w:rPr>
                <w:szCs w:val="20"/>
              </w:rPr>
              <w:t>/przeprowadzonych narad koordynacyjnych</w:t>
            </w:r>
          </w:p>
        </w:tc>
        <w:tc>
          <w:tcPr>
            <w:tcW w:w="1701"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wydana opinia o uzgodnieniu = wydany protokół z narady</w:t>
            </w:r>
          </w:p>
        </w:tc>
        <w:tc>
          <w:tcPr>
            <w:tcW w:w="1048"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1927</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1788</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1958</w:t>
            </w:r>
          </w:p>
        </w:tc>
        <w:tc>
          <w:tcPr>
            <w:tcW w:w="1134"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1742</w:t>
            </w:r>
          </w:p>
        </w:tc>
        <w:tc>
          <w:tcPr>
            <w:tcW w:w="1276"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1 857</w:t>
            </w:r>
          </w:p>
          <w:p w:rsidR="00F408D9" w:rsidRPr="00E00B35" w:rsidRDefault="00F408D9" w:rsidP="00E00B35">
            <w:pPr>
              <w:spacing w:after="0" w:line="312" w:lineRule="auto"/>
              <w:rPr>
                <w:szCs w:val="20"/>
              </w:rPr>
            </w:pPr>
            <w:r w:rsidRPr="00E00B35">
              <w:rPr>
                <w:szCs w:val="20"/>
              </w:rPr>
              <w:t>+1324</w:t>
            </w:r>
          </w:p>
          <w:p w:rsidR="00F408D9" w:rsidRPr="00E00B35" w:rsidRDefault="00F408D9" w:rsidP="00E00B35">
            <w:pPr>
              <w:spacing w:after="0" w:line="312" w:lineRule="auto"/>
              <w:rPr>
                <w:szCs w:val="20"/>
              </w:rPr>
            </w:pPr>
            <w:r w:rsidRPr="00E00B35">
              <w:rPr>
                <w:szCs w:val="20"/>
              </w:rPr>
              <w:t>wezwanie w trybie art. 64§2 KPA</w:t>
            </w:r>
          </w:p>
        </w:tc>
      </w:tr>
      <w:tr w:rsidR="00F408D9" w:rsidRPr="00E00B35" w:rsidTr="001F7163">
        <w:trPr>
          <w:jc w:val="center"/>
        </w:trPr>
        <w:tc>
          <w:tcPr>
            <w:tcW w:w="1944" w:type="dxa"/>
            <w:tcBorders>
              <w:top w:val="single" w:sz="4" w:space="0" w:color="auto"/>
              <w:left w:val="single" w:sz="4" w:space="0" w:color="auto"/>
              <w:bottom w:val="single" w:sz="4" w:space="0" w:color="auto"/>
              <w:right w:val="single" w:sz="4" w:space="0" w:color="auto"/>
            </w:tcBorders>
          </w:tcPr>
          <w:p w:rsidR="00F408D9" w:rsidRPr="00E00B35" w:rsidRDefault="00F408D9" w:rsidP="00E00B35">
            <w:pPr>
              <w:spacing w:after="0" w:line="312" w:lineRule="auto"/>
              <w:rPr>
                <w:szCs w:val="20"/>
              </w:rPr>
            </w:pPr>
            <w:r w:rsidRPr="00E00B35">
              <w:rPr>
                <w:szCs w:val="20"/>
              </w:rPr>
              <w:t>Podziały działek</w:t>
            </w:r>
          </w:p>
        </w:tc>
        <w:tc>
          <w:tcPr>
            <w:tcW w:w="1701" w:type="dxa"/>
            <w:tcBorders>
              <w:top w:val="single" w:sz="4" w:space="0" w:color="auto"/>
              <w:left w:val="single" w:sz="4" w:space="0" w:color="auto"/>
              <w:bottom w:val="single" w:sz="4" w:space="0" w:color="auto"/>
              <w:right w:val="single" w:sz="4" w:space="0" w:color="auto"/>
            </w:tcBorders>
          </w:tcPr>
          <w:p w:rsidR="00F408D9" w:rsidRPr="00E00B35" w:rsidRDefault="00F408D9" w:rsidP="00E00B35">
            <w:pPr>
              <w:spacing w:after="0" w:line="312" w:lineRule="auto"/>
              <w:rPr>
                <w:szCs w:val="20"/>
              </w:rPr>
            </w:pPr>
            <w:r w:rsidRPr="00E00B35">
              <w:rPr>
                <w:szCs w:val="20"/>
              </w:rPr>
              <w:t>ilość zleceń</w:t>
            </w:r>
          </w:p>
        </w:tc>
        <w:tc>
          <w:tcPr>
            <w:tcW w:w="1048"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135</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96</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71</w:t>
            </w:r>
          </w:p>
        </w:tc>
        <w:tc>
          <w:tcPr>
            <w:tcW w:w="1134"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78</w:t>
            </w:r>
          </w:p>
        </w:tc>
        <w:tc>
          <w:tcPr>
            <w:tcW w:w="1276"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91</w:t>
            </w:r>
          </w:p>
        </w:tc>
      </w:tr>
      <w:tr w:rsidR="00F408D9" w:rsidRPr="00E00B35" w:rsidTr="001F7163">
        <w:trPr>
          <w:trHeight w:val="703"/>
          <w:jc w:val="center"/>
        </w:trPr>
        <w:tc>
          <w:tcPr>
            <w:tcW w:w="1944" w:type="dxa"/>
            <w:tcBorders>
              <w:top w:val="single" w:sz="4" w:space="0" w:color="auto"/>
              <w:left w:val="single" w:sz="4" w:space="0" w:color="auto"/>
              <w:bottom w:val="single" w:sz="4" w:space="0" w:color="auto"/>
              <w:right w:val="single" w:sz="4" w:space="0" w:color="auto"/>
            </w:tcBorders>
          </w:tcPr>
          <w:p w:rsidR="00F408D9" w:rsidRPr="00E00B35" w:rsidRDefault="00F408D9" w:rsidP="00E00B35">
            <w:pPr>
              <w:spacing w:after="0" w:line="312" w:lineRule="auto"/>
              <w:rPr>
                <w:szCs w:val="20"/>
              </w:rPr>
            </w:pPr>
            <w:r w:rsidRPr="00E00B35">
              <w:rPr>
                <w:szCs w:val="20"/>
              </w:rPr>
              <w:t>Wznowienia granic, okazania granic działek</w:t>
            </w:r>
          </w:p>
        </w:tc>
        <w:tc>
          <w:tcPr>
            <w:tcW w:w="1701" w:type="dxa"/>
            <w:tcBorders>
              <w:top w:val="single" w:sz="4" w:space="0" w:color="auto"/>
              <w:left w:val="single" w:sz="4" w:space="0" w:color="auto"/>
              <w:bottom w:val="single" w:sz="4" w:space="0" w:color="auto"/>
              <w:right w:val="single" w:sz="4" w:space="0" w:color="auto"/>
            </w:tcBorders>
          </w:tcPr>
          <w:p w:rsidR="00F408D9" w:rsidRPr="00E00B35" w:rsidRDefault="00F408D9" w:rsidP="00E00B35">
            <w:pPr>
              <w:spacing w:after="0" w:line="312" w:lineRule="auto"/>
              <w:rPr>
                <w:szCs w:val="20"/>
              </w:rPr>
            </w:pPr>
            <w:r w:rsidRPr="00E00B35">
              <w:rPr>
                <w:szCs w:val="20"/>
              </w:rPr>
              <w:t>ilość zleceń</w:t>
            </w:r>
          </w:p>
        </w:tc>
        <w:tc>
          <w:tcPr>
            <w:tcW w:w="1048"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251</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153</w:t>
            </w:r>
          </w:p>
        </w:tc>
        <w:tc>
          <w:tcPr>
            <w:tcW w:w="992" w:type="dxa"/>
            <w:tcBorders>
              <w:top w:val="single" w:sz="4" w:space="0" w:color="auto"/>
              <w:left w:val="single" w:sz="4" w:space="0" w:color="auto"/>
              <w:bottom w:val="single" w:sz="4"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129</w:t>
            </w:r>
          </w:p>
        </w:tc>
        <w:tc>
          <w:tcPr>
            <w:tcW w:w="1134"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120</w:t>
            </w:r>
          </w:p>
        </w:tc>
        <w:tc>
          <w:tcPr>
            <w:tcW w:w="1276" w:type="dxa"/>
            <w:tcBorders>
              <w:top w:val="single" w:sz="4" w:space="0" w:color="auto"/>
              <w:left w:val="single" w:sz="4" w:space="0" w:color="auto"/>
              <w:bottom w:val="single" w:sz="4"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146</w:t>
            </w:r>
          </w:p>
        </w:tc>
      </w:tr>
      <w:tr w:rsidR="00F408D9" w:rsidRPr="00E00B35" w:rsidTr="001F7163">
        <w:trPr>
          <w:jc w:val="center"/>
        </w:trPr>
        <w:tc>
          <w:tcPr>
            <w:tcW w:w="1944" w:type="dxa"/>
            <w:tcBorders>
              <w:top w:val="single" w:sz="4"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r w:rsidRPr="00E00B35">
              <w:rPr>
                <w:szCs w:val="20"/>
              </w:rPr>
              <w:t>Decyzje administracyjne</w:t>
            </w:r>
          </w:p>
          <w:p w:rsidR="00F408D9" w:rsidRPr="00E00B35" w:rsidRDefault="00F408D9" w:rsidP="00E00B35">
            <w:pPr>
              <w:spacing w:after="0" w:line="312" w:lineRule="auto"/>
              <w:rPr>
                <w:szCs w:val="20"/>
              </w:rPr>
            </w:pPr>
          </w:p>
        </w:tc>
        <w:tc>
          <w:tcPr>
            <w:tcW w:w="1701" w:type="dxa"/>
            <w:tcBorders>
              <w:top w:val="single" w:sz="4"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ilość</w:t>
            </w:r>
          </w:p>
        </w:tc>
        <w:tc>
          <w:tcPr>
            <w:tcW w:w="1048" w:type="dxa"/>
            <w:tcBorders>
              <w:top w:val="single" w:sz="4"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524</w:t>
            </w:r>
          </w:p>
        </w:tc>
        <w:tc>
          <w:tcPr>
            <w:tcW w:w="992" w:type="dxa"/>
            <w:tcBorders>
              <w:top w:val="single" w:sz="4"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470</w:t>
            </w:r>
          </w:p>
        </w:tc>
        <w:tc>
          <w:tcPr>
            <w:tcW w:w="992" w:type="dxa"/>
            <w:tcBorders>
              <w:top w:val="single" w:sz="4" w:space="0" w:color="auto"/>
              <w:left w:val="single" w:sz="4" w:space="0" w:color="auto"/>
              <w:bottom w:val="single" w:sz="12" w:space="0" w:color="auto"/>
              <w:right w:val="single" w:sz="4" w:space="0" w:color="auto"/>
            </w:tcBorders>
            <w:vAlign w:val="center"/>
          </w:tcPr>
          <w:p w:rsidR="00F408D9" w:rsidRPr="00E00B35" w:rsidRDefault="00F408D9" w:rsidP="00E00B35">
            <w:pPr>
              <w:spacing w:after="0" w:line="312" w:lineRule="auto"/>
              <w:rPr>
                <w:szCs w:val="20"/>
              </w:rPr>
            </w:pPr>
            <w:r w:rsidRPr="00E00B35">
              <w:rPr>
                <w:szCs w:val="20"/>
              </w:rPr>
              <w:t>432</w:t>
            </w:r>
          </w:p>
        </w:tc>
        <w:tc>
          <w:tcPr>
            <w:tcW w:w="1134" w:type="dxa"/>
            <w:tcBorders>
              <w:top w:val="single" w:sz="4" w:space="0" w:color="auto"/>
              <w:left w:val="single" w:sz="4" w:space="0" w:color="auto"/>
              <w:bottom w:val="single" w:sz="12"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411</w:t>
            </w:r>
          </w:p>
        </w:tc>
        <w:tc>
          <w:tcPr>
            <w:tcW w:w="1276" w:type="dxa"/>
            <w:tcBorders>
              <w:top w:val="single" w:sz="4" w:space="0" w:color="auto"/>
              <w:left w:val="single" w:sz="4" w:space="0" w:color="auto"/>
              <w:bottom w:val="single" w:sz="12"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393</w:t>
            </w:r>
          </w:p>
        </w:tc>
      </w:tr>
    </w:tbl>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r w:rsidRPr="00E00B35">
        <w:rPr>
          <w:szCs w:val="20"/>
        </w:rPr>
        <w:t>Decyzje administracyjne wydane przez ZGKiKM</w:t>
      </w:r>
    </w:p>
    <w:p w:rsidR="00F408D9" w:rsidRPr="00E00B35" w:rsidRDefault="00F408D9" w:rsidP="00E00B35">
      <w:pPr>
        <w:spacing w:after="0" w:line="312" w:lineRule="auto"/>
        <w:rPr>
          <w:szCs w:val="2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851"/>
        <w:gridCol w:w="992"/>
        <w:gridCol w:w="709"/>
        <w:gridCol w:w="567"/>
        <w:gridCol w:w="709"/>
        <w:gridCol w:w="708"/>
        <w:gridCol w:w="567"/>
        <w:gridCol w:w="567"/>
        <w:gridCol w:w="709"/>
        <w:gridCol w:w="709"/>
        <w:gridCol w:w="709"/>
        <w:gridCol w:w="708"/>
        <w:gridCol w:w="567"/>
        <w:gridCol w:w="709"/>
      </w:tblGrid>
      <w:tr w:rsidR="00F408D9" w:rsidRPr="00E00B35" w:rsidTr="007903FB">
        <w:trPr>
          <w:cantSplit/>
          <w:trHeight w:val="560"/>
          <w:tblHeader/>
        </w:trPr>
        <w:tc>
          <w:tcPr>
            <w:tcW w:w="567" w:type="dxa"/>
            <w:vMerge w:val="restart"/>
            <w:textDirection w:val="btLr"/>
            <w:vAlign w:val="center"/>
          </w:tcPr>
          <w:p w:rsidR="00F408D9" w:rsidRPr="00E00B35" w:rsidRDefault="00F408D9" w:rsidP="00E00B35">
            <w:pPr>
              <w:spacing w:after="0" w:line="312" w:lineRule="auto"/>
              <w:rPr>
                <w:szCs w:val="20"/>
              </w:rPr>
            </w:pPr>
            <w:r w:rsidRPr="00E00B35">
              <w:rPr>
                <w:szCs w:val="20"/>
              </w:rPr>
              <w:t>Nazwa Urzędu/jednostki organizacyjnej Gminy</w:t>
            </w:r>
          </w:p>
        </w:tc>
        <w:tc>
          <w:tcPr>
            <w:tcW w:w="851" w:type="dxa"/>
            <w:vMerge w:val="restart"/>
            <w:textDirection w:val="btLr"/>
            <w:vAlign w:val="center"/>
          </w:tcPr>
          <w:p w:rsidR="00F408D9" w:rsidRPr="00E00B35" w:rsidRDefault="00F408D9" w:rsidP="00E00B35">
            <w:pPr>
              <w:spacing w:after="0" w:line="312" w:lineRule="auto"/>
              <w:rPr>
                <w:szCs w:val="20"/>
              </w:rPr>
            </w:pPr>
            <w:r w:rsidRPr="00E00B35">
              <w:rPr>
                <w:szCs w:val="20"/>
              </w:rPr>
              <w:t>Ilość wydanych decyzji ogółem</w:t>
            </w:r>
          </w:p>
        </w:tc>
        <w:tc>
          <w:tcPr>
            <w:tcW w:w="992" w:type="dxa"/>
            <w:tcBorders>
              <w:right w:val="single" w:sz="12" w:space="0" w:color="auto"/>
            </w:tcBorders>
            <w:vAlign w:val="center"/>
          </w:tcPr>
          <w:p w:rsidR="00F408D9" w:rsidRPr="00E00B35" w:rsidRDefault="00F408D9" w:rsidP="00E00B35">
            <w:pPr>
              <w:spacing w:after="0" w:line="312" w:lineRule="auto"/>
              <w:rPr>
                <w:szCs w:val="20"/>
              </w:rPr>
            </w:pPr>
            <w:r w:rsidRPr="00E00B35">
              <w:rPr>
                <w:szCs w:val="20"/>
              </w:rPr>
              <w:t>Ilość decyzji zaskarżonych</w:t>
            </w:r>
          </w:p>
        </w:tc>
        <w:tc>
          <w:tcPr>
            <w:tcW w:w="3827" w:type="dxa"/>
            <w:gridSpan w:val="6"/>
            <w:tcBorders>
              <w:left w:val="single" w:sz="12"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1) Ilość decyzji zaskarżonych do Samorządowego Kolegium Odwoławczego</w:t>
            </w:r>
          </w:p>
        </w:tc>
        <w:tc>
          <w:tcPr>
            <w:tcW w:w="4111" w:type="dxa"/>
            <w:gridSpan w:val="6"/>
            <w:tcBorders>
              <w:left w:val="single" w:sz="12" w:space="0" w:color="auto"/>
            </w:tcBorders>
            <w:vAlign w:val="center"/>
          </w:tcPr>
          <w:p w:rsidR="00F408D9" w:rsidRPr="00E00B35" w:rsidRDefault="00F408D9" w:rsidP="00E00B35">
            <w:pPr>
              <w:spacing w:after="0" w:line="312" w:lineRule="auto"/>
              <w:rPr>
                <w:szCs w:val="20"/>
              </w:rPr>
            </w:pPr>
            <w:r w:rsidRPr="00E00B35">
              <w:rPr>
                <w:szCs w:val="20"/>
              </w:rPr>
              <w:t>1) Ilość decyzji zaskarżonych do Wojewody</w:t>
            </w:r>
          </w:p>
        </w:tc>
      </w:tr>
      <w:tr w:rsidR="00F408D9" w:rsidRPr="00E00B35" w:rsidTr="007903FB">
        <w:trPr>
          <w:cantSplit/>
          <w:trHeight w:val="194"/>
          <w:tblHeader/>
        </w:trPr>
        <w:tc>
          <w:tcPr>
            <w:tcW w:w="567" w:type="dxa"/>
            <w:vMerge/>
            <w:vAlign w:val="center"/>
          </w:tcPr>
          <w:p w:rsidR="00F408D9" w:rsidRPr="00E00B35" w:rsidRDefault="00F408D9" w:rsidP="00E00B35">
            <w:pPr>
              <w:spacing w:after="0" w:line="312" w:lineRule="auto"/>
              <w:rPr>
                <w:szCs w:val="20"/>
              </w:rPr>
            </w:pPr>
          </w:p>
        </w:tc>
        <w:tc>
          <w:tcPr>
            <w:tcW w:w="851" w:type="dxa"/>
            <w:vMerge/>
            <w:textDirection w:val="btLr"/>
            <w:vAlign w:val="center"/>
          </w:tcPr>
          <w:p w:rsidR="00F408D9" w:rsidRPr="00E00B35" w:rsidRDefault="00F408D9" w:rsidP="00E00B35">
            <w:pPr>
              <w:spacing w:after="0" w:line="312" w:lineRule="auto"/>
              <w:rPr>
                <w:szCs w:val="20"/>
              </w:rPr>
            </w:pPr>
          </w:p>
        </w:tc>
        <w:tc>
          <w:tcPr>
            <w:tcW w:w="992" w:type="dxa"/>
            <w:vMerge w:val="restart"/>
            <w:tcBorders>
              <w:right w:val="single" w:sz="12" w:space="0" w:color="auto"/>
            </w:tcBorders>
            <w:textDirection w:val="btLr"/>
            <w:vAlign w:val="center"/>
          </w:tcPr>
          <w:p w:rsidR="00F408D9" w:rsidRPr="00E00B35" w:rsidRDefault="00F408D9" w:rsidP="00E00B35">
            <w:pPr>
              <w:spacing w:after="0" w:line="312" w:lineRule="auto"/>
              <w:rPr>
                <w:szCs w:val="20"/>
              </w:rPr>
            </w:pPr>
            <w:r w:rsidRPr="00E00B35">
              <w:rPr>
                <w:szCs w:val="20"/>
              </w:rPr>
              <w:t>ogółem</w:t>
            </w:r>
          </w:p>
        </w:tc>
        <w:tc>
          <w:tcPr>
            <w:tcW w:w="3827" w:type="dxa"/>
            <w:gridSpan w:val="6"/>
            <w:tcBorders>
              <w:left w:val="single" w:sz="12" w:space="0" w:color="auto"/>
              <w:right w:val="single" w:sz="12" w:space="0" w:color="auto"/>
            </w:tcBorders>
            <w:vAlign w:val="center"/>
          </w:tcPr>
          <w:p w:rsidR="00F408D9" w:rsidRPr="00E00B35" w:rsidRDefault="00F408D9" w:rsidP="00E00B35">
            <w:pPr>
              <w:spacing w:after="0" w:line="312" w:lineRule="auto"/>
              <w:rPr>
                <w:szCs w:val="20"/>
              </w:rPr>
            </w:pPr>
            <w:r w:rsidRPr="00E00B35">
              <w:rPr>
                <w:szCs w:val="20"/>
              </w:rPr>
              <w:t>2) Udział procentowy</w:t>
            </w:r>
          </w:p>
        </w:tc>
        <w:tc>
          <w:tcPr>
            <w:tcW w:w="4111" w:type="dxa"/>
            <w:gridSpan w:val="6"/>
            <w:tcBorders>
              <w:left w:val="single" w:sz="12" w:space="0" w:color="auto"/>
            </w:tcBorders>
            <w:vAlign w:val="center"/>
          </w:tcPr>
          <w:p w:rsidR="00F408D9" w:rsidRPr="00E00B35" w:rsidRDefault="00F408D9" w:rsidP="00E00B35">
            <w:pPr>
              <w:spacing w:after="0" w:line="312" w:lineRule="auto"/>
              <w:rPr>
                <w:szCs w:val="20"/>
              </w:rPr>
            </w:pPr>
            <w:r w:rsidRPr="00E00B35">
              <w:rPr>
                <w:szCs w:val="20"/>
              </w:rPr>
              <w:t>2) Udział procentowy</w:t>
            </w:r>
          </w:p>
        </w:tc>
      </w:tr>
      <w:tr w:rsidR="00F408D9" w:rsidRPr="00E00B35" w:rsidTr="007903FB">
        <w:trPr>
          <w:cantSplit/>
          <w:trHeight w:val="3733"/>
          <w:tblHeader/>
        </w:trPr>
        <w:tc>
          <w:tcPr>
            <w:tcW w:w="567" w:type="dxa"/>
            <w:vMerge/>
            <w:vAlign w:val="center"/>
          </w:tcPr>
          <w:p w:rsidR="00F408D9" w:rsidRPr="00E00B35" w:rsidRDefault="00F408D9" w:rsidP="00E00B35">
            <w:pPr>
              <w:spacing w:after="0" w:line="312" w:lineRule="auto"/>
              <w:rPr>
                <w:szCs w:val="20"/>
              </w:rPr>
            </w:pPr>
          </w:p>
        </w:tc>
        <w:tc>
          <w:tcPr>
            <w:tcW w:w="851" w:type="dxa"/>
            <w:vMerge/>
            <w:textDirection w:val="btLr"/>
            <w:vAlign w:val="center"/>
          </w:tcPr>
          <w:p w:rsidR="00F408D9" w:rsidRPr="00E00B35" w:rsidRDefault="00F408D9" w:rsidP="00E00B35">
            <w:pPr>
              <w:spacing w:after="0" w:line="312" w:lineRule="auto"/>
              <w:rPr>
                <w:szCs w:val="20"/>
              </w:rPr>
            </w:pPr>
          </w:p>
        </w:tc>
        <w:tc>
          <w:tcPr>
            <w:tcW w:w="992" w:type="dxa"/>
            <w:vMerge/>
            <w:tcBorders>
              <w:right w:val="single" w:sz="12" w:space="0" w:color="auto"/>
            </w:tcBorders>
            <w:textDirection w:val="btLr"/>
            <w:vAlign w:val="center"/>
          </w:tcPr>
          <w:p w:rsidR="00F408D9" w:rsidRPr="00E00B35" w:rsidRDefault="00F408D9" w:rsidP="00E00B35">
            <w:pPr>
              <w:spacing w:after="0" w:line="312" w:lineRule="auto"/>
              <w:rPr>
                <w:szCs w:val="20"/>
              </w:rPr>
            </w:pPr>
          </w:p>
        </w:tc>
        <w:tc>
          <w:tcPr>
            <w:tcW w:w="709" w:type="dxa"/>
            <w:tcBorders>
              <w:left w:val="single" w:sz="12" w:space="0" w:color="auto"/>
            </w:tcBorders>
            <w:textDirection w:val="btLr"/>
            <w:vAlign w:val="center"/>
          </w:tcPr>
          <w:p w:rsidR="00F408D9" w:rsidRPr="00E00B35" w:rsidRDefault="00F408D9" w:rsidP="00E00B35">
            <w:pPr>
              <w:spacing w:after="0" w:line="312" w:lineRule="auto"/>
              <w:rPr>
                <w:szCs w:val="20"/>
              </w:rPr>
            </w:pPr>
            <w:r w:rsidRPr="00E00B35">
              <w:rPr>
                <w:szCs w:val="20"/>
              </w:rPr>
              <w:t>utrzymanych w mocy</w:t>
            </w:r>
          </w:p>
        </w:tc>
        <w:tc>
          <w:tcPr>
            <w:tcW w:w="567" w:type="dxa"/>
            <w:textDirection w:val="btLr"/>
            <w:vAlign w:val="center"/>
          </w:tcPr>
          <w:p w:rsidR="00F408D9" w:rsidRPr="00E00B35" w:rsidRDefault="00F408D9" w:rsidP="00E00B35">
            <w:pPr>
              <w:spacing w:after="0" w:line="312" w:lineRule="auto"/>
              <w:rPr>
                <w:szCs w:val="20"/>
              </w:rPr>
            </w:pPr>
            <w:r w:rsidRPr="00E00B35">
              <w:rPr>
                <w:szCs w:val="20"/>
              </w:rPr>
              <w:t>uchylonych i zmienionych</w:t>
            </w:r>
          </w:p>
        </w:tc>
        <w:tc>
          <w:tcPr>
            <w:tcW w:w="709" w:type="dxa"/>
            <w:textDirection w:val="btLr"/>
            <w:vAlign w:val="center"/>
          </w:tcPr>
          <w:p w:rsidR="00F408D9" w:rsidRPr="00E00B35" w:rsidRDefault="00F408D9" w:rsidP="00E00B35">
            <w:pPr>
              <w:spacing w:after="0" w:line="312" w:lineRule="auto"/>
              <w:rPr>
                <w:szCs w:val="20"/>
              </w:rPr>
            </w:pPr>
            <w:r w:rsidRPr="00E00B35">
              <w:rPr>
                <w:szCs w:val="20"/>
              </w:rPr>
              <w:t>uchylonych i przekazanych do ponownego rozpoznania</w:t>
            </w:r>
          </w:p>
        </w:tc>
        <w:tc>
          <w:tcPr>
            <w:tcW w:w="708" w:type="dxa"/>
            <w:textDirection w:val="btLr"/>
            <w:vAlign w:val="center"/>
          </w:tcPr>
          <w:p w:rsidR="00F408D9" w:rsidRPr="00E00B35" w:rsidRDefault="00F408D9" w:rsidP="00E00B35">
            <w:pPr>
              <w:spacing w:after="0" w:line="312" w:lineRule="auto"/>
              <w:rPr>
                <w:szCs w:val="20"/>
              </w:rPr>
            </w:pPr>
            <w:r w:rsidRPr="00E00B35">
              <w:rPr>
                <w:szCs w:val="20"/>
              </w:rPr>
              <w:t>uchylonych i umarzających postępowanie I instancji lub odwoławcze</w:t>
            </w:r>
          </w:p>
        </w:tc>
        <w:tc>
          <w:tcPr>
            <w:tcW w:w="567" w:type="dxa"/>
            <w:textDirection w:val="btLr"/>
            <w:vAlign w:val="center"/>
          </w:tcPr>
          <w:p w:rsidR="00F408D9" w:rsidRPr="00E00B35" w:rsidRDefault="00F408D9" w:rsidP="00E00B35">
            <w:pPr>
              <w:spacing w:after="0" w:line="312" w:lineRule="auto"/>
              <w:rPr>
                <w:szCs w:val="20"/>
              </w:rPr>
            </w:pPr>
            <w:r w:rsidRPr="00E00B35">
              <w:rPr>
                <w:szCs w:val="20"/>
              </w:rPr>
              <w:t>stwierdzenie nieważności</w:t>
            </w:r>
          </w:p>
        </w:tc>
        <w:tc>
          <w:tcPr>
            <w:tcW w:w="567" w:type="dxa"/>
            <w:tcBorders>
              <w:right w:val="single" w:sz="12" w:space="0" w:color="auto"/>
            </w:tcBorders>
            <w:textDirection w:val="btLr"/>
            <w:vAlign w:val="center"/>
          </w:tcPr>
          <w:p w:rsidR="00F408D9" w:rsidRPr="00E00B35" w:rsidRDefault="00F408D9" w:rsidP="00E00B35">
            <w:pPr>
              <w:spacing w:after="0" w:line="312" w:lineRule="auto"/>
              <w:rPr>
                <w:szCs w:val="20"/>
              </w:rPr>
            </w:pPr>
            <w:r w:rsidRPr="00E00B35">
              <w:rPr>
                <w:szCs w:val="20"/>
              </w:rPr>
              <w:t>inne</w:t>
            </w:r>
          </w:p>
        </w:tc>
        <w:tc>
          <w:tcPr>
            <w:tcW w:w="709" w:type="dxa"/>
            <w:tcBorders>
              <w:left w:val="single" w:sz="12" w:space="0" w:color="auto"/>
            </w:tcBorders>
            <w:textDirection w:val="btLr"/>
            <w:vAlign w:val="center"/>
          </w:tcPr>
          <w:p w:rsidR="00F408D9" w:rsidRPr="00E00B35" w:rsidRDefault="00F408D9" w:rsidP="00E00B35">
            <w:pPr>
              <w:spacing w:after="0" w:line="312" w:lineRule="auto"/>
              <w:rPr>
                <w:szCs w:val="20"/>
              </w:rPr>
            </w:pPr>
            <w:r w:rsidRPr="00E00B35">
              <w:rPr>
                <w:szCs w:val="20"/>
              </w:rPr>
              <w:t>utrzymanych w mocy</w:t>
            </w:r>
          </w:p>
        </w:tc>
        <w:tc>
          <w:tcPr>
            <w:tcW w:w="709" w:type="dxa"/>
            <w:textDirection w:val="btLr"/>
            <w:vAlign w:val="center"/>
          </w:tcPr>
          <w:p w:rsidR="00F408D9" w:rsidRPr="00E00B35" w:rsidRDefault="00F408D9" w:rsidP="00E00B35">
            <w:pPr>
              <w:spacing w:after="0" w:line="312" w:lineRule="auto"/>
              <w:rPr>
                <w:szCs w:val="20"/>
              </w:rPr>
            </w:pPr>
            <w:r w:rsidRPr="00E00B35">
              <w:rPr>
                <w:szCs w:val="20"/>
              </w:rPr>
              <w:t>uchylonych i zmienionych</w:t>
            </w:r>
          </w:p>
        </w:tc>
        <w:tc>
          <w:tcPr>
            <w:tcW w:w="709" w:type="dxa"/>
            <w:textDirection w:val="btLr"/>
            <w:vAlign w:val="center"/>
          </w:tcPr>
          <w:p w:rsidR="00F408D9" w:rsidRPr="00E00B35" w:rsidRDefault="00F408D9" w:rsidP="00E00B35">
            <w:pPr>
              <w:spacing w:after="0" w:line="312" w:lineRule="auto"/>
              <w:rPr>
                <w:szCs w:val="20"/>
              </w:rPr>
            </w:pPr>
            <w:r w:rsidRPr="00E00B35">
              <w:rPr>
                <w:szCs w:val="20"/>
              </w:rPr>
              <w:t>uchylonych i przekazanych do ponownego rozpoznania</w:t>
            </w:r>
          </w:p>
        </w:tc>
        <w:tc>
          <w:tcPr>
            <w:tcW w:w="708" w:type="dxa"/>
            <w:textDirection w:val="btLr"/>
            <w:vAlign w:val="center"/>
          </w:tcPr>
          <w:p w:rsidR="00F408D9" w:rsidRPr="00E00B35" w:rsidRDefault="00F408D9" w:rsidP="00E00B35">
            <w:pPr>
              <w:spacing w:after="0" w:line="312" w:lineRule="auto"/>
              <w:rPr>
                <w:szCs w:val="20"/>
              </w:rPr>
            </w:pPr>
            <w:r w:rsidRPr="00E00B35">
              <w:rPr>
                <w:szCs w:val="20"/>
              </w:rPr>
              <w:t>uchylonych i umarzających postępowanie I instancji lub odwoławcze</w:t>
            </w:r>
          </w:p>
        </w:tc>
        <w:tc>
          <w:tcPr>
            <w:tcW w:w="567" w:type="dxa"/>
            <w:textDirection w:val="btLr"/>
            <w:vAlign w:val="center"/>
          </w:tcPr>
          <w:p w:rsidR="00F408D9" w:rsidRPr="00E00B35" w:rsidRDefault="00F408D9" w:rsidP="00E00B35">
            <w:pPr>
              <w:spacing w:after="0" w:line="312" w:lineRule="auto"/>
              <w:rPr>
                <w:szCs w:val="20"/>
              </w:rPr>
            </w:pPr>
            <w:r w:rsidRPr="00E00B35">
              <w:rPr>
                <w:szCs w:val="20"/>
              </w:rPr>
              <w:t>stwierdzenie nieważności</w:t>
            </w:r>
          </w:p>
        </w:tc>
        <w:tc>
          <w:tcPr>
            <w:tcW w:w="709" w:type="dxa"/>
            <w:textDirection w:val="btLr"/>
            <w:vAlign w:val="center"/>
          </w:tcPr>
          <w:p w:rsidR="00F408D9" w:rsidRPr="00E00B35" w:rsidRDefault="00F408D9" w:rsidP="00E00B35">
            <w:pPr>
              <w:spacing w:after="0" w:line="312" w:lineRule="auto"/>
              <w:rPr>
                <w:szCs w:val="20"/>
              </w:rPr>
            </w:pPr>
            <w:r w:rsidRPr="00E00B35">
              <w:rPr>
                <w:szCs w:val="20"/>
              </w:rPr>
              <w:t>inne</w:t>
            </w:r>
          </w:p>
        </w:tc>
      </w:tr>
      <w:tr w:rsidR="00F408D9" w:rsidRPr="00E00B35" w:rsidTr="001F7163">
        <w:trPr>
          <w:cantSplit/>
          <w:trHeight w:val="485"/>
        </w:trPr>
        <w:tc>
          <w:tcPr>
            <w:tcW w:w="567" w:type="dxa"/>
            <w:vMerge w:val="restart"/>
            <w:textDirection w:val="btLr"/>
            <w:vAlign w:val="center"/>
          </w:tcPr>
          <w:p w:rsidR="00F408D9" w:rsidRPr="00E00B35" w:rsidRDefault="00F408D9" w:rsidP="00E00B35">
            <w:pPr>
              <w:spacing w:after="0" w:line="312" w:lineRule="auto"/>
              <w:rPr>
                <w:szCs w:val="20"/>
              </w:rPr>
            </w:pPr>
            <w:r w:rsidRPr="00E00B35">
              <w:rPr>
                <w:szCs w:val="20"/>
              </w:rPr>
              <w:t>ZGKiKM</w:t>
            </w:r>
          </w:p>
        </w:tc>
        <w:tc>
          <w:tcPr>
            <w:tcW w:w="851" w:type="dxa"/>
            <w:vAlign w:val="center"/>
          </w:tcPr>
          <w:p w:rsidR="00F408D9" w:rsidRPr="00E00B35" w:rsidRDefault="00F408D9" w:rsidP="00E00B35">
            <w:pPr>
              <w:spacing w:after="0" w:line="312" w:lineRule="auto"/>
              <w:rPr>
                <w:szCs w:val="20"/>
              </w:rPr>
            </w:pPr>
            <w:r w:rsidRPr="00E00B35">
              <w:rPr>
                <w:szCs w:val="20"/>
              </w:rPr>
              <w:t>393</w:t>
            </w:r>
          </w:p>
        </w:tc>
        <w:tc>
          <w:tcPr>
            <w:tcW w:w="992" w:type="dxa"/>
            <w:tcBorders>
              <w:right w:val="single" w:sz="12" w:space="0" w:color="auto"/>
            </w:tcBorders>
            <w:vAlign w:val="center"/>
          </w:tcPr>
          <w:p w:rsidR="00F408D9" w:rsidRPr="00E00B35" w:rsidRDefault="00F408D9" w:rsidP="00E00B35">
            <w:pPr>
              <w:spacing w:after="0" w:line="312" w:lineRule="auto"/>
              <w:rPr>
                <w:szCs w:val="20"/>
              </w:rPr>
            </w:pPr>
            <w:r w:rsidRPr="00E00B35">
              <w:rPr>
                <w:szCs w:val="20"/>
              </w:rPr>
              <w:t>6</w:t>
            </w:r>
          </w:p>
        </w:tc>
        <w:tc>
          <w:tcPr>
            <w:tcW w:w="709" w:type="dxa"/>
            <w:tcBorders>
              <w:left w:val="single" w:sz="12" w:space="0" w:color="auto"/>
            </w:tcBorders>
            <w:vAlign w:val="center"/>
          </w:tcPr>
          <w:p w:rsidR="00F408D9" w:rsidRPr="00E00B35" w:rsidRDefault="00F408D9" w:rsidP="00E00B35">
            <w:pPr>
              <w:spacing w:after="0" w:line="312" w:lineRule="auto"/>
              <w:rPr>
                <w:szCs w:val="20"/>
              </w:rPr>
            </w:pPr>
            <w:r w:rsidRPr="00E00B35">
              <w:rPr>
                <w:szCs w:val="20"/>
              </w:rPr>
              <w:t>2</w:t>
            </w:r>
          </w:p>
        </w:tc>
        <w:tc>
          <w:tcPr>
            <w:tcW w:w="567" w:type="dxa"/>
            <w:vAlign w:val="center"/>
          </w:tcPr>
          <w:p w:rsidR="00F408D9" w:rsidRPr="00E00B35" w:rsidRDefault="00F408D9" w:rsidP="00E00B35">
            <w:pPr>
              <w:spacing w:after="0" w:line="312" w:lineRule="auto"/>
              <w:rPr>
                <w:szCs w:val="20"/>
              </w:rPr>
            </w:pPr>
          </w:p>
        </w:tc>
        <w:tc>
          <w:tcPr>
            <w:tcW w:w="709" w:type="dxa"/>
            <w:vAlign w:val="center"/>
          </w:tcPr>
          <w:p w:rsidR="00F408D9" w:rsidRPr="00E00B35" w:rsidRDefault="00F408D9" w:rsidP="00E00B35">
            <w:pPr>
              <w:spacing w:after="0" w:line="312" w:lineRule="auto"/>
              <w:rPr>
                <w:szCs w:val="20"/>
              </w:rPr>
            </w:pPr>
          </w:p>
        </w:tc>
        <w:tc>
          <w:tcPr>
            <w:tcW w:w="708" w:type="dxa"/>
            <w:vAlign w:val="center"/>
          </w:tcPr>
          <w:p w:rsidR="00F408D9" w:rsidRPr="00E00B35" w:rsidRDefault="00F408D9" w:rsidP="00E00B35">
            <w:pPr>
              <w:spacing w:after="0" w:line="312" w:lineRule="auto"/>
              <w:rPr>
                <w:szCs w:val="20"/>
              </w:rPr>
            </w:pPr>
          </w:p>
        </w:tc>
        <w:tc>
          <w:tcPr>
            <w:tcW w:w="567" w:type="dxa"/>
            <w:vAlign w:val="center"/>
          </w:tcPr>
          <w:p w:rsidR="00F408D9" w:rsidRPr="00E00B35" w:rsidRDefault="00F408D9" w:rsidP="00E00B35">
            <w:pPr>
              <w:spacing w:after="0" w:line="312" w:lineRule="auto"/>
              <w:rPr>
                <w:szCs w:val="20"/>
              </w:rPr>
            </w:pPr>
          </w:p>
        </w:tc>
        <w:tc>
          <w:tcPr>
            <w:tcW w:w="567" w:type="dxa"/>
            <w:tcBorders>
              <w:right w:val="single" w:sz="12" w:space="0" w:color="auto"/>
            </w:tcBorders>
            <w:vAlign w:val="center"/>
          </w:tcPr>
          <w:p w:rsidR="00F408D9" w:rsidRPr="00E00B35" w:rsidRDefault="00F408D9" w:rsidP="00E00B35">
            <w:pPr>
              <w:spacing w:after="0" w:line="312" w:lineRule="auto"/>
              <w:rPr>
                <w:szCs w:val="20"/>
              </w:rPr>
            </w:pPr>
          </w:p>
        </w:tc>
        <w:tc>
          <w:tcPr>
            <w:tcW w:w="709" w:type="dxa"/>
            <w:tcBorders>
              <w:left w:val="single" w:sz="12" w:space="0" w:color="auto"/>
            </w:tcBorders>
            <w:vAlign w:val="center"/>
          </w:tcPr>
          <w:p w:rsidR="00F408D9" w:rsidRPr="00E00B35" w:rsidRDefault="00F408D9" w:rsidP="00E00B35">
            <w:pPr>
              <w:spacing w:after="0" w:line="312" w:lineRule="auto"/>
              <w:rPr>
                <w:szCs w:val="20"/>
              </w:rPr>
            </w:pPr>
            <w:r w:rsidRPr="00E00B35">
              <w:rPr>
                <w:szCs w:val="20"/>
              </w:rPr>
              <w:t>4</w:t>
            </w:r>
          </w:p>
        </w:tc>
        <w:tc>
          <w:tcPr>
            <w:tcW w:w="709" w:type="dxa"/>
            <w:vAlign w:val="center"/>
          </w:tcPr>
          <w:p w:rsidR="00F408D9" w:rsidRPr="00E00B35" w:rsidRDefault="00F408D9" w:rsidP="00E00B35">
            <w:pPr>
              <w:spacing w:after="0" w:line="312" w:lineRule="auto"/>
              <w:rPr>
                <w:szCs w:val="20"/>
              </w:rPr>
            </w:pPr>
          </w:p>
        </w:tc>
        <w:tc>
          <w:tcPr>
            <w:tcW w:w="709" w:type="dxa"/>
            <w:vAlign w:val="center"/>
          </w:tcPr>
          <w:p w:rsidR="00F408D9" w:rsidRPr="00E00B35" w:rsidRDefault="00F408D9" w:rsidP="00E00B35">
            <w:pPr>
              <w:spacing w:after="0" w:line="312" w:lineRule="auto"/>
              <w:rPr>
                <w:szCs w:val="20"/>
              </w:rPr>
            </w:pPr>
          </w:p>
        </w:tc>
        <w:tc>
          <w:tcPr>
            <w:tcW w:w="708" w:type="dxa"/>
            <w:vAlign w:val="center"/>
          </w:tcPr>
          <w:p w:rsidR="00F408D9" w:rsidRPr="00E00B35" w:rsidRDefault="00F408D9" w:rsidP="00E00B35">
            <w:pPr>
              <w:spacing w:after="0" w:line="312" w:lineRule="auto"/>
              <w:rPr>
                <w:szCs w:val="20"/>
              </w:rPr>
            </w:pPr>
          </w:p>
        </w:tc>
        <w:tc>
          <w:tcPr>
            <w:tcW w:w="567" w:type="dxa"/>
            <w:vAlign w:val="center"/>
          </w:tcPr>
          <w:p w:rsidR="00F408D9" w:rsidRPr="00E00B35" w:rsidRDefault="00F408D9" w:rsidP="00E00B35">
            <w:pPr>
              <w:spacing w:after="0" w:line="312" w:lineRule="auto"/>
              <w:rPr>
                <w:szCs w:val="20"/>
              </w:rPr>
            </w:pPr>
          </w:p>
        </w:tc>
        <w:tc>
          <w:tcPr>
            <w:tcW w:w="709" w:type="dxa"/>
            <w:vAlign w:val="center"/>
          </w:tcPr>
          <w:p w:rsidR="00F408D9" w:rsidRPr="00E00B35" w:rsidRDefault="00F408D9" w:rsidP="00E00B35">
            <w:pPr>
              <w:spacing w:after="0" w:line="312" w:lineRule="auto"/>
              <w:rPr>
                <w:szCs w:val="20"/>
              </w:rPr>
            </w:pPr>
          </w:p>
        </w:tc>
      </w:tr>
      <w:tr w:rsidR="00F408D9" w:rsidRPr="00E00B35" w:rsidTr="001F7163">
        <w:trPr>
          <w:cantSplit/>
          <w:trHeight w:val="759"/>
        </w:trPr>
        <w:tc>
          <w:tcPr>
            <w:tcW w:w="567" w:type="dxa"/>
            <w:vMerge/>
          </w:tcPr>
          <w:p w:rsidR="00F408D9" w:rsidRPr="00E00B35" w:rsidRDefault="00F408D9" w:rsidP="00E00B35">
            <w:pPr>
              <w:spacing w:after="0" w:line="312" w:lineRule="auto"/>
              <w:rPr>
                <w:szCs w:val="20"/>
              </w:rPr>
            </w:pPr>
          </w:p>
        </w:tc>
        <w:tc>
          <w:tcPr>
            <w:tcW w:w="851" w:type="dxa"/>
            <w:vAlign w:val="center"/>
          </w:tcPr>
          <w:p w:rsidR="00F408D9" w:rsidRPr="00E00B35" w:rsidRDefault="00F408D9" w:rsidP="00E00B35">
            <w:pPr>
              <w:spacing w:after="0" w:line="312" w:lineRule="auto"/>
              <w:rPr>
                <w:szCs w:val="20"/>
              </w:rPr>
            </w:pPr>
            <w:r w:rsidRPr="00E00B35">
              <w:rPr>
                <w:szCs w:val="20"/>
              </w:rPr>
              <w:t>100%</w:t>
            </w:r>
          </w:p>
        </w:tc>
        <w:tc>
          <w:tcPr>
            <w:tcW w:w="992" w:type="dxa"/>
            <w:tcBorders>
              <w:right w:val="single" w:sz="12" w:space="0" w:color="auto"/>
            </w:tcBorders>
            <w:vAlign w:val="center"/>
          </w:tcPr>
          <w:p w:rsidR="00F408D9" w:rsidRPr="00E00B35" w:rsidRDefault="00F408D9" w:rsidP="00E00B35">
            <w:pPr>
              <w:spacing w:after="0" w:line="312" w:lineRule="auto"/>
              <w:rPr>
                <w:szCs w:val="20"/>
              </w:rPr>
            </w:pPr>
            <w:r w:rsidRPr="00E00B35">
              <w:rPr>
                <w:szCs w:val="20"/>
              </w:rPr>
              <w:t>1,5%</w:t>
            </w:r>
          </w:p>
        </w:tc>
        <w:tc>
          <w:tcPr>
            <w:tcW w:w="709" w:type="dxa"/>
            <w:tcBorders>
              <w:left w:val="single" w:sz="12" w:space="0" w:color="auto"/>
            </w:tcBorders>
            <w:vAlign w:val="center"/>
          </w:tcPr>
          <w:p w:rsidR="00F408D9" w:rsidRPr="00E00B35" w:rsidRDefault="00F408D9" w:rsidP="00E00B35">
            <w:pPr>
              <w:spacing w:after="0" w:line="312" w:lineRule="auto"/>
              <w:rPr>
                <w:szCs w:val="20"/>
              </w:rPr>
            </w:pPr>
            <w:r w:rsidRPr="00E00B35">
              <w:rPr>
                <w:szCs w:val="20"/>
              </w:rPr>
              <w:t>33%</w:t>
            </w:r>
          </w:p>
        </w:tc>
        <w:tc>
          <w:tcPr>
            <w:tcW w:w="567" w:type="dxa"/>
            <w:vAlign w:val="center"/>
          </w:tcPr>
          <w:p w:rsidR="00F408D9" w:rsidRPr="00E00B35" w:rsidRDefault="00F408D9" w:rsidP="00E00B35">
            <w:pPr>
              <w:spacing w:after="0" w:line="312" w:lineRule="auto"/>
              <w:rPr>
                <w:szCs w:val="20"/>
              </w:rPr>
            </w:pPr>
          </w:p>
        </w:tc>
        <w:tc>
          <w:tcPr>
            <w:tcW w:w="709" w:type="dxa"/>
            <w:vAlign w:val="center"/>
          </w:tcPr>
          <w:p w:rsidR="00F408D9" w:rsidRPr="00E00B35" w:rsidRDefault="00F408D9" w:rsidP="00E00B35">
            <w:pPr>
              <w:spacing w:after="0" w:line="312" w:lineRule="auto"/>
              <w:rPr>
                <w:szCs w:val="20"/>
              </w:rPr>
            </w:pPr>
          </w:p>
        </w:tc>
        <w:tc>
          <w:tcPr>
            <w:tcW w:w="708" w:type="dxa"/>
            <w:vAlign w:val="center"/>
          </w:tcPr>
          <w:p w:rsidR="00F408D9" w:rsidRPr="00E00B35" w:rsidRDefault="00F408D9" w:rsidP="00E00B35">
            <w:pPr>
              <w:spacing w:after="0" w:line="312" w:lineRule="auto"/>
              <w:rPr>
                <w:szCs w:val="20"/>
              </w:rPr>
            </w:pPr>
          </w:p>
        </w:tc>
        <w:tc>
          <w:tcPr>
            <w:tcW w:w="567" w:type="dxa"/>
            <w:vAlign w:val="center"/>
          </w:tcPr>
          <w:p w:rsidR="00F408D9" w:rsidRPr="00E00B35" w:rsidRDefault="00F408D9" w:rsidP="00E00B35">
            <w:pPr>
              <w:spacing w:after="0" w:line="312" w:lineRule="auto"/>
              <w:rPr>
                <w:szCs w:val="20"/>
              </w:rPr>
            </w:pPr>
          </w:p>
        </w:tc>
        <w:tc>
          <w:tcPr>
            <w:tcW w:w="567" w:type="dxa"/>
            <w:tcBorders>
              <w:right w:val="single" w:sz="12" w:space="0" w:color="auto"/>
            </w:tcBorders>
            <w:vAlign w:val="center"/>
          </w:tcPr>
          <w:p w:rsidR="00F408D9" w:rsidRPr="00E00B35" w:rsidRDefault="00F408D9" w:rsidP="00E00B35">
            <w:pPr>
              <w:spacing w:after="0" w:line="312" w:lineRule="auto"/>
              <w:rPr>
                <w:szCs w:val="20"/>
              </w:rPr>
            </w:pPr>
          </w:p>
        </w:tc>
        <w:tc>
          <w:tcPr>
            <w:tcW w:w="709" w:type="dxa"/>
            <w:tcBorders>
              <w:left w:val="single" w:sz="12" w:space="0" w:color="auto"/>
            </w:tcBorders>
            <w:vAlign w:val="center"/>
          </w:tcPr>
          <w:p w:rsidR="00F408D9" w:rsidRPr="00E00B35" w:rsidRDefault="00F408D9" w:rsidP="00E00B35">
            <w:pPr>
              <w:spacing w:after="0" w:line="312" w:lineRule="auto"/>
              <w:rPr>
                <w:szCs w:val="20"/>
              </w:rPr>
            </w:pPr>
            <w:r w:rsidRPr="00E00B35">
              <w:rPr>
                <w:szCs w:val="20"/>
              </w:rPr>
              <w:t>66%</w:t>
            </w:r>
          </w:p>
        </w:tc>
        <w:tc>
          <w:tcPr>
            <w:tcW w:w="709" w:type="dxa"/>
            <w:vAlign w:val="center"/>
          </w:tcPr>
          <w:p w:rsidR="00F408D9" w:rsidRPr="00E00B35" w:rsidRDefault="00F408D9" w:rsidP="00E00B35">
            <w:pPr>
              <w:spacing w:after="0" w:line="312" w:lineRule="auto"/>
              <w:rPr>
                <w:szCs w:val="20"/>
              </w:rPr>
            </w:pPr>
          </w:p>
        </w:tc>
        <w:tc>
          <w:tcPr>
            <w:tcW w:w="709" w:type="dxa"/>
            <w:vAlign w:val="center"/>
          </w:tcPr>
          <w:p w:rsidR="00F408D9" w:rsidRPr="00E00B35" w:rsidRDefault="00F408D9" w:rsidP="00E00B35">
            <w:pPr>
              <w:spacing w:after="0" w:line="312" w:lineRule="auto"/>
              <w:rPr>
                <w:szCs w:val="20"/>
              </w:rPr>
            </w:pPr>
          </w:p>
        </w:tc>
        <w:tc>
          <w:tcPr>
            <w:tcW w:w="708" w:type="dxa"/>
            <w:vAlign w:val="center"/>
          </w:tcPr>
          <w:p w:rsidR="00F408D9" w:rsidRPr="00E00B35" w:rsidRDefault="00F408D9" w:rsidP="00E00B35">
            <w:pPr>
              <w:spacing w:after="0" w:line="312" w:lineRule="auto"/>
              <w:rPr>
                <w:szCs w:val="20"/>
              </w:rPr>
            </w:pPr>
          </w:p>
        </w:tc>
        <w:tc>
          <w:tcPr>
            <w:tcW w:w="567" w:type="dxa"/>
            <w:vAlign w:val="center"/>
          </w:tcPr>
          <w:p w:rsidR="00F408D9" w:rsidRPr="00E00B35" w:rsidRDefault="00F408D9" w:rsidP="00E00B35">
            <w:pPr>
              <w:spacing w:after="0" w:line="312" w:lineRule="auto"/>
              <w:rPr>
                <w:szCs w:val="20"/>
              </w:rPr>
            </w:pPr>
          </w:p>
        </w:tc>
        <w:tc>
          <w:tcPr>
            <w:tcW w:w="709" w:type="dxa"/>
            <w:vAlign w:val="center"/>
          </w:tcPr>
          <w:p w:rsidR="00F408D9" w:rsidRPr="00E00B35" w:rsidRDefault="00F408D9" w:rsidP="00E00B35">
            <w:pPr>
              <w:spacing w:after="0" w:line="312" w:lineRule="auto"/>
              <w:rPr>
                <w:szCs w:val="20"/>
              </w:rPr>
            </w:pPr>
          </w:p>
        </w:tc>
      </w:tr>
    </w:tbl>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r w:rsidRPr="00E00B35">
        <w:rPr>
          <w:szCs w:val="20"/>
        </w:rPr>
        <w:t>Niezależnie od ww. decyzji wydano 39 postanowień.</w:t>
      </w: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p>
    <w:p w:rsidR="00F408D9" w:rsidRPr="00E00B35" w:rsidRDefault="00F408D9" w:rsidP="00E00B35">
      <w:pPr>
        <w:pStyle w:val="Nagwek4"/>
        <w:spacing w:before="0" w:after="0" w:line="312" w:lineRule="auto"/>
        <w:rPr>
          <w:sz w:val="20"/>
          <w:szCs w:val="20"/>
          <w:highlight w:val="yellow"/>
        </w:rPr>
      </w:pPr>
      <w:r w:rsidRPr="00E00B35">
        <w:rPr>
          <w:sz w:val="20"/>
          <w:szCs w:val="20"/>
        </w:rPr>
        <w:t>REALIZACJA ZADAŃ OBEJMUJĄCYCH PRACE ORGANIZACYJNO-TECHNICZNE POZWALAJĄCE NA OPRACOWANIE I PEŁNIEJSZE WYKORZYSTANIE BAZ DANYCH</w:t>
      </w:r>
    </w:p>
    <w:p w:rsidR="00E25689" w:rsidRPr="00E00B35" w:rsidRDefault="00F408D9" w:rsidP="00E00B35">
      <w:pPr>
        <w:spacing w:after="0" w:line="312" w:lineRule="auto"/>
        <w:rPr>
          <w:szCs w:val="20"/>
        </w:rPr>
      </w:pPr>
      <w:r w:rsidRPr="00E00B35">
        <w:rPr>
          <w:szCs w:val="20"/>
        </w:rPr>
        <w:t xml:space="preserve">Gmina Wrocław zrealizowała poprzez jednostkę organizacyjną Gminy Wrocław  Zarząd Geodezji, Kartografii  i Katastru Miejskiego we Wrocławiu, projekt dofinansowany </w:t>
      </w:r>
      <w:r w:rsidRPr="00E00B35">
        <w:rPr>
          <w:szCs w:val="20"/>
        </w:rPr>
        <w:br/>
        <w:t xml:space="preserve">z Funduszy Europejskich: „Podniesienie dostępności e-usług danych przestrzennych państwowego zasobu geodezyjnego i kartograficznego we Wrocławiu” w ramach Osi priorytetowej  nr 2 „Technologie informacyjno-komunikacyjne” Działania nr 2.1 „E-usługi publiczne” Poddziałania nr 2.1.1 „E-usługi publiczne – konkursy horyzontalne” Regionalnego Programu Operacyjnego Województwa Dolnośląskiego 2014-2020. </w:t>
      </w:r>
      <w:r w:rsidRPr="00E00B35">
        <w:rPr>
          <w:szCs w:val="20"/>
        </w:rPr>
        <w:br/>
      </w:r>
    </w:p>
    <w:p w:rsidR="00F408D9" w:rsidRPr="00E00B35" w:rsidRDefault="00F408D9" w:rsidP="00E00B35">
      <w:pPr>
        <w:spacing w:after="0" w:line="312" w:lineRule="auto"/>
        <w:rPr>
          <w:szCs w:val="20"/>
        </w:rPr>
      </w:pPr>
      <w:r w:rsidRPr="00E00B35">
        <w:rPr>
          <w:szCs w:val="20"/>
        </w:rPr>
        <w:t>W wyniku realizacji projektu:</w:t>
      </w:r>
    </w:p>
    <w:p w:rsidR="00F408D9" w:rsidRPr="00E00B35" w:rsidRDefault="00F408D9" w:rsidP="00BC64AB">
      <w:pPr>
        <w:pStyle w:val="Akapitzlist"/>
        <w:numPr>
          <w:ilvl w:val="0"/>
          <w:numId w:val="282"/>
        </w:numPr>
        <w:spacing w:after="0" w:line="312" w:lineRule="auto"/>
        <w:ind w:left="426" w:hanging="426"/>
        <w:rPr>
          <w:szCs w:val="20"/>
        </w:rPr>
      </w:pPr>
      <w:r w:rsidRPr="00E00B35">
        <w:rPr>
          <w:szCs w:val="20"/>
        </w:rPr>
        <w:t>Wdrożono kompleksowy system do obsługi państwowego zasobu geodezyjnego i kartograficznego we Wrocławiu.</w:t>
      </w:r>
    </w:p>
    <w:p w:rsidR="00F408D9" w:rsidRPr="00E00B35" w:rsidRDefault="00F408D9" w:rsidP="00BC64AB">
      <w:pPr>
        <w:pStyle w:val="Akapitzlist"/>
        <w:numPr>
          <w:ilvl w:val="0"/>
          <w:numId w:val="282"/>
        </w:numPr>
        <w:spacing w:after="0" w:line="312" w:lineRule="auto"/>
        <w:ind w:left="426" w:hanging="426"/>
        <w:rPr>
          <w:szCs w:val="20"/>
        </w:rPr>
      </w:pPr>
      <w:r w:rsidRPr="00E00B35">
        <w:rPr>
          <w:szCs w:val="20"/>
        </w:rPr>
        <w:t xml:space="preserve">Uruchomiono portal z szeregiem e-usług, dostępny pod adresem: </w:t>
      </w:r>
      <w:hyperlink r:id="rId43" w:history="1">
        <w:r w:rsidRPr="00E00B35">
          <w:rPr>
            <w:szCs w:val="20"/>
          </w:rPr>
          <w:t>http://zgkikm.wroc.pl/e-uslugi/</w:t>
        </w:r>
      </w:hyperlink>
      <w:r w:rsidRPr="00E00B35">
        <w:rPr>
          <w:szCs w:val="20"/>
        </w:rPr>
        <w:t xml:space="preserve">, umożliwiających załatwienie szeregu spraw, m.in.: </w:t>
      </w:r>
    </w:p>
    <w:p w:rsidR="00F408D9" w:rsidRPr="00E00B35" w:rsidRDefault="00F408D9" w:rsidP="00BC64AB">
      <w:pPr>
        <w:pStyle w:val="Akapitzlist"/>
        <w:numPr>
          <w:ilvl w:val="0"/>
          <w:numId w:val="283"/>
        </w:numPr>
        <w:spacing w:after="0" w:line="312" w:lineRule="auto"/>
        <w:rPr>
          <w:szCs w:val="20"/>
        </w:rPr>
      </w:pPr>
      <w:r w:rsidRPr="00E00B35">
        <w:rPr>
          <w:szCs w:val="20"/>
        </w:rPr>
        <w:t>Portal dla Wykonawców prac geodezyjnych GEO.INFO i.Kerg, umożliwiający pełną obsługę prac geodezyjnych, tj.:</w:t>
      </w:r>
    </w:p>
    <w:p w:rsidR="00F408D9" w:rsidRPr="00E00B35" w:rsidRDefault="00F408D9" w:rsidP="00BC64AB">
      <w:pPr>
        <w:pStyle w:val="Akapitzlist"/>
        <w:numPr>
          <w:ilvl w:val="0"/>
          <w:numId w:val="284"/>
        </w:numPr>
        <w:spacing w:after="0" w:line="312" w:lineRule="auto"/>
        <w:rPr>
          <w:szCs w:val="20"/>
        </w:rPr>
      </w:pPr>
      <w:r w:rsidRPr="00E00B35">
        <w:rPr>
          <w:szCs w:val="20"/>
        </w:rPr>
        <w:t>Usługę zgłaszania prac geodezyjnych,</w:t>
      </w:r>
    </w:p>
    <w:p w:rsidR="00F408D9" w:rsidRPr="00E00B35" w:rsidRDefault="00F408D9" w:rsidP="00BC64AB">
      <w:pPr>
        <w:pStyle w:val="Akapitzlist"/>
        <w:numPr>
          <w:ilvl w:val="0"/>
          <w:numId w:val="284"/>
        </w:numPr>
        <w:spacing w:after="0" w:line="312" w:lineRule="auto"/>
        <w:rPr>
          <w:szCs w:val="20"/>
        </w:rPr>
      </w:pPr>
      <w:r w:rsidRPr="00E00B35">
        <w:rPr>
          <w:szCs w:val="20"/>
        </w:rPr>
        <w:t xml:space="preserve">Usługę pobierania materiałów koniecznych do wykonania pracy, </w:t>
      </w:r>
    </w:p>
    <w:p w:rsidR="00F408D9" w:rsidRPr="00E00B35" w:rsidRDefault="00F408D9" w:rsidP="00BC64AB">
      <w:pPr>
        <w:pStyle w:val="Akapitzlist"/>
        <w:numPr>
          <w:ilvl w:val="0"/>
          <w:numId w:val="284"/>
        </w:numPr>
        <w:spacing w:after="0" w:line="312" w:lineRule="auto"/>
        <w:rPr>
          <w:szCs w:val="20"/>
        </w:rPr>
      </w:pPr>
      <w:r w:rsidRPr="00E00B35">
        <w:rPr>
          <w:szCs w:val="20"/>
        </w:rPr>
        <w:t xml:space="preserve">Usługę przyjęcia materiałów do zasobu, </w:t>
      </w:r>
    </w:p>
    <w:p w:rsidR="00F408D9" w:rsidRPr="00E00B35" w:rsidRDefault="00F408D9" w:rsidP="00BC64AB">
      <w:pPr>
        <w:pStyle w:val="Akapitzlist"/>
        <w:numPr>
          <w:ilvl w:val="0"/>
          <w:numId w:val="283"/>
        </w:numPr>
        <w:spacing w:after="0" w:line="312" w:lineRule="auto"/>
        <w:rPr>
          <w:szCs w:val="20"/>
        </w:rPr>
      </w:pPr>
      <w:r w:rsidRPr="00E00B35">
        <w:rPr>
          <w:szCs w:val="20"/>
        </w:rPr>
        <w:t xml:space="preserve">Portal Narad Koordynacyjnych dla przedstawicieli branż GEO.INFO i.Narady, umożliwiający prowadzenie elektronicznych narad koordynacyjnych, dzięki któremu przedstawiciele branż mogą dokonywać za pomocą usług sieciowych </w:t>
      </w:r>
      <w:r w:rsidRPr="00E00B35">
        <w:rPr>
          <w:szCs w:val="20"/>
        </w:rPr>
        <w:lastRenderedPageBreak/>
        <w:t>wglądu do projektów będących przedmiotem narady koordynacyjnej, formułować uwagi za pomocą zdefiniowanych przez siebie fraz oraz wskazywać miejsca kolizji na mapie.</w:t>
      </w:r>
    </w:p>
    <w:p w:rsidR="00F408D9" w:rsidRPr="00E00B35" w:rsidRDefault="00F408D9" w:rsidP="00BC64AB">
      <w:pPr>
        <w:pStyle w:val="Akapitzlist"/>
        <w:numPr>
          <w:ilvl w:val="0"/>
          <w:numId w:val="283"/>
        </w:numPr>
        <w:spacing w:after="0" w:line="312" w:lineRule="auto"/>
        <w:rPr>
          <w:szCs w:val="20"/>
        </w:rPr>
      </w:pPr>
      <w:r w:rsidRPr="00E00B35">
        <w:rPr>
          <w:szCs w:val="20"/>
        </w:rPr>
        <w:t xml:space="preserve">Portal dla Projektantów GEO.INFO i.Projektant, umożliwiający m.in.: składanie wniosków o skoordynowanie usytuowania projektowanych sieci uzbrojenia terenu, dokonywanie stosownych opłat oraz uczestnictwo w naradach koordynacyjnych, w tym komunikację z przewodniczącym narad koordynacyjnych.  </w:t>
      </w:r>
    </w:p>
    <w:p w:rsidR="00F408D9" w:rsidRPr="00E00B35" w:rsidRDefault="00F408D9" w:rsidP="00BC64AB">
      <w:pPr>
        <w:pStyle w:val="Akapitzlist"/>
        <w:numPr>
          <w:ilvl w:val="0"/>
          <w:numId w:val="283"/>
        </w:numPr>
        <w:spacing w:after="0" w:line="312" w:lineRule="auto"/>
        <w:rPr>
          <w:szCs w:val="20"/>
        </w:rPr>
      </w:pPr>
      <w:r w:rsidRPr="00E00B35">
        <w:rPr>
          <w:szCs w:val="20"/>
        </w:rPr>
        <w:t xml:space="preserve">Portal dla Rzeczoznawców GEO.INFO i.Rzeczoznawca, umożliwiający składanie wniosków o dane z rejestru cen nieruchomości oraz wgląd do dokumentów stanowiących podstawę wpisu w operacie ewidencyjnych w szczególności do aktów notarialnych, dokonywanie stosownych opłat oraz pobieranie danych </w:t>
      </w:r>
      <w:r w:rsidRPr="00E00B35">
        <w:rPr>
          <w:szCs w:val="20"/>
        </w:rPr>
        <w:br/>
        <w:t>i wgląd do dokumentów.</w:t>
      </w:r>
    </w:p>
    <w:p w:rsidR="00F408D9" w:rsidRPr="00E00B35" w:rsidRDefault="00F408D9" w:rsidP="00BC64AB">
      <w:pPr>
        <w:pStyle w:val="Akapitzlist"/>
        <w:numPr>
          <w:ilvl w:val="0"/>
          <w:numId w:val="283"/>
        </w:numPr>
        <w:spacing w:after="0" w:line="312" w:lineRule="auto"/>
        <w:rPr>
          <w:szCs w:val="20"/>
        </w:rPr>
      </w:pPr>
      <w:r w:rsidRPr="00E00B35">
        <w:rPr>
          <w:szCs w:val="20"/>
        </w:rPr>
        <w:t>Portal dla Komorników GEO.INFO i.Komornik, pozwalających formułować zapytania do bazy danych ewidencji gruntów i budynków, dokonywać odpowiednie raporty oraz składać zamówienia i pobierać materiały.</w:t>
      </w:r>
    </w:p>
    <w:p w:rsidR="00F408D9" w:rsidRPr="00E00B35" w:rsidRDefault="00F408D9" w:rsidP="00BC64AB">
      <w:pPr>
        <w:pStyle w:val="Akapitzlist"/>
        <w:numPr>
          <w:ilvl w:val="0"/>
          <w:numId w:val="283"/>
        </w:numPr>
        <w:spacing w:after="0" w:line="312" w:lineRule="auto"/>
        <w:rPr>
          <w:szCs w:val="20"/>
        </w:rPr>
      </w:pPr>
      <w:r w:rsidRPr="00E00B35">
        <w:rPr>
          <w:szCs w:val="20"/>
        </w:rPr>
        <w:t xml:space="preserve">Portal dla Klientów GEO.INFO i.Wniosek, umożliwiający złożenie wniosku </w:t>
      </w:r>
      <w:r w:rsidRPr="00E00B35">
        <w:rPr>
          <w:szCs w:val="20"/>
        </w:rPr>
        <w:br/>
        <w:t xml:space="preserve">o udostępnienie materiałów powiatowego zasobu geodezyjnego </w:t>
      </w:r>
      <w:r w:rsidRPr="00E00B35">
        <w:rPr>
          <w:szCs w:val="20"/>
        </w:rPr>
        <w:br/>
        <w:t xml:space="preserve">i kartograficznego oraz wniosku o wypis lub wyrys z ewidencji gruntów </w:t>
      </w:r>
      <w:r w:rsidRPr="00E00B35">
        <w:rPr>
          <w:szCs w:val="20"/>
        </w:rPr>
        <w:br/>
        <w:t xml:space="preserve">i budynków, dokonanie opłaty i pobranie materiałów oraz wypisów i wyrysów. </w:t>
      </w:r>
    </w:p>
    <w:p w:rsidR="00F408D9" w:rsidRPr="00E00B35" w:rsidRDefault="00F408D9" w:rsidP="00BC64AB">
      <w:pPr>
        <w:pStyle w:val="Akapitzlist"/>
        <w:numPr>
          <w:ilvl w:val="0"/>
          <w:numId w:val="283"/>
        </w:numPr>
        <w:spacing w:after="0" w:line="312" w:lineRule="auto"/>
        <w:rPr>
          <w:szCs w:val="20"/>
        </w:rPr>
      </w:pPr>
      <w:r w:rsidRPr="00E00B35">
        <w:rPr>
          <w:szCs w:val="20"/>
        </w:rPr>
        <w:t xml:space="preserve">Utworzono Serwis umożliwiający publikację danych z otwartych zasobów w portalu Otwarte Dane Wrocław, tj. dane dotyczące działek, budynków, dane dotyczące osnów geodezyjnych. </w:t>
      </w:r>
    </w:p>
    <w:p w:rsidR="00F408D9" w:rsidRPr="00E00B35" w:rsidRDefault="00F408D9" w:rsidP="00BC64AB">
      <w:pPr>
        <w:pStyle w:val="Akapitzlist"/>
        <w:numPr>
          <w:ilvl w:val="0"/>
          <w:numId w:val="282"/>
        </w:numPr>
        <w:spacing w:after="0" w:line="312" w:lineRule="auto"/>
        <w:ind w:left="426" w:hanging="426"/>
        <w:rPr>
          <w:szCs w:val="20"/>
        </w:rPr>
      </w:pPr>
      <w:r w:rsidRPr="00E00B35">
        <w:rPr>
          <w:szCs w:val="20"/>
        </w:rPr>
        <w:t xml:space="preserve">Utworzono  zharmonizowany zbór danych przestrzennych zgodny z modelem INSPIRE dotyczący tematu ”Działki katastralne”. </w:t>
      </w:r>
    </w:p>
    <w:p w:rsidR="00F408D9" w:rsidRPr="00E00B35" w:rsidRDefault="00F408D9" w:rsidP="00BC64AB">
      <w:pPr>
        <w:pStyle w:val="Akapitzlist"/>
        <w:numPr>
          <w:ilvl w:val="0"/>
          <w:numId w:val="282"/>
        </w:numPr>
        <w:spacing w:after="0" w:line="312" w:lineRule="auto"/>
        <w:ind w:left="426" w:hanging="426"/>
        <w:rPr>
          <w:szCs w:val="20"/>
        </w:rPr>
      </w:pPr>
      <w:r w:rsidRPr="00E00B35">
        <w:rPr>
          <w:szCs w:val="20"/>
        </w:rPr>
        <w:t>Kontynuowano proces informatyzacji państwowego zasobu geodezyjnego i kartograficznego. Proces ten obejmował bieżące skanowanie dokumentacji z prac geodezyjnych i kartograficznych przekazywanych do zasobu przez wykonawców tych prac. Skanowanie obejmowało również dokumentację archiwalną.</w:t>
      </w:r>
    </w:p>
    <w:p w:rsidR="00E25689" w:rsidRPr="00E00B35" w:rsidRDefault="00E25689" w:rsidP="00E00B35">
      <w:pPr>
        <w:spacing w:after="0" w:line="312" w:lineRule="auto"/>
        <w:rPr>
          <w:szCs w:val="20"/>
        </w:rPr>
      </w:pPr>
    </w:p>
    <w:p w:rsidR="00F408D9" w:rsidRPr="00E00B35" w:rsidRDefault="00F408D9" w:rsidP="00E00B35">
      <w:pPr>
        <w:spacing w:after="0" w:line="312" w:lineRule="auto"/>
        <w:rPr>
          <w:szCs w:val="20"/>
        </w:rPr>
      </w:pPr>
      <w:r w:rsidRPr="00E00B35">
        <w:rPr>
          <w:szCs w:val="20"/>
        </w:rPr>
        <w:t>W roku 2020 kontynuowano udostępnianie danych za pośrednictwem internetu i intranetu dla upoważnionych pracowników Urzędu Miejskiego Wrocławia, jednostek organizacyjnych gminy, Urzędu Wojewódzkiego i innych upoważnionych instytucji.</w:t>
      </w:r>
    </w:p>
    <w:p w:rsidR="00F408D9" w:rsidRPr="00E00B35" w:rsidRDefault="00F408D9" w:rsidP="00E00B35">
      <w:pPr>
        <w:spacing w:after="0" w:line="312" w:lineRule="auto"/>
        <w:rPr>
          <w:szCs w:val="20"/>
        </w:rPr>
      </w:pPr>
      <w:r w:rsidRPr="00E00B35">
        <w:rPr>
          <w:szCs w:val="20"/>
        </w:rPr>
        <w:t>W sposób ciągły prowadzono szkolenia pracowników w zakresie doskonalenia zawodowego bhp, obsługi wdrażanych oprogramowań, zmiany przepisów prawa, systemu zarządzania jako</w:t>
      </w:r>
      <w:r w:rsidR="00E601BB" w:rsidRPr="00E00B35">
        <w:rPr>
          <w:szCs w:val="20"/>
        </w:rPr>
        <w:t>ścią, e-szkolenie z ppoż. itp.</w:t>
      </w:r>
    </w:p>
    <w:p w:rsidR="00F408D9" w:rsidRPr="00E00B35" w:rsidRDefault="00F408D9" w:rsidP="00E00B35">
      <w:pPr>
        <w:spacing w:after="0" w:line="312" w:lineRule="auto"/>
        <w:rPr>
          <w:szCs w:val="20"/>
        </w:rPr>
      </w:pPr>
      <w:r w:rsidRPr="00E00B35">
        <w:rPr>
          <w:szCs w:val="20"/>
        </w:rPr>
        <w:t>Łącznie w 36 szkoleniach, konferencjach uczestniczyło 269 pracowników.</w:t>
      </w:r>
    </w:p>
    <w:p w:rsidR="00F408D9" w:rsidRPr="00E00B35" w:rsidRDefault="00F408D9" w:rsidP="00E00B35">
      <w:pPr>
        <w:spacing w:after="0" w:line="312" w:lineRule="auto"/>
        <w:rPr>
          <w:szCs w:val="20"/>
        </w:rPr>
      </w:pPr>
    </w:p>
    <w:p w:rsidR="00F408D9" w:rsidRPr="00E00B35" w:rsidRDefault="00F408D9" w:rsidP="00E00B35">
      <w:pPr>
        <w:pStyle w:val="Nagwek4"/>
        <w:spacing w:before="0" w:after="0" w:line="312" w:lineRule="auto"/>
        <w:rPr>
          <w:sz w:val="20"/>
          <w:szCs w:val="20"/>
        </w:rPr>
      </w:pPr>
      <w:r w:rsidRPr="00E00B35">
        <w:rPr>
          <w:sz w:val="20"/>
          <w:szCs w:val="20"/>
        </w:rPr>
        <w:t>POZOSTAŁE ZADANIA</w:t>
      </w:r>
    </w:p>
    <w:p w:rsidR="00F408D9" w:rsidRPr="00E00B35" w:rsidRDefault="00F408D9" w:rsidP="00E00B35">
      <w:pPr>
        <w:spacing w:after="0" w:line="312" w:lineRule="auto"/>
        <w:rPr>
          <w:szCs w:val="20"/>
        </w:rPr>
      </w:pPr>
      <w:r w:rsidRPr="00E00B35">
        <w:rPr>
          <w:szCs w:val="20"/>
        </w:rPr>
        <w:t xml:space="preserve">Zarząd Geodezji, Kartografii i Katastru Miejskiego we  Wrocławiu posiada certyfikat serii ISO 9001 nieprzerwalnie od 2006 roku. W maju 2020 r. w Zarządzie przeprowadzono zdalnie audyt nadzoru na normę 9001:2015, w wyniku którego ważność certyfikatu jest aktualna do 2021 roku. </w:t>
      </w: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p>
    <w:p w:rsidR="00F408D9" w:rsidRPr="00E00B35" w:rsidRDefault="00F408D9" w:rsidP="00E00B35">
      <w:pPr>
        <w:spacing w:after="0" w:line="312" w:lineRule="auto"/>
        <w:rPr>
          <w:szCs w:val="20"/>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Default="00BE6C24"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011EC7" w:rsidRDefault="00011EC7"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B1753A" w:rsidRDefault="00B1753A" w:rsidP="00E00B35">
      <w:pPr>
        <w:spacing w:after="0" w:line="312" w:lineRule="auto"/>
        <w:rPr>
          <w:color w:val="000000"/>
          <w:szCs w:val="20"/>
          <w:lang w:val="pl-PL"/>
        </w:rPr>
      </w:pPr>
    </w:p>
    <w:p w:rsidR="00011EC7" w:rsidRPr="00E00B35" w:rsidRDefault="00011EC7"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BE6C24" w:rsidRPr="00E00B35" w:rsidRDefault="00BE6C24"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923EB5" w:rsidRPr="00E00B35" w:rsidRDefault="00923EB5" w:rsidP="00E00B35">
      <w:pPr>
        <w:spacing w:after="0" w:line="312" w:lineRule="auto"/>
        <w:rPr>
          <w:color w:val="000000"/>
          <w:szCs w:val="20"/>
          <w:lang w:val="pl-PL"/>
        </w:rPr>
      </w:pPr>
    </w:p>
    <w:p w:rsidR="008C7751" w:rsidRPr="00011EC7" w:rsidRDefault="00E96768" w:rsidP="00011EC7">
      <w:pPr>
        <w:pStyle w:val="Nagwek20"/>
      </w:pPr>
      <w:bookmarkStart w:id="43" w:name="_Toc72411079"/>
      <w:bookmarkStart w:id="44" w:name="_Toc78189481"/>
      <w:r w:rsidRPr="00011EC7">
        <w:t>DEPARTAMENT EDUKACJI</w:t>
      </w:r>
      <w:bookmarkEnd w:id="43"/>
      <w:bookmarkEnd w:id="44"/>
    </w:p>
    <w:p w:rsidR="008C7751" w:rsidRPr="00E00B35" w:rsidRDefault="008C7751" w:rsidP="00E00B35">
      <w:pPr>
        <w:spacing w:after="0" w:line="312" w:lineRule="auto"/>
        <w:rPr>
          <w:szCs w:val="20"/>
          <w:lang w:val="pl-PL"/>
        </w:rPr>
      </w:pPr>
    </w:p>
    <w:p w:rsidR="008C7751" w:rsidRPr="00E00B35" w:rsidRDefault="008C7751" w:rsidP="00E00B35">
      <w:pPr>
        <w:spacing w:after="0" w:line="312" w:lineRule="auto"/>
        <w:rPr>
          <w:szCs w:val="20"/>
        </w:rPr>
      </w:pPr>
    </w:p>
    <w:p w:rsidR="008C7751" w:rsidRPr="00E00B35" w:rsidRDefault="008C7751" w:rsidP="00E00B35">
      <w:pPr>
        <w:spacing w:after="0" w:line="312" w:lineRule="auto"/>
        <w:rPr>
          <w:bCs/>
          <w:color w:val="000000"/>
          <w:szCs w:val="20"/>
          <w:lang w:val="pl-PL"/>
        </w:rPr>
      </w:pPr>
      <w:r w:rsidRPr="00E00B35">
        <w:rPr>
          <w:bCs/>
          <w:color w:val="000000"/>
          <w:szCs w:val="20"/>
          <w:lang w:val="pl-PL"/>
        </w:rPr>
        <w:lastRenderedPageBreak/>
        <w:t xml:space="preserve">Sprawozdanie z działalności Departamentu Edukacji w roku 2020 jest podsumowaniem działałań realizowanych przez Departament, w szczególności realizacji polityk, programów i strategii oraz uchwał Rady Miejskiej Wrocławia i Zarządzeń Prezydenta. </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Sprawozdanie zawiera informacje na temat priorytetów postawionych w ramach:</w:t>
      </w:r>
    </w:p>
    <w:p w:rsidR="008C7751" w:rsidRPr="00E00B35" w:rsidRDefault="008C7751" w:rsidP="00E00B35">
      <w:pPr>
        <w:numPr>
          <w:ilvl w:val="0"/>
          <w:numId w:val="131"/>
        </w:numPr>
        <w:spacing w:after="0" w:line="312" w:lineRule="auto"/>
        <w:rPr>
          <w:bCs/>
          <w:szCs w:val="20"/>
        </w:rPr>
      </w:pPr>
      <w:r w:rsidRPr="00E00B35">
        <w:rPr>
          <w:b/>
          <w:bCs/>
          <w:szCs w:val="20"/>
        </w:rPr>
        <w:t>Strategii Wrocław 2030</w:t>
      </w:r>
      <w:r w:rsidRPr="00E00B35">
        <w:rPr>
          <w:bCs/>
          <w:szCs w:val="20"/>
        </w:rPr>
        <w:t xml:space="preserve"> (Uchwała Rady Miejskiej Wrocławia nr LI/1193/18 z dnia 15 lutego 2018 r.);</w:t>
      </w:r>
    </w:p>
    <w:p w:rsidR="008C7751" w:rsidRPr="00E00B35" w:rsidRDefault="008C7751" w:rsidP="00E00B35">
      <w:pPr>
        <w:numPr>
          <w:ilvl w:val="0"/>
          <w:numId w:val="131"/>
        </w:numPr>
        <w:spacing w:after="0" w:line="312" w:lineRule="auto"/>
        <w:rPr>
          <w:bCs/>
          <w:szCs w:val="20"/>
        </w:rPr>
      </w:pPr>
      <w:r w:rsidRPr="00E00B35">
        <w:rPr>
          <w:b/>
          <w:bCs/>
          <w:szCs w:val="20"/>
        </w:rPr>
        <w:t>Wrocławskiej Strategii Edukacyjnej</w:t>
      </w:r>
      <w:r w:rsidRPr="00E00B35">
        <w:rPr>
          <w:bCs/>
          <w:szCs w:val="20"/>
        </w:rPr>
        <w:t xml:space="preserve"> (uchwała Rady Miejskiej Wrocławia nr XV/271/15), której strategiczne hasła: Otwartość i Kreatywność, Zaangażowanie i Rozwój, to wartości stanowiące oś priorytetową działań podejmowanych przez Departament Edukacji, </w:t>
      </w:r>
    </w:p>
    <w:p w:rsidR="008C7751" w:rsidRPr="00E00B35" w:rsidRDefault="008C7751" w:rsidP="00E00B35">
      <w:pPr>
        <w:numPr>
          <w:ilvl w:val="0"/>
          <w:numId w:val="131"/>
        </w:numPr>
        <w:spacing w:after="0" w:line="312" w:lineRule="auto"/>
        <w:rPr>
          <w:bCs/>
          <w:szCs w:val="20"/>
        </w:rPr>
      </w:pPr>
      <w:r w:rsidRPr="00E00B35">
        <w:rPr>
          <w:b/>
          <w:bCs/>
          <w:szCs w:val="20"/>
        </w:rPr>
        <w:t>Założeń polityki społeczno-gospodarczej Wrocławia na rok budżetowy 2020</w:t>
      </w:r>
      <w:r w:rsidRPr="00E00B35">
        <w:rPr>
          <w:bCs/>
          <w:szCs w:val="20"/>
        </w:rPr>
        <w:t xml:space="preserve"> (uchwała Rady Miejskiej Wrocławia nr XII/299/19 z dnia 4 lipca 2019 r. </w:t>
      </w:r>
      <w:hyperlink r:id="rId44" w:history="1">
        <w:r w:rsidRPr="00E00B35">
          <w:rPr>
            <w:bCs/>
            <w:szCs w:val="20"/>
          </w:rPr>
          <w:t>http://wrosystem.um.wroc.pl/beta_4/webdisk/205676/0299ru08z.pdf</w:t>
        </w:r>
      </w:hyperlink>
    </w:p>
    <w:p w:rsidR="008C7751" w:rsidRPr="00E00B35" w:rsidRDefault="008C7751" w:rsidP="00E00B35">
      <w:pPr>
        <w:numPr>
          <w:ilvl w:val="0"/>
          <w:numId w:val="131"/>
        </w:numPr>
        <w:spacing w:after="0" w:line="312" w:lineRule="auto"/>
        <w:rPr>
          <w:bCs/>
          <w:szCs w:val="20"/>
        </w:rPr>
      </w:pPr>
      <w:r w:rsidRPr="00E00B35">
        <w:rPr>
          <w:b/>
          <w:bCs/>
          <w:szCs w:val="20"/>
        </w:rPr>
        <w:t>100 zadań Prezydenta Wrocławia</w:t>
      </w:r>
      <w:r w:rsidRPr="00E00B35">
        <w:rPr>
          <w:bCs/>
          <w:szCs w:val="20"/>
        </w:rPr>
        <w:t xml:space="preserve"> (</w:t>
      </w:r>
      <w:hyperlink r:id="rId45" w:history="1">
        <w:r w:rsidRPr="00E00B35">
          <w:rPr>
            <w:szCs w:val="20"/>
          </w:rPr>
          <w:t>https://www.wroclaw.pl/prezydent-wroclawia/100-prac-jacek-sutryk</w:t>
        </w:r>
      </w:hyperlink>
    </w:p>
    <w:p w:rsidR="008C7751" w:rsidRPr="00E00B35" w:rsidRDefault="008C7751" w:rsidP="00E00B35">
      <w:pPr>
        <w:numPr>
          <w:ilvl w:val="0"/>
          <w:numId w:val="131"/>
        </w:numPr>
        <w:spacing w:after="0" w:line="312" w:lineRule="auto"/>
        <w:rPr>
          <w:bCs/>
          <w:szCs w:val="20"/>
        </w:rPr>
      </w:pPr>
      <w:r w:rsidRPr="00E00B35">
        <w:rPr>
          <w:bCs/>
          <w:szCs w:val="20"/>
        </w:rPr>
        <w:t>podstawowych kierunków polityki oświatowej w roku szkolnym 2019/2020 oraz 202/2021 ogłaszanych prze</w:t>
      </w:r>
      <w:r w:rsidR="002E7294" w:rsidRPr="00E00B35">
        <w:rPr>
          <w:bCs/>
          <w:szCs w:val="20"/>
        </w:rPr>
        <w:t>z Ministerstwo Edukacji i Nauki.</w:t>
      </w:r>
    </w:p>
    <w:p w:rsidR="002E7294" w:rsidRPr="00E00B35" w:rsidRDefault="002E7294" w:rsidP="00E00B35">
      <w:pPr>
        <w:spacing w:after="0" w:line="312" w:lineRule="auto"/>
        <w:ind w:left="720"/>
        <w:rPr>
          <w:bCs/>
          <w:szCs w:val="20"/>
        </w:rPr>
      </w:pPr>
    </w:p>
    <w:p w:rsidR="008C7751" w:rsidRPr="00E00B35" w:rsidRDefault="008C7751" w:rsidP="00E00B35">
      <w:pPr>
        <w:spacing w:after="0" w:line="312" w:lineRule="auto"/>
        <w:rPr>
          <w:color w:val="000000"/>
          <w:szCs w:val="20"/>
          <w:lang w:val="pl-PL"/>
        </w:rPr>
      </w:pPr>
      <w:r w:rsidRPr="00E00B35">
        <w:rPr>
          <w:rFonts w:cs="Verdana"/>
          <w:color w:val="000000"/>
          <w:szCs w:val="20"/>
          <w:lang w:val="pl-PL"/>
        </w:rPr>
        <w:t xml:space="preserve">Sprawozdanie przedstawia aktualną w roku 2020 sytuację organizacyjną, finansową i dydaktyczną we wszystkich placówkach oświatowych działających na terenie Wrocławia. </w:t>
      </w:r>
      <w:r w:rsidRPr="00E00B35">
        <w:rPr>
          <w:color w:val="000000"/>
          <w:szCs w:val="20"/>
          <w:lang w:val="pl-PL"/>
        </w:rPr>
        <w:t xml:space="preserve">W przygotowanym zestawieniu wykorzystano analizy wewnętrzne, sprawozdania oraz dane z Systemu Informacji Oświatowej. </w:t>
      </w:r>
    </w:p>
    <w:p w:rsidR="008C7751" w:rsidRPr="00E00B35" w:rsidRDefault="008C7751" w:rsidP="00E00B35">
      <w:pPr>
        <w:spacing w:after="0" w:line="312" w:lineRule="auto"/>
        <w:rPr>
          <w:rFonts w:cs="Helv"/>
          <w:color w:val="000000"/>
          <w:szCs w:val="20"/>
          <w:lang w:val="pl-PL"/>
        </w:rPr>
      </w:pPr>
      <w:r w:rsidRPr="00E00B35">
        <w:rPr>
          <w:rFonts w:cs="Verdana"/>
          <w:color w:val="000000"/>
          <w:szCs w:val="20"/>
          <w:lang w:val="pl-PL"/>
        </w:rPr>
        <w:t xml:space="preserve">Rok 2020 zdominowały wydarzenia związane z pandemią COVID-19. </w:t>
      </w:r>
      <w:r w:rsidRPr="00E00B35">
        <w:rPr>
          <w:rFonts w:cs="Helv"/>
          <w:color w:val="000000"/>
          <w:szCs w:val="20"/>
          <w:lang w:val="pl-PL"/>
        </w:rPr>
        <w:t xml:space="preserve">Rozporządzeniem Ministra Edukacji Narodowej z 11 marca 2020 r. w sprawie czasowego ograniczenia funkcjonowania jednostek systemu oświaty w związku z zapobieganiem, przeciwdziałaniem i zwalczaniem COVID-19 (Dz.U. 2020 poz. 410) od 12 marca 2020 r. zawieszono prowadzenie działalności dydaktycznej, wychowawczej i opiekuńczej w przedszkolach, szkołach i w większości placówek. </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Na bieżąco monitorowano sytuację epidemiologiczną, z uwzględnieniem rekomendacji przekazywanych przez Ministerstwo Edukacji i Nauki, Głównego Inspektora Sanitarnego, Ministerstwo Zdrowia, podejmowano szerg działań mających na celu dostosowanie podległych jednostek do wprowadzanych obostrzeń.</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 sytuacji zamknięcia szkół ogromnym wyzwaniem była organizacja nauczania zdalnego, w tym próba wdrożenia reguł i przeszkolenia nauczycieli do pracy w systemie nauczania zdalnego. Największy problem stanowiło zamknięcie przedszkoli i placówek szkolnictwa specjalnego, gdzie nauczanie i rehabilitacja nie jest możliwa w formie zdalnej.</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Z zachowaniem reżimów sanitarnych przeprowadzono egzaminy maturalne oraz egzaminy ósmoklasisty. W 100% udało się przeprowadzić zdalnie klasyfikację oraz rekrutację do przedszkoli, szkół podstawowych i ponadpodstawowych (szczegółowe informacje na temat działań związanych z pandemią w Rozdziale 13</w:t>
      </w:r>
    </w:p>
    <w:p w:rsidR="008C7751" w:rsidRPr="00E00B35" w:rsidRDefault="008C7751" w:rsidP="00E00B35">
      <w:pPr>
        <w:pStyle w:val="Nagwek3"/>
        <w:spacing w:after="0" w:line="312" w:lineRule="auto"/>
        <w:rPr>
          <w:sz w:val="20"/>
        </w:rPr>
      </w:pPr>
      <w:bookmarkStart w:id="45" w:name="_Toc72411081"/>
      <w:r w:rsidRPr="00E00B35">
        <w:rPr>
          <w:sz w:val="20"/>
        </w:rPr>
        <w:t>Wykaz skrótów</w:t>
      </w:r>
      <w:bookmarkEnd w:id="45"/>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b/>
          <w:szCs w:val="20"/>
        </w:rPr>
        <w:t xml:space="preserve">JST </w:t>
      </w:r>
      <w:r w:rsidRPr="00E00B35">
        <w:rPr>
          <w:szCs w:val="20"/>
        </w:rPr>
        <w:t>– jednostki samorządu terytorialnego</w:t>
      </w:r>
    </w:p>
    <w:p w:rsidR="008C7751" w:rsidRPr="00E00B35" w:rsidRDefault="008C7751" w:rsidP="00E00B35">
      <w:pPr>
        <w:spacing w:after="0" w:line="312" w:lineRule="auto"/>
        <w:rPr>
          <w:szCs w:val="20"/>
        </w:rPr>
      </w:pPr>
      <w:r w:rsidRPr="00E00B35">
        <w:rPr>
          <w:b/>
          <w:szCs w:val="20"/>
        </w:rPr>
        <w:lastRenderedPageBreak/>
        <w:t>UMW</w:t>
      </w:r>
      <w:r w:rsidRPr="00E00B35">
        <w:rPr>
          <w:szCs w:val="20"/>
        </w:rPr>
        <w:t xml:space="preserve"> – Urząd Miejski Wrocławia</w:t>
      </w:r>
    </w:p>
    <w:p w:rsidR="008C7751" w:rsidRPr="00E00B35" w:rsidRDefault="008C7751" w:rsidP="00E00B35">
      <w:pPr>
        <w:spacing w:after="0" w:line="312" w:lineRule="auto"/>
        <w:rPr>
          <w:szCs w:val="20"/>
        </w:rPr>
      </w:pPr>
      <w:r w:rsidRPr="00E00B35">
        <w:rPr>
          <w:b/>
          <w:szCs w:val="20"/>
        </w:rPr>
        <w:t xml:space="preserve">CUI </w:t>
      </w:r>
      <w:r w:rsidRPr="00E00B35">
        <w:rPr>
          <w:szCs w:val="20"/>
        </w:rPr>
        <w:t>– Centrum Usług Informatycznych</w:t>
      </w:r>
    </w:p>
    <w:p w:rsidR="008C7751" w:rsidRPr="00E00B35" w:rsidRDefault="008C7751" w:rsidP="00E00B35">
      <w:pPr>
        <w:spacing w:after="0" w:line="312" w:lineRule="auto"/>
        <w:rPr>
          <w:szCs w:val="20"/>
        </w:rPr>
      </w:pPr>
      <w:r w:rsidRPr="00E00B35">
        <w:rPr>
          <w:b/>
          <w:szCs w:val="20"/>
        </w:rPr>
        <w:t xml:space="preserve">LO </w:t>
      </w:r>
      <w:r w:rsidRPr="00E00B35">
        <w:rPr>
          <w:szCs w:val="20"/>
        </w:rPr>
        <w:t>– Liceum Ogólnokształcące</w:t>
      </w:r>
    </w:p>
    <w:p w:rsidR="008C7751" w:rsidRPr="00E00B35" w:rsidRDefault="008C7751" w:rsidP="00E00B35">
      <w:pPr>
        <w:spacing w:after="0" w:line="312" w:lineRule="auto"/>
        <w:rPr>
          <w:szCs w:val="20"/>
        </w:rPr>
      </w:pPr>
      <w:r w:rsidRPr="00E00B35">
        <w:rPr>
          <w:b/>
          <w:szCs w:val="20"/>
        </w:rPr>
        <w:t xml:space="preserve">CKZ </w:t>
      </w:r>
      <w:r w:rsidRPr="00E00B35">
        <w:rPr>
          <w:szCs w:val="20"/>
        </w:rPr>
        <w:t>– Centrum Kształcenia Zawodowego</w:t>
      </w:r>
    </w:p>
    <w:p w:rsidR="008C7751" w:rsidRPr="00E00B35" w:rsidRDefault="008C7751" w:rsidP="00E00B35">
      <w:pPr>
        <w:spacing w:after="0" w:line="312" w:lineRule="auto"/>
        <w:rPr>
          <w:szCs w:val="20"/>
          <w:lang w:val="pl-PL"/>
        </w:rPr>
      </w:pPr>
      <w:r w:rsidRPr="00E00B35">
        <w:rPr>
          <w:b/>
          <w:szCs w:val="20"/>
          <w:lang w:val="pl-PL"/>
        </w:rPr>
        <w:t>BS I st.</w:t>
      </w:r>
      <w:r w:rsidRPr="00E00B35">
        <w:rPr>
          <w:szCs w:val="20"/>
          <w:lang w:val="pl-PL"/>
        </w:rPr>
        <w:t xml:space="preserve"> – Branżowa Szkoła I stopnia</w:t>
      </w:r>
    </w:p>
    <w:p w:rsidR="008C7751" w:rsidRPr="00E00B35" w:rsidRDefault="008C7751" w:rsidP="00E00B35">
      <w:pPr>
        <w:spacing w:after="0" w:line="312" w:lineRule="auto"/>
        <w:rPr>
          <w:szCs w:val="20"/>
          <w:lang w:val="pl-PL"/>
        </w:rPr>
      </w:pPr>
      <w:r w:rsidRPr="00E00B35">
        <w:rPr>
          <w:b/>
          <w:szCs w:val="20"/>
          <w:lang w:val="pl-PL"/>
        </w:rPr>
        <w:t>BS II st.</w:t>
      </w:r>
      <w:r w:rsidRPr="00E00B35">
        <w:rPr>
          <w:szCs w:val="20"/>
          <w:lang w:val="pl-PL"/>
        </w:rPr>
        <w:t xml:space="preserve"> – Branżowa Szkoła II stopnia</w:t>
      </w:r>
    </w:p>
    <w:p w:rsidR="008C7751" w:rsidRPr="00E00B35" w:rsidRDefault="008C7751" w:rsidP="00E00B35">
      <w:pPr>
        <w:spacing w:after="0" w:line="312" w:lineRule="auto"/>
        <w:rPr>
          <w:szCs w:val="20"/>
          <w:lang w:val="pl-PL"/>
        </w:rPr>
      </w:pPr>
      <w:r w:rsidRPr="00E00B35">
        <w:rPr>
          <w:b/>
          <w:szCs w:val="20"/>
          <w:lang w:val="pl-PL"/>
        </w:rPr>
        <w:t xml:space="preserve">SOSW </w:t>
      </w:r>
      <w:r w:rsidRPr="00E00B35">
        <w:rPr>
          <w:szCs w:val="20"/>
          <w:lang w:val="pl-PL"/>
        </w:rPr>
        <w:t>– Specjalny Ośrodek Szkolno-Wychowawczy</w:t>
      </w:r>
    </w:p>
    <w:p w:rsidR="008C7751" w:rsidRPr="00E00B35" w:rsidRDefault="008C7751" w:rsidP="00E00B35">
      <w:pPr>
        <w:spacing w:after="0" w:line="312" w:lineRule="auto"/>
        <w:rPr>
          <w:szCs w:val="20"/>
          <w:lang w:val="pl-PL"/>
        </w:rPr>
      </w:pPr>
      <w:r w:rsidRPr="00E00B35">
        <w:rPr>
          <w:b/>
          <w:szCs w:val="20"/>
          <w:lang w:val="pl-PL"/>
        </w:rPr>
        <w:t>SS przysp. do zawodu</w:t>
      </w:r>
      <w:r w:rsidRPr="00E00B35">
        <w:rPr>
          <w:szCs w:val="20"/>
          <w:lang w:val="pl-PL"/>
        </w:rPr>
        <w:t xml:space="preserve"> – Szkoła Specjalna przysposabiająca do zawodu</w:t>
      </w:r>
    </w:p>
    <w:p w:rsidR="008C7751" w:rsidRPr="00E00B35" w:rsidRDefault="008C7751" w:rsidP="00E00B35">
      <w:pPr>
        <w:spacing w:after="0" w:line="312" w:lineRule="auto"/>
        <w:rPr>
          <w:szCs w:val="20"/>
          <w:lang w:val="pl-PL"/>
        </w:rPr>
      </w:pPr>
      <w:r w:rsidRPr="00E00B35">
        <w:rPr>
          <w:b/>
          <w:szCs w:val="20"/>
          <w:lang w:val="pl-PL"/>
        </w:rPr>
        <w:t>ZSTiE</w:t>
      </w:r>
      <w:r w:rsidRPr="00E00B35">
        <w:rPr>
          <w:szCs w:val="20"/>
          <w:lang w:val="pl-PL"/>
        </w:rPr>
        <w:t xml:space="preserve"> – Zespół Szkół Teleinformatycznych i Elektronicznych</w:t>
      </w:r>
    </w:p>
    <w:p w:rsidR="008C7751" w:rsidRPr="00E00B35" w:rsidRDefault="008C7751" w:rsidP="00E00B35">
      <w:pPr>
        <w:spacing w:after="0" w:line="312" w:lineRule="auto"/>
        <w:rPr>
          <w:szCs w:val="20"/>
          <w:lang w:val="pl-PL"/>
        </w:rPr>
      </w:pPr>
      <w:r w:rsidRPr="00E00B35">
        <w:rPr>
          <w:b/>
          <w:szCs w:val="20"/>
          <w:lang w:val="pl-PL"/>
        </w:rPr>
        <w:t>EZN</w:t>
      </w:r>
      <w:r w:rsidRPr="00E00B35">
        <w:rPr>
          <w:szCs w:val="20"/>
          <w:lang w:val="pl-PL"/>
        </w:rPr>
        <w:t xml:space="preserve"> – Elektroniczne Zakłady Naukowe</w:t>
      </w:r>
    </w:p>
    <w:p w:rsidR="008C7751" w:rsidRPr="00E00B35" w:rsidRDefault="008C7751" w:rsidP="00E00B35">
      <w:pPr>
        <w:spacing w:after="0" w:line="312" w:lineRule="auto"/>
        <w:rPr>
          <w:szCs w:val="20"/>
          <w:lang w:val="pl-PL"/>
        </w:rPr>
      </w:pPr>
      <w:r w:rsidRPr="00E00B35">
        <w:rPr>
          <w:b/>
          <w:szCs w:val="20"/>
          <w:lang w:val="pl-PL"/>
        </w:rPr>
        <w:t xml:space="preserve">LZN </w:t>
      </w:r>
      <w:r w:rsidRPr="00E00B35">
        <w:rPr>
          <w:szCs w:val="20"/>
          <w:lang w:val="pl-PL"/>
        </w:rPr>
        <w:t xml:space="preserve">– Lotniczne Zakłady Naukowe </w:t>
      </w:r>
    </w:p>
    <w:p w:rsidR="008C7751" w:rsidRPr="00E00B35" w:rsidRDefault="008C7751" w:rsidP="00E00B35">
      <w:pPr>
        <w:spacing w:after="0" w:line="312" w:lineRule="auto"/>
        <w:rPr>
          <w:szCs w:val="20"/>
          <w:lang w:val="pl-PL"/>
        </w:rPr>
      </w:pPr>
      <w:r w:rsidRPr="00E00B35">
        <w:rPr>
          <w:b/>
          <w:szCs w:val="20"/>
          <w:lang w:val="pl-PL"/>
        </w:rPr>
        <w:t xml:space="preserve">PPP </w:t>
      </w:r>
      <w:r w:rsidRPr="00E00B35">
        <w:rPr>
          <w:szCs w:val="20"/>
          <w:lang w:val="pl-PL"/>
        </w:rPr>
        <w:t>– Poradnia Psychologiczno – Pedagogiczna</w:t>
      </w:r>
    </w:p>
    <w:p w:rsidR="008C7751" w:rsidRPr="00E00B35" w:rsidRDefault="008C7751" w:rsidP="00E00B35">
      <w:pPr>
        <w:spacing w:after="0" w:line="312" w:lineRule="auto"/>
        <w:rPr>
          <w:szCs w:val="20"/>
          <w:lang w:val="pl-PL"/>
        </w:rPr>
      </w:pPr>
      <w:r w:rsidRPr="00E00B35">
        <w:rPr>
          <w:b/>
          <w:szCs w:val="20"/>
          <w:lang w:val="pl-PL"/>
        </w:rPr>
        <w:t>MDK</w:t>
      </w:r>
      <w:r w:rsidRPr="00E00B35">
        <w:rPr>
          <w:szCs w:val="20"/>
          <w:lang w:val="pl-PL"/>
        </w:rPr>
        <w:t xml:space="preserve"> – Młodzieżowy Dom Kultury</w:t>
      </w:r>
    </w:p>
    <w:p w:rsidR="008C7751" w:rsidRPr="00E00B35" w:rsidRDefault="008C7751" w:rsidP="00E00B35">
      <w:pPr>
        <w:spacing w:after="0" w:line="312" w:lineRule="auto"/>
        <w:rPr>
          <w:szCs w:val="20"/>
          <w:lang w:val="pl-PL"/>
        </w:rPr>
      </w:pPr>
      <w:r w:rsidRPr="00E00B35">
        <w:rPr>
          <w:b/>
          <w:szCs w:val="20"/>
          <w:lang w:val="pl-PL"/>
        </w:rPr>
        <w:t>WBO</w:t>
      </w:r>
      <w:r w:rsidRPr="00E00B35">
        <w:rPr>
          <w:szCs w:val="20"/>
          <w:lang w:val="pl-PL"/>
        </w:rPr>
        <w:t xml:space="preserve"> – Wrocławski Budżet Obywatelski</w:t>
      </w:r>
    </w:p>
    <w:p w:rsidR="008C7751" w:rsidRPr="00E00B35" w:rsidRDefault="008C7751" w:rsidP="00E00B35">
      <w:pPr>
        <w:spacing w:after="0" w:line="312" w:lineRule="auto"/>
        <w:rPr>
          <w:szCs w:val="20"/>
          <w:lang w:val="pl-PL"/>
        </w:rPr>
      </w:pPr>
      <w:r w:rsidRPr="00E00B35">
        <w:rPr>
          <w:b/>
          <w:szCs w:val="20"/>
          <w:lang w:val="pl-PL"/>
        </w:rPr>
        <w:t>WCDN</w:t>
      </w:r>
      <w:r w:rsidRPr="00E00B35">
        <w:rPr>
          <w:szCs w:val="20"/>
          <w:lang w:val="pl-PL"/>
        </w:rPr>
        <w:t xml:space="preserve"> – Wrocławskie Centrum Doskonalenia Nauczycieli</w:t>
      </w:r>
    </w:p>
    <w:p w:rsidR="008C7751" w:rsidRPr="00E00B35" w:rsidRDefault="008C7751" w:rsidP="00E00B35">
      <w:pPr>
        <w:spacing w:after="0" w:line="312" w:lineRule="auto"/>
        <w:rPr>
          <w:szCs w:val="20"/>
          <w:lang w:val="pl-PL"/>
        </w:rPr>
      </w:pPr>
      <w:r w:rsidRPr="00E00B35">
        <w:rPr>
          <w:b/>
          <w:szCs w:val="20"/>
          <w:lang w:val="pl-PL"/>
        </w:rPr>
        <w:t>MEiN</w:t>
      </w:r>
      <w:r w:rsidRPr="00E00B35">
        <w:rPr>
          <w:szCs w:val="20"/>
          <w:lang w:val="pl-PL"/>
        </w:rPr>
        <w:t xml:space="preserve"> – Ministerstwo Edukacji i Nauki</w:t>
      </w:r>
    </w:p>
    <w:p w:rsidR="008C7751" w:rsidRPr="00E00B35" w:rsidRDefault="008C7751" w:rsidP="00E00B35">
      <w:pPr>
        <w:spacing w:after="0" w:line="312" w:lineRule="auto"/>
        <w:rPr>
          <w:szCs w:val="20"/>
          <w:lang w:val="pl-PL"/>
        </w:rPr>
      </w:pPr>
      <w:r w:rsidRPr="00E00B35">
        <w:rPr>
          <w:b/>
          <w:szCs w:val="20"/>
          <w:lang w:val="pl-PL"/>
        </w:rPr>
        <w:t>MZ</w:t>
      </w:r>
      <w:r w:rsidRPr="00E00B35">
        <w:rPr>
          <w:szCs w:val="20"/>
          <w:lang w:val="pl-PL"/>
        </w:rPr>
        <w:t xml:space="preserve"> – Ministerstwo Zdrowia</w:t>
      </w:r>
    </w:p>
    <w:p w:rsidR="008C7751" w:rsidRPr="00E00B35" w:rsidRDefault="008C7751" w:rsidP="00E00B35">
      <w:pPr>
        <w:spacing w:after="0" w:line="312" w:lineRule="auto"/>
        <w:rPr>
          <w:szCs w:val="20"/>
          <w:lang w:val="pl-PL"/>
        </w:rPr>
      </w:pPr>
      <w:r w:rsidRPr="00E00B35">
        <w:rPr>
          <w:b/>
          <w:szCs w:val="20"/>
          <w:lang w:val="pl-PL"/>
        </w:rPr>
        <w:t xml:space="preserve">GIS </w:t>
      </w:r>
      <w:r w:rsidRPr="00E00B35">
        <w:rPr>
          <w:szCs w:val="20"/>
          <w:lang w:val="pl-PL"/>
        </w:rPr>
        <w:t>– Główny Inspektor Sanitarny</w:t>
      </w:r>
    </w:p>
    <w:p w:rsidR="008C7751" w:rsidRPr="00E00B35" w:rsidRDefault="008C7751" w:rsidP="00E00B35">
      <w:pPr>
        <w:spacing w:after="0" w:line="312" w:lineRule="auto"/>
        <w:rPr>
          <w:szCs w:val="20"/>
          <w:lang w:val="pl-PL"/>
        </w:rPr>
      </w:pPr>
      <w:r w:rsidRPr="00E00B35">
        <w:rPr>
          <w:b/>
          <w:szCs w:val="20"/>
          <w:lang w:val="pl-PL"/>
        </w:rPr>
        <w:t>PSSE</w:t>
      </w:r>
      <w:r w:rsidRPr="00E00B35">
        <w:rPr>
          <w:szCs w:val="20"/>
          <w:lang w:val="pl-PL"/>
        </w:rPr>
        <w:t xml:space="preserve"> – Powiatowa Stacja Sanitarno-Epidemiologiczna</w:t>
      </w:r>
      <w:r w:rsidRPr="00E00B35">
        <w:rPr>
          <w:szCs w:val="20"/>
          <w:lang w:val="pl-PL"/>
        </w:rPr>
        <w:br w:type="page"/>
      </w:r>
    </w:p>
    <w:p w:rsidR="008C7751" w:rsidRPr="00E00B35" w:rsidRDefault="008C7751" w:rsidP="00E00B35">
      <w:pPr>
        <w:pStyle w:val="Nagwek3"/>
        <w:spacing w:after="0" w:line="312" w:lineRule="auto"/>
        <w:rPr>
          <w:sz w:val="20"/>
        </w:rPr>
      </w:pPr>
      <w:bookmarkStart w:id="46" w:name="_Toc61010190"/>
      <w:bookmarkStart w:id="47" w:name="_Toc61010242"/>
      <w:bookmarkStart w:id="48" w:name="_Toc61013141"/>
      <w:bookmarkStart w:id="49" w:name="_Toc61013421"/>
      <w:bookmarkStart w:id="50" w:name="_Toc72411082"/>
      <w:r w:rsidRPr="00E00B35">
        <w:rPr>
          <w:sz w:val="20"/>
        </w:rPr>
        <w:lastRenderedPageBreak/>
        <w:t>Jednostki organizacyjne systemu oświaty prowadzone przez Miasto Wrocław – dane statystyczne</w:t>
      </w:r>
      <w:bookmarkEnd w:id="46"/>
      <w:bookmarkEnd w:id="47"/>
      <w:bookmarkEnd w:id="48"/>
      <w:bookmarkEnd w:id="49"/>
      <w:bookmarkEnd w:id="50"/>
    </w:p>
    <w:p w:rsidR="008C7751" w:rsidRPr="00E00B35" w:rsidRDefault="008C7751" w:rsidP="00E00B35">
      <w:pPr>
        <w:spacing w:after="0" w:line="312" w:lineRule="auto"/>
        <w:rPr>
          <w:rFonts w:eastAsia="BatangChe"/>
          <w:szCs w:val="20"/>
          <w:lang w:val="pl-PL"/>
        </w:rPr>
      </w:pPr>
      <w:r w:rsidRPr="00E00B35">
        <w:rPr>
          <w:rFonts w:eastAsia="BatangChe"/>
          <w:szCs w:val="20"/>
          <w:lang w:val="pl-PL"/>
        </w:rPr>
        <w:t>Dane zostały pobrane z Systemu Informacji Oświatowej, według stanu na dzień 31 grudnia 2020 roku</w:t>
      </w:r>
    </w:p>
    <w:p w:rsidR="008C7751" w:rsidRPr="00E00B35" w:rsidRDefault="008C7751" w:rsidP="00E00B35">
      <w:pPr>
        <w:spacing w:after="0" w:line="312" w:lineRule="auto"/>
        <w:rPr>
          <w:color w:val="000000"/>
          <w:szCs w:val="20"/>
          <w:lang w:val="pl-PL"/>
        </w:rPr>
      </w:pPr>
      <w:r w:rsidRPr="00E00B35">
        <w:rPr>
          <w:color w:val="000000"/>
          <w:szCs w:val="20"/>
          <w:lang w:val="pl-PL"/>
        </w:rPr>
        <w:t>Tabela 1. Szkoły i placówki oświatowe prowadzone przez Miasto w latach 2016 -2020</w:t>
      </w:r>
    </w:p>
    <w:tbl>
      <w:tblPr>
        <w:tblW w:w="9392" w:type="dxa"/>
        <w:tblInd w:w="70" w:type="dxa"/>
        <w:tblLayout w:type="fixed"/>
        <w:tblCellMar>
          <w:left w:w="70" w:type="dxa"/>
          <w:right w:w="70" w:type="dxa"/>
        </w:tblCellMar>
        <w:tblLook w:val="0000"/>
      </w:tblPr>
      <w:tblGrid>
        <w:gridCol w:w="544"/>
        <w:gridCol w:w="3012"/>
        <w:gridCol w:w="980"/>
        <w:gridCol w:w="993"/>
        <w:gridCol w:w="1134"/>
        <w:gridCol w:w="1114"/>
        <w:gridCol w:w="1295"/>
        <w:gridCol w:w="160"/>
        <w:gridCol w:w="160"/>
      </w:tblGrid>
      <w:tr w:rsidR="008C7751" w:rsidRPr="00E00B35" w:rsidTr="008C7751">
        <w:trPr>
          <w:gridAfter w:val="2"/>
          <w:wAfter w:w="320" w:type="dxa"/>
          <w:cantSplit/>
          <w:trHeight w:val="343"/>
          <w:tblHeader/>
        </w:trPr>
        <w:tc>
          <w:tcPr>
            <w:tcW w:w="544"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b/>
                <w:bCs/>
                <w:color w:val="000000"/>
                <w:szCs w:val="20"/>
              </w:rPr>
            </w:pPr>
            <w:r w:rsidRPr="00E00B35">
              <w:rPr>
                <w:b/>
                <w:bCs/>
                <w:color w:val="000000"/>
                <w:szCs w:val="20"/>
              </w:rPr>
              <w:t>Lp.</w:t>
            </w:r>
          </w:p>
        </w:tc>
        <w:tc>
          <w:tcPr>
            <w:tcW w:w="3012"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b/>
                <w:bCs/>
                <w:color w:val="000000"/>
                <w:szCs w:val="20"/>
              </w:rPr>
            </w:pPr>
            <w:r w:rsidRPr="00E00B35">
              <w:rPr>
                <w:b/>
                <w:bCs/>
                <w:color w:val="000000"/>
                <w:szCs w:val="20"/>
              </w:rPr>
              <w:t>Typ szkoły/placówki</w:t>
            </w:r>
          </w:p>
        </w:tc>
        <w:tc>
          <w:tcPr>
            <w:tcW w:w="980" w:type="dxa"/>
            <w:tcBorders>
              <w:top w:val="single" w:sz="4" w:space="0" w:color="auto"/>
              <w:left w:val="nil"/>
              <w:bottom w:val="single" w:sz="4" w:space="0" w:color="auto"/>
              <w:right w:val="nil"/>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2016</w:t>
            </w:r>
          </w:p>
        </w:tc>
        <w:tc>
          <w:tcPr>
            <w:tcW w:w="99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2017</w:t>
            </w:r>
          </w:p>
        </w:tc>
        <w:tc>
          <w:tcPr>
            <w:tcW w:w="1134"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2018</w:t>
            </w:r>
          </w:p>
        </w:tc>
        <w:tc>
          <w:tcPr>
            <w:tcW w:w="1114"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2019</w:t>
            </w:r>
          </w:p>
        </w:tc>
        <w:tc>
          <w:tcPr>
            <w:tcW w:w="1295"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2020</w:t>
            </w:r>
          </w:p>
        </w:tc>
      </w:tr>
      <w:tr w:rsidR="008C7751" w:rsidRPr="00E00B35" w:rsidTr="008C7751">
        <w:trPr>
          <w:gridAfter w:val="2"/>
          <w:wAfter w:w="320" w:type="dxa"/>
          <w:trHeight w:val="405"/>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Przedszkola</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105</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108</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108</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110</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110</w:t>
            </w:r>
          </w:p>
        </w:tc>
      </w:tr>
      <w:tr w:rsidR="008C7751" w:rsidRPr="00E00B35" w:rsidTr="008C7751">
        <w:trPr>
          <w:gridAfter w:val="2"/>
          <w:wAfter w:w="320" w:type="dxa"/>
          <w:trHeight w:val="405"/>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Przedszkola specjalne</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r>
      <w:tr w:rsidR="008C7751" w:rsidRPr="00E00B35" w:rsidTr="008C7751">
        <w:trPr>
          <w:gridAfter w:val="2"/>
          <w:wAfter w:w="320" w:type="dxa"/>
          <w:trHeight w:val="405"/>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Szkoły podstawowe</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71</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80</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82</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82</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82</w:t>
            </w:r>
          </w:p>
        </w:tc>
      </w:tr>
      <w:tr w:rsidR="008C7751" w:rsidRPr="00E00B35" w:rsidTr="008C7751">
        <w:trPr>
          <w:gridAfter w:val="2"/>
          <w:wAfter w:w="320" w:type="dxa"/>
          <w:trHeight w:val="405"/>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Szkoły podstawowe muzyczne</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r>
      <w:tr w:rsidR="008C7751" w:rsidRPr="00E00B35" w:rsidTr="008C7751">
        <w:trPr>
          <w:gridAfter w:val="2"/>
          <w:wAfter w:w="320" w:type="dxa"/>
          <w:trHeight w:val="405"/>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Szkoły podstawowe specjalne</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10</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9</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9</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10</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10</w:t>
            </w:r>
          </w:p>
        </w:tc>
      </w:tr>
      <w:tr w:rsidR="008C7751" w:rsidRPr="00E00B35" w:rsidTr="008C7751">
        <w:trPr>
          <w:gridAfter w:val="2"/>
          <w:wAfter w:w="320" w:type="dxa"/>
          <w:trHeight w:val="293"/>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single" w:sz="4" w:space="0" w:color="auto"/>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Gimnazja</w:t>
            </w:r>
          </w:p>
        </w:tc>
        <w:tc>
          <w:tcPr>
            <w:tcW w:w="980"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40</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16</w:t>
            </w:r>
          </w:p>
        </w:tc>
        <w:tc>
          <w:tcPr>
            <w:tcW w:w="113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13</w:t>
            </w:r>
          </w:p>
        </w:tc>
        <w:tc>
          <w:tcPr>
            <w:tcW w:w="111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295" w:type="dxa"/>
            <w:tcBorders>
              <w:top w:val="single" w:sz="4" w:space="0" w:color="auto"/>
              <w:left w:val="single" w:sz="4" w:space="0" w:color="auto"/>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r>
      <w:tr w:rsidR="008C7751" w:rsidRPr="00E00B35" w:rsidTr="008C7751">
        <w:trPr>
          <w:gridAfter w:val="2"/>
          <w:wAfter w:w="320" w:type="dxa"/>
          <w:trHeight w:val="269"/>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Gimnazja specjalne</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10</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9</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9</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r>
      <w:tr w:rsidR="008C7751" w:rsidRPr="00E00B35" w:rsidTr="008C7751">
        <w:trPr>
          <w:gridAfter w:val="2"/>
          <w:wAfter w:w="320" w:type="dxa"/>
          <w:trHeight w:val="405"/>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Licea ogólnokształcące</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20</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19</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18</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18</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18</w:t>
            </w:r>
          </w:p>
        </w:tc>
      </w:tr>
      <w:tr w:rsidR="008C7751" w:rsidRPr="00E00B35" w:rsidTr="008C7751">
        <w:trPr>
          <w:gridAfter w:val="2"/>
          <w:wAfter w:w="320" w:type="dxa"/>
          <w:trHeight w:val="405"/>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Licea ogólnokształcące specjalne</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r>
      <w:tr w:rsidR="008C7751" w:rsidRPr="00E00B35" w:rsidTr="008C7751">
        <w:trPr>
          <w:gridAfter w:val="2"/>
          <w:wAfter w:w="320" w:type="dxa"/>
          <w:trHeight w:val="405"/>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lang w:val="pl-PL"/>
              </w:rPr>
            </w:pPr>
            <w:r w:rsidRPr="00E00B35">
              <w:rPr>
                <w:color w:val="000000"/>
                <w:szCs w:val="20"/>
                <w:lang w:val="pl-PL"/>
              </w:rPr>
              <w:t>Licea Ogólnokształcące z oddziałami Mistrzostwa Sportowego</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r>
      <w:tr w:rsidR="008C7751" w:rsidRPr="00E00B35" w:rsidTr="008C7751">
        <w:trPr>
          <w:gridAfter w:val="2"/>
          <w:wAfter w:w="320" w:type="dxa"/>
          <w:trHeight w:val="346"/>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Technika</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16</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15</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15</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17</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17</w:t>
            </w:r>
          </w:p>
        </w:tc>
      </w:tr>
      <w:tr w:rsidR="008C7751" w:rsidRPr="00E00B35" w:rsidTr="008C7751">
        <w:trPr>
          <w:gridAfter w:val="2"/>
          <w:wAfter w:w="320" w:type="dxa"/>
          <w:trHeight w:val="261"/>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Zasadnicze szkoły zawodowe</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9</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r>
      <w:tr w:rsidR="008C7751" w:rsidRPr="00E00B35" w:rsidTr="008C7751">
        <w:trPr>
          <w:gridAfter w:val="2"/>
          <w:wAfter w:w="320" w:type="dxa"/>
          <w:trHeight w:val="300"/>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Branżowa Szkoła I stopnia</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9</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9</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9</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9</w:t>
            </w:r>
          </w:p>
        </w:tc>
      </w:tr>
      <w:tr w:rsidR="008C7751" w:rsidRPr="00E00B35" w:rsidTr="008C7751">
        <w:trPr>
          <w:gridAfter w:val="2"/>
          <w:wAfter w:w="320" w:type="dxa"/>
          <w:trHeight w:val="276"/>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Branżowa Szkoła II stopnia</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9</w:t>
            </w:r>
          </w:p>
        </w:tc>
      </w:tr>
      <w:tr w:rsidR="008C7751" w:rsidRPr="00E00B35" w:rsidTr="008C7751">
        <w:trPr>
          <w:gridAfter w:val="2"/>
          <w:wAfter w:w="320" w:type="dxa"/>
          <w:trHeight w:val="393"/>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Zasadnicze szkoły zawodowe specjalne</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5</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r>
      <w:tr w:rsidR="008C7751" w:rsidRPr="00E00B35" w:rsidTr="008C7751">
        <w:trPr>
          <w:gridAfter w:val="2"/>
          <w:wAfter w:w="320" w:type="dxa"/>
          <w:trHeight w:val="393"/>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lang w:val="pl-PL"/>
              </w:rPr>
            </w:pPr>
            <w:r w:rsidRPr="00E00B35">
              <w:rPr>
                <w:color w:val="000000"/>
                <w:szCs w:val="20"/>
                <w:lang w:val="pl-PL"/>
              </w:rPr>
              <w:t>Branżowa Szkoła specjalna I stopnia</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r>
      <w:tr w:rsidR="008C7751" w:rsidRPr="00E00B35" w:rsidTr="008C7751">
        <w:trPr>
          <w:gridAfter w:val="2"/>
          <w:wAfter w:w="320" w:type="dxa"/>
          <w:trHeight w:val="405"/>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color w:val="000000"/>
                <w:szCs w:val="20"/>
                <w:lang w:val="pl-PL"/>
              </w:rPr>
            </w:pPr>
            <w:r w:rsidRPr="00E00B35">
              <w:rPr>
                <w:color w:val="000000"/>
                <w:szCs w:val="20"/>
                <w:lang w:val="pl-PL"/>
              </w:rPr>
              <w:t>Szkoła specjalna przysposabiająca do pracy</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r>
      <w:tr w:rsidR="008C7751" w:rsidRPr="00E00B35" w:rsidTr="008C7751">
        <w:trPr>
          <w:gridAfter w:val="2"/>
          <w:wAfter w:w="320" w:type="dxa"/>
          <w:trHeight w:val="195"/>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Szkoły policealne</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7</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r>
      <w:tr w:rsidR="008C7751" w:rsidRPr="00E00B35" w:rsidTr="008C7751">
        <w:trPr>
          <w:gridAfter w:val="2"/>
          <w:wAfter w:w="320" w:type="dxa"/>
          <w:trHeight w:val="276"/>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Szkoły plastyczne</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r>
      <w:tr w:rsidR="008C7751" w:rsidRPr="00E00B35" w:rsidTr="008C7751">
        <w:trPr>
          <w:gridAfter w:val="2"/>
          <w:wAfter w:w="320" w:type="dxa"/>
          <w:trHeight w:val="405"/>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Centrum Kształcenia Zawodowego</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r>
      <w:tr w:rsidR="008C7751" w:rsidRPr="00E00B35" w:rsidTr="008C7751">
        <w:trPr>
          <w:gridAfter w:val="2"/>
          <w:wAfter w:w="320" w:type="dxa"/>
          <w:trHeight w:val="484"/>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lang w:val="pl-PL"/>
              </w:rPr>
            </w:pPr>
            <w:r w:rsidRPr="00E00B35">
              <w:rPr>
                <w:color w:val="000000"/>
                <w:szCs w:val="20"/>
                <w:lang w:val="pl-PL"/>
              </w:rPr>
              <w:t>Specjalne Ośrodki Szkolno-Wychowawcze z internatami</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3</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3</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3</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3</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3</w:t>
            </w:r>
          </w:p>
        </w:tc>
      </w:tr>
      <w:tr w:rsidR="008C7751" w:rsidRPr="00E00B35" w:rsidTr="008C7751">
        <w:trPr>
          <w:gridAfter w:val="2"/>
          <w:wAfter w:w="320" w:type="dxa"/>
          <w:trHeight w:val="282"/>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Internaty</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3</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5</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5</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5</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r>
      <w:tr w:rsidR="008C7751" w:rsidRPr="00E00B35" w:rsidTr="008C7751">
        <w:trPr>
          <w:gridAfter w:val="2"/>
          <w:wAfter w:w="320" w:type="dxa"/>
          <w:trHeight w:val="393"/>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Młodzieżowe Ośrodki Wychowawcze</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r>
      <w:tr w:rsidR="008C7751" w:rsidRPr="00E00B35" w:rsidTr="008C7751">
        <w:trPr>
          <w:gridAfter w:val="2"/>
          <w:wAfter w:w="320" w:type="dxa"/>
          <w:trHeight w:val="405"/>
        </w:trPr>
        <w:tc>
          <w:tcPr>
            <w:tcW w:w="544"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Młodzieżowe Ośrodki Socjoterapii</w:t>
            </w:r>
          </w:p>
        </w:tc>
        <w:tc>
          <w:tcPr>
            <w:tcW w:w="980" w:type="dxa"/>
            <w:tcBorders>
              <w:top w:val="nil"/>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993" w:type="dxa"/>
            <w:tcBorders>
              <w:top w:val="nil"/>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3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14"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295"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r>
      <w:tr w:rsidR="008C7751" w:rsidRPr="00E00B35" w:rsidTr="008C7751">
        <w:trPr>
          <w:gridAfter w:val="2"/>
          <w:wAfter w:w="320" w:type="dxa"/>
          <w:trHeight w:val="393"/>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Poradnie Psychologiczno-Pedagogiczne</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r>
      <w:tr w:rsidR="008C7751" w:rsidRPr="00E00B35" w:rsidTr="008C7751">
        <w:trPr>
          <w:gridAfter w:val="2"/>
          <w:wAfter w:w="320" w:type="dxa"/>
          <w:trHeight w:val="219"/>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Młodzieżowe Domy Kultury</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5</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5</w:t>
            </w:r>
          </w:p>
        </w:tc>
      </w:tr>
      <w:tr w:rsidR="008C7751" w:rsidRPr="00E00B35" w:rsidTr="008C7751">
        <w:trPr>
          <w:gridAfter w:val="2"/>
          <w:wAfter w:w="320" w:type="dxa"/>
          <w:trHeight w:val="484"/>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Wrocławskie Centrum Doskonalenia Nauczycieli</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r>
      <w:tr w:rsidR="008C7751" w:rsidRPr="00E00B35" w:rsidTr="008C7751">
        <w:trPr>
          <w:gridAfter w:val="2"/>
          <w:wAfter w:w="320" w:type="dxa"/>
          <w:trHeight w:val="484"/>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Ośrodek Dokształcania i Doskonalenia Zawodowego nr1 </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0</w:t>
            </w:r>
          </w:p>
        </w:tc>
      </w:tr>
      <w:tr w:rsidR="008C7751" w:rsidRPr="00E00B35" w:rsidTr="008C7751">
        <w:trPr>
          <w:gridAfter w:val="2"/>
          <w:wAfter w:w="320" w:type="dxa"/>
          <w:trHeight w:val="276"/>
        </w:trPr>
        <w:tc>
          <w:tcPr>
            <w:tcW w:w="544"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numPr>
                <w:ilvl w:val="0"/>
                <w:numId w:val="1"/>
              </w:numPr>
              <w:spacing w:after="0" w:line="312" w:lineRule="auto"/>
              <w:ind w:left="0" w:firstLine="0"/>
              <w:rPr>
                <w:color w:val="000000"/>
                <w:szCs w:val="20"/>
              </w:rPr>
            </w:pPr>
          </w:p>
        </w:tc>
        <w:tc>
          <w:tcPr>
            <w:tcW w:w="3012"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color w:val="000000"/>
                <w:szCs w:val="20"/>
              </w:rPr>
            </w:pPr>
            <w:r w:rsidRPr="00E00B35">
              <w:rPr>
                <w:color w:val="000000"/>
                <w:szCs w:val="20"/>
              </w:rPr>
              <w:t>Schroniska młodzieżowe</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r>
      <w:tr w:rsidR="008C7751" w:rsidRPr="00E00B35" w:rsidTr="008C7751">
        <w:trPr>
          <w:trHeight w:val="256"/>
        </w:trPr>
        <w:tc>
          <w:tcPr>
            <w:tcW w:w="3556" w:type="dxa"/>
            <w:gridSpan w:val="2"/>
            <w:tcBorders>
              <w:top w:val="single" w:sz="4" w:space="0" w:color="auto"/>
              <w:left w:val="single" w:sz="4" w:space="0" w:color="auto"/>
              <w:bottom w:val="single" w:sz="4" w:space="0" w:color="auto"/>
              <w:right w:val="single" w:sz="4" w:space="0" w:color="000000"/>
            </w:tcBorders>
            <w:noWrap/>
            <w:vAlign w:val="bottom"/>
          </w:tcPr>
          <w:p w:rsidR="008C7751" w:rsidRPr="00E00B35" w:rsidRDefault="008C7751" w:rsidP="00E00B35">
            <w:pPr>
              <w:spacing w:after="0" w:line="312" w:lineRule="auto"/>
              <w:rPr>
                <w:bCs/>
                <w:color w:val="000000"/>
                <w:szCs w:val="20"/>
              </w:rPr>
            </w:pPr>
            <w:r w:rsidRPr="00E00B35">
              <w:rPr>
                <w:bCs/>
                <w:color w:val="000000"/>
                <w:szCs w:val="20"/>
              </w:rPr>
              <w:t>Razem</w:t>
            </w:r>
          </w:p>
        </w:tc>
        <w:tc>
          <w:tcPr>
            <w:tcW w:w="980" w:type="dxa"/>
            <w:tcBorders>
              <w:top w:val="single" w:sz="4" w:space="0" w:color="auto"/>
              <w:left w:val="nil"/>
              <w:bottom w:val="single" w:sz="4" w:space="0" w:color="auto"/>
              <w:right w:val="nil"/>
            </w:tcBorders>
            <w:noWrap/>
            <w:vAlign w:val="bottom"/>
          </w:tcPr>
          <w:p w:rsidR="008C7751" w:rsidRPr="00E00B35" w:rsidRDefault="008C7751" w:rsidP="00E00B35">
            <w:pPr>
              <w:spacing w:after="0" w:line="312" w:lineRule="auto"/>
              <w:rPr>
                <w:bCs/>
                <w:color w:val="000000"/>
                <w:szCs w:val="20"/>
              </w:rPr>
            </w:pPr>
            <w:r w:rsidRPr="00E00B35">
              <w:rPr>
                <w:rFonts w:cs="Arial"/>
                <w:bCs/>
                <w:color w:val="000000"/>
                <w:szCs w:val="20"/>
              </w:rPr>
              <w:t>327</w:t>
            </w:r>
          </w:p>
        </w:tc>
        <w:tc>
          <w:tcPr>
            <w:tcW w:w="993" w:type="dxa"/>
            <w:tcBorders>
              <w:top w:val="single" w:sz="4" w:space="0" w:color="auto"/>
              <w:left w:val="single" w:sz="4" w:space="0" w:color="auto"/>
              <w:bottom w:val="single" w:sz="4" w:space="0" w:color="auto"/>
              <w:right w:val="single" w:sz="4" w:space="0" w:color="auto"/>
            </w:tcBorders>
            <w:noWrap/>
            <w:vAlign w:val="bottom"/>
          </w:tcPr>
          <w:p w:rsidR="008C7751" w:rsidRPr="00E00B35" w:rsidRDefault="008C7751" w:rsidP="00E00B35">
            <w:pPr>
              <w:spacing w:after="0" w:line="312" w:lineRule="auto"/>
              <w:rPr>
                <w:rFonts w:cs="Arial"/>
                <w:bCs/>
                <w:color w:val="000000"/>
                <w:szCs w:val="20"/>
              </w:rPr>
            </w:pPr>
            <w:r w:rsidRPr="00E00B35">
              <w:rPr>
                <w:rFonts w:cs="Arial"/>
                <w:bCs/>
                <w:color w:val="000000"/>
                <w:szCs w:val="20"/>
              </w:rPr>
              <w:t>308</w:t>
            </w:r>
          </w:p>
        </w:tc>
        <w:tc>
          <w:tcPr>
            <w:tcW w:w="1134" w:type="dxa"/>
            <w:tcBorders>
              <w:top w:val="single" w:sz="4" w:space="0" w:color="auto"/>
              <w:left w:val="nil"/>
              <w:bottom w:val="single" w:sz="4" w:space="0" w:color="auto"/>
              <w:right w:val="single" w:sz="4" w:space="0" w:color="auto"/>
            </w:tcBorders>
            <w:noWrap/>
            <w:vAlign w:val="bottom"/>
          </w:tcPr>
          <w:p w:rsidR="008C7751" w:rsidRPr="00E00B35" w:rsidRDefault="00573162" w:rsidP="00E00B35">
            <w:pPr>
              <w:spacing w:after="0" w:line="312" w:lineRule="auto"/>
              <w:rPr>
                <w:rFonts w:cs="Arial"/>
                <w:bCs/>
                <w:color w:val="000000"/>
                <w:szCs w:val="20"/>
              </w:rPr>
            </w:pPr>
            <w:r w:rsidRPr="00E00B35">
              <w:rPr>
                <w:rFonts w:cs="Arial"/>
                <w:bCs/>
                <w:color w:val="000000"/>
                <w:szCs w:val="20"/>
              </w:rPr>
              <w:fldChar w:fldCharType="begin"/>
            </w:r>
            <w:r w:rsidR="008C7751" w:rsidRPr="00E00B35">
              <w:rPr>
                <w:rFonts w:cs="Arial"/>
                <w:bCs/>
                <w:color w:val="000000"/>
                <w:szCs w:val="20"/>
              </w:rPr>
              <w:instrText xml:space="preserve"> =SUM(ABOVE) </w:instrText>
            </w:r>
            <w:r w:rsidRPr="00E00B35">
              <w:rPr>
                <w:rFonts w:cs="Arial"/>
                <w:bCs/>
                <w:color w:val="000000"/>
                <w:szCs w:val="20"/>
              </w:rPr>
              <w:fldChar w:fldCharType="separate"/>
            </w:r>
            <w:r w:rsidR="008C7751" w:rsidRPr="00E00B35">
              <w:rPr>
                <w:rFonts w:cs="Arial"/>
                <w:bCs/>
                <w:noProof/>
                <w:color w:val="000000"/>
                <w:szCs w:val="20"/>
              </w:rPr>
              <w:t>306</w:t>
            </w:r>
            <w:r w:rsidRPr="00E00B35">
              <w:rPr>
                <w:rFonts w:cs="Arial"/>
                <w:bCs/>
                <w:color w:val="000000"/>
                <w:szCs w:val="20"/>
              </w:rPr>
              <w:fldChar w:fldCharType="end"/>
            </w:r>
          </w:p>
        </w:tc>
        <w:tc>
          <w:tcPr>
            <w:tcW w:w="1114"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bCs/>
                <w:color w:val="000000"/>
                <w:szCs w:val="20"/>
              </w:rPr>
            </w:pPr>
            <w:r w:rsidRPr="00E00B35">
              <w:rPr>
                <w:rFonts w:cs="Arial"/>
                <w:bCs/>
                <w:color w:val="000000"/>
                <w:szCs w:val="20"/>
              </w:rPr>
              <w:t>292</w:t>
            </w:r>
          </w:p>
        </w:tc>
        <w:tc>
          <w:tcPr>
            <w:tcW w:w="1295" w:type="dxa"/>
            <w:tcBorders>
              <w:top w:val="single" w:sz="4" w:space="0" w:color="auto"/>
              <w:left w:val="nil"/>
              <w:bottom w:val="single" w:sz="4" w:space="0" w:color="auto"/>
              <w:right w:val="single" w:sz="4" w:space="0" w:color="auto"/>
            </w:tcBorders>
            <w:vAlign w:val="bottom"/>
          </w:tcPr>
          <w:p w:rsidR="008C7751" w:rsidRPr="00E00B35" w:rsidRDefault="008C7751" w:rsidP="00E00B35">
            <w:pPr>
              <w:spacing w:after="0" w:line="312" w:lineRule="auto"/>
              <w:rPr>
                <w:rFonts w:cs="Arial"/>
                <w:bCs/>
                <w:color w:val="000000"/>
                <w:szCs w:val="20"/>
              </w:rPr>
            </w:pPr>
            <w:r w:rsidRPr="00E00B35">
              <w:rPr>
                <w:rFonts w:cs="Arial"/>
                <w:bCs/>
                <w:color w:val="000000"/>
                <w:szCs w:val="20"/>
              </w:rPr>
              <w:t>302</w:t>
            </w:r>
          </w:p>
        </w:tc>
        <w:tc>
          <w:tcPr>
            <w:tcW w:w="160" w:type="dxa"/>
            <w:vAlign w:val="bottom"/>
          </w:tcPr>
          <w:p w:rsidR="008C7751" w:rsidRPr="00E00B35" w:rsidRDefault="008C7751" w:rsidP="00E00B35">
            <w:pPr>
              <w:spacing w:after="0" w:line="312" w:lineRule="auto"/>
              <w:rPr>
                <w:rFonts w:cs="Arial"/>
                <w:bCs/>
                <w:color w:val="000000"/>
                <w:szCs w:val="20"/>
              </w:rPr>
            </w:pPr>
          </w:p>
        </w:tc>
        <w:tc>
          <w:tcPr>
            <w:tcW w:w="160" w:type="dxa"/>
            <w:vAlign w:val="bottom"/>
          </w:tcPr>
          <w:p w:rsidR="008C7751" w:rsidRPr="00E00B35" w:rsidRDefault="008C7751" w:rsidP="00E00B35">
            <w:pPr>
              <w:spacing w:after="0" w:line="312" w:lineRule="auto"/>
              <w:rPr>
                <w:rFonts w:cs="Arial"/>
                <w:bCs/>
                <w:color w:val="000000"/>
                <w:szCs w:val="20"/>
              </w:rPr>
            </w:pPr>
          </w:p>
        </w:tc>
      </w:tr>
    </w:tbl>
    <w:p w:rsidR="008C7751" w:rsidRPr="00E00B35" w:rsidRDefault="008C7751" w:rsidP="00E00B35">
      <w:pPr>
        <w:pStyle w:val="SprawozdanieDSSZnakZnak"/>
        <w:tabs>
          <w:tab w:val="clear" w:pos="643"/>
        </w:tabs>
        <w:spacing w:after="0" w:line="312" w:lineRule="auto"/>
        <w:ind w:left="0" w:firstLine="0"/>
        <w:jc w:val="left"/>
        <w:rPr>
          <w:color w:val="000000"/>
          <w:szCs w:val="20"/>
        </w:rPr>
      </w:pPr>
    </w:p>
    <w:p w:rsidR="008C7751" w:rsidRPr="00E00B35" w:rsidRDefault="008C7751" w:rsidP="00E00B35">
      <w:pPr>
        <w:pStyle w:val="SprawozdanieDSSZnakZnak"/>
        <w:tabs>
          <w:tab w:val="clear" w:pos="643"/>
        </w:tabs>
        <w:spacing w:after="0" w:line="312" w:lineRule="auto"/>
        <w:ind w:left="0" w:firstLine="0"/>
        <w:jc w:val="left"/>
        <w:rPr>
          <w:color w:val="000000"/>
          <w:szCs w:val="20"/>
          <w:lang w:val="pl-PL"/>
        </w:rPr>
      </w:pPr>
      <w:r w:rsidRPr="00E00B35">
        <w:rPr>
          <w:color w:val="000000"/>
          <w:szCs w:val="20"/>
          <w:lang w:val="pl-PL"/>
        </w:rPr>
        <w:t>Tabela 2. Struktura przedszkoli w roku szkolnym 2020/2021</w:t>
      </w:r>
    </w:p>
    <w:tbl>
      <w:tblPr>
        <w:tblW w:w="9077" w:type="dxa"/>
        <w:tblInd w:w="65" w:type="dxa"/>
        <w:tblLayout w:type="fixed"/>
        <w:tblCellMar>
          <w:left w:w="70" w:type="dxa"/>
          <w:right w:w="70" w:type="dxa"/>
        </w:tblCellMar>
        <w:tblLook w:val="0000"/>
      </w:tblPr>
      <w:tblGrid>
        <w:gridCol w:w="1990"/>
        <w:gridCol w:w="1276"/>
        <w:gridCol w:w="1417"/>
        <w:gridCol w:w="851"/>
        <w:gridCol w:w="1134"/>
        <w:gridCol w:w="2409"/>
      </w:tblGrid>
      <w:tr w:rsidR="008C7751" w:rsidRPr="00E00B35" w:rsidTr="008C7751">
        <w:trPr>
          <w:cantSplit/>
          <w:trHeight w:val="355"/>
          <w:tblHeader/>
        </w:trPr>
        <w:tc>
          <w:tcPr>
            <w:tcW w:w="199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Przedszkola</w:t>
            </w:r>
          </w:p>
        </w:tc>
        <w:tc>
          <w:tcPr>
            <w:tcW w:w="1276"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Liczba jednostek</w:t>
            </w:r>
          </w:p>
        </w:tc>
        <w:tc>
          <w:tcPr>
            <w:tcW w:w="1417"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Liczba oddziałów</w:t>
            </w:r>
          </w:p>
        </w:tc>
        <w:tc>
          <w:tcPr>
            <w:tcW w:w="851"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Liczba dzieci</w:t>
            </w:r>
          </w:p>
        </w:tc>
        <w:tc>
          <w:tcPr>
            <w:tcW w:w="1134"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Średniaw oddziale</w:t>
            </w:r>
          </w:p>
        </w:tc>
        <w:tc>
          <w:tcPr>
            <w:tcW w:w="2409" w:type="dxa"/>
            <w:tcBorders>
              <w:top w:val="single" w:sz="4" w:space="0" w:color="auto"/>
              <w:left w:val="nil"/>
              <w:bottom w:val="single" w:sz="4" w:space="0" w:color="auto"/>
              <w:right w:val="single" w:sz="4" w:space="0" w:color="auto"/>
            </w:tcBorders>
            <w:shd w:val="clear" w:color="auto" w:fill="FFFFFF"/>
            <w:vAlign w:val="center"/>
          </w:tcPr>
          <w:p w:rsidR="008C7751" w:rsidRPr="00E00B35" w:rsidRDefault="008C7751" w:rsidP="00E00B35">
            <w:pPr>
              <w:spacing w:after="0" w:line="312" w:lineRule="auto"/>
              <w:rPr>
                <w:rFonts w:cs="Arial"/>
                <w:b/>
                <w:bCs/>
                <w:color w:val="000000"/>
                <w:szCs w:val="20"/>
                <w:lang w:val="pl-PL"/>
              </w:rPr>
            </w:pPr>
            <w:r w:rsidRPr="00E00B35">
              <w:rPr>
                <w:rFonts w:cs="Arial"/>
                <w:b/>
                <w:bCs/>
                <w:color w:val="000000"/>
                <w:szCs w:val="20"/>
                <w:lang w:val="pl-PL"/>
              </w:rPr>
              <w:t>Procentowa zmiana liczby dzieci w stosunku do roku poprzedniego</w:t>
            </w:r>
          </w:p>
        </w:tc>
      </w:tr>
      <w:tr w:rsidR="008C7751" w:rsidRPr="00E00B35" w:rsidTr="008C7751">
        <w:trPr>
          <w:trHeight w:val="420"/>
        </w:trPr>
        <w:tc>
          <w:tcPr>
            <w:tcW w:w="1990"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lang w:val="pl-PL"/>
              </w:rPr>
            </w:pPr>
            <w:r w:rsidRPr="00E00B35">
              <w:rPr>
                <w:rFonts w:cs="Arial"/>
                <w:bCs/>
                <w:color w:val="000000"/>
                <w:szCs w:val="20"/>
                <w:lang w:val="pl-PL"/>
              </w:rPr>
              <w:t>Prowadzone przez Jednostki Samorządu Terytorialnego</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111</w:t>
            </w:r>
          </w:p>
        </w:tc>
        <w:tc>
          <w:tcPr>
            <w:tcW w:w="1417"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711</w:t>
            </w:r>
          </w:p>
        </w:tc>
        <w:tc>
          <w:tcPr>
            <w:tcW w:w="851"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16 056</w:t>
            </w:r>
          </w:p>
        </w:tc>
        <w:tc>
          <w:tcPr>
            <w:tcW w:w="1134"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22,58</w:t>
            </w:r>
          </w:p>
        </w:tc>
        <w:tc>
          <w:tcPr>
            <w:tcW w:w="2409"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-0,53%</w:t>
            </w:r>
          </w:p>
        </w:tc>
      </w:tr>
      <w:tr w:rsidR="008C7751" w:rsidRPr="00E00B35" w:rsidTr="008C7751">
        <w:trPr>
          <w:trHeight w:val="420"/>
        </w:trPr>
        <w:tc>
          <w:tcPr>
            <w:tcW w:w="1990"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lang w:val="pl-PL"/>
              </w:rPr>
            </w:pPr>
            <w:r w:rsidRPr="00E00B35">
              <w:rPr>
                <w:rFonts w:cs="Arial"/>
                <w:bCs/>
                <w:color w:val="000000"/>
                <w:szCs w:val="20"/>
                <w:lang w:val="pl-PL"/>
              </w:rPr>
              <w:t>Prowadzone przez osoby fizyczne lub osoby prawne inne niż Jednostki Samorządu Terytorialnego</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99</w:t>
            </w:r>
          </w:p>
        </w:tc>
        <w:tc>
          <w:tcPr>
            <w:tcW w:w="1417"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448</w:t>
            </w:r>
          </w:p>
        </w:tc>
        <w:tc>
          <w:tcPr>
            <w:tcW w:w="851"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8 926</w:t>
            </w:r>
          </w:p>
        </w:tc>
        <w:tc>
          <w:tcPr>
            <w:tcW w:w="1134"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19,92</w:t>
            </w:r>
          </w:p>
        </w:tc>
        <w:tc>
          <w:tcPr>
            <w:tcW w:w="2409"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13,17%</w:t>
            </w:r>
          </w:p>
        </w:tc>
      </w:tr>
      <w:tr w:rsidR="008C7751" w:rsidRPr="00E00B35" w:rsidTr="008C7751">
        <w:trPr>
          <w:trHeight w:val="420"/>
        </w:trPr>
        <w:tc>
          <w:tcPr>
            <w:tcW w:w="1990"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Razem bez punktów przedszkolnych</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210</w:t>
            </w:r>
          </w:p>
        </w:tc>
        <w:tc>
          <w:tcPr>
            <w:tcW w:w="1417"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1 159</w:t>
            </w:r>
          </w:p>
        </w:tc>
        <w:tc>
          <w:tcPr>
            <w:tcW w:w="851"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24 982</w:t>
            </w:r>
          </w:p>
        </w:tc>
        <w:tc>
          <w:tcPr>
            <w:tcW w:w="1134"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21,55</w:t>
            </w:r>
          </w:p>
        </w:tc>
        <w:tc>
          <w:tcPr>
            <w:tcW w:w="2409"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3,97%</w:t>
            </w:r>
          </w:p>
        </w:tc>
      </w:tr>
      <w:tr w:rsidR="008C7751" w:rsidRPr="00E00B35" w:rsidTr="008C7751">
        <w:trPr>
          <w:trHeight w:val="67"/>
        </w:trPr>
        <w:tc>
          <w:tcPr>
            <w:tcW w:w="1990"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 xml:space="preserve">Punkty przedszkolne </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91</w:t>
            </w:r>
          </w:p>
        </w:tc>
        <w:tc>
          <w:tcPr>
            <w:tcW w:w="1417"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116</w:t>
            </w:r>
          </w:p>
        </w:tc>
        <w:tc>
          <w:tcPr>
            <w:tcW w:w="851"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1 570</w:t>
            </w:r>
          </w:p>
        </w:tc>
        <w:tc>
          <w:tcPr>
            <w:tcW w:w="1134"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13,53</w:t>
            </w:r>
          </w:p>
        </w:tc>
        <w:tc>
          <w:tcPr>
            <w:tcW w:w="2409"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-2,61%</w:t>
            </w:r>
          </w:p>
        </w:tc>
      </w:tr>
    </w:tbl>
    <w:p w:rsidR="008C7751" w:rsidRPr="00E00B35" w:rsidRDefault="008C7751" w:rsidP="00E00B35">
      <w:pPr>
        <w:spacing w:after="0" w:line="312" w:lineRule="auto"/>
        <w:rPr>
          <w:color w:val="000000"/>
          <w:szCs w:val="20"/>
        </w:rPr>
      </w:pPr>
    </w:p>
    <w:p w:rsidR="008C7751" w:rsidRPr="00E00B35" w:rsidRDefault="008C7751" w:rsidP="00E00B35">
      <w:pPr>
        <w:spacing w:after="0" w:line="312" w:lineRule="auto"/>
        <w:rPr>
          <w:color w:val="000000"/>
          <w:szCs w:val="20"/>
          <w:lang w:val="pl-PL"/>
        </w:rPr>
      </w:pPr>
      <w:r w:rsidRPr="00E00B35">
        <w:rPr>
          <w:color w:val="000000"/>
          <w:szCs w:val="20"/>
          <w:lang w:val="pl-PL"/>
        </w:rPr>
        <w:t>Tabela 3.  Struktura szkół podstawowych w roku szkolnym 2020/2021</w:t>
      </w:r>
    </w:p>
    <w:tbl>
      <w:tblPr>
        <w:tblW w:w="9077" w:type="dxa"/>
        <w:tblInd w:w="65" w:type="dxa"/>
        <w:tblLayout w:type="fixed"/>
        <w:tblCellMar>
          <w:left w:w="70" w:type="dxa"/>
          <w:right w:w="70" w:type="dxa"/>
        </w:tblCellMar>
        <w:tblLook w:val="0000"/>
      </w:tblPr>
      <w:tblGrid>
        <w:gridCol w:w="572"/>
        <w:gridCol w:w="1701"/>
        <w:gridCol w:w="1418"/>
        <w:gridCol w:w="1559"/>
        <w:gridCol w:w="1276"/>
        <w:gridCol w:w="2551"/>
      </w:tblGrid>
      <w:tr w:rsidR="008C7751" w:rsidRPr="00E00B35" w:rsidTr="008C7751">
        <w:trPr>
          <w:cantSplit/>
          <w:trHeight w:val="896"/>
        </w:trPr>
        <w:tc>
          <w:tcPr>
            <w:tcW w:w="572"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Lp.</w:t>
            </w:r>
          </w:p>
        </w:tc>
        <w:tc>
          <w:tcPr>
            <w:tcW w:w="1701"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 xml:space="preserve">Szkoła podstawowa </w:t>
            </w:r>
          </w:p>
        </w:tc>
        <w:tc>
          <w:tcPr>
            <w:tcW w:w="1418"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Liczba uczniów</w:t>
            </w:r>
          </w:p>
        </w:tc>
        <w:tc>
          <w:tcPr>
            <w:tcW w:w="1559"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Liczba oddziałów</w:t>
            </w:r>
          </w:p>
        </w:tc>
        <w:tc>
          <w:tcPr>
            <w:tcW w:w="1276"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Średnia w oddziale</w:t>
            </w:r>
          </w:p>
        </w:tc>
        <w:tc>
          <w:tcPr>
            <w:tcW w:w="2551"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lang w:val="pl-PL"/>
              </w:rPr>
            </w:pPr>
            <w:r w:rsidRPr="00E00B35">
              <w:rPr>
                <w:rFonts w:cs="Arial"/>
                <w:b/>
                <w:bCs/>
                <w:color w:val="000000"/>
                <w:szCs w:val="20"/>
                <w:lang w:val="pl-PL"/>
              </w:rPr>
              <w:t>Procentowa zmiana liczby uczniów w stosunku do roku poprzedniego</w:t>
            </w:r>
          </w:p>
        </w:tc>
      </w:tr>
      <w:tr w:rsidR="008C7751" w:rsidRPr="00E00B35" w:rsidTr="008C7751">
        <w:trPr>
          <w:trHeight w:val="324"/>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701"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ind w:firstLineChars="11" w:firstLine="22"/>
              <w:rPr>
                <w:rFonts w:cs="Arial"/>
                <w:bCs/>
                <w:color w:val="000000"/>
                <w:szCs w:val="20"/>
              </w:rPr>
            </w:pPr>
            <w:r w:rsidRPr="00E00B35">
              <w:rPr>
                <w:rFonts w:cs="Arial"/>
                <w:bCs/>
                <w:color w:val="000000"/>
                <w:szCs w:val="20"/>
              </w:rPr>
              <w:t>Klasa „0”</w:t>
            </w:r>
          </w:p>
        </w:tc>
        <w:tc>
          <w:tcPr>
            <w:tcW w:w="1418"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928</w:t>
            </w:r>
          </w:p>
        </w:tc>
        <w:tc>
          <w:tcPr>
            <w:tcW w:w="1559"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44</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21,1</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-28,23%</w:t>
            </w:r>
          </w:p>
        </w:tc>
      </w:tr>
      <w:tr w:rsidR="008C7751" w:rsidRPr="00E00B35" w:rsidTr="008C7751">
        <w:trPr>
          <w:trHeight w:val="324"/>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701"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ind w:firstLineChars="11" w:firstLine="22"/>
              <w:rPr>
                <w:rFonts w:cs="Arial"/>
                <w:bCs/>
                <w:color w:val="000000"/>
                <w:szCs w:val="20"/>
              </w:rPr>
            </w:pPr>
            <w:r w:rsidRPr="00E00B35">
              <w:rPr>
                <w:rFonts w:cs="Arial"/>
                <w:bCs/>
                <w:color w:val="000000"/>
                <w:szCs w:val="20"/>
              </w:rPr>
              <w:t>Klasa I</w:t>
            </w:r>
          </w:p>
        </w:tc>
        <w:tc>
          <w:tcPr>
            <w:tcW w:w="1418"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5 550</w:t>
            </w:r>
          </w:p>
        </w:tc>
        <w:tc>
          <w:tcPr>
            <w:tcW w:w="1559"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269</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20,6</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-0,73%</w:t>
            </w:r>
          </w:p>
        </w:tc>
      </w:tr>
      <w:tr w:rsidR="008C7751" w:rsidRPr="00E00B35" w:rsidTr="008C7751">
        <w:trPr>
          <w:trHeight w:val="324"/>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lastRenderedPageBreak/>
              <w:t>3.</w:t>
            </w:r>
          </w:p>
        </w:tc>
        <w:tc>
          <w:tcPr>
            <w:tcW w:w="1701"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ind w:firstLineChars="11" w:firstLine="22"/>
              <w:rPr>
                <w:rFonts w:cs="Arial"/>
                <w:bCs/>
                <w:color w:val="000000"/>
                <w:szCs w:val="20"/>
              </w:rPr>
            </w:pPr>
            <w:r w:rsidRPr="00E00B35">
              <w:rPr>
                <w:rFonts w:cs="Arial"/>
                <w:bCs/>
                <w:color w:val="000000"/>
                <w:szCs w:val="20"/>
              </w:rPr>
              <w:t>Klasa II</w:t>
            </w:r>
          </w:p>
        </w:tc>
        <w:tc>
          <w:tcPr>
            <w:tcW w:w="1418"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5 546</w:t>
            </w:r>
          </w:p>
        </w:tc>
        <w:tc>
          <w:tcPr>
            <w:tcW w:w="1559"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263</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21,1</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1,54%</w:t>
            </w:r>
          </w:p>
        </w:tc>
      </w:tr>
      <w:tr w:rsidR="008C7751" w:rsidRPr="00E00B35" w:rsidTr="008C7751">
        <w:trPr>
          <w:trHeight w:val="324"/>
        </w:trPr>
        <w:tc>
          <w:tcPr>
            <w:tcW w:w="572" w:type="dxa"/>
            <w:tcBorders>
              <w:top w:val="single" w:sz="4" w:space="0" w:color="auto"/>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ind w:firstLineChars="11" w:firstLine="22"/>
              <w:rPr>
                <w:rFonts w:cs="Arial"/>
                <w:bCs/>
                <w:color w:val="000000"/>
                <w:szCs w:val="20"/>
              </w:rPr>
            </w:pPr>
            <w:r w:rsidRPr="00E00B35">
              <w:rPr>
                <w:rFonts w:cs="Arial"/>
                <w:bCs/>
                <w:color w:val="000000"/>
                <w:szCs w:val="20"/>
              </w:rPr>
              <w:t>Klasa III</w:t>
            </w:r>
          </w:p>
        </w:tc>
        <w:tc>
          <w:tcPr>
            <w:tcW w:w="1418"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5 463</w:t>
            </w:r>
          </w:p>
        </w:tc>
        <w:tc>
          <w:tcPr>
            <w:tcW w:w="1559"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259</w:t>
            </w:r>
          </w:p>
        </w:tc>
        <w:tc>
          <w:tcPr>
            <w:tcW w:w="1276"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21,1</w:t>
            </w:r>
          </w:p>
        </w:tc>
        <w:tc>
          <w:tcPr>
            <w:tcW w:w="2551"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15,99%</w:t>
            </w:r>
          </w:p>
        </w:tc>
      </w:tr>
      <w:tr w:rsidR="008C7751" w:rsidRPr="00E00B35" w:rsidTr="008C7751">
        <w:trPr>
          <w:trHeight w:val="324"/>
        </w:trPr>
        <w:tc>
          <w:tcPr>
            <w:tcW w:w="572" w:type="dxa"/>
            <w:tcBorders>
              <w:top w:val="single" w:sz="4" w:space="0" w:color="auto"/>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ind w:firstLineChars="11" w:firstLine="22"/>
              <w:rPr>
                <w:rFonts w:cs="Arial"/>
                <w:bCs/>
                <w:color w:val="000000"/>
                <w:szCs w:val="20"/>
              </w:rPr>
            </w:pPr>
            <w:r w:rsidRPr="00E00B35">
              <w:rPr>
                <w:rFonts w:cs="Arial"/>
                <w:bCs/>
                <w:color w:val="000000"/>
                <w:szCs w:val="20"/>
              </w:rPr>
              <w:t>Klasa IV</w:t>
            </w:r>
          </w:p>
        </w:tc>
        <w:tc>
          <w:tcPr>
            <w:tcW w:w="1418"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4 654</w:t>
            </w:r>
          </w:p>
        </w:tc>
        <w:tc>
          <w:tcPr>
            <w:tcW w:w="1559" w:type="dxa"/>
            <w:tcBorders>
              <w:top w:val="single" w:sz="4" w:space="0" w:color="auto"/>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233</w:t>
            </w:r>
          </w:p>
        </w:tc>
        <w:tc>
          <w:tcPr>
            <w:tcW w:w="1276"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20,0</w:t>
            </w:r>
          </w:p>
        </w:tc>
        <w:tc>
          <w:tcPr>
            <w:tcW w:w="2551"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40,82%</w:t>
            </w:r>
          </w:p>
        </w:tc>
      </w:tr>
      <w:tr w:rsidR="008C7751" w:rsidRPr="00E00B35" w:rsidTr="008C7751">
        <w:trPr>
          <w:trHeight w:val="324"/>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c>
          <w:tcPr>
            <w:tcW w:w="1701"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ind w:firstLineChars="11" w:firstLine="22"/>
              <w:rPr>
                <w:rFonts w:cs="Arial"/>
                <w:bCs/>
                <w:color w:val="000000"/>
                <w:szCs w:val="20"/>
              </w:rPr>
            </w:pPr>
            <w:r w:rsidRPr="00E00B35">
              <w:rPr>
                <w:rFonts w:cs="Arial"/>
                <w:bCs/>
                <w:color w:val="000000"/>
                <w:szCs w:val="20"/>
              </w:rPr>
              <w:t>Klasa V</w:t>
            </w:r>
          </w:p>
        </w:tc>
        <w:tc>
          <w:tcPr>
            <w:tcW w:w="1418"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3 278</w:t>
            </w:r>
          </w:p>
        </w:tc>
        <w:tc>
          <w:tcPr>
            <w:tcW w:w="1559"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180</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18,2</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-54,31%</w:t>
            </w:r>
          </w:p>
        </w:tc>
      </w:tr>
      <w:tr w:rsidR="008C7751" w:rsidRPr="00E00B35" w:rsidTr="008C7751">
        <w:trPr>
          <w:trHeight w:val="324"/>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7.</w:t>
            </w:r>
          </w:p>
        </w:tc>
        <w:tc>
          <w:tcPr>
            <w:tcW w:w="1701"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ind w:firstLineChars="11" w:firstLine="22"/>
              <w:rPr>
                <w:rFonts w:cs="Arial"/>
                <w:bCs/>
                <w:color w:val="000000"/>
                <w:szCs w:val="20"/>
              </w:rPr>
            </w:pPr>
            <w:r w:rsidRPr="00E00B35">
              <w:rPr>
                <w:rFonts w:cs="Arial"/>
                <w:bCs/>
                <w:color w:val="000000"/>
                <w:szCs w:val="20"/>
              </w:rPr>
              <w:t>Klasa VI</w:t>
            </w:r>
          </w:p>
        </w:tc>
        <w:tc>
          <w:tcPr>
            <w:tcW w:w="1418"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7 135</w:t>
            </w:r>
          </w:p>
        </w:tc>
        <w:tc>
          <w:tcPr>
            <w:tcW w:w="1559"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348</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20,5</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7,15%</w:t>
            </w:r>
          </w:p>
        </w:tc>
      </w:tr>
      <w:tr w:rsidR="008C7751" w:rsidRPr="00E00B35" w:rsidTr="008C7751">
        <w:trPr>
          <w:trHeight w:val="324"/>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bCs/>
                <w:color w:val="000000"/>
                <w:szCs w:val="20"/>
              </w:rPr>
            </w:pPr>
            <w:r w:rsidRPr="00E00B35">
              <w:rPr>
                <w:rFonts w:cs="Arial"/>
                <w:bCs/>
                <w:color w:val="000000"/>
                <w:szCs w:val="20"/>
              </w:rPr>
              <w:t>8.</w:t>
            </w:r>
          </w:p>
        </w:tc>
        <w:tc>
          <w:tcPr>
            <w:tcW w:w="1701"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ind w:firstLineChars="11" w:firstLine="22"/>
              <w:rPr>
                <w:rFonts w:cs="Arial"/>
                <w:bCs/>
                <w:color w:val="000000"/>
                <w:szCs w:val="20"/>
              </w:rPr>
            </w:pPr>
            <w:r w:rsidRPr="00E00B35">
              <w:rPr>
                <w:rFonts w:cs="Arial"/>
                <w:bCs/>
                <w:color w:val="000000"/>
                <w:szCs w:val="20"/>
              </w:rPr>
              <w:t>Klasa VII</w:t>
            </w:r>
          </w:p>
        </w:tc>
        <w:tc>
          <w:tcPr>
            <w:tcW w:w="1418"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6 730</w:t>
            </w:r>
          </w:p>
        </w:tc>
        <w:tc>
          <w:tcPr>
            <w:tcW w:w="1559"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328</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20,5</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38,34%</w:t>
            </w:r>
          </w:p>
        </w:tc>
      </w:tr>
      <w:tr w:rsidR="008C7751" w:rsidRPr="00E00B35" w:rsidTr="008C7751">
        <w:trPr>
          <w:trHeight w:val="324"/>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bCs/>
                <w:color w:val="000000"/>
                <w:szCs w:val="20"/>
              </w:rPr>
            </w:pPr>
            <w:r w:rsidRPr="00E00B35">
              <w:rPr>
                <w:rFonts w:cs="Arial"/>
                <w:bCs/>
                <w:color w:val="000000"/>
                <w:szCs w:val="20"/>
              </w:rPr>
              <w:t>9.</w:t>
            </w:r>
          </w:p>
        </w:tc>
        <w:tc>
          <w:tcPr>
            <w:tcW w:w="1701"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ind w:firstLineChars="11" w:firstLine="22"/>
              <w:rPr>
                <w:rFonts w:cs="Arial"/>
                <w:bCs/>
                <w:color w:val="000000"/>
                <w:szCs w:val="20"/>
              </w:rPr>
            </w:pPr>
            <w:r w:rsidRPr="00E00B35">
              <w:rPr>
                <w:rFonts w:cs="Arial"/>
                <w:bCs/>
                <w:color w:val="000000"/>
                <w:szCs w:val="20"/>
              </w:rPr>
              <w:t>Klasa VIII</w:t>
            </w:r>
          </w:p>
        </w:tc>
        <w:tc>
          <w:tcPr>
            <w:tcW w:w="1418"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4 888</w:t>
            </w:r>
          </w:p>
        </w:tc>
        <w:tc>
          <w:tcPr>
            <w:tcW w:w="1559" w:type="dxa"/>
            <w:tcBorders>
              <w:top w:val="nil"/>
              <w:left w:val="nil"/>
              <w:bottom w:val="single" w:sz="4" w:space="0" w:color="auto"/>
              <w:right w:val="single" w:sz="4" w:space="0" w:color="auto"/>
            </w:tcBorders>
            <w:noWrap/>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243</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20,1</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13,28%</w:t>
            </w:r>
          </w:p>
        </w:tc>
      </w:tr>
      <w:tr w:rsidR="008C7751" w:rsidRPr="00E00B35" w:rsidTr="008C7751">
        <w:trPr>
          <w:trHeight w:val="324"/>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ind w:firstLineChars="200" w:firstLine="400"/>
              <w:rPr>
                <w:rFonts w:cs="Arial"/>
                <w:bCs/>
                <w:color w:val="000000"/>
                <w:szCs w:val="20"/>
              </w:rPr>
            </w:pPr>
          </w:p>
        </w:tc>
        <w:tc>
          <w:tcPr>
            <w:tcW w:w="1701"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ind w:firstLineChars="200" w:firstLine="400"/>
              <w:rPr>
                <w:rFonts w:cs="Arial"/>
                <w:bCs/>
                <w:color w:val="000000"/>
                <w:szCs w:val="20"/>
              </w:rPr>
            </w:pPr>
            <w:r w:rsidRPr="00E00B35">
              <w:rPr>
                <w:rFonts w:cs="Arial"/>
                <w:bCs/>
                <w:color w:val="000000"/>
                <w:szCs w:val="20"/>
              </w:rPr>
              <w:t>Razem</w:t>
            </w:r>
          </w:p>
        </w:tc>
        <w:tc>
          <w:tcPr>
            <w:tcW w:w="1418"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44 172</w:t>
            </w:r>
          </w:p>
        </w:tc>
        <w:tc>
          <w:tcPr>
            <w:tcW w:w="1559"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2 167</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20,4</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1,84%</w:t>
            </w:r>
          </w:p>
        </w:tc>
      </w:tr>
    </w:tbl>
    <w:p w:rsidR="008C7751" w:rsidRPr="00E00B35" w:rsidRDefault="008C7751" w:rsidP="00E00B35">
      <w:pPr>
        <w:pStyle w:val="SprawozdanieDSSZnakZnak"/>
        <w:tabs>
          <w:tab w:val="clear" w:pos="643"/>
        </w:tabs>
        <w:spacing w:after="0" w:line="312" w:lineRule="auto"/>
        <w:ind w:left="0" w:firstLine="0"/>
        <w:jc w:val="left"/>
        <w:rPr>
          <w:color w:val="000000"/>
          <w:szCs w:val="20"/>
        </w:rPr>
      </w:pPr>
      <w:r w:rsidRPr="00E00B35">
        <w:rPr>
          <w:color w:val="000000"/>
          <w:szCs w:val="20"/>
        </w:rPr>
        <w:br w:type="page"/>
      </w:r>
    </w:p>
    <w:p w:rsidR="008C7751" w:rsidRPr="00E00B35" w:rsidRDefault="008C7751" w:rsidP="00E00B35">
      <w:pPr>
        <w:pStyle w:val="SprawozdanieDSSZnakZnak"/>
        <w:tabs>
          <w:tab w:val="clear" w:pos="643"/>
        </w:tabs>
        <w:spacing w:after="0" w:line="312" w:lineRule="auto"/>
        <w:ind w:left="0" w:firstLine="0"/>
        <w:jc w:val="left"/>
        <w:rPr>
          <w:bCs/>
          <w:color w:val="000000"/>
          <w:szCs w:val="20"/>
          <w:lang w:val="pl-PL"/>
        </w:rPr>
      </w:pPr>
      <w:r w:rsidRPr="00E00B35">
        <w:rPr>
          <w:bCs/>
          <w:color w:val="000000"/>
          <w:szCs w:val="20"/>
          <w:lang w:val="pl-PL"/>
        </w:rPr>
        <w:lastRenderedPageBreak/>
        <w:t>Tabela 4. Struktura szkół ponadpodstawowych w roku szkolnym 2020/2021</w:t>
      </w:r>
    </w:p>
    <w:tbl>
      <w:tblPr>
        <w:tblW w:w="9077" w:type="dxa"/>
        <w:tblInd w:w="65" w:type="dxa"/>
        <w:tblLayout w:type="fixed"/>
        <w:tblCellMar>
          <w:left w:w="70" w:type="dxa"/>
          <w:right w:w="70" w:type="dxa"/>
        </w:tblCellMar>
        <w:tblLook w:val="0000"/>
      </w:tblPr>
      <w:tblGrid>
        <w:gridCol w:w="572"/>
        <w:gridCol w:w="1985"/>
        <w:gridCol w:w="1417"/>
        <w:gridCol w:w="1276"/>
        <w:gridCol w:w="1276"/>
        <w:gridCol w:w="2551"/>
      </w:tblGrid>
      <w:tr w:rsidR="008C7751" w:rsidRPr="00E00B35" w:rsidTr="008C7751">
        <w:trPr>
          <w:cantSplit/>
          <w:trHeight w:val="821"/>
          <w:tblHeader/>
        </w:trPr>
        <w:tc>
          <w:tcPr>
            <w:tcW w:w="572"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Lp.</w:t>
            </w:r>
          </w:p>
        </w:tc>
        <w:tc>
          <w:tcPr>
            <w:tcW w:w="1985"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Typ placówki</w:t>
            </w:r>
          </w:p>
        </w:tc>
        <w:tc>
          <w:tcPr>
            <w:tcW w:w="1417"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Liczba oddziałów</w:t>
            </w:r>
          </w:p>
        </w:tc>
        <w:tc>
          <w:tcPr>
            <w:tcW w:w="1276"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Liczba uczniów</w:t>
            </w:r>
          </w:p>
        </w:tc>
        <w:tc>
          <w:tcPr>
            <w:tcW w:w="1276"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Średnia w oddziale</w:t>
            </w:r>
          </w:p>
        </w:tc>
        <w:tc>
          <w:tcPr>
            <w:tcW w:w="2551"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lang w:val="pl-PL"/>
              </w:rPr>
            </w:pPr>
            <w:r w:rsidRPr="00E00B35">
              <w:rPr>
                <w:rFonts w:cs="Arial"/>
                <w:b/>
                <w:bCs/>
                <w:color w:val="000000"/>
                <w:szCs w:val="20"/>
                <w:lang w:val="pl-PL"/>
              </w:rPr>
              <w:t>Procentowa zmiana liczby uczniów w stosunku do roku poprzedniego</w:t>
            </w:r>
          </w:p>
        </w:tc>
      </w:tr>
      <w:tr w:rsidR="008C7751" w:rsidRPr="00E00B35" w:rsidTr="008C7751">
        <w:trPr>
          <w:trHeight w:val="265"/>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985"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Liceum Ogólnokształcące</w:t>
            </w:r>
          </w:p>
        </w:tc>
        <w:tc>
          <w:tcPr>
            <w:tcW w:w="1417"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508</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13 976</w:t>
            </w:r>
          </w:p>
        </w:tc>
        <w:tc>
          <w:tcPr>
            <w:tcW w:w="1276" w:type="dxa"/>
            <w:tcBorders>
              <w:top w:val="nil"/>
              <w:left w:val="nil"/>
              <w:bottom w:val="single" w:sz="4" w:space="0" w:color="auto"/>
              <w:right w:val="nil"/>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27,5</w:t>
            </w:r>
          </w:p>
        </w:tc>
        <w:tc>
          <w:tcPr>
            <w:tcW w:w="2551" w:type="dxa"/>
            <w:tcBorders>
              <w:top w:val="nil"/>
              <w:left w:val="single" w:sz="4" w:space="0" w:color="auto"/>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1,4%</w:t>
            </w:r>
          </w:p>
        </w:tc>
      </w:tr>
      <w:tr w:rsidR="008C7751" w:rsidRPr="00E00B35" w:rsidTr="008C7751">
        <w:trPr>
          <w:trHeight w:val="265"/>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985"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Technika</w:t>
            </w:r>
          </w:p>
        </w:tc>
        <w:tc>
          <w:tcPr>
            <w:tcW w:w="1417"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341</w:t>
            </w:r>
          </w:p>
        </w:tc>
        <w:tc>
          <w:tcPr>
            <w:tcW w:w="1276"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7 797</w:t>
            </w:r>
          </w:p>
        </w:tc>
        <w:tc>
          <w:tcPr>
            <w:tcW w:w="1276" w:type="dxa"/>
            <w:tcBorders>
              <w:top w:val="nil"/>
              <w:left w:val="nil"/>
              <w:bottom w:val="single" w:sz="4" w:space="0" w:color="auto"/>
              <w:right w:val="nil"/>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22,9</w:t>
            </w:r>
          </w:p>
        </w:tc>
        <w:tc>
          <w:tcPr>
            <w:tcW w:w="2551" w:type="dxa"/>
            <w:tcBorders>
              <w:top w:val="nil"/>
              <w:left w:val="single" w:sz="4" w:space="0" w:color="auto"/>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4,4%</w:t>
            </w:r>
          </w:p>
        </w:tc>
      </w:tr>
      <w:tr w:rsidR="008C7751" w:rsidRPr="00E00B35" w:rsidTr="008C7751">
        <w:trPr>
          <w:trHeight w:val="265"/>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3.</w:t>
            </w:r>
          </w:p>
        </w:tc>
        <w:tc>
          <w:tcPr>
            <w:tcW w:w="1985"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Branżowe Szkoły I stopnia</w:t>
            </w:r>
          </w:p>
        </w:tc>
        <w:tc>
          <w:tcPr>
            <w:tcW w:w="1417"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88</w:t>
            </w:r>
          </w:p>
        </w:tc>
        <w:tc>
          <w:tcPr>
            <w:tcW w:w="1276"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1 651</w:t>
            </w:r>
          </w:p>
        </w:tc>
        <w:tc>
          <w:tcPr>
            <w:tcW w:w="1276" w:type="dxa"/>
            <w:tcBorders>
              <w:top w:val="nil"/>
              <w:left w:val="nil"/>
              <w:bottom w:val="single" w:sz="4" w:space="0" w:color="auto"/>
              <w:right w:val="nil"/>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18,8</w:t>
            </w:r>
          </w:p>
        </w:tc>
        <w:tc>
          <w:tcPr>
            <w:tcW w:w="2551" w:type="dxa"/>
            <w:tcBorders>
              <w:top w:val="nil"/>
              <w:left w:val="single" w:sz="4" w:space="0" w:color="auto"/>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11,0%</w:t>
            </w:r>
          </w:p>
        </w:tc>
      </w:tr>
      <w:tr w:rsidR="008C7751" w:rsidRPr="00E00B35" w:rsidTr="008C7751">
        <w:trPr>
          <w:trHeight w:val="265"/>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1985"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Branżowe Szkoły II stopnia</w:t>
            </w:r>
          </w:p>
        </w:tc>
        <w:tc>
          <w:tcPr>
            <w:tcW w:w="1417"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3</w:t>
            </w:r>
          </w:p>
        </w:tc>
        <w:tc>
          <w:tcPr>
            <w:tcW w:w="1276" w:type="dxa"/>
            <w:tcBorders>
              <w:top w:val="nil"/>
              <w:left w:val="nil"/>
              <w:bottom w:val="single" w:sz="4" w:space="0" w:color="auto"/>
              <w:right w:val="single" w:sz="4" w:space="0" w:color="auto"/>
            </w:tcBorders>
            <w:vAlign w:val="bottom"/>
          </w:tcPr>
          <w:p w:rsidR="008C7751" w:rsidRPr="00E00B35" w:rsidRDefault="008C7751" w:rsidP="00E00B35">
            <w:pPr>
              <w:spacing w:after="0" w:line="312" w:lineRule="auto"/>
              <w:rPr>
                <w:rFonts w:cs="Arial"/>
                <w:color w:val="000000"/>
                <w:szCs w:val="20"/>
              </w:rPr>
            </w:pPr>
            <w:r w:rsidRPr="00E00B35">
              <w:rPr>
                <w:rFonts w:cs="Arial"/>
                <w:color w:val="000000"/>
                <w:szCs w:val="20"/>
              </w:rPr>
              <w:t>36</w:t>
            </w:r>
          </w:p>
        </w:tc>
        <w:tc>
          <w:tcPr>
            <w:tcW w:w="1276" w:type="dxa"/>
            <w:tcBorders>
              <w:top w:val="nil"/>
              <w:left w:val="nil"/>
              <w:bottom w:val="single" w:sz="4" w:space="0" w:color="auto"/>
              <w:right w:val="nil"/>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12,0</w:t>
            </w:r>
          </w:p>
        </w:tc>
        <w:tc>
          <w:tcPr>
            <w:tcW w:w="2551" w:type="dxa"/>
            <w:tcBorders>
              <w:top w:val="nil"/>
              <w:left w:val="single" w:sz="4" w:space="0" w:color="auto"/>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100,0%</w:t>
            </w:r>
          </w:p>
        </w:tc>
      </w:tr>
      <w:tr w:rsidR="008C7751" w:rsidRPr="00E00B35" w:rsidTr="008C7751">
        <w:trPr>
          <w:trHeight w:val="265"/>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5.</w:t>
            </w:r>
          </w:p>
        </w:tc>
        <w:tc>
          <w:tcPr>
            <w:tcW w:w="1985"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Szkoły artystyczne (LO)</w:t>
            </w:r>
          </w:p>
        </w:tc>
        <w:tc>
          <w:tcPr>
            <w:tcW w:w="1417"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10</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266</w:t>
            </w:r>
          </w:p>
        </w:tc>
        <w:tc>
          <w:tcPr>
            <w:tcW w:w="1276" w:type="dxa"/>
            <w:tcBorders>
              <w:top w:val="nil"/>
              <w:left w:val="nil"/>
              <w:bottom w:val="single" w:sz="4" w:space="0" w:color="auto"/>
              <w:right w:val="nil"/>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26,6</w:t>
            </w:r>
          </w:p>
        </w:tc>
        <w:tc>
          <w:tcPr>
            <w:tcW w:w="2551" w:type="dxa"/>
            <w:tcBorders>
              <w:top w:val="nil"/>
              <w:left w:val="single" w:sz="4" w:space="0" w:color="auto"/>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2,3%</w:t>
            </w:r>
          </w:p>
        </w:tc>
      </w:tr>
      <w:tr w:rsidR="008C7751" w:rsidRPr="00E00B35" w:rsidTr="008C7751">
        <w:trPr>
          <w:trHeight w:val="291"/>
        </w:trPr>
        <w:tc>
          <w:tcPr>
            <w:tcW w:w="572" w:type="dxa"/>
            <w:tcBorders>
              <w:top w:val="single" w:sz="4" w:space="0" w:color="auto"/>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color w:val="000000"/>
                <w:szCs w:val="20"/>
              </w:rPr>
            </w:pPr>
            <w:r w:rsidRPr="00E00B35">
              <w:rPr>
                <w:rFonts w:cs="Arial"/>
                <w:color w:val="000000"/>
                <w:szCs w:val="20"/>
              </w:rPr>
              <w:t>6.</w:t>
            </w:r>
          </w:p>
        </w:tc>
        <w:tc>
          <w:tcPr>
            <w:tcW w:w="1985" w:type="dxa"/>
            <w:tcBorders>
              <w:top w:val="single" w:sz="4" w:space="0" w:color="auto"/>
              <w:left w:val="single" w:sz="4" w:space="0" w:color="auto"/>
              <w:bottom w:val="single" w:sz="4" w:space="0" w:color="auto"/>
              <w:right w:val="single" w:sz="4" w:space="0" w:color="auto"/>
            </w:tcBorders>
            <w:vAlign w:val="bottom"/>
          </w:tcPr>
          <w:p w:rsidR="008C7751" w:rsidRPr="00E00B35" w:rsidRDefault="008C7751" w:rsidP="00E00B35">
            <w:pPr>
              <w:spacing w:after="0" w:line="312" w:lineRule="auto"/>
              <w:rPr>
                <w:rFonts w:cs="Arial"/>
                <w:bCs/>
                <w:color w:val="000000"/>
                <w:szCs w:val="20"/>
                <w:lang w:val="pl-PL"/>
              </w:rPr>
            </w:pPr>
            <w:r w:rsidRPr="00E00B35">
              <w:rPr>
                <w:rFonts w:cs="Arial"/>
                <w:bCs/>
                <w:color w:val="000000"/>
                <w:szCs w:val="20"/>
                <w:lang w:val="pl-PL"/>
              </w:rPr>
              <w:t>Szkoły Specjalne przysposabiające do zawodu</w:t>
            </w:r>
          </w:p>
        </w:tc>
        <w:tc>
          <w:tcPr>
            <w:tcW w:w="1417"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9</w:t>
            </w:r>
          </w:p>
        </w:tc>
        <w:tc>
          <w:tcPr>
            <w:tcW w:w="1276"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34</w:t>
            </w:r>
          </w:p>
        </w:tc>
        <w:tc>
          <w:tcPr>
            <w:tcW w:w="1276" w:type="dxa"/>
            <w:tcBorders>
              <w:top w:val="single" w:sz="4" w:space="0" w:color="auto"/>
              <w:left w:val="nil"/>
              <w:bottom w:val="single" w:sz="4" w:space="0" w:color="auto"/>
              <w:right w:val="nil"/>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3,8</w:t>
            </w:r>
          </w:p>
        </w:tc>
        <w:tc>
          <w:tcPr>
            <w:tcW w:w="2551" w:type="dxa"/>
            <w:tcBorders>
              <w:top w:val="single" w:sz="4" w:space="0" w:color="auto"/>
              <w:left w:val="single" w:sz="4" w:space="0" w:color="auto"/>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0,0%</w:t>
            </w:r>
          </w:p>
        </w:tc>
      </w:tr>
      <w:tr w:rsidR="008C7751" w:rsidRPr="00E00B35" w:rsidTr="008C7751">
        <w:trPr>
          <w:trHeight w:val="333"/>
        </w:trPr>
        <w:tc>
          <w:tcPr>
            <w:tcW w:w="57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b/>
                <w:bCs/>
                <w:color w:val="000000"/>
                <w:szCs w:val="20"/>
              </w:rPr>
            </w:pPr>
            <w:r w:rsidRPr="00E00B35">
              <w:rPr>
                <w:rFonts w:cs="Arial"/>
                <w:color w:val="000000"/>
                <w:szCs w:val="20"/>
              </w:rPr>
              <w:t>7.</w:t>
            </w:r>
          </w:p>
        </w:tc>
        <w:tc>
          <w:tcPr>
            <w:tcW w:w="1985"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Szkoły policealne</w:t>
            </w:r>
          </w:p>
        </w:tc>
        <w:tc>
          <w:tcPr>
            <w:tcW w:w="1417"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26</w:t>
            </w:r>
          </w:p>
        </w:tc>
        <w:tc>
          <w:tcPr>
            <w:tcW w:w="1276" w:type="dxa"/>
            <w:tcBorders>
              <w:top w:val="nil"/>
              <w:left w:val="nil"/>
              <w:bottom w:val="single" w:sz="4" w:space="0" w:color="auto"/>
              <w:right w:val="nil"/>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26,0</w:t>
            </w:r>
          </w:p>
        </w:tc>
        <w:tc>
          <w:tcPr>
            <w:tcW w:w="2551" w:type="dxa"/>
            <w:tcBorders>
              <w:top w:val="nil"/>
              <w:left w:val="single" w:sz="4" w:space="0" w:color="auto"/>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-10,3%</w:t>
            </w:r>
          </w:p>
        </w:tc>
      </w:tr>
      <w:tr w:rsidR="008C7751" w:rsidRPr="00E00B35" w:rsidTr="008C7751">
        <w:trPr>
          <w:trHeight w:val="333"/>
        </w:trPr>
        <w:tc>
          <w:tcPr>
            <w:tcW w:w="572" w:type="dxa"/>
            <w:tcBorders>
              <w:top w:val="single" w:sz="4" w:space="0" w:color="auto"/>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bCs/>
                <w:color w:val="00000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Razem</w:t>
            </w:r>
          </w:p>
        </w:tc>
        <w:tc>
          <w:tcPr>
            <w:tcW w:w="1417"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960</w:t>
            </w:r>
          </w:p>
        </w:tc>
        <w:tc>
          <w:tcPr>
            <w:tcW w:w="1276"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23 786</w:t>
            </w:r>
          </w:p>
        </w:tc>
        <w:tc>
          <w:tcPr>
            <w:tcW w:w="1276" w:type="dxa"/>
            <w:tcBorders>
              <w:top w:val="single" w:sz="4" w:space="0" w:color="auto"/>
              <w:left w:val="nil"/>
              <w:bottom w:val="single" w:sz="4" w:space="0" w:color="auto"/>
              <w:right w:val="nil"/>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24,8</w:t>
            </w:r>
          </w:p>
        </w:tc>
        <w:tc>
          <w:tcPr>
            <w:tcW w:w="2551" w:type="dxa"/>
            <w:tcBorders>
              <w:top w:val="single" w:sz="4" w:space="0" w:color="auto"/>
              <w:left w:val="single" w:sz="4" w:space="0" w:color="auto"/>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3,2%</w:t>
            </w:r>
          </w:p>
        </w:tc>
      </w:tr>
    </w:tbl>
    <w:p w:rsidR="008C7751" w:rsidRPr="00E00B35" w:rsidRDefault="008C7751" w:rsidP="00E00B35">
      <w:pPr>
        <w:pStyle w:val="SprawozdanieDSSZnakZnak"/>
        <w:tabs>
          <w:tab w:val="clear" w:pos="643"/>
        </w:tabs>
        <w:spacing w:after="0" w:line="312" w:lineRule="auto"/>
        <w:ind w:left="0" w:firstLine="0"/>
        <w:jc w:val="left"/>
        <w:rPr>
          <w:b/>
          <w:color w:val="000000"/>
          <w:szCs w:val="20"/>
        </w:rPr>
      </w:pPr>
    </w:p>
    <w:p w:rsidR="008C7751" w:rsidRPr="00E00B35" w:rsidRDefault="008C7751" w:rsidP="00E00B35">
      <w:pPr>
        <w:pStyle w:val="SprawozdanieDSSZnakZnak"/>
        <w:tabs>
          <w:tab w:val="clear" w:pos="643"/>
        </w:tabs>
        <w:spacing w:after="0" w:line="312" w:lineRule="auto"/>
        <w:ind w:left="0" w:firstLine="0"/>
        <w:jc w:val="left"/>
        <w:rPr>
          <w:bCs/>
          <w:color w:val="000000"/>
          <w:szCs w:val="20"/>
          <w:lang w:val="pl-PL"/>
        </w:rPr>
      </w:pPr>
      <w:r w:rsidRPr="00E00B35">
        <w:rPr>
          <w:bCs/>
          <w:color w:val="000000"/>
          <w:szCs w:val="20"/>
          <w:lang w:val="pl-PL"/>
        </w:rPr>
        <w:t>Tabela 5. Zestawienie zbiorcze uczniów w szkołach i placówkach prowadzonych przez Miasto Wrocław w roku szkolnym 2020/2021</w:t>
      </w:r>
    </w:p>
    <w:tbl>
      <w:tblPr>
        <w:tblW w:w="9077" w:type="dxa"/>
        <w:tblInd w:w="65" w:type="dxa"/>
        <w:tblLayout w:type="fixed"/>
        <w:tblCellMar>
          <w:left w:w="70" w:type="dxa"/>
          <w:right w:w="70" w:type="dxa"/>
        </w:tblCellMar>
        <w:tblLook w:val="0000"/>
      </w:tblPr>
      <w:tblGrid>
        <w:gridCol w:w="714"/>
        <w:gridCol w:w="11"/>
        <w:gridCol w:w="1832"/>
        <w:gridCol w:w="1417"/>
        <w:gridCol w:w="1276"/>
        <w:gridCol w:w="1276"/>
        <w:gridCol w:w="2551"/>
      </w:tblGrid>
      <w:tr w:rsidR="008C7751" w:rsidRPr="00E00B35" w:rsidTr="008C7751">
        <w:trPr>
          <w:cantSplit/>
          <w:trHeight w:val="904"/>
          <w:tblHeader/>
        </w:trPr>
        <w:tc>
          <w:tcPr>
            <w:tcW w:w="714"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Lp.</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Typ placówki</w:t>
            </w:r>
          </w:p>
        </w:tc>
        <w:tc>
          <w:tcPr>
            <w:tcW w:w="1417"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Liczba oddziałów</w:t>
            </w:r>
          </w:p>
        </w:tc>
        <w:tc>
          <w:tcPr>
            <w:tcW w:w="1276"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Liczba uczniów</w:t>
            </w:r>
          </w:p>
        </w:tc>
        <w:tc>
          <w:tcPr>
            <w:tcW w:w="1276"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rPr>
            </w:pPr>
            <w:r w:rsidRPr="00E00B35">
              <w:rPr>
                <w:b/>
                <w:bCs/>
                <w:color w:val="000000"/>
                <w:szCs w:val="20"/>
              </w:rPr>
              <w:t>Średnia</w:t>
            </w:r>
            <w:r w:rsidRPr="00E00B35">
              <w:rPr>
                <w:b/>
                <w:bCs/>
                <w:color w:val="000000"/>
                <w:szCs w:val="20"/>
              </w:rPr>
              <w:br/>
              <w:t>w oddziale</w:t>
            </w:r>
          </w:p>
        </w:tc>
        <w:tc>
          <w:tcPr>
            <w:tcW w:w="2551"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b/>
                <w:bCs/>
                <w:color w:val="000000"/>
                <w:szCs w:val="20"/>
                <w:lang w:val="pl-PL"/>
              </w:rPr>
            </w:pPr>
            <w:r w:rsidRPr="00E00B35">
              <w:rPr>
                <w:rFonts w:cs="Arial"/>
                <w:b/>
                <w:bCs/>
                <w:color w:val="000000"/>
                <w:szCs w:val="20"/>
                <w:lang w:val="pl-PL"/>
              </w:rPr>
              <w:t>Procentowa zmiana liczby uczniów w stosunku do roku poprzedniego</w:t>
            </w:r>
          </w:p>
        </w:tc>
      </w:tr>
      <w:tr w:rsidR="008C7751" w:rsidRPr="00E00B35" w:rsidTr="008C7751">
        <w:trPr>
          <w:trHeight w:val="333"/>
        </w:trPr>
        <w:tc>
          <w:tcPr>
            <w:tcW w:w="725" w:type="dxa"/>
            <w:gridSpan w:val="2"/>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w:t>
            </w:r>
          </w:p>
        </w:tc>
        <w:tc>
          <w:tcPr>
            <w:tcW w:w="1832" w:type="dxa"/>
            <w:tcBorders>
              <w:top w:val="single" w:sz="4" w:space="0" w:color="auto"/>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bCs/>
                <w:color w:val="000000"/>
                <w:szCs w:val="20"/>
              </w:rPr>
            </w:pPr>
            <w:r w:rsidRPr="00E00B35">
              <w:rPr>
                <w:rFonts w:cs="Arial"/>
                <w:bCs/>
                <w:color w:val="000000"/>
                <w:szCs w:val="20"/>
              </w:rPr>
              <w:t>Przedszkola</w:t>
            </w:r>
          </w:p>
        </w:tc>
        <w:tc>
          <w:tcPr>
            <w:tcW w:w="1417"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711</w:t>
            </w:r>
          </w:p>
        </w:tc>
        <w:tc>
          <w:tcPr>
            <w:tcW w:w="1276"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16 056</w:t>
            </w:r>
          </w:p>
        </w:tc>
        <w:tc>
          <w:tcPr>
            <w:tcW w:w="1276"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22,6</w:t>
            </w:r>
          </w:p>
        </w:tc>
        <w:tc>
          <w:tcPr>
            <w:tcW w:w="2551"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-0,5%</w:t>
            </w:r>
          </w:p>
        </w:tc>
      </w:tr>
      <w:tr w:rsidR="008C7751" w:rsidRPr="00E00B35" w:rsidTr="008C7751">
        <w:trPr>
          <w:trHeight w:val="355"/>
        </w:trPr>
        <w:tc>
          <w:tcPr>
            <w:tcW w:w="725" w:type="dxa"/>
            <w:gridSpan w:val="2"/>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832" w:type="dxa"/>
            <w:tcBorders>
              <w:top w:val="single" w:sz="4" w:space="0" w:color="auto"/>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bCs/>
                <w:color w:val="000000"/>
                <w:szCs w:val="20"/>
              </w:rPr>
            </w:pPr>
            <w:r w:rsidRPr="00E00B35">
              <w:rPr>
                <w:rFonts w:cs="Arial"/>
                <w:bCs/>
                <w:color w:val="000000"/>
                <w:szCs w:val="20"/>
              </w:rPr>
              <w:t>Szkoły podstawowe</w:t>
            </w:r>
          </w:p>
        </w:tc>
        <w:tc>
          <w:tcPr>
            <w:tcW w:w="1417"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2 167</w:t>
            </w:r>
          </w:p>
        </w:tc>
        <w:tc>
          <w:tcPr>
            <w:tcW w:w="1276"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44 172</w:t>
            </w:r>
          </w:p>
        </w:tc>
        <w:tc>
          <w:tcPr>
            <w:tcW w:w="1276"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20,4</w:t>
            </w:r>
          </w:p>
        </w:tc>
        <w:tc>
          <w:tcPr>
            <w:tcW w:w="2551" w:type="dxa"/>
            <w:tcBorders>
              <w:top w:val="single" w:sz="4" w:space="0" w:color="auto"/>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1,8%</w:t>
            </w:r>
          </w:p>
        </w:tc>
      </w:tr>
      <w:tr w:rsidR="008C7751" w:rsidRPr="00E00B35" w:rsidTr="008C7751">
        <w:trPr>
          <w:trHeight w:val="333"/>
        </w:trPr>
        <w:tc>
          <w:tcPr>
            <w:tcW w:w="725" w:type="dxa"/>
            <w:gridSpan w:val="2"/>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3.</w:t>
            </w:r>
          </w:p>
        </w:tc>
        <w:tc>
          <w:tcPr>
            <w:tcW w:w="183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bCs/>
                <w:color w:val="000000"/>
                <w:szCs w:val="20"/>
              </w:rPr>
            </w:pPr>
            <w:r w:rsidRPr="00E00B35">
              <w:rPr>
                <w:rFonts w:cs="Arial"/>
                <w:bCs/>
                <w:color w:val="000000"/>
                <w:szCs w:val="20"/>
              </w:rPr>
              <w:t>Licea Ogólnokształcące</w:t>
            </w:r>
          </w:p>
        </w:tc>
        <w:tc>
          <w:tcPr>
            <w:tcW w:w="1417"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508</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13 976</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27,5</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1,4%</w:t>
            </w:r>
          </w:p>
        </w:tc>
      </w:tr>
      <w:tr w:rsidR="008C7751" w:rsidRPr="00E00B35" w:rsidTr="008C7751">
        <w:trPr>
          <w:trHeight w:val="333"/>
        </w:trPr>
        <w:tc>
          <w:tcPr>
            <w:tcW w:w="725" w:type="dxa"/>
            <w:gridSpan w:val="2"/>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183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bCs/>
                <w:color w:val="000000"/>
                <w:szCs w:val="20"/>
              </w:rPr>
            </w:pPr>
            <w:r w:rsidRPr="00E00B35">
              <w:rPr>
                <w:rFonts w:cs="Arial"/>
                <w:bCs/>
                <w:color w:val="000000"/>
                <w:szCs w:val="20"/>
              </w:rPr>
              <w:t>Szkoły zawodowe</w:t>
            </w:r>
          </w:p>
        </w:tc>
        <w:tc>
          <w:tcPr>
            <w:tcW w:w="1417"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442</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9 544</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21,6</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5,8%</w:t>
            </w:r>
          </w:p>
        </w:tc>
      </w:tr>
      <w:tr w:rsidR="008C7751" w:rsidRPr="00E00B35" w:rsidTr="008C7751">
        <w:trPr>
          <w:trHeight w:val="333"/>
        </w:trPr>
        <w:tc>
          <w:tcPr>
            <w:tcW w:w="725" w:type="dxa"/>
            <w:gridSpan w:val="2"/>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5.</w:t>
            </w:r>
          </w:p>
        </w:tc>
        <w:tc>
          <w:tcPr>
            <w:tcW w:w="1832" w:type="dxa"/>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bCs/>
                <w:color w:val="000000"/>
                <w:szCs w:val="20"/>
              </w:rPr>
            </w:pPr>
            <w:r w:rsidRPr="00E00B35">
              <w:rPr>
                <w:rFonts w:cs="Arial"/>
                <w:bCs/>
                <w:color w:val="000000"/>
                <w:szCs w:val="20"/>
              </w:rPr>
              <w:t>Szkoły artystyczne</w:t>
            </w:r>
          </w:p>
        </w:tc>
        <w:tc>
          <w:tcPr>
            <w:tcW w:w="1417"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10</w:t>
            </w:r>
          </w:p>
        </w:tc>
        <w:tc>
          <w:tcPr>
            <w:tcW w:w="1276"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266</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26,6</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2,3%</w:t>
            </w:r>
          </w:p>
        </w:tc>
      </w:tr>
      <w:tr w:rsidR="008C7751" w:rsidRPr="00E00B35" w:rsidTr="008C7751">
        <w:trPr>
          <w:trHeight w:val="333"/>
        </w:trPr>
        <w:tc>
          <w:tcPr>
            <w:tcW w:w="725" w:type="dxa"/>
            <w:gridSpan w:val="2"/>
            <w:tcBorders>
              <w:top w:val="nil"/>
              <w:left w:val="single" w:sz="4" w:space="0" w:color="auto"/>
              <w:bottom w:val="single" w:sz="4" w:space="0" w:color="auto"/>
              <w:right w:val="single" w:sz="4" w:space="0" w:color="auto"/>
            </w:tcBorders>
          </w:tcPr>
          <w:p w:rsidR="008C7751" w:rsidRPr="00E00B35" w:rsidRDefault="008C7751" w:rsidP="00E00B35">
            <w:pPr>
              <w:spacing w:after="0" w:line="312" w:lineRule="auto"/>
              <w:rPr>
                <w:rFonts w:cs="Arial"/>
                <w:bCs/>
                <w:color w:val="000000"/>
                <w:szCs w:val="20"/>
              </w:rPr>
            </w:pPr>
          </w:p>
        </w:tc>
        <w:tc>
          <w:tcPr>
            <w:tcW w:w="1832"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Razem</w:t>
            </w:r>
          </w:p>
        </w:tc>
        <w:tc>
          <w:tcPr>
            <w:tcW w:w="1417"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 xml:space="preserve">3 838 </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 xml:space="preserve">84 014 </w:t>
            </w:r>
          </w:p>
        </w:tc>
        <w:tc>
          <w:tcPr>
            <w:tcW w:w="1276"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21,9</w:t>
            </w:r>
          </w:p>
        </w:tc>
        <w:tc>
          <w:tcPr>
            <w:tcW w:w="2551" w:type="dxa"/>
            <w:tcBorders>
              <w:top w:val="nil"/>
              <w:left w:val="nil"/>
              <w:bottom w:val="single" w:sz="4" w:space="0" w:color="auto"/>
              <w:right w:val="single" w:sz="4" w:space="0" w:color="auto"/>
            </w:tcBorders>
            <w:noWrap/>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1,7%</w:t>
            </w:r>
          </w:p>
        </w:tc>
      </w:tr>
    </w:tbl>
    <w:p w:rsidR="008C7751" w:rsidRPr="00E00B35" w:rsidRDefault="008C7751" w:rsidP="00E00B35">
      <w:pPr>
        <w:pStyle w:val="11TrescpismaZnak"/>
        <w:spacing w:after="0" w:line="312" w:lineRule="auto"/>
        <w:jc w:val="left"/>
        <w:rPr>
          <w:color w:val="000000"/>
          <w:lang w:val="pl-PL"/>
        </w:rPr>
      </w:pPr>
      <w:r w:rsidRPr="00E00B35">
        <w:rPr>
          <w:color w:val="000000"/>
          <w:lang w:val="pl-PL"/>
        </w:rPr>
        <w:t xml:space="preserve">Według stanu na 29.12.2020 r. w 191 </w:t>
      </w:r>
      <w:r w:rsidRPr="00E00B35">
        <w:rPr>
          <w:bCs/>
          <w:color w:val="000000"/>
          <w:lang w:val="pl-PL"/>
        </w:rPr>
        <w:t>oddziałach integracyjnych,</w:t>
      </w:r>
      <w:r w:rsidRPr="00E00B35">
        <w:rPr>
          <w:color w:val="000000"/>
          <w:lang w:val="pl-PL"/>
        </w:rPr>
        <w:t xml:space="preserve"> w placówkach prowadzonych przez Miasto, opieką i kształceniem objętych było 740 </w:t>
      </w:r>
      <w:r w:rsidRPr="00E00B35">
        <w:rPr>
          <w:bCs/>
          <w:color w:val="000000"/>
          <w:lang w:val="pl-PL"/>
        </w:rPr>
        <w:t>uczniów</w:t>
      </w:r>
      <w:r w:rsidRPr="00E00B35">
        <w:rPr>
          <w:color w:val="000000"/>
          <w:lang w:val="pl-PL"/>
        </w:rPr>
        <w:t xml:space="preserve"> posiadających orzeczenie o potrzebie kształcenia specjalnego. W roku szkolnym 2020/2021:</w:t>
      </w:r>
    </w:p>
    <w:p w:rsidR="008C7751" w:rsidRPr="00E00B35" w:rsidRDefault="008C7751" w:rsidP="00E00B35">
      <w:pPr>
        <w:numPr>
          <w:ilvl w:val="0"/>
          <w:numId w:val="131"/>
        </w:numPr>
        <w:spacing w:after="0" w:line="312" w:lineRule="auto"/>
        <w:rPr>
          <w:bCs/>
          <w:szCs w:val="20"/>
        </w:rPr>
      </w:pPr>
      <w:r w:rsidRPr="00E00B35">
        <w:rPr>
          <w:bCs/>
          <w:szCs w:val="20"/>
        </w:rPr>
        <w:lastRenderedPageBreak/>
        <w:t xml:space="preserve"> w przedszkolach było 47 oddziałów integracyjnych, do których uczęszczało 187 dzieci posiadających orzeczenie o potrzebie kształcenia specjalnego. Średnia liczba dzieci w oddziale – 4,</w:t>
      </w:r>
    </w:p>
    <w:p w:rsidR="008C7751" w:rsidRPr="00E00B35" w:rsidRDefault="008C7751" w:rsidP="00E00B35">
      <w:pPr>
        <w:numPr>
          <w:ilvl w:val="0"/>
          <w:numId w:val="131"/>
        </w:numPr>
        <w:spacing w:after="0" w:line="312" w:lineRule="auto"/>
        <w:rPr>
          <w:bCs/>
          <w:szCs w:val="20"/>
        </w:rPr>
      </w:pPr>
      <w:r w:rsidRPr="00E00B35">
        <w:rPr>
          <w:bCs/>
          <w:szCs w:val="20"/>
        </w:rPr>
        <w:t xml:space="preserve"> w szkołach podstawowych było 125 oddziałów integracyjnych, do których uczęszczało 487 uczniów posiadających orzeczenie o potrzebie kształcenia specjalnego. Średnia liczba uczniów w oddziale – 3.9</w:t>
      </w:r>
    </w:p>
    <w:p w:rsidR="008C7751" w:rsidRPr="00E00B35" w:rsidRDefault="008C7751" w:rsidP="00E00B35">
      <w:pPr>
        <w:numPr>
          <w:ilvl w:val="0"/>
          <w:numId w:val="131"/>
        </w:numPr>
        <w:spacing w:after="0" w:line="312" w:lineRule="auto"/>
        <w:rPr>
          <w:bCs/>
          <w:szCs w:val="20"/>
        </w:rPr>
      </w:pPr>
      <w:r w:rsidRPr="00E00B35">
        <w:rPr>
          <w:bCs/>
          <w:szCs w:val="20"/>
        </w:rPr>
        <w:t xml:space="preserve"> w liceach ogólnokształcących było 14 oddziałów integracyjnych, do których uczęszczało 53 uczniów posiadających orzeczenie o potrzebie kształcenia specjalnego. Średnia liczba uczniów w oddziale – 3,8</w:t>
      </w:r>
    </w:p>
    <w:p w:rsidR="008C7751" w:rsidRPr="00E00B35" w:rsidRDefault="008C7751" w:rsidP="00E00B35">
      <w:pPr>
        <w:numPr>
          <w:ilvl w:val="0"/>
          <w:numId w:val="131"/>
        </w:numPr>
        <w:spacing w:after="0" w:line="312" w:lineRule="auto"/>
        <w:rPr>
          <w:bCs/>
          <w:szCs w:val="20"/>
        </w:rPr>
      </w:pPr>
      <w:r w:rsidRPr="00E00B35">
        <w:rPr>
          <w:bCs/>
          <w:szCs w:val="20"/>
        </w:rPr>
        <w:t xml:space="preserve"> w technikach było 5 oddziałów integracyjnych, do których uczęszczało 13 uczniów posiadających orzeczenie o potrzebie kształcenia specjalnego. Średnia liczba uczniów w oddziale – 2,6.</w:t>
      </w:r>
    </w:p>
    <w:p w:rsidR="00544448" w:rsidRPr="00E00B35" w:rsidRDefault="00544448" w:rsidP="00E00B35">
      <w:pPr>
        <w:spacing w:after="0" w:line="312" w:lineRule="auto"/>
        <w:ind w:left="720"/>
        <w:rPr>
          <w:bCs/>
          <w:szCs w:val="20"/>
        </w:rPr>
      </w:pPr>
    </w:p>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lang w:val="pl-PL"/>
        </w:rPr>
      </w:pPr>
      <w:r w:rsidRPr="00E00B35">
        <w:rPr>
          <w:color w:val="000000"/>
          <w:szCs w:val="20"/>
          <w:shd w:val="clear" w:color="auto" w:fill="FFFFFF"/>
          <w:lang w:val="pl-PL"/>
        </w:rPr>
        <w:t>W ramach projektu „</w:t>
      </w:r>
      <w:r w:rsidRPr="00E00B35">
        <w:rPr>
          <w:rFonts w:eastAsia="MS Mincho" w:cs="Verdana"/>
          <w:bCs/>
          <w:color w:val="000000"/>
          <w:szCs w:val="20"/>
          <w:lang w:val="pl-PL"/>
        </w:rPr>
        <w:t xml:space="preserve">Strategia rozwoju nowych miejsc przedszkolnych we Wrocławiu” w </w:t>
      </w:r>
      <w:r w:rsidRPr="00E00B35">
        <w:rPr>
          <w:color w:val="000000"/>
          <w:szCs w:val="20"/>
          <w:shd w:val="clear" w:color="auto" w:fill="FFFFFF"/>
          <w:lang w:val="pl-PL"/>
        </w:rPr>
        <w:t>nowo utworzonych przedszkolach publicznych, powstało dodatkowo 1 830 miejsc dla dzieci wieku od 3 do 6 lat.</w:t>
      </w:r>
    </w:p>
    <w:p w:rsidR="00544448" w:rsidRPr="00E00B35" w:rsidRDefault="00544448" w:rsidP="00E00B35">
      <w:pPr>
        <w:pStyle w:val="SprawozdanieDSSZnakZnak"/>
        <w:tabs>
          <w:tab w:val="clear" w:pos="643"/>
          <w:tab w:val="left" w:pos="-1440"/>
        </w:tabs>
        <w:spacing w:after="0" w:line="312" w:lineRule="auto"/>
        <w:ind w:left="0" w:firstLine="0"/>
        <w:jc w:val="left"/>
        <w:rPr>
          <w:color w:val="000000"/>
          <w:szCs w:val="20"/>
          <w:lang w:val="pl-PL"/>
        </w:rPr>
      </w:pPr>
    </w:p>
    <w:p w:rsidR="008C7751" w:rsidRPr="00E00B35" w:rsidRDefault="008C7751" w:rsidP="00E00B35">
      <w:pPr>
        <w:pStyle w:val="SprawozdanieDSSZnakZnak"/>
        <w:tabs>
          <w:tab w:val="clear" w:pos="643"/>
          <w:tab w:val="left" w:pos="-1440"/>
        </w:tabs>
        <w:spacing w:after="0" w:line="312" w:lineRule="auto"/>
        <w:jc w:val="left"/>
        <w:rPr>
          <w:color w:val="000000"/>
          <w:szCs w:val="20"/>
          <w:lang w:val="pl-PL"/>
        </w:rPr>
      </w:pPr>
      <w:r w:rsidRPr="00E00B35">
        <w:rPr>
          <w:color w:val="000000"/>
          <w:szCs w:val="20"/>
          <w:lang w:val="pl-PL"/>
        </w:rPr>
        <w:t>Tabela 6. Nowe miejsca przedszkolne w 2020 r.</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127"/>
        <w:gridCol w:w="2835"/>
        <w:gridCol w:w="1559"/>
        <w:gridCol w:w="1984"/>
      </w:tblGrid>
      <w:tr w:rsidR="008C7751" w:rsidRPr="00E00B35" w:rsidTr="008C7751">
        <w:trPr>
          <w:trHeight w:val="450"/>
          <w:tblHeader/>
        </w:trPr>
        <w:tc>
          <w:tcPr>
            <w:tcW w:w="567" w:type="dxa"/>
            <w:shd w:val="clear" w:color="auto" w:fill="FFFFFF"/>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b/>
                <w:color w:val="000000"/>
                <w:szCs w:val="20"/>
              </w:rPr>
            </w:pPr>
            <w:r w:rsidRPr="00E00B35">
              <w:rPr>
                <w:b/>
                <w:color w:val="000000"/>
                <w:szCs w:val="20"/>
              </w:rPr>
              <w:t>Lp.</w:t>
            </w:r>
          </w:p>
        </w:tc>
        <w:tc>
          <w:tcPr>
            <w:tcW w:w="2127" w:type="dxa"/>
            <w:shd w:val="clear" w:color="auto" w:fill="FFFFFF"/>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b/>
                <w:color w:val="000000"/>
                <w:szCs w:val="20"/>
              </w:rPr>
            </w:pPr>
            <w:r w:rsidRPr="00E00B35">
              <w:rPr>
                <w:b/>
                <w:color w:val="000000"/>
                <w:szCs w:val="20"/>
              </w:rPr>
              <w:t>Adres</w:t>
            </w:r>
          </w:p>
        </w:tc>
        <w:tc>
          <w:tcPr>
            <w:tcW w:w="2835" w:type="dxa"/>
            <w:shd w:val="clear" w:color="auto" w:fill="FFFFFF"/>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b/>
                <w:color w:val="000000"/>
                <w:szCs w:val="20"/>
              </w:rPr>
            </w:pPr>
            <w:r w:rsidRPr="00E00B35">
              <w:rPr>
                <w:b/>
                <w:color w:val="000000"/>
                <w:szCs w:val="20"/>
              </w:rPr>
              <w:t>Podmiot</w:t>
            </w:r>
          </w:p>
        </w:tc>
        <w:tc>
          <w:tcPr>
            <w:tcW w:w="1559" w:type="dxa"/>
            <w:shd w:val="clear" w:color="auto" w:fill="FFFFFF"/>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b/>
                <w:color w:val="000000"/>
                <w:szCs w:val="20"/>
              </w:rPr>
            </w:pPr>
            <w:r w:rsidRPr="00E00B35">
              <w:rPr>
                <w:b/>
                <w:color w:val="000000"/>
                <w:szCs w:val="20"/>
              </w:rPr>
              <w:t>Liczba nowych miejsc</w:t>
            </w:r>
          </w:p>
        </w:tc>
        <w:tc>
          <w:tcPr>
            <w:tcW w:w="1984" w:type="dxa"/>
            <w:shd w:val="clear" w:color="auto" w:fill="FFFFFF"/>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b/>
                <w:color w:val="000000"/>
                <w:szCs w:val="20"/>
              </w:rPr>
            </w:pPr>
            <w:r w:rsidRPr="00E00B35">
              <w:rPr>
                <w:b/>
                <w:color w:val="000000"/>
                <w:szCs w:val="20"/>
              </w:rPr>
              <w:t>Termin uruchomienia</w:t>
            </w:r>
          </w:p>
        </w:tc>
      </w:tr>
      <w:tr w:rsidR="008C7751" w:rsidRPr="00E00B35" w:rsidTr="008C7751">
        <w:trPr>
          <w:trHeight w:val="224"/>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1.</w:t>
            </w: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al. Śląska</w:t>
            </w:r>
          </w:p>
        </w:tc>
        <w:tc>
          <w:tcPr>
            <w:tcW w:w="2835" w:type="dxa"/>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Gmina Wrocław Przedszkole nr 26</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350</w:t>
            </w:r>
          </w:p>
        </w:tc>
        <w:tc>
          <w:tcPr>
            <w:tcW w:w="1984" w:type="dxa"/>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Styczeń 2020</w:t>
            </w:r>
          </w:p>
        </w:tc>
      </w:tr>
      <w:tr w:rsidR="008C7751" w:rsidRPr="00E00B35" w:rsidTr="008C7751">
        <w:trPr>
          <w:trHeight w:val="237"/>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2.</w:t>
            </w: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ul. Jackowskiego 55</w:t>
            </w:r>
          </w:p>
        </w:tc>
        <w:tc>
          <w:tcPr>
            <w:tcW w:w="2835" w:type="dxa"/>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lang w:val="pl-PL"/>
              </w:rPr>
            </w:pPr>
            <w:r w:rsidRPr="00E00B35">
              <w:rPr>
                <w:color w:val="000000"/>
                <w:szCs w:val="20"/>
                <w:lang w:val="pl-PL"/>
              </w:rPr>
              <w:t>Gmina Wrocław – Przedszkole nr 147 (w Zesple Szkolno-Przedszkolnym nr 24)</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200</w:t>
            </w:r>
          </w:p>
        </w:tc>
        <w:tc>
          <w:tcPr>
            <w:tcW w:w="1984" w:type="dxa"/>
            <w:vAlign w:val="center"/>
          </w:tcPr>
          <w:p w:rsidR="008C7751" w:rsidRPr="00E00B35" w:rsidRDefault="008C7751" w:rsidP="00E00B35">
            <w:pPr>
              <w:spacing w:after="0" w:line="312" w:lineRule="auto"/>
              <w:rPr>
                <w:color w:val="000000"/>
                <w:szCs w:val="20"/>
              </w:rPr>
            </w:pPr>
            <w:r w:rsidRPr="00E00B35">
              <w:rPr>
                <w:color w:val="000000"/>
                <w:szCs w:val="20"/>
              </w:rPr>
              <w:t>Wrzesień 2020</w:t>
            </w:r>
          </w:p>
        </w:tc>
      </w:tr>
      <w:tr w:rsidR="008C7751" w:rsidRPr="00E00B35" w:rsidTr="008C7751">
        <w:trPr>
          <w:trHeight w:val="224"/>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3.</w:t>
            </w: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ul. Stabłowicka 95</w:t>
            </w:r>
          </w:p>
        </w:tc>
        <w:tc>
          <w:tcPr>
            <w:tcW w:w="2835"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Pod Wierzbami</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100</w:t>
            </w:r>
          </w:p>
        </w:tc>
        <w:tc>
          <w:tcPr>
            <w:tcW w:w="1984" w:type="dxa"/>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Maj 2020</w:t>
            </w:r>
          </w:p>
        </w:tc>
      </w:tr>
      <w:tr w:rsidR="008C7751" w:rsidRPr="00E00B35" w:rsidTr="008C7751">
        <w:trPr>
          <w:trHeight w:val="224"/>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4.</w:t>
            </w: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ul. K.M. Barskich 33</w:t>
            </w:r>
          </w:p>
        </w:tc>
        <w:tc>
          <w:tcPr>
            <w:tcW w:w="2835"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Smerfowa Załoga</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25</w:t>
            </w:r>
          </w:p>
        </w:tc>
        <w:tc>
          <w:tcPr>
            <w:tcW w:w="1984" w:type="dxa"/>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Październik 2020</w:t>
            </w:r>
          </w:p>
        </w:tc>
      </w:tr>
      <w:tr w:rsidR="008C7751" w:rsidRPr="00E00B35" w:rsidTr="008C7751">
        <w:trPr>
          <w:trHeight w:val="224"/>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5.</w:t>
            </w: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ul. Mokronoska 2a</w:t>
            </w:r>
          </w:p>
        </w:tc>
        <w:tc>
          <w:tcPr>
            <w:tcW w:w="2835"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Mały Podróżnik</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200</w:t>
            </w:r>
          </w:p>
        </w:tc>
        <w:tc>
          <w:tcPr>
            <w:tcW w:w="1984" w:type="dxa"/>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Kwiecień 2020</w:t>
            </w:r>
          </w:p>
        </w:tc>
      </w:tr>
      <w:tr w:rsidR="008C7751" w:rsidRPr="00E00B35" w:rsidTr="008C7751">
        <w:trPr>
          <w:trHeight w:val="224"/>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6.</w:t>
            </w: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ul. Paulińska 14</w:t>
            </w:r>
          </w:p>
        </w:tc>
        <w:tc>
          <w:tcPr>
            <w:tcW w:w="2835"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Katolickie Przedszkole Publiczne</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100</w:t>
            </w:r>
          </w:p>
        </w:tc>
        <w:tc>
          <w:tcPr>
            <w:tcW w:w="1984" w:type="dxa"/>
            <w:vAlign w:val="center"/>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Lipiec 2020</w:t>
            </w:r>
          </w:p>
        </w:tc>
      </w:tr>
      <w:tr w:rsidR="008C7751" w:rsidRPr="00E00B35" w:rsidTr="008C7751">
        <w:trPr>
          <w:trHeight w:val="224"/>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7.</w:t>
            </w: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ul. T. Brzozy</w:t>
            </w:r>
          </w:p>
        </w:tc>
        <w:tc>
          <w:tcPr>
            <w:tcW w:w="2835"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Galileo</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75</w:t>
            </w:r>
          </w:p>
        </w:tc>
        <w:tc>
          <w:tcPr>
            <w:tcW w:w="1984"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Wrzesień 2020</w:t>
            </w:r>
          </w:p>
        </w:tc>
      </w:tr>
      <w:tr w:rsidR="008C7751" w:rsidRPr="00E00B35" w:rsidTr="008C7751">
        <w:trPr>
          <w:trHeight w:val="224"/>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8.</w:t>
            </w: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ul. Na Grobli 14/16</w:t>
            </w:r>
          </w:p>
        </w:tc>
        <w:tc>
          <w:tcPr>
            <w:tcW w:w="2835"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Kropelka</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125</w:t>
            </w:r>
          </w:p>
        </w:tc>
        <w:tc>
          <w:tcPr>
            <w:tcW w:w="1984"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Wrzesień 2020</w:t>
            </w:r>
          </w:p>
        </w:tc>
      </w:tr>
      <w:tr w:rsidR="008C7751" w:rsidRPr="00E00B35" w:rsidTr="008C7751">
        <w:trPr>
          <w:trHeight w:val="224"/>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9.</w:t>
            </w: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ul. Radkowska 26</w:t>
            </w:r>
          </w:p>
        </w:tc>
        <w:tc>
          <w:tcPr>
            <w:tcW w:w="2835"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Wrocławskie Skauty IV</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375</w:t>
            </w:r>
          </w:p>
        </w:tc>
        <w:tc>
          <w:tcPr>
            <w:tcW w:w="1984"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Wrzesień 2020</w:t>
            </w:r>
          </w:p>
        </w:tc>
      </w:tr>
      <w:tr w:rsidR="008C7751" w:rsidRPr="00E00B35" w:rsidTr="008C7751">
        <w:trPr>
          <w:trHeight w:val="224"/>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10.</w:t>
            </w: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ul. Cynamonowa 6</w:t>
            </w:r>
          </w:p>
        </w:tc>
        <w:tc>
          <w:tcPr>
            <w:tcW w:w="2835"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LiPi</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225</w:t>
            </w:r>
          </w:p>
        </w:tc>
        <w:tc>
          <w:tcPr>
            <w:tcW w:w="1984"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Listopad 2020</w:t>
            </w:r>
          </w:p>
        </w:tc>
      </w:tr>
      <w:tr w:rsidR="008C7751" w:rsidRPr="00E00B35" w:rsidTr="008C7751">
        <w:trPr>
          <w:trHeight w:val="224"/>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11.</w:t>
            </w: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ul. 3 Maja 3d</w:t>
            </w:r>
          </w:p>
        </w:tc>
        <w:tc>
          <w:tcPr>
            <w:tcW w:w="2835"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Kręciołek</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55</w:t>
            </w:r>
          </w:p>
        </w:tc>
        <w:tc>
          <w:tcPr>
            <w:tcW w:w="1984"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Listopad 2020</w:t>
            </w:r>
          </w:p>
        </w:tc>
      </w:tr>
      <w:tr w:rsidR="008C7751" w:rsidRPr="00E00B35" w:rsidTr="008C7751">
        <w:trPr>
          <w:trHeight w:val="237"/>
        </w:trPr>
        <w:tc>
          <w:tcPr>
            <w:tcW w:w="56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p>
        </w:tc>
        <w:tc>
          <w:tcPr>
            <w:tcW w:w="2127"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Razem</w:t>
            </w:r>
          </w:p>
        </w:tc>
        <w:tc>
          <w:tcPr>
            <w:tcW w:w="2835"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0</w:t>
            </w:r>
          </w:p>
        </w:tc>
        <w:tc>
          <w:tcPr>
            <w:tcW w:w="1559"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1 830</w:t>
            </w:r>
          </w:p>
        </w:tc>
        <w:tc>
          <w:tcPr>
            <w:tcW w:w="1984" w:type="dxa"/>
          </w:tcPr>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rPr>
            </w:pPr>
            <w:r w:rsidRPr="00E00B35">
              <w:rPr>
                <w:color w:val="000000"/>
                <w:szCs w:val="20"/>
              </w:rPr>
              <w:t>0</w:t>
            </w:r>
          </w:p>
        </w:tc>
      </w:tr>
    </w:tbl>
    <w:p w:rsidR="008C7751" w:rsidRPr="00E00B35" w:rsidRDefault="008C7751" w:rsidP="00E00B35">
      <w:pPr>
        <w:pStyle w:val="SprawozdanieDSSZnakZnak"/>
        <w:tabs>
          <w:tab w:val="clear" w:pos="643"/>
          <w:tab w:val="left" w:pos="-1440"/>
        </w:tabs>
        <w:spacing w:after="0" w:line="312" w:lineRule="auto"/>
        <w:jc w:val="left"/>
        <w:rPr>
          <w:color w:val="000000"/>
          <w:szCs w:val="20"/>
        </w:rPr>
      </w:pPr>
    </w:p>
    <w:p w:rsidR="008C7751" w:rsidRPr="00E00B35" w:rsidRDefault="008C7751" w:rsidP="00E00B35">
      <w:pPr>
        <w:pStyle w:val="SprawozdanieDSSZnakZnak"/>
        <w:tabs>
          <w:tab w:val="clear" w:pos="643"/>
          <w:tab w:val="left" w:pos="-1440"/>
        </w:tabs>
        <w:spacing w:after="0" w:line="312" w:lineRule="auto"/>
        <w:ind w:left="0" w:firstLine="0"/>
        <w:jc w:val="left"/>
        <w:rPr>
          <w:color w:val="000000"/>
          <w:szCs w:val="20"/>
          <w:lang w:val="pl-PL"/>
        </w:rPr>
      </w:pPr>
      <w:r w:rsidRPr="00E00B35">
        <w:rPr>
          <w:color w:val="000000"/>
          <w:szCs w:val="20"/>
          <w:lang w:val="pl-PL"/>
        </w:rPr>
        <w:t xml:space="preserve">Zgodnie z zadaniami Departamentu Edukacji wpisanymi do „Założeń polityki społeczno-gospodarczej Wrocławia w roku 2020”, w nowo utworzonych przedszkolach publicznych, </w:t>
      </w:r>
      <w:r w:rsidRPr="00E00B35">
        <w:rPr>
          <w:color w:val="000000"/>
          <w:szCs w:val="20"/>
          <w:lang w:val="pl-PL"/>
        </w:rPr>
        <w:lastRenderedPageBreak/>
        <w:t>prowadzonych przez osoby fizyczne i prawne inne niż Gmina Wrocław, powstało dodatkowo 1 280 miejsc dla dzieci wieku od 3 do 6 lat. Natomiast kontynuując zapoczątkowaną w 2008 roku akcję: „</w:t>
      </w:r>
      <w:r w:rsidRPr="00E00B35">
        <w:rPr>
          <w:bCs/>
          <w:color w:val="000000"/>
          <w:szCs w:val="20"/>
          <w:lang w:val="pl-PL"/>
        </w:rPr>
        <w:t>Załóż domowe przedszkole we Wrocławiu”</w:t>
      </w:r>
      <w:r w:rsidRPr="00E00B35">
        <w:rPr>
          <w:color w:val="000000"/>
          <w:szCs w:val="20"/>
          <w:lang w:val="pl-PL"/>
        </w:rPr>
        <w:t>, mającą na celu zwiększenie dostępności do wychowania przedszkolnego, w ramach alternatywnych form wychowania przedszkolnego, w 2020 roku zarejestrowano 7 niepublicznych punktów przedszkolnych, w których powstało 161 miejsc dla dzieci w wieku od 3 do 6 lat.</w:t>
      </w:r>
    </w:p>
    <w:p w:rsidR="008C7751" w:rsidRPr="00E00B35" w:rsidRDefault="008C7751" w:rsidP="00E00B35">
      <w:pPr>
        <w:tabs>
          <w:tab w:val="left" w:pos="-1440"/>
          <w:tab w:val="left" w:pos="-1134"/>
        </w:tabs>
        <w:spacing w:after="0" w:line="312" w:lineRule="auto"/>
        <w:rPr>
          <w:color w:val="000000"/>
          <w:szCs w:val="20"/>
          <w:lang w:val="pl-PL"/>
        </w:rPr>
      </w:pPr>
      <w:r w:rsidRPr="00E00B35">
        <w:rPr>
          <w:color w:val="000000"/>
          <w:szCs w:val="20"/>
          <w:lang w:val="pl-PL"/>
        </w:rPr>
        <w:t>W ramach uzupełnienia sieci szkół we Wrocławiu w 2020 roku zarejestrowano 22 nowe szkoły i placówki niepubliczne. Natomiast w przypadku 60 szkół i placówek niepublicznych dokonano zmiany wpisu do ewidencji. Jednocześnie w drodze decyzji administracyjnej wykreślono z ewidencji szkół i placówek niepublicznych 36 szkół i placówek, które nie rozpoczęły działalności w zgłoszonym terminie lub zaprzestały prowadzenia działalności przez okres dłuższy niż trzy miesiące. Ponadto w drodze decyzji administracyjnej wydano 8 zezwoleń osobom fizycznym i prawnym innym niż Gmina Wrocław na założenie 6 publicznych przedszkoli i 2 publicznych szkół podstawowych oraz dokonano zmiany zezwolenia w 9 publicznych szkołach i placówkach (6 przedszkolach, 1 szkole podstawowej, 1 szkole branżowej, 1 poradni psychologiczno-pedagogicznej). Odmówiono natomiast zezwolenia na założenie publicznego liceum ogólnokształcącego, publicznej szkoły branżowej oraz publicznego technikum dla młodzieży, z uwagi na wystarczającą liczbę szkół tego typu, jaka występuje w sieci szkół na terenie Wrocławia.</w:t>
      </w:r>
    </w:p>
    <w:p w:rsidR="008C7751" w:rsidRPr="00E00B35" w:rsidRDefault="008C7751" w:rsidP="00E00B35">
      <w:pPr>
        <w:tabs>
          <w:tab w:val="left" w:pos="-1440"/>
          <w:tab w:val="left" w:pos="-1134"/>
        </w:tabs>
        <w:spacing w:after="0" w:line="312" w:lineRule="auto"/>
        <w:rPr>
          <w:color w:val="000000"/>
          <w:szCs w:val="20"/>
          <w:lang w:val="pl-PL"/>
        </w:rPr>
      </w:pPr>
      <w:r w:rsidRPr="00E00B35">
        <w:rPr>
          <w:color w:val="000000"/>
          <w:szCs w:val="20"/>
          <w:lang w:val="pl-PL"/>
        </w:rPr>
        <w:t>Struktura szkół/placówek niepublicznych i publicznych prowadzonych przez osoby fizyczne lub prawne inne niż Gmina Wrocław wpisanych do ewidencji w 2020 roku:</w:t>
      </w:r>
    </w:p>
    <w:p w:rsidR="008C7751" w:rsidRPr="00E00B35" w:rsidRDefault="008C7751" w:rsidP="00E00B35">
      <w:pPr>
        <w:numPr>
          <w:ilvl w:val="0"/>
          <w:numId w:val="131"/>
        </w:numPr>
        <w:spacing w:after="0" w:line="312" w:lineRule="auto"/>
        <w:rPr>
          <w:bCs/>
          <w:szCs w:val="20"/>
        </w:rPr>
      </w:pPr>
      <w:r w:rsidRPr="00E00B35">
        <w:rPr>
          <w:bCs/>
          <w:szCs w:val="20"/>
        </w:rPr>
        <w:t xml:space="preserve"> liczba punktów przedszkolnych – 7</w:t>
      </w:r>
    </w:p>
    <w:p w:rsidR="008C7751" w:rsidRPr="00E00B35" w:rsidRDefault="008C7751" w:rsidP="00E00B35">
      <w:pPr>
        <w:numPr>
          <w:ilvl w:val="0"/>
          <w:numId w:val="131"/>
        </w:numPr>
        <w:spacing w:after="0" w:line="312" w:lineRule="auto"/>
        <w:rPr>
          <w:bCs/>
          <w:szCs w:val="20"/>
        </w:rPr>
      </w:pPr>
      <w:r w:rsidRPr="00E00B35">
        <w:rPr>
          <w:bCs/>
          <w:szCs w:val="20"/>
        </w:rPr>
        <w:t xml:space="preserve"> liczba przedszkoli – 11</w:t>
      </w:r>
    </w:p>
    <w:p w:rsidR="008C7751" w:rsidRPr="00E00B35" w:rsidRDefault="008C7751" w:rsidP="00E00B35">
      <w:pPr>
        <w:numPr>
          <w:ilvl w:val="0"/>
          <w:numId w:val="131"/>
        </w:numPr>
        <w:spacing w:after="0" w:line="312" w:lineRule="auto"/>
        <w:rPr>
          <w:bCs/>
          <w:szCs w:val="20"/>
        </w:rPr>
      </w:pPr>
      <w:r w:rsidRPr="00E00B35">
        <w:rPr>
          <w:bCs/>
          <w:szCs w:val="20"/>
        </w:rPr>
        <w:t xml:space="preserve"> liczba szkół podstawowych – 3</w:t>
      </w:r>
    </w:p>
    <w:p w:rsidR="008C7751" w:rsidRPr="00E00B35" w:rsidRDefault="008C7751" w:rsidP="00E00B35">
      <w:pPr>
        <w:numPr>
          <w:ilvl w:val="0"/>
          <w:numId w:val="131"/>
        </w:numPr>
        <w:spacing w:after="0" w:line="312" w:lineRule="auto"/>
        <w:rPr>
          <w:bCs/>
          <w:szCs w:val="20"/>
        </w:rPr>
      </w:pPr>
      <w:r w:rsidRPr="00E00B35">
        <w:rPr>
          <w:bCs/>
          <w:szCs w:val="20"/>
        </w:rPr>
        <w:t xml:space="preserve"> liczba liceów ogólnokształcących – 1</w:t>
      </w:r>
    </w:p>
    <w:p w:rsidR="008C7751" w:rsidRPr="00E00B35" w:rsidRDefault="008C7751" w:rsidP="00E00B35">
      <w:pPr>
        <w:numPr>
          <w:ilvl w:val="0"/>
          <w:numId w:val="131"/>
        </w:numPr>
        <w:spacing w:after="0" w:line="312" w:lineRule="auto"/>
        <w:rPr>
          <w:bCs/>
          <w:szCs w:val="20"/>
        </w:rPr>
      </w:pPr>
      <w:r w:rsidRPr="00E00B35">
        <w:rPr>
          <w:bCs/>
          <w:szCs w:val="20"/>
        </w:rPr>
        <w:t xml:space="preserve"> liczba szkół branżowych – 1</w:t>
      </w:r>
    </w:p>
    <w:p w:rsidR="008C7751" w:rsidRPr="00E00B35" w:rsidRDefault="008C7751" w:rsidP="00E00B35">
      <w:pPr>
        <w:numPr>
          <w:ilvl w:val="0"/>
          <w:numId w:val="131"/>
        </w:numPr>
        <w:spacing w:after="0" w:line="312" w:lineRule="auto"/>
        <w:rPr>
          <w:bCs/>
          <w:szCs w:val="20"/>
        </w:rPr>
      </w:pPr>
      <w:r w:rsidRPr="00E00B35">
        <w:rPr>
          <w:bCs/>
          <w:szCs w:val="20"/>
        </w:rPr>
        <w:t xml:space="preserve"> liczba centrów kształcenia zaowodowego – 1</w:t>
      </w:r>
    </w:p>
    <w:p w:rsidR="008C7751" w:rsidRPr="00E00B35" w:rsidRDefault="008C7751" w:rsidP="00E00B35">
      <w:pPr>
        <w:numPr>
          <w:ilvl w:val="0"/>
          <w:numId w:val="131"/>
        </w:numPr>
        <w:spacing w:after="0" w:line="312" w:lineRule="auto"/>
        <w:rPr>
          <w:bCs/>
          <w:szCs w:val="20"/>
        </w:rPr>
      </w:pPr>
      <w:r w:rsidRPr="00E00B35">
        <w:rPr>
          <w:bCs/>
          <w:szCs w:val="20"/>
        </w:rPr>
        <w:t xml:space="preserve"> liczba placówek kształecenia ustawicznego – 5</w:t>
      </w:r>
    </w:p>
    <w:p w:rsidR="008C7751" w:rsidRPr="00E00B35" w:rsidRDefault="008C7751" w:rsidP="00E00B35">
      <w:pPr>
        <w:tabs>
          <w:tab w:val="left" w:pos="-1440"/>
          <w:tab w:val="left" w:pos="-1134"/>
        </w:tabs>
        <w:spacing w:after="0" w:line="312" w:lineRule="auto"/>
        <w:rPr>
          <w:color w:val="000000"/>
          <w:szCs w:val="20"/>
          <w:lang w:val="pl-PL"/>
        </w:rPr>
      </w:pPr>
      <w:r w:rsidRPr="00E00B35">
        <w:rPr>
          <w:color w:val="000000"/>
          <w:szCs w:val="20"/>
          <w:lang w:val="pl-PL"/>
        </w:rPr>
        <w:t>W sumie prowadzono 29 typów szkół i placówek.</w:t>
      </w:r>
    </w:p>
    <w:p w:rsidR="004863D6" w:rsidRPr="00E00B35" w:rsidRDefault="004863D6" w:rsidP="00E00B35">
      <w:pPr>
        <w:tabs>
          <w:tab w:val="left" w:pos="-1440"/>
          <w:tab w:val="left" w:pos="-1134"/>
        </w:tabs>
        <w:spacing w:after="0" w:line="312" w:lineRule="auto"/>
        <w:rPr>
          <w:color w:val="000000"/>
          <w:szCs w:val="20"/>
          <w:lang w:val="pl-PL"/>
        </w:rPr>
      </w:pPr>
    </w:p>
    <w:p w:rsidR="008C7751" w:rsidRPr="00E00B35" w:rsidRDefault="008C7751" w:rsidP="00E00B35">
      <w:pPr>
        <w:pStyle w:val="Nagwek3"/>
        <w:spacing w:after="0" w:line="312" w:lineRule="auto"/>
        <w:rPr>
          <w:sz w:val="20"/>
        </w:rPr>
      </w:pPr>
      <w:bookmarkStart w:id="51" w:name="_Toc59103780"/>
      <w:bookmarkStart w:id="52" w:name="_Toc59104148"/>
      <w:bookmarkStart w:id="53" w:name="_Toc61010191"/>
      <w:bookmarkStart w:id="54" w:name="_Toc61010243"/>
      <w:bookmarkStart w:id="55" w:name="_Toc61013142"/>
      <w:bookmarkStart w:id="56" w:name="_Toc61013422"/>
      <w:bookmarkStart w:id="57" w:name="_Toc72411083"/>
      <w:r w:rsidRPr="00E00B35">
        <w:rPr>
          <w:sz w:val="20"/>
        </w:rPr>
        <w:t>Reorganizacja sieci szkół i placówek oświatowych</w:t>
      </w:r>
      <w:bookmarkEnd w:id="51"/>
      <w:bookmarkEnd w:id="52"/>
      <w:bookmarkEnd w:id="53"/>
      <w:bookmarkEnd w:id="54"/>
      <w:bookmarkEnd w:id="55"/>
      <w:bookmarkEnd w:id="56"/>
      <w:bookmarkEnd w:id="57"/>
    </w:p>
    <w:p w:rsidR="008C7751" w:rsidRPr="00E00B35" w:rsidRDefault="008C7751" w:rsidP="00E00B35">
      <w:pPr>
        <w:spacing w:after="0" w:line="312" w:lineRule="auto"/>
        <w:rPr>
          <w:rFonts w:cs="Verdana"/>
          <w:color w:val="000000"/>
          <w:szCs w:val="20"/>
          <w:lang w:val="pl-PL"/>
        </w:rPr>
      </w:pPr>
      <w:r w:rsidRPr="00E00B35">
        <w:rPr>
          <w:color w:val="000000"/>
          <w:szCs w:val="20"/>
          <w:lang w:val="pl-PL"/>
        </w:rPr>
        <w:t>Rada Miejska Wrocławia w 2020 roku podjęła uchwały związane z</w:t>
      </w:r>
      <w:r w:rsidRPr="00E00B35">
        <w:rPr>
          <w:bCs/>
          <w:color w:val="000000"/>
          <w:szCs w:val="20"/>
          <w:lang w:val="pl-PL"/>
        </w:rPr>
        <w:t xml:space="preserve"> reorganizacją sieci szkół i placówek oświatowych, dotyczące</w:t>
      </w:r>
      <w:r w:rsidRPr="00E00B35">
        <w:rPr>
          <w:color w:val="000000"/>
          <w:szCs w:val="20"/>
          <w:lang w:val="pl-PL"/>
        </w:rPr>
        <w:t>:</w:t>
      </w:r>
    </w:p>
    <w:p w:rsidR="008C7751" w:rsidRPr="00E00B35" w:rsidRDefault="008C7751" w:rsidP="00E00B35">
      <w:pPr>
        <w:numPr>
          <w:ilvl w:val="0"/>
          <w:numId w:val="131"/>
        </w:numPr>
        <w:spacing w:after="0" w:line="312" w:lineRule="auto"/>
        <w:rPr>
          <w:bCs/>
          <w:szCs w:val="20"/>
        </w:rPr>
      </w:pPr>
      <w:r w:rsidRPr="00E00B35">
        <w:rPr>
          <w:bCs/>
          <w:szCs w:val="20"/>
        </w:rPr>
        <w:t>utworzenia branżowych szkół II stopnia i włączenia ich do zespołów szkół,</w:t>
      </w:r>
    </w:p>
    <w:p w:rsidR="008C7751" w:rsidRPr="00E00B35" w:rsidRDefault="008C7751" w:rsidP="00E00B35">
      <w:pPr>
        <w:numPr>
          <w:ilvl w:val="0"/>
          <w:numId w:val="131"/>
        </w:numPr>
        <w:spacing w:after="0" w:line="312" w:lineRule="auto"/>
        <w:rPr>
          <w:bCs/>
          <w:szCs w:val="20"/>
        </w:rPr>
      </w:pPr>
      <w:r w:rsidRPr="00E00B35">
        <w:rPr>
          <w:bCs/>
          <w:szCs w:val="20"/>
        </w:rPr>
        <w:t>zmiany siedziby Przedszkola nr 147,</w:t>
      </w:r>
    </w:p>
    <w:p w:rsidR="008C7751" w:rsidRPr="00E00B35" w:rsidRDefault="008C7751" w:rsidP="00E00B35">
      <w:pPr>
        <w:numPr>
          <w:ilvl w:val="0"/>
          <w:numId w:val="131"/>
        </w:numPr>
        <w:spacing w:after="0" w:line="312" w:lineRule="auto"/>
        <w:rPr>
          <w:bCs/>
          <w:szCs w:val="20"/>
        </w:rPr>
      </w:pPr>
      <w:r w:rsidRPr="00E00B35">
        <w:rPr>
          <w:bCs/>
          <w:szCs w:val="20"/>
        </w:rPr>
        <w:t>utworzenia Zespołu Szkolno-Przedszkolnego nr 24.</w:t>
      </w:r>
    </w:p>
    <w:p w:rsidR="008C7751" w:rsidRPr="00E00B35" w:rsidRDefault="008C7751" w:rsidP="00E00B35">
      <w:pPr>
        <w:spacing w:after="0" w:line="312" w:lineRule="auto"/>
        <w:rPr>
          <w:color w:val="000000"/>
          <w:szCs w:val="20"/>
        </w:rPr>
      </w:pPr>
      <w:r w:rsidRPr="00E00B35">
        <w:rPr>
          <w:color w:val="000000"/>
          <w:szCs w:val="20"/>
        </w:rPr>
        <w:t>Wykaz podjętych uchwał:</w:t>
      </w:r>
    </w:p>
    <w:p w:rsidR="008C7751" w:rsidRPr="00E00B35" w:rsidRDefault="008C7751" w:rsidP="00E00B35">
      <w:pPr>
        <w:pStyle w:val="Akapitzlist"/>
        <w:numPr>
          <w:ilvl w:val="0"/>
          <w:numId w:val="7"/>
        </w:numPr>
        <w:spacing w:after="0" w:line="312" w:lineRule="auto"/>
        <w:ind w:left="357" w:hanging="357"/>
        <w:rPr>
          <w:szCs w:val="20"/>
          <w:lang w:val="pl-PL"/>
        </w:rPr>
      </w:pPr>
      <w:r w:rsidRPr="00E00B35">
        <w:rPr>
          <w:szCs w:val="20"/>
          <w:lang w:val="pl-PL"/>
        </w:rPr>
        <w:t>XXI/561/20, 9.04.2020 r. w sprawie utworzenia Branżowej Szkoły II stopnia nr 1 im. Polskich Zwycięzców Enigmy we Wrocławiu przy ul. gen. Józefa Haukego - Bosaka 21 i nadania statutu</w:t>
      </w:r>
    </w:p>
    <w:p w:rsidR="008C7751" w:rsidRPr="00E00B35" w:rsidRDefault="008C7751" w:rsidP="00E00B35">
      <w:pPr>
        <w:pStyle w:val="Akapitzlist"/>
        <w:numPr>
          <w:ilvl w:val="0"/>
          <w:numId w:val="7"/>
        </w:numPr>
        <w:spacing w:after="0" w:line="312" w:lineRule="auto"/>
        <w:ind w:left="357" w:hanging="357"/>
        <w:rPr>
          <w:szCs w:val="20"/>
        </w:rPr>
      </w:pPr>
      <w:r w:rsidRPr="00E00B35">
        <w:rPr>
          <w:szCs w:val="20"/>
          <w:lang w:val="pl-PL"/>
        </w:rPr>
        <w:t xml:space="preserve">XXI/562/20, 9.04.2020 r. w sprawie utworzenia Branżowej Szkoły II stopnia nr 2 we Wrocławiu przy ul. </w:t>
      </w:r>
      <w:r w:rsidRPr="00E00B35">
        <w:rPr>
          <w:szCs w:val="20"/>
        </w:rPr>
        <w:t>Borowskiej 105 i nadania statutu</w:t>
      </w:r>
    </w:p>
    <w:p w:rsidR="008C7751" w:rsidRPr="00E00B35" w:rsidRDefault="008C7751" w:rsidP="00E00B35">
      <w:pPr>
        <w:pStyle w:val="Akapitzlist"/>
        <w:numPr>
          <w:ilvl w:val="0"/>
          <w:numId w:val="7"/>
        </w:numPr>
        <w:spacing w:after="0" w:line="312" w:lineRule="auto"/>
        <w:ind w:left="357" w:hanging="357"/>
        <w:rPr>
          <w:szCs w:val="20"/>
        </w:rPr>
      </w:pPr>
      <w:r w:rsidRPr="00E00B35">
        <w:rPr>
          <w:szCs w:val="20"/>
          <w:lang w:val="pl-PL"/>
        </w:rPr>
        <w:lastRenderedPageBreak/>
        <w:t xml:space="preserve">XXI/563/20, 9.04.2020 r. w sprawie utworzenia Branżowej Szkoły II stopnia nr 3 we Wrocławiu przy ul. </w:t>
      </w:r>
      <w:r w:rsidRPr="00E00B35">
        <w:rPr>
          <w:szCs w:val="20"/>
        </w:rPr>
        <w:t>Młodych Techników 58 i nadania statutu</w:t>
      </w:r>
    </w:p>
    <w:p w:rsidR="008C7751" w:rsidRPr="00E00B35" w:rsidRDefault="008C7751" w:rsidP="00E00B35">
      <w:pPr>
        <w:pStyle w:val="Akapitzlist"/>
        <w:numPr>
          <w:ilvl w:val="0"/>
          <w:numId w:val="7"/>
        </w:numPr>
        <w:spacing w:after="0" w:line="312" w:lineRule="auto"/>
        <w:ind w:left="357" w:hanging="357"/>
        <w:rPr>
          <w:szCs w:val="20"/>
        </w:rPr>
      </w:pPr>
      <w:r w:rsidRPr="00E00B35">
        <w:rPr>
          <w:szCs w:val="20"/>
          <w:lang w:val="pl-PL"/>
        </w:rPr>
        <w:t xml:space="preserve">XXI/564/20, 9.04.2020 r. w sprawie utworzenia Branżowej Szkoły II stopnia nr 4 im. gen. </w:t>
      </w:r>
      <w:r w:rsidRPr="00E00B35">
        <w:rPr>
          <w:szCs w:val="20"/>
        </w:rPr>
        <w:t>Józefa Bema we Wrocławiu przy ul. Grabiszyńskiej 236</w:t>
      </w:r>
    </w:p>
    <w:p w:rsidR="008C7751" w:rsidRPr="00E00B35" w:rsidRDefault="008C7751" w:rsidP="00E00B35">
      <w:pPr>
        <w:pStyle w:val="Akapitzlist"/>
        <w:numPr>
          <w:ilvl w:val="0"/>
          <w:numId w:val="7"/>
        </w:numPr>
        <w:spacing w:after="0" w:line="312" w:lineRule="auto"/>
        <w:ind w:left="357" w:hanging="357"/>
        <w:rPr>
          <w:szCs w:val="20"/>
          <w:lang w:val="pl-PL"/>
        </w:rPr>
      </w:pPr>
      <w:r w:rsidRPr="00E00B35">
        <w:rPr>
          <w:szCs w:val="20"/>
          <w:lang w:val="pl-PL"/>
        </w:rPr>
        <w:t>XXI/565/20, 9.04.2020 r. w sprawie utworzenia Branżowej Szkoły II stopnia nr 5 im. Jana Kilińskiego we Wrocławiu przy ul. Jana Wł. Dawida 5 i nadania statutu</w:t>
      </w:r>
    </w:p>
    <w:p w:rsidR="008C7751" w:rsidRPr="00E00B35" w:rsidRDefault="008C7751" w:rsidP="00E00B35">
      <w:pPr>
        <w:pStyle w:val="Akapitzlist"/>
        <w:numPr>
          <w:ilvl w:val="0"/>
          <w:numId w:val="7"/>
        </w:numPr>
        <w:spacing w:after="0" w:line="312" w:lineRule="auto"/>
        <w:ind w:left="357" w:hanging="357"/>
        <w:rPr>
          <w:szCs w:val="20"/>
        </w:rPr>
      </w:pPr>
      <w:r w:rsidRPr="00E00B35">
        <w:rPr>
          <w:szCs w:val="20"/>
          <w:lang w:val="pl-PL"/>
        </w:rPr>
        <w:t xml:space="preserve">XXI/566/20, 9.04.2020 r. w sprawie utworzenia Branżowej Szkoły II stopnia nr 6 we Wrocławiu przy ul. </w:t>
      </w:r>
      <w:r w:rsidRPr="00E00B35">
        <w:rPr>
          <w:szCs w:val="20"/>
        </w:rPr>
        <w:t>Kiełczowskiej 43 i nadania statutu</w:t>
      </w:r>
    </w:p>
    <w:p w:rsidR="008C7751" w:rsidRPr="00E00B35" w:rsidRDefault="008C7751" w:rsidP="00E00B35">
      <w:pPr>
        <w:pStyle w:val="Akapitzlist"/>
        <w:numPr>
          <w:ilvl w:val="0"/>
          <w:numId w:val="7"/>
        </w:numPr>
        <w:spacing w:after="0" w:line="312" w:lineRule="auto"/>
        <w:ind w:left="357" w:hanging="357"/>
        <w:rPr>
          <w:szCs w:val="20"/>
        </w:rPr>
      </w:pPr>
      <w:r w:rsidRPr="00E00B35">
        <w:rPr>
          <w:szCs w:val="20"/>
          <w:lang w:val="pl-PL"/>
        </w:rPr>
        <w:t xml:space="preserve">XXI/567/20, 9.04.2020 r. w sprawie utworzenia Branżowej Szkoły II stopnia nr 9 we Wrocławiu przy ul. </w:t>
      </w:r>
      <w:r w:rsidRPr="00E00B35">
        <w:rPr>
          <w:szCs w:val="20"/>
        </w:rPr>
        <w:t>Kamiennej 86 i nadania statutu</w:t>
      </w:r>
    </w:p>
    <w:p w:rsidR="008C7751" w:rsidRPr="00E00B35" w:rsidRDefault="008C7751" w:rsidP="00E00B35">
      <w:pPr>
        <w:pStyle w:val="Akapitzlist"/>
        <w:numPr>
          <w:ilvl w:val="0"/>
          <w:numId w:val="7"/>
        </w:numPr>
        <w:spacing w:after="0" w:line="312" w:lineRule="auto"/>
        <w:ind w:left="357" w:hanging="357"/>
        <w:rPr>
          <w:szCs w:val="20"/>
        </w:rPr>
      </w:pPr>
      <w:r w:rsidRPr="00E00B35">
        <w:rPr>
          <w:szCs w:val="20"/>
          <w:lang w:val="pl-PL"/>
        </w:rPr>
        <w:t xml:space="preserve">XXI/568/20, 9.04.2020 r. w sprawie utworzenia Branżowej Szkoły II stopnia nr 10 we Wrocławiu przy ul. </w:t>
      </w:r>
      <w:r w:rsidRPr="00E00B35">
        <w:rPr>
          <w:szCs w:val="20"/>
        </w:rPr>
        <w:t>Słubickiej 29-33 i nadania statutu</w:t>
      </w:r>
    </w:p>
    <w:p w:rsidR="008C7751" w:rsidRPr="00E00B35" w:rsidRDefault="008C7751" w:rsidP="00E00B35">
      <w:pPr>
        <w:pStyle w:val="Akapitzlist"/>
        <w:numPr>
          <w:ilvl w:val="0"/>
          <w:numId w:val="7"/>
        </w:numPr>
        <w:spacing w:after="0" w:line="312" w:lineRule="auto"/>
        <w:ind w:left="357" w:hanging="357"/>
        <w:rPr>
          <w:szCs w:val="20"/>
          <w:lang w:val="pl-PL"/>
        </w:rPr>
      </w:pPr>
      <w:r w:rsidRPr="00E00B35">
        <w:rPr>
          <w:szCs w:val="20"/>
          <w:lang w:val="pl-PL"/>
        </w:rPr>
        <w:t>XXI/569/20, 9.04.2020 r. w sprawie utworzenia Branżowej Szkoły II stopnia nr 12 im. ks. Stanisława Staszica we Wrocławiu przy ul. Jana Wł. Dawida 9-11 i nadania statutu</w:t>
      </w:r>
    </w:p>
    <w:p w:rsidR="008C7751" w:rsidRPr="00E00B35" w:rsidRDefault="008C7751" w:rsidP="00E00B35">
      <w:pPr>
        <w:pStyle w:val="Akapitzlist"/>
        <w:numPr>
          <w:ilvl w:val="0"/>
          <w:numId w:val="7"/>
        </w:numPr>
        <w:spacing w:after="0" w:line="312" w:lineRule="auto"/>
        <w:ind w:left="357" w:hanging="357"/>
        <w:rPr>
          <w:szCs w:val="20"/>
        </w:rPr>
      </w:pPr>
      <w:r w:rsidRPr="00E00B35">
        <w:rPr>
          <w:szCs w:val="20"/>
          <w:lang w:val="pl-PL"/>
        </w:rPr>
        <w:t xml:space="preserve">XXI/570/20, 9.04.2020 r. w sprawie włączenia Branżowej Szkoły II Stopnia nr 1 im. Polskich Zwycięzców Enigmy do Zespołu Szkół Teleinformatycznych i Elektronicznych przy ul. gen. </w:t>
      </w:r>
      <w:r w:rsidRPr="00E00B35">
        <w:rPr>
          <w:szCs w:val="20"/>
        </w:rPr>
        <w:t>Józefa Haukego-Bosaka 21 we Wrocławiu</w:t>
      </w:r>
    </w:p>
    <w:p w:rsidR="008C7751" w:rsidRPr="00E00B35" w:rsidRDefault="008C7751" w:rsidP="00E00B35">
      <w:pPr>
        <w:pStyle w:val="Akapitzlist"/>
        <w:numPr>
          <w:ilvl w:val="0"/>
          <w:numId w:val="7"/>
        </w:numPr>
        <w:spacing w:after="0" w:line="312" w:lineRule="auto"/>
        <w:ind w:left="357" w:hanging="357"/>
        <w:rPr>
          <w:szCs w:val="20"/>
        </w:rPr>
      </w:pPr>
      <w:r w:rsidRPr="00E00B35">
        <w:rPr>
          <w:szCs w:val="20"/>
          <w:lang w:val="pl-PL"/>
        </w:rPr>
        <w:t xml:space="preserve">XXI/571/20, 9.04.2020 r. w sprawie włączenia Branżowej Szkoły II Stopnia nr 2 do Zespołu Szkół nr 2 przy ul. </w:t>
      </w:r>
      <w:r w:rsidRPr="00E00B35">
        <w:rPr>
          <w:szCs w:val="20"/>
        </w:rPr>
        <w:t>Borowskiej 105 we Wrocławiu</w:t>
      </w:r>
    </w:p>
    <w:p w:rsidR="008C7751" w:rsidRPr="00E00B35" w:rsidRDefault="008C7751" w:rsidP="00E00B35">
      <w:pPr>
        <w:pStyle w:val="Akapitzlist"/>
        <w:numPr>
          <w:ilvl w:val="0"/>
          <w:numId w:val="7"/>
        </w:numPr>
        <w:spacing w:after="0" w:line="312" w:lineRule="auto"/>
        <w:ind w:left="357" w:hanging="357"/>
        <w:rPr>
          <w:szCs w:val="20"/>
        </w:rPr>
      </w:pPr>
      <w:r w:rsidRPr="00E00B35">
        <w:rPr>
          <w:szCs w:val="20"/>
          <w:lang w:val="pl-PL"/>
        </w:rPr>
        <w:t xml:space="preserve">XXI/572/20, 9.04.2020 r. w sprawie włączenia Branżowej Szkoły II Stopnia nr 3 do Zespołu Szkół nr 18 przy ul. </w:t>
      </w:r>
      <w:r w:rsidRPr="00E00B35">
        <w:rPr>
          <w:szCs w:val="20"/>
        </w:rPr>
        <w:t>Młodych Techników 58 we Wrocławiu</w:t>
      </w:r>
    </w:p>
    <w:p w:rsidR="008C7751" w:rsidRPr="00E00B35" w:rsidRDefault="008C7751" w:rsidP="00E00B35">
      <w:pPr>
        <w:pStyle w:val="Akapitzlist"/>
        <w:numPr>
          <w:ilvl w:val="0"/>
          <w:numId w:val="7"/>
        </w:numPr>
        <w:spacing w:after="0" w:line="312" w:lineRule="auto"/>
        <w:ind w:left="357" w:hanging="357"/>
        <w:rPr>
          <w:szCs w:val="20"/>
          <w:lang w:val="pl-PL"/>
        </w:rPr>
      </w:pPr>
      <w:r w:rsidRPr="00E00B35">
        <w:rPr>
          <w:szCs w:val="20"/>
          <w:lang w:val="pl-PL"/>
        </w:rPr>
        <w:t>XXI/573/20, 9.04.2020 r. w sprawie włączenia Branżowej Szkoły II Stopnia nr 4 im. gen. Józefa Bema do Zespołu Szkół Budowlanych przy ul. Grabiszyńskiej 236 we Wrocławiu</w:t>
      </w:r>
    </w:p>
    <w:p w:rsidR="008C7751" w:rsidRPr="00E00B35" w:rsidRDefault="008C7751" w:rsidP="00E00B35">
      <w:pPr>
        <w:pStyle w:val="Akapitzlist"/>
        <w:numPr>
          <w:ilvl w:val="0"/>
          <w:numId w:val="7"/>
        </w:numPr>
        <w:spacing w:after="0" w:line="312" w:lineRule="auto"/>
        <w:rPr>
          <w:szCs w:val="20"/>
        </w:rPr>
      </w:pPr>
      <w:r w:rsidRPr="00E00B35">
        <w:rPr>
          <w:szCs w:val="20"/>
          <w:lang w:val="pl-PL"/>
        </w:rPr>
        <w:t xml:space="preserve">XXI/574/20, 9.04.2020 r. w sprawie włączenia Branżowej Szkoły II Stopnia nr 5 im. Jana Kilińskiego do Zespołu Szkół Zawodowych nr 5 przy ul. Jana Wł. </w:t>
      </w:r>
      <w:r w:rsidRPr="00E00B35">
        <w:rPr>
          <w:szCs w:val="20"/>
        </w:rPr>
        <w:t>Dawida 5 we Wrocławiu</w:t>
      </w:r>
    </w:p>
    <w:p w:rsidR="008C7751" w:rsidRPr="00E00B35" w:rsidRDefault="008C7751" w:rsidP="00E00B35">
      <w:pPr>
        <w:pStyle w:val="Akapitzlist"/>
        <w:numPr>
          <w:ilvl w:val="0"/>
          <w:numId w:val="7"/>
        </w:numPr>
        <w:spacing w:after="0" w:line="312" w:lineRule="auto"/>
        <w:rPr>
          <w:szCs w:val="20"/>
        </w:rPr>
      </w:pPr>
      <w:r w:rsidRPr="00E00B35">
        <w:rPr>
          <w:szCs w:val="20"/>
          <w:lang w:val="pl-PL"/>
        </w:rPr>
        <w:t xml:space="preserve">XXI/575/20, 9.04.2020 r. w sprawie włączenia Branżowej Szkoły II Stopnia nr 6 do Lotniczych Zakładów Naukowych przy ul. </w:t>
      </w:r>
      <w:r w:rsidRPr="00E00B35">
        <w:rPr>
          <w:szCs w:val="20"/>
        </w:rPr>
        <w:t xml:space="preserve">Kiełczowskiej 43 we Wrocławiu </w:t>
      </w:r>
    </w:p>
    <w:p w:rsidR="008C7751" w:rsidRPr="00E00B35" w:rsidRDefault="008C7751" w:rsidP="00E00B35">
      <w:pPr>
        <w:pStyle w:val="Akapitzlist"/>
        <w:numPr>
          <w:ilvl w:val="0"/>
          <w:numId w:val="7"/>
        </w:numPr>
        <w:spacing w:after="0" w:line="312" w:lineRule="auto"/>
        <w:rPr>
          <w:szCs w:val="20"/>
        </w:rPr>
      </w:pPr>
      <w:r w:rsidRPr="00E00B35">
        <w:rPr>
          <w:szCs w:val="20"/>
          <w:lang w:val="pl-PL"/>
        </w:rPr>
        <w:t xml:space="preserve">XXI/576/20, 9.04.2020 r. w sprawie włączenia Branżowej Szkoły II Stopnia nr 9 do Zespołu Szkół Gastronomicznych przy ul. </w:t>
      </w:r>
      <w:r w:rsidRPr="00E00B35">
        <w:rPr>
          <w:szCs w:val="20"/>
        </w:rPr>
        <w:t>Kamiennej 86 we Wrocławiu</w:t>
      </w:r>
    </w:p>
    <w:p w:rsidR="008C7751" w:rsidRPr="00E00B35" w:rsidRDefault="008C7751" w:rsidP="00E00B35">
      <w:pPr>
        <w:pStyle w:val="Akapitzlist"/>
        <w:numPr>
          <w:ilvl w:val="0"/>
          <w:numId w:val="7"/>
        </w:numPr>
        <w:spacing w:after="0" w:line="312" w:lineRule="auto"/>
        <w:rPr>
          <w:szCs w:val="20"/>
        </w:rPr>
      </w:pPr>
      <w:r w:rsidRPr="00E00B35">
        <w:rPr>
          <w:szCs w:val="20"/>
          <w:lang w:val="pl-PL"/>
        </w:rPr>
        <w:t xml:space="preserve">XXI/577/20, 9.04.2020 r. w sprawie włączenia Branżowej Szkoły II Stopnia nr 10 do Zespołu Szkół nr 1 przy ul. </w:t>
      </w:r>
      <w:r w:rsidRPr="00E00B35">
        <w:rPr>
          <w:szCs w:val="20"/>
        </w:rPr>
        <w:t>Słubickiej 29-33 we Wrocławiu</w:t>
      </w:r>
    </w:p>
    <w:p w:rsidR="008C7751" w:rsidRPr="00E00B35" w:rsidRDefault="008C7751" w:rsidP="00E00B35">
      <w:pPr>
        <w:pStyle w:val="Akapitzlist"/>
        <w:numPr>
          <w:ilvl w:val="0"/>
          <w:numId w:val="7"/>
        </w:numPr>
        <w:spacing w:after="0" w:line="312" w:lineRule="auto"/>
        <w:rPr>
          <w:szCs w:val="20"/>
        </w:rPr>
      </w:pPr>
      <w:r w:rsidRPr="00E00B35">
        <w:rPr>
          <w:szCs w:val="20"/>
          <w:lang w:val="pl-PL"/>
        </w:rPr>
        <w:t xml:space="preserve">XXI/578/20, 9.04.2020 r. w sprawie włączenia Branżowej Szkoły II Stopnia nr 12 im. ks. Stanisława Staszica do Zespołu Szkół Logistycznych przy ul. Jana Wł. </w:t>
      </w:r>
      <w:r w:rsidRPr="00E00B35">
        <w:rPr>
          <w:szCs w:val="20"/>
        </w:rPr>
        <w:t>Dawida 9-11 we Wrocławiu</w:t>
      </w:r>
    </w:p>
    <w:p w:rsidR="008C7751" w:rsidRPr="00E00B35" w:rsidRDefault="008C7751" w:rsidP="00E00B35">
      <w:pPr>
        <w:pStyle w:val="Akapitzlist"/>
        <w:numPr>
          <w:ilvl w:val="0"/>
          <w:numId w:val="7"/>
        </w:numPr>
        <w:spacing w:after="0" w:line="312" w:lineRule="auto"/>
        <w:rPr>
          <w:szCs w:val="20"/>
        </w:rPr>
      </w:pPr>
      <w:r w:rsidRPr="00E00B35">
        <w:rPr>
          <w:szCs w:val="20"/>
          <w:lang w:val="pl-PL"/>
        </w:rPr>
        <w:t xml:space="preserve">XXII/592/20, 30.04.2020 r. w sprawie przeniesienia siedziby Przedszkola nr 147 przy ul. </w:t>
      </w:r>
      <w:r w:rsidRPr="00E00B35">
        <w:rPr>
          <w:szCs w:val="20"/>
        </w:rPr>
        <w:t>Wojciecha Gersona 39 we Wrocławiu</w:t>
      </w:r>
      <w:r w:rsidRPr="00E00B35">
        <w:rPr>
          <w:szCs w:val="20"/>
        </w:rPr>
        <w:tab/>
      </w:r>
    </w:p>
    <w:p w:rsidR="008C7751" w:rsidRPr="00E00B35" w:rsidRDefault="008C7751" w:rsidP="00E00B35">
      <w:pPr>
        <w:pStyle w:val="Akapitzlist"/>
        <w:numPr>
          <w:ilvl w:val="0"/>
          <w:numId w:val="7"/>
        </w:numPr>
        <w:spacing w:after="0" w:line="312" w:lineRule="auto"/>
        <w:rPr>
          <w:szCs w:val="20"/>
        </w:rPr>
      </w:pPr>
      <w:r w:rsidRPr="00E00B35">
        <w:rPr>
          <w:szCs w:val="20"/>
          <w:lang w:val="pl-PL"/>
        </w:rPr>
        <w:t xml:space="preserve">XXII/593/20, 30.04.2020 r. w sprawie utworzenia Zespołu Szkolno-Przedszkolnego nr 24 we Wrocławiu przy ul. </w:t>
      </w:r>
      <w:r w:rsidRPr="00E00B35">
        <w:rPr>
          <w:szCs w:val="20"/>
        </w:rPr>
        <w:t>Stefanii Sempołowskiej 54 i nadania statute</w:t>
      </w:r>
    </w:p>
    <w:p w:rsidR="008C7751" w:rsidRPr="00E00B35" w:rsidRDefault="008C7751" w:rsidP="00E00B35">
      <w:pPr>
        <w:pStyle w:val="Akapitzlist"/>
        <w:spacing w:after="0" w:line="312" w:lineRule="auto"/>
        <w:ind w:left="360"/>
        <w:rPr>
          <w:szCs w:val="20"/>
        </w:rPr>
      </w:pP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lastRenderedPageBreak/>
        <w:t>Rada Miejska Wrocławia w dniu 23 lipca 2020 r. podjęła uchwały dotyczące ustalenia planów sieci szkół i przedszkoli, które obowiązują od roku szkolnego 2020/2021:</w:t>
      </w:r>
    </w:p>
    <w:p w:rsidR="008C7751" w:rsidRPr="00E00B35" w:rsidRDefault="008C7751" w:rsidP="00E00B35">
      <w:pPr>
        <w:pStyle w:val="Akapitzlist"/>
        <w:spacing w:after="0" w:line="312" w:lineRule="auto"/>
        <w:ind w:left="0"/>
        <w:rPr>
          <w:rFonts w:cs="Verdana"/>
          <w:color w:val="000000"/>
          <w:szCs w:val="20"/>
          <w:lang w:val="pl-PL"/>
        </w:rPr>
      </w:pPr>
    </w:p>
    <w:p w:rsidR="008C7751" w:rsidRPr="00E00B35" w:rsidRDefault="008C7751" w:rsidP="00E00B35">
      <w:pPr>
        <w:pStyle w:val="Akapitzlist"/>
        <w:numPr>
          <w:ilvl w:val="0"/>
          <w:numId w:val="8"/>
        </w:numPr>
        <w:spacing w:after="0" w:line="312" w:lineRule="auto"/>
        <w:ind w:left="357" w:hanging="357"/>
        <w:rPr>
          <w:szCs w:val="20"/>
          <w:lang w:val="pl-PL"/>
        </w:rPr>
      </w:pPr>
      <w:r w:rsidRPr="00E00B35">
        <w:rPr>
          <w:szCs w:val="20"/>
          <w:lang w:val="pl-PL"/>
        </w:rPr>
        <w:t>XXV/679/20, 23.07.2020 r. w sprawie ustalenia sieci prowadzonych przez Miasto Wrocław publicznych przedszkoli i oddziałów przedszkolnych w szkołach podstawowych,</w:t>
      </w:r>
    </w:p>
    <w:p w:rsidR="008C7751" w:rsidRPr="00E00B35" w:rsidRDefault="008C7751" w:rsidP="00E00B35">
      <w:pPr>
        <w:pStyle w:val="Akapitzlist"/>
        <w:numPr>
          <w:ilvl w:val="0"/>
          <w:numId w:val="8"/>
        </w:numPr>
        <w:spacing w:after="0" w:line="312" w:lineRule="auto"/>
        <w:ind w:left="357" w:hanging="357"/>
        <w:rPr>
          <w:szCs w:val="20"/>
          <w:lang w:val="pl-PL"/>
        </w:rPr>
      </w:pPr>
      <w:r w:rsidRPr="00E00B35">
        <w:rPr>
          <w:szCs w:val="20"/>
          <w:lang w:val="pl-PL"/>
        </w:rPr>
        <w:t>XXV/680/20, 23.07.2020 r. w sprawie ustalenia planu sieci prowadzonych przez Miasto publicznych szkół podstawowych, a także określenia granic obwodów publicznych szkół podstawowych, mających siedzibę na obszarze Wrocławia,</w:t>
      </w:r>
    </w:p>
    <w:p w:rsidR="008C7751" w:rsidRPr="00E00B35" w:rsidRDefault="008C7751" w:rsidP="00E00B35">
      <w:pPr>
        <w:pStyle w:val="Akapitzlist"/>
        <w:numPr>
          <w:ilvl w:val="0"/>
          <w:numId w:val="8"/>
        </w:numPr>
        <w:spacing w:after="0" w:line="312" w:lineRule="auto"/>
        <w:ind w:left="357" w:hanging="357"/>
        <w:rPr>
          <w:szCs w:val="20"/>
          <w:lang w:val="pl-PL"/>
        </w:rPr>
      </w:pPr>
      <w:r w:rsidRPr="00E00B35">
        <w:rPr>
          <w:szCs w:val="20"/>
          <w:lang w:val="pl-PL"/>
        </w:rPr>
        <w:t>XXV/681/20, 23.07.2020 r. w sprawie ustalenia planu sieci publicznych szkół ponadpodstawowych mających siedzibę na obszarze Wrocławia,</w:t>
      </w:r>
    </w:p>
    <w:p w:rsidR="008C7751" w:rsidRPr="00E00B35" w:rsidRDefault="008C7751" w:rsidP="00E00B35">
      <w:pPr>
        <w:pStyle w:val="Akapitzlist"/>
        <w:numPr>
          <w:ilvl w:val="0"/>
          <w:numId w:val="8"/>
        </w:numPr>
        <w:spacing w:after="0" w:line="312" w:lineRule="auto"/>
        <w:ind w:left="357" w:hanging="357"/>
        <w:rPr>
          <w:szCs w:val="20"/>
          <w:lang w:val="pl-PL"/>
        </w:rPr>
      </w:pPr>
      <w:r w:rsidRPr="00E00B35">
        <w:rPr>
          <w:szCs w:val="20"/>
          <w:lang w:val="pl-PL"/>
        </w:rPr>
        <w:t>XXV/682/20, 23.07.2020 r. w sprawie ustalenia planu sieci publicznych szkół specjalnych mających siedzibę na obszarze Wrocławia</w:t>
      </w:r>
      <w:r w:rsidRPr="00E00B35">
        <w:rPr>
          <w:szCs w:val="20"/>
          <w:lang w:val="pl-PL"/>
        </w:rPr>
        <w:tab/>
      </w:r>
    </w:p>
    <w:p w:rsidR="008C7751" w:rsidRPr="00E00B35" w:rsidRDefault="008C7751" w:rsidP="00E00B35">
      <w:pPr>
        <w:pStyle w:val="Akapitzlist"/>
        <w:spacing w:after="0" w:line="312" w:lineRule="auto"/>
        <w:ind w:left="0"/>
        <w:rPr>
          <w:szCs w:val="20"/>
          <w:lang w:val="pl-PL"/>
        </w:rPr>
      </w:pP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Pozostałe uchwały Rady Miejskiej Wrocławia podjęte w 2020 roku, pozostające w kompetencji organu prowadzącego szkoły i placówki:</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XVIII/491/20, 23.01.2020 r. w sprawie zamiaru likwidacji Specjalnego Ośrodka Szkolno - Wychowawczego nr 1 przy ul. ks. Marcina Lutra 6 we Wrocławiu</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XVIII/490/20, 23.01.2020 r. zmieniająca uchwałę nr XXIV/806/00 Rady Miejskiej Wrocławia w sprawie ustanowienia konkursu na najlepszy samorząd uczniowski szkół gimnazjalnych i ponadpodstawowych - a w przyszłości również ponadgimnazjalnych - Wrocławia</w:t>
      </w:r>
    </w:p>
    <w:p w:rsidR="008C7751" w:rsidRPr="00E00B35" w:rsidRDefault="008C7751" w:rsidP="00E00B35">
      <w:pPr>
        <w:pStyle w:val="Akapitzlist"/>
        <w:numPr>
          <w:ilvl w:val="0"/>
          <w:numId w:val="9"/>
        </w:numPr>
        <w:spacing w:after="0" w:line="312" w:lineRule="auto"/>
        <w:ind w:left="357" w:hanging="357"/>
        <w:rPr>
          <w:szCs w:val="20"/>
        </w:rPr>
      </w:pPr>
      <w:r w:rsidRPr="00E00B35">
        <w:rPr>
          <w:szCs w:val="20"/>
          <w:lang w:val="pl-PL"/>
        </w:rPr>
        <w:t xml:space="preserve">XVIII/489/20, 23.01.2020 r. w sprawie zamiaru przeniesienia siedziby Przedszkola nr 147 przy ul. </w:t>
      </w:r>
      <w:r w:rsidRPr="00E00B35">
        <w:rPr>
          <w:szCs w:val="20"/>
        </w:rPr>
        <w:t>Wojciecha Gersona 39 we Wrocławiu</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XX/523/20, 20.02.2020 r. w sprawie wysokości opłat za korzystanie z miejsc noclegowych przez dzieci, młodzież i ich opiekunów w szkolnych schroniskach młodzieżowych prowadzonych przez Miasto</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XXI/579/20, 9.04.2020 r. w sprawie regulaminu przyznawania dodatków oraz innych składników wynagrodzenia dla nauczycieli zatrudnionych w szkołach i placówkach oświatowych prowadzonych przez Miasto</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XXII/591/20, 30.04.2020 r. w sprawie wskazania miejsca realizacji obowiązku szkolnego uczniom szkoły podstawowej w innej publicznej szkole podstawowej powstałej z przekształcenia gimnazjum</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XXII/590/20, 30.04.2020 r. w sprawie kryteriów branych pod uwagę na pierwszym etapie postępowania rekrutacyjnego do internatów zorganizowanych w szkołach ponadpodstawowych prowadzonych przez Miasto Wrocław, liczby punktów za te kryteria oraz określenia dokumentów niezbędnych do potwierdzenia spełnienia tych kryteriów</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XXIII/623/20, 27.05.2020 r. zmieniająca uchwałę nr LII/1246/18 Rady Miejskiej Wrocławia w sprawie obowiązkowego wymiaru godzin zajęć nauczycieli obowiązującego w szkołach i placówkach prowadzonych przez miasto Wrocław</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XXV/683/20, 23.07.2020 r. w sprawie średniej ceny jednostki paliwa w Gminie Wrocław w roku szkolnym 2020/2021</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lastRenderedPageBreak/>
        <w:t>XXVI/706/20, 17.09.2020 r. w sprawie zgody na udzielenie dotacji w podwyższonej wysokości dla publicznych przedszkoli integracyjnych i specjalnych prowadzonych przez osoby fizyczne i prawne</w:t>
      </w:r>
    </w:p>
    <w:p w:rsidR="008C7751" w:rsidRPr="00E00B35" w:rsidRDefault="008C7751" w:rsidP="00E00B35">
      <w:pPr>
        <w:pStyle w:val="Akapitzlist"/>
        <w:numPr>
          <w:ilvl w:val="0"/>
          <w:numId w:val="9"/>
        </w:numPr>
        <w:spacing w:after="0" w:line="312" w:lineRule="auto"/>
        <w:ind w:left="357" w:hanging="357"/>
        <w:rPr>
          <w:szCs w:val="20"/>
        </w:rPr>
      </w:pPr>
      <w:r w:rsidRPr="00E00B35">
        <w:rPr>
          <w:szCs w:val="20"/>
          <w:lang w:val="pl-PL"/>
        </w:rPr>
        <w:t xml:space="preserve">XXVI/707/20, 17.09.2020 r. w sprawie nadania imienia Przedszkolu nr 26 we Wrocławiu przy al. </w:t>
      </w:r>
      <w:r w:rsidRPr="00E00B35">
        <w:rPr>
          <w:szCs w:val="20"/>
        </w:rPr>
        <w:t>Śląskiej 1</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XXVIII/754/20, 22.10.2020 r. w sprawie organizacji bezpłatnego transportu i opieki w czasie przewozu do szkoły ponadpodstawowej młodzieży niepełnosprawnej zamieszkałej na terenie Gminy Wrocław w przypadkach, w których gmina nie ma takiego obowiązku</w:t>
      </w:r>
    </w:p>
    <w:p w:rsidR="008C7751" w:rsidRPr="00E00B35" w:rsidRDefault="008C7751" w:rsidP="00E00B35">
      <w:pPr>
        <w:numPr>
          <w:ilvl w:val="0"/>
          <w:numId w:val="9"/>
        </w:numPr>
        <w:spacing w:after="0" w:line="312" w:lineRule="auto"/>
        <w:ind w:left="357" w:hanging="357"/>
        <w:rPr>
          <w:rFonts w:cs="Verdana"/>
          <w:color w:val="000000"/>
          <w:szCs w:val="20"/>
          <w:lang w:val="pl-PL"/>
        </w:rPr>
      </w:pPr>
      <w:r w:rsidRPr="00E00B35">
        <w:rPr>
          <w:szCs w:val="20"/>
          <w:lang w:val="pl-PL"/>
        </w:rPr>
        <w:t>XXXI/791/20, 20.11.2020 r. w sprawie zasad i warunków udzielania wsparcia finansowego i nagradzania uczniów uzdolnionych w szkołach na terenie Wrocławia</w:t>
      </w:r>
    </w:p>
    <w:p w:rsidR="008C7751" w:rsidRPr="00E00B35" w:rsidRDefault="008C7751" w:rsidP="00E00B35">
      <w:pPr>
        <w:pStyle w:val="SprawozdanieDSSZnakZnak"/>
        <w:tabs>
          <w:tab w:val="clear" w:pos="643"/>
          <w:tab w:val="left" w:pos="-1440"/>
        </w:tabs>
        <w:spacing w:after="0" w:line="312" w:lineRule="auto"/>
        <w:ind w:left="0" w:firstLine="0"/>
        <w:jc w:val="left"/>
        <w:rPr>
          <w:rFonts w:cs="Verdana"/>
          <w:color w:val="000000"/>
          <w:szCs w:val="20"/>
          <w:lang w:val="pl-PL"/>
        </w:rPr>
      </w:pPr>
    </w:p>
    <w:p w:rsidR="008C7751" w:rsidRPr="00E00B35" w:rsidRDefault="008C7751" w:rsidP="00E00B35">
      <w:pPr>
        <w:pStyle w:val="Nagwek3"/>
        <w:spacing w:after="0" w:line="312" w:lineRule="auto"/>
        <w:rPr>
          <w:sz w:val="20"/>
        </w:rPr>
      </w:pPr>
      <w:bookmarkStart w:id="58" w:name="_Toc61010192"/>
      <w:bookmarkStart w:id="59" w:name="_Toc61010244"/>
      <w:bookmarkStart w:id="60" w:name="_Toc61013143"/>
      <w:bookmarkStart w:id="61" w:name="_Toc61013423"/>
      <w:bookmarkStart w:id="62" w:name="_Toc72411084"/>
      <w:r w:rsidRPr="00E00B35">
        <w:rPr>
          <w:sz w:val="20"/>
        </w:rPr>
        <w:t>Elektroniczna rekrutacja do przedszkoli i szkół</w:t>
      </w:r>
      <w:bookmarkEnd w:id="58"/>
      <w:bookmarkEnd w:id="59"/>
      <w:bookmarkEnd w:id="60"/>
      <w:bookmarkEnd w:id="61"/>
      <w:bookmarkEnd w:id="62"/>
    </w:p>
    <w:p w:rsidR="008C7751" w:rsidRPr="00E00B35" w:rsidRDefault="008C7751" w:rsidP="00E00B35">
      <w:pPr>
        <w:widowControl w:val="0"/>
        <w:suppressAutoHyphens/>
        <w:spacing w:after="0" w:line="312" w:lineRule="auto"/>
        <w:rPr>
          <w:rFonts w:eastAsia="SimSun"/>
          <w:color w:val="000000"/>
          <w:kern w:val="2"/>
          <w:szCs w:val="20"/>
          <w:lang w:val="pl-PL" w:eastAsia="hi-IN"/>
        </w:rPr>
      </w:pPr>
      <w:bookmarkStart w:id="63" w:name="_Toc61013144"/>
      <w:bookmarkStart w:id="64" w:name="_Toc61013424"/>
      <w:r w:rsidRPr="00E00B35">
        <w:rPr>
          <w:rFonts w:eastAsia="SimSun"/>
          <w:color w:val="000000"/>
          <w:kern w:val="2"/>
          <w:szCs w:val="20"/>
          <w:lang w:val="pl-PL" w:eastAsia="hi-IN"/>
        </w:rPr>
        <w:t xml:space="preserve">Po raz kolejny przeprowadzono elektroniczną rekrutację w przedszkolach i szkołach. Opracowano informator elektroniczny dostępny na stronie </w:t>
      </w:r>
      <w:hyperlink r:id="rId46" w:history="1">
        <w:r w:rsidRPr="00E00B35">
          <w:rPr>
            <w:rStyle w:val="Hipercze"/>
            <w:rFonts w:eastAsia="SimSun"/>
            <w:kern w:val="2"/>
            <w:szCs w:val="20"/>
            <w:lang w:val="pl-PL" w:eastAsia="hi-IN"/>
          </w:rPr>
          <w:t>www.wroclaw.pl/edukacja</w:t>
        </w:r>
      </w:hyperlink>
      <w:r w:rsidRPr="00E00B35">
        <w:rPr>
          <w:rFonts w:eastAsia="SimSun"/>
          <w:color w:val="0070C0"/>
          <w:kern w:val="2"/>
          <w:szCs w:val="20"/>
          <w:lang w:val="pl-PL" w:eastAsia="hi-IN"/>
        </w:rPr>
        <w:t xml:space="preserve"> </w:t>
      </w:r>
      <w:r w:rsidRPr="00E00B35">
        <w:rPr>
          <w:rFonts w:eastAsia="SimSun"/>
          <w:color w:val="000000"/>
          <w:kern w:val="2"/>
          <w:szCs w:val="20"/>
          <w:lang w:val="pl-PL" w:eastAsia="hi-IN"/>
        </w:rPr>
        <w:t>zawierający ofertę edukacyjną wszystkich typów szkół i przedszkoli.</w:t>
      </w:r>
    </w:p>
    <w:p w:rsidR="008C7751" w:rsidRPr="00E00B35" w:rsidRDefault="008C7751" w:rsidP="00E00B35">
      <w:pPr>
        <w:spacing w:after="0" w:line="312" w:lineRule="auto"/>
        <w:rPr>
          <w:color w:val="000000"/>
          <w:szCs w:val="20"/>
          <w:lang w:val="pl-PL"/>
        </w:rPr>
      </w:pPr>
      <w:r w:rsidRPr="00E00B35">
        <w:rPr>
          <w:color w:val="000000"/>
          <w:szCs w:val="20"/>
          <w:lang w:val="pl-PL"/>
        </w:rPr>
        <w:t>Tabela 7. Elektroniczna rekrutacja na rok szkolny 2019/2020 i 2020/2021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62"/>
        <w:gridCol w:w="3070"/>
        <w:gridCol w:w="3070"/>
      </w:tblGrid>
      <w:tr w:rsidR="008C7751" w:rsidRPr="00E00B35" w:rsidTr="008C7751">
        <w:trPr>
          <w:tblHeader/>
        </w:trPr>
        <w:tc>
          <w:tcPr>
            <w:tcW w:w="2962" w:type="dxa"/>
            <w:shd w:val="clear" w:color="auto" w:fill="auto"/>
            <w:vAlign w:val="center"/>
          </w:tcPr>
          <w:p w:rsidR="008C7751" w:rsidRPr="00E00B35" w:rsidRDefault="008C7751" w:rsidP="00E00B35">
            <w:pPr>
              <w:spacing w:after="0" w:line="312" w:lineRule="auto"/>
              <w:rPr>
                <w:b/>
                <w:color w:val="000000"/>
                <w:szCs w:val="20"/>
              </w:rPr>
            </w:pPr>
            <w:r w:rsidRPr="00E00B35">
              <w:rPr>
                <w:b/>
                <w:color w:val="000000"/>
                <w:szCs w:val="20"/>
              </w:rPr>
              <w:t>Typ placówki</w:t>
            </w:r>
          </w:p>
        </w:tc>
        <w:tc>
          <w:tcPr>
            <w:tcW w:w="3070" w:type="dxa"/>
            <w:shd w:val="clear" w:color="auto" w:fill="auto"/>
            <w:vAlign w:val="center"/>
          </w:tcPr>
          <w:p w:rsidR="008C7751" w:rsidRPr="00E00B35" w:rsidRDefault="008C7751" w:rsidP="00E00B35">
            <w:pPr>
              <w:spacing w:after="0" w:line="312" w:lineRule="auto"/>
              <w:rPr>
                <w:b/>
                <w:color w:val="000000"/>
                <w:szCs w:val="20"/>
                <w:lang w:val="pl-PL"/>
              </w:rPr>
            </w:pPr>
            <w:r w:rsidRPr="00E00B35">
              <w:rPr>
                <w:b/>
                <w:color w:val="000000"/>
                <w:szCs w:val="20"/>
                <w:lang w:val="pl-PL"/>
              </w:rPr>
              <w:t>Liczba przyjętych dzieci lub uczniów w roku szkolnym 2019/2020</w:t>
            </w:r>
          </w:p>
        </w:tc>
        <w:tc>
          <w:tcPr>
            <w:tcW w:w="3070" w:type="dxa"/>
            <w:shd w:val="clear" w:color="auto" w:fill="auto"/>
            <w:vAlign w:val="center"/>
          </w:tcPr>
          <w:p w:rsidR="008C7751" w:rsidRPr="00E00B35" w:rsidRDefault="008C7751" w:rsidP="00E00B35">
            <w:pPr>
              <w:spacing w:after="0" w:line="312" w:lineRule="auto"/>
              <w:rPr>
                <w:b/>
                <w:color w:val="000000"/>
                <w:szCs w:val="20"/>
                <w:lang w:val="pl-PL"/>
              </w:rPr>
            </w:pPr>
            <w:r w:rsidRPr="00E00B35">
              <w:rPr>
                <w:b/>
                <w:color w:val="000000"/>
                <w:szCs w:val="20"/>
                <w:lang w:val="pl-PL"/>
              </w:rPr>
              <w:t>Liczba przyjętych dzieci lub uczniów w roku szkolnym 2020/2021</w:t>
            </w:r>
          </w:p>
        </w:tc>
      </w:tr>
      <w:tr w:rsidR="008C7751" w:rsidRPr="00E00B35" w:rsidTr="008C7751">
        <w:tc>
          <w:tcPr>
            <w:tcW w:w="2962" w:type="dxa"/>
            <w:shd w:val="clear" w:color="auto" w:fill="auto"/>
          </w:tcPr>
          <w:p w:rsidR="008C7751" w:rsidRPr="00E00B35" w:rsidRDefault="008C7751" w:rsidP="00E00B35">
            <w:pPr>
              <w:spacing w:after="0" w:line="312" w:lineRule="auto"/>
              <w:rPr>
                <w:color w:val="000000"/>
                <w:szCs w:val="20"/>
                <w:lang w:val="pl-PL"/>
              </w:rPr>
            </w:pPr>
            <w:r w:rsidRPr="00E00B35">
              <w:rPr>
                <w:color w:val="000000"/>
                <w:szCs w:val="20"/>
                <w:lang w:val="pl-PL"/>
              </w:rPr>
              <w:t>Przedszkola publiczne prowadzowne przez Gminę Wrocław</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4 991</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4 203</w:t>
            </w:r>
          </w:p>
        </w:tc>
      </w:tr>
      <w:tr w:rsidR="008C7751" w:rsidRPr="00E00B35" w:rsidTr="008C7751">
        <w:tc>
          <w:tcPr>
            <w:tcW w:w="2962" w:type="dxa"/>
            <w:shd w:val="clear" w:color="auto" w:fill="auto"/>
          </w:tcPr>
          <w:p w:rsidR="008C7751" w:rsidRPr="00E00B35" w:rsidRDefault="008C7751" w:rsidP="00E00B35">
            <w:pPr>
              <w:spacing w:after="0" w:line="312" w:lineRule="auto"/>
              <w:rPr>
                <w:color w:val="000000"/>
                <w:szCs w:val="20"/>
                <w:lang w:val="pl-PL"/>
              </w:rPr>
            </w:pPr>
            <w:r w:rsidRPr="00E00B35">
              <w:rPr>
                <w:color w:val="000000"/>
                <w:szCs w:val="20"/>
                <w:lang w:val="pl-PL"/>
              </w:rPr>
              <w:t>Przedszkola publiczne prowadzone przez inny organ dołączone do elektronicznej rekrutacji</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600</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1 031</w:t>
            </w:r>
          </w:p>
        </w:tc>
      </w:tr>
      <w:tr w:rsidR="008C7751" w:rsidRPr="00E00B35" w:rsidTr="008C7751">
        <w:tc>
          <w:tcPr>
            <w:tcW w:w="2962" w:type="dxa"/>
            <w:shd w:val="clear" w:color="auto" w:fill="auto"/>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Oddziały przedszkolne w szkołach podstawowych prowadzone przez Gminę </w:t>
            </w:r>
          </w:p>
          <w:p w:rsidR="008C7751" w:rsidRPr="00E00B35" w:rsidRDefault="008C7751" w:rsidP="00E00B35">
            <w:pPr>
              <w:spacing w:after="0" w:line="312" w:lineRule="auto"/>
              <w:rPr>
                <w:color w:val="000000"/>
                <w:szCs w:val="20"/>
              </w:rPr>
            </w:pPr>
            <w:r w:rsidRPr="00E00B35">
              <w:rPr>
                <w:color w:val="000000"/>
                <w:szCs w:val="20"/>
              </w:rPr>
              <w:t>Wrocław</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1 191</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633</w:t>
            </w:r>
          </w:p>
        </w:tc>
      </w:tr>
      <w:tr w:rsidR="008C7751" w:rsidRPr="00E00B35" w:rsidTr="008C7751">
        <w:tc>
          <w:tcPr>
            <w:tcW w:w="2962" w:type="dxa"/>
            <w:shd w:val="clear" w:color="auto" w:fill="auto"/>
          </w:tcPr>
          <w:p w:rsidR="008C7751" w:rsidRPr="00E00B35" w:rsidRDefault="008C7751" w:rsidP="00E00B35">
            <w:pPr>
              <w:spacing w:after="0" w:line="312" w:lineRule="auto"/>
              <w:rPr>
                <w:color w:val="000000"/>
                <w:szCs w:val="20"/>
                <w:lang w:val="pl-PL"/>
              </w:rPr>
            </w:pPr>
            <w:r w:rsidRPr="00E00B35">
              <w:rPr>
                <w:color w:val="000000"/>
                <w:szCs w:val="20"/>
                <w:lang w:val="pl-PL"/>
              </w:rPr>
              <w:t>Szkoły podstawowe prowadzone przez Gminę Wrocław</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5 362</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4 982</w:t>
            </w:r>
          </w:p>
        </w:tc>
      </w:tr>
      <w:tr w:rsidR="008C7751" w:rsidRPr="00E00B35" w:rsidTr="008C7751">
        <w:tc>
          <w:tcPr>
            <w:tcW w:w="2962" w:type="dxa"/>
            <w:shd w:val="clear" w:color="auto" w:fill="auto"/>
          </w:tcPr>
          <w:p w:rsidR="008C7751" w:rsidRPr="00E00B35" w:rsidRDefault="008C7751" w:rsidP="00E00B35">
            <w:pPr>
              <w:spacing w:after="0" w:line="312" w:lineRule="auto"/>
              <w:rPr>
                <w:color w:val="000000"/>
                <w:szCs w:val="20"/>
              </w:rPr>
            </w:pPr>
            <w:r w:rsidRPr="00E00B35">
              <w:rPr>
                <w:color w:val="000000"/>
                <w:szCs w:val="20"/>
              </w:rPr>
              <w:t>Szkoły ponadpodstawowe</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11 590</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5 630</w:t>
            </w:r>
          </w:p>
        </w:tc>
      </w:tr>
      <w:tr w:rsidR="008C7751" w:rsidRPr="00E00B35" w:rsidTr="008C7751">
        <w:tc>
          <w:tcPr>
            <w:tcW w:w="2962" w:type="dxa"/>
            <w:shd w:val="clear" w:color="auto" w:fill="auto"/>
          </w:tcPr>
          <w:p w:rsidR="008C7751" w:rsidRPr="00E00B35" w:rsidRDefault="008C7751" w:rsidP="00E00B35">
            <w:pPr>
              <w:spacing w:after="0" w:line="312" w:lineRule="auto"/>
              <w:rPr>
                <w:color w:val="000000"/>
                <w:szCs w:val="20"/>
              </w:rPr>
            </w:pPr>
            <w:r w:rsidRPr="00E00B35">
              <w:rPr>
                <w:color w:val="000000"/>
                <w:szCs w:val="20"/>
              </w:rPr>
              <w:t>Razem</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23 734</w:t>
            </w:r>
          </w:p>
        </w:tc>
        <w:tc>
          <w:tcPr>
            <w:tcW w:w="3070" w:type="dxa"/>
            <w:shd w:val="clear" w:color="auto" w:fill="auto"/>
          </w:tcPr>
          <w:p w:rsidR="008C7751" w:rsidRPr="00E00B35" w:rsidRDefault="008C7751" w:rsidP="00E00B35">
            <w:pPr>
              <w:spacing w:after="0" w:line="312" w:lineRule="auto"/>
              <w:rPr>
                <w:color w:val="000000"/>
                <w:szCs w:val="20"/>
              </w:rPr>
            </w:pPr>
            <w:r w:rsidRPr="00E00B35">
              <w:rPr>
                <w:color w:val="000000"/>
                <w:szCs w:val="20"/>
              </w:rPr>
              <w:t>16 479</w:t>
            </w:r>
          </w:p>
        </w:tc>
      </w:tr>
    </w:tbl>
    <w:p w:rsidR="008C7751" w:rsidRPr="00E00B35" w:rsidRDefault="008C7751" w:rsidP="00E00B35">
      <w:pPr>
        <w:spacing w:after="0" w:line="312" w:lineRule="auto"/>
        <w:outlineLvl w:val="0"/>
        <w:rPr>
          <w:b/>
          <w:color w:val="000000"/>
          <w:szCs w:val="20"/>
        </w:rPr>
      </w:pPr>
    </w:p>
    <w:p w:rsidR="008C7751" w:rsidRPr="00E00B35" w:rsidRDefault="008C7751" w:rsidP="00E00B35">
      <w:pPr>
        <w:spacing w:after="0" w:line="312" w:lineRule="auto"/>
        <w:rPr>
          <w:color w:val="000000"/>
          <w:szCs w:val="20"/>
          <w:lang w:val="pl-PL"/>
        </w:rPr>
      </w:pPr>
      <w:r w:rsidRPr="00E00B35">
        <w:rPr>
          <w:color w:val="000000"/>
          <w:szCs w:val="20"/>
          <w:lang w:val="pl-PL"/>
        </w:rPr>
        <w:t xml:space="preserve">W rekrutacji 2020/2021 po raz drugi podłączono do elektronicznego naboru placówki prowadzone przez inny organ. W liczbie dzieci przyjętych w przedszkolach prowadzonych przez inny organ, podobnie jak w pozostałych przypadkach nie uwzględnianio dzieci, które kontynuowały zajęcia w przedszkolu. </w:t>
      </w:r>
    </w:p>
    <w:p w:rsidR="008C7751" w:rsidRPr="00E00B35" w:rsidRDefault="008C7751" w:rsidP="00E00B35">
      <w:pPr>
        <w:spacing w:after="0" w:line="312" w:lineRule="auto"/>
        <w:rPr>
          <w:b/>
          <w:color w:val="000000"/>
          <w:szCs w:val="20"/>
          <w:lang w:val="pl-PL"/>
        </w:rPr>
      </w:pPr>
      <w:r w:rsidRPr="00E00B35">
        <w:rPr>
          <w:color w:val="000000"/>
          <w:szCs w:val="20"/>
          <w:lang w:val="pl-PL"/>
        </w:rPr>
        <w:t xml:space="preserve">Podczas rekrutacji 2020/2021 - w wyniku panującej pandemii COVID-19, zgodnie z obowiązującymi przepisami, po raz pierwszy wprowadzono możliwość przeprowadzenia </w:t>
      </w:r>
      <w:r w:rsidRPr="00E00B35">
        <w:rPr>
          <w:color w:val="000000"/>
          <w:szCs w:val="20"/>
          <w:lang w:val="pl-PL"/>
        </w:rPr>
        <w:lastRenderedPageBreak/>
        <w:t xml:space="preserve">całego procesu rekrutacji do przedszkoli i szkół podstawowych w formie elektronicznej. </w:t>
      </w:r>
      <w:r w:rsidRPr="00E00B35">
        <w:rPr>
          <w:rFonts w:cs="Helv"/>
          <w:color w:val="000000"/>
          <w:szCs w:val="20"/>
          <w:lang w:val="pl-PL"/>
        </w:rPr>
        <w:t>Urząd Miejski Wrocławia, w rekrutacji do przedszkoli i oddziałów przedszkolnych w szkołach podstawowych wdrożył rozwiązanie umożliwiające rodzicom załączanie w elektronicznym systemie rekrutacji załączników dotyczących rekrutacji (wniosek, oświadczenia/zaświadczenia). Z funkcjonalności skorzystało wielu rodziców - szacuje się, że blisko 75% wszystkich kandydatów. Pozostali wykorzystali możliwość przesłania wniosków wraz z załącznikami na elektroniczne skrzynki pocztowe sekretariatów wybranych placówek (22%), a jedynie 3% złożyło wnioski do placówek w formie papierowej.</w:t>
      </w:r>
    </w:p>
    <w:p w:rsidR="008C7751" w:rsidRPr="00E00B35" w:rsidRDefault="008C7751" w:rsidP="00E00B35">
      <w:pPr>
        <w:spacing w:after="0" w:line="312" w:lineRule="auto"/>
        <w:rPr>
          <w:b/>
          <w:color w:val="000000"/>
          <w:szCs w:val="20"/>
          <w:lang w:val="pl-PL"/>
        </w:rPr>
      </w:pPr>
      <w:r w:rsidRPr="00E00B35">
        <w:rPr>
          <w:color w:val="000000"/>
          <w:szCs w:val="20"/>
          <w:lang w:val="pl-PL"/>
        </w:rPr>
        <w:t>Dodatkowo po</w:t>
      </w:r>
      <w:r w:rsidRPr="00E00B35">
        <w:rPr>
          <w:rFonts w:cs="Helv"/>
          <w:color w:val="000000"/>
          <w:szCs w:val="20"/>
          <w:lang w:val="pl-PL"/>
        </w:rPr>
        <w:t xml:space="preserve"> I etapie rekrutacji zastosowano algorytm wskazywania miejsc uwzględniający liczbę posiadanych punktów kandydata, preferencje oraz rejon edukacyjny dysponujący wolnymi miejscami. W wyniku zastosowania algorytmu wskazano miejsca dla </w:t>
      </w:r>
      <w:r w:rsidRPr="00E00B35">
        <w:rPr>
          <w:rFonts w:cs="Helv"/>
          <w:bCs/>
          <w:color w:val="000000"/>
          <w:szCs w:val="20"/>
          <w:lang w:val="pl-PL"/>
        </w:rPr>
        <w:t>470 dzieci.</w:t>
      </w:r>
      <w:r w:rsidRPr="00E00B35">
        <w:rPr>
          <w:rFonts w:cs="Helv"/>
          <w:color w:val="000000"/>
          <w:szCs w:val="20"/>
          <w:lang w:val="pl-PL"/>
        </w:rPr>
        <w:t xml:space="preserve">  </w:t>
      </w:r>
    </w:p>
    <w:p w:rsidR="008C7751" w:rsidRPr="00E00B35" w:rsidRDefault="008C7751" w:rsidP="00E00B35">
      <w:pPr>
        <w:spacing w:after="0" w:line="312" w:lineRule="auto"/>
        <w:rPr>
          <w:rFonts w:cs="Helv"/>
          <w:color w:val="000000"/>
          <w:szCs w:val="20"/>
          <w:lang w:val="pl-PL"/>
        </w:rPr>
      </w:pPr>
      <w:r w:rsidRPr="00E00B35">
        <w:rPr>
          <w:rFonts w:cs="Helv"/>
          <w:color w:val="000000"/>
          <w:szCs w:val="20"/>
          <w:lang w:val="pl-PL"/>
        </w:rPr>
        <w:t>W Biuletynie informacyjnym Urzędu Miejskiego Wrocławia opublikowano wkładkę dotyczącą rekrutacji 2020/2021 oraz opublikowano filmy instruktażowe dotyczące wprowadzania wniosku do elektronicznego systemu rekrutacji.</w:t>
      </w:r>
    </w:p>
    <w:p w:rsidR="00544448" w:rsidRPr="00E00B35" w:rsidRDefault="00544448" w:rsidP="00E00B35">
      <w:pPr>
        <w:spacing w:after="0" w:line="312" w:lineRule="auto"/>
        <w:rPr>
          <w:b/>
          <w:color w:val="000000"/>
          <w:szCs w:val="20"/>
          <w:lang w:val="pl-PL"/>
        </w:rPr>
      </w:pPr>
    </w:p>
    <w:p w:rsidR="008C7751" w:rsidRPr="00E00B35" w:rsidRDefault="008C7751" w:rsidP="00E00B35">
      <w:pPr>
        <w:pStyle w:val="Nagwek3"/>
        <w:spacing w:after="0" w:line="312" w:lineRule="auto"/>
        <w:rPr>
          <w:sz w:val="20"/>
        </w:rPr>
      </w:pPr>
      <w:bookmarkStart w:id="65" w:name="_Toc72411085"/>
      <w:r w:rsidRPr="00E00B35">
        <w:rPr>
          <w:sz w:val="20"/>
        </w:rPr>
        <w:t>Infrastruktura oświatowa</w:t>
      </w:r>
      <w:bookmarkEnd w:id="63"/>
      <w:bookmarkEnd w:id="64"/>
      <w:bookmarkEnd w:id="65"/>
      <w:r w:rsidRPr="00E00B35">
        <w:rPr>
          <w:sz w:val="20"/>
        </w:rPr>
        <w:t xml:space="preserve"> </w:t>
      </w:r>
    </w:p>
    <w:p w:rsidR="008C7751" w:rsidRPr="00E00B35" w:rsidRDefault="008C7751" w:rsidP="00E00B35">
      <w:pPr>
        <w:pStyle w:val="Nagwek4"/>
        <w:spacing w:before="0" w:after="0" w:line="312" w:lineRule="auto"/>
        <w:rPr>
          <w:sz w:val="20"/>
          <w:szCs w:val="20"/>
          <w:lang w:val="pl-PL"/>
        </w:rPr>
      </w:pPr>
      <w:bookmarkStart w:id="66" w:name="_Toc72411086"/>
      <w:r w:rsidRPr="00E00B35">
        <w:rPr>
          <w:sz w:val="20"/>
          <w:szCs w:val="20"/>
          <w:lang w:val="pl-PL"/>
        </w:rPr>
        <w:t>Poprawa stanu bezpieczeństwa oraz estetyki siedzib szkół i placówek</w:t>
      </w:r>
      <w:bookmarkEnd w:id="66"/>
    </w:p>
    <w:p w:rsidR="008C7751" w:rsidRPr="00E00B35" w:rsidRDefault="008C7751" w:rsidP="00E00B35">
      <w:pPr>
        <w:pStyle w:val="Akapitzlist"/>
        <w:spacing w:after="0" w:line="312" w:lineRule="auto"/>
        <w:ind w:left="0"/>
        <w:rPr>
          <w:bCs/>
          <w:color w:val="000000"/>
          <w:szCs w:val="20"/>
          <w:lang w:val="pl-PL"/>
        </w:rPr>
      </w:pPr>
    </w:p>
    <w:p w:rsidR="008C7751" w:rsidRPr="00E00B35" w:rsidRDefault="008C7751" w:rsidP="00E00B35">
      <w:pPr>
        <w:pStyle w:val="11TrescpismaZnak"/>
        <w:spacing w:after="0" w:line="312" w:lineRule="auto"/>
        <w:jc w:val="left"/>
        <w:rPr>
          <w:color w:val="000000"/>
          <w:lang w:val="pl-PL"/>
        </w:rPr>
      </w:pPr>
      <w:r w:rsidRPr="00E00B35">
        <w:rPr>
          <w:color w:val="000000"/>
          <w:lang w:val="pl-PL"/>
        </w:rPr>
        <w:t xml:space="preserve">Zgodnie z zadaniami Departamentu Edukacji zapisanymi w „Założeniach polityki społeczno-gospodarczej Wrocławia na rok 2020” w sposób ciągły prowadzono działania zmierzające do poprawy stanu bezpieczeństwa budynków szkolnych, budowy nowej bazy kształcenia oraz oszczędności z tytułu zużycia mediów w placówkach oświatowych. </w:t>
      </w:r>
    </w:p>
    <w:p w:rsidR="008C7751" w:rsidRPr="00E00B35" w:rsidRDefault="008C7751" w:rsidP="00E00B35">
      <w:pPr>
        <w:pStyle w:val="11TrescpismaZnak"/>
        <w:spacing w:after="0" w:line="312" w:lineRule="auto"/>
        <w:jc w:val="left"/>
        <w:rPr>
          <w:color w:val="000000"/>
          <w:lang w:val="pl-PL"/>
        </w:rPr>
      </w:pPr>
      <w:r w:rsidRPr="00E00B35">
        <w:rPr>
          <w:color w:val="000000"/>
          <w:lang w:val="pl-PL"/>
        </w:rPr>
        <w:t xml:space="preserve">Realizowano programy ujęte w </w:t>
      </w:r>
      <w:r w:rsidRPr="00E00B35">
        <w:rPr>
          <w:b/>
          <w:color w:val="000000"/>
          <w:lang w:val="pl-PL"/>
        </w:rPr>
        <w:t>Wieloletnim Planie Inwestycyjnym</w:t>
      </w:r>
      <w:r w:rsidRPr="00E00B35">
        <w:rPr>
          <w:color w:val="000000"/>
          <w:lang w:val="pl-PL"/>
        </w:rPr>
        <w:t>:</w:t>
      </w:r>
    </w:p>
    <w:p w:rsidR="008C7751" w:rsidRPr="00E00B35" w:rsidRDefault="008C7751" w:rsidP="00BC64AB">
      <w:pPr>
        <w:pStyle w:val="11TrescpismaZnak"/>
        <w:numPr>
          <w:ilvl w:val="0"/>
          <w:numId w:val="147"/>
        </w:numPr>
        <w:spacing w:after="0" w:line="312" w:lineRule="auto"/>
        <w:ind w:left="426" w:hanging="284"/>
        <w:jc w:val="left"/>
        <w:rPr>
          <w:color w:val="000000"/>
          <w:lang w:val="pl-PL"/>
        </w:rPr>
      </w:pPr>
      <w:r w:rsidRPr="00E00B35">
        <w:rPr>
          <w:color w:val="000000"/>
          <w:lang w:val="pl-PL"/>
        </w:rPr>
        <w:t>Budowa i kompleksowa przebudowa budynków przedszkoli:</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W ramach dostosowania przedszkoli do wymogów Inspekcji Sanitarnej, Inspekcji Pracy, przeciwpożarowych itp.:</w:t>
      </w:r>
    </w:p>
    <w:p w:rsidR="008C7751" w:rsidRPr="00E00B35" w:rsidRDefault="008C7751" w:rsidP="00BC64AB">
      <w:pPr>
        <w:numPr>
          <w:ilvl w:val="0"/>
          <w:numId w:val="146"/>
        </w:numPr>
        <w:spacing w:after="0" w:line="312" w:lineRule="auto"/>
        <w:ind w:left="993" w:hanging="567"/>
        <w:rPr>
          <w:szCs w:val="20"/>
        </w:rPr>
      </w:pPr>
      <w:r w:rsidRPr="00E00B35">
        <w:rPr>
          <w:szCs w:val="20"/>
          <w:lang w:val="pl-PL"/>
        </w:rPr>
        <w:t xml:space="preserve">Opracowano dokumentację projektową na dostosowanie do przepisów ppoż. </w:t>
      </w:r>
      <w:r w:rsidRPr="00E00B35">
        <w:rPr>
          <w:szCs w:val="20"/>
        </w:rPr>
        <w:t>Budynku Przedszkola nr 33 ul.Łąkowa - na kwotę 32 000 zł</w:t>
      </w:r>
    </w:p>
    <w:p w:rsidR="008C7751" w:rsidRPr="00E00B35" w:rsidRDefault="008C7751" w:rsidP="00BC64AB">
      <w:pPr>
        <w:numPr>
          <w:ilvl w:val="0"/>
          <w:numId w:val="146"/>
        </w:numPr>
        <w:spacing w:after="0" w:line="312" w:lineRule="auto"/>
        <w:ind w:left="993" w:hanging="567"/>
        <w:rPr>
          <w:szCs w:val="20"/>
          <w:lang w:val="pl-PL"/>
        </w:rPr>
      </w:pPr>
      <w:r w:rsidRPr="00E00B35">
        <w:rPr>
          <w:szCs w:val="20"/>
          <w:lang w:val="pl-PL"/>
        </w:rPr>
        <w:t>Wykonano dostosowanie wyjść ewakuacyjnych z sal zajęć dla dzieci w Przedszkolu nr 80 ul.Zielińskiego – na kwotę 43 050 zł</w:t>
      </w:r>
    </w:p>
    <w:p w:rsidR="008C7751" w:rsidRPr="00E00B35" w:rsidRDefault="008C7751" w:rsidP="00BC64AB">
      <w:pPr>
        <w:numPr>
          <w:ilvl w:val="0"/>
          <w:numId w:val="146"/>
        </w:numPr>
        <w:spacing w:after="0" w:line="312" w:lineRule="auto"/>
        <w:ind w:left="993" w:hanging="567"/>
        <w:rPr>
          <w:szCs w:val="20"/>
          <w:lang w:val="pl-PL"/>
        </w:rPr>
      </w:pPr>
      <w:r w:rsidRPr="00E00B35">
        <w:rPr>
          <w:szCs w:val="20"/>
          <w:lang w:val="pl-PL"/>
        </w:rPr>
        <w:t>Wykonano dokumentację projektową na wykonanie zewnętrznego separatora tłuszczu dla Przedszkola nr 92 przy ul.Bardzkiej – na kwotę 12 000 zł</w:t>
      </w:r>
    </w:p>
    <w:p w:rsidR="008C7751" w:rsidRPr="00E00B35" w:rsidRDefault="008C7751" w:rsidP="00BC64AB">
      <w:pPr>
        <w:numPr>
          <w:ilvl w:val="0"/>
          <w:numId w:val="146"/>
        </w:numPr>
        <w:spacing w:after="0" w:line="312" w:lineRule="auto"/>
        <w:ind w:left="993" w:hanging="567"/>
        <w:rPr>
          <w:szCs w:val="20"/>
          <w:lang w:val="pl-PL"/>
        </w:rPr>
      </w:pPr>
      <w:r w:rsidRPr="00E00B35">
        <w:rPr>
          <w:szCs w:val="20"/>
          <w:lang w:val="pl-PL"/>
        </w:rPr>
        <w:t>Kontynuowano opracowanie dokumentacji projektowej na dostosowanie budynku Przedszkola nr 109 przy ul.Nowowiejskiej do przepisów ppoż., zmianę systemu grzewczego oraz wymianę instalacji c.o. – na kwotę 31 980 zł</w:t>
      </w:r>
    </w:p>
    <w:p w:rsidR="008C7751" w:rsidRPr="00E00B35" w:rsidRDefault="008C7751" w:rsidP="00BC64AB">
      <w:pPr>
        <w:numPr>
          <w:ilvl w:val="0"/>
          <w:numId w:val="146"/>
        </w:numPr>
        <w:spacing w:after="0" w:line="312" w:lineRule="auto"/>
        <w:ind w:left="993" w:hanging="567"/>
        <w:rPr>
          <w:szCs w:val="20"/>
          <w:lang w:val="pl-PL"/>
        </w:rPr>
      </w:pPr>
      <w:r w:rsidRPr="00E00B35">
        <w:rPr>
          <w:szCs w:val="20"/>
          <w:lang w:val="pl-PL"/>
        </w:rPr>
        <w:t>Opracowano ekspertyzę techniczną konstrukcji budynku Przedszkola nr 111 przy ul.</w:t>
      </w:r>
      <w:r w:rsidR="004438D9" w:rsidRPr="00E00B35">
        <w:rPr>
          <w:szCs w:val="20"/>
          <w:lang w:val="pl-PL"/>
        </w:rPr>
        <w:t xml:space="preserve"> </w:t>
      </w:r>
      <w:r w:rsidRPr="00E00B35">
        <w:rPr>
          <w:szCs w:val="20"/>
          <w:lang w:val="pl-PL"/>
        </w:rPr>
        <w:t>Skwerowej – na kwotę 68 179 zł</w:t>
      </w:r>
    </w:p>
    <w:p w:rsidR="008C7751" w:rsidRPr="00E00B35" w:rsidRDefault="008C7751" w:rsidP="00BC64AB">
      <w:pPr>
        <w:numPr>
          <w:ilvl w:val="0"/>
          <w:numId w:val="146"/>
        </w:numPr>
        <w:spacing w:after="0" w:line="312" w:lineRule="auto"/>
        <w:ind w:left="993" w:hanging="567"/>
        <w:rPr>
          <w:szCs w:val="20"/>
          <w:lang w:val="pl-PL"/>
        </w:rPr>
      </w:pPr>
      <w:r w:rsidRPr="00E00B35">
        <w:rPr>
          <w:szCs w:val="20"/>
          <w:lang w:val="pl-PL"/>
        </w:rPr>
        <w:t>Rozpoczęto opracowanie koncepcji obsługi komunikacyjnej budynku Przedszkola nr 149 przy ul.Obornickiej – na kwotę 19 626 zł</w:t>
      </w:r>
    </w:p>
    <w:p w:rsidR="008C7751" w:rsidRPr="00E00B35" w:rsidRDefault="008C7751" w:rsidP="00BC64AB">
      <w:pPr>
        <w:numPr>
          <w:ilvl w:val="0"/>
          <w:numId w:val="146"/>
        </w:numPr>
        <w:spacing w:after="0" w:line="312" w:lineRule="auto"/>
        <w:ind w:left="993" w:hanging="567"/>
        <w:rPr>
          <w:szCs w:val="20"/>
          <w:lang w:val="pl-PL"/>
        </w:rPr>
      </w:pPr>
      <w:r w:rsidRPr="00E00B35">
        <w:rPr>
          <w:szCs w:val="20"/>
          <w:lang w:val="pl-PL"/>
        </w:rPr>
        <w:lastRenderedPageBreak/>
        <w:t>Wykonano ścianki lekkiej konstrukcji wydzielającej salę wielofunkcyjną z holu i korytarza budynku Zespołu Szkolno-Przedszkolnego nr 1 przy ul.Zemskiej – na kwotę 17 958 zł</w:t>
      </w:r>
    </w:p>
    <w:p w:rsidR="008C7751" w:rsidRPr="00E00B35" w:rsidRDefault="008C7751" w:rsidP="00BC64AB">
      <w:pPr>
        <w:numPr>
          <w:ilvl w:val="0"/>
          <w:numId w:val="146"/>
        </w:numPr>
        <w:spacing w:after="0" w:line="312" w:lineRule="auto"/>
        <w:ind w:left="993" w:hanging="567"/>
        <w:rPr>
          <w:szCs w:val="20"/>
          <w:lang w:val="pl-PL"/>
        </w:rPr>
      </w:pPr>
      <w:r w:rsidRPr="00E00B35">
        <w:rPr>
          <w:szCs w:val="20"/>
          <w:lang w:val="pl-PL"/>
        </w:rPr>
        <w:t>Opracowano dokumentację projektową na przebudowę i remont węzła żywienia Zespołu Szkolno-Przedszkolengo nr 4 przy ul.Sołtysowickiej oraz budowę przyłączy wody i sieć wodociągową – na kwotę 24 565 zł</w:t>
      </w:r>
    </w:p>
    <w:p w:rsidR="008C7751" w:rsidRPr="00E00B35" w:rsidRDefault="008C7751" w:rsidP="00E00B35">
      <w:pPr>
        <w:spacing w:after="0" w:line="312" w:lineRule="auto"/>
        <w:rPr>
          <w:szCs w:val="20"/>
          <w:lang w:val="pl-PL"/>
        </w:rPr>
      </w:pPr>
      <w:r w:rsidRPr="00E00B35">
        <w:rPr>
          <w:szCs w:val="20"/>
          <w:lang w:val="pl-PL"/>
        </w:rPr>
        <w:t>Łącznie wykonanie na koniec roku 2020 wyniosło 249 358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Opracowano dokumentację i rozpoczęto prace budowlane w zakresie remontu elewacji z dociepleniem, remont dachu z dociepleniem oraz zagospodarowania terenu Przedszkola nr 5 przy ul.Dźwirzyńskiej – na kwotę 569 349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Wykonano montaż klimatyzacji w salach dziecięcych i pomieszczeniach biurowych w Przedszkolu nr 15 przy ul.Prochowickiej – na kwotę 50 664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Opracowano dokumentację projektową na budowę przyłącza kanalizacji sanitarnej do budynku Przedszkola nr 43 przy ul.Kościuszki – na kwotę 22 484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Opracowano dokumentację projektową na przebudowę budynku Przedszkola nr 50 przy ul.Dyrekcyjnej w zakresie sanitariatów i sal dziecięcych – na kwotę 123 835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Opracowano dokumentację projektową remontu i docieplenia dachu, elewacji i przebudowy strefy wejścia do budynku Przedszkola nr 91 przy ul.Zaporoskiej – na kwotę 71 340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Opracowano koncepcję na rozbudowę, przebudowę i remont budynku Przedszkola przy ul.Grochowej – na kwotę 108 987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Wykonano montaż urządzeń i instalację klimatyzacji w Przedszkolu nr 96 przy al.</w:t>
      </w:r>
      <w:r w:rsidR="00971361" w:rsidRPr="00E00B35">
        <w:rPr>
          <w:szCs w:val="20"/>
          <w:lang w:val="pl-PL"/>
        </w:rPr>
        <w:t xml:space="preserve"> </w:t>
      </w:r>
      <w:r w:rsidRPr="00E00B35">
        <w:rPr>
          <w:szCs w:val="20"/>
          <w:lang w:val="pl-PL"/>
        </w:rPr>
        <w:t>Pracy – na kwotę 33 000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Zakończono przebudowę budynków Przedszkola nr 104 przy ul.Niedźwiedziej w zakresie remontu sal dziecięcych w budynku D i dostosowania budynku do przepisów ppoż oraz przebudowy zewnętrznych stref wejściowych i dojść do budynku A i B (całkowita wartość zadania to 1 172 000 zł). Rozpoczęto opracowanie dokumentacji projektowej na termomodernizację elewacji i dachów – na kwotę 1 184 177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Opracowano ekspertyzę techniczną konstrukcji budynku Przedszkola nr 148 przy ul.Rogowskiej – na kwotę 72 340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Rozpoczęto opracowanie dokumentacji projektowej na przebudowę budynku Przedszkola nr 150 przy ul.Ignuta – na kwotę 25 000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Rozpoczęto opracowanie dokumentacji projektowej na przebudowę bloku żywienia, remont drogi dojazdowej, budowę windy w części przedszkolnej budynku Zespołu Szkolno-Przedszkolnego nr 3 przy ul.Inflanckiej – na kwotę 72 120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Wykonano przebudowę systemu odprowadzania ścieków sanitarnych z budynku Zespołu Szkolno-Przedszkolnego nr 4 przy ul.Sołtysowickiej – na kwotę 98 000 zł</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Realizowano budowę przedszkola przy ul.Dębickiej w ramach Zespołu Szkolno-Przedszkolnego nr 14</w:t>
      </w:r>
    </w:p>
    <w:p w:rsidR="008C7751" w:rsidRPr="00E00B35" w:rsidRDefault="008C7751" w:rsidP="00E00B35">
      <w:pPr>
        <w:numPr>
          <w:ilvl w:val="0"/>
          <w:numId w:val="10"/>
        </w:numPr>
        <w:spacing w:after="0" w:line="312" w:lineRule="auto"/>
        <w:ind w:left="426" w:hanging="426"/>
        <w:rPr>
          <w:szCs w:val="20"/>
          <w:lang w:val="pl-PL"/>
        </w:rPr>
      </w:pPr>
      <w:r w:rsidRPr="00E00B35">
        <w:rPr>
          <w:szCs w:val="20"/>
          <w:lang w:val="pl-PL"/>
        </w:rPr>
        <w:t>Zakończono budowę przedszkola na terenie Szkoły Podstawowej nr 91 przy ul.Jackowskiego – na kwotę 892 444 zł (całkowita wartość zadania 8 585 145 zł</w:t>
      </w:r>
    </w:p>
    <w:p w:rsidR="00971361" w:rsidRPr="00E00B35" w:rsidRDefault="00971361" w:rsidP="00E00B35">
      <w:pPr>
        <w:spacing w:after="0" w:line="312" w:lineRule="auto"/>
        <w:ind w:left="426"/>
        <w:rPr>
          <w:szCs w:val="20"/>
          <w:lang w:val="pl-PL"/>
        </w:rPr>
      </w:pPr>
    </w:p>
    <w:p w:rsidR="008C7751" w:rsidRPr="00E00B35" w:rsidRDefault="008C7751" w:rsidP="00BC64AB">
      <w:pPr>
        <w:pStyle w:val="11TrescpismaZnak"/>
        <w:numPr>
          <w:ilvl w:val="0"/>
          <w:numId w:val="147"/>
        </w:numPr>
        <w:spacing w:after="0" w:line="312" w:lineRule="auto"/>
        <w:ind w:left="426" w:hanging="142"/>
        <w:jc w:val="left"/>
        <w:rPr>
          <w:lang w:val="pl-PL"/>
        </w:rPr>
      </w:pPr>
      <w:r w:rsidRPr="00E00B35">
        <w:rPr>
          <w:color w:val="000000"/>
          <w:lang w:val="pl-PL"/>
        </w:rPr>
        <w:t>Budowa</w:t>
      </w:r>
      <w:r w:rsidRPr="00E00B35">
        <w:rPr>
          <w:lang w:val="pl-PL"/>
        </w:rPr>
        <w:t xml:space="preserve"> i kompleksowa przebudowa budynków szkół podstawowych:</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lastRenderedPageBreak/>
        <w:t>Zakończono przebudowę i remont budynku Zespołu Szkolno-Przedszkolnego nr 13 przy pl.Muzealnym w zakresie przebudowy i remontu elewacji i dachu z dociepleniem oraz budowy i przebudowy kanalizacji deszczowej – na kwotę 2 373 900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Kontynuowano rozbudowę budynku Szkoły Podstawowej nr 21 przy ul.Osobowickiej o segment przedszkolno-szkolny i blok sportowy – na kwotę 9 200 785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Zakończono przebudowę budynku Szkoły Podstawowej nr 66 przy ul.Dembowskiego w zakresie dostosowania do wymogów przepisów ppoż. oraz wymiany instalacji elektrycznej – na kwotę 857 412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Opracowano dokumentację projektową przebudowy i remontu instalacji ciepła technologicznego oraz wentylacji mechanicznej w budynku Zespołu Szkolno-Przedszkolnego nr 6 przy ul.Gałczyńskiego</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Rozpoczęto prace związane z budową Zespołu Szkolno-Przedszkolnego przy ul.Cynamonowej na osiedlu Lipa Piotrowska i Widawa – na kwotę 108 000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Opracowano dokumentację projektową na budowę Zespołu Szkolno-Przedszkolnego przy ul.Asfaltowej na osiedlu Jagodno – na kwotę 1 943 632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Rozpoczęto opracowanie dokumentacji projektowej przebudowy i remontu węzła żywienia, z zamianą kotłowni gazowej na węzeł cieplny oraz remontem instalacji centralnego ogrzewania, ciepłej wody oraz instalacji wodno-kanalizacyjnej w Szkole Podstawowej nr 1 przy ul.Nowowiejskiej – na kwotę 25 092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Opracowano koncepcję wielobranżową rozbudowy Szkoły Podstawowej nr 6 przy ul.Gorlickiej wraz z Programem Funkcjonalno-Użytkowym – na kwotę 88 560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Wykonano przebudowę i remont Szkoły Podstawowej nr 6 przy ul.Gorlickiej w zakresie: przebudowy i remontu szkoły na potrzeby wydzielenia bloku żywienia w formie cateringu, izolacji przeciwwodnej i termicznej fundamentów budynku, dostosowania obiektu szkolnego do wymogów przeciwpożarowych, remontu i przebudowy pozostałych pomieszczeń piwnic wraz z przebudową w obrębie piwnic instalacji wodno-kanalizacyjnej, centralnego ogrzewania i elektrycznej – na kwotę 1 943 797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Przebudowano ogrodzenie terenu w Szkole Podstawowej nr 6 przy ul.Gorlickiej – na kwotę 159 900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Wykonano remont i przebudowę toalet w segmencie B budynku Szkoły Podstawowej nr 37 przy ul.Sarbinowskiej – na kwotę 481 545 zł, przy czym całkowita wartość zadania wynosi 596 550 zł, oraz remont i przebudowę posadzek korytarza na parterze, schodów zewnętrznych oraz ścian strefy wejściowej, przy czym całkowita wartość wynosi 233 085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Rozpoczęto opracowanie dokumentacji dotyczącej: przebudowy i remontu bloku żywienia, przebudowy pomieszczeń logopedy, wc i magazynu na parterze, piwnicy w budynku A, budowy zewnętrznej klatki schodowej i przebudowy schodów wewnętrznych w Szkole Podstawowej nr 43 przy ul.Grochowej – na kwotę 19 182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Opracowano dokumentację projektową oraz rozpoczęto przebudowę i remont sanitariatów w Szkole Podstawowej nr 118 przy Bulwarze Ikara – na kwotę 265 737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lastRenderedPageBreak/>
        <w:t>Wykonano ogrodzenie szkoły, zadaszono i wydzielono miejsce składowania odpadów w Szkole Podstawowej nr 78 przy ul.Jedności Narodowej – na kwotę 221 400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Zakończono przebudowę i remont dachu oraz strefy wejściowej do budynku Szkoły Podstawowej nr 95 przy ul.Starogajowej – na kwotę 1 271 771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Rozpoczęto opracowanie dokumentacji projektowej przebudowy i remontu dachu wraz z wykonaniem ekspertyzy konstrukcyjnej i mikologicznej więźby dachowej budynku Szkoły Podstawowej nr 109 przy Alei Pracy – na kwotę 13 320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Rozpoczęto rozbudowę Szkoły Podstawowej nr 99 przy ul.Głubczyckiej w zakresie rozbudowy o 8 do 10 sal dydaktycznych z zapleczem sanitarno-szatniowym i magazynowym, dwóch świetlic na potrzeby edukacji wczesnoszkolnej, pełnego bloku żywienia z jadalnią, przeniesienia placu zabaw, zagospodarowania terenu, dostosowania istniejącego budynku do przepisów ppoż., termomodernizacji elewacji, remontu dachu, wymiany kotłowni gazowej na węzeł cieplny, zielonych dachów i zielonych ścian – na kwotę 600 000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Przebudowano strefę przedwejściową z placem manewrowym ppoż, budową dojścia do szkoły, ogrodzenia i oświetlenia terenu w Szkole Podstawowej nr 44 przy ul.Wilanowskiej – na kwotę 428 100 zł</w:t>
      </w:r>
    </w:p>
    <w:p w:rsidR="008C7751" w:rsidRPr="00E00B35" w:rsidRDefault="008C7751" w:rsidP="00BC64AB">
      <w:pPr>
        <w:numPr>
          <w:ilvl w:val="0"/>
          <w:numId w:val="148"/>
        </w:numPr>
        <w:spacing w:after="0" w:line="312" w:lineRule="auto"/>
        <w:ind w:left="426" w:hanging="426"/>
        <w:rPr>
          <w:szCs w:val="20"/>
          <w:lang w:val="pl-PL"/>
        </w:rPr>
      </w:pPr>
      <w:r w:rsidRPr="00E00B35">
        <w:rPr>
          <w:szCs w:val="20"/>
          <w:lang w:val="pl-PL"/>
        </w:rPr>
        <w:t>W Zespole Szkół nr 21 przy ul.Ignuta wykonano remont i przebudowę sanitariatów segmentu C na parterze oraz w segmencie B i E na pierwszym i drugim piętrze; zamontowano tablicę główną elektryczną; zamontowano poidełka – łącznie na kwotę 1 122 502 zł</w:t>
      </w:r>
    </w:p>
    <w:p w:rsidR="008C7751" w:rsidRPr="00E00B35" w:rsidRDefault="008C7751" w:rsidP="00E00B35">
      <w:pPr>
        <w:pStyle w:val="Akapitzlist"/>
        <w:spacing w:after="0" w:line="312" w:lineRule="auto"/>
        <w:ind w:left="1440"/>
        <w:rPr>
          <w:szCs w:val="20"/>
          <w:lang w:val="pl-PL"/>
        </w:rPr>
      </w:pPr>
    </w:p>
    <w:p w:rsidR="008C7751" w:rsidRPr="00E00B35" w:rsidRDefault="008C7751" w:rsidP="00BC64AB">
      <w:pPr>
        <w:pStyle w:val="11TrescpismaZnak"/>
        <w:numPr>
          <w:ilvl w:val="0"/>
          <w:numId w:val="147"/>
        </w:numPr>
        <w:spacing w:after="0" w:line="312" w:lineRule="auto"/>
        <w:ind w:left="426" w:hanging="142"/>
        <w:jc w:val="left"/>
        <w:rPr>
          <w:lang w:val="pl-PL"/>
        </w:rPr>
      </w:pPr>
      <w:r w:rsidRPr="00E00B35">
        <w:rPr>
          <w:lang w:val="pl-PL"/>
        </w:rPr>
        <w:t>Utworzenie gabinetów dentystycznych w szkołach podstawowych:</w:t>
      </w:r>
    </w:p>
    <w:p w:rsidR="008C7751" w:rsidRPr="00E00B35" w:rsidRDefault="008C7751" w:rsidP="00BC64AB">
      <w:pPr>
        <w:numPr>
          <w:ilvl w:val="0"/>
          <w:numId w:val="149"/>
        </w:numPr>
        <w:spacing w:after="0" w:line="312" w:lineRule="auto"/>
        <w:ind w:left="426" w:hanging="426"/>
        <w:rPr>
          <w:szCs w:val="20"/>
          <w:lang w:val="pl-PL"/>
        </w:rPr>
      </w:pPr>
      <w:r w:rsidRPr="00E00B35">
        <w:rPr>
          <w:szCs w:val="20"/>
          <w:lang w:val="pl-PL"/>
        </w:rPr>
        <w:t>w Szkole Podstawowej nr 4 przy ul.Powstańców Śląskich – koszt 104 400 zł</w:t>
      </w:r>
    </w:p>
    <w:p w:rsidR="008C7751" w:rsidRPr="00E00B35" w:rsidRDefault="008C7751" w:rsidP="00BC64AB">
      <w:pPr>
        <w:numPr>
          <w:ilvl w:val="0"/>
          <w:numId w:val="149"/>
        </w:numPr>
        <w:spacing w:after="0" w:line="312" w:lineRule="auto"/>
        <w:ind w:left="426" w:hanging="426"/>
        <w:rPr>
          <w:szCs w:val="20"/>
          <w:lang w:val="pl-PL"/>
        </w:rPr>
      </w:pPr>
      <w:r w:rsidRPr="00E00B35">
        <w:rPr>
          <w:szCs w:val="20"/>
          <w:lang w:val="pl-PL"/>
        </w:rPr>
        <w:t>w Szkole Podstawowej nr 44 przy ul.Wilanowskiej – koszt 58 250 zł</w:t>
      </w:r>
    </w:p>
    <w:p w:rsidR="008C7751" w:rsidRPr="00E00B35" w:rsidRDefault="008C7751" w:rsidP="00BC64AB">
      <w:pPr>
        <w:numPr>
          <w:ilvl w:val="0"/>
          <w:numId w:val="149"/>
        </w:numPr>
        <w:spacing w:after="0" w:line="312" w:lineRule="auto"/>
        <w:ind w:left="426" w:hanging="426"/>
        <w:rPr>
          <w:szCs w:val="20"/>
          <w:lang w:val="pl-PL"/>
        </w:rPr>
      </w:pPr>
      <w:r w:rsidRPr="00E00B35">
        <w:rPr>
          <w:szCs w:val="20"/>
          <w:lang w:val="pl-PL"/>
        </w:rPr>
        <w:t>w Szkole Podstawowej nr 46 przy ul.Ścinawskiej – koszt 52 750 zł</w:t>
      </w:r>
    </w:p>
    <w:p w:rsidR="008C7751" w:rsidRPr="00E00B35" w:rsidRDefault="008C7751" w:rsidP="00E00B35">
      <w:pPr>
        <w:pStyle w:val="Akapitzlist"/>
        <w:spacing w:after="0" w:line="312" w:lineRule="auto"/>
        <w:ind w:left="0"/>
        <w:rPr>
          <w:szCs w:val="20"/>
          <w:lang w:val="pl-PL"/>
        </w:rPr>
      </w:pPr>
    </w:p>
    <w:p w:rsidR="008C7751" w:rsidRPr="00E00B35" w:rsidRDefault="008C7751" w:rsidP="00BC64AB">
      <w:pPr>
        <w:pStyle w:val="11TrescpismaZnak"/>
        <w:numPr>
          <w:ilvl w:val="0"/>
          <w:numId w:val="147"/>
        </w:numPr>
        <w:spacing w:after="0" w:line="312" w:lineRule="auto"/>
        <w:ind w:left="426" w:hanging="142"/>
        <w:jc w:val="left"/>
        <w:rPr>
          <w:lang w:val="pl-PL"/>
        </w:rPr>
      </w:pPr>
      <w:r w:rsidRPr="00E00B35">
        <w:rPr>
          <w:lang w:val="pl-PL"/>
        </w:rPr>
        <w:t>Dostosowanie budynków szkół podstawowych do potrzeb osób niepełnosprawnych:</w:t>
      </w:r>
    </w:p>
    <w:p w:rsidR="008C7751" w:rsidRPr="00E00B35" w:rsidRDefault="008C7751" w:rsidP="00BC64AB">
      <w:pPr>
        <w:numPr>
          <w:ilvl w:val="0"/>
          <w:numId w:val="150"/>
        </w:numPr>
        <w:spacing w:after="0" w:line="312" w:lineRule="auto"/>
        <w:ind w:left="426" w:hanging="426"/>
        <w:rPr>
          <w:szCs w:val="20"/>
          <w:lang w:val="pl-PL"/>
        </w:rPr>
      </w:pPr>
      <w:r w:rsidRPr="00E00B35">
        <w:rPr>
          <w:szCs w:val="20"/>
          <w:lang w:val="pl-PL"/>
        </w:rPr>
        <w:t>Wybudowano zewnętrzną windę osobową z przedsionkiem oraz toalety dla niepełnosprawnych w budynku Szkoły Podstawowej nr 61 przy ul.Skarbowców oraz opracowano dokumentację projektową dotyczącą przystosowania budynku do wymogów ppoż – na kwotę 523 880 zł</w:t>
      </w:r>
    </w:p>
    <w:p w:rsidR="008C7751" w:rsidRPr="00E00B35" w:rsidRDefault="008C7751" w:rsidP="00BC64AB">
      <w:pPr>
        <w:numPr>
          <w:ilvl w:val="0"/>
          <w:numId w:val="150"/>
        </w:numPr>
        <w:spacing w:after="0" w:line="312" w:lineRule="auto"/>
        <w:ind w:left="426" w:hanging="426"/>
        <w:rPr>
          <w:szCs w:val="20"/>
          <w:lang w:val="pl-PL"/>
        </w:rPr>
      </w:pPr>
      <w:r w:rsidRPr="00E00B35">
        <w:rPr>
          <w:szCs w:val="20"/>
          <w:lang w:val="pl-PL"/>
        </w:rPr>
        <w:t>Rozpoczęto prace związane z dostosowaniem budynku Szkoły Podstawowej nr 91 przy ul.Sempołowskiej do potrzeb osób niepełnosprawnych – na kwotę 209 261 zł</w:t>
      </w:r>
    </w:p>
    <w:p w:rsidR="008C7751" w:rsidRPr="00E00B35" w:rsidRDefault="008C7751" w:rsidP="00E00B35">
      <w:pPr>
        <w:spacing w:after="0" w:line="312" w:lineRule="auto"/>
        <w:ind w:left="426"/>
        <w:rPr>
          <w:szCs w:val="20"/>
          <w:lang w:val="pl-PL"/>
        </w:rPr>
      </w:pPr>
    </w:p>
    <w:p w:rsidR="008C7751" w:rsidRPr="00E00B35" w:rsidRDefault="008C7751" w:rsidP="00BC64AB">
      <w:pPr>
        <w:pStyle w:val="11TrescpismaZnak"/>
        <w:numPr>
          <w:ilvl w:val="0"/>
          <w:numId w:val="147"/>
        </w:numPr>
        <w:spacing w:after="0" w:line="312" w:lineRule="auto"/>
        <w:ind w:left="426" w:hanging="142"/>
        <w:jc w:val="left"/>
        <w:rPr>
          <w:lang w:val="pl-PL"/>
        </w:rPr>
      </w:pPr>
      <w:r w:rsidRPr="00E00B35">
        <w:rPr>
          <w:lang w:val="pl-PL"/>
        </w:rPr>
        <w:t>Dostosowanie szkół podstawowych do wymagań przeciwpożarowych, inspekcji sanitarnej i inspekcji pracy:</w:t>
      </w:r>
    </w:p>
    <w:p w:rsidR="008C7751" w:rsidRPr="00E00B35" w:rsidRDefault="008C7751" w:rsidP="00BC64AB">
      <w:pPr>
        <w:numPr>
          <w:ilvl w:val="0"/>
          <w:numId w:val="151"/>
        </w:numPr>
        <w:spacing w:after="0" w:line="312" w:lineRule="auto"/>
        <w:ind w:left="426" w:hanging="426"/>
        <w:rPr>
          <w:szCs w:val="20"/>
          <w:lang w:val="pl-PL"/>
        </w:rPr>
      </w:pPr>
      <w:r w:rsidRPr="00E00B35">
        <w:rPr>
          <w:szCs w:val="20"/>
          <w:lang w:val="pl-PL"/>
        </w:rPr>
        <w:t xml:space="preserve">Wymieniono pokrycie dachów płaskich spełniające kryterium nierozprzestrzeniania ognia wraz z ociepleniem dachu w budynku Zespołu Szkolno-Przedszkolnego nr 9 przy ul.Solskiego – na kwotę 243 786 zł. </w:t>
      </w:r>
    </w:p>
    <w:p w:rsidR="008C7751" w:rsidRPr="00E00B35" w:rsidRDefault="008C7751" w:rsidP="00BC64AB">
      <w:pPr>
        <w:numPr>
          <w:ilvl w:val="0"/>
          <w:numId w:val="151"/>
        </w:numPr>
        <w:spacing w:after="0" w:line="312" w:lineRule="auto"/>
        <w:ind w:left="426" w:hanging="426"/>
        <w:rPr>
          <w:szCs w:val="20"/>
          <w:lang w:val="pl-PL"/>
        </w:rPr>
      </w:pPr>
      <w:r w:rsidRPr="00E00B35">
        <w:rPr>
          <w:szCs w:val="20"/>
          <w:lang w:val="pl-PL"/>
        </w:rPr>
        <w:t xml:space="preserve">Opracowano dokumentację projektową przebudowy i remontu strefy wejściowej, placu przed budynkiem oraz wykonania instalacji wentylacji w pracowni chemicznej </w:t>
      </w:r>
      <w:r w:rsidRPr="00E00B35">
        <w:rPr>
          <w:szCs w:val="20"/>
          <w:lang w:val="pl-PL"/>
        </w:rPr>
        <w:lastRenderedPageBreak/>
        <w:t>budynku Zespołu Szkolno-Przedszkolnego nr 18 przy ul.Poznańskiej – na kwotę 46 057 zł</w:t>
      </w:r>
    </w:p>
    <w:p w:rsidR="008C7751" w:rsidRPr="00E00B35" w:rsidRDefault="008C7751" w:rsidP="00BC64AB">
      <w:pPr>
        <w:numPr>
          <w:ilvl w:val="0"/>
          <w:numId w:val="151"/>
        </w:numPr>
        <w:spacing w:after="0" w:line="312" w:lineRule="auto"/>
        <w:ind w:left="426" w:hanging="426"/>
        <w:rPr>
          <w:szCs w:val="20"/>
          <w:lang w:val="pl-PL"/>
        </w:rPr>
      </w:pPr>
      <w:r w:rsidRPr="00E00B35">
        <w:rPr>
          <w:szCs w:val="20"/>
          <w:lang w:val="pl-PL"/>
        </w:rPr>
        <w:t>Dostosowano budynek Szkoły Podstawowej nr 4 przy ul.Powstańców Śląskich do obowiązujących przepisów ppoż. – na kwotę 3 216066 zł</w:t>
      </w:r>
    </w:p>
    <w:p w:rsidR="008C7751" w:rsidRPr="00E00B35" w:rsidRDefault="008C7751" w:rsidP="00BC64AB">
      <w:pPr>
        <w:numPr>
          <w:ilvl w:val="0"/>
          <w:numId w:val="151"/>
        </w:numPr>
        <w:spacing w:after="0" w:line="312" w:lineRule="auto"/>
        <w:ind w:left="426" w:hanging="426"/>
        <w:rPr>
          <w:szCs w:val="20"/>
          <w:lang w:val="pl-PL"/>
        </w:rPr>
      </w:pPr>
      <w:r w:rsidRPr="00E00B35">
        <w:rPr>
          <w:szCs w:val="20"/>
          <w:lang w:val="pl-PL"/>
        </w:rPr>
        <w:t>W Szkole Podstawowej nr 14 przy ul.Zachodniej wymieniono luksfery na klatkach schodowych na ściany osłonowe z oknami oddymiającymi i napowietrzającymi; wydzielenie klatek schodowych K1 i K2 – na kwotę 520 991 zł</w:t>
      </w:r>
    </w:p>
    <w:p w:rsidR="008C7751" w:rsidRPr="00E00B35" w:rsidRDefault="008C7751" w:rsidP="00BC64AB">
      <w:pPr>
        <w:numPr>
          <w:ilvl w:val="0"/>
          <w:numId w:val="151"/>
        </w:numPr>
        <w:spacing w:after="0" w:line="312" w:lineRule="auto"/>
        <w:ind w:left="426" w:hanging="426"/>
        <w:rPr>
          <w:szCs w:val="20"/>
          <w:lang w:val="pl-PL"/>
        </w:rPr>
      </w:pPr>
      <w:r w:rsidRPr="00E00B35">
        <w:rPr>
          <w:szCs w:val="20"/>
          <w:lang w:val="pl-PL"/>
        </w:rPr>
        <w:t>Rozpoczęto dostosowanie budynku A do wymogów przeciwpożarowych Szkoły Podstawowej nr 50 przy ul.Czeskiej w zakresie wykonania zabezpieczeń przeciwpożarowych w budynkach szkoły, remontu i docieplenia elewacji w budynkach szkoły, remontu i przebudowy instalacji elektrycznych w budynkach szkoły – na kwotę 1 983 700 zł</w:t>
      </w:r>
    </w:p>
    <w:p w:rsidR="008C7751" w:rsidRPr="00E00B35" w:rsidRDefault="008C7751" w:rsidP="00BC64AB">
      <w:pPr>
        <w:numPr>
          <w:ilvl w:val="0"/>
          <w:numId w:val="151"/>
        </w:numPr>
        <w:spacing w:after="0" w:line="312" w:lineRule="auto"/>
        <w:ind w:left="426" w:hanging="426"/>
        <w:rPr>
          <w:szCs w:val="20"/>
          <w:lang w:val="pl-PL"/>
        </w:rPr>
      </w:pPr>
      <w:r w:rsidRPr="00E00B35">
        <w:rPr>
          <w:szCs w:val="20"/>
          <w:lang w:val="pl-PL"/>
        </w:rPr>
        <w:t>Rozpoczęto opracowanie dokumentacji projektowej na przebudowę i remont toalet w Szkole Podstawowej nr 73 przy ul.Glinianej</w:t>
      </w:r>
    </w:p>
    <w:p w:rsidR="008C7751" w:rsidRPr="00E00B35" w:rsidRDefault="008C7751" w:rsidP="00BC64AB">
      <w:pPr>
        <w:numPr>
          <w:ilvl w:val="0"/>
          <w:numId w:val="151"/>
        </w:numPr>
        <w:spacing w:after="0" w:line="312" w:lineRule="auto"/>
        <w:ind w:left="426" w:hanging="426"/>
        <w:rPr>
          <w:szCs w:val="20"/>
          <w:lang w:val="pl-PL"/>
        </w:rPr>
      </w:pPr>
      <w:r w:rsidRPr="00E00B35">
        <w:rPr>
          <w:szCs w:val="20"/>
          <w:lang w:val="pl-PL"/>
        </w:rPr>
        <w:t>Opracowano dokumentację projektową i rozpoczęto procedurę postępowania zamówienia publicznego na wykonanie remontu i przebudowy w zakresie dostosowania Szkoły Podstawowej nr 78 przy ul.Jedności Narodowej do wymogów przepisów przeciwpożarowych – na kwotę 59 000 zł</w:t>
      </w:r>
    </w:p>
    <w:p w:rsidR="008C7751" w:rsidRPr="00E00B35" w:rsidRDefault="008C7751" w:rsidP="00E00B35">
      <w:pPr>
        <w:pStyle w:val="Akapitzlist"/>
        <w:spacing w:after="0" w:line="312" w:lineRule="auto"/>
        <w:ind w:left="0"/>
        <w:rPr>
          <w:szCs w:val="20"/>
          <w:lang w:val="pl-PL"/>
        </w:rPr>
      </w:pPr>
    </w:p>
    <w:p w:rsidR="008C7751" w:rsidRPr="00E00B35" w:rsidRDefault="008C7751" w:rsidP="00BC64AB">
      <w:pPr>
        <w:pStyle w:val="11TrescpismaZnak"/>
        <w:numPr>
          <w:ilvl w:val="0"/>
          <w:numId w:val="147"/>
        </w:numPr>
        <w:spacing w:after="0" w:line="312" w:lineRule="auto"/>
        <w:ind w:left="426" w:hanging="142"/>
        <w:jc w:val="left"/>
        <w:rPr>
          <w:lang w:val="pl-PL"/>
        </w:rPr>
      </w:pPr>
      <w:r w:rsidRPr="00E00B35">
        <w:rPr>
          <w:lang w:val="pl-PL"/>
        </w:rPr>
        <w:t>Budowa i kompleksowa przebudowa budynków szkół ponadpodstawowych:</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Zakończono przebudowę i remont dachu w Technikum nr 15 przy ul.Skwierzyńskiej – na kwotę 345 497 zł. Całkowita wartość zadania 861 084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Rozpoczęto opracowanie dokumentacji dla Technikum nr 18 przy ul.Ślężnej w zakresie dostosowania budynku głównego i bloku sportowego do obowiązujących przepisów przeciwpożarowych; remont dachów i poddaszy budynku głównego, remont elewacji budynku głównego, wykonanie wjazdu na teren placówki oraz adaptacja budynku mieszkalnego na potrzeby edukacyjne – na kwotę 19 800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Opracowano dokumentację projektową dla Zespołu Szkół nr 6 przy ul.Nowodworskiej w zakresie przebudowy i remontu toalet i wymiany instalacji elektrycznej – na kwotę 84 870 zł. Całkowity koszt zadania 98 400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Rozpoczęto realizację zadania dotyczącego dostosowania budynku C do obowiązujących przepisów przeciwpożarowych w Liceum Ogólnokształcącym nr II przy ul.Parkowej – na kwotę 312 193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Rozpoczęto opracowanie dokumentacji dla Liceum Ogólnokształcącego nr IV przy ul.Świstackiego z podziałem na etapy, w zakresie remontu elewacji z termomodernizacją, remontu ścian bocznych i szczytowych wystających poza sąsiednie budynki, remontu strefy wejściowej i remontu dachu – na kwotę 8 400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Opracowano dokumentację projektową dla Liceum Ogólnokształcącego nr VI przy ul.Hutniczej w zakresie remontu i ocieplenia ścian zewnętrznych i dachu, przebudowy strefy wejściowej oraz wielobranżowej koncepcji rozbudowy bloku sportowego i przebudowy sali gimnastycznej – na kwotę 152 500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 xml:space="preserve">Rozpoczęto opracowanie dokumentacji projektowej dla Liceum Ogólnokształcącego nr VIII przy ul.Zaporoskiej w zakresie przebudowy instalacji centralnego ogrzewania, </w:t>
      </w:r>
      <w:r w:rsidRPr="00E00B35">
        <w:rPr>
          <w:szCs w:val="20"/>
          <w:lang w:val="pl-PL"/>
        </w:rPr>
        <w:lastRenderedPageBreak/>
        <w:t>przebudowy i remontu elewacji z termomodernizacją oraz zagospodarowania terenu – na kwotę 25 756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Zakończono kolejne etapy przebudowy Liceum Ogólnokształcącego nr X przy ul.Pieszej. Wykonano przebudowę i remont posadzek korytarz, węzłów sanitarnych i nawierzchni przy głównym wejściu – na kwotę 1 197 276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W Centrum Kształcenia Ustawicznego przy ul.Swobodnej zakończono dostosowanie budynków do wymogów ochrony przeciwpożarowej, opracowano dokumentację projektową w zakresie remontu i przebudowy instalacji sanitarnych – na kwotę 620 927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 xml:space="preserve">Opracowano dokumentację projektową dotyczącą przebudowy i remontu Zespołu Szkół nr 3 przy ul.Szkockiej w zakresie remontu sanitariatów, bloków sportowych, pomieszczeń budynku, budowy windy oraz dostosowania budynku do obowiązujących przepisów przeciwpożarowych – na kwotę 6 250 zł </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Opracowano dokumentację projektową dotyczącą przebudowy i remontu Zespołu Szkół Logistycznych przy ul.Dawida w zakresie remontu i przebudowy sanitariatów, wymiany instalacji elektrycznej, remontu instalacji hydrantowej, dostosowania budynku do obowiązujących przepisów przeciwpożarowych, remontu szatni szkolnej, renowacji drzwi zewnętrznych – na kwote 37 690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Wykonano remont dachu Zespole Szkół Logistycznych przy ul.Dawida – na kwotę 183 475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W Specjalnym Ośrodku Szkolno-Wychowawczym nr 10 przy ul.Parkowej opracowano dokumentację budowy widny, dostosowano budynek do obowiązujących przepisów przeciwpożarowych, wymieniono rozdzielnicę w kuchni, opracowano dokumentację przebudowy i remontu bloku żywienia, wymiany instalacji elektrycznej, termomodernizacji elewacji i dachów – na kwotę 1 481 131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Opracowano koncepcję dla zadania „Rozbudowa Specjalnego Ośrodka Szkolno-Wychowawczego nr 10 przy ul.Parkowej”. Zadanie jest realizowane w trybie „projektuj i buduj” – na kwotę 123 535 zł</w:t>
      </w:r>
    </w:p>
    <w:p w:rsidR="008C7751" w:rsidRPr="00E00B35" w:rsidRDefault="008C7751" w:rsidP="00BC64AB">
      <w:pPr>
        <w:numPr>
          <w:ilvl w:val="0"/>
          <w:numId w:val="152"/>
        </w:numPr>
        <w:spacing w:after="0" w:line="312" w:lineRule="auto"/>
        <w:ind w:left="426" w:hanging="426"/>
        <w:rPr>
          <w:szCs w:val="20"/>
          <w:lang w:val="pl-PL"/>
        </w:rPr>
      </w:pPr>
      <w:r w:rsidRPr="00E00B35">
        <w:rPr>
          <w:szCs w:val="20"/>
          <w:lang w:val="pl-PL"/>
        </w:rPr>
        <w:t>Opracowano koncepcję i projekt budowlany dla zadnia „Rozbudowa Specjalnego Ośrodka Szkolno-Wychowawczego nr 11 przy ul.Kamiennej” – na kwotę 156 867 zł</w:t>
      </w:r>
    </w:p>
    <w:p w:rsidR="008C7751" w:rsidRPr="00E00B35" w:rsidRDefault="008C7751" w:rsidP="00E00B35">
      <w:pPr>
        <w:pStyle w:val="Akapitzlist"/>
        <w:spacing w:after="0" w:line="312" w:lineRule="auto"/>
        <w:ind w:left="0"/>
        <w:rPr>
          <w:szCs w:val="20"/>
          <w:lang w:val="pl-PL"/>
        </w:rPr>
      </w:pPr>
    </w:p>
    <w:p w:rsidR="008C7751" w:rsidRPr="00E00B35" w:rsidRDefault="008C7751" w:rsidP="00BC64AB">
      <w:pPr>
        <w:pStyle w:val="11TrescpismaZnak"/>
        <w:numPr>
          <w:ilvl w:val="0"/>
          <w:numId w:val="147"/>
        </w:numPr>
        <w:spacing w:after="0" w:line="312" w:lineRule="auto"/>
        <w:ind w:left="426" w:hanging="142"/>
        <w:jc w:val="left"/>
        <w:rPr>
          <w:lang w:val="pl-PL"/>
        </w:rPr>
      </w:pPr>
      <w:r w:rsidRPr="00E00B35">
        <w:rPr>
          <w:lang w:val="pl-PL"/>
        </w:rPr>
        <w:t>Dostosowanie szkół ponadpodstawowych do wymagań przeciwpożarowych, inspekcji sanitarnej i inspekcji pracy:</w:t>
      </w:r>
    </w:p>
    <w:p w:rsidR="008C7751" w:rsidRPr="00E00B35" w:rsidRDefault="008C7751" w:rsidP="00BC64AB">
      <w:pPr>
        <w:numPr>
          <w:ilvl w:val="0"/>
          <w:numId w:val="153"/>
        </w:numPr>
        <w:spacing w:after="0" w:line="312" w:lineRule="auto"/>
        <w:ind w:left="426" w:hanging="426"/>
        <w:rPr>
          <w:szCs w:val="20"/>
          <w:lang w:val="pl-PL"/>
        </w:rPr>
      </w:pPr>
      <w:r w:rsidRPr="00E00B35">
        <w:rPr>
          <w:szCs w:val="20"/>
          <w:lang w:val="pl-PL"/>
        </w:rPr>
        <w:t>Opracowano dokumentację projektową dotyczącą dostosowania do przepisów przeciwpożarowych budynku Centrum Kreatywności Talent przy ul.Jedności Narodowej – na kwotę 51 974 zł</w:t>
      </w:r>
    </w:p>
    <w:p w:rsidR="008C7751" w:rsidRPr="00E00B35" w:rsidRDefault="008C7751" w:rsidP="00BC64AB">
      <w:pPr>
        <w:numPr>
          <w:ilvl w:val="0"/>
          <w:numId w:val="153"/>
        </w:numPr>
        <w:spacing w:after="0" w:line="312" w:lineRule="auto"/>
        <w:ind w:left="426" w:hanging="426"/>
        <w:rPr>
          <w:szCs w:val="20"/>
          <w:lang w:val="pl-PL"/>
        </w:rPr>
      </w:pPr>
      <w:r w:rsidRPr="00E00B35">
        <w:rPr>
          <w:szCs w:val="20"/>
          <w:lang w:val="pl-PL"/>
        </w:rPr>
        <w:t>Opracowano dokumentację projektową dotyczącą dostosowania budynku Zespołu Szkół n 1 przy ul.Słubickiej do obowiązujących przepisów przeciwpożarowych – na kwotę108 548 zł</w:t>
      </w:r>
    </w:p>
    <w:p w:rsidR="008C7751" w:rsidRPr="00E00B35" w:rsidRDefault="008C7751" w:rsidP="00BC64AB">
      <w:pPr>
        <w:numPr>
          <w:ilvl w:val="0"/>
          <w:numId w:val="153"/>
        </w:numPr>
        <w:spacing w:after="0" w:line="312" w:lineRule="auto"/>
        <w:ind w:left="426" w:hanging="426"/>
        <w:rPr>
          <w:szCs w:val="20"/>
          <w:lang w:val="pl-PL"/>
        </w:rPr>
      </w:pPr>
      <w:r w:rsidRPr="00E00B35">
        <w:rPr>
          <w:szCs w:val="20"/>
          <w:lang w:val="pl-PL"/>
        </w:rPr>
        <w:t>Wykonano przeciwpożarową instalację hydrantową w Zespole Szkół Teleinformatycznych i Elektronicznych przy ul.Haukego-Bosaka – na kwotę 430 571 zł</w:t>
      </w:r>
    </w:p>
    <w:p w:rsidR="008C7751" w:rsidRPr="00E00B35" w:rsidRDefault="008C7751" w:rsidP="00E00B35">
      <w:pPr>
        <w:pStyle w:val="Akapitzlist"/>
        <w:spacing w:after="0" w:line="312" w:lineRule="auto"/>
        <w:ind w:left="0"/>
        <w:rPr>
          <w:szCs w:val="20"/>
          <w:lang w:val="pl-PL"/>
        </w:rPr>
      </w:pPr>
    </w:p>
    <w:p w:rsidR="008C7751" w:rsidRPr="00E00B35" w:rsidRDefault="008C7751" w:rsidP="00BC64AB">
      <w:pPr>
        <w:pStyle w:val="11TrescpismaZnak"/>
        <w:numPr>
          <w:ilvl w:val="0"/>
          <w:numId w:val="147"/>
        </w:numPr>
        <w:spacing w:after="0" w:line="312" w:lineRule="auto"/>
        <w:ind w:left="426" w:hanging="142"/>
        <w:jc w:val="left"/>
        <w:rPr>
          <w:lang w:val="pl-PL"/>
        </w:rPr>
      </w:pPr>
      <w:r w:rsidRPr="00E00B35">
        <w:rPr>
          <w:lang w:val="pl-PL"/>
        </w:rPr>
        <w:lastRenderedPageBreak/>
        <w:t>Budowa i przebudowa infrastruktury sportowej:</w:t>
      </w:r>
    </w:p>
    <w:p w:rsidR="008C7751" w:rsidRPr="00E00B35" w:rsidRDefault="008C7751" w:rsidP="00BC64AB">
      <w:pPr>
        <w:numPr>
          <w:ilvl w:val="0"/>
          <w:numId w:val="154"/>
        </w:numPr>
        <w:spacing w:after="0" w:line="312" w:lineRule="auto"/>
        <w:ind w:left="426" w:hanging="426"/>
        <w:rPr>
          <w:szCs w:val="20"/>
          <w:lang w:val="pl-PL"/>
        </w:rPr>
      </w:pPr>
      <w:r w:rsidRPr="00E00B35">
        <w:rPr>
          <w:szCs w:val="20"/>
          <w:lang w:val="pl-PL"/>
        </w:rPr>
        <w:t>Opracowano dokumentację projektową na budowę hali do tenisa i kortów tenisowych w Sportowej Szkole Podstawowej nr 72 przy ul.Trwałej – na kwotę 20 760 zł</w:t>
      </w:r>
    </w:p>
    <w:p w:rsidR="008C7751" w:rsidRPr="00E00B35" w:rsidRDefault="008C7751" w:rsidP="00BC64AB">
      <w:pPr>
        <w:numPr>
          <w:ilvl w:val="0"/>
          <w:numId w:val="154"/>
        </w:numPr>
        <w:spacing w:after="0" w:line="312" w:lineRule="auto"/>
        <w:ind w:left="426" w:hanging="426"/>
        <w:rPr>
          <w:szCs w:val="20"/>
          <w:lang w:val="pl-PL"/>
        </w:rPr>
      </w:pPr>
      <w:r w:rsidRPr="00E00B35">
        <w:rPr>
          <w:szCs w:val="20"/>
          <w:lang w:val="pl-PL"/>
        </w:rPr>
        <w:t>Zakończono przebudowę bloku sportowego z zapleczem sanitarno-szatniowym w Szkole Podstawowej nr 77 przy ul.Świętego Jerzego – na kwotę 1 558 619 zł</w:t>
      </w:r>
    </w:p>
    <w:p w:rsidR="008C7751" w:rsidRPr="00E00B35" w:rsidRDefault="008C7751" w:rsidP="00BC64AB">
      <w:pPr>
        <w:numPr>
          <w:ilvl w:val="0"/>
          <w:numId w:val="154"/>
        </w:numPr>
        <w:spacing w:after="0" w:line="312" w:lineRule="auto"/>
        <w:ind w:left="426" w:hanging="426"/>
        <w:rPr>
          <w:szCs w:val="20"/>
          <w:lang w:val="pl-PL"/>
        </w:rPr>
      </w:pPr>
      <w:r w:rsidRPr="00E00B35">
        <w:rPr>
          <w:szCs w:val="20"/>
          <w:lang w:val="pl-PL"/>
        </w:rPr>
        <w:t>Zakończono przebudowę bloku sportowego w Technikum nr 15 przy ul.Skwierzyńskiej – na kwotę 1 159 457 zł</w:t>
      </w:r>
    </w:p>
    <w:p w:rsidR="008C7751" w:rsidRPr="00E00B35" w:rsidRDefault="008C7751" w:rsidP="00BC64AB">
      <w:pPr>
        <w:numPr>
          <w:ilvl w:val="0"/>
          <w:numId w:val="154"/>
        </w:numPr>
        <w:spacing w:after="0" w:line="312" w:lineRule="auto"/>
        <w:ind w:left="426" w:hanging="426"/>
        <w:rPr>
          <w:szCs w:val="20"/>
          <w:lang w:val="pl-PL"/>
        </w:rPr>
      </w:pPr>
      <w:r w:rsidRPr="00E00B35">
        <w:rPr>
          <w:szCs w:val="20"/>
          <w:lang w:val="pl-PL"/>
        </w:rPr>
        <w:t>Zmodernizowano blok sportowy w Zespole Szkół nr 20 przy ul.Kłodnickiej – na kwotę 2 799 408 zł</w:t>
      </w:r>
    </w:p>
    <w:p w:rsidR="008C7751" w:rsidRPr="00E00B35" w:rsidRDefault="008C7751" w:rsidP="00BC64AB">
      <w:pPr>
        <w:numPr>
          <w:ilvl w:val="0"/>
          <w:numId w:val="154"/>
        </w:numPr>
        <w:spacing w:after="0" w:line="312" w:lineRule="auto"/>
        <w:ind w:left="426" w:hanging="426"/>
        <w:rPr>
          <w:szCs w:val="20"/>
          <w:lang w:val="pl-PL"/>
        </w:rPr>
      </w:pPr>
      <w:r w:rsidRPr="00E00B35">
        <w:rPr>
          <w:szCs w:val="20"/>
          <w:lang w:val="pl-PL"/>
        </w:rPr>
        <w:t>Opracowano dokumentację projektową dla Zespołu Szkół Ekonomiczno-Administracyjnych przy ul.Worcella w zakresie sali gimnastycznej z zapleczem, termomodernizacji dachu, dostosowania budynku B o obowiązujących przepisów przeciwpożarowych – na kwotę 92 100 zł</w:t>
      </w:r>
    </w:p>
    <w:p w:rsidR="008C7751" w:rsidRPr="00E00B35" w:rsidRDefault="008C7751" w:rsidP="00BC64AB">
      <w:pPr>
        <w:numPr>
          <w:ilvl w:val="0"/>
          <w:numId w:val="154"/>
        </w:numPr>
        <w:spacing w:after="0" w:line="312" w:lineRule="auto"/>
        <w:ind w:left="426" w:hanging="426"/>
        <w:rPr>
          <w:szCs w:val="20"/>
          <w:lang w:val="pl-PL"/>
        </w:rPr>
      </w:pPr>
      <w:r w:rsidRPr="00E00B35">
        <w:rPr>
          <w:szCs w:val="20"/>
          <w:lang w:val="pl-PL"/>
        </w:rPr>
        <w:t>Rozpoczęto budowę nowego bloku sportowego w Liceum Ogólnokształcącym nr XIII przy ul.Haukego-Bosaka – na kwotę 3 372 640 zł.</w:t>
      </w:r>
    </w:p>
    <w:p w:rsidR="008C7751" w:rsidRPr="00E00B35" w:rsidRDefault="008C7751" w:rsidP="00E00B35">
      <w:pPr>
        <w:spacing w:after="0" w:line="312" w:lineRule="auto"/>
        <w:rPr>
          <w:szCs w:val="20"/>
          <w:lang w:val="pl-PL"/>
        </w:rPr>
      </w:pPr>
    </w:p>
    <w:p w:rsidR="008C7751" w:rsidRPr="00E00B35" w:rsidRDefault="008C7751" w:rsidP="00E00B35">
      <w:pPr>
        <w:pStyle w:val="Akapitzlist"/>
        <w:spacing w:after="0" w:line="312" w:lineRule="auto"/>
        <w:ind w:left="0"/>
        <w:rPr>
          <w:szCs w:val="20"/>
          <w:lang w:val="pl-PL"/>
        </w:rPr>
      </w:pPr>
      <w:r w:rsidRPr="00E00B35">
        <w:rPr>
          <w:szCs w:val="20"/>
          <w:lang w:val="pl-PL"/>
        </w:rPr>
        <w:t xml:space="preserve">W ramach programu </w:t>
      </w:r>
      <w:r w:rsidRPr="00E00B35">
        <w:rPr>
          <w:b/>
          <w:szCs w:val="20"/>
          <w:lang w:val="pl-PL"/>
        </w:rPr>
        <w:t>„małych projektów inwestycyjnych i remontów”</w:t>
      </w:r>
      <w:r w:rsidRPr="00E00B35">
        <w:rPr>
          <w:szCs w:val="20"/>
          <w:lang w:val="pl-PL"/>
        </w:rPr>
        <w:t xml:space="preserve"> zrealizowano następujące inwestycje:</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Wyremontowano ścianę boczną budynku B Przedszkola nr 4 przy ul.Słowiczej – na kwotę 23 400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Wyremontowano taras w Przedszkolu nr 13 przy ul.Noskowskiego – na kwotę 63 345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projekt oświetlenia awaryjnego i ewakuacyjnego w Przedszkolu nr 21 przy ul.Korzeniowskiego – na kwotę 3 500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Wyremontowano ogrodzenie Przedszkola nr 22 przy ul.Stanisławowskiej – na kwotę 206 640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Wyremontowano jedną salę w Przedszkolu nr 33 przy ul.Łąkowej – na kwotę 24 315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Wyremontowano część elewacji Przedszkola nr 41 przy ul.Dobrej – na kwotę 31 365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Naprawiono elementy sterowania wentylatornią w Przedszkolu nr 58 przy ul.Szkockiej – na kwotę 1 476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Zainstalowano 4 sztuki drzwi przeciwpożarowych w Przedszkolu nr 66 przy ul.Łącznej – na kwotę 14 000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Zainstalowano wymiennik ciepła w kotle grzewczym w Przedszkolu nr 74 przy ul.Krzywej – na kwotę 1 046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Wyremontowano drogę dojazdową i chodniki do Przedszkola nr 106 przy ul.Sycowskiej – na kwotę 230 777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Uzupełniono docieplenie dachu Przedszkola nr 108 przy ul.Drukarskiej – na kwotę 18 000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podgrzewacz ciepła w Przedszkolu nr110 przy ul.Gołężyckiej – na kwotę 5 363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lastRenderedPageBreak/>
        <w:t>Naprawiono przyłącze wodociągowe do budynku Przedszkola nr 136 przy ul.Glinianej – na kwotę 14 000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Naprawiono wiązary dachowe w Przedszkolu nr 141 przy ul.Hallera – na kwotę 143 198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Wyremontowano łazienki w dwóch salach Przedszkola nr 146 przy ul.Haukego-Bosaka – na kwotę 135 300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Przestawiono ogrodzenie do granic prawnych działki Zespołu Szkolno-Przedszkolnego nr 4 przy ul.Sołtysowickiej – na kwotę 21 584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piłkochwyty w Zespole Szkolno-Przedszkolnym nr 4 przy ul.Sołtysowickiej – na kwotę 6 027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Naprawiono nawierzchnię gumową na placu zabaw w Zespole Szkolno-Przedszkolnym nr 7 przy ul.Koszykarskiej – na kwotę 2 214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Zamontowano detektor gazu w Przedszkolu nr 131 przy ul.Wiejskiej – na kwotę 6 150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Naprawiono dach w Zespole Szkolno-Przedszkolnym nr 9 przy ul.Morelowskiego – na kwotę 18 500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Zlikwidowano przyczyny wnikania wód zewnętrznych do piwnic budynku Zespołu Szkolno-Przedszkolnego nr 10 przy ul.Rumiankowej wraz z remontem zalanych pomieszczeń – na kwotę 401 595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część ogrodzenia w Zespole Szkolno-Przedszkolnym nr 10 przy ul.Rumiankowej – na kwotę 40 836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Wyremontowano kanały, wymieniono rurociągi ciepłej wody, cyrkulacji i kanalizacji w szkole oraz wyremontowano taras w przedszkolu w Zespole Szkolno-Przedszkolnym nr 13 przy pl.Muzealnym – 262 450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Naprawiono boisko w Zespole Szkolno-Przedszkolnym nr 12 przy ul.Suwalskiej – na kwotę 4 305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ogrodzenie wraz z bramami wjazdowymi w Zespole Szkolno-Przedszkolnym nr 14 przy ul.Częstochowskiej – na kwotę 195 570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Wyremontowano zadaszenie nad aulą oraz wyremontowano salę wielofunkcyjną w Zespole Szkolno-Przedszkolnym nr 17 przy ul.Wieczystej – na kwotę 118 880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folię basenową oraz wyremontowano posadzkę plaży i natrysków w budynku Zespołu Szkolno-Przedszkolnego nr 18 przy ul.Poznańskiej – na kwotę 362 862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część ogrodzenia terenu w Zespole Szkolno-Przedszkolnym nr 18 przy ul.Poznańskiej – na kwotę 72 619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Naprawiono kotłownię gazową w Zespole Szkolno-Przedszkolnym nr 22 przy ul.Dembowskiego – na kwotę 6 027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wymianę przyłącza wody w Centrum Kształcenia Ustawicznego przy ul.Swobodnej – na kwotę 48 585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Naprawiono piłkochwyty , sześć ławek i wymieniono dwie bramki do piłki ręcznej na boisku w Liceum Ogólnokształcącym nr IV przy ul.Świstackiego – na kwotę 32 718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uszkodzony kabel zasilający w Liceum Ogólnokształcącym nr XIV przy ul.Brucknera – na kwotę 33 000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lastRenderedPageBreak/>
        <w:t>Wykonano remont sanitariatów w Liceum Ogólnokształcącym nr XV przy ul.Wojrowickiej – na kwotę 446 330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renowację podłóg oraz remont oświetlenia w salach lekcyjnych jako zalecenie Państwowego Powiatowego Inspektora Sanitarnego w Specjalnym Ośrodku Szkolno-Wychowawczym nr 11 przy ul.Kamiennej – na kwotę 159 408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remont części bloku sportowego w Zespole Szkół Gastronomicznych przy ul.Kamiennej – na kwotę 147 846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roboty budowlane w zakresie zewnętrznej kanalizacji deszczowej w Zespole Szkół nr 6 przy ul.Nowodworskiej – na kwotę 66 307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remont tarasu w Zespole Szkół nr 9 przy ul.Krajewskiego  - na kwotę 98 400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roboty budowlano-montażowe po zalaniu w Zespole Szkół nr 16 przy ul.Głogowskiej – na kwotę 26 800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Naprawiono fragment nawierzchni w Szkole Podstawowej nr 3 przy ul.Bobrzej – na kwotę 2 337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remont ogrodzenia w Szkole Podstawowej nr 9 przy ul.Nyskiej – na kwotę 114 267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Wyremontowano schody do świetlicy i wejściowe do budynku w Szkole Podstawowej nr 51 przy ul.Krępickiej – na kwotę 71 000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część ogrodzenia w Szkole Podstawowej nr 68 przy ul.Szczęśliwej – na kwotę 158 670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drzwi wewnętrzne przeciwpożarowe w budynku Szkoły Podstawowej nr 71 przy ul.Kołłątaja – na kwotę 20 279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piłkochwyty w Szkole Podstawowej nr 78 przy ul.Jedności Narodowej – na kwote 7 231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remont Sali gimnastycznej w Szkole Podstawowej nr 80 przy ul.Polnej – na kwotę 137 909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dwie bramki w Szkole Podstawowej nr 81 przy ul.Jastrzębiej – na kwotę 6 050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remont sali gimnastycznej w Szkole Podstawowej nr 96 przy ul.Krakowskiej – na kwotę 157 200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remont schodów wejściowych do Szkoły Podstawowej nr 98 przy ul.Sycowskiej – na kwotę 73 185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czyszczenie i filmowanie kanalizacji sanitarnej podposadzkowej w Szkole Podstawowej nr 99 przy ul.Głubczyckiej – na kwotę 10 300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Wykonano roboty remontowe zewnętrznych sieci sanitarnych w Szkole Podstawowej nr 71 przy ul.Podwale, w Szkole Podstawowej nr 12 przy ul.Janiszewskiego i w Zespole Szkół nr 8 przy ul.Reja – na kwotę 25 700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oprawy oświetleniowe w klasach i salach gimnastycznych w 11 placówkach – na kwotę 185 271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zawory grzejnikowe w pięciu placówkach – na kwotę 160 756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Wymieniono zewnętrzną instalację wodociągową w dwóch placówkach – na kwotę 26 500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lastRenderedPageBreak/>
        <w:t>Wykonano naprawy central wentylacyjnych w dwunastu placówkach – na kwotę 136 184 zł.</w:t>
      </w:r>
    </w:p>
    <w:p w:rsidR="008C7751" w:rsidRPr="00E00B35" w:rsidRDefault="008C7751" w:rsidP="00BC64AB">
      <w:pPr>
        <w:numPr>
          <w:ilvl w:val="0"/>
          <w:numId w:val="155"/>
        </w:numPr>
        <w:spacing w:after="0" w:line="312" w:lineRule="auto"/>
        <w:ind w:left="426" w:hanging="426"/>
        <w:rPr>
          <w:szCs w:val="20"/>
          <w:lang w:val="pl-PL"/>
        </w:rPr>
      </w:pPr>
      <w:r w:rsidRPr="00E00B35">
        <w:rPr>
          <w:szCs w:val="20"/>
          <w:lang w:val="pl-PL"/>
        </w:rPr>
        <w:t>W ramach „Programu modernizacji systemu odwodnienia miasta” oraz programu „Dostawa i montaż stacji wody pitnej w placówkach oświatowych we Wrocławiu” zamontowano łącznie w 14 placówkach oświatowych poidełka - stacje wody pitnej za kwotę 123 142 zł.</w:t>
      </w:r>
    </w:p>
    <w:p w:rsidR="00971361" w:rsidRPr="00E00B35" w:rsidRDefault="00971361" w:rsidP="00E00B35">
      <w:pPr>
        <w:spacing w:after="0" w:line="312" w:lineRule="auto"/>
        <w:ind w:left="426"/>
        <w:rPr>
          <w:szCs w:val="20"/>
          <w:lang w:val="pl-PL"/>
        </w:rPr>
      </w:pPr>
    </w:p>
    <w:p w:rsidR="008C7751" w:rsidRPr="00E00B35" w:rsidRDefault="008C7751" w:rsidP="00E00B35">
      <w:pPr>
        <w:tabs>
          <w:tab w:val="left" w:pos="-993"/>
        </w:tabs>
        <w:spacing w:after="0" w:line="312" w:lineRule="auto"/>
        <w:rPr>
          <w:bCs/>
          <w:color w:val="000000"/>
          <w:szCs w:val="20"/>
          <w:lang w:val="pl-PL"/>
        </w:rPr>
      </w:pPr>
      <w:r w:rsidRPr="00E00B35">
        <w:rPr>
          <w:bCs/>
          <w:color w:val="000000"/>
          <w:szCs w:val="20"/>
          <w:lang w:val="pl-PL"/>
        </w:rPr>
        <w:t xml:space="preserve">W ramach środków przekazanych placówkom: </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100 placówek otrzymało środki w łącznej kwocie ok. 14 650 000 zł na remonty i inwestycje. W ramach tej kwoty placówki samodzielnie wykonały m.in.: remonty podłóg, remonty sal dydaktycznych, wymianę stolarki okiennej i drzwiowej, remonty sanitariatów, remonty ogrodzenia, remonty bloków żywienia, naprawy placów zabaw. We wszystkich placówkach wykonano naprawy bieżące i usunięto w sumie 1 384 awarie za kwoty:</w:t>
      </w:r>
    </w:p>
    <w:p w:rsidR="008C7751" w:rsidRPr="00E00B35" w:rsidRDefault="008C7751" w:rsidP="00E00B35">
      <w:pPr>
        <w:pStyle w:val="Akapitzlist"/>
        <w:numPr>
          <w:ilvl w:val="1"/>
          <w:numId w:val="9"/>
        </w:numPr>
        <w:spacing w:after="0" w:line="312" w:lineRule="auto"/>
        <w:ind w:left="851" w:hanging="425"/>
        <w:rPr>
          <w:szCs w:val="20"/>
          <w:lang w:val="pl-PL"/>
        </w:rPr>
      </w:pPr>
      <w:r w:rsidRPr="00E00B35">
        <w:rPr>
          <w:szCs w:val="20"/>
          <w:lang w:val="pl-PL"/>
        </w:rPr>
        <w:t xml:space="preserve">roboty budowlane: 699 996 zł, </w:t>
      </w:r>
    </w:p>
    <w:p w:rsidR="008C7751" w:rsidRPr="00E00B35" w:rsidRDefault="008C7751" w:rsidP="00E00B35">
      <w:pPr>
        <w:pStyle w:val="Akapitzlist"/>
        <w:numPr>
          <w:ilvl w:val="1"/>
          <w:numId w:val="9"/>
        </w:numPr>
        <w:spacing w:after="0" w:line="312" w:lineRule="auto"/>
        <w:ind w:left="851" w:hanging="425"/>
        <w:rPr>
          <w:szCs w:val="20"/>
          <w:lang w:val="pl-PL"/>
        </w:rPr>
      </w:pPr>
      <w:r w:rsidRPr="00E00B35">
        <w:rPr>
          <w:szCs w:val="20"/>
          <w:lang w:val="pl-PL"/>
        </w:rPr>
        <w:t xml:space="preserve">roboty dekarskie: 636 868 zł, </w:t>
      </w:r>
    </w:p>
    <w:p w:rsidR="008C7751" w:rsidRPr="00E00B35" w:rsidRDefault="008C7751" w:rsidP="00E00B35">
      <w:pPr>
        <w:pStyle w:val="Akapitzlist"/>
        <w:numPr>
          <w:ilvl w:val="1"/>
          <w:numId w:val="9"/>
        </w:numPr>
        <w:spacing w:after="0" w:line="312" w:lineRule="auto"/>
        <w:ind w:left="851" w:hanging="425"/>
        <w:rPr>
          <w:szCs w:val="20"/>
          <w:lang w:val="pl-PL"/>
        </w:rPr>
      </w:pPr>
      <w:r w:rsidRPr="00E00B35">
        <w:rPr>
          <w:szCs w:val="20"/>
          <w:lang w:val="pl-PL"/>
        </w:rPr>
        <w:t xml:space="preserve">roboty elektryczne: 649 810 zł, </w:t>
      </w:r>
    </w:p>
    <w:p w:rsidR="008C7751" w:rsidRPr="00E00B35" w:rsidRDefault="008C7751" w:rsidP="00E00B35">
      <w:pPr>
        <w:pStyle w:val="Akapitzlist"/>
        <w:numPr>
          <w:ilvl w:val="1"/>
          <w:numId w:val="9"/>
        </w:numPr>
        <w:spacing w:after="0" w:line="312" w:lineRule="auto"/>
        <w:ind w:left="851" w:hanging="425"/>
        <w:rPr>
          <w:szCs w:val="20"/>
          <w:lang w:val="pl-PL"/>
        </w:rPr>
      </w:pPr>
      <w:r w:rsidRPr="00E00B35">
        <w:rPr>
          <w:szCs w:val="20"/>
          <w:lang w:val="pl-PL"/>
        </w:rPr>
        <w:t xml:space="preserve">roboty sanitarne wewnętrzne: 1 244 280 zł, </w:t>
      </w:r>
    </w:p>
    <w:p w:rsidR="008C7751" w:rsidRPr="00E00B35" w:rsidRDefault="008C7751" w:rsidP="00E00B35">
      <w:pPr>
        <w:pStyle w:val="Akapitzlist"/>
        <w:numPr>
          <w:ilvl w:val="1"/>
          <w:numId w:val="9"/>
        </w:numPr>
        <w:spacing w:after="0" w:line="312" w:lineRule="auto"/>
        <w:ind w:left="851" w:hanging="425"/>
        <w:rPr>
          <w:szCs w:val="20"/>
          <w:lang w:val="pl-PL"/>
        </w:rPr>
      </w:pPr>
      <w:r w:rsidRPr="00E00B35">
        <w:rPr>
          <w:szCs w:val="20"/>
          <w:lang w:val="pl-PL"/>
        </w:rPr>
        <w:t>roboty s</w:t>
      </w:r>
      <w:r w:rsidR="00971361" w:rsidRPr="00E00B35">
        <w:rPr>
          <w:szCs w:val="20"/>
          <w:lang w:val="pl-PL"/>
        </w:rPr>
        <w:t>anitarne zewnętrzne: 649 882 zł.</w:t>
      </w:r>
    </w:p>
    <w:p w:rsidR="00971361" w:rsidRPr="00E00B35" w:rsidRDefault="00971361" w:rsidP="00E00B35">
      <w:pPr>
        <w:pStyle w:val="Akapitzlist"/>
        <w:spacing w:after="0" w:line="312" w:lineRule="auto"/>
        <w:ind w:left="851"/>
        <w:rPr>
          <w:szCs w:val="20"/>
          <w:lang w:val="pl-PL"/>
        </w:rPr>
      </w:pPr>
    </w:p>
    <w:p w:rsidR="008C7751" w:rsidRPr="00E00B35" w:rsidRDefault="008C7751" w:rsidP="00E00B35">
      <w:pPr>
        <w:widowControl w:val="0"/>
        <w:suppressAutoHyphens/>
        <w:spacing w:after="0" w:line="312" w:lineRule="auto"/>
        <w:rPr>
          <w:rFonts w:eastAsia="SimSun"/>
          <w:color w:val="000000"/>
          <w:kern w:val="2"/>
          <w:szCs w:val="20"/>
          <w:lang w:val="pl-PL" w:eastAsia="hi-IN"/>
        </w:rPr>
      </w:pPr>
      <w:r w:rsidRPr="00E00B35">
        <w:rPr>
          <w:rFonts w:eastAsia="SimSun"/>
          <w:color w:val="000000"/>
          <w:kern w:val="2"/>
          <w:szCs w:val="20"/>
          <w:lang w:val="pl-PL" w:eastAsia="hi-IN"/>
        </w:rPr>
        <w:t>W ramach programu „Budowa boisk piłkarskich o sztucznych nawierzchniach” wykonano prace przy budowie boisk za łączną kwotę 2 461 267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opracowano dokumentację i rozpoczęto budowę boiska piłkarskiego o sztucznej nawierzchni dla potrzeb Liceum Ogólnokształcącego nr I przy ul. Poniatowskiego – 405 323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opracowano dokumentację dotyczącą budowy boiska piłkarskiego o sztucznej nawierzchni dla potrzeb Liceum Ogólnokształcącego nr XII przy ul. Orląt Lwowskich – 52 890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 xml:space="preserve">rozpoczęto budowę boiska piłkarskiego o sztucznej nawierzchni dla potrzeb Specjalnego Ośrodka Szkolno-Wychowawczego nr 10 przy ul. Parkowej – 2 460 zł, </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 xml:space="preserve">wykonano renowację boiska o sztucznej nawierzchni w Zespole Szkół nr 3 przy </w:t>
      </w:r>
      <w:r w:rsidRPr="00E00B35">
        <w:rPr>
          <w:szCs w:val="20"/>
          <w:lang w:val="pl-PL"/>
        </w:rPr>
        <w:br/>
        <w:t xml:space="preserve">ul. Szkockiej – 296 984 zł, </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 xml:space="preserve">wykonano renowację boiska o sztucznej nawierzchni w Szkole Podstawowej nr 14 przy ul. Zachodniej – 178 000 zł, </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wykonano renowację boiska na terenie Szkoły Podstawowej nr 28 przy ul. Greckiej - 276 369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 xml:space="preserve">wykonano renowację nawierzchni boiska do piłki nożnej ze sztucznej trawy </w:t>
      </w:r>
      <w:r w:rsidRPr="00E00B35">
        <w:rPr>
          <w:szCs w:val="20"/>
          <w:lang w:val="pl-PL"/>
        </w:rPr>
        <w:br/>
        <w:t>w Szkole Podstawowej nr 37 przy ul. Sarbinowskiej – 495 126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wykonano nawierzchnię bezpieczną placu zabaw na terenie Szkoły Podstawowej nr 42 przy ul. Wałbrzyskiej za kwotę 35 200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wykonano renowację boiska na terenie Szkoły Podstawowej nr 80 przy ul. Polnej za kwotę 296 230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przebudowano boisko do koszykówki dla potrzeb ZSP 17 ul. Wieczysta – 396 240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lastRenderedPageBreak/>
        <w:t>wykonano fragment nowego piłkochwytu i naprawiono pozostałe piłkochwyty na boisku ZSP 6 ul. Gałczyńskiego – 26 445 zł.</w:t>
      </w:r>
    </w:p>
    <w:p w:rsidR="00971361" w:rsidRPr="00E00B35" w:rsidRDefault="00971361" w:rsidP="00E00B35">
      <w:pPr>
        <w:pStyle w:val="Akapitzlist"/>
        <w:spacing w:after="0" w:line="312" w:lineRule="auto"/>
        <w:ind w:left="357"/>
        <w:rPr>
          <w:szCs w:val="20"/>
          <w:lang w:val="pl-PL"/>
        </w:rPr>
      </w:pPr>
    </w:p>
    <w:p w:rsidR="008C7751" w:rsidRPr="00E00B35" w:rsidRDefault="008C7751" w:rsidP="00E00B35">
      <w:pPr>
        <w:tabs>
          <w:tab w:val="left" w:pos="-900"/>
        </w:tabs>
        <w:spacing w:after="0" w:line="312" w:lineRule="auto"/>
        <w:rPr>
          <w:color w:val="000000"/>
          <w:szCs w:val="20"/>
          <w:lang w:val="pl-PL"/>
        </w:rPr>
      </w:pPr>
      <w:r w:rsidRPr="00E00B35">
        <w:rPr>
          <w:color w:val="000000"/>
          <w:szCs w:val="20"/>
          <w:lang w:val="pl-PL"/>
        </w:rPr>
        <w:t xml:space="preserve">W ramach realizacji programu </w:t>
      </w:r>
      <w:r w:rsidRPr="00E00B35">
        <w:rPr>
          <w:bCs/>
          <w:color w:val="000000"/>
          <w:szCs w:val="20"/>
          <w:lang w:val="pl-PL"/>
        </w:rPr>
        <w:t>Wrocławski</w:t>
      </w:r>
      <w:r w:rsidRPr="00E00B35">
        <w:rPr>
          <w:color w:val="000000"/>
          <w:szCs w:val="20"/>
          <w:lang w:val="pl-PL"/>
        </w:rPr>
        <w:t xml:space="preserve"> Budżet Obywatelski rozbudowano infrastrukturę sportową i rekreacyjną za łączną kwotę 1 269 889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budowa placu zabaw dla Maślic Małych na terenie ZSP-12 ul. Lubelska (Projekt nr 250) - 277 980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renowacja zabytkowych herbów miasta na elewacjach placówek oświatowych (Projekt nr 413) - 113 000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przebudowano boisko oraz wykonano tor do jazdy na rolkach przy Szkole Podstawowej nr 68 ul. Szczęśliwa (Etap 1. Projekt WBO 2019 nr 269) – 188 699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rozpoczęto budowę Wymarzonego placu zabaw i rekreacji przy Szkole Podstawowej nr 107 ul. B. Prusa 64 (Projekt WBO 2018 nr 204) - 648 210 zł,</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opracowano dokumentację na budowę integracyjnego placu zabaw przy Zespole Szkół nr 1 ul. Ignuta (Projekt WBO 2019 nr 255) – 42 000 zł.</w:t>
      </w:r>
    </w:p>
    <w:p w:rsidR="00971361" w:rsidRPr="00E00B35" w:rsidRDefault="00971361" w:rsidP="00E00B35">
      <w:pPr>
        <w:tabs>
          <w:tab w:val="left" w:pos="-900"/>
        </w:tabs>
        <w:spacing w:after="0" w:line="312" w:lineRule="auto"/>
        <w:rPr>
          <w:color w:val="000000"/>
          <w:szCs w:val="20"/>
          <w:lang w:val="pl-PL"/>
        </w:rPr>
      </w:pPr>
    </w:p>
    <w:p w:rsidR="008C7751" w:rsidRPr="00E00B35" w:rsidRDefault="008C7751" w:rsidP="00E00B35">
      <w:pPr>
        <w:tabs>
          <w:tab w:val="left" w:pos="-900"/>
        </w:tabs>
        <w:spacing w:after="0" w:line="312" w:lineRule="auto"/>
        <w:rPr>
          <w:color w:val="000000"/>
          <w:szCs w:val="20"/>
        </w:rPr>
      </w:pPr>
      <w:r w:rsidRPr="00E00B35">
        <w:rPr>
          <w:color w:val="000000"/>
          <w:szCs w:val="20"/>
          <w:lang w:val="pl-PL"/>
        </w:rPr>
        <w:t xml:space="preserve">W ramach realizacji programu </w:t>
      </w:r>
      <w:r w:rsidRPr="00E00B35">
        <w:rPr>
          <w:bCs/>
          <w:color w:val="000000"/>
          <w:szCs w:val="20"/>
          <w:lang w:val="pl-PL"/>
        </w:rPr>
        <w:t xml:space="preserve">Inicjatyw Rad Osiedli </w:t>
      </w:r>
      <w:r w:rsidRPr="00E00B35">
        <w:rPr>
          <w:color w:val="000000"/>
          <w:szCs w:val="20"/>
          <w:lang w:val="pl-PL"/>
        </w:rPr>
        <w:t xml:space="preserve">przebudowano pomieszczenia na potrzeby wydzielenia pomieszczenia dla Rady Osiedla przy Szkole Podstawowej nr 4 ul. </w:t>
      </w:r>
      <w:r w:rsidRPr="00E00B35">
        <w:rPr>
          <w:color w:val="000000"/>
          <w:szCs w:val="20"/>
        </w:rPr>
        <w:t xml:space="preserve">Powstańców Śląskich za kwotę 826 000 zł. </w:t>
      </w:r>
    </w:p>
    <w:p w:rsidR="00544448" w:rsidRPr="00E00B35" w:rsidRDefault="00544448" w:rsidP="00E00B35">
      <w:pPr>
        <w:tabs>
          <w:tab w:val="left" w:pos="-900"/>
        </w:tabs>
        <w:spacing w:after="0" w:line="312" w:lineRule="auto"/>
        <w:rPr>
          <w:color w:val="000000"/>
          <w:szCs w:val="20"/>
        </w:rPr>
      </w:pPr>
    </w:p>
    <w:p w:rsidR="008C7751" w:rsidRPr="00E00B35" w:rsidRDefault="008C7751" w:rsidP="00E00B35">
      <w:pPr>
        <w:pStyle w:val="Nagwek4"/>
        <w:spacing w:before="0" w:after="0" w:line="312" w:lineRule="auto"/>
        <w:rPr>
          <w:sz w:val="20"/>
          <w:szCs w:val="20"/>
          <w:lang w:val="pl-PL"/>
        </w:rPr>
      </w:pPr>
      <w:bookmarkStart w:id="67" w:name="_Toc72411087"/>
      <w:r w:rsidRPr="00E00B35">
        <w:rPr>
          <w:sz w:val="20"/>
          <w:szCs w:val="20"/>
          <w:lang w:val="pl-PL"/>
        </w:rPr>
        <w:t>Zarządzanie majątkiem oświatowym</w:t>
      </w:r>
      <w:bookmarkEnd w:id="67"/>
    </w:p>
    <w:p w:rsidR="008C7751" w:rsidRPr="00E00B35" w:rsidRDefault="008C7751" w:rsidP="00E00B35">
      <w:pPr>
        <w:autoSpaceDE w:val="0"/>
        <w:autoSpaceDN w:val="0"/>
        <w:adjustRightInd w:val="0"/>
        <w:spacing w:after="0" w:line="312" w:lineRule="auto"/>
        <w:rPr>
          <w:rFonts w:eastAsia="MS Mincho" w:cs="Verdana"/>
          <w:color w:val="000000"/>
          <w:szCs w:val="20"/>
          <w:lang w:val="pl-PL"/>
        </w:rPr>
      </w:pPr>
      <w:r w:rsidRPr="00E00B35">
        <w:rPr>
          <w:rFonts w:eastAsia="MS Mincho" w:cs="Verdana"/>
          <w:color w:val="000000"/>
          <w:szCs w:val="20"/>
          <w:lang w:val="pl-PL"/>
        </w:rPr>
        <w:t xml:space="preserve">W ramach przedsięwzięć mających na celu racjonalizację </w:t>
      </w:r>
      <w:r w:rsidRPr="00E00B35">
        <w:rPr>
          <w:rFonts w:eastAsia="MS Mincho" w:cs="Verdana"/>
          <w:bCs/>
          <w:color w:val="000000"/>
          <w:szCs w:val="20"/>
          <w:lang w:val="pl-PL"/>
        </w:rPr>
        <w:t>zużycia mediów w placówkach oświatowych</w:t>
      </w:r>
      <w:r w:rsidRPr="00E00B35">
        <w:rPr>
          <w:rFonts w:eastAsia="MS Mincho" w:cs="Verdana"/>
          <w:color w:val="000000"/>
          <w:szCs w:val="20"/>
          <w:lang w:val="pl-PL"/>
        </w:rPr>
        <w:t xml:space="preserve"> kontynuowano program </w:t>
      </w:r>
      <w:r w:rsidRPr="00E00B35">
        <w:rPr>
          <w:rFonts w:eastAsia="MS Mincho" w:cs="Verdana"/>
          <w:bCs/>
          <w:color w:val="000000"/>
          <w:szCs w:val="20"/>
          <w:lang w:val="pl-PL"/>
        </w:rPr>
        <w:t xml:space="preserve">„Zdalnego Monitoringu Zużycia Energii i Mediów”. </w:t>
      </w:r>
      <w:r w:rsidRPr="00E00B35">
        <w:rPr>
          <w:rFonts w:eastAsia="MS Mincho" w:cs="Verdana"/>
          <w:color w:val="000000"/>
          <w:szCs w:val="20"/>
          <w:lang w:val="pl-PL"/>
        </w:rPr>
        <w:t xml:space="preserve">W 2020 roku programem były objęte 202 placówki. Program umożliwił placówkom bieżące monitorowanie zużycia energii i wody oraz dostosowanie energii zamówionej do faktycznych potrzeb placówki. </w:t>
      </w:r>
    </w:p>
    <w:p w:rsidR="008C7751" w:rsidRPr="00E00B35" w:rsidRDefault="008C7751" w:rsidP="00E00B35">
      <w:pPr>
        <w:autoSpaceDE w:val="0"/>
        <w:autoSpaceDN w:val="0"/>
        <w:adjustRightInd w:val="0"/>
        <w:spacing w:after="0" w:line="312" w:lineRule="auto"/>
        <w:rPr>
          <w:rFonts w:eastAsia="MS Mincho" w:cs="Verdana"/>
          <w:color w:val="000000"/>
          <w:szCs w:val="20"/>
          <w:lang w:val="pl-PL"/>
        </w:rPr>
      </w:pPr>
      <w:r w:rsidRPr="00E00B35">
        <w:rPr>
          <w:rFonts w:eastAsia="MS Mincho" w:cs="Verdana"/>
          <w:color w:val="000000"/>
          <w:szCs w:val="20"/>
          <w:lang w:val="pl-PL"/>
        </w:rPr>
        <w:t xml:space="preserve">Wspólnie z Biurem Sportu i Rekreacji realizowano program </w:t>
      </w:r>
      <w:r w:rsidRPr="00E00B35">
        <w:rPr>
          <w:rFonts w:eastAsia="MS Mincho" w:cs="Verdana"/>
          <w:bCs/>
          <w:color w:val="000000"/>
          <w:szCs w:val="20"/>
          <w:lang w:val="pl-PL"/>
        </w:rPr>
        <w:t>„Bezpłatnego udostępniania organizacjom pozarządowym sal gimnastycznych przez szkoły prowadzone przez miasto Wrocław, w godzinach pozalekcyjnych”.</w:t>
      </w:r>
      <w:r w:rsidRPr="00E00B35">
        <w:rPr>
          <w:rFonts w:eastAsia="MS Mincho" w:cs="Verdana"/>
          <w:i/>
          <w:iCs/>
          <w:color w:val="000000"/>
          <w:szCs w:val="20"/>
          <w:lang w:val="pl-PL"/>
        </w:rPr>
        <w:t xml:space="preserve"> </w:t>
      </w:r>
      <w:r w:rsidRPr="00E00B35">
        <w:rPr>
          <w:rFonts w:eastAsia="MS Mincho" w:cs="Verdana"/>
          <w:color w:val="000000"/>
          <w:szCs w:val="20"/>
          <w:lang w:val="pl-PL"/>
        </w:rPr>
        <w:t>Programem objęte są szkoły podstawowe i ponadpodstawowe. Do programu zgłosiło się ok. 100 placówek oświatowych.</w:t>
      </w:r>
    </w:p>
    <w:p w:rsidR="008C7751" w:rsidRPr="00E00B35" w:rsidRDefault="008C7751" w:rsidP="00E00B35">
      <w:pPr>
        <w:autoSpaceDE w:val="0"/>
        <w:autoSpaceDN w:val="0"/>
        <w:adjustRightInd w:val="0"/>
        <w:spacing w:after="0" w:line="312" w:lineRule="auto"/>
        <w:rPr>
          <w:rFonts w:eastAsia="MS Mincho" w:cs="Verdana"/>
          <w:color w:val="000000"/>
          <w:szCs w:val="20"/>
          <w:lang w:val="pl-PL"/>
        </w:rPr>
      </w:pPr>
      <w:r w:rsidRPr="00E00B35">
        <w:rPr>
          <w:rFonts w:eastAsia="MS Mincho" w:cs="Verdana"/>
          <w:color w:val="000000"/>
          <w:szCs w:val="20"/>
          <w:lang w:val="pl-PL"/>
        </w:rPr>
        <w:t>Umowy dotyczące udostępnienia nieruchomości bądź jej części zawarte przez jednostki oświaty - akceptacji podlegało łącznie 1 575.</w:t>
      </w:r>
    </w:p>
    <w:p w:rsidR="00A5627F" w:rsidRPr="00E00B35" w:rsidRDefault="00A5627F" w:rsidP="00E00B35">
      <w:pPr>
        <w:pStyle w:val="Nagwek4"/>
        <w:spacing w:before="0" w:after="0" w:line="312" w:lineRule="auto"/>
        <w:rPr>
          <w:sz w:val="20"/>
          <w:szCs w:val="20"/>
          <w:lang w:val="pl-PL"/>
        </w:rPr>
      </w:pPr>
      <w:bookmarkStart w:id="68" w:name="_Toc72411088"/>
    </w:p>
    <w:p w:rsidR="008C7751" w:rsidRPr="00E00B35" w:rsidRDefault="008C7751" w:rsidP="00E00B35">
      <w:pPr>
        <w:pStyle w:val="Nagwek4"/>
        <w:spacing w:before="0" w:after="0" w:line="312" w:lineRule="auto"/>
        <w:rPr>
          <w:sz w:val="20"/>
          <w:szCs w:val="20"/>
          <w:lang w:val="pl-PL"/>
        </w:rPr>
      </w:pPr>
      <w:r w:rsidRPr="00E00B35">
        <w:rPr>
          <w:sz w:val="20"/>
          <w:szCs w:val="20"/>
          <w:lang w:val="pl-PL"/>
        </w:rPr>
        <w:t>Podnoszenie efektywności zarządzania szkołami i placówkami oświatowymi</w:t>
      </w:r>
      <w:bookmarkEnd w:id="68"/>
    </w:p>
    <w:p w:rsidR="008C7751" w:rsidRPr="00E00B35" w:rsidRDefault="008C7751" w:rsidP="00E00B35">
      <w:pPr>
        <w:tabs>
          <w:tab w:val="left" w:pos="-900"/>
          <w:tab w:val="left" w:pos="-720"/>
          <w:tab w:val="left" w:pos="-360"/>
        </w:tabs>
        <w:autoSpaceDE w:val="0"/>
        <w:autoSpaceDN w:val="0"/>
        <w:adjustRightInd w:val="0"/>
        <w:spacing w:after="0" w:line="312" w:lineRule="auto"/>
        <w:rPr>
          <w:rFonts w:eastAsia="MS Mincho" w:cs="Verdana"/>
          <w:color w:val="000000"/>
          <w:szCs w:val="20"/>
          <w:lang w:val="pl-PL"/>
        </w:rPr>
      </w:pPr>
      <w:r w:rsidRPr="00E00B35">
        <w:rPr>
          <w:rFonts w:eastAsia="MS Mincho" w:cs="Verdana"/>
          <w:color w:val="000000"/>
          <w:szCs w:val="20"/>
          <w:lang w:val="pl-PL"/>
        </w:rPr>
        <w:t xml:space="preserve">Kontynuowano świadczenie usług w ramach </w:t>
      </w:r>
      <w:r w:rsidRPr="00E00B35">
        <w:rPr>
          <w:rFonts w:eastAsia="MS Mincho" w:cs="Verdana"/>
          <w:bCs/>
          <w:color w:val="000000"/>
          <w:szCs w:val="20"/>
          <w:lang w:val="pl-PL"/>
        </w:rPr>
        <w:t>systemu telefonii cyfrowej VoIP</w:t>
      </w:r>
      <w:r w:rsidRPr="00E00B35">
        <w:rPr>
          <w:rFonts w:eastAsia="MS Mincho" w:cs="Verdana"/>
          <w:color w:val="000000"/>
          <w:szCs w:val="20"/>
          <w:lang w:val="pl-PL"/>
        </w:rPr>
        <w:t xml:space="preserve"> we wszystkich placówkach oświatowych prowadzonych przez Gminę Wrocław</w:t>
      </w:r>
      <w:r w:rsidRPr="00E00B35">
        <w:rPr>
          <w:rFonts w:eastAsia="MS Mincho" w:cs="Verdana"/>
          <w:b/>
          <w:bCs/>
          <w:color w:val="000000"/>
          <w:szCs w:val="20"/>
          <w:lang w:val="pl-PL"/>
        </w:rPr>
        <w:t xml:space="preserve">. </w:t>
      </w:r>
      <w:r w:rsidRPr="00E00B35">
        <w:rPr>
          <w:rFonts w:eastAsia="MS Mincho" w:cs="Verdana"/>
          <w:color w:val="000000"/>
          <w:szCs w:val="20"/>
          <w:lang w:val="pl-PL"/>
        </w:rPr>
        <w:t xml:space="preserve">Telefonia VoIP umożliwia wykonywanie bezpłatnych połączeń do innych placówek oświatowych, Urzędu Miejskiego Wrocławia, CUI oraz płatnych połączeń na zewnątrz sieci. Świadczenie usług kontynuowano na podstawie </w:t>
      </w:r>
      <w:r w:rsidRPr="00E00B35">
        <w:rPr>
          <w:color w:val="000000"/>
          <w:szCs w:val="20"/>
          <w:lang w:val="pl-PL"/>
        </w:rPr>
        <w:t xml:space="preserve">zawartego dniu 28.07.2014 r. Aneksu nr 1008/14/XHY/J056 oraz zawartego w dniu 28.09.2019 r. Aneksu nr 2018/19/GLI/0054 </w:t>
      </w:r>
      <w:r w:rsidRPr="00E00B35">
        <w:rPr>
          <w:rFonts w:eastAsia="MS Mincho" w:cs="Verdana"/>
          <w:color w:val="000000"/>
          <w:szCs w:val="20"/>
          <w:lang w:val="pl-PL"/>
        </w:rPr>
        <w:t>do umowy o świadczenie usług telefonicznych nr B071/0177/2005 z dnia 31.03.2005 r. zawartej pomiędzy Telefonią Dialog sp. z o.o., a Gminą Wrocław. Łączne koszty świadczenia usług dla wszystkich szkół w 2020 roku wyniosły 167 287 zł.</w:t>
      </w:r>
    </w:p>
    <w:p w:rsidR="008C7751" w:rsidRPr="00E00B35" w:rsidRDefault="008C7751" w:rsidP="00E00B35">
      <w:pPr>
        <w:tabs>
          <w:tab w:val="left" w:pos="-900"/>
          <w:tab w:val="left" w:pos="-720"/>
          <w:tab w:val="left" w:pos="-360"/>
        </w:tabs>
        <w:autoSpaceDE w:val="0"/>
        <w:autoSpaceDN w:val="0"/>
        <w:adjustRightInd w:val="0"/>
        <w:spacing w:after="0" w:line="312" w:lineRule="auto"/>
        <w:rPr>
          <w:rFonts w:eastAsia="MS Mincho" w:cs="Verdana"/>
          <w:color w:val="000000"/>
          <w:szCs w:val="20"/>
          <w:lang w:val="pl-PL"/>
        </w:rPr>
      </w:pPr>
      <w:r w:rsidRPr="00E00B35">
        <w:rPr>
          <w:rFonts w:eastAsia="MS Mincho" w:cs="Verdana"/>
          <w:color w:val="000000"/>
          <w:szCs w:val="20"/>
          <w:lang w:val="pl-PL"/>
        </w:rPr>
        <w:lastRenderedPageBreak/>
        <w:t xml:space="preserve">Kontynuowano świadczenie usług faksu elektronicznego dla wszystkich placówek oświatowych Gminy Wrocław </w:t>
      </w:r>
      <w:r w:rsidRPr="00E00B35">
        <w:rPr>
          <w:color w:val="000000"/>
          <w:szCs w:val="20"/>
          <w:lang w:val="pl-PL"/>
        </w:rPr>
        <w:t xml:space="preserve">na podstawie zawartego w dniu 11.12.2014 r. Aneksu nr 1008/14/XHY/J076 oraz zawartego w dniu 28.09.2019 r. Aneksu nr 2018/19/GLI/0054 </w:t>
      </w:r>
      <w:r w:rsidRPr="00E00B35">
        <w:rPr>
          <w:rFonts w:eastAsia="MS Mincho" w:cs="Verdana"/>
          <w:color w:val="000000"/>
          <w:szCs w:val="20"/>
          <w:lang w:val="pl-PL"/>
        </w:rPr>
        <w:t>do umowy o świadczenie usług telefonicznych nr B071/0177/2005 z dnia 31.03.2005 r. zawartej pomiędzy Telefonią Dialog sp. z o.o., a Gminą Wrocław. Łączne koszty świadczenia usług dla wszystkich szkół w 2020 roku wyniosły 17 977 zł.</w:t>
      </w:r>
    </w:p>
    <w:p w:rsidR="008C7751" w:rsidRPr="00E00B35" w:rsidRDefault="008C7751" w:rsidP="00E00B35">
      <w:pPr>
        <w:pStyle w:val="DSStresprawozdania"/>
        <w:tabs>
          <w:tab w:val="left" w:pos="0"/>
        </w:tabs>
        <w:spacing w:after="0" w:line="312" w:lineRule="auto"/>
        <w:jc w:val="left"/>
        <w:rPr>
          <w:color w:val="000000"/>
          <w:lang w:val="pl-PL"/>
        </w:rPr>
      </w:pPr>
      <w:r w:rsidRPr="00E00B35">
        <w:rPr>
          <w:color w:val="000000"/>
          <w:lang w:val="pl-PL"/>
        </w:rPr>
        <w:t xml:space="preserve">Kontynuowano współpracę z 4 zespołami konsultacyjnymi, składającymi się z koordynatorów na każdym poziomie kształcenia. Zadaniem koordynatorów jest reprezentowanie środowiska nauczycielskiego przy konsultacjach zagadnień oświatowych. </w:t>
      </w:r>
    </w:p>
    <w:p w:rsidR="008C7751" w:rsidRPr="00E00B35" w:rsidRDefault="008C7751" w:rsidP="00E00B35">
      <w:pPr>
        <w:pStyle w:val="DSStresprawozdania"/>
        <w:tabs>
          <w:tab w:val="left" w:pos="0"/>
        </w:tabs>
        <w:spacing w:after="0" w:line="312" w:lineRule="auto"/>
        <w:jc w:val="left"/>
        <w:rPr>
          <w:color w:val="000000"/>
          <w:lang w:val="pl-PL"/>
        </w:rPr>
      </w:pPr>
      <w:r w:rsidRPr="00E00B35">
        <w:rPr>
          <w:color w:val="000000"/>
          <w:lang w:val="pl-PL"/>
        </w:rPr>
        <w:t>Koordynatorzy zespołów konsultacyjnych w szkołach i placówkach:</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Lidia Walczak-Iżycka – Przedszkole nr 18</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Dorota Kulpa – Przedszkole nr 148</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Robert Siwy – Przedszkole nr 24</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Małgorzata Boczek – Przedszkole nr 50</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Bernadetta Ślusarek – Przedszkole nr 91</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Anna Puławska – Przedszkole nr 102</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Anna Zioło – Przedszkole nr 102</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Beata Lewandowska – Przedszkole nr 126</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Katarzyna Głowik-Jamróz – Przedszkole nr 56</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Rafał Just – Szkoła Podstawowa nr 84</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Izabela Wojtycka – Szkoła Podstawowa nr 26 w Zespole Szkolno-Przedszkolnym nr 12</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Lucyna Cempel – Szkoła Podstawowa nr 23</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Urszula Krasoń – Szkoła Podstawowa nr 44</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Iwona Kuźnik – Szkoła Podstawowa nr 76</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Kinga Skiba – Szkoła Podstawowa nr 67 w Zespole Szkolno-Przedszkolnym nr 13</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Barbara Rotte – Szkoła Podstawowa nr 118</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Mariola Kuźmicka-Mazurek – Zespół Szkół Ogólnokształcących nr 5</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Danuta Daszkiewicz-Ordyłowska – Liceum Ogólnokształcące nr XII</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Bogumiła Mandat – Liceum Ogólnokszałcące nr XV</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Piotr Lusar – Zespół Szkół nr 18</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Grażyna Skrętkowicz – Zespół Szkół Ekonomiczno-Administracyjnych</w:t>
      </w:r>
      <w:r w:rsidR="00A5627F" w:rsidRPr="00E00B35">
        <w:rPr>
          <w:szCs w:val="20"/>
          <w:lang w:val="pl-PL"/>
        </w:rPr>
        <w:t>.</w:t>
      </w:r>
    </w:p>
    <w:p w:rsidR="00A5627F" w:rsidRPr="00E00B35" w:rsidRDefault="00A5627F" w:rsidP="00E00B35">
      <w:pPr>
        <w:pStyle w:val="Nagwek20"/>
        <w:keepNext/>
        <w:keepLines/>
        <w:spacing w:after="0" w:line="312" w:lineRule="auto"/>
        <w:ind w:left="357" w:hanging="357"/>
        <w:rPr>
          <w:sz w:val="20"/>
          <w:szCs w:val="20"/>
        </w:rPr>
      </w:pPr>
      <w:bookmarkStart w:id="69" w:name="_Toc61013146"/>
      <w:bookmarkStart w:id="70" w:name="_Toc61013426"/>
      <w:bookmarkStart w:id="71" w:name="_Toc72411089"/>
    </w:p>
    <w:p w:rsidR="008C7751" w:rsidRPr="00E00B35" w:rsidRDefault="008C7751" w:rsidP="00E00B35">
      <w:pPr>
        <w:pStyle w:val="Nagwek3"/>
        <w:spacing w:after="0" w:line="312" w:lineRule="auto"/>
        <w:rPr>
          <w:sz w:val="20"/>
        </w:rPr>
      </w:pPr>
      <w:r w:rsidRPr="00E00B35">
        <w:rPr>
          <w:sz w:val="20"/>
        </w:rPr>
        <w:t>Kadra</w:t>
      </w:r>
      <w:bookmarkEnd w:id="69"/>
      <w:bookmarkEnd w:id="70"/>
      <w:bookmarkEnd w:id="71"/>
    </w:p>
    <w:p w:rsidR="008C7751" w:rsidRPr="00E00B35" w:rsidRDefault="008C7751" w:rsidP="00E00B35">
      <w:pPr>
        <w:pStyle w:val="Nagwek4"/>
        <w:spacing w:before="0" w:after="0" w:line="312" w:lineRule="auto"/>
        <w:rPr>
          <w:sz w:val="20"/>
          <w:szCs w:val="20"/>
        </w:rPr>
      </w:pPr>
      <w:bookmarkStart w:id="72" w:name="_Toc72411090"/>
      <w:r w:rsidRPr="00E00B35">
        <w:rPr>
          <w:sz w:val="20"/>
          <w:szCs w:val="20"/>
        </w:rPr>
        <w:t>Awans zawodowy</w:t>
      </w:r>
      <w:bookmarkEnd w:id="72"/>
    </w:p>
    <w:p w:rsidR="008C7751" w:rsidRPr="00E00B35" w:rsidRDefault="008C7751" w:rsidP="00E00B35">
      <w:pPr>
        <w:pStyle w:val="DSStresprawozdania"/>
        <w:spacing w:after="0" w:line="312" w:lineRule="auto"/>
        <w:jc w:val="left"/>
        <w:rPr>
          <w:bCs/>
          <w:color w:val="000000"/>
          <w:lang w:val="pl-PL"/>
        </w:rPr>
      </w:pPr>
      <w:r w:rsidRPr="00E00B35">
        <w:rPr>
          <w:color w:val="000000"/>
          <w:lang w:val="pl-PL"/>
        </w:rPr>
        <w:t xml:space="preserve">Zorganizowano i przeprowadzono postępowania egzaminacyjne na stopień awansu zawodowego nauczyciela mianowanego, zakończone wydaniem </w:t>
      </w:r>
      <w:r w:rsidRPr="00E00B35">
        <w:rPr>
          <w:bCs/>
          <w:color w:val="000000"/>
          <w:lang w:val="pl-PL"/>
        </w:rPr>
        <w:t xml:space="preserve">264 decyzji o nadaniu stopnia awansu zawodowego nauczyciela mianowanego. </w:t>
      </w:r>
      <w:r w:rsidRPr="00E00B35">
        <w:rPr>
          <w:color w:val="000000"/>
          <w:lang w:val="pl-PL"/>
        </w:rPr>
        <w:t>Na postępowania egzaminacyjne w 2020 r. wydano łącznie kwotę 50 500 zł</w:t>
      </w:r>
      <w:r w:rsidRPr="00E00B35">
        <w:rPr>
          <w:bCs/>
          <w:color w:val="000000"/>
          <w:lang w:val="pl-PL"/>
        </w:rPr>
        <w:t>. Wydano 5 aktów nadania stopnia nauczyciela mianowanego z mocy prawa.</w:t>
      </w:r>
    </w:p>
    <w:p w:rsidR="008C7751" w:rsidRPr="00E00B35" w:rsidRDefault="008C7751" w:rsidP="00E00B35">
      <w:pPr>
        <w:pStyle w:val="Nagwek4"/>
        <w:spacing w:before="0" w:after="0" w:line="312" w:lineRule="auto"/>
        <w:rPr>
          <w:sz w:val="20"/>
          <w:szCs w:val="20"/>
          <w:lang w:val="pl-PL"/>
        </w:rPr>
      </w:pPr>
      <w:bookmarkStart w:id="73" w:name="_Toc72411091"/>
      <w:r w:rsidRPr="00E00B35">
        <w:rPr>
          <w:sz w:val="20"/>
          <w:szCs w:val="20"/>
          <w:lang w:val="pl-PL"/>
        </w:rPr>
        <w:t>Doskonalenie kwalifikacji nauczycieli</w:t>
      </w:r>
      <w:bookmarkEnd w:id="73"/>
    </w:p>
    <w:p w:rsidR="008C7751" w:rsidRPr="00E00B35" w:rsidRDefault="008C7751" w:rsidP="00E00B35">
      <w:pPr>
        <w:pStyle w:val="DSStresprawozdania"/>
        <w:spacing w:after="0" w:line="312" w:lineRule="auto"/>
        <w:jc w:val="left"/>
        <w:rPr>
          <w:color w:val="000000"/>
          <w:lang w:val="pl-PL"/>
        </w:rPr>
      </w:pPr>
      <w:r w:rsidRPr="00E00B35">
        <w:rPr>
          <w:color w:val="000000"/>
          <w:lang w:val="pl-PL"/>
        </w:rPr>
        <w:t xml:space="preserve">Na doskonalenie zawodowe nauczycieli w 2020 roku przeznaczono 4 587 467 zł. </w:t>
      </w:r>
    </w:p>
    <w:p w:rsidR="008C7751" w:rsidRPr="00E00B35" w:rsidRDefault="008C7751" w:rsidP="00E00B35">
      <w:pPr>
        <w:tabs>
          <w:tab w:val="num" w:pos="-993"/>
        </w:tabs>
        <w:suppressAutoHyphens/>
        <w:autoSpaceDE w:val="0"/>
        <w:autoSpaceDN w:val="0"/>
        <w:adjustRightInd w:val="0"/>
        <w:spacing w:after="0" w:line="312" w:lineRule="auto"/>
        <w:rPr>
          <w:rFonts w:cs="Verdana"/>
          <w:bCs/>
          <w:color w:val="000000"/>
          <w:szCs w:val="20"/>
          <w:lang w:val="pl-PL"/>
        </w:rPr>
      </w:pPr>
      <w:r w:rsidRPr="00E00B35">
        <w:rPr>
          <w:color w:val="000000"/>
          <w:szCs w:val="20"/>
          <w:lang w:val="pl-PL"/>
        </w:rPr>
        <w:lastRenderedPageBreak/>
        <w:t>Środki te zostały przekazane do dyspozycji dyrektorów szkół i placówek oświatowych i r</w:t>
      </w:r>
      <w:r w:rsidRPr="00E00B35">
        <w:rPr>
          <w:rFonts w:cs="Tahoma"/>
          <w:color w:val="000000"/>
          <w:szCs w:val="20"/>
          <w:lang w:val="pl-PL"/>
        </w:rPr>
        <w:t xml:space="preserve">ozdysponowane zgodnie z priorytetami i </w:t>
      </w:r>
      <w:r w:rsidRPr="00E00B35">
        <w:rPr>
          <w:color w:val="000000"/>
          <w:szCs w:val="20"/>
          <w:lang w:val="pl-PL"/>
        </w:rPr>
        <w:t xml:space="preserve">kryteriami zawartymi w </w:t>
      </w:r>
      <w:r w:rsidRPr="00E00B35">
        <w:rPr>
          <w:rFonts w:cs="Verdana"/>
          <w:bCs/>
          <w:color w:val="000000"/>
          <w:szCs w:val="20"/>
          <w:lang w:val="pl-PL"/>
        </w:rPr>
        <w:t>Zarządzeniu nr 2449/20 Prezydenta Wrocławia z dnia 29 stycznia 2020 roku w sprawie planu dofinansowania form doskonalenia zawodowego nauczycieli w 2020 r., ustalenia maksymalnej kwoty dofinansowania oraz form i specjalności kształcenia, na które dofinansowanie jest przyznawane.</w:t>
      </w:r>
    </w:p>
    <w:p w:rsidR="008C7751" w:rsidRPr="00E00B35" w:rsidRDefault="008C7751" w:rsidP="00E00B35">
      <w:pPr>
        <w:suppressAutoHyphens/>
        <w:autoSpaceDE w:val="0"/>
        <w:autoSpaceDN w:val="0"/>
        <w:adjustRightInd w:val="0"/>
        <w:spacing w:after="0" w:line="312" w:lineRule="auto"/>
        <w:rPr>
          <w:rFonts w:cs="Tahoma"/>
          <w:color w:val="000000"/>
          <w:szCs w:val="20"/>
          <w:lang w:val="pl-PL"/>
        </w:rPr>
      </w:pPr>
      <w:r w:rsidRPr="00E00B35">
        <w:rPr>
          <w:color w:val="000000"/>
          <w:szCs w:val="20"/>
          <w:lang w:val="pl-PL"/>
        </w:rPr>
        <w:t>Na sfinansowanie zadań realizowanych przez doradców metodycznych (19,85 etatów) przeznaczono kwotę 1 398 000 zł, która pochodziła z dotacji celowej z budżetu państwa.</w:t>
      </w:r>
    </w:p>
    <w:p w:rsidR="008C7751" w:rsidRPr="00E00B35" w:rsidRDefault="008C7751" w:rsidP="00E00B35">
      <w:pPr>
        <w:pStyle w:val="DSStresprawozdania"/>
        <w:spacing w:after="0" w:line="312" w:lineRule="auto"/>
        <w:jc w:val="left"/>
        <w:rPr>
          <w:color w:val="000000"/>
          <w:lang w:val="pl-PL"/>
        </w:rPr>
      </w:pPr>
      <w:r w:rsidRPr="00E00B35">
        <w:rPr>
          <w:color w:val="000000"/>
          <w:lang w:val="pl-PL"/>
        </w:rPr>
        <w:t>We</w:t>
      </w:r>
      <w:r w:rsidRPr="00E00B35">
        <w:rPr>
          <w:b/>
          <w:bCs/>
          <w:color w:val="000000"/>
          <w:lang w:val="pl-PL"/>
        </w:rPr>
        <w:t xml:space="preserve"> </w:t>
      </w:r>
      <w:r w:rsidRPr="00E00B35">
        <w:rPr>
          <w:bCs/>
          <w:color w:val="000000"/>
          <w:lang w:val="pl-PL"/>
        </w:rPr>
        <w:t>Wrocławskim Centrum Doskonalenia Nauczycieli</w:t>
      </w:r>
      <w:r w:rsidRPr="00E00B35">
        <w:rPr>
          <w:color w:val="000000"/>
          <w:lang w:val="pl-PL"/>
        </w:rPr>
        <w:t xml:space="preserve"> </w:t>
      </w:r>
      <w:r w:rsidRPr="00E00B35">
        <w:rPr>
          <w:bCs/>
          <w:color w:val="000000"/>
          <w:lang w:val="pl-PL"/>
        </w:rPr>
        <w:t>(WCDN)</w:t>
      </w:r>
      <w:r w:rsidRPr="00E00B35">
        <w:rPr>
          <w:color w:val="000000"/>
          <w:lang w:val="pl-PL"/>
        </w:rPr>
        <w:t xml:space="preserve"> prowadzono </w:t>
      </w:r>
      <w:r w:rsidRPr="00E00B35">
        <w:rPr>
          <w:bCs/>
          <w:color w:val="000000"/>
          <w:lang w:val="pl-PL"/>
        </w:rPr>
        <w:t>doskonalenie zawodowe</w:t>
      </w:r>
      <w:r w:rsidRPr="00E00B35">
        <w:rPr>
          <w:color w:val="000000"/>
          <w:lang w:val="pl-PL"/>
        </w:rPr>
        <w:t xml:space="preserve"> nauczycieli według zadań określonych w rozporządzeniu Ministra Edukacji Narodowej z dnia 28 maja 2019 r. w sprawie placówek doskonalenia nauczycieli (Dz. U. z 2019 r. poz. 1045):</w:t>
      </w:r>
    </w:p>
    <w:p w:rsidR="008C7751" w:rsidRPr="00E00B35" w:rsidRDefault="008C7751" w:rsidP="00E00B35">
      <w:pPr>
        <w:spacing w:after="0" w:line="312" w:lineRule="auto"/>
        <w:rPr>
          <w:color w:val="000000"/>
          <w:szCs w:val="20"/>
          <w:lang w:val="pl-PL"/>
        </w:rPr>
      </w:pPr>
      <w:r w:rsidRPr="00E00B35">
        <w:rPr>
          <w:color w:val="000000"/>
          <w:szCs w:val="20"/>
          <w:lang w:val="pl-PL"/>
        </w:rPr>
        <w:t>Liczba form doskonalenia przeprowadzonych w 2020 roku według etapów kształcenia:</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Na wszystkich poziomach edukacyjnych – 152</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przedszkolach – 77</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przedszkolach i klasach I-III szkół podstawowych – 31</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W przedszkolach i klasach I-VIII szkół </w:t>
      </w:r>
      <w:r w:rsidRPr="00E00B35">
        <w:rPr>
          <w:szCs w:val="20"/>
          <w:lang w:val="pl-PL"/>
        </w:rPr>
        <w:t>podstawowych</w:t>
      </w:r>
      <w:r w:rsidRPr="00E00B35">
        <w:rPr>
          <w:color w:val="000000"/>
          <w:szCs w:val="20"/>
          <w:lang w:val="pl-PL"/>
        </w:rPr>
        <w:t xml:space="preserve"> – 15</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klasach I-III szkół podstawowych – 56</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klasach IV-VIII szkół podstawowych – 16</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klasach IV-VIII szkół podstawowych i szkołach ponadpodstawowych – 33</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szkołach podstawowych i ponadpodstawowych – 48</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szkołach ponadpodstawowych – 70</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Razem: 498</w:t>
      </w:r>
    </w:p>
    <w:p w:rsidR="008C7751" w:rsidRPr="00E00B35" w:rsidRDefault="008C7751" w:rsidP="00E00B35">
      <w:pPr>
        <w:spacing w:after="0" w:line="312" w:lineRule="auto"/>
        <w:rPr>
          <w:color w:val="000000"/>
          <w:szCs w:val="20"/>
        </w:rPr>
      </w:pPr>
    </w:p>
    <w:p w:rsidR="008C7751" w:rsidRPr="00E00B35" w:rsidRDefault="008C7751" w:rsidP="00E00B35">
      <w:pPr>
        <w:pStyle w:val="DSStresprawozdania"/>
        <w:tabs>
          <w:tab w:val="left" w:pos="180"/>
          <w:tab w:val="num" w:pos="360"/>
        </w:tabs>
        <w:spacing w:after="0" w:line="312" w:lineRule="auto"/>
        <w:jc w:val="left"/>
        <w:rPr>
          <w:color w:val="000000"/>
        </w:rPr>
      </w:pPr>
      <w:r w:rsidRPr="00E00B35">
        <w:rPr>
          <w:noProof/>
          <w:color w:val="000000"/>
          <w:lang w:val="pl-PL" w:eastAsia="pl-PL" w:bidi="ar-SA"/>
        </w:rPr>
        <w:lastRenderedPageBreak/>
        <w:drawing>
          <wp:inline distT="0" distB="0" distL="0" distR="0">
            <wp:extent cx="5991225" cy="4133850"/>
            <wp:effectExtent l="19050" t="0" r="9525" b="0"/>
            <wp:docPr id="1" name="Wykres 1" descr="Wykres kołowy przedstawiający liczbę przeprowadzonych przez Wrocławskie Centrum Doskonalenia Nauczycieli form doskonalenia nauczycieli w roku 2020 według etapów kształcenia"/>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A5627F" w:rsidRPr="00E00B35" w:rsidRDefault="00A5627F" w:rsidP="00E00B35">
      <w:pPr>
        <w:pStyle w:val="DSStresprawozdania"/>
        <w:tabs>
          <w:tab w:val="left" w:pos="180"/>
          <w:tab w:val="num" w:pos="360"/>
        </w:tabs>
        <w:spacing w:after="0" w:line="312" w:lineRule="auto"/>
        <w:jc w:val="left"/>
        <w:rPr>
          <w:color w:val="000000"/>
          <w:lang w:val="pl-PL"/>
        </w:rPr>
      </w:pPr>
    </w:p>
    <w:p w:rsidR="008C7751" w:rsidRPr="00E00B35" w:rsidRDefault="008C7751" w:rsidP="00E00B35">
      <w:pPr>
        <w:pStyle w:val="DSStresprawozdania"/>
        <w:tabs>
          <w:tab w:val="left" w:pos="180"/>
          <w:tab w:val="num" w:pos="360"/>
        </w:tabs>
        <w:spacing w:after="0" w:line="312" w:lineRule="auto"/>
        <w:jc w:val="left"/>
        <w:rPr>
          <w:color w:val="000000"/>
          <w:lang w:val="pl-PL"/>
        </w:rPr>
      </w:pPr>
      <w:r w:rsidRPr="00E00B35">
        <w:rPr>
          <w:color w:val="000000"/>
          <w:lang w:val="pl-PL"/>
        </w:rPr>
        <w:t>Liczba nauczycieli uczestniczących w formach doskonalenia:</w:t>
      </w:r>
    </w:p>
    <w:p w:rsidR="008C7751" w:rsidRPr="00E00B35" w:rsidRDefault="008C7751" w:rsidP="00E00B35">
      <w:pPr>
        <w:spacing w:after="0" w:line="312" w:lineRule="auto"/>
        <w:rPr>
          <w:color w:val="000000"/>
          <w:szCs w:val="20"/>
          <w:lang w:val="pl-PL"/>
        </w:rPr>
      </w:pPr>
      <w:r w:rsidRPr="00E00B35">
        <w:rPr>
          <w:color w:val="000000"/>
          <w:szCs w:val="20"/>
          <w:lang w:val="pl-PL"/>
        </w:rPr>
        <w:t>Na wszystkich poziomach edukacyjnych – 2 056</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przedszkolach – 1 058</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przedszkolach i klasach I-III szkół podstawowych – 523</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przedszkolach i klasach I-VIII szkół podstawowych – 443</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klasach I-III szkół podstawowych – 1 231</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klasach IV-VIII szkół podstawowych – 523</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klasach IV-VIII szkół podstawowych i szkołach ponadpodstawowych – 751</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szkołach podstawowych i ponadpodstawowych – 2 605</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szkołach ponadpodstawowych – 1 275</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Razem: 10 465</w:t>
      </w:r>
    </w:p>
    <w:p w:rsidR="008C7751" w:rsidRPr="00E00B35" w:rsidRDefault="008C7751" w:rsidP="00E00B35">
      <w:pPr>
        <w:pStyle w:val="DSStresprawozdania"/>
        <w:tabs>
          <w:tab w:val="left" w:pos="180"/>
          <w:tab w:val="num" w:pos="360"/>
        </w:tabs>
        <w:spacing w:after="0" w:line="312" w:lineRule="auto"/>
        <w:jc w:val="left"/>
        <w:rPr>
          <w:color w:val="000000"/>
        </w:rPr>
      </w:pPr>
      <w:r w:rsidRPr="00E00B35">
        <w:rPr>
          <w:color w:val="000000"/>
        </w:rPr>
        <w:lastRenderedPageBreak/>
        <w:t xml:space="preserve"> </w:t>
      </w:r>
      <w:r w:rsidRPr="00E00B35">
        <w:rPr>
          <w:noProof/>
          <w:color w:val="000000"/>
          <w:lang w:val="pl-PL" w:eastAsia="pl-PL" w:bidi="ar-SA"/>
        </w:rPr>
        <w:drawing>
          <wp:inline distT="0" distB="0" distL="0" distR="0">
            <wp:extent cx="5629275" cy="3505200"/>
            <wp:effectExtent l="19050" t="0" r="9525" b="0"/>
            <wp:docPr id="2" name="Wykres 1" descr="Wykres kołowy przedstawiający liczbę nauczycieli uczestniczących w formach doskonalenia organizowanych przez Wrocławskie Centrum Doskonalenia Nauczycieli, z podziałem na etapy kształcenia.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C7751" w:rsidRPr="00E00B35" w:rsidRDefault="008C7751" w:rsidP="00E00B35">
      <w:pPr>
        <w:spacing w:after="0" w:line="312" w:lineRule="auto"/>
        <w:rPr>
          <w:noProof/>
          <w:color w:val="000000"/>
          <w:szCs w:val="20"/>
        </w:rPr>
      </w:pPr>
    </w:p>
    <w:p w:rsidR="008C7751" w:rsidRPr="00E00B35" w:rsidRDefault="008C7751" w:rsidP="00E00B35">
      <w:pPr>
        <w:spacing w:after="0" w:line="312" w:lineRule="auto"/>
        <w:rPr>
          <w:color w:val="000000"/>
          <w:szCs w:val="20"/>
          <w:lang w:val="pl-PL"/>
        </w:rPr>
      </w:pPr>
      <w:r w:rsidRPr="00E00B35">
        <w:rPr>
          <w:color w:val="000000"/>
          <w:szCs w:val="20"/>
          <w:lang w:val="pl-PL"/>
        </w:rPr>
        <w:t>Tabela 8. Liczba form i przeszkolonych nauczycieli w roku szkolnym 2019/2020 i 20/21 w zakresie kierunków polityki oświatowej oraz wprowadzania zmian w systemie oświaty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9"/>
        <w:gridCol w:w="5234"/>
        <w:gridCol w:w="1145"/>
        <w:gridCol w:w="112"/>
        <w:gridCol w:w="1872"/>
      </w:tblGrid>
      <w:tr w:rsidR="008C7751" w:rsidRPr="00E00B35" w:rsidTr="008C7751">
        <w:trPr>
          <w:tblHeader/>
        </w:trPr>
        <w:tc>
          <w:tcPr>
            <w:tcW w:w="709" w:type="dxa"/>
            <w:vAlign w:val="center"/>
          </w:tcPr>
          <w:p w:rsidR="008C7751" w:rsidRPr="00E00B35" w:rsidRDefault="008C7751" w:rsidP="00E00B35">
            <w:pPr>
              <w:spacing w:after="0" w:line="312" w:lineRule="auto"/>
              <w:rPr>
                <w:b/>
                <w:bCs/>
                <w:color w:val="000000"/>
                <w:szCs w:val="20"/>
              </w:rPr>
            </w:pPr>
            <w:r w:rsidRPr="00E00B35">
              <w:rPr>
                <w:b/>
                <w:bCs/>
                <w:color w:val="000000"/>
                <w:szCs w:val="20"/>
              </w:rPr>
              <w:t>Lp.</w:t>
            </w:r>
          </w:p>
        </w:tc>
        <w:tc>
          <w:tcPr>
            <w:tcW w:w="5234" w:type="dxa"/>
            <w:vAlign w:val="center"/>
          </w:tcPr>
          <w:p w:rsidR="008C7751" w:rsidRPr="00E00B35" w:rsidRDefault="008C7751" w:rsidP="00E00B35">
            <w:pPr>
              <w:spacing w:after="0" w:line="312" w:lineRule="auto"/>
              <w:rPr>
                <w:b/>
                <w:bCs/>
                <w:color w:val="000000"/>
                <w:szCs w:val="20"/>
              </w:rPr>
            </w:pPr>
            <w:r w:rsidRPr="00E00B35">
              <w:rPr>
                <w:b/>
                <w:bCs/>
                <w:color w:val="000000"/>
                <w:szCs w:val="20"/>
              </w:rPr>
              <w:t>Obszary szkoleń</w:t>
            </w:r>
          </w:p>
        </w:tc>
        <w:tc>
          <w:tcPr>
            <w:tcW w:w="1145" w:type="dxa"/>
            <w:vAlign w:val="center"/>
          </w:tcPr>
          <w:p w:rsidR="008C7751" w:rsidRPr="00E00B35" w:rsidRDefault="008C7751" w:rsidP="00E00B35">
            <w:pPr>
              <w:spacing w:after="0" w:line="312" w:lineRule="auto"/>
              <w:rPr>
                <w:b/>
                <w:bCs/>
                <w:color w:val="000000"/>
                <w:szCs w:val="20"/>
              </w:rPr>
            </w:pPr>
            <w:r w:rsidRPr="00E00B35">
              <w:rPr>
                <w:b/>
                <w:bCs/>
                <w:color w:val="000000"/>
                <w:szCs w:val="20"/>
              </w:rPr>
              <w:t>Liczba form</w:t>
            </w:r>
          </w:p>
        </w:tc>
        <w:tc>
          <w:tcPr>
            <w:tcW w:w="1984" w:type="dxa"/>
            <w:gridSpan w:val="2"/>
            <w:vAlign w:val="center"/>
          </w:tcPr>
          <w:p w:rsidR="008C7751" w:rsidRPr="00E00B35" w:rsidRDefault="008C7751" w:rsidP="00E00B35">
            <w:pPr>
              <w:spacing w:after="0" w:line="312" w:lineRule="auto"/>
              <w:rPr>
                <w:b/>
                <w:bCs/>
                <w:color w:val="000000"/>
                <w:szCs w:val="20"/>
              </w:rPr>
            </w:pPr>
            <w:r w:rsidRPr="00E00B35">
              <w:rPr>
                <w:b/>
                <w:bCs/>
                <w:color w:val="000000"/>
                <w:szCs w:val="20"/>
              </w:rPr>
              <w:t>Liczba przeszkolonych nauczycieli</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r w:rsidRPr="00E00B35">
              <w:rPr>
                <w:color w:val="000000"/>
                <w:szCs w:val="20"/>
              </w:rPr>
              <w:t>1.</w:t>
            </w:r>
          </w:p>
        </w:tc>
        <w:tc>
          <w:tcPr>
            <w:tcW w:w="5234" w:type="dxa"/>
          </w:tcPr>
          <w:p w:rsidR="008C7751" w:rsidRPr="00E00B35" w:rsidRDefault="008C7751" w:rsidP="00E00B35">
            <w:pPr>
              <w:spacing w:after="0" w:line="312" w:lineRule="auto"/>
              <w:rPr>
                <w:color w:val="000000"/>
                <w:szCs w:val="20"/>
                <w:lang w:val="pl-PL"/>
              </w:rPr>
            </w:pPr>
            <w:r w:rsidRPr="00E00B35">
              <w:rPr>
                <w:color w:val="000000"/>
                <w:szCs w:val="20"/>
                <w:lang w:val="pl-PL"/>
              </w:rPr>
              <w:t>Profilaktyka uzależnień w szkołach i placówkach oświatowych</w:t>
            </w:r>
          </w:p>
        </w:tc>
        <w:tc>
          <w:tcPr>
            <w:tcW w:w="1145" w:type="dxa"/>
            <w:vAlign w:val="center"/>
          </w:tcPr>
          <w:p w:rsidR="008C7751" w:rsidRPr="00E00B35" w:rsidRDefault="008C7751" w:rsidP="00E00B35">
            <w:pPr>
              <w:spacing w:after="0" w:line="312" w:lineRule="auto"/>
              <w:rPr>
                <w:color w:val="000000"/>
                <w:szCs w:val="20"/>
              </w:rPr>
            </w:pPr>
            <w:r w:rsidRPr="00E00B35">
              <w:rPr>
                <w:color w:val="000000"/>
                <w:szCs w:val="20"/>
              </w:rPr>
              <w:t>4</w:t>
            </w:r>
          </w:p>
        </w:tc>
        <w:tc>
          <w:tcPr>
            <w:tcW w:w="1984" w:type="dxa"/>
            <w:gridSpan w:val="2"/>
            <w:vAlign w:val="center"/>
          </w:tcPr>
          <w:p w:rsidR="008C7751" w:rsidRPr="00E00B35" w:rsidRDefault="008C7751" w:rsidP="00E00B35">
            <w:pPr>
              <w:spacing w:after="0" w:line="312" w:lineRule="auto"/>
              <w:rPr>
                <w:color w:val="000000"/>
                <w:szCs w:val="20"/>
              </w:rPr>
            </w:pPr>
            <w:r w:rsidRPr="00E00B35">
              <w:rPr>
                <w:color w:val="000000"/>
                <w:szCs w:val="20"/>
              </w:rPr>
              <w:t>275</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r w:rsidRPr="00E00B35">
              <w:rPr>
                <w:color w:val="000000"/>
                <w:szCs w:val="20"/>
              </w:rPr>
              <w:t>2.</w:t>
            </w:r>
          </w:p>
        </w:tc>
        <w:tc>
          <w:tcPr>
            <w:tcW w:w="5234" w:type="dxa"/>
          </w:tcPr>
          <w:p w:rsidR="008C7751" w:rsidRPr="00E00B35" w:rsidRDefault="008C7751" w:rsidP="00E00B35">
            <w:pPr>
              <w:spacing w:after="0" w:line="312" w:lineRule="auto"/>
              <w:rPr>
                <w:color w:val="000000"/>
                <w:szCs w:val="20"/>
                <w:lang w:val="pl-PL"/>
              </w:rPr>
            </w:pPr>
            <w:r w:rsidRPr="00E00B35">
              <w:rPr>
                <w:color w:val="000000"/>
                <w:szCs w:val="20"/>
                <w:lang w:val="pl-PL"/>
              </w:rPr>
              <w:t>Wychowanie do wartości przez kształtowanie postaw obywatelskich i patriotycznych</w:t>
            </w:r>
          </w:p>
        </w:tc>
        <w:tc>
          <w:tcPr>
            <w:tcW w:w="1145" w:type="dxa"/>
            <w:vAlign w:val="center"/>
          </w:tcPr>
          <w:p w:rsidR="008C7751" w:rsidRPr="00E00B35" w:rsidRDefault="008C7751" w:rsidP="00E00B35">
            <w:pPr>
              <w:spacing w:after="0" w:line="312" w:lineRule="auto"/>
              <w:rPr>
                <w:color w:val="000000"/>
                <w:szCs w:val="20"/>
              </w:rPr>
            </w:pPr>
            <w:r w:rsidRPr="00E00B35">
              <w:rPr>
                <w:color w:val="000000"/>
                <w:szCs w:val="20"/>
              </w:rPr>
              <w:t>21</w:t>
            </w:r>
          </w:p>
        </w:tc>
        <w:tc>
          <w:tcPr>
            <w:tcW w:w="1984" w:type="dxa"/>
            <w:gridSpan w:val="2"/>
            <w:vAlign w:val="center"/>
          </w:tcPr>
          <w:p w:rsidR="008C7751" w:rsidRPr="00E00B35" w:rsidRDefault="008C7751" w:rsidP="00E00B35">
            <w:pPr>
              <w:spacing w:after="0" w:line="312" w:lineRule="auto"/>
              <w:rPr>
                <w:color w:val="000000"/>
                <w:szCs w:val="20"/>
              </w:rPr>
            </w:pPr>
            <w:r w:rsidRPr="00E00B35">
              <w:rPr>
                <w:color w:val="000000"/>
                <w:szCs w:val="20"/>
              </w:rPr>
              <w:t>320</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r w:rsidRPr="00E00B35">
              <w:rPr>
                <w:color w:val="000000"/>
                <w:szCs w:val="20"/>
              </w:rPr>
              <w:t>3.</w:t>
            </w:r>
          </w:p>
        </w:tc>
        <w:tc>
          <w:tcPr>
            <w:tcW w:w="5234" w:type="dxa"/>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Wdrażanie nowej podstawy programowej kształcenia ogólnego w szkołach podstawowych </w:t>
            </w:r>
            <w:r w:rsidRPr="00E00B35">
              <w:rPr>
                <w:color w:val="000000"/>
                <w:szCs w:val="20"/>
                <w:lang w:val="pl-PL"/>
              </w:rPr>
              <w:br/>
              <w:t>i ponadpodstawowych</w:t>
            </w:r>
          </w:p>
        </w:tc>
        <w:tc>
          <w:tcPr>
            <w:tcW w:w="1145" w:type="dxa"/>
            <w:vAlign w:val="center"/>
          </w:tcPr>
          <w:p w:rsidR="008C7751" w:rsidRPr="00E00B35" w:rsidRDefault="008C7751" w:rsidP="00E00B35">
            <w:pPr>
              <w:spacing w:after="0" w:line="312" w:lineRule="auto"/>
              <w:rPr>
                <w:color w:val="000000"/>
                <w:szCs w:val="20"/>
              </w:rPr>
            </w:pPr>
            <w:r w:rsidRPr="00E00B35">
              <w:rPr>
                <w:color w:val="000000"/>
                <w:szCs w:val="20"/>
              </w:rPr>
              <w:t>24</w:t>
            </w:r>
          </w:p>
        </w:tc>
        <w:tc>
          <w:tcPr>
            <w:tcW w:w="1984" w:type="dxa"/>
            <w:gridSpan w:val="2"/>
            <w:vAlign w:val="center"/>
          </w:tcPr>
          <w:p w:rsidR="008C7751" w:rsidRPr="00E00B35" w:rsidRDefault="008C7751" w:rsidP="00E00B35">
            <w:pPr>
              <w:spacing w:after="0" w:line="312" w:lineRule="auto"/>
              <w:rPr>
                <w:color w:val="000000"/>
                <w:szCs w:val="20"/>
              </w:rPr>
            </w:pPr>
            <w:r w:rsidRPr="00E00B35">
              <w:rPr>
                <w:color w:val="000000"/>
                <w:szCs w:val="20"/>
              </w:rPr>
              <w:t>280</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r w:rsidRPr="00E00B35">
              <w:rPr>
                <w:color w:val="000000"/>
                <w:szCs w:val="20"/>
              </w:rPr>
              <w:t>4.</w:t>
            </w:r>
          </w:p>
        </w:tc>
        <w:tc>
          <w:tcPr>
            <w:tcW w:w="5234" w:type="dxa"/>
          </w:tcPr>
          <w:p w:rsidR="008C7751" w:rsidRPr="00E00B35" w:rsidRDefault="008C7751" w:rsidP="00E00B35">
            <w:pPr>
              <w:spacing w:after="0" w:line="312" w:lineRule="auto"/>
              <w:rPr>
                <w:color w:val="000000"/>
                <w:szCs w:val="20"/>
              </w:rPr>
            </w:pPr>
            <w:r w:rsidRPr="00E00B35">
              <w:rPr>
                <w:color w:val="000000"/>
                <w:szCs w:val="20"/>
              </w:rPr>
              <w:t>Rozwijanie kompetencji matematycznych uczniów</w:t>
            </w:r>
          </w:p>
        </w:tc>
        <w:tc>
          <w:tcPr>
            <w:tcW w:w="1145" w:type="dxa"/>
            <w:vAlign w:val="center"/>
          </w:tcPr>
          <w:p w:rsidR="008C7751" w:rsidRPr="00E00B35" w:rsidRDefault="008C7751" w:rsidP="00E00B35">
            <w:pPr>
              <w:spacing w:after="0" w:line="312" w:lineRule="auto"/>
              <w:rPr>
                <w:color w:val="000000"/>
                <w:szCs w:val="20"/>
              </w:rPr>
            </w:pPr>
            <w:r w:rsidRPr="00E00B35">
              <w:rPr>
                <w:color w:val="000000"/>
                <w:szCs w:val="20"/>
              </w:rPr>
              <w:t>14</w:t>
            </w:r>
          </w:p>
        </w:tc>
        <w:tc>
          <w:tcPr>
            <w:tcW w:w="1984" w:type="dxa"/>
            <w:gridSpan w:val="2"/>
            <w:vAlign w:val="center"/>
          </w:tcPr>
          <w:p w:rsidR="008C7751" w:rsidRPr="00E00B35" w:rsidRDefault="008C7751" w:rsidP="00E00B35">
            <w:pPr>
              <w:spacing w:after="0" w:line="312" w:lineRule="auto"/>
              <w:rPr>
                <w:color w:val="000000"/>
                <w:szCs w:val="20"/>
              </w:rPr>
            </w:pPr>
            <w:r w:rsidRPr="00E00B35">
              <w:rPr>
                <w:color w:val="000000"/>
                <w:szCs w:val="20"/>
              </w:rPr>
              <w:t>136</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r w:rsidRPr="00E00B35">
              <w:rPr>
                <w:color w:val="000000"/>
                <w:szCs w:val="20"/>
              </w:rPr>
              <w:t>5.</w:t>
            </w:r>
          </w:p>
        </w:tc>
        <w:tc>
          <w:tcPr>
            <w:tcW w:w="5234" w:type="dxa"/>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Rozwijanie kreatywności, przedsiębiorczości </w:t>
            </w:r>
            <w:r w:rsidRPr="00E00B35">
              <w:rPr>
                <w:color w:val="000000"/>
                <w:szCs w:val="20"/>
                <w:lang w:val="pl-PL"/>
              </w:rPr>
              <w:br/>
              <w:t>i kompetencji cyfrowych uczniów, w tym bezpieczne i celowe wykorzystywanie technologii informacyjno-komunikacyjnych w realizacji podstawy programowej kształcenia ogólnego</w:t>
            </w:r>
          </w:p>
        </w:tc>
        <w:tc>
          <w:tcPr>
            <w:tcW w:w="1145" w:type="dxa"/>
            <w:vAlign w:val="center"/>
          </w:tcPr>
          <w:p w:rsidR="008C7751" w:rsidRPr="00E00B35" w:rsidRDefault="008C7751" w:rsidP="00E00B35">
            <w:pPr>
              <w:spacing w:after="0" w:line="312" w:lineRule="auto"/>
              <w:rPr>
                <w:color w:val="000000"/>
                <w:szCs w:val="20"/>
              </w:rPr>
            </w:pPr>
            <w:r w:rsidRPr="00E00B35">
              <w:rPr>
                <w:color w:val="000000"/>
                <w:szCs w:val="20"/>
              </w:rPr>
              <w:t>36</w:t>
            </w:r>
          </w:p>
        </w:tc>
        <w:tc>
          <w:tcPr>
            <w:tcW w:w="1984" w:type="dxa"/>
            <w:gridSpan w:val="2"/>
            <w:vAlign w:val="center"/>
          </w:tcPr>
          <w:p w:rsidR="008C7751" w:rsidRPr="00E00B35" w:rsidRDefault="008C7751" w:rsidP="00E00B35">
            <w:pPr>
              <w:spacing w:after="0" w:line="312" w:lineRule="auto"/>
              <w:rPr>
                <w:color w:val="000000"/>
                <w:szCs w:val="20"/>
              </w:rPr>
            </w:pPr>
            <w:r w:rsidRPr="00E00B35">
              <w:rPr>
                <w:color w:val="000000"/>
                <w:szCs w:val="20"/>
              </w:rPr>
              <w:t>461</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r w:rsidRPr="00E00B35">
              <w:rPr>
                <w:color w:val="000000"/>
                <w:szCs w:val="20"/>
              </w:rPr>
              <w:t>6.</w:t>
            </w:r>
          </w:p>
        </w:tc>
        <w:tc>
          <w:tcPr>
            <w:tcW w:w="5234" w:type="dxa"/>
          </w:tcPr>
          <w:p w:rsidR="008C7751" w:rsidRPr="00E00B35" w:rsidRDefault="008C7751" w:rsidP="00E00B35">
            <w:pPr>
              <w:spacing w:after="0" w:line="312" w:lineRule="auto"/>
              <w:rPr>
                <w:color w:val="000000"/>
                <w:szCs w:val="20"/>
              </w:rPr>
            </w:pPr>
            <w:r w:rsidRPr="00E00B35">
              <w:rPr>
                <w:color w:val="000000"/>
                <w:szCs w:val="20"/>
                <w:lang w:val="pl-PL"/>
              </w:rPr>
              <w:t xml:space="preserve">Wdrażanie nowej podstawy programowej </w:t>
            </w:r>
            <w:r w:rsidRPr="00E00B35">
              <w:rPr>
                <w:color w:val="000000"/>
                <w:szCs w:val="20"/>
                <w:lang w:val="pl-PL"/>
              </w:rPr>
              <w:br/>
              <w:t xml:space="preserve">w szkołach ponadpodstawowych ze szczególnym uwzględnieniem edukacji przyrodniczej </w:t>
            </w:r>
            <w:r w:rsidRPr="00E00B35">
              <w:rPr>
                <w:color w:val="000000"/>
                <w:szCs w:val="20"/>
                <w:lang w:val="pl-PL"/>
              </w:rPr>
              <w:br/>
              <w:t xml:space="preserve">i matematycznej. </w:t>
            </w:r>
            <w:r w:rsidRPr="00E00B35">
              <w:rPr>
                <w:color w:val="000000"/>
                <w:szCs w:val="20"/>
              </w:rPr>
              <w:t>Rozwijanie samodzielności, innowacyjności i kreatywności uczniów</w:t>
            </w:r>
          </w:p>
        </w:tc>
        <w:tc>
          <w:tcPr>
            <w:tcW w:w="1145" w:type="dxa"/>
            <w:vAlign w:val="center"/>
          </w:tcPr>
          <w:p w:rsidR="008C7751" w:rsidRPr="00E00B35" w:rsidRDefault="008C7751" w:rsidP="00E00B35">
            <w:pPr>
              <w:spacing w:after="0" w:line="312" w:lineRule="auto"/>
              <w:rPr>
                <w:color w:val="000000"/>
                <w:szCs w:val="20"/>
              </w:rPr>
            </w:pPr>
            <w:r w:rsidRPr="00E00B35">
              <w:rPr>
                <w:color w:val="000000"/>
                <w:szCs w:val="20"/>
              </w:rPr>
              <w:t>28</w:t>
            </w:r>
          </w:p>
        </w:tc>
        <w:tc>
          <w:tcPr>
            <w:tcW w:w="1984" w:type="dxa"/>
            <w:gridSpan w:val="2"/>
            <w:vAlign w:val="center"/>
          </w:tcPr>
          <w:p w:rsidR="008C7751" w:rsidRPr="00E00B35" w:rsidRDefault="008C7751" w:rsidP="00E00B35">
            <w:pPr>
              <w:spacing w:after="0" w:line="312" w:lineRule="auto"/>
              <w:rPr>
                <w:color w:val="000000"/>
                <w:szCs w:val="20"/>
              </w:rPr>
            </w:pPr>
            <w:r w:rsidRPr="00E00B35">
              <w:rPr>
                <w:color w:val="000000"/>
                <w:szCs w:val="20"/>
              </w:rPr>
              <w:t>572</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r w:rsidRPr="00E00B35">
              <w:rPr>
                <w:color w:val="000000"/>
                <w:szCs w:val="20"/>
              </w:rPr>
              <w:lastRenderedPageBreak/>
              <w:t>7.</w:t>
            </w:r>
          </w:p>
        </w:tc>
        <w:tc>
          <w:tcPr>
            <w:tcW w:w="5234" w:type="dxa"/>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Wdrażanie zmian w kształceniu zawodowym, </w:t>
            </w:r>
            <w:r w:rsidRPr="00E00B35">
              <w:rPr>
                <w:color w:val="000000"/>
                <w:szCs w:val="20"/>
                <w:lang w:val="pl-PL"/>
              </w:rPr>
              <w:br/>
              <w:t>ze szczególnym uwzględnieniem kształcenia osób dorosłych</w:t>
            </w:r>
          </w:p>
        </w:tc>
        <w:tc>
          <w:tcPr>
            <w:tcW w:w="1145" w:type="dxa"/>
            <w:vAlign w:val="center"/>
          </w:tcPr>
          <w:p w:rsidR="008C7751" w:rsidRPr="00E00B35" w:rsidRDefault="008C7751" w:rsidP="00E00B35">
            <w:pPr>
              <w:spacing w:after="0" w:line="312" w:lineRule="auto"/>
              <w:rPr>
                <w:color w:val="000000"/>
                <w:szCs w:val="20"/>
              </w:rPr>
            </w:pPr>
            <w:r w:rsidRPr="00E00B35">
              <w:rPr>
                <w:color w:val="000000"/>
                <w:szCs w:val="20"/>
              </w:rPr>
              <w:t>24</w:t>
            </w:r>
          </w:p>
        </w:tc>
        <w:tc>
          <w:tcPr>
            <w:tcW w:w="1984" w:type="dxa"/>
            <w:gridSpan w:val="2"/>
            <w:vAlign w:val="center"/>
          </w:tcPr>
          <w:p w:rsidR="008C7751" w:rsidRPr="00E00B35" w:rsidRDefault="008C7751" w:rsidP="00E00B35">
            <w:pPr>
              <w:spacing w:after="0" w:line="312" w:lineRule="auto"/>
              <w:rPr>
                <w:color w:val="000000"/>
                <w:szCs w:val="20"/>
              </w:rPr>
            </w:pPr>
            <w:r w:rsidRPr="00E00B35">
              <w:rPr>
                <w:color w:val="000000"/>
                <w:szCs w:val="20"/>
              </w:rPr>
              <w:t>378</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r w:rsidRPr="00E00B35">
              <w:rPr>
                <w:color w:val="000000"/>
                <w:szCs w:val="20"/>
              </w:rPr>
              <w:t>8.</w:t>
            </w:r>
          </w:p>
        </w:tc>
        <w:tc>
          <w:tcPr>
            <w:tcW w:w="5234" w:type="dxa"/>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Zapewnienie wysokiej jakości kształcenia oraz wsparcia psychologiczno-pedagogicznego wszystkim uczniom z uwzględnieniem zróżnicowania ich potrzeb rozwojowych </w:t>
            </w:r>
            <w:r w:rsidRPr="00E00B35">
              <w:rPr>
                <w:color w:val="000000"/>
                <w:szCs w:val="20"/>
                <w:lang w:val="pl-PL"/>
              </w:rPr>
              <w:br/>
              <w:t>i edukacyjnych</w:t>
            </w:r>
          </w:p>
        </w:tc>
        <w:tc>
          <w:tcPr>
            <w:tcW w:w="1145" w:type="dxa"/>
            <w:vAlign w:val="center"/>
          </w:tcPr>
          <w:p w:rsidR="008C7751" w:rsidRPr="00E00B35" w:rsidRDefault="008C7751" w:rsidP="00E00B35">
            <w:pPr>
              <w:spacing w:after="0" w:line="312" w:lineRule="auto"/>
              <w:rPr>
                <w:color w:val="000000"/>
                <w:szCs w:val="20"/>
              </w:rPr>
            </w:pPr>
            <w:r w:rsidRPr="00E00B35">
              <w:rPr>
                <w:color w:val="000000"/>
                <w:szCs w:val="20"/>
              </w:rPr>
              <w:t>52</w:t>
            </w:r>
          </w:p>
        </w:tc>
        <w:tc>
          <w:tcPr>
            <w:tcW w:w="1984" w:type="dxa"/>
            <w:gridSpan w:val="2"/>
            <w:vAlign w:val="center"/>
          </w:tcPr>
          <w:p w:rsidR="008C7751" w:rsidRPr="00E00B35" w:rsidRDefault="008C7751" w:rsidP="00E00B35">
            <w:pPr>
              <w:spacing w:after="0" w:line="312" w:lineRule="auto"/>
              <w:rPr>
                <w:color w:val="000000"/>
                <w:szCs w:val="20"/>
              </w:rPr>
            </w:pPr>
            <w:r w:rsidRPr="00E00B35">
              <w:rPr>
                <w:color w:val="000000"/>
                <w:szCs w:val="20"/>
              </w:rPr>
              <w:t>1 273</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r w:rsidRPr="00E00B35">
              <w:rPr>
                <w:color w:val="000000"/>
                <w:szCs w:val="20"/>
              </w:rPr>
              <w:t>9.</w:t>
            </w:r>
          </w:p>
        </w:tc>
        <w:tc>
          <w:tcPr>
            <w:tcW w:w="5234" w:type="dxa"/>
          </w:tcPr>
          <w:p w:rsidR="008C7751" w:rsidRPr="00E00B35" w:rsidRDefault="008C7751" w:rsidP="00E00B35">
            <w:pPr>
              <w:spacing w:after="0" w:line="312" w:lineRule="auto"/>
              <w:rPr>
                <w:color w:val="000000"/>
                <w:szCs w:val="20"/>
              </w:rPr>
            </w:pPr>
            <w:r w:rsidRPr="00E00B35">
              <w:rPr>
                <w:color w:val="000000"/>
                <w:szCs w:val="20"/>
                <w:lang w:val="pl-PL"/>
              </w:rPr>
              <w:t xml:space="preserve">Wykorzystanie w procesach edukacyjnych narzędzi i zasobów cyfrowych oraz metod kształcenia na odległość. </w:t>
            </w:r>
            <w:r w:rsidRPr="00E00B35">
              <w:rPr>
                <w:color w:val="000000"/>
                <w:szCs w:val="20"/>
              </w:rPr>
              <w:t>Bezpieczne i efektywne korzystanie z technologii cyfrowych</w:t>
            </w:r>
          </w:p>
        </w:tc>
        <w:tc>
          <w:tcPr>
            <w:tcW w:w="1257" w:type="dxa"/>
            <w:gridSpan w:val="2"/>
            <w:vAlign w:val="center"/>
          </w:tcPr>
          <w:p w:rsidR="008C7751" w:rsidRPr="00E00B35" w:rsidRDefault="008C7751" w:rsidP="00E00B35">
            <w:pPr>
              <w:spacing w:after="0" w:line="312" w:lineRule="auto"/>
              <w:rPr>
                <w:color w:val="000000"/>
                <w:szCs w:val="20"/>
              </w:rPr>
            </w:pPr>
            <w:r w:rsidRPr="00E00B35">
              <w:rPr>
                <w:color w:val="000000"/>
                <w:szCs w:val="20"/>
              </w:rPr>
              <w:t>125</w:t>
            </w:r>
          </w:p>
        </w:tc>
        <w:tc>
          <w:tcPr>
            <w:tcW w:w="1872" w:type="dxa"/>
            <w:vAlign w:val="center"/>
          </w:tcPr>
          <w:p w:rsidR="008C7751" w:rsidRPr="00E00B35" w:rsidRDefault="008C7751" w:rsidP="00E00B35">
            <w:pPr>
              <w:spacing w:after="0" w:line="312" w:lineRule="auto"/>
              <w:rPr>
                <w:color w:val="000000"/>
                <w:szCs w:val="20"/>
              </w:rPr>
            </w:pPr>
            <w:r w:rsidRPr="00E00B35">
              <w:rPr>
                <w:color w:val="000000"/>
                <w:szCs w:val="20"/>
              </w:rPr>
              <w:t>3 193</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r w:rsidRPr="00E00B35">
              <w:rPr>
                <w:color w:val="000000"/>
                <w:szCs w:val="20"/>
              </w:rPr>
              <w:t>10.</w:t>
            </w:r>
          </w:p>
        </w:tc>
        <w:tc>
          <w:tcPr>
            <w:tcW w:w="5234" w:type="dxa"/>
          </w:tcPr>
          <w:p w:rsidR="008C7751" w:rsidRPr="00E00B35" w:rsidRDefault="008C7751" w:rsidP="00E00B35">
            <w:pPr>
              <w:spacing w:after="0" w:line="312" w:lineRule="auto"/>
              <w:rPr>
                <w:color w:val="000000"/>
                <w:szCs w:val="20"/>
                <w:lang w:val="pl-PL"/>
              </w:rPr>
            </w:pPr>
            <w:r w:rsidRPr="00E00B35">
              <w:rPr>
                <w:color w:val="000000"/>
                <w:szCs w:val="20"/>
                <w:lang w:val="pl-PL"/>
              </w:rPr>
              <w:t>Działania wychowawcze szkoły. Wychowanie do wartości, kształtowanie postaw i respektowanie norm społecznych</w:t>
            </w:r>
          </w:p>
        </w:tc>
        <w:tc>
          <w:tcPr>
            <w:tcW w:w="1257" w:type="dxa"/>
            <w:gridSpan w:val="2"/>
            <w:vAlign w:val="center"/>
          </w:tcPr>
          <w:p w:rsidR="008C7751" w:rsidRPr="00E00B35" w:rsidRDefault="008C7751" w:rsidP="00E00B35">
            <w:pPr>
              <w:spacing w:after="0" w:line="312" w:lineRule="auto"/>
              <w:rPr>
                <w:color w:val="000000"/>
                <w:szCs w:val="20"/>
              </w:rPr>
            </w:pPr>
            <w:r w:rsidRPr="00E00B35">
              <w:rPr>
                <w:color w:val="000000"/>
                <w:szCs w:val="20"/>
              </w:rPr>
              <w:t>75</w:t>
            </w:r>
          </w:p>
        </w:tc>
        <w:tc>
          <w:tcPr>
            <w:tcW w:w="1872" w:type="dxa"/>
            <w:vAlign w:val="center"/>
          </w:tcPr>
          <w:p w:rsidR="008C7751" w:rsidRPr="00E00B35" w:rsidRDefault="008C7751" w:rsidP="00E00B35">
            <w:pPr>
              <w:spacing w:after="0" w:line="312" w:lineRule="auto"/>
              <w:rPr>
                <w:color w:val="000000"/>
                <w:szCs w:val="20"/>
              </w:rPr>
            </w:pPr>
            <w:r w:rsidRPr="00E00B35">
              <w:rPr>
                <w:color w:val="000000"/>
                <w:szCs w:val="20"/>
              </w:rPr>
              <w:t>1 577</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r w:rsidRPr="00E00B35">
              <w:rPr>
                <w:color w:val="000000"/>
                <w:szCs w:val="20"/>
              </w:rPr>
              <w:t>11.</w:t>
            </w:r>
          </w:p>
        </w:tc>
        <w:tc>
          <w:tcPr>
            <w:tcW w:w="5234" w:type="dxa"/>
          </w:tcPr>
          <w:p w:rsidR="008C7751" w:rsidRPr="00E00B35" w:rsidRDefault="008C7751" w:rsidP="00E00B35">
            <w:pPr>
              <w:spacing w:after="0" w:line="312" w:lineRule="auto"/>
              <w:rPr>
                <w:color w:val="000000"/>
                <w:szCs w:val="20"/>
                <w:lang w:val="pl-PL"/>
              </w:rPr>
            </w:pPr>
            <w:r w:rsidRPr="00E00B35">
              <w:rPr>
                <w:color w:val="000000"/>
                <w:szCs w:val="20"/>
                <w:lang w:val="pl-PL"/>
              </w:rPr>
              <w:t>Uwzględnienie w procesach edukacyjnych wymagań egzaminacyjnych dotyczących egzaminu ósmoklasisty i egzaminu maturalnego przeprowadzanego w roku 2021</w:t>
            </w:r>
          </w:p>
        </w:tc>
        <w:tc>
          <w:tcPr>
            <w:tcW w:w="1257" w:type="dxa"/>
            <w:gridSpan w:val="2"/>
            <w:vAlign w:val="center"/>
          </w:tcPr>
          <w:p w:rsidR="008C7751" w:rsidRPr="00E00B35" w:rsidRDefault="008C7751" w:rsidP="00E00B35">
            <w:pPr>
              <w:spacing w:after="0" w:line="312" w:lineRule="auto"/>
              <w:rPr>
                <w:color w:val="000000"/>
                <w:szCs w:val="20"/>
              </w:rPr>
            </w:pPr>
            <w:r w:rsidRPr="00E00B35">
              <w:rPr>
                <w:color w:val="000000"/>
                <w:szCs w:val="20"/>
              </w:rPr>
              <w:t>14</w:t>
            </w:r>
          </w:p>
        </w:tc>
        <w:tc>
          <w:tcPr>
            <w:tcW w:w="1872" w:type="dxa"/>
            <w:vAlign w:val="center"/>
          </w:tcPr>
          <w:p w:rsidR="008C7751" w:rsidRPr="00E00B35" w:rsidRDefault="008C7751" w:rsidP="00E00B35">
            <w:pPr>
              <w:spacing w:after="0" w:line="312" w:lineRule="auto"/>
              <w:rPr>
                <w:color w:val="000000"/>
                <w:szCs w:val="20"/>
              </w:rPr>
            </w:pPr>
            <w:r w:rsidRPr="00E00B35">
              <w:rPr>
                <w:color w:val="000000"/>
                <w:szCs w:val="20"/>
              </w:rPr>
              <w:t>127</w:t>
            </w:r>
          </w:p>
        </w:tc>
      </w:tr>
      <w:tr w:rsidR="008C7751" w:rsidRPr="00E00B35" w:rsidTr="008C7751">
        <w:tc>
          <w:tcPr>
            <w:tcW w:w="709" w:type="dxa"/>
            <w:vAlign w:val="center"/>
          </w:tcPr>
          <w:p w:rsidR="008C7751" w:rsidRPr="00E00B35" w:rsidRDefault="008C7751" w:rsidP="00E00B35">
            <w:pPr>
              <w:spacing w:after="0" w:line="312" w:lineRule="auto"/>
              <w:rPr>
                <w:color w:val="000000"/>
                <w:szCs w:val="20"/>
              </w:rPr>
            </w:pPr>
          </w:p>
        </w:tc>
        <w:tc>
          <w:tcPr>
            <w:tcW w:w="5234" w:type="dxa"/>
          </w:tcPr>
          <w:p w:rsidR="008C7751" w:rsidRPr="00E00B35" w:rsidRDefault="008C7751" w:rsidP="00E00B35">
            <w:pPr>
              <w:spacing w:after="0" w:line="312" w:lineRule="auto"/>
              <w:rPr>
                <w:color w:val="000000"/>
                <w:szCs w:val="20"/>
              </w:rPr>
            </w:pPr>
            <w:r w:rsidRPr="00E00B35">
              <w:rPr>
                <w:color w:val="000000"/>
                <w:szCs w:val="20"/>
              </w:rPr>
              <w:t>Razem</w:t>
            </w:r>
          </w:p>
        </w:tc>
        <w:tc>
          <w:tcPr>
            <w:tcW w:w="1257" w:type="dxa"/>
            <w:gridSpan w:val="2"/>
            <w:vAlign w:val="center"/>
          </w:tcPr>
          <w:p w:rsidR="008C7751" w:rsidRPr="00E00B35" w:rsidRDefault="008C7751" w:rsidP="00E00B35">
            <w:pPr>
              <w:spacing w:after="0" w:line="312" w:lineRule="auto"/>
              <w:rPr>
                <w:color w:val="000000"/>
                <w:szCs w:val="20"/>
              </w:rPr>
            </w:pPr>
            <w:r w:rsidRPr="00E00B35">
              <w:rPr>
                <w:color w:val="000000"/>
                <w:szCs w:val="20"/>
              </w:rPr>
              <w:t>417</w:t>
            </w:r>
          </w:p>
        </w:tc>
        <w:tc>
          <w:tcPr>
            <w:tcW w:w="1872" w:type="dxa"/>
            <w:vAlign w:val="center"/>
          </w:tcPr>
          <w:p w:rsidR="008C7751" w:rsidRPr="00E00B35" w:rsidRDefault="008C7751" w:rsidP="00E00B35">
            <w:pPr>
              <w:spacing w:after="0" w:line="312" w:lineRule="auto"/>
              <w:rPr>
                <w:color w:val="000000"/>
                <w:szCs w:val="20"/>
              </w:rPr>
            </w:pPr>
            <w:r w:rsidRPr="00E00B35">
              <w:rPr>
                <w:color w:val="000000"/>
                <w:szCs w:val="20"/>
              </w:rPr>
              <w:t>8 592</w:t>
            </w:r>
          </w:p>
        </w:tc>
      </w:tr>
    </w:tbl>
    <w:p w:rsidR="008C7751" w:rsidRPr="00E00B35" w:rsidRDefault="008C7751" w:rsidP="00E00B35">
      <w:pPr>
        <w:pStyle w:val="youthaffcent"/>
        <w:keepNext w:val="0"/>
        <w:tabs>
          <w:tab w:val="clear" w:pos="284"/>
        </w:tabs>
        <w:spacing w:before="0" w:after="0" w:line="312" w:lineRule="auto"/>
        <w:jc w:val="left"/>
        <w:rPr>
          <w:rFonts w:ascii="Verdana" w:hAnsi="Verdana"/>
          <w:color w:val="000000"/>
        </w:rPr>
      </w:pPr>
    </w:p>
    <w:p w:rsidR="008C7751" w:rsidRPr="00E00B35" w:rsidRDefault="008C7751" w:rsidP="00E00B35">
      <w:pPr>
        <w:pStyle w:val="kasia"/>
        <w:spacing w:after="0" w:line="312" w:lineRule="auto"/>
        <w:rPr>
          <w:color w:val="000000"/>
          <w:szCs w:val="20"/>
        </w:rPr>
      </w:pPr>
      <w:r w:rsidRPr="00E00B35">
        <w:rPr>
          <w:noProof/>
          <w:color w:val="000000"/>
          <w:szCs w:val="20"/>
          <w:lang w:val="pl-PL" w:eastAsia="pl-PL" w:bidi="ar-SA"/>
        </w:rPr>
        <w:drawing>
          <wp:inline distT="0" distB="0" distL="0" distR="0">
            <wp:extent cx="5556885" cy="2543810"/>
            <wp:effectExtent l="0" t="0" r="5715" b="8890"/>
            <wp:docPr id="3" name="Wykres 1" descr="Wykres słupkowy przedstawiający liczbę form doskonalenia w zakresie kierunków polityki oświatowej oraz wprowadzania zmian w systemie oświaty."/>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C7751" w:rsidRPr="00E00B35" w:rsidRDefault="008C7751" w:rsidP="00E00B35">
      <w:pPr>
        <w:pStyle w:val="kasia"/>
        <w:spacing w:after="0" w:line="312" w:lineRule="auto"/>
        <w:rPr>
          <w:color w:val="000000"/>
          <w:szCs w:val="20"/>
        </w:rPr>
      </w:pPr>
    </w:p>
    <w:p w:rsidR="008C7751" w:rsidRPr="00E00B35" w:rsidRDefault="008C7751" w:rsidP="00E00B35">
      <w:pPr>
        <w:pStyle w:val="kasia"/>
        <w:spacing w:after="0" w:line="312" w:lineRule="auto"/>
        <w:rPr>
          <w:color w:val="000000"/>
          <w:szCs w:val="20"/>
        </w:rPr>
      </w:pPr>
      <w:r w:rsidRPr="00E00B35">
        <w:rPr>
          <w:noProof/>
          <w:color w:val="000000"/>
          <w:szCs w:val="20"/>
          <w:lang w:val="pl-PL" w:eastAsia="pl-PL" w:bidi="ar-SA"/>
        </w:rPr>
        <w:lastRenderedPageBreak/>
        <w:drawing>
          <wp:inline distT="0" distB="0" distL="0" distR="0">
            <wp:extent cx="5625465" cy="3531235"/>
            <wp:effectExtent l="0" t="0" r="13335" b="12065"/>
            <wp:docPr id="4" name="Wykres 1" descr="Wykres słupkowy przedstawiający liczbę przeszkolonych nauczycieli w zakresie kierunków polityki oświatowej oraz wprowadzania zmian w systemie oświaty."/>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A5627F" w:rsidRPr="00E00B35" w:rsidRDefault="008C7751" w:rsidP="00E00B35">
      <w:pPr>
        <w:pStyle w:val="Nagwek3"/>
        <w:spacing w:after="0" w:line="312" w:lineRule="auto"/>
        <w:rPr>
          <w:sz w:val="20"/>
          <w:lang w:val="pl-PL"/>
        </w:rPr>
      </w:pPr>
      <w:r w:rsidRPr="00E00B35">
        <w:rPr>
          <w:sz w:val="20"/>
          <w:lang w:val="pl-PL"/>
        </w:rPr>
        <w:t xml:space="preserve"> </w:t>
      </w:r>
      <w:bookmarkStart w:id="74" w:name="_Toc72411092"/>
    </w:p>
    <w:p w:rsidR="008C7751" w:rsidRPr="00E00B35" w:rsidRDefault="008C7751" w:rsidP="00E00B35">
      <w:pPr>
        <w:pStyle w:val="Nagwek4"/>
        <w:spacing w:before="0" w:after="0" w:line="312" w:lineRule="auto"/>
        <w:rPr>
          <w:sz w:val="20"/>
          <w:szCs w:val="20"/>
          <w:lang w:val="pl-PL"/>
        </w:rPr>
      </w:pPr>
      <w:r w:rsidRPr="00E00B35">
        <w:rPr>
          <w:sz w:val="20"/>
          <w:szCs w:val="20"/>
          <w:lang w:val="pl-PL"/>
        </w:rPr>
        <w:t>Konkursy na stanowisko dyrektora szkoły</w:t>
      </w:r>
      <w:bookmarkEnd w:id="74"/>
    </w:p>
    <w:p w:rsidR="008C7751" w:rsidRPr="00E00B35" w:rsidRDefault="008C7751" w:rsidP="00E00B35">
      <w:pPr>
        <w:pStyle w:val="11TrescpismaZnak"/>
        <w:spacing w:after="0" w:line="312" w:lineRule="auto"/>
        <w:jc w:val="left"/>
        <w:rPr>
          <w:color w:val="000000"/>
          <w:lang w:val="pl-PL"/>
        </w:rPr>
      </w:pPr>
      <w:r w:rsidRPr="00E00B35">
        <w:rPr>
          <w:color w:val="000000"/>
          <w:lang w:val="pl-PL"/>
        </w:rPr>
        <w:t>Przeprowadzono konkursy na stanowisko dyrektora</w:t>
      </w:r>
      <w:r w:rsidRPr="00E00B35">
        <w:rPr>
          <w:bCs/>
          <w:color w:val="000000"/>
          <w:lang w:val="pl-PL"/>
        </w:rPr>
        <w:t xml:space="preserve"> szkół/placówek</w:t>
      </w:r>
      <w:r w:rsidRPr="00E00B35">
        <w:rPr>
          <w:color w:val="000000"/>
          <w:lang w:val="pl-PL"/>
        </w:rPr>
        <w:t>:</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przedszkolach nr: 2, 6, 25, 36, 41, 47, 50, 79, 82, 90, 106 - 11 konkursów,</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szkołach podstawowych nr: 30, 36, 37, 51, 61 – 5 konkursów,</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zespołach szkolno-przedszkolnych nr: 9,11,14 – 3 konkursy,</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szkołach ponadpodstawowych: LO I, LO III, Zespół Szkół Logistycznych – 3 konkursy,</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w szkołach specjalnych: Zespół Szkół nr 12 – 1 konkurs</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szCs w:val="20"/>
          <w:lang w:val="pl-PL"/>
        </w:rPr>
        <w:t xml:space="preserve">Razem: 23 konkursy </w:t>
      </w:r>
    </w:p>
    <w:p w:rsidR="00A5627F" w:rsidRPr="00E00B35" w:rsidRDefault="00A5627F" w:rsidP="00E00B35">
      <w:pPr>
        <w:pStyle w:val="Akapitzlist"/>
        <w:spacing w:after="0" w:line="312" w:lineRule="auto"/>
        <w:ind w:left="357"/>
        <w:rPr>
          <w:szCs w:val="20"/>
          <w:lang w:val="pl-PL"/>
        </w:rPr>
      </w:pPr>
    </w:p>
    <w:p w:rsidR="008C7751" w:rsidRPr="00E00B35" w:rsidRDefault="008C7751" w:rsidP="00E00B35">
      <w:pPr>
        <w:autoSpaceDE w:val="0"/>
        <w:autoSpaceDN w:val="0"/>
        <w:adjustRightInd w:val="0"/>
        <w:spacing w:after="0" w:line="312" w:lineRule="auto"/>
        <w:rPr>
          <w:rFonts w:eastAsia="MS Mincho" w:cs="Verdana"/>
          <w:color w:val="000000"/>
          <w:szCs w:val="20"/>
          <w:lang w:val="pl-PL"/>
        </w:rPr>
      </w:pPr>
      <w:r w:rsidRPr="00E00B35">
        <w:rPr>
          <w:rFonts w:eastAsia="MS Mincho" w:cs="Verdana"/>
          <w:color w:val="000000"/>
          <w:szCs w:val="20"/>
          <w:lang w:val="pl-PL"/>
        </w:rPr>
        <w:t xml:space="preserve">W 2020 r. zaplanowane były konkursy na stanowisko dyrektora: Liceum Ogólnokształcącego nr I, Liceum Ogólnokształcącego nr III, Zespołu Szkół Logistycznych, Zespołu Szkół Gastronomicznych, Wrocławskiego Centrum Doskonalenia Nauczycieli, Zespołu Szkół nr 12, Szkoły Podstawowej nr 101 oraz Zespołu Placówek Oświatowych nr 3. </w:t>
      </w:r>
    </w:p>
    <w:p w:rsidR="008C7751" w:rsidRPr="00E00B35" w:rsidRDefault="008C7751" w:rsidP="00E00B35">
      <w:pPr>
        <w:autoSpaceDE w:val="0"/>
        <w:autoSpaceDN w:val="0"/>
        <w:adjustRightInd w:val="0"/>
        <w:spacing w:after="0" w:line="312" w:lineRule="auto"/>
        <w:rPr>
          <w:rFonts w:eastAsia="MS Mincho" w:cs="Verdana"/>
          <w:color w:val="000000"/>
          <w:szCs w:val="20"/>
          <w:lang w:val="pl-PL"/>
        </w:rPr>
      </w:pPr>
      <w:r w:rsidRPr="00E00B35">
        <w:rPr>
          <w:rFonts w:eastAsia="MS Mincho" w:cs="Verdana"/>
          <w:color w:val="000000"/>
          <w:szCs w:val="20"/>
          <w:lang w:val="pl-PL"/>
        </w:rPr>
        <w:t>Z powodu ogłoszenia stanu epidemii, ogłoszone przed 26 marca 2020 r. i niezakończone konkursy zostały odwołane, a następnie unieważnione (poza Zespołem Szkół Logistycznych), (podstawa prawna: § 11h ust. 3 rozporządzenia Ministra Edukacji Narodowej z dnia 20 marca 2020 r. w sprawie szczególnych rozwiązań w okresie czasowego ograniczenia funkcjonowania jednostek systemu oświaty w związku z zapobieganiem, przeciwdziałaniem i zwalczaniem COVID – 19 (Dz.U. z 2020 r. poz. 493 ze zmianami).</w:t>
      </w:r>
    </w:p>
    <w:p w:rsidR="008C7751" w:rsidRPr="00E00B35" w:rsidRDefault="008C7751" w:rsidP="00E00B35">
      <w:pPr>
        <w:autoSpaceDE w:val="0"/>
        <w:autoSpaceDN w:val="0"/>
        <w:adjustRightInd w:val="0"/>
        <w:spacing w:after="0" w:line="312" w:lineRule="auto"/>
        <w:rPr>
          <w:rFonts w:eastAsia="MS Mincho" w:cs="Verdana"/>
          <w:color w:val="000000"/>
          <w:szCs w:val="20"/>
          <w:lang w:val="pl-PL"/>
        </w:rPr>
      </w:pPr>
      <w:r w:rsidRPr="00E00B35">
        <w:rPr>
          <w:rFonts w:eastAsia="MS Mincho" w:cs="Verdana"/>
          <w:color w:val="000000"/>
          <w:szCs w:val="20"/>
          <w:lang w:val="pl-PL"/>
        </w:rPr>
        <w:t xml:space="preserve">Na podstawie § 11h ust. 1a pkt 1 w/w rozporządzenia przedłużono na okres od 1 września 2020 r. do 31 sierpnia 2021 r. powierzenie stanowiska dyrektora: Zespołu Szkół </w:t>
      </w:r>
      <w:r w:rsidRPr="00E00B35">
        <w:rPr>
          <w:rFonts w:eastAsia="MS Mincho" w:cs="Verdana"/>
          <w:color w:val="000000"/>
          <w:szCs w:val="20"/>
          <w:lang w:val="pl-PL"/>
        </w:rPr>
        <w:lastRenderedPageBreak/>
        <w:t xml:space="preserve">Gastronomicznych, Szkoły Podstawowej nr 101, Wrocławskiego Centrum Doskonalenia Nauczycieli oraz Zespołu Placówek Oświatowych nr 3. </w:t>
      </w:r>
    </w:p>
    <w:p w:rsidR="008C7751" w:rsidRPr="00E00B35" w:rsidRDefault="008C7751" w:rsidP="00E00B35">
      <w:pPr>
        <w:pStyle w:val="Standard"/>
        <w:spacing w:after="0" w:line="312" w:lineRule="auto"/>
        <w:rPr>
          <w:rFonts w:ascii="Verdana" w:eastAsia="MS Mincho" w:hAnsi="Verdana" w:cs="Verdana"/>
          <w:color w:val="000000"/>
          <w:sz w:val="20"/>
          <w:szCs w:val="20"/>
        </w:rPr>
      </w:pPr>
      <w:r w:rsidRPr="00E00B35">
        <w:rPr>
          <w:rFonts w:ascii="Verdana" w:eastAsia="MS Mincho" w:hAnsi="Verdana" w:cs="Verdana"/>
          <w:color w:val="000000"/>
          <w:sz w:val="20"/>
          <w:szCs w:val="20"/>
        </w:rPr>
        <w:t>Z powodu braku możliwości przedłużenia stanowiska dyrektora Liceum Ogólnokształcącego nr I, Liceum Ogólnokształcącego nr III oraz Zespołu Szkół nr 12, konkursy na stanowisko dyrektora tych szkół odbyły się w czerwcu i we wrześniu 2020 r.</w:t>
      </w:r>
    </w:p>
    <w:p w:rsidR="00A5627F" w:rsidRPr="00E00B35" w:rsidRDefault="00A5627F" w:rsidP="00E00B35">
      <w:pPr>
        <w:pStyle w:val="Nagwek4"/>
        <w:spacing w:before="0" w:after="0" w:line="312" w:lineRule="auto"/>
        <w:rPr>
          <w:sz w:val="20"/>
          <w:szCs w:val="20"/>
          <w:lang w:val="pl-PL"/>
        </w:rPr>
      </w:pPr>
      <w:bookmarkStart w:id="75" w:name="_Toc72411093"/>
    </w:p>
    <w:p w:rsidR="008C7751" w:rsidRPr="00E00B35" w:rsidRDefault="008C7751" w:rsidP="00E00B35">
      <w:pPr>
        <w:pStyle w:val="Nagwek4"/>
        <w:spacing w:before="0" w:after="0" w:line="312" w:lineRule="auto"/>
        <w:rPr>
          <w:sz w:val="20"/>
          <w:szCs w:val="20"/>
          <w:lang w:val="pl-PL"/>
        </w:rPr>
      </w:pPr>
      <w:r w:rsidRPr="00E00B35">
        <w:rPr>
          <w:sz w:val="20"/>
          <w:szCs w:val="20"/>
          <w:lang w:val="pl-PL"/>
        </w:rPr>
        <w:t>Nagrody dla dyrektorów i nauczycieli</w:t>
      </w:r>
      <w:bookmarkEnd w:id="75"/>
    </w:p>
    <w:p w:rsidR="008C7751" w:rsidRPr="00E00B35" w:rsidRDefault="008C7751" w:rsidP="00E00B35">
      <w:pPr>
        <w:pStyle w:val="11TrescpismaZnak"/>
        <w:spacing w:after="0" w:line="312" w:lineRule="auto"/>
        <w:jc w:val="left"/>
        <w:rPr>
          <w:strike/>
          <w:color w:val="000000"/>
          <w:lang w:val="pl-PL"/>
        </w:rPr>
      </w:pPr>
      <w:r w:rsidRPr="00E00B35">
        <w:rPr>
          <w:rFonts w:eastAsia="MS Mincho"/>
          <w:color w:val="000000"/>
          <w:lang w:val="pl-PL"/>
        </w:rPr>
        <w:t>Prezydent Wrocławia przyznał dyrektorom i nauczycielom szkół i placówek oświatowych prowadzonych przez Miasto 169 nagród pieniężnych za znaczące osiągnięcia dydaktyczne i wychowawcze w kwocie 7 000 zł brutto. Przygotowano wnioski i wystąpiono o przyznanie Nagrody Dolnośląskiego Kuratora Oświaty dla 9 dyrektorów.</w:t>
      </w:r>
    </w:p>
    <w:p w:rsidR="00A5627F" w:rsidRPr="00E00B35" w:rsidRDefault="00A5627F" w:rsidP="00E00B35">
      <w:pPr>
        <w:pStyle w:val="Nagwek20"/>
        <w:keepNext/>
        <w:keepLines/>
        <w:spacing w:after="0" w:line="312" w:lineRule="auto"/>
        <w:ind w:left="357" w:hanging="357"/>
        <w:rPr>
          <w:sz w:val="20"/>
          <w:szCs w:val="20"/>
          <w:lang w:val="pl-PL"/>
        </w:rPr>
      </w:pPr>
      <w:bookmarkStart w:id="76" w:name="_Toc61013147"/>
      <w:bookmarkStart w:id="77" w:name="_Toc61013427"/>
      <w:bookmarkStart w:id="78" w:name="_Toc72411094"/>
    </w:p>
    <w:p w:rsidR="008C7751" w:rsidRPr="00E00B35" w:rsidRDefault="008C7751" w:rsidP="00E00B35">
      <w:pPr>
        <w:pStyle w:val="Nagwek3"/>
        <w:spacing w:after="0" w:line="312" w:lineRule="auto"/>
        <w:rPr>
          <w:sz w:val="20"/>
        </w:rPr>
      </w:pPr>
      <w:r w:rsidRPr="00E00B35">
        <w:rPr>
          <w:sz w:val="20"/>
        </w:rPr>
        <w:t>Inicjatywy i programy edukacyjne</w:t>
      </w:r>
      <w:bookmarkEnd w:id="76"/>
      <w:bookmarkEnd w:id="77"/>
      <w:bookmarkEnd w:id="78"/>
    </w:p>
    <w:p w:rsidR="008C7751" w:rsidRPr="00E00B35" w:rsidRDefault="008C7751" w:rsidP="00E00B35">
      <w:pPr>
        <w:pStyle w:val="Tekstpodstawowy2"/>
        <w:spacing w:after="0" w:line="312" w:lineRule="auto"/>
        <w:rPr>
          <w:b w:val="0"/>
          <w:color w:val="000000"/>
          <w:sz w:val="20"/>
          <w:szCs w:val="20"/>
          <w:lang w:val="pl-PL"/>
        </w:rPr>
      </w:pPr>
      <w:r w:rsidRPr="00E00B35">
        <w:rPr>
          <w:b w:val="0"/>
          <w:color w:val="000000"/>
          <w:sz w:val="20"/>
          <w:szCs w:val="20"/>
          <w:lang w:val="pl-PL"/>
        </w:rPr>
        <w:t xml:space="preserve">Celem Wrocławskiej Strategii Edukacyjnej jest stworzenie warunków dla funkcjonowania systemu edukacji o najwyższych standardach wychowania i kształcenia. </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Pracownia Badań i Analiz Wrocławskiego Centrum Doskonalenia Nauczycieli (WCDN) przeprowadziła 8 </w:t>
      </w:r>
      <w:r w:rsidRPr="00E00B35">
        <w:rPr>
          <w:bCs/>
          <w:color w:val="000000"/>
          <w:szCs w:val="20"/>
          <w:lang w:val="pl-PL"/>
        </w:rPr>
        <w:t>diagnoz z zakresu matematyki i języka polskiego</w:t>
      </w:r>
      <w:r w:rsidRPr="00E00B35">
        <w:rPr>
          <w:color w:val="000000"/>
          <w:szCs w:val="20"/>
          <w:lang w:val="pl-PL"/>
        </w:rPr>
        <w:t xml:space="preserve"> dla szkół podstawowych i ponadpodstawowych oraz 2 diagnozy z zakresu języków obcych (angielskiego i niemieckiego)</w:t>
      </w:r>
      <w:r w:rsidRPr="00E00B35">
        <w:rPr>
          <w:b/>
          <w:color w:val="000000"/>
          <w:szCs w:val="20"/>
          <w:lang w:val="pl-PL"/>
        </w:rPr>
        <w:t xml:space="preserve"> </w:t>
      </w:r>
      <w:r w:rsidRPr="00E00B35">
        <w:rPr>
          <w:color w:val="000000"/>
          <w:szCs w:val="20"/>
          <w:lang w:val="pl-PL"/>
        </w:rPr>
        <w:t>dla szkół podstawowych. W diagnozach wzięło udział 15 376 uczniów szkół ponadpodstawowych i 23 149 uczniów szkół podstawowych. Analizy wyników przeprowadzonych diagnoz przedstawiono na 9 podsumowujących konferencjach online dla dyrektorów i nauczycieli z 36 szkół ponadpodstawowych i 74 szkół podstawowych. Nauczyciele otrzymali rekomendacje i materiały do pracy ze swoimi uczniami. Ponadto wrocławscy pedagodzy mają do dyspozycji archiwum diagnoz przygotowanych przez WCDN z ostatnich dwunastu lat szkolnych, znajdują się tam również opracowane na potrzeby podnoszenia efektywności nauczania dwie strategie – matematyczna i humanistyczna.</w:t>
      </w:r>
    </w:p>
    <w:p w:rsidR="00A5627F" w:rsidRPr="00E00B35" w:rsidRDefault="00A5627F" w:rsidP="00E00B35">
      <w:pPr>
        <w:spacing w:after="0" w:line="312" w:lineRule="auto"/>
        <w:rPr>
          <w:color w:val="000000"/>
          <w:szCs w:val="20"/>
          <w:lang w:val="pl-PL"/>
        </w:rPr>
      </w:pPr>
    </w:p>
    <w:p w:rsidR="008C7751" w:rsidRPr="00E00B35" w:rsidRDefault="008C7751" w:rsidP="00E00B35">
      <w:pPr>
        <w:pStyle w:val="Nagwek3"/>
        <w:spacing w:after="0" w:line="312" w:lineRule="auto"/>
        <w:rPr>
          <w:sz w:val="20"/>
        </w:rPr>
      </w:pPr>
      <w:bookmarkStart w:id="79" w:name="_Toc72411095"/>
      <w:r w:rsidRPr="00E00B35">
        <w:rPr>
          <w:sz w:val="20"/>
        </w:rPr>
        <w:t>Realizacja programów miejskich</w:t>
      </w:r>
      <w:bookmarkEnd w:id="79"/>
    </w:p>
    <w:p w:rsidR="008C7751" w:rsidRPr="00E00B35" w:rsidRDefault="008C7751" w:rsidP="00E00B35">
      <w:pPr>
        <w:spacing w:after="0" w:line="312" w:lineRule="auto"/>
        <w:rPr>
          <w:color w:val="000000"/>
          <w:szCs w:val="20"/>
          <w:lang w:val="pl-PL"/>
        </w:rPr>
      </w:pPr>
      <w:r w:rsidRPr="00E00B35">
        <w:rPr>
          <w:color w:val="000000"/>
          <w:szCs w:val="20"/>
          <w:lang w:val="pl-PL"/>
        </w:rPr>
        <w:t xml:space="preserve">Po wybuchu pandemii koronawirusa i przejściu szkół na nauczanie zdalne doradcy metodyczni Wrocławskiego Centrum Doskonalenia Nauczycieli przygotowali pakiety materiałów dla nauczycieli wszystkich poziomów edukacyjnych (w tym scenariusze zajęć dotyczących Konstytucji RP), które zostały zamieszczone na stronie miejskiej – </w:t>
      </w:r>
      <w:hyperlink r:id="rId51" w:history="1">
        <w:r w:rsidRPr="00E00B35">
          <w:rPr>
            <w:rStyle w:val="Hipercze"/>
            <w:color w:val="000000"/>
            <w:szCs w:val="20"/>
            <w:lang w:val="pl-PL"/>
          </w:rPr>
          <w:t>www.wroclaw.pl/portal/edukacja-online</w:t>
        </w:r>
      </w:hyperlink>
      <w:r w:rsidRPr="00E00B35">
        <w:rPr>
          <w:color w:val="000000"/>
          <w:szCs w:val="20"/>
          <w:lang w:val="pl-PL"/>
        </w:rPr>
        <w:t>.</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Mimo pandemii koronawirusa kontynuowano realizację projektu </w:t>
      </w:r>
      <w:r w:rsidRPr="00E00B35">
        <w:rPr>
          <w:b/>
          <w:bCs/>
          <w:color w:val="000000"/>
          <w:szCs w:val="20"/>
          <w:lang w:val="pl-PL"/>
        </w:rPr>
        <w:t>„Szkoła w mieście</w:t>
      </w:r>
      <w:r w:rsidRPr="00E00B35">
        <w:rPr>
          <w:bCs/>
          <w:color w:val="000000"/>
          <w:szCs w:val="20"/>
          <w:lang w:val="pl-PL"/>
        </w:rPr>
        <w:t xml:space="preserve">”, który </w:t>
      </w:r>
      <w:r w:rsidRPr="00E00B35">
        <w:rPr>
          <w:color w:val="000000"/>
          <w:szCs w:val="20"/>
          <w:lang w:val="pl-PL"/>
        </w:rPr>
        <w:t>w całości jest finansowany przez Miasto</w:t>
      </w:r>
      <w:r w:rsidRPr="00E00B35">
        <w:rPr>
          <w:bCs/>
          <w:color w:val="000000"/>
          <w:szCs w:val="20"/>
          <w:lang w:val="pl-PL"/>
        </w:rPr>
        <w:t xml:space="preserve"> i ma na celu </w:t>
      </w:r>
      <w:r w:rsidRPr="00E00B35">
        <w:rPr>
          <w:color w:val="000000"/>
          <w:szCs w:val="20"/>
          <w:lang w:val="pl-PL"/>
        </w:rPr>
        <w:t xml:space="preserve">wykorzystanie „otwartej przestrzeni miasta” w edukacji (bezpłatne zajęcia w muzeach, centrach poznawczych, parkach i ogrodach, teatrach i innych placówkach kulturalnych, uczelniach, instytucjach miejskich i firmach). Prowadzono konsultacje dla nauczycieli biorących udział w projekcie, wymieniano dobre praktyki oraz realizowano formy doskonalenia dla koordynatorów i nauczycieli biorących udział w tym projekcie, m.in. bezpłatne warsztaty „Polskość jako pieśń na głosy”, cykl wykładów związanych z historią i miejscami pamięci („Tragedia Wrocławia 1945”, „Skąd my tu? Powojenne osadnictwo kresowiaków na ziemiach Dolnego </w:t>
      </w:r>
      <w:r w:rsidRPr="00E00B35">
        <w:rPr>
          <w:color w:val="000000"/>
          <w:szCs w:val="20"/>
          <w:lang w:val="pl-PL"/>
        </w:rPr>
        <w:lastRenderedPageBreak/>
        <w:t>Śląska”, „Dlaczego Wrocław nie jest Breslau”, „Nekropolie lwowska i wrocławska – źródła historii, pamięć miasta”). We współpracy z Fundacją Bente Kahan pracownicy WCDN przygotowali publikację „Nauka o Holokauście dla lepszej przyszłości. Przeciwdziałanie ksenofobii i wykluczeniu”. Wrocławski projekt „Szkoła w mieście” promowany był podczas VI Targów Edukacji Międzykulturowej i ogólnopolskiego seminarium „75 lat później... Jak uczyć o Holokauście dzisiaj i jutro”</w:t>
      </w:r>
      <w:r w:rsidRPr="00E00B35">
        <w:rPr>
          <w:bCs/>
          <w:color w:val="000000"/>
          <w:szCs w:val="20"/>
          <w:lang w:val="pl-PL"/>
        </w:rPr>
        <w:t>.</w:t>
      </w:r>
      <w:r w:rsidRPr="00E00B35">
        <w:rPr>
          <w:color w:val="000000"/>
          <w:szCs w:val="20"/>
          <w:lang w:val="pl-PL"/>
        </w:rPr>
        <w:t xml:space="preserve">  W ramach projektu „Szkoła w mieście” we wrocławskich przedszkolach, dla których Gmina Wrocław jest organem prowadzącym organizowano zajęcia dodatkowe (w szczególności rytmiki). Szkoły ponadpodstawowe w ramach projektu „Szkoła w Mieście” kontynuowały projekt „W-F w Aquaparku”. Od maja 2020 r. ze względu na pandemię COVID-19 projekt został zawieszony do odwołania. Na realizację w/w działań przeznaczono łącznie kwotę 822 697 zł. </w:t>
      </w:r>
    </w:p>
    <w:p w:rsidR="008C7751" w:rsidRPr="00E00B35" w:rsidRDefault="008C7751" w:rsidP="00E00B35">
      <w:pPr>
        <w:pStyle w:val="11TrescpismaZnak"/>
        <w:spacing w:after="0" w:line="312" w:lineRule="auto"/>
        <w:jc w:val="left"/>
        <w:rPr>
          <w:color w:val="000000"/>
          <w:lang w:val="pl-PL"/>
        </w:rPr>
      </w:pPr>
      <w:r w:rsidRPr="00E00B35">
        <w:rPr>
          <w:color w:val="000000"/>
          <w:lang w:val="pl-PL"/>
        </w:rPr>
        <w:t xml:space="preserve">Po raz piętnasty włączono się w organizację XXIII </w:t>
      </w:r>
      <w:r w:rsidRPr="00E00B35">
        <w:rPr>
          <w:bCs/>
          <w:color w:val="000000"/>
          <w:lang w:val="pl-PL"/>
        </w:rPr>
        <w:t>Dolnośląskiego Festiwalu Nauki</w:t>
      </w:r>
      <w:r w:rsidRPr="00E00B35">
        <w:rPr>
          <w:color w:val="000000"/>
          <w:lang w:val="pl-PL"/>
        </w:rPr>
        <w:t xml:space="preserve"> we współpracy z Kolegium Rektorów Uczelni Wyższych. W ramach projektu „Nauka 2.0” przeprowadzono w sposób zdalny </w:t>
      </w:r>
      <w:r w:rsidRPr="00E00B35">
        <w:rPr>
          <w:bCs/>
          <w:color w:val="000000"/>
          <w:lang w:val="pl-PL"/>
        </w:rPr>
        <w:t>Projekt Interaktywnych Pokazów,</w:t>
      </w:r>
      <w:r w:rsidRPr="00E00B35">
        <w:rPr>
          <w:b/>
          <w:bCs/>
          <w:color w:val="000000"/>
          <w:lang w:val="pl-PL"/>
        </w:rPr>
        <w:t xml:space="preserve"> </w:t>
      </w:r>
      <w:r w:rsidRPr="00E00B35">
        <w:rPr>
          <w:color w:val="000000"/>
          <w:lang w:val="pl-PL"/>
        </w:rPr>
        <w:t xml:space="preserve">w którym uczestniczyły Szkoły Podstawowe nr: 30, 44, 46, 63, 71, 99, 108, Zespoły Szkolno-Przedszkolne nr 1, 6, 13, Licea Ogólnokształcące VI, X, XIV, XVII, Technikum nr 15, Zespoły Szkół nr 2, 18, Zespół Szkół Ekonomiczno-Administracyjnych. Z budżetu Miasta na pokazy przeznaczono kwotę 51 480 zł. Zorganizowano 75 pokazów, których celem było upowszechnienie i propagowanie nauki poprzez zabawę oraz popularyzowanie walorów matematyki i innych przedmiotów ścisłych. W pokazach wzięło udział 2 342 uczniów. </w:t>
      </w:r>
    </w:p>
    <w:p w:rsidR="008C7751" w:rsidRPr="00E00B35" w:rsidRDefault="008C7751" w:rsidP="00E00B35">
      <w:pPr>
        <w:pStyle w:val="11TrescpismaZnak"/>
        <w:spacing w:after="0" w:line="312" w:lineRule="auto"/>
        <w:jc w:val="left"/>
        <w:rPr>
          <w:color w:val="000000"/>
          <w:lang w:val="pl-PL"/>
        </w:rPr>
      </w:pPr>
      <w:r w:rsidRPr="00E00B35">
        <w:rPr>
          <w:color w:val="000000"/>
          <w:lang w:val="pl-PL"/>
        </w:rPr>
        <w:t xml:space="preserve">We współpracy z Instytutem Matematycznym Uniwersytetu Wrocławskiego, kontynuowano projekt Wrocławski Portal Matematyczny dostępny pod adresem </w:t>
      </w:r>
      <w:hyperlink r:id="rId52" w:history="1">
        <w:r w:rsidRPr="00E00B35">
          <w:rPr>
            <w:rStyle w:val="Hipercze"/>
            <w:color w:val="000000"/>
            <w:lang w:val="pl-PL"/>
          </w:rPr>
          <w:t>www.matematyka.wroc.pl</w:t>
        </w:r>
      </w:hyperlink>
      <w:r w:rsidRPr="00E00B35">
        <w:rPr>
          <w:color w:val="000000"/>
          <w:lang w:val="pl-PL"/>
        </w:rPr>
        <w:t>. Wzbogacono treści portalu o kilkaset artykułów i materiałów.  Celem jest podniesienie poziomu edukacji matematycznej poprzez dostarczanie materiałów wspomagających nauczycieli i uczniów. Liczba odwiedzin strony portalu to ok. 100 000 wejść na miesiąc. Na realizację projektu w roku 2020 przeznaczono 120 000 zł.</w:t>
      </w:r>
    </w:p>
    <w:p w:rsidR="008C7751" w:rsidRPr="00E00B35" w:rsidRDefault="008C7751" w:rsidP="00E00B35">
      <w:pPr>
        <w:pStyle w:val="Akapitzlist1"/>
        <w:tabs>
          <w:tab w:val="left" w:pos="-360"/>
        </w:tabs>
        <w:spacing w:after="0" w:line="312" w:lineRule="auto"/>
        <w:ind w:left="0"/>
        <w:rPr>
          <w:rFonts w:cs="Verdana"/>
          <w:color w:val="000000"/>
          <w:szCs w:val="20"/>
          <w:lang w:val="pl-PL"/>
        </w:rPr>
      </w:pPr>
      <w:r w:rsidRPr="00E00B35">
        <w:rPr>
          <w:rFonts w:cs="Verdana"/>
          <w:color w:val="000000"/>
          <w:szCs w:val="20"/>
          <w:lang w:val="pl-PL"/>
        </w:rPr>
        <w:t xml:space="preserve">W ramach współpracy z Ambasadą Francji w Polsce kontynuowano </w:t>
      </w:r>
      <w:r w:rsidRPr="00E00B35">
        <w:rPr>
          <w:rFonts w:cs="Verdana"/>
          <w:bCs/>
          <w:color w:val="000000"/>
          <w:szCs w:val="20"/>
          <w:lang w:val="pl-PL"/>
        </w:rPr>
        <w:t>naukę języka francuskiego:</w:t>
      </w:r>
      <w:r w:rsidRPr="00E00B35">
        <w:rPr>
          <w:rFonts w:cs="Verdana"/>
          <w:color w:val="000000"/>
          <w:szCs w:val="20"/>
          <w:lang w:val="pl-PL"/>
        </w:rPr>
        <w:t xml:space="preserve"> w przedszkolach nr: 28, 33, 79 oraz w szkołach podstawowych nr: 12, 25, 36, 45, 74, 93, 113. Łącznie na realizację nauki języka francuskiego przyznano przedszkolom 0,83 etatu, a szkołom podstawowym</w:t>
      </w:r>
      <w:r w:rsidRPr="00E00B35">
        <w:rPr>
          <w:rFonts w:cs="Verdana"/>
          <w:bCs/>
          <w:color w:val="000000"/>
          <w:szCs w:val="20"/>
          <w:lang w:val="pl-PL"/>
        </w:rPr>
        <w:t xml:space="preserve"> 6,02 etatu</w:t>
      </w:r>
      <w:r w:rsidRPr="00E00B35">
        <w:rPr>
          <w:rFonts w:cs="Verdana"/>
          <w:color w:val="000000"/>
          <w:szCs w:val="20"/>
          <w:lang w:val="pl-PL"/>
        </w:rPr>
        <w:t>.</w:t>
      </w:r>
    </w:p>
    <w:p w:rsidR="008C7751" w:rsidRPr="00E00B35" w:rsidRDefault="008C7751" w:rsidP="00E00B35">
      <w:pPr>
        <w:pStyle w:val="Akapitzlist1"/>
        <w:tabs>
          <w:tab w:val="left" w:pos="-1440"/>
        </w:tabs>
        <w:spacing w:after="0" w:line="312" w:lineRule="auto"/>
        <w:ind w:left="0"/>
        <w:rPr>
          <w:rFonts w:cs="Verdana"/>
          <w:color w:val="000000"/>
          <w:szCs w:val="20"/>
          <w:lang w:val="pl-PL"/>
        </w:rPr>
      </w:pPr>
      <w:r w:rsidRPr="00E00B35">
        <w:rPr>
          <w:color w:val="000000"/>
          <w:szCs w:val="20"/>
          <w:lang w:val="pl-PL"/>
        </w:rPr>
        <w:t xml:space="preserve">W Szkole Podstawowej nr 63 przy ul. Menniczej kontynuowano </w:t>
      </w:r>
      <w:r w:rsidRPr="00E00B35">
        <w:rPr>
          <w:bCs/>
          <w:color w:val="000000"/>
          <w:szCs w:val="20"/>
          <w:lang w:val="pl-PL"/>
        </w:rPr>
        <w:t>naukę języka ukraińskiego</w:t>
      </w:r>
      <w:r w:rsidRPr="00E00B35">
        <w:rPr>
          <w:b/>
          <w:bCs/>
          <w:color w:val="000000"/>
          <w:szCs w:val="20"/>
          <w:lang w:val="pl-PL"/>
        </w:rPr>
        <w:t xml:space="preserve"> </w:t>
      </w:r>
      <w:r w:rsidRPr="00E00B35">
        <w:rPr>
          <w:bCs/>
          <w:color w:val="000000"/>
          <w:szCs w:val="20"/>
          <w:lang w:val="pl-PL"/>
        </w:rPr>
        <w:t>w wymiarze 12 godzin tygodniowo</w:t>
      </w:r>
      <w:r w:rsidRPr="00E00B35">
        <w:rPr>
          <w:b/>
          <w:bCs/>
          <w:color w:val="000000"/>
          <w:szCs w:val="20"/>
          <w:lang w:val="pl-PL"/>
        </w:rPr>
        <w:t xml:space="preserve"> </w:t>
      </w:r>
      <w:r w:rsidRPr="00E00B35">
        <w:rPr>
          <w:bCs/>
          <w:color w:val="000000"/>
          <w:szCs w:val="20"/>
          <w:lang w:val="pl-PL"/>
        </w:rPr>
        <w:t>(0,67 etatu</w:t>
      </w:r>
      <w:r w:rsidRPr="00E00B35">
        <w:rPr>
          <w:color w:val="000000"/>
          <w:szCs w:val="20"/>
          <w:lang w:val="pl-PL"/>
        </w:rPr>
        <w:t xml:space="preserve"> pedagogicznego). Do wrocławskich szkół podstawowych uczęszcza łącznie </w:t>
      </w:r>
      <w:r w:rsidRPr="00E00B35">
        <w:rPr>
          <w:bCs/>
          <w:color w:val="000000"/>
          <w:szCs w:val="20"/>
          <w:lang w:val="pl-PL"/>
        </w:rPr>
        <w:t>2 177 ( w tym 145 do oddziałów przygotowawczych) dzieci</w:t>
      </w:r>
      <w:r w:rsidRPr="00E00B35">
        <w:rPr>
          <w:color w:val="000000"/>
          <w:szCs w:val="20"/>
          <w:lang w:val="pl-PL"/>
        </w:rPr>
        <w:t xml:space="preserve"> pochodzenia ukraińskiego na różnym etapie kształcenia (klasy 0-VIII), większość z nich korzysta z zajęć </w:t>
      </w:r>
      <w:r w:rsidRPr="00E00B35">
        <w:rPr>
          <w:bCs/>
          <w:color w:val="000000"/>
          <w:szCs w:val="20"/>
          <w:lang w:val="pl-PL"/>
        </w:rPr>
        <w:t>języka polskiego oraz dodatkowych zajęć wyrównawczych.</w:t>
      </w:r>
    </w:p>
    <w:p w:rsidR="008C7751" w:rsidRPr="00E00B35" w:rsidRDefault="008C7751" w:rsidP="00E00B35">
      <w:pPr>
        <w:pStyle w:val="Akapitzlist1"/>
        <w:tabs>
          <w:tab w:val="left" w:pos="-1440"/>
        </w:tabs>
        <w:spacing w:after="0" w:line="312" w:lineRule="auto"/>
        <w:ind w:left="0"/>
        <w:rPr>
          <w:rFonts w:cs="Verdana"/>
          <w:color w:val="000000"/>
          <w:szCs w:val="20"/>
        </w:rPr>
      </w:pPr>
      <w:r w:rsidRPr="00E00B35">
        <w:rPr>
          <w:bCs/>
          <w:color w:val="000000"/>
          <w:szCs w:val="20"/>
          <w:lang w:val="pl-PL"/>
        </w:rPr>
        <w:t xml:space="preserve">Od września 2020 r. zorganizowano w sześciu szkołach podstawowych (SP nr 4, 74, 83, 90, 109, 113) i jednej szkole ponadpodstawowej (LO nr XV) klasy przygotowawcze, przeznaczone dla uczniów obcojęzycznych rozpoczynających naukę w polskiej szkole. </w:t>
      </w:r>
      <w:r w:rsidRPr="00E00B35">
        <w:rPr>
          <w:bCs/>
          <w:color w:val="000000"/>
          <w:szCs w:val="20"/>
        </w:rPr>
        <w:t xml:space="preserve">Utworzono oddziały na poziomie: </w:t>
      </w:r>
    </w:p>
    <w:p w:rsidR="008C7751" w:rsidRPr="00E00B35" w:rsidRDefault="008C7751" w:rsidP="00E00B35">
      <w:pPr>
        <w:pStyle w:val="Akapitzlist"/>
        <w:numPr>
          <w:ilvl w:val="0"/>
          <w:numId w:val="9"/>
        </w:numPr>
        <w:spacing w:after="0" w:line="312" w:lineRule="auto"/>
        <w:ind w:left="357" w:hanging="357"/>
        <w:rPr>
          <w:rFonts w:cs="Verdana"/>
          <w:color w:val="000000"/>
          <w:szCs w:val="20"/>
        </w:rPr>
      </w:pPr>
      <w:r w:rsidRPr="00E00B35">
        <w:rPr>
          <w:bCs/>
          <w:color w:val="000000"/>
          <w:szCs w:val="20"/>
        </w:rPr>
        <w:t xml:space="preserve"> klasy I-III – 5 oddziałów, </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lastRenderedPageBreak/>
        <w:t xml:space="preserve"> klasy IV-VI – 6 oddziałów, </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 xml:space="preserve"> klasy VII-VIII - 4 oddziały </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 xml:space="preserve"> klasy I LO – 6 oddziałów. </w:t>
      </w:r>
    </w:p>
    <w:p w:rsidR="008C7751" w:rsidRPr="00E00B35" w:rsidRDefault="008C7751" w:rsidP="00E00B35">
      <w:pPr>
        <w:pStyle w:val="Akapitzlist1"/>
        <w:tabs>
          <w:tab w:val="left" w:pos="-1440"/>
        </w:tabs>
        <w:spacing w:after="0" w:line="312" w:lineRule="auto"/>
        <w:ind w:left="0"/>
        <w:rPr>
          <w:rFonts w:cs="Verdana"/>
          <w:color w:val="000000"/>
          <w:szCs w:val="20"/>
        </w:rPr>
      </w:pPr>
      <w:r w:rsidRPr="00E00B35">
        <w:rPr>
          <w:bCs/>
          <w:color w:val="000000"/>
          <w:szCs w:val="20"/>
          <w:lang w:val="pl-PL"/>
        </w:rPr>
        <w:t xml:space="preserve">Naukę w nich pobiera łącznie 282 uczniów obcojęzycznych, w tym 230 z Ukrainy. </w:t>
      </w:r>
      <w:r w:rsidRPr="00E00B35">
        <w:rPr>
          <w:bCs/>
          <w:color w:val="000000"/>
          <w:szCs w:val="20"/>
        </w:rPr>
        <w:t>Projekt realizowany jest w ramach 100 zadań Prezydenta na 100 dni.</w:t>
      </w:r>
    </w:p>
    <w:p w:rsidR="008C7751" w:rsidRPr="00E00B35" w:rsidRDefault="008C7751" w:rsidP="00E00B35">
      <w:pPr>
        <w:pStyle w:val="Akapitzlist1"/>
        <w:tabs>
          <w:tab w:val="left" w:pos="-1440"/>
        </w:tabs>
        <w:spacing w:after="0" w:line="312" w:lineRule="auto"/>
        <w:ind w:left="0"/>
        <w:rPr>
          <w:rFonts w:cs="Verdana"/>
          <w:color w:val="000000"/>
          <w:szCs w:val="20"/>
          <w:lang w:val="pl-PL"/>
        </w:rPr>
      </w:pPr>
      <w:r w:rsidRPr="00E00B35">
        <w:rPr>
          <w:color w:val="000000"/>
          <w:szCs w:val="20"/>
          <w:lang w:val="pl-PL"/>
        </w:rPr>
        <w:t>Również w ramach „</w:t>
      </w:r>
      <w:r w:rsidRPr="00E00B35">
        <w:rPr>
          <w:bCs/>
          <w:color w:val="000000"/>
          <w:szCs w:val="20"/>
          <w:lang w:val="pl-PL"/>
        </w:rPr>
        <w:t>100 zadań Prezydenta na 100 dni”</w:t>
      </w:r>
      <w:r w:rsidRPr="00E00B35">
        <w:rPr>
          <w:color w:val="000000"/>
          <w:szCs w:val="20"/>
          <w:lang w:val="pl-PL"/>
        </w:rPr>
        <w:t xml:space="preserve"> w większości szkół realizowano godziny przyznane na organizację dodatkowej nauki języka polskiego, dodatkowych zajęć wyrównawczych oraz naukę języka i kultury kraju pochodzenia, m.in. dla uczniów pochodzenia ukraińskiego, rosyjskiego, białoruskiego, koreańskiego, brytyjskiego, rumuńskiego, kazachskiego, arabskiego, włoskiego, niemieckiego, wietnamskiego, hiszpańskiego. Ogółem, dla ok. 2 699 uczniów - cudzoziemców przyznano dodatkowe godziny w wymiarze ok. 1 201 (w tym 195 godzin w oddziałach przygotowawczych, 740 dodatkowych godzin języka polskiego oraz 134 godziny dodatkowych zajęć wyrównawczych).</w:t>
      </w:r>
    </w:p>
    <w:p w:rsidR="008C7751" w:rsidRPr="00E00B35" w:rsidRDefault="008C7751" w:rsidP="00E00B35">
      <w:pPr>
        <w:pStyle w:val="Akapitzlist1"/>
        <w:tabs>
          <w:tab w:val="left" w:pos="-1440"/>
        </w:tabs>
        <w:spacing w:after="0" w:line="312" w:lineRule="auto"/>
        <w:ind w:left="0"/>
        <w:rPr>
          <w:rFonts w:cs="Verdana"/>
          <w:color w:val="000000"/>
          <w:szCs w:val="20"/>
          <w:lang w:val="pl-PL"/>
        </w:rPr>
      </w:pPr>
    </w:p>
    <w:p w:rsidR="008C7751" w:rsidRPr="00E00B35" w:rsidRDefault="008C7751" w:rsidP="00E00B35">
      <w:pPr>
        <w:pStyle w:val="Akapitzlist1"/>
        <w:tabs>
          <w:tab w:val="left" w:pos="-1440"/>
          <w:tab w:val="num" w:pos="720"/>
        </w:tabs>
        <w:spacing w:after="0" w:line="312" w:lineRule="auto"/>
        <w:ind w:left="0"/>
        <w:rPr>
          <w:color w:val="000000"/>
          <w:szCs w:val="20"/>
          <w:lang w:val="pl-PL"/>
        </w:rPr>
      </w:pPr>
      <w:r w:rsidRPr="00E00B35">
        <w:rPr>
          <w:color w:val="000000"/>
          <w:szCs w:val="20"/>
          <w:lang w:val="pl-PL"/>
        </w:rPr>
        <w:t>Od września 2020 r. utworzono oddziały dwujęzyczne w następujących szkołach:</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z językiem niemieckim: w Szkołach Podstawowych nr 1,9,29 na poziomie klas VII i VIII oraz w LO XIII</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z językiem agielskim: w Szkołach Podstawowych nr 5,66,71 na poziomie klas VII i VIII oraz w LO XIV</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z językiem hiszpańskim: w Szkole Podstawowej nr 17 na poziomie klas VII i VIII oraz w LO IX</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z językiem francuskim w LO VIII</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z językiem włoskim w LO IX</w:t>
      </w:r>
      <w:r w:rsidR="00A5627F" w:rsidRPr="00E00B35">
        <w:rPr>
          <w:bCs/>
          <w:color w:val="000000"/>
          <w:szCs w:val="20"/>
        </w:rPr>
        <w:t>.</w:t>
      </w:r>
    </w:p>
    <w:p w:rsidR="00A5627F" w:rsidRPr="00E00B35" w:rsidRDefault="00A5627F" w:rsidP="00E00B35">
      <w:pPr>
        <w:pStyle w:val="Akapitzlist"/>
        <w:spacing w:after="0" w:line="312" w:lineRule="auto"/>
        <w:ind w:left="357"/>
        <w:rPr>
          <w:bCs/>
          <w:color w:val="000000"/>
          <w:szCs w:val="20"/>
        </w:rPr>
      </w:pPr>
    </w:p>
    <w:p w:rsidR="008C7751" w:rsidRPr="00E00B35" w:rsidRDefault="008C7751" w:rsidP="00E00B35">
      <w:pPr>
        <w:pStyle w:val="Akapitzlist14"/>
        <w:spacing w:after="0" w:line="312" w:lineRule="auto"/>
        <w:ind w:left="0"/>
        <w:rPr>
          <w:rFonts w:cs="Verdana"/>
          <w:color w:val="000000"/>
          <w:szCs w:val="20"/>
          <w:lang w:val="pl-PL"/>
        </w:rPr>
      </w:pPr>
      <w:r w:rsidRPr="00E00B35">
        <w:rPr>
          <w:rFonts w:cs="Verdana"/>
          <w:color w:val="000000"/>
          <w:szCs w:val="20"/>
          <w:lang w:val="pl-PL"/>
        </w:rPr>
        <w:t>W 120 placówkach edukacyjnych kontynuowano akcję „Cały Wrocław czyta”.</w:t>
      </w:r>
      <w:r w:rsidRPr="00E00B35">
        <w:rPr>
          <w:rFonts w:cs="Verdana"/>
          <w:b/>
          <w:color w:val="000000"/>
          <w:szCs w:val="20"/>
          <w:lang w:val="pl-PL"/>
        </w:rPr>
        <w:t xml:space="preserve"> </w:t>
      </w:r>
      <w:r w:rsidRPr="00E00B35">
        <w:rPr>
          <w:rFonts w:cs="Verdana"/>
          <w:color w:val="000000"/>
          <w:szCs w:val="20"/>
          <w:lang w:val="pl-PL"/>
        </w:rPr>
        <w:t>Po wybuchu pandemii koronawirusa działania prowadzone były głównie w internecie:</w:t>
      </w:r>
      <w:r w:rsidRPr="00E00B35">
        <w:rPr>
          <w:rFonts w:cs="Verdana"/>
          <w:color w:val="000000"/>
          <w:szCs w:val="20"/>
          <w:lang w:val="cs-CZ"/>
        </w:rPr>
        <w:t xml:space="preserve"> </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 xml:space="preserve">na Facebooku zorganizowano grupę wsparcia literackiego proponującą formy promocji czytania i kultury, </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prowadzono działania w ramach projektu „Niebieska wstążka dla drzew weWrocławiu”,</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zaproponowano projekt „PoznajZOObacz zwierzaka”,</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zorganizowano happen</w:t>
      </w:r>
      <w:r w:rsidR="00A5627F" w:rsidRPr="00E00B35">
        <w:rPr>
          <w:bCs/>
          <w:color w:val="000000"/>
          <w:szCs w:val="20"/>
        </w:rPr>
        <w:t>ing „Czytanie doda ci skrzydeł”.</w:t>
      </w:r>
      <w:r w:rsidRPr="00E00B35">
        <w:rPr>
          <w:bCs/>
          <w:color w:val="000000"/>
          <w:szCs w:val="20"/>
        </w:rPr>
        <w:t xml:space="preserve"> </w:t>
      </w:r>
    </w:p>
    <w:p w:rsidR="008C7751" w:rsidRPr="00E00B35" w:rsidRDefault="008C7751" w:rsidP="00E00B35">
      <w:pPr>
        <w:pStyle w:val="DSStresprawozdania"/>
        <w:tabs>
          <w:tab w:val="left" w:pos="-851"/>
        </w:tabs>
        <w:spacing w:after="0" w:line="312" w:lineRule="auto"/>
        <w:jc w:val="left"/>
        <w:rPr>
          <w:color w:val="000000"/>
          <w:lang w:val="pl-PL"/>
        </w:rPr>
      </w:pPr>
      <w:r w:rsidRPr="00E00B35">
        <w:rPr>
          <w:color w:val="000000"/>
          <w:lang w:val="pl-PL"/>
        </w:rPr>
        <w:t xml:space="preserve">Kontynuowano realizację programów </w:t>
      </w:r>
      <w:r w:rsidRPr="00E00B35">
        <w:rPr>
          <w:bCs/>
          <w:color w:val="000000"/>
          <w:lang w:val="pl-PL"/>
        </w:rPr>
        <w:t>Wrocławskiej Koncepcji Edukacyjnej:</w:t>
      </w:r>
      <w:r w:rsidRPr="00E00B35">
        <w:rPr>
          <w:color w:val="000000"/>
          <w:lang w:val="pl-PL"/>
        </w:rPr>
        <w:t xml:space="preserve"> Młodzi Obywatele Kultury (MOK), Młodzi Obywatele Nauki (MON), Młodzi Obywatele Świata</w:t>
      </w:r>
      <w:r w:rsidRPr="00E00B35">
        <w:rPr>
          <w:bCs/>
          <w:color w:val="000000"/>
          <w:lang w:val="pl-PL"/>
        </w:rPr>
        <w:t xml:space="preserve"> (MOŚ) oraz</w:t>
      </w:r>
      <w:r w:rsidRPr="00E00B35">
        <w:rPr>
          <w:i/>
          <w:color w:val="000000"/>
          <w:lang w:val="pl-PL"/>
        </w:rPr>
        <w:t xml:space="preserve"> </w:t>
      </w:r>
      <w:r w:rsidRPr="00E00B35">
        <w:rPr>
          <w:color w:val="000000"/>
          <w:lang w:val="pl-PL"/>
        </w:rPr>
        <w:t>program Od inspiracji do kreacji,</w:t>
      </w:r>
      <w:r w:rsidRPr="00E00B35">
        <w:rPr>
          <w:b/>
          <w:i/>
          <w:color w:val="000000"/>
          <w:lang w:val="pl-PL"/>
        </w:rPr>
        <w:t xml:space="preserve"> </w:t>
      </w:r>
      <w:r w:rsidRPr="00E00B35">
        <w:rPr>
          <w:color w:val="000000"/>
          <w:lang w:val="pl-PL"/>
        </w:rPr>
        <w:t>prowadząc różnorodne zadania z zakresu edukacji</w:t>
      </w:r>
      <w:r w:rsidRPr="00E00B35">
        <w:rPr>
          <w:b/>
          <w:i/>
          <w:color w:val="000000"/>
          <w:lang w:val="pl-PL"/>
        </w:rPr>
        <w:t xml:space="preserve"> </w:t>
      </w:r>
      <w:r w:rsidRPr="00E00B35">
        <w:rPr>
          <w:color w:val="000000"/>
          <w:lang w:val="pl-PL"/>
        </w:rPr>
        <w:t>artystycznej, badawczej, eksperymentalnej i interdyscyplinarnej, a także integracyjne projekty społeczne o charakterze wielokulturowym i artystycznym.</w:t>
      </w:r>
    </w:p>
    <w:p w:rsidR="008C7751" w:rsidRPr="00E00B35" w:rsidRDefault="008C7751" w:rsidP="00E00B35">
      <w:pPr>
        <w:spacing w:after="0" w:line="312" w:lineRule="auto"/>
        <w:rPr>
          <w:color w:val="000000"/>
          <w:szCs w:val="20"/>
          <w:lang w:val="pl-PL"/>
        </w:rPr>
      </w:pPr>
      <w:r w:rsidRPr="00E00B35">
        <w:rPr>
          <w:rFonts w:cs="Arial"/>
          <w:color w:val="000000"/>
          <w:szCs w:val="20"/>
          <w:lang w:val="pl-PL"/>
        </w:rPr>
        <w:t>Akademia Talentów i Uzdolnień</w:t>
      </w:r>
      <w:r w:rsidRPr="00E00B35">
        <w:rPr>
          <w:rFonts w:cs="Arial"/>
          <w:b/>
          <w:color w:val="000000"/>
          <w:szCs w:val="20"/>
          <w:lang w:val="pl-PL"/>
        </w:rPr>
        <w:t xml:space="preserve"> </w:t>
      </w:r>
      <w:r w:rsidRPr="00E00B35">
        <w:rPr>
          <w:rFonts w:cs="Arial"/>
          <w:color w:val="000000"/>
          <w:szCs w:val="20"/>
          <w:lang w:val="pl-PL"/>
        </w:rPr>
        <w:t>to inicjatywa wpisana w program Młodzi Obywatele Nauki,</w:t>
      </w:r>
      <w:r w:rsidRPr="00E00B35">
        <w:rPr>
          <w:rFonts w:cs="Arial"/>
          <w:b/>
          <w:bCs/>
          <w:color w:val="000000"/>
          <w:szCs w:val="20"/>
          <w:lang w:val="pl-PL"/>
        </w:rPr>
        <w:t xml:space="preserve"> </w:t>
      </w:r>
      <w:r w:rsidRPr="00E00B35">
        <w:rPr>
          <w:rFonts w:cs="Arial"/>
          <w:bCs/>
          <w:color w:val="000000"/>
          <w:szCs w:val="20"/>
          <w:lang w:val="pl-PL"/>
        </w:rPr>
        <w:t>zgodna z nurtem wieloletniej strategii rozwoju edukacji Wrocławia.</w:t>
      </w:r>
      <w:r w:rsidRPr="00E00B35">
        <w:rPr>
          <w:rFonts w:cs="Arial"/>
          <w:b/>
          <w:bCs/>
          <w:color w:val="000000"/>
          <w:szCs w:val="20"/>
          <w:lang w:val="pl-PL"/>
        </w:rPr>
        <w:t xml:space="preserve"> </w:t>
      </w:r>
      <w:r w:rsidRPr="00E00B35">
        <w:rPr>
          <w:color w:val="000000"/>
          <w:szCs w:val="20"/>
          <w:lang w:val="pl-PL"/>
        </w:rPr>
        <w:t xml:space="preserve">Ze względu na zaistniałą sytuację związaną z COVID – 19 zaprojektowano i zrealizowano projekty online: „Zda(l)ne matury”, „Zda(l)ny egzamin ósmoklasisty”, „Zacznij poniedziałek z ATiU”. </w:t>
      </w:r>
    </w:p>
    <w:p w:rsidR="008C7751" w:rsidRPr="00E00B35" w:rsidRDefault="008C7751" w:rsidP="00E00B35">
      <w:pPr>
        <w:spacing w:after="0" w:line="312" w:lineRule="auto"/>
        <w:rPr>
          <w:rFonts w:cs="Verdana"/>
          <w:bCs/>
          <w:color w:val="000000"/>
          <w:szCs w:val="20"/>
          <w:lang w:val="pl-PL"/>
        </w:rPr>
      </w:pPr>
      <w:r w:rsidRPr="00E00B35">
        <w:rPr>
          <w:color w:val="000000"/>
          <w:szCs w:val="20"/>
          <w:lang w:val="pl-PL"/>
        </w:rPr>
        <w:lastRenderedPageBreak/>
        <w:t xml:space="preserve">Działania realizowane w ramach </w:t>
      </w:r>
      <w:r w:rsidRPr="00E00B35">
        <w:rPr>
          <w:bCs/>
          <w:color w:val="000000"/>
          <w:szCs w:val="20"/>
          <w:lang w:val="pl-PL"/>
        </w:rPr>
        <w:t>Ośrodka Wspierania i Rozwoju (OWiR)</w:t>
      </w:r>
      <w:r w:rsidRPr="00E00B35">
        <w:rPr>
          <w:b/>
          <w:bCs/>
          <w:color w:val="000000"/>
          <w:szCs w:val="20"/>
          <w:lang w:val="pl-PL"/>
        </w:rPr>
        <w:t xml:space="preserve"> </w:t>
      </w:r>
      <w:r w:rsidRPr="00E00B35">
        <w:rPr>
          <w:rFonts w:cs="Verdana"/>
          <w:color w:val="000000"/>
          <w:szCs w:val="20"/>
          <w:lang w:val="pl-PL"/>
        </w:rPr>
        <w:t xml:space="preserve">w okresie pandemii: 34 szkolenia i warsztaty w obszarach: Edukacja i rozwój w dobie ograniczeń społecznych, Integracja wiedzy i emocji drogą powrotu do społecznych aktywności,  Dbałość o rozwój emocjonalny dzieci i rodziców. Zajęcia </w:t>
      </w:r>
      <w:r w:rsidRPr="00E00B35">
        <w:rPr>
          <w:color w:val="000000"/>
          <w:szCs w:val="20"/>
          <w:lang w:val="pl-PL"/>
        </w:rPr>
        <w:t xml:space="preserve">zostały przeprowadzone hybrydowo - stacjonarnie i w sieci.  </w:t>
      </w:r>
      <w:r w:rsidRPr="00E00B35">
        <w:rPr>
          <w:rFonts w:cs="Verdana"/>
          <w:bCs/>
          <w:color w:val="000000"/>
          <w:szCs w:val="20"/>
          <w:lang w:val="pl-PL"/>
        </w:rPr>
        <w:t xml:space="preserve">Od stycznia do grudnia 2020 r. zadanie objęło około 900 uczestników. </w:t>
      </w:r>
    </w:p>
    <w:p w:rsidR="001E1346" w:rsidRPr="00E00B35" w:rsidRDefault="001E1346" w:rsidP="00E00B35">
      <w:pPr>
        <w:spacing w:after="0" w:line="312" w:lineRule="auto"/>
        <w:rPr>
          <w:rFonts w:cs="Arial"/>
          <w:color w:val="000000"/>
          <w:szCs w:val="20"/>
          <w:lang w:val="pl-PL"/>
        </w:rPr>
      </w:pPr>
    </w:p>
    <w:p w:rsidR="008C7751" w:rsidRPr="00E00B35" w:rsidRDefault="008C7751" w:rsidP="00E00B35">
      <w:pPr>
        <w:pStyle w:val="Akapitzlist1"/>
        <w:spacing w:after="0" w:line="312" w:lineRule="auto"/>
        <w:ind w:left="0"/>
        <w:rPr>
          <w:color w:val="000000"/>
          <w:szCs w:val="20"/>
          <w:lang w:val="pl-PL"/>
        </w:rPr>
      </w:pPr>
      <w:r w:rsidRPr="00E00B35">
        <w:rPr>
          <w:color w:val="000000"/>
          <w:szCs w:val="20"/>
          <w:lang w:val="pl-PL"/>
        </w:rPr>
        <w:t>Tabela 9. Działania przeprowadzone w ramach Wrocławskiej Koncepcji Edukacyjnej – program Akademia Talentów i Uzdolnień</w:t>
      </w:r>
    </w:p>
    <w:tbl>
      <w:tblPr>
        <w:tblW w:w="9214" w:type="dxa"/>
        <w:tblInd w:w="108" w:type="dxa"/>
        <w:tblLayout w:type="fixed"/>
        <w:tblLook w:val="0000"/>
      </w:tblPr>
      <w:tblGrid>
        <w:gridCol w:w="709"/>
        <w:gridCol w:w="1985"/>
        <w:gridCol w:w="1559"/>
        <w:gridCol w:w="2268"/>
        <w:gridCol w:w="1418"/>
        <w:gridCol w:w="1275"/>
      </w:tblGrid>
      <w:tr w:rsidR="008C7751" w:rsidRPr="00E00B35" w:rsidTr="008C7751">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spacing w:after="0" w:line="312" w:lineRule="auto"/>
              <w:rPr>
                <w:rFonts w:cs="Calibri"/>
                <w:b/>
                <w:color w:val="000000"/>
                <w:szCs w:val="20"/>
              </w:rPr>
            </w:pPr>
            <w:r w:rsidRPr="00E00B35">
              <w:rPr>
                <w:rFonts w:cs="Calibri"/>
                <w:b/>
                <w:color w:val="000000"/>
                <w:szCs w:val="20"/>
              </w:rPr>
              <w:t>Lp.</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spacing w:after="0" w:line="312" w:lineRule="auto"/>
              <w:rPr>
                <w:rFonts w:cs="Calibri"/>
                <w:b/>
                <w:color w:val="000000"/>
                <w:szCs w:val="20"/>
              </w:rPr>
            </w:pPr>
            <w:r w:rsidRPr="00E00B35">
              <w:rPr>
                <w:rFonts w:cs="Calibri"/>
                <w:b/>
                <w:color w:val="000000"/>
                <w:szCs w:val="20"/>
              </w:rPr>
              <w:t>Nazwa projektu</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spacing w:after="0" w:line="312" w:lineRule="auto"/>
              <w:rPr>
                <w:rFonts w:cs="Calibri"/>
                <w:b/>
                <w:color w:val="000000"/>
                <w:szCs w:val="20"/>
              </w:rPr>
            </w:pPr>
            <w:r w:rsidRPr="00E00B35">
              <w:rPr>
                <w:rFonts w:cs="Calibri"/>
                <w:b/>
                <w:color w:val="000000"/>
                <w:szCs w:val="20"/>
              </w:rPr>
              <w:t>Liczba uczestników</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spacing w:after="0" w:line="312" w:lineRule="auto"/>
              <w:rPr>
                <w:rFonts w:cs="Calibri"/>
                <w:b/>
                <w:color w:val="000000"/>
                <w:szCs w:val="20"/>
              </w:rPr>
            </w:pPr>
            <w:r w:rsidRPr="00E00B35">
              <w:rPr>
                <w:rFonts w:cs="Calibri"/>
                <w:b/>
                <w:color w:val="000000"/>
                <w:szCs w:val="20"/>
              </w:rPr>
              <w:t>Szkoły/odbiorcy</w:t>
            </w:r>
          </w:p>
        </w:tc>
        <w:tc>
          <w:tcPr>
            <w:tcW w:w="1418"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spacing w:after="0" w:line="312" w:lineRule="auto"/>
              <w:rPr>
                <w:rFonts w:cs="Calibri"/>
                <w:b/>
                <w:color w:val="000000"/>
                <w:szCs w:val="20"/>
              </w:rPr>
            </w:pPr>
            <w:r w:rsidRPr="00E00B35">
              <w:rPr>
                <w:rFonts w:cs="Calibri"/>
                <w:b/>
                <w:color w:val="000000"/>
                <w:szCs w:val="20"/>
              </w:rPr>
              <w:t>Partnerzy</w:t>
            </w:r>
          </w:p>
        </w:tc>
        <w:tc>
          <w:tcPr>
            <w:tcW w:w="1275"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spacing w:after="0" w:line="312" w:lineRule="auto"/>
              <w:rPr>
                <w:rFonts w:cs="Calibri"/>
                <w:b/>
                <w:color w:val="000000"/>
                <w:szCs w:val="20"/>
              </w:rPr>
            </w:pPr>
            <w:r w:rsidRPr="00E00B35">
              <w:rPr>
                <w:rFonts w:cs="Calibri"/>
                <w:b/>
                <w:color w:val="000000"/>
                <w:szCs w:val="20"/>
              </w:rPr>
              <w:t xml:space="preserve">Termin </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 xml:space="preserve">Akademia Dziennikarstwa i Nowych Mediów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15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LO IV, LO V, LO XVI, LO IX, LO VI, LO III</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WCRS</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03.2020 </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Zacznij poniedziałek z ATiU (online)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Ok. 200 osób</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Uczniowie ze szkół wrocławskich oraz z aglomeracji wrocławskiej</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WCRS </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05-06.2020</w:t>
            </w:r>
          </w:p>
          <w:p w:rsidR="008C7751" w:rsidRPr="00E00B35" w:rsidRDefault="008C7751" w:rsidP="00E00B35">
            <w:pPr>
              <w:spacing w:after="0" w:line="312" w:lineRule="auto"/>
              <w:rPr>
                <w:rFonts w:cs="Calibri"/>
                <w:color w:val="000000"/>
                <w:szCs w:val="20"/>
              </w:rPr>
            </w:pPr>
            <w:r w:rsidRPr="00E00B35">
              <w:rPr>
                <w:rFonts w:cs="Calibri"/>
                <w:color w:val="000000"/>
                <w:szCs w:val="20"/>
              </w:rPr>
              <w:t>09-12.2020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Zda(l)ne matury (online)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Ok. 550 osób</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LO I, LO IV, LO V LO VI, LO IX, LO X, LO XIII, LO XIV, LO XVI, LO XXX, T 13, T 16, ZS nr 3 (Technikum), LO w Zgorzelecu</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WCRS, ATiU</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05.-06. 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Zda(l)ny egzamin ósmoklasisty (online)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374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Uczniowie ze szkół wrocławskich oraz z aglomeracji wrocławskiej</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WCRS, ATiU</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05.-06. 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Zajęcia z pasją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70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Uczniowie szkół podstawowych w asyście osoby dorosłej</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WCRS, Politechnika Wrocławska </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07.2020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 xml:space="preserve">GRY QUIZY RODZINNO-SĄSIEDZKIE online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43 uczestników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4 Quizy rodzinno-sąsiedzkie (literatura, Wrocław od A do Z</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WCRS</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napToGrid w:val="0"/>
              <w:spacing w:after="0" w:line="312" w:lineRule="auto"/>
              <w:rPr>
                <w:rFonts w:cs="Calibri"/>
                <w:color w:val="000000"/>
                <w:szCs w:val="20"/>
              </w:rPr>
            </w:pPr>
            <w:r w:rsidRPr="00E00B35">
              <w:rPr>
                <w:rFonts w:cs="Calibri"/>
                <w:color w:val="000000"/>
                <w:szCs w:val="20"/>
              </w:rPr>
              <w:t>25.08.2020</w:t>
            </w:r>
          </w:p>
          <w:p w:rsidR="008C7751" w:rsidRPr="00E00B35" w:rsidRDefault="008C7751" w:rsidP="00E00B35">
            <w:pPr>
              <w:snapToGrid w:val="0"/>
              <w:spacing w:after="0" w:line="312" w:lineRule="auto"/>
              <w:rPr>
                <w:rFonts w:cs="Calibri"/>
                <w:color w:val="000000"/>
                <w:szCs w:val="20"/>
              </w:rPr>
            </w:pPr>
            <w:r w:rsidRPr="00E00B35">
              <w:rPr>
                <w:rFonts w:cs="Calibri"/>
                <w:color w:val="000000"/>
                <w:szCs w:val="20"/>
              </w:rPr>
              <w:t>23.09.2020</w:t>
            </w:r>
          </w:p>
          <w:p w:rsidR="008C7751" w:rsidRPr="00E00B35" w:rsidRDefault="008C7751" w:rsidP="00E00B35">
            <w:pPr>
              <w:snapToGrid w:val="0"/>
              <w:spacing w:after="0" w:line="312" w:lineRule="auto"/>
              <w:rPr>
                <w:rFonts w:cs="Calibri"/>
                <w:color w:val="000000"/>
                <w:szCs w:val="20"/>
              </w:rPr>
            </w:pPr>
            <w:r w:rsidRPr="00E00B35">
              <w:rPr>
                <w:rFonts w:cs="Calibri"/>
                <w:color w:val="000000"/>
                <w:szCs w:val="20"/>
              </w:rPr>
              <w:t>30.09.2020</w:t>
            </w:r>
          </w:p>
          <w:p w:rsidR="008C7751" w:rsidRPr="00E00B35" w:rsidRDefault="008C7751" w:rsidP="00E00B35">
            <w:pPr>
              <w:spacing w:after="0" w:line="312" w:lineRule="auto"/>
              <w:rPr>
                <w:rFonts w:cs="Calibri"/>
                <w:color w:val="000000"/>
                <w:szCs w:val="20"/>
              </w:rPr>
            </w:pPr>
            <w:r w:rsidRPr="00E00B35">
              <w:rPr>
                <w:rFonts w:cs="Calibri"/>
                <w:color w:val="000000"/>
                <w:szCs w:val="20"/>
              </w:rPr>
              <w:t>07.10.2020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hd w:val="clear" w:color="auto" w:fill="FFFFFF"/>
              <w:spacing w:after="0" w:line="312" w:lineRule="auto"/>
              <w:rPr>
                <w:rFonts w:cs="Calibri"/>
                <w:color w:val="000000"/>
                <w:szCs w:val="20"/>
                <w:lang w:val="pl-PL"/>
              </w:rPr>
            </w:pPr>
            <w:r w:rsidRPr="00E00B35">
              <w:rPr>
                <w:rFonts w:cs="Calibri"/>
                <w:color w:val="000000"/>
                <w:szCs w:val="20"/>
                <w:lang w:val="pl-PL"/>
              </w:rPr>
              <w:t xml:space="preserve">V Ogólnopolskie </w:t>
            </w:r>
            <w:r w:rsidRPr="00E00B35">
              <w:rPr>
                <w:rFonts w:cs="Calibri"/>
                <w:color w:val="000000"/>
                <w:szCs w:val="20"/>
                <w:lang w:val="pl-PL"/>
              </w:rPr>
              <w:lastRenderedPageBreak/>
              <w:t xml:space="preserve">Biennale Sztuki Użytkowej (finał online) </w:t>
            </w:r>
            <w:hyperlink r:id="rId53" w:history="1">
              <w:r w:rsidRPr="00E00B35">
                <w:rPr>
                  <w:rStyle w:val="Hipercze"/>
                  <w:rFonts w:cs="Calibri"/>
                  <w:color w:val="000000"/>
                  <w:szCs w:val="20"/>
                  <w:lang w:val="pl-PL"/>
                </w:rPr>
                <w:t>http://www.biennalewroclaw.pl/</w:t>
              </w:r>
            </w:hyperlink>
          </w:p>
          <w:p w:rsidR="008C7751" w:rsidRPr="00E00B35" w:rsidRDefault="008C7751" w:rsidP="00E00B35">
            <w:pPr>
              <w:shd w:val="clear" w:color="auto" w:fill="FFFFFF"/>
              <w:spacing w:after="0" w:line="312" w:lineRule="auto"/>
              <w:rPr>
                <w:rFonts w:cs="Calibri"/>
                <w:color w:val="000000"/>
                <w:szCs w:val="20"/>
                <w:lang w:val="pl-PL"/>
              </w:rPr>
            </w:pPr>
          </w:p>
          <w:p w:rsidR="008C7751" w:rsidRPr="00E00B35" w:rsidRDefault="008C7751" w:rsidP="00E00B35">
            <w:pPr>
              <w:spacing w:after="0" w:line="312" w:lineRule="auto"/>
              <w:rPr>
                <w:rFonts w:cs="Calibri"/>
                <w:color w:val="000000"/>
                <w:szCs w:val="20"/>
                <w:lang w:val="pl-PL"/>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lastRenderedPageBreak/>
              <w:t xml:space="preserve">187 </w:t>
            </w:r>
            <w:r w:rsidRPr="00E00B35">
              <w:rPr>
                <w:rFonts w:cs="Calibri"/>
                <w:color w:val="000000"/>
                <w:szCs w:val="20"/>
                <w:lang w:val="pl-PL"/>
              </w:rPr>
              <w:lastRenderedPageBreak/>
              <w:t>zgłoszeń, 39 placówek z całej Polski, 85 prac konkursowych47 prac zakwalifikowanych do wystawy</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lastRenderedPageBreak/>
              <w:t xml:space="preserve">Ogólnopolskie - </w:t>
            </w:r>
            <w:r w:rsidRPr="00E00B35">
              <w:rPr>
                <w:rFonts w:cs="Calibri"/>
                <w:color w:val="000000"/>
                <w:szCs w:val="20"/>
              </w:rPr>
              <w:lastRenderedPageBreak/>
              <w:t>dzieci, młodzież, studenci</w:t>
            </w:r>
          </w:p>
          <w:p w:rsidR="008C7751" w:rsidRPr="00E00B35" w:rsidRDefault="008C7751" w:rsidP="00E00B35">
            <w:pPr>
              <w:spacing w:after="0" w:line="312" w:lineRule="auto"/>
              <w:rPr>
                <w:rFonts w:cs="Calibri"/>
                <w:color w:val="000000"/>
                <w:szCs w:val="20"/>
              </w:rPr>
            </w:pP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lastRenderedPageBreak/>
              <w:t xml:space="preserve">WCRS, </w:t>
            </w:r>
            <w:r w:rsidRPr="00E00B35">
              <w:rPr>
                <w:rFonts w:cs="Calibri"/>
                <w:color w:val="000000"/>
                <w:szCs w:val="20"/>
              </w:rPr>
              <w:lastRenderedPageBreak/>
              <w:t>MDK Fabryczna</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napToGrid w:val="0"/>
              <w:spacing w:after="0" w:line="312" w:lineRule="auto"/>
              <w:rPr>
                <w:rFonts w:cs="Calibri"/>
                <w:color w:val="000000"/>
                <w:szCs w:val="20"/>
                <w:lang w:val="pl-PL"/>
              </w:rPr>
            </w:pPr>
            <w:r w:rsidRPr="00E00B35">
              <w:rPr>
                <w:rFonts w:cs="Calibri"/>
                <w:color w:val="000000"/>
                <w:szCs w:val="20"/>
                <w:lang w:val="pl-PL"/>
              </w:rPr>
              <w:lastRenderedPageBreak/>
              <w:t>20.11.202</w:t>
            </w:r>
            <w:r w:rsidRPr="00E00B35">
              <w:rPr>
                <w:rFonts w:cs="Calibri"/>
                <w:color w:val="000000"/>
                <w:szCs w:val="20"/>
                <w:lang w:val="pl-PL"/>
              </w:rPr>
              <w:lastRenderedPageBreak/>
              <w:t>0 finał</w:t>
            </w:r>
          </w:p>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wystawa prac online trwa</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lang w:val="pl-PL"/>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hd w:val="clear" w:color="auto" w:fill="FFFFFF"/>
              <w:spacing w:after="0" w:line="312" w:lineRule="auto"/>
              <w:rPr>
                <w:rFonts w:cs="Calibri"/>
                <w:color w:val="000000"/>
                <w:szCs w:val="20"/>
                <w:lang w:val="pl-PL"/>
              </w:rPr>
            </w:pPr>
            <w:r w:rsidRPr="00E00B35">
              <w:rPr>
                <w:rFonts w:cs="Calibri"/>
                <w:color w:val="000000"/>
                <w:szCs w:val="20"/>
                <w:lang w:val="pl-PL"/>
              </w:rPr>
              <w:t>Forum gazetek szkolnych „Razem i osobno” (online)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78 uczniów, 10 nauczycieli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Uczniowie szkół podstawowych </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WCRS</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napToGrid w:val="0"/>
              <w:spacing w:after="0" w:line="312" w:lineRule="auto"/>
              <w:rPr>
                <w:rFonts w:cs="Calibri"/>
                <w:color w:val="000000"/>
                <w:szCs w:val="20"/>
              </w:rPr>
            </w:pPr>
            <w:r w:rsidRPr="00E00B35">
              <w:rPr>
                <w:rFonts w:cs="Calibri"/>
                <w:color w:val="000000"/>
                <w:szCs w:val="20"/>
              </w:rPr>
              <w:t>22.11.2020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Kongres Naukowy  NOWY ŚWIAT (online)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340 uczestników</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Dzieci, młodzież, studenci i inni zainteresowani</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WCRS, Instytut Immunologii i Terapii Doświadczalnej PAN</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03.12.2020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Festiwal Młodych Talentów Kameleon - finał online na platformie TEAMS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39 uczestników, widzów ok. 200 osób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Dzieci i młodzież z klas 1-8 w różnych kategoriach wiekowych i wykonawczych</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WCRS </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21.12.2020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hd w:val="clear" w:color="auto" w:fill="FFFFFF"/>
              <w:spacing w:after="0" w:line="312" w:lineRule="auto"/>
              <w:rPr>
                <w:rFonts w:cs="Calibri"/>
                <w:color w:val="000000"/>
                <w:szCs w:val="20"/>
                <w:lang w:val="pl-PL"/>
              </w:rPr>
            </w:pPr>
            <w:r w:rsidRPr="00E00B35">
              <w:rPr>
                <w:rFonts w:cs="Calibri"/>
                <w:color w:val="000000"/>
                <w:szCs w:val="20"/>
                <w:lang w:val="pl-PL"/>
              </w:rPr>
              <w:t>Międzyszkolny Konkurs na Esej (finał online)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36 prac</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LO I, LO V, LO VI, LO VIII, LO IX, LO X, LO XIV, LO XVI </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WCRS, LO 9</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01.-10.2020 </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hd w:val="clear" w:color="auto" w:fill="FFFFFF"/>
              <w:spacing w:after="0" w:line="312" w:lineRule="auto"/>
              <w:rPr>
                <w:rFonts w:cs="Calibri"/>
                <w:color w:val="000000"/>
                <w:szCs w:val="20"/>
                <w:lang w:val="pl-PL"/>
              </w:rPr>
            </w:pPr>
            <w:r w:rsidRPr="00E00B35">
              <w:rPr>
                <w:rFonts w:cs="Calibri"/>
                <w:color w:val="000000"/>
                <w:szCs w:val="20"/>
                <w:lang w:val="pl-PL"/>
              </w:rPr>
              <w:t>Wrocławski Hackathon Matematyczny „Czysta woda” (online)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52 uczniów, 9 nauczycieli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Uczniowie: SP 90, SP 108, SP 16, SP 77, Publiczna SP nr 1 w Jelczu-Laskowicach, Szkoła Podstawowa ZDRÓJ, ZSO 23 Wrocław</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WCRS </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10.-11.2020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Zajęcia z pasją dla nauczycieli KMO (online)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25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 xml:space="preserve">Nauczyciele ze szkół wrocławskich oraz z aglomeracji </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WCRS, Politechnika Wrocławska</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01.-02.2020</w:t>
            </w:r>
          </w:p>
          <w:p w:rsidR="008C7751" w:rsidRPr="00E00B35" w:rsidRDefault="008C7751" w:rsidP="00E00B35">
            <w:pPr>
              <w:spacing w:after="0" w:line="312" w:lineRule="auto"/>
              <w:rPr>
                <w:rFonts w:cs="Calibri"/>
                <w:color w:val="000000"/>
                <w:szCs w:val="20"/>
              </w:rPr>
            </w:pPr>
            <w:r w:rsidRPr="00E00B35">
              <w:rPr>
                <w:rFonts w:cs="Calibri"/>
                <w:color w:val="000000"/>
                <w:szCs w:val="20"/>
              </w:rPr>
              <w:t>11.-12.2020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Spotkania literacko – filozoficzne (projekt online)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Ok. 95 uczniów</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Młodzież ze szkół pondpodstawowych</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WCRS, LO I</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11.-12.2020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Zajęcia z pasją dla uczniów</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ZS nr 20</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WCRS, PWr</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Listopad 2020</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 xml:space="preserve">Ośrodek Wspierania i Rozwoju przy Akademii Talentów i Uzdolnień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Ok. 900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 xml:space="preserve">Dzieci, młodzież, nauczyciele, </w:t>
            </w:r>
          </w:p>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 xml:space="preserve">rodzice, studenci </w:t>
            </w:r>
          </w:p>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i inni zainteresowani,</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 xml:space="preserve">WCRS </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cały rok</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#ZOSTAŃWDOMU –zakładka na stronie internetowej wke.wroclaw.pl</w:t>
            </w:r>
          </w:p>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(udostępniliśmy ok. 100 podstron z propozycjami na spędzenie czasu w domu podczas kwarantanny i nie tylko)</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nieznana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pStyle w:val="Bezodstpw1"/>
              <w:spacing w:after="0" w:line="312" w:lineRule="auto"/>
              <w:rPr>
                <w:rFonts w:ascii="Verdana" w:hAnsi="Verdana" w:cs="Calibri"/>
                <w:color w:val="000000"/>
                <w:sz w:val="20"/>
                <w:szCs w:val="20"/>
                <w:lang w:eastAsia="pl-PL"/>
              </w:rPr>
            </w:pPr>
            <w:r w:rsidRPr="00E00B35">
              <w:rPr>
                <w:rFonts w:ascii="Verdana" w:hAnsi="Verdana" w:cs="Calibri"/>
                <w:color w:val="000000"/>
                <w:sz w:val="20"/>
                <w:szCs w:val="20"/>
              </w:rPr>
              <w:t>nieznana</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pStyle w:val="Bezodstpw1"/>
              <w:spacing w:after="0" w:line="312" w:lineRule="auto"/>
              <w:rPr>
                <w:rFonts w:ascii="Verdana" w:hAnsi="Verdana" w:cs="Calibri"/>
                <w:color w:val="000000"/>
                <w:sz w:val="20"/>
                <w:szCs w:val="20"/>
                <w:lang w:eastAsia="pl-PL"/>
              </w:rPr>
            </w:pPr>
            <w:r w:rsidRPr="00E00B35">
              <w:rPr>
                <w:rFonts w:ascii="Verdana" w:hAnsi="Verdana" w:cs="Calibri"/>
                <w:color w:val="000000"/>
                <w:sz w:val="20"/>
                <w:szCs w:val="20"/>
              </w:rPr>
              <w:t>Muzea i biblioteki</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pStyle w:val="Bezodstpw1"/>
              <w:spacing w:after="0" w:line="312" w:lineRule="auto"/>
              <w:rPr>
                <w:rFonts w:ascii="Verdana" w:hAnsi="Verdana" w:cs="Calibri"/>
                <w:color w:val="000000"/>
                <w:sz w:val="20"/>
                <w:szCs w:val="20"/>
                <w:lang w:eastAsia="pl-PL"/>
              </w:rPr>
            </w:pPr>
            <w:r w:rsidRPr="00E00B35">
              <w:rPr>
                <w:rFonts w:ascii="Verdana" w:hAnsi="Verdana" w:cs="Calibri"/>
                <w:color w:val="000000"/>
                <w:sz w:val="20"/>
                <w:szCs w:val="20"/>
              </w:rPr>
              <w:t>cały rok</w:t>
            </w:r>
          </w:p>
        </w:tc>
      </w:tr>
      <w:tr w:rsidR="008C7751" w:rsidRPr="00E00B35" w:rsidTr="008C775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751" w:rsidRPr="00E00B35" w:rsidRDefault="008C7751" w:rsidP="00E00B35">
            <w:pPr>
              <w:numPr>
                <w:ilvl w:val="0"/>
                <w:numId w:val="3"/>
              </w:numPr>
              <w:spacing w:after="0" w:line="312" w:lineRule="auto"/>
              <w:rPr>
                <w:rFonts w:cs="Calibri"/>
                <w:color w:val="00000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Wsparcie dla uczniów obcojęzycznych (online)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rPr>
            </w:pPr>
            <w:r w:rsidRPr="00E00B35">
              <w:rPr>
                <w:rFonts w:cs="Calibri"/>
                <w:color w:val="000000"/>
                <w:szCs w:val="20"/>
              </w:rPr>
              <w:t>57 uczniów</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spacing w:after="0" w:line="312" w:lineRule="auto"/>
              <w:rPr>
                <w:rFonts w:cs="Calibri"/>
                <w:color w:val="000000"/>
                <w:szCs w:val="20"/>
                <w:lang w:val="pl-PL"/>
              </w:rPr>
            </w:pPr>
            <w:r w:rsidRPr="00E00B35">
              <w:rPr>
                <w:rFonts w:cs="Calibri"/>
                <w:color w:val="000000"/>
                <w:szCs w:val="20"/>
                <w:lang w:val="pl-PL"/>
              </w:rPr>
              <w:t>Uczniowie szkół podstawowych Wrocławia i aglomeracji</w:t>
            </w:r>
          </w:p>
        </w:tc>
        <w:tc>
          <w:tcPr>
            <w:tcW w:w="1418"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WCRS</w:t>
            </w:r>
          </w:p>
        </w:tc>
        <w:tc>
          <w:tcPr>
            <w:tcW w:w="1275"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Calibri"/>
                <w:color w:val="000000"/>
                <w:szCs w:val="20"/>
              </w:rPr>
            </w:pPr>
            <w:r w:rsidRPr="00E00B35">
              <w:rPr>
                <w:rFonts w:cs="Calibri"/>
                <w:color w:val="000000"/>
                <w:szCs w:val="20"/>
              </w:rPr>
              <w:t>07.-08.2020</w:t>
            </w:r>
          </w:p>
          <w:p w:rsidR="008C7751" w:rsidRPr="00E00B35" w:rsidRDefault="008C7751" w:rsidP="00E00B35">
            <w:pPr>
              <w:spacing w:after="0" w:line="312" w:lineRule="auto"/>
              <w:rPr>
                <w:rFonts w:cs="Calibri"/>
                <w:color w:val="000000"/>
                <w:szCs w:val="20"/>
              </w:rPr>
            </w:pPr>
            <w:r w:rsidRPr="00E00B35">
              <w:rPr>
                <w:rFonts w:cs="Calibri"/>
                <w:color w:val="000000"/>
                <w:szCs w:val="20"/>
              </w:rPr>
              <w:t>10.-12.2020</w:t>
            </w:r>
          </w:p>
        </w:tc>
      </w:tr>
    </w:tbl>
    <w:p w:rsidR="008C7751" w:rsidRPr="00E00B35" w:rsidRDefault="008C7751" w:rsidP="00E00B35">
      <w:pPr>
        <w:spacing w:after="0" w:line="312" w:lineRule="auto"/>
        <w:ind w:left="720"/>
        <w:rPr>
          <w:color w:val="000000"/>
          <w:szCs w:val="20"/>
        </w:rPr>
      </w:pPr>
      <w:r w:rsidRPr="00E00B35">
        <w:rPr>
          <w:color w:val="000000"/>
          <w:szCs w:val="20"/>
        </w:rPr>
        <w:t xml:space="preserve">  </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Z uwagi na pandemię nie zrealizowano następujących projektów: </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 xml:space="preserve"> VII Przegląd Wrocławskich Szkolnych Zespołów Śpiewaczych</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 xml:space="preserve"> XI Przegląd prezentacji: Ruch, ćwiczenia i muzyka to wesoła gimnastyka</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 xml:space="preserve"> Poznajmy się – projekt kierowany do wrocławskich przedszkoli</w:t>
      </w:r>
      <w:r w:rsidR="00A5627F" w:rsidRPr="00E00B35">
        <w:rPr>
          <w:bCs/>
          <w:color w:val="000000"/>
          <w:szCs w:val="20"/>
        </w:rPr>
        <w:t>.</w:t>
      </w:r>
    </w:p>
    <w:p w:rsidR="00A5627F" w:rsidRPr="00E00B35" w:rsidRDefault="00A5627F" w:rsidP="00E00B35">
      <w:pPr>
        <w:pStyle w:val="Akapitzlist"/>
        <w:spacing w:after="0" w:line="312" w:lineRule="auto"/>
        <w:ind w:left="357"/>
        <w:rPr>
          <w:bCs/>
          <w:color w:val="000000"/>
          <w:szCs w:val="20"/>
        </w:rPr>
      </w:pPr>
    </w:p>
    <w:p w:rsidR="008C7751" w:rsidRPr="00E00B35" w:rsidRDefault="008C7751" w:rsidP="00E00B35">
      <w:pPr>
        <w:shd w:val="clear" w:color="auto" w:fill="FFFFFF"/>
        <w:spacing w:after="0" w:line="312" w:lineRule="auto"/>
        <w:rPr>
          <w:color w:val="000000"/>
          <w:szCs w:val="20"/>
          <w:lang w:val="pl-PL"/>
        </w:rPr>
      </w:pPr>
      <w:r w:rsidRPr="00E00B35">
        <w:rPr>
          <w:color w:val="000000"/>
          <w:szCs w:val="20"/>
          <w:lang w:val="pl-PL"/>
        </w:rPr>
        <w:t>Zrealizowano projekt edukacyjno-informacyjny pn. NIEMAPA kontra zarazki”, to plan codziennych zajęć podzielonych na dwanaście stacji - pomysłowych wskazówek, jak „mieć oko” na bakterie. Gra przeznaczona jest dla sześciolatków i uczniów klas 1-3.</w:t>
      </w:r>
    </w:p>
    <w:p w:rsidR="008C7751" w:rsidRPr="00E00B35" w:rsidRDefault="008C7751" w:rsidP="00E00B35">
      <w:pPr>
        <w:shd w:val="clear" w:color="auto" w:fill="FFFFFF"/>
        <w:spacing w:after="0" w:line="312" w:lineRule="auto"/>
        <w:rPr>
          <w:color w:val="000000"/>
          <w:szCs w:val="20"/>
          <w:lang w:val="pl-PL"/>
        </w:rPr>
      </w:pPr>
      <w:r w:rsidRPr="00E00B35">
        <w:rPr>
          <w:color w:val="000000"/>
          <w:szCs w:val="20"/>
          <w:lang w:val="pl-PL"/>
        </w:rPr>
        <w:t xml:space="preserve">Odbyła się XXVI edycja Ogólnopolskiego Samorządowego Konkursu Nastolatków „Ośmiu Wspaniałych”. Konkurs obejmował kategorię „Ósemka Junior” – dla uczniów ze szkół </w:t>
      </w:r>
      <w:r w:rsidRPr="00E00B35">
        <w:rPr>
          <w:color w:val="000000"/>
          <w:szCs w:val="20"/>
          <w:lang w:val="pl-PL"/>
        </w:rPr>
        <w:lastRenderedPageBreak/>
        <w:t>podstawowych oraz „Ósemka Senior” – dla uczniów szkół ponadpodstawowych. Do tegorocznego konkursu zgłoszono łącznie 542 uczniów. Jury konkursu postanowiło przyznać nagrody:</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„Ósemka Junior” – kategoria grupowa – 6 grup wyróżnionych;</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„Ósemka Senior” – kategoria grupowa – 2 grupy wyróżnione;</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„Ósemeczka” – kategoria indywidualna – 3 osoby wyróżnione;</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„Ósemka” – kategoria indywidualna – 1 osoba wyróżniona;</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„Ósemka” – kategoria indywidualna – 8 osób laureaci, w tym wybrany 1 laureat, jako reprezentant Wrocławia podczas ogólnopolskich eliminacji konkursu. Ze względu na sytuację epidemiczną ogłoszenie wyników konkursów przygotowano online.</w:t>
      </w:r>
      <w:r w:rsidRPr="00E00B35">
        <w:rPr>
          <w:bCs/>
          <w:color w:val="000000"/>
          <w:szCs w:val="20"/>
        </w:rPr>
        <w:br/>
        <w:t>W Ogólnopolskiej Edycji został wyróżniony przedstawiciel Wrocławia, który znalazł się w grupie „Ośmiu Wspaniałych Polski”.</w:t>
      </w:r>
    </w:p>
    <w:p w:rsidR="00A5627F" w:rsidRPr="00E00B35" w:rsidRDefault="00A5627F" w:rsidP="00E00B35">
      <w:pPr>
        <w:pStyle w:val="Akapitzlist"/>
        <w:spacing w:after="0" w:line="312" w:lineRule="auto"/>
        <w:ind w:left="357"/>
        <w:rPr>
          <w:bCs/>
          <w:color w:val="000000"/>
          <w:szCs w:val="20"/>
        </w:rPr>
      </w:pPr>
    </w:p>
    <w:p w:rsidR="008C7751" w:rsidRPr="00E00B35" w:rsidRDefault="008C7751" w:rsidP="00E00B35">
      <w:pPr>
        <w:spacing w:after="0" w:line="312" w:lineRule="auto"/>
        <w:rPr>
          <w:color w:val="000000"/>
          <w:szCs w:val="20"/>
          <w:lang w:val="pl-PL"/>
        </w:rPr>
      </w:pPr>
      <w:r w:rsidRPr="00E00B35">
        <w:rPr>
          <w:color w:val="000000"/>
          <w:szCs w:val="20"/>
          <w:lang w:val="pl-PL"/>
        </w:rPr>
        <w:t>Dodatkowo, przy udziale Wrocławskiego Centrum Rozwoju Społecznego realizowane były następujące projekty edukacyjne przeznaczone dla dzieci i młodzieży oraz mieszkańców Wrocławia:</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programy </w:t>
      </w:r>
      <w:r w:rsidRPr="00E00B35">
        <w:rPr>
          <w:bCs/>
          <w:color w:val="000000"/>
          <w:szCs w:val="20"/>
        </w:rPr>
        <w:t>telewizyjne</w:t>
      </w:r>
      <w:r w:rsidRPr="00E00B35">
        <w:rPr>
          <w:color w:val="000000"/>
          <w:szCs w:val="20"/>
          <w:lang w:val="pl-PL"/>
        </w:rPr>
        <w:t xml:space="preserve"> o charakterze edukacyjno-informacyjnym pt. „Dzień dobry we Wrocławiu” realizowane w języku ukraińskim, wspierające procesy adaptacyjne i integracyjne, </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ramach działań promujących otwartość, życzliwość, solidarność społeczną oraz dialog międzykulturowy pn.„Dobre słowo”, zakupiono sprzęty do działań w formie online (aparat, zestaw mikrofonów, rzutnik) oraz zamówiono materiały plastyczne z przeznaczeniem na nagrody w konkursie plastycznym dla dzieci i młodzieży szkolnej. Konkurs nie odbył się w związku z pandemią koronawirusa. Nagrody zostaną rozdysponowane po jego przeprowadzeniu w późniejszym terminie.</w:t>
      </w:r>
    </w:p>
    <w:p w:rsidR="00A5627F" w:rsidRPr="00E00B35" w:rsidRDefault="00A5627F" w:rsidP="00E00B35">
      <w:pPr>
        <w:pStyle w:val="Akapitzlist"/>
        <w:spacing w:after="0" w:line="312" w:lineRule="auto"/>
        <w:ind w:left="357"/>
        <w:rPr>
          <w:color w:val="000000"/>
          <w:szCs w:val="20"/>
          <w:lang w:val="pl-PL"/>
        </w:rPr>
      </w:pPr>
    </w:p>
    <w:p w:rsidR="008C7751" w:rsidRPr="00E00B35" w:rsidRDefault="008C7751" w:rsidP="00E00B35">
      <w:pPr>
        <w:spacing w:after="0" w:line="312" w:lineRule="auto"/>
        <w:rPr>
          <w:color w:val="000000"/>
          <w:szCs w:val="20"/>
          <w:lang w:val="pl-PL"/>
        </w:rPr>
      </w:pPr>
      <w:r w:rsidRPr="00E00B35">
        <w:rPr>
          <w:color w:val="000000"/>
          <w:szCs w:val="20"/>
          <w:lang w:val="pl-PL"/>
        </w:rPr>
        <w:t xml:space="preserve">W czerwcu 2020 roku odbył się Wirtualny Jubileusz XV Ogólnopolskiej Olimpiady Kreatywności Destination Imagination, który był wyzwaniem dla całej społeczności DI, a także okazją do wspomnień i podsumowań. Spotkanie na ekranie w ramach obu ceremonii zgromadziło łącznie około 2600 widzów. </w:t>
      </w:r>
      <w:r w:rsidRPr="00E00B35">
        <w:rPr>
          <w:rFonts w:cs="Arial"/>
          <w:color w:val="000000"/>
          <w:szCs w:val="20"/>
          <w:lang w:val="pl-PL"/>
        </w:rPr>
        <w:t>Nagrodę im. Leonarda da Vinci zdobyła drużyna „Blue Pompoms” ze Szkoły Podstawowej nr 68 oraz drużyna „Ty no nie wiem” ze Szkoły Podstawowej nr 93. Nagrodę Kreatora otrzymała drużyna „Cattus Scriptor Cerebrum” z Liceum Ogólnokształcącego nr V we Wrocławiu.</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W Zespole Szkół nr 6 kontynuowano program nowego sposobu </w:t>
      </w:r>
      <w:r w:rsidRPr="00E00B35">
        <w:rPr>
          <w:bCs/>
          <w:color w:val="000000"/>
          <w:szCs w:val="20"/>
          <w:lang w:val="pl-PL"/>
        </w:rPr>
        <w:t>organizacji nauczania indywidualnego.</w:t>
      </w:r>
      <w:r w:rsidRPr="00E00B35">
        <w:rPr>
          <w:color w:val="000000"/>
          <w:szCs w:val="20"/>
          <w:lang w:val="pl-PL"/>
        </w:rPr>
        <w:t xml:space="preserve"> Dyrektor ZS nr 6, na podstawie porozumienia zawartego z dyrektorem szkoły, do której uczeń uczęszcza, organizuje nauczanie indywidualne. Tą formą nauczania indywidualnego w 2020 roku objęto 19 uczniów. Prowadzono nauczanie indywidualne dla:</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4 uczniów ze Szkoły Podstawowej nr 58</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1 ucznia ze Szkoły Podstawowej nr 66</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1 ucznia ze Szkoły Podstawoej nr 73</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3 uczniów ze Szkoły Podstawowej nr 108</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3 uczniów z Liceum Ogólnokształcącego nr II</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lastRenderedPageBreak/>
        <w:t>1 ucznia z Liceum Ogólnokształcącego nr X</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2 uczniów z Liceum Ogólnokształcącego nr XI</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4 uczniów z Liceum Ogólnokształcącego nr XVI</w:t>
      </w:r>
      <w:r w:rsidR="00A5627F" w:rsidRPr="00E00B35">
        <w:rPr>
          <w:bCs/>
          <w:color w:val="000000"/>
          <w:szCs w:val="20"/>
        </w:rPr>
        <w:t>.</w:t>
      </w:r>
    </w:p>
    <w:p w:rsidR="00A5627F" w:rsidRPr="00E00B35" w:rsidRDefault="00A5627F" w:rsidP="00E00B35">
      <w:pPr>
        <w:pStyle w:val="Akapitzlist"/>
        <w:spacing w:after="0" w:line="312" w:lineRule="auto"/>
        <w:ind w:left="357"/>
        <w:rPr>
          <w:bCs/>
          <w:color w:val="000000"/>
          <w:szCs w:val="20"/>
        </w:rPr>
      </w:pPr>
    </w:p>
    <w:p w:rsidR="008C7751" w:rsidRPr="00E00B35" w:rsidRDefault="008C7751" w:rsidP="00E00B35">
      <w:pPr>
        <w:pStyle w:val="11TrescpismaZnak"/>
        <w:tabs>
          <w:tab w:val="left" w:pos="-1560"/>
          <w:tab w:val="left" w:pos="-1260"/>
          <w:tab w:val="left" w:pos="-900"/>
        </w:tabs>
        <w:spacing w:after="0" w:line="312" w:lineRule="auto"/>
        <w:jc w:val="left"/>
        <w:rPr>
          <w:color w:val="000000"/>
          <w:lang w:val="pl-PL"/>
        </w:rPr>
      </w:pPr>
      <w:r w:rsidRPr="00E00B35">
        <w:rPr>
          <w:color w:val="000000"/>
          <w:lang w:val="pl-PL"/>
        </w:rPr>
        <w:t xml:space="preserve">Kontynuowano zadanie </w:t>
      </w:r>
      <w:r w:rsidRPr="00E00B35">
        <w:rPr>
          <w:bCs/>
          <w:color w:val="000000"/>
          <w:lang w:val="pl-PL"/>
        </w:rPr>
        <w:t xml:space="preserve">„Wczesne wspomaganie rozwoju dziecka” </w:t>
      </w:r>
      <w:r w:rsidRPr="00E00B35">
        <w:rPr>
          <w:b/>
          <w:bCs/>
          <w:color w:val="000000"/>
          <w:lang w:val="pl-PL"/>
        </w:rPr>
        <w:t xml:space="preserve">- </w:t>
      </w:r>
      <w:r w:rsidRPr="00E00B35">
        <w:rPr>
          <w:bCs/>
          <w:color w:val="000000"/>
          <w:lang w:val="pl-PL"/>
        </w:rPr>
        <w:t>252 dzieci (dane na dzień 30.12.2020 r.) Koszt</w:t>
      </w:r>
      <w:r w:rsidRPr="00E00B35">
        <w:rPr>
          <w:rFonts w:eastAsia="MS Mincho"/>
          <w:color w:val="000000"/>
          <w:lang w:val="pl-PL"/>
        </w:rPr>
        <w:t xml:space="preserve"> realizacji zajęć w 2020 r. wyniósł 789 750 zł (wg wstępnego wykonania za rok 2020). </w:t>
      </w:r>
    </w:p>
    <w:p w:rsidR="008C7751" w:rsidRPr="00E00B35" w:rsidRDefault="008C7751" w:rsidP="00E00B35">
      <w:pPr>
        <w:pStyle w:val="11TrescpismaZnak"/>
        <w:tabs>
          <w:tab w:val="left" w:pos="-1560"/>
          <w:tab w:val="left" w:pos="-1260"/>
          <w:tab w:val="left" w:pos="-900"/>
        </w:tabs>
        <w:spacing w:after="0" w:line="312" w:lineRule="auto"/>
        <w:jc w:val="left"/>
        <w:rPr>
          <w:color w:val="000000"/>
          <w:lang w:val="pl-PL"/>
        </w:rPr>
      </w:pPr>
      <w:r w:rsidRPr="00E00B35">
        <w:rPr>
          <w:color w:val="000000"/>
          <w:lang w:val="pl-PL"/>
        </w:rPr>
        <w:t xml:space="preserve">Tabela 10. </w:t>
      </w:r>
      <w:r w:rsidRPr="00E00B35">
        <w:rPr>
          <w:bCs/>
          <w:color w:val="000000"/>
          <w:lang w:val="pl-PL"/>
        </w:rPr>
        <w:t>Wczesne wspomaganie rozwoju dziecka w placówkach oświatowych prowadzonych przez Miasto Wrocław</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6"/>
        <w:gridCol w:w="2169"/>
        <w:gridCol w:w="2964"/>
        <w:gridCol w:w="3491"/>
      </w:tblGrid>
      <w:tr w:rsidR="008C7751" w:rsidRPr="00E00B35" w:rsidTr="008C7751">
        <w:trPr>
          <w:tblHeader/>
        </w:trPr>
        <w:tc>
          <w:tcPr>
            <w:tcW w:w="522" w:type="dxa"/>
            <w:vAlign w:val="center"/>
          </w:tcPr>
          <w:p w:rsidR="008C7751" w:rsidRPr="00E00B35" w:rsidRDefault="008C7751" w:rsidP="00E00B35">
            <w:pPr>
              <w:spacing w:after="0" w:line="312" w:lineRule="auto"/>
              <w:rPr>
                <w:b/>
                <w:color w:val="000000"/>
                <w:szCs w:val="20"/>
              </w:rPr>
            </w:pPr>
            <w:r w:rsidRPr="00E00B35">
              <w:rPr>
                <w:b/>
                <w:color w:val="000000"/>
                <w:szCs w:val="20"/>
              </w:rPr>
              <w:t>Lp.</w:t>
            </w:r>
          </w:p>
        </w:tc>
        <w:tc>
          <w:tcPr>
            <w:tcW w:w="2172" w:type="dxa"/>
            <w:vAlign w:val="center"/>
          </w:tcPr>
          <w:p w:rsidR="008C7751" w:rsidRPr="00E00B35" w:rsidRDefault="008C7751" w:rsidP="00E00B35">
            <w:pPr>
              <w:spacing w:after="0" w:line="312" w:lineRule="auto"/>
              <w:rPr>
                <w:b/>
                <w:color w:val="000000"/>
                <w:szCs w:val="20"/>
              </w:rPr>
            </w:pPr>
            <w:r w:rsidRPr="00E00B35">
              <w:rPr>
                <w:b/>
                <w:color w:val="000000"/>
                <w:szCs w:val="20"/>
              </w:rPr>
              <w:t>Placówka</w:t>
            </w:r>
          </w:p>
        </w:tc>
        <w:tc>
          <w:tcPr>
            <w:tcW w:w="2976" w:type="dxa"/>
          </w:tcPr>
          <w:p w:rsidR="008C7751" w:rsidRPr="00E00B35" w:rsidRDefault="008C7751" w:rsidP="00E00B35">
            <w:pPr>
              <w:spacing w:after="0" w:line="312" w:lineRule="auto"/>
              <w:rPr>
                <w:b/>
                <w:color w:val="000000"/>
                <w:szCs w:val="20"/>
              </w:rPr>
            </w:pPr>
            <w:r w:rsidRPr="00E00B35">
              <w:rPr>
                <w:b/>
                <w:color w:val="000000"/>
                <w:szCs w:val="20"/>
              </w:rPr>
              <w:t>Rok szkolny 2019/2020</w:t>
            </w:r>
          </w:p>
          <w:p w:rsidR="008C7751" w:rsidRPr="00E00B35" w:rsidRDefault="008C7751" w:rsidP="00E00B35">
            <w:pPr>
              <w:spacing w:after="0" w:line="312" w:lineRule="auto"/>
              <w:rPr>
                <w:b/>
                <w:color w:val="000000"/>
                <w:szCs w:val="20"/>
              </w:rPr>
            </w:pPr>
            <w:r w:rsidRPr="00E00B35">
              <w:rPr>
                <w:b/>
                <w:color w:val="000000"/>
                <w:szCs w:val="20"/>
              </w:rPr>
              <w:t>(styczeń-sierpień)</w:t>
            </w:r>
          </w:p>
        </w:tc>
        <w:tc>
          <w:tcPr>
            <w:tcW w:w="3508" w:type="dxa"/>
          </w:tcPr>
          <w:p w:rsidR="008C7751" w:rsidRPr="00E00B35" w:rsidRDefault="008C7751" w:rsidP="00E00B35">
            <w:pPr>
              <w:spacing w:after="0" w:line="312" w:lineRule="auto"/>
              <w:rPr>
                <w:b/>
                <w:color w:val="000000"/>
                <w:szCs w:val="20"/>
              </w:rPr>
            </w:pPr>
            <w:r w:rsidRPr="00E00B35">
              <w:rPr>
                <w:b/>
                <w:color w:val="000000"/>
                <w:szCs w:val="20"/>
              </w:rPr>
              <w:t>Rok szkolny 2020/2021</w:t>
            </w:r>
          </w:p>
          <w:p w:rsidR="008C7751" w:rsidRPr="00E00B35" w:rsidRDefault="008C7751" w:rsidP="00E00B35">
            <w:pPr>
              <w:spacing w:after="0" w:line="312" w:lineRule="auto"/>
              <w:rPr>
                <w:b/>
                <w:color w:val="000000"/>
                <w:szCs w:val="20"/>
              </w:rPr>
            </w:pPr>
            <w:r w:rsidRPr="00E00B35">
              <w:rPr>
                <w:b/>
                <w:color w:val="000000"/>
                <w:szCs w:val="20"/>
              </w:rPr>
              <w:t>(wrzesień-grudzień)</w:t>
            </w:r>
          </w:p>
        </w:tc>
      </w:tr>
      <w:tr w:rsidR="008C7751" w:rsidRPr="00E00B35" w:rsidTr="008C7751">
        <w:tc>
          <w:tcPr>
            <w:tcW w:w="522" w:type="dxa"/>
            <w:vAlign w:val="center"/>
          </w:tcPr>
          <w:p w:rsidR="008C7751" w:rsidRPr="00E00B35" w:rsidRDefault="008C7751" w:rsidP="00E00B35">
            <w:pPr>
              <w:spacing w:after="0" w:line="312" w:lineRule="auto"/>
              <w:rPr>
                <w:color w:val="000000"/>
                <w:szCs w:val="20"/>
              </w:rPr>
            </w:pPr>
            <w:r w:rsidRPr="00E00B35">
              <w:rPr>
                <w:color w:val="000000"/>
                <w:szCs w:val="20"/>
              </w:rPr>
              <w:t>1.</w:t>
            </w:r>
          </w:p>
        </w:tc>
        <w:tc>
          <w:tcPr>
            <w:tcW w:w="2172" w:type="dxa"/>
          </w:tcPr>
          <w:p w:rsidR="008C7751" w:rsidRPr="00E00B35" w:rsidRDefault="008C7751" w:rsidP="00E00B35">
            <w:pPr>
              <w:spacing w:after="0" w:line="312" w:lineRule="auto"/>
              <w:rPr>
                <w:color w:val="000000"/>
                <w:szCs w:val="20"/>
              </w:rPr>
            </w:pPr>
            <w:r w:rsidRPr="00E00B35">
              <w:rPr>
                <w:color w:val="000000"/>
                <w:szCs w:val="20"/>
              </w:rPr>
              <w:t xml:space="preserve">Przedszkole Integracyjne </w:t>
            </w:r>
          </w:p>
        </w:tc>
        <w:tc>
          <w:tcPr>
            <w:tcW w:w="2976" w:type="dxa"/>
          </w:tcPr>
          <w:p w:rsidR="008C7751" w:rsidRPr="00E00B35" w:rsidRDefault="008C7751" w:rsidP="00E00B35">
            <w:pPr>
              <w:spacing w:after="0" w:line="312" w:lineRule="auto"/>
              <w:rPr>
                <w:color w:val="000000"/>
                <w:szCs w:val="20"/>
              </w:rPr>
            </w:pPr>
            <w:r w:rsidRPr="00E00B35">
              <w:rPr>
                <w:color w:val="000000"/>
                <w:szCs w:val="20"/>
              </w:rPr>
              <w:t>nr: 12, 89, 93</w:t>
            </w:r>
          </w:p>
        </w:tc>
        <w:tc>
          <w:tcPr>
            <w:tcW w:w="3508" w:type="dxa"/>
          </w:tcPr>
          <w:p w:rsidR="008C7751" w:rsidRPr="00E00B35" w:rsidRDefault="008C7751" w:rsidP="00E00B35">
            <w:pPr>
              <w:spacing w:after="0" w:line="312" w:lineRule="auto"/>
              <w:rPr>
                <w:color w:val="000000"/>
                <w:szCs w:val="20"/>
              </w:rPr>
            </w:pPr>
            <w:r w:rsidRPr="00E00B35">
              <w:rPr>
                <w:color w:val="000000"/>
                <w:szCs w:val="20"/>
              </w:rPr>
              <w:t xml:space="preserve">nr: 12, 89 </w:t>
            </w:r>
          </w:p>
        </w:tc>
      </w:tr>
      <w:tr w:rsidR="008C7751" w:rsidRPr="00E00B35" w:rsidTr="008C7751">
        <w:tc>
          <w:tcPr>
            <w:tcW w:w="522" w:type="dxa"/>
            <w:vAlign w:val="center"/>
          </w:tcPr>
          <w:p w:rsidR="008C7751" w:rsidRPr="00E00B35" w:rsidRDefault="008C7751" w:rsidP="00E00B35">
            <w:pPr>
              <w:spacing w:after="0" w:line="312" w:lineRule="auto"/>
              <w:rPr>
                <w:color w:val="000000"/>
                <w:szCs w:val="20"/>
              </w:rPr>
            </w:pPr>
            <w:r w:rsidRPr="00E00B35">
              <w:rPr>
                <w:color w:val="000000"/>
                <w:szCs w:val="20"/>
              </w:rPr>
              <w:t>2.</w:t>
            </w:r>
          </w:p>
        </w:tc>
        <w:tc>
          <w:tcPr>
            <w:tcW w:w="2172" w:type="dxa"/>
          </w:tcPr>
          <w:p w:rsidR="008C7751" w:rsidRPr="00E00B35" w:rsidRDefault="008C7751" w:rsidP="00E00B35">
            <w:pPr>
              <w:spacing w:after="0" w:line="312" w:lineRule="auto"/>
              <w:rPr>
                <w:color w:val="000000"/>
                <w:szCs w:val="20"/>
              </w:rPr>
            </w:pPr>
            <w:r w:rsidRPr="00E00B35">
              <w:rPr>
                <w:color w:val="000000"/>
                <w:szCs w:val="20"/>
              </w:rPr>
              <w:t>Przedszkole</w:t>
            </w:r>
          </w:p>
        </w:tc>
        <w:tc>
          <w:tcPr>
            <w:tcW w:w="2976" w:type="dxa"/>
          </w:tcPr>
          <w:p w:rsidR="008C7751" w:rsidRPr="00E00B35" w:rsidRDefault="008C7751" w:rsidP="00E00B35">
            <w:pPr>
              <w:spacing w:after="0" w:line="312" w:lineRule="auto"/>
              <w:rPr>
                <w:color w:val="000000"/>
                <w:szCs w:val="20"/>
              </w:rPr>
            </w:pPr>
            <w:r w:rsidRPr="00E00B35">
              <w:rPr>
                <w:color w:val="000000"/>
                <w:szCs w:val="20"/>
              </w:rPr>
              <w:t>nr: 3, 5, 23, 31, 43, 48, 50, 51, 52, 56, 58, 77, 90, 109, 111, 149;</w:t>
            </w:r>
          </w:p>
        </w:tc>
        <w:tc>
          <w:tcPr>
            <w:tcW w:w="3508" w:type="dxa"/>
          </w:tcPr>
          <w:p w:rsidR="008C7751" w:rsidRPr="00E00B35" w:rsidRDefault="008C7751" w:rsidP="00E00B35">
            <w:pPr>
              <w:spacing w:after="0" w:line="312" w:lineRule="auto"/>
              <w:rPr>
                <w:color w:val="000000"/>
                <w:szCs w:val="20"/>
              </w:rPr>
            </w:pPr>
            <w:r w:rsidRPr="00E00B35">
              <w:rPr>
                <w:color w:val="000000"/>
                <w:szCs w:val="20"/>
              </w:rPr>
              <w:t>nr: 3, 5, 23, 26, 31, 43, 50, 51, 52, 54, 56, 58, 65, 71, 90, 109, 111, 124, 149</w:t>
            </w:r>
          </w:p>
        </w:tc>
      </w:tr>
      <w:tr w:rsidR="008C7751" w:rsidRPr="00E00B35" w:rsidTr="008C7751">
        <w:tc>
          <w:tcPr>
            <w:tcW w:w="522" w:type="dxa"/>
            <w:vAlign w:val="center"/>
          </w:tcPr>
          <w:p w:rsidR="008C7751" w:rsidRPr="00E00B35" w:rsidRDefault="008C7751" w:rsidP="00E00B35">
            <w:pPr>
              <w:spacing w:after="0" w:line="312" w:lineRule="auto"/>
              <w:rPr>
                <w:color w:val="000000"/>
                <w:szCs w:val="20"/>
              </w:rPr>
            </w:pPr>
            <w:r w:rsidRPr="00E00B35">
              <w:rPr>
                <w:color w:val="000000"/>
                <w:szCs w:val="20"/>
              </w:rPr>
              <w:t>3.</w:t>
            </w:r>
          </w:p>
        </w:tc>
        <w:tc>
          <w:tcPr>
            <w:tcW w:w="2172" w:type="dxa"/>
          </w:tcPr>
          <w:p w:rsidR="008C7751" w:rsidRPr="00E00B35" w:rsidRDefault="008C7751" w:rsidP="00E00B35">
            <w:pPr>
              <w:spacing w:after="0" w:line="312" w:lineRule="auto"/>
              <w:rPr>
                <w:color w:val="000000"/>
                <w:szCs w:val="20"/>
                <w:lang w:val="pl-PL"/>
              </w:rPr>
            </w:pPr>
            <w:r w:rsidRPr="00E00B35">
              <w:rPr>
                <w:color w:val="000000"/>
                <w:szCs w:val="20"/>
                <w:lang w:val="pl-PL"/>
              </w:rPr>
              <w:t>Przedszkole w Zespole Szkolno - Przedszkolnym</w:t>
            </w:r>
          </w:p>
        </w:tc>
        <w:tc>
          <w:tcPr>
            <w:tcW w:w="2976" w:type="dxa"/>
          </w:tcPr>
          <w:p w:rsidR="008C7751" w:rsidRPr="00E00B35" w:rsidRDefault="008C7751" w:rsidP="00E00B35">
            <w:pPr>
              <w:spacing w:after="0" w:line="312" w:lineRule="auto"/>
              <w:rPr>
                <w:strike/>
                <w:color w:val="000000"/>
                <w:szCs w:val="20"/>
              </w:rPr>
            </w:pPr>
            <w:r w:rsidRPr="00E00B35">
              <w:rPr>
                <w:color w:val="000000"/>
                <w:szCs w:val="20"/>
              </w:rPr>
              <w:t>nr: 8, 19, 24, 29, 30, 73, 84, 97, 115, 133</w:t>
            </w:r>
          </w:p>
        </w:tc>
        <w:tc>
          <w:tcPr>
            <w:tcW w:w="3508" w:type="dxa"/>
          </w:tcPr>
          <w:p w:rsidR="008C7751" w:rsidRPr="00E00B35" w:rsidRDefault="008C7751" w:rsidP="00E00B35">
            <w:pPr>
              <w:spacing w:after="0" w:line="312" w:lineRule="auto"/>
              <w:rPr>
                <w:color w:val="000000"/>
                <w:szCs w:val="20"/>
              </w:rPr>
            </w:pPr>
            <w:r w:rsidRPr="00E00B35">
              <w:rPr>
                <w:color w:val="000000"/>
                <w:szCs w:val="20"/>
              </w:rPr>
              <w:t>nr: 7, 8, 19, 29, 30, 84, 97, 115</w:t>
            </w:r>
          </w:p>
        </w:tc>
      </w:tr>
      <w:tr w:rsidR="008C7751" w:rsidRPr="00E00B35" w:rsidTr="008C7751">
        <w:tc>
          <w:tcPr>
            <w:tcW w:w="522" w:type="dxa"/>
            <w:vAlign w:val="center"/>
          </w:tcPr>
          <w:p w:rsidR="008C7751" w:rsidRPr="00E00B35" w:rsidRDefault="008C7751" w:rsidP="00E00B35">
            <w:pPr>
              <w:spacing w:after="0" w:line="312" w:lineRule="auto"/>
              <w:rPr>
                <w:color w:val="000000"/>
                <w:szCs w:val="20"/>
              </w:rPr>
            </w:pPr>
            <w:r w:rsidRPr="00E00B35">
              <w:rPr>
                <w:color w:val="000000"/>
                <w:szCs w:val="20"/>
              </w:rPr>
              <w:t>4.</w:t>
            </w:r>
          </w:p>
        </w:tc>
        <w:tc>
          <w:tcPr>
            <w:tcW w:w="2172" w:type="dxa"/>
          </w:tcPr>
          <w:p w:rsidR="008C7751" w:rsidRPr="00E00B35" w:rsidRDefault="008C7751" w:rsidP="00E00B35">
            <w:pPr>
              <w:spacing w:after="0" w:line="312" w:lineRule="auto"/>
              <w:rPr>
                <w:color w:val="000000"/>
                <w:szCs w:val="20"/>
              </w:rPr>
            </w:pPr>
            <w:r w:rsidRPr="00E00B35">
              <w:rPr>
                <w:color w:val="000000"/>
                <w:szCs w:val="20"/>
              </w:rPr>
              <w:t>Szkoła Podstawowa</w:t>
            </w:r>
          </w:p>
        </w:tc>
        <w:tc>
          <w:tcPr>
            <w:tcW w:w="2976" w:type="dxa"/>
          </w:tcPr>
          <w:p w:rsidR="008C7751" w:rsidRPr="00E00B35" w:rsidRDefault="008C7751" w:rsidP="00E00B35">
            <w:pPr>
              <w:spacing w:after="0" w:line="312" w:lineRule="auto"/>
              <w:rPr>
                <w:strike/>
                <w:color w:val="000000"/>
                <w:szCs w:val="20"/>
              </w:rPr>
            </w:pPr>
            <w:r w:rsidRPr="00E00B35">
              <w:rPr>
                <w:color w:val="000000"/>
                <w:szCs w:val="20"/>
              </w:rPr>
              <w:t>nr: 58, 66, 67, 74, 75, 80,  84, 98, 107, 108, 113</w:t>
            </w:r>
          </w:p>
        </w:tc>
        <w:tc>
          <w:tcPr>
            <w:tcW w:w="3508" w:type="dxa"/>
          </w:tcPr>
          <w:p w:rsidR="008C7751" w:rsidRPr="00E00B35" w:rsidRDefault="008C7751" w:rsidP="00E00B35">
            <w:pPr>
              <w:spacing w:after="0" w:line="312" w:lineRule="auto"/>
              <w:rPr>
                <w:strike/>
                <w:color w:val="000000"/>
                <w:szCs w:val="20"/>
              </w:rPr>
            </w:pPr>
            <w:r w:rsidRPr="00E00B35">
              <w:rPr>
                <w:color w:val="000000"/>
                <w:szCs w:val="20"/>
              </w:rPr>
              <w:t>nr: 58, 75, 107, 113</w:t>
            </w:r>
          </w:p>
        </w:tc>
      </w:tr>
      <w:tr w:rsidR="008C7751" w:rsidRPr="00E00B35" w:rsidTr="008C7751">
        <w:tc>
          <w:tcPr>
            <w:tcW w:w="522" w:type="dxa"/>
            <w:vAlign w:val="center"/>
          </w:tcPr>
          <w:p w:rsidR="008C7751" w:rsidRPr="00E00B35" w:rsidRDefault="008C7751" w:rsidP="00E00B35">
            <w:pPr>
              <w:spacing w:after="0" w:line="312" w:lineRule="auto"/>
              <w:rPr>
                <w:color w:val="000000"/>
                <w:szCs w:val="20"/>
              </w:rPr>
            </w:pPr>
            <w:r w:rsidRPr="00E00B35">
              <w:rPr>
                <w:color w:val="000000"/>
                <w:szCs w:val="20"/>
              </w:rPr>
              <w:t>5.</w:t>
            </w:r>
          </w:p>
        </w:tc>
        <w:tc>
          <w:tcPr>
            <w:tcW w:w="2172" w:type="dxa"/>
          </w:tcPr>
          <w:p w:rsidR="008C7751" w:rsidRPr="00E00B35" w:rsidRDefault="008C7751" w:rsidP="00E00B35">
            <w:pPr>
              <w:spacing w:after="0" w:line="312" w:lineRule="auto"/>
              <w:rPr>
                <w:color w:val="000000"/>
                <w:szCs w:val="20"/>
              </w:rPr>
            </w:pPr>
            <w:r w:rsidRPr="00E00B35">
              <w:rPr>
                <w:color w:val="000000"/>
                <w:szCs w:val="20"/>
              </w:rPr>
              <w:t>Poradnia Psychologiczno-Pedagogiczna</w:t>
            </w:r>
          </w:p>
        </w:tc>
        <w:tc>
          <w:tcPr>
            <w:tcW w:w="2976" w:type="dxa"/>
          </w:tcPr>
          <w:p w:rsidR="008C7751" w:rsidRPr="00E00B35" w:rsidRDefault="008C7751" w:rsidP="00E00B35">
            <w:pPr>
              <w:spacing w:after="0" w:line="312" w:lineRule="auto"/>
              <w:rPr>
                <w:color w:val="000000"/>
                <w:szCs w:val="20"/>
              </w:rPr>
            </w:pPr>
            <w:r w:rsidRPr="00E00B35">
              <w:rPr>
                <w:color w:val="000000"/>
                <w:szCs w:val="20"/>
              </w:rPr>
              <w:t>nr 9</w:t>
            </w:r>
          </w:p>
        </w:tc>
        <w:tc>
          <w:tcPr>
            <w:tcW w:w="3508" w:type="dxa"/>
          </w:tcPr>
          <w:p w:rsidR="008C7751" w:rsidRPr="00E00B35" w:rsidRDefault="008C7751" w:rsidP="00E00B35">
            <w:pPr>
              <w:spacing w:after="0" w:line="312" w:lineRule="auto"/>
              <w:rPr>
                <w:color w:val="000000"/>
                <w:szCs w:val="20"/>
              </w:rPr>
            </w:pPr>
            <w:r w:rsidRPr="00E00B35">
              <w:rPr>
                <w:color w:val="000000"/>
                <w:szCs w:val="20"/>
              </w:rPr>
              <w:t>nr 9</w:t>
            </w:r>
          </w:p>
        </w:tc>
      </w:tr>
      <w:tr w:rsidR="008C7751" w:rsidRPr="00E00B35" w:rsidTr="008C7751">
        <w:tc>
          <w:tcPr>
            <w:tcW w:w="522" w:type="dxa"/>
            <w:vAlign w:val="center"/>
          </w:tcPr>
          <w:p w:rsidR="008C7751" w:rsidRPr="00E00B35" w:rsidRDefault="008C7751" w:rsidP="00E00B35">
            <w:pPr>
              <w:spacing w:after="0" w:line="312" w:lineRule="auto"/>
              <w:rPr>
                <w:color w:val="000000"/>
                <w:szCs w:val="20"/>
              </w:rPr>
            </w:pPr>
            <w:r w:rsidRPr="00E00B35">
              <w:rPr>
                <w:color w:val="000000"/>
                <w:szCs w:val="20"/>
              </w:rPr>
              <w:t>6.</w:t>
            </w:r>
          </w:p>
        </w:tc>
        <w:tc>
          <w:tcPr>
            <w:tcW w:w="2172" w:type="dxa"/>
          </w:tcPr>
          <w:p w:rsidR="008C7751" w:rsidRPr="00E00B35" w:rsidRDefault="008C7751" w:rsidP="00E00B35">
            <w:pPr>
              <w:spacing w:after="0" w:line="312" w:lineRule="auto"/>
              <w:rPr>
                <w:color w:val="000000"/>
                <w:szCs w:val="20"/>
              </w:rPr>
            </w:pPr>
            <w:r w:rsidRPr="00E00B35">
              <w:rPr>
                <w:color w:val="000000"/>
                <w:szCs w:val="20"/>
              </w:rPr>
              <w:t xml:space="preserve">Szkoły specjalne </w:t>
            </w:r>
          </w:p>
        </w:tc>
        <w:tc>
          <w:tcPr>
            <w:tcW w:w="2976" w:type="dxa"/>
          </w:tcPr>
          <w:p w:rsidR="008C7751" w:rsidRPr="00E00B35" w:rsidRDefault="008C7751" w:rsidP="00E00B35">
            <w:pPr>
              <w:spacing w:after="0" w:line="312" w:lineRule="auto"/>
              <w:rPr>
                <w:color w:val="000000"/>
                <w:szCs w:val="20"/>
              </w:rPr>
            </w:pPr>
            <w:r w:rsidRPr="00E00B35">
              <w:rPr>
                <w:color w:val="000000"/>
                <w:szCs w:val="20"/>
              </w:rPr>
              <w:t xml:space="preserve">ZS nr 12, SPS nr 116 (ZS nr 21), </w:t>
            </w:r>
          </w:p>
        </w:tc>
        <w:tc>
          <w:tcPr>
            <w:tcW w:w="3508" w:type="dxa"/>
          </w:tcPr>
          <w:p w:rsidR="008C7751" w:rsidRPr="00E00B35" w:rsidRDefault="008C7751" w:rsidP="00E00B35">
            <w:pPr>
              <w:spacing w:after="0" w:line="312" w:lineRule="auto"/>
              <w:rPr>
                <w:color w:val="000000"/>
                <w:szCs w:val="20"/>
              </w:rPr>
            </w:pPr>
            <w:r w:rsidRPr="00E00B35">
              <w:rPr>
                <w:color w:val="000000"/>
                <w:szCs w:val="20"/>
                <w:lang w:val="de-DE"/>
              </w:rPr>
              <w:t>nr: 12, SPS nr 116 (ZS nr 21)</w:t>
            </w:r>
          </w:p>
        </w:tc>
      </w:tr>
      <w:tr w:rsidR="008C7751" w:rsidRPr="00E00B35" w:rsidTr="008C7751">
        <w:tc>
          <w:tcPr>
            <w:tcW w:w="522" w:type="dxa"/>
            <w:vAlign w:val="center"/>
          </w:tcPr>
          <w:p w:rsidR="008C7751" w:rsidRPr="00E00B35" w:rsidRDefault="008C7751" w:rsidP="00E00B35">
            <w:pPr>
              <w:spacing w:after="0" w:line="312" w:lineRule="auto"/>
              <w:rPr>
                <w:color w:val="000000"/>
                <w:szCs w:val="20"/>
              </w:rPr>
            </w:pPr>
          </w:p>
        </w:tc>
        <w:tc>
          <w:tcPr>
            <w:tcW w:w="2172" w:type="dxa"/>
          </w:tcPr>
          <w:p w:rsidR="008C7751" w:rsidRPr="00E00B35" w:rsidRDefault="008C7751" w:rsidP="00E00B35">
            <w:pPr>
              <w:spacing w:after="0" w:line="312" w:lineRule="auto"/>
              <w:rPr>
                <w:b/>
                <w:color w:val="000000"/>
                <w:szCs w:val="20"/>
              </w:rPr>
            </w:pPr>
            <w:r w:rsidRPr="00E00B35">
              <w:rPr>
                <w:b/>
                <w:color w:val="000000"/>
                <w:szCs w:val="20"/>
              </w:rPr>
              <w:t>Razem</w:t>
            </w:r>
          </w:p>
        </w:tc>
        <w:tc>
          <w:tcPr>
            <w:tcW w:w="2976" w:type="dxa"/>
            <w:vAlign w:val="center"/>
          </w:tcPr>
          <w:p w:rsidR="008C7751" w:rsidRPr="00E00B35" w:rsidRDefault="008C7751" w:rsidP="00E00B35">
            <w:pPr>
              <w:spacing w:after="0" w:line="312" w:lineRule="auto"/>
              <w:rPr>
                <w:b/>
                <w:color w:val="000000"/>
                <w:szCs w:val="20"/>
              </w:rPr>
            </w:pPr>
            <w:r w:rsidRPr="00E00B35">
              <w:rPr>
                <w:b/>
                <w:color w:val="000000"/>
                <w:szCs w:val="20"/>
              </w:rPr>
              <w:t>43</w:t>
            </w:r>
          </w:p>
        </w:tc>
        <w:tc>
          <w:tcPr>
            <w:tcW w:w="3508" w:type="dxa"/>
            <w:vAlign w:val="center"/>
          </w:tcPr>
          <w:p w:rsidR="008C7751" w:rsidRPr="00E00B35" w:rsidRDefault="008C7751" w:rsidP="00E00B35">
            <w:pPr>
              <w:spacing w:after="0" w:line="312" w:lineRule="auto"/>
              <w:rPr>
                <w:b/>
                <w:color w:val="000000"/>
                <w:szCs w:val="20"/>
              </w:rPr>
            </w:pPr>
            <w:r w:rsidRPr="00E00B35">
              <w:rPr>
                <w:b/>
                <w:color w:val="000000"/>
                <w:szCs w:val="20"/>
              </w:rPr>
              <w:t>36</w:t>
            </w:r>
          </w:p>
        </w:tc>
      </w:tr>
    </w:tbl>
    <w:p w:rsidR="008C7751" w:rsidRPr="00E00B35" w:rsidRDefault="008C7751" w:rsidP="00E00B35">
      <w:pPr>
        <w:pStyle w:val="11TrescpismaZnak"/>
        <w:tabs>
          <w:tab w:val="left" w:pos="-1260"/>
          <w:tab w:val="left" w:pos="-900"/>
          <w:tab w:val="left" w:pos="180"/>
        </w:tabs>
        <w:spacing w:after="0" w:line="312" w:lineRule="auto"/>
        <w:jc w:val="left"/>
        <w:rPr>
          <w:color w:val="000000"/>
        </w:rPr>
      </w:pPr>
    </w:p>
    <w:p w:rsidR="008C7751" w:rsidRPr="00E00B35" w:rsidRDefault="008C7751" w:rsidP="00E00B35">
      <w:pPr>
        <w:pStyle w:val="11TrescpismaZnak"/>
        <w:shd w:val="clear" w:color="auto" w:fill="FFFFFF"/>
        <w:tabs>
          <w:tab w:val="left" w:pos="-1980"/>
          <w:tab w:val="left" w:pos="-1260"/>
          <w:tab w:val="left" w:pos="-900"/>
          <w:tab w:val="left" w:pos="-851"/>
        </w:tabs>
        <w:spacing w:after="0" w:line="312" w:lineRule="auto"/>
        <w:jc w:val="left"/>
        <w:rPr>
          <w:color w:val="000000"/>
          <w:lang w:val="pl-PL"/>
        </w:rPr>
      </w:pPr>
      <w:r w:rsidRPr="00E00B35">
        <w:rPr>
          <w:color w:val="000000"/>
          <w:lang w:val="pl-PL"/>
        </w:rPr>
        <w:t xml:space="preserve">Kontynuowano ofertę klas z edukacją włączającą. Obecnie w 132 placówkach: 42 przedszkolach, 74 szkołach podstawowych i 16 szkołach ponadpodstawowych w ramach edukacji włączającej realizuje obowiązek nauki i obowiązek szkolny 964 uczniów o specjalnych potrzebach edukacyjnych (głównie z autyzmen i zespołem Aspergera, z zaburzonym zachowaniem, słabosłyszących i słabowidzących oraz z niepełnosprawnością intelektualną). Tym uczniom przyznawane są dodatkowe indywidualne godziny rewalidacyjne celem realizacji zaleceń zawartych w orzeczeniu o potrzebie kształcenia specjalnego. Łącznie przyznano 1 915 godzin tygodniowo. </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Realizowano zadania edukacyjne skierowane do uczniów pochodzenia romskiego zgodnie z § 12 ust. 1 Rozporządzenia Ministra Edukacji Narodowej z dnia 18 sierpnia 2017 r. w sprawie warunków i sposobu wykonywania przez przedszkola, szkoły i placówki publiczne zadań umożliwiających podtrzymywanie poczucia tożsamości narodowej, etnicznej i językowej uczniów należących do mniejszości narodowych i etnicznych oraz społeczności posługującej się językiem regionalnym (Dz.U. z 2017 r. poz. 1627), mające na celu podtrzymywanie i rozwijanie poczucia tożsamości etnicznej dzieci i młodzieży </w:t>
      </w:r>
      <w:r w:rsidRPr="00E00B35">
        <w:rPr>
          <w:color w:val="000000"/>
          <w:szCs w:val="20"/>
          <w:lang w:val="pl-PL"/>
        </w:rPr>
        <w:lastRenderedPageBreak/>
        <w:t>pochodzenia romskiego oraz wspomagające ich edukację. W roku 2020 we Wrocławiu obowiązek szkolny realizowało średnio 179 uczniów pochodzenia romskiego (uśredniając stan na dzień 30.09.2019 r. oraz 30.09.2020 r.)</w:t>
      </w:r>
    </w:p>
    <w:p w:rsidR="008C7751" w:rsidRPr="00E00B35" w:rsidRDefault="008C7751" w:rsidP="00E00B35">
      <w:pPr>
        <w:spacing w:after="0" w:line="312" w:lineRule="auto"/>
        <w:rPr>
          <w:color w:val="000000"/>
          <w:szCs w:val="20"/>
          <w:lang w:val="pl-PL"/>
        </w:rPr>
      </w:pPr>
      <w:r w:rsidRPr="00E00B35">
        <w:rPr>
          <w:color w:val="000000"/>
          <w:szCs w:val="20"/>
          <w:lang w:val="pl-PL"/>
        </w:rPr>
        <w:t>W roku szkolnym 2019/2020 obowiązkiem szkolnym objętych było 204 uczniów pochodzenia romskiego, a w roku szkolnym 2020/2021 – 168. Obowiązek szkolny w roku szkolnym 2019/2020 realizowało 196 uczniów, a w roku szkolnym 2020/2021 – 162.</w:t>
      </w:r>
    </w:p>
    <w:p w:rsidR="008C7751" w:rsidRPr="00E00B35" w:rsidRDefault="008C7751" w:rsidP="00E00B35">
      <w:pPr>
        <w:autoSpaceDE w:val="0"/>
        <w:autoSpaceDN w:val="0"/>
        <w:adjustRightInd w:val="0"/>
        <w:spacing w:after="0" w:line="312" w:lineRule="auto"/>
        <w:rPr>
          <w:color w:val="000000"/>
          <w:szCs w:val="20"/>
          <w:lang w:val="pl-PL"/>
        </w:rPr>
      </w:pPr>
      <w:r w:rsidRPr="00E00B35">
        <w:rPr>
          <w:color w:val="000000"/>
          <w:szCs w:val="20"/>
          <w:lang w:val="pl-PL"/>
        </w:rPr>
        <w:t xml:space="preserve">W </w:t>
      </w:r>
      <w:r w:rsidRPr="00E00B35">
        <w:rPr>
          <w:bCs/>
          <w:color w:val="000000"/>
          <w:szCs w:val="20"/>
          <w:lang w:val="pl-PL"/>
        </w:rPr>
        <w:t>19 placówkach</w:t>
      </w:r>
      <w:r w:rsidRPr="00E00B35">
        <w:rPr>
          <w:color w:val="000000"/>
          <w:szCs w:val="20"/>
          <w:lang w:val="pl-PL"/>
        </w:rPr>
        <w:t xml:space="preserve"> kontynuowano realizację </w:t>
      </w:r>
      <w:r w:rsidRPr="00E00B35">
        <w:rPr>
          <w:bCs/>
          <w:color w:val="000000"/>
          <w:szCs w:val="20"/>
          <w:lang w:val="pl-PL"/>
        </w:rPr>
        <w:t>Miejskiego Programu Profilaktyki Logopedycznej</w:t>
      </w:r>
      <w:r w:rsidRPr="00E00B35">
        <w:rPr>
          <w:color w:val="000000"/>
          <w:szCs w:val="20"/>
          <w:lang w:val="pl-PL"/>
        </w:rPr>
        <w:t xml:space="preserve"> (MPPL): Przedszkolach nr: 15, 16 (ZSP nr 16), 18, 30 (ZSP nr 13), 32 (ZSP nr 21), 33, 35, 36, 48, 51, 66, 69 (ZSP nr 10), 77, 107, 121, 123, Szkołach Podstawowych nr: 67 (ZS-P nr 13), 27 (ZS-P nr 10), 96. W sumie </w:t>
      </w:r>
      <w:r w:rsidRPr="00E00B35">
        <w:rPr>
          <w:bCs/>
          <w:color w:val="000000"/>
          <w:szCs w:val="20"/>
          <w:lang w:val="pl-PL"/>
        </w:rPr>
        <w:t>programem objętych jest</w:t>
      </w:r>
      <w:r w:rsidRPr="00E00B35">
        <w:rPr>
          <w:color w:val="000000"/>
          <w:szCs w:val="20"/>
          <w:lang w:val="pl-PL"/>
        </w:rPr>
        <w:t xml:space="preserve"> </w:t>
      </w:r>
      <w:r w:rsidRPr="00E00B35">
        <w:rPr>
          <w:bCs/>
          <w:color w:val="000000"/>
          <w:szCs w:val="20"/>
          <w:lang w:val="pl-PL"/>
        </w:rPr>
        <w:t xml:space="preserve">3 486 </w:t>
      </w:r>
      <w:r w:rsidRPr="00E00B35">
        <w:rPr>
          <w:color w:val="000000"/>
          <w:szCs w:val="20"/>
          <w:lang w:val="pl-PL"/>
        </w:rPr>
        <w:t xml:space="preserve">dzieci. </w:t>
      </w:r>
      <w:r w:rsidRPr="00E00B35">
        <w:rPr>
          <w:bCs/>
          <w:color w:val="000000"/>
          <w:szCs w:val="20"/>
          <w:lang w:val="pl-PL"/>
        </w:rPr>
        <w:t>Celem</w:t>
      </w:r>
      <w:r w:rsidRPr="00E00B35">
        <w:rPr>
          <w:color w:val="000000"/>
          <w:szCs w:val="20"/>
          <w:lang w:val="pl-PL"/>
        </w:rPr>
        <w:t xml:space="preserve"> </w:t>
      </w:r>
      <w:r w:rsidRPr="00E00B35">
        <w:rPr>
          <w:bCs/>
          <w:color w:val="000000"/>
          <w:szCs w:val="20"/>
          <w:lang w:val="pl-PL"/>
        </w:rPr>
        <w:t>strategicznym MPPL</w:t>
      </w:r>
      <w:r w:rsidRPr="00E00B35">
        <w:rPr>
          <w:b/>
          <w:bCs/>
          <w:color w:val="000000"/>
          <w:szCs w:val="20"/>
          <w:lang w:val="pl-PL"/>
        </w:rPr>
        <w:t xml:space="preserve"> </w:t>
      </w:r>
      <w:r w:rsidRPr="00E00B35">
        <w:rPr>
          <w:bCs/>
          <w:color w:val="000000"/>
          <w:szCs w:val="20"/>
          <w:lang w:val="pl-PL"/>
        </w:rPr>
        <w:t xml:space="preserve">jest </w:t>
      </w:r>
      <w:r w:rsidRPr="00E00B35">
        <w:rPr>
          <w:color w:val="000000"/>
          <w:szCs w:val="20"/>
          <w:lang w:val="pl-PL"/>
        </w:rPr>
        <w:t xml:space="preserve">przygotowanie dzieci do podjęcia obowiązku szkolnego, zapobieganie występowaniu trudności w uczeniu się, zapobieganie wykluczeniu społecznemu w klasie, wprowadzenie systemowych rozwiązań w zakresie profilaktyki logopedycznej w placówce i środowisku lokalnym. </w:t>
      </w:r>
    </w:p>
    <w:p w:rsidR="008C7751" w:rsidRPr="00E00B35" w:rsidRDefault="008C7751" w:rsidP="00E00B35">
      <w:pPr>
        <w:autoSpaceDE w:val="0"/>
        <w:autoSpaceDN w:val="0"/>
        <w:adjustRightInd w:val="0"/>
        <w:spacing w:after="0" w:line="312" w:lineRule="auto"/>
        <w:rPr>
          <w:color w:val="000000"/>
          <w:szCs w:val="20"/>
          <w:lang w:val="pl-PL"/>
        </w:rPr>
      </w:pPr>
      <w:r w:rsidRPr="00E00B35">
        <w:rPr>
          <w:color w:val="000000"/>
          <w:szCs w:val="20"/>
          <w:lang w:val="pl-PL"/>
        </w:rPr>
        <w:t xml:space="preserve">W roku 2020 w ramach programu przeprowadzono: </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w przedszkolach i szkołach podstawowych badania pretestowe (775 dzieci) oraz badania posttestowe (752 dzieci). W sumie przebadano 1 527 dzieci, a terapią logopedyczną objęto 1 120 dzieci;</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we wszystkich placówkach MPPL została wdrożona modyfikacja realizacji standardów profilaktyki logopedycznej. Opracowano wspólnie z dyrektorami placówek MPPL jednolite procedury realizacji zadań;</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logopedzi MPPL przygotowali i zebrali przygotowane przez siebie materiały ćwiczeniowe z instrukcjami, zdjęciami i krótkimi filmami do wykorzystania w pracy online i hybrydowej;</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ze względu na sytuację epidemiczną przesiewowe badania ortodontyczne wszystkich dzieci 3-letnich i 7-letnich oraz przesiewowe badania audiologiczne wszystkich dzieci 3 – letnich i nowoprzyjętych do placówek MPPL, zostały przełożone i zaplanowane na okres maj-wrzesień 2021r.</w:t>
      </w:r>
    </w:p>
    <w:p w:rsidR="00A5627F" w:rsidRPr="00E00B35" w:rsidRDefault="00A5627F" w:rsidP="00E00B35">
      <w:pPr>
        <w:spacing w:after="0" w:line="312" w:lineRule="auto"/>
        <w:rPr>
          <w:bCs/>
          <w:color w:val="000000"/>
          <w:szCs w:val="20"/>
        </w:rPr>
      </w:pPr>
    </w:p>
    <w:p w:rsidR="008C7751" w:rsidRPr="00E00B35" w:rsidRDefault="008C7751" w:rsidP="00E00B35">
      <w:pPr>
        <w:spacing w:after="0" w:line="312" w:lineRule="auto"/>
        <w:rPr>
          <w:bCs/>
          <w:color w:val="000000"/>
          <w:szCs w:val="20"/>
        </w:rPr>
      </w:pPr>
      <w:r w:rsidRPr="00E00B35">
        <w:rPr>
          <w:bCs/>
          <w:color w:val="000000"/>
          <w:szCs w:val="20"/>
        </w:rPr>
        <w:t xml:space="preserve">Projekty i działania promujące MPPL i ideę profilaktyki logopedycznej: </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Międzynarodowy Dzień Języka Ojczystego (21.02.2020r.) – uczestniczyły wszystkie placówki MPPL,</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w Przedszkolu nr 35 z oddziałami integracyjnymi zrealizowano projekt „Tajemnicza wyspa” nakierowany na rozwijanie percepcji słuchowej, koordynacji słuchowo-wzrokowo-ruchowej oraz usprawnianie narządów artykulacyjnych (kinestezji artykulacyjnej). Projekt przeprowadzony został we wszystkich grupach przedszkolnych, materiały udostępniono wszystkim wrocławskim placówkom,</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od marca do czerwca 2020 r. w każdej placówce MPPL opracowano i przeprowadzono projekty wewnątrz-placówkowe mające na celu rozwijanie poszczególnych podsystemów języka zgodnie z wyłonionymi w trakcie diagnozy kategoriami zmian do pracy,</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lastRenderedPageBreak/>
        <w:t>nauczyciele i logopedzi uczestniczyli w obowiązkowym szkoleniu: „Budowanie i wdrażanie programu profilaktyki logopedycznej” prowadzonym przez koordynatora MPPL. Kurs 16 godzinny ukończyło 45 nauczycieli;</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wszyscy logopedzi ukończyli zdalne webinaria dotyczące prowadzenia terapii logopedycznej oraz zajęć grupowych w formie online, przygotowywania materiałów ćwiczeniowych – wordwallnet,</w:t>
      </w:r>
    </w:p>
    <w:p w:rsidR="008C7751" w:rsidRPr="00E00B35" w:rsidRDefault="008C7751" w:rsidP="00E00B35">
      <w:pPr>
        <w:pStyle w:val="Akapitzlist"/>
        <w:numPr>
          <w:ilvl w:val="0"/>
          <w:numId w:val="9"/>
        </w:numPr>
        <w:spacing w:after="0" w:line="312" w:lineRule="auto"/>
        <w:ind w:left="357" w:hanging="357"/>
        <w:rPr>
          <w:bCs/>
          <w:color w:val="000000"/>
          <w:szCs w:val="20"/>
        </w:rPr>
      </w:pPr>
      <w:r w:rsidRPr="00E00B35">
        <w:rPr>
          <w:bCs/>
          <w:color w:val="000000"/>
          <w:szCs w:val="20"/>
        </w:rPr>
        <w:t xml:space="preserve">w ramach akcji uświadamiającej zależność sposobu jedzenia i prawidłowej artykulacji odbywały się cykliczne zajęcia we wszystkich placówkach MPPL. Celem akcji była nauka prawidłowego gryzienia, żucia i połykania u dzieci w wieku przedszkolnym i wczesnoszkolnym oraz poprawienie koordynacji pracy narządów mowy (kinestezji artykulacyjnej). </w:t>
      </w:r>
    </w:p>
    <w:p w:rsidR="00A5627F" w:rsidRPr="00E00B35" w:rsidRDefault="00A5627F" w:rsidP="00E00B35">
      <w:pPr>
        <w:autoSpaceDE w:val="0"/>
        <w:autoSpaceDN w:val="0"/>
        <w:adjustRightInd w:val="0"/>
        <w:spacing w:after="0" w:line="312" w:lineRule="auto"/>
        <w:rPr>
          <w:color w:val="000000"/>
          <w:szCs w:val="20"/>
          <w:lang w:val="pl-PL"/>
        </w:rPr>
      </w:pPr>
    </w:p>
    <w:p w:rsidR="008C7751" w:rsidRPr="00E00B35" w:rsidRDefault="008C7751" w:rsidP="00E00B35">
      <w:pPr>
        <w:autoSpaceDE w:val="0"/>
        <w:autoSpaceDN w:val="0"/>
        <w:adjustRightInd w:val="0"/>
        <w:spacing w:after="0" w:line="312" w:lineRule="auto"/>
        <w:rPr>
          <w:rFonts w:eastAsia="MS Mincho" w:cs="Verdana"/>
          <w:color w:val="000000"/>
          <w:szCs w:val="20"/>
          <w:lang w:val="pl-PL"/>
        </w:rPr>
      </w:pPr>
      <w:r w:rsidRPr="00E00B35">
        <w:rPr>
          <w:color w:val="000000"/>
          <w:szCs w:val="20"/>
          <w:lang w:val="pl-PL"/>
        </w:rPr>
        <w:t>We współpracy z Biurem Rozwoju Gospodarczego, realizowano projekty:</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„Przedsiębiorczy przedszkolak - kreatywne zajęcia edukacyjne”. Przesłaniem projektu jest kreowanie postaw proprzedsiębiorczych wśród dzieci przedszkolnych oraz kształtowanie postaw prospołecznych, odpowiedzialności za umiejętne korzystanie z zasobów – zgodnie z ideą współdzielenia.</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rPr>
      </w:pPr>
      <w:r w:rsidRPr="00E00B35">
        <w:rPr>
          <w:rFonts w:eastAsia="MS Mincho" w:cs="Verdana"/>
          <w:color w:val="000000"/>
          <w:szCs w:val="20"/>
          <w:lang w:val="pl-PL"/>
        </w:rPr>
        <w:t xml:space="preserve">„Oblicza przedsiębiorczości – zajęcia dla uczniów szkół średnich – Muzyka przedsiębiorczości”. </w:t>
      </w:r>
      <w:r w:rsidRPr="00E00B35">
        <w:rPr>
          <w:rFonts w:eastAsia="MS Mincho" w:cs="Verdana"/>
          <w:color w:val="000000"/>
          <w:szCs w:val="20"/>
        </w:rPr>
        <w:t xml:space="preserve">Projekt nie został zrealizowany z powodu pandemii. </w:t>
      </w:r>
    </w:p>
    <w:p w:rsidR="00A5627F" w:rsidRPr="00E00B35" w:rsidRDefault="00A5627F" w:rsidP="00E00B35">
      <w:pPr>
        <w:pStyle w:val="Akapitzlist"/>
        <w:spacing w:after="0" w:line="312" w:lineRule="auto"/>
        <w:ind w:left="357"/>
        <w:rPr>
          <w:rFonts w:eastAsia="MS Mincho" w:cs="Verdana"/>
          <w:color w:val="000000"/>
          <w:szCs w:val="20"/>
        </w:rPr>
      </w:pPr>
    </w:p>
    <w:p w:rsidR="008C7751" w:rsidRPr="00E00B35" w:rsidRDefault="008C7751" w:rsidP="00E00B35">
      <w:pPr>
        <w:autoSpaceDE w:val="0"/>
        <w:autoSpaceDN w:val="0"/>
        <w:adjustRightInd w:val="0"/>
        <w:spacing w:after="0" w:line="312" w:lineRule="auto"/>
        <w:rPr>
          <w:color w:val="000000"/>
          <w:szCs w:val="20"/>
          <w:lang w:val="pl-PL"/>
        </w:rPr>
      </w:pPr>
      <w:r w:rsidRPr="00E00B35">
        <w:rPr>
          <w:color w:val="000000"/>
          <w:szCs w:val="20"/>
          <w:lang w:val="pl-PL"/>
        </w:rPr>
        <w:t>Rozpatrzono 71 wniosków o</w:t>
      </w:r>
      <w:r w:rsidRPr="00E00B35">
        <w:rPr>
          <w:b/>
          <w:color w:val="000000"/>
          <w:szCs w:val="20"/>
          <w:lang w:val="pl-PL"/>
        </w:rPr>
        <w:t xml:space="preserve"> </w:t>
      </w:r>
      <w:r w:rsidRPr="00E00B35">
        <w:rPr>
          <w:color w:val="000000"/>
          <w:szCs w:val="20"/>
          <w:lang w:val="pl-PL"/>
        </w:rPr>
        <w:t>dofinansowanie pracodawcom kosztów kształcenia młodocianych pracowników, z czego</w:t>
      </w:r>
      <w:r w:rsidRPr="00E00B35">
        <w:rPr>
          <w:bCs/>
          <w:color w:val="000000"/>
          <w:szCs w:val="20"/>
          <w:lang w:val="pl-PL"/>
        </w:rPr>
        <w:t xml:space="preserve"> zrefundowano koszty kształcenia 52 pracodawcom na kwotę 356 632 zł za wykształcenie 51 uczniów</w:t>
      </w:r>
      <w:r w:rsidRPr="00E00B35">
        <w:rPr>
          <w:b/>
          <w:bCs/>
          <w:color w:val="000000"/>
          <w:szCs w:val="20"/>
          <w:lang w:val="pl-PL"/>
        </w:rPr>
        <w:t xml:space="preserve">; </w:t>
      </w:r>
      <w:r w:rsidRPr="00E00B35">
        <w:rPr>
          <w:color w:val="000000"/>
          <w:szCs w:val="20"/>
          <w:lang w:val="pl-PL"/>
        </w:rPr>
        <w:t>45 uczniów odbywało szkolenie w formie nauki zawodu, a 6 w formie przyuczenia do wykonywania określonej pracy.</w:t>
      </w:r>
    </w:p>
    <w:p w:rsidR="008C7751" w:rsidRPr="00E00B35" w:rsidRDefault="008C7751" w:rsidP="00E00B35">
      <w:pPr>
        <w:pStyle w:val="11TrescpismaZnak"/>
        <w:spacing w:after="0" w:line="312" w:lineRule="auto"/>
        <w:jc w:val="left"/>
        <w:rPr>
          <w:color w:val="000000"/>
          <w:lang w:val="pl-PL"/>
        </w:rPr>
      </w:pPr>
      <w:r w:rsidRPr="00E00B35">
        <w:rPr>
          <w:color w:val="000000"/>
          <w:lang w:val="pl-PL"/>
        </w:rPr>
        <w:t>W związku z pandemią koronawirusa, w ramach projektu „Zdalna Szkoła - wsparcie Ogólnopolskiej Sieci Edukacyjnej w systemie kształcenia zdalnego”</w:t>
      </w:r>
      <w:r w:rsidRPr="00E00B35">
        <w:rPr>
          <w:b/>
          <w:color w:val="000000"/>
          <w:lang w:val="pl-PL"/>
        </w:rPr>
        <w:t xml:space="preserve"> </w:t>
      </w:r>
      <w:r w:rsidRPr="00E00B35">
        <w:rPr>
          <w:color w:val="000000"/>
          <w:lang w:val="pl-PL"/>
        </w:rPr>
        <w:t>(Umowa o powierzenie grantu nr 1713/2020 z dnia 23.04.2020 r.) finansowanego ze środków Europejskiego Funduszu Rozwoju Regionalnego w ramach Programu Operacyjnego Polska Cyfrowa na lata 2014-2020 zakupiono i przekazano do 8 jednostek oświatowych 37 zestawów laptopów do kształcenia zdalnego za łączną kwotę 126 972 zł. Dofinansowanie projektu z UE wyniosło 99 999 zł, kwota środków własnych Gminy Wrocław to 26 973 zł.</w:t>
      </w:r>
    </w:p>
    <w:p w:rsidR="00A5627F" w:rsidRPr="00E00B35" w:rsidRDefault="00A5627F" w:rsidP="00E00B35">
      <w:pPr>
        <w:pStyle w:val="Nagwek3"/>
        <w:spacing w:after="0" w:line="312" w:lineRule="auto"/>
        <w:rPr>
          <w:sz w:val="20"/>
          <w:lang w:val="pl-PL"/>
        </w:rPr>
      </w:pPr>
      <w:bookmarkStart w:id="80" w:name="_Toc72411096"/>
    </w:p>
    <w:p w:rsidR="008C7751" w:rsidRPr="00E00B35" w:rsidRDefault="008C7751" w:rsidP="00E00B35">
      <w:pPr>
        <w:pStyle w:val="Nagwek3"/>
        <w:spacing w:after="0" w:line="312" w:lineRule="auto"/>
        <w:rPr>
          <w:sz w:val="20"/>
          <w:lang w:val="pl-PL"/>
        </w:rPr>
      </w:pPr>
      <w:r w:rsidRPr="00E00B35">
        <w:rPr>
          <w:sz w:val="20"/>
          <w:lang w:val="pl-PL"/>
        </w:rPr>
        <w:t>Realizacja programów unijnych</w:t>
      </w:r>
      <w:bookmarkEnd w:id="80"/>
      <w:r w:rsidRPr="00E00B35">
        <w:rPr>
          <w:sz w:val="20"/>
          <w:lang w:val="pl-PL"/>
        </w:rPr>
        <w:t xml:space="preserve"> </w:t>
      </w:r>
    </w:p>
    <w:p w:rsidR="008C7751" w:rsidRPr="00E00B35" w:rsidRDefault="008C7751" w:rsidP="00E00B35">
      <w:pPr>
        <w:pStyle w:val="MAGDASprawozdanieDSSDSSDSS"/>
        <w:tabs>
          <w:tab w:val="left" w:pos="180"/>
        </w:tabs>
        <w:spacing w:after="0" w:line="312" w:lineRule="auto"/>
        <w:jc w:val="left"/>
        <w:rPr>
          <w:rFonts w:cs="Verdana"/>
          <w:bCs/>
          <w:color w:val="000000"/>
          <w:lang w:val="pl-PL"/>
        </w:rPr>
      </w:pPr>
      <w:r w:rsidRPr="00E00B35">
        <w:rPr>
          <w:rFonts w:cs="Verdana"/>
          <w:bCs/>
          <w:color w:val="000000"/>
          <w:lang w:val="pl-PL"/>
        </w:rPr>
        <w:t>Wspierano placówki w pozyskiwaniu środków unijnych m.in. poprzez organizowanie spotkań roboczych oraz monitorowanie realizacji programów unijnych w następujących projektach:</w:t>
      </w:r>
    </w:p>
    <w:p w:rsidR="008C7751" w:rsidRPr="00E00B35" w:rsidRDefault="008C7751" w:rsidP="00E00B35">
      <w:pPr>
        <w:pStyle w:val="SprawozdanieDSSZnakZnak"/>
        <w:tabs>
          <w:tab w:val="clear" w:pos="643"/>
          <w:tab w:val="left" w:pos="-567"/>
        </w:tabs>
        <w:spacing w:after="0" w:line="312" w:lineRule="auto"/>
        <w:ind w:left="0" w:firstLine="0"/>
        <w:jc w:val="left"/>
        <w:rPr>
          <w:color w:val="000000"/>
          <w:szCs w:val="20"/>
          <w:lang w:val="pl-PL"/>
        </w:rPr>
      </w:pPr>
      <w:r w:rsidRPr="00E00B35">
        <w:rPr>
          <w:color w:val="000000"/>
          <w:szCs w:val="20"/>
          <w:lang w:val="pl-PL"/>
        </w:rPr>
        <w:t xml:space="preserve">Projekt „Zdalna Szkoła+” w Ogólnopolskiej Sieci Edukacyjnej realizowany w ramach Programu Operacyjnego Polska Cyfrowa na lata 2014-2020, Osi Priorytetowej nr I „Powszechny dostęp do szybkiego Internetu, działanie 1.1 „Wyeliminowanie terytorialnych różnic w możliwości dostępu do szerokopasmowego Internetu o wysokich przepustowościach”. W ramach realizacji projektu Gmina Wrocław zakupiła 64 laptopy z </w:t>
      </w:r>
      <w:r w:rsidRPr="00E00B35">
        <w:rPr>
          <w:color w:val="000000"/>
          <w:szCs w:val="20"/>
          <w:lang w:val="pl-PL"/>
        </w:rPr>
        <w:lastRenderedPageBreak/>
        <w:t xml:space="preserve">akcesoriami i oprogramowaniem. </w:t>
      </w:r>
      <w:r w:rsidRPr="00E00B35">
        <w:rPr>
          <w:rFonts w:cs="Verdana"/>
          <w:color w:val="000000"/>
          <w:szCs w:val="20"/>
          <w:lang w:val="pl-PL"/>
        </w:rPr>
        <w:t>Całkowita wartość projektu wynosi 167 280 zł, natomiast wkład Miasta wynosi 2 280 zł.</w:t>
      </w:r>
    </w:p>
    <w:p w:rsidR="008C7751" w:rsidRPr="00E00B35" w:rsidRDefault="008C7751" w:rsidP="00E00B35">
      <w:pPr>
        <w:pStyle w:val="SprawozdanieDSSZnakZnak"/>
        <w:tabs>
          <w:tab w:val="clear" w:pos="643"/>
          <w:tab w:val="left" w:pos="-567"/>
          <w:tab w:val="left" w:pos="0"/>
        </w:tabs>
        <w:spacing w:after="0" w:line="312" w:lineRule="auto"/>
        <w:ind w:left="0" w:firstLine="0"/>
        <w:jc w:val="left"/>
        <w:rPr>
          <w:color w:val="000000"/>
          <w:szCs w:val="20"/>
          <w:lang w:val="pl-PL"/>
        </w:rPr>
      </w:pPr>
      <w:r w:rsidRPr="00E00B35">
        <w:rPr>
          <w:color w:val="000000"/>
          <w:szCs w:val="20"/>
          <w:lang w:val="pl-PL"/>
        </w:rPr>
        <w:t>W ramach Programu</w:t>
      </w:r>
      <w:r w:rsidRPr="00E00B35">
        <w:rPr>
          <w:b/>
          <w:color w:val="000000"/>
          <w:szCs w:val="20"/>
          <w:lang w:val="pl-PL"/>
        </w:rPr>
        <w:t xml:space="preserve"> </w:t>
      </w:r>
      <w:r w:rsidRPr="00E00B35">
        <w:rPr>
          <w:color w:val="000000"/>
          <w:szCs w:val="20"/>
          <w:lang w:val="pl-PL"/>
        </w:rPr>
        <w:t>Erasmus+ 2018 Kształcenie i Szkolenia Zawodowe</w:t>
      </w:r>
      <w:r w:rsidRPr="00E00B35">
        <w:rPr>
          <w:b/>
          <w:color w:val="000000"/>
          <w:szCs w:val="20"/>
          <w:lang w:val="pl-PL"/>
        </w:rPr>
        <w:t xml:space="preserve"> </w:t>
      </w:r>
      <w:r w:rsidRPr="00E00B35">
        <w:rPr>
          <w:color w:val="000000"/>
          <w:szCs w:val="20"/>
          <w:lang w:val="pl-PL"/>
        </w:rPr>
        <w:t>kontynuowano realizację projektu w Lotniczych Zakładach Naukowych. Kwota dofinansowania to 11 900 EURO. Czas trwania projektów: 01.10.2018 r.- 31.05.2021 r.</w:t>
      </w:r>
    </w:p>
    <w:p w:rsidR="008C7751" w:rsidRPr="00E00B35" w:rsidRDefault="008C7751" w:rsidP="00E00B35">
      <w:pPr>
        <w:pStyle w:val="SprawozdanieDSSZnakZnak"/>
        <w:tabs>
          <w:tab w:val="clear" w:pos="643"/>
          <w:tab w:val="left" w:pos="-567"/>
        </w:tabs>
        <w:spacing w:after="0" w:line="312" w:lineRule="auto"/>
        <w:ind w:left="0" w:firstLine="0"/>
        <w:jc w:val="left"/>
        <w:rPr>
          <w:color w:val="000000"/>
          <w:szCs w:val="20"/>
          <w:lang w:val="pl-PL"/>
        </w:rPr>
      </w:pPr>
      <w:r w:rsidRPr="00E00B35">
        <w:rPr>
          <w:color w:val="000000"/>
          <w:szCs w:val="20"/>
          <w:lang w:val="pl-PL"/>
        </w:rPr>
        <w:t xml:space="preserve">W ramach Programu Erasmus+ 2018 - Kształcenie i Szkolenia Zawodowe POWER, współfinansowanego ze środków Europejskiego Funduszu Społecznego, Programu Operacyjnego Wiedza Edukacja Rozwój (PO WER) kontynuowano realizację projektu w Zespole Szkół Teleinformatycznych i Elektronicznych, kwota dofinansowania </w:t>
      </w:r>
      <w:r w:rsidRPr="00E00B35">
        <w:rPr>
          <w:color w:val="000000"/>
          <w:szCs w:val="20"/>
          <w:lang w:val="pl-PL"/>
        </w:rPr>
        <w:br/>
        <w:t xml:space="preserve">to 415 300 zł. Czas trwania projektów: 01.10.2018 r.- 30.04.2020 r. </w:t>
      </w:r>
    </w:p>
    <w:p w:rsidR="008C7751" w:rsidRPr="00E00B35" w:rsidRDefault="008C7751" w:rsidP="00E00B35">
      <w:pPr>
        <w:pStyle w:val="SprawozdanieDSSZnakZnak"/>
        <w:tabs>
          <w:tab w:val="clear" w:pos="643"/>
          <w:tab w:val="left" w:pos="-567"/>
          <w:tab w:val="left" w:pos="0"/>
        </w:tabs>
        <w:spacing w:after="0" w:line="312" w:lineRule="auto"/>
        <w:ind w:left="0" w:firstLine="0"/>
        <w:jc w:val="left"/>
        <w:rPr>
          <w:color w:val="000000"/>
          <w:szCs w:val="20"/>
          <w:lang w:val="pl-PL"/>
        </w:rPr>
      </w:pPr>
      <w:r w:rsidRPr="00E00B35">
        <w:rPr>
          <w:color w:val="000000"/>
          <w:szCs w:val="20"/>
          <w:lang w:val="pl-PL"/>
        </w:rPr>
        <w:t>W ramach Programu</w:t>
      </w:r>
      <w:r w:rsidRPr="00E00B35">
        <w:rPr>
          <w:b/>
          <w:color w:val="000000"/>
          <w:szCs w:val="20"/>
          <w:lang w:val="pl-PL"/>
        </w:rPr>
        <w:t xml:space="preserve"> </w:t>
      </w:r>
      <w:r w:rsidRPr="00E00B35">
        <w:rPr>
          <w:color w:val="000000"/>
          <w:szCs w:val="20"/>
          <w:lang w:val="pl-PL"/>
        </w:rPr>
        <w:t>Erasmus+ 2019 Kształcenie i Szkolenia Zawodowe</w:t>
      </w:r>
      <w:r w:rsidRPr="00E00B35">
        <w:rPr>
          <w:b/>
          <w:color w:val="000000"/>
          <w:szCs w:val="20"/>
          <w:lang w:val="pl-PL"/>
        </w:rPr>
        <w:t xml:space="preserve"> </w:t>
      </w:r>
      <w:r w:rsidRPr="00E00B35">
        <w:rPr>
          <w:color w:val="000000"/>
          <w:szCs w:val="20"/>
          <w:lang w:val="pl-PL"/>
        </w:rPr>
        <w:t>kontynuowano realizację projektu w 3 placówkach (Zespół Szkół nr 2, Zespół Szkół Logistycznych, Lotnicze Zakłady Naukowe). Kwota dofinansowania to 364 570 EURO. Czas trwania projektów: 03.06.2019 r.- 31.10.2021 r.</w:t>
      </w:r>
    </w:p>
    <w:p w:rsidR="008C7751" w:rsidRPr="00E00B35" w:rsidRDefault="008C7751" w:rsidP="00E00B35">
      <w:pPr>
        <w:pStyle w:val="SprawozdanieDSSZnakZnak"/>
        <w:tabs>
          <w:tab w:val="clear" w:pos="643"/>
          <w:tab w:val="left" w:pos="-567"/>
          <w:tab w:val="left" w:pos="0"/>
        </w:tabs>
        <w:spacing w:after="0" w:line="312" w:lineRule="auto"/>
        <w:ind w:left="0" w:firstLine="0"/>
        <w:jc w:val="left"/>
        <w:rPr>
          <w:color w:val="000000"/>
          <w:szCs w:val="20"/>
          <w:lang w:val="pl-PL"/>
        </w:rPr>
      </w:pPr>
      <w:r w:rsidRPr="00E00B35">
        <w:rPr>
          <w:color w:val="000000"/>
          <w:szCs w:val="20"/>
          <w:lang w:val="pl-PL"/>
        </w:rPr>
        <w:t xml:space="preserve">W ramach Programu Erasmus+ 2019 - Kształcenie i Szkolenia Zawodowe POWER, współfinansowanego ze środków Europejskiego Funduszu Społecznego, Programu Operacyjnego Wiedza Edukacja Rozwój (PO WER) kontynuowano realizację projektów w 4 placówkach (Zespół Szkół Ekonomiczno-Administracyjnych, Technikum nr 15, Elektroniczne Zakłady Naukowe i Zespół Szkół Gastronomicznych). Łączna kwota dofinansowania to 2 097 061 zł. Czas trwania projektów: 15.08.2019 r. – 14.04.2022 r. </w:t>
      </w:r>
    </w:p>
    <w:p w:rsidR="008C7751" w:rsidRPr="00E00B35" w:rsidRDefault="008C7751" w:rsidP="00E00B35">
      <w:pPr>
        <w:pStyle w:val="11Trescpisma"/>
        <w:tabs>
          <w:tab w:val="num" w:pos="502"/>
        </w:tabs>
        <w:spacing w:before="0" w:after="0" w:line="312" w:lineRule="auto"/>
        <w:jc w:val="left"/>
        <w:rPr>
          <w:strike/>
          <w:color w:val="000000"/>
          <w:szCs w:val="20"/>
          <w:lang w:val="pl-PL"/>
        </w:rPr>
      </w:pPr>
      <w:r w:rsidRPr="00E00B35">
        <w:rPr>
          <w:color w:val="000000"/>
          <w:szCs w:val="20"/>
          <w:lang w:val="pl-PL"/>
        </w:rPr>
        <w:t>W ramach Programu</w:t>
      </w:r>
      <w:r w:rsidRPr="00E00B35">
        <w:rPr>
          <w:b/>
          <w:color w:val="000000"/>
          <w:szCs w:val="20"/>
          <w:lang w:val="pl-PL"/>
        </w:rPr>
        <w:t xml:space="preserve"> </w:t>
      </w:r>
      <w:r w:rsidRPr="00E00B35">
        <w:rPr>
          <w:color w:val="000000"/>
          <w:szCs w:val="20"/>
          <w:lang w:val="pl-PL"/>
        </w:rPr>
        <w:t>Erasmus+ 2020 Kształcenie i Szkolenia Zawodowe</w:t>
      </w:r>
      <w:r w:rsidRPr="00E00B35">
        <w:rPr>
          <w:b/>
          <w:color w:val="000000"/>
          <w:szCs w:val="20"/>
          <w:lang w:val="pl-PL"/>
        </w:rPr>
        <w:t xml:space="preserve"> </w:t>
      </w:r>
      <w:r w:rsidRPr="00E00B35">
        <w:rPr>
          <w:color w:val="000000"/>
          <w:szCs w:val="20"/>
          <w:lang w:val="pl-PL"/>
        </w:rPr>
        <w:t>dofinansowanie otrzymały Lotnicze Zakłady Naukowe. Kwota dofinansowania to 134 436 EURO. Czas trwania projektów: 01.08.2020 – 31.10.2021 r.</w:t>
      </w:r>
    </w:p>
    <w:p w:rsidR="008C7751" w:rsidRPr="00E00B35" w:rsidRDefault="008C7751" w:rsidP="00E00B35">
      <w:pPr>
        <w:pStyle w:val="11Trescpisma"/>
        <w:spacing w:before="0" w:after="0" w:line="312" w:lineRule="auto"/>
        <w:jc w:val="left"/>
        <w:rPr>
          <w:color w:val="000000"/>
          <w:szCs w:val="20"/>
          <w:lang w:val="pl-PL"/>
        </w:rPr>
      </w:pPr>
      <w:r w:rsidRPr="00E00B35">
        <w:rPr>
          <w:color w:val="000000"/>
          <w:szCs w:val="20"/>
          <w:lang w:val="pl-PL"/>
        </w:rPr>
        <w:t xml:space="preserve">W ramach Programu Erasmus+ 2020 - Kształcenie i Szkolenia Zawodowe POWER, współfinansowanego ze środków Europejskiego Funduszu Społecznego, Programu Operacyjnego Wiedza Edukacja Rozwój (PO WER) dofinansowanie otrzymały </w:t>
      </w:r>
      <w:r w:rsidRPr="00E00B35">
        <w:rPr>
          <w:color w:val="000000"/>
          <w:szCs w:val="20"/>
          <w:lang w:val="pl-PL"/>
        </w:rPr>
        <w:br/>
        <w:t xml:space="preserve">2 placówki (Zespół Szkół Logistycznych, Technikum nr 15), łączna kwota dofinansowania to 1 290 069 zł. Czas trwania projektów: 01.10.2020 r.- 30.09.2022 r. </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 ramach Programu Erasmus + 2017 Partnerstwa Strategiczne</w:t>
      </w:r>
      <w:r w:rsidRPr="00E00B35">
        <w:rPr>
          <w:rFonts w:cs="Verdana"/>
          <w:b/>
          <w:color w:val="000000"/>
          <w:szCs w:val="20"/>
          <w:lang w:val="pl-PL"/>
        </w:rPr>
        <w:t xml:space="preserve"> </w:t>
      </w:r>
      <w:r w:rsidRPr="00E00B35">
        <w:rPr>
          <w:rFonts w:cs="Verdana"/>
          <w:color w:val="000000"/>
          <w:szCs w:val="20"/>
          <w:lang w:val="pl-PL"/>
        </w:rPr>
        <w:t xml:space="preserve">kontynuowano realizację projektu w Liceum Ogólnokształcącym nr VII. Kwota dofinansowania wynosi 22 635 EURO. Czas trwania projektu 18.09.2017 r. - 17.03.2020 r. Celem projektów jest uwrażliwienie uczniów na problemy środowiska naturalnego Morza Bałtyckiego wynikające ze zmian klimatycznych oraz opracowanie nowego podejścia do procesu edukacji poprzez filozofię edukacyjno-naukową w szkole.  </w:t>
      </w:r>
      <w:r w:rsidRPr="00E00B35">
        <w:rPr>
          <w:rFonts w:cs="Verdana"/>
          <w:color w:val="000000"/>
          <w:szCs w:val="20"/>
          <w:lang w:val="pl-PL"/>
        </w:rPr>
        <w:tab/>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W ramach </w:t>
      </w:r>
      <w:r w:rsidRPr="00E00B35">
        <w:rPr>
          <w:rFonts w:cs="Verdana"/>
          <w:b/>
          <w:color w:val="000000"/>
          <w:szCs w:val="20"/>
          <w:lang w:val="pl-PL"/>
        </w:rPr>
        <w:t xml:space="preserve">Programu Erasmus+ 2018 Edukacja Szkolna </w:t>
      </w:r>
      <w:r w:rsidRPr="00E00B35">
        <w:rPr>
          <w:rFonts w:cs="Verdana"/>
          <w:color w:val="000000"/>
          <w:szCs w:val="20"/>
          <w:lang w:val="pl-PL"/>
        </w:rPr>
        <w:t>dofinansowanie otrzymało dwanaście placówek:</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61, czas trwania projektu 01.09.2018 r. - 31.08.2021 r., kwota dofinansowania 24 880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Szkół Ekonomiczno-Ogólnokształcących, czas trwania projektu 01.09.2018r.-31.07.2021r., kwota dofinansowania 29 945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91, czas trwania projektu 01.09.2018 r.- 31.08.2021 r., kwota dofinansowania 32 998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lastRenderedPageBreak/>
        <w:t>Liceum Ogólnokształcące nr XVII, czas trwania projektu 01.09.2018 r.- 28.02.2021 r., kwota dofinansowania 31 825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43, czas trwania projektu 01.09.2018 r. - 31.08.2020 r., kwota dofinansowania 32 971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Szkół nr 5, czas trwania projektu 01.09.2018 r. - 31.08.2020 r., kwota dofinansowania 28 446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61 (drugi projekt) czas trwania projektu 01.09.2018 r - 31.05.2020 r., kwota dofinansowania 23 570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XII, czas trwania projektu 01.12.2018 r. – 30.11.2021 r., kwota dofinansowania 25 116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Ogólnokształcace nr IV, czas trwania projektu 01.06.2018 r.- 31.05.2020 r., kwota dofinansowania 31 129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118, czas trwania projektu 01.09.2018 r. - 31.08.2020 r., kwota dofinansowania 23 104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43 we Wrocławiu, czas trwania projektu 01.09.2018 r. – 31.08.2020 r., kwota dofinansowania 32 971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Szkolno - Przedszkolny nr 1 we Wrocławiu, czas trwania projektów 24.09.2018 r. – 23.08.2021 r., kwota dofinansowania 28 686 EURO.</w:t>
      </w:r>
    </w:p>
    <w:p w:rsidR="008C7751" w:rsidRPr="00E00B35" w:rsidRDefault="008C7751" w:rsidP="00E00B35">
      <w:pPr>
        <w:pStyle w:val="Akapitzlist"/>
        <w:spacing w:after="0" w:line="312" w:lineRule="auto"/>
        <w:ind w:left="357"/>
        <w:rPr>
          <w:rFonts w:eastAsia="MS Mincho" w:cs="Verdana"/>
          <w:color w:val="000000"/>
          <w:szCs w:val="20"/>
          <w:lang w:val="pl-PL"/>
        </w:rPr>
      </w:pP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 ramach Programu Operacyjnego Wiedza Edukacja Rozwój (POWER) Edukacja Szkolna dofinansowanie otrzymał Zespół Szkół nr 6, termin realizacji 01.08.2018 r.- 31.07.2020 r., kwota dofinansowania 167 917 PLN.</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 ramach Programu Erasmus+ 2019 Edukacja Szkolna</w:t>
      </w:r>
      <w:r w:rsidRPr="00E00B35">
        <w:rPr>
          <w:rFonts w:cs="Verdana"/>
          <w:b/>
          <w:color w:val="000000"/>
          <w:szCs w:val="20"/>
          <w:lang w:val="pl-PL"/>
        </w:rPr>
        <w:t xml:space="preserve"> </w:t>
      </w:r>
      <w:r w:rsidRPr="00E00B35">
        <w:rPr>
          <w:rFonts w:cs="Verdana"/>
          <w:color w:val="000000"/>
          <w:szCs w:val="20"/>
          <w:lang w:val="pl-PL"/>
        </w:rPr>
        <w:t>dofinansowanie otrzymało czternaście placówek:</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61, czas trwania projektu 01.006.2019 r. - 31.05.2021 r., kwota dofinansowania 11 514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VIII, czas trwania projektu 01.06.2019 r. - 31.12.2021 r., kwota dofinansowania 34 187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90, czas trwania projektu 01.06.2019 r. – 31.10.2021 r., kwota dofinansowania 29 076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8, czas trwania projektu 01.09.2019 r. – 31.08.2021 r., kwota dofinansowania 31 178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Szkół nr 3, czas trwania projektu 01.10.2019 r. – 30.09.2021 r., kwota dofinansowania 34 156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V, czas trwania projektu 01.12.2019 r.–30.06.2022r., kwota dofinansowania 34 683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XIV, czas trwania projektu 01.06.2019 r. – 31.12.2021 r., kwota dofinansowania 44 708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Szkolno–Przedszkolny nr 20, czas trwania projektu 01.12.2019 r. – 30.06.2021 r., kwota dofinansowania 28 339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V, czas trwania projektu 01.09.2019 r.–31.08.2022r., kwota dofinansowania 23 740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lastRenderedPageBreak/>
        <w:t>Liceum Ogólnokształcące nr X, czas trwania projektu 01.09.2019 r.–31.08.2021r., kwota dofinansowania 26 095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XIII, czas trwania projektu 01.09.2019 r. – 31.08.2021 r., kwota dofinansowania 47 433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1, czas trwania projektu 01.09.2019 r. – 30.06.2022 r., kwota dofinansowania 24 150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Szkół Ekonomiczno-Ogólnokształcących, czas trwania projektu 01.11.2019r. – 31.10.2021 r., kwota dofinansowania 19 274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Szkół nr 6, czas trwania projektu 01.11.2019 r. – 30.06.2022 r., kwota dofinansowania 28 371 EURO.</w:t>
      </w:r>
    </w:p>
    <w:p w:rsidR="00A5627F" w:rsidRPr="00E00B35" w:rsidRDefault="00A5627F" w:rsidP="00E00B35">
      <w:pPr>
        <w:spacing w:after="0" w:line="312" w:lineRule="auto"/>
        <w:rPr>
          <w:rFonts w:cs="Verdana"/>
          <w:color w:val="000000"/>
          <w:szCs w:val="20"/>
          <w:lang w:val="pl-PL"/>
        </w:rPr>
      </w:pP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 ramach Programu Operacyjnego Wiedza Edukacja Rozwój (POWER) Edukacja Szkolna 2019</w:t>
      </w:r>
      <w:r w:rsidRPr="00E00B35">
        <w:rPr>
          <w:rFonts w:cs="Verdana"/>
          <w:b/>
          <w:color w:val="000000"/>
          <w:szCs w:val="20"/>
          <w:lang w:val="pl-PL"/>
        </w:rPr>
        <w:t xml:space="preserve"> </w:t>
      </w:r>
      <w:r w:rsidRPr="00E00B35">
        <w:rPr>
          <w:rFonts w:cs="Verdana"/>
          <w:color w:val="000000"/>
          <w:szCs w:val="20"/>
          <w:lang w:val="pl-PL"/>
        </w:rPr>
        <w:t>dofinansowanie otrzymały dwie placówki:</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61, czas trwania projektu 02.09.2019 r. – 01.09.2020 r., kwota dofinansowania 131 454 zł,</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VII, czas trwania projektu 01.09.2019 r. – 31.08.2021 r., kwota dofinansowania 122 082 zł.</w:t>
      </w:r>
    </w:p>
    <w:p w:rsidR="00A5627F" w:rsidRPr="00E00B35" w:rsidRDefault="00A5627F" w:rsidP="00E00B35">
      <w:pPr>
        <w:pStyle w:val="Akapitzlist"/>
        <w:spacing w:after="0" w:line="312" w:lineRule="auto"/>
        <w:ind w:left="357"/>
        <w:rPr>
          <w:rFonts w:eastAsia="MS Mincho" w:cs="Verdana"/>
          <w:color w:val="000000"/>
          <w:szCs w:val="20"/>
          <w:lang w:val="pl-PL"/>
        </w:rPr>
      </w:pP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 ramach Programu Erasmus+ 2020 Edukacja Szkolna</w:t>
      </w:r>
      <w:r w:rsidRPr="00E00B35">
        <w:rPr>
          <w:rFonts w:cs="Verdana"/>
          <w:b/>
          <w:color w:val="000000"/>
          <w:szCs w:val="20"/>
          <w:lang w:val="pl-PL"/>
        </w:rPr>
        <w:t xml:space="preserve"> </w:t>
      </w:r>
      <w:r w:rsidRPr="00E00B35">
        <w:rPr>
          <w:rFonts w:cs="Verdana"/>
          <w:color w:val="000000"/>
          <w:szCs w:val="20"/>
          <w:lang w:val="pl-PL"/>
        </w:rPr>
        <w:t>dofinansowanie otrzymało dziesięć placówek:</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Szkół nr 6, czas trwania projektu 31.12.2020 r. – 30.12.2022 r., kwota dofinansowania 29 960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68, czas trwania projektu 01.09.2020 r. – 31.08.2022 r., kwota dofinansowania 14 702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IV, czas trwania projektu 01.09.2020 r. – 31.03.2022 r., kwota dofinansowania 54 841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30, czas trwania projektu 01.09.2020 r. - 31.08.2022 r., kwota dofinansowania 34 954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30 (drugi projekt), czas trwania projektu 01.10.2020 r. – 30.09.2022 r., kwota dofinansowania 28 252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VII, czas trwania projektu 27.09.2020 r. – 26.09.2022 r., kwota dofinansowania 29 296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VII (drugi projekt), czas trwania projektu 01.09.2020 r. – 31.08.2022 r., kwota dofinansowania 25 860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VII (trzeci projekt), czas trwania projektu 01.09.2020 r. – 31.08.2022 r., kwota dofinansowania 24 335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Szkolno-Przedszkolny nr 24, czas trwania projektów 01.09.2020 r. – 31.08.2022 r., kwota dofinansowania 29 420 EURO,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Szkoła Podstawowa nr 68 (drugi projekt), czas trwania projektu 01.09.2020 r. – 31.08.2022 r., kwota dofinansowania 27 755 EURO.</w:t>
      </w:r>
    </w:p>
    <w:p w:rsidR="00A5627F" w:rsidRPr="00E00B35" w:rsidRDefault="00A5627F" w:rsidP="00E00B35">
      <w:pPr>
        <w:pStyle w:val="Akapitzlist"/>
        <w:spacing w:after="0" w:line="312" w:lineRule="auto"/>
        <w:ind w:left="0"/>
        <w:rPr>
          <w:rFonts w:cs="Verdana"/>
          <w:color w:val="000000"/>
          <w:szCs w:val="20"/>
          <w:lang w:val="pl-PL"/>
        </w:rPr>
      </w:pPr>
    </w:p>
    <w:p w:rsidR="008C7751" w:rsidRPr="00E00B35" w:rsidRDefault="008C7751" w:rsidP="00E00B35">
      <w:pPr>
        <w:pStyle w:val="Akapitzlist"/>
        <w:spacing w:after="0" w:line="312" w:lineRule="auto"/>
        <w:ind w:left="0"/>
        <w:rPr>
          <w:rFonts w:cs="Verdana"/>
          <w:color w:val="000000"/>
          <w:szCs w:val="20"/>
          <w:lang w:val="pl-PL"/>
        </w:rPr>
      </w:pPr>
      <w:r w:rsidRPr="00E00B35">
        <w:rPr>
          <w:rFonts w:cs="Verdana"/>
          <w:color w:val="000000"/>
          <w:szCs w:val="20"/>
          <w:lang w:val="pl-PL"/>
        </w:rPr>
        <w:lastRenderedPageBreak/>
        <w:t>W ramach Programu Operacyjnego Wiedza Edukacja Rozwój (POWER) Edukacja Szkolna 2020</w:t>
      </w:r>
      <w:r w:rsidRPr="00E00B35">
        <w:rPr>
          <w:rFonts w:cs="Verdana"/>
          <w:b/>
          <w:color w:val="000000"/>
          <w:szCs w:val="20"/>
          <w:lang w:val="pl-PL"/>
        </w:rPr>
        <w:t xml:space="preserve"> </w:t>
      </w:r>
      <w:r w:rsidRPr="00E00B35">
        <w:rPr>
          <w:rFonts w:cs="Verdana"/>
          <w:color w:val="000000"/>
          <w:szCs w:val="20"/>
          <w:lang w:val="pl-PL"/>
        </w:rPr>
        <w:t>dofinansowanie otrzymały dwie placówki:</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Szkół nr 9, czas trwania projektu 01.10.2020 r. – 30.09.2022 r., kwota dofinansowania 168 299 PLN,</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Szkół nr 8, czas trwania projektu 01.10.2020 r. – 31.01.2022 r., kwota dofinansowania 126 309 PLN.</w:t>
      </w:r>
    </w:p>
    <w:p w:rsidR="008C7751" w:rsidRPr="00E00B35" w:rsidRDefault="008C7751" w:rsidP="00E00B35">
      <w:pPr>
        <w:pStyle w:val="Akapitzlist"/>
        <w:spacing w:after="0" w:line="312" w:lineRule="auto"/>
        <w:ind w:left="0"/>
        <w:rPr>
          <w:rFonts w:cs="Verdana"/>
          <w:color w:val="000000"/>
          <w:szCs w:val="20"/>
          <w:lang w:val="pl-PL"/>
        </w:rPr>
      </w:pP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W ramach Europejskiego Funduszu Społecznego, współfinansowanego ze środków Regionalnego Programu Operacyjnego Województwa Dolnośląskiego w latach 2014-2020, realizowano projekt „Weź kurs na staż! Podniesienie efektywności kształcenia zawodowego we wrocławskich szkołach zawodowych”. Termin realizacji projektu: 01.06.2018r.–31.08.2019r. (30.06.2020 r.) . Celem projektu jest zwiększenie umiejętności zawodowych oraz wyposażenie w doświadczenie i wiedzę specjalistyczną poszukiwaną na rynku pracy 300 uczniów kształcących się w kluczowych branżach dla Dolnego Śląska we wrocławskich szkołach zawodowych poprzez realizację staży oraz kursów doskonalących, podniesienie kompetencji nauczycieli zawodu, doposażenie </w:t>
      </w:r>
      <w:r w:rsidRPr="00E00B35">
        <w:rPr>
          <w:rFonts w:cs="Verdana"/>
          <w:color w:val="000000"/>
          <w:szCs w:val="20"/>
          <w:lang w:val="pl-PL"/>
        </w:rPr>
        <w:br/>
        <w:t>w specjalistyczny sprzęt placówek oświatowych. Realizatorem projektu jest Centrum Kształcenia Zawodowego. Całkowita wartość projektu wynosi 1 364 802 zł, natomiast wkład Miasta wynosi 68 240 zł.</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 ramach Europejskiego Funduszu Społecznego, współfinansowanego ze środków Regionalnego Programu Operacyjnego Województwa Dolnośląskiego w latach 2014-2020, realizowano projekt „Manufaktura fachowców. Nowa jakość kształcenia we wrocławskich szkołach zawodowych”. Termin realizacji projektu: 01.12.2018 - 30.11.2020 r., cel: zwiększenie umiejętności zawodowych oraz wyposażenie w wiedzę specjalistyczną poszukiwaną na rynku pracy 300 uczniów dziesięciu wrocławskich szkół zawodowych kształcących się w kluczowych dla Dolnego Śląska i Wrocławia branżach: motoryzacyjnej, elektryczno-energetycznej, mechatroniczno-elektronicznej, budowlanej, lotniczej, transportowo-spedycyjno-logistycznej, informatycznej, turystyczno-gastronomicznej, usługowej (fryzjerstwo, poligrafia) oraz Centrum Kształcenia Zawodowego, jako placówki oświatowej. Realizatorem projektu jest Centrum Kształcenia Zawodowego. Całkowita wartość projektu wynosi 1 998 792 zł, natomiast wkład Miasta wynosi 99 939 zł.</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 ramach Europejskiego Funduszu Społecznego, współfinansowanego ze środków Regionalnego Programu Operacyjnego Województwa Dolnośląskiego w latach 2014-2020, realizowano projekt „Od stażysty do specjalisty. Nowa jakość kształcenia we wrocławskich szkołach prowadzących kształcenie zawodowe”.</w:t>
      </w:r>
      <w:r w:rsidRPr="00E00B35">
        <w:rPr>
          <w:rFonts w:cs="Verdana"/>
          <w:b/>
          <w:color w:val="000000"/>
          <w:szCs w:val="20"/>
          <w:lang w:val="pl-PL"/>
        </w:rPr>
        <w:t xml:space="preserve"> </w:t>
      </w:r>
      <w:r w:rsidRPr="00E00B35">
        <w:rPr>
          <w:rFonts w:cs="Verdana"/>
          <w:color w:val="000000"/>
          <w:szCs w:val="20"/>
          <w:lang w:val="pl-PL"/>
        </w:rPr>
        <w:t xml:space="preserve">Termin realizacji projektu: 01.12.2019 r. – 31.10.2021 r. Projekt zakłada lepsze dopasowanie systemu kształcenia i szkolenia do potrzeb rynku pracy, ułatwienie przechodzenia z etapu kształcenia do etapu zatrudnienia oraz wzmocnienie systemów kształcenia i szkolenia zawodowego i ich jakości, w tym poprzez mechanizmy prognozowania umiejętności, dostosowania programów nauczania oraz tworzenia i rozwoju systemów uczenia </w:t>
      </w:r>
      <w:r w:rsidRPr="00E00B35">
        <w:rPr>
          <w:rFonts w:cs="Verdana"/>
          <w:color w:val="000000"/>
          <w:szCs w:val="20"/>
          <w:lang w:val="pl-PL"/>
        </w:rPr>
        <w:br/>
        <w:t xml:space="preserve">się poprzez praktyczną naukę zawodu realizowaną w ścisłej współpracy z pracodawcami. Całkowita wartość projektu wynosi 1 614 600 zł, natomiast wkład Miasta wynosi </w:t>
      </w:r>
      <w:r w:rsidRPr="00E00B35">
        <w:rPr>
          <w:rFonts w:cs="Verdana"/>
          <w:color w:val="000000"/>
          <w:szCs w:val="20"/>
          <w:lang w:val="pl-PL"/>
        </w:rPr>
        <w:br/>
        <w:t>80 730 zł.</w:t>
      </w:r>
    </w:p>
    <w:p w:rsidR="008C7751" w:rsidRPr="00E00B35" w:rsidRDefault="008C7751" w:rsidP="00E00B35">
      <w:pPr>
        <w:spacing w:after="0" w:line="312" w:lineRule="auto"/>
        <w:rPr>
          <w:b/>
          <w:color w:val="000000"/>
          <w:szCs w:val="20"/>
          <w:lang w:val="pl-PL"/>
        </w:rPr>
      </w:pPr>
      <w:r w:rsidRPr="00E00B35">
        <w:rPr>
          <w:rFonts w:cs="Verdana"/>
          <w:color w:val="000000"/>
          <w:szCs w:val="20"/>
          <w:lang w:val="pl-PL"/>
        </w:rPr>
        <w:lastRenderedPageBreak/>
        <w:t xml:space="preserve">W ramach </w:t>
      </w:r>
      <w:r w:rsidRPr="00E00B35">
        <w:rPr>
          <w:rFonts w:cs="Verdana"/>
          <w:bCs/>
          <w:color w:val="000000"/>
          <w:szCs w:val="20"/>
          <w:lang w:val="pl-PL"/>
        </w:rPr>
        <w:t>Europejskiego Funduszu Społecznego</w:t>
      </w:r>
      <w:r w:rsidRPr="00E00B35">
        <w:rPr>
          <w:color w:val="000000"/>
          <w:szCs w:val="20"/>
          <w:lang w:val="pl-PL"/>
        </w:rPr>
        <w:t xml:space="preserve"> współfinansowany ze środków Regionalnego Programu Operacyjnego Województwa Dolnośląskiego 2014-2020 realizowany jest projekt „Mogę więcej! – wsparcie procesu edukacji i rozwoju uczniów ze specjalnymi potrzebami we wrocławskich szkołach specjalnych”.</w:t>
      </w:r>
      <w:r w:rsidRPr="00E00B35">
        <w:rPr>
          <w:b/>
          <w:color w:val="000000"/>
          <w:szCs w:val="20"/>
          <w:lang w:val="pl-PL"/>
        </w:rPr>
        <w:t xml:space="preserve"> </w:t>
      </w:r>
      <w:r w:rsidRPr="00E00B35">
        <w:rPr>
          <w:color w:val="000000"/>
          <w:szCs w:val="20"/>
          <w:lang w:val="pl-PL"/>
        </w:rPr>
        <w:t xml:space="preserve">Termin realizacji projektu: 1.07.2018 r. – 30.06.2020 r. Projekt jest realizowany </w:t>
      </w:r>
      <w:r w:rsidRPr="00E00B35">
        <w:rPr>
          <w:color w:val="000000"/>
          <w:szCs w:val="20"/>
          <w:lang w:val="pl-PL"/>
        </w:rPr>
        <w:br/>
        <w:t xml:space="preserve">w Specjalnych Ośrodkach Szkolno-Wychowawczych nr 1, 10, 11 oraz w Zespołach Szkół nr 16 i 21. Celem projektu jest indywidualna praca z uczniem ze specjalnymi potrzebami edukacyjnymi w tym wsparcie ucznia młodszego przy jego przechodzeniu na kolejny etap kształcenia. </w:t>
      </w:r>
      <w:r w:rsidRPr="00E00B35">
        <w:rPr>
          <w:rFonts w:cs="Verdana"/>
          <w:color w:val="000000"/>
          <w:szCs w:val="20"/>
          <w:lang w:val="pl-PL"/>
        </w:rPr>
        <w:t xml:space="preserve">Całkowita wartość projektu wynosi </w:t>
      </w:r>
      <w:r w:rsidRPr="00E00B35">
        <w:rPr>
          <w:color w:val="000000"/>
          <w:szCs w:val="20"/>
          <w:lang w:val="pl-PL"/>
        </w:rPr>
        <w:t xml:space="preserve">1 513 879 </w:t>
      </w:r>
      <w:r w:rsidRPr="00E00B35">
        <w:rPr>
          <w:rFonts w:cs="Verdana"/>
          <w:color w:val="000000"/>
          <w:szCs w:val="20"/>
          <w:lang w:val="pl-PL"/>
        </w:rPr>
        <w:t>zł, natomiast wkład Miasta wynosi 77</w:t>
      </w:r>
      <w:r w:rsidRPr="00E00B35">
        <w:rPr>
          <w:color w:val="000000"/>
          <w:szCs w:val="20"/>
          <w:lang w:val="pl-PL"/>
        </w:rPr>
        <w:t xml:space="preserve"> 678 </w:t>
      </w:r>
      <w:r w:rsidRPr="00E00B35">
        <w:rPr>
          <w:rFonts w:cs="Verdana"/>
          <w:color w:val="000000"/>
          <w:szCs w:val="20"/>
          <w:lang w:val="pl-PL"/>
        </w:rPr>
        <w:t>zł.</w:t>
      </w:r>
    </w:p>
    <w:p w:rsidR="008C7751" w:rsidRPr="00E00B35" w:rsidRDefault="008C7751" w:rsidP="00E00B35">
      <w:pPr>
        <w:spacing w:after="0" w:line="312" w:lineRule="auto"/>
        <w:rPr>
          <w:b/>
          <w:color w:val="000000"/>
          <w:szCs w:val="20"/>
          <w:lang w:val="pl-PL"/>
        </w:rPr>
      </w:pPr>
      <w:r w:rsidRPr="00E00B35">
        <w:rPr>
          <w:rFonts w:cs="Verdana"/>
          <w:color w:val="000000"/>
          <w:szCs w:val="20"/>
          <w:lang w:val="pl-PL"/>
        </w:rPr>
        <w:t xml:space="preserve">W ramach </w:t>
      </w:r>
      <w:r w:rsidRPr="00E00B35">
        <w:rPr>
          <w:rFonts w:cs="Verdana"/>
          <w:bCs/>
          <w:color w:val="000000"/>
          <w:szCs w:val="20"/>
          <w:lang w:val="pl-PL"/>
        </w:rPr>
        <w:t>Europejskiego Funduszu Społecznego</w:t>
      </w:r>
      <w:r w:rsidRPr="00E00B35">
        <w:rPr>
          <w:color w:val="000000"/>
          <w:szCs w:val="20"/>
          <w:lang w:val="pl-PL"/>
        </w:rPr>
        <w:t xml:space="preserve"> współfinansowany ze środków Regionalnego Programu Operacyjnego Województwa Dolnośląskiego 2014-2020 realizowany jest projekt Młodzi Zawodowcy. Termin realizacji projektu: 1.11.2018 r. – 31.07.2021 r. Projekt jest realizowany w Zespole Placówek Oświatowych nr 3 oraz w Młodzieżowym Ośrodku Socjoterapii nr 2. Celem projektu jest podniesienie kompetencji i umiejętności społecznych i zawodowych podopiecznych dwóch szkół dzięki wdrożeniu usług aktywnej integracji. Całkowita wartość projektu wynosi 1 627 372 zł, natomiast wkład Miasta wynosi 81 368 zł.</w:t>
      </w:r>
    </w:p>
    <w:p w:rsidR="008C7751" w:rsidRPr="00E00B35" w:rsidRDefault="008C7751" w:rsidP="00E00B35">
      <w:pPr>
        <w:spacing w:after="0" w:line="312" w:lineRule="auto"/>
        <w:rPr>
          <w:b/>
          <w:color w:val="000000"/>
          <w:szCs w:val="20"/>
          <w:lang w:val="pl-PL"/>
        </w:rPr>
      </w:pPr>
      <w:r w:rsidRPr="00E00B35">
        <w:rPr>
          <w:rFonts w:cs="Verdana"/>
          <w:color w:val="000000"/>
          <w:szCs w:val="20"/>
          <w:lang w:val="pl-PL"/>
        </w:rPr>
        <w:t xml:space="preserve">W ramach </w:t>
      </w:r>
      <w:r w:rsidRPr="00E00B35">
        <w:rPr>
          <w:rFonts w:cs="Verdana"/>
          <w:bCs/>
          <w:color w:val="000000"/>
          <w:szCs w:val="20"/>
          <w:lang w:val="pl-PL"/>
        </w:rPr>
        <w:t>Europejskiego Funduszu Społecznego</w:t>
      </w:r>
      <w:r w:rsidRPr="00E00B35">
        <w:rPr>
          <w:color w:val="000000"/>
          <w:szCs w:val="20"/>
          <w:lang w:val="pl-PL"/>
        </w:rPr>
        <w:t xml:space="preserve"> współfinansowany ze środków Regionalnego Programu Operacyjnego Województwa Dolnośląskiego 2014-2020 realizowany jest projekt partnerski z Urzędem Marszałkowskim Województwa Dolnośląskiego „Zintegrowani”. Termin realizacji projektu 01.12.2018 r. – 30.06.2021 r. Projekt jest realizowany w Specjalnym Ośrodku Szkolno Wychowawczym nr 11 we Wrocławiu. Celem projektu jest przeciwdziałanie wykluczeniu społecznemu młodzieży zagrożonej ubóstwem lub wykluczeniem społecznym poprzez aktywizację społeczno-zawodową wychowanków i absolwentów Dolnośląskich Specjalnych Ośrodków Szkolno- Wychowawczych oraz ich rodzin. Budżet projektu w SOSW 11 wynosi 696 836 zł, wkład własny Miasta wynosi 56 880 zł.</w:t>
      </w:r>
    </w:p>
    <w:p w:rsidR="008C7751" w:rsidRPr="00E00B35" w:rsidRDefault="008C7751" w:rsidP="00E00B35">
      <w:pPr>
        <w:spacing w:after="0" w:line="312" w:lineRule="auto"/>
        <w:rPr>
          <w:b/>
          <w:color w:val="000000"/>
          <w:szCs w:val="20"/>
          <w:lang w:val="pl-PL"/>
        </w:rPr>
      </w:pPr>
      <w:r w:rsidRPr="00E00B35">
        <w:rPr>
          <w:rFonts w:cs="Verdana"/>
          <w:color w:val="000000"/>
          <w:szCs w:val="20"/>
          <w:lang w:val="pl-PL"/>
        </w:rPr>
        <w:t>W ramach Europejskiego Funduszu Społecznego współfinansowany ze środków Regionalnego Programu Operacyjnego Województwa Dolnośląskiego 2014-2020 realizowany jest projekt „MALI ODKRYWCY – upowszechnienie i zapewnienie wysokiej jakości edukacji przedszkolnej w gminie Wrocław”. Termin realizacji projektu 01.01.2020 r. – 31.12.2021r. Projekt jest realizowany przez Przedszkole nr 17 i Przedszkole nr 73 w Zespole Szkolno-Przedszkolnym nr 23 we Wrocławiu, celem jest zwiększenie dostępności miejsc przedszkolnych i podniesienie jakości wychowania przedszkolnego w dwóch przedszkolach Gminy Wrocław. Budżet projektu wynosi 3 705 678 zł.</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W ramach Regionalnego Programu Operacyjnego Województwa Dolnośląskiego na lata 2014-2020 jest realizowany projekt „Wsparcie kształcenia zawodowego – poprawa efektów”. Termin realizacji 01.03.2020r. – 30.06.2023r. Projekt realizowany w partnerstwie 12 dolnośląskich Jednostek Samorządu Terytorialnego (Województwa Dolnośląskiego, 3 Miast na prawach Powiatów: Legnicy, Wałbrzycha i Wrocławia i 8 Powiatów: Bolesławieckiego, Głogowskiego, Kłodzkiego, Lubińskiego, Lwóweckiego, Oleśnickiego, Świdnickiego, Wrocławskiego). Celem projektu jest objęcie kompleksowym </w:t>
      </w:r>
      <w:r w:rsidRPr="00E00B35">
        <w:rPr>
          <w:color w:val="000000"/>
          <w:szCs w:val="20"/>
          <w:lang w:val="pl-PL"/>
        </w:rPr>
        <w:lastRenderedPageBreak/>
        <w:t>wsparciem uczniów dolnośląskich szkół zawodowych i dzięki wzrostowi ich kompetencji i umiejętności odnajdywania się na rynku pracy oraz wyraźny wzrost zatrudnienia. Budżet projektu wynosi 517 445 zł, natomiast wkład własny Miasta wynosi 89 437 zł.</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W ramach </w:t>
      </w:r>
      <w:r w:rsidRPr="00E00B35">
        <w:rPr>
          <w:rFonts w:cs="Verdana"/>
          <w:bCs/>
          <w:color w:val="000000"/>
          <w:szCs w:val="20"/>
          <w:lang w:val="pl-PL"/>
        </w:rPr>
        <w:t>Europejskiego Funduszu Społecznego</w:t>
      </w:r>
      <w:r w:rsidRPr="00E00B35">
        <w:rPr>
          <w:color w:val="000000"/>
          <w:szCs w:val="20"/>
          <w:lang w:val="pl-PL"/>
        </w:rPr>
        <w:t xml:space="preserve"> współfinansowany ze środków Regionalnego Programu Operacyjnego Województwa Dolnośląskiego 2014-2020 realizowany jest projekt</w:t>
      </w:r>
      <w:r w:rsidRPr="00E00B35">
        <w:rPr>
          <w:b/>
          <w:color w:val="000000"/>
          <w:szCs w:val="20"/>
          <w:lang w:val="pl-PL"/>
        </w:rPr>
        <w:t xml:space="preserve"> </w:t>
      </w:r>
      <w:r w:rsidRPr="00E00B35">
        <w:rPr>
          <w:color w:val="000000"/>
          <w:szCs w:val="20"/>
          <w:lang w:val="pl-PL"/>
        </w:rPr>
        <w:t>partnerski Dolnośląski Klaster Edukacyjny, którego liderem jest Centrum Szkoleń Informatycznych „VEDIUS”. Projekt ma na celu nabycie kwalifikacji zawodowych dopasowanych do regionalnego rynku pracy przez 320 uczniów oraz poprawę efektywności kształcenia 3 szkół objętych wsparciem (ZSTiE, EZN, LZN) poprzez doposażenie tych placówek i nabycie kwalifikacji/kompetencji kadry nauczycielskiej. Projekt jest odpowiedzią na zdiagnozowane potrzeby tych szkół w zakresie podnoszenia kwalifikacji w obszarze dla uczniów z grup zawodów technicznych: elektryczno - energetycznych, informatyczno - telekomunikacyjnych, elektryczno-mechatronicznych oraz podnoszenia kwalifikacji w obszarze elektryczno-elektronicznym kadry nauczycielskiej, stworzenie platformy e-learningowej, a także wyposażenie pracowni komputerowo-multimedialnych w szkołach uczestniczących w projekcie. Okres realizacji 1.08.2018 – 31.07.2020.</w:t>
      </w:r>
      <w:r w:rsidRPr="00E00B35">
        <w:rPr>
          <w:rFonts w:cs="Verdana"/>
          <w:b/>
          <w:color w:val="000000"/>
          <w:szCs w:val="20"/>
          <w:lang w:val="pl-PL"/>
        </w:rPr>
        <w:t xml:space="preserve"> </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W ramach </w:t>
      </w:r>
      <w:r w:rsidRPr="00E00B35">
        <w:rPr>
          <w:rFonts w:cs="Verdana"/>
          <w:bCs/>
          <w:color w:val="000000"/>
          <w:szCs w:val="20"/>
          <w:lang w:val="pl-PL"/>
        </w:rPr>
        <w:t>Europejskiego Funduszu Społecznego</w:t>
      </w:r>
      <w:r w:rsidRPr="00E00B35">
        <w:rPr>
          <w:color w:val="000000"/>
          <w:szCs w:val="20"/>
          <w:lang w:val="pl-PL"/>
        </w:rPr>
        <w:t xml:space="preserve"> współfinansowany ze środków Regionalnego Programu Operacyjnego Województwa Dolnośląskiego 2014-2020 realizowany jest projekt</w:t>
      </w:r>
      <w:r w:rsidRPr="00E00B35">
        <w:rPr>
          <w:b/>
          <w:color w:val="000000"/>
          <w:szCs w:val="20"/>
          <w:lang w:val="pl-PL"/>
        </w:rPr>
        <w:t xml:space="preserve"> </w:t>
      </w:r>
      <w:r w:rsidRPr="00E00B35">
        <w:rPr>
          <w:color w:val="000000"/>
          <w:szCs w:val="20"/>
          <w:lang w:val="pl-PL"/>
        </w:rPr>
        <w:t>partnerski „Wspieramy zawody przyszłości w szkołach województwa dolnośląskiego”,</w:t>
      </w:r>
      <w:r w:rsidRPr="00E00B35">
        <w:rPr>
          <w:b/>
          <w:color w:val="000000"/>
          <w:szCs w:val="20"/>
          <w:lang w:val="pl-PL"/>
        </w:rPr>
        <w:t xml:space="preserve"> </w:t>
      </w:r>
      <w:r w:rsidRPr="00E00B35">
        <w:rPr>
          <w:color w:val="000000"/>
          <w:szCs w:val="20"/>
          <w:lang w:val="pl-PL"/>
        </w:rPr>
        <w:t>którego liderem jest Centrum Szkoleń Informatycznych „VEDIUS”</w:t>
      </w:r>
      <w:r w:rsidRPr="00E00B35">
        <w:rPr>
          <w:b/>
          <w:color w:val="000000"/>
          <w:szCs w:val="20"/>
          <w:lang w:val="pl-PL"/>
        </w:rPr>
        <w:t>.</w:t>
      </w:r>
      <w:r w:rsidRPr="00E00B35">
        <w:rPr>
          <w:color w:val="000000"/>
          <w:szCs w:val="20"/>
          <w:lang w:val="pl-PL"/>
        </w:rPr>
        <w:t xml:space="preserve">  Głównym celem projektu jest nabycie kwalifikacji zawodowych dopasowanych do regionalnego rynku pracy przez 320 uczniów oraz poprawę efektywności kształcenia 4 szkół objętych wsparciem (Zespół Szkół Teleinformatycznych i Elektronicznych, Elektroniczne Zakłady Naukowe, Zespół Szkół nr 18, Zespół Szkół nr 8) poprzez doposażenie tych placówek, wdrożenie nowoczesnych technologii w nauczaniu i nabycie kwalifikacji/kompetencji kadry nauczycielskiej. Projekt jest odpowiedzią na zdiagnozowane potrzeby 4 szkół z Gminy Wrocław w zakresie podnoszenia kwalifikacji w obszarze zawodów technicznych: elektryczno - energetycznych, elektronicznych, informatyczno - telekomunikacyjnych, elektryczno-mechatronicznych oraz administracyjno-usługowych. Okres realizacji 1.08.2020 – 31.07.2022.</w:t>
      </w:r>
      <w:r w:rsidRPr="00E00B35">
        <w:rPr>
          <w:rFonts w:cs="Verdana"/>
          <w:b/>
          <w:color w:val="000000"/>
          <w:szCs w:val="20"/>
          <w:lang w:val="pl-PL"/>
        </w:rPr>
        <w:t xml:space="preserve"> </w:t>
      </w:r>
    </w:p>
    <w:p w:rsidR="008C7751" w:rsidRPr="00E00B35" w:rsidRDefault="008C7751" w:rsidP="00E00B35">
      <w:pPr>
        <w:spacing w:after="0" w:line="312" w:lineRule="auto"/>
        <w:rPr>
          <w:b/>
          <w:color w:val="000000"/>
          <w:szCs w:val="20"/>
          <w:lang w:val="pl-PL"/>
        </w:rPr>
      </w:pPr>
      <w:r w:rsidRPr="00E00B35">
        <w:rPr>
          <w:rFonts w:cs="Verdana"/>
          <w:color w:val="000000"/>
          <w:szCs w:val="20"/>
          <w:lang w:val="pl-PL"/>
        </w:rPr>
        <w:t xml:space="preserve">W ramach </w:t>
      </w:r>
      <w:r w:rsidRPr="00E00B35">
        <w:rPr>
          <w:rFonts w:cs="Verdana"/>
          <w:bCs/>
          <w:color w:val="000000"/>
          <w:szCs w:val="20"/>
          <w:lang w:val="pl-PL"/>
        </w:rPr>
        <w:t>Europejskiego Funduszu Społecznego</w:t>
      </w:r>
      <w:r w:rsidRPr="00E00B35">
        <w:rPr>
          <w:color w:val="000000"/>
          <w:szCs w:val="20"/>
          <w:lang w:val="pl-PL"/>
        </w:rPr>
        <w:t xml:space="preserve"> współfinansowany ze środków Regionalnego Programu Operacyjnego Województwa Dolnośląskiego 2014-2020 realizowany jest projekt</w:t>
      </w:r>
      <w:r w:rsidRPr="00E00B35">
        <w:rPr>
          <w:b/>
          <w:color w:val="000000"/>
          <w:szCs w:val="20"/>
          <w:lang w:val="pl-PL"/>
        </w:rPr>
        <w:t xml:space="preserve"> </w:t>
      </w:r>
      <w:r w:rsidRPr="00E00B35">
        <w:rPr>
          <w:color w:val="000000"/>
          <w:szCs w:val="20"/>
          <w:lang w:val="pl-PL"/>
        </w:rPr>
        <w:t>partnerski „Nowoczesne technologie informatyczne, jako przygotowanie do rozpoczęcia udanej kariery zawodowej uczniów ZSTiE”. Projekt ma na celu podniesienie kompetencji odpowiadających potrzebom gospodarki, rynku i społeczeństwa poprzez przygotowanie i realizację kursu z zakresu technologii NET oraz przedsiębiorczości przez 80 uczniów ZSTiE. Okres realizacji 1.11.2018 – 31.12.2020</w:t>
      </w:r>
      <w:r w:rsidRPr="00E00B35">
        <w:rPr>
          <w:rFonts w:cs="Verdana"/>
          <w:color w:val="000000"/>
          <w:szCs w:val="20"/>
          <w:lang w:val="pl-PL"/>
        </w:rPr>
        <w:t>.</w:t>
      </w:r>
    </w:p>
    <w:p w:rsidR="008C7751" w:rsidRPr="00E00B35" w:rsidRDefault="008C7751" w:rsidP="00E00B35">
      <w:pPr>
        <w:spacing w:after="0" w:line="312" w:lineRule="auto"/>
        <w:rPr>
          <w:b/>
          <w:color w:val="000000"/>
          <w:szCs w:val="20"/>
          <w:lang w:val="pl-PL"/>
        </w:rPr>
      </w:pPr>
      <w:r w:rsidRPr="00E00B35">
        <w:rPr>
          <w:rFonts w:cs="Verdana"/>
          <w:color w:val="000000"/>
          <w:szCs w:val="20"/>
          <w:lang w:val="pl-PL"/>
        </w:rPr>
        <w:t>W ramach Programu Operacyjnego Wiedza Edukacja Rozwój realizowany jest projekt partnerski</w:t>
      </w:r>
      <w:r w:rsidRPr="00E00B35">
        <w:rPr>
          <w:rFonts w:cs="Verdana"/>
          <w:b/>
          <w:color w:val="000000"/>
          <w:szCs w:val="20"/>
          <w:lang w:val="pl-PL"/>
        </w:rPr>
        <w:t xml:space="preserve"> „</w:t>
      </w:r>
      <w:r w:rsidRPr="00E00B35">
        <w:rPr>
          <w:rFonts w:cs="Verdana"/>
          <w:color w:val="000000"/>
          <w:szCs w:val="20"/>
          <w:lang w:val="pl-PL"/>
        </w:rPr>
        <w:t>Uniwersytet Młodego Przyrodnika”</w:t>
      </w:r>
      <w:r w:rsidRPr="00E00B35">
        <w:rPr>
          <w:color w:val="000000"/>
          <w:szCs w:val="20"/>
          <w:lang w:val="pl-PL"/>
        </w:rPr>
        <w:t>.</w:t>
      </w:r>
      <w:r w:rsidRPr="00E00B35">
        <w:rPr>
          <w:b/>
          <w:color w:val="000000"/>
          <w:szCs w:val="20"/>
          <w:lang w:val="pl-PL"/>
        </w:rPr>
        <w:t xml:space="preserve"> </w:t>
      </w:r>
      <w:r w:rsidRPr="00E00B35">
        <w:rPr>
          <w:color w:val="000000"/>
          <w:szCs w:val="20"/>
          <w:lang w:val="pl-PL"/>
        </w:rPr>
        <w:t xml:space="preserve">Termin realizacji projektu: 01.09.2018-31.12.2020. Liderem projektu jest Uniwersytet Przyrodniczy we Wrocławiu, Partnerem Gmina Wrocław, natomiast bezpośrednim realizatorem Centrum Kształcenia Zawodowego we Wrocławiu. Celem projektu jest podniesienie kluczowych kompetencji matematyczno </w:t>
      </w:r>
      <w:r w:rsidRPr="00E00B35">
        <w:rPr>
          <w:color w:val="000000"/>
          <w:szCs w:val="20"/>
          <w:lang w:val="pl-PL"/>
        </w:rPr>
        <w:lastRenderedPageBreak/>
        <w:t>– przyrodniczych, rozbudzenie ciekawości poznawczej oraz zapoznanie ze środowiskiem uczelni dla 555 uczniów w wieku 14-16 lat. Wkład własny Miasta 8 654 zł.</w:t>
      </w:r>
    </w:p>
    <w:p w:rsidR="008C7751" w:rsidRPr="00E00B35" w:rsidRDefault="008C7751" w:rsidP="00E00B35">
      <w:pPr>
        <w:spacing w:after="0" w:line="312" w:lineRule="auto"/>
        <w:rPr>
          <w:b/>
          <w:color w:val="000000"/>
          <w:szCs w:val="20"/>
          <w:lang w:val="pl-PL"/>
        </w:rPr>
      </w:pPr>
      <w:r w:rsidRPr="00E00B35">
        <w:rPr>
          <w:rFonts w:cs="Verdana"/>
          <w:color w:val="000000"/>
          <w:szCs w:val="20"/>
          <w:lang w:val="pl-PL"/>
        </w:rPr>
        <w:t>W ramach Programu Operacyjnego Wiedza Edukacja Rozwój realizowany jest projekt partnerski „Klasa patronacka Uniwersytetu Przyrodniczego we Wrocławiu trzecią misją uczelni”. Termin realizacji projektu: 01.11.2018-31.10.2021. Liderem projektu jest Uniwersytet Przyrodniczy, Partnerem Gmina Wrocław, zaś realizatorem Zespół Szkół nr 5. Celem projektu jest podniesienie kompetencji uczniów uczestniczących w edukacji odpowiadających potrzebom gospodarki, rynku pracy i społeczeństwa. Łączny wkład własny Miasta 7 500 zł.</w:t>
      </w:r>
    </w:p>
    <w:p w:rsidR="008C7751" w:rsidRPr="00E00B35" w:rsidRDefault="008C7751" w:rsidP="00E00B35">
      <w:pPr>
        <w:spacing w:after="0" w:line="312" w:lineRule="auto"/>
        <w:rPr>
          <w:b/>
          <w:color w:val="000000"/>
          <w:szCs w:val="20"/>
          <w:lang w:val="pl-PL"/>
        </w:rPr>
      </w:pPr>
      <w:bookmarkStart w:id="81" w:name="_Toc61013148"/>
      <w:bookmarkStart w:id="82" w:name="_Toc61013428"/>
      <w:r w:rsidRPr="00E00B35">
        <w:rPr>
          <w:rFonts w:cs="Verdana"/>
          <w:color w:val="000000"/>
          <w:szCs w:val="20"/>
          <w:lang w:val="pl-PL"/>
        </w:rPr>
        <w:t>W ramach Programu Operacyjnego Wiedza Edukacja Rozwój 2014-2020 realizowany jest projekt Trzecia misja Wyższej Szkoły Bankowej we Wrocławiu –„Uniwersytet Młodego Odkrywcy”.</w:t>
      </w:r>
      <w:r w:rsidRPr="00E00B35">
        <w:rPr>
          <w:rFonts w:cs="Verdana"/>
          <w:b/>
          <w:color w:val="000000"/>
          <w:szCs w:val="20"/>
          <w:lang w:val="pl-PL"/>
        </w:rPr>
        <w:t xml:space="preserve"> </w:t>
      </w:r>
      <w:r w:rsidRPr="00E00B35">
        <w:rPr>
          <w:rFonts w:cs="Verdana"/>
          <w:color w:val="000000"/>
          <w:szCs w:val="20"/>
          <w:lang w:val="pl-PL"/>
        </w:rPr>
        <w:t>Termin realizacji projektu: 01.09.2018-28.02.2021. Gmina realizuje projekt we współpracy z Wyższą Szkołą Bankową.</w:t>
      </w:r>
      <w:r w:rsidRPr="00E00B35">
        <w:rPr>
          <w:b/>
          <w:color w:val="000000"/>
          <w:szCs w:val="20"/>
          <w:lang w:val="pl-PL"/>
        </w:rPr>
        <w:t xml:space="preserve"> </w:t>
      </w:r>
      <w:r w:rsidRPr="00E00B35">
        <w:rPr>
          <w:color w:val="000000"/>
          <w:szCs w:val="20"/>
          <w:lang w:val="pl-PL"/>
        </w:rPr>
        <w:t>Celem projektu jest przeprowadzenie działań dydaktycznych służących rozwijaniu u jego uczestników kompetencji pozwalających na rozbudzenie ich ciekawości poznawczej, stymulowanie intelektualnego rozwoju młodego pokolenia, inspirowanie do twórczego myślenia, integracja lokalnej społeczności. Całkowita wartość projektu 419 625 zł.</w:t>
      </w:r>
    </w:p>
    <w:bookmarkEnd w:id="81"/>
    <w:bookmarkEnd w:id="82"/>
    <w:p w:rsidR="008C7751" w:rsidRPr="00E00B35" w:rsidRDefault="008C7751" w:rsidP="00E00B35">
      <w:pPr>
        <w:tabs>
          <w:tab w:val="num" w:pos="502"/>
        </w:tabs>
        <w:spacing w:after="0" w:line="312" w:lineRule="auto"/>
        <w:rPr>
          <w:color w:val="000000"/>
          <w:szCs w:val="20"/>
          <w:lang w:val="pl-PL"/>
        </w:rPr>
      </w:pPr>
      <w:r w:rsidRPr="00E00B35">
        <w:rPr>
          <w:color w:val="000000"/>
          <w:szCs w:val="20"/>
          <w:lang w:val="pl-PL"/>
        </w:rPr>
        <w:t>W ramach Programu Ramowego Unii Europejskiej Horyzont 2020</w:t>
      </w:r>
      <w:r w:rsidRPr="00E00B35">
        <w:rPr>
          <w:color w:val="000000"/>
          <w:szCs w:val="20"/>
          <w:lang w:val="pl-PL"/>
        </w:rPr>
        <w:br/>
        <w:t>realizowany jest projekt partnerski „UPRIGHT”. Termin realizacji projektu: 01.01.2018 r.- 31.12.2021 r. Ogólnym celem projektu jest promowanie dobrostanu psychicznego dzieci klas V, VI, VII szkół podstawowych i zwiększanie tzw. odporności psychicznej u młodzieży. W projekcie biorą udział 4 wrocławskie Szkoły Podstawowe nr 20, 64, 80 i 90. Całkowita wartość dofinansowania projektu dla Miasta Wrocławia to  217 000 zł.</w:t>
      </w:r>
    </w:p>
    <w:p w:rsidR="008C7751" w:rsidRPr="00E00B35" w:rsidRDefault="008C7751" w:rsidP="00E00B35">
      <w:pPr>
        <w:spacing w:after="0" w:line="312" w:lineRule="auto"/>
        <w:rPr>
          <w:color w:val="000000"/>
          <w:szCs w:val="20"/>
          <w:lang w:val="pl-PL"/>
        </w:rPr>
      </w:pPr>
      <w:r w:rsidRPr="00E00B35">
        <w:rPr>
          <w:rFonts w:cs="Verdana"/>
          <w:color w:val="000000"/>
          <w:szCs w:val="20"/>
          <w:lang w:val="pl-PL"/>
        </w:rPr>
        <w:t xml:space="preserve">W ramach </w:t>
      </w:r>
      <w:r w:rsidRPr="00E00B35">
        <w:rPr>
          <w:rFonts w:cs="Verdana"/>
          <w:bCs/>
          <w:color w:val="000000"/>
          <w:szCs w:val="20"/>
          <w:lang w:val="pl-PL"/>
        </w:rPr>
        <w:t>Europejskiego Funduszu Społecznego</w:t>
      </w:r>
      <w:r w:rsidRPr="00E00B35">
        <w:rPr>
          <w:color w:val="000000"/>
          <w:szCs w:val="20"/>
          <w:lang w:val="pl-PL"/>
        </w:rPr>
        <w:t xml:space="preserve"> współfinansowany ze środków</w:t>
      </w:r>
    </w:p>
    <w:p w:rsidR="008C7751" w:rsidRPr="00E00B35" w:rsidRDefault="008C7751" w:rsidP="00E00B35">
      <w:pPr>
        <w:spacing w:after="0" w:line="312" w:lineRule="auto"/>
        <w:rPr>
          <w:color w:val="000000"/>
          <w:szCs w:val="20"/>
          <w:lang w:val="pl-PL"/>
        </w:rPr>
      </w:pPr>
      <w:r w:rsidRPr="00E00B35">
        <w:rPr>
          <w:color w:val="000000"/>
          <w:szCs w:val="20"/>
          <w:lang w:val="pl-PL"/>
        </w:rPr>
        <w:t>Regionalnego Programu Operacyjnego Województwa Dolnośląskiego 2014-2020 realizowany jest projekt</w:t>
      </w:r>
      <w:r w:rsidRPr="00E00B35">
        <w:rPr>
          <w:b/>
          <w:color w:val="000000"/>
          <w:szCs w:val="20"/>
          <w:lang w:val="pl-PL"/>
        </w:rPr>
        <w:t xml:space="preserve"> </w:t>
      </w:r>
      <w:r w:rsidRPr="00E00B35">
        <w:rPr>
          <w:color w:val="000000"/>
          <w:szCs w:val="20"/>
          <w:lang w:val="pl-PL"/>
        </w:rPr>
        <w:t>„Klucz do przyszłości - program rozwoju kompetencji kluczowych w szkołach podstawowych i ponadpodstawowych Gminy Wrocław i Gminy Czernica”.</w:t>
      </w:r>
      <w:r w:rsidRPr="00E00B35">
        <w:rPr>
          <w:rStyle w:val="Pogrubienie"/>
          <w:color w:val="000000"/>
          <w:szCs w:val="20"/>
          <w:lang w:val="pl-PL"/>
        </w:rPr>
        <w:t xml:space="preserve"> </w:t>
      </w:r>
      <w:r w:rsidRPr="00E00B35">
        <w:rPr>
          <w:color w:val="000000"/>
          <w:szCs w:val="20"/>
          <w:lang w:val="pl-PL"/>
        </w:rPr>
        <w:t>Termin realizacji projektu:</w:t>
      </w:r>
      <w:r w:rsidRPr="00E00B35">
        <w:rPr>
          <w:bCs/>
          <w:color w:val="000000"/>
          <w:szCs w:val="20"/>
          <w:lang w:val="pl-PL"/>
        </w:rPr>
        <w:t xml:space="preserve"> 01.07.2019 r.–30.06.2021 r</w:t>
      </w:r>
      <w:r w:rsidRPr="00E00B35">
        <w:rPr>
          <w:rStyle w:val="Pogrubienie"/>
          <w:color w:val="000000"/>
          <w:szCs w:val="20"/>
          <w:lang w:val="pl-PL"/>
        </w:rPr>
        <w:t>. Celem projektu jest</w:t>
      </w:r>
      <w:r w:rsidRPr="00E00B35">
        <w:rPr>
          <w:bCs/>
          <w:color w:val="000000"/>
          <w:szCs w:val="20"/>
          <w:lang w:val="pl-PL"/>
        </w:rPr>
        <w:t xml:space="preserve"> poprawa efektywności kształtowania kompetencji kluczowych uczniów poprzez wzbogacenia oferty edukacyjnej w zakresie nauk matematycznych, matematyczno-przyrodniczych, informatycznych, naukowo-technicznych i społecznych w 42 szkołach Gminy Wrocław poprzez stworzenie warunków i wdrożenie nauczania eksperymentalnego.</w:t>
      </w:r>
      <w:r w:rsidRPr="00E00B35">
        <w:rPr>
          <w:color w:val="000000"/>
          <w:szCs w:val="20"/>
          <w:lang w:val="pl-PL"/>
        </w:rPr>
        <w:t xml:space="preserve"> Całkowita wartość projektu </w:t>
      </w:r>
      <w:r w:rsidRPr="00E00B35">
        <w:rPr>
          <w:bCs/>
          <w:color w:val="000000"/>
          <w:szCs w:val="20"/>
          <w:lang w:val="pl-PL"/>
        </w:rPr>
        <w:t>11 430 499</w:t>
      </w:r>
      <w:r w:rsidRPr="00E00B35">
        <w:rPr>
          <w:b/>
          <w:bCs/>
          <w:color w:val="000000"/>
          <w:szCs w:val="20"/>
          <w:lang w:val="pl-PL"/>
        </w:rPr>
        <w:t xml:space="preserve"> </w:t>
      </w:r>
      <w:r w:rsidRPr="00E00B35">
        <w:rPr>
          <w:color w:val="000000"/>
          <w:szCs w:val="20"/>
          <w:lang w:val="pl-PL"/>
        </w:rPr>
        <w:t>zł. Kwota dofinansowania: 10 858 974,24 zł, wkład własny Gminy Wrocław i Czernica – 571 524 zł.</w:t>
      </w:r>
    </w:p>
    <w:p w:rsidR="008C7751" w:rsidRPr="00E00B35" w:rsidRDefault="008C7751" w:rsidP="00E00B35">
      <w:pPr>
        <w:spacing w:after="0" w:line="312" w:lineRule="auto"/>
        <w:rPr>
          <w:color w:val="000000"/>
          <w:szCs w:val="20"/>
          <w:lang w:val="pl-PL"/>
        </w:rPr>
      </w:pPr>
      <w:r w:rsidRPr="00E00B35">
        <w:rPr>
          <w:rFonts w:cs="Verdana"/>
          <w:color w:val="000000"/>
          <w:szCs w:val="20"/>
          <w:lang w:val="pl-PL"/>
        </w:rPr>
        <w:t xml:space="preserve">W ramach </w:t>
      </w:r>
      <w:r w:rsidRPr="00E00B35">
        <w:rPr>
          <w:rFonts w:cs="Verdana"/>
          <w:bCs/>
          <w:color w:val="000000"/>
          <w:szCs w:val="20"/>
          <w:lang w:val="pl-PL"/>
        </w:rPr>
        <w:t>Europejskiego Funduszu Społecznego</w:t>
      </w:r>
      <w:r w:rsidRPr="00E00B35">
        <w:rPr>
          <w:color w:val="000000"/>
          <w:szCs w:val="20"/>
          <w:lang w:val="pl-PL"/>
        </w:rPr>
        <w:t xml:space="preserve"> współfinansowany ze środków</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Regionalnego Programu Operacyjnego Województwa Dolnośląskiego 2014-2020 realizowany jest projekt partnerski Agencji Rozwoju Aglomeracji Wrocławskiej S.A. </w:t>
      </w:r>
      <w:r w:rsidRPr="00E00B35">
        <w:rPr>
          <w:color w:val="000000"/>
          <w:szCs w:val="20"/>
          <w:lang w:val="pl-PL"/>
        </w:rPr>
        <w:br/>
        <w:t>„</w:t>
      </w:r>
      <w:r w:rsidRPr="00E00B35">
        <w:rPr>
          <w:iCs/>
          <w:color w:val="000000"/>
          <w:szCs w:val="20"/>
          <w:lang w:val="pl-PL"/>
        </w:rPr>
        <w:t>Dobry staż, lepsze jutro – zwiększenie oferty wrocławskich szkół zawodowych”</w:t>
      </w:r>
      <w:r w:rsidRPr="00E00B35">
        <w:rPr>
          <w:bCs/>
          <w:color w:val="000000"/>
          <w:szCs w:val="20"/>
          <w:lang w:val="pl-PL"/>
        </w:rPr>
        <w:t xml:space="preserve"> </w:t>
      </w:r>
      <w:r w:rsidRPr="00E00B35">
        <w:rPr>
          <w:color w:val="000000"/>
          <w:szCs w:val="20"/>
          <w:lang w:val="pl-PL"/>
        </w:rPr>
        <w:t xml:space="preserve">Termin realizacji projektu: </w:t>
      </w:r>
      <w:r w:rsidRPr="00E00B35">
        <w:rPr>
          <w:bCs/>
          <w:color w:val="000000"/>
          <w:szCs w:val="20"/>
          <w:lang w:val="pl-PL"/>
        </w:rPr>
        <w:t>od 01.09.2019 r. do 31.08.2021 r. Głównym celem projektu jest zwiększenie szans na zatrudnienie wśród uczniów wrocławskich szkół kształcenia i szkolenia zawodowego, w szczególności poprzez poprawę efektywności kształcenia zawodowego w 9 wrocławskich placówkach oświatowych.</w:t>
      </w:r>
      <w:r w:rsidRPr="00E00B35">
        <w:rPr>
          <w:color w:val="000000"/>
          <w:szCs w:val="20"/>
          <w:lang w:val="pl-PL"/>
        </w:rPr>
        <w:t xml:space="preserve"> Całkowita wartość projektu </w:t>
      </w:r>
      <w:r w:rsidRPr="00E00B35">
        <w:rPr>
          <w:bCs/>
          <w:color w:val="000000"/>
          <w:szCs w:val="20"/>
          <w:lang w:val="pl-PL"/>
        </w:rPr>
        <w:t>4 127 902 zł</w:t>
      </w:r>
      <w:r w:rsidRPr="00E00B35">
        <w:rPr>
          <w:color w:val="000000"/>
          <w:szCs w:val="20"/>
          <w:lang w:val="pl-PL"/>
        </w:rPr>
        <w:t>, kwota dofinansowania: 3 921 506 zł.</w:t>
      </w:r>
    </w:p>
    <w:p w:rsidR="008C7751" w:rsidRPr="00E00B35" w:rsidRDefault="008C7751" w:rsidP="00E00B35">
      <w:pPr>
        <w:spacing w:after="0" w:line="312" w:lineRule="auto"/>
        <w:rPr>
          <w:color w:val="000000"/>
          <w:szCs w:val="20"/>
          <w:lang w:val="pl-PL"/>
        </w:rPr>
      </w:pPr>
      <w:r w:rsidRPr="00E00B35">
        <w:rPr>
          <w:rFonts w:cs="Verdana"/>
          <w:color w:val="000000"/>
          <w:szCs w:val="20"/>
          <w:lang w:val="pl-PL"/>
        </w:rPr>
        <w:lastRenderedPageBreak/>
        <w:t xml:space="preserve">W ramach </w:t>
      </w:r>
      <w:r w:rsidRPr="00E00B35">
        <w:rPr>
          <w:rFonts w:cs="Verdana"/>
          <w:bCs/>
          <w:color w:val="000000"/>
          <w:szCs w:val="20"/>
          <w:lang w:val="pl-PL"/>
        </w:rPr>
        <w:t>Europejskiego Funduszu Społecznego</w:t>
      </w:r>
      <w:r w:rsidRPr="00E00B35">
        <w:rPr>
          <w:color w:val="000000"/>
          <w:szCs w:val="20"/>
          <w:lang w:val="pl-PL"/>
        </w:rPr>
        <w:t xml:space="preserve"> współfinansowany ze środków Regionalnego Programu Operacyjnego Województwa Dolnośląskiego 2014-2020 realizowany jest projekt</w:t>
      </w:r>
      <w:r w:rsidRPr="00E00B35">
        <w:rPr>
          <w:b/>
          <w:color w:val="000000"/>
          <w:szCs w:val="20"/>
          <w:lang w:val="pl-PL"/>
        </w:rPr>
        <w:t xml:space="preserve"> </w:t>
      </w:r>
      <w:r w:rsidRPr="00E00B35">
        <w:rPr>
          <w:color w:val="000000"/>
          <w:szCs w:val="20"/>
          <w:lang w:val="pl-PL"/>
        </w:rPr>
        <w:t>partnerski Zachodniej Izby Gospodarczej</w:t>
      </w:r>
      <w:r w:rsidRPr="00E00B35">
        <w:rPr>
          <w:b/>
          <w:color w:val="000000"/>
          <w:szCs w:val="20"/>
          <w:lang w:val="pl-PL"/>
        </w:rPr>
        <w:t xml:space="preserve"> </w:t>
      </w:r>
      <w:r w:rsidRPr="00E00B35">
        <w:rPr>
          <w:color w:val="000000"/>
          <w:szCs w:val="20"/>
          <w:lang w:val="pl-PL"/>
        </w:rPr>
        <w:t>- Podniesienie kompetencji i rozwój umiejętności uczniów z obszaru ZIT WrOF.</w:t>
      </w:r>
      <w:r w:rsidRPr="00E00B35">
        <w:rPr>
          <w:b/>
          <w:color w:val="000000"/>
          <w:szCs w:val="20"/>
          <w:lang w:val="pl-PL"/>
        </w:rPr>
        <w:t xml:space="preserve"> </w:t>
      </w:r>
      <w:r w:rsidRPr="00E00B35">
        <w:rPr>
          <w:color w:val="000000"/>
          <w:szCs w:val="20"/>
          <w:lang w:val="pl-PL"/>
        </w:rPr>
        <w:t>Termin realizacji projektu: 1.09.2019 r. – 31.08.2021 r. Projekt jest realizowany w</w:t>
      </w:r>
      <w:r w:rsidRPr="00E00B35">
        <w:rPr>
          <w:b/>
          <w:color w:val="000000"/>
          <w:szCs w:val="20"/>
          <w:lang w:val="pl-PL"/>
        </w:rPr>
        <w:t xml:space="preserve"> </w:t>
      </w:r>
      <w:r w:rsidRPr="00E00B35">
        <w:rPr>
          <w:color w:val="000000"/>
          <w:szCs w:val="20"/>
          <w:lang w:val="pl-PL"/>
        </w:rPr>
        <w:t>Technikum nr 16 Zespołu Szkół nr 3 we Wrocławiu i Szkole Podstawowej nr 6 we Wrocławiu</w:t>
      </w:r>
      <w:r w:rsidRPr="00E00B35">
        <w:rPr>
          <w:b/>
          <w:color w:val="000000"/>
          <w:szCs w:val="20"/>
          <w:lang w:val="pl-PL"/>
        </w:rPr>
        <w:t xml:space="preserve">. </w:t>
      </w:r>
      <w:r w:rsidRPr="00E00B35">
        <w:rPr>
          <w:color w:val="000000"/>
          <w:szCs w:val="20"/>
          <w:lang w:val="pl-PL"/>
        </w:rPr>
        <w:t xml:space="preserve">Celem projektu jest poprawa jakości procesu kształcenia w kontekście kompetencji kluczowych i umiejętności uniwersalnych na rynku pracy. </w:t>
      </w:r>
      <w:r w:rsidRPr="00E00B35">
        <w:rPr>
          <w:rFonts w:cs="Verdana"/>
          <w:color w:val="000000"/>
          <w:szCs w:val="20"/>
          <w:lang w:val="pl-PL"/>
        </w:rPr>
        <w:t xml:space="preserve">Całkowita wartość projektu wynosi </w:t>
      </w:r>
      <w:r w:rsidRPr="00E00B35">
        <w:rPr>
          <w:color w:val="000000"/>
          <w:szCs w:val="20"/>
          <w:lang w:val="pl-PL"/>
        </w:rPr>
        <w:t xml:space="preserve">1 135 449 </w:t>
      </w:r>
      <w:r w:rsidRPr="00E00B35">
        <w:rPr>
          <w:rFonts w:cs="Verdana"/>
          <w:color w:val="000000"/>
          <w:szCs w:val="20"/>
          <w:lang w:val="pl-PL"/>
        </w:rPr>
        <w:t>zł.</w:t>
      </w:r>
    </w:p>
    <w:p w:rsidR="008C7751" w:rsidRPr="00E00B35" w:rsidRDefault="008C7751" w:rsidP="00E00B35">
      <w:pPr>
        <w:spacing w:after="0" w:line="312" w:lineRule="auto"/>
        <w:rPr>
          <w:color w:val="000000"/>
          <w:szCs w:val="20"/>
          <w:lang w:val="pl-PL"/>
        </w:rPr>
      </w:pPr>
      <w:r w:rsidRPr="00E00B35">
        <w:rPr>
          <w:rFonts w:cs="Verdana"/>
          <w:color w:val="000000"/>
          <w:szCs w:val="20"/>
          <w:lang w:val="pl-PL"/>
        </w:rPr>
        <w:t>W ramach</w:t>
      </w:r>
      <w:r w:rsidRPr="00E00B35">
        <w:rPr>
          <w:rFonts w:cs="Verdana"/>
          <w:bCs/>
          <w:color w:val="000000"/>
          <w:szCs w:val="20"/>
          <w:lang w:val="pl-PL"/>
        </w:rPr>
        <w:t xml:space="preserve"> Europejskiego Funduszu Społecznego</w:t>
      </w:r>
      <w:r w:rsidRPr="00E00B35">
        <w:rPr>
          <w:color w:val="000000"/>
          <w:szCs w:val="20"/>
          <w:lang w:val="pl-PL"/>
        </w:rPr>
        <w:t xml:space="preserve"> współfinansowany ze środków Regionalnego Programu Operacyjnego Województwa Dolnośląskiego 2014-2020 realizowany jest projekt „Szkoły Gminy Wrocław i Gminy Czernica to kompetencji skarbnica”.</w:t>
      </w:r>
      <w:r w:rsidRPr="00E00B35">
        <w:rPr>
          <w:b/>
          <w:color w:val="000000"/>
          <w:szCs w:val="20"/>
          <w:lang w:val="pl-PL"/>
        </w:rPr>
        <w:t xml:space="preserve"> </w:t>
      </w:r>
      <w:r w:rsidRPr="00E00B35">
        <w:rPr>
          <w:color w:val="000000"/>
          <w:szCs w:val="20"/>
          <w:lang w:val="pl-PL"/>
        </w:rPr>
        <w:t>Termin realizacji projektu: 1.05.2019 r. – 30.04.2021 r. Projekt jest realizowany w</w:t>
      </w:r>
      <w:r w:rsidRPr="00E00B35">
        <w:rPr>
          <w:b/>
          <w:color w:val="000000"/>
          <w:szCs w:val="20"/>
          <w:lang w:val="pl-PL"/>
        </w:rPr>
        <w:t xml:space="preserve"> </w:t>
      </w:r>
      <w:r w:rsidRPr="00E00B35">
        <w:rPr>
          <w:color w:val="000000"/>
          <w:szCs w:val="20"/>
          <w:lang w:val="pl-PL"/>
        </w:rPr>
        <w:t>SP nr 36, SP nr 66, SP nr 91, Zespole Szkół nr 9</w:t>
      </w:r>
      <w:r w:rsidRPr="00E00B35">
        <w:rPr>
          <w:b/>
          <w:color w:val="000000"/>
          <w:szCs w:val="20"/>
          <w:lang w:val="pl-PL"/>
        </w:rPr>
        <w:t xml:space="preserve">. </w:t>
      </w:r>
      <w:r w:rsidRPr="00E00B35">
        <w:rPr>
          <w:color w:val="000000"/>
          <w:szCs w:val="20"/>
          <w:lang w:val="pl-PL"/>
        </w:rPr>
        <w:t>Celem projektu jest podniesienie jakości nauczania oraz wyrównania szans edukacyjnych 1 314 uczniów z 7 szkół podstawowych prowadzonych przez Gminę Wrocław (4 szkoły) i Gminę Czernica (3 szkoły).</w:t>
      </w:r>
      <w:r w:rsidRPr="00E00B35">
        <w:rPr>
          <w:rFonts w:cs="Verdana"/>
          <w:color w:val="000000"/>
          <w:szCs w:val="20"/>
          <w:lang w:val="pl-PL"/>
        </w:rPr>
        <w:t xml:space="preserve"> Całkowita wartość projektu wynosi </w:t>
      </w:r>
      <w:r w:rsidRPr="00E00B35">
        <w:rPr>
          <w:color w:val="000000"/>
          <w:szCs w:val="20"/>
          <w:lang w:val="pl-PL"/>
        </w:rPr>
        <w:t>2 467 739</w:t>
      </w:r>
      <w:r w:rsidRPr="00E00B35">
        <w:rPr>
          <w:rFonts w:cs="Verdana"/>
          <w:color w:val="000000"/>
          <w:szCs w:val="20"/>
          <w:lang w:val="pl-PL"/>
        </w:rPr>
        <w:t xml:space="preserve"> zł.</w:t>
      </w:r>
      <w:r w:rsidRPr="00E00B35">
        <w:rPr>
          <w:rFonts w:cs="Verdana"/>
          <w:b/>
          <w:color w:val="000000"/>
          <w:szCs w:val="20"/>
          <w:lang w:val="pl-PL"/>
        </w:rPr>
        <w:t xml:space="preserve"> </w:t>
      </w:r>
    </w:p>
    <w:p w:rsidR="008C7751" w:rsidRPr="00E00B35" w:rsidRDefault="008C7751" w:rsidP="00E00B35">
      <w:pPr>
        <w:tabs>
          <w:tab w:val="num" w:pos="502"/>
        </w:tabs>
        <w:spacing w:after="0" w:line="312" w:lineRule="auto"/>
        <w:rPr>
          <w:rFonts w:cs="Verdana"/>
          <w:color w:val="000000"/>
          <w:szCs w:val="20"/>
          <w:lang w:val="pl-PL"/>
        </w:rPr>
      </w:pPr>
      <w:r w:rsidRPr="00E00B35">
        <w:rPr>
          <w:rFonts w:cs="Verdana"/>
          <w:color w:val="000000"/>
          <w:szCs w:val="20"/>
          <w:lang w:val="pl-PL"/>
        </w:rPr>
        <w:t>W ramach</w:t>
      </w:r>
      <w:r w:rsidRPr="00E00B35">
        <w:rPr>
          <w:rFonts w:cs="Verdana"/>
          <w:bCs/>
          <w:color w:val="000000"/>
          <w:szCs w:val="20"/>
          <w:lang w:val="pl-PL"/>
        </w:rPr>
        <w:t xml:space="preserve"> Programu Operacyjnego Wiedza Edukacja Rozwój przez Wrocławskie Centrum Doskonalenia Nauczycieli </w:t>
      </w:r>
      <w:r w:rsidRPr="00E00B35">
        <w:rPr>
          <w:color w:val="000000"/>
          <w:szCs w:val="20"/>
          <w:lang w:val="pl-PL"/>
        </w:rPr>
        <w:t>realizowany jest projekt</w:t>
      </w:r>
      <w:r w:rsidRPr="00E00B35">
        <w:rPr>
          <w:b/>
          <w:color w:val="000000"/>
          <w:szCs w:val="20"/>
          <w:lang w:val="pl-PL"/>
        </w:rPr>
        <w:t xml:space="preserve"> „</w:t>
      </w:r>
      <w:r w:rsidRPr="00E00B35">
        <w:rPr>
          <w:color w:val="000000"/>
          <w:szCs w:val="20"/>
          <w:lang w:val="pl-PL"/>
        </w:rPr>
        <w:t>Dolnośląska Szkoła Ćwiczeń”.</w:t>
      </w:r>
      <w:r w:rsidRPr="00E00B35">
        <w:rPr>
          <w:b/>
          <w:color w:val="000000"/>
          <w:szCs w:val="20"/>
          <w:lang w:val="pl-PL"/>
        </w:rPr>
        <w:t xml:space="preserve"> </w:t>
      </w:r>
      <w:r w:rsidRPr="00E00B35">
        <w:rPr>
          <w:color w:val="000000"/>
          <w:szCs w:val="20"/>
          <w:lang w:val="pl-PL"/>
        </w:rPr>
        <w:t xml:space="preserve">Termin realizacji projektu: 1.10.2019 r. – 31.07.2021 r. Projekt realizowany jest w LO nr X, SP nr 83, SP nr 6, SP nr 8, SP nr 50, SP nr 98 i Zespole Szkół Logistycznych. Celem projektu jest poprawa funkcjonowania i zwiększenie wykorzystania systemu wspomagania szkół w zakresie rozwoju u uczniów kompetencji kluczowych i umiejętności uniwersalnych tzw. Transversal skills, niezbędnych na rynku pracy, obejmujących umiejętności matematyczno-przyrodnicze, posługiwanie się językami obcymi (w tym język polski dla cudzoziemców i osób powracających do Polski oraz ich rodzin), technologie informacyjno-komunikacyjne (ICT), jak również nauczania eksperymentalnego oraz metod zindywidualizowanego podejścia do ucznia. </w:t>
      </w:r>
      <w:r w:rsidRPr="00E00B35">
        <w:rPr>
          <w:rFonts w:cs="Verdana"/>
          <w:color w:val="000000"/>
          <w:szCs w:val="20"/>
          <w:lang w:val="pl-PL"/>
        </w:rPr>
        <w:t xml:space="preserve">Całkowita wartość projektu wynosi </w:t>
      </w:r>
      <w:r w:rsidRPr="00E00B35">
        <w:rPr>
          <w:color w:val="000000"/>
          <w:szCs w:val="20"/>
          <w:lang w:val="pl-PL"/>
        </w:rPr>
        <w:t>1 317 503</w:t>
      </w:r>
      <w:r w:rsidRPr="00E00B35">
        <w:rPr>
          <w:rFonts w:cs="Verdana"/>
          <w:color w:val="000000"/>
          <w:szCs w:val="20"/>
          <w:lang w:val="pl-PL"/>
        </w:rPr>
        <w:t xml:space="preserve"> zł.</w:t>
      </w:r>
      <w:r w:rsidRPr="00E00B35">
        <w:rPr>
          <w:rFonts w:cs="Verdana"/>
          <w:b/>
          <w:color w:val="000000"/>
          <w:szCs w:val="20"/>
          <w:lang w:val="pl-PL"/>
        </w:rPr>
        <w:t xml:space="preserve"> </w:t>
      </w:r>
      <w:r w:rsidRPr="00E00B35">
        <w:rPr>
          <w:rFonts w:cs="Verdana"/>
          <w:color w:val="000000"/>
          <w:szCs w:val="20"/>
          <w:lang w:val="pl-PL"/>
        </w:rPr>
        <w:t>Mimo ograniczeń związanych z pandemią działania projektowe przebiegały sprawnie:</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dokończono rozpoczęte w 2019 r. indywidualne wsparcie psychologiczne dla nauczycieli (w wymiarze 117 godzin);</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przeprowadzono szkolenia dla nauczycieli w zakresie rozwijania kompetencji kluczowych (w wymiarze 296 godzin);</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opracowano wzorcowe materiały szkoleniowe z matematyki, język niemieckiego, fizyki, chemii, geografii i informatyki. Wszystkie wzorcowe materiały zostały poddane merytorycznej recenzji, dostosowane do formy e-learningowej i zamieszczone na stronie internetowej Projektu;</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przygotowano 24 scenariusze lekcji pokazowych, po 3 z każdego z 8 przedmiotów (2 do szkoły podstawowej, 1 do szkoły ponadpodstawowej). Wybór najlepszych scenariuszy, dostosowanych do formy e-learningowej, ukaże się drukiem, wszystkie będą zamieszczone na stronie internetowej Projektu;</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lastRenderedPageBreak/>
        <w:t>na podstawie wzorcowych materiałów szkoleniowych opracowano innowacyjne programy nauczania na zajęcia pozalekcyjne z następujących przedmiotów: język angielski, język niemiecki, matematyka, fizyka, geografia, biologia;</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opracowano 14 gier dydaktycznych z następujących przedmiotów: język angielski, język niemiecki, matematyka, fizyka, geografia, biologia, chemia;</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w ramach sieci współpracy i samokształcenia nauczycieli przedmiotów przyrodniczych wyłoniono 4 moderatorów sieci (nauczyciele przedmiotów przyrodniczych) w LO nr X - spotkania odbywają się w wymiarze 3 godzin miesięcznie;</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dokończono zakupy wyposażenia pracowni internetowej w LO nr X;</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Dolnośląska Biblioteka Pedagogiczna przeprowadziła dla chętnych nauczycieli 40 godzin szkoleń z zakresu ICT i zakupiła pakiety książek dydaktycznych i metodycznych z poszczególnych przedmiotów.</w:t>
      </w:r>
    </w:p>
    <w:p w:rsidR="000F2026" w:rsidRPr="00E00B35" w:rsidRDefault="000F2026" w:rsidP="00E00B35">
      <w:pPr>
        <w:autoSpaceDE w:val="0"/>
        <w:autoSpaceDN w:val="0"/>
        <w:adjustRightInd w:val="0"/>
        <w:spacing w:after="0" w:line="312" w:lineRule="auto"/>
        <w:rPr>
          <w:rFonts w:eastAsia="MS Mincho" w:cs="Verdana"/>
          <w:color w:val="000000"/>
          <w:szCs w:val="20"/>
          <w:lang w:val="pl-PL"/>
        </w:rPr>
      </w:pPr>
    </w:p>
    <w:p w:rsidR="008C7751" w:rsidRPr="00E00B35" w:rsidRDefault="008C7751" w:rsidP="00E00B35">
      <w:pPr>
        <w:autoSpaceDE w:val="0"/>
        <w:autoSpaceDN w:val="0"/>
        <w:adjustRightInd w:val="0"/>
        <w:spacing w:after="0" w:line="312" w:lineRule="auto"/>
        <w:rPr>
          <w:rFonts w:eastAsia="MS Mincho" w:cs="Verdana"/>
          <w:color w:val="000000"/>
          <w:szCs w:val="20"/>
          <w:lang w:val="pl-PL"/>
        </w:rPr>
      </w:pPr>
      <w:r w:rsidRPr="00E00B35">
        <w:rPr>
          <w:rFonts w:eastAsia="MS Mincho" w:cs="Verdana"/>
          <w:color w:val="000000"/>
          <w:szCs w:val="20"/>
          <w:lang w:val="pl-PL"/>
        </w:rPr>
        <w:t>„</w:t>
      </w:r>
      <w:r w:rsidRPr="00E00B35">
        <w:rPr>
          <w:rFonts w:eastAsia="MS Mincho" w:cs="Verdana,Bold"/>
          <w:bCs/>
          <w:color w:val="000000"/>
          <w:szCs w:val="20"/>
          <w:lang w:val="pl-PL"/>
        </w:rPr>
        <w:t xml:space="preserve">Lekcja Enter na Dolnym Śląsku” </w:t>
      </w:r>
      <w:r w:rsidRPr="00E00B35">
        <w:rPr>
          <w:rFonts w:eastAsia="MS Mincho" w:cs="Verdana"/>
          <w:color w:val="000000"/>
          <w:szCs w:val="20"/>
          <w:lang w:val="pl-PL"/>
        </w:rPr>
        <w:t>– projekt współfinansowany ze środków Europejskiego Funduszu Rozwoju Regionalnego w ramach Programu Operacyjnego Polska Cyfrowa na lata 2014–2020. Termin realizacji projektu: 01.12.2019 r. –31.02.2021 r. "Lekcja: Enter” to projekt edukacji cyfrowej skierowany do nauczycieli i dyrektorów szkół podstawowych i ponadpodstawowych, w ramach którego prowadzone są szkolenia z doskonalenia kompetencji cyfrowych. Całkowita wartość projektu: 300 510 zł.</w:t>
      </w:r>
    </w:p>
    <w:p w:rsidR="008C7751" w:rsidRPr="00E00B35" w:rsidRDefault="008C7751" w:rsidP="00E00B35">
      <w:pPr>
        <w:autoSpaceDE w:val="0"/>
        <w:autoSpaceDN w:val="0"/>
        <w:adjustRightInd w:val="0"/>
        <w:spacing w:after="0" w:line="312" w:lineRule="auto"/>
        <w:rPr>
          <w:rFonts w:eastAsia="MS Mincho" w:cs="Verdana,Bold"/>
          <w:b/>
          <w:bCs/>
          <w:color w:val="000000"/>
          <w:szCs w:val="20"/>
          <w:lang w:val="pl-PL"/>
        </w:rPr>
      </w:pPr>
      <w:r w:rsidRPr="00E00B35">
        <w:rPr>
          <w:rFonts w:eastAsia="MS Mincho" w:cs="Verdana,Bold"/>
          <w:bCs/>
          <w:color w:val="000000"/>
          <w:szCs w:val="20"/>
          <w:lang w:val="pl-PL"/>
        </w:rPr>
        <w:t>„Train the skills! – zwiększenie kompetencji nauczycieli w dziedzinie elektro-elektronicznym, jako wymiana polsko-norweskich doświadczeń w kształceniu zawodowym”</w:t>
      </w:r>
      <w:r w:rsidRPr="00E00B35">
        <w:rPr>
          <w:rFonts w:eastAsia="MS Mincho" w:cs="Verdana,Bold"/>
          <w:b/>
          <w:bCs/>
          <w:color w:val="000000"/>
          <w:szCs w:val="20"/>
          <w:lang w:val="pl-PL"/>
        </w:rPr>
        <w:t xml:space="preserve"> </w:t>
      </w:r>
      <w:r w:rsidRPr="00E00B35">
        <w:rPr>
          <w:rFonts w:eastAsia="MS Mincho" w:cs="Verdana"/>
          <w:color w:val="000000"/>
          <w:szCs w:val="20"/>
          <w:lang w:val="pl-PL"/>
        </w:rPr>
        <w:t>– projekt realizowany w ramach Mechanizmu Finansowego</w:t>
      </w:r>
      <w:r w:rsidRPr="00E00B35">
        <w:rPr>
          <w:rFonts w:eastAsia="MS Mincho" w:cs="Verdana,Bold"/>
          <w:b/>
          <w:bCs/>
          <w:color w:val="000000"/>
          <w:szCs w:val="20"/>
          <w:lang w:val="pl-PL"/>
        </w:rPr>
        <w:t xml:space="preserve"> </w:t>
      </w:r>
      <w:r w:rsidRPr="00E00B35">
        <w:rPr>
          <w:rFonts w:eastAsia="MS Mincho" w:cs="Verdana"/>
          <w:color w:val="000000"/>
          <w:szCs w:val="20"/>
          <w:lang w:val="pl-PL"/>
        </w:rPr>
        <w:t>Europejskiego Obszaru Gospodarczego. Termin realizacji projektu ze względu na pandemię COVID-19 został przesunięty z 01.07.2020 r. – 31.12.2020 r. na 01.07.2021-31.12.2021 r. Głównym celem projektu jest podniesienie kompetencji zawodowych 9 nauczycieli ze szkół Partnerstwa w obszarze elektryczno-elektronicznym poprzez udział w warsztatach edukacyjnych będących wymianą doświadczeń kształcenia zawodowego pomiędzy Partnerami z Polski oraz Norwegii. Całkowita wartość projektu wynosi 175 056 zł, wkład Miasta 2 727 zł.</w:t>
      </w:r>
    </w:p>
    <w:p w:rsidR="008C7751" w:rsidRPr="00E00B35" w:rsidRDefault="008C7751" w:rsidP="00E00B35">
      <w:pPr>
        <w:spacing w:after="0" w:line="312" w:lineRule="auto"/>
        <w:rPr>
          <w:color w:val="000000"/>
          <w:szCs w:val="20"/>
          <w:lang w:val="pl-PL"/>
        </w:rPr>
      </w:pPr>
      <w:r w:rsidRPr="00E00B35">
        <w:rPr>
          <w:bCs/>
          <w:color w:val="000000"/>
          <w:szCs w:val="20"/>
          <w:lang w:val="pl-PL"/>
        </w:rPr>
        <w:t xml:space="preserve">Realizowano projekt </w:t>
      </w:r>
      <w:r w:rsidRPr="00E00B35">
        <w:rPr>
          <w:rFonts w:cs="Verdana"/>
          <w:color w:val="000000"/>
          <w:szCs w:val="20"/>
          <w:lang w:val="pl-PL"/>
        </w:rPr>
        <w:t>„Poprawa warunków kształcenia w wybranych wrocławskich szkołach ponadpodstawowych”.</w:t>
      </w:r>
    </w:p>
    <w:p w:rsidR="008C7751" w:rsidRPr="00E00B35" w:rsidRDefault="008C7751" w:rsidP="00E00B35">
      <w:pPr>
        <w:autoSpaceDE w:val="0"/>
        <w:autoSpaceDN w:val="0"/>
        <w:adjustRightInd w:val="0"/>
        <w:spacing w:after="0" w:line="312" w:lineRule="auto"/>
        <w:rPr>
          <w:rFonts w:cs="DejaVuSerifCondensed-Bold"/>
          <w:bCs/>
          <w:color w:val="000000"/>
          <w:szCs w:val="20"/>
          <w:lang w:val="pl-PL"/>
        </w:rPr>
      </w:pPr>
      <w:r w:rsidRPr="00E00B35">
        <w:rPr>
          <w:rFonts w:cs="DejaVuSerifCondensed-Bold"/>
          <w:bCs/>
          <w:color w:val="000000"/>
          <w:szCs w:val="20"/>
          <w:lang w:val="pl-PL"/>
        </w:rPr>
        <w:t xml:space="preserve">Program Operacyjny : </w:t>
      </w:r>
      <w:r w:rsidRPr="00E00B35">
        <w:rPr>
          <w:rFonts w:cs="DejaVuSerifCondensed"/>
          <w:color w:val="000000"/>
          <w:szCs w:val="20"/>
          <w:lang w:val="pl-PL"/>
        </w:rPr>
        <w:t>RPO WD 2014-2020</w:t>
      </w:r>
    </w:p>
    <w:p w:rsidR="008C7751" w:rsidRPr="00E00B35" w:rsidRDefault="008C7751" w:rsidP="00E00B35">
      <w:pPr>
        <w:autoSpaceDE w:val="0"/>
        <w:autoSpaceDN w:val="0"/>
        <w:adjustRightInd w:val="0"/>
        <w:spacing w:after="0" w:line="312" w:lineRule="auto"/>
        <w:rPr>
          <w:rFonts w:cs="DejaVuSerifCondensed-Bold"/>
          <w:bCs/>
          <w:color w:val="000000"/>
          <w:szCs w:val="20"/>
          <w:lang w:val="pl-PL"/>
        </w:rPr>
      </w:pPr>
      <w:r w:rsidRPr="00E00B35">
        <w:rPr>
          <w:rFonts w:cs="DejaVuSerifCondensed-Bold"/>
          <w:bCs/>
          <w:color w:val="000000"/>
          <w:szCs w:val="20"/>
          <w:lang w:val="pl-PL"/>
        </w:rPr>
        <w:t>Oś priorytetowa :</w:t>
      </w:r>
      <w:r w:rsidRPr="00E00B35">
        <w:rPr>
          <w:rFonts w:cs="DejaVuSerifCondensed"/>
          <w:color w:val="000000"/>
          <w:szCs w:val="20"/>
          <w:lang w:val="pl-PL"/>
        </w:rPr>
        <w:t xml:space="preserve"> 7 Infrastruktura edukacyjna</w:t>
      </w:r>
    </w:p>
    <w:p w:rsidR="008C7751" w:rsidRPr="00E00B35" w:rsidRDefault="008C7751" w:rsidP="00E00B35">
      <w:pPr>
        <w:autoSpaceDE w:val="0"/>
        <w:autoSpaceDN w:val="0"/>
        <w:adjustRightInd w:val="0"/>
        <w:spacing w:after="0" w:line="312" w:lineRule="auto"/>
        <w:rPr>
          <w:rFonts w:cs="DejaVuSerifCondensed-Bold"/>
          <w:bCs/>
          <w:color w:val="000000"/>
          <w:szCs w:val="20"/>
          <w:lang w:val="pl-PL"/>
        </w:rPr>
      </w:pPr>
      <w:r w:rsidRPr="00E00B35">
        <w:rPr>
          <w:rFonts w:cs="DejaVuSerifCondensed-Bold"/>
          <w:bCs/>
          <w:color w:val="000000"/>
          <w:szCs w:val="20"/>
          <w:lang w:val="pl-PL"/>
        </w:rPr>
        <w:t xml:space="preserve">Działanie : </w:t>
      </w:r>
      <w:r w:rsidRPr="00E00B35">
        <w:rPr>
          <w:rFonts w:cs="DejaVuSerifCondensed"/>
          <w:color w:val="000000"/>
          <w:szCs w:val="20"/>
          <w:lang w:val="pl-PL"/>
        </w:rPr>
        <w:t>7.2 Inwestycje w edukację ponadgimnazjalną, w tym zawodową</w:t>
      </w:r>
    </w:p>
    <w:p w:rsidR="008C7751" w:rsidRPr="00E00B35" w:rsidRDefault="008C7751" w:rsidP="00E00B35">
      <w:pPr>
        <w:autoSpaceDE w:val="0"/>
        <w:autoSpaceDN w:val="0"/>
        <w:adjustRightInd w:val="0"/>
        <w:spacing w:after="0" w:line="312" w:lineRule="auto"/>
        <w:rPr>
          <w:rFonts w:cs="DejaVuSerifCondensed-Bold"/>
          <w:b/>
          <w:bCs/>
          <w:color w:val="000000"/>
          <w:szCs w:val="20"/>
          <w:lang w:val="pl-PL"/>
        </w:rPr>
      </w:pPr>
      <w:r w:rsidRPr="00E00B35">
        <w:rPr>
          <w:rFonts w:cs="DejaVuSerifCondensed-Bold"/>
          <w:bCs/>
          <w:color w:val="000000"/>
          <w:szCs w:val="20"/>
          <w:lang w:val="pl-PL"/>
        </w:rPr>
        <w:t>Poddziałanie</w:t>
      </w:r>
      <w:r w:rsidRPr="00E00B35">
        <w:rPr>
          <w:rFonts w:cs="DejaVuSerifCondensed-Bold"/>
          <w:b/>
          <w:bCs/>
          <w:color w:val="000000"/>
          <w:szCs w:val="20"/>
          <w:lang w:val="pl-PL"/>
        </w:rPr>
        <w:t xml:space="preserve"> : </w:t>
      </w:r>
      <w:r w:rsidRPr="00E00B35">
        <w:rPr>
          <w:rFonts w:cs="DejaVuSerifCondensed"/>
          <w:color w:val="000000"/>
          <w:szCs w:val="20"/>
          <w:lang w:val="pl-PL"/>
        </w:rPr>
        <w:t>7.2.2 Inwestycje w edukację ponadgimnazjalną, w tym zawodową</w:t>
      </w:r>
      <w:r w:rsidRPr="00E00B35">
        <w:rPr>
          <w:rFonts w:cs="DejaVuSerifCondensed-Bold"/>
          <w:b/>
          <w:bCs/>
          <w:color w:val="000000"/>
          <w:szCs w:val="20"/>
          <w:lang w:val="pl-PL"/>
        </w:rPr>
        <w:t xml:space="preserve"> - </w:t>
      </w:r>
      <w:r w:rsidRPr="00E00B35">
        <w:rPr>
          <w:rFonts w:cs="DejaVuSerifCondensed"/>
          <w:color w:val="000000"/>
          <w:szCs w:val="20"/>
          <w:lang w:val="pl-PL"/>
        </w:rPr>
        <w:t>ZIT WrOF.</w:t>
      </w:r>
      <w:r w:rsidRPr="00E00B35">
        <w:rPr>
          <w:rFonts w:cs="DejaVuSerifCondensed-Bold"/>
          <w:b/>
          <w:bCs/>
          <w:color w:val="000000"/>
          <w:szCs w:val="20"/>
          <w:lang w:val="pl-PL"/>
        </w:rPr>
        <w:t xml:space="preserve"> </w:t>
      </w:r>
      <w:r w:rsidRPr="00E00B35">
        <w:rPr>
          <w:rFonts w:cs="Verdana"/>
          <w:color w:val="000000"/>
          <w:szCs w:val="20"/>
          <w:lang w:val="pl-PL"/>
        </w:rPr>
        <w:t>Przedmiotem projektu jest modernizacja i wyposażenie w sprzęt i pomoce dydaktyczne 4 szkół:</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XV ul. Wojrowicka - doposażenie 4 pracowni matematycznych, 2 biologicznych, 1 chemicznej, 1 rozwoju kompetencji - jednostka koordynująca projekt,</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XVII ul. Tęczowa - adaptacja i wyposażenie 2 pracowni biologicznych i 1 pracowni fizycznej,</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lastRenderedPageBreak/>
        <w:t>Zespół Szkół nr 3 ul. Szkocka - utworzenie 1 pracowni obsługi gości i 1 pracowni technologii gastronomicznej,</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Technikum nr 15 ul. Skwierzyńska - utworzenie 1 pracowni projektowania publikacji drukowanych i elektronicznych, doposażenie jednej pracowni druku 3D oraz jednej sali dydaktycznej.</w:t>
      </w:r>
    </w:p>
    <w:p w:rsidR="000F2026" w:rsidRPr="00E00B35" w:rsidRDefault="000F2026" w:rsidP="00E00B35">
      <w:pPr>
        <w:autoSpaceDE w:val="0"/>
        <w:autoSpaceDN w:val="0"/>
        <w:adjustRightInd w:val="0"/>
        <w:spacing w:after="0" w:line="312" w:lineRule="auto"/>
        <w:rPr>
          <w:rFonts w:cs="Verdana"/>
          <w:color w:val="000000"/>
          <w:szCs w:val="20"/>
          <w:lang w:val="pl-PL"/>
        </w:rPr>
      </w:pPr>
    </w:p>
    <w:p w:rsidR="008C7751" w:rsidRPr="00E00B35" w:rsidRDefault="008C7751" w:rsidP="00E00B35">
      <w:pPr>
        <w:autoSpaceDE w:val="0"/>
        <w:autoSpaceDN w:val="0"/>
        <w:adjustRightInd w:val="0"/>
        <w:spacing w:after="0" w:line="312" w:lineRule="auto"/>
        <w:rPr>
          <w:rFonts w:cs="Verdana"/>
          <w:color w:val="000000"/>
          <w:szCs w:val="20"/>
          <w:lang w:val="pl-PL"/>
        </w:rPr>
      </w:pPr>
      <w:r w:rsidRPr="00E00B35">
        <w:rPr>
          <w:rFonts w:cs="Verdana"/>
          <w:color w:val="000000"/>
          <w:szCs w:val="20"/>
          <w:lang w:val="pl-PL"/>
        </w:rPr>
        <w:t xml:space="preserve">Wartość projektu ogółem to 3 078 708 zł, z czego wysokość dofinansowania wynosi </w:t>
      </w:r>
      <w:r w:rsidRPr="00E00B35">
        <w:rPr>
          <w:rFonts w:cs="Verdana"/>
          <w:color w:val="000000"/>
          <w:szCs w:val="20"/>
          <w:lang w:val="pl-PL"/>
        </w:rPr>
        <w:br/>
        <w:t>2 616 902 zł.</w:t>
      </w:r>
    </w:p>
    <w:p w:rsidR="008C7751" w:rsidRPr="00E00B35" w:rsidRDefault="008C7751" w:rsidP="00E00B35">
      <w:pPr>
        <w:autoSpaceDE w:val="0"/>
        <w:autoSpaceDN w:val="0"/>
        <w:adjustRightInd w:val="0"/>
        <w:spacing w:after="0" w:line="312" w:lineRule="auto"/>
        <w:rPr>
          <w:rFonts w:cs="Verdana"/>
          <w:color w:val="000000"/>
          <w:szCs w:val="20"/>
          <w:lang w:val="pl-PL"/>
        </w:rPr>
      </w:pPr>
      <w:r w:rsidRPr="00E00B35">
        <w:rPr>
          <w:rFonts w:cs="Verdana"/>
          <w:color w:val="000000"/>
          <w:szCs w:val="20"/>
          <w:lang w:val="pl-PL"/>
        </w:rPr>
        <w:t>Realizowano projekt „Inwestycje w edukację ponadpodstawową w wybranych placówkach na terenie Wrocławia”.</w:t>
      </w:r>
    </w:p>
    <w:p w:rsidR="008C7751" w:rsidRPr="00E00B35" w:rsidRDefault="008C7751" w:rsidP="00E00B35">
      <w:pPr>
        <w:autoSpaceDE w:val="0"/>
        <w:autoSpaceDN w:val="0"/>
        <w:adjustRightInd w:val="0"/>
        <w:spacing w:after="0" w:line="312" w:lineRule="auto"/>
        <w:rPr>
          <w:rFonts w:cs="DejaVuSerifCondensed-Bold"/>
          <w:bCs/>
          <w:color w:val="000000"/>
          <w:szCs w:val="20"/>
          <w:lang w:val="pl-PL"/>
        </w:rPr>
      </w:pPr>
      <w:r w:rsidRPr="00E00B35">
        <w:rPr>
          <w:rFonts w:cs="DejaVuSerifCondensed-Bold"/>
          <w:bCs/>
          <w:color w:val="000000"/>
          <w:szCs w:val="20"/>
          <w:lang w:val="pl-PL"/>
        </w:rPr>
        <w:t xml:space="preserve">Program Operacyjny: </w:t>
      </w:r>
      <w:r w:rsidRPr="00E00B35">
        <w:rPr>
          <w:rFonts w:cs="DejaVuSerifCondensed"/>
          <w:color w:val="000000"/>
          <w:szCs w:val="20"/>
          <w:lang w:val="pl-PL"/>
        </w:rPr>
        <w:t>RPO WD 2014-2020</w:t>
      </w:r>
    </w:p>
    <w:p w:rsidR="008C7751" w:rsidRPr="00E00B35" w:rsidRDefault="008C7751" w:rsidP="00E00B35">
      <w:pPr>
        <w:autoSpaceDE w:val="0"/>
        <w:autoSpaceDN w:val="0"/>
        <w:adjustRightInd w:val="0"/>
        <w:spacing w:after="0" w:line="312" w:lineRule="auto"/>
        <w:rPr>
          <w:rFonts w:cs="DejaVuSerifCondensed-Bold"/>
          <w:bCs/>
          <w:color w:val="000000"/>
          <w:szCs w:val="20"/>
          <w:lang w:val="pl-PL"/>
        </w:rPr>
      </w:pPr>
      <w:r w:rsidRPr="00E00B35">
        <w:rPr>
          <w:rFonts w:cs="DejaVuSerifCondensed-Bold"/>
          <w:bCs/>
          <w:color w:val="000000"/>
          <w:szCs w:val="20"/>
          <w:lang w:val="pl-PL"/>
        </w:rPr>
        <w:t xml:space="preserve">Oś priorytetowa: 7 </w:t>
      </w:r>
      <w:r w:rsidRPr="00E00B35">
        <w:rPr>
          <w:rFonts w:cs="DejaVuSerifCondensed"/>
          <w:color w:val="000000"/>
          <w:szCs w:val="20"/>
          <w:lang w:val="pl-PL"/>
        </w:rPr>
        <w:t>Infrastruktura edukacyjna</w:t>
      </w:r>
    </w:p>
    <w:p w:rsidR="008C7751" w:rsidRPr="00E00B35" w:rsidRDefault="008C7751" w:rsidP="00E00B35">
      <w:pPr>
        <w:autoSpaceDE w:val="0"/>
        <w:autoSpaceDN w:val="0"/>
        <w:adjustRightInd w:val="0"/>
        <w:spacing w:after="0" w:line="312" w:lineRule="auto"/>
        <w:rPr>
          <w:rFonts w:cs="DejaVuSerifCondensed-Bold"/>
          <w:bCs/>
          <w:color w:val="000000"/>
          <w:szCs w:val="20"/>
          <w:lang w:val="pl-PL"/>
        </w:rPr>
      </w:pPr>
      <w:r w:rsidRPr="00E00B35">
        <w:rPr>
          <w:rFonts w:cs="DejaVuSerifCondensed-Bold"/>
          <w:bCs/>
          <w:color w:val="000000"/>
          <w:szCs w:val="20"/>
          <w:lang w:val="pl-PL"/>
        </w:rPr>
        <w:t xml:space="preserve">Działanie: </w:t>
      </w:r>
      <w:r w:rsidRPr="00E00B35">
        <w:rPr>
          <w:rFonts w:cs="DejaVuSerifCondensed"/>
          <w:color w:val="000000"/>
          <w:szCs w:val="20"/>
          <w:lang w:val="pl-PL"/>
        </w:rPr>
        <w:t>7.2 Inwestycje w edukację ponadgimnazjalną, w tym zawodową</w:t>
      </w:r>
    </w:p>
    <w:p w:rsidR="008C7751" w:rsidRPr="00E00B35" w:rsidRDefault="008C7751" w:rsidP="00E00B35">
      <w:pPr>
        <w:autoSpaceDE w:val="0"/>
        <w:autoSpaceDN w:val="0"/>
        <w:adjustRightInd w:val="0"/>
        <w:spacing w:after="0" w:line="312" w:lineRule="auto"/>
        <w:rPr>
          <w:rFonts w:cs="DejaVuSerifCondensed-Bold"/>
          <w:b/>
          <w:bCs/>
          <w:color w:val="000000"/>
          <w:szCs w:val="20"/>
          <w:lang w:val="pl-PL"/>
        </w:rPr>
      </w:pPr>
      <w:r w:rsidRPr="00E00B35">
        <w:rPr>
          <w:rFonts w:cs="DejaVuSerifCondensed-Bold"/>
          <w:bCs/>
          <w:color w:val="000000"/>
          <w:szCs w:val="20"/>
          <w:lang w:val="pl-PL"/>
        </w:rPr>
        <w:t>Poddziałanie:</w:t>
      </w:r>
      <w:r w:rsidRPr="00E00B35">
        <w:rPr>
          <w:rFonts w:cs="DejaVuSerifCondensed-Bold"/>
          <w:b/>
          <w:bCs/>
          <w:color w:val="000000"/>
          <w:szCs w:val="20"/>
          <w:lang w:val="pl-PL"/>
        </w:rPr>
        <w:t xml:space="preserve"> </w:t>
      </w:r>
      <w:r w:rsidRPr="00E00B35">
        <w:rPr>
          <w:rFonts w:cs="DejaVuSerifCondensed"/>
          <w:color w:val="000000"/>
          <w:szCs w:val="20"/>
          <w:lang w:val="pl-PL"/>
        </w:rPr>
        <w:t>7.2.2 Inwestycje w edukację ponadgimnazjalną, w tym zawodową</w:t>
      </w:r>
      <w:r w:rsidRPr="00E00B35">
        <w:rPr>
          <w:rFonts w:cs="DejaVuSerifCondensed-Bold"/>
          <w:b/>
          <w:bCs/>
          <w:color w:val="000000"/>
          <w:szCs w:val="20"/>
          <w:lang w:val="pl-PL"/>
        </w:rPr>
        <w:t xml:space="preserve"> </w:t>
      </w:r>
      <w:r w:rsidRPr="00E00B35">
        <w:rPr>
          <w:rFonts w:cs="DejaVuSerifCondensed-Bold"/>
          <w:bCs/>
          <w:color w:val="000000"/>
          <w:szCs w:val="20"/>
          <w:lang w:val="pl-PL"/>
        </w:rPr>
        <w:t xml:space="preserve">– </w:t>
      </w:r>
      <w:r w:rsidRPr="00E00B35">
        <w:rPr>
          <w:rFonts w:cs="DejaVuSerifCondensed"/>
          <w:color w:val="000000"/>
          <w:szCs w:val="20"/>
          <w:lang w:val="pl-PL"/>
        </w:rPr>
        <w:t>ZIT WrOF.</w:t>
      </w:r>
      <w:r w:rsidRPr="00E00B35">
        <w:rPr>
          <w:rFonts w:cs="Verdana"/>
          <w:color w:val="000000"/>
          <w:szCs w:val="20"/>
          <w:lang w:val="pl-PL"/>
        </w:rPr>
        <w:t xml:space="preserve"> </w:t>
      </w:r>
    </w:p>
    <w:p w:rsidR="008C7751" w:rsidRPr="00E00B35" w:rsidRDefault="008C7751" w:rsidP="00E00B35">
      <w:pPr>
        <w:autoSpaceDE w:val="0"/>
        <w:autoSpaceDN w:val="0"/>
        <w:adjustRightInd w:val="0"/>
        <w:spacing w:after="0" w:line="312" w:lineRule="auto"/>
        <w:rPr>
          <w:rFonts w:cs="Verdana"/>
          <w:color w:val="000000"/>
          <w:szCs w:val="20"/>
          <w:lang w:val="pl-PL"/>
        </w:rPr>
      </w:pPr>
      <w:r w:rsidRPr="00E00B35">
        <w:rPr>
          <w:rFonts w:cs="Verdana"/>
          <w:color w:val="000000"/>
          <w:szCs w:val="20"/>
          <w:lang w:val="pl-PL"/>
        </w:rPr>
        <w:t>Przedmiotem projektu jest przeprowadzenie prac remontowo-budowlanych w celu adaptacji pomieszczeń, a także zakup wyposażenia dla 4 placówek oświatowych:</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Lotnicze Zakłady Naukowe ul. Kiełczowska - stworzenie dodatkowych pracowni zawodowych w zakresie zajęć praktycznych dla zawodów technik mechanik oraz technik mechanik lotniczy - jednostka koordynująca projekt,</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Centrum Kształcenia Zawodowego ul. Strzegomska - stworzenie pracowni dla nowopowstałego kierunku technika automatyka, a także wyposażenia dla 3 pracowni technika informatyka, 3 pracowni technika teleinformatyka, pracowni pomiarów warsztatowych dla technika mechanika,</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Zespół Szkół Zawodowych nr 5 ul. Dawida - stworzenie wyspecjalizowanych pracowni w zawodzie cukiernik i piekarz oraz technik usług fryzjerskich,</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Liceum Ogólnokształcące nr XII pl. Orląt Lwowskich - wyposażenie szkolnych pracowni: biologicznej, geograficznej oraz matematycznej w pomoce dydaktyczne i sprzęt TIK (Technologie Informacyjno-Komunikacyjne).</w:t>
      </w:r>
    </w:p>
    <w:p w:rsidR="000F2026" w:rsidRPr="00E00B35" w:rsidRDefault="000F2026" w:rsidP="00E00B35">
      <w:pPr>
        <w:autoSpaceDE w:val="0"/>
        <w:autoSpaceDN w:val="0"/>
        <w:adjustRightInd w:val="0"/>
        <w:spacing w:after="0" w:line="312" w:lineRule="auto"/>
        <w:rPr>
          <w:rFonts w:cs="Verdana"/>
          <w:color w:val="000000"/>
          <w:szCs w:val="20"/>
          <w:lang w:val="pl-PL"/>
        </w:rPr>
      </w:pPr>
    </w:p>
    <w:p w:rsidR="008C7751" w:rsidRPr="00E00B35" w:rsidRDefault="008C7751" w:rsidP="00E00B35">
      <w:pPr>
        <w:autoSpaceDE w:val="0"/>
        <w:autoSpaceDN w:val="0"/>
        <w:adjustRightInd w:val="0"/>
        <w:spacing w:after="0" w:line="312" w:lineRule="auto"/>
        <w:rPr>
          <w:rFonts w:cs="Verdana"/>
          <w:color w:val="000000"/>
          <w:szCs w:val="20"/>
          <w:lang w:val="pl-PL"/>
        </w:rPr>
      </w:pPr>
      <w:r w:rsidRPr="00E00B35">
        <w:rPr>
          <w:rFonts w:cs="Verdana"/>
          <w:color w:val="000000"/>
          <w:szCs w:val="20"/>
          <w:lang w:val="pl-PL"/>
        </w:rPr>
        <w:t xml:space="preserve">Wartość projektu ogółem to 3 285 147 zł, z czego wysokość dofinansowania wynosi </w:t>
      </w:r>
      <w:r w:rsidRPr="00E00B35">
        <w:rPr>
          <w:rFonts w:cs="Verdana"/>
          <w:color w:val="000000"/>
          <w:szCs w:val="20"/>
          <w:lang w:val="pl-PL"/>
        </w:rPr>
        <w:br/>
        <w:t>2 392 888 zł.</w:t>
      </w:r>
    </w:p>
    <w:p w:rsidR="000F2026" w:rsidRPr="00E00B35" w:rsidRDefault="000F2026" w:rsidP="00E00B35">
      <w:pPr>
        <w:autoSpaceDE w:val="0"/>
        <w:autoSpaceDN w:val="0"/>
        <w:adjustRightInd w:val="0"/>
        <w:spacing w:after="0" w:line="312" w:lineRule="auto"/>
        <w:rPr>
          <w:rFonts w:cs="Verdana"/>
          <w:color w:val="000000"/>
          <w:szCs w:val="20"/>
          <w:lang w:val="pl-PL"/>
        </w:rPr>
      </w:pPr>
    </w:p>
    <w:p w:rsidR="008C7751" w:rsidRPr="00E00B35" w:rsidRDefault="008C7751" w:rsidP="00E00B35">
      <w:pPr>
        <w:pStyle w:val="Nagwek4"/>
        <w:spacing w:before="0" w:after="0" w:line="312" w:lineRule="auto"/>
        <w:rPr>
          <w:sz w:val="20"/>
          <w:szCs w:val="20"/>
        </w:rPr>
      </w:pPr>
      <w:bookmarkStart w:id="83" w:name="_Toc59103784"/>
      <w:bookmarkStart w:id="84" w:name="_Toc59104152"/>
      <w:bookmarkStart w:id="85" w:name="_Toc59451857"/>
      <w:bookmarkStart w:id="86" w:name="_Toc61010194"/>
      <w:bookmarkStart w:id="87" w:name="_Toc61010246"/>
      <w:bookmarkStart w:id="88" w:name="_Toc72411097"/>
      <w:r w:rsidRPr="00E00B35">
        <w:rPr>
          <w:sz w:val="20"/>
          <w:szCs w:val="20"/>
        </w:rPr>
        <w:t>Realizacja programów stypendialnych</w:t>
      </w:r>
      <w:bookmarkEnd w:id="83"/>
      <w:bookmarkEnd w:id="84"/>
      <w:bookmarkEnd w:id="85"/>
      <w:bookmarkEnd w:id="86"/>
      <w:bookmarkEnd w:id="87"/>
      <w:bookmarkEnd w:id="88"/>
      <w:r w:rsidRPr="00E00B35">
        <w:rPr>
          <w:sz w:val="20"/>
          <w:szCs w:val="20"/>
        </w:rPr>
        <w:t xml:space="preserve"> </w:t>
      </w:r>
    </w:p>
    <w:p w:rsidR="008C7751" w:rsidRPr="00E00B35" w:rsidRDefault="008C7751" w:rsidP="00E00B35">
      <w:pPr>
        <w:tabs>
          <w:tab w:val="left" w:pos="-1260"/>
        </w:tabs>
        <w:autoSpaceDE w:val="0"/>
        <w:autoSpaceDN w:val="0"/>
        <w:adjustRightInd w:val="0"/>
        <w:spacing w:after="0" w:line="312" w:lineRule="auto"/>
        <w:rPr>
          <w:rFonts w:eastAsia="MS Mincho" w:cs="Verdana"/>
          <w:color w:val="000000"/>
          <w:szCs w:val="20"/>
          <w:lang w:val="pl-PL"/>
        </w:rPr>
      </w:pPr>
      <w:r w:rsidRPr="00E00B35">
        <w:rPr>
          <w:rFonts w:eastAsia="MS Mincho" w:cs="Verdana"/>
          <w:bCs/>
          <w:color w:val="000000"/>
          <w:szCs w:val="20"/>
          <w:lang w:val="pl-PL"/>
        </w:rPr>
        <w:t>Promocja osiągnięć uczniów – stypendia naukowe.</w:t>
      </w:r>
      <w:r w:rsidRPr="00E00B35">
        <w:rPr>
          <w:rFonts w:eastAsia="MS Mincho" w:cs="Verdana"/>
          <w:b/>
          <w:bCs/>
          <w:color w:val="000000"/>
          <w:szCs w:val="20"/>
          <w:lang w:val="pl-PL"/>
        </w:rPr>
        <w:t xml:space="preserve"> </w:t>
      </w:r>
      <w:r w:rsidRPr="00E00B35">
        <w:rPr>
          <w:rFonts w:eastAsia="MS Mincho" w:cs="Verdana"/>
          <w:color w:val="000000"/>
          <w:szCs w:val="20"/>
          <w:lang w:val="pl-PL"/>
        </w:rPr>
        <w:t>W ramach wrocławskiego programu wspierania uzdolnionych – PROMOVERE TALENTA, zgodnie z uchwałą Nr XXVIII/563/16 Rady Miejskiej Wrocławia z dnia 7 lipca 2016 r. ze zm. przyznano stypendia:</w:t>
      </w:r>
    </w:p>
    <w:p w:rsidR="008C7751" w:rsidRPr="00E00B35" w:rsidRDefault="008C7751" w:rsidP="00E00B35">
      <w:pPr>
        <w:pStyle w:val="Akapitzlist"/>
        <w:numPr>
          <w:ilvl w:val="0"/>
          <w:numId w:val="9"/>
        </w:numPr>
        <w:spacing w:after="0" w:line="312" w:lineRule="auto"/>
        <w:ind w:left="357" w:hanging="357"/>
        <w:rPr>
          <w:rFonts w:eastAsia="MS Mincho" w:cs="Verdana"/>
          <w:bCs/>
          <w:color w:val="000000"/>
          <w:szCs w:val="20"/>
          <w:lang w:val="pl-PL"/>
        </w:rPr>
      </w:pPr>
      <w:r w:rsidRPr="00E00B35">
        <w:rPr>
          <w:rFonts w:eastAsia="MS Mincho" w:cs="Verdana"/>
          <w:bCs/>
          <w:color w:val="000000"/>
          <w:szCs w:val="20"/>
          <w:lang w:val="pl-PL"/>
        </w:rPr>
        <w:t xml:space="preserve">543 uczniom posiadającym celujące oceny na świadectwie końcowym oraz szczególne osiągnięcia </w:t>
      </w:r>
      <w:r w:rsidRPr="00E00B35">
        <w:rPr>
          <w:rFonts w:eastAsia="MS Mincho" w:cs="Verdana"/>
          <w:color w:val="000000"/>
          <w:szCs w:val="20"/>
          <w:lang w:val="pl-PL"/>
        </w:rPr>
        <w:t>lub</w:t>
      </w:r>
      <w:r w:rsidRPr="00E00B35">
        <w:rPr>
          <w:rFonts w:eastAsia="MS Mincho" w:cs="Verdana"/>
          <w:bCs/>
          <w:color w:val="000000"/>
          <w:szCs w:val="20"/>
          <w:lang w:val="pl-PL"/>
        </w:rPr>
        <w:t xml:space="preserve"> tytuł laureata w ogólnopolskiej olimpiadzie przedmiotowej, </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 xml:space="preserve">w ramach Konkursu Szkolny Nobel przyznano stypendia w wysokości 3 500 zł </w:t>
      </w:r>
      <w:r w:rsidRPr="00E00B35">
        <w:rPr>
          <w:rFonts w:eastAsia="MS Mincho" w:cs="Verdana"/>
          <w:color w:val="000000"/>
          <w:szCs w:val="20"/>
          <w:lang w:val="pl-PL"/>
        </w:rPr>
        <w:br/>
        <w:t xml:space="preserve">w 15 dziedzinach dla uczniów wrocławskich szkół. Wysokość drugiej transzy stypendium za okres I-VI 2020 r. wyniosła 1 400 zł na jednego ucznia. </w:t>
      </w:r>
    </w:p>
    <w:p w:rsidR="000F2026" w:rsidRPr="00E00B35" w:rsidRDefault="000F2026" w:rsidP="00E00B35">
      <w:pPr>
        <w:pStyle w:val="Akapitzlist"/>
        <w:spacing w:after="0" w:line="312" w:lineRule="auto"/>
        <w:ind w:left="357"/>
        <w:rPr>
          <w:rFonts w:eastAsia="MS Mincho" w:cs="Verdana"/>
          <w:color w:val="000000"/>
          <w:szCs w:val="20"/>
          <w:lang w:val="pl-PL"/>
        </w:rPr>
      </w:pPr>
    </w:p>
    <w:p w:rsidR="008C7751" w:rsidRPr="00E00B35" w:rsidRDefault="008C7751" w:rsidP="00E00B35">
      <w:pPr>
        <w:tabs>
          <w:tab w:val="left" w:pos="180"/>
        </w:tabs>
        <w:autoSpaceDE w:val="0"/>
        <w:autoSpaceDN w:val="0"/>
        <w:adjustRightInd w:val="0"/>
        <w:spacing w:after="0" w:line="312" w:lineRule="auto"/>
        <w:rPr>
          <w:rFonts w:eastAsia="MS Mincho" w:cs="Verdana"/>
          <w:bCs/>
          <w:color w:val="000000"/>
          <w:szCs w:val="20"/>
          <w:lang w:val="pl-PL"/>
        </w:rPr>
      </w:pPr>
      <w:r w:rsidRPr="00E00B35">
        <w:rPr>
          <w:rFonts w:eastAsia="MS Mincho" w:cs="Verdana"/>
          <w:bCs/>
          <w:color w:val="000000"/>
          <w:szCs w:val="20"/>
          <w:lang w:val="pl-PL"/>
        </w:rPr>
        <w:lastRenderedPageBreak/>
        <w:t>Ogółem w ramach programu wspierania uzdolnionych – PROMOVERE TALENTA</w:t>
      </w:r>
      <w:r w:rsidRPr="00E00B35">
        <w:rPr>
          <w:rFonts w:eastAsia="MS Mincho" w:cs="Verdana"/>
          <w:color w:val="000000"/>
          <w:szCs w:val="20"/>
          <w:lang w:val="pl-PL"/>
        </w:rPr>
        <w:t xml:space="preserve"> </w:t>
      </w:r>
      <w:r w:rsidRPr="00E00B35">
        <w:rPr>
          <w:rFonts w:eastAsia="MS Mincho" w:cs="Verdana"/>
          <w:bCs/>
          <w:color w:val="000000"/>
          <w:szCs w:val="20"/>
          <w:lang w:val="pl-PL"/>
        </w:rPr>
        <w:t>w 2020 r. wypłacono stypendia 560 stypendystom w kwocie 608 500 zł.</w:t>
      </w:r>
    </w:p>
    <w:p w:rsidR="008C7751" w:rsidRPr="00E00B35" w:rsidRDefault="008C7751" w:rsidP="00E00B35">
      <w:pPr>
        <w:autoSpaceDE w:val="0"/>
        <w:autoSpaceDN w:val="0"/>
        <w:adjustRightInd w:val="0"/>
        <w:spacing w:after="0" w:line="312" w:lineRule="auto"/>
        <w:rPr>
          <w:rFonts w:eastAsia="MS Mincho" w:cs="Verdana"/>
          <w:color w:val="000000"/>
          <w:szCs w:val="20"/>
          <w:lang w:val="pl-PL"/>
        </w:rPr>
      </w:pPr>
      <w:r w:rsidRPr="00E00B35">
        <w:rPr>
          <w:rFonts w:eastAsia="MS Mincho" w:cs="Verdana"/>
          <w:color w:val="000000"/>
          <w:szCs w:val="20"/>
          <w:lang w:val="pl-PL"/>
        </w:rPr>
        <w:t>Tabela 11. Wysokość dofinansowania w ramach programu wspierania uzdolnionych – PROMOVERE TALENTA w 2020 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94"/>
        <w:gridCol w:w="2302"/>
        <w:gridCol w:w="2303"/>
        <w:gridCol w:w="2303"/>
      </w:tblGrid>
      <w:tr w:rsidR="008C7751" w:rsidRPr="00E00B35" w:rsidTr="008C7751">
        <w:trPr>
          <w:tblHeader/>
        </w:trPr>
        <w:tc>
          <w:tcPr>
            <w:tcW w:w="2194" w:type="dxa"/>
            <w:shd w:val="clear" w:color="auto" w:fill="auto"/>
          </w:tcPr>
          <w:p w:rsidR="008C7751" w:rsidRPr="00E00B35" w:rsidRDefault="008C7751" w:rsidP="00E00B35">
            <w:pPr>
              <w:autoSpaceDE w:val="0"/>
              <w:autoSpaceDN w:val="0"/>
              <w:adjustRightInd w:val="0"/>
              <w:spacing w:after="0" w:line="312" w:lineRule="auto"/>
              <w:rPr>
                <w:rFonts w:eastAsia="MS Mincho" w:cs="Verdana"/>
                <w:b/>
                <w:color w:val="000000"/>
                <w:szCs w:val="20"/>
              </w:rPr>
            </w:pPr>
            <w:r w:rsidRPr="00E00B35">
              <w:rPr>
                <w:rFonts w:eastAsia="MS Mincho" w:cs="Verdana"/>
                <w:b/>
                <w:color w:val="000000"/>
                <w:szCs w:val="20"/>
              </w:rPr>
              <w:t>Typ szkoły</w:t>
            </w:r>
          </w:p>
        </w:tc>
        <w:tc>
          <w:tcPr>
            <w:tcW w:w="2302" w:type="dxa"/>
            <w:shd w:val="clear" w:color="auto" w:fill="auto"/>
          </w:tcPr>
          <w:p w:rsidR="008C7751" w:rsidRPr="00E00B35" w:rsidRDefault="008C7751" w:rsidP="00E00B35">
            <w:pPr>
              <w:autoSpaceDE w:val="0"/>
              <w:autoSpaceDN w:val="0"/>
              <w:adjustRightInd w:val="0"/>
              <w:spacing w:after="0" w:line="312" w:lineRule="auto"/>
              <w:rPr>
                <w:rFonts w:eastAsia="MS Mincho" w:cs="Verdana"/>
                <w:b/>
                <w:color w:val="000000"/>
                <w:szCs w:val="20"/>
              </w:rPr>
            </w:pPr>
            <w:r w:rsidRPr="00E00B35">
              <w:rPr>
                <w:rFonts w:eastAsia="MS Mincho" w:cs="Verdana"/>
                <w:b/>
                <w:color w:val="000000"/>
                <w:szCs w:val="20"/>
              </w:rPr>
              <w:t>Liczba stypendystów 2019/2020 (styczeń-czerwiec)</w:t>
            </w:r>
          </w:p>
        </w:tc>
        <w:tc>
          <w:tcPr>
            <w:tcW w:w="2303" w:type="dxa"/>
            <w:shd w:val="clear" w:color="auto" w:fill="auto"/>
          </w:tcPr>
          <w:p w:rsidR="008C7751" w:rsidRPr="00E00B35" w:rsidRDefault="008C7751" w:rsidP="00E00B35">
            <w:pPr>
              <w:autoSpaceDE w:val="0"/>
              <w:autoSpaceDN w:val="0"/>
              <w:adjustRightInd w:val="0"/>
              <w:spacing w:after="0" w:line="312" w:lineRule="auto"/>
              <w:rPr>
                <w:rFonts w:eastAsia="MS Mincho" w:cs="Verdana"/>
                <w:b/>
                <w:color w:val="000000"/>
                <w:szCs w:val="20"/>
              </w:rPr>
            </w:pPr>
            <w:r w:rsidRPr="00E00B35">
              <w:rPr>
                <w:rFonts w:eastAsia="MS Mincho" w:cs="Verdana"/>
                <w:b/>
                <w:color w:val="000000"/>
                <w:szCs w:val="20"/>
              </w:rPr>
              <w:t>Liczba stypendystów 2020/2021 (wrzesień-grudzień)</w:t>
            </w:r>
          </w:p>
        </w:tc>
        <w:tc>
          <w:tcPr>
            <w:tcW w:w="2303" w:type="dxa"/>
            <w:shd w:val="clear" w:color="auto" w:fill="auto"/>
          </w:tcPr>
          <w:p w:rsidR="008C7751" w:rsidRPr="00E00B35" w:rsidRDefault="008C7751" w:rsidP="00E00B35">
            <w:pPr>
              <w:autoSpaceDE w:val="0"/>
              <w:autoSpaceDN w:val="0"/>
              <w:adjustRightInd w:val="0"/>
              <w:spacing w:after="0" w:line="312" w:lineRule="auto"/>
              <w:rPr>
                <w:rFonts w:eastAsia="MS Mincho" w:cs="Verdana"/>
                <w:b/>
                <w:color w:val="000000"/>
                <w:szCs w:val="20"/>
              </w:rPr>
            </w:pPr>
            <w:r w:rsidRPr="00E00B35">
              <w:rPr>
                <w:rFonts w:eastAsia="MS Mincho" w:cs="Verdana"/>
                <w:b/>
                <w:color w:val="000000"/>
                <w:szCs w:val="20"/>
              </w:rPr>
              <w:t>Wysokość dofinansowania (w zł)</w:t>
            </w:r>
          </w:p>
        </w:tc>
      </w:tr>
      <w:tr w:rsidR="008C7751" w:rsidRPr="00E00B35" w:rsidTr="008C7751">
        <w:tc>
          <w:tcPr>
            <w:tcW w:w="2194" w:type="dxa"/>
            <w:shd w:val="clear" w:color="auto" w:fill="auto"/>
            <w:vAlign w:val="center"/>
          </w:tcPr>
          <w:p w:rsidR="008C7751" w:rsidRPr="00E00B35" w:rsidRDefault="008C7751" w:rsidP="00E00B35">
            <w:pPr>
              <w:autoSpaceDE w:val="0"/>
              <w:autoSpaceDN w:val="0"/>
              <w:adjustRightInd w:val="0"/>
              <w:spacing w:after="0" w:line="312" w:lineRule="auto"/>
              <w:rPr>
                <w:rFonts w:eastAsia="MS Mincho" w:cs="Verdana"/>
                <w:color w:val="000000"/>
                <w:szCs w:val="20"/>
                <w:highlight w:val="yellow"/>
              </w:rPr>
            </w:pPr>
            <w:r w:rsidRPr="00E00B35">
              <w:rPr>
                <w:rFonts w:eastAsia="MS Mincho" w:cs="Verdana"/>
                <w:color w:val="000000"/>
                <w:szCs w:val="20"/>
              </w:rPr>
              <w:t>Szkoły podstawowe</w:t>
            </w:r>
          </w:p>
        </w:tc>
        <w:tc>
          <w:tcPr>
            <w:tcW w:w="2302"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highlight w:val="yellow"/>
              </w:rPr>
            </w:pPr>
            <w:r w:rsidRPr="00E00B35">
              <w:rPr>
                <w:rFonts w:eastAsia="MS Mincho" w:cs="Verdana"/>
                <w:color w:val="000000"/>
                <w:szCs w:val="20"/>
              </w:rPr>
              <w:t>108</w:t>
            </w:r>
          </w:p>
        </w:tc>
        <w:tc>
          <w:tcPr>
            <w:tcW w:w="2303"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highlight w:val="yellow"/>
              </w:rPr>
            </w:pPr>
            <w:r w:rsidRPr="00E00B35">
              <w:rPr>
                <w:rFonts w:eastAsia="MS Mincho" w:cs="Verdana"/>
                <w:color w:val="000000"/>
                <w:szCs w:val="20"/>
              </w:rPr>
              <w:t>196</w:t>
            </w:r>
          </w:p>
        </w:tc>
        <w:tc>
          <w:tcPr>
            <w:tcW w:w="2303"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highlight w:val="yellow"/>
              </w:rPr>
            </w:pPr>
            <w:r w:rsidRPr="00E00B35">
              <w:rPr>
                <w:rFonts w:eastAsia="MS Mincho" w:cs="Verdana"/>
                <w:color w:val="000000"/>
                <w:szCs w:val="20"/>
              </w:rPr>
              <w:t>254 000</w:t>
            </w:r>
          </w:p>
        </w:tc>
      </w:tr>
      <w:tr w:rsidR="008C7751" w:rsidRPr="00E00B35" w:rsidTr="008C7751">
        <w:tc>
          <w:tcPr>
            <w:tcW w:w="2194" w:type="dxa"/>
            <w:shd w:val="clear" w:color="auto" w:fill="auto"/>
            <w:vAlign w:val="center"/>
          </w:tcPr>
          <w:p w:rsidR="008C7751" w:rsidRPr="00E00B35" w:rsidRDefault="008C7751" w:rsidP="00E00B35">
            <w:pPr>
              <w:autoSpaceDE w:val="0"/>
              <w:autoSpaceDN w:val="0"/>
              <w:adjustRightInd w:val="0"/>
              <w:spacing w:after="0" w:line="312" w:lineRule="auto"/>
              <w:rPr>
                <w:rFonts w:eastAsia="MS Mincho" w:cs="Verdana"/>
                <w:color w:val="000000"/>
                <w:szCs w:val="20"/>
                <w:highlight w:val="yellow"/>
              </w:rPr>
            </w:pPr>
            <w:r w:rsidRPr="00E00B35">
              <w:rPr>
                <w:rFonts w:eastAsia="MS Mincho" w:cs="Verdana"/>
                <w:color w:val="000000"/>
                <w:szCs w:val="20"/>
              </w:rPr>
              <w:t>Gimnazja</w:t>
            </w:r>
          </w:p>
        </w:tc>
        <w:tc>
          <w:tcPr>
            <w:tcW w:w="2302"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rPr>
            </w:pPr>
            <w:r w:rsidRPr="00E00B35">
              <w:rPr>
                <w:rFonts w:eastAsia="MS Mincho" w:cs="Verdana"/>
                <w:color w:val="000000"/>
                <w:szCs w:val="20"/>
              </w:rPr>
              <w:t>130</w:t>
            </w:r>
          </w:p>
        </w:tc>
        <w:tc>
          <w:tcPr>
            <w:tcW w:w="2303"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rPr>
            </w:pPr>
            <w:r w:rsidRPr="00E00B35">
              <w:rPr>
                <w:rFonts w:eastAsia="MS Mincho" w:cs="Verdana"/>
                <w:color w:val="000000"/>
                <w:szCs w:val="20"/>
              </w:rPr>
              <w:t>0</w:t>
            </w:r>
          </w:p>
        </w:tc>
        <w:tc>
          <w:tcPr>
            <w:tcW w:w="2303"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highlight w:val="yellow"/>
              </w:rPr>
            </w:pPr>
            <w:r w:rsidRPr="00E00B35">
              <w:rPr>
                <w:rFonts w:eastAsia="MS Mincho" w:cs="Verdana"/>
                <w:color w:val="000000"/>
                <w:szCs w:val="20"/>
              </w:rPr>
              <w:t>156 000</w:t>
            </w:r>
          </w:p>
        </w:tc>
      </w:tr>
      <w:tr w:rsidR="008C7751" w:rsidRPr="00E00B35" w:rsidTr="008C7751">
        <w:tc>
          <w:tcPr>
            <w:tcW w:w="2194" w:type="dxa"/>
            <w:shd w:val="clear" w:color="auto" w:fill="auto"/>
            <w:vAlign w:val="center"/>
          </w:tcPr>
          <w:p w:rsidR="008C7751" w:rsidRPr="00E00B35" w:rsidRDefault="008C7751" w:rsidP="00E00B35">
            <w:pPr>
              <w:autoSpaceDE w:val="0"/>
              <w:autoSpaceDN w:val="0"/>
              <w:adjustRightInd w:val="0"/>
              <w:spacing w:after="0" w:line="312" w:lineRule="auto"/>
              <w:rPr>
                <w:rFonts w:eastAsia="MS Mincho" w:cs="Verdana"/>
                <w:color w:val="000000"/>
                <w:szCs w:val="20"/>
                <w:highlight w:val="yellow"/>
              </w:rPr>
            </w:pPr>
            <w:r w:rsidRPr="00E00B35">
              <w:rPr>
                <w:rFonts w:eastAsia="MS Mincho" w:cs="Verdana"/>
                <w:color w:val="000000"/>
                <w:szCs w:val="20"/>
              </w:rPr>
              <w:t>Szkoły ponadpodstawowe</w:t>
            </w:r>
          </w:p>
        </w:tc>
        <w:tc>
          <w:tcPr>
            <w:tcW w:w="2302"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rPr>
            </w:pPr>
            <w:r w:rsidRPr="00E00B35">
              <w:rPr>
                <w:rFonts w:eastAsia="MS Mincho" w:cs="Verdana"/>
                <w:color w:val="000000"/>
                <w:szCs w:val="20"/>
              </w:rPr>
              <w:t>31</w:t>
            </w:r>
          </w:p>
        </w:tc>
        <w:tc>
          <w:tcPr>
            <w:tcW w:w="2303"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rPr>
            </w:pPr>
            <w:r w:rsidRPr="00E00B35">
              <w:rPr>
                <w:rFonts w:eastAsia="MS Mincho" w:cs="Verdana"/>
                <w:color w:val="000000"/>
                <w:szCs w:val="20"/>
              </w:rPr>
              <w:t>39</w:t>
            </w:r>
          </w:p>
        </w:tc>
        <w:tc>
          <w:tcPr>
            <w:tcW w:w="2303"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highlight w:val="yellow"/>
              </w:rPr>
            </w:pPr>
            <w:r w:rsidRPr="00E00B35">
              <w:rPr>
                <w:rFonts w:eastAsia="MS Mincho" w:cs="Verdana"/>
                <w:color w:val="000000"/>
                <w:szCs w:val="20"/>
              </w:rPr>
              <w:t>93 300</w:t>
            </w:r>
          </w:p>
        </w:tc>
      </w:tr>
      <w:tr w:rsidR="008C7751" w:rsidRPr="00E00B35" w:rsidTr="008C7751">
        <w:tc>
          <w:tcPr>
            <w:tcW w:w="2194" w:type="dxa"/>
            <w:shd w:val="clear" w:color="auto" w:fill="auto"/>
            <w:vAlign w:val="center"/>
          </w:tcPr>
          <w:p w:rsidR="008C7751" w:rsidRPr="00E00B35" w:rsidRDefault="008C7751" w:rsidP="00E00B35">
            <w:pPr>
              <w:autoSpaceDE w:val="0"/>
              <w:autoSpaceDN w:val="0"/>
              <w:adjustRightInd w:val="0"/>
              <w:spacing w:after="0" w:line="312" w:lineRule="auto"/>
              <w:rPr>
                <w:rFonts w:eastAsia="MS Mincho" w:cs="Verdana"/>
                <w:color w:val="000000"/>
                <w:szCs w:val="20"/>
                <w:highlight w:val="yellow"/>
              </w:rPr>
            </w:pPr>
            <w:r w:rsidRPr="00E00B35">
              <w:rPr>
                <w:rFonts w:eastAsia="MS Mincho" w:cs="Verdana"/>
                <w:color w:val="000000"/>
                <w:szCs w:val="20"/>
              </w:rPr>
              <w:t>Olimpijczycy</w:t>
            </w:r>
          </w:p>
        </w:tc>
        <w:tc>
          <w:tcPr>
            <w:tcW w:w="2302"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rPr>
            </w:pPr>
            <w:r w:rsidRPr="00E00B35">
              <w:rPr>
                <w:rFonts w:eastAsia="MS Mincho" w:cs="Verdana"/>
                <w:color w:val="000000"/>
                <w:szCs w:val="20"/>
              </w:rPr>
              <w:t>39</w:t>
            </w:r>
          </w:p>
        </w:tc>
        <w:tc>
          <w:tcPr>
            <w:tcW w:w="2303"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rPr>
            </w:pPr>
            <w:r w:rsidRPr="00E00B35">
              <w:rPr>
                <w:rFonts w:eastAsia="MS Mincho" w:cs="Verdana"/>
                <w:color w:val="000000"/>
                <w:szCs w:val="20"/>
              </w:rPr>
              <w:t>0</w:t>
            </w:r>
          </w:p>
        </w:tc>
        <w:tc>
          <w:tcPr>
            <w:tcW w:w="2303"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color w:val="000000"/>
                <w:szCs w:val="20"/>
              </w:rPr>
            </w:pPr>
            <w:r w:rsidRPr="00E00B35">
              <w:rPr>
                <w:rFonts w:eastAsia="MS Mincho" w:cs="Verdana"/>
                <w:color w:val="000000"/>
                <w:szCs w:val="20"/>
              </w:rPr>
              <w:t>70 200</w:t>
            </w:r>
          </w:p>
        </w:tc>
      </w:tr>
      <w:tr w:rsidR="008C7751" w:rsidRPr="00E00B35" w:rsidTr="008C7751">
        <w:tc>
          <w:tcPr>
            <w:tcW w:w="2194" w:type="dxa"/>
            <w:shd w:val="clear" w:color="auto" w:fill="auto"/>
            <w:vAlign w:val="center"/>
          </w:tcPr>
          <w:p w:rsidR="008C7751" w:rsidRPr="00E00B35" w:rsidRDefault="008C7751" w:rsidP="00E00B35">
            <w:pPr>
              <w:autoSpaceDE w:val="0"/>
              <w:autoSpaceDN w:val="0"/>
              <w:adjustRightInd w:val="0"/>
              <w:spacing w:after="0" w:line="312" w:lineRule="auto"/>
              <w:rPr>
                <w:rFonts w:eastAsia="MS Mincho" w:cs="Verdana"/>
                <w:color w:val="000000"/>
                <w:szCs w:val="20"/>
                <w:highlight w:val="yellow"/>
              </w:rPr>
            </w:pPr>
            <w:r w:rsidRPr="00E00B35">
              <w:rPr>
                <w:rFonts w:eastAsia="MS Mincho" w:cs="Verdana"/>
                <w:color w:val="000000"/>
                <w:szCs w:val="20"/>
              </w:rPr>
              <w:t>Razem</w:t>
            </w:r>
          </w:p>
        </w:tc>
        <w:tc>
          <w:tcPr>
            <w:tcW w:w="2302"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b/>
                <w:bCs/>
                <w:color w:val="000000"/>
                <w:szCs w:val="20"/>
              </w:rPr>
            </w:pPr>
            <w:r w:rsidRPr="00E00B35">
              <w:rPr>
                <w:rFonts w:eastAsia="MS Mincho" w:cs="Verdana"/>
                <w:b/>
                <w:bCs/>
                <w:color w:val="000000"/>
                <w:szCs w:val="20"/>
              </w:rPr>
              <w:t>308</w:t>
            </w:r>
          </w:p>
        </w:tc>
        <w:tc>
          <w:tcPr>
            <w:tcW w:w="2303"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b/>
                <w:bCs/>
                <w:color w:val="000000"/>
                <w:szCs w:val="20"/>
              </w:rPr>
            </w:pPr>
            <w:r w:rsidRPr="00E00B35">
              <w:rPr>
                <w:rFonts w:eastAsia="MS Mincho" w:cs="Verdana"/>
                <w:b/>
                <w:bCs/>
                <w:color w:val="000000"/>
                <w:szCs w:val="20"/>
              </w:rPr>
              <w:t>235</w:t>
            </w:r>
          </w:p>
        </w:tc>
        <w:tc>
          <w:tcPr>
            <w:tcW w:w="2303" w:type="dxa"/>
            <w:shd w:val="clear" w:color="auto" w:fill="auto"/>
            <w:vAlign w:val="center"/>
          </w:tcPr>
          <w:p w:rsidR="008C7751" w:rsidRPr="00E00B35" w:rsidRDefault="008C7751" w:rsidP="00E00B35">
            <w:pPr>
              <w:autoSpaceDE w:val="0"/>
              <w:autoSpaceDN w:val="0"/>
              <w:adjustRightInd w:val="0"/>
              <w:spacing w:after="0" w:line="312" w:lineRule="auto"/>
              <w:ind w:left="12"/>
              <w:rPr>
                <w:rFonts w:eastAsia="MS Mincho" w:cs="Verdana"/>
                <w:b/>
                <w:bCs/>
                <w:color w:val="000000"/>
                <w:szCs w:val="20"/>
                <w:highlight w:val="yellow"/>
              </w:rPr>
            </w:pPr>
            <w:r w:rsidRPr="00E00B35">
              <w:rPr>
                <w:rFonts w:eastAsia="MS Mincho" w:cs="Verdana"/>
                <w:b/>
                <w:bCs/>
                <w:color w:val="000000"/>
                <w:szCs w:val="20"/>
              </w:rPr>
              <w:t>573 500</w:t>
            </w:r>
          </w:p>
        </w:tc>
      </w:tr>
    </w:tbl>
    <w:p w:rsidR="008C7751" w:rsidRPr="00E00B35" w:rsidRDefault="008C7751" w:rsidP="00E00B35">
      <w:pPr>
        <w:spacing w:after="0" w:line="312" w:lineRule="auto"/>
        <w:rPr>
          <w:color w:val="000000"/>
          <w:szCs w:val="20"/>
        </w:rPr>
      </w:pPr>
    </w:p>
    <w:p w:rsidR="008C7751" w:rsidRPr="00E00B35" w:rsidRDefault="008C7751" w:rsidP="00E00B35">
      <w:pPr>
        <w:spacing w:after="0" w:line="312" w:lineRule="auto"/>
        <w:rPr>
          <w:color w:val="000000"/>
          <w:szCs w:val="20"/>
          <w:lang w:val="pl-PL"/>
        </w:rPr>
      </w:pPr>
      <w:r w:rsidRPr="00E00B35">
        <w:rPr>
          <w:color w:val="000000"/>
          <w:szCs w:val="20"/>
          <w:lang w:val="pl-PL"/>
        </w:rPr>
        <w:t>W Programie wspierania uzdolnionych uczniów Promevere Talenta – Szkolny Nobel nagrodzono 15 stypendystów. Wysokość dofinansowania wyniosła 31 500 zł</w:t>
      </w:r>
    </w:p>
    <w:p w:rsidR="008C7751" w:rsidRPr="00E00B35" w:rsidRDefault="008C7751" w:rsidP="00E00B35">
      <w:pPr>
        <w:pStyle w:val="NormalnyWeb"/>
        <w:spacing w:before="0" w:beforeAutospacing="0" w:after="0" w:afterAutospacing="0" w:line="312" w:lineRule="auto"/>
        <w:rPr>
          <w:color w:val="000000"/>
          <w:szCs w:val="20"/>
          <w:lang w:val="pl-PL"/>
        </w:rPr>
      </w:pPr>
      <w:r w:rsidRPr="00E00B35">
        <w:rPr>
          <w:color w:val="000000"/>
          <w:szCs w:val="20"/>
          <w:lang w:val="pl-PL"/>
        </w:rPr>
        <w:t xml:space="preserve">Przyznano stypendium za wybitne osiągnięcia w międzynarodowych i ogólnopolskich konkursach lub olimpiadach w ramach „Wrocławskiego programu wspierania uzdolnionych – PROMOVERE TALENTA” dla ucznia Szkoły Podstawowej nr 28 za zajęcie I miejsca w Krajowym Finale Konkursu Naukowego E(x)plory 2020. Stypendium przyznano w wysokości 500 zł miesięcznie w okresie od grudnia 2020 r. do czerwca 2021 r. </w:t>
      </w:r>
    </w:p>
    <w:p w:rsidR="008C7751" w:rsidRPr="00E00B35" w:rsidRDefault="008C7751" w:rsidP="00E00B35">
      <w:pPr>
        <w:pStyle w:val="NormalnyWeb"/>
        <w:spacing w:before="0" w:beforeAutospacing="0" w:after="0" w:afterAutospacing="0" w:line="312" w:lineRule="auto"/>
        <w:rPr>
          <w:color w:val="000000"/>
          <w:szCs w:val="20"/>
          <w:lang w:val="pl-PL"/>
        </w:rPr>
      </w:pPr>
      <w:r w:rsidRPr="00E00B35">
        <w:rPr>
          <w:color w:val="000000"/>
          <w:szCs w:val="20"/>
          <w:lang w:val="pl-PL"/>
        </w:rPr>
        <w:t xml:space="preserve">Fundacja Zawsze Warto we współpracy z Centralną Komisją Egzaminacyjną </w:t>
      </w:r>
      <w:r w:rsidRPr="00E00B35">
        <w:rPr>
          <w:color w:val="000000"/>
          <w:szCs w:val="20"/>
          <w:lang w:val="pl-PL"/>
        </w:rPr>
        <w:br/>
        <w:t xml:space="preserve">jest organizatorem Ogólnopolskiego projektu </w:t>
      </w:r>
      <w:r w:rsidRPr="00E00B35">
        <w:rPr>
          <w:rStyle w:val="Pogrubienie"/>
          <w:color w:val="000000"/>
          <w:szCs w:val="20"/>
          <w:lang w:val="pl-PL"/>
        </w:rPr>
        <w:t xml:space="preserve">„MATURA NA 100 PROCENT”. </w:t>
      </w:r>
      <w:r w:rsidRPr="00E00B35">
        <w:rPr>
          <w:color w:val="000000"/>
          <w:szCs w:val="20"/>
          <w:lang w:val="pl-PL"/>
        </w:rPr>
        <w:t xml:space="preserve"> Kandydaci do tytułu laureata projektu „Matura na 100 procent” wyłaniani są spośród wszystkich absolwentów szkół ponadpodstawowych, którzy spełnili warunki wynikające </w:t>
      </w:r>
      <w:r w:rsidRPr="00E00B35">
        <w:rPr>
          <w:color w:val="000000"/>
          <w:szCs w:val="20"/>
          <w:lang w:val="pl-PL"/>
        </w:rPr>
        <w:br/>
        <w:t xml:space="preserve">z regulaminu ustalonego przez Kapitułę. </w:t>
      </w:r>
      <w:r w:rsidRPr="00E00B35">
        <w:rPr>
          <w:rFonts w:eastAsia="MS Mincho" w:cs="Verdana"/>
          <w:color w:val="000000"/>
          <w:szCs w:val="20"/>
          <w:lang w:val="pl-PL"/>
        </w:rPr>
        <w:t xml:space="preserve">Od 2016 r. Fundacja Zawsze Warto zwraca się do Prezydenta Wrocławia o przyznanie stypendiów dla abiturientów, którzy uzyskali 100% z egzaminu maturalnego. W ramach wrocławskiego programu wspierania uzdolnionych – PROMOVERE TALENTA przyznawane abiturientom stypendia wynoszą 1000 zł/ m-c, wypłacane przez 10 miesięcy w okresie październik-lipiec. W okresie </w:t>
      </w:r>
      <w:r w:rsidRPr="00E00B35">
        <w:rPr>
          <w:rFonts w:eastAsia="MS Mincho" w:cs="Verdana"/>
          <w:color w:val="000000"/>
          <w:szCs w:val="20"/>
          <w:lang w:val="pl-PL"/>
        </w:rPr>
        <w:br/>
        <w:t xml:space="preserve">od października do grudnia 2020 r. wypłacono stypendia dla </w:t>
      </w:r>
      <w:r w:rsidRPr="00E00B35">
        <w:rPr>
          <w:rFonts w:eastAsia="MS Mincho" w:cs="Verdana"/>
          <w:color w:val="000000"/>
          <w:szCs w:val="20"/>
          <w:lang w:val="pl-PL"/>
        </w:rPr>
        <w:br/>
        <w:t xml:space="preserve">1 laureata V edycji Ogólnopolskiego Projektu „Matura na 100 procent”. </w:t>
      </w:r>
    </w:p>
    <w:p w:rsidR="008C7751" w:rsidRPr="00E00B35" w:rsidRDefault="008C7751" w:rsidP="00E00B35">
      <w:pPr>
        <w:tabs>
          <w:tab w:val="left" w:pos="-1260"/>
        </w:tabs>
        <w:autoSpaceDE w:val="0"/>
        <w:autoSpaceDN w:val="0"/>
        <w:adjustRightInd w:val="0"/>
        <w:spacing w:after="0" w:line="312" w:lineRule="auto"/>
        <w:rPr>
          <w:color w:val="000000"/>
          <w:szCs w:val="20"/>
          <w:lang w:val="pl-PL"/>
        </w:rPr>
      </w:pPr>
    </w:p>
    <w:p w:rsidR="008C7751" w:rsidRPr="00E00B35" w:rsidRDefault="008C7751" w:rsidP="00E00B35">
      <w:pPr>
        <w:pStyle w:val="Nagwek4"/>
        <w:spacing w:before="0" w:after="0" w:line="312" w:lineRule="auto"/>
        <w:rPr>
          <w:sz w:val="20"/>
          <w:szCs w:val="20"/>
          <w:lang w:val="pl-PL"/>
        </w:rPr>
      </w:pPr>
      <w:bookmarkStart w:id="89" w:name="_Toc72411098"/>
      <w:r w:rsidRPr="00E00B35">
        <w:rPr>
          <w:sz w:val="20"/>
          <w:szCs w:val="20"/>
          <w:lang w:val="pl-PL"/>
        </w:rPr>
        <w:t>Projekty edukacyjne realizowane we współpracy z organizacjami pozarządowymi oraz innymi jednostkami</w:t>
      </w:r>
      <w:bookmarkEnd w:id="89"/>
    </w:p>
    <w:p w:rsidR="008C7751" w:rsidRPr="00E00B35" w:rsidRDefault="008C7751" w:rsidP="00E00B35">
      <w:pPr>
        <w:pStyle w:val="11TrescpismaZnak"/>
        <w:spacing w:after="0" w:line="312" w:lineRule="auto"/>
        <w:jc w:val="left"/>
        <w:rPr>
          <w:color w:val="000000"/>
          <w:lang w:val="pl-PL"/>
        </w:rPr>
      </w:pPr>
      <w:r w:rsidRPr="00E00B35">
        <w:rPr>
          <w:color w:val="000000"/>
          <w:lang w:val="pl-PL"/>
        </w:rPr>
        <w:t xml:space="preserve">W zakresie </w:t>
      </w:r>
      <w:r w:rsidRPr="00E00B35">
        <w:rPr>
          <w:bCs/>
          <w:color w:val="000000"/>
          <w:lang w:val="pl-PL"/>
        </w:rPr>
        <w:t>międzynarodowej wymiany młodzieży</w:t>
      </w:r>
      <w:r w:rsidRPr="00E00B35">
        <w:rPr>
          <w:color w:val="000000"/>
          <w:lang w:val="pl-PL"/>
        </w:rPr>
        <w:t xml:space="preserve"> współdziałano z organizacją międzynarodową </w:t>
      </w:r>
      <w:r w:rsidRPr="00E00B35">
        <w:rPr>
          <w:bCs/>
          <w:color w:val="000000"/>
          <w:lang w:val="pl-PL"/>
        </w:rPr>
        <w:t>„Polsko - Niemiecka Współpraca Młodzieży”.</w:t>
      </w:r>
      <w:r w:rsidRPr="00E00B35">
        <w:rPr>
          <w:b/>
          <w:bCs/>
          <w:color w:val="000000"/>
          <w:lang w:val="pl-PL"/>
        </w:rPr>
        <w:t xml:space="preserve"> </w:t>
      </w:r>
      <w:r w:rsidRPr="00E00B35">
        <w:rPr>
          <w:bCs/>
          <w:color w:val="000000"/>
          <w:lang w:val="pl-PL"/>
        </w:rPr>
        <w:t>Jednak z powodu panującej pandemii COVID-19 w wymianie Polsko – niemieckiej nie uczestniczyła żadna wrocławska placówka oświatowa.</w:t>
      </w:r>
    </w:p>
    <w:p w:rsidR="008C7751" w:rsidRPr="00E00B35" w:rsidRDefault="008C7751" w:rsidP="00E00B35">
      <w:pPr>
        <w:spacing w:after="0" w:line="312" w:lineRule="auto"/>
        <w:rPr>
          <w:color w:val="000000"/>
          <w:szCs w:val="20"/>
          <w:lang w:val="pl-PL"/>
        </w:rPr>
      </w:pPr>
      <w:bookmarkStart w:id="90" w:name="_Toc61013151"/>
      <w:bookmarkStart w:id="91" w:name="_Toc61013431"/>
      <w:r w:rsidRPr="00E00B35">
        <w:rPr>
          <w:color w:val="000000"/>
          <w:szCs w:val="20"/>
          <w:lang w:val="pl-PL"/>
        </w:rPr>
        <w:lastRenderedPageBreak/>
        <w:t>Kwotą 3 233 zł wsparto Zespół Szkolno-Przedszkolny nr 3 w zakresie wymiany polsko-ukraińskiej wraz z Fundacją Rozwoju Systemu Edukacji ramach projektu „Wrocław – Lwów: kierunki migracji”. Całość projektu to 32 322 zł.</w:t>
      </w:r>
    </w:p>
    <w:bookmarkEnd w:id="90"/>
    <w:bookmarkEnd w:id="91"/>
    <w:p w:rsidR="008C7751" w:rsidRPr="00E00B35" w:rsidRDefault="008C7751" w:rsidP="00E00B35">
      <w:pPr>
        <w:spacing w:after="0" w:line="312" w:lineRule="auto"/>
        <w:rPr>
          <w:color w:val="000000"/>
          <w:szCs w:val="20"/>
          <w:lang w:val="pl-PL"/>
        </w:rPr>
      </w:pPr>
      <w:r w:rsidRPr="00E00B35">
        <w:rPr>
          <w:color w:val="000000"/>
          <w:szCs w:val="20"/>
          <w:lang w:val="pl-PL"/>
        </w:rPr>
        <w:t>We współpracy z Towarzystwem Miłośników Wrocławia oraz Biurem Rady Miejskiej Wrocławia ogłosiło:</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 xml:space="preserve">XXV edycję Wielkiej Nagrody Wrocławia </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 xml:space="preserve">XVII edycję Przedszkolnej Nagrody Wrocławia </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XIII edycję Magnum Praemium Wratislaviae</w:t>
      </w:r>
      <w:r w:rsidR="000F2026" w:rsidRPr="00E00B35">
        <w:rPr>
          <w:rFonts w:eastAsia="MS Mincho" w:cs="Verdana"/>
          <w:color w:val="000000"/>
          <w:szCs w:val="20"/>
          <w:lang w:val="pl-PL"/>
        </w:rPr>
        <w:t>.</w:t>
      </w:r>
    </w:p>
    <w:p w:rsidR="000F2026" w:rsidRPr="00E00B35" w:rsidRDefault="000F2026" w:rsidP="00E00B35">
      <w:pPr>
        <w:pStyle w:val="Akapitzlist"/>
        <w:spacing w:after="0" w:line="312" w:lineRule="auto"/>
        <w:ind w:left="357"/>
        <w:rPr>
          <w:rFonts w:eastAsia="MS Mincho" w:cs="Verdana"/>
          <w:color w:val="000000"/>
          <w:szCs w:val="20"/>
          <w:lang w:val="pl-PL"/>
        </w:rPr>
      </w:pPr>
    </w:p>
    <w:p w:rsidR="008C7751" w:rsidRPr="00E00B35" w:rsidRDefault="008C7751" w:rsidP="00E00B35">
      <w:pPr>
        <w:tabs>
          <w:tab w:val="left" w:pos="180"/>
        </w:tabs>
        <w:spacing w:after="0" w:line="312" w:lineRule="auto"/>
        <w:rPr>
          <w:rFonts w:cs="Verdana"/>
          <w:color w:val="000000"/>
          <w:szCs w:val="20"/>
          <w:lang w:val="pl-PL"/>
        </w:rPr>
      </w:pPr>
      <w:r w:rsidRPr="00E00B35">
        <w:rPr>
          <w:rFonts w:cs="Verdana"/>
          <w:color w:val="000000"/>
          <w:szCs w:val="20"/>
          <w:lang w:val="pl-PL"/>
        </w:rPr>
        <w:t>Celem przedsięwzięcia było połączenie wszystkich konkursów poświęconych historii, tradycji, kulturze i problemom współczesnego Wrocławia w jeden wspólny cykl. Przeprowadzone konkursy miały na celu uaktywnienie dzieci i uczniów wszystkich poziomów edukacyjnych w zdobywaniu wiedzy o własnym mieście, podjęcie działań zmierzających do poznania środowiska przedszkola, szkoły, osiedla i miasta, tworzenie warunków do pobudzania tożsamości regionalnej i kształtowania świadomości małej ojczyzny.</w:t>
      </w:r>
      <w:r w:rsidRPr="00E00B35">
        <w:rPr>
          <w:rFonts w:cs="Verdana"/>
          <w:b/>
          <w:bCs/>
          <w:color w:val="000000"/>
          <w:szCs w:val="20"/>
          <w:lang w:val="pl-PL"/>
        </w:rPr>
        <w:t xml:space="preserve"> </w:t>
      </w:r>
      <w:r w:rsidRPr="00E00B35">
        <w:rPr>
          <w:rFonts w:cs="Verdana"/>
          <w:bCs/>
          <w:color w:val="000000"/>
          <w:szCs w:val="20"/>
          <w:lang w:val="pl-PL"/>
        </w:rPr>
        <w:t>Niestety ze względu na epidemię Covid 19 organizacja większości konkursów została zawieszona na pierwszym lub drugim etapie. W całości udało się zakończyć:</w:t>
      </w:r>
      <w:r w:rsidRPr="00E00B35">
        <w:rPr>
          <w:rFonts w:cs="Verdana"/>
          <w:b/>
          <w:bCs/>
          <w:color w:val="000000"/>
          <w:szCs w:val="20"/>
          <w:lang w:val="pl-PL"/>
        </w:rPr>
        <w:t xml:space="preserve"> </w:t>
      </w:r>
      <w:r w:rsidRPr="00E00B35">
        <w:rPr>
          <w:rFonts w:cs="Verdana"/>
          <w:color w:val="000000"/>
          <w:szCs w:val="20"/>
          <w:lang w:val="pl-PL"/>
        </w:rPr>
        <w:t xml:space="preserve">Rajd Szlakami Zabytków i Miejsc Upamiętnionych, Powiatowy Konkurs "Moja Mała Ojczyzna”, Powiatowy Rajd Śladami Pamięci Lwowa i Kresów Południowo-Wschodnich, Powiatowy Konkurs na Multimedialną Prezentację o Wrocławiu, Konkurs "W Bajkowym Okienku - Wrocław w Twórczości Literackiej Nauczycieli" oraz większość konkursów w ramach Magnum Praemium Wratislaviae tj: Powiatowy Konkurs Wiedzy o Historii Wrocławia "Wratislavia Aeterna", Powiatowy Konkurs "Wrocław na Fotografii", Powiatowy Konkurs Literacki, Powiatowy Konkurs na Reportaż o Wrocławiu, Powiatowy Konkurs o Wrocławiu w języku angielskim, Powiatowy Konkurs na reportaż o Wrocławiu. Tym samym w 2020 r. nie odbyło się zbiorcze podsumowanie konkursów i nie przyznano nagród finansowaych. </w:t>
      </w:r>
    </w:p>
    <w:p w:rsidR="00544448" w:rsidRPr="00E00B35" w:rsidRDefault="00544448" w:rsidP="00E00B35">
      <w:pPr>
        <w:tabs>
          <w:tab w:val="left" w:pos="180"/>
        </w:tabs>
        <w:spacing w:after="0" w:line="312" w:lineRule="auto"/>
        <w:rPr>
          <w:rFonts w:cs="Verdana"/>
          <w:b/>
          <w:bCs/>
          <w:color w:val="000000"/>
          <w:szCs w:val="20"/>
          <w:lang w:val="pl-PL"/>
        </w:rPr>
      </w:pPr>
    </w:p>
    <w:p w:rsidR="008C7751" w:rsidRPr="00E00B35" w:rsidRDefault="008C7751" w:rsidP="00E00B35">
      <w:pPr>
        <w:spacing w:after="0" w:line="312" w:lineRule="auto"/>
        <w:rPr>
          <w:rFonts w:cs="Verdana"/>
          <w:bCs/>
          <w:color w:val="000000"/>
          <w:szCs w:val="20"/>
          <w:lang w:val="pl-PL"/>
        </w:rPr>
      </w:pPr>
      <w:r w:rsidRPr="00E00B35">
        <w:rPr>
          <w:rFonts w:cs="Verdana"/>
          <w:bCs/>
          <w:color w:val="000000"/>
          <w:szCs w:val="20"/>
          <w:lang w:val="pl-PL"/>
        </w:rPr>
        <w:t>Tabela 12. Wykaz konkursów realizowanych w ramach Wielkiej Nagrody Wrocławia, Przedszkolnej Nagrody Wrocławia oraz Magnum Praemium Wratislaviae</w:t>
      </w:r>
    </w:p>
    <w:tbl>
      <w:tblPr>
        <w:tblW w:w="9180" w:type="dxa"/>
        <w:tblInd w:w="70" w:type="dxa"/>
        <w:tblLayout w:type="fixed"/>
        <w:tblCellMar>
          <w:left w:w="70" w:type="dxa"/>
          <w:right w:w="70" w:type="dxa"/>
        </w:tblCellMar>
        <w:tblLook w:val="0000"/>
      </w:tblPr>
      <w:tblGrid>
        <w:gridCol w:w="567"/>
        <w:gridCol w:w="1843"/>
        <w:gridCol w:w="2450"/>
        <w:gridCol w:w="900"/>
        <w:gridCol w:w="3420"/>
      </w:tblGrid>
      <w:tr w:rsidR="008C7751" w:rsidRPr="00E00B35" w:rsidTr="008C7751">
        <w:trPr>
          <w:trHeight w:val="84"/>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C7751" w:rsidRPr="00E00B35" w:rsidRDefault="008C7751" w:rsidP="00E00B35">
            <w:pPr>
              <w:spacing w:after="0" w:line="312" w:lineRule="auto"/>
              <w:rPr>
                <w:rFonts w:cs="Verdana"/>
                <w:b/>
                <w:bCs/>
                <w:szCs w:val="20"/>
              </w:rPr>
            </w:pPr>
            <w:r w:rsidRPr="00E00B35">
              <w:rPr>
                <w:rFonts w:cs="Verdana"/>
                <w:b/>
                <w:bCs/>
                <w:szCs w:val="20"/>
              </w:rPr>
              <w:t>Lp.</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C7751" w:rsidRPr="00E00B35" w:rsidRDefault="008C7751" w:rsidP="00E00B35">
            <w:pPr>
              <w:spacing w:after="0" w:line="312" w:lineRule="auto"/>
              <w:rPr>
                <w:rFonts w:cs="Verdana"/>
                <w:b/>
                <w:bCs/>
                <w:szCs w:val="20"/>
              </w:rPr>
            </w:pPr>
            <w:r w:rsidRPr="00E00B35">
              <w:rPr>
                <w:rFonts w:cs="Verdana"/>
                <w:b/>
                <w:bCs/>
                <w:szCs w:val="20"/>
              </w:rPr>
              <w:t>Przedsięwzięcie</w:t>
            </w:r>
          </w:p>
        </w:tc>
        <w:tc>
          <w:tcPr>
            <w:tcW w:w="2450" w:type="dxa"/>
            <w:tcBorders>
              <w:top w:val="single" w:sz="4" w:space="0" w:color="auto"/>
              <w:left w:val="nil"/>
              <w:bottom w:val="single" w:sz="4" w:space="0" w:color="auto"/>
              <w:right w:val="single" w:sz="4" w:space="0" w:color="auto"/>
            </w:tcBorders>
            <w:shd w:val="clear" w:color="auto" w:fill="auto"/>
            <w:vAlign w:val="center"/>
          </w:tcPr>
          <w:p w:rsidR="008C7751" w:rsidRPr="00E00B35" w:rsidRDefault="008C7751" w:rsidP="00E00B35">
            <w:pPr>
              <w:spacing w:after="0" w:line="312" w:lineRule="auto"/>
              <w:rPr>
                <w:rFonts w:cs="Verdana"/>
                <w:b/>
                <w:bCs/>
                <w:szCs w:val="20"/>
              </w:rPr>
            </w:pPr>
            <w:r w:rsidRPr="00E00B35">
              <w:rPr>
                <w:rFonts w:cs="Verdana"/>
                <w:b/>
                <w:bCs/>
                <w:szCs w:val="20"/>
              </w:rPr>
              <w:t>Nazwa Konkursu</w:t>
            </w:r>
          </w:p>
        </w:tc>
        <w:tc>
          <w:tcPr>
            <w:tcW w:w="900" w:type="dxa"/>
            <w:tcBorders>
              <w:top w:val="single" w:sz="4" w:space="0" w:color="auto"/>
              <w:left w:val="nil"/>
              <w:bottom w:val="single" w:sz="4" w:space="0" w:color="auto"/>
              <w:right w:val="single" w:sz="4" w:space="0" w:color="auto"/>
            </w:tcBorders>
            <w:shd w:val="clear" w:color="auto" w:fill="auto"/>
            <w:vAlign w:val="center"/>
          </w:tcPr>
          <w:p w:rsidR="008C7751" w:rsidRPr="00E00B35" w:rsidRDefault="008C7751" w:rsidP="00E00B35">
            <w:pPr>
              <w:spacing w:after="0" w:line="312" w:lineRule="auto"/>
              <w:rPr>
                <w:rFonts w:cs="Verdana"/>
                <w:b/>
                <w:bCs/>
                <w:szCs w:val="20"/>
              </w:rPr>
            </w:pPr>
            <w:r w:rsidRPr="00E00B35">
              <w:rPr>
                <w:rFonts w:cs="Verdana"/>
                <w:b/>
                <w:bCs/>
                <w:szCs w:val="20"/>
              </w:rPr>
              <w:t xml:space="preserve">Edycja </w:t>
            </w:r>
          </w:p>
        </w:tc>
        <w:tc>
          <w:tcPr>
            <w:tcW w:w="3420" w:type="dxa"/>
            <w:tcBorders>
              <w:top w:val="single" w:sz="4" w:space="0" w:color="auto"/>
              <w:left w:val="nil"/>
              <w:bottom w:val="single" w:sz="4" w:space="0" w:color="auto"/>
              <w:right w:val="single" w:sz="4" w:space="0" w:color="auto"/>
            </w:tcBorders>
            <w:shd w:val="clear" w:color="auto" w:fill="auto"/>
            <w:vAlign w:val="center"/>
          </w:tcPr>
          <w:p w:rsidR="008C7751" w:rsidRPr="00E00B35" w:rsidRDefault="008C7751" w:rsidP="00E00B35">
            <w:pPr>
              <w:spacing w:after="0" w:line="312" w:lineRule="auto"/>
              <w:rPr>
                <w:rFonts w:cs="Verdana"/>
                <w:b/>
                <w:bCs/>
                <w:szCs w:val="20"/>
              </w:rPr>
            </w:pPr>
            <w:r w:rsidRPr="00E00B35">
              <w:rPr>
                <w:rFonts w:cs="Verdana"/>
                <w:b/>
                <w:bCs/>
                <w:szCs w:val="20"/>
              </w:rPr>
              <w:t>Organizatorzy</w:t>
            </w:r>
          </w:p>
        </w:tc>
      </w:tr>
      <w:tr w:rsidR="008C7751" w:rsidRPr="00E00B35" w:rsidTr="008C7751">
        <w:trPr>
          <w:trHeight w:val="143"/>
        </w:trPr>
        <w:tc>
          <w:tcPr>
            <w:tcW w:w="567" w:type="dxa"/>
            <w:tcBorders>
              <w:top w:val="nil"/>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Wiedzy o Wrocławiu "Wrocław, moje miasto"</w:t>
            </w:r>
          </w:p>
        </w:tc>
        <w:tc>
          <w:tcPr>
            <w:tcW w:w="90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XXIX</w:t>
            </w:r>
          </w:p>
        </w:tc>
        <w:tc>
          <w:tcPr>
            <w:tcW w:w="342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Towarzystwo Miłośników Wrocławia</w:t>
            </w:r>
            <w:r w:rsidRPr="00E00B35">
              <w:rPr>
                <w:rFonts w:cs="Verdana"/>
                <w:color w:val="000000"/>
                <w:szCs w:val="20"/>
                <w:lang w:val="pl-PL"/>
              </w:rPr>
              <w:br/>
              <w:t>Szkoła Podstawowa nr 1</w:t>
            </w:r>
            <w:r w:rsidRPr="00E00B35">
              <w:rPr>
                <w:rFonts w:cs="Verdana"/>
                <w:color w:val="000000"/>
                <w:szCs w:val="20"/>
                <w:lang w:val="pl-PL"/>
              </w:rPr>
              <w:br/>
              <w:t>i Szkoła Podstawowa nr 44</w:t>
            </w:r>
          </w:p>
        </w:tc>
      </w:tr>
      <w:tr w:rsidR="008C7751" w:rsidRPr="00E00B35" w:rsidTr="008C7751">
        <w:trPr>
          <w:trHeight w:val="143"/>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Plastyczny "Wrocław, Moje Miasto"</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XIX</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Towarzystwo Miłośników Wrocławia</w:t>
            </w:r>
            <w:r w:rsidRPr="00E00B35">
              <w:rPr>
                <w:rFonts w:cs="Verdana"/>
                <w:color w:val="000000"/>
                <w:szCs w:val="20"/>
                <w:lang w:val="pl-PL"/>
              </w:rPr>
              <w:br/>
              <w:t>Miejska Biblioteka Publiczna - Filia 16</w:t>
            </w:r>
          </w:p>
        </w:tc>
      </w:tr>
      <w:tr w:rsidR="008C7751" w:rsidRPr="00E00B35" w:rsidTr="008C7751">
        <w:trPr>
          <w:trHeight w:val="729"/>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Powiatowy Konkurs Poetycki "Wrocław w Twórczości Poetyckiej </w:t>
            </w:r>
            <w:r w:rsidRPr="00E00B35">
              <w:rPr>
                <w:rFonts w:cs="Verdana"/>
                <w:color w:val="000000"/>
                <w:szCs w:val="20"/>
                <w:lang w:val="pl-PL"/>
              </w:rPr>
              <w:lastRenderedPageBreak/>
              <w:t>Młodzieży"</w:t>
            </w:r>
          </w:p>
        </w:tc>
        <w:tc>
          <w:tcPr>
            <w:tcW w:w="90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lastRenderedPageBreak/>
              <w:t>XXV</w:t>
            </w:r>
          </w:p>
        </w:tc>
        <w:tc>
          <w:tcPr>
            <w:tcW w:w="3420" w:type="dxa"/>
            <w:tcBorders>
              <w:top w:val="single" w:sz="4" w:space="0" w:color="auto"/>
              <w:left w:val="single" w:sz="4" w:space="0" w:color="auto"/>
              <w:bottom w:val="single" w:sz="4" w:space="0" w:color="auto"/>
              <w:right w:val="single" w:sz="4" w:space="0" w:color="auto"/>
            </w:tcBorders>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Towarzystwo Miłośników Wrocławia Miejska Biblioteka Publiczna Filia nr 23</w:t>
            </w:r>
          </w:p>
        </w:tc>
      </w:tr>
      <w:tr w:rsidR="008C7751" w:rsidRPr="00E00B35" w:rsidTr="008C7751">
        <w:trPr>
          <w:trHeight w:val="233"/>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Powiatowy Konkurs "Wrocławskie Krasnale"</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XV</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Szkoła Podstawowa nr 76</w:t>
            </w:r>
            <w:r w:rsidRPr="00E00B35">
              <w:rPr>
                <w:rFonts w:cs="Verdana"/>
                <w:color w:val="000000"/>
                <w:szCs w:val="20"/>
                <w:lang w:val="pl-PL"/>
              </w:rPr>
              <w:br/>
              <w:t>Towarzystwo Miłośników Wrocławia</w:t>
            </w:r>
          </w:p>
        </w:tc>
      </w:tr>
      <w:tr w:rsidR="008C7751" w:rsidRPr="00E00B35" w:rsidTr="008C7751">
        <w:trPr>
          <w:trHeight w:val="729"/>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Rajd Szlakami Zabytków i Miejsc Upamiętnionych</w:t>
            </w:r>
          </w:p>
        </w:tc>
        <w:tc>
          <w:tcPr>
            <w:tcW w:w="90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XXVI</w:t>
            </w:r>
          </w:p>
        </w:tc>
        <w:tc>
          <w:tcPr>
            <w:tcW w:w="342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Towarzystwo Miłośników Wrocławia</w:t>
            </w:r>
            <w:r w:rsidRPr="00E00B35">
              <w:rPr>
                <w:rFonts w:cs="Verdana"/>
                <w:color w:val="000000"/>
                <w:szCs w:val="20"/>
                <w:lang w:val="pl-PL"/>
              </w:rPr>
              <w:br/>
              <w:t>Koło Przewodników PTTK "Rzepiór"</w:t>
            </w:r>
          </w:p>
        </w:tc>
      </w:tr>
      <w:tr w:rsidR="008C7751" w:rsidRPr="00E00B35" w:rsidTr="008C7751">
        <w:trPr>
          <w:trHeight w:val="729"/>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Fotograficzny "Wrocław w Fotografii"</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XXV</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Towarzystwo Miłośników Wrocławia</w:t>
            </w:r>
            <w:r w:rsidRPr="00E00B35">
              <w:rPr>
                <w:rFonts w:cs="Verdana"/>
                <w:color w:val="000000"/>
                <w:szCs w:val="20"/>
                <w:lang w:val="pl-PL"/>
              </w:rPr>
              <w:br/>
              <w:t>Miejska Biblioteka Publiczna - Filia 23</w:t>
            </w:r>
          </w:p>
        </w:tc>
      </w:tr>
      <w:tr w:rsidR="008C7751" w:rsidRPr="00E00B35" w:rsidTr="008C7751">
        <w:trPr>
          <w:trHeight w:val="67"/>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"Moja Mała Ojczyzna"</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XXV</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Szkoła Podstawowa nr 97</w:t>
            </w:r>
            <w:r w:rsidRPr="00E00B35">
              <w:rPr>
                <w:rFonts w:cs="Verdana"/>
                <w:color w:val="000000"/>
                <w:szCs w:val="20"/>
                <w:lang w:val="pl-PL"/>
              </w:rPr>
              <w:br/>
              <w:t>Towarzystwo Miłośników Wrocławia</w:t>
            </w:r>
            <w:r w:rsidRPr="00E00B35">
              <w:rPr>
                <w:rFonts w:cs="Verdana"/>
                <w:color w:val="000000"/>
                <w:szCs w:val="20"/>
                <w:lang w:val="pl-PL"/>
              </w:rPr>
              <w:br/>
              <w:t>PTTK - Oddział Wrocław</w:t>
            </w:r>
          </w:p>
        </w:tc>
      </w:tr>
      <w:tr w:rsidR="008C7751" w:rsidRPr="00E00B35" w:rsidTr="008C7751">
        <w:trPr>
          <w:trHeight w:val="190"/>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Wielka Nagroda Wrocławia/ Magnum Praemium Wratislaviae</w:t>
            </w:r>
          </w:p>
        </w:tc>
        <w:tc>
          <w:tcPr>
            <w:tcW w:w="2450" w:type="dxa"/>
            <w:tcBorders>
              <w:top w:val="single" w:sz="4" w:space="0" w:color="auto"/>
              <w:left w:val="nil"/>
              <w:bottom w:val="single" w:sz="4" w:space="0" w:color="auto"/>
              <w:right w:val="single" w:sz="4" w:space="0" w:color="auto"/>
            </w:tcBorders>
          </w:tcPr>
          <w:p w:rsidR="008C7751" w:rsidRPr="00E00B35" w:rsidRDefault="008C7751" w:rsidP="00E00B35">
            <w:pPr>
              <w:spacing w:after="0" w:line="312" w:lineRule="auto"/>
              <w:rPr>
                <w:rFonts w:cs="Verdana"/>
                <w:color w:val="000000"/>
                <w:szCs w:val="20"/>
                <w:lang w:val="pl-PL"/>
              </w:rPr>
            </w:pP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Wiedzy o Lwowie i Kresach Południowo-Wschodnich</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XXV</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Towarzystwo Miłośników Lwowa i Kresów Południowo-Wschodnich - Oddział Wrocław</w:t>
            </w:r>
            <w:r w:rsidRPr="00E00B35">
              <w:rPr>
                <w:rFonts w:cs="Verdana"/>
                <w:color w:val="000000"/>
                <w:szCs w:val="20"/>
                <w:lang w:val="pl-PL"/>
              </w:rPr>
              <w:br/>
              <w:t xml:space="preserve">Zakład Narodowy im. </w:t>
            </w:r>
            <w:r w:rsidRPr="00E00B35">
              <w:rPr>
                <w:rFonts w:cs="Verdana"/>
                <w:color w:val="000000"/>
                <w:szCs w:val="20"/>
              </w:rPr>
              <w:t>Ossolińskich</w:t>
            </w:r>
            <w:r w:rsidRPr="00E00B35">
              <w:rPr>
                <w:rFonts w:cs="Verdana"/>
                <w:color w:val="000000"/>
                <w:szCs w:val="20"/>
              </w:rPr>
              <w:br/>
              <w:t>Fundacja "Semper Fidelis"</w:t>
            </w:r>
            <w:r w:rsidRPr="00E00B35">
              <w:rPr>
                <w:rFonts w:cs="Verdana"/>
                <w:color w:val="000000"/>
                <w:szCs w:val="20"/>
              </w:rPr>
              <w:br/>
              <w:t>Szkoła Podstawowa nr 91</w:t>
            </w:r>
          </w:p>
        </w:tc>
      </w:tr>
      <w:tr w:rsidR="008C7751" w:rsidRPr="00E00B35" w:rsidTr="008C7751">
        <w:trPr>
          <w:trHeight w:val="451"/>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Recytatorski "Wrocławska Młodzież Recytuje Wrocławskich Poetów"</w:t>
            </w:r>
          </w:p>
        </w:tc>
        <w:tc>
          <w:tcPr>
            <w:tcW w:w="90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i/>
                <w:iCs/>
                <w:color w:val="000000"/>
                <w:szCs w:val="20"/>
              </w:rPr>
            </w:pPr>
            <w:r w:rsidRPr="00E00B35">
              <w:rPr>
                <w:rFonts w:cs="Verdana"/>
                <w:color w:val="000000"/>
                <w:szCs w:val="20"/>
              </w:rPr>
              <w:t>XIX</w:t>
            </w:r>
          </w:p>
        </w:tc>
        <w:tc>
          <w:tcPr>
            <w:tcW w:w="3420" w:type="dxa"/>
            <w:tcBorders>
              <w:top w:val="single" w:sz="4" w:space="0" w:color="auto"/>
              <w:left w:val="single" w:sz="4" w:space="0" w:color="auto"/>
              <w:bottom w:val="single" w:sz="4" w:space="0" w:color="auto"/>
              <w:right w:val="single" w:sz="4" w:space="0" w:color="auto"/>
            </w:tcBorders>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Towarzystwo Miłośników Wrocławia</w:t>
            </w:r>
            <w:r w:rsidRPr="00E00B35">
              <w:rPr>
                <w:rFonts w:cs="Verdana"/>
                <w:color w:val="000000"/>
                <w:szCs w:val="20"/>
                <w:lang w:val="pl-PL"/>
              </w:rPr>
              <w:br/>
              <w:t>Miejska Biblioteka Publiczna - Filia 23</w:t>
            </w:r>
          </w:p>
        </w:tc>
      </w:tr>
      <w:tr w:rsidR="008C7751" w:rsidRPr="00E00B35" w:rsidTr="008C7751">
        <w:trPr>
          <w:trHeight w:val="67"/>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Ogólnopolski Konkurs Krasomówczy</w:t>
            </w:r>
          </w:p>
        </w:tc>
        <w:tc>
          <w:tcPr>
            <w:tcW w:w="90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XXV</w:t>
            </w:r>
          </w:p>
        </w:tc>
        <w:tc>
          <w:tcPr>
            <w:tcW w:w="342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Szkoła Podstawowa nr 51</w:t>
            </w:r>
            <w:r w:rsidRPr="00E00B35">
              <w:rPr>
                <w:rFonts w:cs="Verdana"/>
                <w:color w:val="000000"/>
                <w:szCs w:val="20"/>
              </w:rPr>
              <w:br/>
              <w:t>WCDN</w:t>
            </w:r>
          </w:p>
        </w:tc>
      </w:tr>
      <w:tr w:rsidR="008C7751" w:rsidRPr="00E00B35" w:rsidTr="008C7751">
        <w:trPr>
          <w:trHeight w:val="804"/>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Powiatowy Konkurs "Wratislavia Sacra"</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Szkoła Podstawowa nr 37</w:t>
            </w:r>
            <w:r w:rsidRPr="00E00B35">
              <w:rPr>
                <w:rFonts w:cs="Verdana"/>
                <w:color w:val="000000"/>
                <w:szCs w:val="20"/>
                <w:lang w:val="pl-PL"/>
              </w:rPr>
              <w:br/>
              <w:t>Towarzystwo Miłośników Wrocławia</w:t>
            </w:r>
            <w:r w:rsidRPr="00E00B35">
              <w:rPr>
                <w:rFonts w:cs="Verdana"/>
                <w:color w:val="000000"/>
                <w:szCs w:val="20"/>
                <w:lang w:val="pl-PL"/>
              </w:rPr>
              <w:br/>
              <w:t>Koło Przewodników PTTK "Rzepiór</w:t>
            </w:r>
            <w:r w:rsidRPr="00E00B35">
              <w:rPr>
                <w:rFonts w:cs="Verdana"/>
                <w:color w:val="000000"/>
                <w:szCs w:val="20"/>
                <w:lang w:val="pl-PL"/>
              </w:rPr>
              <w:br/>
            </w:r>
          </w:p>
        </w:tc>
      </w:tr>
      <w:tr w:rsidR="008C7751" w:rsidRPr="00E00B35" w:rsidTr="008C7751">
        <w:trPr>
          <w:trHeight w:val="729"/>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Rajd "Wrocławskie Spacery Krajoznawcze"</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XXVI</w:t>
            </w:r>
          </w:p>
        </w:tc>
        <w:tc>
          <w:tcPr>
            <w:tcW w:w="3420" w:type="dxa"/>
            <w:tcBorders>
              <w:top w:val="single" w:sz="4" w:space="0" w:color="auto"/>
              <w:left w:val="nil"/>
              <w:bottom w:val="single" w:sz="4" w:space="0" w:color="auto"/>
              <w:right w:val="single" w:sz="4" w:space="0" w:color="auto"/>
            </w:tcBorders>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Młodzieżowy Dom Kultury "Wrocław - Śródmieście"</w:t>
            </w:r>
          </w:p>
        </w:tc>
      </w:tr>
      <w:tr w:rsidR="008C7751" w:rsidRPr="00E00B35" w:rsidTr="008C7751">
        <w:trPr>
          <w:trHeight w:val="1393"/>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 xml:space="preserve">Wielka Nagroda Wrocławia </w:t>
            </w:r>
          </w:p>
        </w:tc>
        <w:tc>
          <w:tcPr>
            <w:tcW w:w="245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Rajd Śladami Pamięci Lwowa i Kresów Południowo-Wschodnich</w:t>
            </w:r>
          </w:p>
        </w:tc>
        <w:tc>
          <w:tcPr>
            <w:tcW w:w="90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XXVI</w:t>
            </w:r>
          </w:p>
        </w:tc>
        <w:tc>
          <w:tcPr>
            <w:tcW w:w="342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Towarzystwa Miłośników Lwowa i Kresów Południowo-Wschodnich - Oddział Wrocławski</w:t>
            </w:r>
            <w:r w:rsidRPr="00E00B35">
              <w:rPr>
                <w:rFonts w:cs="Verdana"/>
                <w:color w:val="000000"/>
                <w:szCs w:val="20"/>
                <w:lang w:val="pl-PL"/>
              </w:rPr>
              <w:br/>
              <w:t>Fundacja Kresowa "Semper Fidelis"</w:t>
            </w:r>
            <w:r w:rsidRPr="00E00B35">
              <w:rPr>
                <w:rFonts w:cs="Verdana"/>
                <w:color w:val="000000"/>
                <w:szCs w:val="20"/>
                <w:lang w:val="pl-PL"/>
              </w:rPr>
              <w:br/>
              <w:t xml:space="preserve">Zakład Narodowy im. </w:t>
            </w:r>
            <w:r w:rsidRPr="00E00B35">
              <w:rPr>
                <w:rFonts w:cs="Verdana"/>
                <w:color w:val="000000"/>
                <w:szCs w:val="20"/>
              </w:rPr>
              <w:t>Ossolińskich</w:t>
            </w:r>
          </w:p>
        </w:tc>
      </w:tr>
      <w:tr w:rsidR="008C7751" w:rsidRPr="00E00B35" w:rsidTr="008C7751">
        <w:trPr>
          <w:trHeight w:val="729"/>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na Multimedialną Prezentację o Wrocławiu</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XV</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Towarzystwo Miłośników Wrocławia MOS nr 2 </w:t>
            </w:r>
          </w:p>
        </w:tc>
      </w:tr>
      <w:tr w:rsidR="008C7751" w:rsidRPr="00E00B35" w:rsidTr="008C7751">
        <w:trPr>
          <w:trHeight w:val="430"/>
        </w:trPr>
        <w:tc>
          <w:tcPr>
            <w:tcW w:w="567" w:type="dxa"/>
            <w:tcBorders>
              <w:top w:val="nil"/>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Wiedzy o Sporcie „Wrocławski sport wczoraj i dziś”</w:t>
            </w:r>
          </w:p>
        </w:tc>
        <w:tc>
          <w:tcPr>
            <w:tcW w:w="90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VI</w:t>
            </w:r>
          </w:p>
        </w:tc>
        <w:tc>
          <w:tcPr>
            <w:tcW w:w="342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Towarzystwo Miłośników Wrocławia, Wrocławski Szkolny Związek Sportowy, Wrocławskie Centrum Doskonalenia Nauczycieli</w:t>
            </w:r>
          </w:p>
        </w:tc>
      </w:tr>
      <w:tr w:rsidR="008C7751" w:rsidRPr="00E00B35" w:rsidTr="008C7751">
        <w:trPr>
          <w:trHeight w:val="67"/>
        </w:trPr>
        <w:tc>
          <w:tcPr>
            <w:tcW w:w="567" w:type="dxa"/>
            <w:tcBorders>
              <w:top w:val="nil"/>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Interpretacji Wokalnej „My Wrocławianie Sami Swoi...”</w:t>
            </w:r>
          </w:p>
        </w:tc>
        <w:tc>
          <w:tcPr>
            <w:tcW w:w="90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 xml:space="preserve">VI </w:t>
            </w:r>
          </w:p>
        </w:tc>
        <w:tc>
          <w:tcPr>
            <w:tcW w:w="342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Młodzieżowy Dom Kultury „Wrocław – Krzyki”</w:t>
            </w:r>
          </w:p>
        </w:tc>
      </w:tr>
      <w:tr w:rsidR="008C7751" w:rsidRPr="00E00B35" w:rsidTr="008C7751">
        <w:trPr>
          <w:trHeight w:val="748"/>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Kurs „Szkolny Przewodnik Wrocławia”</w:t>
            </w:r>
          </w:p>
        </w:tc>
        <w:tc>
          <w:tcPr>
            <w:tcW w:w="90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VI</w:t>
            </w:r>
          </w:p>
        </w:tc>
        <w:tc>
          <w:tcPr>
            <w:tcW w:w="342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Zespół Szkół nr 20, Towarzystwo Miłośników Wrocławia</w:t>
            </w:r>
          </w:p>
        </w:tc>
      </w:tr>
      <w:tr w:rsidR="008C7751" w:rsidRPr="00E00B35" w:rsidTr="008C7751">
        <w:trPr>
          <w:trHeight w:val="729"/>
        </w:trPr>
        <w:tc>
          <w:tcPr>
            <w:tcW w:w="567" w:type="dxa"/>
            <w:tcBorders>
              <w:top w:val="nil"/>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Wrocławski Konkurs "Szkoła Promująca Turystykę"</w:t>
            </w:r>
          </w:p>
        </w:tc>
        <w:tc>
          <w:tcPr>
            <w:tcW w:w="90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w:t>
            </w:r>
          </w:p>
        </w:tc>
        <w:tc>
          <w:tcPr>
            <w:tcW w:w="342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Zespół "Centrum Edukacji Kulturalnej Dzieci i Młodzieży"</w:t>
            </w:r>
          </w:p>
        </w:tc>
      </w:tr>
      <w:tr w:rsidR="008C7751" w:rsidRPr="00E00B35" w:rsidTr="008C7751">
        <w:trPr>
          <w:trHeight w:val="524"/>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Wielka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II Powiatowy Konkurs „Kocham Cię, Wrocław”</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III</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Szkoła Podstawowa nr 8</w:t>
            </w:r>
          </w:p>
        </w:tc>
      </w:tr>
      <w:tr w:rsidR="008C7751" w:rsidRPr="00E00B35" w:rsidTr="008C7751">
        <w:trPr>
          <w:trHeight w:val="524"/>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Przedszkolna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Konkurs Teatralny "W teatrzyku Jasia i Małgosi"</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XVII</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Przedszkole nr 104</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Wrocławskie Centrum Doskonalenia Nauczycieli</w:t>
            </w:r>
          </w:p>
        </w:tc>
      </w:tr>
      <w:tr w:rsidR="008C7751" w:rsidRPr="00E00B35" w:rsidTr="008C7751">
        <w:trPr>
          <w:trHeight w:val="729"/>
        </w:trPr>
        <w:tc>
          <w:tcPr>
            <w:tcW w:w="567" w:type="dxa"/>
            <w:tcBorders>
              <w:top w:val="nil"/>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Przedszkolna Nagroda Wrocławia</w:t>
            </w:r>
          </w:p>
        </w:tc>
        <w:tc>
          <w:tcPr>
            <w:tcW w:w="245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Rajd "Smoka Strachoty"</w:t>
            </w:r>
          </w:p>
        </w:tc>
        <w:tc>
          <w:tcPr>
            <w:tcW w:w="90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XVII</w:t>
            </w:r>
          </w:p>
        </w:tc>
        <w:tc>
          <w:tcPr>
            <w:tcW w:w="342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Przedszkole nr 2</w:t>
            </w:r>
            <w:r w:rsidRPr="00E00B35">
              <w:rPr>
                <w:rFonts w:cs="Verdana"/>
                <w:color w:val="000000"/>
                <w:szCs w:val="20"/>
                <w:lang w:val="pl-PL"/>
              </w:rPr>
              <w:br/>
              <w:t>Ekologiczne Przedszkole Niepubliczne</w:t>
            </w:r>
            <w:r w:rsidRPr="00E00B35">
              <w:rPr>
                <w:rFonts w:cs="Verdana"/>
                <w:color w:val="000000"/>
                <w:szCs w:val="20"/>
                <w:lang w:val="pl-PL"/>
              </w:rPr>
              <w:br/>
              <w:t>Fundacja "Strachota"</w:t>
            </w:r>
          </w:p>
        </w:tc>
      </w:tr>
      <w:tr w:rsidR="008C7751" w:rsidRPr="00E00B35" w:rsidTr="008C7751">
        <w:trPr>
          <w:trHeight w:val="729"/>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Przedszkolna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Konkurs "Wrocławski Ekoludek"</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XVII</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Przedszkole nr 62</w:t>
            </w:r>
          </w:p>
        </w:tc>
      </w:tr>
      <w:tr w:rsidR="008C7751" w:rsidRPr="00E00B35" w:rsidTr="008C7751">
        <w:trPr>
          <w:trHeight w:val="604"/>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Przedszkolna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Konkurs "Spacerkiem po Wrocławiu - Dawniej i Dziś"</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XVII</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Przedszkole nr 63</w:t>
            </w:r>
            <w:r w:rsidRPr="00E00B35">
              <w:rPr>
                <w:rFonts w:cs="Verdana"/>
                <w:color w:val="000000"/>
                <w:szCs w:val="20"/>
              </w:rPr>
              <w:br/>
            </w:r>
          </w:p>
        </w:tc>
      </w:tr>
      <w:tr w:rsidR="008C7751" w:rsidRPr="00E00B35" w:rsidTr="008C7751">
        <w:trPr>
          <w:trHeight w:val="729"/>
        </w:trPr>
        <w:tc>
          <w:tcPr>
            <w:tcW w:w="567" w:type="dxa"/>
            <w:tcBorders>
              <w:top w:val="nil"/>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Przedszkolna Nagroda Wrocławia</w:t>
            </w:r>
          </w:p>
        </w:tc>
        <w:tc>
          <w:tcPr>
            <w:tcW w:w="245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Konkurs "Rymowanki Wrocławskie"</w:t>
            </w:r>
          </w:p>
        </w:tc>
        <w:tc>
          <w:tcPr>
            <w:tcW w:w="90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 xml:space="preserve"> XVII</w:t>
            </w:r>
          </w:p>
        </w:tc>
        <w:tc>
          <w:tcPr>
            <w:tcW w:w="342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Przedszkole nr 121</w:t>
            </w:r>
          </w:p>
        </w:tc>
      </w:tr>
      <w:tr w:rsidR="008C7751" w:rsidRPr="00E00B35" w:rsidTr="008C7751">
        <w:trPr>
          <w:trHeight w:val="870"/>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Przedszkolna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Wrocławski Konkurs "Tańczące Przedszkolaki"</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XVIII</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Przedszkole nr 18 "Wiolinek"</w:t>
            </w:r>
          </w:p>
        </w:tc>
      </w:tr>
      <w:tr w:rsidR="008C7751" w:rsidRPr="00E00B35" w:rsidTr="008C7751">
        <w:trPr>
          <w:trHeight w:val="327"/>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Przedszkolna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Wrocławski Konkurs "Przedszkole Promujące Turystykę"</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Zespół "Centrum Edukacji Kulturalnej Dzieci i Młodzieży"</w:t>
            </w:r>
          </w:p>
        </w:tc>
      </w:tr>
      <w:tr w:rsidR="008C7751" w:rsidRPr="00E00B35" w:rsidTr="008C7751">
        <w:trPr>
          <w:trHeight w:val="277"/>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Przedszkolna Nagroda Wrocławia</w:t>
            </w:r>
          </w:p>
        </w:tc>
        <w:tc>
          <w:tcPr>
            <w:tcW w:w="245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Konkurs Poezji i Malarstwa "Wrocław w Twórczości Dziecięcej"</w:t>
            </w:r>
          </w:p>
        </w:tc>
        <w:tc>
          <w:tcPr>
            <w:tcW w:w="90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XVII</w:t>
            </w:r>
          </w:p>
        </w:tc>
        <w:tc>
          <w:tcPr>
            <w:tcW w:w="3420"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Przedszkole nr 149</w:t>
            </w:r>
          </w:p>
        </w:tc>
      </w:tr>
      <w:tr w:rsidR="008C7751" w:rsidRPr="00E00B35" w:rsidTr="008C7751">
        <w:trPr>
          <w:trHeight w:val="845"/>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Przedszkolna Nagroda Wrocławia</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Konkurs "Wrocław w Twórczości Literackiej Nauczycieli"</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XIV</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Przedszkole nr 77</w:t>
            </w: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Miesięcznik "Bliżej Przedszkola"</w:t>
            </w:r>
          </w:p>
        </w:tc>
      </w:tr>
      <w:tr w:rsidR="008C7751" w:rsidRPr="00E00B35" w:rsidTr="008C7751">
        <w:trPr>
          <w:trHeight w:val="179"/>
        </w:trPr>
        <w:tc>
          <w:tcPr>
            <w:tcW w:w="567" w:type="dxa"/>
            <w:tcBorders>
              <w:top w:val="nil"/>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Przedszkolna Nagroda Wrocławia</w:t>
            </w:r>
          </w:p>
        </w:tc>
        <w:tc>
          <w:tcPr>
            <w:tcW w:w="245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Konkurs plastyczny „Ulubione zabytki Wrocławia”</w:t>
            </w:r>
          </w:p>
        </w:tc>
        <w:tc>
          <w:tcPr>
            <w:tcW w:w="90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VI</w:t>
            </w:r>
          </w:p>
        </w:tc>
        <w:tc>
          <w:tcPr>
            <w:tcW w:w="342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Przedszkole nr 106</w:t>
            </w:r>
          </w:p>
        </w:tc>
      </w:tr>
      <w:tr w:rsidR="008C7751" w:rsidRPr="00E00B35" w:rsidTr="008C7751">
        <w:trPr>
          <w:trHeight w:val="179"/>
        </w:trPr>
        <w:tc>
          <w:tcPr>
            <w:tcW w:w="567" w:type="dxa"/>
            <w:tcBorders>
              <w:top w:val="nil"/>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Magnum Praemium Wratislaviae</w:t>
            </w:r>
          </w:p>
        </w:tc>
        <w:tc>
          <w:tcPr>
            <w:tcW w:w="245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Wiedzy o Historii Wrocławia "Wratislavia Aeterna"</w:t>
            </w:r>
          </w:p>
        </w:tc>
        <w:tc>
          <w:tcPr>
            <w:tcW w:w="90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XIII</w:t>
            </w:r>
          </w:p>
        </w:tc>
        <w:tc>
          <w:tcPr>
            <w:tcW w:w="342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Zespół Szkół Logistycznych</w:t>
            </w:r>
          </w:p>
        </w:tc>
      </w:tr>
      <w:tr w:rsidR="008C7751" w:rsidRPr="00E00B35" w:rsidTr="008C7751">
        <w:trPr>
          <w:trHeight w:val="729"/>
        </w:trPr>
        <w:tc>
          <w:tcPr>
            <w:tcW w:w="567" w:type="dxa"/>
            <w:tcBorders>
              <w:top w:val="nil"/>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Magnum Praemium Wratislaviae</w:t>
            </w:r>
          </w:p>
        </w:tc>
        <w:tc>
          <w:tcPr>
            <w:tcW w:w="245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"Wrocław na Fotografii"</w:t>
            </w:r>
          </w:p>
        </w:tc>
        <w:tc>
          <w:tcPr>
            <w:tcW w:w="90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XII</w:t>
            </w:r>
          </w:p>
        </w:tc>
        <w:tc>
          <w:tcPr>
            <w:tcW w:w="342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Zespół Szkół Logistycznych</w:t>
            </w:r>
          </w:p>
        </w:tc>
      </w:tr>
      <w:tr w:rsidR="008C7751" w:rsidRPr="00E00B35" w:rsidTr="008C7751">
        <w:trPr>
          <w:trHeight w:val="729"/>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Magnum Praemium Wratislaviae</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 xml:space="preserve">Powiatowy Konkurs Literacki </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 xml:space="preserve"> XIII</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Liceum Ogólnokształcące nr X</w:t>
            </w:r>
            <w:r w:rsidRPr="00E00B35">
              <w:rPr>
                <w:rFonts w:cs="Verdana"/>
                <w:color w:val="000000"/>
                <w:szCs w:val="20"/>
                <w:lang w:val="pl-PL"/>
              </w:rPr>
              <w:br/>
              <w:t>Muzeum Narodowe we Wrocławiu</w:t>
            </w:r>
          </w:p>
        </w:tc>
      </w:tr>
      <w:tr w:rsidR="008C7751" w:rsidRPr="00E00B35" w:rsidTr="008C7751">
        <w:trPr>
          <w:trHeight w:val="729"/>
        </w:trPr>
        <w:tc>
          <w:tcPr>
            <w:tcW w:w="567" w:type="dxa"/>
            <w:tcBorders>
              <w:top w:val="nil"/>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nil"/>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Magnum Praemium Wratislaviae</w:t>
            </w:r>
          </w:p>
        </w:tc>
        <w:tc>
          <w:tcPr>
            <w:tcW w:w="245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Powiatowy Konkurs na Reportaż o Wrocławiu</w:t>
            </w:r>
          </w:p>
        </w:tc>
        <w:tc>
          <w:tcPr>
            <w:tcW w:w="90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XII</w:t>
            </w:r>
          </w:p>
        </w:tc>
        <w:tc>
          <w:tcPr>
            <w:tcW w:w="3420" w:type="dxa"/>
            <w:tcBorders>
              <w:top w:val="nil"/>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Zespół Szkół Logistycznych</w:t>
            </w:r>
          </w:p>
        </w:tc>
      </w:tr>
      <w:tr w:rsidR="008C7751" w:rsidRPr="00E00B35" w:rsidTr="008C7751">
        <w:trPr>
          <w:trHeight w:val="729"/>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Magnum Praemium Wratislaviae</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Powiatowy Konkurs o Wrocławiu w języku angielskim </w:t>
            </w:r>
            <w:r w:rsidRPr="00E00B35">
              <w:rPr>
                <w:rFonts w:cs="Verdana"/>
                <w:strike/>
                <w:color w:val="000000"/>
                <w:szCs w:val="20"/>
                <w:lang w:val="pl-PL"/>
              </w:rPr>
              <w:t xml:space="preserve"> </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VIII</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Zespół Szkół Logistycznych</w:t>
            </w:r>
          </w:p>
        </w:tc>
      </w:tr>
      <w:tr w:rsidR="008C7751" w:rsidRPr="00E00B35" w:rsidTr="008C7751">
        <w:trPr>
          <w:trHeight w:val="729"/>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Magnum Praemium Wratislaviae</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Powiatowy Konkurs na reportaż o Wrocławiu </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XI</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Zespół Szkół nr 23 (ZSL)</w:t>
            </w:r>
          </w:p>
        </w:tc>
      </w:tr>
      <w:tr w:rsidR="008C7751" w:rsidRPr="00E00B35" w:rsidTr="008C7751">
        <w:trPr>
          <w:trHeight w:val="538"/>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Magnum Praemium Wratislaviae</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Konkurs wiedzy o Lwowie i Kresach Południowo-Wschodnich </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XXV</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Towarzystwo Miłośników Lwowa i Kresów Południowo-Wschodnich, Zakład Narodowy Ossolińskich</w:t>
            </w:r>
          </w:p>
        </w:tc>
      </w:tr>
      <w:tr w:rsidR="008C7751" w:rsidRPr="00E00B35" w:rsidTr="008C7751">
        <w:trPr>
          <w:trHeight w:val="729"/>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Magnum Praemium Wratislaviae</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Powiatowy Konkurs wiedzy o Lwowie i Kresach Południowo-Wschodnich </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lang w:val="pl-PL"/>
              </w:rPr>
              <w:t xml:space="preserve"> </w:t>
            </w:r>
            <w:r w:rsidRPr="00E00B35">
              <w:rPr>
                <w:rFonts w:cs="Verdana"/>
                <w:color w:val="000000"/>
                <w:szCs w:val="20"/>
              </w:rPr>
              <w:t>XXVI</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Oddział Wrocławski Towarzystwa Miłośników Lwowa i Kresów Południowo-Wschodnich, Zakład Narodowy Ossolińskich, Fundacja „Semper Fidelis” </w:t>
            </w:r>
          </w:p>
        </w:tc>
      </w:tr>
      <w:tr w:rsidR="008C7751" w:rsidRPr="00E00B35" w:rsidTr="008C7751">
        <w:trPr>
          <w:trHeight w:val="729"/>
        </w:trPr>
        <w:tc>
          <w:tcPr>
            <w:tcW w:w="567"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numPr>
                <w:ilvl w:val="0"/>
                <w:numId w:val="2"/>
              </w:numPr>
              <w:spacing w:after="0" w:line="312" w:lineRule="auto"/>
              <w:rPr>
                <w:rFonts w:cs="Verdana"/>
                <w:color w:val="000000"/>
                <w:szCs w:val="20"/>
                <w:lang w:val="pl-PL"/>
              </w:rPr>
            </w:pPr>
          </w:p>
        </w:tc>
        <w:tc>
          <w:tcPr>
            <w:tcW w:w="1843" w:type="dxa"/>
            <w:tcBorders>
              <w:top w:val="single" w:sz="4" w:space="0" w:color="auto"/>
              <w:left w:val="single" w:sz="4" w:space="0" w:color="auto"/>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Magnum Praemium Wratislaviae</w:t>
            </w:r>
          </w:p>
        </w:tc>
        <w:tc>
          <w:tcPr>
            <w:tcW w:w="245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 xml:space="preserve">Konkurs „Szkoła promująca turystykę” </w:t>
            </w:r>
          </w:p>
        </w:tc>
        <w:tc>
          <w:tcPr>
            <w:tcW w:w="90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rPr>
            </w:pPr>
            <w:r w:rsidRPr="00E00B35">
              <w:rPr>
                <w:rFonts w:cs="Verdana"/>
                <w:color w:val="000000"/>
                <w:szCs w:val="20"/>
              </w:rPr>
              <w:t>XX</w:t>
            </w:r>
          </w:p>
        </w:tc>
        <w:tc>
          <w:tcPr>
            <w:tcW w:w="3420" w:type="dxa"/>
            <w:tcBorders>
              <w:top w:val="single" w:sz="4" w:space="0" w:color="auto"/>
              <w:left w:val="nil"/>
              <w:bottom w:val="single" w:sz="4" w:space="0" w:color="auto"/>
              <w:right w:val="single" w:sz="4" w:space="0" w:color="auto"/>
            </w:tcBorders>
            <w:vAlign w:val="center"/>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Zespół "Centrum Edukacji Kulturalnej Dzieci i Młodzieży"</w:t>
            </w:r>
          </w:p>
        </w:tc>
      </w:tr>
    </w:tbl>
    <w:p w:rsidR="008C7751" w:rsidRPr="00E00B35" w:rsidRDefault="008C7751" w:rsidP="00E00B35">
      <w:pPr>
        <w:spacing w:after="0" w:line="312" w:lineRule="auto"/>
        <w:rPr>
          <w:bCs/>
          <w:color w:val="000000"/>
          <w:szCs w:val="20"/>
          <w:lang w:val="pl-PL"/>
        </w:rPr>
      </w:pPr>
    </w:p>
    <w:p w:rsidR="008C7751" w:rsidRPr="00E00B35" w:rsidRDefault="008C7751" w:rsidP="00E00B35">
      <w:pPr>
        <w:tabs>
          <w:tab w:val="left" w:pos="0"/>
        </w:tabs>
        <w:spacing w:after="0" w:line="312" w:lineRule="auto"/>
        <w:rPr>
          <w:rFonts w:cs="Verdana"/>
          <w:color w:val="000000"/>
          <w:szCs w:val="20"/>
          <w:lang w:val="pl-PL"/>
        </w:rPr>
      </w:pPr>
      <w:r w:rsidRPr="00E00B35">
        <w:rPr>
          <w:rFonts w:cs="Verdana"/>
          <w:color w:val="000000"/>
          <w:szCs w:val="20"/>
          <w:lang w:val="pl-PL"/>
        </w:rPr>
        <w:t xml:space="preserve">We współpracy ze </w:t>
      </w:r>
      <w:r w:rsidRPr="00E00B35">
        <w:rPr>
          <w:rFonts w:cs="Verdana"/>
          <w:bCs/>
          <w:color w:val="000000"/>
          <w:szCs w:val="20"/>
          <w:lang w:val="pl-PL"/>
        </w:rPr>
        <w:t>Stowarzyszeniem Sędziów Polskich "IUSTITIA"</w:t>
      </w:r>
      <w:r w:rsidRPr="00E00B35">
        <w:rPr>
          <w:rFonts w:cs="Verdana"/>
          <w:b/>
          <w:bCs/>
          <w:color w:val="000000"/>
          <w:szCs w:val="20"/>
          <w:lang w:val="pl-PL"/>
        </w:rPr>
        <w:t xml:space="preserve"> </w:t>
      </w:r>
      <w:r w:rsidRPr="00E00B35">
        <w:rPr>
          <w:rFonts w:cs="Verdana"/>
          <w:color w:val="000000"/>
          <w:szCs w:val="20"/>
          <w:lang w:val="pl-PL"/>
        </w:rPr>
        <w:t xml:space="preserve">Oddział we Wrocławiu </w:t>
      </w:r>
      <w:r w:rsidRPr="00E00B35">
        <w:rPr>
          <w:color w:val="000000"/>
          <w:szCs w:val="20"/>
          <w:lang w:val="pl-PL"/>
        </w:rPr>
        <w:t>realizowano</w:t>
      </w:r>
      <w:r w:rsidRPr="00E00B35">
        <w:rPr>
          <w:snapToGrid w:val="0"/>
          <w:color w:val="000000"/>
          <w:szCs w:val="20"/>
          <w:lang w:val="pl-PL"/>
        </w:rPr>
        <w:t xml:space="preserve"> w roku szkolnym 2019/2020 VI edycję projektu „Edukacja prawna młodzieży we Wrocławiu”. Scenariusze szkoleń zostały przygotowane na podstawie podręcznika prawnego „Apteczka prawna – Lex bez łez”.</w:t>
      </w:r>
      <w:r w:rsidRPr="00E00B35">
        <w:rPr>
          <w:b/>
          <w:snapToGrid w:val="0"/>
          <w:color w:val="000000"/>
          <w:szCs w:val="20"/>
          <w:lang w:val="pl-PL"/>
        </w:rPr>
        <w:t xml:space="preserve"> </w:t>
      </w:r>
      <w:r w:rsidRPr="00E00B35">
        <w:rPr>
          <w:snapToGrid w:val="0"/>
          <w:color w:val="000000"/>
          <w:szCs w:val="20"/>
          <w:lang w:val="pl-PL"/>
        </w:rPr>
        <w:t>Program zajęć obejmował podstawową wiedzę o pozycji ustrojowej sędziów i sądów, a także o prawie cywilnym, prawie karnym, prawie rodzinnym oraz zagadnieniach prawnych związanych z internetem. Podstawowy cykl składał się z 4 lekcji. Dodatkowo w liceach ogólnokształcących odbywały się lekcje z prawa podatkowego. W każdej ze szkół lekcje odbyły się w cyklu 1 godzina tygodniowo, w co najmniej 3 klasach. W</w:t>
      </w:r>
      <w:r w:rsidRPr="00E00B35">
        <w:rPr>
          <w:b/>
          <w:snapToGrid w:val="0"/>
          <w:color w:val="000000"/>
          <w:szCs w:val="20"/>
          <w:lang w:val="pl-PL"/>
        </w:rPr>
        <w:t xml:space="preserve"> </w:t>
      </w:r>
      <w:r w:rsidRPr="00E00B35">
        <w:rPr>
          <w:snapToGrid w:val="0"/>
          <w:color w:val="000000"/>
          <w:szCs w:val="20"/>
          <w:lang w:val="pl-PL"/>
        </w:rPr>
        <w:t>programie uczestniczyli uczniowie i nauczyciele 10 szkół ponadpodstawowych (Liceum Ogólnokształcące nr I, VI, VIII, Lotnicze Zakłady Naukowe, Zespół Szkół nr 3, 6, 18, Zespół Szkół Ekonomiczno-Ogólnokształcących, Zespół Szkół Gastronomicznych oraz Zespół Szkół Logistycznych).</w:t>
      </w:r>
    </w:p>
    <w:p w:rsidR="008C7751" w:rsidRPr="00E00B35" w:rsidRDefault="008C7751" w:rsidP="00E00B35">
      <w:pPr>
        <w:spacing w:after="0" w:line="312" w:lineRule="auto"/>
        <w:rPr>
          <w:rFonts w:cs="Verdana"/>
          <w:color w:val="000000"/>
          <w:szCs w:val="20"/>
          <w:lang w:val="pl-PL"/>
        </w:rPr>
      </w:pPr>
      <w:r w:rsidRPr="00E00B35">
        <w:rPr>
          <w:rFonts w:cs="Verdana"/>
          <w:bCs/>
          <w:color w:val="000000"/>
          <w:szCs w:val="20"/>
          <w:lang w:val="pl-PL"/>
        </w:rPr>
        <w:t>W trybie art.19 a ustawy z dnia 23.04.2003 r. o działalności pożytku publicznego i o wolontariacie</w:t>
      </w:r>
      <w:r w:rsidRPr="00E00B35">
        <w:rPr>
          <w:rFonts w:cs="Verdana"/>
          <w:color w:val="000000"/>
          <w:szCs w:val="20"/>
          <w:lang w:val="pl-PL"/>
        </w:rPr>
        <w:t xml:space="preserve"> przekazano dofinansowanie: </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w kwocie 6 750 zł na realizację projektu edukacyjnego realizowanego przez Stowarzyszenie Akademii Samorządów Uczniowskich pn. Wspieranie i rozwój samorządności uczniowskiej we Wrocławiu (warsztat Akademii Samorządów Uczniowskich),</w:t>
      </w:r>
    </w:p>
    <w:p w:rsidR="008C7751" w:rsidRPr="00E00B35" w:rsidRDefault="008C7751" w:rsidP="00E00B35">
      <w:pPr>
        <w:pStyle w:val="Akapitzlist"/>
        <w:numPr>
          <w:ilvl w:val="0"/>
          <w:numId w:val="9"/>
        </w:numPr>
        <w:spacing w:after="0" w:line="312" w:lineRule="auto"/>
        <w:ind w:left="357" w:hanging="357"/>
        <w:rPr>
          <w:rFonts w:eastAsia="MS Mincho" w:cs="Verdana"/>
          <w:color w:val="000000"/>
          <w:szCs w:val="20"/>
          <w:lang w:val="pl-PL"/>
        </w:rPr>
      </w:pPr>
      <w:r w:rsidRPr="00E00B35">
        <w:rPr>
          <w:rFonts w:eastAsia="MS Mincho" w:cs="Verdana"/>
          <w:color w:val="000000"/>
          <w:szCs w:val="20"/>
          <w:lang w:val="pl-PL"/>
        </w:rPr>
        <w:t>w kwocie 6 000 zł na realizację projektu edukacyjnego realizowanego przez organizację pozarządową Fundację Pax et Bonum „Wędrówki szlakiem wartości”.</w:t>
      </w:r>
    </w:p>
    <w:p w:rsidR="000F2026" w:rsidRPr="00E00B35" w:rsidRDefault="000F2026" w:rsidP="00E00B35">
      <w:pPr>
        <w:pStyle w:val="Nagwek3"/>
        <w:spacing w:after="0" w:line="312" w:lineRule="auto"/>
        <w:rPr>
          <w:sz w:val="20"/>
          <w:lang w:val="pl-PL"/>
        </w:rPr>
      </w:pPr>
    </w:p>
    <w:p w:rsidR="008C7751" w:rsidRPr="00E00B35" w:rsidRDefault="008C7751" w:rsidP="00E00B35">
      <w:pPr>
        <w:pStyle w:val="Nagwek4"/>
        <w:spacing w:before="0" w:after="0" w:line="312" w:lineRule="auto"/>
        <w:rPr>
          <w:sz w:val="20"/>
          <w:szCs w:val="20"/>
          <w:lang w:val="pl-PL"/>
        </w:rPr>
      </w:pPr>
      <w:bookmarkStart w:id="92" w:name="_Toc72411099"/>
      <w:r w:rsidRPr="00E00B35">
        <w:rPr>
          <w:sz w:val="20"/>
          <w:szCs w:val="20"/>
          <w:lang w:val="pl-PL"/>
        </w:rPr>
        <w:t>Budowanie społeczeństwa obywatelskiego</w:t>
      </w:r>
      <w:bookmarkEnd w:id="92"/>
    </w:p>
    <w:p w:rsidR="008C7751" w:rsidRPr="00E00B35" w:rsidRDefault="008C7751" w:rsidP="00E00B35">
      <w:pPr>
        <w:spacing w:after="0" w:line="312" w:lineRule="auto"/>
        <w:rPr>
          <w:rFonts w:cs="Verdana"/>
          <w:bCs/>
          <w:color w:val="000000"/>
          <w:szCs w:val="20"/>
          <w:lang w:val="pl-PL"/>
        </w:rPr>
      </w:pPr>
      <w:bookmarkStart w:id="93" w:name="_Toc61013152"/>
      <w:bookmarkStart w:id="94" w:name="_Toc61013432"/>
      <w:r w:rsidRPr="00E00B35">
        <w:rPr>
          <w:bCs/>
          <w:color w:val="000000"/>
          <w:szCs w:val="20"/>
          <w:lang w:val="pl-PL"/>
        </w:rPr>
        <w:t>Kontynuowano „Miasto Pokoleń” -</w:t>
      </w:r>
      <w:r w:rsidRPr="00E00B35">
        <w:rPr>
          <w:b/>
          <w:bCs/>
          <w:color w:val="000000"/>
          <w:szCs w:val="20"/>
          <w:lang w:val="pl-PL"/>
        </w:rPr>
        <w:t xml:space="preserve"> </w:t>
      </w:r>
      <w:r w:rsidRPr="00E00B35">
        <w:rPr>
          <w:bCs/>
          <w:color w:val="000000"/>
          <w:szCs w:val="20"/>
          <w:lang w:val="pl-PL"/>
        </w:rPr>
        <w:t>program edukacji społecznej na temat osób starszych i procesu starzenia się</w:t>
      </w:r>
      <w:r w:rsidRPr="00E00B35">
        <w:rPr>
          <w:b/>
          <w:bCs/>
          <w:color w:val="000000"/>
          <w:szCs w:val="20"/>
          <w:lang w:val="pl-PL"/>
        </w:rPr>
        <w:t>.</w:t>
      </w:r>
      <w:r w:rsidRPr="00E00B35">
        <w:rPr>
          <w:rFonts w:cs="Verdana"/>
          <w:bCs/>
          <w:color w:val="000000"/>
          <w:szCs w:val="20"/>
          <w:lang w:val="pl-PL"/>
        </w:rPr>
        <w:t xml:space="preserve"> Organizatorzy: </w:t>
      </w:r>
      <w:r w:rsidRPr="00E00B35">
        <w:rPr>
          <w:bCs/>
          <w:color w:val="000000"/>
          <w:szCs w:val="20"/>
          <w:lang w:val="pl-PL"/>
        </w:rPr>
        <w:t>Wrocławskie Centrum Rozwoju Społecznego i Wrocławskie Centrum Seniora,</w:t>
      </w:r>
      <w:r w:rsidRPr="00E00B35">
        <w:rPr>
          <w:rFonts w:cs="Verdana"/>
          <w:bCs/>
          <w:color w:val="000000"/>
          <w:szCs w:val="20"/>
          <w:lang w:val="pl-PL"/>
        </w:rPr>
        <w:t xml:space="preserve"> we współpracy z Deprtamentem Edukacji</w:t>
      </w:r>
      <w:r w:rsidRPr="00E00B35">
        <w:rPr>
          <w:bCs/>
          <w:color w:val="000000"/>
          <w:szCs w:val="20"/>
          <w:lang w:val="pl-PL"/>
        </w:rPr>
        <w:t>.</w:t>
      </w:r>
      <w:r w:rsidRPr="00E00B35">
        <w:rPr>
          <w:color w:val="000000"/>
          <w:szCs w:val="20"/>
          <w:lang w:val="pl-PL"/>
        </w:rPr>
        <w:t xml:space="preserve"> W programie uczestniczyło 30 wrocławskich placówek oświatowych z wszystkich etapów edukacyjnych. Główne cele programu to</w:t>
      </w:r>
      <w:r w:rsidRPr="00E00B35">
        <w:rPr>
          <w:rFonts w:cs="Verdana"/>
          <w:bCs/>
          <w:color w:val="000000"/>
          <w:szCs w:val="20"/>
          <w:lang w:val="pl-PL"/>
        </w:rPr>
        <w:t xml:space="preserve">: </w:t>
      </w:r>
      <w:r w:rsidRPr="00E00B35">
        <w:rPr>
          <w:color w:val="000000"/>
          <w:szCs w:val="20"/>
          <w:lang w:val="pl-PL"/>
        </w:rPr>
        <w:t xml:space="preserve">przeciwdziałanie przyjmowaniu przez dzieci i młodzież </w:t>
      </w:r>
      <w:r w:rsidRPr="00E00B35">
        <w:rPr>
          <w:color w:val="000000"/>
          <w:szCs w:val="20"/>
          <w:lang w:val="pl-PL"/>
        </w:rPr>
        <w:lastRenderedPageBreak/>
        <w:t xml:space="preserve">negatywnych stereotypów dotyczących starości, rozwijanie pojmowania starości, jako naturalnej fazy rozwoju człowieka, etapu równoprawnego z innymi, </w:t>
      </w:r>
      <w:r w:rsidRPr="00E00B35">
        <w:rPr>
          <w:bCs/>
          <w:color w:val="000000"/>
          <w:szCs w:val="20"/>
          <w:lang w:val="pl-PL"/>
        </w:rPr>
        <w:t xml:space="preserve">wskazywanie korzyści płynących z uczestnictwa osób starszych w życiu społecznym, </w:t>
      </w:r>
      <w:r w:rsidRPr="00E00B35">
        <w:rPr>
          <w:color w:val="000000"/>
          <w:szCs w:val="20"/>
          <w:lang w:val="pl-PL"/>
        </w:rPr>
        <w:t>zmiana postaw dzieci i młodzieży w stosunku do osób starszych (z postawy dystansu, obojętności czy niechęci – do postawy zrozumienia, życzliwości, szacunku) - zwiększenie wrażliwości na potrzeby osób starszych, rozwijanie kompetencji kulturowych (otwartość, szacunek, tolerancja). Uruchomiono środki w wysokości 12 775 zł. Z uwagi na zdalne nauczanie od marca 2020 projekt nie był realizowany, zwrócono środki o łącznej wartości 5 691 zł.</w:t>
      </w:r>
    </w:p>
    <w:bookmarkEnd w:id="93"/>
    <w:bookmarkEnd w:id="94"/>
    <w:p w:rsidR="008C7751" w:rsidRPr="00E00B35" w:rsidRDefault="008C7751" w:rsidP="00E00B35">
      <w:pPr>
        <w:spacing w:after="0" w:line="312" w:lineRule="auto"/>
        <w:rPr>
          <w:color w:val="000000"/>
          <w:szCs w:val="20"/>
          <w:lang w:val="pl-PL"/>
        </w:rPr>
      </w:pPr>
      <w:r w:rsidRPr="00E00B35">
        <w:rPr>
          <w:color w:val="000000"/>
          <w:szCs w:val="20"/>
          <w:lang w:val="pl-PL"/>
        </w:rPr>
        <w:t>Przeprowadzono kolejną edycję Konkursu na najlepszy samorząd uczniowski szkół ponadpodstawowych Wrocławia. Zadanie to było realizowane przez Młodzieżową Radę Miasta Wrocławia przy wsparciu Zespołu Centrum Edukacji Kulturalnej Dzieci i Młodzieży. Wyróżniono projekty ze szkół w 2 kategoriach – całokształt działalności i najlepsza inicjatywa. Łącznie wysokość nagród wyniosła 21 000 zł.</w:t>
      </w:r>
    </w:p>
    <w:p w:rsidR="00544448" w:rsidRPr="00E00B35" w:rsidRDefault="00544448" w:rsidP="00E00B35">
      <w:pPr>
        <w:spacing w:after="0" w:line="312" w:lineRule="auto"/>
        <w:rPr>
          <w:color w:val="000000"/>
          <w:szCs w:val="20"/>
          <w:lang w:val="pl-PL"/>
        </w:rPr>
      </w:pPr>
    </w:p>
    <w:p w:rsidR="008C7751" w:rsidRPr="00E00B35" w:rsidRDefault="008C7751" w:rsidP="00E00B35">
      <w:pPr>
        <w:spacing w:after="0" w:line="312" w:lineRule="auto"/>
        <w:rPr>
          <w:rFonts w:cs="Verdana"/>
          <w:bCs/>
          <w:color w:val="000000"/>
          <w:szCs w:val="20"/>
          <w:highlight w:val="yellow"/>
          <w:lang w:val="pl-PL"/>
        </w:rPr>
      </w:pPr>
      <w:r w:rsidRPr="00E00B35">
        <w:rPr>
          <w:rFonts w:cs="Verdana"/>
          <w:bCs/>
          <w:color w:val="000000"/>
          <w:szCs w:val="20"/>
          <w:lang w:val="pl-PL"/>
        </w:rPr>
        <w:t xml:space="preserve">Tabela 13. Nagrody w konkursie na najlepszy samorząd uczniowski szkół ponadpodstawowych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8"/>
        <w:gridCol w:w="5103"/>
        <w:gridCol w:w="2581"/>
      </w:tblGrid>
      <w:tr w:rsidR="008C7751" w:rsidRPr="00E00B35" w:rsidTr="008C7751">
        <w:tc>
          <w:tcPr>
            <w:tcW w:w="1418" w:type="dxa"/>
            <w:shd w:val="clear" w:color="auto" w:fill="auto"/>
          </w:tcPr>
          <w:p w:rsidR="008C7751" w:rsidRPr="00E00B35" w:rsidRDefault="008C7751" w:rsidP="00E00B35">
            <w:pPr>
              <w:pStyle w:val="Akapitzlist"/>
              <w:spacing w:after="0" w:line="312" w:lineRule="auto"/>
              <w:ind w:left="0"/>
              <w:rPr>
                <w:b/>
                <w:color w:val="000000"/>
                <w:szCs w:val="20"/>
              </w:rPr>
            </w:pPr>
            <w:r w:rsidRPr="00E00B35">
              <w:rPr>
                <w:b/>
                <w:color w:val="000000"/>
                <w:szCs w:val="20"/>
              </w:rPr>
              <w:t>Kategoria</w:t>
            </w:r>
          </w:p>
        </w:tc>
        <w:tc>
          <w:tcPr>
            <w:tcW w:w="5103" w:type="dxa"/>
            <w:shd w:val="clear" w:color="auto" w:fill="auto"/>
          </w:tcPr>
          <w:p w:rsidR="008C7751" w:rsidRPr="00E00B35" w:rsidRDefault="008C7751" w:rsidP="00E00B35">
            <w:pPr>
              <w:pStyle w:val="Akapitzlist"/>
              <w:spacing w:after="0" w:line="312" w:lineRule="auto"/>
              <w:ind w:left="0"/>
              <w:rPr>
                <w:b/>
                <w:color w:val="000000"/>
                <w:szCs w:val="20"/>
              </w:rPr>
            </w:pPr>
            <w:r w:rsidRPr="00E00B35">
              <w:rPr>
                <w:b/>
                <w:color w:val="000000"/>
                <w:szCs w:val="20"/>
              </w:rPr>
              <w:t>Laureaci</w:t>
            </w:r>
          </w:p>
        </w:tc>
        <w:tc>
          <w:tcPr>
            <w:tcW w:w="2581" w:type="dxa"/>
            <w:shd w:val="clear" w:color="auto" w:fill="auto"/>
          </w:tcPr>
          <w:p w:rsidR="008C7751" w:rsidRPr="00E00B35" w:rsidRDefault="008C7751" w:rsidP="00E00B35">
            <w:pPr>
              <w:pStyle w:val="Akapitzlist"/>
              <w:spacing w:after="0" w:line="312" w:lineRule="auto"/>
              <w:ind w:left="0"/>
              <w:rPr>
                <w:b/>
                <w:color w:val="000000"/>
                <w:szCs w:val="20"/>
              </w:rPr>
            </w:pPr>
            <w:r w:rsidRPr="00E00B35">
              <w:rPr>
                <w:b/>
                <w:color w:val="000000"/>
                <w:szCs w:val="20"/>
              </w:rPr>
              <w:t>Wysokość nagrody (zł)</w:t>
            </w:r>
          </w:p>
        </w:tc>
      </w:tr>
      <w:tr w:rsidR="008C7751" w:rsidRPr="00E00B35" w:rsidTr="008C7751">
        <w:tc>
          <w:tcPr>
            <w:tcW w:w="1418" w:type="dxa"/>
            <w:shd w:val="clear" w:color="auto" w:fill="auto"/>
          </w:tcPr>
          <w:p w:rsidR="008C7751" w:rsidRPr="00E00B35" w:rsidRDefault="008C7751" w:rsidP="00E00B35">
            <w:pPr>
              <w:pStyle w:val="Akapitzlist"/>
              <w:spacing w:after="0" w:line="312" w:lineRule="auto"/>
              <w:ind w:left="0"/>
              <w:rPr>
                <w:color w:val="000000"/>
                <w:szCs w:val="20"/>
              </w:rPr>
            </w:pPr>
            <w:r w:rsidRPr="00E00B35">
              <w:rPr>
                <w:color w:val="000000"/>
                <w:szCs w:val="20"/>
              </w:rPr>
              <w:t>Całokształt działalności</w:t>
            </w:r>
          </w:p>
        </w:tc>
        <w:tc>
          <w:tcPr>
            <w:tcW w:w="5103" w:type="dxa"/>
            <w:shd w:val="clear" w:color="auto" w:fill="auto"/>
          </w:tcPr>
          <w:p w:rsidR="008C7751" w:rsidRPr="00E00B35" w:rsidRDefault="008C7751" w:rsidP="00E00B35">
            <w:pPr>
              <w:pStyle w:val="Akapitzlist"/>
              <w:spacing w:after="0" w:line="312" w:lineRule="auto"/>
              <w:ind w:left="0"/>
              <w:rPr>
                <w:color w:val="000000"/>
                <w:szCs w:val="20"/>
                <w:lang w:val="pl-PL"/>
              </w:rPr>
            </w:pPr>
            <w:r w:rsidRPr="00E00B35">
              <w:rPr>
                <w:color w:val="000000"/>
                <w:szCs w:val="20"/>
                <w:lang w:val="pl-PL"/>
              </w:rPr>
              <w:t>Liceum Ogólnokształcące nr XII – I miejsce</w:t>
            </w:r>
          </w:p>
          <w:p w:rsidR="008C7751" w:rsidRPr="00E00B35" w:rsidRDefault="008C7751" w:rsidP="00E00B35">
            <w:pPr>
              <w:pStyle w:val="Akapitzlist"/>
              <w:spacing w:after="0" w:line="312" w:lineRule="auto"/>
              <w:ind w:left="0"/>
              <w:rPr>
                <w:color w:val="000000"/>
                <w:szCs w:val="20"/>
                <w:lang w:val="pl-PL"/>
              </w:rPr>
            </w:pPr>
            <w:r w:rsidRPr="00E00B35">
              <w:rPr>
                <w:color w:val="000000"/>
                <w:szCs w:val="20"/>
                <w:lang w:val="pl-PL"/>
              </w:rPr>
              <w:t>Liceum Ogólnokształcące nr XIV – II miejsce</w:t>
            </w:r>
          </w:p>
          <w:p w:rsidR="008C7751" w:rsidRPr="00E00B35" w:rsidRDefault="008C7751" w:rsidP="00E00B35">
            <w:pPr>
              <w:pStyle w:val="Akapitzlist"/>
              <w:spacing w:after="0" w:line="312" w:lineRule="auto"/>
              <w:ind w:left="0"/>
              <w:rPr>
                <w:color w:val="000000"/>
                <w:szCs w:val="20"/>
                <w:lang w:val="pl-PL"/>
              </w:rPr>
            </w:pPr>
            <w:r w:rsidRPr="00E00B35">
              <w:rPr>
                <w:color w:val="000000"/>
                <w:szCs w:val="20"/>
                <w:lang w:val="pl-PL"/>
              </w:rPr>
              <w:t>Liceum Ogólnokształcące nr IV i Technikum nr 16 w Zespole Szkół nr 3</w:t>
            </w:r>
          </w:p>
        </w:tc>
        <w:tc>
          <w:tcPr>
            <w:tcW w:w="2581" w:type="dxa"/>
            <w:shd w:val="clear" w:color="auto" w:fill="auto"/>
          </w:tcPr>
          <w:p w:rsidR="008C7751" w:rsidRPr="00E00B35" w:rsidRDefault="008C7751" w:rsidP="00E00B35">
            <w:pPr>
              <w:pStyle w:val="Akapitzlist"/>
              <w:spacing w:after="0" w:line="312" w:lineRule="auto"/>
              <w:ind w:left="0"/>
              <w:rPr>
                <w:color w:val="000000"/>
                <w:szCs w:val="20"/>
              </w:rPr>
            </w:pPr>
            <w:r w:rsidRPr="00E00B35">
              <w:rPr>
                <w:color w:val="000000"/>
                <w:szCs w:val="20"/>
              </w:rPr>
              <w:t>5 000</w:t>
            </w:r>
          </w:p>
          <w:p w:rsidR="008C7751" w:rsidRPr="00E00B35" w:rsidRDefault="008C7751" w:rsidP="00E00B35">
            <w:pPr>
              <w:pStyle w:val="Akapitzlist"/>
              <w:spacing w:after="0" w:line="312" w:lineRule="auto"/>
              <w:ind w:left="0"/>
              <w:rPr>
                <w:color w:val="000000"/>
                <w:szCs w:val="20"/>
              </w:rPr>
            </w:pPr>
            <w:r w:rsidRPr="00E00B35">
              <w:rPr>
                <w:color w:val="000000"/>
                <w:szCs w:val="20"/>
              </w:rPr>
              <w:t>4 000</w:t>
            </w:r>
          </w:p>
          <w:p w:rsidR="008C7751" w:rsidRPr="00E00B35" w:rsidRDefault="008C7751" w:rsidP="00E00B35">
            <w:pPr>
              <w:pStyle w:val="Akapitzlist"/>
              <w:spacing w:after="0" w:line="312" w:lineRule="auto"/>
              <w:ind w:left="0"/>
              <w:rPr>
                <w:color w:val="000000"/>
                <w:szCs w:val="20"/>
              </w:rPr>
            </w:pPr>
            <w:r w:rsidRPr="00E00B35">
              <w:rPr>
                <w:color w:val="000000"/>
                <w:szCs w:val="20"/>
              </w:rPr>
              <w:t>2 000 i 2 000</w:t>
            </w:r>
          </w:p>
        </w:tc>
      </w:tr>
      <w:tr w:rsidR="008C7751" w:rsidRPr="00E00B35" w:rsidTr="008C7751">
        <w:tc>
          <w:tcPr>
            <w:tcW w:w="1418" w:type="dxa"/>
            <w:shd w:val="clear" w:color="auto" w:fill="auto"/>
          </w:tcPr>
          <w:p w:rsidR="008C7751" w:rsidRPr="00E00B35" w:rsidRDefault="008C7751" w:rsidP="00E00B35">
            <w:pPr>
              <w:pStyle w:val="Akapitzlist"/>
              <w:spacing w:after="0" w:line="312" w:lineRule="auto"/>
              <w:ind w:left="0"/>
              <w:rPr>
                <w:color w:val="000000"/>
                <w:szCs w:val="20"/>
              </w:rPr>
            </w:pPr>
            <w:r w:rsidRPr="00E00B35">
              <w:rPr>
                <w:color w:val="000000"/>
                <w:szCs w:val="20"/>
              </w:rPr>
              <w:t>Najlepsza inicjatywa kulturalna</w:t>
            </w:r>
          </w:p>
        </w:tc>
        <w:tc>
          <w:tcPr>
            <w:tcW w:w="5103" w:type="dxa"/>
            <w:shd w:val="clear" w:color="auto" w:fill="auto"/>
          </w:tcPr>
          <w:p w:rsidR="008C7751" w:rsidRPr="00E00B35" w:rsidRDefault="008C7751" w:rsidP="00E00B35">
            <w:pPr>
              <w:pStyle w:val="Akapitzlist"/>
              <w:spacing w:after="0" w:line="312" w:lineRule="auto"/>
              <w:ind w:left="0"/>
              <w:rPr>
                <w:color w:val="000000"/>
                <w:szCs w:val="20"/>
              </w:rPr>
            </w:pPr>
            <w:r w:rsidRPr="00E00B35">
              <w:rPr>
                <w:color w:val="000000"/>
                <w:szCs w:val="20"/>
              </w:rPr>
              <w:t>Liceum Ogólnokształcące nr III</w:t>
            </w:r>
          </w:p>
        </w:tc>
        <w:tc>
          <w:tcPr>
            <w:tcW w:w="2581" w:type="dxa"/>
            <w:shd w:val="clear" w:color="auto" w:fill="auto"/>
          </w:tcPr>
          <w:p w:rsidR="008C7751" w:rsidRPr="00E00B35" w:rsidRDefault="008C7751" w:rsidP="00E00B35">
            <w:pPr>
              <w:pStyle w:val="Akapitzlist"/>
              <w:spacing w:after="0" w:line="312" w:lineRule="auto"/>
              <w:ind w:left="0"/>
              <w:rPr>
                <w:color w:val="000000"/>
                <w:szCs w:val="20"/>
              </w:rPr>
            </w:pPr>
            <w:r w:rsidRPr="00E00B35">
              <w:rPr>
                <w:color w:val="000000"/>
                <w:szCs w:val="20"/>
              </w:rPr>
              <w:t>2 000</w:t>
            </w:r>
          </w:p>
        </w:tc>
      </w:tr>
      <w:tr w:rsidR="008C7751" w:rsidRPr="00E00B35" w:rsidTr="008C7751">
        <w:tc>
          <w:tcPr>
            <w:tcW w:w="1418" w:type="dxa"/>
            <w:shd w:val="clear" w:color="auto" w:fill="auto"/>
          </w:tcPr>
          <w:p w:rsidR="008C7751" w:rsidRPr="00E00B35" w:rsidRDefault="008C7751" w:rsidP="00E00B35">
            <w:pPr>
              <w:pStyle w:val="Akapitzlist"/>
              <w:spacing w:after="0" w:line="312" w:lineRule="auto"/>
              <w:ind w:left="0"/>
              <w:rPr>
                <w:color w:val="000000"/>
                <w:szCs w:val="20"/>
              </w:rPr>
            </w:pPr>
            <w:r w:rsidRPr="00E00B35">
              <w:rPr>
                <w:color w:val="000000"/>
                <w:szCs w:val="20"/>
              </w:rPr>
              <w:t>Najlepsza inicjatywa społeczno-kulturalna</w:t>
            </w:r>
          </w:p>
        </w:tc>
        <w:tc>
          <w:tcPr>
            <w:tcW w:w="5103" w:type="dxa"/>
            <w:shd w:val="clear" w:color="auto" w:fill="auto"/>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Zespół Szkół Budowalanych </w:t>
            </w:r>
          </w:p>
          <w:p w:rsidR="008C7751" w:rsidRPr="00E00B35" w:rsidRDefault="008C7751" w:rsidP="00E00B35">
            <w:pPr>
              <w:pStyle w:val="Akapitzlist"/>
              <w:spacing w:after="0" w:line="312" w:lineRule="auto"/>
              <w:ind w:left="0"/>
              <w:rPr>
                <w:color w:val="000000"/>
                <w:szCs w:val="20"/>
                <w:lang w:val="pl-PL"/>
              </w:rPr>
            </w:pPr>
            <w:r w:rsidRPr="00E00B35">
              <w:rPr>
                <w:rFonts w:cs="Verdana"/>
                <w:color w:val="000000"/>
                <w:szCs w:val="20"/>
                <w:lang w:val="pl-PL"/>
              </w:rPr>
              <w:t>Zespół Szkół Ekonomiczno – Administracyjnych</w:t>
            </w:r>
          </w:p>
        </w:tc>
        <w:tc>
          <w:tcPr>
            <w:tcW w:w="2581" w:type="dxa"/>
            <w:shd w:val="clear" w:color="auto" w:fill="auto"/>
          </w:tcPr>
          <w:p w:rsidR="008C7751" w:rsidRPr="00E00B35" w:rsidRDefault="008C7751" w:rsidP="00E00B35">
            <w:pPr>
              <w:pStyle w:val="Akapitzlist"/>
              <w:spacing w:after="0" w:line="312" w:lineRule="auto"/>
              <w:ind w:left="0"/>
              <w:rPr>
                <w:color w:val="000000"/>
                <w:szCs w:val="20"/>
              </w:rPr>
            </w:pPr>
            <w:r w:rsidRPr="00E00B35">
              <w:rPr>
                <w:color w:val="000000"/>
                <w:szCs w:val="20"/>
              </w:rPr>
              <w:t>2 000</w:t>
            </w:r>
          </w:p>
          <w:p w:rsidR="008C7751" w:rsidRPr="00E00B35" w:rsidRDefault="008C7751" w:rsidP="00E00B35">
            <w:pPr>
              <w:pStyle w:val="Akapitzlist"/>
              <w:spacing w:after="0" w:line="312" w:lineRule="auto"/>
              <w:ind w:left="0"/>
              <w:rPr>
                <w:color w:val="000000"/>
                <w:szCs w:val="20"/>
              </w:rPr>
            </w:pPr>
            <w:r w:rsidRPr="00E00B35">
              <w:rPr>
                <w:color w:val="000000"/>
                <w:szCs w:val="20"/>
              </w:rPr>
              <w:t>2 000</w:t>
            </w:r>
          </w:p>
        </w:tc>
      </w:tr>
      <w:tr w:rsidR="008C7751" w:rsidRPr="00E00B35" w:rsidTr="008C7751">
        <w:tc>
          <w:tcPr>
            <w:tcW w:w="1418" w:type="dxa"/>
            <w:shd w:val="clear" w:color="auto" w:fill="auto"/>
          </w:tcPr>
          <w:p w:rsidR="008C7751" w:rsidRPr="00E00B35" w:rsidRDefault="008C7751" w:rsidP="00E00B35">
            <w:pPr>
              <w:pStyle w:val="Akapitzlist"/>
              <w:spacing w:after="0" w:line="312" w:lineRule="auto"/>
              <w:ind w:left="0"/>
              <w:rPr>
                <w:color w:val="000000"/>
                <w:szCs w:val="20"/>
              </w:rPr>
            </w:pPr>
            <w:r w:rsidRPr="00E00B35">
              <w:rPr>
                <w:color w:val="000000"/>
                <w:szCs w:val="20"/>
              </w:rPr>
              <w:t>Inna</w:t>
            </w:r>
          </w:p>
        </w:tc>
        <w:tc>
          <w:tcPr>
            <w:tcW w:w="5103" w:type="dxa"/>
            <w:shd w:val="clear" w:color="auto" w:fill="auto"/>
          </w:tcPr>
          <w:p w:rsidR="008C7751" w:rsidRPr="00E00B35" w:rsidRDefault="008C7751" w:rsidP="00E00B35">
            <w:pPr>
              <w:spacing w:after="0" w:line="312" w:lineRule="auto"/>
              <w:rPr>
                <w:rFonts w:cs="Verdana"/>
                <w:color w:val="000000"/>
                <w:szCs w:val="20"/>
              </w:rPr>
            </w:pPr>
            <w:r w:rsidRPr="00E00B35">
              <w:rPr>
                <w:rFonts w:cs="Verdana"/>
                <w:color w:val="000000"/>
                <w:szCs w:val="20"/>
              </w:rPr>
              <w:t>Zespół Szkół Ekonomiczno-Administracyjnych</w:t>
            </w:r>
          </w:p>
        </w:tc>
        <w:tc>
          <w:tcPr>
            <w:tcW w:w="2581" w:type="dxa"/>
            <w:shd w:val="clear" w:color="auto" w:fill="auto"/>
          </w:tcPr>
          <w:p w:rsidR="008C7751" w:rsidRPr="00E00B35" w:rsidRDefault="008C7751" w:rsidP="00E00B35">
            <w:pPr>
              <w:pStyle w:val="Akapitzlist"/>
              <w:spacing w:after="0" w:line="312" w:lineRule="auto"/>
              <w:ind w:left="0"/>
              <w:rPr>
                <w:color w:val="000000"/>
                <w:szCs w:val="20"/>
              </w:rPr>
            </w:pPr>
            <w:r w:rsidRPr="00E00B35">
              <w:rPr>
                <w:color w:val="000000"/>
                <w:szCs w:val="20"/>
              </w:rPr>
              <w:t>2 000</w:t>
            </w:r>
          </w:p>
        </w:tc>
      </w:tr>
      <w:tr w:rsidR="008C7751" w:rsidRPr="00E00B35" w:rsidTr="008C7751">
        <w:tc>
          <w:tcPr>
            <w:tcW w:w="1418" w:type="dxa"/>
            <w:shd w:val="clear" w:color="auto" w:fill="auto"/>
          </w:tcPr>
          <w:p w:rsidR="008C7751" w:rsidRPr="00E00B35" w:rsidRDefault="008C7751" w:rsidP="00E00B35">
            <w:pPr>
              <w:pStyle w:val="Akapitzlist"/>
              <w:spacing w:after="0" w:line="312" w:lineRule="auto"/>
              <w:ind w:left="0"/>
              <w:rPr>
                <w:color w:val="000000"/>
                <w:szCs w:val="20"/>
              </w:rPr>
            </w:pPr>
            <w:r w:rsidRPr="00E00B35">
              <w:rPr>
                <w:color w:val="000000"/>
                <w:szCs w:val="20"/>
              </w:rPr>
              <w:t>Razem</w:t>
            </w:r>
          </w:p>
        </w:tc>
        <w:tc>
          <w:tcPr>
            <w:tcW w:w="5103" w:type="dxa"/>
            <w:shd w:val="clear" w:color="auto" w:fill="auto"/>
          </w:tcPr>
          <w:p w:rsidR="008C7751" w:rsidRPr="00E00B35" w:rsidRDefault="008C7751" w:rsidP="00E00B35">
            <w:pPr>
              <w:spacing w:after="0" w:line="312" w:lineRule="auto"/>
              <w:rPr>
                <w:rFonts w:cs="Verdana"/>
                <w:color w:val="000000"/>
                <w:szCs w:val="20"/>
              </w:rPr>
            </w:pPr>
            <w:r w:rsidRPr="00E00B35">
              <w:rPr>
                <w:rFonts w:cs="Verdana"/>
                <w:color w:val="000000"/>
                <w:szCs w:val="20"/>
              </w:rPr>
              <w:t>0</w:t>
            </w:r>
          </w:p>
        </w:tc>
        <w:tc>
          <w:tcPr>
            <w:tcW w:w="2581" w:type="dxa"/>
            <w:shd w:val="clear" w:color="auto" w:fill="auto"/>
          </w:tcPr>
          <w:p w:rsidR="008C7751" w:rsidRPr="00E00B35" w:rsidRDefault="008C7751" w:rsidP="00E00B35">
            <w:pPr>
              <w:pStyle w:val="Akapitzlist"/>
              <w:spacing w:after="0" w:line="312" w:lineRule="auto"/>
              <w:ind w:left="0"/>
              <w:rPr>
                <w:color w:val="000000"/>
                <w:szCs w:val="20"/>
              </w:rPr>
            </w:pPr>
            <w:r w:rsidRPr="00E00B35">
              <w:rPr>
                <w:color w:val="000000"/>
                <w:szCs w:val="20"/>
              </w:rPr>
              <w:t>21 000</w:t>
            </w:r>
          </w:p>
        </w:tc>
      </w:tr>
    </w:tbl>
    <w:p w:rsidR="008C7751" w:rsidRPr="00E00B35" w:rsidRDefault="008C7751" w:rsidP="00E00B35">
      <w:pPr>
        <w:pStyle w:val="Akapitzlist"/>
        <w:spacing w:after="0" w:line="312" w:lineRule="auto"/>
        <w:ind w:left="0"/>
        <w:rPr>
          <w:color w:val="000000"/>
          <w:szCs w:val="20"/>
        </w:rPr>
      </w:pPr>
    </w:p>
    <w:p w:rsidR="008C7751" w:rsidRPr="00E00B35" w:rsidRDefault="008C7751" w:rsidP="00E00B35">
      <w:pPr>
        <w:pStyle w:val="Akapitzlist"/>
        <w:spacing w:after="0" w:line="312" w:lineRule="auto"/>
        <w:ind w:left="0"/>
        <w:rPr>
          <w:color w:val="000000"/>
          <w:szCs w:val="20"/>
          <w:lang w:val="pl-PL"/>
        </w:rPr>
      </w:pPr>
      <w:r w:rsidRPr="00E00B35">
        <w:rPr>
          <w:rFonts w:cs="Verdana"/>
          <w:color w:val="000000"/>
          <w:szCs w:val="20"/>
          <w:lang w:val="pl-PL"/>
        </w:rPr>
        <w:t xml:space="preserve">Kontynuowano realizację projektu „Edukacja w Miejscach Pamięci”. W 2020 r. do udziału w projekcie zgłosiły się: 52 szkoły podstawowe i 32 szkoły ponadpodstawe. Celem głównym projektu jest kształtowanie postaw tolerancji i szacunku do innych ludzi, niezależnie od ich poglądów, narodowości, wyznania. </w:t>
      </w:r>
      <w:r w:rsidRPr="00E00B35">
        <w:rPr>
          <w:color w:val="000000"/>
          <w:szCs w:val="20"/>
          <w:lang w:val="pl-PL"/>
        </w:rPr>
        <w:t xml:space="preserve">Uczniowie V klas szkół podstawowych mogli uczestniczyć w zajęciach edukacyjnych pod hasłem „ścieżki kulturowe” dotyczące wielokulturowości Wrocławia zwiedzając m.in. Dzielnicę Czterech Wyznań. Uczniowie klas VIII uczestniczyli w jednodniowych wyjazdach, podczas których poznali historię takich miejsc, jak: były obóz koncentracyjny Gross - Rosen, Muzeum Jeńców w Łambinowicach, Kościół Pokoju w Świdnicy i Jaworze oraz zamek Książ w Wałbrzychu. Uczniowie szkół ponadpodstawowych podczas dwudniowych wyjazdów odwiedzali miejsca pamięci na wybranych terenach Polski m.in.: obóz Auschwitz </w:t>
      </w:r>
      <w:r w:rsidRPr="00E00B35">
        <w:rPr>
          <w:color w:val="000000"/>
          <w:szCs w:val="20"/>
          <w:lang w:val="pl-PL"/>
        </w:rPr>
        <w:lastRenderedPageBreak/>
        <w:t>Birkenau, Treblinkę, Getto, Muzeum Żydów Polskich,</w:t>
      </w:r>
      <w:r w:rsidRPr="00E00B35">
        <w:rPr>
          <w:b/>
          <w:bCs/>
          <w:color w:val="000000"/>
          <w:szCs w:val="20"/>
          <w:lang w:val="pl-PL"/>
        </w:rPr>
        <w:t xml:space="preserve"> </w:t>
      </w:r>
      <w:r w:rsidRPr="00E00B35">
        <w:rPr>
          <w:color w:val="000000"/>
          <w:szCs w:val="20"/>
          <w:lang w:val="pl-PL"/>
        </w:rPr>
        <w:t>Muzeum Powstania Warszawskiego, obóz na Majdanku. W maju 2020 roku ze względu na pandemię COVID-19 realizacja projektu została zawieszona do odwołania. Łączny koszt projektu 14 000 zł. Wrocławskie Centrum Doskonalenia Nauczycieli przygotowało dla szkolnych koordynatorów oraz zainteresowanych nauczycieli bezpłatne warsztaty pn. „Edukacja w Miejscach Pamięci, Polskość, jako pieśń na głosy”</w:t>
      </w:r>
      <w:r w:rsidR="000F2026" w:rsidRPr="00E00B35">
        <w:rPr>
          <w:color w:val="000000"/>
          <w:szCs w:val="20"/>
          <w:lang w:val="pl-PL"/>
        </w:rPr>
        <w:t>.</w:t>
      </w:r>
      <w:r w:rsidRPr="00E00B35">
        <w:rPr>
          <w:color w:val="000000"/>
          <w:szCs w:val="20"/>
          <w:lang w:val="pl-PL"/>
        </w:rPr>
        <w:t xml:space="preserve"> </w:t>
      </w:r>
    </w:p>
    <w:p w:rsidR="000F2026" w:rsidRPr="00E00B35" w:rsidRDefault="000F2026" w:rsidP="00E00B35">
      <w:pPr>
        <w:pStyle w:val="Akapitzlist"/>
        <w:spacing w:after="0" w:line="312" w:lineRule="auto"/>
        <w:ind w:left="0"/>
        <w:rPr>
          <w:color w:val="000000"/>
          <w:szCs w:val="20"/>
          <w:lang w:val="pl-PL"/>
        </w:rPr>
      </w:pPr>
    </w:p>
    <w:p w:rsidR="008C7751" w:rsidRPr="00E00B35" w:rsidRDefault="008C7751" w:rsidP="00E00B35">
      <w:pPr>
        <w:pStyle w:val="Nagwek3"/>
        <w:spacing w:after="0" w:line="312" w:lineRule="auto"/>
        <w:rPr>
          <w:sz w:val="20"/>
        </w:rPr>
      </w:pPr>
      <w:bookmarkStart w:id="95" w:name="_Toc59103785"/>
      <w:bookmarkStart w:id="96" w:name="_Toc59104153"/>
      <w:bookmarkStart w:id="97" w:name="_Toc61010195"/>
      <w:bookmarkStart w:id="98" w:name="_Toc61010247"/>
      <w:bookmarkStart w:id="99" w:name="_Toc61013153"/>
      <w:bookmarkStart w:id="100" w:name="_Toc61013433"/>
      <w:bookmarkStart w:id="101" w:name="_Toc72411100"/>
      <w:r w:rsidRPr="00E00B35">
        <w:rPr>
          <w:sz w:val="20"/>
        </w:rPr>
        <w:t>Edukacja sportowa</w:t>
      </w:r>
      <w:bookmarkEnd w:id="95"/>
      <w:bookmarkEnd w:id="96"/>
      <w:bookmarkEnd w:id="97"/>
      <w:bookmarkEnd w:id="98"/>
      <w:bookmarkEnd w:id="99"/>
      <w:bookmarkEnd w:id="100"/>
      <w:bookmarkEnd w:id="101"/>
    </w:p>
    <w:p w:rsidR="008C7751" w:rsidRPr="00E00B35" w:rsidRDefault="008C7751" w:rsidP="00E00B35">
      <w:pPr>
        <w:autoSpaceDE w:val="0"/>
        <w:autoSpaceDN w:val="0"/>
        <w:adjustRightInd w:val="0"/>
        <w:spacing w:after="0" w:line="312" w:lineRule="auto"/>
        <w:rPr>
          <w:color w:val="000000"/>
          <w:szCs w:val="20"/>
          <w:lang w:val="pl-PL"/>
        </w:rPr>
      </w:pPr>
      <w:r w:rsidRPr="00E00B35">
        <w:rPr>
          <w:color w:val="000000"/>
          <w:szCs w:val="20"/>
          <w:lang w:val="pl-PL"/>
        </w:rPr>
        <w:t xml:space="preserve">W 80 szkołach podstawowych w okresie wrzesień-grudzień kontynuowano program nauki pływania uczniów klas trzecich: </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na dziewięciu basenach </w:t>
      </w:r>
      <w:r w:rsidRPr="00E00B35">
        <w:rPr>
          <w:rFonts w:eastAsia="MS Mincho" w:cs="Verdana"/>
          <w:color w:val="000000"/>
          <w:szCs w:val="20"/>
          <w:lang w:val="pl-PL"/>
        </w:rPr>
        <w:t>szkolnych</w:t>
      </w:r>
      <w:r w:rsidRPr="00E00B35">
        <w:rPr>
          <w:color w:val="000000"/>
          <w:szCs w:val="20"/>
          <w:lang w:val="pl-PL"/>
        </w:rPr>
        <w:t xml:space="preserve"> – uczniowie 47 szkół,</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na basenach wynajmowanych: WKS Śląsk ul. Racławicka, Wrocławskie Centrum SPA ul. Teatralna, AWF al.I.J.Paderewskiego, Uniwersytet Ekonomiczny ul.Kamienna, Uniwersytet Przyrodniczy ul.Chełmońskiego, </w:t>
      </w:r>
      <w:r w:rsidRPr="00E00B35">
        <w:rPr>
          <w:rFonts w:cs="Arial"/>
          <w:bCs/>
          <w:color w:val="000000"/>
          <w:szCs w:val="20"/>
          <w:lang w:val="pl-PL"/>
        </w:rPr>
        <w:t>Dolnośląski Specjalny Ośrodek Szkolno - Wychowawczy nr 13 dla Dzieci Niewidomych i Słabowidzących ul. Kamiennogórska, Fitness Academy ul. Rogowska, Centrum Treningowe SPARTAN basen Orbita ul. Wejherowska, Aquapark Wrocław ul. Borowska</w:t>
      </w:r>
      <w:r w:rsidRPr="00E00B35">
        <w:rPr>
          <w:color w:val="000000"/>
          <w:szCs w:val="20"/>
          <w:lang w:val="pl-PL"/>
        </w:rPr>
        <w:t xml:space="preserve"> - uczniowie 33 szkół. </w:t>
      </w:r>
      <w:r w:rsidRPr="00E00B35">
        <w:rPr>
          <w:rFonts w:eastAsia="MS Mincho"/>
          <w:color w:val="000000"/>
          <w:szCs w:val="20"/>
          <w:lang w:val="pl-PL"/>
        </w:rPr>
        <w:t xml:space="preserve">W 2020 roku we wszystkich szkołach i placówkach oświatowych poniesiono wydatki na opłaty za basen w łącznej wysokości 1 213 635 zł. </w:t>
      </w:r>
    </w:p>
    <w:p w:rsidR="000F2026" w:rsidRPr="00E00B35" w:rsidRDefault="000F2026" w:rsidP="00E00B35">
      <w:pPr>
        <w:pStyle w:val="Akapitzlist"/>
        <w:spacing w:after="0" w:line="312" w:lineRule="auto"/>
        <w:ind w:left="357"/>
        <w:rPr>
          <w:color w:val="000000"/>
          <w:szCs w:val="20"/>
          <w:lang w:val="pl-PL"/>
        </w:rPr>
      </w:pPr>
    </w:p>
    <w:p w:rsidR="008C7751" w:rsidRPr="00E00B35" w:rsidRDefault="008C7751" w:rsidP="00E00B35">
      <w:pPr>
        <w:tabs>
          <w:tab w:val="left" w:pos="-1560"/>
          <w:tab w:val="left" w:pos="-851"/>
        </w:tabs>
        <w:autoSpaceDE w:val="0"/>
        <w:autoSpaceDN w:val="0"/>
        <w:adjustRightInd w:val="0"/>
        <w:spacing w:after="0" w:line="312" w:lineRule="auto"/>
        <w:rPr>
          <w:color w:val="000000"/>
          <w:szCs w:val="20"/>
          <w:lang w:val="pl-PL"/>
        </w:rPr>
      </w:pPr>
      <w:r w:rsidRPr="00E00B35">
        <w:rPr>
          <w:color w:val="000000"/>
          <w:szCs w:val="20"/>
          <w:lang w:val="pl-PL"/>
        </w:rPr>
        <w:t xml:space="preserve">Łącznie, w 30 szkołach podstawowych funkcjonowało 109 oddziałów sportowych, w których uczyło się 2 257 uczniów i 20 oddziałów sportowych w  szkołach ponadpodstawowych, w których uczyło się 398 uczniów. </w:t>
      </w:r>
    </w:p>
    <w:p w:rsidR="008C7751" w:rsidRPr="00E00B35" w:rsidRDefault="008C7751" w:rsidP="00E00B35">
      <w:pPr>
        <w:pStyle w:val="Akapitzlist1"/>
        <w:tabs>
          <w:tab w:val="left" w:pos="1560"/>
        </w:tabs>
        <w:autoSpaceDE w:val="0"/>
        <w:autoSpaceDN w:val="0"/>
        <w:adjustRightInd w:val="0"/>
        <w:spacing w:after="0" w:line="312" w:lineRule="auto"/>
        <w:ind w:left="0"/>
        <w:rPr>
          <w:rFonts w:cs="Arial"/>
          <w:color w:val="000000"/>
          <w:szCs w:val="20"/>
          <w:lang w:val="pl-PL" w:eastAsia="pl-PL"/>
        </w:rPr>
      </w:pPr>
      <w:r w:rsidRPr="00E00B35">
        <w:rPr>
          <w:rFonts w:cs="Arial"/>
          <w:color w:val="000000"/>
          <w:szCs w:val="20"/>
          <w:lang w:val="pl-PL" w:eastAsia="pl-PL"/>
        </w:rPr>
        <w:t xml:space="preserve">Tabela 14. Liczba oddziałów sportowych we wrocławskich szkołach w roku 2020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94"/>
        <w:gridCol w:w="2302"/>
        <w:gridCol w:w="2303"/>
        <w:gridCol w:w="2303"/>
      </w:tblGrid>
      <w:tr w:rsidR="008C7751" w:rsidRPr="00E00B35" w:rsidTr="008C7751">
        <w:tc>
          <w:tcPr>
            <w:tcW w:w="2194" w:type="dxa"/>
            <w:shd w:val="clear" w:color="auto" w:fill="auto"/>
          </w:tcPr>
          <w:p w:rsidR="008C7751" w:rsidRPr="00E00B35" w:rsidRDefault="008C7751" w:rsidP="00E00B35">
            <w:pPr>
              <w:pStyle w:val="Akapitzlist1"/>
              <w:tabs>
                <w:tab w:val="left" w:pos="1560"/>
              </w:tabs>
              <w:autoSpaceDE w:val="0"/>
              <w:autoSpaceDN w:val="0"/>
              <w:adjustRightInd w:val="0"/>
              <w:spacing w:after="0" w:line="312" w:lineRule="auto"/>
              <w:ind w:left="0"/>
              <w:rPr>
                <w:rFonts w:cs="Arial"/>
                <w:b/>
                <w:color w:val="000000"/>
                <w:szCs w:val="20"/>
                <w:lang w:eastAsia="pl-PL"/>
              </w:rPr>
            </w:pPr>
            <w:r w:rsidRPr="00E00B35">
              <w:rPr>
                <w:rFonts w:cs="Arial"/>
                <w:b/>
                <w:color w:val="000000"/>
                <w:szCs w:val="20"/>
                <w:lang w:eastAsia="pl-PL"/>
              </w:rPr>
              <w:t>Typ szkoły</w:t>
            </w:r>
          </w:p>
        </w:tc>
        <w:tc>
          <w:tcPr>
            <w:tcW w:w="2302" w:type="dxa"/>
            <w:shd w:val="clear" w:color="auto" w:fill="auto"/>
          </w:tcPr>
          <w:p w:rsidR="008C7751" w:rsidRPr="00E00B35" w:rsidRDefault="008C7751" w:rsidP="00E00B35">
            <w:pPr>
              <w:pStyle w:val="Akapitzlist1"/>
              <w:tabs>
                <w:tab w:val="left" w:pos="1560"/>
              </w:tabs>
              <w:autoSpaceDE w:val="0"/>
              <w:autoSpaceDN w:val="0"/>
              <w:adjustRightInd w:val="0"/>
              <w:spacing w:after="0" w:line="312" w:lineRule="auto"/>
              <w:ind w:left="0"/>
              <w:rPr>
                <w:rFonts w:cs="Arial"/>
                <w:b/>
                <w:color w:val="000000"/>
                <w:szCs w:val="20"/>
                <w:lang w:eastAsia="pl-PL"/>
              </w:rPr>
            </w:pPr>
            <w:r w:rsidRPr="00E00B35">
              <w:rPr>
                <w:rFonts w:cs="Arial"/>
                <w:b/>
                <w:color w:val="000000"/>
                <w:szCs w:val="20"/>
                <w:lang w:eastAsia="pl-PL"/>
              </w:rPr>
              <w:t>Liczba oddziałów</w:t>
            </w:r>
          </w:p>
        </w:tc>
        <w:tc>
          <w:tcPr>
            <w:tcW w:w="2303" w:type="dxa"/>
            <w:shd w:val="clear" w:color="auto" w:fill="auto"/>
          </w:tcPr>
          <w:p w:rsidR="008C7751" w:rsidRPr="00E00B35" w:rsidRDefault="008C7751" w:rsidP="00E00B35">
            <w:pPr>
              <w:pStyle w:val="Akapitzlist1"/>
              <w:tabs>
                <w:tab w:val="left" w:pos="1560"/>
              </w:tabs>
              <w:autoSpaceDE w:val="0"/>
              <w:autoSpaceDN w:val="0"/>
              <w:adjustRightInd w:val="0"/>
              <w:spacing w:after="0" w:line="312" w:lineRule="auto"/>
              <w:ind w:left="0"/>
              <w:rPr>
                <w:rFonts w:cs="Arial"/>
                <w:b/>
                <w:color w:val="000000"/>
                <w:szCs w:val="20"/>
                <w:lang w:eastAsia="pl-PL"/>
              </w:rPr>
            </w:pPr>
            <w:r w:rsidRPr="00E00B35">
              <w:rPr>
                <w:rFonts w:cs="Arial"/>
                <w:b/>
                <w:color w:val="000000"/>
                <w:szCs w:val="20"/>
                <w:lang w:eastAsia="pl-PL"/>
              </w:rPr>
              <w:t>Liczba uczniów</w:t>
            </w:r>
          </w:p>
        </w:tc>
        <w:tc>
          <w:tcPr>
            <w:tcW w:w="2303" w:type="dxa"/>
            <w:shd w:val="clear" w:color="auto" w:fill="auto"/>
          </w:tcPr>
          <w:p w:rsidR="008C7751" w:rsidRPr="00E00B35" w:rsidRDefault="008C7751" w:rsidP="00E00B35">
            <w:pPr>
              <w:pStyle w:val="Akapitzlist1"/>
              <w:tabs>
                <w:tab w:val="left" w:pos="1560"/>
              </w:tabs>
              <w:autoSpaceDE w:val="0"/>
              <w:autoSpaceDN w:val="0"/>
              <w:adjustRightInd w:val="0"/>
              <w:spacing w:after="0" w:line="312" w:lineRule="auto"/>
              <w:ind w:left="0"/>
              <w:rPr>
                <w:rFonts w:cs="Arial"/>
                <w:b/>
                <w:color w:val="000000"/>
                <w:szCs w:val="20"/>
                <w:lang w:val="pl-PL" w:eastAsia="pl-PL"/>
              </w:rPr>
            </w:pPr>
            <w:r w:rsidRPr="00E00B35">
              <w:rPr>
                <w:rFonts w:cs="Arial"/>
                <w:b/>
                <w:color w:val="000000"/>
                <w:szCs w:val="20"/>
                <w:lang w:val="pl-PL" w:eastAsia="pl-PL"/>
              </w:rPr>
              <w:t>Liczba dodatkowych etatów W-F</w:t>
            </w:r>
          </w:p>
        </w:tc>
      </w:tr>
      <w:tr w:rsidR="008C7751" w:rsidRPr="00E00B35" w:rsidTr="008C7751">
        <w:tc>
          <w:tcPr>
            <w:tcW w:w="2194" w:type="dxa"/>
            <w:shd w:val="clear" w:color="auto" w:fill="auto"/>
            <w:vAlign w:val="center"/>
          </w:tcPr>
          <w:p w:rsidR="008C7751" w:rsidRPr="00E00B35" w:rsidRDefault="008C7751" w:rsidP="00E00B35">
            <w:pPr>
              <w:pStyle w:val="Tekstdymka"/>
              <w:spacing w:after="0" w:line="312" w:lineRule="auto"/>
              <w:rPr>
                <w:rFonts w:ascii="Verdana" w:hAnsi="Verdana" w:cs="Arial"/>
                <w:color w:val="000000"/>
                <w:sz w:val="20"/>
                <w:szCs w:val="20"/>
                <w:lang w:eastAsia="pl-PL"/>
              </w:rPr>
            </w:pPr>
            <w:r w:rsidRPr="00E00B35">
              <w:rPr>
                <w:rFonts w:ascii="Verdana" w:hAnsi="Verdana" w:cs="Arial"/>
                <w:color w:val="000000"/>
                <w:sz w:val="20"/>
                <w:szCs w:val="20"/>
                <w:lang w:eastAsia="pl-PL"/>
              </w:rPr>
              <w:t>Szkoły podstawowe</w:t>
            </w:r>
          </w:p>
        </w:tc>
        <w:tc>
          <w:tcPr>
            <w:tcW w:w="2302" w:type="dxa"/>
            <w:shd w:val="clear" w:color="auto" w:fill="auto"/>
            <w:vAlign w:val="center"/>
          </w:tcPr>
          <w:p w:rsidR="008C7751" w:rsidRPr="00E00B35" w:rsidRDefault="008C7751" w:rsidP="00E00B35">
            <w:pPr>
              <w:spacing w:after="0" w:line="312" w:lineRule="auto"/>
              <w:rPr>
                <w:rFonts w:cs="Arial"/>
                <w:strike/>
                <w:color w:val="000000"/>
                <w:szCs w:val="20"/>
              </w:rPr>
            </w:pPr>
            <w:r w:rsidRPr="00E00B35">
              <w:rPr>
                <w:rFonts w:cs="Arial"/>
                <w:color w:val="000000"/>
                <w:szCs w:val="20"/>
              </w:rPr>
              <w:t>109</w:t>
            </w:r>
          </w:p>
        </w:tc>
        <w:tc>
          <w:tcPr>
            <w:tcW w:w="2303" w:type="dxa"/>
            <w:shd w:val="clear" w:color="auto" w:fill="auto"/>
            <w:vAlign w:val="center"/>
          </w:tcPr>
          <w:p w:rsidR="008C7751" w:rsidRPr="00E00B35" w:rsidRDefault="008C7751" w:rsidP="00E00B35">
            <w:pPr>
              <w:spacing w:after="0" w:line="312" w:lineRule="auto"/>
              <w:rPr>
                <w:rFonts w:cs="Arial"/>
                <w:strike/>
                <w:color w:val="000000"/>
                <w:szCs w:val="20"/>
              </w:rPr>
            </w:pPr>
            <w:r w:rsidRPr="00E00B35">
              <w:rPr>
                <w:rFonts w:cs="Arial"/>
                <w:color w:val="000000"/>
                <w:szCs w:val="20"/>
              </w:rPr>
              <w:t>2 257</w:t>
            </w:r>
          </w:p>
        </w:tc>
        <w:tc>
          <w:tcPr>
            <w:tcW w:w="2303" w:type="dxa"/>
            <w:shd w:val="clear" w:color="auto" w:fill="auto"/>
            <w:vAlign w:val="center"/>
          </w:tcPr>
          <w:p w:rsidR="008C7751" w:rsidRPr="00E00B35" w:rsidRDefault="008C7751" w:rsidP="00E00B35">
            <w:pPr>
              <w:pStyle w:val="xl75"/>
              <w:pBdr>
                <w:left w:val="none" w:sz="0" w:space="0" w:color="auto"/>
                <w:bottom w:val="none" w:sz="0" w:space="0" w:color="auto"/>
                <w:right w:val="none" w:sz="0" w:space="0" w:color="auto"/>
              </w:pBdr>
              <w:spacing w:before="0" w:beforeAutospacing="0" w:after="0" w:afterAutospacing="0" w:line="312" w:lineRule="auto"/>
              <w:jc w:val="left"/>
              <w:rPr>
                <w:rFonts w:eastAsia="Times New Roman" w:cs="Arial"/>
                <w:strike/>
                <w:color w:val="000000"/>
                <w:sz w:val="20"/>
                <w:szCs w:val="20"/>
              </w:rPr>
            </w:pPr>
            <w:r w:rsidRPr="00E00B35">
              <w:rPr>
                <w:rFonts w:eastAsia="Times New Roman" w:cs="Arial"/>
                <w:color w:val="000000"/>
                <w:sz w:val="20"/>
                <w:szCs w:val="20"/>
              </w:rPr>
              <w:t>72,4</w:t>
            </w:r>
          </w:p>
        </w:tc>
      </w:tr>
      <w:tr w:rsidR="008C7751" w:rsidRPr="00E00B35" w:rsidTr="008C7751">
        <w:tc>
          <w:tcPr>
            <w:tcW w:w="2194"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Szkoły ponadpodstawowe</w:t>
            </w:r>
          </w:p>
        </w:tc>
        <w:tc>
          <w:tcPr>
            <w:tcW w:w="2302"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20</w:t>
            </w:r>
          </w:p>
        </w:tc>
        <w:tc>
          <w:tcPr>
            <w:tcW w:w="2303"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398</w:t>
            </w:r>
          </w:p>
        </w:tc>
        <w:tc>
          <w:tcPr>
            <w:tcW w:w="2303" w:type="dxa"/>
            <w:shd w:val="clear" w:color="auto" w:fill="auto"/>
            <w:vAlign w:val="center"/>
          </w:tcPr>
          <w:p w:rsidR="008C7751" w:rsidRPr="00E00B35" w:rsidRDefault="008C7751" w:rsidP="00E00B35">
            <w:pPr>
              <w:spacing w:after="0" w:line="312" w:lineRule="auto"/>
              <w:rPr>
                <w:rFonts w:cs="Arial"/>
                <w:strike/>
                <w:color w:val="000000"/>
                <w:szCs w:val="20"/>
              </w:rPr>
            </w:pPr>
            <w:r w:rsidRPr="00E00B35">
              <w:rPr>
                <w:rFonts w:cs="Arial"/>
                <w:color w:val="000000"/>
                <w:szCs w:val="20"/>
              </w:rPr>
              <w:t>3,2</w:t>
            </w:r>
          </w:p>
        </w:tc>
      </w:tr>
      <w:tr w:rsidR="008C7751" w:rsidRPr="00E00B35" w:rsidTr="008C7751">
        <w:tc>
          <w:tcPr>
            <w:tcW w:w="2194" w:type="dxa"/>
            <w:shd w:val="clear" w:color="auto" w:fill="auto"/>
            <w:vAlign w:val="center"/>
          </w:tcPr>
          <w:p w:rsidR="008C7751" w:rsidRPr="00E00B35" w:rsidRDefault="008C7751" w:rsidP="00E00B35">
            <w:pPr>
              <w:pStyle w:val="xl83"/>
              <w:pBdr>
                <w:left w:val="none" w:sz="0" w:space="0" w:color="auto"/>
                <w:right w:val="none" w:sz="0" w:space="0" w:color="auto"/>
              </w:pBdr>
              <w:spacing w:before="0" w:beforeAutospacing="0" w:after="0" w:afterAutospacing="0" w:line="312" w:lineRule="auto"/>
              <w:jc w:val="left"/>
              <w:rPr>
                <w:rFonts w:eastAsia="Times New Roman" w:cs="Arial"/>
                <w:b/>
                <w:color w:val="000000"/>
                <w:sz w:val="20"/>
                <w:szCs w:val="20"/>
              </w:rPr>
            </w:pPr>
            <w:r w:rsidRPr="00E00B35">
              <w:rPr>
                <w:rFonts w:eastAsia="Times New Roman" w:cs="Arial"/>
                <w:b/>
                <w:color w:val="000000"/>
                <w:sz w:val="20"/>
                <w:szCs w:val="20"/>
              </w:rPr>
              <w:t>Razem</w:t>
            </w:r>
          </w:p>
        </w:tc>
        <w:tc>
          <w:tcPr>
            <w:tcW w:w="2302" w:type="dxa"/>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129</w:t>
            </w:r>
          </w:p>
        </w:tc>
        <w:tc>
          <w:tcPr>
            <w:tcW w:w="2303" w:type="dxa"/>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2 655</w:t>
            </w:r>
          </w:p>
        </w:tc>
        <w:tc>
          <w:tcPr>
            <w:tcW w:w="2303" w:type="dxa"/>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75,6</w:t>
            </w:r>
          </w:p>
        </w:tc>
      </w:tr>
    </w:tbl>
    <w:p w:rsidR="008C7751" w:rsidRPr="00E00B35" w:rsidRDefault="008C7751" w:rsidP="00E00B35">
      <w:pPr>
        <w:spacing w:after="0" w:line="312" w:lineRule="auto"/>
        <w:rPr>
          <w:color w:val="000000"/>
          <w:szCs w:val="20"/>
        </w:rPr>
      </w:pPr>
    </w:p>
    <w:p w:rsidR="008C7751" w:rsidRPr="00E00B35" w:rsidRDefault="008C7751" w:rsidP="00E00B35">
      <w:pPr>
        <w:spacing w:after="0" w:line="312" w:lineRule="auto"/>
        <w:rPr>
          <w:color w:val="000000"/>
          <w:szCs w:val="20"/>
          <w:lang w:val="pl-PL"/>
        </w:rPr>
      </w:pPr>
      <w:r w:rsidRPr="00E00B35">
        <w:rPr>
          <w:color w:val="000000"/>
          <w:szCs w:val="20"/>
          <w:lang w:val="pl-PL"/>
        </w:rPr>
        <w:t>Tabela 15. Dyscypliny w klasach sportowych 2020</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7"/>
        <w:gridCol w:w="3025"/>
        <w:gridCol w:w="1760"/>
        <w:gridCol w:w="2339"/>
        <w:gridCol w:w="1499"/>
      </w:tblGrid>
      <w:tr w:rsidR="008C7751" w:rsidRPr="00E00B35" w:rsidTr="008C7751">
        <w:trPr>
          <w:tblHeader/>
        </w:trPr>
        <w:tc>
          <w:tcPr>
            <w:tcW w:w="557" w:type="dxa"/>
            <w:shd w:val="clear" w:color="auto" w:fill="auto"/>
            <w:vAlign w:val="center"/>
          </w:tcPr>
          <w:p w:rsidR="008C7751" w:rsidRPr="00E00B35" w:rsidRDefault="008C7751" w:rsidP="00E00B35">
            <w:pPr>
              <w:pStyle w:val="Akapitzlist1"/>
              <w:tabs>
                <w:tab w:val="left" w:pos="4035"/>
              </w:tabs>
              <w:spacing w:after="0" w:line="312" w:lineRule="auto"/>
              <w:ind w:left="0"/>
              <w:rPr>
                <w:rFonts w:cs="Verdana"/>
                <w:b/>
                <w:color w:val="000000"/>
                <w:szCs w:val="20"/>
              </w:rPr>
            </w:pPr>
            <w:r w:rsidRPr="00E00B35">
              <w:rPr>
                <w:rFonts w:cs="Verdana"/>
                <w:b/>
                <w:color w:val="000000"/>
                <w:szCs w:val="20"/>
              </w:rPr>
              <w:t>Lp.</w:t>
            </w:r>
          </w:p>
        </w:tc>
        <w:tc>
          <w:tcPr>
            <w:tcW w:w="2937" w:type="dxa"/>
            <w:shd w:val="clear" w:color="auto" w:fill="auto"/>
            <w:vAlign w:val="center"/>
          </w:tcPr>
          <w:p w:rsidR="008C7751" w:rsidRPr="00E00B35" w:rsidRDefault="008C7751" w:rsidP="00E00B35">
            <w:pPr>
              <w:pStyle w:val="Akapitzlist1"/>
              <w:tabs>
                <w:tab w:val="left" w:pos="4035"/>
              </w:tabs>
              <w:spacing w:after="0" w:line="312" w:lineRule="auto"/>
              <w:ind w:left="0"/>
              <w:rPr>
                <w:rFonts w:cs="Verdana"/>
                <w:b/>
                <w:color w:val="000000"/>
                <w:szCs w:val="20"/>
              </w:rPr>
            </w:pPr>
            <w:r w:rsidRPr="00E00B35">
              <w:rPr>
                <w:rFonts w:cs="Verdana"/>
                <w:b/>
                <w:color w:val="000000"/>
                <w:szCs w:val="20"/>
              </w:rPr>
              <w:t>Dyscyplina sportowa</w:t>
            </w:r>
          </w:p>
        </w:tc>
        <w:tc>
          <w:tcPr>
            <w:tcW w:w="1775" w:type="dxa"/>
            <w:shd w:val="clear" w:color="auto" w:fill="auto"/>
            <w:vAlign w:val="center"/>
          </w:tcPr>
          <w:p w:rsidR="008C7751" w:rsidRPr="00E00B35" w:rsidRDefault="008C7751" w:rsidP="00E00B35">
            <w:pPr>
              <w:pStyle w:val="Akapitzlist1"/>
              <w:tabs>
                <w:tab w:val="left" w:pos="4035"/>
              </w:tabs>
              <w:spacing w:after="0" w:line="312" w:lineRule="auto"/>
              <w:ind w:left="0"/>
              <w:rPr>
                <w:rFonts w:cs="Verdana"/>
                <w:b/>
                <w:color w:val="000000"/>
                <w:szCs w:val="20"/>
              </w:rPr>
            </w:pPr>
            <w:r w:rsidRPr="00E00B35">
              <w:rPr>
                <w:rFonts w:cs="Verdana"/>
                <w:b/>
                <w:color w:val="000000"/>
                <w:szCs w:val="20"/>
              </w:rPr>
              <w:t>Szkoły Podstawowe</w:t>
            </w:r>
          </w:p>
        </w:tc>
        <w:tc>
          <w:tcPr>
            <w:tcW w:w="2339" w:type="dxa"/>
            <w:shd w:val="clear" w:color="auto" w:fill="auto"/>
            <w:vAlign w:val="center"/>
          </w:tcPr>
          <w:p w:rsidR="008C7751" w:rsidRPr="00E00B35" w:rsidRDefault="008C7751" w:rsidP="00E00B35">
            <w:pPr>
              <w:pStyle w:val="Akapitzlist1"/>
              <w:tabs>
                <w:tab w:val="left" w:pos="4035"/>
              </w:tabs>
              <w:spacing w:after="0" w:line="312" w:lineRule="auto"/>
              <w:ind w:left="0"/>
              <w:rPr>
                <w:rFonts w:cs="Verdana"/>
                <w:b/>
                <w:color w:val="000000"/>
                <w:szCs w:val="20"/>
              </w:rPr>
            </w:pPr>
            <w:r w:rsidRPr="00E00B35">
              <w:rPr>
                <w:rFonts w:cs="Verdana"/>
                <w:b/>
                <w:color w:val="000000"/>
                <w:szCs w:val="20"/>
              </w:rPr>
              <w:t>Szkoły Ponadpodstawowe</w:t>
            </w:r>
          </w:p>
        </w:tc>
        <w:tc>
          <w:tcPr>
            <w:tcW w:w="1570" w:type="dxa"/>
            <w:shd w:val="clear" w:color="auto" w:fill="auto"/>
            <w:vAlign w:val="center"/>
          </w:tcPr>
          <w:p w:rsidR="008C7751" w:rsidRPr="00E00B35" w:rsidRDefault="008C7751" w:rsidP="00E00B35">
            <w:pPr>
              <w:pStyle w:val="Akapitzlist1"/>
              <w:tabs>
                <w:tab w:val="left" w:pos="4035"/>
              </w:tabs>
              <w:spacing w:after="0" w:line="312" w:lineRule="auto"/>
              <w:ind w:left="0"/>
              <w:rPr>
                <w:rFonts w:cs="Verdana"/>
                <w:b/>
                <w:color w:val="000000"/>
                <w:szCs w:val="20"/>
              </w:rPr>
            </w:pPr>
            <w:r w:rsidRPr="00E00B35">
              <w:rPr>
                <w:rFonts w:cs="Verdana"/>
                <w:b/>
                <w:color w:val="000000"/>
                <w:szCs w:val="20"/>
              </w:rPr>
              <w:t>Razem</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Pływanie</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24</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0,5</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24,50</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Piłka nożna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18</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1,75</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19,75</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Lekkoatletyka/piłka ręczna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5</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5</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Lekkoatletyka ogólnorozwojowa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bCs/>
                <w:color w:val="000000"/>
                <w:szCs w:val="20"/>
              </w:rPr>
            </w:pPr>
            <w:r w:rsidRPr="00E00B35">
              <w:rPr>
                <w:rFonts w:cs="Arial"/>
                <w:bCs/>
                <w:color w:val="000000"/>
                <w:szCs w:val="20"/>
              </w:rPr>
              <w:t>1</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1</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Siatkówka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21</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1,25</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22,25</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 xml:space="preserve">Koszykówka </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8,5</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8,50</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 xml:space="preserve">Piłka ręczna </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7</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9</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Klasa Mistrzostwa Sportowego: Lekkoatletyka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2</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Szermierka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4</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Taekwondo-szermierka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2</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2</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Wioślarstwo</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1,5</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1,50</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Tenis/koszykówka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5</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5</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Piłka nożna, siatkówka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Strzelectwo pneumatyczne</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2</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2</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Gry zespołowe/strzelectwo pneumatyczne</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1</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1</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Szermierka/koszykówka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1</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1</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Piłka siatkowa-mistrzostwa sportowego</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1,5</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1,50</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Koszykówka-mistrzostwa sportowego</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0,5</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1,5</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2</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Lekkoatletyka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6</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6</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Piłka ręczna,siatkówka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1</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1</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Koszykówka/judo</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2</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2</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Tenis/koszykówka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lang w:val="pl-PL"/>
              </w:rPr>
            </w:pPr>
            <w:r w:rsidRPr="00E00B35">
              <w:rPr>
                <w:rFonts w:cs="Arial"/>
                <w:color w:val="000000"/>
                <w:szCs w:val="20"/>
                <w:lang w:val="pl-PL"/>
              </w:rPr>
              <w:t>Klasa Mistrzostwa Sportowego: Lekkoatletyka/Koszykówka/ Siatkówka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lang w:val="pl-PL"/>
              </w:rPr>
            </w:pPr>
            <w:r w:rsidRPr="00E00B35">
              <w:rPr>
                <w:rFonts w:cs="Arial"/>
                <w:color w:val="000000"/>
                <w:szCs w:val="20"/>
                <w:lang w:val="pl-PL"/>
              </w:rPr>
              <w:t>Klasa Mistrzostwa Sportowego: Koszykówka/ Siatkówka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Klasa sportowa: Koszykówka/Siatkówka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Klasa Mistrzostwa Sportowego: Pływanie</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4</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vAlign w:val="center"/>
          </w:tcPr>
          <w:p w:rsidR="008C7751" w:rsidRPr="00E00B35" w:rsidRDefault="008C7751" w:rsidP="00E00B35">
            <w:pPr>
              <w:spacing w:after="0" w:line="312" w:lineRule="auto"/>
              <w:rPr>
                <w:rFonts w:cs="Arial"/>
                <w:color w:val="000000"/>
                <w:szCs w:val="20"/>
                <w:lang w:val="pl-PL"/>
              </w:rPr>
            </w:pPr>
            <w:r w:rsidRPr="00E00B35">
              <w:rPr>
                <w:rFonts w:cs="Arial"/>
                <w:color w:val="000000"/>
                <w:szCs w:val="20"/>
                <w:lang w:val="pl-PL"/>
              </w:rPr>
              <w:t>Klasa Mistrzostwa Sportowego: Piłka nożna</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color w:val="000000"/>
                <w:szCs w:val="20"/>
              </w:rPr>
            </w:pPr>
            <w:r w:rsidRPr="00E00B35">
              <w:rPr>
                <w:rFonts w:eastAsia="Arial Unicode MS" w:cs="Arial Unicode MS"/>
                <w:color w:val="000000"/>
                <w:szCs w:val="20"/>
              </w:rPr>
              <w:t>-</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color w:val="000000"/>
                <w:szCs w:val="20"/>
              </w:rPr>
            </w:pPr>
            <w:r w:rsidRPr="00E00B35">
              <w:rPr>
                <w:rFonts w:cs="Arial"/>
                <w:color w:val="000000"/>
                <w:szCs w:val="20"/>
              </w:rPr>
              <w:t>4</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color w:val="000000"/>
                <w:szCs w:val="20"/>
              </w:rPr>
            </w:pPr>
            <w:r w:rsidRPr="00E00B35">
              <w:rPr>
                <w:rFonts w:eastAsia="Arial Unicode MS" w:cs="Arial Unicode MS"/>
                <w:b/>
                <w:color w:val="000000"/>
                <w:szCs w:val="20"/>
              </w:rPr>
              <w:t>4</w:t>
            </w:r>
          </w:p>
        </w:tc>
      </w:tr>
      <w:tr w:rsidR="008C7751" w:rsidRPr="00E00B35" w:rsidTr="008C7751">
        <w:tc>
          <w:tcPr>
            <w:tcW w:w="557" w:type="dxa"/>
            <w:shd w:val="clear" w:color="auto" w:fill="auto"/>
          </w:tcPr>
          <w:p w:rsidR="008C7751" w:rsidRPr="00E00B35" w:rsidRDefault="008C7751" w:rsidP="00E00B35">
            <w:pPr>
              <w:pStyle w:val="Akapitzlist1"/>
              <w:numPr>
                <w:ilvl w:val="0"/>
                <w:numId w:val="4"/>
              </w:numPr>
              <w:tabs>
                <w:tab w:val="left" w:pos="4035"/>
              </w:tabs>
              <w:spacing w:after="0" w:line="312" w:lineRule="auto"/>
              <w:rPr>
                <w:rFonts w:cs="Verdana"/>
                <w:color w:val="000000"/>
                <w:szCs w:val="20"/>
              </w:rPr>
            </w:pPr>
          </w:p>
        </w:tc>
        <w:tc>
          <w:tcPr>
            <w:tcW w:w="2937" w:type="dxa"/>
            <w:shd w:val="clear" w:color="auto" w:fill="auto"/>
          </w:tcPr>
          <w:p w:rsidR="008C7751" w:rsidRPr="00E00B35" w:rsidRDefault="008C7751" w:rsidP="00E00B35">
            <w:pPr>
              <w:pStyle w:val="Akapitzlist1"/>
              <w:tabs>
                <w:tab w:val="left" w:pos="4035"/>
              </w:tabs>
              <w:spacing w:after="0" w:line="312" w:lineRule="auto"/>
              <w:ind w:left="0"/>
              <w:rPr>
                <w:rFonts w:cs="Verdana"/>
                <w:color w:val="000000"/>
                <w:szCs w:val="20"/>
              </w:rPr>
            </w:pPr>
            <w:r w:rsidRPr="00E00B35">
              <w:rPr>
                <w:rFonts w:cs="Verdana"/>
                <w:color w:val="000000"/>
                <w:szCs w:val="20"/>
              </w:rPr>
              <w:t>Razem klas</w:t>
            </w:r>
          </w:p>
        </w:tc>
        <w:tc>
          <w:tcPr>
            <w:tcW w:w="1775"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bCs/>
                <w:color w:val="000000"/>
                <w:szCs w:val="20"/>
              </w:rPr>
            </w:pPr>
            <w:r w:rsidRPr="00E00B35">
              <w:rPr>
                <w:rFonts w:eastAsia="Arial Unicode MS" w:cs="Arial Unicode MS"/>
                <w:b/>
                <w:bCs/>
                <w:color w:val="000000"/>
                <w:szCs w:val="20"/>
              </w:rPr>
              <w:t>109</w:t>
            </w:r>
          </w:p>
        </w:tc>
        <w:tc>
          <w:tcPr>
            <w:tcW w:w="2339" w:type="dxa"/>
            <w:tcBorders>
              <w:left w:val="single" w:sz="4" w:space="0" w:color="auto"/>
            </w:tcBorders>
            <w:shd w:val="clear" w:color="auto" w:fill="auto"/>
            <w:vAlign w:val="center"/>
          </w:tcPr>
          <w:p w:rsidR="008C7751" w:rsidRPr="00E00B35" w:rsidRDefault="008C7751" w:rsidP="00E00B35">
            <w:pPr>
              <w:spacing w:after="0" w:line="312" w:lineRule="auto"/>
              <w:rPr>
                <w:rFonts w:cs="Arial"/>
                <w:b/>
                <w:bCs/>
                <w:color w:val="000000"/>
                <w:szCs w:val="20"/>
              </w:rPr>
            </w:pPr>
            <w:r w:rsidRPr="00E00B35">
              <w:rPr>
                <w:rFonts w:cs="Arial"/>
                <w:b/>
                <w:bCs/>
                <w:color w:val="000000"/>
                <w:szCs w:val="20"/>
              </w:rPr>
              <w:t>20</w:t>
            </w:r>
          </w:p>
        </w:tc>
        <w:tc>
          <w:tcPr>
            <w:tcW w:w="1570" w:type="dxa"/>
            <w:tcBorders>
              <w:left w:val="single" w:sz="4" w:space="0" w:color="auto"/>
            </w:tcBorders>
            <w:shd w:val="clear" w:color="auto" w:fill="auto"/>
            <w:vAlign w:val="center"/>
          </w:tcPr>
          <w:p w:rsidR="008C7751" w:rsidRPr="00E00B35" w:rsidRDefault="008C7751" w:rsidP="00E00B35">
            <w:pPr>
              <w:spacing w:after="0" w:line="312" w:lineRule="auto"/>
              <w:rPr>
                <w:rFonts w:eastAsia="Arial Unicode MS" w:cs="Arial Unicode MS"/>
                <w:b/>
                <w:bCs/>
                <w:color w:val="000000"/>
                <w:szCs w:val="20"/>
              </w:rPr>
            </w:pPr>
            <w:r w:rsidRPr="00E00B35">
              <w:rPr>
                <w:rFonts w:eastAsia="Arial Unicode MS" w:cs="Arial Unicode MS"/>
                <w:b/>
                <w:bCs/>
                <w:color w:val="000000"/>
                <w:szCs w:val="20"/>
              </w:rPr>
              <w:t>129</w:t>
            </w:r>
          </w:p>
        </w:tc>
      </w:tr>
    </w:tbl>
    <w:p w:rsidR="008C7751" w:rsidRPr="00E00B35" w:rsidRDefault="008C7751" w:rsidP="00E00B35">
      <w:pPr>
        <w:pStyle w:val="Akapitzlist1"/>
        <w:tabs>
          <w:tab w:val="left" w:pos="4035"/>
        </w:tabs>
        <w:spacing w:after="0" w:line="312" w:lineRule="auto"/>
        <w:ind w:left="0"/>
        <w:rPr>
          <w:rFonts w:cs="Verdana"/>
          <w:color w:val="000000"/>
          <w:szCs w:val="20"/>
        </w:rPr>
      </w:pPr>
    </w:p>
    <w:p w:rsidR="008C7751" w:rsidRPr="00E00B35" w:rsidRDefault="008C7751" w:rsidP="00E00B35">
      <w:pPr>
        <w:spacing w:after="0" w:line="312" w:lineRule="auto"/>
        <w:rPr>
          <w:rFonts w:cs="Verdana"/>
          <w:b/>
          <w:bCs/>
          <w:color w:val="000000"/>
          <w:szCs w:val="20"/>
          <w:lang w:val="pl-PL"/>
        </w:rPr>
      </w:pPr>
      <w:r w:rsidRPr="00E00B35">
        <w:rPr>
          <w:rFonts w:cs="Verdana"/>
          <w:color w:val="000000"/>
          <w:szCs w:val="20"/>
          <w:lang w:val="pl-PL"/>
        </w:rPr>
        <w:t>We współpracy z sekcją - Biegi na Orientację</w:t>
      </w:r>
      <w:r w:rsidRPr="00E00B35">
        <w:rPr>
          <w:rFonts w:cs="Verdana"/>
          <w:b/>
          <w:bCs/>
          <w:color w:val="000000"/>
          <w:szCs w:val="20"/>
          <w:lang w:val="pl-PL"/>
        </w:rPr>
        <w:t xml:space="preserve"> </w:t>
      </w:r>
      <w:r w:rsidRPr="00E00B35">
        <w:rPr>
          <w:rFonts w:cs="Verdana"/>
          <w:color w:val="000000"/>
          <w:szCs w:val="20"/>
          <w:lang w:val="pl-PL"/>
        </w:rPr>
        <w:t xml:space="preserve">WKS Śląsk Wrocław zrealizowano projekt </w:t>
      </w:r>
      <w:r w:rsidRPr="00E00B35">
        <w:rPr>
          <w:rFonts w:cs="Verdana"/>
          <w:bCs/>
          <w:color w:val="000000"/>
          <w:szCs w:val="20"/>
          <w:lang w:val="pl-PL"/>
        </w:rPr>
        <w:t>„Orientuj się”,</w:t>
      </w:r>
      <w:r w:rsidRPr="00E00B35">
        <w:rPr>
          <w:rFonts w:cs="Verdana"/>
          <w:color w:val="000000"/>
          <w:szCs w:val="20"/>
          <w:lang w:val="pl-PL"/>
        </w:rPr>
        <w:t xml:space="preserve"> który był jedną z dyscyplin sportu włączoną do programu Igrzysk Sportów Nieolimpijskich World Games 2017. Projekt realizowany był w 5 szkołach podstawowych. Projekt dofinansowano w kwocie 13 624 zł.</w:t>
      </w:r>
    </w:p>
    <w:p w:rsidR="008C7751" w:rsidRPr="00E00B35" w:rsidRDefault="008C7751" w:rsidP="00E00B35">
      <w:pPr>
        <w:spacing w:after="0" w:line="312" w:lineRule="auto"/>
        <w:rPr>
          <w:rFonts w:cs="Verdana"/>
          <w:b/>
          <w:bCs/>
          <w:color w:val="000000"/>
          <w:szCs w:val="20"/>
          <w:lang w:val="pl-PL"/>
        </w:rPr>
      </w:pPr>
      <w:r w:rsidRPr="00E00B35">
        <w:rPr>
          <w:rFonts w:cs="Tms Rmn"/>
          <w:color w:val="000000"/>
          <w:szCs w:val="20"/>
          <w:lang w:val="pl-PL"/>
        </w:rPr>
        <w:lastRenderedPageBreak/>
        <w:t>Stowarzyszenie Kultury Fizycznej Sportowy Klub Taneczny Perfect Dance, przy współpracy z Departamentem Edukacji i Biurem Sportu Urzędu Miejskiego Wrocławia otrzymało dofinansowanie na projekt edukacyjny „Taniec - moja pasja” na rok szkolny  2019/2020. 10 szkół podstawowych od stycznia 2020 r. brało udział w projekcie, którego c</w:t>
      </w:r>
      <w:r w:rsidRPr="00E00B35">
        <w:rPr>
          <w:bCs/>
          <w:color w:val="000000"/>
          <w:szCs w:val="20"/>
          <w:lang w:val="pl-PL"/>
        </w:rPr>
        <w:t>elem strategicznym jest stymulowanie i wspomaganie wszechstronnego i harmonijnego rozwoju dziecka, wyzwalanie w nim aktywności ruchowej poprzez taniec (</w:t>
      </w:r>
      <w:r w:rsidRPr="00E00B35">
        <w:rPr>
          <w:bCs/>
          <w:i/>
          <w:iCs/>
          <w:color w:val="000000"/>
          <w:szCs w:val="20"/>
          <w:lang w:val="pl-PL"/>
        </w:rPr>
        <w:t>w szczególności taniec sportowy</w:t>
      </w:r>
      <w:r w:rsidRPr="00E00B35">
        <w:rPr>
          <w:bCs/>
          <w:color w:val="000000"/>
          <w:szCs w:val="20"/>
          <w:lang w:val="pl-PL"/>
        </w:rPr>
        <w:t>) i zabawy przy muzyce, oparte na naturalnej potrzebie ruchu. Z uwagi na sytuację związaną z COVID-19 zajęcia w szkołach zostały wstrzymane w marcu 2020.</w:t>
      </w:r>
    </w:p>
    <w:p w:rsidR="008C7751" w:rsidRPr="00E00B35" w:rsidRDefault="008C7751" w:rsidP="00E00B35">
      <w:pPr>
        <w:spacing w:after="0" w:line="312" w:lineRule="auto"/>
        <w:rPr>
          <w:rFonts w:cs="Verdana"/>
          <w:b/>
          <w:bCs/>
          <w:color w:val="000000"/>
          <w:szCs w:val="20"/>
          <w:lang w:val="pl-PL"/>
        </w:rPr>
      </w:pPr>
      <w:bookmarkStart w:id="102" w:name="_Toc59103786"/>
      <w:bookmarkStart w:id="103" w:name="_Toc59104154"/>
      <w:bookmarkStart w:id="104" w:name="_Toc61010196"/>
      <w:bookmarkStart w:id="105" w:name="_Toc61010248"/>
      <w:bookmarkStart w:id="106" w:name="_Toc61013154"/>
      <w:bookmarkStart w:id="107" w:name="_Toc61013434"/>
      <w:r w:rsidRPr="00E00B35">
        <w:rPr>
          <w:rFonts w:cs="Verdana"/>
          <w:color w:val="000000"/>
          <w:szCs w:val="20"/>
          <w:lang w:val="pl-PL"/>
        </w:rPr>
        <w:t>Od stycznia do listopada 2020 roku 148 grup z wrocławskich szkół i placówek oświatowych uczestniczyło w programie „Szkolny Klub Sportowy”.</w:t>
      </w:r>
      <w:r w:rsidRPr="00E00B35">
        <w:rPr>
          <w:rFonts w:cs="Verdana"/>
          <w:b/>
          <w:color w:val="000000"/>
          <w:szCs w:val="20"/>
          <w:lang w:val="pl-PL"/>
        </w:rPr>
        <w:t xml:space="preserve"> </w:t>
      </w:r>
      <w:r w:rsidRPr="00E00B35">
        <w:rPr>
          <w:rFonts w:cs="Verdana"/>
          <w:color w:val="000000"/>
          <w:szCs w:val="20"/>
          <w:lang w:val="pl-PL"/>
        </w:rPr>
        <w:t xml:space="preserve">Główną ideą projektu była poprawa sprawności fizycznej, stanu zdrowia oraz jakości życia dzieci </w:t>
      </w:r>
      <w:r w:rsidRPr="00E00B35">
        <w:rPr>
          <w:rFonts w:cs="Verdana"/>
          <w:color w:val="000000"/>
          <w:szCs w:val="20"/>
          <w:lang w:val="pl-PL"/>
        </w:rPr>
        <w:br/>
        <w:t>i młodzieży, w tym profilaktyka nadwagi i otyłości, promocja zdrowego i aktywnego stylu życia wśród dzieci i młodzieży, zwiększenie oferty ogólnodostępnych, bezpłatnych zajęć sportowo - rekreacyjnych dla dzieci i młodzieży. Projekt dofinansowano w kwocie</w:t>
      </w:r>
      <w:r w:rsidRPr="00E00B35">
        <w:rPr>
          <w:rFonts w:cs="Verdana"/>
          <w:bCs/>
          <w:color w:val="000000"/>
          <w:szCs w:val="20"/>
          <w:lang w:val="pl-PL"/>
        </w:rPr>
        <w:t xml:space="preserve"> 14 800 zł</w:t>
      </w:r>
      <w:r w:rsidRPr="00E00B35">
        <w:rPr>
          <w:rFonts w:cs="Verdana"/>
          <w:b/>
          <w:bCs/>
          <w:color w:val="000000"/>
          <w:szCs w:val="20"/>
          <w:lang w:val="pl-PL"/>
        </w:rPr>
        <w:t>.</w:t>
      </w:r>
    </w:p>
    <w:p w:rsidR="00544448" w:rsidRPr="00E00B35" w:rsidRDefault="00544448" w:rsidP="00E00B35">
      <w:pPr>
        <w:spacing w:after="0" w:line="312" w:lineRule="auto"/>
        <w:rPr>
          <w:rFonts w:cs="Verdana"/>
          <w:color w:val="000000"/>
          <w:szCs w:val="20"/>
          <w:lang w:val="pl-PL"/>
        </w:rPr>
      </w:pPr>
    </w:p>
    <w:p w:rsidR="008C7751" w:rsidRPr="00E00B35" w:rsidRDefault="008C7751" w:rsidP="00E00B35">
      <w:pPr>
        <w:pStyle w:val="Nagwek3"/>
        <w:spacing w:after="0" w:line="312" w:lineRule="auto"/>
        <w:rPr>
          <w:sz w:val="20"/>
        </w:rPr>
      </w:pPr>
      <w:bookmarkStart w:id="108" w:name="_Toc72411101"/>
      <w:r w:rsidRPr="00E00B35">
        <w:rPr>
          <w:sz w:val="20"/>
        </w:rPr>
        <w:t>Doradztwo zawodowe</w:t>
      </w:r>
      <w:bookmarkEnd w:id="102"/>
      <w:bookmarkEnd w:id="103"/>
      <w:bookmarkEnd w:id="104"/>
      <w:bookmarkEnd w:id="105"/>
      <w:bookmarkEnd w:id="106"/>
      <w:bookmarkEnd w:id="107"/>
      <w:bookmarkEnd w:id="108"/>
    </w:p>
    <w:p w:rsidR="008C7751" w:rsidRPr="00E00B35" w:rsidRDefault="008C7751" w:rsidP="00E00B35">
      <w:pPr>
        <w:spacing w:after="0" w:line="312" w:lineRule="auto"/>
        <w:rPr>
          <w:color w:val="000000"/>
          <w:szCs w:val="20"/>
          <w:lang w:val="pl-PL"/>
        </w:rPr>
      </w:pPr>
      <w:r w:rsidRPr="00E00B35">
        <w:rPr>
          <w:color w:val="000000"/>
          <w:szCs w:val="20"/>
          <w:lang w:val="pl-PL"/>
        </w:rPr>
        <w:t xml:space="preserve">Celem działań podejmowanych we </w:t>
      </w:r>
      <w:r w:rsidRPr="00E00B35">
        <w:rPr>
          <w:b/>
          <w:color w:val="000000"/>
          <w:szCs w:val="20"/>
          <w:lang w:val="pl-PL"/>
        </w:rPr>
        <w:t>Wrocławskiej Strategii Edukacyjnej</w:t>
      </w:r>
      <w:r w:rsidRPr="00E00B35">
        <w:rPr>
          <w:color w:val="000000"/>
          <w:szCs w:val="20"/>
          <w:lang w:val="pl-PL"/>
        </w:rPr>
        <w:t xml:space="preserve"> w </w:t>
      </w:r>
      <w:r w:rsidRPr="00E00B35">
        <w:rPr>
          <w:iCs/>
          <w:color w:val="000000"/>
          <w:szCs w:val="20"/>
          <w:lang w:val="pl-PL"/>
        </w:rPr>
        <w:t>Obszarze Priorytetowym „Relacje edukacji i rynku pracy”</w:t>
      </w:r>
      <w:r w:rsidRPr="00E00B35">
        <w:rPr>
          <w:color w:val="000000"/>
          <w:szCs w:val="20"/>
          <w:lang w:val="pl-PL"/>
        </w:rPr>
        <w:t xml:space="preserve"> jest budowanie kanałów komunikacji pomiędzy tymi dwiema sferami, wzmocnienie tutoringu i doradztwa zawodowego, pomoc w rozpoznawaniu predyspozycji indywidualnych, w tym poprzez doradztwo zawodowe, a także stały dostęp do informacji o realiach pracy w różnych dziedzinach gospodarki. </w:t>
      </w:r>
    </w:p>
    <w:p w:rsidR="008C7751" w:rsidRPr="00E00B35" w:rsidRDefault="008C7751" w:rsidP="00E00B35">
      <w:pPr>
        <w:spacing w:after="0" w:line="312" w:lineRule="auto"/>
        <w:rPr>
          <w:color w:val="000000"/>
          <w:szCs w:val="20"/>
          <w:lang w:val="pl-PL"/>
        </w:rPr>
      </w:pPr>
      <w:r w:rsidRPr="00E00B35">
        <w:rPr>
          <w:color w:val="000000"/>
          <w:szCs w:val="20"/>
          <w:lang w:val="pl-PL"/>
        </w:rPr>
        <w:t>Złożono cztery wnioski o dofinansowanie ze środków Europejskiego Funduszu Społecznego z RPO WD 2014-2020 w ramach Działania 10.4 Dostosowanie systemów kształcenia i szkolenia zawodowego do potrzeb rynku pracy dla szkół zawodowych – zadanie realizowane w ramach „100 zadań na 100 dni Prezydenta Wrocławia”. Dofinansowanie ma na celu podnoszenie kwalifikacji w obszarze kształcenia zawodowego dla uczniów i kadry nauczycielskiej, a także wyposażenie specjalistycznych pracowni w szkołach uczestniczących w projekcie, co wzbogaci i uatrakcyjni ofertę kształcenia zawodowego szkół uczestniczących w projekcie. Chcemy także dostosować kształcenia i szkolenia w zawodach do obecnych realiów rynku pracy, również we współpracy z uczelniami.</w:t>
      </w:r>
    </w:p>
    <w:p w:rsidR="008C7751" w:rsidRPr="00E00B35" w:rsidRDefault="008C7751" w:rsidP="00E00B35">
      <w:pPr>
        <w:pStyle w:val="Akapitzlist"/>
        <w:spacing w:after="0" w:line="312" w:lineRule="auto"/>
        <w:ind w:left="6"/>
        <w:rPr>
          <w:color w:val="000000"/>
          <w:szCs w:val="20"/>
          <w:lang w:val="pl-PL"/>
        </w:rPr>
      </w:pPr>
      <w:r w:rsidRPr="00E00B35">
        <w:rPr>
          <w:rFonts w:cs="Verdana"/>
          <w:color w:val="000000"/>
          <w:szCs w:val="20"/>
          <w:lang w:val="pl-PL"/>
        </w:rPr>
        <w:t xml:space="preserve">W ramach wrocławskiej koncepcji doradztwa zawodowego, przy Centrum Kształcenia Zawodowego, kontynuowano działalność </w:t>
      </w:r>
      <w:r w:rsidRPr="00E00B35">
        <w:rPr>
          <w:rFonts w:cs="Verdana"/>
          <w:bCs/>
          <w:color w:val="000000"/>
          <w:szCs w:val="20"/>
          <w:lang w:val="pl-PL"/>
        </w:rPr>
        <w:t>Międzyszkolnego Ośrodka Wspierania Aktywności Zawodowej</w:t>
      </w:r>
      <w:r w:rsidRPr="00E00B35">
        <w:rPr>
          <w:rFonts w:cs="Verdana"/>
          <w:color w:val="000000"/>
          <w:szCs w:val="20"/>
          <w:lang w:val="pl-PL"/>
        </w:rPr>
        <w:t xml:space="preserve"> (MOWAZ) współpracującego ze wszystkimi doradcami zawodowymi zatrudnionymi we wrocławskich szkołach. Prowadzono m.in.: </w:t>
      </w:r>
      <w:r w:rsidRPr="00E00B35">
        <w:rPr>
          <w:rFonts w:cs="Verdana"/>
          <w:bCs/>
          <w:color w:val="000000"/>
          <w:szCs w:val="20"/>
          <w:lang w:val="pl-PL"/>
        </w:rPr>
        <w:t xml:space="preserve">grupowe zajęcia z zakresu doradztwa edukacyjno – zawodowego, </w:t>
      </w:r>
      <w:r w:rsidRPr="00E00B35">
        <w:rPr>
          <w:rFonts w:cs="Verdana"/>
          <w:color w:val="000000"/>
          <w:szCs w:val="20"/>
          <w:lang w:val="pl-PL"/>
        </w:rPr>
        <w:t xml:space="preserve">indywidualne porady dla uczniów i rodziców oraz grupowe spotkania dla rodziców dotyczące oferty edukacyjnej Wrocławia i elektronicznej rekrutacji. </w:t>
      </w:r>
    </w:p>
    <w:p w:rsidR="008C7751" w:rsidRPr="00E00B35" w:rsidRDefault="008C7751" w:rsidP="00E00B35">
      <w:pPr>
        <w:pStyle w:val="Akapitzlist"/>
        <w:spacing w:after="0" w:line="312" w:lineRule="auto"/>
        <w:ind w:left="6"/>
        <w:rPr>
          <w:color w:val="000000"/>
          <w:szCs w:val="20"/>
          <w:lang w:val="pl-PL"/>
        </w:rPr>
      </w:pPr>
      <w:r w:rsidRPr="00E00B35">
        <w:rPr>
          <w:color w:val="000000"/>
          <w:szCs w:val="20"/>
          <w:lang w:val="pl-PL"/>
        </w:rPr>
        <w:t>Prowadzono zajęcia dla uczniów klas ośmych szkół podstawowych w ramach programów</w:t>
      </w:r>
      <w:r w:rsidRPr="00E00B35">
        <w:rPr>
          <w:b/>
          <w:color w:val="000000"/>
          <w:szCs w:val="20"/>
          <w:lang w:val="pl-PL"/>
        </w:rPr>
        <w:t xml:space="preserve"> </w:t>
      </w:r>
      <w:r w:rsidRPr="00E00B35">
        <w:rPr>
          <w:color w:val="000000"/>
          <w:szCs w:val="20"/>
          <w:lang w:val="pl-PL"/>
        </w:rPr>
        <w:t>„Wybieram szkołę ponadpodstawową” i „Poznaję siebie, poznaję zawody”.</w:t>
      </w:r>
      <w:r w:rsidRPr="00E00B35">
        <w:rPr>
          <w:b/>
          <w:color w:val="000000"/>
          <w:szCs w:val="20"/>
          <w:lang w:val="pl-PL"/>
        </w:rPr>
        <w:t xml:space="preserve"> </w:t>
      </w:r>
      <w:r w:rsidRPr="00E00B35">
        <w:rPr>
          <w:color w:val="000000"/>
          <w:szCs w:val="20"/>
          <w:lang w:val="pl-PL"/>
        </w:rPr>
        <w:t>Przeprowadzono grupowe zajęcia z zakresu doradztwa edukacyjno – zawodowego. W ramach obu programów w zajęciach wzięło udział 5 998 uczniów.</w:t>
      </w:r>
    </w:p>
    <w:p w:rsidR="008C7751" w:rsidRPr="00E00B35" w:rsidRDefault="008C7751" w:rsidP="00E00B35">
      <w:pPr>
        <w:pStyle w:val="Akapitzlist"/>
        <w:spacing w:after="0" w:line="312" w:lineRule="auto"/>
        <w:ind w:left="6"/>
        <w:rPr>
          <w:strike/>
          <w:color w:val="000000"/>
          <w:szCs w:val="20"/>
          <w:lang w:val="pl-PL"/>
        </w:rPr>
      </w:pPr>
      <w:r w:rsidRPr="00E00B35">
        <w:rPr>
          <w:color w:val="000000"/>
          <w:szCs w:val="20"/>
          <w:lang w:val="pl-PL"/>
        </w:rPr>
        <w:lastRenderedPageBreak/>
        <w:t>Prowadzono grupowe zajęcia dla uczniów liceów ogólnokształcących w ramach programu „Zanim wybierzesz”</w:t>
      </w:r>
      <w:r w:rsidRPr="00E00B35">
        <w:rPr>
          <w:b/>
          <w:color w:val="000000"/>
          <w:szCs w:val="20"/>
          <w:lang w:val="pl-PL"/>
        </w:rPr>
        <w:t xml:space="preserve"> </w:t>
      </w:r>
      <w:r w:rsidRPr="00E00B35">
        <w:rPr>
          <w:color w:val="000000"/>
          <w:szCs w:val="20"/>
          <w:lang w:val="pl-PL"/>
        </w:rPr>
        <w:t>oraz dla uczniów techników i branżowych szkół I stopnia w ramach programu „Promowanie zdobywania kwalifikacji zawodowych”,</w:t>
      </w:r>
      <w:r w:rsidRPr="00E00B35">
        <w:rPr>
          <w:b/>
          <w:color w:val="000000"/>
          <w:szCs w:val="20"/>
          <w:lang w:val="pl-PL"/>
        </w:rPr>
        <w:t xml:space="preserve"> </w:t>
      </w:r>
      <w:r w:rsidRPr="00E00B35">
        <w:rPr>
          <w:color w:val="000000"/>
          <w:szCs w:val="20"/>
          <w:lang w:val="pl-PL"/>
        </w:rPr>
        <w:t xml:space="preserve">w których udział wzięło 491 uczniów. Z porad indywidualnych mogli skorzystać uczniowie i rodzice. Udzielono ich 1 851. </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Przeprowadzono spotkania informacyjne z rodzicami, dotyczące oferty edukacyjnej Wrocławia, elektronicznej rekrutacji, potrzeb rynku pracy, szkolnictwa ponadpodstawowego, w których uczestniczyło 1 603 rodziców. </w:t>
      </w:r>
    </w:p>
    <w:p w:rsidR="008C7751" w:rsidRPr="00E00B35" w:rsidRDefault="008C7751" w:rsidP="00E00B35">
      <w:pPr>
        <w:spacing w:after="0" w:line="312" w:lineRule="auto"/>
        <w:rPr>
          <w:color w:val="000000"/>
          <w:szCs w:val="20"/>
          <w:lang w:val="pl-PL"/>
        </w:rPr>
      </w:pPr>
      <w:r w:rsidRPr="00E00B35">
        <w:rPr>
          <w:rStyle w:val="normaltextrun"/>
          <w:color w:val="000000"/>
          <w:szCs w:val="20"/>
          <w:lang w:val="pl-PL"/>
        </w:rPr>
        <w:t>Przeprowadzono szkolenia nauczycieli prowadzących zajęcia z zakresu doradztwa zawodowego w szkołach podstawowych oraz wychowawców klas ósmych z roku szkolnego 2020/2021 (</w:t>
      </w:r>
      <w:r w:rsidRPr="00E00B35">
        <w:rPr>
          <w:rStyle w:val="normaltextrun"/>
          <w:bCs/>
          <w:color w:val="000000"/>
          <w:szCs w:val="20"/>
          <w:lang w:val="pl-PL"/>
        </w:rPr>
        <w:t>171 osób</w:t>
      </w:r>
      <w:r w:rsidRPr="00E00B35">
        <w:rPr>
          <w:rStyle w:val="normaltextrun"/>
          <w:color w:val="000000"/>
          <w:szCs w:val="20"/>
          <w:lang w:val="pl-PL"/>
        </w:rPr>
        <w:t>)</w:t>
      </w:r>
      <w:r w:rsidRPr="00E00B35">
        <w:rPr>
          <w:color w:val="000000"/>
          <w:szCs w:val="20"/>
          <w:lang w:val="pl-PL"/>
        </w:rPr>
        <w:t xml:space="preserve"> zdalnie za pomocą platformy Microsoft Teams</w:t>
      </w:r>
      <w:r w:rsidRPr="00E00B35">
        <w:rPr>
          <w:rStyle w:val="normaltextrun"/>
          <w:color w:val="000000"/>
          <w:szCs w:val="20"/>
          <w:lang w:val="pl-PL"/>
        </w:rPr>
        <w:t>; t</w:t>
      </w:r>
      <w:r w:rsidRPr="00E00B35">
        <w:rPr>
          <w:color w:val="000000"/>
          <w:szCs w:val="20"/>
          <w:lang w:val="pl-PL"/>
        </w:rPr>
        <w:t>ematyka szkolenia:</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system szkolnictwa ponadpodstawowego: oferta edukacyjna wrocławskich szkół ponadpodstawowych, zawody i kwalifikacje, ścieżki edukacyjne umożliwiające uzyskanie określonego zawodu, potrzeby wrocławskiego rynku pracy,</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zasady rekrutacji do szkół ponadpodstawowych: sposób przeliczania na punkty rekrutacyjne poszczególnych kryteriów uwzględnianych w postępowaniu rekrutacyjnym, tryb i terminy przeprowadzania postępowania rekrutacyjnego oraz postępowania uzupełniającego, wykaz zawodów wiedzy, artystycznych i sportowych, które mogą być wymienione na świadectwie ukończenia szkoły podstawowej,</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rekrutacja elektroniczna we Wrocławiu.</w:t>
      </w:r>
    </w:p>
    <w:p w:rsidR="000F2026" w:rsidRPr="00E00B35" w:rsidRDefault="000F2026"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W związku z zawieszeniem zajęć edukacyjnych w szkołach podstawowych w różnych okresach roku 2020, doradcy Centrum Kształcenia Zawodowego zrealizowali m.in. następujące zadania:</w:t>
      </w:r>
    </w:p>
    <w:p w:rsidR="008C7751" w:rsidRPr="00E00B35" w:rsidRDefault="008C7751" w:rsidP="00E00B35">
      <w:pPr>
        <w:pStyle w:val="Akapitzlist"/>
        <w:numPr>
          <w:ilvl w:val="0"/>
          <w:numId w:val="9"/>
        </w:numPr>
        <w:spacing w:after="0" w:line="312" w:lineRule="auto"/>
        <w:ind w:left="357" w:hanging="357"/>
        <w:rPr>
          <w:szCs w:val="20"/>
        </w:rPr>
      </w:pPr>
      <w:r w:rsidRPr="00E00B35">
        <w:rPr>
          <w:szCs w:val="20"/>
        </w:rPr>
        <w:t xml:space="preserve">utworzono na stronie </w:t>
      </w:r>
      <w:hyperlink r:id="rId54" w:history="1">
        <w:r w:rsidRPr="00E00B35">
          <w:rPr>
            <w:color w:val="000000"/>
            <w:szCs w:val="20"/>
          </w:rPr>
          <w:t>www.doradcy-wroclaw.pl</w:t>
        </w:r>
      </w:hyperlink>
      <w:r w:rsidRPr="00E00B35">
        <w:rPr>
          <w:szCs w:val="20"/>
        </w:rPr>
        <w:t xml:space="preserve"> zakładkę „Konsultacje indywidualne”, w której został umieszczony pakiet ćwiczeniowy dla ucznia klasy ósmej szkoły podstawowej, zawierający: prezentacje z najważniejszymi informacjami - o wrocławskich szkołach i zasadach rekrutacji, o kształceniu zawodowym, o zawodach artystycznych i sportowych oraz ćwiczenia z obliczania punktów rekrutacyjnych i układania listy preferencji; zamieszczono również harmonogram elektronicznej rekrutacji we Wrocławiu i instrukcję wypełniania elektronicznego wniosku o przyjęcie do szkoły ponadpodstawowej,</w:t>
      </w:r>
    </w:p>
    <w:p w:rsidR="008C7751" w:rsidRPr="00E00B35" w:rsidRDefault="008C7751" w:rsidP="00E00B35">
      <w:pPr>
        <w:pStyle w:val="Akapitzlist"/>
        <w:numPr>
          <w:ilvl w:val="0"/>
          <w:numId w:val="9"/>
        </w:numPr>
        <w:spacing w:after="0" w:line="312" w:lineRule="auto"/>
        <w:ind w:left="357" w:hanging="357"/>
        <w:rPr>
          <w:szCs w:val="20"/>
        </w:rPr>
      </w:pPr>
      <w:r w:rsidRPr="00E00B35">
        <w:rPr>
          <w:szCs w:val="20"/>
        </w:rPr>
        <w:t xml:space="preserve">zaktualizowano wszystkie informacje na stronie </w:t>
      </w:r>
      <w:hyperlink r:id="rId55" w:history="1">
        <w:r w:rsidRPr="00E00B35">
          <w:rPr>
            <w:color w:val="000000"/>
            <w:szCs w:val="20"/>
          </w:rPr>
          <w:t>www.doradcy-wroclaw.pl</w:t>
        </w:r>
      </w:hyperlink>
      <w:r w:rsidRPr="00E00B35">
        <w:rPr>
          <w:szCs w:val="20"/>
        </w:rPr>
        <w:t xml:space="preserve"> dla uczniów szkół podstawowych, dla uczniów ze specjalnymi potrzebami edukacyjnymi i dla uczniów szkół ponadpodstawowych (umieszczono ofertę wrocławskich szkół ponadpodstawowych z linkami na strony szkół w tym szkół specjalnych, oraz informacje o zasadach rekrutacji do szkół wyższych i policealnych),</w:t>
      </w:r>
    </w:p>
    <w:p w:rsidR="008C7751" w:rsidRPr="00E00B35" w:rsidRDefault="008C7751" w:rsidP="00E00B35">
      <w:pPr>
        <w:pStyle w:val="Akapitzlist"/>
        <w:numPr>
          <w:ilvl w:val="0"/>
          <w:numId w:val="9"/>
        </w:numPr>
        <w:spacing w:after="0" w:line="312" w:lineRule="auto"/>
        <w:ind w:left="357" w:hanging="357"/>
        <w:rPr>
          <w:szCs w:val="20"/>
        </w:rPr>
      </w:pPr>
      <w:r w:rsidRPr="00E00B35">
        <w:rPr>
          <w:szCs w:val="20"/>
        </w:rPr>
        <w:t>udostępniono materiały o zasadach postępowania rekrutacyjnego do szkół ponadpodstawowych dla wrocławskich doradców zawodowych, wychowawców, uczniów oraz rodziców i materiały umożliwiające między innymi poznanie siebie, poznanie swoich predyspozycji, swoich zainteresowań.</w:t>
      </w:r>
    </w:p>
    <w:p w:rsidR="000F2026" w:rsidRPr="00E00B35" w:rsidRDefault="000F2026" w:rsidP="00E00B35">
      <w:pPr>
        <w:pStyle w:val="11TrescpismaZnak"/>
        <w:spacing w:after="0" w:line="312" w:lineRule="auto"/>
        <w:jc w:val="left"/>
        <w:rPr>
          <w:color w:val="000000"/>
          <w:lang w:val="pl-PL"/>
        </w:rPr>
      </w:pPr>
    </w:p>
    <w:p w:rsidR="008C7751" w:rsidRPr="00E00B35" w:rsidRDefault="008C7751" w:rsidP="00E00B35">
      <w:pPr>
        <w:pStyle w:val="11TrescpismaZnak"/>
        <w:spacing w:after="0" w:line="312" w:lineRule="auto"/>
        <w:jc w:val="left"/>
        <w:rPr>
          <w:color w:val="000000"/>
          <w:lang w:val="pl-PL"/>
        </w:rPr>
      </w:pPr>
      <w:r w:rsidRPr="00E00B35">
        <w:rPr>
          <w:color w:val="000000"/>
          <w:lang w:val="pl-PL"/>
        </w:rPr>
        <w:lastRenderedPageBreak/>
        <w:t>Doradcy Międzyszkolnego Ośrodka Wspierania Aktywności Zawodowej pogłębiali swoje kompetencje poprzez udział w szkoleniach i warsztatach, m.in:</w:t>
      </w:r>
    </w:p>
    <w:p w:rsidR="008C7751" w:rsidRPr="00E00B35" w:rsidRDefault="008C7751" w:rsidP="00E00B35">
      <w:pPr>
        <w:pStyle w:val="Akapitzlist"/>
        <w:numPr>
          <w:ilvl w:val="0"/>
          <w:numId w:val="9"/>
        </w:numPr>
        <w:spacing w:after="0" w:line="312" w:lineRule="auto"/>
        <w:ind w:left="357" w:hanging="357"/>
        <w:rPr>
          <w:rStyle w:val="eop"/>
          <w:szCs w:val="20"/>
          <w:lang w:val="pl-PL"/>
        </w:rPr>
      </w:pPr>
      <w:r w:rsidRPr="00E00B35">
        <w:rPr>
          <w:rStyle w:val="eop"/>
          <w:color w:val="000000"/>
          <w:szCs w:val="20"/>
          <w:lang w:val="pl-PL"/>
        </w:rPr>
        <w:t>05.03.2020 r. - Rozwój kompetencji społeczno – ekonomicznych w zakresie przygotowania do prowadzenia edukacji finansowej w szkole ponadpodstawowej w ramach programu „Moje finanse” - Warsztaty edukacyjne dla nauczycieli edycja 2019/2020 Fundacja Młodzieżowej Przedsiębiorczości,</w:t>
      </w:r>
    </w:p>
    <w:p w:rsidR="008C7751" w:rsidRPr="00E00B35" w:rsidRDefault="008C7751" w:rsidP="00E00B35">
      <w:pPr>
        <w:pStyle w:val="Akapitzlist"/>
        <w:numPr>
          <w:ilvl w:val="0"/>
          <w:numId w:val="9"/>
        </w:numPr>
        <w:spacing w:after="0" w:line="312" w:lineRule="auto"/>
        <w:ind w:left="357" w:hanging="357"/>
        <w:rPr>
          <w:rStyle w:val="eop"/>
          <w:color w:val="000000"/>
          <w:szCs w:val="20"/>
        </w:rPr>
      </w:pPr>
      <w:r w:rsidRPr="00E00B35">
        <w:rPr>
          <w:rStyle w:val="eop"/>
          <w:szCs w:val="20"/>
        </w:rPr>
        <w:t>16.03.2020 r. Akademia Webinaru- Kim jesteś? - określanie typu osobowości a wybór zawodu,</w:t>
      </w:r>
    </w:p>
    <w:p w:rsidR="008C7751" w:rsidRPr="00E00B35" w:rsidRDefault="008C7751" w:rsidP="00E00B35">
      <w:pPr>
        <w:pStyle w:val="Akapitzlist"/>
        <w:numPr>
          <w:ilvl w:val="0"/>
          <w:numId w:val="9"/>
        </w:numPr>
        <w:spacing w:after="0" w:line="312" w:lineRule="auto"/>
        <w:ind w:left="357" w:hanging="357"/>
        <w:rPr>
          <w:rStyle w:val="eop"/>
          <w:color w:val="000000"/>
          <w:szCs w:val="20"/>
          <w:lang w:val="pl-PL"/>
        </w:rPr>
      </w:pPr>
      <w:r w:rsidRPr="00E00B35">
        <w:rPr>
          <w:rStyle w:val="eop"/>
          <w:color w:val="000000"/>
          <w:szCs w:val="20"/>
          <w:lang w:val="pl-PL"/>
        </w:rPr>
        <w:t xml:space="preserve">17.03.2020 r. - </w:t>
      </w:r>
      <w:r w:rsidRPr="00E00B35">
        <w:rPr>
          <w:rStyle w:val="eop"/>
          <w:szCs w:val="20"/>
        </w:rPr>
        <w:t xml:space="preserve">Studia podyplomowe: Doradztwo zawodowe i personalne. </w:t>
      </w:r>
      <w:r w:rsidRPr="00E00B35">
        <w:rPr>
          <w:rStyle w:val="eop"/>
          <w:szCs w:val="20"/>
          <w:lang w:val="pl-PL"/>
        </w:rPr>
        <w:t>Uczelnia Nauk Społecznych, Łódź,</w:t>
      </w:r>
    </w:p>
    <w:p w:rsidR="008C7751" w:rsidRPr="00E00B35" w:rsidRDefault="008C7751" w:rsidP="00E00B35">
      <w:pPr>
        <w:pStyle w:val="Akapitzlist"/>
        <w:numPr>
          <w:ilvl w:val="0"/>
          <w:numId w:val="9"/>
        </w:numPr>
        <w:spacing w:after="0" w:line="312" w:lineRule="auto"/>
        <w:ind w:left="357" w:hanging="357"/>
        <w:rPr>
          <w:rStyle w:val="eop"/>
          <w:color w:val="000000"/>
          <w:szCs w:val="20"/>
        </w:rPr>
      </w:pPr>
      <w:r w:rsidRPr="00E00B35">
        <w:rPr>
          <w:rStyle w:val="eop"/>
          <w:szCs w:val="20"/>
        </w:rPr>
        <w:t>05.05.2020 r. Akademia Webinaru - Twoje strategie na rozwój duchowy - w oparciu o wyniki badania osobowości MBTI,</w:t>
      </w:r>
    </w:p>
    <w:p w:rsidR="008C7751" w:rsidRPr="00E00B35" w:rsidRDefault="008C7751" w:rsidP="00E00B35">
      <w:pPr>
        <w:pStyle w:val="Akapitzlist"/>
        <w:numPr>
          <w:ilvl w:val="0"/>
          <w:numId w:val="9"/>
        </w:numPr>
        <w:spacing w:after="0" w:line="312" w:lineRule="auto"/>
        <w:ind w:left="357" w:hanging="357"/>
        <w:rPr>
          <w:rStyle w:val="eop"/>
          <w:color w:val="000000"/>
          <w:szCs w:val="20"/>
        </w:rPr>
      </w:pPr>
      <w:r w:rsidRPr="00E00B35">
        <w:rPr>
          <w:rStyle w:val="eop"/>
          <w:szCs w:val="20"/>
        </w:rPr>
        <w:t>06.05.2020 r. - zdalny Zlot Ponadczasowych Doradców Zawodowych,</w:t>
      </w:r>
    </w:p>
    <w:p w:rsidR="008C7751" w:rsidRPr="00E00B35" w:rsidRDefault="008C7751" w:rsidP="00E00B35">
      <w:pPr>
        <w:pStyle w:val="Akapitzlist"/>
        <w:numPr>
          <w:ilvl w:val="0"/>
          <w:numId w:val="9"/>
        </w:numPr>
        <w:spacing w:after="0" w:line="312" w:lineRule="auto"/>
        <w:ind w:left="357" w:hanging="357"/>
        <w:rPr>
          <w:rStyle w:val="eop"/>
          <w:color w:val="000000"/>
          <w:szCs w:val="20"/>
          <w:lang w:val="pl-PL"/>
        </w:rPr>
      </w:pPr>
      <w:r w:rsidRPr="00E00B35">
        <w:rPr>
          <w:rStyle w:val="eop"/>
          <w:color w:val="000000"/>
          <w:szCs w:val="20"/>
          <w:lang w:val="pl-PL"/>
        </w:rPr>
        <w:t>18.05.2020 r. - Ogólnopolska konferencja online: „Między szkołą a rynkiem pracy” Departament Edukacji i Nauki Urzędu Marszałkowskiego Województwa Wielkopolskiego/Akademia Webinaru,</w:t>
      </w:r>
    </w:p>
    <w:p w:rsidR="008C7751" w:rsidRPr="00E00B35" w:rsidRDefault="008C7751" w:rsidP="00E00B35">
      <w:pPr>
        <w:pStyle w:val="Akapitzlist"/>
        <w:numPr>
          <w:ilvl w:val="0"/>
          <w:numId w:val="9"/>
        </w:numPr>
        <w:spacing w:after="0" w:line="312" w:lineRule="auto"/>
        <w:ind w:left="357" w:hanging="357"/>
        <w:rPr>
          <w:rStyle w:val="eop"/>
          <w:color w:val="000000"/>
          <w:szCs w:val="20"/>
        </w:rPr>
      </w:pPr>
      <w:r w:rsidRPr="00E00B35">
        <w:rPr>
          <w:rStyle w:val="eop"/>
          <w:szCs w:val="20"/>
        </w:rPr>
        <w:t>20.05.2020 r. Akademia Webinaru, Centrum Wsparcia Rzemiosła, Kształcenia Dualnego i Zawodowego w Poznaniu, Centrum Wsparcia Rzemiosła, Kształcenia Dualnego i Zawodowego w Kaliszu, Centrum Wsparcia Rzemiosła, Kształcenia Dualnego i Zawodowego w Pile, Centrum Wsparcia Rzemiosła, Kształcenia Dualnego i Zawodowego w Lesznie, Centrum Wsparcia Rzemiosła, Kształcenia Dualnego i Zawodowego w Koninie- Ogólnopolska konferencja online Między szkołą a rynkiem pracy</w:t>
      </w:r>
      <w:bookmarkStart w:id="109" w:name="_Hlk42675748"/>
      <w:r w:rsidRPr="00E00B35">
        <w:rPr>
          <w:rStyle w:val="eop"/>
          <w:szCs w:val="20"/>
        </w:rPr>
        <w:t>,</w:t>
      </w:r>
    </w:p>
    <w:p w:rsidR="008C7751" w:rsidRPr="00E00B35" w:rsidRDefault="008C7751" w:rsidP="00E00B35">
      <w:pPr>
        <w:pStyle w:val="Akapitzlist"/>
        <w:numPr>
          <w:ilvl w:val="0"/>
          <w:numId w:val="9"/>
        </w:numPr>
        <w:spacing w:after="0" w:line="312" w:lineRule="auto"/>
        <w:ind w:left="357" w:hanging="357"/>
        <w:rPr>
          <w:rStyle w:val="eop"/>
          <w:color w:val="000000"/>
          <w:szCs w:val="20"/>
        </w:rPr>
      </w:pPr>
      <w:r w:rsidRPr="00E00B35">
        <w:rPr>
          <w:rStyle w:val="eop"/>
          <w:szCs w:val="20"/>
        </w:rPr>
        <w:t>21.05.2020 r. Pracuj.pl (webinar on-line) - 10 błędów w CV</w:t>
      </w:r>
      <w:bookmarkEnd w:id="109"/>
      <w:r w:rsidRPr="00E00B35">
        <w:rPr>
          <w:rStyle w:val="eop"/>
          <w:szCs w:val="20"/>
        </w:rPr>
        <w:t>,</w:t>
      </w:r>
    </w:p>
    <w:p w:rsidR="008C7751" w:rsidRPr="00E00B35" w:rsidRDefault="008C7751" w:rsidP="00E00B35">
      <w:pPr>
        <w:pStyle w:val="Akapitzlist"/>
        <w:numPr>
          <w:ilvl w:val="0"/>
          <w:numId w:val="9"/>
        </w:numPr>
        <w:spacing w:after="0" w:line="312" w:lineRule="auto"/>
        <w:ind w:left="357" w:hanging="357"/>
        <w:rPr>
          <w:rStyle w:val="eop"/>
          <w:color w:val="000000"/>
          <w:szCs w:val="20"/>
          <w:lang w:val="pl-PL"/>
        </w:rPr>
      </w:pPr>
      <w:r w:rsidRPr="00E00B35">
        <w:rPr>
          <w:rStyle w:val="eop"/>
          <w:color w:val="000000"/>
          <w:szCs w:val="20"/>
          <w:lang w:val="pl-PL"/>
        </w:rPr>
        <w:t xml:space="preserve">26.05.2020 r. - Szkolenie Security - czyli, jak bezpiecznie poruszać się w sieci, firma Atos Poland Global Services, </w:t>
      </w:r>
    </w:p>
    <w:p w:rsidR="008C7751" w:rsidRPr="00E00B35" w:rsidRDefault="008C7751" w:rsidP="00E00B35">
      <w:pPr>
        <w:pStyle w:val="Akapitzlist"/>
        <w:numPr>
          <w:ilvl w:val="0"/>
          <w:numId w:val="9"/>
        </w:numPr>
        <w:spacing w:after="0" w:line="312" w:lineRule="auto"/>
        <w:ind w:left="357" w:hanging="357"/>
        <w:rPr>
          <w:rStyle w:val="eop"/>
          <w:color w:val="000000"/>
          <w:szCs w:val="20"/>
          <w:lang w:val="pl-PL"/>
        </w:rPr>
      </w:pPr>
      <w:r w:rsidRPr="00E00B35">
        <w:rPr>
          <w:rStyle w:val="eop"/>
          <w:color w:val="000000"/>
          <w:szCs w:val="20"/>
          <w:lang w:val="pl-PL"/>
        </w:rPr>
        <w:t xml:space="preserve">27.05.2020 r. - Jak pomóc dziecku w wyborach edukacyjno-zawodowych? Fundacja Katalyst Education, </w:t>
      </w:r>
    </w:p>
    <w:p w:rsidR="008C7751" w:rsidRPr="00E00B35" w:rsidRDefault="008C7751" w:rsidP="00E00B35">
      <w:pPr>
        <w:pStyle w:val="Akapitzlist"/>
        <w:numPr>
          <w:ilvl w:val="0"/>
          <w:numId w:val="9"/>
        </w:numPr>
        <w:spacing w:after="0" w:line="312" w:lineRule="auto"/>
        <w:ind w:left="357" w:hanging="357"/>
        <w:rPr>
          <w:rStyle w:val="eop"/>
          <w:color w:val="000000"/>
          <w:szCs w:val="20"/>
        </w:rPr>
      </w:pPr>
      <w:r w:rsidRPr="00E00B35">
        <w:rPr>
          <w:rStyle w:val="eop"/>
          <w:szCs w:val="20"/>
        </w:rPr>
        <w:t>28.05.2020 r. Mapa Karier (webinar) - Współczesny doradca zawodowy jako ekspert w dynamicznym e-rynku,</w:t>
      </w:r>
    </w:p>
    <w:p w:rsidR="008C7751" w:rsidRPr="00E00B35" w:rsidRDefault="008C7751" w:rsidP="00E00B35">
      <w:pPr>
        <w:pStyle w:val="Akapitzlist"/>
        <w:numPr>
          <w:ilvl w:val="0"/>
          <w:numId w:val="9"/>
        </w:numPr>
        <w:spacing w:after="0" w:line="312" w:lineRule="auto"/>
        <w:ind w:left="357" w:hanging="357"/>
        <w:rPr>
          <w:rStyle w:val="eop"/>
          <w:color w:val="000000"/>
          <w:szCs w:val="20"/>
          <w:lang w:val="pl-PL"/>
        </w:rPr>
      </w:pPr>
      <w:r w:rsidRPr="00E00B35">
        <w:rPr>
          <w:rStyle w:val="eop"/>
          <w:color w:val="000000"/>
          <w:szCs w:val="20"/>
          <w:lang w:val="pl-PL"/>
        </w:rPr>
        <w:t>29.05.2020 r. - Szkolenie z narzędzia Google Classroom - firma Atos Poland Global Services,</w:t>
      </w:r>
    </w:p>
    <w:p w:rsidR="008C7751" w:rsidRPr="00E00B35" w:rsidRDefault="008C7751" w:rsidP="00E00B35">
      <w:pPr>
        <w:pStyle w:val="Akapitzlist"/>
        <w:numPr>
          <w:ilvl w:val="0"/>
          <w:numId w:val="9"/>
        </w:numPr>
        <w:spacing w:after="0" w:line="312" w:lineRule="auto"/>
        <w:ind w:left="357" w:hanging="357"/>
        <w:rPr>
          <w:rStyle w:val="eop"/>
          <w:color w:val="000000"/>
          <w:szCs w:val="20"/>
          <w:lang w:val="pl-PL"/>
        </w:rPr>
      </w:pPr>
      <w:r w:rsidRPr="00E00B35">
        <w:rPr>
          <w:rStyle w:val="eop"/>
          <w:color w:val="000000"/>
          <w:szCs w:val="20"/>
          <w:lang w:val="pl-PL"/>
        </w:rPr>
        <w:t xml:space="preserve">02.06.2020 r. – Szkolenie z aplikacji Kahoot, MS Forms, Learningapps firma Atos Poland Global Services, </w:t>
      </w:r>
    </w:p>
    <w:p w:rsidR="008C7751" w:rsidRPr="00E00B35" w:rsidRDefault="008C7751" w:rsidP="00E00B35">
      <w:pPr>
        <w:pStyle w:val="Akapitzlist"/>
        <w:numPr>
          <w:ilvl w:val="0"/>
          <w:numId w:val="9"/>
        </w:numPr>
        <w:spacing w:after="0" w:line="312" w:lineRule="auto"/>
        <w:ind w:left="357" w:hanging="357"/>
        <w:rPr>
          <w:rStyle w:val="eop"/>
          <w:color w:val="000000"/>
          <w:szCs w:val="20"/>
          <w:lang w:val="pl-PL"/>
        </w:rPr>
      </w:pPr>
      <w:r w:rsidRPr="00E00B35">
        <w:rPr>
          <w:rStyle w:val="eop"/>
          <w:color w:val="000000"/>
          <w:szCs w:val="20"/>
          <w:lang w:val="pl-PL"/>
        </w:rPr>
        <w:t>04.06.2020 r. – Szkolenie z aplikacji MS Teams firma Atos Poland Global Services,</w:t>
      </w:r>
    </w:p>
    <w:p w:rsidR="008C7751" w:rsidRPr="00E00B35" w:rsidRDefault="008C7751" w:rsidP="00E00B35">
      <w:pPr>
        <w:pStyle w:val="Akapitzlist"/>
        <w:numPr>
          <w:ilvl w:val="0"/>
          <w:numId w:val="9"/>
        </w:numPr>
        <w:spacing w:after="0" w:line="312" w:lineRule="auto"/>
        <w:ind w:left="357" w:hanging="357"/>
        <w:rPr>
          <w:rStyle w:val="eop"/>
          <w:color w:val="000000"/>
          <w:szCs w:val="20"/>
        </w:rPr>
      </w:pPr>
      <w:r w:rsidRPr="00E00B35">
        <w:rPr>
          <w:rStyle w:val="eop"/>
          <w:color w:val="000000"/>
          <w:szCs w:val="20"/>
          <w:lang w:val="pl-PL"/>
        </w:rPr>
        <w:t>0</w:t>
      </w:r>
      <w:r w:rsidRPr="00E00B35">
        <w:rPr>
          <w:rStyle w:val="eop"/>
          <w:szCs w:val="20"/>
        </w:rPr>
        <w:t>4.06.2020 r. „FRIS jako Kompas Kariery” (narzędzie dla Doradcy Zawodowego),</w:t>
      </w:r>
    </w:p>
    <w:p w:rsidR="008C7751" w:rsidRPr="00E00B35" w:rsidRDefault="008C7751" w:rsidP="00E00B35">
      <w:pPr>
        <w:pStyle w:val="Akapitzlist"/>
        <w:numPr>
          <w:ilvl w:val="0"/>
          <w:numId w:val="9"/>
        </w:numPr>
        <w:spacing w:after="0" w:line="312" w:lineRule="auto"/>
        <w:ind w:left="357" w:hanging="357"/>
        <w:rPr>
          <w:rStyle w:val="eop"/>
          <w:color w:val="000000"/>
          <w:szCs w:val="20"/>
          <w:lang w:val="pl-PL"/>
        </w:rPr>
      </w:pPr>
      <w:r w:rsidRPr="00E00B35">
        <w:rPr>
          <w:rStyle w:val="eop"/>
          <w:color w:val="000000"/>
          <w:szCs w:val="20"/>
          <w:lang w:val="pl-PL"/>
        </w:rPr>
        <w:t>08.06.2020 r. – Kwestionariusz Keirsey - określanie typu temperamentu w pracy doradcy zawodowego Akademia Webinaru,</w:t>
      </w:r>
    </w:p>
    <w:p w:rsidR="008C7751" w:rsidRPr="00E00B35" w:rsidRDefault="008C7751" w:rsidP="00E00B35">
      <w:pPr>
        <w:pStyle w:val="Akapitzlist"/>
        <w:numPr>
          <w:ilvl w:val="0"/>
          <w:numId w:val="9"/>
        </w:numPr>
        <w:spacing w:after="0" w:line="312" w:lineRule="auto"/>
        <w:ind w:left="357" w:hanging="357"/>
        <w:rPr>
          <w:rStyle w:val="eop"/>
          <w:color w:val="000000"/>
          <w:szCs w:val="20"/>
          <w:lang w:val="pl-PL"/>
        </w:rPr>
      </w:pPr>
      <w:r w:rsidRPr="00E00B35">
        <w:rPr>
          <w:rStyle w:val="eop"/>
          <w:color w:val="000000"/>
          <w:szCs w:val="20"/>
          <w:lang w:val="pl-PL"/>
        </w:rPr>
        <w:t>09.06.2020 r. - „Zawody przyszłości - co wiemy już dziś?”! Fundacja Katalyst Education,</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09.06.2020 r. – Doradca zawodowy – kreator kariery młodych ludzi Fundacja Inspirator,</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lastRenderedPageBreak/>
        <w:t>16.06.2020 r. – Centrum Szkoleń i Promocji Zatrudnienia - transmisja na żywo (grupa zamknięta fb) 14 rzeczy, które powinien zrobić każdy doradca zawodowy w kierunku doskonalenia swojego warsztatu,</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6.08.2020 r. ,,Kompetencje czy kwalifikacje? Nowe wyzwania w doradztwie edukacyjno-zawodowym”,</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06-08.10.2020 r. - Nowe trendy w doradztwie zawodowym - wyzwania, etapy, metody - Konferencja Instytutu Badań Edukacyjnych,</w:t>
      </w:r>
    </w:p>
    <w:p w:rsidR="008C7751" w:rsidRPr="00E00B35" w:rsidRDefault="008C7751" w:rsidP="00E00B35">
      <w:pPr>
        <w:pStyle w:val="Akapitzlist"/>
        <w:numPr>
          <w:ilvl w:val="0"/>
          <w:numId w:val="9"/>
        </w:numPr>
        <w:spacing w:after="0" w:line="312" w:lineRule="auto"/>
        <w:ind w:left="357" w:hanging="357"/>
        <w:rPr>
          <w:szCs w:val="20"/>
          <w:lang w:val="pl-PL"/>
        </w:rPr>
      </w:pPr>
      <w:r w:rsidRPr="00E00B35">
        <w:rPr>
          <w:color w:val="000000"/>
          <w:szCs w:val="20"/>
          <w:lang w:val="pl-PL"/>
        </w:rPr>
        <w:t>03.11.2020 r. „Dwie perspektywy rynku pracy – warsztaty narzędziowe dla doradców zawodowych” w ramach projektu „Erasmus Employment Plus”./Społeczna Akademia Nauk (online),</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04.11.2020 r. „ Oczekiwania szkoły i uczniów oraz rodziców wobec rynku pracy. Rola doradztwa zawodowego”. / „Rozwój współpracy z pracodawcami w zakresie adekwatności, jakości i atrakcyjności kształcenia zawodowego oraz doradztwa zawodowego". Ośrodek Rozwoju Edukacji,</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02.12.2020 r. „Szkoła po pandemii. Nieodwracalne zmiany. Czy powrót szkoły w dawnym kształcie jest możliwy?” „Edukacja dla innowacji. Innowacje w edukacji” - Fundacja Zaawansowanych Technologii,</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14.12.2020 r. – „Jak przekonać do siebie pracodawcę podczas rozmowy kwalifikacyjnej?” Marta Fronczak - Biuro Karier i Praktyk DSW,</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15.12.2020 r. – „Doradztwo zawodowe w liceum. Scenariusze i praktyczne wskazówki.” - Mapa Karier,</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17.12.2020 Poradnictwo za rzecz budowania sprawiedliwości społecznej – XI Seminarium Naukowe w Katedrze UNESCO przy Uniwersytecie Wrocławskim. </w:t>
      </w:r>
    </w:p>
    <w:p w:rsidR="008C7751" w:rsidRPr="00E00B35" w:rsidRDefault="008C7751" w:rsidP="00E00B35">
      <w:pPr>
        <w:pStyle w:val="Akapitzlist"/>
        <w:spacing w:after="0" w:line="312" w:lineRule="auto"/>
        <w:ind w:left="0"/>
        <w:rPr>
          <w:rFonts w:cs="Arial"/>
          <w:color w:val="000000"/>
          <w:szCs w:val="20"/>
          <w:lang w:val="pl-PL"/>
        </w:rPr>
      </w:pPr>
      <w:r w:rsidRPr="00E00B35">
        <w:rPr>
          <w:rFonts w:cs="Arial"/>
          <w:color w:val="000000"/>
          <w:szCs w:val="20"/>
          <w:lang w:val="pl-PL"/>
        </w:rPr>
        <w:br w:type="page"/>
      </w:r>
    </w:p>
    <w:p w:rsidR="008C7751" w:rsidRPr="00E00B35" w:rsidRDefault="008C7751" w:rsidP="00E00B35">
      <w:pPr>
        <w:pStyle w:val="Akapitzlist"/>
        <w:spacing w:after="0" w:line="312" w:lineRule="auto"/>
        <w:ind w:left="0"/>
        <w:rPr>
          <w:rFonts w:cs="Arial"/>
          <w:color w:val="000000"/>
          <w:szCs w:val="20"/>
          <w:lang w:val="pl-PL"/>
        </w:rPr>
      </w:pPr>
    </w:p>
    <w:p w:rsidR="008C7751" w:rsidRPr="00E00B35" w:rsidRDefault="008C7751" w:rsidP="00E00B35">
      <w:pPr>
        <w:spacing w:after="0" w:line="312" w:lineRule="auto"/>
        <w:rPr>
          <w:rFonts w:eastAsia="Arial Unicode MS"/>
          <w:color w:val="000000"/>
          <w:szCs w:val="20"/>
          <w:lang w:val="pl-PL"/>
        </w:rPr>
      </w:pPr>
      <w:r w:rsidRPr="00E00B35">
        <w:rPr>
          <w:rFonts w:cs="Arial"/>
          <w:color w:val="000000"/>
          <w:szCs w:val="20"/>
          <w:lang w:val="pl-PL"/>
        </w:rPr>
        <w:t>Tabela 16. Pracodawcy współpracujący z wrocławskimi szkołami zawodowymi (przykłady):</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2127"/>
        <w:gridCol w:w="3827"/>
        <w:gridCol w:w="2551"/>
      </w:tblGrid>
      <w:tr w:rsidR="008C7751" w:rsidRPr="00E00B35" w:rsidTr="008C7751">
        <w:trPr>
          <w:trHeight w:val="319"/>
          <w:tblHeader/>
        </w:trPr>
        <w:tc>
          <w:tcPr>
            <w:tcW w:w="56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b/>
                <w:color w:val="000000"/>
                <w:szCs w:val="20"/>
              </w:rPr>
            </w:pPr>
            <w:r w:rsidRPr="00E00B35">
              <w:rPr>
                <w:b/>
                <w:color w:val="000000"/>
                <w:szCs w:val="20"/>
              </w:rPr>
              <w:t>Lp.</w:t>
            </w: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b/>
                <w:color w:val="000000"/>
                <w:szCs w:val="20"/>
              </w:rPr>
            </w:pPr>
            <w:r w:rsidRPr="00E00B35">
              <w:rPr>
                <w:b/>
                <w:color w:val="000000"/>
                <w:szCs w:val="20"/>
              </w:rPr>
              <w:t>Szkoła</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b/>
                <w:color w:val="000000"/>
                <w:szCs w:val="20"/>
              </w:rPr>
            </w:pPr>
            <w:r w:rsidRPr="00E00B35">
              <w:rPr>
                <w:b/>
                <w:color w:val="000000"/>
                <w:szCs w:val="20"/>
              </w:rPr>
              <w:t>Pracodawcy</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b/>
                <w:color w:val="000000"/>
                <w:szCs w:val="20"/>
              </w:rPr>
            </w:pPr>
            <w:r w:rsidRPr="00E00B35">
              <w:rPr>
                <w:b/>
                <w:color w:val="000000"/>
                <w:szCs w:val="20"/>
              </w:rPr>
              <w:t>Zakresy współpracy</w:t>
            </w:r>
          </w:p>
        </w:tc>
      </w:tr>
      <w:tr w:rsidR="008C7751" w:rsidRPr="00E00B35" w:rsidTr="008C7751">
        <w:trPr>
          <w:trHeight w:val="617"/>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rPr>
            </w:pPr>
            <w:r w:rsidRPr="00E00B35">
              <w:rPr>
                <w:color w:val="000000"/>
                <w:szCs w:val="20"/>
              </w:rPr>
              <w:t>Zespół Szkół nr 1</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Impel IT sp. z o.o., TWINS COMPANY LTD - garnitury i szycie na miarę Sp. z o.o., PSI - Projektowanie Systemów Informatycznych</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Umowy w ramach praktyk zawodowych</w:t>
            </w:r>
          </w:p>
        </w:tc>
      </w:tr>
      <w:tr w:rsidR="008C7751" w:rsidRPr="00E00B35" w:rsidTr="008C7751">
        <w:trPr>
          <w:trHeight w:val="617"/>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pl-PL"/>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rPr>
            </w:pPr>
            <w:r w:rsidRPr="00E00B35">
              <w:rPr>
                <w:color w:val="000000"/>
                <w:szCs w:val="20"/>
              </w:rPr>
              <w:t>Zespół Szkół nr 2</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Mirosław Wróbel Sp. z o.o. Autoryzowany Dealer Mercedes - Benz, Mirosław Wróbel Sp. z o.o. Centrum Blacharsko – Lakiernicze, Uni-Truck Sp. z o.o.,</w:t>
            </w:r>
          </w:p>
          <w:p w:rsidR="008C7751" w:rsidRPr="00E00B35" w:rsidRDefault="008C7751" w:rsidP="00E00B35">
            <w:pPr>
              <w:spacing w:after="0" w:line="312" w:lineRule="auto"/>
              <w:rPr>
                <w:color w:val="000000"/>
                <w:szCs w:val="20"/>
              </w:rPr>
            </w:pPr>
            <w:r w:rsidRPr="00E00B35">
              <w:rPr>
                <w:color w:val="000000"/>
                <w:szCs w:val="20"/>
              </w:rPr>
              <w:t>INTER-CARS, Pol-Motors Sp. z o.o., Duda Cars SA</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 Klasy dedykowane w zawodach branży samochodowej </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 Egzaminy patronackie na zakończenie cyklu kształcenia </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 Udział w konkursach międzyszkolnych </w:t>
            </w:r>
          </w:p>
          <w:p w:rsidR="008C7751" w:rsidRPr="00E00B35" w:rsidRDefault="008C7751" w:rsidP="00E00B35">
            <w:pPr>
              <w:spacing w:after="0" w:line="312" w:lineRule="auto"/>
              <w:rPr>
                <w:color w:val="000000"/>
                <w:szCs w:val="20"/>
                <w:lang w:val="pl-PL"/>
              </w:rPr>
            </w:pPr>
            <w:r w:rsidRPr="00E00B35">
              <w:rPr>
                <w:color w:val="000000"/>
                <w:szCs w:val="20"/>
                <w:lang w:val="pl-PL"/>
              </w:rPr>
              <w:t>- Forum zawodowe</w:t>
            </w:r>
          </w:p>
        </w:tc>
      </w:tr>
      <w:tr w:rsidR="008C7751" w:rsidRPr="00E00B35" w:rsidTr="008C7751">
        <w:trPr>
          <w:trHeight w:val="617"/>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pl-PL"/>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rPr>
            </w:pPr>
            <w:r w:rsidRPr="00E00B35">
              <w:rPr>
                <w:color w:val="000000"/>
                <w:szCs w:val="20"/>
              </w:rPr>
              <w:t>Zespół Szkół nr 3</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rPr>
            </w:pPr>
            <w:r w:rsidRPr="00E00B35">
              <w:rPr>
                <w:color w:val="000000"/>
                <w:szCs w:val="20"/>
              </w:rPr>
              <w:t xml:space="preserve">Port Lotniczy Wrocław S.A., Double Tree by Hilton Hotel Wrocław, Novotel Wrocław City, BSH Sprzęt Gospodarstwa Domowego Sp. z o.o., Orbis Hotel Group, Camino Biuro Podróży, The Granary-Lasutte Hotel      </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 Umowy w ramach praktyk zawodowych </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 Doposażenie pracowni </w:t>
            </w:r>
          </w:p>
        </w:tc>
      </w:tr>
      <w:tr w:rsidR="008C7751" w:rsidRPr="00E00B35" w:rsidTr="008C7751">
        <w:trPr>
          <w:trHeight w:val="641"/>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de-DE"/>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de-DE"/>
              </w:rPr>
            </w:pPr>
            <w:r w:rsidRPr="00E00B35">
              <w:rPr>
                <w:color w:val="000000"/>
                <w:szCs w:val="20"/>
                <w:lang w:val="de-DE"/>
              </w:rPr>
              <w:t xml:space="preserve">Zespół  Szkół nr 18 </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de-DE"/>
              </w:rPr>
            </w:pPr>
            <w:r w:rsidRPr="00E00B35">
              <w:rPr>
                <w:color w:val="000000"/>
                <w:szCs w:val="20"/>
                <w:lang w:val="de-DE"/>
              </w:rPr>
              <w:t>„Elektrotim”S.A, „3M”, ABB, Donako, Fortaco, Pneumat System, Schumacher, InTechnologia, Jungheinrich, RAWPLUG S.A, Control Hydraulik, GESTAMP SP. z o.o., PARKER POLSKA SP. z o.o., VOLVO POLSKA VOLZ HYDRAULIK  SP. z o.o., ZAE  SP. z o.o., ARCHIMEDES SP. z o.o., HILTI SP. z o.o., Tauron, Widex, Aspa, Cargill, Comel elektronika i automatyka, IBS DESTGN</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 Klasy dedykowane w zawodach kształconych przez szkołę </w:t>
            </w:r>
          </w:p>
          <w:p w:rsidR="008C7751" w:rsidRPr="00E00B35" w:rsidRDefault="008C7751" w:rsidP="00E00B35">
            <w:pPr>
              <w:spacing w:after="0" w:line="312" w:lineRule="auto"/>
              <w:rPr>
                <w:color w:val="000000"/>
                <w:szCs w:val="20"/>
                <w:lang w:val="pl-PL"/>
              </w:rPr>
            </w:pPr>
            <w:r w:rsidRPr="00E00B35">
              <w:rPr>
                <w:color w:val="000000"/>
                <w:szCs w:val="20"/>
                <w:lang w:val="pl-PL"/>
              </w:rPr>
              <w:t>- Stypendia dla uczniów</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 Doposażenie pracowni zawodowych </w:t>
            </w:r>
          </w:p>
          <w:p w:rsidR="008C7751" w:rsidRPr="00E00B35" w:rsidRDefault="008C7751" w:rsidP="00E00B35">
            <w:pPr>
              <w:spacing w:after="0" w:line="312" w:lineRule="auto"/>
              <w:rPr>
                <w:color w:val="000000"/>
                <w:szCs w:val="20"/>
              </w:rPr>
            </w:pPr>
            <w:r w:rsidRPr="00E00B35">
              <w:rPr>
                <w:color w:val="000000"/>
                <w:szCs w:val="20"/>
              </w:rPr>
              <w:t>- Umowy w ramach praktyk zawodowych</w:t>
            </w:r>
          </w:p>
          <w:p w:rsidR="008C7751" w:rsidRPr="00E00B35" w:rsidRDefault="008C7751" w:rsidP="00E00B35">
            <w:pPr>
              <w:pStyle w:val="Tekstkomentarza"/>
              <w:spacing w:after="0" w:line="312" w:lineRule="auto"/>
              <w:rPr>
                <w:color w:val="000000"/>
              </w:rPr>
            </w:pPr>
          </w:p>
        </w:tc>
      </w:tr>
      <w:tr w:rsidR="008C7751" w:rsidRPr="00E00B35" w:rsidTr="008C7751">
        <w:trPr>
          <w:trHeight w:val="1475"/>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nb-NO"/>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nb-NO"/>
              </w:rPr>
            </w:pPr>
            <w:r w:rsidRPr="00E00B35">
              <w:rPr>
                <w:color w:val="000000"/>
                <w:szCs w:val="20"/>
                <w:lang w:val="nb-NO"/>
              </w:rPr>
              <w:t>Lotnicze Zakłady Naukowe</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pStyle w:val="Tekstdymka1"/>
              <w:spacing w:after="0" w:line="312" w:lineRule="auto"/>
              <w:rPr>
                <w:rFonts w:ascii="Verdana" w:hAnsi="Verdana"/>
                <w:bCs/>
                <w:color w:val="000000"/>
                <w:sz w:val="20"/>
                <w:szCs w:val="20"/>
                <w:lang w:val="nb-NO"/>
              </w:rPr>
            </w:pPr>
            <w:r w:rsidRPr="00E00B35">
              <w:rPr>
                <w:rFonts w:ascii="Verdana" w:hAnsi="Verdana" w:cs="Times New Roman"/>
                <w:color w:val="000000"/>
                <w:sz w:val="20"/>
                <w:szCs w:val="20"/>
                <w:lang w:val="nb-NO"/>
              </w:rPr>
              <w:t>UTC Aerospace Systems, Aspiex Sp.z.o.o, Whirlpool Polska Sp. z o.o.,  Bosch Sp.z o.o., Pneumat System Sp.zo.o., Port Lotniczy,</w:t>
            </w:r>
            <w:r w:rsidRPr="00E00B35">
              <w:rPr>
                <w:rFonts w:ascii="Verdana" w:hAnsi="Verdana"/>
                <w:bCs/>
                <w:color w:val="000000"/>
                <w:sz w:val="20"/>
                <w:szCs w:val="20"/>
                <w:lang w:val="nb-NO"/>
              </w:rPr>
              <w:t xml:space="preserve"> Support,</w:t>
            </w:r>
            <w:r w:rsidRPr="00E00B35">
              <w:rPr>
                <w:rFonts w:ascii="Verdana" w:hAnsi="Verdana"/>
                <w:color w:val="000000"/>
                <w:sz w:val="20"/>
                <w:szCs w:val="20"/>
                <w:lang w:val="nb-NO"/>
              </w:rPr>
              <w:t xml:space="preserve"> </w:t>
            </w:r>
            <w:r w:rsidRPr="00E00B35">
              <w:rPr>
                <w:rFonts w:ascii="Verdana" w:hAnsi="Verdana"/>
                <w:bCs/>
                <w:color w:val="000000"/>
                <w:sz w:val="20"/>
                <w:szCs w:val="20"/>
                <w:lang w:val="nb-NO"/>
              </w:rPr>
              <w:t>Danfoss, WABCO,</w:t>
            </w:r>
            <w:r w:rsidRPr="00E00B35">
              <w:rPr>
                <w:rFonts w:ascii="Verdana" w:hAnsi="Verdana" w:cs="Times New Roman"/>
                <w:color w:val="000000"/>
                <w:sz w:val="20"/>
                <w:szCs w:val="20"/>
                <w:lang w:val="nb-NO"/>
              </w:rPr>
              <w:t xml:space="preserve"> </w:t>
            </w:r>
            <w:r w:rsidRPr="00E00B35">
              <w:rPr>
                <w:rFonts w:ascii="Verdana" w:hAnsi="Verdana"/>
                <w:bCs/>
                <w:color w:val="000000"/>
                <w:sz w:val="20"/>
                <w:szCs w:val="20"/>
                <w:lang w:val="nb-NO"/>
              </w:rPr>
              <w:lastRenderedPageBreak/>
              <w:t>Wałbrzyska  i Legnicka Strefa Ekonomiczna „Invest-Park”, Collins, WAMS RYANAIR</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lastRenderedPageBreak/>
              <w:t>- Patronat Firmy</w:t>
            </w:r>
            <w:r w:rsidRPr="00E00B35">
              <w:rPr>
                <w:color w:val="000000"/>
                <w:szCs w:val="20"/>
                <w:lang w:val="nb-NO"/>
              </w:rPr>
              <w:t xml:space="preserve"> UTC Aerospace Systems</w:t>
            </w:r>
            <w:r w:rsidRPr="00E00B35">
              <w:rPr>
                <w:color w:val="000000"/>
                <w:szCs w:val="20"/>
                <w:lang w:val="pl-PL"/>
              </w:rPr>
              <w:t xml:space="preserve"> w klasach dedykowanych</w:t>
            </w:r>
          </w:p>
          <w:p w:rsidR="008C7751" w:rsidRPr="00E00B35" w:rsidRDefault="008C7751" w:rsidP="00E00B35">
            <w:pPr>
              <w:spacing w:after="0" w:line="312" w:lineRule="auto"/>
              <w:rPr>
                <w:color w:val="000000"/>
                <w:szCs w:val="20"/>
                <w:lang w:val="pl-PL"/>
              </w:rPr>
            </w:pPr>
            <w:r w:rsidRPr="00E00B35">
              <w:rPr>
                <w:color w:val="000000"/>
                <w:szCs w:val="20"/>
                <w:lang w:val="pl-PL"/>
              </w:rPr>
              <w:t>- Pierwszy klaster edukacyjny</w:t>
            </w:r>
          </w:p>
          <w:p w:rsidR="008C7751" w:rsidRPr="00E00B35" w:rsidRDefault="008C7751" w:rsidP="00E00B35">
            <w:pPr>
              <w:spacing w:after="0" w:line="312" w:lineRule="auto"/>
              <w:rPr>
                <w:color w:val="000000"/>
                <w:szCs w:val="20"/>
                <w:lang w:val="pl-PL"/>
              </w:rPr>
            </w:pPr>
            <w:r w:rsidRPr="00E00B35">
              <w:rPr>
                <w:color w:val="000000"/>
                <w:szCs w:val="20"/>
                <w:lang w:val="pl-PL"/>
              </w:rPr>
              <w:lastRenderedPageBreak/>
              <w:t>- Firma WAMS-RYANAIR objęła patronatem od roku szkolnego 2018/2019 uczniów klasy pierwszej w zawodzie Technik Mechanik Lotniczy</w:t>
            </w:r>
          </w:p>
        </w:tc>
      </w:tr>
      <w:tr w:rsidR="008C7751" w:rsidRPr="00E00B35" w:rsidTr="008C7751">
        <w:trPr>
          <w:trHeight w:val="641"/>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pl-PL"/>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rPr>
            </w:pPr>
            <w:r w:rsidRPr="00E00B35">
              <w:rPr>
                <w:color w:val="000000"/>
                <w:szCs w:val="20"/>
              </w:rPr>
              <w:t>Elektroniczne Zakłady Naukowe</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rPr>
            </w:pPr>
            <w:r w:rsidRPr="00E00B35">
              <w:rPr>
                <w:color w:val="000000"/>
                <w:szCs w:val="20"/>
              </w:rPr>
              <w:t>Asplex, Proline, ANT Computers, Arest, w-support, M3Group, DPI Service, Tatarek, Korbank S.A., Pneumat System,</w:t>
            </w:r>
            <w:r w:rsidRPr="00E00B35">
              <w:rPr>
                <w:bCs/>
                <w:color w:val="000000"/>
                <w:szCs w:val="20"/>
              </w:rPr>
              <w:t xml:space="preserve"> Cisco</w:t>
            </w:r>
            <w:r w:rsidRPr="00E00B35">
              <w:rPr>
                <w:color w:val="000000"/>
                <w:szCs w:val="20"/>
              </w:rPr>
              <w:t>.</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Umowy w ramach praktyk zawodowych,</w:t>
            </w:r>
          </w:p>
          <w:p w:rsidR="008C7751" w:rsidRPr="00E00B35" w:rsidRDefault="008C7751" w:rsidP="00E00B35">
            <w:pPr>
              <w:spacing w:after="0" w:line="312" w:lineRule="auto"/>
              <w:rPr>
                <w:color w:val="000000"/>
                <w:szCs w:val="20"/>
                <w:lang w:val="pl-PL"/>
              </w:rPr>
            </w:pPr>
            <w:r w:rsidRPr="00E00B35">
              <w:rPr>
                <w:bCs/>
                <w:color w:val="000000"/>
                <w:szCs w:val="20"/>
                <w:lang w:val="pl-PL"/>
              </w:rPr>
              <w:t>- Akademia Sieci Cisco (CNA)- patronat firmy „Cisco”</w:t>
            </w:r>
          </w:p>
        </w:tc>
      </w:tr>
      <w:tr w:rsidR="008C7751" w:rsidRPr="00E00B35" w:rsidTr="008C7751">
        <w:trPr>
          <w:trHeight w:val="641"/>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pl-PL"/>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rPr>
            </w:pPr>
            <w:r w:rsidRPr="00E00B35">
              <w:rPr>
                <w:color w:val="000000"/>
                <w:szCs w:val="20"/>
              </w:rPr>
              <w:t>Zespół Szkół Budowlanych</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Rockwool, Dolina Nidy, Betard, Dublet, Specbud, Erbud S.A., TPI Oddział Wrocław</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Organizacja staży dla uczniów</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-Umowy w ramach praktyk zawodowych </w:t>
            </w:r>
          </w:p>
          <w:p w:rsidR="008C7751" w:rsidRPr="00E00B35" w:rsidRDefault="008C7751" w:rsidP="00E00B35">
            <w:pPr>
              <w:spacing w:after="0" w:line="312" w:lineRule="auto"/>
              <w:rPr>
                <w:color w:val="000000"/>
                <w:szCs w:val="20"/>
              </w:rPr>
            </w:pPr>
            <w:r w:rsidRPr="00E00B35">
              <w:rPr>
                <w:color w:val="000000"/>
                <w:szCs w:val="20"/>
              </w:rPr>
              <w:t>- Doposażenie pracowni</w:t>
            </w:r>
          </w:p>
        </w:tc>
      </w:tr>
      <w:tr w:rsidR="008C7751" w:rsidRPr="00E00B35" w:rsidTr="008C7751">
        <w:trPr>
          <w:trHeight w:val="282"/>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Zespół Szkół Teleinformatycznych i Elektronicznych</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rPr>
            </w:pPr>
            <w:r w:rsidRPr="00E00B35">
              <w:rPr>
                <w:color w:val="000000"/>
                <w:szCs w:val="20"/>
              </w:rPr>
              <w:t>Eltel Networks S.A., Radiotechnika Marketing S.A.</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 Dofinansowanie remontów pod pracownie zawodowe i klub robotyczny </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 Umowy w ramach praktyk zawodowych </w:t>
            </w:r>
          </w:p>
          <w:p w:rsidR="008C7751" w:rsidRPr="00E00B35" w:rsidRDefault="008C7751" w:rsidP="00E00B35">
            <w:pPr>
              <w:spacing w:after="0" w:line="312" w:lineRule="auto"/>
              <w:rPr>
                <w:color w:val="000000"/>
                <w:szCs w:val="20"/>
                <w:lang w:val="pl-PL"/>
              </w:rPr>
            </w:pPr>
            <w:r w:rsidRPr="00E00B35">
              <w:rPr>
                <w:color w:val="000000"/>
                <w:szCs w:val="20"/>
                <w:lang w:val="pl-PL"/>
              </w:rPr>
              <w:t>- Szkoła należy do Klastra ICT – Wspólnoty Wiedzy i Innowacji w zakresie technik informacyjnych i komunikacyjnych</w:t>
            </w:r>
          </w:p>
        </w:tc>
      </w:tr>
      <w:tr w:rsidR="008C7751" w:rsidRPr="00E00B35" w:rsidTr="008C7751">
        <w:trPr>
          <w:trHeight w:val="319"/>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pl-PL"/>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rPr>
            </w:pPr>
            <w:r w:rsidRPr="00E00B35">
              <w:rPr>
                <w:color w:val="000000"/>
                <w:szCs w:val="20"/>
              </w:rPr>
              <w:t>Technikum nr 15</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rFonts w:cs="Verdana"/>
                <w:color w:val="000000"/>
                <w:szCs w:val="20"/>
                <w:lang w:val="pl-PL"/>
              </w:rPr>
              <w:t>Drukarnia KEA, Drukarnia Beata Druk, PHU ZINART Systemy Graficzne, Michael Huber Polska, Drukarnia Opako, Wrocławska Drukarnia Naukowa, Zakład Narodowy im.Ossolińskich, Drukarnia TRIADA PRINT, Polska Press Sp. z o.o., Hascolek S.A.</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Umowy w ramach praktyk zawodowych</w:t>
            </w:r>
          </w:p>
        </w:tc>
      </w:tr>
      <w:tr w:rsidR="008C7751" w:rsidRPr="00E00B35" w:rsidTr="008C7751">
        <w:trPr>
          <w:trHeight w:val="2475"/>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pl-PL"/>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rPr>
            </w:pPr>
            <w:r w:rsidRPr="00E00B35">
              <w:rPr>
                <w:color w:val="000000"/>
                <w:szCs w:val="20"/>
              </w:rPr>
              <w:t>Zespół Szkół Logistycznych</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Kuehne + Nagel Sp. z o.o. ,Poczta Polska S.A, Macro Cash and Carry Polska S.A., Leroy Merlin Polska Sp. </w:t>
            </w:r>
            <w:r w:rsidRPr="00E00B35">
              <w:rPr>
                <w:color w:val="000000"/>
                <w:szCs w:val="20"/>
                <w:lang w:val="pl-PL"/>
              </w:rPr>
              <w:br/>
              <w:t xml:space="preserve">z o.o., Miejskie Przedsiębiorstwo Komunikacyjne Sp. </w:t>
            </w:r>
            <w:r w:rsidRPr="00E00B35">
              <w:rPr>
                <w:color w:val="000000"/>
                <w:szCs w:val="20"/>
                <w:lang w:val="pl-PL"/>
              </w:rPr>
              <w:br/>
              <w:t>z o.o., w-support.pl sp. z o.o., Komsa Polska sp. z o.o., Polzug Intermodal Polska Sp. z o.o., PKP Polskie Linie Kolejowe S.A., Przewozy Regionalne Sp. z o.o., Leader Logistics Sp. z o.o., PKP CARGO S.A.</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xml:space="preserve">- Porozumienie o współpracy z terminalem POLZUG Itermodal Polska Sp. z o.o., </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 Umowy w ramach praktyk zawodowych </w:t>
            </w:r>
          </w:p>
          <w:p w:rsidR="008C7751" w:rsidRPr="00E00B35" w:rsidRDefault="008C7751" w:rsidP="00E00B35">
            <w:pPr>
              <w:spacing w:after="0" w:line="312" w:lineRule="auto"/>
              <w:rPr>
                <w:color w:val="000000"/>
                <w:szCs w:val="20"/>
                <w:lang w:val="pl-PL"/>
              </w:rPr>
            </w:pPr>
            <w:r w:rsidRPr="00E00B35">
              <w:rPr>
                <w:color w:val="000000"/>
                <w:szCs w:val="20"/>
                <w:lang w:val="pl-PL"/>
              </w:rPr>
              <w:t>- Doposażenie pracowni zawodowych</w:t>
            </w:r>
          </w:p>
        </w:tc>
      </w:tr>
      <w:tr w:rsidR="008C7751" w:rsidRPr="00E00B35" w:rsidTr="008C7751">
        <w:trPr>
          <w:trHeight w:val="1469"/>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pl-PL"/>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Verdana"/>
                <w:color w:val="000000"/>
                <w:szCs w:val="20"/>
              </w:rPr>
            </w:pPr>
            <w:r w:rsidRPr="00E00B35">
              <w:rPr>
                <w:rFonts w:cs="Verdana"/>
                <w:color w:val="000000"/>
                <w:szCs w:val="20"/>
              </w:rPr>
              <w:t>Zespół Szkół Ekonomiczno- Ogólnokształcących</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Style w:val="Pogrubienie"/>
                <w:b w:val="0"/>
                <w:bCs w:val="0"/>
                <w:color w:val="000000"/>
                <w:szCs w:val="20"/>
                <w:lang w:val="pl-PL"/>
              </w:rPr>
            </w:pPr>
            <w:r w:rsidRPr="00E00B35">
              <w:rPr>
                <w:rStyle w:val="Pogrubienie"/>
                <w:b w:val="0"/>
                <w:color w:val="000000"/>
                <w:szCs w:val="20"/>
                <w:lang w:val="pl-PL"/>
              </w:rPr>
              <w:t>Powszechna Spółdzielnia Spożywców „Feniks”, Sklep JYSK Sp. z o.o.,</w:t>
            </w:r>
            <w:r w:rsidRPr="00E00B35">
              <w:rPr>
                <w:color w:val="000000"/>
                <w:szCs w:val="20"/>
                <w:lang w:val="pl-PL"/>
              </w:rPr>
              <w:t xml:space="preserve"> </w:t>
            </w:r>
            <w:r w:rsidRPr="00E00B35">
              <w:rPr>
                <w:rStyle w:val="Pogrubienie"/>
                <w:b w:val="0"/>
                <w:color w:val="000000"/>
                <w:szCs w:val="20"/>
                <w:lang w:val="pl-PL"/>
              </w:rPr>
              <w:t>Centrum Handlowe Borek, Firma Handlowo-Usługowa „AGA”, Beta Sp. z.o.o.,</w:t>
            </w:r>
            <w:r w:rsidRPr="00E00B35">
              <w:rPr>
                <w:color w:val="000000"/>
                <w:szCs w:val="20"/>
                <w:lang w:val="pl-PL"/>
              </w:rPr>
              <w:t xml:space="preserve"> </w:t>
            </w:r>
            <w:r w:rsidRPr="00E00B35">
              <w:rPr>
                <w:rStyle w:val="Pogrubienie"/>
                <w:b w:val="0"/>
                <w:color w:val="000000"/>
                <w:szCs w:val="20"/>
                <w:lang w:val="pl-PL"/>
              </w:rPr>
              <w:t>Firma Księgarska "Bonus" s.c. P.Marzec, T.Szura</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Umowy w ramach praktyk zawodowych</w:t>
            </w:r>
          </w:p>
        </w:tc>
      </w:tr>
      <w:tr w:rsidR="008C7751" w:rsidRPr="00E00B35" w:rsidTr="008C7751">
        <w:trPr>
          <w:trHeight w:val="1608"/>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pl-PL"/>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Verdana"/>
                <w:color w:val="000000"/>
                <w:szCs w:val="20"/>
              </w:rPr>
            </w:pPr>
            <w:r w:rsidRPr="00E00B35">
              <w:rPr>
                <w:rFonts w:cs="Verdana"/>
                <w:color w:val="000000"/>
                <w:szCs w:val="20"/>
              </w:rPr>
              <w:t>Zespół Szkół Ekonomiczno-Administracyjnych</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Style w:val="Pogrubienie"/>
                <w:b w:val="0"/>
                <w:bCs w:val="0"/>
                <w:color w:val="000000"/>
                <w:szCs w:val="20"/>
                <w:lang w:val="pl-PL"/>
              </w:rPr>
            </w:pPr>
            <w:r w:rsidRPr="00E00B35">
              <w:rPr>
                <w:rStyle w:val="Pogrubienie"/>
                <w:b w:val="0"/>
                <w:color w:val="000000"/>
                <w:szCs w:val="20"/>
                <w:lang w:val="pl-PL"/>
              </w:rPr>
              <w:t>Urząd Skarbowy Wrocław,</w:t>
            </w:r>
            <w:r w:rsidRPr="00E00B35">
              <w:rPr>
                <w:color w:val="000000"/>
                <w:szCs w:val="20"/>
                <w:lang w:val="pl-PL"/>
              </w:rPr>
              <w:t xml:space="preserve"> </w:t>
            </w:r>
            <w:r w:rsidRPr="00E00B35">
              <w:rPr>
                <w:rStyle w:val="Pogrubienie"/>
                <w:b w:val="0"/>
                <w:color w:val="000000"/>
                <w:szCs w:val="20"/>
                <w:lang w:val="pl-PL"/>
              </w:rPr>
              <w:t>Zakład Ubezpieczeń Społecznych we Wrocławiu,</w:t>
            </w:r>
            <w:r w:rsidRPr="00E00B35">
              <w:rPr>
                <w:color w:val="000000"/>
                <w:szCs w:val="20"/>
                <w:lang w:val="pl-PL"/>
              </w:rPr>
              <w:t xml:space="preserve"> </w:t>
            </w:r>
            <w:r w:rsidRPr="00E00B35">
              <w:rPr>
                <w:rStyle w:val="Pogrubienie"/>
                <w:b w:val="0"/>
                <w:color w:val="000000"/>
                <w:szCs w:val="20"/>
                <w:lang w:val="pl-PL"/>
              </w:rPr>
              <w:t xml:space="preserve">Atena &amp; HJW Sp. z o.o., Bank Zachodni WBK S.A. </w:t>
            </w:r>
            <w:r w:rsidRPr="00E00B35">
              <w:rPr>
                <w:rStyle w:val="Pogrubienie"/>
                <w:b w:val="0"/>
                <w:color w:val="000000"/>
                <w:szCs w:val="20"/>
                <w:lang w:val="pl-PL"/>
              </w:rPr>
              <w:br/>
              <w:t>1 Oddział we Wrocławiu,</w:t>
            </w:r>
            <w:r w:rsidRPr="00E00B35">
              <w:rPr>
                <w:color w:val="000000"/>
                <w:szCs w:val="20"/>
                <w:lang w:val="pl-PL"/>
              </w:rPr>
              <w:t xml:space="preserve"> </w:t>
            </w:r>
            <w:r w:rsidRPr="00E00B35">
              <w:rPr>
                <w:rStyle w:val="Pogrubienie"/>
                <w:b w:val="0"/>
                <w:color w:val="000000"/>
                <w:szCs w:val="20"/>
                <w:lang w:val="pl-PL"/>
              </w:rPr>
              <w:t>Druk cyfrowy – WEBA,</w:t>
            </w:r>
            <w:r w:rsidRPr="00E00B35">
              <w:rPr>
                <w:color w:val="000000"/>
                <w:szCs w:val="20"/>
                <w:lang w:val="pl-PL"/>
              </w:rPr>
              <w:t xml:space="preserve"> </w:t>
            </w:r>
            <w:r w:rsidRPr="00E00B35">
              <w:rPr>
                <w:rStyle w:val="Pogrubienie"/>
                <w:b w:val="0"/>
                <w:color w:val="000000"/>
                <w:szCs w:val="20"/>
                <w:lang w:val="pl-PL"/>
              </w:rPr>
              <w:t>PIGEON Agencja Reklamowa,</w:t>
            </w:r>
            <w:r w:rsidRPr="00E00B35">
              <w:rPr>
                <w:color w:val="000000"/>
                <w:szCs w:val="20"/>
                <w:lang w:val="pl-PL"/>
              </w:rPr>
              <w:t xml:space="preserve"> </w:t>
            </w:r>
            <w:r w:rsidRPr="00E00B35">
              <w:rPr>
                <w:rStyle w:val="Pogrubienie"/>
                <w:b w:val="0"/>
                <w:color w:val="000000"/>
                <w:szCs w:val="20"/>
                <w:lang w:val="pl-PL"/>
              </w:rPr>
              <w:t>Drukarnia MAAG.</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Umowy w ramach praktyk zawodowych</w:t>
            </w:r>
          </w:p>
        </w:tc>
      </w:tr>
      <w:tr w:rsidR="008C7751" w:rsidRPr="00E00B35" w:rsidTr="008C7751">
        <w:trPr>
          <w:trHeight w:val="1016"/>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pl-PL"/>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Verdana"/>
                <w:color w:val="000000"/>
                <w:szCs w:val="20"/>
              </w:rPr>
            </w:pPr>
            <w:r w:rsidRPr="00E00B35">
              <w:rPr>
                <w:rFonts w:cs="Verdana"/>
                <w:color w:val="000000"/>
                <w:szCs w:val="20"/>
              </w:rPr>
              <w:t>Zespół Szkół Gastronomicznych</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Style w:val="Pogrubienie"/>
                <w:b w:val="0"/>
                <w:bCs w:val="0"/>
                <w:color w:val="000000"/>
                <w:szCs w:val="20"/>
              </w:rPr>
            </w:pPr>
            <w:r w:rsidRPr="00E00B35">
              <w:rPr>
                <w:color w:val="000000"/>
                <w:szCs w:val="20"/>
              </w:rPr>
              <w:t>Hotel Park Plaza, ART. Hotel Sp. z o.o., Hotel Novotel Wrocław, Hotel Radisson Blu, Q Hotel Wrocław Plus, Hotel Dwór Polski, Puro Hotel Wrocław sp z o.o.</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color w:val="000000"/>
                <w:szCs w:val="20"/>
                <w:lang w:val="pl-PL"/>
              </w:rPr>
            </w:pPr>
            <w:r w:rsidRPr="00E00B35">
              <w:rPr>
                <w:color w:val="000000"/>
                <w:szCs w:val="20"/>
                <w:lang w:val="pl-PL"/>
              </w:rPr>
              <w:t>- Umowy w ramach praktyk zawodowych</w:t>
            </w:r>
          </w:p>
        </w:tc>
      </w:tr>
      <w:tr w:rsidR="008C7751" w:rsidRPr="00E00B35" w:rsidTr="008C7751">
        <w:trPr>
          <w:trHeight w:val="1841"/>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numPr>
                <w:ilvl w:val="0"/>
                <w:numId w:val="5"/>
              </w:numPr>
              <w:spacing w:after="0" w:line="312" w:lineRule="auto"/>
              <w:rPr>
                <w:color w:val="000000"/>
                <w:szCs w:val="20"/>
                <w:lang w:val="pl-PL"/>
              </w:rPr>
            </w:pP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Verdana"/>
                <w:color w:val="000000"/>
                <w:szCs w:val="20"/>
              </w:rPr>
            </w:pPr>
            <w:r w:rsidRPr="00E00B35">
              <w:rPr>
                <w:rFonts w:cs="Verdana"/>
                <w:color w:val="000000"/>
                <w:szCs w:val="20"/>
              </w:rPr>
              <w:t>Zespół Szkół Zawodowych nr 5</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Ponad 300 pracodawców-stała</w:t>
            </w:r>
            <w:r w:rsidRPr="00E00B35">
              <w:rPr>
                <w:bCs/>
                <w:color w:val="000000"/>
                <w:szCs w:val="20"/>
                <w:lang w:val="pl-PL"/>
              </w:rPr>
              <w:t xml:space="preserve"> współpraca z Dolnośląską Izbą Rzemieślniczą oraz Dolnośląską Izbą Gospodarczą</w:t>
            </w:r>
            <w:r w:rsidRPr="00E00B35">
              <w:rPr>
                <w:rFonts w:cs="Verdana"/>
                <w:color w:val="000000"/>
                <w:szCs w:val="20"/>
                <w:lang w:val="pl-PL"/>
              </w:rPr>
              <w:t xml:space="preserve"> PHU, "Natis" Beata Charęza-Janusińska,</w:t>
            </w:r>
            <w:r w:rsidRPr="00E00B35">
              <w:rPr>
                <w:color w:val="000000"/>
                <w:szCs w:val="20"/>
                <w:lang w:val="pl-PL"/>
              </w:rPr>
              <w:t xml:space="preserve"> </w:t>
            </w:r>
            <w:r w:rsidRPr="00E00B35">
              <w:rPr>
                <w:rFonts w:cs="Verdana"/>
                <w:color w:val="000000"/>
                <w:szCs w:val="20"/>
                <w:lang w:val="pl-PL"/>
              </w:rPr>
              <w:t>ECKS Europejskie Centrum Kształcenia Stylistów Robert Burszewski,</w:t>
            </w:r>
            <w:r w:rsidRPr="00E00B35">
              <w:rPr>
                <w:color w:val="000000"/>
                <w:szCs w:val="20"/>
                <w:lang w:val="pl-PL"/>
              </w:rPr>
              <w:t xml:space="preserve"> </w:t>
            </w:r>
            <w:r w:rsidRPr="00E00B35">
              <w:rPr>
                <w:rFonts w:cs="Verdana"/>
                <w:color w:val="000000"/>
                <w:szCs w:val="20"/>
                <w:lang w:val="pl-PL"/>
              </w:rPr>
              <w:t>Salon Fryzjerski Beata Kwietniak</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 xml:space="preserve">- Kształcenie dualne – młodociany pracownik </w:t>
            </w:r>
          </w:p>
          <w:p w:rsidR="008C7751" w:rsidRPr="00E00B35" w:rsidRDefault="008C7751" w:rsidP="00E00B35">
            <w:pPr>
              <w:spacing w:after="0" w:line="312" w:lineRule="auto"/>
              <w:rPr>
                <w:rFonts w:cs="Verdana"/>
                <w:color w:val="000000"/>
                <w:szCs w:val="20"/>
                <w:lang w:val="pl-PL"/>
              </w:rPr>
            </w:pPr>
            <w:r w:rsidRPr="00E00B35">
              <w:rPr>
                <w:color w:val="000000"/>
                <w:szCs w:val="20"/>
                <w:lang w:val="pl-PL"/>
              </w:rPr>
              <w:t>- Umowy w ramach praktyk zawodowych</w:t>
            </w:r>
          </w:p>
        </w:tc>
      </w:tr>
      <w:tr w:rsidR="008C7751" w:rsidRPr="00E00B35" w:rsidTr="008C7751">
        <w:trPr>
          <w:trHeight w:val="2674"/>
        </w:trPr>
        <w:tc>
          <w:tcPr>
            <w:tcW w:w="567"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spacing w:after="0" w:line="312" w:lineRule="auto"/>
              <w:rPr>
                <w:color w:val="000000"/>
                <w:szCs w:val="20"/>
              </w:rPr>
            </w:pPr>
            <w:r w:rsidRPr="00E00B35">
              <w:rPr>
                <w:color w:val="000000"/>
                <w:szCs w:val="20"/>
              </w:rPr>
              <w:lastRenderedPageBreak/>
              <w:t>15.</w:t>
            </w:r>
          </w:p>
        </w:tc>
        <w:tc>
          <w:tcPr>
            <w:tcW w:w="21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Verdana"/>
                <w:color w:val="000000"/>
                <w:szCs w:val="20"/>
              </w:rPr>
            </w:pPr>
            <w:r w:rsidRPr="00E00B35">
              <w:rPr>
                <w:rFonts w:cs="Verdana"/>
                <w:color w:val="000000"/>
                <w:szCs w:val="20"/>
              </w:rPr>
              <w:t>Centrum Kształcenia Zawodowego</w:t>
            </w:r>
          </w:p>
        </w:tc>
        <w:tc>
          <w:tcPr>
            <w:tcW w:w="3827"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cs="Verdana"/>
                <w:bCs/>
                <w:color w:val="000000"/>
                <w:szCs w:val="20"/>
                <w:lang w:val="pl-PL"/>
              </w:rPr>
            </w:pPr>
            <w:r w:rsidRPr="00E00B35">
              <w:rPr>
                <w:rStyle w:val="Pogrubienie"/>
                <w:b w:val="0"/>
                <w:color w:val="000000"/>
                <w:szCs w:val="20"/>
                <w:lang w:val="de-DE"/>
              </w:rPr>
              <w:t>Volz Hydraulik,</w:t>
            </w:r>
            <w:r w:rsidRPr="00E00B35">
              <w:rPr>
                <w:bCs/>
                <w:color w:val="000000"/>
                <w:szCs w:val="20"/>
                <w:lang w:val="de-DE"/>
              </w:rPr>
              <w:t xml:space="preserve"> </w:t>
            </w:r>
            <w:r w:rsidRPr="00E00B35">
              <w:rPr>
                <w:color w:val="000000"/>
                <w:szCs w:val="20"/>
                <w:lang w:val="de-DE"/>
              </w:rPr>
              <w:t xml:space="preserve">Elektrotim S.A., Control System, DR. JOHANNES HEIDENHAIN GmbH, </w:t>
            </w:r>
            <w:r w:rsidRPr="00E00B35">
              <w:rPr>
                <w:rStyle w:val="Pogrubienie"/>
                <w:b w:val="0"/>
                <w:color w:val="000000"/>
                <w:szCs w:val="20"/>
                <w:lang w:val="de-DE"/>
              </w:rPr>
              <w:t>LG ELECTRONICS Wrocław</w:t>
            </w:r>
            <w:r w:rsidRPr="00E00B35">
              <w:rPr>
                <w:bCs/>
                <w:color w:val="000000"/>
                <w:szCs w:val="20"/>
                <w:lang w:val="de-DE"/>
              </w:rPr>
              <w:t xml:space="preserve"> - </w:t>
            </w:r>
            <w:r w:rsidRPr="00E00B35">
              <w:rPr>
                <w:color w:val="000000"/>
                <w:szCs w:val="20"/>
                <w:lang w:val="de-DE"/>
              </w:rPr>
              <w:t>Spółka z o. o.,</w:t>
            </w:r>
            <w:r w:rsidRPr="00E00B35">
              <w:rPr>
                <w:rStyle w:val="Pogrubienie"/>
                <w:b w:val="0"/>
                <w:color w:val="000000"/>
                <w:szCs w:val="20"/>
                <w:lang w:val="de-DE"/>
              </w:rPr>
              <w:t xml:space="preserve"> Agencja Rozwoju Aglomeracji Wrocławskiej S.A., Hensel Polska, Wago, Laboratorium Komputerowe Delcam, Nokia, Tauron, ZAE, APS, Sanvik, DMG Mori. </w:t>
            </w:r>
            <w:r w:rsidRPr="00E00B35">
              <w:rPr>
                <w:rStyle w:val="Pogrubienie"/>
                <w:b w:val="0"/>
                <w:color w:val="000000"/>
                <w:szCs w:val="20"/>
                <w:lang w:val="pl-PL"/>
              </w:rPr>
              <w:t>Nawiązanie współpracy z 20 nowymi pracodawcami w zakresie realizacji staży uczniowskich dla 80 uczniów z 12 szkół w projekcie „Zawodowy Wrocław”</w:t>
            </w:r>
          </w:p>
        </w:tc>
        <w:tc>
          <w:tcPr>
            <w:tcW w:w="2551" w:type="dxa"/>
            <w:tcBorders>
              <w:top w:val="single" w:sz="4" w:space="0" w:color="000000"/>
              <w:left w:val="single" w:sz="4" w:space="0" w:color="000000"/>
              <w:bottom w:val="single" w:sz="4" w:space="0" w:color="000000"/>
              <w:right w:val="single" w:sz="4" w:space="0" w:color="000000"/>
            </w:tcBorders>
          </w:tcPr>
          <w:p w:rsidR="008C7751" w:rsidRPr="00E00B35" w:rsidRDefault="008C7751" w:rsidP="00E00B35">
            <w:pPr>
              <w:spacing w:after="0" w:line="312" w:lineRule="auto"/>
              <w:rPr>
                <w:rFonts w:eastAsia="Arial Unicode MS" w:cs="Arial Unicode MS"/>
                <w:color w:val="000000"/>
                <w:szCs w:val="20"/>
                <w:lang w:val="pl-PL"/>
              </w:rPr>
            </w:pPr>
            <w:r w:rsidRPr="00E00B35">
              <w:rPr>
                <w:color w:val="000000"/>
                <w:szCs w:val="20"/>
                <w:lang w:val="pl-PL"/>
              </w:rPr>
              <w:t>- Współpraca w zakresie: nadzoru merytorycznego i certyfikowania kursów, programowania i obsługi obrabiarek CNC, doskonalenia nauczycieli, doposażenia w sprzęt do testowania, autoryzowanego partnerstwa szkoleniowego</w:t>
            </w:r>
          </w:p>
        </w:tc>
      </w:tr>
    </w:tbl>
    <w:p w:rsidR="008C7751" w:rsidRPr="00E00B35" w:rsidRDefault="008C7751" w:rsidP="00E00B35">
      <w:pPr>
        <w:spacing w:after="0" w:line="312" w:lineRule="auto"/>
        <w:rPr>
          <w:color w:val="000000"/>
          <w:szCs w:val="20"/>
          <w:lang w:val="pl-PL"/>
        </w:rPr>
      </w:pPr>
    </w:p>
    <w:p w:rsidR="00544448" w:rsidRPr="00E00B35" w:rsidRDefault="00544448" w:rsidP="00E00B35">
      <w:pPr>
        <w:pStyle w:val="Nagwek3"/>
        <w:spacing w:after="0" w:line="312" w:lineRule="auto"/>
        <w:rPr>
          <w:sz w:val="20"/>
          <w:lang w:val="pl-PL"/>
        </w:rPr>
      </w:pPr>
      <w:bookmarkStart w:id="110" w:name="_Toc72411102"/>
    </w:p>
    <w:p w:rsidR="008C7751" w:rsidRPr="00E00B35" w:rsidRDefault="008C7751" w:rsidP="00E00B35">
      <w:pPr>
        <w:pStyle w:val="Nagwek3"/>
        <w:spacing w:after="0" w:line="312" w:lineRule="auto"/>
        <w:rPr>
          <w:sz w:val="20"/>
        </w:rPr>
      </w:pPr>
      <w:r w:rsidRPr="00E00B35">
        <w:rPr>
          <w:sz w:val="20"/>
        </w:rPr>
        <w:t>Dofinansowanie dowozu uczniów</w:t>
      </w:r>
      <w:bookmarkEnd w:id="110"/>
    </w:p>
    <w:p w:rsidR="008C7751" w:rsidRPr="00E00B35" w:rsidRDefault="008C7751" w:rsidP="00E00B35">
      <w:pPr>
        <w:pStyle w:val="Bezodstpw1"/>
        <w:spacing w:after="0" w:line="312" w:lineRule="auto"/>
        <w:rPr>
          <w:rFonts w:ascii="Verdana" w:hAnsi="Verdana" w:cs="Verdana"/>
          <w:color w:val="000000"/>
          <w:sz w:val="20"/>
          <w:szCs w:val="20"/>
        </w:rPr>
      </w:pPr>
      <w:r w:rsidRPr="00E00B35">
        <w:rPr>
          <w:rFonts w:ascii="Verdana" w:hAnsi="Verdana"/>
          <w:color w:val="000000"/>
          <w:sz w:val="20"/>
          <w:szCs w:val="20"/>
        </w:rPr>
        <w:t>Na podstawie Zarządzenia nr 2004/19 Prezydenta Wrocławia z dnia 8 listopada 2019 r. oraz Zarządzenia nr 2980/20 Prezydenta Wrocławia z dnia 13 maja 2020 r. w sprawie zasad zlecania i rozliczania zadania w Zakresie Przewozu Zorganizowanego Uczniów Niepełnosprawnych, powierzonego do wykonania aktem założycielskim Spółce Miejskie Przedsiębiorstwo Komunikacyjne z ograniczoną odpowiedzialnością z siedzibą we Wrocławiu, w związku ze Wskazaniami nr WFI.1.2020, WFI.2.2020, WFI.3.2020, WFI.4.2020 oraz WFI.5.2020, przekazano MPK sp. z o.o. do realizacji, w okresie od 01.01.2020 r. do 31.12.2020 r., zadanie w zakresie przewozu zorganizowanego dzieci i uczniów niepełnosprawnych</w:t>
      </w:r>
      <w:r w:rsidRPr="00E00B35">
        <w:rPr>
          <w:rFonts w:ascii="Verdana" w:hAnsi="Verdana" w:cs="Verdana"/>
          <w:color w:val="000000"/>
          <w:sz w:val="20"/>
          <w:szCs w:val="20"/>
        </w:rPr>
        <w:t xml:space="preserve"> do szkół i placówek oświatowych, w tym również za przygotowanie przetargów oraz obsługę finansowo-księgową.</w:t>
      </w:r>
    </w:p>
    <w:p w:rsidR="008C7751" w:rsidRPr="00E00B35" w:rsidRDefault="008C7751" w:rsidP="00E00B35">
      <w:pPr>
        <w:pStyle w:val="Bezodstpw1"/>
        <w:spacing w:after="0" w:line="312" w:lineRule="auto"/>
        <w:rPr>
          <w:rFonts w:ascii="Verdana" w:hAnsi="Verdana" w:cs="Verdana"/>
          <w:color w:val="000000"/>
          <w:sz w:val="20"/>
          <w:szCs w:val="20"/>
        </w:rPr>
      </w:pPr>
      <w:r w:rsidRPr="00E00B35">
        <w:rPr>
          <w:rFonts w:ascii="Verdana" w:hAnsi="Verdana"/>
          <w:bCs/>
          <w:color w:val="000000"/>
          <w:sz w:val="20"/>
          <w:szCs w:val="20"/>
        </w:rPr>
        <w:t>W 2020 roku zrealizowano przewóz dzieci i uczniów niepełnosprawnych do 40 szkół i placówek oświatowych</w:t>
      </w:r>
      <w:r w:rsidRPr="00E00B35">
        <w:rPr>
          <w:rFonts w:ascii="Verdana" w:hAnsi="Verdana"/>
          <w:color w:val="000000"/>
          <w:sz w:val="20"/>
          <w:szCs w:val="20"/>
        </w:rPr>
        <w:t>, w tym do:</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Specjalnych Ośrodków Szkolno-Wychowawczych nr: 1 (dwie lokalizacje), 10, 11,</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Przedszkola nr 12, 109, 89 </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Przedszkola Specjalnego "Wesołe Żabki"</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Zespołów Szkół nr: 1, 6, 12, 16, 21, </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Szkół Podstawowych nr: 8, 9, 12, 14, 43, 101,</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Zespołów Szkolno-Przedszkolnych nr: 6, 8, 12,</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Dolnośląskiego Specjalnego Ośrodka Szkolno-Wychowawczego dla Uczniów Niesłyszących i Słabosłyszących nr 12 oraz z innymi niepełnosprawnościami,</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Dolnośląskiego Specjalnego Ośrodka Szkolno-Wychowawczego dla Uczniów Niewidomych i Słabowidzących nr 13 oraz z innymi niepełnosprawnościami,</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Fundacji Ewangelickie Centrum Diakonii i Edukacji,</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Ośrodka Rehabilitacyjno – Edukacyjnego dla Dzieci Niepełnosprawnych Ostoja,</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Ośrodka Rehabilitacyjno – Edukacyjnego dla Wyjątkowych Dzieci,</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lastRenderedPageBreak/>
        <w:t>Niepublicznej Szkoły Podstawowej „Dar Losu”,</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Niepublicznej Szkoły Branżowej „Unlock” I stopnia, </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Szkoły Podstawowej Specjalnej „Wspólny Świat”,</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 Społecznej Specjalnej Szkoły Podstawowej Stowarzyszenia Handicap,</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 Niepublicznej Szkoły Podstawowej „Promyk Słońca”, </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 Niepublicznej Szkoły Podstawowej „Kolorowa Akademia”</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 Niepublicznej Szkoły Terapii Behawioralnej dla Dzieci z Autyzmem, </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 Niepublicznej Szkoły Podstawowej Tikkun Olam, </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 Terapeutycznego Punktu Przedszkolnego „Niebieski Latawiec”,</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 Niepublicznego Punktu Przedszkolnego "Łatwo Powiedzieć"</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 Niepublicznego Punktu Przedszkolnego „Promitis”,</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 Intergarcyjnej Szkoły Podstawowej "Alto",</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 Społecznej SP z Oddziałami Integracyjnymi „Amigo" </w:t>
      </w:r>
    </w:p>
    <w:p w:rsidR="008C7751" w:rsidRPr="00E00B35" w:rsidRDefault="008C7751" w:rsidP="00E00B35">
      <w:pPr>
        <w:pStyle w:val="Akapitzlist"/>
        <w:numPr>
          <w:ilvl w:val="0"/>
          <w:numId w:val="9"/>
        </w:numPr>
        <w:spacing w:after="0" w:line="312" w:lineRule="auto"/>
        <w:ind w:left="357" w:hanging="357"/>
        <w:rPr>
          <w:rStyle w:val="eop"/>
          <w:szCs w:val="20"/>
        </w:rPr>
      </w:pPr>
      <w:r w:rsidRPr="00E00B35">
        <w:rPr>
          <w:rStyle w:val="eop"/>
          <w:szCs w:val="20"/>
        </w:rPr>
        <w:t xml:space="preserve"> Liceum Ogólnokształcącego nr X.</w:t>
      </w:r>
    </w:p>
    <w:p w:rsidR="000F2026" w:rsidRPr="00E00B35" w:rsidRDefault="000F2026" w:rsidP="00E00B35">
      <w:pPr>
        <w:pStyle w:val="Akapitzlist"/>
        <w:spacing w:after="0" w:line="312" w:lineRule="auto"/>
        <w:ind w:left="357"/>
        <w:rPr>
          <w:rStyle w:val="eop"/>
          <w:szCs w:val="20"/>
        </w:rPr>
      </w:pPr>
    </w:p>
    <w:p w:rsidR="008C7751" w:rsidRPr="00E00B35" w:rsidRDefault="008C7751" w:rsidP="00E00B35">
      <w:pPr>
        <w:pStyle w:val="11TrescpismaZnak"/>
        <w:tabs>
          <w:tab w:val="left" w:pos="-1276"/>
          <w:tab w:val="left" w:pos="-567"/>
          <w:tab w:val="left" w:pos="-426"/>
        </w:tabs>
        <w:spacing w:after="0" w:line="312" w:lineRule="auto"/>
        <w:jc w:val="left"/>
        <w:rPr>
          <w:color w:val="000000"/>
          <w:lang w:val="pl-PL"/>
        </w:rPr>
      </w:pPr>
      <w:r w:rsidRPr="00E00B35">
        <w:rPr>
          <w:color w:val="000000"/>
          <w:lang w:val="pl-PL"/>
        </w:rPr>
        <w:t xml:space="preserve">W roku szkolnym 2019/2020 od stycznia do sierpnia 2020 r. z </w:t>
      </w:r>
      <w:r w:rsidRPr="00E00B35">
        <w:rPr>
          <w:bCs/>
          <w:color w:val="000000"/>
          <w:lang w:val="pl-PL"/>
        </w:rPr>
        <w:t xml:space="preserve">bezpłatnego przewozu zorganizowanego </w:t>
      </w:r>
      <w:r w:rsidRPr="00E00B35">
        <w:rPr>
          <w:color w:val="000000"/>
          <w:lang w:val="pl-PL"/>
        </w:rPr>
        <w:t xml:space="preserve">skorzystało 483 dzieci i uczniów niepełnosprawnych, natomiast w roku szkolnym 2020/2021 – od września do grudnia 2020 r. – 470 dzieci i uczniów niepełnosprawnych. </w:t>
      </w:r>
    </w:p>
    <w:p w:rsidR="008C7751" w:rsidRPr="00E00B35" w:rsidRDefault="008C7751" w:rsidP="00E00B35">
      <w:pPr>
        <w:pStyle w:val="11TrescpismaZnak"/>
        <w:tabs>
          <w:tab w:val="left" w:pos="-1276"/>
          <w:tab w:val="left" w:pos="-567"/>
          <w:tab w:val="left" w:pos="-426"/>
        </w:tabs>
        <w:spacing w:after="0" w:line="312" w:lineRule="auto"/>
        <w:jc w:val="left"/>
        <w:rPr>
          <w:color w:val="000000"/>
          <w:lang w:val="pl-PL"/>
        </w:rPr>
      </w:pPr>
      <w:r w:rsidRPr="00E00B35">
        <w:rPr>
          <w:bCs/>
          <w:color w:val="000000"/>
          <w:lang w:val="pl-PL"/>
        </w:rPr>
        <w:t>Koszt przewozu dzieci i uczniów niepełnosprawnych</w:t>
      </w:r>
      <w:r w:rsidRPr="00E00B35">
        <w:rPr>
          <w:color w:val="000000"/>
          <w:lang w:val="pl-PL"/>
        </w:rPr>
        <w:t xml:space="preserve"> za okres I–VIII 2020 r. wyniósł 541 912 zł, natomiast za okres IX-XII 2020 r. wyniósł 2 210 391 zł. Łączny koszt bezpłatnego przewozu zorganizowanego dzieci i uczniów niepełnosprawnych w 2020 roku, z uwzględnieniem kosztów zrealizowanych w Centrum Usług Informatycznych (kwota 2 516 769 zł od 1-VIII 2020) - wyniósł 5 267 073 zł.</w:t>
      </w:r>
    </w:p>
    <w:p w:rsidR="008C7751" w:rsidRPr="00E00B35" w:rsidRDefault="008C7751" w:rsidP="00E00B35">
      <w:pPr>
        <w:spacing w:after="0" w:line="312" w:lineRule="auto"/>
        <w:rPr>
          <w:color w:val="000000"/>
          <w:szCs w:val="20"/>
          <w:lang w:val="pl-PL"/>
        </w:rPr>
      </w:pPr>
      <w:r w:rsidRPr="00E00B35">
        <w:rPr>
          <w:color w:val="000000"/>
          <w:szCs w:val="20"/>
          <w:lang w:val="pl-PL"/>
        </w:rPr>
        <w:t>Na podstawie Za</w:t>
      </w:r>
      <w:r w:rsidRPr="00E00B35">
        <w:rPr>
          <w:rFonts w:cs="Verdana"/>
          <w:color w:val="000000"/>
          <w:szCs w:val="20"/>
          <w:lang w:val="pl-PL"/>
        </w:rPr>
        <w:t xml:space="preserve">rządzenia nr 2203/19 Prezydenta Wrocławia z dnia 6 grudnia 2019 r. w sprawie sposobu zapewnienia bezpłatnego transportu i opieki w czasie przewozu do przedszkola, oddziału przedszkolnego w szkole podstawowej, innej formy wychowania przedszkolnego, szkoły, ośrodka rewalidacyjno-wychowawczego dzieci </w:t>
      </w:r>
      <w:r w:rsidRPr="00E00B35">
        <w:rPr>
          <w:rFonts w:cs="Verdana"/>
          <w:color w:val="000000"/>
          <w:szCs w:val="20"/>
          <w:lang w:val="pl-PL"/>
        </w:rPr>
        <w:br/>
        <w:t>i uczniów niepełnosprawnych oraz zwrotu rodzicom/opiekunom prawnym kosztów przewozu dzieci, młodzieży i uczniów niepełnosprawnych oraz rodziców/opiekunów prawnych oraz</w:t>
      </w:r>
      <w:r w:rsidRPr="00E00B35">
        <w:rPr>
          <w:color w:val="000000"/>
          <w:szCs w:val="20"/>
          <w:lang w:val="pl-PL"/>
        </w:rPr>
        <w:t xml:space="preserve"> Zarządzenia nr 3863/20 Prezydenta Wrocławia z dnia 1 października 2020r. zmieniającego zarządzenie nr 2203/19 Prezydenta Wrocławia w sprawie sposobu zapewnienia bezpłatnego transportu i opieki w czasie przewozu do przedszkola, oddziału przedszkolnego w szkole podstawowej, innej formy wychowania przedszkolnego, szkoły, ośrodka rewalidacyjno-wychowawczego dzieci i uczniów niepełnosprawnych oraz zwrotu rodzicom/opiekunom prawnym kosztów przewozu dzieci, młodzieży i uczniów niepełnosprawnych oraz rodziców/opiekunów prawnych </w:t>
      </w:r>
      <w:r w:rsidRPr="00E00B35">
        <w:rPr>
          <w:bCs/>
          <w:color w:val="000000"/>
          <w:szCs w:val="20"/>
          <w:lang w:val="pl-PL"/>
        </w:rPr>
        <w:t>zawarto umowy indywidualne z rodzicami</w:t>
      </w:r>
      <w:r w:rsidRPr="00E00B35">
        <w:rPr>
          <w:b/>
          <w:bCs/>
          <w:color w:val="000000"/>
          <w:szCs w:val="20"/>
          <w:lang w:val="pl-PL"/>
        </w:rPr>
        <w:t xml:space="preserve"> </w:t>
      </w:r>
      <w:r w:rsidRPr="00E00B35">
        <w:rPr>
          <w:color w:val="000000"/>
          <w:szCs w:val="20"/>
          <w:lang w:val="pl-PL"/>
        </w:rPr>
        <w:t>określające warunki zwrotu kosztów za przewóz dziecka niepełnosprawnego do szkoły/placówki prywatnym samochodem osobowym i </w:t>
      </w:r>
      <w:r w:rsidRPr="00E00B35">
        <w:rPr>
          <w:bCs/>
          <w:color w:val="000000"/>
          <w:szCs w:val="20"/>
          <w:lang w:val="pl-PL"/>
        </w:rPr>
        <w:t>zwrócono koszt za przewóz</w:t>
      </w:r>
      <w:r w:rsidRPr="00E00B35">
        <w:rPr>
          <w:color w:val="000000"/>
          <w:szCs w:val="20"/>
          <w:lang w:val="pl-PL"/>
        </w:rPr>
        <w:t xml:space="preserve"> w okresie I - VIII 2020 r. rodzicom 145 dzieci w kwocie 92 587 zł, w okresie IX – XII 2020 r. rodzicom 117 dzieci w kwocie 64 426 zł. Łącznie w 2020 r. wydano 157 013 zł.</w:t>
      </w:r>
    </w:p>
    <w:p w:rsidR="008C7751" w:rsidRPr="00E00B35" w:rsidRDefault="008C7751" w:rsidP="00E00B35">
      <w:pPr>
        <w:spacing w:after="0" w:line="312" w:lineRule="auto"/>
        <w:rPr>
          <w:bCs/>
          <w:color w:val="000000"/>
          <w:szCs w:val="20"/>
          <w:lang w:val="pl-PL"/>
        </w:rPr>
      </w:pPr>
      <w:r w:rsidRPr="00E00B35">
        <w:rPr>
          <w:bCs/>
          <w:color w:val="000000"/>
          <w:szCs w:val="20"/>
          <w:lang w:val="pl-PL"/>
        </w:rPr>
        <w:t>Łącznie zwrot kosztów za przewóz dzieci i uczniów niepełnosprawnych oraz zwrot kosztów za przewóz zorganizowany w roku 2020 r., wyniósł 2 907 317 zł.</w:t>
      </w:r>
    </w:p>
    <w:p w:rsidR="00544448" w:rsidRPr="00E00B35" w:rsidRDefault="00544448" w:rsidP="00E00B35">
      <w:pPr>
        <w:spacing w:after="0" w:line="312" w:lineRule="auto"/>
        <w:rPr>
          <w:bCs/>
          <w:color w:val="000000"/>
          <w:szCs w:val="20"/>
          <w:lang w:val="pl-PL"/>
        </w:rPr>
      </w:pPr>
    </w:p>
    <w:p w:rsidR="00544448" w:rsidRPr="00E00B35" w:rsidRDefault="00544448" w:rsidP="00E00B35">
      <w:pPr>
        <w:spacing w:after="0" w:line="312" w:lineRule="auto"/>
        <w:rPr>
          <w:bCs/>
          <w:color w:val="000000"/>
          <w:szCs w:val="20"/>
          <w:lang w:val="pl-PL"/>
        </w:rPr>
      </w:pPr>
    </w:p>
    <w:p w:rsidR="008C7751" w:rsidRPr="00E00B35" w:rsidRDefault="008C7751" w:rsidP="00E00B35">
      <w:pPr>
        <w:pStyle w:val="Nagwek4"/>
        <w:spacing w:before="0" w:after="0" w:line="312" w:lineRule="auto"/>
        <w:rPr>
          <w:sz w:val="20"/>
          <w:szCs w:val="20"/>
          <w:lang w:val="pl-PL"/>
        </w:rPr>
      </w:pPr>
      <w:bookmarkStart w:id="111" w:name="_Toc59103798"/>
      <w:bookmarkStart w:id="112" w:name="_Toc59104166"/>
      <w:bookmarkStart w:id="113" w:name="_Toc61010207"/>
      <w:bookmarkStart w:id="114" w:name="_Toc61010259"/>
      <w:bookmarkStart w:id="115" w:name="_Toc61013155"/>
      <w:bookmarkStart w:id="116" w:name="_Toc61013435"/>
      <w:bookmarkStart w:id="117" w:name="_Toc72411103"/>
      <w:r w:rsidRPr="00E00B35">
        <w:rPr>
          <w:sz w:val="20"/>
          <w:szCs w:val="20"/>
          <w:lang w:val="pl-PL"/>
        </w:rPr>
        <w:t>Organizowanie i finansowanie czasu wolnego</w:t>
      </w:r>
      <w:bookmarkEnd w:id="111"/>
      <w:bookmarkEnd w:id="112"/>
      <w:bookmarkEnd w:id="113"/>
      <w:bookmarkEnd w:id="114"/>
      <w:bookmarkEnd w:id="115"/>
      <w:bookmarkEnd w:id="116"/>
      <w:bookmarkEnd w:id="117"/>
    </w:p>
    <w:p w:rsidR="008C7751" w:rsidRPr="00E00B35" w:rsidRDefault="008C7751" w:rsidP="00E00B35">
      <w:pPr>
        <w:pStyle w:val="11TrescpismaZnak"/>
        <w:spacing w:after="0" w:line="312" w:lineRule="auto"/>
        <w:jc w:val="left"/>
        <w:rPr>
          <w:strike/>
          <w:color w:val="000000"/>
        </w:rPr>
      </w:pPr>
      <w:r w:rsidRPr="00E00B35">
        <w:rPr>
          <w:color w:val="000000"/>
          <w:lang w:val="pl-PL"/>
        </w:rPr>
        <w:t xml:space="preserve">W roku szkolnym 2019/2020 (semestr II) w </w:t>
      </w:r>
      <w:r w:rsidRPr="00E00B35">
        <w:rPr>
          <w:bCs/>
          <w:color w:val="000000"/>
          <w:lang w:val="pl-PL"/>
        </w:rPr>
        <w:t xml:space="preserve">ramach wypoczynku zimowego zorganizowano zajęcia dla 10 223 </w:t>
      </w:r>
      <w:r w:rsidRPr="00E00B35">
        <w:rPr>
          <w:color w:val="000000"/>
          <w:lang w:val="pl-PL"/>
        </w:rPr>
        <w:t xml:space="preserve">uczniów </w:t>
      </w:r>
      <w:r w:rsidRPr="00E00B35">
        <w:rPr>
          <w:bCs/>
          <w:color w:val="000000"/>
          <w:lang w:val="pl-PL"/>
        </w:rPr>
        <w:t>wrocławskich szkół w około 56 placówkach.</w:t>
      </w:r>
      <w:r w:rsidRPr="00E00B35">
        <w:rPr>
          <w:color w:val="000000"/>
          <w:lang w:val="pl-PL"/>
        </w:rPr>
        <w:t xml:space="preserve"> Uczestnicy półkolonii oraz tzw. „otwartych sal” brali udział w zajęciach sportowych, plastycznych, teatralnych, wokalnych, muzycznych, informatycznych i fotograficznych. Uczniowie chętnie korzystali również z zajęć organizowanych poza szkołą wychodząc do muzeów, kin, teatrów, na baseny i lodowiska. </w:t>
      </w:r>
      <w:r w:rsidRPr="00E00B35">
        <w:rPr>
          <w:color w:val="000000"/>
        </w:rPr>
        <w:t>Łączny koszt wypoczynku zimowego wyniósł 947 776 zł.</w:t>
      </w:r>
    </w:p>
    <w:p w:rsidR="008C7751" w:rsidRPr="00E00B35" w:rsidRDefault="008C7751" w:rsidP="00E00B35">
      <w:pPr>
        <w:spacing w:after="0" w:line="312" w:lineRule="auto"/>
        <w:rPr>
          <w:rFonts w:cs="Verdana"/>
          <w:color w:val="000000"/>
          <w:szCs w:val="20"/>
          <w:lang w:val="pl-PL"/>
        </w:rPr>
      </w:pPr>
      <w:r w:rsidRPr="00E00B35">
        <w:rPr>
          <w:color w:val="000000"/>
          <w:szCs w:val="20"/>
          <w:lang w:val="pl-PL"/>
        </w:rPr>
        <w:t xml:space="preserve">W ramach wypoczynku letniego zorganizowano półkolonie w 10 szkołach podstawowych, 4 MDK -ach i 1 placówce specjalnej. W półkoloniach udział wzięło 2 856 uczniów. </w:t>
      </w:r>
      <w:r w:rsidRPr="00E00B35">
        <w:rPr>
          <w:rFonts w:cs="Arial"/>
          <w:color w:val="000000"/>
          <w:szCs w:val="20"/>
          <w:lang w:val="pl-PL"/>
        </w:rPr>
        <w:t>K</w:t>
      </w:r>
      <w:r w:rsidRPr="00E00B35">
        <w:rPr>
          <w:color w:val="000000"/>
          <w:szCs w:val="20"/>
          <w:lang w:val="pl-PL"/>
        </w:rPr>
        <w:t>oszt wypoczynku letniego wyniósł 452 134 zł.</w:t>
      </w:r>
    </w:p>
    <w:p w:rsidR="00494FD1" w:rsidRPr="00E00B35" w:rsidRDefault="00494FD1" w:rsidP="00E00B35">
      <w:pPr>
        <w:pStyle w:val="Akapitzlist1"/>
        <w:tabs>
          <w:tab w:val="left" w:pos="-1440"/>
        </w:tabs>
        <w:spacing w:after="0" w:line="312" w:lineRule="auto"/>
        <w:ind w:left="0"/>
        <w:rPr>
          <w:color w:val="000000"/>
          <w:szCs w:val="20"/>
          <w:lang w:val="pl-PL"/>
        </w:rPr>
      </w:pPr>
    </w:p>
    <w:p w:rsidR="008C7751" w:rsidRPr="00E00B35" w:rsidRDefault="008C7751" w:rsidP="00E00B35">
      <w:pPr>
        <w:pStyle w:val="Akapitzlist1"/>
        <w:tabs>
          <w:tab w:val="left" w:pos="-1440"/>
        </w:tabs>
        <w:spacing w:after="0" w:line="312" w:lineRule="auto"/>
        <w:ind w:left="0"/>
        <w:rPr>
          <w:rFonts w:cs="Verdana"/>
          <w:color w:val="000000"/>
          <w:szCs w:val="20"/>
        </w:rPr>
      </w:pPr>
      <w:r w:rsidRPr="00E00B35">
        <w:rPr>
          <w:color w:val="000000"/>
          <w:szCs w:val="20"/>
          <w:lang w:val="pl-PL"/>
        </w:rPr>
        <w:t xml:space="preserve">Wypoczynek zimowy organizowano w 56 placówkach. </w:t>
      </w:r>
      <w:r w:rsidRPr="00E00B35">
        <w:rPr>
          <w:color w:val="000000"/>
          <w:szCs w:val="20"/>
        </w:rPr>
        <w:t>Kwota dofinansowania wyniosła 947 776 zł.</w:t>
      </w:r>
    </w:p>
    <w:p w:rsidR="00494FD1" w:rsidRPr="00E00B35" w:rsidRDefault="00494FD1" w:rsidP="00E00B35">
      <w:pPr>
        <w:pStyle w:val="Akapitzlist1"/>
        <w:tabs>
          <w:tab w:val="left" w:pos="-1440"/>
        </w:tabs>
        <w:spacing w:after="0" w:line="312" w:lineRule="auto"/>
        <w:ind w:left="0"/>
        <w:rPr>
          <w:color w:val="000000"/>
          <w:szCs w:val="20"/>
          <w:lang w:val="pl-PL"/>
        </w:rPr>
      </w:pPr>
    </w:p>
    <w:p w:rsidR="008C7751" w:rsidRPr="00E00B35" w:rsidRDefault="008C7751" w:rsidP="00E00B35">
      <w:pPr>
        <w:pStyle w:val="Akapitzlist1"/>
        <w:tabs>
          <w:tab w:val="left" w:pos="-1440"/>
        </w:tabs>
        <w:spacing w:after="0" w:line="312" w:lineRule="auto"/>
        <w:ind w:left="0"/>
        <w:rPr>
          <w:rFonts w:cs="Verdana"/>
          <w:color w:val="000000"/>
          <w:szCs w:val="20"/>
        </w:rPr>
      </w:pPr>
      <w:r w:rsidRPr="00E00B35">
        <w:rPr>
          <w:color w:val="000000"/>
          <w:szCs w:val="20"/>
          <w:lang w:val="pl-PL"/>
        </w:rPr>
        <w:t xml:space="preserve">Wypoczynek letni organizowano w 15 placówkach. </w:t>
      </w:r>
      <w:r w:rsidRPr="00E00B35">
        <w:rPr>
          <w:color w:val="000000"/>
          <w:szCs w:val="20"/>
        </w:rPr>
        <w:t>Kwota dofinansowania wyniosła 452 134 zł.</w:t>
      </w:r>
    </w:p>
    <w:p w:rsidR="00494FD1" w:rsidRPr="00E00B35" w:rsidRDefault="00494FD1" w:rsidP="00E00B35">
      <w:pPr>
        <w:pStyle w:val="Akapitzlist1"/>
        <w:tabs>
          <w:tab w:val="left" w:pos="-1440"/>
        </w:tabs>
        <w:spacing w:after="0" w:line="312" w:lineRule="auto"/>
        <w:ind w:left="0"/>
        <w:rPr>
          <w:color w:val="000000"/>
          <w:szCs w:val="20"/>
          <w:lang w:val="pl-PL"/>
        </w:rPr>
      </w:pPr>
    </w:p>
    <w:p w:rsidR="008C7751" w:rsidRPr="00E00B35" w:rsidRDefault="008C7751" w:rsidP="00E00B35">
      <w:pPr>
        <w:pStyle w:val="Akapitzlist1"/>
        <w:tabs>
          <w:tab w:val="left" w:pos="-1440"/>
        </w:tabs>
        <w:spacing w:after="0" w:line="312" w:lineRule="auto"/>
        <w:ind w:left="0"/>
        <w:rPr>
          <w:rFonts w:cs="Verdana"/>
          <w:color w:val="000000"/>
          <w:szCs w:val="20"/>
        </w:rPr>
      </w:pPr>
      <w:r w:rsidRPr="00E00B35">
        <w:rPr>
          <w:color w:val="000000"/>
          <w:szCs w:val="20"/>
          <w:lang w:val="pl-PL"/>
        </w:rPr>
        <w:t xml:space="preserve">Ogółem wypoczynek zimowy i letni zorganizowano w 71 placówkach. </w:t>
      </w:r>
      <w:r w:rsidRPr="00E00B35">
        <w:rPr>
          <w:color w:val="000000"/>
          <w:szCs w:val="20"/>
        </w:rPr>
        <w:t>Kwota dofinansowania wyniosła w sumie 1 399 919 zł.</w:t>
      </w:r>
    </w:p>
    <w:p w:rsidR="008C7751" w:rsidRPr="00E00B35" w:rsidRDefault="008C7751" w:rsidP="00E00B35">
      <w:pPr>
        <w:autoSpaceDE w:val="0"/>
        <w:autoSpaceDN w:val="0"/>
        <w:adjustRightInd w:val="0"/>
        <w:spacing w:after="0" w:line="312" w:lineRule="auto"/>
        <w:rPr>
          <w:rFonts w:cs="Verdana"/>
          <w:color w:val="000000"/>
          <w:szCs w:val="20"/>
          <w:lang w:val="pl-PL"/>
        </w:rPr>
      </w:pPr>
      <w:r w:rsidRPr="00E00B35">
        <w:rPr>
          <w:rFonts w:cs="Verdana"/>
          <w:color w:val="000000"/>
          <w:szCs w:val="20"/>
          <w:lang w:val="pl-PL"/>
        </w:rPr>
        <w:t>Podjęto współpracę w zakresie realizacji projektu pn.</w:t>
      </w:r>
      <w:r w:rsidRPr="00E00B35">
        <w:rPr>
          <w:rFonts w:cs="Verdana"/>
          <w:b/>
          <w:bCs/>
          <w:color w:val="000000"/>
          <w:szCs w:val="20"/>
          <w:lang w:val="pl-PL"/>
        </w:rPr>
        <w:t xml:space="preserve"> </w:t>
      </w:r>
      <w:r w:rsidRPr="00E00B35">
        <w:rPr>
          <w:rFonts w:cs="Verdana"/>
          <w:bCs/>
          <w:color w:val="000000"/>
          <w:szCs w:val="20"/>
          <w:lang w:val="pl-PL"/>
        </w:rPr>
        <w:t>Szkolna Akademia Gotowania.</w:t>
      </w:r>
      <w:r w:rsidRPr="00E00B35">
        <w:rPr>
          <w:rFonts w:cs="Verdana"/>
          <w:color w:val="000000"/>
          <w:szCs w:val="20"/>
          <w:lang w:val="pl-PL"/>
        </w:rPr>
        <w:t xml:space="preserve"> Celem projektu było rozpowszechnienie edukacji żywieniowej, poprzez przeprowadzenie warsztatów z zakresu zasad prawidłowego żywienia, umiejętności, przekonań i postaw niezbędnych do zachowania właściwych wyborów żywieniowych, a także doskonalenia zdrowia własnego i innych. W jednej turze wzięło udział 10 drużyn (po 6 dzieci w każdej drużynie), zaś przedział wiekowy uczestników projektu wynosił od 10 do 12 lat. </w:t>
      </w:r>
    </w:p>
    <w:p w:rsidR="008C7751" w:rsidRPr="00E00B35" w:rsidRDefault="008C7751" w:rsidP="00E00B35">
      <w:pPr>
        <w:autoSpaceDE w:val="0"/>
        <w:autoSpaceDN w:val="0"/>
        <w:adjustRightInd w:val="0"/>
        <w:spacing w:after="0" w:line="312" w:lineRule="auto"/>
        <w:rPr>
          <w:rFonts w:cs="Verdana"/>
          <w:color w:val="000000"/>
          <w:szCs w:val="20"/>
          <w:lang w:val="pl-PL"/>
        </w:rPr>
      </w:pPr>
      <w:r w:rsidRPr="00E00B35">
        <w:rPr>
          <w:rFonts w:cs="Verdana"/>
          <w:color w:val="000000"/>
          <w:szCs w:val="20"/>
          <w:lang w:val="pl-PL"/>
        </w:rPr>
        <w:t xml:space="preserve">Pilotaż projektu został przeprowadzony w dniu </w:t>
      </w:r>
      <w:r w:rsidRPr="00E00B35">
        <w:rPr>
          <w:rFonts w:cs="Verdana"/>
          <w:bCs/>
          <w:color w:val="000000"/>
          <w:szCs w:val="20"/>
          <w:lang w:val="pl-PL"/>
        </w:rPr>
        <w:t xml:space="preserve">11 lutego 2020 r. w Zespole </w:t>
      </w:r>
      <w:r w:rsidRPr="00E00B35">
        <w:rPr>
          <w:rFonts w:cs="Verdana"/>
          <w:bCs/>
          <w:color w:val="000000"/>
          <w:szCs w:val="20"/>
          <w:lang w:val="pl-PL"/>
        </w:rPr>
        <w:br/>
        <w:t>Szkolno-Przedszkolnym nr 17</w:t>
      </w:r>
      <w:r w:rsidRPr="00E00B35">
        <w:rPr>
          <w:rFonts w:cs="Verdana"/>
          <w:b/>
          <w:bCs/>
          <w:color w:val="000000"/>
          <w:szCs w:val="20"/>
          <w:lang w:val="pl-PL"/>
        </w:rPr>
        <w:t xml:space="preserve"> </w:t>
      </w:r>
      <w:r w:rsidRPr="00E00B35">
        <w:rPr>
          <w:rFonts w:cs="Verdana"/>
          <w:color w:val="000000"/>
          <w:szCs w:val="20"/>
          <w:lang w:val="pl-PL"/>
        </w:rPr>
        <w:t xml:space="preserve">podczas organizowanych półkolonii. W projekcie wzięło udział łącznie 240 dzieci (4 tury po 60 dzieci w jednej turze). Na ten cel Departament Edukacji przeznaczył </w:t>
      </w:r>
      <w:r w:rsidRPr="00E00B35">
        <w:rPr>
          <w:rFonts w:cs="Verdana"/>
          <w:bCs/>
          <w:color w:val="000000"/>
          <w:szCs w:val="20"/>
          <w:lang w:val="pl-PL"/>
        </w:rPr>
        <w:t>12 792 zł.</w:t>
      </w:r>
      <w:r w:rsidRPr="00E00B35">
        <w:rPr>
          <w:rFonts w:cs="Verdana"/>
          <w:b/>
          <w:bCs/>
          <w:color w:val="000000"/>
          <w:szCs w:val="20"/>
          <w:u w:val="single"/>
          <w:lang w:val="pl-PL"/>
        </w:rPr>
        <w:t xml:space="preserve"> </w:t>
      </w:r>
    </w:p>
    <w:p w:rsidR="008C7751" w:rsidRPr="00E00B35" w:rsidRDefault="008C7751" w:rsidP="00E00B35">
      <w:pPr>
        <w:pStyle w:val="11TrescpismaZnak"/>
        <w:spacing w:after="0" w:line="312" w:lineRule="auto"/>
        <w:jc w:val="left"/>
        <w:rPr>
          <w:color w:val="000000"/>
          <w:lang w:val="pl-PL"/>
        </w:rPr>
      </w:pPr>
      <w:r w:rsidRPr="00E00B35">
        <w:rPr>
          <w:color w:val="000000"/>
          <w:lang w:val="pl-PL"/>
        </w:rPr>
        <w:t xml:space="preserve">W ramach działalności </w:t>
      </w:r>
      <w:r w:rsidRPr="00E00B35">
        <w:rPr>
          <w:bCs/>
          <w:color w:val="000000"/>
          <w:lang w:val="pl-PL"/>
        </w:rPr>
        <w:t>5 Młodzieżowych Domów Kultury</w:t>
      </w:r>
      <w:r w:rsidRPr="00E00B35">
        <w:rPr>
          <w:color w:val="000000"/>
          <w:lang w:val="pl-PL"/>
        </w:rPr>
        <w:t xml:space="preserve"> z zajęć pozalekcyjnych w kołach, zespołach i grupach skorzystało 10 442</w:t>
      </w:r>
      <w:r w:rsidRPr="00E00B35">
        <w:rPr>
          <w:b/>
          <w:color w:val="000000"/>
          <w:lang w:val="pl-PL"/>
        </w:rPr>
        <w:t xml:space="preserve"> </w:t>
      </w:r>
      <w:r w:rsidRPr="00E00B35">
        <w:rPr>
          <w:color w:val="000000"/>
          <w:lang w:val="pl-PL"/>
        </w:rPr>
        <w:t>dzieci</w:t>
      </w:r>
      <w:r w:rsidRPr="00E00B35">
        <w:rPr>
          <w:b/>
          <w:bCs/>
          <w:color w:val="000000"/>
          <w:lang w:val="pl-PL"/>
        </w:rPr>
        <w:t xml:space="preserve"> </w:t>
      </w:r>
      <w:r w:rsidRPr="00E00B35">
        <w:rPr>
          <w:color w:val="000000"/>
          <w:lang w:val="pl-PL"/>
        </w:rPr>
        <w:t xml:space="preserve">i młodzieży </w:t>
      </w:r>
      <w:r w:rsidRPr="00E00B35">
        <w:rPr>
          <w:color w:val="000000"/>
          <w:lang w:val="pl-PL"/>
        </w:rPr>
        <w:br/>
        <w:t>w okresie od stycznia do 31 sierpnia 2020 r. oraz 8 226</w:t>
      </w:r>
      <w:r w:rsidRPr="00E00B35">
        <w:rPr>
          <w:b/>
          <w:color w:val="000000"/>
          <w:lang w:val="pl-PL"/>
        </w:rPr>
        <w:t xml:space="preserve"> </w:t>
      </w:r>
      <w:r w:rsidRPr="00E00B35">
        <w:rPr>
          <w:color w:val="000000"/>
          <w:lang w:val="pl-PL"/>
        </w:rPr>
        <w:t xml:space="preserve">w okresie od września </w:t>
      </w:r>
      <w:r w:rsidRPr="00E00B35">
        <w:rPr>
          <w:color w:val="000000"/>
          <w:lang w:val="pl-PL"/>
        </w:rPr>
        <w:br/>
        <w:t>do 31 grudnia 2020 r. Z uwagi na pandemię Covid-19 od marca 2020 r. wszelkie imprezy i uoczystości zostały zawieszone do odwołania, a w niektórych przypadkach odbywały się w formie online.  W imprezach i uroczystościach organizowanych w MDK-ach w czasie całego roku 2020 wzięło udział około 8 260</w:t>
      </w:r>
      <w:r w:rsidRPr="00E00B35">
        <w:rPr>
          <w:bCs/>
          <w:color w:val="000000"/>
          <w:lang w:val="pl-PL"/>
        </w:rPr>
        <w:t xml:space="preserve"> </w:t>
      </w:r>
      <w:r w:rsidRPr="00E00B35">
        <w:rPr>
          <w:color w:val="000000"/>
          <w:lang w:val="pl-PL"/>
        </w:rPr>
        <w:t xml:space="preserve">uczestników. </w:t>
      </w:r>
    </w:p>
    <w:p w:rsidR="008C7751" w:rsidRPr="00E00B35" w:rsidRDefault="008C7751" w:rsidP="00E00B35">
      <w:pPr>
        <w:pStyle w:val="11TrescpismaZnak"/>
        <w:spacing w:after="0" w:line="312" w:lineRule="auto"/>
        <w:jc w:val="left"/>
        <w:rPr>
          <w:color w:val="000000"/>
          <w:lang w:val="pl-PL"/>
        </w:rPr>
      </w:pPr>
      <w:r w:rsidRPr="00E00B35">
        <w:rPr>
          <w:color w:val="000000"/>
          <w:lang w:val="pl-PL"/>
        </w:rPr>
        <w:t xml:space="preserve">Na funkcjonowanie MDK-ów w 2020 r. przeznaczono </w:t>
      </w:r>
      <w:r w:rsidRPr="00E00B35">
        <w:rPr>
          <w:bCs/>
          <w:color w:val="000000"/>
          <w:lang w:val="pl-PL"/>
        </w:rPr>
        <w:t>14 010 938 zł</w:t>
      </w:r>
      <w:r w:rsidRPr="00E00B35">
        <w:rPr>
          <w:color w:val="000000"/>
          <w:lang w:val="pl-PL"/>
        </w:rPr>
        <w:t xml:space="preserve"> (dane z programu PABS - plan na dzień 31.12.20120 r.).</w:t>
      </w:r>
    </w:p>
    <w:p w:rsidR="008C7751" w:rsidRPr="00E00B35" w:rsidRDefault="008C7751" w:rsidP="00E00B35">
      <w:pPr>
        <w:pStyle w:val="11TrescpismaZnak"/>
        <w:spacing w:after="0" w:line="312" w:lineRule="auto"/>
        <w:jc w:val="left"/>
        <w:rPr>
          <w:color w:val="000000"/>
          <w:lang w:val="pl-PL"/>
        </w:rPr>
      </w:pPr>
    </w:p>
    <w:p w:rsidR="008C7751" w:rsidRPr="00E00B35" w:rsidRDefault="008C7751" w:rsidP="00E00B35">
      <w:pPr>
        <w:pStyle w:val="11TrescpismaZnak"/>
        <w:spacing w:after="0" w:line="312" w:lineRule="auto"/>
        <w:jc w:val="left"/>
        <w:rPr>
          <w:color w:val="000000"/>
          <w:lang w:val="pl-PL"/>
        </w:rPr>
      </w:pPr>
      <w:r w:rsidRPr="00E00B35">
        <w:rPr>
          <w:color w:val="000000"/>
          <w:lang w:val="pl-PL"/>
        </w:rPr>
        <w:t>Tabela 17. Działalność MDK-ów w roku szkolnym 2019/2020 (styczeń-sierpień 2020r.)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6"/>
        <w:gridCol w:w="2435"/>
        <w:gridCol w:w="1340"/>
        <w:gridCol w:w="1617"/>
        <w:gridCol w:w="1615"/>
        <w:gridCol w:w="1617"/>
      </w:tblGrid>
      <w:tr w:rsidR="008C7751" w:rsidRPr="00E00B35" w:rsidTr="008C7751">
        <w:tc>
          <w:tcPr>
            <w:tcW w:w="479" w:type="dxa"/>
            <w:shd w:val="clear" w:color="auto" w:fill="auto"/>
            <w:vAlign w:val="center"/>
          </w:tcPr>
          <w:p w:rsidR="008C7751" w:rsidRPr="00E00B35" w:rsidRDefault="008C7751" w:rsidP="00E00B35">
            <w:pPr>
              <w:spacing w:after="0" w:line="312" w:lineRule="auto"/>
              <w:rPr>
                <w:b/>
                <w:szCs w:val="20"/>
              </w:rPr>
            </w:pPr>
            <w:r w:rsidRPr="00E00B35">
              <w:rPr>
                <w:b/>
                <w:szCs w:val="20"/>
              </w:rPr>
              <w:lastRenderedPageBreak/>
              <w:t>Lp.</w:t>
            </w:r>
          </w:p>
        </w:tc>
        <w:tc>
          <w:tcPr>
            <w:tcW w:w="2782" w:type="dxa"/>
            <w:shd w:val="clear" w:color="auto" w:fill="auto"/>
            <w:vAlign w:val="center"/>
          </w:tcPr>
          <w:p w:rsidR="008C7751" w:rsidRPr="00E00B35" w:rsidRDefault="008C7751" w:rsidP="00E00B35">
            <w:pPr>
              <w:spacing w:after="0" w:line="312" w:lineRule="auto"/>
              <w:rPr>
                <w:b/>
                <w:szCs w:val="20"/>
              </w:rPr>
            </w:pPr>
            <w:r w:rsidRPr="00E00B35">
              <w:rPr>
                <w:b/>
                <w:szCs w:val="20"/>
              </w:rPr>
              <w:t>Placówka</w:t>
            </w:r>
          </w:p>
        </w:tc>
        <w:tc>
          <w:tcPr>
            <w:tcW w:w="1275" w:type="dxa"/>
            <w:shd w:val="clear" w:color="auto" w:fill="auto"/>
            <w:vAlign w:val="center"/>
          </w:tcPr>
          <w:p w:rsidR="008C7751" w:rsidRPr="00E00B35" w:rsidRDefault="008C7751" w:rsidP="00E00B35">
            <w:pPr>
              <w:spacing w:after="0" w:line="312" w:lineRule="auto"/>
              <w:rPr>
                <w:b/>
                <w:szCs w:val="20"/>
              </w:rPr>
            </w:pPr>
            <w:r w:rsidRPr="00E00B35">
              <w:rPr>
                <w:b/>
                <w:szCs w:val="20"/>
              </w:rPr>
              <w:t>Liczba kół, zespołów, grup</w:t>
            </w:r>
          </w:p>
        </w:tc>
        <w:tc>
          <w:tcPr>
            <w:tcW w:w="1560" w:type="dxa"/>
            <w:shd w:val="clear" w:color="auto" w:fill="auto"/>
            <w:vAlign w:val="center"/>
          </w:tcPr>
          <w:p w:rsidR="008C7751" w:rsidRPr="00E00B35" w:rsidRDefault="008C7751" w:rsidP="00E00B35">
            <w:pPr>
              <w:spacing w:after="0" w:line="312" w:lineRule="auto"/>
              <w:rPr>
                <w:b/>
                <w:szCs w:val="20"/>
              </w:rPr>
            </w:pPr>
            <w:r w:rsidRPr="00E00B35">
              <w:rPr>
                <w:b/>
                <w:szCs w:val="20"/>
              </w:rPr>
              <w:t>Liczba uczestników</w:t>
            </w:r>
          </w:p>
        </w:tc>
        <w:tc>
          <w:tcPr>
            <w:tcW w:w="1559" w:type="dxa"/>
            <w:shd w:val="clear" w:color="auto" w:fill="auto"/>
            <w:vAlign w:val="center"/>
          </w:tcPr>
          <w:p w:rsidR="008C7751" w:rsidRPr="00E00B35" w:rsidRDefault="008C7751" w:rsidP="00E00B35">
            <w:pPr>
              <w:spacing w:after="0" w:line="312" w:lineRule="auto"/>
              <w:rPr>
                <w:b/>
                <w:szCs w:val="20"/>
              </w:rPr>
            </w:pPr>
            <w:r w:rsidRPr="00E00B35">
              <w:rPr>
                <w:b/>
                <w:szCs w:val="20"/>
              </w:rPr>
              <w:t>Liczba imprez, uroczystości</w:t>
            </w:r>
          </w:p>
        </w:tc>
        <w:tc>
          <w:tcPr>
            <w:tcW w:w="1523" w:type="dxa"/>
            <w:shd w:val="clear" w:color="auto" w:fill="auto"/>
            <w:vAlign w:val="center"/>
          </w:tcPr>
          <w:p w:rsidR="008C7751" w:rsidRPr="00E00B35" w:rsidRDefault="008C7751" w:rsidP="00E00B35">
            <w:pPr>
              <w:spacing w:after="0" w:line="312" w:lineRule="auto"/>
              <w:rPr>
                <w:b/>
                <w:szCs w:val="20"/>
              </w:rPr>
            </w:pPr>
            <w:r w:rsidRPr="00E00B35">
              <w:rPr>
                <w:b/>
                <w:szCs w:val="20"/>
              </w:rPr>
              <w:t>Liczba uczestników</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vAlign w:val="bottom"/>
          </w:tcPr>
          <w:p w:rsidR="008C7751" w:rsidRPr="00E00B35" w:rsidRDefault="008C7751" w:rsidP="00E00B35">
            <w:pPr>
              <w:spacing w:after="0" w:line="312" w:lineRule="auto"/>
              <w:rPr>
                <w:rFonts w:cs="Verdana"/>
                <w:bCs/>
                <w:color w:val="000000"/>
                <w:szCs w:val="20"/>
              </w:rPr>
            </w:pPr>
            <w:r w:rsidRPr="00E00B35">
              <w:rPr>
                <w:rFonts w:cs="Verdana"/>
                <w:bCs/>
                <w:color w:val="000000"/>
                <w:szCs w:val="20"/>
                <w:lang w:val="pl-PL"/>
              </w:rPr>
              <w:t xml:space="preserve">Zespół „Centrum Edukacji Kulturalnej Dzieci i Młodzieży” – MDK im. </w:t>
            </w:r>
            <w:r w:rsidRPr="00E00B35">
              <w:rPr>
                <w:rFonts w:cs="Verdana"/>
                <w:bCs/>
                <w:color w:val="000000"/>
                <w:szCs w:val="20"/>
              </w:rPr>
              <w:t>M.Kopernika</w:t>
            </w:r>
          </w:p>
        </w:tc>
        <w:tc>
          <w:tcPr>
            <w:tcW w:w="1275"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121</w:t>
            </w:r>
          </w:p>
        </w:tc>
        <w:tc>
          <w:tcPr>
            <w:tcW w:w="1560"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2 331</w:t>
            </w:r>
          </w:p>
        </w:tc>
        <w:tc>
          <w:tcPr>
            <w:tcW w:w="1559"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29</w:t>
            </w:r>
          </w:p>
        </w:tc>
        <w:tc>
          <w:tcPr>
            <w:tcW w:w="1523"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2 500</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vAlign w:val="bottom"/>
          </w:tcPr>
          <w:p w:rsidR="008C7751" w:rsidRPr="00E00B35" w:rsidRDefault="008C7751" w:rsidP="00E00B35">
            <w:pPr>
              <w:spacing w:after="0" w:line="312" w:lineRule="auto"/>
              <w:rPr>
                <w:rFonts w:cs="Verdana"/>
                <w:bCs/>
                <w:color w:val="000000"/>
                <w:szCs w:val="20"/>
              </w:rPr>
            </w:pPr>
            <w:r w:rsidRPr="00E00B35">
              <w:rPr>
                <w:rFonts w:cs="Verdana"/>
                <w:bCs/>
                <w:color w:val="000000"/>
                <w:szCs w:val="20"/>
              </w:rPr>
              <w:t>MDK Śródmieście</w:t>
            </w:r>
          </w:p>
        </w:tc>
        <w:tc>
          <w:tcPr>
            <w:tcW w:w="1275"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149</w:t>
            </w:r>
          </w:p>
        </w:tc>
        <w:tc>
          <w:tcPr>
            <w:tcW w:w="1560"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2 068</w:t>
            </w:r>
          </w:p>
        </w:tc>
        <w:tc>
          <w:tcPr>
            <w:tcW w:w="1559"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23</w:t>
            </w:r>
          </w:p>
        </w:tc>
        <w:tc>
          <w:tcPr>
            <w:tcW w:w="1523"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3 512</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vAlign w:val="bottom"/>
          </w:tcPr>
          <w:p w:rsidR="008C7751" w:rsidRPr="00E00B35" w:rsidRDefault="008C7751" w:rsidP="00E00B35">
            <w:pPr>
              <w:spacing w:after="0" w:line="312" w:lineRule="auto"/>
              <w:rPr>
                <w:rFonts w:cs="Verdana"/>
                <w:bCs/>
                <w:color w:val="000000"/>
                <w:szCs w:val="20"/>
              </w:rPr>
            </w:pPr>
            <w:r w:rsidRPr="00E00B35">
              <w:rPr>
                <w:rFonts w:cs="Verdana"/>
                <w:bCs/>
                <w:color w:val="000000"/>
                <w:szCs w:val="20"/>
              </w:rPr>
              <w:t>MDK Fabryczna</w:t>
            </w:r>
          </w:p>
        </w:tc>
        <w:tc>
          <w:tcPr>
            <w:tcW w:w="1275"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194</w:t>
            </w:r>
          </w:p>
        </w:tc>
        <w:tc>
          <w:tcPr>
            <w:tcW w:w="1560"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3 460</w:t>
            </w:r>
          </w:p>
        </w:tc>
        <w:tc>
          <w:tcPr>
            <w:tcW w:w="1559"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3</w:t>
            </w:r>
          </w:p>
        </w:tc>
        <w:tc>
          <w:tcPr>
            <w:tcW w:w="1523"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120</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vAlign w:val="bottom"/>
          </w:tcPr>
          <w:p w:rsidR="008C7751" w:rsidRPr="00E00B35" w:rsidRDefault="008C7751" w:rsidP="00E00B35">
            <w:pPr>
              <w:spacing w:after="0" w:line="312" w:lineRule="auto"/>
              <w:rPr>
                <w:rFonts w:cs="Verdana"/>
                <w:bCs/>
                <w:color w:val="000000"/>
                <w:szCs w:val="20"/>
              </w:rPr>
            </w:pPr>
            <w:r w:rsidRPr="00E00B35">
              <w:rPr>
                <w:rFonts w:cs="Verdana"/>
                <w:bCs/>
                <w:color w:val="000000"/>
                <w:szCs w:val="20"/>
              </w:rPr>
              <w:t>MDK Krzyki</w:t>
            </w:r>
          </w:p>
        </w:tc>
        <w:tc>
          <w:tcPr>
            <w:tcW w:w="1275"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168</w:t>
            </w:r>
          </w:p>
        </w:tc>
        <w:tc>
          <w:tcPr>
            <w:tcW w:w="1560"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2 120</w:t>
            </w:r>
          </w:p>
        </w:tc>
        <w:tc>
          <w:tcPr>
            <w:tcW w:w="1559"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16</w:t>
            </w:r>
          </w:p>
        </w:tc>
        <w:tc>
          <w:tcPr>
            <w:tcW w:w="1523"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900</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vAlign w:val="bottom"/>
          </w:tcPr>
          <w:p w:rsidR="008C7751" w:rsidRPr="00E00B35" w:rsidRDefault="008C7751" w:rsidP="00E00B35">
            <w:pPr>
              <w:spacing w:after="0" w:line="312" w:lineRule="auto"/>
              <w:rPr>
                <w:rFonts w:cs="Verdana"/>
                <w:bCs/>
                <w:color w:val="000000"/>
                <w:szCs w:val="20"/>
              </w:rPr>
            </w:pPr>
            <w:r w:rsidRPr="00E00B35">
              <w:rPr>
                <w:rFonts w:cs="Verdana"/>
                <w:bCs/>
                <w:color w:val="000000"/>
                <w:szCs w:val="20"/>
              </w:rPr>
              <w:t>Centrum Kreatywności Talent</w:t>
            </w:r>
          </w:p>
        </w:tc>
        <w:tc>
          <w:tcPr>
            <w:tcW w:w="1275"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48</w:t>
            </w:r>
          </w:p>
        </w:tc>
        <w:tc>
          <w:tcPr>
            <w:tcW w:w="1560"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463</w:t>
            </w:r>
          </w:p>
        </w:tc>
        <w:tc>
          <w:tcPr>
            <w:tcW w:w="1559"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3</w:t>
            </w:r>
          </w:p>
        </w:tc>
        <w:tc>
          <w:tcPr>
            <w:tcW w:w="1523"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270</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tcPr>
          <w:p w:rsidR="008C7751" w:rsidRPr="00E00B35" w:rsidRDefault="008C7751" w:rsidP="00E00B35">
            <w:pPr>
              <w:spacing w:after="0" w:line="312" w:lineRule="auto"/>
              <w:rPr>
                <w:szCs w:val="20"/>
              </w:rPr>
            </w:pPr>
            <w:r w:rsidRPr="00E00B35">
              <w:rPr>
                <w:szCs w:val="20"/>
              </w:rPr>
              <w:t>Razem</w:t>
            </w:r>
          </w:p>
        </w:tc>
        <w:tc>
          <w:tcPr>
            <w:tcW w:w="1275" w:type="dxa"/>
            <w:shd w:val="clear" w:color="auto" w:fill="auto"/>
            <w:vAlign w:val="bottom"/>
          </w:tcPr>
          <w:p w:rsidR="008C7751" w:rsidRPr="00E00B35" w:rsidRDefault="008C7751" w:rsidP="00E00B35">
            <w:pPr>
              <w:spacing w:after="0" w:line="312" w:lineRule="auto"/>
              <w:rPr>
                <w:rFonts w:cs="Verdana"/>
                <w:b/>
                <w:bCs/>
                <w:color w:val="000000"/>
                <w:szCs w:val="20"/>
              </w:rPr>
            </w:pPr>
            <w:r w:rsidRPr="00E00B35">
              <w:rPr>
                <w:rFonts w:cs="Verdana"/>
                <w:b/>
                <w:bCs/>
                <w:color w:val="000000"/>
                <w:szCs w:val="20"/>
              </w:rPr>
              <w:t>680</w:t>
            </w:r>
          </w:p>
        </w:tc>
        <w:tc>
          <w:tcPr>
            <w:tcW w:w="1560" w:type="dxa"/>
            <w:shd w:val="clear" w:color="auto" w:fill="auto"/>
            <w:vAlign w:val="bottom"/>
          </w:tcPr>
          <w:p w:rsidR="008C7751" w:rsidRPr="00E00B35" w:rsidRDefault="008C7751" w:rsidP="00E00B35">
            <w:pPr>
              <w:spacing w:after="0" w:line="312" w:lineRule="auto"/>
              <w:rPr>
                <w:rFonts w:cs="Verdana"/>
                <w:b/>
                <w:bCs/>
                <w:color w:val="000000"/>
                <w:szCs w:val="20"/>
                <w:highlight w:val="yellow"/>
              </w:rPr>
            </w:pPr>
            <w:r w:rsidRPr="00E00B35">
              <w:rPr>
                <w:rFonts w:cs="Verdana"/>
                <w:b/>
                <w:bCs/>
                <w:color w:val="000000"/>
                <w:szCs w:val="20"/>
              </w:rPr>
              <w:t>10 442</w:t>
            </w:r>
          </w:p>
        </w:tc>
        <w:tc>
          <w:tcPr>
            <w:tcW w:w="1559" w:type="dxa"/>
            <w:shd w:val="clear" w:color="auto" w:fill="auto"/>
            <w:vAlign w:val="bottom"/>
          </w:tcPr>
          <w:p w:rsidR="008C7751" w:rsidRPr="00E00B35" w:rsidRDefault="008C7751" w:rsidP="00E00B35">
            <w:pPr>
              <w:spacing w:after="0" w:line="312" w:lineRule="auto"/>
              <w:rPr>
                <w:rFonts w:cs="Verdana"/>
                <w:b/>
                <w:bCs/>
                <w:color w:val="000000"/>
                <w:szCs w:val="20"/>
                <w:highlight w:val="yellow"/>
              </w:rPr>
            </w:pPr>
            <w:r w:rsidRPr="00E00B35">
              <w:rPr>
                <w:rFonts w:cs="Verdana"/>
                <w:b/>
                <w:bCs/>
                <w:color w:val="000000"/>
                <w:szCs w:val="20"/>
              </w:rPr>
              <w:t>74</w:t>
            </w:r>
          </w:p>
        </w:tc>
        <w:tc>
          <w:tcPr>
            <w:tcW w:w="1523" w:type="dxa"/>
            <w:shd w:val="clear" w:color="auto" w:fill="auto"/>
            <w:vAlign w:val="bottom"/>
          </w:tcPr>
          <w:p w:rsidR="008C7751" w:rsidRPr="00E00B35" w:rsidRDefault="008C7751" w:rsidP="00E00B35">
            <w:pPr>
              <w:spacing w:after="0" w:line="312" w:lineRule="auto"/>
              <w:rPr>
                <w:rFonts w:cs="Verdana"/>
                <w:b/>
                <w:bCs/>
                <w:color w:val="000000"/>
                <w:szCs w:val="20"/>
              </w:rPr>
            </w:pPr>
            <w:r w:rsidRPr="00E00B35">
              <w:rPr>
                <w:rFonts w:cs="Verdana"/>
                <w:b/>
                <w:bCs/>
                <w:color w:val="000000"/>
                <w:szCs w:val="20"/>
              </w:rPr>
              <w:t>7 302</w:t>
            </w:r>
          </w:p>
        </w:tc>
      </w:tr>
    </w:tbl>
    <w:p w:rsidR="008C7751" w:rsidRPr="00E00B35" w:rsidRDefault="008C7751" w:rsidP="00E00B35">
      <w:pPr>
        <w:spacing w:after="0" w:line="312" w:lineRule="auto"/>
        <w:rPr>
          <w:rFonts w:cs="Verdana"/>
          <w:color w:val="000000"/>
          <w:szCs w:val="20"/>
          <w:lang w:val="pl-PL"/>
        </w:rPr>
      </w:pPr>
    </w:p>
    <w:p w:rsidR="008C7751" w:rsidRPr="00E00B35" w:rsidRDefault="008C7751" w:rsidP="00E00B35">
      <w:pPr>
        <w:spacing w:after="0" w:line="312" w:lineRule="auto"/>
        <w:rPr>
          <w:rFonts w:cs="Verdana"/>
          <w:color w:val="000000"/>
          <w:szCs w:val="20"/>
          <w:lang w:val="pl-PL"/>
        </w:rPr>
      </w:pPr>
      <w:r w:rsidRPr="00E00B35">
        <w:rPr>
          <w:rFonts w:cs="Verdana"/>
          <w:color w:val="000000"/>
          <w:szCs w:val="20"/>
          <w:lang w:val="pl-PL"/>
        </w:rPr>
        <w:t>Tabela 18. Działalność MDK-ów w roku szkolnym 2020/2021 (wrzesień-grudzień 2020r.)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6"/>
        <w:gridCol w:w="2435"/>
        <w:gridCol w:w="1340"/>
        <w:gridCol w:w="1617"/>
        <w:gridCol w:w="1615"/>
        <w:gridCol w:w="1617"/>
      </w:tblGrid>
      <w:tr w:rsidR="008C7751" w:rsidRPr="00E00B35" w:rsidTr="008C7751">
        <w:tc>
          <w:tcPr>
            <w:tcW w:w="479" w:type="dxa"/>
            <w:shd w:val="clear" w:color="auto" w:fill="auto"/>
            <w:vAlign w:val="center"/>
          </w:tcPr>
          <w:p w:rsidR="008C7751" w:rsidRPr="00E00B35" w:rsidRDefault="008C7751" w:rsidP="00E00B35">
            <w:pPr>
              <w:spacing w:after="0" w:line="312" w:lineRule="auto"/>
              <w:rPr>
                <w:b/>
                <w:szCs w:val="20"/>
              </w:rPr>
            </w:pPr>
            <w:r w:rsidRPr="00E00B35">
              <w:rPr>
                <w:b/>
                <w:szCs w:val="20"/>
              </w:rPr>
              <w:t>Lp.</w:t>
            </w:r>
          </w:p>
        </w:tc>
        <w:tc>
          <w:tcPr>
            <w:tcW w:w="2782" w:type="dxa"/>
            <w:shd w:val="clear" w:color="auto" w:fill="auto"/>
            <w:vAlign w:val="center"/>
          </w:tcPr>
          <w:p w:rsidR="008C7751" w:rsidRPr="00E00B35" w:rsidRDefault="008C7751" w:rsidP="00E00B35">
            <w:pPr>
              <w:spacing w:after="0" w:line="312" w:lineRule="auto"/>
              <w:rPr>
                <w:b/>
                <w:szCs w:val="20"/>
              </w:rPr>
            </w:pPr>
            <w:r w:rsidRPr="00E00B35">
              <w:rPr>
                <w:b/>
                <w:szCs w:val="20"/>
              </w:rPr>
              <w:t>Placówka</w:t>
            </w:r>
          </w:p>
        </w:tc>
        <w:tc>
          <w:tcPr>
            <w:tcW w:w="1275" w:type="dxa"/>
            <w:shd w:val="clear" w:color="auto" w:fill="auto"/>
            <w:vAlign w:val="center"/>
          </w:tcPr>
          <w:p w:rsidR="008C7751" w:rsidRPr="00E00B35" w:rsidRDefault="008C7751" w:rsidP="00E00B35">
            <w:pPr>
              <w:spacing w:after="0" w:line="312" w:lineRule="auto"/>
              <w:rPr>
                <w:b/>
                <w:szCs w:val="20"/>
              </w:rPr>
            </w:pPr>
            <w:r w:rsidRPr="00E00B35">
              <w:rPr>
                <w:b/>
                <w:szCs w:val="20"/>
              </w:rPr>
              <w:t>Liczba kół, zespołów, grup</w:t>
            </w:r>
          </w:p>
        </w:tc>
        <w:tc>
          <w:tcPr>
            <w:tcW w:w="1560" w:type="dxa"/>
            <w:shd w:val="clear" w:color="auto" w:fill="auto"/>
            <w:vAlign w:val="center"/>
          </w:tcPr>
          <w:p w:rsidR="008C7751" w:rsidRPr="00E00B35" w:rsidRDefault="008C7751" w:rsidP="00E00B35">
            <w:pPr>
              <w:spacing w:after="0" w:line="312" w:lineRule="auto"/>
              <w:rPr>
                <w:b/>
                <w:szCs w:val="20"/>
              </w:rPr>
            </w:pPr>
            <w:r w:rsidRPr="00E00B35">
              <w:rPr>
                <w:b/>
                <w:szCs w:val="20"/>
              </w:rPr>
              <w:t>Liczba uczestników</w:t>
            </w:r>
          </w:p>
        </w:tc>
        <w:tc>
          <w:tcPr>
            <w:tcW w:w="1559" w:type="dxa"/>
            <w:shd w:val="clear" w:color="auto" w:fill="auto"/>
            <w:vAlign w:val="center"/>
          </w:tcPr>
          <w:p w:rsidR="008C7751" w:rsidRPr="00E00B35" w:rsidRDefault="008C7751" w:rsidP="00E00B35">
            <w:pPr>
              <w:spacing w:after="0" w:line="312" w:lineRule="auto"/>
              <w:rPr>
                <w:b/>
                <w:szCs w:val="20"/>
              </w:rPr>
            </w:pPr>
            <w:r w:rsidRPr="00E00B35">
              <w:rPr>
                <w:b/>
                <w:szCs w:val="20"/>
              </w:rPr>
              <w:t>Liczba imprez, uroczystości</w:t>
            </w:r>
          </w:p>
        </w:tc>
        <w:tc>
          <w:tcPr>
            <w:tcW w:w="1523" w:type="dxa"/>
            <w:shd w:val="clear" w:color="auto" w:fill="auto"/>
            <w:vAlign w:val="center"/>
          </w:tcPr>
          <w:p w:rsidR="008C7751" w:rsidRPr="00E00B35" w:rsidRDefault="008C7751" w:rsidP="00E00B35">
            <w:pPr>
              <w:spacing w:after="0" w:line="312" w:lineRule="auto"/>
              <w:rPr>
                <w:b/>
                <w:szCs w:val="20"/>
              </w:rPr>
            </w:pPr>
            <w:r w:rsidRPr="00E00B35">
              <w:rPr>
                <w:b/>
                <w:szCs w:val="20"/>
              </w:rPr>
              <w:t>Liczba uczestników</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vAlign w:val="bottom"/>
          </w:tcPr>
          <w:p w:rsidR="008C7751" w:rsidRPr="00E00B35" w:rsidRDefault="008C7751" w:rsidP="00E00B35">
            <w:pPr>
              <w:spacing w:after="0" w:line="312" w:lineRule="auto"/>
              <w:rPr>
                <w:rFonts w:cs="Verdana"/>
                <w:bCs/>
                <w:color w:val="000000"/>
                <w:szCs w:val="20"/>
              </w:rPr>
            </w:pPr>
            <w:r w:rsidRPr="00E00B35">
              <w:rPr>
                <w:rFonts w:cs="Verdana"/>
                <w:bCs/>
                <w:color w:val="000000"/>
                <w:szCs w:val="20"/>
                <w:lang w:val="pl-PL"/>
              </w:rPr>
              <w:t xml:space="preserve">Zespół „Centrum Edukacji Kulturalnej Dzieci i Młodzieży” – MDK im. </w:t>
            </w:r>
            <w:r w:rsidRPr="00E00B35">
              <w:rPr>
                <w:rFonts w:cs="Verdana"/>
                <w:bCs/>
                <w:color w:val="000000"/>
                <w:szCs w:val="20"/>
              </w:rPr>
              <w:t>M.Kopernika</w:t>
            </w:r>
          </w:p>
        </w:tc>
        <w:tc>
          <w:tcPr>
            <w:tcW w:w="1275"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110</w:t>
            </w:r>
          </w:p>
        </w:tc>
        <w:tc>
          <w:tcPr>
            <w:tcW w:w="1560"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1 512</w:t>
            </w:r>
          </w:p>
        </w:tc>
        <w:tc>
          <w:tcPr>
            <w:tcW w:w="1559"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 xml:space="preserve">2 </w:t>
            </w:r>
          </w:p>
        </w:tc>
        <w:tc>
          <w:tcPr>
            <w:tcW w:w="1523"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 xml:space="preserve">150 </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vAlign w:val="bottom"/>
          </w:tcPr>
          <w:p w:rsidR="008C7751" w:rsidRPr="00E00B35" w:rsidRDefault="008C7751" w:rsidP="00E00B35">
            <w:pPr>
              <w:spacing w:after="0" w:line="312" w:lineRule="auto"/>
              <w:rPr>
                <w:rFonts w:cs="Verdana"/>
                <w:bCs/>
                <w:color w:val="000000"/>
                <w:szCs w:val="20"/>
              </w:rPr>
            </w:pPr>
            <w:r w:rsidRPr="00E00B35">
              <w:rPr>
                <w:rFonts w:cs="Verdana"/>
                <w:bCs/>
                <w:color w:val="000000"/>
                <w:szCs w:val="20"/>
              </w:rPr>
              <w:t>MDK Śródmieście</w:t>
            </w:r>
          </w:p>
        </w:tc>
        <w:tc>
          <w:tcPr>
            <w:tcW w:w="1275"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115</w:t>
            </w:r>
          </w:p>
        </w:tc>
        <w:tc>
          <w:tcPr>
            <w:tcW w:w="1560"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1 519</w:t>
            </w:r>
          </w:p>
        </w:tc>
        <w:tc>
          <w:tcPr>
            <w:tcW w:w="1559"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5</w:t>
            </w:r>
          </w:p>
        </w:tc>
        <w:tc>
          <w:tcPr>
            <w:tcW w:w="1523"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372</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vAlign w:val="bottom"/>
          </w:tcPr>
          <w:p w:rsidR="008C7751" w:rsidRPr="00E00B35" w:rsidRDefault="008C7751" w:rsidP="00E00B35">
            <w:pPr>
              <w:spacing w:after="0" w:line="312" w:lineRule="auto"/>
              <w:rPr>
                <w:rFonts w:cs="Verdana"/>
                <w:bCs/>
                <w:color w:val="000000"/>
                <w:szCs w:val="20"/>
              </w:rPr>
            </w:pPr>
            <w:r w:rsidRPr="00E00B35">
              <w:rPr>
                <w:rFonts w:cs="Verdana"/>
                <w:bCs/>
                <w:color w:val="000000"/>
                <w:szCs w:val="20"/>
              </w:rPr>
              <w:t>MDK Fabryczna</w:t>
            </w:r>
          </w:p>
        </w:tc>
        <w:tc>
          <w:tcPr>
            <w:tcW w:w="1275"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197</w:t>
            </w:r>
          </w:p>
        </w:tc>
        <w:tc>
          <w:tcPr>
            <w:tcW w:w="1560"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3 259</w:t>
            </w:r>
          </w:p>
        </w:tc>
        <w:tc>
          <w:tcPr>
            <w:tcW w:w="1559"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3</w:t>
            </w:r>
          </w:p>
        </w:tc>
        <w:tc>
          <w:tcPr>
            <w:tcW w:w="1523"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346</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vAlign w:val="bottom"/>
          </w:tcPr>
          <w:p w:rsidR="008C7751" w:rsidRPr="00E00B35" w:rsidRDefault="008C7751" w:rsidP="00E00B35">
            <w:pPr>
              <w:spacing w:after="0" w:line="312" w:lineRule="auto"/>
              <w:rPr>
                <w:rFonts w:cs="Verdana"/>
                <w:bCs/>
                <w:color w:val="000000"/>
                <w:szCs w:val="20"/>
              </w:rPr>
            </w:pPr>
            <w:r w:rsidRPr="00E00B35">
              <w:rPr>
                <w:rFonts w:cs="Verdana"/>
                <w:bCs/>
                <w:color w:val="000000"/>
                <w:szCs w:val="20"/>
              </w:rPr>
              <w:t>MDK Krzyki</w:t>
            </w:r>
          </w:p>
        </w:tc>
        <w:tc>
          <w:tcPr>
            <w:tcW w:w="1275"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168</w:t>
            </w:r>
          </w:p>
        </w:tc>
        <w:tc>
          <w:tcPr>
            <w:tcW w:w="1560"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1 495</w:t>
            </w:r>
          </w:p>
        </w:tc>
        <w:tc>
          <w:tcPr>
            <w:tcW w:w="1559"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2</w:t>
            </w:r>
          </w:p>
        </w:tc>
        <w:tc>
          <w:tcPr>
            <w:tcW w:w="1523"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90</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vAlign w:val="bottom"/>
          </w:tcPr>
          <w:p w:rsidR="008C7751" w:rsidRPr="00E00B35" w:rsidRDefault="008C7751" w:rsidP="00E00B35">
            <w:pPr>
              <w:spacing w:after="0" w:line="312" w:lineRule="auto"/>
              <w:rPr>
                <w:rFonts w:cs="Verdana"/>
                <w:bCs/>
                <w:color w:val="000000"/>
                <w:szCs w:val="20"/>
              </w:rPr>
            </w:pPr>
            <w:r w:rsidRPr="00E00B35">
              <w:rPr>
                <w:rFonts w:cs="Verdana"/>
                <w:bCs/>
                <w:color w:val="000000"/>
                <w:szCs w:val="20"/>
              </w:rPr>
              <w:t>Centrum Kreatywności Talent</w:t>
            </w:r>
          </w:p>
        </w:tc>
        <w:tc>
          <w:tcPr>
            <w:tcW w:w="1275"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43</w:t>
            </w:r>
          </w:p>
        </w:tc>
        <w:tc>
          <w:tcPr>
            <w:tcW w:w="1560"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441</w:t>
            </w:r>
          </w:p>
        </w:tc>
        <w:tc>
          <w:tcPr>
            <w:tcW w:w="1559"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0</w:t>
            </w:r>
          </w:p>
        </w:tc>
        <w:tc>
          <w:tcPr>
            <w:tcW w:w="1523" w:type="dxa"/>
            <w:shd w:val="clear" w:color="auto" w:fill="auto"/>
            <w:vAlign w:val="bottom"/>
          </w:tcPr>
          <w:p w:rsidR="008C7751" w:rsidRPr="00E00B35" w:rsidRDefault="008C7751" w:rsidP="00E00B35">
            <w:pPr>
              <w:spacing w:after="0" w:line="312" w:lineRule="auto"/>
              <w:rPr>
                <w:rFonts w:cs="Verdana"/>
                <w:color w:val="000000"/>
                <w:szCs w:val="20"/>
              </w:rPr>
            </w:pPr>
            <w:r w:rsidRPr="00E00B35">
              <w:rPr>
                <w:rFonts w:cs="Verdana"/>
                <w:color w:val="000000"/>
                <w:szCs w:val="20"/>
              </w:rPr>
              <w:t>0</w:t>
            </w:r>
          </w:p>
        </w:tc>
      </w:tr>
      <w:tr w:rsidR="008C7751" w:rsidRPr="00E00B35" w:rsidTr="008C7751">
        <w:tc>
          <w:tcPr>
            <w:tcW w:w="479" w:type="dxa"/>
            <w:shd w:val="clear" w:color="auto" w:fill="auto"/>
          </w:tcPr>
          <w:p w:rsidR="008C7751" w:rsidRPr="00E00B35" w:rsidRDefault="008C7751" w:rsidP="00E00B35">
            <w:pPr>
              <w:numPr>
                <w:ilvl w:val="0"/>
                <w:numId w:val="6"/>
              </w:numPr>
              <w:spacing w:after="0" w:line="312" w:lineRule="auto"/>
              <w:rPr>
                <w:szCs w:val="20"/>
              </w:rPr>
            </w:pPr>
          </w:p>
        </w:tc>
        <w:tc>
          <w:tcPr>
            <w:tcW w:w="2782" w:type="dxa"/>
            <w:shd w:val="clear" w:color="auto" w:fill="auto"/>
          </w:tcPr>
          <w:p w:rsidR="008C7751" w:rsidRPr="00E00B35" w:rsidRDefault="008C7751" w:rsidP="00E00B35">
            <w:pPr>
              <w:spacing w:after="0" w:line="312" w:lineRule="auto"/>
              <w:rPr>
                <w:szCs w:val="20"/>
              </w:rPr>
            </w:pPr>
            <w:r w:rsidRPr="00E00B35">
              <w:rPr>
                <w:szCs w:val="20"/>
              </w:rPr>
              <w:t>Razem</w:t>
            </w:r>
          </w:p>
        </w:tc>
        <w:tc>
          <w:tcPr>
            <w:tcW w:w="1275" w:type="dxa"/>
            <w:shd w:val="clear" w:color="auto" w:fill="auto"/>
            <w:vAlign w:val="bottom"/>
          </w:tcPr>
          <w:p w:rsidR="008C7751" w:rsidRPr="00E00B35" w:rsidRDefault="008C7751" w:rsidP="00E00B35">
            <w:pPr>
              <w:spacing w:after="0" w:line="312" w:lineRule="auto"/>
              <w:rPr>
                <w:rFonts w:cs="Verdana"/>
                <w:b/>
                <w:bCs/>
                <w:color w:val="000000"/>
                <w:szCs w:val="20"/>
              </w:rPr>
            </w:pPr>
            <w:r w:rsidRPr="00E00B35">
              <w:rPr>
                <w:rFonts w:cs="Verdana"/>
                <w:b/>
                <w:bCs/>
                <w:color w:val="000000"/>
                <w:szCs w:val="20"/>
              </w:rPr>
              <w:t>633</w:t>
            </w:r>
          </w:p>
        </w:tc>
        <w:tc>
          <w:tcPr>
            <w:tcW w:w="1560" w:type="dxa"/>
            <w:shd w:val="clear" w:color="auto" w:fill="auto"/>
            <w:vAlign w:val="bottom"/>
          </w:tcPr>
          <w:p w:rsidR="008C7751" w:rsidRPr="00E00B35" w:rsidRDefault="008C7751" w:rsidP="00E00B35">
            <w:pPr>
              <w:spacing w:after="0" w:line="312" w:lineRule="auto"/>
              <w:rPr>
                <w:rFonts w:cs="Verdana"/>
                <w:b/>
                <w:bCs/>
                <w:color w:val="000000"/>
                <w:szCs w:val="20"/>
              </w:rPr>
            </w:pPr>
            <w:r w:rsidRPr="00E00B35">
              <w:rPr>
                <w:rFonts w:cs="Verdana"/>
                <w:b/>
                <w:bCs/>
                <w:color w:val="000000"/>
                <w:szCs w:val="20"/>
              </w:rPr>
              <w:t>8 226</w:t>
            </w:r>
          </w:p>
        </w:tc>
        <w:tc>
          <w:tcPr>
            <w:tcW w:w="1559" w:type="dxa"/>
            <w:shd w:val="clear" w:color="auto" w:fill="auto"/>
            <w:vAlign w:val="bottom"/>
          </w:tcPr>
          <w:p w:rsidR="008C7751" w:rsidRPr="00E00B35" w:rsidRDefault="008C7751" w:rsidP="00E00B35">
            <w:pPr>
              <w:spacing w:after="0" w:line="312" w:lineRule="auto"/>
              <w:rPr>
                <w:rFonts w:cs="Verdana"/>
                <w:b/>
                <w:bCs/>
                <w:color w:val="000000"/>
                <w:szCs w:val="20"/>
              </w:rPr>
            </w:pPr>
            <w:r w:rsidRPr="00E00B35">
              <w:rPr>
                <w:rFonts w:cs="Verdana"/>
                <w:b/>
                <w:bCs/>
                <w:color w:val="000000"/>
                <w:szCs w:val="20"/>
              </w:rPr>
              <w:t>12</w:t>
            </w:r>
          </w:p>
        </w:tc>
        <w:tc>
          <w:tcPr>
            <w:tcW w:w="1523" w:type="dxa"/>
            <w:shd w:val="clear" w:color="auto" w:fill="auto"/>
            <w:vAlign w:val="bottom"/>
          </w:tcPr>
          <w:p w:rsidR="008C7751" w:rsidRPr="00E00B35" w:rsidRDefault="008C7751" w:rsidP="00E00B35">
            <w:pPr>
              <w:spacing w:after="0" w:line="312" w:lineRule="auto"/>
              <w:rPr>
                <w:rFonts w:cs="Verdana"/>
                <w:b/>
                <w:bCs/>
                <w:color w:val="000000"/>
                <w:szCs w:val="20"/>
              </w:rPr>
            </w:pPr>
            <w:r w:rsidRPr="00E00B35">
              <w:rPr>
                <w:rFonts w:cs="Verdana"/>
                <w:b/>
                <w:bCs/>
                <w:color w:val="000000"/>
                <w:szCs w:val="20"/>
              </w:rPr>
              <w:t>958</w:t>
            </w:r>
          </w:p>
        </w:tc>
      </w:tr>
    </w:tbl>
    <w:p w:rsidR="008C7751" w:rsidRPr="00E00B35" w:rsidRDefault="008C7751" w:rsidP="00E00B35">
      <w:pPr>
        <w:pStyle w:val="11TrescpismaZnak"/>
        <w:spacing w:after="0" w:line="312" w:lineRule="auto"/>
        <w:jc w:val="left"/>
        <w:rPr>
          <w:color w:val="000000"/>
        </w:rPr>
      </w:pPr>
    </w:p>
    <w:p w:rsidR="008C7751" w:rsidRPr="00E00B35" w:rsidRDefault="008C7751" w:rsidP="00E00B35">
      <w:pPr>
        <w:pStyle w:val="11TrescpismaZnak"/>
        <w:spacing w:after="0" w:line="312" w:lineRule="auto"/>
        <w:jc w:val="left"/>
        <w:rPr>
          <w:color w:val="000000"/>
          <w:lang w:val="pl-PL"/>
        </w:rPr>
      </w:pPr>
      <w:r w:rsidRPr="00E00B35">
        <w:rPr>
          <w:color w:val="000000"/>
          <w:lang w:val="pl-PL"/>
        </w:rPr>
        <w:t>Uczniowie</w:t>
      </w:r>
      <w:r w:rsidRPr="00E00B35">
        <w:rPr>
          <w:b/>
          <w:bCs/>
          <w:color w:val="000000"/>
          <w:lang w:val="pl-PL"/>
        </w:rPr>
        <w:t xml:space="preserve"> </w:t>
      </w:r>
      <w:r w:rsidRPr="00E00B35">
        <w:rPr>
          <w:color w:val="000000"/>
          <w:lang w:val="pl-PL"/>
        </w:rPr>
        <w:t xml:space="preserve">wrocławskich szkół i placówek oświatowych korzystali z oferty i realizowali zajęcia z łyżwiarstwa we </w:t>
      </w:r>
      <w:r w:rsidRPr="00E00B35">
        <w:rPr>
          <w:bCs/>
          <w:color w:val="000000"/>
          <w:lang w:val="pl-PL"/>
        </w:rPr>
        <w:t xml:space="preserve">Wrocławskim Centrum Treningowym Spartan. </w:t>
      </w:r>
      <w:r w:rsidRPr="00E00B35">
        <w:rPr>
          <w:color w:val="000000"/>
          <w:lang w:val="pl-PL"/>
        </w:rPr>
        <w:t>Wydatkowano 867 888 zł na zajęcia sportowe</w:t>
      </w:r>
      <w:r w:rsidRPr="00E00B35">
        <w:rPr>
          <w:b/>
          <w:bCs/>
          <w:color w:val="000000"/>
          <w:lang w:val="pl-PL"/>
        </w:rPr>
        <w:t xml:space="preserve"> </w:t>
      </w:r>
      <w:r w:rsidRPr="00E00B35">
        <w:rPr>
          <w:color w:val="000000"/>
          <w:lang w:val="pl-PL"/>
        </w:rPr>
        <w:t xml:space="preserve">obejmujące naukę jazdy na łyżwach. Zajęcia zostały zrealizowane w liczbie 588 godzin lekcyjnych. </w:t>
      </w:r>
    </w:p>
    <w:p w:rsidR="008C7751" w:rsidRPr="00E00B35" w:rsidRDefault="008C7751" w:rsidP="00E00B35">
      <w:pPr>
        <w:spacing w:after="0" w:line="312" w:lineRule="auto"/>
        <w:rPr>
          <w:color w:val="000000"/>
          <w:szCs w:val="20"/>
          <w:lang w:val="pl-PL"/>
        </w:rPr>
      </w:pPr>
      <w:r w:rsidRPr="00E00B35">
        <w:rPr>
          <w:color w:val="000000"/>
          <w:szCs w:val="20"/>
          <w:lang w:val="pl-PL"/>
        </w:rPr>
        <w:t>Z powodu epidemii COVID-19 nie odbył się żaden wyjazd międzynarodowy.</w:t>
      </w:r>
    </w:p>
    <w:p w:rsidR="008C7751" w:rsidRPr="00E00B35" w:rsidRDefault="008C7751" w:rsidP="00E00B35">
      <w:pPr>
        <w:tabs>
          <w:tab w:val="left" w:pos="-993"/>
        </w:tabs>
        <w:spacing w:after="0" w:line="312" w:lineRule="auto"/>
        <w:rPr>
          <w:color w:val="000000"/>
          <w:szCs w:val="20"/>
          <w:lang w:val="pl-PL"/>
        </w:rPr>
      </w:pPr>
      <w:r w:rsidRPr="00E00B35">
        <w:rPr>
          <w:color w:val="000000"/>
          <w:szCs w:val="20"/>
          <w:lang w:val="pl-PL"/>
        </w:rPr>
        <w:t xml:space="preserve">Dofinansowano realizację wielu </w:t>
      </w:r>
      <w:r w:rsidRPr="00E00B35">
        <w:rPr>
          <w:bCs/>
          <w:color w:val="000000"/>
          <w:szCs w:val="20"/>
          <w:lang w:val="pl-PL"/>
        </w:rPr>
        <w:t>projektów, konkursów i olimpiad</w:t>
      </w:r>
      <w:r w:rsidRPr="00E00B35">
        <w:rPr>
          <w:color w:val="000000"/>
          <w:szCs w:val="20"/>
          <w:lang w:val="pl-PL"/>
        </w:rPr>
        <w:t>:</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Przedszkolach dofinansowano 41 konkursów w kwocie 26 775 zł łącznie,</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Zespołach Szkolno-Przedszkolnych dofinansowano 24 konkursy łącznie w kwocie 14 065 łącznie,</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Szkołach Podstawowych dofinansowano 27 konkursów łącznie w kwocie 15 310 zł łącznie,</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lastRenderedPageBreak/>
        <w:t>w Liceach Ogólnokształcących dofinansowano 26 konkursów łącznie w kwocie 41 300 zł,</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 Młodzieżowych Domach Kultury i Specjalnych Ośrodkach Szkolno-Wychowawczych dofinansowano 24 konkursy, łącznie w kwocie 16 800 zł.</w:t>
      </w:r>
    </w:p>
    <w:p w:rsidR="00494FD1" w:rsidRPr="00E00B35" w:rsidRDefault="008C7751" w:rsidP="00E00B35">
      <w:pPr>
        <w:tabs>
          <w:tab w:val="left" w:pos="-993"/>
        </w:tabs>
        <w:spacing w:after="0" w:line="312" w:lineRule="auto"/>
        <w:rPr>
          <w:color w:val="000000"/>
          <w:szCs w:val="20"/>
          <w:lang w:val="pl-PL"/>
        </w:rPr>
      </w:pPr>
      <w:r w:rsidRPr="00E00B35">
        <w:rPr>
          <w:color w:val="000000"/>
          <w:szCs w:val="20"/>
          <w:lang w:val="pl-PL"/>
        </w:rPr>
        <w:t>W sumie we wszystkich rodzajach placówek dofinansowano 161 konkursów w łącznej kwocie 131 750 zł</w:t>
      </w:r>
      <w:r w:rsidR="00494FD1" w:rsidRPr="00E00B35">
        <w:rPr>
          <w:color w:val="000000"/>
          <w:szCs w:val="20"/>
          <w:lang w:val="pl-PL"/>
        </w:rPr>
        <w:t>.</w:t>
      </w:r>
    </w:p>
    <w:p w:rsidR="008C7751" w:rsidRPr="00E00B35" w:rsidRDefault="008C7751" w:rsidP="00E00B35">
      <w:pPr>
        <w:tabs>
          <w:tab w:val="left" w:pos="-993"/>
        </w:tabs>
        <w:spacing w:after="0" w:line="312" w:lineRule="auto"/>
        <w:rPr>
          <w:color w:val="000000"/>
          <w:szCs w:val="20"/>
          <w:lang w:val="pl-PL"/>
        </w:rPr>
      </w:pPr>
    </w:p>
    <w:p w:rsidR="008C7751" w:rsidRPr="00E00B35" w:rsidRDefault="008C7751" w:rsidP="00E00B35">
      <w:pPr>
        <w:pStyle w:val="Nagwek3"/>
        <w:spacing w:after="0" w:line="312" w:lineRule="auto"/>
        <w:rPr>
          <w:sz w:val="20"/>
        </w:rPr>
      </w:pPr>
      <w:bookmarkStart w:id="118" w:name="_Toc72411104"/>
      <w:r w:rsidRPr="00E00B35">
        <w:rPr>
          <w:sz w:val="20"/>
        </w:rPr>
        <w:t>Działania wrocławskiej edukacji w okresie zagrożenia COVID-19</w:t>
      </w:r>
      <w:bookmarkEnd w:id="118"/>
    </w:p>
    <w:p w:rsidR="008C7751" w:rsidRPr="00E00B35" w:rsidRDefault="008C7751" w:rsidP="00E00B35">
      <w:pPr>
        <w:pStyle w:val="Nagwek4"/>
        <w:spacing w:before="0" w:after="0" w:line="312" w:lineRule="auto"/>
        <w:rPr>
          <w:sz w:val="20"/>
          <w:szCs w:val="20"/>
          <w:lang w:val="pl-PL"/>
        </w:rPr>
      </w:pPr>
      <w:bookmarkStart w:id="119" w:name="_Toc72411105"/>
      <w:r w:rsidRPr="00E00B35">
        <w:rPr>
          <w:sz w:val="20"/>
          <w:szCs w:val="20"/>
          <w:lang w:val="pl-PL"/>
        </w:rPr>
        <w:t>Zwalczanie i zapobieganie COVID-19 w szkołach i placówkach oświatowych prowadzonych przez Miasto Wrocław</w:t>
      </w:r>
      <w:bookmarkEnd w:id="119"/>
    </w:p>
    <w:p w:rsidR="008C7751" w:rsidRPr="00E00B35" w:rsidRDefault="008C7751" w:rsidP="00E00B35">
      <w:pPr>
        <w:pStyle w:val="Akapitzlist"/>
        <w:spacing w:after="0" w:line="312" w:lineRule="auto"/>
        <w:ind w:left="0"/>
        <w:rPr>
          <w:rFonts w:cs="Verdana"/>
          <w:bCs/>
          <w:color w:val="000000"/>
          <w:szCs w:val="20"/>
          <w:lang w:val="pl-PL"/>
        </w:rPr>
      </w:pPr>
      <w:r w:rsidRPr="00E00B35">
        <w:rPr>
          <w:color w:val="000000"/>
          <w:szCs w:val="20"/>
          <w:lang w:val="pl-PL"/>
        </w:rPr>
        <w:t xml:space="preserve">W 2020 roku przeznaczono </w:t>
      </w:r>
      <w:r w:rsidRPr="00E00B35">
        <w:rPr>
          <w:rFonts w:cs="Verdana"/>
          <w:bCs/>
          <w:color w:val="000000"/>
          <w:szCs w:val="20"/>
          <w:lang w:val="pl-PL"/>
        </w:rPr>
        <w:t>na zwalczanie i zapobieganie COVID-19 dla jednostek oświatowych prowadzonych przez Miasto Wrocław kwotę 3 560 167 zł.</w:t>
      </w:r>
    </w:p>
    <w:p w:rsidR="008C7751" w:rsidRPr="00E00B35" w:rsidRDefault="008C7751" w:rsidP="00E00B35">
      <w:pPr>
        <w:pStyle w:val="Akapitzlist"/>
        <w:spacing w:after="0" w:line="312" w:lineRule="auto"/>
        <w:ind w:left="0"/>
        <w:rPr>
          <w:rFonts w:cs="Verdana"/>
          <w:bCs/>
          <w:color w:val="000000"/>
          <w:szCs w:val="20"/>
          <w:lang w:val="pl-PL"/>
        </w:rPr>
      </w:pPr>
      <w:r w:rsidRPr="00E00B35">
        <w:rPr>
          <w:rFonts w:cs="Verdana"/>
          <w:bCs/>
          <w:color w:val="000000"/>
          <w:szCs w:val="20"/>
          <w:lang w:val="pl-PL"/>
        </w:rPr>
        <w:t>Środki na ten cel były kwalifikowane na wydzielonym zadaniu budżetowym WBZ/B/05 „Realizacja zadań związanych z wystąpieniem stanów kryzysowych”, przeznaczone zostały m.in. na: dozowniki, środki i płyny do dezynfekcji rąk i powierzchni, rękawice, przyłbice, maseczki, czepki, ręczniki papierowe, worki, ściereczki, mydło, osłony na biurko, termometry, opryskiwacze, fartuchy, parownice, okulary ochronne, kombinezony, taśma ostrzegawcza, pompki do dozowników, lampy bakteriobójcze, maty antybakteryjne, pojemniki na odpady, kabiny dezynfekujące z pomiarem temperatury, osłony plexi, usługi dezynfekcji pomieszczeń.</w:t>
      </w:r>
    </w:p>
    <w:p w:rsidR="008C7751" w:rsidRPr="00E00B35" w:rsidRDefault="008C7751" w:rsidP="00E00B35">
      <w:pPr>
        <w:pStyle w:val="Akapitzlist"/>
        <w:spacing w:after="0" w:line="312" w:lineRule="auto"/>
        <w:ind w:left="0"/>
        <w:rPr>
          <w:rFonts w:cs="Verdana"/>
          <w:bCs/>
          <w:color w:val="000000"/>
          <w:szCs w:val="20"/>
          <w:lang w:val="pl-PL"/>
        </w:rPr>
      </w:pPr>
      <w:r w:rsidRPr="00E00B35">
        <w:rPr>
          <w:rFonts w:cs="Verdana"/>
          <w:bCs/>
          <w:color w:val="000000"/>
          <w:szCs w:val="20"/>
          <w:lang w:val="pl-PL"/>
        </w:rPr>
        <w:t>Zakupione towary posiadały odpowiednie atesty i certyfikaty gwarantujące bezpieczeństwo ich użytkowania.</w:t>
      </w:r>
    </w:p>
    <w:p w:rsidR="008C7751" w:rsidRPr="00E00B35" w:rsidRDefault="008C7751" w:rsidP="00E00B35">
      <w:pPr>
        <w:pStyle w:val="Akapitzlist"/>
        <w:spacing w:after="0" w:line="312" w:lineRule="auto"/>
        <w:ind w:left="0"/>
        <w:rPr>
          <w:rFonts w:cs="Verdana"/>
          <w:bCs/>
          <w:color w:val="000000"/>
          <w:szCs w:val="20"/>
          <w:lang w:val="pl-PL"/>
        </w:rPr>
      </w:pPr>
    </w:p>
    <w:p w:rsidR="008C7751" w:rsidRPr="00E00B35" w:rsidRDefault="008C7751" w:rsidP="00E00B35">
      <w:pPr>
        <w:pStyle w:val="Akapitzlist"/>
        <w:spacing w:after="0" w:line="312" w:lineRule="auto"/>
        <w:ind w:left="0"/>
        <w:rPr>
          <w:rFonts w:cs="Verdana"/>
          <w:bCs/>
          <w:color w:val="000000"/>
          <w:szCs w:val="20"/>
          <w:lang w:val="pl-PL"/>
        </w:rPr>
      </w:pPr>
      <w:r w:rsidRPr="00E00B35">
        <w:rPr>
          <w:color w:val="000000"/>
          <w:szCs w:val="20"/>
          <w:lang w:val="pl-PL"/>
        </w:rPr>
        <w:t>Przed uruchomieniem przedszkoli i szkół podstawowych rozpoczęto dystrybucję środków ochrony otrzymanych z Wydziału Bezpieczeństwa i Zarządzania Kryzysowego oraz od Wojewody Dolnośląskiego. W budynku sali gimnastycznej Centrum Kształcenia Ustawicznego przy ul. Swobodnej utworzono magazyn środków. Pracownicy Wydziału Przedszkoli i Szkół Podstawowych we współpracy z pracownikami Wydziału Finansów Oświatowych (sekcji ds. szkół niepublicznych) i CKU przyjęli i rozdysponowali łącznie na potrzeby przedszkoli i szkół podstawowych – zarówno prowadzonych przez Miasto Wrocław, jaki i przez inne osoby fizyczne lub prawne:</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ponad 2 600 butelek 5l z płynem do dezynfekcji;</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ponad 91 000 rękawiczek lekarskich;</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ponad 45 700 maseczek medycznych, jednorazowych;</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ponad 17 800 maseczek KN96 i FFP2/FFP3;</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1200 fartuchów;</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374 okulary ochronne;</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ponad 3 100 przyłbic.</w:t>
      </w:r>
    </w:p>
    <w:p w:rsidR="00494FD1" w:rsidRPr="00E00B35" w:rsidRDefault="00494FD1" w:rsidP="00E00B35">
      <w:pPr>
        <w:pStyle w:val="Akapitzlist"/>
        <w:spacing w:after="0" w:line="312" w:lineRule="auto"/>
        <w:ind w:left="357"/>
        <w:rPr>
          <w:color w:val="000000"/>
          <w:szCs w:val="20"/>
          <w:lang w:val="pl-PL"/>
        </w:rPr>
      </w:pPr>
    </w:p>
    <w:p w:rsidR="008C7751" w:rsidRPr="00E00B35" w:rsidRDefault="008C7751" w:rsidP="00E00B35">
      <w:pPr>
        <w:spacing w:after="0" w:line="312" w:lineRule="auto"/>
        <w:rPr>
          <w:color w:val="000000"/>
          <w:szCs w:val="20"/>
          <w:lang w:val="pl-PL"/>
        </w:rPr>
      </w:pPr>
      <w:r w:rsidRPr="00E00B35">
        <w:rPr>
          <w:color w:val="000000"/>
          <w:szCs w:val="20"/>
          <w:lang w:val="pl-PL"/>
        </w:rPr>
        <w:t xml:space="preserve">Rezerwa materiałów umieszczona została w magazynie na terenie Szkoły Podstawowej nr 77 przy ul. Św. Jerzego. </w:t>
      </w:r>
    </w:p>
    <w:p w:rsidR="008C7751" w:rsidRPr="00E00B35" w:rsidRDefault="008C7751" w:rsidP="00E00B35">
      <w:pPr>
        <w:spacing w:after="0" w:line="312" w:lineRule="auto"/>
        <w:rPr>
          <w:color w:val="000000"/>
          <w:szCs w:val="20"/>
          <w:lang w:val="pl-PL"/>
        </w:rPr>
      </w:pPr>
      <w:r w:rsidRPr="00E00B35">
        <w:rPr>
          <w:color w:val="000000"/>
          <w:szCs w:val="20"/>
          <w:lang w:val="pl-PL"/>
        </w:rPr>
        <w:lastRenderedPageBreak/>
        <w:t>W trakcie stanu epidemicznego zbierano informacje z placówek przedszkolnych niepublicznych odnośnie zawieszenia ich działalności związanego z przeciwdziałaniem rozprzestrzeniania się COVID, na podstawie decyzji Sanepidu.</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Dodatkowo pracownicy Sekcji ds. szkół niepublicznych, w związku udzieleniem dotacji celowej </w:t>
      </w:r>
      <w:r w:rsidRPr="00E00B35">
        <w:rPr>
          <w:rFonts w:cs="TimesNewRoman"/>
          <w:color w:val="000000"/>
          <w:szCs w:val="20"/>
          <w:lang w:val="pl-PL"/>
        </w:rPr>
        <w:t>dofinansowanie nauczycielom zakupu sprzętu, oprogramowania lub usługi, przydatnych w prowadzeniu zajęć realizowanych z wykorzystaniem metod i technik kształcenia na odległość</w:t>
      </w:r>
      <w:r w:rsidRPr="00E00B35">
        <w:rPr>
          <w:color w:val="000000"/>
          <w:szCs w:val="20"/>
          <w:lang w:val="pl-PL"/>
        </w:rPr>
        <w:t xml:space="preserve"> rozpatrzyli 92 wnioski szkół i placówek niepublicznych i przekazali dotację 82 szkołom na dofinansowanie dla 915 nauczycieli, na łączną kwotę 445 283 zł.</w:t>
      </w:r>
    </w:p>
    <w:p w:rsidR="00544448" w:rsidRPr="00E00B35" w:rsidRDefault="00544448" w:rsidP="00E00B35">
      <w:pPr>
        <w:spacing w:after="0" w:line="312" w:lineRule="auto"/>
        <w:rPr>
          <w:color w:val="000000"/>
          <w:szCs w:val="20"/>
          <w:lang w:val="pl-PL"/>
        </w:rPr>
      </w:pPr>
    </w:p>
    <w:p w:rsidR="008C7751" w:rsidRPr="00E00B35" w:rsidRDefault="008C7751" w:rsidP="00E00B35">
      <w:pPr>
        <w:pStyle w:val="Nagwek4"/>
        <w:spacing w:before="0" w:after="0" w:line="312" w:lineRule="auto"/>
        <w:rPr>
          <w:sz w:val="20"/>
          <w:szCs w:val="20"/>
          <w:lang w:val="pl-PL"/>
        </w:rPr>
      </w:pPr>
      <w:bookmarkStart w:id="120" w:name="_Toc72411106"/>
      <w:r w:rsidRPr="00E00B35">
        <w:rPr>
          <w:sz w:val="20"/>
          <w:szCs w:val="20"/>
          <w:lang w:val="pl-PL"/>
        </w:rPr>
        <w:t>Funkcjonowanie placówek</w:t>
      </w:r>
      <w:bookmarkEnd w:id="120"/>
    </w:p>
    <w:p w:rsidR="008C7751" w:rsidRPr="00E00B35" w:rsidRDefault="008C7751" w:rsidP="00E00B35">
      <w:pPr>
        <w:spacing w:after="0" w:line="312" w:lineRule="auto"/>
        <w:rPr>
          <w:rFonts w:cs="Arial"/>
          <w:color w:val="000000"/>
          <w:szCs w:val="20"/>
          <w:lang w:val="pl-PL"/>
        </w:rPr>
      </w:pPr>
      <w:r w:rsidRPr="00E00B35">
        <w:rPr>
          <w:color w:val="000000"/>
          <w:szCs w:val="20"/>
          <w:lang w:val="pl-PL"/>
        </w:rPr>
        <w:t xml:space="preserve">Od 12.03.2020 r. na podstawie rozporządzenia Ministerstwa Edukacji Narodowej z dnia 11 marca 2020 r. w sprawie czasowego ograniczenia funkcjonowania jednostek systemu oświaty w związku z zapobieganiem, przeciwdziałaniem i zwalczaniem COVID-19 ograniczono funkcjonowanie placówek systemu oświaty w roku szkolnym 2019/2020. </w:t>
      </w:r>
      <w:r w:rsidRPr="00E00B35">
        <w:rPr>
          <w:rFonts w:cs="Arial"/>
          <w:color w:val="000000"/>
          <w:szCs w:val="20"/>
          <w:lang w:val="pl-PL"/>
        </w:rPr>
        <w:t>W pełnym zakresie funkcjonował jedynie Młodzieżowy Ośrodek Wychowawczy.</w:t>
      </w:r>
    </w:p>
    <w:p w:rsidR="008C7751" w:rsidRPr="00E00B35" w:rsidRDefault="008C7751" w:rsidP="00E00B35">
      <w:pPr>
        <w:tabs>
          <w:tab w:val="left" w:pos="4536"/>
        </w:tabs>
        <w:spacing w:after="0" w:line="312" w:lineRule="auto"/>
        <w:rPr>
          <w:rFonts w:cs="Arial"/>
          <w:color w:val="000000"/>
          <w:szCs w:val="20"/>
          <w:lang w:val="pl-PL"/>
        </w:rPr>
      </w:pPr>
      <w:r w:rsidRPr="00E00B35">
        <w:rPr>
          <w:color w:val="000000"/>
          <w:szCs w:val="20"/>
          <w:lang w:val="pl-PL"/>
        </w:rPr>
        <w:t xml:space="preserve">Od 24.10.2020 r. na podstawie rozporządzenia Ministerstwa Edukacji Narodowej z dnia 12 sierpnia 2020 r. w sprawie czasowego ograniczenia funkcjonowania jednostek systemu oświaty w związku z zapobieganiem, przeciwdziałaniem i zwalczaniem COVID-19 ograniczono funkcjonowanie szkół podstawowych dla dzieci i młodzieży w roku szkolnym 2020/2021 w zakresie dotyczącym klas IV-VIII oraz od 09.11.2020 r. również w zakresie dotyczącym klas I – III. </w:t>
      </w:r>
      <w:r w:rsidRPr="00E00B35">
        <w:rPr>
          <w:rFonts w:cs="Arial"/>
          <w:color w:val="000000"/>
          <w:szCs w:val="20"/>
          <w:lang w:val="pl-PL"/>
        </w:rPr>
        <w:t>O organizacji nauki w szkołach specjalnych zgodnie z w/w rozporządzeniem decydował dyrektor szkoły. Nauczanie odbywało się stacjonarnie lub w systemie zdalnym i hybrydowym.</w:t>
      </w:r>
    </w:p>
    <w:p w:rsidR="00544448" w:rsidRPr="00E00B35" w:rsidRDefault="00544448" w:rsidP="00E00B35">
      <w:pPr>
        <w:tabs>
          <w:tab w:val="left" w:pos="4536"/>
        </w:tabs>
        <w:spacing w:after="0" w:line="312" w:lineRule="auto"/>
        <w:rPr>
          <w:rFonts w:cs="Arial"/>
          <w:color w:val="000000"/>
          <w:szCs w:val="20"/>
          <w:lang w:val="pl-PL"/>
        </w:rPr>
      </w:pPr>
    </w:p>
    <w:p w:rsidR="008C7751" w:rsidRPr="00E00B35" w:rsidRDefault="008C7751" w:rsidP="00E00B35">
      <w:pPr>
        <w:pStyle w:val="Nagwek4"/>
        <w:spacing w:before="0" w:after="0" w:line="312" w:lineRule="auto"/>
        <w:rPr>
          <w:sz w:val="20"/>
          <w:szCs w:val="20"/>
          <w:lang w:val="pl-PL"/>
        </w:rPr>
      </w:pPr>
      <w:r w:rsidRPr="00E00B35">
        <w:rPr>
          <w:sz w:val="20"/>
          <w:szCs w:val="20"/>
          <w:lang w:val="pl-PL"/>
        </w:rPr>
        <w:t>Przedszkola</w:t>
      </w:r>
    </w:p>
    <w:p w:rsidR="008C7751" w:rsidRPr="00E00B35" w:rsidRDefault="008C7751" w:rsidP="00E00B35">
      <w:pPr>
        <w:spacing w:after="0" w:line="312" w:lineRule="auto"/>
        <w:rPr>
          <w:color w:val="000000"/>
          <w:szCs w:val="20"/>
          <w:lang w:val="pl-PL"/>
        </w:rPr>
      </w:pPr>
      <w:r w:rsidRPr="00E00B35">
        <w:rPr>
          <w:color w:val="000000"/>
          <w:szCs w:val="20"/>
          <w:lang w:val="pl-PL"/>
        </w:rPr>
        <w:t>Od 06.05.2020 r. przywrócono możliwość działania przedszkoli. Na wnioski dyrektorów, przedłużono zawieszenie działalności przedszkoli. We Wrocławiu, jako jednym z pierwszych miast w Polsce, działalność placówek przedszkolnych uruchomiono od 11.05.2020 r.</w:t>
      </w:r>
    </w:p>
    <w:p w:rsidR="008C7751" w:rsidRPr="00E00B35" w:rsidRDefault="008C7751" w:rsidP="00E00B35">
      <w:pPr>
        <w:spacing w:after="0" w:line="312" w:lineRule="auto"/>
        <w:rPr>
          <w:color w:val="000000"/>
          <w:szCs w:val="20"/>
          <w:lang w:val="pl-PL"/>
        </w:rPr>
      </w:pPr>
      <w:r w:rsidRPr="00E00B35">
        <w:rPr>
          <w:color w:val="000000"/>
          <w:szCs w:val="20"/>
          <w:lang w:val="pl-PL"/>
        </w:rPr>
        <w:t>Od momentu uruchomienia przedszkoli placówki te funkcjonowały, zgodnie z wytycznymi GIS z ograniczoną maksymalną liczbą dzieci w grupach:</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wytyczne z dnia 04.05.2020 r. – maksymalnie 12 dzieci w grupie (w związku z umocowaniem zawartym w wytycznych organ prowadzący w uzasadnionych przypadkach wyrażał zgody na zwiększenie liczby dzieci w grupie do 14 dzieci);</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wytyczne z dnia 04.06.2020 r. – maksymalnie 16 dzieci w grupie (w związku z umocowaniem zawartym w wytycznych organ prowadzący w uzasadnionych przypadkach wyrażał zgody na zwiększenie liczby dzieci w grupie do 18 dzieci).</w:t>
      </w:r>
    </w:p>
    <w:p w:rsidR="00494FD1" w:rsidRPr="00E00B35" w:rsidRDefault="00494FD1" w:rsidP="00E00B35">
      <w:pPr>
        <w:spacing w:after="0" w:line="312" w:lineRule="auto"/>
        <w:rPr>
          <w:color w:val="000000"/>
          <w:szCs w:val="20"/>
          <w:lang w:val="pl-PL"/>
        </w:rPr>
      </w:pPr>
    </w:p>
    <w:p w:rsidR="008C7751" w:rsidRPr="00E00B35" w:rsidRDefault="008C7751" w:rsidP="00E00B35">
      <w:pPr>
        <w:spacing w:after="0" w:line="312" w:lineRule="auto"/>
        <w:rPr>
          <w:color w:val="000000"/>
          <w:szCs w:val="20"/>
          <w:lang w:val="pl-PL"/>
        </w:rPr>
      </w:pPr>
      <w:r w:rsidRPr="00E00B35">
        <w:rPr>
          <w:color w:val="000000"/>
          <w:szCs w:val="20"/>
          <w:lang w:val="pl-PL"/>
        </w:rPr>
        <w:t>Na podstawie wytycznych GIS z dnia 02.07.2020 r. zniesiono ograniczenia w zakresie liczebności dzieci w grupach przedszkolnych.</w:t>
      </w:r>
    </w:p>
    <w:p w:rsidR="008C7751" w:rsidRPr="00E00B35" w:rsidRDefault="008C7751" w:rsidP="00E00B35">
      <w:pPr>
        <w:spacing w:after="0" w:line="312" w:lineRule="auto"/>
        <w:rPr>
          <w:color w:val="000000"/>
          <w:szCs w:val="20"/>
          <w:lang w:val="pl-PL"/>
        </w:rPr>
      </w:pPr>
      <w:r w:rsidRPr="00E00B35">
        <w:rPr>
          <w:color w:val="000000"/>
          <w:szCs w:val="20"/>
          <w:lang w:val="pl-PL"/>
        </w:rPr>
        <w:t>W kolejnych aktualizacjach wytycznych GIS z dnia 25.08.2020 r. oraz 19.11.2020 r. wprowadzono m.in. zmiany dotyczące:</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lastRenderedPageBreak/>
        <w:t xml:space="preserve">przychodzenia do pracy w placówkach jedynie osób bez objawów chorobowych sugerujących infekcję dróg oddechowych oraz gdy domownicy nie przebywają w izolacji w warunkach domowych lub w izolacji; </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możliwości przyprowadzania dzieci, jeśli ich domownicy są objęci kwarantanną.</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powrót dzieci do przedszkoli – zasady przyjęć:</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przygotowano i wdrożono Zarządzenie Prezydenta w sprawie wznowienia funkcjonowania przedszkoli i oddziałów przedszkolnych w szkołach podstawowych w okresie stanu epidemii (Zarządzenie Prezydenta nr 2951/20) porządkujące kolejność przyjmowania dzieci do przedszkoli zgodnie z wytycznymi Głównego Inspektora Sanitarnego przy ograniczonej liczebności grup. Na wniosek rodziców wprowadzono zmianę do ww. zarządzenia (Zarządzenie Prezydenta nr 3002/20) umożliwiające odbiór i przyprowadzanie dzieci do przedszkoli przez inne osoby upoważnione, nie tylko rodziców. </w:t>
      </w:r>
    </w:p>
    <w:p w:rsidR="00494FD1" w:rsidRPr="00E00B35" w:rsidRDefault="00494FD1" w:rsidP="00E00B35">
      <w:pPr>
        <w:spacing w:after="0" w:line="312" w:lineRule="auto"/>
        <w:rPr>
          <w:b/>
          <w:color w:val="000000"/>
          <w:szCs w:val="20"/>
        </w:rPr>
      </w:pPr>
    </w:p>
    <w:p w:rsidR="008C7751" w:rsidRPr="00E00B35" w:rsidRDefault="008C7751" w:rsidP="00E00B35">
      <w:pPr>
        <w:pStyle w:val="Nagwek4"/>
        <w:spacing w:before="0" w:after="0" w:line="312" w:lineRule="auto"/>
        <w:rPr>
          <w:sz w:val="20"/>
          <w:szCs w:val="20"/>
        </w:rPr>
      </w:pPr>
      <w:r w:rsidRPr="00E00B35">
        <w:rPr>
          <w:sz w:val="20"/>
          <w:szCs w:val="20"/>
        </w:rPr>
        <w:t>Szkoły Podstawowe</w:t>
      </w:r>
    </w:p>
    <w:p w:rsidR="008C7751" w:rsidRPr="00E00B35" w:rsidRDefault="008C7751" w:rsidP="00E00B35">
      <w:pPr>
        <w:pStyle w:val="Akapitzlist"/>
        <w:spacing w:after="0" w:line="312" w:lineRule="auto"/>
        <w:ind w:left="0"/>
        <w:rPr>
          <w:color w:val="000000"/>
          <w:szCs w:val="20"/>
          <w:lang w:val="pl-PL"/>
        </w:rPr>
      </w:pPr>
      <w:r w:rsidRPr="00E00B35">
        <w:rPr>
          <w:color w:val="000000"/>
          <w:szCs w:val="20"/>
          <w:lang w:val="pl-PL"/>
        </w:rPr>
        <w:t xml:space="preserve">Od 18.05.2020 r. - bezpośrednie prowadzenie zajęć specjalistycznych z dziećmi posiadającymi opinie o potrzebie wczesnego wspomagania rozwoju i uczniami posiadającymi orzeczenia. </w:t>
      </w:r>
    </w:p>
    <w:p w:rsidR="008C7751" w:rsidRPr="00E00B35" w:rsidRDefault="008C7751" w:rsidP="00E00B35">
      <w:pPr>
        <w:pStyle w:val="Akapitzlist"/>
        <w:spacing w:after="0" w:line="312" w:lineRule="auto"/>
        <w:ind w:left="0"/>
        <w:rPr>
          <w:color w:val="000000"/>
          <w:szCs w:val="20"/>
          <w:lang w:val="pl-PL"/>
        </w:rPr>
      </w:pPr>
      <w:r w:rsidRPr="00E00B35">
        <w:rPr>
          <w:color w:val="000000"/>
          <w:szCs w:val="20"/>
          <w:lang w:val="pl-PL"/>
        </w:rPr>
        <w:t>Od 25.05.2020 r. - przywrócenie zajęć opiekuńczo – wychowawczych z możliwością prowadzenia zajęć dydaktycznych dla uczniów klas I-III.</w:t>
      </w:r>
    </w:p>
    <w:p w:rsidR="008C7751" w:rsidRPr="00E00B35" w:rsidRDefault="008C7751" w:rsidP="00E00B35">
      <w:pPr>
        <w:pStyle w:val="Akapitzlist"/>
        <w:spacing w:after="0" w:line="312" w:lineRule="auto"/>
        <w:ind w:left="0"/>
        <w:rPr>
          <w:color w:val="000000"/>
          <w:szCs w:val="20"/>
          <w:lang w:val="pl-PL"/>
        </w:rPr>
      </w:pPr>
      <w:r w:rsidRPr="00E00B35">
        <w:rPr>
          <w:color w:val="000000"/>
          <w:szCs w:val="20"/>
          <w:lang w:val="pl-PL"/>
        </w:rPr>
        <w:t>Od 25.05.2020 r. - możliwość korzystania przez uczniów klas VIII z konsultacji z nauczycielami na terenie szkoły (wymiar godzin w zależności od potrzeb uczniów i możliwości szkoły).</w:t>
      </w:r>
    </w:p>
    <w:p w:rsidR="008C7751" w:rsidRPr="00E00B35" w:rsidRDefault="008C7751" w:rsidP="00E00B35">
      <w:pPr>
        <w:pStyle w:val="Akapitzlist"/>
        <w:spacing w:after="0" w:line="312" w:lineRule="auto"/>
        <w:ind w:left="0"/>
        <w:rPr>
          <w:color w:val="000000"/>
          <w:szCs w:val="20"/>
          <w:lang w:val="pl-PL"/>
        </w:rPr>
      </w:pPr>
      <w:r w:rsidRPr="00E00B35">
        <w:rPr>
          <w:color w:val="000000"/>
          <w:szCs w:val="20"/>
          <w:lang w:val="pl-PL"/>
        </w:rPr>
        <w:t>Od 01.06.2020 r. - możliwość konsultacji na terenie szkoły dla pozostałych uczniów.</w:t>
      </w:r>
    </w:p>
    <w:p w:rsidR="008C7751" w:rsidRPr="00E00B35" w:rsidRDefault="008C7751" w:rsidP="00E00B35">
      <w:pPr>
        <w:pStyle w:val="Akapitzlist"/>
        <w:spacing w:after="0" w:line="312" w:lineRule="auto"/>
        <w:ind w:left="0"/>
        <w:rPr>
          <w:color w:val="000000"/>
          <w:szCs w:val="20"/>
          <w:lang w:val="pl-PL" w:eastAsia="pl-PL"/>
        </w:rPr>
      </w:pPr>
      <w:r w:rsidRPr="00E00B35">
        <w:rPr>
          <w:color w:val="000000"/>
          <w:szCs w:val="20"/>
          <w:lang w:val="pl-PL"/>
        </w:rPr>
        <w:t xml:space="preserve">Od 24.10.2020 r. - </w:t>
      </w:r>
      <w:r w:rsidRPr="00E00B35">
        <w:rPr>
          <w:color w:val="000000"/>
          <w:szCs w:val="20"/>
          <w:lang w:val="pl-PL" w:eastAsia="pl-PL"/>
        </w:rPr>
        <w:t>w odniesieniu do uczniów, którzy z uwagi na rodzaj niepełnosprawności lub brak możliwości realizowania zajęć z wykorzystaniem metod i technik kształcenia na odległość nie mogą realizować tych zajęć w miejscu zamieszkania, dyrektor szkoły ma obowiązek zorganizować zajęcia w szkole lub umożliwić uczniowi realizację zajęć z wykorzystaniem metod i technik kształcenia na odległość na terenie.</w:t>
      </w:r>
    </w:p>
    <w:p w:rsidR="008C7751" w:rsidRPr="00E00B35" w:rsidRDefault="008C7751" w:rsidP="00E00B35">
      <w:pPr>
        <w:pStyle w:val="Akapitzlist"/>
        <w:spacing w:after="0" w:line="312" w:lineRule="auto"/>
        <w:ind w:left="0"/>
        <w:rPr>
          <w:color w:val="000000"/>
          <w:szCs w:val="20"/>
          <w:lang w:val="pl-PL" w:eastAsia="pl-PL"/>
        </w:rPr>
      </w:pPr>
    </w:p>
    <w:p w:rsidR="008C7751" w:rsidRPr="00E00B35" w:rsidRDefault="008C7751" w:rsidP="00E00B35">
      <w:pPr>
        <w:pStyle w:val="Nagwek4"/>
        <w:spacing w:before="0" w:after="0" w:line="312" w:lineRule="auto"/>
        <w:rPr>
          <w:sz w:val="20"/>
          <w:szCs w:val="20"/>
          <w:lang w:val="pl-PL" w:eastAsia="pl-PL"/>
        </w:rPr>
      </w:pPr>
      <w:r w:rsidRPr="00E00B35">
        <w:rPr>
          <w:sz w:val="20"/>
          <w:szCs w:val="20"/>
          <w:lang w:val="pl-PL" w:eastAsia="pl-PL"/>
        </w:rPr>
        <w:t>Szkoły Ponadpodstawowe</w:t>
      </w:r>
    </w:p>
    <w:p w:rsidR="008C7751" w:rsidRPr="00E00B35" w:rsidRDefault="008C7751" w:rsidP="00E00B35">
      <w:pPr>
        <w:shd w:val="clear" w:color="auto" w:fill="FFFFFF"/>
        <w:spacing w:after="0" w:line="312" w:lineRule="auto"/>
        <w:textAlignment w:val="baseline"/>
        <w:rPr>
          <w:rFonts w:cs="Arial"/>
          <w:color w:val="000000"/>
          <w:szCs w:val="20"/>
          <w:lang w:val="pl-PL"/>
        </w:rPr>
      </w:pPr>
      <w:r w:rsidRPr="00E00B35">
        <w:rPr>
          <w:rFonts w:cs="Arial"/>
          <w:color w:val="000000"/>
          <w:szCs w:val="20"/>
          <w:lang w:val="pl-PL"/>
        </w:rPr>
        <w:t xml:space="preserve">Od 12 marca 2020 r. </w:t>
      </w:r>
      <w:r w:rsidRPr="00E00B35">
        <w:rPr>
          <w:color w:val="000000"/>
          <w:szCs w:val="20"/>
          <w:lang w:val="pl-PL"/>
        </w:rPr>
        <w:t xml:space="preserve">uczniowie szkół ponadpodstawowych (w tym szkół policealnych oraz szkół dla dorosłych) nie uczęszczali na zajęcia do szkół. Zawieszone były także zajęcia praktyczne i praktyki zawodowe realizowane poza szkołą (dla uczniów niebędących młodocianymi pracownikami). </w:t>
      </w:r>
    </w:p>
    <w:p w:rsidR="008C7751" w:rsidRPr="00E00B35" w:rsidRDefault="008C7751" w:rsidP="00E00B35">
      <w:pPr>
        <w:shd w:val="clear" w:color="auto" w:fill="FFFFFF"/>
        <w:spacing w:after="0" w:line="312" w:lineRule="auto"/>
        <w:textAlignment w:val="baseline"/>
        <w:rPr>
          <w:rFonts w:cs="Arial"/>
          <w:color w:val="000000"/>
          <w:szCs w:val="20"/>
        </w:rPr>
      </w:pPr>
      <w:r w:rsidRPr="00E00B35">
        <w:rPr>
          <w:rFonts w:cs="Arial"/>
          <w:color w:val="000000"/>
          <w:szCs w:val="20"/>
        </w:rPr>
        <w:t xml:space="preserve">Od 18 maja 2020 r.: </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została dopuszczona możliwość realizacji zajęć rewalidacyjnych i rewalidacyjno – wychowawczych dla uczniów posiadających orzeczenie poradni psychologiczno - pedagogicznej. Realizacja tych zajęć wiązała się z uzgodnieniem z organem prowadzącym i uzyskaniem zgody rodziców,</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została dopuszczona możliwość realizacji niektórych zajęć praktycznych dla uczniów kształcących się w zawodzie.</w:t>
      </w:r>
    </w:p>
    <w:p w:rsidR="00494FD1" w:rsidRPr="00E00B35" w:rsidRDefault="00494FD1" w:rsidP="00E00B35">
      <w:pPr>
        <w:pStyle w:val="Akapitzlist"/>
        <w:spacing w:after="0" w:line="312" w:lineRule="auto"/>
        <w:ind w:left="357"/>
        <w:rPr>
          <w:color w:val="000000"/>
          <w:szCs w:val="20"/>
          <w:lang w:val="pl-PL"/>
        </w:rPr>
      </w:pPr>
    </w:p>
    <w:p w:rsidR="008C7751" w:rsidRPr="00E00B35" w:rsidRDefault="008C7751" w:rsidP="00E00B35">
      <w:pPr>
        <w:shd w:val="clear" w:color="auto" w:fill="FFFFFF"/>
        <w:spacing w:after="0" w:line="312" w:lineRule="auto"/>
        <w:textAlignment w:val="baseline"/>
        <w:rPr>
          <w:rFonts w:cs="Arial"/>
          <w:color w:val="000000"/>
          <w:szCs w:val="20"/>
        </w:rPr>
      </w:pPr>
      <w:r w:rsidRPr="00E00B35">
        <w:rPr>
          <w:rFonts w:cs="Arial"/>
          <w:color w:val="000000"/>
          <w:szCs w:val="20"/>
        </w:rPr>
        <w:lastRenderedPageBreak/>
        <w:t>Od 25 maja 2020 r.:</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absolwentom szkół, którzy w 2020 r. przystąpili do egzaminu maturalnego umożliwiono odbywanie konsultacji na terenie szkoły,</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została dopuszczona możliwość realizacji zajęć praktycznej nauki zawodu i praktyk zawodowych dla części uczniów kształcących się w zawodzie oraz staży uczniowskich u pracodawców.</w:t>
      </w:r>
    </w:p>
    <w:p w:rsidR="00494FD1" w:rsidRPr="00E00B35" w:rsidRDefault="00494FD1" w:rsidP="00E00B35">
      <w:pPr>
        <w:spacing w:after="0" w:line="312" w:lineRule="auto"/>
        <w:rPr>
          <w:color w:val="000000"/>
          <w:szCs w:val="20"/>
          <w:lang w:val="pl-PL"/>
        </w:rPr>
      </w:pPr>
    </w:p>
    <w:p w:rsidR="008C7751" w:rsidRPr="00E00B35" w:rsidRDefault="008C7751" w:rsidP="00E00B35">
      <w:pPr>
        <w:spacing w:after="0" w:line="312" w:lineRule="auto"/>
        <w:rPr>
          <w:color w:val="000000"/>
          <w:szCs w:val="20"/>
          <w:lang w:val="pl-PL"/>
        </w:rPr>
      </w:pPr>
      <w:r w:rsidRPr="00E00B35">
        <w:rPr>
          <w:color w:val="000000"/>
          <w:szCs w:val="20"/>
          <w:lang w:val="pl-PL"/>
        </w:rPr>
        <w:t xml:space="preserve">Od 1 czerwca 2020 r.: </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z konsultacji na terenie szkoły mogli skorzystać uczniowie pozostałych klas,</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możliwa była organizacja m.in. praktyk zawodowych u pracodawców dla uczniów wszystkich klas technikum oraz niektórych zajęć praktycznych.</w:t>
      </w:r>
    </w:p>
    <w:p w:rsidR="008C7751" w:rsidRPr="00E00B35" w:rsidRDefault="008C7751" w:rsidP="00E00B35">
      <w:pPr>
        <w:shd w:val="clear" w:color="auto" w:fill="FFFFFF"/>
        <w:spacing w:after="0" w:line="312" w:lineRule="auto"/>
        <w:textAlignment w:val="baseline"/>
        <w:rPr>
          <w:rFonts w:cs="Arial"/>
          <w:color w:val="000000"/>
          <w:szCs w:val="20"/>
          <w:lang w:val="pl-PL"/>
        </w:rPr>
      </w:pPr>
      <w:r w:rsidRPr="00E00B35">
        <w:rPr>
          <w:rFonts w:cs="Arial"/>
          <w:color w:val="000000"/>
          <w:szCs w:val="20"/>
          <w:lang w:val="pl-PL"/>
        </w:rPr>
        <w:t>Od 29 czerwca 2020 r. przywrócone zostały zajęcia praktyczne u pracodawców dla wszystkich uczniów branżowych szkół I stopnia będących młodocianymi pracownikami.</w:t>
      </w:r>
    </w:p>
    <w:p w:rsidR="008C7751" w:rsidRPr="00E00B35" w:rsidRDefault="008C7751" w:rsidP="00E00B35">
      <w:pPr>
        <w:shd w:val="clear" w:color="auto" w:fill="FFFFFF"/>
        <w:spacing w:after="0" w:line="312" w:lineRule="auto"/>
        <w:textAlignment w:val="baseline"/>
        <w:rPr>
          <w:color w:val="000000"/>
          <w:szCs w:val="20"/>
          <w:lang w:val="pl-PL"/>
        </w:rPr>
      </w:pPr>
      <w:r w:rsidRPr="00E00B35">
        <w:rPr>
          <w:color w:val="000000"/>
          <w:szCs w:val="20"/>
          <w:lang w:val="pl-PL"/>
        </w:rPr>
        <w:t>Od 24 października 2020 r. na podstawie rozporządzenia Ministerstwa Edukacji Narodowej z dnia 20 marca 2020 r. w sprawie czasowego ograniczenia funkcjonowania jednostek systemu oświaty w związku z zapobieganiem, przeciwdziałaniem i zwalczaniem COVID-19 (Dz. U., poz. 493 z późn. zm.) funkcjonowanie szkół ponadpodstawowych, placówek kształcenia ustawicznego i placówek kształcenia zawodowego zostało ograniczone.</w:t>
      </w:r>
    </w:p>
    <w:p w:rsidR="00544448" w:rsidRPr="00E00B35" w:rsidRDefault="00544448" w:rsidP="00E00B35">
      <w:pPr>
        <w:shd w:val="clear" w:color="auto" w:fill="FFFFFF"/>
        <w:spacing w:after="0" w:line="312" w:lineRule="auto"/>
        <w:textAlignment w:val="baseline"/>
        <w:rPr>
          <w:rFonts w:cs="Arial"/>
          <w:color w:val="000000"/>
          <w:szCs w:val="20"/>
          <w:lang w:val="pl-PL"/>
        </w:rPr>
      </w:pPr>
    </w:p>
    <w:p w:rsidR="008C7751" w:rsidRPr="00E00B35" w:rsidRDefault="008C7751" w:rsidP="00E00B35">
      <w:pPr>
        <w:pStyle w:val="Nagwek4"/>
        <w:spacing w:before="0" w:after="0" w:line="312" w:lineRule="auto"/>
        <w:rPr>
          <w:sz w:val="20"/>
          <w:szCs w:val="20"/>
          <w:lang w:val="pl-PL"/>
        </w:rPr>
      </w:pPr>
      <w:r w:rsidRPr="00E00B35">
        <w:rPr>
          <w:sz w:val="20"/>
          <w:szCs w:val="20"/>
          <w:lang w:val="pl-PL"/>
        </w:rPr>
        <w:t>Przedszkole i Szkoły Specjalne</w:t>
      </w:r>
    </w:p>
    <w:p w:rsidR="008C7751" w:rsidRPr="00E00B35" w:rsidRDefault="008C7751" w:rsidP="00E00B35">
      <w:pPr>
        <w:spacing w:after="0" w:line="312" w:lineRule="auto"/>
        <w:rPr>
          <w:rFonts w:cs="Arial"/>
          <w:color w:val="000000"/>
          <w:szCs w:val="20"/>
          <w:lang w:val="pl-PL"/>
        </w:rPr>
      </w:pPr>
      <w:r w:rsidRPr="00E00B35">
        <w:rPr>
          <w:rFonts w:cs="Arial"/>
          <w:color w:val="000000"/>
          <w:szCs w:val="20"/>
          <w:lang w:val="pl-PL"/>
        </w:rPr>
        <w:t>Od 16.03.2020r. dla uczniów szkół specjalnych prowadzone były zajęcia zdalne dostosowane do możliwości dzieci i uczniów z niepełnosprawnością intelektualną. Przedszkole Specjalne nr 151 w SOSW nr 10 wznowiło zajęcia od dnia 11.05.2020r. Od dnia 18.05.2020r. w szkołach specjalnych realizowane były zajęcia rewalidacyjne, rewalidacyjno-wychowawcze oraz wczesnego wspomagania rozwoju dziecka za zgodą rodziców dzieci i uczniów posiadających odpowiednie orzeczenie lub opinię. Szkoła Podstawowa Specjalna nr 88 (Młodzieżowy Ośrodek Wychowawczy) przez cały czas epidemii pracowała bez zmian. Placówki te funkcjonowały, zgodnie z wytycznymi GIS z ograniczoną maksymalną liczbą dzieci w grupach.</w:t>
      </w:r>
    </w:p>
    <w:p w:rsidR="00544448" w:rsidRPr="00E00B35" w:rsidRDefault="00544448" w:rsidP="00E00B35">
      <w:pPr>
        <w:spacing w:after="0" w:line="312" w:lineRule="auto"/>
        <w:rPr>
          <w:rFonts w:cs="Arial"/>
          <w:color w:val="000000"/>
          <w:szCs w:val="20"/>
          <w:lang w:val="pl-PL"/>
        </w:rPr>
      </w:pPr>
    </w:p>
    <w:p w:rsidR="008C7751" w:rsidRPr="00E00B35" w:rsidRDefault="008C7751" w:rsidP="00E00B35">
      <w:pPr>
        <w:pStyle w:val="Nagwek4"/>
        <w:spacing w:before="0" w:after="0" w:line="312" w:lineRule="auto"/>
        <w:rPr>
          <w:sz w:val="20"/>
          <w:szCs w:val="20"/>
          <w:lang w:val="pl-PL"/>
        </w:rPr>
      </w:pPr>
      <w:r w:rsidRPr="00E00B35">
        <w:rPr>
          <w:sz w:val="20"/>
          <w:szCs w:val="20"/>
          <w:lang w:val="pl-PL"/>
        </w:rPr>
        <w:t>Przewóz dzieci niepełnosprawnych</w:t>
      </w:r>
    </w:p>
    <w:p w:rsidR="008C7751" w:rsidRPr="00E00B35" w:rsidRDefault="008C7751" w:rsidP="00E00B35">
      <w:pPr>
        <w:spacing w:after="0" w:line="312" w:lineRule="auto"/>
        <w:rPr>
          <w:rFonts w:cs="Helv"/>
          <w:color w:val="000000"/>
          <w:szCs w:val="20"/>
          <w:lang w:val="pl-PL"/>
        </w:rPr>
      </w:pPr>
      <w:r w:rsidRPr="00E00B35">
        <w:rPr>
          <w:color w:val="000000"/>
          <w:szCs w:val="20"/>
          <w:lang w:val="pl-PL"/>
        </w:rPr>
        <w:t xml:space="preserve">Przewóz dzieci/uczniów </w:t>
      </w:r>
      <w:r w:rsidRPr="00E00B35">
        <w:rPr>
          <w:rFonts w:cs="Helv"/>
          <w:color w:val="000000"/>
          <w:szCs w:val="20"/>
          <w:lang w:val="pl-PL"/>
        </w:rPr>
        <w:t>niepełnosprawnych został zawieszony zgodnie z Rozporządzeniem MEN od dnia 16.03.2020 r. Wznowienie przewozu nastąpiło:</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od dnia 11.05.2020r. do placówek przedszkolnych (15 dzieci)</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od dnia 18.05.2020 r. na zajęcia rewalidacyjne i rewalidacyjno-wychowawcze oraz dla uczniów klas 1-3 na zajęcia opiekuńczo-wychowawcze z elementami zajęć dydaktycznych (28 dzieci),</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od dnia 25.05.2020 r. na konsultacje dla dzieci klas pozostałych, praktyki, egzaminy zawodowe.</w:t>
      </w:r>
    </w:p>
    <w:p w:rsidR="00494FD1" w:rsidRPr="00E00B35" w:rsidRDefault="00494FD1" w:rsidP="00E00B35">
      <w:pPr>
        <w:spacing w:after="0" w:line="312" w:lineRule="auto"/>
        <w:rPr>
          <w:rFonts w:cs="Helv"/>
          <w:color w:val="000000"/>
          <w:szCs w:val="20"/>
          <w:lang w:val="pl-PL"/>
        </w:rPr>
      </w:pPr>
    </w:p>
    <w:p w:rsidR="008C7751" w:rsidRPr="00E00B35" w:rsidRDefault="008C7751" w:rsidP="00E00B35">
      <w:pPr>
        <w:spacing w:after="0" w:line="312" w:lineRule="auto"/>
        <w:rPr>
          <w:rFonts w:cs="Helv"/>
          <w:color w:val="000000"/>
          <w:szCs w:val="20"/>
          <w:lang w:val="pl-PL"/>
        </w:rPr>
      </w:pPr>
      <w:r w:rsidRPr="00E00B35">
        <w:rPr>
          <w:rFonts w:cs="Helv"/>
          <w:color w:val="000000"/>
          <w:szCs w:val="20"/>
          <w:lang w:val="pl-PL"/>
        </w:rPr>
        <w:t>W sumie od 25.05.2020 r. do 31.08.2020 r. na zajęcia przewożonych było 94 dzieci.</w:t>
      </w:r>
    </w:p>
    <w:p w:rsidR="008C7751" w:rsidRPr="00E00B35" w:rsidRDefault="008C7751" w:rsidP="00E00B35">
      <w:pPr>
        <w:spacing w:after="0" w:line="312" w:lineRule="auto"/>
        <w:rPr>
          <w:color w:val="000000"/>
          <w:szCs w:val="20"/>
          <w:lang w:val="pl-PL"/>
        </w:rPr>
      </w:pPr>
      <w:r w:rsidRPr="00E00B35">
        <w:rPr>
          <w:color w:val="000000"/>
          <w:szCs w:val="20"/>
          <w:lang w:val="pl-PL"/>
        </w:rPr>
        <w:lastRenderedPageBreak/>
        <w:t>Od dnia 26.10.2020 r. zgodnie z Rozporządzeniem Ministra Edukacji i Nauki z dnia 23 października 2020 r. zmieniającym rozporządzenie w sprawie czasowego ograniczenia funkcjonowania jednostek systemu oświaty w związku z zapobieganiem, przeciwdziałaniem i zwalczaniem COVID-19,</w:t>
      </w:r>
      <w:r w:rsidRPr="00E00B35">
        <w:rPr>
          <w:i/>
          <w:color w:val="000000"/>
          <w:szCs w:val="20"/>
          <w:lang w:val="pl-PL"/>
        </w:rPr>
        <w:t xml:space="preserve"> </w:t>
      </w:r>
      <w:r w:rsidRPr="00E00B35">
        <w:rPr>
          <w:color w:val="000000"/>
          <w:szCs w:val="20"/>
          <w:lang w:val="pl-PL"/>
        </w:rPr>
        <w:t xml:space="preserve">przewozem dzieci/uczniów </w:t>
      </w:r>
      <w:r w:rsidRPr="00E00B35">
        <w:rPr>
          <w:rFonts w:cs="Helv"/>
          <w:color w:val="000000"/>
          <w:szCs w:val="20"/>
          <w:lang w:val="pl-PL"/>
        </w:rPr>
        <w:t>niepełnosprawnych zostały objęcie wszystkie dzieci, dla których rodzice wystąpili z wnioskiem</w:t>
      </w:r>
      <w:r w:rsidRPr="00E00B35">
        <w:rPr>
          <w:color w:val="000000"/>
          <w:szCs w:val="20"/>
          <w:lang w:val="pl-PL"/>
        </w:rPr>
        <w:t xml:space="preserve">. Od dnia 26.10.2020r. do dnia 31.12.2020r. przewozem objętych było średnio </w:t>
      </w:r>
      <w:r w:rsidRPr="00E00B35">
        <w:rPr>
          <w:bCs/>
          <w:color w:val="000000"/>
          <w:szCs w:val="20"/>
          <w:lang w:val="pl-PL"/>
        </w:rPr>
        <w:t>200 dzieci i uczniów niepełnosprawnych.</w:t>
      </w:r>
      <w:r w:rsidRPr="00E00B35">
        <w:rPr>
          <w:color w:val="000000"/>
          <w:szCs w:val="20"/>
          <w:lang w:val="pl-PL"/>
        </w:rPr>
        <w:t xml:space="preserve"> Spółka MPK Sp. z o. o. została poinformowana o konieczności stosowania wytycznych Ministerstwa Edukacji i Nauki, Ministerstwa Zdrowia i Głównego Inspektora Sanitarnego w sprawie bezpiecznego powrotu do szkół.</w:t>
      </w:r>
    </w:p>
    <w:p w:rsidR="00544448" w:rsidRPr="00E00B35" w:rsidRDefault="00544448" w:rsidP="00E00B35">
      <w:pPr>
        <w:spacing w:after="0" w:line="312" w:lineRule="auto"/>
        <w:rPr>
          <w:color w:val="000000"/>
          <w:szCs w:val="20"/>
          <w:lang w:val="pl-PL"/>
        </w:rPr>
      </w:pPr>
    </w:p>
    <w:p w:rsidR="008C7751" w:rsidRPr="00E00B35" w:rsidRDefault="008C7751" w:rsidP="00E00B35">
      <w:pPr>
        <w:pStyle w:val="Nagwek4"/>
        <w:spacing w:before="0" w:after="0" w:line="312" w:lineRule="auto"/>
        <w:rPr>
          <w:sz w:val="20"/>
          <w:szCs w:val="20"/>
          <w:lang w:val="pl-PL"/>
        </w:rPr>
      </w:pPr>
      <w:r w:rsidRPr="00E00B35">
        <w:rPr>
          <w:sz w:val="20"/>
          <w:szCs w:val="20"/>
          <w:lang w:val="pl-PL"/>
        </w:rPr>
        <w:t>Poradnie Psychologiczno-Pedagogiczne</w:t>
      </w:r>
    </w:p>
    <w:p w:rsidR="008C7751" w:rsidRPr="00E00B35" w:rsidRDefault="008C7751" w:rsidP="00E00B35">
      <w:pPr>
        <w:spacing w:after="0" w:line="312" w:lineRule="auto"/>
        <w:rPr>
          <w:color w:val="000000"/>
          <w:szCs w:val="20"/>
          <w:lang w:val="pl-PL"/>
        </w:rPr>
      </w:pPr>
      <w:r w:rsidRPr="00E00B35">
        <w:rPr>
          <w:color w:val="000000"/>
          <w:szCs w:val="20"/>
          <w:lang w:val="pl-PL"/>
        </w:rPr>
        <w:t>Poradnie Psychologiczno-Pedagogiczne w czasie epidemii wprowadziły dyżury telefoniczne i mailowe pomocy psychologicznej dla rodziców, uczniów i nauczycieli oraz przygotowały szereg materiałów w tym np. „</w:t>
      </w:r>
      <w:hyperlink r:id="rId56" w:history="1">
        <w:r w:rsidRPr="00E00B35">
          <w:rPr>
            <w:bCs/>
            <w:color w:val="000000"/>
            <w:szCs w:val="20"/>
            <w:lang w:val="pl-PL"/>
          </w:rPr>
          <w:t>Poradnik dla rodziców: Jak sobie radzić z lękiem dzieci w obliczu zagrożenia epidemią koronawirusa</w:t>
        </w:r>
      </w:hyperlink>
      <w:r w:rsidRPr="00E00B35">
        <w:rPr>
          <w:bCs/>
          <w:color w:val="000000"/>
          <w:szCs w:val="20"/>
          <w:lang w:val="pl-PL"/>
        </w:rPr>
        <w:t>” (Przychodnia Psychologiczno-Pedagogiczna nr 4) – materiały zostały też zamieszczone na portalu www.wroclaw.pl oraz udostępnione na Wrocławskiej Platformie Edukacyjnej</w:t>
      </w:r>
      <w:r w:rsidRPr="00E00B35">
        <w:rPr>
          <w:color w:val="000000"/>
          <w:szCs w:val="20"/>
          <w:lang w:val="pl-PL"/>
        </w:rPr>
        <w:t xml:space="preserve">. Specjalistyczna Poradnia Terapeutyczna udzielała wsparcia dla szkół w tym nauczycieli i wychowawców, w jaki sposób radzić sobie w przypadku, gdy uczniowie nie uczestniczą w nauczaniu zdalnym. Od 16.03.2020 r. Poradnie pracując on-line wydawały orzeczenia i opinie. Od 04.05.2020 r. wznowiono stacjonarną działalność poradni. </w:t>
      </w:r>
    </w:p>
    <w:p w:rsidR="00544448" w:rsidRPr="00E00B35" w:rsidRDefault="00544448" w:rsidP="00E00B35">
      <w:pPr>
        <w:spacing w:after="0" w:line="312" w:lineRule="auto"/>
        <w:rPr>
          <w:color w:val="000000"/>
          <w:szCs w:val="20"/>
          <w:lang w:val="pl-PL"/>
        </w:rPr>
      </w:pPr>
    </w:p>
    <w:p w:rsidR="008C7751" w:rsidRPr="00E00B35" w:rsidRDefault="008C7751" w:rsidP="00E00B35">
      <w:pPr>
        <w:pStyle w:val="Nagwek5"/>
        <w:rPr>
          <w:szCs w:val="20"/>
          <w:lang w:val="pl-PL"/>
        </w:rPr>
      </w:pPr>
      <w:r w:rsidRPr="00E00B35">
        <w:rPr>
          <w:szCs w:val="20"/>
          <w:lang w:val="pl-PL"/>
        </w:rPr>
        <w:t>Młodzieżowe Domy Kultury</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W Młodzieżowych Domach Kultury prowadzono nauczanie zdalne – wychowankowie mogli korzystać z wirtualnych materiałów edukacyjnych przygotowanych przez instruktorów, udostępnianych za pośrednictwem stron internetowych oraz mediów społecznościowych. Materiały zostały też zamieszczone na portalu </w:t>
      </w:r>
      <w:hyperlink r:id="rId57" w:history="1">
        <w:r w:rsidRPr="00E00B35">
          <w:rPr>
            <w:rStyle w:val="Hipercze"/>
            <w:szCs w:val="20"/>
            <w:lang w:val="pl-PL"/>
          </w:rPr>
          <w:t>www.wroclaw.pl</w:t>
        </w:r>
      </w:hyperlink>
      <w:r w:rsidRPr="00E00B35">
        <w:rPr>
          <w:color w:val="000000"/>
          <w:szCs w:val="20"/>
          <w:lang w:val="pl-PL"/>
        </w:rPr>
        <w:t xml:space="preserve"> Prowadzono porady plastyczne za pośrednictwem kontaktu mailowego, uruchomiono „Galerię prac online”(MDK Śródmieście), organizowano konkursy prac dla dzieci i młodzieży. Zajęcia wznowiono od dnia 25.05.2020 </w:t>
      </w:r>
      <w:r w:rsidRPr="00E00B35">
        <w:rPr>
          <w:bCs/>
          <w:color w:val="000000"/>
          <w:szCs w:val="20"/>
          <w:lang w:val="pl-PL"/>
        </w:rPr>
        <w:t>r. w formie konsultacji w małych grupach lub indywidualnie – po opracowaniu procedur bezpieczeństwa z zachowaniem reżimu sanitarnego.</w:t>
      </w:r>
      <w:r w:rsidRPr="00E00B35">
        <w:rPr>
          <w:b/>
          <w:color w:val="000000"/>
          <w:szCs w:val="20"/>
          <w:lang w:val="pl-PL"/>
        </w:rPr>
        <w:t xml:space="preserve"> </w:t>
      </w:r>
      <w:r w:rsidRPr="00E00B35">
        <w:rPr>
          <w:color w:val="000000"/>
          <w:szCs w:val="20"/>
          <w:lang w:val="pl-PL"/>
        </w:rPr>
        <w:t xml:space="preserve">W roku szkolnym 2020/2021 placówki wychowania pozaszkolnego pracują w trybie stacjonarnym dostosowując organizację pracy do wytycznych GIS i MEN oraz procedur bezpieczeństwa w placówce. </w:t>
      </w:r>
    </w:p>
    <w:p w:rsidR="00544448" w:rsidRPr="00E00B35" w:rsidRDefault="00544448" w:rsidP="00E00B35">
      <w:pPr>
        <w:spacing w:after="0" w:line="312" w:lineRule="auto"/>
        <w:rPr>
          <w:b/>
          <w:color w:val="000000"/>
          <w:szCs w:val="20"/>
          <w:lang w:val="pl-PL"/>
        </w:rPr>
      </w:pPr>
    </w:p>
    <w:p w:rsidR="008C7751" w:rsidRPr="00E00B35" w:rsidRDefault="008C7751" w:rsidP="00E00B35">
      <w:pPr>
        <w:pStyle w:val="Nagwek4"/>
        <w:spacing w:before="0" w:after="0" w:line="312" w:lineRule="auto"/>
        <w:rPr>
          <w:sz w:val="20"/>
          <w:szCs w:val="20"/>
          <w:lang w:val="pl-PL"/>
        </w:rPr>
      </w:pPr>
      <w:r w:rsidRPr="00E00B35">
        <w:rPr>
          <w:sz w:val="20"/>
          <w:szCs w:val="20"/>
          <w:lang w:val="pl-PL"/>
        </w:rPr>
        <w:t>Wrocławskie Centrum Doskonalenia Nauczycieli</w:t>
      </w:r>
    </w:p>
    <w:p w:rsidR="008C7751" w:rsidRPr="00E00B35" w:rsidRDefault="008C7751" w:rsidP="00E00B35">
      <w:pPr>
        <w:spacing w:after="0" w:line="312" w:lineRule="auto"/>
        <w:rPr>
          <w:rFonts w:cs="Arial"/>
          <w:color w:val="000000"/>
          <w:szCs w:val="20"/>
          <w:lang w:val="pl-PL"/>
        </w:rPr>
      </w:pPr>
      <w:r w:rsidRPr="00E00B35">
        <w:rPr>
          <w:rFonts w:cs="Arial"/>
          <w:color w:val="000000"/>
          <w:szCs w:val="20"/>
          <w:lang w:val="pl-PL"/>
        </w:rPr>
        <w:t xml:space="preserve">W celu wsparcia nauczycieli w realizacji nauki zdalnej uruchomiono serwis wymiany doświadczeń na stronie </w:t>
      </w:r>
      <w:hyperlink r:id="rId58" w:history="1">
        <w:r w:rsidRPr="00E00B35">
          <w:rPr>
            <w:rStyle w:val="Hipercze"/>
            <w:rFonts w:cs="Arial"/>
            <w:szCs w:val="20"/>
            <w:lang w:val="pl-PL"/>
          </w:rPr>
          <w:t>www.wroclaw.pl</w:t>
        </w:r>
      </w:hyperlink>
      <w:r w:rsidRPr="00E00B35">
        <w:rPr>
          <w:rFonts w:cs="Arial"/>
          <w:color w:val="000000"/>
          <w:szCs w:val="20"/>
          <w:lang w:val="pl-PL"/>
        </w:rPr>
        <w:t xml:space="preserve">  prowadzony przez Wrocławskie Centrum Doskonalenia Nauczycieli. Niezależnie, wiele materiałów edukacyjnych dla dzieci/uczniów oraz rodziców placówki umieszczały na swoich stronach internetowych.</w:t>
      </w:r>
    </w:p>
    <w:p w:rsidR="008C7751" w:rsidRPr="00E00B35" w:rsidRDefault="008C7751" w:rsidP="00E00B35">
      <w:pPr>
        <w:spacing w:after="0" w:line="312" w:lineRule="auto"/>
        <w:rPr>
          <w:rFonts w:cs="Arial"/>
          <w:color w:val="000000"/>
          <w:szCs w:val="20"/>
          <w:lang w:val="pl-PL"/>
        </w:rPr>
      </w:pPr>
      <w:r w:rsidRPr="00E00B35">
        <w:rPr>
          <w:color w:val="000000"/>
          <w:szCs w:val="20"/>
          <w:lang w:val="pl-PL"/>
        </w:rPr>
        <w:t xml:space="preserve">We Wrocławskim Centrum Doskonalenia Nauczycieli prowadzono szkolenia online wspierające kadrę pedagogiczną wrocławskich szkół i przedszkoli w zakresie prowadzenia zajęć on-line oraz metod nauczania z wykorzystaniem technik kształcenia zdalnego: </w:t>
      </w:r>
      <w:r w:rsidRPr="00E00B35">
        <w:rPr>
          <w:color w:val="000000"/>
          <w:szCs w:val="20"/>
          <w:lang w:val="pl-PL"/>
        </w:rPr>
        <w:lastRenderedPageBreak/>
        <w:t xml:space="preserve">„Szkoły i przedszkola w czasie epidemii”, „Zdalne lekcje matematyki w szkole podstawowej”, „Zdalny WF”, </w:t>
      </w:r>
      <w:r w:rsidRPr="00E00B35">
        <w:rPr>
          <w:bCs/>
          <w:color w:val="000000"/>
          <w:szCs w:val="20"/>
          <w:lang w:val="pl-PL"/>
        </w:rPr>
        <w:t xml:space="preserve">„Rola nauczyciela świetlicy szkolnej w okresie edukacji na odległość”. Przygotowano ofertę do wykorzystania przez nauczycieli podczas lekcji zdalnych na każdym etapie edukacyjnym i udostępniono na </w:t>
      </w:r>
      <w:r w:rsidRPr="00E00B35">
        <w:rPr>
          <w:rFonts w:cs="Arial"/>
          <w:color w:val="000000"/>
          <w:szCs w:val="20"/>
          <w:lang w:val="pl-PL"/>
        </w:rPr>
        <w:t>Wrocławskiej Platformie Edukacyjnej.</w:t>
      </w:r>
    </w:p>
    <w:p w:rsidR="00544448" w:rsidRPr="00E00B35" w:rsidRDefault="00544448" w:rsidP="00E00B35">
      <w:pPr>
        <w:spacing w:after="0" w:line="312" w:lineRule="auto"/>
        <w:rPr>
          <w:bCs/>
          <w:color w:val="000000"/>
          <w:szCs w:val="20"/>
          <w:lang w:val="pl-PL"/>
        </w:rPr>
      </w:pPr>
    </w:p>
    <w:p w:rsidR="008C7751" w:rsidRPr="00E00B35" w:rsidRDefault="00494FD1" w:rsidP="00E00B35">
      <w:pPr>
        <w:pStyle w:val="Nagwek4"/>
        <w:spacing w:before="0" w:after="0" w:line="312" w:lineRule="auto"/>
        <w:rPr>
          <w:sz w:val="20"/>
          <w:szCs w:val="20"/>
          <w:lang w:val="pl-PL"/>
        </w:rPr>
      </w:pPr>
      <w:bookmarkStart w:id="121" w:name="_Toc72411107"/>
      <w:r w:rsidRPr="00E00B35">
        <w:rPr>
          <w:sz w:val="20"/>
          <w:szCs w:val="20"/>
          <w:lang w:val="pl-PL"/>
        </w:rPr>
        <w:t>R</w:t>
      </w:r>
      <w:r w:rsidR="008C7751" w:rsidRPr="00E00B35">
        <w:rPr>
          <w:sz w:val="20"/>
          <w:szCs w:val="20"/>
          <w:lang w:val="pl-PL"/>
        </w:rPr>
        <w:t>ekrutacja online</w:t>
      </w:r>
      <w:bookmarkEnd w:id="121"/>
    </w:p>
    <w:p w:rsidR="008C7751" w:rsidRPr="00E00B35" w:rsidRDefault="008C7751" w:rsidP="00E00B35">
      <w:pPr>
        <w:spacing w:after="0" w:line="312" w:lineRule="auto"/>
        <w:rPr>
          <w:rFonts w:cs="Helv"/>
          <w:color w:val="000000"/>
          <w:szCs w:val="20"/>
          <w:lang w:val="pl-PL"/>
        </w:rPr>
      </w:pPr>
      <w:r w:rsidRPr="00E00B35">
        <w:rPr>
          <w:color w:val="000000"/>
          <w:szCs w:val="20"/>
          <w:lang w:val="pl-PL"/>
        </w:rPr>
        <w:t xml:space="preserve">Pierwszy raz całość procesu rekrutacji do przedszkoli i szkół podstawowych oparto wyłącznie na systemie elektronicznym. </w:t>
      </w:r>
      <w:r w:rsidRPr="00E00B35">
        <w:rPr>
          <w:rFonts w:cs="Helv"/>
          <w:color w:val="000000"/>
          <w:szCs w:val="20"/>
          <w:lang w:val="pl-PL"/>
        </w:rPr>
        <w:t xml:space="preserve">Urząd Miejski Wrocławia, w rekrutacji do przedszkoli i oddziałów przedszkolnych w szkołach podstawowych wdrożył rozwiązanie umożliwiające rodzicom załączanie w elektronicznym systemie rekrutacji plików dotyczących rekrutacji (wniosek, oświadczenia/zaświadczenia). Z funkcjonalności skorzystało wielu rodziców - szacuje się, że blisko 75% wszystkich kandydatów. Pozostali skorzystali z możliwości przesłania wniosków wraz z załącznikami na elektroniczne skrzynki pocztowe sekretariatów wybranych placówek (22%), a jedynie 3% złożyło wnioski do placówek w formie papierowej. </w:t>
      </w:r>
    </w:p>
    <w:p w:rsidR="008C7751" w:rsidRPr="00E00B35" w:rsidRDefault="008C7751" w:rsidP="00E00B35">
      <w:pPr>
        <w:autoSpaceDE w:val="0"/>
        <w:autoSpaceDN w:val="0"/>
        <w:adjustRightInd w:val="0"/>
        <w:spacing w:after="0" w:line="312" w:lineRule="auto"/>
        <w:rPr>
          <w:rFonts w:cs="Helv"/>
          <w:color w:val="000000"/>
          <w:szCs w:val="20"/>
          <w:lang w:val="pl-PL"/>
        </w:rPr>
      </w:pPr>
      <w:r w:rsidRPr="00E00B35">
        <w:rPr>
          <w:rFonts w:cs="Helv"/>
          <w:color w:val="000000"/>
          <w:szCs w:val="20"/>
          <w:lang w:val="pl-PL"/>
        </w:rPr>
        <w:t>W rekrutacji do klas I szkół podstawowych rodzice otrzymali możliwość przesłania wniosku rekrutacyjnego wraz z załącznikami na elektroniczną skrzynkę pocztową placówki pierwszego wyboru. Z uwagi na chronologię zdarzeń związaną z COVID-19 oraz ograniczeniem funkcjonowania placówek, nie zaistniały możliwości wdrożenia funkcjonalności dołączania plików w elektronicznym systemie naboru.</w:t>
      </w:r>
    </w:p>
    <w:p w:rsidR="00544448" w:rsidRPr="00E00B35" w:rsidRDefault="00544448" w:rsidP="00E00B35">
      <w:pPr>
        <w:autoSpaceDE w:val="0"/>
        <w:autoSpaceDN w:val="0"/>
        <w:adjustRightInd w:val="0"/>
        <w:spacing w:after="0" w:line="312" w:lineRule="auto"/>
        <w:rPr>
          <w:rFonts w:cs="Helv"/>
          <w:color w:val="000000"/>
          <w:szCs w:val="20"/>
          <w:lang w:val="pl-PL"/>
        </w:rPr>
      </w:pPr>
    </w:p>
    <w:p w:rsidR="008C7751" w:rsidRPr="00E00B35" w:rsidRDefault="008C7751" w:rsidP="00E00B35">
      <w:pPr>
        <w:pStyle w:val="Nagwek4"/>
        <w:spacing w:before="0" w:after="0" w:line="312" w:lineRule="auto"/>
        <w:rPr>
          <w:sz w:val="20"/>
          <w:szCs w:val="20"/>
          <w:lang w:val="pl-PL"/>
        </w:rPr>
      </w:pPr>
      <w:bookmarkStart w:id="122" w:name="_Toc72411108"/>
      <w:r w:rsidRPr="00E00B35">
        <w:rPr>
          <w:sz w:val="20"/>
          <w:szCs w:val="20"/>
          <w:lang w:val="pl-PL"/>
        </w:rPr>
        <w:t>Edukacja zdalna</w:t>
      </w:r>
      <w:bookmarkEnd w:id="122"/>
    </w:p>
    <w:p w:rsidR="008C7751" w:rsidRPr="00E00B35" w:rsidRDefault="008C7751" w:rsidP="00E00B35">
      <w:pPr>
        <w:spacing w:after="0" w:line="312" w:lineRule="auto"/>
        <w:rPr>
          <w:color w:val="000000"/>
          <w:szCs w:val="20"/>
          <w:lang w:val="pl-PL"/>
        </w:rPr>
      </w:pPr>
      <w:r w:rsidRPr="00E00B35">
        <w:rPr>
          <w:color w:val="000000"/>
          <w:szCs w:val="20"/>
          <w:lang w:val="pl-PL"/>
        </w:rPr>
        <w:t xml:space="preserve">W celu wsparcia nauczycieli w realizacji nauki zdalnej uruchomiono serwis wymiany doświadczeń na stronie </w:t>
      </w:r>
      <w:hyperlink r:id="rId59" w:history="1">
        <w:r w:rsidRPr="00E00B35">
          <w:rPr>
            <w:rStyle w:val="Hipercze"/>
            <w:color w:val="0070C0"/>
            <w:szCs w:val="20"/>
            <w:lang w:val="pl-PL"/>
          </w:rPr>
          <w:t>www.wroclaw.pl</w:t>
        </w:r>
      </w:hyperlink>
      <w:r w:rsidRPr="00E00B35">
        <w:rPr>
          <w:color w:val="000000"/>
          <w:szCs w:val="20"/>
          <w:lang w:val="pl-PL"/>
        </w:rPr>
        <w:t xml:space="preserve"> prowadzonej przez Wrocławskie Centrum Doskonalenia Nauczycieli. Niezależnie, wiele materiałów edukacyjnych dla dzieci/uczniów oraz rodziców, placówki umieszczały na swoich stronach internetowych. </w:t>
      </w:r>
    </w:p>
    <w:p w:rsidR="008C7751" w:rsidRPr="00E00B35" w:rsidRDefault="008C7751" w:rsidP="00E00B35">
      <w:pPr>
        <w:autoSpaceDE w:val="0"/>
        <w:autoSpaceDN w:val="0"/>
        <w:adjustRightInd w:val="0"/>
        <w:spacing w:after="0" w:line="312" w:lineRule="auto"/>
        <w:rPr>
          <w:rFonts w:cs="Helv"/>
          <w:color w:val="000000"/>
          <w:szCs w:val="20"/>
          <w:lang w:val="pl-PL"/>
        </w:rPr>
      </w:pPr>
      <w:r w:rsidRPr="00E00B35">
        <w:rPr>
          <w:rFonts w:cs="Helv"/>
          <w:color w:val="000000"/>
          <w:szCs w:val="20"/>
          <w:lang w:val="pl-PL"/>
        </w:rPr>
        <w:t xml:space="preserve">UM Wrocławia wraz z Centrum Usług Informatycznych wdrożyło w szkołach usługę Office365 umożliwiającą między innymi prowadzenie nauczania zdalnego poprzez aplikację MS Teams będącą częścią Wrocławskiej Platformy Edukacyjnej. Do końca 2020 roku założono łącznie 65 527 - kont Office365. 9 106 dla nauczycieli oraz 56 421 dla uczniów. </w:t>
      </w:r>
    </w:p>
    <w:p w:rsidR="008C7751" w:rsidRPr="00E00B35" w:rsidRDefault="008C7751" w:rsidP="00E00B35">
      <w:pPr>
        <w:autoSpaceDE w:val="0"/>
        <w:autoSpaceDN w:val="0"/>
        <w:adjustRightInd w:val="0"/>
        <w:spacing w:after="0" w:line="312" w:lineRule="auto"/>
        <w:rPr>
          <w:rFonts w:cs="Helv"/>
          <w:color w:val="000000"/>
          <w:szCs w:val="20"/>
          <w:lang w:val="pl-PL"/>
        </w:rPr>
      </w:pPr>
      <w:r w:rsidRPr="00E00B35">
        <w:rPr>
          <w:rFonts w:cs="Helv"/>
          <w:color w:val="000000"/>
          <w:szCs w:val="20"/>
          <w:lang w:val="pl-PL"/>
        </w:rPr>
        <w:t xml:space="preserve">W ramach działań UM Wrocławia Zarządzeniem Prezydenta powołano Zespół ds. zdalnego nauczania, który koordynował poszczególne działania związane z edukacją zdalną. </w:t>
      </w:r>
    </w:p>
    <w:p w:rsidR="008C7751" w:rsidRPr="00E00B35" w:rsidRDefault="008C7751" w:rsidP="00E00B35">
      <w:pPr>
        <w:autoSpaceDE w:val="0"/>
        <w:autoSpaceDN w:val="0"/>
        <w:adjustRightInd w:val="0"/>
        <w:spacing w:after="0" w:line="312" w:lineRule="auto"/>
        <w:rPr>
          <w:rFonts w:cs="Helv"/>
          <w:color w:val="000000"/>
          <w:szCs w:val="20"/>
          <w:lang w:val="pl-PL"/>
        </w:rPr>
      </w:pPr>
      <w:r w:rsidRPr="00E00B35">
        <w:rPr>
          <w:rFonts w:cs="Helv"/>
          <w:color w:val="000000"/>
          <w:szCs w:val="20"/>
          <w:lang w:val="pl-PL"/>
        </w:rPr>
        <w:t>We współpracy z Wrocławskim Centrum Doskonalenia Nauczycieli oraz Centrum Kształcenia Zawodowego przeprowadzono szkolenia na nauczycieli z wykorzystania narzędzi do pracy zdalnej. Podobne szkolenia przeprowadziła również Fundacja Cyfrowy Dialog. Nauczyciele mogli również korzystać ze szkoleń on-line, dotyczących zagadnień związanych z nauczaniem zdalnym prowadzonych przez Microsoft.</w:t>
      </w:r>
    </w:p>
    <w:p w:rsidR="008C7751" w:rsidRPr="00E00B35" w:rsidRDefault="008C7751" w:rsidP="00E00B35">
      <w:pPr>
        <w:autoSpaceDE w:val="0"/>
        <w:autoSpaceDN w:val="0"/>
        <w:adjustRightInd w:val="0"/>
        <w:spacing w:after="0" w:line="312" w:lineRule="auto"/>
        <w:rPr>
          <w:rFonts w:cs="Helv"/>
          <w:color w:val="000000"/>
          <w:szCs w:val="20"/>
          <w:lang w:val="pl-PL"/>
        </w:rPr>
      </w:pPr>
      <w:r w:rsidRPr="00E00B35">
        <w:rPr>
          <w:rFonts w:cs="Helv"/>
          <w:color w:val="000000"/>
          <w:szCs w:val="20"/>
          <w:lang w:val="pl-PL"/>
        </w:rPr>
        <w:t xml:space="preserve">Wskutek współpracy z firmą PwC w jednej ze szkół wprowadzono usługę MS Teams z wykorzystaniem pojedynczego tenentu. Opracowano na tej podstawie zbiór dobrych praktyk oraz przeprowadzono audyt rozwiązań edukacji zdalnej. Opracowano również przewodnik dla dyrektorów placówek oświatowych, który zawierał syntetyczne informacje </w:t>
      </w:r>
      <w:r w:rsidRPr="00E00B35">
        <w:rPr>
          <w:rFonts w:cs="Helv"/>
          <w:color w:val="000000"/>
          <w:szCs w:val="20"/>
          <w:lang w:val="pl-PL"/>
        </w:rPr>
        <w:lastRenderedPageBreak/>
        <w:t>dotyczące edukacji zdalnej oraz wyzwań stojących przed placówkami. Systematycznie powiadamiano szkoły o dostępnych kursach on-line oraz uzupełniano informację o edukacji zdalnej na stronie wroclaw.pl</w:t>
      </w:r>
    </w:p>
    <w:p w:rsidR="008C7751" w:rsidRPr="00E00B35" w:rsidRDefault="008C7751" w:rsidP="00E00B35">
      <w:pPr>
        <w:autoSpaceDE w:val="0"/>
        <w:autoSpaceDN w:val="0"/>
        <w:adjustRightInd w:val="0"/>
        <w:spacing w:after="0" w:line="312" w:lineRule="auto"/>
        <w:rPr>
          <w:rFonts w:cs="Helv"/>
          <w:color w:val="000000"/>
          <w:szCs w:val="20"/>
          <w:lang w:val="pl-PL"/>
        </w:rPr>
      </w:pPr>
      <w:r w:rsidRPr="00E00B35">
        <w:rPr>
          <w:rFonts w:cs="Helv"/>
          <w:color w:val="000000"/>
          <w:szCs w:val="20"/>
          <w:lang w:val="pl-PL"/>
        </w:rPr>
        <w:t xml:space="preserve">Pod koniec roku 2020 dla wszystkich użytkowników Wrocławskiej Platformy Edukacyjnej wdrożono funkcjonalność e-Czytelnia. To </w:t>
      </w:r>
      <w:r w:rsidRPr="00E00B35">
        <w:rPr>
          <w:rFonts w:cs="Verdana"/>
          <w:color w:val="000000"/>
          <w:szCs w:val="20"/>
          <w:lang w:val="pl-PL"/>
        </w:rPr>
        <w:t>nowy moduł Wrocławskiego Systemu Bibliotek Szkolnych, który rozszerza i unowocześnia usługi biblioteczne dostosowując ofertę bibliotek szkolnych do potrzeb współczesnego czytelnika. E-Czytelnia umożliwia poprzez katalog WSBSz - INTEGRO dostęp do 2000 publikacji elektronicznych z platformy </w:t>
      </w:r>
      <w:hyperlink r:id="rId60" w:history="1">
        <w:r w:rsidRPr="00E00B35">
          <w:rPr>
            <w:rFonts w:cs="Verdana"/>
            <w:color w:val="000000"/>
            <w:szCs w:val="20"/>
            <w:lang w:val="pl-PL"/>
          </w:rPr>
          <w:t>IBUK Libra</w:t>
        </w:r>
      </w:hyperlink>
      <w:r w:rsidRPr="00E00B35">
        <w:rPr>
          <w:rFonts w:cs="Verdana"/>
          <w:color w:val="000000"/>
          <w:szCs w:val="20"/>
          <w:lang w:val="pl-PL"/>
        </w:rPr>
        <w:t>. Nie tylko tekstów naukowych, popularno-naukowych, czy dydaktycznych, ale także lektur szkolnych, literatury pięknej, literatury młodzieżowej czy fantastyki. W zbiorach posiada także książki do języków obcych, podręczniki, atlasy, mapy i wiele innych gatunków. W ramach e-Czytelni można również korzystać z ponad 5800 publikacji elektronicznych Wolnych Lektur.</w:t>
      </w:r>
    </w:p>
    <w:p w:rsidR="008C7751" w:rsidRPr="00E00B35" w:rsidRDefault="008C7751" w:rsidP="00E00B35">
      <w:pPr>
        <w:autoSpaceDE w:val="0"/>
        <w:autoSpaceDN w:val="0"/>
        <w:adjustRightInd w:val="0"/>
        <w:spacing w:after="0" w:line="312" w:lineRule="auto"/>
        <w:rPr>
          <w:rFonts w:cs="Helv"/>
          <w:color w:val="000000"/>
          <w:szCs w:val="20"/>
          <w:lang w:val="pl-PL"/>
        </w:rPr>
      </w:pPr>
      <w:r w:rsidRPr="00E00B35">
        <w:rPr>
          <w:rFonts w:cs="Helv"/>
          <w:color w:val="000000"/>
          <w:szCs w:val="20"/>
          <w:lang w:val="pl-PL"/>
        </w:rPr>
        <w:t>W wyniku wdrożenia wrocławskiego modelu pracy zdalnej powołano w placówkach oświatowych liderów zdalnego nauczania, którzy przeszkolili pozostałą kadrę nauczycielską. Osoby te mają kontynuować pracę z wdrożonymi narzedziam tak, aby przy wsparciu organu prowadzącego wykorzystać je również po pandemii.</w:t>
      </w:r>
    </w:p>
    <w:p w:rsidR="00544448" w:rsidRPr="00E00B35" w:rsidRDefault="00544448" w:rsidP="00E00B35">
      <w:pPr>
        <w:autoSpaceDE w:val="0"/>
        <w:autoSpaceDN w:val="0"/>
        <w:adjustRightInd w:val="0"/>
        <w:spacing w:after="0" w:line="312" w:lineRule="auto"/>
        <w:rPr>
          <w:rFonts w:cs="Helv"/>
          <w:color w:val="000000"/>
          <w:szCs w:val="20"/>
          <w:lang w:val="pl-PL"/>
        </w:rPr>
      </w:pPr>
    </w:p>
    <w:p w:rsidR="008C7751" w:rsidRPr="00E00B35" w:rsidRDefault="008C7751" w:rsidP="00E00B35">
      <w:pPr>
        <w:pStyle w:val="Nagwek4"/>
        <w:spacing w:before="0" w:after="0" w:line="312" w:lineRule="auto"/>
        <w:rPr>
          <w:sz w:val="20"/>
          <w:szCs w:val="20"/>
          <w:lang w:val="pl-PL"/>
        </w:rPr>
      </w:pPr>
      <w:bookmarkStart w:id="123" w:name="_Toc72411109"/>
      <w:r w:rsidRPr="00E00B35">
        <w:rPr>
          <w:sz w:val="20"/>
          <w:szCs w:val="20"/>
          <w:lang w:val="pl-PL"/>
        </w:rPr>
        <w:t>Przerwa wakacyjna</w:t>
      </w:r>
      <w:bookmarkEnd w:id="123"/>
    </w:p>
    <w:p w:rsidR="008C7751" w:rsidRPr="00E00B35" w:rsidRDefault="008C7751" w:rsidP="00E00B35">
      <w:pPr>
        <w:spacing w:after="0" w:line="312" w:lineRule="auto"/>
        <w:rPr>
          <w:color w:val="000000"/>
          <w:szCs w:val="20"/>
          <w:lang w:val="pl-PL"/>
        </w:rPr>
      </w:pPr>
      <w:r w:rsidRPr="00E00B35">
        <w:rPr>
          <w:color w:val="000000"/>
          <w:szCs w:val="20"/>
          <w:lang w:val="pl-PL"/>
        </w:rPr>
        <w:t xml:space="preserve">Mając na uwadze umożliwienie rodzicom powrotu do pracy w okresie wakacyjnym, skrócono okres przerwy w funkcjonowaniu przedszkoli do dwóch tygodni, począwszy od 22.06.2020 r. do końca sierpnia. Nowy harmonogram przerw wakacyjnych został opracowany z uwzględnieniem, w większości przypadków, poprzednio ustalonego z rodzicami terminu przerwy oraz możliwości zapewnienia miejsc dla dzieci w przedszkolach w poszczególnych rejonach Wrocławia. Wzięto również pod uwagę przedszkola, które będą miały przeprowadzane w tym czasie remonty. Powyższa propozycja została skonsultowana z dyrektorami przedszkoli, którzy mieli możliwość naniesienia korekt w ramach poszczególnych rejonów. </w:t>
      </w:r>
    </w:p>
    <w:p w:rsidR="008C7751" w:rsidRPr="00E00B35" w:rsidRDefault="008C7751" w:rsidP="00E00B35">
      <w:pPr>
        <w:spacing w:after="0" w:line="312" w:lineRule="auto"/>
        <w:rPr>
          <w:color w:val="000000"/>
          <w:szCs w:val="20"/>
          <w:lang w:val="pl-PL"/>
        </w:rPr>
      </w:pPr>
      <w:r w:rsidRPr="00E00B35">
        <w:rPr>
          <w:color w:val="000000"/>
          <w:szCs w:val="20"/>
          <w:lang w:val="pl-PL"/>
        </w:rPr>
        <w:t>W związku ze stanem epidemii przedszkola działały w ograniczonym zakresie i określonym przez GIS reżimie sanitarnym.</w:t>
      </w:r>
    </w:p>
    <w:p w:rsidR="008C7751" w:rsidRPr="00E00B35" w:rsidRDefault="008C7751" w:rsidP="00E00B35">
      <w:pPr>
        <w:spacing w:after="0" w:line="312" w:lineRule="auto"/>
        <w:rPr>
          <w:bCs/>
          <w:color w:val="000000"/>
          <w:szCs w:val="20"/>
          <w:lang w:val="pl-PL"/>
        </w:rPr>
      </w:pPr>
      <w:r w:rsidRPr="00E00B35">
        <w:rPr>
          <w:color w:val="000000"/>
          <w:szCs w:val="20"/>
          <w:lang w:val="pl-PL"/>
        </w:rPr>
        <w:t>Wypoczynek letni</w:t>
      </w:r>
      <w:r w:rsidRPr="00E00B35">
        <w:rPr>
          <w:b/>
          <w:color w:val="000000"/>
          <w:szCs w:val="20"/>
          <w:lang w:val="pl-PL"/>
        </w:rPr>
        <w:t xml:space="preserve"> </w:t>
      </w:r>
      <w:r w:rsidRPr="00E00B35">
        <w:rPr>
          <w:color w:val="000000"/>
          <w:szCs w:val="20"/>
          <w:lang w:val="pl-PL"/>
        </w:rPr>
        <w:t xml:space="preserve">2020 organizowano w formie półkolonii w terminie 29.06 – 31.08.2020 r. w 10 szkołach podstawowych, 4 MDK -ach i 1 placówce specjalnej. Powyższe zadanie zostało zrealizowane zgodnie z wytycznymi GIS, MZ i MEN dla organizatorów wypoczynku dzieci i młodzieży. </w:t>
      </w:r>
      <w:r w:rsidRPr="00E00B35">
        <w:rPr>
          <w:bCs/>
          <w:color w:val="000000"/>
          <w:szCs w:val="20"/>
          <w:lang w:val="pl-PL"/>
        </w:rPr>
        <w:t>Z wypoczynku letniego 2020 organizowanego przez szkoły i placówki oświatowe skorzystało 2 856 wrocławskich uczniów,</w:t>
      </w:r>
      <w:r w:rsidRPr="00E00B35">
        <w:rPr>
          <w:b/>
          <w:bCs/>
          <w:color w:val="000000"/>
          <w:szCs w:val="20"/>
          <w:lang w:val="pl-PL"/>
        </w:rPr>
        <w:t xml:space="preserve"> </w:t>
      </w:r>
      <w:r w:rsidRPr="00E00B35">
        <w:rPr>
          <w:bCs/>
          <w:color w:val="000000"/>
          <w:szCs w:val="20"/>
          <w:lang w:val="pl-PL"/>
        </w:rPr>
        <w:t xml:space="preserve">dla porównania w roku 2019 udział w wypoczynku letnim w formie półkolonii wzięło 13 638 wrocławskich uczniów (tak niska liczba uczniów biorących udział w wypoczynku letnim 2020 podyktowana była wytycznymi GIS, MZ, MEN dotyczącymi zmniejszenia liczby uczestników do 12 osób w grupie). </w:t>
      </w:r>
    </w:p>
    <w:p w:rsidR="00544448" w:rsidRPr="00E00B35" w:rsidRDefault="00544448" w:rsidP="00E00B35">
      <w:pPr>
        <w:spacing w:after="0" w:line="312" w:lineRule="auto"/>
        <w:rPr>
          <w:color w:val="000000"/>
          <w:szCs w:val="20"/>
          <w:lang w:val="pl-PL"/>
        </w:rPr>
      </w:pPr>
    </w:p>
    <w:p w:rsidR="008C7751" w:rsidRPr="00E00B35" w:rsidRDefault="008C7751" w:rsidP="00E00B35">
      <w:pPr>
        <w:pStyle w:val="Nagwek4"/>
        <w:spacing w:before="0" w:after="0" w:line="312" w:lineRule="auto"/>
        <w:rPr>
          <w:sz w:val="20"/>
          <w:szCs w:val="20"/>
          <w:lang w:val="pl-PL"/>
        </w:rPr>
      </w:pPr>
      <w:bookmarkStart w:id="124" w:name="_Toc72411110"/>
      <w:r w:rsidRPr="00E00B35">
        <w:rPr>
          <w:sz w:val="20"/>
          <w:szCs w:val="20"/>
          <w:lang w:val="pl-PL"/>
        </w:rPr>
        <w:t>Ankiety i monitorowanie zagrożenia epidemicznego</w:t>
      </w:r>
      <w:bookmarkEnd w:id="124"/>
    </w:p>
    <w:p w:rsidR="008C7751" w:rsidRPr="00E00B35" w:rsidRDefault="008C7751" w:rsidP="00E00B35">
      <w:pPr>
        <w:spacing w:after="0" w:line="312" w:lineRule="auto"/>
        <w:rPr>
          <w:color w:val="000000"/>
          <w:szCs w:val="20"/>
          <w:lang w:val="pl-PL"/>
        </w:rPr>
      </w:pPr>
      <w:r w:rsidRPr="00E00B35">
        <w:rPr>
          <w:color w:val="000000"/>
          <w:szCs w:val="20"/>
          <w:lang w:val="pl-PL"/>
        </w:rPr>
        <w:t>Od 13.03.2020 r. zbierano informację na podstawie ankiet z przedszkoli, szkół podstawowych, ponadpodstawowych, specjalnych i placówek w zakresie:</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lastRenderedPageBreak/>
        <w:t xml:space="preserve">zapotrzebowania na środki do dezynfekcji, </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zapotrzebowania na laptopy i komputery dla uczniów i nauczycieli, </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formy żywienia w szkołach i dofinansowania żywienia w przedszkolach, </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przeprowadzonej rekrutacji, </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frekwencji zdalnego nauczania,</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frekwencji w zakresie konsultacji bezpośredniej uczniów klas IV-VIII,</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frekwencji w zakresie liczby uczniów przystępujących do egzaminów,</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monitowano codziennie frekwencję dzieci w przedszkolach i oddziałach przedszkolnych w szkołach podstawowych oraz uczniów w szkołach podstawowych</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przygotowania szkoły do wznowienia działalności dydaktyczno – wychowawczej (opracowanie procedur bezpieczeństwa),</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liczby uczniów/nauczycieli/pracowników, u których zostało potwierdzone zakażenie COVID-19 lub przebywających na kwarantannie,</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liczby pracowników pedagogicznych prowadzących nauczanie na odległość.</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monitoringu frekwencji dzieci szkołach podstawowych specjalnych</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organizacji trybu nauki i pracy w szkół specjalnych zarządzonej przez dyrektora placówki.</w:t>
      </w:r>
    </w:p>
    <w:p w:rsidR="00494FD1" w:rsidRPr="00E00B35" w:rsidRDefault="00494FD1" w:rsidP="00E00B35">
      <w:pPr>
        <w:spacing w:after="0" w:line="312" w:lineRule="auto"/>
        <w:rPr>
          <w:color w:val="000000"/>
          <w:szCs w:val="20"/>
          <w:lang w:val="pl-PL"/>
        </w:rPr>
      </w:pPr>
    </w:p>
    <w:p w:rsidR="008C7751" w:rsidRPr="00E00B35" w:rsidRDefault="008C7751" w:rsidP="00E00B35">
      <w:pPr>
        <w:spacing w:after="0" w:line="312" w:lineRule="auto"/>
        <w:rPr>
          <w:color w:val="000000"/>
          <w:szCs w:val="20"/>
          <w:lang w:val="pl-PL"/>
        </w:rPr>
      </w:pPr>
      <w:r w:rsidRPr="00E00B35">
        <w:rPr>
          <w:color w:val="000000"/>
          <w:szCs w:val="20"/>
          <w:lang w:val="pl-PL"/>
        </w:rPr>
        <w:t>Utworzono i przesłano do placówek łącznie 113 ankiet.</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Dla dyrektorów przedszkoli i szkół została opracowana procedura postępowania w przypadku podejrzenia zakażenia dziecka/ucznia lub pracownika placówki oświatowej oraz checklista ułatwiająca weryfikację koniecznych do podjęcia czynności. Dyrektorzy przedszkoli i szkół podstawowych zostali zobowiązani do bieżącego i natychmiastowego informowania organu prowadzącego o wszelkich przypadkach i podejrzeniach zakażenia COVID-19. W okresie do czasu zamknięcia placówek oświatowych  (12.03.2020 r.) z powodu zagrożenia epidemicznego zgłoszono łącznie 9 przypadków podejrzenia zakażeniem lub kontaktu z osobą zakażoną w przedszkolach i 15 przypadków w szkołach podstawowych. </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Od czasu uruchomienia przedszkoli (11.05.2020) do zakończenia roku szkolnego 2019/2020 zgłoszono 6 incydentów, na skutek których podejmowano działania związane z zawieszeniem zajęć dydaktyczno-wychowawczych w 4 przedszkolach do czasu ogłoszenia wyników badań. </w:t>
      </w:r>
    </w:p>
    <w:p w:rsidR="008C7751" w:rsidRPr="00E00B35" w:rsidRDefault="008C7751" w:rsidP="00E00B35">
      <w:pPr>
        <w:spacing w:after="0" w:line="312" w:lineRule="auto"/>
        <w:rPr>
          <w:color w:val="000000"/>
          <w:szCs w:val="20"/>
          <w:lang w:val="pl-PL"/>
        </w:rPr>
      </w:pPr>
      <w:r w:rsidRPr="00E00B35">
        <w:rPr>
          <w:color w:val="000000"/>
          <w:szCs w:val="20"/>
          <w:lang w:val="pl-PL"/>
        </w:rPr>
        <w:t>Od rozpoczęcia roku szkolnego 2020/2021 do dnia 31.12.2020 r. zgłoszono 494 incydentów wystąpienia zakażenia COVID-19 wśród personelu, wychowanków i rodziców w przedszkolach, na skutek których podejmowano 159 razy działania związane z natychmiastowym zawieszeniem zajęć dydaktyczno-wychowawczych w oddziałach przedszkolnych lub w przedszkolach.</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Od czasu uruchomienia szkół podstawowych oraz zespołów szkolno-przedszkolnych (18.05) do zakończenia roku szkolnego 2019/2020 zgłoszono 6 incydentów, z czego 3 skutkowały czasowym zamknięciem szkoły/zespołu do momentu uzyskania wyników badań.  Od rozpoczęcia roku szkolnego 2020/2021 do dnia 31.12.2020 r. zgłoszono 580 incydentów wystąpienia zakażenia COVID-19 wśród personelu, wychowanków i rodziców w szkołach podstawowych i zespołach szkolno – przedszkolnych, na skutek których </w:t>
      </w:r>
      <w:r w:rsidRPr="00E00B35">
        <w:rPr>
          <w:color w:val="000000"/>
          <w:szCs w:val="20"/>
          <w:lang w:val="pl-PL"/>
        </w:rPr>
        <w:lastRenderedPageBreak/>
        <w:t>podejmowano 126 razy działania związane z natychmiastowym zawieszeniem zajęć dydaktyczno-wychowawczych w oddziałach szkół podstawowych i zespołów szkolno = przedszkolnych.</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Od rozpoczęcia roku szkolnego 2020/2021 do dnia 31.12.2020 r. zgłoszono 205 przypadków wystąpienia zakażenia COVID-19 wśród uczniów, nauczycieli i pracowników szkół ponadpodstawowych (w tym 112 u uczniów i 93 u nauczycieli/pracowników). </w:t>
      </w:r>
    </w:p>
    <w:p w:rsidR="008C7751" w:rsidRPr="00E00B35" w:rsidRDefault="008C7751" w:rsidP="00E00B35">
      <w:pPr>
        <w:spacing w:after="0" w:line="312" w:lineRule="auto"/>
        <w:rPr>
          <w:color w:val="000000"/>
          <w:szCs w:val="20"/>
          <w:lang w:val="pl-PL"/>
        </w:rPr>
      </w:pPr>
      <w:r w:rsidRPr="00E00B35">
        <w:rPr>
          <w:color w:val="000000"/>
          <w:szCs w:val="20"/>
          <w:lang w:val="pl-PL"/>
        </w:rPr>
        <w:t>W okresie od 1 września 2020 r. do 23 października 2020 r. PSSE wydał pozytywną opinię w sprawie czasowego zawieszenia zajęć edukacyjnych w 16 szkołach (dot. całej szkoły lub poszczególnych oddziałów).</w:t>
      </w:r>
    </w:p>
    <w:p w:rsidR="008C7751" w:rsidRPr="00E00B35" w:rsidRDefault="008C7751" w:rsidP="00E00B35">
      <w:pPr>
        <w:spacing w:after="0" w:line="312" w:lineRule="auto"/>
        <w:rPr>
          <w:rFonts w:cs="Arial"/>
          <w:color w:val="000000"/>
          <w:szCs w:val="20"/>
          <w:lang w:val="pl-PL"/>
        </w:rPr>
      </w:pPr>
      <w:r w:rsidRPr="00E00B35">
        <w:rPr>
          <w:rFonts w:cs="Arial"/>
          <w:color w:val="000000"/>
          <w:szCs w:val="20"/>
          <w:lang w:val="pl-PL"/>
        </w:rPr>
        <w:t xml:space="preserve">Od rozpoczęcia roku szkolnego 2020/2021 do dnia 31.12.2020r. zgłoszono </w:t>
      </w:r>
      <w:r w:rsidRPr="00E00B35">
        <w:rPr>
          <w:rFonts w:cs="Arial"/>
          <w:color w:val="000000"/>
          <w:szCs w:val="20"/>
          <w:lang w:val="pl-PL"/>
        </w:rPr>
        <w:br/>
        <w:t xml:space="preserve">47 incydentów wystąpienia zakażenia COVID-19 wśród personelu, wychowanków </w:t>
      </w:r>
      <w:r w:rsidRPr="00E00B35">
        <w:rPr>
          <w:rFonts w:cs="Arial"/>
          <w:color w:val="000000"/>
          <w:szCs w:val="20"/>
          <w:lang w:val="pl-PL"/>
        </w:rPr>
        <w:br/>
        <w:t>i rodziców szkołach specjalnych i placówkach (w tym WCDN), w tym 48 potwierdzonych zakażeń COVID-19 wśród nauczycieli i pracowników administracji i obsługi zatrudnionych w szkołach specjalnych i placówkach, a także zgłoszono fakt zakażenia COVID-19</w:t>
      </w:r>
      <w:r w:rsidRPr="00E00B35">
        <w:rPr>
          <w:rFonts w:cs="Arial"/>
          <w:color w:val="000000"/>
          <w:szCs w:val="20"/>
          <w:lang w:val="pl-PL"/>
        </w:rPr>
        <w:br/>
        <w:t xml:space="preserve">u 2 uczniów.  </w:t>
      </w:r>
    </w:p>
    <w:p w:rsidR="00544448" w:rsidRPr="00E00B35" w:rsidRDefault="00544448" w:rsidP="00E00B35">
      <w:pPr>
        <w:spacing w:after="0" w:line="312" w:lineRule="auto"/>
        <w:rPr>
          <w:rFonts w:cs="Arial"/>
          <w:color w:val="000000"/>
          <w:szCs w:val="20"/>
          <w:lang w:val="pl-PL"/>
        </w:rPr>
      </w:pPr>
    </w:p>
    <w:p w:rsidR="008C7751" w:rsidRPr="00E00B35" w:rsidRDefault="008C7751" w:rsidP="00E00B35">
      <w:pPr>
        <w:pStyle w:val="Nagwek4"/>
        <w:spacing w:before="0" w:after="0" w:line="312" w:lineRule="auto"/>
        <w:rPr>
          <w:sz w:val="20"/>
          <w:szCs w:val="20"/>
          <w:lang w:val="pl-PL"/>
        </w:rPr>
      </w:pPr>
      <w:bookmarkStart w:id="125" w:name="_Toc72411111"/>
      <w:r w:rsidRPr="00E00B35">
        <w:rPr>
          <w:sz w:val="20"/>
          <w:szCs w:val="20"/>
          <w:lang w:val="pl-PL"/>
        </w:rPr>
        <w:t>Egzaminy</w:t>
      </w:r>
      <w:bookmarkEnd w:id="125"/>
    </w:p>
    <w:p w:rsidR="008C7751" w:rsidRPr="00E00B35" w:rsidRDefault="008C7751" w:rsidP="00E00B35">
      <w:pPr>
        <w:spacing w:after="0" w:line="312" w:lineRule="auto"/>
        <w:rPr>
          <w:color w:val="000000"/>
          <w:szCs w:val="20"/>
          <w:lang w:val="pl-PL"/>
        </w:rPr>
      </w:pPr>
      <w:r w:rsidRPr="00E00B35">
        <w:rPr>
          <w:color w:val="000000"/>
          <w:szCs w:val="20"/>
          <w:lang w:val="pl-PL"/>
        </w:rPr>
        <w:t>We wszystkich szkołach podstawowych</w:t>
      </w:r>
      <w:r w:rsidRPr="00E00B35">
        <w:rPr>
          <w:b/>
          <w:color w:val="000000"/>
          <w:szCs w:val="20"/>
          <w:lang w:val="pl-PL"/>
        </w:rPr>
        <w:t xml:space="preserve"> </w:t>
      </w:r>
      <w:r w:rsidRPr="00E00B35">
        <w:rPr>
          <w:color w:val="000000"/>
          <w:szCs w:val="20"/>
          <w:lang w:val="pl-PL"/>
        </w:rPr>
        <w:t>egzamin ósmoklasisty w dniach 16-17.06.2020 r. odbył się bez zakłóceń. Na 4101 uczniów klas ósmych do egzaminu przystąpiło 98,7 % uczniów. 1,3 % nie wzięło udziału w egzaminie.</w:t>
      </w:r>
    </w:p>
    <w:p w:rsidR="008C7751" w:rsidRPr="00E00B35" w:rsidRDefault="008C7751" w:rsidP="00E00B35">
      <w:pPr>
        <w:spacing w:after="0" w:line="312" w:lineRule="auto"/>
        <w:rPr>
          <w:color w:val="000000"/>
          <w:szCs w:val="20"/>
          <w:lang w:val="pl-PL"/>
        </w:rPr>
      </w:pPr>
      <w:r w:rsidRPr="00E00B35">
        <w:rPr>
          <w:color w:val="000000"/>
          <w:szCs w:val="20"/>
          <w:lang w:val="pl-PL"/>
        </w:rPr>
        <w:t>Powody, z jakich uczniowie nie przystąpili do egzaminu to:</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zwolnienie uczniów z egzaminu (laureaci i finaliści konkursów, decyzje dyrektora OKE),</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sprawy zdrowotne,</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przyczyny losowe,</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nieklasyfikowanie uczniów,</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niespełnianie przez uczniów obowiązku szkolnego,</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inne np. oddelegowanie do szkoły przyszpitalnej, nieukończenie egzaminu przez uczennicę ze względu na zasłabnięcie.</w:t>
      </w:r>
    </w:p>
    <w:p w:rsidR="00494FD1" w:rsidRPr="00E00B35" w:rsidRDefault="00494FD1" w:rsidP="00E00B35">
      <w:pPr>
        <w:pStyle w:val="Akapitzlist"/>
        <w:spacing w:after="0" w:line="312" w:lineRule="auto"/>
        <w:ind w:left="357"/>
        <w:rPr>
          <w:color w:val="000000"/>
          <w:szCs w:val="20"/>
          <w:lang w:val="pl-PL"/>
        </w:rPr>
      </w:pPr>
    </w:p>
    <w:p w:rsidR="008C7751" w:rsidRPr="00E00B35" w:rsidRDefault="008C7751" w:rsidP="00E00B35">
      <w:pPr>
        <w:spacing w:after="0" w:line="312" w:lineRule="auto"/>
        <w:rPr>
          <w:color w:val="000000"/>
          <w:szCs w:val="20"/>
          <w:lang w:val="pl-PL"/>
        </w:rPr>
      </w:pPr>
      <w:r w:rsidRPr="00E00B35">
        <w:rPr>
          <w:color w:val="000000"/>
          <w:szCs w:val="20"/>
          <w:lang w:val="pl-PL"/>
        </w:rPr>
        <w:t xml:space="preserve">We wszystkich szkołach ponadpodstawowych </w:t>
      </w:r>
      <w:r w:rsidRPr="00E00B35">
        <w:rPr>
          <w:bCs/>
          <w:color w:val="000000"/>
          <w:szCs w:val="20"/>
          <w:lang w:val="pl-PL"/>
        </w:rPr>
        <w:t>egzaminy maturalne rozpoczęły się 8 czerwca 2020 r. Zgodnie z obowiązującymi regulacjami egzaminy maturalne w formie ustnej nie odbyły się.</w:t>
      </w:r>
      <w:r w:rsidRPr="00E00B35">
        <w:rPr>
          <w:color w:val="000000"/>
          <w:szCs w:val="20"/>
          <w:lang w:val="pl-PL"/>
        </w:rPr>
        <w:t xml:space="preserve"> </w:t>
      </w:r>
      <w:r w:rsidRPr="00E00B35">
        <w:rPr>
          <w:bCs/>
          <w:color w:val="000000"/>
          <w:szCs w:val="20"/>
          <w:lang w:val="pl-PL"/>
        </w:rPr>
        <w:t>Egzamin potwierdzający kwalifikacje w zawodzie  (Formuła 2012 i Formuła 2017)  trwał od 22 czerwca 2020 r. do 9 lipca 2020 r., a egzamin zawodowy (Formuła 2019)  od 17 do 28 sierpnia 2020 r.</w:t>
      </w:r>
      <w:r w:rsidRPr="00E00B35">
        <w:rPr>
          <w:color w:val="000000"/>
          <w:szCs w:val="20"/>
          <w:lang w:val="pl-PL"/>
        </w:rPr>
        <w:t xml:space="preserve"> </w:t>
      </w:r>
      <w:r w:rsidRPr="00E00B35">
        <w:rPr>
          <w:bCs/>
          <w:color w:val="000000"/>
          <w:szCs w:val="20"/>
          <w:lang w:val="pl-PL"/>
        </w:rPr>
        <w:t xml:space="preserve">Egzaminy odbyły się z zachowaniem reżimu sanitarnego, zgodnie z wytycznymi </w:t>
      </w:r>
      <w:r w:rsidRPr="00E00B35">
        <w:rPr>
          <w:color w:val="000000"/>
          <w:szCs w:val="20"/>
          <w:lang w:val="pl-PL"/>
        </w:rPr>
        <w:t>dotyczącymi organizowania i przeprowadzania egzaminów zewnętrznych.</w:t>
      </w:r>
    </w:p>
    <w:p w:rsidR="008C7751" w:rsidRPr="00E00B35" w:rsidRDefault="008C7751" w:rsidP="00E00B35">
      <w:pPr>
        <w:spacing w:after="0" w:line="312" w:lineRule="auto"/>
        <w:rPr>
          <w:rFonts w:cs="Verdana"/>
          <w:color w:val="000000"/>
          <w:szCs w:val="20"/>
          <w:lang w:val="pl-PL"/>
        </w:rPr>
      </w:pPr>
      <w:r w:rsidRPr="00E00B35">
        <w:rPr>
          <w:rFonts w:cs="Verdana"/>
          <w:bCs/>
          <w:color w:val="000000"/>
          <w:szCs w:val="20"/>
          <w:lang w:val="pl-PL"/>
        </w:rPr>
        <w:t xml:space="preserve">Egzamin ósmoklasisty odbywał się w dniach 16–18.06.2020r. (egzaminy pisemne) </w:t>
      </w:r>
      <w:r w:rsidRPr="00E00B35">
        <w:rPr>
          <w:rFonts w:cs="Verdana"/>
          <w:bCs/>
          <w:color w:val="000000"/>
          <w:szCs w:val="20"/>
          <w:lang w:val="pl-PL"/>
        </w:rPr>
        <w:br/>
        <w:t>w 6 szkołach podstawowych specjalnych (w tym w 2 szkołach przyszpitalnych). Przystąpiło do niego łącznie 104 zdających. Zasady przeprowadzania egzaminów zewnętrznych w</w:t>
      </w:r>
      <w:r w:rsidRPr="00E00B35">
        <w:rPr>
          <w:rFonts w:cs="Verdana"/>
          <w:color w:val="000000"/>
          <w:szCs w:val="20"/>
          <w:lang w:val="pl-PL"/>
        </w:rPr>
        <w:t xml:space="preserve"> 2020r. określił Minister Edukacji Narodowej. Główny Inspektor Sanitarny wraz z Centralną Komisją Egzaminacyjną oraz Ministerstwem Edukacji Narodowej opracowali wytyczne do przygotowania egzaminów zewnętrznych. Dyrektorzy szkół </w:t>
      </w:r>
      <w:r w:rsidRPr="00E00B35">
        <w:rPr>
          <w:rFonts w:cs="Verdana"/>
          <w:color w:val="000000"/>
          <w:szCs w:val="20"/>
          <w:lang w:val="pl-PL"/>
        </w:rPr>
        <w:lastRenderedPageBreak/>
        <w:t>przygotowali szczegółowe procedury postępowania przed, w trakcie i po zakończeniu egzaminów ósmoklasisty dla zdających, zespołów nadzorujących oraz pracowników szkół. Wszyscy dyrektorzy przekazali informacje o przygotowaniu szkół do rozpoczęcia egzaminu ósmoklasisty. Egzaminy odbyły się w reżimie sanitarnym i przebiegły zgodnie</w:t>
      </w:r>
      <w:r w:rsidRPr="00E00B35">
        <w:rPr>
          <w:rFonts w:cs="Verdana"/>
          <w:color w:val="000000"/>
          <w:szCs w:val="20"/>
          <w:lang w:val="pl-PL"/>
        </w:rPr>
        <w:br/>
        <w:t>z planem.</w:t>
      </w:r>
    </w:p>
    <w:p w:rsidR="00544448" w:rsidRPr="00E00B35" w:rsidRDefault="00544448" w:rsidP="00E00B35">
      <w:pPr>
        <w:spacing w:after="0" w:line="312" w:lineRule="auto"/>
        <w:rPr>
          <w:rFonts w:cs="Arial"/>
          <w:b/>
          <w:color w:val="000000"/>
          <w:szCs w:val="20"/>
          <w:lang w:val="pl-PL"/>
        </w:rPr>
      </w:pPr>
    </w:p>
    <w:p w:rsidR="008C7751" w:rsidRPr="00E00B35" w:rsidRDefault="008C7751" w:rsidP="00E00B35">
      <w:pPr>
        <w:pStyle w:val="Nagwek4"/>
        <w:spacing w:before="0" w:after="0" w:line="312" w:lineRule="auto"/>
        <w:rPr>
          <w:sz w:val="20"/>
          <w:szCs w:val="20"/>
          <w:lang w:val="pl-PL"/>
        </w:rPr>
      </w:pPr>
      <w:bookmarkStart w:id="126" w:name="_Toc72411112"/>
      <w:r w:rsidRPr="00E00B35">
        <w:rPr>
          <w:sz w:val="20"/>
          <w:szCs w:val="20"/>
          <w:lang w:val="pl-PL"/>
        </w:rPr>
        <w:t>Awans zawodowy</w:t>
      </w:r>
      <w:bookmarkEnd w:id="126"/>
    </w:p>
    <w:p w:rsidR="008C7751" w:rsidRPr="00E00B35" w:rsidRDefault="008C7751" w:rsidP="00E00B35">
      <w:pPr>
        <w:spacing w:after="0" w:line="312" w:lineRule="auto"/>
        <w:rPr>
          <w:rFonts w:cs="Helv"/>
          <w:color w:val="000000"/>
          <w:szCs w:val="20"/>
          <w:lang w:val="pl-PL"/>
        </w:rPr>
      </w:pPr>
      <w:r w:rsidRPr="00E00B35">
        <w:rPr>
          <w:rFonts w:cs="Helv"/>
          <w:color w:val="000000"/>
          <w:szCs w:val="20"/>
          <w:lang w:val="pl-PL"/>
        </w:rPr>
        <w:t xml:space="preserve">264 egzaminy na stopień awansu zawodowego nauczyciela mianowanego (w sesji letniej w lipcu oraz w sesji jesiennej w listopadzie) zostały przeprowadzone w reżimie sanitarnym, zgodnie z przygotowanymi przez Wydział Szkół Ponadpodstawowych </w:t>
      </w:r>
      <w:r w:rsidRPr="00E00B35">
        <w:rPr>
          <w:rFonts w:cs="Helv"/>
          <w:color w:val="000000"/>
          <w:szCs w:val="20"/>
          <w:lang w:val="pl-PL"/>
        </w:rPr>
        <w:br/>
        <w:t>i Specjalnych procedurami bezpieczeństwa.</w:t>
      </w:r>
    </w:p>
    <w:p w:rsidR="00544448" w:rsidRPr="00E00B35" w:rsidRDefault="00544448" w:rsidP="00E00B35">
      <w:pPr>
        <w:spacing w:after="0" w:line="312" w:lineRule="auto"/>
        <w:rPr>
          <w:rFonts w:cs="Helv"/>
          <w:color w:val="000000"/>
          <w:szCs w:val="20"/>
          <w:lang w:val="pl-PL"/>
        </w:rPr>
      </w:pPr>
    </w:p>
    <w:p w:rsidR="008C7751" w:rsidRPr="00E00B35" w:rsidRDefault="008C7751" w:rsidP="00E00B35">
      <w:pPr>
        <w:pStyle w:val="Nagwek4"/>
        <w:spacing w:before="0" w:after="0" w:line="312" w:lineRule="auto"/>
        <w:rPr>
          <w:sz w:val="20"/>
          <w:szCs w:val="20"/>
          <w:lang w:val="pl-PL"/>
        </w:rPr>
      </w:pPr>
      <w:bookmarkStart w:id="127" w:name="_Toc72411113"/>
      <w:r w:rsidRPr="00E00B35">
        <w:rPr>
          <w:sz w:val="20"/>
          <w:szCs w:val="20"/>
          <w:lang w:val="pl-PL"/>
        </w:rPr>
        <w:t>Projekty unijne</w:t>
      </w:r>
      <w:bookmarkEnd w:id="127"/>
      <w:r w:rsidRPr="00E00B35">
        <w:rPr>
          <w:sz w:val="20"/>
          <w:szCs w:val="20"/>
          <w:lang w:val="pl-PL"/>
        </w:rPr>
        <w:t xml:space="preserve"> </w:t>
      </w:r>
    </w:p>
    <w:p w:rsidR="008C7751" w:rsidRPr="00E00B35" w:rsidRDefault="008C7751" w:rsidP="00E00B35">
      <w:pPr>
        <w:spacing w:after="0" w:line="312" w:lineRule="auto"/>
        <w:rPr>
          <w:color w:val="000000"/>
          <w:szCs w:val="20"/>
          <w:lang w:val="pl-PL"/>
        </w:rPr>
      </w:pPr>
      <w:r w:rsidRPr="00E00B35">
        <w:rPr>
          <w:color w:val="000000"/>
          <w:szCs w:val="20"/>
          <w:lang w:val="pl-PL"/>
        </w:rPr>
        <w:t xml:space="preserve">Projekty Erasmus oraz projekty dofinansowane </w:t>
      </w:r>
      <w:r w:rsidRPr="00E00B35">
        <w:rPr>
          <w:rFonts w:cs="Verdana"/>
          <w:color w:val="000000"/>
          <w:szCs w:val="20"/>
          <w:lang w:val="pl-PL"/>
        </w:rPr>
        <w:t xml:space="preserve">w ramach Programu Operacyjnego Wiedza Edukacja Rozwój (POWER) </w:t>
      </w:r>
      <w:r w:rsidRPr="00E00B35">
        <w:rPr>
          <w:color w:val="000000"/>
          <w:szCs w:val="20"/>
          <w:lang w:val="pl-PL"/>
        </w:rPr>
        <w:t>zostały zawieszone do odwołania, część projektów realizowana była w formie online (np. Uniwersytet Młodego Przyrodnika, Manufaktura Fachowców, Dolnośląska Szkoła Ćwiczeń). Pandemia Covid-19 wpłynęła również na wydłużenie terminu realizacji projektów, np. Uniwersytet Młodego Przyrodnika, Manufaktura Fachowców, Uniwersytet Młodego Odkrywcy czy przełożenie realizacji projektu na rok 2021 (Train the skills!, Zintegrowani (w SOSW nr 11)).</w:t>
      </w:r>
    </w:p>
    <w:p w:rsidR="00544448" w:rsidRPr="00E00B35" w:rsidRDefault="00544448" w:rsidP="00E00B35">
      <w:pPr>
        <w:spacing w:after="0" w:line="312" w:lineRule="auto"/>
        <w:rPr>
          <w:color w:val="000000"/>
          <w:szCs w:val="20"/>
          <w:lang w:val="pl-PL"/>
        </w:rPr>
      </w:pPr>
    </w:p>
    <w:p w:rsidR="008C7751" w:rsidRPr="00E00B35" w:rsidRDefault="008C7751" w:rsidP="00E00B35">
      <w:pPr>
        <w:pStyle w:val="Nagwek4"/>
        <w:spacing w:before="0" w:after="0" w:line="312" w:lineRule="auto"/>
        <w:rPr>
          <w:sz w:val="20"/>
          <w:szCs w:val="20"/>
          <w:lang w:val="pl-PL"/>
        </w:rPr>
      </w:pPr>
      <w:bookmarkStart w:id="128" w:name="_Toc72411114"/>
      <w:r w:rsidRPr="00E00B35">
        <w:rPr>
          <w:sz w:val="20"/>
          <w:szCs w:val="20"/>
          <w:lang w:val="pl-PL"/>
        </w:rPr>
        <w:t>Projekty miejskie</w:t>
      </w:r>
      <w:bookmarkEnd w:id="128"/>
    </w:p>
    <w:p w:rsidR="008C7751" w:rsidRPr="00E00B35" w:rsidRDefault="008C7751" w:rsidP="00E00B35">
      <w:pPr>
        <w:spacing w:after="0" w:line="312" w:lineRule="auto"/>
        <w:rPr>
          <w:color w:val="000000"/>
          <w:szCs w:val="20"/>
          <w:lang w:val="pl-PL"/>
        </w:rPr>
      </w:pPr>
      <w:r w:rsidRPr="00E00B35">
        <w:rPr>
          <w:color w:val="000000"/>
          <w:szCs w:val="20"/>
          <w:lang w:val="pl-PL"/>
        </w:rPr>
        <w:t xml:space="preserve">Projekty: Edukacja w Miejscach Pamięci, Szkoła w Mieście (w tym W-F w Aquaparku), Miasto Pokoleń czy </w:t>
      </w:r>
      <w:r w:rsidRPr="00E00B35">
        <w:rPr>
          <w:rFonts w:cs="Verdana"/>
          <w:color w:val="000000"/>
          <w:szCs w:val="20"/>
          <w:lang w:val="pl-PL"/>
        </w:rPr>
        <w:t xml:space="preserve">realizacja zajęć z łyżwiarstwa we Wrocławskim Centrum Treningowym Spartan </w:t>
      </w:r>
      <w:r w:rsidRPr="00E00B35">
        <w:rPr>
          <w:color w:val="000000"/>
          <w:szCs w:val="20"/>
          <w:lang w:val="pl-PL"/>
        </w:rPr>
        <w:t>zostały zawieszone do odwołania.</w:t>
      </w:r>
    </w:p>
    <w:p w:rsidR="008C7751" w:rsidRPr="00E00B35" w:rsidRDefault="008C7751" w:rsidP="00E00B35">
      <w:pPr>
        <w:spacing w:after="0" w:line="312" w:lineRule="auto"/>
        <w:rPr>
          <w:color w:val="000000"/>
          <w:szCs w:val="20"/>
          <w:lang w:val="pl-PL"/>
        </w:rPr>
      </w:pPr>
      <w:r w:rsidRPr="00E00B35">
        <w:rPr>
          <w:color w:val="000000"/>
          <w:szCs w:val="20"/>
          <w:lang w:val="pl-PL"/>
        </w:rPr>
        <w:t>W związku z pandemią COVID – 19 w roku 2020 realizowano drugą edycję projektu „Zdalna Szkoła+” w ramach Ogólnopolskiej Sieci Edukacyjnej realizowanego w ramach Programu Operacyjnego Polska Cyfrowa na lata 2014-2020, Osi Priorytetowej nr I „Powszechny dostęp do szybkiego Internetu, działanie 1.1 „Wyeliminowanie terytorialnych różnic w możliwości dostępu do szerokopasmowego Internetu o wysokich przepustowościach”. W ramach realizacji projektu Gmina Wrocław zakupiła 64 laptopy z akcesoriami i oprogramowaniem, które zostały przekazane 5 szkołom (Elektroniczne Zakłady Naukowe, Zespół Szkół nr 3, Zespół Szkół nr 6, Zespół Szkół nr 16, Liceum Ogólnokształcące nr I).</w:t>
      </w:r>
    </w:p>
    <w:p w:rsidR="008C7751" w:rsidRPr="00E00B35" w:rsidRDefault="008C7751" w:rsidP="00E00B35">
      <w:pPr>
        <w:autoSpaceDE w:val="0"/>
        <w:autoSpaceDN w:val="0"/>
        <w:adjustRightInd w:val="0"/>
        <w:spacing w:after="0" w:line="312" w:lineRule="auto"/>
        <w:rPr>
          <w:rFonts w:cs="Verdana"/>
          <w:color w:val="000000"/>
          <w:szCs w:val="20"/>
          <w:lang w:val="pl-PL"/>
        </w:rPr>
      </w:pPr>
      <w:r w:rsidRPr="00E00B35">
        <w:rPr>
          <w:rFonts w:cs="Verdana"/>
          <w:color w:val="000000"/>
          <w:szCs w:val="20"/>
          <w:lang w:val="pl-PL"/>
        </w:rPr>
        <w:t xml:space="preserve">W ramach Wrocławskiej Koncepcji Edukacyjnej </w:t>
      </w:r>
      <w:r w:rsidRPr="00E00B35">
        <w:rPr>
          <w:color w:val="000000"/>
          <w:szCs w:val="20"/>
          <w:lang w:val="pl-PL"/>
        </w:rPr>
        <w:t xml:space="preserve">zaprojektowano i zrealizowano projekty online tj. „Zda(l)ne matury”, „Zda(l)ny egzamin ósmoklasisty”, „Zacznij poniedziałek z Akademią Talentu i Uzdolnień”. </w:t>
      </w:r>
    </w:p>
    <w:p w:rsidR="008C7751" w:rsidRPr="00E00B35" w:rsidRDefault="008C7751" w:rsidP="00E00B35">
      <w:pPr>
        <w:autoSpaceDE w:val="0"/>
        <w:autoSpaceDN w:val="0"/>
        <w:adjustRightInd w:val="0"/>
        <w:spacing w:after="0" w:line="312" w:lineRule="auto"/>
        <w:rPr>
          <w:rFonts w:cs="Verdana"/>
          <w:b/>
          <w:color w:val="000000"/>
          <w:szCs w:val="20"/>
          <w:lang w:val="pl-PL"/>
        </w:rPr>
      </w:pPr>
      <w:r w:rsidRPr="00E00B35">
        <w:rPr>
          <w:color w:val="000000"/>
          <w:szCs w:val="20"/>
          <w:lang w:val="pl-PL"/>
        </w:rPr>
        <w:t>Działania realizowane w ramach </w:t>
      </w:r>
      <w:r w:rsidRPr="00E00B35">
        <w:rPr>
          <w:bCs/>
          <w:color w:val="000000"/>
          <w:szCs w:val="20"/>
          <w:lang w:val="pl-PL"/>
        </w:rPr>
        <w:t>Ośrodka Wspierania i Rozwoju (OWiR)</w:t>
      </w:r>
      <w:r w:rsidRPr="00E00B35">
        <w:rPr>
          <w:b/>
          <w:bCs/>
          <w:color w:val="000000"/>
          <w:szCs w:val="20"/>
          <w:lang w:val="pl-PL"/>
        </w:rPr>
        <w:t xml:space="preserve"> </w:t>
      </w:r>
      <w:r w:rsidRPr="00E00B35">
        <w:rPr>
          <w:color w:val="000000"/>
          <w:szCs w:val="20"/>
          <w:lang w:val="pl-PL"/>
        </w:rPr>
        <w:t>w okresie stanu zagrożenia epidemiologicznego, a później pandemii zostały dostosowane do aktualnych potrzeb. Zespół OWiR zajął się obszarami na rzecz wsparcia nauczycieli, studentów, psychologów i pedagogów realizując w I półroczu cykl szkoleń i warsztatów pn. </w:t>
      </w:r>
      <w:r w:rsidRPr="00E00B35">
        <w:rPr>
          <w:bCs/>
          <w:color w:val="000000"/>
          <w:szCs w:val="20"/>
          <w:lang w:val="pl-PL"/>
        </w:rPr>
        <w:t>Wsparcie psychologiczne w czasach pandemii</w:t>
      </w:r>
      <w:r w:rsidRPr="00E00B35">
        <w:rPr>
          <w:b/>
          <w:bCs/>
          <w:color w:val="000000"/>
          <w:szCs w:val="20"/>
          <w:lang w:val="pl-PL"/>
        </w:rPr>
        <w:t> </w:t>
      </w:r>
      <w:r w:rsidRPr="00E00B35">
        <w:rPr>
          <w:color w:val="000000"/>
          <w:szCs w:val="20"/>
          <w:lang w:val="pl-PL"/>
        </w:rPr>
        <w:t xml:space="preserve">. W II półroczu kontynuowano działania wspierające rodziny i dorosłych skierowane na „Edukację i rozwój w dobie ograniczeń społecznych. </w:t>
      </w:r>
      <w:r w:rsidRPr="00E00B35">
        <w:rPr>
          <w:color w:val="000000"/>
          <w:szCs w:val="20"/>
          <w:lang w:val="pl-PL"/>
        </w:rPr>
        <w:lastRenderedPageBreak/>
        <w:t xml:space="preserve">Integracja wiedzy i emocji - drogą powrotu do społecznych aktywności. Dbałość o rozwój emocjonalny dzieci, młodzieży i rodziców”. Szkolenia i warsztaty zostały przeprowadzone hybrydowo. </w:t>
      </w:r>
    </w:p>
    <w:p w:rsidR="008C7751" w:rsidRPr="00E00B35" w:rsidRDefault="008C7751" w:rsidP="00E00B35">
      <w:pPr>
        <w:autoSpaceDE w:val="0"/>
        <w:autoSpaceDN w:val="0"/>
        <w:adjustRightInd w:val="0"/>
        <w:spacing w:after="0" w:line="312" w:lineRule="auto"/>
        <w:rPr>
          <w:rFonts w:cs="Verdana"/>
          <w:color w:val="000000"/>
          <w:szCs w:val="20"/>
          <w:lang w:val="pl-PL"/>
        </w:rPr>
      </w:pPr>
      <w:r w:rsidRPr="00E00B35">
        <w:rPr>
          <w:color w:val="000000"/>
          <w:szCs w:val="20"/>
          <w:lang w:val="pl-PL"/>
        </w:rPr>
        <w:t>Cykl warsztatów pn. Bliżej siebie &amp; forest trening (styczeń-grudzień 2020).</w:t>
      </w:r>
      <w:r w:rsidRPr="00E00B35">
        <w:rPr>
          <w:rFonts w:cs="Verdana"/>
          <w:b/>
          <w:color w:val="000000"/>
          <w:szCs w:val="20"/>
          <w:lang w:val="pl-PL"/>
        </w:rPr>
        <w:t xml:space="preserve"> </w:t>
      </w:r>
      <w:r w:rsidRPr="00E00B35">
        <w:rPr>
          <w:rFonts w:cs="Verdana"/>
          <w:color w:val="000000"/>
          <w:szCs w:val="20"/>
          <w:lang w:val="pl-PL"/>
        </w:rPr>
        <w:t>Zadanie</w:t>
      </w:r>
      <w:r w:rsidRPr="00E00B35">
        <w:rPr>
          <w:bCs/>
          <w:color w:val="000000"/>
          <w:szCs w:val="20"/>
          <w:lang w:val="pl-PL"/>
        </w:rPr>
        <w:t xml:space="preserve"> objęło około 900 uczestników, odbyły się 34 szkolenia, w tym 12 stacjonarnie dla dzieci z rodzicami, młodzieży i osób dorosłych.</w:t>
      </w:r>
    </w:p>
    <w:p w:rsidR="008C7751" w:rsidRPr="00E00B35" w:rsidRDefault="008C7751" w:rsidP="00E00B35">
      <w:pPr>
        <w:spacing w:after="0" w:line="312" w:lineRule="auto"/>
        <w:rPr>
          <w:color w:val="000000"/>
          <w:szCs w:val="20"/>
          <w:lang w:val="pl-PL"/>
        </w:rPr>
      </w:pPr>
      <w:r w:rsidRPr="00E00B35">
        <w:rPr>
          <w:color w:val="000000"/>
          <w:szCs w:val="20"/>
          <w:lang w:val="pl-PL"/>
        </w:rPr>
        <w:t>Zealizowano projekt pn. „NIEMAPA kontra zarazki” to plan codziennych zajęć podzielonych na dwanaście stacji - pomysłowych wskazówek, jak „mieć oko” na bakterie. Gra przeznaczona jest dla sześciolatków i uczniów klas 1-3.</w:t>
      </w:r>
    </w:p>
    <w:p w:rsidR="00544448" w:rsidRPr="00E00B35" w:rsidRDefault="00544448" w:rsidP="00E00B35">
      <w:pPr>
        <w:spacing w:after="0" w:line="312" w:lineRule="auto"/>
        <w:rPr>
          <w:color w:val="000000"/>
          <w:szCs w:val="20"/>
          <w:lang w:val="pl-PL"/>
        </w:rPr>
      </w:pPr>
    </w:p>
    <w:p w:rsidR="008C7751" w:rsidRPr="00E00B35" w:rsidRDefault="008C7751" w:rsidP="00E00B35">
      <w:pPr>
        <w:pStyle w:val="Nagwek4"/>
        <w:spacing w:before="0" w:after="0" w:line="312" w:lineRule="auto"/>
        <w:rPr>
          <w:sz w:val="20"/>
          <w:szCs w:val="20"/>
          <w:lang w:val="pl-PL"/>
        </w:rPr>
      </w:pPr>
      <w:bookmarkStart w:id="129" w:name="_Toc72411115"/>
      <w:r w:rsidRPr="00E00B35">
        <w:rPr>
          <w:sz w:val="20"/>
          <w:szCs w:val="20"/>
          <w:lang w:val="pl-PL"/>
        </w:rPr>
        <w:t>Monitorowanie zużycia mediów i prace remontowe w szkołach</w:t>
      </w:r>
      <w:bookmarkEnd w:id="129"/>
    </w:p>
    <w:p w:rsidR="008C7751" w:rsidRPr="00E00B35" w:rsidRDefault="008C7751" w:rsidP="00E00B35">
      <w:pPr>
        <w:autoSpaceDE w:val="0"/>
        <w:autoSpaceDN w:val="0"/>
        <w:adjustRightInd w:val="0"/>
        <w:spacing w:after="0" w:line="312" w:lineRule="auto"/>
        <w:ind w:left="15"/>
        <w:rPr>
          <w:rFonts w:cs="Verdana"/>
          <w:color w:val="000000"/>
          <w:szCs w:val="20"/>
          <w:lang w:val="pl-PL"/>
        </w:rPr>
      </w:pPr>
      <w:r w:rsidRPr="00E00B35">
        <w:rPr>
          <w:rFonts w:cs="Verdana"/>
          <w:color w:val="000000"/>
          <w:szCs w:val="20"/>
          <w:lang w:val="pl-PL"/>
        </w:rPr>
        <w:t>W związku z ogłoszonym stanem epidemii i zawieszeniem zajęć dydaktycznych, dyrektorzy placówek oświatowych zostali zobowiązani do: sprawdzenia i wyregulowania instalacji centralnego ogrzewania, włączenia parametrów dyżurnych instalacji c.o. w nieużytkowanych pomieszczeniach, celem obniżenia kosztów eksploatacji i uzyskania oszczędności w zarządzaniu energią cieplną, oszczędzania energii elektrycznej oraz wody. Zaoszczędzone środki zostały przeznaczone na zadania remontowo-inwestycyjne w placówkach oświatowych, których realizacja prowadzona była w miesiącach listopad/grudzień.</w:t>
      </w:r>
    </w:p>
    <w:p w:rsidR="008C7751" w:rsidRPr="00E00B35" w:rsidRDefault="008C7751" w:rsidP="00E00B35">
      <w:pPr>
        <w:autoSpaceDE w:val="0"/>
        <w:autoSpaceDN w:val="0"/>
        <w:adjustRightInd w:val="0"/>
        <w:spacing w:after="0" w:line="312" w:lineRule="auto"/>
        <w:ind w:left="15"/>
        <w:rPr>
          <w:rFonts w:cs="Verdana"/>
          <w:color w:val="000000"/>
          <w:szCs w:val="20"/>
          <w:lang w:val="pl-PL"/>
        </w:rPr>
      </w:pPr>
      <w:r w:rsidRPr="00E00B35">
        <w:rPr>
          <w:rFonts w:cs="Verdana"/>
          <w:color w:val="000000"/>
          <w:szCs w:val="20"/>
          <w:lang w:val="pl-PL"/>
        </w:rPr>
        <w:t>Czas, kiedy z powodu pandemii koronawirusa, zamknięte zostały placówki oświatowe, został wykorzystany na szybsze rozpoczęcie prac remontowych i porządkowych. Konieczne drobne naprawy i remonty można było wykonać na bieżąco, bez obaw o bezpieczeństwo dzieci i młodzieży. Środki te wykorzystane zostały na malowanie sal oraz korytarzy, wymianę stolarki okiennej, cyklinowanie podłóg, wymianę podłóg, remont sanitariatów, wymianę oświetlenia, remont dachów itp. Prowadzone były również modernizacje i rozbudowy placówek.</w:t>
      </w:r>
    </w:p>
    <w:p w:rsidR="008C7751" w:rsidRPr="00E00B35" w:rsidRDefault="008C7751" w:rsidP="00E00B35">
      <w:pPr>
        <w:autoSpaceDE w:val="0"/>
        <w:autoSpaceDN w:val="0"/>
        <w:adjustRightInd w:val="0"/>
        <w:spacing w:after="0" w:line="312" w:lineRule="auto"/>
        <w:ind w:left="15"/>
        <w:rPr>
          <w:rFonts w:cs="Verdana"/>
          <w:color w:val="000000"/>
          <w:szCs w:val="20"/>
          <w:lang w:val="pl-PL"/>
        </w:rPr>
      </w:pPr>
      <w:r w:rsidRPr="00E00B35">
        <w:rPr>
          <w:rFonts w:cs="Verdana"/>
          <w:color w:val="000000"/>
          <w:szCs w:val="20"/>
          <w:lang w:val="pl-PL"/>
        </w:rPr>
        <w:t>Od 18.05.2020 r. przywrócono możliwość udostępniania zewnętrznych i zamkniętych obiektów sportowych - Rozporządzenie Rady Ministrów z dnia 16 maja 2020r. w sprawie ustanowienia określonych ograniczeń, nakazów i zakazów w związku z wystąpieniem stanu epidemii ( Dz. U. poz. 878). Do dyrektorów palcówek oświatowych została wysłana przez Wydział Szkół Ponadpodstawowych i Specjalnych procedura organizacji zajęć sportowych na otwartych i zamkniętych szkolnych obiektach sportowych.</w:t>
      </w:r>
    </w:p>
    <w:p w:rsidR="008C7751" w:rsidRPr="00E00B35" w:rsidRDefault="008C7751" w:rsidP="00E00B35">
      <w:pPr>
        <w:autoSpaceDE w:val="0"/>
        <w:autoSpaceDN w:val="0"/>
        <w:adjustRightInd w:val="0"/>
        <w:spacing w:after="0" w:line="312" w:lineRule="auto"/>
        <w:ind w:left="15"/>
        <w:rPr>
          <w:rFonts w:cs="Verdana"/>
          <w:color w:val="000000"/>
          <w:szCs w:val="20"/>
          <w:lang w:val="pl-PL"/>
        </w:rPr>
      </w:pPr>
      <w:r w:rsidRPr="00E00B35">
        <w:rPr>
          <w:rFonts w:cs="Verdana"/>
          <w:color w:val="000000"/>
          <w:szCs w:val="20"/>
          <w:lang w:val="pl-PL"/>
        </w:rPr>
        <w:t>Wrocławski Pakiet Pomocowy – zarządzenie nr 2820/20 Prezydenta Wrocławia z dnia 27 marca 2020 r. Od maja 2020 r. przez okres 5 tygodni zbierane były dane z wrocławskich placówek oświatowych dotyczące ilości przedsiębiorców, którzy prowadzą swoją działalność gospodarczą w placówkach i którym została udzielona pomoc przewidziana w ramach Wrocławskiego Pakietu Pomocowego. Dane te były systematycznie, każdego tygodnia, przekazywane do Centrum Wsparcia Przedsiębiorców UMW. Dyrektorzy placówek oświatowych zostali również poinformowani o zarządzeniu nr 2870/20 Prezydenta Wrocławia z dnia 16 kwietnia 2020 r. w sprawie uruchomienia „Wrocławskiego Pakietu Pomocowego dla NGO”.</w:t>
      </w:r>
    </w:p>
    <w:p w:rsidR="008C7751" w:rsidRPr="00E00B35" w:rsidRDefault="008C7751" w:rsidP="00E00B35">
      <w:pPr>
        <w:autoSpaceDE w:val="0"/>
        <w:autoSpaceDN w:val="0"/>
        <w:adjustRightInd w:val="0"/>
        <w:spacing w:after="0" w:line="312" w:lineRule="auto"/>
        <w:ind w:left="15"/>
        <w:rPr>
          <w:rFonts w:cs="Verdana"/>
          <w:b/>
          <w:color w:val="000000"/>
          <w:szCs w:val="20"/>
          <w:lang w:val="pl-PL"/>
        </w:rPr>
      </w:pPr>
      <w:r w:rsidRPr="00E00B35">
        <w:rPr>
          <w:rFonts w:cs="Verdana"/>
          <w:color w:val="000000"/>
          <w:szCs w:val="20"/>
          <w:lang w:val="pl-PL"/>
        </w:rPr>
        <w:t>Krajowy Program Odbudowy.</w:t>
      </w:r>
      <w:r w:rsidRPr="00E00B35">
        <w:rPr>
          <w:rFonts w:cs="Verdana"/>
          <w:b/>
          <w:color w:val="000000"/>
          <w:szCs w:val="20"/>
          <w:lang w:val="pl-PL"/>
        </w:rPr>
        <w:t xml:space="preserve"> </w:t>
      </w:r>
      <w:r w:rsidRPr="00E00B35">
        <w:rPr>
          <w:rFonts w:cs="Verdana"/>
          <w:color w:val="000000"/>
          <w:szCs w:val="20"/>
          <w:lang w:val="pl-PL"/>
        </w:rPr>
        <w:t xml:space="preserve">Do projektu zostały zgłoszone 3 inwestycje oświatowe: budowa zespołu szkolno-przedszkolnego wraz z zagospodarowaniem terenu przy ul. </w:t>
      </w:r>
      <w:r w:rsidRPr="00E00B35">
        <w:rPr>
          <w:rFonts w:cs="Verdana"/>
          <w:color w:val="000000"/>
          <w:szCs w:val="20"/>
          <w:lang w:val="pl-PL"/>
        </w:rPr>
        <w:lastRenderedPageBreak/>
        <w:t>Cynamonowej, budowa zespołu szkolno-przedszkolnego wraz z zagospodarowaniem terenu przy ul. Asfaltowej, budowa przedszkola wraz z infrastrukturą towarzyszącą i zagospodarowaniem terenu przy ul. Dębickiej.</w:t>
      </w:r>
    </w:p>
    <w:p w:rsidR="008C7751" w:rsidRPr="00E00B35" w:rsidRDefault="008C7751" w:rsidP="00E00B35">
      <w:pPr>
        <w:autoSpaceDE w:val="0"/>
        <w:autoSpaceDN w:val="0"/>
        <w:adjustRightInd w:val="0"/>
        <w:spacing w:after="0" w:line="312" w:lineRule="auto"/>
        <w:rPr>
          <w:rFonts w:cs="Verdana"/>
          <w:b/>
          <w:color w:val="000000"/>
          <w:szCs w:val="20"/>
          <w:lang w:val="pl-PL"/>
        </w:rPr>
      </w:pPr>
      <w:r w:rsidRPr="00E00B35">
        <w:rPr>
          <w:rFonts w:cs="Verdana"/>
          <w:b/>
          <w:color w:val="000000"/>
          <w:szCs w:val="20"/>
          <w:lang w:val="pl-PL"/>
        </w:rPr>
        <w:t>Sprawozdanie z działalności Departamentu Edukacji 2020 podpisali:</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Jarosław Delewski – Dyrektor Departamentu Edukacji</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Paweł Kaleta – Dyrektor Wydziału Finansów Oświatowych</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Ewa Monastyrska – Dyrektor Wydziału Szkół Podstawowych i Przedszkoli</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Marcin Miedziński – Wicedyrektor Wydziału Szkół Podstawowych i Przedszkoli</w:t>
      </w:r>
    </w:p>
    <w:p w:rsidR="008C7751" w:rsidRPr="00E00B35" w:rsidRDefault="008C7751"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Ewa Szczęch – Dyrektor Wydziału Szkół Ponadpodstawowych i Specjalnych</w:t>
      </w:r>
    </w:p>
    <w:p w:rsidR="008C7751" w:rsidRPr="00E00B35" w:rsidRDefault="008C7751" w:rsidP="00E00B35">
      <w:pPr>
        <w:pStyle w:val="Akapitzlist"/>
        <w:numPr>
          <w:ilvl w:val="0"/>
          <w:numId w:val="9"/>
        </w:numPr>
        <w:spacing w:after="0" w:line="312" w:lineRule="auto"/>
        <w:ind w:left="357" w:hanging="357"/>
        <w:rPr>
          <w:rFonts w:cs="Verdana"/>
          <w:color w:val="000000"/>
          <w:szCs w:val="20"/>
          <w:lang w:val="pl-PL"/>
        </w:rPr>
      </w:pPr>
      <w:r w:rsidRPr="00E00B35">
        <w:rPr>
          <w:rFonts w:cs="Verdana"/>
          <w:color w:val="000000"/>
          <w:szCs w:val="20"/>
          <w:lang w:val="pl-PL"/>
        </w:rPr>
        <w:t>Łukasz Wójcik – Wicedyrektor Wydziału Szkół Ponadpodstawowych i Specjalnych</w:t>
      </w:r>
      <w:r w:rsidR="00A821A9" w:rsidRPr="00E00B35">
        <w:rPr>
          <w:rFonts w:cs="Verdana"/>
          <w:color w:val="000000"/>
          <w:szCs w:val="20"/>
          <w:lang w:val="pl-PL"/>
        </w:rPr>
        <w:t>.</w:t>
      </w:r>
    </w:p>
    <w:p w:rsidR="00CA14AB" w:rsidRPr="00E00B35" w:rsidRDefault="00CA14AB" w:rsidP="00E00B35">
      <w:pPr>
        <w:spacing w:after="0" w:line="312" w:lineRule="auto"/>
        <w:rPr>
          <w:szCs w:val="20"/>
        </w:rPr>
      </w:pPr>
      <w:bookmarkStart w:id="130" w:name="_Toc72357843"/>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544448" w:rsidRPr="00E00B35" w:rsidRDefault="00544448" w:rsidP="00E00B35">
      <w:pPr>
        <w:spacing w:after="0" w:line="312" w:lineRule="auto"/>
        <w:rPr>
          <w:szCs w:val="20"/>
        </w:rPr>
      </w:pPr>
    </w:p>
    <w:p w:rsidR="00544448" w:rsidRPr="00E00B35" w:rsidRDefault="00544448" w:rsidP="00E00B35">
      <w:pPr>
        <w:spacing w:after="0" w:line="312" w:lineRule="auto"/>
        <w:rPr>
          <w:szCs w:val="20"/>
        </w:rPr>
      </w:pPr>
    </w:p>
    <w:p w:rsidR="00544448" w:rsidRPr="00E00B35" w:rsidRDefault="00544448" w:rsidP="00E00B35">
      <w:pPr>
        <w:spacing w:after="0" w:line="312" w:lineRule="auto"/>
        <w:rPr>
          <w:szCs w:val="20"/>
        </w:rPr>
      </w:pPr>
    </w:p>
    <w:p w:rsidR="00544448" w:rsidRPr="00E00B35" w:rsidRDefault="00544448" w:rsidP="00E00B35">
      <w:pPr>
        <w:spacing w:after="0" w:line="312" w:lineRule="auto"/>
        <w:rPr>
          <w:szCs w:val="20"/>
        </w:rPr>
      </w:pPr>
    </w:p>
    <w:p w:rsidR="00544448" w:rsidRPr="00E00B35" w:rsidRDefault="00544448" w:rsidP="00E00B35">
      <w:pPr>
        <w:spacing w:after="0" w:line="312" w:lineRule="auto"/>
        <w:rPr>
          <w:szCs w:val="20"/>
        </w:rPr>
      </w:pPr>
    </w:p>
    <w:p w:rsidR="00544448" w:rsidRPr="00E00B35" w:rsidRDefault="00544448" w:rsidP="00E00B35">
      <w:pPr>
        <w:spacing w:after="0" w:line="312" w:lineRule="auto"/>
        <w:rPr>
          <w:szCs w:val="20"/>
        </w:rPr>
      </w:pPr>
    </w:p>
    <w:p w:rsidR="00544448" w:rsidRPr="00E00B35" w:rsidRDefault="00544448" w:rsidP="00E00B35">
      <w:pPr>
        <w:spacing w:after="0" w:line="312" w:lineRule="auto"/>
        <w:rPr>
          <w:szCs w:val="20"/>
        </w:rPr>
      </w:pPr>
    </w:p>
    <w:p w:rsidR="00544448" w:rsidRPr="00E00B35" w:rsidRDefault="00544448"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A821A9" w:rsidRPr="00E04D72" w:rsidRDefault="00A821A9" w:rsidP="00E04D72">
      <w:pPr>
        <w:pStyle w:val="Nagwek20"/>
      </w:pPr>
      <w:bookmarkStart w:id="131" w:name="_Toc78189482"/>
      <w:r w:rsidRPr="00E04D72">
        <w:t>DEPARTAMENT SPRAW SPOŁECZNYCH</w:t>
      </w:r>
      <w:bookmarkEnd w:id="131"/>
    </w:p>
    <w:p w:rsidR="00A821A9" w:rsidRPr="00E00B35" w:rsidRDefault="00A821A9" w:rsidP="00E00B35">
      <w:pPr>
        <w:spacing w:after="0" w:line="312" w:lineRule="auto"/>
        <w:rPr>
          <w:szCs w:val="20"/>
        </w:rPr>
      </w:pPr>
    </w:p>
    <w:p w:rsidR="00A821A9" w:rsidRPr="00E00B35" w:rsidRDefault="00A821A9" w:rsidP="00E00B35">
      <w:pPr>
        <w:spacing w:after="0" w:line="312" w:lineRule="auto"/>
        <w:rPr>
          <w:szCs w:val="20"/>
        </w:rPr>
      </w:pPr>
    </w:p>
    <w:p w:rsidR="00CA14AB" w:rsidRPr="00E00B35" w:rsidRDefault="00CA14AB" w:rsidP="00E00B35">
      <w:pPr>
        <w:pStyle w:val="Nagwek3"/>
        <w:spacing w:after="0" w:line="312" w:lineRule="auto"/>
        <w:rPr>
          <w:sz w:val="20"/>
        </w:rPr>
      </w:pPr>
      <w:bookmarkStart w:id="132" w:name="_Toc72352318"/>
      <w:bookmarkStart w:id="133" w:name="_Toc72352752"/>
      <w:bookmarkStart w:id="134" w:name="_Toc72357844"/>
      <w:bookmarkStart w:id="135" w:name="_Toc72357998"/>
      <w:bookmarkEnd w:id="130"/>
      <w:r w:rsidRPr="00E00B35">
        <w:rPr>
          <w:sz w:val="20"/>
        </w:rPr>
        <w:t>KULTURA</w:t>
      </w:r>
      <w:bookmarkEnd w:id="132"/>
      <w:bookmarkEnd w:id="133"/>
      <w:bookmarkEnd w:id="134"/>
      <w:bookmarkEnd w:id="135"/>
    </w:p>
    <w:p w:rsidR="00CA14AB" w:rsidRPr="00E00B35" w:rsidRDefault="00CA14AB" w:rsidP="00E00B35">
      <w:pPr>
        <w:spacing w:after="0" w:line="312" w:lineRule="auto"/>
        <w:rPr>
          <w:szCs w:val="20"/>
        </w:rPr>
      </w:pPr>
      <w:r w:rsidRPr="00E00B35">
        <w:rPr>
          <w:szCs w:val="20"/>
        </w:rPr>
        <w:t>Działając zgodnie z „Celami Zrównoważonego Rozwoju” ONZ nadrzędnym celem jest m.in. „Uczynić miasta i osiedla ludzkie bezpiecznymi, stabilnymi, zrównoważonymi</w:t>
      </w:r>
      <w:r w:rsidRPr="00E00B35">
        <w:rPr>
          <w:szCs w:val="20"/>
        </w:rPr>
        <w:br/>
        <w:t xml:space="preserve">oraz sprzyjającymi włączeniu społecznemu” (cel 11), gdzie kultura jest kluczowym zasobem tworzącym więzi społeczne, wspierającym integrację i osobisty rozwój. Pomimo faktu, że rok 2020 był bardzo wymagający z uwagi na doświadczenie epidemii Sars-CoV-2 i obostrzeń na niespotykaną dotąd skalę, udało się zrealizować wszystkie cele polityki kulturalnej zapisane w dokumencie programowym  </w:t>
      </w:r>
      <w:r w:rsidRPr="00E00B35">
        <w:rPr>
          <w:rFonts w:eastAsia="Jannon10Pro-Bold"/>
          <w:szCs w:val="20"/>
        </w:rPr>
        <w:t>„Kultura – Obecna!”, jak m.in.  podtrzymanie prestiżu wrocławskiej kultury</w:t>
      </w:r>
      <w:r w:rsidRPr="00E00B35">
        <w:rPr>
          <w:szCs w:val="20"/>
        </w:rPr>
        <w:t>, z</w:t>
      </w:r>
      <w:r w:rsidRPr="00E00B35">
        <w:rPr>
          <w:rFonts w:eastAsia="Jannon10Pro-Bold"/>
          <w:szCs w:val="20"/>
        </w:rPr>
        <w:t>apewnienie warunków rozwoju pola kultury</w:t>
      </w:r>
      <w:r w:rsidRPr="00E00B35">
        <w:rPr>
          <w:szCs w:val="20"/>
        </w:rPr>
        <w:t>, z</w:t>
      </w:r>
      <w:r w:rsidRPr="00E00B35">
        <w:rPr>
          <w:rFonts w:eastAsia="Jannon10Pro-Bold"/>
          <w:szCs w:val="20"/>
        </w:rPr>
        <w:t xml:space="preserve">apewnienie wzrostu uczestnictwa w sferze wrocławskiej kultury. Ten ostatni element wypełniony był głównie z uwagi na realizację bardzo dużej ilości transmisji i re-transmisji z wydarzeń kulturalnych, zarówno w przypadku instytucji kultury, jak i organizacji pozarządowych. </w:t>
      </w:r>
    </w:p>
    <w:p w:rsidR="00CA14AB" w:rsidRPr="00E00B35" w:rsidRDefault="00CA14AB" w:rsidP="00E00B35">
      <w:pPr>
        <w:spacing w:after="0" w:line="312" w:lineRule="auto"/>
        <w:rPr>
          <w:rFonts w:eastAsia="Arial Unicode MS"/>
          <w:szCs w:val="20"/>
        </w:rPr>
      </w:pPr>
      <w:r w:rsidRPr="00E00B35">
        <w:rPr>
          <w:rFonts w:eastAsia="Arial Unicode MS"/>
          <w:szCs w:val="20"/>
        </w:rPr>
        <w:t xml:space="preserve">W kwietniu 2020 r. wprowadzony został Wrocławski Program Interwencji Społecznej (w skrócie #PakietSpołeczny), który w m.in. zakresie kultury zawierał wspierające rozwiązania, szczególnie dedykowanych artystom. </w:t>
      </w:r>
      <w:r w:rsidRPr="00E00B35">
        <w:rPr>
          <w:szCs w:val="20"/>
        </w:rPr>
        <w:t>Wszyscy twórcy, którzy od miasta wynajmują pracownie na działalność w dziedzinie kultury i sztuki, od początku od 13 marca do końca stanu epidemii mogli, i nadal mogą, skorzystać z obniżki czynszu i płacić symboliczny jego wymiar (1% stawki czynszu). Z tej procedury skorzystało 45 aktywnych pracowni. W 2020 r. został ogłoszony dodatkowy konkurs stypendialny na II półrocze, z którego skorzystało 25 artystów. Łączna suma wydatkowanych środków na stypendia artystyczne w 2020 r. to ok. 1,4 mln zł.</w:t>
      </w:r>
      <w:r w:rsidRPr="00E00B35">
        <w:rPr>
          <w:rFonts w:eastAsia="Arial Unicode MS"/>
          <w:szCs w:val="20"/>
        </w:rPr>
        <w:t xml:space="preserve"> </w:t>
      </w:r>
      <w:r w:rsidRPr="00E00B35">
        <w:rPr>
          <w:szCs w:val="20"/>
        </w:rPr>
        <w:t xml:space="preserve">Uruchomiony został również program zakupów dzieł sztuki wrocławskich artystów. Jego budżet to ok. 130.000 zł na zakup ekspozycyjnych dzieł z zakresu sztuk plastycznych. Wyboru prac dokonała ekspercka komisja złożona z muzealników i przedstawicieli uczelni wyższych. </w:t>
      </w:r>
    </w:p>
    <w:p w:rsidR="00CA14AB" w:rsidRPr="00E00B35" w:rsidRDefault="00CA14AB" w:rsidP="00E00B35">
      <w:pPr>
        <w:spacing w:after="0" w:line="312" w:lineRule="auto"/>
        <w:rPr>
          <w:rFonts w:eastAsia="Arial Unicode MS"/>
          <w:szCs w:val="20"/>
        </w:rPr>
      </w:pPr>
      <w:r w:rsidRPr="00E00B35">
        <w:rPr>
          <w:rFonts w:eastAsia="Arial Unicode MS"/>
          <w:szCs w:val="20"/>
        </w:rPr>
        <w:t xml:space="preserve">Zgodnie z deklaracją Prezydenta konsekwentnie kontynuowane było uspołecznianie polityki kulturalnej we Wrocławiu. W grudniu 2020 r. odbył się Wrocławski Kongres Kultury, jako wydarzenie </w:t>
      </w:r>
      <w:r w:rsidRPr="00E00B35">
        <w:rPr>
          <w:szCs w:val="20"/>
        </w:rPr>
        <w:t xml:space="preserve">stworzone przez i dla wrocławskiego środowiska, które było efektem współpracy strony społecznej, instytucji kultury i samorządu. Wydarzenie odpowiadało na potrzeby środowiska i było otwartą i dostępną platformą, umożliwiającą wymianę doświadczeń i wiedzy, integrację, edukację, sieciowanie oraz omawianie istotnych zagadnień i zjawisk, także w kontekście kształtowania polityki kulturalnej miasta. W panelu głównym wziął udział Prezydent Wrocławia, a pozostałych 6 panelach wzięli udział Dyrektorzy DSS i WKL. W dniu 21 grudnia 2020 r. Prezydent Wrocławia powołał również pełny skład </w:t>
      </w:r>
      <w:r w:rsidRPr="00E00B35">
        <w:rPr>
          <w:rFonts w:eastAsia="Arial Unicode MS"/>
          <w:szCs w:val="20"/>
        </w:rPr>
        <w:t>piętnastoosobowej Wrocławskiej Rady Kultury. W skład rady weszło 2 przedstawicieli miejskich instytucji kultury, 5 przedstawicieli Prezydenta oraz 8 przedstawicieli strony społecznej. Rada spotkała się na I posiedzeniu w dniu 30.12.2020 r.</w:t>
      </w:r>
    </w:p>
    <w:p w:rsidR="00CA14AB" w:rsidRPr="00E00B35" w:rsidRDefault="00CA14AB" w:rsidP="00E00B35">
      <w:pPr>
        <w:spacing w:after="0" w:line="312" w:lineRule="auto"/>
        <w:rPr>
          <w:rFonts w:eastAsia="Arial Unicode MS"/>
          <w:szCs w:val="20"/>
        </w:rPr>
      </w:pPr>
      <w:r w:rsidRPr="00E00B35">
        <w:rPr>
          <w:rFonts w:eastAsia="Arial Unicode MS"/>
          <w:szCs w:val="20"/>
        </w:rPr>
        <w:t xml:space="preserve">W dokumentach strategicznych zwrócono uwagę na konieczność wypełniania przestrzeni publicznej dobrą małą architekturą i dziełami sztuki (m.in. rzeźbami przy uwzględnieniu przesłanek historyczno-kulturowych), rozwijanie przestrzeni i zasobów kultury poza centrum, kreowanie i wspieranie nowych form uczestnictwa w kulturze i spędzania czasu </w:t>
      </w:r>
      <w:r w:rsidRPr="00E00B35">
        <w:rPr>
          <w:rFonts w:eastAsia="Arial Unicode MS"/>
          <w:szCs w:val="20"/>
        </w:rPr>
        <w:lastRenderedPageBreak/>
        <w:t>wolnego, w tym poprzez rozwijanie pasji i zainteresowań oraz wzmacnianie i promowanie marek kulturalnych Wrocławia. W 2020 r. kontynuowano więc prace projektowe pomnika Niepodległości wraz z zagospodarowaniem skweru przy placu Legionów, oraz rozstrzygnięto konkurs na pomnik Żołnierzy Wyklętych. Wspierano zadania realizowane poza centrum miasta, szczególnie te pochodzące z inicjatywy samych mieszkańców, co znakomicie było wspierane przez kolejną edycję konkursu na Mikrogranty. Do najważniejszych marek kulturalnych Wrocławia zaliczają się Narodowe Forum Muzyki wraz Międzynarodowym Festiwalem Wratislavia Cantans, Teatr Capitol wraz z Przeglądem Piosenki Aktorskiej, czy przedsięwzięcia prowadzone przez organizacje pozarządowe, jak całoroczna działalność kina Nowe Horyzonty, Międzynarodowy Festiwal Filmowy Nowe Horyzonty. Ciekawą formą uczestnictwa w kulturze były tzw. Parki ESK, czyli cykle wydarzeń we wrocławskich parkach. Przedsięwzięcia kulturalne poza instytucjami, które pomimo utrudnień związanych z epidemią COVID-19, to m.in. Vertigo Summer Jazz Festival, dla którego scenerię stanowią parki, dachy prestiżowych budynków, nadodrzańskie plaże, rejsowe statki kursujące po Odrze, czy Wyspa Daliowa – to  przykłady realizacji strategicznych założeń tej sfery działalności.</w:t>
      </w:r>
    </w:p>
    <w:p w:rsidR="00CA14AB" w:rsidRPr="00E00B35" w:rsidRDefault="00CA14AB" w:rsidP="00E00B35">
      <w:pPr>
        <w:spacing w:after="0" w:line="312" w:lineRule="auto"/>
        <w:rPr>
          <w:rFonts w:eastAsia="Arial Unicode MS"/>
          <w:szCs w:val="20"/>
        </w:rPr>
      </w:pPr>
      <w:r w:rsidRPr="00E00B35">
        <w:rPr>
          <w:rFonts w:eastAsia="Arial Unicode MS"/>
          <w:szCs w:val="20"/>
        </w:rPr>
        <w:t>Gmina Wrocław jest organizatorem 27 instytucji kultury. Są to: Narodowe Forum Muzyki, Teatr Muzyczny Capitol, Wrocławski Teatr Lalek, Wrocławski Teatr Współczesny, Instytut im. Grotowskiego, Ośrodek Pamięć i Przyszłość, Muzeum Architektury, Muzeum Miejskie Wrocławia, Muzeum Współczesne Wrocław (w organizacji), BWA Wrocław - Galerie Sztuki Współczesnej, Galeria Miejska, Galeria Entropia, Miejska Biblioteka Publiczna, Strefa Kultury Wrocław, Centrum Kultury Agora, Centrum Kultury Wrocław-Zachód, Centrum Kultury Zamek, Klub Muzyki i Literatury, Klub Pod Kolumnami, Ognisko Kultury Plastycznej, Ośrodek Działań Artystycznych Firlej, Ośrodek Działań Twórczych Światowid, Ośrodek Postaw Twórczych, Wrocławski Dom Literatury, Wrocławski Klub Anima, Wrocławski Klub Formaty, Wrocławscy Kameraliści Cantores Minores Wratislavienses.</w:t>
      </w:r>
    </w:p>
    <w:p w:rsidR="00CA14AB" w:rsidRPr="00E00B35" w:rsidRDefault="00CA14AB" w:rsidP="00E00B35">
      <w:pPr>
        <w:spacing w:after="0" w:line="312" w:lineRule="auto"/>
        <w:rPr>
          <w:rFonts w:eastAsia="Arial Unicode MS"/>
          <w:szCs w:val="20"/>
        </w:rPr>
      </w:pPr>
      <w:r w:rsidRPr="00E00B35">
        <w:rPr>
          <w:rFonts w:eastAsia="Arial Unicode MS"/>
          <w:szCs w:val="20"/>
        </w:rPr>
        <w:t xml:space="preserve">Finansowanie kultury ze środków samorządu Wrocławia po raz kolejny utrzymywało się  na poziomie lat, w których realizowano program Europejskiej Stolicy Kultury 2016, a w roku 2020 istotnie wzrosło do kwoty 154 998 284 zł. </w:t>
      </w:r>
    </w:p>
    <w:p w:rsidR="00CA14AB" w:rsidRPr="00E00B35" w:rsidRDefault="00CA14AB" w:rsidP="00E00B35">
      <w:pPr>
        <w:spacing w:after="0" w:line="312" w:lineRule="auto"/>
        <w:rPr>
          <w:szCs w:val="20"/>
        </w:rPr>
      </w:pPr>
      <w:r w:rsidRPr="00E00B35">
        <w:rPr>
          <w:rFonts w:eastAsia="Arial Unicode MS"/>
          <w:szCs w:val="20"/>
        </w:rPr>
        <w:t>Poniższa tabela</w:t>
      </w:r>
      <w:r w:rsidRPr="00E00B35">
        <w:rPr>
          <w:szCs w:val="20"/>
        </w:rPr>
        <w:t xml:space="preserve"> przedstawia wysokość środków finansowych przeznaczanych na kulturę w Gminie Wrocław od 2013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1"/>
        <w:gridCol w:w="3071"/>
      </w:tblGrid>
      <w:tr w:rsidR="00CA14AB" w:rsidRPr="00E00B35" w:rsidTr="00CA14AB">
        <w:tc>
          <w:tcPr>
            <w:tcW w:w="3070" w:type="dxa"/>
            <w:vAlign w:val="bottom"/>
          </w:tcPr>
          <w:p w:rsidR="00CA14AB" w:rsidRPr="00E00B35" w:rsidRDefault="00CA14AB" w:rsidP="00E00B35">
            <w:pPr>
              <w:spacing w:after="0" w:line="312" w:lineRule="auto"/>
              <w:rPr>
                <w:szCs w:val="20"/>
              </w:rPr>
            </w:pPr>
            <w:r w:rsidRPr="00E00B35">
              <w:rPr>
                <w:szCs w:val="20"/>
              </w:rPr>
              <w:t>rok</w:t>
            </w:r>
          </w:p>
        </w:tc>
        <w:tc>
          <w:tcPr>
            <w:tcW w:w="3071" w:type="dxa"/>
            <w:vAlign w:val="bottom"/>
          </w:tcPr>
          <w:p w:rsidR="00CA14AB" w:rsidRPr="00E00B35" w:rsidRDefault="00CA14AB" w:rsidP="00E00B35">
            <w:pPr>
              <w:spacing w:after="0" w:line="312" w:lineRule="auto"/>
              <w:rPr>
                <w:szCs w:val="20"/>
              </w:rPr>
            </w:pPr>
            <w:r w:rsidRPr="00E00B35">
              <w:rPr>
                <w:szCs w:val="20"/>
              </w:rPr>
              <w:t>rezerwa ESK</w:t>
            </w:r>
          </w:p>
        </w:tc>
        <w:tc>
          <w:tcPr>
            <w:tcW w:w="3071" w:type="dxa"/>
            <w:vAlign w:val="bottom"/>
          </w:tcPr>
          <w:p w:rsidR="00CA14AB" w:rsidRPr="00E00B35" w:rsidRDefault="00CA14AB" w:rsidP="00E00B35">
            <w:pPr>
              <w:spacing w:after="0" w:line="312" w:lineRule="auto"/>
              <w:rPr>
                <w:szCs w:val="20"/>
              </w:rPr>
            </w:pPr>
            <w:r w:rsidRPr="00E00B35">
              <w:rPr>
                <w:szCs w:val="20"/>
              </w:rPr>
              <w:t>dotacja bieżąca ( w tym rezerwa ESK)</w:t>
            </w:r>
          </w:p>
        </w:tc>
      </w:tr>
      <w:tr w:rsidR="00CA14AB" w:rsidRPr="00E00B35" w:rsidTr="00CA14AB">
        <w:tc>
          <w:tcPr>
            <w:tcW w:w="3070" w:type="dxa"/>
            <w:vAlign w:val="bottom"/>
          </w:tcPr>
          <w:p w:rsidR="00CA14AB" w:rsidRPr="00E00B35" w:rsidRDefault="00CA14AB" w:rsidP="00E00B35">
            <w:pPr>
              <w:spacing w:after="0" w:line="312" w:lineRule="auto"/>
              <w:rPr>
                <w:szCs w:val="20"/>
              </w:rPr>
            </w:pPr>
            <w:r w:rsidRPr="00E00B35">
              <w:rPr>
                <w:szCs w:val="20"/>
              </w:rPr>
              <w:t>2020 r.</w:t>
            </w:r>
          </w:p>
        </w:tc>
        <w:tc>
          <w:tcPr>
            <w:tcW w:w="3071" w:type="dxa"/>
            <w:vAlign w:val="bottom"/>
          </w:tcPr>
          <w:p w:rsidR="00CA14AB" w:rsidRPr="00E00B35" w:rsidRDefault="00CA14AB" w:rsidP="00E00B35">
            <w:pPr>
              <w:spacing w:after="0" w:line="312" w:lineRule="auto"/>
              <w:rPr>
                <w:szCs w:val="20"/>
              </w:rPr>
            </w:pPr>
            <w:r w:rsidRPr="00E00B35">
              <w:rPr>
                <w:szCs w:val="20"/>
              </w:rPr>
              <w:t> </w:t>
            </w:r>
          </w:p>
        </w:tc>
        <w:tc>
          <w:tcPr>
            <w:tcW w:w="3071" w:type="dxa"/>
            <w:vAlign w:val="bottom"/>
          </w:tcPr>
          <w:p w:rsidR="00CA14AB" w:rsidRPr="00E00B35" w:rsidRDefault="00CA14AB" w:rsidP="00E00B35">
            <w:pPr>
              <w:spacing w:after="0" w:line="312" w:lineRule="auto"/>
              <w:rPr>
                <w:szCs w:val="20"/>
              </w:rPr>
            </w:pPr>
            <w:r w:rsidRPr="00E00B35">
              <w:rPr>
                <w:szCs w:val="20"/>
              </w:rPr>
              <w:t>154 998 284,00 zł</w:t>
            </w:r>
          </w:p>
        </w:tc>
      </w:tr>
      <w:tr w:rsidR="00CA14AB" w:rsidRPr="00E00B35" w:rsidTr="00CA14AB">
        <w:tc>
          <w:tcPr>
            <w:tcW w:w="3070" w:type="dxa"/>
            <w:vAlign w:val="bottom"/>
          </w:tcPr>
          <w:p w:rsidR="00CA14AB" w:rsidRPr="00E00B35" w:rsidRDefault="00CA14AB" w:rsidP="00E00B35">
            <w:pPr>
              <w:spacing w:after="0" w:line="312" w:lineRule="auto"/>
              <w:rPr>
                <w:szCs w:val="20"/>
              </w:rPr>
            </w:pPr>
            <w:r w:rsidRPr="00E00B35">
              <w:rPr>
                <w:szCs w:val="20"/>
              </w:rPr>
              <w:t>2019 r.</w:t>
            </w:r>
          </w:p>
        </w:tc>
        <w:tc>
          <w:tcPr>
            <w:tcW w:w="3071" w:type="dxa"/>
            <w:vAlign w:val="bottom"/>
          </w:tcPr>
          <w:p w:rsidR="00CA14AB" w:rsidRPr="00E00B35" w:rsidRDefault="00CA14AB" w:rsidP="00E00B35">
            <w:pPr>
              <w:spacing w:after="0" w:line="312" w:lineRule="auto"/>
              <w:rPr>
                <w:szCs w:val="20"/>
              </w:rPr>
            </w:pPr>
            <w:r w:rsidRPr="00E00B35">
              <w:rPr>
                <w:szCs w:val="20"/>
              </w:rPr>
              <w:t> </w:t>
            </w:r>
          </w:p>
        </w:tc>
        <w:tc>
          <w:tcPr>
            <w:tcW w:w="3071" w:type="dxa"/>
            <w:vAlign w:val="bottom"/>
          </w:tcPr>
          <w:p w:rsidR="00CA14AB" w:rsidRPr="00E00B35" w:rsidRDefault="00CA14AB" w:rsidP="00E00B35">
            <w:pPr>
              <w:spacing w:after="0" w:line="312" w:lineRule="auto"/>
              <w:rPr>
                <w:szCs w:val="20"/>
              </w:rPr>
            </w:pPr>
            <w:r w:rsidRPr="00E00B35">
              <w:rPr>
                <w:szCs w:val="20"/>
              </w:rPr>
              <w:t>145 603 323,00 zł</w:t>
            </w:r>
          </w:p>
        </w:tc>
      </w:tr>
      <w:tr w:rsidR="00CA14AB" w:rsidRPr="00E00B35" w:rsidTr="00CA14AB">
        <w:tc>
          <w:tcPr>
            <w:tcW w:w="3070" w:type="dxa"/>
            <w:vAlign w:val="bottom"/>
          </w:tcPr>
          <w:p w:rsidR="00CA14AB" w:rsidRPr="00E00B35" w:rsidRDefault="00CA14AB" w:rsidP="00E00B35">
            <w:pPr>
              <w:spacing w:after="0" w:line="312" w:lineRule="auto"/>
              <w:rPr>
                <w:szCs w:val="20"/>
              </w:rPr>
            </w:pPr>
            <w:r w:rsidRPr="00E00B35">
              <w:rPr>
                <w:szCs w:val="20"/>
              </w:rPr>
              <w:t>2018 r.</w:t>
            </w:r>
          </w:p>
        </w:tc>
        <w:tc>
          <w:tcPr>
            <w:tcW w:w="3071" w:type="dxa"/>
            <w:vAlign w:val="bottom"/>
          </w:tcPr>
          <w:p w:rsidR="00CA14AB" w:rsidRPr="00E00B35" w:rsidRDefault="00CA14AB" w:rsidP="00E00B35">
            <w:pPr>
              <w:spacing w:after="0" w:line="312" w:lineRule="auto"/>
              <w:rPr>
                <w:szCs w:val="20"/>
              </w:rPr>
            </w:pPr>
            <w:r w:rsidRPr="00E00B35">
              <w:rPr>
                <w:szCs w:val="20"/>
              </w:rPr>
              <w:t> </w:t>
            </w:r>
          </w:p>
        </w:tc>
        <w:tc>
          <w:tcPr>
            <w:tcW w:w="3071" w:type="dxa"/>
            <w:vAlign w:val="bottom"/>
          </w:tcPr>
          <w:p w:rsidR="00CA14AB" w:rsidRPr="00E00B35" w:rsidRDefault="00CA14AB" w:rsidP="00E00B35">
            <w:pPr>
              <w:spacing w:after="0" w:line="312" w:lineRule="auto"/>
              <w:rPr>
                <w:szCs w:val="20"/>
              </w:rPr>
            </w:pPr>
            <w:r w:rsidRPr="00E00B35">
              <w:rPr>
                <w:szCs w:val="20"/>
              </w:rPr>
              <w:t>138 667 427,00 zł</w:t>
            </w:r>
          </w:p>
        </w:tc>
      </w:tr>
      <w:tr w:rsidR="00CA14AB" w:rsidRPr="00E00B35" w:rsidTr="00CA14AB">
        <w:tc>
          <w:tcPr>
            <w:tcW w:w="3070" w:type="dxa"/>
            <w:vAlign w:val="bottom"/>
          </w:tcPr>
          <w:p w:rsidR="00CA14AB" w:rsidRPr="00E00B35" w:rsidRDefault="00CA14AB" w:rsidP="00E00B35">
            <w:pPr>
              <w:spacing w:after="0" w:line="312" w:lineRule="auto"/>
              <w:rPr>
                <w:szCs w:val="20"/>
              </w:rPr>
            </w:pPr>
            <w:r w:rsidRPr="00E00B35">
              <w:rPr>
                <w:szCs w:val="20"/>
              </w:rPr>
              <w:t>2017 r.</w:t>
            </w:r>
          </w:p>
        </w:tc>
        <w:tc>
          <w:tcPr>
            <w:tcW w:w="3071" w:type="dxa"/>
            <w:vAlign w:val="bottom"/>
          </w:tcPr>
          <w:p w:rsidR="00CA14AB" w:rsidRPr="00E00B35" w:rsidRDefault="00CA14AB" w:rsidP="00E00B35">
            <w:pPr>
              <w:spacing w:after="0" w:line="312" w:lineRule="auto"/>
              <w:rPr>
                <w:szCs w:val="20"/>
              </w:rPr>
            </w:pPr>
            <w:r w:rsidRPr="00E00B35">
              <w:rPr>
                <w:szCs w:val="20"/>
              </w:rPr>
              <w:t> </w:t>
            </w:r>
          </w:p>
        </w:tc>
        <w:tc>
          <w:tcPr>
            <w:tcW w:w="3071" w:type="dxa"/>
            <w:vAlign w:val="bottom"/>
          </w:tcPr>
          <w:p w:rsidR="00CA14AB" w:rsidRPr="00E00B35" w:rsidRDefault="00CA14AB" w:rsidP="00E00B35">
            <w:pPr>
              <w:spacing w:after="0" w:line="312" w:lineRule="auto"/>
              <w:rPr>
                <w:szCs w:val="20"/>
              </w:rPr>
            </w:pPr>
            <w:r w:rsidRPr="00E00B35">
              <w:rPr>
                <w:szCs w:val="20"/>
              </w:rPr>
              <w:t>122 166 856,00 zł</w:t>
            </w:r>
          </w:p>
        </w:tc>
      </w:tr>
      <w:tr w:rsidR="00CA14AB" w:rsidRPr="00E00B35" w:rsidTr="00CA14AB">
        <w:tc>
          <w:tcPr>
            <w:tcW w:w="3070" w:type="dxa"/>
            <w:vAlign w:val="bottom"/>
          </w:tcPr>
          <w:p w:rsidR="00CA14AB" w:rsidRPr="00E00B35" w:rsidRDefault="00CA14AB" w:rsidP="00E00B35">
            <w:pPr>
              <w:spacing w:after="0" w:line="312" w:lineRule="auto"/>
              <w:rPr>
                <w:szCs w:val="20"/>
              </w:rPr>
            </w:pPr>
            <w:r w:rsidRPr="00E00B35">
              <w:rPr>
                <w:szCs w:val="20"/>
              </w:rPr>
              <w:t>2016 r.</w:t>
            </w:r>
          </w:p>
        </w:tc>
        <w:tc>
          <w:tcPr>
            <w:tcW w:w="3071" w:type="dxa"/>
            <w:vAlign w:val="bottom"/>
          </w:tcPr>
          <w:p w:rsidR="00CA14AB" w:rsidRPr="00E00B35" w:rsidRDefault="00CA14AB" w:rsidP="00E00B35">
            <w:pPr>
              <w:spacing w:after="0" w:line="312" w:lineRule="auto"/>
              <w:rPr>
                <w:szCs w:val="20"/>
              </w:rPr>
            </w:pPr>
            <w:r w:rsidRPr="00E00B35">
              <w:rPr>
                <w:szCs w:val="20"/>
              </w:rPr>
              <w:t>22 936 000,00 zł</w:t>
            </w:r>
          </w:p>
        </w:tc>
        <w:tc>
          <w:tcPr>
            <w:tcW w:w="3071" w:type="dxa"/>
            <w:vAlign w:val="bottom"/>
          </w:tcPr>
          <w:p w:rsidR="00CA14AB" w:rsidRPr="00E00B35" w:rsidRDefault="00CA14AB" w:rsidP="00E00B35">
            <w:pPr>
              <w:spacing w:after="0" w:line="312" w:lineRule="auto"/>
              <w:rPr>
                <w:szCs w:val="20"/>
              </w:rPr>
            </w:pPr>
            <w:r w:rsidRPr="00E00B35">
              <w:rPr>
                <w:szCs w:val="20"/>
              </w:rPr>
              <w:t>139 815 017,00 zł</w:t>
            </w:r>
          </w:p>
        </w:tc>
      </w:tr>
      <w:tr w:rsidR="00CA14AB" w:rsidRPr="00E00B35" w:rsidTr="00CA14AB">
        <w:tc>
          <w:tcPr>
            <w:tcW w:w="3070" w:type="dxa"/>
            <w:vAlign w:val="bottom"/>
          </w:tcPr>
          <w:p w:rsidR="00CA14AB" w:rsidRPr="00E00B35" w:rsidRDefault="00CA14AB" w:rsidP="00E00B35">
            <w:pPr>
              <w:spacing w:after="0" w:line="312" w:lineRule="auto"/>
              <w:rPr>
                <w:szCs w:val="20"/>
              </w:rPr>
            </w:pPr>
            <w:r w:rsidRPr="00E00B35">
              <w:rPr>
                <w:szCs w:val="20"/>
              </w:rPr>
              <w:t>2015 r.</w:t>
            </w:r>
          </w:p>
        </w:tc>
        <w:tc>
          <w:tcPr>
            <w:tcW w:w="3071" w:type="dxa"/>
            <w:vAlign w:val="bottom"/>
          </w:tcPr>
          <w:p w:rsidR="00CA14AB" w:rsidRPr="00E00B35" w:rsidRDefault="00CA14AB" w:rsidP="00E00B35">
            <w:pPr>
              <w:spacing w:after="0" w:line="312" w:lineRule="auto"/>
              <w:rPr>
                <w:szCs w:val="20"/>
              </w:rPr>
            </w:pPr>
            <w:r w:rsidRPr="00E00B35">
              <w:rPr>
                <w:szCs w:val="20"/>
              </w:rPr>
              <w:t>17 000 000,00 zł</w:t>
            </w:r>
          </w:p>
        </w:tc>
        <w:tc>
          <w:tcPr>
            <w:tcW w:w="3071" w:type="dxa"/>
            <w:vAlign w:val="bottom"/>
          </w:tcPr>
          <w:p w:rsidR="00CA14AB" w:rsidRPr="00E00B35" w:rsidRDefault="00CA14AB" w:rsidP="00E00B35">
            <w:pPr>
              <w:spacing w:after="0" w:line="312" w:lineRule="auto"/>
              <w:rPr>
                <w:szCs w:val="20"/>
              </w:rPr>
            </w:pPr>
            <w:r w:rsidRPr="00E00B35">
              <w:rPr>
                <w:szCs w:val="20"/>
              </w:rPr>
              <w:t>137 490 304,00 zł</w:t>
            </w:r>
          </w:p>
        </w:tc>
      </w:tr>
      <w:tr w:rsidR="00CA14AB" w:rsidRPr="00E00B35" w:rsidTr="00CA14AB">
        <w:tc>
          <w:tcPr>
            <w:tcW w:w="3070" w:type="dxa"/>
            <w:vAlign w:val="bottom"/>
          </w:tcPr>
          <w:p w:rsidR="00CA14AB" w:rsidRPr="00E00B35" w:rsidRDefault="00CA14AB" w:rsidP="00E00B35">
            <w:pPr>
              <w:spacing w:after="0" w:line="312" w:lineRule="auto"/>
              <w:rPr>
                <w:szCs w:val="20"/>
              </w:rPr>
            </w:pPr>
            <w:r w:rsidRPr="00E00B35">
              <w:rPr>
                <w:szCs w:val="20"/>
              </w:rPr>
              <w:t>2014 r.</w:t>
            </w:r>
          </w:p>
        </w:tc>
        <w:tc>
          <w:tcPr>
            <w:tcW w:w="3071" w:type="dxa"/>
            <w:vAlign w:val="bottom"/>
          </w:tcPr>
          <w:p w:rsidR="00CA14AB" w:rsidRPr="00E00B35" w:rsidRDefault="00CA14AB" w:rsidP="00E00B35">
            <w:pPr>
              <w:spacing w:after="0" w:line="312" w:lineRule="auto"/>
              <w:rPr>
                <w:szCs w:val="20"/>
              </w:rPr>
            </w:pPr>
            <w:r w:rsidRPr="00E00B35">
              <w:rPr>
                <w:szCs w:val="20"/>
              </w:rPr>
              <w:t> </w:t>
            </w:r>
          </w:p>
        </w:tc>
        <w:tc>
          <w:tcPr>
            <w:tcW w:w="3071" w:type="dxa"/>
            <w:vAlign w:val="bottom"/>
          </w:tcPr>
          <w:p w:rsidR="00CA14AB" w:rsidRPr="00E00B35" w:rsidRDefault="00CA14AB" w:rsidP="00E00B35">
            <w:pPr>
              <w:spacing w:after="0" w:line="312" w:lineRule="auto"/>
              <w:rPr>
                <w:szCs w:val="20"/>
              </w:rPr>
            </w:pPr>
            <w:r w:rsidRPr="00E00B35">
              <w:rPr>
                <w:szCs w:val="20"/>
              </w:rPr>
              <w:t>124 448 213,00 zł</w:t>
            </w:r>
          </w:p>
        </w:tc>
      </w:tr>
      <w:tr w:rsidR="00CA14AB" w:rsidRPr="00E00B35" w:rsidTr="00CA14AB">
        <w:tc>
          <w:tcPr>
            <w:tcW w:w="3070" w:type="dxa"/>
            <w:vAlign w:val="bottom"/>
          </w:tcPr>
          <w:p w:rsidR="00CA14AB" w:rsidRPr="00E00B35" w:rsidRDefault="00CA14AB" w:rsidP="00E00B35">
            <w:pPr>
              <w:spacing w:after="0" w:line="312" w:lineRule="auto"/>
              <w:rPr>
                <w:szCs w:val="20"/>
              </w:rPr>
            </w:pPr>
            <w:r w:rsidRPr="00E00B35">
              <w:rPr>
                <w:szCs w:val="20"/>
              </w:rPr>
              <w:t>2013 r.</w:t>
            </w:r>
          </w:p>
        </w:tc>
        <w:tc>
          <w:tcPr>
            <w:tcW w:w="3071" w:type="dxa"/>
            <w:vAlign w:val="bottom"/>
          </w:tcPr>
          <w:p w:rsidR="00CA14AB" w:rsidRPr="00E00B35" w:rsidRDefault="00CA14AB" w:rsidP="00E00B35">
            <w:pPr>
              <w:spacing w:after="0" w:line="312" w:lineRule="auto"/>
              <w:rPr>
                <w:szCs w:val="20"/>
              </w:rPr>
            </w:pPr>
            <w:r w:rsidRPr="00E00B35">
              <w:rPr>
                <w:szCs w:val="20"/>
              </w:rPr>
              <w:t> </w:t>
            </w:r>
          </w:p>
        </w:tc>
        <w:tc>
          <w:tcPr>
            <w:tcW w:w="3071" w:type="dxa"/>
            <w:vAlign w:val="bottom"/>
          </w:tcPr>
          <w:p w:rsidR="00CA14AB" w:rsidRPr="00E00B35" w:rsidRDefault="00CA14AB" w:rsidP="00E00B35">
            <w:pPr>
              <w:spacing w:after="0" w:line="312" w:lineRule="auto"/>
              <w:rPr>
                <w:szCs w:val="20"/>
              </w:rPr>
            </w:pPr>
            <w:r w:rsidRPr="00E00B35">
              <w:rPr>
                <w:szCs w:val="20"/>
              </w:rPr>
              <w:t>110 692 360,00 zł</w:t>
            </w:r>
          </w:p>
        </w:tc>
      </w:tr>
    </w:tbl>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5732431" cy="2833111"/>
            <wp:effectExtent l="11697" t="5875" r="7067" b="734"/>
            <wp:docPr id="122"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A14AB" w:rsidRPr="00E00B35" w:rsidRDefault="00CA14AB" w:rsidP="00E00B35">
      <w:pPr>
        <w:spacing w:after="0" w:line="312" w:lineRule="auto"/>
        <w:rPr>
          <w:szCs w:val="20"/>
        </w:rPr>
      </w:pPr>
    </w:p>
    <w:p w:rsidR="00CA14AB" w:rsidRPr="00E00B35" w:rsidRDefault="00CA14AB" w:rsidP="00E00B35">
      <w:pPr>
        <w:pStyle w:val="Nagwek3"/>
        <w:spacing w:after="0" w:line="312" w:lineRule="auto"/>
        <w:rPr>
          <w:sz w:val="20"/>
          <w:lang w:val="pl-PL"/>
        </w:rPr>
      </w:pPr>
      <w:bookmarkStart w:id="136" w:name="_Toc72352319"/>
      <w:bookmarkStart w:id="137" w:name="_Toc72352753"/>
      <w:r w:rsidRPr="00E00B35">
        <w:rPr>
          <w:sz w:val="20"/>
        </w:rPr>
        <w:t>ZADANIA REALIZOWANE BEZPOŚREDNIO PRZEZ WYDZIAŁ KULTURY</w:t>
      </w:r>
      <w:bookmarkEnd w:id="136"/>
      <w:bookmarkEnd w:id="137"/>
    </w:p>
    <w:p w:rsidR="00544448" w:rsidRPr="00E00B35" w:rsidRDefault="00544448" w:rsidP="00E00B35">
      <w:pPr>
        <w:pStyle w:val="Nagwek3"/>
        <w:spacing w:after="0" w:line="312" w:lineRule="auto"/>
        <w:rPr>
          <w:sz w:val="20"/>
          <w:lang w:val="pl-PL"/>
        </w:rPr>
      </w:pPr>
    </w:p>
    <w:p w:rsidR="00CA14AB" w:rsidRPr="00E00B35" w:rsidRDefault="00CA14AB" w:rsidP="00E00B35">
      <w:pPr>
        <w:pStyle w:val="Nagwek4"/>
        <w:spacing w:before="0" w:after="0" w:line="312" w:lineRule="auto"/>
        <w:rPr>
          <w:sz w:val="20"/>
          <w:szCs w:val="20"/>
        </w:rPr>
      </w:pPr>
      <w:r w:rsidRPr="00E00B35">
        <w:rPr>
          <w:sz w:val="20"/>
          <w:szCs w:val="20"/>
        </w:rPr>
        <w:t xml:space="preserve">POPIERSIE PROF. STANISŁAWA KULCZYŃSKIEGO </w:t>
      </w:r>
    </w:p>
    <w:p w:rsidR="00CA14AB" w:rsidRPr="00E00B35" w:rsidRDefault="00CA14AB" w:rsidP="00E00B35">
      <w:pPr>
        <w:spacing w:after="0" w:line="312" w:lineRule="auto"/>
        <w:rPr>
          <w:szCs w:val="20"/>
        </w:rPr>
      </w:pPr>
      <w:r w:rsidRPr="00E00B35">
        <w:rPr>
          <w:szCs w:val="20"/>
        </w:rPr>
        <w:t xml:space="preserve">Zlecono wykonanie popiersia prof. Stanisława Kulczyńskiego u wrocławskiego rzeźbiarza Tomasza Rodzińskiego. Popiersie wykonane z brązu stanęło na Bulwarze Politechniki Wrocławskiej na cokole wykonanym przez rzeźbiarza, również wg. autorskiego projektu. Zakończenie prac nastąpiło w grudniu 2020 r. Było to działanie organizowane w ramach obchodów Roku Profesorów Lwowskich 2020 we Wrocławiu. Stanisław Kulczyński był pierwszym powojennym rektorem połączonych uczelni: uniwersytetu i politechniki. </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SCENOGRAFIA SPEKTAKLU „DZIADY”</w:t>
      </w:r>
    </w:p>
    <w:p w:rsidR="00CA14AB" w:rsidRPr="00E00B35" w:rsidRDefault="00CA14AB" w:rsidP="00E00B35">
      <w:pPr>
        <w:spacing w:after="0" w:line="312" w:lineRule="auto"/>
        <w:rPr>
          <w:szCs w:val="20"/>
        </w:rPr>
      </w:pPr>
      <w:r w:rsidRPr="00E00B35">
        <w:rPr>
          <w:szCs w:val="20"/>
        </w:rPr>
        <w:t xml:space="preserve">Zakupiono za symboliczną kwotę 2030 zł brutto scenografię do spektaklu „Dziady” w reżyserii Michała Zadary od Teatru Polskiego we Wrocławiu. Celem zakupu było zabezpieczenie i zgromadzenie w jednym magazynie (wynajętym przez Wydział Kultury przy ul. Północnej we Wrocławiu) całej scenografii 14-godzinnych „Dziadów” z możliwością późniejszej prezentacji spektaklu w całości lub we fragmentach. Elementy zakupionej scenografii posłużyły do wznowienia „Dziadów Ustępu III” w Centrum Sztuk Performatywnych PIEKARNIA w grudniu 2020 r. (sfinansowanego przez Gminę Wrocław).   </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ZESPÓŁ STAŁY DS. CENTRÓW AKTYWNOŚCI LOKALNEJ</w:t>
      </w:r>
    </w:p>
    <w:p w:rsidR="00CA14AB" w:rsidRPr="00E00B35" w:rsidRDefault="00CA14AB" w:rsidP="00E00B35">
      <w:pPr>
        <w:spacing w:after="0" w:line="312" w:lineRule="auto"/>
        <w:rPr>
          <w:szCs w:val="20"/>
        </w:rPr>
      </w:pPr>
      <w:r w:rsidRPr="00E00B35">
        <w:rPr>
          <w:szCs w:val="20"/>
        </w:rPr>
        <w:t xml:space="preserve">Całoroczne spotkania w ramach Zespołu ds. CAL-i, złożonego z przedstawicieli UMW, sieci „sCAL Wrocław” oraz organizacji pozarządowych, przyczyniły się m.in. do przygotowania badania  "Potencjału wrocławskiego sektora organizacji pozarządowych oraz innych podmiotów działających na rzecz mieszkańców i współpracy lokalnej". W badaniu, które zostało zakończone raportem dostępnym na stronie wroclaw.pl/Rozmawia, wzięły udział 82 osoby reprezentujące 82 różne podmioty, w tym: 54 organizacje pozarządowe, 26 instytucji kultury, w tym 12 filii Miejskiej Biblioteki Publicznej oraz 1 spółka miejska i 1 podmiot zdefiniowany jako “wolontariat”. Badanie było realizowane w ramach projektu </w:t>
      </w:r>
      <w:r w:rsidRPr="00E00B35">
        <w:rPr>
          <w:szCs w:val="20"/>
        </w:rPr>
        <w:lastRenderedPageBreak/>
        <w:t xml:space="preserve">"Wdrażanie Strategii Rozwoju Współpracy Miasta Wrocławia z Organizacjami Pozarządowymi na lata 2018-2020" finansowanego ze środków Gminy Wrocław. </w:t>
      </w:r>
    </w:p>
    <w:p w:rsidR="00CA14AB" w:rsidRPr="00E00B35" w:rsidRDefault="00CA14AB" w:rsidP="00E00B35">
      <w:pPr>
        <w:spacing w:after="0" w:line="312" w:lineRule="auto"/>
        <w:rPr>
          <w:szCs w:val="20"/>
        </w:rPr>
      </w:pPr>
      <w:r w:rsidRPr="00E00B35">
        <w:rPr>
          <w:szCs w:val="20"/>
        </w:rPr>
        <w:t xml:space="preserve">Wydział Kultury współpracował przy opracowaniu założeń i programu Seminarium „Dużej Polityki Osiedlowej”, które miało się odbyć w październiku 2020 r. – zostało przełożone na I kwartał 2021 ze względu na obostrzenia epidemiczne. Seminarium ma na celu integrację polityk społecznych, kulturalnych, socjalnych, urbanistycznych i mieszkaniowych, angażując do udziału partnerów międzysektorowych. </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MECENAT</w:t>
      </w:r>
    </w:p>
    <w:p w:rsidR="00CA14AB" w:rsidRPr="00E00B35" w:rsidRDefault="00CA14AB" w:rsidP="00E00B35">
      <w:pPr>
        <w:spacing w:after="0" w:line="312" w:lineRule="auto"/>
        <w:rPr>
          <w:szCs w:val="20"/>
        </w:rPr>
      </w:pPr>
      <w:r w:rsidRPr="00E00B35">
        <w:rPr>
          <w:szCs w:val="20"/>
        </w:rPr>
        <w:t>Tylko na jeden konkurs dotyczący organizacji i prowadzenia projektu kulturalnego w 2020 roku w jednym z zakresów: projekt plastyczny, projekt muzyczny, projekt teatralny, projekt interdyscyplinarny wpłynęły 103 oferty, z których 98 spełniło wymogi formalne. Na realizację zadania w ramach ogłoszonego konkursu przeznaczono 1 300 000 zł. Przyznano dotację 55 podmiotom. Łącznie w otwartych konkursach ofert oraz naborach ofert dofinansowano ok. 70 projektów, a wśród nich:</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Festiwal Kultury Żydowskiej "Simcha",</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Energia Dźwięku,</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Teatr Formy</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GAME MUSIC FESTIVAL</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Maj z muzyką dawną</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Muzyczne Spotkania Kultur Pax et bonum per musicam, </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Bass &amp; Beat Festival,</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Ethno Jazz Festival,</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Festiwal Muzyki Kameralnej Wieczory w Arsenale,</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Industrial Festival,</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TIFF Festival,</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prowadzenie Centrum Sztuki WRO,</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prowadzenie działalności kulturalnej w wyremontowanych (w ramach projektu europejskiego) oficynach przy ul. Roosvelta 5a i przy ul. Jagiellończyka 10a,</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prowadzenie Teatru Ad Spectatores,</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Międzynarodowy Festiwal Filmowy Nowe Horyzonty,</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Festiwal Filmu Amerykańskiego,</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kino Nowe Horyzonty,</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prowadzenie działalności społecznej i kulturalnej w Ośrodku Działań Społeczno- Kulturalnych „Piast”,</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prowadzenie Centrum Kultury i Edukacji Żydowskiej.</w:t>
      </w:r>
    </w:p>
    <w:p w:rsidR="00A821A9" w:rsidRPr="00E00B35" w:rsidRDefault="00A821A9" w:rsidP="00E00B35">
      <w:pPr>
        <w:pStyle w:val="Akapitzlist"/>
        <w:spacing w:after="0" w:line="312" w:lineRule="auto"/>
        <w:ind w:left="357"/>
        <w:rPr>
          <w:szCs w:val="20"/>
        </w:rPr>
      </w:pPr>
    </w:p>
    <w:p w:rsidR="00CA14AB" w:rsidRPr="00E00B35" w:rsidRDefault="00CA14AB" w:rsidP="00E00B35">
      <w:pPr>
        <w:pStyle w:val="Nagwek4"/>
        <w:spacing w:before="0" w:after="0" w:line="312" w:lineRule="auto"/>
        <w:rPr>
          <w:sz w:val="20"/>
          <w:szCs w:val="20"/>
        </w:rPr>
      </w:pPr>
      <w:r w:rsidRPr="00E00B35">
        <w:rPr>
          <w:sz w:val="20"/>
          <w:szCs w:val="20"/>
        </w:rPr>
        <w:t>DOFINASOWANE INICJATYWY KULTURALNE</w:t>
      </w:r>
    </w:p>
    <w:p w:rsidR="00CA14AB" w:rsidRPr="00E00B35" w:rsidRDefault="00CA14AB" w:rsidP="00E00B35">
      <w:pPr>
        <w:spacing w:after="0" w:line="312" w:lineRule="auto"/>
        <w:rPr>
          <w:szCs w:val="20"/>
        </w:rPr>
      </w:pPr>
      <w:r w:rsidRPr="00E00B35">
        <w:rPr>
          <w:szCs w:val="20"/>
        </w:rPr>
        <w:t>Wydanie płyt CD:</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„Thanks Jimi Symfonicznie” – Leszek Cichoński </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„Bagaż II –Zdarzenia Ludowe” – Łukasz Matuszyk</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„Discipline of Sun Ra” – EABS </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lastRenderedPageBreak/>
        <w:t>„Recital fortepianowy w stylu brillante Sofy’i Gulyak” – Towarzystwo im. Ferenca Liszta</w:t>
      </w:r>
      <w:r w:rsidRPr="00E00B35">
        <w:rPr>
          <w:color w:val="000000"/>
          <w:szCs w:val="20"/>
          <w:lang w:val="pl-PL"/>
        </w:rPr>
        <w:br/>
        <w:t xml:space="preserve">„Vojices” – Piotr Wojtasik </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„Nie Ma” – Justyna Szafran </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„To wszystko dla Ciebie” – Tadeusz Nestorowicz </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„Kochanowski Pieśni” – Kuba Stankiewicz </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„Amazonia” – Piotr Rachoń </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„Młodzi Kompozytorzy” – Akademia Muzyczna we Wrocławiu</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“ROOTS” – ROLAND ABREU &amp; THE CUBAN LATIN JAZZ</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„Guitar Portrait – Tomasz Radziszewski &amp; Friends” – Tomasz Radziszewski</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"Tales Part Two” – zespół MELIKA </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„Ryszard Lubieniecki – Kompozycje izorytmiczne” – Ryszard Lubieniecki</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„Cezary Duchnowski / Magdalena Bojanowicz– Diabelskie skrzypce” – Cezary Duchnowski</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„Cezary Duchnowski / RPA – Diabelskie skrzypce” – Cezary Duchnowski</w:t>
      </w:r>
      <w:r w:rsidR="00A821A9" w:rsidRPr="00E00B35">
        <w:rPr>
          <w:color w:val="000000"/>
          <w:szCs w:val="20"/>
          <w:lang w:val="pl-PL"/>
        </w:rPr>
        <w:t>.</w:t>
      </w:r>
    </w:p>
    <w:p w:rsidR="00A821A9" w:rsidRPr="00E00B35" w:rsidRDefault="00A821A9" w:rsidP="00E00B35">
      <w:pPr>
        <w:pStyle w:val="Akapitzlist"/>
        <w:spacing w:after="0" w:line="312" w:lineRule="auto"/>
        <w:ind w:left="357"/>
        <w:rPr>
          <w:color w:val="000000"/>
          <w:szCs w:val="20"/>
          <w:lang w:val="pl-PL"/>
        </w:rPr>
      </w:pPr>
    </w:p>
    <w:p w:rsidR="00CA14AB" w:rsidRPr="00E00B35" w:rsidRDefault="00CA14AB" w:rsidP="00E00B35">
      <w:pPr>
        <w:spacing w:after="0" w:line="312" w:lineRule="auto"/>
        <w:rPr>
          <w:szCs w:val="20"/>
        </w:rPr>
      </w:pPr>
      <w:r w:rsidRPr="00E00B35">
        <w:rPr>
          <w:szCs w:val="20"/>
        </w:rPr>
        <w:t>Promocja kultury, dialog międzykulturowy, upowszechnianie literatury, działalność edukacyjna:</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Dzień Judaizmu w Kościele Katolickim Archidiecezja Wrocławska</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XVII Ekumeniczne Spotkanie Noworoczne</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Festiwal Twórczej Współpracy „WROCloveUKRAINA”</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Współpraca z organizacjami pozarządowymi w zakresie edukacji kulturalnej dzieci, młodzieży i dorosłych: np. Towarzystwo Kultury Czynnej</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Gabinet Kultury Współczesnej Wrocławia w Dziale Dokumentacji Życia Społecznego Zakładu Narodowego im. Ossolińskich.</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 xml:space="preserve">Prowadzenie  Centrum Aktywności Lokalnej ze Sceną Teatru Na Bruku, ul. Pszczelarska ; </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Prowadzenie nieodpłatnej działalności kulturalnej, edukacyjnej i artystycznej, skierowanej do dzieci, młodzieży i seniorów w dwóch oficynach na terenie zrewitalizowanego Nadodrza. Kontury Kultury i OKAP to miejsca prowadzone przez fundacje: Kilo Kultury i Ok,Art, których działania skierowane są na integrację społeczną; Kultura na naszym osiedlu – Fundacja Hobbit</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Prowadzenie Działalności Społecznej i Kulturalnej w Ośrodku Działań Społeczno-Kulturalnych "Piast" przy ul. Rękodzielniczej</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Uroczystości z okazji 82. rocznicy ogłoszenia PRAWD POLAKÓW Z POD ZNAKU RODŁA</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Wspieranie osób bezdomnych– działania fundacji „Homo sacer”</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Działalność środowiskowej Piwnicy artystycznej "Pod sowami" - Dolnośląskie Stowarzyszenie Na Rzecz Upowszechniania Kultury I Sztuki Osób Niepełnosprawnych "WIDNOKRĄG".</w:t>
      </w:r>
    </w:p>
    <w:p w:rsidR="00A821A9" w:rsidRPr="00E00B35" w:rsidRDefault="00A821A9" w:rsidP="00E00B35">
      <w:pPr>
        <w:pStyle w:val="Akapitzlist"/>
        <w:spacing w:after="0" w:line="312" w:lineRule="auto"/>
        <w:ind w:left="357"/>
        <w:rPr>
          <w:color w:val="000000"/>
          <w:szCs w:val="20"/>
          <w:lang w:val="pl-PL"/>
        </w:rPr>
      </w:pPr>
    </w:p>
    <w:p w:rsidR="00CA14AB" w:rsidRPr="00E00B35" w:rsidRDefault="00CA14AB" w:rsidP="00E00B35">
      <w:pPr>
        <w:spacing w:after="0" w:line="312" w:lineRule="auto"/>
        <w:rPr>
          <w:szCs w:val="20"/>
        </w:rPr>
      </w:pPr>
      <w:r w:rsidRPr="00E00B35">
        <w:rPr>
          <w:szCs w:val="20"/>
        </w:rPr>
        <w:t xml:space="preserve">W związku z epidemią COVID-19 wszystkie wymienione wyżej projekty zostały realizowane w ograniczonym zakresie oraz on-line. </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WSPÓŁPR</w:t>
      </w:r>
      <w:r w:rsidR="006C1E97" w:rsidRPr="00E00B35">
        <w:rPr>
          <w:sz w:val="20"/>
          <w:szCs w:val="20"/>
        </w:rPr>
        <w:t>ACA Z WOJEWÓDZTWEM DOLNOŚLĄSKIM</w:t>
      </w:r>
    </w:p>
    <w:p w:rsidR="00CA14AB" w:rsidRPr="00E00B35" w:rsidRDefault="00CA14AB" w:rsidP="00E00B35">
      <w:pPr>
        <w:spacing w:after="0" w:line="312" w:lineRule="auto"/>
        <w:rPr>
          <w:szCs w:val="20"/>
        </w:rPr>
      </w:pPr>
      <w:r w:rsidRPr="00E00B35">
        <w:rPr>
          <w:szCs w:val="20"/>
        </w:rPr>
        <w:t>W XIV Dolnośląskim Konkursie Filmowym Komisja Konkursowa przyznała wkłady koprodukcyjne czterem filmom:</w:t>
      </w:r>
    </w:p>
    <w:p w:rsidR="00CA14AB" w:rsidRPr="00E00B35" w:rsidRDefault="00CA14AB" w:rsidP="00E00B35">
      <w:pPr>
        <w:spacing w:after="0" w:line="312" w:lineRule="auto"/>
        <w:rPr>
          <w:szCs w:val="20"/>
        </w:rPr>
      </w:pPr>
      <w:r w:rsidRPr="00E00B35">
        <w:rPr>
          <w:szCs w:val="20"/>
        </w:rPr>
        <w:t>Filmy dokumentalne:</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„Ostatnia wyprawa”  reż. Eliza Kubarska (BRAIDMADE FILMS) – 70 000 zł</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„Sztuka Natalii LL” reż. Andrzej Sapija (KAMEROVID) – 45 000 zł</w:t>
      </w:r>
    </w:p>
    <w:p w:rsidR="006C1E97" w:rsidRPr="00E00B35" w:rsidRDefault="006C1E97"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Filmy fabularne:</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„Tak ma być” reż. Łukasz Grzegorzek (KOSKINO) – 220 000 zł</w:t>
      </w:r>
    </w:p>
    <w:p w:rsidR="00CA14AB" w:rsidRPr="00E00B35" w:rsidRDefault="00CA14AB" w:rsidP="00E00B35">
      <w:pPr>
        <w:pStyle w:val="Akapitzlist"/>
        <w:numPr>
          <w:ilvl w:val="0"/>
          <w:numId w:val="9"/>
        </w:numPr>
        <w:spacing w:after="0" w:line="312" w:lineRule="auto"/>
        <w:ind w:left="357" w:hanging="357"/>
        <w:rPr>
          <w:color w:val="000000"/>
          <w:szCs w:val="20"/>
          <w:lang w:val="pl-PL"/>
        </w:rPr>
      </w:pPr>
      <w:r w:rsidRPr="00E00B35">
        <w:rPr>
          <w:color w:val="000000"/>
          <w:szCs w:val="20"/>
          <w:lang w:val="pl-PL"/>
        </w:rPr>
        <w:t>„Sonata” reż. Bartosz Blaschke (MEDIABRIGADE) – 165 000 zł</w:t>
      </w:r>
    </w:p>
    <w:p w:rsidR="006C1E97" w:rsidRPr="00E00B35" w:rsidRDefault="006C1E97"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 roku 2020 Wrocławska Komisja Filmowa w pełnym zakresie zrealizowała założone zadania na których realizację otrzymała dotację.</w:t>
      </w:r>
    </w:p>
    <w:p w:rsidR="00CA14AB" w:rsidRPr="00E00B35" w:rsidRDefault="00CA14AB" w:rsidP="00E00B35">
      <w:pPr>
        <w:spacing w:after="0" w:line="312" w:lineRule="auto"/>
        <w:rPr>
          <w:szCs w:val="20"/>
        </w:rPr>
      </w:pPr>
      <w:r w:rsidRPr="00E00B35">
        <w:rPr>
          <w:szCs w:val="20"/>
        </w:rPr>
        <w:t>WSPIERANIE PRODUCENTÓW zainteresowanych realizacją filmów i programów telewizyjnych na Dolnym Śląsku – wsparcie logistyczne i merytoryczne 35 projektów filmowych i telewizyjnych polskich i zagranicznych, które były lub będą realizowane na Dolnym Śląsku, w tym m.in.:</w:t>
      </w:r>
    </w:p>
    <w:p w:rsidR="00CA14AB" w:rsidRPr="00E00B35" w:rsidRDefault="00CA14AB" w:rsidP="00E00B35">
      <w:pPr>
        <w:pStyle w:val="Akapitzlist"/>
        <w:numPr>
          <w:ilvl w:val="0"/>
          <w:numId w:val="9"/>
        </w:numPr>
        <w:spacing w:after="0" w:line="312" w:lineRule="auto"/>
        <w:ind w:left="357" w:hanging="357"/>
        <w:rPr>
          <w:szCs w:val="20"/>
        </w:rPr>
      </w:pPr>
      <w:r w:rsidRPr="00E00B35">
        <w:rPr>
          <w:color w:val="000000"/>
          <w:szCs w:val="20"/>
          <w:lang w:val="pl-PL"/>
        </w:rPr>
        <w:t>Współpraca</w:t>
      </w:r>
      <w:r w:rsidRPr="00E00B35">
        <w:rPr>
          <w:szCs w:val="20"/>
        </w:rPr>
        <w:t xml:space="preserve"> realizacyjna przy niemieckim sześcioodcinkowym miniserialu „The Palast” w reżyserii Uli Edela („Miasteczko Twin Peaks”, „My, dzieci z Dworca Zoo”) – pomoc w kontaktach do przedstawicieli branży lokalnej, zabezpieczenie lokacji oraz zaplecza produkcyjno-technicznego. Zdjęcia do tej produkcji kręcono na podwórku przy ul. Łukasińskiego we Wrocławiu, które grało berlińskie podwórko z 1987 r.</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Wsparcie produkcyjne filmu fabularnego „Lipstick on the Glass” Kuby Czekaja, dofinansowanego przez Dolnośląski Konkurs Filmowy – kontakt z zarządcami obiektów zdjęciowych (Muzeum Narodowe – Pawilon Czterech Kopuł, Hala Stulecia).</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Wsparcie realizacyjne filmu fabularnego „Powrót do Legolandu” Konrada Aksinowicza, dofinansowanego przez Dolnośląski Konkurs Filmowy (zdjęcia głównie na wrocławskim Szczepinie) – organizacja dnia prasowego na planie z udziałem aktorów Weroniki Książkiewicz, Sebastiana Stankiewicza i Macieja Stuhra.</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Scouting lokacji do projektu filmu fabularnego w fazie developmentu scenariuszowego „Burnt Grass” Katarzyny Klimkiewicz – poszukiwanie dużego nowoczesnego domu na uboczu, przy lesie (Sulistrowice, Sobótka, Galowice, Stróża).</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Scouting lokacji do projektu filmu dokumentalnego „Wika” Agnieszki Zwiefki, dofinansowanego przez Dolnośląski Konkurs Filmowy – poszukiwanie fotogenicznych i atrakcyjnych pod kątem promocyjnym lokacji uzdrowiskowych na Dolnym Śląsku (Kudowa-Zdrój, Lądek-Zdrój)</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Wsparcie realizacyjne dla filmu fabularnego „The Silent Twins” w reżyserii Agnieszki Smoczyńskiej.</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Wsparcie realizacyjne niemieckiego miniserialu telewizyjnego „Biały dom nad Renem”, za którego zdjęcia w Polsce (Wrocław, Szczawno-Zdrój, Jelcz-Laskowice) odpowiadała firma Arbor Films.</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lastRenderedPageBreak/>
        <w:t>Bieżące przesyłanie propozycji lokacji filmowych z regionu oraz kontaktów do branży lokalnej w odpowiedzi na zapytania mailowe ze strony producentów zagranicznych i polskich oraz Polskiej Komisji Filmowej.</w:t>
      </w:r>
    </w:p>
    <w:p w:rsidR="006C1E97" w:rsidRPr="00E00B35" w:rsidRDefault="006C1E97"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Ponadto, w okresie od marca do maja, udział w spotkaniach online „Komisji E” Sztabu Kryzysowego ds. kinematografii powołanego przez Polski Instytut Sztuki Filmowej – cotygodniowe zebrania z przedstawicielami innych regionalnych komisji filmowych oraz PISF dot. działań wspierających dla branży filmowej w związku z pandemią, bieżący kontakt z przedstawicielami branży lokalnej we Wrocławiu i na Dolnym Śląsku, zbieranie informacji o przerwanych produkcjach w regionie, monitorowanie postępu produkcji dofinansowanych ze środków Dolnośląskiego Konkursu Filmowego, informowanie o mechanizmach pomocowych, pośredniczenie między zainteresowanymi uzyskaniem wsparcia a operatorami środków pomocowych (działania realizowane w sposób ciągły bez związku z zamknięciem kin), współpraca przy opracowywaniu Podstawowych zasad bezpieczeństwa na planie filmowym (dokumentu umożliwiającego powrót na plany filmowe w nowym reżimie sanitarnym).</w:t>
      </w:r>
    </w:p>
    <w:p w:rsidR="006C1E97" w:rsidRPr="00E00B35" w:rsidRDefault="00CA14AB" w:rsidP="00E00B35">
      <w:pPr>
        <w:spacing w:after="0" w:line="312" w:lineRule="auto"/>
        <w:rPr>
          <w:szCs w:val="20"/>
        </w:rPr>
      </w:pPr>
      <w:r w:rsidRPr="00E00B35">
        <w:rPr>
          <w:szCs w:val="20"/>
        </w:rPr>
        <w:t>PROMOCJA REGIONU jako miejsca atrakcyjnego dla realizacji projektów i inicjatyw filmowych, otwartego na współpracę z producentami filmowymi podczas wydarzeń branżowych w kraju i za granicą (z uwagi na pandemię głównie online)</w:t>
      </w:r>
      <w:r w:rsidRPr="00E00B35">
        <w:rPr>
          <w:szCs w:val="20"/>
        </w:rPr>
        <w:br/>
      </w:r>
    </w:p>
    <w:p w:rsidR="00CA14AB" w:rsidRPr="00E00B35" w:rsidRDefault="00CA14AB" w:rsidP="00E00B35">
      <w:pPr>
        <w:pStyle w:val="Nagwek4"/>
        <w:spacing w:before="0" w:after="0" w:line="312" w:lineRule="auto"/>
        <w:rPr>
          <w:sz w:val="20"/>
          <w:szCs w:val="20"/>
        </w:rPr>
      </w:pPr>
      <w:r w:rsidRPr="00E00B35">
        <w:rPr>
          <w:sz w:val="20"/>
          <w:szCs w:val="20"/>
        </w:rPr>
        <w:t>PROMOCJA KRAJOWA</w:t>
      </w:r>
      <w:r w:rsidR="006C1E97" w:rsidRPr="00E00B35">
        <w:rPr>
          <w:sz w:val="20"/>
          <w:szCs w:val="20"/>
        </w:rPr>
        <w:t>:</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 xml:space="preserve">maj/czerwiec / udział w Krakowskim Festiwalu Filmowym (edycja online) i w wydarzeniach branżowych KFF Industry – spotkania branżowe, promocja potencjału filmowego Dolnego Śląska, prezentacje projektów; </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udział w cotygodniowych branżowych webinariach Krajowej Izby Producentów Audiowizualnych dotyczących profesjonalizacji polskiej branży filmowej oraz dynamicznych zmian na polskim rynku filmowym wynikających z pandemii i czasowego zamknięcia kin oraz wstrzymania produkcji filmowej (rynek dystrybucyjny, konsekwencje nowelizacji Ustawy o kinematografii etc.)</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grudzień / Festiwal Polskich Filmów Fabularnych w Gdyni / sekcja branżowa Gdynia Industry (edycja online) – współorganizacja Spotkania przedstawicieli Regionalnych Funduszy Filmowych w Polsce - wspólna dyskusja przedstawicieli regionalnych funduszy filmowych w Polsce oraz ich organizatorów, aby pokazać, dlaczego tak ważne jest inwestowanie w kulturę filmową zwłaszcza w dobie nadciągającego kryzysu ekonomicznego i jakie może to przynieść efekty.</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grudzień / Festiwal Polskich Filmów Fabularnych w Gdyni (edycja online) – uczestnictwo w projekcjach; spotkaniach branżowych; realizowany m.in. we Wrocławiu film „Żużel” Doroty Kędzierzawskiej, dofinansowany przez Dolnośląski Konkurs Filmowy, znalazł się w Konkursie Głównym Festiwalu</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 xml:space="preserve">całoroczna współpraca z Krajową Izbą Producentów Audiowizualnych – uczestnictwo w spotkaniach branżowych (głównie online) z członkami innych komisji regionalnych w KIPA, aktywne członkostwo, uczestnictwo w szkoleniach i profesjonalizacja zawodowa przedstawicieli WFC – w tym szkolenie z serwisów produkcyjnych dla </w:t>
      </w:r>
      <w:r w:rsidRPr="00E00B35">
        <w:rPr>
          <w:szCs w:val="20"/>
        </w:rPr>
        <w:lastRenderedPageBreak/>
        <w:t>zagranicznych projektów filmowych i szkolenia z zagadnień księgowości w produkcji filmowej</w:t>
      </w:r>
    </w:p>
    <w:p w:rsidR="006C1E97" w:rsidRPr="00E00B35" w:rsidRDefault="006C1E97" w:rsidP="00E00B35">
      <w:pPr>
        <w:pStyle w:val="Akapitzlist"/>
        <w:spacing w:after="0" w:line="312" w:lineRule="auto"/>
        <w:ind w:left="357"/>
        <w:rPr>
          <w:szCs w:val="20"/>
        </w:rPr>
      </w:pPr>
    </w:p>
    <w:p w:rsidR="00CA14AB" w:rsidRPr="00E00B35" w:rsidRDefault="00CA14AB" w:rsidP="00E00B35">
      <w:pPr>
        <w:pStyle w:val="Nagwek4"/>
        <w:spacing w:before="0" w:after="0" w:line="312" w:lineRule="auto"/>
        <w:rPr>
          <w:sz w:val="20"/>
          <w:szCs w:val="20"/>
        </w:rPr>
      </w:pPr>
      <w:r w:rsidRPr="00E00B35">
        <w:rPr>
          <w:sz w:val="20"/>
          <w:szCs w:val="20"/>
        </w:rPr>
        <w:t>PROMOCJA MIĘDZYNARODOWA</w:t>
      </w:r>
    </w:p>
    <w:p w:rsidR="00CA14AB" w:rsidRPr="00E00B35" w:rsidRDefault="00CA14AB" w:rsidP="00E00B35">
      <w:pPr>
        <w:spacing w:after="0" w:line="312" w:lineRule="auto"/>
        <w:rPr>
          <w:szCs w:val="20"/>
        </w:rPr>
      </w:pPr>
      <w:r w:rsidRPr="00E00B35">
        <w:rPr>
          <w:szCs w:val="20"/>
        </w:rPr>
        <w:t>Udział w targach, wydarzeniach branżowych i festiwalach zagranicznych:</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wrzesień / Warsaw Kids Film Forum (edycja online) – udział w spotkaniach branżowych i prezentacjach projektów, promocja filmowego potencjału regionu</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listopad/ Festiwal Filmowy w Cottbus / sekcja branżowa CoCo Connecting Cottbus (edycja online) – współpraca promocyjna, udział w spotkaniach branżowych, promocja filmowego potencjału regionu, prezentacja projektów</w:t>
      </w:r>
      <w:r w:rsidR="006C1E97" w:rsidRPr="00E00B35">
        <w:rPr>
          <w:szCs w:val="20"/>
        </w:rPr>
        <w:t>.</w:t>
      </w:r>
    </w:p>
    <w:p w:rsidR="006C1E97" w:rsidRPr="00E00B35" w:rsidRDefault="006C1E97" w:rsidP="00E00B35">
      <w:pPr>
        <w:pStyle w:val="Akapitzlist"/>
        <w:spacing w:after="0" w:line="312" w:lineRule="auto"/>
        <w:ind w:left="357"/>
        <w:rPr>
          <w:szCs w:val="20"/>
        </w:rPr>
      </w:pPr>
    </w:p>
    <w:p w:rsidR="00CA14AB" w:rsidRPr="00E00B35" w:rsidRDefault="00CA14AB" w:rsidP="00E00B35">
      <w:pPr>
        <w:spacing w:after="0" w:line="312" w:lineRule="auto"/>
        <w:rPr>
          <w:szCs w:val="20"/>
        </w:rPr>
      </w:pPr>
      <w:r w:rsidRPr="00E00B35">
        <w:rPr>
          <w:szCs w:val="20"/>
        </w:rPr>
        <w:t>Organizacja i współorganizacja wydarzeń branżowych, mających na celu promocję filmowego potencjału Wrocławia oraz profesjonalizację zawodową przedstawicieli branży lokalnej:</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styczeń / Wrocław Media &amp; Film Production Delegation – wyjazd do Pragi dla przedstawicieli branży dolnośląskiej: wizyta w Barrandov Studio, spotkania z branżą czeską oraz przedstawicielami czeskich instytucji filmowych, prezentacja filmowego potencjału Wrocławia (wyjazd zorganizowany we współpracy z Wydziałem Współpracy z Zagranicą UMWD)</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lipiec / Polish Days (edycja online) – spotkania branżowe, promocja potencjału filmowego Dolnego Śląska, prezentacje projektów</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listopad / American Film Festival / sekcja branżowa US in Progress – współpraca organizacyjna i promocja, prezentacja lokacji i filmowego potencjału Wrocławia, uczestnictwo w spotkaniach z twórcami z USA, prezentacja projektów</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grudzień / webinarium „How to put Poland on the international radar” – współorganizacja szkolenia branżowego dla location scoutów i managerów oraz kierowników produkcji i producentów, obejmującego m.in. omówienie roli location managera przy wysokobudżetowych produkcjach i koprodukcjach międzynarodowych, w tym zakresu obowiązków i odpowiedzialności na tym stanowisku. Spotkanie, w języku angielskim, prowadzili doświadczeni location managerowie z Europy, USA i Kanady zrzeszeni w Location Managers Guild International (LMGI – organizacja, z siedzibą w Los Angeles, założona w 2003 roku, obecnie zrzeszająca ponad 800 location managerów i scoutów z całego świata). Webinarium zorganizowały regionalne komisje filmowe: Kraków Film Commission, Łódź Film Commission, Mazovia/Warsaw Film Commission, Podkarpackie Film Commission, Silesia Film Commission, Wrocław Film Commission i Krajowa Izba Producentów Audiowizualnych.</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grudzień / FOCUS Londyn (edycja online) – udział w targach i spotkaniach branżowych, promocja lokacji filmowych i filmowego potencjału regionu</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całoroczna współpraca z Association of Film Commissioners International – członkostwo w międzynarodowym stowarzyszeniu komisji filmowych, promocja WFC i filmowego potencjału Wrocławia na arenie międzynarodowej, dostęp do platformy branżowej, uczestnictwo w międzynarodowych spotkaniach i warsztatach branżowych, wymiana informacji o sytuacji w branży związanej z pandemią</w:t>
      </w:r>
      <w:r w:rsidR="006C1E97" w:rsidRPr="00E00B35">
        <w:rPr>
          <w:szCs w:val="20"/>
        </w:rPr>
        <w:t>.</w:t>
      </w:r>
    </w:p>
    <w:p w:rsidR="006C1E97" w:rsidRPr="00E00B35" w:rsidRDefault="006C1E97" w:rsidP="00E00B35">
      <w:pPr>
        <w:pStyle w:val="Akapitzlist"/>
        <w:spacing w:after="0" w:line="312" w:lineRule="auto"/>
        <w:ind w:left="357"/>
        <w:rPr>
          <w:szCs w:val="20"/>
        </w:rPr>
      </w:pPr>
    </w:p>
    <w:p w:rsidR="00CA14AB" w:rsidRPr="00E00B35" w:rsidRDefault="00CA14AB" w:rsidP="00E00B35">
      <w:pPr>
        <w:spacing w:after="0" w:line="312" w:lineRule="auto"/>
        <w:rPr>
          <w:szCs w:val="20"/>
        </w:rPr>
      </w:pPr>
      <w:r w:rsidRPr="00E00B35">
        <w:rPr>
          <w:szCs w:val="20"/>
        </w:rPr>
        <w:t xml:space="preserve">Ponadto: </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sierpień / premiera filmu „Dolina Bogów” Lecha Majewskiego w Kinie DCF, koprodukowanego przez Dolnośląskie Centrum Filmowe poprzez Dolnośląski Konkurs Filmowy, realizowanego częściowo we Wrocławiu i na Dolnym Śląsku z udziałem Johna Malkovicha.</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wrzesień / premiera koprodukowanego przez DCF filmu „Interior” Marka Lechkiego, częściowo realizowanego we Wrocławiu i na Dolnym Śląsku, z udziałem aktora Piotra Żurawskiego.</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Przygotowanie materiałów promocyjnych Wroclaw Film Commision: maseczki, kalendarze, pamięć USB</w:t>
      </w:r>
      <w:r w:rsidR="006C1E97" w:rsidRPr="00E00B35">
        <w:rPr>
          <w:szCs w:val="20"/>
        </w:rPr>
        <w:t>.</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Rozbudowa bazy lokacji - systematyczna rozbudowa bazy lokacji filmowych.</w:t>
      </w:r>
    </w:p>
    <w:p w:rsidR="006C1E97" w:rsidRPr="00E00B35" w:rsidRDefault="006C1E97" w:rsidP="00E00B35">
      <w:pPr>
        <w:pStyle w:val="Akapitzlist"/>
        <w:spacing w:after="0" w:line="312" w:lineRule="auto"/>
        <w:ind w:left="357"/>
        <w:rPr>
          <w:szCs w:val="20"/>
        </w:rPr>
      </w:pPr>
    </w:p>
    <w:p w:rsidR="00CA14AB" w:rsidRPr="00E00B35" w:rsidRDefault="00CA14AB" w:rsidP="00E00B35">
      <w:pPr>
        <w:pStyle w:val="Nagwek4"/>
        <w:spacing w:before="0" w:after="0" w:line="312" w:lineRule="auto"/>
        <w:rPr>
          <w:sz w:val="20"/>
          <w:szCs w:val="20"/>
        </w:rPr>
      </w:pPr>
      <w:r w:rsidRPr="00E00B35">
        <w:rPr>
          <w:sz w:val="20"/>
          <w:szCs w:val="20"/>
        </w:rPr>
        <w:t>NOC MUZEÓW WE WROCŁAWIU</w:t>
      </w:r>
    </w:p>
    <w:p w:rsidR="00CA14AB" w:rsidRPr="00E00B35" w:rsidRDefault="00CA14AB" w:rsidP="00E00B35">
      <w:pPr>
        <w:spacing w:after="0" w:line="312" w:lineRule="auto"/>
        <w:rPr>
          <w:szCs w:val="20"/>
        </w:rPr>
      </w:pPr>
      <w:r w:rsidRPr="00E00B35">
        <w:rPr>
          <w:szCs w:val="20"/>
        </w:rPr>
        <w:t xml:space="preserve">Z powodu epidemii COVID-19, Noc Muzeów w tradycyjnej formule nie odbyła się. </w:t>
      </w:r>
      <w:r w:rsidRPr="00E00B35">
        <w:rPr>
          <w:szCs w:val="20"/>
        </w:rPr>
        <w:br/>
        <w:t xml:space="preserve">W zastępstwie, zorganizowana została impreza pn. Wirtualna Noc Muzeów, podczas której można było zwiedzić 15 placówek muzealnych online. </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PROGRAM REZYDENCJI ARTYSTYCZNYCH</w:t>
      </w:r>
    </w:p>
    <w:p w:rsidR="00CA14AB" w:rsidRPr="00E00B35" w:rsidRDefault="00CA14AB" w:rsidP="00E00B35">
      <w:pPr>
        <w:spacing w:after="0" w:line="312" w:lineRule="auto"/>
        <w:rPr>
          <w:szCs w:val="20"/>
        </w:rPr>
      </w:pPr>
      <w:r w:rsidRPr="00E00B35">
        <w:rPr>
          <w:szCs w:val="20"/>
        </w:rPr>
        <w:t>W ramach współpracy z Miastem Partnerskim Drezno na rzecz promocji twórczości artystów poprzez umożliwienie wymiany artystycznej, zorganizowany został pobyt artysty z Wrocławia w pracowni grafiki Grafikwerkstatt Dresden. Z powodu pandemii  pobyt artysty z Drezna w Domku Miedziorytnika i w warsztacie grafiki Galerii Miejskiej we Wrocławiu został przesunięty na 2021 r.</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PROGRAM ZAKUPU DZIEŁ SZTUKI</w:t>
      </w:r>
    </w:p>
    <w:p w:rsidR="00CA14AB" w:rsidRPr="00E00B35" w:rsidRDefault="00CA14AB" w:rsidP="00E00B35">
      <w:pPr>
        <w:spacing w:after="0" w:line="312" w:lineRule="auto"/>
        <w:rPr>
          <w:szCs w:val="20"/>
        </w:rPr>
      </w:pPr>
      <w:r w:rsidRPr="00E00B35">
        <w:rPr>
          <w:szCs w:val="20"/>
        </w:rPr>
        <w:t xml:space="preserve">Program zakupu dzieł sztuki stanowił integralną część Wrocławskiego Programu Interwencji Społecznej. Przedsięwzięcie było formą wsparcia artystów związanych z Wrocławiem, w związku z działaniami interwencyjnymi w obszarze kultury podjętymi z powodu trwania epidemii COVID-19. Do konkursu wpłynęły 152 oferty sprzedaży dzieł na łączną kwotę 985.450 zł. W wyniku rozstrzygnięcia konkursu zakupionych zostało 30 prac od wrocławskich artystów na kwotę 127.900 zł. Zakupione w ramach Programu dzieła sztuki okresowo będą eksponowane w budynku Urzędu Miejskiego Wrocławia, docelowo zostaną przekazane zbiorów wrocławskich instytucji wystawienniczych, część z nich zostanie wykorzystana do celów reprezentacyjnych przez Prezydenta Wrocławia.  </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KINOMURAL 2020 (19-20.09.2020 r.)</w:t>
      </w:r>
    </w:p>
    <w:p w:rsidR="00CA14AB" w:rsidRPr="00E00B35" w:rsidRDefault="00CA14AB" w:rsidP="00E00B35">
      <w:pPr>
        <w:spacing w:after="0" w:line="312" w:lineRule="auto"/>
        <w:rPr>
          <w:szCs w:val="20"/>
        </w:rPr>
      </w:pPr>
      <w:r w:rsidRPr="00E00B35">
        <w:rPr>
          <w:szCs w:val="20"/>
        </w:rPr>
        <w:t xml:space="preserve">Ruchome murale na wrocławskim Nadodrzu. Wrocław ponownie zamienił się w wielkoformatową galerię sztuki. Za sprawą drugiej edycji Kinomuralu – unikatowego w skali kraju i świata projektu z pogranicza filmu i sztuk wizualnych. Podczas drugiej edycji Kinomuralu na 5 ścianach kamienic wrocławskiego Nadodrza widzowie zobaczyli prawie 90 prac 48 artystów z 16 krajów. Wyświetlone zostały filmy poklatkowe, rysunkowe i medytacyjne, dzieła abstrakcyjne, eksperymentalne i fabularne. Po raz pierwszy </w:t>
      </w:r>
      <w:r w:rsidRPr="00E00B35">
        <w:rPr>
          <w:szCs w:val="20"/>
        </w:rPr>
        <w:lastRenderedPageBreak/>
        <w:t>wyświetlone zostały animacje 3D. Dzięki artystom z całego świata nadodrzańskie podwórka zamieniły się w baśniowy mikrokosmos ze sztuką w roli głównej.</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138" w:name="_Toc72352320"/>
      <w:bookmarkStart w:id="139" w:name="_Toc72352754"/>
      <w:r w:rsidRPr="00E00B35">
        <w:rPr>
          <w:sz w:val="20"/>
          <w:szCs w:val="20"/>
        </w:rPr>
        <w:t>WROCŁAWSKIE FILMOWE CENTRUM SENIORA</w:t>
      </w:r>
      <w:bookmarkEnd w:id="138"/>
      <w:bookmarkEnd w:id="139"/>
    </w:p>
    <w:p w:rsidR="00CA14AB" w:rsidRPr="00E00B35" w:rsidRDefault="00CA14AB" w:rsidP="00E00B35">
      <w:pPr>
        <w:spacing w:after="0" w:line="312" w:lineRule="auto"/>
        <w:rPr>
          <w:szCs w:val="20"/>
        </w:rPr>
      </w:pPr>
      <w:r w:rsidRPr="00E00B35">
        <w:rPr>
          <w:szCs w:val="20"/>
        </w:rPr>
        <w:t>W 2020 roku wrocławscy seniorzy mieli możliwość spotkania z polskimi aktorami. Pomysłodawcą jest Stanisław Dzierniejko, dyrektor Festiwalu Aktorstwa Filmowego i Festiwalu Reżyserii Filmowej, który razem z aktorem Robertem Gonerą zasiadł w komisji rekrutującej uczestników do nowo powstających grup warsztatowych. Ideą projektu oprócz spotkań z gwiazdami małego i wielkiego ekranu było powstanie filmu dotyczącego życia wrocławskich seniorów. Warsztaty aktorskie prowadziła aktorka dr Małgorzata Lipmann, wykładowca Warszawskiej Szkoły Filmowej, a sztuki reżyserowania uczył reżyser prof. Janusz Majewski, rektor Warszawskiej Szkoły Filmowej. Podczas aktorskich warsztatów seniorzy pracowali nad dwuosobowymi scenami, które wprowadzały ich w świat pracy aktora. Wrocławscy seniorzy mieli okazję poznać plan filmowy oraz wystąpili w serialu „Ojciec Mateusz”</w:t>
      </w:r>
      <w:r w:rsidR="00544448" w:rsidRPr="00E00B35">
        <w:rPr>
          <w:szCs w:val="20"/>
        </w:rPr>
        <w:t>.</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140" w:name="_Toc72352321"/>
      <w:bookmarkStart w:id="141" w:name="_Toc72352755"/>
      <w:r w:rsidRPr="00E00B35">
        <w:rPr>
          <w:sz w:val="20"/>
          <w:szCs w:val="20"/>
        </w:rPr>
        <w:t>STYPENDIA NA REALIZACJĘ PRZEDSIĘWZIĘCIA</w:t>
      </w:r>
      <w:bookmarkEnd w:id="140"/>
      <w:bookmarkEnd w:id="141"/>
    </w:p>
    <w:p w:rsidR="00CA14AB" w:rsidRPr="00E00B35" w:rsidRDefault="00CA14AB" w:rsidP="00E00B35">
      <w:pPr>
        <w:spacing w:after="0" w:line="312" w:lineRule="auto"/>
        <w:rPr>
          <w:szCs w:val="20"/>
        </w:rPr>
      </w:pPr>
      <w:r w:rsidRPr="00E00B35">
        <w:rPr>
          <w:szCs w:val="20"/>
        </w:rPr>
        <w:t xml:space="preserve">W 2020 r. ogłoszono trzy nabory wniosków na stypendia artystyczne Prezydenta Wrocławia, które przeznaczone są na realizację przedsięwzięcia w następujących dziedzinach: film, literatura, muzyka, taniec, teatr, sztuki wizualne i upowszechnianie kultury. Stypendia te przyznaje się osobom, które ukończyły 18 rok życia, których miejscem zamieszkania lub tworzenia jest Wrocław lub realizującym projekt wprost dotyczący Wrocławia. W wyniku rozstrzygnięcia pierwszego naboru w 2020 r. przyznano 20 stypendiów na II półrocze 2020 r. w kwocie 2500 zł brutto miesięcznie. Drugi nabór w 2020 r., w wyniku którego przyznano 25 stypendiów w wysokości 2000 zł brutto miesięcznie, został ogłoszony jako dodatkowy, w ramach Wrocławskiego Programu Interwencji Społecznej. W listopadzie 2020 r. rozstrzygnięto konkurs </w:t>
      </w:r>
      <w:r w:rsidRPr="00E00B35">
        <w:rPr>
          <w:szCs w:val="20"/>
        </w:rPr>
        <w:br/>
        <w:t>na przyznanie stypendiów na I półrocze 2021 r. i cały 2021 r. Stypendia przyznano 22 osobom w kwocie 2500 zł brutto miesięcznie.</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142" w:name="_Toc72352322"/>
      <w:bookmarkStart w:id="143" w:name="_Toc72352756"/>
      <w:r w:rsidRPr="00E00B35">
        <w:rPr>
          <w:sz w:val="20"/>
          <w:szCs w:val="20"/>
        </w:rPr>
        <w:t>STYPENDIA DLA MŁODZIEŻY UCZĄCEJ SIĘ DO 30. ROKU ŻYCIA</w:t>
      </w:r>
      <w:bookmarkEnd w:id="142"/>
      <w:bookmarkEnd w:id="143"/>
    </w:p>
    <w:p w:rsidR="00CA14AB" w:rsidRPr="00E00B35" w:rsidRDefault="00CA14AB" w:rsidP="00E00B35">
      <w:pPr>
        <w:spacing w:after="0" w:line="312" w:lineRule="auto"/>
        <w:rPr>
          <w:szCs w:val="20"/>
        </w:rPr>
      </w:pPr>
      <w:r w:rsidRPr="00E00B35">
        <w:rPr>
          <w:szCs w:val="20"/>
        </w:rPr>
        <w:t xml:space="preserve">Zespół Oceniający po rozpatrzeniu 115 wniosków przyznał 106 stypendiów artystycznych na rok szkolny i akademicki 2020/2021, w tym: 18 stypendiów dla uczniów szkół podstawowych i ponadpodstawowych w wysokości 300 zł miesięcznie na okres 10 miesięcy (od września 2020 do czerwca 2021 r.), 21 stypendiów dla studentów krajowych uczelni artystycznych w wysokości 400 zł miesięcznie na okres 9 miesięcy (od października 2020 do czerwca 2021 r.), 4 stypendia na studia za granicą w wysokości 600 zł miesięcznie (od października 2020 do czerwca 2021), 17 stypendiów uczniowskich przyznanych na okres 3 miesięcy w kwocie 300 zł miesięcznie, 26 stypendiów uczniowskich przyznanych na okres 4 miesięcy w kwocie 300 zł miesięcznie, 14 stypendiów uczniowskich przyznanych na okres 5 miesięcy w kwocie 300 zł miesięcznie, 3 stypendia studenckie przyznane na okres 3 miesięcy w kwocie 400 zł miesięcznie, 1 stypendium studenckie przyznane na okres 4 miesięcy w kwocie 400 zł miesięcznie, 1 </w:t>
      </w:r>
      <w:r w:rsidRPr="00E00B35">
        <w:rPr>
          <w:szCs w:val="20"/>
        </w:rPr>
        <w:lastRenderedPageBreak/>
        <w:t xml:space="preserve">stypendium studenckie przyznane na okres 5 miesięcy w kwocie 400 zł miesięcznie, 1 stypendium studenckie przyznane na okres 6 miesięcy w kwocie 400 zł miesięcznie. </w:t>
      </w:r>
    </w:p>
    <w:p w:rsidR="00CA14AB" w:rsidRPr="00E00B35" w:rsidRDefault="00CA14AB" w:rsidP="00E00B35">
      <w:pPr>
        <w:spacing w:after="0" w:line="312" w:lineRule="auto"/>
        <w:rPr>
          <w:szCs w:val="20"/>
        </w:rPr>
      </w:pPr>
      <w:r w:rsidRPr="00E00B35">
        <w:rPr>
          <w:szCs w:val="20"/>
        </w:rPr>
        <w:t xml:space="preserve">Z uwagi na obostrzenia epidemiczne, Gala wręczenia dyplomów stypendialnych nie odbyła się. Dyplomy przekazano do szkół i uczelni stypendystów. </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144" w:name="_Toc72352323"/>
      <w:bookmarkStart w:id="145" w:name="_Toc72352757"/>
      <w:r w:rsidRPr="00E00B35">
        <w:rPr>
          <w:sz w:val="20"/>
          <w:szCs w:val="20"/>
        </w:rPr>
        <w:t>PREZENTACJE ARTYSTYCZNE – POZWOLENIA</w:t>
      </w:r>
      <w:bookmarkEnd w:id="144"/>
      <w:bookmarkEnd w:id="145"/>
    </w:p>
    <w:p w:rsidR="00CA14AB" w:rsidRPr="00E00B35" w:rsidRDefault="00CA14AB" w:rsidP="00E00B35">
      <w:pPr>
        <w:spacing w:after="0" w:line="312" w:lineRule="auto"/>
        <w:rPr>
          <w:szCs w:val="20"/>
        </w:rPr>
      </w:pPr>
      <w:r w:rsidRPr="00E00B35">
        <w:rPr>
          <w:szCs w:val="20"/>
        </w:rPr>
        <w:t xml:space="preserve">Wydano 48 pozwoleń na prezentacje artystyczne w zakresie muzyki – na podstawie zarządzenia nr 4471/16 Prezydenta Wrocławia z dnia 31 maja 2016 r. </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146" w:name="_Toc72352324"/>
      <w:bookmarkStart w:id="147" w:name="_Toc72352758"/>
      <w:r w:rsidRPr="00E00B35">
        <w:rPr>
          <w:sz w:val="20"/>
          <w:szCs w:val="20"/>
        </w:rPr>
        <w:t>ŚWIĘTO WROCŁAWIA  2020</w:t>
      </w:r>
      <w:bookmarkEnd w:id="146"/>
      <w:bookmarkEnd w:id="147"/>
    </w:p>
    <w:p w:rsidR="00CA14AB" w:rsidRPr="00E00B35" w:rsidRDefault="00CA14AB" w:rsidP="00E00B35">
      <w:pPr>
        <w:spacing w:after="0" w:line="312" w:lineRule="auto"/>
        <w:rPr>
          <w:szCs w:val="20"/>
        </w:rPr>
      </w:pPr>
      <w:r w:rsidRPr="00E00B35">
        <w:rPr>
          <w:szCs w:val="20"/>
        </w:rPr>
        <w:t>Z powodu epidemii Covid-19 obchody Święta Wrocławia 2020 r. były znacznie skromniejsze, w czerwcu nie odbyły się coroczne imprezy kulturalne z okazji Święta Miasta. Uroczysta sesja Rady Miejskiej odbyła się, która tradycyjnie odbywa się 24 czerwca, w 2020 r. z powodu pandemii została zwołana na 24 września w Sali Wielkiej Ratusza.   Prezydent  Wrocławia ufundował nagrody:</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Towarzystwu Miłośników Wrocławia - za wieloletnią działalność na rzecz lokalnej społeczności;</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Andrzejowi Hrehorowiczowi - za wkład wniesiony w rozwój sportu akademickiego;</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Dolnośląskiej Izbie Rzemieślniczej we Wrocławiu - za wychowywanie młodego pokolenia w szacunku do tradycji rzemieślniczych;</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Dr inż. Zbigniewowi Sebastianowi - za wkład wniesiony w rozwój wrocławskiej i dolnośląskiej przedsiębiorczości;</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Prof. zw. dr hab. n. med. Krzysztofowi Simonowi - za zaangażowanie w ratowanie zdrowia i życia ludzkiego w czasie zagrożenia wywołanego COVID-19;</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Stowarzyszeniu Non In Solo Pane Vid(v)it Homo - za propagowanie wartości społeczno-kulturalnych;</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Firmie Techland - za budowanie pozycji Wrocławia w sferze biznesu.</w:t>
      </w:r>
    </w:p>
    <w:p w:rsidR="006C1E97" w:rsidRPr="00E00B35" w:rsidRDefault="006C1E97" w:rsidP="00E00B35">
      <w:pPr>
        <w:pStyle w:val="Akapitzlist"/>
        <w:spacing w:after="0" w:line="312" w:lineRule="auto"/>
        <w:ind w:left="357"/>
        <w:rPr>
          <w:szCs w:val="20"/>
        </w:rPr>
      </w:pPr>
    </w:p>
    <w:p w:rsidR="00CA14AB" w:rsidRPr="00E00B35" w:rsidRDefault="00CA14AB" w:rsidP="00E00B35">
      <w:pPr>
        <w:pStyle w:val="Nagwek4"/>
        <w:spacing w:before="0" w:after="0" w:line="312" w:lineRule="auto"/>
        <w:rPr>
          <w:sz w:val="20"/>
          <w:szCs w:val="20"/>
        </w:rPr>
      </w:pPr>
      <w:bookmarkStart w:id="148" w:name="_Toc72352325"/>
      <w:bookmarkStart w:id="149" w:name="_Toc72352759"/>
      <w:r w:rsidRPr="00E00B35">
        <w:rPr>
          <w:sz w:val="20"/>
          <w:szCs w:val="20"/>
        </w:rPr>
        <w:t>KSIĄŻKI</w:t>
      </w:r>
      <w:bookmarkEnd w:id="148"/>
      <w:bookmarkEnd w:id="149"/>
      <w:r w:rsidR="006C1E97" w:rsidRPr="00E00B35">
        <w:rPr>
          <w:sz w:val="20"/>
          <w:szCs w:val="20"/>
        </w:rPr>
        <w:t>:</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komplet 3 książek zapakowanych w kartonowe etui (pudełko) autorstwa Macieja Łagiewskiego pt.: „Wrocław wędrówka przez wieki”, „Wrocław podróż przez wieki”, „Wrocław spacer przez wieki” .</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„Pamiętnik dla Alicji. Świat w moich oczach”, Maria Berny</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„Niewolnicy w Breslau. Wolni we Wrocławiu”. Wspomnienia Polaków wojennego Wrocławia opracowała i do druku przygotowała Anna Kosmulska.</w:t>
      </w:r>
    </w:p>
    <w:p w:rsidR="006C1E97" w:rsidRPr="00E00B35" w:rsidRDefault="006C1E97" w:rsidP="00E00B35">
      <w:pPr>
        <w:spacing w:after="0" w:line="312" w:lineRule="auto"/>
        <w:rPr>
          <w:szCs w:val="20"/>
        </w:rPr>
      </w:pPr>
      <w:bookmarkStart w:id="150" w:name="_Toc72352326"/>
      <w:bookmarkStart w:id="151" w:name="_Toc72352760"/>
    </w:p>
    <w:p w:rsidR="00CA14AB" w:rsidRPr="00E00B35" w:rsidRDefault="00CA14AB" w:rsidP="00E00B35">
      <w:pPr>
        <w:pStyle w:val="Nagwek4"/>
        <w:spacing w:before="0" w:after="0" w:line="312" w:lineRule="auto"/>
        <w:rPr>
          <w:sz w:val="20"/>
          <w:szCs w:val="20"/>
        </w:rPr>
      </w:pPr>
      <w:r w:rsidRPr="00E00B35">
        <w:rPr>
          <w:sz w:val="20"/>
          <w:szCs w:val="20"/>
        </w:rPr>
        <w:t>NAGRODY</w:t>
      </w:r>
      <w:bookmarkEnd w:id="150"/>
      <w:bookmarkEnd w:id="151"/>
    </w:p>
    <w:p w:rsidR="00CA14AB" w:rsidRPr="00E00B35" w:rsidRDefault="00CA14AB" w:rsidP="00E00B35">
      <w:pPr>
        <w:spacing w:after="0" w:line="312" w:lineRule="auto"/>
        <w:rPr>
          <w:szCs w:val="20"/>
        </w:rPr>
      </w:pPr>
      <w:r w:rsidRPr="00E00B35">
        <w:rPr>
          <w:szCs w:val="20"/>
        </w:rPr>
        <w:t>Prezydent Wrocławia ufundował:</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nagroda Miesięcznika „ODRA” w wysokości 10.000,00 zł dla Tomasza Łubieńskiego.</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 xml:space="preserve">Literacka Nagroda Europy Środkowej Angelus w wysokości 150.000,00 zł dla laureata Gorana Vojnovica, w wysokości 40.000,00 zł dla tłumacza Joanny Pomorskiej oraz w wysokości 5.000,00 zł dla nominowanych książek: dla Kapka Kassabova, Siergieja </w:t>
      </w:r>
      <w:r w:rsidRPr="00E00B35">
        <w:rPr>
          <w:szCs w:val="20"/>
        </w:rPr>
        <w:lastRenderedPageBreak/>
        <w:t>Lebiediewa, Mikołaja Łozińskiego, Tani Malarczuk, Pawła Piotra Reszki, Serhija Żadana.</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Wrocławska Nagroda Poetycka SILESIUS w wysokości 50.000,00 zł w kategorii książka roku dla Konrada Góry, w wysokości 100.000,00 zł za całokształt twórczości Eugeniuszowi Tkaczyszynowi-Dyckiemu, w wysokości 15.000,00 zł za debiut roku Jakubowi Dawidowi Pszoniakowi oraz w wysokości 5.000,00 zł dla nominowanych za debiut: Beacie Joannie Lewandowskiej, Kasprowi Leszkowi Pfeiferowi, a także w wysokości 5.000,00 zł dla nominowanych za książkę roku: Justynie Furgał (w publikacjach Justynie Bargielskiej), Tomaszowi Bąkowi, Piotrowi Florczykowi i w wysokości 2.500,00 zł Joannie Łańcuckiej i Joannie Liczner (</w:t>
      </w:r>
      <w:r w:rsidR="006C1E97" w:rsidRPr="00E00B35">
        <w:rPr>
          <w:szCs w:val="20"/>
        </w:rPr>
        <w:t>w publikacjach Joannie Mueller).</w:t>
      </w:r>
    </w:p>
    <w:p w:rsidR="006C1E97" w:rsidRPr="00E00B35" w:rsidRDefault="006C1E97" w:rsidP="00E00B35">
      <w:pPr>
        <w:pStyle w:val="Akapitzlist"/>
        <w:spacing w:after="0" w:line="312" w:lineRule="auto"/>
        <w:ind w:left="357"/>
        <w:rPr>
          <w:szCs w:val="20"/>
        </w:rPr>
      </w:pPr>
    </w:p>
    <w:p w:rsidR="00CA14AB" w:rsidRPr="00E00B35" w:rsidRDefault="00CA14AB" w:rsidP="00E00B35">
      <w:pPr>
        <w:spacing w:after="0" w:line="312" w:lineRule="auto"/>
        <w:rPr>
          <w:szCs w:val="20"/>
        </w:rPr>
      </w:pPr>
      <w:r w:rsidRPr="00E00B35">
        <w:rPr>
          <w:szCs w:val="20"/>
        </w:rPr>
        <w:t>Prezydent Wrocławia ufundował nagrody dla laureatów Nagrody WARTO w ramach plebiscytu „Gazety Wyborczej” w wysokości: 10 000 zł (ogółem 50 000 zł) w kategorii:</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muzyka: Gaijin Blues 10 000 zł</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sztuki wizualne: Kościół Nihilistów 10 000 zł</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literatura: Marta Kucharska – 10 000 zł</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teatr: Agnieszka Charkot  10 000 zł</w:t>
      </w:r>
    </w:p>
    <w:p w:rsidR="00CA14AB" w:rsidRPr="00E00B35" w:rsidRDefault="00CA14AB" w:rsidP="00E00B35">
      <w:pPr>
        <w:pStyle w:val="Akapitzlist"/>
        <w:numPr>
          <w:ilvl w:val="0"/>
          <w:numId w:val="9"/>
        </w:numPr>
        <w:spacing w:after="0" w:line="312" w:lineRule="auto"/>
        <w:ind w:left="357" w:hanging="357"/>
        <w:rPr>
          <w:szCs w:val="20"/>
        </w:rPr>
      </w:pPr>
      <w:r w:rsidRPr="00E00B35">
        <w:rPr>
          <w:szCs w:val="20"/>
        </w:rPr>
        <w:t>film: Jagna Dobesz 10 000 zł</w:t>
      </w:r>
    </w:p>
    <w:p w:rsidR="003A0DF9" w:rsidRPr="00E00B35" w:rsidRDefault="003A0DF9"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 xml:space="preserve">BASTION SAKWOWY </w:t>
      </w:r>
    </w:p>
    <w:p w:rsidR="00CA14AB" w:rsidRPr="00E00B35" w:rsidRDefault="00CA14AB" w:rsidP="00E00B35">
      <w:pPr>
        <w:spacing w:after="0" w:line="312" w:lineRule="auto"/>
        <w:rPr>
          <w:szCs w:val="20"/>
        </w:rPr>
      </w:pPr>
      <w:r w:rsidRPr="00E00B35">
        <w:rPr>
          <w:szCs w:val="20"/>
        </w:rPr>
        <w:t>W marcu 2020 r. gmina Wrocław złożyła wniosek do Programu „Kultura” Działanie 1. „Poprawa zarządzania dziedzictwem kulturowym” w ramach MF EOG 2014 – 2021 pn. „Bastion otwarty. Rewitalizacja neoklasycystycznej zabudowy Wzgórza Partyzantów we Wrocławiu - Etap 1”. Za stronę merytoryczną, program kulturowy i część historyczną odpowiadał Wydział Kultury UMW. Projekt zakłada przebudowę i rewaloryzację, zgodnie z uzyskanym pozwoleniem na budowę i wytycznymi konserwatorskimi, następujących elementów Bastionu Sakwowego: budynku pawilonu perystylowego, budynku kolumnady, niezbędnych instalacji, ciągów pieszych, schodów terenowych, placu z fontanną, zieleni, oświetlenia terenu. Kluczowym elementem aplikacji jest solidny program kulturowy, trwałość projektu po jego zakończeniu oraz partnerstwo międzynarodowe. Wydział Kultury podpisał list intencyjny z Agencją ds. kultury Miasta Oslo, która realizowała podobne projekty w Norwegii. Łącznie w czasie trwania Projektu zaplanowano 55 nowych wydarzeń kulturalnych, które odbędą się w okresie od 1 lipca 2023 do 29 marca 2024 r. Całość działań wynikających z nowej oferty kulturalno-edukacyjnej obejmuje organizację łącznie 4045 nowych wydarzeń różnych typów w latach 2024-2033. Wniosek Gminy Wrocław przeszedł pomyślnie ocenę formalną MKiDN. W ocenie  merytorycznej otrzymał 78 punktów i znalazł się na drugim miejscu listy rezerwowej. Wydział Kultury podjął rozmowy z MKiDN ws. oceny merytorycznej i możliwości sfinansowania operacji. Rozmowy są w toku. Wartość całkowita Projektu wynosi 18 634 584,18 zł. Wartość całkowitych kosztów kwalifikowanych Projektu wynosi 12 681 031,15 zł. Wnioskowana kwota dofinansowania ze środków Programu wynosi 10 778 876,47zł.</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152" w:name="_Toc72352327"/>
      <w:bookmarkStart w:id="153" w:name="_Toc72352761"/>
      <w:r w:rsidRPr="00E00B35">
        <w:rPr>
          <w:sz w:val="20"/>
          <w:szCs w:val="20"/>
        </w:rPr>
        <w:lastRenderedPageBreak/>
        <w:t>WROCŁAWSKI KONGRES KULTURY 2020</w:t>
      </w:r>
      <w:bookmarkEnd w:id="152"/>
      <w:bookmarkEnd w:id="153"/>
    </w:p>
    <w:p w:rsidR="00CA14AB" w:rsidRPr="00E00B35" w:rsidRDefault="00CA14AB" w:rsidP="00E00B35">
      <w:pPr>
        <w:spacing w:after="0" w:line="312" w:lineRule="auto"/>
        <w:rPr>
          <w:szCs w:val="20"/>
        </w:rPr>
      </w:pPr>
      <w:r w:rsidRPr="00E00B35">
        <w:rPr>
          <w:szCs w:val="20"/>
        </w:rPr>
        <w:t xml:space="preserve">Początkowy planowany na marzec 2020 r., Wrocławski Kongres Kultury odbył się w terminie 30 listopada – 04 grudnia 2020 r. Wydarzenie możliwe było do organizacji jedynie w formie online, z uwagi na obostrzenia związane z epidemią Sars-CoV-2. Organizatorami Kongresu byli – działający w tym zakresie wspólnie – Gmina Wrocław, Strefa Kultury Wrocław oraz Strona Społeczna – Grupa Kultura Wrocław. Wydział Kultury UMW brał czynny udział w pracach przygotowawczych, współtworząc Komitet sterujący, Grupę programową oraz Grupę ds. regulaminu Wrocławskiego Kongresu Kultury 2020 oraz regulaminu określającego tryb i zasady wyboru członków Wrocławskiej Rady Kultury będących przedstawicielami Strony Społecznej, zgodnie z postanowieniami par. 5 ust. 6 Zarządzenia Prezydenta Wrocławia nr 2248/19 z dnia 17.12.2019 r. w sprawie Wrocławskiej Rady Kultury. Grupy robocze składały się z przedstawicieli różnych środowisk, zarówno artystów, animatorów przedstawicieli środowisk twórczych, przedstawicieli wyższych uczelni artystycznych, przedstawicieli UMW oraz prawników działających w polu kultury. W ramach Kongresu wypracowane zostały wspólne rekomendacje, które posłużą do dalszego planowania działań w zakresie kultury oraz prac nad przyszłym dokumentem programowy, jaki zastąpi w najbliższych latach dokument o charakterze strategicznym „Kultura –Obecna!” (perspektywa 2020+).  </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154" w:name="_Toc72352328"/>
      <w:bookmarkStart w:id="155" w:name="_Toc72352762"/>
      <w:r w:rsidRPr="00E00B35">
        <w:rPr>
          <w:sz w:val="20"/>
          <w:szCs w:val="20"/>
        </w:rPr>
        <w:t>KONSULTACJE SPOŁECZNE – PRACOWNIE ARTYSTYCZNE</w:t>
      </w:r>
      <w:bookmarkEnd w:id="154"/>
      <w:bookmarkEnd w:id="155"/>
    </w:p>
    <w:p w:rsidR="00CA14AB" w:rsidRPr="00E00B35" w:rsidRDefault="00CA14AB" w:rsidP="00E00B35">
      <w:pPr>
        <w:spacing w:after="0" w:line="312" w:lineRule="auto"/>
        <w:rPr>
          <w:szCs w:val="20"/>
        </w:rPr>
      </w:pPr>
      <w:r w:rsidRPr="00E00B35">
        <w:rPr>
          <w:szCs w:val="20"/>
        </w:rPr>
        <w:t xml:space="preserve">W listopadzie 2020 r. rozpoczął się zaplanowany na 1,5 roku proces konsultacji społecznych ws. funkcjonowania i sposobu przyznawania wrocławskim artystom i artystkom pracowni artystycznych – pracownie przekazywanych przez Gminę Wrocław w ramach miejskich konkursów.  Konsultacje, prowadzone przez WKL, WSS i Fundację na Rzecz Studiów Europejskich, były skierowane do mieszkanek i mieszkańców Wrocławia ze szczególnym uwzględnieniem artystów, aktywistów miejskich, osób z organizacji pozarządowych, pracowników miejskich instytucji kultury oraz mieszkańców kamienic komunalnych, gdzie funkcjonują pracownie. Konsultowane elementy: sposób przyznawania pracowni, skład i forma pracy komisji konkursowej, oczekiwania wrocławskiego środowiska kulturalnego w temacie pracowni artystycznych. Celem konsultacji było zebranie potrzeb oraz wstępnych rekomendacji środowiska artystycznego oraz mieszkanek i mieszkańców Wrocławia w zakresie pracowni artystycznych. W okresie listopad-grudzień 2020 odbyły się 3 spotkania konsultacyjne (online). Równolegle opinie na temat obecnego i możliwego przyszłego funkcjonowania pracowni, zbierano za pomocą e-formularza, dostępnego na stronie wroclaw.pl/rozmawia </w:t>
      </w:r>
    </w:p>
    <w:p w:rsidR="00CA14AB" w:rsidRPr="00E00B35" w:rsidRDefault="00CA14AB" w:rsidP="00E00B35">
      <w:pPr>
        <w:spacing w:after="0" w:line="312" w:lineRule="auto"/>
        <w:rPr>
          <w:szCs w:val="20"/>
        </w:rPr>
      </w:pPr>
      <w:r w:rsidRPr="00E00B35">
        <w:rPr>
          <w:szCs w:val="20"/>
        </w:rPr>
        <w:t>Opisywany I etap konsultacji podsumuje raport z konsultacji. Na jego podstawie przygotowany zostanie projekt nowej uchwały, regulującej sposób przyznawania pracowni. W kolejnym etapie, w roku 2021 r. planowane są konsultacje projektu uchwały.</w:t>
      </w:r>
    </w:p>
    <w:p w:rsidR="00544448" w:rsidRPr="00E00B35" w:rsidRDefault="00544448" w:rsidP="00E00B35">
      <w:pPr>
        <w:spacing w:after="0" w:line="312" w:lineRule="auto"/>
        <w:rPr>
          <w:szCs w:val="20"/>
        </w:rPr>
      </w:pPr>
    </w:p>
    <w:p w:rsidR="00CA14AB" w:rsidRPr="00E00B35" w:rsidRDefault="00CA14AB" w:rsidP="00E00B35">
      <w:pPr>
        <w:pStyle w:val="Nagwek3"/>
        <w:spacing w:after="0" w:line="312" w:lineRule="auto"/>
        <w:rPr>
          <w:sz w:val="20"/>
          <w:lang w:val="pl-PL"/>
        </w:rPr>
      </w:pPr>
      <w:bookmarkStart w:id="156" w:name="_Toc72352329"/>
      <w:bookmarkStart w:id="157" w:name="_Toc72352763"/>
      <w:r w:rsidRPr="00E00B35">
        <w:rPr>
          <w:sz w:val="20"/>
        </w:rPr>
        <w:lastRenderedPageBreak/>
        <w:t>INSTYTUCJE KUL</w:t>
      </w:r>
      <w:r w:rsidR="00544448" w:rsidRPr="00E00B35">
        <w:rPr>
          <w:sz w:val="20"/>
          <w:lang w:val="pl-PL"/>
        </w:rPr>
        <w:t>T</w:t>
      </w:r>
      <w:r w:rsidRPr="00E00B35">
        <w:rPr>
          <w:sz w:val="20"/>
        </w:rPr>
        <w:t>URY</w:t>
      </w:r>
      <w:bookmarkEnd w:id="156"/>
      <w:bookmarkEnd w:id="157"/>
    </w:p>
    <w:p w:rsidR="00544448" w:rsidRPr="00E00B35" w:rsidRDefault="00544448" w:rsidP="00E00B35">
      <w:pPr>
        <w:pStyle w:val="Nagwek3"/>
        <w:spacing w:after="0" w:line="312" w:lineRule="auto"/>
        <w:rPr>
          <w:sz w:val="20"/>
          <w:lang w:val="pl-PL"/>
        </w:rPr>
      </w:pPr>
    </w:p>
    <w:p w:rsidR="00CA14AB" w:rsidRPr="00E00B35" w:rsidRDefault="00CA14AB" w:rsidP="00E00B35">
      <w:pPr>
        <w:pStyle w:val="Nagwek4"/>
        <w:spacing w:before="0" w:after="0" w:line="312" w:lineRule="auto"/>
        <w:rPr>
          <w:sz w:val="20"/>
          <w:szCs w:val="20"/>
        </w:rPr>
      </w:pPr>
      <w:r w:rsidRPr="00E00B35">
        <w:rPr>
          <w:sz w:val="20"/>
          <w:szCs w:val="20"/>
        </w:rPr>
        <w:t>NARODOWE FORUM MUZYKI  IM. W. LUTOSŁAWSKIEGO</w:t>
      </w:r>
    </w:p>
    <w:p w:rsidR="00CA14AB" w:rsidRPr="00E00B35" w:rsidRDefault="00CA14AB" w:rsidP="00E00B35">
      <w:pPr>
        <w:spacing w:after="0" w:line="312" w:lineRule="auto"/>
        <w:rPr>
          <w:szCs w:val="20"/>
        </w:rPr>
      </w:pPr>
      <w:r w:rsidRPr="00E00B35">
        <w:rPr>
          <w:szCs w:val="20"/>
        </w:rPr>
        <w:t xml:space="preserve">Pierwotnie zakładane cele na 2020 rok musiały zostać dostosowane do trudnych warunków wynikających z pandemii wirusa SARS-CoV-2. Wiele z zaplanowanych wcześniej wydarzeń zostało przełożonych lub odwołanych (np. początkowo zaplanowana na marzec 2020 roku inauguracja organów NFM została przeniesiona na październik 2020r. w znacznie okrojonej wersji). Kilkukrotnie zmieniany był repertuar oraz obsada wykonawcza koncertów, aby dostosować działalność NFM do nowej rzeczywistości,  a także obniżyć poniesione koszty. Wiele wydarzeń transmitowanych było w czasie rzeczywistym na kanałach NFM w Internecie (strona internetowa NFM, YouTube, Facebook). Odbyło się kilka festiwali, a były to: Akademia Beethovenowska, Musica Electronica Nova, 55. Międzynarodowy Festiwal Wratislavia Cantans im. A. Markowskiego, Jazztopad Festival. W ramach Akademii Beethovenowskiej, zorganizowanej z okazji 250-lecia urodzin kompozytora, odbył się szereg koncertów, wystaw oraz wykładów przybliżających twórczość mistrza. Wykonano także jedyną operę autorstwa Ludwiga van Beethovena (Fidelio), a Wrocławską Orkiestrę Barokową poprowadził wybitny dyrygent, Jos van Immerseel. Zespoły NFM miały okazję współpracować z najwybitniejszymi dyrygentami i solistami  z całego świata, a byli to m.in. Giancarlo Guerrero, Ken-David Masur, Bomsori Kim, David Fray, Moritz Gnann, Bassem Akiki, Mario Venzago, Marcin Zdunik, Daniel Stabrawa (NFM Filharmonia Wrocławska); Max Emmanuel Cencic, Jos van Immerseel, Hans-Christoph Rademann, Mari Fukumoto (Wrocławska Orkiestra Barokowa); Joseph Swensen, Francesco Bottigliero, Ernst Kovacic, Szymon Komasa, Giovanni Punzi, Agata Zubel, Martin Mitterrutzner, Radek Baborak, Adam Bałdych, Jakub Jakowicz (NFM Orkiestra Leopoldinum); Paul McCreesh, Tomáš Brauner (Chór NFM). W ramach swoich cykli koncertowych Narodowe Forum Muzyki gościło wielu wspaniałych artystów, takich jak m.in.: Hagen Quartett, Roby Lakatos, Jazz at Lincoln Center Orchestra pod przewodnictwem Wyntona Marsalisa, Trio Jazzowe Marcina Maseckiego, Il Giardino Armonico pod dyr. Giovanniego Antoniniego, Julia Lezhneva, Sylvain Rifflet, Orkiestra Symfoniczna Filharmonii im. Mieczysława Karłowicza w Szczecinie pod batutą Rune Bergmanna, Małgorzata Walewska, Lithuanian National Symphony Orchestra pod batutą Modestasa Pitrėnasa i z udziałem wybitnego pianisty, laureata II nagrody na XVI Międzynarodowym Konkursie Pianistycznym im. Fryderyka Chopina, Lukasa Geniušasa. W związku z dołączeniem Narodowego Forum Muzyki do Polskiej Sieci Tańca (Scena Partnerska),  w dniach 23 oraz 25 października 2020 roku zostały zaprezentowane dwa spektakle taneczne: Real Love oraz Mute. W 2020 roku artyści NFM dokonali prawykonań muzyki polskiej, a były to m.in. Metanoia Ewy Trębacz czy Rituals Sławomira Wojciechowskiego. Narodowe Forum Muzyki przystąpiło do Europejskiej Sieci Muzyki Dawnej (REMA) zrzeszającej podmioty zajmujące się muzyką dawną. NFM jest także członkiem programu Eeemerging+, realizowanego w ramach programu Kreatywna Europa. Podczas projektowej rezydencji w lutym 2020 roku Narodowe Forum Muzyki gościło zespół Butter Quartet. Ważną częścią działalności NFM jest działalność edukacyjna, w obrębie której instytucja w 2020 roku prowadziła kilka projektów, a są to: </w:t>
      </w:r>
      <w:r w:rsidRPr="00E00B35">
        <w:rPr>
          <w:szCs w:val="20"/>
        </w:rPr>
        <w:lastRenderedPageBreak/>
        <w:t xml:space="preserve">Filharmonia Familijna, Filharmonia dla Młodych, Koncerty Edukacyjne dla Młodzieży, Akademia Chóralna, Wyjazdowe Audycje Muzyczne, Akademia Orkiestrowa. Działalność prowadziło także Centrum Edukacyjne NFM, które powstało z myślą o najmłodszych (do 15. roku życia). W związku z ukończeniem budowy organów Narodowe Forum Muzyki po raz pierwszy ogłosiło organistę-rezydenta, którym została pochodząca z Japonii Mari Fukumoto. Dotychczas wykonała ona jeden koncert (z towarzyszeniem Wrocławskiej Orkiestry Barokowej pod kierownictwem Jarosława Thiela); pozostałe dwa (z towarzyszeniem NFM Filharmonii Wrocławskiej oraz NFM Orkiestry Leopoldinum) zaplanowane są na 2021 rok. Narodowe Forum Muzyki jest beneficjentem programu Classical Futures Europe, który działa w ramach Kreatywnej Europy. Program aktywnie wspiera rozwój młodych, utalentowanych wykonawców muzyki klasycznej. Platforma wspiera partnerstwo i współdziałanie wyselekcjonowanych europejskich sal koncertowych oraz wybranych wykonawców w celu prezentacji projektów artystycznych, aktywnie rozwijających publiczność oraz format koncertów muzyki klasycznej. Platforma prowadzona jest przez European Concert Hall Organisation (ECHO), która stanowi forum wymiany doświadczeń, współpracy i wzajemnej inspiracji dla wiodących sal koncertowych w Europie. W 2020 roku ramach platformy CFE dofinansowano występy 4 artystów w NFM, a byli to: Mari Fukumoto, Bomsori Kim, Marcin Zdunik oraz Butter Quartet. NFM jest także członkiem European Festivals Association, organizacji zrzeszającej ponad 100 festiwali w 40 krajach świata. Okazało się to niezwykle cenne zwłaszcza w trudnym 2020 roku, ponieważ partnerzy podczas wielu wideokonferencji wypracowywali nowe rozwiązania, pozwalające na realizację wydarzeń mimo niecodziennych warunków. Narodowe Forum Muzyki prowadziło działania w ramach cyklu #NFMOnline, gdzie zaprezentowano m.in. 45 płyt nagranych przez zespoły NFM, 2 festiwale online (Musica Polonica Nova oraz Jazztopad Festival), festiwal w wersji hybrydowej (55. Międzynarodowy Festiwal Wratislavia Cantans im. A. Markowskiego), koncerty, audycje dla melomanów, autorskie materiały nagrane przez muzyków NFM w domach, zapowiedzi nowych płyt oraz działania edukacyjne (Muzyczna Domówka Malucha). Zaprezentowano ponad 110 materiałów filmowych. NFM wydało w 2020 roku 10 płyt, a były to: Uśmiechnięte piosenki,  Mikołaj Zieleński, Noumen, Debussy-Tchaikovsky, Moritz Moszkowski, Johannes Brahms, Musica libera, Jacek Różycki, Józef Elsner – Trois quatuors du meilleur goût polonois op.1 oraz Kurpiński, Dobrzyński, Moniuszko. Trzy płyty zespołów NFM zostały w 2020 roku nominowane do Nagród Akademii Fonograficznej Fryderyki w dziedzinie muzyki poważnej w następujących kategoriach: Album Roku – Muzyka Oratoryjna i Operowa (Marcin Józef Żebrowski), Album Roku – Muzyka Dawna (Stanisław Sylwester Szarzyński), Album Roku – Muzyka Współczesna (Śpiewajmy! Młodzi – młodym). Płyta Wrocław Baroque Ensemble Mikołaj Zieleński: Offertoria et communions totius anni została nominowana do International Classical Music Awards 2021 w kategorii „Baroque Vocal”. NFM kontynuowało projekt inwestycyjny dofinansowany w 85% ze środków unijnych Programu Operacyjnego Infrastruktura i Środowisko Projekt „Rozwój działalności artystycznej i edukacyjnej  NFM poprzez zakup sprzętu i wyposażenia”, w ramach którego zakupiono w 2020 r. szereg instrumentów dla zespołów artystycznych, a także zakończono budowę organów piszczałkowych w Sali </w:t>
      </w:r>
      <w:r w:rsidRPr="00E00B35">
        <w:rPr>
          <w:szCs w:val="20"/>
        </w:rPr>
        <w:lastRenderedPageBreak/>
        <w:t xml:space="preserve">głównej. NFM zakupiło także instrumenty w ramach programu MKiDN Infrastruktura Kultury pod nazwą „Rozwój działalności artystycznej Narodowego Forum Muzyki im. Witolda Lutosławskiego poprzez zakup instrumentów – etap II”. Na początku 2020 r. NFM przeprowadziło reorganizację, w ramach której zoptymalizowano strukturę organizacyjną wprowadzając 2 główne piony organizacyjne zamiast czterech, ilość zastępców dyrektora zmniejszono z czterech do dwóch. Jednym ze strategicznych celów Narodowego Forum Muzyki jest promowanie artystów NFM, artystów regularnie współpracujących z NFM, a także artystów polskiego pochodzenia; dbanie o ich rozwój i poziom artystyczny. Jest to ogromnie ważne zwłaszcza czasie pandemii, podczas której niestety nie możemy zaprosić melomanów do naszych sal koncertowych. Niezwykle istotna w tym kontekście jest współpraca międzyinstytucjonalna zarówno w kraju, jak i na całym świecie. Niewątpliwie jednym z najważniejszych wydarzeń w 2020 roku było tournée NFM Filharmonii Wrocławskiej po USA. Zespół wystąpił pod batutą Giancarlo Guerrero w 13 koncertach, m.in. w takich salach jak Symphony Center (Chicago), Kravis Center (West Palm Beach), Schermerhorn Symphony Center (Nashville), Musco Center for the Arts (Orange, California) czy Bing Concert Hall (Stanford). Solistami podczas tournée byli: Piotr Anderszewski, David Fray, Bomsori Kim oraz Janusz Wawrowski. Pozostałe zespoły NFM również miały okazję zaprezentować swoje wysokie umiejętności w różnych salach koncertowych w Polsce oraz za granicą. NFM Orkiestra Leopoldinum wraz z Adamem Bałdychem (skrzypce) oraz Pawłem Hendrichem (elektronika) pod dyrekcją Christiana Danowicza wystąpiła 63. Międzynarodowym Festiwalu Muzyki Współczesnej Warszawska Jesień (w ramach inicjatywy Musica Electronica Nova na Warszawskiej Jesieni – obecność specjalna); w programie koncertu znalazł się m.in. utwór Metanoia – kompozycja Ewy Trębacz, która powstała na zamówienie Narodowego Forum Muzyki (IMiT). Koncert był transmitowany przez Polskie Radio PR2 oraz transmitowany na żywo w Internecie. Wrocławska Orkiestra Barokowa wystąpiła w jednej z najważniejszych sal koncertowych Drezna – Kulturpalast Dresden, gdzie z towarzyszeniem wspaniałych solistów oraz Dresdner Kammerchor wykonała pod batutą Hansa-Christopha Rademanna utwory Jana Sebastiana Bacha oraz Jana Dismasa Zelenki. Chór NFM wziął udział w Eliat Chamber Music Festival w Izraelu, gdzie wykonał m.in. koncert z polskim repertuarem oraz zaprezentował 3 prawykonania muzyki polskiej. Zespół był także gościem Międzynarodowego Festiwalu Muzycznego Leoša Janáčka, gdzie zaprezentował się w jednej z sal koncertowych Ostrawy. Lutosławski Quartet wystąpił jednej z najznakomitszych sal koncertowych w Hiszpanii, czyli Auditorio Nacional w Madrycie, a także w Centrum Arvo Pärta w Estonii, gdzie wraz z pianistą Marcinem Maseckim wykonał program poświęcony Ludwigowi van Beethovenowi. Zespół miał również okazję wystąpić w Muzeum Historii Żydów Polskich POLIN w Warszawie (obchody Międzynarodowego Dnia Pokoju), Teatrze Nowym w Warszawie (koncert monograficzny Pawła Mykietyna) czy w siedzibie Polskiego Wydawnictwa Muzycznego wykonując dwa kwartety S. Moniuszki, które zostały opracowane przez Lutosławski Quartet i wydane przez PWM. Zespół Wrocław Baroque Ensemble pod dyr. Andrzeja Kosendiaka miał okazję wystąpić na Festivalu Lubljana w Słowenii, gdzie wykonał utwory polskich kompozytorów epoki baroku: G.G. Gorczyckiego, S. S. Szarzyńskiego, B. Pękiela, M. Mielczewskiego oraz J. </w:t>
      </w:r>
      <w:r w:rsidRPr="00E00B35">
        <w:rPr>
          <w:szCs w:val="20"/>
        </w:rPr>
        <w:lastRenderedPageBreak/>
        <w:t xml:space="preserve">Różyckiego. Polish Cello Quartet wystąpił na koncertach w Filharmonii im. M. Karłowicza w Szczecinie oraz w Lusławicach podczas festiwalu Emanacje. Mimo trudnej sytuacji spowodowanej pandemią wirusa SARS-CoV-2, Narodowe Forum Muzyki nieprzerwanie prowadziło działalność w swojej siedzibie. W 2020 roku w NFM odbyła się Gala Noworoczna NFM, a także festiwale: Akademia Beethovenowska, Musica Polonica Nova (online), 55. Międzynarodowy Festiwal Wratislavia Cantans im. Andrzeja Markowskiego (formuła hybrydowa – koncerty z udziałem publiczności transmitowane w czasie rzeczywistym na kanałach NFM (YouTube, Facebook); niektóre z nich były również transmitowane w Polskim Radio PR2), Jazztopad Festival (online). Najważniejszym wydarzeniem była niewątpliwie Inauguracja organów NFM, która odbyła się w dniach 24-25.10.2020r. W ramach weekendu inauguracyjnego odbyło się koncertów: 4 z nich to recitale polskich organistów (Karol Mossakowski, Julian Gembalski, Andrzej Chorosiński, Elżbieta Karolak, Józef Serafin, Tomasz Głuchowski, Sławomir Kamiński, Krzysztof Urbanek, Roman Perucki, Piotr Rojek, Marcin Szelest). Ostatnim wydarzeniem była improwizacja do filmu niemego Upiór w operze w wykonaniu Thierry’ego Escaicha. Jeden z koncertów miał charakter edukacyjny i odbył się w ramach cyklu Filharmonii Familijnej. Bardzo ważna dla Narodowego Forum Muzyki jest działalność wydawnicza. Artyści NFM nagrali w 2020 roku 10 płyt, a były to: Uśmiechnięte piosenki (utwory dla dzieci nagrane przez artystów współpracujących z Centrum Edukacyjnym NFM), Mikołaj Zieleński (Andrzej Kosendiak, Wrocław Baroque Ensemble), Noumen (Lutosławski Quartet), Debussy-Tchaikovsky (Joseph Swensen, NFM Orkiestra Leopoldinum), Moritz Moszkowski (West Side Sinfonietta), Johannes Brahms (Giancarlo Guerrero, NFM Filharmonia Wrocławska), Musica libera (Marcin Danilewski, Grzegorz Biegas), Jacek Różycki (Andrzej Kosendiak, Wrocław Baroque Ensemble), Józef Elsner – Trois quatuors du meilleur goût polonois op. 1 (M. Zgółka, Z. Pilch, D. Dębski, J. Thiel), Kurpiński, Dobrzyński, Moniuszko (Jarosław Thiel, Wrocławska Orkiestra Barokowa). Trzy ostatnie płyty zostały dofinansowane ze środków Ministra Kultury, Dziedzictwa Narodowego i Sportu w ramach Programu Wieloletniego NIEPODLEGŁA na lata 2017-2022 (projekt „Wolność słyszana dźwiękami). Ponadto, artyści NFM dokonali szeregu nagrań audio-wideo, które następnie były transmitowane poprzez kanały Narodowego Forum Muzyki (YouTube, Facebook, strona internetowa NFM). NAGRODY - medal Prezydenta Miasta „Merito de Wratislavia - Zasłużony dla Wrocławia” za szczególne zasługi dla Miasta, z okazji 75-lecia istnienia - NFM Filharmonia Wrocławska  - 3 nominacje dla zespołów Narodowego Forum Muzyki im. Witolda Lutosławskiego we Wrocławiu do Nagród Akademii Fonograficznej Fryderyki 2020 w następujących kategoriach w dziedzinie muzyki poważnej: ALBUM ROKU – MUZYKA ORATORYJNA I OPEROWA Marcin Józef Żebrowski ALBUM ROKU – MUZYKA DAWNA Stanisław Sylwester Szarzyński  ALBUM ROKU – MUZYKA WSPÓŁCZESNA Śpiewajmy! Młodzi – młodym - NOMINACJA do International Classical Music Awards 2021 w kategorii „Baroque Vocal” dla płyty Mikołaj Zieleński: Offertoria et communions totius anni, nagranej przez Wrocław Baroque Ensemble pod dyrekcją Andrzeja Kosendiaka (listopad 2020) Oraz Giovanni Antonini – Dyrektor Dyrektor Artystyczny Międzynarodowego Festiwalu Wratislavia Cantans, Il Giardino Armonico:   - Wyróżnienie Diapason d’or w lipcu 2020 za płytę „Vivaldi Concerti per flauto” -  Nominacja do Grammy Awards 2021 w </w:t>
      </w:r>
      <w:r w:rsidRPr="00E00B35">
        <w:rPr>
          <w:szCs w:val="20"/>
        </w:rPr>
        <w:lastRenderedPageBreak/>
        <w:t>kategorii Best Classical Solo Vocal Album za płytę “Farinelli” z Cecilią Bartoli (nominacja została ogłoszona jesienią 2020 roku, zwycięzców poznamy 14 marca 2021) -  Nominacje do nagrody ICMA za płyty: „Vivaldi: concerti per Flauto”, „What’s Next Vivaldi?” z Particią Kopatchinskają, „Haydn: The Creation” z udziałem Chor des Bayerischen Rundfunks, „Farinelli” z Cecilią Bartoli. Działania spowodowane pandemią: NARODOWE FORUM MUZYKI PROWADZIŁO DZIAŁANIA #NFMONLINE (OD 17 MARCA 2020): 45 prezentacji płyt nagranych przez zespoły NFM (Spotify) w cyklu #poranekznfm, 2 festiwale online:</w:t>
      </w:r>
      <w:r w:rsidRPr="00E00B35">
        <w:rPr>
          <w:szCs w:val="20"/>
        </w:rPr>
        <w:br/>
        <w:t>o (Musica Polonica Nova 2020, 14-17.05.2020, archiwum koncertowe, audycje edukacyjne dla dzieci, playlisty autorskie z prezentacjami polskiej muzyki współczesnej) o 17. Jazztopad Festival (17-18.11.2020, Joanna Duda Trio, Dominik Wania solo) 1 festiwal w wersji hybrydowej (z udziałem publiczności i transmisje online) – 55. Międzynarodowy Festiwal Wratislavia Cantans (11-13.09.2020) – 5 koncertów transmitowanych online, 3 transmisje online z koncertów, w  których NFM był współorganizatorem: Jubileusz 75-lecia Międzynarodowego Festiwalu Chopinowskiego w Dusznikach-Zdroju (6.08.2020), Międzynarodowa Akademia Wiolonczelowa (24.07.2020, 29.08.2020) Łącznie przygotowano ponad 110 materiałów filmowych do prezentacji obejmujących m.in.: Koncerty i audycje dla dorosłych melomanów w cyklu #nfmwwaszychdomach #nfmonline o Kameralistyka (Lutosławski Quartet, LutosAir Quintet o Prezentacje koncertów archiwalnych zarejestrowanych w NFM (m.in. J.S. Bach, Msza h-moll, L. van Beethoven III Symfonia ,  twórczość kompozytorów polskich doby baroku i klasycyzmu, kantaty J.S. Bacha). o Autorskie materiały nagrane przez muzyków NFM w domach (Chór NFM, NFM Filharmonia Wrocławska, NFM Orkiestra Leopoldinum) o Rozrywka i jazz (m.in. Eklektik Session, Jazztopad Festiwal, Góry Świata, Żywioły).</w:t>
      </w:r>
      <w:r w:rsidRPr="00E00B35">
        <w:rPr>
          <w:szCs w:val="20"/>
        </w:rPr>
        <w:br/>
        <w:t xml:space="preserve">o Prezentacje fragmentów niewydanych jeszcze płyt zespołów NFM (NFM Filharmonia Wrocławska, West Side Sinfonietta, Lutosławski Quartet) o Materiały okolicznościowe (Kantata Zostań w domu, Bach to the NFM , Jesus Springing – Wielkanoc) o Materiały prezentujące działalność projektu Akademia Chóralna / Śpiewająca Polska / Polski Narodowy Chór Młodzieżowy o Spotkajmy się w NFM o Transmisje online zespołów NFM realizowanych w sezonie 2020/2021: § NFM Filharmonia Wrocławska 3 koncerty: Fantazja Carmen, Wariacje Rokoko, Symfonia Praska) § NFM Orkiestra Leopoldinum  3 koncerty: Koncert na smyczki, Serenata Notturna, Souvenir de Florence § 1 koncert muzyki współczesnej Negatyw § 4 koncerty muzyki dawnej i barokowej (Ody do św Cecylii, In the Midst of life, Dixit Dominus, Nun komm der Heiden Heiland) § 1 koncert organowy - Inauguracja organów w NFM § 1 Cykl świąteczny: NFM na święta (6 koncertów / premier 25-27.12) § 1 koncert sylwestrowy (31.12.2020) Działania Edukacyjne: o Muzyczna Domówka Malucha – prowadzone przez animatorów Centrum Edukacyjnego NFM m.in: § Muzyczne Zagadki § Na angielską nutę § Jazzowa Domówka Malucha § Zwierzyniec § Wrocławska Domówka Malucha § Pośpiewaj mi mamo, pośpiewaj mi tato § Zatańcz, graj i śpiewaj § Dzień Dziecka w NFM § Dzień Matki w NFM § West Side Sinfonietta Dzieciom § Nutę Łap § Muzyczna Domówka z ogródka. Sytuacja finansowa instytucji była utrudniona dodatkowo przez konieczność pokrycia wkładów własnych do programów inwestycyjnych POIiŚ (UE), które to wkłady pokrywane były dotychczas głównie z przychodów własnych , dzięki staraniom instytucji pozyskano z </w:t>
      </w:r>
      <w:r w:rsidRPr="00E00B35">
        <w:rPr>
          <w:szCs w:val="20"/>
        </w:rPr>
        <w:lastRenderedPageBreak/>
        <w:t>Urzędu Miasta Wrocławia dodatkową kwotę na wydatki majątkowe. NFM pozyskało wsparcie finansowe – środki pomocowe rządowe i miejskie – bez tych środków działalność instytucji byłaby zagrożona. W sumie wsparcie wyniosło ok. 11 mln zł. Pokryło to straty wynikające z braku przychodów własnych (głównie ze sprzedaży biletów i wynajmów powierzchni). Działalność o charakterze ekologicznym: - montaż filtra do wody pitnej na jednym z kranów – planowany montaż w kolejnych miejscach - segregacja śmieci (pojemniki na selektywna zbiórkę odpadów ustawione w całym budynku) - montaż dodatkowych stojaków rowerowych  - planowana wymiana oświetlenia Sali Głównej, Foyer na LED-owe  - zakupu specjalistycznego oświetlenia estradowego w technologii LED</w:t>
      </w:r>
      <w:r w:rsidR="00544448" w:rsidRPr="00E00B35">
        <w:rPr>
          <w:szCs w:val="20"/>
        </w:rPr>
        <w:t>.</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WROCŁAWSCY KAMERALIŚCI</w:t>
      </w:r>
    </w:p>
    <w:p w:rsidR="00CA14AB" w:rsidRPr="00E00B35" w:rsidRDefault="00CA14AB" w:rsidP="00E00B35">
      <w:pPr>
        <w:spacing w:after="0" w:line="312" w:lineRule="auto"/>
        <w:rPr>
          <w:szCs w:val="20"/>
        </w:rPr>
      </w:pPr>
      <w:r w:rsidRPr="00E00B35">
        <w:rPr>
          <w:szCs w:val="20"/>
        </w:rPr>
        <w:t>8 koncertów z publicznością (mimo pandemii); 5 koncertów on-line - poszerzenie oferty instytucji, dotąd nie stosowane; pozyskanie i realizacja grantu z MKiDN. Mimo pandemii się (z zachowaniem rygorów sanitarnych) wykonać 8 koncertów z publicznością, z tego 5 we Wrocławiu, a także: - koncert inauguracyjny 58. Międzynarodowego Festiwalu Moniuszkowskiego w Kudowie Zdroju, podczas którego zespół Cantores Minores Wratislavienses wykonał utwory religijne St. Moniuszki; - koncert inauguracyjny XVII Szczecińskiego Festiwalu Muzyki Dawnej, podczas którego zespół Ars Cantus wykonał utwory ze średniowiecznego Śpiewnika Głogowskiego; - koncert inauguracyjny VI Festiwalu ORGANy PLUS+ w Gdańsku, podczas którego zespół Stoltzer Ensemble, działający w ramach naszej instytucji, wykonał z prof. Markiem Pilchem dzieła wokalne oparte na chorale protestanckim. Wykonano także 5 koncertów on-line, transmitowanych lub udostępnionych na kanale YouTube - po raz pierwszy w historii naszej instytucji.</w:t>
      </w:r>
      <w:r w:rsidRPr="00E00B35">
        <w:rPr>
          <w:szCs w:val="20"/>
        </w:rPr>
        <w:br/>
        <w:t>Udało nam się pozyskać i zrealizować grant z MKiDN z programu Infrastruktura kultury „W strumieniu muzyki - zakup sprzętu audio-video do przeprowadzania transmisji streamingowych oraz do rejestracji koncertów" w wysokości 50000,- zł, niezwykle istotny w obecnej sytuacji. Działalność o charakterze ekologicznym: ograniczenie ilości drukowanych papierowych materiałów promocyjnych i zastąpienie ich materiałami przygotowanymi do promocji w sieci; rezygnacja z plastikowych kubeczków przy dystrybutorach z wodą; zakup zmywarki ograniczający zużycie wody.</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ODA FIRLEJ</w:t>
      </w:r>
    </w:p>
    <w:p w:rsidR="00CA14AB" w:rsidRPr="00E00B35" w:rsidRDefault="00CA14AB" w:rsidP="00E00B35">
      <w:pPr>
        <w:spacing w:after="0" w:line="312" w:lineRule="auto"/>
        <w:rPr>
          <w:szCs w:val="20"/>
        </w:rPr>
      </w:pPr>
      <w:r w:rsidRPr="00E00B35">
        <w:rPr>
          <w:szCs w:val="20"/>
        </w:rPr>
        <w:t xml:space="preserve">1. Edukacja kulturowa- Kontynuacja programu Bardzo Młoda Kultura, we współpracy z Narodowym Centrum Kultury. Firlej jest operatorem programu Bardzo Młoda Kultury 2019-2021 – Dolny Śląsk, organizuje m.in. nabór inicjatyw z zakresu edukacji kulturowej. Najlepsze inicjatywy mogą liczyć na wsparcie w kwocie 10 tys. zł. W ramach programu na wsparcie mogą liczyć inicjatywy tworzone wspólnie przez przedstawicieli podmiotów kultury oraz placówek oświatowo-edukacyjnych, skierowane do dzieci i młodzieży szkolnej oraz kadry oświatowej, rodziców i opiekunów. Pomysły muszą się wyróżniać oryginalnością, wysokim potencjałem kulturotwórczym i edukacyjnym, mieć lokalny i oddolny charakter, a także angażować lokalną społeczność i partnerów.   </w:t>
      </w:r>
      <w:r w:rsidRPr="00E00B35">
        <w:rPr>
          <w:szCs w:val="20"/>
        </w:rPr>
        <w:br/>
        <w:t xml:space="preserve">2. Promocja polskiej kultury za granicą- Trzeci rok z rzędu  pozyskano  grant na </w:t>
      </w:r>
      <w:r w:rsidRPr="00E00B35">
        <w:rPr>
          <w:szCs w:val="20"/>
        </w:rPr>
        <w:lastRenderedPageBreak/>
        <w:t xml:space="preserve">realizację projektu muzycznego realizowanego za granicą. Od lat we współpracy z Instytutem Adama Mickiewicza Firlej jest promotorem polskiej muzyki aktualnej. W 2020 roku prezentował polskich, w tym wrocławskich, muzyków sceny improwizowanej w Czechach, Słowacji, Ukrainie i na Węgrzech, w artystycznych kolaboracjach z ich wybitnymi kolegami z tamtych krajów i we współpracy z partnerami z Pragi, Budapesztu, Bratysławy i Lwowa. Wszystkie wydarzenia dostępne są w wersji online na stronach Firleja. 3. Upowszechnianie kultury muzycznej- W 2020 roku była to realizacja cyklu koncertów zespołów transmitowanych w internecie w ramach akcji "firlej online". Praca spotyka się z uznaniem publiczności i mediów ogólnopolskich. 4. Likwidacja barier architektonicznych- udało nam się zakończyć przez inwestycję w  postaci windy dla osób z niepełnosprawnościami. Otwiera nam to nowe możliwości rozwoju oferty kulturalnej zakładającej  udział wszystkich grup obiorców bez wykluczania i stwarza to nowe możliwości działań repertuarowych. 5. Aktywizacja lokalnej społeczności poprzez działalność „Kawiarni Sąsiedzkiej online" Cykl koncertów Firlej online -  w marcu pandemia zmusiła instytucję do zmiany sposobu życia. Firlej, podejmując się zadania utrzymywania stałego kontaktu z widzami koncertów oraz wsparcia artystów, którzy zostali bez środków do życia, przeniósł koncerty ze sceny do Internetu. Widownia zapełniła fotele we własnych domach, a plakaty „na mieście” zastąpiła reklama w sieci. Muzycy stali się swoją własną ekipą techniczną, a strony internetowe Firleja z tablicy ogłoszeń zmieniły się w internetową telewizję. Od 27 marca do 03 lipca 2020 roku na stronie YouTube „firlejclub” odbyło się 18 premier koncertowych, które obejrzeli 11 316 widzów. Dla publiczności zagrało 27 artystów, którzy przedstawili nagrane specjalnie dla Firleja projekty. Bardzo Młoda Kultura -  II Dolnośląskie Forum Edukacji Kulturowej odbyło się w tym roku online a gościliśmy w wałbrzyskiej Starej Kopalni - Centrum Sztuki i nauki -  spotkanie służyło m.in. podsumowaniu tegorocznych działań w ramach Prgramu Bardzo Młoda Kultura 2020 - Dolny Śląsk. Oprócz tego było okazją do dyskusji na temat roli edukacji kulturowej w regionie i poznania inspirujących przykładów jej wspierania w innych województwach - rozmowy w kuluarach, zrealizowane projekty, działania medialne oraz wymiana doświadczeń grały tu  kluczową rolę.  Zaprezentowaliśmy 3 z 8 inicjatyw, które były realizowane w tej edycji i zaprosiliśmy wszystkich zainteresowanych do udziału w ostatniej trzeciej odsłonie, która będzie miała miejsce w 2021 r. </w:t>
      </w:r>
      <w:r w:rsidRPr="00E00B35">
        <w:rPr>
          <w:szCs w:val="20"/>
        </w:rPr>
        <w:br/>
      </w:r>
      <w:r w:rsidRPr="00E00B35">
        <w:rPr>
          <w:szCs w:val="20"/>
        </w:rPr>
        <w:br/>
        <w:t xml:space="preserve">Sąsiedzi 2 - to trasa koncertowa promująca polską kulturę za granicą i prezentująca polskich muzyków sceny improwizowanej. Wydarzenia odbyły się na Węgrzech, w Ukrainie i w Czechach. W ramach projektu miały miejsce kolaboracje z wybitnymi kolegami z tamtych krajów. Wśród najbliższych sąsiadów, w przyjacielskiej atmosferze, powstały jedyne w swoim rodzaju dzieła sztuki muzyki improwizowanej, w tegorocznej edycji także w formie streamingu LIVE. Na scenie jednego z najlepszych klubów jazzowych w Europie - budapesztańskiego Opus Jazz Club - odbył się wspólny koncert Mikołaja Trzaski, Marka Tokara, Petra Vrby oraz  Balázsa Pándi. Mikołaj Trzaska, Mark Tokar zagrali brawurowy duet w legendarnej lwowskiej Dzydze. W praskim klubie Punctum Krasovka wrocławski zespół Ślina wystąpił ze swoim solowym projektem oraz dzień później wspólnie z czeskim multiinstrumentalistą Petrem Vrbą. Wszystkie koncerty </w:t>
      </w:r>
      <w:r w:rsidRPr="00E00B35">
        <w:rPr>
          <w:szCs w:val="20"/>
        </w:rPr>
        <w:lastRenderedPageBreak/>
        <w:t>były transmitowane na żywo na stronie Facebook „Firlej – Ośrodek Działań Artystycznych”. Wakacyjne warsztaty dla dzieci - mimo pandemicznego czasu, z zachowaniem wszelkich zasad ostrożności, udało nam się zebrać grupę kilkunastu dzieci z osiedla i dla nich przygotować dwutygodniowe warsztaty artystyczne. To działanie sprawiło nam wiele radości i pozwoliło przypomnieć sobie jaką przyjemność sprawia nam obecność dzieci w naszych wnętrzach.  Rezydencja artystyczna - wrocławska grupa młodych ludzi z zespołu Ślina nagrywała u nas swoją nową płytę. Codzienne próby zakończone zostały finałem w postaci koncertu, który odbył się online i był transmitowany na żywo - w formie live streamingu. Nagrodzony Srebrnym Medalem od "Nowe Idzie Od Morza" za cykl koncertów "FIRLEJ ONLINE". Współpracownik - prowadząca zajęcia w Kawiarni Sąsiedzkiej - Olga Szelc otrzymała stypendium Prezydenta miasta Wrocławia w dziedzinie: literatura. Mimo ogromnego zaskoczenia sytuacją pandemii  i chwilowym zatrzymaniem spowodowanym koniecznością zastanowienia się nad tym  co dalej, już w marcu byliśmy gotowi do nowego działania. Niemal wszystkie aktywności realizowane na co dzień w Ośrodku przeniosły się do rzeczywistości wirtualnej. Powstały także całkiem  nowe  takiej jak: artystyczne:  cykl koncertów Firlej online, wirtualne wernisaże i wystawy, kulturalne: warsztaty, spotkania autorskie, społeczne: ławeczka i biblioteczka sąsiedzka. Działalność o charakterze ekologicznym: segregacja odpadów, rezygnacja z zakupu wody w plastikowych butelkach, wprowadzenie do picia dla pracowników i gości Ośrodka wody z kranu, po uprzednim, zbadaniu i uzyskaniu pozytywnego wyniku, zadbanie o otoczenie Ośrodka: zielone skwerki - posianie łąki kwietnej, zamówienie hotelu dla owadów (stanie na wiosnę 2021).</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MIEJSKA BIBLIOTEKA PUBLICZNA</w:t>
      </w:r>
    </w:p>
    <w:p w:rsidR="00CA14AB" w:rsidRPr="00E00B35" w:rsidRDefault="00CA14AB" w:rsidP="00E00B35">
      <w:pPr>
        <w:spacing w:after="0" w:line="312" w:lineRule="auto"/>
        <w:rPr>
          <w:szCs w:val="20"/>
        </w:rPr>
      </w:pPr>
      <w:r w:rsidRPr="00E00B35">
        <w:rPr>
          <w:szCs w:val="20"/>
        </w:rPr>
        <w:t>Najważniejsze zrealizowane cele MBP we Wrocławiu w 2020 r. to: docieranie do nowych grup odbiorców, zapewnienie dostępu do literatury i utrzymanie kontaktu z użytkownikami ( ze względu na pandemię i lock down), podnoszenie kompetencji cyfrowych pracowników MBP, przygotowanie instytucji (nowa strona www, szkolenia pracowników) do zapewnienia dostępności dla osób ze szczególnymi potrzebami zgodnie z ustawą z 19 lipca 2019 r. Docieranie do nowych grup odbiorców zrealizowano poprzez:</w:t>
      </w:r>
      <w:r w:rsidRPr="00E00B35">
        <w:rPr>
          <w:szCs w:val="20"/>
        </w:rPr>
        <w:br/>
        <w:t xml:space="preserve">otwarcie 1 września 2020 r. nowej filii nr 14 na Jagodnie. Aktywnie z filii skorzystało 1 210 mieszkańców osiedla, wypożyczając 12 439 zbiorów; realizację projektów on-line: </w:t>
      </w:r>
      <w:r w:rsidRPr="00E00B35">
        <w:rPr>
          <w:szCs w:val="20"/>
        </w:rPr>
        <w:br/>
        <w:t>Feminatywa Polsko-Ukraińska – festiwal literacki on-line (dofinansowany z MKIDN)</w:t>
      </w:r>
      <w:r w:rsidRPr="00E00B35">
        <w:rPr>
          <w:szCs w:val="20"/>
        </w:rPr>
        <w:br/>
        <w:t>Skarpetki Tyrmanda – cykl wydarzeń on-line, dla których wspólnym mianownikiem była postać tego Leopolda Tyrmanda (dofinansowany z MKIDN). Dom kultury w kapciach - ponad 30 filmów edukacyjnych umożliwiających odbiorcom zdalne lekcje i pogłębianie wiedzy z zakresu: tańca współczesnego, szycia i projektowania ubioru, plastyki (prace konstrukcyjno-manualne), nauki śpiewu, nauki żonglowania, cyrkowej pracy z hula hop, rozwijania sensomotoryki wśród najmłodszych dzieci, nauki gry na gitarze i pianinie.</w:t>
      </w:r>
      <w:r w:rsidRPr="00E00B35">
        <w:rPr>
          <w:szCs w:val="20"/>
        </w:rPr>
        <w:br/>
        <w:t xml:space="preserve">(dofinansowany z MKIDN); Bajeczki z główeczki - Interaktywne zabawy literackie dla dzieci z rodzicami w ramach Klubu Rodzica MBP we Wrocławiu. Zapewnienie dostępu do literatury w czasie zamknięcia bibliotek poprzez umożliwienie korzystania z 97 590 </w:t>
      </w:r>
      <w:r w:rsidRPr="00E00B35">
        <w:rPr>
          <w:szCs w:val="20"/>
        </w:rPr>
        <w:lastRenderedPageBreak/>
        <w:t>książek w postaci elektronicznej na platformach: LEGIMI, EBSCO eBook Public Library, IBUK Libra. Umożliwiono również odbiorcom naukę 30 języków obcych na różnych poziomach, w tym angielskiego, japońskiego, arabskiego na platformie Rosetta Stone. Wprowadzono tę usługę tuż po zamknięciu bibliotek decyzją rządu. W okresie od momentu opublikowania do 31.12.20 stronę odwiedzono aż 20 724 razy, świadczy to o potrzebie czytelniczej wrocławian dostępu do elektronicznej wersji literatury. Podnoszenie kompetencji cyfrowych pracowników MBP: - szkolenie pracowników z kompetencji cyfrowych w ramach projektu Cybermistrz (projekt realizowany w ramach Programu operacyjnego Polska Cyfrowa, lider: Fundacja Inicjowania Rozwoju społecznego, partner Ośrodek Postaw Twórczych); doposażenie w sprzęt m.in. laptopy, tablety)</w:t>
      </w:r>
      <w:r w:rsidRPr="00E00B35">
        <w:rPr>
          <w:szCs w:val="20"/>
        </w:rPr>
        <w:br/>
        <w:t>- szkolenie pracowników w ramach projektu Amazon STEAM KINDLOTEKA ( projekt firmy Amazon obejmujący wyposażenie w sprzęt, utworzenie, utrzymanie i rozwój pracowni edukacyjnej oferującej bezpłatne warsztaty z zakresu STEM, technologii, robotyki, kodowania i popularyzacji czytelnictwa). Multicentrum, ul Powstańców Śl.</w:t>
      </w:r>
      <w:r w:rsidRPr="00E00B35">
        <w:rPr>
          <w:szCs w:val="20"/>
        </w:rPr>
        <w:br/>
        <w:t>Przygotowanie MBP we Wrocławiu do zapewnienia dostępności: - uruchomienie nowej strony MBP i CBK FAMA  - 6 lipca 2020 r. responsywnej i zgodnej z określonymi w ustawie o dostępności wymaganiami WCAG 2.1;  -wyznaczenie koordynatora dostępności, -udział pracowników instytucji w szkoleniach z zakresu: dostępności cyfrowej - przygotowywania materiału na stronę i do mediów społecznościowych, przygotowywania oferty instytucji z uwzględnieniem osób ze szczególnymi potrzebami.</w:t>
      </w:r>
    </w:p>
    <w:p w:rsidR="00CA14AB" w:rsidRPr="00E00B35" w:rsidRDefault="00CA14AB" w:rsidP="00E00B35">
      <w:pPr>
        <w:spacing w:after="0" w:line="312" w:lineRule="auto"/>
        <w:rPr>
          <w:szCs w:val="20"/>
        </w:rPr>
      </w:pPr>
      <w:r w:rsidRPr="00E00B35">
        <w:rPr>
          <w:szCs w:val="20"/>
        </w:rPr>
        <w:t>Działania on-line: Feminatywa Polsko-Ukraińska - festiwal literacki. Polki i Ukrainki – pisarki, artystki, intelektualistki i aktywistki dyskutowały ze sobą o literaturze i o tym, czy może ona pomóc nam w oswajaniu nowego kształtu świata po pandemii. Zrealizowano 6 spotkań w formule kilkuosobowych paneli dyskusyjnych z udziałem moderatorki. Nagrania realizowane w studiu w Klubie Proza WDL. Udało się stworzyć nowe wydarzenie literackie o wysokiej jakości, o czym świadczą zasięgi oglądalności (50 558 wyświetleń – stan na 31.12.2020 r.), a także angażowanie się we wsparcie medialne podmiotów, takich jak Krytyka Polityczna czy radio TOK FM. Wsparcie organizacyjne przy tworzeniu kolejnej edycji zadeklarowały ukraińskie instytucje kultury – PEN Club Ukraina, Lwowski Instytut Strategii Kultury. Projekt dofinansowano ze środków MKiDN.</w:t>
      </w:r>
      <w:r w:rsidRPr="00E00B35">
        <w:rPr>
          <w:szCs w:val="20"/>
        </w:rPr>
        <w:br/>
        <w:t>Skarpetki Tyrmanda cykl wydarzeń dotyczących Leopolda Tyrmanda, patrona 2020 roku. W skład projektu wchodzą spotkania autorskie online ( m.in. Marcelem Woźniakiem - autorem „Biografii Leopolda Tyrmanda;  Moja śmierć będzie taka, jak moje życie” czy Mikołajem Łozińskim, autorem „Stramera”), czytanie opowiadania Tyrmanda oraz mobilna gra miejska. Tematy poruszane podczas spotkań są aktualne zarówno dla pokolenia Tyrmanda, jak i dla współczesnej młodzieży. Tym, co łączy te generacje, jest chęć bronienia swojej niezależności intelektualnej. Projekt dofinansowano ze środków MKiDN. Dom kultury w kapciach - ponad 30 filmów edukacyjnych umożliwiających odbiorcom zdalne lekcje i pogłębianie wiedzy z zakresu: tańca współczesnego, szycia i projektowania ubioru, plastyki, nauki śpiewu, nauki żonglowania, cyrkowej pracy z hula hop, rozwijania sensomotoryki wśród najmłodszych dzieci, nauki gry na gitarze i pianinie. Projekt dofinansowano ze środków MKiDN. Bajeczki z główeczki -  Interaktywne zabawy literackie dla dzieci z rodzicami w ramach Klubu Rodzica MBP we Wrocławiu.</w:t>
      </w:r>
      <w:r w:rsidRPr="00E00B35">
        <w:rPr>
          <w:szCs w:val="20"/>
        </w:rPr>
        <w:br/>
      </w:r>
      <w:r w:rsidRPr="00E00B35">
        <w:rPr>
          <w:szCs w:val="20"/>
        </w:rPr>
        <w:lastRenderedPageBreak/>
        <w:t xml:space="preserve">Wirtualne Muzea Wrocławia na Nocy Innowacji w ramach Festiwalu Cyfryzacji. Podczas wirtualnej ścieżki ” ZEGARY SŁONECZNE, LUNETY I GLOBUSY” można było zobaczyć zdigitalizowane eksponaty Muzeum Uniwersytetu Wrocławskiego i Muzeum Politechniki Wrocławskiej oraz wziąć udział w warsztacie. Podchody literackie on-line – MBP we Wrocławiu otrzymało wyróżnienie w Konkursie SBP na najciekawsze wydarzenie dla młodych czytelników, organizowane online, w ramach Tygodnia Bibliotek 8 – 15 maja 2020. Wrocławski Codziennik Ilustrowany. Zaprosiliśmy do współpracy uznanych ilustratorów i ilustratorki książek, którzy stworzyli 30 wyjątkowych „kart z kalendarza”, na każdy dzień czerwca. Poprzez formę graficzną i lapidarny, słowny komentarz obrazujący jakiś aspekt bieżącej rzeczywistości społecznej, stanowiły autorską wypowiedź, która pobudzała do refleksji. Równoleżnik Zero On-line. 16- 18.10.2020 r. transmisje live spotkań z Patrycją Szcześniak i Pauliną Dmuchowską Polkami, które od kilku lat mieszkają w Chile i Kolumbii i pomagają poznawać je innym. 18.10.2020 r. ZOO Wrocław i MBP przygotowały filmowe spotkanie ze zwierzętami Ameryki Południowej. </w:t>
      </w:r>
      <w:r w:rsidRPr="00E00B35">
        <w:rPr>
          <w:szCs w:val="20"/>
        </w:rPr>
        <w:br/>
        <w:t>Emocje. Autorki:  Aleksandra Mroczko, Natalia Caban, Gabriela Wojnarowska – psycholożki, trenerki - przygotowały materiał filmowy dotyczący ważnych aspektów z obszaru inteligencji emocjonalnej dzieci i młodzieży w obecnym czasie – okresu pandemii COVID-19. W ramach spotkań dla dzieci słuchacze mieli okazję przyswoić sobie wiedzę o tym, czym jest koronawirus, skąd niepokój, zamieszanie, ograniczenia. Cykl dla młodzieży dotyczył trudnych zmian zachodzących w naszej rzeczywistości: braku kontaktów z przyjaciółmi, zdalnej nauki, monotonii w domu. Gry mobilne. Domowe wersje gier miejskich. „Na zdrowie” zwraca uwagę na zasady dbania o higienę  i bezpieczne funkcjonowanie w społeczeństwie. „Filcowy króliczek” to zabawa skierowana do najmłodszych, „Jaką pisanką jesteś?” to rozrywka na czas Wielkanocy, natomiast „Zemsta Strzygi” jest stacjonarną wersją gry, która toczyła się już na ulicach naszego miasta. Gry były promowane w formie wydarzeń na Facebooku. Każde z nich zdobyło zasięg ok. 5 tysięcy osób. Działania edukacyjne Centrum Innowacji PRZEJŚCIE w partnerstwie z edukatorami. Realizacja warsztatów z zakresu programowania na platformach umożliwiających efektywne uczenie się i praktyczne wykorzystanie zdobytych umiejętności. Wrocław na językach świata 22 wolontariuszy i 30 uczniów przeprowadziło 300 konwersacji językowych. Language Cafe. Zajęcia stacjonarne odbywały się w semestrze październik 2019 - styczeń 2020. Uczestników 462. Zajęcia online w semestrze październik 2020 – grudzień 2020. Uczestników 275.</w:t>
      </w:r>
      <w:r w:rsidRPr="00E00B35">
        <w:rPr>
          <w:szCs w:val="20"/>
        </w:rPr>
        <w:br/>
        <w:t>Działania stacjonarne: Wakacje- książka – sport - oferta działań na lato:</w:t>
      </w:r>
      <w:r w:rsidRPr="00E00B35">
        <w:rPr>
          <w:szCs w:val="20"/>
        </w:rPr>
        <w:br/>
        <w:t xml:space="preserve">Letni pięciobój czytelniczy czyli 5 zadań do wykonania w 5 tygodni:, </w:t>
      </w:r>
      <w:r w:rsidRPr="00E00B35">
        <w:rPr>
          <w:szCs w:val="20"/>
        </w:rPr>
        <w:br/>
        <w:t xml:space="preserve">Wakacyjne Wyzwanie Czytelnicze to zabawa dla miłośników czytania i nie tylko. W akcji może wziąć udział każde dziecko, które samodzielnie czyta do lat 12. </w:t>
      </w:r>
      <w:r w:rsidRPr="00E00B35">
        <w:rPr>
          <w:szCs w:val="20"/>
        </w:rPr>
        <w:br/>
        <w:t>Famowy Plac Zabaw – plac z animacjami i zabawami dla dzieci w formie otwartej, bez konieczności wcześniejszego zgłaszania się chętnych. Cyrkowa niespodzianka. Artyści występowali w trzech podwórkach osiedlowych na Psim Polu, a widzowie oglądali ich z balkonów mieszkań lub z bezpiecznego dystansu pod swoimi domami.</w:t>
      </w:r>
      <w:r w:rsidRPr="00E00B35">
        <w:rPr>
          <w:szCs w:val="20"/>
        </w:rPr>
        <w:br/>
        <w:t xml:space="preserve">Mosty zamiast murów – odpowiedź na potrzebę wsparcia psychologicznego dla osób, które borykają się z problemami w nowej trudnej rzeczywistości. Klub Rodzica zaprosił do </w:t>
      </w:r>
      <w:r w:rsidRPr="00E00B35">
        <w:rPr>
          <w:szCs w:val="20"/>
        </w:rPr>
        <w:lastRenderedPageBreak/>
        <w:t>współpracy zawodowych psychologów i terapeutów,  którzy prowadzili bezpłatne konsultacje na terenie wrocławskich bibliotek. Odbiorcami mogły być zarówno osoby dorosłe, młodzież, jak i wrocławskie rodziny. W ciągu jednego miesiąca – do czasu wprowadzenia lockdownu, zorganizowano 55 spotkań stacjonarnych, w których uczestniczyło w sumie 1.176 osób (w tym 594 dzieci). II nagroda w Ogólnopolskim  Konkursie Stowarzyszenia Bibliotekarzy Polskich Mistrz Promocji Czytelnictwa za 2019r.;   Podchody Literackie online - Wyróżnienie w konkursie Stowarzyszenia Bibliotekarzy Polskich na najciekawsze wydarzenie dla młodych czytelników organizowane w ramach Tygodnia Bibliotek 2020. II nagroda w Ogólnopolskim  Konkursie Stowarzyszenia Bibliotekarzy Polskich Mistrz Promocji Czytelnictwa za 2019r.;  Podchody Literackie online - Wyróżnienie w konkursie Stowarzyszenia Bibliotekarzy Polskich na najciekawsze wydarzenie dla młodych czytelników organizowane w ramach Tygodnia Bibliotek 2020</w:t>
      </w:r>
    </w:p>
    <w:p w:rsidR="00CA14AB" w:rsidRPr="00E00B35" w:rsidRDefault="00CA14AB" w:rsidP="00E00B35">
      <w:pPr>
        <w:spacing w:after="0" w:line="312" w:lineRule="auto"/>
        <w:rPr>
          <w:szCs w:val="20"/>
        </w:rPr>
      </w:pPr>
      <w:r w:rsidRPr="00E00B35">
        <w:rPr>
          <w:szCs w:val="20"/>
        </w:rPr>
        <w:t>Działalność o charakterze ekologicznym: Udział w projekcie C-Change - kultura i sztuka w walce ze zmianami klimatu: - udział pracownika w wyjeździe szkoleniowym w ramach projektu, przygotowanie i realizacja szkoleń C-Change dotyczących śladu węglowego i wodnego dla instytucji kultury biorących udział w projekcie;  - pozyskanie dofinansowania na realizację projektu Eko-budowanie – czyli zrób to sam i realizacja projektu. - powtórne wykorzystywanie materiałów bibliotecznych: zniszczone regały – do projektu Eko-budowanie; zniszczone ubytkowane  książki – wspólna akcja z Departamentem Zrównoważonego Rozwoju – przekazanie książek potrzebującym. - ograniczenie drukowania materiałów graficznych ( plakatów, ulotek) i informowanie/ zachęcanie czytelników – akcja – zapamiętaj lub sfotografuj. Bezpieczeństwo pracowników: część pracowała w trybie zdalnym, część w filiach; zakupiono środki ochrony osobistej dla pracowników (maseczki, środki do dezynfekcji, rękawiczki) Bezpieczeństwo użytkowników ( środki do dezynfekcji rąk, rękawiczki, przesłony z pleksi na stanowiska obsługi);Przygotowano procedury dotyczące funkcjonowania filii, obsługi użytkowników i dezynfekcji pomieszczeń zgodnie z rekomendacjami Biblioteki Narodowej i wytycznymi Ministerstwa Rozwoju dotyczącymi funkcjonowania bibliotek w trakcie epidemii COVID-19 w Polsce. Wprowadzono kwarantannę zbiorów. Uzyskano pozytywne opinie Państwowego Powiatowego Inspektora Sanitarnego (PSSE, ul. Kleczkowska 20, Wrocław), zatwierdzono i wdrożono procedury poprzez zarządzenia dyrektora i spotkania z kierownikami filii.</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STREFA KULTURY WROCŁAW</w:t>
      </w:r>
    </w:p>
    <w:p w:rsidR="00CA14AB" w:rsidRPr="00E00B35" w:rsidRDefault="00CA14AB" w:rsidP="00E00B35">
      <w:pPr>
        <w:spacing w:after="0" w:line="312" w:lineRule="auto"/>
        <w:rPr>
          <w:szCs w:val="20"/>
        </w:rPr>
      </w:pPr>
      <w:r w:rsidRPr="00E00B35">
        <w:rPr>
          <w:szCs w:val="20"/>
        </w:rPr>
        <w:t xml:space="preserve">W roku 2020 udało się zrealizować większość kluczowych dla instytucji wydarzeń: Dzień Trójkąta, Festiwal Jazz nad Odrą, Dzień Sąsiada, Europejska Noc Literatury (otrzymanie grantu z MKiDN). Pozyskaliśmy nowe partnerstwa międzynarodowe, krajowe i lokalne – ze względu na pandemię ich realizacja przesuwa się na 2021 rok. W ramach programu Sąsiadujemy zrealizowana została produkcja serialu „Opowieści z osiedli”, który stał się fenomenem i swoją oglądalnością zaskoczył wszystkich. Udało się wyposażyć w odpowiednią infrastrukturę plac przed Impartem i stworzyć przestrzeń do działań plenerowych. Instytucja posiada swoje niezależne przyłącze prądu o średniej mocy. Stworzono komfortowe warunki do pracy w przestrzeniach ruska 46 dla pracowników. 56. </w:t>
      </w:r>
      <w:r w:rsidRPr="00E00B35">
        <w:rPr>
          <w:szCs w:val="20"/>
        </w:rPr>
        <w:lastRenderedPageBreak/>
        <w:t xml:space="preserve">edycja festiwalu Jazz nad Odrą. Ze względu na historyczną ciągłość festiwalu zależało nam na jego realizacji pomimo trudności w organizacji działań festiwalowych w czasie pandemii. Okoliczność przyznania dotacji ze środków Instytutu Muzyki i Yańca jeszcze tę determinację podbiła. Finalnie udało się zrealizować dwudniowy festiwal z konkursem na indywidualność jazzową na fantastycznym poziomie. Ze względu na pandemię podczas wydarzenia wystąpili krajowi artyści. Festiwal ponownie otrzymał tytuł najlepszego festiwalu jazzowego w Polsce – ósmy rok z rzędu. Po raz pierwszy w historii festiwalu koncerty festiwalowe były transmitowane online. Pierwszego dnia festiwalu odbyły się występy pierwszej czwórki finalistów konkursu na Indywidualność Jazzową. O Grand Prix powalczyli: Unleashed Cooperation, Semiotic Quintet, Ola Błachno Quartet i Damian Hyra Quartet. Wieczór zwieńczył koncert Piotra Wojtasika z projektem „VOICES”, do którego artysta zaprosił znakomitych muzyków oraz Chór Synagogi pod Białym Bocianem pod dyrekcją Stanisław Rybarczyka. Kolejnego dnia odbyła się druga część konkursu i przesłuchania kolejnej czwórki finalistów. Jury, w którym zasiądzie m.in. Aga Zaryan i Mariusz Bogdanowicz, oceniło propozycje składów: Gawroński / Lechki Consolidation Collective, Marcin Pater Trio, Chojnacki Miguła Contemplations oraz solisty Boogie Skiedrzyńskiego. Na finał zagrał zespół największych nowych talentów polskiego jazzu pod szyldem Jazz Forum Talents oraz trio Możdżer – Lemańczyk – Łosowski. 9. edycja Europejskiej Nocy Literatury odbyła się, po tygodniach niepewności i przekładania terminów, w reżimie pandemicznym pod koniec sierpnia na osiedlu Powstańców Śląskich. Po raz kolejny program ENL przygotowany został przez zaproszonego do współpracy eksperta – kuratorem 9. odsłony wrocławskiego wydarzenia był dziennikarz literacki i pisarz Max Cegielski. To właśnie on był autorem koncepcji tematycznej Europejskiej Nocy Literatury 2020,  która odbyła się pod hasłem „Podróż”. Kluczem doboru tekstów nie był ich gatunek czy data wydania – zamiast tego wybrane książki połączył motyw szeroko pojętej podróży. Wśród lektorów i lektorek tegorocznej edycji ENL-u znaleźli się m.in. Krystyna Czubówna, Jarosław Boberek, Magdalena Popławska czy Andrzej Zielińskiego, którzy przeczytali teksty takich autorów jak choćby Michel Houellebecq, Jurij Andruchowycz, Olga Tokarczuk czy Thomas Mann. Już kolejny raz podczas Europejskiej Nocy Literatury niwelowane były bariery utrudniające uczestnictwo w wydarzeniu osobom z niepełnosprawnością wzroku czy słuchu. W zmienionej formule, czyli poprzez dystrybucję sąsiedzkich pakietów do samodzielnego wykonania, zrealizowany został Dzień Sąsiada, który był w roku 2020 zrealizowany głownie w formule mobilnych koncertów. Rozciągnięty w czasie cykl koncertów zaangażował mnóstwo mieszkańców i był przykładem realizacji naszych celów strategicznych docierać z kulturą w miejsca nieoczywiste. Dzień Trójkąta to kolejny projekt, który udało się zrealizować i przeprowadzić w reżimie sanitarnym. Poznając przyrodę Przedmieścia Oławskiego, wspólnie odkrywaliśmy zielone oblicze osiedla oraz wspólnie poszukiwaliśmy inspiracji do działań w duchu less waste. Wydarzenie rozpoczęło się od leniwego śniadania w parku na Niskich Łąkach, gdzie następnie przez cały dzień działała Zielona Strefa Relaksu, czyli miejsce odpoczynku, spotkań z sąsiadami oraz przedstawicielami instytucji i organizacji z Przedmieścia. Po wprowadzeniu lockdown’u w marcu 2020 r. wszyscy wierzyli, że imprezę sylwestrową w rynku 31 grudnia będzie można zrealizować. Z początkiem </w:t>
      </w:r>
      <w:r w:rsidRPr="00E00B35">
        <w:rPr>
          <w:szCs w:val="20"/>
        </w:rPr>
        <w:lastRenderedPageBreak/>
        <w:t xml:space="preserve">października została podjęta decyzja, że impreza w roku 2020 w formie plenerowego koncertu – jak miało to miejsce w latach poprzednich – nie odbędzie się. W połowie listopada zaakceptowany został pomysł o realizacji sylwestra on line w formie programu telewizyjnego zrealizowanego „live” z zachowaniem rygorów sanitarnych. Plan tv zdjęciowy został zorganizowany w dwóch apartamentach w SKY Sky TOWERTower. W nawiązaniu do atmosfery „zostań w domu” SKW zrealizowało program tv transmitowany na żywo na </w:t>
      </w:r>
      <w:hyperlink r:id="rId62" w:history="1">
        <w:r w:rsidRPr="00E00B35">
          <w:rPr>
            <w:szCs w:val="20"/>
          </w:rPr>
          <w:t>www.wroclaw.pl</w:t>
        </w:r>
      </w:hyperlink>
      <w:r w:rsidRPr="00E00B35">
        <w:rPr>
          <w:szCs w:val="20"/>
        </w:rPr>
        <w:t xml:space="preserve">. Mobilna Scena Strefy Kultury Wrocław, Letnia Scena Impartu, Sympozjum 70, Wrocławski Kongres Kultury, Rozpoczęcie procesu Sieciowania Instytucji Kultury, Dzień Dziecka – współpraca z innymi instytucjami. W ramach Wrocławskiego Programu Wydawniczego ukazały się takie oto współwydawnictwa - książki „Ocalić od zapomnienia” (wyd. Ośrodek Kultury i Sztuki), „W ogniu i gruzach…” (wyd. VIA NOVA), „Szpok. Próby”, „Franciszka, Maryśka i ja”, „Cięcia” (wyd. Wydawnictwo J) oraz czasopisma Chidusz, nietak!t, Rita Baum, Cegła (razem 11 numerów). W ramach Praktyków Kultury zrealizowano badanie „Kultura alternatywna – strategie istnienia(przypadek Salki CRK)” oraz autorskie podcasty o dostępności i ekologii w instytucjach kultury (10 audycji). Wrocławski Niezbędnik Kulturalny – ukazały się 2 numery online oraz 6 numerów w tradycyjnej formie papierowej. W ramach działalności Domku Miedziorytnika pozyskano następujące dzieła. W lutym 2020 roku kupiono niewielki obraz olejny na blejtramie z widokiem Domku Miedziorytnika, 3 grafiki Geta w galerii Michała Kasprowskiego na Jatkach, kupiono obraz grafikę/plakat/rysunek Geta wydany z okazji rocznicy Teatru Gest we Wrocławiu w galerii Michała Kasprowskiego na Jatkach, jak również niewielki rysunek Geta w galerii Michała Kasprowskiego na Jatkach, kupiono grafikę Geta z maską w galerii Michała Kasprowskiego na Jatkach, kupiono 6 grafik (mezzotinta) autorstwa Jarosława Jędrzejowskiego z Domkiem Miedziorytnika w galerii Michała Kasprowskiego na Jatkach, kupiono rysunek Geta w galerii Michała Kasprowskiego na Jatkach. Festiwal Jazz nad Odrą otrzymał tytuły najlepszego festiwal jazzowy według czytelników Jazz Forum oraz najlepszego festiwalu jazzowego według Jazzpress. MKiDN na realizację  Sympozjum 70/20, Międzynarodowego Festiwaul Jazz nad Odrą 2019-2021, IX Europejskiej Nocy Literatury-czytanie bez barier 2020. Podstawowym celem postawionym wobec tej sytuacji było utrzymanie kontaktu z odbiorcami i uczestnikami działań Strefy Kultury Wrocław. W duchu audience development wdrażanego w naszej instytucji od 2015 roku było to kluczowe zagadnienie po wprowadzeniu restrykcji. Wobec powyższego poza prostym mechanizmem obecności w  sieci (zrealizowaliśmy prawie sto wydarzeń online oraz nabyliśmy nową kompetencję nagrywania podcastów) zrealizowaliśmy szereg działań wyciągających widzów sprzed ekranów lub wciągających uczestników działań do aktywności. Przed Dniem Sąsiada, zespół programu przygotował pakiety sąsiedzkie „Podziękuj sąsiadowi” do samodzielnego wykorzystania. Przez długie miesiące wielu z odbiorców instytucji korzystało z pomocy sąsiadów, dlatego otworzyliśmy możliwość otrzymania od nas 160 zestawów, który posłużył do podziękowania sąsiadowi za pomoc.  Część cykli realizowanych w Barabrze podobnie utrzymywała kontakt z uczestnikami poprzez osobiste, ale bezpieczne interakcje (zestawy do haftowania, zestawy degustacyjne z cyklu Kuchnia dla opornych). </w:t>
      </w:r>
      <w:r w:rsidRPr="00E00B35">
        <w:rPr>
          <w:szCs w:val="20"/>
        </w:rPr>
        <w:br/>
        <w:t xml:space="preserve">W roku 2020 wspólnie z organizatorem zdecydowaliśmy podnieść kwotę wsparcia dla </w:t>
      </w:r>
      <w:r w:rsidRPr="00E00B35">
        <w:rPr>
          <w:szCs w:val="20"/>
        </w:rPr>
        <w:lastRenderedPageBreak/>
        <w:t xml:space="preserve">grup nieformalnych i aktywnych mieszkańców Wrocławia chcących działać w ramach Mikrograntów. Pomimo ogromnej niepewności co do możliwości działania zespół koordynatorek tego zadania elastycznie podchodził do negocjacji z partnerami. Finalnie udało się zrealizować 37 wspólnych projektów na które składały się głownie działania pakietowe, plenerowe (spacery, online wystawy, warsztaty, spotkania). W okresie letnim zrealizowano zupełnie nowe, niezwykle ważne z punktu widzenia instytucji działania plenerowe – Mobilną Scenę Strefy Kultury Wrocław oraz Scenę Plenerową Impartu. Mobilna Scena Strefy Kultury Wrocław była częścią programu naszej instytucji, który zrealizowaliśmy w duchu akcji „Zostań w domu” w trakcie trwającej pandemii. Organizując powyższy projekt, zachęcaliśmy mieszkańców, by pozostawali w domach, by zdołali wytrzymać jeszcze chwilę reżim stanu epidemii, kreując nowe warunki jej doświadczania poprzez tworzenie zbiorowości odizolowanych odbiorców kultury (oddzielonych od siebie ścianami mieszkań), tj. zbiorowości jedynie w wymiarze duchowym, a nie fizycznym. Realizacja profesjonalnie przygotowanych występów artystycznych w przestrzeni miejskiej w ramach Mobilnej Sceny SKW ruszyła w miasto pod koniec kwietnia 2020 r. Dokładne lokalizacje sceny były zawsze niespodzianką, ponieważ jako organizatorzy chcieliśmy uniknąć niepotrzebnych zgromadzeń (wydarzenia odbywały się zawsze trzykrotnie każdego dnia, w trzech różnych miejscach, ale w obrębie wybranego osiedla). Występy można było podziwiać z bezpiecznej odległości – widzowie gromadzili się zatem w oknach i na balkonach, a do współpracy Strefa Kultury Wrocław zaprosiła wielu wrocławskich artystów. Po ponad 67 koncertach zagranych na kilkudziesięciu wrocławskich osiedlach Mobilna Scena Strefy Kultury Wrocław dotarła wraz z końcem czerwca 2020 r. do mety, ustępując miejsca nowemu projektowi SKW – Letniej Scenie Impartu, której oficjalna inauguracja odbyła się w dniu 2 lipca 2020 r. na Placu Społecznym, zaś jej finał w dniu 19 września. Część z wydarzeń prezentowana była dwukrotnie i odbywała się wówczas w dodatkowych lokalizacjach – na kilku wrocławskich osiedlach, które wybierane były w drodze głosownia przez mieszkańców osiedli w odpowiedzi na akcję ogłaszaną na Facebook’u przez Strefę Kultury Wrocław we współpracy z zaprzyjaźnionymi Radami Osiedli. Drugim celem było zachowanie pamięci o kluczowych projektach i ich realizacja (jeśli tylko była możliwa). Mowa to o Europejskiej Nocy Literatury, Dniu Sąsiada, Dniu Trójkąta festiwalu Jazz nad Odrą. Poprzez działalność hybrydową dotarliśmy z naszą ofertą do znacznie szerszego grona odbiorców. Działalność o charakterze ekologicznym: Stworzono na użytek wewnętrzny instytucji dokument „EKOSTRATEGIA: pakiet rekomendacji związanych z wdrażaniem zasad zrównoważonego rozwoju w Strefie Kultury Wrocław”. Dokument opisuje m.in. usprawnienia działań SKW w kontekście ekologii i zrównoważonego rozwoju, działania podnoszące świadomość pracowników instytucji, zasady organizacji działań w duchu less waste oraz organizacji pracy wewnętrznej (np. zakup ekologicznego papieru, rezygnacja z plastiku). Testowo realizowano kilka wydarzeń eventowych w duchu zrównoważonego rozwoju. Europejską Noc Literatury (np. znane czytające literaturę osobistości dotarły do Wrocławia koleją, a nie samolotami czy własnym transportem), brak materiałów drukowanych (poza mapami). Podczas Dzienia Trójkąta, przy współpracy z TargPiast zorganizowano sąsiedzkie śniadanie z produktów niesprzedanych przez hurtownię warzyw. Ponadto </w:t>
      </w:r>
      <w:r w:rsidRPr="00E00B35">
        <w:rPr>
          <w:szCs w:val="20"/>
        </w:rPr>
        <w:lastRenderedPageBreak/>
        <w:t>nagrano 6 ogólnodostępnych podcastów kompetencyjno-szkoleniowych dla pracowników sektora kultury, które poruszają takie tematy jak planowanie działań „zielonych”, adaptacja sektora kultury do problemu zmian klimatycznych. Instytucja brała również aktywny udział w programie „C - Change - Kultura i Sztuka w walce ze zmianami klimatu” i szykuje się do wdrażania kalkulatora liczącego ślad węglowy.</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TEATR MUZYCZNY CAPITOL</w:t>
      </w:r>
    </w:p>
    <w:p w:rsidR="00CA14AB" w:rsidRPr="00E00B35" w:rsidRDefault="00CA14AB" w:rsidP="00E00B35">
      <w:pPr>
        <w:spacing w:after="0" w:line="312" w:lineRule="auto"/>
        <w:rPr>
          <w:szCs w:val="20"/>
        </w:rPr>
      </w:pPr>
      <w:r w:rsidRPr="00E00B35">
        <w:rPr>
          <w:szCs w:val="20"/>
        </w:rPr>
        <w:t xml:space="preserve">Działalność artystyczna. Z trzech premier, zapowiadanych na rok 2020, wystawiliśmy dwie: „Gracjana Pana” w reż. Cezarego Tomaszewskiego i „Lazarusa” w reż. Jana Klaty.  Ze względu na zamknięcie teatrów z powodu pandemii nie doszła do skutku premiera „Alicji” Agnieszki Wolny-Hamkało i Martyny Majewskiej, nie odbył się 41. Przegląd Piosenki Aktorskiej, a rozpoczęty w lutym nowy cykl na Scenie Restauracja – „Mów coś, śpiewaj! Improkracja &amp; Capitol” – zawieszony został po pierwszym spotkaniu. </w:t>
      </w:r>
      <w:r w:rsidRPr="00E00B35">
        <w:rPr>
          <w:szCs w:val="20"/>
        </w:rPr>
        <w:br/>
        <w:t xml:space="preserve">Zrealizowaliśmy zapis video spektaklu „Gracjan Pan”, który wziął udział w 20. Ogólnopolskim Festiwalu Sztuki Reżyserskiej Interpretacje w Katowicach oraz w Międzynarodowym Festiwalu Teatralnym Boska Komedia w Krakowie. W 2020 roku rozpoczęliśmy realizację serialu edukacyjnego „Bez maski”, który opowiada o tym, jak działa teatr. Część środków na ten projekt pozyskaliśmy metodą crowdfundingu. Serial będzie dostępny w internecie, także dla osób ze specjalnymi potrzebami (audiodeskrypcja, napisy), złoży się na niego 9 odcinków, pokazujących kulisy pracy teatru i rozmowy z ekspertami.W czasie lockdownu jednym z najważniejszych zadań było utrzymanie kontaktu z publicznością. Wykorzystując internet i media społecznościowe, wchodziliśmy w interakcje z odbiorcami, proponując im udział w quizach wiedzy o Capitolu, głosowania na listę przebojów z naszych spektakli, udostępniając archiwalne spektakle i gale PPA, ale przede wszystkim realizując nowe materiały wideo specjalnie dla naszych widzów. Były to: film „Korona Impresje” z udziałem tancerzy i muzyków związanych z naszym teatrem, 24 odcinki Czytania na Dywanie (artyści Capitolu czytają dzieciom i młodzieży książki wybrane we współpracy z Miejską Biblioteką Publiczną), 10 odcinków Wirusowej Telewizji Festiwalowej 41. PPA i tyleż instagramowych live'ów Heleny Sujeckiej, kilkanaście filmików z domowymi coverami przebojów Capitolu w wykonaniu naszych artystów. Teatr zrealizował też dwa nagrania o charakterze społeczno-solidarnościowym: nagranie piosenki „Bądź obok mnie” - wsparcie dla Szpitala na Koszarowej i „Mury” dla Białorusi (z udziałem artystów ogólnopolskich). Strategia finansowa Strategicznymi celami w zakresie finansów instytucji w roku 2020 było uzyskanie stabilności finansowej w obliczu ograniczeń w funkcjonowaniu teatrów  w związku z pandemią COVID-19. Ograniczenia wynikające bezpośrednio z aktów prawnych władzy publicznej dotyczyły konieczności zaprzestania prezentacji spektakli z udziałem widzów lub zmniejszenia ilości widzów na spektaklach odpowiednio o 50% i  75%. Sytuacja ta wpłynęła znacząco na możliwość generowania przychodów własnych instytucji z tytułu sprzedaży biletów na spektakle, a także z tytułu wynajmu sal widowiskowych, które mają istotnie znaczenie dla finansowania działalności teatru.   Cele te zostały zrealizowane przede wszystkim poprzez: a) zmniejszenie kosztów przygotowania premier w roku 2020 wskutek przeniesienia premiery spektaklu pt.: </w:t>
      </w:r>
      <w:r w:rsidRPr="00E00B35">
        <w:rPr>
          <w:szCs w:val="20"/>
        </w:rPr>
        <w:lastRenderedPageBreak/>
        <w:t xml:space="preserve">„Alicja” z czerwca 2020 na czerwiec 2021, b) nierozpoczynania w roku 2020 produkcji premiery spektaklu pt.: „Cesarz” (pierwotnie zaplanowano rozpoczęcie prac produkcyjnych do tej premiery na IV kw. 2020 z premierą w I kw. 2021), </w:t>
      </w:r>
      <w:r w:rsidRPr="00E00B35">
        <w:rPr>
          <w:szCs w:val="20"/>
        </w:rPr>
        <w:br/>
        <w:t xml:space="preserve">c) zmniejszenie kosztów funkcjonowania instytucji poprzez ograniczenie zakresu usług: sprzątania obiektu, ochrony, konserwacji i serwisów oraz innych kosztów wydziałowych w tym kosztów promocji, d) pozyskanie środków z Funduszu Wsparcia Kultury w wysokości 1.674.415,00 Najważniejszym działaniem Teatru Muzycznego w każdym okresie jest wystawianie przedstawień dla publiczności, a zatem eksploatacja istniejących tytułów i produkowanie nowych premier. Ze względu na pandemię, w 2020 roku eksploatacja spektakli była bardzo utrudniona, lub niemożliwa przez długi czas. Teatr wyprodukował jednak dwie z trzech planowanych premier. "Alicję" w reżyserii Martyny Majewskiej, ze względów ekonomicznych, przełożyliśmy na 2021 rok. W styczniu 2020 roku wyprodukowaliśmy spektakl pod tytułem "Gracjan Pan. Musical" wg zamówionego scenariusza autorstwa Natalii Fiedorczuk, z muzyką Tomasza Leszczyńskiego, naszego aktora, który zadebiutował w roli kompozytora i aranżera muzyki w pełnowymiarowym musicalu. Spektakl wyreżyserował Cezary Tomaszewski - wybitny artysta, nagradzany na wielu festiwalach, po raz pierwszy współpracujący z Capitolem. Zawsze naszą wielką satysfakcją jest nawiązanie współpracy artystycznej z wybitnym reżyserem teatru dramatycznego, który w Capitolu debiutuje w musicalowej materii. Natchnieniem dla twórców, ich muzą i głównym bohaterem musicalu jest Gracjan Roztocki, jeden z najsłynniejszych polskich youtuberów, artysta totalny, w swej twórczości nieskrępowany i niekrępujący się żadną konwencją. Spektakl spotkał się z bardzo dobrym przyjęciem krytyków i publiczności, choć, ze względu na postać Gracjana Roztockiego, wśród części widzów wzbudził również kontrowersje. To manifest tolerancji dla inności wykonywany przez zespół artystów Capitolu na bardzo wysokim poziomie. Spektakl został zaproszony na najważniejsze polskie festiwale teatralne takie jak Festiwal Twórczości Reżyserskiej Interpretacje w Katowicach (nagroda), czy Boska Komedia w Krakowie. Nasza kolejną premierą był licencyjny musical "Lazarus" Endy Walsha z muzyką Davida Bowie, polska prapremiera tego tytułu w reżyserii Jana Klaty. Co kilka sezonów staramy się prezentować naszej publiczności te najbardziej interesujące dzieła światowego musicalu. "Lazarus" bez wątpienia jest jednym z najwybitniejszych musicali ostatnich lat. Scenariusz Endy Walsha jest sequelem powieści science fiction „Człowiek, który spadł na Ziemię” („The Man Who Fell to Earth”) i filmu z 1976 roku, w którym David Bowie zagrał główną rolę. Film i książka opowiadają o przedstawicielach obcej cywilizacji, którzy szukają na Ziemi nowego miejsca do życia z powodu suszy, pustoszącej ich macierzystą planetę. Jeden z nich, Thomas Newton, funkcjonując w ludzkim przebraniu, wykorzystuje swoje umiejętności i wiedzę do zdobycia władzy i wpływów, aby umożliwić transport wody na swoją planetę. Dzięki swoim nadludzkim zdolnościom zdobywa fortunę, ale nabywa też ziemskich przywar: chciwości, egoizmu, popada w alkoholizm. Nie będzie mógł wykonać zadania, z którym przyleciał na Ziemię. „Lazarus” miał swoją światową premierę w The New York Theatre Workshop 7 grudnia 2015. Polska prapremiera w Capitolu była jednym z najważniejszych wydarzeń teatralnych 2020 roku w Polsce. Po wielu latach przerwy "powrócił" do Wrocławia wybitny reżyser, laureat m.in. Europejskiej </w:t>
      </w:r>
      <w:r w:rsidRPr="00E00B35">
        <w:rPr>
          <w:szCs w:val="20"/>
        </w:rPr>
        <w:lastRenderedPageBreak/>
        <w:t xml:space="preserve">Nagrody Teatralnej - Jan Klata. Obie nasze premiery "Gracjan Pan. Musical" i "Lazarus" wymieniane są w wielu rankingach najlepszych spektakli teatralnych 2020 roku, jak choćby w "Polityce" czy w "Onecie". Epidemia koronawirusa zmusiła nas do większej aktywności w sieci. Nasze sieciowe działania utrzymujące kontakt z widzami skupiają się jednak nie na transmisjach czy retransmisjach przedstawień, ale na działaniach edukacyjnych, "okołorepertuarowych" czy interaktywnych. Konkursy dla publiczności, artystyczne krótkie formy video, nieformalne koncerty i produkcja cyklu filmów edukacyjnych - te działania stanowiły istotę naszego internetowego kontaktu z widzami. Mamy nadzieję na rychłe "odmrożenie" teatru i powrót do grania spektakli na żywo, video nie zastąpi teatru. Staramy się być wrażliwi społecznie. Dlatego dość spontanicznie reagowaliśmy na rozmaite elementy życia publicznego nagrywając videoclipy z piosenkami wspierającymi służby medyczne ("Bądź obok mnie"), czy wolnościowy zryw na Białorusi ("Mury"). W grudniu zrealizowaliśmy 23-dniowy happening TEATR NIE DZIAŁA, będący artystycznym komentarzem do epidemicznych restrykcji. Ta akcja była szeroko komentowana w ogólnopolskich mediach. 1. Wirusowa Telewizja Festiwalowa (quasi-relacje z odwołanego Przeglądu Piosenki Aktorskiej); 10 odcinków 2.  "Capitol korona-impresje" - krótki film ukazujący choreograficzne i muzyczne improwizacje oparte o motywy z repertuarowych spektakli TM Capitol  3. „Bez maski” – edukacyjny serial o teatrze i związana z nim internetowa zbiórka crowdfundingowa   4. Kilkanaście filmików z domowymi coverami przebojów Capitolu w wykonaniu naszych artystów  5. Klipy wideo z piosenkami "Bądź obok mnie" oraz "Mury" 6. Happening „Teatr nie działa” Premiera spektaklu “Gracjan Pan. Musical” Premiera spektaklu “Lazarus” Płyta CD “Mock. Czarna burleska”  Płyta DVD “Gala 40.PPA: Koniec”. „Gracjan Pan. Musical”: Nagroda jurorska Jacka Poniedziałka dla reżysera spektaklu, Cezarego Tomaszewskiego, na 20. Ogólnopolskim Festiwalu Sztuki Reżyserskiej Interpretacje w Katowicach. W ankiecie krytyków miesięcznika Teatr (nr 7-8/2020) „Najlepszy, najlepsza, najlepsi w sezonie 2019/2020” Teatr Muzyczny Capitol został wyróżniony w kategorii Najlepszy teatr (Kalina Zalewska, Jacek Cieślak), spektakl “Gracjan Pan. Musical” wyróżniony w kategorii Najlepsze przedstawienie teatru muzycznego, Najlepsza choreografia i Najlepsza muzyka (Tomasz Domagała), spektakl “Mock. Czarna burleska” wyróżniony w kategorii Najlepsze przedstawienie i Debiut roku - kompozytor Grzegorz Rdzak (Jacek Cieślak) Klaudia Waszak, aktorka Capitolu, otrzymała Nagrodę Publiczności w plebiscycie WARTO Gazety Wyborczej Wrocław. Najważniejszym działaniem Capitolu realizującym cele instytucji w czasie pandemii COVID-19 było wystawianie przedstawień mimo radykalnych ograniczeń dot. ilości widzów (50% oraz późniejsze 25%), co stało często w sprzeczności z rachunkiem ekonomicznym. Bardzo istotne znaczenie miało również utrzymywanie kontaktu z widzami poprzez działania w sieci, tworzenie rozmaitych form artystycznych dedykowanych wykorzystaniu w sieci. Działania o charakterze ekologicznym1. Zrezygnowaliśmy z plastikowych butli z wodą pitną i wprowadziliśmy dzbanki filtrujące wodę kranową. 2. Segregujemy śmieci. Część odpadów, takich jak elektrośmieci (zużyte baterie, sprzęt elektryczny i elektroniczny, itp.), przekazujemy firmom wyspecjalizowanym w utylizowaniu danego produktu. Na śmietnik wyrzucamy jedynie takie odpady, które nie szkodzą środowisku. 3. Od 2018 utrzymujemy pasiekę złożoną z </w:t>
      </w:r>
      <w:r w:rsidRPr="00E00B35">
        <w:rPr>
          <w:szCs w:val="20"/>
        </w:rPr>
        <w:lastRenderedPageBreak/>
        <w:t>dwóch uli na dachu Capitolu we współpracy z Fundacją Instytut Rozwoju Pszczelarstwa. Pasieka jest pod stałą opieką jej prezesa, Łukasza Wyszkowskiego, pszczelarza z pasją.  4. „Zielona ściana” – Strefa relaksu muzycznego na zielonym tarasie. Zapraszamy na zielony taras, gdzie można spocząć na wygodnym leżaku i zrelaksować się, kojąc wzrok zielenią żywych roślin, a słuch – specjalnie na ten cel zaaranżowanymi tematami muzycznymi ze spektakli Capitolu. Promocja kontaktu z zielenią oraz relaksu i wypoczynku. Zielona „ściana”, jak potocznie nazywamy ten element architektury wnętrza teatru, wytwarza własny mikroklimat i pochłania spore dawki dwutlenku węgla ze względu na swój metraż (6,7m/20,2m; 3531 sztuk roślin). Na terenie teatru mamy w sumie dwie takie ściany, druga znajduje się w przestrzeni socjalnej w części biurowej budynku (3,5m/20,5m; 2448 sztuk roślin). 5. Bierzemy regularny udział w szkoleniach i spotkaniach C-Change. 6. Praca zdalna – w związku z pandemią COVID-19 ograniczyliśmy liczbę pracowników pracujących stacjonarnie w teatrze poprzez wprowadzenie pracy zdalnej. To, jak również fakt, że przez większość roku 2020 do dziś, nie gramy spektakli, przyczyniło się do ograniczenia zużycia energii, wody, produkcji śmieci, wytwarzania śladu węglowego, itp. 7. Całe oświetlenie zewnętrzne teatru (łącznie z telebimem nad głównym wejściem) jest ledowe.  8. Niektóre elementy scenografii i kostiumów wykorzystujemy wielokrotnie w kolejnych produkcjach teatru.</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WROCŁAWSKI TEATR LALEK</w:t>
      </w:r>
    </w:p>
    <w:p w:rsidR="00CA14AB" w:rsidRPr="00E00B35" w:rsidRDefault="00CA14AB" w:rsidP="00E00B35">
      <w:pPr>
        <w:spacing w:after="0" w:line="312" w:lineRule="auto"/>
        <w:rPr>
          <w:szCs w:val="20"/>
        </w:rPr>
      </w:pPr>
      <w:r w:rsidRPr="00E00B35">
        <w:rPr>
          <w:szCs w:val="20"/>
        </w:rPr>
        <w:t xml:space="preserve">1) Realizacja trzech premier, w tym dwóch online (szczegóły w punkcie poświęconym opisowi kluczowych działań). 2) Zachowanie płynności działania w czasie pandemii i podtrzymanie kontaktów z widzami mimo zamknięcia instytucji kultury. 3) Pozyskanie grantów MKiDN – dofinansowania na realizację projektów artystycznych i edukacyjnych („Polskie rymowanki albo ceremonie”, „anderSEN O TEATRZE”, „Bawimy się w teatr. O!”). 4) Pozyskanie dodatkowych środków finansowych na działalność teatru w okresie pandemii w ramach programów Tarcza 2.0 i Fundusz Wsparcia Kultury. 5) Działania w sieci w czasie pandemii Covid-19, w szczególności nowy cykl "Bajka z zamkniętego teatru", oparty na interakcji widz – dramaturg – aktorzy – animatorzy, a także spektakle online. 6) Propagowanie wśród młodzieży i osób dorosłych przedstawień Wrocławskiego Teatru Lalek oraz szeroko pojętej sztuki teatralnej. Są to nieoczywiste grupy odbiorców, jeśli chodzi o teatry lalkowe. 7) Modernizacja oświetlenia awaryjnego instalacji p.poż i systemu monitoringu w całym budynku WTL. „Ile żab waży księżyc” - premierowy spektakl w reżyserii Agaty Kucińskiej na podstawie tekstu Maliny Prześlugi, zrealizowany we współpracy z Cloud Theater - premiera sceniczna 7.03.2020. „Polskie rymowanki albo ceremonie” - eksperymentalny projekt stworzony w odpowiedzi na faktyczne potrzeby kultury w sieci w czasach pandemii, album audiowizualny w reżyserii Marty Streker na podstawie tekstu Andrzeja Błażewicza - premiera online 12.09.2020. </w:t>
      </w:r>
      <w:r w:rsidRPr="00E00B35">
        <w:rPr>
          <w:szCs w:val="20"/>
        </w:rPr>
        <w:br/>
        <w:t>Projekt został dofinansowany ze środków MKiDN/NCK w ramach programu „Kultura w sieci”.  „anderSEN o TEATRZE” - premierowy spektakl w reżyserii czeskiego duetu SKUTR na podstawie baśni Hansa Christiana Andersena oraz towarzyszący mu cykl making of’ów z pracy nad spektaklem - pokazanie widzom teatru od kulis - premiera online 17.10.2020</w:t>
      </w:r>
      <w:r w:rsidRPr="00E00B35">
        <w:rPr>
          <w:szCs w:val="20"/>
        </w:rPr>
        <w:br/>
        <w:t xml:space="preserve">Projekt został dofinansowany ze środków MKiDN w ramach programu Fundusz Promocji </w:t>
      </w:r>
      <w:r w:rsidRPr="00E00B35">
        <w:rPr>
          <w:szCs w:val="20"/>
        </w:rPr>
        <w:lastRenderedPageBreak/>
        <w:t>Kultury. Spółdzielnia Bajek Tęcza – nowy  interaktywny projekt edukacyjno-artystyczny stworzony specjalnie na czas pandemii (kwiecień – wrzesień 2020), w ramach którego widzowie wraz z artystami WTL wspólnie tworzyli "Bajkę z zamkniętego teatru" – częściowo animowany film w odcinkach, publikowany w internecie i stale dostępny na stronie internetowej teatru. Działania edukacyjne teatru, w szczególności:</w:t>
      </w:r>
      <w:r w:rsidRPr="00E00B35">
        <w:rPr>
          <w:szCs w:val="20"/>
        </w:rPr>
        <w:br/>
        <w:t>a) „Bawimy się w teatr. O!” - cykl nieodpłatnych i dostępnych dla osób ze szczególnymi potrzebami warsztatów (sierpień - październik 2020); b) „My tu gramy!” - cykl warsztatów teatralno-migowo-muzycznych, dostępnych dla osób ze szczególnymi potrzebami (do marca 2020); c) Grupa młodzieżowa ROBIMY (do dziś, od listopada 2020 online); d) projekt "Machina teatralna, czyli jak to wszystko działa" (do marca 2020) – interaktywne spacery po teatrze, propagujące wśród dzieci i ich rodziców szeroko pojętą kulturę teatralnej z naciskiem na teatry lalek; e) Stały cykl działań dla szkół i przedszkoli (do marca 2020) : warsztaty teatralne, warsztaty do spektakli, spacery po teatrze. Działania edukacyjne w sieci, w szczególności: a) cykle „Teatr na wynos” oraz „Zrób sobie teatr. Zabawy domowe” - materiały edukacyjne udostępniane nieodpłatnie w sieci (od marca 2020); b) cykl „Rodzinne niedziele z WTL-em” - spektakle udostępniane nieodpłatnie w sieci 2 razy w miesiącu (od marca 2020); c) cykl „SŁUCHAJ! Jasiek i...” - słuchowiska na podstawie zamówionych przez teatr sztuk młodych polskich dramatopisarzy, dostępne nieodpłatnie w sieci (od kwietnia 2020);</w:t>
      </w:r>
      <w:r w:rsidRPr="00E00B35">
        <w:rPr>
          <w:szCs w:val="20"/>
        </w:rPr>
        <w:br/>
        <w:t>d) spotkania online z artystami i aktorami WTL, na żywo w internecie, po spektaklach udostępnianych online (grudzień 2020); e) przedświąteczny cykl filmów „Gwiazdki z WTL-u”, nagrywany przez zespół artystyczny i udostępniany w sieci (grudzień 2020). Zapewnienie płynności działania teatru w czasie pandemii, w szczególności przez następujące działania: a) przeniesienie działalności repertuarowej do sieci;</w:t>
      </w:r>
      <w:r w:rsidRPr="00E00B35">
        <w:rPr>
          <w:szCs w:val="20"/>
        </w:rPr>
        <w:br/>
        <w:t>b) stworzenie zupełnie nowych działań artystycznych i edukacyjnych możliwych do realizacji w sieci; c) reorganizacja pracy teatru związana z koniecznością częściowego przejścia na tryb zdalny; d) stworzenie rozwiązań zapewniających bezpieczeństwo widzom i pracownikom w czasie pandemii (regulaminy i zarządzenia);</w:t>
      </w:r>
      <w:r w:rsidRPr="00E00B35">
        <w:rPr>
          <w:szCs w:val="20"/>
        </w:rPr>
        <w:br/>
        <w:t>e) pozyskanie dodatkowych środków finansowych umożliwiających realizację projektów w sieci i zapewniających teatrowi płynność finansową w związku z brakiem wpływów ze sprzedaży biletów – szczegóły w punkcie poświęconym grantom. Udział w festiwalach i spektakle wyjazdowe, m.in.:  a) „Dżungla” na festiwalu Latawiec i Trąbka. Przegląd Sztuki dla Dzieci w Fabryce Sztuki w Łodzi 3.09.2020 (stacjonarnie);</w:t>
      </w:r>
      <w:r w:rsidRPr="00E00B35">
        <w:rPr>
          <w:szCs w:val="20"/>
        </w:rPr>
        <w:br/>
        <w:t>b) "Dżungla" prezentowana w ramach na Let's talk about EYT 11-13.12.2020 (online);</w:t>
      </w:r>
      <w:r w:rsidRPr="00E00B35">
        <w:rPr>
          <w:szCs w:val="20"/>
        </w:rPr>
        <w:br/>
        <w:t xml:space="preserve">c) „Motyl” na Małej Boskiej Komedii w Teatrze Łaźnia Nowa w Krakowie 11-13.12.2020 (online). Stała praca teatru nad dostępnością merytoryczną oferty, dostępnością cyfrową i komunikacyjną  - szczegóły w punktach poświęconych dostępności. Stała praca nad poszerzeniem grupy odbiorców teatru. Propagowanie wśród młodzieży i osób dorosłych przedstawień Wrocławskiego Teatru Lalek oraz szeroko pojętej sztuki teatralnej. Są to nieoczywiste grupy odbiorców, jeśli chodzi o teatry lalkowe. W tym celu w roku 2020 (m.in.) zacieśniono współpracę z Zespołem Bezpłatnych Szkół dla  Dorosłych /Cosinus/ we Wrocławiu (do marca 2020). Słuchacze szkoły Cosinus jeszcze w grudniu 2019 r. uczestniczyli w spektaklu  "Pomnik", a w styczniu 2020 roku zorganizowano dla nich </w:t>
      </w:r>
      <w:r w:rsidRPr="00E00B35">
        <w:rPr>
          <w:szCs w:val="20"/>
        </w:rPr>
        <w:lastRenderedPageBreak/>
        <w:t>bezpłatne wycieczki – oprowadzanie po teatrze oraz warsztaty z technik lalkowych i rodzajów lalek teatralnych. Powołanie międzydziałowego zespołu wdrażającego Pracownicze Plany Kapitałowe w instytucji i rozpoczęcie prac zgodnie z obowiązującym harmonogramem. Nominacja do nagrody „Gazety Wyborczej. Wrocław” WARTO dla Marty Streker za realizowany w WTL projekt „Polskie rymowanki albo ceremonie) – pierwszą premierę teatru w sezonie 2020/2021. Uzyskanie zgody na prowadzenie działalności w czasie Covid-19 od Sanepidu W-w w czasie I okresu pandemii. Wprowadzenie regulaminów bezpieczeństwa dla pracowników i widzów podczas epidemii Covid-19 na obszarze Rzeczpospolitej Polskiej. Wprowadzenie regulaminu pracy zdalnej w czasie epidemii Covid-19. Wprowadzenie regulaminu określającego schemat działań w razie wystąpienia zakażenia COVID-19 we Wrocławskim Teatrze Lalek. Działania o charakterze ekologicznym: Administracja.  Nowe: Wymiana całości oświetlenia wewnętrznej przestrzeni teatru na żarówki LED. Zakup nowych reflektorów LED do oświetlenia sceny. Podczas zakupu sprzętu zwracanie uwagi na to, by kupować sprzęt A+++. Kontynuowane: Termostaty i wyłączniki światła. Perlatory w kranach i spłuczki w toaletach (2/3 i 1/3). Papier toaletowy z makulatury, mydła w dozownikach jednorazowych.   Stojaki i zadaszone pomieszczenie na rowery.   2) Promocja. Kontynuowane: Eko papier do materiałów promocyjnych, papier nie jest foliowany. Staramy się produkować/ kupować gadżety eco - torby, zabawki z filcu, z banerów (pozostałości po reklamach). Menu na bankietach premierowych (jeśli są) jest w ½ wegetariańskie.  3) Edukacja.  Kontynuowane: Materiały warsztatowe z recyklingu, zakupy sporadyczne. Tematyczne warsztaty, współpraca z organizacjami proekologicznymi  4) Drukowanie dwustronne, drukowanie robocze na makulaturze.  5) Segregacja odpadów. Zbiórka i wywóz elektrośmieci do punktów zbiórki.</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INSTYTUT im. JERZEGO GROTOWSKIEGO</w:t>
      </w:r>
    </w:p>
    <w:p w:rsidR="00CA14AB" w:rsidRPr="00E00B35" w:rsidRDefault="00CA14AB" w:rsidP="00E00B35">
      <w:pPr>
        <w:spacing w:after="0" w:line="312" w:lineRule="auto"/>
        <w:rPr>
          <w:szCs w:val="20"/>
        </w:rPr>
      </w:pPr>
      <w:r w:rsidRPr="00E00B35">
        <w:rPr>
          <w:szCs w:val="20"/>
        </w:rPr>
        <w:t>Wśród tych celów, które udało nam się zrealizować pomimo pandemii należy wskazać:</w:t>
      </w:r>
      <w:r w:rsidRPr="00E00B35">
        <w:rPr>
          <w:szCs w:val="20"/>
        </w:rPr>
        <w:br/>
        <w:t>- rozwój Centrum Sztuk Performatywnych| PIEKARNIA pod względem budowania programu, partnerstw artystycznych wokół tego miejsca, a także zaznaczanie tego miejsca na kulturalnej mapie Wrocławia, - prace nad programem roku ITI/UNESCO World Performing Arts Capital oraz szkolenie kadry w związku z poszerzeniem katalogu zadań, - zdobycie nowej grupy odbiorców poprzez poszerzenie działalności o dostępność w Internecie. Kluczowymi działaniami zbieżnymi z głównymi celami strategicznymi instytucji w 2020 roku było: - nawiązanie współpracy z Teatrem Pantomimy im. Henryka Tomaszewskiego we Wrocławiu, kontynuowanie współpracy i współprodukcji z Teatrem Polskim w Podziemiu oraz współprodukcja wznowienia spektaklu " Dziady części III Ustęp" w reż. Michała Zadary (wszystkie wymienione działania toczyły się wokół Centrum Sztuk Performatywnych| PIEKARNIA), - zrealizowanie Dziennika czasów zarazy. Magazynu „Teatru na faktach” w formule on-line i pozostawienie materiału w wolnym dostępie w mediach społecznościowych, co zachęciło nową publiczność do śledzenia działalności instytucji, umożliwiło nam dodarcie do odbiorców spoza Wrocławia,</w:t>
      </w:r>
      <w:r w:rsidRPr="00E00B35">
        <w:rPr>
          <w:szCs w:val="20"/>
        </w:rPr>
        <w:br/>
        <w:t xml:space="preserve">- wprowadzenie do repertuaru nowych premier w ramach "Teatru na Faktach", projektu, którego celem jest popularyzacja teatru dokumentalnego wśród wrocławskich widzów </w:t>
      </w:r>
      <w:r w:rsidRPr="00E00B35">
        <w:rPr>
          <w:szCs w:val="20"/>
        </w:rPr>
        <w:lastRenderedPageBreak/>
        <w:t>oraz młodych twórców teatralnych. Składa się z corocznych kursów dla dramaturgów, reżyserów, aktorów, muzyków, badaczy i scenografów, w trakcie których poznają oni nowe narzędzia opisywania i przedstawiania rzeczywistości w formie spektaklu dokumentalnego. Podsumowaniem kursów są przeglądy zrealizowanych przez uczestników spektakli – także na podstawie ich własnych pomysłów i scenariuszy.,</w:t>
      </w:r>
      <w:r w:rsidRPr="00E00B35">
        <w:rPr>
          <w:szCs w:val="20"/>
        </w:rPr>
        <w:br/>
        <w:t>- zrealizowanie 2 cykli Otwartego Uniwersytetu Poszukiwań "Teatr dla filozofii – filozofia dla teatru" oraz "Grotowski polityczny", - prowadzenie warsztatów i praktyk fizycznych z zakresu doskonalenia warsztatu aktora. Wrocławska Księga Pamięci – 10.03.2020 (dla wieloletnich pracowników Instytutu Grotowskiego:  Zbigniew Jędrychowski – Medal „Zasłużony dla Wrocławia – Merito de Wratislavia”, a Barbara Kaczmarek, Bogusława Knuter, Piotr Jacyk i Andrzej Walada – Złote Odznaki Towarzystwa Miłośników Wrocławia. Jarosław Fret został uhonorowany Nagrodą Związku Artystów Scen Polskich, oddziału wrocławskiego. Dyplomem uznania wyróżniono Czytelnię im. Ludwika Flaszen).  Katarzyna Lemańska - finalistka VII Ogólnopolskiego Konkursu im. Andrzeja Żurowskiego na Recenzję Teatralną dla Młodego Krytyka – 25.05.2020. Tobiasz Papuczys – nagrodzony w VI edycji Konkursu Fotografii Teatralnej w kategorii „zestaw dokumentacyjny z przedstawienia” organizowanego przez Instytut Teatralny im. Zbigniewa Raszewskiego – 15.12.2020.  Jarosław Fret – został członkiem wrocławskiej Rady Kultury (przedstawiciel Instytucji Kultury). Nominacja dla Tobiasza Papuczysa do nagrody WARTO Działalność o charakterze ekologicznym: Wprowadzono we wszystkich obiektach instytucji segregację śmieci. Zrezygnowano z jednorazowych plastikowych kubeczków na rzecz papierowych jednorazowych, ceramicznych, bidonów przynoszonych przez uczestników zajęć. Promowanie wśród pracowników oraz naszych odbiorców, alternatywnych środków lokomocji. Zachęcanie do rezygnacji z wody butelkowanej - wprowadzenie dzbanków filtrujących i filtrów kranowych w biurach i przestrzeniach warsztatowych. Znaczne ograniczenie liczby drukowanych materiałów promocyjnych. Dbanie o dwustronność wydruków biurowych, ponowne używanie jednostronnie zadrukowanych kartek (tzw. brudnopisów). Wprowadzenie w biurze kącika wymiany niepotrzebnych rzeczy. Organizacja sezonowych pracowniczych wymian odzieży.</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WROCŁAWSKI TEATR WSPÓŁCZESNY im. EDMUNDA WIERCIŃSKIEGO</w:t>
      </w:r>
    </w:p>
    <w:p w:rsidR="00CA14AB" w:rsidRPr="00E00B35" w:rsidRDefault="00CA14AB" w:rsidP="00E00B35">
      <w:pPr>
        <w:spacing w:after="0" w:line="312" w:lineRule="auto"/>
        <w:rPr>
          <w:szCs w:val="20"/>
        </w:rPr>
      </w:pPr>
      <w:r w:rsidRPr="00E00B35">
        <w:rPr>
          <w:szCs w:val="20"/>
        </w:rPr>
        <w:t xml:space="preserve">Cele teatru koncentrowały się wokół głównych kierunków programowych: rozwój i promocja nowej polskiej dramaturgii, adaptowanie ważnych tekstów współczesnej literatury światowej oraz działania pro-ekologiczne związane z przemianami klimatycznymi. W zakresie przedsięwzięć organizacyjnych i inwestycyjnych rozbudowaliśmy pracownię akustyczną i multimedialną, zwiększając tym samym możliwości działań programowych – artystycznych i edukacyjnych. Realizując nasze cele strategiczne, prowadziliśmy prace nad wystawieniem trzech przedstawień, w efekcie daliśmy trzy premiery z udziałem publiczności „na żywo”. Były to: w marcu - „Pogłosy” W. Szostaka w reż. M. Fiedora, we wrześniu - „Nagasaki” E. Faye w reż. P. Kamzy i „Miejski ptasiarz” D. Lindo w reż. W. Szczawińskiej. By podtrzymać kontakt z naszymi widzami podczas izolacji, zrealizowaliśmy i zaprezentowaliśmy w Internecie dwie odsłony teatru krótkometrażowego. W formie teatralnych wideoklipów przedstawiliśmy fragmenty </w:t>
      </w:r>
      <w:r w:rsidRPr="00E00B35">
        <w:rPr>
          <w:szCs w:val="20"/>
        </w:rPr>
        <w:lastRenderedPageBreak/>
        <w:t xml:space="preserve">tekstów, które zostały napisane na nasz Konkurs Dramaturgiczny STREFY KONTAKTU. Pokazaliśmy cykl „Mówią kobiety”, czyli 5 fragmentów dramatów o kobietach, napisanych przez kobiety oraz zrealizowany w 6 odcinkach  dramat Mariusza Sieniewicza „Truskawki”, podejmujący tematykę przenoszenia się kontaktów międzyludzkich do Sieci. </w:t>
      </w:r>
      <w:r w:rsidRPr="00E00B35">
        <w:rPr>
          <w:szCs w:val="20"/>
        </w:rPr>
        <w:br/>
        <w:t xml:space="preserve">W minionym roku przeprowadziliśmy nabór tekstów do kolejnej edycji konkursu dramaturgicznego STREFY KONTAKTU, zgromadziliśmy prace od 29 zaproszonych twórców. Wyniki konkursu zostaną ogłoszone w lutym 2021 roku. Pod koniec roku zrealizowaliśmy program edukacyjny „Jak poprzez teatr poznawać świat?”, którego zasadniczym celem jest przybliżenie młodemu odbiorcy współczesnego dramatu jako jednej z dróg do rozumienia otaczającego świata. Weronika Szczawińska otrzymała Paszport Polityki w kategorii Teatr; jest reżyserką trwale związaną z WTW, zrealizowała w naszym teatrze 4 premiery, w tym "Genialną przyjaciółkę" Elleny Ferrante, za którą również została nominowana  do nagrody. By podtrzymać kontakt z naszymi widzami podczas izolacji wzmocniliśmy nasze działania w mediach społecznościowych oraz zrealizowaliśmy i zaprezentowaliśmy w Internecie dwie odsłony teatru krótkometrażowego. W formie teatralnych wideoklipów przedstawiliśmy fragmenty tekstów, które zostały napisane na nasz Konkurs Dramaturgiczny STREFY KONTAKTU. Pokazaliśmy cykl „Mówią kobiety”, czyli 5 fragmentów dramatów o kobietach, napisanych przez kobiety oraz zrealizowany w 6 odcinkach  dramat Mariusza Sieniewicza „Truskawki”, podejmujący tematykę przenoszenia się kontaktów międzyludzkich do Sieci. Rozwiązanie to miało charakter tymczasowy, nie zastąpi żywego kontaktu widza z teatrem. Po powrocie do pracy w teatrze zastosowaliśmy  rekomendacje Sanepidu i MKiDN, wprowadziliśmy nowy regulamin widowni oraz uruchomiliśmy procedury sanitarne zapewniające bezpieczeństwo pracownikom teatru oraz odwiedzającym nas widzom. Działalność o charakterze ekologicznym: Wrocławski Teatr Współczesny jest instytucją, która stara się aktywnie działać na rzecz powstrzymania katastrofy klimatycznej. Podejmuje szereg działań zarówno poprzez daleko idące przekształcenia (fotowoltaika, oświetlenie LED), jak i drobne codzienne działania na rzecz poprawienia jakości życia i ochrony klimatu. Segregacja śmieci, wymienialne dystrybutory wody pitnej, ograniczenie zużycia energii poprzez zmniejszenie liczby urządzeń biurowych należą do rutynowych działań teatru i wpisują się do katalogu obowiązujących tu dobrych praktyk.  Nową inicjatywą jest włączenie się w prace projektu „C-Change: kultura i sztuka w walce ze zmianami klimatu”. W ramach tych działań kontynuowane jest rozpoczęte w marcu zadanie „Gramy w zielone!”, w ramach którego na terenie instytucji powstają „zielone oazy” będące miejscem wytchnienia dla pracowników i widzów. Hodowane rośliny mają wpływ zarówno na poprawę jakości powietrza, jak i na psychikę osób, które znajdują się w ich otoczeniu. Wewnętrze ogrody w budynku pozbawionym dostępu do zieleni dodatnio wpływają na estetykę, samopoczucie i klimat. Wraz z tworzeniem miejsc zielonych prowadzona jest intensywna praca propagująca ideę „urban jungle”. W ramach projektu następuje wymiana i rozdawanie sadzonek roślin oraz przygotowane są warsztaty.  Zadanie przeciwdziałania katastrofie klimatycznej znajduje odzwierciedlenie także w repertuarze teatru. Nasza ostatnia premiera, „Miejski ptasiarz” D. Lindo w reżyserii W. Szczawińskiej oparta jest na przewrotnym pomyśle opowiadania </w:t>
      </w:r>
      <w:r w:rsidRPr="00E00B35">
        <w:rPr>
          <w:szCs w:val="20"/>
        </w:rPr>
        <w:lastRenderedPageBreak/>
        <w:t>o naturze w teatrze. Jego twórczynie i twórcy uznają, że ponowne przemyślenie miejsca człowieka w ekosystemie jest najważniejszym wyzwaniem stojącym przed społeczeństwem, a więc także przed artystami. Ten nurt repertuarowy podejmujący związek człowieka z ekosystem otworzył w naszym teatrze w 2013 roku spektakl „Kotlina” na podstawie prozy O. Tokarczuk, w reż. A. Olsten.</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MUZEUM MIEJSKIE WROCŁAWIA</w:t>
      </w:r>
    </w:p>
    <w:p w:rsidR="00CA14AB" w:rsidRPr="00E00B35" w:rsidRDefault="00CA14AB" w:rsidP="00E00B35">
      <w:pPr>
        <w:spacing w:after="0" w:line="312" w:lineRule="auto"/>
        <w:rPr>
          <w:szCs w:val="20"/>
        </w:rPr>
      </w:pPr>
      <w:r w:rsidRPr="00E00B35">
        <w:rPr>
          <w:szCs w:val="20"/>
        </w:rPr>
        <w:t xml:space="preserve">Głównym celem strategicznym Muzeum, jak co roku było gromadzenie, przechowywanie, opracowywanie naukowe i udostępnianie zbiorów. W pracach związanych z przygotowywaniem wystaw i wydarzeń im towarzyszących uczestniczyły wszystkie oddziały. Jednocześnie uwzględniając specyfikę roku 2020 trzeba zaznaczyć widoczną zmianę w stylu pracy: zdecydowanie więcej wydarzeń prowadzonych on-line oraz intensyfikację prac inwentaryzacyjno-magazynowych. W wyznaczonych rozporządzeniami terminach udostępnialiśmy nasze wystawy stałe i czasowe. Do 29 lutego 2020 r. można było oglądać przygotowaną rok wcześniej przez Muzeum Sztuki Medalierskiej ekspozycję czasową „100 lat Polskiego Czerwonego Krzyża”. „Goya – Dali. Gdy śpi rozum, budzą się potwory” – kompletny cykl 80 rycin autorstwa Francisco Goi i tyle samo graficznych komentarzy autorstwa Salvadora Dalego z prywatnej kolekcji (ekspozycja czasowa otwarta w 2019, czynna do 29 sierpnia 2021 r. w Muzeum Teatru im. H. Tomaszewskiego). „Złote czasy lamp naftowych” – pokazywana w Starym Ratuszu, przygotowana rok wcześniej ekspozycja Muzeum Sztuki Mieszczańskiej – prezentacja ponad 150 lamp naftowych, jedna z największych tego rodzaju kolekcji w Polsce. </w:t>
      </w:r>
      <w:r w:rsidRPr="00E00B35">
        <w:rPr>
          <w:szCs w:val="20"/>
        </w:rPr>
        <w:br/>
        <w:t>Muzeum Historyczne nadzorowało przygotowanie wystawy czasowej „Bliźniemu Swemu 2019/2020”, współpraca z Fundacją Brata Alberta (8–31 stycznia).</w:t>
      </w:r>
      <w:r w:rsidRPr="00E00B35">
        <w:rPr>
          <w:szCs w:val="20"/>
        </w:rPr>
        <w:br/>
        <w:t>W dniach 1 czerwca – 12 lipca Muzeum Historyczne przygotowało wystawę czasową „Wrocław Paula Rosego”. Można było na niej zobaczyć bardzo starannie wykonane „portrety” Wrocławia z lat 20. i 30. XX w., z czasów II wojny światowej i tuż po jej zakończeniu. Ekspozycji towarzyszył przygotowany w 2019 r. katalog dzieł artysty.</w:t>
      </w:r>
      <w:r w:rsidRPr="00E00B35">
        <w:rPr>
          <w:szCs w:val="20"/>
        </w:rPr>
        <w:br/>
        <w:t xml:space="preserve">1 czerwca Muzeum Militariów otworzyło w nowej edycji część wystawy stałej „Broń biała i mundur żołnierza polskiego 1918–1945”. Pokazano na niej wybór 65 mundurów z kolekcji Muzeum (jeden z największych tego typu zbiorów w Polsce), uzupełnionych odznakami jednostek i szkół wojskowych Wojska Polskiego (z zasobów Muzeum Sztuki Medalierskiej), a także szablami należącymi niegdyś do polskich generałów i oficerów. Po wystawie oprowadzał on-line prezydent Wrocławia. W Muzeum Teatru im. Henryka Tomaszewskiego otwarto wystawę czasową „O nieznanym imieniu” z pracami Elżbiety Terlikowskiej (10 czerwca – 18 października). Ekspozycji towarzyszył katalog prac artystki. „Oskar Zięta. Deformacja odbicia-odbicia deformacji” to ekspozycja przygotowana przez Muzeum Sztuki Mieszczańskiej we wnętrzach Pałacu Królewskiego (18 lipca – 31 października). Prezentacja rzeźb i instalacji artystycznych Oskara Zięty na wystawie stałej „1000 lat Wrocławia” to niemal 50 prac, w tym prototypy realizacji dedykowanych do wnętrz i przestrzeni publicznych, a także multimedialne prezentacje, odsłaniające kulisy technologii artysty. Była to próba integracji sztuki z projektami architektonicznymi oraz estetyzacji przestrzeni, propozycja przedefiniowania sposobu </w:t>
      </w:r>
      <w:r w:rsidRPr="00E00B35">
        <w:rPr>
          <w:szCs w:val="20"/>
        </w:rPr>
        <w:lastRenderedPageBreak/>
        <w:t>patrzenia na tradycyjne wystawiennictwo. „Stanisław Wysocki. Kiedy kobieta staje się rzeźbą” (2–31 października) – wystawa czasowa Muzeum Sztuki Mieszczańskiej. Ekspozycja na 50-lecie pracy twórczej artysty, rzeźby figuralne ukazujące uproszczone akty kobiece, naturalnej i nadnaturalnej wielkości, wykonane z żywicy oraz odlane w brązie – Pałac Królewski (z wykorzystaniem powierzchni dziedzińca i ogrodu). Przygotowano też katalog prac artysty. Współorganizatorami wydarzenia i współwydawcami publikacji był Ośrodek Kultury i Sztuki we Wrocławiu.</w:t>
      </w:r>
      <w:r w:rsidRPr="00E00B35">
        <w:rPr>
          <w:szCs w:val="20"/>
        </w:rPr>
        <w:br/>
        <w:t xml:space="preserve">Muzeum Sztuki Mieszczańskiej przygotowało w Galerii Patio w Starym Ratuszu we współpracy z Dolnośląskim Okręgiem Związku Artystów Fotografików oraz Ośrodkiem Kultury i Sztuki „Jubileuszową wystawę twórczości Alka Figury”, przedstawiciela neoawangardowego nurtu polskiej fotografii (4 września – 4 października). </w:t>
      </w:r>
      <w:r w:rsidRPr="00E00B35">
        <w:rPr>
          <w:szCs w:val="20"/>
        </w:rPr>
        <w:br/>
        <w:t>5 września w Muzeum Archeologicznym otworzyło ekspozycję „Truso – legenda Bałtyku”. Została ona przygotowana przez Muzeum Historyczno-Archeologiczne w Elblągu i przybliżała zagadnienie wikińskiego portu, miejsca handlu i rzemiosła z IX–X w. Wystawie towarzyszył cykl wydarzeń on-line: „Dzień z wikińską osadą Truso” (filmy udostępnione na kanale YouTube, oprowadzania po wystawie, warsztaty „Uzbrojenie małego wikinga”, wykład z prezentacją „Fenomen wczesnośredniowiecznej Europy – Nadbałtycka Strefa Gospodarcza. Opowieść o tym, jak Bałtyk łączył ludy Europy” oraz przeprowadzono panel dyskusyjny w czasie rzeczywistym „Wikingowie – banialuki i badania. Porozmawiajmy! Panel dyskusyjny dla najmłodszych”. Tradycyjnie z okazji świąt w grudniu, przygotowano w Pałacu Królewskim „Śląskie Szopki Bożonarodzeniowe” i udostępniono on-line. Po tej wystawie oprowadzał również prezydent Wrocławia Jacek Sutryk. W bieżącym roku wypożyczono do Muzeum Kupiectwa w Świdnicy przygotowaną rok wcześniej przez Muzeum Archeologiczne wystawę czasową „Wrocławski Nowy Targ” (4 lipca – 16 sierpnia). Zmieniła się też specyfika wydarzeń zarówno tych cyklicznych, jak i przewidzianych po raz pierwszy na rok 2020. Odbyły się kolejno następujące wydarzenia:</w:t>
      </w:r>
      <w:r w:rsidRPr="00E00B35">
        <w:rPr>
          <w:szCs w:val="20"/>
        </w:rPr>
        <w:br/>
        <w:t>– 13 stycznia (Muzeum Archeologiczne) – promocja książki „Phenomenon of repetition. Deposits from Karmin”, wspólnego projektu Muzeum i z Instytutu Archeologii UWr (projekt dofinansowany ze środków Ministerstwa Kultury i Dziedzictw Narodowego). Wydarzenie połączono z prezentacją zabytków z Karmina i referatem „Karmin, pow. milicki, skarby nr I, II, III. Archiwalia archeologiczne sprzed 1945 roku”.</w:t>
      </w:r>
      <w:r w:rsidRPr="00E00B35">
        <w:rPr>
          <w:szCs w:val="20"/>
        </w:rPr>
        <w:br/>
        <w:t xml:space="preserve">– 25 stycznia (Stary Ratusz) – w ramach cyklu Soboty w Ratuszu: „Życie codzienne w renesansowym Wrocławiu”. – 7 lutego (Muzeum Teatru im. H. Tomaszewskiego) – spotkanie literackie z Jackiem Dobrowolskim. – 9–11 lutego międzynarodowe seminarium „Moreshet – Jewish Heritage Network. Zaangażowanie lokalnej społeczności w ochronę żydowskiego dziedzictwa” zorganizowane przez Moreshet Jewish Heritage Network, Fundację Bente Kahan, Centrum Kultury i Edukacji Żydowskiej w Synagodze pod Białym Bocianem oraz Wrocław the Meeting Place – wykład połączony ze zwiedzaniem Starego Cmentarza Żydowskiego. – 26 lutego (Muzeum Teatru im. H. Tomaszewskiego) – promocja kolejnego tomu dzieł zebranych Witkacego, spotkanie z prof. Januszem Deglerem. – 29 lutego i 1 marca (Muzeum Teatru im. H. Tomaszewskiego) – pokaz spektaklu kończącego cykl warsztatów dla młodych tancerzy „Postać sceniczna w ruchu” Pracowni Ruchu, Pantomimy i Tańca Katarzyny Sobiszewskiej. – 14 sierpnia (Muzeum </w:t>
      </w:r>
      <w:r w:rsidRPr="00E00B35">
        <w:rPr>
          <w:szCs w:val="20"/>
        </w:rPr>
        <w:lastRenderedPageBreak/>
        <w:t xml:space="preserve">Teatru im. H. Tomaszewskiego) – spektakl Teatru Rakugo. – 23 sierpnia „Woodford Furnace Festival” – pokaz wytopu żelaza on-line przeprowadzony przez pracowników Muzeum, a także firmy: Officina Ferraria – gospodarza imprezy, Kamili Brodowskiej, Muzeum Archeologiczno-Historycznego w Elblągu oraz Ekomuzeum „Dymarki”. Pokaz był jednym z wielu prezentowanych przez naukowców i praktyków archeologii doświadczalnej z Nowej Zelandii, Japonii, Rosji, Polski, Niemiec, Danii, Luksemburgu, Francji, Hiszpanii, Holandii, Belgii, Wielkiej Brytanii, Irlandii, Kanady i Stanów Zjednoczonych. Proces wytopu został uwieńczony sukcesem. – 24–30 sierpnia udział w „26th EAA Virtual Annual Meeting” organizowanej przez European Association of Archaeologists. – 14 września udział w Festiwalu Krasnoludków, wydarzenie on-line, współpraca z Biurem Promocji Miasta i Turystyki UM oraz Biurem Dolnośląskiego Festiwalu Nauki. – 17 września udział w Dolnośląskim Festiwalu Nauki – wystąpienia tylko w formie on-line. – 10 października – kolejna odsłona „Spacerownika teatralnego” – „Henryk Tomaszewski we Wrocławiu” – projekt przygotowany i prowadzony wspólnie z Instytutem Teatralnym w Warszawie. – 4 listopada (Muzeum Teatru im. H. Tomaszewskiego) – spektakl „Śledztwo” z okazji Międzynarodowego Festiwalu Kryminału, współpraca z Wrocławskim Teatrem Współczesnym i Teatrem Ad Spectatores. – 12 grudnia (Muzeum Teatru im. H. Tomaszewskiego) – pokaz plenerowy sfilmowanego spektaklu kończącego cykl warsztatów dla młodych tancerzy „Postać sceniczna w ruchu”. W okresie sprawozdawczym gromadzono, opracowywano, udostępniano i wypożyczano zbiory oraz dokumentację. Kontynuowano tradycyjne prace w działach. Przygotowywano kwerendy tematyczne i opracowywano materiały. Prowadzono też prace uwzględniając specyfikę poszczególnych Oddziałów. W przewidzianym ustawowo terminie przeprowadzono skontrum zbiorów Biblioteki Naukowej Muzeum Archeologicznego.  Pracownie Konserwacji nadzorowały stan zabytków na wystawach stałych i czasowych oraz w magazynach, a także wydawały opinie konserwatorskie. Muzeum Miejskie Wrocławia, jako instytucja o wszechstronnym spektrum tematycznym, podzielona na Oddziały, zajmujące się wszystkimi okresami w dziejach ludzkości i różnymi obszarami tematycznymi, ma z założenia opiekować się powierzonymi zbiorami, pozyskiwać nowe i udostępniać je zarówno w formie opracowań, jak i przygotowywać je dla szerokiego grona odbiorców w formie wystaw, wydarzeń i lekcji muzealnych. Pracownicy instytucji są przygotowani do zajmowania się zagadnieniami datowanymi od najstarszych dziejów człowieka – epoki kamienia po czasy nam współczesne. Od codziennego życia ludzi po sztukę współczesną i wydarzenia teatralne. Jednocześnie ten rok sprawozdawczy w swojej specyfice spowodował konieczność odejścia od stosowanych do tej pory metod znanych muzealnikom i zastosowanie nowych form przekazu. Muzeum Archeologiczne: opracowania, publikacje, udostępnianie zbiorów, badania naukowe, konsultacje, udział w konferencjach i wydarzeniach, wystawy stałe i czasowe, opinie dla policji w sprawach dotyczących ochrony zabytków, konsultacje dotyczące opiniowania nowych standardów prowadzenia inwazyjnych oraz nieinwazyjnych badań archeologicznych oraz nowelizacji ustawy o ochronie zabytków. Muzeum Historyczne: opracowania, badania historyczne, wystawy stałe i czasowe.  Muzeum Militariów: opracowania materiałów, badania naukowe, wystawy stałe i czasowe. Muzeum Sztuki Cmentarnej: utrzymanie i renowacja, </w:t>
      </w:r>
      <w:r w:rsidRPr="00E00B35">
        <w:rPr>
          <w:szCs w:val="20"/>
        </w:rPr>
        <w:lastRenderedPageBreak/>
        <w:t xml:space="preserve">prace porządkowo-pielęgnacyjne, badania historyczne i kwerendy. Muzeum Sztuki Medalierskiej: porządkowanie zbiorów, nowe nabytki, działalność naukowa, wydawnicza, uzupełnianie wszystkich wystaw stałych i czasowych swoimi zbiorami. </w:t>
      </w:r>
      <w:r w:rsidRPr="00E00B35">
        <w:rPr>
          <w:szCs w:val="20"/>
        </w:rPr>
        <w:br/>
        <w:t xml:space="preserve">Muzeum Sztuki Mieszczańskiej: pokazywanie sztuki dawnej, promowanie sztuki współczesnej, wystawy stałe i czasowe. Muzeum Teatru im. H. Tomaszewskiego: wystawy stałe i czasowe, spektakle i wydarzenia związane z teatrem, opracowywanie zbiorów. Wszystkie wydarzenia przygotowane przez Muzeum możliwe były dzięki intensywnej pracy Działu Pedagogicznego i rzeczniczki – były to działania bardzo istotne w trakcie zmiany formy przekazu. Prace poszczególnych oddziałów wspierane były przez pracownie konserwacji, graficzki i fotografów, wydawnictwo, bibliotekarki i archiwistów oraz kadry administracyjno-techniczne. W 2020 r. Muzeum przygotowało: 137 lekcji muzealnych dla 2 495 uczestników (w tym on-line 5 lekcji i 12 uczestników oraz 18 odsłon – 2 zrealizowane, emisja w 2021 r.) na 28 tematów (również w j. angielskim); 34 warsztaty muzealne dla 586 uczestników (w tym 5 warsztatów i 31 uczestników oraz 129 odsłon) na 15 tematów; 67 oprowadzeń dla 1 068 uczestników (w tym on-line 5 i 1 955 odsłon) na wystawach stałych oraz czasowych (j. polski, angielski, j. migowy oraz z audiodeskrypcją), w tym oprowadzania tematyczne: „Czas piękna. Wrocław w XVI–XVIII stuleciu”; „Wrocławscy i dolnośląscy laureaci Nagrody Nobla”; „Spacerownik Teatralny. Henryk Tomaszewski we Wrocławiu. Życie prywatne”; 2 oprowadzania w ramach Wrocławskiego Festiwalu Krasnoludków, 19 500 odsłon: „Strachy i inne mroczne historie wrocławskiego Rynku”, „Śladami krasnali wrocławskich”; 2 wykłady w ramach cyklu „Soboty w Ratuszu” dla 97 uczestników: „Życie codzienne w renesansowym Wrocławiu”; „Życie codzienne we Wrocławiu w dobie oświecenia”; 2 wykłady w ramach międzynarodowego seminarium „MORESHET – Jewish Heritage Network. Zaangażowanie lokalnej społeczności w ochronę żydowskiego dziedzictwa” dla 130 uczestników: „Historia żydowskiego Wrocławia”, „Ochrona żydowskiego dziedzictwa Wrocławia”. W ramach Dolnośląskiego Festiwalu Nauki 3 wykłady on-line, 150 odsłon: „Produkcja broni strzeleckiej w Polsce w latach 1918–1939”, „Wojny śląskie na medalu. Od lokalnego zatargu po globalny konflikt”, „Skąd się wzięła "@"? Nowe życie dawnych pojęć”, 2 inne prelekcje i wykłady dla 49 uczestników: prelekcja dr Marka Jagodzińskiego „Truso – legenda Bałtyku” (30 uczestników); wykład „Archeologia Wrocławia” dla uczestników kursu na przewodników miejskich PTTK (19 uczestników); wykład on-line „Fenomen wczesnośredniowiecznej Europy – Nadbałtycka Strefa Gospodarcza. Jak Bałtyk łączył ludy Europy” (106 odsłon). Tytuł Civitate Wratislaviensi Donatus w 2020 r. przyznany został dyrektorowi Muzeum Miejskiego Wrocławia – doktorowi nauk humanistycznych Maciejowi Łagiewskiemu „budowniczemu mostu między Breslau a Wrocławiem, między Polakami a Niemcami”. W związku z sytuacją wywołaną pandemią plany przewidziane na rok 2020 r. musiały zostać zrewidowane. Muzeum zrezygnowało z wielu wystaw i wydarzeń, lub było zmuszone do zmiany wcześniej ustalony terminów. Niekiedy udało się zmienić formę przekazu. Jednocześnie okres sprawozdawczy poświęcono na wzmożone prace magazynowo-gabinetowe. Starano się prowadzić zajęcia w formie on-line (z odbiorem na żywo oraz nagranych z odsłonami) oraz brać udział w konferencjach, wydarzeniach i szkoleniach. Rozwiązane to dotyczyło też zebrań. W podobnym systemie starały się </w:t>
      </w:r>
      <w:r w:rsidRPr="00E00B35">
        <w:rPr>
          <w:szCs w:val="20"/>
        </w:rPr>
        <w:lastRenderedPageBreak/>
        <w:t>pracować biblioteki i archiwum – skany i informacje w formie cyfrowej. Tak też potraktowano obieg zwyczajowej muzealnej dokumentacji: współpracowano z Wojewódzkim Konserwatorem Zabytków w sprawie wydania dokumentu o gotowości przyjęcia zabytków archeologicznych pozyskanych w trakcie badań archeologicznych (tzw. promesy) oraz uzyskiwano pozwolenia na publikacje zabytków lub je wydawano. Ten „awaryjny” tryb działań pozwalał na płynne działanie Muzeum. Działania o charakterze ekologicznym: Całkowita rezygnacja w punktach sprzedaży z toreb foliowych i zastąpienie ich papierowymi oraz z materiału. Wycofanie z wernisaży i otwarć plastikowych elementów nakrycia, zakup papierowych oraz ekologicznych zamienników. Umieszczenie w dwóch oddziałach Muzeum pojemników oznaczonych jako „Muzealne Zero Waste” na plakietki i koraliki. Pielęgnowanie wartości przyrodniczej zabytkowego cmentarza – starodrzewy wspólnie z krzewami stanowią ważny element przestrzeni cmentarnej i znajdują się pod ścisłą ochroną konserwatorską. W tym aspekcie Muzeum dosłownie wpisuje się w definicję „zielonej instytucji kultury”. Cmentarz stanowi też miejsce schronienia dla wielu gatunków zwierząt, w tym także tych objętych ścisłą ochroną, jak np. nietoperze, a wśród ptaków: dzięcioły czarne, dzięcioły białoszyje, dzięcioły zielone czy puchacze. Starodrzewy przyciągają ponadto wiele powszechnych gatunków ptaków, zwłaszcza bogatki, kopciuszki, kosy, szpaki, pliszki, wróble, sroki, a nawet kaczki. Dbałość i troska pracowników Muzeum o świat flory i fauny przejawia się na wielu płaszczyznach prowadzonej działalności. Budowane są i montowane budki lęgowe dla ptaków z drewna pochodzącego z wiatrołomów, podobnie karmniki i domki lęgowe dla jeży, dokarmiane są ptaki i ssaki, a w okresie suszy wystawiane są również pojemniki z wodą. Poszczególne obszary cmentarza intencjonalnie nie są wykaszane, aby stworzyć miejsce do rozwinięcia się łąk kwietnych. Te z kolei dają miejsce do życia wielu gatunkom owadów, w tym m.in. zagrożonym pszczołom, ale także zatrzymują wilgoć, zmniejszają miejski hałas i pochłaniają zanieczyszczenia powietrza. Cmentarz stanowi więc również efektowne założenie krajobrazowe. Dbając o jego dziedzictwo przyrodnicze zrealizowano projekt nasadzeń kompensacyjnych po wycince uschniętych drzew, który obejmował uzupełnienie 17 młodych drzew iglastych w formie soliterów, o odpowiednich parametrach wysokości. Były to sosny czarne, cyprysiki groszkowe, jodły kalifornijskie i kaukaskie oraz żywotniki.</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 xml:space="preserve">MUZEUM ARCHITEKTURY </w:t>
      </w:r>
    </w:p>
    <w:p w:rsidR="00CA14AB" w:rsidRPr="00E00B35" w:rsidRDefault="00CA14AB" w:rsidP="00E00B35">
      <w:pPr>
        <w:spacing w:after="0" w:line="312" w:lineRule="auto"/>
        <w:rPr>
          <w:szCs w:val="20"/>
        </w:rPr>
      </w:pPr>
      <w:r w:rsidRPr="00E00B35">
        <w:rPr>
          <w:szCs w:val="20"/>
        </w:rPr>
        <w:t xml:space="preserve">Muzeum Architektury we Wrocławiu jest jedyną instytucją muzealną w Polsce poświęconą </w:t>
      </w:r>
      <w:r w:rsidRPr="00E00B35">
        <w:rPr>
          <w:szCs w:val="20"/>
        </w:rPr>
        <w:br/>
        <w:t xml:space="preserve">w całości historii architektury oraz architekturze współczesnej. Do najważniejszych zadań, jakie co roku stawia przed sobą zespół muzeum jest udostępnianie </w:t>
      </w:r>
      <w:r w:rsidRPr="00E00B35">
        <w:rPr>
          <w:szCs w:val="20"/>
        </w:rPr>
        <w:br/>
        <w:t xml:space="preserve">i poszerzanie wiedzy odbiorców na temat historii oraz znaczenia dawnej i współczesnej architektury. W swojej działalności staramy się w różnych formach i na różnych poziomach zaawansowania przybliżać kluczowe zjawiska, dzieła i nazwiska, które na kształt światowej sztuki, architektury i urbanistyki decydujący wpływ. W tym celu realizuje programy i wydarzenia adresowane do architektów, historyków i szerokiej publiczności. Przygotowujemy wystawy poświęcone architekturze, a także sztuce użytkowej, malarstwu i grafice. Większości z nich towarzyszą publikacje w formie </w:t>
      </w:r>
      <w:r w:rsidRPr="00E00B35">
        <w:rPr>
          <w:szCs w:val="20"/>
        </w:rPr>
        <w:lastRenderedPageBreak/>
        <w:t xml:space="preserve">opracowań naukowych, katalogów lub folderów. W 2020 roku staraliśmy się tę misję wypełniać w zupełnie nowej dla nas formie – wydarzeń i publikacji online, dostępnych dla każdego bez względu na położenie geograficzne czy strefę czasową. W ramach prowadzonej w większości w trybie online działalności wystawienniczej i eventowej, udało nam się zaprezentować kilka wystaw i zorganizować kilkanaście wydarzeń, które dotarły do bardzo szerokiej grupy odbiorców. Wykłady, warsztaty, debaty online, a także pierwsze dla nas publikacje w formie e-booków spotkały się z dużym zainteresowaniem, także wśród  – takie odnosimy wrażenie – zupełnie nowego grona widzów. Mimo obiektywnych trudności i niesprzyjających okoliczności udało nam się w ten sposób poszerzyć ofertę muzeum i skierować ją do osób, które z różnych przyczyn (odległości, niepełnosprawności czy sytuacji ekonomicznej) nie uczestniczyły wcześniej w przygotowywanych przez nas projektach. Sukces „frekwencyjny” debaty o własności, zrealizowanej w ramach dyskusji o różnych formach mieszkalnictwa w Polsce, projektu sieciowego „Notatki z pandemii” oraz przygotowanych w tym roku i udostępnionych bezpłatnie w sieci e-booków świadczą, że udało nam się przekuć ograniczenia w wyzwanie. Nadrzędnym elementem naszej działalności jest również udostępnianie bogatych zbiorów Muzeum Architektury i Archiwum Budowlanego Wrocławia, oddziału MA.  W tym roku, mimo ograniczeń, udało nam się udostępnić odbiorcom rekordową liczbę obiektów z naszej kolekcji. To zasługa dwuletniego projektu „Digitalizacja i udostępnianie zbiorów architektury XX wieku Muzeum Architektury we Wrocławiu (etap 1)”, prowadzonego od listopada 2019 roku w ramach ministerialnego programu Kultura cyfrowa. Udostępnienie na stronie internetowej niemal pięciu tysięcy obiektów, opisanych w językach polskim i angielskim oraz w kilkudziesięciu wybranych przypadkach wzbogaconych o audiodeskrypcję, to dla nas kolejny ważny etap w tworzeniu internetowej bazy zbiorów muzeum, pozwalającej na swobodne z niej korzystanie bez względu na miejsce i czas.  Poszerzaniu oferty instytucji sprzyja na pewno zrealizowana w 2020 roku, pierwsza w naszym dorobku koprodukcja filmowa. Do tej pory o architekturze opowiadaliśmy podczas wystaw, spotkań i w publikacjach. Nowe reguły komunikacji zmusiły nas niejako do podjęcia próby opowiedzenia o najważniejszych zjawiskach czy twórcach językiem filmowym, pozwalającym dotrzeć do osób i miejsc często bardzo odległych. Z tej potrzeby zrodził się pomysł na filmowy dokument o ikonie wrocławskiej architektury - wrocławskim Manhattanie i jego autorce, architektce Jadwidze Grabowskiej-Hawrylak. Plany te zbiegły się z odwołaniem z powodu pandemii planowanej na czerwiec 2020 roku wystawy o Jadwidze Grabowskiej-Hawrylak, która miała zostać pokazana w Portugalii podczas Triennale Architektury w Lizbonie. Godzinny dokument, zrealizowany we współpracy z Fundacją polsko-portugalską Entre i studiem filmowy Kova Production, miał swoją premierę w Portugalii pod koniec ubiegłego roku. Na wiosnę 2021 planowane są pokazy we Wrocławiu i innych miastach w Polsce.  Pomimo spowodowanych przez pandemię trudności w komunikacji i transporcie, udało nam się pozyskać kolejne ważne obiekty do zbiorów Muzeum Architektury. Najważniejszym tegorocznym wydarzeniem w tym zakresie, a zarazem nie lada wyzwaniem logistycznym, było pozyskanie kompletu mebli zaprojektowanych przez Hansa Poelziga, którą to darowiznę przekazali muzeum spadkobiercy wybitnego historyka profesora Fritza Sterna. </w:t>
      </w:r>
      <w:r w:rsidRPr="00E00B35">
        <w:rPr>
          <w:szCs w:val="20"/>
        </w:rPr>
        <w:lastRenderedPageBreak/>
        <w:t xml:space="preserve">Decyzja o podarowaniu tych cennych obiektów właśnie Muzeum Architektury, a następnie ich podróż mebli z Nowego Jorku do Wrocławia, były możliwe tylko dzięki nieocenionemu wsparciu i zaangażowaniu wielu osób i instytucji, w tym władz Wrocławia. Do najważniejszych aktywności zrealizowanych w 2020 roku przez Muzeum Architektury we Wrocławiu i wynikających z celów strategicznych instytucji, należy na pewno zaliczyć kontynuację projektu „Digitalizacja i udostępnianie zbiorów architektury XX wieku Muzeum Architektury we Wrocławiu (etap 1)”, prowadzonego od listopada 2019 roku w ramach ministerialnego programu Kultura cyfrowa.  W 2020 roku muzeum zdigitalizowało i udostępniło nieodpłatnie w sieci kilka tysięcy projektów architektonicznych, modeli i archiwalnych materiałów, obejmujących m.in. fotografie, szkice, rysunki i dokumenty. Są to obiekty powiązane z twórczością najwybitniejszych polskich architektów, m.in. Bohdana Lacherta, Macieja Nowickiego, Andrzeja Frydeckiego, Marii i Witolda Molickich, Tadeusza Teodorowicza-Todorowskiego, Stefana Müllera i wielu innych. </w:t>
      </w:r>
      <w:r w:rsidRPr="00E00B35">
        <w:rPr>
          <w:szCs w:val="20"/>
        </w:rPr>
        <w:br/>
        <w:t xml:space="preserve">Ogromna większość z nich nie była wcześniej publicznie prezentowana. Teraz dostęp do nich możliwy jest w każdym miejscu i czasie – na stronie internetowej muzeum została utworzona zakładka KOLEKCJA, która działa na zasadzie wyszukiwarki internetowej. W zakładce znajdują się również materiały do pobrania – kompletne bazy danych z działów polskiej architektury międzywojennej i architektury współczesnej. Celem projektu było również dostosowanie udostępnianych obiektów do potrzeb osób z niepełnosprawnościami. Przy wybranych materiałach znalazły się więc audiodeskrypcje przygotowane we współpracy z Fundacją Katarynka. Istnieje także możliwość automatycznego powiększania ilustracji i towarzyszących im opisów. Drugim ze zrealizowanych w ubiegłym roku zdań, którego celem jest poszerzenie oferty wydawniczej instytucji oraz wzbogacenie wiedzy odbiorców na temat najważniejszych zjawisk w polskiej architekturze, był projekt utworzenia i bezpłatnego udostępniania w sieci wydawnictw Muzeum Architektury w formie e-booków, dofinansowany przez Ministerstwo Kultury i Dziedzictwa Narodowego w ramach programu Kultura w sieci. Realizacja projektu była wyjściem naprzeciw oczekiwaniom osób odwiedzających muzeum i czytelników naszych wydawnictw, którzy wielokrotnie dopytywali o możliwość dodruku wybranych publikacji lub udostępnienia ich właśnie w formie e-booków. Dlatego zdecydowaliśmy się na wybór tych książek, których nakład już dawno się wyczerpał, a które do dziś cieszą się niesłabnącym zainteresowaniem czytelników. Są to następujące tytuły: „Wrocławskie dworce kolejowe” (wyd. 2006 r.), „Heinrich Lauterbach. Architekt wrocławskiego modernizmu” (wyd. 2012 r.), „Wieżowce Wrocławia 1919-1932” (wyd. 1997 r.) oraz „Trzy początki. 1918/1945/1989” (wyd. 2018 r.). W ramach projektu udało się również zrealizować jedno wydawnictwo premierowe, angielską wersję publikacji „Moduł. Architektura Jana Szpakowicza”, której polska wersja ukaże się w czasie prezentacji wystawy „Przestrzeń elementarna. Architektura Jana Szpakowicza”, planowanej na zimę-wiosnę 2021 roku. Realizacja i udostępnienie e-booków w internetowej księgarni muzeum okazały się wydawniczym sukcesem: od chwili premiery, która miała miejsce 25 października 2020 roku, do 31 grudnia 2020, e-booki zostały pobrane przez 11 983 czytelników. Ma to szczególne znaczenie właśnie w 2020 roku. Panująca na całym świecie epidemia koronawirusa uniemożliwia swobodne poruszanie się </w:t>
      </w:r>
      <w:r w:rsidRPr="00E00B35">
        <w:rPr>
          <w:szCs w:val="20"/>
        </w:rPr>
        <w:br/>
      </w:r>
      <w:r w:rsidRPr="00E00B35">
        <w:rPr>
          <w:szCs w:val="20"/>
        </w:rPr>
        <w:lastRenderedPageBreak/>
        <w:t xml:space="preserve">i niesie ze sobą duże utrudnienia w zakresie transportu. Gotowe e-booki można pobrać ze strony internetowej muzeum z każdego miejsca na świecie, co z pewnością ułatwia naszym odbiorcom szybki i bezpieczny dostęp do muzealnej oferty wydawniczej. Przez cały 2020 rok muzeum pozyskiwało i opracowywało nowe obiekty do swoich zbiorów, liczących dziś kilkadziesiąt tysięcy eksponatów. Najważniejszym punktem tych działań było pozyskanie mebli zaprojektowanych przez Hansa Poelziga – najwybitniejszego architekta działającego we Wrocławiu w początkach XX wieku. Meble, stanowiące kompletne wyposażenie przedwojennego salonu wrocławskiej rodziny Briegerów, są prawdopodobnie jedynymi zachowanymi do dzisiaj przedmiotami sztuki użytkowej zaprojektowanymi przez Poelziga. Ich powrót do Wrocławia stanowi pewien fenomen. Wróciło dzieło, które wyjechało z naszego miasta do Nowego Jorku w 1938 roku, w okresie dyskryminacji Żydów, ustaw norymberskich. Wróciło dzięki kontaktom miasta i uniwersytetu wrocławskiego ze słynnym amerykańskim historykiem Fritzem Sternem i dzięki jego miłości do Wrocławia, którą respektują jego spadkobiercy. Zgodnie z umową podpisaną z darczyńcami, meble zostaną w Muzeum Architektury zaprezentowane publiczności. Planujemy zorganizowanie w 2022 roku wystawy, która stanie się okazją do przypomnienia twórczości Hansa Poelziga oraz przedstawienia wspaniałych wrocławskich rodzin Briegerów oraz Sternów, które mimo wymuszonej emigracji z Wrocławia nigdy nie przestały czuć związku z miastem. Zupełnie nowym i bardzo cennym doświadczeniem dla całego zespołu muzeum było w 2020 roku przeniesienie niemal wszystkich wydarzeń do sieci. To na naszych kanałach w mediach społecznościowych transmitowaliśmy spotkania, wykłady, spacery kuratorskie po wystawach, debaty. Udało nam się również zrealizować pierwszy autorski, w pełni „sieciowy” projekt "Notatki z pandemii", w którym badaliśmy nastroje społeczne związane z przymusowym zamknięciem. 90% wydarzeń, które realizowaliśmy w 2020 roku w ramach naszej działalności wystawienniczej </w:t>
      </w:r>
      <w:r w:rsidRPr="00E00B35">
        <w:rPr>
          <w:szCs w:val="20"/>
        </w:rPr>
        <w:br/>
        <w:t xml:space="preserve">i eventowej, było prezentowane jedynie w internecie. Otwarcia wystaw transmitowane były na żywo online, podobnie jak towarzyszące ekspozycjom spotkania i debaty. Ta nowa dla nas forma działalności okazała się bardzo sprzyjać realizacji misji Muzeum Architektury, jaką jest dotarcie z naszą ofertą kulturalną i edukacyjną do jak największej grupy odbiorców. Przykładem może być zrealizowana we wrześniu 2020 roku debata pod tytułem „Jeśli nie własność, to co?”. Interesujący i aktualny temat, pozwalający spojrzeć na krajobraz polskich miast z perspektywy własnych decyzji ekonomicznych, sprzężonych z polityką (lub politykami) kształtowania przestrzeni, atrakcyjni goście — Jan Śpiewak, Agnieszka Labus (Lab60+), Halina Wałkiewicz (Federacja Anarchistyczna Wrocław), Marcin Kropotow (Hulajpole Squat Wrocław) — i możliwie profesjonalna realizacja pozwoliły osiągnąć oglądalność powyżej 6000 użytkowników, z których znaczna cześć po raz pierwszy zetknęła się z działalnością wrocławskiego Muzeum Architektury. Pozyskanie do zbiorów muzeum kompletu mebli zaprojektowanych przez Hansa Poelziga. Wyzwania, którym stawił czoła zespół Muzeum Architektury w roku pandemii, lockdownu i ograniczeń epidemicznych składają się na zespół najcenniejszych, ale i najtrudniejszych doświadczeń w historii instytucji. Rozpatrywać je można na wielu płaszczyznach. Z całą pewnością rok 2020 był czasem wielkiej próby dla zespołów i osób. Próby o tyle specyficznej, że splatającej doświadczenia prywatne z zawodowymi, próby realizowanej </w:t>
      </w:r>
      <w:r w:rsidRPr="00E00B35">
        <w:rPr>
          <w:szCs w:val="20"/>
        </w:rPr>
        <w:lastRenderedPageBreak/>
        <w:t xml:space="preserve">w niemożliwych do przewidzenia ramach czasowych. Rzeczywistość zweryfikowała zamierzenia, uniemożliwiając realizację wielu planów, nad którymi zespół Muzeum Architektury pracował przez wiele miesięcy. Zmianom uległy organizacja i sposób pracy, narzędzi oraz sposobów realizacji działalności programowej. Mimo trudności i ograniczeń udało się zrealizować wiele pomysłów, które należy potraktować jako rozciągnięty na wiele miesięcy eksperyment. W celu utrzymania ciągłej komunikacji z naszą publicznością, a także pozyskiwania potencjalnych nowych gości realizowana była kampania w mediach społecznościowych (głównie Facebook i Instagram). Składała się ona z szeregu cykli, poświęconych kolekcji muzeum, jego siedzibie, archiwalnym wystawom i wydarzeniom, a także bieżącym wydarzeniom związanych z architekturą, a także samemu lockdownowi i jego wpływowi na sposób percepcji naszej przestrzeni życiowej („Notatki z pandemii”). Równolegle realizowane były większe działania programowe —  przede wszystkim wykłady, dyskusje i warsztaty, realizowane w formule hybrydowej (cyfrowo-realnej) wernisaże wystaw, czy koncerty. Niezwykle interesujące były wnioski płynące z realizowanej na bieżąco ewaluacji realizowanych działań. Najważniejsze były dwa, pozostające we wzajemnej zależności - wraz z przedłużaniem się sytuacji pandemicznej (lockdownu i tzw. miękkiego lockdownu) spadało zainteresowanie ‚standardowym’ kontentem, jednocześnie rosło zapotrzebowanie na materiały o wysokiej jakości merytorycznej i technicznej. O ile pierwszy komponent jest całkowicie zbieżny z oczekiwaniami muzeum, jako profesjonalnego dostarczyciela treści, o tyle drugi aspekt był znacznie bardziej problematyczny. Muzeum ani pod względem kwalifikacji zespołu, ani bazy sprzętowej nie było i nie jest w stanie własnymi siłami realizować materiałów wideo (transmisji i filmów) w jakości jakiej oczekuje odbiorca. W związku z tym podejmowało (i podejmuje nadal) współpracę z osobami i podmiotami zajmującymi się tego rodzaju działalnością profesjonalnie. W roku 2020 udało się zrealizować też kilka dużych przedsięwzięć, cześć z nich mimo ograniczeń pandemicznych, część dzięki nim. Wśród największych należy wymienić cztery: sprowadzenie do z Nowego Jorku do Wrocławia kompletu mebli zaprojektowanych przez Hansa Poelziga, zamknięcie kolejnego etapu projektu digitalizacji, opracowania i udostępniania zbiorów muzeum,  realizacja projektu wydawniczego obejmującego publikację e-booków i koprodukcja filmu dokumentalnego poświęconego zespołowi mieszkalno-usługowemu przy placu Grunwaldzkim we Wrocławiu pt. „Po polsku Manhattan / Manhattan as we call it”.   Dwa pierwsze z powodu pandemii okazały się pod względem organizacyjnym przedsięwzięciami niezwykle skomplikowanymi, tym niemniej oba zostały uwieńczone sukcesem — meble wróciły do miejsca swojego powstania i poddane zostały zabiegom konserwacyjnym, zaś w ramach projektu digitalizacyjnego udostępniono niemal 6000 obiektów muzealnych, o 10% więcej niż pierwotnie zakładano. Realizacja projektów publikacyjnego i filmowego była możliwa wyłącznie dzięki pandemii. Dzięki dotacji MKiDN przyznanej w ramach programu „Kultura w sieci” Muzeum Architektury przygotowało i udostępniło pięć cyfrowych publikacji — cztery to wydawnictwa wcześniej opublikowane w wersji papierowej, których nakład został już wyczerpany (Wieżowce Wrocławia 1919-1932, red. Jerzy Ilkosz; Wrocławskie dworce kolejowe, red. Maria Zwierz; Heinrich Lauterbach. Architekt wrocławskiego modernizmu, </w:t>
      </w:r>
      <w:r w:rsidRPr="00E00B35">
        <w:rPr>
          <w:szCs w:val="20"/>
        </w:rPr>
        <w:lastRenderedPageBreak/>
        <w:t>red. Jerzy Ilkosz; Trzy początki. 1918/1945/1989, red. Małgorzata Devosges-Cuber i Michał Duda) i jednej publikacji premierowej: Jan Szpakowicz. Przestrzeń elementarna, red. Łukasz Wojciechowski.  Realizacja projektu filmowego możliwa była wyłącznie dzięki związanym z  pandemią zmianom w programach MKiDN, umożliwiającym daleko idące przekształcenia projektów, które otrzymały dotację w ramach konkursów ogłoszonych jeszcze w 2019 roku. Muzeum Architektury aby zwiększyć szansę na przyznanie grantów (ilość aplikacji w poszczególnych konkursach jest limitowana) często inicjuje współpracę z podmiotami zewnętrznymi, które stają się operatorami projektów. Tak było i tym razem — chcąc kontynuować działania mające na celu zagraniczną promocję najwybitniejszej wrocławskiej architektki Jadwigi Grabowskiej-Hawrylak nawiązało współpracę z Fundacją Polsko-Portugalską Entre i Triennal de Arquitectura de Lisboa. Opracowanemu wspólnie projektowi przyznana została dotacja w ramach programu „Promocja kultury polskiej za granicą”, jednak w związku z kolejnymi ograniczeniami prezentacja wystawy „Patchwork. The Architecture of Jadwiga Grabowska-Hawrylak” w Lizbonie okazała się niemożliwa. Aby spożytkować przyznane środki zespół muzeum opracował plan aktualizacji projektu - w dwa miesiące opracowany został scenariusz filmu, zaktualizowana dokumentacja, wyłoniona ekipa produkcyjna, w ciągu kolejnych dwóch - zrealizowano zdjęcia i prace montażowe oraz postprodukcyjne. Zgodnie z celami strategicznymi programu premiera filmu dla widzów portugalskich odbyła się 27 grudnia 2020 roku, obecnie trwają prace nad wersją polską, której premiera zaplanowana jest na wiosnę tego roku. Działalność o charakterze ekologicznej: W 2020 roku znacznie ograniczyliśmy liczbę druków (zaproszeń, plakatów). Od początku 2020 roku zaproszenia wysyłane są tylko drogą mailową lub newsletterem.</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MUZEUM WSPÓŁCZESNE WOCŁAW (w organizacji)</w:t>
      </w:r>
    </w:p>
    <w:p w:rsidR="00CA14AB" w:rsidRPr="00E00B35" w:rsidRDefault="00CA14AB" w:rsidP="00E00B35">
      <w:pPr>
        <w:spacing w:after="0" w:line="312" w:lineRule="auto"/>
        <w:rPr>
          <w:szCs w:val="20"/>
        </w:rPr>
      </w:pPr>
      <w:r w:rsidRPr="00E00B35">
        <w:rPr>
          <w:szCs w:val="20"/>
        </w:rPr>
        <w:t xml:space="preserve">Rozbudowa międzynarodowej kolekcji sztuki współczesnej. W 2020 roku Muzeum otrzymało dotację ministerialną na zakup dzieł w kwocie 705 000 zł, przy wsparciu finansowym Gminy Wrocław w kwocie 135 960 zł. Zakupiono 31 prac 17 artystów.  Pozyskano także 14 nowych obiektów w formie depozytu z kolekcji Dolnośląskiego Towarzystwa Sztuk Pięknych. Program wystawienniczy W 2020 roku zrealizowano 9 wystaw sztuki współczesnej. Główną cześć programu wystawienniczego stanowiła wystawa pt. "Nowa normatywność. Sympozjum Plastyczne Wrocław '70" poświęcona rocznicy 50-lecia Sympozjum Plastycznego Wrocław ‘70, które miało miejsce we Wrocławiu w 1970 roku. Spotkanie postrzegane jest jako jedno z najważniejszych wydarzeń artystycznych w polskiej historii sztuki po 1945 roku. Zadanie zostało dofinasowane w kwocie 102 750,00 zł w ramach programu MKiDN. Bezpośrednio powiązanym z tym wydarzeniem była wystawa monograficzna poświęcona twórczości wrocławskiej artystki Barbary Kozłowskiej. Oba projekty zostały podsumowane monografią książkową. Ważną wystawą poszerzającą aktywność Muzeum o kontekst międzynarodowy był pokaz "Poezja i performance. Perspektywa wschodnioeuropejska" poruszający temat wzajemnych relacji między poezją a sztukami wizualnymi od lat 60. XX wieku do współczesności w kontekście sztuki Europy Środkowo-Wschodniej. Uzupełnieniem programu były wystawy indywidualne artystów młodszego pokolenia </w:t>
      </w:r>
      <w:r w:rsidRPr="00E00B35">
        <w:rPr>
          <w:szCs w:val="20"/>
        </w:rPr>
        <w:lastRenderedPageBreak/>
        <w:t xml:space="preserve">Zuzanny Golińskiej, Toma Swobody, Nette Laufer oraz związanych z Wrocławiem Karoliny Szymanowskiej i Łukasza Rusznicy. W minionym roku odbył się również coroczny pokaz ze zbiorów Dolnośląskiego Towarzystwa Zachęty Sztuk Pięknych we Wrocławiu, a także miało miejsce otwarcie nowej wystawy interaktywnej dla dzieci z serii "Samoobsługowe Muzeum". 1. "Karolina Szymanowska – Fala" (21.02 – 15.06.2020) Wystawa indywidualna wrocławskiej artystki Karoliny Szymanowskiej (ur. 1982). Autorka w swojej strategii artystycznej często wykorzystuje pojęcia, które mogą posłużyć do ilustracji zbiorowych i indywidualnych procesów psychologicznych. Instalacje i prace Szymanowskiej opierają się o schemat mechanizmów wykluczenia, opresji, wyparcia, fiksacji, dominacji i ucieczki. Zrealizowana wystawa odnosiła się do zjawiska fali, którą artystka postrzegała zarówno w kategorii zjawiska fizycznego jak i też terminu opisującego zjawiska społeczne. 2. "Łukasz Rusznica – Rzeka podziemna" (21.02 – 07.08.2020) Wystawa indywidualna wrocławskiego artysty Łukasza Rusznicy (ur. 1980). "Rzeka podziemna" stanowiła fotograficzny zapis podróży artysty do Japonii, w czasie której autor próbował skonfrontować się z mitologią i tradycją ludową kraju kwitnącej wiśni. Efektem wyprawy pozostało wydawnictwo i cykl zdjęć charakteryzujących się nieustannym przenikaniem dwóch porządków, balansowaniem na pograniczu istnienia i nieistnienia. 3. "Poezja i performance. Perspektywa wschodnio-europejska" (27.03–13.07.2020) Międzynarodowa wystawa poświęcana relacją pomiędzy poezją a performance w Europie Środkowo-Wschodniej od lat 60. XX wieku do współczesności . Projekt przywoływał subwersywne postawy artystyczne skierowane przeciwko autorytarnym reżimom z przeszłości, ale odnosi się również do działań współczesnych. Wystawa składała się z unikatowych i wzajemnie uzupełniających się eksponatów: partytur tekstowych, obiektów interaktywnych, nagrań audio i wideo, filmów dokumentujących performansy oraz instalacji autorstwa ponad 60 artystek i artystów. Na wystawie były prezentowane działania artystyczne podejmowane w ramach kultur niezależnych w krajach socjalistycznych, jak również współczesne postawy łączące poezje i performans.  Wystawa powstała przy współpracy z Instytutem Slawistyki Uniwersytetu w Zurichu, przy wsparciu finansowym Fundacja Współpracy Polsko-Niemieckiej oraz Konsula Generalnego Republiki Federalnej Niemiec. 4. "Barbara Kozłowska. Wszystko to możesz zobaczyć gdziekolwiek" (17.07–27.09.2020). Wystawa poświęcona Barbarze Kozłowskiej (1940–2008) jednej z czołowych wrocławskich artystek. Kozłowska była od początku lat 60. aktywną współtwórczynią wrocławskiej sceny neoawangardowej. Jej multimedialna twórczość, przede wszystkim prekursorskie performance i działania to niezwykle oryginalna propozycja na mapie polskiej sztuki, nie tylko w latach 60. i 70. Pomimo tego Kozłowska pozostawała długo artystką „nieznaną”. Wystawa była największą do tej pory monografią poświęconą artystce. Wystawie towarzyszyła publikacja. Projekt i książka zostały zrealizowany przy współpracy z Fundacją Arton w Warszawie. 5. "Nowa normatywność. Sympozjum Plastyczne Wrocław '70" (13.08–14.12.2020). Wystawa poświęconej rocznicy 50-lecia Sympozjum Plastycznemu Wrocław '70, które miało miejsce we Wrocławiu w 1970 roku. Wrocławskie spotkanie postrzegane jest jako jedno z najważniejszych wydarzeń artystycznych w polskiej historii sztuki po 1945 roku. Wystawa była próbą kuratorsko-badawczej interwencji w historię Sympozjum </w:t>
      </w:r>
      <w:r w:rsidRPr="00E00B35">
        <w:rPr>
          <w:szCs w:val="20"/>
        </w:rPr>
        <w:lastRenderedPageBreak/>
        <w:t>mieszczącą się w obszarze prowadzonych przez MWW badań i prezentacji dotyczących dziedzictwa myśli neoawangardowej. Rocznicowa wystawa była próbą spojrzenia na Sympozjum z kilku perspektyw. Z jednej strony ważne było ukazanie materiałów źródłowych próbujących usystematyzować przebieg i efekty spotkania. Od początku pozostawały one rozproszone i dziś ograniczają się przede wszystkim do dokumentacji fotograficznej, szkiców i opisów koncepcji. Z drugiej jednak strony kluczowe dla wystawy było wejście w dialog z wydarzeniami z 1970 roku nieograniczający się jedynie do perspektywy historycznej. Na wystawie zostały zaprezentowane prace 79 twórców z Polski i zagranicy. Podsumowaniem projektu jest publikacja – monografia poświęcona Sympozjum Plastycznemu Wrocław ’70. Wydawnictwo złożone jest z dwóch części: 1) archiwalnej - zawierającej kalendarium Sympozjum Plastycznego Wrocław '70, teksty archiwalne, stenogramy z obrad w czasie Sympozjum i obszerną dokumentację fotograficzną; 2) krytyczną - złożoną z krytycznych tekstów  oraz rozmów z uczestnikami tamtych wydarzeń przeprowadzane z dzisiejszej perspektywy. Projekt uzyskał wsparcie MKiDN w ramach programu Sztuki wizualne w wysokości  102 750,00 zł. 6. "Zasoby naturalne. Działa z kolekcji DTZSP" (02.10–02.11.2020) Wystawa Zasoby naturalne prezentowała wybrane dzieła z kolekcji Dolnośląskiego Towarzystwa Zachęty Sztuk Pięknych. Najnowsze nabytki zostały pokazane w zestawieniu z kilkunastoma pracami wyodrębnionymi z jego bogatego zbioru. Punktem wyjściowym w opracowaniu koncepcji wystawy było ujęcie kolekcji w kategorii wspólnego zasobu. 7. "Zuza Golińska – Red Giant" (16.10.2020–25.01.2021) Wystawa indywidualna Zuzy Golińskiej (ur. 1990) stanowiła kontynuację rozważań artystki o końcu świata po katastrofie klimatycznej. W przyjętej przez artystkę narracji pojawią się odniesienia do futurystycznych wizji życia po i sposobów przetrwania apokalipsy. Artystka odniosła się do terminu „czerwony olbrzym” czyli do ostatniego etapu ewolucji gwiazd.  8. "Netta Laufer, Tom Swoboda. Terytorium"  (04.12.2020–08.03.2021) Na wystawę składały się prace dwójki artystów odnoszące się do złożonych zależności zwierzęcych i ludzkich terytoriów, ich przenikalności oraz istniejących między nimi granic, a także tego, kto, według jakich zasad i środków, je ustala. Soczewką pozwalającą dostrzec wspomniane zjawiska stał się dla Netty Laufer teren Palestyny i Izraela, natomiast dla Toma Swobody ogród zoologiczny. Laufer w swoich pracach bazuje na materiałach z kamer przemysłowych, kamer śledzących ruch, mapach, rysunkach technicznych, przyjmuje zatem pozycję zewnętrznej i zdystansowanej obserwatorki, której percepcja zapośredniczona jest dodatkowo przez urządzenia rejestrujące. Swoboda natomiast eksploruje sztuczny świat ogrodów zoologicznych, uwalniając się jednocześnie z roli widza podążającego ścieżkami narzucanymi przez okulocentryczną architekturą takich miejsc. 9. "Sympozjum 70/20. Program działań edukacyjnych wokół 50. rocznicy Sympozjum Wrocław ‘70"</w:t>
      </w:r>
      <w:r w:rsidRPr="00E00B35">
        <w:rPr>
          <w:szCs w:val="20"/>
        </w:rPr>
        <w:br/>
        <w:t xml:space="preserve">Całoroczny program edukacyjny składał się działań edukacyjno-animacyjnych, stymulujących kreatywność i aktywizujących twórczo oraz poszerzających wiedzę uczestników z zakresu sztuki współczesnej. W ramach programu powstało "Kompendium wiedzy o Sympozjum", w tym szereg oryginalnych scenariuszy oraz mapa (dedykowanych zarówno uczniom jak i mieszkańcom poszczególnych dzielnic) została przeprowadzona seria spacerów architektonicznych, odbyły się twórcze warsztaty </w:t>
      </w:r>
      <w:r w:rsidRPr="00E00B35">
        <w:rPr>
          <w:szCs w:val="20"/>
        </w:rPr>
        <w:lastRenderedPageBreak/>
        <w:t>manualne oraz oprowadzania po wystawie "Nowa normatywność" w ramach cyklu "Wrocław 70/20/70" oraz warsztaty-happeningi podczas cyklu "Szczepin 70/20/70" integrujące lokalną społeczność osiedla, narażoną na wykluczenie społeczne. Sytuacja pandemii wymusiła wypracowanie alternatywnych form relacji z publicznością, co w konsekwencji pozwoliło na stworzenie różnorodnej oferty działań w sieci: debat,</w:t>
      </w:r>
      <w:r w:rsidRPr="00E00B35">
        <w:rPr>
          <w:szCs w:val="20"/>
        </w:rPr>
        <w:br/>
        <w:t>wykładów, wideo-oprowadzań, słuchowisk, wideo-postów, czy podcastów.</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BIURO WYSTAW ARTYSTYCZNYCH – GALERIE SZTUKI WSPÓŁCZESNEJ</w:t>
      </w:r>
    </w:p>
    <w:p w:rsidR="00CA14AB" w:rsidRPr="00E00B35" w:rsidRDefault="00CA14AB" w:rsidP="00E00B35">
      <w:pPr>
        <w:spacing w:after="0" w:line="312" w:lineRule="auto"/>
        <w:rPr>
          <w:szCs w:val="20"/>
        </w:rPr>
      </w:pPr>
      <w:r w:rsidRPr="00E00B35">
        <w:rPr>
          <w:szCs w:val="20"/>
        </w:rPr>
        <w:t xml:space="preserve">Współpraca międzyinstytucjonalna - przeniesienie elementów programowych do innych instytucji (ogólnopolskiej wystawy “Cała Polska”  oraz indywidualnej prezentacji Mariusza pt. “Warasa Mobilki”  - obie zrealizowane w Gdańskiej Galerii Miejskiej). Realizacja projektu Studio Mistrzyni z udziałem Joanny Rajkowskiej, jednej z najważniejszych polskich artystek, możliwa dzięki wdrożeniu rozwiązań hybrydowych w okresie lockdownu. Faza studyjna, przeprowadzona z udziałem Artystki to pierwszy etap dwuletniego projektu artystycznego, który zaowocuje wystawą 17 artystów pt. “Nagi nerw” w roku 2021 w przestrzeni BWA Wrocław Główny. Realizacja VI edycji międzynarodowego festiwalu Out of Sth - w tym stworzenie dwóch wystaw podejmujących problem obecności fizycznej w przestrzeni publicznej – kultury protestu, kultury klubowej, aktywizmu społecznego i politycznego, a także mechanizmów budowania społecznej solidarności w warunkach przymusowej fizycznej izolacji. Zaangażowanie Miasta Wrocław i Miasta Katowice w wydanie publikacji "I am you but stronger"  do wystawy w galerii SiC! o tym samym tytule Barbary Żłobińskiej i Mariusza Maślanki. Udostępnienie drugiego, inwestycyjnego etapy projektu Żyjnia w Galerii Dizajn (9.02.2020), obejmującego budowę toalety i tzw. Pojni (miejsce dystrybucji wody) zgodnie z zasadami projektowania uniwersalnego, uwzględniającego potrzeby rozmaitych użytkowników.  Adaptacja Żyjni do nowego regulaminu sanitarnego. Przed obostrzeniami miejsce to pełniło funkcję miejskiego sanatorium, gdzie można było napić się wody, ziół i wykonać proste zabiegi z zakresu aromaterapii. Adaptacja polegała na wypracowaniu nowych rytuałów dla tego miejsca. W wyniku artystycznej współpracy z kuratorem dźwięku Danielem Brożkiem (Czarny Latawiec) i projektu Canti Spazializatti powstał covidowy program audycji kwadrofonicznych z nagraniami rozmaitych artystów dźwiękowych, w tym nagrań terenowych prezentujących zmianę audiosfery Wrocławia podczas pandemii. Projekt realizowany był w wersji hybrydowej: do posłuchania w czasie otwartej galerii oraz w internecie w trakcie lockdownu.  Adaptacja programu wystaw w galerii Dizajn, adekwatnych do nowych potrzeb widzów. W ramach tego działania część wystaw zostało przesuniętych na rok 2021, a część odwołanych. W ich miejscu powstał projekt Nie jesteś sam/a (3.07-27.09.2020) zrealizowany wg scenariusza artystki z Wrocławia, działającej pod artystycznym pseudonimem Okime Emiko. Był to siedmioczęściowy seans zaprojektowany pod regulamin sanitarny galerii, prezentujący nowopowstałe prace tylko jednemu odbiorcy na raz. W specjalnie zaaranżowanej przestrzeni widz wykonywał ćwiczenia zaprojektowane przez ekspertów terapii krzyżowo-czaszkowej, których celem było poprawa samopoczucia i redukcja napięcia emocjonalnego. W ramach tego celu strategicznego powstała również wystawa Wspólne </w:t>
      </w:r>
      <w:r w:rsidRPr="00E00B35">
        <w:rPr>
          <w:szCs w:val="20"/>
        </w:rPr>
        <w:lastRenderedPageBreak/>
        <w:t xml:space="preserve">dobro: W (23.10.2020 - 3.01.2021) poświęcone literze z herbu Wrocławia. Promocja tego motywu ikonograficznego miała na celu zainspirowanie wrocławian do własnych poszukiwań litery W w przestrzeni miejskiej i aktywności i wolnym powietrzu. Rozwój kanału Żyjnia na Instagramie oraz realizacja Słowniczka dla Projektantów i Osób Zainteresowanych Poprawą Życia na Ziemi, którego celem jest promocja treści łączących zagadnienia z obszaru dyscyplin projektowych oraz ekologii i zdrowia publicznego. Rozszerzenie oferty BWA Wrocław na działania online oraz stworzenie programu pod nazwą "BWA Wrocław online". Dostosowanie formuły wystawienniczej do sytuacji związanej z pandemią Covid 19, w tym stworzenie wystaw do oglądania w witrynach Galerii Dizajn i SiC! do oglądania z zewnątrz. Wdrożenie podstawowych standardów związanych z dostępnością (tłumaczenia migowe, dostępność cyfrowa, deskrypcja, czytelność komunikatów). Wdrożenie pilotażowego programu szkoleń dla całego zespołu BWA Wrocław z zakresu dostępności dla osób o szczególnych potrzebach.  Szkolenia dla kadry BWA z zakresu organizacji instytucji (nowe procedury zarządzania, obiegu dokumentów). Aktywne uczestnictwo w projektowaniu nowej przestrzeni biurowej dla BWA Wrocław w lokalizacji przy ul. Ruskiej 46a/103 (nowa siedziba od 2021). 1.Rok rozpoczęty został przekrojową prezentacją potencjału samoorganizacji i samoregulacji pola sztuki współczesnej w galerii BWA Wrocław Główny. Wystawa pt. "Cała Polska. Podróż do źródeł sztuki (Nieinstytucjonalne przestrzenie sztuki w Polsce)" to prezentacja blisko 30 inicjatyw powołanych do życia i utrzymywanych przez artystów bez publicznego wsparcia. Wystawa stanowiąca przekrój estetyk i problemów reprezentatywnych dla artystów urodzonych w latach 80. i 90. została dostrzeżona w krytycznych podsumowaniach roku poprzedniego i została przeniesiona do Gdańskiej Galerii Miejskiej, gdzie również cieszyła się dużym zainteresowaniem środowiska i publiczności. 2. Ważnym elementem programu galerii była również, w perspektywie działalności na rzecz promocji nowych zjawisk w sztuce polskiej, i współpracy z ASP Wrocław, organizacja "13. Konkursu Gepperta", wraz z wdrożeniem udostępniania elementów programu galerii za pośrednictwem narzędzi i formatów sieciowych (transmisje, oprowadzania online, elektroniczny katalog wystawy i przewodnik audio po wystawie, publikacja treści przygotowanych przez uczestników w internetowych kanałach społecznościowych instytucji). 3. "Trzy to już tłum" - wystawa w ramach festiwalu Out of Sth vol. VI “Chłonność przestrzeni” - ważna, oczekiwana wystawa międzynarodowa z udziałem ponad 50 artystów i kolektywów artystycznych, udostępniona w roku 2020 w formie online (debat transmitowanych kanałami BWA), podejmująca problem fizycznej obecności w przestrzeni publicznej i wytwarzania tymczasowych wspólnot, transformujących starą rzeczywistość i kreujących nowe warunki uczestnictwa w życiu społecznym. W 2020 roku VI edycja Międzynarodowego Festiwalu Sztuki Zewnętrznej OUT OF STH była kontynuacją projektu zapoczątkowanego w 2008 roku, obejmującego cykliczne prezentacje praktyk odnoszących się do przestrzeni miejskiej i obejmujących działania często nieprzyswojone przez artystyczny dyskurs krytyczny.  VI edycja festiwalu poświęcona jest analizowaniu miasta jako specjalnego przypadku urbanistyczno-społecznego, wykorzystującego wzorce zachowań przestrzennych człowieka w kontaktach społecznych. W jej obrębie przyglądamy się kontekstom przestrzennym, urbanistycznym enklawom, </w:t>
      </w:r>
      <w:r w:rsidRPr="00E00B35">
        <w:rPr>
          <w:szCs w:val="20"/>
        </w:rPr>
        <w:lastRenderedPageBreak/>
        <w:t xml:space="preserve">samoorganizującym się punktom zapalnym na mapie miasta, tendencjom oddolnego i obywatelskiego kształtowania przestrzeni publicznej, które wspólnie odpowiadają za organizację miasta. Główną osią IV odsłony OUT OF STH są dwie wystawy: wystawa główna “TRZY TO JUŻ TŁUM” (udostępniona online) oraz wystawa porezydencyjna pt. “Konflikt terenowy”, której realizacja – ze względu na Covid-19 - została w całości przeniesione do przestrzeni Internetu.  4. Realizacja pierwszej części dwuletniego projektu "Studio Mistrzyni" z udziałem Joanny Rajkowskiej, jednej z najbardziej docenianych i rozpoznawalnych polskich artystek współczesnych. Pierwsza faza projektu polegała na przeprowadzonym przez Joannę Rajkowską w 2020 roku przeglądzie propozycji najciekawszych młodych twórców z całej Polski, i ostatecznym wyborze 18 twórców, spośród ponad 200 zgłoszonych. W roku 2020 została również rozpoczęta faza druga projektu – praca nad wspólną wystawą Rajkowskiej i wybranych artystów (w konwencji klasy mistrzowskiej i relacji mistrz-uczeń). Zrealizowane zostały wspólne dyskusje, warsztaty i spotkania z Rajkowską, możliwe do przeprowadzania dzięki formie hybrydowej lub całkiem zdalnej. Faza druga zaowocuje wystawą pt. “Nagi nerw” w roku 2021 w przestrzeni BWA Wrocław Główny. 5. "Żyjnia" - kontynuacja programu sanatorium miejskiego w galerii Dizajn w formule dostosowanej do nowych reżimów sanitarnych w okresie pandemii covid-19, czyli w formie hybrydowej oraz online - głównie poprzez rozwój kanału Żyjnia na Instagramie i emisji cyklicznych audycji. // W 2020 roku otworzyliśmy drugą część projektu Żyjnia. Inspiracją do jej stworzenia była idea dostępnego dla wszystkich miejskiego sanatorium, inspirowanego nostalgiczną atmosferą dolnośląskich uzdrowisk i pałaców zdrojowych. Słowo “żyjnia” – równie retro, co futurystyczne – określiło charakter miejsca, otwartego na codzienne potrzeby jego użytkowników, takie jak: regeneracja, schronienie, budowa odporności. W Żyjni rolę sanatoryjnych wód leczniczych pełnią napary z ziół, krany z miejską wodą, relaksujące inhalacje olejkami z geranium, terapia dźwiękowa. Pałace zdrojowe zainspirowały projektantów Dominikę Buck i Pawła Buck nie tylko ze względu na symboliczny wymiar wody, organizującej sposób ich funkcjonowania, ale również ze względu na panujący w nich nastrój. Dodatkową wartością jest to, że ich charakter jest z założenia niekomercyjny. Podobnie Żyjnia jest miejsce spotkań, współczesnym, otwartym salonem miejskim, w którym realizowany jest program różnorodnych wydarzeń towarzyszących bieżącym wystawom oraz zagadnieniom związanym z kulturą regeneracji, łagodzeniem kryzysu klimatycznego, zrównoważonym projektowaniem I konsumpcją.  6. "I’m  you, but stronger" – wystawa Barbary Żłobińskiej i Mariusza Maślanki wraz z towarzyszącym katalogiem - prezentowana w galerii SiC! oraz w online i w przestrzeni publicznej (plac Kościuszki). Artyści w obiektach i instalacjach badają koncepcję kapitalizmu jako sposobu organizacji szeroko rozumianej natury, w tym natury ludzkiej. Interesują ich systemy socjoekonomiczne oraz funkcja jaką pełnią w mechanizmie globalnej ekologii, przez co ich projekty odzwierciedlają związki między akumulacją kapitału, dziedzictwem cywilizacyjnym i tętnem życia. Koncepcje Żłobińskiej i Maślanki łączą naukę, naturę i duchowość; państwo, plemię i jednostkę; ekonomię, ekologię i etykę; ewolucję, adaptację i mutację. Artyści formułują estetyczną oraz konceptualną definicję cywilizacyjnego przyśpieszenia ostatnich dziesięcioleci. W obecnym projekcie odnoszą się </w:t>
      </w:r>
      <w:r w:rsidRPr="00E00B35">
        <w:rPr>
          <w:szCs w:val="20"/>
        </w:rPr>
        <w:lastRenderedPageBreak/>
        <w:t>do problematyki ekonomicznego jak i gatunkowego uprzywilejowania.   7. "Biuro wysp znalezionych" - międzynarodowa wystawa w ramach sceny artystycznej 20. MFF Nowe Horyzonty, prezentowana w galerii Studio BWA /artyści: Oskar Alegria, Kornel Janczy, Honorata Martin, Ann Oren, Liliana Piskorska, Ben Rivers &amp; Ben Russell/. Wprowadzenie wspólnego programu “BWA Wrocław online” - umożliwiającego dostęp do oferty BWA Wrocław oferowanego przez wszystkie cztery galerie w Internecie: klasyczne prezentacje realizacji wystawienniczych oraz działań artystycznych, jak oprowadzania kuratorskie, spotkania z artystami, prezentacje prac czy spacery w przestrzeni miejskiej oraz wydarzenia towarzyszące: spotkania i rozmowy z twórcami i kuratorami specjalistami z zakresu sztuki i kultury współczesnej, wykłady, debaty. Wszystkie działania transmitowane i udostępniane są za pośrednictwem kanałów BWA Wrocław w mediach społecznościowych: Facebooka, Instagrama, Youtube’a. Przeprowadzenie akcji online “BWA oddaje Insta” #bwaoddajeinsta - angażujące twórców kultury w prowadzenie kanału BWA Wrocław na Instagramie.  Program wystawienniczy dwóch spośród czterech galerii dostosowano do zwiedzania bez konieczności wchodzenia do wewnątrz galerii. Zrealizowano w ten sposób trzy wystawy w witrynach galerii SIC! oraz jedną w galerii Dizajn. Wdrożono programu dostępności: likwidację barier cyfrowych, komunikacyjnych, w tym wdrożenie (bardzo dobrze odebrane w środowisku osób głuchych) tłumaczeń na PJM transmisji online wydarzeń BWA Wrocław. Wprowadzenie “regulaminów covidowych” zarówno dla pracowników BWA Wrocław oraz dla wszystkich czterech galerii BWA Wrocław - określające zasady korzystania z oferty BWA w okresie częściowego ograniczenia dostępności dla publiczności i warunkach szczególnych wymogów sanitarnych. Działalność związana z ekologią: minimalizacja materiałów drukowanych do niezbędnego minimum - rezygnacja z produkcji dużych nakładów druków ulotnych (plakaty, zaproszenia, papierowe ulotki) – zwrot w stronę elektronicznych wariantów   ograniczenie wyklejania informacji (napisów wykonanych folii)   odejście od naczyń jednorazowego użytku w sytuacjach wernisażowych lub wykorzystywanie naczyń kompostowalnych    druk biurowy na papierze recyclingowym   zakup środków czystości od producentów bio/eco. zakup recyclingowego papieru toaletowego i ręczników papierowych   zlecenie przebadania wody z kranu pod kątem jej zdatności do picia i rezygnacja z zamawiania baniaków z wodą   Realizacja programu merytorycznego Żyjni w galerii Dizajn - jako przestrzeni problematyzującej zagadnienia projektowania i ekologii. Seria zaplanowanych wydarzeń o charakterze edukacyjnym przeniosła się do Internetu po postacią Słowniczka dla projektantów i osób zainteresowanych poprawą życia na świecie, serii materiałów audiowizualnych poświęconych takim zagadnieniom jak: Rezyliencja, Regeneracja, Ekologia dźwięku, Do-It-Together, Naprawialność, Adaptacja, Mitygacja.   Przygotowania do wystawy planowanej na 2021 rok w galerii Dizajn pt. Pola regeneracji poświęconej współczesnym praktykom projektowym przeciwdziałającym katastrofie klimatycznej. Żyjnia w finale IX konkursu Życie w Architekturze magazynu “Architektura-Murator”.</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lastRenderedPageBreak/>
        <w:t>GALERIA MIEJSKA</w:t>
      </w:r>
    </w:p>
    <w:p w:rsidR="00CA14AB" w:rsidRPr="00E00B35" w:rsidRDefault="00CA14AB" w:rsidP="00E00B35">
      <w:pPr>
        <w:spacing w:after="0" w:line="312" w:lineRule="auto"/>
        <w:rPr>
          <w:szCs w:val="20"/>
        </w:rPr>
      </w:pPr>
      <w:r w:rsidRPr="00E00B35">
        <w:rPr>
          <w:szCs w:val="20"/>
        </w:rPr>
        <w:t xml:space="preserve">W ramach działalności Galerii Miejskiej w 2020 roku głównym celem było zachowanie wysokiej jakości prezentacji artystycznych, promocja polskiego, a zwłaszcza wrocławskiego środowiska artystycznego i kontynuacja cyklu wydawniczego instytucji. W związku z tym, podstawowym celem strategicznym była działalność wystawiennicza, w tym organizacja zbiorowej, przeglądowej wystawy stacjonarnej artystów młodego pokolenia (httpaintings://) oraz dwie indywidualne prezentacje stacjonarne podsumowujące dekady twórczości uznanych polskich artystów (PARALELE/ Elżbieta Woźniewska i Drzewo Mondriana/ Artur Przebindowski). W ramach realizacji drugiego celu strategicznego dotyczącego działalności wydawniczej Galerii Miejskiej, udało się wydać katalog do każdej z prezentowanych stacjonarnie wystaw (4 wydawnictwa) oraz poszerzyć cykl wydawniczy Biblioteki Galerii Miejskiej o kolejną książkę tj. "Żeczy dla malaży". Ze względu na dynamicznie rozwijającą się sytuację pandemiczną w kraju, pojawił się dodatkowy cel strategiczny - ułatwienie dostępu do zamkniętych galerii i wydarzeń artystycznych poprzez cyfryzację i działania z użyciem nowych technologii. W związku z tym udostępniono pięć wystaw w formie wirtualnego zwędzania i skupiono się na dodatkowych materiałach filmowych z ekspozycji udostępnianych w social mediach galerii (wywiady z artystami, oprowadzania, etiudy aktorskie). 1. wystawa httpaintings:// (14.05 - 18.06.2020) - prezentacja malarstwa i grafiki pięciorga artystów młodego pokolenia dla których inspiracją jest tematyka cyfryzacji i nowych technologii. Przeglądowy charakter prezentacji wskazał nowe nurty w podejściu artystów do tematu cyfrowego obrazowania i wskazał na powiazania nowych mediów artystycznych z tradycyjnymi (jak malarstwo). Wystawie towarzyszył katalog z tekstami krytycznymi. Opracowanie graficzne katalogu powstało w ramach zainicjowanej przez Galerię współpracy z ASP we Wrocławiu i konkursu dla studentów dr hab. Artura Skowrońskiego na najlepszy projekt. Konkurs miał na celu promocję młodych wrocławskich talentów oraz przygotowanie studentów do pracy z instytucjami kultury. Po zamknięciu ekspozycji został udostępniony dla widzów wirtualny spacer po wystawie. 2. wystawa jubileuszowa PARALELE/ Elżbieta Woźniewska (23.01 - 29.02.2020) - prezentacja ponad stu prac Elżbiety Woźniewskiej (graficzki, ilustratorki, malarki) skupiająca się wokół dzieł przedstawiający znaki, symbole i szyfry. Ekspozycja wciągała widza do świata złudzeń optycznych, skojarzeń i zagadek, przez co wymagała przemyśleń, indywidualnych interpretacji i pobudzenia kreatywności u zwiedzających. Wydarzeniu towarzyszyło oprowadzanie po wystawie dla seniorów i warsztaty plastyczne dla dzieci, które ułatwiły promocję krajowej sztuki wśród odbiorców niezwiązanych zawodowo z tym obszarem. Uzupełnieniem ekspozycji był katalog zawierający teksty krytyczne. 3. wystawa Drzewo Mondriana/ Artur Przebindowski (11.09 - 23.10.2020) - wystawa malarstwa podsumowująca ponad dekadę drogi twórczej Artura Przebindowskiego. Ekspozycja nawiązywała do jednego z najważniejszych dzieł stworzonych przez Pieta Mondriana w pierwszej dekadzie XX wieku i skupiała się wokół  abstrakcji geometrycznych inspirowanych tematyką miejską. Wystawa rozpropagowała twórczość krakowskiego artysty na Dolnym Śląsku oraz zaprezentowała w jaki sposób podczas dekady ewoluowały twórcze strategie Przebindowskiego. Wystawie towarzyszył katalog z </w:t>
      </w:r>
      <w:r w:rsidRPr="00E00B35">
        <w:rPr>
          <w:szCs w:val="20"/>
        </w:rPr>
        <w:lastRenderedPageBreak/>
        <w:t>tekstami krytycznymi. Po zamknięciu ekspozycji został udostępniony dla widzów wirtualny spacer po wystawie. 4. książka "Żeczy dla malaży" - wydawnictwo powstało w ramach kontynuacji edukacyjnego cyklu  Biblioteki Galerii Miejskiej. Książka jest zabawnym poradnikiem od Poli Harlender (córki wrocławskiego artysty malarza i performera Marcina Harlendera) w formie ilustracji 5-letniej dziewczynki, opatrzonych komentarzem nagradzanego polskiego pisarza, publicysty Mariusza Urbanka. Wydawnictwo promuje wrocławskie środowisko artystyczne, promuje sztukę wśród najmłodszych odbiorców, ale równocześnie jest zabawnym źródłem wiedzy dla dorosłych. 5. cyfryzacja wystaw - ze względu na sytuację pandemiczną, ograniczenia wyjść z domów i lockdown instytucji kultury, Galeria Miejska zwiększyła ilość materiałów filmowych z wystaw oraz premierowo udostępniła wirtualne spacery po ekspozycjach stacjonarnych i partycypowała w organizacji e-wystaw. Tym sposobem udało się dotrzeć do osób zainteresowanych wystawami w czasie, gdy galeria była zamknięta. Stworzono również materiały (jak wywiady czy etiudy aktorskie), które pogłębiły wiedzę odbiorców i przekazały nowe treści dotyczące prezentowanych wystaw. Dodatkowo, instytucja premierowo uczestniczyła w organizacji e-wystaw, czyli projektów realizowanych wyłącznie w przestrzeni wirtualnej. Zyskano kolejny, nietradycyjny sposób prezentacji sztuki z użyciem nowych technologii. W związku z pandemią zwiększeno aktywność w social mediach, aby nadal docierać do odbiorców, mimo zamknięcia instytucji</w:t>
      </w:r>
      <w:r w:rsidRPr="00E00B35">
        <w:rPr>
          <w:szCs w:val="20"/>
        </w:rPr>
        <w:br/>
        <w:t>- cyfryzacja stacjonarnych wystaw (trzy wystawy)  - premierowa organizacja wydarzeń odbywających się wyłącznie w przestrzeni wirtualnej (dwie wystawy). Działalność o charakterze ekologicznym: segregacja odpadów; wielorazowe wykorzystywanie opakowań i materiałów pakowalniczych do dzieł; zaprzestanie korzystania z plastikowych i jednorazowych toreb na zakupy wydawnictw i akcesoriów  Galerii Miejskiej - stosowanie toreb płóciennych i papierowych z recyklowanego materiału; korzystanie wyłącznie z ekologicznego papieru na potrzeby biura; wykorzystywanie do oświetlenia sal wystawienniczych wyłącznie energooszczędnych źródeł światła (LED).</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GALERIA ENTROPIA</w:t>
      </w:r>
    </w:p>
    <w:p w:rsidR="00CA14AB" w:rsidRPr="00E00B35" w:rsidRDefault="00CA14AB" w:rsidP="00E00B35">
      <w:pPr>
        <w:spacing w:after="0" w:line="312" w:lineRule="auto"/>
        <w:rPr>
          <w:szCs w:val="20"/>
        </w:rPr>
      </w:pPr>
      <w:r w:rsidRPr="00E00B35">
        <w:rPr>
          <w:szCs w:val="20"/>
        </w:rPr>
        <w:t xml:space="preserve">W roku jubileuszu Sympozjum Plastycznego Wrocław '70 jednym z celów strategicznych GE było przygotowanie wystaw i działań nawiązujących do tego wydarzenia. W tym kontekście zrealizowaliśmy 4 projekty (opis w pkt 15) oraz podjęliśmy (jeszcze w roku 2019) współpracę z Grupą Roboczą Sympozjum 70/20 nad całorocznym programem Sympozjum 70/20 i nad opracowaniem wniosków o dofinansowanie tej oddolnej inicjatywy. Efektem finansowym tej współpracy było pozyskanie środków na realizację jednego z projektów własnych Galerii Entropia. Animacja filmowa stanowi od samego początku istnienia Galerii Entropia jeden z jej wiodących wątków programowych, co znajduje odzwierciedlenie w prowadzeniu stałego warsztatu animacji poklatkowej dla dzieci i młodzieży i organizowaniu licznych wydarzeń dedykowanych sztuce ruchomych obrazów. Od 12 lat stałym przedsięwzięciem Galerii jest organizacja Międzynarodowego Dnia Animacji (de facto kilkudniowego wydarzenia) we współpracy z ASIFA Polska. Z uwagi na ograniczenia związane z pandemią wydarzenie zrealizowano online z elementami instalacji performatywnych w przestrzeni Galerii. W sytuacji zamknięcia </w:t>
      </w:r>
      <w:r w:rsidRPr="00E00B35">
        <w:rPr>
          <w:szCs w:val="20"/>
        </w:rPr>
        <w:lastRenderedPageBreak/>
        <w:t xml:space="preserve">instytucji kultury i innych ograniczeń życia społecznego celem Galerii było podtrzymywanie aktywności artystów oraz więzi z obiorcami. Służył temu projekt online „Entropia w domu”. Rolą Galerii było generowanie i przekazywanie/udostępnianie rozmaitych artystycznych działań, performansów do-kamerowych itp. Organizacja wydarzeń artystycznych posiadających walory integracyjne i edukacyjne dla środowisk twórców, badaczy i odbiorców sztuki różnych pokoleń należy do specyficznej i wypróbowanej tradycji Galerii. Jednym z takich wydarzeń był „Kongres Duchampologiczny” będący energetycznym połączeniem promocji książki, sesji naukowej, rewii wystąpień artystycznych i wystawy prac odnoszących się do twórczości M. Duchampa. Do całorocznego programu Sympozjum 70/20, w którym Galeria Entropia pełniła rolę współorganizatora, wnieśliśmy 3 własne projekty: 1/ „Żywy Pomnik ARENA - akcja malowania rzeźby Jerzego Beresia” (Wyspa Piasek 30.04.2020). Intencją Autora dzieła było coroczne malowanie rzeźby zgodnie z cyklem przyrody. Wypełnianie tego swoistego „testamentu” odbywa się poprzez tradycyjną już wiosenną akcję artystyczną, którą od 2019 roku - na prośbę Fundacji im. Marii Pinińskiej-Bereś i Jerzego Beresia - opiekuje się Galeria Entropia. W tym roku ze względu na okoliczności epidemiczne akcję przeprowadziliśmy w kameralnym, 3-osobowym składzie: czynności malarskie - Jarosław Słomski, koordynacja - Alicja Jodko, dokumentacja - Mariusz Jodko. 2/ Wystawa Zbigniewa Makarewicza „NONSENS &amp; SENS. Zbiory i podzbiory kompatybilne i niekompatybilne. 2020” /22.05 – 19.06.2020/; kuratorka: Alicja Jodko. Wystawa uczestnika i współorganizatora Sympozjum'70 gromadziła pokaźną ilość rzeczy gotowych podzielonych na „zbiór kompatybilny” zbudowany z ok. 300 pustych segregatorów oraz na „podzbiory niekompatybilne” zawierające paradoksalne zestawy przedmiotów nieużytecznych. Szczególnego rodzaju podzbiór kompatybilny, składający się z dwóch przerdzewiałych hełmów niemieckich i ułomków ceramiki, odnosił się do Muzeum Archeologicznego Festung Breslau, śmiałego projektu Zbigniewa Makarewicza i Ernesta Niemczyka na Sympozjum ‘70, który zakładał wykonanie wykopu tworzącego przekrój przez olbrzymie usypisko powojennych gruzów (obecnie Wzgórze Andersa), zabezpieczenie go i eksponowanie w taki sposób, jakby było to wykopalisko archeologiczne sprzed tysięcy lat. 3/ Mobilna instalacja optyczna i wystawa prac Jerzego Kosałki i Tomasza Opani „ENTROPOLUX” /30.06 – 28.07.2020/; koncepcja instalacji, kuratorka: Alicja Jodko. Wystawa zawierała, prócz prac obu autorów, tytułowy obiekt optyczny będący swobodną, reinterpretacją plenerowego zestawu urządzeń optycznych Zbigniewa Dłubaka zaprojektowanego we współpracy z Natalią i Andrzejem Lachowiczami na Sympozjum ’70. ENTROPOLUX w funkcji stacjonarnej służył przede wszystkim do obserwacji prac rozmieszczonych w galerii w taki sposób, by podważać nawyki percepcyjne widzów. W funkcji mobilnej posłużył do dwóch akcji ulicznych: ekspedycji do Krzesła T. Kantora i happeningu /30.06.20/ oraz ekspedycji do Żywego Pomnika „ARENA” J. Beresia i mikro zdarzeń na trasie wiodącej przez Rynek i Stare Miasto /30.06.20/. Oba działania w przestrzeni miejskiej stanowiły formę upamiętnienia, popularyzacji i udostępnienia dzieł Sympozjum '70 szerszej publiczności żywo reagujących przechodniów. W ramach programu Sympozjum 70/20 podjęliśmy się także opieki kuratorskiej /Alicja Jodko/ i współorganizacji projektu artystyczno-badawczego </w:t>
      </w:r>
      <w:r w:rsidRPr="00E00B35">
        <w:rPr>
          <w:szCs w:val="20"/>
        </w:rPr>
        <w:lastRenderedPageBreak/>
        <w:t>Zofii Reznik i Joanny Synowiec „POGŁOSY”. Projekt został zrealizowany w formie wydarzenia online /17- 31.12/ prezentującego mini serial 4 odcinków filmowych przedstawiających utrzymane w konwencji seansu spirytystycznego spotkania badaczek i zaproszonych artystek reinterpretujących idee i projekty Sympozjum '70.</w:t>
      </w:r>
      <w:r w:rsidRPr="00E00B35">
        <w:rPr>
          <w:szCs w:val="20"/>
        </w:rPr>
        <w:br/>
        <w:t>B/ 19. Międzynarodowy Dzień Animacji /12—22.11.2020/ to światowe święto animacji pod auspicjami Międzynarodowego Stowarzyszenia Twórców Filmu Animowanego ASIFA, które od 12 lat organizuje we Wrocławiu Galeria Entropia współpracując z ASIFA Polska. W br. program pokazów online realizowany był we współpracy z Katedrą Sztuki Mediów wrocławskiej ASP i festiwalem O!PLA. Międzynarodowy program zawierał filmy z wielu krajów świata, nagrodzone na festiwalu O!PLA filmy z Polski, a także filmy studenckie z Katedry Sztuki Mediów wrocławskiej ASP. Publiczność miała również unikalną okazję dostępu do Forum tegorocznych dyplomów w dziedzinie animacji z 27 uniwersytetów w USA. Specjalną podbudowę programową stanowiły stworzone w przestrzeni galeryjnej (udostępniane online), instalacje performatywne zaproszonych przez Galerię wrocławskich artystów: Agi Jarząb i Maćka Bączyka/kinoMANUAL oraz Mai Wolińskiej. Kilkumiesięczny cykl wydarzeń online „Entropia w domu” - performanse i działania do-kamerowe zaproszonych przez Galerię artystów udostępniane w sieci na przemian z archiwaliami Entropii zaktualizowanymi w kontekście pandemii w oparciu o intensywną pracę na własnych zbiorach Galerii. Przekazy od żywego nadawcy do żywego odbiorcy stanowiły najpełniejszą formę połączenia ludzi w sytuacji izolacji i zamknięcia. Projekt ten tworzyliśmy z myślą i o odbiorcach, i - jeśli nie przede wszystkim - o artystach, których aktywność zawodowa wymaga kontaktu z odbiorcami i publicznością, a jego brak dotkliwie wpływa na ich sytuację życiową. Cykl posiadał walory pomocowe zarówno w aspekcie mentalnym jak i materialnym i dla kilkorga artystów miał niezwykle istotne znaczenie. Performance do-kamerowy online Marcina Harlendera „Sztuka w czasach zarazy” zainicjował intensywny cykl działań, do którego dołączyli następni zaproszeni artyści. Udostępniane archiwalia prezentowały istotne wątki programowe Galerii: badawczy - odnoszący się do sposobu funkcjonowania i roli mediów ekranowych w życiu indywidualnym i społecznym oraz integracyjny - łączący środowiska artystyczne i odbiorców sztuki w polu wspólnej pamięci o czasie swobodnych kontaktów międzyludzkich i działań artystycznych w przestrzeni. Na „Kongres Duchampologiczny” (18-27.02.2020) składały się trzy wydarzenia: promocja najnowszej książki prof. Anny Markowskiej o M. Duchampie, wystawa wybitnych polskich duchampologów - Adama Rzepeckiego (debiut w Entropii!) i Jerzego Kosałki oraz sesja końcowa Kongresu prezentująca w formule open call rozmaite działania i artefakty zainspirowane postacią i twórczością „ojca dadaizmu”. Sesja, w której wzięło aktywny udział 27 osób - artystek, artystów i amatorów - przybrała formę rewii autorskich wystąpień i prezentacji prac przetykanych komentarzami ekspertów-duchampologów i publiczności gromadzącej osobistości wrocławskiej kultury i entuzjastów sztuki. Była też ucieleśnieniem „nieopresyjnego sposobu zdobywania wiedzy”. W perspektywie bezpieczeństwa widzów i pracowników: – stosowanie ścisłego reżimu sanitarnego i procedur dystansu</w:t>
      </w:r>
      <w:r w:rsidRPr="00E00B35">
        <w:rPr>
          <w:szCs w:val="20"/>
        </w:rPr>
        <w:br/>
        <w:t xml:space="preserve">W perspektywie programowej: – Projekt sieciowy „Entropia w domu” – Współpraca z artystami przy realizacji działań dokamerowych w galerii i przestrzeni miasta Działalność </w:t>
      </w:r>
      <w:r w:rsidRPr="00E00B35">
        <w:rPr>
          <w:szCs w:val="20"/>
        </w:rPr>
        <w:lastRenderedPageBreak/>
        <w:t>o charakterze ekologicznym: Autoanaliza instytucji pod kątem dalszego zmniejszenia zużycia materiałów i opakowań, których Galeria od lat stara się zużywać jak najmniej dzięki wielokrotnemu ich użyciu.  Autoanaliza instytucji pod kątem jeszcze dokładniejszej segregacji odpadów, którym od lat poświęcamy wiele uwagi, ponieważ nierzadko wykorzystujemy je jako materiał do tworzenia wypowiedzi artystycznych i budowania wystaw. Jako przykład naszego podejścia do odpadów cywilizacyjnych może tu posłużyć ostatnia wystawa Izabeli Chamczyk "SERIOUSLY SALTY. Nowe materializacje" zawierająca instalację zbudowaną z kilkudziesięciu niesprawnych i nienadających się do naprawy laptopów. Udział Galerii Entropia w projekcie „C-CHANGE. Kultura i sztuka w walce ze zmianami klimatu”:  - spotkania z przedstawicielami wielu instytucji kultury podczas szkoleń, a także wizyty studyjne w różnych miejscach dały możliwość bliższego zapoznania z ich praktykami proekologicznymi; - udział w konkursie projektów pilotażowych Festiwalu C-CHANGE i pozyskanie środków na udźwiękowienie filmu animowanego o tematyce proekologicznej p.t. „Wieloryb ratunkowy” zrealizowanego przez dzieci na warsztatach animacji.</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OŚRODEK PAMIĘĆ I PRZYSZŁOŚĆ</w:t>
      </w:r>
    </w:p>
    <w:p w:rsidR="00CA14AB" w:rsidRPr="00E00B35" w:rsidRDefault="00CA14AB" w:rsidP="00E00B35">
      <w:pPr>
        <w:spacing w:after="0" w:line="312" w:lineRule="auto"/>
        <w:rPr>
          <w:szCs w:val="20"/>
        </w:rPr>
      </w:pPr>
      <w:r w:rsidRPr="00E00B35">
        <w:rPr>
          <w:szCs w:val="20"/>
        </w:rPr>
        <w:t xml:space="preserve">1. Organizacja uroczystych obchodów 40. rocznicy strajku solidarnościowego w Zajezdni nr VII we Wrocławiu – liczne przedsięwzięcia w każdym z obszarów pracy instytucji (wystawy, publikacje, badania, film dokumentalny). Przedsięwzięcie organizowane było wspólnie z zainicjowanym Komitetem Organizacyjnym, w skład którego weszli przedstawiciele najważniejszych urzędów w mieście i regionie. 2. Realizacja programów badawczych (m.in. Zajezdnia Strajkuje, Listy milenijne, Sieć Ziem Zachodnich i Północnych, 100 100-latków na 100 lecie). 3. Upamiętnienie 75 lat powojennego Wrocławia (wykłady, artykuły). 4. Współpraca z Uniwersytetem Wrocławskim przy prowadzeniu kierunków studiów Historia w przestrzeni publicznej. 5. Upamiętnienie 55. rocznicy orędzia biskupów polskich do niemieckich (debaty, publikacje, wystawa). 6. Kontynuacja i dalszy rozwój oferty edukacyjnej, dedykowanej dzieciom, młodzieży szkolnej i rodzinom z dziećmi. 7. Poszerzenie i zmodernizowanie bazy sprzętowej Ośrodka. 8. Pozyskanie kolekcji fotografii i negatywów, dokumentujących życie codzienne i twórczość kulturalną w powojennym Wrocławiu, a także strajk z sierpnia 1980 oraz demonstracje z sierpnia 1982. 9. Wprowadzenie nowej internetowej bazy inwentarzowej AtoM. 10. Przygotowanie oddzielnych pomieszczeń na magazyny archiwalne Ośrodka oraz zaopatrzenie ich w stosowne wyposażenie (np. oświetlenie energooszczędne, higrometr, nawilżacz powietrza). 11. Digitalizacja zbiorów (5700 na koniec roku 2020; dla porównania w 2019 roku w analogicznym okresie było to 1696). 12. Realizacja badań naukowych dotyczących powojennej historii Wrocławia. 13. Współpraca z Towarzystwem im. Edyty Stein. 14. Współpraca z Gminą Kąty Wrocławskie i Stowarzyszeniem Miłośników Ziemi Kąckiej przy budowie wystawy stałej w regionalnej Izbie Pamięci. Zgodnie z założeniami organizacyjnymi przyjętymi przez zespół Ośrodka, każdego roku skupiamy się na jednym dużym temacie, związanym z okrągłą rocznicą przypadającą w danym roku. Wiąże się to ze skoncentrowaniem sił na bardziej skomplikowanych, obszerniejszych i tym samym bardziej czasochłonnych projektach. W 2020 r. tematem </w:t>
      </w:r>
      <w:r w:rsidRPr="00E00B35">
        <w:rPr>
          <w:szCs w:val="20"/>
        </w:rPr>
        <w:lastRenderedPageBreak/>
        <w:t xml:space="preserve">przewodnim było 40-lecie strajku w Zajezdni autobusowej nr VII i powstania NSZZ „Solidarność” we Wrocławiu. Dla upamiętnienia tych wydarzeń podjęto szereg przedsięwzięć, obejmujących w zasadzie wszystkie obszary pracy instytucji. Np. zorganizowana została multimedialna wystawa „Zajezdnia strajkuje”, której wernisaż połączony był z uroczystymi obchodami ww. rocznicy. Zrealizowano program badawczy, dotyczący protestów solidarnościowych, którego celem było rozszerzenie i uzupełnienie dotychczasowego stanu wiedzy na temat tego wydarzenia. Organizacja Remembrance &amp; Future Forum (online) – 12 spotkań, zainspirowanych ideą solidarności i jej współczesnej aktualności. Podjęto kroki w celu renowacji zabytkowego pojazdu Jelcz 043; utworzenie i prowadzenie strony „Drugie życie Ogórka” na platformie Facebook. Przygotowana została także wystawa plenerowa „Gazeta sierpniowa”. 75 lat powojennego Wrocławia - wydarzenie współorganizowane z Urzędem Miasta Wrocławia. Pracownicy OPiP zaprezentowali w przestrzeni online 7 wykładów, dotyczących historii miasta po 1945 roku. Tej rocznicy poświęcone było także 20 tekstów z poczytnego cyklu popularno-naukowych artykułów „Wrocławskie Historie”. W obchody wpisywała się także wystawa plenerowa „Powojenne wrocławianki i ich dzieła”. 55. rocznica orędzia biskupów polskich do niemieckich – publikacja książki „Listy milenijne”, której premiera połączona była z debatą online. Nawiązanie współpracy z Muzeum Jana Pawła II i Prymasa Wyszyńskiego: wspólne zorganizowanie wystawy online „Przebaczenie drogą do wolności” oraz panelu dyskusyjnego online. W 2020 r. Ośrodek „Pamięć i Przyszłość” kontynuował dotychczasową ofertę edukacyjną dedykowaną dzieciom i młodzieży szkolnej w różnym wieku; w okresach zamknięcia Centrum Historii Zajezdnia dla zwiedzających wiele przedsięwzięć edukacyjnych zaadaptowanych zostało do odbioru za pośrednictwem Internetu. Na szczególną uwagę zasługują: „Meetings with history” (wybrane zagadnienia z powojennej historii Wrocławia i Polski; spotkania w języku angielskim), cykliczne warsztaty rękodzieła (np. makrama, haft), oferta edukacyjna towarzysząca wystawie „Zajezdnia Strajkuje” (specjalne ścieżki oprowadzania, warsztaty, pokazy filmowe, gry stworzone przy pomocy aplikacji Action Track, konkursy przeznaczone dla różnych grup wiekowych: „Namaluj mi historię” pod hasłem „Moja mała solidarność” oraz „Bibułą walczę”), liczne warsztaty plastyczne dedykowane najmłodszym, lekcje historii online. Podjęte zostały także prace nad nowymi lekcjami muzealnymi i ścieżkami oprowadzania po wystawie głównej „Wrocław 1945-2016” oraz warsztatami. Adaptowanie działalności online (np. wirtualne oprowadzanie na żywo w czasie Nocy Muzeów, transmitowane w sferze Internetu debaty, panele dyskusyjne, spotkania, webinaria, zwiększenie dostępności publikacji Ośrodka, nie tylko przez prowadzenie sklepu internetowego, ale też przez udostępnianie treści niektórych z nich na stronie instytucji, wirtualne zwiedzanie wystaw, opracowywanie warsztatów tak, by odbiorcy mogli samodzielnie wykonać je w domu etc.). Wdrażanie nowego oprogramowania (AtoM) do zarządzania zbiorami, opracowywania merytorycznego oraz ich udostępniania (po przeniesieniu zbiorów z dotychczasowego oprogramowania) ma na celu usprawnienie pracy oraz zwiększenie dostępności zbiorów instytucji. Współpraca z Towarzystwem im. Edyty Stein - działania edukacyjne (spotkania, warsztaty, panele dyskusyjne), organizacja spotkań tematycznych, kształtowanie w świadomości społeczeństwa idei łączących się z </w:t>
      </w:r>
      <w:r w:rsidRPr="00E00B35">
        <w:rPr>
          <w:szCs w:val="20"/>
        </w:rPr>
        <w:lastRenderedPageBreak/>
        <w:t xml:space="preserve">symboliczną postacią Edyty Stein. W aktualnym okresie sprawozdawczym w ramach współpracy odbyły się m. in. promocja książki Alasdaira MacIntyre "Edyta Stein. Prolog filozoficzny 1913-1922", Wieczór kolęd "Nie było miejsca dla Ciebie", konferencja i koncert ks. Zdzisława Madeja –  "Dzień kobiet w Domu Edyty Stein" czy też konferencja "Dialog o człowieku w drodze do prawdy: Jan Paweł II - Edyta Stein - Roman Ingarden". </w:t>
      </w:r>
      <w:r w:rsidRPr="00E00B35">
        <w:rPr>
          <w:szCs w:val="20"/>
        </w:rPr>
        <w:br/>
        <w:t>Badania naukowe w tym okresie dotyczyły obszarów: historii mówionej, powojennej historii Polski, a w szczególności Wrocławia i okolic oraz Ziem Zachodnich i Północnych. Zrealizowano 4 kluczowe projekty badawcze: - Listy Milenijne (przeprowadzenie kwerendy w 61 archiwach zagranicznych i 19 krajowych; jej celem było odnalezienie wszystkich dokumentów wysłanych przez polskich biskupów w 1965 r. do różnych podmiotów na całym świecie; efektem projektu jest książka, w której opracowano krytycznie pozyskany materiał i odnalezione listy wydano w formie edycji źródłowej);</w:t>
      </w:r>
      <w:r w:rsidRPr="00E00B35">
        <w:rPr>
          <w:szCs w:val="20"/>
        </w:rPr>
        <w:br/>
        <w:t>- Zajezdnia Strajkuje (strajk solidarnościowy we wrocławskiej Zajezdni nr VII (sierpień 1980); cel: pogłębienie i uzupełnienie wiedzy o tym wydarzeniu, upamiętnienie osób biorących udział w proteście). - Sieć Ziem Zachodnich i Północnych; - 100 100-latków na 100 lecie. Współpraca z Uniwersytetem Wrocławskim przy prowadzeniu kierunku studiów – Historia w przestrzeni publicznej: pracownicy Ośrodka prowadzą zajęcia ze studentami (z przedmiotów: - Public relations, przedsiębiorczość, organizowanie projektów historycznych;- Oral history; - Filmy historyczne – produkcja, recepcja, ewaluacja; - Projekt specjalizacyjny; - Pozyskiwanie funduszy i funkcjonowanie Instytucji kultury).</w:t>
      </w:r>
      <w:r w:rsidRPr="00E00B35">
        <w:rPr>
          <w:szCs w:val="20"/>
        </w:rPr>
        <w:br/>
        <w:t xml:space="preserve">Organizowane są także dwa projekty w tym jeden wstawienniczy. a. srebrna statuetka nagrody BohaterON im. Powstańców Warszawy w kategorii Instytucja; b. 1 miejsce w plebiscycie Radio Wrocław TOP5 „Najlepsza dolnośląska inicjatywa online”; c. Centrum Historii Zajezdnia znalazło się (obok 4 innych instytucji z Polski) w finale nagrody European Museum of the Year Award; d. Konkurs Historyczny Ministra Spraw Zagranicznych na najlepsze publikacje promujące historię polskiej dyplomacji i historię Polski; kategoria „Najlepsza publikacja w języku polskim z zakresu historii polskiej dyplomacji”: wyróżnienie dla Wojciecha Kucharskiego za pracę „Komuniści i Watykan. Polityka komunistycznej Polski wobec Stolicy Apostolskiej 1945-1974” (IPN, Warszawa 2019). Epidemia COVID-19 znacząco wpłynęła na działalność instytucji w 2020 roku – wyraźnie odzwierciedla to niższa niż w poprzednim roku frekwencja, a także liczba wydarzeń zorganizowanych stacjonarnie (zwłaszcza w porównaniu z rokiem minionym). Sytuacja miała też wpływ na codzienną pracę zespołu – zwłaszcza w marcu, w czasie „pierwszej fali”. Początkowe zdezorientowanie szybko ustąpiło i zespół OPiP sprawnie się przeorganizował, wdrażając system pracy zdalnej, co umożliwiło zaadaptowanie większości działań do publikowania w sferze online. Dzięki temu instytucja mogła nie tylko realizować zamierzone cele, ale także dotrzeć do nowych grup odbiorców i otworzyć zespół Ośrodka na lepiej rozplanowaną i szerzej zakrojoną działalność za pośrednictwem Internetu. Zwiększona aktywność w tej sferze była – i będzie – kontynuowana – także w okresach otwarcia Centrum Historii Zajezdnia dla zwiedzających. Przykładowe działania: wystawy online, wirtualne zwiedzanie wystaw stacjonarnych, wykłady historyczne, panele dyskusyjne, webinaria, debaty, warsztaty plastyczne w formie fotorelacji i nagrań, udostępnianie publikacji online. Z epidemią COVID-19 związany jest także znacznie </w:t>
      </w:r>
      <w:r w:rsidRPr="00E00B35">
        <w:rPr>
          <w:szCs w:val="20"/>
        </w:rPr>
        <w:lastRenderedPageBreak/>
        <w:t>wyższy niż zakładany na początku roku stopień digitalizacji obiektów (5700 na koniec roku 2020; dla porównania w 2019 roku w analogicznym okresie było to 1696), co związane jest ze skierowaniem do realizacji tego zadania wszystkich pracowników Centrum Dokumentacyjnego, a także oddelegowaniem pracowników innych działów (np. Działu Obsługi Publiczności) do udzielenia pomocy w tym względzie. Było to możliwe, ponieważ w związku z sytuacją epidemiologiczną ograniczeniu uległa zewnętrzna działalność zarówno Centrum Dokumentacyjnego, jak i całej instytucji.</w:t>
      </w:r>
      <w:r w:rsidRPr="00E00B35">
        <w:rPr>
          <w:szCs w:val="20"/>
        </w:rPr>
        <w:br/>
        <w:t>Poszerzenie i zmodernizowanie bazy sprzętowej Ośrodka. Na początku epidemii Ośrodek „Pamięć i Przyszłość” skontaktował się ze Świadkami Historii, by – jeśli tego potrzebują – zaoferować im pomoc. Działalność o charakterze ekologicznym:  a. segregacja odpadów; b. segregacja baterii; c. z inicjatywy pracowników – zbiórka plastykowych nakrętek na rzecz dzieci niepełnosprawnych; d. z inicjatywy pracowników – zbiórka makulatury, ulotek, plakatów oraz rolek po papierze toaletowym do przedszkola; e. Dział Edukacji OPiP: proponowanie warsztatów dla dzieci (stacjonarne oraz online), które wykorzystują odpady, skrawki, makulaturę, materiały itp.; f. magazynowanie elementów wystaw czasowych, a następnie tworzenie z nich nowych elementów wystaw; g. włączanie się instytucji w akcje typu "Posadź drzewo": posadzone 2 drzewa; h. wystawianie wody dla zwierząt przed budynkiem wystawienniczym Centrum Historii Zajezdnia; i. zamontowanie w pokoju socjalnym przy zlewie filtra do wody: woda przydatna do picia – ograniczenie plastyku; j. zabranie z gabinetu pracowników koszy na odpady zmieszane – kosze do segregacji na korytarzach; k. zamontowanie czujek ruchu i światła na korytarzach i w toaletach; l. utrzymywanie terenu zielonego i kwietnej łąki przy siedzibie Ośrodka Pamięć i Przyszłość";  m. rozpoczęcie prac koncepcyjnych mających doprowadzić do zagospodarowania terenu zielonego Centrum Historii Zajezdnia pod kątem parku; n. edukowanie zespołu (np. udział oddelegowanych pracowników w spotkaniu URBACT LOCAL GROUP Wrocław w ramach Projektu "C - Change - Kultura i sztuka w walce ze zmianami klimatu”); o. wykonanie wstępnych prac projektowych, mających na celu wyposażenie instytucji w instalację fotowoltaiczną na dachu Centrum Historii Zajezdnia i budynku administracyjnego.</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WROCŁAWSKI DOM LITERATURY</w:t>
      </w:r>
    </w:p>
    <w:p w:rsidR="00CA14AB" w:rsidRPr="00E00B35" w:rsidRDefault="00CA14AB" w:rsidP="00E00B35">
      <w:pPr>
        <w:spacing w:after="0" w:line="312" w:lineRule="auto"/>
        <w:rPr>
          <w:szCs w:val="20"/>
        </w:rPr>
      </w:pPr>
      <w:r w:rsidRPr="00E00B35">
        <w:rPr>
          <w:szCs w:val="20"/>
        </w:rPr>
        <w:t xml:space="preserve">Upowszechnianie czytelnictwa zrealizowane dzięki organizacji studia do działań on-line i zakupowi sprzętu niezbędnego do rejestracji, montażu, emisji i archiwizacji spotkań autorskich, debat, działań artystycznych i innych wydarzeń w Prozie, klubie WDL i w plenerze. Animacja kultury dzięki rozpoczęciu ścisłej współpracy z Fundacją Olgi Tokarczuk. Organizacja i produkcja jedynych w zeszłym roku w Polsce czytań, wywiadów i spotkań autorskich polskiej noblistki. Reprezentacja kultury polskiej w kraju i za granicą, wzmocnienie roli miejskich nagród literackich Angelus i Silesius poprzez zmiany w regulaminach tychże nagród polegające na finansowych wyróżnieniach dla wszystkich nominowanych do nagród, podwojeniu nagrody dla tłumacza w konkursie Angelus, nadanie wymiernego charakteru nagrodzie czytelników w konkursie Angelusa poprzez stworzenie stypendium im. Natalii Gorbaniewskiej. Promocja twórczości i działalność wydawnicza poprzez znaczące zwiększenie obecności wrocławskich pisarzy w ofercie </w:t>
      </w:r>
      <w:r w:rsidRPr="00E00B35">
        <w:rPr>
          <w:szCs w:val="20"/>
        </w:rPr>
        <w:lastRenderedPageBreak/>
        <w:t xml:space="preserve">wydawnictwa Warstwy, nabycie praw do całej twórczości Jerzego Łukosza i podjęcie się reprezentowania pisarza. Dzięki temu WDL będzie mógł wznowić najważniejsze dzieła znakomitego wrocławskiego autora, a on sam zyska – będąc w niełatwej sytuacji osobistej i zdrowotnej – środki do życia. Rozwój współpracy międzynarodowej poprzez pierwsze projekty w ramach działań Wrocławia jako Miasta Literatury w Sieci Miast Kreatywnych UNESCO – program edukacyjny dla obcokrajowców mieszkających we Wrocławiu, program edukacyjny dla seniorów, program wsparcia wrocławskich księgarni. Pierwsze granty zagraniczne (Czechy, Ukraina, Niemcy) pozyskane na działalność wydawniczą. Upowszechnianie i promocja czytelnictwa ze szczególnym uwzględnieniem twórców wrocławskich i dolnośląskich dzięki wdrożeniu programów wsparcia dla autorów wrocławskich i dolnośląskich w ramach Wrocławskiego Programu Wydawniczego – Ścieżka dla autorów, projektu Strefy Kultury Wrocław. 1. Jesień we Wrocławiu Mieście Literatury. W ciągu półtora miesiąca zorganizowaliśmy lub współorganizowaliśmy i wyprodukowaliśmy ponad 100 wydarzeń, łącząc z powodów pandemicznych w jednym czasie kilka stałych wydarzeń literackich we Wrocławiu (Międzynarodowy Festiwal Poezji Silesius, Wrocławską Nagrodę Poetycką Silesius, Literacką Nagrodę Europy Środkowej Angelus, Bruno Schulz. Festiwal, Międzynarodowy Festiwal Opowiadania) i dodając nowe, bardzo istotne przedsięwzięcia (część z nich na stałe wejdzie do kalendarza miejskich wydarzeń kulturalnych) m.in.: Inaugurację działalności Fundacji Olgi Tokarczuk, rocznicę przyznania Nagrody Nobla Oldze Tokarczuk, rocznicę przyjęcia Wrocławia do Sieci Miast Kreatywnych UNESCO jako Miasta Literatury. Projekt ten, realizowany we współpracy z kilkunastoma partnerami (od jednostek budżetowych miasta, przez spółki miejskie, instytucje kultury i organizacje pozarządowe, po wydawców i firmy prywatne) pokazał wolę i skuteczność współpracy niemal wszystkich najważniejszych uczestników życia literackiego we Wrocławiu i pozwolił na prezentacje mocnych i rozpoznawalnych już na tej scenie marek kulturalnych wespół z mniej znanymi lub zaczynającymi działalność w czasie jednego – ogromnego, a przecież obciążonego niepewnością epidemiczną – bezprecedensowego projektu kulturalnego. Stworzył przestrzeń do współpracy dla animatorów, menedżerów i twórców, pokazał siłę wrocławskiego pola kultury w sytuacji ekstremalnej, pozwolił na współtworzenie opowieści o literaturze przez przedstawicieli właściwie wszystkich gatunków literackich do tej pory zwyczajowo od siebie oddzielanych. Wzmocnił i zdynamizował ofertę edukacyjną, pozwolił bliżej poznać metody pracy różnych podmiotów świata kultury, usieciowił instytucje i organizacje, i wreszcie: odbił się bardzo dużym echem we Wrocławiu i w Polsce, na dwa miesiące niemal przykuwając uwagę czytelników, praktyków kultury, twórców i aktywistów książki do kulturalnej oferty Wrocławia. 2. Upowszechnianie twórczości i dziedzictwa artystów związanych z Wrocławiem. Oprócz wydania II tomu esejów Tymoteusza Karpowicza – przedostatniego tomu z cyklu, który prezentuje cały dorobek artysty – WDL nabył prawa do twórczości Jerzego Łukosza. Zwiększyliśmy również udział wrocławskich autorów w ofercie wydawniczej Warstw. 3. Jako pierwsze w Polsce miasto Wrocław zaproponował rewolucyjne zmiany formalno-merytoryczne w miejskich nagrodach literackich. Od 2020 roku wszyscy finaliści miejskich nagród Angelus i Silesius otrzymują wyróżnienia pieniężne (5000 zł). Tłumacz nagrodzonej Angelusem książki otrzymuje nagrodę 40 000 </w:t>
      </w:r>
      <w:r w:rsidRPr="00E00B35">
        <w:rPr>
          <w:szCs w:val="20"/>
        </w:rPr>
        <w:lastRenderedPageBreak/>
        <w:t xml:space="preserve">zł w miejsce dotychczasowych 20 000 zł. Także nagroda czytelników w konkursie Angelusa zyskała wymierną wartość, stając się zaproszeniem dla zwycięzcy do Wrocławia na trzymiesięczne stypendium im. Natalii Gorbaniewskiej. 4. Opracowaliśmy wraz ze Strefą Kultury Wrocław model wsparcia zarówno doraźnego, jak i długofalowego dla twórców literatury, którzy w wyniku odwołania spotkań autorskich i festiwali stracili dużą część dochodów. Polega on na systemowym nabywaniu praw autorskich do dzieł, nad którymi pracują. W rezultacie stworzona zostanie baza tekstów wrocławskich twórców, udostępniana komercyjnym wydawcom. 5. Ścisła współpraca z powstałą w 2020 roku Fundacją Olgi Tokarczuk owocowała nie tylko wspólnymi projektami (na czele ze strategicznym projektem FOT: Ex-centrum) i produkcją przez WDL oficjalnej inauguracji działalności FOT oraz rocznicy przyznania Nagrody Nobla, ale także znaczącym zwiększeniem oferty edukacyjnej dla dzieci i młodzieży w WDL oraz wspólną pracą nad koncepcją siedziby FOT w willi Marii i Tymoteusza Karpowiczów, znajdującej się w posiadaniu WDL, zmierzającą ku temu, by nowe i istotne miejsce na literackiej mapie Wrocławia mogło być w swojej aktywności komplementarne dla istniejących już w mieście programów i projektów. Nie bez znaczenia dla prestiżu i budowania marki WDL jest fakt, że to WDL był sceną dla noblistki podczas jej jedynych tegorocznych spotkaniach z publicznością (m.in.  premiery pierwszej książki po Noblu) oraz że dyrektor WDL stanął na czele Rady Fundacji (w której zasiadają oprócz niego Olga Tokarczuk i Agnieszka Holland). 6. Z powodu pandemii WDL znacząco rozbudował kanały informacyjne, tworząc własne media. Nabycie niezbędnego sprzętu pozwoliło na rozbudowanie istniejących i stworzenie nowych kanałów, i emisję nadawanych lub rejestrowanych materiałów z wydarzeń WDL w wielu formach. Uruchomiliśmy kanały do prezentacji podcastów (cykl Radio Proza) i wzmocniliśmy kanał na YouTube. Powstały też nowe cykle spotkań, których formę sprowokowała pandemia: „Kontrwywiad literacki” czy „Oblicza katastrofy”. 7. Rok 2020 był pierwszym rokiem uczestnictwa Wrocławia w Sieci Miast Kreatywnych UNESCO. Epidemia pokrzyżowała plany realizacji wszystkich założeń programów opisanych w aplikacji do sieci i zmusiła nas do płynnej zmiany ich formatów. Całość działań zrealizowana została w sieci, a objęły one wsparcie dla wrocławskich księgarni kameralnych poprzez działania informacyjno-promocyjne (m.in. stworzenie interaktywnej mapy księgarni, filmy prezentujące poszczególne placówki i promujące ideę księgarni kameralnych), program dla seniorów przygotowujący do uczestnictwa w festiwalach literackich poprzez cykl wykładów z zakresu historii literatury oraz informator o wydarzeniach odbywających się w sieci, a także cykl wykładów dla obcokrajowców przybliżających ikony polskiej literatury i wspierający integrację poprzez kulturę. WDL wraz z Krakowem Miastem Literatury UNESCO został również partnerem Paszportów „Polityki” w dziedzinie literatury. 8. Uruchomiony został  serwis www  Wrocławia Miasta Literatury UNESCO), będący w założeniu nie tylko źródłem informacji na temat wydarzeń i projektów WDL i WMLU, ale także udostępniający materiały multimedialne i prezentująca życie literackie we Wrocławiu (w 2020 roku – księgarnie). Wyróżnienie w 60. Konkursie Polskiego Towarzystwa Wydawców Książek „Najpiękniejsze Książki Roku 2019” dla książki Rafał Wojaczek, „Listy miłosne i nie” Członkini Rady Programowej WDL Olga Tokarczuk została wyróżniona dziesiątkami polskich i zagranicznych nagród, pośród </w:t>
      </w:r>
      <w:r w:rsidRPr="00E00B35">
        <w:rPr>
          <w:szCs w:val="20"/>
        </w:rPr>
        <w:lastRenderedPageBreak/>
        <w:t>nich m.in. honorowymi obywatelstwami Krakowa i Warszawy, doktoratem honoris causa Uniwersytetu Warszawskiego. Działalność o charakterze ekologicznym 1) Instalacja dystrybutorów wody nie tylko w biurze WDL, ale również w barach klubu Proza. 2) Całkowity zakaz używania naczyń i sztućców plastikowych w biurze i działalności kawiarnianej. 3) Wprowadzenie papieru z recyclingu do użytku w biurze. 4) Przeniesienie głównego ciężaru działań promocyjnych do internetu i ograniczenie liczby druków. 4) We wrześniu 2020 zainicjowano cykl dyskusji pt. „Oblicza katastrofy”. W tym roku odbyły się trzy debaty z przedstawicielami świata literatury i nauki, które poświęcone były takim tematom jak: sposób mówienia o katastrofie klimatycznej, kryzys związany z wodą oraz kryzys żywnościowy. Pretekstem do każdej z dyskusji były publikacje książkowe Na rok 2021 przewidziane jest co najmniej 6 kolejnych debat.</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CENTRUM KULTURY AGORA</w:t>
      </w:r>
    </w:p>
    <w:p w:rsidR="00CA14AB" w:rsidRPr="00E00B35" w:rsidRDefault="00CA14AB" w:rsidP="00E00B35">
      <w:pPr>
        <w:spacing w:after="0" w:line="312" w:lineRule="auto"/>
        <w:rPr>
          <w:szCs w:val="20"/>
        </w:rPr>
      </w:pPr>
      <w:r w:rsidRPr="00E00B35">
        <w:rPr>
          <w:szCs w:val="20"/>
        </w:rPr>
        <w:t xml:space="preserve">Zrealizowane cele strategiczne Centrum Kultury AGORA to przede wszystkim:  Zwiększenie ilości pozyskanych dotacji zewnętrznych z różnych programów grantowych, w tym z programów prywatnych np. z funduszu Banku Gospodarki Krajowej. Zwiększenie zasięgów w zakresie współpracy międzysektorowej m.in. z fundacjami, stowarzyszeniami, jednostkami oświaty, osobami indywidualnymi np. z Szkołą Podstawową im. Jana Pawła II w Psarach. Podniesienie kompetencji cyfrowych wśród pracowników i współpracujących z instytucją poprzez udział w szkoleniach realizowanych online. Zwiększenie liczby nowych form działalności, nierealizowanych dotąd w instytucji np. poprzez produkcję wielkoformatowej mozaiki artystycznej. Zwiększenie liczby nowych projektów realizowanych w instytucji np. poprzez realizację projektu Wakacje z duchami – wokół twórczości Adama Bahdaja. Poszerzenie grupy odbiorców instytucji o studentów szkół artystycznych wizualnych np. poprzez realizacje projektu Ale Sztuka! Poszerzenie grupy odbiorców działań instytucji realizowanych w sieci poprzez wykorzystanie takich narzędzi jak Facebook, You Tube i Instagram. Zwiększenie zasięgów lokalnych i regionalnych działalności instytucji np. poprzez realizację projektu Artysta Betonu i Stali – niezwykła historia Rudolfa Modrzejewskiego. Zakup sprzętu umożliwiającego wykonywanie streamingu, a także umożliwiającego działalność w sieci w postaci kamer, zestawów do komunikacji online,  aparatu fotograficznego,   laptopa z oprogramowaniem. Nieustannie misją Centrum Kultury Agora jest angażowanie wszystkich grup społecznych do czynnego uczestnictwa w kulturze oraz jej współtworzenia  Naszą główną działalnością jest prowadzenie zajęć stałych  - w 2020 roku kontynuowaliśmy naukę w pracowniach zainicjowanych we wrześniu 2019 roku. W okresie poza lockdownem prowadziliśmy 27 rodzajów zajęć stałych: choreograficznych, plastycznych, teatralnych, instrumentalnych, wokalnych i z zakresu sztuki użytkowej, dla dzieci od pierwszego roku życia, młodzieży, dorosłych i seniorów, poszerzając ofertę o nowe zajęcia -  Tekturowo (prowadzone przez doświadczoną animatorkę kultury Katarzynę Bury) oraz Salsations i Robotykę. Jednym z ważniejszych, zrealizowanych działań w 2020 roku była organizacja kolejnej już piątej edycji Kuźni Projektów – konkursu dla lokalnych środowisk animatorów, społeczników i twórców kultury, który ma za zadanie zachęć do tworzenia interesujących i innowacyjnych działań społeczno – kulturalnych. Sukcesem w 2020 roku było pozyskanie </w:t>
      </w:r>
      <w:r w:rsidRPr="00E00B35">
        <w:rPr>
          <w:szCs w:val="20"/>
        </w:rPr>
        <w:lastRenderedPageBreak/>
        <w:t xml:space="preserve">dotacji, w ramach których wzbogaciliśmy nasz program o nowe działania, a także nawiązaliśmy wiele owocnych kontaktów i partnerstw, były to: Wakacje z duchami – wokół twórczości Adama Bahdaja, Artysta betonu i stali. Niezwykła Historia Rudolfa Modrzejewskiego, Uprawiamy Kulturę w Sieci oraz Sztuka Przeciw! Mozaika Pamięci. Zrealizowane projekty w szczególny sposób posłużyły budowaniu nowych relacji pomiędzy Centrum, a innymi jednostkami i twórcami – Akademią Sztuk Pięknych, Szkołą Podstawową im. Jana Pawła II w Psarach, Ośrodkiem Szkolno - Wychowawczym nr 2 we Wrocławiu czy Stowarzyszeniem Animacji i Rozwoju Lokalnego. To co, dla CK Agora jest jednym z priorytetów, to z pewnością bezpłatne warsztaty które mają na celu odpowiadać na potrzeby kulturalne seniorów, rodziców i dzieci w różnym wieku. W tym roku zorganizowaliśmy stacjonarnie, bezpłatne zajęcia z ceramiki, sztuki cyrkowej, filmu, projektowania w aplikacji Action Track, komunikacji wizualnej, konstruktorskie czy plastyczne. Przygotowywali i prowadzili je wrocławscy artyści i animatorzy, należeli do nich m.in. Krzysztof  Bryła – malarz i pedagog, Jacek Timingeriu – reżyser, aktor i  muzyk, Sabin Kluszczyński – filmowiec i producent, Weronika Surma - wrocławska ceramiczka związana z Akademią Sztuk Pięknych. Przeprowadzono cztery konkursy promujące umiejętności, twórczość i pomysłowość naszych odbiorców. Wyłoniliśmy kolejnych zwycięzców Kuźnia Projektów V, dzięki czemu zorganizowaliśmy trzy nowe inicjatywy na osiedlu Karłowice-Różanka. Zakończyliśmy konkurs na opowiadanie kryminalne Kapelusz za sto tysięcy oraz graficzny Granice Wolności honorując ich laureatów nagrodami pieniężnymi. Zorganizowaliśmy ogólnopolski konkurs plastyczny Motyla Noga, skierowany do dzieci i młodzieży, także tych z niepełnosprawnościami. W roku 2020 zrealizowaliśmy dużo wydarzeń dedykowanych dzieciom i ich rodzinom, ze szczególnym uwzględnieniem sytuacji pandemicznej. Tradycyjnie w programie znalazły się zajęcia feryjne dla dzieci – podjęto temat Grenlandii opierając się na książce Anaruk - Chłopiec z Grenlandii. Kolejna cykliczna pozycja w kalendarium to Wielopokoleniowy Bal Przebierańców, tym razem pod nazwą Piraci i Morskie opowieści. W lipcu i sierpniu zaproponowaliśmy ciekawą formę spędzenia czasu wolnego w okresie wakacyjnym – młodzi podróżnicy spędzili lato Pod palmami, bawiąc się w rytm hawajskiej muzyki. Niesamowitym powodzeniem cieszył się piknik rodzinny Uwaga! Czarny parasol, który udało się zrealizować stacjonarnie. W 2020 roku  nasz repertuar koncertowy przede wszystkim promował młodych artystów, skupionych wokół wrocławskiej sceny muzycznej. Duża liczba osób uczestniczących w organizowanych przez nas wydarzeniach, pokazywała jak wielkim  zainteresowaniem cieszy się nasz program. Zrealizowaliśmy koncerty zespołów i artystów takich jak: Kosy, Projekt Volodia, Adaś i Nina, Aleksandra Gronowska, Joanna Filas, Lena Piękniewska, Marcin Jacak, Taras Bakovskyi, Bartłomiej Chojnacki, Dawid Opaliński.  Ważnym miejscem dla Centrum Kultury Agora w 2020 roku zdecydowanie stała się jego galeria  - nowoczesna, otwarta przestrzeń, zarówno w sensie dosłownym jak i metaforycznym. Jej profil skierowany jest w stronę twórców wrocławskich, zarówno tych znanych jak rozpoczynających swoją karierę na rynku artystycznym. W 2020 roku swoje prace zaprezentowali u nas: Agata Kosmala, Anna Zawadzka, Tomasz Pech, Paweł Abramowicz, Marek Światek, Magdalena Weber. Galeria nie stanowi jedynego miejsca ekspozycyjnego w naszym budynku, dlatego stworzyliśmy </w:t>
      </w:r>
      <w:r w:rsidRPr="00E00B35">
        <w:rPr>
          <w:szCs w:val="20"/>
        </w:rPr>
        <w:lastRenderedPageBreak/>
        <w:t xml:space="preserve">projekt Ale Sztuka! dedykowany artystom młodego pokolenia. Udostępniamy przestrzeń, poza galerią, studentom rozpoczynającym swoją karierę artystyczną. W 2020 roku z powodu pandemii dostosowanie się do nowych warunków nie było łatwe, a także wymagało od nas nakładów finansowych związanych z zakupem odpowiedniego sprzętu technicznego umożliwiającego streming. Dzięki pozyskanej dotacji z programu Kultura w Sieci udało nam się kontynuować zajęcia stałe online, tym samym zapewnić płynność finansową naszym instruktorom. Uprawiamy Kulturę w Sieci to projekt, podczas którego wyprodukowaliśmy 26 filmów przygotowanych przez 12 instruktorów. Program został przygotowany tak by zapewnić dostępność osobom z niepełnosprawnościami poprzez wykonanie tłumaczeń wszystkich materiałów na polski język migowy. Bardzo ważne dla Centrum Kultury Agora jest ciągłe i konsekwentne rozwijanie i budowanie współpracy międzysektorowej m. in. z fundacjami, stowarzyszeniami, jednostkami oświaty, osobami indywidualnymi. Dzięki temu mogliśmy partycypować w budowaniu i tworzeniu wielu ciekawych, wrocławskich imprez kulturalnych i działań społecznych z partnerami, m.in. takimi jak: Teatr Ej. Aj, Stowarzyszenie Kultura Oświata Teatr K. O. T., Fundacja na Rzecz Studiów Europejskich i partnerów lokalnych, Ekolandia, PANATO / Wielobranżowa Spółdzielnia Socjalna, Transformers Crew, Kabaret Chyba, Rada Osiedla Karłowice – Różanka. Pomimo trudności związanych pandemią COVID – 19 miniony rok należał do udanych, zarówno pod względem ilości i jakości realizowanych projektów,  jak i pod względem zainteresowania odbiorców. Podjęte działania: Organizacja nowych form działalności online - W roku 2020 z powodu pandemii bardzo duża ilość naszych zaplonowanych działań została przeniesiona do sieci. W okresie całkowitego zamknięcia staraliśmy się stale podtrzymywać relacje z naszymi odbiorcami. Warsztaty - Własnymi siłami produkowaliśmy krótkie filmy instruktażowe z wielu dziedzin kultury, zamieszczaliśmy je na naszej stronie www, Facebooku, Instagramie i kanale You Tube. Funkcjonowaliśmy w strefie wirtualnej, oferując dostęp online do działań edukacyjnych pod nazwą CK Agora w Twoim domu. Nasi pracownicy etatowi przez kilka miesięcy przygotowywali ciekawą ofertę warsztatową wielu dziedzin sztuki i kultury, tak by zainteresować naszych stałych odbiorców i pozyskać nowych. Wystawy - Organizowane przez nas wernisaże były otwierane bez udziału publiczności, a wystawy takie jak Granice Wolności było można zobaczyć na naszej stronie www. Posłużyła do tego pełna fotorelacja, którą było można zobaczyć w module 360%. Naszą stałą działalnością są wydarzenia typu koncerty i warsztaty, towarzyszące wernisażom. W sytuacji podyktowanej pandemią były one streamingowane. Koncerty i spektakle - W czasie pandemii forma i przebieg organizowanych przez nas koncertów i spektakli znacząco się zmieniły. Zakupiliśmy nowe wyposażenie techniczne, aby umożliwić wykonywanie streamingu wydarzeń. Do tej pory udało nam się zorganizować już 5 bezpłatnych dla publiczności koncertów (np. Lena Piękniewska, Kosy), których artyści dostali gażę za wykonanie programu artystycznego oraz 6 bezpłatnych spektakli, organizowanych w ramach współpracy barterowej. Animacje - Z powodu pandemii bardzo duża ilość naszych animacji została przeniesiona do sieci pod hasłem Bajki w czasach zarazy. Własnymi siłami produkowaliśmy animacje w postaci czytanek i opowiadań, zamieszczaliśmy je na naszej stronie www, Facebooku, Instagramie i kanale You Tube. Zakup dodatkowego </w:t>
      </w:r>
      <w:r w:rsidRPr="00E00B35">
        <w:rPr>
          <w:szCs w:val="20"/>
        </w:rPr>
        <w:lastRenderedPageBreak/>
        <w:t xml:space="preserve">wyposażenia umożliwiającego działalność w sieci - Rozpoczęliśmy realizację nowych cyklów i formatów internetowych. Zakupiliśmy nowe wyposażenie techniczne, aby umożliwić wykonywanie streamingu wydarzeń, a także umożliwiającego działalność w sieci w postaci kamer, zestawów do komunikacji online,  aparatu fotograficznego,   laptopa z oprogramowaniem. Realizacja projektów partnerskich - W okresie lockdownu wiele stowarzyszeń i fundacji zostało bez możliwości realizacji projektów ze środków grantowych, gdyż większość zaplanowanych terminów uległa zmianie. Wychodziliśmy naprzeciw takim potrzebom i umożliwialiśmy streaming wielu partnerskich wydarzeń, zapewniając tym samym całą stronę techniczną takiego przedsięwzięcia. Tego typu działania nie kolidują z naszą działalnością więc pozwalamy na korzystanie z naszych zasobów, np. pomieszczeń i sprzętu, pomocy pracowników merytorycznych jak i technicznych tak jak w przypadku współpracy ze Stowarzyszeniem FEPS. Kontynuacja zajęć stałych - Dzięki pozyskanej dotacji z programu Kultura w Sieci udało nam się kontynuować zajęcia stałe online, tym samym zapewnić płynność finansową naszym instruktorom. Uprawiamy Kulturę w Sieci to projekt, podczas którego wyprodukowaliśmy 26 filmów przygotowanych przez 12 instruktorów. To dzięki nim nie wychodząc z domu można było uczestniczyć w swoich ulubionych zajęciach w Centrum Kultury Agora. Program został przygotowany tak by zapewnić dostępność osobom z niepełnosprawnościami poprzez wykonanie tłumaczeń wszystkich materiałów na polski język migowy. Wypracowanie nowych form (Instagram) i narzędzi promocji - Zainteresowanie naszych dotychczasowych i nowych odbiorców publikacjami on-line oraz próba wyróżnienia się w gąszczu informacji, zamieszczanych przez inne podmioty kulturalne, stało się niezwykle trudne. Mimo to, po kilku miesiącach ciężkiej pracy widzimy, że wprowadzanie  nowych, systematycznie przekazywanych informacji przynosi oczekiwany rezultat w postaci większej ilości odsłon czy polubień. Wszystkie treści promocyjne jak i merytoryczne publikujemy na naszym Facebooku, Instagramie, stronie www i kanele YouTube. Wprowadzenie procedur dotyczących działań profilaktycznych minimalizujących ryzyko zakażenia koronawirusem SARS-Cov-2 wywołującym chorobę COVID-19 obowiązujące w Centrum Kultury AGORA we Wrocławiu mających na celu minimalizowanie ryzyka rozpowszechniania się koronawirusa w związku z działalnością CK AGORA. Działalność o charakterze ekologicznym: W ramach przeciwdziałania skutkom katastrofy klimatycznej w 2020 roku podjęliśmy następujące działania: Udział pracowników instytucji w szkoleniach w ramach projektu C - Change - Kultura i Sztuka w walce ze zmianami klimatu. Szkolenie miało na celu podniesienie kompetencji z zakresu świadomości kosztów ponoszonych przez środowisko w związku ze zwiększającą się emisją dwutlenku węgla powodowaną działalnością człowieka. Zwrócono uwagę na szczególną rolę instytucji kultury, które powinny być przykładem, w jaki sposób należy redukować emisję CO2 (rezygnacja z plastiku, ograniczenie drukowania – także ulotek, zmiana oświetlenia na energooszczędne lub np. na fotokomórkę, nasadzenia – np. duże donice z roślinami, zbiorniki na deszczówkę, zmywarka etc., zbadanie wody z kranu – być może nadaje się do picia / zamontowanie filtra). Instytucje powinny krzewić ideę ZERO WASTE – kompostowanie, segregowanie, ponowne wykorzystywanie.  Wdrożenie zaleceń proponowanych w ramach szkoleń C - Change - Kultura i Sztuka w walce ze zmianami </w:t>
      </w:r>
      <w:r w:rsidRPr="00E00B35">
        <w:rPr>
          <w:szCs w:val="20"/>
        </w:rPr>
        <w:lastRenderedPageBreak/>
        <w:t>klimatu poprzez: 1. Pozyskanie i zamontowanie kompostownika na ternie CK Agora służącego biodegradacji odpadów zielonych. Dzięki kompostownikom odpady organiczne takie jak liście opadłe z drzew, skoszona trawa, odpadki z kuchni, zamiast zajmować miejsce w kontenerze, ulegają naturalnym procesom rozkładu. 2. Wymiana tradycyjnych dystrybutorów wody na System Water Point, który dzięki dużej wydajności i podpięciu do sieci wodociągowej zapewnia stały dostęp do wody pitnej dla wszystkich pracowników. Jest to rozwiązanie ekonomiczne, ponieważ oszczędzamy pieniądze, zmniejszając potrzebę zakupu wody do biura, a także ekologiczne, ponieważ ograniczamy korzystanie z wody butelkowej. 3. Ograniczenie drukowania plakatów i ulotek. Zgodnie z obecnymi trendami, w niedalekiej przyszłości planujemy prawie całkowitą rezygnację z drukowania ulotek i plakatów lub korzystanie z drukarni ekologicznych i wydawanie materiałów promocyjnych na papierze recyklingowym. W okresie całkowitego zamknięcia budżet przeznaczony na outdoor był przenoszony na działania promocyjne w Internecie. 4. Używanie materiałów recyklingowych i krzewienie idei ekologicznych podczas wszystkich zajęć plastycznych w ramach zajęć stałych CK Agora. Szczególnie dotyczy to papieru, którego przeciętny mieszkaniec Ziemi zużywa rocznie około pięćdziesięciu kilogramów. Recykling papieru pozwala chronić zasoby naturalne; oszczędzać energię, zredukować zanieczyszczenie wody i powietrza oraz ocalić miliardy drzew przed wycinką. 5. Ograniczenie zużycia papieru i plastiku poprzez: a) elektroniczny obieg dokumentów. b) dwustronne drukowanie  c) brak konieczności wydrukowania w celu zapoznania się z dokumentem. d) ponowne wykorzystanie zadrukowanego papieru jako brudnopisu.  e) nieużywanie kubków i naczyń plastikowych. Realizacja cyklu 4 warsztatów Slow fashion pn. Co to sito? To warsztaty promujące ważną idee Slow fashion, czyli minimalistyczne i rozsądne podejście do kupowania i posiadania ubrań i tekstyliów. Zgodnie z jego główną zasadą, ważne jest zadbanie o dobrze zorganizowaną szafę, pełną rzeczy, które naprawdę potrzebujemy. Podczas całego cyklu zajęć zachęcaliśmy do nadania tekstyliom drugiego życia, które zyskały właśnie podczas warsztatów Co to sito? Współpraca z inicjatywą Ekolandia podczas zajęć feryjnych i wakacyjnych organizowanych w CK Agora.  W ramach współpracy pracownicy Centrum Edukacyjnego Ekolandia poprowadzili podczas naszych zajęć feryjnych i wakacyjnych warsztaty na temat ekologii, sortowania śmieci i dbania o planetę. Centrum Edukacyjne Ekolandia.edu znane jest ze współpracy z jednostkami kultury oraz tymi zajmującymi się ochroną środowiska. Przeprowadzają warsztaty ekologiczne, tworzą scenariusze zajęć i autorskie pomoce dydaktyczne - przez co wyróżniają się oryginalnością. Złożenie aplikacji ministerialnej w 2020 roku na projekt pt. Dzikie Miasto. Dzikie Miasto to projekt łączący sferę edukacji kulturalnej z elementami ekologii, którego celem jest zwrócenie uwagi na minimalizowaną kwestię dzikich zwierząt funkcjonujących w przestrzeni miejskiej, w sąsiedztwie człowieka. Używając atrakcyjnych i nowatorskich środków wyrazu, takich jak warsztaty konstruktorskie, spacery oraz wystawę będąca efektem działań twórczych, przyjrzymy się estetyce oraz poznamy funkcjonalność takich konstrukcji jak budki lęgowe, ule czy mała retencja. Celem projektu jest zwrócenie uwagi na żyjące w miastach ptaki, owady i ssaki, ich zwyczaje, niebezpieczeństwa na które są narażone, ale także korzyści dla człowieka, płynące z ich obecności.</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CENTRUM KULTURY ZAMEK</w:t>
      </w:r>
    </w:p>
    <w:p w:rsidR="00CA14AB" w:rsidRPr="00E00B35" w:rsidRDefault="00CA14AB" w:rsidP="00E00B35">
      <w:pPr>
        <w:spacing w:after="0" w:line="312" w:lineRule="auto"/>
        <w:rPr>
          <w:szCs w:val="20"/>
        </w:rPr>
      </w:pPr>
      <w:r w:rsidRPr="00E00B35">
        <w:rPr>
          <w:szCs w:val="20"/>
        </w:rPr>
        <w:t xml:space="preserve">W 2020 roku zakładaliśmy kontynuowanie dotychczasowej działalności związanej z edukacją kulturalną, realizację festiwali (Wrocławskiego Festiwalu Dobrego Piwa oraz Dni Fantastyki) imprez plenerowych a także realizację projektu w ramach Dom Kultury+. Wyznaczonymi na ten rok celami było min dążenie do zacieśnienia relacji lokalnych szczególnie z mieszkańcami naszego osiedla oraz poszukiwanie nowych formuł do działań stałych (festiwale, imprezy plenerowe) z akcentem na lesswaste. Pracowaliśmy min nad ograniczeniem śmieci generowanych podczas imprez, nawiązaliśmy współpracę z Ekorozwoju, rozmawialiśmy z przedstawicielami firm zajmujących się o kaucjowaniem naczyń itp. Z powodu ogłoszonego w całym kraju stanu epidemii, nasz program roczny został przeredagowany, na kilka miesięcy zostaliśmy całkowicie zamknięcie, instytucja mogła prowadzić jedynie działania w sieci lub realizować próby do spektakli i pokazów.  </w:t>
      </w:r>
      <w:r w:rsidRPr="00E00B35">
        <w:rPr>
          <w:szCs w:val="20"/>
        </w:rPr>
        <w:br/>
        <w:t xml:space="preserve">Najważniejszym celem stało się nawiązanie relacji z odbiorcami za pośrednictwem nowych mediów, a także zbudowanie programu możliwego do zrealizowania w dystansie społecznym oraz on-line. Zależało nam na zatrzymaniu dotychczasowych odbiorców jak i dotarciu do nowych grup. Stanęliśmy przed wyzwanie przeniesienia dotychczasowych projektów do sieci. Ważnym krokiem milowym dla instytucji było zbudowanie studia i przeszkolenie zespołu pracowników, którzy podjęli się realizacji nowych, cyklicznych działań, są to min podcasty HalloLeśnica, CyberDF czy Artysta na kwadracie – autorski projekt nawiązujący do Galerii Tymczasem. W okresach kiedy działalność instytucji została odmrożona, działając w rygorze sanitarnym zrealizowaliśmy kilka wydarzeń hybrydowo. Była to np. Noc Świętojańska, Festiwal herbaty Czaisz, Jarmark Jadźwiński, cykl „Powolne soboty”. W trakcie wiosennego zamknięcia, zapoczątkowaliśmy akcję „Zazieleniamy Zamek”.  Ogłosiliśmy ten pomysł na profilu FB, zachęcając naszych fanów do oddawania nam roślin, tych niepotrzebnych, szczególnie takich, które „przerosły” kubaturę standardowego mieszkania, a w przestrzeniach zamku znajdują swoje miejsce i więcej swobody. Zaaranżowaliśmy również  zieloną przestrzeń na zewnątrz, bazując na elementach scenografii min z WFDP, przygotowaliśmy ogólnodostępną strefę relaksu z leżakami i skrzynkami do siedzenia, całość obsadziliśmy roślinami, które udało się zakupić z projektu DK+. To właśnie miejsce stało się głównym punktem do realizacji imprez hybrydowych organizowanych w sezonie letnim. W 2020 r z powodów finansowych musieliśmy nieco zredukować zaplanowane szkolenia, dlatego też skorzystaliśmy w większości z webinarów i kursów on-line dostępnych głównie bezpłatnie. Na początku roku 2020 zakończył się remont przystosowujący budynek do przepisów p.poż, jednocześnie rozpoczęliśmy pracę nad remontem odwodnienia tarasów. W sytuacji pierwszego zamknięcia, zareagowaliśmy dość szybko uruchamiając na różnych kanałach, cykl działań pod hasłem #zamekwdomu. Na ten projekt składały się min lekcje otwarte z plastyki, śpiewanki dla najmłodszych itp. Kolejnym krokiem było uruchomienie stałych zajęć on-line, nie wszyscy uczestnicy skorzystali z takiej formy uczestnictwa, jednak około 60 % udało się zatrzymać. Po odmrożeniu wróciliśmy do działań stacjonarnych, zachowując w dalszym ciągu niektóre zajęcia w formie on-line. </w:t>
      </w:r>
      <w:r w:rsidRPr="00E00B35">
        <w:rPr>
          <w:szCs w:val="20"/>
        </w:rPr>
        <w:br/>
        <w:t xml:space="preserve">Jednym z pierwszych hybrydowych działań była „Manufaktura Świąteczna” zrealizowana </w:t>
      </w:r>
      <w:r w:rsidRPr="00E00B35">
        <w:rPr>
          <w:szCs w:val="20"/>
        </w:rPr>
        <w:lastRenderedPageBreak/>
        <w:t xml:space="preserve">przed Świętami Wielkanocnymi. To coroczne warsztaty rodzinne, podczas których powstawały dekoracji świąteczne. W tym roku przygotowaliśmy dla uczestników paczki z materiałami potrzebnymi do wykonania dekoracji i dostarczyliśmy je pod drzwi wskazanych domów.  Mailem wysłaliśmy instrukcję wykonania ozdób. Po skończonej pracy uczestnicy dzielili się efektami warsztatów na FB.  Czas pomiędzy zamknięciem instytucji a jej odmrażaniem, możemy zaliczyć do najtrudniejszego pod względem planowania. Dlatego też na początku czerwca dołączyliśmy do ogólnomiejskiej akcji „Dzieci na balkony”, podczas której zrealizowaliśmy trzy spektakle z udziałem Aktorów Teatru Na Walizkach, którzy zaprezentowali program łączący formy teatralne z estradowymi i cyrkowymi.  Prezentacje odbyły się na trzech leśnickich podwórkach, publiczność pozostawała w dystansie w większości obserwując spektakl z balkonów. Rok 2020 zapowiadał się dla nas interesująco również pod względem działań lokalnych. Otrzymaliśmy grant z Narodowego Centrum Kultury, w ramach programu Dom Kultury +. Głównym celem projektu było zwiększenie zaangażowania Centrum Kultury Zamek w życie mieszkańców osiedla Leśnica poprzez wspieranie ich oddolnych inicjatyw kulturotwórczych. W ramach projektu zrealizowaliśmy wspólnie z mieszkańcami osiedla 5 inicjatyw kulturalnych – Hurra Leśnica, Z szarości w kolor, Re-twórstwo. Tu żyje kino, Upcycling Lissy, Leśnica w terenie. Naszym celem było nawiązanie relacji z osobami, grupami, z którymi do tej pory nie mieliśmy okazji współpracować, chcieliśmy dotrzeć do osób nieobecnych w naszym Centrum. Realizacja projektu pozwoliła nam na otwarcie się instytucji na nowe formy współpracy z mieszkańcami. Inicjatywy, które zostały zrealizowane były oddolnymi, nowatorskimi pomysłami. Realizacja projektu pozwoliła nam na dotarcie do osób i grup do tej pory nieobecnych w życiu instytucji, np. młodzieży w wieku studenckim, środowiska leśnickich rodziców dzieci w wieku przedszkolnym, artystek młodego wrocławskiego pokolenia, artystów street-artu, mieszkańców podwórka przy ul. Średzkiej. Co ciekawe, wiele osób, z którymi nawiązaliśmy kontakt to „młodzi mieszkańcy osiedla”, osoby, które przeprowadziły się tutaj niedawno lub są związane z Leśnica od krótkiego czasu. Dla wielu z osób realizujących inicjatywy w ramach „Leśnickiego mikrokosmosu” był to pierwszy samodzielnie zrealizowany projekt kulturalny. W efekcie działań związanych z realizacją projektu powstała grupa osób, z którymi do tej pory współpracujemy. Co ważne, nadal współpracujemy z osobami, których inicjatywy nie zostały wybrane do realizacji. Dzięki udziałowi w projekcie Dom Kultury + zmieniliśmy wizerunek naszej instytucji, osobiste zaangażowanie pracowników Zamku w pomoc autorom inicjatyw pozwoliło nam na otwarcie się na sprawy osiedla, umożliwiło pokazanie instytucji jako miejsca przyjaznego, otwartego, zaangażowanego w sprawy Leśnicy.  Realizacja projektu pozwoliła nam na umocnienie lokalnej społeczności i tworzonej przez nią przestrzeni publicznej. Do efektów realizacji projektu zaliczyć można: pobudzenie aktywności, wzmocnienie rozwoju kapitału społecznego i kulturowego, wypracowanie nowych form współpracy z mieszkańcami. Ważnym elementem projektu była diagnoza społeczna przeprowadzona wśród mieszkańców Leśnicy i pracowników Zamku. W ramach badania, które realizowaliśmy w trakcie pierwszego lockdownu przeprowadziliśmy wywiady na platformie zoom, telefonicznie oraz przez profil fb pod hasłem – Badawcze czwartki. Istotnym momentem było przeniesienie dwóch </w:t>
      </w:r>
      <w:r w:rsidRPr="00E00B35">
        <w:rPr>
          <w:szCs w:val="20"/>
        </w:rPr>
        <w:lastRenderedPageBreak/>
        <w:t xml:space="preserve">najważniejszych zamkowych festiwali do sieci. W formie spotkania on-line, rozmowy pomiędzy organizatorami i współpracującymi z nami blogerami odbył się symboliczny finał Festiwalu Dobrego Piwa. Poprzedziła go akcja #wspieramyPolskiKraft, którą prowadziliśmy z naszym partnerem, firmą Rastal, producentem szkła. </w:t>
      </w:r>
      <w:r w:rsidRPr="00E00B35">
        <w:rPr>
          <w:szCs w:val="20"/>
        </w:rPr>
        <w:br/>
        <w:t>Dni Fantastyki z tematem CyberDF, znakomicie wpisały się w wirtualną formułę. Podczas trzech dni festiwalowych przeprowadziliśmy ponad 40 godzin programu, streamując go do sieci. Zaprosiliśmy do udziału w rozmowach twórców, pisarzy, rysowników związanych z szeroko rozumianą fantastyką i kulturą popularną. W okresie pomiędzy całkowitymi zamknięciami instytucji zrealizowaliśmy działania w plenerze z zachowaniem pełnego reżimu sanitarnego. Rozpoczęliśmy od Powolnych Sobót, od zbudowania strefy relaksu w najbliższym otoczeniu zamku. Skorzystaliśmy ze scenografii z WFDP, rozstawiliśmy leżaki, skrzynki oraz posadziliśmy rośliny. Wokół tego ternu zrealizowaliśmy pozostałe imprezy plenerowe były to min: Festiwal herbaty Czaisz oraz Jarmark Jadwiżański oraz inicjatywy z projektu Leśnicki Mikrokosmos w ramach DK+. W drugiej połowie roku rozpoczęliśmy cykliczne audycje na kanale You Tube, były to min. podcasty CyberDF i HalloLeśnica oraz autorskie filmiki „Artysta na kwadracie” poświęcone ilustratorom i rysownikom komiksowym, filmiki prezentujące artystę w swojej pracowni, jego warsztat, inspiracje itd. 1. Wprowadzanie bieżących zmian w regulaminach funkcjonowania CK Zamek, tak, aby szybko reagować na zmieniające się przepisy i wytyczne,</w:t>
      </w:r>
      <w:r w:rsidRPr="00E00B35">
        <w:rPr>
          <w:szCs w:val="20"/>
        </w:rPr>
        <w:br/>
        <w:t>2. Profesjonalizacja działań w sieci, 3. zmiana organizacji czasu pracy, 4. nowe formy komunikacja z odbiorcą, 5. zakup sprzętów, 6. stworzenie prostego studia nagrań, 7. działania hybrydowe np. warsztaty  z dostawą do domu. Działalność o charakterze ekologicznym: Udział w projekcie C-change, Zapewnienie segregacji bio odpadów, Pozyskanie kompostownika, Użycie ekologicznego papieru do ksero , Planowaliśmy kaucjonowanie naczyń na imprezach plenerowych, Promujemy naczynia wielorazowe, Pijemy wodę z kranu (zrezygnowaliśmy z butelek plastikowych, również podczas wernisaży)</w:t>
      </w:r>
      <w:r w:rsidR="00544448" w:rsidRPr="00E00B35">
        <w:rPr>
          <w:szCs w:val="20"/>
        </w:rPr>
        <w:t>.</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CENTRUM KULTURY WROCŁAW-ZACHÓD</w:t>
      </w:r>
    </w:p>
    <w:p w:rsidR="00CA14AB" w:rsidRPr="00E00B35" w:rsidRDefault="00CA14AB" w:rsidP="00E00B35">
      <w:pPr>
        <w:spacing w:after="0" w:line="312" w:lineRule="auto"/>
        <w:rPr>
          <w:szCs w:val="20"/>
        </w:rPr>
      </w:pPr>
      <w:r w:rsidRPr="00E00B35">
        <w:rPr>
          <w:szCs w:val="20"/>
        </w:rPr>
        <w:t xml:space="preserve">Pozyskiwanie grantów krajowych i międzynarodowych.Poszerzanie oferty programowej dla niepełnosprawnych. Modernizacja obiektu i dostosowanie go do potrzeb osób z niepełno sprawnościami. Centrum Kultury Wrocław- Zachód jest instytucją, która od wielu lat realizuje działania skierowane do osób z niepełnosprawnościami. Naszym hasłem jest „niepełnosprawny- pełnoprawnym odbiorcą kultury”, stąd wynika główny profil naszej działalności. W 2020 roku pozyskaliśmy granty zarówno krajowe jak i unijne na realizację działań z i dla osób z niepełnosprawnościami. Projekt „Drzwi otwarte- integracja”- dofinansowany z MKIDN to cykl warsztatów (muzycznych, filmowych, literackich, komisku, teatralnych i cukierniczy)- r od września do listopada,  w których brały udział osoby z różnymi niepełno sprawnościami. Projekty „Międzynarodowy Przegląd Twórczości Osób z Niepełnosprawnościami-TON”- dofinansowany z MKiDN to prezentacje polskich i zagranicznych twórców z niepełnosprawnościami. W ramach przeglądu prezentujemy koncerty, spektakle teatralne, prace plastyczne. W tym roku część wydarzeń odbyła się online. W ramach TON-u, oprócz polskich artystów, </w:t>
      </w:r>
      <w:r w:rsidRPr="00E00B35">
        <w:rPr>
          <w:szCs w:val="20"/>
        </w:rPr>
        <w:lastRenderedPageBreak/>
        <w:t xml:space="preserve">zaprezentowaliśmy także artystów z Francji, Rumunii, Hiszpanii, Litwy, Islandii. Projekt „Umieć się spotkać” realizowany w ramach programu Erasmus+ wspólnie z partnerami z Rumunii i Hiszpanii, to cykl warsztatów skierowanych do pracowników instytucji kultury w Polsce, Hiszpanii i Rumunii, przygotowujących ich do pracy z osobą niepełnosprawną. Projekt „Festiwal Miłości” realizowany w ramach programu Kreatywna Europa  to cykl warsztatów muzycznych, teatralnych i tanecznych, prowadzący do powstania dużego, międzynarodowego widowiska. Nad widowiskiem pracujemy wspólnie z partnerami z Rumunii i Hiszpanii. W widowisku prezentowanym w Polsce, Rumunii i Hiszpanii biorą udział artyści z niepełnosprawnościami, Projekt „Audiodeskrypcja przeciw wykluczeniu” realizujemy w ramach programu Erasmus+. Wspólnie z partnerami z Litwy, Łotwy, Rumunii i Cypru szkolimy pracowników instytucji kultury z tworzenia audiodeskrypcji do sztuk teatralnych, filmów, wystaw i z napisów dla niesłyszących. W ramach projektu powstaje także rezultat intelektualny w postaci podręcznika, swoistego rodzaju przewodnika po zasadach tworzenia audiodeskrypcji (dla wszystkich chętnych, którzy nie dostali się na warsztaty). Wprowadziliśmy także nowe programy "Ulepianki" i "Poczytanki" prezentowane on-line. Realizację naszych międzynarodowych projektów również rozpoczęliśmy on-line, spotkania studyjne z partnerami, do których jesteśmy zobligowani w projekcie przeprowadziliśmy z wykorzystaniem zooma. Działania, o charakterze ekologicznym, które podjęliśmy to przede wszystkim dostosowanie wydarzeń i warsztatów artystycznych do wymogów sanitarno- epidemiologicznych (mniejsza ilość dzieci na zajęciach, maseczki, rękawiczki). Dodatkowo zamontowaliśmy ekrany z pleksi oddzielające uczestników zajęć twórczych. Organizacja koncertów odbywała się w reżimie czyli z mniejszą ilością publiczności, która również zobowiązana była do noszenia maseczek. Przenieśliśmy części wydarzeń (koncertów, spektakli, wystaw) do sieci (facebook, you toube), do sieci przenieśliśmy także część warsztatów. </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OŚRODEK DZIAŁAŃ TWÓRCZYCH ŚWIATOWID</w:t>
      </w:r>
    </w:p>
    <w:p w:rsidR="00CA14AB" w:rsidRPr="00E00B35" w:rsidRDefault="00CA14AB" w:rsidP="00E00B35">
      <w:pPr>
        <w:spacing w:after="0" w:line="312" w:lineRule="auto"/>
        <w:rPr>
          <w:szCs w:val="20"/>
        </w:rPr>
      </w:pPr>
      <w:r w:rsidRPr="00E00B35">
        <w:rPr>
          <w:szCs w:val="20"/>
        </w:rPr>
        <w:t xml:space="preserve">Do końca stycznia 2020r. ODT Światowid realizował swoje założenia, cele strategiczne i wydarzenia zgodnie z założonym planem. Od momentu pojawienia się zagrożenia związanego z rozprzestrzenianiem się nowego wirusa Covid-19 frekwencja w pracowniach warsztatowych ośrodka oraz podczas wydarzeń zaczęły spadać. Mimo oczywistych trudności Ośrodek zrealizował swoje główne cele strategiczne związane z promocją kultury realizując koncerty (z cyklu Światowid Klasycznie oraz Jazz w Światowidzie), wystawy, oraz możliwe do zrealizowania w warunkach obostrzeń działania artystyczno-edukacyjne. Zrealizowaliśmy je dzięki szybkiemu przeformułowaniu naszej oferty przenosząc ją do Internetu. Jednym z celów strategicznych jest podtrzymanie zaangażowania lokalnego odbiorcy w aktywną działalność kulturalną. W okresie pandemii, która mocno ograniczyła kontakt bezpośredni, pracownicy ośrodka starali się podtrzymać go telefonicznie i mailowo. Okazjonalnie osobiście z zainteresowanymi uczestnikami klubu Seniora. Nowe obszary działalności,  strategicznie istotne dla Ośrodka miały w 2020 roku rozszerzyć formułę Festiwalu – „Piernikowa Chata” o anglojęzyczną wersję. Tym samym, w kolejnym roku planowano wydanie bajek w dwóch językach a także planowaliśmy uatrakcyjnić ofertę wakacyjną o wymianę kulturalną pomiędzy </w:t>
      </w:r>
      <w:r w:rsidRPr="00E00B35">
        <w:rPr>
          <w:szCs w:val="20"/>
        </w:rPr>
        <w:lastRenderedPageBreak/>
        <w:t xml:space="preserve">dziećmi wrocławskimi i tymi mieszkającymi na wyspach. Nie udało się z powodów wiadomych. Dzięki współpracy z Wroxed na rzecz partnerstwa Wrocław-Oxford na początku lutego 2020 Izabela Łaba dyrektorka ODT Światowid gościła w Oxfordzie. Wizytę zorganizował Wroxed, wsparło ją Miasto Wrocław. Izabela Łaba wraz z Jolantą Ziembą spotkały się między innymi z Angelą Charlton, koordynatorką City Council ds. miast partnerskich, z Collinem Cookiem - radnym i byłym burmistrzem Oksfordu, Davidem Morrellim - dyrektorem generalnym oksfordzkich domów kultury (m.in. znanego Rose Hill Community Centre), a także z Edem Turnerem - radnym Oksfordu, miłośnikiem i przyjacielem Wrocławia. Rolą tych spotkań były rozmowy nt. stworzenia ram realnej współpracy pomiędzy partnerskimi miastami w obszarze kultury i edukacji. Obie panie spotkały się także z Marzeną Henry - dyrektorką Polskiej Szkoły w Oksfordzie, w której Izabela Łaba poprowadziła warsztaty dla dzieci oraz zaprosiła dzieci i nauczycieli Szkoły do udziału w dwóch projektach Światowida: „Wakacyjnym safari” oraz XIII festiwalu Bajkopisarzy Piernikowa Chata. Pandemia zweryfikowała tak rozpoczętą współpracę Ośrodka. Szkoła w Oxfordzie wzięła wprawdzie udział w festiwalu, zorganizowała konkurs pisemny na najpiękniejszą baśń zgodnie z regulaminem XIII festiwalu Bajkopisarzy Piernikowa Chata wśród swoich uczniów. Baśnie napisane przez dzieci zostały opublikowane na stronie naszego ośrodka. Nowym – ważnym celem strategicznym było stworzenie kawiarni społecznej ( miejsca dotąd dotkliwie brakującego na Wielkiej Wyspie a zwłaszcza w Światowidzie). Kawiarnia społeczna miała stanowić punkt „zbierania” pomysłów pochodzących od mieszkańców , miała rozbudzić i wesprzeć oddolność inicjatywy i pozwolić mieszkańcom poczuć realny wpływ na kształtowanie oferty kulturalnej a nade wszystko dać im poczucie aktywnej więzi z „własnym centrum życia kulturalnego”. Projekt wystartował – kawiarnia powstała i działała niespełna miesąc. Niestety za krótko na prawdziwe zaimplantowanie jej w tkance społecznej. </w:t>
      </w:r>
      <w:r w:rsidRPr="00E00B35">
        <w:rPr>
          <w:szCs w:val="20"/>
        </w:rPr>
        <w:br/>
        <w:t xml:space="preserve">Zainwestowaliśmy w przebudowę pomieszczeń na rzecz poprawy ich funkcjonalności a nade wszystko na rzecz stworzenia pomieszczenia „składnica akt” – niezbędnego do bezpiecznego gromadzenia i archiwizowania dokumentów. Udało się także stworzyć nowe pomieszczenia magazynowe, których brak stawał się coraz bardziej dotkliwy. Zrealizowano montaż oświetlenia awaryjnego, które nie zostało przewidziane podczas adaptacji budynku na cele funkcjonowania Ośrodka w 1998 r. Były to konieczne inwestycje, możliwe do przeprowadzenia w wyniku zaoszczędzonych (wypracowanych) środków oraz z powodu ograniczenia działalności z udziałem uczestników. Zrealizowaliśmy adaptację niewykorzystanej przestrzeni na potrzeby uruchomienia kawiarenki społecznej. Doposażone zostały pracownie podnosząc tym samym jakość i atrakcyjność zajęć. Działania te objęły również administrowane obiekty przy Jagiellończyka 10 A oraz Roosevelta 5 A – w których swoją działalność realizują fundacje Kilo Kultury i OK Art. 1. Kluczowym wydarzeniem 2020 roku był projekt Kawiarenki społecznej, której naczelnym zadaniem miało stać się wniknięcie do tkanki społeczności lokalnej oraz aktywowanie jej do czynnej inicjatywy w kreowaniu kultury na własnym terenie. Pomysły miały się rodzić przy kawie i najlepsze z nich miały być realizowane pod parasolem Światowida. Kawiarnia miała także promować produkty i wyroby powstające w pracowniach artystycznych Ośrodka. Menu miało być zarówno kulinarne jak i oferujące </w:t>
      </w:r>
      <w:r w:rsidRPr="00E00B35">
        <w:rPr>
          <w:szCs w:val="20"/>
        </w:rPr>
        <w:lastRenderedPageBreak/>
        <w:t xml:space="preserve">produkty ceramiczne, graficzne, obrazy, witraże i inne. Projekt został zrealizowany od strony formalnej, technicznej  i organizacyjnej.  Zyskał aplauz odwiedzającej nas publiczności i zaczął zyskiwać rozgłos wśród mieszkańców okolicznych osiedli. Niestety działał  zbyt krótko. Jednak jest gotowy na tyle, że w każdej chwili (jeśli związane z nim, niezależne osoby odpowiedzialne za aspekt gastronomiczny będą mogły „od ręki” go kontynuować) możemy powrócić do dalszego rozwijania tego pomysłu.  </w:t>
      </w:r>
      <w:r w:rsidRPr="00E00B35">
        <w:rPr>
          <w:szCs w:val="20"/>
        </w:rPr>
        <w:br/>
        <w:t xml:space="preserve">2. Udało się , mimo pandemii zrealizować cześć warsztatową kolejnej edycji festiwalu Inspiracje – Interpretacje. Finał został przeniesiony na początek 2021r. </w:t>
      </w:r>
      <w:r w:rsidRPr="00E00B35">
        <w:rPr>
          <w:szCs w:val="20"/>
        </w:rPr>
        <w:br/>
        <w:t xml:space="preserve">3. Chcieliśmy w 2020 roku sprofilować pracownię Artystyczno – edukacyjną na działania proekologiczne. Miał to być wątek przenikający każdy rodzaj projektu dedykowany dzieciom w ramach tej pracowni. Także z powodu pandemii nie można było całościowo tych planów zrealizować. Jednak  8 tygodniowych turnusów, mimo wszystko, w okresie wakacji miało 100 % frekwencję. 4. Zrealizowane zostały, mocno wspierające w okresie pandemii artystów , koncerty z cyklu:  „Światowid Klasycznie” oraz „Jazz w Światowidzie”. Znacząca ich część odbyła się online. 5. Urodziny Stefanii Sempołowskiej – to projekt, który miał określić i zaakcentować pozycję światowida jako „Bliskiego sąsiada”, którego w zasięgu ręki mają mieszkańcy okolicznych osiedli. Projekt odbył się w tzw. luce pandemicznej i łączył różne formy prezentacji sztuki. Odsłonięto tablicę pamiątkową z wizerunkiem Stefanii Sempołowskiej i przybliżono jej postać podczas spotkania z dr Joanną Hytrek-Hryciuk. 6. Piknik „CHODŹ NA EKO” połączył mieszkańców Wielkiej Wyspy, którzy z załogą Światowida produkowali ekologiczne torby, uczestniczyli w programie artystycznym, który był zwieńczeniem wielkiego sprzątania wałów nadodrzańskich. Akcja miała też na celu zaznaczenie obecności Światowida, jako zaangażowanej instytucji kultury w działania ekologiczne. Nadrzędnym celem była integracja mieszkańców poprzez działania kulturalno – rekreacyjne i ekologiczne. </w:t>
      </w:r>
      <w:r w:rsidRPr="00E00B35">
        <w:rPr>
          <w:szCs w:val="20"/>
        </w:rPr>
        <w:br/>
        <w:t xml:space="preserve">7. Ważne było – zwłaszcza w czasie izolacji, podkreślenie obecności kultury, która przecież żyła – choć odgrodzona zasłoną pandemii. Kluczowe stało się wsparcie dla artystów, którzy pracują w pracowniach artystycznych ośrodka. Pomagając jednocześnie chorej artystce zorganizowaliśmy aukcję prac ceramików, plastyków, rzeźbiarzy i innych twórców na rzecz potrzebującej.  Propagowaliśmy zarówno istnienie samych pracowni jak i rangę ich gospodarzy. Wspólnie z fundacją „Się pomaga” została zgromadzona kwota, która potrzebna była na dalsze leczenie. Tym samym ośrodek nie pozwolił o sobie zapomnieć. 8. Z ważnych wydarzeń z obszaru sztuk plastycznych: wernisaż, który miał mieć swoją odsłonę podczas koncertu jazzowego oraz w trakcie Jazzu nad Odrą odbył się w sieci. Fotografie sławnych jazzmanów i jazzmanek - autorstwa Krzysztofa Niżnika ujrzały światło dzienne i zdobyły wielu fanów. Na podkreślenie zasługuje fakt, że artysta poruszając się na wózku stworzył m.in. kolekcję zdjęć wrocławskich maszkaronów zdobiących kamieniczne elewacje. Także te prace mieliśmy zaszczyt prezentować. Działalność o charakterze ekologicznym: 1. wycofanie z zakupów naczyń i sztućców jednorazowych z tworzyw sztucznych 2. rezygnacja z butelkowanej wody mineralnej na rzecz słojów zbiorczych i dystrybutorów wody 3. aktywizacja społeczności lokalnej do dbania o środowisko naturalne, oczyszczanie wałów Odry i Parku Biskupińskiego, piknik "Chodź na eko" 4. przekazanie uczestnikom zajęć artystycznych Ośrodka szczepek roślin </w:t>
      </w:r>
      <w:r w:rsidRPr="00E00B35">
        <w:rPr>
          <w:szCs w:val="20"/>
        </w:rPr>
        <w:lastRenderedPageBreak/>
        <w:t>smogochłonnych przygotowanych w ramach działalności pracowni Artystyczno-edukacyjnej 5. realizacja programów artystycznych i edukacyjnych propagujących ekologiczny styl życia  6. rozstawienie poidełek dla owadów w okresie wiosny i lata oraz karmników dla ptaków 7. redukcja krzywej ciepła o 10 %, zmniejszenie zużycia ogrzewania.</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WROCŁAWSKI KLUB FORMATY</w:t>
      </w:r>
    </w:p>
    <w:p w:rsidR="00CA14AB" w:rsidRPr="00E00B35" w:rsidRDefault="00CA14AB" w:rsidP="00E00B35">
      <w:pPr>
        <w:spacing w:after="0" w:line="312" w:lineRule="auto"/>
        <w:rPr>
          <w:szCs w:val="20"/>
        </w:rPr>
      </w:pPr>
      <w:r w:rsidRPr="00E00B35">
        <w:rPr>
          <w:szCs w:val="20"/>
        </w:rPr>
        <w:t>Do najważniejszych celów strategicznych za 2020 rok można uznać: - poszerzenie oferty świadczonych usług poprzez przeniesienie części usług i wydarzeń do Internetu, dzięki czemu pomimo obostrzeń mogliśmy prowadzić zajęcia z zakresu edukacji kulturalnej oraz transmitować organizowane przez nas wydarzenia kulturalne - częściowo uzupełniliśmy posiadany sprzęt, który został doposażony o narzędzia do organizacji wydarzeń online: sprzęt audio-wideo do produkcji, transmisji i/lub retransmisji 1. W momencie ogłoszenia konieczności zamknięcia instytucji kultury, w krótkim czasie przenieśliśmy nasze działania do Internetu. Prowadzący zajęcia otrzymali odpowiednie narzędzia pracy (platformy do spotkań online), dzięki czemu większość naszych zajęć była kontynuowana online. 2. Rozpoczęliśmy produkcję wydarzeń kulturalnych, które transmitowane były wyłącznie w Internecie. Były to m.in. "Poranki Familijne", "Wernisaże z muzyką", itd.</w:t>
      </w:r>
      <w:r w:rsidRPr="00E00B35">
        <w:rPr>
          <w:szCs w:val="20"/>
        </w:rPr>
        <w:br/>
        <w:t xml:space="preserve">3. Zakupiono odpowiedni sprzęt audio/foto-wideo, który umożliwił nam oferowanie naszych usług w Internecie. 4. Pomimo ograniczeń w miesiącach wrzesień-październik zrealizowaliśmy koncert Before Ambientalny, jedno z najważniejszych naszych wydarzeń. Wydarzenie odbyło się częściowo stacjonarnie, częściowo w Internecie. Natomiast kolejną edycję Festiwalu Ambientalnego zmuszeni byliśmy przenieść na rok 2021. Działalność w zakresie ekologicznym: Od 2020 roku dokonujemy zakupy materiałów jednorazowych takich jak kubki, talerzyki, sztućce, wyłącznie z materiałów biodegradowalnych. Kupujemy materiały eksploatacyjne, takie jak papier do drukarki z makulatury. Wszędzie, gdzie to możliwe, stosujemy naczynia wielorazowego użytku. Najważniejsze działania polegały na przeniesieniu możliwie jak największej ilości zajęć i wydarzeń </w:t>
      </w:r>
      <w:r w:rsidRPr="00E00B35">
        <w:rPr>
          <w:szCs w:val="20"/>
        </w:rPr>
        <w:br/>
        <w:t xml:space="preserve"> kulturalnych do Internetu co udało się zrealizować w bardzo krótkim czasie. Umożliwiło to częściową realizację naszych celów przyjętych na 2020 rok.</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KLUB POD KOLUMNAMI</w:t>
      </w:r>
    </w:p>
    <w:p w:rsidR="00CA14AB" w:rsidRPr="00E00B35" w:rsidRDefault="00CA14AB" w:rsidP="00E00B35">
      <w:pPr>
        <w:spacing w:after="0" w:line="312" w:lineRule="auto"/>
        <w:rPr>
          <w:szCs w:val="20"/>
        </w:rPr>
      </w:pPr>
      <w:r w:rsidRPr="00E00B35">
        <w:rPr>
          <w:szCs w:val="20"/>
        </w:rPr>
        <w:t xml:space="preserve">I. Organizacja stacjonarno- plenerowej wystawy  karykatur i rysunków pt. „Zaraźliwy uśmiech” podsumowującej 45-lecie twórczości wybitnego karykaturzysty i rysownika Czesława Przęzaka (pierwotnie planowana w ramach Święta Wrocławia) prezentowana na skwerze pl. św. Macieja we W-wiu oraz we wnętrzach Klubu Pod Kolumnami przy pl. św. Macieja 21 w m-cach sierpień-październik. Projekt dofinansowany został przez Urząd Miasta W-wia w  trybie konkursu Święta W-wiaII. „Zróbcie to dla nas” -twórcze warsztaty dla niesłyszących i niewidomych, komunikacja artystyczna z pomocą figur Chladniego - działania warsztatowe, których celem była integracja i komunikacja grup osób niewidomych i niesłyszących, za pomocą działań artystycznych. Zrealizowany przez filię klubu Galeria Toy-Piano Małe Instrumenty. Projekt zakończony wydaniem płyty CD z powstałą muzyką oraz albumu dokumentującego  powstałe podczas projektu prace </w:t>
      </w:r>
      <w:r w:rsidRPr="00E00B35">
        <w:rPr>
          <w:szCs w:val="20"/>
        </w:rPr>
        <w:lastRenderedPageBreak/>
        <w:t>plastyczne. Projekt uzyskał dofinansowanie ze środków MKiDN III. Konkurs poetycki „Życie w pandemii” – o otwartej formule dla wszystkich grup wiekowych, na który własne teksty nadesłało 48 autorów z całej Polski. Nagrodzone wiersze zostały nagrane w interpretacji aktora - Piotra Misztelę i  zaprezentowane w formie filmu  na profilu klubowym FB IV. „Różne aspekty kultury Ameryki Łacińskiej”” – we współpracy z Fundacją Mundus-Świat: przygotowanie wystawy fotografii oraz nagranie filmu-wywiadu z prezes Fundacji Mundus-Świat Renatą Faron-Bartles (do realizacji projektu zaangażowany był zespół klubowej pracowni filmowej) V. Stworzenie nowej formuły działalności klubu- formy pracy zdalnej, realizacji i prezentacji cyfrowej naszej oferty VI. Zakup sprzętu do klubowej pracowni filmowej Koncert plenerowy Martina Złotnickiego połaczony z występem krasomówczym Bogusława Bednarka pt.”Nocność et cetera” w ramach organizowanej Nocy Nadodrza   Podjęcie współpracy z fundacją MUNDUS-Świat popularyzującą wiedzę na temat krajów Ameryki Łacińskiej – organizacja wystawy oraz przeprowadzenie wywiadu z prezeską stowarzyszenia na temat Meksyku zaprezentowanego w komunikatorach społecznościowych. Działania w zakresie ekologii: Zrealizowano przez klubową pracownię filmową we współpracy z  nieformalną grupą Maraton Pomysłów Społecznych filmu-etiudy p.t.  Kryzys wodny (film jest dostępny na kanale You Tube i FB)  Użytkowanie zakupionych pod tym kątem ekologicznych materiałów biurowych Oszczędność energii elektrycznej. Wykorzystanie potencjału klubowej pracowni filmowej do realizowania nagrań dokumentujących</w:t>
      </w:r>
      <w:r w:rsidRPr="00E00B35">
        <w:rPr>
          <w:szCs w:val="20"/>
        </w:rPr>
        <w:br/>
        <w:t xml:space="preserve">klubowe przedsięwzięcia kulturalne i prezentacja ich w </w:t>
      </w:r>
      <w:r w:rsidR="00544448" w:rsidRPr="00E00B35">
        <w:rPr>
          <w:szCs w:val="20"/>
        </w:rPr>
        <w:t>internecine.</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OŚRODEK POSTAW TWÓRCZYCH</w:t>
      </w:r>
    </w:p>
    <w:p w:rsidR="00CA14AB" w:rsidRPr="00E00B35" w:rsidRDefault="00CA14AB" w:rsidP="00E00B35">
      <w:pPr>
        <w:spacing w:after="0" w:line="312" w:lineRule="auto"/>
        <w:rPr>
          <w:szCs w:val="20"/>
        </w:rPr>
      </w:pPr>
      <w:r w:rsidRPr="00E00B35">
        <w:rPr>
          <w:szCs w:val="20"/>
        </w:rPr>
        <w:t xml:space="preserve">OPT w 2020 r. prowadził działalność w dwóch obszarach: edukacji artystycznej oraz działalności wystawienniczej. W obszarze działalności edukacyjnej prowadzone były kursy: fotografii, malarstwa i rysunku, projektowania graficznego, rysunku architektonicznego, komiksu i podstaw ilustracji, grafiki warsztatowej oraz gry perkusji. W związku z ograniczeniami związanymi z pandemią COVID-19 kursy są prowadzone w trybie zdalnym lub hybrydowym. W obszarze działalności wystawienniczej w galerii fotografii Miejsce przy Miejscu 14 odbyły się wystawy i działania towarzyszące wystawom (oprowadzania i spotkania z autorami): „Jestem swoim domem” Agnieszki Gotowały, „Prace leśne” Michała Łuczaka. Ponadto odbyła się wystawa pt. "ZAUWAŻ. Wystawa Be Together" (autorzy: Antonina Gawrońska, Aleksandra Kisilewicz, Katarzyna Kwiatkowska, Grzegorz Łopata, Zuza Tomczyk) zrealizowana w ramach projektu Be Together przez Be Together - integracja i sztuka i TIFF Center we współpracy z OPT. Z powodu pandemii COVID-19 odwołana została wystawa The Restoration Will Mayumi Suzuki. Ponadto w ramach działalności galerii odbyły się dwie mikrorezydencje wraz z wydarzeniami towarzyszącymi z nowego cyklu „Książka przy Miejscu” – Agaty Kalinowskiej (książka fotograficzna „YAGA”) oraz Beaty Barteckiej - Bartecka &amp; Rusznica (książka fotograficzna „How to Look Natural in Photos”). W obszarze działalności wydawniczej zrealizowano prace związane z wydaniem książek: "How to Look Natural in Photos" (druk na przełomie 2020 i 2021 roku, premiera zaplanowana w lutym 2021) oraz „Przewodnik po </w:t>
      </w:r>
      <w:r w:rsidRPr="00E00B35">
        <w:rPr>
          <w:szCs w:val="20"/>
        </w:rPr>
        <w:lastRenderedPageBreak/>
        <w:t>zaminowanym terenie 2” - jest antologią tekstów publikowanych w internetowym miesięczniku literackim „Helikopter”  w latach 2016-2020 (premiera w I połowie 2021 r.).</w:t>
      </w:r>
    </w:p>
    <w:p w:rsidR="00CA14AB" w:rsidRPr="00E00B35" w:rsidRDefault="00CA14AB" w:rsidP="00E00B35">
      <w:pPr>
        <w:spacing w:after="0" w:line="312" w:lineRule="auto"/>
        <w:rPr>
          <w:szCs w:val="20"/>
        </w:rPr>
      </w:pPr>
      <w:r w:rsidRPr="00E00B35">
        <w:rPr>
          <w:szCs w:val="20"/>
        </w:rPr>
        <w:t>"Cele strategiczne na 2020 rok OPT zmieniły się w trakcie roku, w związku z pandemią COVID-19. Po wprowadzeniu przez rząd ograniczeń w działalności instytucji kultury celem strategicznym stało się utrzymanie prowadzonych przez OPT kursów i kontaktu i relacji z uczestnikami poprzez dostosowanie formy prowadzenia kursów do nowych warunków. Plany związane z realizacją innych celów, takich jak rozwój oferty kursów i pozyskiwanie nowych odbiorców, w szczególności wśród seniorów zostały zawieszone. „Mikrorezydencje 'Książka przy Miejscu'. 2) Udział w realizacji projektu „CyberMistrz-rozwój kompetencji cyfrowych pracowników GOKów” (w ramach działania 3.2 Innowacyjne rozwiązania na rzecz aktywizacji cyfrowej. Cyfrowe kompetencje społeczeństwa Program Operacyjny Polska Cyfrowa na lata 2014-2020). 3) Realizacja projektu „Widzę – Zmieniam. Młodzieżowi animatorzy inicjatyw społecznych”. Działania w zakresie ekologii: 1. Umieszczenie zbiorczych koszy na odpady na korytarzach – kontynuowane 2. Rezygnacja z plastikowych naczyń i sztućców podczas wydarzeń - kontynuowane 3. Udostępnienie stojaków na rowery przez budynkiem OPT - kontynuowane 4. Ograniczenie częstotliwości koszenia terenu zielonego przy OPT. Filip Zawada - twórca i prowadzący kurs fotografii w OPT, muzyk, rysownik, poeta, scenarzysta oraz pisarz, w 2020 r. był finalistą Nagrody Literackiej "Nike" za powieść "Rozdeptałem czarnego kota przez przypadek" otrzymał także stypendium artystyczne prezydenta Wrocławia (2020), Łukasz Rusznica – artysta fotograf, twórca i kurator galerii fotograficznej OPT - MPM 14, stypendysta Ministerstwa Kultury i Dziedzictwa Narodowego oraz Miasta Wrocław (stypendium artystyczne prezydenta Wrocławia 2020) pandemia. W związku z pandemią COVID-19 i wynikającymi z niej ograniczeniami dokonano reorganizacji prowadzonych kursów na tryb zdalny lub hybrydowy lub prowadzony w reżimie sanitarnym (w zależności od zmieniających się wytycznych Ministra Kultury i Dziedzictwa Narodowego). Oprócz działań o charakterze organizacyjnym wysiłki skierowane były na podtrzymanie kontaktu z odbiorcami, zarówno uczestnikami kursów, jak i widzami galerii.</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OGNISKO KULTURY PLASTYCZNEJ</w:t>
      </w:r>
    </w:p>
    <w:p w:rsidR="00CA14AB" w:rsidRPr="00E00B35" w:rsidRDefault="00CA14AB" w:rsidP="00E00B35">
      <w:pPr>
        <w:spacing w:after="0" w:line="312" w:lineRule="auto"/>
        <w:rPr>
          <w:szCs w:val="20"/>
        </w:rPr>
      </w:pPr>
      <w:r w:rsidRPr="00E00B35">
        <w:rPr>
          <w:szCs w:val="20"/>
        </w:rPr>
        <w:t xml:space="preserve">Edukacja artystyczna osób dorosłych i młodzieży. Kreowanie postaw twórczych. Edukacja kulturalna. Wystawy i warsztaty cykliczne. Przeniesienie i uruchomienie pracowni szkła artystycznego, ceramiki i rzeźby do nowych pracowni – wyremontowanych i wyposażonych w ramach projektu ,,Ruska 46 abc - Przestrzeń dla kultury''.   Przeniesienie z pl. Wolności 9, księgozbioru i otwarcie dla słuchaczy nowej czytelni. Pozyskanie na stałe lokalu 005 z przeznaczeniem na pracownie litografii i sitodruku. Edukacja artystyczna osób dorosłych i młodzieży w zakresie prowadzonych pracowni: rysunek i malarstwo-4 pracownie/studium postaci/rzeźba/ceramika/szkło artystyczne/fotografia artystyczna-3/grafika komputerowa i film/sitodruk/grafika tradycyjna/tkanina artystyczna/rysowanie szkłem-flamework strukturalny/pracownia autorska. Organizowanie wystaw indywidualnych i zbiorowych (w tym  twórców </w:t>
      </w:r>
      <w:r w:rsidRPr="00E00B35">
        <w:rPr>
          <w:szCs w:val="20"/>
        </w:rPr>
        <w:lastRenderedPageBreak/>
        <w:t>profesjonalnych). Organizowanie plenerów i warsztatów cyklicznych. Uruchomienie nowej strony internetowej.</w:t>
      </w:r>
    </w:p>
    <w:p w:rsidR="00CA14AB" w:rsidRPr="00E00B35" w:rsidRDefault="00CA14AB" w:rsidP="00E00B35">
      <w:pPr>
        <w:spacing w:after="0" w:line="312" w:lineRule="auto"/>
        <w:rPr>
          <w:szCs w:val="20"/>
        </w:rPr>
      </w:pPr>
      <w:r w:rsidRPr="00E00B35">
        <w:rPr>
          <w:szCs w:val="20"/>
        </w:rPr>
        <w:t>Wystawy: 1. Wystawa grafiki - galeria Ogniska -styczeń 2. wystawa malarstwa - galeria Ogniska- luty 3. wystawa sitodruku   - galeria ogniska – marzec 4. Pandemiczna wystawa podsumowująca sezon artystyczny 2019/2020 5. Wystawa prac słuchaczy  wykonanych podczas e-edukacji  -marzec -do końca roku 2020. Plenery: 1. plenery malarskie -3 stacjonarne plenery we Wrocławiu 2. plener fotograficzny- Wrocław 3. warsztaty artystyczne – Ognisko. Działalnośc w zakresie ekologii: maksymalna oszczędność energii i wody, minimalizacja  wydruków (wersje elektroniczne), segregacja, recykling/naturalne środki czystości (w miare możliwości) I miejsce w kategorii Tkanina Atystyczna na XIX Ogólnopolskim Przeglądzie Amatorkiej Tkaniny Unikatowej-Grażyna Pogorzelska słuchaczka Ogniska. Nagroda Uczestników festiwalu sztuki Włókna Kowary 2020 – nagroda  dla naszego instruktora Roberta Wieczorka</w:t>
      </w:r>
      <w:r w:rsidR="00544448" w:rsidRPr="00E00B35">
        <w:rPr>
          <w:szCs w:val="20"/>
        </w:rPr>
        <w:t>.</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KLUB MUZYKI I LITERATURY</w:t>
      </w:r>
    </w:p>
    <w:p w:rsidR="00CA14AB" w:rsidRPr="00E00B35" w:rsidRDefault="00CA14AB" w:rsidP="00E00B35">
      <w:pPr>
        <w:spacing w:after="0" w:line="312" w:lineRule="auto"/>
        <w:rPr>
          <w:szCs w:val="20"/>
        </w:rPr>
      </w:pPr>
      <w:r w:rsidRPr="00E00B35">
        <w:rPr>
          <w:szCs w:val="20"/>
        </w:rPr>
        <w:t>Opublikowano w Oficynie Wydawniczej Klubu Muzyki i Literatury Akwedukt książki:</w:t>
      </w:r>
      <w:r w:rsidRPr="00E00B35">
        <w:rPr>
          <w:szCs w:val="20"/>
        </w:rPr>
        <w:br/>
        <w:t>Urszula Małgorzata Benka ''Pasja Jezusa z Nazaretu'',  Urszula Małgorzata Benka, "Księżyc się pokłócił z jajkiem", Mirosław Filipowicz ''Wspomnienia z lat 1939-1980. Spisane w latach 1981-1982'', Piotr Lamprecht ''Światło przy granicy'', wstęp Stanisław Srokowski, Andrzej Maria Dzierżanowski, "Tak sobie myślę",</w:t>
      </w:r>
      <w:r w:rsidRPr="00E00B35">
        <w:rPr>
          <w:szCs w:val="20"/>
        </w:rPr>
        <w:br/>
        <w:t>Henryk Wolniak, "Ośmiosnowy", posłowie Dorota Heck, Salomea Kapuścińska ''Piękno. Poezje wybrane'', wydanie polsko-czeskie Tłumaczył Libor Martinek, posłowie Mirosław Olędzki, Robert Gawłowski ''Pył", Andrzej Saj, "Oprawa światła", posłowie U. M. Benka,</w:t>
      </w:r>
      <w:r w:rsidRPr="00E00B35">
        <w:rPr>
          <w:szCs w:val="20"/>
        </w:rPr>
        <w:br/>
        <w:t xml:space="preserve">R. Sławczyński, wybór tekstów o rzece pt. "Kiedy Ty mówisz Odra" (wydanie II 2020 r.),  </w:t>
      </w:r>
      <w:r w:rsidRPr="00E00B35">
        <w:rPr>
          <w:szCs w:val="20"/>
        </w:rPr>
        <w:br/>
        <w:t xml:space="preserve">Czesław Sobkowiak ''Napisane w zeszycie'', wstęp Jan Stolarczyk, Janusz Wójcik ''Wiersze wybrane'', posłowie Roberta Gawłowskiego. Organizacja koncertów, spotkań literackich oraz prezentacja sztuk plastycznych. -http://www.klubmil.pl/literatura/spotkania-w-2020-roku, </w:t>
      </w:r>
      <w:hyperlink r:id="rId63" w:history="1">
        <w:r w:rsidRPr="00E00B35">
          <w:rPr>
            <w:szCs w:val="20"/>
          </w:rPr>
          <w:t>http://www.klubmil.pl/muzyka/koncerty-w-2020-roku</w:t>
        </w:r>
      </w:hyperlink>
      <w:r w:rsidRPr="00E00B35">
        <w:rPr>
          <w:szCs w:val="20"/>
        </w:rPr>
        <w:t>. Działalność w zakresie ekologii: Wymiana żarówek na energooszczędne, zmniejszenie ilości materiałów drukowanych (położenie nacisku na przekaz elektroniczny informacji wewnątrz instytucji). Montaż klimatyzacji w sali koncertowej z ekologicznym chłodziwem. Recykling materiałów pakowych.</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ANIMA</w:t>
      </w:r>
    </w:p>
    <w:p w:rsidR="00CA14AB" w:rsidRPr="00E00B35" w:rsidRDefault="00CA14AB" w:rsidP="00E00B35">
      <w:pPr>
        <w:spacing w:after="0" w:line="312" w:lineRule="auto"/>
        <w:rPr>
          <w:szCs w:val="20"/>
        </w:rPr>
      </w:pPr>
      <w:r w:rsidRPr="00E00B35">
        <w:rPr>
          <w:szCs w:val="20"/>
        </w:rPr>
        <w:t>1/Programy resocjalizacji poprzez kulturę sprzyjające przygotowaniu skazanych do readaptacji społecznej- konkursy literackie i  plastyczne. Dla osadzonych w Areszcie Śledczym we Wrocławiu do współpracy z odziałem IPN we Wrocławiu. 2/Wydanie pierwszej gazetki WK ANIMA 3/ Pierwszy poetycki Konkurs Kluba Anima –publikacja tomiku poezji Z wierszami laureatów konkursu 4/Wymiana oświetlenia holu klubu na system wystawienniczy. Działalność z zakresu ekologii: 1/Spotkanie z historią kolejna edycja 2020 konkursu literackiego „Polskie drogi do niepodległości”.</w:t>
      </w:r>
      <w:r w:rsidRPr="00E00B35">
        <w:rPr>
          <w:szCs w:val="20"/>
        </w:rPr>
        <w:br/>
        <w:t>2/Realizacja projektu ANIMA czyta dzieciom-Cykl Baśni H.CH. Andersena oraz Braci Grim.</w:t>
      </w:r>
      <w:r w:rsidRPr="00E00B35">
        <w:rPr>
          <w:szCs w:val="20"/>
        </w:rPr>
        <w:br/>
        <w:t xml:space="preserve">3/Sąsiedzki Pchli Targ-  od wiosny do jesieni 4/Cykl bezpłatnych plenerów plastycznych </w:t>
      </w:r>
      <w:r w:rsidRPr="00E00B35">
        <w:rPr>
          <w:szCs w:val="20"/>
        </w:rPr>
        <w:lastRenderedPageBreak/>
        <w:t>dla dorosłych 5/Osiedlowy Piknik Rodzinny połączony ze zbiórką karmy dla zwierząt</w:t>
      </w:r>
      <w:r w:rsidRPr="00E00B35">
        <w:rPr>
          <w:szCs w:val="20"/>
        </w:rPr>
        <w:br/>
        <w:t>6/IX Przegląd piosenki filmowej i musicalowej w rygorze sanitarnym</w:t>
      </w:r>
      <w:r w:rsidRPr="00E00B35">
        <w:rPr>
          <w:szCs w:val="20"/>
        </w:rPr>
        <w:br/>
        <w:t>7/Edukacyjne konkursy on-line dla dzieci , młodzieży i dorosłych, konkursy plastyczne, poetyckie 8/Przeniesienie zajęć  i warsztatów online bezpłatnie dla uczestników: lekcje gitary, tańca, teatr, śpiew, medytacja i techniki relaksacyjne 9/Koncert  na żywo  zespołu ex Mannam 10/Spotkanie z Teatrem dla dzieci 11/ Wieczorki taneczne dla seniora 12/Turnieje Tenisa stołowego dla dzieci o dorosłych 13/ Weekendowe warsztaty dla dorosłych „ Aktywnie z ANIMA” 14/Realizacja świątecznego projektu” Ubieramy wspólnie nasze choinki” Inicjatywa na wspólne dekorowanie osiedla. Działalność w zakresie ekologii: Wymiana starego oświetlenia na EKO, segregacja odpadów. Przeniesiona działalność do sieci: konkursy , warsztaty , festiwale,  zajęcia. Realizowano programy warsztatów zimowych i letnich dla dzieci pomimo pandemii. Realizacja w okresie letnim festynu osiedlowego.</w:t>
      </w:r>
    </w:p>
    <w:p w:rsidR="00786FF6" w:rsidRPr="00E00B35" w:rsidRDefault="00786FF6" w:rsidP="00E00B35">
      <w:pPr>
        <w:spacing w:after="0" w:line="312" w:lineRule="auto"/>
        <w:rPr>
          <w:szCs w:val="20"/>
        </w:rPr>
      </w:pPr>
      <w:bookmarkStart w:id="158" w:name="_Toc72352330"/>
      <w:bookmarkStart w:id="159" w:name="_Toc72352764"/>
      <w:bookmarkStart w:id="160" w:name="_Toc72357845"/>
      <w:bookmarkStart w:id="161" w:name="_Toc72357999"/>
    </w:p>
    <w:p w:rsidR="00CA14AB" w:rsidRPr="00E00B35" w:rsidRDefault="00CA14AB" w:rsidP="00E00B35">
      <w:pPr>
        <w:pStyle w:val="Nagwek3"/>
        <w:spacing w:after="0" w:line="312" w:lineRule="auto"/>
        <w:rPr>
          <w:sz w:val="20"/>
          <w:lang w:val="pl-PL"/>
        </w:rPr>
      </w:pPr>
      <w:r w:rsidRPr="00E00B35">
        <w:rPr>
          <w:sz w:val="20"/>
        </w:rPr>
        <w:t>WYDZIAŁ PARTYCYPACJI SPOŁECZNEJ</w:t>
      </w:r>
      <w:bookmarkStart w:id="162" w:name="_Toc72352331"/>
      <w:bookmarkStart w:id="163" w:name="_Toc72352765"/>
      <w:bookmarkEnd w:id="158"/>
      <w:bookmarkEnd w:id="159"/>
      <w:bookmarkEnd w:id="160"/>
      <w:bookmarkEnd w:id="161"/>
      <w:r w:rsidR="00544448" w:rsidRPr="00E00B35">
        <w:rPr>
          <w:sz w:val="20"/>
          <w:lang w:val="pl-PL"/>
        </w:rPr>
        <w:t xml:space="preserve"> </w:t>
      </w:r>
      <w:r w:rsidRPr="00E00B35">
        <w:rPr>
          <w:sz w:val="20"/>
        </w:rPr>
        <w:t>I PARTYCYPACJA</w:t>
      </w:r>
      <w:bookmarkEnd w:id="162"/>
      <w:bookmarkEnd w:id="163"/>
      <w:r w:rsidRPr="00E00B35">
        <w:rPr>
          <w:sz w:val="20"/>
        </w:rPr>
        <w:t xml:space="preserve"> </w:t>
      </w:r>
    </w:p>
    <w:p w:rsidR="00544448" w:rsidRPr="00E00B35" w:rsidRDefault="00544448" w:rsidP="00E00B35">
      <w:pPr>
        <w:pStyle w:val="Nagwek4"/>
        <w:spacing w:before="0" w:after="0" w:line="312" w:lineRule="auto"/>
        <w:rPr>
          <w:sz w:val="20"/>
          <w:szCs w:val="20"/>
        </w:rPr>
      </w:pPr>
    </w:p>
    <w:p w:rsidR="00CA14AB" w:rsidRPr="00E00B35" w:rsidRDefault="00CA14AB" w:rsidP="00E00B35">
      <w:pPr>
        <w:spacing w:after="0" w:line="312" w:lineRule="auto"/>
        <w:rPr>
          <w:szCs w:val="20"/>
        </w:rPr>
      </w:pPr>
      <w:r w:rsidRPr="00E00B35">
        <w:rPr>
          <w:szCs w:val="20"/>
        </w:rPr>
        <w:t xml:space="preserve">Partycypacja społeczna oznacza aktywne zaangażowanie Wrocławian i Wrocławianek w sprawy miasta, gwarantuje uczestnictwo w dyskusji nad ważnymi dla nich tematami, zapewnia udział w podejmowaniu istotnych, publicznych decyzji. Partycypacja we Wrocławiu ma rożne wymiary, są to: konsultacje społeczne; Wrocławski Budżet Obywatelski; Fundusz Osiedlowy; realizacja zadań społecznych, mediacji, wsparcie działań miejskich przez współpracę z organizacjami pozarządowymi </w:t>
      </w:r>
      <w:r w:rsidRPr="00E00B35">
        <w:rPr>
          <w:szCs w:val="20"/>
        </w:rPr>
        <w:br/>
        <w:t>a także programy wsparcia oddolnych inicjatyw, jak: Mikrogranty czy sieć Centrów Aktywności Lokalnej.</w:t>
      </w:r>
    </w:p>
    <w:p w:rsidR="00CA14AB" w:rsidRPr="00E00B35" w:rsidRDefault="00CA14AB" w:rsidP="00E00B35">
      <w:pPr>
        <w:spacing w:after="0" w:line="312" w:lineRule="auto"/>
        <w:rPr>
          <w:szCs w:val="20"/>
        </w:rPr>
      </w:pPr>
      <w:r w:rsidRPr="00E00B35">
        <w:rPr>
          <w:szCs w:val="20"/>
        </w:rPr>
        <w:t>Partycypacja stanowi istotny element w kierunkowym dokumencie Strategia Wrocław2030 (Priorytet 7: Governance), gdzie mowa jest o zwiększaniu udziału mieszkańców w zarządzaniu miastem, stosowaniu innowacyjnych metod, które wzmacniają społeczeństwo obywatelskie oraz współuczestnictwie samorządów osiedlowych w konsultacjach polityk miejskich.</w:t>
      </w:r>
    </w:p>
    <w:p w:rsidR="00CA14AB" w:rsidRPr="00E00B35" w:rsidRDefault="00CA14AB" w:rsidP="00E00B35">
      <w:pPr>
        <w:spacing w:after="0" w:line="312" w:lineRule="auto"/>
        <w:rPr>
          <w:szCs w:val="20"/>
        </w:rPr>
      </w:pPr>
      <w:r w:rsidRPr="00E00B35">
        <w:rPr>
          <w:szCs w:val="20"/>
        </w:rPr>
        <w:t xml:space="preserve">W Urzędzie Miejskim Wrocławia partycypację społeczną realizuje Wydział Partycypacji Społecznej, w którym skupiono wszystkie najważniejsze działania dotyczące aktywności obywatelskiej. Znaczącą rolę w procesie wrocławskiej partycypacji społecznej odgrywają konsultacje, budżet obywatelski oraz prospołeczne działania realizowane na wrocławskich osiedlach. </w:t>
      </w:r>
    </w:p>
    <w:p w:rsidR="00CA14AB" w:rsidRPr="00E00B35" w:rsidRDefault="00CA14AB" w:rsidP="00E00B35">
      <w:pPr>
        <w:spacing w:after="0" w:line="312" w:lineRule="auto"/>
        <w:rPr>
          <w:szCs w:val="20"/>
        </w:rPr>
      </w:pPr>
      <w:r w:rsidRPr="00E00B35">
        <w:rPr>
          <w:szCs w:val="20"/>
        </w:rPr>
        <w:t>Pierwszy Wrocławski Panel Obywatelski</w:t>
      </w:r>
    </w:p>
    <w:p w:rsidR="00CA14AB" w:rsidRPr="00E00B35" w:rsidRDefault="00CA14AB" w:rsidP="00E00B35">
      <w:pPr>
        <w:spacing w:after="0" w:line="312" w:lineRule="auto"/>
        <w:rPr>
          <w:szCs w:val="20"/>
        </w:rPr>
      </w:pPr>
      <w:r w:rsidRPr="00E00B35">
        <w:rPr>
          <w:szCs w:val="20"/>
        </w:rPr>
        <w:t xml:space="preserve">Okres realizacji: 15 stycznia 2020 – 30 listopada 2020 </w:t>
      </w:r>
      <w:r w:rsidRPr="00E00B35">
        <w:rPr>
          <w:szCs w:val="20"/>
        </w:rPr>
        <w:br/>
        <w:t>Liczba zawartych umów: 1</w:t>
      </w:r>
      <w:r w:rsidRPr="00E00B35">
        <w:rPr>
          <w:szCs w:val="20"/>
        </w:rPr>
        <w:br/>
        <w:t>Liczba odbiorców: 75 panelistów/panelistek + 10 os. rezerwowych</w:t>
      </w:r>
    </w:p>
    <w:p w:rsidR="00CA14AB" w:rsidRPr="00E00B35" w:rsidRDefault="00CA14AB" w:rsidP="00E00B35">
      <w:pPr>
        <w:spacing w:after="0" w:line="312" w:lineRule="auto"/>
        <w:rPr>
          <w:szCs w:val="20"/>
        </w:rPr>
      </w:pPr>
      <w:r w:rsidRPr="00E00B35">
        <w:rPr>
          <w:szCs w:val="20"/>
        </w:rPr>
        <w:t xml:space="preserve">Kwota dotacji:  200 000 zł </w:t>
      </w:r>
    </w:p>
    <w:p w:rsidR="00CA14AB" w:rsidRPr="00E00B35" w:rsidRDefault="00CA14AB" w:rsidP="00E00B35">
      <w:pPr>
        <w:spacing w:after="0" w:line="312" w:lineRule="auto"/>
        <w:rPr>
          <w:szCs w:val="20"/>
        </w:rPr>
      </w:pPr>
      <w:r w:rsidRPr="00E00B35">
        <w:rPr>
          <w:szCs w:val="20"/>
        </w:rPr>
        <w:t xml:space="preserve">Najważniejszym zadaniem Wydziału Partycypacji Społecznej w 2020 roku w zakresie szeroko pojętej partycypacji było finansowanie i przeprowadzenie wraz z partnerami społecznymi (wiodąca rola jako organizatora Fundacji Dom Pokoju) pierwszego we Wrocławiu Panelu Obywatelskiego jako nowej, najpełniejszej formy demokratycznego </w:t>
      </w:r>
      <w:r w:rsidRPr="00E00B35">
        <w:rPr>
          <w:szCs w:val="20"/>
        </w:rPr>
        <w:lastRenderedPageBreak/>
        <w:t xml:space="preserve">wyrażania opinii i podejmowania wiążących decyzji. </w:t>
      </w:r>
      <w:r w:rsidRPr="00E00B35">
        <w:rPr>
          <w:szCs w:val="20"/>
        </w:rPr>
        <w:br/>
        <w:t>Jego tematem było wypracowanie rekomendacji w temacie usprawnienia przemieszczania się po Wrocławiu z uwzględnieniem poprawy jakości życia i ochrony klimatu.</w:t>
      </w:r>
    </w:p>
    <w:p w:rsidR="00CA14AB" w:rsidRPr="00E00B35" w:rsidRDefault="00CA14AB" w:rsidP="00E00B35">
      <w:pPr>
        <w:spacing w:after="0" w:line="312" w:lineRule="auto"/>
        <w:rPr>
          <w:szCs w:val="20"/>
        </w:rPr>
      </w:pPr>
      <w:r w:rsidRPr="00E00B35">
        <w:rPr>
          <w:szCs w:val="20"/>
        </w:rPr>
        <w:t xml:space="preserve">Na potrzeby panelu wyłoniono losowo grupę 75 mieszkańców i mieszkanek Wrocławia – z uwzględnieniem kryteriów demograficznych, takich jak płeć czy wiek. Stanowiła ona „miasto w pigułce”. Rolą panelu obywatelskiego jest dogłębne przeanalizowanie danego tematu, omówienie różnych rozwiązań, wysłuchanie argumentów „za” i „przeciw”, a następnie podejmowanie świadomych i przemyślanych decyzji.  </w:t>
      </w:r>
    </w:p>
    <w:p w:rsidR="00CA14AB" w:rsidRPr="00E00B35" w:rsidRDefault="00CA14AB" w:rsidP="00E00B35">
      <w:pPr>
        <w:spacing w:after="0" w:line="312" w:lineRule="auto"/>
        <w:rPr>
          <w:szCs w:val="20"/>
        </w:rPr>
      </w:pPr>
      <w:r w:rsidRPr="00E00B35">
        <w:rPr>
          <w:szCs w:val="20"/>
        </w:rPr>
        <w:t>Panel wsparło merytorycznie 13 ekspertów i ekspertek z kraju,  i zagranicy. W proces zaangażowało się 21 stron reprezentujących organizacje pozarządowe, ruchy miejskie oraz Rady Osiedli. Panelistki i paneliści przedstawili 63 rekomendacje – 50 wiążących i 13 do rozważenia.</w:t>
      </w:r>
    </w:p>
    <w:p w:rsidR="00CA14AB" w:rsidRPr="00E00B35" w:rsidRDefault="00CA14AB" w:rsidP="00E00B35">
      <w:pPr>
        <w:spacing w:after="0" w:line="312" w:lineRule="auto"/>
        <w:rPr>
          <w:szCs w:val="20"/>
        </w:rPr>
      </w:pPr>
      <w:r w:rsidRPr="00E00B35">
        <w:rPr>
          <w:szCs w:val="20"/>
        </w:rPr>
        <w:t>Spotkania edukacyjne oraz dyskusyjne w ramach Pierwszego Wrocławskiego Panelu Obywatelskiego odbyły się w terminie  3 września – 3 października 2020 r.</w:t>
      </w:r>
    </w:p>
    <w:p w:rsidR="00CA14AB" w:rsidRPr="00E00B35" w:rsidRDefault="00CA14AB" w:rsidP="00E00B35">
      <w:pPr>
        <w:spacing w:after="0" w:line="312" w:lineRule="auto"/>
        <w:rPr>
          <w:szCs w:val="20"/>
        </w:rPr>
      </w:pPr>
      <w:r w:rsidRPr="00E00B35">
        <w:rPr>
          <w:szCs w:val="20"/>
        </w:rPr>
        <w:t>TEMAT: "Jak usprawnić przemieszczanie się po Wrocławiu, mając na względzie poprawę jakości życia i ochronę klimatu?"</w:t>
      </w:r>
    </w:p>
    <w:p w:rsidR="00CA14AB" w:rsidRPr="00E00B35" w:rsidRDefault="00CA14AB" w:rsidP="00E00B35">
      <w:pPr>
        <w:spacing w:after="0" w:line="312" w:lineRule="auto"/>
        <w:rPr>
          <w:szCs w:val="20"/>
        </w:rPr>
      </w:pPr>
      <w:r w:rsidRPr="00E00B35">
        <w:rPr>
          <w:szCs w:val="20"/>
        </w:rPr>
        <w:t>1. Jaki środek transportu publicznego powinien połączyć centrum miasta z osiedlami: Jagodno, Maślice, Muchobór Wielki, Ołtaszyn, Psie Pole – autobus czy tramwaj?</w:t>
      </w:r>
    </w:p>
    <w:p w:rsidR="00CA14AB" w:rsidRPr="00E00B35" w:rsidRDefault="00CA14AB" w:rsidP="00E00B35">
      <w:pPr>
        <w:spacing w:after="0" w:line="312" w:lineRule="auto"/>
        <w:rPr>
          <w:szCs w:val="20"/>
        </w:rPr>
      </w:pPr>
      <w:r w:rsidRPr="00E00B35">
        <w:rPr>
          <w:szCs w:val="20"/>
        </w:rPr>
        <w:t>2. Czy dla podniesienia jakości życia i w trosce o środowisko wprowadzić w mieście strefy o szczególnych zasadach poruszania się np. ograniczenia wjazdu pojazdów o określonym typie silników, opłaty za wjazd, strefy ruchu pieszego, rozwój strefy płatnego parkowania?</w:t>
      </w:r>
    </w:p>
    <w:p w:rsidR="00CA14AB" w:rsidRPr="00E00B35" w:rsidRDefault="00CA14AB" w:rsidP="00E00B35">
      <w:pPr>
        <w:spacing w:after="0" w:line="312" w:lineRule="auto"/>
        <w:rPr>
          <w:szCs w:val="20"/>
        </w:rPr>
      </w:pPr>
      <w:r w:rsidRPr="00E00B35">
        <w:rPr>
          <w:szCs w:val="20"/>
        </w:rPr>
        <w:t xml:space="preserve">CEL: Edukacja obywatelska, prezentacja stanowisk stron i ekspertów. Szczegółowe omówienie zagadnień. Pozyskanie rekomendacji dla rozwiązania poszczególnych problemów. Rekomendacje, które uzyskały poparcie co najmniej 80 procent panelu, zgodnie z  zapowiedzią Prezydenta Wrocławia, są przez niego traktowane jako wiążące, czyli zostały wskazane do realizacji. </w:t>
      </w:r>
    </w:p>
    <w:p w:rsidR="00CA14AB" w:rsidRPr="00E00B35" w:rsidRDefault="00CA14AB" w:rsidP="00E00B35">
      <w:pPr>
        <w:spacing w:after="0" w:line="312" w:lineRule="auto"/>
        <w:rPr>
          <w:szCs w:val="20"/>
        </w:rPr>
      </w:pPr>
      <w:r w:rsidRPr="00E00B35">
        <w:rPr>
          <w:szCs w:val="20"/>
        </w:rPr>
        <w:t xml:space="preserve">W związku z Covid-19 pierwotny termin zakończenia realizacji zadania (31/07/2020) został przedłużony do 30/11/2020. Realizator zadania zakupił środki ochrony osobistej dla osób uczestniczących w panelu, a także niezbędne środki sanitarne.  Więcej informacji: www.wroclaw.pl/rozmawia/panel-obywatelski  </w:t>
      </w:r>
    </w:p>
    <w:p w:rsidR="00CA14AB" w:rsidRPr="00E00B35" w:rsidRDefault="00CA14AB" w:rsidP="00E00B35">
      <w:pPr>
        <w:spacing w:after="0" w:line="312" w:lineRule="auto"/>
        <w:rPr>
          <w:szCs w:val="20"/>
        </w:rPr>
      </w:pPr>
      <w:r w:rsidRPr="00E00B35">
        <w:rPr>
          <w:szCs w:val="20"/>
        </w:rPr>
        <w:t>Wrocławski Budżet Obywatelski 2020</w:t>
      </w:r>
    </w:p>
    <w:p w:rsidR="00CA14AB" w:rsidRPr="00E00B35" w:rsidRDefault="00CA14AB" w:rsidP="00E00B35">
      <w:pPr>
        <w:spacing w:after="0" w:line="312" w:lineRule="auto"/>
        <w:rPr>
          <w:szCs w:val="20"/>
        </w:rPr>
      </w:pPr>
      <w:r w:rsidRPr="00E00B35">
        <w:rPr>
          <w:szCs w:val="20"/>
        </w:rPr>
        <w:t>Na realizację WBO 2020 przeznaczono 25 mln zł:</w:t>
      </w:r>
    </w:p>
    <w:p w:rsidR="00CA14AB" w:rsidRPr="00E00B35" w:rsidRDefault="00CA14AB" w:rsidP="00BC64AB">
      <w:pPr>
        <w:pStyle w:val="Akapitzlist"/>
        <w:numPr>
          <w:ilvl w:val="0"/>
          <w:numId w:val="156"/>
        </w:numPr>
        <w:tabs>
          <w:tab w:val="left" w:pos="426"/>
        </w:tabs>
        <w:spacing w:after="0" w:line="312" w:lineRule="auto"/>
        <w:ind w:left="426" w:hanging="426"/>
        <w:rPr>
          <w:szCs w:val="20"/>
        </w:rPr>
      </w:pPr>
      <w:r w:rsidRPr="00E00B35">
        <w:rPr>
          <w:szCs w:val="20"/>
        </w:rPr>
        <w:t>9 mln zł na projekty osiedlowe o wartości do 750 000 zł;</w:t>
      </w:r>
    </w:p>
    <w:p w:rsidR="00CA14AB" w:rsidRPr="00E00B35" w:rsidRDefault="00CA14AB" w:rsidP="00BC64AB">
      <w:pPr>
        <w:pStyle w:val="Akapitzlist"/>
        <w:numPr>
          <w:ilvl w:val="0"/>
          <w:numId w:val="156"/>
        </w:numPr>
        <w:tabs>
          <w:tab w:val="left" w:pos="426"/>
        </w:tabs>
        <w:spacing w:after="0" w:line="312" w:lineRule="auto"/>
        <w:ind w:left="426" w:hanging="426"/>
        <w:rPr>
          <w:szCs w:val="20"/>
        </w:rPr>
      </w:pPr>
      <w:r w:rsidRPr="00E00B35">
        <w:rPr>
          <w:szCs w:val="20"/>
        </w:rPr>
        <w:t>16 mln zł na projekty ponadosiedlowe o wartości do 2 mln zł.</w:t>
      </w:r>
    </w:p>
    <w:p w:rsidR="00CA14AB" w:rsidRPr="00E00B35" w:rsidRDefault="00CA14AB" w:rsidP="00E00B35">
      <w:pPr>
        <w:spacing w:after="0" w:line="312" w:lineRule="auto"/>
        <w:rPr>
          <w:szCs w:val="20"/>
        </w:rPr>
      </w:pPr>
      <w:r w:rsidRPr="00E00B35">
        <w:rPr>
          <w:szCs w:val="20"/>
        </w:rPr>
        <w:t>Z 413 zgłoszonych projektów do głosowania dopuszczono 199, finalnie do realizacji wybrano 20 projektów. WBO 2020 przeprowadzony został według zasad zgodnych ze znowelizowaną ustawą o samorządzie gminnym. Stosowna uchwała Rady Miejskiej Wrocławia w sprawie Wrocławskiego Budżetu Obywatelskiego weszła w życie 13 września 2018 r.</w:t>
      </w:r>
    </w:p>
    <w:p w:rsidR="00CA14AB" w:rsidRPr="00E00B35" w:rsidRDefault="00CA14AB" w:rsidP="00E00B35">
      <w:pPr>
        <w:spacing w:after="0" w:line="312" w:lineRule="auto"/>
        <w:rPr>
          <w:szCs w:val="20"/>
        </w:rPr>
      </w:pPr>
      <w:r w:rsidRPr="00E00B35">
        <w:rPr>
          <w:szCs w:val="20"/>
        </w:rPr>
        <w:t xml:space="preserve">Budżet partycypacyjny to proces decyzyjny, w ramach którego mieszkańcy współtworzą budżet miasta poprzez współdecydowanie o dystrybucji określonej puli środków </w:t>
      </w:r>
      <w:r w:rsidRPr="00E00B35">
        <w:rPr>
          <w:szCs w:val="20"/>
        </w:rPr>
        <w:lastRenderedPageBreak/>
        <w:t xml:space="preserve">publicznych. Integralną częścią budżetu obywatelskiego jest publiczna dyskusja pomiędzy mieszkańcami, dotycząca zagospodarowania jasno określonych środków finansowych. </w:t>
      </w:r>
    </w:p>
    <w:p w:rsidR="00CA14AB" w:rsidRPr="00E00B35" w:rsidRDefault="00CA14AB" w:rsidP="00E00B35">
      <w:pPr>
        <w:spacing w:after="0" w:line="312" w:lineRule="auto"/>
        <w:rPr>
          <w:szCs w:val="20"/>
        </w:rPr>
      </w:pPr>
      <w:r w:rsidRPr="00E00B35">
        <w:rPr>
          <w:szCs w:val="20"/>
        </w:rPr>
        <w:t xml:space="preserve">Wyniki Wrocławskiego Budżetu Obywatelskiego (WBO) są wiążące dla Prezydenta Wrocławia i Radnych Miejskich, co jest potwierdzane stosowną uchwałą budżetową przyjmowaną na dany rok. To w tej uchwale są zapisane wszystkie zadania, które mieszkańcy wybrali do realizacji. Wrocławski Budżet Obywatelski nie jest działaniem jednorazowym, lecz długofalowym procesem, organizowanym od 2013 roku. </w:t>
      </w:r>
    </w:p>
    <w:p w:rsidR="00CA14AB" w:rsidRPr="00E00B35" w:rsidRDefault="00CA14AB" w:rsidP="00E00B35">
      <w:pPr>
        <w:spacing w:after="0" w:line="312" w:lineRule="auto"/>
        <w:rPr>
          <w:szCs w:val="20"/>
        </w:rPr>
      </w:pPr>
      <w:r w:rsidRPr="00E00B35">
        <w:rPr>
          <w:szCs w:val="20"/>
        </w:rPr>
        <w:t xml:space="preserve">Kolejne edycje Wrocławskiego Budżetu Obywatelskiego wykazały chęć i potrzebę Wrocławian współdecydowania o zadaniach inwestycyjnych realizowanych we Wrocławiu. Przez 8 lat istnienia programu 2913 liderów zgłosiło swoje projekty i oddano na nie w sumie 825 639 głosów. </w:t>
      </w:r>
      <w:r w:rsidRPr="00E00B35">
        <w:rPr>
          <w:szCs w:val="20"/>
        </w:rPr>
        <w:br/>
        <w:t>Do realizacji wybrano 410 projektów na łączną kwotę 170 750 000 zł.</w:t>
      </w:r>
    </w:p>
    <w:p w:rsidR="00CA14AB" w:rsidRPr="00E00B35" w:rsidRDefault="00CA14AB" w:rsidP="00E00B35">
      <w:pPr>
        <w:spacing w:after="0" w:line="312" w:lineRule="auto"/>
        <w:rPr>
          <w:szCs w:val="20"/>
        </w:rPr>
      </w:pPr>
      <w:r w:rsidRPr="00E00B35">
        <w:rPr>
          <w:szCs w:val="20"/>
        </w:rPr>
        <w:t xml:space="preserve">Zakres WBO 2020 obejmował zorganizowanie naboru i oceny projektów złożonych przez mieszkańców Wrocławia, przy maksymalnej wartości projektu rejonowego – 750 000 zł </w:t>
      </w:r>
      <w:r w:rsidRPr="00E00B35">
        <w:rPr>
          <w:szCs w:val="20"/>
        </w:rPr>
        <w:br/>
        <w:t xml:space="preserve">i ogólnomiejskiego – 1 000 000 zł. </w:t>
      </w:r>
    </w:p>
    <w:p w:rsidR="00CA14AB" w:rsidRPr="00E00B35" w:rsidRDefault="00CA14AB" w:rsidP="00E00B35">
      <w:pPr>
        <w:spacing w:after="0" w:line="312" w:lineRule="auto"/>
        <w:rPr>
          <w:szCs w:val="20"/>
        </w:rPr>
      </w:pPr>
      <w:r w:rsidRPr="00E00B35">
        <w:rPr>
          <w:szCs w:val="20"/>
        </w:rPr>
        <w:t>Wartość środków przeznaczonych na realizację WBO 2020 wyniosła 25 000 000 zł, gdzie:</w:t>
      </w:r>
      <w:r w:rsidRPr="00E00B35">
        <w:rPr>
          <w:szCs w:val="20"/>
        </w:rPr>
        <w:br/>
        <w:t>9 000 000 zł na projekty osiedlowe o wartości do 750 000 zł;</w:t>
      </w:r>
      <w:r w:rsidRPr="00E00B35">
        <w:rPr>
          <w:szCs w:val="20"/>
        </w:rPr>
        <w:br/>
        <w:t>16 000 000 zł na projekty ponadosiedlowe o wartości do 2 000 000 zł.</w:t>
      </w:r>
    </w:p>
    <w:p w:rsidR="00CA14AB" w:rsidRPr="00E00B35" w:rsidRDefault="00CA14AB" w:rsidP="00E00B35">
      <w:pPr>
        <w:spacing w:after="0" w:line="312" w:lineRule="auto"/>
        <w:rPr>
          <w:szCs w:val="20"/>
        </w:rPr>
      </w:pPr>
      <w:r w:rsidRPr="00E00B35">
        <w:rPr>
          <w:szCs w:val="20"/>
        </w:rPr>
        <w:t xml:space="preserve">Na początku 2020 roku przeprowadzono szereg spotkań informacyjnych, w ramach których przedstawiono mieszkańcom Wrocławia zasady ubiegania się o środki w ramach WBO. W czerwcu 2020 roku, ze względu na sytuację epidemiczną, zrezygnowano z tradycyjnych spotkań konsultacyjnych z Liderami projektów, zamiast tego WSS udzielał odpowiedzi na wszystkie pytania w rozmowach telefonicznych i kontaktując się z Liderami przez pocztę e-mail. </w:t>
      </w:r>
      <w:r w:rsidRPr="00E00B35">
        <w:rPr>
          <w:szCs w:val="20"/>
        </w:rPr>
        <w:br/>
        <w:t>29 lipca 2020 w Centrum Historii Zajezdnia odbyło się drugie forum wymiany wiedzy i doświadczeń liderek i liderów projektów Wrocławskiego Budżetu Obywatelskiego. Dzięki poluzowaniu obostrzeń epidemicznych, spotkanie mogło odbyć się w tradycyjnej formie, ale jego przebieg był też transmitowany w Internecie. Rozmowa dotyczyła skutecznych strategii i sposobów promocji projektów WBO, również w związku z sytuacją epidemiczną. Spotkanie miało charakter otwarty i na jego podstawie został zaktualizowany poradnik „Jak wygrać w WBO”. Mieszkańcy zgłosili do WBO 2020 propozycje 413 projektów. Z tej liczby 199 zostało poddanych pod głosowanie, finalnie do realizacji wybrano 20 projektów za kwotę 25 000 000 zł.</w:t>
      </w:r>
    </w:p>
    <w:p w:rsidR="00786FF6" w:rsidRPr="00E00B35" w:rsidRDefault="00CA14AB" w:rsidP="00E00B35">
      <w:pPr>
        <w:spacing w:after="0" w:line="312" w:lineRule="auto"/>
        <w:rPr>
          <w:szCs w:val="20"/>
        </w:rPr>
      </w:pPr>
      <w:r w:rsidRPr="00E00B35">
        <w:rPr>
          <w:szCs w:val="20"/>
        </w:rPr>
        <w:t>Podział projektów pomiędzy jednostkami:</w:t>
      </w:r>
    </w:p>
    <w:p w:rsidR="00CA14AB" w:rsidRPr="00E00B35" w:rsidRDefault="00CA14AB" w:rsidP="00E00B35">
      <w:pPr>
        <w:spacing w:after="0" w:line="312" w:lineRule="auto"/>
        <w:rPr>
          <w:szCs w:val="20"/>
        </w:rPr>
      </w:pPr>
      <w:r w:rsidRPr="00E00B35">
        <w:rPr>
          <w:szCs w:val="20"/>
        </w:rPr>
        <w:t>ZZM – 13 projektów – 15 950 000 zł,</w:t>
      </w:r>
      <w:r w:rsidRPr="00E00B35">
        <w:rPr>
          <w:szCs w:val="20"/>
        </w:rPr>
        <w:br/>
        <w:t>ZDiUM – 2 projekty – 2 750 000 zł,</w:t>
      </w:r>
      <w:r w:rsidRPr="00E00B35">
        <w:rPr>
          <w:szCs w:val="20"/>
        </w:rPr>
        <w:br/>
        <w:t>ZIM – 3 projekty – 2 150 000 zł,</w:t>
      </w:r>
      <w:r w:rsidRPr="00E00B35">
        <w:rPr>
          <w:szCs w:val="20"/>
        </w:rPr>
        <w:br/>
        <w:t>WI – 3 projektów – 3 500 000 zł</w:t>
      </w:r>
      <w:r w:rsidRPr="00E00B35">
        <w:rPr>
          <w:szCs w:val="20"/>
        </w:rPr>
        <w:br/>
        <w:t>MCS – 1 projekt – 500 000 zł</w:t>
      </w:r>
    </w:p>
    <w:p w:rsidR="00CA14AB" w:rsidRPr="00E00B35" w:rsidRDefault="00CA14AB" w:rsidP="00E00B35">
      <w:pPr>
        <w:spacing w:after="0" w:line="312" w:lineRule="auto"/>
        <w:rPr>
          <w:szCs w:val="20"/>
        </w:rPr>
      </w:pPr>
      <w:r w:rsidRPr="00E00B35">
        <w:rPr>
          <w:szCs w:val="20"/>
        </w:rPr>
        <w:t>Warto zaznaczyć, że jedno z zadań będzie realizowane przez 2 jednostki: ZIM oraz ZZM.</w:t>
      </w:r>
    </w:p>
    <w:p w:rsidR="00CA14AB" w:rsidRPr="00E00B35" w:rsidRDefault="00CA14AB" w:rsidP="00E00B35">
      <w:pPr>
        <w:spacing w:after="0" w:line="312" w:lineRule="auto"/>
        <w:rPr>
          <w:szCs w:val="20"/>
        </w:rPr>
      </w:pPr>
      <w:r w:rsidRPr="00E00B35">
        <w:rPr>
          <w:szCs w:val="20"/>
        </w:rPr>
        <w:t>Od stycznia 2020 r. WSS przejął kompetencje dotyczące zlecania, monitorowania oraz rozliczania zadań z WBO zleconych do realizacji spółce Wrocławskie Inwestycje sp z o.o.</w:t>
      </w:r>
      <w:r w:rsidRPr="00E00B35">
        <w:rPr>
          <w:szCs w:val="20"/>
        </w:rPr>
        <w:br/>
        <w:t xml:space="preserve">W ramach współpracy zlecano oraz zatwierdzano zmiany w harmonogramach zleconych </w:t>
      </w:r>
      <w:r w:rsidRPr="00E00B35">
        <w:rPr>
          <w:szCs w:val="20"/>
        </w:rPr>
        <w:lastRenderedPageBreak/>
        <w:t>dotychczas zadań. W wypadkach, gdy zmianie ulegał budżet zadania lub jego termin realizacji przygotowywano stosowne aneksy. Ponadto akceptowano i podpisywano dokumenty do rejestracji umów w CRZ (Centralny Rejestr Zobowiązań) oraz opiniowano raporty kwartalne z realizowanych przez spółkę zadań dotyczących WBO.</w:t>
      </w:r>
      <w:r w:rsidRPr="00E00B35">
        <w:rPr>
          <w:szCs w:val="20"/>
        </w:rPr>
        <w:br/>
        <w:t>W ramach obsługi finansowej akceptowano faktury wykonawców do zapłaty oraz sprawdzano i akceptowano dokumenty PT(przekazanie środka trwałego).</w:t>
      </w:r>
      <w:r w:rsidRPr="00E00B35">
        <w:rPr>
          <w:szCs w:val="20"/>
        </w:rPr>
        <w:br/>
        <w:t>W razie konieczności kontrolowano zmiany zgłaszane na sesję budżetową m.in. pod kontem deklarowanych terminów realizacji zadania.</w:t>
      </w:r>
    </w:p>
    <w:p w:rsidR="00CA14AB" w:rsidRPr="00E00B35" w:rsidRDefault="00CA14AB" w:rsidP="00E00B35">
      <w:pPr>
        <w:spacing w:after="0" w:line="312" w:lineRule="auto"/>
        <w:rPr>
          <w:szCs w:val="20"/>
        </w:rPr>
      </w:pPr>
      <w:r w:rsidRPr="00E00B35">
        <w:rPr>
          <w:szCs w:val="20"/>
        </w:rPr>
        <w:t xml:space="preserve">Zakończenie zadań inwestycyjnych wybranych w ramach WBO 2020 planowane jest </w:t>
      </w:r>
      <w:r w:rsidRPr="00E00B35">
        <w:rPr>
          <w:szCs w:val="20"/>
        </w:rPr>
        <w:br/>
        <w:t>na lata 2021–2022.</w:t>
      </w:r>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Fundusz Osiedlowy</w:t>
      </w:r>
    </w:p>
    <w:p w:rsidR="00CA14AB" w:rsidRPr="00E00B35" w:rsidRDefault="00CA14AB" w:rsidP="00E00B35">
      <w:pPr>
        <w:spacing w:after="0" w:line="312" w:lineRule="auto"/>
        <w:rPr>
          <w:szCs w:val="20"/>
        </w:rPr>
      </w:pPr>
      <w:r w:rsidRPr="00E00B35">
        <w:rPr>
          <w:szCs w:val="20"/>
        </w:rPr>
        <w:t>Rok 2020 był rokiem wdrażania „Zasad subsydiarnego decydowania przez samorządy osiedlowe o realizacji osiedlowych inwestycji w latach 2020-2021 w ramach tzw. Funduszu Osiedlowego w warunkach niezwykłych, dotąd niespotykanych - w realiach pandemii, ze wszelkimi szykanami tą przyczyną powodowanymi.</w:t>
      </w:r>
      <w:r w:rsidRPr="00E00B35">
        <w:rPr>
          <w:szCs w:val="20"/>
        </w:rPr>
        <w:br/>
        <w:t>W okresie od 16 listopada 2019 r. do 23 stycznia 2020 r. zarejestrowano 375 wniosków inwestycyjnych zgłoszonych przez wszystkie wrocławskie osiedla. Najwięcej wniosków zgłoszono w kategorii budowy i naprawy chodników oraz ścieżek pieszych i rowerowych (96 projektów), tworzenia terenów rekreacyjnych i zielonych (82 projekty) oraz naprawy dróg i poprawienia bezpieczeństwa na drogach (60 projektów). Pozostałe projekty dotyczyły głównie budowy oraz naprawy placów zabaw i boisk, odnowy i rozbudowy infrastruktury na podwórkach oraz komunikacji zbiorowej.</w:t>
      </w:r>
      <w:r w:rsidRPr="00E00B35">
        <w:rPr>
          <w:szCs w:val="20"/>
        </w:rPr>
        <w:br/>
        <w:t>W efekcie czynionych prac przeprowadzono we własnym zakresie weryfikację formalną, a w ramach współdziałania wespół z 24 jednostkami (Wydziały i Biura Urzędu Miejskiego oraz gminne jednostki organizacyjne) ocenę adekwatności szacunku kosztowego oraz wykonalności technicznej wszystkich 375 wniosków inwestycyjnych zgłoszonych przez osiedla.</w:t>
      </w:r>
      <w:r w:rsidRPr="00E00B35">
        <w:rPr>
          <w:szCs w:val="20"/>
        </w:rPr>
        <w:br/>
        <w:t>Jako spełniające wymogi procedury Funduszu Osiedlowego zakwalifikowano 164 zadania, które wymagały dodatkowych spotkań konsultacyjnych z przedstawicielami osiedli – łącznie w liczbie ogółem 36 oraz wizji lokalnych w terenie w ilości 9.</w:t>
      </w:r>
      <w:r w:rsidRPr="00E00B35">
        <w:rPr>
          <w:szCs w:val="20"/>
        </w:rPr>
        <w:br/>
        <w:t>Jako utrudnienie podaje się, że wszystkie spotkania konsultacyjne odbywały się w warunkach wymogów epidemicznych.</w:t>
      </w:r>
    </w:p>
    <w:p w:rsidR="00CA14AB" w:rsidRPr="00E00B35" w:rsidRDefault="00CA14AB" w:rsidP="00E00B35">
      <w:pPr>
        <w:spacing w:after="0" w:line="312" w:lineRule="auto"/>
        <w:rPr>
          <w:szCs w:val="20"/>
        </w:rPr>
      </w:pPr>
      <w:r w:rsidRPr="00E00B35">
        <w:rPr>
          <w:szCs w:val="20"/>
        </w:rPr>
        <w:t>Rok 2020 zakończono przekazaniem do jednostek 86 zadań w celu ich przygotowania do realizacji. Przy współpracy z Radami Osiedla trwają dalsze intensywne prace nad ustaleniem zakresów i szacunkowych kosztów pozostałych.</w:t>
      </w:r>
    </w:p>
    <w:p w:rsidR="00CA14AB" w:rsidRPr="00E00B35" w:rsidRDefault="00CA14AB" w:rsidP="00E00B35">
      <w:pPr>
        <w:spacing w:after="0" w:line="312" w:lineRule="auto"/>
        <w:rPr>
          <w:szCs w:val="20"/>
        </w:rPr>
      </w:pPr>
      <w:r w:rsidRPr="00E00B35">
        <w:rPr>
          <w:szCs w:val="20"/>
        </w:rPr>
        <w:t xml:space="preserve">Rok 2020 był kolejnym rokiem działania Zespołu ds. reformy ustroju samorządowych jednostek pomocniczych we Wrocławiu (Zarządzenie Prezydenta Wrocławia Nr 696/19 z dnia 28 marca 2019 r.), który przygotował nowy projekt ordynacji wyborczej do rady osiedla, uchwalony na sesji Rady Miejskiej w dniu 20 listopada 2020 r. (Uchwała RM nr XXXI/793/20). Realizując ww. Zarządzenie Prezydenta Wrocławia WSS zapewnił obsługę wszystkich 21 posiedzeń Zespołu ds. reformy ustroju samorządowych jednostek pomocniczych we Wrocławiu – wszystkie spotkania odbywały się w warunkach wymogów </w:t>
      </w:r>
      <w:r w:rsidRPr="00E00B35">
        <w:rPr>
          <w:szCs w:val="20"/>
        </w:rPr>
        <w:lastRenderedPageBreak/>
        <w:t xml:space="preserve">epidemicznych. </w:t>
      </w:r>
      <w:r w:rsidRPr="00E00B35">
        <w:rPr>
          <w:szCs w:val="20"/>
        </w:rPr>
        <w:br/>
        <w:t>Rok 2020 w działalności Wydziału Partycypacji był również rokiem intensywnej współpracy z Centrum Usług Informatycznych w zakresie rozbudowy aplikacji FRODO dedykowanej Funduszowi Osiedlowemu oraz współpracy z ARAW ws. publikacji informacji dot. Funduszu Osiedlowego oraz zmian na stronie internetowej Wrocław Rozmawia.</w:t>
      </w:r>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Konsultacje społeczne przeprowadzone przez Wydział Partycypacji Społecznej w 2020 roku</w:t>
      </w:r>
    </w:p>
    <w:p w:rsidR="00CA14AB" w:rsidRPr="00E00B35" w:rsidRDefault="00CA14AB" w:rsidP="00E00B35">
      <w:pPr>
        <w:spacing w:after="0" w:line="312" w:lineRule="auto"/>
        <w:rPr>
          <w:szCs w:val="20"/>
        </w:rPr>
      </w:pPr>
      <w:r w:rsidRPr="00E00B35">
        <w:rPr>
          <w:szCs w:val="20"/>
        </w:rPr>
        <w:t>Jednym z warunków podnoszenia jakości życia w mieście jest stały dialog z mieszkańcami. Służą do tego takie działania, programy i instrumenty jak konsultacje społeczne, budżet obywatelski, fundusz osiedlowy, realizacja zadań społecznych, mediacje, współpraca z organizacjami pozarządowymi, wreszcie programy małych grantów oraz wspieranie różnego rodzaju oddolnych inicjatyw.</w:t>
      </w:r>
      <w:r w:rsidRPr="00E00B35">
        <w:rPr>
          <w:szCs w:val="20"/>
        </w:rPr>
        <w:br/>
        <w:t xml:space="preserve">W 2020 r. Wydział Partycypacji Społecznej we współpracy z jednostkami miejskimi przeprowadził 13 procesów konsultacji społecznych oraz 3 spotkania konsultacyjne w istotnych dla mieszkańców sprawach. Wiedza i doświadczenie pozyskane tą drogą pozwalają w bardziej wszechstronny sposób spojrzeć na konkretne zadania i lepiej je realizować. </w:t>
      </w:r>
      <w:r w:rsidRPr="00E00B35">
        <w:rPr>
          <w:szCs w:val="20"/>
        </w:rPr>
        <w:br/>
        <w:t>Wzorem lat ubiegłych Wydział Partycypacji Społecznej w 2020 roku w ramach realizacji zadania publicznego otrzymał wsparcie Fundacji na Rzecz Studiów Europejskich. FEPS specjalizuje się między innymi w przeprowadzaniu konsultacji społecznych. Zadanie zakładało wsparcie przy 11 procesach konsultacyjnych oraz prowadzenie konsultacji.</w:t>
      </w:r>
      <w:r w:rsidRPr="00E00B35">
        <w:rPr>
          <w:szCs w:val="20"/>
        </w:rPr>
        <w:br/>
        <w:t>Warto dodać, że osobno toczyły się w ramach prac Wydziału wewnętrzne procesy konsultacyjne w ramach np. Funduszu Osiedlowego (we współpracy z radami osiedli) czy Wrocławskiego Budżetu Obywatelskiego.</w:t>
      </w:r>
    </w:p>
    <w:p w:rsidR="00CA14AB" w:rsidRPr="00E00B35" w:rsidRDefault="00CA14AB" w:rsidP="00E00B35">
      <w:pPr>
        <w:spacing w:after="0" w:line="312" w:lineRule="auto"/>
        <w:rPr>
          <w:szCs w:val="20"/>
        </w:rPr>
      </w:pPr>
      <w:r w:rsidRPr="00E00B35">
        <w:rPr>
          <w:szCs w:val="20"/>
        </w:rPr>
        <w:t>Wsparcie procesów konsultacji społecznych na terenie Gminy Wrocław w pierwszym półroczu 2020 roku.</w:t>
      </w:r>
    </w:p>
    <w:p w:rsidR="00CA14AB" w:rsidRPr="00E00B35" w:rsidRDefault="00CA14AB" w:rsidP="00E00B35">
      <w:pPr>
        <w:spacing w:after="0" w:line="312" w:lineRule="auto"/>
        <w:rPr>
          <w:szCs w:val="20"/>
        </w:rPr>
      </w:pPr>
      <w:r w:rsidRPr="00E00B35">
        <w:rPr>
          <w:szCs w:val="20"/>
        </w:rPr>
        <w:t xml:space="preserve">Okres realizacji: 10 stycznia 2020 – 31 października 2020 </w:t>
      </w:r>
      <w:r w:rsidRPr="00E00B35">
        <w:rPr>
          <w:szCs w:val="20"/>
        </w:rPr>
        <w:br/>
        <w:t>Liczba zawartych umów: 1</w:t>
      </w:r>
      <w:r w:rsidRPr="00E00B35">
        <w:rPr>
          <w:szCs w:val="20"/>
        </w:rPr>
        <w:br/>
        <w:t>Liczba konsultacji w ramach umowy: 10 (konsultacje nr 1-10)</w:t>
      </w:r>
      <w:r w:rsidRPr="00E00B35">
        <w:rPr>
          <w:szCs w:val="20"/>
        </w:rPr>
        <w:br/>
        <w:t xml:space="preserve">Kwota dotacji:  150 000 zł </w:t>
      </w:r>
    </w:p>
    <w:p w:rsidR="00CA14AB" w:rsidRPr="00E00B35" w:rsidRDefault="00CA14AB" w:rsidP="00E00B35">
      <w:pPr>
        <w:spacing w:after="0" w:line="312" w:lineRule="auto"/>
        <w:rPr>
          <w:szCs w:val="20"/>
        </w:rPr>
      </w:pPr>
      <w:r w:rsidRPr="00E00B35">
        <w:rPr>
          <w:szCs w:val="20"/>
        </w:rPr>
        <w:t>Celem realizacji zadania publicznego był rozwój wspólnot i społeczności lokalnych poprzez włączanie ich w konsultacje społeczne prowadzone przez Gminę Wrocław w pierwszej połowie 2020 roku. W związku z Covid-19 pierwotny termin zakończenia realizacji zadania (30/06/2020) został przedłużony do 31/10/2020. Jednocześnie wprowadzono e-konsultacje z użyciem platform internetowych dedykowanych zdalnym spotkaniom grupowym.</w:t>
      </w:r>
    </w:p>
    <w:p w:rsidR="00CA14AB" w:rsidRPr="00E00B35" w:rsidRDefault="00CA14AB" w:rsidP="00E00B35">
      <w:pPr>
        <w:spacing w:after="0" w:line="312" w:lineRule="auto"/>
        <w:rPr>
          <w:szCs w:val="20"/>
        </w:rPr>
      </w:pPr>
      <w:r w:rsidRPr="00E00B35">
        <w:rPr>
          <w:szCs w:val="20"/>
        </w:rPr>
        <w:t>Wsparcie procesów konsultacji społecznych na terenie Gminy Wrocław w latach 2020 - 2022 roku.</w:t>
      </w:r>
    </w:p>
    <w:p w:rsidR="00CA14AB" w:rsidRPr="00E00B35" w:rsidRDefault="00CA14AB" w:rsidP="00E00B35">
      <w:pPr>
        <w:spacing w:after="0" w:line="312" w:lineRule="auto"/>
        <w:rPr>
          <w:szCs w:val="20"/>
        </w:rPr>
      </w:pPr>
      <w:r w:rsidRPr="00E00B35">
        <w:rPr>
          <w:szCs w:val="20"/>
        </w:rPr>
        <w:t xml:space="preserve">Okres realizacji: 30 listopada 2020 – 31 grudnia 2022 (umowa wieloletnia) </w:t>
      </w:r>
      <w:r w:rsidRPr="00E00B35">
        <w:rPr>
          <w:szCs w:val="20"/>
        </w:rPr>
        <w:br/>
        <w:t>Liczba zawartych umów: 1</w:t>
      </w:r>
      <w:r w:rsidRPr="00E00B35">
        <w:rPr>
          <w:szCs w:val="20"/>
        </w:rPr>
        <w:br/>
        <w:t>Liczba konsultacji w ramach umowy: 1 (konsultacja nr 11)</w:t>
      </w:r>
      <w:r w:rsidRPr="00E00B35">
        <w:rPr>
          <w:szCs w:val="20"/>
        </w:rPr>
        <w:br/>
        <w:t>Kwota dotacji:  40 000 zł (na lata 2020-2022 łącznie 640 000 zł)</w:t>
      </w:r>
    </w:p>
    <w:p w:rsidR="00CA14AB" w:rsidRPr="00E00B35" w:rsidRDefault="00CA14AB" w:rsidP="00E00B35">
      <w:pPr>
        <w:spacing w:after="0" w:line="312" w:lineRule="auto"/>
        <w:rPr>
          <w:szCs w:val="20"/>
        </w:rPr>
      </w:pPr>
      <w:r w:rsidRPr="00E00B35">
        <w:rPr>
          <w:szCs w:val="20"/>
        </w:rPr>
        <w:lastRenderedPageBreak/>
        <w:t>Celem realizacji zadania publicznego był rozwój wspólnot i społeczności lokalnych poprzez włączanie ich w konsultacje społeczne prowadzone przez Gminę Wrocław w latach 2020 – 2022. W związku z Covid-19 prowadzono e-konsultacje z użyciem platform internetowych dedykowanych zdalnym spotkaniom grupowym.</w:t>
      </w:r>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Formy prowadzenia konsultacji społecznych</w:t>
      </w:r>
    </w:p>
    <w:p w:rsidR="00CA14AB" w:rsidRPr="00E00B35" w:rsidRDefault="00CA14AB" w:rsidP="00E00B35">
      <w:pPr>
        <w:spacing w:after="0" w:line="312" w:lineRule="auto"/>
        <w:rPr>
          <w:szCs w:val="20"/>
        </w:rPr>
      </w:pPr>
      <w:r w:rsidRPr="00E00B35">
        <w:rPr>
          <w:szCs w:val="20"/>
        </w:rPr>
        <w:t>W trakcie konsultacji można było wyrazić swoją opinię, poznać potrzeby innych, zadawać pytania urzędnikom i ekspertom m.in. poprzez ankiety, formularze opinii, pocztę elektroniczną, spotkania konsultacyjne, spotkania warsztatowe oraz spacery badawcze.</w:t>
      </w:r>
    </w:p>
    <w:p w:rsidR="00CA14AB" w:rsidRPr="00E00B35" w:rsidRDefault="00CA14AB" w:rsidP="00E00B35">
      <w:pPr>
        <w:spacing w:after="0" w:line="312" w:lineRule="auto"/>
        <w:rPr>
          <w:szCs w:val="20"/>
        </w:rPr>
      </w:pPr>
      <w:r w:rsidRPr="00E00B35">
        <w:rPr>
          <w:szCs w:val="20"/>
        </w:rPr>
        <w:t>Konsultacje ze względu na sytuację epidemiologiczną i reżimy sanitarne odbywały się w dużej mierze online. Udział w spotkaniach, zabranie głosu, dyskusję umożliwiła specjalna platforma – Clickmeeting. Dodatkowo na stronie internetowej danych konsultacji zamieszczano zapis z takiego spotkania.</w:t>
      </w:r>
    </w:p>
    <w:p w:rsidR="00CA14AB" w:rsidRPr="00E00B35" w:rsidRDefault="00CA14AB" w:rsidP="00E00B35">
      <w:pPr>
        <w:spacing w:after="0" w:line="312" w:lineRule="auto"/>
        <w:rPr>
          <w:szCs w:val="20"/>
        </w:rPr>
      </w:pPr>
      <w:r w:rsidRPr="00E00B35">
        <w:rPr>
          <w:szCs w:val="20"/>
        </w:rPr>
        <w:t>W pojedynczych przypadkach konsultacje udało się przeprowadzić bezpośrednio w kontakcie z mieszkańcami. Wtedy odbywały się lokalnie z wykorzystaniem różnorodnych form – spotkania, spacery, punkty konsultacyjne.</w:t>
      </w:r>
    </w:p>
    <w:p w:rsidR="00CA14AB" w:rsidRPr="00E00B35" w:rsidRDefault="00CA14AB" w:rsidP="00E00B35">
      <w:pPr>
        <w:spacing w:after="0" w:line="312" w:lineRule="auto"/>
        <w:rPr>
          <w:szCs w:val="20"/>
        </w:rPr>
      </w:pPr>
      <w:r w:rsidRPr="00E00B35">
        <w:rPr>
          <w:szCs w:val="20"/>
        </w:rPr>
        <w:t xml:space="preserve">Przebieg, relacja oraz wyniki konsultacji prezentowane były na portalu poprzez informacje podsumowujące dany etap oraz w raportach z konsultacji. Chcąc umożliwić udział w konsultacjach jak najszerszej grupie mieszkańców miasta, w 2020 roku już po raz kolejny zaprosiliśmy do udziału w nich najmłodszych wrocławian. </w:t>
      </w:r>
    </w:p>
    <w:p w:rsidR="00CA14AB" w:rsidRPr="00E00B35" w:rsidRDefault="00CA14AB" w:rsidP="00E00B35">
      <w:pPr>
        <w:spacing w:after="0" w:line="312" w:lineRule="auto"/>
        <w:rPr>
          <w:szCs w:val="20"/>
        </w:rPr>
      </w:pPr>
      <w:r w:rsidRPr="00E00B35">
        <w:rPr>
          <w:szCs w:val="20"/>
        </w:rPr>
        <w:t>Przy 5 procesach konsultacyjnych wprowadzono specjalne formy dedykowane młodym (dzieciom i młodzieży), były to: Jak urządzić dolinę Olszówki i park Krzycki?, Jak zagospodarować podwórko przy pl. św. Macieja?, Jak urządzić podwórko przy Nobla? Jak urządzić osiedle kompletne</w:t>
      </w:r>
      <w:r w:rsidR="00544448" w:rsidRPr="00E00B35">
        <w:rPr>
          <w:szCs w:val="20"/>
        </w:rPr>
        <w:t>?, Jakie podwórko przy Hallera?</w:t>
      </w:r>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Przeprowadzone procesy konsultacyjne</w:t>
      </w:r>
    </w:p>
    <w:p w:rsidR="00CA14AB" w:rsidRPr="00E00B35" w:rsidRDefault="00CA14AB" w:rsidP="00E00B35">
      <w:pPr>
        <w:spacing w:after="0" w:line="312" w:lineRule="auto"/>
        <w:rPr>
          <w:szCs w:val="20"/>
        </w:rPr>
      </w:pPr>
      <w:r w:rsidRPr="00E00B35">
        <w:rPr>
          <w:szCs w:val="20"/>
        </w:rPr>
        <w:t>W 2020 roku Wydział Partycypacji Społecznej przeprowadził następujące konsultacje:</w:t>
      </w:r>
    </w:p>
    <w:p w:rsidR="00CA14AB" w:rsidRPr="00E00B35" w:rsidRDefault="00CA14AB" w:rsidP="00E00B35">
      <w:pPr>
        <w:spacing w:after="0" w:line="312" w:lineRule="auto"/>
        <w:rPr>
          <w:szCs w:val="20"/>
        </w:rPr>
      </w:pPr>
      <w:r w:rsidRPr="00E00B35">
        <w:rPr>
          <w:szCs w:val="20"/>
        </w:rPr>
        <w:t>Jaka powinna być elektromobilność?</w:t>
      </w:r>
    </w:p>
    <w:p w:rsidR="00CA14AB" w:rsidRPr="00E00B35" w:rsidRDefault="00CA14AB" w:rsidP="00E00B35">
      <w:pPr>
        <w:spacing w:after="0" w:line="312" w:lineRule="auto"/>
        <w:rPr>
          <w:szCs w:val="20"/>
        </w:rPr>
      </w:pPr>
      <w:r w:rsidRPr="00E00B35">
        <w:rPr>
          <w:szCs w:val="20"/>
        </w:rPr>
        <w:t xml:space="preserve">TERMIN KONSULTACJI: 23.03-31.05.2020 r. </w:t>
      </w:r>
      <w:r w:rsidRPr="00E00B35">
        <w:rPr>
          <w:szCs w:val="20"/>
        </w:rPr>
        <w:br/>
        <w:t>PRZEDMIOT KONSULTACJI: Dokument pn.: „Wrocławska strategia rozwoju elektromobilności”.</w:t>
      </w:r>
      <w:r w:rsidRPr="00E00B35">
        <w:rPr>
          <w:szCs w:val="20"/>
        </w:rPr>
        <w:br/>
        <w:t>ZAKRES KONSULTACJI: Konsultacjom poddane zostały zapisy projektu dokumentu.</w:t>
      </w:r>
      <w:r w:rsidRPr="00E00B35">
        <w:rPr>
          <w:szCs w:val="20"/>
        </w:rPr>
        <w:br/>
        <w:t>CEL KONSULTACJI: Włączenie mieszkanek i mieszkańców Miasta we współdecydowanie o kierunku rozwoju elektromobilności we Wrocławiu.</w:t>
      </w:r>
      <w:r w:rsidRPr="00E00B35">
        <w:rPr>
          <w:szCs w:val="20"/>
        </w:rPr>
        <w:br/>
        <w:t xml:space="preserve">Więcej informacji: www.wroclaw.pl/rozmawia/jaka-powinna-byc-elektromobilnosc  </w:t>
      </w:r>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Jak zmienić Gajowicką?</w:t>
      </w:r>
    </w:p>
    <w:p w:rsidR="00CA14AB" w:rsidRPr="00E00B35" w:rsidRDefault="00CA14AB" w:rsidP="00E00B35">
      <w:pPr>
        <w:spacing w:after="0" w:line="312" w:lineRule="auto"/>
        <w:rPr>
          <w:szCs w:val="20"/>
        </w:rPr>
      </w:pPr>
      <w:r w:rsidRPr="00E00B35">
        <w:rPr>
          <w:szCs w:val="20"/>
        </w:rPr>
        <w:t>TERMIN KONSULTACJI: 14.05-7.06.2020 r.</w:t>
      </w:r>
      <w:r w:rsidRPr="00E00B35">
        <w:rPr>
          <w:szCs w:val="20"/>
        </w:rPr>
        <w:br/>
        <w:t xml:space="preserve">PRZEDMIOT KONSULTACJI: Koncepcja przebudowy ul. Gajowickiej.  </w:t>
      </w:r>
      <w:r w:rsidRPr="00E00B35">
        <w:rPr>
          <w:szCs w:val="20"/>
        </w:rPr>
        <w:br/>
        <w:t>ZAKRES KONSULTACJI: Pomysł przebudowy ul. Gajowickiej na odcinku od ul. Zaporoskiej do ul. Racławickiej. Szczególnie istotny był odcinek I (od ul. Zaporoskiej do al. gen. J. Hallera), ponieważ dla tej części ulicy zostanie opracowany projekt budowlany.</w:t>
      </w:r>
      <w:r w:rsidRPr="00E00B35">
        <w:rPr>
          <w:szCs w:val="20"/>
        </w:rPr>
        <w:br/>
        <w:t xml:space="preserve">CEL KONSULTACJI: Przekazanie informacji o zakresie planowanej inwestycji. </w:t>
      </w:r>
      <w:r w:rsidRPr="00E00B35">
        <w:rPr>
          <w:szCs w:val="20"/>
        </w:rPr>
        <w:lastRenderedPageBreak/>
        <w:t>Przeprowadzenie rozmów na temat tej inwestycji i zakresu jej zmian. Zebranie opinii mieszkanek i mieszkańców miasta na konsultowany temat.</w:t>
      </w:r>
      <w:r w:rsidRPr="00E00B35">
        <w:rPr>
          <w:szCs w:val="20"/>
        </w:rPr>
        <w:br/>
        <w:t xml:space="preserve">Więcej informacji: </w:t>
      </w:r>
      <w:hyperlink r:id="rId64" w:history="1">
        <w:r w:rsidR="00544448" w:rsidRPr="00E00B35">
          <w:rPr>
            <w:rStyle w:val="Hipercze"/>
            <w:szCs w:val="20"/>
          </w:rPr>
          <w:t>www.wroclaw.pl/rozmawia/jak-zmienic-gajowicka</w:t>
        </w:r>
      </w:hyperlink>
      <w:r w:rsidRPr="00E00B35">
        <w:rPr>
          <w:szCs w:val="20"/>
        </w:rPr>
        <w:t xml:space="preserve"> </w:t>
      </w:r>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Jak urządzić podwórko przy Henryka Pobożnego?</w:t>
      </w:r>
    </w:p>
    <w:p w:rsidR="00CA14AB" w:rsidRPr="00E00B35" w:rsidRDefault="00CA14AB" w:rsidP="00E00B35">
      <w:pPr>
        <w:spacing w:after="0" w:line="312" w:lineRule="auto"/>
        <w:rPr>
          <w:szCs w:val="20"/>
        </w:rPr>
      </w:pPr>
      <w:r w:rsidRPr="00E00B35">
        <w:rPr>
          <w:szCs w:val="20"/>
        </w:rPr>
        <w:t>TERMIN KONSULTACJI: 16.06-6.07.2020 r.</w:t>
      </w:r>
      <w:r w:rsidRPr="00E00B35">
        <w:rPr>
          <w:szCs w:val="20"/>
        </w:rPr>
        <w:br/>
        <w:t xml:space="preserve">PRZEDMIOT KONSULTACJI: Zagospodarowanie wnętrza podwórzowego przy ulicach: Ołbińska, Jedności Narodowej, Henryka Pobożnego i Niemcewicza. </w:t>
      </w:r>
      <w:r w:rsidRPr="00E00B35">
        <w:rPr>
          <w:szCs w:val="20"/>
        </w:rPr>
        <w:br/>
        <w:t xml:space="preserve">ZAKRES KONSULTACJI: Zagadnienia do zaopiniowania to w szczególności: chodniki i drogi dojazdowe (ich przebieg docelowy i rodzaje nawierzchni), lokalizacja miejsc postojowych, roślinność (zachowanie istniejącej zieleni oraz dobór nowych roślin i ich umiejscowienie), mała architektura (kosze na odpady, oświetlenie itp., ich lokalizacja). </w:t>
      </w:r>
      <w:r w:rsidRPr="00E00B35">
        <w:rPr>
          <w:szCs w:val="20"/>
        </w:rPr>
        <w:br/>
        <w:t>CEL KONSULTACJI: Przeprowadzenie rozmowy na temat ważnej inwestycji i zakresu zmian. Zebranie opinii mieszkanek i mieszkańców na temat podwórka – stanu obecnego i przyszłego. Przekazanie informacji o zakresie planowanej inwestycji.</w:t>
      </w:r>
      <w:r w:rsidRPr="00E00B35">
        <w:rPr>
          <w:szCs w:val="20"/>
        </w:rPr>
        <w:br/>
        <w:t xml:space="preserve">Więcej informacji: www.wroclaw.pl/rozmawia/podworko-przy-poboznego   </w:t>
      </w:r>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 xml:space="preserve">Jak urządzić dolinę Olszówki i park Krzycki? </w:t>
      </w:r>
    </w:p>
    <w:p w:rsidR="00CA14AB" w:rsidRPr="00E00B35" w:rsidRDefault="00CA14AB" w:rsidP="00E00B35">
      <w:pPr>
        <w:spacing w:after="0" w:line="312" w:lineRule="auto"/>
        <w:rPr>
          <w:szCs w:val="20"/>
        </w:rPr>
      </w:pPr>
      <w:r w:rsidRPr="00E00B35">
        <w:rPr>
          <w:szCs w:val="20"/>
        </w:rPr>
        <w:t xml:space="preserve">TERMIN KONSULTACJI: 18.06-12.07.2020 r. </w:t>
      </w:r>
      <w:r w:rsidRPr="00E00B35">
        <w:rPr>
          <w:szCs w:val="20"/>
        </w:rPr>
        <w:br/>
        <w:t xml:space="preserve">PRZEDMIOT KONSULTACJI: Sposób urządzenia doliny Olszówki Krzyckiej (od ul. Racławickiej do ul. Skarbowców) i parku Krzyckiego. </w:t>
      </w:r>
      <w:r w:rsidRPr="00E00B35">
        <w:rPr>
          <w:szCs w:val="20"/>
        </w:rPr>
        <w:br/>
        <w:t xml:space="preserve">ZAKRES KONSULTACJI: </w:t>
      </w:r>
    </w:p>
    <w:p w:rsidR="00CA14AB" w:rsidRPr="00E00B35" w:rsidRDefault="00CA14AB" w:rsidP="00E00B35">
      <w:pPr>
        <w:spacing w:after="0" w:line="312" w:lineRule="auto"/>
        <w:rPr>
          <w:szCs w:val="20"/>
        </w:rPr>
      </w:pPr>
      <w:r w:rsidRPr="00E00B35">
        <w:rPr>
          <w:szCs w:val="20"/>
        </w:rPr>
        <w:t>Dla doliny Olszówki: przyroda doliny Olszówki; zieleń istniejąca i planowana; przebieg Olszówki i wykorzystanie jej koryta;zapisy planu miejscowego dla tego terenu, m.in. droga zbiorcza; powiązanie terenu z okoliczną zabudową; obecny i przyszły sposób użytkowania terenu.</w:t>
      </w:r>
    </w:p>
    <w:p w:rsidR="00CA14AB" w:rsidRPr="00E00B35" w:rsidRDefault="00CA14AB" w:rsidP="00E00B35">
      <w:pPr>
        <w:spacing w:after="0" w:line="312" w:lineRule="auto"/>
        <w:rPr>
          <w:szCs w:val="20"/>
        </w:rPr>
      </w:pPr>
      <w:r w:rsidRPr="00E00B35">
        <w:rPr>
          <w:szCs w:val="20"/>
        </w:rPr>
        <w:t>Dla parku Krzyckiego: funkcje, które park może pełnić, oraz elementy mogące pojawić się na tym terenie, np.: strefy przyrody bez dostępu człowieka (tzw. biocenotyczne); strefy rekreacji biernej; place zabaw dla różnych grup wiekowych; elementy przeznaczone do edukacji, kultury, aktywności społecznej (np.: żłobek, przedszkole, szkoła - wszystko plenerowe; scena, teatr, ścieżki: edukacyjne, przygodowe, sensoryczne); miejsca rekreacji grupowej, np.: zadaszenia, wiaty, kamienne kręgi; miejsca do ćwiczeń;toalety.</w:t>
      </w:r>
    </w:p>
    <w:p w:rsidR="00CA14AB" w:rsidRPr="00E00B35" w:rsidRDefault="00CA14AB" w:rsidP="00E00B35">
      <w:pPr>
        <w:spacing w:after="0" w:line="312" w:lineRule="auto"/>
        <w:rPr>
          <w:szCs w:val="20"/>
        </w:rPr>
      </w:pPr>
      <w:r w:rsidRPr="00E00B35">
        <w:rPr>
          <w:szCs w:val="20"/>
        </w:rPr>
        <w:t>Elementy rekreacji czynnej lub biernej, z zastrzeżeniem, że park to w przeważającej mierze teren o dużych walorach przyrodniczych, i elementy rekreacyjne tu lokalizowane będą jak najbardziej naturalne, by nie wpływały negatywnie na otoczenie. Układ ścieżek pieszych i rowerowych w parku, wynikający z obecnego i przyszłego otoczenia, zagospodarowania wewnętrznego, zewnętrznych powiązań, potrzeb osób z niepełnosprawnościami i obsługi technicznej. Mała architektura: ławki, leżaki, kosze na odpady, elementy informacyjno-edukacyjne, stojaki rowerowe, oznaczenia ścieżek biegowych, bariery i słupki itp. Ogólne zasady pielęgnacji istniejącej zieleni. Zapisy planu miejscowego dla tego terenu, czyli m.in. zabudowa mieszkaniowa.</w:t>
      </w:r>
    </w:p>
    <w:p w:rsidR="00CA14AB" w:rsidRPr="00E00B35" w:rsidRDefault="00CA14AB" w:rsidP="00E00B35">
      <w:pPr>
        <w:spacing w:after="0" w:line="312" w:lineRule="auto"/>
        <w:rPr>
          <w:szCs w:val="20"/>
        </w:rPr>
      </w:pPr>
      <w:r w:rsidRPr="00E00B35">
        <w:rPr>
          <w:szCs w:val="20"/>
        </w:rPr>
        <w:lastRenderedPageBreak/>
        <w:t>CEL KONSULTACJI: Przeprowadzenie rozmowy na temat zagospodarowania ważnego obszaru miasta. Zebranie opinii mieszkanek i mieszkańców miasta na konsultowany temat, w tym na temat obecnego sposobu użytkowania terenu i jego znaczenia. Przekazanie informacji o obowiązującym miejscowym planie zagospodarowania przestrzennego, strukturze własnościowej oraz założeniach dla parku Krzyckiego.</w:t>
      </w:r>
      <w:r w:rsidRPr="00E00B35">
        <w:rPr>
          <w:szCs w:val="20"/>
        </w:rPr>
        <w:br/>
        <w:t xml:space="preserve">Więcej informacji: </w:t>
      </w:r>
      <w:hyperlink r:id="rId65" w:history="1">
        <w:r w:rsidR="00544448" w:rsidRPr="00E00B35">
          <w:rPr>
            <w:rStyle w:val="Hipercze"/>
            <w:szCs w:val="20"/>
          </w:rPr>
          <w:t>www.wroclaw.pl/rozmawia/jak-urzadzic-doline-olszowki-i-park-krzycki</w:t>
        </w:r>
      </w:hyperlink>
      <w:r w:rsidRPr="00E00B35">
        <w:rPr>
          <w:szCs w:val="20"/>
        </w:rPr>
        <w:t xml:space="preserve"> </w:t>
      </w:r>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Jak urządzić park na Kępie Mieszczańskiej?</w:t>
      </w:r>
    </w:p>
    <w:p w:rsidR="00CA14AB" w:rsidRPr="00E00B35" w:rsidRDefault="00CA14AB" w:rsidP="00E00B35">
      <w:pPr>
        <w:spacing w:after="0" w:line="312" w:lineRule="auto"/>
        <w:rPr>
          <w:szCs w:val="20"/>
        </w:rPr>
      </w:pPr>
      <w:r w:rsidRPr="00E00B35">
        <w:rPr>
          <w:szCs w:val="20"/>
        </w:rPr>
        <w:t xml:space="preserve">TERMIN KONSULTACJI: 30.06-2.08.2020 r. </w:t>
      </w:r>
      <w:r w:rsidRPr="00E00B35">
        <w:rPr>
          <w:szCs w:val="20"/>
        </w:rPr>
        <w:br/>
        <w:t xml:space="preserve">PRZEDMIOT KONSULTACJI: Teren zieleni zlokalizowany w północnej części Kępy Mieszczańskiej w obrębie ulic: Mieszczańskiej i Romana Dmowskiego o łącznej powierzchni 3,94 ha.  </w:t>
      </w:r>
      <w:r w:rsidRPr="00E00B35">
        <w:rPr>
          <w:szCs w:val="20"/>
        </w:rPr>
        <w:br/>
        <w:t>ZAKRES KONSULTACJI: Konsultacjom poddana została jedna koncepcja zagospodarowania terenu. Zagadnienia do konsultacji to w szczególności: obecne i przyszłe wejścia na teren zielony i istniejące ograniczenia, komunikacja wewnątrz parku, podział parku na strefy o różnym przeznaczeniu i wprowadzone elementy rekreacji, zaprojektowana zieleń i zagospodarowanie obszarów zieleni istniejącej, elementy małej architektury i wybrany kolor przewodni, przyszłość budynku, który znajduje się na terenie parku, preferowana przez mieszkańców kolejność zagospodarowania (priorytety).</w:t>
      </w:r>
      <w:r w:rsidRPr="00E00B35">
        <w:rPr>
          <w:szCs w:val="20"/>
        </w:rPr>
        <w:br/>
        <w:t xml:space="preserve">CEL KONSULTACJI: Zebranie opinii mieszkanek i mieszkańców na temat przygotowanej koncepcji zagospodarowania terenu przyszłego parku. </w:t>
      </w:r>
      <w:r w:rsidRPr="00E00B35">
        <w:rPr>
          <w:szCs w:val="20"/>
        </w:rPr>
        <w:br/>
        <w:t xml:space="preserve">Więcej informacji: www.wroclaw.pl/rozmawia/jak-urzadzic-park-na-kepie-mieszczanskiej  </w:t>
      </w:r>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Jak zazielenić ulicę Żeromskiego?</w:t>
      </w:r>
    </w:p>
    <w:p w:rsidR="00544448" w:rsidRPr="00E00B35" w:rsidRDefault="00CA14AB" w:rsidP="00E00B35">
      <w:pPr>
        <w:spacing w:after="0" w:line="312" w:lineRule="auto"/>
        <w:rPr>
          <w:szCs w:val="20"/>
        </w:rPr>
      </w:pPr>
      <w:r w:rsidRPr="00E00B35">
        <w:rPr>
          <w:szCs w:val="20"/>
        </w:rPr>
        <w:t xml:space="preserve">TERMIN KONSULTACJI: 2-26.07.2020 r.   </w:t>
      </w:r>
      <w:r w:rsidRPr="00E00B35">
        <w:rPr>
          <w:szCs w:val="20"/>
        </w:rPr>
        <w:br/>
        <w:t xml:space="preserve">PRZEDMIOT KONSULTACJI: Sposób zagospodarowania ul. Żeromskiego na odcinku od ul. Nowowiejskiej do ul. Jedności Narodowej. </w:t>
      </w:r>
      <w:r w:rsidRPr="00E00B35">
        <w:rPr>
          <w:szCs w:val="20"/>
        </w:rPr>
        <w:br/>
        <w:t xml:space="preserve">ZAKRES KONSULTACJI: Konsultacje miały na celu poznanie potrzeb mieszkańców i zebranie propozycji w zakresie zazielenienia ulicy. Zagospodarowanie ma uwzględniać wprowadzenie elementów infrastruktury zielono-niebieskiej (tzn. dotyczącej zieleni i gospodarowania wodą opadową) oraz wymianę nawierzchni ciągów pieszych i uporządkowanie parkowania. </w:t>
      </w:r>
      <w:r w:rsidRPr="00E00B35">
        <w:rPr>
          <w:szCs w:val="20"/>
        </w:rPr>
        <w:br/>
        <w:t xml:space="preserve">CEL KONSULTACJI: Zebranie opinii mieszkańców na temat sposobu zagospodarowania i zazielenienia ulicy, które posłużą do przygotowania koncepcji, oraz przeprowadzenie rozmowy na temat zakresu zadania i priorytetów działań. Podniesienie świadomości mieszkańców w zakresie gospodarowania wodami opadowymi. </w:t>
      </w:r>
      <w:r w:rsidRPr="00E00B35">
        <w:rPr>
          <w:szCs w:val="20"/>
        </w:rPr>
        <w:br/>
        <w:t xml:space="preserve">Więcej informacji: </w:t>
      </w:r>
      <w:hyperlink r:id="rId66" w:history="1">
        <w:r w:rsidR="00544448" w:rsidRPr="00E00B35">
          <w:rPr>
            <w:rStyle w:val="Hipercze"/>
            <w:szCs w:val="20"/>
          </w:rPr>
          <w:t>www.wroclaw.pl/rozmawia/jak-zazielenic-ulice-zeromskiego</w:t>
        </w:r>
      </w:hyperlink>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 </w:t>
      </w:r>
    </w:p>
    <w:p w:rsidR="00CA14AB" w:rsidRPr="00E00B35" w:rsidRDefault="00CA14AB" w:rsidP="00E00B35">
      <w:pPr>
        <w:pStyle w:val="Nagwek5"/>
        <w:rPr>
          <w:szCs w:val="20"/>
        </w:rPr>
      </w:pPr>
      <w:r w:rsidRPr="00E00B35">
        <w:rPr>
          <w:szCs w:val="20"/>
        </w:rPr>
        <w:t>Jak zagospodarować podwórko przy pl. św. Macieja?</w:t>
      </w:r>
    </w:p>
    <w:p w:rsidR="00CA14AB" w:rsidRPr="00E00B35" w:rsidRDefault="00CA14AB" w:rsidP="00E00B35">
      <w:pPr>
        <w:spacing w:after="0" w:line="312" w:lineRule="auto"/>
        <w:rPr>
          <w:szCs w:val="20"/>
        </w:rPr>
      </w:pPr>
      <w:r w:rsidRPr="00E00B35">
        <w:rPr>
          <w:szCs w:val="20"/>
        </w:rPr>
        <w:t>TERMIN KONSULTACJI: 28.07-18.08.2020 r.</w:t>
      </w:r>
      <w:r w:rsidRPr="00E00B35">
        <w:rPr>
          <w:szCs w:val="20"/>
        </w:rPr>
        <w:br/>
        <w:t xml:space="preserve">PRZEDMIOT KONSULTACJI: Sposób zagospodarowania wnętrza podwórzowego w kwartale placu Św. Macieja i ulic: Henryka Probusa, Henryka Pobożnego, Niemcewicza, Jedności Narodowej (część północna u zbiegu ulicy Henryka Pobożnego i placu Św. </w:t>
      </w:r>
      <w:r w:rsidRPr="00E00B35">
        <w:rPr>
          <w:szCs w:val="20"/>
        </w:rPr>
        <w:lastRenderedPageBreak/>
        <w:t>Macieja).</w:t>
      </w:r>
      <w:r w:rsidRPr="00E00B35">
        <w:rPr>
          <w:szCs w:val="20"/>
        </w:rPr>
        <w:br/>
        <w:t xml:space="preserve">ZAKRES KONSULTACJI: Konsultacje miały na celu poznanie potrzeb mieszkańców i zebranie propozycji w zakresie zagospodarowania wnętrza podwórzowego. Konsultacje uwzględniały: wprowadzenie elementów małej architektury (w tym: stojaków na rowery, koszy na śmieci etc.), zamontowanie osłony śmietnikowej, zagospodarowanie zieleni, wykonanie drogi wewnętrznej wraz </w:t>
      </w:r>
      <w:r w:rsidRPr="00E00B35">
        <w:rPr>
          <w:szCs w:val="20"/>
        </w:rPr>
        <w:br/>
        <w:t xml:space="preserve">z wydzielonymi miejscami postojowymi (z uwzględnieniem miejsc dla niepełnosprawnych),retencję na podwórku,oświetlenie. Na podstawie opinii mieszkańców oraz rekomendacji przekazanych przez jednostki miejskie opracowane zostaną wytyczne do sporządzenia koncepcji programowo-przestrzennej dla projektanta. </w:t>
      </w:r>
      <w:r w:rsidRPr="00E00B35">
        <w:rPr>
          <w:szCs w:val="20"/>
        </w:rPr>
        <w:br/>
        <w:t xml:space="preserve">CEL KONSULTACJI: Zebranie opinii mieszkańców (również najmłodszych) na temat sposobu zagospodarowania podwórza, które posłużą do przygotowania koncepcji. Przeprowadzenie rozmowy na temat zakresu zadania i priorytetów działań. </w:t>
      </w:r>
      <w:r w:rsidRPr="00E00B35">
        <w:rPr>
          <w:szCs w:val="20"/>
        </w:rPr>
        <w:br/>
        <w:t xml:space="preserve">Więcej informacji: </w:t>
      </w:r>
      <w:hyperlink r:id="rId67" w:history="1">
        <w:r w:rsidR="00544448" w:rsidRPr="00E00B35">
          <w:rPr>
            <w:rStyle w:val="Hipercze"/>
            <w:szCs w:val="20"/>
          </w:rPr>
          <w:t>www.wroclaw.pl/rozmawia/podworko-sw-macieja</w:t>
        </w:r>
      </w:hyperlink>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Jak urządzić osiedle kompletne?</w:t>
      </w:r>
    </w:p>
    <w:p w:rsidR="00CA14AB" w:rsidRPr="00E00B35" w:rsidRDefault="00CA14AB" w:rsidP="00E00B35">
      <w:pPr>
        <w:spacing w:after="0" w:line="312" w:lineRule="auto"/>
        <w:rPr>
          <w:szCs w:val="20"/>
        </w:rPr>
      </w:pPr>
      <w:r w:rsidRPr="00E00B35">
        <w:rPr>
          <w:szCs w:val="20"/>
        </w:rPr>
        <w:t>TERMIN KONSULTACJI: 10-31.08.2020 r.</w:t>
      </w:r>
      <w:r w:rsidRPr="00E00B35">
        <w:rPr>
          <w:szCs w:val="20"/>
        </w:rPr>
        <w:br/>
        <w:t>PRZEDMIOT KONSULTACJI: Wyznaczenie wytycznych przestrzennych na rzecz osiedli kompletnych.  ZAKRES KONSULTACJI: Zebranie opinii i rekomendacji do wyznaczenia priorytetów twardych (inwestycyjnych) i miękkich (inicjatyw) oraz określenia wytycznych przestrzennych dla jednostek urbanistycznych objętych badaniem w ramach pilotażowego projektu Osiedla kompletne. Prace dotyczą wyznaczonych w Studium Uwarunkowań i Kierunków Zagospodarowania Przestrzennego Wrocławia jednostek urbanistycznych: E2 Nowy Dwór, D10 Krzyki Zachód, B22 Zakrzów Centrum.</w:t>
      </w:r>
      <w:r w:rsidRPr="00E00B35">
        <w:rPr>
          <w:szCs w:val="20"/>
        </w:rPr>
        <w:br/>
        <w:t>CEL KONSULTACJI: Celem głównym konsultacji było wzmacnianie indywidualności i kompletności osiedli mieszkaniowych, gdzie występuje mocno zaangażowana społeczność lokalna; efektem ma być polepszenie jakości życia i podwyższenie standardów użytkowania przestrzeni życia mieszkańców. Celowi głównemu towarzyszy cel dodatkowy, polegający na uzyskaniu wytycznych przestrzennych na rzecz osiedli kompletnych. Wskazanie kierunków rozwoju, określonych na bazie współpracy z mieszkańcami oraz przeprowadzonych badań i zebranych uwarunkowań, z uwzględnieniem pięciu obszarów: tożsamość, przestrzeń publiczna i zieleń, przedsiębiorczość i usługi, zamieszkiwanie, przemieszczanie się</w:t>
      </w:r>
      <w:r w:rsidRPr="00E00B35">
        <w:rPr>
          <w:szCs w:val="20"/>
        </w:rPr>
        <w:br/>
        <w:t xml:space="preserve">Więcej informacji: </w:t>
      </w:r>
      <w:hyperlink r:id="rId68" w:history="1">
        <w:r w:rsidR="00544448" w:rsidRPr="00E00B35">
          <w:rPr>
            <w:rStyle w:val="Hipercze"/>
            <w:szCs w:val="20"/>
          </w:rPr>
          <w:t>www.wroclaw.pl/rozmawia/jak-urzadzic-osiedle-kompletne</w:t>
        </w:r>
      </w:hyperlink>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Jak urządzić podwórko przy Nobla?</w:t>
      </w:r>
    </w:p>
    <w:p w:rsidR="00CA14AB" w:rsidRPr="00E00B35" w:rsidRDefault="00CA14AB" w:rsidP="00E00B35">
      <w:pPr>
        <w:spacing w:after="0" w:line="312" w:lineRule="auto"/>
        <w:rPr>
          <w:szCs w:val="20"/>
        </w:rPr>
      </w:pPr>
      <w:r w:rsidRPr="00E00B35">
        <w:rPr>
          <w:szCs w:val="20"/>
        </w:rPr>
        <w:t xml:space="preserve">TERMIN KONSULTACJI: 27.08-20.09.2020 r.  </w:t>
      </w:r>
      <w:r w:rsidRPr="00E00B35">
        <w:rPr>
          <w:szCs w:val="20"/>
        </w:rPr>
        <w:br/>
        <w:t xml:space="preserve">ZAKRES KONSULTACJI: Konsultacje miały na celu poznanie potrzeb mieszkańców i zebranie propozycji w zakresie zagospodarowania wnętrza podwórzowego; odnowienia jego zdegradowanej przestrzeni, poprawy jakości życia i bezpieczeństwa mieszkańców oraz zagwarantowania właściwego stanu technicznego. Projekt będzie uwzględniać: zaprojektowanie drogi wewnętrznej z wydzielonymi miejscami postojowymi z uwzględnieniem miejsc dla osób niepełnosprawnych, odwodnienie terenu, oświetlenie </w:t>
      </w:r>
      <w:r w:rsidRPr="00E00B35">
        <w:rPr>
          <w:szCs w:val="20"/>
        </w:rPr>
        <w:lastRenderedPageBreak/>
        <w:t xml:space="preserve">terenu (z przyłączami), montaż elementów małej architektury - w tym stojaki na rowery, kosze na śmieci, zagospodarowanie terenów zielonych, budowę osłony śmietnikowej. Na podstawie opinii mieszkańców oraz rekomendacji przekazanych przez jednostki miejskie opracowane zostaną wytyczne do sporządzenia koncepcji programowo-przestrzennej dla projektanta.  </w:t>
      </w:r>
      <w:r w:rsidRPr="00E00B35">
        <w:rPr>
          <w:szCs w:val="20"/>
        </w:rPr>
        <w:br/>
        <w:t xml:space="preserve">CEL KONSULTACJI: Zebranie opinii mieszkańców (również najmłodszych) na temat sposobu zagospodarowania podwórza, które posłużą do przygotowania koncepcji. Przeprowadzenie rozmowy na temat zakresu zadania i priorytetów działań. </w:t>
      </w:r>
      <w:r w:rsidRPr="00E00B35">
        <w:rPr>
          <w:szCs w:val="20"/>
        </w:rPr>
        <w:br/>
        <w:t xml:space="preserve">Więcej informacji: </w:t>
      </w:r>
      <w:hyperlink r:id="rId69">
        <w:r w:rsidRPr="00E00B35">
          <w:rPr>
            <w:szCs w:val="20"/>
          </w:rPr>
          <w:t>https://www.wroclaw.pl/rozmawia/jak-urzadzic-podworko</w:t>
        </w:r>
      </w:hyperlink>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Jakie podwórko przy Hallera?</w:t>
      </w:r>
    </w:p>
    <w:p w:rsidR="00CA14AB" w:rsidRPr="00E00B35" w:rsidRDefault="00CA14AB" w:rsidP="00E00B35">
      <w:pPr>
        <w:spacing w:after="0" w:line="312" w:lineRule="auto"/>
        <w:rPr>
          <w:szCs w:val="20"/>
        </w:rPr>
      </w:pPr>
      <w:r w:rsidRPr="00E00B35">
        <w:rPr>
          <w:szCs w:val="20"/>
        </w:rPr>
        <w:t xml:space="preserve">TERMIN KONSULTACJI: 21.09-11.10.2020 r.  </w:t>
      </w:r>
      <w:r w:rsidRPr="00E00B35">
        <w:rPr>
          <w:szCs w:val="20"/>
        </w:rPr>
        <w:br/>
        <w:t>PRZEDMIOT KONSULTACJI: Zagospodarowanie wnętrza podwórzowego usytuowanego między aleją Hallera i ulicami: Księgową, Słonecznikową.</w:t>
      </w:r>
      <w:r w:rsidRPr="00E00B35">
        <w:rPr>
          <w:szCs w:val="20"/>
        </w:rPr>
        <w:br/>
        <w:t xml:space="preserve">ZAKRES KONSULTACJI: Sposoby zagospodarowania podwórka: chodniki i drogi dojazdowe – ich przebieg docelowy i rodzaje nawierzchni, lokalizacja miejsc postojowych, roślinność: zachowanie istniejącej zieleni oraz dobór nowych roślin i ich umiejscowienie, mała architektura: wiata śmietnikowa, oświetlenie, ławki itp. ich lokalizacja, instalacja urządzeń sportowych. </w:t>
      </w:r>
      <w:r w:rsidRPr="00E00B35">
        <w:rPr>
          <w:szCs w:val="20"/>
        </w:rPr>
        <w:br/>
        <w:t>CEL KONSULTACJI: Zaktualizowanie ustaleń, które zostały wypracowane podczas ostatnich konsultacji. Przeprowadzenie rozmowy na temat trzech koncepcji przygotowanych przez projektantkę. Zebranie opinii mieszkanek i mieszkańców na temat podwórka – stanu obecnego i przyszłego. Edukacja mieszkańców i merytoryczna rozmowa na temat możliwych rozwiązań.</w:t>
      </w:r>
      <w:r w:rsidRPr="00E00B35">
        <w:rPr>
          <w:szCs w:val="20"/>
        </w:rPr>
        <w:br/>
        <w:t xml:space="preserve">Więcej informacji: </w:t>
      </w:r>
      <w:hyperlink r:id="rId70" w:history="1">
        <w:r w:rsidR="00544448" w:rsidRPr="00E00B35">
          <w:rPr>
            <w:rStyle w:val="Hipercze"/>
            <w:szCs w:val="20"/>
          </w:rPr>
          <w:t>www.wroclaw.pl/rozmawia/jakie-podworko-przy-hallera</w:t>
        </w:r>
      </w:hyperlink>
      <w:r w:rsidRPr="00E00B35">
        <w:rPr>
          <w:szCs w:val="20"/>
        </w:rPr>
        <w:t xml:space="preserve"> </w:t>
      </w:r>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Jak przyznawać pracownie artystyczne?</w:t>
      </w:r>
    </w:p>
    <w:p w:rsidR="00CA14AB" w:rsidRPr="00E00B35" w:rsidRDefault="00CA14AB" w:rsidP="00E00B35">
      <w:pPr>
        <w:spacing w:after="0" w:line="312" w:lineRule="auto"/>
        <w:rPr>
          <w:szCs w:val="20"/>
        </w:rPr>
      </w:pPr>
      <w:r w:rsidRPr="00E00B35">
        <w:rPr>
          <w:szCs w:val="20"/>
        </w:rPr>
        <w:t xml:space="preserve">TERMIN KONSULTACJI: 10.11-20.12.2020 r. </w:t>
      </w:r>
      <w:r w:rsidRPr="00E00B35">
        <w:rPr>
          <w:szCs w:val="20"/>
        </w:rPr>
        <w:br/>
        <w:t xml:space="preserve">PRZEDMIOT KONSULTACJI: Funkcjonowanie i sposób przyznawania przez Gminę Wrocław pracowni artystycznych przekazywanych w  ramach miejskich konkursów wrocławskim artystom. </w:t>
      </w:r>
      <w:r w:rsidRPr="00E00B35">
        <w:rPr>
          <w:szCs w:val="20"/>
        </w:rPr>
        <w:br/>
        <w:t xml:space="preserve">ZAKRES KONSULTACJI: Sposób przyznawania pracowni. Skład i forma pracy komisji konkursowej. Oczekiwania wrocławskiego środowiska kulturalnego w temacie pracowni artystycznych. </w:t>
      </w:r>
      <w:r w:rsidRPr="00E00B35">
        <w:rPr>
          <w:szCs w:val="20"/>
        </w:rPr>
        <w:br/>
        <w:t xml:space="preserve">CEL KONSULTACJI: Zebranie potrzeb oraz wstępnych rekomendacji środowiska artystycznego oraz mieszkanek i mieszkańców Wrocławia w zakresie pracowni artystycznych. </w:t>
      </w:r>
      <w:r w:rsidRPr="00E00B35">
        <w:rPr>
          <w:szCs w:val="20"/>
        </w:rPr>
        <w:br/>
        <w:t>Więcej informacji: www.wroclaw.pl/rozmawia/jak-przyznawac-pracownie-artystyczne</w:t>
      </w:r>
    </w:p>
    <w:p w:rsidR="00CA14AB" w:rsidRPr="00E00B35" w:rsidRDefault="00CA14AB" w:rsidP="00E00B35">
      <w:pPr>
        <w:spacing w:after="0" w:line="312" w:lineRule="auto"/>
        <w:rPr>
          <w:szCs w:val="20"/>
        </w:rPr>
      </w:pPr>
      <w:r w:rsidRPr="00E00B35">
        <w:rPr>
          <w:szCs w:val="20"/>
        </w:rPr>
        <w:t>Program współpracy Wrocławia z NGO na rok 2021</w:t>
      </w:r>
    </w:p>
    <w:p w:rsidR="00CA14AB" w:rsidRPr="00E00B35" w:rsidRDefault="00CA14AB" w:rsidP="00E00B35">
      <w:pPr>
        <w:spacing w:after="0" w:line="312" w:lineRule="auto"/>
        <w:rPr>
          <w:szCs w:val="20"/>
        </w:rPr>
      </w:pPr>
      <w:r w:rsidRPr="00E00B35">
        <w:rPr>
          <w:szCs w:val="20"/>
        </w:rPr>
        <w:t>TERMIN KONSULTACJI: 3.08-7.09.2020 r.</w:t>
      </w:r>
      <w:r w:rsidRPr="00E00B35">
        <w:rPr>
          <w:szCs w:val="20"/>
        </w:rPr>
        <w:br/>
        <w:t>PRZEDMIOT KONSULTACJI: Projekt Uchwały Rady Miejskiej Wrocławia w sprawie Programu Współpracy Miasta Wrocławia z organizacjami pozarządowymi w 2021 r.</w:t>
      </w:r>
      <w:r w:rsidRPr="00E00B35">
        <w:rPr>
          <w:szCs w:val="20"/>
        </w:rPr>
        <w:br/>
        <w:t xml:space="preserve">ZAKRES KONSULTACJI: Zasady współpracy pomiędzy władzami samorządowymi </w:t>
      </w:r>
      <w:r w:rsidRPr="00E00B35">
        <w:rPr>
          <w:szCs w:val="20"/>
        </w:rPr>
        <w:br/>
      </w:r>
      <w:r w:rsidRPr="00E00B35">
        <w:rPr>
          <w:szCs w:val="20"/>
        </w:rPr>
        <w:lastRenderedPageBreak/>
        <w:t>a działającymi na danym terenie organizacjami pozarządowym.</w:t>
      </w:r>
      <w:r w:rsidRPr="00E00B35">
        <w:rPr>
          <w:szCs w:val="20"/>
        </w:rPr>
        <w:br/>
        <w:t>CEL KONSULTACJI: Poznanie opinii organizacji pozarządowych i podmiotów wymienionych w art. 3 ust. 3 ustawy z dnia 24 kwietnia 2003r. o działalności pożytku publicznego i o wolontariacie w sprawie poddanej konsultacjom.</w:t>
      </w:r>
      <w:r w:rsidRPr="00E00B35">
        <w:rPr>
          <w:szCs w:val="20"/>
        </w:rPr>
        <w:br/>
        <w:t xml:space="preserve">Więcej informacji: </w:t>
      </w:r>
      <w:hyperlink r:id="rId71" w:history="1">
        <w:r w:rsidR="00544448" w:rsidRPr="00E00B35">
          <w:rPr>
            <w:rStyle w:val="Hipercze"/>
            <w:szCs w:val="20"/>
          </w:rPr>
          <w:t>www.wroclaw.pl/rozmawia/jak-ma-wygladac-wspolpraca-miasta-z-ngo-w-2021</w:t>
        </w:r>
      </w:hyperlink>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Zmiana ordynacji w wyborach do rad osiedli</w:t>
      </w:r>
    </w:p>
    <w:p w:rsidR="00CA14AB" w:rsidRPr="00E00B35" w:rsidRDefault="00CA14AB" w:rsidP="00E00B35">
      <w:pPr>
        <w:spacing w:after="0" w:line="312" w:lineRule="auto"/>
        <w:rPr>
          <w:szCs w:val="20"/>
        </w:rPr>
      </w:pPr>
      <w:r w:rsidRPr="00E00B35">
        <w:rPr>
          <w:szCs w:val="20"/>
        </w:rPr>
        <w:t xml:space="preserve">TERMIN KONSULTACJI: 9-22.10.2020 r. </w:t>
      </w:r>
      <w:r w:rsidRPr="00E00B35">
        <w:rPr>
          <w:szCs w:val="20"/>
        </w:rPr>
        <w:br/>
        <w:t xml:space="preserve">PRZEDMIOT KONSULTACJI: projekt uchwały Rady Miejskiej Wrocławia zmieniającej uchwały w sprawie nadania statutów osiedli. </w:t>
      </w:r>
      <w:r w:rsidRPr="00E00B35">
        <w:rPr>
          <w:szCs w:val="20"/>
        </w:rPr>
        <w:br/>
        <w:t xml:space="preserve">ZAKRES KONSULTACJI: zasady i organizacja wyborów do rad osiedli CEL KONSULTACJI: zasięgnięcie opinii i zebranie uwag w sprawie wprowadzenia zmian w statutach wrocławskich osiedli w zakresie: zmiany załącznika Nr 1 a – „Ordynacja wyborcza do rady osiedla”. </w:t>
      </w:r>
      <w:r w:rsidRPr="00E00B35">
        <w:rPr>
          <w:szCs w:val="20"/>
        </w:rPr>
        <w:br/>
        <w:t xml:space="preserve">Więcej informacji: </w:t>
      </w:r>
      <w:hyperlink r:id="rId72" w:history="1">
        <w:r w:rsidR="00544448" w:rsidRPr="00E00B35">
          <w:rPr>
            <w:rStyle w:val="Hipercze"/>
            <w:szCs w:val="20"/>
          </w:rPr>
          <w:t>www.wroclaw.pl/rozmawia/ruszaja-konsultacje-w-sprawie-statutow-wroclawskich-osiedli</w:t>
        </w:r>
      </w:hyperlink>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 xml:space="preserve">Spotkania na podwórkach – organizacje ruchu </w:t>
      </w:r>
    </w:p>
    <w:p w:rsidR="00CA14AB" w:rsidRPr="00E00B35" w:rsidRDefault="00CA14AB" w:rsidP="00E00B35">
      <w:pPr>
        <w:spacing w:after="0" w:line="312" w:lineRule="auto"/>
        <w:rPr>
          <w:szCs w:val="20"/>
        </w:rPr>
      </w:pPr>
      <w:r w:rsidRPr="00E00B35">
        <w:rPr>
          <w:rFonts w:eastAsia="font415"/>
          <w:szCs w:val="20"/>
        </w:rPr>
        <w:t>Spotkanie konsultacyjne nt. organizacji ruchu na podwórku przy ulicach: Kościuszki, Czystej, pl. Kościuszki.</w:t>
      </w:r>
      <w:r w:rsidRPr="00E00B35">
        <w:rPr>
          <w:szCs w:val="20"/>
        </w:rPr>
        <w:br/>
        <w:t>TERMIN KONSULTACJI: 15.07.2020 r.</w:t>
      </w:r>
      <w:r w:rsidRPr="00E00B35">
        <w:rPr>
          <w:szCs w:val="20"/>
        </w:rPr>
        <w:br/>
        <w:t xml:space="preserve">PRZEDMIOT KONSULTACJI: Projekt organizacji ruchu. </w:t>
      </w:r>
      <w:r w:rsidRPr="00E00B35">
        <w:rPr>
          <w:szCs w:val="20"/>
        </w:rPr>
        <w:br/>
        <w:t>ZAKRES KONSULTACJI: Zebranie opinii mieszkańców budynków przylegających do podwórka na temat projektu organizacji ruchu zaprezentowanego przez ZZK.</w:t>
      </w:r>
      <w:r w:rsidRPr="00E00B35">
        <w:rPr>
          <w:szCs w:val="20"/>
        </w:rPr>
        <w:br/>
        <w:t>CEL KONSULTACJI: Uporządkowanie ruchu i parkowania na podwórku.</w:t>
      </w:r>
      <w:r w:rsidRPr="00E00B35">
        <w:rPr>
          <w:szCs w:val="20"/>
        </w:rPr>
        <w:br/>
        <w:t xml:space="preserve">Więcej informacji: </w:t>
      </w:r>
      <w:hyperlink r:id="rId73" w:history="1">
        <w:r w:rsidRPr="00E00B35">
          <w:rPr>
            <w:szCs w:val="20"/>
          </w:rPr>
          <w:t>www.wroclaw.pl/rozmawia/konsultacje-projektow-organizacji-ruchu</w:t>
        </w:r>
      </w:hyperlink>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Spotkanie konsultacyjne nt. organizacji ruchu na podwórku przy ulicach: Malarska, Odrzańska, Nowy Świat, Kiełbaśnicza.</w:t>
      </w:r>
    </w:p>
    <w:p w:rsidR="00CA14AB" w:rsidRPr="00E00B35" w:rsidRDefault="00CA14AB" w:rsidP="00E00B35">
      <w:pPr>
        <w:spacing w:after="0" w:line="312" w:lineRule="auto"/>
        <w:rPr>
          <w:szCs w:val="20"/>
        </w:rPr>
      </w:pPr>
      <w:r w:rsidRPr="00E00B35">
        <w:rPr>
          <w:szCs w:val="20"/>
        </w:rPr>
        <w:t>TERMIN KONSULTACJI: 16.07.2020 r.</w:t>
      </w:r>
      <w:r w:rsidRPr="00E00B35">
        <w:rPr>
          <w:szCs w:val="20"/>
        </w:rPr>
        <w:br/>
        <w:t xml:space="preserve">PRZEDMIOT KONSULTACJI: Projekt organizacji ruchu. </w:t>
      </w:r>
      <w:r w:rsidRPr="00E00B35">
        <w:rPr>
          <w:szCs w:val="20"/>
        </w:rPr>
        <w:br/>
        <w:t>ZAKRES KONSULTACJI: Zebranie opinii mieszkańców budynków przylegających do podwórka na temat projektu organizacji ruchu zaprezentowanego przez ZZK.</w:t>
      </w:r>
      <w:r w:rsidRPr="00E00B35">
        <w:rPr>
          <w:szCs w:val="20"/>
        </w:rPr>
        <w:br/>
        <w:t>CEL KONSULTACJI: Uporządkowanie ruchu i parkowania na podwórku.</w:t>
      </w:r>
      <w:r w:rsidRPr="00E00B35">
        <w:rPr>
          <w:szCs w:val="20"/>
        </w:rPr>
        <w:br/>
        <w:t xml:space="preserve">Więcej informacji: </w:t>
      </w:r>
      <w:hyperlink r:id="rId74" w:history="1">
        <w:r w:rsidR="00544448" w:rsidRPr="00E00B35">
          <w:rPr>
            <w:rStyle w:val="Hipercze"/>
            <w:szCs w:val="20"/>
          </w:rPr>
          <w:t>www.wroclaw.pl/rozmawia/konsultacje-projektow-organizacji-ruchu</w:t>
        </w:r>
      </w:hyperlink>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Spotkanie konsultacyjne nt. organizacji ruchu na podwórku przy ulicach: Sądowa, Piłsudskiego, Plac Legionów, Podwale.</w:t>
      </w:r>
    </w:p>
    <w:p w:rsidR="00CA14AB" w:rsidRPr="00E00B35" w:rsidRDefault="00CA14AB" w:rsidP="00E00B35">
      <w:pPr>
        <w:spacing w:after="0" w:line="312" w:lineRule="auto"/>
        <w:rPr>
          <w:szCs w:val="20"/>
        </w:rPr>
      </w:pPr>
      <w:r w:rsidRPr="00E00B35">
        <w:rPr>
          <w:szCs w:val="20"/>
        </w:rPr>
        <w:t>TERMIN KONSULTACJI: 13.08.2020 r.</w:t>
      </w:r>
      <w:r w:rsidRPr="00E00B35">
        <w:rPr>
          <w:szCs w:val="20"/>
        </w:rPr>
        <w:br/>
        <w:t xml:space="preserve">PRZEDMIOT KONSULTACJI: Projekt organizacji ruchu. </w:t>
      </w:r>
      <w:r w:rsidRPr="00E00B35">
        <w:rPr>
          <w:szCs w:val="20"/>
        </w:rPr>
        <w:br/>
        <w:t>ZAKRES KONSULTACJI: Zebranie opinii mieszkańców budynków przylegających do podwórka na temat projektu organizacji ruchu zaprezentowanego przez ZZK.</w:t>
      </w:r>
      <w:r w:rsidRPr="00E00B35">
        <w:rPr>
          <w:szCs w:val="20"/>
        </w:rPr>
        <w:br/>
      </w:r>
      <w:r w:rsidRPr="00E00B35">
        <w:rPr>
          <w:szCs w:val="20"/>
        </w:rPr>
        <w:lastRenderedPageBreak/>
        <w:t>CEL KONSULTACJI: Uporządkowanie ruchu i parkowania na podwórku.</w:t>
      </w:r>
      <w:r w:rsidRPr="00E00B35">
        <w:rPr>
          <w:szCs w:val="20"/>
        </w:rPr>
        <w:br/>
        <w:t xml:space="preserve">Więcej informacji: </w:t>
      </w:r>
      <w:hyperlink r:id="rId75" w:history="1">
        <w:r w:rsidR="00544448" w:rsidRPr="00E00B35">
          <w:rPr>
            <w:rStyle w:val="Hipercze"/>
            <w:szCs w:val="20"/>
          </w:rPr>
          <w:t>www.wroclaw.pl/rozmawia/konsultacje-projektow-organizacji-ruchu</w:t>
        </w:r>
      </w:hyperlink>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Promocja procesów konsultacyjnych</w:t>
      </w:r>
    </w:p>
    <w:p w:rsidR="00CA14AB" w:rsidRPr="00E00B35" w:rsidRDefault="00CA14AB" w:rsidP="00E00B35">
      <w:pPr>
        <w:spacing w:after="0" w:line="312" w:lineRule="auto"/>
        <w:rPr>
          <w:szCs w:val="20"/>
        </w:rPr>
      </w:pPr>
      <w:r w:rsidRPr="00E00B35">
        <w:rPr>
          <w:szCs w:val="20"/>
        </w:rPr>
        <w:t xml:space="preserve">Na potrzeby realizacji procesów w 2020 roku w pełni wykorzystywano funkcjonalność portalu konsultacji społecznych Wrocław Rozmawia – www.wroclaw.pl/rozmawia. Zamieszczane były tam pełne informacje o prowadzonych konsultacjach, ważne aktualności, wszelkie informacje dotyczące Wrocławskiego Budżetu Obywatelskiego oraz zakres współpracy Gminy Wrocław z organizacjami pozarządowymi. </w:t>
      </w:r>
    </w:p>
    <w:p w:rsidR="00CA14AB" w:rsidRPr="00E00B35" w:rsidRDefault="00CA14AB" w:rsidP="00E00B35">
      <w:pPr>
        <w:spacing w:after="0" w:line="312" w:lineRule="auto"/>
        <w:rPr>
          <w:szCs w:val="20"/>
        </w:rPr>
      </w:pPr>
      <w:r w:rsidRPr="00E00B35">
        <w:rPr>
          <w:szCs w:val="20"/>
        </w:rPr>
        <w:t xml:space="preserve">Równolegle prowadzony był facebookowy (www.facebook.com/wroclawrozmawia)i twitterowy (www.twitter.com/WroclawRozmawia) profil Wrocław Rozmawia na którym można było znaleźć m.in. informacje i wydarzenia związane z procesami konsultacji odbywającymi się we Wrocławiu. </w:t>
      </w:r>
      <w:r w:rsidRPr="00E00B35">
        <w:rPr>
          <w:szCs w:val="20"/>
        </w:rPr>
        <w:br/>
        <w:t>O konsultacjach informowaliśmy również na Instagramie (www.instagram.com/wroclaw_rozmawia). Podkreślono graficzną stronę przekazu. Opracowany został ciekawy, intrygujący styl graficzny plakatów i niejednoznaczne hasła. Staraliśmy się połączyć czytelność przekazu z atrakcyjną, przyciągającą oko treścią.</w:t>
      </w:r>
    </w:p>
    <w:p w:rsidR="00544448" w:rsidRPr="00E00B35" w:rsidRDefault="00544448" w:rsidP="00E00B35">
      <w:pPr>
        <w:spacing w:after="0" w:line="312" w:lineRule="auto"/>
        <w:rPr>
          <w:szCs w:val="20"/>
        </w:rPr>
      </w:pPr>
    </w:p>
    <w:p w:rsidR="00CA14AB" w:rsidRPr="00E00B35" w:rsidRDefault="00CA14AB" w:rsidP="00E00B35">
      <w:pPr>
        <w:pStyle w:val="Nagwek5"/>
        <w:rPr>
          <w:szCs w:val="20"/>
        </w:rPr>
      </w:pPr>
      <w:r w:rsidRPr="00E00B35">
        <w:rPr>
          <w:szCs w:val="20"/>
        </w:rPr>
        <w:t>Koordynacja Centrów Aktywności Lokalnej</w:t>
      </w:r>
    </w:p>
    <w:p w:rsidR="00CA14AB" w:rsidRPr="00E00B35" w:rsidRDefault="00CA14AB" w:rsidP="00E00B35">
      <w:pPr>
        <w:spacing w:after="0" w:line="312" w:lineRule="auto"/>
        <w:rPr>
          <w:szCs w:val="20"/>
        </w:rPr>
      </w:pPr>
      <w:r w:rsidRPr="00E00B35">
        <w:rPr>
          <w:szCs w:val="20"/>
        </w:rPr>
        <w:t xml:space="preserve">We Wrocławiu działa aktualnie 11 Centrów Aktywności Lokalnej (CAL) współfinansowanych przez Gminę Wrocław oraz kilkanaście innych osiedlowych NGOsów, które – chociaż jeszcze nie posiadają własnych przestrzeni – aktywnie wspierają swoje społeczności lokalne. </w:t>
      </w:r>
      <w:r w:rsidRPr="00E00B35">
        <w:rPr>
          <w:szCs w:val="20"/>
        </w:rPr>
        <w:br/>
        <w:t>Centra Aktywności Lokalnej to nie tylko budynki, ale przede wszystkim ludzie, których wyróżnia konkretne podejście do pracy z mieszkańcami wrocławskich osiedli. CALe to miejsca i działania współtworzone razem z mieszkańcami, otwarte na różnorodność i solidarne z tymi, którzy potrzebują pomocy lub wsparcia. Na poziomie lokalnym centra są silnym spoiwem wspierającym proces społecznej, pozytywnej zmiany. CALe realizują swoje autorskie programy, skierowane bezpośrednio do mieszkanek i mieszkańców okolicy, odpowiadające ich potrzebom, pasjom i zainteresowaniom. Aby zapewnić tym działaniom trwałość i efektywność, podmioty prowadzące centra są inicjatorami partnerstw lokalnych na swoim terenie, zapraszając do nich rady osiedli, instytucje działające w wymiarze osiedlowym, inne organizacje pozarządowe, grupy nieformalne, szkoły, przedsiębiorców, lokalnych liderów i aktywistów.</w:t>
      </w:r>
    </w:p>
    <w:p w:rsidR="00CA14AB" w:rsidRPr="00E00B35" w:rsidRDefault="00CA14AB" w:rsidP="00E00B35">
      <w:pPr>
        <w:spacing w:after="0" w:line="312" w:lineRule="auto"/>
        <w:rPr>
          <w:szCs w:val="20"/>
        </w:rPr>
      </w:pPr>
      <w:r w:rsidRPr="00E00B35">
        <w:rPr>
          <w:szCs w:val="20"/>
        </w:rPr>
        <w:t>W 2020 roku Wydział Partycypacji Społecznej we współpracy z Siecią Centrów Aktywności Lokalnej (lider sieci Stowarzyszenie Żółty Parasol) przygotował na stronie internetowej Wrocław Rozmawia zakładkę prezentującą wszystkie CALe i organizacje pozarządowe współpracujące w ramach Sieci CAL. Wszystkie podmioty i miejsca zaprezentowano także w formie mapy.</w:t>
      </w:r>
    </w:p>
    <w:p w:rsidR="00CA14AB" w:rsidRPr="00E00B35" w:rsidRDefault="00CA14AB" w:rsidP="00E00B35">
      <w:pPr>
        <w:spacing w:after="0" w:line="312" w:lineRule="auto"/>
        <w:rPr>
          <w:szCs w:val="20"/>
        </w:rPr>
      </w:pPr>
      <w:r w:rsidRPr="00E00B35">
        <w:rPr>
          <w:szCs w:val="20"/>
        </w:rPr>
        <w:t xml:space="preserve">Więcej informacji: wrocławski model CAL, lista i mapa lokalizacji na: </w:t>
      </w:r>
      <w:hyperlink r:id="rId76" w:history="1">
        <w:r w:rsidR="00544448" w:rsidRPr="00E00B35">
          <w:rPr>
            <w:rStyle w:val="Hipercze"/>
            <w:szCs w:val="20"/>
          </w:rPr>
          <w:t>www.wroclaw.pl/rozmawia/centra-aktywnosci-lokalnej</w:t>
        </w:r>
      </w:hyperlink>
      <w:r w:rsidRPr="00E00B35">
        <w:rPr>
          <w:szCs w:val="20"/>
        </w:rPr>
        <w:t xml:space="preserve"> </w:t>
      </w:r>
    </w:p>
    <w:p w:rsidR="00544448" w:rsidRPr="00E00B35" w:rsidRDefault="00544448"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164" w:name="_Toc72352332"/>
      <w:bookmarkStart w:id="165" w:name="_Toc72352766"/>
      <w:r w:rsidRPr="00E00B35">
        <w:rPr>
          <w:sz w:val="20"/>
          <w:szCs w:val="20"/>
        </w:rPr>
        <w:lastRenderedPageBreak/>
        <w:t>II REWITALIZACJA</w:t>
      </w:r>
      <w:bookmarkEnd w:id="164"/>
      <w:bookmarkEnd w:id="165"/>
    </w:p>
    <w:p w:rsidR="00CA14AB" w:rsidRPr="00E00B35" w:rsidRDefault="00CA14AB" w:rsidP="00E00B35">
      <w:pPr>
        <w:spacing w:after="0" w:line="312" w:lineRule="auto"/>
        <w:rPr>
          <w:szCs w:val="20"/>
        </w:rPr>
      </w:pPr>
      <w:r w:rsidRPr="00E00B35">
        <w:rPr>
          <w:szCs w:val="20"/>
        </w:rPr>
        <w:t xml:space="preserve">"DiverCITY 4 - polsko-norweska współpraca w zakresie kreowania nowoczesnych rozwiązań rozwojowych w miastach". Realizacja Inicjatywy nr 2/2019/RL/FWD </w:t>
      </w:r>
    </w:p>
    <w:p w:rsidR="00CA14AB" w:rsidRPr="00E00B35" w:rsidRDefault="00CA14AB" w:rsidP="00E00B35">
      <w:pPr>
        <w:spacing w:after="0" w:line="312" w:lineRule="auto"/>
        <w:rPr>
          <w:szCs w:val="20"/>
        </w:rPr>
      </w:pPr>
      <w:r w:rsidRPr="00E00B35">
        <w:rPr>
          <w:szCs w:val="20"/>
        </w:rPr>
        <w:t>Okres realizacji:15.01.2020 – 30.04.2020 / 15.07.2020-31.10.2020</w:t>
      </w:r>
      <w:r w:rsidRPr="00E00B35">
        <w:rPr>
          <w:szCs w:val="20"/>
        </w:rPr>
        <w:br/>
        <w:t>Liczba zawartych umów: 2</w:t>
      </w:r>
      <w:r w:rsidRPr="00E00B35">
        <w:rPr>
          <w:szCs w:val="20"/>
        </w:rPr>
        <w:br/>
        <w:t>Liczba odbiorców: .ok.250 osób</w:t>
      </w:r>
      <w:r w:rsidRPr="00E00B35">
        <w:rPr>
          <w:szCs w:val="20"/>
        </w:rPr>
        <w:br/>
        <w:t>Kwota dotacji: 552 700 zł.</w:t>
      </w:r>
      <w:r w:rsidRPr="00E00B35">
        <w:rPr>
          <w:szCs w:val="20"/>
        </w:rPr>
        <w:br/>
        <w:t>W związku z kontynuacją rozpoczętej w 2019 r. realizacji Inicjatywy nr 2/2019/RL/FWD pt. "DiverCITY 4 - polsko-norweska współpraca w zakresie kreowania nowoczesnych rozwiązań rozwojowych w miastach" finansowanej ze środków Funduszy norweskich  i EOG w ramach Funduszu Współpracy Dwustronnej perspektywy 2014-2021 w roku 2020 Wydział przy udziale Fundacji Convention Bureau- Wrocław zorganizował i przeprowadził warsztaty eksperckie z zakresów: ochrona środowiska, opieka senioralna, mieszkalnictwo, dostępność, przy udziale czterech TeamLiderów</w:t>
      </w:r>
      <w:r w:rsidRPr="00E00B35">
        <w:rPr>
          <w:szCs w:val="20"/>
        </w:rPr>
        <w:br/>
        <w:t xml:space="preserve">i z zapewnieniem możliwości udziału ekspertom oraz przedstawicielom społecznych interesariuszy. </w:t>
      </w:r>
      <w:r w:rsidRPr="00E00B35">
        <w:rPr>
          <w:szCs w:val="20"/>
        </w:rPr>
        <w:br/>
      </w:r>
      <w:r w:rsidRPr="00E00B35">
        <w:rPr>
          <w:szCs w:val="20"/>
        </w:rPr>
        <w:br/>
        <w:t>Podczas warsztatów zdefiniowano wspólne wyzwania dla miast europejskich, wymieniano doświadczenia i identyfikowano polityki zarówno narodowe i lokalne, które można wdrożyć na gruncie polskim. Dyskutowano na temat programów i projektów miejskich, a także stworzono wytyczne zwierające zbiór rozwiązań krótko-, średnio- i długoterminowych.</w:t>
      </w:r>
      <w:r w:rsidRPr="00E00B35">
        <w:rPr>
          <w:szCs w:val="20"/>
        </w:rPr>
        <w:br/>
        <w:t xml:space="preserve">W zakresie ochrony środowiska poruszono kwestie: zanieczyszczenia powietrza, smogu </w:t>
      </w:r>
      <w:r w:rsidRPr="00E00B35">
        <w:rPr>
          <w:szCs w:val="20"/>
        </w:rPr>
        <w:br/>
        <w:t xml:space="preserve">i niskiej emisji w miastach. </w:t>
      </w:r>
      <w:r w:rsidRPr="00E00B35">
        <w:rPr>
          <w:szCs w:val="20"/>
        </w:rPr>
        <w:br/>
        <w:t xml:space="preserve">W dziedzinie opieki senioralnej dyskutowano o problemach samotności, aktywizacji osób starszych i wykluczenia społecznego oraz o zjawisku starzenia społeczeństw. </w:t>
      </w:r>
      <w:r w:rsidRPr="00E00B35">
        <w:rPr>
          <w:szCs w:val="20"/>
        </w:rPr>
        <w:br/>
        <w:t>W ramach warsztatów dotyczących mieszkalnictwa rozmowy koncentrowały się wokół problematyki zabudowy blokowej oraz poszukiwania rozwiązań w zakresie międzynarodowej problematyki niewystarczalności działań deweloperskich w procesie kształtowania całościowych osiedli mieszkaniowych.</w:t>
      </w:r>
      <w:r w:rsidRPr="00E00B35">
        <w:rPr>
          <w:szCs w:val="20"/>
        </w:rPr>
        <w:br/>
        <w:t xml:space="preserve">Natomiast w temacie dostępności szeroko dyskutowano o projektowaniu uniwersalnym, które nazywane jest antydyskryminacyjnym i uwzględnia rozwiązania dla seniorów, osób z niepełnosprawnościami oraz ich rodzin. </w:t>
      </w:r>
      <w:r w:rsidRPr="00E00B35">
        <w:rPr>
          <w:szCs w:val="20"/>
        </w:rPr>
        <w:br/>
      </w:r>
      <w:bookmarkStart w:id="166" w:name="_Hlk63004733"/>
      <w:r w:rsidRPr="00E00B35">
        <w:rPr>
          <w:szCs w:val="20"/>
        </w:rPr>
        <w:t>Ponadto w dniu 22.09.2020 r. WSS, przy współpracy z tym samym NGO, zorganizował konferencję DiverCITY 4 stanowiącą podsumowanie realizacji założeń Inicjatywy w czterech ww. obszarach. Konferencja, ze względu na konieczność zapewnienia bezpieczeństwa w sytuacji panującej pandemii COVID-19, odbyła się w formie hybrydowej, tj. stacjonarnie oraz on-line. Zarówno część uczestników, jaki i prelegentów brała udział w konferencji w formie wirtualnej. Konferencja została zorganizowana we Wrocławskim Centrum Kongresowym przy Hali Stulecia we Wrocławiu.</w:t>
      </w:r>
      <w:bookmarkEnd w:id="166"/>
      <w:r w:rsidRPr="00E00B35">
        <w:rPr>
          <w:szCs w:val="20"/>
        </w:rPr>
        <w:br/>
        <w:t xml:space="preserve">Komponent badawczy Inicjatywy został zrealizowany oraz dostarczony przez Partnera Projektu, którym była Politechnika Wrocławska i dotyczył m.in. zmian sposobu ogrzewania i zapotrzebowania na ciepło na poziomie przedwojennych kamienic oraz </w:t>
      </w:r>
      <w:r w:rsidRPr="00E00B35">
        <w:rPr>
          <w:szCs w:val="20"/>
        </w:rPr>
        <w:lastRenderedPageBreak/>
        <w:t>opracowania ekspertyz w zakresie termomodernizacji, a przede wszystkim wymiany źródeł ciepła na paliwo stałe w tych kamienicach.</w:t>
      </w:r>
      <w:r w:rsidRPr="00E00B35">
        <w:rPr>
          <w:szCs w:val="20"/>
        </w:rPr>
        <w:br/>
        <w:t xml:space="preserve">Inicjatywa promowana była na specjalnie stworzonej stronie internetowej </w:t>
      </w:r>
      <w:hyperlink r:id="rId77" w:history="1">
        <w:r w:rsidRPr="00E00B35">
          <w:rPr>
            <w:szCs w:val="20"/>
          </w:rPr>
          <w:t>www.divercity4.pl</w:t>
        </w:r>
      </w:hyperlink>
      <w:r w:rsidRPr="00E00B35">
        <w:rPr>
          <w:szCs w:val="20"/>
        </w:rPr>
        <w:t>, uruchomionej pod koniec 2019 r. Na stronie zamieszczane były aktualności dotyczące realizacji poszczególnych działań, publikowano resume dot. warsztatów eksperckich (wraz z fotorelacjami), a także wszelkie istotne informacje m.in. dotyczące konferencji DC4. Dodatkowo Inicjatywa była promowana na kanałach social media, gdzie zostało utworzone wydarzenie dedykowane konferencji.</w:t>
      </w:r>
    </w:p>
    <w:p w:rsidR="00CA14AB" w:rsidRPr="00E00B35" w:rsidRDefault="00CA14AB" w:rsidP="00E00B35">
      <w:pPr>
        <w:spacing w:after="0" w:line="312" w:lineRule="auto"/>
        <w:rPr>
          <w:szCs w:val="20"/>
        </w:rPr>
      </w:pPr>
      <w:r w:rsidRPr="00E00B35">
        <w:rPr>
          <w:szCs w:val="20"/>
        </w:rPr>
        <w:t xml:space="preserve">W terminie do końca stycznia 2021 r. przygotowana została publikacja w formie elektronicznej dotycząca konferencji pn. „DiverCity4 – polsko-norweska współpraca </w:t>
      </w:r>
      <w:r w:rsidRPr="00E00B35">
        <w:rPr>
          <w:szCs w:val="20"/>
        </w:rPr>
        <w:br/>
        <w:t>w zakresie kreowania nowoczesnych rozwiązań rozwojowych w miastach – wzmocnienie zaangażowanych mieszkańców w rozwój miasta w 2020 r., która zostanie w całości sfinansowana ze środków Gminy Wrocław.</w:t>
      </w:r>
    </w:p>
    <w:p w:rsidR="00544448" w:rsidRPr="00E00B35" w:rsidRDefault="00544448" w:rsidP="00E00B35">
      <w:pPr>
        <w:spacing w:after="0" w:line="312" w:lineRule="auto"/>
        <w:rPr>
          <w:szCs w:val="20"/>
        </w:rPr>
      </w:pP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4403725" cy="3850005"/>
            <wp:effectExtent l="19050" t="0" r="0" b="0"/>
            <wp:docPr id="121" name="Obraz 8" descr="Sala konferencyjna, ciemne ściany, jaśniejszy płaski sufit i małe belki kratownicowe do których podczepione sa reflektory oświetlające scenę.  Na sali na pierwszym planie w półmroku uczestnicy konferencji, siedzący na pojedyńczych krzesłach, rozstawionych w dużych odległościach od siebie. Scena to prostokątny biały baner z tytułem konferencji Diver City 4, na podłodze przed banerem jednostopniowy podest w kolorze szarym. Obok banera, po prawej stronie w oddaleniu,  mówca stojący za pulpitem. Z prawej strony postawiono na pionowych drzewcach nieduże flagi narodowe Norwegii i Pol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Sala konferencyjna, ciemne ściany, jaśniejszy płaski sufit i małe belki kratownicowe do których podczepione sa reflektory oświetlające scenę.  Na sali na pierwszym planie w półmroku uczestnicy konferencji, siedzący na pojedyńczych krzesłach, rozstawionych w dużych odległościach od siebie. Scena to prostokątny biały baner z tytułem konferencji Diver City 4, na podłodze przed banerem jednostopniowy podest w kolorze szarym. Obok banera, po prawej stronie w oddaleniu,  mówca stojący za pulpitem. Z prawej strony postawiono na pionowych drzewcach nieduże flagi narodowe Norwegii i Polski. "/>
                    <pic:cNvPicPr>
                      <a:picLocks noChangeAspect="1" noChangeArrowheads="1"/>
                    </pic:cNvPicPr>
                  </pic:nvPicPr>
                  <pic:blipFill>
                    <a:blip r:embed="rId78" cstate="print"/>
                    <a:srcRect/>
                    <a:stretch>
                      <a:fillRect/>
                    </a:stretch>
                  </pic:blipFill>
                  <pic:spPr bwMode="auto">
                    <a:xfrm>
                      <a:off x="0" y="0"/>
                      <a:ext cx="4403725" cy="385000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Rysunek </w:t>
      </w:r>
      <w:r w:rsidR="00573162" w:rsidRPr="00E00B35">
        <w:rPr>
          <w:szCs w:val="20"/>
        </w:rPr>
        <w:fldChar w:fldCharType="begin"/>
      </w:r>
      <w:r w:rsidR="00573162" w:rsidRPr="00E00B35">
        <w:rPr>
          <w:szCs w:val="20"/>
        </w:rPr>
        <w:instrText xml:space="preserve"> SEQ Rysunek \* ARABIC </w:instrText>
      </w:r>
      <w:r w:rsidR="00573162" w:rsidRPr="00E00B35">
        <w:rPr>
          <w:szCs w:val="20"/>
        </w:rPr>
        <w:fldChar w:fldCharType="separate"/>
      </w:r>
      <w:r w:rsidR="008C054F">
        <w:rPr>
          <w:noProof/>
          <w:szCs w:val="20"/>
        </w:rPr>
        <w:t>1</w:t>
      </w:r>
      <w:r w:rsidR="00573162" w:rsidRPr="00E00B35">
        <w:rPr>
          <w:szCs w:val="20"/>
        </w:rPr>
        <w:fldChar w:fldCharType="end"/>
      </w:r>
      <w:r w:rsidRPr="00E00B35">
        <w:rPr>
          <w:szCs w:val="20"/>
        </w:rPr>
        <w:t>Konferencja DC4- 22.09.2020 r., Wrocławskie Centrum Kongresowe</w:t>
      </w:r>
    </w:p>
    <w:p w:rsidR="00CA14AB" w:rsidRPr="00E00B35" w:rsidRDefault="00CA14AB" w:rsidP="00E00B35">
      <w:pPr>
        <w:spacing w:after="0" w:line="312" w:lineRule="auto"/>
        <w:rPr>
          <w:szCs w:val="20"/>
        </w:rPr>
      </w:pPr>
      <w:r w:rsidRPr="00E00B35">
        <w:rPr>
          <w:szCs w:val="20"/>
        </w:rPr>
        <w:t>Realizacja montażu makiety historycznego osiedla WuWA.</w:t>
      </w:r>
    </w:p>
    <w:p w:rsidR="00544448" w:rsidRPr="00E00B35" w:rsidRDefault="00544448"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 związku z kontynuacją realizacji zadania pn.: „Zagospodarowanie przestrzeni publicznej na historycznym osiedlu WuWA”, dokonano planowanego na rok 2020 montażu makiety osiedla, która stanowi obecnie jeden z kluczowych elementów przestrzeni publicznych i zlokalizowana jest w bezpośrednim sąsiedztwie odtworzonego historycznego budynku dawnego przedszkola, a obecnie siedziby Dolnośląskiej Okręgowej Izby Architektów. Makieta przedstawia 13 miniatur budynków w skali 1:32 umożliwiając zwiedzającym zapoznanie się z całym osiedlem w skali urbanistycznej</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4740275" cy="3537585"/>
            <wp:effectExtent l="19050" t="0" r="3175" b="0"/>
            <wp:docPr id="120" name="Obraz 3" descr="Na dużej, płaskiej betonowej płycie postumentu w kolorze ceglastym rozmieszczone są modele budynków utrzymane w jednolitym szarym kolorze. Nieregularny obrys płyty odtwarza schematycznie teren historycznego osiedla wystawy WuWa. Modele rozmieszczone zostały na płycie tak jak oryginalne budynki w terenie. Zdjęcie pokazuje fragment całej makiety osiedla z kilkoma modelami na płycie. W tle postumentu z makietami fragment terenu placyku oraz alejka parkowa wzdłuż której rosną duże liściaste drzewa. Widok uzupełnia po lewej stronie lampa parkowa w kształcie pionowego słupka i leżącej na nim poprzecznie krótkiej belki. Po prawej stronie w tle fragment ogrodzenia z siatki i słupków a za nim niska ściana budynku pobliskiego przedsz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Na dużej, płaskiej betonowej płycie postumentu w kolorze ceglastym rozmieszczone są modele budynków utrzymane w jednolitym szarym kolorze. Nieregularny obrys płyty odtwarza schematycznie teren historycznego osiedla wystawy WuWa. Modele rozmieszczone zostały na płycie tak jak oryginalne budynki w terenie. Zdjęcie pokazuje fragment całej makiety osiedla z kilkoma modelami na płycie. W tle postumentu z makietami fragment terenu placyku oraz alejka parkowa wzdłuż której rosną duże liściaste drzewa. Widok uzupełnia po lewej stronie lampa parkowa w kształcie pionowego słupka i leżącej na nim poprzecznie krótkiej belki. Po prawej stronie w tle fragment ogrodzenia z siatki i słupków a za nim niska ściana budynku pobliskiego przedszkola."/>
                    <pic:cNvPicPr>
                      <a:picLocks noChangeAspect="1" noChangeArrowheads="1"/>
                    </pic:cNvPicPr>
                  </pic:nvPicPr>
                  <pic:blipFill>
                    <a:blip r:embed="rId79" cstate="print"/>
                    <a:srcRect/>
                    <a:stretch>
                      <a:fillRect/>
                    </a:stretch>
                  </pic:blipFill>
                  <pic:spPr bwMode="auto">
                    <a:xfrm>
                      <a:off x="0" y="0"/>
                      <a:ext cx="4740275" cy="353758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Rysunek </w:t>
      </w:r>
      <w:r w:rsidR="00573162" w:rsidRPr="00E00B35">
        <w:rPr>
          <w:szCs w:val="20"/>
        </w:rPr>
        <w:fldChar w:fldCharType="begin"/>
      </w:r>
      <w:r w:rsidR="00573162" w:rsidRPr="00E00B35">
        <w:rPr>
          <w:szCs w:val="20"/>
        </w:rPr>
        <w:instrText xml:space="preserve"> SEQ Rysunek \* ARABIC </w:instrText>
      </w:r>
      <w:r w:rsidR="00573162" w:rsidRPr="00E00B35">
        <w:rPr>
          <w:szCs w:val="20"/>
        </w:rPr>
        <w:fldChar w:fldCharType="separate"/>
      </w:r>
      <w:r w:rsidR="008C054F">
        <w:rPr>
          <w:noProof/>
          <w:szCs w:val="20"/>
        </w:rPr>
        <w:t>2</w:t>
      </w:r>
      <w:r w:rsidR="00573162" w:rsidRPr="00E00B35">
        <w:rPr>
          <w:szCs w:val="20"/>
        </w:rPr>
        <w:fldChar w:fldCharType="end"/>
      </w:r>
      <w:r w:rsidRPr="00E00B35">
        <w:rPr>
          <w:szCs w:val="20"/>
        </w:rPr>
        <w:t xml:space="preserve"> Makieta osiedla WuWA zlokalizowana przy Dolnośląskiej Okręgowej Izby Architektów przy ul. Wróblewskiego 18.</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Promocja historycznego osiedla WuWA- aktualizacja oraz dodruk ulotek i publikacji oraz wykonanie wirtualnego spaceru po osiedlu WuWA.</w:t>
      </w:r>
    </w:p>
    <w:p w:rsidR="00CA14AB" w:rsidRPr="00E00B35" w:rsidRDefault="00CA14AB" w:rsidP="00E00B35">
      <w:pPr>
        <w:spacing w:after="0" w:line="312" w:lineRule="auto"/>
        <w:rPr>
          <w:szCs w:val="20"/>
        </w:rPr>
      </w:pPr>
      <w:r w:rsidRPr="00E00B35">
        <w:rPr>
          <w:szCs w:val="20"/>
        </w:rPr>
        <w:t xml:space="preserve">Okres realizacji: 20.10.2020 - 31.12.2020 </w:t>
      </w:r>
      <w:r w:rsidRPr="00E00B35">
        <w:rPr>
          <w:szCs w:val="20"/>
        </w:rPr>
        <w:br/>
        <w:t xml:space="preserve">Liczba zawartych umów: 1 </w:t>
      </w:r>
      <w:r w:rsidRPr="00E00B35">
        <w:rPr>
          <w:szCs w:val="20"/>
        </w:rPr>
        <w:br/>
        <w:t>Liczba odbiorców: nieograniczona (ze względu na nieograniczony dostęp do tworzonej strony internetowej, na której zostaną umieszczone ulotki, publikacje i spacer wirtualny)</w:t>
      </w:r>
      <w:r w:rsidRPr="00E00B35">
        <w:rPr>
          <w:szCs w:val="20"/>
        </w:rPr>
        <w:br/>
        <w:t>Kwota dotacji: 90.000,00 zł</w:t>
      </w:r>
    </w:p>
    <w:p w:rsidR="00CA14AB" w:rsidRPr="00E00B35" w:rsidRDefault="00CA14AB" w:rsidP="00E00B35">
      <w:pPr>
        <w:spacing w:after="0" w:line="312" w:lineRule="auto"/>
        <w:rPr>
          <w:szCs w:val="20"/>
        </w:rPr>
      </w:pPr>
      <w:r w:rsidRPr="00E00B35">
        <w:rPr>
          <w:szCs w:val="20"/>
        </w:rPr>
        <w:t xml:space="preserve">W roku 2020 Wydział Partycypacji Społecznej kontynuował program działań promocyjnych służący wzmocnieniu rozpoznawalności osiedla WuWA </w:t>
      </w:r>
      <w:r w:rsidRPr="00E00B35">
        <w:rPr>
          <w:szCs w:val="20"/>
        </w:rPr>
        <w:br/>
        <w:t xml:space="preserve">we Wrocławiu jako atrakcji turystycznej poprzez aktualizację i dodruk publikacji </w:t>
      </w:r>
      <w:hyperlink r:id="rId80" w:history="1">
        <w:r w:rsidRPr="00E00B35">
          <w:rPr>
            <w:szCs w:val="20"/>
          </w:rPr>
          <w:t>Hryncewicz-Lamber</w:t>
        </w:r>
      </w:hyperlink>
      <w:r w:rsidRPr="00E00B35">
        <w:rPr>
          <w:szCs w:val="20"/>
        </w:rPr>
        <w:t xml:space="preserve"> G., </w:t>
      </w:r>
      <w:hyperlink r:id="rId81" w:history="1">
        <w:r w:rsidRPr="00E00B35">
          <w:rPr>
            <w:szCs w:val="20"/>
          </w:rPr>
          <w:t>Urbanik</w:t>
        </w:r>
      </w:hyperlink>
      <w:r w:rsidRPr="00E00B35">
        <w:rPr>
          <w:szCs w:val="20"/>
        </w:rPr>
        <w:t xml:space="preserve"> J., „WuWA- mieszkanie i miejsce pracy. Wrocławska wystawa Werkbundu 1929-2014”, Wydawnictwo: Wrocławska Rewitalizacja, Wrocław 2014 (w językach: polskim, angielskim, niemieckim) oraz ulotek informacyjnych pt.: „WuWA- mieszkanie i miejsce pracy. Wrocławska wystawa Werkbundu 1929” </w:t>
      </w:r>
      <w:r w:rsidRPr="00E00B35">
        <w:rPr>
          <w:szCs w:val="20"/>
        </w:rPr>
        <w:br/>
        <w:t>(w językach: polskim, angielskim, niemieckim i dodatkowo ukraińskim) prezentujących mapkę osiedla oraz archiwalne zdjęcia obiektów wraz z opisami.</w:t>
      </w:r>
    </w:p>
    <w:p w:rsidR="00CA14AB" w:rsidRPr="00E00B35" w:rsidRDefault="00CA14AB" w:rsidP="00E00B35">
      <w:pPr>
        <w:spacing w:after="0" w:line="312" w:lineRule="auto"/>
        <w:rPr>
          <w:szCs w:val="20"/>
        </w:rPr>
      </w:pPr>
      <w:r w:rsidRPr="00E00B35">
        <w:rPr>
          <w:szCs w:val="20"/>
        </w:rPr>
        <w:t xml:space="preserve">Ponadto w ramach działań promocyjnych zrealizowano spacer wirtualny po osiedlu, który dostępny będzie na tworzonej stronie internetowej </w:t>
      </w:r>
      <w:hyperlink r:id="rId82" w:history="1">
        <w:r w:rsidRPr="00E00B35">
          <w:rPr>
            <w:szCs w:val="20"/>
          </w:rPr>
          <w:t>www.wroclaw.pl/wuwa</w:t>
        </w:r>
      </w:hyperlink>
      <w:r w:rsidRPr="00E00B35">
        <w:rPr>
          <w:szCs w:val="20"/>
        </w:rPr>
        <w:t xml:space="preserve"> (tłumaczonej na język: angielski, niemiecki i ukraiński) wraz publikacją i ulotkami. Na stronie zamieszczone będą również ogólne informacje o osiedlu. </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4716145" cy="3128010"/>
            <wp:effectExtent l="19050" t="0" r="8255" b="0"/>
            <wp:docPr id="119" name="Obraz 4" descr="Zdjęcie pokazuje budynki osiedla oglądane z dużej wysokości. Na piewszym planie od lewej strony u dołu dachy budynków mieszkalnych wzdłuż ulicy Tramwajowej, dalej ku górze zdjęcia następny zwarty, kilkukondygnacyjny budynek o jasnej elewacji. Dalej w prawo następne niższe budynki osiedla na tle dużych drzew liściastych alei parkowej. W środku zdjęcia widoczny parking z parkującymi samochodami osobowymi, wydzielony szpalerem żywopłotu trawiasty teren z grupami urządzeń do zabaw oraz dach rozczłonkowanego niskiego budynku przedszkola nr 121, położonego wewnątrz osiedla. Budynki na pierwszym planie sąsiadują z drzewami liściastymi. Przy budynku przedszkola w kilku miejscach wyrastają kolumnowe tuje. W górnej prawej części zdjęcia niski prostokątny budynek  o jasnej elewcji na tle drzew parkowych, obecnie siedziba Dolnośląskiej Okręgowej Izby Archit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Zdjęcie pokazuje budynki osiedla oglądane z dużej wysokości. Na piewszym planie od lewej strony u dołu dachy budynków mieszkalnych wzdłuż ulicy Tramwajowej, dalej ku górze zdjęcia następny zwarty, kilkukondygnacyjny budynek o jasnej elewacji. Dalej w prawo następne niższe budynki osiedla na tle dużych drzew liściastych alei parkowej. W środku zdjęcia widoczny parking z parkującymi samochodami osobowymi, wydzielony szpalerem żywopłotu trawiasty teren z grupami urządzeń do zabaw oraz dach rozczłonkowanego niskiego budynku przedszkola nr 121, położonego wewnątrz osiedla. Budynki na pierwszym planie sąsiadują z drzewami liściastymi. Przy budynku przedszkola w kilku miejscach wyrastają kolumnowe tuje. W górnej prawej części zdjęcia niski prostokątny budynek  o jasnej elewcji na tle drzew parkowych, obecnie siedziba Dolnośląskiej Okręgowej Izby Architektów"/>
                    <pic:cNvPicPr>
                      <a:picLocks noChangeAspect="1" noChangeArrowheads="1"/>
                    </pic:cNvPicPr>
                  </pic:nvPicPr>
                  <pic:blipFill>
                    <a:blip r:embed="rId83" cstate="print"/>
                    <a:srcRect/>
                    <a:stretch>
                      <a:fillRect/>
                    </a:stretch>
                  </pic:blipFill>
                  <pic:spPr bwMode="auto">
                    <a:xfrm>
                      <a:off x="0" y="0"/>
                      <a:ext cx="4716145" cy="3128010"/>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Rysunek </w:t>
      </w:r>
      <w:r w:rsidR="00573162" w:rsidRPr="00E00B35">
        <w:rPr>
          <w:szCs w:val="20"/>
        </w:rPr>
        <w:fldChar w:fldCharType="begin"/>
      </w:r>
      <w:r w:rsidR="00573162" w:rsidRPr="00E00B35">
        <w:rPr>
          <w:szCs w:val="20"/>
        </w:rPr>
        <w:instrText xml:space="preserve"> SEQ Rysunek \* ARABIC </w:instrText>
      </w:r>
      <w:r w:rsidR="00573162" w:rsidRPr="00E00B35">
        <w:rPr>
          <w:szCs w:val="20"/>
        </w:rPr>
        <w:fldChar w:fldCharType="separate"/>
      </w:r>
      <w:r w:rsidR="008C054F">
        <w:rPr>
          <w:noProof/>
          <w:szCs w:val="20"/>
        </w:rPr>
        <w:t>3</w:t>
      </w:r>
      <w:r w:rsidR="00573162" w:rsidRPr="00E00B35">
        <w:rPr>
          <w:szCs w:val="20"/>
        </w:rPr>
        <w:fldChar w:fldCharType="end"/>
      </w:r>
      <w:r w:rsidRPr="00E00B35">
        <w:rPr>
          <w:szCs w:val="20"/>
        </w:rPr>
        <w:t xml:space="preserve"> Kadr ze spaceru po osiedlu WuWA (widok z drona).</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4909185" cy="3681730"/>
            <wp:effectExtent l="19050" t="0" r="5715" b="0"/>
            <wp:docPr id="118" name="Obraz 5" descr="Na zdjęciu nowoczesny czterokondygnacyjny budynek o jasnej elewacji pokazany z pozycji stojącego człowieka. Widok akcentuje narożnik krótszej ściany bocznej z trzema rzędami okien oraz dłuższej ściany, wzdłuż której biegną galerie każdej z trzech kondygnacji budynku. W parterze ściany bocznej na pierwszym planie niska parterowa dobudówka w formie kiosku, o wyróżniającej się okrągłej ścianie. Przybudówka - kiosk przekryta jest płaskim dachem o obrysie półokręgu, który bardzo mocno wystaje przed ściany tworząc podcień. Na powierzchni dachu umieszczony napis - INFOWUWA z pojedynczych liter neonów. Od spodu dachu promieniście rozchodzące się linie oświetlenia typu ledowego. Podest wejściowy powtarza kształt i wielkość nadwieszonego dachu. Trzy widoczne okna dobudówki duże prostokątne, dzielone poziomo na pół, o szarych ramach. Jedno z okien w płaskiej ścianie kiosku ma opuszczoną szarego koloru żaluzję.&#10;Drzwi wejściowe czerwone, ławki z oparciem pod rzędem okien, przymocowane do ściany, także czerwone tworzące kontrast z jasną elewacją. Na podeście przed budynkiem okrągłe niskie donice wypełnione kwiatami. Pozostały teren przed budynkiem z ciemnej kostki betonowej. Po lewej stronie z nawierzchni kostkowej wyrasta kilkumetrowej długości niski betonowy murek. Teren przed budynkiem częściowo przysypany jesiennymi liśćmi. Tłem zdjęcia jest błękitne niebo częściowo przesłonięte chmurami oraz z lewej strony fragmenty koron drzew liściastych widocze także na dalszym horyzontalnym 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Na zdjęciu nowoczesny czterokondygnacyjny budynek o jasnej elewacji pokazany z pozycji stojącego człowieka. Widok akcentuje narożnik krótszej ściany bocznej z trzema rzędami okien oraz dłuższej ściany, wzdłuż której biegną galerie każdej z trzech kondygnacji budynku. W parterze ściany bocznej na pierwszym planie niska parterowa dobudówka w formie kiosku, o wyróżniającej się okrągłej ścianie. Przybudówka - kiosk przekryta jest płaskim dachem o obrysie półokręgu, który bardzo mocno wystaje przed ściany tworząc podcień. Na powierzchni dachu umieszczony napis - INFOWUWA z pojedynczych liter neonów. Od spodu dachu promieniście rozchodzące się linie oświetlenia typu ledowego. Podest wejściowy powtarza kształt i wielkość nadwieszonego dachu. Trzy widoczne okna dobudówki duże prostokątne, dzielone poziomo na pół, o szarych ramach. Jedno z okien w płaskiej ścianie kiosku ma opuszczoną szarego koloru żaluzję.&#10;Drzwi wejściowe czerwone, ławki z oparciem pod rzędem okien, przymocowane do ściany, także czerwone tworzące kontrast z jasną elewacją. Na podeście przed budynkiem okrągłe niskie donice wypełnione kwiatami. Pozostały teren przed budynkiem z ciemnej kostki betonowej. Po lewej stronie z nawierzchni kostkowej wyrasta kilkumetrowej długości niski betonowy murek. Teren przed budynkiem częściowo przysypany jesiennymi liśćmi. Tłem zdjęcia jest błękitne niebo częściowo przesłonięte chmurami oraz z lewej strony fragmenty koron drzew liściastych widocze także na dalszym horyzontalnym tle. "/>
                    <pic:cNvPicPr>
                      <a:picLocks noChangeAspect="1" noChangeArrowheads="1"/>
                    </pic:cNvPicPr>
                  </pic:nvPicPr>
                  <pic:blipFill>
                    <a:blip r:embed="rId84" cstate="print"/>
                    <a:srcRect/>
                    <a:stretch>
                      <a:fillRect/>
                    </a:stretch>
                  </pic:blipFill>
                  <pic:spPr bwMode="auto">
                    <a:xfrm>
                      <a:off x="0" y="0"/>
                      <a:ext cx="4909185" cy="3681730"/>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Rysunek </w:t>
      </w:r>
      <w:r w:rsidR="00573162" w:rsidRPr="00E00B35">
        <w:rPr>
          <w:szCs w:val="20"/>
        </w:rPr>
        <w:fldChar w:fldCharType="begin"/>
      </w:r>
      <w:r w:rsidR="00573162" w:rsidRPr="00E00B35">
        <w:rPr>
          <w:szCs w:val="20"/>
        </w:rPr>
        <w:instrText xml:space="preserve"> SEQ Rysunek \* ARABIC </w:instrText>
      </w:r>
      <w:r w:rsidR="00573162" w:rsidRPr="00E00B35">
        <w:rPr>
          <w:szCs w:val="20"/>
        </w:rPr>
        <w:fldChar w:fldCharType="separate"/>
      </w:r>
      <w:r w:rsidR="008C054F">
        <w:rPr>
          <w:noProof/>
          <w:szCs w:val="20"/>
        </w:rPr>
        <w:t>4</w:t>
      </w:r>
      <w:r w:rsidR="00573162" w:rsidRPr="00E00B35">
        <w:rPr>
          <w:szCs w:val="20"/>
        </w:rPr>
        <w:fldChar w:fldCharType="end"/>
      </w:r>
      <w:r w:rsidRPr="00E00B35">
        <w:rPr>
          <w:szCs w:val="20"/>
        </w:rPr>
        <w:t xml:space="preserve"> Kadr ze spaceru po osiedlu WuWA- dom galeriowy wielorodzinny oraz InfoWuWA- pawilon informacyjny o osiedlu, ul. Tramwajowa.</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4523740" cy="3392805"/>
            <wp:effectExtent l="19050" t="0" r="0" b="0"/>
            <wp:docPr id="117" name="Obraz 6" descr="Widok z kilkumetrowej wysokości na parterowy budynek o prostokątnym rzucie. Widok na pierwszym planie na front krótszej i oświetlonej słońcem jasnej ściany. Płaski, o szarym kolorze, prostokątny i rozległy dach wystaje mocno przed ścianę frontową. Podparty jest czterema słupami tworząc przed budynkiem  rozległy podcień z niskim podestem z ceramicznych ceglanych elementów jako tarasem. W ścianie frontowej budynku w cenralnej części cztery pary przeszklonych drzwi wejściowych. Po lewej i prawej stronie zaspołu drzwi okrągłe okienko, przypominające okrętowy bulaj. Ponad  płaską powierzchnią dachu wyniesione duże prostokątne naświetle również o płaskim dachu. Wdoczny bok naświetla to pas okien doświetlających pomieszczenia wewnątrz. Po lewej i prawej stronie budynku w terenie niskie szpalery żywopłotu, teren przed budynkiem płaski, częściowo przysypany jesiennymi liśćmi. W tle wysoki szpaler parkowych drzew liściastych z brązowiejącymi liść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Widok z kilkumetrowej wysokości na parterowy budynek o prostokątnym rzucie. Widok na pierwszym planie na front krótszej i oświetlonej słońcem jasnej ściany. Płaski, o szarym kolorze, prostokątny i rozległy dach wystaje mocno przed ścianę frontową. Podparty jest czterema słupami tworząc przed budynkiem  rozległy podcień z niskim podestem z ceramicznych ceglanych elementów jako tarasem. W ścianie frontowej budynku w cenralnej części cztery pary przeszklonych drzwi wejściowych. Po lewej i prawej stronie zaspołu drzwi okrągłe okienko, przypominające okrętowy bulaj. Ponad  płaską powierzchnią dachu wyniesione duże prostokątne naświetle również o płaskim dachu. Wdoczny bok naświetla to pas okien doświetlających pomieszczenia wewnątrz. Po lewej i prawej stronie budynku w terenie niskie szpalery żywopłotu, teren przed budynkiem płaski, częściowo przysypany jesiennymi liśćmi. W tle wysoki szpaler parkowych drzew liściastych z brązowiejącymi liśćmi. "/>
                    <pic:cNvPicPr>
                      <a:picLocks noChangeAspect="1" noChangeArrowheads="1"/>
                    </pic:cNvPicPr>
                  </pic:nvPicPr>
                  <pic:blipFill>
                    <a:blip r:embed="rId85" cstate="print"/>
                    <a:srcRect/>
                    <a:stretch>
                      <a:fillRect/>
                    </a:stretch>
                  </pic:blipFill>
                  <pic:spPr bwMode="auto">
                    <a:xfrm>
                      <a:off x="0" y="0"/>
                      <a:ext cx="4523740" cy="339280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Rysunek </w:t>
      </w:r>
      <w:r w:rsidR="00573162" w:rsidRPr="00E00B35">
        <w:rPr>
          <w:szCs w:val="20"/>
        </w:rPr>
        <w:fldChar w:fldCharType="begin"/>
      </w:r>
      <w:r w:rsidR="00573162" w:rsidRPr="00E00B35">
        <w:rPr>
          <w:szCs w:val="20"/>
        </w:rPr>
        <w:instrText xml:space="preserve"> SEQ Rysunek \* ARABIC </w:instrText>
      </w:r>
      <w:r w:rsidR="00573162" w:rsidRPr="00E00B35">
        <w:rPr>
          <w:szCs w:val="20"/>
        </w:rPr>
        <w:fldChar w:fldCharType="separate"/>
      </w:r>
      <w:r w:rsidR="008C054F">
        <w:rPr>
          <w:noProof/>
          <w:szCs w:val="20"/>
        </w:rPr>
        <w:t>5</w:t>
      </w:r>
      <w:r w:rsidR="00573162" w:rsidRPr="00E00B35">
        <w:rPr>
          <w:szCs w:val="20"/>
        </w:rPr>
        <w:fldChar w:fldCharType="end"/>
      </w:r>
      <w:r w:rsidRPr="00E00B35">
        <w:rPr>
          <w:szCs w:val="20"/>
        </w:rPr>
        <w:t xml:space="preserve"> Kadr ze spaceru po osiedlu WuWA- dawne przedszkole, obecnie Dolnośląska Okręgowa Izba Architektów, ul. Wróblewskiego 18</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4596130" cy="3441065"/>
            <wp:effectExtent l="19050" t="0" r="0" b="0"/>
            <wp:docPr id="116" name="Obraz 12" descr="Zdjęcie pokazuje z dużej wysokości budynek dawnego hotelu dla osób samotnych. Budynek ma nieregularną bryłę, która rozciąga się o prawej dolnej strony zdjącia ku jego lewej górnej stronie. Jest to budynek o nowoczesnej architekturze, o widocznej na pierwszym planie kilkukondygacyjnej zwartej proskątnej bryle. Dalsze części budynku o łukowatych, płynnych kształtach. Elewacja budynku jasna, przez to cała sylweta budynku wyróżnia się z otoczenia. Obiekt położony jest wśród zieleni parkowej. Wysokie drzewa otaczają budynek z jego lewej strony, wyrastając na terenie obszernego trawnika. Po prawej stronie zdjęcia fragment trawiastego pobocza ulicy, w którym stoją lampy drogowe oraz zieleń krzewów i drzew Parku Szczytnicki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djęcie pokazuje z dużej wysokości budynek dawnego hotelu dla osób samotnych. Budynek ma nieregularną bryłę, która rozciąga się o prawej dolnej strony zdjącia ku jego lewej górnej stronie. Jest to budynek o nowoczesnej architekturze, o widocznej na pierwszym planie kilkukondygacyjnej zwartej proskątnej bryle. Dalsze części budynku o łukowatych, płynnych kształtach. Elewacja budynku jasna, przez to cała sylweta budynku wyróżnia się z otoczenia. Obiekt położony jest wśród zieleni parkowej. Wysokie drzewa otaczają budynek z jego lewej strony, wyrastając na terenie obszernego trawnika. Po prawej stronie zdjęcia fragment trawiastego pobocza ulicy, w którym stoją lampy drogowe oraz zieleń krzewów i drzew Parku Szczytnickiego. "/>
                    <pic:cNvPicPr>
                      <a:picLocks noChangeAspect="1" noChangeArrowheads="1"/>
                    </pic:cNvPicPr>
                  </pic:nvPicPr>
                  <pic:blipFill>
                    <a:blip r:embed="rId86" cstate="print"/>
                    <a:srcRect/>
                    <a:stretch>
                      <a:fillRect/>
                    </a:stretch>
                  </pic:blipFill>
                  <pic:spPr bwMode="auto">
                    <a:xfrm>
                      <a:off x="0" y="0"/>
                      <a:ext cx="4596130" cy="344106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Rysunek </w:t>
      </w:r>
      <w:r w:rsidR="00573162" w:rsidRPr="00E00B35">
        <w:rPr>
          <w:szCs w:val="20"/>
        </w:rPr>
        <w:fldChar w:fldCharType="begin"/>
      </w:r>
      <w:r w:rsidR="00573162" w:rsidRPr="00E00B35">
        <w:rPr>
          <w:szCs w:val="20"/>
        </w:rPr>
        <w:instrText xml:space="preserve"> SEQ Rysunek \* ARABIC </w:instrText>
      </w:r>
      <w:r w:rsidR="00573162" w:rsidRPr="00E00B35">
        <w:rPr>
          <w:szCs w:val="20"/>
        </w:rPr>
        <w:fldChar w:fldCharType="separate"/>
      </w:r>
      <w:r w:rsidR="008C054F">
        <w:rPr>
          <w:noProof/>
          <w:szCs w:val="20"/>
        </w:rPr>
        <w:t>6</w:t>
      </w:r>
      <w:r w:rsidR="00573162" w:rsidRPr="00E00B35">
        <w:rPr>
          <w:szCs w:val="20"/>
        </w:rPr>
        <w:fldChar w:fldCharType="end"/>
      </w:r>
      <w:r w:rsidRPr="00E00B35">
        <w:rPr>
          <w:szCs w:val="20"/>
        </w:rPr>
        <w:t xml:space="preserve"> Kadr ze spaceru po osiedlu WuWA- dawny hotel dla osób samotnych</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Partycypacja społeczna w działaniu – rozpoznanie uwarunkowań lokalnych w związku z planowanym remontem tzw. Podwórka im. Wszystkich Mieszkańców"</w:t>
      </w:r>
    </w:p>
    <w:p w:rsidR="00CA14AB" w:rsidRPr="00E00B35" w:rsidRDefault="00CA14AB" w:rsidP="00E00B35">
      <w:pPr>
        <w:spacing w:after="0" w:line="312" w:lineRule="auto"/>
        <w:rPr>
          <w:szCs w:val="20"/>
        </w:rPr>
      </w:pPr>
      <w:r w:rsidRPr="00E00B35">
        <w:rPr>
          <w:szCs w:val="20"/>
        </w:rPr>
        <w:t>Realizacja przedmiotowego zadania publicznego w trybie art. 19a ustawy z dnia 24 kwietnia 2003 r. o działalności pożytku publicznego o wolontariacie.</w:t>
      </w:r>
    </w:p>
    <w:p w:rsidR="00CA14AB" w:rsidRPr="00E00B35" w:rsidRDefault="00CA14AB" w:rsidP="00E00B35">
      <w:pPr>
        <w:spacing w:after="0" w:line="312" w:lineRule="auto"/>
        <w:rPr>
          <w:szCs w:val="20"/>
        </w:rPr>
      </w:pPr>
      <w:r w:rsidRPr="00E00B35">
        <w:rPr>
          <w:szCs w:val="20"/>
        </w:rPr>
        <w:lastRenderedPageBreak/>
        <w:t xml:space="preserve">Okres realizacji: 14.11.2020 - 20 .12.2020 r </w:t>
      </w:r>
      <w:r w:rsidRPr="00E00B35">
        <w:rPr>
          <w:szCs w:val="20"/>
        </w:rPr>
        <w:br/>
        <w:t>Liczba zawartych umów: 1</w:t>
      </w:r>
      <w:r w:rsidRPr="00E00B35">
        <w:rPr>
          <w:szCs w:val="20"/>
        </w:rPr>
        <w:br/>
        <w:t xml:space="preserve">Liczba odbiorców: </w:t>
      </w:r>
    </w:p>
    <w:p w:rsidR="00CA14AB" w:rsidRPr="00E00B35" w:rsidRDefault="00CA14AB" w:rsidP="00E00B35">
      <w:pPr>
        <w:spacing w:after="0" w:line="312" w:lineRule="auto"/>
        <w:rPr>
          <w:szCs w:val="20"/>
        </w:rPr>
      </w:pPr>
      <w:r w:rsidRPr="00E00B35">
        <w:rPr>
          <w:rFonts w:eastAsia="Calibri"/>
          <w:szCs w:val="20"/>
        </w:rPr>
        <w:t>osoby z którymi podjęto próbę kontaktu metodą „drzwi do drzwi</w:t>
      </w:r>
      <w:r w:rsidRPr="00E00B35">
        <w:rPr>
          <w:szCs w:val="20"/>
        </w:rPr>
        <w:t>” – 30</w:t>
      </w:r>
      <w:r w:rsidRPr="00E00B35">
        <w:rPr>
          <w:rFonts w:eastAsia="Calibri"/>
          <w:szCs w:val="20"/>
        </w:rPr>
        <w:t xml:space="preserve"> adresów </w:t>
      </w:r>
    </w:p>
    <w:p w:rsidR="00CA14AB" w:rsidRPr="00E00B35" w:rsidRDefault="00CA14AB" w:rsidP="00E00B35">
      <w:pPr>
        <w:spacing w:after="0" w:line="312" w:lineRule="auto"/>
        <w:rPr>
          <w:szCs w:val="20"/>
        </w:rPr>
      </w:pPr>
      <w:r w:rsidRPr="00E00B35">
        <w:rPr>
          <w:rFonts w:eastAsia="Calibri"/>
          <w:szCs w:val="20"/>
        </w:rPr>
        <w:t>osoby z którymi umówiono się na spotkanie na terenie podwórza – 10,</w:t>
      </w:r>
    </w:p>
    <w:p w:rsidR="00CA14AB" w:rsidRPr="00E00B35" w:rsidRDefault="00CA14AB" w:rsidP="00E00B35">
      <w:pPr>
        <w:spacing w:after="0" w:line="312" w:lineRule="auto"/>
        <w:rPr>
          <w:szCs w:val="20"/>
        </w:rPr>
      </w:pPr>
      <w:r w:rsidRPr="00E00B35">
        <w:rPr>
          <w:rFonts w:eastAsia="Calibri"/>
          <w:szCs w:val="20"/>
        </w:rPr>
        <w:t>osoby z którymi przeprowadzono rozmowę telefoniczną - 60,</w:t>
      </w:r>
    </w:p>
    <w:p w:rsidR="00CA14AB" w:rsidRPr="00E00B35" w:rsidRDefault="00CA14AB" w:rsidP="00E00B35">
      <w:pPr>
        <w:spacing w:after="0" w:line="312" w:lineRule="auto"/>
        <w:rPr>
          <w:szCs w:val="20"/>
        </w:rPr>
      </w:pPr>
      <w:r w:rsidRPr="00E00B35">
        <w:rPr>
          <w:rFonts w:eastAsia="Calibri"/>
          <w:szCs w:val="20"/>
        </w:rPr>
        <w:t>osoby które przypadkowo spotkano na podwórzu i odbyto rozmowę – 10,</w:t>
      </w:r>
    </w:p>
    <w:p w:rsidR="00CA14AB" w:rsidRPr="00E00B35" w:rsidRDefault="00CA14AB" w:rsidP="00E00B35">
      <w:pPr>
        <w:spacing w:after="0" w:line="312" w:lineRule="auto"/>
        <w:rPr>
          <w:szCs w:val="20"/>
        </w:rPr>
      </w:pPr>
      <w:r w:rsidRPr="00E00B35">
        <w:rPr>
          <w:rFonts w:eastAsia="Calibri"/>
          <w:szCs w:val="20"/>
        </w:rPr>
        <w:t>osoby które uczestniczyły w spotkaniu online – 17</w:t>
      </w:r>
      <w:r w:rsidRPr="00E00B35">
        <w:rPr>
          <w:szCs w:val="20"/>
        </w:rPr>
        <w:br/>
        <w:t>Kwota dotacji: 10 000 zł.</w:t>
      </w:r>
    </w:p>
    <w:p w:rsidR="00CA14AB" w:rsidRPr="00E00B35" w:rsidRDefault="00CA14AB" w:rsidP="00E00B35">
      <w:pPr>
        <w:spacing w:after="0" w:line="312" w:lineRule="auto"/>
        <w:rPr>
          <w:szCs w:val="20"/>
        </w:rPr>
      </w:pPr>
      <w:r w:rsidRPr="00E00B35">
        <w:rPr>
          <w:szCs w:val="20"/>
        </w:rPr>
        <w:t xml:space="preserve">Celem zadania publicznego było rozpoznanie aktualnych uwarunkowań lokalnych oraz nawiązanie dialogu z mieszkańcami i innymi użytkownikami podwórka pomiędzy ulicami Mierniczą, Prądzyńskiego i Komuny Paryskiej we Wrocławiu ze względu na planowany remont i rewitalizację ww. przestrzeni. </w:t>
      </w:r>
    </w:p>
    <w:p w:rsidR="00CA14AB" w:rsidRPr="00E00B35" w:rsidRDefault="00CA14AB" w:rsidP="00E00B35">
      <w:pPr>
        <w:spacing w:after="0" w:line="312" w:lineRule="auto"/>
        <w:rPr>
          <w:szCs w:val="20"/>
        </w:rPr>
      </w:pPr>
      <w:r w:rsidRPr="00E00B35">
        <w:rPr>
          <w:szCs w:val="20"/>
        </w:rPr>
        <w:t>Zadanie polegało w szczególności na:</w:t>
      </w:r>
    </w:p>
    <w:p w:rsidR="00CA14AB" w:rsidRPr="00E00B35" w:rsidRDefault="00CA14AB" w:rsidP="00E00B35">
      <w:pPr>
        <w:spacing w:after="0" w:line="312" w:lineRule="auto"/>
        <w:rPr>
          <w:szCs w:val="20"/>
        </w:rPr>
      </w:pPr>
      <w:r w:rsidRPr="00E00B35">
        <w:rPr>
          <w:szCs w:val="20"/>
        </w:rPr>
        <w:t>Zidentyfikowaniu i nawiązaniu kontaktu z możliwie jak największą liczbą mieszkańców ww. podwórka oraz wszelkimi innymi osobami, które są użytkownikami wspomnianej przestrzeni.</w:t>
      </w:r>
    </w:p>
    <w:p w:rsidR="00CA14AB" w:rsidRPr="00E00B35" w:rsidRDefault="00CA14AB" w:rsidP="00E00B35">
      <w:pPr>
        <w:spacing w:after="0" w:line="312" w:lineRule="auto"/>
        <w:rPr>
          <w:szCs w:val="20"/>
        </w:rPr>
      </w:pPr>
      <w:r w:rsidRPr="00E00B35">
        <w:rPr>
          <w:szCs w:val="20"/>
        </w:rPr>
        <w:t xml:space="preserve">Pogłębieniu wiedzy na temat aktywności jakie podejmują mieszkańcy ww. podwórka oraz inni jego użytkownicy. </w:t>
      </w:r>
    </w:p>
    <w:p w:rsidR="00CA14AB" w:rsidRPr="00E00B35" w:rsidRDefault="00CA14AB" w:rsidP="00E00B35">
      <w:pPr>
        <w:spacing w:after="0" w:line="312" w:lineRule="auto"/>
        <w:rPr>
          <w:szCs w:val="20"/>
        </w:rPr>
      </w:pPr>
      <w:r w:rsidRPr="00E00B35">
        <w:rPr>
          <w:szCs w:val="20"/>
        </w:rPr>
        <w:t xml:space="preserve">Zidentyfikowaniu potrzeb oraz zebraniu rekomendacji mieszkańców oraz innych użytkowników ww. podwórka w zakresie planowanego remontu wnętrza podwórzowego. </w:t>
      </w:r>
    </w:p>
    <w:p w:rsidR="00CA14AB" w:rsidRPr="00E00B35" w:rsidRDefault="00CA14AB" w:rsidP="00E00B35">
      <w:pPr>
        <w:spacing w:after="0" w:line="312" w:lineRule="auto"/>
        <w:rPr>
          <w:szCs w:val="20"/>
        </w:rPr>
      </w:pPr>
      <w:r w:rsidRPr="00E00B35">
        <w:rPr>
          <w:szCs w:val="20"/>
        </w:rPr>
        <w:t xml:space="preserve">Informowaniu oraz aktywizowaniu możliwie jak największej liczby osób do udziału w działaniach podejmowanych w zakresie realizowanego zadania publicznego. </w:t>
      </w:r>
    </w:p>
    <w:p w:rsidR="00CA14AB" w:rsidRPr="00E00B35" w:rsidRDefault="00CA14AB" w:rsidP="00E00B35">
      <w:pPr>
        <w:spacing w:after="0" w:line="312" w:lineRule="auto"/>
        <w:rPr>
          <w:szCs w:val="20"/>
        </w:rPr>
      </w:pPr>
      <w:r w:rsidRPr="00E00B35">
        <w:rPr>
          <w:szCs w:val="20"/>
        </w:rPr>
        <w:t xml:space="preserve">Kompleksowym przygotowaniu, wypromowaniu i realizacji otwartego spotkania dedykowanego mieszkańcom oraz użytkownikom podwórka. </w:t>
      </w:r>
    </w:p>
    <w:p w:rsidR="00CA14AB" w:rsidRPr="00E00B35" w:rsidRDefault="00CA14AB" w:rsidP="00E00B35">
      <w:pPr>
        <w:spacing w:after="0" w:line="312" w:lineRule="auto"/>
        <w:rPr>
          <w:szCs w:val="20"/>
        </w:rPr>
      </w:pPr>
      <w:r w:rsidRPr="00E00B35">
        <w:rPr>
          <w:szCs w:val="20"/>
        </w:rPr>
        <w:t>Wszelkie działania w ramach opisanego zadania publicznego wykonywano w sposób kreatywny oraz zaplanowano tak, by przyczyniały się do aktywnego i nieskrępowanego uczestnictwa mieszkańców oraz innych użytkowników podwórka.</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 xml:space="preserve">Prowadzenie centrum informacji i wsparcia mieszkańców na rzecz rozwoju przedmieścia oławskiego - Przed•Pokój H13 – pilotaż </w:t>
      </w:r>
    </w:p>
    <w:p w:rsidR="00CA14AB" w:rsidRPr="00E00B35" w:rsidRDefault="00CA14AB" w:rsidP="00E00B35">
      <w:pPr>
        <w:spacing w:after="0" w:line="312" w:lineRule="auto"/>
        <w:rPr>
          <w:szCs w:val="20"/>
        </w:rPr>
      </w:pPr>
      <w:r w:rsidRPr="00E00B35">
        <w:rPr>
          <w:szCs w:val="20"/>
        </w:rPr>
        <w:t>Okres realizacji: 01.11.2019 – 31.12.2020</w:t>
      </w:r>
      <w:r w:rsidRPr="00E00B35">
        <w:rPr>
          <w:szCs w:val="20"/>
        </w:rPr>
        <w:br/>
        <w:t>Liczba zawartych umów: 1</w:t>
      </w:r>
      <w:r w:rsidRPr="00E00B35">
        <w:rPr>
          <w:szCs w:val="20"/>
        </w:rPr>
        <w:br/>
        <w:t>Liczba odbiorców: 1450 osób</w:t>
      </w:r>
      <w:r w:rsidRPr="00E00B35">
        <w:rPr>
          <w:szCs w:val="20"/>
        </w:rPr>
        <w:br/>
        <w:t>Kwota dotacji: 217 920 zł (na lata 2019-2020 łącznie 291 240 zł)</w:t>
      </w:r>
    </w:p>
    <w:p w:rsidR="00CA14AB" w:rsidRPr="00E00B35" w:rsidRDefault="00CA14AB" w:rsidP="00E00B35">
      <w:pPr>
        <w:spacing w:after="0" w:line="312" w:lineRule="auto"/>
        <w:rPr>
          <w:szCs w:val="20"/>
        </w:rPr>
      </w:pPr>
      <w:r w:rsidRPr="00E00B35">
        <w:rPr>
          <w:szCs w:val="20"/>
        </w:rPr>
        <w:t>Celem realizacji zadania publicznego było angażowanie mieszkańców Przedmieścia Oławskiego w działania na rzecz poprawy jakości życia na osiedlu. Dodatkowo umożliwiono udział organizacjom pozarządowym oraz grupom nieformalnym w warsztatach doradztwa prawno-księgowego; - zorganizowano warsztaty dla mieszkańców Przedmieścia Oławskiego odbywające się w PrzedPokoju H13, zorganizowano zajęciach oraz spotkania grup zorganizowanych w przestrzeni Przedmieścia Oławskiego oraz umożliwiono współpracę organizacjom w tworzeniu programu działań dla mieszkańców Przedmieścia Oławskiego.</w:t>
      </w:r>
    </w:p>
    <w:p w:rsidR="00CA14AB" w:rsidRPr="00E00B35" w:rsidRDefault="00CA14AB" w:rsidP="00E00B35">
      <w:pPr>
        <w:spacing w:after="0" w:line="312" w:lineRule="auto"/>
        <w:rPr>
          <w:szCs w:val="20"/>
        </w:rPr>
      </w:pPr>
      <w:r w:rsidRPr="00E00B35">
        <w:rPr>
          <w:szCs w:val="20"/>
        </w:rPr>
        <w:lastRenderedPageBreak/>
        <w:t>Obsługa klienta w zakresie wydawania zaświadczeń dotyczących obszaru rewitalizacji i zdegradowanego oraz Specjalnej Strefy Rewitalizacji.</w:t>
      </w:r>
    </w:p>
    <w:p w:rsidR="00CA14AB" w:rsidRPr="00E00B35" w:rsidRDefault="00CA14AB" w:rsidP="00E00B35">
      <w:pPr>
        <w:spacing w:after="0" w:line="312" w:lineRule="auto"/>
        <w:rPr>
          <w:szCs w:val="20"/>
        </w:rPr>
      </w:pPr>
      <w:r w:rsidRPr="00E00B35">
        <w:rPr>
          <w:szCs w:val="20"/>
        </w:rPr>
        <w:t>Zrealizowano również bezpośrednią obsługę klienta związaną z udzielaniem informacji i wydawaniem zaświadczeń potwierdzających fakt, że działka znajduje się na obszarze, na którym Rada Miejska Wrocławia nie podjęła uchwały w sprawie wyznaczenia obszaru zdegradowanego i obszaru rewitalizacji w oparciu o art. 8 ustawy z dnia 9 października 2015 r. o rewitalizacji. W roku 2020 liczba wydanych zaświadczeń wyniosła: 564 sztuki.</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Inne działania w zakresie rewitalizacji</w:t>
      </w:r>
    </w:p>
    <w:p w:rsidR="00CA14AB" w:rsidRPr="00E00B35" w:rsidRDefault="00CA14AB" w:rsidP="00E00B35">
      <w:pPr>
        <w:spacing w:after="0" w:line="312" w:lineRule="auto"/>
        <w:rPr>
          <w:szCs w:val="20"/>
        </w:rPr>
      </w:pPr>
      <w:r w:rsidRPr="00E00B35">
        <w:rPr>
          <w:szCs w:val="20"/>
        </w:rPr>
        <w:t>Powstanie zakładki (wraz z podstanami) poświęconej rewitalizacji w ramach strony Wrocław Rozmawia.</w:t>
      </w:r>
    </w:p>
    <w:p w:rsidR="00CA14AB" w:rsidRPr="00E00B35" w:rsidRDefault="00CA14AB" w:rsidP="00E00B35">
      <w:pPr>
        <w:spacing w:after="0" w:line="312" w:lineRule="auto"/>
        <w:rPr>
          <w:szCs w:val="20"/>
        </w:rPr>
      </w:pPr>
      <w:r w:rsidRPr="00E00B35">
        <w:rPr>
          <w:szCs w:val="20"/>
        </w:rPr>
        <w:t xml:space="preserve">W związku z podejmowaniem coraz to nowych zadań związanych z rewitalizacją oraz mając na uwadze historię działań związanych z odnową we Wrocławiu, w ramach strony Wrocław Rozmawia powstała zakładka poświęcona ww. zagadnieniom. </w:t>
      </w:r>
    </w:p>
    <w:p w:rsidR="00CA14AB" w:rsidRPr="00E00B35" w:rsidRDefault="00CA14AB" w:rsidP="00E00B35">
      <w:pPr>
        <w:spacing w:after="0" w:line="312" w:lineRule="auto"/>
        <w:rPr>
          <w:szCs w:val="20"/>
        </w:rPr>
      </w:pPr>
      <w:r w:rsidRPr="00E00B35">
        <w:rPr>
          <w:szCs w:val="20"/>
        </w:rPr>
        <w:t xml:space="preserve">Zakładka poświęcona rewitalizacji zawiera informacje dotyczące m.in. tego, czym jest wspomniany proces, kim są jego interesariusze oraz na jakiej podstawie wyznaczany jest obszar rewitalizacji. </w:t>
      </w:r>
    </w:p>
    <w:p w:rsidR="00CA14AB" w:rsidRPr="00E00B35" w:rsidRDefault="00CA14AB" w:rsidP="00E00B35">
      <w:pPr>
        <w:spacing w:after="0" w:line="312" w:lineRule="auto"/>
        <w:rPr>
          <w:szCs w:val="20"/>
        </w:rPr>
      </w:pPr>
      <w:r w:rsidRPr="00E00B35">
        <w:rPr>
          <w:szCs w:val="20"/>
        </w:rPr>
        <w:t>Ponadto, stworzono podstrony, w ramach których przedstawiono:</w:t>
      </w:r>
    </w:p>
    <w:p w:rsidR="00CA14AB" w:rsidRPr="00E00B35" w:rsidRDefault="00CA14AB" w:rsidP="00E00B35">
      <w:pPr>
        <w:spacing w:after="0" w:line="312" w:lineRule="auto"/>
        <w:rPr>
          <w:szCs w:val="20"/>
        </w:rPr>
      </w:pPr>
      <w:r w:rsidRPr="00E00B35">
        <w:rPr>
          <w:szCs w:val="20"/>
        </w:rPr>
        <w:t>jak dotychczas przebiegał proces rewitalizacji we Wrocławiu oraz jakie najważniejsze dokumenty i działania są z nim związane (Lokalne Programy Rewitalizacji, konsultacje społeczne),</w:t>
      </w:r>
    </w:p>
    <w:p w:rsidR="00CA14AB" w:rsidRPr="00E00B35" w:rsidRDefault="00CA14AB" w:rsidP="00E00B35">
      <w:pPr>
        <w:spacing w:after="0" w:line="312" w:lineRule="auto"/>
        <w:rPr>
          <w:szCs w:val="20"/>
        </w:rPr>
      </w:pPr>
      <w:r w:rsidRPr="00E00B35">
        <w:rPr>
          <w:szCs w:val="20"/>
        </w:rPr>
        <w:t>projekty z obszaru rewitalizacji, które były dofinansowane ze środków Unii Europejskiej,</w:t>
      </w:r>
    </w:p>
    <w:p w:rsidR="00CA14AB" w:rsidRPr="00E00B35" w:rsidRDefault="00CA14AB" w:rsidP="00E00B35">
      <w:pPr>
        <w:spacing w:after="0" w:line="312" w:lineRule="auto"/>
        <w:rPr>
          <w:szCs w:val="20"/>
        </w:rPr>
      </w:pPr>
      <w:r w:rsidRPr="00E00B35">
        <w:rPr>
          <w:szCs w:val="20"/>
        </w:rPr>
        <w:t>informacje na temat zabytkowych pojazdów należących do Gminy Wrocław, które garażowane są w dawnej zajezdni tramwajowej przy ulicy Legnickiej,</w:t>
      </w:r>
    </w:p>
    <w:p w:rsidR="00CA14AB" w:rsidRPr="00E00B35" w:rsidRDefault="00CA14AB" w:rsidP="00E00B35">
      <w:pPr>
        <w:spacing w:after="0" w:line="312" w:lineRule="auto"/>
        <w:rPr>
          <w:szCs w:val="20"/>
        </w:rPr>
      </w:pPr>
      <w:r w:rsidRPr="00E00B35">
        <w:rPr>
          <w:szCs w:val="20"/>
        </w:rPr>
        <w:t>publikacje do pobrania, które wydano w ramach projektu „4 kąty na trójkącie”, współfinansowanego przez Unię Europejską ze środków Funduszu Spójności, w ramach Programu Operacyjnego Pomoc Techniczna 2014-2020r. ,</w:t>
      </w:r>
    </w:p>
    <w:p w:rsidR="00CA14AB" w:rsidRPr="00E00B35" w:rsidRDefault="00CA14AB" w:rsidP="00E00B35">
      <w:pPr>
        <w:spacing w:after="0" w:line="312" w:lineRule="auto"/>
        <w:rPr>
          <w:szCs w:val="20"/>
        </w:rPr>
      </w:pPr>
      <w:r w:rsidRPr="00E00B35">
        <w:rPr>
          <w:szCs w:val="20"/>
        </w:rPr>
        <w:t>informacje nt. zaświadczeń o objęciu nieruchomości obszarem rewitalizacji oraz Specjalną Strefą Rewitalizacji.</w:t>
      </w:r>
    </w:p>
    <w:p w:rsidR="00544448" w:rsidRPr="00E00B35" w:rsidRDefault="00544448" w:rsidP="00E00B35">
      <w:pPr>
        <w:pStyle w:val="Nagwek4"/>
        <w:spacing w:before="0" w:after="0" w:line="312" w:lineRule="auto"/>
        <w:rPr>
          <w:sz w:val="20"/>
          <w:szCs w:val="20"/>
        </w:rPr>
      </w:pPr>
      <w:bookmarkStart w:id="167" w:name="_Toc72352333"/>
      <w:bookmarkStart w:id="168" w:name="_Toc72352767"/>
    </w:p>
    <w:p w:rsidR="00CA14AB" w:rsidRPr="00E00B35" w:rsidRDefault="00CA14AB" w:rsidP="00E00B35">
      <w:pPr>
        <w:pStyle w:val="Nagwek4"/>
        <w:spacing w:before="0" w:after="0" w:line="312" w:lineRule="auto"/>
        <w:rPr>
          <w:sz w:val="20"/>
          <w:szCs w:val="20"/>
        </w:rPr>
      </w:pPr>
      <w:r w:rsidRPr="00E00B35">
        <w:rPr>
          <w:sz w:val="20"/>
          <w:szCs w:val="20"/>
        </w:rPr>
        <w:t>III ZABYTKOWE POJAZDY KOMUNIKACJI MIEJSKIEJ</w:t>
      </w:r>
      <w:bookmarkEnd w:id="167"/>
      <w:bookmarkEnd w:id="168"/>
      <w:r w:rsidRPr="00E00B35">
        <w:rPr>
          <w:sz w:val="20"/>
          <w:szCs w:val="20"/>
        </w:rPr>
        <w:t xml:space="preserve"> </w:t>
      </w:r>
    </w:p>
    <w:p w:rsidR="00CA14AB" w:rsidRPr="00E00B35" w:rsidRDefault="00CA14AB" w:rsidP="00E00B35">
      <w:pPr>
        <w:spacing w:after="0" w:line="312" w:lineRule="auto"/>
        <w:rPr>
          <w:szCs w:val="20"/>
        </w:rPr>
      </w:pPr>
      <w:r w:rsidRPr="00E00B35">
        <w:rPr>
          <w:szCs w:val="20"/>
        </w:rPr>
        <w:t>Prace rewaloryzacyjne dotyczące obszaru dawnej zajezdni nr 5 POPOWICE – przy ul. Legnickiej 65:</w:t>
      </w:r>
    </w:p>
    <w:p w:rsidR="00CA14AB" w:rsidRPr="00E00B35" w:rsidRDefault="00CA14AB" w:rsidP="00E00B35">
      <w:pPr>
        <w:spacing w:after="0" w:line="312" w:lineRule="auto"/>
        <w:rPr>
          <w:szCs w:val="20"/>
        </w:rPr>
      </w:pPr>
      <w:r w:rsidRPr="00E00B35">
        <w:rPr>
          <w:szCs w:val="20"/>
        </w:rPr>
        <w:t xml:space="preserve">W 2020 roku Wydział Partycypacji Społecznej rozpoczął prace nad działaniami rewaloryzacyjnymi obszaru i budynków tworzących dawną zabytkową zajezdnię tramwajową przy ul. Legnickiej 65. Przygotowanie koncepcji funkcjonalno – przestrzennej zagospodarowania terenu  i kompleksowej adaptacji na nowe funkcje zespołu budynków oraz całego terenu było  pierwszym etapem prac rewaloryzacyjnych. W halach nieczynnej już zajezdni, swoje miejsce postoju znalazł zabytkowy zespół pojazdów szynowych i autobusowych komunikacji miejskiej Wrocławia. Jest to obecnie także jedyne miejsce gdzie prowadzone są systematycznie prace konserwacyjne zachowanego taboru oraz prace odtworzeniowe zabytkowych pojazdów komunikacyjnych. Ponadto na obszarze tym działają liczne podmioty pożytku publicznego (NGO). </w:t>
      </w:r>
    </w:p>
    <w:p w:rsidR="00CA14AB" w:rsidRPr="00E00B35" w:rsidRDefault="00CA14AB" w:rsidP="00E00B35">
      <w:pPr>
        <w:spacing w:after="0" w:line="312" w:lineRule="auto"/>
        <w:rPr>
          <w:szCs w:val="20"/>
        </w:rPr>
      </w:pPr>
      <w:r w:rsidRPr="00E00B35">
        <w:rPr>
          <w:szCs w:val="20"/>
        </w:rPr>
        <w:lastRenderedPageBreak/>
        <w:t>Pierwszym krokiem prac nad wykonaniem ww. koncepcji było powstanie etapowo realizowanej dokumentacji analityczno – koncepcyjnej jako zestawu rekomendowanych rozwiązań funkcjonalno – przestrzennych, obejmujących wieloetapową i wielofunkcyjną rozbudowę terenu zajezdni, w tym przede wszystkim przebudowę historycznych zabudowań wraz z wprowadzeniem nowych funkcji śródmiejskich, w tym docelowego miejsca ekspozycyjnego dla zabytkowej kolekcji pojazdów komunikacji miejskiej oraz centrum dla działalności organizacji pozarządowych i lokalnych. Rozwiązania te uzupełniono o analizy finansowe możliwych lub koniecznych działań w przyszłych etapach realizacyjnych.</w:t>
      </w:r>
    </w:p>
    <w:p w:rsidR="00CA14AB" w:rsidRPr="00E00B35" w:rsidRDefault="00CA14AB" w:rsidP="00E00B35">
      <w:pPr>
        <w:spacing w:after="0" w:line="312" w:lineRule="auto"/>
        <w:rPr>
          <w:szCs w:val="20"/>
        </w:rPr>
      </w:pPr>
      <w:r w:rsidRPr="00E00B35">
        <w:rPr>
          <w:szCs w:val="20"/>
        </w:rPr>
        <w:t xml:space="preserve">Powstałe pod koniec 2020 roku, przy bieżącym udziale konsultacyjnym Biura Rozwoju Wrocławia i innych komórek organizacyjnych UMW opracowanie, pod roboczą nazwą „Wrocławskie Centrum Komunikacji – WROCeK” znajduje się obecnie w fazie przygotowań do konsultacji społecznych. </w:t>
      </w:r>
      <w:r w:rsidRPr="00E00B35">
        <w:rPr>
          <w:szCs w:val="20"/>
        </w:rPr>
        <w:br/>
        <w:t>Celem końcowym tego etapu ma być powstanie spójnej koncepcji pełnej przemiany zamkniętego, poprzemysłowego terenu w otwartą, różnorodną i przyjazną przestrzeń miejską, wzbogaconą zielenią, harmonijnie połączoną z okolicznymi osiedlami i zapewniającą funkcje ważne z punktu widzenia mieszkańców. Dopełnieniem opracowania koncepcyjnego po etapie konsultacyjnym będzie analiza frekwencyjna oraz wstępny biznesplan realizacyjny.</w:t>
      </w:r>
    </w:p>
    <w:p w:rsidR="00CA14AB" w:rsidRPr="00E00B35" w:rsidRDefault="00CA14AB" w:rsidP="00E00B35">
      <w:pPr>
        <w:spacing w:after="0" w:line="312" w:lineRule="auto"/>
        <w:rPr>
          <w:szCs w:val="20"/>
        </w:rPr>
      </w:pPr>
      <w:r w:rsidRPr="00E00B35">
        <w:rPr>
          <w:szCs w:val="20"/>
        </w:rPr>
        <w:t xml:space="preserve">Organizacja wydarzenia edukacyjnego z zakresu historii i ratowania dziedzictwa zabytków komunikacji oraz częściowa odbudowa wagonu typu Maximum z 1901 r.  </w:t>
      </w:r>
    </w:p>
    <w:p w:rsidR="00CA14AB" w:rsidRPr="00E00B35" w:rsidRDefault="00CA14AB" w:rsidP="00E00B35">
      <w:pPr>
        <w:spacing w:after="0" w:line="312" w:lineRule="auto"/>
        <w:rPr>
          <w:szCs w:val="20"/>
        </w:rPr>
      </w:pPr>
      <w:r w:rsidRPr="00E00B35">
        <w:rPr>
          <w:szCs w:val="20"/>
        </w:rPr>
        <w:t xml:space="preserve">Okres realizacji: 01.04.2020 - 31.12.2020 </w:t>
      </w:r>
      <w:r w:rsidRPr="00E00B35">
        <w:rPr>
          <w:szCs w:val="20"/>
        </w:rPr>
        <w:br/>
        <w:t>Liczba zawartych umów: 1</w:t>
      </w:r>
      <w:r w:rsidRPr="00E00B35">
        <w:rPr>
          <w:szCs w:val="20"/>
        </w:rPr>
        <w:br/>
        <w:t>Liczba odbiorców: ok. 2000 osób</w:t>
      </w:r>
      <w:r w:rsidRPr="00E00B35">
        <w:rPr>
          <w:szCs w:val="20"/>
        </w:rPr>
        <w:br/>
        <w:t>Kwota dotacji: 275 000 zł</w:t>
      </w:r>
    </w:p>
    <w:p w:rsidR="00CA14AB" w:rsidRPr="00E00B35" w:rsidRDefault="00CA14AB" w:rsidP="00E00B35">
      <w:pPr>
        <w:spacing w:after="0" w:line="312" w:lineRule="auto"/>
        <w:rPr>
          <w:szCs w:val="20"/>
        </w:rPr>
      </w:pPr>
      <w:r w:rsidRPr="00E00B35">
        <w:rPr>
          <w:szCs w:val="20"/>
        </w:rPr>
        <w:t>Wagon Maximum jest bezsprzecznie unikalny – jedyny w Polsce oraz jeden z nielicznych na świecie więc jego remont jest również inwestycją w kulturę i dziedzictwo narodowe. Pierwszy etap odbudowy realizowany był w ramach Wrocławskiego Budżetu Obywatelskiego w roku 2013 podczas którego dokonano renowacji nadwozia tramwaju. Etap drugi realizowany w roku 2018 polegał na renowacji podwozia czteroosiowego wagonu na podstawie zachowanych elementów dwóch oryginalnych skrętnych wózków, połączenia nadwozia oraz podwozia wagonu a także przywróceniu sprawności mechanicznej wagonu. Etap trzeci zakończył się w roku 2019, a jego prace polegały na odtworzeniu instalacji elektrycznej, uzupełnieniu i konserwacji oraz montażu nastawników co doprowadziło do elektrycznego uruchomienie wagonu. Niniejsze zadanie polegało na wzmocnieniu pomostów, wykonaniu wnętrza oraz oszkleniu wagonu.</w:t>
      </w:r>
      <w:r w:rsidRPr="00E00B35">
        <w:rPr>
          <w:szCs w:val="20"/>
        </w:rPr>
        <w:br/>
        <w:t>Celem końcowym prac jest odtworzenie pierwotnego stanu pojazdu z początku jego eksploatacji, a więc roku 1901 r. poprzez prace renowacyjne z elementami rekonstrukcji, koniecznymi do stworzenia w pełni funkcjonującego tramwaju. Ustalając wytyczne do prac renowacyjnych, należy zwrócić uwagę na rzetelność wykonania wagonu i podejść do realizacji w sposób odpowiedzialny bez stosowania półśrodków i prowizoriów. Ma to fundamentalne znaczenie dla przeprowadzenia całego projektu.</w:t>
      </w:r>
    </w:p>
    <w:p w:rsidR="00CA14AB" w:rsidRPr="00E00B35" w:rsidRDefault="00CA14AB" w:rsidP="00E00B35">
      <w:pPr>
        <w:spacing w:after="0" w:line="312" w:lineRule="auto"/>
        <w:rPr>
          <w:szCs w:val="20"/>
        </w:rPr>
      </w:pPr>
      <w:r w:rsidRPr="00E00B35">
        <w:rPr>
          <w:szCs w:val="20"/>
        </w:rPr>
        <w:lastRenderedPageBreak/>
        <w:t>Odtworzenie wyposażenia wnętrza wagonu, które odbyło się w 2020r. zrealizowane zostało zgodnie z pozwoleniem konserwatorskim, programem prac konserwatorskich i archiwalną dokumentacją zdjęciową. Oszklone zostały wszystkie okna wagonu. W ścianach bocznych zamontowano duże szyby ze szkła bezpiecznego, które zostały osadzone (wklejone) w przygotowanych już wcześniej otworach i odpowiednio zabezpieczone (ramka drewniana, zaokrąglone naroża). Ze szkła bezpiecznego wykonano także wszystkie szyby w ścianach między pomostami i klasą, przy czym tu zostały zamontowane ćwierćwałki z mahoniu, które ramują każdą szybę. Ostatecznie zamontowano także szybki w okienkach świetlika, przy czym tu zastosowano szkło odpowiadające wyglądem stanowi pierwotnemu (na podstawie archiwalnych zdjęć z początku lat 20. XX w.). Szybki także otoczone zostały ćwierćwałkami z mahoniu.</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3874135" cy="5173345"/>
            <wp:effectExtent l="19050" t="0" r="0" b="0"/>
            <wp:docPr id="115" name="Obraz 3" descr="Na zdjęciu wnętrze zabytkowego tramwaju, zwane klasą pasażerską. składające się z dwóch długich drewnianych ław-siedzisk dla pasażerów, zamontowanych wzdłuż ścian wagonu. Ponad ławami po obu stronach wnętrza duże okna w ścianach wagonu, oddzielone słupkami. W suficie dachu wagonu dwa pasy świetlików także umieszczonych po obu stronach nad ławami wzdłuż ścian bocznych. Świetliki to uchylne okienka wypełnione szybkami wzorzystymi zamontowane dodatkowo w postaci naświetla w konstrukcji dachu wagonu. Siedziska wyłożone są podłużnymi listwami drewnianymi na przemian w jasnym i ciemnym kolorze tworząc naprzemienny wzór tzw. zebrę. Podłoga również wyłożona podłużnie listwami nawiązuje do widoku ław. Na zakończeniu pomieszczenia z ławami poprzeczna, przeszklona drewniana ścianka z drzwiami przesuwnymi, oddzielająca klasę pasażerską od otwartego pomostu z widocznym nastawnikiem jazdy. Wszystkie elementy wnętrza drewniane, na  słupkach pomiędzy oknami ozdobne kinkiety ze szklanymi kloszami w kształcie rozchylonych kwiatów, nawiązujące do epoki historycznej przełomu XIX i XX wieku i oświetlające wnętrz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Na zdjęciu wnętrze zabytkowego tramwaju, zwane klasą pasażerską. składające się z dwóch długich drewnianych ław-siedzisk dla pasażerów, zamontowanych wzdłuż ścian wagonu. Ponad ławami po obu stronach wnętrza duże okna w ścianach wagonu, oddzielone słupkami. W suficie dachu wagonu dwa pasy świetlików także umieszczonych po obu stronach nad ławami wzdłuż ścian bocznych. Świetliki to uchylne okienka wypełnione szybkami wzorzystymi zamontowane dodatkowo w postaci naświetla w konstrukcji dachu wagonu. Siedziska wyłożone są podłużnymi listwami drewnianymi na przemian w jasnym i ciemnym kolorze tworząc naprzemienny wzór tzw. zebrę. Podłoga również wyłożona podłużnie listwami nawiązuje do widoku ław. Na zakończeniu pomieszczenia z ławami poprzeczna, przeszklona drewniana ścianka z drzwiami przesuwnymi, oddzielająca klasę pasażerską od otwartego pomostu z widocznym nastawnikiem jazdy. Wszystkie elementy wnętrza drewniane, na  słupkach pomiędzy oknami ozdobne kinkiety ze szklanymi kloszami w kształcie rozchylonych kwiatów, nawiązujące do epoki historycznej przełomu XIX i XX wieku i oświetlające wnętrze.     "/>
                    <pic:cNvPicPr>
                      <a:picLocks noChangeAspect="1" noChangeArrowheads="1"/>
                    </pic:cNvPicPr>
                  </pic:nvPicPr>
                  <pic:blipFill>
                    <a:blip r:embed="rId87" cstate="print"/>
                    <a:srcRect/>
                    <a:stretch>
                      <a:fillRect/>
                    </a:stretch>
                  </pic:blipFill>
                  <pic:spPr bwMode="auto">
                    <a:xfrm>
                      <a:off x="0" y="0"/>
                      <a:ext cx="3874135" cy="517334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Rysunek </w:t>
      </w:r>
      <w:r w:rsidR="00573162" w:rsidRPr="00E00B35">
        <w:rPr>
          <w:szCs w:val="20"/>
        </w:rPr>
        <w:fldChar w:fldCharType="begin"/>
      </w:r>
      <w:r w:rsidR="00573162" w:rsidRPr="00E00B35">
        <w:rPr>
          <w:szCs w:val="20"/>
        </w:rPr>
        <w:instrText xml:space="preserve"> SEQ Rysunek \* ARABIC </w:instrText>
      </w:r>
      <w:r w:rsidR="00573162" w:rsidRPr="00E00B35">
        <w:rPr>
          <w:szCs w:val="20"/>
        </w:rPr>
        <w:fldChar w:fldCharType="separate"/>
      </w:r>
      <w:r w:rsidR="008C054F">
        <w:rPr>
          <w:noProof/>
          <w:szCs w:val="20"/>
        </w:rPr>
        <w:t>7</w:t>
      </w:r>
      <w:r w:rsidR="00573162" w:rsidRPr="00E00B35">
        <w:rPr>
          <w:szCs w:val="20"/>
        </w:rPr>
        <w:fldChar w:fldCharType="end"/>
      </w:r>
      <w:r w:rsidRPr="00E00B35">
        <w:rPr>
          <w:szCs w:val="20"/>
        </w:rPr>
        <w:t xml:space="preserve"> Wagon Maximum w trakcie renowacji – wnętrze</w:t>
      </w:r>
    </w:p>
    <w:p w:rsidR="00CA14AB" w:rsidRPr="00E00B35" w:rsidRDefault="00CA14AB" w:rsidP="00E00B35">
      <w:pPr>
        <w:spacing w:after="0" w:line="312" w:lineRule="auto"/>
        <w:rPr>
          <w:szCs w:val="20"/>
        </w:rPr>
      </w:pPr>
      <w:r w:rsidRPr="00E00B35">
        <w:rPr>
          <w:szCs w:val="20"/>
        </w:rPr>
        <w:t xml:space="preserve">Wydarzenie edukacyjne miało miejsce 5 września 2020 r. w godz. 10:00-16:00. Na terenie dawnej zajezdni tramwajowej przy ul. Legnickiej zostały wystawione pojazdy z różnych okresów – od niemieckich wagonów z początku XX w. i z dwudziestolecia międzywojennego przez pierwszy tramwaj polskiej produkcji powstały po II wojnie światowej i pierwszy polski tramwaj szybkobieżny po jeden z pierwszych </w:t>
      </w:r>
      <w:r w:rsidRPr="00E00B35">
        <w:rPr>
          <w:szCs w:val="20"/>
        </w:rPr>
        <w:lastRenderedPageBreak/>
        <w:t>niskopodłogowych autobusów, które były produkowane w naszym kraju. Było można zobaczyć m.in. tramwaje Linke-Hofmann Standard z 1929 r., Konstal N z 1949 r., Konstal 4N1 z 1960 r. czy Konstal 102Na z 1972 r. oraz autobusy Jelcz 080 z 1980 r., Ikarus 260.32 z 1986 r., Jelcz PR110M z 1987 r., Jelcz M11 z 1990 r., Jelcz M121MB z 1996 r. czy Ikarus 280.70E z 1997 r. Kluczowym elementem wydarzenia była prezentacja wagonu Maximum podczas prac restauratorskich. Po wystawie taboru i terenie zajezdni oprowadzał przewodnik. Podczas wydarzenia odbyły się dwa wykłady Tomasza Sielickiego, badacza dziejów komunikacji zbiorowej w stolicy Dolnego Śląska, które były poświęcone wagonom typu Maximum kursującym po Wrocławiu. W wydarzeniu wzięło udział kilka tysięcy osób.</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 xml:space="preserve">Chrońmy wrocławskie zabytki komunikacji zbiorowej - organizacja wydarzenia edukacyjnego z zakresu historii i ratowania dziedzictwa zabytków komunikacji oraz I etap odbudowy zabytkowego autobusu marki Jelcz 272 Mex – „Fredruś” </w:t>
      </w:r>
    </w:p>
    <w:p w:rsidR="00CA14AB" w:rsidRPr="00E00B35" w:rsidRDefault="00CA14AB" w:rsidP="00E00B35">
      <w:pPr>
        <w:spacing w:after="0" w:line="312" w:lineRule="auto"/>
        <w:rPr>
          <w:szCs w:val="20"/>
        </w:rPr>
      </w:pPr>
      <w:r w:rsidRPr="00E00B35">
        <w:rPr>
          <w:szCs w:val="20"/>
        </w:rPr>
        <w:t>Okres realizacji: 04.09.2020 - 31.12.2020</w:t>
      </w:r>
      <w:r w:rsidRPr="00E00B35">
        <w:rPr>
          <w:szCs w:val="20"/>
        </w:rPr>
        <w:br/>
        <w:t>Liczba zawartych umów: 1</w:t>
      </w:r>
      <w:r w:rsidRPr="00E00B35">
        <w:rPr>
          <w:szCs w:val="20"/>
        </w:rPr>
        <w:br/>
        <w:t>Liczba odbiorców: ok. 2000 osób</w:t>
      </w:r>
      <w:r w:rsidRPr="00E00B35">
        <w:rPr>
          <w:szCs w:val="20"/>
        </w:rPr>
        <w:br/>
        <w:t>Kwota dotacji: 35 000 zł</w:t>
      </w:r>
    </w:p>
    <w:p w:rsidR="00CA14AB" w:rsidRPr="00E00B35" w:rsidRDefault="00CA14AB" w:rsidP="00E00B35">
      <w:pPr>
        <w:spacing w:after="0" w:line="312" w:lineRule="auto"/>
        <w:rPr>
          <w:szCs w:val="20"/>
        </w:rPr>
      </w:pPr>
      <w:r w:rsidRPr="00E00B35">
        <w:rPr>
          <w:szCs w:val="20"/>
        </w:rPr>
        <w:t xml:space="preserve">Autobus Jelcz 272 MEX pierwotnie użytkowany jako autobus miejski, następnie turystyczny typu kabriolet wymaga gruntownego remontu ramy, kratownicy, poszycia zewnętrznego i wewnętrznego, obicia foteli oraz wszelkich napraw mechanicznych. Silnik jest niesprawny i wymaga dokładnego przeglądu, by móc jednoznacznie określić jego stan techniczny wraz ze stopniem zużycia części. To samo dotyczy pozostałych elementów mechanicznych pojazdu. </w:t>
      </w:r>
    </w:p>
    <w:p w:rsidR="00CA14AB" w:rsidRPr="00E00B35" w:rsidRDefault="00CA14AB" w:rsidP="00E00B35">
      <w:pPr>
        <w:spacing w:after="0" w:line="312" w:lineRule="auto"/>
        <w:rPr>
          <w:szCs w:val="20"/>
        </w:rPr>
      </w:pPr>
      <w:r w:rsidRPr="00E00B35">
        <w:rPr>
          <w:szCs w:val="20"/>
        </w:rPr>
        <w:t xml:space="preserve">"Fredruś" jest bezsprzecznie unikalny jako jeden z nielicznych zachowanych autobusów kabrioletów marki Jelcz w Polsce. Jego remont jest inwestycją w kulturę i dziedzictwo narodowe. </w:t>
      </w:r>
    </w:p>
    <w:p w:rsidR="00CA14AB" w:rsidRPr="00E00B35" w:rsidRDefault="00CA14AB" w:rsidP="00E00B35">
      <w:pPr>
        <w:spacing w:after="0" w:line="312" w:lineRule="auto"/>
        <w:rPr>
          <w:szCs w:val="20"/>
        </w:rPr>
      </w:pPr>
      <w:r w:rsidRPr="00E00B35">
        <w:rPr>
          <w:szCs w:val="20"/>
        </w:rPr>
        <w:t>Celem końcowym prac jest odtworzenie stanu autobusu-kabrioletu z 1974 r. który docelowo będzie użytkowany jako pojazd turystyczny, ale tylko w okresie letnim i w dni bezdeszczowe (ze względu na brak dachu). Ustalając wytyczne do prac renowacyjnych, należy zwrócić uwagę na rzetelność wykonania pojazdu i podejść do realizacji w sposób odpowiedzialny bez stosowania półśrodków i prowizoriów. Ma to fundamentalne znaczenie dla przeprowadzenia całego projektu.</w:t>
      </w:r>
    </w:p>
    <w:p w:rsidR="00CA14AB" w:rsidRPr="00E00B35" w:rsidRDefault="00CA14AB" w:rsidP="00E00B35">
      <w:pPr>
        <w:spacing w:after="0" w:line="312" w:lineRule="auto"/>
        <w:rPr>
          <w:szCs w:val="20"/>
        </w:rPr>
      </w:pPr>
      <w:r w:rsidRPr="00E00B35">
        <w:rPr>
          <w:rFonts w:eastAsia="font415"/>
          <w:szCs w:val="20"/>
        </w:rPr>
        <w:t>I etap odbudowy zabytkowego autobusu marki Jelcz 272 Mex – „Fredruś”</w:t>
      </w:r>
      <w:r w:rsidRPr="00E00B35">
        <w:rPr>
          <w:rFonts w:eastAsia="font415"/>
          <w:szCs w:val="20"/>
        </w:rPr>
        <w:br/>
      </w:r>
      <w:r w:rsidRPr="00E00B35">
        <w:rPr>
          <w:szCs w:val="20"/>
        </w:rPr>
        <w:t xml:space="preserve">Zrealizowano cały założony zakres prac - rozdzielenie nadwozia od podwozia oraz remont ramy podwozia (obróbka strumieniowo ścierna pod postacią piaskowania, usunięcie ognisk korozji i zabezpieczenie przeciwkorozyjne). Działania były realizowane zgodnie z pozwoleniem konserwatorskim i programem prac konserwatorskich.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Prace remontowe przy autobusie "Fredruś"</w:t>
      </w:r>
    </w:p>
    <w:p w:rsidR="00CA14AB" w:rsidRPr="00E00B35" w:rsidRDefault="00CA14AB" w:rsidP="00E00B35">
      <w:pPr>
        <w:spacing w:after="0" w:line="312" w:lineRule="auto"/>
        <w:rPr>
          <w:szCs w:val="20"/>
        </w:rPr>
      </w:pPr>
      <w:r w:rsidRPr="00E00B35">
        <w:rPr>
          <w:szCs w:val="20"/>
        </w:rPr>
        <w:t>Prace objęły następujące działania:</w:t>
      </w:r>
    </w:p>
    <w:p w:rsidR="00CA14AB" w:rsidRPr="00E00B35" w:rsidRDefault="00CA14AB" w:rsidP="00E00B35">
      <w:pPr>
        <w:spacing w:after="0" w:line="312" w:lineRule="auto"/>
        <w:rPr>
          <w:szCs w:val="20"/>
        </w:rPr>
      </w:pPr>
      <w:r w:rsidRPr="00E00B35">
        <w:rPr>
          <w:szCs w:val="20"/>
        </w:rPr>
        <w:t>demontaż podwozia i nadwozia autobusu,</w:t>
      </w:r>
      <w:r w:rsidRPr="00E00B35">
        <w:rPr>
          <w:szCs w:val="20"/>
        </w:rPr>
        <w:br/>
        <w:t xml:space="preserve">2. posadowienie nadwozia autobusu na tymczasowej ramie zapewniającej jego </w:t>
      </w:r>
      <w:r w:rsidRPr="00E00B35">
        <w:rPr>
          <w:szCs w:val="20"/>
        </w:rPr>
        <w:lastRenderedPageBreak/>
        <w:t>bezpieczne przechowanie (nadwozie przechowywane jest w hali i jest zabezpieczone od negatywnego wpływu warunków atmosferycznych czy pyłu z prowadzonych prac),</w:t>
      </w:r>
      <w:r w:rsidRPr="00E00B35">
        <w:rPr>
          <w:szCs w:val="20"/>
        </w:rPr>
        <w:br/>
        <w:t>3. piaskowanie właściwej ramy autobusu,</w:t>
      </w:r>
      <w:r w:rsidRPr="00E00B35">
        <w:rPr>
          <w:szCs w:val="20"/>
        </w:rPr>
        <w:br/>
        <w:t>4. wymiana (przespawanie) uszkodzonych elementów ramy autobusu,</w:t>
      </w:r>
      <w:r w:rsidRPr="00E00B35">
        <w:rPr>
          <w:szCs w:val="20"/>
        </w:rPr>
        <w:br/>
        <w:t>5. zabezpieczenie antykorozyjne ramy autobusu.</w:t>
      </w:r>
    </w:p>
    <w:p w:rsidR="00CA14AB" w:rsidRPr="00E00B35" w:rsidRDefault="00CA14AB" w:rsidP="00E00B35">
      <w:pPr>
        <w:spacing w:after="0" w:line="312" w:lineRule="auto"/>
        <w:rPr>
          <w:szCs w:val="20"/>
        </w:rPr>
      </w:pPr>
      <w:r w:rsidRPr="00E00B35">
        <w:rPr>
          <w:szCs w:val="20"/>
        </w:rPr>
        <w:t xml:space="preserve">Autobus "Fredruś" po odcięciu górnej części wraz z dachem ma konstrukcję otwartą pontonową, znacznie odsztywnioną w stosunku do klasycznego 272 MEX o nadwoziu zamkniętym. Ten fakt spowodował, że na czas remontu i zdjęcia z podwozia trzeba je było umieścić na tymczasowej ramie, która spoczywa na prostych wózkach tramwajowych (tzw. prowizorkach), dzięki czemu całość można przemieszczać. Właściwa rama autobusu po piaskowaniu okazała się być w bardzo dobrym stanie. Na czas prac wszystkie podzespoły umieszczone na ramie zostały zdemontowane i następnie - już w drugim etapie restauracji – poddane naprawie, regeneracji lub ewentualnie wymianie (w zależności od stanu). Przeprowadzenie tych prac, zwłaszcza rozdzielnie nadwozia i podwozia, pozwoliło na ocenę stanu wszystkich podzespołów autobusu i zaplanowanie dalszych prac remontowych.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Chrońmy wrocławskie zabytki komunikacji zbiorowej - organizacja wydarzenia edukacyjnego z zakresu historii i ratowania dziedzictwa zabytków komunikacji</w:t>
      </w:r>
    </w:p>
    <w:p w:rsidR="00CA14AB" w:rsidRPr="00E00B35" w:rsidRDefault="00CA14AB" w:rsidP="00E00B35">
      <w:pPr>
        <w:spacing w:after="0" w:line="312" w:lineRule="auto"/>
        <w:rPr>
          <w:szCs w:val="20"/>
        </w:rPr>
      </w:pPr>
      <w:r w:rsidRPr="00E00B35">
        <w:rPr>
          <w:szCs w:val="20"/>
        </w:rPr>
        <w:t xml:space="preserve">Realizacja części edukacyjnej  zadania, przyczyniła się do uatrakcyjnienia Dnia Otwartego Zajezdni Popowice, który odbył się 5.09.2020 r., oraz do przygotowania Zdalnego Dnia Jelcza na Zajezdni Popowice, który miał formę transmisji w Internecie w dniu 19.12.2020 r. W pierwszym wydarzeniu, które miało tradycyjną, plenerową formę, wzięło udział kilka tysięcy osób. Grudniową transmisję na żywo oglądało kilkaset osób, natomiast liczba wyświetleń do dnia 31.12.2020 r. wyniosła 5,1 tysiąca. </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5751195" cy="4307205"/>
            <wp:effectExtent l="19050" t="0" r="1905" b="0"/>
            <wp:docPr id="114" name="Obraz 2" descr="Fragment hali przemysłowej o jasnych ścianach, na pierwszym planie pomalowana na czarno rama autobusu marki JELCZ 272 MEX zamieszczona na dwóch czterokołowych wózkach ustawionych na szynach tramwajowych w posadzce hali. W tle przy ścianie hali wzdłuż stalowa półka warsztatowa o trzech poziomach. Na półce na całej długości rozłożone narzędzia, pojemniki różnej wielkości i fragmenty urządzeń oraz blaszanych obudów. W głębi z lewej wysokie składane drzwi przemysłowe w kolorze niebieskim z okn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ragment hali przemysłowej o jasnych ścianach, na pierwszym planie pomalowana na czarno rama autobusu marki JELCZ 272 MEX zamieszczona na dwóch czterokołowych wózkach ustawionych na szynach tramwajowych w posadzce hali. W tle przy ścianie hali wzdłuż stalowa półka warsztatowa o trzech poziomach. Na półce na całej długości rozłożone narzędzia, pojemniki różnej wielkości i fragmenty urządzeń oraz blaszanych obudów. W głębi z lewej wysokie składane drzwi przemysłowe w kolorze niebieskim z oknami."/>
                    <pic:cNvPicPr>
                      <a:picLocks noChangeAspect="1" noChangeArrowheads="1"/>
                    </pic:cNvPicPr>
                  </pic:nvPicPr>
                  <pic:blipFill>
                    <a:blip r:embed="rId88" cstate="print"/>
                    <a:srcRect/>
                    <a:stretch>
                      <a:fillRect/>
                    </a:stretch>
                  </pic:blipFill>
                  <pic:spPr bwMode="auto">
                    <a:xfrm>
                      <a:off x="0" y="0"/>
                      <a:ext cx="5751195" cy="430720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Rysunek </w:t>
      </w:r>
      <w:r w:rsidR="00573162" w:rsidRPr="00E00B35">
        <w:rPr>
          <w:szCs w:val="20"/>
        </w:rPr>
        <w:fldChar w:fldCharType="begin"/>
      </w:r>
      <w:r w:rsidR="00573162" w:rsidRPr="00E00B35">
        <w:rPr>
          <w:szCs w:val="20"/>
        </w:rPr>
        <w:instrText xml:space="preserve"> SEQ Rysunek \* ARABIC </w:instrText>
      </w:r>
      <w:r w:rsidR="00573162" w:rsidRPr="00E00B35">
        <w:rPr>
          <w:szCs w:val="20"/>
        </w:rPr>
        <w:fldChar w:fldCharType="separate"/>
      </w:r>
      <w:r w:rsidR="008C054F">
        <w:rPr>
          <w:noProof/>
          <w:szCs w:val="20"/>
        </w:rPr>
        <w:t>8</w:t>
      </w:r>
      <w:r w:rsidR="00573162" w:rsidRPr="00E00B35">
        <w:rPr>
          <w:szCs w:val="20"/>
        </w:rPr>
        <w:fldChar w:fldCharType="end"/>
      </w:r>
      <w:r w:rsidRPr="00E00B35">
        <w:rPr>
          <w:szCs w:val="20"/>
        </w:rPr>
        <w:t xml:space="preserve"> I etap odbudowy zabytkowego autobusu marki Jelcz 272 Mex – „Fredruś”</w:t>
      </w:r>
    </w:p>
    <w:p w:rsidR="00544448" w:rsidRPr="00E00B35" w:rsidRDefault="00544448" w:rsidP="00E00B35">
      <w:pPr>
        <w:pStyle w:val="Nagwek5"/>
        <w:rPr>
          <w:szCs w:val="20"/>
        </w:rPr>
      </w:pPr>
      <w:bookmarkStart w:id="169" w:name="_Hlk63007575"/>
    </w:p>
    <w:p w:rsidR="00CA14AB" w:rsidRPr="00E00B35" w:rsidRDefault="00CA14AB" w:rsidP="00E00B35">
      <w:pPr>
        <w:pStyle w:val="Nagwek5"/>
        <w:rPr>
          <w:szCs w:val="20"/>
        </w:rPr>
      </w:pPr>
      <w:r w:rsidRPr="00E00B35">
        <w:rPr>
          <w:szCs w:val="20"/>
        </w:rPr>
        <w:t xml:space="preserve">Chrońmy wrocławskie zabytki komunikacji zbiorowej - organizacja wydarzenia edukacyjnego z zakresu historii i budowy pojazdów komunikacji zbiorowej marki Jelcz oraz II etap odbudowy zabytkowego autobusu marki Jelcz 272 Mex – „Fredruś” </w:t>
      </w:r>
    </w:p>
    <w:p w:rsidR="00CA14AB" w:rsidRPr="00E00B35" w:rsidRDefault="00CA14AB" w:rsidP="00E00B35">
      <w:pPr>
        <w:spacing w:after="0" w:line="312" w:lineRule="auto"/>
        <w:rPr>
          <w:szCs w:val="20"/>
        </w:rPr>
      </w:pPr>
      <w:r w:rsidRPr="00E00B35">
        <w:rPr>
          <w:szCs w:val="20"/>
        </w:rPr>
        <w:t>Okres realizacji: 27.10.2020 - 31.12.2020</w:t>
      </w:r>
      <w:r w:rsidRPr="00E00B35">
        <w:rPr>
          <w:szCs w:val="20"/>
        </w:rPr>
        <w:br/>
        <w:t>Liczba zawartych umów: 1</w:t>
      </w:r>
      <w:r w:rsidRPr="00E00B35">
        <w:rPr>
          <w:szCs w:val="20"/>
        </w:rPr>
        <w:br/>
        <w:t>Liczba odbiorców: 5100 osób</w:t>
      </w:r>
      <w:r w:rsidRPr="00E00B35">
        <w:rPr>
          <w:szCs w:val="20"/>
        </w:rPr>
        <w:br/>
        <w:t xml:space="preserve">Kwota dotacji: 255 000 zł </w:t>
      </w:r>
    </w:p>
    <w:p w:rsidR="00CA14AB" w:rsidRPr="00E00B35" w:rsidRDefault="00CA14AB" w:rsidP="00E00B35">
      <w:pPr>
        <w:spacing w:after="0" w:line="312" w:lineRule="auto"/>
        <w:rPr>
          <w:szCs w:val="20"/>
        </w:rPr>
      </w:pPr>
      <w:r w:rsidRPr="00E00B35">
        <w:rPr>
          <w:szCs w:val="20"/>
        </w:rPr>
        <w:t>Ze względu na epidemię COVID-19 wydarzenie przyjęło postać Zdalnego Dnia Jelcza na Zajezdni Popowice, czyli transmisji na żywo na profilu Facebook Klubu Sympatyków Transportu Miejskiego (https://www.facebook.com/kstmwro/) w dniu 19.12.2020 r. w godz. 11:00-15:00. Ponadto równolegle na profilu https://www.facebook.com/AutobusFredrus/ przeprowadzono transmisję na żywo pierwszego przejazdu autobusu (a w zasadzie tylko podwozia). Transmisję Zdalnego Dnia Jelcza na Zajezdni Popowice na żywo oglądało kilkaset osób, natomiast liczba wyświetleń do dnia 31.12.2020 r. wyniosła 5,1 tysiąca. W przypadku filmu z pierwszego przejazdu liczba wyświetleń na koniec roku przekraczała 550.</w:t>
      </w:r>
      <w:bookmarkEnd w:id="169"/>
    </w:p>
    <w:p w:rsidR="00CA14AB" w:rsidRPr="00E00B35" w:rsidRDefault="00CA14AB" w:rsidP="00E00B35">
      <w:pPr>
        <w:spacing w:after="0" w:line="312" w:lineRule="auto"/>
        <w:rPr>
          <w:szCs w:val="20"/>
        </w:rPr>
      </w:pPr>
      <w:r w:rsidRPr="00E00B35">
        <w:rPr>
          <w:szCs w:val="20"/>
        </w:rPr>
        <w:t xml:space="preserve">W wyniku zrealizowanych prac podwozie jest samojezdne, tzn. może poruszać się w oparciu o pracę silnika. Wszystkie działania były realizowane zgodnie z pozwoleniem konserwatorskim i programem prac konserwatorskich. Ponadto pojawiły się m.in. </w:t>
      </w:r>
      <w:r w:rsidRPr="00E00B35">
        <w:rPr>
          <w:szCs w:val="20"/>
        </w:rPr>
        <w:lastRenderedPageBreak/>
        <w:t>trudności ze znalezieniem odpowiednich części do silnika czy ogumienia. „Fredruś” posiada bowiem ogumienie dętkowe, które obecnie nie jest już w zasadzie wytwarzane. Ostatecznie udało się zakupić właściwe, nowe opony, ale zapewne za kilka lat będzie to już niemożliwe. Niektóre podzespoły udało się jeszcze pozyskać nowe (np. wtryskiwacze, tarczę sprzęgła czy zabezpieczenia szczęk hamulcowych), najczęściej jednak regenerowano elementy zdjęte z pojazdu (dotyczyło to m.in. pompy wtryskowej, wybieraka skrzyni biegów, docisku tarczy sprzęgła, chłodnicy czy alternatora). Chłodnica była na tyle dziurawa, że lutowanie jej zajęło kilka godzin.</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5125720" cy="3850005"/>
            <wp:effectExtent l="19050" t="0" r="0" b="0"/>
            <wp:docPr id="113" name="Obraz 1" descr="Na pierwszym planie wyremontowane podwozie zabytkowego autobusu marki Jelcz 272 MEX. Rama pojazdu uzbrojona patrząc od lewej strony zdjęcia w blok chłodnicy, silnik, kierownicę, siedzisko, felgi, nowe opony oraz akumulatory. Zamontowane tymczasowe siedzisko pochodzące z tramwaju służy do przejazdu testowego. Pod podwoziem stojącym na kołach znajduje się kanał rewizyjny w posadzce hali.&#10;Podwozie znajduje się w wysokiej, stalowej hali przemysłowej o wysoko położonym pasie okien doświetlających w ścianie podłużnej. Widoczy narożnik hali oraz wysokie stalowe wrota wjazdowe na ścianie poprzecznej. Na ścianach hali widoczne wiszące kanały i przewody instalacyjne.  W tle za stojącym na pierwszym planie podwoziem widoczny fragment tramwaju Konstal 102Na pomalowanym na niebiesko a za nim samochód marki Lublin o nadwożiu w żółtym kolorze z sygnalizacją świetlną na dachu oraz napisem pomoc techiczna na widocznym boku nadwoz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a pierwszym planie wyremontowane podwozie zabytkowego autobusu marki Jelcz 272 MEX. Rama pojazdu uzbrojona patrząc od lewej strony zdjęcia w blok chłodnicy, silnik, kierownicę, siedzisko, felgi, nowe opony oraz akumulatory. Zamontowane tymczasowe siedzisko pochodzące z tramwaju służy do przejazdu testowego. Pod podwoziem stojącym na kołach znajduje się kanał rewizyjny w posadzce hali.&#10;Podwozie znajduje się w wysokiej, stalowej hali przemysłowej o wysoko położonym pasie okien doświetlających w ścianie podłużnej. Widoczy narożnik hali oraz wysokie stalowe wrota wjazdowe na ścianie poprzecznej. Na ścianach hali widoczne wiszące kanały i przewody instalacyjne.  W tle za stojącym na pierwszym planie podwoziem widoczny fragment tramwaju Konstal 102Na pomalowanym na niebiesko a za nim samochód marki Lublin o nadwożiu w żółtym kolorze z sygnalizacją świetlną na dachu oraz napisem pomoc techiczna na widocznym boku nadwozia. "/>
                    <pic:cNvPicPr>
                      <a:picLocks noChangeAspect="1" noChangeArrowheads="1"/>
                    </pic:cNvPicPr>
                  </pic:nvPicPr>
                  <pic:blipFill>
                    <a:blip r:embed="rId89" cstate="print"/>
                    <a:srcRect/>
                    <a:stretch>
                      <a:fillRect/>
                    </a:stretch>
                  </pic:blipFill>
                  <pic:spPr bwMode="auto">
                    <a:xfrm>
                      <a:off x="0" y="0"/>
                      <a:ext cx="5125720" cy="3850005"/>
                    </a:xfrm>
                    <a:prstGeom prst="rect">
                      <a:avLst/>
                    </a:prstGeom>
                    <a:noFill/>
                    <a:ln w="9525">
                      <a:noFill/>
                      <a:miter lim="800000"/>
                      <a:headEnd/>
                      <a:tailEnd/>
                    </a:ln>
                  </pic:spPr>
                </pic:pic>
              </a:graphicData>
            </a:graphic>
          </wp:inline>
        </w:drawing>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 xml:space="preserve">Rysunek </w:t>
      </w:r>
      <w:r w:rsidR="00573162" w:rsidRPr="00E00B35">
        <w:rPr>
          <w:szCs w:val="20"/>
        </w:rPr>
        <w:fldChar w:fldCharType="begin"/>
      </w:r>
      <w:r w:rsidR="00573162" w:rsidRPr="00E00B35">
        <w:rPr>
          <w:szCs w:val="20"/>
        </w:rPr>
        <w:instrText xml:space="preserve"> SEQ Rysunek \* ARABIC </w:instrText>
      </w:r>
      <w:r w:rsidR="00573162" w:rsidRPr="00E00B35">
        <w:rPr>
          <w:szCs w:val="20"/>
        </w:rPr>
        <w:fldChar w:fldCharType="separate"/>
      </w:r>
      <w:r w:rsidR="008C054F">
        <w:rPr>
          <w:noProof/>
          <w:szCs w:val="20"/>
        </w:rPr>
        <w:t>9</w:t>
      </w:r>
      <w:r w:rsidR="00573162" w:rsidRPr="00E00B35">
        <w:rPr>
          <w:szCs w:val="20"/>
        </w:rPr>
        <w:fldChar w:fldCharType="end"/>
      </w:r>
      <w:r w:rsidRPr="00E00B35">
        <w:rPr>
          <w:szCs w:val="20"/>
        </w:rPr>
        <w:t xml:space="preserve"> II etap odbudowy zabytkowego autobusu marki Jelcz 272 Mex – „Fredruś”</w:t>
      </w:r>
    </w:p>
    <w:p w:rsidR="00CA14AB" w:rsidRPr="00E00B35" w:rsidRDefault="00CA14AB" w:rsidP="00E00B35">
      <w:pPr>
        <w:spacing w:after="0" w:line="312" w:lineRule="auto"/>
        <w:rPr>
          <w:szCs w:val="20"/>
        </w:rPr>
      </w:pPr>
      <w:r w:rsidRPr="00E00B35">
        <w:rPr>
          <w:szCs w:val="20"/>
        </w:rPr>
        <w:t>WroTram – przez wrocławskich ulic sto</w:t>
      </w:r>
    </w:p>
    <w:p w:rsidR="00CA14AB" w:rsidRPr="00E00B35" w:rsidRDefault="00CA14AB" w:rsidP="00E00B35">
      <w:pPr>
        <w:spacing w:after="0" w:line="312" w:lineRule="auto"/>
        <w:rPr>
          <w:szCs w:val="20"/>
        </w:rPr>
      </w:pPr>
      <w:r w:rsidRPr="00E00B35">
        <w:rPr>
          <w:szCs w:val="20"/>
        </w:rPr>
        <w:t>Okres realizacji: 01.09.2020 - 31.10.2020</w:t>
      </w:r>
      <w:r w:rsidRPr="00E00B35">
        <w:rPr>
          <w:szCs w:val="20"/>
        </w:rPr>
        <w:br/>
        <w:t>Liczba zawartych umów: 1</w:t>
      </w:r>
      <w:r w:rsidRPr="00E00B35">
        <w:rPr>
          <w:szCs w:val="20"/>
        </w:rPr>
        <w:br/>
        <w:t xml:space="preserve">Liczba odbiorców: 20 000 osób (zasięgi jakie osiągnięto na Facebook'u ) </w:t>
      </w:r>
      <w:r w:rsidRPr="00E00B35">
        <w:rPr>
          <w:szCs w:val="20"/>
        </w:rPr>
        <w:br/>
        <w:t xml:space="preserve">Kwota dotacji: 44 000 zł </w:t>
      </w:r>
    </w:p>
    <w:p w:rsidR="00CA14AB" w:rsidRPr="00E00B35" w:rsidRDefault="00CA14AB" w:rsidP="00E00B35">
      <w:pPr>
        <w:spacing w:after="0" w:line="312" w:lineRule="auto"/>
        <w:rPr>
          <w:szCs w:val="20"/>
        </w:rPr>
      </w:pPr>
      <w:r w:rsidRPr="00E00B35">
        <w:rPr>
          <w:szCs w:val="20"/>
        </w:rPr>
        <w:t xml:space="preserve">W dniu 5 września 2020 r. na terenie byłej zajezdni tramwajowej przy ulicy Legnickiej 65 we Wrocławiu zorganizowano piknik/festyn promujący zabytkowe pojazdy transportu zbiorowego należące do Gminy Wrocław oraz inne zabytkowe pojazdy zapewnione przez Oferenta we współpracy z partnerami tj. Miejskie Przedsiębiorstwo Komunikacyjne, Klub Sympatyków Transportu Miejskiego, Towarzystwo Miłośników Wrocławia - Sekcja Transportu Zbiorowego. Dodatkowo przeprowadzono badanie ankietowe dot. świadomości potencjału wrocławskiego taboru zabytkowego na grupie 100 respondentów, </w:t>
      </w:r>
      <w:r w:rsidRPr="00E00B35">
        <w:rPr>
          <w:szCs w:val="20"/>
        </w:rPr>
        <w:lastRenderedPageBreak/>
        <w:t>którzy pojawili się na terenie Zajezdni Popowice przy ulicy Legnickiej 65 oraz przygotowano dokument w wersji elektronicznej z opracowaniem i analizą wyników ankiet. Został wyprodukowany film obejmujący 2 dni zdjęciowe - Dzień Otwarty Zajezdni Popowice oraz Paradę Tramwajów. Stworzono 4 krótkie "zajawki" filmowe w formacie przystosowanym do social mediów. Wykonano fotorelację z wydarzeń.Filmy, „zajawki” oraz zdjęcia były publikowane na dedykowanym wydarzeniu na FB stworzonym na potrzeby projektu, oraz na social mediach Oferenta: Twitter, FB oraz Instagram</w:t>
      </w:r>
    </w:p>
    <w:p w:rsidR="00CA14AB" w:rsidRPr="00E00B35" w:rsidRDefault="00CA14AB" w:rsidP="00E00B35">
      <w:pPr>
        <w:spacing w:after="0" w:line="312" w:lineRule="auto"/>
        <w:rPr>
          <w:szCs w:val="20"/>
        </w:rPr>
      </w:pPr>
      <w:r w:rsidRPr="00E00B35">
        <w:rPr>
          <w:szCs w:val="20"/>
        </w:rPr>
        <w:t>Uczestnikom wydarzenia zostały zapewnione następujące atrakcje:</w:t>
      </w:r>
    </w:p>
    <w:p w:rsidR="00CA14AB" w:rsidRPr="00E00B35" w:rsidRDefault="00CA14AB" w:rsidP="00E00B35">
      <w:pPr>
        <w:spacing w:after="0" w:line="312" w:lineRule="auto"/>
        <w:rPr>
          <w:szCs w:val="20"/>
        </w:rPr>
      </w:pPr>
      <w:r w:rsidRPr="00E00B35">
        <w:rPr>
          <w:szCs w:val="20"/>
        </w:rPr>
        <w:t>1.Pokaz zabytkowych tramwajów i autobusów, w tym pojazdów technicznych. Na terenie zajezdni zostały wystawione pojazdy z różnych okresów – od niemieckiego wagonu z dwudziestolecia międzywojennego przez pierwszy tramwaj polskiej produkcji powstały po II wojnie światowej. Można było zobaczyć m.in. tramwaje Linke-Hofmann Standard z 1929 r., Konstal N z 1949 r., Konstal 4N1 z 1960 r. czy Konstal 102Na z 1972 r. oraz autobusy Ikarus 260.32 z 1986 r., Jelcz PR110M z 1987 r., Jelcz L11 z 1989 r., Jelcz M11 z 1990 r. czy Jelcz M121MB z 1996 r. Jedną z głównych atrakcji było zaprezentowanie unikatowego tramwaju z 1901 - Maximum, który jest w trakcie prac konserwatorskich, można było zobaczyć w jaki sposób przebiega proces odtwarzania wyposażenia jego wnętrza i oszklenia. Poza taborem pasażerskim zaprezentowano także wagony techniczne, służące utrzymaniu torowisk i sieci trakcyjnej.</w:t>
      </w:r>
    </w:p>
    <w:p w:rsidR="00CA14AB" w:rsidRPr="00E00B35" w:rsidRDefault="00CA14AB" w:rsidP="00E00B35">
      <w:pPr>
        <w:spacing w:after="0" w:line="312" w:lineRule="auto"/>
        <w:rPr>
          <w:szCs w:val="20"/>
        </w:rPr>
      </w:pPr>
      <w:r w:rsidRPr="00E00B35">
        <w:rPr>
          <w:szCs w:val="20"/>
        </w:rPr>
        <w:t>2. Zwiedzanie z przewodnikiem. Dla odwiedzających udostępniono hale postojowe nr 1026 i 1027, w tym unikatową łaźnię. Podczas zwiedzania można było zgłębić wiedzę dotyczącą terenu zajezdni, jak i zabytkowych pojazdów, które były prezentowane podczas Dnia Otwartego. Można też było zobaczyć jak działa pług wirnikowy. Uzupełnieniem zwiedzania były wykłady dotyczące historii wrocławskiej komunikacji tramwajowej ze szczególnym uwzględnieniem tramwajów Maximum. Prowadzone były przez Tomasz Sielickiego, badacza historii transportu miejskiego we Wrocławiu.</w:t>
      </w:r>
    </w:p>
    <w:p w:rsidR="00CA14AB" w:rsidRPr="00E00B35" w:rsidRDefault="00CA14AB" w:rsidP="00E00B35">
      <w:pPr>
        <w:spacing w:after="0" w:line="312" w:lineRule="auto"/>
        <w:rPr>
          <w:szCs w:val="20"/>
        </w:rPr>
      </w:pPr>
      <w:r w:rsidRPr="00E00B35">
        <w:rPr>
          <w:szCs w:val="20"/>
        </w:rPr>
        <w:t>3. Dodatkowymi bezpłatnymi atrakcjami, które urozmaicały Dzień Otwarty Zajezdni Popowice były pokazy zabytkowych motocykli i samochodów, animacje dla dzieci, stacja naprawy rowerów oraz możliwość przekładania zwrotnicy torowiska tramwajowego.</w:t>
      </w:r>
    </w:p>
    <w:p w:rsidR="00CA14AB" w:rsidRPr="00E00B35" w:rsidRDefault="00CA14AB" w:rsidP="00E00B35">
      <w:pPr>
        <w:spacing w:after="0" w:line="312" w:lineRule="auto"/>
        <w:rPr>
          <w:szCs w:val="20"/>
        </w:rPr>
      </w:pPr>
      <w:r w:rsidRPr="00E00B35">
        <w:rPr>
          <w:szCs w:val="20"/>
        </w:rPr>
        <w:t>4. Zapewniono również strefę gastronomiczną serwującą zimne napoje, kawę, lody oraz przekąski. Podczas wydarzenia można było również nabyć pamiątki związane z zabytkową komunikacją zbiorową</w:t>
      </w:r>
    </w:p>
    <w:p w:rsidR="00CA14AB" w:rsidRPr="00E00B35" w:rsidRDefault="00CA14AB" w:rsidP="00E00B35">
      <w:pPr>
        <w:spacing w:after="0" w:line="312" w:lineRule="auto"/>
        <w:rPr>
          <w:szCs w:val="20"/>
        </w:rPr>
      </w:pPr>
      <w:r w:rsidRPr="00E00B35">
        <w:rPr>
          <w:szCs w:val="20"/>
        </w:rPr>
        <w:t>Wydarzenie zakończyło się paradą zabytkowych autobusów, która z terenu Zajezdni Popowice przejechała na Dworzec Autobusowy.</w:t>
      </w:r>
    </w:p>
    <w:p w:rsidR="00CA14AB" w:rsidRPr="00E00B35" w:rsidRDefault="00CA14AB" w:rsidP="00E00B35">
      <w:pPr>
        <w:spacing w:after="0" w:line="312" w:lineRule="auto"/>
        <w:rPr>
          <w:szCs w:val="20"/>
        </w:rPr>
      </w:pPr>
      <w:r w:rsidRPr="00E00B35">
        <w:rPr>
          <w:szCs w:val="20"/>
        </w:rPr>
        <w:t>Całość wydarzenia została nagrana dla celów  promocyjnych do sieci URBACT – został wyprodukowany film obejmujący 2 dni zdjęciowe - Dzień Otwarty Zajezdni Popowice oraz Parada Tramwajów.</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5751195" cy="3248660"/>
            <wp:effectExtent l="19050" t="0" r="1905" b="0"/>
            <wp:docPr id="112" name="Obraz 4" descr="Wdok z dużej wysokości przedstawiający po lewej stronie dwupasmową arterię komunikacyjną ul. Legnickiej z niewielkim ruchem samochodowym i torami tramwajowymi pomiędzy pasami ruchu. Na torach poruszający się tramwaj w kolorze niebieskm. Po prawej stronie budynki przemysłowe nieczynnej zajezdni Popowice o ceglanych ścianach z dużymi oknami przemysłowymi. Dachy w kolorze szarym hale z widocznymi rzędami świetlików. Pomiędzy budynkami a arterią komunikacyjną, na placu manewrowym stoją liczne wielokolorowe tramwaje na torach, autobusy oraz inne pojazdy, współcześnie i historycznie służące miejskiej komunikacji Wrocławia.&#10;Pomiędzy tymi pojazdami widoczne są niewielkie sylwetki ludzi licznie zgromadzonych zwiedzających teren i oglądających pojazdy z okazji Dnia Otwartego Zajezdni. Pomiędzy budynkami dawnej zajezdni wyrastają nieliczne drzewa liści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Wdok z dużej wysokości przedstawiający po lewej stronie dwupasmową arterię komunikacyjną ul. Legnickiej z niewielkim ruchem samochodowym i torami tramwajowymi pomiędzy pasami ruchu. Na torach poruszający się tramwaj w kolorze niebieskm. Po prawej stronie budynki przemysłowe nieczynnej zajezdni Popowice o ceglanych ścianach z dużymi oknami przemysłowymi. Dachy w kolorze szarym hale z widocznymi rzędami świetlików. Pomiędzy budynkami a arterią komunikacyjną, na placu manewrowym stoją liczne wielokolorowe tramwaje na torach, autobusy oraz inne pojazdy, współcześnie i historycznie służące miejskiej komunikacji Wrocławia.&#10;Pomiędzy tymi pojazdami widoczne są niewielkie sylwetki ludzi licznie zgromadzonych zwiedzających teren i oglądających pojazdy z okazji Dnia Otwartego Zajezdni. Pomiędzy budynkami dawnej zajezdni wyrastają nieliczne drzewa liściaste."/>
                    <pic:cNvPicPr>
                      <a:picLocks noChangeAspect="1" noChangeArrowheads="1"/>
                    </pic:cNvPicPr>
                  </pic:nvPicPr>
                  <pic:blipFill>
                    <a:blip r:embed="rId90" cstate="print"/>
                    <a:srcRect/>
                    <a:stretch>
                      <a:fillRect/>
                    </a:stretch>
                  </pic:blipFill>
                  <pic:spPr bwMode="auto">
                    <a:xfrm>
                      <a:off x="0" y="0"/>
                      <a:ext cx="5751195" cy="3248660"/>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Rysunek </w:t>
      </w:r>
      <w:r w:rsidR="00573162" w:rsidRPr="00E00B35">
        <w:rPr>
          <w:szCs w:val="20"/>
        </w:rPr>
        <w:fldChar w:fldCharType="begin"/>
      </w:r>
      <w:r w:rsidR="00573162" w:rsidRPr="00E00B35">
        <w:rPr>
          <w:szCs w:val="20"/>
        </w:rPr>
        <w:instrText xml:space="preserve"> SEQ Rysunek \* ARABIC </w:instrText>
      </w:r>
      <w:r w:rsidR="00573162" w:rsidRPr="00E00B35">
        <w:rPr>
          <w:szCs w:val="20"/>
        </w:rPr>
        <w:fldChar w:fldCharType="separate"/>
      </w:r>
      <w:r w:rsidR="008C054F">
        <w:rPr>
          <w:noProof/>
          <w:szCs w:val="20"/>
        </w:rPr>
        <w:t>10</w:t>
      </w:r>
      <w:r w:rsidR="00573162" w:rsidRPr="00E00B35">
        <w:rPr>
          <w:szCs w:val="20"/>
        </w:rPr>
        <w:fldChar w:fldCharType="end"/>
      </w:r>
      <w:r w:rsidRPr="00E00B35">
        <w:rPr>
          <w:szCs w:val="20"/>
        </w:rPr>
        <w:t xml:space="preserve"> Dzień Otwarty Zajezdni Popowice</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Europejski Program Sieciowania Miast URBACT</w:t>
      </w:r>
    </w:p>
    <w:p w:rsidR="00CA14AB" w:rsidRPr="00E00B35" w:rsidRDefault="00CA14AB" w:rsidP="00E00B35">
      <w:pPr>
        <w:spacing w:after="0" w:line="312" w:lineRule="auto"/>
        <w:rPr>
          <w:szCs w:val="20"/>
        </w:rPr>
      </w:pPr>
      <w:r w:rsidRPr="00E00B35">
        <w:rPr>
          <w:szCs w:val="20"/>
        </w:rPr>
        <w:t>Miasto Wrocław zgłosiło w ramach europejskiego programu sieciowania miast Urbact akces do projektu Find Your Greatness, czego konsekwencją była w grudniu 2019 roku wizyta pana Janeza Sirse, głównego eksperta Urbact w ramach projektu. Miasto zostało zakwalifikowane do II fazy przedsięwzięcia. Z początkiem lutego 2020 w Limerick (Irlandia) odbyła się konferencja miast uczestniczących w projekcie, w trakcie której stworzone zostały dokumenty określające zasady działania grupy w trakcie fazy II. Będzie się ona koncentrowała na zdobywaniu doświadczeń, stosowaniu nowych rozwiązań, i wymianie informacji między partnerami.</w:t>
      </w:r>
    </w:p>
    <w:p w:rsidR="00CA14AB" w:rsidRPr="00E00B35" w:rsidRDefault="00CA14AB" w:rsidP="00E00B35">
      <w:pPr>
        <w:spacing w:after="0" w:line="312" w:lineRule="auto"/>
        <w:rPr>
          <w:szCs w:val="20"/>
        </w:rPr>
      </w:pPr>
      <w:r w:rsidRPr="00E00B35">
        <w:rPr>
          <w:szCs w:val="20"/>
        </w:rPr>
        <w:t>Cel projektu: </w:t>
      </w:r>
      <w:r w:rsidRPr="00E00B35">
        <w:rPr>
          <w:szCs w:val="20"/>
        </w:rPr>
        <w:br/>
        <w:t>stworzenie nowego produktu turystycznego wykorzystując historyczną infrastrukturę transportu zbiorowego, umacnianie partnerstwa, w skład którego wchodzą – miasto, biznes, środowiska lokalne, instytucje kulturalne oraz organizacje pozarządowe, wykorzystanie nowoczesnych metod i technologii do promocji produktu, dostosowanych do potrzeb odbiorcy. </w:t>
      </w:r>
    </w:p>
    <w:p w:rsidR="00CA14AB" w:rsidRPr="00E00B35" w:rsidRDefault="00CA14AB" w:rsidP="00E00B35">
      <w:pPr>
        <w:spacing w:after="0" w:line="312" w:lineRule="auto"/>
        <w:rPr>
          <w:szCs w:val="20"/>
        </w:rPr>
      </w:pPr>
      <w:r w:rsidRPr="00E00B35">
        <w:rPr>
          <w:szCs w:val="20"/>
        </w:rPr>
        <w:t>W 2020 roku w ramach projektu odbyły się;</w:t>
      </w:r>
      <w:r w:rsidRPr="00E00B35">
        <w:rPr>
          <w:szCs w:val="20"/>
        </w:rPr>
        <w:br/>
        <w:t>Wizyta studyjna w Limerick’u – mieście partnerze projektu (luty) – delegacja</w:t>
      </w:r>
      <w:r w:rsidRPr="00E00B35">
        <w:rPr>
          <w:szCs w:val="20"/>
        </w:rPr>
        <w:br/>
        <w:t xml:space="preserve">SSA – działania promocyjne, w których skład weszły: </w:t>
      </w:r>
      <w:r w:rsidRPr="00E00B35">
        <w:rPr>
          <w:szCs w:val="20"/>
        </w:rPr>
        <w:br/>
        <w:t>Parada zabytkowych tramwajów,</w:t>
      </w:r>
      <w:r w:rsidRPr="00E00B35">
        <w:rPr>
          <w:szCs w:val="20"/>
        </w:rPr>
        <w:br/>
        <w:t>Dni otwarte zajezdni tramwajowych,</w:t>
      </w:r>
      <w:r w:rsidRPr="00E00B35">
        <w:rPr>
          <w:szCs w:val="20"/>
        </w:rPr>
        <w:br/>
        <w:t>Nocne przejazdy zabytkowymi tramwajami,</w:t>
      </w:r>
      <w:r w:rsidRPr="00E00B35">
        <w:rPr>
          <w:szCs w:val="20"/>
        </w:rPr>
        <w:br/>
        <w:t>Stworzenie video promocyjnego, przeprowadzenie ankiety</w:t>
      </w:r>
    </w:p>
    <w:p w:rsidR="00544448" w:rsidRPr="00E00B35" w:rsidRDefault="00544448" w:rsidP="00E00B35">
      <w:pPr>
        <w:pStyle w:val="Nagwek4"/>
        <w:spacing w:before="0" w:after="0" w:line="312" w:lineRule="auto"/>
        <w:rPr>
          <w:sz w:val="20"/>
          <w:szCs w:val="20"/>
        </w:rPr>
      </w:pPr>
      <w:bookmarkStart w:id="170" w:name="_Toc72352334"/>
      <w:bookmarkStart w:id="171" w:name="_Toc72352768"/>
    </w:p>
    <w:p w:rsidR="00CA14AB" w:rsidRPr="00E00B35" w:rsidRDefault="00CA14AB" w:rsidP="00E00B35">
      <w:pPr>
        <w:pStyle w:val="Nagwek4"/>
        <w:spacing w:before="0" w:after="0" w:line="312" w:lineRule="auto"/>
        <w:rPr>
          <w:sz w:val="20"/>
          <w:szCs w:val="20"/>
        </w:rPr>
      </w:pPr>
      <w:r w:rsidRPr="00E00B35">
        <w:rPr>
          <w:sz w:val="20"/>
          <w:szCs w:val="20"/>
        </w:rPr>
        <w:t>IV REALIZACJA ZADAŃ PUBLICZNYCH ZLECONYCH ORGANIZACJOM POZARZĄDOWYM</w:t>
      </w:r>
      <w:bookmarkEnd w:id="170"/>
      <w:bookmarkEnd w:id="171"/>
    </w:p>
    <w:p w:rsidR="00CA14AB" w:rsidRPr="00E00B35" w:rsidRDefault="00CA14AB" w:rsidP="00E00B35">
      <w:pPr>
        <w:spacing w:after="0" w:line="312" w:lineRule="auto"/>
        <w:rPr>
          <w:szCs w:val="20"/>
        </w:rPr>
      </w:pPr>
      <w:r w:rsidRPr="00E00B35">
        <w:rPr>
          <w:szCs w:val="20"/>
        </w:rPr>
        <w:t xml:space="preserve">Liczba i struktura dotacji celowych na realizację zadań publicznych zleconych organizacjom pozarządowym w 2020 roku </w:t>
      </w:r>
    </w:p>
    <w:p w:rsidR="00CA14AB" w:rsidRPr="00E00B35" w:rsidRDefault="00CA14AB" w:rsidP="00E00B35">
      <w:pPr>
        <w:spacing w:after="0" w:line="312" w:lineRule="auto"/>
        <w:rPr>
          <w:szCs w:val="20"/>
        </w:rPr>
      </w:pPr>
      <w:r w:rsidRPr="00E00B35">
        <w:rPr>
          <w:szCs w:val="20"/>
        </w:rPr>
        <w:t>W 2020 roku w Wydziale Partycypacji Społecznej na podstawie 212 otwartych konkursów ofert przygotowanych zostało łącznie 551 umowy dotacyjne na realizację zadań publicznych zleconych organizacjom pozarządowym, w tym:</w:t>
      </w:r>
      <w:r w:rsidRPr="00E00B35">
        <w:rPr>
          <w:szCs w:val="20"/>
        </w:rPr>
        <w:br/>
        <w:t>449 umowy jednoroczne, co stanowi 53 % umów obowiązujących w 2020 r.102 umowy wieloletnie, co stanowi 12 % umów obowiązujących w 2020 r.</w:t>
      </w:r>
    </w:p>
    <w:p w:rsidR="00544448" w:rsidRPr="00E00B35" w:rsidRDefault="00CA14AB" w:rsidP="00E00B35">
      <w:pPr>
        <w:spacing w:after="0" w:line="312" w:lineRule="auto"/>
        <w:rPr>
          <w:szCs w:val="20"/>
        </w:rPr>
      </w:pPr>
      <w:r w:rsidRPr="00E00B35">
        <w:rPr>
          <w:szCs w:val="20"/>
        </w:rPr>
        <w:t>Zawarto 18 umów na podstawie art. 15zzm ustawy z dnia 2 marca 2020 r. o szczególnych rozwiązaniach związanych z zapobieganiem, przeciwdziałaniem i zwalczaniem COVID-19, innych chorób zakaźnych oraz wywołanych nimi sytuacji kryzysowych oraz niektórych innych ustaw (Dz. U. poz. 1842, z późn. zm.) oraz art. 43, art. 47, art. 151 i art. 221 ustawy z dnia 27 sierpnia 2009 r. o finansach publicznych (Dz. U. z 2019 r. poz. 869, z późn. zm.) (tzw. Tryb tarczy antycovidowej). Stanowiły one 2 % umów obowiązujących w 2020 r.</w:t>
      </w:r>
      <w:r w:rsidRPr="00E00B35">
        <w:rPr>
          <w:szCs w:val="20"/>
        </w:rPr>
        <w:br/>
        <w:t>Ponadto, na podstawie otwartych konkursów ofert zawartych przed rokiem 2020, obowiązywało 116 umów wieloletnich, co stanowi 13 % umów obowiązujących w 2020 r.</w:t>
      </w:r>
      <w:r w:rsidRPr="00E00B35">
        <w:rPr>
          <w:szCs w:val="20"/>
        </w:rPr>
        <w:br/>
        <w:t>W trybie art. 19a ustawy z dnia 24 kwietnia 2003 r. o działalności pożytku publicznegoi o wolontariacie w Wydziale Partycypacji Społecznej przygotowanych zostało łącznie 168 umów, co stanowi 20 % umów obowiązujących w 2020 r.</w:t>
      </w:r>
    </w:p>
    <w:p w:rsidR="00CA14AB" w:rsidRPr="00E00B35" w:rsidRDefault="00CA14AB" w:rsidP="00E00B35">
      <w:pPr>
        <w:spacing w:after="0" w:line="312" w:lineRule="auto"/>
        <w:rPr>
          <w:szCs w:val="20"/>
        </w:rPr>
      </w:pPr>
      <w:r w:rsidRPr="00E00B35">
        <w:rPr>
          <w:szCs w:val="20"/>
        </w:rPr>
        <w:br/>
        <w:t>Łącznie w 2020 roku obowiązywały 853 umowy dotacyjne.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835"/>
        <w:gridCol w:w="1134"/>
        <w:gridCol w:w="992"/>
        <w:gridCol w:w="851"/>
        <w:gridCol w:w="850"/>
        <w:gridCol w:w="993"/>
        <w:gridCol w:w="816"/>
      </w:tblGrid>
      <w:tr w:rsidR="00CA14AB" w:rsidRPr="00E00B35" w:rsidTr="00CA14AB">
        <w:tc>
          <w:tcPr>
            <w:tcW w:w="817" w:type="dxa"/>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2835" w:type="dxa"/>
            <w:shd w:val="clear" w:color="auto" w:fill="auto"/>
            <w:vAlign w:val="center"/>
          </w:tcPr>
          <w:p w:rsidR="00CA14AB" w:rsidRPr="00E00B35" w:rsidRDefault="00CA14AB" w:rsidP="00E00B35">
            <w:pPr>
              <w:spacing w:after="0" w:line="312" w:lineRule="auto"/>
              <w:rPr>
                <w:szCs w:val="20"/>
              </w:rPr>
            </w:pPr>
            <w:r w:rsidRPr="00E00B35">
              <w:rPr>
                <w:szCs w:val="20"/>
              </w:rPr>
              <w:t>Zestawienie liczby otwartych konkursów ofert, złożonych ofert oraz zawartych umów z organizacjami pozarządowymi</w:t>
            </w:r>
          </w:p>
        </w:tc>
        <w:tc>
          <w:tcPr>
            <w:tcW w:w="1134" w:type="dxa"/>
            <w:shd w:val="clear" w:color="auto" w:fill="auto"/>
            <w:vAlign w:val="bottom"/>
          </w:tcPr>
          <w:p w:rsidR="00CA14AB" w:rsidRPr="00E00B35" w:rsidRDefault="00CA14AB" w:rsidP="00E00B35">
            <w:pPr>
              <w:spacing w:after="0" w:line="312" w:lineRule="auto"/>
              <w:rPr>
                <w:szCs w:val="20"/>
              </w:rPr>
            </w:pPr>
            <w:r w:rsidRPr="00E00B35">
              <w:rPr>
                <w:szCs w:val="20"/>
              </w:rPr>
              <w:t>2015</w:t>
            </w:r>
          </w:p>
        </w:tc>
        <w:tc>
          <w:tcPr>
            <w:tcW w:w="992" w:type="dxa"/>
            <w:shd w:val="clear" w:color="auto" w:fill="auto"/>
            <w:vAlign w:val="bottom"/>
          </w:tcPr>
          <w:p w:rsidR="00CA14AB" w:rsidRPr="00E00B35" w:rsidRDefault="00CA14AB" w:rsidP="00E00B35">
            <w:pPr>
              <w:spacing w:after="0" w:line="312" w:lineRule="auto"/>
              <w:rPr>
                <w:szCs w:val="20"/>
              </w:rPr>
            </w:pPr>
            <w:r w:rsidRPr="00E00B35">
              <w:rPr>
                <w:szCs w:val="20"/>
              </w:rPr>
              <w:t>2016</w:t>
            </w:r>
          </w:p>
        </w:tc>
        <w:tc>
          <w:tcPr>
            <w:tcW w:w="851" w:type="dxa"/>
            <w:shd w:val="clear" w:color="auto" w:fill="auto"/>
            <w:vAlign w:val="bottom"/>
          </w:tcPr>
          <w:p w:rsidR="00CA14AB" w:rsidRPr="00E00B35" w:rsidRDefault="00CA14AB" w:rsidP="00E00B35">
            <w:pPr>
              <w:spacing w:after="0" w:line="312" w:lineRule="auto"/>
              <w:rPr>
                <w:szCs w:val="20"/>
              </w:rPr>
            </w:pPr>
            <w:r w:rsidRPr="00E00B35">
              <w:rPr>
                <w:szCs w:val="20"/>
              </w:rPr>
              <w:t>2017</w:t>
            </w:r>
          </w:p>
        </w:tc>
        <w:tc>
          <w:tcPr>
            <w:tcW w:w="850" w:type="dxa"/>
            <w:shd w:val="clear" w:color="auto" w:fill="auto"/>
            <w:vAlign w:val="bottom"/>
          </w:tcPr>
          <w:p w:rsidR="00CA14AB" w:rsidRPr="00E00B35" w:rsidRDefault="00CA14AB" w:rsidP="00E00B35">
            <w:pPr>
              <w:spacing w:after="0" w:line="312" w:lineRule="auto"/>
              <w:rPr>
                <w:szCs w:val="20"/>
              </w:rPr>
            </w:pPr>
            <w:r w:rsidRPr="00E00B35">
              <w:rPr>
                <w:szCs w:val="20"/>
              </w:rPr>
              <w:t>2018</w:t>
            </w:r>
          </w:p>
        </w:tc>
        <w:tc>
          <w:tcPr>
            <w:tcW w:w="993" w:type="dxa"/>
            <w:shd w:val="clear" w:color="auto" w:fill="auto"/>
            <w:vAlign w:val="bottom"/>
          </w:tcPr>
          <w:p w:rsidR="00CA14AB" w:rsidRPr="00E00B35" w:rsidRDefault="00CA14AB" w:rsidP="00E00B35">
            <w:pPr>
              <w:spacing w:after="0" w:line="312" w:lineRule="auto"/>
              <w:rPr>
                <w:szCs w:val="20"/>
              </w:rPr>
            </w:pPr>
            <w:r w:rsidRPr="00E00B35">
              <w:rPr>
                <w:szCs w:val="20"/>
              </w:rPr>
              <w:t>2019</w:t>
            </w:r>
          </w:p>
        </w:tc>
        <w:tc>
          <w:tcPr>
            <w:tcW w:w="816" w:type="dxa"/>
            <w:shd w:val="clear" w:color="auto" w:fill="auto"/>
            <w:vAlign w:val="bottom"/>
          </w:tcPr>
          <w:p w:rsidR="00CA14AB" w:rsidRPr="00E00B35" w:rsidRDefault="00CA14AB" w:rsidP="00E00B35">
            <w:pPr>
              <w:spacing w:after="0" w:line="312" w:lineRule="auto"/>
              <w:rPr>
                <w:szCs w:val="20"/>
              </w:rPr>
            </w:pPr>
            <w:r w:rsidRPr="00E00B35">
              <w:rPr>
                <w:szCs w:val="20"/>
              </w:rPr>
              <w:t>2020</w:t>
            </w:r>
          </w:p>
        </w:tc>
      </w:tr>
      <w:tr w:rsidR="00CA14AB" w:rsidRPr="00E00B35" w:rsidTr="00CA14AB">
        <w:tc>
          <w:tcPr>
            <w:tcW w:w="817"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2835" w:type="dxa"/>
            <w:shd w:val="clear" w:color="auto" w:fill="auto"/>
            <w:vAlign w:val="center"/>
          </w:tcPr>
          <w:p w:rsidR="00CA14AB" w:rsidRPr="00E00B35" w:rsidRDefault="00CA14AB" w:rsidP="00E00B35">
            <w:pPr>
              <w:spacing w:after="0" w:line="312" w:lineRule="auto"/>
              <w:rPr>
                <w:szCs w:val="20"/>
              </w:rPr>
            </w:pPr>
            <w:r w:rsidRPr="00E00B35">
              <w:rPr>
                <w:szCs w:val="20"/>
              </w:rPr>
              <w:t>Liczba ogłoszonych konkursów ofert</w:t>
            </w:r>
          </w:p>
        </w:tc>
        <w:tc>
          <w:tcPr>
            <w:tcW w:w="1134" w:type="dxa"/>
            <w:shd w:val="clear" w:color="auto" w:fill="auto"/>
            <w:vAlign w:val="center"/>
          </w:tcPr>
          <w:p w:rsidR="00CA14AB" w:rsidRPr="00E00B35" w:rsidRDefault="00CA14AB" w:rsidP="00E00B35">
            <w:pPr>
              <w:spacing w:after="0" w:line="312" w:lineRule="auto"/>
              <w:rPr>
                <w:szCs w:val="20"/>
              </w:rPr>
            </w:pPr>
            <w:r w:rsidRPr="00E00B35">
              <w:rPr>
                <w:szCs w:val="20"/>
              </w:rPr>
              <w:t>172</w:t>
            </w:r>
          </w:p>
        </w:tc>
        <w:tc>
          <w:tcPr>
            <w:tcW w:w="992" w:type="dxa"/>
            <w:shd w:val="clear" w:color="auto" w:fill="auto"/>
            <w:vAlign w:val="center"/>
          </w:tcPr>
          <w:p w:rsidR="00CA14AB" w:rsidRPr="00E00B35" w:rsidRDefault="00CA14AB" w:rsidP="00E00B35">
            <w:pPr>
              <w:spacing w:after="0" w:line="312" w:lineRule="auto"/>
              <w:rPr>
                <w:szCs w:val="20"/>
              </w:rPr>
            </w:pPr>
            <w:r w:rsidRPr="00E00B35">
              <w:rPr>
                <w:szCs w:val="20"/>
              </w:rPr>
              <w:t>152</w:t>
            </w:r>
          </w:p>
        </w:tc>
        <w:tc>
          <w:tcPr>
            <w:tcW w:w="851" w:type="dxa"/>
            <w:shd w:val="clear" w:color="auto" w:fill="auto"/>
            <w:vAlign w:val="center"/>
          </w:tcPr>
          <w:p w:rsidR="00CA14AB" w:rsidRPr="00E00B35" w:rsidRDefault="00CA14AB" w:rsidP="00E00B35">
            <w:pPr>
              <w:spacing w:after="0" w:line="312" w:lineRule="auto"/>
              <w:rPr>
                <w:szCs w:val="20"/>
              </w:rPr>
            </w:pPr>
            <w:r w:rsidRPr="00E00B35">
              <w:rPr>
                <w:szCs w:val="20"/>
              </w:rPr>
              <w:t>208</w:t>
            </w:r>
          </w:p>
        </w:tc>
        <w:tc>
          <w:tcPr>
            <w:tcW w:w="850" w:type="dxa"/>
            <w:shd w:val="clear" w:color="auto" w:fill="auto"/>
            <w:vAlign w:val="center"/>
          </w:tcPr>
          <w:p w:rsidR="00CA14AB" w:rsidRPr="00E00B35" w:rsidRDefault="00CA14AB" w:rsidP="00E00B35">
            <w:pPr>
              <w:spacing w:after="0" w:line="312" w:lineRule="auto"/>
              <w:rPr>
                <w:szCs w:val="20"/>
              </w:rPr>
            </w:pPr>
            <w:r w:rsidRPr="00E00B35">
              <w:rPr>
                <w:szCs w:val="20"/>
              </w:rPr>
              <w:t>219</w:t>
            </w:r>
          </w:p>
        </w:tc>
        <w:tc>
          <w:tcPr>
            <w:tcW w:w="993" w:type="dxa"/>
            <w:shd w:val="clear" w:color="auto" w:fill="auto"/>
            <w:vAlign w:val="center"/>
          </w:tcPr>
          <w:p w:rsidR="00CA14AB" w:rsidRPr="00E00B35" w:rsidRDefault="00CA14AB" w:rsidP="00E00B35">
            <w:pPr>
              <w:spacing w:after="0" w:line="312" w:lineRule="auto"/>
              <w:rPr>
                <w:szCs w:val="20"/>
              </w:rPr>
            </w:pPr>
            <w:r w:rsidRPr="00E00B35">
              <w:rPr>
                <w:szCs w:val="20"/>
              </w:rPr>
              <w:t>219</w:t>
            </w:r>
          </w:p>
        </w:tc>
        <w:tc>
          <w:tcPr>
            <w:tcW w:w="816" w:type="dxa"/>
            <w:shd w:val="clear" w:color="auto" w:fill="auto"/>
            <w:vAlign w:val="center"/>
          </w:tcPr>
          <w:p w:rsidR="00CA14AB" w:rsidRPr="00E00B35" w:rsidRDefault="00CA14AB" w:rsidP="00E00B35">
            <w:pPr>
              <w:spacing w:after="0" w:line="312" w:lineRule="auto"/>
              <w:rPr>
                <w:szCs w:val="20"/>
              </w:rPr>
            </w:pPr>
            <w:r w:rsidRPr="00E00B35">
              <w:rPr>
                <w:szCs w:val="20"/>
              </w:rPr>
              <w:t>212</w:t>
            </w:r>
          </w:p>
        </w:tc>
      </w:tr>
      <w:tr w:rsidR="00CA14AB" w:rsidRPr="00E00B35" w:rsidTr="00CA14AB">
        <w:tc>
          <w:tcPr>
            <w:tcW w:w="817"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2835" w:type="dxa"/>
            <w:shd w:val="clear" w:color="auto" w:fill="auto"/>
            <w:vAlign w:val="center"/>
          </w:tcPr>
          <w:p w:rsidR="00CA14AB" w:rsidRPr="00E00B35" w:rsidRDefault="00CA14AB" w:rsidP="00E00B35">
            <w:pPr>
              <w:spacing w:after="0" w:line="312" w:lineRule="auto"/>
              <w:rPr>
                <w:szCs w:val="20"/>
              </w:rPr>
            </w:pPr>
            <w:r w:rsidRPr="00E00B35">
              <w:rPr>
                <w:szCs w:val="20"/>
              </w:rPr>
              <w:t>Liczba złożonych ofert w otwartych konkursach ofert</w:t>
            </w:r>
          </w:p>
        </w:tc>
        <w:tc>
          <w:tcPr>
            <w:tcW w:w="1134" w:type="dxa"/>
            <w:shd w:val="clear" w:color="auto" w:fill="auto"/>
            <w:vAlign w:val="center"/>
          </w:tcPr>
          <w:p w:rsidR="00CA14AB" w:rsidRPr="00E00B35" w:rsidRDefault="00CA14AB" w:rsidP="00E00B35">
            <w:pPr>
              <w:spacing w:after="0" w:line="312" w:lineRule="auto"/>
              <w:rPr>
                <w:szCs w:val="20"/>
              </w:rPr>
            </w:pPr>
            <w:r w:rsidRPr="00E00B35">
              <w:rPr>
                <w:szCs w:val="20"/>
              </w:rPr>
              <w:t>662</w:t>
            </w:r>
          </w:p>
        </w:tc>
        <w:tc>
          <w:tcPr>
            <w:tcW w:w="992" w:type="dxa"/>
            <w:shd w:val="clear" w:color="auto" w:fill="auto"/>
            <w:vAlign w:val="center"/>
          </w:tcPr>
          <w:p w:rsidR="00CA14AB" w:rsidRPr="00E00B35" w:rsidRDefault="00CA14AB" w:rsidP="00E00B35">
            <w:pPr>
              <w:spacing w:after="0" w:line="312" w:lineRule="auto"/>
              <w:rPr>
                <w:szCs w:val="20"/>
              </w:rPr>
            </w:pPr>
            <w:r w:rsidRPr="00E00B35">
              <w:rPr>
                <w:szCs w:val="20"/>
              </w:rPr>
              <w:t>641</w:t>
            </w:r>
          </w:p>
        </w:tc>
        <w:tc>
          <w:tcPr>
            <w:tcW w:w="851" w:type="dxa"/>
            <w:shd w:val="clear" w:color="auto" w:fill="auto"/>
            <w:vAlign w:val="center"/>
          </w:tcPr>
          <w:p w:rsidR="00CA14AB" w:rsidRPr="00E00B35" w:rsidRDefault="00CA14AB" w:rsidP="00E00B35">
            <w:pPr>
              <w:spacing w:after="0" w:line="312" w:lineRule="auto"/>
              <w:rPr>
                <w:szCs w:val="20"/>
              </w:rPr>
            </w:pPr>
            <w:r w:rsidRPr="00E00B35">
              <w:rPr>
                <w:szCs w:val="20"/>
              </w:rPr>
              <w:t>716</w:t>
            </w:r>
          </w:p>
        </w:tc>
        <w:tc>
          <w:tcPr>
            <w:tcW w:w="850" w:type="dxa"/>
            <w:shd w:val="clear" w:color="auto" w:fill="auto"/>
            <w:vAlign w:val="center"/>
          </w:tcPr>
          <w:p w:rsidR="00CA14AB" w:rsidRPr="00E00B35" w:rsidRDefault="00CA14AB" w:rsidP="00E00B35">
            <w:pPr>
              <w:spacing w:after="0" w:line="312" w:lineRule="auto"/>
              <w:rPr>
                <w:szCs w:val="20"/>
              </w:rPr>
            </w:pPr>
            <w:r w:rsidRPr="00E00B35">
              <w:rPr>
                <w:szCs w:val="20"/>
              </w:rPr>
              <w:t>649</w:t>
            </w:r>
          </w:p>
        </w:tc>
        <w:tc>
          <w:tcPr>
            <w:tcW w:w="993" w:type="dxa"/>
            <w:shd w:val="clear" w:color="auto" w:fill="auto"/>
            <w:vAlign w:val="center"/>
          </w:tcPr>
          <w:p w:rsidR="00CA14AB" w:rsidRPr="00E00B35" w:rsidRDefault="00CA14AB" w:rsidP="00E00B35">
            <w:pPr>
              <w:spacing w:after="0" w:line="312" w:lineRule="auto"/>
              <w:rPr>
                <w:szCs w:val="20"/>
              </w:rPr>
            </w:pPr>
            <w:r w:rsidRPr="00E00B35">
              <w:rPr>
                <w:szCs w:val="20"/>
              </w:rPr>
              <w:t>858</w:t>
            </w:r>
          </w:p>
        </w:tc>
        <w:tc>
          <w:tcPr>
            <w:tcW w:w="816" w:type="dxa"/>
            <w:shd w:val="clear" w:color="auto" w:fill="auto"/>
            <w:vAlign w:val="center"/>
          </w:tcPr>
          <w:p w:rsidR="00CA14AB" w:rsidRPr="00E00B35" w:rsidRDefault="00CA14AB" w:rsidP="00E00B35">
            <w:pPr>
              <w:spacing w:after="0" w:line="312" w:lineRule="auto"/>
              <w:rPr>
                <w:szCs w:val="20"/>
              </w:rPr>
            </w:pPr>
            <w:r w:rsidRPr="00E00B35">
              <w:rPr>
                <w:szCs w:val="20"/>
              </w:rPr>
              <w:t>954</w:t>
            </w:r>
          </w:p>
        </w:tc>
      </w:tr>
      <w:tr w:rsidR="00CA14AB" w:rsidRPr="00E00B35" w:rsidTr="00CA14AB">
        <w:tc>
          <w:tcPr>
            <w:tcW w:w="817"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2835" w:type="dxa"/>
            <w:shd w:val="clear" w:color="auto" w:fill="auto"/>
            <w:vAlign w:val="center"/>
          </w:tcPr>
          <w:p w:rsidR="00CA14AB" w:rsidRPr="00E00B35" w:rsidRDefault="00CA14AB" w:rsidP="00E00B35">
            <w:pPr>
              <w:spacing w:after="0" w:line="312" w:lineRule="auto"/>
              <w:rPr>
                <w:szCs w:val="20"/>
              </w:rPr>
            </w:pPr>
            <w:r w:rsidRPr="00E00B35">
              <w:rPr>
                <w:szCs w:val="20"/>
              </w:rPr>
              <w:t xml:space="preserve">Liczba umów konkursowych jednorocznych </w:t>
            </w:r>
          </w:p>
        </w:tc>
        <w:tc>
          <w:tcPr>
            <w:tcW w:w="1134" w:type="dxa"/>
            <w:shd w:val="clear" w:color="auto" w:fill="auto"/>
            <w:vAlign w:val="center"/>
          </w:tcPr>
          <w:p w:rsidR="00CA14AB" w:rsidRPr="00E00B35" w:rsidRDefault="00CA14AB" w:rsidP="00E00B35">
            <w:pPr>
              <w:spacing w:after="0" w:line="312" w:lineRule="auto"/>
              <w:rPr>
                <w:szCs w:val="20"/>
              </w:rPr>
            </w:pPr>
            <w:r w:rsidRPr="00E00B35">
              <w:rPr>
                <w:szCs w:val="20"/>
              </w:rPr>
              <w:t>426</w:t>
            </w:r>
          </w:p>
        </w:tc>
        <w:tc>
          <w:tcPr>
            <w:tcW w:w="992" w:type="dxa"/>
            <w:shd w:val="clear" w:color="auto" w:fill="auto"/>
            <w:vAlign w:val="center"/>
          </w:tcPr>
          <w:p w:rsidR="00CA14AB" w:rsidRPr="00E00B35" w:rsidRDefault="00CA14AB" w:rsidP="00E00B35">
            <w:pPr>
              <w:spacing w:after="0" w:line="312" w:lineRule="auto"/>
              <w:rPr>
                <w:szCs w:val="20"/>
              </w:rPr>
            </w:pPr>
            <w:r w:rsidRPr="00E00B35">
              <w:rPr>
                <w:szCs w:val="20"/>
              </w:rPr>
              <w:t>395</w:t>
            </w:r>
          </w:p>
        </w:tc>
        <w:tc>
          <w:tcPr>
            <w:tcW w:w="851" w:type="dxa"/>
            <w:shd w:val="clear" w:color="auto" w:fill="auto"/>
            <w:vAlign w:val="center"/>
          </w:tcPr>
          <w:p w:rsidR="00CA14AB" w:rsidRPr="00E00B35" w:rsidRDefault="00CA14AB" w:rsidP="00E00B35">
            <w:pPr>
              <w:spacing w:after="0" w:line="312" w:lineRule="auto"/>
              <w:rPr>
                <w:szCs w:val="20"/>
              </w:rPr>
            </w:pPr>
            <w:r w:rsidRPr="00E00B35">
              <w:rPr>
                <w:szCs w:val="20"/>
              </w:rPr>
              <w:t>442</w:t>
            </w:r>
          </w:p>
        </w:tc>
        <w:tc>
          <w:tcPr>
            <w:tcW w:w="850" w:type="dxa"/>
            <w:shd w:val="clear" w:color="auto" w:fill="auto"/>
            <w:vAlign w:val="center"/>
          </w:tcPr>
          <w:p w:rsidR="00CA14AB" w:rsidRPr="00E00B35" w:rsidRDefault="00CA14AB" w:rsidP="00E00B35">
            <w:pPr>
              <w:spacing w:after="0" w:line="312" w:lineRule="auto"/>
              <w:rPr>
                <w:szCs w:val="20"/>
              </w:rPr>
            </w:pPr>
            <w:r w:rsidRPr="00E00B35">
              <w:rPr>
                <w:szCs w:val="20"/>
              </w:rPr>
              <w:t>364</w:t>
            </w:r>
          </w:p>
        </w:tc>
        <w:tc>
          <w:tcPr>
            <w:tcW w:w="993" w:type="dxa"/>
            <w:shd w:val="clear" w:color="auto" w:fill="auto"/>
            <w:vAlign w:val="center"/>
          </w:tcPr>
          <w:p w:rsidR="00CA14AB" w:rsidRPr="00E00B35" w:rsidRDefault="00CA14AB" w:rsidP="00E00B35">
            <w:pPr>
              <w:spacing w:after="0" w:line="312" w:lineRule="auto"/>
              <w:rPr>
                <w:szCs w:val="20"/>
              </w:rPr>
            </w:pPr>
            <w:r w:rsidRPr="00E00B35">
              <w:rPr>
                <w:szCs w:val="20"/>
              </w:rPr>
              <w:t>429</w:t>
            </w:r>
          </w:p>
        </w:tc>
        <w:tc>
          <w:tcPr>
            <w:tcW w:w="816" w:type="dxa"/>
            <w:shd w:val="clear" w:color="auto" w:fill="auto"/>
            <w:vAlign w:val="center"/>
          </w:tcPr>
          <w:p w:rsidR="00CA14AB" w:rsidRPr="00E00B35" w:rsidRDefault="00CA14AB" w:rsidP="00E00B35">
            <w:pPr>
              <w:spacing w:after="0" w:line="312" w:lineRule="auto"/>
              <w:rPr>
                <w:szCs w:val="20"/>
              </w:rPr>
            </w:pPr>
            <w:r w:rsidRPr="00E00B35">
              <w:rPr>
                <w:szCs w:val="20"/>
              </w:rPr>
              <w:t>449</w:t>
            </w:r>
          </w:p>
        </w:tc>
      </w:tr>
      <w:tr w:rsidR="00CA14AB" w:rsidRPr="00E00B35" w:rsidTr="00CA14AB">
        <w:tc>
          <w:tcPr>
            <w:tcW w:w="817" w:type="dxa"/>
            <w:shd w:val="clear" w:color="auto" w:fill="auto"/>
            <w:vAlign w:val="center"/>
          </w:tcPr>
          <w:p w:rsidR="00CA14AB" w:rsidRPr="00E00B35" w:rsidRDefault="00CA14AB" w:rsidP="00E00B35">
            <w:pPr>
              <w:spacing w:after="0" w:line="312" w:lineRule="auto"/>
              <w:rPr>
                <w:szCs w:val="20"/>
              </w:rPr>
            </w:pPr>
            <w:r w:rsidRPr="00E00B35">
              <w:rPr>
                <w:szCs w:val="20"/>
              </w:rPr>
              <w:t>4</w:t>
            </w:r>
          </w:p>
        </w:tc>
        <w:tc>
          <w:tcPr>
            <w:tcW w:w="2835" w:type="dxa"/>
            <w:shd w:val="clear" w:color="auto" w:fill="auto"/>
            <w:vAlign w:val="center"/>
          </w:tcPr>
          <w:p w:rsidR="00CA14AB" w:rsidRPr="00E00B35" w:rsidRDefault="00CA14AB" w:rsidP="00E00B35">
            <w:pPr>
              <w:spacing w:after="0" w:line="312" w:lineRule="auto"/>
              <w:rPr>
                <w:szCs w:val="20"/>
              </w:rPr>
            </w:pPr>
            <w:r w:rsidRPr="00E00B35">
              <w:rPr>
                <w:szCs w:val="20"/>
              </w:rPr>
              <w:t>Liczba umów konkursowych wieloletnich zawartych w roku sprawozdawczym</w:t>
            </w:r>
          </w:p>
        </w:tc>
        <w:tc>
          <w:tcPr>
            <w:tcW w:w="1134" w:type="dxa"/>
            <w:shd w:val="clear" w:color="auto" w:fill="auto"/>
            <w:vAlign w:val="center"/>
          </w:tcPr>
          <w:p w:rsidR="00CA14AB" w:rsidRPr="00E00B35" w:rsidRDefault="00CA14AB" w:rsidP="00E00B35">
            <w:pPr>
              <w:spacing w:after="0" w:line="312" w:lineRule="auto"/>
              <w:rPr>
                <w:szCs w:val="20"/>
              </w:rPr>
            </w:pPr>
            <w:r w:rsidRPr="00E00B35">
              <w:rPr>
                <w:szCs w:val="20"/>
              </w:rPr>
              <w:t>35</w:t>
            </w:r>
          </w:p>
        </w:tc>
        <w:tc>
          <w:tcPr>
            <w:tcW w:w="992" w:type="dxa"/>
            <w:shd w:val="clear" w:color="auto" w:fill="auto"/>
            <w:vAlign w:val="center"/>
          </w:tcPr>
          <w:p w:rsidR="00CA14AB" w:rsidRPr="00E00B35" w:rsidRDefault="00CA14AB" w:rsidP="00E00B35">
            <w:pPr>
              <w:spacing w:after="0" w:line="312" w:lineRule="auto"/>
              <w:rPr>
                <w:szCs w:val="20"/>
              </w:rPr>
            </w:pPr>
            <w:r w:rsidRPr="00E00B35">
              <w:rPr>
                <w:szCs w:val="20"/>
              </w:rPr>
              <w:t>53</w:t>
            </w:r>
          </w:p>
        </w:tc>
        <w:tc>
          <w:tcPr>
            <w:tcW w:w="851" w:type="dxa"/>
            <w:shd w:val="clear" w:color="auto" w:fill="auto"/>
            <w:vAlign w:val="center"/>
          </w:tcPr>
          <w:p w:rsidR="00CA14AB" w:rsidRPr="00E00B35" w:rsidRDefault="00CA14AB" w:rsidP="00E00B35">
            <w:pPr>
              <w:spacing w:after="0" w:line="312" w:lineRule="auto"/>
              <w:rPr>
                <w:szCs w:val="20"/>
              </w:rPr>
            </w:pPr>
            <w:r w:rsidRPr="00E00B35">
              <w:rPr>
                <w:szCs w:val="20"/>
              </w:rPr>
              <w:t>46</w:t>
            </w:r>
          </w:p>
        </w:tc>
        <w:tc>
          <w:tcPr>
            <w:tcW w:w="850" w:type="dxa"/>
            <w:shd w:val="clear" w:color="auto" w:fill="auto"/>
            <w:vAlign w:val="center"/>
          </w:tcPr>
          <w:p w:rsidR="00CA14AB" w:rsidRPr="00E00B35" w:rsidRDefault="00CA14AB" w:rsidP="00E00B35">
            <w:pPr>
              <w:spacing w:after="0" w:line="312" w:lineRule="auto"/>
              <w:rPr>
                <w:szCs w:val="20"/>
              </w:rPr>
            </w:pPr>
            <w:r w:rsidRPr="00E00B35">
              <w:rPr>
                <w:szCs w:val="20"/>
              </w:rPr>
              <w:t>145</w:t>
            </w:r>
          </w:p>
        </w:tc>
        <w:tc>
          <w:tcPr>
            <w:tcW w:w="993" w:type="dxa"/>
            <w:shd w:val="clear" w:color="auto" w:fill="auto"/>
            <w:vAlign w:val="center"/>
          </w:tcPr>
          <w:p w:rsidR="00CA14AB" w:rsidRPr="00E00B35" w:rsidRDefault="00CA14AB" w:rsidP="00E00B35">
            <w:pPr>
              <w:spacing w:after="0" w:line="312" w:lineRule="auto"/>
              <w:rPr>
                <w:szCs w:val="20"/>
              </w:rPr>
            </w:pPr>
            <w:r w:rsidRPr="00E00B35">
              <w:rPr>
                <w:szCs w:val="20"/>
              </w:rPr>
              <w:t>61</w:t>
            </w:r>
          </w:p>
        </w:tc>
        <w:tc>
          <w:tcPr>
            <w:tcW w:w="816" w:type="dxa"/>
            <w:shd w:val="clear" w:color="auto" w:fill="auto"/>
            <w:vAlign w:val="center"/>
          </w:tcPr>
          <w:p w:rsidR="00CA14AB" w:rsidRPr="00E00B35" w:rsidRDefault="00CA14AB" w:rsidP="00E00B35">
            <w:pPr>
              <w:spacing w:after="0" w:line="312" w:lineRule="auto"/>
              <w:rPr>
                <w:szCs w:val="20"/>
              </w:rPr>
            </w:pPr>
            <w:r w:rsidRPr="00E00B35">
              <w:rPr>
                <w:szCs w:val="20"/>
              </w:rPr>
              <w:t>102</w:t>
            </w:r>
          </w:p>
        </w:tc>
      </w:tr>
      <w:tr w:rsidR="00CA14AB" w:rsidRPr="00E00B35" w:rsidTr="00CA14AB">
        <w:tc>
          <w:tcPr>
            <w:tcW w:w="817" w:type="dxa"/>
            <w:shd w:val="clear" w:color="auto" w:fill="auto"/>
            <w:vAlign w:val="center"/>
          </w:tcPr>
          <w:p w:rsidR="00CA14AB" w:rsidRPr="00E00B35" w:rsidRDefault="00CA14AB" w:rsidP="00E00B35">
            <w:pPr>
              <w:spacing w:after="0" w:line="312" w:lineRule="auto"/>
              <w:rPr>
                <w:szCs w:val="20"/>
              </w:rPr>
            </w:pPr>
            <w:r w:rsidRPr="00E00B35">
              <w:rPr>
                <w:szCs w:val="20"/>
              </w:rPr>
              <w:t>5</w:t>
            </w:r>
          </w:p>
        </w:tc>
        <w:tc>
          <w:tcPr>
            <w:tcW w:w="2835" w:type="dxa"/>
            <w:shd w:val="clear" w:color="auto" w:fill="auto"/>
            <w:vAlign w:val="center"/>
          </w:tcPr>
          <w:p w:rsidR="00CA14AB" w:rsidRPr="00E00B35" w:rsidRDefault="00CA14AB" w:rsidP="00E00B35">
            <w:pPr>
              <w:spacing w:after="0" w:line="312" w:lineRule="auto"/>
              <w:rPr>
                <w:szCs w:val="20"/>
              </w:rPr>
            </w:pPr>
            <w:r w:rsidRPr="00E00B35">
              <w:rPr>
                <w:szCs w:val="20"/>
              </w:rPr>
              <w:t xml:space="preserve">Liczba umów zawartych </w:t>
            </w:r>
            <w:r w:rsidRPr="00E00B35">
              <w:rPr>
                <w:szCs w:val="20"/>
              </w:rPr>
              <w:lastRenderedPageBreak/>
              <w:t>w ramach konkursów ofert (poz. 3 i 4)</w:t>
            </w:r>
          </w:p>
        </w:tc>
        <w:tc>
          <w:tcPr>
            <w:tcW w:w="1134" w:type="dxa"/>
            <w:shd w:val="clear" w:color="auto" w:fill="auto"/>
            <w:vAlign w:val="center"/>
          </w:tcPr>
          <w:p w:rsidR="00CA14AB" w:rsidRPr="00E00B35" w:rsidRDefault="00CA14AB" w:rsidP="00E00B35">
            <w:pPr>
              <w:spacing w:after="0" w:line="312" w:lineRule="auto"/>
              <w:rPr>
                <w:szCs w:val="20"/>
              </w:rPr>
            </w:pPr>
            <w:r w:rsidRPr="00E00B35">
              <w:rPr>
                <w:szCs w:val="20"/>
              </w:rPr>
              <w:lastRenderedPageBreak/>
              <w:t>461</w:t>
            </w:r>
          </w:p>
        </w:tc>
        <w:tc>
          <w:tcPr>
            <w:tcW w:w="992" w:type="dxa"/>
            <w:shd w:val="clear" w:color="auto" w:fill="auto"/>
            <w:vAlign w:val="center"/>
          </w:tcPr>
          <w:p w:rsidR="00CA14AB" w:rsidRPr="00E00B35" w:rsidRDefault="00CA14AB" w:rsidP="00E00B35">
            <w:pPr>
              <w:spacing w:after="0" w:line="312" w:lineRule="auto"/>
              <w:rPr>
                <w:szCs w:val="20"/>
              </w:rPr>
            </w:pPr>
            <w:r w:rsidRPr="00E00B35">
              <w:rPr>
                <w:szCs w:val="20"/>
              </w:rPr>
              <w:t>448</w:t>
            </w:r>
          </w:p>
        </w:tc>
        <w:tc>
          <w:tcPr>
            <w:tcW w:w="851" w:type="dxa"/>
            <w:shd w:val="clear" w:color="auto" w:fill="auto"/>
            <w:vAlign w:val="center"/>
          </w:tcPr>
          <w:p w:rsidR="00CA14AB" w:rsidRPr="00E00B35" w:rsidRDefault="00CA14AB" w:rsidP="00E00B35">
            <w:pPr>
              <w:spacing w:after="0" w:line="312" w:lineRule="auto"/>
              <w:rPr>
                <w:szCs w:val="20"/>
              </w:rPr>
            </w:pPr>
            <w:r w:rsidRPr="00E00B35">
              <w:rPr>
                <w:szCs w:val="20"/>
              </w:rPr>
              <w:t>488</w:t>
            </w:r>
          </w:p>
        </w:tc>
        <w:tc>
          <w:tcPr>
            <w:tcW w:w="850" w:type="dxa"/>
            <w:shd w:val="clear" w:color="auto" w:fill="auto"/>
            <w:vAlign w:val="center"/>
          </w:tcPr>
          <w:p w:rsidR="00CA14AB" w:rsidRPr="00E00B35" w:rsidRDefault="00CA14AB" w:rsidP="00E00B35">
            <w:pPr>
              <w:spacing w:after="0" w:line="312" w:lineRule="auto"/>
              <w:rPr>
                <w:szCs w:val="20"/>
              </w:rPr>
            </w:pPr>
            <w:r w:rsidRPr="00E00B35">
              <w:rPr>
                <w:szCs w:val="20"/>
              </w:rPr>
              <w:t>509</w:t>
            </w:r>
          </w:p>
        </w:tc>
        <w:tc>
          <w:tcPr>
            <w:tcW w:w="993" w:type="dxa"/>
            <w:shd w:val="clear" w:color="auto" w:fill="auto"/>
            <w:vAlign w:val="center"/>
          </w:tcPr>
          <w:p w:rsidR="00CA14AB" w:rsidRPr="00E00B35" w:rsidRDefault="00CA14AB" w:rsidP="00E00B35">
            <w:pPr>
              <w:spacing w:after="0" w:line="312" w:lineRule="auto"/>
              <w:rPr>
                <w:szCs w:val="20"/>
              </w:rPr>
            </w:pPr>
            <w:r w:rsidRPr="00E00B35">
              <w:rPr>
                <w:szCs w:val="20"/>
              </w:rPr>
              <w:t>490</w:t>
            </w:r>
          </w:p>
        </w:tc>
        <w:tc>
          <w:tcPr>
            <w:tcW w:w="816" w:type="dxa"/>
            <w:shd w:val="clear" w:color="auto" w:fill="auto"/>
            <w:vAlign w:val="center"/>
          </w:tcPr>
          <w:p w:rsidR="00CA14AB" w:rsidRPr="00E00B35" w:rsidRDefault="00CA14AB" w:rsidP="00E00B35">
            <w:pPr>
              <w:spacing w:after="0" w:line="312" w:lineRule="auto"/>
              <w:rPr>
                <w:szCs w:val="20"/>
              </w:rPr>
            </w:pPr>
            <w:r w:rsidRPr="00E00B35">
              <w:rPr>
                <w:szCs w:val="20"/>
              </w:rPr>
              <w:t>551</w:t>
            </w:r>
          </w:p>
        </w:tc>
      </w:tr>
      <w:tr w:rsidR="00CA14AB" w:rsidRPr="00E00B35" w:rsidTr="00CA14AB">
        <w:tc>
          <w:tcPr>
            <w:tcW w:w="817" w:type="dxa"/>
            <w:shd w:val="clear" w:color="auto" w:fill="auto"/>
            <w:vAlign w:val="center"/>
          </w:tcPr>
          <w:p w:rsidR="00CA14AB" w:rsidRPr="00E00B35" w:rsidRDefault="00CA14AB" w:rsidP="00E00B35">
            <w:pPr>
              <w:spacing w:after="0" w:line="312" w:lineRule="auto"/>
              <w:rPr>
                <w:szCs w:val="20"/>
              </w:rPr>
            </w:pPr>
            <w:r w:rsidRPr="00E00B35">
              <w:rPr>
                <w:szCs w:val="20"/>
              </w:rPr>
              <w:lastRenderedPageBreak/>
              <w:t>6</w:t>
            </w:r>
          </w:p>
        </w:tc>
        <w:tc>
          <w:tcPr>
            <w:tcW w:w="2835" w:type="dxa"/>
            <w:shd w:val="clear" w:color="auto" w:fill="auto"/>
            <w:vAlign w:val="center"/>
          </w:tcPr>
          <w:p w:rsidR="00CA14AB" w:rsidRPr="00E00B35" w:rsidRDefault="00CA14AB" w:rsidP="00E00B35">
            <w:pPr>
              <w:spacing w:after="0" w:line="312" w:lineRule="auto"/>
              <w:rPr>
                <w:szCs w:val="20"/>
              </w:rPr>
            </w:pPr>
            <w:r w:rsidRPr="00E00B35">
              <w:rPr>
                <w:szCs w:val="20"/>
              </w:rPr>
              <w:t>Liczba umów konkursowych wieloletnich zawartych przed rokiem sprawozdawczym</w:t>
            </w:r>
          </w:p>
        </w:tc>
        <w:tc>
          <w:tcPr>
            <w:tcW w:w="1134" w:type="dxa"/>
            <w:shd w:val="clear" w:color="auto" w:fill="auto"/>
            <w:vAlign w:val="center"/>
          </w:tcPr>
          <w:p w:rsidR="00CA14AB" w:rsidRPr="00E00B35" w:rsidRDefault="00CA14AB" w:rsidP="00E00B35">
            <w:pPr>
              <w:spacing w:after="0" w:line="312" w:lineRule="auto"/>
              <w:rPr>
                <w:szCs w:val="20"/>
              </w:rPr>
            </w:pPr>
            <w:r w:rsidRPr="00E00B35">
              <w:rPr>
                <w:szCs w:val="20"/>
              </w:rPr>
              <w:t>144</w:t>
            </w:r>
          </w:p>
        </w:tc>
        <w:tc>
          <w:tcPr>
            <w:tcW w:w="992" w:type="dxa"/>
            <w:shd w:val="clear" w:color="auto" w:fill="auto"/>
            <w:vAlign w:val="center"/>
          </w:tcPr>
          <w:p w:rsidR="00CA14AB" w:rsidRPr="00E00B35" w:rsidRDefault="00CA14AB" w:rsidP="00E00B35">
            <w:pPr>
              <w:spacing w:after="0" w:line="312" w:lineRule="auto"/>
              <w:rPr>
                <w:szCs w:val="20"/>
              </w:rPr>
            </w:pPr>
            <w:r w:rsidRPr="00E00B35">
              <w:rPr>
                <w:szCs w:val="20"/>
              </w:rPr>
              <w:t>94</w:t>
            </w:r>
          </w:p>
        </w:tc>
        <w:tc>
          <w:tcPr>
            <w:tcW w:w="851" w:type="dxa"/>
            <w:shd w:val="clear" w:color="auto" w:fill="auto"/>
            <w:vAlign w:val="center"/>
          </w:tcPr>
          <w:p w:rsidR="00CA14AB" w:rsidRPr="00E00B35" w:rsidRDefault="00CA14AB" w:rsidP="00E00B35">
            <w:pPr>
              <w:spacing w:after="0" w:line="312" w:lineRule="auto"/>
              <w:rPr>
                <w:szCs w:val="20"/>
              </w:rPr>
            </w:pPr>
            <w:r w:rsidRPr="00E00B35">
              <w:rPr>
                <w:szCs w:val="20"/>
              </w:rPr>
              <w:t>67</w:t>
            </w:r>
          </w:p>
        </w:tc>
        <w:tc>
          <w:tcPr>
            <w:tcW w:w="850" w:type="dxa"/>
            <w:shd w:val="clear" w:color="auto" w:fill="auto"/>
            <w:vAlign w:val="center"/>
          </w:tcPr>
          <w:p w:rsidR="00CA14AB" w:rsidRPr="00E00B35" w:rsidRDefault="00CA14AB" w:rsidP="00E00B35">
            <w:pPr>
              <w:spacing w:after="0" w:line="312" w:lineRule="auto"/>
              <w:rPr>
                <w:szCs w:val="20"/>
              </w:rPr>
            </w:pPr>
            <w:r w:rsidRPr="00E00B35">
              <w:rPr>
                <w:szCs w:val="20"/>
              </w:rPr>
              <w:t>63</w:t>
            </w:r>
          </w:p>
        </w:tc>
        <w:tc>
          <w:tcPr>
            <w:tcW w:w="993" w:type="dxa"/>
            <w:shd w:val="clear" w:color="auto" w:fill="auto"/>
            <w:vAlign w:val="center"/>
          </w:tcPr>
          <w:p w:rsidR="00CA14AB" w:rsidRPr="00E00B35" w:rsidRDefault="00CA14AB" w:rsidP="00E00B35">
            <w:pPr>
              <w:spacing w:after="0" w:line="312" w:lineRule="auto"/>
              <w:rPr>
                <w:szCs w:val="20"/>
              </w:rPr>
            </w:pPr>
            <w:r w:rsidRPr="00E00B35">
              <w:rPr>
                <w:szCs w:val="20"/>
              </w:rPr>
              <w:t>177</w:t>
            </w:r>
          </w:p>
        </w:tc>
        <w:tc>
          <w:tcPr>
            <w:tcW w:w="816" w:type="dxa"/>
            <w:shd w:val="clear" w:color="auto" w:fill="auto"/>
            <w:vAlign w:val="center"/>
          </w:tcPr>
          <w:p w:rsidR="00CA14AB" w:rsidRPr="00E00B35" w:rsidRDefault="00CA14AB" w:rsidP="00E00B35">
            <w:pPr>
              <w:spacing w:after="0" w:line="312" w:lineRule="auto"/>
              <w:rPr>
                <w:szCs w:val="20"/>
              </w:rPr>
            </w:pPr>
            <w:r w:rsidRPr="00E00B35">
              <w:rPr>
                <w:szCs w:val="20"/>
              </w:rPr>
              <w:t>116</w:t>
            </w:r>
          </w:p>
        </w:tc>
      </w:tr>
      <w:tr w:rsidR="00CA14AB" w:rsidRPr="00E00B35" w:rsidTr="00CA14AB">
        <w:tc>
          <w:tcPr>
            <w:tcW w:w="817" w:type="dxa"/>
            <w:shd w:val="clear" w:color="auto" w:fill="auto"/>
            <w:vAlign w:val="center"/>
          </w:tcPr>
          <w:p w:rsidR="00CA14AB" w:rsidRPr="00E00B35" w:rsidRDefault="00CA14AB" w:rsidP="00E00B35">
            <w:pPr>
              <w:spacing w:after="0" w:line="312" w:lineRule="auto"/>
              <w:rPr>
                <w:szCs w:val="20"/>
              </w:rPr>
            </w:pPr>
            <w:r w:rsidRPr="00E00B35">
              <w:rPr>
                <w:szCs w:val="20"/>
              </w:rPr>
              <w:t>7</w:t>
            </w:r>
          </w:p>
        </w:tc>
        <w:tc>
          <w:tcPr>
            <w:tcW w:w="2835" w:type="dxa"/>
            <w:shd w:val="clear" w:color="auto" w:fill="auto"/>
            <w:vAlign w:val="center"/>
          </w:tcPr>
          <w:p w:rsidR="00CA14AB" w:rsidRPr="00E00B35" w:rsidRDefault="00CA14AB" w:rsidP="00E00B35">
            <w:pPr>
              <w:spacing w:after="0" w:line="312" w:lineRule="auto"/>
              <w:rPr>
                <w:szCs w:val="20"/>
              </w:rPr>
            </w:pPr>
            <w:r w:rsidRPr="00E00B35">
              <w:rPr>
                <w:szCs w:val="20"/>
              </w:rPr>
              <w:t>Liczba umów zawartych w trybie art.19a ustawy o działalności pożytku publicznego i o wolontariacie</w:t>
            </w:r>
          </w:p>
        </w:tc>
        <w:tc>
          <w:tcPr>
            <w:tcW w:w="1134" w:type="dxa"/>
            <w:shd w:val="clear" w:color="auto" w:fill="auto"/>
            <w:vAlign w:val="center"/>
          </w:tcPr>
          <w:p w:rsidR="00CA14AB" w:rsidRPr="00E00B35" w:rsidRDefault="00CA14AB" w:rsidP="00E00B35">
            <w:pPr>
              <w:spacing w:after="0" w:line="312" w:lineRule="auto"/>
              <w:rPr>
                <w:szCs w:val="20"/>
              </w:rPr>
            </w:pPr>
            <w:r w:rsidRPr="00E00B35">
              <w:rPr>
                <w:szCs w:val="20"/>
              </w:rPr>
              <w:t>122</w:t>
            </w:r>
          </w:p>
        </w:tc>
        <w:tc>
          <w:tcPr>
            <w:tcW w:w="992" w:type="dxa"/>
            <w:shd w:val="clear" w:color="auto" w:fill="auto"/>
            <w:vAlign w:val="center"/>
          </w:tcPr>
          <w:p w:rsidR="00CA14AB" w:rsidRPr="00E00B35" w:rsidRDefault="00CA14AB" w:rsidP="00E00B35">
            <w:pPr>
              <w:spacing w:after="0" w:line="312" w:lineRule="auto"/>
              <w:rPr>
                <w:szCs w:val="20"/>
              </w:rPr>
            </w:pPr>
            <w:r w:rsidRPr="00E00B35">
              <w:rPr>
                <w:szCs w:val="20"/>
              </w:rPr>
              <w:t>134</w:t>
            </w:r>
          </w:p>
        </w:tc>
        <w:tc>
          <w:tcPr>
            <w:tcW w:w="851" w:type="dxa"/>
            <w:shd w:val="clear" w:color="auto" w:fill="auto"/>
            <w:vAlign w:val="center"/>
          </w:tcPr>
          <w:p w:rsidR="00CA14AB" w:rsidRPr="00E00B35" w:rsidRDefault="00CA14AB" w:rsidP="00E00B35">
            <w:pPr>
              <w:spacing w:after="0" w:line="312" w:lineRule="auto"/>
              <w:rPr>
                <w:szCs w:val="20"/>
              </w:rPr>
            </w:pPr>
            <w:r w:rsidRPr="00E00B35">
              <w:rPr>
                <w:szCs w:val="20"/>
              </w:rPr>
              <w:t>159</w:t>
            </w:r>
          </w:p>
        </w:tc>
        <w:tc>
          <w:tcPr>
            <w:tcW w:w="850" w:type="dxa"/>
            <w:shd w:val="clear" w:color="auto" w:fill="auto"/>
            <w:vAlign w:val="center"/>
          </w:tcPr>
          <w:p w:rsidR="00CA14AB" w:rsidRPr="00E00B35" w:rsidRDefault="00CA14AB" w:rsidP="00E00B35">
            <w:pPr>
              <w:spacing w:after="0" w:line="312" w:lineRule="auto"/>
              <w:rPr>
                <w:szCs w:val="20"/>
              </w:rPr>
            </w:pPr>
            <w:r w:rsidRPr="00E00B35">
              <w:rPr>
                <w:szCs w:val="20"/>
              </w:rPr>
              <w:t>209</w:t>
            </w:r>
          </w:p>
        </w:tc>
        <w:tc>
          <w:tcPr>
            <w:tcW w:w="993" w:type="dxa"/>
            <w:shd w:val="clear" w:color="auto" w:fill="auto"/>
            <w:vAlign w:val="center"/>
          </w:tcPr>
          <w:p w:rsidR="00CA14AB" w:rsidRPr="00E00B35" w:rsidRDefault="00CA14AB" w:rsidP="00E00B35">
            <w:pPr>
              <w:spacing w:after="0" w:line="312" w:lineRule="auto"/>
              <w:rPr>
                <w:szCs w:val="20"/>
              </w:rPr>
            </w:pPr>
            <w:r w:rsidRPr="00E00B35">
              <w:rPr>
                <w:szCs w:val="20"/>
              </w:rPr>
              <w:t>251</w:t>
            </w:r>
          </w:p>
        </w:tc>
        <w:tc>
          <w:tcPr>
            <w:tcW w:w="816" w:type="dxa"/>
            <w:shd w:val="clear" w:color="auto" w:fill="auto"/>
            <w:vAlign w:val="center"/>
          </w:tcPr>
          <w:p w:rsidR="00CA14AB" w:rsidRPr="00E00B35" w:rsidRDefault="00CA14AB" w:rsidP="00E00B35">
            <w:pPr>
              <w:spacing w:after="0" w:line="312" w:lineRule="auto"/>
              <w:rPr>
                <w:szCs w:val="20"/>
              </w:rPr>
            </w:pPr>
            <w:r w:rsidRPr="00E00B35">
              <w:rPr>
                <w:szCs w:val="20"/>
              </w:rPr>
              <w:t>168</w:t>
            </w:r>
          </w:p>
        </w:tc>
      </w:tr>
      <w:tr w:rsidR="00CA14AB" w:rsidRPr="00E00B35" w:rsidTr="00CA14AB">
        <w:tc>
          <w:tcPr>
            <w:tcW w:w="817" w:type="dxa"/>
            <w:shd w:val="clear" w:color="auto" w:fill="auto"/>
            <w:vAlign w:val="center"/>
          </w:tcPr>
          <w:p w:rsidR="00CA14AB" w:rsidRPr="00E00B35" w:rsidRDefault="00CA14AB" w:rsidP="00E00B35">
            <w:pPr>
              <w:spacing w:after="0" w:line="312" w:lineRule="auto"/>
              <w:rPr>
                <w:szCs w:val="20"/>
              </w:rPr>
            </w:pPr>
            <w:r w:rsidRPr="00E00B35">
              <w:rPr>
                <w:szCs w:val="20"/>
              </w:rPr>
              <w:t>8</w:t>
            </w:r>
          </w:p>
        </w:tc>
        <w:tc>
          <w:tcPr>
            <w:tcW w:w="2835" w:type="dxa"/>
            <w:shd w:val="clear" w:color="auto" w:fill="auto"/>
            <w:vAlign w:val="center"/>
          </w:tcPr>
          <w:p w:rsidR="00CA14AB" w:rsidRPr="00E00B35" w:rsidRDefault="00CA14AB" w:rsidP="00E00B35">
            <w:pPr>
              <w:spacing w:after="0" w:line="312" w:lineRule="auto"/>
              <w:rPr>
                <w:szCs w:val="20"/>
              </w:rPr>
            </w:pPr>
            <w:r w:rsidRPr="00E00B35">
              <w:rPr>
                <w:szCs w:val="20"/>
              </w:rPr>
              <w:t>Liczba wszystkich umów wieloletnich obowiązujących w danym roku (poz. 4, 6)</w:t>
            </w:r>
          </w:p>
        </w:tc>
        <w:tc>
          <w:tcPr>
            <w:tcW w:w="1134" w:type="dxa"/>
            <w:shd w:val="clear" w:color="auto" w:fill="auto"/>
            <w:vAlign w:val="center"/>
          </w:tcPr>
          <w:p w:rsidR="00CA14AB" w:rsidRPr="00E00B35" w:rsidRDefault="00CA14AB" w:rsidP="00E00B35">
            <w:pPr>
              <w:spacing w:after="0" w:line="312" w:lineRule="auto"/>
              <w:rPr>
                <w:szCs w:val="20"/>
              </w:rPr>
            </w:pPr>
            <w:r w:rsidRPr="00E00B35">
              <w:rPr>
                <w:szCs w:val="20"/>
              </w:rPr>
              <w:t>179</w:t>
            </w:r>
          </w:p>
        </w:tc>
        <w:tc>
          <w:tcPr>
            <w:tcW w:w="992" w:type="dxa"/>
            <w:shd w:val="clear" w:color="auto" w:fill="auto"/>
            <w:vAlign w:val="center"/>
          </w:tcPr>
          <w:p w:rsidR="00CA14AB" w:rsidRPr="00E00B35" w:rsidRDefault="00CA14AB" w:rsidP="00E00B35">
            <w:pPr>
              <w:spacing w:after="0" w:line="312" w:lineRule="auto"/>
              <w:rPr>
                <w:szCs w:val="20"/>
              </w:rPr>
            </w:pPr>
            <w:r w:rsidRPr="00E00B35">
              <w:rPr>
                <w:szCs w:val="20"/>
              </w:rPr>
              <w:t>147</w:t>
            </w:r>
          </w:p>
        </w:tc>
        <w:tc>
          <w:tcPr>
            <w:tcW w:w="851" w:type="dxa"/>
            <w:shd w:val="clear" w:color="auto" w:fill="auto"/>
            <w:vAlign w:val="center"/>
          </w:tcPr>
          <w:p w:rsidR="00CA14AB" w:rsidRPr="00E00B35" w:rsidRDefault="00CA14AB" w:rsidP="00E00B35">
            <w:pPr>
              <w:spacing w:after="0" w:line="312" w:lineRule="auto"/>
              <w:rPr>
                <w:szCs w:val="20"/>
              </w:rPr>
            </w:pPr>
            <w:r w:rsidRPr="00E00B35">
              <w:rPr>
                <w:szCs w:val="20"/>
              </w:rPr>
              <w:t>113</w:t>
            </w:r>
          </w:p>
        </w:tc>
        <w:tc>
          <w:tcPr>
            <w:tcW w:w="850" w:type="dxa"/>
            <w:shd w:val="clear" w:color="auto" w:fill="auto"/>
            <w:vAlign w:val="center"/>
          </w:tcPr>
          <w:p w:rsidR="00CA14AB" w:rsidRPr="00E00B35" w:rsidRDefault="00CA14AB" w:rsidP="00E00B35">
            <w:pPr>
              <w:spacing w:after="0" w:line="312" w:lineRule="auto"/>
              <w:rPr>
                <w:szCs w:val="20"/>
              </w:rPr>
            </w:pPr>
            <w:r w:rsidRPr="00E00B35">
              <w:rPr>
                <w:szCs w:val="20"/>
              </w:rPr>
              <w:t>208</w:t>
            </w:r>
          </w:p>
        </w:tc>
        <w:tc>
          <w:tcPr>
            <w:tcW w:w="993" w:type="dxa"/>
            <w:shd w:val="clear" w:color="auto" w:fill="auto"/>
            <w:vAlign w:val="center"/>
          </w:tcPr>
          <w:p w:rsidR="00CA14AB" w:rsidRPr="00E00B35" w:rsidRDefault="00CA14AB" w:rsidP="00E00B35">
            <w:pPr>
              <w:spacing w:after="0" w:line="312" w:lineRule="auto"/>
              <w:rPr>
                <w:szCs w:val="20"/>
              </w:rPr>
            </w:pPr>
            <w:r w:rsidRPr="00E00B35">
              <w:rPr>
                <w:szCs w:val="20"/>
              </w:rPr>
              <w:t>238</w:t>
            </w:r>
          </w:p>
        </w:tc>
        <w:tc>
          <w:tcPr>
            <w:tcW w:w="816" w:type="dxa"/>
            <w:shd w:val="clear" w:color="auto" w:fill="auto"/>
            <w:vAlign w:val="center"/>
          </w:tcPr>
          <w:p w:rsidR="00CA14AB" w:rsidRPr="00E00B35" w:rsidRDefault="00CA14AB" w:rsidP="00E00B35">
            <w:pPr>
              <w:spacing w:after="0" w:line="312" w:lineRule="auto"/>
              <w:rPr>
                <w:szCs w:val="20"/>
              </w:rPr>
            </w:pPr>
            <w:r w:rsidRPr="00E00B35">
              <w:rPr>
                <w:szCs w:val="20"/>
              </w:rPr>
              <w:t>218</w:t>
            </w:r>
          </w:p>
        </w:tc>
      </w:tr>
      <w:tr w:rsidR="00CA14AB" w:rsidRPr="00E00B35" w:rsidTr="00CA14AB">
        <w:tc>
          <w:tcPr>
            <w:tcW w:w="817" w:type="dxa"/>
            <w:shd w:val="clear" w:color="auto" w:fill="auto"/>
            <w:vAlign w:val="center"/>
          </w:tcPr>
          <w:p w:rsidR="00CA14AB" w:rsidRPr="00E00B35" w:rsidRDefault="00CA14AB" w:rsidP="00E00B35">
            <w:pPr>
              <w:spacing w:after="0" w:line="312" w:lineRule="auto"/>
              <w:rPr>
                <w:szCs w:val="20"/>
              </w:rPr>
            </w:pPr>
            <w:r w:rsidRPr="00E00B35">
              <w:rPr>
                <w:szCs w:val="20"/>
              </w:rPr>
              <w:t>9</w:t>
            </w:r>
          </w:p>
        </w:tc>
        <w:tc>
          <w:tcPr>
            <w:tcW w:w="2835" w:type="dxa"/>
            <w:shd w:val="clear" w:color="auto" w:fill="auto"/>
            <w:vAlign w:val="center"/>
          </w:tcPr>
          <w:p w:rsidR="00CA14AB" w:rsidRPr="00E00B35" w:rsidRDefault="00CA14AB" w:rsidP="00E00B35">
            <w:pPr>
              <w:spacing w:after="0" w:line="312" w:lineRule="auto"/>
              <w:rPr>
                <w:szCs w:val="20"/>
              </w:rPr>
            </w:pPr>
            <w:r w:rsidRPr="00E00B35">
              <w:rPr>
                <w:szCs w:val="20"/>
              </w:rPr>
              <w:t>Liczba umów zawartych na podstawie  art. 15zzm ustawy z dnia 2 marca 2020 r. o szczególnych rozwiązaniach związanych z zapobieganiem, przeciwdziałaniem i zwalczaniem COVID-19, innych chorób zakaźnych oraz wywołanych nimi sytuacji kryzysowych oraz niektórych innych ustaw (Dz. U. poz. 1842, z późn. zm.) oraz art. 43, art. 47, art. 151 i art. 221 ustawy z dnia 27 sierpnia 2009 r. o finansach publicznych (Dz. U. z 2019 r. poz. 869, z późn. zm.</w:t>
            </w:r>
          </w:p>
        </w:tc>
        <w:tc>
          <w:tcPr>
            <w:tcW w:w="1134" w:type="dxa"/>
            <w:shd w:val="clear" w:color="auto" w:fill="auto"/>
            <w:vAlign w:val="center"/>
          </w:tcPr>
          <w:p w:rsidR="00CA14AB" w:rsidRPr="00E00B35" w:rsidRDefault="00CA14AB" w:rsidP="00E00B35">
            <w:pPr>
              <w:spacing w:after="0" w:line="312" w:lineRule="auto"/>
              <w:rPr>
                <w:szCs w:val="20"/>
              </w:rPr>
            </w:pPr>
            <w:r w:rsidRPr="00E00B35">
              <w:rPr>
                <w:szCs w:val="20"/>
              </w:rPr>
              <w:t>Nd.</w:t>
            </w:r>
          </w:p>
        </w:tc>
        <w:tc>
          <w:tcPr>
            <w:tcW w:w="992" w:type="dxa"/>
            <w:shd w:val="clear" w:color="auto" w:fill="auto"/>
            <w:vAlign w:val="center"/>
          </w:tcPr>
          <w:p w:rsidR="00CA14AB" w:rsidRPr="00E00B35" w:rsidRDefault="00CA14AB" w:rsidP="00E00B35">
            <w:pPr>
              <w:spacing w:after="0" w:line="312" w:lineRule="auto"/>
              <w:rPr>
                <w:szCs w:val="20"/>
              </w:rPr>
            </w:pPr>
            <w:r w:rsidRPr="00E00B35">
              <w:rPr>
                <w:szCs w:val="20"/>
              </w:rPr>
              <w:t>Nd.</w:t>
            </w:r>
          </w:p>
        </w:tc>
        <w:tc>
          <w:tcPr>
            <w:tcW w:w="851" w:type="dxa"/>
            <w:shd w:val="clear" w:color="auto" w:fill="auto"/>
            <w:vAlign w:val="center"/>
          </w:tcPr>
          <w:p w:rsidR="00CA14AB" w:rsidRPr="00E00B35" w:rsidRDefault="00CA14AB" w:rsidP="00E00B35">
            <w:pPr>
              <w:spacing w:after="0" w:line="312" w:lineRule="auto"/>
              <w:rPr>
                <w:szCs w:val="20"/>
              </w:rPr>
            </w:pPr>
            <w:r w:rsidRPr="00E00B35">
              <w:rPr>
                <w:szCs w:val="20"/>
              </w:rPr>
              <w:t>Nd.</w:t>
            </w:r>
          </w:p>
        </w:tc>
        <w:tc>
          <w:tcPr>
            <w:tcW w:w="850" w:type="dxa"/>
            <w:shd w:val="clear" w:color="auto" w:fill="auto"/>
            <w:vAlign w:val="center"/>
          </w:tcPr>
          <w:p w:rsidR="00CA14AB" w:rsidRPr="00E00B35" w:rsidRDefault="00CA14AB" w:rsidP="00E00B35">
            <w:pPr>
              <w:spacing w:after="0" w:line="312" w:lineRule="auto"/>
              <w:rPr>
                <w:szCs w:val="20"/>
              </w:rPr>
            </w:pPr>
            <w:r w:rsidRPr="00E00B35">
              <w:rPr>
                <w:szCs w:val="20"/>
              </w:rPr>
              <w:t>Nd.</w:t>
            </w:r>
          </w:p>
        </w:tc>
        <w:tc>
          <w:tcPr>
            <w:tcW w:w="993" w:type="dxa"/>
            <w:shd w:val="clear" w:color="auto" w:fill="auto"/>
            <w:vAlign w:val="center"/>
          </w:tcPr>
          <w:p w:rsidR="00CA14AB" w:rsidRPr="00E00B35" w:rsidRDefault="00CA14AB" w:rsidP="00E00B35">
            <w:pPr>
              <w:spacing w:after="0" w:line="312" w:lineRule="auto"/>
              <w:rPr>
                <w:szCs w:val="20"/>
              </w:rPr>
            </w:pPr>
            <w:r w:rsidRPr="00E00B35">
              <w:rPr>
                <w:szCs w:val="20"/>
              </w:rPr>
              <w:t>Nd.</w:t>
            </w:r>
          </w:p>
        </w:tc>
        <w:tc>
          <w:tcPr>
            <w:tcW w:w="816" w:type="dxa"/>
            <w:shd w:val="clear" w:color="auto" w:fill="auto"/>
            <w:vAlign w:val="center"/>
          </w:tcPr>
          <w:p w:rsidR="00CA14AB" w:rsidRPr="00E00B35" w:rsidRDefault="00CA14AB" w:rsidP="00E00B35">
            <w:pPr>
              <w:spacing w:after="0" w:line="312" w:lineRule="auto"/>
              <w:rPr>
                <w:szCs w:val="20"/>
              </w:rPr>
            </w:pPr>
            <w:r w:rsidRPr="00E00B35">
              <w:rPr>
                <w:szCs w:val="20"/>
              </w:rPr>
              <w:t>18</w:t>
            </w:r>
          </w:p>
        </w:tc>
      </w:tr>
      <w:tr w:rsidR="00CA14AB" w:rsidRPr="00E00B35" w:rsidTr="00CA14AB">
        <w:tc>
          <w:tcPr>
            <w:tcW w:w="817" w:type="dxa"/>
            <w:shd w:val="clear" w:color="auto" w:fill="auto"/>
            <w:vAlign w:val="center"/>
          </w:tcPr>
          <w:p w:rsidR="00CA14AB" w:rsidRPr="00E00B35" w:rsidRDefault="00CA14AB" w:rsidP="00E00B35">
            <w:pPr>
              <w:spacing w:after="0" w:line="312" w:lineRule="auto"/>
              <w:rPr>
                <w:szCs w:val="20"/>
              </w:rPr>
            </w:pPr>
            <w:r w:rsidRPr="00E00B35">
              <w:rPr>
                <w:szCs w:val="20"/>
              </w:rPr>
              <w:t>10</w:t>
            </w:r>
          </w:p>
        </w:tc>
        <w:tc>
          <w:tcPr>
            <w:tcW w:w="2835" w:type="dxa"/>
            <w:shd w:val="clear" w:color="auto" w:fill="auto"/>
            <w:vAlign w:val="center"/>
          </w:tcPr>
          <w:p w:rsidR="00CA14AB" w:rsidRPr="00E00B35" w:rsidRDefault="00CA14AB" w:rsidP="00E00B35">
            <w:pPr>
              <w:spacing w:after="0" w:line="312" w:lineRule="auto"/>
              <w:rPr>
                <w:szCs w:val="20"/>
              </w:rPr>
            </w:pPr>
            <w:r w:rsidRPr="00E00B35">
              <w:rPr>
                <w:szCs w:val="20"/>
              </w:rPr>
              <w:t xml:space="preserve">Liczba wszystkich umów obowiązujących w danym roku sprawozdawczym </w:t>
            </w:r>
          </w:p>
        </w:tc>
        <w:tc>
          <w:tcPr>
            <w:tcW w:w="1134" w:type="dxa"/>
            <w:shd w:val="clear" w:color="auto" w:fill="auto"/>
            <w:vAlign w:val="center"/>
          </w:tcPr>
          <w:p w:rsidR="00CA14AB" w:rsidRPr="00E00B35" w:rsidRDefault="00CA14AB" w:rsidP="00E00B35">
            <w:pPr>
              <w:spacing w:after="0" w:line="312" w:lineRule="auto"/>
              <w:rPr>
                <w:szCs w:val="20"/>
              </w:rPr>
            </w:pPr>
            <w:r w:rsidRPr="00E00B35">
              <w:rPr>
                <w:szCs w:val="20"/>
              </w:rPr>
              <w:t>727</w:t>
            </w:r>
          </w:p>
        </w:tc>
        <w:tc>
          <w:tcPr>
            <w:tcW w:w="992" w:type="dxa"/>
            <w:shd w:val="clear" w:color="auto" w:fill="auto"/>
            <w:vAlign w:val="center"/>
          </w:tcPr>
          <w:p w:rsidR="00CA14AB" w:rsidRPr="00E00B35" w:rsidRDefault="00CA14AB" w:rsidP="00E00B35">
            <w:pPr>
              <w:spacing w:after="0" w:line="312" w:lineRule="auto"/>
              <w:rPr>
                <w:szCs w:val="20"/>
              </w:rPr>
            </w:pPr>
            <w:r w:rsidRPr="00E00B35">
              <w:rPr>
                <w:szCs w:val="20"/>
              </w:rPr>
              <w:t>676</w:t>
            </w:r>
          </w:p>
        </w:tc>
        <w:tc>
          <w:tcPr>
            <w:tcW w:w="851" w:type="dxa"/>
            <w:shd w:val="clear" w:color="auto" w:fill="auto"/>
            <w:vAlign w:val="center"/>
          </w:tcPr>
          <w:p w:rsidR="00CA14AB" w:rsidRPr="00E00B35" w:rsidRDefault="00CA14AB" w:rsidP="00E00B35">
            <w:pPr>
              <w:spacing w:after="0" w:line="312" w:lineRule="auto"/>
              <w:rPr>
                <w:szCs w:val="20"/>
              </w:rPr>
            </w:pPr>
            <w:r w:rsidRPr="00E00B35">
              <w:rPr>
                <w:szCs w:val="20"/>
              </w:rPr>
              <w:t>714</w:t>
            </w:r>
          </w:p>
        </w:tc>
        <w:tc>
          <w:tcPr>
            <w:tcW w:w="850" w:type="dxa"/>
            <w:shd w:val="clear" w:color="auto" w:fill="auto"/>
            <w:vAlign w:val="center"/>
          </w:tcPr>
          <w:p w:rsidR="00CA14AB" w:rsidRPr="00E00B35" w:rsidRDefault="00CA14AB" w:rsidP="00E00B35">
            <w:pPr>
              <w:spacing w:after="0" w:line="312" w:lineRule="auto"/>
              <w:rPr>
                <w:szCs w:val="20"/>
              </w:rPr>
            </w:pPr>
            <w:r w:rsidRPr="00E00B35">
              <w:rPr>
                <w:szCs w:val="20"/>
              </w:rPr>
              <w:t>781</w:t>
            </w:r>
          </w:p>
        </w:tc>
        <w:tc>
          <w:tcPr>
            <w:tcW w:w="993" w:type="dxa"/>
            <w:shd w:val="clear" w:color="auto" w:fill="auto"/>
            <w:vAlign w:val="center"/>
          </w:tcPr>
          <w:p w:rsidR="00CA14AB" w:rsidRPr="00E00B35" w:rsidRDefault="00CA14AB" w:rsidP="00E00B35">
            <w:pPr>
              <w:spacing w:after="0" w:line="312" w:lineRule="auto"/>
              <w:rPr>
                <w:szCs w:val="20"/>
              </w:rPr>
            </w:pPr>
            <w:r w:rsidRPr="00E00B35">
              <w:rPr>
                <w:szCs w:val="20"/>
              </w:rPr>
              <w:t>923</w:t>
            </w:r>
          </w:p>
        </w:tc>
        <w:tc>
          <w:tcPr>
            <w:tcW w:w="816" w:type="dxa"/>
            <w:shd w:val="clear" w:color="auto" w:fill="auto"/>
            <w:vAlign w:val="center"/>
          </w:tcPr>
          <w:p w:rsidR="00CA14AB" w:rsidRPr="00E00B35" w:rsidRDefault="00CA14AB" w:rsidP="00E00B35">
            <w:pPr>
              <w:spacing w:after="0" w:line="312" w:lineRule="auto"/>
              <w:rPr>
                <w:szCs w:val="20"/>
              </w:rPr>
            </w:pPr>
            <w:r w:rsidRPr="00E00B35">
              <w:rPr>
                <w:szCs w:val="20"/>
              </w:rPr>
              <w:t>853</w:t>
            </w:r>
          </w:p>
        </w:tc>
      </w:tr>
    </w:tbl>
    <w:p w:rsidR="00CA14AB" w:rsidRPr="00E00B35" w:rsidRDefault="00CA14AB" w:rsidP="00E00B35">
      <w:pPr>
        <w:spacing w:after="0" w:line="312" w:lineRule="auto"/>
        <w:rPr>
          <w:szCs w:val="20"/>
        </w:rPr>
      </w:pPr>
      <w:r w:rsidRPr="00E00B35">
        <w:rPr>
          <w:szCs w:val="20"/>
        </w:rPr>
        <w:t xml:space="preserve">Tabela </w:t>
      </w:r>
      <w:r w:rsidR="00573162" w:rsidRPr="00E00B35">
        <w:rPr>
          <w:szCs w:val="20"/>
        </w:rPr>
        <w:fldChar w:fldCharType="begin"/>
      </w:r>
      <w:r w:rsidR="00573162" w:rsidRPr="00E00B35">
        <w:rPr>
          <w:szCs w:val="20"/>
        </w:rPr>
        <w:instrText xml:space="preserve"> SEQ Tabela \* ARABIC </w:instrText>
      </w:r>
      <w:r w:rsidR="00573162" w:rsidRPr="00E00B35">
        <w:rPr>
          <w:szCs w:val="20"/>
        </w:rPr>
        <w:fldChar w:fldCharType="separate"/>
      </w:r>
      <w:r w:rsidR="008C054F">
        <w:rPr>
          <w:noProof/>
          <w:szCs w:val="20"/>
        </w:rPr>
        <w:t>1</w:t>
      </w:r>
      <w:r w:rsidR="00573162" w:rsidRPr="00E00B35">
        <w:rPr>
          <w:szCs w:val="20"/>
        </w:rPr>
        <w:fldChar w:fldCharType="end"/>
      </w:r>
      <w:r w:rsidRPr="00E00B35">
        <w:rPr>
          <w:szCs w:val="20"/>
        </w:rPr>
        <w:t xml:space="preserve"> Zestawienie liczby konkursów ofert, złożonych ofert oraz zawartych umów</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Charakterystyka organizacji pozarządowych działających na terenie miasta Wrocławia</w:t>
      </w:r>
    </w:p>
    <w:p w:rsidR="00CA14AB" w:rsidRPr="00E00B35" w:rsidRDefault="00CA14AB" w:rsidP="00E00B35">
      <w:pPr>
        <w:spacing w:after="0" w:line="312" w:lineRule="auto"/>
        <w:rPr>
          <w:szCs w:val="20"/>
        </w:rPr>
      </w:pPr>
      <w:r w:rsidRPr="00E00B35">
        <w:rPr>
          <w:szCs w:val="20"/>
        </w:rPr>
        <w:t xml:space="preserve">Wydział Partycypacji Społecznej prowadzi bazę danych o organizacjach pozarządowych – Generator NGO. Według stanu na dzień 31 grudnia 2020 r. ewidencjonowanych w nim było: </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1710 fundacji,</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2361 stowarzyszeń zarejestrowanych w Krajowym Rejestrze Sądowym,</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139 stowarzyszeń zwykłych,</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144 klubów sportowych, których statuty nie przewidują prowadzenia działalności gospodarczej,</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113 uczniowskich klubów sportowych,</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22 związki sportowe,</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 xml:space="preserve">20 związków stowarzyszeń, </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113 organizacji powstałych na mocy przepisów prawnych państwo – kościół,</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4 związki wyznaniowe,</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13 organizacji o innych formach prawnych.</w:t>
      </w:r>
    </w:p>
    <w:p w:rsidR="00CA14AB" w:rsidRPr="00E00B35" w:rsidRDefault="00CA14AB" w:rsidP="00E00B35">
      <w:pPr>
        <w:spacing w:after="0" w:line="312" w:lineRule="auto"/>
        <w:rPr>
          <w:szCs w:val="20"/>
        </w:rPr>
      </w:pPr>
      <w:r w:rsidRPr="00E00B35">
        <w:rPr>
          <w:szCs w:val="20"/>
        </w:rPr>
        <w:t>Łącznie składa się to na 4639 organizacji, z których 500 posiada siedzibę poza Wrocławiem, a w bazie znajdują się z uwagi na to, iż współpracują z Miastem poprzez realizację zadań publicznych na rzecz Miasta i jego mieszkańców lub ubiegają się o ich realizację.</w:t>
      </w:r>
    </w:p>
    <w:p w:rsidR="00CA14AB" w:rsidRPr="00E00B35" w:rsidRDefault="00CA14AB" w:rsidP="00E00B35">
      <w:pPr>
        <w:spacing w:after="0" w:line="312" w:lineRule="auto"/>
        <w:rPr>
          <w:szCs w:val="20"/>
        </w:rPr>
      </w:pPr>
      <w:r w:rsidRPr="00E00B35">
        <w:rPr>
          <w:szCs w:val="20"/>
        </w:rPr>
        <w:t>Organizacje pozarządowe posiadające siedzibę we Wrocławiu, znajdujące się</w:t>
      </w:r>
      <w:r w:rsidRPr="00E00B35">
        <w:rPr>
          <w:szCs w:val="20"/>
        </w:rPr>
        <w:br/>
        <w:t>w wykazie Generatora NGO to:</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1482 fundacji,</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2124 stowarzyszeń zarejestrowanych w Krajowym Rejestrze Sądowym,</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136 stowarzyszeń zwykłych,</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139 klubów sportowych, których statuty nie przewidują prowadzenia działalności gospodarczej,</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111 uczniowskich klubów sportowych,</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13 związków sportowych,</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20 związków stowarzyszeń,</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102 organizacje powstałe na mocy przepisów prawnych państwo – kościół,</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 związek wyznaniowy,</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11 organizacji o innych formach prawnych.</w:t>
      </w:r>
    </w:p>
    <w:p w:rsidR="00CA14AB" w:rsidRPr="00E00B35" w:rsidRDefault="00CA14AB" w:rsidP="00E00B35">
      <w:pPr>
        <w:spacing w:after="0" w:line="312" w:lineRule="auto"/>
        <w:rPr>
          <w:szCs w:val="20"/>
        </w:rPr>
      </w:pPr>
      <w:r w:rsidRPr="00E00B35">
        <w:rPr>
          <w:szCs w:val="20"/>
        </w:rPr>
        <w:t>Łącznie składa się to na 4139 organizacji.</w:t>
      </w:r>
    </w:p>
    <w:p w:rsidR="00CA14AB" w:rsidRPr="00E00B35" w:rsidRDefault="00CA14AB" w:rsidP="00E00B35">
      <w:pPr>
        <w:spacing w:after="0" w:line="312" w:lineRule="auto"/>
        <w:rPr>
          <w:szCs w:val="20"/>
        </w:rPr>
      </w:pPr>
      <w:r w:rsidRPr="00E00B35">
        <w:rPr>
          <w:szCs w:val="20"/>
        </w:rPr>
        <w:t>Według stanu na dzień 31 grudnia 2020 r. Prezydent Wrocławia sprawował nadzór (na podstawie: ustawy z dnia 7 kwietnia 1989 r. Prawo o stowarzyszeniach i ustawy z dnia 25 czerwca 2010 r.</w:t>
      </w:r>
      <w:r w:rsidRPr="00E00B35">
        <w:rPr>
          <w:szCs w:val="20"/>
        </w:rPr>
        <w:br/>
        <w:t xml:space="preserve"> o sporcie) nad 2260 stowarzyszeniami, 139 klubami sportowymi, 111 uczniowskimi klubami sportowymi i 1482 fundacjami z siedzibą we Wrocławiu.</w:t>
      </w:r>
    </w:p>
    <w:p w:rsidR="00CA14AB" w:rsidRPr="00E00B35" w:rsidRDefault="00CA14AB" w:rsidP="00E00B35">
      <w:pPr>
        <w:spacing w:after="0" w:line="312" w:lineRule="auto"/>
        <w:rPr>
          <w:szCs w:val="20"/>
        </w:rPr>
      </w:pPr>
      <w:r w:rsidRPr="00E00B35">
        <w:rPr>
          <w:szCs w:val="20"/>
        </w:rPr>
        <w:t>Dodatkowo organ nadzorujący prowadził w ramach swoich uprawnień następujące działania:</w:t>
      </w:r>
    </w:p>
    <w:p w:rsidR="00CA14AB" w:rsidRPr="00E00B35" w:rsidRDefault="00CA14AB" w:rsidP="00E00B35">
      <w:pPr>
        <w:spacing w:after="0" w:line="312" w:lineRule="auto"/>
        <w:rPr>
          <w:szCs w:val="20"/>
        </w:rPr>
      </w:pPr>
      <w:r w:rsidRPr="00E00B35">
        <w:rPr>
          <w:szCs w:val="20"/>
        </w:rPr>
        <w:lastRenderedPageBreak/>
        <w:t>Wydano 8 decyzji w sprawie wpisu klubów sportowych, nieprowadzących działalności gospodarczej do ewidencji klubów sportowych prowadzonej przez Prezydenta Wrocławia.</w:t>
      </w:r>
    </w:p>
    <w:p w:rsidR="00CA14AB" w:rsidRPr="00E00B35" w:rsidRDefault="00CA14AB" w:rsidP="00E00B35">
      <w:pPr>
        <w:spacing w:after="0" w:line="312" w:lineRule="auto"/>
        <w:rPr>
          <w:szCs w:val="20"/>
        </w:rPr>
      </w:pPr>
      <w:r w:rsidRPr="00E00B35">
        <w:rPr>
          <w:szCs w:val="20"/>
        </w:rPr>
        <w:t>Wydano 28 decyzji w sprawie wpisu zmian w ewidencji klubów sportowych, nieprowadzących działalności gospodarczej prowadzonej przez Prezydenta Wrocławia.</w:t>
      </w:r>
    </w:p>
    <w:p w:rsidR="00CA14AB" w:rsidRPr="00E00B35" w:rsidRDefault="00CA14AB" w:rsidP="00E00B35">
      <w:pPr>
        <w:spacing w:after="0" w:line="312" w:lineRule="auto"/>
        <w:rPr>
          <w:szCs w:val="20"/>
        </w:rPr>
      </w:pPr>
      <w:r w:rsidRPr="00E00B35">
        <w:rPr>
          <w:szCs w:val="20"/>
        </w:rPr>
        <w:t>Wydano 3 decyzje o wykreśleniu z ewidencji klubów sportowych prowadzonej przez Prezydenta Wrocławia.</w:t>
      </w:r>
    </w:p>
    <w:p w:rsidR="00CA14AB" w:rsidRPr="00E00B35" w:rsidRDefault="00CA14AB" w:rsidP="00E00B35">
      <w:pPr>
        <w:spacing w:after="0" w:line="312" w:lineRule="auto"/>
        <w:rPr>
          <w:szCs w:val="20"/>
        </w:rPr>
      </w:pPr>
      <w:r w:rsidRPr="00E00B35">
        <w:rPr>
          <w:szCs w:val="20"/>
        </w:rPr>
        <w:t xml:space="preserve">Nie wydano żadnej decyzji w sprawie wpisu uczniowskich klubów sportowych </w:t>
      </w:r>
      <w:r w:rsidRPr="00E00B35">
        <w:rPr>
          <w:szCs w:val="20"/>
        </w:rPr>
        <w:br/>
        <w:t>do ewidencji uczniowskich klubów sportowych prowadzonej przez Prezydenta Wrocławia.</w:t>
      </w:r>
    </w:p>
    <w:p w:rsidR="00CA14AB" w:rsidRPr="00E00B35" w:rsidRDefault="00CA14AB" w:rsidP="00E00B35">
      <w:pPr>
        <w:spacing w:after="0" w:line="312" w:lineRule="auto"/>
        <w:rPr>
          <w:szCs w:val="20"/>
        </w:rPr>
      </w:pPr>
      <w:r w:rsidRPr="00E00B35">
        <w:rPr>
          <w:szCs w:val="20"/>
        </w:rPr>
        <w:t>Wydano 9 decyzji w sprawie wpisu zmian w ewidencji uczniowskich klubów sportowych, prowadzonej przez Prezydenta Wrocławia.</w:t>
      </w:r>
    </w:p>
    <w:p w:rsidR="00CA14AB" w:rsidRPr="00E00B35" w:rsidRDefault="00CA14AB" w:rsidP="00E00B35">
      <w:pPr>
        <w:spacing w:after="0" w:line="312" w:lineRule="auto"/>
        <w:rPr>
          <w:szCs w:val="20"/>
        </w:rPr>
      </w:pPr>
      <w:r w:rsidRPr="00E00B35">
        <w:rPr>
          <w:szCs w:val="20"/>
        </w:rPr>
        <w:t>Nie wydano żadnej decyzji o wykreśleniu z ewidencji uczniowskich klubów sportowych, prowadzonej przez Prezydenta Wrocławia.</w:t>
      </w:r>
    </w:p>
    <w:p w:rsidR="00CA14AB" w:rsidRPr="00E00B35" w:rsidRDefault="00CA14AB" w:rsidP="00E00B35">
      <w:pPr>
        <w:spacing w:after="0" w:line="312" w:lineRule="auto"/>
        <w:rPr>
          <w:szCs w:val="20"/>
        </w:rPr>
      </w:pPr>
      <w:r w:rsidRPr="00E00B35">
        <w:rPr>
          <w:szCs w:val="20"/>
        </w:rPr>
        <w:t>Sąd zawiadomił organ nadzorujący o:</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wpisie 47 stowarzyszeń do Krajowego Rejestru Sądowego - Rejestru Stowarzyszeń, Innych Organizacji Społecznych i Zawodowych, Fundacji oraz Publicznych Zakładów Opieki Zdrowotnej,</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 xml:space="preserve">wpisie zmian danych w Krajowym Rejestrze Sądowym - Rejestrze Stowarzyszeń, Innych Organizacji Społecznych i Zawodowych, Fundacji </w:t>
      </w:r>
      <w:r w:rsidRPr="00E00B35">
        <w:rPr>
          <w:szCs w:val="20"/>
        </w:rPr>
        <w:br/>
        <w:t>oraz Publicznych Zakładów Opieki Zdrowotnej - 75 stowarzyszeń,</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wykreśleniu z Krajowego Rejestru Sądowego – 5 s</w:t>
      </w:r>
      <w:r w:rsidR="00786FF6" w:rsidRPr="00E00B35">
        <w:rPr>
          <w:szCs w:val="20"/>
        </w:rPr>
        <w:t>towarzyszeń.</w:t>
      </w:r>
    </w:p>
    <w:p w:rsidR="00CA14AB" w:rsidRPr="00E00B35" w:rsidRDefault="00CA14AB" w:rsidP="00E00B35">
      <w:pPr>
        <w:spacing w:after="0" w:line="312" w:lineRule="auto"/>
        <w:rPr>
          <w:szCs w:val="20"/>
        </w:rPr>
      </w:pPr>
      <w:r w:rsidRPr="00E00B35">
        <w:rPr>
          <w:szCs w:val="20"/>
        </w:rPr>
        <w:t>W ewidencji stowarzyszeń zwykłych, prowadzonej przez Prezydenta Wrocławia dokonano:</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wpisu 31 nowych stowarzyszeń,</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zmian danych ewidencyjnych w 11 stowarzyszeniach,</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wykreślenia z ewidencji 5 stowarzyszeń.</w:t>
      </w:r>
    </w:p>
    <w:p w:rsidR="00CA14AB" w:rsidRPr="00E00B35" w:rsidRDefault="00CA14AB" w:rsidP="00E00B35">
      <w:pPr>
        <w:spacing w:after="0" w:line="312" w:lineRule="auto"/>
        <w:rPr>
          <w:szCs w:val="20"/>
        </w:rPr>
      </w:pPr>
      <w:r w:rsidRPr="00E00B35">
        <w:rPr>
          <w:szCs w:val="20"/>
        </w:rPr>
        <w:t>Sąd zawiadomił organ nadzorujący o:</w:t>
      </w:r>
    </w:p>
    <w:p w:rsidR="00786FF6" w:rsidRPr="00E00B35" w:rsidRDefault="00CA14AB" w:rsidP="00BC64AB">
      <w:pPr>
        <w:pStyle w:val="Akapitzlist"/>
        <w:numPr>
          <w:ilvl w:val="0"/>
          <w:numId w:val="157"/>
        </w:numPr>
        <w:spacing w:after="0" w:line="312" w:lineRule="auto"/>
        <w:ind w:left="426" w:hanging="426"/>
        <w:rPr>
          <w:szCs w:val="20"/>
        </w:rPr>
      </w:pPr>
      <w:r w:rsidRPr="00E00B35">
        <w:rPr>
          <w:szCs w:val="20"/>
        </w:rPr>
        <w:t xml:space="preserve">wpisie 96 fundacji do Krajowego Rejestru Sądowego - Rejestru Stowarzyszeń, Innych Organizacji Społecznych i Zawodowych, Fundacji oraz Publicznych Zakładów Opieki Zdrowotnej, </w:t>
      </w:r>
    </w:p>
    <w:p w:rsidR="00786FF6" w:rsidRPr="00E00B35" w:rsidRDefault="00CA14AB" w:rsidP="00BC64AB">
      <w:pPr>
        <w:pStyle w:val="Akapitzlist"/>
        <w:numPr>
          <w:ilvl w:val="0"/>
          <w:numId w:val="157"/>
        </w:numPr>
        <w:spacing w:after="0" w:line="312" w:lineRule="auto"/>
        <w:ind w:left="426" w:hanging="426"/>
        <w:rPr>
          <w:szCs w:val="20"/>
        </w:rPr>
      </w:pPr>
      <w:r w:rsidRPr="00E00B35">
        <w:rPr>
          <w:szCs w:val="20"/>
        </w:rPr>
        <w:t>wpisie zmian danych w Krajowym Rejestrze Sądowym - Rejestrze  Stowarzyszeń, Innych Organizacji Społecznych i Zawodowych, Fundacji oraz Publicznych Zakładów Opieki Zdrowotnej -  86 fundacji,</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wykreśleniu z Krajowego Rejestru Sądowego – 1 fundacji.</w:t>
      </w:r>
    </w:p>
    <w:p w:rsidR="00CA14AB" w:rsidRPr="00E00B35" w:rsidRDefault="00CA14AB" w:rsidP="00E00B35">
      <w:pPr>
        <w:spacing w:after="0" w:line="312" w:lineRule="auto"/>
        <w:rPr>
          <w:szCs w:val="20"/>
        </w:rPr>
      </w:pPr>
      <w:r w:rsidRPr="00E00B35">
        <w:rPr>
          <w:szCs w:val="20"/>
        </w:rPr>
        <w:t>Zrealizowane zdania publiczne (z pominięciem opisanych w częściach: I, II, III, IX, X, XII):</w:t>
      </w:r>
    </w:p>
    <w:p w:rsidR="00CA14AB" w:rsidRPr="00E00B35" w:rsidRDefault="00CA14AB" w:rsidP="00E00B35">
      <w:pPr>
        <w:spacing w:after="0" w:line="312" w:lineRule="auto"/>
        <w:rPr>
          <w:szCs w:val="20"/>
        </w:rPr>
      </w:pPr>
      <w:r w:rsidRPr="00E00B35">
        <w:rPr>
          <w:szCs w:val="20"/>
        </w:rPr>
        <w:t>Prowadzenie Wrocławskiego Centrum Wspierania Organizacji Pozarządowych Sektor3</w:t>
      </w:r>
    </w:p>
    <w:p w:rsidR="00CA14AB" w:rsidRPr="00E00B35" w:rsidRDefault="00CA14AB" w:rsidP="00E00B35">
      <w:pPr>
        <w:spacing w:after="0" w:line="312" w:lineRule="auto"/>
        <w:rPr>
          <w:szCs w:val="20"/>
        </w:rPr>
      </w:pPr>
      <w:r w:rsidRPr="00E00B35">
        <w:rPr>
          <w:szCs w:val="20"/>
        </w:rPr>
        <w:t xml:space="preserve">Okres realizacji: 1 stycznia 2020 r. – 31 grudnia 2022 r.  (umowa wieloletnia), </w:t>
      </w:r>
      <w:r w:rsidRPr="00E00B35">
        <w:rPr>
          <w:szCs w:val="20"/>
        </w:rPr>
        <w:br/>
        <w:t>Liczba zawartych umów: 1</w:t>
      </w:r>
      <w:r w:rsidRPr="00E00B35">
        <w:rPr>
          <w:szCs w:val="20"/>
        </w:rPr>
        <w:br/>
        <w:t>Kwota dotacji: 582 000 zł (na lata 2020-2022 łącznie 1 782 000 zł)</w:t>
      </w:r>
    </w:p>
    <w:p w:rsidR="00CA14AB" w:rsidRPr="00E00B35" w:rsidRDefault="00CA14AB" w:rsidP="00E00B35">
      <w:pPr>
        <w:spacing w:after="0" w:line="312" w:lineRule="auto"/>
        <w:rPr>
          <w:szCs w:val="20"/>
        </w:rPr>
      </w:pPr>
      <w:r w:rsidRPr="00E00B35">
        <w:rPr>
          <w:szCs w:val="20"/>
        </w:rPr>
        <w:t>Celem realizacji zadania publicznego było wspieranie organizacji pozarządowych prowadzących działalność pożytku publicznego (poza wspieraniem ich działalności gospodarczej), a także grup nieformalnych/inicjatywnych i osób fizycznych działających lub chcących działać na terenie Gminy Wrocław w sferze pożytku publicznego.</w:t>
      </w:r>
    </w:p>
    <w:p w:rsidR="00CA14AB" w:rsidRPr="00E00B35" w:rsidRDefault="00CA14AB" w:rsidP="00E00B35">
      <w:pPr>
        <w:spacing w:after="0" w:line="312" w:lineRule="auto"/>
        <w:rPr>
          <w:szCs w:val="20"/>
        </w:rPr>
      </w:pPr>
      <w:r w:rsidRPr="00E00B35">
        <w:rPr>
          <w:szCs w:val="20"/>
        </w:rPr>
        <w:t>Sektor 3 ma w szczególności spełniać następujące funkcje:</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lastRenderedPageBreak/>
        <w:t>wspieranie (organizacyjne, logistyczne i merytoryczne) organizacji pozarządowych m.in. poprzez:</w:t>
      </w:r>
    </w:p>
    <w:p w:rsidR="00CA14AB" w:rsidRPr="00E00B35" w:rsidRDefault="00CA14AB" w:rsidP="00BC64AB">
      <w:pPr>
        <w:pStyle w:val="Akapitzlist"/>
        <w:numPr>
          <w:ilvl w:val="1"/>
          <w:numId w:val="157"/>
        </w:numPr>
        <w:spacing w:after="0" w:line="312" w:lineRule="auto"/>
        <w:ind w:left="993" w:hanging="567"/>
        <w:rPr>
          <w:szCs w:val="20"/>
        </w:rPr>
      </w:pPr>
      <w:r w:rsidRPr="00E00B35">
        <w:rPr>
          <w:szCs w:val="20"/>
        </w:rPr>
        <w:t>czasowe udostępnianie adresu siedziby i korespondencyjnego oraz umożliwienie odbioru przesyłek,</w:t>
      </w:r>
    </w:p>
    <w:p w:rsidR="00CA14AB" w:rsidRPr="00E00B35" w:rsidRDefault="00CA14AB" w:rsidP="00BC64AB">
      <w:pPr>
        <w:pStyle w:val="Akapitzlist"/>
        <w:numPr>
          <w:ilvl w:val="1"/>
          <w:numId w:val="157"/>
        </w:numPr>
        <w:spacing w:after="0" w:line="312" w:lineRule="auto"/>
        <w:ind w:left="993" w:hanging="567"/>
        <w:rPr>
          <w:szCs w:val="20"/>
        </w:rPr>
      </w:pPr>
      <w:r w:rsidRPr="00E00B35">
        <w:rPr>
          <w:szCs w:val="20"/>
        </w:rPr>
        <w:t>udostępnianie stanowiska pracy na godziny z dostępem do komputera, Internetu, telefonu, drukarki, skanera i kserokopiarki,</w:t>
      </w:r>
    </w:p>
    <w:p w:rsidR="00CA14AB" w:rsidRPr="00E00B35" w:rsidRDefault="00CA14AB" w:rsidP="00BC64AB">
      <w:pPr>
        <w:pStyle w:val="Akapitzlist"/>
        <w:numPr>
          <w:ilvl w:val="1"/>
          <w:numId w:val="157"/>
        </w:numPr>
        <w:spacing w:after="0" w:line="312" w:lineRule="auto"/>
        <w:ind w:left="993" w:hanging="567"/>
        <w:rPr>
          <w:szCs w:val="20"/>
        </w:rPr>
      </w:pPr>
      <w:r w:rsidRPr="00E00B35">
        <w:rPr>
          <w:szCs w:val="20"/>
        </w:rPr>
        <w:t>udostępnianie nieodpłatne/odpłatne sal w celu prowadzenia spotkań organizacyjnych i szkoleniowych, konferencji, seminariów, wystaw, etc.,</w:t>
      </w:r>
    </w:p>
    <w:p w:rsidR="00CA14AB" w:rsidRPr="00E00B35" w:rsidRDefault="00CA14AB" w:rsidP="00BC64AB">
      <w:pPr>
        <w:pStyle w:val="Akapitzlist"/>
        <w:numPr>
          <w:ilvl w:val="1"/>
          <w:numId w:val="157"/>
        </w:numPr>
        <w:spacing w:after="0" w:line="312" w:lineRule="auto"/>
        <w:ind w:left="993" w:hanging="567"/>
        <w:rPr>
          <w:szCs w:val="20"/>
        </w:rPr>
      </w:pPr>
      <w:r w:rsidRPr="00E00B35">
        <w:rPr>
          <w:szCs w:val="20"/>
        </w:rPr>
        <w:t>doradztwo pracowników merytorycznych w zakresie zagadnień ogólnych związanych z funkcjonowaniem NGO tj. doradztwa prawnego, księgowego, pozyskiwania środków na działalność statutową oraz informatyki- doradztwo będzie odbywać się poprzez kontakt bezpośredni, a także drogą telefoniczną i e-mailową,</w:t>
      </w:r>
    </w:p>
    <w:p w:rsidR="00CA14AB" w:rsidRPr="00E00B35" w:rsidRDefault="00CA14AB" w:rsidP="00BC64AB">
      <w:pPr>
        <w:pStyle w:val="Akapitzlist"/>
        <w:numPr>
          <w:ilvl w:val="1"/>
          <w:numId w:val="157"/>
        </w:numPr>
        <w:spacing w:after="0" w:line="312" w:lineRule="auto"/>
        <w:ind w:left="993" w:hanging="567"/>
        <w:rPr>
          <w:szCs w:val="20"/>
        </w:rPr>
      </w:pPr>
      <w:r w:rsidRPr="00E00B35">
        <w:rPr>
          <w:szCs w:val="20"/>
        </w:rPr>
        <w:t xml:space="preserve">wymianę informacji i doświadczeń między organizacjami i instytucjami poprzez m.in. spotkania, newsletter, tablice prezentacyjne, stronę internetową, media społecznościowe, </w:t>
      </w:r>
    </w:p>
    <w:p w:rsidR="00CA14AB" w:rsidRPr="00E00B35" w:rsidRDefault="00CA14AB" w:rsidP="00BC64AB">
      <w:pPr>
        <w:pStyle w:val="Akapitzlist"/>
        <w:numPr>
          <w:ilvl w:val="1"/>
          <w:numId w:val="157"/>
        </w:numPr>
        <w:spacing w:after="0" w:line="312" w:lineRule="auto"/>
        <w:ind w:left="993" w:hanging="567"/>
        <w:rPr>
          <w:szCs w:val="20"/>
        </w:rPr>
      </w:pPr>
      <w:r w:rsidRPr="00E00B35">
        <w:rPr>
          <w:szCs w:val="20"/>
        </w:rPr>
        <w:t>spotkania integrujące, prezentacyjne i służące wymianie doświadczeń między organizacjami,</w:t>
      </w:r>
    </w:p>
    <w:p w:rsidR="00CA14AB" w:rsidRPr="00E00B35" w:rsidRDefault="00CA14AB" w:rsidP="00BC64AB">
      <w:pPr>
        <w:pStyle w:val="Akapitzlist"/>
        <w:numPr>
          <w:ilvl w:val="1"/>
          <w:numId w:val="157"/>
        </w:numPr>
        <w:spacing w:after="0" w:line="312" w:lineRule="auto"/>
        <w:ind w:left="993" w:hanging="567"/>
        <w:rPr>
          <w:szCs w:val="20"/>
        </w:rPr>
      </w:pPr>
      <w:r w:rsidRPr="00E00B35">
        <w:rPr>
          <w:szCs w:val="20"/>
        </w:rPr>
        <w:t>organizację i prowadzenie szkoleń, które przygotowują do współpracy z organizacjami pozarządowymi oraz podnoszą kompetencje osób współpracujących z organizacjami pozarządowymi,</w:t>
      </w:r>
    </w:p>
    <w:p w:rsidR="00CA14AB" w:rsidRPr="00E00B35" w:rsidRDefault="00CA14AB" w:rsidP="00BC64AB">
      <w:pPr>
        <w:pStyle w:val="Akapitzlist"/>
        <w:numPr>
          <w:ilvl w:val="1"/>
          <w:numId w:val="157"/>
        </w:numPr>
        <w:spacing w:after="0" w:line="312" w:lineRule="auto"/>
        <w:ind w:left="993" w:hanging="567"/>
        <w:rPr>
          <w:szCs w:val="20"/>
        </w:rPr>
      </w:pPr>
      <w:r w:rsidRPr="00E00B35">
        <w:rPr>
          <w:szCs w:val="20"/>
        </w:rPr>
        <w:t>prowadzenie działalności informacyjnej i promocyjnej Sektor 3 i NGO poprzez  m.in. wydawanie newslettera, stronę internetową i media społecznościowe</w:t>
      </w:r>
      <w:r w:rsidRPr="00E00B35">
        <w:rPr>
          <w:szCs w:val="20"/>
        </w:rPr>
        <w:br/>
        <w:t xml:space="preserve"> promowania Sektora 3 jako dobrej praktyki i przykładu współpracy Gminy Wrocław z NGO,</w:t>
      </w:r>
    </w:p>
    <w:p w:rsidR="00CA14AB" w:rsidRPr="00E00B35" w:rsidRDefault="00CA14AB" w:rsidP="00BC64AB">
      <w:pPr>
        <w:pStyle w:val="Akapitzlist"/>
        <w:numPr>
          <w:ilvl w:val="1"/>
          <w:numId w:val="157"/>
        </w:numPr>
        <w:spacing w:after="0" w:line="312" w:lineRule="auto"/>
        <w:ind w:left="993" w:hanging="567"/>
        <w:rPr>
          <w:szCs w:val="20"/>
        </w:rPr>
      </w:pPr>
      <w:r w:rsidRPr="00E00B35">
        <w:rPr>
          <w:szCs w:val="20"/>
        </w:rPr>
        <w:t>rozwijanie kompetencji zawodowych osób pracujących w organizacjach pozarządowych (w szczególności osób zarządzających), poprzez m.in. szkolenia i doradztwo,</w:t>
      </w:r>
    </w:p>
    <w:p w:rsidR="00CA14AB" w:rsidRPr="00E00B35" w:rsidRDefault="00CA14AB" w:rsidP="00BC64AB">
      <w:pPr>
        <w:pStyle w:val="Akapitzlist"/>
        <w:numPr>
          <w:ilvl w:val="1"/>
          <w:numId w:val="157"/>
        </w:numPr>
        <w:spacing w:after="0" w:line="312" w:lineRule="auto"/>
        <w:ind w:left="993" w:hanging="567"/>
        <w:rPr>
          <w:szCs w:val="20"/>
        </w:rPr>
      </w:pPr>
      <w:r w:rsidRPr="00E00B35">
        <w:rPr>
          <w:szCs w:val="20"/>
        </w:rPr>
        <w:t xml:space="preserve">podnoszenie kompetencji kwalifikacji pracowników i wolontariuszy SEKTOR 3. </w:t>
      </w:r>
    </w:p>
    <w:p w:rsidR="00CA14AB" w:rsidRPr="00E00B35" w:rsidRDefault="00CA14AB" w:rsidP="00E00B35">
      <w:pPr>
        <w:spacing w:after="0" w:line="312" w:lineRule="auto"/>
        <w:rPr>
          <w:szCs w:val="20"/>
        </w:rPr>
      </w:pPr>
      <w:r w:rsidRPr="00E00B35">
        <w:rPr>
          <w:szCs w:val="20"/>
        </w:rPr>
        <w:t xml:space="preserve">W związku z epidemia COVID-19 oferta wsparcia była na bieżąco dostosowywana do sytuacji i obowiązujących obostrzeń, w tym nastąpiła zmiana trybu szkoleń, konsultacji  doradztwa na zdalny.     </w:t>
      </w:r>
    </w:p>
    <w:p w:rsidR="00544448" w:rsidRPr="00E00B35" w:rsidRDefault="00544448" w:rsidP="00E00B35">
      <w:pPr>
        <w:pStyle w:val="Nagwek5"/>
        <w:rPr>
          <w:szCs w:val="20"/>
        </w:rPr>
      </w:pPr>
      <w:bookmarkStart w:id="172" w:name="_Hlk63010463"/>
    </w:p>
    <w:p w:rsidR="00CA14AB" w:rsidRPr="00E00B35" w:rsidRDefault="00CA14AB" w:rsidP="00E00B35">
      <w:pPr>
        <w:pStyle w:val="Nagwek5"/>
        <w:rPr>
          <w:szCs w:val="20"/>
        </w:rPr>
      </w:pPr>
      <w:r w:rsidRPr="00E00B35">
        <w:rPr>
          <w:szCs w:val="20"/>
        </w:rPr>
        <w:t>Organizacja i przeprowadzenie kongresu wrocławskich organizacji pozarządowych</w:t>
      </w:r>
    </w:p>
    <w:bookmarkEnd w:id="172"/>
    <w:p w:rsidR="00CA14AB" w:rsidRPr="00E00B35" w:rsidRDefault="00CA14AB" w:rsidP="00E00B35">
      <w:pPr>
        <w:spacing w:after="0" w:line="312" w:lineRule="auto"/>
        <w:rPr>
          <w:szCs w:val="20"/>
        </w:rPr>
      </w:pPr>
      <w:r w:rsidRPr="00E00B35">
        <w:rPr>
          <w:szCs w:val="20"/>
        </w:rPr>
        <w:t>Okres realizacji: 10 maja 2018 r. – 31 grudnia 2020 r.  (umowa wieloletnia)</w:t>
      </w:r>
      <w:r w:rsidRPr="00E00B35">
        <w:rPr>
          <w:szCs w:val="20"/>
        </w:rPr>
        <w:br/>
        <w:t>Liczba zawartych umów: 1</w:t>
      </w:r>
      <w:r w:rsidRPr="00E00B35">
        <w:rPr>
          <w:szCs w:val="20"/>
        </w:rPr>
        <w:br/>
        <w:t>Liczba odbiorców: 500 uczestników on-line</w:t>
      </w:r>
      <w:r w:rsidRPr="00E00B35">
        <w:rPr>
          <w:szCs w:val="20"/>
        </w:rPr>
        <w:br/>
        <w:t>Kwota dotacji: 132 000 zł (na lata 2018-2020 łącznie 396 000 zł)</w:t>
      </w:r>
    </w:p>
    <w:p w:rsidR="00CA14AB" w:rsidRPr="00E00B35" w:rsidRDefault="00CA14AB" w:rsidP="00E00B35">
      <w:pPr>
        <w:spacing w:after="0" w:line="312" w:lineRule="auto"/>
        <w:rPr>
          <w:szCs w:val="20"/>
        </w:rPr>
      </w:pPr>
      <w:r w:rsidRPr="00E00B35">
        <w:rPr>
          <w:szCs w:val="20"/>
        </w:rPr>
        <w:t xml:space="preserve">W 4 Kongresie Organizacji Pozarządowych wzięło udział 229 organizacji pozarządowych, 18 grup inicjatywnych, 2 uczelnie wyższe oraz 20 osób reprezentujących biznes, media i wolontariuszy. Głównym celem realizacji zadania publicznego było stworzenie przestrzeni spotkań, dialogu środowiska pozarządowego na temat rozwoju Miasta z udziałem </w:t>
      </w:r>
      <w:r w:rsidRPr="00E00B35">
        <w:rPr>
          <w:szCs w:val="20"/>
        </w:rPr>
        <w:lastRenderedPageBreak/>
        <w:t>przedstawicieli samorządu, którego kulminacyjnym wydarzeniem organizowanym w każdym roku jest Wrocławski Kongres Organizacji Pozarządowych.</w:t>
      </w:r>
      <w:r w:rsidRPr="00E00B35">
        <w:rPr>
          <w:szCs w:val="20"/>
        </w:rPr>
        <w:br/>
        <w:t>W ciągu całego roku organizowane były spotkania grup branżowych wrocławskich NGO, tworzone były bazy danych dotyczących badań i analiz wrocławskich NGO, animowane były i koordynowane spotkania Koalicji na rzecz rozwoju wrocławskiego modelu współpracy Gminy Wrocław i NGO.</w:t>
      </w:r>
      <w:r w:rsidRPr="00E00B35">
        <w:rPr>
          <w:szCs w:val="20"/>
        </w:rPr>
        <w:br/>
      </w:r>
      <w:bookmarkStart w:id="173" w:name="_Hlk63010499"/>
      <w:r w:rsidRPr="00E00B35">
        <w:rPr>
          <w:szCs w:val="20"/>
        </w:rPr>
        <w:t>Podczas 4. Kongresu Wrocławskich Organizacji Pozarządowych, który odbył się w dniach 17-20.06.2020 roku w formie spotkań on-line z powodu pandemii COVID-19, zrealizowano 11 spotkań panelowych, w ramach których nastąpiła wymiana doświadczeń na temat współpracy między NGO, a Urzędem Miejskim Wrocławia i na temat wyzwań demokracji. Uczestnicy Kongresu rozmawiali o procesie wdrażania „Strategii rozwoju współpracy miasta Wrocławia z organizacjami pozarządowymi na lata 2018-2022”, a także o ważnych dla Miasta rozwiązaniach realizowanych i rekomendowanych przez NGO. Promowano Wrocławską Radę Działalności Pożytku Publicznego, Mikrogranty oraz Wrocławskie Przedsiębiorstwa Ekonomii Społecznej. W spotkaniach brał udział Prezydenta Wrocławia oraz osoby odpowiedzialne za wdrażanie „Strategii”.</w:t>
      </w:r>
    </w:p>
    <w:bookmarkEnd w:id="173"/>
    <w:p w:rsidR="00CA14AB" w:rsidRPr="00E00B35" w:rsidRDefault="00CA14AB" w:rsidP="00E00B35">
      <w:pPr>
        <w:spacing w:after="0" w:line="312" w:lineRule="auto"/>
        <w:rPr>
          <w:szCs w:val="20"/>
        </w:rPr>
      </w:pPr>
      <w:r w:rsidRPr="00E00B35">
        <w:rPr>
          <w:szCs w:val="20"/>
        </w:rPr>
        <w:t>Mniej oficjalną częścią wydarzenia, były działania towarzyszące na które składały się: przedstawienie teatralne, wystawa oraz koncert, które odbyły się na żywo przy zachowaniu reżimu sanitarnego i wcześniejszej obowiązkowej rejestracji.</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Organizacja i prowadzenie centrum społeczno - kulturalno – edukacyjnego „Pracownia projektów miedzykulturowych „Zajezdnia”</w:t>
      </w:r>
    </w:p>
    <w:p w:rsidR="00CA14AB" w:rsidRPr="00E00B35" w:rsidRDefault="00CA14AB" w:rsidP="00E00B35">
      <w:pPr>
        <w:spacing w:after="0" w:line="312" w:lineRule="auto"/>
        <w:rPr>
          <w:szCs w:val="20"/>
        </w:rPr>
      </w:pPr>
      <w:r w:rsidRPr="00E00B35">
        <w:rPr>
          <w:szCs w:val="20"/>
        </w:rPr>
        <w:t>Okres realizacji: 1 stycznia 2018 r. – 31 grudnia 2020 r.  (umowa wieloletnia)</w:t>
      </w:r>
      <w:r w:rsidRPr="00E00B35">
        <w:rPr>
          <w:szCs w:val="20"/>
        </w:rPr>
        <w:br/>
        <w:t>Liczba zawartych umów: 1</w:t>
      </w:r>
      <w:r w:rsidRPr="00E00B35">
        <w:rPr>
          <w:szCs w:val="20"/>
        </w:rPr>
        <w:br/>
        <w:t>Liczba odbiorców: 5 000</w:t>
      </w:r>
      <w:r w:rsidRPr="00E00B35">
        <w:rPr>
          <w:szCs w:val="20"/>
        </w:rPr>
        <w:br/>
        <w:t>Kwota dotacji: 500 000 zł (na lata 2018-2020 łącznie 1 500 000 zł)</w:t>
      </w:r>
    </w:p>
    <w:p w:rsidR="00CA14AB" w:rsidRPr="00E00B35" w:rsidRDefault="00CA14AB" w:rsidP="00E00B35">
      <w:pPr>
        <w:spacing w:after="0" w:line="312" w:lineRule="auto"/>
        <w:rPr>
          <w:szCs w:val="20"/>
        </w:rPr>
      </w:pPr>
      <w:r w:rsidRPr="00E00B35">
        <w:rPr>
          <w:szCs w:val="20"/>
        </w:rPr>
        <w:t xml:space="preserve">Celem realizacji zadania publicznego była realizacja następujących działań: </w:t>
      </w:r>
    </w:p>
    <w:p w:rsidR="00CA14AB" w:rsidRPr="00E00B35" w:rsidRDefault="00CA14AB" w:rsidP="00E00B35">
      <w:pPr>
        <w:spacing w:after="0" w:line="312" w:lineRule="auto"/>
        <w:rPr>
          <w:szCs w:val="20"/>
        </w:rPr>
      </w:pPr>
      <w:r w:rsidRPr="00E00B35">
        <w:rPr>
          <w:szCs w:val="20"/>
        </w:rPr>
        <w:t>Młodzieżowego Centrum Inicjatyw Prospołecznych „MOJE MIEJSCE” – praca z młodzieżą zagrożoną wykluczeniem społecznym;</w:t>
      </w:r>
    </w:p>
    <w:p w:rsidR="00CA14AB" w:rsidRPr="00E00B35" w:rsidRDefault="00CA14AB" w:rsidP="00E00B35">
      <w:pPr>
        <w:spacing w:after="0" w:line="312" w:lineRule="auto"/>
        <w:rPr>
          <w:szCs w:val="20"/>
        </w:rPr>
      </w:pPr>
      <w:r w:rsidRPr="00E00B35">
        <w:rPr>
          <w:szCs w:val="20"/>
        </w:rPr>
        <w:t>Pracownia projektów międzykulturowych ZAJEZDNIA – wsparcie projektów, w tym projektów międzykulturowych poprzez animację partnerstw krajowych i międzynarodowych;</w:t>
      </w:r>
    </w:p>
    <w:p w:rsidR="00CA14AB" w:rsidRPr="00E00B35" w:rsidRDefault="00CA14AB" w:rsidP="00E00B35">
      <w:pPr>
        <w:spacing w:after="0" w:line="312" w:lineRule="auto"/>
        <w:rPr>
          <w:szCs w:val="20"/>
        </w:rPr>
      </w:pPr>
      <w:r w:rsidRPr="00E00B35">
        <w:rPr>
          <w:szCs w:val="20"/>
        </w:rPr>
        <w:t>Centrum Wolontariatu Akcyjnego – udostępnianie zaplecza infrastrukturalnego na potrzeby Miejskiego Wolontariatu Akcyjnego;</w:t>
      </w:r>
    </w:p>
    <w:p w:rsidR="00CA14AB" w:rsidRPr="00E00B35" w:rsidRDefault="00CA14AB" w:rsidP="00E00B35">
      <w:pPr>
        <w:spacing w:after="0" w:line="312" w:lineRule="auto"/>
        <w:rPr>
          <w:szCs w:val="20"/>
        </w:rPr>
      </w:pPr>
      <w:r w:rsidRPr="00E00B35">
        <w:rPr>
          <w:szCs w:val="20"/>
        </w:rPr>
        <w:t>Animacji działań na rzecz osób starszych – aktywizacja osób starszych do działań animacyjno-kulturalnych;</w:t>
      </w:r>
    </w:p>
    <w:p w:rsidR="00CA14AB" w:rsidRPr="00E00B35" w:rsidRDefault="00CA14AB" w:rsidP="00E00B35">
      <w:pPr>
        <w:spacing w:after="0" w:line="312" w:lineRule="auto"/>
        <w:rPr>
          <w:szCs w:val="20"/>
        </w:rPr>
      </w:pPr>
      <w:r w:rsidRPr="00E00B35">
        <w:rPr>
          <w:szCs w:val="20"/>
        </w:rPr>
        <w:t xml:space="preserve">Istniała potrzeba wsparcia działań Centrum Społeczno-Kulturalno-Edukacyjnego ze względu na potrzeby społeczne mieszkańców Wrocławia (ok. 5 tys. osób korzystających z infrastruktury Zajezdni). Realizacja zadania publicznego przyczyniła się do poszerzenia grupy odbiorców działań społeczno-kulturalnych, edukacyjnych i sportowych. </w:t>
      </w:r>
    </w:p>
    <w:p w:rsidR="00CA14AB" w:rsidRPr="00E00B35" w:rsidRDefault="00CA14AB" w:rsidP="00E00B35">
      <w:pPr>
        <w:spacing w:after="0" w:line="312" w:lineRule="auto"/>
        <w:rPr>
          <w:szCs w:val="20"/>
        </w:rPr>
      </w:pPr>
      <w:r w:rsidRPr="00E00B35">
        <w:rPr>
          <w:szCs w:val="20"/>
        </w:rPr>
        <w:t xml:space="preserve">Zadanie publiczne skierowane było w szczególności do młodzieży z grup zagrożonych wykluczeniem społecznym i uzależnieniami. Istnieje potrzeba pomocy społecznej i indywidualnego wsparcia młodego człowieka w przypadku osłabienia funkcji opiekuńczej </w:t>
      </w:r>
      <w:r w:rsidRPr="00E00B35">
        <w:rPr>
          <w:szCs w:val="20"/>
        </w:rPr>
        <w:lastRenderedPageBreak/>
        <w:t xml:space="preserve">rodziny i toksycznego oddziaływania środowiska. Celem zadania publicznego jest umożliwienie młodzieży ze środowisk zagrożonych marginalizacją (poprzez edukację i wsparcie infrastrukturalne) aktywnego działania w obszarze animacji społeczno-kulturalnej, a w konsekwencji świadomego wyboru drogi życiowej. </w:t>
      </w:r>
    </w:p>
    <w:p w:rsidR="00CA14AB" w:rsidRPr="00E00B35" w:rsidRDefault="00CA14AB" w:rsidP="00E00B35">
      <w:pPr>
        <w:spacing w:after="0" w:line="312" w:lineRule="auto"/>
        <w:rPr>
          <w:szCs w:val="20"/>
        </w:rPr>
      </w:pPr>
      <w:r w:rsidRPr="00E00B35">
        <w:rPr>
          <w:szCs w:val="20"/>
        </w:rPr>
        <w:t xml:space="preserve">Działania projektowe wsparły tworzenie postaw zaangażowanych społecznie, w oparciu </w:t>
      </w:r>
      <w:r w:rsidRPr="00E00B35">
        <w:rPr>
          <w:szCs w:val="20"/>
        </w:rPr>
        <w:br/>
        <w:t>o indywidualne zainteresowania osób.</w:t>
      </w:r>
    </w:p>
    <w:p w:rsidR="00CA14AB" w:rsidRPr="00E00B35" w:rsidRDefault="00CA14AB" w:rsidP="00E00B35">
      <w:pPr>
        <w:spacing w:after="0" w:line="312" w:lineRule="auto"/>
        <w:rPr>
          <w:szCs w:val="20"/>
        </w:rPr>
      </w:pPr>
      <w:r w:rsidRPr="00E00B35">
        <w:rPr>
          <w:szCs w:val="20"/>
        </w:rPr>
        <w:t>Młodzież ze środowisk zagrożonych uzależnieniami otrzymała wsparcie w postaci interaktywnych działań edukacyjnych, spotkań z psychologiem. Dzięki realizacji działań projektowych oraz wolontariatów wzrasta poziom samooceny wśród beneficjentów działania Moje Miejsce.</w:t>
      </w:r>
    </w:p>
    <w:p w:rsidR="00CA14AB" w:rsidRPr="00E00B35" w:rsidRDefault="00CA14AB" w:rsidP="00E00B35">
      <w:pPr>
        <w:spacing w:after="0" w:line="312" w:lineRule="auto"/>
        <w:rPr>
          <w:szCs w:val="20"/>
        </w:rPr>
      </w:pPr>
      <w:r w:rsidRPr="00E00B35">
        <w:rPr>
          <w:szCs w:val="20"/>
        </w:rPr>
        <w:t xml:space="preserve">Zadanie publiczne zakłada promowanie postaw prospołecznych poprzez tworzenie zespołów projektowych. Podejmują one nowe wyzwania w przestrzeni społecznej miasta realizując indywidualne projekty uczestników. Planowanie i realizacja zadań projektowych jest drogą do budowy etosu pracy i służy niwelowaniu postawy roszczeniowej – uzależnienia od pomocy społecznej i jej rozwiązań systemowych. Sukcesy w realizacji własnych projektów wzmacniają postawy zaangażowania i uczą pokonywania przeszkód na drodze do celu. </w:t>
      </w:r>
    </w:p>
    <w:p w:rsidR="00CA14AB" w:rsidRPr="00E00B35" w:rsidRDefault="00CA14AB" w:rsidP="00E00B35">
      <w:pPr>
        <w:spacing w:after="0" w:line="312" w:lineRule="auto"/>
        <w:rPr>
          <w:szCs w:val="20"/>
        </w:rPr>
      </w:pPr>
      <w:r w:rsidRPr="00E00B35">
        <w:rPr>
          <w:szCs w:val="20"/>
        </w:rPr>
        <w:t>Z działaniami animacyjnymi docierają do seniorów, którzy brali udział w warsztatach i imprezach kulturalnych organizowanych wokół przestrzeni PPM „Zajezdnia”.</w:t>
      </w:r>
    </w:p>
    <w:p w:rsidR="00CA14AB" w:rsidRPr="00E00B35" w:rsidRDefault="00CA14AB" w:rsidP="00E00B35">
      <w:pPr>
        <w:spacing w:after="0" w:line="312" w:lineRule="auto"/>
        <w:rPr>
          <w:szCs w:val="20"/>
        </w:rPr>
      </w:pPr>
      <w:r w:rsidRPr="00E00B35">
        <w:rPr>
          <w:szCs w:val="20"/>
        </w:rPr>
        <w:t>Z uwagi na pandemie COVID-19 działania w obszarze  animacji społeczno-kulturowej częściowo obywały się online. Niektóre zajęcia/spotkania odbyły się w mniejszych grupach lub z nich zrezygnowano.</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Organizacja i prowadzenie centrum społeczno- kulturalno – edukacyjnego „Czasoprzestrzeń”</w:t>
      </w:r>
    </w:p>
    <w:p w:rsidR="00CA14AB" w:rsidRPr="00E00B35" w:rsidRDefault="00CA14AB" w:rsidP="00E00B35">
      <w:pPr>
        <w:spacing w:after="0" w:line="312" w:lineRule="auto"/>
        <w:rPr>
          <w:szCs w:val="20"/>
        </w:rPr>
      </w:pPr>
      <w:r w:rsidRPr="00E00B35">
        <w:rPr>
          <w:szCs w:val="20"/>
        </w:rPr>
        <w:t>Okres realizacji: 1 stycznia 2018 r. – 31 grudnia 2020 r.  (umowa wieloletnia)</w:t>
      </w:r>
      <w:r w:rsidRPr="00E00B35">
        <w:rPr>
          <w:szCs w:val="20"/>
        </w:rPr>
        <w:br/>
        <w:t>Liczba zawartych umów: 1</w:t>
      </w:r>
      <w:r w:rsidRPr="00E00B35">
        <w:rPr>
          <w:szCs w:val="20"/>
        </w:rPr>
        <w:br/>
        <w:t>Liczba odbiorców: 153 000</w:t>
      </w:r>
      <w:r w:rsidRPr="00E00B35">
        <w:rPr>
          <w:szCs w:val="20"/>
        </w:rPr>
        <w:br/>
        <w:t>Kwota dotacji: 500 000 zł (na lata 2018-2020 łącznie 1 500 000 zł)</w:t>
      </w:r>
    </w:p>
    <w:p w:rsidR="00544448" w:rsidRPr="00E00B35" w:rsidRDefault="00CA14AB" w:rsidP="00E00B35">
      <w:pPr>
        <w:spacing w:after="0" w:line="312" w:lineRule="auto"/>
        <w:rPr>
          <w:szCs w:val="20"/>
        </w:rPr>
      </w:pPr>
      <w:r w:rsidRPr="00E00B35">
        <w:rPr>
          <w:szCs w:val="20"/>
        </w:rPr>
        <w:t>Celem realizacji zadania publicznego była:</w:t>
      </w:r>
    </w:p>
    <w:p w:rsidR="00E41C3A" w:rsidRPr="00E00B35" w:rsidRDefault="00CA14AB" w:rsidP="00BC64AB">
      <w:pPr>
        <w:pStyle w:val="Akapitzlist"/>
        <w:numPr>
          <w:ilvl w:val="0"/>
          <w:numId w:val="157"/>
        </w:numPr>
        <w:spacing w:after="0" w:line="312" w:lineRule="auto"/>
        <w:ind w:left="426" w:hanging="426"/>
        <w:rPr>
          <w:szCs w:val="20"/>
        </w:rPr>
      </w:pPr>
      <w:r w:rsidRPr="00E00B35">
        <w:rPr>
          <w:szCs w:val="20"/>
        </w:rPr>
        <w:t>realizacja działań społeczno</w:t>
      </w:r>
      <w:r w:rsidR="00E41C3A" w:rsidRPr="00E00B35">
        <w:rPr>
          <w:szCs w:val="20"/>
        </w:rPr>
        <w:t>-</w:t>
      </w:r>
      <w:r w:rsidRPr="00E00B35">
        <w:rPr>
          <w:szCs w:val="20"/>
        </w:rPr>
        <w:t>kulturalno</w:t>
      </w:r>
      <w:r w:rsidR="00E41C3A" w:rsidRPr="00E00B35">
        <w:rPr>
          <w:szCs w:val="20"/>
        </w:rPr>
        <w:t>-</w:t>
      </w:r>
      <w:r w:rsidRPr="00E00B35">
        <w:rPr>
          <w:szCs w:val="20"/>
        </w:rPr>
        <w:t xml:space="preserve">edukacyjnych skierowanych do osób mieszkających lub uczących się we Wrocławiu, </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w szczególności do dzieci, młodzieży, osób starszych, artystów, społeczności lokalnej osiedli Sępolno – Biskupin –</w:t>
      </w:r>
      <w:r w:rsidR="00E41C3A" w:rsidRPr="00E00B35">
        <w:rPr>
          <w:szCs w:val="20"/>
        </w:rPr>
        <w:t xml:space="preserve"> Dąbie –</w:t>
      </w:r>
      <w:r w:rsidRPr="00E00B35">
        <w:rPr>
          <w:szCs w:val="20"/>
        </w:rPr>
        <w:t xml:space="preserve"> Bartoszowice poprzez udział w warsztatach, eventach i mini projektach. </w:t>
      </w:r>
    </w:p>
    <w:p w:rsidR="00CA14AB" w:rsidRPr="00E00B35" w:rsidRDefault="00CA14AB" w:rsidP="00E00B35">
      <w:pPr>
        <w:spacing w:after="0" w:line="312" w:lineRule="auto"/>
        <w:rPr>
          <w:szCs w:val="20"/>
        </w:rPr>
      </w:pPr>
      <w:r w:rsidRPr="00E00B35">
        <w:rPr>
          <w:szCs w:val="20"/>
        </w:rPr>
        <w:t xml:space="preserve">W ramach zadania publicznego realizowane były: </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Czasoprzestrzeń – wspieranie projektów społeczno – kulturalnych poprzez animację partnerstw lokalnych, krajowych i międzynarodowych. Organizacja warsztatów (o charakterze artystycznym, społecznym, sportowym, edukacyjnym) mini projektów i eventów. Zadanie publiczne zakładało włączenie w działania lokalnych artystów, którzy w Zajezdni Dąbie mieli swoje pracownie.</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lastRenderedPageBreak/>
        <w:t xml:space="preserve">Centrum Wolontariatu Akcyjnego – włączenie w działania wolontaryjne podczas dużych imprez organizowanych  na terenie Wrocławia oraz udostępnienie infrastruktury na potrzeby realizacji projektów społeczno-kulturalno- edukacyjnych. </w:t>
      </w:r>
    </w:p>
    <w:p w:rsidR="00CA14AB" w:rsidRPr="00E00B35" w:rsidRDefault="00CA14AB" w:rsidP="00E00B35">
      <w:pPr>
        <w:spacing w:after="0" w:line="312" w:lineRule="auto"/>
        <w:rPr>
          <w:szCs w:val="20"/>
        </w:rPr>
      </w:pPr>
      <w:r w:rsidRPr="00E00B35">
        <w:rPr>
          <w:szCs w:val="20"/>
        </w:rPr>
        <w:t xml:space="preserve">Ze względu na pandemie COVID-19 podjęto działania polegające na szyciu maseczek i robienie przyłbic dla wrocławskich szpitali, wsparciu osób na kwarantannie i pakowaniu paczek żywnościowych dla osób potrzebujących. Część wydarzeń odbyła się online.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Prowadzenie centrum organizacji pozarządowych – Paulińska</w:t>
      </w:r>
    </w:p>
    <w:p w:rsidR="00CA14AB" w:rsidRPr="00E00B35" w:rsidRDefault="00CA14AB" w:rsidP="00E00B35">
      <w:pPr>
        <w:spacing w:after="0" w:line="312" w:lineRule="auto"/>
        <w:rPr>
          <w:szCs w:val="20"/>
        </w:rPr>
      </w:pPr>
      <w:r w:rsidRPr="00E00B35">
        <w:rPr>
          <w:szCs w:val="20"/>
        </w:rPr>
        <w:t>Okres realizacji: 1 stycznia 2018 r. – 31 grudnia 2020 r.  (umowa wieloletnia)</w:t>
      </w:r>
      <w:r w:rsidRPr="00E00B35">
        <w:rPr>
          <w:szCs w:val="20"/>
        </w:rPr>
        <w:br/>
        <w:t>Liczba zawartych umów: 1</w:t>
      </w:r>
      <w:r w:rsidRPr="00E00B35">
        <w:rPr>
          <w:szCs w:val="20"/>
        </w:rPr>
        <w:br/>
        <w:t>Kwota dotacji: 50 000 zł (na lata 2018-2020 łącznie 150 000 zł)</w:t>
      </w:r>
    </w:p>
    <w:p w:rsidR="00CA14AB" w:rsidRPr="00E00B35" w:rsidRDefault="00CA14AB" w:rsidP="00E00B35">
      <w:pPr>
        <w:spacing w:after="0" w:line="312" w:lineRule="auto"/>
        <w:rPr>
          <w:szCs w:val="20"/>
        </w:rPr>
      </w:pPr>
      <w:r w:rsidRPr="00E00B35">
        <w:rPr>
          <w:szCs w:val="20"/>
        </w:rPr>
        <w:t>Celem realizacji zadania publicznego było wsparcie organizacji pozarządowych poprzez prowadzenie Centrum i zapewnienie dostępu do lokalu organizacjom pozarządowym wraz z zapewnieniem odpowiedniego wyposażenia niezbędnego do przeprowadzenia spotkań i realizacji działań statutowych. W Centrum w I półroczu 2020 roku swoje siedziby miało 10 organizacji pozarządowych. Centrum stanowiło zaplecze infrastrukturalne dla organizacji prowadzących działalność pożytku publicznego na terenie miasta Wrocławia między innymi z zakresu kultury, ochrony zdrowia i spraw społecznych. Zapewniona była kompleksowa i profesjonalna obsługa finansowo-księgowa jak również odpowiednia opieka i utrzymanie obiektu. Prowadzone były bieżące remonty oraz naprawianie awarii i dewastacji. Organizacja prowadziła ogród społeczny z tyłu budynku.</w:t>
      </w:r>
    </w:p>
    <w:p w:rsidR="00CA14AB" w:rsidRPr="00E00B35" w:rsidRDefault="00CA14AB" w:rsidP="00E00B35">
      <w:pPr>
        <w:spacing w:after="0" w:line="312" w:lineRule="auto"/>
        <w:rPr>
          <w:szCs w:val="20"/>
        </w:rPr>
      </w:pPr>
      <w:r w:rsidRPr="00E00B35">
        <w:rPr>
          <w:szCs w:val="20"/>
        </w:rPr>
        <w:t>Sytuacja pandemiczna nie wpłynęła na realizację zadania.</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Centrum Zwalczania Nudy na terenie nowych Żernik i okolic we Wrocławiu – pilotaż</w:t>
      </w:r>
    </w:p>
    <w:p w:rsidR="00CA14AB" w:rsidRPr="00E00B35" w:rsidRDefault="00CA14AB" w:rsidP="00E00B35">
      <w:pPr>
        <w:spacing w:after="0" w:line="312" w:lineRule="auto"/>
        <w:rPr>
          <w:szCs w:val="20"/>
        </w:rPr>
      </w:pPr>
      <w:r w:rsidRPr="00E00B35">
        <w:rPr>
          <w:szCs w:val="20"/>
        </w:rPr>
        <w:t xml:space="preserve">Okres realizacji: 1 stycznia 2020 r. – 31 grudnia 2020 r. </w:t>
      </w:r>
      <w:r w:rsidRPr="00E00B35">
        <w:rPr>
          <w:szCs w:val="20"/>
        </w:rPr>
        <w:br/>
        <w:t>Liczba zawartych umów: 1</w:t>
      </w:r>
      <w:r w:rsidRPr="00E00B35">
        <w:rPr>
          <w:szCs w:val="20"/>
        </w:rPr>
        <w:br/>
        <w:t>Liczba odbiorców: ok.120 osób</w:t>
      </w:r>
      <w:r w:rsidRPr="00E00B35">
        <w:rPr>
          <w:szCs w:val="20"/>
        </w:rPr>
        <w:br/>
        <w:t>Kwota dotacji: 160 000 zł</w:t>
      </w:r>
    </w:p>
    <w:p w:rsidR="00CA14AB" w:rsidRPr="00E00B35" w:rsidRDefault="00CA14AB" w:rsidP="00E00B35">
      <w:pPr>
        <w:spacing w:after="0" w:line="312" w:lineRule="auto"/>
        <w:rPr>
          <w:szCs w:val="20"/>
        </w:rPr>
      </w:pPr>
      <w:r w:rsidRPr="00E00B35">
        <w:rPr>
          <w:szCs w:val="20"/>
        </w:rPr>
        <w:t xml:space="preserve">Celem realizacji zadania publicznego było zwiększenie zaangażowania społeczności lokalnej i tworzenie poczucia przynależności do miejsca i grupy terenu Nowe Żerniki. W ramach działania Centrum beneficjenci mieli możliwość współtworzenia działań organizowanych w Centrum oraz możliwość aktywnego działania na rzecz społeczności lokalnej. W ramach działania Centrum przeprowadzono z inicjatywy mieszkańców szereg imprez integrujących społeczność lokalną m.in. bal karnawałowy dla dzieci, turniej gry w bingo, kalambury, karaoke, cykliczne spotkania przy kawie. Łącznie w wydarzeniach wzięło udział ok. 120 osób. Centrum w ramach działania prowadziło również cykliczne zajęcia animacyjno- integrujące m.in. warsztaty kulinarne, manualne, fotograficzne, wieczory filmowe, spotkania z planszówkami.      </w:t>
      </w:r>
      <w:r w:rsidRPr="00E00B35">
        <w:rPr>
          <w:szCs w:val="20"/>
        </w:rPr>
        <w:br/>
        <w:t xml:space="preserve">W związku z rozprzestrzenianiem się pandemii Covid-19 zmienił się sposób realizacji działania. Działania realizowane były w trybie on-line,  na Facebooku oraz na platformie Zoom.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Prowadzenie Albertyńskiego Centrum Aktywności Lokalnej Kołłątaja</w:t>
      </w:r>
    </w:p>
    <w:p w:rsidR="00CA14AB" w:rsidRPr="00E00B35" w:rsidRDefault="00CA14AB" w:rsidP="00E00B35">
      <w:pPr>
        <w:spacing w:after="0" w:line="312" w:lineRule="auto"/>
        <w:rPr>
          <w:szCs w:val="20"/>
        </w:rPr>
      </w:pPr>
      <w:r w:rsidRPr="00E00B35">
        <w:rPr>
          <w:szCs w:val="20"/>
        </w:rPr>
        <w:t>Okres realizacji: 01 luty 2019 – 30 czerwca 2021 r. (umowa wieloletnia)</w:t>
      </w:r>
      <w:r w:rsidRPr="00E00B35">
        <w:rPr>
          <w:szCs w:val="20"/>
        </w:rPr>
        <w:br/>
        <w:t>Liczba zawartych umów: 1</w:t>
      </w:r>
      <w:r w:rsidRPr="00E00B35">
        <w:rPr>
          <w:szCs w:val="20"/>
        </w:rPr>
        <w:br/>
        <w:t>Kwota dotacji: 60 000 zł (na lata 2019-2021 łącznie 155 000 zł)</w:t>
      </w:r>
    </w:p>
    <w:p w:rsidR="00CA14AB" w:rsidRPr="00E00B35" w:rsidRDefault="00CA14AB" w:rsidP="00E00B35">
      <w:pPr>
        <w:spacing w:after="0" w:line="312" w:lineRule="auto"/>
        <w:rPr>
          <w:szCs w:val="20"/>
        </w:rPr>
      </w:pPr>
      <w:r w:rsidRPr="00E00B35">
        <w:rPr>
          <w:szCs w:val="20"/>
        </w:rPr>
        <w:t xml:space="preserve">Celem realizacji zadania publicznego było prowadzenie centrum aktywności lokalnej, mającego na celu wspieranie organizacji pozarządowych oraz grup nieformalnych działających na terenie Wrocławia i na rzecz mieszkańców Wrocławia. Wsparcie to polega na udostępnianiu pomieszczeń i zasobów Centrum do prowadzenia aktywności skierowanej do osób wymagających wsparcia. Centrum działało od poniedziałku do piątku w godzinach od 10 do 18. </w:t>
      </w:r>
      <w:r w:rsidRPr="00E00B35">
        <w:rPr>
          <w:szCs w:val="20"/>
        </w:rPr>
        <w:br/>
        <w:t xml:space="preserve">W związku z obostrzeniami wprowadzonymi w związku z rozprzestrzenianiem się pandemii Covid-19 spotkania grup były prowadzone w trybie on-line. Zajęcia prowadzone na miejscu w centrum były organizowane z zachowaniem wszelkich obostrzeń.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 xml:space="preserve">Organizacja i prowadzenie Centrum Aktywności Lokalnej Prusa </w:t>
      </w:r>
    </w:p>
    <w:p w:rsidR="00CA14AB" w:rsidRPr="00E00B35" w:rsidRDefault="00CA14AB" w:rsidP="00E00B35">
      <w:pPr>
        <w:spacing w:after="0" w:line="312" w:lineRule="auto"/>
        <w:rPr>
          <w:szCs w:val="20"/>
        </w:rPr>
      </w:pPr>
      <w:r w:rsidRPr="00E00B35">
        <w:rPr>
          <w:szCs w:val="20"/>
        </w:rPr>
        <w:t>Okres realizacji: 15 stycznia 2018 r. – 31 grudnia 2020 r.  (umowa wieloletnia)</w:t>
      </w:r>
      <w:r w:rsidRPr="00E00B35">
        <w:rPr>
          <w:szCs w:val="20"/>
        </w:rPr>
        <w:br/>
        <w:t>Liczba zawartych umów: 1</w:t>
      </w:r>
      <w:r w:rsidRPr="00E00B35">
        <w:rPr>
          <w:szCs w:val="20"/>
        </w:rPr>
        <w:br/>
        <w:t xml:space="preserve">Liczba odbiorców: ok. 7500 </w:t>
      </w:r>
      <w:r w:rsidRPr="00E00B35">
        <w:rPr>
          <w:szCs w:val="20"/>
        </w:rPr>
        <w:br/>
        <w:t>Kwota dotacji: 92 000 zł (na lata 2018-2020 łącznie 276 000 zł)</w:t>
      </w:r>
    </w:p>
    <w:p w:rsidR="00CA14AB" w:rsidRPr="00E00B35" w:rsidRDefault="00CA14AB" w:rsidP="00E00B35">
      <w:pPr>
        <w:spacing w:after="0" w:line="312" w:lineRule="auto"/>
        <w:rPr>
          <w:szCs w:val="20"/>
        </w:rPr>
      </w:pPr>
      <w:r w:rsidRPr="00E00B35">
        <w:rPr>
          <w:szCs w:val="20"/>
        </w:rPr>
        <w:t>Celem realizacji zadania publicznego była aktywizacja mieszkańców Wrocławia, w szczególności osiedla Ołbin, do działań służących rozwojowi społeczności lokalnej, integracji sąsiedzkiej oraz pogłębianiu więzi społecznych i międzypokoleniowych, poprzez:</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zapewnienie wsparcia merytorycznego i organizacyjnego mieszkańcom osiedla Ołbin chcącym realizować swoje inicjatywy prospołeczne;</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rozwój świadomości w obszarze przynależności do społeczności wrocławskiego osiedla Ołbin oraz budowanie postawy aktywnego działania na rzecz jego rozwoju wśród przedstawicieli różnych pokoleń;</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 xml:space="preserve">wzrost poziomu więzi społecznych i sąsiedzkich poprzez współuczestniczenie </w:t>
      </w:r>
      <w:r w:rsidRPr="00E00B35">
        <w:rPr>
          <w:szCs w:val="20"/>
        </w:rPr>
        <w:br/>
        <w:t>w tworzeniu i wykorzystaniu potencjału kulturotwórczego mieszkańców;</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wzrost poziomu uczestnictwa mieszkańców w wydarzeniach kulturalno-edukacyjnych na terenie miasta Wrocławia.</w:t>
      </w:r>
    </w:p>
    <w:p w:rsidR="00CA14AB" w:rsidRPr="00E00B35" w:rsidRDefault="00CA14AB" w:rsidP="00E00B35">
      <w:pPr>
        <w:spacing w:after="0" w:line="312" w:lineRule="auto"/>
        <w:rPr>
          <w:szCs w:val="20"/>
        </w:rPr>
      </w:pPr>
      <w:r w:rsidRPr="00E00B35">
        <w:rPr>
          <w:szCs w:val="20"/>
        </w:rPr>
        <w:t>Sytuacja pandemiczna Covid-19 miała wpływ na realizację zadania. Forma przeprowadzenia poszczególnych działań dostosowywana była na bieżąco do wprowadzanych obostrzeń , tj. działania realizowane były nie tylko stacjonarnie, ale także w formie zdalnej przy użyciu narzędzi technologicznych, telefonicznie oraz online. Dodatkowo podjęto w tym okresie działania wspierające potrzebujących mieszkańców, polegające na  dostarczaniu ciepłych posiłków oraz środków ochronnych</w:t>
      </w:r>
      <w:r w:rsidR="00E41C3A" w:rsidRPr="00E00B35">
        <w:rPr>
          <w:szCs w:val="20"/>
        </w:rPr>
        <w:t>.</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Edukacja Poza-Formalna</w:t>
      </w:r>
    </w:p>
    <w:p w:rsidR="00CA14AB" w:rsidRPr="00E00B35" w:rsidRDefault="00CA14AB" w:rsidP="00E00B35">
      <w:pPr>
        <w:spacing w:after="0" w:line="312" w:lineRule="auto"/>
        <w:rPr>
          <w:szCs w:val="20"/>
        </w:rPr>
      </w:pPr>
      <w:r w:rsidRPr="00E00B35">
        <w:rPr>
          <w:szCs w:val="20"/>
        </w:rPr>
        <w:t>Okres realizacji: 15 lutego 2018 r. – 30 czerwca 2020 r.  (umowy wieloletnie)</w:t>
      </w:r>
      <w:r w:rsidRPr="00E00B35">
        <w:rPr>
          <w:szCs w:val="20"/>
        </w:rPr>
        <w:br/>
        <w:t>Liczba zawartych umów: 5</w:t>
      </w:r>
      <w:r w:rsidRPr="00E00B35">
        <w:rPr>
          <w:szCs w:val="20"/>
        </w:rPr>
        <w:br/>
      </w:r>
      <w:r w:rsidRPr="00E00B35">
        <w:rPr>
          <w:szCs w:val="20"/>
        </w:rPr>
        <w:lastRenderedPageBreak/>
        <w:t>Liczba odbiorców: 752</w:t>
      </w:r>
      <w:r w:rsidRPr="00E00B35">
        <w:rPr>
          <w:szCs w:val="20"/>
        </w:rPr>
        <w:br/>
        <w:t>Kwota dotacji: 64 922 zł (na lata 2018-2020 łącznie 295 755 zł)</w:t>
      </w:r>
    </w:p>
    <w:p w:rsidR="00CA14AB" w:rsidRPr="00E00B35" w:rsidRDefault="00CA14AB" w:rsidP="00E00B35">
      <w:pPr>
        <w:spacing w:after="0" w:line="312" w:lineRule="auto"/>
        <w:rPr>
          <w:szCs w:val="20"/>
        </w:rPr>
      </w:pPr>
      <w:r w:rsidRPr="00E00B35">
        <w:rPr>
          <w:szCs w:val="20"/>
        </w:rPr>
        <w:t xml:space="preserve">Celem realizacji zadania publicznego była popularyzacja osiągnięć nauki i kultury wśród dzieci i młodzieży (od 3 roku życia do ukończenia szkoły ponadgimnazjalnej </w:t>
      </w:r>
      <w:r w:rsidRPr="00E00B35">
        <w:rPr>
          <w:szCs w:val="20"/>
        </w:rPr>
        <w:br/>
        <w:t>z wyłączeniem szkół policealnych), rozwijanie i zaspokajanie indywidualnych potrzeb dzieci i młodzieży oraz zdobywanie dodatkowej wiedzy oraz umiejętności praktycznych dzieci i młodzieży.</w:t>
      </w:r>
    </w:p>
    <w:p w:rsidR="00CA14AB" w:rsidRPr="00E00B35" w:rsidRDefault="00CA14AB" w:rsidP="00E00B35">
      <w:pPr>
        <w:spacing w:after="0" w:line="312" w:lineRule="auto"/>
        <w:rPr>
          <w:szCs w:val="20"/>
        </w:rPr>
      </w:pPr>
      <w:r w:rsidRPr="00E00B35">
        <w:rPr>
          <w:szCs w:val="20"/>
        </w:rPr>
        <w:t>W ramach zadania realizowane były projekty m.in. w dziedzinach: naukowej - ekologicznej, artystycznej, w tym warsztaty taneczne (taniec ludowy), rękodzielnicze (techniki tradycyjne), instrumentalne, muzyczne, łucznictwo oraz z zakresu kompetencji społecznych i międzykulturowych.</w:t>
      </w:r>
    </w:p>
    <w:p w:rsidR="00CA14AB" w:rsidRPr="00E00B35" w:rsidRDefault="00CA14AB" w:rsidP="00E00B35">
      <w:pPr>
        <w:spacing w:after="0" w:line="312" w:lineRule="auto"/>
        <w:rPr>
          <w:szCs w:val="20"/>
        </w:rPr>
      </w:pPr>
      <w:r w:rsidRPr="00E00B35">
        <w:rPr>
          <w:szCs w:val="20"/>
        </w:rPr>
        <w:t>Sytuacja pandemiczna nie wpłynęła na możliwość realizacji umów w tym konkusie. Od momentu wdrożenia kwarantanny narodowej organizatorzy zaczęli realizować zajęciach on-line zarówno w formie nagrań jak i relacji na żywo z wykorzystaniem Facebooka oraz platformy zoom, discord czy Whatsapp.</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Działania edukacyjno - kulturalne w ramach prowadzenia międzyszkolnego chóru</w:t>
      </w:r>
    </w:p>
    <w:p w:rsidR="00CA14AB" w:rsidRPr="00E00B35" w:rsidRDefault="00CA14AB" w:rsidP="00E00B35">
      <w:pPr>
        <w:spacing w:after="0" w:line="312" w:lineRule="auto"/>
        <w:rPr>
          <w:szCs w:val="20"/>
        </w:rPr>
      </w:pPr>
      <w:r w:rsidRPr="00E00B35">
        <w:rPr>
          <w:szCs w:val="20"/>
        </w:rPr>
        <w:t>Okres realizacji: 20 marca 2018 r. – 30 czerwca 2020 r. (umowa wieloletnia)</w:t>
      </w:r>
      <w:r w:rsidRPr="00E00B35">
        <w:rPr>
          <w:szCs w:val="20"/>
        </w:rPr>
        <w:br/>
        <w:t>Liczba zawartych umów: 1</w:t>
      </w:r>
      <w:r w:rsidRPr="00E00B35">
        <w:rPr>
          <w:szCs w:val="20"/>
        </w:rPr>
        <w:br/>
        <w:t>Liczba odbiorców: 33</w:t>
      </w:r>
      <w:r w:rsidRPr="00E00B35">
        <w:rPr>
          <w:szCs w:val="20"/>
        </w:rPr>
        <w:br/>
        <w:t>Kwota dotacji: 10 000 zł (na lata 2018-2020 łącznie 50 000 zł)</w:t>
      </w:r>
    </w:p>
    <w:p w:rsidR="00CA14AB" w:rsidRPr="00E00B35" w:rsidRDefault="00CA14AB" w:rsidP="00E00B35">
      <w:pPr>
        <w:spacing w:after="0" w:line="312" w:lineRule="auto"/>
        <w:rPr>
          <w:szCs w:val="20"/>
        </w:rPr>
      </w:pPr>
      <w:r w:rsidRPr="00E00B35">
        <w:rPr>
          <w:szCs w:val="20"/>
        </w:rPr>
        <w:t>Celem realizacji zadania publicznego była aktywizacja młodzieży gimnazjalnej i licealnej w działania edukacyjno-kulturalne oraz rozwijanie zdolności muzycznych młodzieży w Kameralnym Chórze ANGELUS działającym przy Liceum Ogólnokształcącym nr IX w Zespole Szkół Ogólnokształcących nr 3 we Wrocławiu.</w:t>
      </w:r>
    </w:p>
    <w:p w:rsidR="00CA14AB" w:rsidRPr="00E00B35" w:rsidRDefault="00CA14AB" w:rsidP="00E00B35">
      <w:pPr>
        <w:spacing w:after="0" w:line="312" w:lineRule="auto"/>
        <w:rPr>
          <w:szCs w:val="20"/>
        </w:rPr>
      </w:pPr>
      <w:r w:rsidRPr="00E00B35">
        <w:rPr>
          <w:szCs w:val="20"/>
        </w:rPr>
        <w:t xml:space="preserve">W związku z sytuacją pandemiczną zadania przewidziane do realizacji w 2020 roku </w:t>
      </w:r>
      <w:r w:rsidRPr="00E00B35">
        <w:rPr>
          <w:szCs w:val="20"/>
        </w:rPr>
        <w:br/>
        <w:t xml:space="preserve">od kwietnia były zrealizowane w formie on-line z wykorzystaniem portalu Facebook </w:t>
      </w:r>
      <w:r w:rsidRPr="00E00B35">
        <w:rPr>
          <w:szCs w:val="20"/>
        </w:rPr>
        <w:br/>
        <w:t>oraz platformy zoom (zajęcia z emisji głosu, próby chóru, przedstawienie pantomimiczne, warsztaty perkusyjne, koordynacja projektu, działania promocyjne).</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Mamo, tato pobaw się ze mną – kontynuacja</w:t>
      </w:r>
    </w:p>
    <w:p w:rsidR="00CA14AB" w:rsidRPr="00E00B35" w:rsidRDefault="00CA14AB" w:rsidP="00E00B35">
      <w:pPr>
        <w:spacing w:after="0" w:line="312" w:lineRule="auto"/>
        <w:rPr>
          <w:szCs w:val="20"/>
        </w:rPr>
      </w:pPr>
      <w:r w:rsidRPr="00E00B35">
        <w:rPr>
          <w:szCs w:val="20"/>
        </w:rPr>
        <w:t xml:space="preserve">Okres realizacji: 14.01.2020 r. – 31.12.2020 r.  </w:t>
      </w:r>
      <w:r w:rsidRPr="00E00B35">
        <w:rPr>
          <w:szCs w:val="20"/>
        </w:rPr>
        <w:br/>
        <w:t>Liczba zawartych umów: 1</w:t>
      </w:r>
      <w:r w:rsidRPr="00E00B35">
        <w:rPr>
          <w:szCs w:val="20"/>
        </w:rPr>
        <w:br/>
        <w:t>Liczba odbiorców: 4 000</w:t>
      </w:r>
      <w:r w:rsidRPr="00E00B35">
        <w:rPr>
          <w:szCs w:val="20"/>
        </w:rPr>
        <w:br/>
        <w:t xml:space="preserve">Kwota dotacji: 90 000 zł </w:t>
      </w:r>
    </w:p>
    <w:p w:rsidR="00CA14AB" w:rsidRPr="00E00B35" w:rsidRDefault="00CA14AB" w:rsidP="00E00B35">
      <w:pPr>
        <w:spacing w:after="0" w:line="312" w:lineRule="auto"/>
        <w:rPr>
          <w:szCs w:val="20"/>
        </w:rPr>
      </w:pPr>
      <w:r w:rsidRPr="00E00B35">
        <w:rPr>
          <w:szCs w:val="20"/>
        </w:rPr>
        <w:t>Celem realizacji zadania publicznego było wzbogacenie oferty aktywnego sposobu spędzania czasu wolnego we Wrocławiu. Wzbogacenie rodziców o nowe doświadczenia w spędzaniu wolnego czasu z dziećmi, stworzenie dzieciom możliwości zabaw z rodzicami, stworzenie rodzicom warunków do poznania przyjaciół swego dziecka i ich rodzin, integracja rodziny, integracja rodziców/szkoły w działaniach na rzecz dzieci.</w:t>
      </w:r>
    </w:p>
    <w:p w:rsidR="00CA14AB" w:rsidRPr="00E00B35" w:rsidRDefault="00CA14AB" w:rsidP="00E00B35">
      <w:pPr>
        <w:spacing w:after="0" w:line="312" w:lineRule="auto"/>
        <w:rPr>
          <w:szCs w:val="20"/>
        </w:rPr>
      </w:pPr>
      <w:r w:rsidRPr="00E00B35">
        <w:rPr>
          <w:szCs w:val="20"/>
        </w:rPr>
        <w:t>Sytuacja pandemiczna nie wpłynęła na realizację zadania</w:t>
      </w:r>
      <w:r w:rsidR="00E41C3A" w:rsidRPr="00E00B35">
        <w:rPr>
          <w:szCs w:val="20"/>
        </w:rPr>
        <w:t>.</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Organizacja i prowadzenie zajęć modelarskich dla dzieci i młodzieży w okolicy ul. Kamieńskiego we Wrocławiu</w:t>
      </w:r>
    </w:p>
    <w:p w:rsidR="00CA14AB" w:rsidRPr="00E00B35" w:rsidRDefault="00CA14AB" w:rsidP="00E00B35">
      <w:pPr>
        <w:spacing w:after="0" w:line="312" w:lineRule="auto"/>
        <w:rPr>
          <w:szCs w:val="20"/>
        </w:rPr>
      </w:pPr>
      <w:r w:rsidRPr="00E00B35">
        <w:rPr>
          <w:szCs w:val="20"/>
        </w:rPr>
        <w:t>Okres realizacji: 15 kwietnia 2020 – 31 grudnia 2020 r.</w:t>
      </w:r>
      <w:r w:rsidRPr="00E00B35">
        <w:rPr>
          <w:szCs w:val="20"/>
        </w:rPr>
        <w:br/>
        <w:t>Liczba zawartych umów: 1</w:t>
      </w:r>
      <w:r w:rsidRPr="00E00B35">
        <w:rPr>
          <w:szCs w:val="20"/>
        </w:rPr>
        <w:br/>
        <w:t>Liczba odbiorców: min 15 osób</w:t>
      </w:r>
      <w:r w:rsidRPr="00E00B35">
        <w:rPr>
          <w:szCs w:val="20"/>
        </w:rPr>
        <w:br/>
        <w:t xml:space="preserve">Kwota dotacji: 287 000 zł </w:t>
      </w:r>
    </w:p>
    <w:p w:rsidR="00CA14AB" w:rsidRPr="00E00B35" w:rsidRDefault="00CA14AB" w:rsidP="00E00B35">
      <w:pPr>
        <w:spacing w:after="0" w:line="312" w:lineRule="auto"/>
        <w:rPr>
          <w:szCs w:val="20"/>
        </w:rPr>
      </w:pPr>
      <w:r w:rsidRPr="00E00B35">
        <w:rPr>
          <w:szCs w:val="20"/>
        </w:rPr>
        <w:t>Celem realizacji zadania publicznego były:</w:t>
      </w:r>
      <w:r w:rsidRPr="00E00B35">
        <w:rPr>
          <w:szCs w:val="20"/>
        </w:rPr>
        <w:br/>
        <w:t xml:space="preserve">Organizacja i przeprowadzenie raz w tygodniu zajęć modelarskich dla dzieci i młodzieży mieszkającej i/lub uczącej się we Wrocławiu. Zajęcia miały na celu rozwijać zdolności manualne, ukierunkowane na zainteresowanie przedmiotami technicznymi. Zajęcia były skierowane dla min 15 osób. </w:t>
      </w:r>
      <w:r w:rsidRPr="00E00B35">
        <w:rPr>
          <w:szCs w:val="20"/>
        </w:rPr>
        <w:br/>
        <w:t xml:space="preserve">W związku z wystąpieniem stanu pandemii zajęcia prowadzone były w formie on-line.  Na kanale YouTube były zamieszczane filmiki dotyczące konstruowania modeli. Zajęcia realizowane w ramach zadania w związku z pandemią Covid-19 realizowane były również w trybie on-line. Na kanale Youtube były umieszczane filmiki z instruktarzem do tworzenia modeli. </w:t>
      </w:r>
    </w:p>
    <w:p w:rsidR="00CA14AB" w:rsidRPr="00E00B35" w:rsidRDefault="00CA14AB" w:rsidP="00E00B35">
      <w:pPr>
        <w:spacing w:after="0" w:line="312" w:lineRule="auto"/>
        <w:rPr>
          <w:szCs w:val="20"/>
        </w:rPr>
      </w:pPr>
      <w:r w:rsidRPr="00E00B35">
        <w:rPr>
          <w:szCs w:val="20"/>
        </w:rPr>
        <w:t xml:space="preserve">przystosowanie lokalu do prowadzenia zajęć, poprzez wykonanie wymiany instalacji co (wymiana: pieca, instalacji z systemem wentylacyjnym i  kominowym, grzejników), doprowadzenie gazu do budynku, remont kotłowni, prace towarzyszące.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 xml:space="preserve">Organizacja i przeprowadzenie półkoloni letnich dla dzieci i młodzieży – lato w mieście 2020   </w:t>
      </w:r>
    </w:p>
    <w:p w:rsidR="00CA14AB" w:rsidRPr="00E00B35" w:rsidRDefault="00CA14AB" w:rsidP="00E00B35">
      <w:pPr>
        <w:spacing w:after="0" w:line="312" w:lineRule="auto"/>
        <w:rPr>
          <w:szCs w:val="20"/>
        </w:rPr>
      </w:pPr>
      <w:r w:rsidRPr="00E00B35">
        <w:rPr>
          <w:szCs w:val="20"/>
        </w:rPr>
        <w:t xml:space="preserve">Okres realizacji: 6 lipca 2020r. – 14.09.20220 r </w:t>
      </w:r>
      <w:r w:rsidRPr="00E00B35">
        <w:rPr>
          <w:szCs w:val="20"/>
        </w:rPr>
        <w:br/>
        <w:t>Liczba zawartych umów: 18</w:t>
      </w:r>
      <w:r w:rsidRPr="00E00B35">
        <w:rPr>
          <w:szCs w:val="20"/>
        </w:rPr>
        <w:br/>
        <w:t>Liczba odbiorców: 1137</w:t>
      </w:r>
      <w:r w:rsidRPr="00E00B35">
        <w:rPr>
          <w:szCs w:val="20"/>
        </w:rPr>
        <w:br/>
        <w:t>Kwota dotacji: 534 586,08</w:t>
      </w:r>
    </w:p>
    <w:p w:rsidR="00CA14AB" w:rsidRPr="00E00B35" w:rsidRDefault="00CA14AB" w:rsidP="00E00B35">
      <w:pPr>
        <w:spacing w:after="0" w:line="312" w:lineRule="auto"/>
        <w:rPr>
          <w:szCs w:val="20"/>
        </w:rPr>
      </w:pPr>
      <w:r w:rsidRPr="00E00B35">
        <w:rPr>
          <w:szCs w:val="20"/>
        </w:rPr>
        <w:t xml:space="preserve">Celem realizacji zadania publicznego było zapewnienie wypoczynku letniego w mieście w formie półkolonii dzieciom i młodzieży, mieszkającym we Wrocławiu i/lub uczęszczającym do wrocławskich przedszkoli, szkół podstawowych i ponadpodstawowych, gimnazjów oraz szkół ponadgimnazjalnych (z wyłączeniem szkół policealnych), głównie ze środowisk zagrożonych wykluczeniem społecznym, </w:t>
      </w:r>
      <w:r w:rsidRPr="00E00B35">
        <w:rPr>
          <w:szCs w:val="20"/>
        </w:rPr>
        <w:br/>
        <w:t>z uwzględnieniem zajęć programowych z zakresu profilaktyki antyalkoholowej i przeciwdziałania uzależnieniom.</w:t>
      </w:r>
    </w:p>
    <w:p w:rsidR="00CA14AB" w:rsidRPr="00E00B35" w:rsidRDefault="00CA14AB" w:rsidP="00E00B35">
      <w:pPr>
        <w:spacing w:after="0" w:line="312" w:lineRule="auto"/>
        <w:rPr>
          <w:szCs w:val="20"/>
        </w:rPr>
      </w:pPr>
      <w:r w:rsidRPr="00E00B35">
        <w:rPr>
          <w:szCs w:val="20"/>
        </w:rPr>
        <w:t xml:space="preserve">W związku z sytuacją pandemiczną Covid-19 półkolonie przeprowadzone były zgodnie z obowiązującymi przepisami oraz wytycznymi Głównego Inspektora Sanitarnego, Ministerstwa Zdrowia i Ministerstwa Edukacji Narodowej. </w:t>
      </w:r>
    </w:p>
    <w:p w:rsidR="00CA14AB" w:rsidRPr="00E00B35" w:rsidRDefault="00CA14AB" w:rsidP="00E00B35">
      <w:pPr>
        <w:spacing w:after="0" w:line="312" w:lineRule="auto"/>
        <w:rPr>
          <w:szCs w:val="20"/>
        </w:rPr>
      </w:pPr>
      <w:r w:rsidRPr="00E00B35">
        <w:rPr>
          <w:szCs w:val="20"/>
        </w:rPr>
        <w:t>Zajęcia wyrównawcze dla dzieci i młodzieży</w:t>
      </w:r>
    </w:p>
    <w:p w:rsidR="00CA14AB" w:rsidRPr="00E00B35" w:rsidRDefault="00CA14AB" w:rsidP="00E00B35">
      <w:pPr>
        <w:spacing w:after="0" w:line="312" w:lineRule="auto"/>
        <w:rPr>
          <w:szCs w:val="20"/>
        </w:rPr>
      </w:pPr>
      <w:r w:rsidRPr="00E00B35">
        <w:rPr>
          <w:szCs w:val="20"/>
        </w:rPr>
        <w:t>Okres realizacji: 2 stycznia 2018r. – 30 czerwca 2020 r. (umowa wieloletnia)</w:t>
      </w:r>
      <w:r w:rsidRPr="00E00B35">
        <w:rPr>
          <w:szCs w:val="20"/>
        </w:rPr>
        <w:br/>
        <w:t>Liczba zawartych umów: 1</w:t>
      </w:r>
      <w:r w:rsidRPr="00E00B35">
        <w:rPr>
          <w:szCs w:val="20"/>
        </w:rPr>
        <w:br/>
        <w:t xml:space="preserve">Liczba odbiorców: 47 </w:t>
      </w:r>
      <w:r w:rsidRPr="00E00B35">
        <w:rPr>
          <w:szCs w:val="20"/>
        </w:rPr>
        <w:br/>
        <w:t>Kwota dotacji: 15 000 zł (na lata 2018-2020 łącznie 75 000 zł)</w:t>
      </w:r>
    </w:p>
    <w:p w:rsidR="00CA14AB" w:rsidRPr="00E00B35" w:rsidRDefault="00CA14AB" w:rsidP="00E00B35">
      <w:pPr>
        <w:spacing w:after="0" w:line="312" w:lineRule="auto"/>
        <w:rPr>
          <w:szCs w:val="20"/>
        </w:rPr>
      </w:pPr>
      <w:r w:rsidRPr="00E00B35">
        <w:rPr>
          <w:szCs w:val="20"/>
        </w:rPr>
        <w:lastRenderedPageBreak/>
        <w:t xml:space="preserve">Celem realizacji zadania publicznego było wyrównywanie szans edukacyjnych dzieci i młodzieży oraz podnoszenie poziomu wiedzy i umiejętności z zakresu programów szkolnych poprzez organizację zajęć dodatkowych (pozalekcyjnych, pozaszkolnych) z przedmiotów szkolnych w szczególności z przedmiotów ścisłych. </w:t>
      </w:r>
    </w:p>
    <w:p w:rsidR="00CA14AB" w:rsidRPr="00E00B35" w:rsidRDefault="00CA14AB" w:rsidP="00E00B35">
      <w:pPr>
        <w:spacing w:after="0" w:line="312" w:lineRule="auto"/>
        <w:rPr>
          <w:szCs w:val="20"/>
        </w:rPr>
      </w:pPr>
      <w:r w:rsidRPr="00E00B35">
        <w:rPr>
          <w:szCs w:val="20"/>
        </w:rPr>
        <w:t>Zadanie zakładało realizację zajęć w siedzibie organizacji jednak w związku z epidemią COVID-19 i wprowadzonymi obostrzeniami zajęcia wyrównawcze były prowadzone z formie on-line.</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Z Matematyką Za Pan Brat – zajęcia dla dzieci i młodzieży z wykorzystaniem gier planszowych</w:t>
      </w:r>
    </w:p>
    <w:p w:rsidR="00CA14AB" w:rsidRPr="00E00B35" w:rsidRDefault="00CA14AB" w:rsidP="00E00B35">
      <w:pPr>
        <w:spacing w:after="0" w:line="312" w:lineRule="auto"/>
        <w:rPr>
          <w:szCs w:val="20"/>
        </w:rPr>
      </w:pPr>
      <w:r w:rsidRPr="00E00B35">
        <w:rPr>
          <w:szCs w:val="20"/>
        </w:rPr>
        <w:t>Okres realizacji: 24 luty 2020 r. – 31 grudnia 2021 r.</w:t>
      </w:r>
      <w:r w:rsidRPr="00E00B35">
        <w:rPr>
          <w:szCs w:val="20"/>
        </w:rPr>
        <w:br/>
        <w:t>Liczba zawartych umów: 1</w:t>
      </w:r>
      <w:r w:rsidRPr="00E00B35">
        <w:rPr>
          <w:szCs w:val="20"/>
        </w:rPr>
        <w:br/>
        <w:t>Liczba odbiorców: 72</w:t>
      </w:r>
      <w:r w:rsidRPr="00E00B35">
        <w:rPr>
          <w:szCs w:val="20"/>
        </w:rPr>
        <w:br/>
        <w:t>Kwota dotacji: 30 000 zł (na lata 2020-2021 łącznie 60 000 zł)</w:t>
      </w:r>
    </w:p>
    <w:p w:rsidR="00CA14AB" w:rsidRPr="00E00B35" w:rsidRDefault="00CA14AB" w:rsidP="00E00B35">
      <w:pPr>
        <w:spacing w:after="0" w:line="312" w:lineRule="auto"/>
        <w:rPr>
          <w:szCs w:val="20"/>
        </w:rPr>
      </w:pPr>
      <w:r w:rsidRPr="00E00B35">
        <w:rPr>
          <w:szCs w:val="20"/>
        </w:rPr>
        <w:t xml:space="preserve">Celem realizacji zadania publicznego była popularyzacja wśród dzieci i młodzieży przedmiotów ścisłych ( w szczególności matematyki ) i jej zastosowań poprzez przeprowadzenie dodatkowych zajęć pozalekcyjnych z wykorzystaniem jako narzędzia edukacyjnego nowoczesnych gier planszowych.  </w:t>
      </w:r>
    </w:p>
    <w:p w:rsidR="00CA14AB" w:rsidRPr="00E00B35" w:rsidRDefault="00CA14AB" w:rsidP="00E00B35">
      <w:pPr>
        <w:spacing w:after="0" w:line="312" w:lineRule="auto"/>
        <w:rPr>
          <w:szCs w:val="20"/>
        </w:rPr>
      </w:pPr>
      <w:r w:rsidRPr="00E00B35">
        <w:rPr>
          <w:szCs w:val="20"/>
        </w:rPr>
        <w:t xml:space="preserve">W związku z epidemią COVID-19 i wprowadzonymi obostrzeniami, w tym zamknięciem szkół zajęcia odbywały się w siedzibie organizacji przy zachowaniu wszelkich wytycznych Ministerstwa Zdrowia, Głównego Inspektora Sanitarnego oraz Prezesa Rady Ministrów </w:t>
      </w:r>
      <w:r w:rsidRPr="00E00B35">
        <w:rPr>
          <w:szCs w:val="20"/>
        </w:rPr>
        <w:br/>
        <w:t xml:space="preserve">z zachowaniem wprowadzonych obostrzeń lub on-line przy wykorzystaniu programów </w:t>
      </w:r>
      <w:r w:rsidRPr="00E00B35">
        <w:rPr>
          <w:szCs w:val="20"/>
        </w:rPr>
        <w:br/>
        <w:t xml:space="preserve">i stron do tego przeznaczonych.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Przegląd Kultury Studenckiej 2020</w:t>
      </w:r>
    </w:p>
    <w:p w:rsidR="00CA14AB" w:rsidRPr="00E00B35" w:rsidRDefault="00CA14AB" w:rsidP="00E00B35">
      <w:pPr>
        <w:spacing w:after="0" w:line="312" w:lineRule="auto"/>
        <w:rPr>
          <w:szCs w:val="20"/>
        </w:rPr>
      </w:pPr>
      <w:r w:rsidRPr="00E00B35">
        <w:rPr>
          <w:szCs w:val="20"/>
        </w:rPr>
        <w:t>Okres realizacji: : 1 luty 2020 r. – 31 grudnia 2020</w:t>
      </w:r>
      <w:r w:rsidRPr="00E00B35">
        <w:rPr>
          <w:szCs w:val="20"/>
        </w:rPr>
        <w:br/>
        <w:t>Ilość zawartych umów: 1</w:t>
      </w:r>
      <w:r w:rsidRPr="00E00B35">
        <w:rPr>
          <w:szCs w:val="20"/>
        </w:rPr>
        <w:br/>
        <w:t>Ilość odbiorców: ok. 8373 osób oraz 7468 biorących udział w transmisji online</w:t>
      </w:r>
      <w:r w:rsidRPr="00E00B35">
        <w:rPr>
          <w:szCs w:val="20"/>
        </w:rPr>
        <w:br/>
        <w:t>Kwota dotacji: 1.599 600 zł.</w:t>
      </w:r>
    </w:p>
    <w:p w:rsidR="00CA14AB" w:rsidRPr="00E00B35" w:rsidRDefault="00CA14AB" w:rsidP="00E00B35">
      <w:pPr>
        <w:spacing w:after="0" w:line="312" w:lineRule="auto"/>
        <w:rPr>
          <w:szCs w:val="20"/>
        </w:rPr>
      </w:pPr>
      <w:r w:rsidRPr="00E00B35">
        <w:rPr>
          <w:szCs w:val="20"/>
        </w:rPr>
        <w:t xml:space="preserve">Celem realizacji zadania publicznego była organizacja i przeprowadzenie Przeglądu Kultury Studenckiej, prezentacja różnorodnych form twórczości wrocławskich artystów wywodzących się ze środowisk studenckich wraz z przygotowaniem budynków i terenu wokół obiektu po byłej Zajezdni Tramwajowej Dąbie przy ul. Tramwajowej 1-3. Podczas przeglądu przedstawione zostały m. in.  sztuki wizualne (rysunek, malarstwo, instalacje artystyczne oraz fotografia). Odbyły się koncerty, spektakle teatralne. Organizacja wydarzenia przyczyniła się do budowania poczucia własnej wartości i wyższej samooceny wśród młodego pokolenia artystów poprzez prezentację własnej twórczości. </w:t>
      </w:r>
      <w:r w:rsidRPr="00E00B35">
        <w:rPr>
          <w:szCs w:val="20"/>
        </w:rPr>
        <w:br/>
        <w:t xml:space="preserve">Nastąpił wzrost poziomu aktywnego i świadomego uczestnictwa w życiu kulturalnym. </w:t>
      </w:r>
    </w:p>
    <w:p w:rsidR="00CA14AB" w:rsidRPr="00E00B35" w:rsidRDefault="00CA14AB" w:rsidP="00E00B35">
      <w:pPr>
        <w:spacing w:after="0" w:line="312" w:lineRule="auto"/>
        <w:rPr>
          <w:szCs w:val="20"/>
        </w:rPr>
      </w:pPr>
      <w:r w:rsidRPr="00E00B35">
        <w:rPr>
          <w:szCs w:val="20"/>
        </w:rPr>
        <w:t xml:space="preserve">Miejscem realizacji zadania publicznego była przestrzeń dawnej Zajezdni Tramwajowej Dąbie przy ul. Tramwajowej 1-3 gdzie obecnie funkcjonuje Centrum Kultury Akademickiej i Inicjatyw Lokalnych CZASOPRZESTRZEŃ. Przeprowadzone prace renowacyjne, modernizacyjne wraz z przygotowaniem odpowiedniej dokumentacji technicznej oraz dokonanie zakupów niezbędnych urządzeń przyczyniły się do zwiększenia możliwości </w:t>
      </w:r>
      <w:r w:rsidRPr="00E00B35">
        <w:rPr>
          <w:szCs w:val="20"/>
        </w:rPr>
        <w:lastRenderedPageBreak/>
        <w:t>organizacyjnych tego obiektu. Zostały usunięte awarie wadliwych instalacji i zwiększone zostało bezpieczeństwo w budynkach poprzez  modernizację instalacji PPOŻ.</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Aktywność społeczna promująca integrację międzypokoleniową</w:t>
      </w:r>
    </w:p>
    <w:p w:rsidR="00CA14AB" w:rsidRPr="00E00B35" w:rsidRDefault="00CA14AB" w:rsidP="00E00B35">
      <w:pPr>
        <w:spacing w:after="0" w:line="312" w:lineRule="auto"/>
        <w:rPr>
          <w:szCs w:val="20"/>
        </w:rPr>
      </w:pPr>
      <w:r w:rsidRPr="00E00B35">
        <w:rPr>
          <w:szCs w:val="20"/>
        </w:rPr>
        <w:t>Okres realizacji: 1 luty 2018 r. – 31 grudnia 2020 r. (umowa wieloletnia)</w:t>
      </w:r>
      <w:r w:rsidRPr="00E00B35">
        <w:rPr>
          <w:szCs w:val="20"/>
        </w:rPr>
        <w:br/>
        <w:t>Liczba zawartych umów: 1</w:t>
      </w:r>
      <w:r w:rsidRPr="00E00B35">
        <w:rPr>
          <w:szCs w:val="20"/>
        </w:rPr>
        <w:br/>
        <w:t>Liczba odbiorców: 1353</w:t>
      </w:r>
      <w:r w:rsidRPr="00E00B35">
        <w:rPr>
          <w:szCs w:val="20"/>
        </w:rPr>
        <w:br/>
        <w:t>Kwota dotacji: 100 000 zł (na lata 2018-2020 łącznie 300 000 zł)</w:t>
      </w:r>
    </w:p>
    <w:p w:rsidR="00CA14AB" w:rsidRPr="00E00B35" w:rsidRDefault="00CA14AB" w:rsidP="00E00B35">
      <w:pPr>
        <w:spacing w:after="0" w:line="312" w:lineRule="auto"/>
        <w:rPr>
          <w:szCs w:val="20"/>
        </w:rPr>
      </w:pPr>
      <w:r w:rsidRPr="00E00B35">
        <w:rPr>
          <w:szCs w:val="20"/>
        </w:rPr>
        <w:t>Celem realizacji zadania publicznego była integracja międzypokoleniowa wzmacniająca więzi rodziny, zwiększenie aktywności osób starszych z osiedli Gądów, Kuźniki, Nowy Dwór, pogłębienie wiedzy na temat zmian społecznych zachodzących wraz z wiekiem, wymiana doświadczeń międzypokoleniowych i wewnątrzpokoleniowych.</w:t>
      </w:r>
    </w:p>
    <w:p w:rsidR="00CA14AB" w:rsidRPr="00E00B35" w:rsidRDefault="00CA14AB" w:rsidP="00E00B35">
      <w:pPr>
        <w:spacing w:after="0" w:line="312" w:lineRule="auto"/>
        <w:rPr>
          <w:szCs w:val="20"/>
        </w:rPr>
      </w:pPr>
      <w:r w:rsidRPr="00E00B35">
        <w:rPr>
          <w:szCs w:val="20"/>
        </w:rPr>
        <w:t>Podczas realizacji zadania publicznego zaplanowano zajęcia aktywizujące dzieci, rodziców i dziadków, w tym warsztaty (m.in. muzyczne, plastyczne, taneczne, orgiami, scrapbokingu, majsterkowania, rękodzielnicze, śmiechoterapii), wieczorki taneczne, festyny, spotkania świąteczne, festiwal piosenki, nagranie płyt z piosenkami dzieci dla osób starszych.</w:t>
      </w:r>
    </w:p>
    <w:p w:rsidR="00CA14AB" w:rsidRPr="00E00B35" w:rsidRDefault="00CA14AB" w:rsidP="00E00B35">
      <w:pPr>
        <w:spacing w:after="0" w:line="312" w:lineRule="auto"/>
        <w:rPr>
          <w:szCs w:val="20"/>
        </w:rPr>
      </w:pPr>
      <w:r w:rsidRPr="00E00B35">
        <w:rPr>
          <w:szCs w:val="20"/>
        </w:rPr>
        <w:t xml:space="preserve">Celem realizacji zadania publicznego była również aktywizacja dzieci i młodzieży </w:t>
      </w:r>
      <w:r w:rsidRPr="00E00B35">
        <w:rPr>
          <w:szCs w:val="20"/>
        </w:rPr>
        <w:br/>
        <w:t>w działania kulturalne oraz zapewnienie pozaszkolnej edukacji muzycznej poprzez uczestnictwo dzieci i młodzieży w dodatkowych zajęciach muzyczno-wokalnych.</w:t>
      </w:r>
    </w:p>
    <w:p w:rsidR="00CA14AB" w:rsidRPr="00E00B35" w:rsidRDefault="00CA14AB" w:rsidP="00E00B35">
      <w:pPr>
        <w:spacing w:after="0" w:line="312" w:lineRule="auto"/>
        <w:rPr>
          <w:szCs w:val="20"/>
        </w:rPr>
      </w:pPr>
      <w:r w:rsidRPr="00E00B35">
        <w:rPr>
          <w:szCs w:val="20"/>
        </w:rPr>
        <w:t xml:space="preserve">Zadanie publiczne polegało na edukacji muzycznej uczniów szkół podstawowych </w:t>
      </w:r>
      <w:r w:rsidRPr="00E00B35">
        <w:rPr>
          <w:szCs w:val="20"/>
        </w:rPr>
        <w:br/>
        <w:t>i gimnazjów w zespole wokalnym KrzyKaśki w formie zajęć pozalekcyjnych, w tym m.in. organizacji i prowadzeniu zajęć wokalno-ruchowych w trzech grupach wiekowych oraz prezentacji dorobku zespołu w formie występów na festiwalach, konkursach i koncertach dla różnych grup społecznych od seniorów po imprezy dla dzieci.</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Przygotowanie oraz dystrybucja paczek żywnościowych dla potrzebujących mieszkańców Wrocławia</w:t>
      </w:r>
    </w:p>
    <w:p w:rsidR="00CA14AB" w:rsidRPr="00E00B35" w:rsidRDefault="00CA14AB" w:rsidP="00E00B35">
      <w:pPr>
        <w:spacing w:after="0" w:line="312" w:lineRule="auto"/>
        <w:rPr>
          <w:szCs w:val="20"/>
        </w:rPr>
      </w:pPr>
      <w:r w:rsidRPr="00E00B35">
        <w:rPr>
          <w:szCs w:val="20"/>
        </w:rPr>
        <w:t xml:space="preserve">Okres realizacji: 18 listopada 2020 r. – 31 grudnia 2020 r. </w:t>
      </w:r>
      <w:r w:rsidRPr="00E00B35">
        <w:rPr>
          <w:szCs w:val="20"/>
        </w:rPr>
        <w:br/>
        <w:t>Liczba zawartych umów: 7</w:t>
      </w:r>
      <w:r w:rsidRPr="00E00B35">
        <w:rPr>
          <w:szCs w:val="20"/>
        </w:rPr>
        <w:br/>
        <w:t>Liczba odbiorców: 5046</w:t>
      </w:r>
      <w:r w:rsidRPr="00E00B35">
        <w:rPr>
          <w:szCs w:val="20"/>
        </w:rPr>
        <w:br/>
        <w:t>Kwota dotacji: 392 460,00 zł.</w:t>
      </w:r>
    </w:p>
    <w:p w:rsidR="00CA14AB" w:rsidRPr="00E00B35" w:rsidRDefault="00CA14AB" w:rsidP="00E00B35">
      <w:pPr>
        <w:spacing w:after="0" w:line="312" w:lineRule="auto"/>
        <w:rPr>
          <w:szCs w:val="20"/>
        </w:rPr>
      </w:pPr>
      <w:r w:rsidRPr="00E00B35">
        <w:rPr>
          <w:szCs w:val="20"/>
        </w:rPr>
        <w:t>Celem realizacji zadania było wsparcie żywnościowe dla potrzebujących mieszkańców Wrocławia. Zadanie polegało na przygotowaniu paczek żywnościowych dla najuboższych i potrzebujących mieszkańców Wrocławia oraz ich dystrybucji. Paczki były przez oferenta dostarczane i przekazywane nieodpłatnie do wskazanych przez Miasto punktów, w których następnie odbywała się ich dystrybucja dla osób potrzebujących i/ lub były one dystrybuowane przez oferenta bezpośrednio osobom potrzebującym.</w:t>
      </w:r>
    </w:p>
    <w:p w:rsidR="00CA14AB" w:rsidRPr="00E00B35" w:rsidRDefault="00CA14AB" w:rsidP="00E00B35">
      <w:pPr>
        <w:spacing w:after="0" w:line="312" w:lineRule="auto"/>
        <w:rPr>
          <w:szCs w:val="20"/>
        </w:rPr>
      </w:pPr>
      <w:r w:rsidRPr="00E00B35">
        <w:rPr>
          <w:szCs w:val="20"/>
        </w:rPr>
        <w:t>W związku sytuacją pandemiczną Covid-19 działania realizowane były z zachowaniem wytycznych i zaleceń Głównego Inspektoratu Sanitarnego i Ministerstwa Zdrowia, w tym zasad bezpiecznego postępowania.</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 xml:space="preserve">Prowadzenie ośrodka pomocy dla osób nietrzeźwych zatrzymanych na terenie Wrocławia, w tym dla zagrożonych wykluczeniem społecznym wraz z działaniami motywacyjnymi i profilaktyczno-edukacyjnymi w </w:t>
      </w:r>
      <w:r w:rsidR="00E41C3A" w:rsidRPr="00E00B35">
        <w:rPr>
          <w:szCs w:val="20"/>
        </w:rPr>
        <w:t>zakresie problemów alkoholowych</w:t>
      </w:r>
    </w:p>
    <w:p w:rsidR="00CA14AB" w:rsidRPr="00E00B35" w:rsidRDefault="00CA14AB" w:rsidP="00E00B35">
      <w:pPr>
        <w:spacing w:after="0" w:line="312" w:lineRule="auto"/>
        <w:rPr>
          <w:szCs w:val="20"/>
        </w:rPr>
      </w:pPr>
      <w:r w:rsidRPr="00E00B35">
        <w:rPr>
          <w:szCs w:val="20"/>
        </w:rPr>
        <w:t xml:space="preserve">Okres realizacji: 01.01.2019 - 31.12.2021 (umowa wieloletnia) </w:t>
      </w:r>
      <w:r w:rsidRPr="00E00B35">
        <w:rPr>
          <w:szCs w:val="20"/>
        </w:rPr>
        <w:br/>
        <w:t>Ilość zawartych umów: 1</w:t>
      </w:r>
      <w:r w:rsidRPr="00E00B35">
        <w:rPr>
          <w:szCs w:val="20"/>
        </w:rPr>
        <w:br/>
        <w:t xml:space="preserve">Ilość odbiorców: 12 055 osób (w tym: 9 543 osoby przyjęte do WrOPON </w:t>
      </w:r>
      <w:r w:rsidRPr="00E00B35">
        <w:rPr>
          <w:szCs w:val="20"/>
        </w:rPr>
        <w:br/>
        <w:t>+ 1 195  osób to bezpłatne badanie stanu trzeźwości zainteresowanych osób +  1 317 osób to uczestnicy działań motywacyjno-edukacyjnych) w 2020 r.</w:t>
      </w:r>
    </w:p>
    <w:p w:rsidR="00CA14AB" w:rsidRPr="00E00B35" w:rsidRDefault="00CA14AB" w:rsidP="00E00B35">
      <w:pPr>
        <w:spacing w:after="0" w:line="312" w:lineRule="auto"/>
        <w:rPr>
          <w:szCs w:val="20"/>
        </w:rPr>
      </w:pPr>
      <w:r w:rsidRPr="00E00B35">
        <w:rPr>
          <w:szCs w:val="20"/>
        </w:rPr>
        <w:t xml:space="preserve">Kwota dotacji: dotacji udzielono na lata 2019-2021 w łącznej wysokości 5 915 000 zł, </w:t>
      </w:r>
      <w:r w:rsidRPr="00E00B35">
        <w:rPr>
          <w:szCs w:val="20"/>
        </w:rPr>
        <w:br/>
        <w:t>w tym w roku 2020 w kwocie 2 370 000 zł w ramach dwóch klasyfikacji budżetowych.</w:t>
      </w:r>
    </w:p>
    <w:p w:rsidR="00CA14AB" w:rsidRPr="00E00B35" w:rsidRDefault="00CA14AB" w:rsidP="00E00B35">
      <w:pPr>
        <w:spacing w:after="0" w:line="312" w:lineRule="auto"/>
        <w:rPr>
          <w:szCs w:val="20"/>
        </w:rPr>
      </w:pPr>
      <w:r w:rsidRPr="00E00B35">
        <w:rPr>
          <w:szCs w:val="20"/>
        </w:rPr>
        <w:t xml:space="preserve">W ramach realizacji zadania prowadzony był Wrocławski Ośrodek Pomocy Osobom Nietrzeźwym (WrOPON) przez organizację pozarządową pn. Stowarzyszenie Pomocy Wzajemnej im. Stefana Kardynała Wyszyńskiego. Ośrodek pełni ważne funkcje prowadzące do eliminowania zagrożeń jakie stwarzają osoby nietrzeźwe dla swojego zdrowia i życia lub innych osób poprzez przyjmowanie w celu wytrzeźwienia osób będących pod wpływem alkoholu, doprowadzonych na podstawie ustawy z dnia 26 października 1982 r. </w:t>
      </w:r>
      <w:r w:rsidRPr="00E00B35">
        <w:rPr>
          <w:szCs w:val="20"/>
        </w:rPr>
        <w:br/>
        <w:t xml:space="preserve">o wychowaniu w trzeźwości i przeciwdziałania alkoholizmowi oraz umożliwia kierowcom, sprawdzenie stanu trzeźwości poprzez bezpłatne badanie alkomatem. Poprzez swoje działania motywuje do zmiany negatywnych postaw </w:t>
      </w:r>
      <w:r w:rsidRPr="00E00B35">
        <w:rPr>
          <w:szCs w:val="20"/>
        </w:rPr>
        <w:br/>
        <w:t xml:space="preserve">i zachowań zdrowotnych i społecznych związanych z nadużywaniem alkoholu. </w:t>
      </w:r>
      <w:r w:rsidRPr="00E00B35">
        <w:rPr>
          <w:szCs w:val="20"/>
        </w:rPr>
        <w:br/>
        <w:t>Prowadzi kampanie informacyjne o dostępnych usługach: leczniczych, terapeutycznych, socjalnych na terenie Wrocławia. Udziela osobom bezdomnym nietrzeźwym lub zagrożonym wykluczeniem społecznym, pomocy w zakresie zapobiegania ryzykownym zachowaniom oraz niwelowania ich skutków oraz promuje styl życia wolny od alkoholu i nałogów, poprzez prowadzenie działań motywacyjnych i profilaktyczno-edukacyjnych w zakresie problemów alkoholowych.</w:t>
      </w:r>
      <w:r w:rsidRPr="00E00B35">
        <w:rPr>
          <w:szCs w:val="20"/>
        </w:rPr>
        <w:br/>
        <w:t>W tym roku duży wpływ na wykonanie planu dochodów miała epidemia koronawirusa ponieważ w okresie od 16 marca 2020 r. do 14 lipca 2020 r. Wrocławski Ośrodek Pomocy Osobom Nietrzeźwym (WrOPON) zawiesił przyjmowanie osób nietrzeźwych do działu – Izba Wytrzeźwień, w tym czasie Izba Wytrzeźwień obsługiwała osoby bezdomne dobrowolnie zgłaszające się do WrOPON, tworząc tymczasową noclegownię dla tych osób w okresie epidemii koronawirusa.</w:t>
      </w:r>
      <w:r w:rsidRPr="00E00B35">
        <w:rPr>
          <w:szCs w:val="20"/>
        </w:rPr>
        <w:br/>
        <w:t xml:space="preserve">Od dnia 15 lipca 2020 r. Ośrodek wznowił przyjmowanie lecz w ograniczonym zakresie, zgodnie z wytycznymi Państwowego  Powiatowego Inspektora Sanitarnego we Wrocławiu. </w:t>
      </w:r>
    </w:p>
    <w:p w:rsidR="00CA14AB" w:rsidRPr="00E00B35" w:rsidRDefault="00CA14AB" w:rsidP="00E00B35">
      <w:pPr>
        <w:spacing w:after="0" w:line="312" w:lineRule="auto"/>
        <w:rPr>
          <w:szCs w:val="20"/>
        </w:rPr>
      </w:pPr>
      <w:r w:rsidRPr="00E00B35">
        <w:rPr>
          <w:szCs w:val="20"/>
        </w:rPr>
        <w:t>Wysokość opłaty za pobyt we Wrocławskim Ośrodku Pomocy Osobom Nietrzeźwym w Dziale Izba Wytrzeźwień wynosiła 316,12 zł na podstawie nr XXI/583/20 z dnia 9 kwietnia 2020 r. Dochód Gminy Wrocław w 2020 roku z tytułu opłat za pobyt we Wrocławskim Ośrodku Pomocy Osobom Nietrzeźwym wynosił 467 284,14 zł w tym również odsetki od nieterminowych wpłat w wysokości 28 241,55 zł.</w:t>
      </w:r>
    </w:p>
    <w:p w:rsidR="00CA14AB" w:rsidRPr="00E00B35" w:rsidRDefault="00CA14AB" w:rsidP="00E00B35">
      <w:pPr>
        <w:spacing w:after="0" w:line="312" w:lineRule="auto"/>
        <w:rPr>
          <w:szCs w:val="20"/>
        </w:rPr>
      </w:pPr>
      <w:r w:rsidRPr="00E00B35">
        <w:rPr>
          <w:szCs w:val="20"/>
        </w:rPr>
        <w:lastRenderedPageBreak/>
        <w:t xml:space="preserve">W  2020 roku Wrocławski Ośrodek Pomocy Osobom Nietrzeźwym udzielił następującej pomocy osobom nietrzeźwym lub szukających wsparcia </w:t>
      </w:r>
      <w:r w:rsidRPr="00E00B35">
        <w:rPr>
          <w:szCs w:val="20"/>
        </w:rPr>
        <w:br/>
        <w:t>w rozwiązaniu problemu alkoholowego oraz osobom bezdomnym:</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 xml:space="preserve">Łączna ilość przyjętych osób do WrOPON –  9 543 osoby (w tym 182 odmowy) wraz  z osobami bezdomnymi z Działu Osób Bezdomnych WrOPON; </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 xml:space="preserve">Do Działu Izba Wytrzeźwień w WrOPON przyjęto  3 106 osób; </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Do Działu Osób Bezdomnych WrOPON  przyjęto 6 437 osób bezdomnych z czego:</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2 143 osoby bezdomne skorzystały z kąpieli (zabiegi higieniczno-sanitarne);</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403 osoby bezdomne skorzystały z czystej odzieży/butów;</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3 552 osoby bezdomne skorzystały z ciepłych posiłków dostarczonych z zewnątrz albo z zup ekspresowych przygotowywanych przez personel WrOPON;</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Z działań motywacyjno-terapeutycznych skorzystało ogółem 1 317  osób (rozm</w:t>
      </w:r>
      <w:r w:rsidR="00E41C3A" w:rsidRPr="00E00B35">
        <w:rPr>
          <w:szCs w:val="20"/>
        </w:rPr>
        <w:t>owy motywacyjno-edukacyjne);</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Psychoterapeutka przeprowadziła 211 spotkań o charakterze diagnostyczno-terapeutycznym. Dodatkowo dla osób zainteresowanych zostały przeprowadzone 72 godziny sesji terapeutycznych oraz 97 godzin – on Line - super wizji dla pracowników  w okresie po 16 marca 2020 r.  po zawieszeniu działalności Działu-Izba Wytrzeźwień;</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Warsztaty profilaktyki alkoholowej odbyły się 1 raz dla 7 osób z Aresztu Śledczego we Wrocławiu w dniu 27 stycznia 2020 r. Od dnia 16 marca 2020 r. do 31 grudnia 2020 r. z uwagi na epidemię koronawirusa zostało zawieszone dalsze przeprowadzanie warsztatów;</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 xml:space="preserve">We WrOPON, na podstawie Porozumienia nr 4/2017 z dnia 27 lipca 2017 r. zawartego z Komendantem Wojewódzkim Policji, przeprowadzono przez lekarzy 1 713  badań do (PdOZ) dla potrzeb Policji, co ma znaczenie dla bezpieczeństwa miasta, ponieważ dzięki temu Policja oszczędza wiele godzin pracy, które mogą być wykorzystane dla interwencji na terenie Wrocławia. </w:t>
      </w:r>
    </w:p>
    <w:p w:rsidR="00CA14AB" w:rsidRPr="00E00B35" w:rsidRDefault="00CA14AB" w:rsidP="00E00B35">
      <w:pPr>
        <w:spacing w:after="0" w:line="312" w:lineRule="auto"/>
        <w:rPr>
          <w:szCs w:val="20"/>
        </w:rPr>
      </w:pPr>
      <w:r w:rsidRPr="00E00B35">
        <w:rPr>
          <w:szCs w:val="20"/>
        </w:rPr>
        <w:t>Od  dnia 16 marca 2020 r. do dnia 15 lipca 2020 r. z uwagi na epidemię koronawirusa zawieszone były badania do PdOZ;</w:t>
      </w:r>
      <w:r w:rsidRPr="00E00B35">
        <w:rPr>
          <w:szCs w:val="20"/>
        </w:rPr>
        <w:br/>
        <w:t>Do WrOPON zgłosiło się 1 195 osób na dokonanie bezpłatnych badań stanu trzeźwości. Od  dnia 16 marca 2020 r. do dnia 15 lipca 2020  r.  z uwagi na epidemię koronawirusa zawieszone były badania na alkomacie;</w:t>
      </w:r>
    </w:p>
    <w:p w:rsidR="00CA14AB" w:rsidRPr="00E00B35" w:rsidRDefault="00CA14AB" w:rsidP="00E00B35">
      <w:pPr>
        <w:spacing w:after="0" w:line="312" w:lineRule="auto"/>
        <w:rPr>
          <w:szCs w:val="20"/>
        </w:rPr>
      </w:pPr>
      <w:r w:rsidRPr="00E00B35">
        <w:rPr>
          <w:szCs w:val="20"/>
        </w:rPr>
        <w:t>Przedstawiciel WrOPON prezentował działalność tej placówki:</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 xml:space="preserve">na szkoleniu w dniu 30 stycznia 2020 r., które przeprowadził dla aplikantów kuratorskich w Sądzie Okręgowym we Wrocławiu na temat problematyki osób uzależnionych w kontekście ustawy o wychowaniu </w:t>
      </w:r>
      <w:r w:rsidRPr="00E00B35">
        <w:rPr>
          <w:szCs w:val="20"/>
        </w:rPr>
        <w:br/>
        <w:t>w trzeźwości i przeciwdziałaniu alkoholizmowi;</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 xml:space="preserve">podczas rozmów przeprowadzanych z Izbami Wytrzeźwień z Poznania, Legnicy i Gdańska w sprawie złożenia do 23 marca 2020 r. dot. petycji </w:t>
      </w:r>
      <w:r w:rsidRPr="00E00B35">
        <w:rPr>
          <w:szCs w:val="20"/>
        </w:rPr>
        <w:br/>
        <w:t xml:space="preserve">(wg wzoru opracowanego we WrOPON) w sprawie zmiany w ustawie </w:t>
      </w:r>
      <w:r w:rsidRPr="00E00B35">
        <w:rPr>
          <w:szCs w:val="20"/>
        </w:rPr>
        <w:br/>
        <w:t xml:space="preserve">o wychowaniu w trzeźwości i przeciwdziałaniu alkoholizmowi. </w:t>
      </w:r>
    </w:p>
    <w:p w:rsidR="00544448" w:rsidRPr="00E00B35" w:rsidRDefault="00544448" w:rsidP="00E00B35">
      <w:pPr>
        <w:spacing w:after="0" w:line="312" w:lineRule="auto"/>
        <w:rPr>
          <w:szCs w:val="20"/>
        </w:rPr>
      </w:pPr>
    </w:p>
    <w:p w:rsidR="00E41C3A" w:rsidRPr="00E00B35" w:rsidRDefault="00CA14AB" w:rsidP="00E00B35">
      <w:pPr>
        <w:spacing w:after="0" w:line="312" w:lineRule="auto"/>
        <w:rPr>
          <w:szCs w:val="20"/>
        </w:rPr>
      </w:pPr>
      <w:r w:rsidRPr="00E00B35">
        <w:rPr>
          <w:szCs w:val="20"/>
        </w:rPr>
        <w:t>Lekarze dyżurni zatrudnieni w WrOPON w 2020 roku:</w:t>
      </w:r>
    </w:p>
    <w:p w:rsidR="00E41C3A" w:rsidRPr="00E00B35" w:rsidRDefault="00CA14AB" w:rsidP="00BC64AB">
      <w:pPr>
        <w:pStyle w:val="Akapitzlist"/>
        <w:numPr>
          <w:ilvl w:val="0"/>
          <w:numId w:val="157"/>
        </w:numPr>
        <w:spacing w:after="0" w:line="312" w:lineRule="auto"/>
        <w:ind w:left="426" w:hanging="426"/>
        <w:rPr>
          <w:szCs w:val="20"/>
        </w:rPr>
      </w:pPr>
      <w:r w:rsidRPr="00E00B35">
        <w:rPr>
          <w:szCs w:val="20"/>
        </w:rPr>
        <w:lastRenderedPageBreak/>
        <w:t>w 239 przypadkach skierowali osoby doprowadzone do wytrzeźwienia do szpitali -  dyspozycje badań i pogorszenie stanu zdrowia;</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w 346 przypadkach podano osobom doprowadzonym do wytrzeźwienia leki.</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Program na rzecz Romów Rumuńskich - Mieszkańców Wrocławia</w:t>
      </w:r>
    </w:p>
    <w:p w:rsidR="00CA14AB" w:rsidRPr="00E00B35" w:rsidRDefault="00CA14AB" w:rsidP="00E00B35">
      <w:pPr>
        <w:spacing w:after="0" w:line="312" w:lineRule="auto"/>
        <w:rPr>
          <w:szCs w:val="20"/>
        </w:rPr>
      </w:pPr>
      <w:r w:rsidRPr="00E00B35">
        <w:rPr>
          <w:szCs w:val="20"/>
        </w:rPr>
        <w:t>Okres realizacji: 1 lipca 2018 r. – 31 grudnia 2020 r. (umowa wieloletnia)</w:t>
      </w:r>
      <w:r w:rsidRPr="00E00B35">
        <w:rPr>
          <w:szCs w:val="20"/>
        </w:rPr>
        <w:br/>
        <w:t>Liczba zawartych umów: 1</w:t>
      </w:r>
      <w:r w:rsidRPr="00E00B35">
        <w:rPr>
          <w:szCs w:val="20"/>
        </w:rPr>
        <w:br/>
        <w:t xml:space="preserve">Liczba odbiorców: 90 osób  </w:t>
      </w:r>
      <w:r w:rsidRPr="00E00B35">
        <w:rPr>
          <w:szCs w:val="20"/>
        </w:rPr>
        <w:br/>
        <w:t>Kwota dotacji:  1 715 300 zł (w latach 2018 – 2020: 4 271 600)</w:t>
      </w:r>
    </w:p>
    <w:p w:rsidR="00CA14AB" w:rsidRPr="00E00B35" w:rsidRDefault="00CA14AB" w:rsidP="00E00B35">
      <w:pPr>
        <w:spacing w:after="0" w:line="312" w:lineRule="auto"/>
        <w:rPr>
          <w:szCs w:val="20"/>
        </w:rPr>
      </w:pPr>
      <w:r w:rsidRPr="00E00B35">
        <w:rPr>
          <w:szCs w:val="20"/>
        </w:rPr>
        <w:t xml:space="preserve">Celem realizacji zadania publicznego było przygotowanie Romów rumuńskich </w:t>
      </w:r>
      <w:r w:rsidRPr="00E00B35">
        <w:rPr>
          <w:szCs w:val="20"/>
        </w:rPr>
        <w:br/>
        <w:t xml:space="preserve">do samodzielnego funkcjonowania wśród mieszkańców Wrocławia poprzez m.in. prowadzenie mieszkań treningowych, wsparcie asystenckie w kierunku usamodzielnienia rodzin, edukację dzieci i dorosłych, aktywizację zawodową i społeczną, integrację </w:t>
      </w:r>
      <w:r w:rsidRPr="00E00B35">
        <w:rPr>
          <w:szCs w:val="20"/>
        </w:rPr>
        <w:br/>
        <w:t>ze społecznością lokalną w nowym miejscu zamieszkania.</w:t>
      </w:r>
    </w:p>
    <w:p w:rsidR="00CA14AB" w:rsidRPr="00E00B35" w:rsidRDefault="00CA14AB" w:rsidP="00E00B35">
      <w:pPr>
        <w:spacing w:after="0" w:line="312" w:lineRule="auto"/>
        <w:rPr>
          <w:szCs w:val="20"/>
        </w:rPr>
      </w:pPr>
      <w:r w:rsidRPr="00E00B35">
        <w:rPr>
          <w:szCs w:val="20"/>
        </w:rPr>
        <w:t xml:space="preserve">Realizacja zadania polegała na: </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Kontynuacji wdrażania kompleksowej pomocy na rzecz Romów rumuńskich mieszkańców Wrocławia składającego się z następujących komponentów: prowadzenia i utrzymania mieszkań treningowych dla rodzin Romów rumuńskich, asystenturze zmierzającej do usamodzielnienia m.in. poprzez: zamieszkanie poza terenem koczowiska w ramach mieszkań/ domów treningowych, uzyskania przez nich samodzielności i niezależności finansowej i społecznej; aktywizacji zawodowej Romów rumuńskich; uregulowaniu niezbędnych kwestii prawnych związanych m.in. z ich pobytem w Polsce, posiadanymi dokumentami, ubezpieczeniem, pracą; objęciu edukacją powszechną dzieci romskich; edukacji zawodową dorosłych, działaniach integracyjnych, wkluczeniu do kultury i wykorzystaniu platform integracyjnych; integracji ze społecznością lokalną w nowym miejscu zamieszkania emancypacji demokratycznej, kulturowej i zawodowej służących podtrzymywaniu pozytywnych praktyk kulturowych, samoorganizacji w celu reprezentacji i samopomocy i wspieraniu alternatywnych form zatrudnienia;</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działaniach międzysektorowych zespołów w ramach podejmowanych działań na rzecz wsparcia Romów rumuńskich mieszkańców Wrocławia,</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upowszechnianiu dobrych praktyk/modelu i opracowaniu rekomendacji dla Gminy Wrocław w zakresie “Pilotażowego Programu na rzecz Romów rumuńskich mieszkańców Wrocławia”</w:t>
      </w:r>
      <w:r w:rsidR="00E41C3A" w:rsidRPr="00E00B35">
        <w:rPr>
          <w:szCs w:val="20"/>
        </w:rPr>
        <w:t>.</w:t>
      </w:r>
    </w:p>
    <w:p w:rsidR="00CA14AB" w:rsidRPr="00E00B35" w:rsidRDefault="00CA14AB" w:rsidP="00E00B35">
      <w:pPr>
        <w:spacing w:after="0" w:line="312" w:lineRule="auto"/>
        <w:rPr>
          <w:szCs w:val="20"/>
        </w:rPr>
      </w:pPr>
      <w:r w:rsidRPr="00E00B35">
        <w:rPr>
          <w:szCs w:val="20"/>
        </w:rPr>
        <w:t>W związku z sytuacją pandemiczną zespół pracujący nad realizacją projektu wykonywał swoje obowiązki w trybie zdalnym. Ponadto niezbędne okazało się wsparcie uczniów, rodziców i nauczycieli w procesie nauczania zdalnego poprzez wdrożenie i monitorowanie podjętych działań takich jak: odbiór przez ucznia drukowanych przez nauczycieli kart zadań, pomoc przy odrabianiu lekcji, zainstalowanie i nauka obsługi programu Teams.</w:t>
      </w:r>
    </w:p>
    <w:p w:rsidR="00544448" w:rsidRPr="00E00B35" w:rsidRDefault="00544448" w:rsidP="00E00B35">
      <w:pPr>
        <w:spacing w:after="0" w:line="312" w:lineRule="auto"/>
        <w:rPr>
          <w:rStyle w:val="Nagwek5Znak"/>
          <w:szCs w:val="20"/>
        </w:rPr>
      </w:pPr>
    </w:p>
    <w:p w:rsidR="00CA14AB" w:rsidRPr="00E00B35" w:rsidRDefault="00CA14AB" w:rsidP="00E00B35">
      <w:pPr>
        <w:spacing w:after="0" w:line="312" w:lineRule="auto"/>
        <w:rPr>
          <w:rFonts w:eastAsia="font415"/>
          <w:b/>
          <w:szCs w:val="20"/>
        </w:rPr>
      </w:pPr>
      <w:r w:rsidRPr="00E00B35">
        <w:rPr>
          <w:rStyle w:val="Nagwek5Znak"/>
          <w:szCs w:val="20"/>
        </w:rPr>
        <w:t>Mikrogranty</w:t>
      </w:r>
      <w:r w:rsidR="00E41C3A" w:rsidRPr="00E00B35">
        <w:rPr>
          <w:rStyle w:val="Nagwek5Znak"/>
          <w:szCs w:val="20"/>
        </w:rPr>
        <w:br/>
      </w:r>
      <w:r w:rsidRPr="00E00B35">
        <w:rPr>
          <w:rStyle w:val="Nagwek5Znak"/>
          <w:szCs w:val="20"/>
        </w:rPr>
        <w:br/>
      </w:r>
      <w:r w:rsidRPr="00E00B35">
        <w:rPr>
          <w:szCs w:val="20"/>
        </w:rPr>
        <w:t>Okres realizacji: 7 stycznia 2020 – 31 grudnia 2022 (umowa wieloletnia)</w:t>
      </w:r>
      <w:r w:rsidRPr="00E00B35">
        <w:rPr>
          <w:szCs w:val="20"/>
        </w:rPr>
        <w:br/>
      </w:r>
      <w:r w:rsidRPr="00E00B35">
        <w:rPr>
          <w:szCs w:val="20"/>
        </w:rPr>
        <w:lastRenderedPageBreak/>
        <w:t>Liczba zawartych umów: 1</w:t>
      </w:r>
      <w:r w:rsidRPr="00E00B35">
        <w:rPr>
          <w:szCs w:val="20"/>
        </w:rPr>
        <w:br/>
        <w:t xml:space="preserve">Liczba projektów w ramach ścieżki NGO i młodzieżowej: 79 </w:t>
      </w:r>
      <w:r w:rsidRPr="00E00B35">
        <w:rPr>
          <w:szCs w:val="20"/>
        </w:rPr>
        <w:br/>
        <w:t>Kwota dotacji:  560 000 zł (w latach 2020 – 2022: 1 680 000)</w:t>
      </w:r>
    </w:p>
    <w:p w:rsidR="00CA14AB" w:rsidRPr="00E00B35" w:rsidRDefault="00CA14AB" w:rsidP="00E00B35">
      <w:pPr>
        <w:spacing w:after="0" w:line="312" w:lineRule="auto"/>
        <w:rPr>
          <w:szCs w:val="20"/>
        </w:rPr>
      </w:pPr>
      <w:r w:rsidRPr="00E00B35">
        <w:rPr>
          <w:szCs w:val="20"/>
        </w:rPr>
        <w:t>Celem realizacji zadania publicznego było wzmocnienie postaw obywatelskich społeczności lokalnych poprzez aktywne uczestnictwo w programie organizacji pozarządowych oraz młodzieżowych grup nieformalnych. Mikrogranty umożliwiły realizację inicjatyw społecznych w lokalnych środowiskach, oraz aktywizowały  mieszkańców Wrocławia w zakresie rozwiązywania problemów i podnoszenia jakości życia społeczności lokalnej, oraz promowały Wrocławski Budżet Obywatelski przez zwiększanie wykorzystania inwestycji zrealizowanych lub wybranych w jego ramach. Dzięki programowi mieszkańcy i mieszkanki Wrocławia mogli realizować swoje pomysły na działania z zakresu animacji, aktywizacji społecznej, rekreacji i edukacji, związane z wszystkimi dziedzinami sztuki oraz inne o charakterze kulturotwórczym i więziotwórczym. Celem programu było umożliwienie zdobycia i rozwój umiejętności niezbędnych do skutecznego wpływu na miasto, prowadzenia oddolnych działań z sąsiadami i sąsiadkami, a także zachęcenie do kreatywnej dyskusji i wymiany poglądów na tematy istotne dla lokalnych społeczności. Istotne było wykorzystanie potencjału przestrzenno funkcjonalnego wrocławskich osiedli, dlatego należy zwrócić uwagę na aktywizację miejsc położonych dalej od ścisłego centrum miasta. W ścieżce NGO w 2020 r. zrealizowano 33 projekty, natomiast w ramach ścieżki młodzieżowej 46 projektów. W związku z Covid-19 część projektów została zrealizowanych „na żywo”,  część w formule „łączonej” (hybrydowej), a część w formie online.</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Klubowe Centra Aktywności Dzieci i Młodzieży</w:t>
      </w:r>
    </w:p>
    <w:p w:rsidR="00CA14AB" w:rsidRPr="00E00B35" w:rsidRDefault="00CA14AB" w:rsidP="00E00B35">
      <w:pPr>
        <w:spacing w:after="0" w:line="312" w:lineRule="auto"/>
        <w:rPr>
          <w:szCs w:val="20"/>
        </w:rPr>
      </w:pPr>
      <w:r w:rsidRPr="00E00B35">
        <w:rPr>
          <w:szCs w:val="20"/>
        </w:rPr>
        <w:t>Okres realizacji: 1 stycznia 2020 r. – 31 grudnia 2021 r.  (umowy wieloletnie)</w:t>
      </w:r>
      <w:r w:rsidRPr="00E00B35">
        <w:rPr>
          <w:szCs w:val="20"/>
        </w:rPr>
        <w:br/>
        <w:t>Liczba zawartych umów: 18</w:t>
      </w:r>
      <w:r w:rsidRPr="00E00B35">
        <w:rPr>
          <w:szCs w:val="20"/>
        </w:rPr>
        <w:br/>
        <w:t>Liczba odbiorców: 2234</w:t>
      </w:r>
      <w:r w:rsidRPr="00E00B35">
        <w:rPr>
          <w:szCs w:val="20"/>
        </w:rPr>
        <w:br/>
        <w:t>Kwota dotacji: 1 300 000 zł (na lata 2020-2021 łącznie 2 600 000 zł)</w:t>
      </w:r>
    </w:p>
    <w:p w:rsidR="00CA14AB" w:rsidRPr="00E00B35" w:rsidRDefault="00CA14AB" w:rsidP="00E00B35">
      <w:pPr>
        <w:spacing w:after="0" w:line="312" w:lineRule="auto"/>
        <w:rPr>
          <w:szCs w:val="20"/>
        </w:rPr>
      </w:pPr>
      <w:r w:rsidRPr="00E00B35">
        <w:rPr>
          <w:szCs w:val="20"/>
        </w:rPr>
        <w:t>Celem realizacji zadania publicznego było głównie wspieranie aktywności dzieci i młodzieży mieszkającej lub uczącej się we Wrocławiu w czasie wolnym od nauki szkolnej wraz z realizacją programu profilaktyki uzależnień poprzez: organizację kreatywnych zajęć manualnych, kulturalnych, rekreacyjnych, turystycznych, uczestniczenie w atrakcyjnych zajęciach poza nauką szkolną.</w:t>
      </w:r>
    </w:p>
    <w:p w:rsidR="00CA14AB" w:rsidRPr="00E00B35" w:rsidRDefault="00CA14AB" w:rsidP="00E00B35">
      <w:pPr>
        <w:spacing w:after="0" w:line="312" w:lineRule="auto"/>
        <w:rPr>
          <w:szCs w:val="20"/>
        </w:rPr>
      </w:pPr>
      <w:r w:rsidRPr="00E00B35">
        <w:rPr>
          <w:szCs w:val="20"/>
        </w:rPr>
        <w:t>Działania Klubowych Centrów w roku 2020 obejmowały: organizację zajęć manualnych/kulturalnych/rekreacyjnych/turystycznych, realizację programów profilaktyki uniwersalnej w zakresie uzależnień wśród uczestników zadania, rozwój talentów i kreatywności, rozwój umiejętności interpersonalnych, kształtowanie właściwych postaw i zachowań zdrowotnych i społecznych.</w:t>
      </w:r>
    </w:p>
    <w:p w:rsidR="00CA14AB" w:rsidRPr="00E00B35" w:rsidRDefault="00CA14AB" w:rsidP="00E00B35">
      <w:pPr>
        <w:spacing w:after="0" w:line="312" w:lineRule="auto"/>
        <w:rPr>
          <w:szCs w:val="20"/>
        </w:rPr>
      </w:pPr>
      <w:r w:rsidRPr="00E00B35">
        <w:rPr>
          <w:szCs w:val="20"/>
        </w:rPr>
        <w:t>Klubowe Centra współpracowały z organizacjami pozarządowymi zajmującymi się podobnymi działaniami na rzecz dzieci i młodzieży.</w:t>
      </w:r>
      <w:r w:rsidRPr="00E00B35">
        <w:rPr>
          <w:szCs w:val="20"/>
        </w:rPr>
        <w:br/>
        <w:t>Z powodu pandemii Covid-19 w 15 Klubach, działania były kontynuowane on-line. W trzech Klubach KCA działalność została zawieszona, zgodnie z wytycznymi obowiązującymi w okresie pandemii.</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Wsparcie merytoryczne i organizacyjne Klubowych Centrów Aktywności Dzieci i Młodzieży</w:t>
      </w:r>
    </w:p>
    <w:p w:rsidR="00CA14AB" w:rsidRPr="00E00B35" w:rsidRDefault="00CA14AB" w:rsidP="00E00B35">
      <w:pPr>
        <w:spacing w:after="0" w:line="312" w:lineRule="auto"/>
        <w:rPr>
          <w:szCs w:val="20"/>
        </w:rPr>
      </w:pPr>
      <w:r w:rsidRPr="00E00B35">
        <w:rPr>
          <w:szCs w:val="20"/>
        </w:rPr>
        <w:t xml:space="preserve">Okres realizacji: 2 stycznia 2020 r. - 31 grudnia 2020 r. </w:t>
      </w:r>
      <w:r w:rsidRPr="00E00B35">
        <w:rPr>
          <w:szCs w:val="20"/>
        </w:rPr>
        <w:br/>
        <w:t>Liczba zawartych umów: 1</w:t>
      </w:r>
      <w:r w:rsidRPr="00E00B35">
        <w:rPr>
          <w:szCs w:val="20"/>
        </w:rPr>
        <w:br/>
        <w:t>Liczba odbiorców: ok. 250 dzieci i młodzieży, 11 Klubowych Centrów Aktywności Dzieci i Młodzieży</w:t>
      </w:r>
      <w:r w:rsidRPr="00E00B35">
        <w:rPr>
          <w:szCs w:val="20"/>
        </w:rPr>
        <w:br/>
        <w:t xml:space="preserve">Kwota dotacji: 71 000 zł </w:t>
      </w:r>
    </w:p>
    <w:p w:rsidR="00CA14AB" w:rsidRPr="00E00B35" w:rsidRDefault="00CA14AB" w:rsidP="00E00B35">
      <w:pPr>
        <w:spacing w:after="0" w:line="312" w:lineRule="auto"/>
        <w:rPr>
          <w:szCs w:val="20"/>
        </w:rPr>
      </w:pPr>
      <w:r w:rsidRPr="00E00B35">
        <w:rPr>
          <w:szCs w:val="20"/>
        </w:rPr>
        <w:t xml:space="preserve">Celem realizacji zadania publicznego było podwyższenie wiedzy, kompetencji </w:t>
      </w:r>
      <w:r w:rsidRPr="00E00B35">
        <w:rPr>
          <w:szCs w:val="20"/>
        </w:rPr>
        <w:br/>
        <w:t xml:space="preserve">i umiejętności przedstawicieli Klubowych Centrów Aktywności Dzieci i Młodzieży tj.  liderów, animatorów oraz młodzieży w nich działającej, integracja i wymiana doświadczeń Klubowych Centrów Aktywności Dzieci i Młodzieży oraz zwiększenie więzi pomiędzy dziećmi i młodzieżą uczęszczającymi do Klubowych Centrów Aktywności Dzieci i Młodzieży. </w:t>
      </w:r>
    </w:p>
    <w:p w:rsidR="00CA14AB" w:rsidRPr="00E00B35" w:rsidRDefault="00CA14AB" w:rsidP="00E00B35">
      <w:pPr>
        <w:spacing w:after="0" w:line="312" w:lineRule="auto"/>
        <w:rPr>
          <w:szCs w:val="20"/>
        </w:rPr>
      </w:pPr>
      <w:r w:rsidRPr="00E00B35">
        <w:rPr>
          <w:szCs w:val="20"/>
        </w:rPr>
        <w:t xml:space="preserve">Wsparcie dla Klubowych Centrów obejmowało m.in. organizację i przeprowadzenie: </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szkoleń specjalistycznych m.in. z zakresu pierwszej pomocy oraz zasad bezpieczeństwa spędzania czasu nad wodą i na wodzie;</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konsultacji merytorycznych dla liderów Klubowych Centrów Aktywności Dzieci</w:t>
      </w:r>
      <w:r w:rsidRPr="00E00B35">
        <w:rPr>
          <w:szCs w:val="20"/>
        </w:rPr>
        <w:br/>
        <w:t>i Młodzieży;</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 xml:space="preserve">warsztatów wymiany doświadczeń dla przedstawicieli Klubowych Centrów Aktywności Dzieci i Młodzieży; </w:t>
      </w:r>
    </w:p>
    <w:p w:rsidR="00CA14AB" w:rsidRPr="00E00B35" w:rsidRDefault="00CA14AB" w:rsidP="00BC64AB">
      <w:pPr>
        <w:pStyle w:val="Akapitzlist"/>
        <w:numPr>
          <w:ilvl w:val="0"/>
          <w:numId w:val="157"/>
        </w:numPr>
        <w:spacing w:after="0" w:line="312" w:lineRule="auto"/>
        <w:ind w:left="426" w:hanging="426"/>
        <w:rPr>
          <w:szCs w:val="20"/>
        </w:rPr>
      </w:pPr>
      <w:r w:rsidRPr="00E00B35">
        <w:rPr>
          <w:szCs w:val="20"/>
        </w:rPr>
        <w:t xml:space="preserve">spotkań integracyjnych i okolicznościowych dla przedstawicieli Klubowych Centrów Aktywności Dzieci i Młodzieży  oraz dzieci i młodzieży uczęszczającej do Klubowych Centrów Aktywności Dzieci i Młodzieży.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Spotkania świątecznego „Choinka marzeń” w formie on-line</w:t>
      </w:r>
    </w:p>
    <w:p w:rsidR="00CA14AB" w:rsidRPr="00E00B35" w:rsidRDefault="00CA14AB" w:rsidP="00E00B35">
      <w:pPr>
        <w:spacing w:after="0" w:line="312" w:lineRule="auto"/>
        <w:rPr>
          <w:szCs w:val="20"/>
        </w:rPr>
      </w:pPr>
      <w:r w:rsidRPr="00E00B35">
        <w:rPr>
          <w:szCs w:val="20"/>
        </w:rPr>
        <w:t xml:space="preserve">Sytuacja pandemiczna Covid-19 miała wpływ na realizację zadania. Forma przeprowadzenia poszczególnych działań dostosowywana była na bieżąco do wprowadzanych obostrzeń, tj. działania realizowane były nie tylko stacjonarnie, ale także w formie zdalnej, telefonicznie, online w formie filmów i prezentacji. </w:t>
      </w:r>
    </w:p>
    <w:p w:rsidR="00CA14AB" w:rsidRPr="00E00B35" w:rsidRDefault="00CA14AB" w:rsidP="00E00B35">
      <w:pPr>
        <w:spacing w:after="0" w:line="312" w:lineRule="auto"/>
        <w:rPr>
          <w:szCs w:val="20"/>
        </w:rPr>
      </w:pPr>
      <w:r w:rsidRPr="00E00B35">
        <w:rPr>
          <w:szCs w:val="20"/>
        </w:rPr>
        <w:t>Centrum na Przedmieściu – pilotaż</w:t>
      </w:r>
    </w:p>
    <w:p w:rsidR="00CA14AB" w:rsidRPr="00E00B35" w:rsidRDefault="00CA14AB" w:rsidP="00E00B35">
      <w:pPr>
        <w:spacing w:after="0" w:line="312" w:lineRule="auto"/>
        <w:rPr>
          <w:szCs w:val="20"/>
        </w:rPr>
      </w:pPr>
      <w:r w:rsidRPr="00E00B35">
        <w:rPr>
          <w:szCs w:val="20"/>
        </w:rPr>
        <w:t xml:space="preserve">Okres realizacji: 01.01.2020 r. – 31.12.2020 r.  </w:t>
      </w:r>
      <w:r w:rsidRPr="00E00B35">
        <w:rPr>
          <w:szCs w:val="20"/>
        </w:rPr>
        <w:br/>
        <w:t>Liczba zawartych umów: 1</w:t>
      </w:r>
      <w:r w:rsidRPr="00E00B35">
        <w:rPr>
          <w:szCs w:val="20"/>
        </w:rPr>
        <w:br/>
        <w:t>Liczba odbiorców: 9 000</w:t>
      </w:r>
      <w:r w:rsidRPr="00E00B35">
        <w:rPr>
          <w:szCs w:val="20"/>
        </w:rPr>
        <w:br/>
        <w:t xml:space="preserve">Kwota dotacji: 550 000 zł </w:t>
      </w:r>
    </w:p>
    <w:p w:rsidR="00CA14AB" w:rsidRPr="00E00B35" w:rsidRDefault="00CA14AB" w:rsidP="00E00B35">
      <w:pPr>
        <w:spacing w:after="0" w:line="312" w:lineRule="auto"/>
        <w:rPr>
          <w:szCs w:val="20"/>
        </w:rPr>
      </w:pPr>
      <w:r w:rsidRPr="00E00B35">
        <w:rPr>
          <w:szCs w:val="20"/>
        </w:rPr>
        <w:t>Celem realizacji zadania publicznego było aktywizowanie i integrowanie społeczności lokalnej Przedmieścia Oławskiego we Wrocławiu, z uwzględnieniem osób zagrożonych wykluczeniem społecznym.</w:t>
      </w:r>
    </w:p>
    <w:p w:rsidR="00CA14AB" w:rsidRPr="00E00B35" w:rsidRDefault="00CA14AB" w:rsidP="00E00B35">
      <w:pPr>
        <w:spacing w:after="0" w:line="312" w:lineRule="auto"/>
        <w:rPr>
          <w:szCs w:val="20"/>
        </w:rPr>
      </w:pPr>
      <w:r w:rsidRPr="00E00B35">
        <w:rPr>
          <w:szCs w:val="20"/>
        </w:rPr>
        <w:t xml:space="preserve">W ramach zadania publicznego realizowane były: </w:t>
      </w:r>
    </w:p>
    <w:p w:rsidR="00CA14AB" w:rsidRPr="00E00B35" w:rsidRDefault="00CA14AB" w:rsidP="00E00B35">
      <w:pPr>
        <w:spacing w:after="0" w:line="312" w:lineRule="auto"/>
        <w:rPr>
          <w:szCs w:val="20"/>
        </w:rPr>
      </w:pPr>
      <w:r w:rsidRPr="00E00B35">
        <w:rPr>
          <w:szCs w:val="20"/>
        </w:rPr>
        <w:t xml:space="preserve">Centrum Aktywności Lokalnej (CAL) – działania warsztatowe i procesowe nakierowane na wzmocnienie siły i rozwój potencjału społeczności lokalnej Przedmieścia Oławskiego. W ramach CAL oczekuje się również sieciowania kluczowych aktorów i interesariuszy w szeroko rozumianym sąsiedztwie Centrum. Łączenie potencjalnych partnerów w pracy na </w:t>
      </w:r>
      <w:r w:rsidRPr="00E00B35">
        <w:rPr>
          <w:szCs w:val="20"/>
        </w:rPr>
        <w:lastRenderedPageBreak/>
        <w:t xml:space="preserve">rzecz Przedmieścia Oławskiego, miasta i jego mieszkańców. Tworzenie i rozwijanie sieci współpracy, będącej narzędziem do stawiania czoła wyzwaniom, jakie stoją przed mieszkańcami i użytkownikami Przedmieścia Oławskiego oraz do dokonywania zmian społecznych. </w:t>
      </w:r>
    </w:p>
    <w:p w:rsidR="00CA14AB" w:rsidRPr="00E00B35" w:rsidRDefault="00CA14AB" w:rsidP="00E00B35">
      <w:pPr>
        <w:spacing w:after="0" w:line="312" w:lineRule="auto"/>
        <w:rPr>
          <w:szCs w:val="20"/>
        </w:rPr>
      </w:pPr>
      <w:r w:rsidRPr="00E00B35">
        <w:rPr>
          <w:szCs w:val="20"/>
        </w:rPr>
        <w:t>Kulturalne Centrum – prowadzone były działania wspierające młodych twórców związanych z Przedmieściem Oławskim, w szczególności poprzez stworzenie im przestrzeni i możliwości prezentacji swojego warsztatu. Stworzenie sceny Centrum – będącej m.in. miejscem pokazów i eksperymentów młodych aktorów. Centru  było również miejscem debat i dialogu o ważnych społecznie kwestiach dla Przedmieścia Oławskiego i Wrocławia, z uwzględnieniem nauki praktyki dialogu wśród najmłodszych beneficjentów.</w:t>
      </w:r>
      <w:r w:rsidRPr="00E00B35">
        <w:rPr>
          <w:szCs w:val="20"/>
        </w:rPr>
        <w:br/>
      </w:r>
      <w:r w:rsidRPr="00E00B35">
        <w:rPr>
          <w:szCs w:val="20"/>
        </w:rPr>
        <w:br/>
        <w:t>Ze względu na ograniczenia wprowadzone z powodu pandemii COVID-19 cześć zajęć/wydarzeń odbyła się on-line. Zostały wprowadzone specjalne akcje w okresie pandemii np. dyżury telefoniczne (wsparcie psychologiczne, biznesowe, informacja kulturalna), obiadowa akcja pomocowa, organizowanie sprzętu komputerowego dla dzieci i młodzieży z Przedmieścia Oławskiego.</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Centrum Integracji Mieszkańców Nowe Łąki – pilotaż</w:t>
      </w:r>
    </w:p>
    <w:p w:rsidR="00CA14AB" w:rsidRPr="00E00B35" w:rsidRDefault="00CA14AB" w:rsidP="00E00B35">
      <w:pPr>
        <w:spacing w:after="0" w:line="312" w:lineRule="auto"/>
        <w:rPr>
          <w:szCs w:val="20"/>
        </w:rPr>
      </w:pPr>
      <w:r w:rsidRPr="00E00B35">
        <w:rPr>
          <w:szCs w:val="20"/>
        </w:rPr>
        <w:t xml:space="preserve">Okres realizacji: 07 stycznia 2020 r. – 31 grudnia 2020 r. </w:t>
      </w:r>
      <w:r w:rsidRPr="00E00B35">
        <w:rPr>
          <w:szCs w:val="20"/>
        </w:rPr>
        <w:br/>
        <w:t>Liczba zawartych umów: 1</w:t>
      </w:r>
      <w:r w:rsidRPr="00E00B35">
        <w:rPr>
          <w:szCs w:val="20"/>
        </w:rPr>
        <w:br/>
        <w:t>Liczba odbiorców: ok. 1000 na żywo i on-line</w:t>
      </w:r>
      <w:r w:rsidRPr="00E00B35">
        <w:rPr>
          <w:szCs w:val="20"/>
        </w:rPr>
        <w:br/>
        <w:t xml:space="preserve">Kwota dotacji: 218 000 zł </w:t>
      </w:r>
    </w:p>
    <w:p w:rsidR="00CA14AB" w:rsidRPr="00E00B35" w:rsidRDefault="00CA14AB" w:rsidP="00E00B35">
      <w:pPr>
        <w:spacing w:after="0" w:line="312" w:lineRule="auto"/>
        <w:rPr>
          <w:szCs w:val="20"/>
        </w:rPr>
      </w:pPr>
      <w:r w:rsidRPr="00E00B35">
        <w:rPr>
          <w:szCs w:val="20"/>
        </w:rPr>
        <w:t>Celem realizacji zadania publicznego było aktywizowanie i integrowanie społeczności lokalnej Przedmieścia Oławskiego we Wrocławiu, z uwzględnieniem osób zagrożonych wykluczeniem społecznym. Centrum Integracji Mieszkańców Nowe Łąki prowadziło działania bezpośrednie jak i on-line co wynikało z pandemii COVID-19. Działania obejmowały zajęcia rekreacyjne, koncerty, spotkania warsztatowe, konkursy, szycie maseczek itp. Podejmowane działania uwzględniały potrzeby dzieci, młodzieży, rodziców, seniorów, osób zagrożonych wykluczeniem społecznym oraz obcokrajowców zamieszkujących Przedmieście Oławskie.</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Wdrażanie modelu działania Centrów Aktywności Lokalnej we Wrocławiu – pilotaż</w:t>
      </w:r>
    </w:p>
    <w:p w:rsidR="00CA14AB" w:rsidRPr="00E00B35" w:rsidRDefault="00CA14AB" w:rsidP="00E00B35">
      <w:pPr>
        <w:spacing w:after="0" w:line="312" w:lineRule="auto"/>
        <w:rPr>
          <w:szCs w:val="20"/>
        </w:rPr>
      </w:pPr>
      <w:r w:rsidRPr="00E00B35">
        <w:rPr>
          <w:szCs w:val="20"/>
        </w:rPr>
        <w:t xml:space="preserve">Okres realizacji: 15 stycznia 2020 r. – 31 grudnia 2020 r.  </w:t>
      </w:r>
      <w:r w:rsidRPr="00E00B35">
        <w:rPr>
          <w:szCs w:val="20"/>
        </w:rPr>
        <w:br/>
        <w:t>Liczba zawartych umów: 1</w:t>
      </w:r>
      <w:r w:rsidRPr="00E00B35">
        <w:rPr>
          <w:szCs w:val="20"/>
        </w:rPr>
        <w:br/>
        <w:t>Liczba odbiorców: ok. 150</w:t>
      </w:r>
      <w:r w:rsidRPr="00E00B35">
        <w:rPr>
          <w:szCs w:val="20"/>
        </w:rPr>
        <w:br/>
        <w:t xml:space="preserve">Kwota dotacji: 100 000 zł </w:t>
      </w:r>
    </w:p>
    <w:p w:rsidR="00CA14AB" w:rsidRPr="00E00B35" w:rsidRDefault="00CA14AB" w:rsidP="00E00B35">
      <w:pPr>
        <w:spacing w:after="0" w:line="312" w:lineRule="auto"/>
        <w:rPr>
          <w:szCs w:val="20"/>
        </w:rPr>
      </w:pPr>
      <w:r w:rsidRPr="00E00B35">
        <w:rPr>
          <w:szCs w:val="20"/>
        </w:rPr>
        <w:t xml:space="preserve">Celem realizacji zadania publicznego było: </w:t>
      </w:r>
    </w:p>
    <w:p w:rsidR="00CA14AB" w:rsidRPr="00E00B35" w:rsidRDefault="00CA14AB" w:rsidP="00E00B35">
      <w:pPr>
        <w:spacing w:after="0" w:line="312" w:lineRule="auto"/>
        <w:rPr>
          <w:szCs w:val="20"/>
        </w:rPr>
      </w:pPr>
      <w:r w:rsidRPr="00E00B35">
        <w:rPr>
          <w:szCs w:val="20"/>
        </w:rPr>
        <w:t>wsparcie merytoryczno-organizacyjne, usystematyzowanie wiedzy oraz ukierunkowanie działalności Centrów Aktywności Lokalnej działających na terenie Wrocławia, zgodnie z założeniami wypracowanego Modelu Działania Centrów Aktywności Lokalnej;</w:t>
      </w:r>
    </w:p>
    <w:p w:rsidR="00CA14AB" w:rsidRPr="00E00B35" w:rsidRDefault="00CA14AB" w:rsidP="00E00B35">
      <w:pPr>
        <w:spacing w:after="0" w:line="312" w:lineRule="auto"/>
        <w:rPr>
          <w:szCs w:val="20"/>
        </w:rPr>
      </w:pPr>
      <w:r w:rsidRPr="00E00B35">
        <w:rPr>
          <w:szCs w:val="20"/>
        </w:rPr>
        <w:lastRenderedPageBreak/>
        <w:t>wzmacnianie sieci współpracy organizacji pozarządowych i innych podmiotów odpowiedzialnych za prowadzenie Centrów Aktywności Lokalnej oraz wzmacnianie relacji pomiędzy Centrami Aktywności Lokalnej a Radami Osiedli we Wrocławiu;</w:t>
      </w:r>
    </w:p>
    <w:p w:rsidR="00CA14AB" w:rsidRPr="00E00B35" w:rsidRDefault="00CA14AB" w:rsidP="00E00B35">
      <w:pPr>
        <w:spacing w:after="0" w:line="312" w:lineRule="auto"/>
        <w:rPr>
          <w:szCs w:val="20"/>
        </w:rPr>
      </w:pPr>
      <w:r w:rsidRPr="00E00B35">
        <w:rPr>
          <w:szCs w:val="20"/>
        </w:rPr>
        <w:t>promowanie wśród mieszkańców Wrocławia idei działania Centrów Aktywności Lokalnej oraz wspieranie liderów Centrów Aktywności Lokalnej w zakresie aktywizacji mieszkańców i wzmacniania postaw obywatelskich wśród społeczności lokalnej.</w:t>
      </w:r>
    </w:p>
    <w:p w:rsidR="00CA14AB" w:rsidRPr="00E00B35" w:rsidRDefault="00CA14AB" w:rsidP="00E00B35">
      <w:pPr>
        <w:spacing w:after="0" w:line="312" w:lineRule="auto"/>
        <w:rPr>
          <w:szCs w:val="20"/>
        </w:rPr>
      </w:pPr>
      <w:r w:rsidRPr="00E00B35">
        <w:rPr>
          <w:szCs w:val="20"/>
        </w:rPr>
        <w:t>Sytuacja pandemiczna Covid-19 miała wpływ na realizację zadania. Forma przeprowadzenia poszczególnych działań dostosowywana była na bieżąco do wprowadzanych obostrzeń , tj. działania realizowane były nie tylko stacjonarnie, ale także w formie zdalnej przy użyciu narzędzi technologicznych oraz tworzono dodatkowo materiały graficzne, tekstowe, filmowe itp. Podjęto w tym okresie także działania wspierające potrzebujących mieszkańców i instytucje, polegające na  dostarczaniu ciepłych posiłków oraz środków ochronnych.</w:t>
      </w:r>
    </w:p>
    <w:p w:rsidR="00CA14AB" w:rsidRPr="00E00B35" w:rsidRDefault="00CA14AB" w:rsidP="00E00B35">
      <w:pPr>
        <w:spacing w:after="0" w:line="312" w:lineRule="auto"/>
        <w:rPr>
          <w:szCs w:val="20"/>
        </w:rPr>
      </w:pPr>
    </w:p>
    <w:p w:rsidR="00CA14AB" w:rsidRPr="00E00B35" w:rsidRDefault="00CA14AB" w:rsidP="00E00B35">
      <w:pPr>
        <w:pStyle w:val="Nagwek5"/>
        <w:rPr>
          <w:szCs w:val="20"/>
        </w:rPr>
      </w:pPr>
      <w:r w:rsidRPr="00E00B35">
        <w:rPr>
          <w:szCs w:val="20"/>
        </w:rPr>
        <w:t>Model tworzenia miejsc pracy w podmiotach ekonomii społecznej dla osób zagrożonych wykluczeniem społecznym – pilotaż</w:t>
      </w:r>
    </w:p>
    <w:p w:rsidR="00CA14AB" w:rsidRPr="00E00B35" w:rsidRDefault="00CA14AB" w:rsidP="00E00B35">
      <w:pPr>
        <w:spacing w:after="0" w:line="312" w:lineRule="auto"/>
        <w:rPr>
          <w:szCs w:val="20"/>
        </w:rPr>
      </w:pPr>
      <w:r w:rsidRPr="00E00B35">
        <w:rPr>
          <w:szCs w:val="20"/>
        </w:rPr>
        <w:t xml:space="preserve">Okres realizacji: 14 luty 2020 r. – 31 grudnia 2020 r. </w:t>
      </w:r>
      <w:r w:rsidRPr="00E00B35">
        <w:rPr>
          <w:szCs w:val="20"/>
        </w:rPr>
        <w:br/>
        <w:t>Liczba zawartych umów: 1</w:t>
      </w:r>
      <w:r w:rsidRPr="00E00B35">
        <w:rPr>
          <w:szCs w:val="20"/>
        </w:rPr>
        <w:br/>
        <w:t>Liczba odbiorców: 44</w:t>
      </w:r>
      <w:r w:rsidRPr="00E00B35">
        <w:rPr>
          <w:szCs w:val="20"/>
        </w:rPr>
        <w:br/>
        <w:t>Kwota dotacji: 41 000 zł</w:t>
      </w:r>
    </w:p>
    <w:p w:rsidR="00CA14AB" w:rsidRPr="00E00B35" w:rsidRDefault="00CA14AB" w:rsidP="00E00B35">
      <w:pPr>
        <w:spacing w:after="0" w:line="312" w:lineRule="auto"/>
        <w:rPr>
          <w:szCs w:val="20"/>
        </w:rPr>
      </w:pPr>
      <w:r w:rsidRPr="00E00B35">
        <w:rPr>
          <w:szCs w:val="20"/>
        </w:rPr>
        <w:t>Celem zadania była promocja wrocławskich podmiotów ekonomii społecznej połączona z serią szkoleń dot. tworzenia miejsc pracy w podmiotach ekonomii społecznej. Jednocześnie został także założony punkt krawiecki, w którym mieszkańcy Przedmieścia Oławskiego za darmo mogli wykonywać przeróbki krawieckie oraz samodzielnie korzystać z warsztatu krawieckiego pod okiem wykwalifikowanej krawcowej.</w:t>
      </w:r>
      <w:r w:rsidRPr="00E00B35">
        <w:rPr>
          <w:szCs w:val="20"/>
        </w:rPr>
        <w:br/>
        <w:t>Sytuacja pandemiczna nie miała znaczącego wpływu na realizację zadania za wyjątkiem ostatniego spotkania podsumowującego zadanie, które odbyło się w formie panelu on-line.</w:t>
      </w:r>
    </w:p>
    <w:p w:rsidR="00CA14AB" w:rsidRPr="00E00B35" w:rsidRDefault="00CA14AB" w:rsidP="00E00B35">
      <w:pPr>
        <w:spacing w:after="0" w:line="312" w:lineRule="auto"/>
        <w:rPr>
          <w:szCs w:val="20"/>
        </w:rPr>
      </w:pPr>
      <w:r w:rsidRPr="00E00B35">
        <w:rPr>
          <w:szCs w:val="20"/>
        </w:rPr>
        <w:t>Cykl zajęć dla dzieci i młodzieży zwiększających bezpieczeństwo wypoczynku i rekreacji nad wodą w roku 2020</w:t>
      </w:r>
    </w:p>
    <w:p w:rsidR="00CA14AB" w:rsidRPr="00E00B35" w:rsidRDefault="00CA14AB" w:rsidP="00E00B35">
      <w:pPr>
        <w:spacing w:after="0" w:line="312" w:lineRule="auto"/>
        <w:rPr>
          <w:szCs w:val="20"/>
        </w:rPr>
      </w:pPr>
      <w:r w:rsidRPr="00E00B35">
        <w:rPr>
          <w:szCs w:val="20"/>
        </w:rPr>
        <w:t xml:space="preserve">Okres realizacji: 01 marca 2020 – 31 grudnia 2020 r. </w:t>
      </w:r>
      <w:r w:rsidRPr="00E00B35">
        <w:rPr>
          <w:szCs w:val="20"/>
        </w:rPr>
        <w:br/>
        <w:t>Liczba zawartych umów: 1</w:t>
      </w:r>
      <w:r w:rsidRPr="00E00B35">
        <w:rPr>
          <w:szCs w:val="20"/>
        </w:rPr>
        <w:br/>
        <w:t xml:space="preserve">Liczba odbiorców: ok. 80 </w:t>
      </w:r>
      <w:r w:rsidRPr="00E00B35">
        <w:rPr>
          <w:szCs w:val="20"/>
        </w:rPr>
        <w:br/>
        <w:t>Kwota dotacji: 98 000 zł</w:t>
      </w:r>
    </w:p>
    <w:p w:rsidR="00CA14AB" w:rsidRPr="00E00B35" w:rsidRDefault="00CA14AB" w:rsidP="00E00B35">
      <w:pPr>
        <w:spacing w:after="0" w:line="312" w:lineRule="auto"/>
        <w:rPr>
          <w:szCs w:val="20"/>
        </w:rPr>
      </w:pPr>
      <w:r w:rsidRPr="00E00B35">
        <w:rPr>
          <w:szCs w:val="20"/>
        </w:rPr>
        <w:t>Celem realizacji zadania publicznego było:</w:t>
      </w:r>
    </w:p>
    <w:p w:rsidR="00CA14AB" w:rsidRPr="00E00B35" w:rsidRDefault="00CA14AB" w:rsidP="00E00B35">
      <w:pPr>
        <w:spacing w:after="0" w:line="312" w:lineRule="auto"/>
        <w:rPr>
          <w:szCs w:val="20"/>
        </w:rPr>
      </w:pPr>
      <w:r w:rsidRPr="00E00B35">
        <w:rPr>
          <w:szCs w:val="20"/>
        </w:rPr>
        <w:t>przeprowadzenie warsztatów i zajęć praktycznych dla dzieci i młodzieży mieszkającej i/lub uczącej się we Wrocławiu. W ramach zadania prowadzono warsztaty z ratownictwa, z zakresu łączności radiowej, warsztaty techniczno – szkutnicze, kurs młodzieżowi liderzy, oraz regaty na wodzie, i dwudniowy rejs po rzece Odrze.</w:t>
      </w:r>
      <w:r w:rsidRPr="00E00B35">
        <w:rPr>
          <w:szCs w:val="20"/>
        </w:rPr>
        <w:br/>
        <w:t xml:space="preserve">W związku z pandemią Covid-19 zaplanowane działania napotkały na szereg trudności, które wynikły z wprowadzonych ograniczeń. W zajęciach mogła wziąć udział mniejsza liczba osób. Nie wszystkie obiekty były dostępne, w związku z tym część zaplanowanych </w:t>
      </w:r>
      <w:r w:rsidRPr="00E00B35">
        <w:rPr>
          <w:szCs w:val="20"/>
        </w:rPr>
        <w:lastRenderedPageBreak/>
        <w:t>działań nie mogła się odbyć. Zajęcia głownie realizowane były na świeżym powietrzu i w mniejszych zespołach.</w:t>
      </w:r>
    </w:p>
    <w:p w:rsidR="00CA14AB" w:rsidRPr="00E00B35" w:rsidRDefault="00CA14AB" w:rsidP="00E00B35">
      <w:pPr>
        <w:spacing w:after="0" w:line="312" w:lineRule="auto"/>
        <w:rPr>
          <w:szCs w:val="20"/>
        </w:rPr>
      </w:pPr>
      <w:r w:rsidRPr="00E00B35">
        <w:rPr>
          <w:szCs w:val="20"/>
        </w:rPr>
        <w:t>modernizacja nawierzchni placów i chodników przed budynkiem i terenów zielonych wraz z urządzeniami małej architektury, oraz budowa zaplecza kuchennego i sanitariatów umożliwiającego organizację imprez.</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Tworzenie warunków dla rozwoju Rodzinnych Ogrodów Działkowych We Wrocławiu w 2020 Roku</w:t>
      </w:r>
    </w:p>
    <w:p w:rsidR="00CA14AB" w:rsidRPr="00E00B35" w:rsidRDefault="00CA14AB" w:rsidP="00E00B35">
      <w:pPr>
        <w:spacing w:after="0" w:line="312" w:lineRule="auto"/>
        <w:rPr>
          <w:szCs w:val="20"/>
        </w:rPr>
      </w:pPr>
      <w:r w:rsidRPr="00E00B35">
        <w:rPr>
          <w:szCs w:val="20"/>
        </w:rPr>
        <w:t xml:space="preserve">Okres realizacji: 8 czerwca 2020 – 31 grudnia 2020 </w:t>
      </w:r>
      <w:r w:rsidRPr="00E00B35">
        <w:rPr>
          <w:szCs w:val="20"/>
        </w:rPr>
        <w:br/>
        <w:t>Liczba zawartych umów: 1</w:t>
      </w:r>
      <w:r w:rsidRPr="00E00B35">
        <w:rPr>
          <w:szCs w:val="20"/>
        </w:rPr>
        <w:br/>
        <w:t>Kwota dotacji: 600 000 zł</w:t>
      </w:r>
    </w:p>
    <w:p w:rsidR="00CA14AB" w:rsidRPr="00E00B35" w:rsidRDefault="00CA14AB" w:rsidP="00E00B35">
      <w:pPr>
        <w:spacing w:after="0" w:line="312" w:lineRule="auto"/>
        <w:rPr>
          <w:szCs w:val="20"/>
        </w:rPr>
      </w:pPr>
      <w:r w:rsidRPr="00E00B35">
        <w:rPr>
          <w:szCs w:val="20"/>
        </w:rPr>
        <w:t xml:space="preserve">Celem realizacji zadania publicznego była między innymi elektryfikacja terenów Rodzinnych Ogrodów Działkowych, wymiana ogrodzeń zewnętrznych, budowa biur zarządów Rodzinnych Ogrodów Działkowych. Sytuacja pandemiczna nie wpłynęła na realizację zadania.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Aktywizacja społeczno-zawodowa wraz z poprawą bezpieczeństwa oraz jakości życia mieszkańców bloku socjalnego przy ul. Koreańskiej 1</w:t>
      </w:r>
    </w:p>
    <w:p w:rsidR="00CA14AB" w:rsidRPr="00E00B35" w:rsidRDefault="00CA14AB" w:rsidP="00E00B35">
      <w:pPr>
        <w:spacing w:after="0" w:line="312" w:lineRule="auto"/>
        <w:rPr>
          <w:szCs w:val="20"/>
        </w:rPr>
      </w:pPr>
      <w:r w:rsidRPr="00E00B35">
        <w:rPr>
          <w:szCs w:val="20"/>
        </w:rPr>
        <w:t xml:space="preserve">Okres realizacji: 24.06.2020 r. – 31.12.2020 r. </w:t>
      </w:r>
      <w:r w:rsidRPr="00E00B35">
        <w:rPr>
          <w:szCs w:val="20"/>
        </w:rPr>
        <w:br/>
        <w:t>Liczba zawartych umów: 1</w:t>
      </w:r>
      <w:r w:rsidRPr="00E00B35">
        <w:rPr>
          <w:szCs w:val="20"/>
        </w:rPr>
        <w:br/>
        <w:t>Liczba odbiorców: 70</w:t>
      </w:r>
      <w:r w:rsidRPr="00E00B35">
        <w:rPr>
          <w:szCs w:val="20"/>
        </w:rPr>
        <w:br/>
        <w:t>Kwota dotacji: 499 500,00 zł.</w:t>
      </w:r>
    </w:p>
    <w:p w:rsidR="00CA14AB" w:rsidRPr="00E00B35" w:rsidRDefault="00CA14AB" w:rsidP="00E00B35">
      <w:pPr>
        <w:spacing w:after="0" w:line="312" w:lineRule="auto"/>
        <w:rPr>
          <w:szCs w:val="20"/>
        </w:rPr>
      </w:pPr>
      <w:r w:rsidRPr="00E00B35">
        <w:rPr>
          <w:szCs w:val="20"/>
        </w:rPr>
        <w:t xml:space="preserve">Celem realizacji zadania publicznego była aktywizacja społeczno-zawodowa mieszkańców bloku socjalnego przy ul. Koreańskiej 1 we Wrocławiu oraz zapewnienie właściwych warunków do działań ukierunkowanych na aktywizacją społeczno-zawodową mieszkańców bloku przy Koreańskiej 1 oraz poprawa bezpieczeństwa osób przebywających w obiekcie. </w:t>
      </w:r>
    </w:p>
    <w:p w:rsidR="00CA14AB" w:rsidRPr="00E00B35" w:rsidRDefault="00CA14AB" w:rsidP="00E00B35">
      <w:pPr>
        <w:spacing w:after="0" w:line="312" w:lineRule="auto"/>
        <w:rPr>
          <w:szCs w:val="20"/>
        </w:rPr>
      </w:pPr>
      <w:r w:rsidRPr="00E00B35">
        <w:rPr>
          <w:szCs w:val="20"/>
        </w:rPr>
        <w:t>Z uwagi na wytyczne związane z COVID-19 zajęcia odbywały się w mniejszych grupach.</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Warsztaty muzyczne: Przygody w Krainie Perkusji</w:t>
      </w:r>
    </w:p>
    <w:p w:rsidR="00CA14AB" w:rsidRPr="00E00B35" w:rsidRDefault="00CA14AB" w:rsidP="00E00B35">
      <w:pPr>
        <w:spacing w:after="0" w:line="312" w:lineRule="auto"/>
        <w:rPr>
          <w:szCs w:val="20"/>
        </w:rPr>
      </w:pPr>
      <w:r w:rsidRPr="00E00B35">
        <w:rPr>
          <w:szCs w:val="20"/>
        </w:rPr>
        <w:t>Okres realizacji: 15 września 2020 r. – 20 czerwca 2021 r. (umowa wieloletnia)</w:t>
      </w:r>
      <w:r w:rsidRPr="00E00B35">
        <w:rPr>
          <w:szCs w:val="20"/>
        </w:rPr>
        <w:br/>
        <w:t>Liczba zawartych umów: 1</w:t>
      </w:r>
      <w:r w:rsidRPr="00E00B35">
        <w:rPr>
          <w:szCs w:val="20"/>
        </w:rPr>
        <w:br/>
        <w:t>Liczba odbiorców: 250</w:t>
      </w:r>
      <w:r w:rsidRPr="00E00B35">
        <w:rPr>
          <w:szCs w:val="20"/>
        </w:rPr>
        <w:br/>
        <w:t>Kwota dotacji: 7 510 zł (na lata 2020-2021 łącznie 18 700 zł)</w:t>
      </w:r>
    </w:p>
    <w:p w:rsidR="00CA14AB" w:rsidRPr="00E00B35" w:rsidRDefault="00CA14AB" w:rsidP="00E00B35">
      <w:pPr>
        <w:spacing w:after="0" w:line="312" w:lineRule="auto"/>
        <w:rPr>
          <w:szCs w:val="20"/>
        </w:rPr>
      </w:pPr>
      <w:r w:rsidRPr="00E00B35">
        <w:rPr>
          <w:szCs w:val="20"/>
        </w:rPr>
        <w:t>Celem realizacji zadania było przeprowadzenie warsztatów muzycznych promujących instrumenty perkusyjne wśród dzieci w wieku przedszkolnym. Dzieci poznały budowę instrumentów, ich działania oraz uczyły się wydobywać podstawowe dźwięki oraz wspólnie muzykować.</w:t>
      </w:r>
      <w:r w:rsidRPr="00E00B35">
        <w:rPr>
          <w:szCs w:val="20"/>
        </w:rPr>
        <w:br/>
        <w:t>Pandemia COVID-19 nie miała wpływu na realizację zadania zgodnie z ofertą.</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Działania edukacyjno-kulturalne w ramach prowadzenia międzyszkolnego chóru</w:t>
      </w:r>
    </w:p>
    <w:p w:rsidR="00CA14AB" w:rsidRPr="00E00B35" w:rsidRDefault="00CA14AB" w:rsidP="00E00B35">
      <w:pPr>
        <w:spacing w:after="0" w:line="312" w:lineRule="auto"/>
        <w:rPr>
          <w:szCs w:val="20"/>
        </w:rPr>
      </w:pPr>
      <w:r w:rsidRPr="00E00B35">
        <w:rPr>
          <w:szCs w:val="20"/>
        </w:rPr>
        <w:t>Okres realizacji: 15 sierpnia 2020 r. – 15 lipca 2021 r. (umowa wieloletnia)</w:t>
      </w:r>
      <w:r w:rsidRPr="00E00B35">
        <w:rPr>
          <w:szCs w:val="20"/>
        </w:rPr>
        <w:br/>
        <w:t>Liczba zawartych umów: 1</w:t>
      </w:r>
      <w:r w:rsidRPr="00E00B35">
        <w:rPr>
          <w:szCs w:val="20"/>
        </w:rPr>
        <w:br/>
      </w:r>
      <w:r w:rsidRPr="00E00B35">
        <w:rPr>
          <w:szCs w:val="20"/>
        </w:rPr>
        <w:lastRenderedPageBreak/>
        <w:t>Liczba odbiorców: 50</w:t>
      </w:r>
      <w:r w:rsidRPr="00E00B35">
        <w:rPr>
          <w:szCs w:val="20"/>
        </w:rPr>
        <w:br/>
        <w:t>Kwota dotacji: 10 000 zł (na lata 2020-2021 łącznie 20 000 zł)</w:t>
      </w:r>
    </w:p>
    <w:p w:rsidR="00CA14AB" w:rsidRPr="00E00B35" w:rsidRDefault="00CA14AB" w:rsidP="00E00B35">
      <w:pPr>
        <w:spacing w:after="0" w:line="312" w:lineRule="auto"/>
        <w:rPr>
          <w:szCs w:val="20"/>
        </w:rPr>
      </w:pPr>
      <w:r w:rsidRPr="00E00B35">
        <w:rPr>
          <w:szCs w:val="20"/>
        </w:rPr>
        <w:t>Celem zadnia była realizacja projektów muzycznych Kameralnego Chóru ANGELUS oraz angażowanie młodzieży licealnej w działania edukacyjno-kulturalne oraz rozwijanie zdolności muzycznych młodzieży.</w:t>
      </w:r>
      <w:r w:rsidRPr="00E00B35">
        <w:rPr>
          <w:szCs w:val="20"/>
        </w:rPr>
        <w:br/>
        <w:t>W związku z COVID-19 próby chóru odbywały się on-line, zrezygnowano także z warsztatów wyjazdowych dot. przegotowywania musicalu. Zajęcia zrealizowano w formie on-line, co było zgodne z ofertą.</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Organizacja i przeprowadzenie półkolonii letnich dla dzieci i młodzieży – lato w mieście 2020  II edycja</w:t>
      </w:r>
    </w:p>
    <w:p w:rsidR="00CA14AB" w:rsidRPr="00E00B35" w:rsidRDefault="00CA14AB" w:rsidP="00E00B35">
      <w:pPr>
        <w:spacing w:after="0" w:line="312" w:lineRule="auto"/>
        <w:rPr>
          <w:szCs w:val="20"/>
        </w:rPr>
      </w:pPr>
      <w:r w:rsidRPr="00E00B35">
        <w:rPr>
          <w:szCs w:val="20"/>
        </w:rPr>
        <w:t xml:space="preserve">Okres realizacji: 01 sierpnia 2020 r. – 14 września 2020 r. </w:t>
      </w:r>
      <w:r w:rsidRPr="00E00B35">
        <w:rPr>
          <w:szCs w:val="20"/>
        </w:rPr>
        <w:br/>
        <w:t xml:space="preserve">Liczba zawartych umów: 3 </w:t>
      </w:r>
      <w:r w:rsidRPr="00E00B35">
        <w:rPr>
          <w:szCs w:val="20"/>
        </w:rPr>
        <w:br/>
        <w:t>Liczba odbiorców : 134</w:t>
      </w:r>
      <w:r w:rsidRPr="00E00B35">
        <w:rPr>
          <w:szCs w:val="20"/>
        </w:rPr>
        <w:br/>
        <w:t>Kwota dotacji : 65 355zł.</w:t>
      </w:r>
    </w:p>
    <w:p w:rsidR="00CA14AB" w:rsidRPr="00E00B35" w:rsidRDefault="00CA14AB" w:rsidP="00E00B35">
      <w:pPr>
        <w:spacing w:after="0" w:line="312" w:lineRule="auto"/>
        <w:rPr>
          <w:szCs w:val="20"/>
        </w:rPr>
      </w:pPr>
      <w:r w:rsidRPr="00E00B35">
        <w:rPr>
          <w:szCs w:val="20"/>
        </w:rPr>
        <w:t>Celem zadania była zapewnienie  wypoczynku letniego w mieście w formie półkolonii dzieciom i młodzieży i/lub uczęszczającym do wrocławskich przedszkoli, szkół podstawowych, ponadpodstawowych, gimnazjów oraz szkół ponadgimnazjalnych (z wyłączeniem szkół policealnych), z uwzględnieniem profilaktyki uzależnień. Organizacje przeprowadziły zajęcia profilaktyczne dot. zagrożeń wynikających ze stosowania substancji psychoaktywnych (w tym alkoholu) oraz nadmiernego korzystania z gier komputerowych. Zajęcia z profilaktyki uzależnień prowadziły osoby z adekwatnymi kwalifikacjami. Zajęcia miały charakter stacjonarny i zostały dostosowane do panującego reżimu sanitarnego wynikającego z pandemii COVID-19.</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Pracownia Sztuk Tradycyjnych</w:t>
      </w:r>
    </w:p>
    <w:p w:rsidR="00CA14AB" w:rsidRPr="00E00B35" w:rsidRDefault="00CA14AB" w:rsidP="00E00B35">
      <w:pPr>
        <w:spacing w:after="0" w:line="312" w:lineRule="auto"/>
        <w:rPr>
          <w:szCs w:val="20"/>
        </w:rPr>
      </w:pPr>
      <w:r w:rsidRPr="00E00B35">
        <w:rPr>
          <w:szCs w:val="20"/>
        </w:rPr>
        <w:t>Okres realizacji: 01 września 2020 r. – 30 czerwca 2021 r. (umowa wieloletnia)</w:t>
      </w:r>
      <w:r w:rsidRPr="00E00B35">
        <w:rPr>
          <w:szCs w:val="20"/>
        </w:rPr>
        <w:br/>
        <w:t>Liczba zawartych umów: 1</w:t>
      </w:r>
      <w:r w:rsidRPr="00E00B35">
        <w:rPr>
          <w:szCs w:val="20"/>
        </w:rPr>
        <w:br/>
        <w:t>Liczba odbiorców: 45</w:t>
      </w:r>
      <w:r w:rsidRPr="00E00B35">
        <w:rPr>
          <w:szCs w:val="20"/>
        </w:rPr>
        <w:br/>
        <w:t>Kwota dotacji: 5 360 zł (na lata 2020-2021 łącznie 13 480 zł)</w:t>
      </w:r>
    </w:p>
    <w:p w:rsidR="00CA14AB" w:rsidRPr="00E00B35" w:rsidRDefault="00CA14AB" w:rsidP="00E00B35">
      <w:pPr>
        <w:spacing w:after="0" w:line="312" w:lineRule="auto"/>
        <w:rPr>
          <w:szCs w:val="20"/>
        </w:rPr>
      </w:pPr>
      <w:r w:rsidRPr="00E00B35">
        <w:rPr>
          <w:szCs w:val="20"/>
        </w:rPr>
        <w:t>Celem zadania było zapoznanie dzieci i młodzieży z technikami rękodzielnictwa tradycyjnego oraz z muzyką i instrumentami etnicznymi. Zadanie realizowane było w formie warsztatów artystycznych dla dzieci ze szkól podstawowych. W związku z COVID-19 i obowiązującym reżimem sanitarnym część zajęć przeprowadzono także w formie on-line. Organizowane były transmisje na żywo, w ramach których dzieci i rodzice brali wspólny udział. Organizator uważa to za dotatkową wartość, gdyż gdy zajęcia prowadzone były tylko w formie stacjonarnej nie udawało się zaangażować rodziców do udziału zajęciach, mimo że byli wielokrotnie na nie zapraszani.</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Powrót do korzeni-muzyka, taniec, śpiew, polskie tradycje ludowe</w:t>
      </w:r>
    </w:p>
    <w:p w:rsidR="00CA14AB" w:rsidRPr="00E00B35" w:rsidRDefault="00CA14AB" w:rsidP="00E00B35">
      <w:pPr>
        <w:spacing w:after="0" w:line="312" w:lineRule="auto"/>
        <w:rPr>
          <w:szCs w:val="20"/>
        </w:rPr>
      </w:pPr>
      <w:r w:rsidRPr="00E00B35">
        <w:rPr>
          <w:szCs w:val="20"/>
        </w:rPr>
        <w:t>Okres realizacji: 02 września 2020 r. – 20 czerwca 2021 r. (umowa wieloletnia)</w:t>
      </w:r>
      <w:r w:rsidRPr="00E00B35">
        <w:rPr>
          <w:szCs w:val="20"/>
        </w:rPr>
        <w:br/>
        <w:t>Liczba zawartych umów: 1</w:t>
      </w:r>
      <w:r w:rsidRPr="00E00B35">
        <w:rPr>
          <w:szCs w:val="20"/>
        </w:rPr>
        <w:br/>
      </w:r>
      <w:r w:rsidRPr="00E00B35">
        <w:rPr>
          <w:szCs w:val="20"/>
        </w:rPr>
        <w:lastRenderedPageBreak/>
        <w:t>Liczba odbiorców: 200</w:t>
      </w:r>
      <w:r w:rsidRPr="00E00B35">
        <w:rPr>
          <w:szCs w:val="20"/>
        </w:rPr>
        <w:br/>
        <w:t>Kwota dotacji: 18 000 zł (na lata 2020-2021 łącznie 45 000 zł)</w:t>
      </w:r>
    </w:p>
    <w:p w:rsidR="00CA14AB" w:rsidRPr="00E00B35" w:rsidRDefault="00CA14AB" w:rsidP="00E00B35">
      <w:pPr>
        <w:spacing w:after="0" w:line="312" w:lineRule="auto"/>
        <w:rPr>
          <w:szCs w:val="20"/>
        </w:rPr>
      </w:pPr>
      <w:r w:rsidRPr="00E00B35">
        <w:rPr>
          <w:szCs w:val="20"/>
        </w:rPr>
        <w:t>Celem zadnia było propagowanie tańca i pieśni ludowych poprzez działania Reprezentacyjnego Dolnośląskiego Zespołu Pieśni i Tańca „Wrocław”. Działania skierowane były do dzieci, młodzieży i dorosłych. W związku z COVID-19 i obowiązującym reżimem sanitarnym część zajęć warsztatowych oraz występy odbywały się także w formie on-line. Cześć zajęć tanecznych została odwołana z powodu choroby prowadzących na COVID-19. Skutkowało to zwrotem części dotacji.</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Wzajemnie potrzebni – edukacja do starości</w:t>
      </w:r>
    </w:p>
    <w:p w:rsidR="00CA14AB" w:rsidRPr="00E00B35" w:rsidRDefault="00CA14AB" w:rsidP="00E00B35">
      <w:pPr>
        <w:spacing w:after="0" w:line="312" w:lineRule="auto"/>
        <w:rPr>
          <w:szCs w:val="20"/>
        </w:rPr>
      </w:pPr>
      <w:r w:rsidRPr="00E00B35">
        <w:rPr>
          <w:szCs w:val="20"/>
        </w:rPr>
        <w:t>Okres realizacji: 01 września 2020 r. – 31 grudnia 2020 r.</w:t>
      </w:r>
      <w:r w:rsidRPr="00E00B35">
        <w:rPr>
          <w:szCs w:val="20"/>
        </w:rPr>
        <w:br/>
        <w:t>Liczba zawartych umów: 1</w:t>
      </w:r>
      <w:r w:rsidRPr="00E00B35">
        <w:rPr>
          <w:szCs w:val="20"/>
        </w:rPr>
        <w:br/>
        <w:t>Liczba odbiorców: 50</w:t>
      </w:r>
      <w:r w:rsidRPr="00E00B35">
        <w:rPr>
          <w:szCs w:val="20"/>
        </w:rPr>
        <w:br/>
        <w:t xml:space="preserve">Kwota dotacji: 126 500,00 </w:t>
      </w:r>
    </w:p>
    <w:p w:rsidR="00CA14AB" w:rsidRPr="00E00B35" w:rsidRDefault="00CA14AB" w:rsidP="00E00B35">
      <w:pPr>
        <w:spacing w:after="0" w:line="312" w:lineRule="auto"/>
        <w:rPr>
          <w:szCs w:val="20"/>
        </w:rPr>
      </w:pPr>
      <w:r w:rsidRPr="00E00B35">
        <w:rPr>
          <w:szCs w:val="20"/>
        </w:rPr>
        <w:t>Celem zadnia było przeprowadzenie konferencji dot. zagadnień starości oraz integracji międzypokoleniowej oraz wykonanie remontu podjazdu do budynku należącego do Gminy Wrocław, w celu dostosowania go do osób niepełnosprawnych przy ul. Sołtysowickiej 59a.</w:t>
      </w:r>
      <w:r w:rsidRPr="00E00B35">
        <w:rPr>
          <w:szCs w:val="20"/>
        </w:rPr>
        <w:br/>
        <w:t xml:space="preserve">Pandemia nie miała wpływu na realizację zadania.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Zajęcia wyrównawcze dla dzieci i młodzieży</w:t>
      </w:r>
    </w:p>
    <w:p w:rsidR="00CA14AB" w:rsidRPr="00E00B35" w:rsidRDefault="00CA14AB" w:rsidP="00E00B35">
      <w:pPr>
        <w:spacing w:after="0" w:line="312" w:lineRule="auto"/>
        <w:rPr>
          <w:szCs w:val="20"/>
        </w:rPr>
      </w:pPr>
      <w:r w:rsidRPr="00E00B35">
        <w:rPr>
          <w:szCs w:val="20"/>
        </w:rPr>
        <w:t xml:space="preserve">Okres realizacji: 14 września  2020 r. – 30 czerwca 2021 r. (umowa wieloletnia) </w:t>
      </w:r>
      <w:r w:rsidRPr="00E00B35">
        <w:rPr>
          <w:szCs w:val="20"/>
        </w:rPr>
        <w:br/>
        <w:t>Liczba zawartych umów: 1</w:t>
      </w:r>
      <w:r w:rsidRPr="00E00B35">
        <w:rPr>
          <w:szCs w:val="20"/>
        </w:rPr>
        <w:br/>
        <w:t>Liczba odbiorców: 24</w:t>
      </w:r>
      <w:r w:rsidRPr="00E00B35">
        <w:rPr>
          <w:szCs w:val="20"/>
        </w:rPr>
        <w:br/>
        <w:t>Kwota dotacji: 14 140 zł (na lata 2020-2021 łącznie 34 700 zł)</w:t>
      </w:r>
    </w:p>
    <w:p w:rsidR="00CA14AB" w:rsidRPr="00E00B35" w:rsidRDefault="00CA14AB" w:rsidP="00E00B35">
      <w:pPr>
        <w:spacing w:after="0" w:line="312" w:lineRule="auto"/>
        <w:rPr>
          <w:szCs w:val="20"/>
        </w:rPr>
      </w:pPr>
      <w:r w:rsidRPr="00E00B35">
        <w:rPr>
          <w:szCs w:val="20"/>
        </w:rPr>
        <w:t>Celem realizacji zadania publicznego było wyrównywanie szans edukacyjnych dzieci i młodzieży oraz podnoszenie poziomu wiedzy i umiejętności z zakresu programów szkolnych w szczególności z przedmiotów ścisłych.</w:t>
      </w:r>
    </w:p>
    <w:p w:rsidR="00CA14AB" w:rsidRPr="00E00B35" w:rsidRDefault="00CA14AB" w:rsidP="00E00B35">
      <w:pPr>
        <w:spacing w:after="0" w:line="312" w:lineRule="auto"/>
        <w:rPr>
          <w:szCs w:val="20"/>
        </w:rPr>
      </w:pPr>
      <w:r w:rsidRPr="00E00B35">
        <w:rPr>
          <w:szCs w:val="20"/>
        </w:rPr>
        <w:t xml:space="preserve">W związku sytuacją pandemiczną Covid-19 działania realizowane były z zachowaniem wytycznych i zaleceń Głównego Inspektoratu Sanitarnego i Ministerstwa Zdrowia, w tym zasad bezpiecznego postępowania, bądź w formie on-line.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Organizacja i przeprowadzenie Mistrzostw Wrocławia Szkół Średnich w Żeglarstwie, Kajakarstwie i Na Deskach SUP</w:t>
      </w:r>
    </w:p>
    <w:p w:rsidR="00CA14AB" w:rsidRPr="00E00B35" w:rsidRDefault="00CA14AB" w:rsidP="00E00B35">
      <w:pPr>
        <w:spacing w:after="0" w:line="312" w:lineRule="auto"/>
        <w:rPr>
          <w:szCs w:val="20"/>
        </w:rPr>
      </w:pPr>
      <w:r w:rsidRPr="00E00B35">
        <w:rPr>
          <w:szCs w:val="20"/>
        </w:rPr>
        <w:t>Okres realizacji: 17.09.2020 - 15.11.2020</w:t>
      </w:r>
      <w:r w:rsidRPr="00E00B35">
        <w:rPr>
          <w:szCs w:val="20"/>
        </w:rPr>
        <w:br/>
        <w:t>Liczba zawartych umów: 1</w:t>
      </w:r>
      <w:r w:rsidRPr="00E00B35">
        <w:rPr>
          <w:szCs w:val="20"/>
        </w:rPr>
        <w:br/>
        <w:t>Liczba odbiorców: 61</w:t>
      </w:r>
      <w:r w:rsidRPr="00E00B35">
        <w:rPr>
          <w:szCs w:val="20"/>
        </w:rPr>
        <w:br/>
        <w:t>Kwota dotacji: 120 000,00</w:t>
      </w:r>
    </w:p>
    <w:p w:rsidR="00CA14AB" w:rsidRPr="00E00B35" w:rsidRDefault="00CA14AB" w:rsidP="00E00B35">
      <w:pPr>
        <w:spacing w:after="0" w:line="312" w:lineRule="auto"/>
        <w:rPr>
          <w:szCs w:val="20"/>
        </w:rPr>
      </w:pPr>
      <w:r w:rsidRPr="00E00B35">
        <w:rPr>
          <w:szCs w:val="20"/>
        </w:rPr>
        <w:t>Celem realizacji zadania publicznego było wspieranie aktywności młodzieży poprzez organizację i przeprowadzenie Mistrzostw Wrocławia Szkół Średnich w Żeglarstwie, Kajakarstwie i na Deskach SUP oraz przygotowanie i uzupełnienie niezbędnego sprzętu.</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UCZELnia w czasach COVID</w:t>
      </w:r>
    </w:p>
    <w:p w:rsidR="00CA14AB" w:rsidRPr="00E00B35" w:rsidRDefault="00CA14AB" w:rsidP="00E00B35">
      <w:pPr>
        <w:spacing w:after="0" w:line="312" w:lineRule="auto"/>
        <w:rPr>
          <w:szCs w:val="20"/>
        </w:rPr>
      </w:pPr>
      <w:r w:rsidRPr="00E00B35">
        <w:rPr>
          <w:szCs w:val="20"/>
        </w:rPr>
        <w:t>Okres realizacji: 8 października 2020 r. – 30 czerwca 2021 r. (umowa wieloletnia)</w:t>
      </w:r>
      <w:r w:rsidRPr="00E00B35">
        <w:rPr>
          <w:szCs w:val="20"/>
        </w:rPr>
        <w:br/>
        <w:t>Liczba zawartych umów: 1</w:t>
      </w:r>
      <w:r w:rsidRPr="00E00B35">
        <w:rPr>
          <w:szCs w:val="20"/>
        </w:rPr>
        <w:br/>
        <w:t xml:space="preserve">Liczba odbiorców: 72 </w:t>
      </w:r>
      <w:r w:rsidRPr="00E00B35">
        <w:rPr>
          <w:szCs w:val="20"/>
        </w:rPr>
        <w:br/>
        <w:t xml:space="preserve">Kwota dotacji: 13 500,00 zł (na lata 2020-2021 łącznie 33 500,00 zł) </w:t>
      </w:r>
    </w:p>
    <w:p w:rsidR="00CA14AB" w:rsidRPr="00E00B35" w:rsidRDefault="00CA14AB" w:rsidP="00E00B35">
      <w:pPr>
        <w:spacing w:after="0" w:line="312" w:lineRule="auto"/>
        <w:rPr>
          <w:szCs w:val="20"/>
        </w:rPr>
      </w:pPr>
      <w:r w:rsidRPr="00E00B35">
        <w:rPr>
          <w:szCs w:val="20"/>
        </w:rPr>
        <w:t>Celem realizacji zadania publicznego było wyrównywanie szans edukacyjnych dzieci ze szkół podstawowych we Wrocławiu, w tym dzieci obcojęzycznych oraz popularyzacja wiedzy i budowanie pozytywnej motywacji do kształcenia. Zadanie było odpowiedzią na potrzeby dzieci wrocławskich szkół podstawowych w czasach pandemii COVID i  polega na wsparciu edukacyjnym  dzieci z wrocławskich szkół podstawowych, w tym dzieci obcojęzycznych poprzez organizację cyklu zajęć w zakresie: języka polskiego, języków obcych, nauk ścisłych ( matematyka i fizyka ) oraz nauk biologiczno – chemicznych.</w:t>
      </w:r>
    </w:p>
    <w:p w:rsidR="00CA14AB" w:rsidRPr="00E00B35" w:rsidRDefault="00CA14AB" w:rsidP="00E00B35">
      <w:pPr>
        <w:spacing w:after="0" w:line="312" w:lineRule="auto"/>
        <w:rPr>
          <w:szCs w:val="20"/>
        </w:rPr>
      </w:pPr>
      <w:r w:rsidRPr="00E00B35">
        <w:rPr>
          <w:szCs w:val="20"/>
        </w:rPr>
        <w:t>W związku sytuacją pandemiczną Covid-19 działania realizowane były z zachowaniem wytycznych i zaleceń Głównego Inspektoratu Sanitarnego i Ministerstwa Zdrowia, w tym zasad bezpiecznego postępowania.</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Centrum Aktywności Lokalnej – Księże – pilotaż</w:t>
      </w:r>
    </w:p>
    <w:p w:rsidR="00CA14AB" w:rsidRPr="00E00B35" w:rsidRDefault="00CA14AB" w:rsidP="00E00B35">
      <w:pPr>
        <w:spacing w:after="0" w:line="312" w:lineRule="auto"/>
        <w:rPr>
          <w:szCs w:val="20"/>
        </w:rPr>
      </w:pPr>
      <w:r w:rsidRPr="00E00B35">
        <w:rPr>
          <w:szCs w:val="20"/>
        </w:rPr>
        <w:t>Okres realizacji: 30.10.2020 - 31.12.2021  (umowa wieloletnia)</w:t>
      </w:r>
      <w:r w:rsidRPr="00E00B35">
        <w:rPr>
          <w:szCs w:val="20"/>
        </w:rPr>
        <w:br/>
        <w:t>Liczba zawartych umów: 1</w:t>
      </w:r>
      <w:r w:rsidRPr="00E00B35">
        <w:rPr>
          <w:szCs w:val="20"/>
        </w:rPr>
        <w:br/>
        <w:t>Liczba odbiorców: 650 osób stacjonarnie i 3805 on-line (liczba wyświetleń filmów z                                                                                                                                        zajęciami)</w:t>
      </w:r>
      <w:r w:rsidRPr="00E00B35">
        <w:rPr>
          <w:szCs w:val="20"/>
        </w:rPr>
        <w:br/>
        <w:t>Kwota dotacji: 99 815,00 zł (na lata 2020-2021 łącznie 279 815,00 zł)</w:t>
      </w:r>
    </w:p>
    <w:p w:rsidR="00CA14AB" w:rsidRPr="00E00B35" w:rsidRDefault="00CA14AB" w:rsidP="00E00B35">
      <w:pPr>
        <w:spacing w:after="0" w:line="312" w:lineRule="auto"/>
        <w:rPr>
          <w:szCs w:val="20"/>
        </w:rPr>
      </w:pPr>
      <w:r w:rsidRPr="00E00B35">
        <w:rPr>
          <w:szCs w:val="20"/>
        </w:rPr>
        <w:t xml:space="preserve">Celem realizacji zadania publicznego było aktywizowanie i integrowanie społeczności lokalnej osiedla Księża we Wrocławiu. W ramach zadania w pełni doposażono lokal w sprzęt i wyposażenie niezbędne do umożliwienia członkom lokalnej społeczności korzystanie z zajęć oferowanych w CAL. Zrealizowano następujące zajęcia: kulinarne, fitness, biegowe, modelarskie, filmowe, warsztaty-eko, zajęcia rozwojowo-edukacyjne dla dzieci. Część zajęć, z uwagi na sytuację pandemiczną, oferowana była w formie on-line np. warsztaty kulinarne, filmowe, ekologiczne. Część zajęć z uwagi na pandemię nie mogła się odbyć np. nie odbyły się spotkania związane z animowaniem partnerstwa lokalnego czy warsztaty gitarowe.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Centrum Aktywności Lokalnej – Karłowice-Różanka – pilotaż</w:t>
      </w:r>
    </w:p>
    <w:p w:rsidR="00CA14AB" w:rsidRPr="00E00B35" w:rsidRDefault="00CA14AB" w:rsidP="00E00B35">
      <w:pPr>
        <w:spacing w:after="0" w:line="312" w:lineRule="auto"/>
        <w:rPr>
          <w:szCs w:val="20"/>
        </w:rPr>
      </w:pPr>
      <w:r w:rsidRPr="00E00B35">
        <w:rPr>
          <w:szCs w:val="20"/>
        </w:rPr>
        <w:t>Okres realizacji: 30.10.2020 r. – 31.12.2021 r.  (umowa wieloletnia)</w:t>
      </w:r>
      <w:r w:rsidRPr="00E00B35">
        <w:rPr>
          <w:szCs w:val="20"/>
        </w:rPr>
        <w:br/>
        <w:t>Liczba zawartych umów: 1</w:t>
      </w:r>
      <w:r w:rsidRPr="00E00B35">
        <w:rPr>
          <w:szCs w:val="20"/>
        </w:rPr>
        <w:br/>
        <w:t>Kwota dotacji: 99 998zł (na lata 2020-2021 łącznie 279 896,00 zł)</w:t>
      </w:r>
    </w:p>
    <w:p w:rsidR="00CA14AB" w:rsidRPr="00E00B35" w:rsidRDefault="00CA14AB" w:rsidP="00E00B35">
      <w:pPr>
        <w:spacing w:after="0" w:line="312" w:lineRule="auto"/>
        <w:rPr>
          <w:szCs w:val="20"/>
        </w:rPr>
      </w:pPr>
      <w:r w:rsidRPr="00E00B35">
        <w:rPr>
          <w:szCs w:val="20"/>
        </w:rPr>
        <w:t>Celem realizacji zadania publicznego było aktywizowanie i integrowanie społeczności lokalnej osiedla Karłowice-Różanka we Wrocławiu.</w:t>
      </w:r>
      <w:r w:rsidRPr="00E00B35">
        <w:rPr>
          <w:szCs w:val="20"/>
        </w:rPr>
        <w:br/>
        <w:t xml:space="preserve">W ramach zadania publicznego realizowane były: działania warsztatowe i procesowe nakierowane na wzmocnienie siły i rozwój potencjału społeczności lokalnej osiedla Różanka - Karłowice, łączenie potencjalnych partnerów w pracy na rzecz osiedli, miasta i jego mieszkańców, tworzenie i rozwijanie sieci współpracy, będącej narzędziem do </w:t>
      </w:r>
      <w:r w:rsidRPr="00E00B35">
        <w:rPr>
          <w:szCs w:val="20"/>
        </w:rPr>
        <w:lastRenderedPageBreak/>
        <w:t>stawiania czoła wyzwaniom, jakie stoją przed mieszkańcami i użytkownikami osiedli oraz do dokonywania zmian społecznych.</w:t>
      </w:r>
      <w:r w:rsidRPr="00E00B35">
        <w:rPr>
          <w:szCs w:val="20"/>
        </w:rPr>
        <w:br/>
      </w:r>
      <w:r w:rsidRPr="00E00B35">
        <w:rPr>
          <w:szCs w:val="20"/>
        </w:rPr>
        <w:br/>
        <w:t xml:space="preserve">Ze względu na ograniczenia wprowadzone z powodu pandemii COVID-19 cześć zajęć odbyła się w mniejszych grupach lub on-line.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VI Wrocławski „Kulinarny Rajd Młodych Mistrzów”</w:t>
      </w:r>
    </w:p>
    <w:p w:rsidR="00CA14AB" w:rsidRPr="00E00B35" w:rsidRDefault="00CA14AB" w:rsidP="00E00B35">
      <w:pPr>
        <w:spacing w:after="0" w:line="312" w:lineRule="auto"/>
        <w:rPr>
          <w:szCs w:val="20"/>
        </w:rPr>
      </w:pPr>
      <w:r w:rsidRPr="00E00B35">
        <w:rPr>
          <w:szCs w:val="20"/>
        </w:rPr>
        <w:t xml:space="preserve">Okres realizacji: 3 listopada 2020 r.  – 31 grudnia 2020 r.  </w:t>
      </w:r>
      <w:r w:rsidRPr="00E00B35">
        <w:rPr>
          <w:szCs w:val="20"/>
        </w:rPr>
        <w:br/>
        <w:t>Liczba zawartych umów: 1 / porozumienie rozwiązujące z dnia 23.12.2020 /</w:t>
      </w:r>
      <w:r w:rsidRPr="00E00B35">
        <w:rPr>
          <w:szCs w:val="20"/>
        </w:rPr>
        <w:br/>
        <w:t>Kwota dotacji: 20 000 zł  - zwrot dotacji dn. 15.12.2020</w:t>
      </w:r>
    </w:p>
    <w:p w:rsidR="00CA14AB" w:rsidRPr="00E00B35" w:rsidRDefault="00CA14AB" w:rsidP="00E00B35">
      <w:pPr>
        <w:spacing w:after="0" w:line="312" w:lineRule="auto"/>
        <w:rPr>
          <w:szCs w:val="20"/>
        </w:rPr>
      </w:pPr>
      <w:r w:rsidRPr="00E00B35">
        <w:rPr>
          <w:szCs w:val="20"/>
        </w:rPr>
        <w:t xml:space="preserve">Celem realizacji zadania publicznego miała być popularyzacja zawodu kucharza wśród młodzieży uczącej się i/lub mieszkającej we Wrocławiu oraz promocja Wrocławia </w:t>
      </w:r>
      <w:r w:rsidRPr="00E00B35">
        <w:rPr>
          <w:szCs w:val="20"/>
        </w:rPr>
        <w:br/>
        <w:t>na kulinarnej mapie Polski. Zadanie nie zostało zrealizowane ze względu na COVID-19 i naukę zdalna w szkołach a dotacja w całości zwrócona.</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 xml:space="preserve">Wszystko zaczęło się we Wrocławiu  </w:t>
      </w:r>
    </w:p>
    <w:p w:rsidR="00CA14AB" w:rsidRPr="00E00B35" w:rsidRDefault="00CA14AB" w:rsidP="00E00B35">
      <w:pPr>
        <w:spacing w:after="0" w:line="312" w:lineRule="auto"/>
        <w:rPr>
          <w:szCs w:val="20"/>
        </w:rPr>
      </w:pPr>
      <w:r w:rsidRPr="00E00B35">
        <w:rPr>
          <w:szCs w:val="20"/>
        </w:rPr>
        <w:t xml:space="preserve">Okres realizacji: 23 października 2020 r. – 31 grudnia 2020 r.  </w:t>
      </w:r>
      <w:r w:rsidRPr="00E00B35">
        <w:rPr>
          <w:szCs w:val="20"/>
        </w:rPr>
        <w:br/>
        <w:t>Liczba zawartych umów: 1</w:t>
      </w:r>
      <w:r w:rsidRPr="00E00B35">
        <w:rPr>
          <w:szCs w:val="20"/>
        </w:rPr>
        <w:br/>
        <w:t xml:space="preserve">Kwota dotacji: 40 000 zł </w:t>
      </w:r>
    </w:p>
    <w:p w:rsidR="00CA14AB" w:rsidRPr="00E00B35" w:rsidRDefault="00CA14AB" w:rsidP="00E00B35">
      <w:pPr>
        <w:spacing w:after="0" w:line="312" w:lineRule="auto"/>
        <w:rPr>
          <w:szCs w:val="20"/>
        </w:rPr>
      </w:pPr>
      <w:r w:rsidRPr="00E00B35">
        <w:rPr>
          <w:szCs w:val="20"/>
        </w:rPr>
        <w:t xml:space="preserve">Celem realizacji zadania publicznego była promocja Wrocławia poprzez prezentację Miasta jako idącego z duchem czasu, otwartego na pomysły, wspierającego wszystkich swoich mieszkańców, ale także wrażliwego na potrzeby najsłabszych i realizującego skuteczne działania dla osób w kryzysie bezdomności. </w:t>
      </w:r>
    </w:p>
    <w:p w:rsidR="00CA14AB" w:rsidRPr="00E00B35" w:rsidRDefault="00CA14AB" w:rsidP="00E00B35">
      <w:pPr>
        <w:spacing w:after="0" w:line="312" w:lineRule="auto"/>
        <w:rPr>
          <w:szCs w:val="20"/>
        </w:rPr>
      </w:pPr>
      <w:r w:rsidRPr="00E00B35">
        <w:rPr>
          <w:szCs w:val="20"/>
        </w:rPr>
        <w:t>Zadanie publiczne obejmowało organizację i przeprowadzenie wystawy plenerowej we Wrocławiu i w dwóch innych dużych miastach polskich (powyżej 400 000 mieszkańców). Wydanie i dystrybucję na terenie Wrocławia i Polski publikacji w ilości 1000 szt. promującej dokonania Wrocławia, jako miasta, gdzie realizowane są skuteczne działania dla osób w kryzysie bezdomności, a jej dystrybucja była  skierowana do podmiotów instytucjonalnych na terenie min. 50 miejscowości w Polsce.</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Laboratorium Dialogu</w:t>
      </w:r>
    </w:p>
    <w:p w:rsidR="00CA14AB" w:rsidRPr="00E00B35" w:rsidRDefault="00CA14AB" w:rsidP="00E00B35">
      <w:pPr>
        <w:spacing w:after="0" w:line="312" w:lineRule="auto"/>
        <w:rPr>
          <w:szCs w:val="20"/>
        </w:rPr>
      </w:pPr>
      <w:r w:rsidRPr="00E00B35">
        <w:rPr>
          <w:szCs w:val="20"/>
        </w:rPr>
        <w:t>Okres realizacji: 30 listopada 2020 – 31 grudnia 2020 roku.</w:t>
      </w:r>
      <w:r w:rsidRPr="00E00B35">
        <w:rPr>
          <w:szCs w:val="20"/>
        </w:rPr>
        <w:br/>
        <w:t xml:space="preserve">Liczba zawartych umów: 1 </w:t>
      </w:r>
      <w:r w:rsidRPr="00E00B35">
        <w:rPr>
          <w:szCs w:val="20"/>
        </w:rPr>
        <w:br/>
        <w:t>Liczba odbiorców: 3 700 odbiorców na żywo, 14 000 odbiorców  transmisji online</w:t>
      </w:r>
      <w:r w:rsidRPr="00E00B35">
        <w:rPr>
          <w:szCs w:val="20"/>
        </w:rPr>
        <w:br/>
        <w:t>Kwota dotacji: 38 000 zł</w:t>
      </w:r>
    </w:p>
    <w:p w:rsidR="00CA14AB" w:rsidRPr="00E00B35" w:rsidRDefault="00CA14AB" w:rsidP="00E00B35">
      <w:pPr>
        <w:spacing w:after="0" w:line="312" w:lineRule="auto"/>
        <w:rPr>
          <w:szCs w:val="20"/>
        </w:rPr>
      </w:pPr>
      <w:r w:rsidRPr="00E00B35">
        <w:rPr>
          <w:szCs w:val="20"/>
        </w:rPr>
        <w:t xml:space="preserve">Celem realizacji zadania było przeprowadzenie trzech debat dotyczących zagadnień związanych z aktualnymi wyzwaniami przed jakimi stoją mieszkańcy Wrocławia. W związku z pandemia COVID-19 debaty odbyły się w formie online. W ramach debat poruszano między innymi zagadnienia dotyczące systemu wsparcia dla rodziców dzieci niepełnosprawnych, praw i wolności obywatela w kontekście aktualnych wydarzeń, edukacja w pandemii itp. Debaty były tłumaczone na język migowy. Po debatach przygotowano, krótkie kompendium wiedzy o zasadach dobrego dialogu, które dostępne jest na stronie: </w:t>
      </w:r>
      <w:hyperlink r:id="rId91" w:history="1">
        <w:r w:rsidRPr="00E00B35">
          <w:rPr>
            <w:szCs w:val="20"/>
          </w:rPr>
          <w:t>https://wro-ngo.pl/abecadlo-dialogu/</w:t>
        </w:r>
      </w:hyperlink>
      <w:r w:rsidRPr="00E00B35">
        <w:rPr>
          <w:szCs w:val="20"/>
        </w:rPr>
        <w:t xml:space="preserve">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Uruchomienie Fabryczki Ecobauhaus</w:t>
      </w:r>
    </w:p>
    <w:p w:rsidR="00CA14AB" w:rsidRPr="00E00B35" w:rsidRDefault="00CA14AB" w:rsidP="00E00B35">
      <w:pPr>
        <w:spacing w:after="0" w:line="312" w:lineRule="auto"/>
        <w:rPr>
          <w:szCs w:val="20"/>
        </w:rPr>
      </w:pPr>
      <w:r w:rsidRPr="00E00B35">
        <w:rPr>
          <w:szCs w:val="20"/>
        </w:rPr>
        <w:t>Okres realizacji: 23 listopada 2020 – 31 grudnia 2020</w:t>
      </w:r>
      <w:r w:rsidRPr="00E00B35">
        <w:rPr>
          <w:szCs w:val="20"/>
        </w:rPr>
        <w:br/>
        <w:t>Liczba zawartych umów: 1</w:t>
      </w:r>
      <w:r w:rsidRPr="00E00B35">
        <w:rPr>
          <w:szCs w:val="20"/>
        </w:rPr>
        <w:br/>
        <w:t xml:space="preserve">Liczba odbiorców: 12 </w:t>
      </w:r>
      <w:r w:rsidRPr="00E00B35">
        <w:rPr>
          <w:szCs w:val="20"/>
        </w:rPr>
        <w:br/>
        <w:t>Kwota dotacji: 32 000 zł</w:t>
      </w:r>
    </w:p>
    <w:p w:rsidR="00CA14AB" w:rsidRPr="00E00B35" w:rsidRDefault="00CA14AB" w:rsidP="00E00B35">
      <w:pPr>
        <w:spacing w:after="0" w:line="312" w:lineRule="auto"/>
        <w:rPr>
          <w:szCs w:val="20"/>
        </w:rPr>
      </w:pPr>
      <w:r w:rsidRPr="00E00B35">
        <w:rPr>
          <w:szCs w:val="20"/>
        </w:rPr>
        <w:t>Celem zadania była aktywizacja i reintegracja  osób z doświadczeniem bezdomności oraz uruchomienie nowej pracowni designu upcyklingowego, gdzie odbywać się będą  warsztaty oparte na przetwarzaniu materiałów odpadowych z odzysku.</w:t>
      </w:r>
      <w:r w:rsidRPr="00E00B35">
        <w:rPr>
          <w:szCs w:val="20"/>
        </w:rPr>
        <w:br/>
        <w:t>Sytuacja pandemiczna nie wpłynęła na realizację zadania.</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Centrum Organizacji Pozarządowych – Skłodowskiej-Curie</w:t>
      </w:r>
    </w:p>
    <w:p w:rsidR="00CA14AB" w:rsidRPr="00E00B35" w:rsidRDefault="00CA14AB" w:rsidP="00E00B35">
      <w:pPr>
        <w:spacing w:after="0" w:line="312" w:lineRule="auto"/>
        <w:rPr>
          <w:szCs w:val="20"/>
        </w:rPr>
      </w:pPr>
      <w:r w:rsidRPr="00E00B35">
        <w:rPr>
          <w:szCs w:val="20"/>
        </w:rPr>
        <w:t xml:space="preserve">Okres realizacji: 18 listopada 2020 r. – 31 grudnia 2020 r.  </w:t>
      </w:r>
      <w:r w:rsidRPr="00E00B35">
        <w:rPr>
          <w:szCs w:val="20"/>
        </w:rPr>
        <w:br/>
        <w:t>Liczba zawartych umów: 1</w:t>
      </w:r>
      <w:r w:rsidRPr="00E00B35">
        <w:rPr>
          <w:szCs w:val="20"/>
        </w:rPr>
        <w:br/>
        <w:t>Kwota dotacji: 199 068 zł</w:t>
      </w:r>
    </w:p>
    <w:p w:rsidR="00CA14AB" w:rsidRPr="00E00B35" w:rsidRDefault="00CA14AB" w:rsidP="00E00B35">
      <w:pPr>
        <w:spacing w:after="0" w:line="312" w:lineRule="auto"/>
        <w:rPr>
          <w:rFonts w:eastAsia="Calibri"/>
          <w:szCs w:val="20"/>
        </w:rPr>
      </w:pPr>
      <w:r w:rsidRPr="00E00B35">
        <w:rPr>
          <w:rFonts w:eastAsia="Calibri"/>
          <w:szCs w:val="20"/>
        </w:rPr>
        <w:t xml:space="preserve">Celem realizacji zadania publicznego było zapewnienie zaplecza infrastrukturalnego dla działalności organizacji pozarządowych działających na rzecz mieszkańców Wrocławia, w szczególności osiedla Plac Grunwaldzki. W ramach zadania przeprowadzono następujące działania: modernizacja i adaptacja budynku w tym przystosowanie dwudziestu pomieszczeń, poprawa stanu technicznego toalet; wyposażenie obiektu oraz przeprowadzenie trzech tematycznych warsztatów adresowanych do lokalnej społeczności w tym do przedstawicieli organizacji pozarządowych.   </w:t>
      </w:r>
    </w:p>
    <w:p w:rsidR="00CA14AB" w:rsidRPr="00E00B35" w:rsidRDefault="00CA14AB" w:rsidP="00E00B35">
      <w:pPr>
        <w:spacing w:after="0" w:line="312" w:lineRule="auto"/>
        <w:rPr>
          <w:szCs w:val="20"/>
        </w:rPr>
      </w:pPr>
      <w:r w:rsidRPr="00E00B35">
        <w:rPr>
          <w:szCs w:val="20"/>
        </w:rPr>
        <w:t xml:space="preserve">W związku sytuacją pandemiczną Covid-19 działania realizowane były z zachowaniem wytycznych i zaleceń Głównego Inspektoratu Sanitarnego i Ministerstwa Zdrowia, w tym zasad bezpiecznego postępowania, bądź w formie zdalnej. </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 xml:space="preserve">StreetBus - uliczny autobus dla osób w kryzysie ulicznej bezdomności - pilotaż </w:t>
      </w:r>
    </w:p>
    <w:p w:rsidR="00CA14AB" w:rsidRPr="00E00B35" w:rsidRDefault="00CA14AB" w:rsidP="00E00B35">
      <w:pPr>
        <w:spacing w:after="0" w:line="312" w:lineRule="auto"/>
        <w:rPr>
          <w:szCs w:val="20"/>
        </w:rPr>
      </w:pPr>
      <w:r w:rsidRPr="00E00B35">
        <w:rPr>
          <w:szCs w:val="20"/>
        </w:rPr>
        <w:t>Okres realizacji: 2 stycznia 2020 – 30 kwietnia 2020</w:t>
      </w:r>
      <w:r w:rsidRPr="00E00B35">
        <w:rPr>
          <w:szCs w:val="20"/>
        </w:rPr>
        <w:br/>
        <w:t>Liczba zawartych umów: 1</w:t>
      </w:r>
      <w:r w:rsidRPr="00E00B35">
        <w:rPr>
          <w:szCs w:val="20"/>
        </w:rPr>
        <w:br/>
        <w:t>Liczba odbiorców: 7145</w:t>
      </w:r>
      <w:r w:rsidRPr="00E00B35">
        <w:rPr>
          <w:szCs w:val="20"/>
        </w:rPr>
        <w:br/>
        <w:t>Kwota dotacji: 81 691,63</w:t>
      </w:r>
    </w:p>
    <w:p w:rsidR="00CA14AB" w:rsidRPr="00E00B35" w:rsidRDefault="00CA14AB" w:rsidP="00E00B35">
      <w:pPr>
        <w:spacing w:after="0" w:line="312" w:lineRule="auto"/>
        <w:rPr>
          <w:szCs w:val="20"/>
        </w:rPr>
      </w:pPr>
      <w:r w:rsidRPr="00E00B35">
        <w:rPr>
          <w:szCs w:val="20"/>
        </w:rPr>
        <w:t>Celem realizacji zadania publicznego było zabezpieczenie osób w kryzysie bezdomności przez siedem dni w tygodniu poprzez wydanie na stałych przystankach autobusowych pakietów usług w postaci gorącej zupy, zapakowanej w zamkniętym pojemnik jednorazowy oraz suchego prowiantu. Wydanie pakietów dla osób bezdomnych odbywało się przed busem na stałych przystanach z zachowaniem wszelkich środków bezpieczeństwa ze względu na pandemię COVID-19. Na każdym przystanku odbył się ok. 30 minutowy postój busa podczas którego wydawano wyżywienie. Dzienny kurs rozpoczynał się o godz. 19.30 i trwał co najmniej trzy godziny, ale nie dłużej niż do godz. 24.00. Każdy kurs obsługiwało dwóch wolontariuszy.</w:t>
      </w:r>
    </w:p>
    <w:p w:rsidR="00CA14AB" w:rsidRPr="00E00B35" w:rsidRDefault="00CA14AB" w:rsidP="00E00B35">
      <w:pPr>
        <w:spacing w:after="0" w:line="312" w:lineRule="auto"/>
        <w:rPr>
          <w:szCs w:val="20"/>
        </w:rPr>
      </w:pPr>
      <w:r w:rsidRPr="00E00B35">
        <w:rPr>
          <w:szCs w:val="20"/>
        </w:rPr>
        <w:t xml:space="preserve">Autobus miejski z miejscami dla 50 pasażerów o nazwie StreetBus siedem dni w tygodniu jeździł wyznaczoną na mapie miasta Wrocławia trasą, zatrzymując się na 5 przystankach stałych oraz 6 przystankach na żądania (NŻ), tj. Sieradzka, Hallera (NŻ), FAT (NŻ), </w:t>
      </w:r>
      <w:r w:rsidRPr="00E00B35">
        <w:rPr>
          <w:szCs w:val="20"/>
        </w:rPr>
        <w:lastRenderedPageBreak/>
        <w:t>Bzowa (Zajezdnia), Plac Orląt Lwowskich (NŻ), Galeria Dominikańska (NŻ), Plac Grunwaldzki (NŻ), Katedra, Kościuszki (NŻ), Sucha oraz ostatni przystanek - Zaporoska. Beneficjenci mieli możliwość przejazdu do niskoprogowej placówki interwencyjnej (ogrzewalni), tj. na ostatni przystanek kursu. Trasa przejazdu była zaplanowana w taki sposób, aby jej przebieg zapewniał adresatom zadania w miarę możliwości bezpieczne i dogodne dojście do pojazdu w godzinach wieczorno-nocnych. Przystanki wyznaczone zostały po konsultacjach zarówno ze spółką MPK, jak również ze służbami mundurowymi i Miejskim Ośrodkiem Pomocy Społecznej. Usytuowane były w bliskości miejsc, gdzie najczęściej alokują się osoby w kryzysie bezdomności. Przystanki zostały odpowiednio oznaczone, tj. zostały umieszczone rozkłady jazdy autobusu wraz z mapką całej trasy ulicznego autobusu.</w:t>
      </w:r>
    </w:p>
    <w:p w:rsidR="00CA14AB" w:rsidRPr="00E00B35" w:rsidRDefault="00CA14AB" w:rsidP="00E00B35">
      <w:pPr>
        <w:spacing w:after="0" w:line="312" w:lineRule="auto"/>
        <w:rPr>
          <w:szCs w:val="20"/>
        </w:rPr>
      </w:pPr>
      <w:r w:rsidRPr="00E00B35">
        <w:rPr>
          <w:szCs w:val="20"/>
        </w:rPr>
        <w:t>Pasażerami były głównie osoby w kryzysie bezdomności ulicznej, na stałych przystankach korzystały z ciepłego napoju i gorącej zupy. StreetBus - uliczny autobus na 4 wyznaczonych przystankach odbywał ok. 30 minutowy postój, podczas którego beneficjenci mieli możliwość ogrzania się oraz zjedzenia posiłku w środku pojazdu. Pojazd został zmodyfikowany przez partnera zadania - MPK Wrocław. Wprowadzone zostały m.in. uchwyty na termosy z zupą oraz napojem, stoliki dla korzystających z posiłku oraz wieszaki na worki na śmieci, wymieniono również obicia miejsc siedzących.</w:t>
      </w:r>
    </w:p>
    <w:p w:rsidR="00CA14AB" w:rsidRPr="00E00B35" w:rsidRDefault="00CA14AB" w:rsidP="00E00B35">
      <w:pPr>
        <w:spacing w:after="0" w:line="312" w:lineRule="auto"/>
        <w:rPr>
          <w:szCs w:val="20"/>
        </w:rPr>
      </w:pPr>
      <w:r w:rsidRPr="00E00B35">
        <w:rPr>
          <w:szCs w:val="20"/>
        </w:rPr>
        <w:t>Każdy kurs obsługiwany był przez: 2 streetworkerów, 2 asystentów streetworkerów (osoby z doświadczeniem bezdomności zaangażowane w działania strefy kreatywnej MiserArt) oraz wolontariusza rekrutowanego m.in. z organizacji pozarządowych. Wolontariusze wspierali streetworkerów oraz asystentów streetworkerów do 11 marca 2020 r. Po tym czasie, ze względu na bezpieczeństwo osób wspieranych i wspierających, podczas pandemii COVID - 19, wolontariusze nie uczestniczyli w kursach ulicznego autobusu.</w:t>
      </w:r>
    </w:p>
    <w:p w:rsidR="00544448" w:rsidRPr="00E00B35" w:rsidRDefault="00544448" w:rsidP="00E00B35">
      <w:pPr>
        <w:pStyle w:val="Nagwek4"/>
        <w:spacing w:before="0" w:after="0" w:line="312" w:lineRule="auto"/>
        <w:rPr>
          <w:sz w:val="20"/>
          <w:szCs w:val="20"/>
        </w:rPr>
      </w:pPr>
      <w:bookmarkStart w:id="174" w:name="_Toc72352335"/>
      <w:bookmarkStart w:id="175" w:name="_Toc72352769"/>
    </w:p>
    <w:p w:rsidR="00CA14AB" w:rsidRPr="00E00B35" w:rsidRDefault="00CA14AB" w:rsidP="00E00B35">
      <w:pPr>
        <w:pStyle w:val="Nagwek4"/>
        <w:spacing w:before="0" w:after="0" w:line="312" w:lineRule="auto"/>
        <w:rPr>
          <w:sz w:val="20"/>
          <w:szCs w:val="20"/>
        </w:rPr>
      </w:pPr>
      <w:r w:rsidRPr="00E00B35">
        <w:rPr>
          <w:sz w:val="20"/>
          <w:szCs w:val="20"/>
        </w:rPr>
        <w:t>V OPINIOWANIE DZIAŁALNOŚCI ORGANIZACJI POZARZĄDOWYCH</w:t>
      </w:r>
      <w:bookmarkEnd w:id="174"/>
      <w:bookmarkEnd w:id="175"/>
    </w:p>
    <w:p w:rsidR="00CA14AB" w:rsidRPr="00E00B35" w:rsidRDefault="00CA14AB" w:rsidP="00E00B35">
      <w:pPr>
        <w:spacing w:after="0" w:line="312" w:lineRule="auto"/>
        <w:rPr>
          <w:szCs w:val="20"/>
        </w:rPr>
      </w:pPr>
      <w:r w:rsidRPr="00E00B35">
        <w:rPr>
          <w:szCs w:val="20"/>
        </w:rPr>
        <w:t xml:space="preserve">W 2020 r. wydano 156 opinii o organizacjach pozarządowych w sprawach lokalowych dla: Zarządu Zasobu Komunalnego (104), Wrocławskich Mieszkań Sp. z o. o. (40), </w:t>
      </w:r>
      <w:r w:rsidRPr="00E00B35">
        <w:rPr>
          <w:szCs w:val="20"/>
        </w:rPr>
        <w:br/>
        <w:t>Departamentu Edukacji (4), Wydziału Nieruchomości Komunalnych (4), Biura Prezydenta (2), Miejskiego Ośrodka Pomocy Społecznej we Wrocławiu (1), Młodzieżowego Centrum Sportu Wrocław (1).  Opinie dotyczyły przede wszystkim: pozyskania w najem gminnych lokali użytkowych w trybie bezprzetargowym, przedłużenia wygasających umów najmu, aneksowania umów zawartych na czas nieoznaczony, udostępnienia pomieszczeń szkolnych itd.;</w:t>
      </w:r>
    </w:p>
    <w:p w:rsidR="00CA14AB" w:rsidRPr="00E00B35" w:rsidRDefault="00CA14AB" w:rsidP="00E00B35">
      <w:pPr>
        <w:spacing w:after="0" w:line="312" w:lineRule="auto"/>
        <w:rPr>
          <w:szCs w:val="20"/>
        </w:rPr>
      </w:pPr>
      <w:r w:rsidRPr="00E00B35">
        <w:rPr>
          <w:szCs w:val="20"/>
        </w:rPr>
        <w:t>Ponadto przekazano gminnym zarządcom nieruchomości 92 sprawozdania roczne z działalności prowadzonej w gminnych lokalach użytkowych, a także sporządzono 21 odpowiedzi w sprawie oczekiwań i zamierzeń inwestycyjnych w związku z przystąpieniem do sporządzania miejscowych planów zagospodarowania przestrzennego.</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 xml:space="preserve">Udostępnianie gminnych nieruchomości organizacjom pozarządowym </w:t>
      </w:r>
    </w:p>
    <w:p w:rsidR="00CA14AB" w:rsidRPr="00E00B35" w:rsidRDefault="00CA14AB" w:rsidP="00E00B35">
      <w:pPr>
        <w:spacing w:after="0" w:line="312" w:lineRule="auto"/>
        <w:rPr>
          <w:szCs w:val="20"/>
        </w:rPr>
      </w:pPr>
      <w:r w:rsidRPr="00E00B35">
        <w:rPr>
          <w:szCs w:val="20"/>
        </w:rPr>
        <w:t xml:space="preserve">W roku 2020 organizacje pozarządowe użytkowały łącznie 406 nieruchomości gminnych na podstawie całorocznych i wieloletnich tytułów prawnych (lokale użytkowe, </w:t>
      </w:r>
      <w:r w:rsidRPr="00E00B35">
        <w:rPr>
          <w:szCs w:val="20"/>
        </w:rPr>
        <w:lastRenderedPageBreak/>
        <w:t xml:space="preserve">nieruchomości zabudowane i nieruchomości niezabudowane). Powyższa liczba uwzględnia dane z: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Zarządu Zasobu Komunalnego (278);</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Wrocławskich Mieszkań Sp. z o. o. (38);</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Wydziału Nieruchomości Komunalnych (41);</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Miejskiego Ośrodka Pomocy Społecznej (38);</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Centrum Organizacji Pozarządowych Paulińska 4 (10);</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Zarządu Zieleni Miejskiej (11);</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Nieruchomości użytkowane były na podstawie następujących tytułów prawnych:</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najem (249);</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użyczenie (100);</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dzierżawa (27);</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użytkowanie (21);</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użytkowanie wieczyste (9).</w:t>
      </w:r>
    </w:p>
    <w:p w:rsidR="00CA14AB" w:rsidRPr="00E00B35" w:rsidRDefault="00CA14AB" w:rsidP="00E00B35">
      <w:pPr>
        <w:spacing w:after="0" w:line="312" w:lineRule="auto"/>
        <w:rPr>
          <w:szCs w:val="20"/>
        </w:rPr>
      </w:pPr>
      <w:r w:rsidRPr="00E00B35">
        <w:rPr>
          <w:szCs w:val="20"/>
        </w:rPr>
        <w:t>Ponadto organizacje korzystały z infrastruktury lokalowej szkół i obiektów sportowych  z przeznaczeniem na m. in. różnorodne zajęcia sportowe i pozalekcyjne dla dzieci i młodzieży. W roku 2020 obowiązywały łącznie 621 krótkoterminowe umowy na pomieszczenia szkolne, sale gimnastyczne i obiekty sportowe. Powyższa liczba uwzględnia dane z:</w:t>
      </w:r>
    </w:p>
    <w:p w:rsidR="00E41C3A" w:rsidRPr="00E00B35" w:rsidRDefault="00CA14AB" w:rsidP="00BC64AB">
      <w:pPr>
        <w:pStyle w:val="Akapitzlist"/>
        <w:numPr>
          <w:ilvl w:val="0"/>
          <w:numId w:val="158"/>
        </w:numPr>
        <w:spacing w:after="0" w:line="312" w:lineRule="auto"/>
        <w:ind w:left="426" w:hanging="426"/>
        <w:rPr>
          <w:szCs w:val="20"/>
        </w:rPr>
      </w:pPr>
      <w:r w:rsidRPr="00E00B35">
        <w:rPr>
          <w:szCs w:val="20"/>
        </w:rPr>
        <w:t>Departamentu Edukacji (550);</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Młodzieżowego Centrum Sportu Wrocław (71).</w:t>
      </w:r>
    </w:p>
    <w:p w:rsidR="00CA14AB" w:rsidRPr="00E00B35" w:rsidRDefault="00CA14AB" w:rsidP="00E00B35">
      <w:pPr>
        <w:spacing w:after="0" w:line="312" w:lineRule="auto"/>
        <w:rPr>
          <w:szCs w:val="20"/>
        </w:rPr>
      </w:pPr>
      <w:r w:rsidRPr="00E00B35">
        <w:rPr>
          <w:szCs w:val="20"/>
        </w:rPr>
        <w:t xml:space="preserve">Ważną rolę w zakresie zapewniania infrastruktury lokalowej dla organizacji pozarządowych pełniło Centrum Organizacji Pozarządowych Paulińska 4, prowadzone w gminnym budynku przez Fundację Przemian Społecznych „Zmiana”. Placówka przy ul. Paulińskiej 4 prowadzi działalność od września 2011 roku i zapewnia pomieszczenia dla 10 organizacji pozarządowych, realizujących projekty w różnych obszarach społecznych. Projekty te wpisują się w działania Miasta na rzecz rewitalizacji rejonu Nadodrza. Do głównych działań realizowanych przez organizacje pozarządowe </w:t>
      </w:r>
      <w:r w:rsidRPr="00E00B35">
        <w:rPr>
          <w:szCs w:val="20"/>
        </w:rPr>
        <w:br/>
        <w:t>w Centrum w roku 2020 należ m. in.  Dom Sztuki PajdArt, spotkania seniorów i kombatantów, poradnictwo dla: migrantów, osób z doświadczeniem choroby onkologicznej, osób uzależnionych od środków psychoaktywnych.</w:t>
      </w:r>
    </w:p>
    <w:p w:rsidR="00CA14AB" w:rsidRPr="00E00B35" w:rsidRDefault="00CA14AB" w:rsidP="00E00B35">
      <w:pPr>
        <w:spacing w:after="0" w:line="312" w:lineRule="auto"/>
        <w:rPr>
          <w:szCs w:val="20"/>
        </w:rPr>
      </w:pPr>
      <w:r w:rsidRPr="00E00B35">
        <w:rPr>
          <w:szCs w:val="20"/>
        </w:rPr>
        <w:t>Przeprowadzono wspólnie z Zarządem Zasobu Komunalnego oraz Wrocławskimi Mieszkaniami Sp. z o. o. 10 wizytacji nieruchomości gminnych, użytkowanych przez organizacje pozarządowe.</w:t>
      </w:r>
    </w:p>
    <w:p w:rsidR="00544448" w:rsidRPr="00E00B35" w:rsidRDefault="00544448" w:rsidP="00E00B35">
      <w:pPr>
        <w:pStyle w:val="Nagwek4"/>
        <w:spacing w:before="0" w:after="0" w:line="312" w:lineRule="auto"/>
        <w:rPr>
          <w:sz w:val="20"/>
          <w:szCs w:val="20"/>
        </w:rPr>
      </w:pPr>
      <w:bookmarkStart w:id="176" w:name="_Toc72352336"/>
      <w:bookmarkStart w:id="177" w:name="_Toc72352770"/>
    </w:p>
    <w:p w:rsidR="00CA14AB" w:rsidRPr="00E00B35" w:rsidRDefault="00CA14AB" w:rsidP="00E00B35">
      <w:pPr>
        <w:pStyle w:val="Nagwek4"/>
        <w:spacing w:before="0" w:after="0" w:line="312" w:lineRule="auto"/>
        <w:rPr>
          <w:sz w:val="20"/>
          <w:szCs w:val="20"/>
        </w:rPr>
      </w:pPr>
      <w:r w:rsidRPr="00E00B35">
        <w:rPr>
          <w:sz w:val="20"/>
          <w:szCs w:val="20"/>
        </w:rPr>
        <w:t>VI SZKOLENIA DLA ORGANIZACJI POZARZĄDOWYCH</w:t>
      </w:r>
      <w:bookmarkEnd w:id="176"/>
      <w:bookmarkEnd w:id="177"/>
    </w:p>
    <w:p w:rsidR="00CA14AB" w:rsidRPr="00E00B35" w:rsidRDefault="00CA14AB" w:rsidP="00E00B35">
      <w:pPr>
        <w:spacing w:after="0" w:line="312" w:lineRule="auto"/>
        <w:rPr>
          <w:szCs w:val="20"/>
        </w:rPr>
      </w:pPr>
      <w:r w:rsidRPr="00E00B35">
        <w:rPr>
          <w:szCs w:val="20"/>
        </w:rPr>
        <w:t xml:space="preserve">We Wrocławskim Centrum Wspierania Organizacji Pozarządowych Sektor 3 odbyły </w:t>
      </w:r>
      <w:r w:rsidRPr="00E00B35">
        <w:rPr>
          <w:szCs w:val="20"/>
        </w:rPr>
        <w:br/>
        <w:t>się bloki szkoleń dla organizacji pozarządowych, w których ogółem zostały przeszkolone 183 osoby.</w:t>
      </w:r>
    </w:p>
    <w:p w:rsidR="00CA14AB" w:rsidRPr="00E00B35" w:rsidRDefault="00CA14AB" w:rsidP="00E00B35">
      <w:pPr>
        <w:spacing w:after="0" w:line="312" w:lineRule="auto"/>
        <w:rPr>
          <w:szCs w:val="20"/>
        </w:rPr>
      </w:pPr>
      <w:r w:rsidRPr="00E00B35">
        <w:rPr>
          <w:szCs w:val="20"/>
        </w:rPr>
        <w:t>Szkolenia były skierowane zarówno do nowo powstałych organizacji pozarządowych</w:t>
      </w:r>
      <w:r w:rsidRPr="00E00B35">
        <w:rPr>
          <w:szCs w:val="20"/>
        </w:rPr>
        <w:br/>
        <w:t xml:space="preserve">i miały na celu zapoznanie ich z zagadnieniami prawnymi i organizacyjnymi dotyczącymi funkcjonowania NGO (zakładanie fundacji  i stowarzyszeń, zmiany w PIT i CIT w 2020 r., przygotowanie projektów i wniosków dotacyjnych, podstawy prowadzenia księgowości w </w:t>
      </w:r>
      <w:r w:rsidRPr="00E00B35">
        <w:rPr>
          <w:szCs w:val="20"/>
        </w:rPr>
        <w:lastRenderedPageBreak/>
        <w:t xml:space="preserve">organizacjach pozarządowych, polityka rachunkowości oraz instrukcja obiegi dokumentów w organizacjach pozarządowych) jak i do organizacji już działających, których celem było podniesienie potencjału i profesjonalizacji ich pracy (Profilaktyka i radzenie sobie z syndromem wypalenia w ngo, Współpraca biznesu i NGO oczami praktyków, tworzenie i budżetowanie projektów, Google Grants dla NGO - skuteczne i bezpłatne narzędzia dla organizacji pozarządowych, Przegląd źródeł finansowania organizacji pozarządowych). </w:t>
      </w:r>
    </w:p>
    <w:p w:rsidR="00CA14AB" w:rsidRPr="00E00B35" w:rsidRDefault="00CA14AB" w:rsidP="00E00B35">
      <w:pPr>
        <w:spacing w:after="0" w:line="312" w:lineRule="auto"/>
        <w:rPr>
          <w:szCs w:val="20"/>
        </w:rPr>
      </w:pPr>
      <w:r w:rsidRPr="00E00B35">
        <w:rPr>
          <w:szCs w:val="20"/>
        </w:rPr>
        <w:t xml:space="preserve">Przeprowadzono cykl szkoleń dla organizacji pozarządowych oraz dla pracowników Urzędu i miejskich jednostek organizacyjnych, udzielających dotacji celowych dla organizacji pozarządowych. Tematem szkoleń były otwarte konkursy ofert na realizację zadań publicznych w 2020 roku oraz przygotowanie do realizacji kolejnego etapu zadania publicznego tj. prowadzenia punktów nieodpłatnej pomocy prawnej. W szkoleniach udział wzięło 145 osób. </w:t>
      </w:r>
    </w:p>
    <w:p w:rsidR="00544448" w:rsidRPr="00E00B35" w:rsidRDefault="00CA14AB" w:rsidP="00E00B35">
      <w:pPr>
        <w:spacing w:after="0" w:line="312" w:lineRule="auto"/>
        <w:rPr>
          <w:szCs w:val="20"/>
        </w:rPr>
      </w:pPr>
      <w:r w:rsidRPr="00E00B35">
        <w:rPr>
          <w:szCs w:val="20"/>
        </w:rPr>
        <w:t>Na zlecenie Wydziału Partycypacji Społecznej przeprowadzono również cykl szkoleń o zróżnicowanej tematyce, w których udział wzięło 299 osób. Szkolenia były skierowane do przedstawicieli organizacji pozarządowych i miały na celu podnoszenie profesjonalizacji pracy np. Rola lidera w motywowaniu w organizacjach pozarządowych – postawy i narzędzia, Pobudzanie zmysłów w pracy z dziećmi, Kurs dla kandydatów na wychowawców wypoczynku, RODO w praktyce – warsztaty z prowadzenia dokumentacji, Moderator czasu wolnego seniorów, czyli w jaki sposób uruchomić potencjał twórczy grupy poprzez własną kreatywność i inicjatywę, Nieinwazyjne metody rozwiązywania problemów związanych z uczeniem się i zachowaniem. Program ćwiczeń integrujących, Sztuka motywacji od A do Z zaczynając od siebie zmieniamy innych, Trening umiejętności społecznych dla dzieci i młodzieży, Zabawy interakcyjne w praktyce kreatywnego animatora, Trening teorii umysłu, czyli inteligencja społeczna w praktyce, Mentoring i autocoaching - narzędzia do pracy z seniorem itp.</w:t>
      </w:r>
    </w:p>
    <w:p w:rsidR="00CA14AB" w:rsidRPr="00E00B35" w:rsidRDefault="00CA14AB" w:rsidP="00E00B35">
      <w:pPr>
        <w:spacing w:after="0" w:line="312" w:lineRule="auto"/>
        <w:rPr>
          <w:szCs w:val="20"/>
        </w:rPr>
      </w:pPr>
      <w:r w:rsidRPr="00E00B35">
        <w:rPr>
          <w:szCs w:val="20"/>
        </w:rPr>
        <w:br/>
        <w:t>Łącznie w 2020 roku zostało przeszkolonych 627 osób.</w:t>
      </w:r>
    </w:p>
    <w:tbl>
      <w:tblPr>
        <w:tblW w:w="9273" w:type="dxa"/>
        <w:jc w:val="center"/>
        <w:tblCellMar>
          <w:left w:w="70" w:type="dxa"/>
          <w:right w:w="70" w:type="dxa"/>
        </w:tblCellMar>
        <w:tblLook w:val="04A0"/>
      </w:tblPr>
      <w:tblGrid>
        <w:gridCol w:w="637"/>
        <w:gridCol w:w="5106"/>
        <w:gridCol w:w="706"/>
        <w:gridCol w:w="706"/>
        <w:gridCol w:w="706"/>
        <w:gridCol w:w="706"/>
        <w:gridCol w:w="706"/>
      </w:tblGrid>
      <w:tr w:rsidR="00CA14AB" w:rsidRPr="00E00B35" w:rsidTr="00CA14AB">
        <w:trPr>
          <w:trHeight w:val="1125"/>
          <w:jc w:val="center"/>
        </w:trPr>
        <w:tc>
          <w:tcPr>
            <w:tcW w:w="63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A14AB" w:rsidRPr="00E00B35" w:rsidRDefault="00CA14AB" w:rsidP="00E00B35">
            <w:pPr>
              <w:spacing w:after="0" w:line="312" w:lineRule="auto"/>
              <w:rPr>
                <w:szCs w:val="20"/>
              </w:rPr>
            </w:pPr>
            <w:r w:rsidRPr="00E00B35">
              <w:rPr>
                <w:szCs w:val="20"/>
              </w:rPr>
              <w:t>L.p.</w:t>
            </w:r>
          </w:p>
        </w:tc>
        <w:tc>
          <w:tcPr>
            <w:tcW w:w="5106" w:type="dxa"/>
            <w:tcBorders>
              <w:top w:val="single" w:sz="4" w:space="0" w:color="auto"/>
              <w:left w:val="nil"/>
              <w:bottom w:val="single" w:sz="4" w:space="0" w:color="auto"/>
              <w:right w:val="single" w:sz="4" w:space="0" w:color="auto"/>
            </w:tcBorders>
            <w:shd w:val="clear" w:color="auto" w:fill="D9D9D9"/>
            <w:vAlign w:val="center"/>
            <w:hideMark/>
          </w:tcPr>
          <w:p w:rsidR="00CA14AB" w:rsidRPr="00E00B35" w:rsidRDefault="00CA14AB" w:rsidP="00E00B35">
            <w:pPr>
              <w:spacing w:after="0" w:line="312" w:lineRule="auto"/>
              <w:rPr>
                <w:szCs w:val="20"/>
              </w:rPr>
            </w:pPr>
            <w:r w:rsidRPr="00E00B35">
              <w:rPr>
                <w:szCs w:val="20"/>
              </w:rPr>
              <w:t>Liczba uczestników szkoleń organizowanych dla organizacji pozarządowych oraz pracowników UM</w:t>
            </w:r>
            <w:r w:rsidRPr="00E00B35">
              <w:rPr>
                <w:szCs w:val="20"/>
              </w:rPr>
              <w:br/>
              <w:t>i jednostek organizacyjnych Gminy zajmujących się współpracą z organizacjami pozarządowymi</w:t>
            </w:r>
          </w:p>
        </w:tc>
        <w:tc>
          <w:tcPr>
            <w:tcW w:w="706" w:type="dxa"/>
            <w:tcBorders>
              <w:top w:val="single" w:sz="4" w:space="0" w:color="auto"/>
              <w:left w:val="nil"/>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706"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706" w:type="dxa"/>
            <w:tcBorders>
              <w:top w:val="single" w:sz="4" w:space="0" w:color="auto"/>
              <w:left w:val="nil"/>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706" w:type="dxa"/>
            <w:tcBorders>
              <w:top w:val="single" w:sz="4" w:space="0" w:color="auto"/>
              <w:left w:val="nil"/>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706" w:type="dxa"/>
            <w:tcBorders>
              <w:top w:val="single" w:sz="4" w:space="0" w:color="auto"/>
              <w:left w:val="nil"/>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522"/>
          <w:jc w:val="center"/>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1</w:t>
            </w:r>
          </w:p>
        </w:tc>
        <w:tc>
          <w:tcPr>
            <w:tcW w:w="5106" w:type="dxa"/>
            <w:tcBorders>
              <w:top w:val="nil"/>
              <w:left w:val="nil"/>
              <w:bottom w:val="single" w:sz="4" w:space="0" w:color="auto"/>
              <w:right w:val="single" w:sz="4" w:space="0" w:color="auto"/>
            </w:tcBorders>
            <w:shd w:val="clear" w:color="auto" w:fill="auto"/>
            <w:vAlign w:val="center"/>
            <w:hideMark/>
          </w:tcPr>
          <w:p w:rsidR="00CA14AB" w:rsidRPr="00E00B35" w:rsidRDefault="00CA14AB" w:rsidP="00E00B35">
            <w:pPr>
              <w:spacing w:after="0" w:line="312" w:lineRule="auto"/>
              <w:rPr>
                <w:szCs w:val="20"/>
              </w:rPr>
            </w:pPr>
            <w:r w:rsidRPr="00E00B35">
              <w:rPr>
                <w:szCs w:val="20"/>
              </w:rPr>
              <w:t>Szkolenia przeprowadzane przez Wydział Partycypacji Społecznej</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247</w:t>
            </w:r>
          </w:p>
        </w:tc>
        <w:tc>
          <w:tcPr>
            <w:tcW w:w="70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124</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223</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385</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145</w:t>
            </w:r>
          </w:p>
        </w:tc>
      </w:tr>
      <w:tr w:rsidR="00CA14AB" w:rsidRPr="00E00B35" w:rsidTr="00CA14AB">
        <w:trPr>
          <w:trHeight w:val="522"/>
          <w:jc w:val="center"/>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2</w:t>
            </w:r>
          </w:p>
        </w:tc>
        <w:tc>
          <w:tcPr>
            <w:tcW w:w="5106" w:type="dxa"/>
            <w:tcBorders>
              <w:top w:val="nil"/>
              <w:left w:val="nil"/>
              <w:bottom w:val="single" w:sz="4" w:space="0" w:color="auto"/>
              <w:right w:val="single" w:sz="4" w:space="0" w:color="auto"/>
            </w:tcBorders>
            <w:shd w:val="clear" w:color="auto" w:fill="auto"/>
            <w:vAlign w:val="center"/>
            <w:hideMark/>
          </w:tcPr>
          <w:p w:rsidR="00CA14AB" w:rsidRPr="00E00B35" w:rsidRDefault="00CA14AB" w:rsidP="00E00B35">
            <w:pPr>
              <w:spacing w:after="0" w:line="312" w:lineRule="auto"/>
              <w:rPr>
                <w:szCs w:val="20"/>
              </w:rPr>
            </w:pPr>
            <w:r w:rsidRPr="00E00B35">
              <w:rPr>
                <w:szCs w:val="20"/>
              </w:rPr>
              <w:t>Szkolenia przeprowadzane na zlecenie Wydziału Partycypacji Społecznej</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282</w:t>
            </w:r>
          </w:p>
        </w:tc>
        <w:tc>
          <w:tcPr>
            <w:tcW w:w="70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260</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260</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242</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299</w:t>
            </w:r>
          </w:p>
        </w:tc>
      </w:tr>
      <w:tr w:rsidR="00CA14AB" w:rsidRPr="00E00B35" w:rsidTr="00CA14AB">
        <w:trPr>
          <w:trHeight w:val="522"/>
          <w:jc w:val="center"/>
        </w:trPr>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3</w:t>
            </w:r>
          </w:p>
        </w:tc>
        <w:tc>
          <w:tcPr>
            <w:tcW w:w="5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4AB" w:rsidRPr="00E00B35" w:rsidRDefault="00CA14AB" w:rsidP="00E00B35">
            <w:pPr>
              <w:spacing w:after="0" w:line="312" w:lineRule="auto"/>
              <w:rPr>
                <w:szCs w:val="20"/>
              </w:rPr>
            </w:pPr>
            <w:r w:rsidRPr="00E00B35">
              <w:rPr>
                <w:szCs w:val="20"/>
              </w:rPr>
              <w:t>Szkolenia przeprowadzane przez Centrum Wspierania Organizacji Pozarządowych Sektor 3</w:t>
            </w:r>
          </w:p>
        </w:tc>
        <w:tc>
          <w:tcPr>
            <w:tcW w:w="70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281</w:t>
            </w:r>
          </w:p>
        </w:tc>
        <w:tc>
          <w:tcPr>
            <w:tcW w:w="70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259</w:t>
            </w:r>
          </w:p>
        </w:tc>
        <w:tc>
          <w:tcPr>
            <w:tcW w:w="70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259</w:t>
            </w:r>
          </w:p>
        </w:tc>
        <w:tc>
          <w:tcPr>
            <w:tcW w:w="70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364</w:t>
            </w:r>
          </w:p>
        </w:tc>
        <w:tc>
          <w:tcPr>
            <w:tcW w:w="70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183</w:t>
            </w:r>
          </w:p>
        </w:tc>
      </w:tr>
      <w:tr w:rsidR="00CA14AB" w:rsidRPr="00E00B35" w:rsidTr="00CA14AB">
        <w:trPr>
          <w:trHeight w:val="522"/>
          <w:jc w:val="center"/>
        </w:trPr>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4</w:t>
            </w:r>
          </w:p>
        </w:tc>
        <w:tc>
          <w:tcPr>
            <w:tcW w:w="5106" w:type="dxa"/>
            <w:tcBorders>
              <w:top w:val="single" w:sz="4" w:space="0" w:color="auto"/>
              <w:left w:val="nil"/>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Ogółem</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810</w:t>
            </w:r>
          </w:p>
        </w:tc>
        <w:tc>
          <w:tcPr>
            <w:tcW w:w="70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1034</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742</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991</w:t>
            </w:r>
          </w:p>
        </w:tc>
        <w:tc>
          <w:tcPr>
            <w:tcW w:w="70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627</w:t>
            </w:r>
          </w:p>
        </w:tc>
      </w:tr>
    </w:tbl>
    <w:p w:rsidR="00CA14AB" w:rsidRPr="00E00B35" w:rsidRDefault="00CA14AB" w:rsidP="00E00B35">
      <w:pPr>
        <w:spacing w:after="0" w:line="312" w:lineRule="auto"/>
        <w:rPr>
          <w:szCs w:val="20"/>
        </w:rPr>
      </w:pPr>
      <w:r w:rsidRPr="00E00B35">
        <w:rPr>
          <w:szCs w:val="20"/>
        </w:rPr>
        <w:t xml:space="preserve">Tabela </w:t>
      </w:r>
      <w:r w:rsidR="00573162" w:rsidRPr="00E00B35">
        <w:rPr>
          <w:szCs w:val="20"/>
        </w:rPr>
        <w:fldChar w:fldCharType="begin"/>
      </w:r>
      <w:r w:rsidR="00573162" w:rsidRPr="00E00B35">
        <w:rPr>
          <w:szCs w:val="20"/>
        </w:rPr>
        <w:instrText xml:space="preserve"> SEQ Tabela \* ARABIC </w:instrText>
      </w:r>
      <w:r w:rsidR="00573162" w:rsidRPr="00E00B35">
        <w:rPr>
          <w:szCs w:val="20"/>
        </w:rPr>
        <w:fldChar w:fldCharType="separate"/>
      </w:r>
      <w:r w:rsidR="008C054F">
        <w:rPr>
          <w:noProof/>
          <w:szCs w:val="20"/>
        </w:rPr>
        <w:t>2</w:t>
      </w:r>
      <w:r w:rsidR="00573162" w:rsidRPr="00E00B35">
        <w:rPr>
          <w:szCs w:val="20"/>
        </w:rPr>
        <w:fldChar w:fldCharType="end"/>
      </w:r>
      <w:r w:rsidRPr="00E00B35">
        <w:rPr>
          <w:szCs w:val="20"/>
        </w:rPr>
        <w:t xml:space="preserve"> Liczba uczestników szkoleń organizowanych dla organizacji pozarządowych oraz pracowników UM i jednostek organizacyjnych Gminy zajmujących się współpracą z organizacjami pozarządowymi</w:t>
      </w:r>
    </w:p>
    <w:p w:rsidR="00544448" w:rsidRPr="00E00B35" w:rsidRDefault="00544448"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lastRenderedPageBreak/>
        <w:t>Jak prezentują dane analityczne, liczba szkoleń w ostatnim roku wykazuje trend spadkowy, wynikający z przeciwdziałania zagrożeniom związanym z COVID-19 i związanych z tym od połowy marca 2020 r. obostrzeń. Zdecydowana większość szkoleń odbyła się w sposób zdalny, za pośrednictwem Internetu.</w:t>
      </w:r>
      <w:r w:rsidRPr="00E00B35">
        <w:rPr>
          <w:szCs w:val="20"/>
        </w:rPr>
        <w:br/>
        <w:t xml:space="preserve">Rokrocznie część szkoleń ma na celu podnoszenie potencjału i profesjonalizacji pracy organizacji pozarządowych wraz z doskonaleniem umiejętności ogólnorozwojowych </w:t>
      </w:r>
      <w:r w:rsidRPr="00E00B35">
        <w:rPr>
          <w:szCs w:val="20"/>
        </w:rPr>
        <w:br/>
        <w:t>i interpersonalnych uczestników, część natomiast jest związana z bieżącymi potrzebami np. w zakresie zmian przepisów, doskonalenia narzędzi pracy, informatycznych, itp.</w:t>
      </w:r>
    </w:p>
    <w:p w:rsidR="00544448" w:rsidRPr="00E00B35" w:rsidRDefault="00544448" w:rsidP="00E00B35">
      <w:pPr>
        <w:pStyle w:val="Nagwek4"/>
        <w:spacing w:before="0" w:after="0" w:line="312" w:lineRule="auto"/>
        <w:rPr>
          <w:sz w:val="20"/>
          <w:szCs w:val="20"/>
        </w:rPr>
      </w:pPr>
      <w:bookmarkStart w:id="178" w:name="_Toc72352337"/>
      <w:bookmarkStart w:id="179" w:name="_Toc72352771"/>
    </w:p>
    <w:p w:rsidR="00CA14AB" w:rsidRPr="00E00B35" w:rsidRDefault="00CA14AB" w:rsidP="00E00B35">
      <w:pPr>
        <w:pStyle w:val="Nagwek4"/>
        <w:spacing w:before="0" w:after="0" w:line="312" w:lineRule="auto"/>
        <w:rPr>
          <w:sz w:val="20"/>
          <w:szCs w:val="20"/>
        </w:rPr>
      </w:pPr>
      <w:r w:rsidRPr="00E00B35">
        <w:rPr>
          <w:sz w:val="20"/>
          <w:szCs w:val="20"/>
        </w:rPr>
        <w:t>VII WROCŁAWSKA RADA DZIAŁALNOŚCI POŻYTKU PUBLICZNEGO (WRDPP)</w:t>
      </w:r>
      <w:bookmarkEnd w:id="178"/>
      <w:bookmarkEnd w:id="179"/>
      <w:r w:rsidRPr="00E00B35">
        <w:rPr>
          <w:sz w:val="20"/>
          <w:szCs w:val="20"/>
        </w:rPr>
        <w:t xml:space="preserve"> </w:t>
      </w:r>
    </w:p>
    <w:p w:rsidR="00CA14AB" w:rsidRPr="00E00B35" w:rsidRDefault="00CA14AB" w:rsidP="00E00B35">
      <w:pPr>
        <w:spacing w:after="0" w:line="312" w:lineRule="auto"/>
        <w:rPr>
          <w:szCs w:val="20"/>
        </w:rPr>
      </w:pPr>
      <w:r w:rsidRPr="00E00B35">
        <w:rPr>
          <w:szCs w:val="20"/>
        </w:rPr>
        <w:t>Wrocławska Rada Działalności Pożytku Publicznego jest ciałem powoływanym przez Prezydenta Wrocławia. Ma charakter inicjatywny i doradczo-opiniujący w zakresie dotyczącym działalności pożytku publicznego i współpracy Miasta z organizacjami pozarządowymi. Do zadań WRDPP należy m.in. opiniowanie projektów strategii rozwoju gminy, współpraca z organizacjami pozarządowymi, opiniowanie projektów uchwał</w:t>
      </w:r>
      <w:r w:rsidRPr="00E00B35">
        <w:rPr>
          <w:szCs w:val="20"/>
        </w:rPr>
        <w:br/>
        <w:t>i aktów prawa miejscowego dotyczących sfery zadań publicznych, o których mowa</w:t>
      </w:r>
      <w:r w:rsidRPr="00E00B35">
        <w:rPr>
          <w:szCs w:val="20"/>
        </w:rPr>
        <w:br/>
        <w:t>w ustawie o działalności pożytku publicznego i o wolontariacie.</w:t>
      </w:r>
    </w:p>
    <w:p w:rsidR="00CA14AB" w:rsidRPr="00E00B35" w:rsidRDefault="00CA14AB" w:rsidP="00E00B35">
      <w:pPr>
        <w:spacing w:after="0" w:line="312" w:lineRule="auto"/>
        <w:rPr>
          <w:szCs w:val="20"/>
        </w:rPr>
      </w:pPr>
      <w:r w:rsidRPr="00E00B35">
        <w:rPr>
          <w:szCs w:val="20"/>
        </w:rPr>
        <w:t xml:space="preserve">W 2020 r. Radzie przekazano do zaopiniowania 7 projektów uchwał Rady Miejskiej Wrocławia: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uchwały Rady Miejskiej Wrocławia w sprawie ustalenia wysokości opłat za korzystanie z miejsc noclegowych w szkolnych schroniskach młodzieżowych prowadzonych przez Miasto;</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przyjęcia programu opieki </w:t>
      </w:r>
      <w:r w:rsidRPr="00E00B35">
        <w:rPr>
          <w:szCs w:val="20"/>
        </w:rPr>
        <w:br/>
        <w:t>nad zwierzętami bezdomnymi oraz zapobiegania bezdomności zwierząt na terenie Gminy Wrocław” w 2020 r.;</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kryteriów branych pod uwagę na pierwszym etapie postępowania rekrutacyjnego do internatów zorganizowanych w szkołach ponadpodstawowych  prowadzonych przez Miasto Wrocław, liczby punktów za te kryteria oraz określenia dokumentów, niezbędnych do potwierdzenia spełnienia tych kryteriów projekt uchwały Rady Miejskiej Wrocławia zmieniającej uchwałę nr LXII/1446/18 w sprawie dotacji udzielanych publicznym i niepublicznym przedszkolom, szkołom i placówkom oświatowym oraz innym formom wychowania przedszkolnego, prowadzonym przez osoby fizyczne i prawne;</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zmieniającej uchwałę nr XLVII/1094/17 w sprawie ustalenia cen za usługi przewozowe świadczone środkami lokalnego transportu zbiorowego organizowanego przez Gminę Wrocław oraz sposobu ustalania wysokości opłaty dodatkowej i manipulacyjnej;</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 sprawie programu współpracy Miasta Wrocławia z organizacjami pozarządowymi w 2021 r.;</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organizacji bezpłatnego transportu i opieki w czasie przewozu do szkoły ponadpodstawowej młodzieży niepełnosprawnej zamieszkałej na terenie Gminy Wrocław w przypadkach, kiedy gmina nie ma takiego obowiązku;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lastRenderedPageBreak/>
        <w:t>projekt uchwały Rady Miejskiej Wrocławia w sprawie zmian uchwał Rady w sprawie nadania statutów osiedlom w zakresie zmiany załącznika 1a - Ord</w:t>
      </w:r>
      <w:r w:rsidR="00E41C3A" w:rsidRPr="00E00B35">
        <w:rPr>
          <w:szCs w:val="20"/>
        </w:rPr>
        <w:t>ynacja Wyborcza do rady osiedla.</w:t>
      </w:r>
    </w:p>
    <w:p w:rsidR="00661172" w:rsidRPr="00E00B35" w:rsidRDefault="00CA14AB" w:rsidP="00E00B35">
      <w:pPr>
        <w:spacing w:after="0" w:line="312" w:lineRule="auto"/>
        <w:rPr>
          <w:szCs w:val="20"/>
        </w:rPr>
      </w:pPr>
      <w:r w:rsidRPr="00E00B35">
        <w:rPr>
          <w:szCs w:val="20"/>
        </w:rPr>
        <w:t xml:space="preserve">W roku 2020 zakończyła się kadencja składu WRDPP na lata 2017 – 2020. </w:t>
      </w:r>
    </w:p>
    <w:p w:rsidR="00CA14AB" w:rsidRPr="00E00B35" w:rsidRDefault="00CA14AB" w:rsidP="00E00B35">
      <w:pPr>
        <w:spacing w:after="0" w:line="312" w:lineRule="auto"/>
        <w:rPr>
          <w:szCs w:val="20"/>
        </w:rPr>
      </w:pPr>
      <w:r w:rsidRPr="00E00B35">
        <w:rPr>
          <w:szCs w:val="20"/>
        </w:rPr>
        <w:t>Najważniejszymi osiągnięciami Rady w tym okresie wskazanymi przez jej członków były:</w:t>
      </w:r>
    </w:p>
    <w:p w:rsidR="00CA14AB" w:rsidRPr="00E00B35" w:rsidRDefault="00CA14AB" w:rsidP="00E00B35">
      <w:pPr>
        <w:spacing w:after="0" w:line="312" w:lineRule="auto"/>
        <w:rPr>
          <w:szCs w:val="20"/>
        </w:rPr>
      </w:pPr>
      <w:r w:rsidRPr="00E00B35">
        <w:rPr>
          <w:szCs w:val="20"/>
        </w:rPr>
        <w:t xml:space="preserve">Wsparcie interwencyjne i mediacyjne w konflikcie wokół prowadzonego przez Stowarzyszenie Pomocy "Ludzie Ludziom" domu pomocy na osiedlu Różanka w lutym i marcu 2018 r. </w:t>
      </w:r>
    </w:p>
    <w:p w:rsidR="00CA14AB" w:rsidRPr="00E00B35" w:rsidRDefault="00CA14AB" w:rsidP="00E00B35">
      <w:pPr>
        <w:spacing w:after="0" w:line="312" w:lineRule="auto"/>
        <w:rPr>
          <w:szCs w:val="20"/>
        </w:rPr>
      </w:pPr>
      <w:r w:rsidRPr="00E00B35">
        <w:rPr>
          <w:szCs w:val="20"/>
        </w:rPr>
        <w:t xml:space="preserve">Opracowanie przez zespół w skład którego wchodzili członkowie Rady- Strategii Rozwoju Współpracy Miasta Wrocławia z Organizacjami Pozarządowymi na lata 2018-2020. Dokument ten następnie został przyjęty jako uchwała Rady Miasta Wrocławia i stał się obowiązującym aktem prawa miejscowego. </w:t>
      </w:r>
    </w:p>
    <w:p w:rsidR="00CA14AB" w:rsidRPr="00E00B35" w:rsidRDefault="00CA14AB" w:rsidP="00E00B35">
      <w:pPr>
        <w:spacing w:after="0" w:line="312" w:lineRule="auto"/>
        <w:rPr>
          <w:szCs w:val="20"/>
        </w:rPr>
      </w:pPr>
      <w:r w:rsidRPr="00E00B35">
        <w:rPr>
          <w:szCs w:val="20"/>
        </w:rPr>
        <w:t xml:space="preserve">Wyjście z inicjatywą zwołania i przeprowadzenie pierwszego w historii Wrocławskiego Forum Rad Społecznych w dniu 20.12.2019 r. W spotkaniu wzięło udział kilkunastu przedstawicieli i przedstawicielek działających we Wrocławiu rad społecznych, wymieniono się informacjami na temat działań i problemów oraz zadeklarowano chęć ściślejszej współpracy i wzajemnego wsparcia, zbudowania platformy do wymiany informacji oraz dalszych spotkań w zaproponowanej formie Forum. </w:t>
      </w:r>
    </w:p>
    <w:p w:rsidR="00CA14AB" w:rsidRPr="00E00B35" w:rsidRDefault="00CA14AB" w:rsidP="00E00B35">
      <w:pPr>
        <w:spacing w:after="0" w:line="312" w:lineRule="auto"/>
        <w:rPr>
          <w:szCs w:val="20"/>
        </w:rPr>
      </w:pPr>
      <w:r w:rsidRPr="00E00B35">
        <w:rPr>
          <w:szCs w:val="20"/>
        </w:rPr>
        <w:t>Przeprowadzenie w lutym i marcu 2020 konsultacji i interwencji w sprawie zgłoszonego przez Towarzystwo Pomocy im. św. brata Alberta problemu związanego z niewłaściwymi praktykami i brakiem współpracy z placówkami szpitalnymi i transportu medycznego wobec udzielania świadczeń osobom bezdomnym - podopiecznym Towarzystwa. Po rozpoznaniu sprawy, wobec tego, że placówki te podlegają Marszałkowi Województwa Dolnośląskiego, zapoznano z problemem na jej posiedzeniu Dolnośląską Radę Działalności Pożytku Publicznego.</w:t>
      </w:r>
    </w:p>
    <w:p w:rsidR="00CA14AB" w:rsidRPr="00E00B35" w:rsidRDefault="00CA14AB" w:rsidP="00E00B35">
      <w:pPr>
        <w:spacing w:after="0" w:line="312" w:lineRule="auto"/>
        <w:rPr>
          <w:szCs w:val="20"/>
        </w:rPr>
      </w:pPr>
      <w:r w:rsidRPr="00E00B35">
        <w:rPr>
          <w:szCs w:val="20"/>
        </w:rPr>
        <w:t xml:space="preserve">Przeprowadzenie ankiety, zebranie problemów i rekomendacji od wrocławskich NGO w sprawie sytuacji w jakich się znalazły w związku z obostrzeniami wprowadzanymi przez władze w walce z pandemią COVID-19 i przyjęcie w dniu 31.03.2020 uchwały w tej sprawie - została ona przekazana do właściwych władz wszystkich szczebli. </w:t>
      </w:r>
    </w:p>
    <w:p w:rsidR="00CA14AB" w:rsidRPr="00E00B35" w:rsidRDefault="00CA14AB" w:rsidP="00E00B35">
      <w:pPr>
        <w:spacing w:after="0" w:line="312" w:lineRule="auto"/>
        <w:rPr>
          <w:szCs w:val="20"/>
        </w:rPr>
      </w:pPr>
      <w:r w:rsidRPr="00E00B35">
        <w:rPr>
          <w:szCs w:val="20"/>
        </w:rPr>
        <w:t>W 2020 r. odbyły się wybory członków Rady na lata 2020 – 2023</w:t>
      </w:r>
    </w:p>
    <w:p w:rsidR="00CA14AB" w:rsidRPr="00E00B35" w:rsidRDefault="00CA14AB" w:rsidP="00E00B35">
      <w:pPr>
        <w:spacing w:after="0" w:line="312" w:lineRule="auto"/>
        <w:rPr>
          <w:szCs w:val="20"/>
        </w:rPr>
      </w:pPr>
      <w:r w:rsidRPr="00E00B35">
        <w:rPr>
          <w:szCs w:val="20"/>
        </w:rPr>
        <w:t>Obecnie w skład Rady wchodzą:</w:t>
      </w:r>
      <w:r w:rsidRPr="00E00B35">
        <w:rPr>
          <w:szCs w:val="20"/>
        </w:rPr>
        <w:br/>
        <w:t>Przedstawiciele wrocławskich organizacji pozarządowych:</w:t>
      </w:r>
      <w:r w:rsidRPr="00E00B35">
        <w:rPr>
          <w:szCs w:val="20"/>
        </w:rPr>
        <w:br/>
        <w:t>Iwona Frydryszak- Stowarzyszenie Kultury Teatralnej Pieśń Kozła</w:t>
      </w:r>
      <w:r w:rsidRPr="00E00B35">
        <w:rPr>
          <w:szCs w:val="20"/>
        </w:rPr>
        <w:br/>
        <w:t>Małgorzata Franczak - Fundacja Eudajmonia</w:t>
      </w:r>
      <w:r w:rsidRPr="00E00B35">
        <w:rPr>
          <w:szCs w:val="20"/>
        </w:rPr>
        <w:br/>
        <w:t>Joanna Warecka - Stowarzyszenie Żółty Parasol</w:t>
      </w:r>
      <w:r w:rsidRPr="00E00B35">
        <w:rPr>
          <w:szCs w:val="20"/>
        </w:rPr>
        <w:br/>
        <w:t>Maria Lewandowska – Mika - Dolnośląska Federacja Organizacji Pozarządowych</w:t>
      </w:r>
      <w:r w:rsidRPr="00E00B35">
        <w:rPr>
          <w:szCs w:val="20"/>
        </w:rPr>
        <w:br/>
        <w:t>Mirosława Hamera - Regionalne Centrum Wspierania Inicjatyw Pozarządowych</w:t>
      </w:r>
      <w:r w:rsidRPr="00E00B35">
        <w:rPr>
          <w:szCs w:val="20"/>
        </w:rPr>
        <w:br/>
        <w:t>Grzegorz Tymoszyk - Fundacja Wspierania Organizacji Pozarządowych „Umbrella”</w:t>
      </w:r>
      <w:r w:rsidRPr="00E00B35">
        <w:rPr>
          <w:szCs w:val="20"/>
        </w:rPr>
        <w:br/>
        <w:t>Przedstawiciele Prezydenta Wrocławia:</w:t>
      </w:r>
      <w:r w:rsidRPr="00E00B35">
        <w:rPr>
          <w:szCs w:val="20"/>
        </w:rPr>
        <w:br/>
        <w:t>Barbara Lisiewicz - dyrektor Biura Prezydenta</w:t>
      </w:r>
      <w:r w:rsidRPr="00E00B35">
        <w:rPr>
          <w:szCs w:val="20"/>
        </w:rPr>
        <w:br/>
        <w:t>Bartłomiej Świerczewski - dyrektor Departamentu Spraw Społecznych</w:t>
      </w:r>
      <w:r w:rsidRPr="00E00B35">
        <w:rPr>
          <w:szCs w:val="20"/>
        </w:rPr>
        <w:br/>
        <w:t>Przedstawiciele Rady Miejskiej Wrocławia:</w:t>
      </w:r>
      <w:r w:rsidRPr="00E00B35">
        <w:rPr>
          <w:szCs w:val="20"/>
        </w:rPr>
        <w:br/>
        <w:t>Edyta Skuła</w:t>
      </w:r>
      <w:r w:rsidRPr="00E00B35">
        <w:rPr>
          <w:szCs w:val="20"/>
        </w:rPr>
        <w:br/>
      </w:r>
      <w:r w:rsidRPr="00E00B35">
        <w:rPr>
          <w:szCs w:val="20"/>
        </w:rPr>
        <w:lastRenderedPageBreak/>
        <w:t>Bartłomiej Ciążyński</w:t>
      </w:r>
      <w:r w:rsidRPr="00E00B35">
        <w:rPr>
          <w:szCs w:val="20"/>
        </w:rPr>
        <w:br/>
        <w:t>Prezydium WRDP</w:t>
      </w:r>
      <w:r w:rsidRPr="00E00B35">
        <w:rPr>
          <w:szCs w:val="20"/>
        </w:rPr>
        <w:br/>
        <w:t>Przewodnicząca WRDPP - Mirosława Hamera</w:t>
      </w:r>
      <w:r w:rsidRPr="00E00B35">
        <w:rPr>
          <w:szCs w:val="20"/>
        </w:rPr>
        <w:br/>
        <w:t>Wiceprzewodnicząca WRDPP - Barbara Lisiewicz</w:t>
      </w:r>
      <w:r w:rsidRPr="00E00B35">
        <w:rPr>
          <w:szCs w:val="20"/>
        </w:rPr>
        <w:br/>
        <w:t>Sekretarz WRDPP - Iwona Frydryszak</w:t>
      </w:r>
    </w:p>
    <w:p w:rsidR="00CA14AB" w:rsidRPr="00E00B35" w:rsidRDefault="00CA14AB" w:rsidP="00E00B35">
      <w:pPr>
        <w:spacing w:after="0" w:line="312" w:lineRule="auto"/>
        <w:rPr>
          <w:szCs w:val="20"/>
        </w:rPr>
      </w:pPr>
      <w:r w:rsidRPr="00E00B35">
        <w:rPr>
          <w:szCs w:val="20"/>
        </w:rPr>
        <w:t>Rada odbyła 6 oficjalnych posiedzeń w 2020 r. Protokoły z posiedzeń WRDPP dostępne są w BIP UM Wrocławia pod adresem:</w:t>
      </w:r>
      <w:r w:rsidRPr="00E00B35">
        <w:rPr>
          <w:szCs w:val="20"/>
        </w:rPr>
        <w:br/>
        <w:t xml:space="preserve"> https://bip.um.wroc.pl/artykul/933/49098/protokoly-z-posiedzen-wrdpp</w:t>
      </w:r>
    </w:p>
    <w:p w:rsidR="00544448" w:rsidRPr="00E00B35" w:rsidRDefault="00544448" w:rsidP="00E00B35">
      <w:pPr>
        <w:pStyle w:val="Nagwek4"/>
        <w:spacing w:before="0" w:after="0" w:line="312" w:lineRule="auto"/>
        <w:rPr>
          <w:sz w:val="20"/>
          <w:szCs w:val="20"/>
        </w:rPr>
      </w:pPr>
      <w:bookmarkStart w:id="180" w:name="_Toc72352338"/>
      <w:bookmarkStart w:id="181" w:name="_Toc72352772"/>
    </w:p>
    <w:p w:rsidR="00CA14AB" w:rsidRPr="00E00B35" w:rsidRDefault="00CA14AB" w:rsidP="00E00B35">
      <w:pPr>
        <w:pStyle w:val="Nagwek4"/>
        <w:spacing w:before="0" w:after="0" w:line="312" w:lineRule="auto"/>
        <w:rPr>
          <w:sz w:val="20"/>
          <w:szCs w:val="20"/>
        </w:rPr>
      </w:pPr>
      <w:r w:rsidRPr="00E00B35">
        <w:rPr>
          <w:sz w:val="20"/>
          <w:szCs w:val="20"/>
        </w:rPr>
        <w:t>VIII DOKUMENTY I AKTY PRAWNE DOTYCZĄCE WSPÓŁPRACY MIASTA WROCŁAWIA Z ORGANIZACJAMI POZARZĄDOWYMI ORAZ KONSULTACJI:</w:t>
      </w:r>
      <w:bookmarkEnd w:id="180"/>
      <w:bookmarkEnd w:id="181"/>
    </w:p>
    <w:p w:rsidR="00CA14AB" w:rsidRPr="00E00B35" w:rsidRDefault="00CA14AB" w:rsidP="00E00B35">
      <w:pPr>
        <w:spacing w:after="0" w:line="312" w:lineRule="auto"/>
        <w:rPr>
          <w:szCs w:val="20"/>
        </w:rPr>
      </w:pPr>
      <w:r w:rsidRPr="00E00B35">
        <w:rPr>
          <w:szCs w:val="20"/>
        </w:rPr>
        <w:t>Wśród najważniejszych dokumentów i aktów prawnych dotyczące współpracy Miasta Wrocławia z organizacjami pozarządowymi oraz konsultacji należy wymienić:</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(Bakaliowa);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(Drezynowa);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(Lokomotywowa);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(Maszynistów);</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(Pawła Kwoczka);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(Macierzankowa);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(Zawidowska);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(Włókniarzy);</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skwerowi </w:t>
      </w:r>
      <w:r w:rsidRPr="00E00B35">
        <w:rPr>
          <w:szCs w:val="20"/>
        </w:rPr>
        <w:br/>
        <w:t>na terenie Wrocławia (skwer Tymoteusza Karpowicza);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pt. Bastion otwarty. Rewitalizacja neoklasycystycznej zabudowy Wzgórza Partyzantów (dawne Wzgórze Liebicha) we Wrocławiu - Etap 1;</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zmieniającej uchwałę nr VI/67/11 Rady Miejskiej Wrocławia w sprawie ustalenia rozkładu godzin pracy aptek ogólnodostępnych na terenie Miasta Wrocławia;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przyjęcia programu opieki nad zwierzętami bezdomnymi oraz zapobiegania bezdomności zwierząt na terenie Gminy Wrocław w 2020 roku;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(Władysława Chachaja);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(Korzenna);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lastRenderedPageBreak/>
        <w:t>projekt uchwały Rady Miejskiej Wrocławia w sprawie nadania nazwy alei na terenie Wrocławia (aleja Czesława Słani);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skwerowi na terenie Wrocławia (skwer Solidarności Polsko-Czesko-Słowackiej);</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(Frezjowa);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projektu uchwały Rady Miejskiej Wrocławia w sprawie kryteriów branych pod uwagę na pierwszym etapie postępowania rekrutacyjnego do internatów zorganizowanych w szkołach ponadpodstawowych prowadzonych przez Miasto Wrocław, liczby punktów za te kryteria oraz określenia dokumentów, niezbędnych do potwierdzenia spełnienia tych kryteriów - konsultacje prowadzone z Radą Działalności Pożytku Publicznego;</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dokument pn.: „Wrocławska strategia rozwoju elektromobilności”;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nowej ulicy na terenie Wrocławia (Stanisława Jana Jabłonowskiego);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(Pistacjowa);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nowej ulicy na terenie Wrocławia (Wisławy Szymborskiej);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nowej ulicy na terenie Wrocławia (Polnych Niezapominajek);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nowej ulicy na terenie Wrocławia (Szczypiornicka);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rondu na terenie Wrocławia (Cukrowników);</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koncepcja przebudowy ul. Gajowickiej;</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rondu na terenie Wrocławia (Bitwy Warszawskiej 1920 roku);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skwerowi na terenie Wrocławia (skwer Wrocławianek);</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regulaminu utrzymania czystości i porządku na terenie Wrocławia;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skwerowi na terenie Wrocławia (Kornela Morawieckiego);</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konsultacje dotyczące urządzenia podwórka przy ulicach: Ołbińskiej, Jedności Narodowej, Henryka Pobożnego i Niemcewicza;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konsultacje społeczne urządzenia terenu doliny Olszówki i parku Krzyckiego;</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określenia średniej ceny jednostki paliwa w Gminie Wrocław, w roku szkolnym 2020/2021;</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odroczenia terminu wnoszenia trzeciej raty opłaty za korzystanie z zezwoleń na sprzedaż napojów alkoholowych przez przedsiębiorców prowadzących sprzedaż napojów alkoholowych przeznaczonych do spożycia w miejscu sprzedaży;</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konsultacje dotyczące zaprojektowania parku na Kępie Mieszczańskiej;</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lastRenderedPageBreak/>
        <w:t>konsultacje na temat urządzenia zieleni na ul. Żeromskiego na odcinku od Jedności Narodowej do Nowowiejskiej;</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"Programu współpracy miasta Wrocławia z organizacjami pozarządowymi w 2021 r.;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konsultacje na temat zagospodarowania podwórka przy pl. św. Macieja;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placowi oraz ciągowi pieszo-jezdnemu na terenie Wrocławia (ks. Franciszka Skorusy);</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konsultacje społeczne dotyczące wyznaczenia wytycznych przestrzennych na rzecz osiedli kompletnych;</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nowej ulicy na terenie Wrocławia (Beaty Artemskiej);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nowej ulicy na terenie Wrocławia (Beli Bartoka);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nowej ulicy na terenie Wrocławia (Ramiszowska);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nowej ulicy na terenie Wrocławia (Białych Tygrysów);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skwerowi na terenie Wrocławia (Tadeusza Szczęsnego Owińskiego);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skwerowi na terenie Wrocławia (Jerzego Szmajdzińskiego);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skwerowi na terenie Wrocławia (Władysława Stasiaka);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parkowi na terenie Wrocławia (Aleksandry Natalli-Świat);</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zmieniającej uchwałę nr IX/174/11 Rady Miejskiej Wrocławia Rady Miejskiej Wrocławia w sprawie utworzenia jednostki organizacyjnej gminy Wrocław, działającej w formie jednostki budżetowej pod nazwą Wrocławski Zespół Żłobków oraz nadania jej statutu;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zmieniającej uchwałę nr IX/175/11 Rady Miejskiej Wrocławia w sprawie ustalenia maksymalnej wysokości opłaty za wyżywienie i opłaty za pobyt dziecka w żłobku utworzonym przez gminę Wrocław;</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konsultacje społeczne dotyczące zagospodarowania wnętrza podwórzowego pomiędzy ulicami Nobla, Rydygiera, Paulińska, Pomorska;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„Powiatowego programu rozwoju pieczy zastępczej we Wrocławiu na lata 2021-2023”;</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„Gminnego programu wspierania rodziny we Wrocławiu na lata 2021-2023”;</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projektu uchwały Rady Miejskiej Wrocławia w sprawie zmiany uchwały nr XXXI/687/12 Rady Miejskiej Wrocławia w sprawie określenia szczegółowych warunków przyznawania i odpłatności za usługi opiekuńcze i specjalistyczne usługi opiekuńcze oraz szczegółowych warunków częściowego lub całkowitego zwolnienia od </w:t>
      </w:r>
      <w:r w:rsidRPr="00E00B35">
        <w:rPr>
          <w:szCs w:val="20"/>
        </w:rPr>
        <w:lastRenderedPageBreak/>
        <w:t>opłat, jak również trybu ich pobierania, z wyłączeniem specjalistycznych usług opiekuńczych dla osób z zaburzeniami psychicznymi;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nowej ulicy na terenie Wrocławia (Dawida Kurzmanna);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skwerowi na terenie Wrocławia (Wojciecha Jerzego Hasa);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skwerowi na terenie Wrocławia (Harivansh Rai Bachchana);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parkowi na terenie Wrocławia (gen. Tadeusza Rozwadowskiego);</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ustalenia kierunków działania dla Prezydenta Miasta Wrocławia w roku budżetowym 2021 pod nazwą „Założenia polityki społeczno-gospodarczej Wrocławia na rok budżetowy 2021”;</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konsultacje dotyczące urządzenia podwórka przy ulicach: Księgowej, Hallera, Słonecznikowej;</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organizacji bezpłatnego transportu i opieki w czasie przewozu do szkoły ponadpodstawowej młodzieży niepełnosprawnej;</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zmieniającej uchwały w sprawie nadania statutów osiedli;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dokument „Jak przyznawać pracownie artystyczne?”;</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ulicy na terenie Wrocławia (Weroniki Kumko);</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ulicy na terenie Wrocławia (Wandy Dubieńskiej);</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ulicy na terenie Wrocławia (Haliny Konopackiej);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ulicy na terenie Wrocławia (Zecerska);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ulicy na terenie Wrocławia (Trocka);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ulicy na terenie Wrocławia (Tadżycka);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ulicy na terenie Wrocławia (Uzbecka);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projekt uchwały Rady Miejskiej Wrocławia w sprawie nadania nazwy rondu na terenie Wrocławia (Bohdana Karabona);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 uchwały Rady Miejskiej Wrocławia w sprawie nadania nazwy rondu na terenie Wrocławia (Praw Kobiet).</w:t>
      </w:r>
    </w:p>
    <w:p w:rsidR="00CA14AB" w:rsidRPr="00E00B35" w:rsidRDefault="00CA14AB" w:rsidP="00E00B35">
      <w:pPr>
        <w:spacing w:after="0" w:line="312" w:lineRule="auto"/>
        <w:rPr>
          <w:szCs w:val="20"/>
        </w:rPr>
      </w:pPr>
      <w:r w:rsidRPr="00E00B35">
        <w:rPr>
          <w:szCs w:val="20"/>
        </w:rPr>
        <w:t xml:space="preserve">W oparciu o przeprowadzone konsultacje na podstawie Uchwały Nr LIV/1559/10 Rady Miejskiej Wrocławia z dnia 9 września 2010 r. w sprawie określenia szczegółowego sposobu konsultowania z radą działalności pożytku publicznego lub organizacjami pozarządowymi i podmiotami, o których mowa w art. 3 ust. 3 ustawy z dnia 24 kwietnia </w:t>
      </w:r>
      <w:r w:rsidRPr="00E00B35">
        <w:rPr>
          <w:szCs w:val="20"/>
        </w:rPr>
        <w:lastRenderedPageBreak/>
        <w:t xml:space="preserve">2003r. o działalności pożytku publicznego i o wolontariacie projektów aktów prawa miejscowego w dziedzinach dotyczących działalności statutowej tych organizacji </w:t>
      </w:r>
      <w:r w:rsidRPr="00E00B35">
        <w:rPr>
          <w:szCs w:val="20"/>
        </w:rPr>
        <w:br/>
        <w:t>(j.t. Dz. Urz. Woj. Doln. z 2014 r. poz. 3063) przyjęto:</w:t>
      </w:r>
    </w:p>
    <w:p w:rsidR="00CA14AB" w:rsidRPr="00E00B35" w:rsidRDefault="00CA14AB" w:rsidP="00E00B35">
      <w:pPr>
        <w:spacing w:after="0" w:line="312" w:lineRule="auto"/>
        <w:rPr>
          <w:szCs w:val="20"/>
        </w:rPr>
      </w:pPr>
      <w:r w:rsidRPr="00E00B35">
        <w:rPr>
          <w:szCs w:val="20"/>
        </w:rPr>
        <w:t>Uchwałę Nr XXVIII/755/20 Rady Miejskiej Wrocławia z dnia 22 października 2020 r. w sprawie „Programu współpracy Miasta Wrocławia z organizacjami pozarządowymi w 2021 r.”</w:t>
      </w:r>
    </w:p>
    <w:p w:rsidR="00544448" w:rsidRPr="00E00B35" w:rsidRDefault="00544448" w:rsidP="00E00B35">
      <w:pPr>
        <w:pStyle w:val="Nagwek4"/>
        <w:spacing w:before="0" w:after="0" w:line="312" w:lineRule="auto"/>
        <w:rPr>
          <w:sz w:val="20"/>
          <w:szCs w:val="20"/>
        </w:rPr>
      </w:pPr>
      <w:bookmarkStart w:id="182" w:name="_Toc72352339"/>
      <w:bookmarkStart w:id="183" w:name="_Toc72352773"/>
    </w:p>
    <w:p w:rsidR="00CA14AB" w:rsidRPr="00E00B35" w:rsidRDefault="00CA14AB" w:rsidP="00E00B35">
      <w:pPr>
        <w:pStyle w:val="Nagwek4"/>
        <w:spacing w:before="0" w:after="0" w:line="312" w:lineRule="auto"/>
        <w:rPr>
          <w:sz w:val="20"/>
          <w:szCs w:val="20"/>
        </w:rPr>
      </w:pPr>
      <w:r w:rsidRPr="00E00B35">
        <w:rPr>
          <w:sz w:val="20"/>
          <w:szCs w:val="20"/>
        </w:rPr>
        <w:t>IX NIEODPŁATNA POMOC PRAWNA (NPP)</w:t>
      </w:r>
      <w:bookmarkEnd w:id="182"/>
      <w:bookmarkEnd w:id="183"/>
    </w:p>
    <w:p w:rsidR="00CA14AB" w:rsidRPr="00E00B35" w:rsidRDefault="00CA14AB" w:rsidP="00E00B35">
      <w:pPr>
        <w:spacing w:after="0" w:line="312" w:lineRule="auto"/>
        <w:rPr>
          <w:szCs w:val="20"/>
        </w:rPr>
      </w:pPr>
      <w:r w:rsidRPr="00E00B35">
        <w:rPr>
          <w:szCs w:val="20"/>
        </w:rPr>
        <w:t>Nieodpłatna Pomoc Prawna to zadanie z administracji rządowej zlecone Miastu Wrocław (na prawach powiatu). W roku 2020 na realizację tego zadania przeznaczonych zostało 1 716 000 zł na prowadzenie 26 punktów, w tym 13 prowadzonych przez organizacje pozarządowe oraz 13 przez adwokatów i radców prawnych.</w:t>
      </w:r>
    </w:p>
    <w:p w:rsidR="00CA14AB" w:rsidRPr="00E00B35" w:rsidRDefault="00CA14AB" w:rsidP="00E00B35">
      <w:pPr>
        <w:spacing w:after="0" w:line="312" w:lineRule="auto"/>
        <w:rPr>
          <w:szCs w:val="20"/>
        </w:rPr>
      </w:pPr>
      <w:r w:rsidRPr="00E00B35">
        <w:rPr>
          <w:szCs w:val="20"/>
        </w:rPr>
        <w:t xml:space="preserve">Prowadzenie punktów nieodpłatnej pomocy prawnej we Wrocławiu (przy ul. Ignuta 125, ul. Rękodzielniczej 1, ul. Szczytnickiej 47) </w:t>
      </w:r>
      <w:r w:rsidRPr="00E00B35">
        <w:rPr>
          <w:szCs w:val="20"/>
        </w:rPr>
        <w:br/>
        <w:t xml:space="preserve">Okres realizacji: 1 stycznia 2020 r. – 31 grudnia 2020 r. </w:t>
      </w:r>
      <w:r w:rsidRPr="00E00B35">
        <w:rPr>
          <w:szCs w:val="20"/>
        </w:rPr>
        <w:br/>
        <w:t>Liczba zawartych umów: 2 ( w tym jedna umowa wspólna)</w:t>
      </w:r>
      <w:r w:rsidRPr="00E00B35">
        <w:rPr>
          <w:szCs w:val="20"/>
        </w:rPr>
        <w:br/>
        <w:t>Liczba odbiorców: 1 201</w:t>
      </w:r>
      <w:r w:rsidRPr="00E00B35">
        <w:rPr>
          <w:szCs w:val="20"/>
        </w:rPr>
        <w:br/>
        <w:t>Kwota dotacji: 832 260 zł</w:t>
      </w:r>
    </w:p>
    <w:p w:rsidR="00CA14AB" w:rsidRPr="00E00B35" w:rsidRDefault="00CA14AB" w:rsidP="00E00B35">
      <w:pPr>
        <w:spacing w:after="0" w:line="312" w:lineRule="auto"/>
        <w:rPr>
          <w:szCs w:val="20"/>
        </w:rPr>
      </w:pPr>
      <w:r w:rsidRPr="00E00B35">
        <w:rPr>
          <w:szCs w:val="20"/>
        </w:rPr>
        <w:t>Celem realizacji zadania publicznego było udzielanie nieodpłatnej pomocy prawnej osobom uprawnionym/beneficjentom wymienionym w ustawie z dnia 5 sierpnia 2015 r. o nieodpłatnej pomocy prawnej, nieodpłatnym poradnictwie obywatelskim i edukacji prawnej. Zadanie polegało na prowadzeniu punktów nieodpłatnej pomocy prawnej we Wrocławiu zgodnie z ww. ustawą poprzez udzielanie pomocy, która obejmowała poinformowanie osoby uprawnionej o obowiązującym stanie prawnym, o przysługujących jej uprawnieniach lub o spoczywających na niej obowiązkach, wskazanie osobie uprawnionej sposobu rozwiązania jej problemu prawnego, sporządzenie projektu pisma w sprawie, o których mowa w pkt. 1 i 2, z wyłączeniem pism procesowych w toczącym się postępowaniu przygotowawczym lub sądowym i pism w toczącym się postępowaniu sądowo-administracyjnym, nieodpłatną mediację, sporządzenie projektu pisma o zwolnienie od kosztów sądowych lub ustanowienie pełnomocnika z urzędu w postępowaniu sądowym lub ustanowienie adwokata, radcy prawnego, doradcy podatkowego lub rzecznika patentowego w postępowaniu sądowo-administracyjnym.</w:t>
      </w:r>
    </w:p>
    <w:p w:rsidR="00CA14AB" w:rsidRPr="00E00B35" w:rsidRDefault="00CA14AB" w:rsidP="00E00B35">
      <w:pPr>
        <w:spacing w:after="0" w:line="312" w:lineRule="auto"/>
        <w:rPr>
          <w:szCs w:val="20"/>
        </w:rPr>
      </w:pPr>
      <w:r w:rsidRPr="00E00B35">
        <w:rPr>
          <w:szCs w:val="20"/>
        </w:rPr>
        <w:t>Organizacje pozarządowe prowadziły łącznie 13 punktów nieodpłatnej pomocy prawnej, które czynne były 5 dni w tygodniu po 4 godziny dziennie.</w:t>
      </w:r>
    </w:p>
    <w:p w:rsidR="00CA14AB" w:rsidRPr="00E00B35" w:rsidRDefault="00CA14AB" w:rsidP="00E00B35">
      <w:pPr>
        <w:spacing w:after="0" w:line="312" w:lineRule="auto"/>
        <w:rPr>
          <w:szCs w:val="20"/>
        </w:rPr>
      </w:pPr>
      <w:r w:rsidRPr="00E00B35">
        <w:rPr>
          <w:szCs w:val="20"/>
        </w:rPr>
        <w:t xml:space="preserve">Zgodnie z ustawą z dnia 5 sierpnia 2015 roku o nieodpłatnej pomocy prawnej </w:t>
      </w:r>
      <w:r w:rsidRPr="00E00B35">
        <w:rPr>
          <w:szCs w:val="20"/>
        </w:rPr>
        <w:br/>
        <w:t>oraz edukacji prawnej, a od 1 stycznia 2019 r. zwanej - o nieodpłatnej pomocy prawnej, nieodpłatnym poradnictwie obywatelskim oraz edukacji prawnej na terenie powiatu Miasto Wrocław od 1 stycznia 2020 r. zostało utworzonych 26 punktów, w których udzielana jest nieodpłatna pomoc prawna, świadczona osobiście przez adwokata lub radcę prawnego, a w szczególnie uzasadnionych przypadkach przez aplikanta adwokackiego lub radcowskiego.</w:t>
      </w:r>
    </w:p>
    <w:p w:rsidR="00CA14AB" w:rsidRPr="00E00B35" w:rsidRDefault="00CA14AB" w:rsidP="00E00B35">
      <w:pPr>
        <w:spacing w:after="0" w:line="312" w:lineRule="auto"/>
        <w:rPr>
          <w:szCs w:val="20"/>
        </w:rPr>
      </w:pPr>
      <w:r w:rsidRPr="00E00B35">
        <w:rPr>
          <w:szCs w:val="20"/>
        </w:rPr>
        <w:t xml:space="preserve">Od 1 stycznia 2020 roku, zgodnie z nowelizacją ustawy, usługi były świadczone każdej osobie fizycznej, która złożyła oświadczenie, że nie jest w stanie ponieść kosztów </w:t>
      </w:r>
      <w:r w:rsidRPr="00E00B35">
        <w:rPr>
          <w:szCs w:val="20"/>
        </w:rPr>
        <w:lastRenderedPageBreak/>
        <w:t>odpłatnej pomocy prawnej. Pomoc prawna nie obejmowała spraw z zakresu prawa celnego, dewizowego, handlowego i działalności gospodarczej, z wyjątkiem przygotowywania do jej rozpoczęcia.</w:t>
      </w:r>
    </w:p>
    <w:p w:rsidR="00CA14AB" w:rsidRPr="00E00B35" w:rsidRDefault="00CA14AB" w:rsidP="00E00B35">
      <w:pPr>
        <w:spacing w:after="0" w:line="312" w:lineRule="auto"/>
        <w:rPr>
          <w:szCs w:val="20"/>
        </w:rPr>
      </w:pPr>
      <w:r w:rsidRPr="00E00B35">
        <w:rPr>
          <w:szCs w:val="20"/>
        </w:rPr>
        <w:t>W 2020 r. 13 punktów nieodpłatnej pomocy prawnej było prowadzonych przez adwokatów i radców prawnych, a 13 przez organizacje pozarządowe. W punktach prowadzonych przez organizacje pozarządowe porad udzielali również doradcy podatkowi – w zakresie prawa podatkowego, z wyłączeniem spraw podatkowych związanych z prowadzeniem działalności gospodarczej oraz absolwenci wyższych studiów prawniczych, posiadający co najmniej trzyletnie doświadczenie zawodowe.</w:t>
      </w:r>
    </w:p>
    <w:p w:rsidR="00CA14AB" w:rsidRPr="00E00B35" w:rsidRDefault="00CA14AB" w:rsidP="00E00B35">
      <w:pPr>
        <w:spacing w:after="0" w:line="312" w:lineRule="auto"/>
        <w:rPr>
          <w:szCs w:val="20"/>
        </w:rPr>
      </w:pPr>
      <w:r w:rsidRPr="00E00B35">
        <w:rPr>
          <w:szCs w:val="20"/>
        </w:rPr>
        <w:t>We Wrocławiu, w 2020 r. prowadzonych było 26 punktów nieodpłatnej pomocy prawnej, mieszczących się w lokalach będących w zasobie powiatu M. Wrocław:</w:t>
      </w:r>
    </w:p>
    <w:p w:rsidR="00661172" w:rsidRPr="00E00B35" w:rsidRDefault="00CA14AB" w:rsidP="00BC64AB">
      <w:pPr>
        <w:pStyle w:val="Akapitzlist"/>
        <w:numPr>
          <w:ilvl w:val="0"/>
          <w:numId w:val="158"/>
        </w:numPr>
        <w:spacing w:after="0" w:line="312" w:lineRule="auto"/>
        <w:ind w:left="426" w:hanging="426"/>
        <w:rPr>
          <w:szCs w:val="20"/>
        </w:rPr>
      </w:pPr>
      <w:r w:rsidRPr="00E00B35">
        <w:rPr>
          <w:szCs w:val="20"/>
        </w:rPr>
        <w:t>pl. Dominikańskim 6 (2 punkty),</w:t>
      </w:r>
    </w:p>
    <w:p w:rsidR="00661172" w:rsidRPr="00E00B35" w:rsidRDefault="00CA14AB" w:rsidP="00BC64AB">
      <w:pPr>
        <w:pStyle w:val="Akapitzlist"/>
        <w:numPr>
          <w:ilvl w:val="0"/>
          <w:numId w:val="158"/>
        </w:numPr>
        <w:spacing w:after="0" w:line="312" w:lineRule="auto"/>
        <w:ind w:left="426" w:hanging="426"/>
        <w:rPr>
          <w:szCs w:val="20"/>
        </w:rPr>
      </w:pPr>
      <w:r w:rsidRPr="00E00B35">
        <w:rPr>
          <w:szCs w:val="20"/>
        </w:rPr>
        <w:t>ul. Rydygiera 43 (3 punkty),</w:t>
      </w:r>
    </w:p>
    <w:p w:rsidR="00661172" w:rsidRPr="00E00B35" w:rsidRDefault="00CA14AB" w:rsidP="00BC64AB">
      <w:pPr>
        <w:pStyle w:val="Akapitzlist"/>
        <w:numPr>
          <w:ilvl w:val="0"/>
          <w:numId w:val="158"/>
        </w:numPr>
        <w:spacing w:after="0" w:line="312" w:lineRule="auto"/>
        <w:ind w:left="426" w:hanging="426"/>
        <w:rPr>
          <w:szCs w:val="20"/>
        </w:rPr>
      </w:pPr>
      <w:r w:rsidRPr="00E00B35">
        <w:rPr>
          <w:szCs w:val="20"/>
        </w:rPr>
        <w:t>ul. Wiosennej 14 (1 punkt),</w:t>
      </w:r>
    </w:p>
    <w:p w:rsidR="00661172" w:rsidRPr="00E00B35" w:rsidRDefault="00CA14AB" w:rsidP="00BC64AB">
      <w:pPr>
        <w:pStyle w:val="Akapitzlist"/>
        <w:numPr>
          <w:ilvl w:val="0"/>
          <w:numId w:val="158"/>
        </w:numPr>
        <w:spacing w:after="0" w:line="312" w:lineRule="auto"/>
        <w:ind w:left="426" w:hanging="426"/>
        <w:rPr>
          <w:szCs w:val="20"/>
        </w:rPr>
      </w:pPr>
      <w:r w:rsidRPr="00E00B35">
        <w:rPr>
          <w:szCs w:val="20"/>
        </w:rPr>
        <w:t>ul. Gajowickiej 96a (1 punkt),</w:t>
      </w:r>
    </w:p>
    <w:p w:rsidR="00661172" w:rsidRPr="00E00B35" w:rsidRDefault="00CA14AB" w:rsidP="00BC64AB">
      <w:pPr>
        <w:pStyle w:val="Akapitzlist"/>
        <w:numPr>
          <w:ilvl w:val="0"/>
          <w:numId w:val="158"/>
        </w:numPr>
        <w:spacing w:after="0" w:line="312" w:lineRule="auto"/>
        <w:ind w:left="426" w:hanging="426"/>
        <w:rPr>
          <w:szCs w:val="20"/>
        </w:rPr>
      </w:pPr>
      <w:r w:rsidRPr="00E00B35">
        <w:rPr>
          <w:szCs w:val="20"/>
        </w:rPr>
        <w:t>ul. Kromera 44 (2 punkty),</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ul. Szczytnickiej 47 (4 punkty).</w:t>
      </w:r>
    </w:p>
    <w:p w:rsidR="00661172" w:rsidRPr="00E00B35" w:rsidRDefault="00CA14AB" w:rsidP="00E00B35">
      <w:pPr>
        <w:spacing w:after="0" w:line="312" w:lineRule="auto"/>
        <w:rPr>
          <w:szCs w:val="20"/>
        </w:rPr>
      </w:pPr>
      <w:r w:rsidRPr="00E00B35">
        <w:rPr>
          <w:szCs w:val="20"/>
        </w:rPr>
        <w:t>W wyniku konkursu nr 2478 dotacji udzielono 3 organizacjom pozarządowym (oferta wspólna) przy:</w:t>
      </w:r>
    </w:p>
    <w:p w:rsidR="00661172" w:rsidRPr="00E00B35" w:rsidRDefault="00CA14AB" w:rsidP="00BC64AB">
      <w:pPr>
        <w:pStyle w:val="Akapitzlist"/>
        <w:numPr>
          <w:ilvl w:val="0"/>
          <w:numId w:val="159"/>
        </w:numPr>
        <w:spacing w:after="0" w:line="312" w:lineRule="auto"/>
        <w:ind w:left="426" w:hanging="426"/>
        <w:rPr>
          <w:szCs w:val="20"/>
        </w:rPr>
      </w:pPr>
      <w:r w:rsidRPr="00E00B35">
        <w:rPr>
          <w:szCs w:val="20"/>
        </w:rPr>
        <w:t>ul. Rękodzielniczej 1 (2 punkty),</w:t>
      </w:r>
    </w:p>
    <w:p w:rsidR="00661172" w:rsidRPr="00E00B35" w:rsidRDefault="00CA14AB" w:rsidP="00BC64AB">
      <w:pPr>
        <w:pStyle w:val="Akapitzlist"/>
        <w:numPr>
          <w:ilvl w:val="0"/>
          <w:numId w:val="159"/>
        </w:numPr>
        <w:spacing w:after="0" w:line="312" w:lineRule="auto"/>
        <w:ind w:left="426" w:hanging="426"/>
        <w:rPr>
          <w:szCs w:val="20"/>
        </w:rPr>
      </w:pPr>
      <w:r w:rsidRPr="00E00B35">
        <w:rPr>
          <w:szCs w:val="20"/>
        </w:rPr>
        <w:t>ul. Ignuta 125 (9 punktów),</w:t>
      </w:r>
    </w:p>
    <w:p w:rsidR="00CA14AB" w:rsidRPr="00E00B35" w:rsidRDefault="00CA14AB" w:rsidP="00BC64AB">
      <w:pPr>
        <w:pStyle w:val="Akapitzlist"/>
        <w:numPr>
          <w:ilvl w:val="0"/>
          <w:numId w:val="159"/>
        </w:numPr>
        <w:spacing w:after="0" w:line="312" w:lineRule="auto"/>
        <w:ind w:left="426" w:hanging="426"/>
        <w:rPr>
          <w:szCs w:val="20"/>
        </w:rPr>
      </w:pPr>
      <w:r w:rsidRPr="00E00B35">
        <w:rPr>
          <w:szCs w:val="20"/>
        </w:rPr>
        <w:t>ul. Szczytnickiej 47 (2 punkty).</w:t>
      </w:r>
    </w:p>
    <w:p w:rsidR="00CA14AB" w:rsidRPr="00E00B35" w:rsidRDefault="00CA14AB" w:rsidP="00E00B35">
      <w:pPr>
        <w:spacing w:after="0" w:line="312" w:lineRule="auto"/>
        <w:rPr>
          <w:szCs w:val="20"/>
        </w:rPr>
      </w:pPr>
      <w:r w:rsidRPr="00E00B35">
        <w:rPr>
          <w:szCs w:val="20"/>
        </w:rPr>
        <w:t>Punkty te były obsługiwane przez 58 adwokatów i radców prawnych.</w:t>
      </w:r>
      <w:r w:rsidRPr="00E00B35">
        <w:rPr>
          <w:szCs w:val="20"/>
        </w:rPr>
        <w:br/>
        <w:t>Każdy punkt NPP był wyposażony w komputer, urządzenie wielofunkcyjne, Internet, telefon komórkowy i sprzęt biurowy, oprogramowanie Wolters Kluwer.</w:t>
      </w:r>
    </w:p>
    <w:p w:rsidR="00CA14AB" w:rsidRPr="00E00B35" w:rsidRDefault="00CA14AB" w:rsidP="00E00B35">
      <w:pPr>
        <w:spacing w:after="0" w:line="312" w:lineRule="auto"/>
        <w:rPr>
          <w:szCs w:val="20"/>
        </w:rPr>
      </w:pPr>
      <w:r w:rsidRPr="00E00B35">
        <w:rPr>
          <w:szCs w:val="20"/>
        </w:rPr>
        <w:t xml:space="preserve">W ramach programu nieodpłatnej pomocy prawnej we Wrocławiu, w 2020 r. udzielono </w:t>
      </w:r>
      <w:r w:rsidRPr="00E00B35">
        <w:rPr>
          <w:szCs w:val="20"/>
        </w:rPr>
        <w:br/>
        <w:t>3984 porad prawnych i obywatelskich, w tym 2783 w punktach obsługiwanych przez adwokatów i radców prawnych, 1130 w punktach prowadzonych przez organizacje pozarządowe oraz 71 porad obywatelskich.</w:t>
      </w:r>
    </w:p>
    <w:bookmarkStart w:id="184" w:name="_Hlk63018453"/>
    <w:p w:rsidR="00CA14AB" w:rsidRPr="00E00B35" w:rsidRDefault="00573162" w:rsidP="00E00B35">
      <w:pPr>
        <w:spacing w:after="0" w:line="312" w:lineRule="auto"/>
        <w:rPr>
          <w:szCs w:val="20"/>
        </w:rPr>
      </w:pPr>
      <w:r w:rsidRPr="00E00B35">
        <w:rPr>
          <w:szCs w:val="20"/>
        </w:rPr>
        <w:fldChar w:fldCharType="begin"/>
      </w:r>
      <w:r w:rsidR="00CA14AB" w:rsidRPr="00E00B35">
        <w:rPr>
          <w:szCs w:val="20"/>
        </w:rPr>
        <w:instrText xml:space="preserve"> HYPERLINK "https://www.wroclaw.pl/bezplatna-pomoc-prawna-wroclaw-adresy-godziny" \t "_blank" </w:instrText>
      </w:r>
      <w:r w:rsidRPr="00E00B35">
        <w:rPr>
          <w:szCs w:val="20"/>
        </w:rPr>
        <w:fldChar w:fldCharType="separate"/>
      </w:r>
      <w:r w:rsidR="00CA14AB" w:rsidRPr="00E00B35">
        <w:rPr>
          <w:szCs w:val="20"/>
        </w:rPr>
        <w:t xml:space="preserve">W związku z przeciwdziałaniem zagrożeniom związanym z COVID-19 od 16 marca do 31.12.2020 r. nieodpłatne porady prawne we Wrocławiu były udzielane jedynie przez telefon. </w:t>
      </w:r>
      <w:r w:rsidRPr="00E00B35">
        <w:rPr>
          <w:szCs w:val="20"/>
        </w:rPr>
        <w:fldChar w:fldCharType="end"/>
      </w:r>
      <w:bookmarkEnd w:id="184"/>
    </w:p>
    <w:p w:rsidR="00544448" w:rsidRPr="00E00B35" w:rsidRDefault="00544448" w:rsidP="00E00B35">
      <w:pPr>
        <w:pStyle w:val="Nagwek4"/>
        <w:spacing w:before="0" w:after="0" w:line="312" w:lineRule="auto"/>
        <w:rPr>
          <w:sz w:val="20"/>
          <w:szCs w:val="20"/>
        </w:rPr>
      </w:pPr>
      <w:bookmarkStart w:id="185" w:name="_Toc72352340"/>
      <w:bookmarkStart w:id="186" w:name="_Toc72352774"/>
    </w:p>
    <w:p w:rsidR="00CA14AB" w:rsidRPr="00E00B35" w:rsidRDefault="00CA14AB" w:rsidP="00E00B35">
      <w:pPr>
        <w:pStyle w:val="Nagwek4"/>
        <w:spacing w:before="0" w:after="0" w:line="312" w:lineRule="auto"/>
        <w:rPr>
          <w:sz w:val="20"/>
          <w:szCs w:val="20"/>
        </w:rPr>
      </w:pPr>
      <w:r w:rsidRPr="00E00B35">
        <w:rPr>
          <w:sz w:val="20"/>
          <w:szCs w:val="20"/>
        </w:rPr>
        <w:t>X EKONOMIA SPOŁECZNA I LOKALNY PROGRAM ROZWOJU EKONOMII SPOŁECZNEJ</w:t>
      </w:r>
      <w:bookmarkEnd w:id="185"/>
      <w:bookmarkEnd w:id="186"/>
    </w:p>
    <w:p w:rsidR="00CA14AB" w:rsidRPr="00E00B35" w:rsidRDefault="00CA14AB" w:rsidP="00E00B35">
      <w:pPr>
        <w:spacing w:after="0" w:line="312" w:lineRule="auto"/>
        <w:rPr>
          <w:szCs w:val="20"/>
        </w:rPr>
      </w:pPr>
      <w:r w:rsidRPr="00E00B35">
        <w:rPr>
          <w:szCs w:val="20"/>
        </w:rPr>
        <w:t>Lokalny Program Rozwoju Ekonomii Społecznej to program współpracy miasta Wrocławia z podmiotami ekonomii społecznej w zakresie realizacji usług  użyteczności publicznej. Program powstał w wyniku realizacji projektu pn. „Społecznie odpowiedzialny Wrocław”.</w:t>
      </w:r>
    </w:p>
    <w:p w:rsidR="00CA14AB" w:rsidRPr="00E00B35" w:rsidRDefault="00CA14AB" w:rsidP="00E00B35">
      <w:pPr>
        <w:spacing w:after="0" w:line="312" w:lineRule="auto"/>
        <w:rPr>
          <w:szCs w:val="20"/>
        </w:rPr>
      </w:pPr>
      <w:r w:rsidRPr="00E00B35">
        <w:rPr>
          <w:szCs w:val="20"/>
        </w:rPr>
        <w:t>Ewaluacja i działania całoroczne strategii rozwoju współpracy NGO i miasta Wrocławia w tym ekonomia społecznaOkres realizacji: 15 września 2018 r. – 31 grudnia 2020 r. (umowa wieloletnia)</w:t>
      </w:r>
      <w:r w:rsidRPr="00E00B35">
        <w:rPr>
          <w:szCs w:val="20"/>
        </w:rPr>
        <w:br/>
        <w:t>Liczba zawartych umów: 1</w:t>
      </w:r>
      <w:r w:rsidRPr="00E00B35">
        <w:rPr>
          <w:szCs w:val="20"/>
        </w:rPr>
        <w:br/>
        <w:t>Kwota dotacji: 200 000 zł (na lata 2018-2020 łącznie 600 000 zł)</w:t>
      </w:r>
    </w:p>
    <w:p w:rsidR="00CA14AB" w:rsidRPr="00E00B35" w:rsidRDefault="00CA14AB" w:rsidP="00E00B35">
      <w:pPr>
        <w:spacing w:after="0" w:line="312" w:lineRule="auto"/>
        <w:rPr>
          <w:szCs w:val="20"/>
        </w:rPr>
      </w:pPr>
      <w:r w:rsidRPr="00E00B35">
        <w:rPr>
          <w:szCs w:val="20"/>
        </w:rPr>
        <w:lastRenderedPageBreak/>
        <w:t xml:space="preserve">Celem realizacji zadania publicznego było wdrożenie wybranych działań strategii rozwoju współpracy Miasta Wrocławia  z organizacjami pozarządowymi.  Podczas realizacji zadania publicznego zostały podjęte działania: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zbudowanie sieci współpracy organizacji pozarządowych (dalej NGO) odpowiedzialnych za realizację celów i działań zapisanych w Strategii;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włączenie wrocławskich NGO do współpracy przy realizacji działań zapisanych</w:t>
      </w:r>
      <w:r w:rsidRPr="00E00B35">
        <w:rPr>
          <w:szCs w:val="20"/>
        </w:rPr>
        <w:br/>
        <w:t>w Strategii;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uruchomienie wewnątrzsektorowych i międzysektorowych partnerstw branżowych;</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budowanie zaufania i partnerstwa poprzez integrację wewnątrz i międzysektorową m.in. osób reprezentujących wrocławskie NGO, Urząd Miejski Wrocławia, przedstawicieli władz lokalnych, jednostek pomocniczych i organizacyjnych Gminy Wrocław, biznesu;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promowanie Strategii we Wrocławiu oraz poza nim;</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propagowanie idei integracji wrocławskich NGO oraz wzmacnianie procesu federalizacji wrocławskich NGO;</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rozwijanie i monitoring współpracy Miasta Wrocławia z NGO;</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monitoring i ewaluacja procesu wdrażania Strategii;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organizowanie tematycznych spotkań, wydarzeń, debat o społecznych wyzwaniach Wrocławia z udziałem w szczególności wrocławskich NGO oraz kluczowych dla danego obszaru przedstawicieli Urzędu Miejskiego Wrocławia, władz lokalnych, jednostek pomocniczych i organizacyjnych Gminy Wrocław;</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zwiększenie świadomości wśród przedstawicieli Urzędu Miejskiego Wrocławia, władz lokalnych, jednostek pomocniczych i organizacyjnych Gminy Wrocław i NGO na temat zasad i form współpracy międzysektorowej.</w:t>
      </w:r>
    </w:p>
    <w:p w:rsidR="00CA14AB" w:rsidRPr="00E00B35" w:rsidRDefault="00CA14AB" w:rsidP="00E00B35">
      <w:pPr>
        <w:spacing w:after="0" w:line="312" w:lineRule="auto"/>
        <w:rPr>
          <w:szCs w:val="20"/>
        </w:rPr>
      </w:pPr>
      <w:r w:rsidRPr="00E00B35">
        <w:rPr>
          <w:szCs w:val="20"/>
        </w:rPr>
        <w:t>W czasie trwającej pandemii COVID-19 spotkania i wydarzenia odbywały się on-line.</w:t>
      </w:r>
    </w:p>
    <w:p w:rsidR="00CA14AB" w:rsidRPr="00E00B35" w:rsidRDefault="00CA14AB" w:rsidP="00E00B35">
      <w:pPr>
        <w:spacing w:after="0" w:line="312" w:lineRule="auto"/>
        <w:rPr>
          <w:szCs w:val="20"/>
        </w:rPr>
      </w:pPr>
      <w:r w:rsidRPr="00E00B35">
        <w:rPr>
          <w:szCs w:val="20"/>
        </w:rPr>
        <w:t>Najważniejsze korzyści wdrożenia programu: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zwiększenie zatrudnienia osób najbardziej oddalonych od rynku pracy oraz trwale korzystających ze świadczeń pomocy społecznej ( udzielenie zamówienia podmiotowi ekonomii społecznej, często lokalnemu w stosunku do siedziby Zamawiającego) związane jest z zatrudnieniem do realizacji umowy osób pochodzących z tego samego terenu, co Zamawiający , powodując spadek bezrobocia na danym obszarze oraz zmniejszenie kosztów utrzymania przez samorząd osób bezrobotnych, a osoby wykluczone mają możliwość powrotu do społeczeństwa i aktywnego w nim zaistnienia;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podatki z tytułu PIT i CIT zostają w Gminie, w związku z tym iż zlecenie wykonuje lokalny Wykonawca, a zatrudnieni pracownicy odprowadzają podatki zgodnie z miejscem zamieszkania;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zmniejszenie świadczeń pomocy społecznej wypłacanych osobom trwale bezrobotnym;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wzmocnienie postaw przedsiębiorczości i odpowiedzialności społecznej wśród mieszkańców;</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rozwój współpracy trójsektorowej i tworzenia  lokalnych warunków do zlecania </w:t>
      </w:r>
      <w:r w:rsidRPr="00E00B35">
        <w:rPr>
          <w:szCs w:val="20"/>
        </w:rPr>
        <w:br/>
        <w:t>i realizacji usług publicznych;</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lastRenderedPageBreak/>
        <w:t xml:space="preserve">zwiększenie stabilności funkcjonowania podmiotów ekonomii społecznej </w:t>
      </w:r>
      <w:r w:rsidRPr="00E00B35">
        <w:rPr>
          <w:szCs w:val="20"/>
        </w:rPr>
        <w:br/>
        <w:t>oraz tworzenie warunków do ich rozwoju.</w:t>
      </w:r>
    </w:p>
    <w:p w:rsidR="00CA14AB" w:rsidRPr="00E00B35" w:rsidRDefault="00CA14AB" w:rsidP="00E00B35">
      <w:pPr>
        <w:spacing w:after="0" w:line="312" w:lineRule="auto"/>
        <w:rPr>
          <w:szCs w:val="20"/>
        </w:rPr>
      </w:pPr>
      <w:r w:rsidRPr="00E00B35">
        <w:rPr>
          <w:szCs w:val="20"/>
        </w:rPr>
        <w:t xml:space="preserve">Partnerzy, którzy współuczestniczyli w wypracowaniu i wdrożeniu to: przedstawiciele podmiotów ekonomii społecznej, spółki komunalne, miejskie jednostki organizacyjne, </w:t>
      </w:r>
      <w:r w:rsidRPr="00E00B35">
        <w:rPr>
          <w:szCs w:val="20"/>
        </w:rPr>
        <w:br/>
        <w:t xml:space="preserve">w tym Miejski Ośrodek Pomocy Społecznej i Wrocławskie Centrum Integracji. </w:t>
      </w:r>
    </w:p>
    <w:p w:rsidR="00CA14AB" w:rsidRPr="00E00B35" w:rsidRDefault="00CA14AB" w:rsidP="00E00B35">
      <w:pPr>
        <w:spacing w:after="0" w:line="312" w:lineRule="auto"/>
        <w:rPr>
          <w:szCs w:val="20"/>
        </w:rPr>
      </w:pPr>
      <w:r w:rsidRPr="00E00B35">
        <w:rPr>
          <w:szCs w:val="20"/>
        </w:rPr>
        <w:t>W roku 2020 Wrocławska Spółdzielnia Socjalna współpracowała z innymi  podmiotami wykonując:</w:t>
      </w:r>
    </w:p>
    <w:p w:rsidR="00CA14AB" w:rsidRPr="00E00B35" w:rsidRDefault="00CA14AB" w:rsidP="00E00B35">
      <w:pPr>
        <w:spacing w:after="0" w:line="312" w:lineRule="auto"/>
        <w:rPr>
          <w:szCs w:val="20"/>
        </w:rPr>
      </w:pPr>
      <w:r w:rsidRPr="00E00B35">
        <w:rPr>
          <w:szCs w:val="20"/>
        </w:rPr>
        <w:t>Usługi transportowe przy użyciu własnych pojazdów, ze wskazanych lokali gminnych oraz pomieszczeń do nich przynależnych do innych wskazanych lokali stanowiących zasób Gminy Wrocław</w:t>
      </w:r>
      <w:r w:rsidRPr="00E00B35">
        <w:rPr>
          <w:szCs w:val="20"/>
        </w:rPr>
        <w:br/>
        <w:t>Kwota umowy – 62 853, 00 zł,</w:t>
      </w:r>
      <w:r w:rsidRPr="00E00B35">
        <w:rPr>
          <w:szCs w:val="20"/>
        </w:rPr>
        <w:br/>
        <w:t>Wrocławskie Mieszkanie Sp. z o.o. ,</w:t>
      </w:r>
    </w:p>
    <w:p w:rsidR="00CA14AB" w:rsidRPr="00E00B35" w:rsidRDefault="00CA14AB" w:rsidP="00E00B35">
      <w:pPr>
        <w:spacing w:after="0" w:line="312" w:lineRule="auto"/>
        <w:rPr>
          <w:szCs w:val="20"/>
        </w:rPr>
      </w:pPr>
      <w:r w:rsidRPr="00E00B35">
        <w:rPr>
          <w:szCs w:val="20"/>
        </w:rPr>
        <w:t>Usługi porządkowe w lokalach i pomieszczeniach do nich przynależnych stanowiących własność Gminy Wrocław (realizacja do 16.08.2020)</w:t>
      </w:r>
      <w:r w:rsidRPr="00E00B35">
        <w:rPr>
          <w:szCs w:val="20"/>
        </w:rPr>
        <w:br/>
        <w:t xml:space="preserve">Kwota umowy   - 191 266, 23 zł </w:t>
      </w:r>
      <w:r w:rsidRPr="00E00B35">
        <w:rPr>
          <w:szCs w:val="20"/>
        </w:rPr>
        <w:br/>
        <w:t>Wrocławskie Mieszkanie Sp. z o.o. ,</w:t>
      </w:r>
    </w:p>
    <w:p w:rsidR="00CA14AB" w:rsidRPr="00E00B35" w:rsidRDefault="00CA14AB" w:rsidP="00E00B35">
      <w:pPr>
        <w:spacing w:after="0" w:line="312" w:lineRule="auto"/>
        <w:rPr>
          <w:szCs w:val="20"/>
        </w:rPr>
      </w:pPr>
      <w:r w:rsidRPr="00E00B35">
        <w:rPr>
          <w:szCs w:val="20"/>
        </w:rPr>
        <w:t>Usługa w zakresie otwierania i zamykania i zamykania bram Cmentarza Komunalnego</w:t>
      </w:r>
      <w:r w:rsidRPr="00E00B35">
        <w:rPr>
          <w:szCs w:val="20"/>
        </w:rPr>
        <w:br/>
        <w:t>Oddział Jerzmanowo</w:t>
      </w:r>
      <w:r w:rsidRPr="00E00B35">
        <w:rPr>
          <w:szCs w:val="20"/>
        </w:rPr>
        <w:br/>
        <w:t>Kwota umowy   - 26 568, 00 zł</w:t>
      </w:r>
      <w:r w:rsidRPr="00E00B35">
        <w:rPr>
          <w:szCs w:val="20"/>
        </w:rPr>
        <w:br/>
        <w:t xml:space="preserve">Zarząd Cmentarzy komunalnych, </w:t>
      </w:r>
    </w:p>
    <w:p w:rsidR="00CA14AB" w:rsidRPr="00E00B35" w:rsidRDefault="00CA14AB" w:rsidP="00E00B35">
      <w:pPr>
        <w:spacing w:after="0" w:line="312" w:lineRule="auto"/>
        <w:rPr>
          <w:szCs w:val="20"/>
        </w:rPr>
      </w:pPr>
      <w:r w:rsidRPr="00E00B35">
        <w:rPr>
          <w:szCs w:val="20"/>
        </w:rPr>
        <w:t>Usługa monitorowania, porządkowania , koszenia terenu zewnętrznego</w:t>
      </w:r>
      <w:r w:rsidRPr="00E00B35">
        <w:rPr>
          <w:szCs w:val="20"/>
        </w:rPr>
        <w:br/>
        <w:t xml:space="preserve">Kwota umowy – 42 210, 61 zł </w:t>
      </w:r>
      <w:r w:rsidRPr="00E00B35">
        <w:rPr>
          <w:szCs w:val="20"/>
        </w:rPr>
        <w:br/>
        <w:t xml:space="preserve">Zarząd Zieleni Miejskiej, </w:t>
      </w:r>
    </w:p>
    <w:p w:rsidR="00CA14AB" w:rsidRPr="00E00B35" w:rsidRDefault="00CA14AB" w:rsidP="00E00B35">
      <w:pPr>
        <w:spacing w:after="0" w:line="312" w:lineRule="auto"/>
        <w:rPr>
          <w:szCs w:val="20"/>
        </w:rPr>
      </w:pPr>
      <w:r w:rsidRPr="00E00B35">
        <w:rPr>
          <w:szCs w:val="20"/>
        </w:rPr>
        <w:t xml:space="preserve">Usługa kolportażu papierowego biuletynu </w:t>
      </w:r>
      <w:hyperlink r:id="rId92" w:history="1">
        <w:r w:rsidRPr="00E00B35">
          <w:rPr>
            <w:szCs w:val="20"/>
          </w:rPr>
          <w:t>wroclaw.pl</w:t>
        </w:r>
      </w:hyperlink>
      <w:r w:rsidRPr="00E00B35">
        <w:rPr>
          <w:szCs w:val="20"/>
        </w:rPr>
        <w:br/>
        <w:t xml:space="preserve">Kwota umowy na rok 2020 – 79 145,58 zł </w:t>
      </w:r>
      <w:r w:rsidRPr="00E00B35">
        <w:rPr>
          <w:szCs w:val="20"/>
        </w:rPr>
        <w:br/>
        <w:t xml:space="preserve">Agencja Rozwoju Aglomeracji Wrocławskiej, </w:t>
      </w:r>
    </w:p>
    <w:p w:rsidR="00CA14AB" w:rsidRPr="00E00B35" w:rsidRDefault="00CA14AB" w:rsidP="00E00B35">
      <w:pPr>
        <w:spacing w:after="0" w:line="312" w:lineRule="auto"/>
        <w:rPr>
          <w:szCs w:val="20"/>
        </w:rPr>
      </w:pPr>
      <w:r w:rsidRPr="00E00B35">
        <w:rPr>
          <w:szCs w:val="20"/>
        </w:rPr>
        <w:t>Usługa porządkowa terenu zewnętrznego ok. Wzgórze Gajowego (ok. 2 ha)</w:t>
      </w:r>
      <w:r w:rsidRPr="00E00B35">
        <w:rPr>
          <w:szCs w:val="20"/>
        </w:rPr>
        <w:br/>
        <w:t xml:space="preserve">Kwota umowy – 24 409,30 zł </w:t>
      </w:r>
      <w:r w:rsidRPr="00E00B35">
        <w:rPr>
          <w:szCs w:val="20"/>
        </w:rPr>
        <w:br/>
        <w:t>Młodzieżowe Centrum Sportu, </w:t>
      </w:r>
    </w:p>
    <w:p w:rsidR="00CA14AB" w:rsidRPr="00E00B35" w:rsidRDefault="00CA14AB" w:rsidP="00E00B35">
      <w:pPr>
        <w:spacing w:after="0" w:line="312" w:lineRule="auto"/>
        <w:rPr>
          <w:szCs w:val="20"/>
        </w:rPr>
      </w:pPr>
      <w:r w:rsidRPr="00E00B35">
        <w:rPr>
          <w:szCs w:val="20"/>
        </w:rPr>
        <w:t>Usługi malowania pomieszczeń, drobne prace remontowe i budowlane , adaptacja i przebudowa 2 mieszkań na potrzeby MOPS Wrocław.</w:t>
      </w:r>
      <w:r w:rsidRPr="00E00B35">
        <w:rPr>
          <w:szCs w:val="20"/>
        </w:rPr>
        <w:br/>
        <w:t>Kwota umów – 272 607,93 zł</w:t>
      </w:r>
      <w:r w:rsidRPr="00E00B35">
        <w:rPr>
          <w:szCs w:val="20"/>
        </w:rPr>
        <w:br/>
        <w:t xml:space="preserve">Miejski Ośrodek Pomocy Społecznej, </w:t>
      </w:r>
    </w:p>
    <w:p w:rsidR="00CA14AB" w:rsidRPr="00E00B35" w:rsidRDefault="00CA14AB" w:rsidP="00E00B35">
      <w:pPr>
        <w:spacing w:after="0" w:line="312" w:lineRule="auto"/>
        <w:rPr>
          <w:szCs w:val="20"/>
        </w:rPr>
      </w:pPr>
      <w:r w:rsidRPr="00E00B35">
        <w:rPr>
          <w:szCs w:val="20"/>
        </w:rPr>
        <w:t>Usługi transportowe na potrzeby MOPS Wrocław.</w:t>
      </w:r>
      <w:r w:rsidRPr="00E00B35">
        <w:rPr>
          <w:szCs w:val="20"/>
        </w:rPr>
        <w:br/>
        <w:t>Kwota umowy – 11 576,47 zł</w:t>
      </w:r>
      <w:r w:rsidRPr="00E00B35">
        <w:rPr>
          <w:szCs w:val="20"/>
        </w:rPr>
        <w:br/>
        <w:t xml:space="preserve">Miejski Ośrodek Pomocy Społecznej, </w:t>
      </w:r>
    </w:p>
    <w:p w:rsidR="00CA14AB" w:rsidRPr="00E00B35" w:rsidRDefault="00CA14AB" w:rsidP="00E00B35">
      <w:pPr>
        <w:spacing w:after="0" w:line="312" w:lineRule="auto"/>
        <w:rPr>
          <w:szCs w:val="20"/>
        </w:rPr>
      </w:pPr>
      <w:r w:rsidRPr="00E00B35">
        <w:rPr>
          <w:szCs w:val="20"/>
        </w:rPr>
        <w:t xml:space="preserve">RAZEM: 710 636,50 zł </w:t>
      </w:r>
    </w:p>
    <w:p w:rsidR="00CA14AB" w:rsidRPr="00E00B35" w:rsidRDefault="00CA14AB" w:rsidP="00E00B35">
      <w:pPr>
        <w:spacing w:after="0" w:line="312" w:lineRule="auto"/>
        <w:rPr>
          <w:szCs w:val="20"/>
        </w:rPr>
      </w:pPr>
      <w:r w:rsidRPr="00E00B35">
        <w:rPr>
          <w:szCs w:val="20"/>
        </w:rPr>
        <w:t xml:space="preserve">Dzięki zleceniom z Gminy Wrocław Wrocławska Spółdzielnia Socjalna utrzymuje miejsca pracy dla 20 do 30 osób bezdomnych (na koniec roku 2020 zatrudnienie wzrosło do 34 osób, w tym 30 osób wykluczonych społecznie, głównie bezdomnych), które w tym czasie nie korzystają z różnych form pomocy Miejskiego Ośrodka Pomocy Społecznej (w tym zasiłków), a wcześniej były czynnymi biorcami świadczeń z tytułu pomocy społecznej. </w:t>
      </w:r>
      <w:r w:rsidRPr="00E00B35">
        <w:rPr>
          <w:szCs w:val="20"/>
        </w:rPr>
        <w:lastRenderedPageBreak/>
        <w:t>Miesięczne utrzymania 1 osoby bezdomnej ze świadczeń MOPS to koszt 1 040 zł (12 480zł rocznie dla jednej osoby x 30 osób = 374 400 zł rocznie)</w:t>
      </w:r>
    </w:p>
    <w:p w:rsidR="00CA14AB" w:rsidRPr="00E00B35" w:rsidRDefault="00CA14AB" w:rsidP="00E00B35">
      <w:pPr>
        <w:spacing w:after="0" w:line="312" w:lineRule="auto"/>
        <w:rPr>
          <w:szCs w:val="20"/>
        </w:rPr>
      </w:pPr>
      <w:r w:rsidRPr="00E00B35">
        <w:rPr>
          <w:szCs w:val="20"/>
        </w:rPr>
        <w:t xml:space="preserve">Gmina Wrocław zlecając zadania Wrocławskiej Spółdzielni Socjalnej na kwotę </w:t>
      </w:r>
      <w:r w:rsidRPr="00E00B35">
        <w:rPr>
          <w:szCs w:val="20"/>
        </w:rPr>
        <w:br/>
        <w:t>710 636, 50 zł zaoszczędziła ze środków publicznych ok 375 000, 00 zł na wydatkach przeznaczonych na utrzymanie osób  bezrobotnych i bezdomnych, które przed podjęciem pracy w Spółdzielni utrzymywały się wyłącznie  z zasiłków wypłacanych przez MOPS.</w:t>
      </w:r>
    </w:p>
    <w:p w:rsidR="00CA14AB" w:rsidRPr="00E00B35" w:rsidRDefault="00CA14AB" w:rsidP="00E00B35">
      <w:pPr>
        <w:spacing w:after="0" w:line="312" w:lineRule="auto"/>
        <w:rPr>
          <w:szCs w:val="20"/>
        </w:rPr>
      </w:pPr>
      <w:r w:rsidRPr="00E00B35">
        <w:rPr>
          <w:szCs w:val="20"/>
        </w:rPr>
        <w:t xml:space="preserve">Wydział Partycypacji Społecznej w roku 2020 zlecił przeprowadzenie szkoleń w zakresie stosowania klauzul społecznych w zamówieniach publicznych dla pracowników komórek organizacyjnych Urzędu Miejskiego Wrocławia, jednostek organizacyjnych oraz szkół i przedszkoli, aby zwiększyć świadomość zlecania zamówień podmiotom ekonomii społecznej. W szkoleniach wzięło udział 26 osób. Łączny koszt szkoleń to  18 800,00 złotych brutto. </w:t>
      </w:r>
    </w:p>
    <w:p w:rsidR="00544448" w:rsidRPr="00E00B35" w:rsidRDefault="00544448" w:rsidP="00E00B35">
      <w:pPr>
        <w:pStyle w:val="Nagwek4"/>
        <w:spacing w:before="0" w:after="0" w:line="312" w:lineRule="auto"/>
        <w:rPr>
          <w:sz w:val="20"/>
          <w:szCs w:val="20"/>
        </w:rPr>
      </w:pPr>
      <w:bookmarkStart w:id="187" w:name="_Toc72352341"/>
      <w:bookmarkStart w:id="188" w:name="_Toc72352775"/>
    </w:p>
    <w:p w:rsidR="00CA14AB" w:rsidRPr="00E00B35" w:rsidRDefault="00CA14AB" w:rsidP="00E00B35">
      <w:pPr>
        <w:pStyle w:val="Nagwek4"/>
        <w:spacing w:before="0" w:after="0" w:line="312" w:lineRule="auto"/>
        <w:rPr>
          <w:sz w:val="20"/>
          <w:szCs w:val="20"/>
        </w:rPr>
      </w:pPr>
      <w:r w:rsidRPr="00E00B35">
        <w:rPr>
          <w:sz w:val="20"/>
          <w:szCs w:val="20"/>
        </w:rPr>
        <w:t>XI PETYCJE</w:t>
      </w:r>
      <w:bookmarkEnd w:id="187"/>
      <w:bookmarkEnd w:id="188"/>
    </w:p>
    <w:p w:rsidR="00CA14AB" w:rsidRPr="00E00B35" w:rsidRDefault="00CA14AB" w:rsidP="00E00B35">
      <w:pPr>
        <w:spacing w:after="0" w:line="312" w:lineRule="auto"/>
        <w:rPr>
          <w:szCs w:val="20"/>
        </w:rPr>
      </w:pPr>
      <w:r w:rsidRPr="00E00B35">
        <w:rPr>
          <w:szCs w:val="20"/>
        </w:rPr>
        <w:t>Podstawą prawną do składania petycji w Polsce jest ustawa z dnia 11 lipca 2014 r. o petycjach (Dz.U. z 2018 r. poz. 870). Weszła ona w życie 6 września 2015 roku.</w:t>
      </w:r>
    </w:p>
    <w:p w:rsidR="00CA14AB" w:rsidRPr="00E00B35" w:rsidRDefault="00CA14AB" w:rsidP="00E00B35">
      <w:pPr>
        <w:spacing w:after="0" w:line="312" w:lineRule="auto"/>
        <w:rPr>
          <w:szCs w:val="20"/>
        </w:rPr>
      </w:pPr>
      <w:r w:rsidRPr="00E00B35">
        <w:rPr>
          <w:szCs w:val="20"/>
        </w:rPr>
        <w:t>Petycje są formą bezpośredniego uczestnictwa obywateli w procesie sprawowania władzy. Zgodnie z art. 63 Konstytucji Rzeczypospolitej Polskiej każdy ma prawo składać petycje. Przedmiotem petycji może być żądanie, w szczególności, zmiany przepisów prawa, podjęcia rozstrzygnięcia lub innego działania w sprawie dotyczącej podmiotu wnoszącego petycję, życia zbiorowego lub wartości wymagających szczególnej ochrony w imię dobra wspólnego, mieszczących się w zakresie zadań i kompetencji adresata petycji.</w:t>
      </w:r>
      <w:r w:rsidRPr="00E00B35">
        <w:rPr>
          <w:szCs w:val="20"/>
        </w:rPr>
        <w:br/>
        <w:t>W 2020 roku do Urzędu Miejskiego Wrocławia zostało złożonych 46 petycji: 10 petycji zostało złożonych do Rady Miejskiej Wrocławia, 36 petycji zostało złożonych do Prezydenta Wrocławia.</w:t>
      </w:r>
      <w:r w:rsidRPr="00E00B35">
        <w:rPr>
          <w:szCs w:val="20"/>
        </w:rPr>
        <w:br/>
        <w:t>W przypadku petycji złożonych do Prezydenta Wrocławia 6 petycji zostało pozostawionych bez rozpatrzenia z powodu braku wskazania albo siedziby podmiotu wnoszącego petycję oraz adresu do korespondencji (art. 7 ust. 1 ww. ustawy).</w:t>
      </w:r>
    </w:p>
    <w:p w:rsidR="00CA14AB" w:rsidRPr="00E00B35" w:rsidRDefault="00CA14AB" w:rsidP="00E00B35">
      <w:pPr>
        <w:spacing w:after="0" w:line="312" w:lineRule="auto"/>
        <w:rPr>
          <w:szCs w:val="20"/>
        </w:rPr>
      </w:pPr>
      <w:r w:rsidRPr="00E00B35">
        <w:rPr>
          <w:szCs w:val="20"/>
        </w:rPr>
        <w:t>Z uwagi na fakt, że Prezydent Wrocławia nie był adresatem właściwym do rozpatrzenia petycji: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petycja została przekazana do Kancelarii Sejmu Rzeczypospolitej Polskiej,</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petycja została przekazana do Miejskiego Ośrodka Pomocy Społecznej we Wrocławiu,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petycja została przekazana do Straży Miejskiej Wrocławia,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petycja została przekazana do Zarządu Zieleni Miejskiej we Wrocławiu,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petycja została przekazana do Zarządu Dróg i Utrzymania Miasta we Wrocławiu,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1 petycja została przekazana do Miejskiego Przedsiębiorstwa Wodociągów i Kanalizacji we Wrocławiu,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petycja została przekazana do Centrum Realizacji Inwestycji Region Śląski PKP Polskie Linie Kolejowe S.A. oraz Zarządu Dróg i Utrzymania Miasta we Wrocławiu,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petycja została przekazana Państwowego Gospodarstwa Wodnego Wody Polskie Regionalny Zarząd Gospodarki Wodnej we Wrocławiu oraz Komendy Wojewódzkiej Policji we Wrocławiu,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lastRenderedPageBreak/>
        <w:t>4 petycje zostały rozpatrzone przez Radę Miejską Wrocławia.</w:t>
      </w:r>
    </w:p>
    <w:p w:rsidR="00CA14AB" w:rsidRPr="00E00B35" w:rsidRDefault="00CA14AB" w:rsidP="00E00B35">
      <w:pPr>
        <w:spacing w:after="0" w:line="312" w:lineRule="auto"/>
        <w:rPr>
          <w:szCs w:val="20"/>
        </w:rPr>
      </w:pPr>
      <w:r w:rsidRPr="00E00B35">
        <w:rPr>
          <w:szCs w:val="20"/>
        </w:rPr>
        <w:t>Pozostałe petycje zostały przekazane do rozpatrzenia przez następujące komórki organizacyjne Urzędu Miejskiego Wrocławia: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9 przez Departament Infrastruktury i Transportu,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2 przez Wydział Nabywania i Sprzedaży Nieruchomości,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przez Biuro Sportu i Rekreacji,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przez Departament Edukacji,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przez Departament Zrównoważonego Rozwoju,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przez Departament Spraw Społecznych,</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przez Wydział Transportu,</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przez Wydział Zdrowia i Spraw Społecznych,</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przez Wydział Obsługi Urzędu oraz Wydział Bezpieczeństwa i Zarządzania Kryzysowego,</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1 w części przez Wydział Partycypacji Społecznej.</w:t>
      </w:r>
    </w:p>
    <w:p w:rsidR="00CA14AB" w:rsidRPr="00E00B35" w:rsidRDefault="00CA14AB" w:rsidP="00E00B35">
      <w:pPr>
        <w:spacing w:after="0" w:line="312" w:lineRule="auto"/>
        <w:rPr>
          <w:szCs w:val="20"/>
        </w:rPr>
      </w:pPr>
      <w:r w:rsidRPr="00E00B35">
        <w:rPr>
          <w:szCs w:val="20"/>
        </w:rPr>
        <w:t xml:space="preserve">W przypadku 2 petycji, ich  zakres dotyczył więcej niż jednego Departamentu. </w:t>
      </w:r>
      <w:r w:rsidRPr="00E00B35">
        <w:rPr>
          <w:szCs w:val="20"/>
        </w:rPr>
        <w:br/>
        <w:t>W takim przypadku odpowiedzi zbiorczej udzielił Wydział Partycypacji Społecznej. Ponadto w przypadku 1 petycji, w ciągu miesiąca od otrzymania petycji przez Prezydenta Wrocławia do rozpatrzenia petycji, zostały złożone dalsze petycje dotyczące tej samej sprawy (petycja wielokrotna).</w:t>
      </w:r>
      <w:r w:rsidRPr="00E00B35">
        <w:rPr>
          <w:szCs w:val="20"/>
        </w:rPr>
        <w:br/>
        <w:t>W przypadku 8 petycji nie upłynął jeszcze termin udzielenia odpowiedzi</w:t>
      </w:r>
    </w:p>
    <w:p w:rsidR="00544448" w:rsidRPr="00E00B35" w:rsidRDefault="00544448" w:rsidP="00E00B35">
      <w:pPr>
        <w:pStyle w:val="Nagwek4"/>
        <w:spacing w:before="0" w:after="0" w:line="312" w:lineRule="auto"/>
        <w:rPr>
          <w:sz w:val="20"/>
          <w:szCs w:val="20"/>
        </w:rPr>
      </w:pPr>
      <w:bookmarkStart w:id="189" w:name="_Toc72352342"/>
      <w:bookmarkStart w:id="190" w:name="_Toc72352776"/>
    </w:p>
    <w:p w:rsidR="00CA14AB" w:rsidRPr="00E00B35" w:rsidRDefault="00CA14AB" w:rsidP="00E00B35">
      <w:pPr>
        <w:pStyle w:val="Nagwek4"/>
        <w:spacing w:before="0" w:after="0" w:line="312" w:lineRule="auto"/>
        <w:rPr>
          <w:sz w:val="20"/>
          <w:szCs w:val="20"/>
        </w:rPr>
      </w:pPr>
      <w:r w:rsidRPr="00E00B35">
        <w:rPr>
          <w:sz w:val="20"/>
          <w:szCs w:val="20"/>
        </w:rPr>
        <w:t>XII DZIAŁANIA W ZAKRESIE ZWALCZANIA ZAKAŻENIA, ZAPOBIEGANIA ROZPRZESTRZENIANIU SIĘ, PROFILAKTYKI ORAZ ZWALCZANIA SKUTKÓW COVID-19</w:t>
      </w:r>
      <w:bookmarkEnd w:id="189"/>
      <w:bookmarkEnd w:id="190"/>
      <w:r w:rsidRPr="00E00B35">
        <w:rPr>
          <w:sz w:val="20"/>
          <w:szCs w:val="20"/>
        </w:rPr>
        <w:t xml:space="preserve"> </w:t>
      </w:r>
    </w:p>
    <w:p w:rsidR="00CA14AB" w:rsidRPr="00E00B35" w:rsidRDefault="00CA14AB" w:rsidP="00E00B35">
      <w:pPr>
        <w:spacing w:after="0" w:line="312" w:lineRule="auto"/>
        <w:rPr>
          <w:szCs w:val="20"/>
        </w:rPr>
      </w:pPr>
      <w:r w:rsidRPr="00E00B35">
        <w:rPr>
          <w:szCs w:val="20"/>
        </w:rPr>
        <w:t>W związku z wprowadzeniem stanu epidemii COVID-19 ,zgodnie z przepisami art. 15zzm ustawy z dnia 2 marca 2020 r. o szczególnych rozwiązaniach związanych z zapobieganiem, przeciwdziałaniem i zwalczaniem COVID-19, innych chorób zakaźnych oraz wywołanych nimi sytuacji kryzysowych oraz niektórych innych ustaw (Dz. U. poz. 1842, z późn. zm.) oraz art. 43, art. 47, art. 151 i art. 221 ustawy z dnia 27 sierpnia 2009 r. o finansach publicznych (Dz. U. z 2019 r. poz. 869, z późn. zm.) zawarto następujące umowy:</w:t>
      </w:r>
    </w:p>
    <w:p w:rsidR="00544448" w:rsidRPr="00E00B35" w:rsidRDefault="00544448" w:rsidP="00E00B35">
      <w:pPr>
        <w:spacing w:after="0" w:line="312" w:lineRule="auto"/>
        <w:rPr>
          <w:rStyle w:val="Nagwek5Znak"/>
          <w:szCs w:val="20"/>
        </w:rPr>
      </w:pPr>
    </w:p>
    <w:p w:rsidR="00661172" w:rsidRPr="00E00B35" w:rsidRDefault="00CA14AB" w:rsidP="00E00B35">
      <w:pPr>
        <w:spacing w:after="0" w:line="312" w:lineRule="auto"/>
        <w:rPr>
          <w:rStyle w:val="Nagwek5Znak"/>
          <w:szCs w:val="20"/>
        </w:rPr>
      </w:pPr>
      <w:r w:rsidRPr="00E00B35">
        <w:rPr>
          <w:rStyle w:val="Nagwek5Znak"/>
          <w:szCs w:val="20"/>
        </w:rPr>
        <w:t xml:space="preserve">Przeciwdziałanie zagrożeniom-COVID-19 </w:t>
      </w:r>
    </w:p>
    <w:p w:rsidR="00CA14AB" w:rsidRPr="00E00B35" w:rsidRDefault="00CA14AB" w:rsidP="00E00B35">
      <w:pPr>
        <w:spacing w:after="0" w:line="312" w:lineRule="auto"/>
        <w:rPr>
          <w:szCs w:val="20"/>
        </w:rPr>
      </w:pPr>
      <w:r w:rsidRPr="00E00B35">
        <w:rPr>
          <w:szCs w:val="20"/>
        </w:rPr>
        <w:t>Okres realizacji: 15 kwietnia 2020 r. – 30 czerwca 2020 r.</w:t>
      </w:r>
      <w:r w:rsidRPr="00E00B35">
        <w:rPr>
          <w:szCs w:val="20"/>
        </w:rPr>
        <w:br/>
        <w:t>Liczba zawartych umów: 1</w:t>
      </w:r>
      <w:r w:rsidRPr="00E00B35">
        <w:rPr>
          <w:szCs w:val="20"/>
        </w:rPr>
        <w:br/>
        <w:t>Liczba odbiorców: ok. 5000</w:t>
      </w:r>
      <w:r w:rsidRPr="00E00B35">
        <w:rPr>
          <w:szCs w:val="20"/>
        </w:rPr>
        <w:br/>
        <w:t>Kwota dotacji: 25 000,00 zł</w:t>
      </w:r>
    </w:p>
    <w:p w:rsidR="00CA14AB" w:rsidRPr="00E00B35" w:rsidRDefault="00CA14AB" w:rsidP="00E00B35">
      <w:pPr>
        <w:spacing w:after="0" w:line="312" w:lineRule="auto"/>
        <w:rPr>
          <w:szCs w:val="20"/>
        </w:rPr>
      </w:pPr>
      <w:r w:rsidRPr="00E00B35">
        <w:rPr>
          <w:szCs w:val="20"/>
        </w:rPr>
        <w:t>Celem zadania publicznego były następujące działania. Został stworzony punkt segregacji TRIAGE przy Dolnośląskim Centrum Chorób Płuc we Wrocławiu. Zakupiono specjalny namiot, który został wyposażony w sprzęt niezbędny dla osób zakażonych COVID-19 – kardiomonitor z termometrem o rozszerzonej skali badania, pulsoksymetr, respirator, łóżka polowe, ściany działowe, oświetlenie specjalistyczne, jednorazowe środki ochrony osobistej, środki dezynfekcyjne itp. Przeprowadzono 20 akcji profilaktyczno-</w:t>
      </w:r>
      <w:r w:rsidRPr="00E00B35">
        <w:rPr>
          <w:szCs w:val="20"/>
        </w:rPr>
        <w:lastRenderedPageBreak/>
        <w:t>informacyjnych, w celu pogłębienia świadomości społecznej dot. zagrożeń wynikających z epidemii. Wspierano także osoby przebywające na kwarantannach. W akcji wzięło udział 17 ratowników medycznych, którzy w ramach wolontariatu przepracowali 68 godzin.</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Wypracowanie i przetestowanie procedur pracy streetworkerów i świadczenia przez nich pomocy osobom bezdomnym przebywającym w przestrzeni publicznej, w sytuacji kryzysowej (w tym pandemii wirusowej)”</w:t>
      </w:r>
    </w:p>
    <w:p w:rsidR="00CA14AB" w:rsidRPr="00E00B35" w:rsidRDefault="00CA14AB" w:rsidP="00E00B35">
      <w:pPr>
        <w:spacing w:after="0" w:line="312" w:lineRule="auto"/>
        <w:rPr>
          <w:szCs w:val="20"/>
        </w:rPr>
      </w:pPr>
      <w:r w:rsidRPr="00E00B35">
        <w:rPr>
          <w:szCs w:val="20"/>
        </w:rPr>
        <w:t>Okres realizacji: 23 kwietnia 2020 – 31 lipca 2020</w:t>
      </w:r>
      <w:r w:rsidRPr="00E00B35">
        <w:rPr>
          <w:szCs w:val="20"/>
        </w:rPr>
        <w:br/>
        <w:t>Liczba zawartych umów: 1</w:t>
      </w:r>
      <w:r w:rsidRPr="00E00B35">
        <w:rPr>
          <w:szCs w:val="20"/>
        </w:rPr>
        <w:br/>
        <w:t>Liczba odbiorców: 17202</w:t>
      </w:r>
      <w:r w:rsidRPr="00E00B35">
        <w:rPr>
          <w:szCs w:val="20"/>
        </w:rPr>
        <w:br/>
        <w:t xml:space="preserve">Kwota dotacji: 30 000 zł </w:t>
      </w:r>
    </w:p>
    <w:p w:rsidR="00CA14AB" w:rsidRPr="00E00B35" w:rsidRDefault="00CA14AB" w:rsidP="00E00B35">
      <w:pPr>
        <w:spacing w:after="0" w:line="312" w:lineRule="auto"/>
        <w:rPr>
          <w:szCs w:val="20"/>
        </w:rPr>
      </w:pPr>
      <w:r w:rsidRPr="00E00B35">
        <w:rPr>
          <w:szCs w:val="20"/>
        </w:rPr>
        <w:t xml:space="preserve">Celem realizacji zadania publicznego było opracowanie i przetestowanie modelu świadczenia pracy streetworkera na rzecz osób bezdomnych przebywających </w:t>
      </w:r>
      <w:r w:rsidRPr="00E00B35">
        <w:rPr>
          <w:szCs w:val="20"/>
        </w:rPr>
        <w:br/>
        <w:t>w przestrzeni publicznej, w sytuacji kryzysowej tj. epidemii COVID 19. Zadanie polegało na: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uruchomieniu StreetBusa ze wsparciem ulicznego laboratorium jako zaplecza dla pracy streetworkerów – liczba odbiorców: 16 915</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uruchomieniu nisko progowego izolatorium - liczba odbiorców: 146</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uruchomieniu i prowadzeniu 60 buforowych miejsc noclegowych, będących tymczasowym miejscem zakwaterowania dla osób oczekujących na pobyt w placówce </w:t>
      </w:r>
      <w:r w:rsidRPr="00E00B35">
        <w:rPr>
          <w:szCs w:val="20"/>
        </w:rPr>
        <w:br/>
        <w:t>w okresie epidemii COVID 19 - liczba odbiorców: 141.</w:t>
      </w:r>
    </w:p>
    <w:p w:rsidR="00CA14AB" w:rsidRPr="00E00B35" w:rsidRDefault="00CA14AB" w:rsidP="00E00B35">
      <w:pPr>
        <w:spacing w:after="0" w:line="312" w:lineRule="auto"/>
        <w:rPr>
          <w:szCs w:val="20"/>
        </w:rPr>
      </w:pPr>
      <w:r w:rsidRPr="00E00B35">
        <w:rPr>
          <w:szCs w:val="20"/>
        </w:rPr>
        <w:t>Zadanie zostało przeprowadzone zgodnie z wytycznymi, zaleceniami i zasadami bezpiecznego postępowania w trakcie epidemii.</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Noś maseczkę</w:t>
      </w:r>
    </w:p>
    <w:p w:rsidR="00CA14AB" w:rsidRPr="00E00B35" w:rsidRDefault="00CA14AB" w:rsidP="00E00B35">
      <w:pPr>
        <w:spacing w:after="0" w:line="312" w:lineRule="auto"/>
        <w:rPr>
          <w:szCs w:val="20"/>
        </w:rPr>
      </w:pPr>
      <w:r w:rsidRPr="00E00B35">
        <w:rPr>
          <w:szCs w:val="20"/>
        </w:rPr>
        <w:t xml:space="preserve">Okres realizacji: 10 maja 2020 r. – 10 lipca 2020 r.  </w:t>
      </w:r>
      <w:r w:rsidRPr="00E00B35">
        <w:rPr>
          <w:szCs w:val="20"/>
        </w:rPr>
        <w:br/>
        <w:t>Liczba zawartych umów: 1</w:t>
      </w:r>
      <w:r w:rsidRPr="00E00B35">
        <w:rPr>
          <w:szCs w:val="20"/>
        </w:rPr>
        <w:br/>
        <w:t xml:space="preserve">Kwota dotacji: 10 000 zł </w:t>
      </w:r>
    </w:p>
    <w:p w:rsidR="00CA14AB" w:rsidRPr="00E00B35" w:rsidRDefault="00CA14AB" w:rsidP="00E00B35">
      <w:pPr>
        <w:spacing w:after="0" w:line="312" w:lineRule="auto"/>
        <w:rPr>
          <w:szCs w:val="20"/>
        </w:rPr>
      </w:pPr>
      <w:r w:rsidRPr="00E00B35">
        <w:rPr>
          <w:szCs w:val="20"/>
        </w:rPr>
        <w:t>Celem zadania publicznego było zorganizowanie punktów zamawiania i poboru masek wielorazowych dla mieszkańców Wrocławia. Od 16.04.2020 wszedł w życie, bardzo słuszny, nakaz noszenia maseczek w miejscach publicznych. We Wrocławiu pojawiły się miejsca, gdzie można było zamówić i pobrać maskę z dostawą. Pomoc przeznaczona była nie tylko dla najbardziej potrzebujących, ale dla wszystkich chętnych mieszkańców Wrocławia. Punkty te były zasilane 200 sztukami wielorazowych masek w każdy poniedziałek od 10.04.2020.</w:t>
      </w:r>
    </w:p>
    <w:p w:rsidR="00CA14AB" w:rsidRPr="00E00B35" w:rsidRDefault="00CA14AB" w:rsidP="00E00B35">
      <w:pPr>
        <w:spacing w:after="0" w:line="312" w:lineRule="auto"/>
        <w:rPr>
          <w:szCs w:val="20"/>
        </w:rPr>
      </w:pPr>
      <w:r w:rsidRPr="00E00B35">
        <w:rPr>
          <w:szCs w:val="20"/>
        </w:rPr>
        <w:t>Wszystkie maski były szyte wolontaryjnie przez członków zaangażowanych organizacji pozarządowych oraz mieszkańców Wrocławia.</w:t>
      </w:r>
    </w:p>
    <w:p w:rsidR="00CA14AB" w:rsidRPr="00E00B35" w:rsidRDefault="00CA14AB" w:rsidP="00E00B35">
      <w:pPr>
        <w:spacing w:after="0" w:line="312" w:lineRule="auto"/>
        <w:rPr>
          <w:szCs w:val="20"/>
        </w:rPr>
      </w:pPr>
      <w:r w:rsidRPr="00E00B35">
        <w:rPr>
          <w:szCs w:val="20"/>
        </w:rPr>
        <w:t>Ważne także było, aby ludzie umieli ich używać w sposób właściwy. Dlatego do każdego pakietu dołączona była instrukcja, jak należy dbać o maski i jak ich używać.</w:t>
      </w:r>
    </w:p>
    <w:p w:rsidR="00CA14AB" w:rsidRPr="00E00B35" w:rsidRDefault="00CA14AB" w:rsidP="00E00B35">
      <w:pPr>
        <w:spacing w:after="0" w:line="312" w:lineRule="auto"/>
        <w:rPr>
          <w:szCs w:val="20"/>
        </w:rPr>
      </w:pPr>
      <w:r w:rsidRPr="00E00B35">
        <w:rPr>
          <w:szCs w:val="20"/>
        </w:rPr>
        <w:t>Lokalizacje, które obejmowały zadnie to:</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Przedmieście Oławskie: „Trójkąt na trójkącie”: instalacja u zbiegu ulic: Zgodnej i Komuny Paryskiej,</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lastRenderedPageBreak/>
        <w:t>Szczepin: Skwer przed Parafią Chrystusa Króla we Wrocławiu, ul. Młodych Techników 17,</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Karłowice: Wielopokoleniowe Centrum Aktywności we Wrocławiu, ul. Kasprowicza 46</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Swojczyce- Strachocin-Wojnów: „Rewir twórczy- CAL”, ul. Swojczycka 118,</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Złotniki: Pergola przy Złotnickim Centrum Spotkań, ul. Wielkopolska 7</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Centrum i restauracja KOTON: ul. Igielna 41.</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Sąsiedzka FABRYKA zdrowia: program integracji społe</w:t>
      </w:r>
      <w:r w:rsidR="00661172" w:rsidRPr="00E00B35">
        <w:rPr>
          <w:szCs w:val="20"/>
        </w:rPr>
        <w:t>cznej przeciwko koronawirusowi</w:t>
      </w:r>
    </w:p>
    <w:p w:rsidR="00CA14AB" w:rsidRPr="00E00B35" w:rsidRDefault="00CA14AB" w:rsidP="00E00B35">
      <w:pPr>
        <w:spacing w:after="0" w:line="312" w:lineRule="auto"/>
        <w:rPr>
          <w:szCs w:val="20"/>
        </w:rPr>
      </w:pPr>
      <w:r w:rsidRPr="00E00B35">
        <w:rPr>
          <w:szCs w:val="20"/>
        </w:rPr>
        <w:t xml:space="preserve">Okres realizacji: 4 maja 2020 r. – 31 lipca 2020 r.  </w:t>
      </w:r>
      <w:r w:rsidRPr="00E00B35">
        <w:rPr>
          <w:szCs w:val="20"/>
        </w:rPr>
        <w:br/>
        <w:t>Liczba zawartych umów: 1</w:t>
      </w:r>
      <w:r w:rsidRPr="00E00B35">
        <w:rPr>
          <w:szCs w:val="20"/>
        </w:rPr>
        <w:br/>
        <w:t>Liczba odbiorców: 154</w:t>
      </w:r>
      <w:r w:rsidRPr="00E00B35">
        <w:rPr>
          <w:szCs w:val="20"/>
        </w:rPr>
        <w:br/>
        <w:t xml:space="preserve">Kwota dotacji: 50 000zł </w:t>
      </w:r>
    </w:p>
    <w:p w:rsidR="00CA14AB" w:rsidRPr="00E00B35" w:rsidRDefault="00CA14AB" w:rsidP="00E00B35">
      <w:pPr>
        <w:spacing w:after="0" w:line="312" w:lineRule="auto"/>
        <w:rPr>
          <w:szCs w:val="20"/>
        </w:rPr>
      </w:pPr>
      <w:r w:rsidRPr="00E00B35">
        <w:rPr>
          <w:szCs w:val="20"/>
        </w:rPr>
        <w:t>Celem zadania publicznego była realizacja programu integracji społecznej przeciwko korona wirusowi, aktywizacja społeczności lokalnych do akcji pomocowych dla szpitali, budowanie poczucia wspólnoty w sytuacji dystansu społecznego oraz podnoszenie poczucia sensu życia, sprawczości i radości z udzielania wsparcia potrzebującym w związku z panującą pandemią Covid -19.</w:t>
      </w:r>
    </w:p>
    <w:p w:rsidR="00CA14AB" w:rsidRPr="00E00B35" w:rsidRDefault="00CA14AB" w:rsidP="00E00B35">
      <w:pPr>
        <w:spacing w:after="0" w:line="312" w:lineRule="auto"/>
        <w:rPr>
          <w:szCs w:val="20"/>
        </w:rPr>
      </w:pPr>
      <w:r w:rsidRPr="00E00B35">
        <w:rPr>
          <w:szCs w:val="20"/>
        </w:rPr>
        <w:t>Akcja opierała się na następujących działaniach:</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projektowanie (projektowanie i udoskonalanie na bieżąco projektów maseczek, czepków, kombinezonów i przyłbic; współpraca merytoryczna z personelem medycznym i użytkownikami);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szkolenia (BHP, sanitarne, z szycia/tworzenia środków ochrony osobistej);</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zakup i dystrybucja materiałów (pozyskiwanie środków finansowych, wkładu osobowego, barterowego lub wolontariuszy od darczyńców, samorządu lokalnego, organizacji i instytucji państwowych i pozarządowych oraz mieszkańców)</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produkcja masek ochronnych (utrzymywanie kontaktów i pomoc dla wolontariuszy szyjących maseczki, pozyskanie i dostarczanie bawełny, nici i gumki/lamówki do szycia i ich odbiór, konserwacja maszyn do szycia i/lub ich dostarczenie/wypożyczenie);</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szycie kombinezonów medycznych (utrzymywanie kontaktów i pomoc dla wolontariuszy szyjących kombinezony, pozyskanie i dostarczanie specjalistycznego materiału do szycia i ich odbiór, konserwacja maszyn do szycia i/lub ich dostarczenie/wypożyczenie);</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szycie czepków medycznych (utrzymywanie kontaktów i pomoc dla wolontariuszy szyjących czepki, pozyskanie i dostarczanie bawełny, nici i lamówki do szycia i ich odbiór, konserwacja maszyn do szycia i/lub ich dostarczenie/wypożyczenie);</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produkcja przyłbic ochronnych (utrzymywanie kontaktów i pomoc dla wolontariuszy składających przyłbice, pozyskanie i dostarczanie foli, gąbki, druku 3D i gumki/lamówki do przyłbic i ich odbiór);</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motywowanie (przypominanie o reżimie sanitarnym, promocja akcji w mediach tradycyjnych i społecznościowych, informowanie na bieżąco o beneficjentach akcji, pozyskiwanie partnerów do organizacji pakietów dziękczynnych dla wolontariuszy, </w:t>
      </w:r>
      <w:r w:rsidRPr="00E00B35">
        <w:rPr>
          <w:szCs w:val="20"/>
        </w:rPr>
        <w:lastRenderedPageBreak/>
        <w:t>indywidualne telefony do wolontariuszy i podziękowania dla wszystkich współpracujących);</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wspieranie jednostek publicznych i prywatnych Służby Zdrowia</w:t>
      </w:r>
      <w:r w:rsidR="00661172" w:rsidRPr="00E00B35">
        <w:rPr>
          <w:szCs w:val="20"/>
        </w:rPr>
        <w:t>;</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wspieranie lokalnych przedsiębiorców (bary, kawiarnie, kwiaciarnie, sklepiki, restauracje, warzywniaki);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udostępnianie maseczek jako bonusu do zakupów;</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umożliwienie nabycia obiadów lub produktów żywnościowych i higienicznych dla uboższych mieszkańców (budowanie wspólnoty) – redystrybucja w ramach współpracy z Miejskim Ośrodkiem Pomocy Społecznej, na zasadzie wykupienia przez inne</w:t>
      </w:r>
      <w:r w:rsidR="00661172" w:rsidRPr="00E00B35">
        <w:rPr>
          <w:szCs w:val="20"/>
        </w:rPr>
        <w:t xml:space="preserve"> osoby tzw. zawieszonego obiadu.</w:t>
      </w:r>
    </w:p>
    <w:p w:rsidR="00544448" w:rsidRPr="00E00B35" w:rsidRDefault="00544448" w:rsidP="00E00B35">
      <w:pPr>
        <w:pStyle w:val="Nagwek5"/>
        <w:rPr>
          <w:szCs w:val="20"/>
        </w:rPr>
      </w:pPr>
    </w:p>
    <w:p w:rsidR="00CA14AB" w:rsidRPr="00E00B35" w:rsidRDefault="00CA14AB" w:rsidP="00E00B35">
      <w:pPr>
        <w:pStyle w:val="Nagwek5"/>
        <w:rPr>
          <w:szCs w:val="20"/>
        </w:rPr>
      </w:pPr>
      <w:r w:rsidRPr="00E00B35">
        <w:rPr>
          <w:szCs w:val="20"/>
        </w:rPr>
        <w:t>Chrońmy się wzajemnie - szycie maseczek w związku z pandemią koronawirusa</w:t>
      </w:r>
    </w:p>
    <w:p w:rsidR="00CA14AB" w:rsidRPr="00E00B35" w:rsidRDefault="00CA14AB" w:rsidP="00E00B35">
      <w:pPr>
        <w:spacing w:after="0" w:line="312" w:lineRule="auto"/>
        <w:rPr>
          <w:szCs w:val="20"/>
        </w:rPr>
      </w:pPr>
      <w:r w:rsidRPr="00E00B35">
        <w:rPr>
          <w:szCs w:val="20"/>
        </w:rPr>
        <w:t xml:space="preserve">Okres realizacji: 20 maja 2020 r. – 30 lipca 2020 r.  </w:t>
      </w:r>
      <w:r w:rsidRPr="00E00B35">
        <w:rPr>
          <w:szCs w:val="20"/>
        </w:rPr>
        <w:br/>
        <w:t>Liczba zawartych umów: 1</w:t>
      </w:r>
      <w:r w:rsidRPr="00E00B35">
        <w:rPr>
          <w:szCs w:val="20"/>
        </w:rPr>
        <w:br/>
        <w:t>Liczba odbiorców: 3022</w:t>
      </w:r>
      <w:r w:rsidRPr="00E00B35">
        <w:rPr>
          <w:szCs w:val="20"/>
        </w:rPr>
        <w:br/>
        <w:t xml:space="preserve">Kwota dotacji: 8 000,00 zł </w:t>
      </w:r>
    </w:p>
    <w:p w:rsidR="00CA14AB" w:rsidRPr="00E00B35" w:rsidRDefault="00CA14AB" w:rsidP="00E00B35">
      <w:pPr>
        <w:spacing w:after="0" w:line="312" w:lineRule="auto"/>
        <w:rPr>
          <w:szCs w:val="20"/>
        </w:rPr>
      </w:pPr>
      <w:r w:rsidRPr="00E00B35">
        <w:rPr>
          <w:szCs w:val="20"/>
        </w:rPr>
        <w:t>Celem realizacji zadania publicznego było udzielenie wsparcia w okresie pandemii COVID-19 najbardziej potrzebującym mieszkańcom Wrocławia poprzez zapewnienie środków ochrony osobistej w postaci szycia i dystrybucji maseczek wśród osób niemającym możliwości ich zakupienia bądź otrzymania oraz uświadamianie mieszkańcom Wrocławia konsekwencji nieprzestrzegania zasad związanych z zasłanianiem ust i nosa w stanie pandemii. Realizowane działania miały na celu minimalizację ryzyka zakażenia koronawirusem wśród tej części mieszkańców Wrocławia.</w:t>
      </w:r>
    </w:p>
    <w:p w:rsidR="00544448" w:rsidRPr="00E00B35" w:rsidRDefault="00544448" w:rsidP="00E00B35">
      <w:pPr>
        <w:spacing w:after="0" w:line="312" w:lineRule="auto"/>
        <w:rPr>
          <w:rStyle w:val="Nagwek5Znak"/>
          <w:szCs w:val="20"/>
        </w:rPr>
      </w:pPr>
    </w:p>
    <w:p w:rsidR="00CA14AB" w:rsidRPr="00E00B35" w:rsidRDefault="00CA14AB" w:rsidP="00E00B35">
      <w:pPr>
        <w:spacing w:after="0" w:line="312" w:lineRule="auto"/>
        <w:rPr>
          <w:rFonts w:eastAsia="font415"/>
          <w:b/>
          <w:szCs w:val="20"/>
        </w:rPr>
      </w:pPr>
      <w:r w:rsidRPr="00E00B35">
        <w:rPr>
          <w:rStyle w:val="Nagwek5Znak"/>
          <w:szCs w:val="20"/>
        </w:rPr>
        <w:t xml:space="preserve"> „Maseczkowy challenge” </w:t>
      </w:r>
      <w:r w:rsidR="00661172" w:rsidRPr="00E00B35">
        <w:rPr>
          <w:rStyle w:val="Nagwek5Znak"/>
          <w:szCs w:val="20"/>
        </w:rPr>
        <w:br/>
      </w:r>
      <w:r w:rsidRPr="00E00B35">
        <w:rPr>
          <w:szCs w:val="20"/>
        </w:rPr>
        <w:t>Okres realizacji: 27 maja 2020 r. – 27 lipca 2020 r.</w:t>
      </w:r>
      <w:r w:rsidRPr="00E00B35">
        <w:rPr>
          <w:szCs w:val="20"/>
        </w:rPr>
        <w:br/>
        <w:t>Liczba zawartych umów: 1</w:t>
      </w:r>
      <w:r w:rsidRPr="00E00B35">
        <w:rPr>
          <w:szCs w:val="20"/>
        </w:rPr>
        <w:br/>
        <w:t>Liczba odbiorców: ok. 200</w:t>
      </w:r>
      <w:r w:rsidRPr="00E00B35">
        <w:rPr>
          <w:szCs w:val="20"/>
        </w:rPr>
        <w:br/>
        <w:t>Kwota dotacji: 10 000,00 zł</w:t>
      </w:r>
    </w:p>
    <w:p w:rsidR="00CA14AB" w:rsidRPr="00E00B35" w:rsidRDefault="00CA14AB" w:rsidP="00E00B35">
      <w:pPr>
        <w:spacing w:after="0" w:line="312" w:lineRule="auto"/>
        <w:rPr>
          <w:szCs w:val="20"/>
        </w:rPr>
      </w:pPr>
      <w:r w:rsidRPr="00E00B35">
        <w:rPr>
          <w:szCs w:val="20"/>
        </w:rPr>
        <w:t>Celem realizacji zadania publicznego było przeprowadzenie warsztatów z zakresu szycia maseczek ochronnych. Przygotowano 798 szt. maseczek, które zostały następnie przekazane do jednostek użyteczności publicznej oraz osób prywatnych (kościoły, szkoły, biura poselskie, urzędy, uczestnicy zajęć organizowanych przez „Kierunek Przygoda”).</w:t>
      </w:r>
    </w:p>
    <w:p w:rsidR="00446A3A" w:rsidRPr="00E00B35" w:rsidRDefault="00446A3A" w:rsidP="00E00B35">
      <w:pPr>
        <w:pStyle w:val="Nagwek5"/>
        <w:rPr>
          <w:szCs w:val="20"/>
        </w:rPr>
      </w:pPr>
    </w:p>
    <w:p w:rsidR="00CA14AB" w:rsidRPr="00E00B35" w:rsidRDefault="00CA14AB" w:rsidP="00E00B35">
      <w:pPr>
        <w:pStyle w:val="Nagwek5"/>
        <w:rPr>
          <w:szCs w:val="20"/>
        </w:rPr>
      </w:pPr>
      <w:r w:rsidRPr="00E00B35">
        <w:rPr>
          <w:szCs w:val="20"/>
        </w:rPr>
        <w:t>Mieszkańcy szyją maseczki: organizacja cyklu warsztatów i akcji promocji zdrowia we Wrocławiu</w:t>
      </w:r>
    </w:p>
    <w:p w:rsidR="00CA14AB" w:rsidRPr="00E00B35" w:rsidRDefault="00CA14AB" w:rsidP="00E00B35">
      <w:pPr>
        <w:spacing w:after="0" w:line="312" w:lineRule="auto"/>
        <w:rPr>
          <w:szCs w:val="20"/>
        </w:rPr>
      </w:pPr>
      <w:r w:rsidRPr="00E00B35">
        <w:rPr>
          <w:szCs w:val="20"/>
        </w:rPr>
        <w:t>Realizacja przedmiotowego zadania publicznego w trybie art. 19a ustawy z dnia 24 kwietnia 2003 r. o działalności pożytku publicznego o wolontariacie.</w:t>
      </w:r>
      <w:r w:rsidRPr="00E00B35">
        <w:rPr>
          <w:szCs w:val="20"/>
        </w:rPr>
        <w:br/>
        <w:t xml:space="preserve">Okres realizacji: 6 kwietnia 2020 r. – 6 czerwca 2020 r. </w:t>
      </w:r>
      <w:r w:rsidRPr="00E00B35">
        <w:rPr>
          <w:szCs w:val="20"/>
        </w:rPr>
        <w:br/>
        <w:t>Liczba zawartych umów: 1</w:t>
      </w:r>
      <w:r w:rsidRPr="00E00B35">
        <w:rPr>
          <w:szCs w:val="20"/>
        </w:rPr>
        <w:br/>
        <w:t xml:space="preserve">Liczba odbiorców: 1000 </w:t>
      </w:r>
      <w:r w:rsidRPr="00E00B35">
        <w:rPr>
          <w:szCs w:val="20"/>
        </w:rPr>
        <w:br/>
        <w:t>Kwota dotacji: 10 000 zł</w:t>
      </w:r>
    </w:p>
    <w:p w:rsidR="00CA14AB" w:rsidRPr="00E00B35" w:rsidRDefault="00CA14AB" w:rsidP="00E00B35">
      <w:pPr>
        <w:spacing w:after="0" w:line="312" w:lineRule="auto"/>
        <w:rPr>
          <w:szCs w:val="20"/>
        </w:rPr>
      </w:pPr>
      <w:r w:rsidRPr="00E00B35">
        <w:rPr>
          <w:szCs w:val="20"/>
        </w:rPr>
        <w:lastRenderedPageBreak/>
        <w:t>Celem realizacji zadania publicznego była aktywizacja i integracja mieszkańców, jak również wsparcie mieszkańców poprzez możliwość nabycia umiejętności szycia maseczek oraz chęć pomocy służbą medycznym oraz potrzebującym.</w:t>
      </w:r>
    </w:p>
    <w:p w:rsidR="00CA14AB" w:rsidRPr="00E00B35" w:rsidRDefault="00CA14AB" w:rsidP="00E00B35">
      <w:pPr>
        <w:spacing w:after="0" w:line="312" w:lineRule="auto"/>
        <w:rPr>
          <w:szCs w:val="20"/>
        </w:rPr>
      </w:pPr>
      <w:r w:rsidRPr="00E00B35">
        <w:rPr>
          <w:szCs w:val="20"/>
        </w:rPr>
        <w:t>Pomoc dla NGO w czasie pandemii COVID-19:</w:t>
      </w:r>
    </w:p>
    <w:p w:rsidR="00CA14AB" w:rsidRPr="00E00B35" w:rsidRDefault="00CA14AB" w:rsidP="00E00B35">
      <w:pPr>
        <w:spacing w:after="0" w:line="312" w:lineRule="auto"/>
        <w:rPr>
          <w:szCs w:val="20"/>
        </w:rPr>
      </w:pPr>
      <w:r w:rsidRPr="00E00B35">
        <w:rPr>
          <w:szCs w:val="20"/>
        </w:rPr>
        <w:t>W związku z Zarządzeniem nr 2870/20 Prezydenta Wrocławia z dnia 16 kwietnia 2020 r. w sprawie uruchomienia „Wrocławskiego Pakietu Pomocowego dla NGO dla organizacji pozarządowych prowadzących działalność pożytku publicznego w nieruchomościach stanowiących własność Gminy Wrocław oddanych w najem lub dzierżawę”:</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Wydział Partycypacji Społecznej zaopiniował 150 wniosków organizacji pozarządowych;</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udzielono ulgi w czynszu organizacjom pozarządowym z tytułu najmu/dzierżawy gminnych nieruchomości w łącznej wysokości 709.083, 29 zł.</w:t>
      </w:r>
    </w:p>
    <w:p w:rsidR="00CA14AB" w:rsidRPr="00E00B35" w:rsidRDefault="00CA14AB" w:rsidP="00E00B35">
      <w:pPr>
        <w:spacing w:after="0" w:line="312" w:lineRule="auto"/>
        <w:rPr>
          <w:szCs w:val="20"/>
        </w:rPr>
      </w:pPr>
      <w:r w:rsidRPr="00E00B35">
        <w:rPr>
          <w:szCs w:val="20"/>
        </w:rPr>
        <w:t>Ze względu na trwająca pandemie COVID-19 na bieżąco aneksowano umowy z organizacjami pozarządowymi na realizacje ZADAŃ publicznych.</w:t>
      </w:r>
    </w:p>
    <w:p w:rsidR="005E6C69" w:rsidRPr="00E00B35" w:rsidRDefault="005E6C69" w:rsidP="00E00B35">
      <w:pPr>
        <w:pStyle w:val="Nagwek4"/>
        <w:spacing w:before="0" w:after="0" w:line="312" w:lineRule="auto"/>
        <w:rPr>
          <w:sz w:val="20"/>
          <w:szCs w:val="20"/>
        </w:rPr>
      </w:pPr>
      <w:bookmarkStart w:id="191" w:name="_Toc72352343"/>
      <w:bookmarkStart w:id="192" w:name="_Toc72352777"/>
    </w:p>
    <w:p w:rsidR="00CA14AB" w:rsidRPr="00E00B35" w:rsidRDefault="00CA14AB" w:rsidP="00E00B35">
      <w:pPr>
        <w:pStyle w:val="Nagwek4"/>
        <w:spacing w:before="0" w:after="0" w:line="312" w:lineRule="auto"/>
        <w:rPr>
          <w:sz w:val="20"/>
          <w:szCs w:val="20"/>
        </w:rPr>
      </w:pPr>
      <w:r w:rsidRPr="00E00B35">
        <w:rPr>
          <w:sz w:val="20"/>
          <w:szCs w:val="20"/>
        </w:rPr>
        <w:t>XIII DZIAŁANIA INFORMACYJNE WYDZIAŁU PARTYCYPACJI SPOŁECZNEJ NA STRONACH INTERNETOWYCH ORAZ PORTALACH SPOŁECZNOŚCIOWYCH</w:t>
      </w:r>
      <w:bookmarkEnd w:id="191"/>
      <w:bookmarkEnd w:id="192"/>
    </w:p>
    <w:p w:rsidR="00CA14AB" w:rsidRPr="00E00B35" w:rsidRDefault="00CA14AB" w:rsidP="00E00B35">
      <w:pPr>
        <w:spacing w:after="0" w:line="312" w:lineRule="auto"/>
        <w:rPr>
          <w:szCs w:val="20"/>
        </w:rPr>
      </w:pPr>
      <w:r w:rsidRPr="00E00B35">
        <w:rPr>
          <w:szCs w:val="20"/>
        </w:rPr>
        <w:t>Wydział Partycypacji Społecznej w ramach www.wroclaw.pl prowadzi i aktualizuje portal partycypacji społecznej Wrocław Rozmawia (</w:t>
      </w:r>
      <w:hyperlink r:id="rId93">
        <w:r w:rsidRPr="00E00B35">
          <w:rPr>
            <w:szCs w:val="20"/>
          </w:rPr>
          <w:t>www.wroclaw.pl/rozmawia</w:t>
        </w:r>
      </w:hyperlink>
      <w:r w:rsidRPr="00E00B35">
        <w:rPr>
          <w:szCs w:val="20"/>
        </w:rPr>
        <w:t xml:space="preserve">). </w:t>
      </w:r>
      <w:r w:rsidRPr="00E00B35">
        <w:rPr>
          <w:szCs w:val="20"/>
        </w:rPr>
        <w:br/>
        <w:t>Jest to platforma informacyjna Wydziału – miejsce komunikacji z mieszkańcami, organizacjami pozarządowymi, uczestnikami konsultacji społecznych, a także źródło informacji na temat budżetu obywatelskiego, Funduszu Osiedlowego oraz od 2020 roku rewitalizacji.</w:t>
      </w:r>
    </w:p>
    <w:p w:rsidR="00CA14AB" w:rsidRPr="00E00B35" w:rsidRDefault="00CA14AB" w:rsidP="00E00B35">
      <w:pPr>
        <w:spacing w:after="0" w:line="312" w:lineRule="auto"/>
        <w:rPr>
          <w:szCs w:val="20"/>
        </w:rPr>
      </w:pPr>
      <w:r w:rsidRPr="00E00B35">
        <w:rPr>
          <w:szCs w:val="20"/>
        </w:rPr>
        <w:t xml:space="preserve">W jednym miejscu mieszkanki i mieszkańcy znajdują interesujące ich zagadnienia oraz następujące, dedykowane podstrony: Wrocławski Budżet Obywatelski (m.in. aktualności dotyczące projektów, listy i realizacje projektów, zasady, dział FAQ), Konsultacje społeczne: (podstrony poszczególnych konsultacji, aktualności), Dla NGO (m.in. wsparcie finansowe, współpraca, najem lokali, sprawy do załatwienia), Dla Mieszkańca (petycje, nieodpłatna pomoc prawna, przebieg publicznych dyskusji), Fundusz Osiedlowy (aktualności, zasady, konsultacje opiniowanie, realizacja), Rewitalizacja (wrocławskie przykłady, zasady, podstawy prawne, zabytkowe pojazdy), Centra Aktywności Lokalnej (Wrocławski Model CAL, lista i mapa lokalizacji) oraz ogólny dział Aktualności obejmujący wszystkie wymienione wyżej obszary. </w:t>
      </w:r>
    </w:p>
    <w:p w:rsidR="00CA14AB" w:rsidRPr="00E00B35" w:rsidRDefault="00CA14AB" w:rsidP="00E00B35">
      <w:pPr>
        <w:spacing w:after="0" w:line="312" w:lineRule="auto"/>
        <w:rPr>
          <w:szCs w:val="20"/>
        </w:rPr>
      </w:pPr>
      <w:r w:rsidRPr="00E00B35">
        <w:rPr>
          <w:szCs w:val="20"/>
        </w:rPr>
        <w:t>W roku 2020 liczba odsłon strony wyniosła [na dzień 28.12.2020 r.] 1 832 327, a odpowiednio dla podstron:</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Wrocław Rozmawia – 503 110</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Budżet Obywatelski – 1 329 217</w:t>
      </w:r>
    </w:p>
    <w:p w:rsidR="00CA14AB" w:rsidRPr="00E00B35" w:rsidRDefault="00CA14AB" w:rsidP="00E00B35">
      <w:pPr>
        <w:spacing w:after="0" w:line="312" w:lineRule="auto"/>
        <w:rPr>
          <w:szCs w:val="20"/>
        </w:rPr>
      </w:pPr>
      <w:r w:rsidRPr="00E00B35">
        <w:rPr>
          <w:szCs w:val="20"/>
        </w:rPr>
        <w:t>Ponadto aktualizowano informacje w Biuletynie Informacji Publicznej UM Wrocławia: m.in. informacje o Wydziale Partycypacji Społecznej, otwartych konkursach ofert oraz innych trybach wsparcia finansowego, sprawy do załatwienia, najem lokalu użytkowego przez NGO, formularze do pobrania, zestawienia, programy współpracy i sprawozdania, ogłoszenia konsultacji społecznych. W 2020 roku wiele informacji związanych było z pandemią Covid-19.</w:t>
      </w:r>
    </w:p>
    <w:p w:rsidR="00CA14AB" w:rsidRPr="00E00B35" w:rsidRDefault="00CA14AB" w:rsidP="00E00B35">
      <w:pPr>
        <w:spacing w:after="0" w:line="312" w:lineRule="auto"/>
        <w:rPr>
          <w:szCs w:val="20"/>
        </w:rPr>
      </w:pPr>
      <w:r w:rsidRPr="00E00B35">
        <w:rPr>
          <w:szCs w:val="20"/>
        </w:rPr>
        <w:lastRenderedPageBreak/>
        <w:t>Wydział prowadzi także strony na portalach społecznościowych:</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Facebook/Wrocław Rozmawia, www.facebook.com/wroclawrozmawia;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Facebook/Wrocławski Budżet Obywatelski,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www.facebook.com/wroclawskibudzetobywatelski;</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Twitter/Wrocław Rozmawia, www.twitter.com/WroclawRozmawia;</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Instagram/Wrocław Rozmawia, www.instagram.com/wroclaw_rozmawia.</w:t>
      </w:r>
    </w:p>
    <w:p w:rsidR="00CA14AB" w:rsidRPr="00E00B35" w:rsidRDefault="00CA14AB" w:rsidP="00E00B35">
      <w:pPr>
        <w:spacing w:after="0" w:line="312" w:lineRule="auto"/>
        <w:rPr>
          <w:szCs w:val="20"/>
        </w:rPr>
      </w:pPr>
      <w:r w:rsidRPr="00E00B35">
        <w:rPr>
          <w:szCs w:val="20"/>
        </w:rPr>
        <w:tab/>
      </w:r>
      <w:r w:rsidRPr="00E00B35">
        <w:rPr>
          <w:szCs w:val="20"/>
        </w:rPr>
        <w:tab/>
      </w:r>
      <w:r w:rsidRPr="00E00B35">
        <w:rPr>
          <w:szCs w:val="20"/>
        </w:rPr>
        <w:tab/>
      </w:r>
      <w:r w:rsidRPr="00E00B35">
        <w:rPr>
          <w:szCs w:val="20"/>
        </w:rPr>
        <w:tab/>
      </w:r>
      <w:r w:rsidRPr="00E00B35">
        <w:rPr>
          <w:szCs w:val="20"/>
        </w:rPr>
        <w:tab/>
      </w:r>
    </w:p>
    <w:p w:rsidR="00CA14AB" w:rsidRPr="00E00B35" w:rsidRDefault="00CA14AB" w:rsidP="00E00B35">
      <w:pPr>
        <w:pStyle w:val="Nagwek4"/>
        <w:spacing w:before="0" w:after="0" w:line="312" w:lineRule="auto"/>
        <w:rPr>
          <w:sz w:val="20"/>
          <w:szCs w:val="20"/>
        </w:rPr>
      </w:pPr>
      <w:bookmarkStart w:id="193" w:name="_Toc72352344"/>
      <w:bookmarkStart w:id="194" w:name="_Toc72352778"/>
      <w:bookmarkStart w:id="195" w:name="_Toc72357846"/>
      <w:bookmarkStart w:id="196" w:name="_Toc72358000"/>
      <w:r w:rsidRPr="00E00B35">
        <w:rPr>
          <w:sz w:val="20"/>
          <w:szCs w:val="20"/>
        </w:rPr>
        <w:t>WROCŁAWSKIE CENTRUM ROZWOJU SPOŁECZNEGO</w:t>
      </w:r>
      <w:bookmarkEnd w:id="193"/>
      <w:bookmarkEnd w:id="194"/>
      <w:bookmarkEnd w:id="195"/>
      <w:bookmarkEnd w:id="196"/>
    </w:p>
    <w:p w:rsidR="00CA14AB" w:rsidRPr="00E00B35" w:rsidRDefault="00CA14AB" w:rsidP="00E00B35">
      <w:pPr>
        <w:spacing w:after="0" w:line="312" w:lineRule="auto"/>
        <w:rPr>
          <w:szCs w:val="20"/>
        </w:rPr>
      </w:pPr>
      <w:r w:rsidRPr="00E00B35">
        <w:rPr>
          <w:szCs w:val="20"/>
        </w:rPr>
        <w:t xml:space="preserve">Celem głównym Wrocławskiego Centrum Rozwoju Społecznego (WCRS) jest wsparcie budowy aktywnego społeczeństwa obywatelskiego, szerzenie idei mediacji, diagnozowanie potrzeb społecznych mieszkańców Miasta oraz prowadzenie działalności informacyjno-edukacyjnej. Ważnym zadaniem instytucji jest rozwój rodziny, działania na rzecz dzieci, młodzieży, osób starszych oraz integracja międzypokoleniowa. Szczególną rolę odgrywają programy dla środowiska kombatantów i osób represjonowanych. Jednostka koncentruje się również na działaniach na rzecz mniejszości etnicznych </w:t>
      </w:r>
      <w:r w:rsidRPr="00E00B35">
        <w:rPr>
          <w:szCs w:val="20"/>
        </w:rPr>
        <w:br/>
        <w:t xml:space="preserve">i narodowych, realizując bądź wspierając wiele cennych inicjatyw, również w sferze działań skierowanych do obcokrajowców w tym „strategie Dialogu Międzykulturowego”. Ponadto w ramach WCRS działa Zespół Wolontariatu, którego celem jest prowadzenie, </w:t>
      </w:r>
      <w:r w:rsidRPr="00E00B35">
        <w:rPr>
          <w:szCs w:val="20"/>
        </w:rPr>
        <w:br/>
        <w:t xml:space="preserve">i integracja wrocławskich działań wolontariackich, jako jednej z form przeciwdziałania uzależnieniom, a także popularyzacja idei wolontariatu wśród mieszkańców Wrocławia. Jednostka organizuje, bądź wspiera, kampanie społeczne, zdrowotne oraz liczne wydarzenia plenerowe np. festyny osiedlowe i rodzinne. Do zadań należy również działalność na rzecz podnoszenia kompetencji edukacyjnych uczniów </w:t>
      </w:r>
      <w:r w:rsidRPr="00E00B35">
        <w:rPr>
          <w:szCs w:val="20"/>
        </w:rPr>
        <w:br/>
        <w:t>i nauczycieli. Tworzenie i wdrażanie innowacji, wspieranie kreatywności, rozwijanie uzdolnień i talentów dzieci i młodzieży. Od 2016 roku jednostka przejęła zadania związane z obsługą wrocławskich Osiedli. W 2020 część zadań realizowanych przez jednostkę w związku z pandemią została przeniesiona do sieci (szkolenia, wykłady, warsztaty). WCRS realizowało również zadania związane z wsparciem mieszkańców Wrocławia w trudnym okresie panademii zwłaszcza dla osób w wieku senioralnym, osób samotnych ale również dla młodzieży i rodziców, którzy borykali się z problemami np. cyberuzaleznień.</w:t>
      </w:r>
    </w:p>
    <w:p w:rsidR="005E6C69" w:rsidRPr="00E00B35" w:rsidRDefault="005E6C69" w:rsidP="00E00B35">
      <w:pPr>
        <w:pStyle w:val="Nagwek4"/>
        <w:spacing w:before="0" w:after="0" w:line="312" w:lineRule="auto"/>
        <w:rPr>
          <w:sz w:val="20"/>
          <w:szCs w:val="20"/>
        </w:rPr>
      </w:pPr>
      <w:bookmarkStart w:id="197" w:name="_Toc72352345"/>
      <w:bookmarkStart w:id="198" w:name="_Toc72352779"/>
    </w:p>
    <w:p w:rsidR="00CA14AB" w:rsidRPr="00E00B35" w:rsidRDefault="00CA14AB" w:rsidP="00E00B35">
      <w:pPr>
        <w:pStyle w:val="Nagwek4"/>
        <w:spacing w:before="0" w:after="0" w:line="312" w:lineRule="auto"/>
        <w:rPr>
          <w:sz w:val="20"/>
          <w:szCs w:val="20"/>
        </w:rPr>
      </w:pPr>
      <w:r w:rsidRPr="00E00B35">
        <w:rPr>
          <w:sz w:val="20"/>
          <w:szCs w:val="20"/>
        </w:rPr>
        <w:t>I DZIAŁANIA SKIEROWANE DO ŚRODOWISKA SENIORÓW</w:t>
      </w:r>
      <w:bookmarkEnd w:id="197"/>
      <w:bookmarkEnd w:id="198"/>
    </w:p>
    <w:p w:rsidR="00CA14AB" w:rsidRPr="00E00B35" w:rsidRDefault="00CA14AB" w:rsidP="00E00B35">
      <w:pPr>
        <w:pStyle w:val="Nagwek5"/>
        <w:rPr>
          <w:szCs w:val="20"/>
        </w:rPr>
      </w:pPr>
      <w:r w:rsidRPr="00E00B35">
        <w:rPr>
          <w:szCs w:val="20"/>
        </w:rPr>
        <w:t>WROCŁAWSKIE CENTRUM SENIORA</w:t>
      </w:r>
    </w:p>
    <w:p w:rsidR="00CA14AB" w:rsidRPr="00E00B35" w:rsidRDefault="00CA14AB" w:rsidP="00E00B35">
      <w:pPr>
        <w:spacing w:after="0" w:line="312" w:lineRule="auto"/>
        <w:rPr>
          <w:szCs w:val="20"/>
        </w:rPr>
      </w:pPr>
      <w:r w:rsidRPr="00E00B35">
        <w:rPr>
          <w:rFonts w:eastAsia="Verdana"/>
          <w:szCs w:val="20"/>
        </w:rPr>
        <w:t xml:space="preserve">W 2020 roku podejmowało działania, których celem była aktywizacja środowisk senioralnych we Wrocławiu. Działania statutowe na rzecz aktywizacji osób powyżej 60 roku życia obejmowały przede wszystkim: wspieranie seniorów i koordynowanie działań wielu organizacji działających na rzecz osób starszych, </w:t>
      </w:r>
      <w:r w:rsidRPr="00E00B35">
        <w:rPr>
          <w:rFonts w:eastAsia="Verdana"/>
          <w:szCs w:val="20"/>
          <w:highlight w:val="white"/>
        </w:rPr>
        <w:t>t</w:t>
      </w:r>
      <w:r w:rsidRPr="00E00B35">
        <w:rPr>
          <w:rFonts w:eastAsia="Verdana"/>
          <w:szCs w:val="20"/>
        </w:rPr>
        <w:t xml:space="preserve">worzenie platformy wymiany wiedzy i dobrych praktyk pomiędzy podmiotami, które działają na rzecz osób starszych, inicjowanie działań zmierzających do poprawy jakości życia osób starszych, promowanie idei uczenia się przez całe życie, podejmowanie działań zmierzających do zmiany stereotypowego postrzegania starości, ułatwianie dostępu do informacji, promowanie szeroko rozumianej aktywności seniorów i pomyślnego starzenia się, promowanie i </w:t>
      </w:r>
      <w:r w:rsidRPr="00E00B35">
        <w:rPr>
          <w:rFonts w:eastAsia="Verdana"/>
          <w:szCs w:val="20"/>
        </w:rPr>
        <w:lastRenderedPageBreak/>
        <w:t xml:space="preserve">organizowanie działań międzygeneracyjnych, przeciwdziałanie wykluczeniu, izolacji i marginalizacji osób starszych. W związku z pandemią koronawirusa zintensyfikowano także działania informacyjno-edukacyjne, przez: uruchomienie dodatkowych telefonów dla seniora,  stworzenie tablicy informacyjnej na stronie </w:t>
      </w:r>
      <w:hyperlink r:id="rId94" w:history="1">
        <w:r w:rsidRPr="00E00B35">
          <w:rPr>
            <w:rFonts w:eastAsia="Verdana"/>
            <w:szCs w:val="20"/>
          </w:rPr>
          <w:t>www.seniorzy.wroclaw.pl</w:t>
        </w:r>
      </w:hyperlink>
      <w:r w:rsidRPr="00E00B35">
        <w:rPr>
          <w:rFonts w:eastAsia="Verdana"/>
          <w:szCs w:val="20"/>
        </w:rPr>
        <w:t>, uruchomienie cyklicznych i okazjonalnych zajęć online, koordynowanie audycji radiowej pt.: „Radiowy Klub Seniora” oraz programów telewizyjnych „ Elementarz cyfrowy” i „Kalejdoskop Seniora”, emitowanych w lokalnej stacji TV ECHO24, zainicjowanie nowych projektów („Danie dla Seniora”).</w:t>
      </w:r>
      <w:r w:rsidRPr="00E00B35">
        <w:rPr>
          <w:szCs w:val="20"/>
        </w:rPr>
        <w:t xml:space="preserve"> Wrocławskie Centrum Seniora realizuje ok. 20 dużych projektów rocznie, w trakcie których odbywają się spotkania, warsztaty, prelekcje, konsultacje, wydarzenia z  zakresu kultury, edukacji, zdrowia, sportu i rekreacji. W 2020 r. zorganizowano między innymi: Dni Seniora, Dni Babci i Dziadka, Akademię Rozwoju Seniora, Szkołę Liderów, Laboratorium zabawek, Strefę 55 plus, Wrocławskie Filmowe Centrum Seniora, Radiowy Klub Seniora, Elementarz cyfrowy i Kalejdoskop Seniora. W zajęciach i wydarzeniach stacjonarnych wzięło udział: ok.2000 osób. W związku z pandemią koronawirusa, Wrocławskie Centrum Seniora realizowało także cykliczne i okazjonalne zajęcia online na platformie Korbanku, np. zajęcia gmnastyczne, taneczne, spotkania z dietetykiem i psychologiem, ćwiczenia poznawcze, cykl moda i uroda, zajęcia międzypokoleniowe czy spotkania artystyczne. Łącznie w 2020 r. przeprowadzono 451 zajęć online, w których wzięło udział 5825 osób. Poza tym uruchomiono specjalne telefony dla seniorów, łącznie wykonano i odebrano 4.955 połączeń.</w:t>
      </w:r>
    </w:p>
    <w:p w:rsidR="00CA14AB" w:rsidRPr="00E00B35" w:rsidRDefault="00CA14AB" w:rsidP="00E00B35">
      <w:pPr>
        <w:spacing w:after="0" w:line="312" w:lineRule="auto"/>
        <w:rPr>
          <w:szCs w:val="20"/>
        </w:rPr>
      </w:pPr>
      <w:r w:rsidRPr="00E00B35">
        <w:rPr>
          <w:rFonts w:eastAsia="Verdana"/>
          <w:szCs w:val="20"/>
        </w:rPr>
        <w:t>W ramach bieżącej pracy Wrocławskiego Centrum Seniora – od stycznia do marca  oraz od czerwca do października 2020 był otwarty Punkt Informacyjny w siedzibie Wrocławskiego Centrum Seniora przy pl. Dominikańskim 6 oraz  działały punkty konsultacyjne dla seniorów, z porad których miesięcznie średnio skorzystało ok. 200 osób. Punkty oferowały pomoc w następującym zakresie: dietetyka, psychologa, Klub Seniora Podróżnika, konsultacje komputerowe oraz dyżury członków Wrocławskiej Rady Seniorów. Od połowy marca 2020, w związku z pandemią koronawirusa, zajęcia w ramach projektu: Akademia Rozwoju Seniora odbywały się online, przez platformę Korbanku,</w:t>
      </w:r>
      <w:r w:rsidRPr="00E00B35">
        <w:rPr>
          <w:szCs w:val="20"/>
        </w:rPr>
        <w:t xml:space="preserve"> łącznie od kwietnia do grudnia odbyło się 451 zajęć online, w których wzięło udział 5825 osób.</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Telefony Seniora – Punkt Informacyjny dla seniorów </w:t>
      </w:r>
    </w:p>
    <w:p w:rsidR="00CA14AB" w:rsidRPr="00E00B35" w:rsidRDefault="00CA14AB" w:rsidP="00E00B35">
      <w:pPr>
        <w:spacing w:after="0" w:line="312" w:lineRule="auto"/>
        <w:rPr>
          <w:szCs w:val="20"/>
        </w:rPr>
      </w:pPr>
      <w:r w:rsidRPr="00E00B35">
        <w:rPr>
          <w:szCs w:val="20"/>
        </w:rPr>
        <w:t>Akcja Telefon Seniora i akcja „Nie bądź sam” – została zainicjowana ze względu na wzrastające zagrożenie koronawirusem u osób starszych jako szczególnie narażonej grupy. </w:t>
      </w:r>
    </w:p>
    <w:p w:rsidR="00CA14AB" w:rsidRPr="00E00B35" w:rsidRDefault="00CA14AB" w:rsidP="00E00B35">
      <w:pPr>
        <w:spacing w:after="0" w:line="312" w:lineRule="auto"/>
        <w:rPr>
          <w:szCs w:val="20"/>
        </w:rPr>
      </w:pPr>
      <w:r w:rsidRPr="00E00B35">
        <w:rPr>
          <w:szCs w:val="20"/>
        </w:rPr>
        <w:t xml:space="preserve">Telefony Seniora: 71 344 44 44, 888 999 335, 888 999 372, 668 010 360 </w:t>
      </w:r>
      <w:r w:rsidRPr="00E00B35">
        <w:rPr>
          <w:szCs w:val="20"/>
        </w:rPr>
        <w:br/>
        <w:t xml:space="preserve">W czasie pandemii COVID-19 od seniorów odebraliśmy w marcu br. 389 telefonów, </w:t>
      </w:r>
      <w:r w:rsidRPr="00E00B35">
        <w:rPr>
          <w:szCs w:val="20"/>
        </w:rPr>
        <w:br/>
        <w:t>w kwietniu 671, w maju 722, w czerwcu 143.</w:t>
      </w:r>
    </w:p>
    <w:p w:rsidR="00CA14AB" w:rsidRPr="00E00B35" w:rsidRDefault="00CA14AB" w:rsidP="00E00B35">
      <w:pPr>
        <w:spacing w:after="0" w:line="312" w:lineRule="auto"/>
        <w:rPr>
          <w:szCs w:val="20"/>
        </w:rPr>
      </w:pPr>
      <w:r w:rsidRPr="00E00B35">
        <w:rPr>
          <w:szCs w:val="20"/>
        </w:rPr>
        <w:t>Od stycznia do lutego br. punkt informacyjny odwiedziło ok. 1600 osób. W związku                        z pandemią COVID-19 punkt informacyjny od 16 marca do 31 maja 2020 r. był nieczynny.</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Punkt Informacyjny</w:t>
      </w:r>
    </w:p>
    <w:p w:rsidR="00CA14AB" w:rsidRPr="00E00B35" w:rsidRDefault="00CA14AB" w:rsidP="00E00B35">
      <w:pPr>
        <w:spacing w:after="0" w:line="312" w:lineRule="auto"/>
        <w:rPr>
          <w:szCs w:val="20"/>
        </w:rPr>
      </w:pPr>
      <w:r w:rsidRPr="00E00B35">
        <w:rPr>
          <w:szCs w:val="20"/>
        </w:rPr>
        <w:t>We Wrocławskim Centrum Seniora i Przestrzeni Trzeciego Wieku czynny był od 1.06 do 2.10.2020 r. z zachowaniem wszelkich środków bezpieczeństwa   i ostrożności zgodnie z zaleceniami i rekomendacjami Głównego Inspektoratu Sanitarnego i Ministerstwa Zdrowia. W tym czasie odwiedziło go ok. 3000 tys. osób.</w:t>
      </w:r>
    </w:p>
    <w:p w:rsidR="00CA14AB" w:rsidRPr="00E00B35" w:rsidRDefault="00CA14AB" w:rsidP="00E00B35">
      <w:pPr>
        <w:spacing w:after="0" w:line="312" w:lineRule="auto"/>
        <w:rPr>
          <w:szCs w:val="20"/>
        </w:rPr>
      </w:pPr>
      <w:r w:rsidRPr="00E00B35">
        <w:rPr>
          <w:szCs w:val="20"/>
        </w:rPr>
        <w:t>Od 5.10. 2020 r. w trosce o zdrowie i bezpieczeństwo seniorów, w związku z nasilającą się pandemią, Punkt Informacyjny został zamknięty (we WCS i PTW). Zamknięcie tych miejsc zmieniło bezpośredni kontakt z seniorami na kontakt telefoniczny oraz internetowy. Czynne były Telefony Seniora od poniedziałku do piątku w godzinach: od 09:00 do 15:00. Telefony Seniora 71 344 44 44 oraz 888 999 372 działały także podczas świąt Bożego Narodzenia: w wigilię (24.12) oraz dwa świąteczne dni (25–26.12) w godz. 9.00–18.00. Łącznie nawiązano 4955 połączeń telefoncznych (2755 połaczeń od seniorów, 2200 do seniorów).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Indywidualne konsultacje telefoniczne </w:t>
      </w:r>
    </w:p>
    <w:p w:rsidR="00CA14AB" w:rsidRPr="00E00B35" w:rsidRDefault="00CA14AB" w:rsidP="00E00B35">
      <w:pPr>
        <w:spacing w:after="0" w:line="312" w:lineRule="auto"/>
        <w:rPr>
          <w:szCs w:val="20"/>
        </w:rPr>
      </w:pPr>
      <w:r w:rsidRPr="00E00B35">
        <w:rPr>
          <w:szCs w:val="20"/>
        </w:rPr>
        <w:t>Szczególnym wsparciem dla Seniorów były bezpłatne porady telefoniczne radcy prawnego, który pomagał w zakresie problemów życiowych (pn-pt 10:00-14:00). Seniorzy mogli konsultować się telefonicznie – również bezpłatnie – z pracownikiem socjalnym (pn, śr, pt 12:00-13:00). Zakres porad dotyczył zakresu ustawy o pomocy społecznej, m.in.: przyznawania usług opiekuńczych, świadczeń dla osób niepełnosprawnych, poradnictwa ds. uzależnień w rodzinie.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Strona internetowa, Profil FB Wrocławskiego Centrum Seniora</w:t>
      </w:r>
    </w:p>
    <w:p w:rsidR="00CA14AB" w:rsidRPr="00E00B35" w:rsidRDefault="00CA14AB" w:rsidP="00E00B35">
      <w:pPr>
        <w:spacing w:after="0" w:line="312" w:lineRule="auto"/>
        <w:rPr>
          <w:rFonts w:eastAsia="Verdana"/>
          <w:szCs w:val="20"/>
        </w:rPr>
      </w:pPr>
      <w:r w:rsidRPr="00E00B35">
        <w:rPr>
          <w:szCs w:val="20"/>
        </w:rPr>
        <w:t xml:space="preserve"> Strona internetowa www.seniorzy.wroclaw.pl. Liczba odsłon to ok. 20 000 tys. w skali miesiąca. Facebook: liczba polubień 2599 (stan XII 2020 r.). Social media szczególnie w dobie pandemii, okazały się jednym z istotnych narzędzi komunikacji z osobami starszymi. WCS i PTW aktywnie działają w wirtualnej przestrzeni na stronie internetowej</w:t>
      </w:r>
      <w:r w:rsidRPr="00E00B35">
        <w:rPr>
          <w:szCs w:val="20"/>
        </w:rPr>
        <w:br/>
        <w:t xml:space="preserve">i Facebooku. Każdego dnia publikowane są bieżące informacje o działaniach podejmowanych przez WCRS, PTW  i WCS, a także o wydarzeniach we Wrocławiu. Kanały internetowe działają także dzięki zaangażowaniu seniorów, którzy chętnie dzielą się nagrywanymi filmami, wierszami. Na stronie www.seniorzy.wroclaw.pl prezentowane treści są dopasowane do komfortu czytania i potrzeb osób starszych (możliwość zmiany kontrastu i wielkości liter). Na stronie uaktualniana była Tablica informacyjna Koronawirus, na której publikowane są niezbędne informacje na temat zaleceń </w:t>
      </w:r>
      <w:r w:rsidRPr="00E00B35">
        <w:rPr>
          <w:szCs w:val="20"/>
        </w:rPr>
        <w:br/>
        <w:t>i rekomendacji Ministerstwa Zdrowia i Głównego Inspektoratu Sanitarnego, Telefony Seniora, w pozostałych postach informujemy o nowych inicjatywach i projektach edukacyjno-kulturalnych.</w:t>
      </w:r>
      <w:r w:rsidRPr="00E00B35">
        <w:rPr>
          <w:rFonts w:eastAsia="Verdana"/>
          <w:szCs w:val="20"/>
        </w:rPr>
        <w:t xml:space="preserve"> Ponadto do Klubów Seniora oraz do osób indywidualnych co piątek wysyłany był newsletter „ Zachęcamy…polecamy…”. Baza indywidualna seniorów obejmowała w 2020 roku około 12 tysięcy adresów mailowych.</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Cykliczne zajęcia online </w:t>
      </w:r>
    </w:p>
    <w:p w:rsidR="00CA14AB" w:rsidRPr="00E00B35" w:rsidRDefault="00CA14AB" w:rsidP="00E00B35">
      <w:pPr>
        <w:spacing w:after="0" w:line="312" w:lineRule="auto"/>
        <w:rPr>
          <w:szCs w:val="20"/>
        </w:rPr>
      </w:pPr>
      <w:r w:rsidRPr="00E00B35">
        <w:rPr>
          <w:szCs w:val="20"/>
        </w:rPr>
        <w:t>W związku z wprowadzonym stanem epidemicznym, Wrocławskie Centrum Seniora   i Przestrzeń Trzeciego Wieku, od 7 kwietnia 2020 r. organizują cykliczne spotkania online przez platformę internetową Akademia Korbank. Zajęcia są bezpłatne, każdy może w nich wziąć udział i dołączyć w dowolnym momencie.</w:t>
      </w:r>
    </w:p>
    <w:p w:rsidR="00CA14AB" w:rsidRPr="00E00B35" w:rsidRDefault="00CA14AB" w:rsidP="00E00B35">
      <w:pPr>
        <w:spacing w:after="0" w:line="312" w:lineRule="auto"/>
        <w:rPr>
          <w:szCs w:val="20"/>
        </w:rPr>
      </w:pPr>
      <w:r w:rsidRPr="00E00B35">
        <w:rPr>
          <w:szCs w:val="20"/>
        </w:rPr>
        <w:t>Przygotowana została różnorodna oferta zajęć, wśród których seniorzy znajdą coś dla siebie. Oprócz zajęć ruchowych: Zdrowy kręgosłup i elementy karate dla seniorów oraz Szczęśliwi w tańcu, odbywają się także spotkania artystyczne Pokój artystyczny Jerzego Skoczylasa, czy zdrowotne Zdrowie od kuchni – spotkania z dietetykiem klinicznym, Trening pamięci, Poradnik psychologiczny. Warto też wspomnieć o międzypokoleniowych spotkaniach przy zabawkach w ramach Laboratorium Zabawek, a także spotkaniach                     z wizażystką i stylistką Moda i uroda. Recepta na piękno.</w:t>
      </w:r>
      <w:r w:rsidRPr="00E00B35">
        <w:rPr>
          <w:szCs w:val="20"/>
        </w:rPr>
        <w:br/>
        <w:t xml:space="preserve">Zajęcia online </w:t>
      </w:r>
      <w:hyperlink r:id="rId95" w:history="1">
        <w:r w:rsidRPr="00E00B35">
          <w:rPr>
            <w:szCs w:val="20"/>
          </w:rPr>
          <w:t>http://www.seniorzy.wroclaw.pl/grafik-zajecia-online</w:t>
        </w:r>
      </w:hyperlink>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Okazjonalne zajęcia online </w:t>
      </w:r>
    </w:p>
    <w:p w:rsidR="00CA14AB" w:rsidRPr="00E00B35" w:rsidRDefault="00CA14AB" w:rsidP="00E00B35">
      <w:pPr>
        <w:spacing w:after="0" w:line="312" w:lineRule="auto"/>
        <w:rPr>
          <w:szCs w:val="20"/>
        </w:rPr>
      </w:pPr>
      <w:r w:rsidRPr="00E00B35">
        <w:rPr>
          <w:szCs w:val="20"/>
        </w:rPr>
        <w:t xml:space="preserve">Poza cyklicznymi zajęciami online zorganizowano spotkania okazjonalne, których tematyka nawiązuje do świąt, ważnych wydarzeń </w:t>
      </w:r>
      <w:r w:rsidRPr="00E00B35">
        <w:rPr>
          <w:szCs w:val="20"/>
        </w:rPr>
        <w:br/>
        <w:t xml:space="preserve">i cieszyła się dużym zainteresowaniem.  Wspólnie rozmawialiśmy o tradycji świąt, etiologii i dzieliliśmy się swoimi wspomnieniami: Dzień Dziecka, Dzień Niepodległości, Galeria wspomnień, Dzień św. Marcina, Andrzejki, cykl spotkań świątecznych: Zwyczaje Adwentowe, Mikołajki, Organizacja Świąt – jak to u nas wygląda? Boże Narodzenie na świecie, Jasełka w PTW i Najpiękniejszy Sylwester. Odbyło się  także spotkanie </w:t>
      </w:r>
      <w:r w:rsidRPr="00E00B35">
        <w:rPr>
          <w:szCs w:val="20"/>
        </w:rPr>
        <w:br/>
        <w:t>z aktorem- Zbigniewem Zamachowski oraz swingowe koncerty w PTW.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Wrocławska Rada Seniorów</w:t>
      </w:r>
    </w:p>
    <w:p w:rsidR="00CA14AB" w:rsidRPr="00E00B35" w:rsidRDefault="00CA14AB" w:rsidP="00E00B35">
      <w:pPr>
        <w:spacing w:after="0" w:line="312" w:lineRule="auto"/>
        <w:rPr>
          <w:szCs w:val="20"/>
        </w:rPr>
      </w:pPr>
      <w:r w:rsidRPr="00E00B35">
        <w:rPr>
          <w:szCs w:val="20"/>
        </w:rPr>
        <w:t xml:space="preserve">W głównym nurcie zainteresowania Rady jest rozpoznawanie potrzeb, problemów oraz aktywności najstarszych mieszkańców Wrocławia. Rada współpracuje z Radą Miejską Wrocławia, Prezydentem Wrocławia. </w:t>
      </w:r>
      <w:r w:rsidRPr="00E00B35">
        <w:rPr>
          <w:szCs w:val="20"/>
        </w:rPr>
        <w:br/>
        <w:t>W skład rady weszło  8 przedstawicieli organizacji Pożytku Publicznego, 3 członków Rady Miejskiej Wrocławia oraz 3 osoby wskazane Prezydenta Wrocławia. W pierwszej połowie 2020 r. odbyły się 3 posiedzenia, a od początku kadencji 7 spotkań. Z powodu pandemii koronawirusa zawieszone zostały zarówno posiedzenia, jak i dyżury członków Rady.</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Miasto Pokoleń </w:t>
      </w:r>
    </w:p>
    <w:p w:rsidR="00CA14AB" w:rsidRPr="00E00B35" w:rsidRDefault="00CA14AB" w:rsidP="00E00B35">
      <w:pPr>
        <w:spacing w:after="0" w:line="312" w:lineRule="auto"/>
        <w:rPr>
          <w:szCs w:val="20"/>
        </w:rPr>
      </w:pPr>
      <w:r w:rsidRPr="00E00B35">
        <w:rPr>
          <w:szCs w:val="20"/>
        </w:rPr>
        <w:t xml:space="preserve">Projekt Wrocławskiego Centrum Rozwoju Społecznego - Wrocławskiego Centrum Seniora oraz Departamentu Edukacji UM Wrocławia. Celem jest upowszechnianie wiedzy gerontologicznej wśród dzieci i młodzieży, prowadzenie dyskusji na temat starości, starzenia się, wzmacnianie postawy szacunku wobec osób starszych. Adresatami programu są dzieci i młodzież z wrocławskich przedszkoli i szkół. Projekt polega na spotkaniu dzieci z edukatorami-seniorami przeprowadzającymi prelekcje, warsztaty i wykłady, odbywające się w szkołach w cyklach: wiosennym i jesiennym. </w:t>
      </w:r>
      <w:r w:rsidRPr="00E00B35">
        <w:rPr>
          <w:szCs w:val="20"/>
        </w:rPr>
        <w:br/>
        <w:t xml:space="preserve">W roku 2014 r. projekt Miasto Pokoleń zyskało miano „Złotej praktyki” i został wpisany </w:t>
      </w:r>
      <w:r w:rsidRPr="00E00B35">
        <w:rPr>
          <w:szCs w:val="20"/>
        </w:rPr>
        <w:br/>
      </w:r>
      <w:r w:rsidRPr="00E00B35">
        <w:rPr>
          <w:szCs w:val="20"/>
        </w:rPr>
        <w:lastRenderedPageBreak/>
        <w:t xml:space="preserve">do „Złotej Księgi Dobrych Praktyk na Rzecz Społecznego Uczestnictwa Osób Starszych”. W 2019 roku realizowana była V edycja programu 2019/2020, w której udział wzięły </w:t>
      </w:r>
      <w:r w:rsidRPr="00E00B35">
        <w:rPr>
          <w:szCs w:val="20"/>
        </w:rPr>
        <w:br/>
        <w:t>33 placówki edukacyjne i 12 edukatorów. W 2020 roku VI edycja nie odbyła się z powodu pandemii COVID-19.</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Wrocławska Karta Seniora </w:t>
      </w:r>
    </w:p>
    <w:p w:rsidR="00CA14AB" w:rsidRPr="00E00B35" w:rsidRDefault="00CA14AB" w:rsidP="00E00B35">
      <w:pPr>
        <w:spacing w:after="0" w:line="312" w:lineRule="auto"/>
        <w:rPr>
          <w:rFonts w:eastAsia="Verdana"/>
          <w:szCs w:val="20"/>
        </w:rPr>
      </w:pPr>
      <w:r w:rsidRPr="00E00B35">
        <w:rPr>
          <w:szCs w:val="20"/>
        </w:rPr>
        <w:t>Wrocławska Karta Seniora to innowacyjny projekt miasta Wrocławia, skierowany do osób powyżej 60. roku życia mieszkających we Wrocławiu. Umożliwia seniorom korzystanie z promocji i ofert przygotowanych przez firmy i instytucje specjalnie z myślą o nich. Do końca 2020 r. roku do programu przystąpiło 200 partnerów z różnych dziedzin (kultura, edukacja, rekreacja, zdrowie, turystyka). Od 2019 roku Wrocławska Karta Seniora jest oferowana w trzech kategoriach: 60+ Srebrna, Złota dla osób 75 + oraz dla osób 90+ Szmaragdowa. Karta Złota uprawnia do korzystania z programu Senior Taxi. Szmaragdowa obejmuje bezpłatne usługi realizowane w domu seniora m.in. konsultacje optometrysty oraz wyrobienie 2 szt. okularów, usługę fryzjerską, podologiczną, badanie słuchu, drobne naprawy, zabiegi, sprzątanie, pranie, wolontariat.  W całym 2020 r. wydano łącznie: 3990 Kart Srebrnych, 1576 Kart Złotych, 306 Kart Szmaragdowych (</w:t>
      </w:r>
      <w:r w:rsidRPr="00E00B35">
        <w:rPr>
          <w:rFonts w:eastAsia="Verdana"/>
          <w:szCs w:val="20"/>
        </w:rPr>
        <w:t>w roku 2019 wydano 12592 Kart Srebrnych, 7071 Kart Złotych, 1027 Kart Szmaragdowych</w:t>
      </w:r>
      <w:r w:rsidRPr="00E00B35">
        <w:rPr>
          <w:szCs w:val="20"/>
        </w:rPr>
        <w:t xml:space="preserve">).  W 2020 r. wykonano 674 usługi w ramach Wrocławskiej Szmaragdowej Karty Seniora). </w:t>
      </w:r>
      <w:r w:rsidRPr="00E00B35">
        <w:rPr>
          <w:szCs w:val="20"/>
        </w:rPr>
        <w:br/>
        <w:t xml:space="preserve">Ze względu na epidemię koronawirusa Wrocławskie Karty Seniora nie były wydawane </w:t>
      </w:r>
      <w:r w:rsidRPr="00E00B35">
        <w:rPr>
          <w:szCs w:val="20"/>
        </w:rPr>
        <w:br/>
        <w:t>w miesiącach: marzec (od 10.03.2020) kwiecień, maj, październik (od 05.10.2020), listopad, grudzień, a usługi Szmaragdowej Wrocławskiej Karty Seniora nie były realizowane w miesiącach: kwiecień, maj, grudzień.</w:t>
      </w:r>
      <w:r w:rsidRPr="00E00B35">
        <w:rPr>
          <w:rFonts w:eastAsia="Verdana"/>
          <w:szCs w:val="20"/>
        </w:rPr>
        <w:t xml:space="preserve">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Miejsca przyjazne seniorom </w:t>
      </w:r>
    </w:p>
    <w:p w:rsidR="00CA14AB" w:rsidRPr="00E00B35" w:rsidRDefault="00CA14AB" w:rsidP="00E00B35">
      <w:pPr>
        <w:spacing w:after="0" w:line="312" w:lineRule="auto"/>
        <w:rPr>
          <w:rFonts w:eastAsia="Verdana"/>
          <w:szCs w:val="20"/>
        </w:rPr>
      </w:pPr>
      <w:r w:rsidRPr="00E00B35">
        <w:rPr>
          <w:rFonts w:eastAsia="Verdana"/>
          <w:szCs w:val="20"/>
        </w:rPr>
        <w:t>Wrocławskie Centrum Seniora honoruje miejsca szczególnie przyjazne osobom starszym. Mowa o takich miejscach, które wolne są od barier komunikacyjnych, architektonicznych lub mają specjalną ofertę dla osób po 60. roku życia. Każde z nich otrzymuje certyfikat Miejsca Przyjaznego Seniorom. Do projektu mogą zgłaszać się właściciele miejsc, którzy uważają, że ich sklep, kawiarnia, czy inny lokal przystosowany jest do potrzeb osób starszych. Przyjazne seniorom miejsca mogą być zgłaszane także przez grupę piętnastu osób. Do końca 2020 od początku trwania projektu przyznanych zostało 69 certyfikatów Miejsc Przyjaznych Seniorom.</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Dni Seniora</w:t>
      </w:r>
    </w:p>
    <w:p w:rsidR="00CA14AB" w:rsidRPr="00E00B35" w:rsidRDefault="00CA14AB" w:rsidP="00E00B35">
      <w:pPr>
        <w:spacing w:after="0" w:line="312" w:lineRule="auto"/>
        <w:rPr>
          <w:szCs w:val="20"/>
        </w:rPr>
      </w:pPr>
      <w:r w:rsidRPr="00E00B35">
        <w:rPr>
          <w:szCs w:val="20"/>
        </w:rPr>
        <w:t xml:space="preserve">Wydarzenie cykliczne, organizowane od 11 lat, na przełomie września  i października. W trakcie tego święta organizowanych jest ok 200 różnorodnych wydarzeń z zakresu kultury, edukacji, zdrowia, turystki, sportu i rekreacji, w których bierze udział kilkanaście tysięcy seniorów nie tylko z Wrocławia i Dolnego Śląska ale także  z całej Polski.Na stałe w harmonogram wrocławskich Dni Seniora wpisały się : Marsz Kapeluszy, Przeglądy Twórczości Senioralnej (Przegląd Chórów, Kabaretów i Małych Form Teatralnych, Przegląd Kapel Ludowych i Zespołów Folklorystycznych), Targi Senioralne, zawody   sportowe i </w:t>
      </w:r>
      <w:r w:rsidRPr="00E00B35">
        <w:rPr>
          <w:szCs w:val="20"/>
        </w:rPr>
        <w:lastRenderedPageBreak/>
        <w:t>rajdy terenowe, konkursy (literackie, fotograficzne, rękodzielnicze, itp.), koncerty, spektakle i recitale oraz spotkania, wykłady i warsztaty prowadzone przez specjalistów oraz lekarzy. W roku 2020, w związku z pandemią koronawirusa, zamiast Marszu Kapeluszy odbyła się na świeżym powietrzu „rewia kolorowych parasoli” oraz „pokaz artystycznie ozdobionych maseczek”. Inauguracja miała miejsce w Sali Głównej NFM, gdzie Prezydent Wrocławia Jacek Sutryk, wręczył przedstawicielom Rady Seniorów symboliczne klucze do bram miasta oraz zaprosił do uczestnictwa w pięknym, swingowym koncercie przebojów. Na pl. Solnym można było ponadto, przez blisko miesiąc, oglądać wystawę upamiętniającą 10 lat barwnych Marszy Kapeluszy. Większość zaplanowanych spotkań i  warsztatów odbyło się na świeżym powietrzu oraz w przestrzeni online. Dodatkowo ogłoszony został I e-Covidowy Festiwal Aktywności Senioralnej „PandemikART – 2020”, skierowany  do seniorów, którzy w okresie pandemii wykazali się szeroko pojętą aktywnością w wielu dziedzinach życia codziennego (101 uczestników).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Szkoła Liderów</w:t>
      </w:r>
    </w:p>
    <w:p w:rsidR="00CA14AB" w:rsidRPr="00E00B35" w:rsidRDefault="00CA14AB" w:rsidP="00E00B35">
      <w:pPr>
        <w:spacing w:after="0" w:line="312" w:lineRule="auto"/>
        <w:rPr>
          <w:szCs w:val="20"/>
        </w:rPr>
      </w:pPr>
      <w:r w:rsidRPr="00E00B35">
        <w:rPr>
          <w:szCs w:val="20"/>
        </w:rPr>
        <w:t xml:space="preserve"> Projekt skierowany do obecnych i przyszłych liderów środowisk senioralnych. Uczestniczyło w nim 31 osób (dwie edycje: w 2018 i 2019 r.) oraz 10 osób w 2020 r. W trakcie 3 miesięcznego kursu uczestnicy zdobywają wiedzę i umiejętności   z zakresu: organizowania i koordynowania działań senioralnych oraz międzypokoleniowych, współpracy z partnerami/instytucjami lokalnymi, pozyskiwania dotacji, identyfikowania potrzeb osób starszych w danej społeczności, doskonalenia kompetencji personalno-społecznych, takich jak: komunikacja, współpraca   w grupie, kreatywność, rozwiązywanie problemów czy zarządzanie grupą i projektem. Szkoła Liderów jest wsparciem dla osób, które działają lub zamierzają działać na rzecz wrocławskich seniorów w takich miejscach, jak: kluby seniora, Uniwersytety Trzeciego Wieku, centra aktywności lokalnej, kluby osiedlowe, organizacje pozarządowe czy instytucje samorządu terytorialnego. Projekt oparty jest na międzypokoleniowym dialogu i wymianie doświadczeń,  przewiduje także zatrudnienie dla liderów po zakończeniu cyklu spotkań,  a także wsparcie merytoryczne.  W trakcie realizacji trzeciej edycji w 2020 r. pierwsze spotkanie odbyło się 4 marca 2020, pozostałe zostały odwołane z powodu epidemii koronawirusa. Planowane zajęcia miały być realizowane dwa razy w miesiącu: </w:t>
      </w:r>
      <w:r w:rsidRPr="00E00B35">
        <w:rPr>
          <w:szCs w:val="20"/>
        </w:rPr>
        <w:br/>
        <w:t>4  i 18 marca, 1 i 15 kwietnia, 6 i 20 maja, 3 i 17 czerwca (pierwszy i drugi kwartał). Sześciu animatorów, którzy ukończyli Szkołę Liderów w 2019 r., realizowało zajęcia z seniorami w styczniu, lutym i marcu oraz w lipcu, sierpniu i wrześniu 2020 r.</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Kampania Społeczna „Dni Babci i Dziadka”</w:t>
      </w:r>
    </w:p>
    <w:p w:rsidR="00CA14AB" w:rsidRPr="00E00B35" w:rsidRDefault="00CA14AB" w:rsidP="00E00B35">
      <w:pPr>
        <w:spacing w:after="0" w:line="312" w:lineRule="auto"/>
        <w:rPr>
          <w:szCs w:val="20"/>
        </w:rPr>
      </w:pPr>
      <w:r w:rsidRPr="00E00B35">
        <w:rPr>
          <w:szCs w:val="20"/>
        </w:rPr>
        <w:t xml:space="preserve">Wrocławskie Dni Babci i Dziadka to wydarzenie cykliczne, trwające miesiąc. Każdego roku, na przełomie stycznia i lutego, Wrocławskie Centrum Seniora wraz z partnerami Wrocławskiej Karty Seniora realizuje kilkadziesiąt wykładów, warsztatów, spotkań, koncertów i prelekcji dla seniorów, </w:t>
      </w:r>
      <w:r w:rsidRPr="00E00B35">
        <w:rPr>
          <w:szCs w:val="20"/>
        </w:rPr>
        <w:br/>
        <w:t xml:space="preserve">w których udział bierze blisko 1000 osób. Wrocławskie Dni Babci i Dziadka to także spotkania międzypokoleniowe, takie jak warsztaty laurkowe, w których udział biorą </w:t>
      </w:r>
      <w:r w:rsidRPr="00E00B35">
        <w:rPr>
          <w:szCs w:val="20"/>
        </w:rPr>
        <w:lastRenderedPageBreak/>
        <w:t>uczniowie z wrocławskich szkół oraz seniorki z grup zrzeszonych przy Wrocławskim Centrum Seniora oraz międzypokoleniowe spotkania czytelnicze przy skrzynce bookcrossingowej.</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Wrocławskie Filmowe Centrum Seniora</w:t>
      </w:r>
    </w:p>
    <w:p w:rsidR="00CA14AB" w:rsidRPr="00E00B35" w:rsidRDefault="00CA14AB" w:rsidP="00E00B35">
      <w:pPr>
        <w:spacing w:after="0" w:line="312" w:lineRule="auto"/>
        <w:rPr>
          <w:szCs w:val="20"/>
        </w:rPr>
      </w:pPr>
      <w:r w:rsidRPr="00E00B35">
        <w:rPr>
          <w:szCs w:val="20"/>
        </w:rPr>
        <w:t xml:space="preserve">Seniorów aktorów-amatorów na wiele miesięcy połączyła wspólna filmowa pasja. W ramach projektu Wrocławskie Filmowe Centrum Seniora w castingu wyłoniono 29 uczestników. Seniorzy brali udział </w:t>
      </w:r>
      <w:r w:rsidRPr="00E00B35">
        <w:rPr>
          <w:szCs w:val="20"/>
        </w:rPr>
        <w:br/>
        <w:t xml:space="preserve">w warsztatach aktorskich, reżyserskich, operatorskich i pisania scenariuszy pod okiem wybitnych specjalistów. Wrocławscy seniorzy uczestniczyli w spotkaniach dyskusyjnych </w:t>
      </w:r>
      <w:r w:rsidRPr="00E00B35">
        <w:rPr>
          <w:szCs w:val="20"/>
        </w:rPr>
        <w:br/>
        <w:t xml:space="preserve">z aktorami i reżyserami polskiego kina, np.: z J. Nowickim,  J. Majewskim, </w:t>
      </w:r>
      <w:r w:rsidRPr="00E00B35">
        <w:rPr>
          <w:szCs w:val="20"/>
        </w:rPr>
        <w:br/>
        <w:t>z A. Dereszowską, z S. Bohosiewicz. Uczestnicy mieli możliwość statystować na planie serialu "Ojciec Mateusz". Na zakończenie projektu powstał film z udziałem wrocławskich seniorów. Pomysłodawcą projektu jest Stanisław Dzierniejko dyrektor Festiwalu Aktorstwa Filmowego i Festiwalu Reżyserii Filmowej. Projekt zakończył się przedstawieniem etiudy teatralnej w Teatrze Lalek oraz filmu „Senioralsi" przygotowanego przez uczestników podczas uroczystej gali Festiwalu Aktorstwa Filmowego we Wrocławiu w sierpniu 2020.</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Strefa 55+ </w:t>
      </w:r>
    </w:p>
    <w:p w:rsidR="00CA14AB" w:rsidRPr="00E00B35" w:rsidRDefault="00CA14AB" w:rsidP="00E00B35">
      <w:pPr>
        <w:spacing w:after="0" w:line="312" w:lineRule="auto"/>
        <w:rPr>
          <w:szCs w:val="20"/>
        </w:rPr>
      </w:pPr>
      <w:r w:rsidRPr="00E00B35">
        <w:rPr>
          <w:szCs w:val="20"/>
        </w:rPr>
        <w:t xml:space="preserve">Projekt Strefa 55 plus zakłada kompleksowe podejście do problemów kobiet będących w okresie przedemerytalnym. Do uczestnictwa w zajęciach mogą przystąpić kobiety w wieku 55 – 59 lat, zarówno pracujące, jak również będące już na wcześniejszej emeryturze/rencie. Celem projektu jest m.in. rozbudzenie poczucia własnej wartości i pewności siebie oraz satysfakcji i radości z życia. Program obejmuje zwiększenie wiedzy na temat dostępnych możliwości i ścieżek rozwoju dla kobiet w wieku 55+, wzrost motywacji do działania, rozwój kompetencji personalno-społecznych uczestniczek projektupoznanie zasad zdrowego odżywiania i zbilansowanej diety oraz umiejętności ich stosowania w codziennym jadłospisie, nabycie wiedzy na temat właściwej pielęgnacji twarzy i ciała u dojrzałych kobiet, nabycie umiejętności dotyczących budowania i zarządzania własnym wizerunkiem, zdolność do wykorzystania poczucia humoru w stresujących sytuacjach. Pierwsza edycja odbyła się w październiku i listopadzie 2019 r. Udział wzięło 6 uczestniczek. Odbyło się 5 warsztatów z w/w zagadnień. Druga edycja rozpoczęła się w lutym 2020 r. Udział wzięło 6 uczestniczek, odbyły się 3 warsztaty, okres pandemii COVID-19 uniemożliwił ukończenie projektu. W  ramach projektu „Strefa 55 plus” organizowane są od czerwca 2020 zajęcia online pt. „Moda i Uroda - recepta na piękno (zarówno to zewnętrzne, jak  i wewnętrzne)”. Zajęcia pozwalają choć na chwile przenieść się do wirtualnego spa, gdzie można zażyć odrobiny relaksu oraz dowiedzieć się jak zadbać o swój wygląd i dobre samopoczucie. Organizowane wykłady oraz warsztaty są różnorodne i dotyczą takich zagadnień, jak: „Profesjonalny wizaż i udana stylizacja ubioru” oraz „Jak zarządzać własnym wizerunkiem?”, a także „Jaką stosować dietę, by czuć się dobrze  i zdrowo?”. W ramach cyklu oferujemy również spotkania ze specjalistami takim jak: psycholog, śmiechoterapeuta, dietetyk. Rozmawiamy o pasjach i </w:t>
      </w:r>
      <w:r w:rsidRPr="00E00B35">
        <w:rPr>
          <w:szCs w:val="20"/>
        </w:rPr>
        <w:lastRenderedPageBreak/>
        <w:t>rozwijaniu własnych zainteresowań oraz doradzamy w wielu życiowych sprawach. Spotkania odbywają się cykliczne, w każdy czwartek o godz. 13:30, w każdych zajęciach udział bierze średnio około 30 osób.</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Wrocławskie Laboratorium Zabawek</w:t>
      </w:r>
    </w:p>
    <w:p w:rsidR="00CA14AB" w:rsidRPr="00E00B35" w:rsidRDefault="00CA14AB" w:rsidP="00E00B35">
      <w:pPr>
        <w:spacing w:after="0" w:line="312" w:lineRule="auto"/>
        <w:rPr>
          <w:szCs w:val="20"/>
        </w:rPr>
      </w:pPr>
      <w:r w:rsidRPr="00E00B35">
        <w:rPr>
          <w:szCs w:val="20"/>
        </w:rPr>
        <w:t xml:space="preserve">To edukacyjny projekt międzypokoleniowy dedykowany seniorom po to, by odnaleźli swoje miejsce jako edukatorzy, w rolach babć i dziadków. Od początku 2020 r. w Przestrzeni Trzeciego Wieku przy pl. Solidarności 1/3/5, zorganizowanej przez Wrocławskie Centrum Rozwoju Społecznego, tworzymy miejsce spotkań dla różnych pokoleń wrocławian, wykorzystując zabawki i zabawę jako elementy budowy relacji międzypokoleniowych. W Laboratorium jest przygotowana mini wystawa zabawek z lat 60., 70. i 80. XX w. oraz wydzielone miejsce spotkań warsztatowych dla grup przedszkolnych i szkolnych z seniorami. Dawne i zapomniane przedmioty do zabawy miały być pretekstem do rozmów i wymiany dobrych emocji, </w:t>
      </w:r>
      <w:r w:rsidRPr="00E00B35">
        <w:rPr>
          <w:szCs w:val="20"/>
        </w:rPr>
        <w:br/>
        <w:t xml:space="preserve">a także wzajemnego edukowania się. Współczesne dzieci nie wiedzą jak odmienne były sposoby spędzania czasu wolnego przez ich babcie i dziadków, kiedy byli dziećmi. </w:t>
      </w:r>
      <w:r w:rsidRPr="00E00B35">
        <w:rPr>
          <w:szCs w:val="20"/>
        </w:rPr>
        <w:br/>
        <w:t>Nie zawsze ma im kto opowiedzieć, że niegdysiejsze zabawki i zabawy wspaniale rozwijały wyobraźnię, kreatywność i zachęcały do podwórkowych spotkań. Od kwietnia do końca 2020 r. odbyło się 36 spotkań na zdalnej, cyfrowej paltformie. Tworzymy atmosferę domowych rozmów w bliskości emocjonalnej.</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Radiowy Klub Seniora</w:t>
      </w:r>
    </w:p>
    <w:p w:rsidR="00CA14AB" w:rsidRPr="00E00B35" w:rsidRDefault="00CA14AB" w:rsidP="00E00B35">
      <w:pPr>
        <w:spacing w:after="0" w:line="312" w:lineRule="auto"/>
        <w:rPr>
          <w:szCs w:val="20"/>
        </w:rPr>
      </w:pPr>
      <w:r w:rsidRPr="00E00B35">
        <w:rPr>
          <w:szCs w:val="20"/>
        </w:rPr>
        <w:t xml:space="preserve">Wsłuchując się w głos seniorów, stworzono przestrzeń medialną, która pozwala pokazywać całe bogactwo późnej dorosłości, wolnej od stereotypów i uprzedzeń. Tak powstała audycja, która nie tylko umożliwia przekazanie ważnych dla seniorów informacji, ale także stwarza okazję do rozmowy na interesujące tematy, spotkanie z ciekawymi gośćmi, wymianę myśli. W czasie pandemii tematy audycji dotyczyły głównie porad i bezpieczeństwa osób starszych, poruszane były zagadnienia dotyczące zdrowia, aktywności fizycznej, oferty kulturalno-edukacyjnej online, jak o siebie zadbać w czasie pandemii, o zajęciach online, treningu i aktywizacji twórczej seniorów, telefonach seniora pod którymi seniorzy mogą uzyskać wsparcie </w:t>
      </w:r>
      <w:r w:rsidRPr="00E00B35">
        <w:rPr>
          <w:szCs w:val="20"/>
        </w:rPr>
        <w:br/>
        <w:t>i wzajemnej, sąsiedzkiej pomocy, o zasadach bezpieczeństwa seniorów, o zasadach higieny w czasie koronawirusa, o projektach międzypokoleniowych i  kulturze online dedykowanej starszemu pokoleniu. Zapraszani byli seniorzy, reprezentanci instytucji, organizacji działających na rzecz osób starszych, przedstawiciele władz samorządowych, eksperci. W 2020 r. zrealizowano 52 audycje (50 audycji w 2019 roku).</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Programy telewizyjne dla seniorów  </w:t>
      </w:r>
    </w:p>
    <w:p w:rsidR="00CA14AB" w:rsidRPr="00E00B35" w:rsidRDefault="00CA14AB" w:rsidP="00E00B35">
      <w:pPr>
        <w:spacing w:after="0" w:line="312" w:lineRule="auto"/>
        <w:rPr>
          <w:szCs w:val="20"/>
        </w:rPr>
      </w:pPr>
      <w:r w:rsidRPr="00E00B35">
        <w:rPr>
          <w:szCs w:val="20"/>
        </w:rPr>
        <w:t xml:space="preserve">Jesienią powstały dwa cykle programów telewizyjnych, emitowanych przez TV Echo 24, których odbiorcami byli wrocławscy seniorzy i ich rodziny. Elementarz Cyfrowy - 2.09.2020 r. wyemitowano premierowy odcinek programu o charakterze poradnikowym przeznaczony dla osób, które doświadczają trudności związanych z edukacją online i chcących poznać nowoczesne technologie informatyczno-cyfrowe. Prowadzący – Konrad </w:t>
      </w:r>
      <w:r w:rsidRPr="00E00B35">
        <w:rPr>
          <w:szCs w:val="20"/>
        </w:rPr>
        <w:lastRenderedPageBreak/>
        <w:t>Postawa – pokazywał, że obsługa komputera i Internetu nie jest trudna, a może ułatwić wiele codziennych czynności. Uzupełnieniem każdego odcinka był dyżur eksperta IT, który pomagał telewidzom w przypadku jakichkolwiek problemów. Projekt realizowany w partnerstwie z lokalną telewizją Echo24. W efekcie powstało 10 odcinków, emisja w środy o godz. 18:45 w Telewizji Echo24  i w Internecie w terminie 2.09.-4.11.2020 r.</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Kalejdoskop Seniora</w:t>
      </w:r>
    </w:p>
    <w:p w:rsidR="00CA14AB" w:rsidRPr="00E00B35" w:rsidRDefault="00CA14AB" w:rsidP="00E00B35">
      <w:pPr>
        <w:spacing w:after="0" w:line="312" w:lineRule="auto"/>
        <w:rPr>
          <w:szCs w:val="20"/>
        </w:rPr>
      </w:pPr>
      <w:r w:rsidRPr="00E00B35">
        <w:rPr>
          <w:szCs w:val="20"/>
        </w:rPr>
        <w:t xml:space="preserve">To cykl 7 odcinków telewizyjnych o charakterze informacyjno-poradnikowym, dedykowany seniorom i ich rodzinom. Celem programów jest dostarczenie informacji na temat miejskiej oferty działań prosenioralnych, aktywizacja </w:t>
      </w:r>
      <w:r w:rsidRPr="00E00B35">
        <w:rPr>
          <w:szCs w:val="20"/>
        </w:rPr>
        <w:br/>
        <w:t>i pokazanie możliwości twórczego spędzania czasu pandemii w domu w interesujący sposób. Wywiady, reportaże i porady specjalistów dotyczących m.in.: profilaktyki zdrowia, kultury, aktywności fizycznej, projektów lokalnych. Program swoją premierę miał 19.10. 2020 r., emisja w poniedziałki o godz. 18:40 w Telewizji Echo24 i w internecie.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Danie dla Seniora </w:t>
      </w:r>
    </w:p>
    <w:p w:rsidR="00CA14AB" w:rsidRPr="00E00B35" w:rsidRDefault="00CA14AB" w:rsidP="00E00B35">
      <w:pPr>
        <w:spacing w:after="0" w:line="312" w:lineRule="auto"/>
        <w:rPr>
          <w:szCs w:val="20"/>
        </w:rPr>
      </w:pPr>
      <w:r w:rsidRPr="00E00B35">
        <w:rPr>
          <w:szCs w:val="20"/>
        </w:rPr>
        <w:t>To wspólna inicjatywa Wrocławskiego Centrum Rozwoju Społecznego oraz wrocławskich restauracji „Przystań” i „Pod Papugami”, łącząca w sobie ideę pomocy najstarszym, samotnym i ubogim seniorom. „Danie dla Seniora” to pełnowartościowy, dwudaniowy, ciepły obiad przygotowany specjalnie z myślą o osobach starszych, dostosowany do ich potrzeb i oczekiwań. Partnerzy akcji deklarują przygotowanie co najmniej 6 posiłków tygodniowo oraz dodatkowych obiadów, których ilość zależna jest od liczby zamówień dokonanych przez klientów restauracji oraz liczby zamówień całego posiłku specjalnie z myślą o seniorze w potrzebie (tzw. zawieszony</w:t>
      </w:r>
      <w:r w:rsidRPr="00E00B35">
        <w:rPr>
          <w:szCs w:val="20"/>
        </w:rPr>
        <w:br/>
        <w:t>obiad); koszt zawieszonego obiadu wynoszący 25 zł jest doliczany wówczas do rachunku</w:t>
      </w:r>
      <w:r w:rsidRPr="00E00B35">
        <w:rPr>
          <w:szCs w:val="20"/>
        </w:rPr>
        <w:br/>
        <w:t xml:space="preserve">klienta punktu gastronomicznego. Do tej pory w projekcie wzięło udział 5 punktów gastronomicznych: Restauracja pod Papugami, Restauracja Przystań i Marina, Restauracja Orbita, Złotnickie Centrum Spotkań oraz Restauracja Inndygo. Podsumowując, w okresie od 1 maja do 31 grudnia 2020 r. wskazane restauracje i punkty gastronomiczne wydały wspólnie blisko 1400 ciepłych posiłków, które trafiają do 30 seniorów, regularnie dwa razy w tygodniu.  Oczekujących na wsparcie w postaci ciepłych posiłków jest nadal  ok. 50 najstarszych mieszkańców Wrocławia.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Przestrzeń Trzeciego Wieku - (pl. Solidarności 1/3/5)  </w:t>
      </w:r>
    </w:p>
    <w:p w:rsidR="00CA14AB" w:rsidRPr="00E00B35" w:rsidRDefault="00CA14AB" w:rsidP="00E00B35">
      <w:pPr>
        <w:spacing w:after="0" w:line="312" w:lineRule="auto"/>
        <w:rPr>
          <w:szCs w:val="20"/>
        </w:rPr>
      </w:pPr>
      <w:r w:rsidRPr="00E00B35">
        <w:rPr>
          <w:szCs w:val="20"/>
        </w:rPr>
        <w:t xml:space="preserve">To miejsce, w którym seniorzy mogli spędzić czas podczas m.in. warsztatów, spotkań i wykładów. W „Przestrzeni Trzeciego Wieku” (PTW) odbywały się m.in. prelekcje, spotkania, wykłady, wystawy, zajęcia sportowo-rekreacyjne, konferencje, konsultacje, wieczorki swingowe skierowane do osób starszych, oraz spotkania zaprzyjaźnionych grup senioralnych. W harmonogramie wydarzeń nie brakowało działań z zakresu edukacji, zdrowia, kultury, sportu i rekreacji. Spotkania prowadzili edukatorzy, animatorzy, artyści, eksperci, nauczyciele akademiccy, doradcy, konsultanci, a także sami seniorzy, którzy chętnie dzielili się swoimi zainteresowaniami, pasjami i wiedzą. Od stycznia do marca </w:t>
      </w:r>
      <w:r w:rsidRPr="00E00B35">
        <w:rPr>
          <w:szCs w:val="20"/>
        </w:rPr>
        <w:lastRenderedPageBreak/>
        <w:t>2020 w PTW – WCRS zorganizowano 50 zajęć różnego rodzaju. W związku z sytuacja epidemiologiczną i wystąpieniem pandemii działania zostały przeniesione do rzeczywistości wirtualnej. W przestrzeni w 2020 roku odbyło się 285 spotkań (135 spotkań online, 150 spotkań stacjonarnie).  W organizowanych przez PTW zajęciach udział brało 11054 uczestników.</w:t>
      </w:r>
    </w:p>
    <w:p w:rsidR="00CA14AB" w:rsidRPr="00E00B35" w:rsidRDefault="00CA14AB" w:rsidP="00E00B35">
      <w:pPr>
        <w:spacing w:after="0" w:line="312" w:lineRule="auto"/>
        <w:rPr>
          <w:rFonts w:eastAsia="Verdana"/>
          <w:szCs w:val="20"/>
        </w:rPr>
      </w:pPr>
      <w:r w:rsidRPr="00E00B35">
        <w:rPr>
          <w:szCs w:val="20"/>
        </w:rPr>
        <w:t>Na realizację zadań skierowanych dla wrocławskich seniorów WCRS-Wrocławskie Centrum Seniora w 2020 roku wydatkowało kwotę 1 393 712,80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UNIWERSYTETY TRZECIEGO WIEKU</w:t>
      </w:r>
    </w:p>
    <w:p w:rsidR="00CA14AB" w:rsidRPr="00E00B35" w:rsidRDefault="00CA14AB" w:rsidP="00E00B35">
      <w:pPr>
        <w:spacing w:after="0" w:line="312" w:lineRule="auto"/>
        <w:rPr>
          <w:rFonts w:eastAsia="Verdana"/>
          <w:szCs w:val="20"/>
        </w:rPr>
      </w:pPr>
      <w:r w:rsidRPr="00E00B35">
        <w:rPr>
          <w:rFonts w:eastAsia="Verdana"/>
          <w:szCs w:val="20"/>
        </w:rPr>
        <w:t>Z z powodu pandemii SARS CoV-2 tylko dwie z pośród dofinansowanych w ostatnich latach pięciu wrocławskich uczelni wyższych zdecydowały się na podpisanie umów na prowadzenie Uniwersytetów Trzeciego Wieku z Gminą Wrocław. Zajęcia w formie zdalnej prowadzone były przez Uniwersytet Przyrodniczy i Uniwersytet Medyczny im. Piastów Śląskich. Słuchacze mogli wziąć udział w wykładach, warsztatach, zajęciach językowych, zajęciach sportowych, które prowadzone były na platformach internetowych. Realizacja zadania przyczyniła się do przeciwdziałania poczuciu osamotnienia wśród osób starszych oraz podniosła umiejętności korzystania z nowych technologii w grupie wiekowej 60+. W zajęciach zaproponowanych przez uczelnie udział wzięło 174 uczestników. Zadanie dofinansowano kwotą 17 880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KLUBY SENIORA PROWADZONE PRZEZ WROCŁAWSKIE RADY OSIEDLA CHÓRY OSIEDLOWE </w:t>
      </w:r>
    </w:p>
    <w:p w:rsidR="00CA14AB" w:rsidRPr="00E00B35" w:rsidRDefault="00CA14AB" w:rsidP="00E00B35">
      <w:pPr>
        <w:spacing w:after="0" w:line="312" w:lineRule="auto"/>
        <w:rPr>
          <w:szCs w:val="20"/>
        </w:rPr>
      </w:pPr>
      <w:r w:rsidRPr="00E00B35">
        <w:rPr>
          <w:szCs w:val="20"/>
        </w:rPr>
        <w:t xml:space="preserve">Osiedlowe kluby seniora od lat prowadzą liczne zajęcia między innymi lektoraty języków obcych, techniki ćwiczenia pamięci i koncentracji, zajęcia z obsługi komputera i internetu. Ważną część spotkań obejmuje edukacja prozdrowotna, w tym spotkania z psychologami, dietetykami, lekarzami różnych specjalności, wiele klubów oferuje również gimnastykę i ćwiczenia rehabilitacyjne. </w:t>
      </w:r>
    </w:p>
    <w:p w:rsidR="00CA14AB" w:rsidRPr="00E00B35" w:rsidRDefault="00CA14AB" w:rsidP="00E00B35">
      <w:pPr>
        <w:spacing w:after="0" w:line="312" w:lineRule="auto"/>
        <w:rPr>
          <w:szCs w:val="20"/>
        </w:rPr>
      </w:pPr>
      <w:r w:rsidRPr="00E00B35">
        <w:rPr>
          <w:szCs w:val="20"/>
        </w:rPr>
        <w:t>Chóry Osiedlowe stają się alternatywą spędzania czasu wolnego, integracji międzypokoleniowej, przyczyniały się do wzrostu ogólnej wrażliwości na sztukę.</w:t>
      </w:r>
    </w:p>
    <w:p w:rsidR="00CA14AB" w:rsidRPr="00E00B35" w:rsidRDefault="00CA14AB" w:rsidP="00E00B35">
      <w:pPr>
        <w:spacing w:after="0" w:line="312" w:lineRule="auto"/>
        <w:rPr>
          <w:szCs w:val="20"/>
        </w:rPr>
      </w:pPr>
      <w:r w:rsidRPr="00E00B35">
        <w:rPr>
          <w:szCs w:val="20"/>
        </w:rPr>
        <w:t>W roku 2020 roku przyznano środki na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 xml:space="preserve">40 klubów seniora na kwotę 440.120 zł. </w:t>
      </w:r>
    </w:p>
    <w:p w:rsidR="00CA14AB" w:rsidRPr="00E00B35" w:rsidRDefault="00CA14AB" w:rsidP="00BC64AB">
      <w:pPr>
        <w:pStyle w:val="Akapitzlist"/>
        <w:numPr>
          <w:ilvl w:val="0"/>
          <w:numId w:val="158"/>
        </w:numPr>
        <w:spacing w:after="0" w:line="312" w:lineRule="auto"/>
        <w:ind w:left="426" w:hanging="426"/>
        <w:rPr>
          <w:szCs w:val="20"/>
        </w:rPr>
      </w:pPr>
      <w:r w:rsidRPr="00E00B35">
        <w:rPr>
          <w:szCs w:val="20"/>
        </w:rPr>
        <w:t>22 chóry osiedlowe na kwotę 126.000 zł (w tym 8.500 zł na Wrocławski Festiwal Chórów Osiedlowych)</w:t>
      </w:r>
    </w:p>
    <w:p w:rsidR="00CA14AB" w:rsidRPr="00E00B35" w:rsidRDefault="00CA14AB" w:rsidP="00E00B35">
      <w:pPr>
        <w:spacing w:after="0" w:line="312" w:lineRule="auto"/>
        <w:rPr>
          <w:szCs w:val="20"/>
        </w:rPr>
      </w:pPr>
      <w:r w:rsidRPr="00E00B35">
        <w:rPr>
          <w:szCs w:val="20"/>
        </w:rPr>
        <w:t>Ze względu na pandemię COVID-19 zajęcia planowane w ramach tych zadań społecznych zostały od miesiąca marca znacznie ograniczone, w miarę możliwości organizowane były zajęcia online.  W 2019 działały 42 Kluby Seniora przy Radach Osiedla oraz 25 chórów Osiedlowych, w 2018 roku dofinasowano 36 Klubów Seniora i 20 Chórów a w 2017 30 klubów i 18 chórów.</w:t>
      </w:r>
    </w:p>
    <w:p w:rsidR="00CA14AB" w:rsidRPr="00E00B35" w:rsidRDefault="00CA14AB" w:rsidP="00E00B35">
      <w:pPr>
        <w:spacing w:after="0" w:line="312" w:lineRule="auto"/>
        <w:rPr>
          <w:szCs w:val="20"/>
        </w:rPr>
      </w:pPr>
      <w:r w:rsidRPr="00E00B35">
        <w:rPr>
          <w:szCs w:val="20"/>
        </w:rPr>
        <w:t>Zadania realizowane we współpracy z organizacjami pozarządowymi:</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DZIAŁALNOŚĆ KLUBÓW SENIORA PROWADZONYCH PRZEZ ORGANIZACJE POZARZĄDOWE </w:t>
      </w:r>
    </w:p>
    <w:p w:rsidR="00CA14AB" w:rsidRPr="00E00B35" w:rsidRDefault="00CA14AB" w:rsidP="00E00B35">
      <w:pPr>
        <w:spacing w:after="0" w:line="312" w:lineRule="auto"/>
        <w:rPr>
          <w:rFonts w:eastAsia="Verdana"/>
          <w:szCs w:val="20"/>
        </w:rPr>
      </w:pPr>
      <w:r w:rsidRPr="00E00B35">
        <w:rPr>
          <w:rFonts w:eastAsia="Verdana"/>
          <w:szCs w:val="20"/>
        </w:rPr>
        <w:t>Celem zadania było propagowanie zdrowego stylu życia, zagospodarowanie czasu wolnego, przeciwdziałanie poczuciu bezradności i osamotnienia oraz aktywizacja środowisk senioralnych. W ramach realizacji zadania poprzez działalność lokalnych Klubów Seniora przeprowadzono działania z zakresu edukacji zdrowotnej oraz promocji aktywnego stylu życia, s</w:t>
      </w:r>
      <w:r w:rsidRPr="00E00B35">
        <w:rPr>
          <w:szCs w:val="20"/>
        </w:rPr>
        <w:t xml:space="preserve">tymulujące potrzeby poznawcze i umożliwiające nabywanie nowych umiejętności ułatwiających funkcjonowanie we współczesnym świecie, </w:t>
      </w:r>
      <w:r w:rsidRPr="00E00B35">
        <w:rPr>
          <w:rFonts w:eastAsia="Verdana"/>
          <w:szCs w:val="20"/>
        </w:rPr>
        <w:t xml:space="preserve">działania wspierające udział seniorów w życiu kulturalnym, działania integracyjne oraz działania promujące rozwój wolontariatu towarzyszącego seniorom. W okresie pandemii wiele z klubów seniora prowadziło zajęcia w formie zdalnej, inne zawiesiły działalność warsztatową pozostają w dyspozycji potrzebującym seniorom, wspierając ich rozmowami telefonicznymi, wsparciem w załatwianiu codziennych spraw, wskazując. Te, którym nie udało się uruchomić zajęć online, prowadziły wsparcie dla zrzeszonych w nich seniorów. W 2020 roku dofinansowano 33 organizacje. Na realizację zadania przeznaczono kwotę 719 990 zł. W 2019 dofinasowano 33 kluby, w 2018 roku 23 kluby a w 2017 roku </w:t>
      </w:r>
      <w:r w:rsidRPr="00E00B35">
        <w:rPr>
          <w:rFonts w:eastAsia="Verdana"/>
          <w:szCs w:val="20"/>
        </w:rPr>
        <w:br/>
        <w:t>25 klubów seniora.</w:t>
      </w:r>
    </w:p>
    <w:p w:rsidR="005E6C69" w:rsidRPr="00E00B35" w:rsidRDefault="005E6C69" w:rsidP="00E00B35">
      <w:pPr>
        <w:pStyle w:val="Nagwek5"/>
        <w:rPr>
          <w:szCs w:val="20"/>
        </w:rPr>
      </w:pPr>
    </w:p>
    <w:p w:rsidR="00CA14AB" w:rsidRPr="00E00B35" w:rsidRDefault="00573162" w:rsidP="00E00B35">
      <w:pPr>
        <w:pStyle w:val="Nagwek5"/>
        <w:rPr>
          <w:szCs w:val="20"/>
        </w:rPr>
      </w:pPr>
      <w:hyperlink r:id="rId96" w:history="1">
        <w:r w:rsidR="00CA14AB" w:rsidRPr="00E00B35">
          <w:rPr>
            <w:szCs w:val="20"/>
          </w:rPr>
          <w:t>POPRAWA JAKOŚCI ŻYCIA WROCŁAWSKICH SENIORÓW POPRZEZ ROZWÓJ PRZYJAZNYCH IM USŁUG TRANSPORTOWYCH</w:t>
        </w:r>
      </w:hyperlink>
      <w:r w:rsidR="0037108F" w:rsidRPr="00E00B35">
        <w:rPr>
          <w:szCs w:val="20"/>
        </w:rPr>
        <w:t xml:space="preserve"> </w:t>
      </w:r>
      <w:r w:rsidR="00CA14AB" w:rsidRPr="00E00B35">
        <w:rPr>
          <w:szCs w:val="20"/>
        </w:rPr>
        <w:t xml:space="preserve">- TAXI 75+ </w:t>
      </w:r>
    </w:p>
    <w:p w:rsidR="00CA14AB" w:rsidRPr="00E00B35" w:rsidRDefault="00CA14AB" w:rsidP="00E00B35">
      <w:pPr>
        <w:spacing w:after="0" w:line="312" w:lineRule="auto"/>
        <w:rPr>
          <w:szCs w:val="20"/>
        </w:rPr>
      </w:pPr>
      <w:r w:rsidRPr="00E00B35">
        <w:rPr>
          <w:szCs w:val="20"/>
        </w:rPr>
        <w:t xml:space="preserve">Celem zadania była poprawa jakości życia wrocławskich seniorów poprzez ułatwienie dostępu do m. in. urzędów państwowych, samorządowych oraz specjalistycznych placówek medycznych za pomocą bezpłatnych usług transportowych. Program skierowano do mieszkańców Wrocławia, którzy ukończyli 75 rok życia. W ramach zadania utworzono infolinię telefoniczną, do kontaktu z beneficjentami zadania oraz utworzono punkt rejestracji uczestników. Zarejestrowany uczestnik mógł w miesiącu skorzystać z czterech darmowych przejazdów taksówkami. W okresie sprawozdawczym do programu zapisało się 1586 osób, zrealizowano 13 063 przejazdów. </w:t>
      </w:r>
      <w:r w:rsidRPr="00E00B35">
        <w:rPr>
          <w:rFonts w:eastAsia="Arial Unicode MS"/>
          <w:szCs w:val="20"/>
        </w:rPr>
        <w:t xml:space="preserve">Na realizację zadania przeznaczono kwotę 480 000 zł. W 2019 roku do programu zapisało się </w:t>
      </w:r>
      <w:r w:rsidRPr="00E00B35">
        <w:rPr>
          <w:szCs w:val="20"/>
        </w:rPr>
        <w:t xml:space="preserve">6265 osób, zrealizowano </w:t>
      </w:r>
      <w:r w:rsidRPr="00E00B35">
        <w:rPr>
          <w:rFonts w:eastAsia="Verdana"/>
          <w:szCs w:val="20"/>
        </w:rPr>
        <w:t xml:space="preserve">15 863 </w:t>
      </w:r>
      <w:r w:rsidRPr="00E00B35">
        <w:rPr>
          <w:szCs w:val="20"/>
        </w:rPr>
        <w:t xml:space="preserve"> przejazdów.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WROCŁAWSKI NIEZBĘDNIK SENIORALNY</w:t>
      </w:r>
    </w:p>
    <w:p w:rsidR="00CA14AB" w:rsidRPr="00E00B35" w:rsidRDefault="00CA14AB" w:rsidP="00E00B35">
      <w:pPr>
        <w:spacing w:after="0" w:line="312" w:lineRule="auto"/>
        <w:rPr>
          <w:szCs w:val="20"/>
        </w:rPr>
      </w:pPr>
      <w:r w:rsidRPr="00E00B35">
        <w:rPr>
          <w:szCs w:val="20"/>
        </w:rPr>
        <w:t>Celem realizowanego zadania jest wspieranie poczucia tożsamości lokalnej wśród seniorów oraz zaproszenie do aktywności na terenie miata. W 2020 roku zadanie objęte konkursem polegało na  rozpoczęciu prac przygotowawczych tj. m.in. przygotowaniu prototypu Wrocławskiego Niezbędnika Senioralnego oraz dokonania zakupu materiałów niezbędnych do przygotowania zestawów, które wydawane będą mieszkańcom Wrocławia w wieku emerytalnym. Kwota wydatkowana na zadanie to 689 670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PROMOCJA AKTYWNOŚCI FIZYCZNEJ WŚRÓD WROCŁAWIAN ORAZ WSPARCIE WROCŁAWSKICH SPORTOWCÓW W WIEKU 35+ </w:t>
      </w:r>
    </w:p>
    <w:p w:rsidR="00CA14AB" w:rsidRPr="00E00B35" w:rsidRDefault="00CA14AB" w:rsidP="00E00B35">
      <w:pPr>
        <w:spacing w:after="0" w:line="312" w:lineRule="auto"/>
        <w:rPr>
          <w:szCs w:val="20"/>
        </w:rPr>
      </w:pPr>
      <w:r w:rsidRPr="00E00B35">
        <w:rPr>
          <w:szCs w:val="20"/>
        </w:rPr>
        <w:t xml:space="preserve">Celem realizacji zadania było wspieranie wrocławskich zawodników w wieku 35+, którzy zakończyli karierę sportową i reprezentują Wrocław w zawodach w Polsce i na świecie oraz promocja aktywności fizycznej wśród wrocławian i wspieranie rekreacyjnego uprawiania sportu osób w wieku 50+. W 2020 roku zadanie realizowały dwie organizacje pozarządowe. </w:t>
      </w:r>
      <w:r w:rsidRPr="00E00B35">
        <w:rPr>
          <w:rFonts w:eastAsia="Verdana"/>
          <w:szCs w:val="20"/>
        </w:rPr>
        <w:t xml:space="preserve">Cześć zawodów rangi Masters została zrealizowana,  dzięki temu Miasto Wrocław w różnych dyscyplinach sportowych reprezentowało 200 osób, zdobywając 45 medali. Zgodnie z planem została przygotowana i przeprowadzona ankieta dotycząca aktywności sportowych wśród wrocławskich klubów seniora.  W okresie pandemii wprowadzono również zdalne treningi dla piłkarzy oldbojów. Od maja przywrócono tradycyjną formę treningów i rozgrywek piłkarskich, w zadaniu wzięło udział 40 osób. </w:t>
      </w:r>
      <w:r w:rsidRPr="00E00B35">
        <w:rPr>
          <w:szCs w:val="20"/>
        </w:rPr>
        <w:t>Oldboye 35+ rozegrali 8 meczów ligowych, wzięli udział w 84 godzinach treningów. Oldboye 45+ rozegrali 9 meczów ligowych i   wzięli udział w 75 godzinach treningów. Zadanie dofinansowano kwotą 220 000 zł.</w:t>
      </w:r>
    </w:p>
    <w:p w:rsidR="00CA14AB" w:rsidRPr="00E00B35" w:rsidRDefault="00CA14AB" w:rsidP="00E00B35">
      <w:pPr>
        <w:spacing w:after="0" w:line="312" w:lineRule="auto"/>
        <w:rPr>
          <w:szCs w:val="20"/>
        </w:rPr>
      </w:pPr>
      <w:r w:rsidRPr="00E00B35">
        <w:rPr>
          <w:szCs w:val="20"/>
        </w:rPr>
        <w:t xml:space="preserve">W 2020 roku organizacje pozarządowe przeprowadziły dla seniorów szereg działań – szkoleń, warsztatów, wycieczek, sportowych zajęć usprawniających dofinansowanych </w:t>
      </w:r>
      <w:r w:rsidRPr="00E00B35">
        <w:rPr>
          <w:szCs w:val="20"/>
        </w:rPr>
        <w:br/>
        <w:t xml:space="preserve">w trybie 19 a ustawy z dnia 24 kwietnia 2003 r. o działalności pożytku publicznego </w:t>
      </w:r>
      <w:r w:rsidRPr="00E00B35">
        <w:rPr>
          <w:szCs w:val="20"/>
        </w:rPr>
        <w:br/>
        <w:t>i o wolontariacie. W ramach tego wsparcia zrealizowano 14 projektów (w 2019 dofinasowano 19 projektów):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AKADEMIA CYFROWEGO SENIORA</w:t>
      </w:r>
    </w:p>
    <w:p w:rsidR="00CA14AB" w:rsidRPr="00E00B35" w:rsidRDefault="00CA14AB" w:rsidP="00E00B35">
      <w:pPr>
        <w:spacing w:after="0" w:line="312" w:lineRule="auto"/>
        <w:rPr>
          <w:szCs w:val="20"/>
        </w:rPr>
      </w:pPr>
      <w:r w:rsidRPr="00E00B35">
        <w:rPr>
          <w:szCs w:val="20"/>
        </w:rPr>
        <w:t>Organizacja cyklu 4 zajęć dla grupy 20 seniorów z Wrocławia związanych z tematyką e-komunikacji oraz e-dostępności usług publicznych oraz bezpieczeństwa korzystania z tych usług przy użyciu komputera/tabletu wraz z informacjami na temat praw przysługujących użytkownikom e-usług. Zadanie dofinansowano kwotą 10 000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SENIOR TURYSTA CIĄGLE POZNAJE OJCZYZNĘ. "STAROŚĆ JEST WIEŻĄ </w:t>
      </w:r>
      <w:r w:rsidRPr="00E00B35">
        <w:rPr>
          <w:szCs w:val="20"/>
        </w:rPr>
        <w:br/>
        <w:t xml:space="preserve">Z ROZLEGŁYM WIDOKIEM NA OKOLICE" HANS KASPER </w:t>
      </w:r>
    </w:p>
    <w:p w:rsidR="00CA14AB" w:rsidRPr="00E00B35" w:rsidRDefault="00CA14AB" w:rsidP="00E00B35">
      <w:pPr>
        <w:spacing w:after="0" w:line="312" w:lineRule="auto"/>
        <w:rPr>
          <w:szCs w:val="20"/>
        </w:rPr>
      </w:pPr>
      <w:r w:rsidRPr="00E00B35">
        <w:rPr>
          <w:szCs w:val="20"/>
        </w:rPr>
        <w:t xml:space="preserve">Realizacja wyjazdu rekreacyjno-edukacyjnego niespełna 50 seniorów, którego celem było aktywne spędzenie czasu, pogłębienie integracji wewnątrzpokoleniowej, budowanie więzi koleżeńskich i przyjaźni między mieszkańcami różnych osiedli Wrocławia. Zadanie dofinansowano kwotą 10 000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WYJAZD SENIORÓW NA PODHALE</w:t>
      </w:r>
    </w:p>
    <w:p w:rsidR="00CA14AB" w:rsidRPr="00E00B35" w:rsidRDefault="00CA14AB" w:rsidP="00E00B35">
      <w:pPr>
        <w:spacing w:after="0" w:line="312" w:lineRule="auto"/>
        <w:rPr>
          <w:szCs w:val="20"/>
        </w:rPr>
      </w:pPr>
      <w:r w:rsidRPr="00E00B35">
        <w:rPr>
          <w:szCs w:val="20"/>
        </w:rPr>
        <w:t xml:space="preserve">Realizacja wyjazdu rekreacyjno-edukacyjnego dla 55 seniorów. Zadanie dofinansowano kwotą 6 000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ESPERANCKA JESIEŃ 2020 - PRZYRODA I HISTORIA</w:t>
      </w:r>
    </w:p>
    <w:p w:rsidR="00CA14AB" w:rsidRPr="00E00B35" w:rsidRDefault="00CA14AB" w:rsidP="00E00B35">
      <w:pPr>
        <w:spacing w:after="0" w:line="312" w:lineRule="auto"/>
        <w:rPr>
          <w:szCs w:val="20"/>
        </w:rPr>
      </w:pPr>
      <w:r w:rsidRPr="00E00B35">
        <w:rPr>
          <w:szCs w:val="20"/>
        </w:rPr>
        <w:t xml:space="preserve">Projekt turystyczno-edukacyjny, polegający na organizacji i przeprowadzeniu wycieczek turystyczno-krajoznawczych po Dolnym Śląsku dla 25 osób. Wycieczki połączone były z aktywnością z wykorzystaniem kijki do Nordic Walkingu, a ich uczestnicy mieli okazję </w:t>
      </w:r>
      <w:r w:rsidRPr="00E00B35">
        <w:rPr>
          <w:szCs w:val="20"/>
        </w:rPr>
        <w:lastRenderedPageBreak/>
        <w:t>zapoznać się ze słownictwem i zwrotami w języku Esperanto. Zadanie dofinansowano kwotą 6 000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"KWIATOWE LOVE" - PRZYGODA Z FLORYSTYKĄ</w:t>
      </w:r>
    </w:p>
    <w:p w:rsidR="00CA14AB" w:rsidRPr="00E00B35" w:rsidRDefault="00CA14AB" w:rsidP="00E00B35">
      <w:pPr>
        <w:spacing w:after="0" w:line="312" w:lineRule="auto"/>
        <w:rPr>
          <w:szCs w:val="20"/>
        </w:rPr>
      </w:pPr>
      <w:r w:rsidRPr="00E00B35">
        <w:rPr>
          <w:szCs w:val="20"/>
        </w:rPr>
        <w:t xml:space="preserve">Organizacja 10 warsztatów  dla seniorów zainteresowanych florystką. Soje pasje florystyczne i umiejętności rozwinęło ponad 100 wrocławian i wrocławianek.  Zadanie dofinansowano kwotą 10 000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JUBILEUSZ 65-LECIA OPERETKI WE WROCŁAWIU</w:t>
      </w:r>
    </w:p>
    <w:p w:rsidR="00CA14AB" w:rsidRPr="00E00B35" w:rsidRDefault="00CA14AB" w:rsidP="00E00B35">
      <w:pPr>
        <w:spacing w:after="0" w:line="312" w:lineRule="auto"/>
        <w:rPr>
          <w:szCs w:val="20"/>
        </w:rPr>
      </w:pPr>
      <w:r w:rsidRPr="00E00B35">
        <w:rPr>
          <w:szCs w:val="20"/>
        </w:rPr>
        <w:t xml:space="preserve">Głównym założeniem wydarzenia było zaprezentowanie najważniejszych dzieł operetkowych polskich, węgierskich, niemieckich, francuskich i wiedeńskich twórców tego gatunku muzycznego, ukazanie przekroju utworów, które powstały w największym operetkowym rozkwicie, tj. na przełomie XIX i XX w. Wydarzenie to wpisywało się w obchody Wrocławskich Dni Seniora. Beneficjentami wydarzenia zostało 290 osób. Zadanie dofinansowano kwotą 10 000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DZIAŁANIA NA RZECZ WSPIERANIA AKTYWNOŚCI RUCHOWEJ U OSÓB STARSZYCH Z OSIEDLA NADODRZE I OKOLIC</w:t>
      </w:r>
    </w:p>
    <w:p w:rsidR="00CA14AB" w:rsidRPr="00E00B35" w:rsidRDefault="00CA14AB" w:rsidP="00E00B35">
      <w:pPr>
        <w:spacing w:after="0" w:line="312" w:lineRule="auto"/>
        <w:rPr>
          <w:szCs w:val="20"/>
        </w:rPr>
      </w:pPr>
      <w:r w:rsidRPr="00E00B35">
        <w:rPr>
          <w:szCs w:val="20"/>
        </w:rPr>
        <w:t>W związku z okresem izolacji, do którego zmuszeni byli seniorzy w okresie pandemii, osłabieniu uległa motoryka ich ciała i ogólna sprawność fizyczna. Projekt dał seniorom możliwość skorzystania z propozycji zajęć ruchowych pod okiem wykwalifikowanego fizjoterapeuty. Z zajęć skorzystało 30 osób. Zadanie dofinansowano kwotą 7800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INTEGRACJA MIĘDZYPOKOLENIOWA WROCŁAWSKIEGO ŚRODOWISKA PŁYWACKIEGO PODCZAS ZAWODÓW PŁYWACKICH XXXI MEMORIAŁ MARKA PETRUSEWICZA W 2020 R.</w:t>
      </w:r>
    </w:p>
    <w:p w:rsidR="00CA14AB" w:rsidRPr="00E00B35" w:rsidRDefault="00CA14AB" w:rsidP="00E00B35">
      <w:pPr>
        <w:spacing w:after="0" w:line="312" w:lineRule="auto"/>
        <w:rPr>
          <w:szCs w:val="20"/>
        </w:rPr>
      </w:pPr>
      <w:r w:rsidRPr="00E00B35">
        <w:rPr>
          <w:szCs w:val="20"/>
        </w:rPr>
        <w:t>Zadanie obejmowało organizację spotkania byłych pływaków wrocławskich klubów sportowych (wśród nich m.in.: Antoni Tołkaczewski (ur. 1934 wielokrotny mistrz i rekordzista Polski, uczestnik IO Helsinki 1952),  Józef Lewicki (ur. 1933 uczestnik IO Helsinki 1952), Ryszard Połomski (ur. 1932 wielokrotny mistrz i wicemistrz Polski, kolega klubowy Marka Petrusewicza), Magdalena Lubieniecka – Maksymowicz (ur. 1933), Maria Ronczewska – Jarosz) podczas Zawodów Pływackich XXXI Memoriał Marka Petrusewicza. W zawodach wzięło udział 15 seniorów. W całym przedsięwzięciu wzięło udział 700 osób. Zadanie dofinansowano kwotą 10 000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ZUMBA DLA SENIORÓW NA OBIEKCIE WKK SPORT CENTER </w:t>
      </w:r>
    </w:p>
    <w:p w:rsidR="00CA14AB" w:rsidRPr="00E00B35" w:rsidRDefault="00CA14AB" w:rsidP="00E00B35">
      <w:pPr>
        <w:spacing w:after="0" w:line="312" w:lineRule="auto"/>
        <w:rPr>
          <w:szCs w:val="20"/>
        </w:rPr>
      </w:pPr>
      <w:r w:rsidRPr="00E00B35">
        <w:rPr>
          <w:szCs w:val="20"/>
        </w:rPr>
        <w:t>Głównym celem zajęć była aktywizacja seniorów -  szczególnie tych, którzy mieli przerwę w aktywności fizycznej spowodowanej pandemią. Zadaniem zostali objęci mieszkańcy z osiedli Kowale, Zalecie, Zacisze, Swojczyce, Wojnów w liczbie 40 osób.  Zadanie dofinansowano kwotą 10 000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WĘDRUJĄC PO WROCŁAWIU </w:t>
      </w:r>
    </w:p>
    <w:p w:rsidR="00CA14AB" w:rsidRPr="00E00B35" w:rsidRDefault="00CA14AB" w:rsidP="00E00B35">
      <w:pPr>
        <w:spacing w:after="0" w:line="312" w:lineRule="auto"/>
        <w:rPr>
          <w:szCs w:val="20"/>
        </w:rPr>
      </w:pPr>
      <w:r w:rsidRPr="00E00B35">
        <w:rPr>
          <w:szCs w:val="20"/>
        </w:rPr>
        <w:t xml:space="preserve">Celem realizacji zadania było stworzenie przewodnika po Wrocławiu i jego zabytkach dla seniorów, uwzględniającego możliwości osób starszych. Przewodnik został przygotowany dwujęzycznie, w języku polskim </w:t>
      </w:r>
      <w:r w:rsidRPr="00E00B35">
        <w:rPr>
          <w:szCs w:val="20"/>
        </w:rPr>
        <w:br/>
        <w:t xml:space="preserve">i w języku esperanto. Zadanie dofinansowano kwotą 6600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„ZDALNA MAGNOLIA"</w:t>
      </w:r>
    </w:p>
    <w:p w:rsidR="00CA14AB" w:rsidRPr="00E00B35" w:rsidRDefault="00CA14AB" w:rsidP="00E00B35">
      <w:pPr>
        <w:spacing w:after="0" w:line="312" w:lineRule="auto"/>
        <w:rPr>
          <w:szCs w:val="20"/>
        </w:rPr>
      </w:pPr>
      <w:r w:rsidRPr="00E00B35">
        <w:rPr>
          <w:szCs w:val="20"/>
        </w:rPr>
        <w:t xml:space="preserve">Celem projektu było przygotowanie strony internetowej </w:t>
      </w:r>
      <w:r w:rsidRPr="00E00B35">
        <w:rPr>
          <w:szCs w:val="20"/>
        </w:rPr>
        <w:br/>
        <w:t xml:space="preserve">i przeprowadzenie serii szkoleń uczących nestorów korzystania ze zdalnych zajęć Klubu Seniora "Magnolia". Wykorzystując panującą sytuację epidemiologiczną organizatorzy nauczyli seniorów korzystania ze źródeł elektronicznych oraz poruszania się </w:t>
      </w:r>
      <w:r w:rsidRPr="00E00B35">
        <w:rPr>
          <w:szCs w:val="20"/>
        </w:rPr>
        <w:br/>
        <w:t xml:space="preserve">w platformach szkoleniowych. Zadanie dofinansowano kwotą 10 000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KAWIARENKA ESPERO ONLINE </w:t>
      </w:r>
    </w:p>
    <w:p w:rsidR="00CA14AB" w:rsidRPr="00E00B35" w:rsidRDefault="00CA14AB" w:rsidP="00E00B35">
      <w:pPr>
        <w:spacing w:after="0" w:line="312" w:lineRule="auto"/>
        <w:rPr>
          <w:szCs w:val="20"/>
        </w:rPr>
      </w:pPr>
      <w:r w:rsidRPr="00E00B35">
        <w:rPr>
          <w:szCs w:val="20"/>
        </w:rPr>
        <w:t xml:space="preserve">Celem realizacji zadania, było stworzenie przestrzeni przyjaznej spotkaniom seniorów w czasie pandemii koronawirusa. Korzystający  z Kawiarenki Espero mogli uczestniczyć w warsztatach praktycznych </w:t>
      </w:r>
      <w:r w:rsidRPr="00E00B35">
        <w:rPr>
          <w:szCs w:val="20"/>
        </w:rPr>
        <w:br/>
        <w:t>i prelekcjach online. W zajęciach on-line każdorazowo brało udział 8-12 osób, odbyło się 6 3 godzinnych spotkań.</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"KALENDARZ NADODRZAŃSKI"</w:t>
      </w:r>
    </w:p>
    <w:p w:rsidR="00CA14AB" w:rsidRPr="00E00B35" w:rsidRDefault="00CA14AB" w:rsidP="00E00B35">
      <w:pPr>
        <w:spacing w:after="0" w:line="312" w:lineRule="auto"/>
        <w:rPr>
          <w:szCs w:val="20"/>
        </w:rPr>
      </w:pPr>
      <w:r w:rsidRPr="00E00B35">
        <w:rPr>
          <w:szCs w:val="20"/>
        </w:rPr>
        <w:t xml:space="preserve">Celem realizacji zadania było wydanie kalendarza, którego bohaterkami zostały Aktywne Seniorki z wrocławskiego Nadodrza. Kalendarz został rozkolportowany wśród partnerów i sympatyków stowarzyszenia, mieszkańców Wrocławia. Zadanie dofinansowano kwotą 10 000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SUTASZ ON-LINE - ARYSTYCZNE WARSZTATY Z PODSTAW TECHNIKI SUTASZU</w:t>
      </w:r>
    </w:p>
    <w:p w:rsidR="00CA14AB" w:rsidRPr="00E00B35" w:rsidRDefault="00CA14AB" w:rsidP="00E00B35">
      <w:pPr>
        <w:spacing w:after="0" w:line="312" w:lineRule="auto"/>
        <w:rPr>
          <w:szCs w:val="20"/>
        </w:rPr>
      </w:pPr>
      <w:r w:rsidRPr="00E00B35">
        <w:rPr>
          <w:szCs w:val="20"/>
        </w:rPr>
        <w:t>Celem zajęć było pobudzanie kreatywności i pasji art. wśród uczestników biorących udział w projekcie. Zajęcia cieszyły się bardzo dużym powodzeniem. W ramach kursu przeprowadzono 36 godzin dla 42 osób. Zadanie dofinansowano kwotą 10 000 zł.</w:t>
      </w:r>
    </w:p>
    <w:p w:rsidR="005E6C69" w:rsidRPr="00E00B35" w:rsidRDefault="005E6C69" w:rsidP="00E00B35">
      <w:pPr>
        <w:pStyle w:val="Nagwek5"/>
        <w:rPr>
          <w:szCs w:val="20"/>
        </w:rPr>
      </w:pPr>
      <w:bookmarkStart w:id="199" w:name="_Toc72352346"/>
      <w:bookmarkStart w:id="200" w:name="_Toc72352780"/>
    </w:p>
    <w:p w:rsidR="00CA14AB" w:rsidRPr="00E00B35" w:rsidRDefault="00CA14AB" w:rsidP="00E00B35">
      <w:pPr>
        <w:pStyle w:val="Nagwek5"/>
        <w:rPr>
          <w:szCs w:val="20"/>
        </w:rPr>
      </w:pPr>
      <w:r w:rsidRPr="00E00B35">
        <w:rPr>
          <w:szCs w:val="20"/>
        </w:rPr>
        <w:t>II WSPARCIE ŚRODOWISKA KOMBATANTÓW, OSÓB REPRESJONOWANYCH I WETERANÓW</w:t>
      </w:r>
      <w:bookmarkEnd w:id="199"/>
      <w:bookmarkEnd w:id="200"/>
    </w:p>
    <w:p w:rsidR="00CA14AB" w:rsidRPr="00E00B35" w:rsidRDefault="00CA14AB" w:rsidP="00E00B35">
      <w:pPr>
        <w:spacing w:after="0" w:line="312" w:lineRule="auto"/>
        <w:rPr>
          <w:szCs w:val="20"/>
        </w:rPr>
      </w:pPr>
      <w:r w:rsidRPr="00E00B35">
        <w:rPr>
          <w:szCs w:val="20"/>
        </w:rPr>
        <w:t xml:space="preserve">W ramach zadania wsparto organizację uroczystości Sybiraków w dniu 12.02.2020r. - sfinansowano ciepły poczęstunek i zabezpieczenie medyczne dla stu osób.  </w:t>
      </w:r>
    </w:p>
    <w:p w:rsidR="00CA14AB" w:rsidRPr="00E00B35" w:rsidRDefault="00CA14AB" w:rsidP="00E00B35">
      <w:pPr>
        <w:spacing w:after="0" w:line="312" w:lineRule="auto"/>
        <w:rPr>
          <w:szCs w:val="20"/>
        </w:rPr>
      </w:pPr>
      <w:r w:rsidRPr="00E00B35">
        <w:rPr>
          <w:szCs w:val="20"/>
        </w:rPr>
        <w:t xml:space="preserve">W okresie pandemii podjęto współpracę ze Stowarzyszeniem Odra-Niemen i Fundacją Wspólnotą Pokoleń w zakresie wsparcia kombatantów i osób represjonowanych pomocą objęto około 380 osób. </w:t>
      </w:r>
    </w:p>
    <w:p w:rsidR="00CA14AB" w:rsidRPr="00E00B35" w:rsidRDefault="00CA14AB" w:rsidP="00E00B35">
      <w:pPr>
        <w:spacing w:after="0" w:line="312" w:lineRule="auto"/>
        <w:rPr>
          <w:szCs w:val="20"/>
        </w:rPr>
      </w:pPr>
      <w:r w:rsidRPr="00E00B35">
        <w:rPr>
          <w:szCs w:val="20"/>
        </w:rPr>
        <w:t>W związku z pandemią Covid-19 nie odbyło się tradycyjne spotkanie opłatkowe Prezydenta Wrocławia z kombatantami i osobami represjonowanymi oraz obchody Dnia Weterana. W zamian przygotowano 450 sztuk świątecznych zestawów upominkowych </w:t>
      </w:r>
      <w:r w:rsidRPr="00E00B35">
        <w:rPr>
          <w:szCs w:val="20"/>
        </w:rPr>
        <w:br/>
        <w:t xml:space="preserve">w ramach wsparcia kombatantów, osób represjonowanych, weteranów misji pokojowych </w:t>
      </w:r>
      <w:r w:rsidRPr="00E00B35">
        <w:rPr>
          <w:szCs w:val="20"/>
        </w:rPr>
        <w:lastRenderedPageBreak/>
        <w:t>ONZ, inwalidów wojennych oraz wrocławskich środowisk lokalnych. Zestawy zostały dostarczone wraz z zestawami maseczek ochronnych do miejsc zamieszkania seniorów. </w:t>
      </w:r>
    </w:p>
    <w:p w:rsidR="00CA14AB" w:rsidRPr="00E00B35" w:rsidRDefault="00CA14AB" w:rsidP="00E00B35">
      <w:pPr>
        <w:spacing w:after="0" w:line="312" w:lineRule="auto"/>
        <w:rPr>
          <w:szCs w:val="20"/>
        </w:rPr>
      </w:pPr>
      <w:r w:rsidRPr="00E00B35">
        <w:rPr>
          <w:szCs w:val="20"/>
        </w:rPr>
        <w:t xml:space="preserve">Wspierano działania stowarzyszenia Dolnośląska Rodzina Katyńska, ze względu </w:t>
      </w:r>
      <w:r w:rsidRPr="00E00B35">
        <w:rPr>
          <w:szCs w:val="20"/>
        </w:rPr>
        <w:br/>
        <w:t>na zaawansowany wiek członków pomoc dotyczyła spraw urzędowych, informacyjnych, organizacji i udziału w spotkaniach i uroczystościach.</w:t>
      </w:r>
    </w:p>
    <w:p w:rsidR="00CA14AB" w:rsidRPr="00E00B35" w:rsidRDefault="00CA14AB" w:rsidP="00E00B35">
      <w:pPr>
        <w:spacing w:after="0" w:line="312" w:lineRule="auto"/>
        <w:rPr>
          <w:rFonts w:eastAsia="Verdana"/>
          <w:szCs w:val="20"/>
        </w:rPr>
      </w:pPr>
      <w:r w:rsidRPr="00E00B35">
        <w:rPr>
          <w:rFonts w:eastAsia="Verdana"/>
          <w:szCs w:val="20"/>
        </w:rPr>
        <w:t>Zadania dofinansowano kwotą 75 512,07 zł.</w:t>
      </w:r>
    </w:p>
    <w:p w:rsidR="00CA14AB" w:rsidRPr="00E00B35" w:rsidRDefault="00CA14AB" w:rsidP="00E00B35">
      <w:pPr>
        <w:spacing w:after="0" w:line="312" w:lineRule="auto"/>
        <w:rPr>
          <w:szCs w:val="20"/>
        </w:rPr>
      </w:pPr>
      <w:r w:rsidRPr="00E00B35">
        <w:rPr>
          <w:szCs w:val="20"/>
        </w:rPr>
        <w:t xml:space="preserve">Zadania realizowane w ramach współpracy z organizacjami pozarządowymi: </w:t>
      </w:r>
    </w:p>
    <w:p w:rsidR="0037108F" w:rsidRPr="00E00B35" w:rsidRDefault="00CA14AB" w:rsidP="00E00B35">
      <w:pPr>
        <w:spacing w:after="0" w:line="312" w:lineRule="auto"/>
        <w:rPr>
          <w:szCs w:val="20"/>
        </w:rPr>
      </w:pPr>
      <w:r w:rsidRPr="00E00B35">
        <w:rPr>
          <w:szCs w:val="20"/>
        </w:rPr>
        <w:t>UPAMIĘTNIANIE HISTORII WROCŁAWSKICH KOMBATANTÓW I OSÓB RE</w:t>
      </w:r>
      <w:r w:rsidR="0037108F" w:rsidRPr="00E00B35">
        <w:rPr>
          <w:szCs w:val="20"/>
        </w:rPr>
        <w:t xml:space="preserve">PRESJONOWANYCH 2020 </w:t>
      </w:r>
    </w:p>
    <w:p w:rsidR="00CA14AB" w:rsidRPr="00E00B35" w:rsidRDefault="00CA14AB" w:rsidP="00E00B35">
      <w:pPr>
        <w:spacing w:after="0" w:line="312" w:lineRule="auto"/>
        <w:rPr>
          <w:szCs w:val="20"/>
        </w:rPr>
      </w:pPr>
      <w:r w:rsidRPr="00E00B35">
        <w:rPr>
          <w:szCs w:val="20"/>
        </w:rPr>
        <w:t xml:space="preserve">Celem zadania realizowanego przez wrocławskie organizacje pozarządowe w ramach konkursu </w:t>
      </w:r>
      <w:r w:rsidRPr="00E00B35">
        <w:rPr>
          <w:rFonts w:eastAsia="Verdana"/>
          <w:szCs w:val="20"/>
        </w:rPr>
        <w:t xml:space="preserve">na podstawie </w:t>
      </w:r>
      <w:r w:rsidRPr="00E00B35">
        <w:rPr>
          <w:szCs w:val="20"/>
        </w:rPr>
        <w:t>ustawy z dnia 24 kwietnia 2003 r. o działalności pożytku publicznego i o wolontariacie była edukacja społecznai historyczna, podtrzymywanie tradycji narodowej i obywatelskiej, budowanie tożsamości mieszkańców Wrocławia oraz popularyzowanie wiedzy o mniej znanej historii Polski i Wrocławia z czasów II wojny światowej oraz okresu powojennego. Związek Sybiraków III Rzeczypospolitej Polskiej kontynuował prowadzenie Czytelni Kombatanta, organizował edukację społeczną i historyczną, uaktualniano stronę internetową. Stowarzyszenie Pamięci Zesłańców Sybiru kontynuowało lekcje żywej historii w Sanktuarium Golgoty Wschodu przy ul. Wittiga 10, wydało również komiks edukacyjny pt. „Niewysłane listy”. Towarzystwo Miłośników Wrocławia w ramach projektu „My wrocławianie” organizowało spotkania pokoleń oraz wizyty w miejscach pamięci, Światowy Związek Żołnierzy Armii Krajowej prowadziło punkt informacyjno-konsultacyjny, Związek Harcerstwa Polskiego, Chorągiew Dolnośląska organizowało działania w ramach projektu harcerze kombatantom. Zadanie realizowało sześć organizacji pozarządowych. Łączna kwota dofinansowania to 150 000 zł.</w:t>
      </w:r>
    </w:p>
    <w:p w:rsidR="005E6C69" w:rsidRPr="00E00B35" w:rsidRDefault="005E6C69" w:rsidP="00E00B35">
      <w:pPr>
        <w:pStyle w:val="Nagwek5"/>
        <w:rPr>
          <w:szCs w:val="20"/>
        </w:rPr>
      </w:pPr>
      <w:bookmarkStart w:id="201" w:name="_Toc72352347"/>
      <w:bookmarkStart w:id="202" w:name="_Toc72352781"/>
    </w:p>
    <w:p w:rsidR="00CA14AB" w:rsidRPr="00E00B35" w:rsidRDefault="00CA14AB" w:rsidP="00E00B35">
      <w:pPr>
        <w:pStyle w:val="Nagwek5"/>
        <w:rPr>
          <w:szCs w:val="20"/>
        </w:rPr>
      </w:pPr>
      <w:r w:rsidRPr="00E00B35">
        <w:rPr>
          <w:szCs w:val="20"/>
        </w:rPr>
        <w:t>III DIALOG MIĘDZYKULTUROWY</w:t>
      </w:r>
      <w:bookmarkEnd w:id="201"/>
      <w:bookmarkEnd w:id="202"/>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„WROCŁAWSKA STRATEGIA DIALOGU MIĘDZYKULTUROWEGO” 2018-2022</w:t>
      </w:r>
    </w:p>
    <w:p w:rsidR="00CA14AB" w:rsidRPr="00E00B35" w:rsidRDefault="00CA14AB" w:rsidP="00E00B35">
      <w:pPr>
        <w:spacing w:after="0" w:line="312" w:lineRule="auto"/>
        <w:rPr>
          <w:rFonts w:eastAsia="Verdana"/>
          <w:szCs w:val="20"/>
        </w:rPr>
      </w:pPr>
      <w:r w:rsidRPr="00E00B35">
        <w:rPr>
          <w:rFonts w:eastAsia="Verdana"/>
          <w:szCs w:val="20"/>
        </w:rPr>
        <w:t xml:space="preserve">W 2020 roku kontynuowane były zdania w ramach wdrażania programu. Rozwijana była współpraca międzysektorowa z udziałem wielu instytucji, podmiotów i organizacji. Bardzo ważnym partnerem w realizacji zadań były organizacje pozarządowe – dofinansowywano liczne projekty integracyjne i edukacyjne.  Wrocław aktywnie uczestniczył w pracach Zespołu ds. Migracji Integracji Unii Metropolii Polskich oraz rozwijał partnerską współpracę z innymi miastami. Szczególne zintegrowane działania koncentrowały się </w:t>
      </w:r>
      <w:r w:rsidRPr="00E00B35">
        <w:rPr>
          <w:rFonts w:eastAsia="Verdana"/>
          <w:szCs w:val="20"/>
        </w:rPr>
        <w:br/>
        <w:t xml:space="preserve">wokół wsparcia obywateli Białorusi w ich walce o wolność i demokrację. </w:t>
      </w:r>
      <w:r w:rsidRPr="00E00B35">
        <w:rPr>
          <w:rFonts w:eastAsia="Verdana"/>
          <w:szCs w:val="20"/>
        </w:rPr>
        <w:br/>
        <w:t xml:space="preserve">We Wrocławiu podjęto współpracę z przedstawicielami społeczności oraz wsparto organizację licznych wydarzeń. Prezydent Wrocławia powołał również Pełnomocnika ds. mieszkańców pochodzenia białoruskiego. Szczegółowe informacje dotyczące podejmowanych działań dostępne są na  stronie </w:t>
      </w:r>
      <w:hyperlink r:id="rId97" w:history="1">
        <w:r w:rsidRPr="00E00B35">
          <w:rPr>
            <w:rFonts w:eastAsia="Verdana"/>
            <w:szCs w:val="20"/>
          </w:rPr>
          <w:t>www.wielokultury.wroclaw.pl</w:t>
        </w:r>
      </w:hyperlink>
      <w:r w:rsidRPr="00E00B35">
        <w:rPr>
          <w:rFonts w:eastAsia="Verdana"/>
          <w:szCs w:val="20"/>
        </w:rPr>
        <w:t xml:space="preserve"> oraz profilu facebookowym. Stronę  odwiedziło 16 976 osób i odnotowano 40 269 wyświetleń.  Poniżej przykładowe projekty.</w:t>
      </w:r>
    </w:p>
    <w:p w:rsidR="005E6C69" w:rsidRPr="00E00B35" w:rsidRDefault="005E6C69" w:rsidP="00E00B35">
      <w:pPr>
        <w:pStyle w:val="Nagwek5"/>
        <w:rPr>
          <w:szCs w:val="20"/>
        </w:rPr>
      </w:pPr>
    </w:p>
    <w:p w:rsidR="00CA14AB" w:rsidRPr="00E00B35" w:rsidRDefault="00CA14AB" w:rsidP="00E00B35">
      <w:pPr>
        <w:pStyle w:val="Nagwek5"/>
        <w:rPr>
          <w:rFonts w:eastAsia="Verdana"/>
          <w:szCs w:val="20"/>
        </w:rPr>
      </w:pPr>
      <w:r w:rsidRPr="00E00B35">
        <w:rPr>
          <w:szCs w:val="20"/>
        </w:rPr>
        <w:t>Punkty informacji i aktywno</w:t>
      </w:r>
      <w:r w:rsidR="0037108F" w:rsidRPr="00E00B35">
        <w:rPr>
          <w:szCs w:val="20"/>
        </w:rPr>
        <w:t>ści dla migrantów/ek WroMigrant</w:t>
      </w:r>
      <w:r w:rsidRPr="00E00B35">
        <w:rPr>
          <w:szCs w:val="20"/>
        </w:rPr>
        <w:t xml:space="preserve"> </w:t>
      </w:r>
    </w:p>
    <w:p w:rsidR="00CA14AB" w:rsidRPr="00E00B35" w:rsidRDefault="00CA14AB" w:rsidP="00E00B35">
      <w:pPr>
        <w:spacing w:after="0" w:line="312" w:lineRule="auto"/>
        <w:rPr>
          <w:rFonts w:eastAsia="Verdana"/>
          <w:szCs w:val="20"/>
        </w:rPr>
      </w:pPr>
      <w:r w:rsidRPr="00E00B35">
        <w:rPr>
          <w:rFonts w:eastAsia="Verdana"/>
          <w:szCs w:val="20"/>
        </w:rPr>
        <w:t>W punktach informacyjnych udzielane było wsparci</w:t>
      </w:r>
      <w:r w:rsidRPr="00E00B35">
        <w:rPr>
          <w:szCs w:val="20"/>
        </w:rPr>
        <w:t xml:space="preserve">e migrantom i migrantkom </w:t>
      </w:r>
      <w:r w:rsidRPr="00E00B35">
        <w:rPr>
          <w:rFonts w:eastAsia="Verdana"/>
          <w:szCs w:val="20"/>
        </w:rPr>
        <w:t>w sprawach urzędowych związanych z życiem we Wrocławiu (legalizacja pobytu i pracy, zameldowanie, prawo jazdy, rejestracja pojazdów, PESEL, PIT, NIP) oraz w zakresie spraw codziennych (edukacji, opieki zdrowotnej, oraz k</w:t>
      </w:r>
      <w:r w:rsidRPr="00E00B35">
        <w:rPr>
          <w:szCs w:val="20"/>
        </w:rPr>
        <w:t xml:space="preserve">ultury i rozrywki). Informacje </w:t>
      </w:r>
      <w:r w:rsidRPr="00E00B35">
        <w:rPr>
          <w:rFonts w:eastAsia="Verdana"/>
          <w:szCs w:val="20"/>
        </w:rPr>
        <w:t xml:space="preserve">i pomoc były udzielane drogą mailową, telefoniczną, przez aplikacje mobilne (Messenger, Viber, WhatsApp) w języku: polskim, angielskim, ukraińskim, rosyjskim, niemieckim </w:t>
      </w:r>
      <w:r w:rsidRPr="00E00B35">
        <w:rPr>
          <w:rFonts w:eastAsia="Verdana"/>
          <w:szCs w:val="20"/>
        </w:rPr>
        <w:br/>
        <w:t>i francuskim. W 2020 roku udzielono konsultacji 607 osobom w 894 sprawach. Na</w:t>
      </w:r>
      <w:hyperlink r:id="rId98">
        <w:r w:rsidRPr="00E00B35">
          <w:rPr>
            <w:rFonts w:eastAsia="Verdana"/>
            <w:szCs w:val="20"/>
          </w:rPr>
          <w:t xml:space="preserve"> </w:t>
        </w:r>
      </w:hyperlink>
      <w:hyperlink r:id="rId99">
        <w:r w:rsidRPr="00E00B35">
          <w:rPr>
            <w:rFonts w:eastAsia="Verdana"/>
            <w:szCs w:val="20"/>
          </w:rPr>
          <w:t>stronie internetowej</w:t>
        </w:r>
      </w:hyperlink>
      <w:r w:rsidRPr="00E00B35">
        <w:rPr>
          <w:rFonts w:eastAsia="Verdana"/>
          <w:szCs w:val="20"/>
        </w:rPr>
        <w:t>, profilu FB</w:t>
      </w:r>
      <w:hyperlink r:id="rId100">
        <w:r w:rsidRPr="00E00B35">
          <w:rPr>
            <w:rFonts w:eastAsia="Verdana"/>
            <w:szCs w:val="20"/>
          </w:rPr>
          <w:t xml:space="preserve"> </w:t>
        </w:r>
      </w:hyperlink>
      <w:hyperlink r:id="rId101">
        <w:r w:rsidRPr="00E00B35">
          <w:rPr>
            <w:rFonts w:eastAsia="Verdana"/>
            <w:szCs w:val="20"/>
          </w:rPr>
          <w:t>„Wielokultury Wrocław”</w:t>
        </w:r>
      </w:hyperlink>
      <w:r w:rsidRPr="00E00B35">
        <w:rPr>
          <w:rFonts w:eastAsia="Verdana"/>
          <w:szCs w:val="20"/>
        </w:rPr>
        <w:t xml:space="preserve"> oraz „</w:t>
      </w:r>
      <w:hyperlink r:id="rId102">
        <w:r w:rsidRPr="00E00B35">
          <w:rPr>
            <w:rFonts w:eastAsia="Verdana"/>
            <w:szCs w:val="20"/>
          </w:rPr>
          <w:t>WroMigrant</w:t>
        </w:r>
      </w:hyperlink>
      <w:r w:rsidRPr="00E00B35">
        <w:rPr>
          <w:rFonts w:eastAsia="Verdana"/>
          <w:szCs w:val="20"/>
        </w:rPr>
        <w:t xml:space="preserve">” migranci/tki mogą znaleźć informacje o bieżących wydarzeniach i ofercie kulturalnej przygotowane w języku polskim, ukraińskim i angielskim. Przygotowany i opublikowany został poradnik dla migrantów mieszkających we Wrocławiu w trzech wersjach językowych: polskiej, angielskiej oraz ukraińskiej. W okresie pandemii wychodząc naprzeciw potrzebom migrantów/ek, uruchomiono dodatkowe telefony informacyjne, publikowano niezbędne informacje, przygotowano  materiały informacyjne. We współpracy z Wrocławskim Centrum Zdrowia uruchomiona została infolinia ze wsparciem psychologicznym w języku ukraińskim, rosyjskim i angielskim.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VI Targi Edukacji Międzykulturowej</w:t>
      </w:r>
    </w:p>
    <w:p w:rsidR="00CA14AB" w:rsidRPr="00E00B35" w:rsidRDefault="0037108F" w:rsidP="00E00B35">
      <w:pPr>
        <w:spacing w:after="0" w:line="312" w:lineRule="auto"/>
        <w:rPr>
          <w:rFonts w:eastAsia="Verdana"/>
          <w:szCs w:val="20"/>
        </w:rPr>
      </w:pPr>
      <w:r w:rsidRPr="00E00B35">
        <w:rPr>
          <w:rFonts w:eastAsia="Verdana"/>
          <w:szCs w:val="20"/>
        </w:rPr>
        <w:t>W</w:t>
      </w:r>
      <w:r w:rsidR="00CA14AB" w:rsidRPr="00E00B35">
        <w:rPr>
          <w:rFonts w:eastAsia="Verdana"/>
          <w:szCs w:val="20"/>
        </w:rPr>
        <w:t xml:space="preserve"> związku z ograniczeniami ze względu na pandemię w dniach 23-25 września odbyły się VI Targi Edukacji Międzykulturowej w formie online pod hasłem „Zwroty akcji w edukacji. Zmiany i adaptacje do nowej sytuacji społecznej i kulturowej”, realizowane we współpracy z Biurem Saksonii we Wrocławiu, Przedstawicielstwem Regionalnym Komisji Europejskiej, Uniwersytetem Wrocławskim oraz organizacjami pozarządowymi. Podczas dyskusji panelowych z udziałem ekspertów i praktyków podjęto tematy edukacji międzykulturowej w sytuacji kryzysowej, budowania relacji międzykulturowych w szkole, roli oświaty w budowaniu i podtrzymywaniu tożsamości mniejszości narodowych i etnicznych w Polsce. Dodatkowo przygotowano liczne warsztaty, seminaria, pokazy filmowe oraz wydarzenia artystyczne. związanych z tematyką międzykulturową realizowanych przez wrocławskie organizacje pozarządowe. Wydarzenie transmitowano na żywo on-line na  profilu facebookowym Wielokultury Wrocław oraz na YouTube w 3 wersjach językowych (polskim, angielskim i niemieckim). Łącznie odnotowano ponad 10 000 wyświetleń.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Ambasadorzy Dialogu</w:t>
      </w:r>
    </w:p>
    <w:p w:rsidR="00CA14AB" w:rsidRPr="00E00B35" w:rsidRDefault="00CA14AB" w:rsidP="00E00B35">
      <w:pPr>
        <w:spacing w:after="0" w:line="312" w:lineRule="auto"/>
        <w:rPr>
          <w:rFonts w:eastAsia="Verdana"/>
          <w:szCs w:val="20"/>
        </w:rPr>
      </w:pPr>
      <w:r w:rsidRPr="00E00B35">
        <w:rPr>
          <w:rFonts w:eastAsia="Verdana"/>
          <w:szCs w:val="20"/>
        </w:rPr>
        <w:t xml:space="preserve">Projekt edukacyjny skierowany do nauczycieli wrocławskich szkół i przedszkoli. Ambasador Dialogu to osoba pracująca w wrocławskiej placówce oświatowej, zainteresowana tematyką otwartości, przeciwdziałania dyskryminacji, rozwijaniem atmosfery dialogu w swoim otoczeniu. Ambasador Dialogu korzysta z oferty szkoleń, spotkań, warsztatów organizowanych przez WCRS, organizacje pozarządowe oraz innych partnerów. Dzięki obecności Ambasadora Dialogu placówka zyskuje specjalistę, który potrafi interweniować w sytuacjach trudnych komunikacyjnie czy kulturowo, a także </w:t>
      </w:r>
      <w:r w:rsidRPr="00E00B35">
        <w:rPr>
          <w:rFonts w:eastAsia="Verdana"/>
          <w:szCs w:val="20"/>
        </w:rPr>
        <w:lastRenderedPageBreak/>
        <w:t>organizować ciekawe międzykulturowe wydarzenia. Łączna aktualna liczba Ambasadorów Dialogu to 223 osoby.</w:t>
      </w:r>
    </w:p>
    <w:p w:rsidR="005E6C69" w:rsidRPr="00E00B35" w:rsidRDefault="005E6C69" w:rsidP="00E00B35">
      <w:pPr>
        <w:pStyle w:val="Nagwek5"/>
        <w:rPr>
          <w:szCs w:val="20"/>
        </w:rPr>
      </w:pPr>
    </w:p>
    <w:p w:rsidR="00CA14AB" w:rsidRPr="00E00B35" w:rsidRDefault="00CA14AB" w:rsidP="00E00B35">
      <w:pPr>
        <w:pStyle w:val="Nagwek5"/>
        <w:rPr>
          <w:rFonts w:eastAsia="Verdana"/>
          <w:szCs w:val="20"/>
        </w:rPr>
      </w:pPr>
      <w:r w:rsidRPr="00E00B35">
        <w:rPr>
          <w:szCs w:val="20"/>
        </w:rPr>
        <w:t>Zespół ds. uczniów i rodzin obcojęzycznych</w:t>
      </w:r>
      <w:r w:rsidRPr="00E00B35">
        <w:rPr>
          <w:rFonts w:eastAsia="Verdana"/>
          <w:szCs w:val="20"/>
        </w:rPr>
        <w:t xml:space="preserve"> </w:t>
      </w:r>
    </w:p>
    <w:p w:rsidR="00CA14AB" w:rsidRPr="00E00B35" w:rsidRDefault="00CA14AB" w:rsidP="00E00B35">
      <w:pPr>
        <w:spacing w:after="0" w:line="312" w:lineRule="auto"/>
        <w:rPr>
          <w:rFonts w:eastAsia="Verdana"/>
          <w:szCs w:val="20"/>
        </w:rPr>
      </w:pPr>
      <w:r w:rsidRPr="00E00B35">
        <w:rPr>
          <w:rFonts w:eastAsia="Verdana"/>
          <w:szCs w:val="20"/>
        </w:rPr>
        <w:t xml:space="preserve">Zespół zajmuje się poszukiwaniem rozwiązań dotyczących wsparcia uczniów i rodzin obcojęzycznych oraz środowiska szkolnego w procesach adaptacyjnych i integracyjnych w wrocławskich szkołach. W 2020 roku prace zespołu były skupione na kontynuacji </w:t>
      </w:r>
      <w:r w:rsidRPr="00E00B35">
        <w:rPr>
          <w:rFonts w:eastAsia="Verdana"/>
          <w:szCs w:val="20"/>
        </w:rPr>
        <w:br/>
        <w:t xml:space="preserve">i ewaluacji wdrażania klas przygotowawczych oraz uruchomieniu nowego projektu dotyczącego asystentów międzykulturowych we wrocławskich szkołach. W okresie pandemii prowadzono szereg działań wspierających dyrektorów, nauczycieli, uczniów </w:t>
      </w:r>
      <w:r w:rsidRPr="00E00B35">
        <w:rPr>
          <w:rFonts w:eastAsia="Verdana"/>
          <w:szCs w:val="20"/>
        </w:rPr>
        <w:br/>
        <w:t xml:space="preserve">i rodziców. Zorganizowano ponad 24 spotkań i konsultacji grupowych online z udziałem średnio ok. 15 osób. Opracowano materiały i narzędzia wsparcia oraz zorganizowano seminaria w ramach wymiany doświadczeń i partnerskiej współpracy z innymi miastami </w:t>
      </w:r>
      <w:r w:rsidRPr="00E00B35">
        <w:rPr>
          <w:rFonts w:eastAsia="Verdana"/>
          <w:szCs w:val="20"/>
        </w:rPr>
        <w:br/>
        <w:t xml:space="preserve">z kraju i Europy. </w:t>
      </w:r>
    </w:p>
    <w:p w:rsidR="005E6C69" w:rsidRPr="00E00B35" w:rsidRDefault="005E6C69" w:rsidP="00E00B35">
      <w:pPr>
        <w:pStyle w:val="Nagwek5"/>
        <w:rPr>
          <w:szCs w:val="20"/>
        </w:rPr>
      </w:pPr>
    </w:p>
    <w:p w:rsidR="00CA14AB" w:rsidRPr="00E00B35" w:rsidRDefault="00CA14AB" w:rsidP="00E00B35">
      <w:pPr>
        <w:pStyle w:val="Nagwek5"/>
        <w:rPr>
          <w:rFonts w:eastAsia="Verdana"/>
          <w:szCs w:val="20"/>
        </w:rPr>
      </w:pPr>
      <w:r w:rsidRPr="00E00B35">
        <w:rPr>
          <w:szCs w:val="20"/>
        </w:rPr>
        <w:t>„Wielokulturowi wrocławianie 2020”</w:t>
      </w:r>
    </w:p>
    <w:p w:rsidR="00CA14AB" w:rsidRPr="00E00B35" w:rsidRDefault="00CA14AB" w:rsidP="00E00B35">
      <w:pPr>
        <w:spacing w:after="0" w:line="312" w:lineRule="auto"/>
        <w:rPr>
          <w:rFonts w:eastAsia="Verdana"/>
          <w:szCs w:val="20"/>
        </w:rPr>
      </w:pPr>
      <w:r w:rsidRPr="00E00B35">
        <w:rPr>
          <w:rFonts w:eastAsia="Verdana"/>
          <w:szCs w:val="20"/>
        </w:rPr>
        <w:t xml:space="preserve">Cykl  audycji radiowych „Rozmowy o wielokulturowości i edukacji”. Bohaterami audycji byli wrocławianie, którzy dzielili się swoimi doświadczeniami. Dodatkowo   prezentowane są różnorodne projekty, oferta szkoleń, warsztatów, wystaw, debat, koncertów realizowanych przez wrocławskie organizacje pozarządowe, instytucje kultury, uczelnie, szkoły oraz inne podmioty. Audycja odbywała się w każdą środę i jest dostępna do odsłuchania na stronie, w mediach społecznościowych Radia Rodzina oraz  stronie internetowej oraz profilach FB Wielokultury i WroMigrant.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Stop Mowie Nienawiści</w:t>
      </w:r>
    </w:p>
    <w:p w:rsidR="00CA14AB" w:rsidRPr="00E00B35" w:rsidRDefault="00CA14AB" w:rsidP="00E00B35">
      <w:pPr>
        <w:spacing w:after="0" w:line="312" w:lineRule="auto"/>
        <w:rPr>
          <w:rFonts w:eastAsia="Verdana"/>
          <w:szCs w:val="20"/>
        </w:rPr>
      </w:pPr>
      <w:r w:rsidRPr="00E00B35">
        <w:rPr>
          <w:rFonts w:eastAsia="Verdana"/>
          <w:szCs w:val="20"/>
        </w:rPr>
        <w:t xml:space="preserve">a) Sztafeta Szkół - Stop Mowie Nienawiści - Projekt edukacyjny przeznaczony </w:t>
      </w:r>
      <w:r w:rsidRPr="00E00B35">
        <w:rPr>
          <w:rFonts w:eastAsia="Verdana"/>
          <w:szCs w:val="20"/>
        </w:rPr>
        <w:br/>
        <w:t>dla wrocławskich szkół podstawowych i ponadgimnazjalnych, którego celem było uwrażliwienie na mowę nienawiści i przejawy dyskryminacji, a także zapobieganie ich występowaniu w przestrzeni szkoły oraz w jej najbliższym otoczeniu. Łącznie w projekcie uczestniczyło 57 placówek edukacyjnych.</w:t>
      </w:r>
    </w:p>
    <w:p w:rsidR="00CA14AB" w:rsidRPr="00E00B35" w:rsidRDefault="00CA14AB" w:rsidP="00E00B35">
      <w:pPr>
        <w:spacing w:after="0" w:line="312" w:lineRule="auto"/>
        <w:rPr>
          <w:rFonts w:eastAsia="Verdana"/>
          <w:szCs w:val="20"/>
        </w:rPr>
      </w:pPr>
      <w:r w:rsidRPr="00E00B35">
        <w:rPr>
          <w:rFonts w:eastAsia="Verdana"/>
          <w:szCs w:val="20"/>
        </w:rPr>
        <w:t xml:space="preserve">b) Stop Mowie Nienawiści w przestrzeni miejskiej - Celem projektu było przeciwdziałanie przejawom mowy nienawiści w przestrzeni miasta poprzez kształtowanie wśród mieszkańców postawy sprzeciwu oraz usuwanie treści i elementów graficznych naruszających dobre obyczaje i godność ludzką. Projekt adresowany jest do ogółu mieszkańców, społeczności szkolnych oraz zarządców nieruchomości, odpowiedzialnych za estetykę budynków. Usuwanie przejawów mowy nienawiści realizowane było bezpośrednio przez zarządców nieruchomości oraz w ramach programu Wrocławskiego Centrum Sprawiedliwości Naprawczej – WCI. </w:t>
      </w:r>
    </w:p>
    <w:p w:rsidR="00CA14AB" w:rsidRPr="00E00B35" w:rsidRDefault="00CA14AB" w:rsidP="00E00B35">
      <w:pPr>
        <w:spacing w:after="0" w:line="312" w:lineRule="auto"/>
        <w:rPr>
          <w:rFonts w:eastAsia="Verdana"/>
          <w:szCs w:val="20"/>
        </w:rPr>
      </w:pPr>
      <w:r w:rsidRPr="00E00B35">
        <w:rPr>
          <w:rFonts w:eastAsia="Verdana"/>
          <w:szCs w:val="20"/>
        </w:rPr>
        <w:t>c)  program „Dobre Słowo we Wrocławiu”. Celem programu było poszukiwanie nowych niestandardowych rozwiązań opierających się tworzeniu pozytywnych przekazów, projektów promujących życzliwe, otwarte postaw</w:t>
      </w:r>
      <w:r w:rsidR="0037108F" w:rsidRPr="00E00B35">
        <w:rPr>
          <w:rFonts w:eastAsia="Verdana"/>
          <w:szCs w:val="20"/>
        </w:rPr>
        <w:t xml:space="preserve">y wśród mieszkańców. Do udziału </w:t>
      </w:r>
      <w:r w:rsidRPr="00E00B35">
        <w:rPr>
          <w:rFonts w:eastAsia="Verdana"/>
          <w:szCs w:val="20"/>
        </w:rPr>
        <w:t>w programie zaproszono przedstawicieli instytucji, uczelni, urzędów, organizacji pozarządowych i szkół. W okresie pandemii przygot</w:t>
      </w:r>
      <w:r w:rsidR="0037108F" w:rsidRPr="00E00B35">
        <w:rPr>
          <w:rFonts w:eastAsia="Verdana"/>
          <w:szCs w:val="20"/>
        </w:rPr>
        <w:t xml:space="preserve">owano pierwszą odsłonę program </w:t>
      </w:r>
      <w:r w:rsidRPr="00E00B35">
        <w:rPr>
          <w:rFonts w:eastAsia="Verdana"/>
          <w:szCs w:val="20"/>
        </w:rPr>
        <w:t xml:space="preserve">w </w:t>
      </w:r>
      <w:r w:rsidRPr="00E00B35">
        <w:rPr>
          <w:rFonts w:eastAsia="Verdana"/>
          <w:szCs w:val="20"/>
        </w:rPr>
        <w:lastRenderedPageBreak/>
        <w:t>ramach akcji „świeć przykładem”. Zainicjowano projekt zmiany nazwy</w:t>
      </w:r>
      <w:r w:rsidRPr="00E00B35">
        <w:rPr>
          <w:rFonts w:eastAsia="Verdana"/>
          <w:szCs w:val="20"/>
          <w:highlight w:val="white"/>
        </w:rPr>
        <w:t xml:space="preserve"> przystanków autobusowych „na żądanie” na przystanki “na życzenie”  </w:t>
      </w:r>
    </w:p>
    <w:p w:rsidR="005E6C69" w:rsidRPr="00E00B35" w:rsidRDefault="005E6C69" w:rsidP="00E00B35">
      <w:pPr>
        <w:pStyle w:val="Nagwek5"/>
        <w:rPr>
          <w:szCs w:val="20"/>
        </w:rPr>
      </w:pPr>
    </w:p>
    <w:p w:rsidR="00CA14AB" w:rsidRPr="00E00B35" w:rsidRDefault="00CA14AB" w:rsidP="00E00B35">
      <w:pPr>
        <w:pStyle w:val="Nagwek5"/>
        <w:rPr>
          <w:rFonts w:eastAsia="Verdana"/>
          <w:szCs w:val="20"/>
        </w:rPr>
      </w:pPr>
      <w:r w:rsidRPr="00E00B35">
        <w:rPr>
          <w:szCs w:val="20"/>
        </w:rPr>
        <w:t>„Hate Crime Victims Support System”</w:t>
      </w:r>
    </w:p>
    <w:p w:rsidR="00CA14AB" w:rsidRPr="00E00B35" w:rsidRDefault="00CA14AB" w:rsidP="00E00B35">
      <w:pPr>
        <w:spacing w:after="0" w:line="312" w:lineRule="auto"/>
        <w:rPr>
          <w:rFonts w:eastAsia="Verdana"/>
          <w:szCs w:val="20"/>
        </w:rPr>
      </w:pPr>
      <w:r w:rsidRPr="00E00B35">
        <w:rPr>
          <w:rFonts w:eastAsia="Verdana"/>
          <w:szCs w:val="20"/>
        </w:rPr>
        <w:t>W ramach projektu  oferowane jest wsparcie dla ofiar i świadków przestępstw z nienawiści pod nazwą „Hate Crime Victims Support System”. Osoby, które doświadczyły przestępstwa z nienawiści na terenie Wrocławia lub były świadkiem takiego zdarzenia, po niezwłocznym zgłoszeniu na policję, mogą skorzystać z pomocy specjalnego wsparcia w j. angielskim, ukraińskim oraz polskim pod numerem telefonu 604 535 838 (czynnym 7 dni w tygodniu). Jednocześnie otrzymują kontakt do prawnika oraz psychologa. Projekt jest realizowany we współpracy z Okręgową Radą Adwokacką oraz Pełnomocnikiem ds. Ochrony Praw Człowieka przy Komendzie Wojewódzkiej Policji we Wrocławiu.</w:t>
      </w:r>
    </w:p>
    <w:p w:rsidR="00CA14AB" w:rsidRPr="00E00B35" w:rsidRDefault="00CA14AB" w:rsidP="00E00B35">
      <w:pPr>
        <w:spacing w:after="0" w:line="312" w:lineRule="auto"/>
        <w:rPr>
          <w:rFonts w:eastAsia="Verdana"/>
          <w:szCs w:val="20"/>
        </w:rPr>
      </w:pPr>
      <w:r w:rsidRPr="00E00B35">
        <w:rPr>
          <w:rFonts w:eastAsia="Verdana"/>
          <w:szCs w:val="20"/>
        </w:rPr>
        <w:t xml:space="preserve">Na zadania dotyczące dialogu międzykulturowego wydatkowano kwotę 263 956,50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PROJEKT RESTART REALIZOWANY W RAMACH FUNDUSZU AZYLU, MIGRACJI I INTEGRACJI (FAMI) </w:t>
      </w:r>
    </w:p>
    <w:p w:rsidR="00CA14AB" w:rsidRPr="00E00B35" w:rsidRDefault="00CA14AB" w:rsidP="00E00B35">
      <w:pPr>
        <w:spacing w:after="0" w:line="312" w:lineRule="auto"/>
        <w:rPr>
          <w:szCs w:val="20"/>
        </w:rPr>
      </w:pPr>
      <w:r w:rsidRPr="00E00B35">
        <w:rPr>
          <w:szCs w:val="20"/>
        </w:rPr>
        <w:t xml:space="preserve">Od stycznia 2020 Gmina Wrocław/WCRS jest partnerem w projekcie reSTART, którego liderem jest Fundacja Ukraina, a partnerami w projekcie są: ARAW, Fundacja MODE, Kalejdoskop Kultur. Okres realizacji projektu reSTART obejmuje 33 miesiące od 1.01.2020 do 30.09.2022. Działania w projekcie reSTART obejmują: działania informacyjno-doradcze, działania dla szkół i studentów, naukę języka polskiego, działania adaptacyjne, aktywizację zawodową, działania integracyjne i kampanię informacyjną na temat oferty projektu. WCRS realizuje w projekcie reSTART 3 działania. W zakresie działań informacyjnych i doradczych prowadzone są: </w:t>
      </w:r>
      <w:r w:rsidRPr="00E00B35">
        <w:rPr>
          <w:szCs w:val="20"/>
        </w:rPr>
        <w:br/>
        <w:t>a) 3 stacjonarne infopunkty prowadzone przez Gminę Wrocław na Starym Mieście, Psim Polu i Tarnogaju (działanie opisane w punkcie Punkty informacji i aktywności dla migrantów/ek WroMigrant) oraz b) materiały informacyjno-edukacyjne dla obcokrajowców dotyczące różnych aspektów życia w Polsce, przygotowane we współpracy z Fundacją Ukraina i ARAW. W ramach działań dla szkół i studentów WCRS organizuje: c) Targi Edukacji Międzykulturowej – 3 edycje organizowane corocznie; opisane w punkcie Targi Edukacji Międzykulturowej.</w:t>
      </w:r>
      <w:r w:rsidRPr="00E00B35">
        <w:rPr>
          <w:rFonts w:eastAsia="Verdana"/>
          <w:szCs w:val="20"/>
        </w:rPr>
        <w:t xml:space="preserve"> Na zadanie wydtkowano kwotę 87304,67 zł.</w:t>
      </w:r>
    </w:p>
    <w:p w:rsidR="00CA14AB" w:rsidRPr="00E00B35" w:rsidRDefault="00CA14AB" w:rsidP="00E00B35">
      <w:pPr>
        <w:spacing w:after="0" w:line="312" w:lineRule="auto"/>
        <w:rPr>
          <w:szCs w:val="20"/>
        </w:rPr>
      </w:pPr>
      <w:r w:rsidRPr="00E00B35">
        <w:rPr>
          <w:szCs w:val="20"/>
        </w:rPr>
        <w:t xml:space="preserve">Zadania realizowane w ramach współpracy z organizacjami pozarządowymi: </w:t>
      </w:r>
    </w:p>
    <w:p w:rsidR="005E6C69" w:rsidRPr="00E00B35" w:rsidRDefault="005E6C69" w:rsidP="00E00B35">
      <w:pPr>
        <w:pStyle w:val="Nagwek5"/>
        <w:rPr>
          <w:szCs w:val="20"/>
        </w:rPr>
      </w:pPr>
    </w:p>
    <w:p w:rsidR="00CA14AB" w:rsidRPr="00E00B35" w:rsidRDefault="00CA14AB" w:rsidP="00E00B35">
      <w:pPr>
        <w:pStyle w:val="Nagwek5"/>
        <w:rPr>
          <w:rFonts w:eastAsia="Verdana"/>
          <w:szCs w:val="20"/>
        </w:rPr>
      </w:pPr>
      <w:r w:rsidRPr="00E00B35">
        <w:rPr>
          <w:szCs w:val="20"/>
        </w:rPr>
        <w:t>WSPARCIE DIALOGU MIĘDZYKULTUROWEGO W SZKOŁACH I PRZEDSZKOLACH</w:t>
      </w:r>
      <w:r w:rsidRPr="00E00B35">
        <w:rPr>
          <w:rFonts w:eastAsia="Verdana"/>
          <w:szCs w:val="20"/>
        </w:rPr>
        <w:t xml:space="preserve"> </w:t>
      </w:r>
    </w:p>
    <w:p w:rsidR="00CA14AB" w:rsidRPr="00E00B35" w:rsidRDefault="00CA14AB" w:rsidP="00E00B35">
      <w:pPr>
        <w:spacing w:after="0" w:line="312" w:lineRule="auto"/>
        <w:rPr>
          <w:rFonts w:eastAsia="Verdana"/>
          <w:szCs w:val="20"/>
        </w:rPr>
      </w:pPr>
      <w:r w:rsidRPr="00E00B35">
        <w:rPr>
          <w:rFonts w:eastAsia="Verdana"/>
          <w:szCs w:val="20"/>
        </w:rPr>
        <w:t>Celem zadania było wsparcie szkół i przedszkoli w zakresie podnoszenia kompetencji międzykulturowych takich jak promocja postawy otwartości i akceptacji wobec drugiego człowieka, przeciwdziałanie dyskryminacji i konfliktom międzygrupowym, rozwój umiejętności komunikacji i współpracy, zapobieganie przemocy wynikającej z uprzedzeń  Zadanie realizowane jest przez 7 organizacji pozarządowych. Łączna kwota dofinansowania to 300 000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TOŻSAMOŚĆ KULTUROWA I DIALOG WARTOŚCIĄ LOKALNEJ WSPÓLNOTY WROCŁAWIAN</w:t>
      </w:r>
    </w:p>
    <w:p w:rsidR="00CA14AB" w:rsidRPr="00E00B35" w:rsidRDefault="00CA14AB" w:rsidP="00E00B35">
      <w:pPr>
        <w:spacing w:after="0" w:line="312" w:lineRule="auto"/>
        <w:rPr>
          <w:rFonts w:eastAsia="Verdana"/>
          <w:szCs w:val="20"/>
        </w:rPr>
      </w:pPr>
      <w:r w:rsidRPr="00E00B35">
        <w:rPr>
          <w:rFonts w:eastAsia="Verdana"/>
          <w:szCs w:val="20"/>
        </w:rPr>
        <w:t>Celem zadania było podniesienie poziomu wiedzy oraz kształtowanie wśród mieszkańców Wrocławia postaw otwartości i tolerancji wobec innych narodów i kultur poprzez prowadzenie różnych form edukacji, rozwoju i integracji społecznej. W ramach realizacji zadania prowadzone były: edukacyjne warsztaty dla dzieci i młodzieży, programy muzeów wielokulturowości, warsztaty edukacyjno-integracyjne, zajęcia integracyjne, seminaria i spotkania, specjalistyczne szkolenia dla różnych grup odbiorców. Zadanie realizowało 9 organizacji pozarządowych. Łączna kwota dofinansowania to 180 000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KALEJDOSKOP KULTUR WE WROCŁAWIU 2020 </w:t>
      </w:r>
    </w:p>
    <w:p w:rsidR="00CA14AB" w:rsidRPr="00E00B35" w:rsidRDefault="00CA14AB" w:rsidP="00E00B35">
      <w:pPr>
        <w:spacing w:after="0" w:line="312" w:lineRule="auto"/>
        <w:rPr>
          <w:rFonts w:eastAsia="Verdana"/>
          <w:szCs w:val="20"/>
        </w:rPr>
      </w:pPr>
      <w:r w:rsidRPr="00E00B35">
        <w:rPr>
          <w:rFonts w:eastAsia="Verdana"/>
          <w:szCs w:val="20"/>
        </w:rPr>
        <w:t>Celem zadania było podniesienie poziomu wiedzy oraz kształtowanie wśród mieszkańców Wrocławia postaw otwartości i tolerancji wobec innych narodów i kultur poprzez prowadzenie różnych form edukacji, rozwoju i integracji społecznej, wspólnie ze środowiskiem wrocławskich mniejszości narodowych i etnicznych i migrantów. W ramach realizacji zadania prowadzone były: edukacyjne warsztaty dla dzieci i młodzieży, warsztaty edukacyjno-integracyjne, zajęcia taneczne i wokalne, seminaria i spotkania, specjalistyczne szkolenia dla różnych grup odbiorców. Łączna kwota dofinansowania to 80 000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INTEGRACYJNY</w:t>
      </w:r>
      <w:r w:rsidR="0037108F" w:rsidRPr="00E00B35">
        <w:rPr>
          <w:szCs w:val="20"/>
        </w:rPr>
        <w:t xml:space="preserve"> </w:t>
      </w:r>
      <w:r w:rsidRPr="00E00B35">
        <w:rPr>
          <w:szCs w:val="20"/>
        </w:rPr>
        <w:t xml:space="preserve">- RUSKA 46A WROCŁAW 2020-2021 </w:t>
      </w:r>
    </w:p>
    <w:p w:rsidR="00CA14AB" w:rsidRPr="00E00B35" w:rsidRDefault="00CA14AB" w:rsidP="00E00B35">
      <w:pPr>
        <w:spacing w:after="0" w:line="312" w:lineRule="auto"/>
        <w:rPr>
          <w:rFonts w:eastAsia="Verdana"/>
          <w:szCs w:val="20"/>
        </w:rPr>
      </w:pPr>
      <w:r w:rsidRPr="00E00B35">
        <w:rPr>
          <w:rFonts w:eastAsia="Verdana"/>
          <w:szCs w:val="20"/>
        </w:rPr>
        <w:t>Zadanie polegało na realizacji wsparcia informacyjnego (InfoCukr) dla nowych mieszkańców Wrocławia pochodzących z innych krajów oraz społeczności lokalnej, prowadzeniu klubów językowych i tandemów językowych, organizacji wydarzeń kulturalnych i artystycznych, warsztatów wokalnych, etnograficznych, poznawczo-rozwojowych. Zadanie realizowały dwie organizacje pozarządowe. Na realizację zadania przeznaczono kwotę 319 960 zł .</w:t>
      </w:r>
    </w:p>
    <w:p w:rsidR="00CA14AB" w:rsidRPr="00E00B35" w:rsidRDefault="00CA14AB" w:rsidP="00E00B35">
      <w:pPr>
        <w:spacing w:after="0" w:line="312" w:lineRule="auto"/>
        <w:rPr>
          <w:rFonts w:eastAsia="Verdana"/>
          <w:szCs w:val="20"/>
        </w:rPr>
      </w:pPr>
      <w:r w:rsidRPr="00E00B35">
        <w:rPr>
          <w:rFonts w:eastAsia="Verdana"/>
          <w:szCs w:val="20"/>
        </w:rPr>
        <w:t xml:space="preserve">Współpraca w ramach trybu 19A. Łącznie zrealizowano 8  wniosków na łączną kwotę 70 390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GOTOWI DO INTEGRACJI</w:t>
      </w:r>
    </w:p>
    <w:p w:rsidR="00CA14AB" w:rsidRPr="00E00B35" w:rsidRDefault="00CA14AB" w:rsidP="00E00B35">
      <w:pPr>
        <w:spacing w:after="0" w:line="312" w:lineRule="auto"/>
        <w:rPr>
          <w:rFonts w:eastAsia="Verdana"/>
          <w:szCs w:val="20"/>
        </w:rPr>
      </w:pPr>
      <w:r w:rsidRPr="00E00B35">
        <w:rPr>
          <w:rFonts w:eastAsia="Verdana"/>
          <w:szCs w:val="20"/>
        </w:rPr>
        <w:t xml:space="preserve">Celem realizacji projektu było rozwijanie umiejętności </w:t>
      </w:r>
      <w:r w:rsidRPr="00E00B35">
        <w:rPr>
          <w:rFonts w:eastAsia="Verdana"/>
          <w:szCs w:val="20"/>
        </w:rPr>
        <w:br/>
        <w:t>i pogłębianie wiedzy artystycznej jego uczestników, poprzez realizację zajęć integracyjno - warsztatowych z dziedziny: plastycznej, teatralnej, fotograficznej i filmowej, oraz - tanecznej. Zadanie adresowane było do dzieci w wieku 8-14 lat mieszkających na Osiedlu Klecina. Uczestnictwo dzieci w zajęciach miało również na celu promowanie postaw integracji, otwartości, dialogu, akceptacji i rozumienia różnic kulturowych wśród uczestników. Zadanie dofinansowano kwotą 10 000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ELEMENTARZ MIĘDZYKULTUROWY - WARSZTAT I SEMINARIA DLA NAUCZYCIELI I EDUKATORÓW </w:t>
      </w:r>
    </w:p>
    <w:p w:rsidR="00CA14AB" w:rsidRPr="00E00B35" w:rsidRDefault="00CA14AB" w:rsidP="00E00B35">
      <w:pPr>
        <w:spacing w:after="0" w:line="312" w:lineRule="auto"/>
        <w:rPr>
          <w:rFonts w:eastAsia="Verdana"/>
          <w:szCs w:val="20"/>
        </w:rPr>
      </w:pPr>
      <w:r w:rsidRPr="00E00B35">
        <w:rPr>
          <w:rFonts w:eastAsia="Verdana"/>
          <w:szCs w:val="20"/>
        </w:rPr>
        <w:t>Zadanie składało się z dwóch seminariów dotyczących pracy asystentów/-ek edukacji romskiej i asystentów/-ek międzykulturowych oraz trzygodzinnego warsztatu prezentującego grę edukacyjną na temat kultury żydowskiej. Celem pierwszego seminarium było przedstawienie korzyści i wyzwań związanych z pracą asystentek/-ów edukacji romskiej, a także wymiana doświadczeń między osobami zaangażowanymi we wsparcie uczniów i uczennic ze społeczności romskiej - asystentom, pedagogom, nauczycielom. Celem drugiego seminarium było przedstawienie i popularyzacja pracy asystentek/-ów międzykulturowych. Spotkanie stało się okazją do wymiany doświadczeń oraz dyskusji na temat specyfiki pracy, korzyści ze współpracy szkół z asystentami międzykulturowymi, rozwiązań realizowanych w różnych miastach. Warsztaty zrealizowane przez Stowarzyszenie HaKoach polegały na przedstawieniu gry edukacyjnej i możliwości wykorzystanie jej na zajęciach z młodzieżą szkół podstawowych i ponadpodstawowych wprowadzających w tematykę kultury żydowskiej, a także innych kultur oraz zawierających elementy edukacji antydyskryminacyjnej. Zadanie dofinansowano kwotą 9080 zł.</w:t>
      </w:r>
    </w:p>
    <w:p w:rsidR="005E6C69" w:rsidRPr="00E00B35" w:rsidRDefault="005E6C69" w:rsidP="00E00B35">
      <w:pPr>
        <w:pStyle w:val="Nagwek5"/>
        <w:rPr>
          <w:szCs w:val="20"/>
        </w:rPr>
      </w:pPr>
    </w:p>
    <w:p w:rsidR="00CA14AB" w:rsidRPr="00E00B35" w:rsidRDefault="00CA14AB" w:rsidP="00E00B35">
      <w:pPr>
        <w:pStyle w:val="Nagwek5"/>
        <w:rPr>
          <w:rFonts w:eastAsia="Verdana"/>
          <w:szCs w:val="20"/>
        </w:rPr>
      </w:pPr>
      <w:r w:rsidRPr="00E00B35">
        <w:rPr>
          <w:szCs w:val="20"/>
        </w:rPr>
        <w:t>INTERNETOWA PREZENTACJA PŁYTY "KARAIMSKI ŚPIEWNIK DOMOWY</w:t>
      </w:r>
      <w:r w:rsidRPr="00E00B35">
        <w:rPr>
          <w:rFonts w:eastAsia="Verdana"/>
          <w:szCs w:val="20"/>
        </w:rPr>
        <w:t>"-</w:t>
      </w:r>
    </w:p>
    <w:p w:rsidR="00CA14AB" w:rsidRPr="00E00B35" w:rsidRDefault="00CA14AB" w:rsidP="00E00B35">
      <w:pPr>
        <w:spacing w:after="0" w:line="312" w:lineRule="auto"/>
        <w:rPr>
          <w:rFonts w:eastAsia="Verdana"/>
          <w:szCs w:val="20"/>
        </w:rPr>
      </w:pPr>
      <w:r w:rsidRPr="00E00B35">
        <w:rPr>
          <w:rFonts w:eastAsia="Verdana"/>
          <w:szCs w:val="20"/>
        </w:rPr>
        <w:t>Zadanie polegało na nagraniu, miksie i masteringu 6 pieśni będących skarbami muzyki karaimskiej. Praca została oparta o nagrania archiwalne, które są w posiadaniu Związku Karaimów Polskich i Fundacji Karaimskie Dziedzictwo. Projekt miał na celu popularyzację świadectw wielowiekowej świeckiej muzycznej kultury karaimskiej, która praktykowana była na Krymie, Wileńszczyźnie oraz w Polsce w XIX i XX w. Zadanie dofinansowano kwotą 10 000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KONSULTACJE INTEGRACYJNE W BIURZE INSTYTUT PIRAMOWICZA</w:t>
      </w:r>
    </w:p>
    <w:p w:rsidR="00CA14AB" w:rsidRPr="00E00B35" w:rsidRDefault="00CA14AB" w:rsidP="00E00B35">
      <w:pPr>
        <w:spacing w:after="0" w:line="312" w:lineRule="auto"/>
        <w:rPr>
          <w:rFonts w:eastAsia="Verdana"/>
          <w:szCs w:val="20"/>
        </w:rPr>
      </w:pPr>
      <w:r w:rsidRPr="00E00B35">
        <w:rPr>
          <w:rFonts w:eastAsia="Verdana"/>
          <w:szCs w:val="20"/>
        </w:rPr>
        <w:t>Zadanie polegało na prowadzeniu konsultacji integracyjnych w biurze Instytutu Piramowicza przy ul. Bałuckiego 7 we Wrocławiu. Zadanie dofinansowano kwotą 5 310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„KRÓTKA HISTORIA DŁUGIEJ DROGI…”</w:t>
      </w:r>
    </w:p>
    <w:p w:rsidR="00CA14AB" w:rsidRPr="00E00B35" w:rsidRDefault="00CA14AB" w:rsidP="00E00B35">
      <w:pPr>
        <w:spacing w:after="0" w:line="312" w:lineRule="auto"/>
        <w:rPr>
          <w:rFonts w:eastAsia="Arial Unicode MS"/>
          <w:szCs w:val="20"/>
        </w:rPr>
      </w:pPr>
      <w:r w:rsidRPr="00E00B35">
        <w:rPr>
          <w:rFonts w:eastAsia="Verdana"/>
          <w:szCs w:val="20"/>
        </w:rPr>
        <w:t>Zadanie polegało na zorganizowaniu i przeprowadzeniu panelu dotyczącego edukacji mniejszości narodowych i etnicznych w 15-lecie ustawy o mniejszościach oraz przygotowaniu prezentacji multimedialnej. Zadanie dofinansowano kwotą 6 000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WROCŁAW SOLIDARNY Z NARODEM BIAŁORUSKIM</w:t>
      </w:r>
    </w:p>
    <w:p w:rsidR="00CA14AB" w:rsidRPr="00E00B35" w:rsidRDefault="00CA14AB" w:rsidP="00E00B35">
      <w:pPr>
        <w:spacing w:after="0" w:line="312" w:lineRule="auto"/>
        <w:rPr>
          <w:rFonts w:eastAsia="Verdana"/>
          <w:szCs w:val="20"/>
        </w:rPr>
      </w:pPr>
      <w:r w:rsidRPr="00E00B35">
        <w:rPr>
          <w:rFonts w:eastAsia="Verdana"/>
          <w:szCs w:val="20"/>
        </w:rPr>
        <w:t>Zadanie polegało na zorganizowaniu wystawy w centrum Wrocławia dotyczącej wydarzeń na Białorusi. Zadanie dofinansowano kwotą 10 000 zł .</w:t>
      </w:r>
    </w:p>
    <w:p w:rsidR="00CA14AB" w:rsidRPr="00E00B35" w:rsidRDefault="00CA14AB" w:rsidP="00E00B35">
      <w:pPr>
        <w:spacing w:after="0" w:line="312" w:lineRule="auto"/>
        <w:rPr>
          <w:rFonts w:eastAsia="Verdana"/>
          <w:szCs w:val="20"/>
        </w:rPr>
      </w:pPr>
      <w:r w:rsidRPr="00E00B35">
        <w:rPr>
          <w:szCs w:val="20"/>
        </w:rPr>
        <w:t>DROM-DROGA. ROMOWIE WE WROCŁAWIU</w:t>
      </w:r>
      <w:r w:rsidRPr="00E00B35">
        <w:rPr>
          <w:rFonts w:eastAsia="Verdana"/>
          <w:szCs w:val="20"/>
        </w:rPr>
        <w:t xml:space="preserve"> </w:t>
      </w:r>
    </w:p>
    <w:p w:rsidR="00CA14AB" w:rsidRPr="00E00B35" w:rsidRDefault="00CA14AB" w:rsidP="00E00B35">
      <w:pPr>
        <w:spacing w:after="0" w:line="312" w:lineRule="auto"/>
        <w:rPr>
          <w:rFonts w:eastAsia="Verdana"/>
          <w:szCs w:val="20"/>
        </w:rPr>
      </w:pPr>
      <w:r w:rsidRPr="00E00B35">
        <w:rPr>
          <w:rFonts w:eastAsia="Verdana"/>
          <w:szCs w:val="20"/>
        </w:rPr>
        <w:t>Zadanie polegało na realizacji filmu o Romach we Wrocławiu, wydrukowaniu komiksu „Drom-Droga. Historia Romów w Europie” oraz przygotowaniu scenariusza zajęć o Romach dla nauczycieli wrocławskich szkół. Zadanie dofinansowano kwotą 10 000 zł.</w:t>
      </w:r>
    </w:p>
    <w:p w:rsidR="00CA14AB" w:rsidRPr="00E00B35" w:rsidRDefault="00CA14AB" w:rsidP="00E00B35">
      <w:pPr>
        <w:spacing w:after="0" w:line="312" w:lineRule="auto"/>
        <w:rPr>
          <w:szCs w:val="20"/>
        </w:rPr>
      </w:pPr>
      <w:r w:rsidRPr="00E00B35">
        <w:rPr>
          <w:rFonts w:eastAsia="Verdana"/>
          <w:szCs w:val="20"/>
        </w:rPr>
        <w:lastRenderedPageBreak/>
        <w:t xml:space="preserve">- </w:t>
      </w:r>
      <w:r w:rsidRPr="00E00B35">
        <w:rPr>
          <w:szCs w:val="20"/>
        </w:rPr>
        <w:t>WSPARCIE EDUKACJI DZIECI ZE SPOŁECZNOŚCI ROMÓW RUMUŃSKICH MIESZKAJĄCYCH WE WROCŁAWIU</w:t>
      </w:r>
    </w:p>
    <w:p w:rsidR="00CA14AB" w:rsidRPr="00E00B35" w:rsidRDefault="00CA14AB" w:rsidP="00E00B35">
      <w:pPr>
        <w:spacing w:after="0" w:line="312" w:lineRule="auto"/>
        <w:rPr>
          <w:rFonts w:eastAsia="Verdana"/>
          <w:szCs w:val="20"/>
        </w:rPr>
      </w:pPr>
      <w:r w:rsidRPr="00E00B35">
        <w:rPr>
          <w:rFonts w:eastAsia="Verdana"/>
          <w:szCs w:val="20"/>
        </w:rPr>
        <w:t xml:space="preserve">Zadanie polegało na zorganizowaniu zajęć edukacyjnych i warsztatów dla dzieci ze społeczności Romów rumuńskich mieszkających we Wrocławiu. Zadanie dofinansowano kwotą 10 000 zł. </w:t>
      </w:r>
    </w:p>
    <w:p w:rsidR="005E6C69" w:rsidRPr="00E00B35" w:rsidRDefault="005E6C69" w:rsidP="00E00B35">
      <w:pPr>
        <w:pStyle w:val="Nagwek4"/>
        <w:spacing w:before="0" w:after="0" w:line="312" w:lineRule="auto"/>
        <w:rPr>
          <w:sz w:val="20"/>
          <w:szCs w:val="20"/>
        </w:rPr>
      </w:pPr>
      <w:bookmarkStart w:id="203" w:name="_Toc72352348"/>
      <w:bookmarkStart w:id="204" w:name="_Toc72352782"/>
    </w:p>
    <w:p w:rsidR="00CA14AB" w:rsidRPr="00E00B35" w:rsidRDefault="00CA14AB" w:rsidP="00E00B35">
      <w:pPr>
        <w:pStyle w:val="Nagwek4"/>
        <w:spacing w:before="0" w:after="0" w:line="312" w:lineRule="auto"/>
        <w:rPr>
          <w:sz w:val="20"/>
          <w:szCs w:val="20"/>
        </w:rPr>
      </w:pPr>
      <w:r w:rsidRPr="00E00B35">
        <w:rPr>
          <w:sz w:val="20"/>
          <w:szCs w:val="20"/>
        </w:rPr>
        <w:t>IV DZIAŁANIA NA RZECZ DZIECI, MŁODZIEŻY ORAZ RODZIN</w:t>
      </w:r>
      <w:bookmarkEnd w:id="203"/>
      <w:bookmarkEnd w:id="204"/>
    </w:p>
    <w:p w:rsidR="00CA14AB" w:rsidRPr="00E00B35" w:rsidRDefault="00CA14AB" w:rsidP="00E00B35">
      <w:pPr>
        <w:pStyle w:val="Nagwek5"/>
        <w:rPr>
          <w:szCs w:val="20"/>
        </w:rPr>
      </w:pPr>
      <w:r w:rsidRPr="00E00B35">
        <w:rPr>
          <w:szCs w:val="20"/>
        </w:rPr>
        <w:t>WYPRAWKA WROCŁAWSKA</w:t>
      </w:r>
    </w:p>
    <w:p w:rsidR="00CA14AB" w:rsidRPr="00E00B35" w:rsidRDefault="00CA14AB" w:rsidP="00E00B35">
      <w:pPr>
        <w:spacing w:after="0" w:line="312" w:lineRule="auto"/>
        <w:rPr>
          <w:szCs w:val="20"/>
        </w:rPr>
      </w:pPr>
      <w:r w:rsidRPr="00E00B35">
        <w:rPr>
          <w:szCs w:val="20"/>
        </w:rPr>
        <w:t>Wrocławska Wyprawka przysługuje dzieciom urodzonym w dniach od 1 stycznia 2019 roku. W skład wyprawki wchodzi: list Prezydenta Miasta Wrocławia, Wrocławski Informator Rodzinny, karta biblioteczna, książka dla dziecka, zabawka oraz tekstylne materiały promocyjne (kocyk, body dziecięce). Celem projektu Wyprawka Wrocławska jest wsparcie oraz promocja rodziny, w szczególności rodzin z nowo narodzonymi dziećmi oraz przekazanie w atrakcyjny sposób informacji nt. form i możliwości wsparcia rodziny we Wrocławiu, a także wrocławskiej oferty prorodzinnej. Zadanie ma na celu również budowanie poczucia tożsamości i wzmacnianie dumy z miejsca urodzenia. Do dnia 31 grudnia 2019 r wydano  8231 Wyprawek (USC) i 332 (WCRS). W 2020 roku wydano łącznie 5348 Wyprawek (4802 USC i 546 WCRS). Na zadanie wydatkowano kwotę 2 106 486,13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WROŚNIJ WE WROCŁAW</w:t>
      </w:r>
    </w:p>
    <w:p w:rsidR="00CA14AB" w:rsidRPr="00E00B35" w:rsidRDefault="00CA14AB" w:rsidP="00E00B35">
      <w:pPr>
        <w:spacing w:after="0" w:line="312" w:lineRule="auto"/>
        <w:rPr>
          <w:szCs w:val="20"/>
        </w:rPr>
      </w:pPr>
      <w:r w:rsidRPr="00E00B35">
        <w:rPr>
          <w:szCs w:val="20"/>
        </w:rPr>
        <w:t xml:space="preserve">Program skierowany do najmłodszych wrocławian </w:t>
      </w:r>
      <w:r w:rsidRPr="00E00B35">
        <w:rPr>
          <w:szCs w:val="20"/>
        </w:rPr>
        <w:br/>
        <w:t xml:space="preserve">i ich rodziców, którzy z okazji narodzin dziecka mogą posadzić drzewo. To świetna okazja </w:t>
      </w:r>
      <w:r w:rsidRPr="00E00B35">
        <w:rPr>
          <w:szCs w:val="20"/>
        </w:rPr>
        <w:br/>
        <w:t xml:space="preserve">do upamiętnienia wyjątkowego momentu w życiu, jakim są narodziny dziecka. Aby dzieci i przyszłe pokolenia mogły cieszyć się czystym powietrzem, chcieliśmy pokazać, że każde drzewo jest ważne, a ich sadzenie może być doskonałą zabawą i nauką dbania </w:t>
      </w:r>
      <w:r w:rsidRPr="00E00B35">
        <w:rPr>
          <w:szCs w:val="20"/>
        </w:rPr>
        <w:br/>
        <w:t>o środowisko. Podczas akcji posadzono łącznie 600 drzew. Ze względu na czas pandemii nie zorganizowano żadnego wydarzenia plenerowego. Na zadanie wydatkowano kwotę 11869,12 zł.  W 2019 roku posadzono 570 drzew.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PROJEKT WRODZINA </w:t>
      </w:r>
    </w:p>
    <w:p w:rsidR="00CA14AB" w:rsidRPr="00E00B35" w:rsidRDefault="00CA14AB" w:rsidP="00E00B35">
      <w:pPr>
        <w:spacing w:after="0" w:line="312" w:lineRule="auto"/>
        <w:rPr>
          <w:szCs w:val="20"/>
        </w:rPr>
      </w:pPr>
      <w:r w:rsidRPr="00E00B35">
        <w:rPr>
          <w:szCs w:val="20"/>
        </w:rPr>
        <w:t xml:space="preserve">To odświeżenie projektu Wrocławska Akademia Rodziny poprzez zmianę nazwy i zdobycie nowych prelegentów. Projekt wspiera rodziny, pomaga budować pozytywne więzi poprzez realizację jednorazowych wydarzeń (warsztaty, wykłady, szkolenia, debaty, webinary). Tylko jedno wydarzenie odbyło się w stacjonarnie, pozostałe w związku z epidemią koronawirusa odbywały się online. Tematyka była dopierana do aktualnych wydarzeń: stres, samotność, cyberbezpieczeństwo, emocje, uważność oraz dotykała tematów ogólnych jak rozwój mowy dziecka czy komunikacja. W 49 różnych wydarzeniach wzięło udział ok. 1800 osób. Na zadanie wydatkowano kwotę 34 071,27 zł.  W 2019 w ramach projektu zorganizowano 50 wydarzeń edukacji bezpośredniej dla ok. 660 osób. </w:t>
      </w:r>
    </w:p>
    <w:p w:rsidR="00CA14AB" w:rsidRPr="00E00B35" w:rsidRDefault="00CA14AB" w:rsidP="00E00B35">
      <w:pPr>
        <w:spacing w:after="0" w:line="312" w:lineRule="auto"/>
        <w:rPr>
          <w:szCs w:val="20"/>
        </w:rPr>
      </w:pPr>
      <w:r w:rsidRPr="00E00B35">
        <w:rPr>
          <w:szCs w:val="20"/>
        </w:rPr>
        <w:t>DZIAŁANIA W RAMACH PROJEKTU „MOJA RODZINA” ORAZ „MIESIĄC RODZINY”</w:t>
      </w:r>
    </w:p>
    <w:p w:rsidR="00CA14AB" w:rsidRPr="00E00B35" w:rsidRDefault="00CA14AB" w:rsidP="00E00B35">
      <w:pPr>
        <w:spacing w:after="0" w:line="312" w:lineRule="auto"/>
        <w:rPr>
          <w:szCs w:val="20"/>
        </w:rPr>
      </w:pPr>
      <w:r w:rsidRPr="00E00B35">
        <w:rPr>
          <w:szCs w:val="20"/>
        </w:rPr>
        <w:t xml:space="preserve">Projekt „Moja Rodzina” obejmuje działania całoroczne oraz szczególną kumulację wydarzeń na przełomie maja i czerwca, czyli „Miesiąc Rodziny”. W 2020 roku działania w </w:t>
      </w:r>
      <w:r w:rsidRPr="00E00B35">
        <w:rPr>
          <w:szCs w:val="20"/>
        </w:rPr>
        <w:lastRenderedPageBreak/>
        <w:t>ramach projektu w związku z pandemią koronawirusa odbyły się on-line. Wykłady oraz szkolenia miały na celu rozwój i wsparcie rodzin. Tematyka wykładów dotyczyła emocji, leku, jak sobie z nim radzić, rozwoju, uważności, pracy nad sobą, wsparcia siebie i osób najbliższych.  W ramach MR przeprowadzone zostały 32 warsztaty, z których skorzystało około 1000 osób. Na zadanie wydatkowano kwotę 17 500,12 zł. W 2019 roku zorganizowano 5 dużych imprez plenerowych. We wszystkich imprezach udział wzięło ok. 15 000 osób. W roku 2018  - 10000 osób a w 2017 roku -  5000 osób.</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MIĘDZYNARODOWY TYDZIEŃ MAŁŻEŃSTWA </w:t>
      </w:r>
    </w:p>
    <w:p w:rsidR="00CA14AB" w:rsidRPr="00E00B35" w:rsidRDefault="00CA14AB" w:rsidP="00E00B35">
      <w:pPr>
        <w:spacing w:after="0" w:line="312" w:lineRule="auto"/>
        <w:rPr>
          <w:szCs w:val="20"/>
        </w:rPr>
      </w:pPr>
      <w:r w:rsidRPr="00E00B35">
        <w:rPr>
          <w:szCs w:val="20"/>
        </w:rPr>
        <w:t>Projekt promujący szczególną, komplementarną więź kobiety i mężczyzny. Celem projektu było wzmacnianie relacji małżeńskich oraz motywowanie ogółu społeczeństwa, specjalistów, media i osoby publiczne do promowania znaczenia wartości małżeństwa. Tydzień Małżeństwa odbył się w terminie 7-14 lutego. W ramach wrocławskich obchodów proponowano udział w ciekawych prelekcjach i warsztatach oraz możliwość skorzystania z konsultacji dla par. Wzięły w nich udział 103 osoby. Dodatkową atrakcją był bezpłatny pokaz filmu "Historia małżeńska" w Dolnośląskim Centrum Filmowym. Na seans przybyło ok. 80 osób. Na zadanie wydatkowano kwotę 2 619,02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ANIOŁKOWE GRANIE</w:t>
      </w:r>
    </w:p>
    <w:p w:rsidR="00CA14AB" w:rsidRPr="00E00B35" w:rsidRDefault="00CA14AB" w:rsidP="00E00B35">
      <w:pPr>
        <w:spacing w:after="0" w:line="312" w:lineRule="auto"/>
        <w:rPr>
          <w:szCs w:val="20"/>
        </w:rPr>
      </w:pPr>
      <w:r w:rsidRPr="00E00B35">
        <w:rPr>
          <w:szCs w:val="20"/>
        </w:rPr>
        <w:t xml:space="preserve">To ogólnopolski projekt edukacyjny, którego celem było promowanie idei rodzicielstwa zastępczego wśród dzieci, młodzieży, rodziców i placówek edukacyjnych. Założeniem projektu była integracja środowisk szkół, przedszkoli i placówek opiekuńczych poprzez: seminaria, szkolenia, konferencje, najróżniejsze zajęcia i animacje oraz koncert, który odbył się już po raz szesnasty 17.01.2020r. Bardzo ważnym wkładem WCRS było także wyprodukowanie w roku 2019 płyty CD z piosenkami i książeczką z tekstami utworów oraz opisem całego projektu. Płyta posłużyła jako element promujący projekt także w roku bieżącym. Na zadanie wydatkowano kwotę 2 749,80 zł. </w:t>
      </w:r>
    </w:p>
    <w:p w:rsidR="00CA14AB" w:rsidRPr="00E00B35" w:rsidRDefault="00CA14AB" w:rsidP="00E00B35">
      <w:pPr>
        <w:spacing w:after="0" w:line="312" w:lineRule="auto"/>
        <w:rPr>
          <w:szCs w:val="20"/>
        </w:rPr>
      </w:pPr>
      <w:r w:rsidRPr="00E00B35">
        <w:rPr>
          <w:szCs w:val="20"/>
        </w:rPr>
        <w:t xml:space="preserve">Zadania realizowane w ramach współpracy z organizacjami pozarządowymi: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PROWADZENIE TRZECH KLUBÓW OJCA WE WROCŁAWIU W 2020 ROKU </w:t>
      </w:r>
    </w:p>
    <w:p w:rsidR="00CA14AB" w:rsidRPr="00E00B35" w:rsidRDefault="00CA14AB" w:rsidP="00E00B35">
      <w:pPr>
        <w:spacing w:after="0" w:line="312" w:lineRule="auto"/>
        <w:rPr>
          <w:szCs w:val="20"/>
        </w:rPr>
      </w:pPr>
      <w:r w:rsidRPr="00E00B35">
        <w:rPr>
          <w:szCs w:val="20"/>
        </w:rPr>
        <w:t xml:space="preserve">Zadanie polegało na aktywizacji, integracji, rozwoju i wsparciu trzech Ojcowskich Klubów m. in. poprzez prowadzenie spotkań warsztatowych otwartych dla wszystkich zainteresowanych mężczyzn raz w miesiącu, w każdym z trzech klubów, prowadzenie różnego rodzaju ogólnodostępnych spotkań, których celem było zaktywizowanie ojców </w:t>
      </w:r>
      <w:r w:rsidRPr="00E00B35">
        <w:rPr>
          <w:szCs w:val="20"/>
        </w:rPr>
        <w:br/>
        <w:t xml:space="preserve">i zaproszenie ich do udziału w zajęciach Klubu Ojca, W związku z epidemią COVID-19 czasowo formę spotkań została zmieniona na wideokonferencje. W 72 spotkaniach </w:t>
      </w:r>
      <w:r w:rsidRPr="00E00B35">
        <w:rPr>
          <w:szCs w:val="20"/>
        </w:rPr>
        <w:br/>
        <w:t xml:space="preserve">i warsztatach wzięło aktywny udział 669 osób. Na realizację zadania wydatkowano kwotę 60 000 zł. W spotkaniach i warsztatach w 2019 roku wzięło aktywny udział  540  osób. Szacuje się że około 1000 osób odwiedziło stoiska Wrocławskich Klubów Ojca podczas wydarzeń piknikowych.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ORGANIZACJA ORSZAKU TRZECH KRÓLI W 2020 ROKU</w:t>
      </w:r>
    </w:p>
    <w:p w:rsidR="00CA14AB" w:rsidRPr="00E00B35" w:rsidRDefault="00CA14AB" w:rsidP="00E00B35">
      <w:pPr>
        <w:spacing w:after="0" w:line="312" w:lineRule="auto"/>
        <w:rPr>
          <w:rStyle w:val="Nagwek5Znak"/>
          <w:szCs w:val="20"/>
        </w:rPr>
      </w:pPr>
      <w:r w:rsidRPr="00E00B35">
        <w:rPr>
          <w:szCs w:val="20"/>
        </w:rPr>
        <w:t xml:space="preserve">W ramach zadania już po raz dziesiąty w dniu 6.01.2020 roku zorganizowano we Wrocławiu Orszak Trzech Króli. Szacuje się, że w wydarzeniu udział wzięło około 20 000 mieszkańców Wrocławia oraz gości. Orszak rozpoczął pochód na placu przed Katedrą, a następnie uczestnicy przemaszerowali do stajenki w Rynku.  Zwieńczeniem pochodu był koncert zespołów Agaliasis i Arki Noego. Podczas imprezy rozdano 3 000 sztuk śpiewników kolęd specjalnie przygotowanych oraz 6 000 koron. Na zadanie wydatkowano kwotę 55 920,24 zł. </w:t>
      </w:r>
      <w:r w:rsidRPr="00E00B35">
        <w:rPr>
          <w:szCs w:val="20"/>
        </w:rPr>
        <w:br/>
      </w:r>
      <w:r w:rsidR="009A1F58" w:rsidRPr="00E00B35">
        <w:rPr>
          <w:rStyle w:val="Nagwek5Znak"/>
          <w:szCs w:val="20"/>
        </w:rPr>
        <w:br/>
      </w:r>
      <w:r w:rsidRPr="00E00B35">
        <w:rPr>
          <w:rStyle w:val="Nagwek5Znak"/>
          <w:szCs w:val="20"/>
        </w:rPr>
        <w:t>KLUB MAMUŚKI ONLINE</w:t>
      </w:r>
    </w:p>
    <w:p w:rsidR="00CA14AB" w:rsidRPr="00E00B35" w:rsidRDefault="00CA14AB" w:rsidP="00E00B35">
      <w:pPr>
        <w:spacing w:after="0" w:line="312" w:lineRule="auto"/>
        <w:rPr>
          <w:szCs w:val="20"/>
        </w:rPr>
      </w:pPr>
      <w:r w:rsidRPr="00E00B35">
        <w:rPr>
          <w:szCs w:val="20"/>
        </w:rPr>
        <w:t>Celem realizacji projektu było wsparcie mam w trudnej sytuacji epidemicznej, kobiet, które na co dzień łączą role zawodowe i rodzinne z opieką nad dziećmi. Warsztatowa forma zajęć on-line miała im pozwolić zdobyć nowe umiejętności i odkryć pasje lub talenty. Cykliczne uczestnictwo w niezmiennej grupie innych mam dało im również możliwość uzyskania wsparcia i możliwość dzielenia się codziennymi doświadczeniami. Zrealizowano 5 kreatywnych spotkań w wersji on-line. Zadanie dofinansowano kwotą 10 000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SZTUKA DLA MALUCHA </w:t>
      </w:r>
    </w:p>
    <w:p w:rsidR="00CA14AB" w:rsidRPr="00E00B35" w:rsidRDefault="00CA14AB" w:rsidP="00E00B35">
      <w:pPr>
        <w:spacing w:after="0" w:line="312" w:lineRule="auto"/>
        <w:rPr>
          <w:szCs w:val="20"/>
        </w:rPr>
      </w:pPr>
      <w:r w:rsidRPr="00E00B35">
        <w:rPr>
          <w:szCs w:val="20"/>
        </w:rPr>
        <w:t>Zadania polegało na organizacji cyklu 6 kreatywnych spotkań online dla 15 dzieci w wieku przedszkolnym i wczesnoszkolnym.</w:t>
      </w:r>
      <w:r w:rsidRPr="00E00B35">
        <w:rPr>
          <w:rFonts w:eastAsia="Verdana"/>
          <w:szCs w:val="20"/>
        </w:rPr>
        <w:t xml:space="preserve"> Zadanie dofinansowano kwotą 9990 zł.</w:t>
      </w:r>
    </w:p>
    <w:p w:rsidR="005E6C69" w:rsidRPr="00E00B35" w:rsidRDefault="005E6C69" w:rsidP="00E00B35">
      <w:pPr>
        <w:pStyle w:val="Nagwek4"/>
        <w:spacing w:before="0" w:after="0" w:line="312" w:lineRule="auto"/>
        <w:rPr>
          <w:sz w:val="20"/>
          <w:szCs w:val="20"/>
        </w:rPr>
      </w:pPr>
      <w:bookmarkStart w:id="205" w:name="_Toc72352349"/>
      <w:bookmarkStart w:id="206" w:name="_Toc72352783"/>
    </w:p>
    <w:p w:rsidR="00CA14AB" w:rsidRPr="00E00B35" w:rsidRDefault="00CA14AB" w:rsidP="00E00B35">
      <w:pPr>
        <w:pStyle w:val="Nagwek4"/>
        <w:spacing w:before="0" w:after="0" w:line="312" w:lineRule="auto"/>
        <w:rPr>
          <w:sz w:val="20"/>
          <w:szCs w:val="20"/>
        </w:rPr>
      </w:pPr>
      <w:r w:rsidRPr="00E00B35">
        <w:rPr>
          <w:sz w:val="20"/>
          <w:szCs w:val="20"/>
        </w:rPr>
        <w:t>V WOLONTARIAT</w:t>
      </w:r>
      <w:bookmarkEnd w:id="205"/>
      <w:bookmarkEnd w:id="206"/>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ZESPÓŁ DO SPRAW WOLONTARIATU</w:t>
      </w:r>
    </w:p>
    <w:p w:rsidR="00CA14AB" w:rsidRPr="00E00B35" w:rsidRDefault="00CA14AB" w:rsidP="00E00B35">
      <w:pPr>
        <w:spacing w:after="0" w:line="312" w:lineRule="auto"/>
        <w:rPr>
          <w:szCs w:val="20"/>
        </w:rPr>
      </w:pPr>
      <w:r w:rsidRPr="00E00B35">
        <w:rPr>
          <w:szCs w:val="20"/>
        </w:rPr>
        <w:t xml:space="preserve">Na terenie Miasta działa </w:t>
      </w:r>
      <w:r w:rsidRPr="00E00B35">
        <w:rPr>
          <w:rFonts w:eastAsia="font415"/>
          <w:szCs w:val="20"/>
        </w:rPr>
        <w:t>Zespół do spraw Wolontariatu</w:t>
      </w:r>
      <w:r w:rsidRPr="00E00B35">
        <w:rPr>
          <w:szCs w:val="20"/>
        </w:rPr>
        <w:t xml:space="preserve">, którego celem jest promowanie i wsparcie działań wolontariackich  jako formy aktywności społecznej wspierającej rozwój osobisty i społeczny.  </w:t>
      </w:r>
    </w:p>
    <w:p w:rsidR="00CA14AB" w:rsidRPr="00E00B35" w:rsidRDefault="00CA14AB" w:rsidP="00E00B35">
      <w:pPr>
        <w:spacing w:after="0" w:line="312" w:lineRule="auto"/>
        <w:rPr>
          <w:szCs w:val="20"/>
        </w:rPr>
      </w:pPr>
      <w:r w:rsidRPr="00E00B35">
        <w:rPr>
          <w:rFonts w:eastAsia="font415"/>
          <w:szCs w:val="20"/>
        </w:rPr>
        <w:t>Baza ofert wolontariatu</w:t>
      </w:r>
      <w:r w:rsidRPr="00E00B35">
        <w:rPr>
          <w:szCs w:val="20"/>
        </w:rPr>
        <w:t xml:space="preserve"> - Na stronie internetowej wolontariat.wroclaw.pl. prowadzona jest elektroniczna baza ofert wolontariatu, która umożliwia mieszkańcom zapoznanie się z aktualnymi ofertami różnych podmiotów, wg. rozmaitych kategorii (m.in.: sport, kultura, edukacja, ekologia, dzieci, seniorzy). W roku 2020 na stronie internetowej pojawiło się 51 ofert w różnych kategoriach. Prowadzony był profil na portalu społecznościowym Facebook (7064 obserwujących użytkowników). Pracownicy zespołu wolontariatu WCRS udzielali niezbędnych informacji i konsultacji.  Prowadzone były również działania promujące aktywność społeczną w ramach wolontariatu  </w:t>
      </w:r>
      <w:r w:rsidRPr="00E00B35">
        <w:rPr>
          <w:szCs w:val="20"/>
        </w:rPr>
        <w:br/>
        <w:t xml:space="preserve">w lokalnych mediach oraz inne zdania wspierające rozwój wolontariatu we Wrocławiu. </w:t>
      </w:r>
      <w:r w:rsidRPr="00E00B35">
        <w:rPr>
          <w:rFonts w:eastAsia="Verdana"/>
          <w:szCs w:val="20"/>
        </w:rPr>
        <w:t>Kwota wydatkowania na zadanie: 7788,57</w:t>
      </w:r>
      <w:r w:rsidRPr="00E00B35">
        <w:rPr>
          <w:szCs w:val="20"/>
        </w:rPr>
        <w:t xml:space="preserve"> zł.  </w:t>
      </w:r>
    </w:p>
    <w:p w:rsidR="00CA14AB" w:rsidRPr="00E00B35" w:rsidRDefault="00CA14AB" w:rsidP="00E00B35">
      <w:pPr>
        <w:spacing w:after="0" w:line="312" w:lineRule="auto"/>
        <w:rPr>
          <w:szCs w:val="20"/>
        </w:rPr>
      </w:pPr>
      <w:r w:rsidRPr="00E00B35">
        <w:rPr>
          <w:rFonts w:eastAsia="font415"/>
          <w:szCs w:val="20"/>
        </w:rPr>
        <w:t>Konkursy dla wolontariuszy „Ośmiu Wspaniałych Wrocławia” oraz „Wrocławskie Oblicza Wolontariatu”</w:t>
      </w:r>
      <w:r w:rsidRPr="00E00B35">
        <w:rPr>
          <w:szCs w:val="20"/>
        </w:rPr>
        <w:t xml:space="preserve">. Celem konkursów było promowanie wolontariatu we Wrocławiu poprzez wyróżnienie osób, które podejmują działania pomocowe na rzecz innych osób, angażują się w inicjatywny i projekty o charakterze społecznym i dzielą się swoimi </w:t>
      </w:r>
      <w:r w:rsidRPr="00E00B35">
        <w:rPr>
          <w:szCs w:val="20"/>
        </w:rPr>
        <w:lastRenderedPageBreak/>
        <w:t xml:space="preserve">umiejętnościami, włączając się w działania realizowane przez wrocławskie organizacje pozarządowe, instytucje oraz pracodawców. W 2020 r. odbyła się XXVI edycja Ogólnopolskiego Samorządowego Konkursu Nastolatków „Ośmiu Wspaniałych” adresowana do dzieci i młodzieży szkolnej  oraz  trzecia edycja konkursu „Wrocławskie Oblicza Wolontariatu” adresowanego do pełnoletnich wolontariuszy. </w:t>
      </w:r>
      <w:r w:rsidRPr="00E00B35">
        <w:rPr>
          <w:szCs w:val="20"/>
        </w:rPr>
        <w:br/>
        <w:t>W Konkursie „Ośmiu Wspaniałych” zgłoszono łącznie 542 uczniów (wyróżniono 8 grup młodzieżowych oraz 12 osób w kategorii indywidualnej). Przedstawiciel Wrocławia, został wyróżniony w ogólnopolskiej edycji znajdując się w grupie „Ośmiu Wspaniałych Polski”.  W konkursie „Wrocławskie Oblicza Wolontariatu” wrocławskie instytucje i organizacje pozarządowe oraz pracodawcy zgłosili 121 wolontariuszy ( wyróżniono 5 grup oraz 5 osób w kategorii indywidualnej). Kwota wydatkowania na zadanie: 30 957,75 zł.</w:t>
      </w:r>
    </w:p>
    <w:p w:rsidR="00CA14AB" w:rsidRPr="00E00B35" w:rsidRDefault="00CA14AB" w:rsidP="00E00B35">
      <w:pPr>
        <w:spacing w:after="0" w:line="312" w:lineRule="auto"/>
        <w:rPr>
          <w:szCs w:val="20"/>
        </w:rPr>
      </w:pPr>
      <w:r w:rsidRPr="00E00B35">
        <w:rPr>
          <w:rFonts w:eastAsia="font415"/>
          <w:szCs w:val="20"/>
        </w:rPr>
        <w:t>Wrocław Wspiera Seniora</w:t>
      </w:r>
      <w:r w:rsidRPr="00E00B35">
        <w:rPr>
          <w:szCs w:val="20"/>
        </w:rPr>
        <w:t xml:space="preserve"> -  W związku z pandemią COVID – 19 uruchomiony został program wsparcia Seniorów realizowany we współpracy z wrocławskimi organizacjami pozarządowymi oraz Miejskim Ośrodkiem Pomocy Społecznej. Program skierowany był do osób w wieku 70+, którzy w czasie pandemii pozostają w domu i potrzebują pomocy zapewnieniu podstawowych potrzeb. W ramach programu nawiązano współpracę z 297 wolontariuszami (liczba podpisanych porozumień). </w:t>
      </w:r>
      <w:r w:rsidRPr="00E00B35">
        <w:rPr>
          <w:rFonts w:eastAsia="Verdana"/>
          <w:szCs w:val="20"/>
        </w:rPr>
        <w:t>Kwota wydatkowania na zadanie: 13149,31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PROJEKT POD WSPÓLNYM PARASOLEM </w:t>
      </w:r>
    </w:p>
    <w:p w:rsidR="00CA14AB" w:rsidRPr="00E00B35" w:rsidRDefault="00CA14AB" w:rsidP="00E00B35">
      <w:pPr>
        <w:spacing w:after="0" w:line="312" w:lineRule="auto"/>
        <w:rPr>
          <w:szCs w:val="20"/>
        </w:rPr>
      </w:pPr>
      <w:r w:rsidRPr="00E00B35">
        <w:rPr>
          <w:szCs w:val="20"/>
        </w:rPr>
        <w:t xml:space="preserve">Celem projektu było podkreślenie roli wolontariatu i pracy społecznej w kształtowaniu wizerunku miasta Wrocław jako miejsca dbającego o rozwój społeczny.  Jest to projekt polegający na zorganizowaniu serii warsztatów literackich i teatralnych. W warsztatach uczestniczyli wolontariusze, którzy uczyli się wyrażać swoje uczucia i doświadczenie w krótkich formach literackich, zwieńczonych wydaniem książki z wybranymi utworami powstałymi na zajęciach. </w:t>
      </w:r>
      <w:r w:rsidRPr="00E00B35">
        <w:rPr>
          <w:szCs w:val="20"/>
        </w:rPr>
        <w:br/>
        <w:t xml:space="preserve">W publikacji znajdują się także wywiady z lokalnymi działaczami społecznymi oraz informacje na temat instytucji, które na co dzień współpracują z wolontariuszami. </w:t>
      </w:r>
      <w:r w:rsidRPr="00E00B35">
        <w:rPr>
          <w:szCs w:val="20"/>
        </w:rPr>
        <w:br/>
        <w:t xml:space="preserve">7 lutego odbyła się oficjalna premiera książki w Ratuszu Wrocławskim w obecności Prezydenta Miasta Wrocław, Jacka Sutryka, który objął projekt patronatem honorowym. W premierze wzięli udział autorzy tekstów, przedstawiciele instytucji związanych </w:t>
      </w:r>
      <w:r w:rsidRPr="00E00B35">
        <w:rPr>
          <w:szCs w:val="20"/>
        </w:rPr>
        <w:br/>
        <w:t>z wolontariatem oraz środowiskiem medycznym, przedstawiciele środowiska osób niepełnosprawnych, terapeutów.  Na skutek wybuchu pandemii seria spotkań autorskich promujących książkę została odwołana. Podjęto współpracę z bibliotekami, kawiarniami, instytucjami kultury w celu umożliwienia spotkań autorskich w okresie, kiedy będzie to bezpieczne dla uczestników. Na zadanie wydatkowano 5 148,00 zł.</w:t>
      </w:r>
    </w:p>
    <w:p w:rsidR="005E6C69" w:rsidRPr="00E00B35" w:rsidRDefault="005E6C69" w:rsidP="00E00B35">
      <w:pPr>
        <w:pStyle w:val="Nagwek4"/>
        <w:spacing w:before="0" w:after="0" w:line="312" w:lineRule="auto"/>
        <w:rPr>
          <w:sz w:val="20"/>
          <w:szCs w:val="20"/>
        </w:rPr>
      </w:pPr>
      <w:bookmarkStart w:id="207" w:name="_Toc72352350"/>
      <w:bookmarkStart w:id="208" w:name="_Toc72352784"/>
    </w:p>
    <w:p w:rsidR="00CA14AB" w:rsidRPr="00E00B35" w:rsidRDefault="00CA14AB" w:rsidP="00E00B35">
      <w:pPr>
        <w:pStyle w:val="Nagwek4"/>
        <w:spacing w:before="0" w:after="0" w:line="312" w:lineRule="auto"/>
        <w:rPr>
          <w:sz w:val="20"/>
          <w:szCs w:val="20"/>
        </w:rPr>
      </w:pPr>
      <w:r w:rsidRPr="00E00B35">
        <w:rPr>
          <w:sz w:val="20"/>
          <w:szCs w:val="20"/>
        </w:rPr>
        <w:t>VI EDUKACJA SPOŁECZNA</w:t>
      </w:r>
      <w:bookmarkEnd w:id="207"/>
      <w:bookmarkEnd w:id="208"/>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WROCŁAWSKA KONCEPCJA EDUKACYJNA </w:t>
      </w:r>
    </w:p>
    <w:p w:rsidR="00CA14AB" w:rsidRPr="00E00B35" w:rsidRDefault="00CA14AB" w:rsidP="00E00B35">
      <w:pPr>
        <w:spacing w:after="0" w:line="312" w:lineRule="auto"/>
        <w:rPr>
          <w:szCs w:val="20"/>
        </w:rPr>
      </w:pPr>
      <w:r w:rsidRPr="00E00B35">
        <w:rPr>
          <w:szCs w:val="20"/>
        </w:rPr>
        <w:t xml:space="preserve">Nowatorski edukacyjny nurt społeczny zapisany w strategii rozwoju miasta obejmujący systemowe rozwiązania w obszarze wspierania rozwoju dzieci i młodzieży oraz pomocy edukacyjnej służącej środowisku oświatowemu, w tym: nauczycielom, wychowawcom, </w:t>
      </w:r>
      <w:r w:rsidRPr="00E00B35">
        <w:rPr>
          <w:szCs w:val="20"/>
        </w:rPr>
        <w:lastRenderedPageBreak/>
        <w:t xml:space="preserve">dyrektorom, rodzicom </w:t>
      </w:r>
      <w:r w:rsidRPr="00E00B35">
        <w:rPr>
          <w:szCs w:val="20"/>
        </w:rPr>
        <w:br/>
        <w:t xml:space="preserve">i opiekunom uczniów. Dotyczy również podejmowania twórczych inicjatyw edukacyjnych dla zainteresowanych mieszkańców miasta i środowiska aglomeracji, poprzez inspiracje środowiskowe, współpracę ze światem nauki i kultury lokalnie, w kraju i za granicą, budowanie postaw kreatywnych, kompetencji międzykulturowych. Wrocławska Koncepcja Edukacyjna łączy trzy programy: Młodzi Obywatele Kultury, Młodzi Obywatele Nauki - </w:t>
      </w:r>
      <w:r w:rsidRPr="00E00B35">
        <w:rPr>
          <w:szCs w:val="20"/>
        </w:rPr>
        <w:br/>
        <w:t xml:space="preserve">w tym Akademia Talentów i Uzdolnień - oraz Młodzi Obywatele Świata.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Akademia Talentów i Uzdolnień</w:t>
      </w:r>
    </w:p>
    <w:p w:rsidR="00CA14AB" w:rsidRPr="00E00B35" w:rsidRDefault="00CA14AB" w:rsidP="00E00B35">
      <w:pPr>
        <w:spacing w:after="0" w:line="312" w:lineRule="auto"/>
        <w:rPr>
          <w:szCs w:val="20"/>
        </w:rPr>
      </w:pPr>
      <w:r w:rsidRPr="00E00B35">
        <w:rPr>
          <w:szCs w:val="20"/>
        </w:rPr>
        <w:t xml:space="preserve">To inicjatywa wpisana w program Młodzi Obywatele Nauki - integralna część Wrocławskiej Koncepcji Edukacyjnej, zgodna z nurtem wieloletniej strategii rozwoju edukacji Wrocławia. Obejmuje aktualnie różnorodne działania z zakresu: aktywności, zainteresowań i poszukiwań różnorodnych działań naukowych, społecznych, twórczych we współpracy z grupą ekspertów i mentorów oraz środowiska naukowego, oświatowego i biznesowego.  WKE obejmuje prace, w tym: projekty badawcze, warsztaty, konkursy, fora dyskusyjne, gry miejskie - lokalnie i na terenie kraju. Ze względu na zaistniałą sytuację związaną z COVID – 19 zostały zaprojektowane oraz zrealizowane projekty on – line m.in. „Zda(l)ne matury”, „Zda(l)ny egzamin ósmoklasisty” (liczba maturzystów korzystających z projektu – 550 osób, liczba ósmokalsistów korzystających z projektu  - 374 osoby), „Zacznij poniedziałek z ATiU”. </w:t>
      </w:r>
      <w:r w:rsidRPr="00E00B35">
        <w:rPr>
          <w:szCs w:val="20"/>
        </w:rPr>
        <w:br/>
        <w:t>W sumie w 20 projektach Wrocławskiej Koncepcji edukacyjnej udział wzięło około 3050 osób. W czasie pandemii uruchomiono zakładkę pod nawą #Zostanwdomu na stronie Wrocławskiej Koncepcji Edukacyjnej. Udostępniono na niej około 100 propozycji  na spędzenie czasu w domu podczas kwarantanny.</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Ośrodek Wspierania i Rozwoju</w:t>
      </w:r>
    </w:p>
    <w:p w:rsidR="00CA14AB" w:rsidRPr="00E00B35" w:rsidRDefault="00CA14AB" w:rsidP="00E00B35">
      <w:pPr>
        <w:spacing w:after="0" w:line="312" w:lineRule="auto"/>
        <w:rPr>
          <w:szCs w:val="20"/>
        </w:rPr>
      </w:pPr>
      <w:r w:rsidRPr="00E00B35">
        <w:rPr>
          <w:szCs w:val="20"/>
        </w:rPr>
        <w:t>Działania realizowane w ramach Ośrodka Wspierania i Rozwoju w okresie stanu zagrożenia epidemiologicznego a później pandemii zostały dostosowane do aktualnych potrzeb. Zespół OWiR zajął się obszarami: Edukacja i rozwój w dobie ograniczeń społecznych. Integracja wiedzy i emocji - drogą powrotu do społecznych aktywności.  Dbałość o rozwój emocjonalny dzieci i rodziców. Szkolenia i warsztaty zostały przeprowadzone hybrydowo: część stacjonarnie i inne przeniesione do sieci internetowej.  Od stycznia do grudnia 2020 r. zadanie objęło około 900 uczestników, odbyło się  34  szkolenia-warsztaty online w tym 12 stacjonarnie dla dzieci z rodzicami, młodzieży i osób dorosłych.</w:t>
      </w:r>
    </w:p>
    <w:p w:rsidR="00CA14AB" w:rsidRPr="00E00B35" w:rsidRDefault="00CA14AB" w:rsidP="00E00B35">
      <w:pPr>
        <w:spacing w:after="0" w:line="312" w:lineRule="auto"/>
        <w:rPr>
          <w:szCs w:val="20"/>
        </w:rPr>
      </w:pPr>
      <w:r w:rsidRPr="00E00B35">
        <w:rPr>
          <w:rFonts w:eastAsia="Verdana"/>
          <w:szCs w:val="20"/>
        </w:rPr>
        <w:t>Kwota wydatkowana na zadania realizowane w ramach programu  Akademii Talentów i Uzdolnień: 218 764,70 zł.</w:t>
      </w:r>
    </w:p>
    <w:p w:rsidR="00CA14AB" w:rsidRPr="00E00B35" w:rsidRDefault="00CA14AB" w:rsidP="00E00B35">
      <w:pPr>
        <w:spacing w:after="0" w:line="312" w:lineRule="auto"/>
        <w:rPr>
          <w:szCs w:val="20"/>
        </w:rPr>
      </w:pPr>
      <w:r w:rsidRPr="00E00B35">
        <w:rPr>
          <w:szCs w:val="20"/>
        </w:rPr>
        <w:t xml:space="preserve">Zadania realizowane w ramach współpracy z organizacjami pozarządowymi: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PROMOCJA WROCŁAWIA POPRZEZ REALIZACJĘ PROJEKTU „KREATYWNY WROCŁAW” </w:t>
      </w:r>
    </w:p>
    <w:p w:rsidR="00CA14AB" w:rsidRPr="00E00B35" w:rsidRDefault="00CA14AB" w:rsidP="00E00B35">
      <w:pPr>
        <w:spacing w:after="0" w:line="312" w:lineRule="auto"/>
        <w:rPr>
          <w:szCs w:val="20"/>
        </w:rPr>
      </w:pPr>
      <w:r w:rsidRPr="00E00B35">
        <w:rPr>
          <w:szCs w:val="20"/>
        </w:rPr>
        <w:t xml:space="preserve">W ramach realizacji zadania zaplanowanej na okres 1 stycznia - 31 lipca 2020 roku, przygotowano i przeprowadzono we Wrocławiu Wirtualny Jubileusz - XV Ogólnopolską </w:t>
      </w:r>
      <w:r w:rsidRPr="00E00B35">
        <w:rPr>
          <w:szCs w:val="20"/>
        </w:rPr>
        <w:lastRenderedPageBreak/>
        <w:t xml:space="preserve">Olimpiadę Kreatywności Destination Imagination. Ze względu </w:t>
      </w:r>
      <w:r w:rsidRPr="00E00B35">
        <w:rPr>
          <w:szCs w:val="20"/>
        </w:rPr>
        <w:br/>
        <w:t xml:space="preserve">na ogólnoświatową pandemię koronawirusa, Olimpiada nie mogła odbyć się stacjonarnie, w zaplanowanym wstępnie terminie marcowym. Dlatego też po raz pierwszy, zorganizowana została Olimpiada w formie wirtualnej, zapewniająca uczestnikom bezpieczeństwo i możliwość oceny przez grono Ekspertów, filmów prezentujących projekty, nad którymi drużyny pracowały przez kilka miesięcy. Wirtualna Olimpiada odbyła się w dn. 19-21 czerwca 2020 roku we Wrocławiu. Ceremonia Otwarcia </w:t>
      </w:r>
      <w:r w:rsidRPr="00E00B35">
        <w:rPr>
          <w:szCs w:val="20"/>
        </w:rPr>
        <w:br/>
        <w:t xml:space="preserve">i Zamknięcia realizowane były w formie transmisji na żywo z Hotelu Invite we Wrocławiu </w:t>
      </w:r>
      <w:r w:rsidRPr="00E00B35">
        <w:rPr>
          <w:szCs w:val="20"/>
        </w:rPr>
        <w:br/>
        <w:t xml:space="preserve">i zgromadziły przed ekranami każdorazowo ponad 1300 widzów. Aktualnie to łącznie ponad 5 500 wyświetleń na kanale YouTube. </w:t>
      </w:r>
    </w:p>
    <w:p w:rsidR="00CA14AB" w:rsidRPr="00E00B35" w:rsidRDefault="00CA14AB" w:rsidP="00E00B35">
      <w:pPr>
        <w:spacing w:after="0" w:line="312" w:lineRule="auto"/>
        <w:rPr>
          <w:szCs w:val="20"/>
        </w:rPr>
      </w:pPr>
      <w:r w:rsidRPr="00E00B35">
        <w:rPr>
          <w:szCs w:val="20"/>
        </w:rPr>
        <w:t xml:space="preserve">XV Ogólnopolska Olimpiada Kreatywności Destination Imagination zgromadziła: </w:t>
      </w:r>
    </w:p>
    <w:p w:rsidR="00CA14AB" w:rsidRPr="00E00B35" w:rsidRDefault="00CA14AB" w:rsidP="00BC64AB">
      <w:pPr>
        <w:pStyle w:val="Akapitzlist"/>
        <w:numPr>
          <w:ilvl w:val="0"/>
          <w:numId w:val="160"/>
        </w:numPr>
        <w:spacing w:after="0" w:line="312" w:lineRule="auto"/>
        <w:ind w:left="426" w:hanging="426"/>
        <w:rPr>
          <w:szCs w:val="20"/>
        </w:rPr>
      </w:pPr>
      <w:r w:rsidRPr="00E00B35">
        <w:rPr>
          <w:szCs w:val="20"/>
        </w:rPr>
        <w:t xml:space="preserve">105 drużyn dzieci i młodzieży z 74 placówek z różnych regionów Polski </w:t>
      </w:r>
      <w:r w:rsidRPr="00E00B35">
        <w:rPr>
          <w:szCs w:val="20"/>
        </w:rPr>
        <w:br/>
        <w:t xml:space="preserve">(ponad </w:t>
      </w:r>
      <w:r w:rsidRPr="00E00B35">
        <w:rPr>
          <w:rFonts w:ascii="Arial" w:hAnsi="Arial" w:cs="Arial"/>
          <w:szCs w:val="20"/>
        </w:rPr>
        <w:t>⅓</w:t>
      </w:r>
      <w:r w:rsidRPr="00E00B35">
        <w:rPr>
          <w:rFonts w:cs="Verdana"/>
          <w:szCs w:val="20"/>
        </w:rPr>
        <w:t xml:space="preserve"> wszystkich drużyn stanowiły przedszkola i szkoły z Wrocławia),</w:t>
      </w:r>
    </w:p>
    <w:p w:rsidR="00CA14AB" w:rsidRPr="00E00B35" w:rsidRDefault="00CA14AB" w:rsidP="00BC64AB">
      <w:pPr>
        <w:pStyle w:val="Akapitzlist"/>
        <w:numPr>
          <w:ilvl w:val="0"/>
          <w:numId w:val="160"/>
        </w:numPr>
        <w:spacing w:after="0" w:line="312" w:lineRule="auto"/>
        <w:ind w:left="426" w:hanging="426"/>
        <w:rPr>
          <w:szCs w:val="20"/>
        </w:rPr>
      </w:pPr>
      <w:r w:rsidRPr="00E00B35">
        <w:rPr>
          <w:szCs w:val="20"/>
        </w:rPr>
        <w:t>5 drużyn z zagranicy (Turcja);</w:t>
      </w:r>
    </w:p>
    <w:p w:rsidR="00CA14AB" w:rsidRPr="00E00B35" w:rsidRDefault="00CA14AB" w:rsidP="00BC64AB">
      <w:pPr>
        <w:pStyle w:val="Akapitzlist"/>
        <w:numPr>
          <w:ilvl w:val="0"/>
          <w:numId w:val="160"/>
        </w:numPr>
        <w:spacing w:after="0" w:line="312" w:lineRule="auto"/>
        <w:ind w:left="426" w:hanging="426"/>
        <w:rPr>
          <w:szCs w:val="20"/>
        </w:rPr>
      </w:pPr>
      <w:r w:rsidRPr="00E00B35">
        <w:rPr>
          <w:szCs w:val="20"/>
        </w:rPr>
        <w:t>128 Trenerów drużyn;</w:t>
      </w:r>
    </w:p>
    <w:p w:rsidR="00CA14AB" w:rsidRPr="00E00B35" w:rsidRDefault="00CA14AB" w:rsidP="00BC64AB">
      <w:pPr>
        <w:pStyle w:val="Akapitzlist"/>
        <w:numPr>
          <w:ilvl w:val="0"/>
          <w:numId w:val="160"/>
        </w:numPr>
        <w:spacing w:after="0" w:line="312" w:lineRule="auto"/>
        <w:ind w:left="426" w:hanging="426"/>
        <w:rPr>
          <w:szCs w:val="20"/>
        </w:rPr>
      </w:pPr>
      <w:r w:rsidRPr="00E00B35">
        <w:rPr>
          <w:szCs w:val="20"/>
        </w:rPr>
        <w:t>34 Ekspertów, którzy pełnili swoją funkcję wolontaryjnie;</w:t>
      </w:r>
    </w:p>
    <w:p w:rsidR="00CA14AB" w:rsidRPr="00E00B35" w:rsidRDefault="00CA14AB" w:rsidP="00BC64AB">
      <w:pPr>
        <w:pStyle w:val="Akapitzlist"/>
        <w:numPr>
          <w:ilvl w:val="0"/>
          <w:numId w:val="160"/>
        </w:numPr>
        <w:spacing w:after="0" w:line="312" w:lineRule="auto"/>
        <w:ind w:left="426" w:hanging="426"/>
        <w:rPr>
          <w:szCs w:val="20"/>
        </w:rPr>
      </w:pPr>
      <w:r w:rsidRPr="00E00B35">
        <w:rPr>
          <w:szCs w:val="20"/>
        </w:rPr>
        <w:t>180 wolontariuszy (uczniów wrocławskich placówek) - Liceum Ogólnokształcącego nr 5, Zespołu Szkół nr 8, Zespołu Szkół „EKOLA” oraz Młodzieżowego Ośrodka Wychowawczego w Zespole Placówek Oświatowych nr 3.</w:t>
      </w:r>
    </w:p>
    <w:p w:rsidR="00CA14AB" w:rsidRPr="00E00B35" w:rsidRDefault="00CA14AB" w:rsidP="00E00B35">
      <w:pPr>
        <w:spacing w:after="0" w:line="312" w:lineRule="auto"/>
        <w:rPr>
          <w:szCs w:val="20"/>
        </w:rPr>
      </w:pPr>
      <w:r w:rsidRPr="00E00B35">
        <w:rPr>
          <w:szCs w:val="20"/>
        </w:rPr>
        <w:t xml:space="preserve">Promowano Wrocław w kraju i za granicą, przedstawiając go, jako miasto tworzące klimat dla rozwoju kreatywności dzieci i młodzieży oraz wspierające młodych ludzi </w:t>
      </w:r>
      <w:r w:rsidRPr="00E00B35">
        <w:rPr>
          <w:szCs w:val="20"/>
        </w:rPr>
        <w:br/>
        <w:t>w dążeniu do zdobywania wiedzy i umiejętności XXI wieku. Na zadanie przeznaczono 350 000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REALIZACJA PROGRAMU EDUKACYJNO-WYCHOWAWCZEGO DLA DZIECI </w:t>
      </w:r>
      <w:r w:rsidRPr="00E00B35">
        <w:rPr>
          <w:szCs w:val="20"/>
        </w:rPr>
        <w:br/>
        <w:t xml:space="preserve">I MŁODZIEŻY OPARTEGO  NA IDEI KSZTAŁCENIA POZA SZKOŁĄ  - DROGA KU OTWARTOŚCI I KREATYWNOŚCI DOJO – STARA WIEŚ </w:t>
      </w:r>
    </w:p>
    <w:p w:rsidR="00CA14AB" w:rsidRPr="00E00B35" w:rsidRDefault="00CA14AB" w:rsidP="00E00B35">
      <w:pPr>
        <w:spacing w:after="0" w:line="312" w:lineRule="auto"/>
        <w:rPr>
          <w:szCs w:val="20"/>
        </w:rPr>
      </w:pPr>
      <w:r w:rsidRPr="00E00B35">
        <w:rPr>
          <w:szCs w:val="20"/>
        </w:rPr>
        <w:t>Celem zadania publicznego było zachęcenie  dzieci i młodzieży  do podejmowania aktywności sprzyjających wszechstronnemu rozwojowi jednostki, działań twórczych, kreatywnego rozwiązywania problemów, działania zespołowego poprzez prowadzenie warsztatów ogólnorozwojowych poza szkołą. Propagowanie aktywności fizycznej oraz zdrowego trybu życia poprzez uczestnictwo w zajęciach sportowych z elementami sztuk walki i zajęciach rekreacyjnych. W 2020 roku podpisano umowę na organizację 10 czterodniowych wyjazdów edukacyjnych dla dzieci i młodzieży z wrocławskich szkół. Przez wzgląd na pandemię odbyły się tylko trzy z zaplanowanych wyjazdów. W zadaniu udział wzięlo 235 dzieci. Kwota wydatkowana na zadanie 76 378,40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PROWADZENIA ZAJĘĆ OGÓLNOROZWOJOWYCH Z ELEMENTAMI SZTUK WALKI DLA DZIECI W WIEKU PRZEDSZKOLNYM I WCZESNOSZKOLNYM WE WROCŁAWIU W LATACH 2018-2020</w:t>
      </w:r>
    </w:p>
    <w:p w:rsidR="00CA14AB" w:rsidRPr="00E00B35" w:rsidRDefault="00CA14AB" w:rsidP="00E00B35">
      <w:pPr>
        <w:spacing w:after="0" w:line="312" w:lineRule="auto"/>
        <w:rPr>
          <w:szCs w:val="20"/>
        </w:rPr>
      </w:pPr>
      <w:r w:rsidRPr="00E00B35">
        <w:rPr>
          <w:szCs w:val="20"/>
        </w:rPr>
        <w:t xml:space="preserve"> Kontynuowane zadanie polegało na przeprowadzeniu zajęć ogólnorozwojowych z elementami sztuk walki pod nazwą „MALI WSPANIALI”. Do pierwszego lockdownu w marcu 2020 zajęcia powadzone były w 104 przedszkolach oraz 6 szkołach podstawowych. </w:t>
      </w:r>
      <w:r w:rsidRPr="00E00B35">
        <w:rPr>
          <w:szCs w:val="20"/>
        </w:rPr>
        <w:lastRenderedPageBreak/>
        <w:t xml:space="preserve">Przez ponad dwa miesiące po otwarciu przedszkoli (po locdownie) zajęcia odbywały się w 23 przedszkolach. Od września do grudnia 2020 prowadzono zajęcia w 82 placówkach przedszkolnych oraz 2 szkołach podstawowych. Od początku 2020 roku do 13 marca- pierwszego lockdownu - </w:t>
      </w:r>
      <w:r w:rsidRPr="00E00B35">
        <w:rPr>
          <w:szCs w:val="20"/>
        </w:rPr>
        <w:br/>
        <w:t xml:space="preserve">w zajęciach brało udział 15 865 dzieci. Po otwarciu przedszkoli w czerwcu przez pierwsze ponad dwa miesiące w zajęciach, w ostrym reżimie sanitarnym, brało udział 18 080 dzieci a od września do grudnia 2020 roku było już 12 505 uczestników zajęć. Założeniami programowymi zajęć było wspomaganie harmonijnego rozwoju przedszkolaków i uczniów klas 1-3 szkoły podstawowej, z głównym naciskiem na profilaktykę wad postawy i stóp. W zajęciach odbywających się w szkołach zostały wprowadzone elementy gier zespołowych takich jak piłka ręczna i nożna. W przedszkolach dla grup zaawansowanych wprowadzono naukę wybranych zagadnień z sztuk walki. Ćwiczenia wpłynęły na poprawę procesów poznawczych dzieci, zmniejszenie nadpobudliwości ruchowej, wzmocnienie wiary we własne siły, umiejętność współpracy w grupie, co zaobserwowano podczas trwania zajęć. Celem było również wzbudzenie potrzeby regularnego podejmowania ćwiczeń fizycznych, wzbudzenie zainteresowania sportem. Każde zajęcia wynikające z proponowanego programu dostosowane były do wieku i możliwości psychofizycznych małych uczestników oraz przebiegały zgodnie z założeniami metodycznymi </w:t>
      </w:r>
      <w:r w:rsidRPr="00E00B35">
        <w:rPr>
          <w:szCs w:val="20"/>
        </w:rPr>
        <w:br/>
        <w:t xml:space="preserve">i merytorycznymi w zakresie nauczania sztuk walki dla dzieci i młodzieży. Podczas realizacji zadania realizowano badania do Wrocławskiego Testu Sprawności Fizycznej, którego celem jest sprawdzenie czy założenia programu „Mali Wspaniali” są zrealizowane. W ramach zadania zostały przygotowane i przeprowadzone cykle szkoleń, w tym dla instruktorów z tematyki prowadzenia zajęć zgodnie z opracowanym programem oraz </w:t>
      </w:r>
      <w:r w:rsidRPr="00E00B35">
        <w:rPr>
          <w:szCs w:val="20"/>
        </w:rPr>
        <w:br/>
        <w:t xml:space="preserve">z obszaru pracy placówek oświatowych, współpracy z opiekunami prawnymi, kształtowania cech pozytywnych u dzieci oraz pracy zespołowej, wspierania dobrych nawyków żywieniowych. Drugi blok szkoleń dotyczył kadry kierowniczej przedszkoli </w:t>
      </w:r>
      <w:r w:rsidRPr="00E00B35">
        <w:rPr>
          <w:szCs w:val="20"/>
        </w:rPr>
        <w:br/>
        <w:t xml:space="preserve">i opiekunów prawnych dzieci w zakresie m. in. wyrabiania i wspierania dobrych nawyków żywieniowych i kontynuowania wspierania aktywności ruchowej poza przedszkolem. </w:t>
      </w:r>
      <w:r w:rsidRPr="00E00B35">
        <w:rPr>
          <w:szCs w:val="20"/>
        </w:rPr>
        <w:br/>
        <w:t xml:space="preserve">W 2020 roku zajęcia powadzone były w terminach: 13.01.2020- 13.03.2020 - </w:t>
      </w:r>
      <w:r w:rsidRPr="00E00B35">
        <w:rPr>
          <w:szCs w:val="20"/>
        </w:rPr>
        <w:br/>
        <w:t xml:space="preserve">do pierwszego lockdownu przeprowadzono 2 571 godzin zajęć, 25.06.2020- 13.09. 2020 - po otwarciu placówek przedszkolnych, uzyskaniu pozwolenia na wznowienie programu oraz ustaleniu harmonogramów zajęć w placówkach, do połowy września przeprowadzono 1 323,5 godziny zajęć, 14.09.2020- 18.12.2020 - przeprowadzono </w:t>
      </w:r>
      <w:r w:rsidRPr="00E00B35">
        <w:rPr>
          <w:szCs w:val="20"/>
        </w:rPr>
        <w:br/>
        <w:t xml:space="preserve">2 814 godzin zajęć. Podane powyżej terminy w 2020 roku uwzględniają miesiące wakacyjne. W czasie zamknięcia placówek przygotowano materiały edukacyjne video dla rodziców (25 filmików z ćwiczeniami do wykonania w domu z dziećmi, trwających od </w:t>
      </w:r>
      <w:r w:rsidRPr="00E00B35">
        <w:rPr>
          <w:szCs w:val="20"/>
        </w:rPr>
        <w:br/>
        <w:t>15- 30 minut),  Na zadanie wydatkowano kwotę 1 240 000 zł.</w:t>
      </w:r>
    </w:p>
    <w:p w:rsidR="005E6C69" w:rsidRPr="00E00B35" w:rsidRDefault="005E6C69" w:rsidP="00E00B35">
      <w:pPr>
        <w:pStyle w:val="Nagwek4"/>
        <w:spacing w:before="0" w:after="0" w:line="312" w:lineRule="auto"/>
        <w:rPr>
          <w:sz w:val="20"/>
          <w:szCs w:val="20"/>
        </w:rPr>
      </w:pPr>
      <w:bookmarkStart w:id="209" w:name="_Toc72352351"/>
      <w:bookmarkStart w:id="210" w:name="_Toc72352785"/>
    </w:p>
    <w:p w:rsidR="00CA14AB" w:rsidRPr="00E00B35" w:rsidRDefault="00CA14AB" w:rsidP="00E00B35">
      <w:pPr>
        <w:pStyle w:val="Nagwek4"/>
        <w:spacing w:before="0" w:after="0" w:line="312" w:lineRule="auto"/>
        <w:rPr>
          <w:sz w:val="20"/>
          <w:szCs w:val="20"/>
        </w:rPr>
      </w:pPr>
      <w:r w:rsidRPr="00E00B35">
        <w:rPr>
          <w:sz w:val="20"/>
          <w:szCs w:val="20"/>
        </w:rPr>
        <w:t>VII KAMPANIE I PROGRAMY SPOŁECZNE</w:t>
      </w:r>
      <w:bookmarkEnd w:id="209"/>
      <w:bookmarkEnd w:id="210"/>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SOR – SPOTKANIE, OTWARTOŚĆ, ROZMOWA</w:t>
      </w:r>
    </w:p>
    <w:p w:rsidR="00CA14AB" w:rsidRPr="00E00B35" w:rsidRDefault="00CA14AB" w:rsidP="00E00B35">
      <w:pPr>
        <w:spacing w:after="0" w:line="312" w:lineRule="auto"/>
        <w:rPr>
          <w:szCs w:val="20"/>
        </w:rPr>
      </w:pPr>
      <w:r w:rsidRPr="00E00B35">
        <w:rPr>
          <w:szCs w:val="20"/>
        </w:rPr>
        <w:t xml:space="preserve">W  projekcie edukacyjno-społecznym powstało neutralne miejsce dla mieszkańców Wrocławia, gdzie mieli możliwość otwarcie poruszyć ważne dla nich tematy: zarówno w </w:t>
      </w:r>
      <w:r w:rsidRPr="00E00B35">
        <w:rPr>
          <w:szCs w:val="20"/>
        </w:rPr>
        <w:lastRenderedPageBreak/>
        <w:t>relacjach międzyludzkich, społecznych, jak i  w sytuacjach trudnych w środowisku szkolnym. Podczas spotkań i rozmów eksperci podążają za aktualnymi problemami, z jakimi mierzą się wrocławskie rodziny oraz wychowawcy w środowisku szkolnym. Projekt wpisuje się m.in. w obszar specyficzny dla Strategii rozwiązywania problemów społecznych,  związanym z likwidacją  zagrożeń,  którym jest  obszar  bezpieczeństwa. Podejmowano zagadnienia dotyczące problemów psychologiczno-pedagogicznych, zdrowia, zmian kulturowych, ekologicznych, uzależnień, cyberprzemocy oraz rozumienia aktualnej sytuacji szkoły. Projekt integruje współpracę różnych podmiotów, których przedstawicele występują w roli eksperta w danej dziedzinie. Od stycznia do grudnia 2020 r. w projekcie wzięło udział ponad 385 uczestników, odbyło się 6 spotkań, w tym 3 stacjonarnie, 1 online, 2 w formie webinarium. Na prośbę zainteresowanych zostało powtórzone nagranie webinarium online.</w:t>
      </w:r>
      <w:r w:rsidRPr="00E00B35">
        <w:rPr>
          <w:szCs w:val="20"/>
          <w:highlight w:val="yellow"/>
        </w:rPr>
        <w:t xml:space="preserve">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STUDIUM PROSPECTUS</w:t>
      </w:r>
    </w:p>
    <w:p w:rsidR="00CA14AB" w:rsidRPr="00E00B35" w:rsidRDefault="00CA14AB" w:rsidP="00E00B35">
      <w:pPr>
        <w:spacing w:after="0" w:line="312" w:lineRule="auto"/>
        <w:rPr>
          <w:szCs w:val="20"/>
        </w:rPr>
      </w:pPr>
      <w:r w:rsidRPr="00E00B35">
        <w:rPr>
          <w:szCs w:val="20"/>
        </w:rPr>
        <w:t xml:space="preserve">Projekt skierowany był do uczniów klas II i III szkół ponadpodstawowych, którzy potrafią niekonwencjonalnie myśleć, są poszukujący, krytyczni, interesują się wieloma dziedzinami wiedzy. Celem programu było przekazanie uczestnikom wiedzy i rozwijanie umiejętności, pozwalających na osiągnięcie ponadprzeciętnego poziomu rozwoju. Z powodu pandemii COVID-19 część zajęć odbyła się online, a część dokończona dopiero we wrześniu/październiku 2020. W sumie </w:t>
      </w:r>
      <w:r w:rsidRPr="00E00B35">
        <w:rPr>
          <w:szCs w:val="20"/>
        </w:rPr>
        <w:br/>
        <w:t xml:space="preserve">od stycznia do października odbyło się 48 godzin zajęć. W programie wzięło udział </w:t>
      </w:r>
      <w:r w:rsidRPr="00E00B35">
        <w:rPr>
          <w:szCs w:val="20"/>
        </w:rPr>
        <w:br/>
        <w:t>12 uczniów oraz 6 wykładowców.</w:t>
      </w:r>
    </w:p>
    <w:p w:rsidR="005E6C69" w:rsidRPr="00E00B35" w:rsidRDefault="005E6C69" w:rsidP="00E00B35">
      <w:pPr>
        <w:pStyle w:val="Nagwek5"/>
        <w:rPr>
          <w:szCs w:val="20"/>
        </w:rPr>
      </w:pPr>
    </w:p>
    <w:p w:rsidR="00CA14AB" w:rsidRPr="00E00B35" w:rsidRDefault="00CA14AB" w:rsidP="00E00B35">
      <w:pPr>
        <w:pStyle w:val="Nagwek5"/>
        <w:rPr>
          <w:rFonts w:eastAsia="SimSun"/>
          <w:szCs w:val="20"/>
        </w:rPr>
      </w:pPr>
      <w:r w:rsidRPr="00E00B35">
        <w:rPr>
          <w:szCs w:val="20"/>
        </w:rPr>
        <w:t>CYBERBEZPIECZEŃSTWO</w:t>
      </w:r>
      <w:r w:rsidRPr="00E00B35">
        <w:rPr>
          <w:rFonts w:eastAsia="SimSun"/>
          <w:szCs w:val="20"/>
        </w:rPr>
        <w:t xml:space="preserve"> </w:t>
      </w:r>
    </w:p>
    <w:p w:rsidR="00CA14AB" w:rsidRPr="00E00B35" w:rsidRDefault="00CA14AB" w:rsidP="00E00B35">
      <w:pPr>
        <w:spacing w:after="0" w:line="312" w:lineRule="auto"/>
        <w:rPr>
          <w:szCs w:val="20"/>
        </w:rPr>
      </w:pPr>
      <w:r w:rsidRPr="00E00B35">
        <w:rPr>
          <w:szCs w:val="20"/>
        </w:rPr>
        <w:t xml:space="preserve">Zadania dotyczące cyberbezpieczeństwa w pierwszym półroczu 2020 r. stały się częścią innych projektów realizowanych przez WCRS, m.in. w ramach „Wrodziny” i „Miesiąca Rodziny”. Dodatkowo zrealizowano projekt „Dobro w Sieci – konkurs na pozytywne zachowania w internecie”. Partnerami konkursu byli: Przedstawicielstwo Komisji Europejskiej we Wrocławiu, Hydropolis. Patronaty honorowe nad konkursem objęli: Prezydent Wrocławia, Rzecznik Praw Obywatelskich. Wyłoniono 19 laureatów. </w:t>
      </w:r>
    </w:p>
    <w:p w:rsidR="00CA14AB" w:rsidRPr="00E00B35" w:rsidRDefault="00CA14AB" w:rsidP="00E00B35">
      <w:pPr>
        <w:spacing w:after="0" w:line="312" w:lineRule="auto"/>
        <w:rPr>
          <w:szCs w:val="20"/>
        </w:rPr>
      </w:pPr>
      <w:r w:rsidRPr="00E00B35">
        <w:rPr>
          <w:szCs w:val="20"/>
        </w:rPr>
        <w:t>Zadania dotyczące cyberbezpieczeństwa w drugim półroczu 2020 r. zostały realizowane przede wszystkim w trzech projektach:</w:t>
      </w:r>
    </w:p>
    <w:p w:rsidR="009A1F58" w:rsidRPr="00E00B35" w:rsidRDefault="00CA14AB" w:rsidP="00BC64AB">
      <w:pPr>
        <w:pStyle w:val="Akapitzlist"/>
        <w:numPr>
          <w:ilvl w:val="0"/>
          <w:numId w:val="161"/>
        </w:numPr>
        <w:spacing w:after="0" w:line="312" w:lineRule="auto"/>
        <w:rPr>
          <w:szCs w:val="20"/>
        </w:rPr>
      </w:pPr>
      <w:r w:rsidRPr="00E00B35">
        <w:rPr>
          <w:szCs w:val="20"/>
        </w:rPr>
        <w:t xml:space="preserve">Poradnictwo ds. cyberprzemocy i cyberuzależnień. W ramach projektu udzielane było anonimowo porady telefoniczne oraz e-mailowe dotyczące cyberprzemocy i cyberuzależnień. </w:t>
      </w:r>
    </w:p>
    <w:p w:rsidR="00CA14AB" w:rsidRPr="00E00B35" w:rsidRDefault="00CA14AB" w:rsidP="00BC64AB">
      <w:pPr>
        <w:pStyle w:val="Akapitzlist"/>
        <w:numPr>
          <w:ilvl w:val="0"/>
          <w:numId w:val="161"/>
        </w:numPr>
        <w:spacing w:after="0" w:line="312" w:lineRule="auto"/>
        <w:rPr>
          <w:szCs w:val="20"/>
        </w:rPr>
      </w:pPr>
      <w:r w:rsidRPr="00E00B35">
        <w:rPr>
          <w:szCs w:val="20"/>
        </w:rPr>
        <w:t>Z IT na Ty. Partnerami w projekcie byli: Politechnika Wrocławska, Hydropolis, firma Applover. W projekcie udział wzięło 15 podopiecznych 3 domów dziecka. Wzięli oni udział w 12 szkoleniach z podstaw programowania i umiejętności psychospołecznych korzystania z internetu.</w:t>
      </w:r>
    </w:p>
    <w:p w:rsidR="00CA14AB" w:rsidRPr="00E00B35" w:rsidRDefault="00CA14AB" w:rsidP="00BC64AB">
      <w:pPr>
        <w:pStyle w:val="Akapitzlist"/>
        <w:numPr>
          <w:ilvl w:val="0"/>
          <w:numId w:val="161"/>
        </w:numPr>
        <w:spacing w:after="0" w:line="312" w:lineRule="auto"/>
        <w:rPr>
          <w:szCs w:val="20"/>
        </w:rPr>
      </w:pPr>
      <w:r w:rsidRPr="00E00B35">
        <w:rPr>
          <w:szCs w:val="20"/>
        </w:rPr>
        <w:t xml:space="preserve">EKOcyfryzacja. Partnerami w projekcie byli: Biuro Strategii Miasta, Wolontariusz IT, Centrum Rozwiązań Systemowych (CRS), Hydropolis, MPWiK, Wydział Rozwoju Społecznego UM Gdańska. W projekcie wzięło udział ponad 70 osób z Gdańska </w:t>
      </w:r>
      <w:r w:rsidRPr="00E00B35">
        <w:rPr>
          <w:szCs w:val="20"/>
        </w:rPr>
        <w:br/>
        <w:t>i z Wrocławia.</w:t>
      </w:r>
    </w:p>
    <w:p w:rsidR="00CA14AB" w:rsidRPr="00E00B35" w:rsidRDefault="00CA14AB" w:rsidP="00BC64AB">
      <w:pPr>
        <w:pStyle w:val="Akapitzlist"/>
        <w:numPr>
          <w:ilvl w:val="0"/>
          <w:numId w:val="161"/>
        </w:numPr>
        <w:spacing w:after="0" w:line="312" w:lineRule="auto"/>
        <w:rPr>
          <w:szCs w:val="20"/>
        </w:rPr>
      </w:pPr>
      <w:r w:rsidRPr="00E00B35">
        <w:rPr>
          <w:szCs w:val="20"/>
        </w:rPr>
        <w:lastRenderedPageBreak/>
        <w:t xml:space="preserve">Materiały edukacyjne do Wyprawki Wrocławskiej. Prezentują podstawowe zasady bezpiecznego korzystania z ekranów przez najmłodsze dzieci: plansza obrazkowa i magnesy (można je traktować jako osobny element lub puzzle do ułożenia na planszy) oraz woreczek do przechowywania magnesów i planszy. </w:t>
      </w:r>
    </w:p>
    <w:p w:rsidR="00CA14AB" w:rsidRPr="00E00B35" w:rsidRDefault="00CA14AB" w:rsidP="00E00B35">
      <w:pPr>
        <w:spacing w:after="0" w:line="312" w:lineRule="auto"/>
        <w:rPr>
          <w:szCs w:val="20"/>
        </w:rPr>
      </w:pPr>
      <w:r w:rsidRPr="00E00B35">
        <w:rPr>
          <w:szCs w:val="20"/>
        </w:rPr>
        <w:t>Na zadanie  wydatkowano kwotę 18 566,57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KAMPANIA „NIC PRZEZ TELEFON”</w:t>
      </w:r>
    </w:p>
    <w:p w:rsidR="00CA14AB" w:rsidRPr="00E00B35" w:rsidRDefault="00CA14AB" w:rsidP="00E00B35">
      <w:pPr>
        <w:spacing w:after="0" w:line="312" w:lineRule="auto"/>
        <w:rPr>
          <w:szCs w:val="20"/>
        </w:rPr>
      </w:pPr>
      <w:r w:rsidRPr="00E00B35">
        <w:rPr>
          <w:szCs w:val="20"/>
        </w:rPr>
        <w:t>Działanie nastawione na przeciwdziałanie oszustwom telefonicznym, którym ulegają przede wszystkim osoby starsze i samotne. Działania w ramach kampanii podejmowane były od 17 do 26 stycznia 2020 r. W ramach działań: wydrukowano 2 tysiące sztuk plakatów, rozdawano ulotki, prowadzono wydarzenie na Facebooku wywieszono plakaty, stworzono i wyświetlano w obiektach użyteczności publicznej filmik, przygotowano i opublikowano artykuły prasowe, udzielono wywiadów radiowych i telewizyjnych. Na zadanie wydatkowano kwotę 1 070,10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WROCŁAWSKI WOLONTARIUSZ IT</w:t>
      </w:r>
    </w:p>
    <w:p w:rsidR="00CA14AB" w:rsidRPr="00E00B35" w:rsidRDefault="00CA14AB" w:rsidP="00E00B35">
      <w:pPr>
        <w:spacing w:after="0" w:line="312" w:lineRule="auto"/>
        <w:rPr>
          <w:szCs w:val="20"/>
        </w:rPr>
      </w:pPr>
      <w:r w:rsidRPr="00E00B35">
        <w:rPr>
          <w:szCs w:val="20"/>
        </w:rPr>
        <w:t>Stworzenie bazy wolontariuszy IT i 16 punktów pomocy, dla mieszkańców Wrocławia zagrożonych wykluczeniem cyfrowym w terminie od 01 marca do 31 maja 2020r. Wolontariusze IT dyżurowali systematycznie w wyznaczone dni i godziny w pierwszych dwóch tygodniach, natomiast przez resztę czasu trwania projektu sami umawiali się na konkretne dni i godziny - łącząc się za pomocą programów internetowych. W efekcie udało się przeprowadzić 88 indywidualnych konsultacji co stanowi 139 godzin, w których wolontariusze IT byli gotowi do pomocy osobom zagrożonych wykluczeniem cyfrowym. Dodatkowo w ramach projektu przeprowadzono warsztat onilne „Fake newsy w czasie koronawirusa – nie daj się dezinformacji”. Na zadanie wydatkowano kwotę 8000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KAMPANIA PODZIEL SIĘ WODĄ </w:t>
      </w:r>
    </w:p>
    <w:p w:rsidR="00CA14AB" w:rsidRPr="00E00B35" w:rsidRDefault="00CA14AB" w:rsidP="00E00B35">
      <w:pPr>
        <w:spacing w:after="0" w:line="312" w:lineRule="auto"/>
        <w:rPr>
          <w:szCs w:val="20"/>
        </w:rPr>
      </w:pPr>
      <w:r w:rsidRPr="00E00B35">
        <w:rPr>
          <w:rFonts w:eastAsia="Verdana"/>
          <w:szCs w:val="20"/>
        </w:rPr>
        <w:t xml:space="preserve">Skierowana do wrocławian, mająca na celu przede wszystkim przypominać mieszkańcom miasta o nawadnianiu organizmu w okresie letnich upałów. </w:t>
      </w:r>
      <w:r w:rsidRPr="00E00B35">
        <w:rPr>
          <w:szCs w:val="20"/>
        </w:rPr>
        <w:t>Kampania zachęcała również do zaprzestania kupowania wody w plastikowych butelkach i promowała wrocławską kranówkę. Celem akcji było m.in. uwrażliwienie społeczeństwa na problem jakim jest susza i istotę oszczędzania wody. Kampania ze względu na pandemię odbyła się online za pomocą social media. Przez lipiec i sierpień codziennie powstawał post w formie zdjęcia, grafiki lub filmu, który promowany był przez WCRS i naszych partnerów w internecie, urzędach oraz komunikacji miejskiej. Na zadanie wydatkowano kwotę 322,36 zł.</w:t>
      </w:r>
      <w:r w:rsidRPr="00E00B35">
        <w:rPr>
          <w:szCs w:val="20"/>
        </w:rPr>
        <w:br/>
        <w:t xml:space="preserve">ZMIEŃ PIEC </w:t>
      </w:r>
    </w:p>
    <w:p w:rsidR="00CA14AB" w:rsidRPr="00E00B35" w:rsidRDefault="00CA14AB" w:rsidP="00E00B35">
      <w:pPr>
        <w:spacing w:after="0" w:line="312" w:lineRule="auto"/>
        <w:rPr>
          <w:szCs w:val="20"/>
        </w:rPr>
      </w:pPr>
      <w:r w:rsidRPr="00E00B35">
        <w:rPr>
          <w:szCs w:val="20"/>
        </w:rPr>
        <w:t xml:space="preserve">W ramach projektu zorganizowano weekendowe akcje informacyjne. </w:t>
      </w:r>
      <w:r w:rsidRPr="00E00B35">
        <w:rPr>
          <w:szCs w:val="20"/>
        </w:rPr>
        <w:br/>
        <w:t xml:space="preserve">W terminach 22.02, 23.02, 7.03 oraz 8.03 w 20 miejscach we Wrocławiu w godzinach 9.00-13.00 lub 10.00-14.00 stanęły namioty informacyjne, w których każdy mieszkaniec Wrocławia mógł otrzymać wsparcie informacyjne na temat dotacji na wymianę pieca - jak można z nich skorzystać oraz gdzie udać się, aby otrzymać dopłaty do rachunków czy ubiegać się o zwolnienie z czynszu po wymianie pieca. Kolejne akcje w następnych </w:t>
      </w:r>
      <w:r w:rsidRPr="00E00B35">
        <w:rPr>
          <w:szCs w:val="20"/>
        </w:rPr>
        <w:lastRenderedPageBreak/>
        <w:t xml:space="preserve">tygodniach ze względu na sytuację epidemiologiczną w kraju, zostały zawieszone. </w:t>
      </w:r>
      <w:r w:rsidRPr="00E00B35">
        <w:rPr>
          <w:szCs w:val="20"/>
        </w:rPr>
        <w:br/>
        <w:t>Na zadanie wydatkowano kwotę 13 084,13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PROJEKT 12 BOHATEREK</w:t>
      </w:r>
    </w:p>
    <w:p w:rsidR="00CA14AB" w:rsidRPr="00E00B35" w:rsidRDefault="00CA14AB" w:rsidP="00E00B35">
      <w:pPr>
        <w:spacing w:after="0" w:line="312" w:lineRule="auto"/>
        <w:rPr>
          <w:szCs w:val="20"/>
        </w:rPr>
      </w:pPr>
      <w:r w:rsidRPr="00E00B35">
        <w:rPr>
          <w:szCs w:val="20"/>
        </w:rPr>
        <w:t xml:space="preserve">Celem projektu było podnoszenie świadomości społecznej dotyczącej zmagań opiekunów osób z niepełnosprawnością. Skierowany był do instytucji wrocławskich oraz mieszkańców miasta. Projekt głównie miał na celu wsparcie kobiet, które na co dzień zajmują się bliskimi osobami z niepełnosprawnością i najczęściej potrzeby innych stawiają ponad swoje potrzeby. Polegał na stworzeniu kalendarza na rok 2021 – twarzą każdego miesiąca została inna Kobieta-Bohaterka. Jej zdjęcie było wzmocnione opisem konkretnej niepełnosprawności, z którą boryka się jej podopieczny. Dodatkowo, „patronat” nad każdym z miesięcy obejmowała inna instytucja miejska, tym samym zobowiązując się do promowania wiedzy na temat danej niepełnosprawności. Promowanie polegało na zorganizowaniu jakiegoś wydarzenia albo po prostu akcji informacyjnej w mediach społecznościowych, ukierunkowanej na oswajanie wrocławian </w:t>
      </w:r>
      <w:r w:rsidRPr="00E00B35">
        <w:rPr>
          <w:szCs w:val="20"/>
        </w:rPr>
        <w:br/>
        <w:t>z tym, że żyją wśród nas osoby niepełnosprawne i ich opiekunki. Na zadanie wydatkowano kwotę 13328,10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CZTERY ŻYWIOŁY WROCŁAWIA</w:t>
      </w:r>
    </w:p>
    <w:p w:rsidR="00CA14AB" w:rsidRPr="00E00B35" w:rsidRDefault="00CA14AB" w:rsidP="00E00B35">
      <w:pPr>
        <w:spacing w:after="0" w:line="312" w:lineRule="auto"/>
        <w:rPr>
          <w:szCs w:val="20"/>
        </w:rPr>
      </w:pPr>
      <w:r w:rsidRPr="00E00B35">
        <w:rPr>
          <w:szCs w:val="20"/>
        </w:rPr>
        <w:t>Celem projektu było podniesienie bezpieczeństwa publicznego i ekologicznego we Wrocławiu poprzez zwiększanie kompetencji wrocławian w tych obszarach, a także zapoznanie zagrożonych wykluczeniem społecznym wrocławian z działaniami Miasta w różnych obszarach społecznych. Podczas 1. edycji (wrzesień-październik) zostało zorganizowanych 8 spotkań: 4 dotyczące zwiększania kompetencji zawodowych i 4 będące wizytami studyjnymi w spółkach i instytucjach miejskich (Zarząd Zieleni Miejskiej, SM Wrocław Południe, MPK, ZOO; partnerzy opowiadali o charakterze pracy i przedstawiali wymogi stawiane przed kandydatami do pracy). W spotkaniach uczestniczyło 40 osób. 2. edycją projektu (listopad-grudzień) objęte zostały osoby bezdomne i ubogie. Odbyło się 9 spotkań z udziałem terapeutów i ratownika medycznego. Podczas spotkań rozdawano ciepłe posiłki, przeprowadzono także zbiórkę odzieży. W ramach 2. Edycji wolontariusze prowadzili streetworking – wychodzili na ulice z herbatą i kanapkami, zapraszając na czwartkowe spotkania.</w:t>
      </w:r>
      <w:r w:rsidRPr="00E00B35">
        <w:rPr>
          <w:rFonts w:eastAsia="Verdana"/>
          <w:szCs w:val="20"/>
        </w:rPr>
        <w:t xml:space="preserve"> Na zadanie  wydatkowano kwotę 16 020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POŚWIETUJ KOMUŚ ŚWIĘTA </w:t>
      </w:r>
    </w:p>
    <w:p w:rsidR="00CA14AB" w:rsidRPr="00E00B35" w:rsidRDefault="00CA14AB" w:rsidP="00E00B35">
      <w:pPr>
        <w:spacing w:after="0" w:line="312" w:lineRule="auto"/>
        <w:rPr>
          <w:szCs w:val="20"/>
        </w:rPr>
      </w:pPr>
      <w:r w:rsidRPr="00E00B35">
        <w:rPr>
          <w:szCs w:val="20"/>
        </w:rPr>
        <w:t xml:space="preserve">Od 7 do 24 grudnia 2020r. odbyły się działania online w ramach kampanii Poświętuj Komuś Święta. W tym czasie w mediach społecznościowch wykupno reklamę w Google, Fb oraz umieszczono informację o kampanii w tygodniku Wrocław i nagrano audycję w Radio Rodzina. Informacje w mediach dotyczące warsztatów, webinarów i wykładów o tematyce okołoświąteczej, a także posty zachęcające Wrocławian do zakupu dań świątecznych w 12 wrocławskich restauracjach, które ucierpiały w wyniku pandemii SARS-COV2. W dniach 17 oraz 18 grudnia odbyły się kawowo-czekoladowe warsztaty online, w których udział wzięło łącznie 40 osób. Główne zadania w ramach kampanii </w:t>
      </w:r>
      <w:r w:rsidRPr="00E00B35">
        <w:rPr>
          <w:szCs w:val="20"/>
        </w:rPr>
        <w:lastRenderedPageBreak/>
        <w:t xml:space="preserve">zostały zorganizowane w trakcie weekendu 18 oraz </w:t>
      </w:r>
      <w:r w:rsidRPr="00E00B35">
        <w:rPr>
          <w:szCs w:val="20"/>
        </w:rPr>
        <w:br/>
        <w:t xml:space="preserve">19 grudnia i obejmowały: instrukcję samodzielnego wykonania ozdoby świątecznej </w:t>
      </w:r>
      <w:r w:rsidRPr="00E00B35">
        <w:rPr>
          <w:szCs w:val="20"/>
        </w:rPr>
        <w:br/>
        <w:t xml:space="preserve">(2 posty), nagrania pastorałek (3 posty), nagrania z czytania „Opowieści Wigilijnej” </w:t>
      </w:r>
      <w:r w:rsidRPr="00E00B35">
        <w:rPr>
          <w:szCs w:val="20"/>
        </w:rPr>
        <w:br/>
        <w:t xml:space="preserve">(4 posty), kolorowankę do pobrania (1 post), konkurs pn. „Poświętuj Komuś Choinkę” </w:t>
      </w:r>
      <w:r w:rsidRPr="00E00B35">
        <w:rPr>
          <w:szCs w:val="20"/>
        </w:rPr>
        <w:br/>
        <w:t xml:space="preserve">(2 posty - udział wzięło 7 osób wyłoniono 3 zwycięzców), zakupiono ozdoby świąteczne, które były przeznaczone na Koncert Kolęd. Przekazano w czasie świątecznym kubki </w:t>
      </w:r>
      <w:r w:rsidRPr="00E00B35">
        <w:rPr>
          <w:szCs w:val="20"/>
        </w:rPr>
        <w:br/>
        <w:t xml:space="preserve">i płyty CD z najpiękniejszymi kolędami (płyta zawiera ponad 70 min muzyki i 20 utworów). Zamówione kapsułki kawowe zostały dostarczone do medyków w celu wsparcia ich pracy w tym szczególnym czasie. Całkowita liczba odbiorców kampanii online na Facebooku wyniosła 30,3 tys.osób. Poza wydarzeniami internetowymi, na przystankach oraz na tablicach Rad Osiedli zostały umieszczone plakaty promujące kampanię (261 szt.).Na zadanie wydatkowano 59 540,87 zł. </w:t>
      </w:r>
    </w:p>
    <w:p w:rsidR="00CA14AB" w:rsidRPr="00E00B35" w:rsidRDefault="00CA14AB" w:rsidP="00E00B35">
      <w:pPr>
        <w:spacing w:after="0" w:line="312" w:lineRule="auto"/>
        <w:rPr>
          <w:szCs w:val="20"/>
        </w:rPr>
      </w:pPr>
      <w:r w:rsidRPr="00E00B35">
        <w:rPr>
          <w:szCs w:val="20"/>
        </w:rPr>
        <w:t xml:space="preserve">Zadania realizowane w ramach współpracy z organizacjami pozarządowymi: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PROWADZENIE WROCŁAWSKICH BIUR PORAD OBYWATELSKICH ORAZ WROCŁAWSKICH MEDIACJI W LATACH 2020-2021</w:t>
      </w:r>
    </w:p>
    <w:p w:rsidR="00CA14AB" w:rsidRPr="00E00B35" w:rsidRDefault="00CA14AB" w:rsidP="00E00B35">
      <w:pPr>
        <w:spacing w:after="0" w:line="312" w:lineRule="auto"/>
        <w:rPr>
          <w:szCs w:val="20"/>
        </w:rPr>
      </w:pPr>
      <w:r w:rsidRPr="00E00B35">
        <w:rPr>
          <w:rFonts w:eastAsia="Verdana"/>
          <w:szCs w:val="20"/>
        </w:rPr>
        <w:t xml:space="preserve">Celem programu było zapewnienie dostępu do bezpłatnych porad obywatelskich mieszkańcom Wrocławia oraz osobom pracującym i/lub uczącym się we Wrocławiu, którzy nie kwalifikują się do rządowego programu nieodpłatnej pomocy prawnej. Działania miały na celu zwiększenie świadomości obywatelskiej, wzrost samodzielności w rozwiązywaniu problemów życiowych. Oferta pomocy skierowana była również do obcokrajowców. Zadanie </w:t>
      </w:r>
      <w:r w:rsidRPr="00E00B35">
        <w:rPr>
          <w:rFonts w:eastAsia="Verdana"/>
          <w:szCs w:val="20"/>
        </w:rPr>
        <w:br/>
        <w:t xml:space="preserve">realizowało 5 organizacji w 5 lokalach na terenie miasta. W 2020 roku </w:t>
      </w:r>
      <w:r w:rsidRPr="00E00B35">
        <w:rPr>
          <w:rFonts w:eastAsia="Verdana"/>
          <w:szCs w:val="20"/>
        </w:rPr>
        <w:br/>
        <w:t xml:space="preserve">z porad skorzystało 2835 osób (w 2019 roku z porad skorzystało 4299 osób). </w:t>
      </w:r>
      <w:r w:rsidRPr="00E00B35">
        <w:rPr>
          <w:szCs w:val="20"/>
        </w:rPr>
        <w:t>Łączna kwota dofinansowania to 233 650 zł.</w:t>
      </w:r>
      <w:r w:rsidRPr="00E00B35">
        <w:rPr>
          <w:rFonts w:eastAsia="Verdana"/>
          <w:szCs w:val="20"/>
        </w:rPr>
        <w:t xml:space="preserve">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PROWADZENIE POGOTOWIA MEDIACYJNEGO I PROMOWANIE IDEI MEDIACJI WE WROCŁAWIU W LATACH 2019-2021 </w:t>
      </w:r>
    </w:p>
    <w:p w:rsidR="00CA14AB" w:rsidRPr="00E00B35" w:rsidRDefault="00CA14AB" w:rsidP="00E00B35">
      <w:pPr>
        <w:spacing w:after="0" w:line="312" w:lineRule="auto"/>
        <w:rPr>
          <w:rFonts w:eastAsia="Verdana"/>
          <w:szCs w:val="20"/>
        </w:rPr>
      </w:pPr>
      <w:r w:rsidRPr="00E00B35">
        <w:rPr>
          <w:szCs w:val="20"/>
        </w:rPr>
        <w:t xml:space="preserve">Celem realizacji zadania publicznego było umożliwienie pozasądowego rozstrzygania sporów poprzez prowadzenie Pogotowia Mediacyjnego dla mieszkańców Wrocławia, w tym obcokrajowców, wsparcie szkół poprzez propagowanie dialogu i mediacji w międzykulturowych procesach integracyjnych, propagowanie idei mediacji, zwiększanie świadomości obywatelskiej poprzez prowadzenie działań z zakresu informowania, edukacji, prowadzenia szkoleń, warsztatów, spotkań i  konferencji. W 2020r. Pogotowie Mediacyjne odebrało 154 zgłoszenia i przeprowadziło 116 procesów mediacyjnych (141 sesji mediacyjnych </w:t>
      </w:r>
      <w:r w:rsidRPr="00E00B35">
        <w:rPr>
          <w:szCs w:val="20"/>
        </w:rPr>
        <w:br/>
        <w:t xml:space="preserve">w 2019 roku). </w:t>
      </w:r>
      <w:r w:rsidRPr="00E00B35">
        <w:rPr>
          <w:rFonts w:eastAsia="Verdana"/>
          <w:szCs w:val="20"/>
        </w:rPr>
        <w:t>Na realizację zadania wydatkowano kwotę 200 000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AKCJA – KOMUNIKACJA </w:t>
      </w:r>
    </w:p>
    <w:p w:rsidR="00CA14AB" w:rsidRPr="00E00B35" w:rsidRDefault="00CA14AB" w:rsidP="00E00B35">
      <w:pPr>
        <w:spacing w:after="0" w:line="312" w:lineRule="auto"/>
        <w:rPr>
          <w:szCs w:val="20"/>
        </w:rPr>
      </w:pPr>
      <w:r w:rsidRPr="00E00B35">
        <w:rPr>
          <w:szCs w:val="20"/>
        </w:rPr>
        <w:t xml:space="preserve">Zadanie polegało na oganizacji warsztatów interpersonalnych, z zakresu komunikacji społecznej, zarządzania i rozwiązywania konfliktów oraz różnych rodzajów mediacji. Zadanie skierowane byo do uczniów szkół podstawowych  i srednich oraz do dorosłych </w:t>
      </w:r>
      <w:r w:rsidRPr="00E00B35">
        <w:rPr>
          <w:szCs w:val="20"/>
        </w:rPr>
        <w:lastRenderedPageBreak/>
        <w:t>mieszkańców Wrocławia. W ramach zadania zrealizowano  20 warsztatów, w których wzięło udział 99 osób dorosołych i 182 uczniów.</w:t>
      </w:r>
      <w:r w:rsidRPr="00E00B35">
        <w:rPr>
          <w:rFonts w:eastAsia="Verdana"/>
          <w:szCs w:val="20"/>
        </w:rPr>
        <w:t xml:space="preserve"> Zadanie dofinansowano kwotą 10000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GRUDNIOWA AKCJA – KOMUNIKACJA</w:t>
      </w:r>
    </w:p>
    <w:p w:rsidR="00CA14AB" w:rsidRPr="00E00B35" w:rsidRDefault="00CA14AB" w:rsidP="00E00B35">
      <w:pPr>
        <w:spacing w:after="0" w:line="312" w:lineRule="auto"/>
        <w:rPr>
          <w:rFonts w:eastAsia="Verdana"/>
          <w:szCs w:val="20"/>
        </w:rPr>
      </w:pPr>
      <w:r w:rsidRPr="00E00B35">
        <w:rPr>
          <w:szCs w:val="20"/>
        </w:rPr>
        <w:t>Zadanie polegało na zrealizowanu warsztów interpersonalnych z zakresu komunikacji społecznej.</w:t>
      </w:r>
      <w:r w:rsidRPr="00E00B35">
        <w:rPr>
          <w:rFonts w:eastAsia="Verdana"/>
          <w:szCs w:val="20"/>
        </w:rPr>
        <w:t xml:space="preserve"> W ramach zadania odbyło się 8 warsztatów w formie on line. W zajęciach udział wzięło 83 osoby. Zadanie dofinansowano kwotą 4950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GRUPA WSPARCIA DLA KOBIET W PROCESIE ROZWODU I USTALEŃ Z OJCEM DZIECI (W KRYZYSIE OKOŁOROZWODOWYM) </w:t>
      </w:r>
    </w:p>
    <w:p w:rsidR="00CA14AB" w:rsidRPr="00E00B35" w:rsidRDefault="00CA14AB" w:rsidP="00E00B35">
      <w:pPr>
        <w:spacing w:after="0" w:line="312" w:lineRule="auto"/>
        <w:rPr>
          <w:szCs w:val="20"/>
        </w:rPr>
      </w:pPr>
      <w:r w:rsidRPr="00E00B35">
        <w:rPr>
          <w:szCs w:val="20"/>
        </w:rPr>
        <w:t>Celem realizacji zadania było udzielenie wsparcia kobietom przechodzącym, przez proces rozwodu, będących w kryzysie związanym z sytuacją, w której się znalazły. Celem prowadzenia grupy było stworzenie oparcia psychicznego, emocjonalnego i udzielenie pomocy w rozwiązaniu indywidualnych problemów każdej z uczestniczek. W trakcie realizacji projektu odbyło się 12 sesji grupowych z udziałem specjalistów (m.in. prawników, mediatorów). Zadanie dofinansowano kwotą 10 000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PROWADZENIE CENTRUM INFORMACYJNEGO NA OSTROWIE TUMSKIM WE WROCŁAWIU</w:t>
      </w:r>
    </w:p>
    <w:p w:rsidR="00CA14AB" w:rsidRPr="00E00B35" w:rsidRDefault="00CA14AB" w:rsidP="00E00B35">
      <w:pPr>
        <w:spacing w:after="0" w:line="312" w:lineRule="auto"/>
        <w:rPr>
          <w:szCs w:val="20"/>
        </w:rPr>
      </w:pPr>
      <w:r w:rsidRPr="00E00B35">
        <w:rPr>
          <w:szCs w:val="20"/>
        </w:rPr>
        <w:t xml:space="preserve">Zadanie polegało na prowadzeniu centrum informacyjnego na Ostrowie Tumskim. Celem działania Centrum jest podniesienie poziomu wiedzy wrocławian i turystów w obszarze: historii i kultury Wrocławia; atrakcji turystycznych i kulturalnych; wsparcia socjalnego, społecznego, poradnictwa zdrowotnego i innego finansowanego ze środków publicznych. Z powodu pandemii w okresie od marca do maja centrum udzielało informacji telefonicznych oraz przeniosło swoja działalność do internetu, gdzie zamieszczano informacje. Od 1 marca do 30 grudnia 2020 InfoCentrum obsłużyło 9316 osób. W największej liczbie byli to turyści krajowi - 6787 osób, a następnie niemieccy - 1410, anglojęzyczni - 277, czescy - 201 i ukraińscy - 163. Pojawiali się ponadto goście z Hiszpanii, Meksyku,Tajwanu i wielu innych krajów świata. Ze względu na panującą pandemię ilość osób odwiedzających centrum była niższa niż w roku 2019 (19 000 osób). Średnio były to 32 osoby dziennie, najwięcej osób odnotowano w miesiącu lipcu - 2320. Na stronie internetowej InfoCentrum zanotowano 794 077 odwiedzin, polubień nafacebooku 918. Zadanie dofinansowano kwotą 100 000 zł. </w:t>
      </w:r>
    </w:p>
    <w:p w:rsidR="005E6C69" w:rsidRPr="00E00B35" w:rsidRDefault="005E6C69" w:rsidP="00E00B35">
      <w:pPr>
        <w:pStyle w:val="Nagwek4"/>
        <w:spacing w:before="0" w:after="0" w:line="312" w:lineRule="auto"/>
        <w:rPr>
          <w:sz w:val="20"/>
          <w:szCs w:val="20"/>
        </w:rPr>
      </w:pPr>
      <w:bookmarkStart w:id="211" w:name="_Toc72352352"/>
      <w:bookmarkStart w:id="212" w:name="_Toc72352786"/>
    </w:p>
    <w:p w:rsidR="00CA14AB" w:rsidRPr="00E00B35" w:rsidRDefault="00CA14AB" w:rsidP="00E00B35">
      <w:pPr>
        <w:pStyle w:val="Nagwek4"/>
        <w:spacing w:before="0" w:after="0" w:line="312" w:lineRule="auto"/>
        <w:rPr>
          <w:sz w:val="20"/>
          <w:szCs w:val="20"/>
        </w:rPr>
      </w:pPr>
      <w:r w:rsidRPr="00E00B35">
        <w:rPr>
          <w:sz w:val="20"/>
          <w:szCs w:val="20"/>
        </w:rPr>
        <w:t>VIII KAMPANIE I PROGRAMY PROZDROWOTNE</w:t>
      </w:r>
      <w:bookmarkEnd w:id="211"/>
      <w:bookmarkEnd w:id="212"/>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WROCŁAWSKA AKADEMIA PIERWSZEJ POMOCY</w:t>
      </w:r>
    </w:p>
    <w:p w:rsidR="00CA14AB" w:rsidRPr="00E00B35" w:rsidRDefault="00CA14AB" w:rsidP="00E00B35">
      <w:pPr>
        <w:spacing w:after="0" w:line="312" w:lineRule="auto"/>
        <w:rPr>
          <w:rFonts w:eastAsia="Calibri"/>
          <w:szCs w:val="20"/>
        </w:rPr>
      </w:pPr>
      <w:r w:rsidRPr="00E00B35">
        <w:rPr>
          <w:szCs w:val="20"/>
        </w:rPr>
        <w:t>T</w:t>
      </w:r>
      <w:r w:rsidRPr="00E00B35">
        <w:rPr>
          <w:rFonts w:eastAsia="Calibri"/>
          <w:szCs w:val="20"/>
        </w:rPr>
        <w:t xml:space="preserve">o projekt skierowany do mieszkańców Wrocławia w różnym wieku i stopniu zaawansowania wiedzy medycznej na temat pierwszej pomocy. Działania w roku 2020 w większości odbywały się na platformie edukacyjnej Korbank w Internecie pod opieką merytoryczną Uniwersytetu Medycznego. Całość wpisana jest w kampanię społeczną wspierającą nabywanie umiejętności reagowania w sytuacjach zagrażających zdrowiu lub </w:t>
      </w:r>
      <w:r w:rsidRPr="00E00B35">
        <w:rPr>
          <w:rFonts w:eastAsia="Calibri"/>
          <w:szCs w:val="20"/>
        </w:rPr>
        <w:lastRenderedPageBreak/>
        <w:t xml:space="preserve">życiu. Celem akademii jest także szerzenie poczucia odpowiedzialności i empatii względem anonimowych osób potrzebujących pomocy w nagłych wypadkach. </w:t>
      </w:r>
    </w:p>
    <w:p w:rsidR="00CA14AB" w:rsidRPr="00E00B35" w:rsidRDefault="00CA14AB" w:rsidP="00E00B35">
      <w:pPr>
        <w:spacing w:after="0" w:line="312" w:lineRule="auto"/>
        <w:rPr>
          <w:szCs w:val="20"/>
        </w:rPr>
      </w:pPr>
      <w:r w:rsidRPr="00E00B35">
        <w:rPr>
          <w:rFonts w:eastAsia="Calibri"/>
          <w:szCs w:val="20"/>
        </w:rPr>
        <w:t>W ramach projektu w 2020 odbyły się 2 szkolenia z podstaw pierwszej pomocy online. Szkolenia miały nowatorską formę warsztatową, gdzie zasób wiedzy teoretycznej uzupełniały ćwiczenia praktyczne, ponieważ uczestnicy kursu otrzymali wypożyczone fantomy w zdezynfekowanych pakietach szkoleniowych dostarczanych do domów na potrzeby przeprowadzonego szkolenia. Po przebytym 3-godzinnym kursie uczestnicy otrzymywali zaświadczenie o zdobytej wiedzy z pierwszej pomocy i umiejętnościach praktycznych.</w:t>
      </w:r>
      <w:r w:rsidRPr="00E00B35">
        <w:rPr>
          <w:szCs w:val="20"/>
        </w:rPr>
        <w:t xml:space="preserve">Wybuch epidemii stał się powodem do poruszenia aktualnych zagadnień związanych z pierwszą pomocą zmodyfikowaną przez warunki sanitarne oraz aktualną wiedzą na temat bezpieczeństwa pomagających. W ramach działań WAPP online w 2020r. odbyły się 4 godziny webinariów, z których skorzystało ok 200 osób oraz 19 kursów z podstaw pierwszej pomocy dla 158 osób. Odbyły się także 2 szkolenia na żywo z podstaw pierwszej pomocy przed wybuchem epidemii, z którego skorzystały 36 osób. Udało się także we współpracy z Uniwersytetem medycznym  nagrać podcast, który ciągle jest obecny w Internecie, a do tej pory zyskał zasięg 51 słuchaczy. </w:t>
      </w:r>
    </w:p>
    <w:p w:rsidR="00CA14AB" w:rsidRPr="00E00B35" w:rsidRDefault="00CA14AB" w:rsidP="00E00B35">
      <w:pPr>
        <w:spacing w:after="0" w:line="312" w:lineRule="auto"/>
        <w:rPr>
          <w:szCs w:val="20"/>
        </w:rPr>
      </w:pPr>
      <w:r w:rsidRPr="00E00B35">
        <w:rPr>
          <w:szCs w:val="20"/>
        </w:rPr>
        <w:t xml:space="preserve">Podczas wakacji projekt WAPP nawiązał współpracę z półkoloniami odbywającymi się we Wrocławiu. Udało się zorganizować 7 szkoleń dla dzieci i młodzieży oraz 7 biegów na orientację z zadaniami z pierwszej pomocy, stanowiących test z nabytej wiedzy. Ze szkoleń w ramach działań oferty WAPP dla półkolonii skorzystało 354 osoby. Edycję letnich wydarzeń w ramach projektu wieńczył pokaz ratownictwa wodnego na Odrze, w którym wzięło udział 121 osób. </w:t>
      </w:r>
    </w:p>
    <w:p w:rsidR="00CA14AB" w:rsidRPr="00E00B35" w:rsidRDefault="00CA14AB" w:rsidP="00E00B35">
      <w:pPr>
        <w:spacing w:after="0" w:line="312" w:lineRule="auto"/>
        <w:rPr>
          <w:szCs w:val="20"/>
        </w:rPr>
      </w:pPr>
      <w:r w:rsidRPr="00E00B35">
        <w:rPr>
          <w:szCs w:val="20"/>
        </w:rPr>
        <w:t xml:space="preserve">W roku 2020 projekt WAPP zgromadził na fb  916 obserwujących aktualne działania. Zostało także wydane vademecum wiedzy o pierwszej pomocy w ilości 100 sztuk publikacji. W 2020 roku  sumie odbyło się 35 wydarzeń edukacji bezpośredniej dla ok. 1275 osób (w 2019 roku odbyły się 92 wydarzenia edukacji bezpośredniej dla ok. 2910 osób). Na zadanie wydatkowano kwotę 109 243,64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PROWADZENIE DZIAŁAŃ Z ZAKRESU INFORMACJI I EDUKACJI SPOŁECZNEJ POPRZEZ REALIZACJĘ MATERIAŁÓW TELEWIZYJNYCH, RADIOWYCH I PRASOWYCH W LOKALNYCH MEDIACH </w:t>
      </w:r>
    </w:p>
    <w:p w:rsidR="00CA14AB" w:rsidRPr="00E00B35" w:rsidRDefault="00CA14AB" w:rsidP="00E00B35">
      <w:pPr>
        <w:spacing w:after="0" w:line="312" w:lineRule="auto"/>
        <w:rPr>
          <w:rFonts w:eastAsia="Verdana"/>
          <w:szCs w:val="20"/>
        </w:rPr>
      </w:pPr>
      <w:r w:rsidRPr="00E00B35">
        <w:rPr>
          <w:rFonts w:eastAsia="Verdana"/>
          <w:szCs w:val="20"/>
        </w:rPr>
        <w:t xml:space="preserve">Koprodukcja audycji „Zdrowiej”, realizowanej przez TVP Wrocław, poświęconej zagadnieniom ochrony zdrowia.  W 2020 roku wyprodukowano 2 odcinki,  które zostały wyemitowane 24 razy. </w:t>
      </w:r>
    </w:p>
    <w:p w:rsidR="00CA14AB" w:rsidRPr="00E00B35" w:rsidRDefault="00CA14AB" w:rsidP="00E00B35">
      <w:pPr>
        <w:spacing w:after="0" w:line="312" w:lineRule="auto"/>
        <w:rPr>
          <w:szCs w:val="20"/>
        </w:rPr>
      </w:pPr>
      <w:r w:rsidRPr="00E00B35">
        <w:rPr>
          <w:rFonts w:eastAsia="Verdana"/>
          <w:szCs w:val="20"/>
        </w:rPr>
        <w:t xml:space="preserve">Realizacja 4 audycji telewizyjnych w ECHO24 pn. „W dobrym nastroju” dotyczących sposobów na wzmacnianie kondycji psychicznej. </w:t>
      </w:r>
      <w:r w:rsidRPr="00E00B35">
        <w:rPr>
          <w:szCs w:val="20"/>
        </w:rPr>
        <w:t xml:space="preserve">Na zadanie wydatkowano kwotę 27 775 zł. </w:t>
      </w:r>
    </w:p>
    <w:p w:rsidR="005E6C69" w:rsidRPr="00E00B35" w:rsidRDefault="005E6C69" w:rsidP="00E00B35">
      <w:pPr>
        <w:pStyle w:val="Nagwek5"/>
        <w:rPr>
          <w:szCs w:val="20"/>
        </w:rPr>
      </w:pPr>
    </w:p>
    <w:p w:rsidR="00CA14AB" w:rsidRPr="00E00B35" w:rsidRDefault="00CA14AB" w:rsidP="00E00B35">
      <w:pPr>
        <w:pStyle w:val="Nagwek5"/>
        <w:rPr>
          <w:rFonts w:eastAsia="SimSun"/>
          <w:szCs w:val="20"/>
        </w:rPr>
      </w:pPr>
      <w:r w:rsidRPr="00E00B35">
        <w:rPr>
          <w:szCs w:val="20"/>
        </w:rPr>
        <w:t>DZIEŃ SPORTU I VIII OLIMPIADA ASY ZDROWIA</w:t>
      </w:r>
      <w:r w:rsidRPr="00E00B35">
        <w:rPr>
          <w:rFonts w:eastAsia="SimSun"/>
          <w:szCs w:val="20"/>
        </w:rPr>
        <w:t xml:space="preserve"> </w:t>
      </w:r>
    </w:p>
    <w:p w:rsidR="00CA14AB" w:rsidRPr="00E00B35" w:rsidRDefault="00CA14AB" w:rsidP="00E00B35">
      <w:pPr>
        <w:spacing w:after="0" w:line="312" w:lineRule="auto"/>
        <w:rPr>
          <w:rFonts w:eastAsia="Verdana"/>
          <w:szCs w:val="20"/>
        </w:rPr>
      </w:pPr>
      <w:r w:rsidRPr="00E00B35">
        <w:rPr>
          <w:rFonts w:eastAsia="Verdana"/>
          <w:szCs w:val="20"/>
        </w:rPr>
        <w:t xml:space="preserve">18 marca 2020 r. na Stadionie Wrocław przy al. Śląskiej 1 zaplanowano kolejną edycję wydarzenia. Wydarzenie zostało skierowane do uczniów 4., 5. oraz 6. klas wrocławskich szkół podstawowych. W wydarzeniu miało wziąć udział 25 szkół oraz ponad 800 uczniów. Realizacja wydarzenia została wstrzymana na kilka dni przed organizacją ze względu na </w:t>
      </w:r>
      <w:r w:rsidRPr="00E00B35">
        <w:rPr>
          <w:rFonts w:eastAsia="Verdana"/>
          <w:szCs w:val="20"/>
        </w:rPr>
        <w:lastRenderedPageBreak/>
        <w:t xml:space="preserve">ogłoszenie w kraju stanu pandemii. Zakupione materiały edukacyjne dla uczniów zostaną wykorzystane podczas realizowanego wydarzenia, które zostało przeniesione na 2021 r. W drugiej połowie roku w ramach zadania zostało nakręconych osiem 5-minutowych filmów instruktażowych z ćwiczeniami i zachętą do aktywności ruchowej, także pomiędzy pracą i nauką przy komputerze lub w trakcie kwarantanny z użyciem dostępnych w domu przedmiotów/akcesoriów. Nagrania realizowane w mieszkaniu, pokazują, że ćwiczenia są możliwe do wykonania w każdym miejscu, także w domu, nawet bez specjalistycznego sprzętu. Filmy zawierają również ciekawostki dotyczące aktywności ruchowej i zdrowego odżywiania. Na zadanie wydatkowano kwotę 38 567,10 zł. </w:t>
      </w:r>
      <w:r w:rsidRPr="00E00B35">
        <w:rPr>
          <w:rFonts w:eastAsia="SimSun"/>
          <w:szCs w:val="20"/>
        </w:rPr>
        <w:t>W 2019 roku w wydarzeniu wzięło udział 19 szkół oraz ponad 800 uczniów.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NASYCAMY ZDROWIEM </w:t>
      </w:r>
    </w:p>
    <w:p w:rsidR="00CA14AB" w:rsidRPr="00E00B35" w:rsidRDefault="00CA14AB" w:rsidP="00E00B35">
      <w:pPr>
        <w:spacing w:after="0" w:line="312" w:lineRule="auto"/>
        <w:rPr>
          <w:rFonts w:eastAsia="Verdana"/>
          <w:szCs w:val="20"/>
        </w:rPr>
      </w:pPr>
      <w:r w:rsidRPr="00E00B35">
        <w:rPr>
          <w:rFonts w:eastAsia="Verdana"/>
          <w:szCs w:val="20"/>
        </w:rPr>
        <w:t xml:space="preserve">To projekt kulinarnych warsztatów i wykładów online dotyczących prawidłowego stylu odżywiania dzieci oraz osób dorosłych. Celem projektu było wsparcie wrocławian poprzez przekazanie wiedzy, umiejętności i narzędzi potrzebnych na drodze rozwoju zdrowego stylu odżywiania i życia. Podczas warsztatów kulinarnych dzieci z pomocą swoich opiekunów z produktów dostarczonych im do domu uczyli się sporządzać zdrowe posiłki. Natomiast podczas wykładów uczestnicy uzyskali wiedzę między innymi na temat jak nie zajadać stresu i zmęczenia, jak ograniczyć cukier w diecie oraz jak wprowadzać zdrowe nawyki żywieniowe. W ramach projektu „Nasycamy zdrowiem” odbyły się 4 wykłady z których skorzystało około 150 osób i 5 warsztatów kulinarnych, w których uczestniczyło około 75 osób. </w:t>
      </w:r>
      <w:r w:rsidRPr="00E00B35">
        <w:rPr>
          <w:szCs w:val="20"/>
        </w:rPr>
        <w:t>Na zadanie wydatkowano kwotę 9236,85 zł</w:t>
      </w:r>
    </w:p>
    <w:p w:rsidR="00CA14AB" w:rsidRPr="00E00B35" w:rsidRDefault="00CA14AB" w:rsidP="00E00B35">
      <w:pPr>
        <w:spacing w:after="0" w:line="312" w:lineRule="auto"/>
        <w:rPr>
          <w:szCs w:val="20"/>
        </w:rPr>
      </w:pPr>
      <w:r w:rsidRPr="00E00B35">
        <w:rPr>
          <w:szCs w:val="20"/>
        </w:rPr>
        <w:t>Zadania realizowane w ramach współpracy z organizacjami pozarządowymi:</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ZABEZPIECZENIE SANITARNE DLA WROCŁAWIAN, UCZESTNIKÓW PIESZEJ PIELGRZYMKI NA TRASIE WROCŁAW - CZĘSTOCHOWA 2020 </w:t>
      </w:r>
    </w:p>
    <w:p w:rsidR="00CA14AB" w:rsidRPr="00E00B35" w:rsidRDefault="00CA14AB" w:rsidP="00E00B35">
      <w:pPr>
        <w:spacing w:after="0" w:line="312" w:lineRule="auto"/>
        <w:rPr>
          <w:szCs w:val="20"/>
        </w:rPr>
      </w:pPr>
      <w:r w:rsidRPr="00E00B35">
        <w:rPr>
          <w:rFonts w:eastAsia="Verdana"/>
          <w:szCs w:val="20"/>
        </w:rPr>
        <w:t xml:space="preserve">Celem zadania było zapewnienie podstawowego zaplecza sanitarnego uczestnikom Pieszej Pielgrzymki Wrocławskiej. Adresatami były osoby uczestniczące w pielgrzymce, głównie młodzi wrocławianie. </w:t>
      </w:r>
      <w:r w:rsidRPr="00E00B35">
        <w:rPr>
          <w:szCs w:val="20"/>
        </w:rPr>
        <w:t>Celem zadania było zabezpieczenie potrzeb sanitarnych  około 400 osób - uczestników pieszej pielgrzymki na Jasną Górę.</w:t>
      </w:r>
      <w:r w:rsidRPr="00E00B35">
        <w:rPr>
          <w:rFonts w:eastAsia="Verdana"/>
          <w:szCs w:val="20"/>
        </w:rPr>
        <w:t xml:space="preserve"> Zadanie dofinansowano kwotą 7992 zł.</w:t>
      </w:r>
      <w:r w:rsidRPr="00E00B35">
        <w:rPr>
          <w:szCs w:val="20"/>
        </w:rPr>
        <w:t xml:space="preserve">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BEZPIECZNE LATO W MIEŚCIE</w:t>
      </w:r>
    </w:p>
    <w:p w:rsidR="00CA14AB" w:rsidRPr="00E00B35" w:rsidRDefault="00CA14AB" w:rsidP="00E00B35">
      <w:pPr>
        <w:spacing w:after="0" w:line="312" w:lineRule="auto"/>
        <w:rPr>
          <w:rFonts w:eastAsia="Verdana"/>
          <w:szCs w:val="20"/>
        </w:rPr>
      </w:pPr>
      <w:r w:rsidRPr="00E00B35">
        <w:rPr>
          <w:szCs w:val="20"/>
        </w:rPr>
        <w:t>W ramach zadania zorganizowano 180 godzin dyżurów telefonicznych, konsultacji i szkoleń dla organizatorów  róznych form wypoczynku  i rozrywki w okresie wakacyjnym przeznaczonych dla dzieci i młodzieży.</w:t>
      </w:r>
      <w:r w:rsidRPr="00E00B35">
        <w:rPr>
          <w:rFonts w:eastAsia="Verdana"/>
          <w:szCs w:val="20"/>
        </w:rPr>
        <w:t xml:space="preserve"> Zadanie dofinansowano kwotą 10000 zł.</w:t>
      </w:r>
    </w:p>
    <w:p w:rsidR="00CA14AB" w:rsidRPr="00E00B35" w:rsidRDefault="00CA14AB" w:rsidP="00E00B35">
      <w:pPr>
        <w:spacing w:after="0" w:line="312" w:lineRule="auto"/>
        <w:rPr>
          <w:szCs w:val="20"/>
        </w:rPr>
      </w:pPr>
      <w:bookmarkStart w:id="213" w:name="_Toc72352353"/>
      <w:bookmarkStart w:id="214" w:name="_Toc72352787"/>
      <w:r w:rsidRPr="00E00B35">
        <w:rPr>
          <w:szCs w:val="20"/>
        </w:rPr>
        <w:t xml:space="preserve">IX WSPOMAGANIE AKTYWNOŚCI MIESZKAŃCÓW ORAZ WSPÓLNOT LOKALNYCH POPRZEZ ORGANIZACJĘ WYDARZEŃ KULTURALNYCH, SPORTOWYCH, PLENEROWYCH ORAZ FESTYNÓW OSIEDLOWYCH </w:t>
      </w:r>
      <w:r w:rsidRPr="00E00B35">
        <w:rPr>
          <w:szCs w:val="20"/>
        </w:rPr>
        <w:br/>
        <w:t>I RODZINNYCH</w:t>
      </w:r>
      <w:bookmarkEnd w:id="213"/>
      <w:bookmarkEnd w:id="214"/>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PARKI ESK – EMOCJE SPORT KULTURA </w:t>
      </w:r>
    </w:p>
    <w:p w:rsidR="00CA14AB" w:rsidRPr="00E00B35" w:rsidRDefault="00CA14AB" w:rsidP="00E00B35">
      <w:pPr>
        <w:spacing w:after="0" w:line="312" w:lineRule="auto"/>
        <w:rPr>
          <w:szCs w:val="20"/>
        </w:rPr>
      </w:pPr>
      <w:r w:rsidRPr="00E00B35">
        <w:rPr>
          <w:szCs w:val="20"/>
        </w:rPr>
        <w:t>W 2020 roku w związku z epidemią SARS-CoV2 nie odbywały się wydarzenia plenerowe. Środki wydatkowano na prace niezbędne do utrzymania dobrego stanu technicznego kontenerów oraz zakupy w celu organizacji, porządkowania i przechowywania sprzętu należącego do projektu. Podjęto współpracę z artystką, która w ramach Park ART Parków ESK odmalowała kontener w Parku Południowym w celu zwiększenia jego estetyki oraz jako próba zapobiegania niszczeniu przez grafficiarzy. Prowadzone były działania na fb wspierające inne działania społeczne. Łącznie fanpage na fb polubiło 1966 osób, a stronę obserwuje 2115 osób. Na zadanie wydatkowano kwotę 18 575,33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OTWARTA PRZESTRZEŃ KULTURY</w:t>
      </w:r>
    </w:p>
    <w:p w:rsidR="00CA14AB" w:rsidRPr="00E00B35" w:rsidRDefault="00CA14AB" w:rsidP="00E00B35">
      <w:pPr>
        <w:spacing w:after="0" w:line="312" w:lineRule="auto"/>
        <w:rPr>
          <w:szCs w:val="20"/>
        </w:rPr>
      </w:pPr>
      <w:r w:rsidRPr="00E00B35">
        <w:rPr>
          <w:szCs w:val="20"/>
        </w:rPr>
        <w:t xml:space="preserve"> W związku z epidemią SARS-CoV2 działania w OPK zostały uruchomione w maju 2020 roku w okrojonej formie. Zatrudniono osoby do obsługi obiektu, uruchamiania przewodnika audio oraz nadzoru nad odbywającymi się wydarzeniami. Eventy w obiekcie odbywały się zgodnie z obowiązującym w danym momencie reżimie sanitarnym. Zorganizowano 5 wystaw sztuki, 3 koncerty, 4 wirtualne rajdy z zagadkami. Ponadto odbyło się 8 spotkań podróżniczych online, którymi zainteresowanych było 1185 osób. Dzięki systemowi audio możliwe było słuchanie historii OPK w 3 językach: polskim, angielskim i niemieckim. Wydano książkę „Tajemnica starego kościółka” Jerzego Edigey. Łącznie fanpage na fb polubiło 1141 osoby, a stronę obserwuje 1253 osoby. Na zadanie wydatkowano kwotę 81017,60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WROCŁAW WRACA</w:t>
      </w:r>
    </w:p>
    <w:p w:rsidR="00CA14AB" w:rsidRPr="00E00B35" w:rsidRDefault="00CA14AB" w:rsidP="00E00B35">
      <w:pPr>
        <w:spacing w:after="0" w:line="312" w:lineRule="auto"/>
        <w:rPr>
          <w:szCs w:val="20"/>
        </w:rPr>
      </w:pPr>
      <w:r w:rsidRPr="00E00B35">
        <w:rPr>
          <w:szCs w:val="20"/>
        </w:rPr>
        <w:t xml:space="preserve">11 listopada w ramach obchodów Święta Odzyskania przez Polskę Niepodległości, WCRS zorganizował atrakcje online - co godzinę były zamieszczane posty na profilach społecznościowych jednostki, a cała akcja we współpracy z innymi instytucjami Miasta została nazwana #WrocławDlaNiepodległej. Zostało zamieszczonych 14 postów, które dotarły do 3386 osób i uzyskały 174 reakcje (polubienia, komentarze, udostępnienia). W ramach działań zostały także przygotowane dwa nagrania z piosenkami patriotycznymi (Laboratorium Śpiewu i Mowy) oraz we współpracy </w:t>
      </w:r>
      <w:r w:rsidRPr="00E00B35">
        <w:rPr>
          <w:szCs w:val="20"/>
        </w:rPr>
        <w:br/>
        <w:t>z ARAWem film dotyczący samodzielnego wykonania kotylionu. Na zadanie wydatkowano kwotę 11 606,76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KONCERT Z OKAZJI ŚWIĘTA TRZECH KRÓLI </w:t>
      </w:r>
    </w:p>
    <w:p w:rsidR="00CA14AB" w:rsidRPr="00E00B35" w:rsidRDefault="00CA14AB" w:rsidP="00E00B35">
      <w:pPr>
        <w:spacing w:after="0" w:line="312" w:lineRule="auto"/>
        <w:rPr>
          <w:szCs w:val="20"/>
        </w:rPr>
      </w:pPr>
      <w:r w:rsidRPr="00E00B35">
        <w:rPr>
          <w:szCs w:val="20"/>
        </w:rPr>
        <w:t xml:space="preserve">W ramach zadania już po raz dziesiąty w dniu 6.01.2020 roku zorganizowano we Wrocławiu Orszak Trzech Króli. Szacuje się, że w wydarzeniu udział wzięło około 20 000 mieszkańców Wrocławia oraz gości. Orszak rozpoczął pochód na placu przed Katedrą, a następnie uczestnicy przemaszerowali do stajenki w Rynku.  Zwieńczeniem pochodu był koncert zespołów Agaliasis i Arki Noego. Podczas imprezy rozdano 3 000 sztuk śpiewników kolęd specjalnie przygotowanych oraz 6 000 koron.  Na zadanie wydatkowano kwotę 55 920,24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GALA MŁODYCH WROCŁAWSKICH SPORTOWCÓW </w:t>
      </w:r>
    </w:p>
    <w:p w:rsidR="00CA14AB" w:rsidRPr="00E00B35" w:rsidRDefault="00CA14AB" w:rsidP="00E00B35">
      <w:pPr>
        <w:spacing w:after="0" w:line="312" w:lineRule="auto"/>
        <w:rPr>
          <w:szCs w:val="20"/>
        </w:rPr>
      </w:pPr>
      <w:r w:rsidRPr="00E00B35">
        <w:rPr>
          <w:szCs w:val="20"/>
        </w:rPr>
        <w:t xml:space="preserve">Celem zadania było propagowanie aktywności fizycznej, zaangażowania społecznego młodzieży i dorosłych poprzez prezentację wybitnych, młodych wrocławskich sportowców. Uroczysta gala, która zgromadziła ponad 60 osób odbyła się 27.01.2020 roku na Stadionie Miejskim. W trakcie trwania imprezy uhonorowano najbardziej zasłużoną wrocławską młodzież, która swoją postawą przyczynia się do promocji zdrowego i aktywnego stylu życia oraz promocji miasta Wrocławia na arenie międzynarodowej podczas zawodów sportowych. Kwota wydatkowana na zadanie 14 002,50 zł. </w:t>
      </w:r>
    </w:p>
    <w:p w:rsidR="00CA14AB" w:rsidRPr="00E00B35" w:rsidRDefault="00CA14AB" w:rsidP="00E00B35">
      <w:pPr>
        <w:spacing w:after="0" w:line="312" w:lineRule="auto"/>
        <w:rPr>
          <w:szCs w:val="20"/>
        </w:rPr>
      </w:pPr>
      <w:r w:rsidRPr="00E00B35">
        <w:rPr>
          <w:szCs w:val="20"/>
        </w:rPr>
        <w:t>Zadania realizowane w ramach współpracy z organizacjami pozarządowymi:</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WAKACYJNA PRZYGODA WE WROCŁAWIU 2020 </w:t>
      </w:r>
    </w:p>
    <w:p w:rsidR="00CA14AB" w:rsidRPr="00E00B35" w:rsidRDefault="00CA14AB" w:rsidP="00E00B35">
      <w:pPr>
        <w:spacing w:after="0" w:line="312" w:lineRule="auto"/>
        <w:rPr>
          <w:szCs w:val="20"/>
        </w:rPr>
      </w:pPr>
      <w:r w:rsidRPr="00E00B35">
        <w:rPr>
          <w:szCs w:val="20"/>
        </w:rPr>
        <w:t xml:space="preserve">14 organizacji pozarządowych zorganizowało zajęcia dla dzieci i młodzieży w wieku od 4 do 17 lat, które mieszkają we Wrocławiu i/lub uczęszczają do wrocławskich przedszkoli, szkół podstawowych i ponadpodstawowych (z wyłączeniem szkół policealnych). Odbyły się m.in takie wydarzenia jak warsztaty fotograficzne, warsztaty cyrkowo-artystyczne, warsztaty z recyklingu i upcyklingu, zajęcia artystyczne (malarstwo, rekodzieło, landart, glina) zajęcia rekreacyjno-dziennikarskie z animacjami w terenie, zajęcia ruchowe i sportowe, rajdy rowerowe, zajęcia z plenerowego budowania z klocków z elementami robotyki, turnieje szachowe, zajęcia „Uniwersytet pod chmurką" nawiązujące do 10 wydziałów Uniwersytetu Wrocławskiego, „Matematyczna gra terenowa – Poznaj Nadodrze” czy wyjazdy na lotnisko Szymanów podczas których dzieci i młodzież poznały zasady latania szybowców, zasady funkcjonowania lotniska, zobaczyły różne rodzaje szybowców i samolotów i własnoręcznie złożyły model samolotu. W warsztatach uczestniczyło łącznie około 1900 dzieci w wieku szkolnym. Na realizację zadania publicznego w ramach ogłoszonego konkursu zaproponowano dotację w łącznej wysokości 330 000,00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WROCŁAWSKA STREFA REKREACJI</w:t>
      </w:r>
    </w:p>
    <w:p w:rsidR="00CA14AB" w:rsidRPr="00E00B35" w:rsidRDefault="00CA14AB" w:rsidP="00E00B35">
      <w:pPr>
        <w:spacing w:after="0" w:line="312" w:lineRule="auto"/>
        <w:rPr>
          <w:rFonts w:eastAsia="Verdana"/>
          <w:szCs w:val="20"/>
        </w:rPr>
      </w:pPr>
      <w:r w:rsidRPr="00E00B35">
        <w:rPr>
          <w:szCs w:val="20"/>
        </w:rPr>
        <w:t xml:space="preserve"> Celem zadania publicznego było wspieranie rozwoju, aktywizacja oraz zagospodarowanie czasu wolnego wrocławskich dzieci i młodzieży pochodzących ze środowisk zagrożonych wykluczeniem społecznym i ekonomicznym poprzez o</w:t>
      </w:r>
      <w:r w:rsidRPr="00E00B35">
        <w:rPr>
          <w:rFonts w:eastAsia="Verdana"/>
          <w:szCs w:val="20"/>
        </w:rPr>
        <w:t xml:space="preserve">rganizację cyklu 10 imprez aktywizujących, obejmujących sportowe i artystyczne bloki tematyczne oraz zajęcia socjalizująco-integracyjne oraz wydarzenia podsumowującego. </w:t>
      </w:r>
      <w:r w:rsidRPr="00E00B35">
        <w:rPr>
          <w:rFonts w:eastAsia="SimSun"/>
          <w:szCs w:val="20"/>
        </w:rPr>
        <w:t xml:space="preserve">Każdy event składał się z 3 bloków: sportowego, artystycznego i socjalizująco-integracyjnego. </w:t>
      </w:r>
      <w:r w:rsidRPr="00E00B35">
        <w:rPr>
          <w:rFonts w:eastAsia="Verdana"/>
          <w:szCs w:val="20"/>
        </w:rPr>
        <w:t>W ramach realizacji zadania została wykonana pamiątkowa instalacja w formie totemu. W cyklu eventów łącznie wzięło udział 587 uczestników. Na zadanie wydatkowano kwotę 118 990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WSPARCIA DLA WROCŁAWSKICH DZIECI I MŁODZIEŻY 2020</w:t>
      </w:r>
    </w:p>
    <w:p w:rsidR="00CA14AB" w:rsidRPr="00E00B35" w:rsidRDefault="00CA14AB" w:rsidP="00E00B35">
      <w:pPr>
        <w:spacing w:after="0" w:line="312" w:lineRule="auto"/>
        <w:rPr>
          <w:szCs w:val="20"/>
        </w:rPr>
      </w:pPr>
      <w:r w:rsidRPr="00E00B35">
        <w:rPr>
          <w:szCs w:val="20"/>
        </w:rPr>
        <w:t xml:space="preserve">Projekt powołano i zrealizowano specjalnie ze względu na pandemię. W ramach konkursu dotacyjnego w okresie od 2 listopada do 18 grudnia 2020 r. 16 organizacji pozarządowych przeprowadziło różnorodne zajęcia wspierające dzieci </w:t>
      </w:r>
      <w:r w:rsidRPr="00E00B35">
        <w:rPr>
          <w:szCs w:val="20"/>
        </w:rPr>
        <w:br/>
        <w:t xml:space="preserve">i młodzież w sposób adekwatny do rozpoznanych indywidualnych potrzeb każdego </w:t>
      </w:r>
      <w:r w:rsidRPr="00E00B35">
        <w:rPr>
          <w:szCs w:val="20"/>
        </w:rPr>
        <w:lastRenderedPageBreak/>
        <w:t xml:space="preserve">uczestnika. Wydarzenia miały na celu wsparcie opiekuńcze, psychologiczne ukierunkowane na przeciwdziałania skutkom stresu wywołanym pandemią Covid-19, zapobiegające wykluczeniu cyfrowemu oraz kształtujące nawyki zdrowego stylu życia </w:t>
      </w:r>
      <w:r w:rsidRPr="00E00B35">
        <w:rPr>
          <w:szCs w:val="20"/>
        </w:rPr>
        <w:br/>
        <w:t xml:space="preserve">i propagujące wzory sprzyjające życiu bez uzależnień. Zgodnie z wytycznymi Ministra Zdrowia i Głównego Inspektora Sanitarnego dotyczącymi zasad bezpieczeństwa epidemiologicznego odbyły się m.in. warsztaty filmowo-aktorskie, artystyczne (wokalne, wizualne, estetyczne), sportowe (koszykówka, zapasy, piłka nożna, ju-jitsu, la crosse) </w:t>
      </w:r>
      <w:r w:rsidRPr="00E00B35">
        <w:rPr>
          <w:szCs w:val="20"/>
        </w:rPr>
        <w:br/>
        <w:t xml:space="preserve">w czasie których młodzież miała okazję spotkać się ze znanymi osobistościami ze świata sportu. Na zajęciach psychologicznych beneficjenci trenowali umiejętności społeczne, myślenie krytyczne, otrzymali informacje o profilaktyce uzależnień. Uczestnicy mieli możliwość brania udziału w zajęciach grupowych, a także indywidualnych, dostosowanych do ich potrzeb. Odbyły się również wycieczki do wrocławskich instytucji </w:t>
      </w:r>
      <w:r w:rsidRPr="00E00B35">
        <w:rPr>
          <w:szCs w:val="20"/>
        </w:rPr>
        <w:br/>
        <w:t>i miejsc kultury. rzeprowadzono ponad 381 warsztatów, zajęć, wycieczek.Całkowita liczba beneficjentów wyniosła ponad 2845 osób.  Na realizację zadania publicznego w ramach ogłoszonego konkursu zaproponowano dotację w łącznej wysokości 400 000,00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ZAJĘCIA EDUKACYJNO-REKREACYJNE. UPOWSZECHNIANIE KULTURY FIZYCZNEJ </w:t>
      </w:r>
    </w:p>
    <w:p w:rsidR="00CA14AB" w:rsidRPr="00E00B35" w:rsidRDefault="00CA14AB" w:rsidP="00E00B35">
      <w:pPr>
        <w:spacing w:after="0" w:line="312" w:lineRule="auto"/>
        <w:rPr>
          <w:szCs w:val="20"/>
        </w:rPr>
      </w:pPr>
      <w:r w:rsidRPr="00E00B35">
        <w:rPr>
          <w:szCs w:val="20"/>
        </w:rPr>
        <w:t xml:space="preserve">Celem realizacji zadania była organizacja wypoczynku zimowego </w:t>
      </w:r>
      <w:r w:rsidRPr="00E00B35">
        <w:rPr>
          <w:szCs w:val="20"/>
        </w:rPr>
        <w:br/>
        <w:t>o charakterze sportowo-rekreacyjnym w czasie ferii szkolnych. Uczestnikami wypoczynku była 12 osobowa grupa dzieci w wieku 7-14 lat - uczniów szkół podstawowych z terenu Wrocławia.W ramach zadanie zrealizowano program zajęć sportowych oraz wyścia kulturalno - artystyczne. Zadanie dofinansowano kwotą 9 500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ZIELONY BROCHÓW </w:t>
      </w:r>
    </w:p>
    <w:p w:rsidR="00CA14AB" w:rsidRPr="00E00B35" w:rsidRDefault="00CA14AB" w:rsidP="00E00B35">
      <w:pPr>
        <w:spacing w:after="0" w:line="312" w:lineRule="auto"/>
        <w:rPr>
          <w:rFonts w:eastAsia="Verdana"/>
          <w:szCs w:val="20"/>
        </w:rPr>
      </w:pPr>
      <w:r w:rsidRPr="00E00B35">
        <w:rPr>
          <w:szCs w:val="20"/>
        </w:rPr>
        <w:t xml:space="preserve"> Projekt miał na celu podniesienie wiedzy ekologicznej mieszkańców osiedla Brochów. Wramach zadania  nagrano 3 filmy instruktazowe </w:t>
      </w:r>
      <w:r w:rsidRPr="00E00B35">
        <w:rPr>
          <w:szCs w:val="20"/>
        </w:rPr>
        <w:br/>
        <w:t>(2 tysiace wyświetleń) o temetyce ekologicznej, zorganizowano dwie sąsiedzkie wymiany roslin oraz wysianoogródki kwietne i zielne.</w:t>
      </w:r>
      <w:r w:rsidRPr="00E00B35">
        <w:rPr>
          <w:rFonts w:eastAsia="Verdana"/>
          <w:szCs w:val="20"/>
        </w:rPr>
        <w:t xml:space="preserve"> Zadanie dofinansowano kwotą 4856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II ZAWODY WĘDKARSKIE O PUCHAR PREZYDENTA WROCŁAWIA </w:t>
      </w:r>
    </w:p>
    <w:p w:rsidR="00CA14AB" w:rsidRPr="00E00B35" w:rsidRDefault="00CA14AB" w:rsidP="00E00B35">
      <w:pPr>
        <w:spacing w:after="0" w:line="312" w:lineRule="auto"/>
        <w:rPr>
          <w:szCs w:val="20"/>
        </w:rPr>
      </w:pPr>
      <w:r w:rsidRPr="00E00B35">
        <w:rPr>
          <w:szCs w:val="20"/>
        </w:rPr>
        <w:t>Zadanie miało a celu propagowaie aktywnego stylu życia i integrowanie miłośników i sympatyków przyrody oraz wędkarstwa. W zadaniu udział wzięło około 200 osób.</w:t>
      </w:r>
      <w:r w:rsidRPr="00E00B35">
        <w:rPr>
          <w:rFonts w:eastAsia="Verdana"/>
          <w:szCs w:val="20"/>
        </w:rPr>
        <w:t xml:space="preserve"> Zadanie dofinansowano kwotą 5000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WROCŁAW GAMES FEST 2020</w:t>
      </w:r>
    </w:p>
    <w:p w:rsidR="00CA14AB" w:rsidRPr="00E00B35" w:rsidRDefault="00CA14AB" w:rsidP="00E00B35">
      <w:pPr>
        <w:spacing w:after="0" w:line="312" w:lineRule="auto"/>
        <w:rPr>
          <w:szCs w:val="20"/>
        </w:rPr>
      </w:pPr>
      <w:r w:rsidRPr="00E00B35">
        <w:rPr>
          <w:szCs w:val="20"/>
        </w:rPr>
        <w:t xml:space="preserve">Celem zadania była organizacja kolejnej edycji Miedzynarodowego Festiwalu Gier Planszowych. W związku z pandemią wydarzenie odbyło się on-line. Swoim zasięgiem objęło 1200 uczestników. </w:t>
      </w:r>
      <w:r w:rsidRPr="00E00B35">
        <w:rPr>
          <w:rFonts w:eastAsia="Verdana"/>
          <w:szCs w:val="20"/>
        </w:rPr>
        <w:t>Zadanie dofinansowano kwotą 10000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PROWADZENIE CENTRUM AKTYWNOŚCI SPORTOWEJ I SPOŁECZNEJ </w:t>
      </w:r>
      <w:r w:rsidRPr="00E00B35">
        <w:rPr>
          <w:szCs w:val="20"/>
        </w:rPr>
        <w:br/>
        <w:t>NA OSIEDLU NOWY DWÓR WE WROCŁAWIU</w:t>
      </w:r>
    </w:p>
    <w:p w:rsidR="00CA14AB" w:rsidRPr="00E00B35" w:rsidRDefault="00CA14AB" w:rsidP="00E00B35">
      <w:pPr>
        <w:spacing w:after="0" w:line="312" w:lineRule="auto"/>
        <w:rPr>
          <w:szCs w:val="20"/>
        </w:rPr>
      </w:pPr>
      <w:r w:rsidRPr="00E00B35">
        <w:rPr>
          <w:rFonts w:eastAsia="Arial Unicode MS"/>
          <w:szCs w:val="20"/>
        </w:rPr>
        <w:t xml:space="preserve">Zadanie polegało na prowadzeniu Centrum Aktywności Sportowej i Społecznej na osiedlu Nowy Dwór we Wrocławiu przy Parafii pw. Opatrzności Bożej. Głównym zadaniem </w:t>
      </w:r>
      <w:r w:rsidRPr="00E00B35">
        <w:rPr>
          <w:rFonts w:eastAsia="Arial Unicode MS"/>
          <w:szCs w:val="20"/>
        </w:rPr>
        <w:lastRenderedPageBreak/>
        <w:t xml:space="preserve">Centrum było podnoszenie poziomu integracji i aktywności społecznej mieszkańców osiedla Nowy Dwór i okolic. Oferta skierowana była do najmłodszych mieszkańców, ale również do zamieszkujących Nowy Dwór seniorów. W budynku kościoła znajduje się ścianka wspinaczkowa, z której chętnie korzystają mieszkańcy osiedla i okolic. </w:t>
      </w:r>
      <w:r w:rsidRPr="00E00B35">
        <w:rPr>
          <w:szCs w:val="20"/>
        </w:rPr>
        <w:t xml:space="preserve">W zajęciach sportowych w I kwartale 2020 roku udział wzięło 1198 osoby. </w:t>
      </w:r>
      <w:r w:rsidRPr="00E00B35">
        <w:rPr>
          <w:rFonts w:eastAsia="Arial Unicode MS"/>
          <w:szCs w:val="20"/>
        </w:rPr>
        <w:t>Z powodu pandemii zajęcia zostały w połowie marca przeniesione na platformę internetową. Seniorzy spotykali się na zajęciach on line (do 1000 wyświetleń postów). Nagrano 183 filmiki instruktażowe dla dzieci i młodzieży. Posty trafiały do około 1500 osób. Ponadto przeprowadzono dwie akcje społecznościowei liczne warsztaty. W warsztatach stacjonarnych udział brało od 10 do 30 osób tygodniowo. W zajęciach online od 150 do 300 osób. Na realizację zadania przeznaczono kwotę 140 000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NOWE ŻERNIKI - PILOTAŻ </w:t>
      </w:r>
    </w:p>
    <w:p w:rsidR="00CA14AB" w:rsidRPr="00E00B35" w:rsidRDefault="00CA14AB" w:rsidP="00E00B35">
      <w:pPr>
        <w:spacing w:after="0" w:line="312" w:lineRule="auto"/>
        <w:rPr>
          <w:szCs w:val="20"/>
        </w:rPr>
      </w:pPr>
      <w:r w:rsidRPr="00E00B35">
        <w:rPr>
          <w:szCs w:val="20"/>
        </w:rPr>
        <w:t xml:space="preserve">Zadanie realizowane w latach 2019 – 2021. Celem realizacji zadania było poszerzenie i wzbogacenie oferty działań sprzyjających aktywizacji środowiska lokalnego, dostosowanych do potrzeb mieszkańców Wrocławia </w:t>
      </w:r>
      <w:r w:rsidRPr="00E00B35">
        <w:rPr>
          <w:szCs w:val="20"/>
        </w:rPr>
        <w:br/>
        <w:t xml:space="preserve">w szczególności osiedla Nowe Żerniki, w tym dzieci, młodzieży, osób starszych </w:t>
      </w:r>
      <w:r w:rsidRPr="00E00B35">
        <w:rPr>
          <w:szCs w:val="20"/>
        </w:rPr>
        <w:br/>
        <w:t xml:space="preserve">i niepełnosprawnych. Z powodu pandemii koronawirusa kilkukrotnie przekładano otwarcie ośrodka. W ramach zadania przeprowadzono diagnozę potrzeb i oczekiwań mieszkańców. Na jej podstawie uruchomiono zajęcia sportowe, warsztaty artystyczne, kawiarnię, dyżury psychologa i prawnika. Przeprowadzono 34 spotkania i warsztaty. </w:t>
      </w:r>
      <w:r w:rsidRPr="00E00B35">
        <w:rPr>
          <w:szCs w:val="20"/>
        </w:rPr>
        <w:br/>
        <w:t xml:space="preserve">W spotkaniach udział brało 139 osób.  </w:t>
      </w:r>
      <w:r w:rsidRPr="00E00B35">
        <w:rPr>
          <w:rFonts w:eastAsia="Verdana"/>
          <w:szCs w:val="20"/>
        </w:rPr>
        <w:t>Na realizację zadania wydatkowano kwotę 435 000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CENTRUM AKTYWNOŚCI LOKALNEJ NA OSIEDLU TARNOGAJ </w:t>
      </w:r>
    </w:p>
    <w:p w:rsidR="00CA14AB" w:rsidRPr="00E00B35" w:rsidRDefault="00CA14AB" w:rsidP="00E00B35">
      <w:pPr>
        <w:spacing w:after="0" w:line="312" w:lineRule="auto"/>
        <w:rPr>
          <w:szCs w:val="20"/>
        </w:rPr>
      </w:pPr>
      <w:r w:rsidRPr="00E00B35">
        <w:rPr>
          <w:szCs w:val="20"/>
        </w:rPr>
        <w:t xml:space="preserve">Zadanie polegało na prowadzeniu centrum aktywności skierowanego do mieszkańców zamieszkujących Tarnogaj i okolice. W ofercie Centrum były m.in. zajęcia z jogi, pilatesu, warsztaty artystyczne dla dzieci, spotkania z mieszkańcami, pikniki i animacje podwórkowe, spotkania i wydarzenia okolicznościowe.  W 2020 roku zostało przeprowadzonych  285 godzin warsztatów (w tym warsztatów online w czasie pandemii). Łączna liczba uczestników tych działań to około 5000 osób. W czasie pandemii działalność została nakierowana na pomoc osobom potrzebującym zwłaszcza seniorom, szycie maseczek, dostarczenie posiłków i akcję informacyjną oraz inne działania miejskie. </w:t>
      </w:r>
      <w:r w:rsidRPr="00E00B35">
        <w:rPr>
          <w:szCs w:val="20"/>
        </w:rPr>
        <w:br/>
        <w:t>Łącznie na zadanie przeznaczono 145 000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CENTRUM AKTYWNOŚCI LOKALNEJ NA OSIEDLU STRACHOCIN-SWOJCZYCE-WOJNÓW </w:t>
      </w:r>
    </w:p>
    <w:p w:rsidR="00CA14AB" w:rsidRPr="00E00B35" w:rsidRDefault="00CA14AB" w:rsidP="00E00B35">
      <w:pPr>
        <w:spacing w:after="0" w:line="312" w:lineRule="auto"/>
        <w:rPr>
          <w:szCs w:val="20"/>
        </w:rPr>
      </w:pPr>
      <w:r w:rsidRPr="00E00B35">
        <w:rPr>
          <w:rFonts w:eastAsia="Verdana"/>
          <w:szCs w:val="20"/>
        </w:rPr>
        <w:t xml:space="preserve">Zadanie polegało na realizacji działań na rzecz mieszkańców osiedla Strachocin-Swojczyce-Wojnów i okolic, w tym: prowadzeniu działań edukacyjnych, zajęć sportowych oraz warsztatów dla mieszkańców osiedla, dzieci i młodzieży, organizowaniu spotkań, wspieraniu inicjatyw mieszkańców i grup lokalnych, wspieraniu organizacyjne procesów konsultacyjnych oraz animowaniu liderów zaangażowanych w procesy partycypacyjne. W ramach zadania zorganizowano działania o charakterze kulturalnym np. wystawy, próby </w:t>
      </w:r>
      <w:r w:rsidRPr="00E00B35">
        <w:rPr>
          <w:rFonts w:eastAsia="Verdana"/>
          <w:szCs w:val="20"/>
        </w:rPr>
        <w:lastRenderedPageBreak/>
        <w:t>teatralne. Ważną rolę odegrały spotkania grupy inicjatywnej pod nazwą Partnerstwo Strachocin-Swojczyce-Wojnów, na których poruszano m.in. zagadniena zagadnienia ekonomii społecznej, ekologii.</w:t>
      </w:r>
      <w:r w:rsidRPr="00E00B35">
        <w:rPr>
          <w:szCs w:val="20"/>
        </w:rPr>
        <w:t xml:space="preserve"> W czasie pandemii działalność przeniesiono na działania pomocowe - wsparcie seniorów, szycie maseczek, akcję informacyjną.</w:t>
      </w:r>
      <w:r w:rsidRPr="00E00B35">
        <w:rPr>
          <w:rFonts w:eastAsia="Verdana"/>
          <w:szCs w:val="20"/>
        </w:rPr>
        <w:t xml:space="preserve"> </w:t>
      </w:r>
      <w:r w:rsidRPr="00E00B35">
        <w:rPr>
          <w:szCs w:val="20"/>
        </w:rPr>
        <w:t>Łącznie na zadanie przeznaczono 125 000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CENTRUM AKTYWNOŚCI LOKALNEJ NA OSIEDLU ZŁOTNIKI </w:t>
      </w:r>
    </w:p>
    <w:p w:rsidR="00CA14AB" w:rsidRPr="00E00B35" w:rsidRDefault="00CA14AB" w:rsidP="00E00B35">
      <w:pPr>
        <w:spacing w:after="0" w:line="312" w:lineRule="auto"/>
        <w:rPr>
          <w:szCs w:val="20"/>
        </w:rPr>
      </w:pPr>
      <w:r w:rsidRPr="00E00B35">
        <w:rPr>
          <w:szCs w:val="20"/>
        </w:rPr>
        <w:t>Celem realizacji zadania było zainicjowanie działalności kulturalno-edukacyjnej oraz stworzenie przestrzeni ułatwiającej proces integracji społecznej mieszkańców, a także stworzenie kręgów ludzi o podobnej strukturze zainteresowań i rodzajach aktywności. W ramach realizacji zadania zaplanowano 9 cykli spotkań o róznej tematyce, angażujacych osoby w różnym wieku. Ponadto realizowano spotkania okolicznościowe i lokalne. Wczasie pandemii działalność została nakierowana na pomoc osobom potrzebującym zwłaszcza seniorom, szycie maseczek, dostarczenie posiłków i akcję informacyjną i inne działania miejskie.</w:t>
      </w:r>
      <w:r w:rsidRPr="00E00B35">
        <w:rPr>
          <w:rFonts w:eastAsia="Verdana"/>
          <w:szCs w:val="20"/>
        </w:rPr>
        <w:t xml:space="preserve"> </w:t>
      </w:r>
      <w:r w:rsidRPr="00E00B35">
        <w:rPr>
          <w:szCs w:val="20"/>
        </w:rPr>
        <w:t xml:space="preserve"> Na realizację zadania przeznaczono 200 000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CENTRUM AKTYWNOŚCI LOKALNEJ NA OSIEDLU ZACISZE ZALESIE SZCZYTNIKI  </w:t>
      </w:r>
    </w:p>
    <w:p w:rsidR="00CA14AB" w:rsidRPr="00E00B35" w:rsidRDefault="00CA14AB" w:rsidP="00E00B35">
      <w:pPr>
        <w:spacing w:after="0" w:line="312" w:lineRule="auto"/>
        <w:rPr>
          <w:szCs w:val="20"/>
        </w:rPr>
      </w:pPr>
      <w:r w:rsidRPr="00E00B35">
        <w:rPr>
          <w:szCs w:val="20"/>
        </w:rPr>
        <w:t xml:space="preserve">Zadanie polegało na prowadzeniu centrum aktywności skierowanego </w:t>
      </w:r>
      <w:r w:rsidRPr="00E00B35">
        <w:rPr>
          <w:szCs w:val="20"/>
        </w:rPr>
        <w:br/>
        <w:t>do mieszkańców zamieszkujących osiedle Zacisze Zalesie Szczytniki W ramach zadania prowadzono warsztay dla różnych grup seniorów, dzieci, młodzieży. Dużą wage przywiązwao do nawiązania współpracy pomiędzy istniejącymi już na osiedlu organizacjami. W trakcie pandemii CAL włączył się w działania informacyjne skierowane do seniorów prowadzone przez miasto Wrocław. W sumie przeprowadzono 1335 godzin spotkań i warsztatów dla róznych grup wiekowych w tym półkolonie dla dzieci. Na realizację zadania przeznaczono 64 600 zł.</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PROWADZENIE CENTRUM AKTYWNOSCI LOKALEJ NA BROCHOWIE 2020 </w:t>
      </w:r>
    </w:p>
    <w:p w:rsidR="00CA14AB" w:rsidRPr="00E00B35" w:rsidRDefault="00CA14AB" w:rsidP="00E00B35">
      <w:pPr>
        <w:spacing w:after="0" w:line="312" w:lineRule="auto"/>
        <w:rPr>
          <w:szCs w:val="20"/>
        </w:rPr>
      </w:pPr>
      <w:r w:rsidRPr="00E00B35">
        <w:rPr>
          <w:szCs w:val="20"/>
        </w:rPr>
        <w:t xml:space="preserve">Celem zadania było stworzenie optymalnej oferty edukacyjnej, aktywizacyjnej </w:t>
      </w:r>
      <w:r w:rsidRPr="00E00B35">
        <w:rPr>
          <w:szCs w:val="20"/>
        </w:rPr>
        <w:br/>
        <w:t xml:space="preserve">i integracyjnej dla mieszkańców Brochowa z uwzględnieniem grup zagrożonych wykluczeniem społecznym. W ramach zadania odbywały się zajęcia warsztatowe dla mieszkańców,  aktywizacyjne oraz wsparcie psychologiczne dla osób zagrożonych wykluczeniem społecznym. Liczba beneficjentów projektu: stacjonarnych – 488 osób, online - 95.572 (zasięg postów), 12.219 (aktywność użytkowników dotycząca postów). Przeprowadzono 63 spotkania stacjonarne oraz 70 spotkań online. CAL właczył się również w przeciwdziałanie pandemii COVID-19. W ramach pracy wolontariuszy z grupy "Brochów szyje maski dla medyków" okolicznym placówkom medycznym, przedszkolom </w:t>
      </w:r>
      <w:r w:rsidRPr="00E00B35">
        <w:rPr>
          <w:szCs w:val="20"/>
        </w:rPr>
        <w:br/>
        <w:t>i żłobkom przekazano około 2.000 sztuk masek oraz 150 czepków. Na realizację zadania przeznaczono kwotę 200 000 zł.</w:t>
      </w:r>
    </w:p>
    <w:p w:rsidR="005E6C69" w:rsidRPr="00E00B35" w:rsidRDefault="005E6C69" w:rsidP="00E00B35">
      <w:pPr>
        <w:pStyle w:val="Nagwek4"/>
        <w:spacing w:before="0" w:after="0" w:line="312" w:lineRule="auto"/>
        <w:rPr>
          <w:sz w:val="20"/>
          <w:szCs w:val="20"/>
        </w:rPr>
      </w:pPr>
      <w:bookmarkStart w:id="215" w:name="_Toc72352354"/>
      <w:bookmarkStart w:id="216" w:name="_Toc72352788"/>
    </w:p>
    <w:p w:rsidR="00CA14AB" w:rsidRPr="00E00B35" w:rsidRDefault="00CA14AB" w:rsidP="00E00B35">
      <w:pPr>
        <w:pStyle w:val="Nagwek4"/>
        <w:spacing w:before="0" w:after="0" w:line="312" w:lineRule="auto"/>
        <w:rPr>
          <w:sz w:val="20"/>
          <w:szCs w:val="20"/>
        </w:rPr>
      </w:pPr>
      <w:r w:rsidRPr="00E00B35">
        <w:rPr>
          <w:sz w:val="20"/>
          <w:szCs w:val="20"/>
        </w:rPr>
        <w:t>X ZADANIA Z ZAKRESU OBSŁUGI I WSPARCIA OSIEDLI WROCŁAWIA</w:t>
      </w:r>
      <w:bookmarkEnd w:id="215"/>
      <w:bookmarkEnd w:id="216"/>
    </w:p>
    <w:p w:rsidR="00CA14AB" w:rsidRPr="00E00B35" w:rsidRDefault="00CA14AB" w:rsidP="00E00B35">
      <w:pPr>
        <w:spacing w:after="0" w:line="312" w:lineRule="auto"/>
        <w:rPr>
          <w:szCs w:val="20"/>
        </w:rPr>
      </w:pPr>
      <w:r w:rsidRPr="00E00B35">
        <w:rPr>
          <w:szCs w:val="20"/>
        </w:rPr>
        <w:t xml:space="preserve">Na łączny budżet Osiedli składają się zadania związane ze statutowym funkcjonowaniem jednostek pomocniczych oraz środki na dodatkowe zadania o charakterze społecznym, w tym realizowane przez samorządy po przekazaniu środków przez jednostki </w:t>
      </w:r>
      <w:r w:rsidRPr="00E00B35">
        <w:rPr>
          <w:szCs w:val="20"/>
        </w:rPr>
        <w:lastRenderedPageBreak/>
        <w:t xml:space="preserve">organizacyjne Gminy oraz komórki Urzędu Miejskiego (m.in. Wydział Zdrowia i Spraw Społecznych, Wydział Kultury, Biuro Sportu i Rekreacji. </w:t>
      </w:r>
    </w:p>
    <w:p w:rsidR="00CA14AB" w:rsidRPr="00E00B35" w:rsidRDefault="00CA14AB" w:rsidP="00E00B35">
      <w:pPr>
        <w:spacing w:after="0" w:line="312" w:lineRule="auto"/>
        <w:rPr>
          <w:szCs w:val="20"/>
        </w:rPr>
      </w:pPr>
      <w:r w:rsidRPr="00E00B35">
        <w:rPr>
          <w:szCs w:val="20"/>
        </w:rPr>
        <w:t xml:space="preserve">Ze względu na sytuację i obowiązujące ograniczenia wynikające ze stanu epidemii samorządy Osiedli w 2020 roku realizowały swoje działania w ograniczonym zakresie. Środki finansowe były wykorzystywane przede wszystkim na potrzeby związane z bieżącym funkcjonowaniem samorządów (opłaty za czynsz oraz media dostarczane do lokali, zakup materiałów i wyposażenia, wypłata diet dla radnych). Część wydatków w ramach zadania WCRS/B/09 obejmowała również finansowanie (na zasadach tzw. wkładu własnego) wydatków na zadania społeczne dedykowane mieszkańcom. W miesiącach, w których wprowadzone obostrzenia na to pozwalały, część samorządów w ramach tych środków finansowych m.in. wnioskowała o zawarcie umów zleceń </w:t>
      </w:r>
      <w:r w:rsidRPr="00E00B35">
        <w:rPr>
          <w:szCs w:val="20"/>
        </w:rPr>
        <w:br/>
        <w:t>z osobami fizycznymi prowadzącymi zajęcia w klubach seniora oraz centrach aktywności i rozwoju dzieci i młodzieży, a także dokonywała zakupów artykułów spożywczych, materiałów i usług związanych z realizowanymi w tym okresie zadaniami.</w:t>
      </w:r>
    </w:p>
    <w:p w:rsidR="00CA14AB" w:rsidRPr="00E00B35" w:rsidRDefault="00CA14AB" w:rsidP="00E00B35">
      <w:pPr>
        <w:spacing w:after="0" w:line="312" w:lineRule="auto"/>
        <w:rPr>
          <w:szCs w:val="20"/>
        </w:rPr>
      </w:pPr>
      <w:r w:rsidRPr="00E00B35">
        <w:rPr>
          <w:szCs w:val="20"/>
        </w:rPr>
        <w:t>Od drugiego kwartału 2020 roku znaczna część Osiedli włączyła się w działania na rzecz mieszkańców Wrocławia w związku z panującą epidemią, współpracując z właściwymi służbami, jednostkami organizacyjnymi Miasta (np. MOPS) i komórkami organizacyjnymi Urzędu Miejskiego Wrocławia. W ramach wspólnych działań z WCRS oraz MPK dystrybuowano wśród mieszkańców środki ochrony osobistej (w tym maseczki), prowadzono również kampanię informacyjną z wykorzystaniem tablic ogłoszeniowych na Osiedlach oraz mediów społecznościowych.</w:t>
      </w:r>
    </w:p>
    <w:p w:rsidR="00CA14AB" w:rsidRPr="00E00B35" w:rsidRDefault="00CA14AB" w:rsidP="00E00B35">
      <w:pPr>
        <w:spacing w:after="0" w:line="312" w:lineRule="auto"/>
        <w:rPr>
          <w:szCs w:val="20"/>
        </w:rPr>
      </w:pPr>
      <w:r w:rsidRPr="00E00B35">
        <w:rPr>
          <w:szCs w:val="20"/>
        </w:rPr>
        <w:t xml:space="preserve">W celu usprawnienia funkcjonowania samorządów Osiedli kontynuowane były </w:t>
      </w:r>
      <w:r w:rsidRPr="00E00B35">
        <w:rPr>
          <w:szCs w:val="20"/>
        </w:rPr>
        <w:br/>
        <w:t>we współpracy  z ZIM i gminnymi zarządcami działania w zakresie remontu istniejących lokali oraz budowy nowych nieruchomości. Prowadzony był monitoring realizowanych inwestycji i prowadzonych remontów. Do użytku oddano m.in. przebudowany obiekt przy ul. Bałtyckiej 8 (Karłowice-Różanka) oraz wyremontowany lokal przy ul. Kościuszki 184 (Przedmieście Oławskie). Kontynuowano także inne zadania remontowo-inwestycyjne, a także pozyskano dla samorządów Osiedli nowe przestrzenie w ramach zasobu gminnego oraz poprzez zawarcie stosownych umów z podmiotami prywatnymi.</w:t>
      </w:r>
    </w:p>
    <w:p w:rsidR="00CA14AB" w:rsidRPr="00E00B35" w:rsidRDefault="00CA14AB" w:rsidP="00E00B35">
      <w:pPr>
        <w:spacing w:after="0" w:line="312" w:lineRule="auto"/>
        <w:rPr>
          <w:szCs w:val="20"/>
        </w:rPr>
      </w:pPr>
      <w:r w:rsidRPr="00E00B35">
        <w:rPr>
          <w:szCs w:val="20"/>
        </w:rPr>
        <w:t>Ponadto, samorządom Osiedli, wzorem lat ubiegłych, przekazano po jednej karcie URBANCARD na okaziciela, umożliwiającej nieodpłatne korzystanie ze wszystkich linii autobusowych i tramwajowych na terenie Miasta.</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KLUBY SENIORA, CHÓRY OSIEDLOWE</w:t>
      </w:r>
    </w:p>
    <w:p w:rsidR="00CA14AB" w:rsidRPr="00E00B35" w:rsidRDefault="009A1F58" w:rsidP="00E00B35">
      <w:pPr>
        <w:spacing w:after="0" w:line="312" w:lineRule="auto"/>
        <w:rPr>
          <w:szCs w:val="20"/>
        </w:rPr>
      </w:pPr>
      <w:r w:rsidRPr="00E00B35">
        <w:rPr>
          <w:szCs w:val="20"/>
        </w:rPr>
        <w:t>K</w:t>
      </w:r>
      <w:r w:rsidR="00CA14AB" w:rsidRPr="00E00B35">
        <w:rPr>
          <w:szCs w:val="20"/>
        </w:rPr>
        <w:t>kluby seniora prowadzą liczne zajęcia między innymi lektoraty języków obcych, techniki ćwiczenia pamięci i koncentracji, zajęcia z obsługi komputera i internetu. Ważną część spotkań obejmuje edukacja prozdrowotna, w tym spotkania z psychologami, dietetykami, lekarzami różnych specjalności, wiele klubów oferuje również gimnastykę i ćwiczenia rehabilitacyjne. Chóry Osiedlowe stają się alternatywą spędzania czasu wolnego, integracji międzypokoleniowej, przyczyniały się do wzrostu ogólnej wrażliwości na sztukę.</w:t>
      </w:r>
    </w:p>
    <w:p w:rsidR="00CA14AB" w:rsidRPr="00E00B35" w:rsidRDefault="00CA14AB" w:rsidP="00E00B35">
      <w:pPr>
        <w:spacing w:after="0" w:line="312" w:lineRule="auto"/>
        <w:rPr>
          <w:szCs w:val="20"/>
        </w:rPr>
      </w:pPr>
      <w:r w:rsidRPr="00E00B35">
        <w:rPr>
          <w:szCs w:val="20"/>
        </w:rPr>
        <w:t>W roku 2020 roku przyznano środki na :</w:t>
      </w:r>
    </w:p>
    <w:p w:rsidR="00CA14AB" w:rsidRPr="00E00B35" w:rsidRDefault="00CA14AB" w:rsidP="00E00B35">
      <w:pPr>
        <w:pStyle w:val="Akapitzlist"/>
        <w:numPr>
          <w:ilvl w:val="0"/>
          <w:numId w:val="9"/>
        </w:numPr>
        <w:spacing w:after="0" w:line="312" w:lineRule="auto"/>
        <w:rPr>
          <w:szCs w:val="20"/>
        </w:rPr>
      </w:pPr>
      <w:r w:rsidRPr="00E00B35">
        <w:rPr>
          <w:szCs w:val="20"/>
        </w:rPr>
        <w:t xml:space="preserve">40 klubów seniora na kwotę 440.120 zł. </w:t>
      </w:r>
    </w:p>
    <w:p w:rsidR="00CA14AB" w:rsidRPr="00E00B35" w:rsidRDefault="00CA14AB" w:rsidP="00E00B35">
      <w:pPr>
        <w:pStyle w:val="Akapitzlist"/>
        <w:numPr>
          <w:ilvl w:val="0"/>
          <w:numId w:val="9"/>
        </w:numPr>
        <w:spacing w:after="0" w:line="312" w:lineRule="auto"/>
        <w:rPr>
          <w:szCs w:val="20"/>
        </w:rPr>
      </w:pPr>
      <w:r w:rsidRPr="00E00B35">
        <w:rPr>
          <w:szCs w:val="20"/>
        </w:rPr>
        <w:lastRenderedPageBreak/>
        <w:t>22 chóry osiedlowe na kwotę 126.000 zł (w tym 8.500 zł na Wrocławski Festiwal Chórów Osiedlowych)</w:t>
      </w:r>
    </w:p>
    <w:p w:rsidR="00CA14AB" w:rsidRPr="00E00B35" w:rsidRDefault="00CA14AB" w:rsidP="00E00B35">
      <w:pPr>
        <w:spacing w:after="0" w:line="312" w:lineRule="auto"/>
        <w:rPr>
          <w:szCs w:val="20"/>
        </w:rPr>
      </w:pPr>
      <w:r w:rsidRPr="00E00B35">
        <w:rPr>
          <w:szCs w:val="20"/>
        </w:rPr>
        <w:t xml:space="preserve">Ze względu na epidemię COVID-19 zajęcia planowane w ramach tych zadań społecznych zostały od miesiąca marca znacznie ograniczone, w miarę możliwości organizowane były zajęcia online.  </w:t>
      </w:r>
    </w:p>
    <w:p w:rsidR="00CA14AB" w:rsidRPr="00E00B35" w:rsidRDefault="00CA14AB" w:rsidP="00E00B35">
      <w:pPr>
        <w:spacing w:after="0" w:line="312" w:lineRule="auto"/>
        <w:rPr>
          <w:szCs w:val="20"/>
        </w:rPr>
      </w:pPr>
      <w:r w:rsidRPr="00E00B35">
        <w:rPr>
          <w:szCs w:val="20"/>
        </w:rPr>
        <w:t xml:space="preserve">W 2019 działały 42 Kluby Seniora przy Radach Osiedla oraz 25 chórów Osiedlowych, </w:t>
      </w:r>
      <w:r w:rsidRPr="00E00B35">
        <w:rPr>
          <w:szCs w:val="20"/>
        </w:rPr>
        <w:br/>
        <w:t xml:space="preserve">w 2018 roku dofinasowano 36 Klubów Seniora i 20 Chórów a w 2017 roku 30 klubów </w:t>
      </w:r>
      <w:r w:rsidRPr="00E00B35">
        <w:rPr>
          <w:szCs w:val="20"/>
        </w:rPr>
        <w:br/>
        <w:t>i 18 chórów.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FESTYNY OSIEDLOWE</w:t>
      </w:r>
    </w:p>
    <w:p w:rsidR="00CA14AB" w:rsidRPr="00E00B35" w:rsidRDefault="00CA14AB" w:rsidP="00E00B35">
      <w:pPr>
        <w:spacing w:after="0" w:line="312" w:lineRule="auto"/>
        <w:rPr>
          <w:szCs w:val="20"/>
        </w:rPr>
      </w:pPr>
      <w:r w:rsidRPr="00E00B35">
        <w:rPr>
          <w:szCs w:val="20"/>
        </w:rPr>
        <w:t xml:space="preserve">W 2020 roku zostały przyznane środki finansowe w kwocie 250.000 zł na organizację 45 festynów. Z powodu sytuacji wynikającej ze stanu epidemii festyny osiedlowe w większości nie odbyły się lub były realizowane w formie wydarzeń online np. koncert. Rady dokonywały zakupów niezbędnego wyposażenia potrzebnego do realizacji tego zadania. W 2019 dofinansowano 48 festynów, w 2018 roku 43 imprezy, a w 2017 roku dofinansowanie otrzymało 36 wniosków na organizację festynów.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FUNDUSZ CZASU WOLNEGO </w:t>
      </w:r>
    </w:p>
    <w:p w:rsidR="00CA14AB" w:rsidRPr="00E00B35" w:rsidRDefault="00CA14AB" w:rsidP="00E00B35">
      <w:pPr>
        <w:spacing w:after="0" w:line="312" w:lineRule="auto"/>
        <w:rPr>
          <w:szCs w:val="20"/>
        </w:rPr>
      </w:pPr>
      <w:r w:rsidRPr="00E00B35">
        <w:rPr>
          <w:szCs w:val="20"/>
        </w:rPr>
        <w:t>Rady Osiedli realizują program dotyczący sposobów zagospodarowania czasu wolnego w dni wolne od pracy. Są to inicjatywy społeczne, zdrowotne, sportowe i kulturalne bezpłatne dla wszystkich mieszkańców, które wpływają na ich integrację oraz na budowanie tożsamości lokalnej. W 2020 roku dofinansowano 29 projektów kwotą 293.940 zł. Ze względu na epidemię COVID-19 nie wszystkie wydarzenia mogły się odbyć zgodnie z planem. W 2019 roku przyznano dofinansowanie na 39 projektów, a w 2018 roku na 22 zadania.</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STRONY INTERNETOWE </w:t>
      </w:r>
    </w:p>
    <w:p w:rsidR="00CA14AB" w:rsidRPr="00E00B35" w:rsidRDefault="00CA14AB" w:rsidP="00E00B35">
      <w:pPr>
        <w:spacing w:after="0" w:line="312" w:lineRule="auto"/>
        <w:rPr>
          <w:rFonts w:eastAsia="SimSun"/>
          <w:szCs w:val="20"/>
        </w:rPr>
      </w:pPr>
      <w:r w:rsidRPr="00E00B35">
        <w:rPr>
          <w:szCs w:val="20"/>
        </w:rPr>
        <w:t xml:space="preserve">Poprzez działalność osiedlowych stron internetowych następuje zwiększenie dostępu do informacji na temat działalności Osiedli, środowisk działających na rzecz mieszkańców oraz informacji o bieżącym życiu Osiedla. Lokalne fora internetowe stwarzają społeczności lokalnej możliwość wypowiadania uwag, postulatów oraz opinii na temat własnej okolicy, często stają się platformą wymiany informacji między mieszkańcami Osiedla. Wsparcie w 2020 r. otrzymało 5 osiedlowych stron internetowych. Na ich działalność wydatkowano kwotę 5.300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WIGILIE i MIKOŁAJKI </w:t>
      </w:r>
    </w:p>
    <w:p w:rsidR="00CA14AB" w:rsidRPr="00E00B35" w:rsidRDefault="00CA14AB" w:rsidP="00E00B35">
      <w:pPr>
        <w:spacing w:after="0" w:line="312" w:lineRule="auto"/>
        <w:rPr>
          <w:szCs w:val="20"/>
        </w:rPr>
      </w:pPr>
      <w:r w:rsidRPr="00E00B35">
        <w:rPr>
          <w:szCs w:val="20"/>
        </w:rPr>
        <w:t xml:space="preserve">Działania organizowane przez Rady Osiedli w ramach zadań pn. Wigilia i Mikołaj realizowane w formach dostosowanych do warunków pandemiicznych w większości wypadków zorganizowano je w formie wsparcia osób najbardziej potrzebujacych. Zadanie było skierowane szczególnie do osób zagrożonych wykluczeniem społecznym ze względu na status materialny lub społeczny. </w:t>
      </w:r>
    </w:p>
    <w:p w:rsidR="00CA14AB" w:rsidRPr="00E00B35" w:rsidRDefault="00CA14AB" w:rsidP="00E00B35">
      <w:pPr>
        <w:spacing w:after="0" w:line="312" w:lineRule="auto"/>
        <w:rPr>
          <w:szCs w:val="20"/>
        </w:rPr>
      </w:pPr>
      <w:r w:rsidRPr="00E00B35">
        <w:rPr>
          <w:szCs w:val="20"/>
        </w:rPr>
        <w:t>W 2020 roku dofinansowano:</w:t>
      </w:r>
    </w:p>
    <w:p w:rsidR="00CA14AB" w:rsidRPr="00E00B35" w:rsidRDefault="00CA14AB" w:rsidP="00E00B35">
      <w:pPr>
        <w:pStyle w:val="Akapitzlist"/>
        <w:numPr>
          <w:ilvl w:val="0"/>
          <w:numId w:val="9"/>
        </w:numPr>
        <w:spacing w:after="0" w:line="312" w:lineRule="auto"/>
        <w:rPr>
          <w:szCs w:val="20"/>
        </w:rPr>
      </w:pPr>
      <w:r w:rsidRPr="00E00B35">
        <w:rPr>
          <w:szCs w:val="20"/>
        </w:rPr>
        <w:t xml:space="preserve">Mikołaj  (39 ofert) – kwotą 145.300 zł </w:t>
      </w:r>
    </w:p>
    <w:p w:rsidR="00CA14AB" w:rsidRPr="00E00B35" w:rsidRDefault="00CA14AB" w:rsidP="00E00B35">
      <w:pPr>
        <w:pStyle w:val="Akapitzlist"/>
        <w:numPr>
          <w:ilvl w:val="0"/>
          <w:numId w:val="9"/>
        </w:numPr>
        <w:spacing w:after="0" w:line="312" w:lineRule="auto"/>
        <w:rPr>
          <w:szCs w:val="20"/>
        </w:rPr>
      </w:pPr>
      <w:r w:rsidRPr="00E00B35">
        <w:rPr>
          <w:szCs w:val="20"/>
        </w:rPr>
        <w:lastRenderedPageBreak/>
        <w:t xml:space="preserve">Wigilia (40 ofert) – kwotą 171.935 zł </w:t>
      </w:r>
    </w:p>
    <w:p w:rsidR="009A1F58" w:rsidRPr="00E00B35" w:rsidRDefault="00CA14AB" w:rsidP="00E00B35">
      <w:pPr>
        <w:spacing w:after="0" w:line="312" w:lineRule="auto"/>
        <w:rPr>
          <w:szCs w:val="20"/>
        </w:rPr>
      </w:pPr>
      <w:r w:rsidRPr="00E00B35">
        <w:rPr>
          <w:szCs w:val="20"/>
        </w:rPr>
        <w:t xml:space="preserve">W 2019 dofinasowano 43 wnioski na organizacje mikołajek i 44 wnioski na organizację wigili. W 2018 roku: 38 -  mikołajki, 40 – wigilie; w 2017 roku: 39 mikołajki, 39 wigilie. </w:t>
      </w:r>
    </w:p>
    <w:p w:rsidR="005E6C69" w:rsidRPr="00E00B35" w:rsidRDefault="005E6C69" w:rsidP="00E00B35">
      <w:pPr>
        <w:pStyle w:val="Nagwek4"/>
        <w:spacing w:before="0" w:after="0" w:line="312" w:lineRule="auto"/>
        <w:rPr>
          <w:sz w:val="20"/>
          <w:szCs w:val="20"/>
        </w:rPr>
      </w:pPr>
    </w:p>
    <w:p w:rsidR="00CA14AB" w:rsidRPr="00E00B35" w:rsidRDefault="00CA14AB" w:rsidP="00E00B35">
      <w:pPr>
        <w:pStyle w:val="Nagwek4"/>
        <w:spacing w:before="0" w:after="0" w:line="312" w:lineRule="auto"/>
        <w:rPr>
          <w:sz w:val="20"/>
          <w:szCs w:val="20"/>
        </w:rPr>
      </w:pPr>
      <w:r w:rsidRPr="00E00B35">
        <w:rPr>
          <w:sz w:val="20"/>
          <w:szCs w:val="20"/>
        </w:rPr>
        <w:t xml:space="preserve">INNE ZADANIA SPOŁECZNE REALIZOWANE PRZEZ RADY OSIEDLI </w:t>
      </w:r>
    </w:p>
    <w:p w:rsidR="00CA14AB" w:rsidRPr="00E00B35" w:rsidRDefault="00CA14AB" w:rsidP="00E00B35">
      <w:pPr>
        <w:spacing w:after="0" w:line="312" w:lineRule="auto"/>
        <w:rPr>
          <w:szCs w:val="20"/>
        </w:rPr>
      </w:pPr>
      <w:r w:rsidRPr="00E00B35">
        <w:rPr>
          <w:szCs w:val="20"/>
        </w:rPr>
        <w:t>Każdego roku Rady Osiedli organizują turnieje sportowe, sekcje sportowe, punkty porad prawnych, Dni Seniora, sekcje fotograficzne, szkółkę ekologiczną dla dzieci, przegląd piosenki patriotycznej. Rady Osiedli do realizacji zadań społecznych dokonują również zakupów niezbędnego wyposażenia m. in. drobny sprzęt AGD i RTV itp. Wszystkie zadania odbywały się zgodnie z obowiązującymi obostrzeniami w kraju wynikającymi ze stanu pandemii. W 2020 roku dofinansowano 73 innych zadań społecznych kwotą 248.210 zł.</w:t>
      </w:r>
    </w:p>
    <w:p w:rsidR="005E6C69" w:rsidRPr="00E00B35" w:rsidRDefault="005E6C69" w:rsidP="00E00B35">
      <w:pPr>
        <w:pStyle w:val="Nagwek4"/>
        <w:spacing w:before="0" w:after="0" w:line="312" w:lineRule="auto"/>
        <w:rPr>
          <w:sz w:val="20"/>
          <w:szCs w:val="20"/>
        </w:rPr>
      </w:pPr>
      <w:bookmarkStart w:id="217" w:name="_Toc72352355"/>
      <w:bookmarkStart w:id="218" w:name="_Toc72352789"/>
    </w:p>
    <w:p w:rsidR="00CA14AB" w:rsidRPr="00E00B35" w:rsidRDefault="00CA14AB" w:rsidP="00E00B35">
      <w:pPr>
        <w:pStyle w:val="Nagwek4"/>
        <w:spacing w:before="0" w:after="0" w:line="312" w:lineRule="auto"/>
        <w:rPr>
          <w:sz w:val="20"/>
          <w:szCs w:val="20"/>
        </w:rPr>
      </w:pPr>
      <w:r w:rsidRPr="00E00B35">
        <w:rPr>
          <w:sz w:val="20"/>
          <w:szCs w:val="20"/>
        </w:rPr>
        <w:t>XI DZIAŁANIA ZWIĄZANE Z PANDEMIĄ KORONAWIRUSA</w:t>
      </w:r>
      <w:bookmarkEnd w:id="217"/>
      <w:bookmarkEnd w:id="218"/>
    </w:p>
    <w:p w:rsidR="00CA14AB" w:rsidRPr="00E00B35" w:rsidRDefault="00CA14AB" w:rsidP="00E00B35">
      <w:pPr>
        <w:spacing w:after="0" w:line="312" w:lineRule="auto"/>
        <w:rPr>
          <w:rFonts w:eastAsia="Verdana"/>
          <w:szCs w:val="20"/>
        </w:rPr>
      </w:pPr>
      <w:r w:rsidRPr="00E00B35">
        <w:rPr>
          <w:rFonts w:eastAsia="Verdana"/>
          <w:szCs w:val="20"/>
        </w:rPr>
        <w:t>W związku z wprowadzeniem przez Ministra Zdrowa stanu zagrożenia epidemicznego, a następnie stanu epidemii podjęto działania mające na celu wsparcie seniorów oraz wskazanych osób objetych kwarantanną na terenie miasta Wrocławia poprzez zapewnienie im niezbędnych artykułów żywnosciowych oraz higienicznych. W okresie od marca do czerwca przygotowano i rozdystrybuowano 236 paczek (220 otrzymali seniorzy, 16 osoby objęte kwarantanną).</w:t>
      </w:r>
    </w:p>
    <w:p w:rsidR="00CA14AB" w:rsidRPr="00E00B35" w:rsidRDefault="00CA14AB" w:rsidP="00E00B35">
      <w:pPr>
        <w:spacing w:after="0" w:line="312" w:lineRule="auto"/>
        <w:rPr>
          <w:rFonts w:eastAsia="Verdana"/>
          <w:szCs w:val="20"/>
        </w:rPr>
      </w:pPr>
      <w:r w:rsidRPr="00E00B35">
        <w:rPr>
          <w:rFonts w:eastAsia="Verdana"/>
          <w:szCs w:val="20"/>
        </w:rPr>
        <w:t xml:space="preserve">Zorganizowano również wsparcie telefoniczne dla mieszkańców. W ramach akcji przyjmowano zgłoszenia o potrzebach mieszkańców oraz udzielano im niezbędnego wsparcia psychologicznego. W trakcie trwania akcji odebrano 339 telefonów (202 – I półrocze, 137 – II półrocze) do dyżurujących psychologów. W ramach akcji „Nie bądź sam” odebrano 2755 połączeń od seniorów w potrzebie oraz wykonano 2200 telefonów do seniorów w wieku 90+. </w:t>
      </w:r>
      <w:r w:rsidRPr="00E00B35">
        <w:rPr>
          <w:rFonts w:eastAsia="Verdana"/>
          <w:szCs w:val="20"/>
        </w:rPr>
        <w:tab/>
      </w:r>
    </w:p>
    <w:p w:rsidR="00CA14AB" w:rsidRPr="00E00B35" w:rsidRDefault="00CA14AB" w:rsidP="00E00B35">
      <w:pPr>
        <w:spacing w:after="0" w:line="312" w:lineRule="auto"/>
        <w:rPr>
          <w:rFonts w:eastAsia="Verdana"/>
          <w:szCs w:val="20"/>
        </w:rPr>
      </w:pPr>
      <w:r w:rsidRPr="00E00B35">
        <w:rPr>
          <w:rFonts w:eastAsia="Verdana"/>
          <w:szCs w:val="20"/>
        </w:rPr>
        <w:t>Przeprowadzono 6 spotkań on-line dla seniorów z psychologiem, który zaoferował wsparcie i w radzeniu sobie z lękiem, napięciem, smutkiem i podwyższonym  poziomem stresu. W każdym takim spotkaniu udział brało około 20 osób.</w:t>
      </w:r>
    </w:p>
    <w:p w:rsidR="00CA14AB" w:rsidRPr="00E00B35" w:rsidRDefault="00CA14AB" w:rsidP="00E00B35">
      <w:pPr>
        <w:spacing w:after="0" w:line="312" w:lineRule="auto"/>
        <w:rPr>
          <w:rFonts w:eastAsia="Verdana"/>
          <w:szCs w:val="20"/>
        </w:rPr>
      </w:pPr>
      <w:r w:rsidRPr="00E00B35">
        <w:rPr>
          <w:szCs w:val="20"/>
        </w:rPr>
        <w:t xml:space="preserve">Wrocławskie Centrum Rozwoju Społecznego rozdystrybuowało 80 188 pakietów </w:t>
      </w:r>
      <w:r w:rsidRPr="00E00B35">
        <w:rPr>
          <w:szCs w:val="20"/>
        </w:rPr>
        <w:br/>
        <w:t>(w tym 663 098 maseczek jednorazowych i 16 040 maseczek wielorazowych) zawierających maseczki i list od Prezydenta Wrocławia dotyczący zachowania w trakcie pandemii wraz z instrukcją przygotowania własnej maseczki. Pakiety trafiły do seniorów za pośrednictwem między innymi wrocławskich Rad Osiedla, organizacji pozarządowych, spółdzielni socjalnych, instytucji miejskich oraz bezpośrednio do 1 440 wrocławian w wieku 90+. W akcję przygotowywania pakietów włączyło się 10 wolontariuszy. Rozdystrybuowano również 13 050 rękawic jednorazowych i 129 pojemniki 5 litrowe płynu do dezynfekcji, 95 przyłbic ochronnych.</w:t>
      </w:r>
      <w:r w:rsidRPr="00E00B35">
        <w:rPr>
          <w:rFonts w:eastAsia="Verdana"/>
          <w:szCs w:val="20"/>
        </w:rPr>
        <w:tab/>
      </w:r>
    </w:p>
    <w:p w:rsidR="00CA14AB" w:rsidRPr="00E00B35" w:rsidRDefault="00CA14AB" w:rsidP="00E00B35">
      <w:pPr>
        <w:spacing w:after="0" w:line="312" w:lineRule="auto"/>
        <w:rPr>
          <w:rFonts w:eastAsia="Verdana"/>
          <w:szCs w:val="20"/>
        </w:rPr>
      </w:pPr>
      <w:r w:rsidRPr="00E00B35">
        <w:rPr>
          <w:rFonts w:eastAsia="Verdana"/>
          <w:szCs w:val="20"/>
        </w:rPr>
        <w:t xml:space="preserve">W związku z poleceniem Wojewody dolnośląskiego zaopatrzono osoby objęte kwarantanną w domach studenckich T-16 i T-17 w podstawowe środki higieny osobistej </w:t>
      </w:r>
      <w:r w:rsidRPr="00E00B35">
        <w:rPr>
          <w:rFonts w:eastAsia="Verdana"/>
          <w:szCs w:val="20"/>
        </w:rPr>
        <w:br/>
        <w:t xml:space="preserve">i inne niezbędne materiały zapewniajace potrzeby bytowe (zakupiono 500 kompletów środków higienicznych oraz wodę). </w:t>
      </w:r>
    </w:p>
    <w:p w:rsidR="00CA14AB" w:rsidRPr="00E00B35" w:rsidRDefault="00CA14AB" w:rsidP="00E00B35">
      <w:pPr>
        <w:spacing w:after="0" w:line="312" w:lineRule="auto"/>
        <w:rPr>
          <w:rFonts w:eastAsia="Verdana"/>
          <w:szCs w:val="20"/>
        </w:rPr>
      </w:pPr>
      <w:r w:rsidRPr="00E00B35">
        <w:rPr>
          <w:rFonts w:eastAsia="Verdana"/>
          <w:szCs w:val="20"/>
        </w:rPr>
        <w:lastRenderedPageBreak/>
        <w:t>Zadbano również o potrzeby kombatantów i osób represjonowanych, w ramach współpracy z dwoma organizacjami pozarządowymi objęto opieką 328 osób. Osoby potrzebujące otrzymały paczki zawierajace artykuły spożywcze, środki higieniczne oraz środki ochrony osobistej, a także pomoc w zrobieniu zakupów i odbiorze leków z apteki.</w:t>
      </w:r>
    </w:p>
    <w:p w:rsidR="00CA14AB" w:rsidRPr="00E00B35" w:rsidRDefault="00CA14AB" w:rsidP="00E00B35">
      <w:pPr>
        <w:spacing w:after="0" w:line="312" w:lineRule="auto"/>
        <w:rPr>
          <w:rFonts w:eastAsia="Verdana"/>
          <w:szCs w:val="20"/>
        </w:rPr>
      </w:pPr>
      <w:r w:rsidRPr="00E00B35">
        <w:rPr>
          <w:rFonts w:eastAsia="Verdana"/>
          <w:szCs w:val="20"/>
        </w:rPr>
        <w:t xml:space="preserve">W ramach wsparcia mieszkańców zakupiono 10 000 metrów bieżących taśmy bawełnianej  i 550 metrów bieżacych bawełny z której wolontariusze szyli maski ochronne. Wsparto również OSP Starówka Grupę Ratownictwa Specjalistycznego  </w:t>
      </w:r>
      <w:r w:rsidRPr="00E00B35">
        <w:rPr>
          <w:rFonts w:eastAsia="Verdana"/>
          <w:szCs w:val="20"/>
        </w:rPr>
        <w:br/>
        <w:t xml:space="preserve">przekazując środki ochrony, dzięki którym strażacy mogli wesprzeć wrocławian </w:t>
      </w:r>
      <w:r w:rsidRPr="00E00B35">
        <w:rPr>
          <w:rFonts w:eastAsia="Verdana"/>
          <w:szCs w:val="20"/>
        </w:rPr>
        <w:br/>
        <w:t>w trakcie epidemii.</w:t>
      </w:r>
    </w:p>
    <w:p w:rsidR="00CA14AB" w:rsidRPr="00E00B35" w:rsidRDefault="00CA14AB" w:rsidP="00E00B35">
      <w:pPr>
        <w:spacing w:after="0" w:line="312" w:lineRule="auto"/>
        <w:rPr>
          <w:rFonts w:eastAsia="Verdana"/>
          <w:szCs w:val="20"/>
        </w:rPr>
      </w:pPr>
      <w:r w:rsidRPr="00E00B35">
        <w:rPr>
          <w:szCs w:val="20"/>
        </w:rPr>
        <w:t xml:space="preserve">W II półroczu 2020 roku uruchomiony został program pn. Wspieraj Seniora realizowany we współpracy z wrocławskimi organizacjami pozarządowymi oraz Miejskim Ośrodkiem Pomocy Społecznej. Program skierowany był do osób w wieku 70+, którzy w czasie pandemii pozostawały w domu i potrzebowały pomocy w zapewnieniu podstawowych potrzeb. W ramach programu nawiązano współpracę z 297 wolontariuszami (liczba podpisanych porozumień). Organizacje pozarządowe objęły </w:t>
      </w:r>
      <w:r w:rsidRPr="00E00B35">
        <w:rPr>
          <w:szCs w:val="20"/>
        </w:rPr>
        <w:br/>
        <w:t>w ramach tego programu swoją opieką 380 osób głównie kombatantów.</w:t>
      </w:r>
      <w:r w:rsidRPr="00E00B35">
        <w:rPr>
          <w:rFonts w:eastAsia="Verdana"/>
          <w:szCs w:val="20"/>
        </w:rPr>
        <w:t xml:space="preserve"> W ramach zadania zakupiono również środki ochrony osobistej d</w:t>
      </w:r>
      <w:r w:rsidRPr="00E00B35">
        <w:rPr>
          <w:szCs w:val="20"/>
        </w:rPr>
        <w:t xml:space="preserve">la kombatantów, osób represjonowanych, weteranów, osób 90+ i osób samotnych w wieku senioralnym.  </w:t>
      </w:r>
    </w:p>
    <w:p w:rsidR="00CA14AB" w:rsidRPr="00E00B35" w:rsidRDefault="00CA14AB" w:rsidP="00E00B35">
      <w:pPr>
        <w:spacing w:after="0" w:line="312" w:lineRule="auto"/>
        <w:rPr>
          <w:szCs w:val="20"/>
        </w:rPr>
      </w:pPr>
      <w:r w:rsidRPr="00E00B35">
        <w:rPr>
          <w:szCs w:val="20"/>
        </w:rPr>
        <w:t>Działając na rzecz spraw społecznych i zdrowia publicznego, mając na względzie monitorowanie oraz raportowanie rozwoju epidemii choroby zakaźnej COVID 19 zostały dostarczone dane dla potrzeb analiz związanych z epidemią. Na ich podstawie zostały przygotowane opracowania dotyczące modelowania epidemii wywołanej wirusem SARS-COV-2 w formie raportów dla miasta Wrocławia i Dolnego Śląska, które zawierają analizę sytuacji oraz prognozy rozwoju pandemii.</w:t>
      </w:r>
    </w:p>
    <w:p w:rsidR="00CA14AB" w:rsidRPr="00E00B35" w:rsidRDefault="00CA14AB" w:rsidP="00E00B35">
      <w:pPr>
        <w:spacing w:after="0" w:line="312" w:lineRule="auto"/>
        <w:rPr>
          <w:szCs w:val="20"/>
        </w:rPr>
      </w:pPr>
      <w:r w:rsidRPr="00E00B35">
        <w:rPr>
          <w:szCs w:val="20"/>
        </w:rPr>
        <w:t>W ramach wsparcia mieszkańców Wrocławia przeprowadzono również nastepujące projekty:</w:t>
      </w:r>
    </w:p>
    <w:p w:rsidR="00CA14AB" w:rsidRPr="00E00B35" w:rsidRDefault="00CA14AB" w:rsidP="00E00B35">
      <w:pPr>
        <w:spacing w:after="0" w:line="312" w:lineRule="auto"/>
        <w:rPr>
          <w:szCs w:val="20"/>
        </w:rPr>
      </w:pPr>
      <w:r w:rsidRPr="00E00B35">
        <w:rPr>
          <w:szCs w:val="20"/>
        </w:rPr>
        <w:t xml:space="preserve">Kawa dla ratownika - Nawiązano współpracę z wrocławskimi Szpitalnymi Oddziałami Ratunkowymi, zmagającymi się z przeorganizowaniem procedur przyjmowania pacjentów. Wdrożenie nowych procedur sanitarnych wymuszało na ratownikach medycznych spędzanie kilku godzin w kolejkach do przyjęcia pacjentów </w:t>
      </w:r>
      <w:r w:rsidRPr="00E00B35">
        <w:rPr>
          <w:szCs w:val="20"/>
        </w:rPr>
        <w:br/>
        <w:t xml:space="preserve">z interwencji karetki na SOR. Z okazji Dnia Ratownictwa Medycznego (13.10.2020r), </w:t>
      </w:r>
      <w:r w:rsidRPr="00E00B35">
        <w:rPr>
          <w:szCs w:val="20"/>
        </w:rPr>
        <w:br/>
        <w:t xml:space="preserve">we współpracy z lokalną palarnią kawy Etno Cafe zorganizowano cztery punkty wydawania kawy i gorących napojów przy wrocławskich szpitalach dla ratowników medycznych i pracowników SOR-ów. Celem kampanii było docenienie wzmożonych wysiłków, jakie wykonywali medycy podczas walki z korona wirusem oraz podziękowanie w imieniu lokalnej społeczności za opiekę nad pacjentami i znoszenie trudów dodatkowych obostrzeń w pracy. </w:t>
      </w:r>
    </w:p>
    <w:p w:rsidR="00CA14AB" w:rsidRPr="00E00B35" w:rsidRDefault="00CA14AB" w:rsidP="00E00B35">
      <w:pPr>
        <w:spacing w:after="0" w:line="312" w:lineRule="auto"/>
        <w:rPr>
          <w:szCs w:val="20"/>
        </w:rPr>
      </w:pPr>
      <w:r w:rsidRPr="00E00B35">
        <w:rPr>
          <w:szCs w:val="20"/>
        </w:rPr>
        <w:t xml:space="preserve">Danie dla Seniora - wspólna inicjatywa Wrocławskiego Centrum Rozwoju Społecznego oraz wrocławskich restauracji.  „Danie dla Seniora” to pełnowartościowy, ciepły obiad przygotowany specjalnie z myślą o osobach starszych, dostosowany do ich potrzeb i oczekiwań. Partnerzy akcji deklarują przygotowanie pewnej liczby (ustalanej bezpośrednio z partnerem wg możliwości) posiłków tygodniowo oraz dodatkowych obiadów, których ilość zależna jest od liczby zamówień dokonanych przez klientów </w:t>
      </w:r>
      <w:r w:rsidRPr="00E00B35">
        <w:rPr>
          <w:szCs w:val="20"/>
        </w:rPr>
        <w:lastRenderedPageBreak/>
        <w:t>restauracji oraz liczby zamówień całego posiłku specjalnie z myślą o seniorze w potrzebie (tzw. zawieszony  obiad); koszt zawieszonego obiadu wynoszący 25 zł jest doliczany wówczas do rachunku  klienta. Każdy z partnerów (restauracji) ma pod opieką seniorów wskazanych przez WCRS - są to osoby w wieku 90+, schorowane i samotne. W ramach projektu otrzymują one min. 2 obiady w tygodniu. W akcji udział wzięło 5 wrocławskich restauracji, które miały pod opieką 30 osób i wydały 1400 obiadów.</w:t>
      </w:r>
    </w:p>
    <w:p w:rsidR="00CA14AB" w:rsidRPr="00E00B35" w:rsidRDefault="00CA14AB" w:rsidP="00E00B35">
      <w:pPr>
        <w:spacing w:after="0" w:line="312" w:lineRule="auto"/>
        <w:rPr>
          <w:szCs w:val="20"/>
        </w:rPr>
      </w:pPr>
      <w:r w:rsidRPr="00E00B35">
        <w:rPr>
          <w:szCs w:val="20"/>
        </w:rPr>
        <w:t xml:space="preserve">W ramach akcji wydrukowano również 2000 egzemplarzy ulotek informacyjnych </w:t>
      </w:r>
      <w:r w:rsidRPr="00E00B35">
        <w:rPr>
          <w:szCs w:val="20"/>
        </w:rPr>
        <w:br/>
        <w:t xml:space="preserve">o projekcie "Danie dla Seniora".  W dwujęzyczej (polsko-angielska) ulotce informacyjnej, umieszczono skrócony opis projektu oraz możliwości wsparcia seniorów poprzez ufundowanie posiłku we wrocławskich restauracjach. </w:t>
      </w:r>
    </w:p>
    <w:p w:rsidR="00CA14AB" w:rsidRPr="00E00B35" w:rsidRDefault="00CA14AB" w:rsidP="00E00B35">
      <w:pPr>
        <w:spacing w:after="0" w:line="312" w:lineRule="auto"/>
        <w:rPr>
          <w:szCs w:val="20"/>
        </w:rPr>
      </w:pPr>
      <w:r w:rsidRPr="00E00B35">
        <w:rPr>
          <w:szCs w:val="20"/>
        </w:rPr>
        <w:t>Kampania #ZostańWDomu prowadzona w pierwszej połowie marca po ogłoszeniu stanu epidemii (następnie pandemii). Grafiki adresowane do różnych grup odbiorców: młodzieży szkolnej, seniorów, rodziców z apelami o pozostawanie w domach. Umieszczane były w serwisach społecznościowych, na stronach internetowych. W ramach kampanii przygotowane zostały także proste plakaty (czarno-białe) do własnego wydruku. Ich celem było uwrażliwienie na pomoc sąsiedzką w różnych aspektach, a także na zachowanie najważniejszych zasad.W marcu, po uruchomieniu niezbędnych infolinii pomocowych, powstały plakaty informacyjne. Umieszczone zostały na nich najważniejsze numery telefonów: Telefony Seniora, pomoc psychologiczną, infolinię NFZ. Plakaty te także rozesłano do zarządców nieruchomości, spółdzielni mieszkaniowych.Zasięgi postów (Facebook): 58563, reakcje: 1253.</w:t>
      </w:r>
    </w:p>
    <w:p w:rsidR="00CA14AB" w:rsidRPr="00E00B35" w:rsidRDefault="00CA14AB" w:rsidP="00E00B35">
      <w:pPr>
        <w:spacing w:after="0" w:line="312" w:lineRule="auto"/>
        <w:rPr>
          <w:szCs w:val="20"/>
        </w:rPr>
      </w:pPr>
      <w:r w:rsidRPr="00E00B35">
        <w:rPr>
          <w:szCs w:val="20"/>
        </w:rPr>
        <w:t>#świećprzykładem - w kwietniu i maju kampania zmieniła hasło na #świećprzykładem (social media, internet) promowano pozytywne zachowania jak np. noszenie maseczki, pomaganie sąsiadom. Symbolem kampanii została postać z neonu „Dzień dobry we Wrocławiu” tzw. Pan Neon. Zasięgi postów (Facebook): 23643, reakcje: 433.</w:t>
      </w:r>
    </w:p>
    <w:p w:rsidR="00CA14AB" w:rsidRPr="00E00B35" w:rsidRDefault="00CA14AB" w:rsidP="00E00B35">
      <w:pPr>
        <w:spacing w:after="0" w:line="312" w:lineRule="auto"/>
        <w:rPr>
          <w:szCs w:val="20"/>
        </w:rPr>
      </w:pPr>
      <w:r w:rsidRPr="00E00B35">
        <w:rPr>
          <w:szCs w:val="20"/>
        </w:rPr>
        <w:t>Psycholog radzi w czasie pandemii – seria filmów, w których psychologowie z Centrum Zdrowia Psychicznego + we Wrocławiu dzielili się wiedzą odnośnie do zjawisk niepokojących mieszkańców, np. osamotnienie, sposoby na radzenie sobie z brakiem kontaktu. Filmy były udostępniane za pomocą social mediów, są dostępne w serwisie YouTube WCRS. Liczba wyświetleń: 500.</w:t>
      </w:r>
    </w:p>
    <w:p w:rsidR="00CA14AB" w:rsidRPr="00E00B35" w:rsidRDefault="00CA14AB" w:rsidP="00E00B35">
      <w:pPr>
        <w:spacing w:after="0" w:line="312" w:lineRule="auto"/>
        <w:rPr>
          <w:szCs w:val="20"/>
        </w:rPr>
      </w:pPr>
      <w:r w:rsidRPr="00E00B35">
        <w:rPr>
          <w:szCs w:val="20"/>
        </w:rPr>
        <w:t>I E-Covidowy Festiwal Aktywności Senioralnej „PANDEMIKART – 2020”, skierowany  do seniorów, którzy w okresie pandemii wykazali się szeroko pojętą aktywnością w wielu dziedzinach życia codziennego (101 uczestników).</w:t>
      </w:r>
    </w:p>
    <w:p w:rsidR="00CA14AB" w:rsidRPr="00E00B35" w:rsidRDefault="00CA14AB" w:rsidP="00E00B35">
      <w:pPr>
        <w:spacing w:after="0" w:line="312" w:lineRule="auto"/>
        <w:rPr>
          <w:szCs w:val="20"/>
        </w:rPr>
      </w:pPr>
      <w:r w:rsidRPr="00E00B35">
        <w:rPr>
          <w:szCs w:val="20"/>
        </w:rPr>
        <w:t>Programy telewizyjne dla seniorów - jesienią powstały dwa cykle programów telewizyjnych, emitowanych przez TV Echo 24, których odbiorcami byli wrocławscy seniorzy i ich rodziny. Elementarz Cyfrowy (pomoc w obsłudze komputera i korzystaniu z zajęc onlione w czasie pandemii) oraz Kalejdoskop Seniora (najświeższe informacje dotyczące seniorów).</w:t>
      </w:r>
    </w:p>
    <w:p w:rsidR="00CA14AB" w:rsidRPr="00E00B35" w:rsidRDefault="00CA14AB" w:rsidP="00E00B35">
      <w:pPr>
        <w:spacing w:after="0" w:line="312" w:lineRule="auto"/>
        <w:rPr>
          <w:szCs w:val="20"/>
        </w:rPr>
      </w:pPr>
      <w:r w:rsidRPr="00E00B35">
        <w:rPr>
          <w:szCs w:val="20"/>
        </w:rPr>
        <w:t xml:space="preserve">W ramach Wrocławskiej Koncepcji Edukacyjnej ze względu na zaistniałą sytuację związaną z COVID – 19 zostały zrealizowane projekty on – line m.in. „Zda(l)ne matury” i  „Zda(l)ny egzamin ósmoklasisty”. Liczba maturzystów korzystających z projektu – 550 osób. Liczba ósmokalsistów korzystających z projektu  - 374 osoby. W czasie pandemii uruchomiono zakładkę pod nawą #Zostanwdomu na stronie Wrocławskiej Koncepcji </w:t>
      </w:r>
      <w:r w:rsidRPr="00E00B35">
        <w:rPr>
          <w:szCs w:val="20"/>
        </w:rPr>
        <w:lastRenderedPageBreak/>
        <w:t xml:space="preserve">Edukacyjnej. Udostępniono na niej około 100 propozycji  na spędzenie czasu </w:t>
      </w:r>
      <w:r w:rsidRPr="00E00B35">
        <w:rPr>
          <w:szCs w:val="20"/>
        </w:rPr>
        <w:br/>
        <w:t>w domu podczas kwarantanny.</w:t>
      </w:r>
    </w:p>
    <w:p w:rsidR="00CA14AB" w:rsidRPr="00E00B35" w:rsidRDefault="00CA14AB" w:rsidP="00E00B35">
      <w:pPr>
        <w:spacing w:after="0" w:line="312" w:lineRule="auto"/>
        <w:rPr>
          <w:szCs w:val="20"/>
        </w:rPr>
      </w:pPr>
      <w:r w:rsidRPr="00E00B35">
        <w:rPr>
          <w:szCs w:val="20"/>
        </w:rPr>
        <w:t xml:space="preserve">PROGRAM WSPARCIA DLA WROCŁAWSKICH DZIECI I MŁODZIEŻY 2020 – </w:t>
      </w:r>
      <w:r w:rsidRPr="00E00B35">
        <w:rPr>
          <w:szCs w:val="20"/>
        </w:rPr>
        <w:br/>
        <w:t xml:space="preserve">projekt powołano i zrealizowano specjalnie ze względu na pandemię. W ramach konkursu dotacyjnego do  w okresie od 2 listopada do 18 grudnia 2020 r. 16 organizacji pozarządowych przeprowadziło różnorodne zajęcia wspierające dzieci </w:t>
      </w:r>
      <w:r w:rsidRPr="00E00B35">
        <w:rPr>
          <w:szCs w:val="20"/>
        </w:rPr>
        <w:br/>
        <w:t xml:space="preserve">i młodzież w sposób adekwatny do rozpoznanych indywidualnych potrzeb każdego uczestnika. Wydarzenia miały na celu wsparcie opiekuńcze, psychologiczne ukierunkowane na przeciwdziałania skutkom stresu wywołanym pandemią Covid-19, zapobiegające wykluczeniu cyfrowemu oraz kształtujące nawyki zdrowego stylu życia </w:t>
      </w:r>
      <w:r w:rsidRPr="00E00B35">
        <w:rPr>
          <w:szCs w:val="20"/>
        </w:rPr>
        <w:br/>
        <w:t xml:space="preserve">i propagujące wzory sprzyjające życiu bez uzależnień. Zgodnie z wytycznymi Ministra Zdrowia i Głównego Inspektora Sanitarnego dotyczącymi zasad bezpieczeństwa epidemiologicznego odbyły się m.in. warsztaty filmowo-aktorskie, artystyczne (wokalne, wizualne, estetyczne), sportowe (koszykówka, zapasy, piłka nożna, ju-jitsu, la crosse) </w:t>
      </w:r>
      <w:r w:rsidRPr="00E00B35">
        <w:rPr>
          <w:szCs w:val="20"/>
        </w:rPr>
        <w:br/>
        <w:t xml:space="preserve">w czasie których młodzież miała okazję spotkać się ze znanymi osobistościami ze świata sportu. Na zajęciach psychologicznych beneficjenci trenowali umiejętności społeczne, myślenie krytyczne, otrzymali informacje o profilaktyce uzależnień. Uczestnicy mieli możliwość brania udziału w zajęciach grupowych, a także indywidualnych, dostosowanych do ich potrzeb. Odbyły się również wycieczki do wrocławskich instytucji </w:t>
      </w:r>
      <w:r w:rsidRPr="00E00B35">
        <w:rPr>
          <w:szCs w:val="20"/>
        </w:rPr>
        <w:br/>
        <w:t>i miejsc kultury. rzeprowadzono ponad 381 warsztatów, zajęć, wycieczek. Całkowita liczba beneficjentów wyniosła ponad 2845 osób.  Na realizację zadania publicznego w ramach ogłoszonego konkursu zaproponowano dotację w łącznej wysokości 400 000,00 zł.</w:t>
      </w:r>
    </w:p>
    <w:p w:rsidR="00CA14AB" w:rsidRPr="00E00B35" w:rsidRDefault="00CA14AB" w:rsidP="00E00B35">
      <w:pPr>
        <w:spacing w:after="0" w:line="312" w:lineRule="auto"/>
        <w:rPr>
          <w:szCs w:val="20"/>
        </w:rPr>
      </w:pPr>
      <w:r w:rsidRPr="00E00B35">
        <w:rPr>
          <w:szCs w:val="20"/>
        </w:rPr>
        <w:t xml:space="preserve">WAKACYJNA PRZYGODA WE WROCŁAWIU 2020 -  14 organizacji pozarządowych zorganizowało zajęcia dla dzieci i młodzieży w wieku od 4 do 17 lat, które mieszkają </w:t>
      </w:r>
      <w:r w:rsidRPr="00E00B35">
        <w:rPr>
          <w:szCs w:val="20"/>
        </w:rPr>
        <w:br/>
        <w:t xml:space="preserve">we Wrocławiu i/lub uczęszczają do wrocławskich przedszkoli, szkół podstawowych </w:t>
      </w:r>
      <w:r w:rsidRPr="00E00B35">
        <w:rPr>
          <w:szCs w:val="20"/>
        </w:rPr>
        <w:br/>
        <w:t xml:space="preserve">i ponadpodstawowych (z wyłączeniem szkół policealnych). Odbyły się m.in takie wydarzenia jak warsztaty fotograficzne, warsztaty cyrkowo-artystyczne, warsztaty </w:t>
      </w:r>
      <w:r w:rsidRPr="00E00B35">
        <w:rPr>
          <w:szCs w:val="20"/>
        </w:rPr>
        <w:br/>
        <w:t xml:space="preserve">z recyklingu i upcyklingu, zajęcia artystyczne (malarstwo, rekodzieło, landart, glina) zajęcia rekreacyjno-dziennikarskie z animacjami w terenie, zajęcia ruchowe i sportowe, rajdy rowerowe, zajęcia z plenerowego budowania z klocków z elementami robotyki, turnieje szachowe, zajęcia „Uniwersytet pod chmurką" nawiązujące do 10 wydziałów Uniwersytetu Wrocławskiego, „Matematyczna gra terenowa – Poznaj Nadodrze” </w:t>
      </w:r>
      <w:r w:rsidRPr="00E00B35">
        <w:rPr>
          <w:szCs w:val="20"/>
        </w:rPr>
        <w:br/>
        <w:t xml:space="preserve">czy wyjazdy na lotnisko Szymanów podczas których dzieci i młodzież poznały zasady latania szybowców, zasady funkcjonowania lotniska, zobaczyły różne rodzaje szybowców i samolotów i własnoręcznie złożyły model samolotu. W warsztatach uczestniczyło łącznie około 1900 dzieci w wieku szkolnym. Na realizację zadania publicznego w ramach ogłoszonego konkursu zaproponowano dotację w łącznej wysokości 330 000,00 zł. </w:t>
      </w:r>
    </w:p>
    <w:p w:rsidR="005E6C69" w:rsidRPr="00E00B35" w:rsidRDefault="005E6C69" w:rsidP="00E00B35">
      <w:pPr>
        <w:pStyle w:val="Nagwek3"/>
        <w:spacing w:after="0" w:line="312" w:lineRule="auto"/>
        <w:rPr>
          <w:sz w:val="20"/>
          <w:lang w:val="pl-PL"/>
        </w:rPr>
      </w:pPr>
      <w:bookmarkStart w:id="219" w:name="_Toc72352356"/>
      <w:bookmarkStart w:id="220" w:name="_Toc72352790"/>
      <w:bookmarkStart w:id="221" w:name="_Toc72357847"/>
      <w:bookmarkStart w:id="222" w:name="_Toc72358001"/>
    </w:p>
    <w:p w:rsidR="00CA14AB" w:rsidRPr="00E00B35" w:rsidRDefault="00CA14AB" w:rsidP="00E00B35">
      <w:pPr>
        <w:pStyle w:val="Nagwek3"/>
        <w:spacing w:after="0" w:line="312" w:lineRule="auto"/>
        <w:rPr>
          <w:sz w:val="20"/>
        </w:rPr>
      </w:pPr>
      <w:r w:rsidRPr="00E00B35">
        <w:rPr>
          <w:sz w:val="20"/>
        </w:rPr>
        <w:t>WYDZIAŁ ZDROWIA I SPRAW SPOŁECZNYCH</w:t>
      </w:r>
      <w:bookmarkEnd w:id="219"/>
      <w:bookmarkEnd w:id="220"/>
      <w:bookmarkEnd w:id="221"/>
      <w:bookmarkEnd w:id="222"/>
      <w:r w:rsidRPr="00E00B35">
        <w:rPr>
          <w:sz w:val="20"/>
        </w:rPr>
        <w:t xml:space="preserve"> </w:t>
      </w:r>
    </w:p>
    <w:p w:rsidR="00CA14AB" w:rsidRPr="00E00B35" w:rsidRDefault="00CA14AB" w:rsidP="00E00B35">
      <w:pPr>
        <w:spacing w:after="0" w:line="312" w:lineRule="auto"/>
        <w:rPr>
          <w:szCs w:val="20"/>
        </w:rPr>
      </w:pPr>
      <w:r w:rsidRPr="00E00B35">
        <w:rPr>
          <w:szCs w:val="20"/>
        </w:rPr>
        <w:t>Środki finansowe przeznaczone na programy zdrowotne dla dzieci, młodzieży i dorosłych ukierunkowane są na podnoszenie poziomu wiedzy i kształtowanie umiejętności i zachowań z zakresu promocji zdrowia oraz profilaktyki zagrożeń zdrowotnych i chorób.</w:t>
      </w:r>
    </w:p>
    <w:p w:rsidR="00CA14AB" w:rsidRPr="00E00B35" w:rsidRDefault="00CA14AB" w:rsidP="00E00B35">
      <w:pPr>
        <w:spacing w:after="0" w:line="312" w:lineRule="auto"/>
        <w:rPr>
          <w:szCs w:val="20"/>
        </w:rPr>
      </w:pPr>
      <w:r w:rsidRPr="00E00B35">
        <w:rPr>
          <w:szCs w:val="20"/>
        </w:rPr>
        <w:lastRenderedPageBreak/>
        <w:t>Programy promocji zdrowia i profilaktyki chorób: W roku sprawozdawczym 2020, na realizację przedmiotowego zadania, zaplanowano kwotę 3 808 927,00 zł, z której wydatkowano 3 093 431,87 zł,  co stanowi 81,21 % zaplanowanych środków.</w:t>
      </w:r>
    </w:p>
    <w:p w:rsidR="00CA14AB" w:rsidRPr="00E00B35" w:rsidRDefault="00CA14AB" w:rsidP="00E00B35">
      <w:pPr>
        <w:spacing w:after="0" w:line="312" w:lineRule="auto"/>
        <w:rPr>
          <w:szCs w:val="20"/>
        </w:rPr>
      </w:pPr>
      <w:r w:rsidRPr="00E00B35">
        <w:rPr>
          <w:szCs w:val="20"/>
        </w:rPr>
        <w:t>Programy promocji zdrowia i profilaktyki chorób – programy wieloletnie: W roku sprawozdawczym 2020, na realizację przedmiotowego zadania, zaplanowano kwotę 4 085 374 zł., z której wydatkowano 3 763 038,28 zł, co stanowi 92,11 % zaplanowanych środków.</w:t>
      </w:r>
    </w:p>
    <w:p w:rsidR="005E6C69" w:rsidRPr="00E00B35" w:rsidRDefault="005E6C69" w:rsidP="00E00B35">
      <w:pPr>
        <w:pStyle w:val="Nagwek4"/>
        <w:spacing w:before="0" w:after="0" w:line="312" w:lineRule="auto"/>
        <w:rPr>
          <w:sz w:val="20"/>
          <w:szCs w:val="20"/>
        </w:rPr>
      </w:pPr>
      <w:bookmarkStart w:id="223" w:name="_Toc72352357"/>
      <w:bookmarkStart w:id="224" w:name="_Toc72352791"/>
    </w:p>
    <w:p w:rsidR="00CA14AB" w:rsidRPr="00E00B35" w:rsidRDefault="00CA14AB" w:rsidP="00E00B35">
      <w:pPr>
        <w:pStyle w:val="Nagwek4"/>
        <w:spacing w:before="0" w:after="0" w:line="312" w:lineRule="auto"/>
        <w:rPr>
          <w:sz w:val="20"/>
          <w:szCs w:val="20"/>
        </w:rPr>
      </w:pPr>
      <w:r w:rsidRPr="00E00B35">
        <w:rPr>
          <w:sz w:val="20"/>
          <w:szCs w:val="20"/>
        </w:rPr>
        <w:t>PROGRAMY REALIZOWANE W ŚRODOWISKU DZIECI I MŁODZIEŻY</w:t>
      </w:r>
      <w:bookmarkEnd w:id="223"/>
      <w:bookmarkEnd w:id="224"/>
    </w:p>
    <w:p w:rsidR="00CA14AB" w:rsidRPr="00E00B35" w:rsidRDefault="00CA14AB" w:rsidP="00E00B35">
      <w:pPr>
        <w:pStyle w:val="Nagwek5"/>
        <w:rPr>
          <w:szCs w:val="20"/>
        </w:rPr>
      </w:pPr>
      <w:r w:rsidRPr="00E00B35">
        <w:rPr>
          <w:szCs w:val="20"/>
        </w:rPr>
        <w:t>PROGRAM WCZESNEGO WYKRYWANIA WAD I SCHORZEŃ NARZĄDU WZROKU I SŁUCHU W POPULACJI DZIECI I MŁODZIEŻY SZKOLNEJ</w:t>
      </w:r>
    </w:p>
    <w:p w:rsidR="00CA14AB" w:rsidRPr="00E00B35" w:rsidRDefault="00CA14AB" w:rsidP="00E00B35">
      <w:pPr>
        <w:spacing w:after="0" w:line="312" w:lineRule="auto"/>
        <w:rPr>
          <w:szCs w:val="20"/>
        </w:rPr>
      </w:pPr>
      <w:r w:rsidRPr="00E00B35">
        <w:rPr>
          <w:szCs w:val="20"/>
        </w:rPr>
        <w:t>Celem programu jest zapobieganie zdrowotnym i społecznym skutkom późno wykrytych wad i schorzeń narządu wzroku i słuchu u dzieci i młodzieży szkolnej Wrocławia poprzez wczesne ich diagnozowanie oraz działania informacyjno – edukacyjne skierowane do uczniów i ich rodziców.</w:t>
      </w:r>
    </w:p>
    <w:p w:rsidR="00CA14AB" w:rsidRPr="00E00B35" w:rsidRDefault="00CA14AB" w:rsidP="00E00B35">
      <w:pPr>
        <w:spacing w:after="0" w:line="312" w:lineRule="auto"/>
        <w:rPr>
          <w:szCs w:val="20"/>
        </w:rPr>
      </w:pPr>
      <w:r w:rsidRPr="00E00B35">
        <w:rPr>
          <w:szCs w:val="20"/>
        </w:rPr>
        <w:t xml:space="preserve">W 2020 roku programem było objętych 2519 z planowanych do badań 13 000 uczniów klas I, III, VI i VII szkół podstawowych, u których wykonano badania wzroku i słuchu. </w:t>
      </w:r>
    </w:p>
    <w:p w:rsidR="00CA14AB" w:rsidRPr="00E00B35" w:rsidRDefault="00CA14AB" w:rsidP="00E00B35">
      <w:pPr>
        <w:spacing w:after="0" w:line="312" w:lineRule="auto"/>
        <w:rPr>
          <w:szCs w:val="20"/>
        </w:rPr>
      </w:pPr>
      <w:r w:rsidRPr="00E00B35">
        <w:rPr>
          <w:szCs w:val="20"/>
        </w:rPr>
        <w:t>Najczęściej rozpoznawane wady wzroku u uczniów to:</w:t>
      </w:r>
    </w:p>
    <w:p w:rsidR="00CA14AB" w:rsidRPr="00E00B35" w:rsidRDefault="00CA14AB" w:rsidP="00BC64AB">
      <w:pPr>
        <w:pStyle w:val="Akapitzlist"/>
        <w:numPr>
          <w:ilvl w:val="0"/>
          <w:numId w:val="162"/>
        </w:numPr>
        <w:spacing w:after="0" w:line="312" w:lineRule="auto"/>
        <w:rPr>
          <w:szCs w:val="20"/>
        </w:rPr>
      </w:pPr>
      <w:r w:rsidRPr="00E00B35">
        <w:rPr>
          <w:szCs w:val="20"/>
        </w:rPr>
        <w:t xml:space="preserve">nadwzroczność u dzieci klas I szkół podstawowych, </w:t>
      </w:r>
    </w:p>
    <w:p w:rsidR="00CA14AB" w:rsidRPr="00E00B35" w:rsidRDefault="00CA14AB" w:rsidP="00BC64AB">
      <w:pPr>
        <w:pStyle w:val="Akapitzlist"/>
        <w:numPr>
          <w:ilvl w:val="0"/>
          <w:numId w:val="162"/>
        </w:numPr>
        <w:spacing w:after="0" w:line="312" w:lineRule="auto"/>
        <w:rPr>
          <w:szCs w:val="20"/>
        </w:rPr>
      </w:pPr>
      <w:r w:rsidRPr="00E00B35">
        <w:rPr>
          <w:szCs w:val="20"/>
        </w:rPr>
        <w:t>krótkowzroczność, nadwzroczność i astygmatyzm krótkowzroczny u dzieci klas III szkół podstawowych,</w:t>
      </w:r>
    </w:p>
    <w:p w:rsidR="00CA14AB" w:rsidRPr="00E00B35" w:rsidRDefault="00CA14AB" w:rsidP="00BC64AB">
      <w:pPr>
        <w:pStyle w:val="Akapitzlist"/>
        <w:numPr>
          <w:ilvl w:val="0"/>
          <w:numId w:val="162"/>
        </w:numPr>
        <w:spacing w:after="0" w:line="312" w:lineRule="auto"/>
        <w:rPr>
          <w:szCs w:val="20"/>
        </w:rPr>
      </w:pPr>
      <w:r w:rsidRPr="00E00B35">
        <w:rPr>
          <w:szCs w:val="20"/>
        </w:rPr>
        <w:t>krótkowzroczność, astygmatyzm krótkowzroczny, nadwzroczność i astygmatyzm nadwzroczny u dzieci klas V szkół podstawowych,</w:t>
      </w:r>
    </w:p>
    <w:p w:rsidR="00CA14AB" w:rsidRPr="00E00B35" w:rsidRDefault="00CA14AB" w:rsidP="00BC64AB">
      <w:pPr>
        <w:pStyle w:val="Akapitzlist"/>
        <w:numPr>
          <w:ilvl w:val="0"/>
          <w:numId w:val="162"/>
        </w:numPr>
        <w:spacing w:after="0" w:line="312" w:lineRule="auto"/>
        <w:rPr>
          <w:szCs w:val="20"/>
        </w:rPr>
      </w:pPr>
      <w:r w:rsidRPr="00E00B35">
        <w:rPr>
          <w:szCs w:val="20"/>
        </w:rPr>
        <w:t>krótkowzroczność u uczniów klas II szkół gimnazjalnych.</w:t>
      </w:r>
    </w:p>
    <w:p w:rsidR="00CA14AB" w:rsidRPr="00E00B35" w:rsidRDefault="00CA14AB" w:rsidP="00E00B35">
      <w:pPr>
        <w:spacing w:after="0" w:line="312" w:lineRule="auto"/>
        <w:rPr>
          <w:szCs w:val="20"/>
        </w:rPr>
      </w:pPr>
      <w:r w:rsidRPr="00E00B35">
        <w:rPr>
          <w:szCs w:val="20"/>
        </w:rPr>
        <w:t>Z badań diagnostycznych narządu słuchu wynika, że najczęściej występującą wadą jest obniżenie ostrości słuchu w stopniu lekkim i średnim.</w:t>
      </w:r>
    </w:p>
    <w:p w:rsidR="00CA14AB" w:rsidRPr="00E00B35" w:rsidRDefault="00CA14AB" w:rsidP="00E00B35">
      <w:pPr>
        <w:spacing w:after="0" w:line="312" w:lineRule="auto"/>
        <w:rPr>
          <w:szCs w:val="20"/>
        </w:rPr>
      </w:pPr>
      <w:r w:rsidRPr="00E00B35">
        <w:rPr>
          <w:szCs w:val="20"/>
        </w:rPr>
        <w:t xml:space="preserve">Wśród 2519 uczniów uczestniczących w badaniach wady wzroku stwierdzono u 668 osób, co stanowiło 26,52% przebadanej populacji a wady słuchu u 206 osób, tj. 8,18%.  </w:t>
      </w:r>
    </w:p>
    <w:p w:rsidR="00CA14AB" w:rsidRPr="00E00B35" w:rsidRDefault="00CA14AB" w:rsidP="00E00B35">
      <w:pPr>
        <w:spacing w:after="0" w:line="312" w:lineRule="auto"/>
        <w:rPr>
          <w:szCs w:val="20"/>
        </w:rPr>
      </w:pPr>
      <w:r w:rsidRPr="00E00B35">
        <w:rPr>
          <w:szCs w:val="20"/>
        </w:rPr>
        <w:t xml:space="preserve">Program ze względu na sytuację epidemiczną realizowany był do 13 marca 2020 roku, zamiast do 31 grudnia 2020 roku.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PROGRAM PROFILAKTYKI PRÓCHNICY ZĘBÓW U DZIECI W WIEKU PRZEDSZKOLNYM 3-5 lat </w:t>
      </w:r>
    </w:p>
    <w:p w:rsidR="00CA14AB" w:rsidRPr="00E00B35" w:rsidRDefault="00CA14AB" w:rsidP="00E00B35">
      <w:pPr>
        <w:spacing w:after="0" w:line="312" w:lineRule="auto"/>
        <w:rPr>
          <w:szCs w:val="20"/>
        </w:rPr>
      </w:pPr>
      <w:r w:rsidRPr="00E00B35">
        <w:rPr>
          <w:szCs w:val="20"/>
        </w:rPr>
        <w:t xml:space="preserve">Celem programu jest zmniejszenie występowania choroby próchnicowej u dzieci w wieku 3-5 lat poprzez zintegrowane działania edukacyjne i profilaktyczno-lecznicze. </w:t>
      </w:r>
    </w:p>
    <w:p w:rsidR="00CA14AB" w:rsidRPr="00E00B35" w:rsidRDefault="00CA14AB" w:rsidP="00E00B35">
      <w:pPr>
        <w:spacing w:after="0" w:line="312" w:lineRule="auto"/>
        <w:rPr>
          <w:szCs w:val="20"/>
        </w:rPr>
      </w:pPr>
      <w:r w:rsidRPr="00E00B35">
        <w:rPr>
          <w:szCs w:val="20"/>
        </w:rPr>
        <w:t>W 2020 r. w programie brało udział 71 wrocławskich przedszkoli, w których jest ok. 8 000 dzieci.</w:t>
      </w:r>
    </w:p>
    <w:p w:rsidR="00CA14AB" w:rsidRPr="00E00B35" w:rsidRDefault="00CA14AB" w:rsidP="00E00B35">
      <w:pPr>
        <w:spacing w:after="0" w:line="312" w:lineRule="auto"/>
        <w:rPr>
          <w:szCs w:val="20"/>
        </w:rPr>
      </w:pPr>
      <w:r w:rsidRPr="00E00B35">
        <w:rPr>
          <w:szCs w:val="20"/>
        </w:rPr>
        <w:t>W ramach programu realizowane były następujące zadania:</w:t>
      </w:r>
    </w:p>
    <w:p w:rsidR="00CA14AB" w:rsidRPr="00E00B35" w:rsidRDefault="00CA14AB" w:rsidP="00BC64AB">
      <w:pPr>
        <w:pStyle w:val="Akapitzlist"/>
        <w:numPr>
          <w:ilvl w:val="0"/>
          <w:numId w:val="163"/>
        </w:numPr>
        <w:spacing w:after="0" w:line="312" w:lineRule="auto"/>
        <w:rPr>
          <w:szCs w:val="20"/>
        </w:rPr>
      </w:pPr>
      <w:r w:rsidRPr="00E00B35">
        <w:rPr>
          <w:szCs w:val="20"/>
        </w:rPr>
        <w:t>edukacja zdrowotna dla rodziców i dzieci w wieku 3-5 lat,</w:t>
      </w:r>
    </w:p>
    <w:p w:rsidR="00CA14AB" w:rsidRPr="00E00B35" w:rsidRDefault="00CA14AB" w:rsidP="00BC64AB">
      <w:pPr>
        <w:pStyle w:val="Akapitzlist"/>
        <w:numPr>
          <w:ilvl w:val="0"/>
          <w:numId w:val="163"/>
        </w:numPr>
        <w:spacing w:after="0" w:line="312" w:lineRule="auto"/>
        <w:rPr>
          <w:szCs w:val="20"/>
        </w:rPr>
      </w:pPr>
      <w:r w:rsidRPr="00E00B35">
        <w:rPr>
          <w:szCs w:val="20"/>
        </w:rPr>
        <w:t>spotkania lekarza stomatologa z dziećmi i personelem pedagogicznym w przedszkolu,</w:t>
      </w:r>
    </w:p>
    <w:p w:rsidR="00CA14AB" w:rsidRPr="00E00B35" w:rsidRDefault="00CA14AB" w:rsidP="00BC64AB">
      <w:pPr>
        <w:pStyle w:val="Akapitzlist"/>
        <w:numPr>
          <w:ilvl w:val="0"/>
          <w:numId w:val="163"/>
        </w:numPr>
        <w:spacing w:after="0" w:line="312" w:lineRule="auto"/>
        <w:rPr>
          <w:szCs w:val="20"/>
        </w:rPr>
      </w:pPr>
      <w:r w:rsidRPr="00E00B35">
        <w:rPr>
          <w:szCs w:val="20"/>
        </w:rPr>
        <w:t>wykonanie przeglądu stomatologicznego jamy ustnej podczas wizyty rodzica z dzieckiem w gabinecie stomatologicznym,</w:t>
      </w:r>
    </w:p>
    <w:p w:rsidR="00CA14AB" w:rsidRPr="00E00B35" w:rsidRDefault="00CA14AB" w:rsidP="00BC64AB">
      <w:pPr>
        <w:pStyle w:val="Akapitzlist"/>
        <w:numPr>
          <w:ilvl w:val="0"/>
          <w:numId w:val="163"/>
        </w:numPr>
        <w:spacing w:after="0" w:line="312" w:lineRule="auto"/>
        <w:rPr>
          <w:szCs w:val="20"/>
        </w:rPr>
      </w:pPr>
      <w:r w:rsidRPr="00E00B35">
        <w:rPr>
          <w:szCs w:val="20"/>
        </w:rPr>
        <w:lastRenderedPageBreak/>
        <w:t>wykonywanie u dzieci zabiegów profilaktyczno – leczniczych, finansowanych z NFZ lub odpłatnych, zalecanych przez lekarzy stomatologów.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PROGRAM POLITYKI ZDROWOTNEJ PN. „ZAPOBIEGANIE PRÓCHNICY ZĘBÓW U UCZNIÓW WROCŁAWSKICH SZKÓŁ PODSTAWOWYCH” </w:t>
      </w:r>
    </w:p>
    <w:p w:rsidR="00CA14AB" w:rsidRPr="00E00B35" w:rsidRDefault="00CA14AB" w:rsidP="00E00B35">
      <w:pPr>
        <w:spacing w:after="0" w:line="312" w:lineRule="auto"/>
        <w:rPr>
          <w:szCs w:val="20"/>
        </w:rPr>
      </w:pPr>
      <w:r w:rsidRPr="00E00B35">
        <w:rPr>
          <w:szCs w:val="20"/>
        </w:rPr>
        <w:t xml:space="preserve">Celem programu jest ograniczenie występowania próchnicy zębów u uczniów wrocławskich szkół podstawowych poprzez zintensyfikowane działania edukacyjne, zapobiegawcze i lecznicze. </w:t>
      </w:r>
    </w:p>
    <w:p w:rsidR="00CA14AB" w:rsidRPr="00E00B35" w:rsidRDefault="00CA14AB" w:rsidP="00E00B35">
      <w:pPr>
        <w:spacing w:after="0" w:line="312" w:lineRule="auto"/>
        <w:rPr>
          <w:szCs w:val="20"/>
        </w:rPr>
      </w:pPr>
      <w:r w:rsidRPr="00E00B35">
        <w:rPr>
          <w:szCs w:val="20"/>
        </w:rPr>
        <w:t xml:space="preserve">W 2020 r. program polityki zdrowotnej realizowany był w 10 szkolnych gabinetach dentystycznych w następujących placówkach oświatowych: </w:t>
      </w:r>
    </w:p>
    <w:p w:rsidR="00CA14AB" w:rsidRPr="00E00B35" w:rsidRDefault="00CA14AB" w:rsidP="00BC64AB">
      <w:pPr>
        <w:pStyle w:val="Akapitzlist"/>
        <w:numPr>
          <w:ilvl w:val="0"/>
          <w:numId w:val="164"/>
        </w:numPr>
        <w:spacing w:after="0" w:line="312" w:lineRule="auto"/>
        <w:rPr>
          <w:szCs w:val="20"/>
        </w:rPr>
      </w:pPr>
      <w:r w:rsidRPr="00E00B35">
        <w:rPr>
          <w:szCs w:val="20"/>
        </w:rPr>
        <w:t>Szkoła Podstawowa nr 10, ul. Inflancka 13,</w:t>
      </w:r>
    </w:p>
    <w:p w:rsidR="00CA14AB" w:rsidRPr="00E00B35" w:rsidRDefault="00CA14AB" w:rsidP="00BC64AB">
      <w:pPr>
        <w:pStyle w:val="Akapitzlist"/>
        <w:numPr>
          <w:ilvl w:val="0"/>
          <w:numId w:val="164"/>
        </w:numPr>
        <w:spacing w:after="0" w:line="312" w:lineRule="auto"/>
        <w:rPr>
          <w:szCs w:val="20"/>
        </w:rPr>
      </w:pPr>
      <w:r w:rsidRPr="00E00B35">
        <w:rPr>
          <w:szCs w:val="20"/>
        </w:rPr>
        <w:t>Szkoła Podstawowa nr 17, ul. Wieczysta 105,</w:t>
      </w:r>
    </w:p>
    <w:p w:rsidR="00CA14AB" w:rsidRPr="00E00B35" w:rsidRDefault="00CA14AB" w:rsidP="00BC64AB">
      <w:pPr>
        <w:pStyle w:val="Akapitzlist"/>
        <w:numPr>
          <w:ilvl w:val="0"/>
          <w:numId w:val="164"/>
        </w:numPr>
        <w:spacing w:after="0" w:line="312" w:lineRule="auto"/>
        <w:rPr>
          <w:szCs w:val="20"/>
        </w:rPr>
      </w:pPr>
      <w:r w:rsidRPr="00E00B35">
        <w:rPr>
          <w:szCs w:val="20"/>
        </w:rPr>
        <w:t>Szkoła Podstawowa nr 68, ul. Szczęśliwa 28,</w:t>
      </w:r>
    </w:p>
    <w:p w:rsidR="00CA14AB" w:rsidRPr="00E00B35" w:rsidRDefault="00CA14AB" w:rsidP="00BC64AB">
      <w:pPr>
        <w:pStyle w:val="Akapitzlist"/>
        <w:numPr>
          <w:ilvl w:val="0"/>
          <w:numId w:val="164"/>
        </w:numPr>
        <w:spacing w:after="0" w:line="312" w:lineRule="auto"/>
        <w:rPr>
          <w:szCs w:val="20"/>
        </w:rPr>
      </w:pPr>
      <w:r w:rsidRPr="00E00B35">
        <w:rPr>
          <w:szCs w:val="20"/>
        </w:rPr>
        <w:t>Szkoła Podstawowa nr 74, ul. Kleczkowska 2,</w:t>
      </w:r>
    </w:p>
    <w:p w:rsidR="00CA14AB" w:rsidRPr="00E00B35" w:rsidRDefault="00CA14AB" w:rsidP="00BC64AB">
      <w:pPr>
        <w:pStyle w:val="Akapitzlist"/>
        <w:numPr>
          <w:ilvl w:val="0"/>
          <w:numId w:val="164"/>
        </w:numPr>
        <w:spacing w:after="0" w:line="312" w:lineRule="auto"/>
        <w:rPr>
          <w:szCs w:val="20"/>
        </w:rPr>
      </w:pPr>
      <w:r w:rsidRPr="00E00B35">
        <w:rPr>
          <w:szCs w:val="20"/>
        </w:rPr>
        <w:t>Szkoła Podstawowa nr 77, ul. Św. Jerzego 4,</w:t>
      </w:r>
    </w:p>
    <w:p w:rsidR="00CA14AB" w:rsidRPr="00E00B35" w:rsidRDefault="00CA14AB" w:rsidP="00BC64AB">
      <w:pPr>
        <w:pStyle w:val="Akapitzlist"/>
        <w:numPr>
          <w:ilvl w:val="0"/>
          <w:numId w:val="164"/>
        </w:numPr>
        <w:spacing w:after="0" w:line="312" w:lineRule="auto"/>
        <w:rPr>
          <w:szCs w:val="20"/>
        </w:rPr>
      </w:pPr>
      <w:r w:rsidRPr="00E00B35">
        <w:rPr>
          <w:szCs w:val="20"/>
        </w:rPr>
        <w:t>Szkoła Podstawowa nr 83, al. Tadeusza Boya-Żeleńskiego 32,</w:t>
      </w:r>
    </w:p>
    <w:p w:rsidR="00CA14AB" w:rsidRPr="00E00B35" w:rsidRDefault="00CA14AB" w:rsidP="00BC64AB">
      <w:pPr>
        <w:pStyle w:val="Akapitzlist"/>
        <w:numPr>
          <w:ilvl w:val="0"/>
          <w:numId w:val="164"/>
        </w:numPr>
        <w:spacing w:after="0" w:line="312" w:lineRule="auto"/>
        <w:rPr>
          <w:szCs w:val="20"/>
        </w:rPr>
      </w:pPr>
      <w:r w:rsidRPr="00E00B35">
        <w:rPr>
          <w:szCs w:val="20"/>
        </w:rPr>
        <w:t>Szkoła Podstawowa nr 97, ul. Prosta 16,</w:t>
      </w:r>
    </w:p>
    <w:p w:rsidR="00CA14AB" w:rsidRPr="00E00B35" w:rsidRDefault="00CA14AB" w:rsidP="00BC64AB">
      <w:pPr>
        <w:pStyle w:val="Akapitzlist"/>
        <w:numPr>
          <w:ilvl w:val="0"/>
          <w:numId w:val="164"/>
        </w:numPr>
        <w:spacing w:after="0" w:line="312" w:lineRule="auto"/>
        <w:rPr>
          <w:szCs w:val="20"/>
        </w:rPr>
      </w:pPr>
      <w:r w:rsidRPr="00E00B35">
        <w:rPr>
          <w:szCs w:val="20"/>
        </w:rPr>
        <w:t>Szkoła Podstawowa Integracyjna nr 103, ul. Nowodworska 70-82,</w:t>
      </w:r>
    </w:p>
    <w:p w:rsidR="00CA14AB" w:rsidRPr="00E00B35" w:rsidRDefault="00CA14AB" w:rsidP="00BC64AB">
      <w:pPr>
        <w:pStyle w:val="Akapitzlist"/>
        <w:numPr>
          <w:ilvl w:val="0"/>
          <w:numId w:val="164"/>
        </w:numPr>
        <w:spacing w:after="0" w:line="312" w:lineRule="auto"/>
        <w:rPr>
          <w:szCs w:val="20"/>
        </w:rPr>
      </w:pPr>
      <w:r w:rsidRPr="00E00B35">
        <w:rPr>
          <w:szCs w:val="20"/>
        </w:rPr>
        <w:t>Szkoła Podstawowa nr 113, ul. Zemska 16c,</w:t>
      </w:r>
    </w:p>
    <w:p w:rsidR="00CA14AB" w:rsidRPr="00E00B35" w:rsidRDefault="00CA14AB" w:rsidP="00BC64AB">
      <w:pPr>
        <w:pStyle w:val="Akapitzlist"/>
        <w:numPr>
          <w:ilvl w:val="0"/>
          <w:numId w:val="164"/>
        </w:numPr>
        <w:spacing w:after="0" w:line="312" w:lineRule="auto"/>
        <w:rPr>
          <w:szCs w:val="20"/>
        </w:rPr>
      </w:pPr>
      <w:r w:rsidRPr="00E00B35">
        <w:rPr>
          <w:szCs w:val="20"/>
        </w:rPr>
        <w:t>Szermiercza Sportowa Szkoła Podstawowa nr 85, ul. Gen. Romualda Traugutta 37.</w:t>
      </w:r>
    </w:p>
    <w:p w:rsidR="00CA14AB" w:rsidRPr="00E00B35" w:rsidRDefault="00CA14AB" w:rsidP="00E00B35">
      <w:pPr>
        <w:spacing w:after="0" w:line="312" w:lineRule="auto"/>
        <w:rPr>
          <w:szCs w:val="20"/>
        </w:rPr>
      </w:pPr>
      <w:r w:rsidRPr="00E00B35">
        <w:rPr>
          <w:szCs w:val="20"/>
        </w:rPr>
        <w:t>Uczestnikiem Programu może być każdy uczeń szkoły podstawowej w wieku od 6 do 15 lat, mieszkaniec Wrocławia, którego rodzice/opiekunowie prawni wyrażą pisemną zgodę na badania i zabiegi.</w:t>
      </w:r>
    </w:p>
    <w:p w:rsidR="00CA14AB" w:rsidRPr="00E00B35" w:rsidRDefault="00CA14AB" w:rsidP="00E00B35">
      <w:pPr>
        <w:spacing w:after="0" w:line="312" w:lineRule="auto"/>
        <w:rPr>
          <w:szCs w:val="20"/>
        </w:rPr>
      </w:pPr>
      <w:r w:rsidRPr="00E00B35">
        <w:rPr>
          <w:szCs w:val="20"/>
        </w:rPr>
        <w:t>W ramach Programu prowadzona jest edukacja zdrowotna uczniów i ich rodziców, wykonywane są badania stomatologiczne oraz zabiegi profilaktyczne. Przeprowadzonych zostało 168 grupowych zajęć edukacyjnych z uczniami nt. Profilaktyki próchnicy zębów oraz 67 spotkań edukacyjnych z rodzicami. Podczas wizyty w gabinecie stomatologicznym uczniowie i ich rodzice poznawali zasady profilaktyki, w tym higieny jamy ustnej, racjonalnego odżywiania i znaczenia systematycznej kontroli stomatologicznej. Przeprowadzono 1001 indywidualnych zajęć z profilaktyki i higieny jamy ustnej.</w:t>
      </w:r>
    </w:p>
    <w:p w:rsidR="00CA14AB" w:rsidRPr="00E00B35" w:rsidRDefault="00CA14AB" w:rsidP="00E00B35">
      <w:pPr>
        <w:spacing w:after="0" w:line="312" w:lineRule="auto"/>
        <w:rPr>
          <w:szCs w:val="20"/>
        </w:rPr>
      </w:pPr>
      <w:r w:rsidRPr="00E00B35">
        <w:rPr>
          <w:szCs w:val="20"/>
        </w:rPr>
        <w:t>Zabiegi profilaktyczne wykonywane w Programie to: badanie stomatologiczne z określeniem stanu jamy ustnej oraz potrzeb edukacyjnych, profilaktycznych i leczniczych – wykonano 2016 badań, stabilizacja próchnicy zębów mlecznych – wykonano 736 zabiegów, lakowanie zębów stałych – wykonano 5809 zabiegów, kontrola zalakowanych zębów połączona w uzupełnieniem laku - wykonano 1238 zabiegów, leczenie próchnicy „punktowej” w zębach stałych trzonowych – wykonano 625 zabiegów, wymania laku tymczasowego na lak ostateczny – wykonano 235 zabiegów oraz lakierownie zębów – wykonano 3293 zabiegów.</w:t>
      </w:r>
    </w:p>
    <w:p w:rsidR="00CA14AB" w:rsidRPr="00E00B35" w:rsidRDefault="00CA14AB" w:rsidP="00E00B35">
      <w:pPr>
        <w:spacing w:after="0" w:line="312" w:lineRule="auto"/>
        <w:rPr>
          <w:szCs w:val="20"/>
        </w:rPr>
      </w:pPr>
      <w:r w:rsidRPr="00E00B35">
        <w:rPr>
          <w:szCs w:val="20"/>
        </w:rPr>
        <w:t>Leczenie zębów odbywa się w gabinecie stomatologicznym wskazanym przez lekarza realizującego Program, w ramach świadczeń zdrowotnych finansowanych przez Narodowy Fundusz Zdrowia.</w:t>
      </w:r>
    </w:p>
    <w:p w:rsidR="00CA14AB" w:rsidRPr="00E00B35" w:rsidRDefault="00CA14AB" w:rsidP="00E00B35">
      <w:pPr>
        <w:spacing w:after="0" w:line="312" w:lineRule="auto"/>
        <w:rPr>
          <w:szCs w:val="20"/>
        </w:rPr>
      </w:pPr>
      <w:r w:rsidRPr="00E00B35">
        <w:rPr>
          <w:szCs w:val="20"/>
        </w:rPr>
        <w:lastRenderedPageBreak/>
        <w:t xml:space="preserve">Ewaluacja programu wskazuje na obniżenie się wskaźnika API co świadczy o poprawie higieny jamy ustnej uczniów. Jednocześnie wzrosła świadomość i wiedza oraz umiejętności uczniów w zakresie higieny jamy ustnej i zdrowego odżywiania. </w:t>
      </w:r>
    </w:p>
    <w:p w:rsidR="00CA14AB" w:rsidRPr="00E00B35" w:rsidRDefault="00CA14AB" w:rsidP="00E00B35">
      <w:pPr>
        <w:spacing w:after="0" w:line="312" w:lineRule="auto"/>
        <w:rPr>
          <w:szCs w:val="20"/>
        </w:rPr>
      </w:pPr>
      <w:r w:rsidRPr="00E00B35">
        <w:rPr>
          <w:szCs w:val="20"/>
        </w:rPr>
        <w:t xml:space="preserve">Nadzór merytoryczny nad realizacją Programu sprawuje konsultant wojewódzki ds. stomatologii dziecięcej. </w:t>
      </w:r>
    </w:p>
    <w:p w:rsidR="00CA14AB" w:rsidRPr="00E00B35" w:rsidRDefault="00CA14AB" w:rsidP="00E00B35">
      <w:pPr>
        <w:spacing w:after="0" w:line="312" w:lineRule="auto"/>
        <w:rPr>
          <w:szCs w:val="20"/>
        </w:rPr>
      </w:pPr>
      <w:r w:rsidRPr="00E00B35">
        <w:rPr>
          <w:szCs w:val="20"/>
        </w:rPr>
        <w:t xml:space="preserve">W 2020 roku w Programie wzięło udział 4353 uczniów wrocławskich szkół podstawowych. </w:t>
      </w:r>
    </w:p>
    <w:p w:rsidR="005E6C69" w:rsidRPr="00E00B35" w:rsidRDefault="005E6C69" w:rsidP="00E00B35">
      <w:pPr>
        <w:pStyle w:val="Nagwek5"/>
        <w:rPr>
          <w:szCs w:val="20"/>
        </w:rPr>
      </w:pPr>
      <w:bookmarkStart w:id="225" w:name="_Toc72352358"/>
      <w:bookmarkStart w:id="226" w:name="_Toc72352792"/>
    </w:p>
    <w:p w:rsidR="00CA14AB" w:rsidRPr="00E00B35" w:rsidRDefault="00CA14AB" w:rsidP="00E00B35">
      <w:pPr>
        <w:pStyle w:val="Nagwek5"/>
        <w:rPr>
          <w:szCs w:val="20"/>
        </w:rPr>
      </w:pPr>
      <w:r w:rsidRPr="00E00B35">
        <w:rPr>
          <w:szCs w:val="20"/>
        </w:rPr>
        <w:t>PROGRAM PROFILAKTYKI ZAKAŻEŃ WIRUSEM BRODAWCZAKA LUDZKIEGO (HPV)</w:t>
      </w:r>
      <w:bookmarkEnd w:id="225"/>
      <w:bookmarkEnd w:id="226"/>
    </w:p>
    <w:p w:rsidR="00CA14AB" w:rsidRPr="00E00B35" w:rsidRDefault="00CA14AB" w:rsidP="00E00B35">
      <w:pPr>
        <w:spacing w:after="0" w:line="312" w:lineRule="auto"/>
        <w:rPr>
          <w:szCs w:val="20"/>
        </w:rPr>
      </w:pPr>
      <w:r w:rsidRPr="00E00B35">
        <w:rPr>
          <w:szCs w:val="20"/>
        </w:rPr>
        <w:t>Celem programu jest zmniejszenie liczby zachorowań na raka szyjki macicy u kobiet poprzez przeprowadzenie edukacji zdrowotnej oraz wykonanie szczepień ochronnych szczepionką przeciwko wirusowi HPV w populacji 13-letnich dziewcząt, zamieszkałych we Wrocławiu. Program ma charakter wieloletni i podzielony jest na jednoroczne edycje, na które składają się zajęcia edukacyjne w szkołach oraz szczepienia 13-letnich dziewcząt, uczennic klas VII wrocławskich szkół podstawowych. Każda edycja programu rozpoczyna się w II półroczu i kończy w sierpniu następnego roku. Edukacją zdrowotną objęci są uczniowie VII klas wrocławskich szkół podstawowych i ich rodzice.</w:t>
      </w:r>
    </w:p>
    <w:p w:rsidR="00CA14AB" w:rsidRPr="00E00B35" w:rsidRDefault="00CA14AB" w:rsidP="00E00B35">
      <w:pPr>
        <w:spacing w:after="0" w:line="312" w:lineRule="auto"/>
        <w:rPr>
          <w:szCs w:val="20"/>
        </w:rPr>
      </w:pPr>
      <w:r w:rsidRPr="00E00B35">
        <w:rPr>
          <w:szCs w:val="20"/>
        </w:rPr>
        <w:t>W X edycji programu, która rozpoczęła się w lipcu 2019 r. i była kontynuowana w pierwszym półroczu 2020 r., wykonano szczepienia przeciwko HPV u 1770 dziewcząt urodzonych w 2006 r. oraz u 36 dziewcząt urodzonych w latach 2001-2005, które z przyczyn zdrowotnych nie mogły być zaszczepione w IX edycji programu.</w:t>
      </w:r>
    </w:p>
    <w:p w:rsidR="00CA14AB" w:rsidRPr="00E00B35" w:rsidRDefault="00CA14AB" w:rsidP="00E00B35">
      <w:pPr>
        <w:spacing w:after="0" w:line="312" w:lineRule="auto"/>
        <w:rPr>
          <w:szCs w:val="20"/>
        </w:rPr>
      </w:pPr>
      <w:r w:rsidRPr="00E00B35">
        <w:rPr>
          <w:szCs w:val="20"/>
        </w:rPr>
        <w:t>W XI edycji programu, która rozpoczęła się w lipcu 2020 r. i będzie kontynuowana w pierwszym półroczu 2021r., wykonano szczepienia przeciwko HPV u 1684 dziewcząt oraz - po raz pierwszy - u 1487 chłopców urodzonych w 2007 roku. Szczepionkę przeciwko brodawczakowi ludzkiemu podano 24 dziewczętom urodzonym w latach 2003-2006, które z przyczyn zdrowotnych nie mogły być zaszczepione w X edycji programu.</w:t>
      </w:r>
    </w:p>
    <w:p w:rsidR="005E6C69" w:rsidRPr="00E00B35" w:rsidRDefault="005E6C69" w:rsidP="00E00B35">
      <w:pPr>
        <w:pStyle w:val="Nagwek4"/>
        <w:spacing w:before="0" w:after="0" w:line="312" w:lineRule="auto"/>
        <w:rPr>
          <w:sz w:val="20"/>
          <w:szCs w:val="20"/>
        </w:rPr>
      </w:pPr>
      <w:bookmarkStart w:id="227" w:name="_Toc72352359"/>
      <w:bookmarkStart w:id="228" w:name="_Toc72352793"/>
    </w:p>
    <w:p w:rsidR="00CA14AB" w:rsidRPr="00E00B35" w:rsidRDefault="00CA14AB" w:rsidP="00E00B35">
      <w:pPr>
        <w:pStyle w:val="Nagwek4"/>
        <w:spacing w:before="0" w:after="0" w:line="312" w:lineRule="auto"/>
        <w:rPr>
          <w:sz w:val="20"/>
          <w:szCs w:val="20"/>
        </w:rPr>
      </w:pPr>
      <w:r w:rsidRPr="00E00B35">
        <w:rPr>
          <w:sz w:val="20"/>
          <w:szCs w:val="20"/>
        </w:rPr>
        <w:t>PROGRAM EDUKACYJNO–PROFILAKTYCZNY „ZDROWA MATKA I DZIECKO”</w:t>
      </w:r>
      <w:bookmarkEnd w:id="227"/>
      <w:bookmarkEnd w:id="228"/>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ŚWIADOMEGO RODZICIELSTWA I MACIERZYŃSTWA W RAMACH „WROCŁAWSKICH SZKÓŁ RODZENIA”</w:t>
      </w:r>
    </w:p>
    <w:p w:rsidR="00CA14AB" w:rsidRPr="00E00B35" w:rsidRDefault="00CA14AB" w:rsidP="00E00B35">
      <w:pPr>
        <w:spacing w:after="0" w:line="312" w:lineRule="auto"/>
        <w:rPr>
          <w:szCs w:val="20"/>
        </w:rPr>
      </w:pPr>
      <w:r w:rsidRPr="00E00B35">
        <w:rPr>
          <w:szCs w:val="20"/>
        </w:rPr>
        <w:t xml:space="preserve">Celem programu jest przygotowanie kobiet do naturalnego porodu, opieki nad noworodkiem i niemowlęciem, złagodzenie lęku związanego z hospitalizacją oraz przeciwdziałanie zagrożeniom zdrowotnym w okresie ciąży i połogu. </w:t>
      </w:r>
    </w:p>
    <w:p w:rsidR="00CA14AB" w:rsidRPr="00E00B35" w:rsidRDefault="00CA14AB" w:rsidP="00E00B35">
      <w:pPr>
        <w:spacing w:after="0" w:line="312" w:lineRule="auto"/>
        <w:rPr>
          <w:szCs w:val="20"/>
        </w:rPr>
      </w:pPr>
      <w:r w:rsidRPr="00E00B35">
        <w:rPr>
          <w:szCs w:val="20"/>
        </w:rPr>
        <w:t xml:space="preserve">Program realizowany jest w 6 Wrocławskich Szkołach Rodzenia. Zajęcia edukacji zdrowotnej oraz ćwiczenia gimnastyczne i relaksacyjne prowadzą doświadczone położne </w:t>
      </w:r>
      <w:r w:rsidRPr="00E00B35">
        <w:rPr>
          <w:szCs w:val="20"/>
        </w:rPr>
        <w:br/>
        <w:t xml:space="preserve">i rehabilitanci wg opracowanych standardów edukacji przedporodowej dla kobiet, </w:t>
      </w:r>
      <w:r w:rsidRPr="00E00B35">
        <w:rPr>
          <w:szCs w:val="20"/>
        </w:rPr>
        <w:br/>
        <w:t xml:space="preserve">w nowocześnie wyposażonych pomieszczeniach. </w:t>
      </w:r>
    </w:p>
    <w:p w:rsidR="00CA14AB" w:rsidRPr="00E00B35" w:rsidRDefault="00CA14AB" w:rsidP="00E00B35">
      <w:pPr>
        <w:spacing w:after="0" w:line="312" w:lineRule="auto"/>
        <w:rPr>
          <w:szCs w:val="20"/>
        </w:rPr>
      </w:pPr>
      <w:r w:rsidRPr="00E00B35">
        <w:rPr>
          <w:szCs w:val="20"/>
        </w:rPr>
        <w:t xml:space="preserve">Podczas 10 - tygodniowego kursu odbywają są spotkania z ginekologiem, neonatologiem, stomatologiem oraz psychologiem. </w:t>
      </w:r>
    </w:p>
    <w:p w:rsidR="00CA14AB" w:rsidRPr="00E00B35" w:rsidRDefault="00CA14AB" w:rsidP="00E00B35">
      <w:pPr>
        <w:spacing w:after="0" w:line="312" w:lineRule="auto"/>
        <w:rPr>
          <w:szCs w:val="20"/>
        </w:rPr>
      </w:pPr>
      <w:r w:rsidRPr="00E00B35">
        <w:rPr>
          <w:szCs w:val="20"/>
        </w:rPr>
        <w:t xml:space="preserve">W 2020 roku w zajęciach uczestniczyło 789 osób, w tym 399 kobiet ciężarnych oraz 390 osób towarzyszących.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PROGRAM EDUKACJI ZDROWOTNEJ W ZAKRESIE OPIEKI NAD KOBIETĄ, MATKĄ I DZIECKIEM, W RAMACH OŚRODKÓW EDUKACJI I INFORMACJI </w:t>
      </w:r>
    </w:p>
    <w:p w:rsidR="00CA14AB" w:rsidRPr="00E00B35" w:rsidRDefault="00CA14AB" w:rsidP="00E00B35">
      <w:pPr>
        <w:spacing w:after="0" w:line="312" w:lineRule="auto"/>
        <w:rPr>
          <w:szCs w:val="20"/>
        </w:rPr>
      </w:pPr>
      <w:r w:rsidRPr="00E00B35">
        <w:rPr>
          <w:szCs w:val="20"/>
        </w:rPr>
        <w:t>W 2020 r. działania prowadzone były w 3 Ośrodkach Edukacyjno – Informacyjnych, w których udzielano porad specjalistycznych i edukacyjnych. W programie wzięło udział 502 osoby.</w:t>
      </w:r>
    </w:p>
    <w:p w:rsidR="00CA14AB" w:rsidRPr="00E00B35" w:rsidRDefault="00CA14AB" w:rsidP="00E00B35">
      <w:pPr>
        <w:spacing w:after="0" w:line="312" w:lineRule="auto"/>
        <w:rPr>
          <w:szCs w:val="20"/>
        </w:rPr>
      </w:pPr>
      <w:r w:rsidRPr="00E00B35">
        <w:rPr>
          <w:szCs w:val="20"/>
        </w:rPr>
        <w:t>W ramach programu zorganizowane zostały:</w:t>
      </w:r>
    </w:p>
    <w:p w:rsidR="00CA14AB" w:rsidRPr="00E00B35" w:rsidRDefault="00CA14AB" w:rsidP="00BC64AB">
      <w:pPr>
        <w:pStyle w:val="Akapitzlist"/>
        <w:numPr>
          <w:ilvl w:val="0"/>
          <w:numId w:val="165"/>
        </w:numPr>
        <w:spacing w:after="0" w:line="312" w:lineRule="auto"/>
        <w:rPr>
          <w:szCs w:val="20"/>
        </w:rPr>
      </w:pPr>
      <w:r w:rsidRPr="00E00B35">
        <w:rPr>
          <w:szCs w:val="20"/>
        </w:rPr>
        <w:t xml:space="preserve">zajęcia edukacyjne i poradnictwo specjalistyczne dla kobiet ciężarnych i osób towarzyszących, w których wzięło udział 90 osób, </w:t>
      </w:r>
    </w:p>
    <w:p w:rsidR="00CA14AB" w:rsidRPr="00E00B35" w:rsidRDefault="00CA14AB" w:rsidP="00BC64AB">
      <w:pPr>
        <w:pStyle w:val="Akapitzlist"/>
        <w:numPr>
          <w:ilvl w:val="0"/>
          <w:numId w:val="165"/>
        </w:numPr>
        <w:spacing w:after="0" w:line="312" w:lineRule="auto"/>
        <w:rPr>
          <w:szCs w:val="20"/>
        </w:rPr>
      </w:pPr>
      <w:r w:rsidRPr="00E00B35">
        <w:rPr>
          <w:szCs w:val="20"/>
        </w:rPr>
        <w:t xml:space="preserve">zajęcia edukacyjne i poradnictwo specjalistyczne dla rodziców, opiekunów dzieci –9 osób, </w:t>
      </w:r>
    </w:p>
    <w:p w:rsidR="00CA14AB" w:rsidRPr="00E00B35" w:rsidRDefault="00CA14AB" w:rsidP="00BC64AB">
      <w:pPr>
        <w:pStyle w:val="Akapitzlist"/>
        <w:numPr>
          <w:ilvl w:val="0"/>
          <w:numId w:val="165"/>
        </w:numPr>
        <w:spacing w:after="0" w:line="312" w:lineRule="auto"/>
        <w:rPr>
          <w:szCs w:val="20"/>
        </w:rPr>
      </w:pPr>
      <w:r w:rsidRPr="00E00B35">
        <w:rPr>
          <w:szCs w:val="20"/>
        </w:rPr>
        <w:t xml:space="preserve">spotkania z psychologiem - 10 osób, </w:t>
      </w:r>
    </w:p>
    <w:p w:rsidR="00CA14AB" w:rsidRPr="00E00B35" w:rsidRDefault="00CA14AB" w:rsidP="00BC64AB">
      <w:pPr>
        <w:pStyle w:val="Akapitzlist"/>
        <w:numPr>
          <w:ilvl w:val="0"/>
          <w:numId w:val="165"/>
        </w:numPr>
        <w:spacing w:after="0" w:line="312" w:lineRule="auto"/>
        <w:rPr>
          <w:szCs w:val="20"/>
        </w:rPr>
      </w:pPr>
      <w:r w:rsidRPr="00E00B35">
        <w:rPr>
          <w:szCs w:val="20"/>
        </w:rPr>
        <w:t xml:space="preserve">spotkania z położnymi podczas których przygotowano 396 kobiet ciężarnych do karmienia piersią oraz udzielono wsparcia kobietom karmiących piersią, </w:t>
      </w:r>
    </w:p>
    <w:p w:rsidR="00CA14AB" w:rsidRPr="00E00B35" w:rsidRDefault="00CA14AB" w:rsidP="00BC64AB">
      <w:pPr>
        <w:pStyle w:val="Akapitzlist"/>
        <w:numPr>
          <w:ilvl w:val="0"/>
          <w:numId w:val="165"/>
        </w:numPr>
        <w:spacing w:after="0" w:line="312" w:lineRule="auto"/>
        <w:rPr>
          <w:szCs w:val="20"/>
        </w:rPr>
      </w:pPr>
      <w:r w:rsidRPr="00E00B35">
        <w:rPr>
          <w:szCs w:val="20"/>
        </w:rPr>
        <w:t xml:space="preserve">warsztaty pedagogiczne, wczesnej stymulacji rozwoju – zabawy rozwijające dla dzieci od 3 do 36 m. życia, w których wzięło 6 osób. </w:t>
      </w:r>
    </w:p>
    <w:p w:rsidR="005E6C69" w:rsidRPr="00E00B35" w:rsidRDefault="005E6C69" w:rsidP="00E00B35">
      <w:pPr>
        <w:pStyle w:val="Nagwek5"/>
        <w:rPr>
          <w:szCs w:val="20"/>
        </w:rPr>
      </w:pPr>
      <w:bookmarkStart w:id="229" w:name="_Toc72352360"/>
      <w:bookmarkStart w:id="230" w:name="_Toc72352794"/>
    </w:p>
    <w:p w:rsidR="00CA14AB" w:rsidRPr="00E00B35" w:rsidRDefault="00CA14AB" w:rsidP="00E00B35">
      <w:pPr>
        <w:pStyle w:val="Nagwek5"/>
        <w:rPr>
          <w:szCs w:val="20"/>
        </w:rPr>
      </w:pPr>
      <w:r w:rsidRPr="00E00B35">
        <w:rPr>
          <w:szCs w:val="20"/>
        </w:rPr>
        <w:t>WSPARCIE RODZIN Z WIELORACZKAMI W ŚRODOWISKU ZAMIESZKANIA</w:t>
      </w:r>
      <w:bookmarkEnd w:id="229"/>
      <w:bookmarkEnd w:id="230"/>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Celem wsparcia jest podniesienie poziomu wiedzy i świadomości zdrowotnej rodziców w zakresie pielęgnowania, żywienia, rozwoju psychomotorycznego, profilaktyki chorób wieku dziecięcego oraz pomoc rzeczowa. </w:t>
      </w:r>
    </w:p>
    <w:p w:rsidR="00CA14AB" w:rsidRPr="00E00B35" w:rsidRDefault="00CA14AB" w:rsidP="00E00B35">
      <w:pPr>
        <w:spacing w:after="0" w:line="312" w:lineRule="auto"/>
        <w:rPr>
          <w:szCs w:val="20"/>
        </w:rPr>
      </w:pPr>
      <w:r w:rsidRPr="00E00B35">
        <w:rPr>
          <w:szCs w:val="20"/>
        </w:rPr>
        <w:t xml:space="preserve">Realizacja zadania polegała na: </w:t>
      </w:r>
    </w:p>
    <w:p w:rsidR="00CA14AB" w:rsidRPr="00E00B35" w:rsidRDefault="00CA14AB" w:rsidP="00BC64AB">
      <w:pPr>
        <w:pStyle w:val="Akapitzlist"/>
        <w:numPr>
          <w:ilvl w:val="0"/>
          <w:numId w:val="166"/>
        </w:numPr>
        <w:spacing w:after="0" w:line="312" w:lineRule="auto"/>
        <w:rPr>
          <w:szCs w:val="20"/>
        </w:rPr>
      </w:pPr>
      <w:r w:rsidRPr="00E00B35">
        <w:rPr>
          <w:szCs w:val="20"/>
        </w:rPr>
        <w:t xml:space="preserve">rozpoznaniu problemów i ustaleniu potrzeb rodzin z wieloraczkami, </w:t>
      </w:r>
    </w:p>
    <w:p w:rsidR="00CA14AB" w:rsidRPr="00E00B35" w:rsidRDefault="00CA14AB" w:rsidP="00BC64AB">
      <w:pPr>
        <w:pStyle w:val="Akapitzlist"/>
        <w:numPr>
          <w:ilvl w:val="0"/>
          <w:numId w:val="166"/>
        </w:numPr>
        <w:spacing w:after="0" w:line="312" w:lineRule="auto"/>
        <w:rPr>
          <w:szCs w:val="20"/>
        </w:rPr>
      </w:pPr>
      <w:r w:rsidRPr="00E00B35">
        <w:rPr>
          <w:szCs w:val="20"/>
        </w:rPr>
        <w:t xml:space="preserve">prowadzeniu edukacji zdrowotnej z zakresu pielęgnowania, karmienia, rozwoju psychomotorycznego, profilaktyki chorób wieku dziecięcego w środowisku zamieszkania, </w:t>
      </w:r>
    </w:p>
    <w:p w:rsidR="00CA14AB" w:rsidRPr="00E00B35" w:rsidRDefault="00CA14AB" w:rsidP="00BC64AB">
      <w:pPr>
        <w:pStyle w:val="Akapitzlist"/>
        <w:numPr>
          <w:ilvl w:val="0"/>
          <w:numId w:val="166"/>
        </w:numPr>
        <w:spacing w:after="0" w:line="312" w:lineRule="auto"/>
        <w:rPr>
          <w:szCs w:val="20"/>
        </w:rPr>
      </w:pPr>
      <w:r w:rsidRPr="00E00B35">
        <w:rPr>
          <w:szCs w:val="20"/>
        </w:rPr>
        <w:t xml:space="preserve">udzielaniu rodzicom wsparcia psychicznego, </w:t>
      </w:r>
    </w:p>
    <w:p w:rsidR="00CA14AB" w:rsidRPr="00E00B35" w:rsidRDefault="00CA14AB" w:rsidP="00BC64AB">
      <w:pPr>
        <w:pStyle w:val="Akapitzlist"/>
        <w:numPr>
          <w:ilvl w:val="0"/>
          <w:numId w:val="166"/>
        </w:numPr>
        <w:spacing w:after="0" w:line="312" w:lineRule="auto"/>
        <w:rPr>
          <w:szCs w:val="20"/>
        </w:rPr>
      </w:pPr>
      <w:r w:rsidRPr="00E00B35">
        <w:rPr>
          <w:szCs w:val="20"/>
        </w:rPr>
        <w:t xml:space="preserve">utrzymaniu i poprawie sprawności ogólnoustrojowej dzieci (np. monitorowanie oddechu, gimnastyka niemowląt), </w:t>
      </w:r>
    </w:p>
    <w:p w:rsidR="00CA14AB" w:rsidRPr="00E00B35" w:rsidRDefault="00CA14AB" w:rsidP="00BC64AB">
      <w:pPr>
        <w:pStyle w:val="Akapitzlist"/>
        <w:numPr>
          <w:ilvl w:val="0"/>
          <w:numId w:val="166"/>
        </w:numPr>
        <w:spacing w:after="0" w:line="312" w:lineRule="auto"/>
        <w:rPr>
          <w:szCs w:val="20"/>
        </w:rPr>
      </w:pPr>
      <w:r w:rsidRPr="00E00B35">
        <w:rPr>
          <w:szCs w:val="20"/>
        </w:rPr>
        <w:t xml:space="preserve">zakupie laktatora i podgrzewacza do pokarmu oraz wypożyczaniu sprzętu wspomagającego opiekę nad dziećmi, </w:t>
      </w:r>
    </w:p>
    <w:p w:rsidR="00CA14AB" w:rsidRPr="00E00B35" w:rsidRDefault="00CA14AB" w:rsidP="00BC64AB">
      <w:pPr>
        <w:pStyle w:val="Akapitzlist"/>
        <w:numPr>
          <w:ilvl w:val="0"/>
          <w:numId w:val="166"/>
        </w:numPr>
        <w:spacing w:after="0" w:line="312" w:lineRule="auto"/>
        <w:rPr>
          <w:szCs w:val="20"/>
        </w:rPr>
      </w:pPr>
      <w:r w:rsidRPr="00E00B35">
        <w:rPr>
          <w:szCs w:val="20"/>
        </w:rPr>
        <w:t>informowaniu o świadczeniach zdrowotnych finansowanych z NFZ oraz formach pomocy instytucjonalnej dla rodzin wielodzietnych.</w:t>
      </w:r>
    </w:p>
    <w:p w:rsidR="00CA14AB" w:rsidRPr="00E00B35" w:rsidRDefault="00CA14AB" w:rsidP="00E00B35">
      <w:pPr>
        <w:spacing w:after="0" w:line="312" w:lineRule="auto"/>
        <w:rPr>
          <w:szCs w:val="20"/>
        </w:rPr>
      </w:pPr>
      <w:r w:rsidRPr="00E00B35">
        <w:rPr>
          <w:szCs w:val="20"/>
        </w:rPr>
        <w:t>Rodziny na bieżąco były informowane o przysługujących im świadczeniach zdrowotnych finansowanych z Narodowego Funduszu Zdrowia oraz formach pomocy realizowanych przez Miejski Ośrodek Pomocy Społecznej i Miasto Wrocław.</w:t>
      </w:r>
    </w:p>
    <w:p w:rsidR="00CA14AB" w:rsidRPr="00E00B35" w:rsidRDefault="00CA14AB" w:rsidP="00E00B35">
      <w:pPr>
        <w:spacing w:after="0" w:line="312" w:lineRule="auto"/>
        <w:rPr>
          <w:szCs w:val="20"/>
        </w:rPr>
      </w:pPr>
      <w:r w:rsidRPr="00E00B35">
        <w:rPr>
          <w:szCs w:val="20"/>
        </w:rPr>
        <w:t xml:space="preserve">Z programu skorzystało 6 rodzin. </w:t>
      </w:r>
    </w:p>
    <w:p w:rsidR="005E6C69" w:rsidRPr="00E00B35" w:rsidRDefault="005E6C69" w:rsidP="00E00B35">
      <w:pPr>
        <w:pStyle w:val="Nagwek5"/>
        <w:rPr>
          <w:szCs w:val="20"/>
        </w:rPr>
      </w:pPr>
      <w:bookmarkStart w:id="231" w:name="_Toc72352361"/>
      <w:bookmarkStart w:id="232" w:name="_Toc72352795"/>
    </w:p>
    <w:p w:rsidR="00CA14AB" w:rsidRPr="00E00B35" w:rsidRDefault="00CA14AB" w:rsidP="00E00B35">
      <w:pPr>
        <w:pStyle w:val="Nagwek5"/>
        <w:rPr>
          <w:szCs w:val="20"/>
        </w:rPr>
      </w:pPr>
      <w:r w:rsidRPr="00E00B35">
        <w:rPr>
          <w:szCs w:val="20"/>
        </w:rPr>
        <w:t>PROGRAM „POŚPIEWAJ MI MAMO, POŚPIEWAJ TATO</w:t>
      </w:r>
      <w:bookmarkEnd w:id="231"/>
      <w:bookmarkEnd w:id="232"/>
    </w:p>
    <w:p w:rsidR="00CA14AB" w:rsidRPr="00E00B35" w:rsidRDefault="00CA14AB" w:rsidP="00E00B35">
      <w:pPr>
        <w:spacing w:after="0" w:line="312" w:lineRule="auto"/>
        <w:rPr>
          <w:szCs w:val="20"/>
        </w:rPr>
      </w:pPr>
      <w:r w:rsidRPr="00E00B35">
        <w:rPr>
          <w:szCs w:val="20"/>
        </w:rPr>
        <w:t xml:space="preserve">W 2020 roku odbył się cykl warsztatów nauki śpiewu dla rodziców realizowany przez Narodowe Forum Muzyki. </w:t>
      </w:r>
    </w:p>
    <w:p w:rsidR="00CA14AB" w:rsidRPr="00E00B35" w:rsidRDefault="00CA14AB" w:rsidP="00E00B35">
      <w:pPr>
        <w:spacing w:after="0" w:line="312" w:lineRule="auto"/>
        <w:rPr>
          <w:szCs w:val="20"/>
        </w:rPr>
      </w:pPr>
      <w:r w:rsidRPr="00E00B35">
        <w:rPr>
          <w:szCs w:val="20"/>
        </w:rPr>
        <w:t xml:space="preserve">Zajęcia prowadzone były w szkołach rodzenia, na oddziałach położniczych oraz w miejscach przyjaznych dzieciom. Przyszli rodzice uczyli się śpiewania kołysanek </w:t>
      </w:r>
      <w:r w:rsidRPr="00E00B35">
        <w:rPr>
          <w:szCs w:val="20"/>
        </w:rPr>
        <w:lastRenderedPageBreak/>
        <w:t xml:space="preserve">i piosenek dziecięcych. Śpiewanie wpływa korzystnie na rozwój emocjonalny dziecka, stymuluje naukę języka, a przede wszystkim jest dobrą zabawą dla rodziców i ich dzieci. </w:t>
      </w:r>
    </w:p>
    <w:p w:rsidR="00CA14AB" w:rsidRPr="00E00B35" w:rsidRDefault="00CA14AB" w:rsidP="00E00B35">
      <w:pPr>
        <w:spacing w:after="0" w:line="312" w:lineRule="auto"/>
        <w:rPr>
          <w:szCs w:val="20"/>
        </w:rPr>
      </w:pPr>
      <w:r w:rsidRPr="00E00B35">
        <w:rPr>
          <w:szCs w:val="20"/>
        </w:rPr>
        <w:t xml:space="preserve">Przeprowadzono 45 warsztatów w 4 Wrocławskich Szkołach Rodzenia. W zajęciach uczestniczyło ponad 450 osób. </w:t>
      </w:r>
    </w:p>
    <w:p w:rsidR="005E6C69" w:rsidRPr="00E00B35" w:rsidRDefault="005E6C69" w:rsidP="00E00B35">
      <w:pPr>
        <w:pStyle w:val="Nagwek5"/>
        <w:rPr>
          <w:szCs w:val="20"/>
        </w:rPr>
      </w:pPr>
      <w:bookmarkStart w:id="233" w:name="_Toc72352362"/>
      <w:bookmarkStart w:id="234" w:name="_Toc72352796"/>
    </w:p>
    <w:p w:rsidR="00CA14AB" w:rsidRPr="00E00B35" w:rsidRDefault="00CA14AB" w:rsidP="00E00B35">
      <w:pPr>
        <w:pStyle w:val="Nagwek5"/>
        <w:rPr>
          <w:szCs w:val="20"/>
        </w:rPr>
      </w:pPr>
      <w:r w:rsidRPr="00E00B35">
        <w:rPr>
          <w:szCs w:val="20"/>
        </w:rPr>
        <w:t>ZESPÓŁ MERYTORYCZNY DS. PROGRAMU KOMPLEKSOWEGO WSPARCIA DLA RODZIN „ZA ŻYCIEM”</w:t>
      </w:r>
      <w:bookmarkEnd w:id="233"/>
      <w:bookmarkEnd w:id="234"/>
    </w:p>
    <w:p w:rsidR="00CA14AB" w:rsidRPr="00E00B35" w:rsidRDefault="00CA14AB" w:rsidP="00E00B35">
      <w:pPr>
        <w:spacing w:after="0" w:line="312" w:lineRule="auto"/>
        <w:rPr>
          <w:szCs w:val="20"/>
        </w:rPr>
      </w:pPr>
      <w:r w:rsidRPr="00E00B35">
        <w:rPr>
          <w:szCs w:val="20"/>
        </w:rPr>
        <w:t xml:space="preserve">W celu koordynacji działań samorządu podejmowanych dla realizacji Programu kompleksowego wsparcia rodzin „Za życiem", Prezydent Wrocławia, Zarządzeniem nr 199/19 z dnia 11 stycznia 2019 roku, powołał zespół merytoryczny. Zespół pełni rolę opiniująco – doradczą oraz monitorującą, w zakresie procesu wdrażania Programu na terenie Wrocławia. </w:t>
      </w:r>
    </w:p>
    <w:p w:rsidR="00CA14AB" w:rsidRPr="00E00B35" w:rsidRDefault="00CA14AB" w:rsidP="00E00B35">
      <w:pPr>
        <w:spacing w:after="0" w:line="312" w:lineRule="auto"/>
        <w:rPr>
          <w:szCs w:val="20"/>
        </w:rPr>
      </w:pPr>
      <w:r w:rsidRPr="00E00B35">
        <w:rPr>
          <w:szCs w:val="20"/>
        </w:rPr>
        <w:t>Zespół powołany został na czas określony do dnia 31 grudnia 2021 roku. Członkowie Zespołu pełnią funkcje społecznie. W skład Zespołu wchodzą przedstawiciele podmiotów działających w obszarach wspierania kobiet w ciąży i ich rodzin, wczesnego wspomagania rozwoju dziecka i jego rodziny, usług wspierających i rehabilitacyjnych, wspierania osób niepełnosprawnych, poradnictwa i informacji oraz przedstawiciele miejskich jednostek organizacyjnych, realizujących zadania z zakresu zdrowia, spraw społecznych i edukacji.</w:t>
      </w:r>
    </w:p>
    <w:p w:rsidR="00CA14AB" w:rsidRPr="00E00B35" w:rsidRDefault="00CA14AB" w:rsidP="00E00B35">
      <w:pPr>
        <w:spacing w:after="0" w:line="312" w:lineRule="auto"/>
        <w:rPr>
          <w:szCs w:val="20"/>
        </w:rPr>
      </w:pPr>
      <w:r w:rsidRPr="00E00B35">
        <w:rPr>
          <w:szCs w:val="20"/>
        </w:rPr>
        <w:t xml:space="preserve">W pierwszym półroczu 2020 roku z inicjatywy Zespołu zorganizowana została „Wrocławska Szkoła Rodzenia dla osób z niepełnosprawnością”. Opracowano program zajęć edukacyjnych dla kobiet planujących macierzyństwo </w:t>
      </w:r>
      <w:r w:rsidRPr="00E00B35">
        <w:rPr>
          <w:szCs w:val="20"/>
        </w:rPr>
        <w:br/>
        <w:t>i ciężarnych z niepełnosprawnością: intelektualną, fizyczną i sensoryczną tj. zaburzeniem zmysłu wzroku i słuchu.</w:t>
      </w:r>
    </w:p>
    <w:p w:rsidR="00CA14AB" w:rsidRPr="00E00B35" w:rsidRDefault="00CA14AB" w:rsidP="00E00B35">
      <w:pPr>
        <w:spacing w:after="0" w:line="312" w:lineRule="auto"/>
        <w:rPr>
          <w:szCs w:val="20"/>
        </w:rPr>
      </w:pPr>
      <w:r w:rsidRPr="00E00B35">
        <w:rPr>
          <w:szCs w:val="20"/>
        </w:rPr>
        <w:t xml:space="preserve">Kobiety wraz z osobami towarzyszącymi, pod opieką specjalistów (położnych, ginekologa, pediatry, fizjoterapeuty, psychologa, seksuologa) uzyskują praktyczną i teoretyczną wiedzę z zakresu wzmacniania zdrowia przed zaplanowaniem ciąży, przebiegu ciąży, porodu, łagodzeniu bólu porodowego, karmieniu piersią, opieki nad noworodkiem i inne. </w:t>
      </w:r>
    </w:p>
    <w:p w:rsidR="00CA14AB" w:rsidRPr="00E00B35" w:rsidRDefault="00CA14AB" w:rsidP="00E00B35">
      <w:pPr>
        <w:spacing w:after="0" w:line="312" w:lineRule="auto"/>
        <w:rPr>
          <w:szCs w:val="20"/>
        </w:rPr>
      </w:pPr>
      <w:r w:rsidRPr="00E00B35">
        <w:rPr>
          <w:szCs w:val="20"/>
        </w:rPr>
        <w:t xml:space="preserve">Siedziba Wrocławskiej Szkoły Rodzenia mieści się w budynku Biura Fundacji „Potrafię Pomóc”, przy ulicy Horbaczewskiego 24 we Wrocławiu. </w:t>
      </w:r>
    </w:p>
    <w:p w:rsidR="00CA14AB" w:rsidRPr="00E00B35" w:rsidRDefault="00CA14AB" w:rsidP="00E00B35">
      <w:pPr>
        <w:spacing w:after="0" w:line="312" w:lineRule="auto"/>
        <w:rPr>
          <w:szCs w:val="20"/>
        </w:rPr>
      </w:pPr>
      <w:r w:rsidRPr="00E00B35">
        <w:rPr>
          <w:szCs w:val="20"/>
        </w:rPr>
        <w:t>W zajęciach uczestniczyło 18 osób, w tym 10 kobiet oraz 8 osób towarzyszących.</w:t>
      </w:r>
    </w:p>
    <w:p w:rsidR="00CA14AB" w:rsidRPr="00E00B35" w:rsidRDefault="00CA14AB" w:rsidP="00E00B35">
      <w:pPr>
        <w:spacing w:after="0" w:line="312" w:lineRule="auto"/>
        <w:rPr>
          <w:szCs w:val="20"/>
        </w:rPr>
      </w:pPr>
      <w:r w:rsidRPr="00E00B35">
        <w:rPr>
          <w:szCs w:val="20"/>
        </w:rPr>
        <w:t>Kolejne spotkania zespołu dotyczyły organizacji kampanii edukacyjnej pn. Ciąża bez alkoholu.</w:t>
      </w:r>
    </w:p>
    <w:p w:rsidR="00CA14AB" w:rsidRPr="00E00B35" w:rsidRDefault="00CA14AB" w:rsidP="00E00B35">
      <w:pPr>
        <w:spacing w:after="0" w:line="312" w:lineRule="auto"/>
        <w:rPr>
          <w:szCs w:val="20"/>
        </w:rPr>
      </w:pPr>
      <w:r w:rsidRPr="00E00B35">
        <w:rPr>
          <w:szCs w:val="20"/>
        </w:rPr>
        <w:t xml:space="preserve">Inauguracja kampanii, odbyła się 9 września, w dniu Światowego Dnia FAS (Alkoholowy Zespół Płodowy). Opracowane zostały plakaty, infografiki, które dystrybuowane były we Wrocławskich Szkołach Rodzenia, w mediach społecznościowych. Przeprowadzono również szereg rozmów ze specjalistami w telewizji oraz na portalach miejskich.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„WSPARCIA PSYCHOLOGICZNEGO KOBIET CIĘŻARNYCH ORAZ MATEK</w:t>
      </w:r>
      <w:r w:rsidR="00E062F3" w:rsidRPr="00E00B35">
        <w:rPr>
          <w:szCs w:val="20"/>
        </w:rPr>
        <w:t xml:space="preserve"> DZIECI Z WRODZONĄ WADĄ SERCA”</w:t>
      </w:r>
    </w:p>
    <w:p w:rsidR="00CA14AB" w:rsidRPr="00E00B35" w:rsidRDefault="00CA14AB" w:rsidP="00E00B35">
      <w:pPr>
        <w:spacing w:after="0" w:line="312" w:lineRule="auto"/>
        <w:rPr>
          <w:szCs w:val="20"/>
        </w:rPr>
      </w:pPr>
      <w:r w:rsidRPr="00E00B35">
        <w:rPr>
          <w:szCs w:val="20"/>
        </w:rPr>
        <w:t>W 2020 roku odbył się pilotaż Programu adresowany do kobiet ciężarnych, matek dzieci z wadą serca.</w:t>
      </w:r>
    </w:p>
    <w:p w:rsidR="00CA14AB" w:rsidRPr="00E00B35" w:rsidRDefault="00CA14AB" w:rsidP="00E00B35">
      <w:pPr>
        <w:spacing w:after="0" w:line="312" w:lineRule="auto"/>
        <w:rPr>
          <w:szCs w:val="20"/>
        </w:rPr>
      </w:pPr>
      <w:r w:rsidRPr="00E00B35">
        <w:rPr>
          <w:szCs w:val="20"/>
        </w:rPr>
        <w:lastRenderedPageBreak/>
        <w:t xml:space="preserve">Kobiety ciężarne wraz z rodzinami korzystały z bezpłatnych konsultacji psychologa, kardiologa dziecięcego oraz fizjoterapeuty. </w:t>
      </w:r>
    </w:p>
    <w:p w:rsidR="00CA14AB" w:rsidRPr="00E00B35" w:rsidRDefault="00CA14AB" w:rsidP="00E00B35">
      <w:pPr>
        <w:spacing w:after="0" w:line="312" w:lineRule="auto"/>
        <w:rPr>
          <w:szCs w:val="20"/>
        </w:rPr>
      </w:pPr>
      <w:r w:rsidRPr="00E00B35">
        <w:rPr>
          <w:szCs w:val="20"/>
        </w:rPr>
        <w:t xml:space="preserve">Wsparcie specjalistów było pomocne kobietom i ich rodzinom w radzeniu sobie w trudnej sytuacji z związanej z rozpoznaniem wady serca u dziecka czy z planowanym zabiegiem kardiochirurgicznym. </w:t>
      </w:r>
    </w:p>
    <w:p w:rsidR="00CA14AB" w:rsidRPr="00E00B35" w:rsidRDefault="00CA14AB" w:rsidP="00E00B35">
      <w:pPr>
        <w:spacing w:after="0" w:line="312" w:lineRule="auto"/>
        <w:rPr>
          <w:szCs w:val="20"/>
        </w:rPr>
      </w:pPr>
      <w:r w:rsidRPr="00E00B35">
        <w:rPr>
          <w:szCs w:val="20"/>
        </w:rPr>
        <w:t>Oferowana również była pomoc rodzinom po stracie dziecka.</w:t>
      </w:r>
    </w:p>
    <w:p w:rsidR="00CA14AB" w:rsidRPr="00E00B35" w:rsidRDefault="00CA14AB" w:rsidP="00E00B35">
      <w:pPr>
        <w:spacing w:after="0" w:line="312" w:lineRule="auto"/>
        <w:rPr>
          <w:szCs w:val="20"/>
        </w:rPr>
      </w:pPr>
      <w:r w:rsidRPr="00E00B35">
        <w:rPr>
          <w:szCs w:val="20"/>
        </w:rPr>
        <w:t xml:space="preserve">W programie wzięły udział kobiety ciężarne i matki - 34 osoby. </w:t>
      </w:r>
    </w:p>
    <w:p w:rsidR="005E6C69" w:rsidRPr="00E00B35" w:rsidRDefault="005E6C69" w:rsidP="00E00B35">
      <w:pPr>
        <w:pStyle w:val="Nagwek5"/>
        <w:rPr>
          <w:szCs w:val="20"/>
        </w:rPr>
      </w:pPr>
      <w:bookmarkStart w:id="235" w:name="_Toc72352363"/>
      <w:bookmarkStart w:id="236" w:name="_Toc72352797"/>
    </w:p>
    <w:p w:rsidR="00CA14AB" w:rsidRPr="00E00B35" w:rsidRDefault="00CA14AB" w:rsidP="00E00B35">
      <w:pPr>
        <w:pStyle w:val="Nagwek5"/>
        <w:rPr>
          <w:szCs w:val="20"/>
        </w:rPr>
      </w:pPr>
      <w:r w:rsidRPr="00E00B35">
        <w:rPr>
          <w:szCs w:val="20"/>
        </w:rPr>
        <w:t>EDUKACJA ZDROWOTNA „ZDROWIE W OKRESIE MŁODZIEŃCZYM”</w:t>
      </w:r>
      <w:bookmarkEnd w:id="235"/>
      <w:bookmarkEnd w:id="236"/>
    </w:p>
    <w:p w:rsidR="00CA14AB" w:rsidRPr="00E00B35" w:rsidRDefault="00CA14AB" w:rsidP="00E00B35">
      <w:pPr>
        <w:spacing w:after="0" w:line="312" w:lineRule="auto"/>
        <w:rPr>
          <w:szCs w:val="20"/>
        </w:rPr>
      </w:pPr>
      <w:r w:rsidRPr="00E00B35">
        <w:rPr>
          <w:szCs w:val="20"/>
        </w:rPr>
        <w:t>Celem edukacji jest podnoszenie poziomu wiedzy i świadomości zdrowotnej uczniów wrocławskich szkół gimnazjalnych i ponadgimnazjalnych dotyczących dojrzewania płciowego oraz chorób przenoszonych drogą płciową poprzez interaktywne zajęcia edukacyjne i indywidualne poradnictwo specjalistyczne.</w:t>
      </w:r>
    </w:p>
    <w:p w:rsidR="00CA14AB" w:rsidRPr="00E00B35" w:rsidRDefault="00CA14AB" w:rsidP="00E00B35">
      <w:pPr>
        <w:spacing w:after="0" w:line="312" w:lineRule="auto"/>
        <w:rPr>
          <w:szCs w:val="20"/>
        </w:rPr>
      </w:pPr>
      <w:r w:rsidRPr="00E00B35">
        <w:rPr>
          <w:szCs w:val="20"/>
        </w:rPr>
        <w:t>Zakres tematyczny edukacji zdrowotnej dla uczniów to:</w:t>
      </w:r>
    </w:p>
    <w:p w:rsidR="00CA14AB" w:rsidRPr="00E00B35" w:rsidRDefault="00CA14AB" w:rsidP="00BC64AB">
      <w:pPr>
        <w:pStyle w:val="Akapitzlist"/>
        <w:numPr>
          <w:ilvl w:val="0"/>
          <w:numId w:val="167"/>
        </w:numPr>
        <w:spacing w:after="0" w:line="312" w:lineRule="auto"/>
        <w:rPr>
          <w:szCs w:val="20"/>
        </w:rPr>
      </w:pPr>
      <w:r w:rsidRPr="00E00B35">
        <w:rPr>
          <w:szCs w:val="20"/>
        </w:rPr>
        <w:t>fizjologia okresu dojrzewania,</w:t>
      </w:r>
    </w:p>
    <w:p w:rsidR="00CA14AB" w:rsidRPr="00E00B35" w:rsidRDefault="00CA14AB" w:rsidP="00BC64AB">
      <w:pPr>
        <w:pStyle w:val="Akapitzlist"/>
        <w:numPr>
          <w:ilvl w:val="0"/>
          <w:numId w:val="167"/>
        </w:numPr>
        <w:spacing w:after="0" w:line="312" w:lineRule="auto"/>
        <w:rPr>
          <w:szCs w:val="20"/>
        </w:rPr>
      </w:pPr>
      <w:r w:rsidRPr="00E00B35">
        <w:rPr>
          <w:szCs w:val="20"/>
        </w:rPr>
        <w:t>planowanie rodziny,</w:t>
      </w:r>
    </w:p>
    <w:p w:rsidR="00CA14AB" w:rsidRPr="00E00B35" w:rsidRDefault="00CA14AB" w:rsidP="00BC64AB">
      <w:pPr>
        <w:pStyle w:val="Akapitzlist"/>
        <w:numPr>
          <w:ilvl w:val="0"/>
          <w:numId w:val="167"/>
        </w:numPr>
        <w:spacing w:after="0" w:line="312" w:lineRule="auto"/>
        <w:rPr>
          <w:szCs w:val="20"/>
        </w:rPr>
      </w:pPr>
      <w:r w:rsidRPr="00E00B35">
        <w:rPr>
          <w:szCs w:val="20"/>
        </w:rPr>
        <w:t>pierwsza wizyta u ginekologa i systematyczne kontrole lekarskie,</w:t>
      </w:r>
    </w:p>
    <w:p w:rsidR="00CA14AB" w:rsidRPr="00E00B35" w:rsidRDefault="00CA14AB" w:rsidP="00BC64AB">
      <w:pPr>
        <w:pStyle w:val="Akapitzlist"/>
        <w:numPr>
          <w:ilvl w:val="0"/>
          <w:numId w:val="167"/>
        </w:numPr>
        <w:spacing w:after="0" w:line="312" w:lineRule="auto"/>
        <w:rPr>
          <w:szCs w:val="20"/>
        </w:rPr>
      </w:pPr>
      <w:r w:rsidRPr="00E00B35">
        <w:rPr>
          <w:szCs w:val="20"/>
        </w:rPr>
        <w:t>profilaktyka zakażeń przenoszonych drogą płciową,</w:t>
      </w:r>
    </w:p>
    <w:p w:rsidR="00CA14AB" w:rsidRPr="00E00B35" w:rsidRDefault="00CA14AB" w:rsidP="00BC64AB">
      <w:pPr>
        <w:pStyle w:val="Akapitzlist"/>
        <w:numPr>
          <w:ilvl w:val="0"/>
          <w:numId w:val="167"/>
        </w:numPr>
        <w:spacing w:after="0" w:line="312" w:lineRule="auto"/>
        <w:rPr>
          <w:szCs w:val="20"/>
        </w:rPr>
      </w:pPr>
      <w:r w:rsidRPr="00E00B35">
        <w:rPr>
          <w:szCs w:val="20"/>
        </w:rPr>
        <w:t>zdrowotne i społeczne zagrożeń wczesnego rozpoczynania współżycia seksualnego,</w:t>
      </w:r>
    </w:p>
    <w:p w:rsidR="00CA14AB" w:rsidRPr="00E00B35" w:rsidRDefault="00CA14AB" w:rsidP="00BC64AB">
      <w:pPr>
        <w:pStyle w:val="Akapitzlist"/>
        <w:numPr>
          <w:ilvl w:val="0"/>
          <w:numId w:val="167"/>
        </w:numPr>
        <w:spacing w:after="0" w:line="312" w:lineRule="auto"/>
        <w:rPr>
          <w:szCs w:val="20"/>
        </w:rPr>
      </w:pPr>
      <w:r w:rsidRPr="00E00B35">
        <w:rPr>
          <w:szCs w:val="20"/>
        </w:rPr>
        <w:t>przeciwdziałanie przemocy seksualnej.</w:t>
      </w:r>
    </w:p>
    <w:p w:rsidR="00CA14AB" w:rsidRPr="00E00B35" w:rsidRDefault="00CA14AB" w:rsidP="00E00B35">
      <w:pPr>
        <w:spacing w:after="0" w:line="312" w:lineRule="auto"/>
        <w:rPr>
          <w:szCs w:val="20"/>
        </w:rPr>
      </w:pPr>
      <w:r w:rsidRPr="00E00B35">
        <w:rPr>
          <w:szCs w:val="20"/>
        </w:rPr>
        <w:t>W 2020 roku 150 dziewcząt z rodzicami/opiekunami skorzystało z konsultacji ginekologicznych. Z powodu epidemii odbyło się tylko jedno spotkanie edukacyjne lekarza ginekologa z grupą 12 uczniów.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PROGRAM POLITYKI ZDROWOTNEJ PN. „PROGRAM LECZENIA NIEPŁODNOŚCI METODĄ ZAPŁODNIENIA POZAUSTROJOWEGO DLA MIESZKAŃCÓW WROCŁAWIA W ROKU 2020” </w:t>
      </w:r>
    </w:p>
    <w:p w:rsidR="00CA14AB" w:rsidRPr="00E00B35" w:rsidRDefault="00CA14AB" w:rsidP="00E00B35">
      <w:pPr>
        <w:spacing w:after="0" w:line="312" w:lineRule="auto"/>
        <w:rPr>
          <w:szCs w:val="20"/>
        </w:rPr>
      </w:pPr>
      <w:r w:rsidRPr="00E00B35">
        <w:rPr>
          <w:szCs w:val="20"/>
        </w:rPr>
        <w:t xml:space="preserve">Celem programu jest zapewnienie dostępu do procedury zapłodnienia pozaustrojowego mieszkańcom Wrocławia, u których zdiagnozowana została niepłodność, poprzez wsparcie finansowe procesu leczenia. </w:t>
      </w:r>
    </w:p>
    <w:p w:rsidR="00CA14AB" w:rsidRPr="00E00B35" w:rsidRDefault="00CA14AB" w:rsidP="00E00B35">
      <w:pPr>
        <w:spacing w:after="0" w:line="312" w:lineRule="auto"/>
        <w:rPr>
          <w:szCs w:val="20"/>
        </w:rPr>
      </w:pPr>
      <w:r w:rsidRPr="00E00B35">
        <w:rPr>
          <w:szCs w:val="20"/>
        </w:rPr>
        <w:t xml:space="preserve">W ramach Programu każda para może skorzystać z jednej zindywidualizowanej procedury wspomaganego rozrodu, a warunkiem uzyskania dofinansowania do procedury jest zakwalifikowanie pary do Programu przez Realizatora oraz przeprowadzenie co najmniej jednej interwencji. </w:t>
      </w:r>
    </w:p>
    <w:p w:rsidR="00CA14AB" w:rsidRPr="00E00B35" w:rsidRDefault="00CA14AB" w:rsidP="00E00B35">
      <w:pPr>
        <w:spacing w:after="0" w:line="312" w:lineRule="auto"/>
        <w:rPr>
          <w:szCs w:val="20"/>
        </w:rPr>
      </w:pPr>
      <w:r w:rsidRPr="00E00B35">
        <w:rPr>
          <w:szCs w:val="20"/>
        </w:rPr>
        <w:t xml:space="preserve">W roku 2020 r. (od lutego do grudnia) do Programu zgłosiło się 421 par, z czego 192 zostało zaproszonych na wizytę kwalifikacyjną a 178 par zdecydowało się na przeprowadzenie jednej z proponowanych interwencji. </w:t>
      </w:r>
    </w:p>
    <w:p w:rsidR="00CA14AB" w:rsidRPr="00E00B35" w:rsidRDefault="00CA14AB" w:rsidP="00E00B35">
      <w:pPr>
        <w:spacing w:after="0" w:line="312" w:lineRule="auto"/>
        <w:rPr>
          <w:szCs w:val="20"/>
        </w:rPr>
      </w:pPr>
      <w:r w:rsidRPr="00E00B35">
        <w:rPr>
          <w:szCs w:val="20"/>
        </w:rPr>
        <w:t xml:space="preserve">W ramach Programu potwierdzone zostały 64 ciąże, w tym 8 mnogich. </w:t>
      </w:r>
    </w:p>
    <w:p w:rsidR="005E6C69" w:rsidRPr="00E00B35" w:rsidRDefault="005E6C69" w:rsidP="00E00B35">
      <w:pPr>
        <w:pStyle w:val="Nagwek4"/>
        <w:spacing w:before="0" w:after="0" w:line="312" w:lineRule="auto"/>
        <w:rPr>
          <w:sz w:val="20"/>
          <w:szCs w:val="20"/>
        </w:rPr>
      </w:pPr>
      <w:bookmarkStart w:id="237" w:name="_Toc72352364"/>
      <w:bookmarkStart w:id="238" w:name="_Toc72352798"/>
    </w:p>
    <w:p w:rsidR="00CA14AB" w:rsidRPr="00E00B35" w:rsidRDefault="00CA14AB" w:rsidP="00E00B35">
      <w:pPr>
        <w:pStyle w:val="Nagwek4"/>
        <w:spacing w:before="0" w:after="0" w:line="312" w:lineRule="auto"/>
        <w:rPr>
          <w:sz w:val="20"/>
          <w:szCs w:val="20"/>
        </w:rPr>
      </w:pPr>
      <w:r w:rsidRPr="00E00B35">
        <w:rPr>
          <w:sz w:val="20"/>
          <w:szCs w:val="20"/>
        </w:rPr>
        <w:t>EDUKACJA ZDROWOTNA W PROFILAKTYCE NADWAGI I OTYŁOŚCI U DZIECI I MŁODZIEŻY</w:t>
      </w:r>
      <w:bookmarkEnd w:id="237"/>
      <w:bookmarkEnd w:id="238"/>
      <w:r w:rsidRPr="00E00B35">
        <w:rPr>
          <w:sz w:val="20"/>
          <w:szCs w:val="20"/>
        </w:rPr>
        <w:t xml:space="preserve"> </w:t>
      </w:r>
    </w:p>
    <w:p w:rsidR="005E6C69" w:rsidRPr="00E00B35" w:rsidRDefault="005E6C69" w:rsidP="00E00B35">
      <w:pPr>
        <w:pStyle w:val="Nagwek5"/>
        <w:rPr>
          <w:szCs w:val="20"/>
        </w:rPr>
      </w:pPr>
      <w:bookmarkStart w:id="239" w:name="_Toc72352365"/>
      <w:bookmarkStart w:id="240" w:name="_Toc72352799"/>
    </w:p>
    <w:p w:rsidR="00CA14AB" w:rsidRPr="00E00B35" w:rsidRDefault="00CA14AB" w:rsidP="00E00B35">
      <w:pPr>
        <w:pStyle w:val="Nagwek5"/>
        <w:rPr>
          <w:szCs w:val="20"/>
        </w:rPr>
      </w:pPr>
      <w:r w:rsidRPr="00E00B35">
        <w:rPr>
          <w:szCs w:val="20"/>
        </w:rPr>
        <w:t>ZADANIE PN. „UCZEŃ W FORMIE”</w:t>
      </w:r>
      <w:bookmarkEnd w:id="239"/>
      <w:bookmarkEnd w:id="240"/>
    </w:p>
    <w:p w:rsidR="00CA14AB" w:rsidRPr="00E00B35" w:rsidRDefault="00CA14AB" w:rsidP="00E00B35">
      <w:pPr>
        <w:spacing w:after="0" w:line="312" w:lineRule="auto"/>
        <w:rPr>
          <w:szCs w:val="20"/>
        </w:rPr>
      </w:pPr>
      <w:r w:rsidRPr="00E00B35">
        <w:rPr>
          <w:szCs w:val="20"/>
        </w:rPr>
        <w:t>Celem zadania jest podniesienie poziomu wiedzy i świadomości zdrowotnej uczniów oraz ich rodziców w zakresie profilaktyki nadwagi i otyłości oraz kształtowanie postawy odpowiedzialności za zdrowie własne i innych poprzez działania promujące zdrowy styl życia. Nadzór merytoryczny nad realizacją zadania prowadziła prof. dr hab.n.med. Anna Noczyńska.</w:t>
      </w:r>
    </w:p>
    <w:p w:rsidR="00CA14AB" w:rsidRPr="00E00B35" w:rsidRDefault="00CA14AB" w:rsidP="00E00B35">
      <w:pPr>
        <w:spacing w:after="0" w:line="312" w:lineRule="auto"/>
        <w:rPr>
          <w:szCs w:val="20"/>
        </w:rPr>
      </w:pPr>
      <w:r w:rsidRPr="00E00B35">
        <w:rPr>
          <w:szCs w:val="20"/>
        </w:rPr>
        <w:t>Do udziału w programie zgłosiło się 16 wrocławskich szkół podstawowych. Na podstawie zebranych wyników (masy ciała, wzrostu i wskaźnika BMI) pielęgniarki środowiska nauczania i wychowania zakwalifikowały uczniów z nadwagą i otyłością do działań edukacyjno-interwencyjnych. Zgodnie ze statystykami przygotowanymi przez pielęgniarki do udziału w programie wytypowano 486 uczniów, z których 109 ma otyłość, 377 ma nadwagę. Do dalszych działań edukacyjno-interwencyjnych zgłosiło się 142 dzieci wraz z rodzicami.</w:t>
      </w:r>
    </w:p>
    <w:p w:rsidR="00CA14AB" w:rsidRPr="00E00B35" w:rsidRDefault="00CA14AB" w:rsidP="00E00B35">
      <w:pPr>
        <w:spacing w:after="0" w:line="312" w:lineRule="auto"/>
        <w:rPr>
          <w:szCs w:val="20"/>
        </w:rPr>
      </w:pPr>
      <w:r w:rsidRPr="00E00B35">
        <w:rPr>
          <w:szCs w:val="20"/>
        </w:rPr>
        <w:t>Zakwalifikowani uczniowie wzięli udział w następujących działaniach edukacyjno-interwencyjnych:</w:t>
      </w:r>
    </w:p>
    <w:p w:rsidR="00CA14AB" w:rsidRPr="00E00B35" w:rsidRDefault="00CA14AB" w:rsidP="00BC64AB">
      <w:pPr>
        <w:pStyle w:val="Akapitzlist"/>
        <w:numPr>
          <w:ilvl w:val="0"/>
          <w:numId w:val="168"/>
        </w:numPr>
        <w:spacing w:after="0" w:line="312" w:lineRule="auto"/>
        <w:rPr>
          <w:szCs w:val="20"/>
        </w:rPr>
      </w:pPr>
      <w:r w:rsidRPr="00E00B35">
        <w:rPr>
          <w:szCs w:val="20"/>
        </w:rPr>
        <w:t xml:space="preserve">indywidualne konsultacje prowadzone przez specjalistów (lekarz, psycholog, dietetyk, fizjoterapeuta) w ramach edukacji stacjonarnej oraz online. Łączna liczba udzielonych konsultacji 642, z czego : lekarz – 125, dietetyk – 165, psycholog – 288, rehabilitant – 64; </w:t>
      </w:r>
    </w:p>
    <w:p w:rsidR="00CA14AB" w:rsidRPr="00E00B35" w:rsidRDefault="00CA14AB" w:rsidP="00BC64AB">
      <w:pPr>
        <w:pStyle w:val="Akapitzlist"/>
        <w:numPr>
          <w:ilvl w:val="0"/>
          <w:numId w:val="168"/>
        </w:numPr>
        <w:spacing w:after="0" w:line="312" w:lineRule="auto"/>
        <w:rPr>
          <w:szCs w:val="20"/>
        </w:rPr>
      </w:pPr>
      <w:r w:rsidRPr="00E00B35">
        <w:rPr>
          <w:szCs w:val="20"/>
        </w:rPr>
        <w:t xml:space="preserve">warsztaty żywieniowe prowadzone przez dietetyka. Odbyły się 74 zajęcia, w których uczestniczyły dzieci z rodzicami. Łączna liczba wejść na zajęcia – 456.  W ramach zadania zrealizowano sześć tematów warsztatów; </w:t>
      </w:r>
    </w:p>
    <w:p w:rsidR="00CA14AB" w:rsidRPr="00E00B35" w:rsidRDefault="00CA14AB" w:rsidP="00E00B35">
      <w:pPr>
        <w:spacing w:after="0" w:line="312" w:lineRule="auto"/>
        <w:rPr>
          <w:szCs w:val="20"/>
        </w:rPr>
      </w:pPr>
      <w:r w:rsidRPr="00E00B35">
        <w:rPr>
          <w:szCs w:val="20"/>
        </w:rPr>
        <w:t>zajęcia w zakresie aktywności fizycznej. Uczestnicy mieli możliwość korzystania z zajęć na basenie, sali gimnastycznej oraz w terenie. Odnotowano 888 wejść na zajęcia, w tym 597 wejść na basen, 125 wejścia na salę gimnastyczną oraz 166 aktywności w terenie;</w:t>
      </w:r>
    </w:p>
    <w:p w:rsidR="00CA14AB" w:rsidRPr="00E00B35" w:rsidRDefault="00CA14AB" w:rsidP="00BC64AB">
      <w:pPr>
        <w:pStyle w:val="Akapitzlist"/>
        <w:numPr>
          <w:ilvl w:val="0"/>
          <w:numId w:val="169"/>
        </w:numPr>
        <w:spacing w:after="0" w:line="312" w:lineRule="auto"/>
        <w:rPr>
          <w:szCs w:val="20"/>
        </w:rPr>
      </w:pPr>
      <w:r w:rsidRPr="00E00B35">
        <w:rPr>
          <w:szCs w:val="20"/>
        </w:rPr>
        <w:t>konsultacje online w zakresie wsparcia psychicznego dla rodziców dzieci z nadwagą i otyłością. Udzielono 164 porady.</w:t>
      </w:r>
    </w:p>
    <w:p w:rsidR="00CA14AB" w:rsidRPr="00E00B35" w:rsidRDefault="00CA14AB" w:rsidP="00E00B35">
      <w:pPr>
        <w:spacing w:after="0" w:line="312" w:lineRule="auto"/>
        <w:rPr>
          <w:szCs w:val="20"/>
        </w:rPr>
      </w:pPr>
      <w:r w:rsidRPr="00E00B35">
        <w:rPr>
          <w:szCs w:val="20"/>
        </w:rPr>
        <w:t>Dla uczestników zadania zostały przygotowane „Jadłospisy dla dzieci z nadwagą i otyłością” w czterech kategoriach kalorycznych: 1000 kcal, 1200 kcal, 1500 kcal i 1800 kcal.</w:t>
      </w:r>
    </w:p>
    <w:p w:rsidR="00CA14AB" w:rsidRPr="00E00B35" w:rsidRDefault="00CA14AB" w:rsidP="00E00B35">
      <w:pPr>
        <w:spacing w:after="0" w:line="312" w:lineRule="auto"/>
        <w:rPr>
          <w:szCs w:val="20"/>
        </w:rPr>
      </w:pPr>
      <w:r w:rsidRPr="00E00B35">
        <w:rPr>
          <w:szCs w:val="20"/>
        </w:rPr>
        <w:t xml:space="preserve">Ponadto w ramach zadania została przygotowane materiały szkoleniowe w formie webinarów dla pielęgniarek środowiska nauczania i wychowania oraz koordynatorów szkolnych dotyczące wybranych problemów zdrowotnych u dzieci i młodzieży. Przygotowano następujące tematy webinarów: „Zdrowe odżywianie ucznia w domu i w szkole – o czym warto powiedzieć na zebraniach z rodzicami”, „Bądź świadomym problemów i trudności ucznia/uczennicy z nadwagą – praktyczne informacje dla nauczycieli”, „Cukrowy odwyk – czy można się uzależnić od cukru, przykładowe propozycje zajęć do wykorzystania na lekcjach”, „Rola szkoły i pielęgniarki szkolnej we wspieraniu uczniów z problemem nadwagi i otyłości”, „Scenariusze zajęć – co robić, </w:t>
      </w:r>
      <w:r w:rsidRPr="00E00B35">
        <w:rPr>
          <w:szCs w:val="20"/>
        </w:rPr>
        <w:lastRenderedPageBreak/>
        <w:t>aby dzieci zdrowo jadły – praktyczne informacje dla nauczycieli”. Materiały zostały przekazane do 32 pielęgniarek środowiska nauczania i wychowania oraz 35 nauczycieli.</w:t>
      </w:r>
    </w:p>
    <w:p w:rsidR="00CA14AB" w:rsidRPr="00E00B35" w:rsidRDefault="00CA14AB" w:rsidP="00E00B35">
      <w:pPr>
        <w:spacing w:after="0" w:line="312" w:lineRule="auto"/>
        <w:rPr>
          <w:szCs w:val="20"/>
        </w:rPr>
      </w:pPr>
      <w:r w:rsidRPr="00E00B35">
        <w:rPr>
          <w:szCs w:val="20"/>
        </w:rPr>
        <w:t xml:space="preserve">Zajęcia edukacyjne dla uczniów prowadzone na terenie wrocławskich placówek oświatowych. </w:t>
      </w:r>
    </w:p>
    <w:p w:rsidR="00CA14AB" w:rsidRPr="00E00B35" w:rsidRDefault="00CA14AB" w:rsidP="00E00B35">
      <w:pPr>
        <w:spacing w:after="0" w:line="312" w:lineRule="auto"/>
        <w:rPr>
          <w:szCs w:val="20"/>
        </w:rPr>
      </w:pPr>
      <w:r w:rsidRPr="00E00B35">
        <w:rPr>
          <w:szCs w:val="20"/>
        </w:rPr>
        <w:t xml:space="preserve">Zajęcia dla uczniów prowadzone w formie wykładu i warsztatów praktycznych, podczas których samodzielnie przygotowują zdrowe przekąski. Odbyły się 52 zajęcia, w których wzięło udział 1003 uczniów. </w:t>
      </w:r>
    </w:p>
    <w:p w:rsidR="00CA14AB" w:rsidRPr="00E00B35" w:rsidRDefault="00CA14AB" w:rsidP="00E00B35">
      <w:pPr>
        <w:spacing w:after="0" w:line="312" w:lineRule="auto"/>
        <w:rPr>
          <w:szCs w:val="20"/>
        </w:rPr>
      </w:pPr>
      <w:r w:rsidRPr="00E00B35">
        <w:rPr>
          <w:szCs w:val="20"/>
        </w:rPr>
        <w:t>Tematy zajęć:</w:t>
      </w:r>
      <w:r w:rsidR="00E062F3" w:rsidRPr="00E00B35">
        <w:rPr>
          <w:szCs w:val="20"/>
        </w:rPr>
        <w:t xml:space="preserve"> </w:t>
      </w:r>
      <w:r w:rsidRPr="00E00B35">
        <w:rPr>
          <w:szCs w:val="20"/>
        </w:rPr>
        <w:t xml:space="preserve">Dlaczego warto zdrowo się odżywiać - zasady żywienia, składniki odżywcze. </w:t>
      </w:r>
    </w:p>
    <w:p w:rsidR="00CA14AB" w:rsidRPr="00E00B35" w:rsidRDefault="00CA14AB" w:rsidP="00E00B35">
      <w:pPr>
        <w:spacing w:after="0" w:line="312" w:lineRule="auto"/>
        <w:rPr>
          <w:szCs w:val="20"/>
        </w:rPr>
      </w:pPr>
      <w:r w:rsidRPr="00E00B35">
        <w:rPr>
          <w:szCs w:val="20"/>
        </w:rPr>
        <w:t xml:space="preserve">Wpływ sposobu żywienia na postępy w nauce. </w:t>
      </w:r>
    </w:p>
    <w:p w:rsidR="00CA14AB" w:rsidRPr="00E00B35" w:rsidRDefault="00CA14AB" w:rsidP="00E00B35">
      <w:pPr>
        <w:spacing w:after="0" w:line="312" w:lineRule="auto"/>
        <w:rPr>
          <w:szCs w:val="20"/>
        </w:rPr>
      </w:pPr>
      <w:r w:rsidRPr="00E00B35">
        <w:rPr>
          <w:szCs w:val="20"/>
        </w:rPr>
        <w:t>Najczęściej popełniane przez uczniów błędy żywieniowe – jak im zapobiegać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PROMOCJA ZDROWEGO ŻYWIENIA I AKTYWNOŚCI FIZYCZNEJ WE WROCŁAWSKICH PLACÓWKACH OPIEKUŃCZYCH I EDUKACYJNYCH</w:t>
      </w:r>
    </w:p>
    <w:p w:rsidR="00CA14AB" w:rsidRPr="00E00B35" w:rsidRDefault="00CA14AB" w:rsidP="00E00B35">
      <w:pPr>
        <w:spacing w:after="0" w:line="312" w:lineRule="auto"/>
        <w:rPr>
          <w:szCs w:val="20"/>
        </w:rPr>
      </w:pPr>
      <w:r w:rsidRPr="00E00B35">
        <w:rPr>
          <w:szCs w:val="20"/>
        </w:rPr>
        <w:t>Celem programu jest zapobieganie nadwadze i otyłości u dzieci i młodzieży poprzez promowanie w placówkach opiekuńczych i edukacyjnych aktywności fizycznej oraz racjonalnego i zdrowego żywienia.</w:t>
      </w:r>
    </w:p>
    <w:p w:rsidR="00CA14AB" w:rsidRPr="00E00B35" w:rsidRDefault="00CA14AB" w:rsidP="00E00B35">
      <w:pPr>
        <w:spacing w:after="0" w:line="312" w:lineRule="auto"/>
        <w:rPr>
          <w:szCs w:val="20"/>
        </w:rPr>
      </w:pPr>
      <w:r w:rsidRPr="00E00B35">
        <w:rPr>
          <w:szCs w:val="20"/>
        </w:rPr>
        <w:t xml:space="preserve">Wrocławskie placówki edukacyjne mają możliwość zgłaszania się do projektu certyfikacji z zakresu zdrowego i racjonalnego żywienia oraz promowania aktywności fizycznej. </w:t>
      </w:r>
    </w:p>
    <w:p w:rsidR="00CA14AB" w:rsidRPr="00E00B35" w:rsidRDefault="00CA14AB" w:rsidP="00E00B35">
      <w:pPr>
        <w:spacing w:after="0" w:line="312" w:lineRule="auto"/>
        <w:rPr>
          <w:szCs w:val="20"/>
        </w:rPr>
      </w:pPr>
      <w:r w:rsidRPr="00E00B35">
        <w:rPr>
          <w:szCs w:val="20"/>
        </w:rPr>
        <w:t xml:space="preserve">Certyfikaty zdrowego i racjonalnego żywienia przyznawane są od 2014 r. Łącznie przyznano 203 certyfikaty, w tym: </w:t>
      </w:r>
    </w:p>
    <w:p w:rsidR="00CA14AB" w:rsidRPr="00E00B35" w:rsidRDefault="00CA14AB" w:rsidP="00BC64AB">
      <w:pPr>
        <w:pStyle w:val="Akapitzlist"/>
        <w:numPr>
          <w:ilvl w:val="0"/>
          <w:numId w:val="169"/>
        </w:numPr>
        <w:spacing w:after="0" w:line="312" w:lineRule="auto"/>
        <w:rPr>
          <w:szCs w:val="20"/>
        </w:rPr>
      </w:pPr>
      <w:r w:rsidRPr="00E00B35">
        <w:rPr>
          <w:szCs w:val="20"/>
        </w:rPr>
        <w:t>28 dla stołówek w żłobkach,</w:t>
      </w:r>
    </w:p>
    <w:p w:rsidR="00CA14AB" w:rsidRPr="00E00B35" w:rsidRDefault="00CA14AB" w:rsidP="00BC64AB">
      <w:pPr>
        <w:pStyle w:val="Akapitzlist"/>
        <w:numPr>
          <w:ilvl w:val="0"/>
          <w:numId w:val="169"/>
        </w:numPr>
        <w:spacing w:after="0" w:line="312" w:lineRule="auto"/>
        <w:rPr>
          <w:szCs w:val="20"/>
        </w:rPr>
      </w:pPr>
      <w:r w:rsidRPr="00E00B35">
        <w:rPr>
          <w:szCs w:val="20"/>
        </w:rPr>
        <w:t>88 dla stołówek w przedszkolach,</w:t>
      </w:r>
    </w:p>
    <w:p w:rsidR="00CA14AB" w:rsidRPr="00E00B35" w:rsidRDefault="00CA14AB" w:rsidP="00BC64AB">
      <w:pPr>
        <w:pStyle w:val="Akapitzlist"/>
        <w:numPr>
          <w:ilvl w:val="0"/>
          <w:numId w:val="169"/>
        </w:numPr>
        <w:spacing w:after="0" w:line="312" w:lineRule="auto"/>
        <w:rPr>
          <w:szCs w:val="20"/>
        </w:rPr>
      </w:pPr>
      <w:r w:rsidRPr="00E00B35">
        <w:rPr>
          <w:szCs w:val="20"/>
        </w:rPr>
        <w:t>55 dla stołówek w szkołach,</w:t>
      </w:r>
    </w:p>
    <w:p w:rsidR="00CA14AB" w:rsidRPr="00E00B35" w:rsidRDefault="00CA14AB" w:rsidP="00BC64AB">
      <w:pPr>
        <w:pStyle w:val="Akapitzlist"/>
        <w:numPr>
          <w:ilvl w:val="0"/>
          <w:numId w:val="169"/>
        </w:numPr>
        <w:spacing w:after="0" w:line="312" w:lineRule="auto"/>
        <w:rPr>
          <w:szCs w:val="20"/>
        </w:rPr>
      </w:pPr>
      <w:r w:rsidRPr="00E00B35">
        <w:rPr>
          <w:szCs w:val="20"/>
        </w:rPr>
        <w:t>1 dla stołówki w szkole ponadpodstawowej,</w:t>
      </w:r>
    </w:p>
    <w:p w:rsidR="00CA14AB" w:rsidRPr="00E00B35" w:rsidRDefault="00CA14AB" w:rsidP="00BC64AB">
      <w:pPr>
        <w:pStyle w:val="Akapitzlist"/>
        <w:numPr>
          <w:ilvl w:val="0"/>
          <w:numId w:val="169"/>
        </w:numPr>
        <w:spacing w:after="0" w:line="312" w:lineRule="auto"/>
        <w:rPr>
          <w:szCs w:val="20"/>
        </w:rPr>
      </w:pPr>
      <w:r w:rsidRPr="00E00B35">
        <w:rPr>
          <w:szCs w:val="20"/>
        </w:rPr>
        <w:t>31 dla sklepików szkolnych.</w:t>
      </w:r>
    </w:p>
    <w:p w:rsidR="00CA14AB" w:rsidRPr="00E00B35" w:rsidRDefault="00CA14AB" w:rsidP="00E00B35">
      <w:pPr>
        <w:spacing w:after="0" w:line="312" w:lineRule="auto"/>
        <w:rPr>
          <w:szCs w:val="20"/>
        </w:rPr>
      </w:pPr>
      <w:r w:rsidRPr="00E00B35">
        <w:rPr>
          <w:szCs w:val="20"/>
        </w:rPr>
        <w:t xml:space="preserve">Specjalista ds. żywienia współpracuje z dyrektorami, intendentami, kucharzami, ajentami sklepików szkolnych, w zakresie zmiany asortymentu oraz żywienia w stołówkach przedszkolnych i szkolnych. Placówki, które wprowadzą zalecane zmiany otrzymują certyfikat zdrowego i racjonalnego żywienia, który przyznawany jest na 2 lata. W tym czasie placówka jest wizytowana przez specjalistów ds. żywienia. Po 2 latach placówka może ubiegać się o przedłużenie certyfikatu. </w:t>
      </w:r>
    </w:p>
    <w:p w:rsidR="00CA14AB" w:rsidRPr="00E00B35" w:rsidRDefault="00CA14AB" w:rsidP="00E00B35">
      <w:pPr>
        <w:spacing w:after="0" w:line="312" w:lineRule="auto"/>
        <w:rPr>
          <w:szCs w:val="20"/>
        </w:rPr>
      </w:pPr>
      <w:r w:rsidRPr="00E00B35">
        <w:rPr>
          <w:szCs w:val="20"/>
        </w:rPr>
        <w:t xml:space="preserve">Od 2019 roku przyznawane są „Złote certyfikaty z zakresu zdrowego </w:t>
      </w:r>
      <w:r w:rsidRPr="00E00B35">
        <w:rPr>
          <w:szCs w:val="20"/>
        </w:rPr>
        <w:br/>
        <w:t xml:space="preserve">i racjonalnego żywienia” dla stołówek, które od wielu lat wyróżniają się najwyższą jakością w zakresie dbałości o przebieg procesu żywienia oraz stosowanych produktów </w:t>
      </w:r>
      <w:r w:rsidRPr="00E00B35">
        <w:rPr>
          <w:szCs w:val="20"/>
        </w:rPr>
        <w:br/>
        <w:t>i doskonałą współpracą całego zespołu. Złote certyfikaty zostały przyznane 23 wrocławskim placówkom edukacyjnym.</w:t>
      </w:r>
    </w:p>
    <w:p w:rsidR="00CA14AB" w:rsidRPr="00E00B35" w:rsidRDefault="00CA14AB" w:rsidP="00E00B35">
      <w:pPr>
        <w:spacing w:after="0" w:line="312" w:lineRule="auto"/>
        <w:rPr>
          <w:szCs w:val="20"/>
        </w:rPr>
      </w:pPr>
      <w:r w:rsidRPr="00E00B35">
        <w:rPr>
          <w:szCs w:val="20"/>
        </w:rPr>
        <w:t>Certyfikaty promowania aktywności fizycznej przyznawane są od 2017 r. Łącznie przyznano 86 certyfikatów, w tym: 43 dla przedszkoli, 39 dla szkół podstawowych oraz 4 dla zespołów szkół i szkół ponadgimnazjalnych.</w:t>
      </w:r>
    </w:p>
    <w:p w:rsidR="00CA14AB" w:rsidRPr="00E00B35" w:rsidRDefault="00CA14AB" w:rsidP="00E00B35">
      <w:pPr>
        <w:spacing w:after="0" w:line="312" w:lineRule="auto"/>
        <w:rPr>
          <w:szCs w:val="20"/>
        </w:rPr>
      </w:pPr>
      <w:r w:rsidRPr="00E00B35">
        <w:rPr>
          <w:szCs w:val="20"/>
        </w:rPr>
        <w:t xml:space="preserve">Doradcy ds. aktywności fizycznej współpracują z dyrektorami placówek edukacyjnych oraz osobami odpowiedzialnymi za wychowanie fizyczne w zakresie promowania aktywności fizycznej. Placówki spełniające kryteria ustalone w regulaminie otrzymują </w:t>
      </w:r>
      <w:r w:rsidRPr="00E00B35">
        <w:rPr>
          <w:szCs w:val="20"/>
        </w:rPr>
        <w:lastRenderedPageBreak/>
        <w:t xml:space="preserve">certyfikat, który przyznawany jest na 2 lata. W tym czasie placówka jest wizytowana przez specjalistów ds. aktywności fizycznej. Po 2 latach placówka może ubiegać się </w:t>
      </w:r>
      <w:r w:rsidRPr="00E00B35">
        <w:rPr>
          <w:szCs w:val="20"/>
        </w:rPr>
        <w:br/>
        <w:t>o przedłużenie certyfikatu.</w:t>
      </w:r>
    </w:p>
    <w:p w:rsidR="00CA14AB" w:rsidRPr="00E00B35" w:rsidRDefault="00CA14AB" w:rsidP="00E00B35">
      <w:pPr>
        <w:spacing w:after="0" w:line="312" w:lineRule="auto"/>
        <w:rPr>
          <w:szCs w:val="20"/>
        </w:rPr>
      </w:pPr>
      <w:r w:rsidRPr="00E00B35">
        <w:rPr>
          <w:szCs w:val="20"/>
        </w:rPr>
        <w:t>Zadanie realizowane w 2020 r. przez organizację pozarządową polegało na: prowadzeniu procedury certyfikacji oraz recertyfikacji (odnowienie certyfikatu po 2 latach), sprawowaniu nadzoru merytorycznego nad placówkami posiadającymi certyfikaty, prowadzeniu konsultacji merytorycznych dotyczących zasad zdrowego i racjonalnego żywienia oraz promowania aktywności fizycznej, dla placówek opiekuńczych i edukacyjnych zainteresowanych uzyskaniem certyfikatów.</w:t>
      </w:r>
    </w:p>
    <w:p w:rsidR="00CA14AB" w:rsidRPr="00E00B35" w:rsidRDefault="00CA14AB" w:rsidP="00E00B35">
      <w:pPr>
        <w:spacing w:after="0" w:line="312" w:lineRule="auto"/>
        <w:rPr>
          <w:szCs w:val="20"/>
        </w:rPr>
      </w:pPr>
      <w:r w:rsidRPr="00E00B35">
        <w:rPr>
          <w:szCs w:val="20"/>
        </w:rPr>
        <w:t>W ramach zadania przygotowano informację na stronie internetowej: nabór do procedury otrzymania certyfikatu z zakresu promowania aktywności fizycznej oraz certyfikatu zdrowego i racjonalnego żywienia, spis placówek opiekuńczych i edukacyjnych posiadających certyfikaty oraz harmonogram działań w programie.</w:t>
      </w:r>
    </w:p>
    <w:p w:rsidR="00CA14AB" w:rsidRPr="00E00B35" w:rsidRDefault="00CA14AB" w:rsidP="00E00B35">
      <w:pPr>
        <w:spacing w:after="0" w:line="312" w:lineRule="auto"/>
        <w:rPr>
          <w:szCs w:val="20"/>
        </w:rPr>
      </w:pPr>
      <w:r w:rsidRPr="00E00B35">
        <w:rPr>
          <w:szCs w:val="20"/>
        </w:rPr>
        <w:t xml:space="preserve">W związku z sytuacją epidemiologiczną wprowadzono możliwość konsultacji ze specjalistami ds. żywienia oraz aktywności fizycznej w trybie on-line. </w:t>
      </w:r>
    </w:p>
    <w:p w:rsidR="00CA14AB" w:rsidRPr="00E00B35" w:rsidRDefault="00CA14AB" w:rsidP="00E00B35">
      <w:pPr>
        <w:spacing w:after="0" w:line="312" w:lineRule="auto"/>
        <w:rPr>
          <w:szCs w:val="20"/>
        </w:rPr>
      </w:pPr>
      <w:r w:rsidRPr="00E00B35">
        <w:rPr>
          <w:szCs w:val="20"/>
        </w:rPr>
        <w:t>W 2020 roku w procesie certyfikacji stołówek i sklepików z zakresu zdrowego żywienia: do certyfikacji zgłosiło się 21 nowych placówek edukacyjnych, specjalista ds. żywienia przeprowadził 102 konsultacje merytoryczne dla placówek opiekuńczych i edukacyjnych, przeprowadzono proces recertyfikacji dla 87 placówek.</w:t>
      </w:r>
    </w:p>
    <w:p w:rsidR="00CA14AB" w:rsidRPr="00E00B35" w:rsidRDefault="00CA14AB" w:rsidP="00E00B35">
      <w:pPr>
        <w:spacing w:after="0" w:line="312" w:lineRule="auto"/>
        <w:rPr>
          <w:szCs w:val="20"/>
        </w:rPr>
      </w:pPr>
      <w:r w:rsidRPr="00E00B35">
        <w:rPr>
          <w:szCs w:val="20"/>
        </w:rPr>
        <w:t>W 2020 roku w procesie certyfikacji placówek edukacyjnych z zakresu promowania aktywności fizycznej: do certyfikacji zgłosiło się 5 nowych placówek edukacyjnych, specjalista ds. aktywności fizycznej przeprowadził 37 konsultacji merytorycznych dla placówek edukacyjnych, przeprowadzono proces recertyfikacji dla 32 placówek.</w:t>
      </w:r>
    </w:p>
    <w:p w:rsidR="005E6C69" w:rsidRPr="00E00B35" w:rsidRDefault="005E6C69" w:rsidP="00E00B35">
      <w:pPr>
        <w:pStyle w:val="Nagwek5"/>
        <w:rPr>
          <w:szCs w:val="20"/>
        </w:rPr>
      </w:pPr>
      <w:bookmarkStart w:id="241" w:name="_Toc72352366"/>
      <w:bookmarkStart w:id="242" w:name="_Toc72352800"/>
    </w:p>
    <w:p w:rsidR="00CA14AB" w:rsidRPr="00E00B35" w:rsidRDefault="00CA14AB" w:rsidP="00E00B35">
      <w:pPr>
        <w:pStyle w:val="Nagwek5"/>
        <w:rPr>
          <w:szCs w:val="20"/>
        </w:rPr>
      </w:pPr>
      <w:r w:rsidRPr="00E00B35">
        <w:rPr>
          <w:szCs w:val="20"/>
        </w:rPr>
        <w:t>ZESPÓŁ DS. PROMOCJI ZDROWEGO ŻYWIENIA I AKTYWNOŚCI FIZYCZNEJ DZIECI I MŁODZIEŻY</w:t>
      </w:r>
      <w:bookmarkEnd w:id="241"/>
      <w:bookmarkEnd w:id="242"/>
    </w:p>
    <w:p w:rsidR="00CA14AB" w:rsidRPr="00E00B35" w:rsidRDefault="00CA14AB" w:rsidP="00E00B35">
      <w:pPr>
        <w:spacing w:after="0" w:line="312" w:lineRule="auto"/>
        <w:rPr>
          <w:szCs w:val="20"/>
        </w:rPr>
      </w:pPr>
      <w:r w:rsidRPr="00E00B35">
        <w:rPr>
          <w:szCs w:val="20"/>
        </w:rPr>
        <w:t>Przy Wydziale Zdrowia i Spraw Społecznych od grudnia 2014 r. działa Zespół ds. promocji zdrowego żywienia i aktywności fizycznej dzieci i młodzieży, w którego skład wchodzą przedstawiciele: Departamentu Spraw Społecznych Urzędu Miejskiego Wrocławia, Departamentu Edukacji Urzędu Miejskiego Wrocławia, Rady Miejskiej Wrocławia, Wrocławskiego Centrum Doskonalenia Nauczycieli, Wrocławskiego Centrum Rozwoju Społecznego oraz Rodziców.</w:t>
      </w:r>
    </w:p>
    <w:p w:rsidR="00CA14AB" w:rsidRPr="00E00B35" w:rsidRDefault="00CA14AB" w:rsidP="00E00B35">
      <w:pPr>
        <w:spacing w:after="0" w:line="312" w:lineRule="auto"/>
        <w:rPr>
          <w:szCs w:val="20"/>
        </w:rPr>
      </w:pPr>
      <w:r w:rsidRPr="00E00B35">
        <w:rPr>
          <w:szCs w:val="20"/>
        </w:rPr>
        <w:t xml:space="preserve">Zespół jest organem doradczo-opiniodawczym w zakresie realizacji zadań z zakresu promocji zdrowego żywienia oraz podejmowania nowych inicjatyw zgłaszanych przez różne środowiska, grupy społeczne oraz osoby. Inicjatywy dotyczą promowania </w:t>
      </w:r>
      <w:r w:rsidRPr="00E00B35">
        <w:rPr>
          <w:szCs w:val="20"/>
        </w:rPr>
        <w:br/>
        <w:t xml:space="preserve">w środowisku dzieci i młodzieży aktywności fizycznej, zdrowego stylu życia i racjonalnego odżywiania. </w:t>
      </w:r>
    </w:p>
    <w:p w:rsidR="00CA14AB" w:rsidRPr="00E00B35" w:rsidRDefault="00CA14AB" w:rsidP="00E00B35">
      <w:pPr>
        <w:spacing w:after="0" w:line="312" w:lineRule="auto"/>
        <w:rPr>
          <w:szCs w:val="20"/>
        </w:rPr>
      </w:pPr>
      <w:r w:rsidRPr="00E00B35">
        <w:rPr>
          <w:szCs w:val="20"/>
        </w:rPr>
        <w:t xml:space="preserve">W 2020 roku odbyły się dwa spotkania zespołu merytorycznego, na którym przedstawiono podsumowanie działań z zakresu profilaktyki nadwagi i otyłości, w tym promocji zdrowego żywienia i aktywności fizycznej u dzieci i młodzieży, realizowanych </w:t>
      </w:r>
      <w:r w:rsidRPr="00E00B35">
        <w:rPr>
          <w:szCs w:val="20"/>
        </w:rPr>
        <w:br/>
        <w:t xml:space="preserve">w 2019 r. Omówiono raport z realizacji zadania „Edukacja zdrowotna w profilaktyce nadwagi i otyłości u dzieci i młodzieży - Uczeń w formie”. Podsumowano pierwszą uroczystość przyznania „Złotych certyfikatów zdrowego i racjonalnego żywienia” dla </w:t>
      </w:r>
      <w:r w:rsidRPr="00E00B35">
        <w:rPr>
          <w:szCs w:val="20"/>
        </w:rPr>
        <w:lastRenderedPageBreak/>
        <w:t>stołówek we wrocławskich placówkach edukacyjnych. Przedstawiono działania Fundacji polskiedzieci.org w zakresie tworzenia sieci sklepików szkolnych „ZDROWIK” oraz Fundacji Medicover związane z realizacją projektu ESMS – Elektroniczny System Medycyny Szkolnej.</w:t>
      </w:r>
    </w:p>
    <w:p w:rsidR="005E6C69" w:rsidRPr="00E00B35" w:rsidRDefault="005E6C69" w:rsidP="00E00B35">
      <w:pPr>
        <w:pStyle w:val="Nagwek4"/>
        <w:spacing w:before="0" w:after="0" w:line="312" w:lineRule="auto"/>
        <w:rPr>
          <w:sz w:val="20"/>
          <w:szCs w:val="20"/>
        </w:rPr>
      </w:pPr>
    </w:p>
    <w:p w:rsidR="00CA14AB" w:rsidRPr="00E00B35" w:rsidRDefault="00CA14AB" w:rsidP="00E00B35">
      <w:pPr>
        <w:pStyle w:val="Nagwek4"/>
        <w:spacing w:before="0" w:after="0" w:line="312" w:lineRule="auto"/>
        <w:rPr>
          <w:sz w:val="20"/>
          <w:szCs w:val="20"/>
        </w:rPr>
      </w:pPr>
      <w:r w:rsidRPr="00E00B35">
        <w:rPr>
          <w:sz w:val="20"/>
          <w:szCs w:val="20"/>
        </w:rPr>
        <w:t>PROGRAMY W ZAKRESIE PROMOCJI ZDROWIA I PROFILAKTYKI CHORÓB CYWILIZACYJNYCH DLA OSÓB DOROSŁYCH</w:t>
      </w:r>
    </w:p>
    <w:p w:rsidR="00CA14AB" w:rsidRPr="00E00B35" w:rsidRDefault="00CA14AB" w:rsidP="00E00B35">
      <w:pPr>
        <w:pStyle w:val="Nagwek5"/>
        <w:rPr>
          <w:szCs w:val="20"/>
        </w:rPr>
      </w:pPr>
      <w:r w:rsidRPr="00E00B35">
        <w:rPr>
          <w:szCs w:val="20"/>
        </w:rPr>
        <w:t>EDUKACJA ZDROWOTNA KOBIET, MIESZKANEK WROCŁAWIA PN. „ENDOMETRIOZA, CHOROBA KOBIET W KAŻDYM WIEKU”</w:t>
      </w:r>
    </w:p>
    <w:p w:rsidR="00CA14AB" w:rsidRPr="00E00B35" w:rsidRDefault="00CA14AB" w:rsidP="00E00B35">
      <w:pPr>
        <w:spacing w:after="0" w:line="312" w:lineRule="auto"/>
        <w:rPr>
          <w:szCs w:val="20"/>
        </w:rPr>
      </w:pPr>
      <w:r w:rsidRPr="00E00B35">
        <w:rPr>
          <w:szCs w:val="20"/>
        </w:rPr>
        <w:t>Program był realizowany pilotażowo od 01.10.2020 do 31.12.2020 roku. W trakcie diagnozowania oraz leczenia choroby potwierdzonej histopatologicznie, kobietom z endometriozą zapewniono:</w:t>
      </w:r>
    </w:p>
    <w:p w:rsidR="00CA14AB" w:rsidRPr="00E00B35" w:rsidRDefault="00CA14AB" w:rsidP="00E00B35">
      <w:pPr>
        <w:spacing w:after="0" w:line="312" w:lineRule="auto"/>
        <w:rPr>
          <w:szCs w:val="20"/>
        </w:rPr>
      </w:pPr>
      <w:r w:rsidRPr="00E00B35">
        <w:rPr>
          <w:szCs w:val="20"/>
        </w:rPr>
        <w:t xml:space="preserve">indywidualne konsultacje specjalistyczne z: lekarzem ginekologiem onkologiem, lekarzem endokrynologiem, specjalistą leczenia bólu, dietetykiem, psychologiem i rehabilitantem; </w:t>
      </w:r>
    </w:p>
    <w:p w:rsidR="00CA14AB" w:rsidRPr="00E00B35" w:rsidRDefault="00CA14AB" w:rsidP="00E00B35">
      <w:pPr>
        <w:spacing w:after="0" w:line="312" w:lineRule="auto"/>
        <w:rPr>
          <w:szCs w:val="20"/>
        </w:rPr>
      </w:pPr>
      <w:r w:rsidRPr="00E00B35">
        <w:rPr>
          <w:szCs w:val="20"/>
        </w:rPr>
        <w:t xml:space="preserve">możliwość korzystania ze strony internetowej (informacje o endometriozie) - </w:t>
      </w:r>
      <w:hyperlink r:id="rId103" w:history="1">
        <w:r w:rsidRPr="00E00B35">
          <w:rPr>
            <w:szCs w:val="20"/>
          </w:rPr>
          <w:t>Klinika Endometriozy</w:t>
        </w:r>
      </w:hyperlink>
    </w:p>
    <w:p w:rsidR="00CA14AB" w:rsidRPr="00E00B35" w:rsidRDefault="00CA14AB" w:rsidP="00E00B35">
      <w:pPr>
        <w:spacing w:after="0" w:line="312" w:lineRule="auto"/>
        <w:rPr>
          <w:szCs w:val="20"/>
        </w:rPr>
      </w:pPr>
      <w:r w:rsidRPr="00E00B35">
        <w:rPr>
          <w:szCs w:val="20"/>
        </w:rPr>
        <w:t>interaktywne wykłady dotyczące różnych aspektów endometriozy prowadzone przez: lekarza, ginekologa onkologa, lekarza endokrynologa, specjalistę leczenia bólu, dietetyka, psychologa, rehabilitanta oraz edukatora zdrowia prokreacyjnego;</w:t>
      </w:r>
    </w:p>
    <w:p w:rsidR="00CA14AB" w:rsidRPr="00E00B35" w:rsidRDefault="00CA14AB" w:rsidP="00E00B35">
      <w:pPr>
        <w:spacing w:after="0" w:line="312" w:lineRule="auto"/>
        <w:rPr>
          <w:szCs w:val="20"/>
        </w:rPr>
      </w:pPr>
      <w:r w:rsidRPr="00E00B35">
        <w:rPr>
          <w:szCs w:val="20"/>
        </w:rPr>
        <w:t>możliwość kontaktów z ww. specjalistami na fanpage’u, facebooku.</w:t>
      </w:r>
    </w:p>
    <w:p w:rsidR="00CA14AB" w:rsidRPr="00E00B35" w:rsidRDefault="00CA14AB" w:rsidP="00E00B35">
      <w:pPr>
        <w:spacing w:after="0" w:line="312" w:lineRule="auto"/>
        <w:rPr>
          <w:szCs w:val="20"/>
        </w:rPr>
      </w:pPr>
      <w:r w:rsidRPr="00E00B35">
        <w:rPr>
          <w:szCs w:val="20"/>
        </w:rPr>
        <w:t>Z indywidualnych konsultacji specjalistycznych skorzystało 47 kobiet, z edukacji zdrowotnej ok. 200 kobiet.</w:t>
      </w:r>
    </w:p>
    <w:p w:rsidR="005E6C69" w:rsidRPr="00E00B35" w:rsidRDefault="005E6C69" w:rsidP="00E00B35">
      <w:pPr>
        <w:pStyle w:val="Nagwek5"/>
        <w:rPr>
          <w:szCs w:val="20"/>
        </w:rPr>
      </w:pPr>
      <w:bookmarkStart w:id="243" w:name="_Toc72352367"/>
      <w:bookmarkStart w:id="244" w:name="_Toc72352801"/>
    </w:p>
    <w:p w:rsidR="00CA14AB" w:rsidRPr="00E00B35" w:rsidRDefault="00CA14AB" w:rsidP="00E00B35">
      <w:pPr>
        <w:pStyle w:val="Nagwek5"/>
        <w:rPr>
          <w:szCs w:val="20"/>
        </w:rPr>
      </w:pPr>
      <w:r w:rsidRPr="00E00B35">
        <w:rPr>
          <w:szCs w:val="20"/>
        </w:rPr>
        <w:t>PROGRAM EDUKACJI ZDROWOTNEJ KOBIET W OKRESIE MENOPAUZY</w:t>
      </w:r>
      <w:bookmarkEnd w:id="243"/>
      <w:bookmarkEnd w:id="244"/>
    </w:p>
    <w:p w:rsidR="00CA14AB" w:rsidRPr="00E00B35" w:rsidRDefault="00CA14AB" w:rsidP="00E00B35">
      <w:pPr>
        <w:spacing w:after="0" w:line="312" w:lineRule="auto"/>
        <w:rPr>
          <w:szCs w:val="20"/>
        </w:rPr>
      </w:pPr>
      <w:r w:rsidRPr="00E00B35">
        <w:rPr>
          <w:szCs w:val="20"/>
        </w:rPr>
        <w:t xml:space="preserve">Pilotaż Programu ukierunkowany był na wstępne rozpoznanie problemów zdrowotnych kobiet w okresie menopauzy poprzez prowadzenie konsultacji zdrowotnych przez lekarza endokrynologa/ginekologa, położną i psychologa. </w:t>
      </w:r>
    </w:p>
    <w:p w:rsidR="00CA14AB" w:rsidRPr="00E00B35" w:rsidRDefault="00CA14AB" w:rsidP="00E00B35">
      <w:pPr>
        <w:spacing w:after="0" w:line="312" w:lineRule="auto"/>
        <w:rPr>
          <w:szCs w:val="20"/>
        </w:rPr>
      </w:pPr>
      <w:r w:rsidRPr="00E00B35">
        <w:rPr>
          <w:szCs w:val="20"/>
        </w:rPr>
        <w:t>Kobiety mieszkanki Wrocławia, u których występują problemy w okresie premenopauzalnym i menopauzalnym w sferze fizycznej i psychicznej mogły skorzystać z konsultacji specjalistów.</w:t>
      </w:r>
    </w:p>
    <w:p w:rsidR="00CA14AB" w:rsidRPr="00E00B35" w:rsidRDefault="00CA14AB" w:rsidP="00E00B35">
      <w:pPr>
        <w:spacing w:after="0" w:line="312" w:lineRule="auto"/>
        <w:rPr>
          <w:szCs w:val="20"/>
        </w:rPr>
      </w:pPr>
      <w:r w:rsidRPr="00E00B35">
        <w:rPr>
          <w:szCs w:val="20"/>
        </w:rPr>
        <w:t>Cele Programu edukacyjnego: zwiększenie poziomu wiedzy i świadomości kobiet dotyczącej okresu i przebiegu menopauzy jako stanu fizjologicznego, zwiększenie poczucia bezpieczeństwa poprzez obniżenie lęku związanego z okresem premenopauzalnym i menopauzalnym, poprawa zdrowia, jakości życia kobiet oraz wzmocnienie poczucia własnej wartości w okresie menopauzy, przeciwdziałanie problemom w obszarze zdrowia psychicznego kobiet oraz wstępna ocena zdrowia kobiet podczas przebiegu menopauzy pod względem psychologicznym, klinicznym i diagnostycznym.</w:t>
      </w:r>
    </w:p>
    <w:p w:rsidR="00CA14AB" w:rsidRPr="00E00B35" w:rsidRDefault="00CA14AB" w:rsidP="00E00B35">
      <w:pPr>
        <w:spacing w:after="0" w:line="312" w:lineRule="auto"/>
        <w:rPr>
          <w:szCs w:val="20"/>
        </w:rPr>
      </w:pPr>
      <w:r w:rsidRPr="00E00B35">
        <w:rPr>
          <w:szCs w:val="20"/>
        </w:rPr>
        <w:t>W programie odbyło się 145 konsultacji, w tym 89 kobiet skorzystało z konsultacji położnej, 33 psychologa, 28 lekarza endokrynologa. Z programu skorzystało łącznie 89 kobiet.</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ROZSZERZENIE DOSTĘPU DO REHABILITACJI SERCOWO-NACZYNIOWEJ W RAMACH WTÓRNEJ PREWENCJI CHORÓB SERCOWO-NACZYNIOWYCH</w:t>
      </w:r>
    </w:p>
    <w:p w:rsidR="00CA14AB" w:rsidRPr="00E00B35" w:rsidRDefault="00CA14AB" w:rsidP="00E00B35">
      <w:pPr>
        <w:spacing w:after="0" w:line="312" w:lineRule="auto"/>
        <w:rPr>
          <w:szCs w:val="20"/>
        </w:rPr>
      </w:pPr>
      <w:r w:rsidRPr="00E00B35">
        <w:rPr>
          <w:szCs w:val="20"/>
        </w:rPr>
        <w:t>W 2020 r. program realizowany był przez Centrum Kardiologiczne „PRO CORDE”.</w:t>
      </w:r>
    </w:p>
    <w:p w:rsidR="00CA14AB" w:rsidRPr="00E00B35" w:rsidRDefault="00CA14AB" w:rsidP="00E00B35">
      <w:pPr>
        <w:spacing w:after="0" w:line="312" w:lineRule="auto"/>
        <w:rPr>
          <w:szCs w:val="20"/>
        </w:rPr>
      </w:pPr>
      <w:r w:rsidRPr="00E00B35">
        <w:rPr>
          <w:szCs w:val="20"/>
        </w:rPr>
        <w:t>Programem objęte były osoby pełnoletnie, mieszkańcy Wrocławia, po przebytym zawale mięśnia sercowego lub po zabiegach wykonanych na naczyniach wieńcowych, jednak nie później niż w okresie do 12 miesięcy od zaistniałego incydentu.</w:t>
      </w:r>
    </w:p>
    <w:p w:rsidR="00CA14AB" w:rsidRPr="00E00B35" w:rsidRDefault="00CA14AB" w:rsidP="00E00B35">
      <w:pPr>
        <w:spacing w:after="0" w:line="312" w:lineRule="auto"/>
        <w:rPr>
          <w:szCs w:val="20"/>
        </w:rPr>
      </w:pPr>
      <w:r w:rsidRPr="00E00B35">
        <w:rPr>
          <w:szCs w:val="20"/>
        </w:rPr>
        <w:t>W ramach programu prowadzone były zajęcia ruchowe połączone z instruktażem do samodzielnego wykonywania ćwiczeń w warunkach domowych oraz specjalistyczne konsultacje lekarskie i badania EKG wysiłkowe.</w:t>
      </w:r>
    </w:p>
    <w:p w:rsidR="00CA14AB" w:rsidRPr="00E00B35" w:rsidRDefault="00CA14AB" w:rsidP="00E00B35">
      <w:pPr>
        <w:spacing w:after="0" w:line="312" w:lineRule="auto"/>
        <w:rPr>
          <w:szCs w:val="20"/>
        </w:rPr>
      </w:pPr>
      <w:r w:rsidRPr="00E00B35">
        <w:rPr>
          <w:szCs w:val="20"/>
        </w:rPr>
        <w:t xml:space="preserve">Pacjenci uczestniczyli w zajęciach grupowych i indywidualnych z dietetykiem oraz psychologiem. </w:t>
      </w:r>
    </w:p>
    <w:p w:rsidR="00CA14AB" w:rsidRPr="00E00B35" w:rsidRDefault="00CA14AB" w:rsidP="00E00B35">
      <w:pPr>
        <w:spacing w:after="0" w:line="312" w:lineRule="auto"/>
        <w:rPr>
          <w:szCs w:val="20"/>
        </w:rPr>
      </w:pPr>
      <w:r w:rsidRPr="00E00B35">
        <w:rPr>
          <w:szCs w:val="20"/>
        </w:rPr>
        <w:t>Na podstawie oceny rezerwy wieńcowej, podczas kontrolnej próby wysiłkowej na bieżni ruchomej u uczestników programu stwierdzono znaczny wzrost wydolności fizycznej.</w:t>
      </w:r>
    </w:p>
    <w:p w:rsidR="00CA14AB" w:rsidRPr="00E00B35" w:rsidRDefault="00CA14AB" w:rsidP="00E00B35">
      <w:pPr>
        <w:spacing w:after="0" w:line="312" w:lineRule="auto"/>
        <w:rPr>
          <w:szCs w:val="20"/>
        </w:rPr>
      </w:pPr>
      <w:r w:rsidRPr="00E00B35">
        <w:rPr>
          <w:szCs w:val="20"/>
        </w:rPr>
        <w:t>W 2020 r. w programie wzięły udział 234 osoby.</w:t>
      </w:r>
    </w:p>
    <w:p w:rsidR="00CA14AB" w:rsidRPr="00E00B35" w:rsidRDefault="00CA14AB" w:rsidP="00E00B35">
      <w:pPr>
        <w:spacing w:after="0" w:line="312" w:lineRule="auto"/>
        <w:rPr>
          <w:szCs w:val="20"/>
        </w:rPr>
      </w:pPr>
      <w:r w:rsidRPr="00E00B35">
        <w:rPr>
          <w:szCs w:val="20"/>
        </w:rPr>
        <w:t xml:space="preserve">Program z powodu ogłoszenia stanu epidemii na terenie kraju w okresie marzec-maj 2020 r. był zawieszony. </w:t>
      </w:r>
    </w:p>
    <w:p w:rsidR="00CA14AB" w:rsidRPr="00E00B35" w:rsidRDefault="00CA14AB" w:rsidP="00E00B35">
      <w:pPr>
        <w:spacing w:after="0" w:line="312" w:lineRule="auto"/>
        <w:rPr>
          <w:szCs w:val="20"/>
        </w:rPr>
      </w:pPr>
      <w:r w:rsidRPr="00E00B35">
        <w:rPr>
          <w:szCs w:val="20"/>
        </w:rPr>
        <w:t>PROGRAM PROFILAKTYKI CUKRZYCY I ZABURZEŃ METABOLICZNYCH DLA DZIECI, MŁODZIEŻY I DOROSŁYCH</w:t>
      </w:r>
    </w:p>
    <w:p w:rsidR="00CA14AB" w:rsidRPr="00E00B35" w:rsidRDefault="00CA14AB" w:rsidP="00E00B35">
      <w:pPr>
        <w:spacing w:after="0" w:line="312" w:lineRule="auto"/>
        <w:rPr>
          <w:szCs w:val="20"/>
        </w:rPr>
      </w:pPr>
      <w:r w:rsidRPr="00E00B35">
        <w:rPr>
          <w:szCs w:val="20"/>
        </w:rPr>
        <w:t>Celem programu jest zwiększenie poziomu świadomości zdrowotnej mieszkańców Wrocławia o zagrożeniu cukrzycą oraz poprawa jakości życia chorych na cukrzycę i przeciwdziałanie jej powikłaniom poprzez: działania informacyjno-edukacyjne i propagowanie idei pomocy osobom chorym na cukrzycę, kształtowanie u osób chorych na cukrzycę umiejętności obserwowania objawów choroby i właściwej ich interpretacji, naukę samokontroli i samoobserwacji w cukrzycy, motywowanie do aktywnego i zdrowego stylu życia, w tym pracy zawodowej, ruchu i wypoczynku, poprawę sprawności fizycznej i aktywny udział chorych na cukrzycę w zajęciach ruchowych, zapobieganie hiper i hipoglikemii, utrzymanie dobrego samopoczucia psychicznego oraz uczenie chorych na cukrzycę sposobów radzenia sobie ze stresem oraz kształtowanie postawy odpowiedzialności za zdrowie własne.</w:t>
      </w:r>
    </w:p>
    <w:p w:rsidR="00CA14AB" w:rsidRPr="00E00B35" w:rsidRDefault="00CA14AB" w:rsidP="00E00B35">
      <w:pPr>
        <w:spacing w:after="0" w:line="312" w:lineRule="auto"/>
        <w:rPr>
          <w:szCs w:val="20"/>
        </w:rPr>
      </w:pPr>
      <w:r w:rsidRPr="00E00B35">
        <w:rPr>
          <w:szCs w:val="20"/>
        </w:rPr>
        <w:t>W 2020 r. program realizowany był przez Wrocławskie Centrum Zdrowia SP ZOZ.</w:t>
      </w:r>
    </w:p>
    <w:p w:rsidR="00CA14AB" w:rsidRPr="00E00B35" w:rsidRDefault="00CA14AB" w:rsidP="00E00B35">
      <w:pPr>
        <w:spacing w:after="0" w:line="312" w:lineRule="auto"/>
        <w:rPr>
          <w:szCs w:val="20"/>
        </w:rPr>
      </w:pPr>
      <w:r w:rsidRPr="00E00B35">
        <w:rPr>
          <w:szCs w:val="20"/>
        </w:rPr>
        <w:t xml:space="preserve">W 10 Punktach Edukacyjnych zlokalizowanych w podmiotach medycznych na terenie Wrocławia, pielęgniarki prowadziły indywidualną edukację osób chorych na cukrzycę, zagrożonych chorobą i innymi zaburzeniami metabolicznymi. W 2020 r. z porad edukacyjnych skorzystały 622 osoby. </w:t>
      </w:r>
    </w:p>
    <w:p w:rsidR="00CA14AB" w:rsidRPr="00E00B35" w:rsidRDefault="00CA14AB" w:rsidP="00E00B35">
      <w:pPr>
        <w:spacing w:after="0" w:line="312" w:lineRule="auto"/>
        <w:rPr>
          <w:szCs w:val="20"/>
        </w:rPr>
      </w:pPr>
      <w:r w:rsidRPr="00E00B35">
        <w:rPr>
          <w:szCs w:val="20"/>
        </w:rPr>
        <w:t>Ogółem udzielono 764 porady edukacyjne, w tym 469 po raz pierwszy.</w:t>
      </w:r>
    </w:p>
    <w:p w:rsidR="00CA14AB" w:rsidRPr="00E00B35" w:rsidRDefault="00CA14AB" w:rsidP="00E00B35">
      <w:pPr>
        <w:spacing w:after="0" w:line="312" w:lineRule="auto"/>
        <w:rPr>
          <w:szCs w:val="20"/>
        </w:rPr>
      </w:pPr>
      <w:r w:rsidRPr="00E00B35">
        <w:rPr>
          <w:szCs w:val="20"/>
        </w:rPr>
        <w:t>Porad dietetycznych udzielono 75 osobom.</w:t>
      </w:r>
    </w:p>
    <w:p w:rsidR="00CA14AB" w:rsidRPr="00E00B35" w:rsidRDefault="00CA14AB" w:rsidP="00E00B35">
      <w:pPr>
        <w:spacing w:after="0" w:line="312" w:lineRule="auto"/>
        <w:rPr>
          <w:szCs w:val="20"/>
        </w:rPr>
      </w:pPr>
      <w:r w:rsidRPr="00E00B35">
        <w:rPr>
          <w:szCs w:val="20"/>
        </w:rPr>
        <w:t>Ze względu na ogłoszony stan pandemii zawieszone zostały szkolenia dla personelu medycznego w 2020 r.</w:t>
      </w:r>
    </w:p>
    <w:p w:rsidR="00CA14AB" w:rsidRPr="00E00B35" w:rsidRDefault="00CA14AB" w:rsidP="00E00B35">
      <w:pPr>
        <w:spacing w:after="0" w:line="312" w:lineRule="auto"/>
        <w:rPr>
          <w:szCs w:val="20"/>
        </w:rPr>
      </w:pPr>
      <w:r w:rsidRPr="00E00B35">
        <w:rPr>
          <w:szCs w:val="20"/>
        </w:rPr>
        <w:t xml:space="preserve">W ramach programu przeprowadzono w ograniczonym zakresie szkolenia nauczycieli, które dotyczyły między innymi opieki, żywienia oraz postępowania z dzieckiem chorym na cukrzycę. W szkoleniach wzięły udział łącznie 73 osoby, w tym: </w:t>
      </w:r>
    </w:p>
    <w:p w:rsidR="00CA14AB" w:rsidRPr="00E00B35" w:rsidRDefault="00CA14AB" w:rsidP="00BC64AB">
      <w:pPr>
        <w:pStyle w:val="Akapitzlist"/>
        <w:numPr>
          <w:ilvl w:val="0"/>
          <w:numId w:val="170"/>
        </w:numPr>
        <w:spacing w:after="0" w:line="312" w:lineRule="auto"/>
        <w:rPr>
          <w:szCs w:val="20"/>
        </w:rPr>
      </w:pPr>
      <w:r w:rsidRPr="00E00B35">
        <w:rPr>
          <w:szCs w:val="20"/>
        </w:rPr>
        <w:lastRenderedPageBreak/>
        <w:t>w Fundacji Aleja, ul. Ojców Oblatów 1, 54-239 Wrocław – w szkoleniach uczestniczyło 5 nauczycieli,</w:t>
      </w:r>
    </w:p>
    <w:p w:rsidR="00CA14AB" w:rsidRPr="00E00B35" w:rsidRDefault="00CA14AB" w:rsidP="00BC64AB">
      <w:pPr>
        <w:pStyle w:val="Akapitzlist"/>
        <w:numPr>
          <w:ilvl w:val="0"/>
          <w:numId w:val="170"/>
        </w:numPr>
        <w:spacing w:after="0" w:line="312" w:lineRule="auto"/>
        <w:rPr>
          <w:szCs w:val="20"/>
        </w:rPr>
      </w:pPr>
      <w:r w:rsidRPr="00E00B35">
        <w:rPr>
          <w:szCs w:val="20"/>
        </w:rPr>
        <w:t>w Przedszkolu nr 61, ul. Gajowicka 199, 53- 150 Wrocław – w szkoleniach uczestniczyło 18 nauczycieli,</w:t>
      </w:r>
    </w:p>
    <w:p w:rsidR="00CA14AB" w:rsidRPr="00E00B35" w:rsidRDefault="00CA14AB" w:rsidP="00BC64AB">
      <w:pPr>
        <w:pStyle w:val="Akapitzlist"/>
        <w:numPr>
          <w:ilvl w:val="0"/>
          <w:numId w:val="170"/>
        </w:numPr>
        <w:spacing w:after="0" w:line="312" w:lineRule="auto"/>
        <w:rPr>
          <w:szCs w:val="20"/>
        </w:rPr>
      </w:pPr>
      <w:r w:rsidRPr="00E00B35">
        <w:rPr>
          <w:szCs w:val="20"/>
        </w:rPr>
        <w:t>w Przedszkolu nr 119 Zielona Łąka, ul. Łódzka 23, 50-521 Wrocław – w szkoleniach uczestniczyło 10 nauczycieli,</w:t>
      </w:r>
    </w:p>
    <w:p w:rsidR="00CA14AB" w:rsidRPr="00E00B35" w:rsidRDefault="00CA14AB" w:rsidP="00BC64AB">
      <w:pPr>
        <w:pStyle w:val="Akapitzlist"/>
        <w:numPr>
          <w:ilvl w:val="0"/>
          <w:numId w:val="170"/>
        </w:numPr>
        <w:spacing w:after="0" w:line="312" w:lineRule="auto"/>
        <w:rPr>
          <w:szCs w:val="20"/>
        </w:rPr>
      </w:pPr>
      <w:r w:rsidRPr="00E00B35">
        <w:rPr>
          <w:szCs w:val="20"/>
        </w:rPr>
        <w:t>w Szkole Podstawowej nr 17, ul. Wieczysta 105, 50-550 Wrocław – w szkoleniach uczestniczyło 10 nauczycieli,</w:t>
      </w:r>
    </w:p>
    <w:p w:rsidR="00CA14AB" w:rsidRPr="00E00B35" w:rsidRDefault="00CA14AB" w:rsidP="00BC64AB">
      <w:pPr>
        <w:pStyle w:val="Akapitzlist"/>
        <w:numPr>
          <w:ilvl w:val="0"/>
          <w:numId w:val="170"/>
        </w:numPr>
        <w:spacing w:after="0" w:line="312" w:lineRule="auto"/>
        <w:rPr>
          <w:szCs w:val="20"/>
        </w:rPr>
      </w:pPr>
      <w:r w:rsidRPr="00E00B35">
        <w:rPr>
          <w:szCs w:val="20"/>
        </w:rPr>
        <w:t>w Szkole Podstawowej nr 109, ul. Inżynierska 54, 53-230 Wrocław – w szkoleniach uczestniczyło 21 nauczycieli,</w:t>
      </w:r>
    </w:p>
    <w:p w:rsidR="00CA14AB" w:rsidRPr="00E00B35" w:rsidRDefault="00CA14AB" w:rsidP="00BC64AB">
      <w:pPr>
        <w:pStyle w:val="Akapitzlist"/>
        <w:numPr>
          <w:ilvl w:val="0"/>
          <w:numId w:val="170"/>
        </w:numPr>
        <w:spacing w:after="0" w:line="312" w:lineRule="auto"/>
        <w:rPr>
          <w:szCs w:val="20"/>
        </w:rPr>
      </w:pPr>
      <w:r w:rsidRPr="00E00B35">
        <w:rPr>
          <w:szCs w:val="20"/>
        </w:rPr>
        <w:t>w Zespole Szkół Salezjańskich Don Bosco, ul. Świętokrzyska 45-55, 50-357 Wrocław – w szkoleniach uczestniczyło 11 nauczycieli.</w:t>
      </w:r>
    </w:p>
    <w:p w:rsidR="00CA14AB" w:rsidRPr="00E00B35" w:rsidRDefault="00CA14AB" w:rsidP="00BC64AB">
      <w:pPr>
        <w:pStyle w:val="Akapitzlist"/>
        <w:numPr>
          <w:ilvl w:val="0"/>
          <w:numId w:val="170"/>
        </w:numPr>
        <w:spacing w:after="0" w:line="312" w:lineRule="auto"/>
        <w:rPr>
          <w:szCs w:val="20"/>
        </w:rPr>
      </w:pPr>
      <w:r w:rsidRPr="00E00B35">
        <w:rPr>
          <w:szCs w:val="20"/>
        </w:rPr>
        <w:t>W 2020 r. prowadzono również w ograniczonym zakresie szkolenia dla uczniów wrocławskich placówek oświatowych z zakresu funkcjonowania w życiu codziennym ich rówieśników z cukrzycą typu 1 oraz udzielania pomocy w przypadku stanu niedocukrzenia. W szkoleniach wzięło udział 43 uczniów, w tym:</w:t>
      </w:r>
    </w:p>
    <w:p w:rsidR="00CA14AB" w:rsidRPr="00E00B35" w:rsidRDefault="00CA14AB" w:rsidP="00BC64AB">
      <w:pPr>
        <w:pStyle w:val="Akapitzlist"/>
        <w:numPr>
          <w:ilvl w:val="0"/>
          <w:numId w:val="170"/>
        </w:numPr>
        <w:spacing w:after="0" w:line="312" w:lineRule="auto"/>
        <w:rPr>
          <w:szCs w:val="20"/>
        </w:rPr>
      </w:pPr>
      <w:r w:rsidRPr="00E00B35">
        <w:rPr>
          <w:szCs w:val="20"/>
        </w:rPr>
        <w:t>w Szkole Podstawowej nr 17, ul. Wieczysta 105, 50-550 Wrocław – w szkoleniach uczestniczyło 22 uczniów,</w:t>
      </w:r>
    </w:p>
    <w:p w:rsidR="00CA14AB" w:rsidRPr="00E00B35" w:rsidRDefault="00CA14AB" w:rsidP="00BC64AB">
      <w:pPr>
        <w:pStyle w:val="Akapitzlist"/>
        <w:numPr>
          <w:ilvl w:val="0"/>
          <w:numId w:val="170"/>
        </w:numPr>
        <w:spacing w:after="0" w:line="312" w:lineRule="auto"/>
        <w:rPr>
          <w:szCs w:val="20"/>
        </w:rPr>
      </w:pPr>
      <w:r w:rsidRPr="00E00B35">
        <w:rPr>
          <w:szCs w:val="20"/>
        </w:rPr>
        <w:t>w Szkole Podstawowej nr 37, ul. Sarbinowska 10, 54-320 Wrocław– w szkoleniach uczestniczyło 21 uczniów.</w:t>
      </w:r>
    </w:p>
    <w:p w:rsidR="005E6C69" w:rsidRPr="00E00B35" w:rsidRDefault="005E6C69" w:rsidP="00E00B35">
      <w:pPr>
        <w:pStyle w:val="Nagwek5"/>
        <w:rPr>
          <w:szCs w:val="20"/>
        </w:rPr>
      </w:pPr>
      <w:bookmarkStart w:id="245" w:name="_Toc72352368"/>
      <w:bookmarkStart w:id="246" w:name="_Toc72352802"/>
    </w:p>
    <w:p w:rsidR="00CA14AB" w:rsidRPr="00E00B35" w:rsidRDefault="00CA14AB" w:rsidP="00E00B35">
      <w:pPr>
        <w:pStyle w:val="Nagwek5"/>
        <w:rPr>
          <w:szCs w:val="20"/>
        </w:rPr>
      </w:pPr>
      <w:r w:rsidRPr="00E00B35">
        <w:rPr>
          <w:szCs w:val="20"/>
        </w:rPr>
        <w:t>PROGRAM PROFILAKTYKI POWIKŁAŃ CUKRZYCY „STOPA - CUKRZYCOWA”</w:t>
      </w:r>
      <w:bookmarkEnd w:id="245"/>
      <w:bookmarkEnd w:id="246"/>
      <w:r w:rsidRPr="00E00B35">
        <w:rPr>
          <w:szCs w:val="20"/>
        </w:rPr>
        <w:t xml:space="preserve"> </w:t>
      </w:r>
    </w:p>
    <w:p w:rsidR="00CA14AB" w:rsidRPr="00E00B35" w:rsidRDefault="00CA14AB" w:rsidP="00E00B35">
      <w:pPr>
        <w:spacing w:after="0" w:line="312" w:lineRule="auto"/>
        <w:rPr>
          <w:szCs w:val="20"/>
        </w:rPr>
      </w:pPr>
      <w:r w:rsidRPr="00E00B35">
        <w:rPr>
          <w:szCs w:val="20"/>
        </w:rPr>
        <w:t>Celem programu jest ograniczenie występowania powikłań u chorych na cukrzycę z rozpoznanym zespołem stopy cukrzycowej oraz zmniejszenie liczby osób niepełnosprawnych z powodu amputacji stopy, poprzez: podnoszenie poziomu wiedzy i umiejętności osób chorych na cukrzycę dotyczących zasad pielęgnacji ciała ze szczególnym uwzględnieniem stóp, wczesną, kompleksową ocenę zagrożenia oraz zabezpieczenie stóp specjalnym obuwiem ochronnym, indywidualnie dobranym dla każdego pacjenta.</w:t>
      </w:r>
    </w:p>
    <w:p w:rsidR="00CA14AB" w:rsidRPr="00E00B35" w:rsidRDefault="00CA14AB" w:rsidP="00E00B35">
      <w:pPr>
        <w:spacing w:after="0" w:line="312" w:lineRule="auto"/>
        <w:rPr>
          <w:szCs w:val="20"/>
        </w:rPr>
      </w:pPr>
      <w:r w:rsidRPr="00E00B35">
        <w:rPr>
          <w:szCs w:val="20"/>
        </w:rPr>
        <w:t>W 2020 r. program realizowany był przez Centrum Medyczne „Dobrzyńska”, które posiada tzw. referencyjny gabinet stopy cukrzycowej.</w:t>
      </w:r>
    </w:p>
    <w:p w:rsidR="00CA14AB" w:rsidRPr="00E00B35" w:rsidRDefault="00CA14AB" w:rsidP="00E00B35">
      <w:pPr>
        <w:spacing w:after="0" w:line="312" w:lineRule="auto"/>
        <w:rPr>
          <w:szCs w:val="20"/>
        </w:rPr>
      </w:pPr>
      <w:r w:rsidRPr="00E00B35">
        <w:rPr>
          <w:szCs w:val="20"/>
        </w:rPr>
        <w:t xml:space="preserve">W programie prowadzona jest opieka nad pacjentem z zespołem stopy cukrzycowej, </w:t>
      </w:r>
      <w:r w:rsidRPr="00E00B35">
        <w:rPr>
          <w:szCs w:val="20"/>
        </w:rPr>
        <w:br/>
        <w:t xml:space="preserve">w tym indywidualne badania oceny stanu ukrwienia stopy oraz edukacja zdrowotna. </w:t>
      </w:r>
      <w:r w:rsidRPr="00E00B35">
        <w:rPr>
          <w:szCs w:val="20"/>
        </w:rPr>
        <w:br/>
        <w:t>Na podstawie wyniku badania pedobarograficznego możliwy jest indywidualny dobór profilaktycznych wkładek do obuwia oraz dobór obuwia ortopedycznego. Działania realizowane w ramach programu są komplementarne do świadczeń zdrowotnych, finansowanych ze środków NFZ. W 2020 r. programem objęto 599 osób.</w:t>
      </w:r>
    </w:p>
    <w:p w:rsidR="00CA14AB" w:rsidRPr="00E00B35" w:rsidRDefault="00CA14AB" w:rsidP="00E00B35">
      <w:pPr>
        <w:spacing w:after="0" w:line="312" w:lineRule="auto"/>
        <w:rPr>
          <w:szCs w:val="20"/>
        </w:rPr>
      </w:pPr>
      <w:r w:rsidRPr="00E00B35">
        <w:rPr>
          <w:szCs w:val="20"/>
        </w:rPr>
        <w:t>Z powodu ogłoszenia stanu epidemii na terenie kraju założone w programie rezultaty nie zostały w całości osiągnięte.</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PROGRAM EDUKACJI ZDROWOTNEJ I WSPIERANIA OSÓB CHORYCH NA CUKRZYCĘ ORAZ ICH RODZIN/OPIEKUNÓW </w:t>
      </w:r>
    </w:p>
    <w:p w:rsidR="00CA14AB" w:rsidRPr="00E00B35" w:rsidRDefault="00CA14AB" w:rsidP="00E00B35">
      <w:pPr>
        <w:spacing w:after="0" w:line="312" w:lineRule="auto"/>
        <w:rPr>
          <w:szCs w:val="20"/>
        </w:rPr>
      </w:pPr>
      <w:r w:rsidRPr="00E00B35">
        <w:rPr>
          <w:szCs w:val="20"/>
        </w:rPr>
        <w:t xml:space="preserve">Celem programu jest poprawa jakości życia osób chorych na cukrzycę oraz ich rodzin/opiekunów poprzez działania edukacyjne, informacyjne i wspierające, w tym podnoszenie poziomu wiedzy dotyczącej samoopieki, samoobserwacji </w:t>
      </w:r>
      <w:r w:rsidRPr="00E00B35">
        <w:rPr>
          <w:szCs w:val="20"/>
        </w:rPr>
        <w:br/>
        <w:t>i samopielęgnacji osób chorych na cukrzycę, udzielanie wsparcia osobom chorym na cukrzycę i ich rodzinom/opiekunom, zapobiegającego kryzysowi psychicznemu, kształtowanie postaw odpowiedzialności za własne zdrowie oraz zapobieganie wykluczeniu społecznemu osób chorych na cukrzycę.</w:t>
      </w:r>
    </w:p>
    <w:p w:rsidR="00CA14AB" w:rsidRPr="00E00B35" w:rsidRDefault="00CA14AB" w:rsidP="00E00B35">
      <w:pPr>
        <w:spacing w:after="0" w:line="312" w:lineRule="auto"/>
        <w:rPr>
          <w:szCs w:val="20"/>
        </w:rPr>
      </w:pPr>
      <w:r w:rsidRPr="00E00B35">
        <w:rPr>
          <w:szCs w:val="20"/>
        </w:rPr>
        <w:t>W 2020 r. program realizowany był przez Polskie Stowarzyszenie Diabetyków Koło Wrocław – Centrum.</w:t>
      </w:r>
    </w:p>
    <w:p w:rsidR="00CA14AB" w:rsidRPr="00E00B35" w:rsidRDefault="00CA14AB" w:rsidP="00E00B35">
      <w:pPr>
        <w:spacing w:after="0" w:line="312" w:lineRule="auto"/>
        <w:rPr>
          <w:szCs w:val="20"/>
        </w:rPr>
      </w:pPr>
      <w:r w:rsidRPr="00E00B35">
        <w:rPr>
          <w:szCs w:val="20"/>
        </w:rPr>
        <w:t>Raz w miesiącu prowadzone były grupowe zajęcia edukacyjne dla osób chorych na cukrzycę, ich rodzin i opiekunów. W zajęciach wzięło udział 151 osób.</w:t>
      </w:r>
    </w:p>
    <w:p w:rsidR="00CA14AB" w:rsidRPr="00E00B35" w:rsidRDefault="00CA14AB" w:rsidP="00E00B35">
      <w:pPr>
        <w:spacing w:after="0" w:line="312" w:lineRule="auto"/>
        <w:rPr>
          <w:szCs w:val="20"/>
        </w:rPr>
      </w:pPr>
      <w:r w:rsidRPr="00E00B35">
        <w:rPr>
          <w:szCs w:val="20"/>
        </w:rPr>
        <w:t>Stowarzyszenie prowadzi Centrum Edukacji Diabetyków „Biskupia”, w którym udzielono 951 porad edukacyjnych, z których skorzystało 907 osób.</w:t>
      </w:r>
    </w:p>
    <w:p w:rsidR="00CA14AB" w:rsidRPr="00E00B35" w:rsidRDefault="00CA14AB" w:rsidP="00E00B35">
      <w:pPr>
        <w:spacing w:after="0" w:line="312" w:lineRule="auto"/>
        <w:rPr>
          <w:szCs w:val="20"/>
        </w:rPr>
      </w:pPr>
      <w:r w:rsidRPr="00E00B35">
        <w:rPr>
          <w:szCs w:val="20"/>
        </w:rPr>
        <w:t>Z powodu pandemii realizacja warsztatów i wykładów pn. „Wrocławska Akademia Cukrzycowa” dla osób chorych na cukrzycę w 2020 r. została zawieszona.</w:t>
      </w:r>
    </w:p>
    <w:p w:rsidR="00CA14AB" w:rsidRPr="00E00B35" w:rsidRDefault="00CA14AB" w:rsidP="00E00B35">
      <w:pPr>
        <w:spacing w:after="0" w:line="312" w:lineRule="auto"/>
        <w:rPr>
          <w:szCs w:val="20"/>
        </w:rPr>
      </w:pPr>
      <w:r w:rsidRPr="00E00B35">
        <w:rPr>
          <w:szCs w:val="20"/>
        </w:rPr>
        <w:t>Przeprowadzono jedną edycję warsztatów zakupowo-żywieniowych z dietetykiem. Osoby chore na cukrzycę robiły zakupy spożywcze razem z dietetykiem ucząc się jakie produkty mogą kupować. Z tej formy zajęć skorzystało 39 osób.</w:t>
      </w:r>
    </w:p>
    <w:p w:rsidR="00CA14AB" w:rsidRPr="00E00B35" w:rsidRDefault="00CA14AB" w:rsidP="00E00B35">
      <w:pPr>
        <w:spacing w:after="0" w:line="312" w:lineRule="auto"/>
        <w:rPr>
          <w:szCs w:val="20"/>
        </w:rPr>
      </w:pPr>
      <w:r w:rsidRPr="00E00B35">
        <w:rPr>
          <w:szCs w:val="20"/>
        </w:rPr>
        <w:t>W ramach programu powadzone były indywidualne warsztaty edukacyjne z podologiem. Podczas warsztatów osoby z cukrzycą uczyły się w jaki sposób dbać o stopy, jak prawidłowo obcinać paznokcie z wykorzystaniem odpowiednich narzędzi, jak postępować w warunkach domowych w przypadku wrastających paznokci i jakie preparaty są wskazane w codziennej pielęgnacji stóp.</w:t>
      </w:r>
    </w:p>
    <w:p w:rsidR="00CA14AB" w:rsidRPr="00E00B35" w:rsidRDefault="00CA14AB" w:rsidP="00E00B35">
      <w:pPr>
        <w:spacing w:after="0" w:line="312" w:lineRule="auto"/>
        <w:rPr>
          <w:szCs w:val="20"/>
        </w:rPr>
      </w:pPr>
      <w:r w:rsidRPr="00E00B35">
        <w:rPr>
          <w:szCs w:val="20"/>
        </w:rPr>
        <w:t>Łączna liczba osób, które skorzystały z tych warsztatów to 166 osób.</w:t>
      </w:r>
    </w:p>
    <w:p w:rsidR="00CA14AB" w:rsidRPr="00E00B35" w:rsidRDefault="00CA14AB" w:rsidP="00E00B35">
      <w:pPr>
        <w:spacing w:after="0" w:line="312" w:lineRule="auto"/>
        <w:rPr>
          <w:szCs w:val="20"/>
        </w:rPr>
      </w:pPr>
      <w:r w:rsidRPr="00E00B35">
        <w:rPr>
          <w:szCs w:val="20"/>
        </w:rPr>
        <w:t xml:space="preserve">Zajęcia aktywności fizycznej prowadzone były w 5 Ośrodkach usytuowanych w różnych rejonach Wrocławia tj. Ośrodku Promocji Zdrowia i Rehabilitacji Ruchowej „Saluber”, Akademii Sztuk Walki, pływalni AWF Wrocław, Szkole Podstawowej nr 118 oraz Wrocławskim Centrum SPA. </w:t>
      </w:r>
    </w:p>
    <w:p w:rsidR="00CA14AB" w:rsidRPr="00E00B35" w:rsidRDefault="00CA14AB" w:rsidP="00E00B35">
      <w:pPr>
        <w:spacing w:after="0" w:line="312" w:lineRule="auto"/>
        <w:rPr>
          <w:szCs w:val="20"/>
        </w:rPr>
      </w:pPr>
      <w:r w:rsidRPr="00E00B35">
        <w:rPr>
          <w:szCs w:val="20"/>
        </w:rPr>
        <w:t xml:space="preserve">W zajęciach aktywności fizycznej na sali gimnastycznej, pływalni oraz w terenie uczestniczyły 554 osoby. </w:t>
      </w:r>
    </w:p>
    <w:p w:rsidR="00CA14AB" w:rsidRPr="00E00B35" w:rsidRDefault="00CA14AB" w:rsidP="00E00B35">
      <w:pPr>
        <w:spacing w:after="0" w:line="312" w:lineRule="auto"/>
        <w:rPr>
          <w:szCs w:val="20"/>
        </w:rPr>
      </w:pPr>
      <w:r w:rsidRPr="00E00B35">
        <w:rPr>
          <w:szCs w:val="20"/>
        </w:rPr>
        <w:t xml:space="preserve">Ze względu na pandemię nie zrealizowano wyjazdowego szkolenia dla diabetyków oraz odwołano coroczną konferencję szkoleniową. </w:t>
      </w:r>
    </w:p>
    <w:p w:rsidR="00CA14AB" w:rsidRPr="00E00B35" w:rsidRDefault="00CA14AB" w:rsidP="00E00B35">
      <w:pPr>
        <w:spacing w:after="0" w:line="312" w:lineRule="auto"/>
        <w:rPr>
          <w:szCs w:val="20"/>
        </w:rPr>
      </w:pPr>
      <w:r w:rsidRPr="00E00B35">
        <w:rPr>
          <w:szCs w:val="20"/>
        </w:rPr>
        <w:t>Z powodu ogłoszenia stanu epidemii na terenie kraju założone w programie rezultaty nie zostały w całości osiągnięte.</w:t>
      </w:r>
    </w:p>
    <w:p w:rsidR="005E6C69" w:rsidRPr="00E00B35" w:rsidRDefault="005E6C69" w:rsidP="00E00B35">
      <w:pPr>
        <w:pStyle w:val="Nagwek5"/>
        <w:rPr>
          <w:szCs w:val="20"/>
        </w:rPr>
      </w:pPr>
      <w:bookmarkStart w:id="247" w:name="_Toc72352369"/>
      <w:bookmarkStart w:id="248" w:name="_Toc72352803"/>
    </w:p>
    <w:p w:rsidR="00CA14AB" w:rsidRPr="00E00B35" w:rsidRDefault="00CA14AB" w:rsidP="00E00B35">
      <w:pPr>
        <w:pStyle w:val="Nagwek5"/>
        <w:rPr>
          <w:szCs w:val="20"/>
          <w:highlight w:val="green"/>
        </w:rPr>
      </w:pPr>
      <w:r w:rsidRPr="00E00B35">
        <w:rPr>
          <w:szCs w:val="20"/>
        </w:rPr>
        <w:t>PROGRAM PROFILAKTYKI RAKA PIERSI U KOBIET, MIESZKANEK WROCŁAWIA</w:t>
      </w:r>
      <w:bookmarkEnd w:id="247"/>
      <w:bookmarkEnd w:id="248"/>
    </w:p>
    <w:p w:rsidR="00CA14AB" w:rsidRPr="00E00B35" w:rsidRDefault="00CA14AB" w:rsidP="00E00B35">
      <w:pPr>
        <w:spacing w:after="0" w:line="312" w:lineRule="auto"/>
        <w:rPr>
          <w:szCs w:val="20"/>
        </w:rPr>
      </w:pPr>
      <w:r w:rsidRPr="00E00B35">
        <w:rPr>
          <w:szCs w:val="20"/>
        </w:rPr>
        <w:t xml:space="preserve">Celem programu jest zwiększenie liczby nowotworów wykrytych we wczesnym stadium zaawansowania choroby poprzez zintegrowane działania edukacyjno-diagnostyczne, w tym zwiększenie poziomu wiedzy o zagrożeniach występowania chorób nowotworowych u młodzieży i osób dorosłych, kształtowanie zachowań prozdrowotnych, ukierunkowanych </w:t>
      </w:r>
      <w:r w:rsidRPr="00E00B35">
        <w:rPr>
          <w:szCs w:val="20"/>
        </w:rPr>
        <w:lastRenderedPageBreak/>
        <w:t>na czynniki ryzyka chorób nowotworowych oraz aktywną profilaktykę, zwiększenie znaczenia odpowiedzialności za zdrowie własne i innych oraz zapewnienie mieszkańcom Wrocławia poczucia bezpieczeństwa poprzez rozszerzenie dostępu do diagnostyki specjalistycznej.</w:t>
      </w:r>
    </w:p>
    <w:p w:rsidR="00CA14AB" w:rsidRPr="00E00B35" w:rsidRDefault="00CA14AB" w:rsidP="00E00B35">
      <w:pPr>
        <w:spacing w:after="0" w:line="312" w:lineRule="auto"/>
        <w:rPr>
          <w:szCs w:val="20"/>
        </w:rPr>
      </w:pPr>
      <w:r w:rsidRPr="00E00B35">
        <w:rPr>
          <w:szCs w:val="20"/>
        </w:rPr>
        <w:t>W 2020 r. Program realizowało Wrocławskie Centrum Zdrowia SP ZOZ.</w:t>
      </w:r>
    </w:p>
    <w:p w:rsidR="00CA14AB" w:rsidRPr="00E00B35" w:rsidRDefault="00CA14AB" w:rsidP="00E00B35">
      <w:pPr>
        <w:spacing w:after="0" w:line="312" w:lineRule="auto"/>
        <w:rPr>
          <w:szCs w:val="20"/>
        </w:rPr>
      </w:pPr>
      <w:r w:rsidRPr="00E00B35">
        <w:rPr>
          <w:szCs w:val="20"/>
        </w:rPr>
        <w:t>Program profilaktyki raka piersi składa się z 2 modułów: edukacyjnego i diagnostycznego.</w:t>
      </w:r>
    </w:p>
    <w:p w:rsidR="00CA14AB" w:rsidRPr="00E00B35" w:rsidRDefault="00CA14AB" w:rsidP="00E00B35">
      <w:pPr>
        <w:spacing w:after="0" w:line="312" w:lineRule="auto"/>
        <w:rPr>
          <w:szCs w:val="20"/>
        </w:rPr>
      </w:pPr>
      <w:r w:rsidRPr="00E00B35">
        <w:rPr>
          <w:szCs w:val="20"/>
        </w:rPr>
        <w:t xml:space="preserve">Moduł edukacyjny realizowany jest przez grupę wyszkolonych pielęgniarek i położnych, które w Punktach Edukacji Zdrowotnej (PEZ) prowadzą indywidualną naukę samobadania piersi u kobiet w każdym wieku. Działalność edukacyjna prowadzona była w 10 PEZ zlokalizowanych w podmiotach medycznych na terenie miasta oraz tzw. punktach mobilnych. </w:t>
      </w:r>
    </w:p>
    <w:p w:rsidR="00CA14AB" w:rsidRPr="00E00B35" w:rsidRDefault="00CA14AB" w:rsidP="00E00B35">
      <w:pPr>
        <w:spacing w:after="0" w:line="312" w:lineRule="auto"/>
        <w:rPr>
          <w:szCs w:val="20"/>
        </w:rPr>
      </w:pPr>
      <w:r w:rsidRPr="00E00B35">
        <w:rPr>
          <w:szCs w:val="20"/>
        </w:rPr>
        <w:t xml:space="preserve">W 2020 r. z nauki samobadania piersi w PEZ skorzystało 2 219 kobiet. </w:t>
      </w:r>
    </w:p>
    <w:p w:rsidR="00CA14AB" w:rsidRPr="00E00B35" w:rsidRDefault="00CA14AB" w:rsidP="00E00B35">
      <w:pPr>
        <w:spacing w:after="0" w:line="312" w:lineRule="auto"/>
        <w:rPr>
          <w:szCs w:val="20"/>
        </w:rPr>
      </w:pPr>
      <w:r w:rsidRPr="00E00B35">
        <w:rPr>
          <w:szCs w:val="20"/>
        </w:rPr>
        <w:t xml:space="preserve">Edukowane kobiety otrzymały książeczkę samokontroli piersi i ulotkę edukacyjną. Kobiety wymagające konsultacji onkologicznej i diagnostyki specjalistycznej skierowano na konsultację specjalistyczną. </w:t>
      </w:r>
    </w:p>
    <w:p w:rsidR="00CA14AB" w:rsidRPr="00E00B35" w:rsidRDefault="00CA14AB" w:rsidP="00E00B35">
      <w:pPr>
        <w:spacing w:after="0" w:line="312" w:lineRule="auto"/>
        <w:rPr>
          <w:szCs w:val="20"/>
        </w:rPr>
      </w:pPr>
      <w:r w:rsidRPr="00E00B35">
        <w:rPr>
          <w:szCs w:val="20"/>
        </w:rPr>
        <w:t xml:space="preserve">Z konsultacji onkologicznej skorzystały 4 382 kobiety, na leczenie szpitalne operacyjne lub skojarzone skierowano 144 kobiety. Wykonano 1 942 badania USG, 2 673 mammografie. Zmiany chorobowe wykryto u 179 kobiet, w tym podejrzenie raka piersi </w:t>
      </w:r>
      <w:r w:rsidRPr="00E00B35">
        <w:rPr>
          <w:szCs w:val="20"/>
        </w:rPr>
        <w:br/>
        <w:t xml:space="preserve">u 23 kobiet. </w:t>
      </w:r>
    </w:p>
    <w:p w:rsidR="00CA14AB" w:rsidRPr="00E00B35" w:rsidRDefault="00CA14AB" w:rsidP="00E00B35">
      <w:pPr>
        <w:spacing w:after="0" w:line="312" w:lineRule="auto"/>
        <w:rPr>
          <w:szCs w:val="20"/>
        </w:rPr>
      </w:pPr>
      <w:r w:rsidRPr="00E00B35">
        <w:rPr>
          <w:szCs w:val="20"/>
        </w:rPr>
        <w:t>Z porad lekarzy genetyków skorzystały 34 kobiety, a wsparcia psychologa - 31 kobiet.</w:t>
      </w:r>
    </w:p>
    <w:p w:rsidR="00CA14AB" w:rsidRPr="00E00B35" w:rsidRDefault="00CA14AB" w:rsidP="00E00B35">
      <w:pPr>
        <w:spacing w:after="0" w:line="312" w:lineRule="auto"/>
        <w:rPr>
          <w:szCs w:val="20"/>
        </w:rPr>
      </w:pPr>
      <w:r w:rsidRPr="00E00B35">
        <w:rPr>
          <w:szCs w:val="20"/>
        </w:rPr>
        <w:t>Zadania Programu od czasu ogłoszenia stanu epidemii na terenie kraju zostały zawieszone do dnia 31.05.2020 r. Założone rezultaty nie zostały w całości osiągnięte.</w:t>
      </w:r>
    </w:p>
    <w:p w:rsidR="005E6C69" w:rsidRPr="00E00B35" w:rsidRDefault="005E6C69" w:rsidP="00E00B35">
      <w:pPr>
        <w:pStyle w:val="Nagwek5"/>
        <w:rPr>
          <w:szCs w:val="20"/>
        </w:rPr>
      </w:pPr>
      <w:bookmarkStart w:id="249" w:name="_Toc72352370"/>
      <w:bookmarkStart w:id="250" w:name="_Toc72352804"/>
    </w:p>
    <w:p w:rsidR="00CA14AB" w:rsidRPr="00E00B35" w:rsidRDefault="00CA14AB" w:rsidP="00E00B35">
      <w:pPr>
        <w:pStyle w:val="Nagwek5"/>
        <w:rPr>
          <w:szCs w:val="20"/>
        </w:rPr>
      </w:pPr>
      <w:r w:rsidRPr="00E00B35">
        <w:rPr>
          <w:szCs w:val="20"/>
        </w:rPr>
        <w:t>PROGRAM PROFILAKTYKI NOWOTWORÓW SKÓRY, W SZCZEGÓLNOŚCI CZERNIAKA ZŁOŚLIWEGO</w:t>
      </w:r>
      <w:bookmarkEnd w:id="249"/>
      <w:bookmarkEnd w:id="250"/>
    </w:p>
    <w:p w:rsidR="00CA14AB" w:rsidRPr="00E00B35" w:rsidRDefault="00CA14AB" w:rsidP="00E00B35">
      <w:pPr>
        <w:spacing w:after="0" w:line="312" w:lineRule="auto"/>
        <w:rPr>
          <w:szCs w:val="20"/>
        </w:rPr>
      </w:pPr>
      <w:r w:rsidRPr="00E00B35">
        <w:rPr>
          <w:szCs w:val="20"/>
        </w:rPr>
        <w:t xml:space="preserve">Celem zadania jest podniesienie poziomu wiedzy i świadomości zdrowotnej dotyczącej profilaktyki raka skóry i czerniaka oraz kształtowanie zachowań prozdrowotnych </w:t>
      </w:r>
      <w:r w:rsidRPr="00E00B35">
        <w:rPr>
          <w:szCs w:val="20"/>
        </w:rPr>
        <w:br/>
        <w:t>i poczucia tzw. „czujności onkologicznej”, poprzez organizowanie i prowadzenie zajęć edukacyjnych dla mieszkańców Wrocławia oraz kształtowanie nawyku samoobserwacji skóry oraz znamion.</w:t>
      </w:r>
    </w:p>
    <w:p w:rsidR="00CA14AB" w:rsidRPr="00E00B35" w:rsidRDefault="00CA14AB" w:rsidP="00E00B35">
      <w:pPr>
        <w:spacing w:after="0" w:line="312" w:lineRule="auto"/>
        <w:rPr>
          <w:szCs w:val="20"/>
        </w:rPr>
      </w:pPr>
      <w:r w:rsidRPr="00E00B35">
        <w:rPr>
          <w:szCs w:val="20"/>
        </w:rPr>
        <w:t>W 2020r. program realizowały dwa podmioty medyczne: Wojewódzki Szpital Specjalistyczny we Wrocławiu Ośrodek Badawczo-Rozwojowy oraz IV Wojskowy Szpital Kliniczny z Polikliniką Samodzielny Publiczny Zakład Opieki Zdrowotnej we Wrocławiu.</w:t>
      </w:r>
    </w:p>
    <w:p w:rsidR="00CA14AB" w:rsidRPr="00E00B35" w:rsidRDefault="00CA14AB" w:rsidP="00E00B35">
      <w:pPr>
        <w:spacing w:after="0" w:line="312" w:lineRule="auto"/>
        <w:rPr>
          <w:szCs w:val="20"/>
        </w:rPr>
      </w:pPr>
      <w:r w:rsidRPr="00E00B35">
        <w:rPr>
          <w:szCs w:val="20"/>
        </w:rPr>
        <w:t xml:space="preserve">W ramach programu prowadzona była edukacja zdrowotna w zakresie profilaktyki nowotworów skóry i czerniaka, z której skorzystały 644 osoby. </w:t>
      </w:r>
    </w:p>
    <w:p w:rsidR="00CA14AB" w:rsidRPr="00E00B35" w:rsidRDefault="00CA14AB" w:rsidP="00E00B35">
      <w:pPr>
        <w:spacing w:after="0" w:line="312" w:lineRule="auto"/>
        <w:rPr>
          <w:szCs w:val="20"/>
        </w:rPr>
      </w:pPr>
      <w:r w:rsidRPr="00E00B35">
        <w:rPr>
          <w:szCs w:val="20"/>
        </w:rPr>
        <w:t xml:space="preserve">W 492 przypadkach zmiany skórne wymagały porady lekarza dermatologa. </w:t>
      </w:r>
    </w:p>
    <w:p w:rsidR="005E6C69" w:rsidRPr="00E00B35" w:rsidRDefault="005E6C69" w:rsidP="00E00B35">
      <w:pPr>
        <w:pStyle w:val="Nagwek5"/>
        <w:rPr>
          <w:szCs w:val="20"/>
        </w:rPr>
      </w:pPr>
      <w:bookmarkStart w:id="251" w:name="_Toc72352371"/>
      <w:bookmarkStart w:id="252" w:name="_Toc72352805"/>
    </w:p>
    <w:p w:rsidR="00CA14AB" w:rsidRPr="00E00B35" w:rsidRDefault="00CA14AB" w:rsidP="00E00B35">
      <w:pPr>
        <w:pStyle w:val="Nagwek5"/>
        <w:rPr>
          <w:szCs w:val="20"/>
        </w:rPr>
      </w:pPr>
      <w:r w:rsidRPr="00E00B35">
        <w:rPr>
          <w:szCs w:val="20"/>
        </w:rPr>
        <w:t>PROFILAKTYKA GRYPY DLA OSÓB POWYŻEJ 65 ROKU ŻYCIA</w:t>
      </w:r>
      <w:bookmarkEnd w:id="251"/>
      <w:bookmarkEnd w:id="252"/>
      <w:r w:rsidRPr="00E00B35">
        <w:rPr>
          <w:szCs w:val="20"/>
        </w:rPr>
        <w:t xml:space="preserve"> </w:t>
      </w:r>
    </w:p>
    <w:p w:rsidR="00CA14AB" w:rsidRPr="00E00B35" w:rsidRDefault="00CA14AB" w:rsidP="00E00B35">
      <w:pPr>
        <w:spacing w:after="0" w:line="312" w:lineRule="auto"/>
        <w:rPr>
          <w:szCs w:val="20"/>
        </w:rPr>
      </w:pPr>
      <w:r w:rsidRPr="00E00B35">
        <w:rPr>
          <w:szCs w:val="20"/>
        </w:rPr>
        <w:t>Szczepienia przeciwko grypie, to program polityki zdrowotnej miasta Wrocławia, który przyczynia się do poprawy jakości i skuteczności opieki geriatrycznej nad osobami w wieku podeszłym.</w:t>
      </w:r>
    </w:p>
    <w:p w:rsidR="00CA14AB" w:rsidRPr="00E00B35" w:rsidRDefault="00CA14AB" w:rsidP="00E00B35">
      <w:pPr>
        <w:spacing w:after="0" w:line="312" w:lineRule="auto"/>
        <w:rPr>
          <w:szCs w:val="20"/>
        </w:rPr>
      </w:pPr>
      <w:r w:rsidRPr="00E00B35">
        <w:rPr>
          <w:szCs w:val="20"/>
        </w:rPr>
        <w:lastRenderedPageBreak/>
        <w:t xml:space="preserve">W sezonie epidemicznym 2020-2021 program nie został w pełni zrealizowany, wybrane w 2020 roku, w procedurze konkursowej podmioty lecznicze nie mogły wywiązać się z warunków umowy z powodu braku szczepionek i odwlekanych przez hurtownie farmaceutyczne dostaw. </w:t>
      </w:r>
    </w:p>
    <w:p w:rsidR="00CA14AB" w:rsidRPr="00E00B35" w:rsidRDefault="00CA14AB" w:rsidP="00E00B35">
      <w:pPr>
        <w:spacing w:after="0" w:line="312" w:lineRule="auto"/>
        <w:rPr>
          <w:szCs w:val="20"/>
        </w:rPr>
      </w:pPr>
      <w:r w:rsidRPr="00E00B35">
        <w:rPr>
          <w:szCs w:val="20"/>
        </w:rPr>
        <w:t xml:space="preserve">W ramach programu zdrowotnego zaszczepiono 1040 osób.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DZIAŁANIA EDUKACYJNO-PROFILAKTYCZNE NA RZECZ POPRAWY JAKOŚCI OPIEKI OSÓB PRZEWLEKLE I NIEULECZALNIE CHORYCH PRZEBYWAJĄCYCH W ŚRODOWISKU DOMOWYM ORAZ WSPARCIE ICH RODZIN / OPIEKUNÓW</w:t>
      </w:r>
    </w:p>
    <w:p w:rsidR="00CA14AB" w:rsidRPr="00E00B35" w:rsidRDefault="00CA14AB" w:rsidP="00E00B35">
      <w:pPr>
        <w:spacing w:after="0" w:line="312" w:lineRule="auto"/>
        <w:rPr>
          <w:szCs w:val="20"/>
        </w:rPr>
      </w:pPr>
      <w:r w:rsidRPr="00E00B35">
        <w:rPr>
          <w:szCs w:val="20"/>
        </w:rPr>
        <w:t>Od 17.07.2020r. do 31.12.2020r. zadaniem objęto 270 osób/chorych.</w:t>
      </w:r>
    </w:p>
    <w:p w:rsidR="00CA14AB" w:rsidRPr="00E00B35" w:rsidRDefault="00CA14AB" w:rsidP="00E00B35">
      <w:pPr>
        <w:spacing w:after="0" w:line="312" w:lineRule="auto"/>
        <w:rPr>
          <w:szCs w:val="20"/>
        </w:rPr>
      </w:pPr>
      <w:r w:rsidRPr="00E00B35">
        <w:rPr>
          <w:szCs w:val="20"/>
        </w:rPr>
        <w:t xml:space="preserve">Zadaniem zostały objęte osoby dorosłe przewlekle i nieuleczalnie chore oraz ich rodziny/opiekunowie, którzy wymagali pomocy i wsparcia w warunkach domowych. </w:t>
      </w:r>
    </w:p>
    <w:p w:rsidR="00CA14AB" w:rsidRPr="00E00B35" w:rsidRDefault="00CA14AB" w:rsidP="00E00B35">
      <w:pPr>
        <w:spacing w:after="0" w:line="312" w:lineRule="auto"/>
        <w:rPr>
          <w:szCs w:val="20"/>
        </w:rPr>
      </w:pPr>
      <w:r w:rsidRPr="00E00B35">
        <w:rPr>
          <w:szCs w:val="20"/>
        </w:rPr>
        <w:t>Celem zadania było podniesienie jakości życia osób chorych poprzez działania korzystnie wpływajace na zdrowie. W ramach zadania prowadzono działania z zakresu edukacji zdrowotnej, promocji zdrowia i profilaktyki chorób w środowisku domowym chorego.</w:t>
      </w:r>
    </w:p>
    <w:p w:rsidR="005E6C69" w:rsidRPr="00E00B35" w:rsidRDefault="005E6C69" w:rsidP="00E00B35">
      <w:pPr>
        <w:pStyle w:val="Nagwek4"/>
        <w:spacing w:before="0" w:after="0" w:line="312" w:lineRule="auto"/>
        <w:rPr>
          <w:sz w:val="20"/>
          <w:szCs w:val="20"/>
        </w:rPr>
      </w:pPr>
      <w:bookmarkStart w:id="253" w:name="_Toc72352372"/>
      <w:bookmarkStart w:id="254" w:name="_Toc72352806"/>
    </w:p>
    <w:p w:rsidR="00CA14AB" w:rsidRPr="00E00B35" w:rsidRDefault="00CA14AB" w:rsidP="00E00B35">
      <w:pPr>
        <w:pStyle w:val="Nagwek4"/>
        <w:spacing w:before="0" w:after="0" w:line="312" w:lineRule="auto"/>
        <w:rPr>
          <w:sz w:val="20"/>
          <w:szCs w:val="20"/>
        </w:rPr>
      </w:pPr>
      <w:r w:rsidRPr="00E00B35">
        <w:rPr>
          <w:sz w:val="20"/>
          <w:szCs w:val="20"/>
        </w:rPr>
        <w:t>PROGRAMY W ZAKRESIE OCHRONY ZDROWIA PSYCHICZNEGO</w:t>
      </w:r>
      <w:bookmarkEnd w:id="253"/>
      <w:bookmarkEnd w:id="254"/>
    </w:p>
    <w:p w:rsidR="00CA14AB" w:rsidRPr="00E00B35" w:rsidRDefault="00CA14AB" w:rsidP="00E00B35">
      <w:pPr>
        <w:pStyle w:val="Nagwek5"/>
        <w:rPr>
          <w:szCs w:val="20"/>
        </w:rPr>
      </w:pPr>
      <w:r w:rsidRPr="00E00B35">
        <w:rPr>
          <w:szCs w:val="20"/>
        </w:rPr>
        <w:t>PROGRAM PROMOWANIA ZDROWIA PSYCHICZNEGO W POPULACJI DZIECI, MŁODZIEŻY I DOROSŁYCH MIESZKAŃCÓW WROCŁAWIA</w:t>
      </w:r>
    </w:p>
    <w:p w:rsidR="00CA14AB" w:rsidRPr="00E00B35" w:rsidRDefault="00CA14AB" w:rsidP="00E00B35">
      <w:pPr>
        <w:spacing w:after="0" w:line="312" w:lineRule="auto"/>
        <w:rPr>
          <w:szCs w:val="20"/>
        </w:rPr>
      </w:pPr>
      <w:r w:rsidRPr="00E00B35">
        <w:rPr>
          <w:szCs w:val="20"/>
        </w:rPr>
        <w:t>Celem programu jest przeciwdziałanie kryzysom zdrowia psychicznego i depresji w populacji dzieci, młodzieży i dorosłych mieszkańców Wrocławia, poprzez edukację zdrowotną i społeczną oraz wparcie specjalistyczne, w tym upowszechnianie wiedzy o zdrowiu psychicznym i jego znaczeniu dla prawidłowego rozwoju osobistego i społecznego, podnoszenie poziomu wiedzy dotyczącej promocji i ochrony zdrowia psychicznego oraz kształtowanie postaw i zachowań sprzyjających wzmacnianiu zdrowia psychicznego oraz przeciwdziałanie kryzysom, a także prowadzenie różnych form pomocy i wsparcia u osób zagrożonych kryzysem zdrowia psychicznego (warsztaty, zajęcia indywidualne i grupowe).</w:t>
      </w:r>
    </w:p>
    <w:p w:rsidR="00CA14AB" w:rsidRPr="00E00B35" w:rsidRDefault="00CA14AB" w:rsidP="00E00B35">
      <w:pPr>
        <w:spacing w:after="0" w:line="312" w:lineRule="auto"/>
        <w:rPr>
          <w:szCs w:val="20"/>
        </w:rPr>
      </w:pPr>
      <w:r w:rsidRPr="00E00B35">
        <w:rPr>
          <w:szCs w:val="20"/>
        </w:rPr>
        <w:t>Program realizowany był we współpracy z organizacjami pozarządowymi. W 2020 r. z różnych form pomocy skorzystało ok. 360 osób. Większość prowadzonych działań miała charakter kompleksowego i długofalowego wsparcia, z którego beneficjenci programu korzystali w sposób systematyczny.</w:t>
      </w:r>
    </w:p>
    <w:p w:rsidR="00CA14AB" w:rsidRPr="00E00B35" w:rsidRDefault="00CA14AB" w:rsidP="00E00B35">
      <w:pPr>
        <w:spacing w:after="0" w:line="312" w:lineRule="auto"/>
        <w:rPr>
          <w:szCs w:val="20"/>
        </w:rPr>
      </w:pPr>
      <w:r w:rsidRPr="00E00B35">
        <w:rPr>
          <w:szCs w:val="20"/>
        </w:rPr>
        <w:t>W 2020 r. przeprowadzono on-line cykl warsztatów profilaktycznych pn. „Żyj zdrowiem” dla dzieci i młodzieży z wrocławskich szkół oraz ich rodziców. W warsztatach wzięło udział około 1 600 uczniów i 68 opiekunów.</w:t>
      </w:r>
    </w:p>
    <w:p w:rsidR="00CA14AB" w:rsidRPr="00E00B35" w:rsidRDefault="00CA14AB" w:rsidP="00E00B35">
      <w:pPr>
        <w:spacing w:after="0" w:line="312" w:lineRule="auto"/>
        <w:rPr>
          <w:szCs w:val="20"/>
        </w:rPr>
      </w:pPr>
      <w:r w:rsidRPr="00E00B35">
        <w:rPr>
          <w:szCs w:val="20"/>
        </w:rPr>
        <w:t>Wykaz placówek oświatowych, w których przeprowadzono szkolenia dla uczniów:</w:t>
      </w:r>
    </w:p>
    <w:p w:rsidR="00CA14AB" w:rsidRPr="00E00B35" w:rsidRDefault="00CA14AB" w:rsidP="00BC64AB">
      <w:pPr>
        <w:pStyle w:val="Akapitzlist"/>
        <w:numPr>
          <w:ilvl w:val="0"/>
          <w:numId w:val="171"/>
        </w:numPr>
        <w:spacing w:after="0" w:line="312" w:lineRule="auto"/>
        <w:rPr>
          <w:szCs w:val="20"/>
        </w:rPr>
      </w:pPr>
      <w:r w:rsidRPr="00E00B35">
        <w:rPr>
          <w:szCs w:val="20"/>
        </w:rPr>
        <w:t>Zespół Szkolno-Przedszkolny nr 10 - szkolenia dla uczniów klas: 4b, 4c; 5a, 5c, 6b, 6d, 8b, 8c, 8a;</w:t>
      </w:r>
    </w:p>
    <w:p w:rsidR="00CA14AB" w:rsidRPr="00E00B35" w:rsidRDefault="00CA14AB" w:rsidP="00BC64AB">
      <w:pPr>
        <w:pStyle w:val="Akapitzlist"/>
        <w:numPr>
          <w:ilvl w:val="0"/>
          <w:numId w:val="171"/>
        </w:numPr>
        <w:spacing w:after="0" w:line="312" w:lineRule="auto"/>
        <w:rPr>
          <w:szCs w:val="20"/>
        </w:rPr>
      </w:pPr>
      <w:r w:rsidRPr="00E00B35">
        <w:rPr>
          <w:szCs w:val="20"/>
        </w:rPr>
        <w:t>Niepubliczna Szkoła Podstawowa Sióstr Salezjanek im. Jana Pawła II - szkolenia dla uczniów klas 8a i 8b;</w:t>
      </w:r>
    </w:p>
    <w:p w:rsidR="00CA14AB" w:rsidRPr="00E00B35" w:rsidRDefault="00CA14AB" w:rsidP="00BC64AB">
      <w:pPr>
        <w:pStyle w:val="Akapitzlist"/>
        <w:numPr>
          <w:ilvl w:val="0"/>
          <w:numId w:val="171"/>
        </w:numPr>
        <w:spacing w:after="0" w:line="312" w:lineRule="auto"/>
        <w:rPr>
          <w:szCs w:val="20"/>
        </w:rPr>
      </w:pPr>
      <w:r w:rsidRPr="00E00B35">
        <w:rPr>
          <w:szCs w:val="20"/>
        </w:rPr>
        <w:t>Szkoła Podstawowa nr 17 - szkolenia dla uczniów klas: 4b, 4d, 5a, 5b, 5c, 6a, 6b, 6d, 7a, 7b, 7c, 7d, 8c,;</w:t>
      </w:r>
    </w:p>
    <w:p w:rsidR="00CA14AB" w:rsidRPr="00E00B35" w:rsidRDefault="00CA14AB" w:rsidP="00BC64AB">
      <w:pPr>
        <w:pStyle w:val="Akapitzlist"/>
        <w:numPr>
          <w:ilvl w:val="0"/>
          <w:numId w:val="171"/>
        </w:numPr>
        <w:spacing w:after="0" w:line="312" w:lineRule="auto"/>
        <w:rPr>
          <w:szCs w:val="20"/>
        </w:rPr>
      </w:pPr>
      <w:r w:rsidRPr="00E00B35">
        <w:rPr>
          <w:szCs w:val="20"/>
        </w:rPr>
        <w:t>Szkoła Podstawowa Nr 23 - szkolenia dla uczniów klas 8a i 8b;</w:t>
      </w:r>
    </w:p>
    <w:p w:rsidR="00CA14AB" w:rsidRPr="00E00B35" w:rsidRDefault="00CA14AB" w:rsidP="00BC64AB">
      <w:pPr>
        <w:pStyle w:val="Akapitzlist"/>
        <w:numPr>
          <w:ilvl w:val="0"/>
          <w:numId w:val="171"/>
        </w:numPr>
        <w:spacing w:after="0" w:line="312" w:lineRule="auto"/>
        <w:rPr>
          <w:szCs w:val="20"/>
        </w:rPr>
      </w:pPr>
      <w:r w:rsidRPr="00E00B35">
        <w:rPr>
          <w:szCs w:val="20"/>
        </w:rPr>
        <w:lastRenderedPageBreak/>
        <w:t>Szkoła Podstawowa nr 47 - szkolenie dla uczniów klas: 4a, 4b, 4d, 5a, 5b, 6c, 6b, 6c, 6d, 7a, 7b, 7c;</w:t>
      </w:r>
    </w:p>
    <w:p w:rsidR="00CA14AB" w:rsidRPr="00E00B35" w:rsidRDefault="00CA14AB" w:rsidP="00BC64AB">
      <w:pPr>
        <w:pStyle w:val="Akapitzlist"/>
        <w:numPr>
          <w:ilvl w:val="0"/>
          <w:numId w:val="171"/>
        </w:numPr>
        <w:spacing w:after="0" w:line="312" w:lineRule="auto"/>
        <w:rPr>
          <w:szCs w:val="20"/>
        </w:rPr>
      </w:pPr>
      <w:r w:rsidRPr="00E00B35">
        <w:rPr>
          <w:szCs w:val="20"/>
        </w:rPr>
        <w:t>Szkoła Podstawowa nr 51- szkolenie dla uczniów klasy 7b;</w:t>
      </w:r>
    </w:p>
    <w:p w:rsidR="00CA14AB" w:rsidRPr="00E00B35" w:rsidRDefault="00CA14AB" w:rsidP="00BC64AB">
      <w:pPr>
        <w:pStyle w:val="Akapitzlist"/>
        <w:numPr>
          <w:ilvl w:val="0"/>
          <w:numId w:val="171"/>
        </w:numPr>
        <w:spacing w:after="0" w:line="312" w:lineRule="auto"/>
        <w:rPr>
          <w:szCs w:val="20"/>
        </w:rPr>
      </w:pPr>
      <w:r w:rsidRPr="00E00B35">
        <w:rPr>
          <w:szCs w:val="20"/>
        </w:rPr>
        <w:t>Szkoła Podstawowa nr 63 - szkolenia dla uczniów klas: 4a, 5a, 5b, 6a, 6b, 6c, 7a, 7b, 7c, 7d i 8c;</w:t>
      </w:r>
    </w:p>
    <w:p w:rsidR="00CA14AB" w:rsidRPr="00E00B35" w:rsidRDefault="00CA14AB" w:rsidP="00BC64AB">
      <w:pPr>
        <w:pStyle w:val="Akapitzlist"/>
        <w:numPr>
          <w:ilvl w:val="0"/>
          <w:numId w:val="171"/>
        </w:numPr>
        <w:spacing w:after="0" w:line="312" w:lineRule="auto"/>
        <w:rPr>
          <w:szCs w:val="20"/>
        </w:rPr>
      </w:pPr>
      <w:r w:rsidRPr="00E00B35">
        <w:rPr>
          <w:szCs w:val="20"/>
        </w:rPr>
        <w:t>Szkoła Podstawowa nr 64 – szkolenia dla uczniów klas 4a, 6c, 5b, 5d;</w:t>
      </w:r>
    </w:p>
    <w:p w:rsidR="00CA14AB" w:rsidRPr="00E00B35" w:rsidRDefault="00CA14AB" w:rsidP="00BC64AB">
      <w:pPr>
        <w:pStyle w:val="Akapitzlist"/>
        <w:numPr>
          <w:ilvl w:val="0"/>
          <w:numId w:val="171"/>
        </w:numPr>
        <w:spacing w:after="0" w:line="312" w:lineRule="auto"/>
        <w:rPr>
          <w:szCs w:val="20"/>
        </w:rPr>
      </w:pPr>
      <w:r w:rsidRPr="00E00B35">
        <w:rPr>
          <w:szCs w:val="20"/>
        </w:rPr>
        <w:t xml:space="preserve">Zespół Szkół Ekonomiczno – Ogólnokształcących - szkolenia dla uczniów klas: 1a i 1 b.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WSPARCIA OSÓB Z DOŚWIADCZENIEM CHOROBY PSYCHICZNEJ ORAZ ICH RODZIN I OPIEKUNÓW W PROCESIE ZDROWIENIA</w:t>
      </w:r>
    </w:p>
    <w:p w:rsidR="00CA14AB" w:rsidRPr="00E00B35" w:rsidRDefault="00CA14AB" w:rsidP="00E00B35">
      <w:pPr>
        <w:spacing w:after="0" w:line="312" w:lineRule="auto"/>
        <w:rPr>
          <w:szCs w:val="20"/>
        </w:rPr>
      </w:pPr>
      <w:r w:rsidRPr="00E00B35">
        <w:rPr>
          <w:szCs w:val="20"/>
        </w:rPr>
        <w:t xml:space="preserve">Celem programu jest poprawa jakości życia osób z doświadczeniem choroby psychicznej oraz ich rodzin i opiekunów w procesie zdrowienia poprzez budowanie pozytywnych relacji z otoczeniem oraz aktywizowanie społeczne, w tym: </w:t>
      </w:r>
    </w:p>
    <w:p w:rsidR="00CA14AB" w:rsidRPr="00E00B35" w:rsidRDefault="00CA14AB" w:rsidP="00E00B35">
      <w:pPr>
        <w:spacing w:after="0" w:line="312" w:lineRule="auto"/>
        <w:rPr>
          <w:szCs w:val="20"/>
        </w:rPr>
      </w:pPr>
      <w:r w:rsidRPr="00E00B35">
        <w:rPr>
          <w:szCs w:val="20"/>
        </w:rPr>
        <w:t>prowadzenie zajęć psychoedukacyjnych indywidualnych i grupowych (np. warsztaty, grupy wsparcia itp.),</w:t>
      </w:r>
    </w:p>
    <w:p w:rsidR="00CA14AB" w:rsidRPr="00E00B35" w:rsidRDefault="00CA14AB" w:rsidP="00E00B35">
      <w:pPr>
        <w:spacing w:after="0" w:line="312" w:lineRule="auto"/>
        <w:rPr>
          <w:szCs w:val="20"/>
        </w:rPr>
      </w:pPr>
      <w:r w:rsidRPr="00E00B35">
        <w:rPr>
          <w:szCs w:val="20"/>
        </w:rPr>
        <w:t>prowadzenie zajęć usprawniających, wykonywanie czynności w zakresie samoobsługi,</w:t>
      </w:r>
    </w:p>
    <w:p w:rsidR="00CA14AB" w:rsidRPr="00E00B35" w:rsidRDefault="00CA14AB" w:rsidP="00E00B35">
      <w:pPr>
        <w:spacing w:after="0" w:line="312" w:lineRule="auto"/>
        <w:rPr>
          <w:szCs w:val="20"/>
        </w:rPr>
      </w:pPr>
      <w:r w:rsidRPr="00E00B35">
        <w:rPr>
          <w:szCs w:val="20"/>
        </w:rPr>
        <w:t>prowadzenie zajęć poprawiających komunikację i integrację z rodziną, środowiskiem lokalnym,</w:t>
      </w:r>
    </w:p>
    <w:p w:rsidR="00CA14AB" w:rsidRPr="00E00B35" w:rsidRDefault="00CA14AB" w:rsidP="00E00B35">
      <w:pPr>
        <w:spacing w:after="0" w:line="312" w:lineRule="auto"/>
        <w:rPr>
          <w:szCs w:val="20"/>
        </w:rPr>
      </w:pPr>
      <w:r w:rsidRPr="00E00B35">
        <w:rPr>
          <w:szCs w:val="20"/>
        </w:rPr>
        <w:t>motywowanie do aktywnego udziału w życiu społecznym, kulturalnym miasta (np. wyjścia na koncerty, wystawy, seanse kinowe),</w:t>
      </w:r>
    </w:p>
    <w:p w:rsidR="00CA14AB" w:rsidRPr="00E00B35" w:rsidRDefault="00CA14AB" w:rsidP="00E00B35">
      <w:pPr>
        <w:spacing w:after="0" w:line="312" w:lineRule="auto"/>
        <w:rPr>
          <w:szCs w:val="20"/>
        </w:rPr>
      </w:pPr>
      <w:r w:rsidRPr="00E00B35">
        <w:rPr>
          <w:szCs w:val="20"/>
        </w:rPr>
        <w:t>zapewnienie poczucia bezpieczeństwa przeciwdziałającego kryzysom psychicznym i nawrotom choroby.</w:t>
      </w:r>
    </w:p>
    <w:p w:rsidR="00CA14AB" w:rsidRPr="00E00B35" w:rsidRDefault="00CA14AB" w:rsidP="00E00B35">
      <w:pPr>
        <w:spacing w:after="0" w:line="312" w:lineRule="auto"/>
        <w:rPr>
          <w:szCs w:val="20"/>
        </w:rPr>
      </w:pPr>
      <w:r w:rsidRPr="00E00B35">
        <w:rPr>
          <w:szCs w:val="20"/>
        </w:rPr>
        <w:t>W 2020 r. program realizowały 3 organizacje pozarządowe: Fundacja „Opieka i Troska”, Stowarzyszenie Na Rzecz Promocji Zdrowia „Curatus” oraz Dolnośląskie Stowarzyszenie Aktywnej Rehabilitacji „ART”.</w:t>
      </w:r>
    </w:p>
    <w:p w:rsidR="00CA14AB" w:rsidRPr="00E00B35" w:rsidRDefault="00CA14AB" w:rsidP="00E00B35">
      <w:pPr>
        <w:spacing w:after="0" w:line="312" w:lineRule="auto"/>
        <w:rPr>
          <w:szCs w:val="20"/>
        </w:rPr>
      </w:pPr>
      <w:r w:rsidRPr="00E00B35">
        <w:rPr>
          <w:szCs w:val="20"/>
        </w:rPr>
        <w:t>Z różnych form pomocy skorzystały 243 osoby.</w:t>
      </w:r>
    </w:p>
    <w:p w:rsidR="00CA14AB" w:rsidRPr="00E00B35" w:rsidRDefault="00CA14AB" w:rsidP="00E00B35">
      <w:pPr>
        <w:spacing w:after="0" w:line="312" w:lineRule="auto"/>
        <w:rPr>
          <w:szCs w:val="20"/>
        </w:rPr>
      </w:pPr>
      <w:r w:rsidRPr="00E00B35">
        <w:rPr>
          <w:szCs w:val="20"/>
        </w:rPr>
        <w:t>Z powodu ogłoszenia stanu epidemii na terenie kraju założone w programie rezultaty nie zostały w całości osiągnięte.</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WSPARCIA DLA OSÓB ZAGROŻONYCH DEPRESJĄ, Z ZESPOŁAMI DEPRESYJNYMI ORAZ ICH RODZIN I OPIEKUNÓW</w:t>
      </w:r>
    </w:p>
    <w:p w:rsidR="00CA14AB" w:rsidRPr="00E00B35" w:rsidRDefault="00CA14AB" w:rsidP="00E00B35">
      <w:pPr>
        <w:spacing w:after="0" w:line="312" w:lineRule="auto"/>
        <w:rPr>
          <w:szCs w:val="20"/>
        </w:rPr>
      </w:pPr>
      <w:r w:rsidRPr="00E00B35">
        <w:rPr>
          <w:szCs w:val="20"/>
        </w:rPr>
        <w:t>Program realizowano we współpracy z organizacjami pozarządowymi. W 2020 r. z różnych form pomocy i wsparcia skorzystało ok. 130 osób. Większość prowadzonych działań miało charakter kompleksowego i długofalowego wsparcia, z którego beneficjenci korzystali w sposób systematyczny, były to zajęcia relaksacyjne, psychoedukacja oraz spotkania, w ramach tzw. grupy wsparcia.</w:t>
      </w:r>
    </w:p>
    <w:p w:rsidR="00CA14AB" w:rsidRPr="00E00B35" w:rsidRDefault="00CA14AB" w:rsidP="00E00B35">
      <w:pPr>
        <w:spacing w:after="0" w:line="312" w:lineRule="auto"/>
        <w:rPr>
          <w:szCs w:val="20"/>
        </w:rPr>
      </w:pPr>
      <w:r w:rsidRPr="00E00B35">
        <w:rPr>
          <w:szCs w:val="20"/>
        </w:rPr>
        <w:t>Z powodu ogłoszenia stanu epidemii na terenie kraju założone w programie rezultaty nie zostały w całości osiągnięte.</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WSPARCIA PSYCHOLOGICZNEGO DLA OSÓB W KRYZYSIE ZDROWIA PSYCHICZNEGO W TYM CHORYCH ONKOLOGICZNIE</w:t>
      </w:r>
    </w:p>
    <w:p w:rsidR="00CA14AB" w:rsidRPr="00E00B35" w:rsidRDefault="00CA14AB" w:rsidP="00E00B35">
      <w:pPr>
        <w:spacing w:after="0" w:line="312" w:lineRule="auto"/>
        <w:rPr>
          <w:szCs w:val="20"/>
        </w:rPr>
      </w:pPr>
      <w:r w:rsidRPr="00E00B35">
        <w:rPr>
          <w:szCs w:val="20"/>
        </w:rPr>
        <w:t xml:space="preserve">W 2020 r. wolontariusze Fundacji „Dobrze że jesteś” objęli opieką ok. 276 pacjentów z Kliniki Hematologii Uniwersytetu Medycznego oraz Dolnośląskiego Centrum Onkologii we Wrocławiu. </w:t>
      </w:r>
    </w:p>
    <w:p w:rsidR="00CA14AB" w:rsidRPr="00E00B35" w:rsidRDefault="00CA14AB" w:rsidP="00E00B35">
      <w:pPr>
        <w:spacing w:after="0" w:line="312" w:lineRule="auto"/>
        <w:rPr>
          <w:szCs w:val="20"/>
        </w:rPr>
      </w:pPr>
      <w:r w:rsidRPr="00E00B35">
        <w:rPr>
          <w:szCs w:val="20"/>
        </w:rPr>
        <w:t xml:space="preserve">Projekt pn. „Akademia Walki z Rakiem” realizowany był przez Dolnośląskie Centrum Psychoonkologii i Rehabilitacji, w ramach którego prowadzono grupy wsparcia, klub pacjenta, konsultacje indywidualne z psychologiem/psychoterapeutą oraz wykłady z pokazem przyrządzania zdrowego jedzenia, zajęcia relaksacyjne i kinezjologii edukacyjnej mózgu – prowadzone w trybie on-line. </w:t>
      </w:r>
    </w:p>
    <w:p w:rsidR="00CA14AB" w:rsidRPr="00E00B35" w:rsidRDefault="00CA14AB" w:rsidP="00E00B35">
      <w:pPr>
        <w:spacing w:after="0" w:line="312" w:lineRule="auto"/>
        <w:rPr>
          <w:szCs w:val="20"/>
        </w:rPr>
      </w:pPr>
      <w:r w:rsidRPr="00E00B35">
        <w:rPr>
          <w:szCs w:val="20"/>
        </w:rPr>
        <w:t>Z oferowanych zajęć skorzystało około 66 osób.</w:t>
      </w:r>
    </w:p>
    <w:p w:rsidR="00CA14AB" w:rsidRPr="00E00B35" w:rsidRDefault="00CA14AB" w:rsidP="00E00B35">
      <w:pPr>
        <w:spacing w:after="0" w:line="312" w:lineRule="auto"/>
        <w:rPr>
          <w:szCs w:val="20"/>
        </w:rPr>
      </w:pPr>
      <w:r w:rsidRPr="00E00B35">
        <w:rPr>
          <w:szCs w:val="20"/>
        </w:rPr>
        <w:t>Z powodu ogłoszenia stanu epidemii na terenie kraju założone w programie rezultaty nie zostały w całości osiągnięte.</w:t>
      </w:r>
    </w:p>
    <w:p w:rsidR="00CA14AB" w:rsidRPr="00E00B35" w:rsidRDefault="00CA14AB" w:rsidP="00E00B35">
      <w:pPr>
        <w:spacing w:after="0" w:line="312" w:lineRule="auto"/>
        <w:rPr>
          <w:szCs w:val="20"/>
        </w:rPr>
      </w:pPr>
      <w:r w:rsidRPr="00E00B35">
        <w:rPr>
          <w:szCs w:val="20"/>
        </w:rPr>
        <w:t>W 2020 r. odbyły się 2 spotkania Zespołu Merytorycznego ds. Zdrowia Psychicznego. W skład zespołu wchodzą przedstawiciele wszystkich organizacji realizujących zadanie oraz Wydziału Zdrowia i Spraw Społecznych. Podczas spotkania wymieniano doświadczenia z realizacji poszczególnych zadań, omawiano zasady współpracy z Gminą Wrocław szczególnie w zakresie przygotowywania stosownej dokumentacji. Organizacje prezentowały realizowane przez siebie działania skierowane do osób z doświadczeniem choroby psychicznej, ich rodzin oraz opiekunów.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PROGRAM WSPARCIA OSÓB Z ZESPOŁAMI OTĘPIENNYMI I ZABURZENIAMI PSYCHOGERIATRYCZNYMI ORAZ ICH RODZIN I OPIEKUNÓW </w:t>
      </w:r>
    </w:p>
    <w:p w:rsidR="00CA14AB" w:rsidRPr="00E00B35" w:rsidRDefault="00CA14AB" w:rsidP="00E00B35">
      <w:pPr>
        <w:spacing w:after="0" w:line="312" w:lineRule="auto"/>
        <w:rPr>
          <w:szCs w:val="20"/>
        </w:rPr>
      </w:pPr>
      <w:r w:rsidRPr="00E00B35">
        <w:rPr>
          <w:szCs w:val="20"/>
        </w:rPr>
        <w:t xml:space="preserve">Celem programu jest poprawa jakości życia osób z zespołami otępiennymi i zaburzeniami psychogeriatrycznymi oraz przeciwdziałanie pogłębianiu się tych zaburzeń poprzez prowadzenie działań korekcyjno - wspierających. </w:t>
      </w:r>
    </w:p>
    <w:p w:rsidR="00CA14AB" w:rsidRPr="00E00B35" w:rsidRDefault="00CA14AB" w:rsidP="00E00B35">
      <w:pPr>
        <w:spacing w:after="0" w:line="312" w:lineRule="auto"/>
        <w:rPr>
          <w:szCs w:val="20"/>
        </w:rPr>
      </w:pPr>
      <w:r w:rsidRPr="00E00B35">
        <w:rPr>
          <w:szCs w:val="20"/>
        </w:rPr>
        <w:t>W 2020 r. program realizowany był przez 2 organizacje pozarządowe: Stowarzyszenie Grupa Wsparcia Dla Osób Z Problemami Pamięci „NIEZAPOMINAJKA” oraz Dolnośląską Fundację Alzheimerowską oraz Przychodnię Zdrowia Psychicznego i Leczenia Uzależnień WCZ SP ZOZ. Opieką psychologiczną objęto ok. 472 osób po 60 roku życia, u których wystąpiły problemy psychogeriatryczne. W ramach programu prowadzone były grupy wsparcia, warsztaty, zajęcia aktywności ruchowej oraz psychoedukacyjne indywidualne i grupowe. Ze wsparcia dla opiekunów osób z zaburzeniami psychogeriatrycznymi skorzystało ok. 250 osób.</w:t>
      </w:r>
    </w:p>
    <w:p w:rsidR="00CA14AB" w:rsidRPr="00E00B35" w:rsidRDefault="00CA14AB" w:rsidP="00E00B35">
      <w:pPr>
        <w:spacing w:after="0" w:line="312" w:lineRule="auto"/>
        <w:rPr>
          <w:szCs w:val="20"/>
        </w:rPr>
      </w:pPr>
      <w:r w:rsidRPr="00E00B35">
        <w:rPr>
          <w:szCs w:val="20"/>
        </w:rPr>
        <w:t>Z powodu ogłoszenia stanu epidemii na terenie kraju założone w programie rezultaty nie zostały w całości osiągnięte.</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EDUKACJI ZDROWOTNEJ I WSPARCIA PSYCHOTERAPEUTYCZNEGO DLA DOROSŁYCH OSÓB Z DOŚWIADCZENIEM CHOROBY PSYC</w:t>
      </w:r>
      <w:r w:rsidR="00E062F3" w:rsidRPr="00E00B35">
        <w:rPr>
          <w:szCs w:val="20"/>
        </w:rPr>
        <w:t>HICZNEJ, ICH RODZIN I OPIEKUNÓW</w:t>
      </w:r>
    </w:p>
    <w:p w:rsidR="00CA14AB" w:rsidRPr="00E00B35" w:rsidRDefault="00CA14AB" w:rsidP="00E00B35">
      <w:pPr>
        <w:spacing w:after="0" w:line="312" w:lineRule="auto"/>
        <w:rPr>
          <w:szCs w:val="20"/>
        </w:rPr>
      </w:pPr>
      <w:r w:rsidRPr="00E00B35">
        <w:rPr>
          <w:szCs w:val="20"/>
        </w:rPr>
        <w:t>Celem programu jest upowszechnianie wiedzy o zdrowiu psychicznym oraz promowanie modelu środowiskowej opieki i wsparcie osób z doświadczeniem choroby psychicznej, zaburzeniami psychogeriatrycznymi i ich rodzin/opiekunów, poprzez:</w:t>
      </w:r>
    </w:p>
    <w:p w:rsidR="00CA14AB" w:rsidRPr="00E00B35" w:rsidRDefault="00CA14AB" w:rsidP="00E00B35">
      <w:pPr>
        <w:spacing w:after="0" w:line="312" w:lineRule="auto"/>
        <w:rPr>
          <w:szCs w:val="20"/>
        </w:rPr>
      </w:pPr>
      <w:r w:rsidRPr="00E00B35">
        <w:rPr>
          <w:szCs w:val="20"/>
        </w:rPr>
        <w:t>prowadzenie grupowych zajęć psychoedukacyjnych, ukierunkowanych na łagodzenie problemów dotyczących zdrowia psychicznego dla osób z zaburzeniami psychogeriatrycznymi, z doświadczeniem choroby psychicznej i ich rodzin/opiekunów;</w:t>
      </w:r>
    </w:p>
    <w:p w:rsidR="00CA14AB" w:rsidRPr="00E00B35" w:rsidRDefault="00CA14AB" w:rsidP="00E00B35">
      <w:pPr>
        <w:spacing w:after="0" w:line="312" w:lineRule="auto"/>
        <w:rPr>
          <w:szCs w:val="20"/>
        </w:rPr>
      </w:pPr>
      <w:r w:rsidRPr="00E00B35">
        <w:rPr>
          <w:szCs w:val="20"/>
        </w:rPr>
        <w:t>prowadzenie Klubu Pacjenta i organizację różnych form aktywizacji społecznej i integracji dla osób z doświadczeniem choroby psychicznej lub po kryzysie psychicznym.</w:t>
      </w:r>
    </w:p>
    <w:p w:rsidR="00CA14AB" w:rsidRPr="00E00B35" w:rsidRDefault="00CA14AB" w:rsidP="00E00B35">
      <w:pPr>
        <w:spacing w:after="0" w:line="312" w:lineRule="auto"/>
        <w:rPr>
          <w:szCs w:val="20"/>
        </w:rPr>
      </w:pPr>
      <w:r w:rsidRPr="00E00B35">
        <w:rPr>
          <w:szCs w:val="20"/>
        </w:rPr>
        <w:t>W 2020 r. program realizowany był przez Wrocławskie Centrum Zdrowia SP ZOZ.</w:t>
      </w:r>
    </w:p>
    <w:p w:rsidR="00CA14AB" w:rsidRPr="00E00B35" w:rsidRDefault="00CA14AB" w:rsidP="00E00B35">
      <w:pPr>
        <w:spacing w:after="0" w:line="312" w:lineRule="auto"/>
        <w:rPr>
          <w:szCs w:val="20"/>
        </w:rPr>
      </w:pPr>
      <w:r w:rsidRPr="00E00B35">
        <w:rPr>
          <w:szCs w:val="20"/>
        </w:rPr>
        <w:t>W ramach programu osoby z doświadczeniem choroby psychicznej były aktywizowane do podejmowania codziennych obowiązków i ról społecznych, miały udzielane wsparcie psychologiczne w celu uzupełnienia i podtrzymania leczenia farmakologicznego. Program jest uzupełnieniem świadczeń zdrowotnych finansowanych z NFZ. W 2020 r. programem objęto 30 osób z doświadczeniem choroby psychicznej.</w:t>
      </w:r>
    </w:p>
    <w:p w:rsidR="00CA14AB" w:rsidRPr="00E00B35" w:rsidRDefault="00CA14AB" w:rsidP="00E00B35">
      <w:pPr>
        <w:spacing w:after="0" w:line="312" w:lineRule="auto"/>
        <w:rPr>
          <w:szCs w:val="20"/>
        </w:rPr>
      </w:pPr>
      <w:r w:rsidRPr="00E00B35">
        <w:rPr>
          <w:szCs w:val="20"/>
        </w:rPr>
        <w:t>W 2020 r. ze względu na stan pandemii zostały odwołane Dni Solidarności z Osobami Chorującymi Psychicznie.</w:t>
      </w:r>
    </w:p>
    <w:p w:rsidR="005E6C69" w:rsidRPr="00E00B35" w:rsidRDefault="005E6C69" w:rsidP="00E00B35">
      <w:pPr>
        <w:pStyle w:val="Nagwek5"/>
        <w:rPr>
          <w:szCs w:val="20"/>
        </w:rPr>
      </w:pPr>
    </w:p>
    <w:p w:rsidR="00CA14AB" w:rsidRPr="00E00B35" w:rsidRDefault="00CA14AB" w:rsidP="00E00B35">
      <w:pPr>
        <w:pStyle w:val="Nagwek5"/>
        <w:rPr>
          <w:szCs w:val="20"/>
          <w:highlight w:val="yellow"/>
        </w:rPr>
      </w:pPr>
      <w:r w:rsidRPr="00E00B35">
        <w:rPr>
          <w:szCs w:val="20"/>
        </w:rPr>
        <w:t xml:space="preserve">EDUKACJA ZDROWOTNA ORAZ PROFILAKTYKA OGRANICZAJĄCA ZAGROŻENIA A TAKŻE SZKODY DLA ZDROWIA FIZYCZNEGO I PSYCHICZNEGO WŚRÓD OSÓB BEZDOMNYCH WE WROCŁAWIU </w:t>
      </w:r>
    </w:p>
    <w:p w:rsidR="00CA14AB" w:rsidRPr="00E00B35" w:rsidRDefault="00CA14AB" w:rsidP="00E00B35">
      <w:pPr>
        <w:spacing w:after="0" w:line="312" w:lineRule="auto"/>
        <w:rPr>
          <w:szCs w:val="20"/>
        </w:rPr>
      </w:pPr>
      <w:r w:rsidRPr="00E00B35">
        <w:rPr>
          <w:szCs w:val="20"/>
        </w:rPr>
        <w:t xml:space="preserve">Zadaniem zostały objęte osoby w sytuacji bezdomności ulicznej, beneficjenci StreetBusa, mieszkańcy ogrzewalni - niskoprogowej placówki interwencyjnej Miasta Wrocławia oraz nadużywający alkoholu i innych substancji psychoaktywnych. </w:t>
      </w:r>
    </w:p>
    <w:p w:rsidR="00CA14AB" w:rsidRPr="00E00B35" w:rsidRDefault="00CA14AB" w:rsidP="00E00B35">
      <w:pPr>
        <w:spacing w:after="0" w:line="312" w:lineRule="auto"/>
        <w:rPr>
          <w:szCs w:val="20"/>
        </w:rPr>
      </w:pPr>
      <w:r w:rsidRPr="00E00B35">
        <w:rPr>
          <w:szCs w:val="20"/>
        </w:rPr>
        <w:t>W ramach realizowanego zadania bezdomni mogli skorzystać ze wsparcia psychologicznego, rozmów ze streetwokerem a także pielęgniarką. Prowadzono również działania edukacyjno-informacyjne dotyczące objawów i przebiegu choroby zakaźnej COVID-19, informowano o obostrzeniach epidemicznych panujących w kraju.</w:t>
      </w:r>
    </w:p>
    <w:p w:rsidR="00CA14AB" w:rsidRPr="00E00B35" w:rsidRDefault="00CA14AB" w:rsidP="00E00B35">
      <w:pPr>
        <w:spacing w:after="0" w:line="312" w:lineRule="auto"/>
        <w:rPr>
          <w:szCs w:val="20"/>
        </w:rPr>
      </w:pPr>
      <w:r w:rsidRPr="00E00B35">
        <w:rPr>
          <w:szCs w:val="20"/>
        </w:rPr>
        <w:t xml:space="preserve">Działania edukacyjno-informacyjne prowadzono w formie stacjonarnej, jak również w formie środowiskowej.  </w:t>
      </w:r>
    </w:p>
    <w:p w:rsidR="00CA14AB" w:rsidRPr="00E00B35" w:rsidRDefault="00CA14AB" w:rsidP="00E00B35">
      <w:pPr>
        <w:spacing w:after="0" w:line="312" w:lineRule="auto"/>
        <w:rPr>
          <w:szCs w:val="20"/>
        </w:rPr>
      </w:pPr>
      <w:r w:rsidRPr="00E00B35">
        <w:rPr>
          <w:szCs w:val="20"/>
        </w:rPr>
        <w:t>Zadaniem objęto 253 osoby bezdomne w tym: 22 kobiety i 231 mężczyzn.</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ŚWIADCZENIE SPECJALISTYCZNYCH USŁUG OPIEKUŃCZYCH DLA OSÓB Z ZABURZENIAMI PSYCHICZNYMI</w:t>
      </w:r>
    </w:p>
    <w:p w:rsidR="00CA14AB" w:rsidRPr="00E00B35" w:rsidRDefault="00CA14AB" w:rsidP="00E00B35">
      <w:pPr>
        <w:spacing w:after="0" w:line="312" w:lineRule="auto"/>
        <w:rPr>
          <w:szCs w:val="20"/>
          <w:highlight w:val="yellow"/>
        </w:rPr>
      </w:pPr>
      <w:r w:rsidRPr="00E00B35">
        <w:rPr>
          <w:szCs w:val="20"/>
        </w:rPr>
        <w:t xml:space="preserve">Na podstawie indywidualnych decyzji administracyjnych wydawanych przez Miejski Ośrodek Pomocy Społecznej we Wrocławiu, realizowano specjalistyczne usługi opiekuńcze dla osób z zaburzeniami psychicznymi. Usługi, obejmujące uczenie się oraz doskonalenie u podopiecznych umiejętności zaspokajania podstawowych potrzeb życiowych niezbędnych do samodzielnego życia, funkcjonowania w życiu społecznym i w rodzinie, gospodarowania pieniędzmi, rozwiązywania trudności i niepowodzeń, przygotowywania </w:t>
      </w:r>
      <w:r w:rsidRPr="00E00B35">
        <w:rPr>
          <w:szCs w:val="20"/>
        </w:rPr>
        <w:lastRenderedPageBreak/>
        <w:t>posiłków, zachowania higieny, ładu i porządku w swoim środowisku (pokoju, miejscu zamieszkania), świadczone były w miejscu zamieszkania podopiecznego.</w:t>
      </w:r>
    </w:p>
    <w:p w:rsidR="00CA14AB" w:rsidRPr="00E00B35" w:rsidRDefault="00CA14AB" w:rsidP="00E00B35">
      <w:pPr>
        <w:spacing w:after="0" w:line="312" w:lineRule="auto"/>
        <w:rPr>
          <w:szCs w:val="20"/>
        </w:rPr>
      </w:pPr>
      <w:r w:rsidRPr="00E00B35">
        <w:rPr>
          <w:szCs w:val="20"/>
        </w:rPr>
        <w:t xml:space="preserve">W 2020 r. zrealizowano łącznie 23 676 godzin specjalistycznych usług opiekuńczych dla osób z zaburzeniami psychicznymi. Z usług skorzystało 36 środowisk. </w:t>
      </w:r>
    </w:p>
    <w:p w:rsidR="00CA14AB" w:rsidRPr="00E00B35" w:rsidRDefault="00CA14AB" w:rsidP="00E00B35">
      <w:pPr>
        <w:spacing w:after="0" w:line="312" w:lineRule="auto"/>
        <w:rPr>
          <w:szCs w:val="20"/>
        </w:rPr>
      </w:pPr>
      <w:r w:rsidRPr="00E00B35">
        <w:rPr>
          <w:szCs w:val="20"/>
        </w:rPr>
        <w:t xml:space="preserve">Bezpośrednim realizatorem zadania było Wrocławskie Centrum Zdrowia SP ZOZ we Wrocławiu.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STWIERDZANIE ZGONU I JEGO PRZYCZYNY U OSOBY ZMARŁEJ W MIEJSCU PUBLICZNYM ALBO NIEPUBLICZNYM NA TERENIE MIASTA WROCŁAWIA ZGODNIE ART. 11 USTAWY Z DNIA 31 STYCZNIA 1959 R. O CMENTARZACH I CHOWANIU ZMARŁYCH”</w:t>
      </w:r>
    </w:p>
    <w:p w:rsidR="00CA14AB" w:rsidRPr="00E00B35" w:rsidRDefault="00CA14AB" w:rsidP="00E00B35">
      <w:pPr>
        <w:spacing w:after="0" w:line="312" w:lineRule="auto"/>
        <w:rPr>
          <w:szCs w:val="20"/>
        </w:rPr>
      </w:pPr>
      <w:r w:rsidRPr="00E00B35">
        <w:rPr>
          <w:szCs w:val="20"/>
        </w:rPr>
        <w:t xml:space="preserve">W roku sprawozdawczym 2020, na realizację przedmiotowego zadania wydatkowano kwotę w wysokości 409 200 zł. Celem zadania jest sporządzenie dokumentacji medycznej oraz wystawienie karty zgonu albo protokołu zgonu u osoby zmarłej w miejscu publicznym albo niepublicznym na terenie miasta Wrocławia, zgodnie z art. 11 ustawy z dnia 31 stycznia 1959 r. o cmentarzach i chowaniu zmarłych. Zadanie realizowane jest przez: </w:t>
      </w:r>
    </w:p>
    <w:p w:rsidR="00CA14AB" w:rsidRPr="00E00B35" w:rsidRDefault="00CA14AB" w:rsidP="00BC64AB">
      <w:pPr>
        <w:pStyle w:val="Akapitzlist"/>
        <w:numPr>
          <w:ilvl w:val="0"/>
          <w:numId w:val="172"/>
        </w:numPr>
        <w:spacing w:after="0" w:line="312" w:lineRule="auto"/>
        <w:rPr>
          <w:szCs w:val="20"/>
        </w:rPr>
      </w:pPr>
      <w:r w:rsidRPr="00E00B35">
        <w:rPr>
          <w:szCs w:val="20"/>
        </w:rPr>
        <w:t xml:space="preserve">ustalenie tożsamości zwłok osoby zmarłej, </w:t>
      </w:r>
    </w:p>
    <w:p w:rsidR="00CA14AB" w:rsidRPr="00E00B35" w:rsidRDefault="00CA14AB" w:rsidP="00BC64AB">
      <w:pPr>
        <w:pStyle w:val="Akapitzlist"/>
        <w:numPr>
          <w:ilvl w:val="0"/>
          <w:numId w:val="172"/>
        </w:numPr>
        <w:spacing w:after="0" w:line="312" w:lineRule="auto"/>
        <w:rPr>
          <w:szCs w:val="20"/>
        </w:rPr>
      </w:pPr>
      <w:r w:rsidRPr="00E00B35">
        <w:rPr>
          <w:szCs w:val="20"/>
        </w:rPr>
        <w:t>osobiste dokonanie oględzin zwłok,</w:t>
      </w:r>
    </w:p>
    <w:p w:rsidR="00CA14AB" w:rsidRPr="00E00B35" w:rsidRDefault="00CA14AB" w:rsidP="00BC64AB">
      <w:pPr>
        <w:pStyle w:val="Akapitzlist"/>
        <w:numPr>
          <w:ilvl w:val="0"/>
          <w:numId w:val="172"/>
        </w:numPr>
        <w:spacing w:after="0" w:line="312" w:lineRule="auto"/>
        <w:rPr>
          <w:szCs w:val="20"/>
        </w:rPr>
      </w:pPr>
      <w:r w:rsidRPr="00E00B35">
        <w:rPr>
          <w:szCs w:val="20"/>
        </w:rPr>
        <w:t xml:space="preserve">przeprowadzenie, w miarę możliwości, wywiadu w miejscu i czasie wezwania wśród osób z otoczenia osoby zmarłej, w celu ustalenia okoliczności, w których nastąpił zgon, </w:t>
      </w:r>
    </w:p>
    <w:p w:rsidR="00CA14AB" w:rsidRPr="00E00B35" w:rsidRDefault="00CA14AB" w:rsidP="00BC64AB">
      <w:pPr>
        <w:pStyle w:val="Akapitzlist"/>
        <w:numPr>
          <w:ilvl w:val="0"/>
          <w:numId w:val="172"/>
        </w:numPr>
        <w:spacing w:after="0" w:line="312" w:lineRule="auto"/>
        <w:rPr>
          <w:szCs w:val="20"/>
        </w:rPr>
      </w:pPr>
      <w:r w:rsidRPr="00E00B35">
        <w:rPr>
          <w:szCs w:val="20"/>
        </w:rPr>
        <w:t>zapoznanie się z dokumentami dotyczącymi stanu zdrowia osoby zmarłej  w okresie poprzedzającym zgon, o ile dokumenty takie są dostępne w miejscu i czasie wezwania,</w:t>
      </w:r>
    </w:p>
    <w:p w:rsidR="00CA14AB" w:rsidRPr="00E00B35" w:rsidRDefault="00CA14AB" w:rsidP="00BC64AB">
      <w:pPr>
        <w:pStyle w:val="Akapitzlist"/>
        <w:numPr>
          <w:ilvl w:val="0"/>
          <w:numId w:val="172"/>
        </w:numPr>
        <w:spacing w:after="0" w:line="312" w:lineRule="auto"/>
        <w:rPr>
          <w:szCs w:val="20"/>
        </w:rPr>
      </w:pPr>
      <w:r w:rsidRPr="00E00B35">
        <w:rPr>
          <w:szCs w:val="20"/>
        </w:rPr>
        <w:t xml:space="preserve">stwierdzenie zgonu i jego przyczyny na podstawie oględzin, informacji </w:t>
      </w:r>
      <w:r w:rsidRPr="00E00B35">
        <w:rPr>
          <w:szCs w:val="20"/>
        </w:rPr>
        <w:br/>
        <w:t>z wywiadu i dostępnej dokumentacji medycznej osoby zmarłej.</w:t>
      </w:r>
    </w:p>
    <w:p w:rsidR="00CA14AB" w:rsidRPr="00E00B35" w:rsidRDefault="00CA14AB" w:rsidP="00E00B35">
      <w:pPr>
        <w:spacing w:after="0" w:line="312" w:lineRule="auto"/>
        <w:rPr>
          <w:szCs w:val="20"/>
        </w:rPr>
      </w:pPr>
      <w:r w:rsidRPr="00E00B35">
        <w:rPr>
          <w:szCs w:val="20"/>
        </w:rPr>
        <w:t xml:space="preserve">W ramach realizowanego zadania stwierdzono 479 zgonów. </w:t>
      </w:r>
    </w:p>
    <w:p w:rsidR="005E6C69" w:rsidRPr="00E00B35" w:rsidRDefault="005E6C69" w:rsidP="00E00B35">
      <w:pPr>
        <w:pStyle w:val="Nagwek5"/>
        <w:rPr>
          <w:szCs w:val="20"/>
        </w:rPr>
      </w:pPr>
      <w:bookmarkStart w:id="255" w:name="_Toc72352373"/>
      <w:bookmarkStart w:id="256" w:name="_Toc72352807"/>
    </w:p>
    <w:p w:rsidR="00CA14AB" w:rsidRPr="00E00B35" w:rsidRDefault="00CA14AB" w:rsidP="00E00B35">
      <w:pPr>
        <w:pStyle w:val="Nagwek5"/>
        <w:rPr>
          <w:szCs w:val="20"/>
        </w:rPr>
      </w:pPr>
      <w:r w:rsidRPr="00E00B35">
        <w:rPr>
          <w:szCs w:val="20"/>
        </w:rPr>
        <w:t>USŁUGI OPIEKUŃCZE W MIEJSCU ZAMIESZKANIA KLIENTA</w:t>
      </w:r>
      <w:bookmarkEnd w:id="255"/>
      <w:bookmarkEnd w:id="256"/>
    </w:p>
    <w:p w:rsidR="00CA14AB" w:rsidRPr="00E00B35" w:rsidRDefault="00CA14AB" w:rsidP="00E00B35">
      <w:pPr>
        <w:spacing w:after="0" w:line="312" w:lineRule="auto"/>
        <w:rPr>
          <w:szCs w:val="20"/>
        </w:rPr>
      </w:pPr>
      <w:r w:rsidRPr="00E00B35">
        <w:rPr>
          <w:szCs w:val="20"/>
        </w:rPr>
        <w:t xml:space="preserve">W roku sprawozdawczym 2020, na realizację zadania polegającego na organizowaniu i realizacji usług opiekuńczych w miejscu zamieszkania klienta, któremu MOPS decyzją administracyjną przyznał pomoc w określonym zakresie, okresie i miejscu świadczenia zaplanowano kwotę w wysokości 26 272 309 zł. </w:t>
      </w:r>
    </w:p>
    <w:p w:rsidR="00CA14AB" w:rsidRPr="00E00B35" w:rsidRDefault="00CA14AB" w:rsidP="00E00B35">
      <w:pPr>
        <w:spacing w:after="0" w:line="312" w:lineRule="auto"/>
        <w:rPr>
          <w:szCs w:val="20"/>
        </w:rPr>
      </w:pPr>
      <w:r w:rsidRPr="00E00B35">
        <w:rPr>
          <w:szCs w:val="20"/>
        </w:rPr>
        <w:t>Środki przeznaczone na realizację zadania zostały wykorzystane w wysokości 24 598 530,96 zł, co stanowi 94,00 % kwoty wstępnie planowanej. Klienci wnieśli odpłatność w wysokości 3 679 184 zł. Średni koszt realizacji usług w miesiącu, w przeliczeniu na jednego klienta wyniósł 1 225,27 zł, a pomniejszony o wartość odpłatności klienta 1 041,01 zł.</w:t>
      </w:r>
    </w:p>
    <w:p w:rsidR="00CA14AB" w:rsidRPr="00E00B35" w:rsidRDefault="00CA14AB" w:rsidP="00E00B35">
      <w:pPr>
        <w:spacing w:after="0" w:line="312" w:lineRule="auto"/>
        <w:rPr>
          <w:szCs w:val="20"/>
        </w:rPr>
      </w:pPr>
      <w:r w:rsidRPr="00E00B35">
        <w:rPr>
          <w:szCs w:val="20"/>
        </w:rPr>
        <w:t>Usługi obejmowały pomoc w zaspokajaniu codziennych potrzeb życiowych, opiekę higieniczną, zaleconą przez lekarza pielęgnację oraz, w miarę możliwości, zapewnienie kontaktów z otoczeniem. Zakres świadczonych usług był dostosowany do indywidualnych potrzeb klientów.</w:t>
      </w:r>
    </w:p>
    <w:p w:rsidR="00CA14AB" w:rsidRPr="00E00B35" w:rsidRDefault="00CA14AB" w:rsidP="00E00B35">
      <w:pPr>
        <w:spacing w:after="0" w:line="312" w:lineRule="auto"/>
        <w:rPr>
          <w:szCs w:val="20"/>
        </w:rPr>
      </w:pPr>
      <w:r w:rsidRPr="00E00B35">
        <w:rPr>
          <w:szCs w:val="20"/>
        </w:rPr>
        <w:lastRenderedPageBreak/>
        <w:t>W roku 2020 realizatorem usług, wyłonionym w drodze otwartego konkursu ofert, była Diecezja Wrocławska Kościoła Ewangelicko-Augsburskiego w RP.</w:t>
      </w:r>
    </w:p>
    <w:p w:rsidR="00CA14AB" w:rsidRPr="00E00B35" w:rsidRDefault="00CA14AB" w:rsidP="00E00B35">
      <w:pPr>
        <w:spacing w:after="0" w:line="312" w:lineRule="auto"/>
        <w:rPr>
          <w:szCs w:val="20"/>
        </w:rPr>
      </w:pPr>
      <w:r w:rsidRPr="00E00B35">
        <w:rPr>
          <w:szCs w:val="20"/>
        </w:rPr>
        <w:t xml:space="preserve">W okresie sprawozdawczym usługi opiekuńcze świadczono dla 2 621 osób. Liczba ta jest mniejsza od liczby osób objętych opieką w roku 2019 o 310 osób. Część osób zrezygnowała z opieki z uwagi na stan epidemiczny. </w:t>
      </w:r>
    </w:p>
    <w:p w:rsidR="00CA14AB" w:rsidRPr="00E00B35" w:rsidRDefault="00CA14AB" w:rsidP="00E00B35">
      <w:pPr>
        <w:spacing w:after="0" w:line="312" w:lineRule="auto"/>
        <w:rPr>
          <w:szCs w:val="20"/>
        </w:rPr>
      </w:pPr>
      <w:r w:rsidRPr="00E00B35">
        <w:rPr>
          <w:szCs w:val="20"/>
        </w:rPr>
        <w:t>Średniomiesięcznie w 2020 roku usługi świadczono dla 1673 klientów. W 2020r. zrealizowano łącznie 1 053 813 godzin usług opiekuńczych. Z usług opiekuńczych najczęściej korzystały osoby w wieku poprodukcyjnym, niepełnosprawne, przewlekle i neuleczalnie (długotrwale) chore. Usługami w 2020r. objęto 2 248 klientów samotnie gospodarujących i 373 klientów „w rodzinie”. Usługi zrealizowano u 1 966 kobiet oraz 655 mężczyzn. W 2020 roku z różnych powodów zaprzestano świadczenia usług u 744 osób, w tym z powodu zgonu u 298 osób, u 92 osób z powodu skierowania do placówki DPS/ ZOL/ Hospicjum oraz z powodu rezygnacji z usług u 354 osób.</w:t>
      </w:r>
    </w:p>
    <w:p w:rsidR="00CA14AB" w:rsidRPr="00E00B35" w:rsidRDefault="00CA14AB" w:rsidP="00E00B35">
      <w:pPr>
        <w:spacing w:after="0" w:line="312" w:lineRule="auto"/>
        <w:rPr>
          <w:szCs w:val="20"/>
        </w:rPr>
      </w:pPr>
      <w:r w:rsidRPr="00E00B35">
        <w:rPr>
          <w:szCs w:val="20"/>
        </w:rPr>
        <w:t>Struktura klientów ze względu na wiek w latach 2015-2020: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1981"/>
        <w:gridCol w:w="1104"/>
        <w:gridCol w:w="1100"/>
        <w:gridCol w:w="1100"/>
        <w:gridCol w:w="1100"/>
        <w:gridCol w:w="1100"/>
        <w:gridCol w:w="1100"/>
      </w:tblGrid>
      <w:tr w:rsidR="00CA14AB" w:rsidRPr="00E00B35" w:rsidTr="00CA14AB">
        <w:tc>
          <w:tcPr>
            <w:tcW w:w="477" w:type="dxa"/>
          </w:tcPr>
          <w:p w:rsidR="00CA14AB" w:rsidRPr="00E00B35" w:rsidRDefault="00CA14AB" w:rsidP="00E00B35">
            <w:pPr>
              <w:spacing w:after="0" w:line="312" w:lineRule="auto"/>
              <w:rPr>
                <w:szCs w:val="20"/>
              </w:rPr>
            </w:pPr>
            <w:r w:rsidRPr="00E00B35">
              <w:rPr>
                <w:szCs w:val="20"/>
              </w:rPr>
              <w:t>l.p.</w:t>
            </w:r>
          </w:p>
        </w:tc>
        <w:tc>
          <w:tcPr>
            <w:tcW w:w="1981" w:type="dxa"/>
          </w:tcPr>
          <w:p w:rsidR="00CA14AB" w:rsidRPr="00E00B35" w:rsidRDefault="00CA14AB" w:rsidP="00E00B35">
            <w:pPr>
              <w:spacing w:after="0" w:line="312" w:lineRule="auto"/>
              <w:rPr>
                <w:szCs w:val="20"/>
              </w:rPr>
            </w:pPr>
            <w:r w:rsidRPr="00E00B35">
              <w:rPr>
                <w:szCs w:val="20"/>
              </w:rPr>
              <w:t>Wiek klientów w latach (przedziały wiekowe)</w:t>
            </w:r>
          </w:p>
        </w:tc>
        <w:tc>
          <w:tcPr>
            <w:tcW w:w="1104" w:type="dxa"/>
          </w:tcPr>
          <w:p w:rsidR="00CA14AB" w:rsidRPr="00E00B35" w:rsidRDefault="00CA14AB" w:rsidP="00E00B35">
            <w:pPr>
              <w:spacing w:after="0" w:line="312" w:lineRule="auto"/>
              <w:rPr>
                <w:szCs w:val="20"/>
              </w:rPr>
            </w:pPr>
            <w:r w:rsidRPr="00E00B35">
              <w:rPr>
                <w:szCs w:val="20"/>
              </w:rPr>
              <w:t>Liczba klientów w roku 2015</w:t>
            </w:r>
          </w:p>
        </w:tc>
        <w:tc>
          <w:tcPr>
            <w:tcW w:w="1100" w:type="dxa"/>
          </w:tcPr>
          <w:p w:rsidR="00CA14AB" w:rsidRPr="00E00B35" w:rsidRDefault="00CA14AB" w:rsidP="00E00B35">
            <w:pPr>
              <w:spacing w:after="0" w:line="312" w:lineRule="auto"/>
              <w:rPr>
                <w:szCs w:val="20"/>
              </w:rPr>
            </w:pPr>
            <w:r w:rsidRPr="00E00B35">
              <w:rPr>
                <w:szCs w:val="20"/>
              </w:rPr>
              <w:t>Liczba klientów w roku 2016</w:t>
            </w:r>
          </w:p>
        </w:tc>
        <w:tc>
          <w:tcPr>
            <w:tcW w:w="1100" w:type="dxa"/>
          </w:tcPr>
          <w:p w:rsidR="00CA14AB" w:rsidRPr="00E00B35" w:rsidRDefault="00CA14AB" w:rsidP="00E00B35">
            <w:pPr>
              <w:spacing w:after="0" w:line="312" w:lineRule="auto"/>
              <w:rPr>
                <w:szCs w:val="20"/>
              </w:rPr>
            </w:pPr>
            <w:r w:rsidRPr="00E00B35">
              <w:rPr>
                <w:szCs w:val="20"/>
              </w:rPr>
              <w:t>Liczba klientów w roku 2017</w:t>
            </w:r>
          </w:p>
        </w:tc>
        <w:tc>
          <w:tcPr>
            <w:tcW w:w="1100" w:type="dxa"/>
          </w:tcPr>
          <w:p w:rsidR="00CA14AB" w:rsidRPr="00E00B35" w:rsidRDefault="00CA14AB" w:rsidP="00E00B35">
            <w:pPr>
              <w:spacing w:after="0" w:line="312" w:lineRule="auto"/>
              <w:rPr>
                <w:szCs w:val="20"/>
              </w:rPr>
            </w:pPr>
            <w:r w:rsidRPr="00E00B35">
              <w:rPr>
                <w:szCs w:val="20"/>
              </w:rPr>
              <w:t>Liczba klientów w roku 2018</w:t>
            </w:r>
          </w:p>
        </w:tc>
        <w:tc>
          <w:tcPr>
            <w:tcW w:w="1100" w:type="dxa"/>
          </w:tcPr>
          <w:p w:rsidR="00CA14AB" w:rsidRPr="00E00B35" w:rsidRDefault="00CA14AB" w:rsidP="00E00B35">
            <w:pPr>
              <w:spacing w:after="0" w:line="312" w:lineRule="auto"/>
              <w:rPr>
                <w:szCs w:val="20"/>
              </w:rPr>
            </w:pPr>
            <w:r w:rsidRPr="00E00B35">
              <w:rPr>
                <w:szCs w:val="20"/>
              </w:rPr>
              <w:t>Liczba klientów w roku 2019</w:t>
            </w:r>
          </w:p>
        </w:tc>
        <w:tc>
          <w:tcPr>
            <w:tcW w:w="1100" w:type="dxa"/>
          </w:tcPr>
          <w:p w:rsidR="00CA14AB" w:rsidRPr="00E00B35" w:rsidRDefault="00CA14AB" w:rsidP="00E00B35">
            <w:pPr>
              <w:spacing w:after="0" w:line="312" w:lineRule="auto"/>
              <w:rPr>
                <w:szCs w:val="20"/>
              </w:rPr>
            </w:pPr>
            <w:r w:rsidRPr="00E00B35">
              <w:rPr>
                <w:szCs w:val="20"/>
              </w:rPr>
              <w:t>Liczba klientów w roku 2020</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1</w:t>
            </w:r>
          </w:p>
        </w:tc>
        <w:tc>
          <w:tcPr>
            <w:tcW w:w="1981" w:type="dxa"/>
            <w:vAlign w:val="center"/>
          </w:tcPr>
          <w:p w:rsidR="00CA14AB" w:rsidRPr="00E00B35" w:rsidRDefault="00CA14AB" w:rsidP="00E00B35">
            <w:pPr>
              <w:spacing w:after="0" w:line="312" w:lineRule="auto"/>
              <w:rPr>
                <w:szCs w:val="20"/>
              </w:rPr>
            </w:pPr>
            <w:r w:rsidRPr="00E00B35">
              <w:rPr>
                <w:szCs w:val="20"/>
              </w:rPr>
              <w:t>od 1 roku do 11 lat</w:t>
            </w:r>
          </w:p>
        </w:tc>
        <w:tc>
          <w:tcPr>
            <w:tcW w:w="1104" w:type="dxa"/>
            <w:vAlign w:val="center"/>
          </w:tcPr>
          <w:p w:rsidR="00CA14AB" w:rsidRPr="00E00B35" w:rsidRDefault="00CA14AB" w:rsidP="00E00B35">
            <w:pPr>
              <w:spacing w:after="0" w:line="312" w:lineRule="auto"/>
              <w:rPr>
                <w:szCs w:val="20"/>
              </w:rPr>
            </w:pPr>
            <w:r w:rsidRPr="00E00B35">
              <w:rPr>
                <w:szCs w:val="20"/>
              </w:rPr>
              <w:t>4</w:t>
            </w:r>
          </w:p>
        </w:tc>
        <w:tc>
          <w:tcPr>
            <w:tcW w:w="1100" w:type="dxa"/>
            <w:vAlign w:val="center"/>
          </w:tcPr>
          <w:p w:rsidR="00CA14AB" w:rsidRPr="00E00B35" w:rsidRDefault="00CA14AB" w:rsidP="00E00B35">
            <w:pPr>
              <w:spacing w:after="0" w:line="312" w:lineRule="auto"/>
              <w:rPr>
                <w:szCs w:val="20"/>
              </w:rPr>
            </w:pPr>
            <w:r w:rsidRPr="00E00B35">
              <w:rPr>
                <w:szCs w:val="20"/>
              </w:rPr>
              <w:t>0</w:t>
            </w:r>
          </w:p>
        </w:tc>
        <w:tc>
          <w:tcPr>
            <w:tcW w:w="1100" w:type="dxa"/>
            <w:vAlign w:val="center"/>
          </w:tcPr>
          <w:p w:rsidR="00CA14AB" w:rsidRPr="00E00B35" w:rsidRDefault="00CA14AB" w:rsidP="00E00B35">
            <w:pPr>
              <w:spacing w:after="0" w:line="312" w:lineRule="auto"/>
              <w:rPr>
                <w:szCs w:val="20"/>
              </w:rPr>
            </w:pPr>
            <w:r w:rsidRPr="00E00B35">
              <w:rPr>
                <w:szCs w:val="20"/>
              </w:rPr>
              <w:t>0</w:t>
            </w:r>
          </w:p>
        </w:tc>
        <w:tc>
          <w:tcPr>
            <w:tcW w:w="1100" w:type="dxa"/>
            <w:vAlign w:val="center"/>
          </w:tcPr>
          <w:p w:rsidR="00CA14AB" w:rsidRPr="00E00B35" w:rsidRDefault="00CA14AB" w:rsidP="00E00B35">
            <w:pPr>
              <w:spacing w:after="0" w:line="312" w:lineRule="auto"/>
              <w:rPr>
                <w:szCs w:val="20"/>
              </w:rPr>
            </w:pPr>
            <w:r w:rsidRPr="00E00B35">
              <w:rPr>
                <w:szCs w:val="20"/>
              </w:rPr>
              <w:t>0</w:t>
            </w:r>
          </w:p>
        </w:tc>
        <w:tc>
          <w:tcPr>
            <w:tcW w:w="1100" w:type="dxa"/>
            <w:vAlign w:val="center"/>
          </w:tcPr>
          <w:p w:rsidR="00CA14AB" w:rsidRPr="00E00B35" w:rsidRDefault="00CA14AB" w:rsidP="00E00B35">
            <w:pPr>
              <w:spacing w:after="0" w:line="312" w:lineRule="auto"/>
              <w:rPr>
                <w:szCs w:val="20"/>
              </w:rPr>
            </w:pPr>
            <w:r w:rsidRPr="00E00B35">
              <w:rPr>
                <w:szCs w:val="20"/>
              </w:rPr>
              <w:t>0</w:t>
            </w:r>
          </w:p>
        </w:tc>
        <w:tc>
          <w:tcPr>
            <w:tcW w:w="1100" w:type="dxa"/>
          </w:tcPr>
          <w:p w:rsidR="00CA14AB" w:rsidRPr="00E00B35" w:rsidRDefault="00CA14AB" w:rsidP="00E00B35">
            <w:pPr>
              <w:spacing w:after="0" w:line="312" w:lineRule="auto"/>
              <w:rPr>
                <w:szCs w:val="20"/>
              </w:rPr>
            </w:pPr>
            <w:r w:rsidRPr="00E00B35">
              <w:rPr>
                <w:szCs w:val="20"/>
              </w:rPr>
              <w:t>0</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2</w:t>
            </w:r>
          </w:p>
        </w:tc>
        <w:tc>
          <w:tcPr>
            <w:tcW w:w="1981" w:type="dxa"/>
            <w:vAlign w:val="center"/>
          </w:tcPr>
          <w:p w:rsidR="00CA14AB" w:rsidRPr="00E00B35" w:rsidRDefault="00CA14AB" w:rsidP="00E00B35">
            <w:pPr>
              <w:spacing w:after="0" w:line="312" w:lineRule="auto"/>
              <w:rPr>
                <w:szCs w:val="20"/>
              </w:rPr>
            </w:pPr>
            <w:r w:rsidRPr="00E00B35">
              <w:rPr>
                <w:szCs w:val="20"/>
              </w:rPr>
              <w:t>od 12 do 15 lat</w:t>
            </w:r>
          </w:p>
        </w:tc>
        <w:tc>
          <w:tcPr>
            <w:tcW w:w="1104" w:type="dxa"/>
            <w:vAlign w:val="center"/>
          </w:tcPr>
          <w:p w:rsidR="00CA14AB" w:rsidRPr="00E00B35" w:rsidRDefault="00CA14AB" w:rsidP="00E00B35">
            <w:pPr>
              <w:spacing w:after="0" w:line="312" w:lineRule="auto"/>
              <w:rPr>
                <w:szCs w:val="20"/>
              </w:rPr>
            </w:pPr>
            <w:r w:rsidRPr="00E00B35">
              <w:rPr>
                <w:szCs w:val="20"/>
              </w:rPr>
              <w:t>1</w:t>
            </w:r>
          </w:p>
        </w:tc>
        <w:tc>
          <w:tcPr>
            <w:tcW w:w="1100" w:type="dxa"/>
            <w:vAlign w:val="center"/>
          </w:tcPr>
          <w:p w:rsidR="00CA14AB" w:rsidRPr="00E00B35" w:rsidRDefault="00CA14AB" w:rsidP="00E00B35">
            <w:pPr>
              <w:spacing w:after="0" w:line="312" w:lineRule="auto"/>
              <w:rPr>
                <w:szCs w:val="20"/>
              </w:rPr>
            </w:pPr>
            <w:r w:rsidRPr="00E00B35">
              <w:rPr>
                <w:szCs w:val="20"/>
              </w:rPr>
              <w:t>0</w:t>
            </w:r>
          </w:p>
        </w:tc>
        <w:tc>
          <w:tcPr>
            <w:tcW w:w="1100" w:type="dxa"/>
            <w:vAlign w:val="center"/>
          </w:tcPr>
          <w:p w:rsidR="00CA14AB" w:rsidRPr="00E00B35" w:rsidRDefault="00CA14AB" w:rsidP="00E00B35">
            <w:pPr>
              <w:spacing w:after="0" w:line="312" w:lineRule="auto"/>
              <w:rPr>
                <w:szCs w:val="20"/>
              </w:rPr>
            </w:pPr>
            <w:r w:rsidRPr="00E00B35">
              <w:rPr>
                <w:szCs w:val="20"/>
              </w:rPr>
              <w:t>0</w:t>
            </w:r>
          </w:p>
        </w:tc>
        <w:tc>
          <w:tcPr>
            <w:tcW w:w="1100" w:type="dxa"/>
            <w:vAlign w:val="center"/>
          </w:tcPr>
          <w:p w:rsidR="00CA14AB" w:rsidRPr="00E00B35" w:rsidRDefault="00CA14AB" w:rsidP="00E00B35">
            <w:pPr>
              <w:spacing w:after="0" w:line="312" w:lineRule="auto"/>
              <w:rPr>
                <w:szCs w:val="20"/>
              </w:rPr>
            </w:pPr>
            <w:r w:rsidRPr="00E00B35">
              <w:rPr>
                <w:szCs w:val="20"/>
              </w:rPr>
              <w:t>0</w:t>
            </w:r>
          </w:p>
        </w:tc>
        <w:tc>
          <w:tcPr>
            <w:tcW w:w="1100" w:type="dxa"/>
            <w:vAlign w:val="center"/>
          </w:tcPr>
          <w:p w:rsidR="00CA14AB" w:rsidRPr="00E00B35" w:rsidRDefault="00CA14AB" w:rsidP="00E00B35">
            <w:pPr>
              <w:spacing w:after="0" w:line="312" w:lineRule="auto"/>
              <w:rPr>
                <w:szCs w:val="20"/>
              </w:rPr>
            </w:pPr>
            <w:r w:rsidRPr="00E00B35">
              <w:rPr>
                <w:szCs w:val="20"/>
              </w:rPr>
              <w:t>0</w:t>
            </w:r>
          </w:p>
        </w:tc>
        <w:tc>
          <w:tcPr>
            <w:tcW w:w="1100" w:type="dxa"/>
          </w:tcPr>
          <w:p w:rsidR="00CA14AB" w:rsidRPr="00E00B35" w:rsidRDefault="00CA14AB" w:rsidP="00E00B35">
            <w:pPr>
              <w:spacing w:after="0" w:line="312" w:lineRule="auto"/>
              <w:rPr>
                <w:szCs w:val="20"/>
              </w:rPr>
            </w:pPr>
            <w:r w:rsidRPr="00E00B35">
              <w:rPr>
                <w:szCs w:val="20"/>
              </w:rPr>
              <w:t>0</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3</w:t>
            </w:r>
          </w:p>
        </w:tc>
        <w:tc>
          <w:tcPr>
            <w:tcW w:w="1981" w:type="dxa"/>
            <w:vAlign w:val="center"/>
          </w:tcPr>
          <w:p w:rsidR="00CA14AB" w:rsidRPr="00E00B35" w:rsidRDefault="00CA14AB" w:rsidP="00E00B35">
            <w:pPr>
              <w:spacing w:after="0" w:line="312" w:lineRule="auto"/>
              <w:rPr>
                <w:szCs w:val="20"/>
              </w:rPr>
            </w:pPr>
            <w:r w:rsidRPr="00E00B35">
              <w:rPr>
                <w:szCs w:val="20"/>
              </w:rPr>
              <w:t>od 16 do 21 lat</w:t>
            </w:r>
          </w:p>
        </w:tc>
        <w:tc>
          <w:tcPr>
            <w:tcW w:w="1104" w:type="dxa"/>
            <w:vAlign w:val="center"/>
          </w:tcPr>
          <w:p w:rsidR="00CA14AB" w:rsidRPr="00E00B35" w:rsidRDefault="00CA14AB" w:rsidP="00E00B35">
            <w:pPr>
              <w:spacing w:after="0" w:line="312" w:lineRule="auto"/>
              <w:rPr>
                <w:szCs w:val="20"/>
              </w:rPr>
            </w:pPr>
            <w:r w:rsidRPr="00E00B35">
              <w:rPr>
                <w:szCs w:val="20"/>
              </w:rPr>
              <w:t>2</w:t>
            </w:r>
          </w:p>
        </w:tc>
        <w:tc>
          <w:tcPr>
            <w:tcW w:w="1100" w:type="dxa"/>
            <w:vAlign w:val="center"/>
          </w:tcPr>
          <w:p w:rsidR="00CA14AB" w:rsidRPr="00E00B35" w:rsidRDefault="00CA14AB" w:rsidP="00E00B35">
            <w:pPr>
              <w:spacing w:after="0" w:line="312" w:lineRule="auto"/>
              <w:rPr>
                <w:szCs w:val="20"/>
              </w:rPr>
            </w:pPr>
            <w:r w:rsidRPr="00E00B35">
              <w:rPr>
                <w:szCs w:val="20"/>
              </w:rPr>
              <w:t>1</w:t>
            </w:r>
          </w:p>
        </w:tc>
        <w:tc>
          <w:tcPr>
            <w:tcW w:w="1100" w:type="dxa"/>
            <w:vAlign w:val="center"/>
          </w:tcPr>
          <w:p w:rsidR="00CA14AB" w:rsidRPr="00E00B35" w:rsidRDefault="00CA14AB" w:rsidP="00E00B35">
            <w:pPr>
              <w:spacing w:after="0" w:line="312" w:lineRule="auto"/>
              <w:rPr>
                <w:szCs w:val="20"/>
              </w:rPr>
            </w:pPr>
            <w:r w:rsidRPr="00E00B35">
              <w:rPr>
                <w:szCs w:val="20"/>
              </w:rPr>
              <w:t>0</w:t>
            </w:r>
          </w:p>
        </w:tc>
        <w:tc>
          <w:tcPr>
            <w:tcW w:w="1100" w:type="dxa"/>
            <w:vAlign w:val="center"/>
          </w:tcPr>
          <w:p w:rsidR="00CA14AB" w:rsidRPr="00E00B35" w:rsidRDefault="00CA14AB" w:rsidP="00E00B35">
            <w:pPr>
              <w:spacing w:after="0" w:line="312" w:lineRule="auto"/>
              <w:rPr>
                <w:szCs w:val="20"/>
              </w:rPr>
            </w:pPr>
            <w:r w:rsidRPr="00E00B35">
              <w:rPr>
                <w:szCs w:val="20"/>
              </w:rPr>
              <w:t>0</w:t>
            </w:r>
          </w:p>
        </w:tc>
        <w:tc>
          <w:tcPr>
            <w:tcW w:w="1100" w:type="dxa"/>
            <w:vAlign w:val="center"/>
          </w:tcPr>
          <w:p w:rsidR="00CA14AB" w:rsidRPr="00E00B35" w:rsidRDefault="00CA14AB" w:rsidP="00E00B35">
            <w:pPr>
              <w:spacing w:after="0" w:line="312" w:lineRule="auto"/>
              <w:rPr>
                <w:szCs w:val="20"/>
              </w:rPr>
            </w:pPr>
            <w:r w:rsidRPr="00E00B35">
              <w:rPr>
                <w:szCs w:val="20"/>
              </w:rPr>
              <w:t>0</w:t>
            </w:r>
          </w:p>
        </w:tc>
        <w:tc>
          <w:tcPr>
            <w:tcW w:w="1100" w:type="dxa"/>
          </w:tcPr>
          <w:p w:rsidR="00CA14AB" w:rsidRPr="00E00B35" w:rsidRDefault="00CA14AB" w:rsidP="00E00B35">
            <w:pPr>
              <w:spacing w:after="0" w:line="312" w:lineRule="auto"/>
              <w:rPr>
                <w:szCs w:val="20"/>
              </w:rPr>
            </w:pPr>
            <w:r w:rsidRPr="00E00B35">
              <w:rPr>
                <w:szCs w:val="20"/>
              </w:rPr>
              <w:t>0</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4</w:t>
            </w:r>
          </w:p>
        </w:tc>
        <w:tc>
          <w:tcPr>
            <w:tcW w:w="1981" w:type="dxa"/>
            <w:vAlign w:val="center"/>
          </w:tcPr>
          <w:p w:rsidR="00CA14AB" w:rsidRPr="00E00B35" w:rsidRDefault="00CA14AB" w:rsidP="00E00B35">
            <w:pPr>
              <w:spacing w:after="0" w:line="312" w:lineRule="auto"/>
              <w:rPr>
                <w:szCs w:val="20"/>
              </w:rPr>
            </w:pPr>
            <w:r w:rsidRPr="00E00B35">
              <w:rPr>
                <w:szCs w:val="20"/>
              </w:rPr>
              <w:t>od 22 do 38 lat</w:t>
            </w:r>
          </w:p>
        </w:tc>
        <w:tc>
          <w:tcPr>
            <w:tcW w:w="1104" w:type="dxa"/>
            <w:vAlign w:val="center"/>
          </w:tcPr>
          <w:p w:rsidR="00CA14AB" w:rsidRPr="00E00B35" w:rsidRDefault="00CA14AB" w:rsidP="00E00B35">
            <w:pPr>
              <w:spacing w:after="0" w:line="312" w:lineRule="auto"/>
              <w:rPr>
                <w:szCs w:val="20"/>
              </w:rPr>
            </w:pPr>
            <w:r w:rsidRPr="00E00B35">
              <w:rPr>
                <w:szCs w:val="20"/>
              </w:rPr>
              <w:t>20</w:t>
            </w:r>
          </w:p>
        </w:tc>
        <w:tc>
          <w:tcPr>
            <w:tcW w:w="1100" w:type="dxa"/>
            <w:vAlign w:val="center"/>
          </w:tcPr>
          <w:p w:rsidR="00CA14AB" w:rsidRPr="00E00B35" w:rsidRDefault="00CA14AB" w:rsidP="00E00B35">
            <w:pPr>
              <w:spacing w:after="0" w:line="312" w:lineRule="auto"/>
              <w:rPr>
                <w:szCs w:val="20"/>
              </w:rPr>
            </w:pPr>
            <w:r w:rsidRPr="00E00B35">
              <w:rPr>
                <w:szCs w:val="20"/>
              </w:rPr>
              <w:t>23</w:t>
            </w:r>
          </w:p>
        </w:tc>
        <w:tc>
          <w:tcPr>
            <w:tcW w:w="1100" w:type="dxa"/>
            <w:vAlign w:val="center"/>
          </w:tcPr>
          <w:p w:rsidR="00CA14AB" w:rsidRPr="00E00B35" w:rsidRDefault="00CA14AB" w:rsidP="00E00B35">
            <w:pPr>
              <w:spacing w:after="0" w:line="312" w:lineRule="auto"/>
              <w:rPr>
                <w:szCs w:val="20"/>
              </w:rPr>
            </w:pPr>
            <w:r w:rsidRPr="00E00B35">
              <w:rPr>
                <w:szCs w:val="20"/>
              </w:rPr>
              <w:t>19</w:t>
            </w:r>
          </w:p>
        </w:tc>
        <w:tc>
          <w:tcPr>
            <w:tcW w:w="1100" w:type="dxa"/>
            <w:vAlign w:val="center"/>
          </w:tcPr>
          <w:p w:rsidR="00CA14AB" w:rsidRPr="00E00B35" w:rsidRDefault="00CA14AB" w:rsidP="00E00B35">
            <w:pPr>
              <w:spacing w:after="0" w:line="312" w:lineRule="auto"/>
              <w:rPr>
                <w:szCs w:val="20"/>
              </w:rPr>
            </w:pPr>
            <w:r w:rsidRPr="00E00B35">
              <w:rPr>
                <w:szCs w:val="20"/>
              </w:rPr>
              <w:t>16</w:t>
            </w:r>
          </w:p>
        </w:tc>
        <w:tc>
          <w:tcPr>
            <w:tcW w:w="1100" w:type="dxa"/>
            <w:vAlign w:val="center"/>
          </w:tcPr>
          <w:p w:rsidR="00CA14AB" w:rsidRPr="00E00B35" w:rsidRDefault="00CA14AB" w:rsidP="00E00B35">
            <w:pPr>
              <w:spacing w:after="0" w:line="312" w:lineRule="auto"/>
              <w:rPr>
                <w:szCs w:val="20"/>
              </w:rPr>
            </w:pPr>
            <w:r w:rsidRPr="00E00B35">
              <w:rPr>
                <w:szCs w:val="20"/>
              </w:rPr>
              <w:t>13</w:t>
            </w:r>
          </w:p>
        </w:tc>
        <w:tc>
          <w:tcPr>
            <w:tcW w:w="1100" w:type="dxa"/>
          </w:tcPr>
          <w:p w:rsidR="00CA14AB" w:rsidRPr="00E00B35" w:rsidRDefault="00CA14AB" w:rsidP="00E00B35">
            <w:pPr>
              <w:spacing w:after="0" w:line="312" w:lineRule="auto"/>
              <w:rPr>
                <w:szCs w:val="20"/>
              </w:rPr>
            </w:pPr>
            <w:r w:rsidRPr="00E00B35">
              <w:rPr>
                <w:szCs w:val="20"/>
              </w:rPr>
              <w:t>19</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5</w:t>
            </w:r>
          </w:p>
        </w:tc>
        <w:tc>
          <w:tcPr>
            <w:tcW w:w="1981" w:type="dxa"/>
            <w:vAlign w:val="center"/>
          </w:tcPr>
          <w:p w:rsidR="00CA14AB" w:rsidRPr="00E00B35" w:rsidRDefault="00CA14AB" w:rsidP="00E00B35">
            <w:pPr>
              <w:spacing w:after="0" w:line="312" w:lineRule="auto"/>
              <w:rPr>
                <w:szCs w:val="20"/>
              </w:rPr>
            </w:pPr>
            <w:r w:rsidRPr="00E00B35">
              <w:rPr>
                <w:szCs w:val="20"/>
              </w:rPr>
              <w:t>od 39 do 49 lat</w:t>
            </w:r>
          </w:p>
        </w:tc>
        <w:tc>
          <w:tcPr>
            <w:tcW w:w="1104" w:type="dxa"/>
            <w:vAlign w:val="center"/>
          </w:tcPr>
          <w:p w:rsidR="00CA14AB" w:rsidRPr="00E00B35" w:rsidRDefault="00CA14AB" w:rsidP="00E00B35">
            <w:pPr>
              <w:spacing w:after="0" w:line="312" w:lineRule="auto"/>
              <w:rPr>
                <w:szCs w:val="20"/>
              </w:rPr>
            </w:pPr>
            <w:r w:rsidRPr="00E00B35">
              <w:rPr>
                <w:szCs w:val="20"/>
              </w:rPr>
              <w:t>46</w:t>
            </w:r>
          </w:p>
        </w:tc>
        <w:tc>
          <w:tcPr>
            <w:tcW w:w="1100" w:type="dxa"/>
            <w:vAlign w:val="center"/>
          </w:tcPr>
          <w:p w:rsidR="00CA14AB" w:rsidRPr="00E00B35" w:rsidRDefault="00CA14AB" w:rsidP="00E00B35">
            <w:pPr>
              <w:spacing w:after="0" w:line="312" w:lineRule="auto"/>
              <w:rPr>
                <w:szCs w:val="20"/>
              </w:rPr>
            </w:pPr>
            <w:r w:rsidRPr="00E00B35">
              <w:rPr>
                <w:szCs w:val="20"/>
              </w:rPr>
              <w:t>54</w:t>
            </w:r>
          </w:p>
        </w:tc>
        <w:tc>
          <w:tcPr>
            <w:tcW w:w="1100" w:type="dxa"/>
            <w:vAlign w:val="center"/>
          </w:tcPr>
          <w:p w:rsidR="00CA14AB" w:rsidRPr="00E00B35" w:rsidRDefault="00CA14AB" w:rsidP="00E00B35">
            <w:pPr>
              <w:spacing w:after="0" w:line="312" w:lineRule="auto"/>
              <w:rPr>
                <w:szCs w:val="20"/>
              </w:rPr>
            </w:pPr>
            <w:r w:rsidRPr="00E00B35">
              <w:rPr>
                <w:szCs w:val="20"/>
              </w:rPr>
              <w:t>51</w:t>
            </w:r>
          </w:p>
        </w:tc>
        <w:tc>
          <w:tcPr>
            <w:tcW w:w="1100" w:type="dxa"/>
            <w:vAlign w:val="center"/>
          </w:tcPr>
          <w:p w:rsidR="00CA14AB" w:rsidRPr="00E00B35" w:rsidRDefault="00CA14AB" w:rsidP="00E00B35">
            <w:pPr>
              <w:spacing w:after="0" w:line="312" w:lineRule="auto"/>
              <w:rPr>
                <w:szCs w:val="20"/>
              </w:rPr>
            </w:pPr>
            <w:r w:rsidRPr="00E00B35">
              <w:rPr>
                <w:szCs w:val="20"/>
              </w:rPr>
              <w:t>48</w:t>
            </w:r>
          </w:p>
        </w:tc>
        <w:tc>
          <w:tcPr>
            <w:tcW w:w="1100" w:type="dxa"/>
            <w:vAlign w:val="center"/>
          </w:tcPr>
          <w:p w:rsidR="00CA14AB" w:rsidRPr="00E00B35" w:rsidRDefault="00CA14AB" w:rsidP="00E00B35">
            <w:pPr>
              <w:spacing w:after="0" w:line="312" w:lineRule="auto"/>
              <w:rPr>
                <w:szCs w:val="20"/>
              </w:rPr>
            </w:pPr>
            <w:r w:rsidRPr="00E00B35">
              <w:rPr>
                <w:szCs w:val="20"/>
              </w:rPr>
              <w:t>43</w:t>
            </w:r>
          </w:p>
        </w:tc>
        <w:tc>
          <w:tcPr>
            <w:tcW w:w="1100" w:type="dxa"/>
          </w:tcPr>
          <w:p w:rsidR="00CA14AB" w:rsidRPr="00E00B35" w:rsidRDefault="00CA14AB" w:rsidP="00E00B35">
            <w:pPr>
              <w:spacing w:after="0" w:line="312" w:lineRule="auto"/>
              <w:rPr>
                <w:szCs w:val="20"/>
              </w:rPr>
            </w:pPr>
            <w:r w:rsidRPr="00E00B35">
              <w:rPr>
                <w:szCs w:val="20"/>
              </w:rPr>
              <w:t>43</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6</w:t>
            </w:r>
          </w:p>
        </w:tc>
        <w:tc>
          <w:tcPr>
            <w:tcW w:w="1981" w:type="dxa"/>
            <w:vAlign w:val="center"/>
          </w:tcPr>
          <w:p w:rsidR="00CA14AB" w:rsidRPr="00E00B35" w:rsidRDefault="00CA14AB" w:rsidP="00E00B35">
            <w:pPr>
              <w:spacing w:after="0" w:line="312" w:lineRule="auto"/>
              <w:rPr>
                <w:szCs w:val="20"/>
              </w:rPr>
            </w:pPr>
            <w:r w:rsidRPr="00E00B35">
              <w:rPr>
                <w:szCs w:val="20"/>
              </w:rPr>
              <w:t>od 50 do 59 lat</w:t>
            </w:r>
          </w:p>
        </w:tc>
        <w:tc>
          <w:tcPr>
            <w:tcW w:w="1104" w:type="dxa"/>
            <w:vAlign w:val="center"/>
          </w:tcPr>
          <w:p w:rsidR="00CA14AB" w:rsidRPr="00E00B35" w:rsidRDefault="00CA14AB" w:rsidP="00E00B35">
            <w:pPr>
              <w:spacing w:after="0" w:line="312" w:lineRule="auto"/>
              <w:rPr>
                <w:szCs w:val="20"/>
              </w:rPr>
            </w:pPr>
            <w:r w:rsidRPr="00E00B35">
              <w:rPr>
                <w:szCs w:val="20"/>
              </w:rPr>
              <w:t>142</w:t>
            </w:r>
          </w:p>
        </w:tc>
        <w:tc>
          <w:tcPr>
            <w:tcW w:w="1100" w:type="dxa"/>
            <w:vAlign w:val="center"/>
          </w:tcPr>
          <w:p w:rsidR="00CA14AB" w:rsidRPr="00E00B35" w:rsidRDefault="00CA14AB" w:rsidP="00E00B35">
            <w:pPr>
              <w:spacing w:after="0" w:line="312" w:lineRule="auto"/>
              <w:rPr>
                <w:szCs w:val="20"/>
              </w:rPr>
            </w:pPr>
            <w:r w:rsidRPr="00E00B35">
              <w:rPr>
                <w:szCs w:val="20"/>
              </w:rPr>
              <w:t>159</w:t>
            </w:r>
          </w:p>
        </w:tc>
        <w:tc>
          <w:tcPr>
            <w:tcW w:w="1100" w:type="dxa"/>
            <w:vAlign w:val="center"/>
          </w:tcPr>
          <w:p w:rsidR="00CA14AB" w:rsidRPr="00E00B35" w:rsidRDefault="00CA14AB" w:rsidP="00E00B35">
            <w:pPr>
              <w:spacing w:after="0" w:line="312" w:lineRule="auto"/>
              <w:rPr>
                <w:szCs w:val="20"/>
              </w:rPr>
            </w:pPr>
            <w:r w:rsidRPr="00E00B35">
              <w:rPr>
                <w:szCs w:val="20"/>
              </w:rPr>
              <w:t>147</w:t>
            </w:r>
          </w:p>
        </w:tc>
        <w:tc>
          <w:tcPr>
            <w:tcW w:w="1100" w:type="dxa"/>
            <w:vAlign w:val="center"/>
          </w:tcPr>
          <w:p w:rsidR="00CA14AB" w:rsidRPr="00E00B35" w:rsidRDefault="00CA14AB" w:rsidP="00E00B35">
            <w:pPr>
              <w:spacing w:after="0" w:line="312" w:lineRule="auto"/>
              <w:rPr>
                <w:szCs w:val="20"/>
              </w:rPr>
            </w:pPr>
            <w:r w:rsidRPr="00E00B35">
              <w:rPr>
                <w:szCs w:val="20"/>
              </w:rPr>
              <w:t>142</w:t>
            </w:r>
          </w:p>
        </w:tc>
        <w:tc>
          <w:tcPr>
            <w:tcW w:w="1100" w:type="dxa"/>
            <w:vAlign w:val="center"/>
          </w:tcPr>
          <w:p w:rsidR="00CA14AB" w:rsidRPr="00E00B35" w:rsidRDefault="00CA14AB" w:rsidP="00E00B35">
            <w:pPr>
              <w:spacing w:after="0" w:line="312" w:lineRule="auto"/>
              <w:rPr>
                <w:szCs w:val="20"/>
              </w:rPr>
            </w:pPr>
            <w:r w:rsidRPr="00E00B35">
              <w:rPr>
                <w:szCs w:val="20"/>
              </w:rPr>
              <w:t>119</w:t>
            </w:r>
          </w:p>
        </w:tc>
        <w:tc>
          <w:tcPr>
            <w:tcW w:w="1100" w:type="dxa"/>
          </w:tcPr>
          <w:p w:rsidR="00CA14AB" w:rsidRPr="00E00B35" w:rsidRDefault="00CA14AB" w:rsidP="00E00B35">
            <w:pPr>
              <w:spacing w:after="0" w:line="312" w:lineRule="auto"/>
              <w:rPr>
                <w:szCs w:val="20"/>
              </w:rPr>
            </w:pPr>
            <w:r w:rsidRPr="00E00B35">
              <w:rPr>
                <w:szCs w:val="20"/>
              </w:rPr>
              <w:t>105</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7</w:t>
            </w:r>
          </w:p>
        </w:tc>
        <w:tc>
          <w:tcPr>
            <w:tcW w:w="1981" w:type="dxa"/>
            <w:vAlign w:val="center"/>
          </w:tcPr>
          <w:p w:rsidR="00CA14AB" w:rsidRPr="00E00B35" w:rsidRDefault="00CA14AB" w:rsidP="00E00B35">
            <w:pPr>
              <w:spacing w:after="0" w:line="312" w:lineRule="auto"/>
              <w:rPr>
                <w:szCs w:val="20"/>
              </w:rPr>
            </w:pPr>
            <w:r w:rsidRPr="00E00B35">
              <w:rPr>
                <w:szCs w:val="20"/>
              </w:rPr>
              <w:t>od 60 do 64 lat</w:t>
            </w:r>
          </w:p>
        </w:tc>
        <w:tc>
          <w:tcPr>
            <w:tcW w:w="1104" w:type="dxa"/>
            <w:vAlign w:val="center"/>
          </w:tcPr>
          <w:p w:rsidR="00CA14AB" w:rsidRPr="00E00B35" w:rsidRDefault="00CA14AB" w:rsidP="00E00B35">
            <w:pPr>
              <w:spacing w:after="0" w:line="312" w:lineRule="auto"/>
              <w:rPr>
                <w:szCs w:val="20"/>
              </w:rPr>
            </w:pPr>
            <w:r w:rsidRPr="00E00B35">
              <w:rPr>
                <w:szCs w:val="20"/>
              </w:rPr>
              <w:t>180</w:t>
            </w:r>
          </w:p>
        </w:tc>
        <w:tc>
          <w:tcPr>
            <w:tcW w:w="1100" w:type="dxa"/>
            <w:vAlign w:val="center"/>
          </w:tcPr>
          <w:p w:rsidR="00CA14AB" w:rsidRPr="00E00B35" w:rsidRDefault="00CA14AB" w:rsidP="00E00B35">
            <w:pPr>
              <w:spacing w:after="0" w:line="312" w:lineRule="auto"/>
              <w:rPr>
                <w:szCs w:val="20"/>
              </w:rPr>
            </w:pPr>
            <w:r w:rsidRPr="00E00B35">
              <w:rPr>
                <w:szCs w:val="20"/>
              </w:rPr>
              <w:t>176</w:t>
            </w:r>
          </w:p>
        </w:tc>
        <w:tc>
          <w:tcPr>
            <w:tcW w:w="1100" w:type="dxa"/>
            <w:vAlign w:val="center"/>
          </w:tcPr>
          <w:p w:rsidR="00CA14AB" w:rsidRPr="00E00B35" w:rsidRDefault="00CA14AB" w:rsidP="00E00B35">
            <w:pPr>
              <w:spacing w:after="0" w:line="312" w:lineRule="auto"/>
              <w:rPr>
                <w:szCs w:val="20"/>
              </w:rPr>
            </w:pPr>
            <w:r w:rsidRPr="00E00B35">
              <w:rPr>
                <w:szCs w:val="20"/>
              </w:rPr>
              <w:t>173</w:t>
            </w:r>
          </w:p>
        </w:tc>
        <w:tc>
          <w:tcPr>
            <w:tcW w:w="1100" w:type="dxa"/>
            <w:vAlign w:val="center"/>
          </w:tcPr>
          <w:p w:rsidR="00CA14AB" w:rsidRPr="00E00B35" w:rsidRDefault="00CA14AB" w:rsidP="00E00B35">
            <w:pPr>
              <w:spacing w:after="0" w:line="312" w:lineRule="auto"/>
              <w:rPr>
                <w:szCs w:val="20"/>
              </w:rPr>
            </w:pPr>
            <w:r w:rsidRPr="00E00B35">
              <w:rPr>
                <w:szCs w:val="20"/>
              </w:rPr>
              <w:t>160</w:t>
            </w:r>
          </w:p>
        </w:tc>
        <w:tc>
          <w:tcPr>
            <w:tcW w:w="1100" w:type="dxa"/>
            <w:vAlign w:val="center"/>
          </w:tcPr>
          <w:p w:rsidR="00CA14AB" w:rsidRPr="00E00B35" w:rsidRDefault="00CA14AB" w:rsidP="00E00B35">
            <w:pPr>
              <w:spacing w:after="0" w:line="312" w:lineRule="auto"/>
              <w:rPr>
                <w:szCs w:val="20"/>
              </w:rPr>
            </w:pPr>
            <w:r w:rsidRPr="00E00B35">
              <w:rPr>
                <w:szCs w:val="20"/>
              </w:rPr>
              <w:t>149</w:t>
            </w:r>
          </w:p>
        </w:tc>
        <w:tc>
          <w:tcPr>
            <w:tcW w:w="1100" w:type="dxa"/>
          </w:tcPr>
          <w:p w:rsidR="00CA14AB" w:rsidRPr="00E00B35" w:rsidRDefault="00CA14AB" w:rsidP="00E00B35">
            <w:pPr>
              <w:spacing w:after="0" w:line="312" w:lineRule="auto"/>
              <w:rPr>
                <w:szCs w:val="20"/>
              </w:rPr>
            </w:pPr>
            <w:r w:rsidRPr="00E00B35">
              <w:rPr>
                <w:szCs w:val="20"/>
              </w:rPr>
              <w:t>132</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8</w:t>
            </w:r>
          </w:p>
        </w:tc>
        <w:tc>
          <w:tcPr>
            <w:tcW w:w="1981" w:type="dxa"/>
            <w:vAlign w:val="center"/>
          </w:tcPr>
          <w:p w:rsidR="00CA14AB" w:rsidRPr="00E00B35" w:rsidRDefault="00CA14AB" w:rsidP="00E00B35">
            <w:pPr>
              <w:spacing w:after="0" w:line="312" w:lineRule="auto"/>
              <w:rPr>
                <w:szCs w:val="20"/>
              </w:rPr>
            </w:pPr>
            <w:r w:rsidRPr="00E00B35">
              <w:rPr>
                <w:szCs w:val="20"/>
              </w:rPr>
              <w:t>od 65 do 74 lat</w:t>
            </w:r>
          </w:p>
        </w:tc>
        <w:tc>
          <w:tcPr>
            <w:tcW w:w="1104" w:type="dxa"/>
            <w:vAlign w:val="center"/>
          </w:tcPr>
          <w:p w:rsidR="00CA14AB" w:rsidRPr="00E00B35" w:rsidRDefault="00CA14AB" w:rsidP="00E00B35">
            <w:pPr>
              <w:spacing w:after="0" w:line="312" w:lineRule="auto"/>
              <w:rPr>
                <w:szCs w:val="20"/>
              </w:rPr>
            </w:pPr>
            <w:r w:rsidRPr="00E00B35">
              <w:rPr>
                <w:szCs w:val="20"/>
              </w:rPr>
              <w:t>371</w:t>
            </w:r>
          </w:p>
        </w:tc>
        <w:tc>
          <w:tcPr>
            <w:tcW w:w="1100" w:type="dxa"/>
            <w:vAlign w:val="center"/>
          </w:tcPr>
          <w:p w:rsidR="00CA14AB" w:rsidRPr="00E00B35" w:rsidRDefault="00CA14AB" w:rsidP="00E00B35">
            <w:pPr>
              <w:spacing w:after="0" w:line="312" w:lineRule="auto"/>
              <w:rPr>
                <w:szCs w:val="20"/>
              </w:rPr>
            </w:pPr>
            <w:r w:rsidRPr="00E00B35">
              <w:rPr>
                <w:szCs w:val="20"/>
              </w:rPr>
              <w:t>399</w:t>
            </w:r>
          </w:p>
        </w:tc>
        <w:tc>
          <w:tcPr>
            <w:tcW w:w="1100" w:type="dxa"/>
            <w:vAlign w:val="center"/>
          </w:tcPr>
          <w:p w:rsidR="00CA14AB" w:rsidRPr="00E00B35" w:rsidRDefault="00CA14AB" w:rsidP="00E00B35">
            <w:pPr>
              <w:spacing w:after="0" w:line="312" w:lineRule="auto"/>
              <w:rPr>
                <w:szCs w:val="20"/>
              </w:rPr>
            </w:pPr>
            <w:r w:rsidRPr="00E00B35">
              <w:rPr>
                <w:szCs w:val="20"/>
              </w:rPr>
              <w:t>434</w:t>
            </w:r>
          </w:p>
        </w:tc>
        <w:tc>
          <w:tcPr>
            <w:tcW w:w="1100" w:type="dxa"/>
            <w:vAlign w:val="center"/>
          </w:tcPr>
          <w:p w:rsidR="00CA14AB" w:rsidRPr="00E00B35" w:rsidRDefault="00CA14AB" w:rsidP="00E00B35">
            <w:pPr>
              <w:spacing w:after="0" w:line="312" w:lineRule="auto"/>
              <w:rPr>
                <w:szCs w:val="20"/>
              </w:rPr>
            </w:pPr>
            <w:r w:rsidRPr="00E00B35">
              <w:rPr>
                <w:szCs w:val="20"/>
              </w:rPr>
              <w:t>431</w:t>
            </w:r>
          </w:p>
        </w:tc>
        <w:tc>
          <w:tcPr>
            <w:tcW w:w="1100" w:type="dxa"/>
            <w:vAlign w:val="center"/>
          </w:tcPr>
          <w:p w:rsidR="00CA14AB" w:rsidRPr="00E00B35" w:rsidRDefault="00CA14AB" w:rsidP="00E00B35">
            <w:pPr>
              <w:spacing w:after="0" w:line="312" w:lineRule="auto"/>
              <w:rPr>
                <w:szCs w:val="20"/>
              </w:rPr>
            </w:pPr>
            <w:r w:rsidRPr="00E00B35">
              <w:rPr>
                <w:szCs w:val="20"/>
              </w:rPr>
              <w:t>447</w:t>
            </w:r>
          </w:p>
        </w:tc>
        <w:tc>
          <w:tcPr>
            <w:tcW w:w="1100" w:type="dxa"/>
          </w:tcPr>
          <w:p w:rsidR="00CA14AB" w:rsidRPr="00E00B35" w:rsidRDefault="00CA14AB" w:rsidP="00E00B35">
            <w:pPr>
              <w:spacing w:after="0" w:line="312" w:lineRule="auto"/>
              <w:rPr>
                <w:szCs w:val="20"/>
              </w:rPr>
            </w:pPr>
            <w:r w:rsidRPr="00E00B35">
              <w:rPr>
                <w:szCs w:val="20"/>
              </w:rPr>
              <w:t>416</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9</w:t>
            </w:r>
          </w:p>
        </w:tc>
        <w:tc>
          <w:tcPr>
            <w:tcW w:w="1981" w:type="dxa"/>
            <w:vAlign w:val="center"/>
          </w:tcPr>
          <w:p w:rsidR="00CA14AB" w:rsidRPr="00E00B35" w:rsidRDefault="00CA14AB" w:rsidP="00E00B35">
            <w:pPr>
              <w:spacing w:after="0" w:line="312" w:lineRule="auto"/>
              <w:rPr>
                <w:szCs w:val="20"/>
              </w:rPr>
            </w:pPr>
            <w:r w:rsidRPr="00E00B35">
              <w:rPr>
                <w:szCs w:val="20"/>
              </w:rPr>
              <w:t>od 75 do 79 lat</w:t>
            </w:r>
          </w:p>
        </w:tc>
        <w:tc>
          <w:tcPr>
            <w:tcW w:w="1104" w:type="dxa"/>
            <w:vAlign w:val="center"/>
          </w:tcPr>
          <w:p w:rsidR="00CA14AB" w:rsidRPr="00E00B35" w:rsidRDefault="00CA14AB" w:rsidP="00E00B35">
            <w:pPr>
              <w:spacing w:after="0" w:line="312" w:lineRule="auto"/>
              <w:rPr>
                <w:szCs w:val="20"/>
              </w:rPr>
            </w:pPr>
            <w:r w:rsidRPr="00E00B35">
              <w:rPr>
                <w:szCs w:val="20"/>
              </w:rPr>
              <w:t>339</w:t>
            </w:r>
          </w:p>
        </w:tc>
        <w:tc>
          <w:tcPr>
            <w:tcW w:w="1100" w:type="dxa"/>
            <w:vAlign w:val="center"/>
          </w:tcPr>
          <w:p w:rsidR="00CA14AB" w:rsidRPr="00E00B35" w:rsidRDefault="00CA14AB" w:rsidP="00E00B35">
            <w:pPr>
              <w:spacing w:after="0" w:line="312" w:lineRule="auto"/>
              <w:rPr>
                <w:szCs w:val="20"/>
              </w:rPr>
            </w:pPr>
            <w:r w:rsidRPr="00E00B35">
              <w:rPr>
                <w:szCs w:val="20"/>
              </w:rPr>
              <w:t>348</w:t>
            </w:r>
          </w:p>
        </w:tc>
        <w:tc>
          <w:tcPr>
            <w:tcW w:w="1100" w:type="dxa"/>
            <w:vAlign w:val="center"/>
          </w:tcPr>
          <w:p w:rsidR="00CA14AB" w:rsidRPr="00E00B35" w:rsidRDefault="00CA14AB" w:rsidP="00E00B35">
            <w:pPr>
              <w:spacing w:after="0" w:line="312" w:lineRule="auto"/>
              <w:rPr>
                <w:szCs w:val="20"/>
              </w:rPr>
            </w:pPr>
            <w:r w:rsidRPr="00E00B35">
              <w:rPr>
                <w:szCs w:val="20"/>
              </w:rPr>
              <w:t>344</w:t>
            </w:r>
          </w:p>
        </w:tc>
        <w:tc>
          <w:tcPr>
            <w:tcW w:w="1100" w:type="dxa"/>
            <w:vAlign w:val="center"/>
          </w:tcPr>
          <w:p w:rsidR="00CA14AB" w:rsidRPr="00E00B35" w:rsidRDefault="00CA14AB" w:rsidP="00E00B35">
            <w:pPr>
              <w:spacing w:after="0" w:line="312" w:lineRule="auto"/>
              <w:rPr>
                <w:szCs w:val="20"/>
              </w:rPr>
            </w:pPr>
            <w:r w:rsidRPr="00E00B35">
              <w:rPr>
                <w:szCs w:val="20"/>
              </w:rPr>
              <w:t>314</w:t>
            </w:r>
          </w:p>
        </w:tc>
        <w:tc>
          <w:tcPr>
            <w:tcW w:w="1100" w:type="dxa"/>
            <w:vAlign w:val="center"/>
          </w:tcPr>
          <w:p w:rsidR="00CA14AB" w:rsidRPr="00E00B35" w:rsidRDefault="00CA14AB" w:rsidP="00E00B35">
            <w:pPr>
              <w:spacing w:after="0" w:line="312" w:lineRule="auto"/>
              <w:rPr>
                <w:szCs w:val="20"/>
              </w:rPr>
            </w:pPr>
            <w:r w:rsidRPr="00E00B35">
              <w:rPr>
                <w:szCs w:val="20"/>
              </w:rPr>
              <w:t>298</w:t>
            </w:r>
          </w:p>
        </w:tc>
        <w:tc>
          <w:tcPr>
            <w:tcW w:w="1100" w:type="dxa"/>
          </w:tcPr>
          <w:p w:rsidR="00CA14AB" w:rsidRPr="00E00B35" w:rsidRDefault="00CA14AB" w:rsidP="00E00B35">
            <w:pPr>
              <w:spacing w:after="0" w:line="312" w:lineRule="auto"/>
              <w:rPr>
                <w:szCs w:val="20"/>
              </w:rPr>
            </w:pPr>
            <w:r w:rsidRPr="00E00B35">
              <w:rPr>
                <w:szCs w:val="20"/>
              </w:rPr>
              <w:t>233</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10</w:t>
            </w:r>
          </w:p>
        </w:tc>
        <w:tc>
          <w:tcPr>
            <w:tcW w:w="1981" w:type="dxa"/>
            <w:vAlign w:val="center"/>
          </w:tcPr>
          <w:p w:rsidR="00CA14AB" w:rsidRPr="00E00B35" w:rsidRDefault="00CA14AB" w:rsidP="00E00B35">
            <w:pPr>
              <w:spacing w:after="0" w:line="312" w:lineRule="auto"/>
              <w:rPr>
                <w:szCs w:val="20"/>
              </w:rPr>
            </w:pPr>
            <w:r w:rsidRPr="00E00B35">
              <w:rPr>
                <w:szCs w:val="20"/>
              </w:rPr>
              <w:t>od 80 do 89 lat</w:t>
            </w:r>
          </w:p>
        </w:tc>
        <w:tc>
          <w:tcPr>
            <w:tcW w:w="1104" w:type="dxa"/>
            <w:vAlign w:val="center"/>
          </w:tcPr>
          <w:p w:rsidR="00CA14AB" w:rsidRPr="00E00B35" w:rsidRDefault="00CA14AB" w:rsidP="00E00B35">
            <w:pPr>
              <w:spacing w:after="0" w:line="312" w:lineRule="auto"/>
              <w:rPr>
                <w:szCs w:val="20"/>
              </w:rPr>
            </w:pPr>
            <w:r w:rsidRPr="00E00B35">
              <w:rPr>
                <w:szCs w:val="20"/>
              </w:rPr>
              <w:t>1031</w:t>
            </w:r>
          </w:p>
        </w:tc>
        <w:tc>
          <w:tcPr>
            <w:tcW w:w="1100" w:type="dxa"/>
            <w:vAlign w:val="center"/>
          </w:tcPr>
          <w:p w:rsidR="00CA14AB" w:rsidRPr="00E00B35" w:rsidRDefault="00CA14AB" w:rsidP="00E00B35">
            <w:pPr>
              <w:spacing w:after="0" w:line="312" w:lineRule="auto"/>
              <w:rPr>
                <w:szCs w:val="20"/>
              </w:rPr>
            </w:pPr>
            <w:r w:rsidRPr="00E00B35">
              <w:rPr>
                <w:szCs w:val="20"/>
              </w:rPr>
              <w:t>1126</w:t>
            </w:r>
          </w:p>
        </w:tc>
        <w:tc>
          <w:tcPr>
            <w:tcW w:w="1100" w:type="dxa"/>
            <w:vAlign w:val="center"/>
          </w:tcPr>
          <w:p w:rsidR="00CA14AB" w:rsidRPr="00E00B35" w:rsidRDefault="00CA14AB" w:rsidP="00E00B35">
            <w:pPr>
              <w:spacing w:after="0" w:line="312" w:lineRule="auto"/>
              <w:rPr>
                <w:szCs w:val="20"/>
              </w:rPr>
            </w:pPr>
            <w:r w:rsidRPr="00E00B35">
              <w:rPr>
                <w:szCs w:val="20"/>
              </w:rPr>
              <w:t>1368</w:t>
            </w:r>
          </w:p>
        </w:tc>
        <w:tc>
          <w:tcPr>
            <w:tcW w:w="1100" w:type="dxa"/>
            <w:vAlign w:val="center"/>
          </w:tcPr>
          <w:p w:rsidR="00CA14AB" w:rsidRPr="00E00B35" w:rsidRDefault="00CA14AB" w:rsidP="00E00B35">
            <w:pPr>
              <w:spacing w:after="0" w:line="312" w:lineRule="auto"/>
              <w:rPr>
                <w:szCs w:val="20"/>
              </w:rPr>
            </w:pPr>
            <w:r w:rsidRPr="00E00B35">
              <w:rPr>
                <w:szCs w:val="20"/>
              </w:rPr>
              <w:t>1402</w:t>
            </w:r>
          </w:p>
        </w:tc>
        <w:tc>
          <w:tcPr>
            <w:tcW w:w="1100" w:type="dxa"/>
            <w:vAlign w:val="center"/>
          </w:tcPr>
          <w:p w:rsidR="00CA14AB" w:rsidRPr="00E00B35" w:rsidRDefault="00CA14AB" w:rsidP="00E00B35">
            <w:pPr>
              <w:spacing w:after="0" w:line="312" w:lineRule="auto"/>
              <w:rPr>
                <w:szCs w:val="20"/>
              </w:rPr>
            </w:pPr>
            <w:r w:rsidRPr="00E00B35">
              <w:rPr>
                <w:szCs w:val="20"/>
              </w:rPr>
              <w:t>1253</w:t>
            </w:r>
          </w:p>
        </w:tc>
        <w:tc>
          <w:tcPr>
            <w:tcW w:w="1100" w:type="dxa"/>
          </w:tcPr>
          <w:p w:rsidR="00CA14AB" w:rsidRPr="00E00B35" w:rsidRDefault="00CA14AB" w:rsidP="00E00B35">
            <w:pPr>
              <w:spacing w:after="0" w:line="312" w:lineRule="auto"/>
              <w:rPr>
                <w:szCs w:val="20"/>
              </w:rPr>
            </w:pPr>
            <w:r w:rsidRPr="00E00B35">
              <w:rPr>
                <w:szCs w:val="20"/>
              </w:rPr>
              <w:t>1065</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11</w:t>
            </w:r>
          </w:p>
        </w:tc>
        <w:tc>
          <w:tcPr>
            <w:tcW w:w="1981" w:type="dxa"/>
            <w:vAlign w:val="center"/>
          </w:tcPr>
          <w:p w:rsidR="00CA14AB" w:rsidRPr="00E00B35" w:rsidRDefault="00CA14AB" w:rsidP="00E00B35">
            <w:pPr>
              <w:spacing w:after="0" w:line="312" w:lineRule="auto"/>
              <w:rPr>
                <w:szCs w:val="20"/>
              </w:rPr>
            </w:pPr>
            <w:r w:rsidRPr="00E00B35">
              <w:rPr>
                <w:szCs w:val="20"/>
              </w:rPr>
              <w:t>od 90 do 99 lat</w:t>
            </w:r>
          </w:p>
        </w:tc>
        <w:tc>
          <w:tcPr>
            <w:tcW w:w="1104" w:type="dxa"/>
            <w:vAlign w:val="center"/>
          </w:tcPr>
          <w:p w:rsidR="00CA14AB" w:rsidRPr="00E00B35" w:rsidRDefault="00CA14AB" w:rsidP="00E00B35">
            <w:pPr>
              <w:spacing w:after="0" w:line="312" w:lineRule="auto"/>
              <w:rPr>
                <w:szCs w:val="20"/>
              </w:rPr>
            </w:pPr>
            <w:r w:rsidRPr="00E00B35">
              <w:rPr>
                <w:szCs w:val="20"/>
              </w:rPr>
              <w:t>379</w:t>
            </w:r>
          </w:p>
        </w:tc>
        <w:tc>
          <w:tcPr>
            <w:tcW w:w="1100" w:type="dxa"/>
            <w:vAlign w:val="center"/>
          </w:tcPr>
          <w:p w:rsidR="00CA14AB" w:rsidRPr="00E00B35" w:rsidRDefault="00CA14AB" w:rsidP="00E00B35">
            <w:pPr>
              <w:spacing w:after="0" w:line="312" w:lineRule="auto"/>
              <w:rPr>
                <w:szCs w:val="20"/>
              </w:rPr>
            </w:pPr>
            <w:r w:rsidRPr="00E00B35">
              <w:rPr>
                <w:szCs w:val="20"/>
              </w:rPr>
              <w:t>326</w:t>
            </w:r>
          </w:p>
        </w:tc>
        <w:tc>
          <w:tcPr>
            <w:tcW w:w="1100" w:type="dxa"/>
            <w:vAlign w:val="center"/>
          </w:tcPr>
          <w:p w:rsidR="00CA14AB" w:rsidRPr="00E00B35" w:rsidRDefault="00CA14AB" w:rsidP="00E00B35">
            <w:pPr>
              <w:spacing w:after="0" w:line="312" w:lineRule="auto"/>
              <w:rPr>
                <w:szCs w:val="20"/>
              </w:rPr>
            </w:pPr>
            <w:r w:rsidRPr="00E00B35">
              <w:rPr>
                <w:szCs w:val="20"/>
              </w:rPr>
              <w:t>542</w:t>
            </w:r>
          </w:p>
        </w:tc>
        <w:tc>
          <w:tcPr>
            <w:tcW w:w="1100" w:type="dxa"/>
            <w:vAlign w:val="center"/>
          </w:tcPr>
          <w:p w:rsidR="00CA14AB" w:rsidRPr="00E00B35" w:rsidRDefault="00CA14AB" w:rsidP="00E00B35">
            <w:pPr>
              <w:spacing w:after="0" w:line="312" w:lineRule="auto"/>
              <w:rPr>
                <w:szCs w:val="20"/>
              </w:rPr>
            </w:pPr>
            <w:r w:rsidRPr="00E00B35">
              <w:rPr>
                <w:szCs w:val="20"/>
              </w:rPr>
              <w:t>567</w:t>
            </w:r>
          </w:p>
        </w:tc>
        <w:tc>
          <w:tcPr>
            <w:tcW w:w="1100" w:type="dxa"/>
            <w:vAlign w:val="center"/>
          </w:tcPr>
          <w:p w:rsidR="00CA14AB" w:rsidRPr="00E00B35" w:rsidRDefault="00CA14AB" w:rsidP="00E00B35">
            <w:pPr>
              <w:spacing w:after="0" w:line="312" w:lineRule="auto"/>
              <w:rPr>
                <w:szCs w:val="20"/>
              </w:rPr>
            </w:pPr>
            <w:r w:rsidRPr="00E00B35">
              <w:rPr>
                <w:szCs w:val="20"/>
              </w:rPr>
              <w:t>599</w:t>
            </w:r>
          </w:p>
        </w:tc>
        <w:tc>
          <w:tcPr>
            <w:tcW w:w="1100" w:type="dxa"/>
          </w:tcPr>
          <w:p w:rsidR="00CA14AB" w:rsidRPr="00E00B35" w:rsidRDefault="00CA14AB" w:rsidP="00E00B35">
            <w:pPr>
              <w:spacing w:after="0" w:line="312" w:lineRule="auto"/>
              <w:rPr>
                <w:szCs w:val="20"/>
              </w:rPr>
            </w:pPr>
            <w:r w:rsidRPr="00E00B35">
              <w:rPr>
                <w:szCs w:val="20"/>
              </w:rPr>
              <w:t>601</w:t>
            </w:r>
          </w:p>
        </w:tc>
      </w:tr>
      <w:tr w:rsidR="00CA14AB" w:rsidRPr="00E00B35" w:rsidTr="00CA14AB">
        <w:tc>
          <w:tcPr>
            <w:tcW w:w="477" w:type="dxa"/>
          </w:tcPr>
          <w:p w:rsidR="00CA14AB" w:rsidRPr="00E00B35" w:rsidRDefault="00CA14AB" w:rsidP="00E00B35">
            <w:pPr>
              <w:spacing w:after="0" w:line="312" w:lineRule="auto"/>
              <w:rPr>
                <w:szCs w:val="20"/>
              </w:rPr>
            </w:pPr>
            <w:r w:rsidRPr="00E00B35">
              <w:rPr>
                <w:szCs w:val="20"/>
              </w:rPr>
              <w:t>12</w:t>
            </w:r>
          </w:p>
        </w:tc>
        <w:tc>
          <w:tcPr>
            <w:tcW w:w="1981" w:type="dxa"/>
            <w:vAlign w:val="center"/>
          </w:tcPr>
          <w:p w:rsidR="00CA14AB" w:rsidRPr="00E00B35" w:rsidRDefault="00CA14AB" w:rsidP="00E00B35">
            <w:pPr>
              <w:spacing w:after="0" w:line="312" w:lineRule="auto"/>
              <w:rPr>
                <w:szCs w:val="20"/>
              </w:rPr>
            </w:pPr>
            <w:r w:rsidRPr="00E00B35">
              <w:rPr>
                <w:szCs w:val="20"/>
              </w:rPr>
              <w:t>powyżej 99 lat</w:t>
            </w:r>
          </w:p>
        </w:tc>
        <w:tc>
          <w:tcPr>
            <w:tcW w:w="1104" w:type="dxa"/>
            <w:vAlign w:val="center"/>
          </w:tcPr>
          <w:p w:rsidR="00CA14AB" w:rsidRPr="00E00B35" w:rsidRDefault="00CA14AB" w:rsidP="00E00B35">
            <w:pPr>
              <w:spacing w:after="0" w:line="312" w:lineRule="auto"/>
              <w:rPr>
                <w:szCs w:val="20"/>
              </w:rPr>
            </w:pPr>
            <w:r w:rsidRPr="00E00B35">
              <w:rPr>
                <w:szCs w:val="20"/>
              </w:rPr>
              <w:t>7</w:t>
            </w:r>
          </w:p>
        </w:tc>
        <w:tc>
          <w:tcPr>
            <w:tcW w:w="1100" w:type="dxa"/>
            <w:vAlign w:val="center"/>
          </w:tcPr>
          <w:p w:rsidR="00CA14AB" w:rsidRPr="00E00B35" w:rsidRDefault="00CA14AB" w:rsidP="00E00B35">
            <w:pPr>
              <w:spacing w:after="0" w:line="312" w:lineRule="auto"/>
              <w:rPr>
                <w:szCs w:val="20"/>
              </w:rPr>
            </w:pPr>
            <w:r w:rsidRPr="00E00B35">
              <w:rPr>
                <w:szCs w:val="20"/>
              </w:rPr>
              <w:t>3</w:t>
            </w:r>
          </w:p>
        </w:tc>
        <w:tc>
          <w:tcPr>
            <w:tcW w:w="1100" w:type="dxa"/>
            <w:vAlign w:val="center"/>
          </w:tcPr>
          <w:p w:rsidR="00CA14AB" w:rsidRPr="00E00B35" w:rsidRDefault="00CA14AB" w:rsidP="00E00B35">
            <w:pPr>
              <w:spacing w:after="0" w:line="312" w:lineRule="auto"/>
              <w:rPr>
                <w:szCs w:val="20"/>
              </w:rPr>
            </w:pPr>
            <w:r w:rsidRPr="00E00B35">
              <w:rPr>
                <w:szCs w:val="20"/>
              </w:rPr>
              <w:t>4</w:t>
            </w:r>
          </w:p>
        </w:tc>
        <w:tc>
          <w:tcPr>
            <w:tcW w:w="1100" w:type="dxa"/>
            <w:vAlign w:val="center"/>
          </w:tcPr>
          <w:p w:rsidR="00CA14AB" w:rsidRPr="00E00B35" w:rsidRDefault="00CA14AB" w:rsidP="00E00B35">
            <w:pPr>
              <w:spacing w:after="0" w:line="312" w:lineRule="auto"/>
              <w:rPr>
                <w:szCs w:val="20"/>
              </w:rPr>
            </w:pPr>
            <w:r w:rsidRPr="00E00B35">
              <w:rPr>
                <w:szCs w:val="20"/>
              </w:rPr>
              <w:t>4</w:t>
            </w:r>
          </w:p>
        </w:tc>
        <w:tc>
          <w:tcPr>
            <w:tcW w:w="1100" w:type="dxa"/>
            <w:vAlign w:val="center"/>
          </w:tcPr>
          <w:p w:rsidR="00CA14AB" w:rsidRPr="00E00B35" w:rsidRDefault="00CA14AB" w:rsidP="00E00B35">
            <w:pPr>
              <w:spacing w:after="0" w:line="312" w:lineRule="auto"/>
              <w:rPr>
                <w:szCs w:val="20"/>
              </w:rPr>
            </w:pPr>
            <w:r w:rsidRPr="00E00B35">
              <w:rPr>
                <w:szCs w:val="20"/>
              </w:rPr>
              <w:t>10</w:t>
            </w:r>
          </w:p>
        </w:tc>
        <w:tc>
          <w:tcPr>
            <w:tcW w:w="1100" w:type="dxa"/>
          </w:tcPr>
          <w:p w:rsidR="00CA14AB" w:rsidRPr="00E00B35" w:rsidRDefault="00CA14AB" w:rsidP="00E00B35">
            <w:pPr>
              <w:spacing w:after="0" w:line="312" w:lineRule="auto"/>
              <w:rPr>
                <w:szCs w:val="20"/>
              </w:rPr>
            </w:pPr>
            <w:r w:rsidRPr="00E00B35">
              <w:rPr>
                <w:szCs w:val="20"/>
              </w:rPr>
              <w:t>7</w:t>
            </w:r>
          </w:p>
        </w:tc>
      </w:tr>
      <w:tr w:rsidR="00CA14AB" w:rsidRPr="00E00B35" w:rsidTr="00CA14AB">
        <w:tc>
          <w:tcPr>
            <w:tcW w:w="477" w:type="dxa"/>
          </w:tcPr>
          <w:p w:rsidR="00CA14AB" w:rsidRPr="00E00B35" w:rsidRDefault="00CA14AB" w:rsidP="00E00B35">
            <w:pPr>
              <w:spacing w:after="0" w:line="312" w:lineRule="auto"/>
              <w:rPr>
                <w:szCs w:val="20"/>
              </w:rPr>
            </w:pPr>
          </w:p>
        </w:tc>
        <w:tc>
          <w:tcPr>
            <w:tcW w:w="1981" w:type="dxa"/>
          </w:tcPr>
          <w:p w:rsidR="00CA14AB" w:rsidRPr="00E00B35" w:rsidRDefault="00CA14AB" w:rsidP="00E00B35">
            <w:pPr>
              <w:spacing w:after="0" w:line="312" w:lineRule="auto"/>
              <w:rPr>
                <w:szCs w:val="20"/>
              </w:rPr>
            </w:pPr>
            <w:r w:rsidRPr="00E00B35">
              <w:rPr>
                <w:szCs w:val="20"/>
              </w:rPr>
              <w:t>Razem liczba klientów w roku we wszystkich przedziałach wieku (tj. od 1 roku do powyżej 99 lat)</w:t>
            </w:r>
          </w:p>
        </w:tc>
        <w:tc>
          <w:tcPr>
            <w:tcW w:w="1104" w:type="dxa"/>
            <w:vAlign w:val="center"/>
          </w:tcPr>
          <w:p w:rsidR="00CA14AB" w:rsidRPr="00E00B35" w:rsidRDefault="00CA14AB" w:rsidP="00E00B35">
            <w:pPr>
              <w:spacing w:after="0" w:line="312" w:lineRule="auto"/>
              <w:rPr>
                <w:szCs w:val="20"/>
              </w:rPr>
            </w:pPr>
            <w:r w:rsidRPr="00E00B35">
              <w:rPr>
                <w:szCs w:val="20"/>
              </w:rPr>
              <w:t>2522</w:t>
            </w:r>
          </w:p>
        </w:tc>
        <w:tc>
          <w:tcPr>
            <w:tcW w:w="1100" w:type="dxa"/>
            <w:vAlign w:val="center"/>
          </w:tcPr>
          <w:p w:rsidR="00CA14AB" w:rsidRPr="00E00B35" w:rsidRDefault="00CA14AB" w:rsidP="00E00B35">
            <w:pPr>
              <w:spacing w:after="0" w:line="312" w:lineRule="auto"/>
              <w:rPr>
                <w:szCs w:val="20"/>
              </w:rPr>
            </w:pPr>
            <w:r w:rsidRPr="00E00B35">
              <w:rPr>
                <w:szCs w:val="20"/>
              </w:rPr>
              <w:t>2615</w:t>
            </w:r>
          </w:p>
        </w:tc>
        <w:tc>
          <w:tcPr>
            <w:tcW w:w="1100" w:type="dxa"/>
            <w:vAlign w:val="center"/>
          </w:tcPr>
          <w:p w:rsidR="00CA14AB" w:rsidRPr="00E00B35" w:rsidRDefault="00CA14AB" w:rsidP="00E00B35">
            <w:pPr>
              <w:spacing w:after="0" w:line="312" w:lineRule="auto"/>
              <w:rPr>
                <w:szCs w:val="20"/>
              </w:rPr>
            </w:pPr>
            <w:r w:rsidRPr="00E00B35">
              <w:rPr>
                <w:szCs w:val="20"/>
              </w:rPr>
              <w:t>3082</w:t>
            </w:r>
          </w:p>
        </w:tc>
        <w:tc>
          <w:tcPr>
            <w:tcW w:w="1100" w:type="dxa"/>
            <w:vAlign w:val="center"/>
          </w:tcPr>
          <w:p w:rsidR="00CA14AB" w:rsidRPr="00E00B35" w:rsidRDefault="00CA14AB" w:rsidP="00E00B35">
            <w:pPr>
              <w:spacing w:after="0" w:line="312" w:lineRule="auto"/>
              <w:rPr>
                <w:szCs w:val="20"/>
              </w:rPr>
            </w:pPr>
            <w:r w:rsidRPr="00E00B35">
              <w:rPr>
                <w:szCs w:val="20"/>
              </w:rPr>
              <w:t>3084</w:t>
            </w:r>
          </w:p>
        </w:tc>
        <w:tc>
          <w:tcPr>
            <w:tcW w:w="1100" w:type="dxa"/>
            <w:vAlign w:val="center"/>
          </w:tcPr>
          <w:p w:rsidR="00CA14AB" w:rsidRPr="00E00B35" w:rsidRDefault="00CA14AB" w:rsidP="00E00B35">
            <w:pPr>
              <w:spacing w:after="0" w:line="312" w:lineRule="auto"/>
              <w:rPr>
                <w:szCs w:val="20"/>
              </w:rPr>
            </w:pPr>
            <w:r w:rsidRPr="00E00B35">
              <w:rPr>
                <w:szCs w:val="20"/>
              </w:rPr>
              <w:t>2931</w:t>
            </w:r>
          </w:p>
        </w:tc>
        <w:tc>
          <w:tcPr>
            <w:tcW w:w="1100" w:type="dxa"/>
            <w:vAlign w:val="center"/>
          </w:tcPr>
          <w:p w:rsidR="00CA14AB" w:rsidRPr="00E00B35" w:rsidRDefault="00CA14AB" w:rsidP="00E00B35">
            <w:pPr>
              <w:spacing w:after="0" w:line="312" w:lineRule="auto"/>
              <w:rPr>
                <w:szCs w:val="20"/>
              </w:rPr>
            </w:pPr>
            <w:r w:rsidRPr="00E00B35">
              <w:rPr>
                <w:szCs w:val="20"/>
              </w:rPr>
              <w:t>2621</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Uśrednione dane liczbowe dotyczące usług opiekuńczych realizowanych w 2020 r.:</w:t>
      </w:r>
    </w:p>
    <w:p w:rsidR="00CA14AB" w:rsidRPr="00E00B35" w:rsidRDefault="00CA14AB" w:rsidP="00BC64AB">
      <w:pPr>
        <w:pStyle w:val="Akapitzlist"/>
        <w:numPr>
          <w:ilvl w:val="0"/>
          <w:numId w:val="173"/>
        </w:numPr>
        <w:spacing w:after="0" w:line="312" w:lineRule="auto"/>
        <w:rPr>
          <w:szCs w:val="20"/>
        </w:rPr>
      </w:pPr>
      <w:r w:rsidRPr="00E00B35">
        <w:rPr>
          <w:szCs w:val="20"/>
        </w:rPr>
        <w:t>1 673 to średnia liczba klientów, u których w miesiącu realizowane były usługi;</w:t>
      </w:r>
    </w:p>
    <w:p w:rsidR="00CA14AB" w:rsidRPr="00E00B35" w:rsidRDefault="00CA14AB" w:rsidP="00BC64AB">
      <w:pPr>
        <w:pStyle w:val="Akapitzlist"/>
        <w:numPr>
          <w:ilvl w:val="0"/>
          <w:numId w:val="173"/>
        </w:numPr>
        <w:spacing w:after="0" w:line="312" w:lineRule="auto"/>
        <w:rPr>
          <w:szCs w:val="20"/>
        </w:rPr>
      </w:pPr>
      <w:r w:rsidRPr="00E00B35">
        <w:rPr>
          <w:szCs w:val="20"/>
        </w:rPr>
        <w:t>87 818 to średnia liczba godzin usług zrealizowanych w miesiącu, w tym 10 753 to liczba godzin usług zrealizowanych w soboty, niedziele i święta;</w:t>
      </w:r>
    </w:p>
    <w:p w:rsidR="00CA14AB" w:rsidRPr="00E00B35" w:rsidRDefault="00CA14AB" w:rsidP="00BC64AB">
      <w:pPr>
        <w:pStyle w:val="Akapitzlist"/>
        <w:numPr>
          <w:ilvl w:val="0"/>
          <w:numId w:val="173"/>
        </w:numPr>
        <w:spacing w:after="0" w:line="312" w:lineRule="auto"/>
        <w:rPr>
          <w:szCs w:val="20"/>
        </w:rPr>
      </w:pPr>
      <w:r w:rsidRPr="00E00B35">
        <w:rPr>
          <w:szCs w:val="20"/>
        </w:rPr>
        <w:lastRenderedPageBreak/>
        <w:t>41 to średnia liczba klientów, u których w miesiącu usługi realizowano po raz pierwszy;</w:t>
      </w:r>
    </w:p>
    <w:p w:rsidR="00CA14AB" w:rsidRPr="00E00B35" w:rsidRDefault="00CA14AB" w:rsidP="00BC64AB">
      <w:pPr>
        <w:pStyle w:val="Akapitzlist"/>
        <w:numPr>
          <w:ilvl w:val="0"/>
          <w:numId w:val="173"/>
        </w:numPr>
        <w:spacing w:after="0" w:line="312" w:lineRule="auto"/>
        <w:rPr>
          <w:szCs w:val="20"/>
        </w:rPr>
      </w:pPr>
      <w:r w:rsidRPr="00E00B35">
        <w:rPr>
          <w:szCs w:val="20"/>
        </w:rPr>
        <w:t>704 to średnia liczba opiekunek/opiekunów realizujących usługi w miesiącu;</w:t>
      </w:r>
    </w:p>
    <w:p w:rsidR="00CA14AB" w:rsidRPr="00E00B35" w:rsidRDefault="00CA14AB" w:rsidP="00BC64AB">
      <w:pPr>
        <w:pStyle w:val="Akapitzlist"/>
        <w:numPr>
          <w:ilvl w:val="0"/>
          <w:numId w:val="173"/>
        </w:numPr>
        <w:spacing w:after="0" w:line="312" w:lineRule="auto"/>
        <w:rPr>
          <w:szCs w:val="20"/>
        </w:rPr>
      </w:pPr>
      <w:r w:rsidRPr="00E00B35">
        <w:rPr>
          <w:szCs w:val="20"/>
        </w:rPr>
        <w:t>52,5 to średnia liczba godzin usług świadczonych w miesiącu u jednego klienta;</w:t>
      </w:r>
    </w:p>
    <w:p w:rsidR="00CA14AB" w:rsidRPr="00E00B35" w:rsidRDefault="00CA14AB" w:rsidP="00BC64AB">
      <w:pPr>
        <w:pStyle w:val="Akapitzlist"/>
        <w:numPr>
          <w:ilvl w:val="0"/>
          <w:numId w:val="173"/>
        </w:numPr>
        <w:spacing w:after="0" w:line="312" w:lineRule="auto"/>
        <w:rPr>
          <w:szCs w:val="20"/>
        </w:rPr>
      </w:pPr>
      <w:r w:rsidRPr="00E00B35">
        <w:rPr>
          <w:szCs w:val="20"/>
        </w:rPr>
        <w:t>2,5 to średnia liczba klientów, którymi w miesiącu opiekuje się jedna opiekunka/jeden opiekun.</w:t>
      </w:r>
    </w:p>
    <w:p w:rsidR="00CA14AB" w:rsidRPr="00E00B35" w:rsidRDefault="00CA14AB" w:rsidP="00E00B35">
      <w:pPr>
        <w:spacing w:after="0" w:line="312" w:lineRule="auto"/>
        <w:rPr>
          <w:szCs w:val="20"/>
        </w:rPr>
      </w:pPr>
      <w:r w:rsidRPr="00E00B35">
        <w:rPr>
          <w:szCs w:val="20"/>
        </w:rPr>
        <w:t>Wykształcenie opiekunek świadczących usługi w roku 2020: wyższe 8%, średnie 39%, zawodowe 32% i podstawowe 21%.</w:t>
      </w:r>
    </w:p>
    <w:p w:rsidR="00CA14AB" w:rsidRPr="00E00B35" w:rsidRDefault="00CA14AB" w:rsidP="00E00B35">
      <w:pPr>
        <w:spacing w:after="0" w:line="312" w:lineRule="auto"/>
        <w:rPr>
          <w:szCs w:val="20"/>
        </w:rPr>
      </w:pPr>
      <w:r w:rsidRPr="00E00B35">
        <w:rPr>
          <w:szCs w:val="20"/>
        </w:rPr>
        <w:t>Jakość usług świadczonych przez opiekunki poddawana była systematycznemu monitoringowi przez 36 pracowników socjalnych MOPS oraz Zespół ds. Organizacji i Nadzoru MOPS. W okresie sprawozdawczym przeprowadzono 11 773 wizyt monitorujących usługi, w tym 8 844 w formie telefonicznej z uwagi na stan epidemiczny w Polsce. Z uwagi na pandemię Covid-19 nie było możliwości przeprowadzenia kontroli usług i w związku z powyższym pracownik Sekcji Kontroli MOPS przeprowadził 201 rozmów telefonicznych z klientami, którzy korzystają z tej formy pomocy celem sprawdzenia czy usługi opiekuńcze świadczone są prawidłowo. Uwzględniając bieżące zdarzenia i doświadczenie z nich wynikające, w trakcie 2020 r. stale modyfikowano i udoskonalano sposób realizacji i jakość usług oraz działania nadzorcze.</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REALIZACJA DZIAŁAŃ W ZAKRESIE ZAPOBIEGANIA ROZPRZESTRZENIANIU SIĘ CHORÓB ZAKAŹNYCH COVID-19 I INNYCH ORAZ ZWALCZANIE ICH SKUTKÓW. </w:t>
      </w:r>
    </w:p>
    <w:p w:rsidR="00CA14AB" w:rsidRPr="00E00B35" w:rsidRDefault="00CA14AB" w:rsidP="00E00B35">
      <w:pPr>
        <w:spacing w:after="0" w:line="312" w:lineRule="auto"/>
        <w:rPr>
          <w:szCs w:val="20"/>
        </w:rPr>
      </w:pPr>
      <w:r w:rsidRPr="00E00B35">
        <w:rPr>
          <w:szCs w:val="20"/>
        </w:rPr>
        <w:t>W roku sprawozdawczym 2020, na realizację przedmiotowego zadania, zaplanowano kwotę 131 000,00 zł, z której wydatkowano 129 957,00 zł, co stanowi 99,20 %.</w:t>
      </w:r>
    </w:p>
    <w:p w:rsidR="00CA14AB" w:rsidRPr="00E00B35" w:rsidRDefault="00CA14AB" w:rsidP="00E00B35">
      <w:pPr>
        <w:spacing w:after="0" w:line="312" w:lineRule="auto"/>
        <w:rPr>
          <w:szCs w:val="20"/>
        </w:rPr>
      </w:pPr>
      <w:r w:rsidRPr="00E00B35">
        <w:rPr>
          <w:szCs w:val="20"/>
        </w:rPr>
        <w:t xml:space="preserve">Zadaniem zostały objęte domy pomocy społecznej we Wrocławiu, prowadzone przez organizacje pozarządowe, które skorzystały z zaproszenia prezydenta Miasta na realizację zadania publicznego. </w:t>
      </w:r>
    </w:p>
    <w:p w:rsidR="00CA14AB" w:rsidRPr="00E00B35" w:rsidRDefault="00CA14AB" w:rsidP="00E00B35">
      <w:pPr>
        <w:spacing w:after="0" w:line="312" w:lineRule="auto"/>
        <w:rPr>
          <w:szCs w:val="20"/>
        </w:rPr>
      </w:pPr>
      <w:r w:rsidRPr="00E00B35">
        <w:rPr>
          <w:szCs w:val="20"/>
        </w:rPr>
        <w:t xml:space="preserve">W ramach zadania dokonano zakupów środków ochrony indywidualnej, zapobiegających rozprzestrzenianiu się chorób zakaźnych i zwalczaniu ich skutków w placówkach świadczących usługi socjalano - bytowe, opiekuńcze, wspomagające i edukacyjne osobom wymagającym całodobowej opieki z powodu wieku, chorób oraz niepełnosprawności. </w:t>
      </w:r>
    </w:p>
    <w:p w:rsidR="005E6C69" w:rsidRPr="00E00B35" w:rsidRDefault="005E6C69" w:rsidP="00E00B35">
      <w:pPr>
        <w:pStyle w:val="Nagwek5"/>
        <w:rPr>
          <w:szCs w:val="20"/>
        </w:rPr>
      </w:pPr>
      <w:bookmarkStart w:id="257" w:name="_Toc72352374"/>
      <w:bookmarkStart w:id="258" w:name="_Toc72352808"/>
    </w:p>
    <w:p w:rsidR="00CA14AB" w:rsidRPr="00E00B35" w:rsidRDefault="00CA14AB" w:rsidP="00E00B35">
      <w:pPr>
        <w:pStyle w:val="Nagwek5"/>
        <w:rPr>
          <w:szCs w:val="20"/>
        </w:rPr>
      </w:pPr>
      <w:r w:rsidRPr="00E00B35">
        <w:rPr>
          <w:szCs w:val="20"/>
        </w:rPr>
        <w:t>REALIZACJA ZADAŃ ZWIĄZANYCH Z WYSTĄPIENIEM SYTUACJI KRYZYSOWYCH</w:t>
      </w:r>
      <w:bookmarkEnd w:id="257"/>
      <w:bookmarkEnd w:id="258"/>
      <w:r w:rsidRPr="00E00B35">
        <w:rPr>
          <w:szCs w:val="20"/>
        </w:rPr>
        <w:t xml:space="preserve"> </w:t>
      </w:r>
    </w:p>
    <w:p w:rsidR="00CA14AB" w:rsidRPr="00E00B35" w:rsidRDefault="00CA14AB" w:rsidP="00E00B35">
      <w:pPr>
        <w:spacing w:after="0" w:line="312" w:lineRule="auto"/>
        <w:rPr>
          <w:szCs w:val="20"/>
        </w:rPr>
      </w:pPr>
      <w:r w:rsidRPr="00E00B35">
        <w:rPr>
          <w:szCs w:val="20"/>
        </w:rPr>
        <w:t>W roku sprawozdawczym 2020, na realizację przedmiotowego zadania, zaplanowano kwotę 120 000,00 zł., z której wydatkowano 79 872,31 zł, co stanowi 66,56 %.</w:t>
      </w:r>
    </w:p>
    <w:p w:rsidR="005E6C69" w:rsidRPr="00E00B35" w:rsidRDefault="005E6C69" w:rsidP="00E00B35">
      <w:pPr>
        <w:pStyle w:val="Nagwek5"/>
        <w:rPr>
          <w:szCs w:val="20"/>
        </w:rPr>
      </w:pPr>
      <w:bookmarkStart w:id="259" w:name="_Toc72352375"/>
      <w:bookmarkStart w:id="260" w:name="_Toc72352809"/>
    </w:p>
    <w:p w:rsidR="00CA14AB" w:rsidRPr="00E00B35" w:rsidRDefault="00CA14AB" w:rsidP="00E00B35">
      <w:pPr>
        <w:pStyle w:val="Nagwek5"/>
        <w:rPr>
          <w:szCs w:val="20"/>
        </w:rPr>
      </w:pPr>
      <w:r w:rsidRPr="00E00B35">
        <w:rPr>
          <w:szCs w:val="20"/>
        </w:rPr>
        <w:t>TESTOWANIE NA OBECNOŚĆ KORONAWIRUSA SARS-CoV-2</w:t>
      </w:r>
      <w:bookmarkEnd w:id="259"/>
      <w:bookmarkEnd w:id="260"/>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Zadanie polega na przeprowadzaniu testów przesiewowych na potrzeby wskazanych przez Gminę Wrocław jednostek pomocy społecznej i organizacji pozarządowych realizujących zadania publiczne z zakresu pomocy społecznej, których działalność jest finansowana lub dofinansowywana ze środków własnych Gminy. </w:t>
      </w:r>
      <w:r w:rsidRPr="00E00B35">
        <w:rPr>
          <w:szCs w:val="20"/>
        </w:rPr>
        <w:br/>
        <w:t xml:space="preserve">W okresie od dnia 21.04.2020 r. do dnia 31.12.2020r. u 944 pracowników jednostek </w:t>
      </w:r>
      <w:r w:rsidRPr="00E00B35">
        <w:rPr>
          <w:szCs w:val="20"/>
        </w:rPr>
        <w:lastRenderedPageBreak/>
        <w:t xml:space="preserve">pomocy społecznej i organizacji pozarządowych przeprowadzono 1070 testów kasetowych oraz 153 wymazów.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ZAKUP SPRZĘTU MEDYCZNEGO NIEZBĘDNEGO DO OKAŻANIA POMIESZCZEŃ, W KTÓRYCH REALIZOWANE SĄ PRZEZ PRZYJMUJĄCEGO ŚWIADCZENIA ZDROWOTNE </w:t>
      </w:r>
    </w:p>
    <w:p w:rsidR="00CA14AB" w:rsidRPr="00E00B35" w:rsidRDefault="00CA14AB" w:rsidP="00E00B35">
      <w:pPr>
        <w:spacing w:after="0" w:line="312" w:lineRule="auto"/>
        <w:rPr>
          <w:szCs w:val="20"/>
        </w:rPr>
      </w:pPr>
      <w:r w:rsidRPr="00E00B35">
        <w:rPr>
          <w:szCs w:val="20"/>
        </w:rPr>
        <w:t xml:space="preserve">Udzielona Centrum Neuropsychiatrii „NEUROMED” SP ZOZ dotacja w wysokości </w:t>
      </w:r>
      <w:r w:rsidRPr="00E00B35">
        <w:rPr>
          <w:szCs w:val="20"/>
        </w:rPr>
        <w:br/>
        <w:t>12 000 zł została przeznaczona na zakup 4 lamp bakteriobójczych dla skuteczniejszej dezynfekcji powietrza na oddziałach i w poradniach podczas zwalczania zakażenia, zapobiegania rozprzestrzenianiu się, profilaktyki oraz zwalczania skutków choroby, wywołanej wirusem SARS-CoV-2.</w:t>
      </w:r>
    </w:p>
    <w:p w:rsidR="005E6C69" w:rsidRPr="00E00B35" w:rsidRDefault="005E6C69" w:rsidP="00E00B35">
      <w:pPr>
        <w:pStyle w:val="Nagwek5"/>
        <w:rPr>
          <w:szCs w:val="20"/>
        </w:rPr>
      </w:pPr>
      <w:bookmarkStart w:id="261" w:name="_Toc72352376"/>
      <w:bookmarkStart w:id="262" w:name="_Toc72352810"/>
    </w:p>
    <w:p w:rsidR="00CA14AB" w:rsidRPr="00E00B35" w:rsidRDefault="00CA14AB" w:rsidP="00E00B35">
      <w:pPr>
        <w:pStyle w:val="Nagwek5"/>
        <w:rPr>
          <w:szCs w:val="20"/>
        </w:rPr>
      </w:pPr>
      <w:r w:rsidRPr="00E00B35">
        <w:rPr>
          <w:szCs w:val="20"/>
        </w:rPr>
        <w:t>ZAKUP SPRZĘTU MEDYCZNEGO NIEZBĘDNEGO DO OCHRONY OSOBISTEJ PERSONELU</w:t>
      </w:r>
      <w:bookmarkEnd w:id="261"/>
      <w:bookmarkEnd w:id="262"/>
      <w:r w:rsidRPr="00E00B35">
        <w:rPr>
          <w:szCs w:val="20"/>
        </w:rPr>
        <w:t xml:space="preserve"> </w:t>
      </w:r>
    </w:p>
    <w:p w:rsidR="00CA14AB" w:rsidRPr="00E00B35" w:rsidRDefault="00CA14AB" w:rsidP="00E00B35">
      <w:pPr>
        <w:spacing w:after="0" w:line="312" w:lineRule="auto"/>
        <w:rPr>
          <w:szCs w:val="20"/>
        </w:rPr>
      </w:pPr>
      <w:r w:rsidRPr="00E00B35">
        <w:rPr>
          <w:szCs w:val="20"/>
        </w:rPr>
        <w:t>Udzielona Centrum Medycznemu MEDIX dotacja w wysokości 18 000 zł została przeznaczona na zakup środków ochrony indywidualnej i środków dezynfekcyjnych, dla personelu medycznego realizującego świadczenia zdrowotne, podczas zwalczania zakażenia, zapobiegania rozprzestrzenianiu się, profilaktyki oraz zwalczania skutków choroby, wywołanej wirusem SARS-CoV-2.</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WSPARCIA DLA MAŁŻEŃSTW I RODZIN Z MAŁYMI DZIEĆMI W REJONIE OSIEDLA NADODRZE</w:t>
      </w:r>
    </w:p>
    <w:p w:rsidR="00CA14AB" w:rsidRPr="00E00B35" w:rsidRDefault="00CA14AB" w:rsidP="00E00B35">
      <w:pPr>
        <w:spacing w:after="0" w:line="312" w:lineRule="auto"/>
        <w:rPr>
          <w:szCs w:val="20"/>
        </w:rPr>
      </w:pPr>
      <w:r w:rsidRPr="00E00B35">
        <w:rPr>
          <w:szCs w:val="20"/>
        </w:rPr>
        <w:t xml:space="preserve">Celem realizacji zadania jest poprawa jakości życia małżeństw, rodzin z małymi dziećmi </w:t>
      </w:r>
      <w:r w:rsidRPr="00E00B35">
        <w:rPr>
          <w:szCs w:val="20"/>
        </w:rPr>
        <w:br/>
        <w:t>i osób samotnie wychowujących dzieci, szczególnie znajdujących się w trudnej sytuacji życiowej, kryzysie oraz zagrożonych wykluczeniem społecznym - poprzez udzielanie różnego rodzaju form wsparcia.</w:t>
      </w:r>
    </w:p>
    <w:p w:rsidR="00CA14AB" w:rsidRPr="00E00B35" w:rsidRDefault="00CA14AB" w:rsidP="00E00B35">
      <w:pPr>
        <w:spacing w:after="0" w:line="312" w:lineRule="auto"/>
        <w:rPr>
          <w:szCs w:val="20"/>
        </w:rPr>
      </w:pPr>
      <w:r w:rsidRPr="00E00B35">
        <w:rPr>
          <w:szCs w:val="20"/>
        </w:rPr>
        <w:t>Zadanie polega na przygotowaniu i prowadzeniu działań wspierających małżeństwa, rodziny z małymi dziećmi oraz rodziców samotnie wychowujących dzieci celem przywrócenia lub wzmocnienia funkcji rodziny, pomocy w integracji rodziny, przeciwdziałania marginalizacji i degradacji społecznej, zapobiegania kryzysom.</w:t>
      </w:r>
    </w:p>
    <w:p w:rsidR="00CA14AB" w:rsidRPr="00E00B35" w:rsidRDefault="00CA14AB" w:rsidP="00E00B35">
      <w:pPr>
        <w:spacing w:after="0" w:line="312" w:lineRule="auto"/>
        <w:rPr>
          <w:szCs w:val="20"/>
        </w:rPr>
      </w:pPr>
      <w:r w:rsidRPr="00E00B35">
        <w:rPr>
          <w:szCs w:val="20"/>
        </w:rPr>
        <w:t>Zakres tematyczny działań m.in.:</w:t>
      </w:r>
    </w:p>
    <w:p w:rsidR="00CA14AB" w:rsidRPr="00E00B35" w:rsidRDefault="00CA14AB" w:rsidP="00BC64AB">
      <w:pPr>
        <w:pStyle w:val="Akapitzlist"/>
        <w:numPr>
          <w:ilvl w:val="0"/>
          <w:numId w:val="174"/>
        </w:numPr>
        <w:spacing w:after="0" w:line="312" w:lineRule="auto"/>
        <w:rPr>
          <w:szCs w:val="20"/>
        </w:rPr>
      </w:pPr>
      <w:r w:rsidRPr="00E00B35">
        <w:rPr>
          <w:szCs w:val="20"/>
        </w:rPr>
        <w:t>kształtowanie, wzmacnianie i rozwój kompetencji opiekuńczo-wychowawczych,</w:t>
      </w:r>
    </w:p>
    <w:p w:rsidR="00CA14AB" w:rsidRPr="00E00B35" w:rsidRDefault="00CA14AB" w:rsidP="00BC64AB">
      <w:pPr>
        <w:pStyle w:val="Akapitzlist"/>
        <w:numPr>
          <w:ilvl w:val="0"/>
          <w:numId w:val="174"/>
        </w:numPr>
        <w:spacing w:after="0" w:line="312" w:lineRule="auto"/>
        <w:rPr>
          <w:szCs w:val="20"/>
        </w:rPr>
      </w:pPr>
      <w:r w:rsidRPr="00E00B35">
        <w:rPr>
          <w:szCs w:val="20"/>
        </w:rPr>
        <w:t xml:space="preserve">kształtowanie i rozwój umiejętności społecznych, </w:t>
      </w:r>
    </w:p>
    <w:p w:rsidR="00CA14AB" w:rsidRPr="00E00B35" w:rsidRDefault="00CA14AB" w:rsidP="00BC64AB">
      <w:pPr>
        <w:pStyle w:val="Akapitzlist"/>
        <w:numPr>
          <w:ilvl w:val="0"/>
          <w:numId w:val="174"/>
        </w:numPr>
        <w:spacing w:after="0" w:line="312" w:lineRule="auto"/>
        <w:rPr>
          <w:szCs w:val="20"/>
        </w:rPr>
      </w:pPr>
      <w:r w:rsidRPr="00E00B35">
        <w:rPr>
          <w:szCs w:val="20"/>
        </w:rPr>
        <w:t>zapobieganie kryzysom małżeńskim,</w:t>
      </w:r>
    </w:p>
    <w:p w:rsidR="00CA14AB" w:rsidRPr="00E00B35" w:rsidRDefault="00CA14AB" w:rsidP="00BC64AB">
      <w:pPr>
        <w:pStyle w:val="Akapitzlist"/>
        <w:numPr>
          <w:ilvl w:val="0"/>
          <w:numId w:val="174"/>
        </w:numPr>
        <w:spacing w:after="0" w:line="312" w:lineRule="auto"/>
        <w:rPr>
          <w:szCs w:val="20"/>
        </w:rPr>
      </w:pPr>
      <w:r w:rsidRPr="00E00B35">
        <w:rPr>
          <w:szCs w:val="20"/>
        </w:rPr>
        <w:t xml:space="preserve">wzmacnianie więzi małżeńskich, rozwiązywanie konfliktów, </w:t>
      </w:r>
    </w:p>
    <w:p w:rsidR="00CA14AB" w:rsidRPr="00E00B35" w:rsidRDefault="00CA14AB" w:rsidP="00BC64AB">
      <w:pPr>
        <w:pStyle w:val="Akapitzlist"/>
        <w:numPr>
          <w:ilvl w:val="0"/>
          <w:numId w:val="174"/>
        </w:numPr>
        <w:spacing w:after="0" w:line="312" w:lineRule="auto"/>
        <w:rPr>
          <w:szCs w:val="20"/>
        </w:rPr>
      </w:pPr>
      <w:r w:rsidRPr="00E00B35">
        <w:rPr>
          <w:szCs w:val="20"/>
        </w:rPr>
        <w:t>problemy prokreacyjne,</w:t>
      </w:r>
    </w:p>
    <w:p w:rsidR="00CA14AB" w:rsidRPr="00E00B35" w:rsidRDefault="00CA14AB" w:rsidP="00BC64AB">
      <w:pPr>
        <w:pStyle w:val="Akapitzlist"/>
        <w:numPr>
          <w:ilvl w:val="0"/>
          <w:numId w:val="174"/>
        </w:numPr>
        <w:spacing w:after="0" w:line="312" w:lineRule="auto"/>
        <w:rPr>
          <w:szCs w:val="20"/>
        </w:rPr>
      </w:pPr>
      <w:r w:rsidRPr="00E00B35">
        <w:rPr>
          <w:szCs w:val="20"/>
        </w:rPr>
        <w:t>żywienie naturalne i sztuczne,</w:t>
      </w:r>
    </w:p>
    <w:p w:rsidR="00CA14AB" w:rsidRPr="00E00B35" w:rsidRDefault="00CA14AB" w:rsidP="00BC64AB">
      <w:pPr>
        <w:pStyle w:val="Akapitzlist"/>
        <w:numPr>
          <w:ilvl w:val="0"/>
          <w:numId w:val="174"/>
        </w:numPr>
        <w:spacing w:after="0" w:line="312" w:lineRule="auto"/>
        <w:rPr>
          <w:szCs w:val="20"/>
        </w:rPr>
      </w:pPr>
      <w:r w:rsidRPr="00E00B35">
        <w:rPr>
          <w:szCs w:val="20"/>
        </w:rPr>
        <w:t>promocja zdrowego stylu życia,</w:t>
      </w:r>
    </w:p>
    <w:p w:rsidR="00CA14AB" w:rsidRPr="00E00B35" w:rsidRDefault="00CA14AB" w:rsidP="00BC64AB">
      <w:pPr>
        <w:pStyle w:val="Akapitzlist"/>
        <w:numPr>
          <w:ilvl w:val="0"/>
          <w:numId w:val="174"/>
        </w:numPr>
        <w:spacing w:after="0" w:line="312" w:lineRule="auto"/>
        <w:rPr>
          <w:szCs w:val="20"/>
        </w:rPr>
      </w:pPr>
      <w:r w:rsidRPr="00E00B35">
        <w:rPr>
          <w:szCs w:val="20"/>
        </w:rPr>
        <w:t>problemy i trudności w okresie wczesnego macierzyństwa,</w:t>
      </w:r>
    </w:p>
    <w:p w:rsidR="00CA14AB" w:rsidRPr="00E00B35" w:rsidRDefault="00CA14AB" w:rsidP="00BC64AB">
      <w:pPr>
        <w:pStyle w:val="Akapitzlist"/>
        <w:numPr>
          <w:ilvl w:val="0"/>
          <w:numId w:val="174"/>
        </w:numPr>
        <w:spacing w:after="0" w:line="312" w:lineRule="auto"/>
        <w:rPr>
          <w:szCs w:val="20"/>
        </w:rPr>
      </w:pPr>
      <w:r w:rsidRPr="00E00B35">
        <w:rPr>
          <w:szCs w:val="20"/>
        </w:rPr>
        <w:t>profilaktyka przemocy wobec małego dziecka, radzenie sobie ze stresem oraz problemami związanymi z pełnieniem ról w rodzinie, itp.</w:t>
      </w:r>
    </w:p>
    <w:p w:rsidR="00CA14AB" w:rsidRPr="00E00B35" w:rsidRDefault="00CA14AB" w:rsidP="00BC64AB">
      <w:pPr>
        <w:pStyle w:val="Akapitzlist"/>
        <w:numPr>
          <w:ilvl w:val="0"/>
          <w:numId w:val="174"/>
        </w:numPr>
        <w:spacing w:after="0" w:line="312" w:lineRule="auto"/>
        <w:rPr>
          <w:szCs w:val="20"/>
        </w:rPr>
      </w:pPr>
      <w:r w:rsidRPr="00E00B35">
        <w:rPr>
          <w:szCs w:val="20"/>
        </w:rPr>
        <w:t xml:space="preserve">aktywizacja kobiet pozostających w domu ze względu na opiekę nad dzieckiem/dziećmi do podejmowania ról zawodowych i społecznych (powrót do pracy, </w:t>
      </w:r>
      <w:r w:rsidRPr="00E00B35">
        <w:rPr>
          <w:szCs w:val="20"/>
        </w:rPr>
        <w:lastRenderedPageBreak/>
        <w:t>podjęcie wolontariatu lub innej aktywności na rzecz społeczności lokalnej), jak również do samorozwoju i samorealizacji.</w:t>
      </w:r>
    </w:p>
    <w:p w:rsidR="00CA14AB" w:rsidRPr="00E00B35" w:rsidRDefault="00CA14AB" w:rsidP="00E00B35">
      <w:pPr>
        <w:spacing w:after="0" w:line="312" w:lineRule="auto"/>
        <w:rPr>
          <w:szCs w:val="20"/>
        </w:rPr>
      </w:pPr>
      <w:r w:rsidRPr="00E00B35">
        <w:rPr>
          <w:szCs w:val="20"/>
        </w:rPr>
        <w:t>W 2020 r. odbyło się 50 spotkań KLUBU MAM, w których wzięło udział w sumie 59 osób, jednorazowo ok. 16 mam. Z innych form wsparcia (konsultacje indywidualne i rodzinne, warsztaty, grupa wsparcia i in.) skorzystało 287 osób. Odbyło się 260 godzin spotkań indywidualnych i grupowych.</w:t>
      </w:r>
    </w:p>
    <w:p w:rsidR="00CA14AB" w:rsidRPr="00E00B35" w:rsidRDefault="00CA14AB" w:rsidP="00E00B35">
      <w:pPr>
        <w:spacing w:after="0" w:line="312" w:lineRule="auto"/>
        <w:rPr>
          <w:szCs w:val="20"/>
        </w:rPr>
      </w:pPr>
      <w:r w:rsidRPr="00E00B35">
        <w:rPr>
          <w:szCs w:val="20"/>
        </w:rPr>
        <w:t>Zarówno konsultacje indywidualne jak i grupowe formy wsparcia, ze względu na stan zagrożenia epidemicznego, prowadzone były od dn. 16.03.2020r. poprzez środki komunikacji na odległość, a po zmniejszeniu obostrzeń w formie hybrydowej.</w:t>
      </w:r>
    </w:p>
    <w:p w:rsidR="005E6C69" w:rsidRPr="00E00B35" w:rsidRDefault="005E6C69" w:rsidP="00E00B35">
      <w:pPr>
        <w:pStyle w:val="Nagwek5"/>
        <w:rPr>
          <w:szCs w:val="20"/>
        </w:rPr>
      </w:pPr>
      <w:bookmarkStart w:id="263" w:name="_Toc72352377"/>
      <w:bookmarkStart w:id="264" w:name="_Toc72352811"/>
    </w:p>
    <w:p w:rsidR="00CA14AB" w:rsidRPr="00E00B35" w:rsidRDefault="00CA14AB" w:rsidP="00E00B35">
      <w:pPr>
        <w:pStyle w:val="Nagwek5"/>
        <w:rPr>
          <w:szCs w:val="20"/>
        </w:rPr>
      </w:pPr>
      <w:r w:rsidRPr="00E00B35">
        <w:rPr>
          <w:szCs w:val="20"/>
        </w:rPr>
        <w:t>PROFILAKTYKA I TERAPIA UZALEŻNIEŃ</w:t>
      </w:r>
      <w:bookmarkEnd w:id="263"/>
      <w:bookmarkEnd w:id="264"/>
    </w:p>
    <w:p w:rsidR="00CA14AB" w:rsidRPr="00E00B35" w:rsidRDefault="00CA14AB" w:rsidP="00E00B35">
      <w:pPr>
        <w:spacing w:after="0" w:line="312" w:lineRule="auto"/>
        <w:rPr>
          <w:szCs w:val="20"/>
        </w:rPr>
      </w:pPr>
      <w:r w:rsidRPr="00E00B35">
        <w:rPr>
          <w:szCs w:val="20"/>
        </w:rPr>
        <w:t>W roku sprawozdawczym 2020, na realizację przedmiotowego zadania, zaplanowano kwotę 4 221 003,00 zł., z której wydatkowano 3 796 015,34 zł, co stanowi 89,93 % zaplanowanych środków.</w:t>
      </w:r>
    </w:p>
    <w:p w:rsidR="00CA14AB" w:rsidRPr="00E00B35" w:rsidRDefault="00CA14AB" w:rsidP="00E00B35">
      <w:pPr>
        <w:spacing w:after="0" w:line="312" w:lineRule="auto"/>
        <w:rPr>
          <w:szCs w:val="20"/>
        </w:rPr>
      </w:pPr>
      <w:bookmarkStart w:id="265" w:name="_Toc72352378"/>
      <w:bookmarkStart w:id="266" w:name="_Toc72352812"/>
      <w:r w:rsidRPr="00E00B35">
        <w:rPr>
          <w:szCs w:val="20"/>
        </w:rPr>
        <w:t>Profilaktyka i terapia uzależnień – PROGRAMY WIELOLETNIE</w:t>
      </w:r>
      <w:bookmarkEnd w:id="265"/>
      <w:bookmarkEnd w:id="266"/>
    </w:p>
    <w:p w:rsidR="00CA14AB" w:rsidRPr="00E00B35" w:rsidRDefault="00CA14AB" w:rsidP="00E00B35">
      <w:pPr>
        <w:spacing w:after="0" w:line="312" w:lineRule="auto"/>
        <w:rPr>
          <w:szCs w:val="20"/>
        </w:rPr>
      </w:pPr>
      <w:r w:rsidRPr="00E00B35">
        <w:rPr>
          <w:szCs w:val="20"/>
        </w:rPr>
        <w:t>W roku sprawozdawczym 2020, na realizację przedmiotowego zadania, zaplanowano kwotę 2 198 000,00 zł., z której wydatkowano 2 185 853,43 zł, co stanowi 99,44 % zaplanowanych środków.</w:t>
      </w:r>
    </w:p>
    <w:p w:rsidR="005E6C69" w:rsidRPr="00E00B35" w:rsidRDefault="005E6C69" w:rsidP="00E00B35">
      <w:pPr>
        <w:pStyle w:val="Nagwek5"/>
        <w:rPr>
          <w:szCs w:val="20"/>
        </w:rPr>
      </w:pPr>
      <w:bookmarkStart w:id="267" w:name="_Toc72352379"/>
      <w:bookmarkStart w:id="268" w:name="_Toc72352813"/>
    </w:p>
    <w:p w:rsidR="00CA14AB" w:rsidRPr="00E00B35" w:rsidRDefault="00CA14AB" w:rsidP="00E00B35">
      <w:pPr>
        <w:pStyle w:val="Nagwek5"/>
        <w:rPr>
          <w:szCs w:val="20"/>
        </w:rPr>
      </w:pPr>
      <w:r w:rsidRPr="00E00B35">
        <w:rPr>
          <w:szCs w:val="20"/>
        </w:rPr>
        <w:t>POMOC TERAPEUTYCZNA DLA UZALEŻNIONYCH I WSPÓŁUZALEŻNIONYCH OD ALKOHOLU</w:t>
      </w:r>
      <w:bookmarkEnd w:id="267"/>
      <w:bookmarkEnd w:id="268"/>
    </w:p>
    <w:p w:rsidR="00CA14AB" w:rsidRPr="00E00B35" w:rsidRDefault="00CA14AB" w:rsidP="00E00B35">
      <w:pPr>
        <w:spacing w:after="0" w:line="312" w:lineRule="auto"/>
        <w:rPr>
          <w:szCs w:val="20"/>
        </w:rPr>
      </w:pPr>
      <w:r w:rsidRPr="00E00B35">
        <w:rPr>
          <w:szCs w:val="20"/>
        </w:rPr>
        <w:t xml:space="preserve">Program realizowano w Przychodni Zdrowia Psychicznego i Uzależnień WCZ SP ZOZ przy ul. Lindego 19-21 oraz przy ul. Wszystkich Świętych 2. Zajęcia dla pacjentów prowadzone były w formie treningów umiejętności i zachowań oraz treningów psychologicznych w tym: trening asertywności, trening umiejętności wychowawczych, trening radzenia sobie z głodem alkoholowym, trening uważności, trening poczucia własnej wartości, trening asertywnych zachowań abstynenckich (TAZA), warsztaty pracy nad złością, trening zapobiegania nawrotom, warsztat pracy nad urealnieniem obrazu siebie, trening interpersonalny. W 2020 roku z programu skorzystało około 96 osób. </w:t>
      </w:r>
    </w:p>
    <w:p w:rsidR="00CA14AB" w:rsidRPr="00E00B35" w:rsidRDefault="00CA14AB" w:rsidP="00E00B35">
      <w:pPr>
        <w:spacing w:after="0" w:line="312" w:lineRule="auto"/>
        <w:rPr>
          <w:szCs w:val="20"/>
        </w:rPr>
      </w:pPr>
      <w:r w:rsidRPr="00E00B35">
        <w:rPr>
          <w:szCs w:val="20"/>
        </w:rPr>
        <w:t xml:space="preserve">Realizowany był również program wsparcia i rozwoju dla osób uzależnionych </w:t>
      </w:r>
      <w:r w:rsidRPr="00E00B35">
        <w:rPr>
          <w:szCs w:val="20"/>
        </w:rPr>
        <w:br/>
        <w:t xml:space="preserve">i współuzależnionych a także Dorosłych Dzieci Alkoholików (DDA), w którym wzięły udział 134 osoby. </w:t>
      </w:r>
    </w:p>
    <w:p w:rsidR="00CA14AB" w:rsidRPr="00E00B35" w:rsidRDefault="00CA14AB" w:rsidP="00E00B35">
      <w:pPr>
        <w:spacing w:after="0" w:line="312" w:lineRule="auto"/>
        <w:rPr>
          <w:szCs w:val="20"/>
        </w:rPr>
      </w:pPr>
      <w:r w:rsidRPr="00E00B35">
        <w:rPr>
          <w:szCs w:val="20"/>
        </w:rPr>
        <w:t>W programie działał również punkt informacyjno-konsultacyjny (PIK), z którego skorzystało 110 osób.</w:t>
      </w:r>
    </w:p>
    <w:p w:rsidR="00CA14AB" w:rsidRPr="00E00B35" w:rsidRDefault="00CA14AB" w:rsidP="00E00B35">
      <w:pPr>
        <w:spacing w:after="0" w:line="312" w:lineRule="auto"/>
        <w:rPr>
          <w:szCs w:val="20"/>
        </w:rPr>
      </w:pPr>
      <w:r w:rsidRPr="00E00B35">
        <w:rPr>
          <w:szCs w:val="20"/>
        </w:rPr>
        <w:t>Realizatorem programu jest Wrocławskie Centrum Zdrowia SP ZOZ.</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PROFILAKTYKI UZALEŻNIEŃ I WSPARCIA TERAPEUTYCZNEGO DLA OSÓB UZALEŻNIONYCH I ZAGROŻONYCH UZALEŻNIENIEM</w:t>
      </w:r>
    </w:p>
    <w:p w:rsidR="00CA14AB" w:rsidRPr="00E00B35" w:rsidRDefault="00CA14AB" w:rsidP="00E00B35">
      <w:pPr>
        <w:spacing w:after="0" w:line="312" w:lineRule="auto"/>
        <w:rPr>
          <w:szCs w:val="20"/>
        </w:rPr>
      </w:pPr>
      <w:r w:rsidRPr="00E00B35">
        <w:rPr>
          <w:szCs w:val="20"/>
        </w:rPr>
        <w:t xml:space="preserve">W ramach programu realizowane są następujące zadania: </w:t>
      </w:r>
    </w:p>
    <w:p w:rsidR="00CA14AB" w:rsidRPr="00E00B35" w:rsidRDefault="00CA14AB" w:rsidP="00BC64AB">
      <w:pPr>
        <w:pStyle w:val="Akapitzlist"/>
        <w:numPr>
          <w:ilvl w:val="0"/>
          <w:numId w:val="175"/>
        </w:numPr>
        <w:spacing w:after="0" w:line="312" w:lineRule="auto"/>
        <w:rPr>
          <w:szCs w:val="20"/>
        </w:rPr>
      </w:pPr>
      <w:r w:rsidRPr="00E00B35">
        <w:rPr>
          <w:szCs w:val="20"/>
        </w:rPr>
        <w:t>Prowadzenie punktu konsultacyjno-informacyjnego</w:t>
      </w:r>
    </w:p>
    <w:p w:rsidR="00CA14AB" w:rsidRPr="00E00B35" w:rsidRDefault="00CA14AB" w:rsidP="00BC64AB">
      <w:pPr>
        <w:pStyle w:val="Akapitzlist"/>
        <w:numPr>
          <w:ilvl w:val="0"/>
          <w:numId w:val="175"/>
        </w:numPr>
        <w:spacing w:after="0" w:line="312" w:lineRule="auto"/>
        <w:rPr>
          <w:szCs w:val="20"/>
        </w:rPr>
      </w:pPr>
      <w:r w:rsidRPr="00E00B35">
        <w:rPr>
          <w:szCs w:val="20"/>
        </w:rPr>
        <w:t>Programy wsparcia terapeutycznego</w:t>
      </w:r>
    </w:p>
    <w:p w:rsidR="00CA14AB" w:rsidRPr="00E00B35" w:rsidRDefault="00CA14AB" w:rsidP="00BC64AB">
      <w:pPr>
        <w:pStyle w:val="Akapitzlist"/>
        <w:numPr>
          <w:ilvl w:val="0"/>
          <w:numId w:val="175"/>
        </w:numPr>
        <w:spacing w:after="0" w:line="312" w:lineRule="auto"/>
        <w:rPr>
          <w:szCs w:val="20"/>
        </w:rPr>
      </w:pPr>
      <w:r w:rsidRPr="00E00B35">
        <w:rPr>
          <w:szCs w:val="20"/>
        </w:rPr>
        <w:t>Program edukacyjno-korekcyjny dla Dorosłych Dzieci Alkoholików</w:t>
      </w:r>
    </w:p>
    <w:p w:rsidR="00CA14AB" w:rsidRPr="00E00B35" w:rsidRDefault="00CA14AB" w:rsidP="00BC64AB">
      <w:pPr>
        <w:pStyle w:val="Akapitzlist"/>
        <w:numPr>
          <w:ilvl w:val="0"/>
          <w:numId w:val="175"/>
        </w:numPr>
        <w:spacing w:after="0" w:line="312" w:lineRule="auto"/>
        <w:rPr>
          <w:szCs w:val="20"/>
        </w:rPr>
      </w:pPr>
      <w:r w:rsidRPr="00E00B35">
        <w:rPr>
          <w:szCs w:val="20"/>
        </w:rPr>
        <w:t>Grupa korekcyjno-edukacyjna dla osób pijących ryzykownie lub szkodliwie</w:t>
      </w:r>
    </w:p>
    <w:p w:rsidR="00CA14AB" w:rsidRPr="00E00B35" w:rsidRDefault="00CA14AB" w:rsidP="00BC64AB">
      <w:pPr>
        <w:pStyle w:val="Akapitzlist"/>
        <w:numPr>
          <w:ilvl w:val="0"/>
          <w:numId w:val="175"/>
        </w:numPr>
        <w:spacing w:after="0" w:line="312" w:lineRule="auto"/>
        <w:rPr>
          <w:szCs w:val="20"/>
        </w:rPr>
      </w:pPr>
      <w:r w:rsidRPr="00E00B35">
        <w:rPr>
          <w:szCs w:val="20"/>
        </w:rPr>
        <w:lastRenderedPageBreak/>
        <w:t>Program profilaktyczny i edukacyjno-korekcyjny dla młodzieży przebywającej w Ośrodkach Wychowawczych</w:t>
      </w:r>
    </w:p>
    <w:p w:rsidR="00CA14AB" w:rsidRPr="00E00B35" w:rsidRDefault="00CA14AB" w:rsidP="00BC64AB">
      <w:pPr>
        <w:pStyle w:val="Akapitzlist"/>
        <w:numPr>
          <w:ilvl w:val="0"/>
          <w:numId w:val="175"/>
        </w:numPr>
        <w:spacing w:after="0" w:line="312" w:lineRule="auto"/>
        <w:rPr>
          <w:szCs w:val="20"/>
        </w:rPr>
      </w:pPr>
      <w:r w:rsidRPr="00E00B35">
        <w:rPr>
          <w:szCs w:val="20"/>
        </w:rPr>
        <w:t>Wsparcie terapeutyczne dla rodziców dzieci nadużywających alkoholu i innych substancji psychoaktywnych</w:t>
      </w:r>
    </w:p>
    <w:p w:rsidR="00CA14AB" w:rsidRPr="00E00B35" w:rsidRDefault="00CA14AB" w:rsidP="00BC64AB">
      <w:pPr>
        <w:pStyle w:val="Akapitzlist"/>
        <w:numPr>
          <w:ilvl w:val="0"/>
          <w:numId w:val="175"/>
        </w:numPr>
        <w:spacing w:after="0" w:line="312" w:lineRule="auto"/>
        <w:rPr>
          <w:szCs w:val="20"/>
        </w:rPr>
      </w:pPr>
      <w:r w:rsidRPr="00E00B35">
        <w:rPr>
          <w:szCs w:val="20"/>
        </w:rPr>
        <w:t>Program profilaktyczny „Rodzina Miśków”</w:t>
      </w:r>
    </w:p>
    <w:p w:rsidR="00CA14AB" w:rsidRPr="00E00B35" w:rsidRDefault="00CA14AB" w:rsidP="00BC64AB">
      <w:pPr>
        <w:pStyle w:val="Akapitzlist"/>
        <w:numPr>
          <w:ilvl w:val="0"/>
          <w:numId w:val="175"/>
        </w:numPr>
        <w:spacing w:after="0" w:line="312" w:lineRule="auto"/>
        <w:rPr>
          <w:szCs w:val="20"/>
        </w:rPr>
      </w:pPr>
      <w:r w:rsidRPr="00E00B35">
        <w:rPr>
          <w:szCs w:val="20"/>
        </w:rPr>
        <w:t>Program systemowej terapii rodzin</w:t>
      </w:r>
    </w:p>
    <w:p w:rsidR="00CA14AB" w:rsidRPr="00E00B35" w:rsidRDefault="00CA14AB" w:rsidP="00BC64AB">
      <w:pPr>
        <w:pStyle w:val="Akapitzlist"/>
        <w:numPr>
          <w:ilvl w:val="0"/>
          <w:numId w:val="175"/>
        </w:numPr>
        <w:spacing w:after="0" w:line="312" w:lineRule="auto"/>
        <w:rPr>
          <w:szCs w:val="20"/>
        </w:rPr>
      </w:pPr>
      <w:r w:rsidRPr="00E00B35">
        <w:rPr>
          <w:szCs w:val="20"/>
        </w:rPr>
        <w:t>Warsztaty komunikacji rodzic-dziecko.</w:t>
      </w:r>
    </w:p>
    <w:p w:rsidR="00CA14AB" w:rsidRPr="00E00B35" w:rsidRDefault="00CA14AB" w:rsidP="00E00B35">
      <w:pPr>
        <w:spacing w:after="0" w:line="312" w:lineRule="auto"/>
        <w:rPr>
          <w:szCs w:val="20"/>
        </w:rPr>
      </w:pPr>
      <w:r w:rsidRPr="00E00B35">
        <w:rPr>
          <w:szCs w:val="20"/>
        </w:rPr>
        <w:t xml:space="preserve">W 2020 roku w programie uczestniczyło łącznie 1300 osób. </w:t>
      </w:r>
    </w:p>
    <w:p w:rsidR="00CA14AB" w:rsidRPr="00E00B35" w:rsidRDefault="00CA14AB" w:rsidP="00E00B35">
      <w:pPr>
        <w:spacing w:after="0" w:line="312" w:lineRule="auto"/>
        <w:rPr>
          <w:szCs w:val="20"/>
        </w:rPr>
      </w:pPr>
      <w:r w:rsidRPr="00E00B35">
        <w:rPr>
          <w:szCs w:val="20"/>
        </w:rPr>
        <w:t>Realizatorem programu jest Centrum Neuropsychiatrii „NEUROMED” we Wrocławiu, przy ul. Białowieskiej 74a.</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PROGRAMY ŚRODOWISKOWE WSPIERAJĄCE ABSTYNENCJĘ ORAZ PROMUJĄCE AKTYWIZACJĘ SPOŁECZNĄ POPRZEZ WSPARCIE DZIAŁALNOŚCI KLUBÓW ABSTYNENTA</w:t>
      </w:r>
    </w:p>
    <w:p w:rsidR="00CA14AB" w:rsidRPr="00E00B35" w:rsidRDefault="00CA14AB" w:rsidP="00E00B35">
      <w:pPr>
        <w:spacing w:after="0" w:line="312" w:lineRule="auto"/>
        <w:rPr>
          <w:szCs w:val="20"/>
        </w:rPr>
      </w:pPr>
      <w:r w:rsidRPr="00E00B35">
        <w:rPr>
          <w:szCs w:val="20"/>
        </w:rPr>
        <w:t xml:space="preserve">Celem programu jest ograniczanie szkód społecznych i zdrowotnych, wynikających z nadużywania alkoholu poprzez utrzymanie abstynencji i aktywizację społeczną. Zadania realizowane były przez Wrocławskie Centrum Zdrowia SP ZOZ oraz 3 wrocławskie organizacje pozarządowe, prowadzące Kluby Abstynenta. W 2020 roku z różnych form wsparcia oferowanych w klubach skorzystało ok. 6400 osób. W ramach działań Klubów Abstynenta beneficjenci mogą korzystać z imprez rekreacyjnych, działalności sekcji sportowej, zajęć plastycznych oraz wyjazdów turystyczno-rekreacyjnych. Członkowie klubów mogą uczestniczyć w cyklicznych zlotach abstynenckich oraz zabawach tanecznych. </w:t>
      </w:r>
    </w:p>
    <w:p w:rsidR="00CA14AB" w:rsidRPr="00E00B35" w:rsidRDefault="00CA14AB" w:rsidP="00E00B35">
      <w:pPr>
        <w:spacing w:after="0" w:line="312" w:lineRule="auto"/>
        <w:rPr>
          <w:szCs w:val="20"/>
        </w:rPr>
      </w:pPr>
      <w:r w:rsidRPr="00E00B35">
        <w:rPr>
          <w:szCs w:val="20"/>
        </w:rPr>
        <w:t xml:space="preserve">W roku 2020 ze względu na pandemię COVID-19 działania prowadzone były w trybie on-line, a wyjazdy turystyczno-rekreacyjne zostały ograniczone lub odwołane. </w:t>
      </w:r>
    </w:p>
    <w:p w:rsidR="005E6C69" w:rsidRPr="00E00B35" w:rsidRDefault="005E6C69" w:rsidP="00E00B35">
      <w:pPr>
        <w:pStyle w:val="Nagwek4"/>
        <w:spacing w:before="0" w:after="0" w:line="312" w:lineRule="auto"/>
        <w:rPr>
          <w:sz w:val="20"/>
          <w:szCs w:val="20"/>
        </w:rPr>
      </w:pPr>
      <w:bookmarkStart w:id="269" w:name="_Toc72352380"/>
      <w:bookmarkStart w:id="270" w:name="_Toc72352814"/>
    </w:p>
    <w:p w:rsidR="00CA14AB" w:rsidRPr="00E00B35" w:rsidRDefault="00CA14AB" w:rsidP="00E00B35">
      <w:pPr>
        <w:pStyle w:val="Nagwek4"/>
        <w:spacing w:before="0" w:after="0" w:line="312" w:lineRule="auto"/>
        <w:rPr>
          <w:sz w:val="20"/>
          <w:szCs w:val="20"/>
        </w:rPr>
      </w:pPr>
      <w:r w:rsidRPr="00E00B35">
        <w:rPr>
          <w:sz w:val="20"/>
          <w:szCs w:val="20"/>
        </w:rPr>
        <w:t>PORADNICTWO I SZKOLENIA W ZAKRESIE PRZECIWDZIAŁANIA PRZEMOCY</w:t>
      </w:r>
      <w:bookmarkEnd w:id="269"/>
      <w:bookmarkEnd w:id="270"/>
    </w:p>
    <w:p w:rsidR="005E6C69" w:rsidRPr="00E00B35" w:rsidRDefault="005E6C69" w:rsidP="00E00B35">
      <w:pPr>
        <w:pStyle w:val="Nagwek5"/>
        <w:rPr>
          <w:szCs w:val="20"/>
        </w:rPr>
      </w:pPr>
      <w:bookmarkStart w:id="271" w:name="_Toc72352381"/>
      <w:bookmarkStart w:id="272" w:name="_Toc72352815"/>
    </w:p>
    <w:p w:rsidR="00CA14AB" w:rsidRPr="00E00B35" w:rsidRDefault="00CA14AB" w:rsidP="00E00B35">
      <w:pPr>
        <w:pStyle w:val="Nagwek5"/>
        <w:rPr>
          <w:szCs w:val="20"/>
        </w:rPr>
      </w:pPr>
      <w:r w:rsidRPr="00E00B35">
        <w:rPr>
          <w:szCs w:val="20"/>
        </w:rPr>
        <w:t>PORADNICTWO DLA OSÓB DOŚWIADCZAJĄCYCH PRZEMOCY</w:t>
      </w:r>
      <w:bookmarkEnd w:id="271"/>
      <w:bookmarkEnd w:id="272"/>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Celem działania jest świadczenie ambulatoryjnej pomocy prawnej, psychologicznej i terapeutycznej mieszkańcom Wrocławia znajdujących się w sytuacji kryzysowej, w szczególności ochrony przed przemocą. Cele szczegółowe: udzielanie pomocy osobom doświadczającym przemocy oraz znajdującym się w sytuacji kryzysowej spowodowanej zachowaniem osób nadużywających alkoholu oraz ograniczanie zdrowotnych i społecznych następstw przemocy w rodzinie poprzez udzielanie osobom znajdującym się w sytuacji kryzysowej specjalistycznej pomocy i wsparcia. </w:t>
      </w:r>
    </w:p>
    <w:p w:rsidR="00CA14AB" w:rsidRPr="00E00B35" w:rsidRDefault="00CA14AB" w:rsidP="00E00B35">
      <w:pPr>
        <w:spacing w:after="0" w:line="312" w:lineRule="auto"/>
        <w:rPr>
          <w:szCs w:val="20"/>
        </w:rPr>
      </w:pPr>
      <w:r w:rsidRPr="00E00B35">
        <w:rPr>
          <w:szCs w:val="20"/>
        </w:rPr>
        <w:t>W 2020 r. z pomocy i wsparcia skorzystało 2021 osób. Udzielono 4477 porad psychologicznych, 911 prawnych i 773 pedagogicznych. Odbyło się 56 spotkań grup wsparcia. Wolontariuszki jako osoby zaufania uczestniczyły w 5 rozprawach sądowych.</w:t>
      </w:r>
    </w:p>
    <w:p w:rsidR="00CA14AB" w:rsidRPr="00E00B35" w:rsidRDefault="00CA14AB" w:rsidP="00E00B35">
      <w:pPr>
        <w:spacing w:after="0" w:line="312" w:lineRule="auto"/>
        <w:rPr>
          <w:szCs w:val="20"/>
        </w:rPr>
      </w:pPr>
      <w:r w:rsidRPr="00E00B35">
        <w:rPr>
          <w:szCs w:val="20"/>
        </w:rPr>
        <w:t>Pokój przesłuchań dla dzieci mieszczący się w Fundacji Non Licet, użytkowany był 23 razy przez Prokuraturę i sądy rodzinne oraz w celach terapeutycznych.</w:t>
      </w:r>
    </w:p>
    <w:p w:rsidR="00CA14AB" w:rsidRPr="00E00B35" w:rsidRDefault="00CA14AB" w:rsidP="00E00B35">
      <w:pPr>
        <w:spacing w:after="0" w:line="312" w:lineRule="auto"/>
        <w:rPr>
          <w:szCs w:val="20"/>
        </w:rPr>
      </w:pPr>
      <w:r w:rsidRPr="00E00B35">
        <w:rPr>
          <w:szCs w:val="20"/>
        </w:rPr>
        <w:lastRenderedPageBreak/>
        <w:t xml:space="preserve">W ramach internetowej pomocy psychologicznej, na stronie </w:t>
      </w:r>
      <w:hyperlink r:id="rId104" w:history="1">
        <w:r w:rsidRPr="00E00B35">
          <w:rPr>
            <w:szCs w:val="20"/>
          </w:rPr>
          <w:t>Kampania Przemoc</w:t>
        </w:r>
      </w:hyperlink>
      <w:r w:rsidRPr="00E00B35">
        <w:rPr>
          <w:szCs w:val="20"/>
        </w:rPr>
        <w:t xml:space="preserve"> i </w:t>
      </w:r>
      <w:hyperlink r:id="rId105" w:history="1">
        <w:r w:rsidRPr="00E00B35">
          <w:rPr>
            <w:szCs w:val="20"/>
          </w:rPr>
          <w:t>Psychotekst</w:t>
        </w:r>
      </w:hyperlink>
      <w:r w:rsidRPr="00E00B35">
        <w:rPr>
          <w:szCs w:val="20"/>
        </w:rPr>
        <w:t xml:space="preserve">  udzielono 194 odpowiedzi, na czacie grupowym brało udział 215 osób, konsultacji indywidualnych udzielono 25 osobom.</w:t>
      </w:r>
    </w:p>
    <w:p w:rsidR="00CA14AB" w:rsidRPr="00E00B35" w:rsidRDefault="00CA14AB" w:rsidP="00E00B35">
      <w:pPr>
        <w:spacing w:after="0" w:line="312" w:lineRule="auto"/>
        <w:rPr>
          <w:szCs w:val="20"/>
        </w:rPr>
      </w:pPr>
      <w:r w:rsidRPr="00E00B35">
        <w:rPr>
          <w:szCs w:val="20"/>
        </w:rPr>
        <w:t>W ramach Telefonu Zaufania udzielono 850 porad telefonicznych 799 osobom, w tym 471 porad udzielono kobietom i 328 mężczyznom. Rozmowy dotyczyły: problemów przemocy, egzystencjalnych, informacyjnych, rodzinnych, społecznych, uzależnień, seksualnych, zdrowotnych.</w:t>
      </w:r>
    </w:p>
    <w:p w:rsidR="00CA14AB" w:rsidRPr="00E00B35" w:rsidRDefault="00CA14AB" w:rsidP="00E00B35">
      <w:pPr>
        <w:spacing w:after="0" w:line="312" w:lineRule="auto"/>
        <w:rPr>
          <w:szCs w:val="20"/>
        </w:rPr>
      </w:pPr>
      <w:r w:rsidRPr="00E00B35">
        <w:rPr>
          <w:szCs w:val="20"/>
        </w:rPr>
        <w:t>Ponadto odbyły się warsztaty dla rodziców, Trening Umiejętności Wychowawczych, zajęcia socjoterapii dla dzieci, Trening Asertywności, Trening Zastępowania Agresji.</w:t>
      </w:r>
    </w:p>
    <w:p w:rsidR="00CA14AB" w:rsidRPr="00E00B35" w:rsidRDefault="00CA14AB" w:rsidP="00E00B35">
      <w:pPr>
        <w:spacing w:after="0" w:line="312" w:lineRule="auto"/>
        <w:rPr>
          <w:szCs w:val="20"/>
        </w:rPr>
      </w:pPr>
      <w:r w:rsidRPr="00E00B35">
        <w:rPr>
          <w:szCs w:val="20"/>
        </w:rPr>
        <w:t>Udział wzięły 184 osoby.</w:t>
      </w:r>
    </w:p>
    <w:p w:rsidR="00CA14AB" w:rsidRPr="00E00B35" w:rsidRDefault="00CA14AB" w:rsidP="00E00B35">
      <w:pPr>
        <w:spacing w:after="0" w:line="312" w:lineRule="auto"/>
        <w:rPr>
          <w:szCs w:val="20"/>
        </w:rPr>
      </w:pPr>
      <w:bookmarkStart w:id="273" w:name="_Toc72352382"/>
      <w:bookmarkStart w:id="274" w:name="_Toc72352816"/>
      <w:r w:rsidRPr="00E00B35">
        <w:rPr>
          <w:szCs w:val="20"/>
        </w:rPr>
        <w:t>PROGRAM „ZESPOŁÓW ŚRODOWISKOWEJ INTERWENCJI KRYZYSOWEJ”</w:t>
      </w:r>
      <w:bookmarkEnd w:id="273"/>
      <w:bookmarkEnd w:id="274"/>
      <w:r w:rsidRPr="00E00B35">
        <w:rPr>
          <w:szCs w:val="20"/>
        </w:rPr>
        <w:t xml:space="preserve"> </w:t>
      </w:r>
    </w:p>
    <w:p w:rsidR="00CA14AB" w:rsidRPr="00E00B35" w:rsidRDefault="00CA14AB" w:rsidP="00E00B35">
      <w:pPr>
        <w:spacing w:after="0" w:line="312" w:lineRule="auto"/>
        <w:rPr>
          <w:szCs w:val="20"/>
        </w:rPr>
      </w:pPr>
      <w:r w:rsidRPr="00E00B35">
        <w:rPr>
          <w:szCs w:val="20"/>
        </w:rPr>
        <w:t>Celem programu jest udzielanie osobom doświadczającym przemocy oraz świadkom zdarzenia wsparcia psychologicznego w miejscu zdarzenia. W skład zespołu interwencyjnego oprócz policji wchodzi psycholog. Na wezwanie Policji w miejscu zdarzenia członek zespołu środowiskowej interwencji kryzysowej udziela pomocy oraz przekazuje informacje/ulotki o miejscach i formach pomocy. Zespoły działają przez całą dobę we wszystkie dni robocze, w święta i dni wolne od pracy.</w:t>
      </w:r>
    </w:p>
    <w:p w:rsidR="00CA14AB" w:rsidRPr="00E00B35" w:rsidRDefault="00CA14AB" w:rsidP="00E00B35">
      <w:pPr>
        <w:spacing w:after="0" w:line="312" w:lineRule="auto"/>
        <w:rPr>
          <w:szCs w:val="20"/>
        </w:rPr>
      </w:pPr>
      <w:r w:rsidRPr="00E00B35">
        <w:rPr>
          <w:szCs w:val="20"/>
        </w:rPr>
        <w:t xml:space="preserve">W 2020 roku pomocą i wsparciem objęto 62 rodziny; wsparcia udzielono 70 osobom dorosłym oraz 49 dzieciom. </w:t>
      </w:r>
    </w:p>
    <w:p w:rsidR="00CA14AB" w:rsidRPr="00E00B35" w:rsidRDefault="00CA14AB" w:rsidP="00E00B35">
      <w:pPr>
        <w:spacing w:after="0" w:line="312" w:lineRule="auto"/>
        <w:rPr>
          <w:szCs w:val="20"/>
        </w:rPr>
      </w:pPr>
      <w:r w:rsidRPr="00E00B35">
        <w:rPr>
          <w:szCs w:val="20"/>
        </w:rPr>
        <w:t>W okresie od marca do czerwca, z powodu pandemii, pomoc psychologa udzielana była telefonicznie. W ramach telefonicznych porad pomocy udzielono 49 osobom.</w:t>
      </w:r>
    </w:p>
    <w:p w:rsidR="00CA14AB" w:rsidRPr="00E00B35" w:rsidRDefault="00CA14AB" w:rsidP="00E00B35">
      <w:pPr>
        <w:spacing w:after="0" w:line="312" w:lineRule="auto"/>
        <w:rPr>
          <w:szCs w:val="20"/>
        </w:rPr>
      </w:pPr>
      <w:r w:rsidRPr="00E00B35">
        <w:rPr>
          <w:szCs w:val="20"/>
        </w:rPr>
        <w:t>Z konsultacji psychiatrycznej skorzystało 30 osoby.</w:t>
      </w:r>
    </w:p>
    <w:p w:rsidR="00CA14AB" w:rsidRPr="00E00B35" w:rsidRDefault="00CA14AB" w:rsidP="00E00B35">
      <w:pPr>
        <w:spacing w:after="0" w:line="312" w:lineRule="auto"/>
        <w:rPr>
          <w:szCs w:val="20"/>
        </w:rPr>
      </w:pPr>
      <w:r w:rsidRPr="00E00B35">
        <w:rPr>
          <w:szCs w:val="20"/>
        </w:rPr>
        <w:t>Realizatorem programu jest Centrum Neuropsychiatrii NEUROMED.</w:t>
      </w:r>
    </w:p>
    <w:p w:rsidR="005E6C69" w:rsidRPr="00E00B35" w:rsidRDefault="005E6C69" w:rsidP="00E00B35">
      <w:pPr>
        <w:pStyle w:val="Nagwek5"/>
        <w:rPr>
          <w:szCs w:val="20"/>
        </w:rPr>
      </w:pPr>
      <w:bookmarkStart w:id="275" w:name="_Toc72352383"/>
      <w:bookmarkStart w:id="276" w:name="_Toc72352817"/>
    </w:p>
    <w:p w:rsidR="00CA14AB" w:rsidRPr="00E00B35" w:rsidRDefault="00CA14AB" w:rsidP="00E00B35">
      <w:pPr>
        <w:pStyle w:val="Nagwek5"/>
        <w:rPr>
          <w:szCs w:val="20"/>
        </w:rPr>
      </w:pPr>
      <w:r w:rsidRPr="00E00B35">
        <w:rPr>
          <w:szCs w:val="20"/>
        </w:rPr>
        <w:t>PROGRAM KOREKCYJNO-EDUKACYJNY DLA OSÓB STOSUJĄCYCH PRZEMOC</w:t>
      </w:r>
      <w:bookmarkEnd w:id="275"/>
      <w:bookmarkEnd w:id="276"/>
      <w:r w:rsidRPr="00E00B35">
        <w:rPr>
          <w:szCs w:val="20"/>
        </w:rPr>
        <w:t xml:space="preserve"> </w:t>
      </w:r>
    </w:p>
    <w:p w:rsidR="00CA14AB" w:rsidRPr="00E00B35" w:rsidRDefault="00CA14AB" w:rsidP="00E00B35">
      <w:pPr>
        <w:spacing w:after="0" w:line="312" w:lineRule="auto"/>
        <w:rPr>
          <w:szCs w:val="20"/>
        </w:rPr>
      </w:pPr>
      <w:r w:rsidRPr="00E00B35">
        <w:rPr>
          <w:szCs w:val="20"/>
        </w:rPr>
        <w:t>Cele głównym programu jest zapobieganie przemocy w rodzinie poprzez zmianę patologicznych schematów zachowań oraz działania korekcyjne i edukacyjne dla sprawców przemocy.</w:t>
      </w:r>
    </w:p>
    <w:p w:rsidR="00CA14AB" w:rsidRPr="00E00B35" w:rsidRDefault="00CA14AB" w:rsidP="00E00B35">
      <w:pPr>
        <w:spacing w:after="0" w:line="312" w:lineRule="auto"/>
        <w:rPr>
          <w:szCs w:val="20"/>
        </w:rPr>
      </w:pPr>
      <w:r w:rsidRPr="00E00B35">
        <w:rPr>
          <w:szCs w:val="20"/>
        </w:rPr>
        <w:t xml:space="preserve">Cele szczegółowe: </w:t>
      </w:r>
    </w:p>
    <w:p w:rsidR="00CA14AB" w:rsidRPr="00E00B35" w:rsidRDefault="00CA14AB" w:rsidP="00BC64AB">
      <w:pPr>
        <w:pStyle w:val="Akapitzlist"/>
        <w:numPr>
          <w:ilvl w:val="0"/>
          <w:numId w:val="176"/>
        </w:numPr>
        <w:spacing w:after="0" w:line="312" w:lineRule="auto"/>
        <w:rPr>
          <w:szCs w:val="20"/>
        </w:rPr>
      </w:pPr>
      <w:r w:rsidRPr="00E00B35">
        <w:rPr>
          <w:szCs w:val="20"/>
        </w:rPr>
        <w:t>nabywanie wiedzy dotyczącej zachowań agresywnych (rodzaje agresji, przyczyny, konsekwencje agresji krzywdzącej bliskie osoby),</w:t>
      </w:r>
    </w:p>
    <w:p w:rsidR="00CA14AB" w:rsidRPr="00E00B35" w:rsidRDefault="00CA14AB" w:rsidP="00BC64AB">
      <w:pPr>
        <w:pStyle w:val="Akapitzlist"/>
        <w:numPr>
          <w:ilvl w:val="0"/>
          <w:numId w:val="176"/>
        </w:numPr>
        <w:spacing w:after="0" w:line="312" w:lineRule="auto"/>
        <w:rPr>
          <w:szCs w:val="20"/>
        </w:rPr>
      </w:pPr>
      <w:r w:rsidRPr="00E00B35">
        <w:rPr>
          <w:szCs w:val="20"/>
        </w:rPr>
        <w:t>nabywanie umiejętności rozpoznawania i respektowania granic innych ludzi,</w:t>
      </w:r>
    </w:p>
    <w:p w:rsidR="00CA14AB" w:rsidRPr="00E00B35" w:rsidRDefault="00CA14AB" w:rsidP="00BC64AB">
      <w:pPr>
        <w:pStyle w:val="Akapitzlist"/>
        <w:numPr>
          <w:ilvl w:val="0"/>
          <w:numId w:val="176"/>
        </w:numPr>
        <w:spacing w:after="0" w:line="312" w:lineRule="auto"/>
        <w:rPr>
          <w:szCs w:val="20"/>
        </w:rPr>
      </w:pPr>
      <w:r w:rsidRPr="00E00B35">
        <w:rPr>
          <w:szCs w:val="20"/>
        </w:rPr>
        <w:t>nabywanie umiejętności zadośćuczynienia bliskim osobom za wyrządzone krzywdy,</w:t>
      </w:r>
    </w:p>
    <w:p w:rsidR="00CA14AB" w:rsidRPr="00E00B35" w:rsidRDefault="00CA14AB" w:rsidP="00BC64AB">
      <w:pPr>
        <w:pStyle w:val="Akapitzlist"/>
        <w:numPr>
          <w:ilvl w:val="0"/>
          <w:numId w:val="176"/>
        </w:numPr>
        <w:spacing w:after="0" w:line="312" w:lineRule="auto"/>
        <w:rPr>
          <w:szCs w:val="20"/>
        </w:rPr>
      </w:pPr>
      <w:r w:rsidRPr="00E00B35">
        <w:rPr>
          <w:szCs w:val="20"/>
        </w:rPr>
        <w:t>poznawanie konstruktywnych metod rozładowywania napięcia i radzenia sobie ze stresem,</w:t>
      </w:r>
    </w:p>
    <w:p w:rsidR="00CA14AB" w:rsidRPr="00E00B35" w:rsidRDefault="00CA14AB" w:rsidP="00BC64AB">
      <w:pPr>
        <w:pStyle w:val="Akapitzlist"/>
        <w:numPr>
          <w:ilvl w:val="0"/>
          <w:numId w:val="176"/>
        </w:numPr>
        <w:spacing w:after="0" w:line="312" w:lineRule="auto"/>
        <w:rPr>
          <w:szCs w:val="20"/>
        </w:rPr>
      </w:pPr>
      <w:r w:rsidRPr="00E00B35">
        <w:rPr>
          <w:szCs w:val="20"/>
        </w:rPr>
        <w:t>uświadomienie uczestnikom programu związku zachowań agresywnych z problemem używania alkoholu i innych środków psychoaktywnych,</w:t>
      </w:r>
    </w:p>
    <w:p w:rsidR="00CA14AB" w:rsidRPr="00E00B35" w:rsidRDefault="00CA14AB" w:rsidP="00BC64AB">
      <w:pPr>
        <w:pStyle w:val="Akapitzlist"/>
        <w:numPr>
          <w:ilvl w:val="0"/>
          <w:numId w:val="176"/>
        </w:numPr>
        <w:spacing w:after="0" w:line="312" w:lineRule="auto"/>
        <w:rPr>
          <w:szCs w:val="20"/>
        </w:rPr>
      </w:pPr>
      <w:r w:rsidRPr="00E00B35">
        <w:rPr>
          <w:szCs w:val="20"/>
        </w:rPr>
        <w:t>nabywanie umiejętności budowania pozytywnych relacji z innymi ludźmi opartych na szacunku.</w:t>
      </w:r>
    </w:p>
    <w:p w:rsidR="00CA14AB" w:rsidRPr="00E00B35" w:rsidRDefault="00CA14AB" w:rsidP="00E00B35">
      <w:pPr>
        <w:spacing w:after="0" w:line="312" w:lineRule="auto"/>
        <w:rPr>
          <w:szCs w:val="20"/>
        </w:rPr>
      </w:pPr>
      <w:r w:rsidRPr="00E00B35">
        <w:rPr>
          <w:szCs w:val="20"/>
        </w:rPr>
        <w:t>W programie korekcyjno-edukacyjnym dla osób stosujących przemoc indywidualnie uczestniczyły 72 osoby, w programie grupowym uczestniczyło 8 osób.</w:t>
      </w:r>
    </w:p>
    <w:p w:rsidR="00CA14AB" w:rsidRPr="00E00B35" w:rsidRDefault="00CA14AB" w:rsidP="00E00B35">
      <w:pPr>
        <w:spacing w:after="0" w:line="312" w:lineRule="auto"/>
        <w:rPr>
          <w:szCs w:val="20"/>
        </w:rPr>
      </w:pPr>
      <w:r w:rsidRPr="00E00B35">
        <w:rPr>
          <w:szCs w:val="20"/>
        </w:rPr>
        <w:t>Po zakończeniu uczestnictwa w programie korekcyjno-edukacyjnym indywidualnym lub grupowym dla sprawców przemocy, 9 osób wzięło udział w programie psychologiczno-</w:t>
      </w:r>
      <w:r w:rsidRPr="00E00B35">
        <w:rPr>
          <w:szCs w:val="20"/>
        </w:rPr>
        <w:lastRenderedPageBreak/>
        <w:t>terapeutycznym. Z konsultacji w ramach działań punktu informacyjno-konsultacyjnego skorzystały 53 osoby. Realizatorem programu jest Wrocławskie Centrum Zdrowia SP ZOZ.</w:t>
      </w:r>
    </w:p>
    <w:p w:rsidR="005E6C69" w:rsidRPr="00E00B35" w:rsidRDefault="005E6C69" w:rsidP="00E00B35">
      <w:pPr>
        <w:pStyle w:val="Nagwek5"/>
        <w:rPr>
          <w:szCs w:val="20"/>
        </w:rPr>
      </w:pPr>
      <w:bookmarkStart w:id="277" w:name="_Toc72352384"/>
      <w:bookmarkStart w:id="278" w:name="_Toc72352818"/>
    </w:p>
    <w:p w:rsidR="00CA14AB" w:rsidRPr="00E00B35" w:rsidRDefault="00CA14AB" w:rsidP="00E00B35">
      <w:pPr>
        <w:pStyle w:val="Nagwek5"/>
        <w:rPr>
          <w:szCs w:val="20"/>
        </w:rPr>
      </w:pPr>
      <w:r w:rsidRPr="00E00B35">
        <w:rPr>
          <w:szCs w:val="20"/>
        </w:rPr>
        <w:t>DZIAŁANIA EDUKACYJNE W ZAKRESIE PRZECIWDZIAŁANIA PRZEMOCY</w:t>
      </w:r>
      <w:bookmarkEnd w:id="277"/>
      <w:bookmarkEnd w:id="278"/>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W dniach od 25 listopada do 10 grudnia 2020r. odbyła się: „Wrocławska Kampania Przeciwdziałania Przemocy w Rodzinie”. W ramach kampanii odbyły się następujące działania: </w:t>
      </w:r>
    </w:p>
    <w:p w:rsidR="00CA14AB" w:rsidRPr="00E00B35" w:rsidRDefault="00CA14AB" w:rsidP="00E00B35">
      <w:pPr>
        <w:spacing w:after="0" w:line="312" w:lineRule="auto"/>
        <w:rPr>
          <w:szCs w:val="20"/>
        </w:rPr>
      </w:pPr>
      <w:r w:rsidRPr="00E00B35">
        <w:rPr>
          <w:szCs w:val="20"/>
        </w:rPr>
        <w:t xml:space="preserve">Mural jako artystyczna ekspozycja promująca ideę kampanii poprzez umieszczenie wielkoformatowej grafiki na ścianie budynku przy ul. Legnickiej 64. Mural został wykonany przez profesjonalnego artystę. Hasło, które widnieje na muralu „Twoja obojętność krzywdzi innych. Dostrzeż przemoc. Zareaguj!”. Jego odsłonięcie odbyło się 25.11.2020r. W otwarciu uczestniczył Prezydent Wrocławia, organizatorzy kampanii, dyrektor Wydziału Zdrowia i Spraw Społecznych oraz przedstawiciele organizacji i instytucji pomagających ofiarom przemocy, a także lokalne media. Przesłaniem muralu jest uwrażliwienie odbiorców na akty przemocy, które mają miejsce w ich obecności oraz zachęcenie do reagowania na nie. </w:t>
      </w:r>
    </w:p>
    <w:p w:rsidR="00CA14AB" w:rsidRPr="00E00B35" w:rsidRDefault="00CA14AB" w:rsidP="00E00B35">
      <w:pPr>
        <w:spacing w:after="0" w:line="312" w:lineRule="auto"/>
        <w:rPr>
          <w:szCs w:val="20"/>
        </w:rPr>
      </w:pPr>
      <w:r w:rsidRPr="00E00B35">
        <w:rPr>
          <w:szCs w:val="20"/>
        </w:rPr>
        <w:t>Coroczna konferencja pn. „Więzi, które chronią” odbyła się w dniu 26.11.2020r. pt. „Więzi, które chronią. Pomoc w obliczu zmian.”(już szósta z kolei). W czasie konferencji poruszane były zagadnienia związane z problematyką w zakresie pracy zarówno z osobami doświadczającymi przemocy jak i stosującymi przemoc. Prelegentami wydarzenia byli specjaliści-praktycy z tego obszaru. Wystąpienia prelegentów dotyczyły m.in. standardów pracy z problemem przemocy, traumy i problemów rodziny w kontekście przemocy i prowadzone były w formie zdalnej. Konferencja dała możliwość interaktywnego uczestnictwa w dyskusji i wzajemnej wymiany doświadczeń wszystkich jej uczestników na platformie internetowej (chat). W konferencji wzięło udział ok. 312 osób.</w:t>
      </w:r>
    </w:p>
    <w:p w:rsidR="00CA14AB" w:rsidRPr="00E00B35" w:rsidRDefault="00CA14AB" w:rsidP="00E00B35">
      <w:pPr>
        <w:spacing w:after="0" w:line="312" w:lineRule="auto"/>
        <w:rPr>
          <w:szCs w:val="20"/>
        </w:rPr>
      </w:pPr>
      <w:r w:rsidRPr="00E00B35">
        <w:rPr>
          <w:szCs w:val="20"/>
        </w:rPr>
        <w:t>Sketchnoting – do realizacji tego działania zaangażowano grafika (rysownik), który przedstawiał (streszczał) w formie graficznej przedstawiane i omawiane podczas konferencji zagadnienia. Rezultatem spotkania było m. in.: zapoznanie uczestników z różnymi formami pomocy w zakresie pracy z osobami doświadczającymi przemocy i stosującymi przemoc. Rezultatem było również pobudzenie refleksji odbiorców konferencji do modyfikowania, ulepszania i poszerzania własnych form pracy zawodowej w obszarze omawianego zakresu.</w:t>
      </w:r>
    </w:p>
    <w:p w:rsidR="00CA14AB" w:rsidRPr="00E00B35" w:rsidRDefault="00CA14AB" w:rsidP="00E00B35">
      <w:pPr>
        <w:spacing w:after="0" w:line="312" w:lineRule="auto"/>
        <w:rPr>
          <w:szCs w:val="20"/>
        </w:rPr>
      </w:pPr>
      <w:r w:rsidRPr="00E00B35">
        <w:rPr>
          <w:szCs w:val="20"/>
        </w:rPr>
        <w:t xml:space="preserve">Spot promujący kampanię, który pokazał różne formy przemocy oraz możliwości pomocy osobom doświadczającym przemocy a także świadkom przemocy. Film pokazał kilka ofiar przemocy, które doświadczyły jej w różny sposób. Ich historie zostały krótko opowiedziane przez aktorów. Scenariusz opowieści powstał w wyniku współpracy z ekipą filmową oraz partnerami kampanii. Powstały 2 wersje spotu, dopasowane do specyfiki kanałów dystrybucyjnych. Film promuje postawę ofiar, którym udało się zareagować na doświadczaną przemoc w konkretny sposób. Celem działania jest zmotywowanie zarówno samych ofiar, jak i świadków przemocy do szukania wyjścia z sytuacji przemocowej. </w:t>
      </w:r>
    </w:p>
    <w:p w:rsidR="00CA14AB" w:rsidRPr="00E00B35" w:rsidRDefault="00CA14AB" w:rsidP="00E00B35">
      <w:pPr>
        <w:spacing w:after="0" w:line="312" w:lineRule="auto"/>
        <w:rPr>
          <w:szCs w:val="20"/>
        </w:rPr>
      </w:pPr>
      <w:r w:rsidRPr="00E00B35">
        <w:rPr>
          <w:szCs w:val="20"/>
        </w:rPr>
        <w:lastRenderedPageBreak/>
        <w:t>Dzięki podjętej kampanii edukacyjno-informacyjnej zwiększyła się świadomość mieszkańców i mieszkanek Wrocławia na temat dostępnego systemu wsparcia osób doświadczających przemocy lub zagrożonych jej doświadczeniem. To zaangażowanie jest szansą na powstanie nowych inicjatyw na rzecz zwiększenia aktywnych działań na rzecz walki z przemocą we Wrocławiu. W ramach kampanii dystrybuowano materiały zawierające podstawowe informacje na temat przemocy (definicje, rodzaje) oraz sposoby radzenia sobie w trudnych sytuacjach. Celem dystrybucji materiałów jest dotarcie do osób, które nie mają świadomości, że wymierzane w ich kierunku zachowania mają znamiona przemocy oraz do osób, które nie wiedzą gdzie i w jaki sposób uzyskać wsparcie w tym zakresie.</w:t>
      </w:r>
    </w:p>
    <w:p w:rsidR="00CA14AB" w:rsidRPr="00E00B35" w:rsidRDefault="00CA14AB" w:rsidP="00E00B35">
      <w:pPr>
        <w:spacing w:after="0" w:line="312" w:lineRule="auto"/>
        <w:rPr>
          <w:szCs w:val="20"/>
        </w:rPr>
      </w:pPr>
      <w:r w:rsidRPr="00E00B35">
        <w:rPr>
          <w:szCs w:val="20"/>
        </w:rPr>
        <w:t>Dystrybucja materiałów edukacyjno-informacyjnych prowadzona była w okresie 12.11.2020 – 31.12.2020 poprzez:</w:t>
      </w:r>
    </w:p>
    <w:p w:rsidR="00CA14AB" w:rsidRPr="00E00B35" w:rsidRDefault="00CA14AB" w:rsidP="00E00B35">
      <w:pPr>
        <w:spacing w:after="0" w:line="312" w:lineRule="auto"/>
        <w:rPr>
          <w:szCs w:val="20"/>
        </w:rPr>
      </w:pPr>
      <w:r w:rsidRPr="00E00B35">
        <w:rPr>
          <w:szCs w:val="20"/>
        </w:rPr>
        <w:t>rozpowszechnianie ulotek na temat przemocy (w szkołach, przedszkolach, świetlicach środowiskowych, placówkach medycznych, komisariatach policji itp.),</w:t>
      </w:r>
    </w:p>
    <w:p w:rsidR="00CA14AB" w:rsidRPr="00E00B35" w:rsidRDefault="00CA14AB" w:rsidP="00E00B35">
      <w:pPr>
        <w:spacing w:after="0" w:line="312" w:lineRule="auto"/>
        <w:rPr>
          <w:szCs w:val="20"/>
        </w:rPr>
      </w:pPr>
      <w:r w:rsidRPr="00E00B35">
        <w:rPr>
          <w:szCs w:val="20"/>
        </w:rPr>
        <w:t>promocję materiałów informacyjno-edukacyjnych w mediach i Internecie,</w:t>
      </w:r>
    </w:p>
    <w:p w:rsidR="00CA14AB" w:rsidRPr="00E00B35" w:rsidRDefault="00CA14AB" w:rsidP="00E00B35">
      <w:pPr>
        <w:spacing w:after="0" w:line="312" w:lineRule="auto"/>
        <w:rPr>
          <w:szCs w:val="20"/>
        </w:rPr>
      </w:pPr>
      <w:r w:rsidRPr="00E00B35">
        <w:rPr>
          <w:szCs w:val="20"/>
        </w:rPr>
        <w:t>ekspozycję plakatów w tramwajach, autobusach, słupach informacyjnych,</w:t>
      </w:r>
    </w:p>
    <w:p w:rsidR="00CA14AB" w:rsidRPr="00E00B35" w:rsidRDefault="00CA14AB" w:rsidP="00E00B35">
      <w:pPr>
        <w:spacing w:after="0" w:line="312" w:lineRule="auto"/>
        <w:rPr>
          <w:szCs w:val="20"/>
        </w:rPr>
      </w:pPr>
      <w:r w:rsidRPr="00E00B35">
        <w:rPr>
          <w:szCs w:val="20"/>
        </w:rPr>
        <w:t>dystrybucję naklejek informacyjnych w autobusach MPK.</w:t>
      </w:r>
    </w:p>
    <w:p w:rsidR="00CA14AB" w:rsidRPr="00E00B35" w:rsidRDefault="00CA14AB" w:rsidP="00E00B35">
      <w:pPr>
        <w:spacing w:after="0" w:line="312" w:lineRule="auto"/>
        <w:rPr>
          <w:szCs w:val="20"/>
        </w:rPr>
      </w:pPr>
      <w:r w:rsidRPr="00E00B35">
        <w:rPr>
          <w:szCs w:val="20"/>
        </w:rPr>
        <w:t>Patronat: miasto Wrocław, Wrocławska Rada Kobiet, Stowarzyszenie EVOLUTIO.</w:t>
      </w:r>
      <w:r w:rsidRPr="00E00B35">
        <w:rPr>
          <w:szCs w:val="20"/>
        </w:rPr>
        <w:tab/>
      </w:r>
    </w:p>
    <w:p w:rsidR="005E6C69" w:rsidRPr="00E00B35" w:rsidRDefault="005E6C69" w:rsidP="00E00B35">
      <w:pPr>
        <w:pStyle w:val="Nagwek4"/>
        <w:spacing w:before="0" w:after="0" w:line="312" w:lineRule="auto"/>
        <w:rPr>
          <w:sz w:val="20"/>
          <w:szCs w:val="20"/>
        </w:rPr>
      </w:pPr>
      <w:bookmarkStart w:id="279" w:name="_Toc72352385"/>
      <w:bookmarkStart w:id="280" w:name="_Toc72352819"/>
    </w:p>
    <w:p w:rsidR="00CA14AB" w:rsidRPr="00E00B35" w:rsidRDefault="00CA14AB" w:rsidP="00E00B35">
      <w:pPr>
        <w:pStyle w:val="Nagwek4"/>
        <w:spacing w:before="0" w:after="0" w:line="312" w:lineRule="auto"/>
        <w:rPr>
          <w:sz w:val="20"/>
          <w:szCs w:val="20"/>
        </w:rPr>
      </w:pPr>
      <w:r w:rsidRPr="00E00B35">
        <w:rPr>
          <w:sz w:val="20"/>
          <w:szCs w:val="20"/>
        </w:rPr>
        <w:t>PROGRAMY RESOCJALIZACJI OSÓB SKAZANYCH, ZAGROŻONYCH WYKLUCZENIEM SPOŁECZNYM</w:t>
      </w:r>
      <w:bookmarkEnd w:id="279"/>
      <w:bookmarkEnd w:id="280"/>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PROGRAM PRAC SPOŁECZNIE UŻYTECZNYCH NA RZECZ MIASTA WROCŁAWIA „PER SALDO”</w:t>
      </w:r>
    </w:p>
    <w:p w:rsidR="00CA14AB" w:rsidRPr="00E00B35" w:rsidRDefault="00CA14AB" w:rsidP="00E00B35">
      <w:pPr>
        <w:spacing w:after="0" w:line="312" w:lineRule="auto"/>
        <w:rPr>
          <w:szCs w:val="20"/>
        </w:rPr>
      </w:pPr>
      <w:r w:rsidRPr="00E00B35">
        <w:rPr>
          <w:szCs w:val="20"/>
        </w:rPr>
        <w:t xml:space="preserve">Celem programu jest przeciwdziałanie wykluczeniu społecznemu osób skazanych poprzez organizowanie prac społecznie użytecznych na rzecz Wrocławia, w ramach zastępczego odbywania kary pozbawienia wolności. Upowszechnienie kar nieizolacyjnych oznacza, że znacząca liczba osób skazanych będzie mogła nadal funkcjonować we własnym środowisku rodzinnym i społecznym, co gwarantuje większą skuteczność resocjalizacyjną. System pozwalający na odbywanie kary poza więzieniem tzw. wolność kontrolowana, jest zdecydowanie tańszy od kosztów wykonywania kary bezwzględnego pozbawienia wolności w zakładzie zamkniętym i jednocześnie przynosi wymierne korzyści w postaci wykonanych prac. Programem objęte są osoby skazane, skierowane przez Sąd do zastępczego odbywania kary w formie prac społecznie użytecznych na rzecz Miasta. </w:t>
      </w:r>
    </w:p>
    <w:p w:rsidR="00CA14AB" w:rsidRPr="00E00B35" w:rsidRDefault="00CA14AB" w:rsidP="00E00B35">
      <w:pPr>
        <w:spacing w:after="0" w:line="312" w:lineRule="auto"/>
        <w:rPr>
          <w:szCs w:val="20"/>
        </w:rPr>
      </w:pPr>
      <w:r w:rsidRPr="00E00B35">
        <w:rPr>
          <w:szCs w:val="20"/>
        </w:rPr>
        <w:t>W ramach programu osoby skazane pod nadzorem wykonywały nieodpłatnie drobne usługi remontowo-budowlane w placówkach oświatowych i opieki zdrowotnej oraz prace porządkowe na terenie Wrocławia. Liczba zasądzonych godzin przeznaczonych na wykonanie prac społecznie użytecznych w 2020 roku wyniosła 31 908,5 godzin, z czego odpracowanych zostało 14 845,5 godzin. Do Stowarzyszenia Pomocy „Ludzie Ludziom”, organizatora prac, skierowanych zostało 250 wyroków orzekających karę ograniczenia wolności i pracę społecznie użyteczną. Różnica w liczbie orzeczonych oraz wykonanych godzin wynika z następujących przyczyn:</w:t>
      </w:r>
    </w:p>
    <w:p w:rsidR="00CA14AB" w:rsidRPr="00E00B35" w:rsidRDefault="00CA14AB" w:rsidP="00E00B35">
      <w:pPr>
        <w:spacing w:after="0" w:line="312" w:lineRule="auto"/>
        <w:rPr>
          <w:szCs w:val="20"/>
        </w:rPr>
      </w:pPr>
      <w:r w:rsidRPr="00E00B35">
        <w:rPr>
          <w:szCs w:val="20"/>
        </w:rPr>
        <w:lastRenderedPageBreak/>
        <w:t>zwolnienia od reszty kary ograniczenia wolności w związku z uznaniem kary za wykonaną w całości (podst. prawna – przepis art. 83 kk),</w:t>
      </w:r>
    </w:p>
    <w:p w:rsidR="00CA14AB" w:rsidRPr="00E00B35" w:rsidRDefault="00CA14AB" w:rsidP="00E00B35">
      <w:pPr>
        <w:spacing w:after="0" w:line="312" w:lineRule="auto"/>
        <w:rPr>
          <w:szCs w:val="20"/>
        </w:rPr>
      </w:pPr>
      <w:r w:rsidRPr="00E00B35">
        <w:rPr>
          <w:szCs w:val="20"/>
        </w:rPr>
        <w:t>niewykonanie kary ograniczenia wolności w sytuacji nie podjęcia orzeczonej pracy na cele społeczne w wyznaczonym podmiocie i/lub uporczywe uchylania się od obowiązku wykonywania prac j/w, prowadzące w konsekwencji do zarządzenia zastępczej kary pozbawienia wolności (podst. prawna - przepis art. 65 § 1).</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ORGANIZOWANIE I PROWADZENIE PUNKTÓW PORADNICTWA RODZINNEGO NA TERENIE WROCŁAWIA</w:t>
      </w:r>
    </w:p>
    <w:p w:rsidR="00CA14AB" w:rsidRPr="00E00B35" w:rsidRDefault="00CA14AB" w:rsidP="00E00B35">
      <w:pPr>
        <w:spacing w:after="0" w:line="312" w:lineRule="auto"/>
        <w:rPr>
          <w:szCs w:val="20"/>
        </w:rPr>
      </w:pPr>
      <w:r w:rsidRPr="00E00B35">
        <w:rPr>
          <w:szCs w:val="20"/>
        </w:rPr>
        <w:t>Celem zadania jest poprawa jakości funkcjonowania rodzin, szczególnie znajdujących się w trudnej sytuacji życiowej. Zakres realizowanych zadań:</w:t>
      </w:r>
    </w:p>
    <w:p w:rsidR="00CA14AB" w:rsidRPr="00E00B35" w:rsidRDefault="00CA14AB" w:rsidP="00BC64AB">
      <w:pPr>
        <w:pStyle w:val="Akapitzlist"/>
        <w:numPr>
          <w:ilvl w:val="0"/>
          <w:numId w:val="177"/>
        </w:numPr>
        <w:spacing w:after="0" w:line="312" w:lineRule="auto"/>
        <w:rPr>
          <w:szCs w:val="20"/>
        </w:rPr>
      </w:pPr>
      <w:r w:rsidRPr="00E00B35">
        <w:rPr>
          <w:szCs w:val="20"/>
        </w:rPr>
        <w:t>zapobieganie kryzysom, a w sytuacjach kryzysowych pomoc w rozwiązywaniu problemów,</w:t>
      </w:r>
    </w:p>
    <w:p w:rsidR="00CA14AB" w:rsidRPr="00E00B35" w:rsidRDefault="00CA14AB" w:rsidP="00BC64AB">
      <w:pPr>
        <w:pStyle w:val="Akapitzlist"/>
        <w:numPr>
          <w:ilvl w:val="0"/>
          <w:numId w:val="177"/>
        </w:numPr>
        <w:spacing w:after="0" w:line="312" w:lineRule="auto"/>
        <w:rPr>
          <w:szCs w:val="20"/>
        </w:rPr>
      </w:pPr>
      <w:r w:rsidRPr="00E00B35">
        <w:rPr>
          <w:szCs w:val="20"/>
        </w:rPr>
        <w:t xml:space="preserve">poprawa komunikacji w rodzinie, </w:t>
      </w:r>
    </w:p>
    <w:p w:rsidR="00CA14AB" w:rsidRPr="00E00B35" w:rsidRDefault="00CA14AB" w:rsidP="00BC64AB">
      <w:pPr>
        <w:pStyle w:val="Akapitzlist"/>
        <w:numPr>
          <w:ilvl w:val="0"/>
          <w:numId w:val="177"/>
        </w:numPr>
        <w:spacing w:after="0" w:line="312" w:lineRule="auto"/>
        <w:rPr>
          <w:szCs w:val="20"/>
        </w:rPr>
      </w:pPr>
      <w:r w:rsidRPr="00E00B35">
        <w:rPr>
          <w:szCs w:val="20"/>
        </w:rPr>
        <w:t>pomoc w radzeniu sobie z problemami wychowawczymi,</w:t>
      </w:r>
    </w:p>
    <w:p w:rsidR="00CA14AB" w:rsidRPr="00E00B35" w:rsidRDefault="00CA14AB" w:rsidP="00BC64AB">
      <w:pPr>
        <w:pStyle w:val="Akapitzlist"/>
        <w:numPr>
          <w:ilvl w:val="0"/>
          <w:numId w:val="177"/>
        </w:numPr>
        <w:spacing w:after="0" w:line="312" w:lineRule="auto"/>
        <w:rPr>
          <w:szCs w:val="20"/>
        </w:rPr>
      </w:pPr>
      <w:r w:rsidRPr="00E00B35">
        <w:rPr>
          <w:szCs w:val="20"/>
        </w:rPr>
        <w:t>udzielanie wsparcia przy podejmowaniu ważnych decyzji życiowych, wyboru drogi życiowej i aktywnego przygotowania się do pełnienia ról w małżeństwie i rodzinie,</w:t>
      </w:r>
    </w:p>
    <w:p w:rsidR="00CA14AB" w:rsidRPr="00E00B35" w:rsidRDefault="00CA14AB" w:rsidP="00BC64AB">
      <w:pPr>
        <w:pStyle w:val="Akapitzlist"/>
        <w:numPr>
          <w:ilvl w:val="0"/>
          <w:numId w:val="177"/>
        </w:numPr>
        <w:spacing w:after="0" w:line="312" w:lineRule="auto"/>
        <w:rPr>
          <w:szCs w:val="20"/>
        </w:rPr>
      </w:pPr>
      <w:r w:rsidRPr="00E00B35">
        <w:rPr>
          <w:szCs w:val="20"/>
        </w:rPr>
        <w:t>pomoc i wsparcie w sytuacji rozpadu rodziny lub jej rekonstrukcji,</w:t>
      </w:r>
    </w:p>
    <w:p w:rsidR="00CA14AB" w:rsidRPr="00E00B35" w:rsidRDefault="00CA14AB" w:rsidP="00BC64AB">
      <w:pPr>
        <w:pStyle w:val="Akapitzlist"/>
        <w:numPr>
          <w:ilvl w:val="0"/>
          <w:numId w:val="177"/>
        </w:numPr>
        <w:spacing w:after="0" w:line="312" w:lineRule="auto"/>
        <w:rPr>
          <w:szCs w:val="20"/>
        </w:rPr>
      </w:pPr>
      <w:r w:rsidRPr="00E00B35">
        <w:rPr>
          <w:szCs w:val="20"/>
        </w:rPr>
        <w:t>prowadzenie edukacji w zakresie budowania relacji małżeńskich i partnerskich oraz odpowiedzialnego rodzicielstwa,</w:t>
      </w:r>
    </w:p>
    <w:p w:rsidR="00CA14AB" w:rsidRPr="00E00B35" w:rsidRDefault="00CA14AB" w:rsidP="00BC64AB">
      <w:pPr>
        <w:pStyle w:val="Akapitzlist"/>
        <w:numPr>
          <w:ilvl w:val="0"/>
          <w:numId w:val="177"/>
        </w:numPr>
        <w:spacing w:after="0" w:line="312" w:lineRule="auto"/>
        <w:rPr>
          <w:szCs w:val="20"/>
        </w:rPr>
      </w:pPr>
      <w:r w:rsidRPr="00E00B35">
        <w:rPr>
          <w:szCs w:val="20"/>
        </w:rPr>
        <w:t>udzielanie pomocy w zakresie ochrony macierzyństwa,</w:t>
      </w:r>
    </w:p>
    <w:p w:rsidR="00CA14AB" w:rsidRPr="00E00B35" w:rsidRDefault="00CA14AB" w:rsidP="00BC64AB">
      <w:pPr>
        <w:pStyle w:val="Akapitzlist"/>
        <w:numPr>
          <w:ilvl w:val="0"/>
          <w:numId w:val="177"/>
        </w:numPr>
        <w:spacing w:after="0" w:line="312" w:lineRule="auto"/>
        <w:rPr>
          <w:szCs w:val="20"/>
        </w:rPr>
      </w:pPr>
      <w:r w:rsidRPr="00E00B35">
        <w:rPr>
          <w:szCs w:val="20"/>
        </w:rPr>
        <w:t>pomoc i wsparcie dla osób, par i rodzin po stracie dziecka,</w:t>
      </w:r>
    </w:p>
    <w:p w:rsidR="00CA14AB" w:rsidRPr="00E00B35" w:rsidRDefault="00CA14AB" w:rsidP="00BC64AB">
      <w:pPr>
        <w:pStyle w:val="Akapitzlist"/>
        <w:numPr>
          <w:ilvl w:val="0"/>
          <w:numId w:val="177"/>
        </w:numPr>
        <w:spacing w:after="0" w:line="312" w:lineRule="auto"/>
        <w:rPr>
          <w:szCs w:val="20"/>
        </w:rPr>
      </w:pPr>
      <w:r w:rsidRPr="00E00B35">
        <w:rPr>
          <w:szCs w:val="20"/>
        </w:rPr>
        <w:t>promowanie pozytywnego wizerunku rodziny pełnej, wielodzietnej i wielopokoleniowej,</w:t>
      </w:r>
    </w:p>
    <w:p w:rsidR="00CA14AB" w:rsidRPr="00E00B35" w:rsidRDefault="00CA14AB" w:rsidP="00BC64AB">
      <w:pPr>
        <w:pStyle w:val="Akapitzlist"/>
        <w:numPr>
          <w:ilvl w:val="0"/>
          <w:numId w:val="177"/>
        </w:numPr>
        <w:spacing w:after="0" w:line="312" w:lineRule="auto"/>
        <w:rPr>
          <w:szCs w:val="20"/>
        </w:rPr>
      </w:pPr>
      <w:r w:rsidRPr="00E00B35">
        <w:rPr>
          <w:szCs w:val="20"/>
        </w:rPr>
        <w:t xml:space="preserve">pomoc i wsparcie dla rodzin z problemem uzależnienia od alkoholu, narkotyków i innych środków psychoaktywnych, a także zachowań (uzależnienia behawioralne), </w:t>
      </w:r>
    </w:p>
    <w:p w:rsidR="00CA14AB" w:rsidRPr="00E00B35" w:rsidRDefault="00CA14AB" w:rsidP="00BC64AB">
      <w:pPr>
        <w:pStyle w:val="Akapitzlist"/>
        <w:numPr>
          <w:ilvl w:val="0"/>
          <w:numId w:val="177"/>
        </w:numPr>
        <w:spacing w:after="0" w:line="312" w:lineRule="auto"/>
        <w:rPr>
          <w:szCs w:val="20"/>
        </w:rPr>
      </w:pPr>
      <w:r w:rsidRPr="00E00B35">
        <w:rPr>
          <w:szCs w:val="20"/>
        </w:rPr>
        <w:t>pomoc i wsparcie dla rodzin doświadczających przemocy,</w:t>
      </w:r>
    </w:p>
    <w:p w:rsidR="00CA14AB" w:rsidRPr="00E00B35" w:rsidRDefault="00CA14AB" w:rsidP="00BC64AB">
      <w:pPr>
        <w:pStyle w:val="Akapitzlist"/>
        <w:numPr>
          <w:ilvl w:val="0"/>
          <w:numId w:val="177"/>
        </w:numPr>
        <w:spacing w:after="0" w:line="312" w:lineRule="auto"/>
        <w:rPr>
          <w:szCs w:val="20"/>
        </w:rPr>
      </w:pPr>
      <w:r w:rsidRPr="00E00B35">
        <w:rPr>
          <w:szCs w:val="20"/>
        </w:rPr>
        <w:t xml:space="preserve">udzielanie wsparcia osobom z problemami w sferze tożsamości psychoseksualnej oraz ich rodzinom. </w:t>
      </w:r>
    </w:p>
    <w:p w:rsidR="00CA14AB" w:rsidRPr="00E00B35" w:rsidRDefault="00CA14AB" w:rsidP="00E00B35">
      <w:pPr>
        <w:spacing w:after="0" w:line="312" w:lineRule="auto"/>
        <w:rPr>
          <w:szCs w:val="20"/>
        </w:rPr>
      </w:pPr>
      <w:r w:rsidRPr="00E00B35">
        <w:rPr>
          <w:szCs w:val="20"/>
        </w:rPr>
        <w:t>Formy realizacji zadania:</w:t>
      </w:r>
    </w:p>
    <w:p w:rsidR="00CA14AB" w:rsidRPr="00E00B35" w:rsidRDefault="00CA14AB" w:rsidP="00BC64AB">
      <w:pPr>
        <w:pStyle w:val="Akapitzlist"/>
        <w:numPr>
          <w:ilvl w:val="0"/>
          <w:numId w:val="178"/>
        </w:numPr>
        <w:spacing w:after="0" w:line="312" w:lineRule="auto"/>
        <w:rPr>
          <w:szCs w:val="20"/>
        </w:rPr>
      </w:pPr>
      <w:r w:rsidRPr="00E00B35">
        <w:rPr>
          <w:szCs w:val="20"/>
        </w:rPr>
        <w:t>poradnictwo psychologiczne - prowadzenie przez psychologa konsultacji oraz udzielanie wsparcia psychologicznego w formie indywidualnej, dla par, rodzin oraz grupowej (grupy wsparcia, psychoedukacja, treningi/warsztaty);</w:t>
      </w:r>
    </w:p>
    <w:p w:rsidR="00CA14AB" w:rsidRPr="00E00B35" w:rsidRDefault="00CA14AB" w:rsidP="00BC64AB">
      <w:pPr>
        <w:pStyle w:val="Akapitzlist"/>
        <w:numPr>
          <w:ilvl w:val="0"/>
          <w:numId w:val="178"/>
        </w:numPr>
        <w:spacing w:after="0" w:line="312" w:lineRule="auto"/>
        <w:rPr>
          <w:szCs w:val="20"/>
        </w:rPr>
      </w:pPr>
      <w:r w:rsidRPr="00E00B35">
        <w:rPr>
          <w:szCs w:val="20"/>
        </w:rPr>
        <w:t>poradnictwo pedagogiczne - prowadzenie przez pedagoga konsultacji w formie indywidualnej, dla par i rodzin oraz grupowej (grupy wsparcia, psychoedukacja, treningi/warsztaty) w zakresie m.in. właściwych oddziaływań wychowawczych, komunikacji, umiejętności rozwiązywania konfliktów, radzenia sobie z problemami wychowawczymi itp.;</w:t>
      </w:r>
    </w:p>
    <w:p w:rsidR="00CA14AB" w:rsidRPr="00E00B35" w:rsidRDefault="00CA14AB" w:rsidP="00BC64AB">
      <w:pPr>
        <w:pStyle w:val="Akapitzlist"/>
        <w:numPr>
          <w:ilvl w:val="0"/>
          <w:numId w:val="178"/>
        </w:numPr>
        <w:spacing w:after="0" w:line="312" w:lineRule="auto"/>
        <w:rPr>
          <w:szCs w:val="20"/>
        </w:rPr>
      </w:pPr>
      <w:r w:rsidRPr="00E00B35">
        <w:rPr>
          <w:szCs w:val="20"/>
        </w:rPr>
        <w:t>konsultacje doradcy rodzinnego;</w:t>
      </w:r>
    </w:p>
    <w:p w:rsidR="00CA14AB" w:rsidRPr="00E00B35" w:rsidRDefault="00CA14AB" w:rsidP="00BC64AB">
      <w:pPr>
        <w:pStyle w:val="Akapitzlist"/>
        <w:numPr>
          <w:ilvl w:val="0"/>
          <w:numId w:val="178"/>
        </w:numPr>
        <w:spacing w:after="0" w:line="312" w:lineRule="auto"/>
        <w:rPr>
          <w:szCs w:val="20"/>
        </w:rPr>
      </w:pPr>
      <w:r w:rsidRPr="00E00B35">
        <w:rPr>
          <w:szCs w:val="20"/>
        </w:rPr>
        <w:t>konsultacje i poradnictwo specjalistyczne innego typu, w tym mediacje i inne formy wsparcia niewymienione powyżej, jeśli ich potrzeba zostanie uzasadniona w ofercie realizacji zadania;</w:t>
      </w:r>
    </w:p>
    <w:p w:rsidR="00CA14AB" w:rsidRPr="00E00B35" w:rsidRDefault="00CA14AB" w:rsidP="00BC64AB">
      <w:pPr>
        <w:pStyle w:val="Akapitzlist"/>
        <w:numPr>
          <w:ilvl w:val="0"/>
          <w:numId w:val="178"/>
        </w:numPr>
        <w:spacing w:after="0" w:line="312" w:lineRule="auto"/>
        <w:rPr>
          <w:szCs w:val="20"/>
        </w:rPr>
      </w:pPr>
      <w:r w:rsidRPr="00E00B35">
        <w:rPr>
          <w:szCs w:val="20"/>
        </w:rPr>
        <w:lastRenderedPageBreak/>
        <w:t>poradnictwo prawne tylko w zakresie uzupełniającym pozostałe formy wsparcia i pomocy, przy założeniu, że będzie ono świadczone w formie wolontariatu;</w:t>
      </w:r>
    </w:p>
    <w:p w:rsidR="00CA14AB" w:rsidRPr="00E00B35" w:rsidRDefault="00CA14AB" w:rsidP="00BC64AB">
      <w:pPr>
        <w:pStyle w:val="Akapitzlist"/>
        <w:numPr>
          <w:ilvl w:val="0"/>
          <w:numId w:val="178"/>
        </w:numPr>
        <w:spacing w:after="0" w:line="312" w:lineRule="auto"/>
        <w:rPr>
          <w:szCs w:val="20"/>
        </w:rPr>
      </w:pPr>
      <w:r w:rsidRPr="00E00B35">
        <w:rPr>
          <w:szCs w:val="20"/>
        </w:rPr>
        <w:t>udzielanie informacji nt. innych instytucji/placówek/organizacji świadczących pomoc i udzielających wsparcia i w razie potrzeby kierowanie do nich beneficjentów;</w:t>
      </w:r>
    </w:p>
    <w:p w:rsidR="00CA14AB" w:rsidRPr="00E00B35" w:rsidRDefault="00CA14AB" w:rsidP="00BC64AB">
      <w:pPr>
        <w:pStyle w:val="Akapitzlist"/>
        <w:numPr>
          <w:ilvl w:val="0"/>
          <w:numId w:val="178"/>
        </w:numPr>
        <w:spacing w:after="0" w:line="312" w:lineRule="auto"/>
        <w:rPr>
          <w:szCs w:val="20"/>
        </w:rPr>
      </w:pPr>
      <w:r w:rsidRPr="00E00B35">
        <w:rPr>
          <w:szCs w:val="20"/>
        </w:rPr>
        <w:t>tworzenie materiałów edukacyjnych dla beneficjentów.</w:t>
      </w:r>
    </w:p>
    <w:p w:rsidR="00CA14AB" w:rsidRPr="00E00B35" w:rsidRDefault="00CA14AB" w:rsidP="00E00B35">
      <w:pPr>
        <w:spacing w:after="0" w:line="312" w:lineRule="auto"/>
        <w:rPr>
          <w:szCs w:val="20"/>
        </w:rPr>
      </w:pPr>
      <w:r w:rsidRPr="00E00B35">
        <w:rPr>
          <w:szCs w:val="20"/>
        </w:rPr>
        <w:t xml:space="preserve">W 24 punktach poradnictwa na terenie miasta, z różnych form wsparcia i pomocy skorzystało 5543 osoby. W ramach programu udzielono 11880 porad specjalistycznych dla osób indywidualnych, par i rodzin oraz zorganizowano warsztaty, wykłady i grupowe formy wsparcia, w których wzięło udział 851 osób. </w:t>
      </w:r>
    </w:p>
    <w:p w:rsidR="00CA14AB" w:rsidRPr="00E00B35" w:rsidRDefault="00CA14AB" w:rsidP="00E00B35">
      <w:pPr>
        <w:spacing w:after="0" w:line="312" w:lineRule="auto"/>
        <w:rPr>
          <w:szCs w:val="20"/>
        </w:rPr>
      </w:pPr>
      <w:r w:rsidRPr="00E00B35">
        <w:rPr>
          <w:szCs w:val="20"/>
        </w:rPr>
        <w:t>Zarówno konsultacje indywidualne jak i grupowe formy wsparcia, ze względu na stan zagrożenia epidemicznego, prowadzone były od dn. 16.03.2020r. poprzez środki komunikacji na odległość, a po zmniejszeniu obostrzeń w formie hybrydowej.</w:t>
      </w:r>
    </w:p>
    <w:p w:rsidR="00CA14AB" w:rsidRPr="00E00B35" w:rsidRDefault="00CA14AB" w:rsidP="00E00B35">
      <w:pPr>
        <w:spacing w:after="0" w:line="312" w:lineRule="auto"/>
        <w:rPr>
          <w:szCs w:val="20"/>
        </w:rPr>
      </w:pPr>
      <w:r w:rsidRPr="00E00B35">
        <w:rPr>
          <w:szCs w:val="20"/>
        </w:rPr>
        <w:t xml:space="preserve">ZAPEWNIENIE OPIEKI DZIECIOM I MŁODZIEŻY W CENTRACH ROZWOJU </w:t>
      </w:r>
      <w:r w:rsidRPr="00E00B35">
        <w:rPr>
          <w:szCs w:val="20"/>
        </w:rPr>
        <w:br/>
        <w:t xml:space="preserve">I AKTYWNOŚCI </w:t>
      </w:r>
    </w:p>
    <w:p w:rsidR="00CA14AB" w:rsidRPr="00E00B35" w:rsidRDefault="00CA14AB" w:rsidP="00E00B35">
      <w:pPr>
        <w:spacing w:after="0" w:line="312" w:lineRule="auto"/>
        <w:rPr>
          <w:szCs w:val="20"/>
        </w:rPr>
      </w:pPr>
      <w:r w:rsidRPr="00E00B35">
        <w:rPr>
          <w:szCs w:val="20"/>
        </w:rPr>
        <w:t xml:space="preserve">W 2020r. w 25 Centrach, w tym 22 prowadzonych przez organizacje pozarządowe oraz 3 przez Rady Osiedli, opieką wychowawców było objętych około 1 100 dzieci i młodzieży w wieku szkolnym. Celem programu jest umożliwienie dzieciom i młodzieży w wieku 6-18 lat mieszkającej i/lub uczącej się we Wrocławiu rozwoju społecznego i osobistego, w tym zainteresowań i talentów oraz różnych form aktywności w czasie wolnym od nauki szkolnej oraz objęcie ich zajęciami edukacyjnymi i profilaktycznymi. </w:t>
      </w:r>
    </w:p>
    <w:p w:rsidR="00CA14AB" w:rsidRPr="00E00B35" w:rsidRDefault="00CA14AB" w:rsidP="00E00B35">
      <w:pPr>
        <w:spacing w:after="0" w:line="312" w:lineRule="auto"/>
        <w:rPr>
          <w:szCs w:val="20"/>
        </w:rPr>
      </w:pPr>
      <w:r w:rsidRPr="00E00B35">
        <w:rPr>
          <w:szCs w:val="20"/>
        </w:rPr>
        <w:t>Oferta Centrów adresowana jest szczególnie do rodzin niewydolnych wychowawczo, potrzebujących wsparcia w opiece nad dziećmi. Zajęcia w Centrach przeznaczone dla dzieci i młodzieży odbywają się od poniedziałku do piątku w godzinach popołudniowych. Uczestnictwo w zajęciach jest bezpłatne i dobrowolne. Dzieci otrzymują pomoc w podnoszeniu wiedzy i umiejętności, bezpiecznie i atrakcyjnie spędzają czas wolny, poprawiają kondycję fizyczną na zajęciach sportowych, odkrywają i rozwijają talenty oraz znajdują przyjaciół i budują właściwe relacje społeczne.</w:t>
      </w:r>
    </w:p>
    <w:p w:rsidR="00CA14AB" w:rsidRPr="00E00B35" w:rsidRDefault="00CA14AB" w:rsidP="00E00B35">
      <w:pPr>
        <w:spacing w:after="0" w:line="312" w:lineRule="auto"/>
        <w:rPr>
          <w:szCs w:val="20"/>
        </w:rPr>
      </w:pPr>
      <w:r w:rsidRPr="00E00B35">
        <w:rPr>
          <w:szCs w:val="20"/>
        </w:rPr>
        <w:t>W trakcie roku dzieci i młodzież uczestniczyły w zajęciach m.in. edukacyjnych, profilaktycznych, ogólnorozwojowych, taneczno-ruchowych, artystycznych, a także imprezach okolicznościowych. Brały udział w wyjściach i wycieczkach na terenie miasta (m.in. kino, kręgle, ścianka wspinaczkowa, lodowisko, zoo, park trampolin, punkt widokowy Sky Tower) oraz poza miasto (m.in. Duszniki Zdrój, Zieleniec). W czasie trwania zadania dzieci i młodzież aktywnie wzięły udział w zorganizowanych zajęciach podczas ferii zimowych i wakacji letnich. Przez cały ten czas miały zapewniony posiłek.</w:t>
      </w:r>
    </w:p>
    <w:p w:rsidR="00CA14AB" w:rsidRPr="00E00B35" w:rsidRDefault="00CA14AB" w:rsidP="00E00B35">
      <w:pPr>
        <w:spacing w:after="0" w:line="312" w:lineRule="auto"/>
        <w:rPr>
          <w:szCs w:val="20"/>
        </w:rPr>
      </w:pPr>
      <w:r w:rsidRPr="00E00B35">
        <w:rPr>
          <w:szCs w:val="20"/>
        </w:rPr>
        <w:t>W czasie roku szkolnego, w związku z ograniczeniami epidemicznymi, Centra prowadziły zajęcia także w formie zdalnej lub hybrydowej. Kierownicy i wychowawcy dostosowali swoją pracę tak, by jak najlepiej objąć opieką dzieci i młodzież. Pozostawano z podopiecznymi i ich rodzicami w stałym kontakcie oraz prowadzono zajęcia głównie o charakterze edukacyjnym z wykorzystaniem mediów.</w:t>
      </w:r>
    </w:p>
    <w:p w:rsidR="00CA14AB" w:rsidRPr="00E00B35" w:rsidRDefault="00CA14AB" w:rsidP="00E00B35">
      <w:pPr>
        <w:spacing w:after="0" w:line="312" w:lineRule="auto"/>
        <w:rPr>
          <w:szCs w:val="20"/>
        </w:rPr>
      </w:pPr>
      <w:r w:rsidRPr="00E00B35">
        <w:rPr>
          <w:szCs w:val="20"/>
        </w:rPr>
        <w:t xml:space="preserve">W ramach projektu „Centrowe działania integracyjne – promocja, rozwój i współpraca”, który skierowany był do pracowników oraz dzieci i młodzieży uczestniczących w zajęciach Centrum, odbyło się 7 spotkań merytorycznych dla organizatorów Centrów, w których wzięły udział na każdym spotkaniu średnio 22 osoby z 15 organizacji. Zorganizowano </w:t>
      </w:r>
      <w:r w:rsidRPr="00E00B35">
        <w:rPr>
          <w:szCs w:val="20"/>
        </w:rPr>
        <w:lastRenderedPageBreak/>
        <w:t>także 10 spotkań w grupach roboczych (każde po 2h) dotyczących organizacji imprez dla podopiecznych, wyjazdu szkoleniowo-integracyjnego oraz bieżących spraw związanych z funkcjonowaniem Centrów.</w:t>
      </w:r>
    </w:p>
    <w:p w:rsidR="00CA14AB" w:rsidRPr="00E00B35" w:rsidRDefault="00CA14AB" w:rsidP="00E00B35">
      <w:pPr>
        <w:spacing w:after="0" w:line="312" w:lineRule="auto"/>
        <w:rPr>
          <w:szCs w:val="20"/>
        </w:rPr>
      </w:pPr>
      <w:r w:rsidRPr="00E00B35">
        <w:rPr>
          <w:szCs w:val="20"/>
        </w:rPr>
        <w:t xml:space="preserve">Z uwagi na sytuację epidemiczną wychowawcy uczestniczyli w 5 szkoleniach w formie zdalnej pn. „Centrowe rewolucje, czyli jak przejść do świata wirtualnego” – wzięło w nim udział 29 osób, pn. „Zmotywowany ja - motywujący innych” – 21 osób, pn. „Uważność – metody skupienia uwagi, relaksacja i metody redukcji stresu u dzieci i młodzieży” – 22 osoby, pn. „Asertywność – techniki uwalniania emocji” – 16 osób oraz pn. „Webinar: Komunikacja w systemie pracy zdalnej” – 11 osób. Celem szkoleń było m.in. zapoznanie się z wybranymi formami i możliwościami pracy w świecie wirtualnym. </w:t>
      </w:r>
    </w:p>
    <w:p w:rsidR="00CA14AB" w:rsidRPr="00E00B35" w:rsidRDefault="00CA14AB" w:rsidP="00E00B35">
      <w:pPr>
        <w:spacing w:after="0" w:line="312" w:lineRule="auto"/>
        <w:rPr>
          <w:szCs w:val="20"/>
        </w:rPr>
      </w:pPr>
      <w:r w:rsidRPr="00E00B35">
        <w:rPr>
          <w:szCs w:val="20"/>
        </w:rPr>
        <w:t>W październiku odbył się wyjazd szkoleniowo-integracyjny dla pracowników Centrów, w którym wzięło udział 22 pracowników z 13 organizacji.</w:t>
      </w:r>
    </w:p>
    <w:p w:rsidR="00CA14AB" w:rsidRPr="00E00B35" w:rsidRDefault="00CA14AB" w:rsidP="00E00B35">
      <w:pPr>
        <w:spacing w:after="0" w:line="312" w:lineRule="auto"/>
        <w:rPr>
          <w:szCs w:val="20"/>
        </w:rPr>
      </w:pPr>
      <w:r w:rsidRPr="00E00B35">
        <w:rPr>
          <w:szCs w:val="20"/>
        </w:rPr>
        <w:t>W 2020r. przeprowadzono dla dzieci i młodzieży „Międzycentrowy Konkurs Plastyczny - Rodzinka PL”, który zainteresował 80 osób z 13 Centrów oraz „Międzycentrowy Quiz wiedzy o Wrocławiu”, w którym uczestniczyło 58 dzieci z 12 Centrów. Dzieci i młodzież brały udział w imprezie pn. „Gra edukacyjna na terenie Wrocławskiego Ogrodu Zoologicznego”. W grze wzięło udział 145 dzieci z 11 Centrów. Z okazji Dnia Dziecka dla podopiecznych Centrów nagrano piosenkę pt. „Nie bój się chcieć” wraz z teledyskiem. Wystąpili w nim pracownicy Centrów, którzy zachęcając do uczestnictwa w zajęciach przedstawili formy spędzania czasu i płynące z nich korzyści. Wskazano szczególnie na otwartość Centrów oraz możliwość otrzymania wsparcia i pomocy. Utwór jest materiałem promocyjnym, który może dodać odwagi i zmotywować najmłodszych oraz ich rodziców do skorzystania z oferty wykwalifikowanej kadry Centrów.</w:t>
      </w:r>
    </w:p>
    <w:p w:rsidR="00CA14AB" w:rsidRPr="00E00B35" w:rsidRDefault="00CA14AB" w:rsidP="00E00B35">
      <w:pPr>
        <w:spacing w:after="0" w:line="312" w:lineRule="auto"/>
        <w:rPr>
          <w:szCs w:val="20"/>
        </w:rPr>
      </w:pPr>
      <w:r w:rsidRPr="00E00B35">
        <w:rPr>
          <w:szCs w:val="20"/>
        </w:rPr>
        <w:t>Koordynator Centrów prowadzi również platformę internetową na temat wrocławskich Centrów Rozwoju i Aktywności Dzieci i Młodzieży. Platforma jest przeznaczona zarówno dla organizacji prowadzących Centra, rodziców, dzieci i młodzieży, pedagogów, sponsorów, wolontariuszy oraz społeczności lokalnej.</w:t>
      </w:r>
    </w:p>
    <w:p w:rsidR="005E6C69" w:rsidRPr="00E00B35" w:rsidRDefault="005E6C69" w:rsidP="00E00B35">
      <w:pPr>
        <w:pStyle w:val="Nagwek4"/>
        <w:spacing w:before="0" w:after="0" w:line="312" w:lineRule="auto"/>
        <w:rPr>
          <w:sz w:val="20"/>
          <w:szCs w:val="20"/>
        </w:rPr>
      </w:pPr>
    </w:p>
    <w:p w:rsidR="00CA14AB" w:rsidRPr="00E00B35" w:rsidRDefault="00CA14AB" w:rsidP="00E00B35">
      <w:pPr>
        <w:pStyle w:val="Nagwek4"/>
        <w:spacing w:before="0" w:after="0" w:line="312" w:lineRule="auto"/>
        <w:rPr>
          <w:sz w:val="20"/>
          <w:szCs w:val="20"/>
        </w:rPr>
      </w:pPr>
      <w:r w:rsidRPr="00E00B35">
        <w:rPr>
          <w:sz w:val="20"/>
          <w:szCs w:val="20"/>
        </w:rPr>
        <w:t xml:space="preserve">REALIZACJA OFERTY PROGRAMÓW PROFILAKTYCZNYCH DLA DZIECI I MŁODZIEŻY ORAZ SZKOLEŃ PODNOSZĄCYCH KWALIFIKACJE NAUCZYCIELI, WYCHOWAWCÓW I RODZICÓW WE WROCŁAWSKICH PRZEDSZKOLACH I SZKOŁACH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ORGANIZACJA I REALIZACJA DZIAŁAŃ W ZAKRESIE EDUKACJI ZDROWOTNEJ, W RAMACH PROGRAMU WROCŁAWSKIEJ SIECI PRZEDSZKOLI I SZKÓŁ PROMUJĄCYCH ZDROWIE </w:t>
      </w:r>
    </w:p>
    <w:p w:rsidR="00CA14AB" w:rsidRPr="00E00B35" w:rsidRDefault="00CA14AB" w:rsidP="00E00B35">
      <w:pPr>
        <w:spacing w:after="0" w:line="312" w:lineRule="auto"/>
        <w:rPr>
          <w:szCs w:val="20"/>
        </w:rPr>
      </w:pPr>
      <w:r w:rsidRPr="00E00B35">
        <w:rPr>
          <w:szCs w:val="20"/>
        </w:rPr>
        <w:t>Celem Wrocławskiego Programu Sieci Przedszkoli i Szkół Promujących Zdrowie jest wychowywanie dla zdrowia poprzez propagowanie zdrowego stylu życia oraz kształtowanie postawy odpowiedzialności za zdrowie własne i innych.</w:t>
      </w:r>
    </w:p>
    <w:p w:rsidR="00CA14AB" w:rsidRPr="00E00B35" w:rsidRDefault="00CA14AB" w:rsidP="00E00B35">
      <w:pPr>
        <w:spacing w:after="0" w:line="312" w:lineRule="auto"/>
        <w:rPr>
          <w:szCs w:val="20"/>
        </w:rPr>
      </w:pPr>
      <w:r w:rsidRPr="00E00B35">
        <w:rPr>
          <w:szCs w:val="20"/>
        </w:rPr>
        <w:t xml:space="preserve">Wrocławską Sieć Przedszkoli i Szkół Promujących Zdrowie tworzy 67 przedszkoli oraz 79 szkół ze wszystkich poziomów nauczania, w tym: 52 szkoły podstawowe, </w:t>
      </w:r>
      <w:r w:rsidRPr="00E00B35">
        <w:rPr>
          <w:szCs w:val="20"/>
        </w:rPr>
        <w:br/>
        <w:t>20 szkół ponadgimnazjalnych oraz 7 szkół specjalnych.</w:t>
      </w:r>
    </w:p>
    <w:p w:rsidR="00CA14AB" w:rsidRPr="00E00B35" w:rsidRDefault="00CA14AB" w:rsidP="00E00B35">
      <w:pPr>
        <w:spacing w:after="0" w:line="312" w:lineRule="auto"/>
        <w:rPr>
          <w:szCs w:val="20"/>
        </w:rPr>
      </w:pPr>
      <w:r w:rsidRPr="00E00B35">
        <w:rPr>
          <w:szCs w:val="20"/>
        </w:rPr>
        <w:lastRenderedPageBreak/>
        <w:t>We wszystkich placówkach należących do sieci zostali powołani koordynatorzy ds. promocji zdrowia.</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PROGRAMY PROFILAKTYKI UZALEŻNIEŃ I PRZECIWDZIAŁANIA PRZEMOCY WE WROCŁAWSKICH PLACÓWKACH OŚWIATOWYCH </w:t>
      </w:r>
    </w:p>
    <w:p w:rsidR="00CA14AB" w:rsidRPr="00E00B35" w:rsidRDefault="00CA14AB" w:rsidP="00E00B35">
      <w:pPr>
        <w:spacing w:after="0" w:line="312" w:lineRule="auto"/>
        <w:rPr>
          <w:szCs w:val="20"/>
        </w:rPr>
      </w:pPr>
      <w:r w:rsidRPr="00E00B35">
        <w:rPr>
          <w:szCs w:val="20"/>
        </w:rPr>
        <w:t>Programy profilaktyki uzależnień mają na celu:</w:t>
      </w:r>
    </w:p>
    <w:p w:rsidR="00CA14AB" w:rsidRPr="00E00B35" w:rsidRDefault="00CA14AB" w:rsidP="00BC64AB">
      <w:pPr>
        <w:pStyle w:val="Akapitzlist"/>
        <w:numPr>
          <w:ilvl w:val="0"/>
          <w:numId w:val="179"/>
        </w:numPr>
        <w:spacing w:after="0" w:line="312" w:lineRule="auto"/>
        <w:rPr>
          <w:szCs w:val="20"/>
        </w:rPr>
      </w:pPr>
      <w:r w:rsidRPr="00E00B35">
        <w:rPr>
          <w:szCs w:val="20"/>
        </w:rPr>
        <w:t>obniżenie skłonności do podejmowania ryzykownych zachowań związanych ze środkami psychoaktywnymi,</w:t>
      </w:r>
    </w:p>
    <w:p w:rsidR="00CA14AB" w:rsidRPr="00E00B35" w:rsidRDefault="00CA14AB" w:rsidP="00BC64AB">
      <w:pPr>
        <w:pStyle w:val="Akapitzlist"/>
        <w:numPr>
          <w:ilvl w:val="0"/>
          <w:numId w:val="179"/>
        </w:numPr>
        <w:spacing w:after="0" w:line="312" w:lineRule="auto"/>
        <w:rPr>
          <w:szCs w:val="20"/>
        </w:rPr>
      </w:pPr>
      <w:r w:rsidRPr="00E00B35">
        <w:rPr>
          <w:szCs w:val="20"/>
        </w:rPr>
        <w:t>odkłamanie stereotypowych przekonań i mitów wynikających z nadużywania alkoholu,</w:t>
      </w:r>
    </w:p>
    <w:p w:rsidR="00CA14AB" w:rsidRPr="00E00B35" w:rsidRDefault="00CA14AB" w:rsidP="00BC64AB">
      <w:pPr>
        <w:pStyle w:val="Akapitzlist"/>
        <w:numPr>
          <w:ilvl w:val="0"/>
          <w:numId w:val="179"/>
        </w:numPr>
        <w:spacing w:after="0" w:line="312" w:lineRule="auto"/>
        <w:rPr>
          <w:szCs w:val="20"/>
        </w:rPr>
      </w:pPr>
      <w:r w:rsidRPr="00E00B35">
        <w:rPr>
          <w:szCs w:val="20"/>
        </w:rPr>
        <w:t>ułatwienie identyfikacji problemu wynikającego z życia w rodzinie z problemem alkoholowym,</w:t>
      </w:r>
    </w:p>
    <w:p w:rsidR="00CA14AB" w:rsidRPr="00E00B35" w:rsidRDefault="00CA14AB" w:rsidP="00BC64AB">
      <w:pPr>
        <w:pStyle w:val="Akapitzlist"/>
        <w:numPr>
          <w:ilvl w:val="0"/>
          <w:numId w:val="179"/>
        </w:numPr>
        <w:spacing w:after="0" w:line="312" w:lineRule="auto"/>
        <w:rPr>
          <w:szCs w:val="20"/>
        </w:rPr>
      </w:pPr>
      <w:r w:rsidRPr="00E00B35">
        <w:rPr>
          <w:szCs w:val="20"/>
        </w:rPr>
        <w:t>kształtowanie postawy asertywnych zachowań wobec osób nakłaniających do zażywania środków psychoaktywnych,</w:t>
      </w:r>
    </w:p>
    <w:p w:rsidR="00CA14AB" w:rsidRPr="00E00B35" w:rsidRDefault="00CA14AB" w:rsidP="00BC64AB">
      <w:pPr>
        <w:pStyle w:val="Akapitzlist"/>
        <w:numPr>
          <w:ilvl w:val="0"/>
          <w:numId w:val="179"/>
        </w:numPr>
        <w:spacing w:after="0" w:line="312" w:lineRule="auto"/>
        <w:rPr>
          <w:szCs w:val="20"/>
        </w:rPr>
      </w:pPr>
      <w:r w:rsidRPr="00E00B35">
        <w:rPr>
          <w:szCs w:val="20"/>
        </w:rPr>
        <w:t xml:space="preserve">umacnianie systemu wartości społecznych, </w:t>
      </w:r>
    </w:p>
    <w:p w:rsidR="00CA14AB" w:rsidRPr="00E00B35" w:rsidRDefault="00CA14AB" w:rsidP="00BC64AB">
      <w:pPr>
        <w:pStyle w:val="Akapitzlist"/>
        <w:numPr>
          <w:ilvl w:val="0"/>
          <w:numId w:val="179"/>
        </w:numPr>
        <w:spacing w:after="0" w:line="312" w:lineRule="auto"/>
        <w:rPr>
          <w:szCs w:val="20"/>
        </w:rPr>
      </w:pPr>
      <w:r w:rsidRPr="00E00B35">
        <w:rPr>
          <w:szCs w:val="20"/>
        </w:rPr>
        <w:t>dostarczenie wiedzy na temat szkód wynikających z używania alkoholu i środków psychoaktywnych.</w:t>
      </w:r>
    </w:p>
    <w:p w:rsidR="00CA14AB" w:rsidRPr="00E00B35" w:rsidRDefault="00CA14AB" w:rsidP="00E00B35">
      <w:pPr>
        <w:spacing w:after="0" w:line="312" w:lineRule="auto"/>
        <w:rPr>
          <w:szCs w:val="20"/>
        </w:rPr>
      </w:pPr>
      <w:r w:rsidRPr="00E00B35">
        <w:rPr>
          <w:szCs w:val="20"/>
        </w:rPr>
        <w:t>W 2020 r. zrealizowano następujące programy:</w:t>
      </w:r>
    </w:p>
    <w:p w:rsidR="00CA14AB" w:rsidRPr="00E00B35" w:rsidRDefault="00CA14AB" w:rsidP="00BC64AB">
      <w:pPr>
        <w:pStyle w:val="Akapitzlist"/>
        <w:numPr>
          <w:ilvl w:val="0"/>
          <w:numId w:val="180"/>
        </w:numPr>
        <w:spacing w:after="0" w:line="312" w:lineRule="auto"/>
        <w:rPr>
          <w:szCs w:val="20"/>
        </w:rPr>
      </w:pPr>
      <w:r w:rsidRPr="00E00B35">
        <w:rPr>
          <w:szCs w:val="20"/>
        </w:rPr>
        <w:t>Korekta - program profilaktyczno-interwencyjny przeznaczony dla uczniów pełnoletnich, w ramach którego zorganizowano 44 różne działania dla 1055 uczniów;</w:t>
      </w:r>
    </w:p>
    <w:p w:rsidR="00CA14AB" w:rsidRPr="00E00B35" w:rsidRDefault="00CA14AB" w:rsidP="00BC64AB">
      <w:pPr>
        <w:pStyle w:val="Akapitzlist"/>
        <w:numPr>
          <w:ilvl w:val="0"/>
          <w:numId w:val="180"/>
        </w:numPr>
        <w:spacing w:after="0" w:line="312" w:lineRule="auto"/>
        <w:rPr>
          <w:szCs w:val="20"/>
        </w:rPr>
      </w:pPr>
      <w:r w:rsidRPr="00E00B35">
        <w:rPr>
          <w:szCs w:val="20"/>
        </w:rPr>
        <w:t xml:space="preserve">Noe - program realizowany w formie dużego mityngu; przeznaczony dla uczniów </w:t>
      </w:r>
      <w:r w:rsidRPr="00E00B35">
        <w:rPr>
          <w:szCs w:val="20"/>
        </w:rPr>
        <w:br/>
        <w:t>w wieku od 15 do 19 lat, w ramach którego zorganizowano 20 różnych działań dla 392 uczniów;</w:t>
      </w:r>
    </w:p>
    <w:p w:rsidR="00CA14AB" w:rsidRPr="00E00B35" w:rsidRDefault="00CA14AB" w:rsidP="00BC64AB">
      <w:pPr>
        <w:pStyle w:val="Akapitzlist"/>
        <w:numPr>
          <w:ilvl w:val="0"/>
          <w:numId w:val="180"/>
        </w:numPr>
        <w:spacing w:after="0" w:line="312" w:lineRule="auto"/>
        <w:rPr>
          <w:szCs w:val="20"/>
        </w:rPr>
      </w:pPr>
      <w:r w:rsidRPr="00E00B35">
        <w:rPr>
          <w:szCs w:val="20"/>
        </w:rPr>
        <w:t>Debata - program profilaktyki alkoholowej i narkotykowej; przeznaczony dla uczniów w wieku od 12 do 15 lat, w ramach którego zorganizowano 44 różne działania dla 804 uczniów;</w:t>
      </w:r>
    </w:p>
    <w:p w:rsidR="00CA14AB" w:rsidRPr="00E00B35" w:rsidRDefault="00CA14AB" w:rsidP="00BC64AB">
      <w:pPr>
        <w:pStyle w:val="Akapitzlist"/>
        <w:numPr>
          <w:ilvl w:val="0"/>
          <w:numId w:val="180"/>
        </w:numPr>
        <w:spacing w:after="0" w:line="312" w:lineRule="auto"/>
        <w:rPr>
          <w:szCs w:val="20"/>
        </w:rPr>
      </w:pPr>
      <w:r w:rsidRPr="00E00B35">
        <w:rPr>
          <w:szCs w:val="20"/>
        </w:rPr>
        <w:t>Spójrz inaczej - program profilaktyki narkotykowej, przeznaczony dla uczniów w wieku od 9 do 12 lat, w ramach którego zorganizowano 44 różne działania dla 781 uczniów;</w:t>
      </w:r>
    </w:p>
    <w:p w:rsidR="00CA14AB" w:rsidRPr="00E00B35" w:rsidRDefault="00CA14AB" w:rsidP="00BC64AB">
      <w:pPr>
        <w:pStyle w:val="Akapitzlist"/>
        <w:numPr>
          <w:ilvl w:val="0"/>
          <w:numId w:val="180"/>
        </w:numPr>
        <w:spacing w:after="0" w:line="312" w:lineRule="auto"/>
        <w:rPr>
          <w:szCs w:val="20"/>
        </w:rPr>
      </w:pPr>
      <w:r w:rsidRPr="00E00B35">
        <w:rPr>
          <w:szCs w:val="20"/>
        </w:rPr>
        <w:t>Cukierki – program profilaktyczny dla dzieci w wieku 5-11 lat, w ramach którego zorganizowano 24 różne działania dla 513 uczniów;</w:t>
      </w:r>
    </w:p>
    <w:p w:rsidR="00CA14AB" w:rsidRPr="00E00B35" w:rsidRDefault="00CA14AB" w:rsidP="00BC64AB">
      <w:pPr>
        <w:pStyle w:val="Akapitzlist"/>
        <w:numPr>
          <w:ilvl w:val="0"/>
          <w:numId w:val="180"/>
        </w:numPr>
        <w:spacing w:after="0" w:line="312" w:lineRule="auto"/>
        <w:rPr>
          <w:szCs w:val="20"/>
        </w:rPr>
      </w:pPr>
      <w:r w:rsidRPr="00E00B35">
        <w:rPr>
          <w:szCs w:val="20"/>
        </w:rPr>
        <w:t xml:space="preserve">Smaki życia – czyli debata o dopalaczach – program profilaktyczny dla młodzieży </w:t>
      </w:r>
      <w:r w:rsidRPr="00E00B35">
        <w:rPr>
          <w:szCs w:val="20"/>
        </w:rPr>
        <w:br/>
        <w:t>w wieku 15-18 lat, w ramach którego zorganizowano 44 różne działania dla 980 uczniów;</w:t>
      </w:r>
    </w:p>
    <w:p w:rsidR="00CA14AB" w:rsidRPr="00E00B35" w:rsidRDefault="00CA14AB" w:rsidP="00BC64AB">
      <w:pPr>
        <w:pStyle w:val="Akapitzlist"/>
        <w:numPr>
          <w:ilvl w:val="0"/>
          <w:numId w:val="180"/>
        </w:numPr>
        <w:spacing w:after="0" w:line="312" w:lineRule="auto"/>
        <w:rPr>
          <w:szCs w:val="20"/>
        </w:rPr>
      </w:pPr>
      <w:r w:rsidRPr="00E00B35">
        <w:rPr>
          <w:szCs w:val="20"/>
        </w:rPr>
        <w:t>Bez klapsa - jak z miłością i szacunkiem stawiać dziecku granice – program profilaktyki przemocy adresowany do rodziców małych dzieci, w ramach którego zorganizowano 16 różnych działań dla 208 rodziców;</w:t>
      </w:r>
    </w:p>
    <w:p w:rsidR="00CA14AB" w:rsidRPr="00E00B35" w:rsidRDefault="00CA14AB" w:rsidP="00BC64AB">
      <w:pPr>
        <w:pStyle w:val="Akapitzlist"/>
        <w:numPr>
          <w:ilvl w:val="0"/>
          <w:numId w:val="180"/>
        </w:numPr>
        <w:spacing w:after="0" w:line="312" w:lineRule="auto"/>
        <w:rPr>
          <w:szCs w:val="20"/>
        </w:rPr>
      </w:pPr>
      <w:r w:rsidRPr="00E00B35">
        <w:rPr>
          <w:szCs w:val="20"/>
        </w:rPr>
        <w:t>Warsztat psychologiczno-pedagogiczny z zakresu profilaktyki zachowań ryzykownych oraz uzależnień dla dzieci i młodzieży. Zorganizowano 7 warsztatów dla 180 uczniów;</w:t>
      </w:r>
    </w:p>
    <w:p w:rsidR="00CA14AB" w:rsidRPr="00E00B35" w:rsidRDefault="00CA14AB" w:rsidP="00BC64AB">
      <w:pPr>
        <w:pStyle w:val="Akapitzlist"/>
        <w:numPr>
          <w:ilvl w:val="0"/>
          <w:numId w:val="180"/>
        </w:numPr>
        <w:spacing w:after="0" w:line="312" w:lineRule="auto"/>
        <w:rPr>
          <w:szCs w:val="20"/>
        </w:rPr>
      </w:pPr>
      <w:r w:rsidRPr="00E00B35">
        <w:rPr>
          <w:szCs w:val="20"/>
        </w:rPr>
        <w:t>Program Wzmacniania Rodziny – warsztaty umiejętności wychowawczych, w którym uczestniczyło 8 uczniów i 8 rodziców.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WSPIERANIE ROZWOJU OSOBISTEGO I SPOŁECZNEGO UCZNIÓW WROCŁAWSKICH SZKÓŁ SPECJALNYCH.</w:t>
      </w:r>
    </w:p>
    <w:p w:rsidR="00CA14AB" w:rsidRPr="00E00B35" w:rsidRDefault="00CA14AB" w:rsidP="00E00B35">
      <w:pPr>
        <w:spacing w:after="0" w:line="312" w:lineRule="auto"/>
        <w:rPr>
          <w:szCs w:val="20"/>
        </w:rPr>
      </w:pPr>
      <w:r w:rsidRPr="00E00B35">
        <w:rPr>
          <w:szCs w:val="20"/>
        </w:rPr>
        <w:t>Program ma na celu przeciwdziałania ryzykownym zachowaniom dzieci i młodzieży szkół specjalnych poprzez kształtowanie umiejętności psychospołecznych, rozwijanie zainteresowań i zdolności. W 2020 r. we wrocławskich szkołach specjalnych i ośrodkach szkolno-wychowawczych zostały zrealizowane działania edukacyjnych dla dzieci i młodzieży, mające na celu:</w:t>
      </w:r>
    </w:p>
    <w:p w:rsidR="00CA14AB" w:rsidRPr="00E00B35" w:rsidRDefault="00CA14AB" w:rsidP="00BC64AB">
      <w:pPr>
        <w:pStyle w:val="Akapitzlist"/>
        <w:numPr>
          <w:ilvl w:val="0"/>
          <w:numId w:val="181"/>
        </w:numPr>
        <w:spacing w:after="0" w:line="312" w:lineRule="auto"/>
        <w:rPr>
          <w:szCs w:val="20"/>
        </w:rPr>
      </w:pPr>
      <w:r w:rsidRPr="00E00B35">
        <w:rPr>
          <w:szCs w:val="20"/>
        </w:rPr>
        <w:t>profilaktykę uzależnień,</w:t>
      </w:r>
    </w:p>
    <w:p w:rsidR="00CA14AB" w:rsidRPr="00E00B35" w:rsidRDefault="00CA14AB" w:rsidP="00BC64AB">
      <w:pPr>
        <w:pStyle w:val="Akapitzlist"/>
        <w:numPr>
          <w:ilvl w:val="0"/>
          <w:numId w:val="181"/>
        </w:numPr>
        <w:spacing w:after="0" w:line="312" w:lineRule="auto"/>
        <w:rPr>
          <w:szCs w:val="20"/>
        </w:rPr>
      </w:pPr>
      <w:r w:rsidRPr="00E00B35">
        <w:rPr>
          <w:szCs w:val="20"/>
        </w:rPr>
        <w:t>przeciwdziałanie wykluczeniu społecznemu,</w:t>
      </w:r>
    </w:p>
    <w:p w:rsidR="00CA14AB" w:rsidRPr="00E00B35" w:rsidRDefault="00CA14AB" w:rsidP="00BC64AB">
      <w:pPr>
        <w:pStyle w:val="Akapitzlist"/>
        <w:numPr>
          <w:ilvl w:val="0"/>
          <w:numId w:val="181"/>
        </w:numPr>
        <w:spacing w:after="0" w:line="312" w:lineRule="auto"/>
        <w:rPr>
          <w:szCs w:val="20"/>
        </w:rPr>
      </w:pPr>
      <w:r w:rsidRPr="00E00B35">
        <w:rPr>
          <w:szCs w:val="20"/>
        </w:rPr>
        <w:t xml:space="preserve">wspomaganie rozwoju osobistego i emocjonalnego, </w:t>
      </w:r>
    </w:p>
    <w:p w:rsidR="00CA14AB" w:rsidRPr="00E00B35" w:rsidRDefault="00CA14AB" w:rsidP="00BC64AB">
      <w:pPr>
        <w:pStyle w:val="Akapitzlist"/>
        <w:numPr>
          <w:ilvl w:val="0"/>
          <w:numId w:val="181"/>
        </w:numPr>
        <w:spacing w:after="0" w:line="312" w:lineRule="auto"/>
        <w:rPr>
          <w:szCs w:val="20"/>
        </w:rPr>
      </w:pPr>
      <w:r w:rsidRPr="00E00B35">
        <w:rPr>
          <w:szCs w:val="20"/>
        </w:rPr>
        <w:t>kształtowanie umiejętności społecznych,</w:t>
      </w:r>
    </w:p>
    <w:p w:rsidR="00CA14AB" w:rsidRPr="00E00B35" w:rsidRDefault="00CA14AB" w:rsidP="00BC64AB">
      <w:pPr>
        <w:pStyle w:val="Akapitzlist"/>
        <w:numPr>
          <w:ilvl w:val="0"/>
          <w:numId w:val="181"/>
        </w:numPr>
        <w:spacing w:after="0" w:line="312" w:lineRule="auto"/>
        <w:rPr>
          <w:szCs w:val="20"/>
        </w:rPr>
      </w:pPr>
      <w:r w:rsidRPr="00E00B35">
        <w:rPr>
          <w:szCs w:val="20"/>
        </w:rPr>
        <w:t>rozwijanie umiejętności komunikacji,</w:t>
      </w:r>
    </w:p>
    <w:p w:rsidR="00CA14AB" w:rsidRPr="00E00B35" w:rsidRDefault="00CA14AB" w:rsidP="00BC64AB">
      <w:pPr>
        <w:pStyle w:val="Akapitzlist"/>
        <w:numPr>
          <w:ilvl w:val="0"/>
          <w:numId w:val="181"/>
        </w:numPr>
        <w:spacing w:after="0" w:line="312" w:lineRule="auto"/>
        <w:rPr>
          <w:szCs w:val="20"/>
        </w:rPr>
      </w:pPr>
      <w:r w:rsidRPr="00E00B35">
        <w:rPr>
          <w:szCs w:val="20"/>
        </w:rPr>
        <w:t>kształtowanie poczucia własnej wartości,</w:t>
      </w:r>
    </w:p>
    <w:p w:rsidR="00CA14AB" w:rsidRPr="00E00B35" w:rsidRDefault="00CA14AB" w:rsidP="00BC64AB">
      <w:pPr>
        <w:pStyle w:val="Akapitzlist"/>
        <w:numPr>
          <w:ilvl w:val="0"/>
          <w:numId w:val="181"/>
        </w:numPr>
        <w:spacing w:after="0" w:line="312" w:lineRule="auto"/>
        <w:rPr>
          <w:szCs w:val="20"/>
        </w:rPr>
      </w:pPr>
      <w:r w:rsidRPr="00E00B35">
        <w:rPr>
          <w:szCs w:val="20"/>
        </w:rPr>
        <w:t>poprawę samooceny,</w:t>
      </w:r>
    </w:p>
    <w:p w:rsidR="00CA14AB" w:rsidRPr="00E00B35" w:rsidRDefault="00CA14AB" w:rsidP="00BC64AB">
      <w:pPr>
        <w:pStyle w:val="Akapitzlist"/>
        <w:numPr>
          <w:ilvl w:val="0"/>
          <w:numId w:val="181"/>
        </w:numPr>
        <w:spacing w:after="0" w:line="312" w:lineRule="auto"/>
        <w:rPr>
          <w:szCs w:val="20"/>
        </w:rPr>
      </w:pPr>
      <w:r w:rsidRPr="00E00B35">
        <w:rPr>
          <w:szCs w:val="20"/>
        </w:rPr>
        <w:t>zwiększenie motywacji,</w:t>
      </w:r>
    </w:p>
    <w:p w:rsidR="00CA14AB" w:rsidRPr="00E00B35" w:rsidRDefault="00CA14AB" w:rsidP="00BC64AB">
      <w:pPr>
        <w:pStyle w:val="Akapitzlist"/>
        <w:numPr>
          <w:ilvl w:val="0"/>
          <w:numId w:val="181"/>
        </w:numPr>
        <w:spacing w:after="0" w:line="312" w:lineRule="auto"/>
        <w:rPr>
          <w:szCs w:val="20"/>
        </w:rPr>
      </w:pPr>
      <w:r w:rsidRPr="00E00B35">
        <w:rPr>
          <w:szCs w:val="20"/>
        </w:rPr>
        <w:t>rozwijanie zainteresowań i zdolności.</w:t>
      </w:r>
    </w:p>
    <w:p w:rsidR="00CA14AB" w:rsidRPr="00E00B35" w:rsidRDefault="00CA14AB" w:rsidP="00E00B35">
      <w:pPr>
        <w:spacing w:after="0" w:line="312" w:lineRule="auto"/>
        <w:rPr>
          <w:szCs w:val="20"/>
        </w:rPr>
      </w:pPr>
      <w:r w:rsidRPr="00E00B35">
        <w:rPr>
          <w:szCs w:val="20"/>
        </w:rPr>
        <w:t xml:space="preserve">W zajęciach uczestniczyło 410 uczniów, w tym: </w:t>
      </w:r>
    </w:p>
    <w:p w:rsidR="00CA14AB" w:rsidRPr="00E00B35" w:rsidRDefault="00CA14AB" w:rsidP="00BC64AB">
      <w:pPr>
        <w:pStyle w:val="Akapitzlist"/>
        <w:numPr>
          <w:ilvl w:val="0"/>
          <w:numId w:val="182"/>
        </w:numPr>
        <w:spacing w:after="0" w:line="312" w:lineRule="auto"/>
        <w:rPr>
          <w:szCs w:val="20"/>
        </w:rPr>
      </w:pPr>
      <w:r w:rsidRPr="00E00B35">
        <w:rPr>
          <w:szCs w:val="20"/>
        </w:rPr>
        <w:t>w warsztatach tanecznych – 175</w:t>
      </w:r>
    </w:p>
    <w:p w:rsidR="00CA14AB" w:rsidRPr="00E00B35" w:rsidRDefault="00CA14AB" w:rsidP="00BC64AB">
      <w:pPr>
        <w:pStyle w:val="Akapitzlist"/>
        <w:numPr>
          <w:ilvl w:val="0"/>
          <w:numId w:val="182"/>
        </w:numPr>
        <w:spacing w:after="0" w:line="312" w:lineRule="auto"/>
        <w:rPr>
          <w:szCs w:val="20"/>
        </w:rPr>
      </w:pPr>
      <w:r w:rsidRPr="00E00B35">
        <w:rPr>
          <w:szCs w:val="20"/>
        </w:rPr>
        <w:t>w warsztatach z redukcji stresu i uważności – 35</w:t>
      </w:r>
    </w:p>
    <w:p w:rsidR="00CA14AB" w:rsidRPr="00E00B35" w:rsidRDefault="00CA14AB" w:rsidP="00BC64AB">
      <w:pPr>
        <w:pStyle w:val="Akapitzlist"/>
        <w:numPr>
          <w:ilvl w:val="0"/>
          <w:numId w:val="182"/>
        </w:numPr>
        <w:spacing w:after="0" w:line="312" w:lineRule="auto"/>
        <w:rPr>
          <w:szCs w:val="20"/>
        </w:rPr>
      </w:pPr>
      <w:r w:rsidRPr="00E00B35">
        <w:rPr>
          <w:szCs w:val="20"/>
        </w:rPr>
        <w:t xml:space="preserve">w warsztatach z edukacji seksualnej - 10 </w:t>
      </w:r>
    </w:p>
    <w:p w:rsidR="00CA14AB" w:rsidRPr="00E00B35" w:rsidRDefault="00CA14AB" w:rsidP="00BC64AB">
      <w:pPr>
        <w:pStyle w:val="Akapitzlist"/>
        <w:numPr>
          <w:ilvl w:val="0"/>
          <w:numId w:val="182"/>
        </w:numPr>
        <w:spacing w:after="0" w:line="312" w:lineRule="auto"/>
        <w:rPr>
          <w:szCs w:val="20"/>
        </w:rPr>
      </w:pPr>
      <w:r w:rsidRPr="00E00B35">
        <w:rPr>
          <w:szCs w:val="20"/>
        </w:rPr>
        <w:t>w warsztatach z aktywnej percepcji sztuki – 40</w:t>
      </w:r>
    </w:p>
    <w:p w:rsidR="00CA14AB" w:rsidRPr="00E00B35" w:rsidRDefault="00CA14AB" w:rsidP="00BC64AB">
      <w:pPr>
        <w:pStyle w:val="Akapitzlist"/>
        <w:numPr>
          <w:ilvl w:val="0"/>
          <w:numId w:val="182"/>
        </w:numPr>
        <w:spacing w:after="0" w:line="312" w:lineRule="auto"/>
        <w:rPr>
          <w:szCs w:val="20"/>
        </w:rPr>
      </w:pPr>
      <w:r w:rsidRPr="00E00B35">
        <w:rPr>
          <w:szCs w:val="20"/>
        </w:rPr>
        <w:t>w warsztatach z animacji artystycznej i performance -15</w:t>
      </w:r>
    </w:p>
    <w:p w:rsidR="00CA14AB" w:rsidRPr="00E00B35" w:rsidRDefault="00CA14AB" w:rsidP="00BC64AB">
      <w:pPr>
        <w:pStyle w:val="Akapitzlist"/>
        <w:numPr>
          <w:ilvl w:val="0"/>
          <w:numId w:val="182"/>
        </w:numPr>
        <w:spacing w:after="0" w:line="312" w:lineRule="auto"/>
        <w:rPr>
          <w:szCs w:val="20"/>
        </w:rPr>
      </w:pPr>
      <w:r w:rsidRPr="00E00B35">
        <w:rPr>
          <w:szCs w:val="20"/>
        </w:rPr>
        <w:t>w warsztatach plastyczne – 15</w:t>
      </w:r>
    </w:p>
    <w:p w:rsidR="00CA14AB" w:rsidRPr="00E00B35" w:rsidRDefault="00CA14AB" w:rsidP="00BC64AB">
      <w:pPr>
        <w:pStyle w:val="Akapitzlist"/>
        <w:numPr>
          <w:ilvl w:val="0"/>
          <w:numId w:val="182"/>
        </w:numPr>
        <w:spacing w:after="0" w:line="312" w:lineRule="auto"/>
        <w:rPr>
          <w:szCs w:val="20"/>
        </w:rPr>
      </w:pPr>
      <w:r w:rsidRPr="00E00B35">
        <w:rPr>
          <w:szCs w:val="20"/>
        </w:rPr>
        <w:t>w pokazach finałowych – 60</w:t>
      </w:r>
    </w:p>
    <w:p w:rsidR="00CA14AB" w:rsidRPr="00E00B35" w:rsidRDefault="00CA14AB" w:rsidP="00BC64AB">
      <w:pPr>
        <w:pStyle w:val="Akapitzlist"/>
        <w:numPr>
          <w:ilvl w:val="0"/>
          <w:numId w:val="182"/>
        </w:numPr>
        <w:spacing w:after="0" w:line="312" w:lineRule="auto"/>
        <w:rPr>
          <w:szCs w:val="20"/>
        </w:rPr>
      </w:pPr>
      <w:r w:rsidRPr="00E00B35">
        <w:rPr>
          <w:szCs w:val="20"/>
        </w:rPr>
        <w:t>w pokazach spektakli - 60</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ARCHIPELAG SKARBÓW – PROGRAM PROFILAKTYKI ZINTEGROWANEJ</w:t>
      </w:r>
    </w:p>
    <w:p w:rsidR="00CA14AB" w:rsidRPr="00E00B35" w:rsidRDefault="00CA14AB" w:rsidP="00E00B35">
      <w:pPr>
        <w:spacing w:after="0" w:line="312" w:lineRule="auto"/>
        <w:rPr>
          <w:szCs w:val="20"/>
        </w:rPr>
      </w:pPr>
      <w:r w:rsidRPr="00E00B35">
        <w:rPr>
          <w:szCs w:val="20"/>
        </w:rPr>
        <w:t>Działania programu profilaktyki zintegrowanej „Archipelag skarbów” obejmują profilaktykę uzależnień, profilaktykę przemocy, profilaktykę HIV/AIDS, profilaktykę ryzykownych zachowań seksualnych. Program rekomendowany jest przez Państwową Agencję Rozwiązywania Problemów Alkoholowych, Krajowe Biuro ds. Przeciwdziałania Narkomanii, Ośrodek Rozwoju Edukacji, Instytut Psychiatrii i Neurologii zgodnie z założeniami „Systemu rekomendacji programów profilaktycznych i promocji zdrowia psychicznego”. Działania programu kierowane były do uczniów klas VII i VIII szkół podstawowych, rad pedagogicznych oraz rodziców.</w:t>
      </w:r>
    </w:p>
    <w:p w:rsidR="00CA14AB" w:rsidRPr="00E00B35" w:rsidRDefault="00CA14AB" w:rsidP="00E00B35">
      <w:pPr>
        <w:spacing w:after="0" w:line="312" w:lineRule="auto"/>
        <w:rPr>
          <w:szCs w:val="20"/>
        </w:rPr>
      </w:pPr>
      <w:r w:rsidRPr="00E00B35">
        <w:rPr>
          <w:szCs w:val="20"/>
        </w:rPr>
        <w:t>W roku szkolnym 2019/2020 program realizowany był w 16 wrocławskich szkołach podstawowych. W październiku 2019 roku rozpoczęto realizację programu na rok szkolny 2019/2020. Przeprowadzono diagnozę problemów i pozytywnego potencjału uczniów, w której wzięło udział 1 117 uczniów. Odbyły się również pierwsze warsztaty dla uczniów, wykłady dla rodziców oraz szkolenie dla rad pedagogicznych. Przygotowano również materiały profilaktyczne niezbędne do realizacji programu.</w:t>
      </w:r>
    </w:p>
    <w:p w:rsidR="00CA14AB" w:rsidRPr="00E00B35" w:rsidRDefault="00CA14AB" w:rsidP="00E00B35">
      <w:pPr>
        <w:spacing w:after="0" w:line="312" w:lineRule="auto"/>
        <w:rPr>
          <w:szCs w:val="20"/>
        </w:rPr>
      </w:pPr>
      <w:r w:rsidRPr="00E00B35">
        <w:rPr>
          <w:szCs w:val="20"/>
        </w:rPr>
        <w:lastRenderedPageBreak/>
        <w:t>W okresie od stycznia do czerwca 2020 r. przeprowadzono 12 spotkań dla młodzieży, 12 wykładów dla rodziców oraz 11 szkoleń rad pedagogicznych. W działaniach wzięło udział 880 uczniów, 297 rodziców oraz 220 nauczycieli.</w:t>
      </w:r>
    </w:p>
    <w:p w:rsidR="00CA14AB" w:rsidRPr="00E00B35" w:rsidRDefault="00CA14AB" w:rsidP="00E00B35">
      <w:pPr>
        <w:spacing w:after="0" w:line="312" w:lineRule="auto"/>
        <w:rPr>
          <w:szCs w:val="20"/>
        </w:rPr>
      </w:pPr>
      <w:r w:rsidRPr="00E00B35">
        <w:rPr>
          <w:szCs w:val="20"/>
        </w:rPr>
        <w:t>W całej edycji programu w roku szkolnym 2019/2020 przeprowadzono 16 spotkań dla młodzieży, 16 wykładów dla rodziców oraz 14 wykładów dla nauczycieli. W działaniach  wzięło udział 1 243 uczniów, 319 rodziców oraz 292 nauczycieli.</w:t>
      </w:r>
    </w:p>
    <w:p w:rsidR="00CA14AB" w:rsidRPr="00E00B35" w:rsidRDefault="00CA14AB" w:rsidP="00E00B35">
      <w:pPr>
        <w:spacing w:after="0" w:line="312" w:lineRule="auto"/>
        <w:rPr>
          <w:szCs w:val="20"/>
        </w:rPr>
      </w:pPr>
      <w:r w:rsidRPr="00E00B35">
        <w:rPr>
          <w:szCs w:val="20"/>
        </w:rPr>
        <w:t xml:space="preserve">W 14 szkołach przeprowadzona została diagnoza, na podstawie której przygotowane zostały indywidualne „Raporty z diagnozy zachowań i postaw młodzieży w ujęciu profilaktyki zintegrowanej”. </w:t>
      </w:r>
    </w:p>
    <w:p w:rsidR="005E6C69" w:rsidRPr="00E00B35" w:rsidRDefault="005E6C69" w:rsidP="00E00B35">
      <w:pPr>
        <w:pStyle w:val="Nagwek5"/>
        <w:rPr>
          <w:szCs w:val="20"/>
        </w:rPr>
      </w:pPr>
      <w:bookmarkStart w:id="281" w:name="_Toc72352386"/>
      <w:bookmarkStart w:id="282" w:name="_Toc72352820"/>
    </w:p>
    <w:p w:rsidR="00CA14AB" w:rsidRPr="00E00B35" w:rsidRDefault="00CA14AB" w:rsidP="00E00B35">
      <w:pPr>
        <w:pStyle w:val="Nagwek5"/>
        <w:rPr>
          <w:szCs w:val="20"/>
        </w:rPr>
      </w:pPr>
      <w:r w:rsidRPr="00E00B35">
        <w:rPr>
          <w:szCs w:val="20"/>
        </w:rPr>
        <w:t>NAWIGACJA W KRYZYSIE – PROGRAM PROFILAKTYKI ZINTEGROWANEJ</w:t>
      </w:r>
      <w:bookmarkEnd w:id="281"/>
      <w:bookmarkEnd w:id="282"/>
    </w:p>
    <w:p w:rsidR="00CA14AB" w:rsidRPr="00E00B35" w:rsidRDefault="00CA14AB" w:rsidP="00E00B35">
      <w:pPr>
        <w:spacing w:after="0" w:line="312" w:lineRule="auto"/>
        <w:rPr>
          <w:szCs w:val="20"/>
        </w:rPr>
      </w:pPr>
      <w:r w:rsidRPr="00E00B35">
        <w:rPr>
          <w:szCs w:val="20"/>
        </w:rPr>
        <w:t>W październiku 2020 roku, w związku z sytuacją epidemiologiczną, rozpoczęto realizację programu profilaktycznego w systemie online „Nawigacja w kryzysie”. Celem programu jest wsparcie psychiczne młodzieży i pomoc w radzeniu sobie ze stresem i trudnymi emocjami w czasie izolacji. Integralną częścią programu jest pomoc nauczycielom i rodzicom w pełnieniu funkcji wychowawczej i profilaktycznej w wyjątkowej sytuacji epidemii.</w:t>
      </w:r>
    </w:p>
    <w:p w:rsidR="00CA14AB" w:rsidRPr="00E00B35" w:rsidRDefault="00CA14AB" w:rsidP="00E00B35">
      <w:pPr>
        <w:spacing w:after="0" w:line="312" w:lineRule="auto"/>
        <w:rPr>
          <w:szCs w:val="20"/>
        </w:rPr>
      </w:pPr>
      <w:r w:rsidRPr="00E00B35">
        <w:rPr>
          <w:szCs w:val="20"/>
        </w:rPr>
        <w:t xml:space="preserve">W programie wzięło udział 8 szkół podstawowych. Przeprowadzono zajęcia dla 770 uczniów klas VII i VIII oraz szkolenie dla 40 nauczycieli. Przekazano materiały profilaktyczne dla 770 rodziców. W ramach programu została przeprowadzona diagnoza, w której wzięło udział 371 uczniów.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WSPIERANIE MŁODZIEŻY W ZAKRESIE ROZWOJU OSOBISTEGO I SPOŁECZNEGO ORAZ PRZECIWDZIAŁANIE UZALEŻNIENIOM I PRZEMOCY </w:t>
      </w:r>
    </w:p>
    <w:p w:rsidR="00CA14AB" w:rsidRPr="00E00B35" w:rsidRDefault="00CA14AB" w:rsidP="00E00B35">
      <w:pPr>
        <w:spacing w:after="0" w:line="312" w:lineRule="auto"/>
        <w:rPr>
          <w:szCs w:val="20"/>
        </w:rPr>
      </w:pPr>
      <w:r w:rsidRPr="00E00B35">
        <w:rPr>
          <w:szCs w:val="20"/>
        </w:rPr>
        <w:t>Program ma na celu przeciwdziałanie przemocy oraz ryzykownym zachowaniom młodzieży poprzez kształtowanie umiejętności psychospołecznych, rozwijanie zainteresowań i zdolności oraz promowanie wartości szacunku, odpowiedzialności, tolerancji i współdziałania w grupie.</w:t>
      </w:r>
    </w:p>
    <w:p w:rsidR="00CA14AB" w:rsidRPr="00E00B35" w:rsidRDefault="00CA14AB" w:rsidP="00E00B35">
      <w:pPr>
        <w:spacing w:after="0" w:line="312" w:lineRule="auto"/>
        <w:rPr>
          <w:szCs w:val="20"/>
        </w:rPr>
      </w:pPr>
      <w:r w:rsidRPr="00E00B35">
        <w:rPr>
          <w:szCs w:val="20"/>
        </w:rPr>
        <w:t>W ramach programu zaplanowano działania o charakterze psychoedukacyjnym, wspomagające rozwój osobisty i społeczny oraz wzmacniające poczucie własnej wartości i integrację rówieśniczą w formie warsztatów oraz indywidualnych konsultacji.</w:t>
      </w:r>
    </w:p>
    <w:p w:rsidR="00CA14AB" w:rsidRPr="00E00B35" w:rsidRDefault="00CA14AB" w:rsidP="00E00B35">
      <w:pPr>
        <w:spacing w:after="0" w:line="312" w:lineRule="auto"/>
        <w:rPr>
          <w:szCs w:val="20"/>
        </w:rPr>
      </w:pPr>
      <w:r w:rsidRPr="00E00B35">
        <w:rPr>
          <w:szCs w:val="20"/>
        </w:rPr>
        <w:t>W 2020 roku zrealizowano następujące działania:</w:t>
      </w:r>
    </w:p>
    <w:p w:rsidR="00CA14AB" w:rsidRPr="00E00B35" w:rsidRDefault="00CA14AB" w:rsidP="00E00B35">
      <w:pPr>
        <w:spacing w:after="0" w:line="312" w:lineRule="auto"/>
        <w:rPr>
          <w:szCs w:val="20"/>
        </w:rPr>
      </w:pPr>
      <w:r w:rsidRPr="00E00B35">
        <w:rPr>
          <w:szCs w:val="20"/>
        </w:rPr>
        <w:t>Warsztaty psychoedukacyjne w szkołach ponadpodstawowych (stacjonarne oraz online). Odbyło się 220 warsztatów, w których uczestniczyło 5440 uczniów.</w:t>
      </w:r>
    </w:p>
    <w:p w:rsidR="00CA14AB" w:rsidRPr="00E00B35" w:rsidRDefault="00CA14AB" w:rsidP="00E00B35">
      <w:pPr>
        <w:spacing w:after="0" w:line="312" w:lineRule="auto"/>
        <w:rPr>
          <w:szCs w:val="20"/>
        </w:rPr>
      </w:pPr>
      <w:r w:rsidRPr="00E00B35">
        <w:rPr>
          <w:szCs w:val="20"/>
        </w:rPr>
        <w:t>Grupa socjoterapeutyczna dla młodzieży. Odbyło się 14 spotkań grupy, w których uczestniczyło 13 uczniów.</w:t>
      </w:r>
    </w:p>
    <w:p w:rsidR="00CA14AB" w:rsidRPr="00E00B35" w:rsidRDefault="00CA14AB" w:rsidP="00E00B35">
      <w:pPr>
        <w:spacing w:after="0" w:line="312" w:lineRule="auto"/>
        <w:rPr>
          <w:szCs w:val="20"/>
        </w:rPr>
      </w:pPr>
      <w:r w:rsidRPr="00E00B35">
        <w:rPr>
          <w:szCs w:val="20"/>
        </w:rPr>
        <w:t xml:space="preserve">Punkt Konsultacji Psychologicznych. Z konsultacji stacjonarnych oraz online skorzystało 31 uczniów, 6 nauczycieli oraz 11 rodziców.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REALIZACJA DZIAŁAŃ PROFILAKTYCZNYCH I EDUKACYJNYCH DLA OSÓB ZAGROŻONYCH ZACHOWANIAMI RYZYKOWNYMI „KLUBY RODZICA”</w:t>
      </w:r>
    </w:p>
    <w:p w:rsidR="00CA14AB" w:rsidRPr="00E00B35" w:rsidRDefault="00CA14AB" w:rsidP="00E00B35">
      <w:pPr>
        <w:spacing w:after="0" w:line="312" w:lineRule="auto"/>
        <w:rPr>
          <w:szCs w:val="20"/>
        </w:rPr>
      </w:pPr>
      <w:r w:rsidRPr="00E00B35">
        <w:rPr>
          <w:szCs w:val="20"/>
        </w:rPr>
        <w:t>Celem programu jest ograniczanie zachowań ryzykownych wśród dorosłych mieszkańców Wrocławia oraz ich podopiecznych poprzez realizację działań z zakresu profilaktyki uniwersalnej.</w:t>
      </w:r>
    </w:p>
    <w:p w:rsidR="00CA14AB" w:rsidRPr="00E00B35" w:rsidRDefault="00CA14AB" w:rsidP="00E00B35">
      <w:pPr>
        <w:spacing w:after="0" w:line="312" w:lineRule="auto"/>
        <w:rPr>
          <w:szCs w:val="20"/>
        </w:rPr>
      </w:pPr>
      <w:r w:rsidRPr="00E00B35">
        <w:rPr>
          <w:szCs w:val="20"/>
        </w:rPr>
        <w:t>W ramach programu realizowano działania o charakterze psychoedukacyjnym, wspomagające rozwój osobisty i społeczny oraz wzmacniające umiejętności wychowawcze rodziców. Do momentu wprowadzenia obostrzeń sanitarnych w filiach Miejskiej Biblioteki Publicznej realizujących zadania Klubu Rodzica udało się zorganizować 55 spotkań stacjonarnych, w których uczestniczyło w sumie 1.176 osób (w tym 594 dzieci). Były to głównie warsztaty edukacyjne i plastyczne, zajęcia z animacji teatralnej adresowane głównie do najmłodszych dzieci w wieku przedszkolnym wraz z opiekunami.</w:t>
      </w:r>
    </w:p>
    <w:p w:rsidR="00CA14AB" w:rsidRPr="00E00B35" w:rsidRDefault="00CA14AB" w:rsidP="00E00B35">
      <w:pPr>
        <w:spacing w:after="0" w:line="312" w:lineRule="auto"/>
        <w:rPr>
          <w:szCs w:val="20"/>
        </w:rPr>
      </w:pPr>
      <w:r w:rsidRPr="00E00B35">
        <w:rPr>
          <w:szCs w:val="20"/>
        </w:rPr>
        <w:t>Ponadto, nadal kontynuowano cykl spotkań „Zespół Aspergera i autyzm w najbliższym otoczeniu”, kierowanych do opiekunów dzieci w spektrum. Zakłada on tworzenie bezpiecznych i przyjaznych miejsc dla osób w spektrum w przestrzeniach wrocławskich bibliotek, które należą do Klubu Rodzica.</w:t>
      </w:r>
    </w:p>
    <w:p w:rsidR="00CA14AB" w:rsidRPr="00E00B35" w:rsidRDefault="00CA14AB" w:rsidP="00E00B35">
      <w:pPr>
        <w:spacing w:after="0" w:line="312" w:lineRule="auto"/>
        <w:rPr>
          <w:szCs w:val="20"/>
        </w:rPr>
      </w:pPr>
      <w:r w:rsidRPr="00E00B35">
        <w:rPr>
          <w:szCs w:val="20"/>
        </w:rPr>
        <w:t>Na specjalne omówienie w obszarze działań bezpośrednich zasługuje także projekt</w:t>
      </w:r>
    </w:p>
    <w:p w:rsidR="00CA14AB" w:rsidRPr="00E00B35" w:rsidRDefault="00CA14AB" w:rsidP="00E00B35">
      <w:pPr>
        <w:spacing w:after="0" w:line="312" w:lineRule="auto"/>
        <w:rPr>
          <w:szCs w:val="20"/>
        </w:rPr>
      </w:pPr>
      <w:r w:rsidRPr="00E00B35">
        <w:rPr>
          <w:szCs w:val="20"/>
        </w:rPr>
        <w:t>„Mosty zamiast murów” realizowany jesienią 2020 r. Inicjatywa ta, zrodziła się już podczas pandemii i była odpowiedzią na potrzebę wsparcia psychologicznego dla osób, które borykają się z różnego rodzaju problemami w nowej trudnej rzeczywistości. Klub Rodzica zaprosił do współpracy zawodowych psychologów i terapeutów, którzy prowadzili bezpłatne konsultacje dla zainteresowanych osób na terenie wrocławskich bibliotek. Odbiorcami psychologicznej pomocy mogły być zarówno osoby dorosłe, młodzież (za zgodą opiekunów prawnych), jak i po prostu wrocławskie rodziny.</w:t>
      </w:r>
    </w:p>
    <w:p w:rsidR="00CA14AB" w:rsidRPr="00E00B35" w:rsidRDefault="00CA14AB" w:rsidP="00E00B35">
      <w:pPr>
        <w:spacing w:after="0" w:line="312" w:lineRule="auto"/>
        <w:rPr>
          <w:szCs w:val="20"/>
        </w:rPr>
      </w:pPr>
      <w:r w:rsidRPr="00E00B35">
        <w:rPr>
          <w:szCs w:val="20"/>
        </w:rPr>
        <w:t>Od momentu wprowadzenia stanu zagrożenia epidemiologicznego działania adresowane do dzieci i rodziców były realizowane online, na platformie komunikacyjnej ZOOM, lub zamieszczane były na profilach społecznościowych i kanale YouTube. W sumie takich innowacyjnych działań na mniejszą i większą skalę, zrealizowanych i udostępnionych na platformach komunikacyjnych i w social mediach Miejskiej Biblioteki Publicznej z inicjatywy Klubu Rodzica było 61. Jako przykłady takich propozycji można wymienić kilkutygodniowy cykl autorskich animacji teatralnych zatytułowanych „Bajeczki z główeczki”, zrealizowanych dla Klubu Rodzica (zasięg na Fb: 95.150) i „Jesienne czytanki”, czyli wybór tekstów z literatury dziecięcej (zasięg na Fb 8.220).</w:t>
      </w:r>
    </w:p>
    <w:p w:rsidR="00CA14AB" w:rsidRPr="00E00B35" w:rsidRDefault="00CA14AB" w:rsidP="00E00B35">
      <w:pPr>
        <w:spacing w:after="0" w:line="312" w:lineRule="auto"/>
        <w:rPr>
          <w:szCs w:val="20"/>
        </w:rPr>
      </w:pPr>
      <w:r w:rsidRPr="00E00B35">
        <w:rPr>
          <w:szCs w:val="20"/>
        </w:rPr>
        <w:t xml:space="preserve">Odbył się również cykl EMOCje, który został zrealizowany specjalnie dla Klubu Rodzica przez psycholożki i terapeutki. Został wyemitowany w pierwszej połowie roku, niedługo po ogłoszeniu ograniczeń wynikających z zagrożenia epidemiologicznego. Pierwsze trzy odcinki, zatytułowane „Posłańcy z Królestwa Emocji” zawierały treści o tematyce psychologicznej i były kierowane do dzieci w wieku przedszkolnym. Motywem przewodnim była pandemia i emocje jakie nowa sytuacja rodzi w najbliższym otoczeniu małych słuchaczy. Kolejne odcinki z tego cyklu „Porozmawiajmy. Otwarcie i bez tabu” zrealizowane zostały z myślą o młodzieży i poruszały problemy wyobcowania, uzależnienia od Internetu oraz depresji wśród młodych ludzi (zasięg na Fb 24.251). </w:t>
      </w:r>
    </w:p>
    <w:p w:rsidR="00CA14AB" w:rsidRPr="00E00B35" w:rsidRDefault="00CA14AB" w:rsidP="00E00B35">
      <w:pPr>
        <w:spacing w:after="0" w:line="312" w:lineRule="auto"/>
        <w:rPr>
          <w:szCs w:val="20"/>
        </w:rPr>
      </w:pPr>
      <w:r w:rsidRPr="00E00B35">
        <w:rPr>
          <w:szCs w:val="20"/>
        </w:rPr>
        <w:lastRenderedPageBreak/>
        <w:t>Ponadto dzięki platformie komunikacyjnej ZOOM realizowano bezpośrednie interaktywne zabawy z najmłodszymi jak i szkolenia dla dorosłych. Podjęte tematy podczas webinarowych spotkań online dla rodziców to: "Współpraca - jak pomóc dzieciom rozwijać ją podczas wakacji” , „Jak i po rozwijać u dzieci kompetencje XXI wieku" oraz „Kreatywność twojego dziecka – jak ją mądrze rozwijać w wakacje?” Ogółem wzięło w nich udział 15 osób.</w:t>
      </w:r>
    </w:p>
    <w:p w:rsidR="005E6C69" w:rsidRPr="00E00B35" w:rsidRDefault="005E6C69" w:rsidP="00E00B35">
      <w:pPr>
        <w:pStyle w:val="Nagwek4"/>
        <w:spacing w:before="0" w:after="0" w:line="312" w:lineRule="auto"/>
        <w:rPr>
          <w:sz w:val="20"/>
          <w:szCs w:val="20"/>
        </w:rPr>
      </w:pPr>
    </w:p>
    <w:p w:rsidR="00CA14AB" w:rsidRPr="00E00B35" w:rsidRDefault="00CA14AB" w:rsidP="00E00B35">
      <w:pPr>
        <w:pStyle w:val="Nagwek4"/>
        <w:spacing w:before="0" w:after="0" w:line="312" w:lineRule="auto"/>
        <w:rPr>
          <w:sz w:val="20"/>
          <w:szCs w:val="20"/>
        </w:rPr>
      </w:pPr>
      <w:r w:rsidRPr="00E00B35">
        <w:rPr>
          <w:sz w:val="20"/>
          <w:szCs w:val="20"/>
        </w:rPr>
        <w:t>PORADNICTWO I POMOC W RAMACH PRAC GMINNEJ KOMISJI PROFILAKTYKI I ROZWIĄZYWANIA PROBLEMÓW ALKOHOLOWYCH</w:t>
      </w:r>
    </w:p>
    <w:p w:rsidR="005E6C69" w:rsidRPr="00E00B35" w:rsidRDefault="005E6C69" w:rsidP="00E00B35">
      <w:pPr>
        <w:pStyle w:val="Nagwek5"/>
        <w:rPr>
          <w:szCs w:val="20"/>
        </w:rPr>
      </w:pPr>
      <w:bookmarkStart w:id="283" w:name="_Toc72352387"/>
      <w:bookmarkStart w:id="284" w:name="_Toc72352821"/>
    </w:p>
    <w:p w:rsidR="00CA14AB" w:rsidRPr="00E00B35" w:rsidRDefault="00CA14AB" w:rsidP="00E00B35">
      <w:pPr>
        <w:pStyle w:val="Nagwek5"/>
        <w:rPr>
          <w:szCs w:val="20"/>
        </w:rPr>
      </w:pPr>
      <w:r w:rsidRPr="00E00B35">
        <w:rPr>
          <w:szCs w:val="20"/>
        </w:rPr>
        <w:t>PROCEDURA ZOBOWIĄZANIA DO LECZENIA ODWYKOWEGO</w:t>
      </w:r>
      <w:bookmarkEnd w:id="283"/>
      <w:bookmarkEnd w:id="284"/>
    </w:p>
    <w:p w:rsidR="00CA14AB" w:rsidRPr="00E00B35" w:rsidRDefault="00CA14AB" w:rsidP="00E00B35">
      <w:pPr>
        <w:spacing w:after="0" w:line="312" w:lineRule="auto"/>
        <w:rPr>
          <w:szCs w:val="20"/>
        </w:rPr>
      </w:pPr>
      <w:r w:rsidRPr="00E00B35">
        <w:rPr>
          <w:szCs w:val="20"/>
        </w:rPr>
        <w:t xml:space="preserve">W 2020 roku do Komisji Rozwiązywania Problemów Alkoholowych wpłynęło 448 wniosków o objęcie leczeniem odwykowym osób nadużywających alkoholu. Na rozmowy motywujące do podjęcia leczenia lub jego kontynuacji wystosowano 521 zaproszeń, z czego zgłosiło się 164 osoby. Na badania przez biegłego sądowego skierowano 374 osób (podjęto 374 uchwał) w celu wydania opinii w przedmiocie uzależnienia od alkoholu i wskazania rodzaju zakładu leczenia odwykowego. Na potrzeby Komisji, biegli sądowi wykonali 454 badań i wydali 227 opinii (na jedną opinię składają się dwa badania: psychiatry i psychologa). </w:t>
      </w:r>
    </w:p>
    <w:p w:rsidR="00CA14AB" w:rsidRPr="00E00B35" w:rsidRDefault="00CA14AB" w:rsidP="00E00B35">
      <w:pPr>
        <w:spacing w:after="0" w:line="312" w:lineRule="auto"/>
        <w:rPr>
          <w:szCs w:val="20"/>
        </w:rPr>
      </w:pPr>
      <w:r w:rsidRPr="00E00B35">
        <w:rPr>
          <w:szCs w:val="20"/>
        </w:rPr>
        <w:t>Do Sądów Rejonowych Wrocławia (Śródmieścia, Fabrycznej i Krzyków) skierowano 279 wniosków (podjęto 279 uchwał) o wydanie postanowienia o obowiązku leczenia odwykowego. Procedury zobowiązania do leczenia umorzono wobec 101 osób (z powodów: wycofanie wniosku, podjęcie leczenia, brak danych do rozpoznania uzależnienia, zgon uczestnika, zbieg spraw, ustanie przesłanek ustawowych). W ramach obowiązków wynikających z ustawy o przeciwdziałaniu przemocy w rodzinie, założono 14 Niebieskich Kart, a sprawy trafiły do tzw. „Zespołu interdyscyplinarnego”. Z porad i pomocy Komisji skorzystało ok. 700 osób.</w:t>
      </w:r>
    </w:p>
    <w:p w:rsidR="00CA14AB" w:rsidRPr="00E00B35" w:rsidRDefault="00CA14AB" w:rsidP="00E00B35">
      <w:pPr>
        <w:spacing w:after="0" w:line="312" w:lineRule="auto"/>
        <w:rPr>
          <w:szCs w:val="20"/>
        </w:rPr>
      </w:pPr>
      <w:r w:rsidRPr="00E00B35">
        <w:rPr>
          <w:szCs w:val="20"/>
        </w:rPr>
        <w:t>Ponadto, członkowie Komisji uczestniczyli w 106 postępowaniach sądowych o zobowiązanie do podjęcia leczenia odwykowego osób zgłoszonych do Komisji. Udział członków Komisji w postępowaniach dotyczy przede wszystkim spraw, gdzie ma miejsce przemoc oraz pokrzywdzonymi są małoletnie dzieci.</w:t>
      </w:r>
    </w:p>
    <w:p w:rsidR="005E6C69" w:rsidRPr="00E00B35" w:rsidRDefault="005E6C69" w:rsidP="00E00B35">
      <w:pPr>
        <w:pStyle w:val="Nagwek5"/>
        <w:rPr>
          <w:szCs w:val="20"/>
        </w:rPr>
      </w:pPr>
      <w:bookmarkStart w:id="285" w:name="_Toc72352388"/>
      <w:bookmarkStart w:id="286" w:name="_Toc72352822"/>
    </w:p>
    <w:p w:rsidR="00CA14AB" w:rsidRPr="00E00B35" w:rsidRDefault="00CA14AB" w:rsidP="00E00B35">
      <w:pPr>
        <w:pStyle w:val="Nagwek5"/>
        <w:rPr>
          <w:szCs w:val="20"/>
        </w:rPr>
      </w:pPr>
      <w:r w:rsidRPr="00E00B35">
        <w:rPr>
          <w:szCs w:val="20"/>
        </w:rPr>
        <w:t>PROCEDURA „NIEBIESKA KARTA” (ŚWIADCZĄCA O WYSTĘPOWANIU PRZEMOCY W RODZINIE)</w:t>
      </w:r>
      <w:bookmarkEnd w:id="285"/>
      <w:bookmarkEnd w:id="286"/>
    </w:p>
    <w:p w:rsidR="00CA14AB" w:rsidRPr="00E00B35" w:rsidRDefault="00CA14AB" w:rsidP="00E00B35">
      <w:pPr>
        <w:spacing w:after="0" w:line="312" w:lineRule="auto"/>
        <w:rPr>
          <w:szCs w:val="20"/>
        </w:rPr>
      </w:pPr>
      <w:r w:rsidRPr="00E00B35">
        <w:rPr>
          <w:szCs w:val="20"/>
        </w:rPr>
        <w:t xml:space="preserve">Członkowie Komisji w ramach realizacji zadań wynikających z Rozporządzenia Rady Ministrów z dnia 13 września 2011 r. w sprawie procedury Niebieskiej Karty uczestniczyli w około 1.800 spotkaniach grup roboczych powołanych na wniosek Zespołu Interdyscyplinarnego dotyczących rodzin, w których ma miejsce przemoc wynikająca z nadużywania alkoholu przynajmniej przez jednego z członków rodziny.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OPINIOWANIE WNIOSKÓW O WYDANIE ZEZWOLEŃ NA SPRZEDAŻ/PODAWANIE NAPOJÓW ALKOHOLOWYCH</w:t>
      </w:r>
    </w:p>
    <w:p w:rsidR="00CA14AB" w:rsidRPr="00E00B35" w:rsidRDefault="00CA14AB" w:rsidP="00E00B35">
      <w:pPr>
        <w:spacing w:after="0" w:line="312" w:lineRule="auto"/>
        <w:rPr>
          <w:szCs w:val="20"/>
        </w:rPr>
      </w:pPr>
      <w:r w:rsidRPr="00E00B35">
        <w:rPr>
          <w:szCs w:val="20"/>
        </w:rPr>
        <w:t>W oparciu o uchwałę nr LX/1424/18 Rady Miejskiej Wrocławia z dnia 23 sierpnia 2018 r. w sprawie zasad usytuowania punktów sprzedaży i podawaniu napojów alkoholowych na terenie Wrocławia oraz uchwałę nr LX/1423/18 z dnia 23 sierpnia 2018 r. w sprawie maksymalnej liczby zezwoleń na sprzedaż napojów alkoholowych na terenie Wrocławia rozpatrzono 701 wniosków o wydanie zezwoleń na sprzedaż i podawanie napojów alkoholowych. Opinię pozytywną otrzymało 699 wniosków, natomiast negatywną 2 wnioski.</w:t>
      </w:r>
    </w:p>
    <w:p w:rsidR="00CA14AB" w:rsidRPr="00E00B35" w:rsidRDefault="00CA14AB" w:rsidP="00E00B35">
      <w:pPr>
        <w:spacing w:after="0" w:line="312" w:lineRule="auto"/>
        <w:rPr>
          <w:szCs w:val="20"/>
        </w:rPr>
      </w:pPr>
      <w:r w:rsidRPr="00E00B35">
        <w:rPr>
          <w:szCs w:val="20"/>
        </w:rPr>
        <w:t>WSPÓŁPRACA GMINNEJ KOMISJI PROFILAKTYKI I ROZWIĄZYWANIA PROBLEMÓW ALKOHOLOWYCH Z INNYMI INSTYTUCJAMI ORAZ ZAKRES REALIZOWANYCH ZADAŃ</w:t>
      </w:r>
    </w:p>
    <w:p w:rsidR="00CA14AB" w:rsidRPr="00E00B35" w:rsidRDefault="00CA14AB" w:rsidP="00E00B35">
      <w:pPr>
        <w:spacing w:after="0" w:line="312" w:lineRule="auto"/>
        <w:rPr>
          <w:szCs w:val="20"/>
        </w:rPr>
      </w:pPr>
      <w:r w:rsidRPr="00E00B35">
        <w:rPr>
          <w:szCs w:val="20"/>
        </w:rPr>
        <w:t>Sądy Rejonowe (Wydziały Rodzinne i Nieletnich) poszczególnych dzielnic Wrocławia: kierowanie przez komisję wniosków o zastosowanie obowiązku poddania się leczeniu odwykowemu osób zgłoszonych do komisji oraz wniosków o wgląd w sytuację małoletnich, będących pod opieką osoby nadużywającej alkoholu;</w:t>
      </w:r>
    </w:p>
    <w:p w:rsidR="00CA14AB" w:rsidRPr="00E00B35" w:rsidRDefault="00CA14AB" w:rsidP="00E00B35">
      <w:pPr>
        <w:spacing w:after="0" w:line="312" w:lineRule="auto"/>
        <w:rPr>
          <w:szCs w:val="20"/>
        </w:rPr>
      </w:pPr>
      <w:r w:rsidRPr="00E00B35">
        <w:rPr>
          <w:szCs w:val="20"/>
        </w:rPr>
        <w:t>Policja - kierowanie do komisji zgłoszeń/informacji o osobach, które podczas interwencji domowych były pod wpływem alkoholu;</w:t>
      </w:r>
    </w:p>
    <w:p w:rsidR="00CA14AB" w:rsidRPr="00E00B35" w:rsidRDefault="00CA14AB" w:rsidP="00E00B35">
      <w:pPr>
        <w:spacing w:after="0" w:line="312" w:lineRule="auto"/>
        <w:rPr>
          <w:szCs w:val="20"/>
        </w:rPr>
      </w:pPr>
      <w:r w:rsidRPr="00E00B35">
        <w:rPr>
          <w:szCs w:val="20"/>
        </w:rPr>
        <w:t>Miejski Ośrodek Pomocy Społecznej – kierowanie do komisji zgłoszeń/informacji o osobach - podopiecznych, którzy nadużywają alkoholu.</w:t>
      </w:r>
    </w:p>
    <w:p w:rsidR="005E6C69" w:rsidRPr="00E00B35" w:rsidRDefault="005E6C69" w:rsidP="00E00B35">
      <w:pPr>
        <w:pStyle w:val="Nagwek5"/>
        <w:rPr>
          <w:szCs w:val="20"/>
        </w:rPr>
      </w:pPr>
      <w:bookmarkStart w:id="287" w:name="_Toc72352389"/>
      <w:bookmarkStart w:id="288" w:name="_Toc72352823"/>
    </w:p>
    <w:p w:rsidR="00CA14AB" w:rsidRPr="00E00B35" w:rsidRDefault="00CA14AB" w:rsidP="00E00B35">
      <w:pPr>
        <w:pStyle w:val="Nagwek5"/>
        <w:rPr>
          <w:szCs w:val="20"/>
        </w:rPr>
      </w:pPr>
      <w:r w:rsidRPr="00E00B35">
        <w:rPr>
          <w:szCs w:val="20"/>
        </w:rPr>
        <w:t>ZWALCZANIE NARKOMANII ORAZ ZAPOBIEGANIE I ZWALCZANIE AIDS</w:t>
      </w:r>
      <w:bookmarkEnd w:id="287"/>
      <w:bookmarkEnd w:id="288"/>
    </w:p>
    <w:p w:rsidR="00CA14AB" w:rsidRPr="00E00B35" w:rsidRDefault="00CA14AB" w:rsidP="00E00B35">
      <w:pPr>
        <w:spacing w:after="0" w:line="312" w:lineRule="auto"/>
        <w:rPr>
          <w:szCs w:val="20"/>
        </w:rPr>
      </w:pPr>
      <w:bookmarkStart w:id="289" w:name="_Toc72352390"/>
      <w:bookmarkStart w:id="290" w:name="_Toc72352824"/>
      <w:r w:rsidRPr="00E00B35">
        <w:rPr>
          <w:szCs w:val="20"/>
        </w:rPr>
        <w:t>Profilaktyka i terapia uzależnień - PROGRAMY WIELOLETNIE</w:t>
      </w:r>
      <w:bookmarkEnd w:id="289"/>
      <w:bookmarkEnd w:id="290"/>
    </w:p>
    <w:p w:rsidR="00CA14AB" w:rsidRPr="00E00B35" w:rsidRDefault="00CA14AB" w:rsidP="00E00B35">
      <w:pPr>
        <w:spacing w:after="0" w:line="312" w:lineRule="auto"/>
        <w:rPr>
          <w:szCs w:val="20"/>
        </w:rPr>
      </w:pPr>
      <w:r w:rsidRPr="00E00B35">
        <w:rPr>
          <w:szCs w:val="20"/>
        </w:rPr>
        <w:t>W roku sprawozdawczym 2020, na realizację przedmiotowego zadania, zaplanowano kwotę 872 230 zł, z której wydatkowano 872 230 zł, co stanowi 100,00 % zaplanowanych środków.</w:t>
      </w:r>
    </w:p>
    <w:p w:rsidR="00CA14AB" w:rsidRPr="00E00B35" w:rsidRDefault="00CA14AB" w:rsidP="00E00B35">
      <w:pPr>
        <w:spacing w:after="0" w:line="312" w:lineRule="auto"/>
        <w:rPr>
          <w:szCs w:val="20"/>
        </w:rPr>
      </w:pPr>
      <w:r w:rsidRPr="00E00B35">
        <w:rPr>
          <w:szCs w:val="20"/>
        </w:rPr>
        <w:t xml:space="preserve">W ramach zadania prowadzone były: poradnictwo i pomoc terapeutyczna dla osób uzależnionych i współuzależnionych od narkotyków i innych środków psychoaktywnych, program substytucyjnego leczenia metadonem oraz program wykrywania wirusa HIV.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PORADNICTWO, PSYCHOTERAPIA, DZIAŁANIA ŚRODOWISKOWE, PUNKTY KONSULTACYJNE, REDUKCJA SZKÓD ZDROWOTNYCH I SPOŁECZNYCH</w:t>
      </w:r>
    </w:p>
    <w:p w:rsidR="00CA14AB" w:rsidRPr="00E00B35" w:rsidRDefault="00CA14AB" w:rsidP="00E00B35">
      <w:pPr>
        <w:spacing w:after="0" w:line="312" w:lineRule="auto"/>
        <w:rPr>
          <w:szCs w:val="20"/>
        </w:rPr>
      </w:pPr>
      <w:r w:rsidRPr="00E00B35">
        <w:rPr>
          <w:szCs w:val="20"/>
        </w:rPr>
        <w:t xml:space="preserve">Celem programu jest zwiększenie dostępności do poradnictwa, poprawa skuteczności terapii i readaptacji osób uzależnionych od narkotyków oraz członków ich rodzin oraz ograniczanie zdrowotnych i społecznych szkód, wynikających z używania środków psychoaktywnych. Cele szczegółowe: </w:t>
      </w:r>
    </w:p>
    <w:p w:rsidR="00CA14AB" w:rsidRPr="00E00B35" w:rsidRDefault="00CA14AB" w:rsidP="00BC64AB">
      <w:pPr>
        <w:pStyle w:val="Akapitzlist"/>
        <w:numPr>
          <w:ilvl w:val="0"/>
          <w:numId w:val="183"/>
        </w:numPr>
        <w:spacing w:after="0" w:line="312" w:lineRule="auto"/>
        <w:rPr>
          <w:szCs w:val="20"/>
        </w:rPr>
      </w:pPr>
      <w:r w:rsidRPr="00E00B35">
        <w:rPr>
          <w:szCs w:val="20"/>
        </w:rPr>
        <w:t xml:space="preserve">zapewnienie dostępności do informacji o miejscach i formach pomocy, </w:t>
      </w:r>
    </w:p>
    <w:p w:rsidR="00CA14AB" w:rsidRPr="00E00B35" w:rsidRDefault="00CA14AB" w:rsidP="00BC64AB">
      <w:pPr>
        <w:pStyle w:val="Akapitzlist"/>
        <w:numPr>
          <w:ilvl w:val="0"/>
          <w:numId w:val="183"/>
        </w:numPr>
        <w:spacing w:after="0" w:line="312" w:lineRule="auto"/>
        <w:rPr>
          <w:szCs w:val="20"/>
        </w:rPr>
      </w:pPr>
      <w:r w:rsidRPr="00E00B35">
        <w:rPr>
          <w:szCs w:val="20"/>
        </w:rPr>
        <w:t>zapewnienie pomocy i wsparcia osobom z problemem narkotykowym oraz ich rodzinom (poradnictwo i usługi terapeutyczne),</w:t>
      </w:r>
    </w:p>
    <w:p w:rsidR="00CA14AB" w:rsidRPr="00E00B35" w:rsidRDefault="00CA14AB" w:rsidP="00BC64AB">
      <w:pPr>
        <w:pStyle w:val="Akapitzlist"/>
        <w:numPr>
          <w:ilvl w:val="0"/>
          <w:numId w:val="183"/>
        </w:numPr>
        <w:spacing w:after="0" w:line="312" w:lineRule="auto"/>
        <w:rPr>
          <w:szCs w:val="20"/>
        </w:rPr>
      </w:pPr>
      <w:r w:rsidRPr="00E00B35">
        <w:rPr>
          <w:szCs w:val="20"/>
        </w:rPr>
        <w:t>ograniczanie szkód społecznych i ryzykownych zachowań, wynikających z używania narkotyków,</w:t>
      </w:r>
    </w:p>
    <w:p w:rsidR="00CA14AB" w:rsidRPr="00E00B35" w:rsidRDefault="00CA14AB" w:rsidP="00BC64AB">
      <w:pPr>
        <w:pStyle w:val="Akapitzlist"/>
        <w:numPr>
          <w:ilvl w:val="0"/>
          <w:numId w:val="183"/>
        </w:numPr>
        <w:spacing w:after="0" w:line="312" w:lineRule="auto"/>
        <w:rPr>
          <w:szCs w:val="20"/>
        </w:rPr>
      </w:pPr>
      <w:r w:rsidRPr="00E00B35">
        <w:rPr>
          <w:szCs w:val="20"/>
        </w:rPr>
        <w:t xml:space="preserve">ograniczanie liczby osób zażywających narkotyki, </w:t>
      </w:r>
    </w:p>
    <w:p w:rsidR="00CA14AB" w:rsidRPr="00E00B35" w:rsidRDefault="00CA14AB" w:rsidP="00BC64AB">
      <w:pPr>
        <w:pStyle w:val="Akapitzlist"/>
        <w:numPr>
          <w:ilvl w:val="0"/>
          <w:numId w:val="183"/>
        </w:numPr>
        <w:spacing w:after="0" w:line="312" w:lineRule="auto"/>
        <w:rPr>
          <w:szCs w:val="20"/>
        </w:rPr>
      </w:pPr>
      <w:r w:rsidRPr="00E00B35">
        <w:rPr>
          <w:szCs w:val="20"/>
        </w:rPr>
        <w:t>zapewnienie mieszkańcom Wrocławia poczucia bezpieczeństwa.</w:t>
      </w:r>
    </w:p>
    <w:p w:rsidR="00CA14AB" w:rsidRPr="00E00B35" w:rsidRDefault="00CA14AB" w:rsidP="00E00B35">
      <w:pPr>
        <w:spacing w:after="0" w:line="312" w:lineRule="auto"/>
        <w:rPr>
          <w:szCs w:val="20"/>
        </w:rPr>
      </w:pPr>
      <w:r w:rsidRPr="00E00B35">
        <w:rPr>
          <w:szCs w:val="20"/>
        </w:rPr>
        <w:lastRenderedPageBreak/>
        <w:t xml:space="preserve">Zadania z zakresu przeciwdziałania narkomanii na terenie Wrocławia ze środków gminy Wrocław realizowały przede wszystkim organizacje pozarządowe. Organizacje posiadają odpowiednie warunki lokalowe oraz dysponują specjalistyczną kadrą pozwalającą na prawidłową i efektywną realizację powierzonych zadań. W 2020 roku w ramach programu z zakresu uzależnień od substancji psychoaktywnych udzielono ok. 5730 godzin poradnictwo (telefonicznego, osobistego i przez internet). Z różnych form wsparcia i terapii skorzystało ok. 1000 osób. W programie Candis uczestniczyło 98 osób. W okolicach dworców PKP i PKS realizowany był program „streetworking”, polegający na prowadzeniu działań informacyjno-edukacyjnych wśród osób używających środki psychoaktywne. Realizowany był także program klubowy, w ramach którego udzielano porad dla osób podejmujących ryzykowne zachowania. Celem działań outreach jest ograniczenie szkód związanych z ryzykownymi zachowaniami, minimalizowania ich negatywnych skutków: rozdawnictwo sterylnego, darmowego sprzętu do iniekcji, środków opatrunkowych, prezerwatyw, środków higieny osobistej. Działania streetworkingu obejmują także pomoc w załatwieniu dokumentów osobistych, zasiłków socjalnych, pomoc w dotarciu do placówek medycznych. W roku 2020 wydano ok. 3000 czystych strzykawek 5000 igieł, 1000 maseczek jednorazowych, 600 prezerwatyw </w:t>
      </w:r>
      <w:r w:rsidRPr="00E00B35">
        <w:rPr>
          <w:szCs w:val="20"/>
        </w:rPr>
        <w:br/>
        <w:t xml:space="preserve">a także 80 butelek wody utlenionej oraz 15 litrów płynu do dezynfekcji rąk i powierzchni. </w:t>
      </w:r>
    </w:p>
    <w:p w:rsidR="00CA14AB" w:rsidRPr="00E00B35" w:rsidRDefault="00CA14AB" w:rsidP="00E00B35">
      <w:pPr>
        <w:spacing w:after="0" w:line="312" w:lineRule="auto"/>
        <w:rPr>
          <w:szCs w:val="20"/>
        </w:rPr>
      </w:pPr>
      <w:r w:rsidRPr="00E00B35">
        <w:rPr>
          <w:szCs w:val="20"/>
        </w:rPr>
        <w:t xml:space="preserve">W ramach zadania prowadzone są również świetlice drop-in polegające na podejmowaniu różnych działań zabezpieczających, wspierających, motywujących, terapeutycznych </w:t>
      </w:r>
      <w:r w:rsidRPr="00E00B35">
        <w:rPr>
          <w:szCs w:val="20"/>
        </w:rPr>
        <w:br/>
        <w:t xml:space="preserve">dla osób czynnie biorących narkotyki ze szczególnym uwzględnieniem narkomanów zażywających narkotyki drogą dożylną. Tutaj również można otrzymać czysty sprzęt do iniekcji a także skorzystać z Internetu, książek i gier planszowych. </w:t>
      </w:r>
    </w:p>
    <w:p w:rsidR="005E6C69" w:rsidRPr="00E00B35" w:rsidRDefault="005E6C69" w:rsidP="00E00B35">
      <w:pPr>
        <w:pStyle w:val="Nagwek5"/>
        <w:rPr>
          <w:szCs w:val="20"/>
        </w:rPr>
      </w:pPr>
      <w:bookmarkStart w:id="291" w:name="_Toc72352391"/>
      <w:bookmarkStart w:id="292" w:name="_Toc72352825"/>
    </w:p>
    <w:p w:rsidR="00CA14AB" w:rsidRPr="00E00B35" w:rsidRDefault="00CA14AB" w:rsidP="00E00B35">
      <w:pPr>
        <w:pStyle w:val="Nagwek5"/>
        <w:rPr>
          <w:szCs w:val="20"/>
        </w:rPr>
      </w:pPr>
      <w:r w:rsidRPr="00E00B35">
        <w:rPr>
          <w:szCs w:val="20"/>
        </w:rPr>
        <w:t>PROGRAM SUBSTYTUCYJNEGO LECZENIA METADONEM</w:t>
      </w:r>
      <w:bookmarkEnd w:id="291"/>
      <w:bookmarkEnd w:id="292"/>
    </w:p>
    <w:p w:rsidR="00CA14AB" w:rsidRPr="00E00B35" w:rsidRDefault="00CA14AB" w:rsidP="00E00B35">
      <w:pPr>
        <w:spacing w:after="0" w:line="312" w:lineRule="auto"/>
        <w:rPr>
          <w:szCs w:val="20"/>
        </w:rPr>
      </w:pPr>
      <w:r w:rsidRPr="00E00B35">
        <w:rPr>
          <w:szCs w:val="20"/>
        </w:rPr>
        <w:t>Program stanowi uzupełnienie substytucyjnego leczenia metadonem, finansowanego w ramach kontraktu z NFZ. Leczenie substytucyjne jest formą opieki medycznej stosowaną w uzależnieniu od opiatów, wykorzystującą substancję o właściwościach i działaniu podobną do narkotyku, który spowodował uzależnienie. Podawanie takiej substancji zapobiega występowaniu zespołu abstynencyjnego oraz redukuje skutki zdrowotne i społeczne związane z uzależnieniem. Leczenie substytucyjne jest na ogół kierowane do narkomanów, którzy nie mogą poradzić sobie z nałogiem po całkowitym odstawieniu narkotyku.</w:t>
      </w:r>
    </w:p>
    <w:p w:rsidR="00CA14AB" w:rsidRPr="00E00B35" w:rsidRDefault="00CA14AB" w:rsidP="00E00B35">
      <w:pPr>
        <w:spacing w:after="0" w:line="312" w:lineRule="auto"/>
        <w:rPr>
          <w:szCs w:val="20"/>
        </w:rPr>
      </w:pPr>
      <w:r w:rsidRPr="00E00B35">
        <w:rPr>
          <w:szCs w:val="20"/>
        </w:rPr>
        <w:t>W 2020 r. programem leczenia substytucyjnego objęto 310 pacjentów. Wszystkie osoby przyjęte do programu miały wykonane badanie w kierunku przeciwciał anty-HIV i anty-HCV. Pacjenci, oprócz codziennego przyjmowania metadonu, uczestniczą w terapiach indywidualnych oraz grupowych odbywających się na terenie placówki. W ramach programu uruchomiono Punkt Informacyjno-Konsultacyjny, w którym można uzyskać informację o możliwościach i zasadach podjęcia leczenia/terapii oraz miejscach i formach pomocy służb i instytucji działających na terenie Miasta. W punkcie konsultacyjnym udzielano także porad specjalistycznych.</w:t>
      </w:r>
    </w:p>
    <w:p w:rsidR="005E6C69" w:rsidRPr="00E00B35" w:rsidRDefault="005E6C69" w:rsidP="00E00B35">
      <w:pPr>
        <w:pStyle w:val="Nagwek5"/>
        <w:rPr>
          <w:szCs w:val="20"/>
        </w:rPr>
      </w:pPr>
      <w:bookmarkStart w:id="293" w:name="_Toc72352392"/>
      <w:bookmarkStart w:id="294" w:name="_Toc72352826"/>
    </w:p>
    <w:p w:rsidR="00CA14AB" w:rsidRPr="00E00B35" w:rsidRDefault="00CA14AB" w:rsidP="00E00B35">
      <w:pPr>
        <w:pStyle w:val="Nagwek5"/>
        <w:rPr>
          <w:szCs w:val="20"/>
        </w:rPr>
      </w:pPr>
      <w:r w:rsidRPr="00E00B35">
        <w:rPr>
          <w:szCs w:val="20"/>
        </w:rPr>
        <w:t>PROGRAM BEZPŁATNEGO TESTOWANIA W KIERUNKU WYKRYWANIA WIRUSA HIV</w:t>
      </w:r>
      <w:bookmarkEnd w:id="293"/>
      <w:bookmarkEnd w:id="294"/>
    </w:p>
    <w:p w:rsidR="00CA14AB" w:rsidRPr="00E00B35" w:rsidRDefault="00CA14AB" w:rsidP="00E00B35">
      <w:pPr>
        <w:spacing w:after="0" w:line="312" w:lineRule="auto"/>
        <w:rPr>
          <w:szCs w:val="20"/>
        </w:rPr>
      </w:pPr>
      <w:r w:rsidRPr="00E00B35">
        <w:rPr>
          <w:szCs w:val="20"/>
        </w:rPr>
        <w:t xml:space="preserve">W ramach programu prowadzone jest anonimowe i bezpłatne testowanie w kierunku wykrywania wirusa HIV u mieszkańców Wrocławia i osób odwiedzających miasto oraz motywowanie ich do leczenia. Osoby zakażone kierowane są do specjalistycznych ośrodków i Poradni Nabytych Niedoborów Odpornościowych. </w:t>
      </w:r>
    </w:p>
    <w:p w:rsidR="00CA14AB" w:rsidRPr="00E00B35" w:rsidRDefault="00CA14AB" w:rsidP="00E00B35">
      <w:pPr>
        <w:spacing w:after="0" w:line="312" w:lineRule="auto"/>
        <w:rPr>
          <w:szCs w:val="20"/>
        </w:rPr>
      </w:pPr>
      <w:r w:rsidRPr="00E00B35">
        <w:rPr>
          <w:szCs w:val="20"/>
        </w:rPr>
        <w:t>W ramach programu działa Punkt Konsultacyjno - Diagnostyczny w Poradni Terapii Uzależnień od Substancji Psychoaktywnych przy ul. Wszystkich Świętych 2.</w:t>
      </w:r>
    </w:p>
    <w:p w:rsidR="00CA14AB" w:rsidRPr="00E00B35" w:rsidRDefault="00CA14AB" w:rsidP="00E00B35">
      <w:pPr>
        <w:spacing w:after="0" w:line="312" w:lineRule="auto"/>
        <w:rPr>
          <w:szCs w:val="20"/>
        </w:rPr>
      </w:pPr>
      <w:r w:rsidRPr="00E00B35">
        <w:rPr>
          <w:szCs w:val="20"/>
        </w:rPr>
        <w:t>W 2020 roku przeprowadzono 1410 testów rapid i 1158 badań laboratoryjnych w kierunku zakażenia HIV. Obecność wirusa wykazano u 47 osób. Udzielono 8 163 porady związanych z zakażeniem wirusem HIV i chorobami przenoszonymi drogą płciową.</w:t>
      </w:r>
    </w:p>
    <w:p w:rsidR="005E6C69" w:rsidRPr="00E00B35" w:rsidRDefault="005E6C69" w:rsidP="00E00B35">
      <w:pPr>
        <w:pStyle w:val="Nagwek4"/>
        <w:spacing w:before="0" w:after="0" w:line="312" w:lineRule="auto"/>
        <w:rPr>
          <w:sz w:val="20"/>
          <w:szCs w:val="20"/>
        </w:rPr>
      </w:pPr>
      <w:bookmarkStart w:id="295" w:name="_Toc72352393"/>
      <w:bookmarkStart w:id="296" w:name="_Toc72352827"/>
    </w:p>
    <w:p w:rsidR="00CA14AB" w:rsidRPr="00E00B35" w:rsidRDefault="00CA14AB" w:rsidP="00E00B35">
      <w:pPr>
        <w:pStyle w:val="Nagwek4"/>
        <w:spacing w:before="0" w:after="0" w:line="312" w:lineRule="auto"/>
        <w:rPr>
          <w:sz w:val="20"/>
          <w:szCs w:val="20"/>
        </w:rPr>
      </w:pPr>
      <w:r w:rsidRPr="00E00B35">
        <w:rPr>
          <w:sz w:val="20"/>
          <w:szCs w:val="20"/>
        </w:rPr>
        <w:t>REALIZACJA ZADAŃ DZIAŁU ZEZWOLEŃ NA SPRZEDAŻ I PODAWANIE NAPOJÓW ALKOHOLOWYCH</w:t>
      </w:r>
      <w:bookmarkEnd w:id="295"/>
      <w:bookmarkEnd w:id="296"/>
      <w:r w:rsidRPr="00E00B35">
        <w:rPr>
          <w:sz w:val="20"/>
          <w:szCs w:val="20"/>
        </w:rPr>
        <w:t xml:space="preserve"> </w:t>
      </w:r>
    </w:p>
    <w:p w:rsidR="005E6C69" w:rsidRPr="00E00B35" w:rsidRDefault="005E6C69" w:rsidP="00E00B35">
      <w:pPr>
        <w:pStyle w:val="Nagwek5"/>
        <w:rPr>
          <w:szCs w:val="20"/>
        </w:rPr>
      </w:pPr>
      <w:bookmarkStart w:id="297" w:name="_Toc72352394"/>
      <w:bookmarkStart w:id="298" w:name="_Toc72352828"/>
    </w:p>
    <w:p w:rsidR="00CA14AB" w:rsidRPr="00E00B35" w:rsidRDefault="00CA14AB" w:rsidP="00E00B35">
      <w:pPr>
        <w:pStyle w:val="Nagwek5"/>
        <w:rPr>
          <w:szCs w:val="20"/>
        </w:rPr>
      </w:pPr>
      <w:r w:rsidRPr="00E00B35">
        <w:rPr>
          <w:szCs w:val="20"/>
        </w:rPr>
        <w:t>POSTĘPOWANIA ADMINISTRACYJNE</w:t>
      </w:r>
      <w:bookmarkEnd w:id="297"/>
      <w:bookmarkEnd w:id="298"/>
      <w:r w:rsidRPr="00E00B35">
        <w:rPr>
          <w:szCs w:val="20"/>
        </w:rPr>
        <w:t xml:space="preserve"> </w:t>
      </w:r>
    </w:p>
    <w:p w:rsidR="00CA14AB" w:rsidRPr="00E00B35" w:rsidRDefault="00CA14AB" w:rsidP="00E00B35">
      <w:pPr>
        <w:spacing w:after="0" w:line="312" w:lineRule="auto"/>
        <w:rPr>
          <w:szCs w:val="20"/>
        </w:rPr>
      </w:pPr>
      <w:r w:rsidRPr="00E00B35">
        <w:rPr>
          <w:szCs w:val="20"/>
        </w:rPr>
        <w:t>W roku 2020 wpłynęły do organu zezwalającego 4562 wnioski, podania, zgłoszenia oraz pisma w sprawach dotyczących wydania zezwoleń lub w związku z korzystaniem z zezwoleń na sprzedaż i podawanie napojów alkoholowych.</w:t>
      </w:r>
    </w:p>
    <w:p w:rsidR="00CA14AB" w:rsidRPr="00E00B35" w:rsidRDefault="00CA14AB" w:rsidP="00E00B35">
      <w:pPr>
        <w:spacing w:after="0" w:line="312" w:lineRule="auto"/>
        <w:rPr>
          <w:szCs w:val="20"/>
        </w:rPr>
      </w:pPr>
      <w:r w:rsidRPr="00E00B35">
        <w:rPr>
          <w:szCs w:val="20"/>
        </w:rPr>
        <w:t xml:space="preserve">W wyniku prowadzonych postępowań administracyjnych wydano 3520 decyzji, w tym: </w:t>
      </w:r>
    </w:p>
    <w:p w:rsidR="00CA14AB" w:rsidRPr="00E00B35" w:rsidRDefault="00CA14AB" w:rsidP="00BC64AB">
      <w:pPr>
        <w:pStyle w:val="Akapitzlist"/>
        <w:numPr>
          <w:ilvl w:val="0"/>
          <w:numId w:val="184"/>
        </w:numPr>
        <w:spacing w:after="0" w:line="312" w:lineRule="auto"/>
        <w:rPr>
          <w:szCs w:val="20"/>
        </w:rPr>
      </w:pPr>
      <w:r w:rsidRPr="00E00B35">
        <w:rPr>
          <w:szCs w:val="20"/>
        </w:rPr>
        <w:t>1720 zezwolenia na sprzedaż alkoholu w handlu i gastronomii</w:t>
      </w:r>
    </w:p>
    <w:p w:rsidR="00CA14AB" w:rsidRPr="00E00B35" w:rsidRDefault="00CA14AB" w:rsidP="00BC64AB">
      <w:pPr>
        <w:pStyle w:val="Akapitzlist"/>
        <w:numPr>
          <w:ilvl w:val="0"/>
          <w:numId w:val="184"/>
        </w:numPr>
        <w:spacing w:after="0" w:line="312" w:lineRule="auto"/>
        <w:rPr>
          <w:szCs w:val="20"/>
        </w:rPr>
      </w:pPr>
      <w:r w:rsidRPr="00E00B35">
        <w:rPr>
          <w:szCs w:val="20"/>
        </w:rPr>
        <w:t>567 zezwoleń jednorazowych (festyny, targi itp.)</w:t>
      </w:r>
    </w:p>
    <w:p w:rsidR="00CA14AB" w:rsidRPr="00E00B35" w:rsidRDefault="00CA14AB" w:rsidP="00BC64AB">
      <w:pPr>
        <w:pStyle w:val="Akapitzlist"/>
        <w:numPr>
          <w:ilvl w:val="0"/>
          <w:numId w:val="184"/>
        </w:numPr>
        <w:spacing w:after="0" w:line="312" w:lineRule="auto"/>
        <w:rPr>
          <w:szCs w:val="20"/>
        </w:rPr>
      </w:pPr>
      <w:r w:rsidRPr="00E00B35">
        <w:rPr>
          <w:szCs w:val="20"/>
        </w:rPr>
        <w:t>0 zezwoleń na wyprzedaż zapasów</w:t>
      </w:r>
    </w:p>
    <w:p w:rsidR="00CA14AB" w:rsidRPr="00E00B35" w:rsidRDefault="00CA14AB" w:rsidP="00BC64AB">
      <w:pPr>
        <w:pStyle w:val="Akapitzlist"/>
        <w:numPr>
          <w:ilvl w:val="0"/>
          <w:numId w:val="184"/>
        </w:numPr>
        <w:spacing w:after="0" w:line="312" w:lineRule="auto"/>
        <w:rPr>
          <w:szCs w:val="20"/>
        </w:rPr>
      </w:pPr>
      <w:r w:rsidRPr="00E00B35">
        <w:rPr>
          <w:szCs w:val="20"/>
        </w:rPr>
        <w:t>111 zezwoleń cateringowych</w:t>
      </w:r>
    </w:p>
    <w:p w:rsidR="00CA14AB" w:rsidRPr="00E00B35" w:rsidRDefault="00CA14AB" w:rsidP="00BC64AB">
      <w:pPr>
        <w:pStyle w:val="Akapitzlist"/>
        <w:numPr>
          <w:ilvl w:val="0"/>
          <w:numId w:val="184"/>
        </w:numPr>
        <w:spacing w:after="0" w:line="312" w:lineRule="auto"/>
        <w:rPr>
          <w:szCs w:val="20"/>
        </w:rPr>
      </w:pPr>
      <w:r w:rsidRPr="00E00B35">
        <w:rPr>
          <w:szCs w:val="20"/>
        </w:rPr>
        <w:t>617 decyzji wygaszających zezwolenia</w:t>
      </w:r>
    </w:p>
    <w:p w:rsidR="00CA14AB" w:rsidRPr="00E00B35" w:rsidRDefault="00CA14AB" w:rsidP="00BC64AB">
      <w:pPr>
        <w:pStyle w:val="Akapitzlist"/>
        <w:numPr>
          <w:ilvl w:val="0"/>
          <w:numId w:val="184"/>
        </w:numPr>
        <w:spacing w:after="0" w:line="312" w:lineRule="auto"/>
        <w:rPr>
          <w:szCs w:val="20"/>
        </w:rPr>
      </w:pPr>
      <w:r w:rsidRPr="00E00B35">
        <w:rPr>
          <w:szCs w:val="20"/>
        </w:rPr>
        <w:t>214 decyzji zmieniających</w:t>
      </w:r>
    </w:p>
    <w:p w:rsidR="00CA14AB" w:rsidRPr="00E00B35" w:rsidRDefault="00CA14AB" w:rsidP="00BC64AB">
      <w:pPr>
        <w:pStyle w:val="Akapitzlist"/>
        <w:numPr>
          <w:ilvl w:val="0"/>
          <w:numId w:val="184"/>
        </w:numPr>
        <w:spacing w:after="0" w:line="312" w:lineRule="auto"/>
        <w:rPr>
          <w:szCs w:val="20"/>
        </w:rPr>
      </w:pPr>
      <w:r w:rsidRPr="00E00B35">
        <w:rPr>
          <w:szCs w:val="20"/>
        </w:rPr>
        <w:t>279 decyzji umarzających postępowania</w:t>
      </w:r>
    </w:p>
    <w:p w:rsidR="00CA14AB" w:rsidRPr="00E00B35" w:rsidRDefault="00CA14AB" w:rsidP="00BC64AB">
      <w:pPr>
        <w:pStyle w:val="Akapitzlist"/>
        <w:numPr>
          <w:ilvl w:val="0"/>
          <w:numId w:val="184"/>
        </w:numPr>
        <w:spacing w:after="0" w:line="312" w:lineRule="auto"/>
        <w:rPr>
          <w:szCs w:val="20"/>
        </w:rPr>
      </w:pPr>
      <w:r w:rsidRPr="00E00B35">
        <w:rPr>
          <w:szCs w:val="20"/>
        </w:rPr>
        <w:t>9 decyzji odmawiających wydania zezwoleń</w:t>
      </w:r>
    </w:p>
    <w:p w:rsidR="00CA14AB" w:rsidRPr="00E00B35" w:rsidRDefault="00CA14AB" w:rsidP="00BC64AB">
      <w:pPr>
        <w:pStyle w:val="Akapitzlist"/>
        <w:numPr>
          <w:ilvl w:val="0"/>
          <w:numId w:val="184"/>
        </w:numPr>
        <w:spacing w:after="0" w:line="312" w:lineRule="auto"/>
        <w:rPr>
          <w:szCs w:val="20"/>
        </w:rPr>
      </w:pPr>
      <w:r w:rsidRPr="00E00B35">
        <w:rPr>
          <w:szCs w:val="20"/>
        </w:rPr>
        <w:t>0 decyzji cofających zezwolenia,</w:t>
      </w:r>
    </w:p>
    <w:p w:rsidR="00CA14AB" w:rsidRPr="00E00B35" w:rsidRDefault="00CA14AB" w:rsidP="00BC64AB">
      <w:pPr>
        <w:pStyle w:val="Akapitzlist"/>
        <w:numPr>
          <w:ilvl w:val="0"/>
          <w:numId w:val="184"/>
        </w:numPr>
        <w:spacing w:after="0" w:line="312" w:lineRule="auto"/>
        <w:rPr>
          <w:szCs w:val="20"/>
        </w:rPr>
      </w:pPr>
      <w:r w:rsidRPr="00E00B35">
        <w:rPr>
          <w:szCs w:val="20"/>
        </w:rPr>
        <w:t>3 decyzje odmawiające uchylenia zezwoleń.</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 roku sprawozdawczym przedsiębiorcy złożyli 1892 wnioski o wydanie zezwoleń stałych na sprzedaż i podawanie napojów alkoholowych oraz zezwoleń udzielanych przedsiębiorcom, których działalność polega na dostarczaniu żywności na imprezy zamknięte organizowane w czasie i miejscu wyznaczonym przez klienta, w oparciu o zawartą z nim umowę (zezwolenia cateringowe). W celu zgromadzenia materiału dowodowego, niezbędnego do podejmowania decyzji, sporządzono około 2000 wystąpień do organów i jednostek opiniujących wydawanie zezwoleń.</w:t>
      </w:r>
    </w:p>
    <w:p w:rsidR="005E6C69" w:rsidRPr="00E00B35" w:rsidRDefault="005E6C69" w:rsidP="00E00B35">
      <w:pPr>
        <w:pStyle w:val="Nagwek5"/>
        <w:rPr>
          <w:szCs w:val="20"/>
        </w:rPr>
      </w:pPr>
      <w:bookmarkStart w:id="299" w:name="_Toc72352395"/>
      <w:bookmarkStart w:id="300" w:name="_Toc72352829"/>
    </w:p>
    <w:p w:rsidR="00CA14AB" w:rsidRPr="00E00B35" w:rsidRDefault="00CA14AB" w:rsidP="00E00B35">
      <w:pPr>
        <w:pStyle w:val="Nagwek5"/>
        <w:rPr>
          <w:szCs w:val="20"/>
        </w:rPr>
      </w:pPr>
      <w:r w:rsidRPr="00E00B35">
        <w:rPr>
          <w:szCs w:val="20"/>
        </w:rPr>
        <w:t>LIMITY ZEZWOLEŃ NA SPRZEDAŻ ALKOHOLU</w:t>
      </w:r>
      <w:bookmarkEnd w:id="299"/>
      <w:bookmarkEnd w:id="300"/>
    </w:p>
    <w:p w:rsidR="00CA14AB" w:rsidRPr="00E00B35" w:rsidRDefault="00CA14AB" w:rsidP="00E00B35">
      <w:pPr>
        <w:spacing w:after="0" w:line="312" w:lineRule="auto"/>
        <w:rPr>
          <w:szCs w:val="20"/>
        </w:rPr>
      </w:pPr>
      <w:r w:rsidRPr="00E00B35">
        <w:rPr>
          <w:szCs w:val="20"/>
        </w:rPr>
        <w:t xml:space="preserve">Wykorzystanie ustalonych przez Radę Miejską Wrocławia limitów zezwoleń na sprzedaż napojów do 4,5% zawartości alkoholu oraz na piwo, powyżej 4,5% do 18% zawartości </w:t>
      </w:r>
      <w:r w:rsidRPr="00E00B35">
        <w:rPr>
          <w:szCs w:val="20"/>
        </w:rPr>
        <w:lastRenderedPageBreak/>
        <w:t>alkoholu (z wyjątkiem piwa) oraz powyżej 18% zawartości alkoholu, z podziałem na handel i gastronomię, kształtowało się na koniec 2020 roku (31.12.) następująco:</w:t>
      </w:r>
    </w:p>
    <w:p w:rsidR="00CA14AB" w:rsidRPr="00E00B35" w:rsidRDefault="00CA14AB" w:rsidP="00BC64AB">
      <w:pPr>
        <w:pStyle w:val="Akapitzlist"/>
        <w:numPr>
          <w:ilvl w:val="0"/>
          <w:numId w:val="185"/>
        </w:numPr>
        <w:spacing w:after="0" w:line="312" w:lineRule="auto"/>
        <w:rPr>
          <w:szCs w:val="20"/>
        </w:rPr>
      </w:pPr>
      <w:r w:rsidRPr="00E00B35">
        <w:rPr>
          <w:szCs w:val="20"/>
        </w:rPr>
        <w:t xml:space="preserve">1026 aktywnych zezwoleń na sprzedaż napojów do 4,5% zawartości alkoholu oraz na piwo przeznaczonych do spożycia poza miejscem sprzedaży, gdzie limit ustalony został na 1175 zezwoleń; </w:t>
      </w:r>
    </w:p>
    <w:p w:rsidR="00CA14AB" w:rsidRPr="00E00B35" w:rsidRDefault="00CA14AB" w:rsidP="00BC64AB">
      <w:pPr>
        <w:pStyle w:val="Akapitzlist"/>
        <w:numPr>
          <w:ilvl w:val="0"/>
          <w:numId w:val="185"/>
        </w:numPr>
        <w:spacing w:after="0" w:line="312" w:lineRule="auto"/>
        <w:rPr>
          <w:szCs w:val="20"/>
        </w:rPr>
      </w:pPr>
      <w:r w:rsidRPr="00E00B35">
        <w:rPr>
          <w:szCs w:val="20"/>
        </w:rPr>
        <w:t xml:space="preserve">1030 aktywnych zezwoleń na sprzedaż napojów powyżej 4,5% do 18% zawartości alkoholu (z wyjątkiem piwa) przeznaczonych do spożycia poza miejscem sprzedaży, gdzie limit ustalony został na 1125 zezwoleń; </w:t>
      </w:r>
    </w:p>
    <w:p w:rsidR="00CA14AB" w:rsidRPr="00E00B35" w:rsidRDefault="00CA14AB" w:rsidP="00BC64AB">
      <w:pPr>
        <w:pStyle w:val="Akapitzlist"/>
        <w:numPr>
          <w:ilvl w:val="0"/>
          <w:numId w:val="185"/>
        </w:numPr>
        <w:spacing w:after="0" w:line="312" w:lineRule="auto"/>
        <w:rPr>
          <w:szCs w:val="20"/>
        </w:rPr>
      </w:pPr>
      <w:r w:rsidRPr="00E00B35">
        <w:rPr>
          <w:szCs w:val="20"/>
        </w:rPr>
        <w:t>963 aktywne zezwolenia na sprzedaż napojów powyżej 18% zawartości alkoholu przeznaczonych do spożycia poza miejscem sprzedaży, przy limicie ustalonym na 1075 zezwoleń,</w:t>
      </w:r>
    </w:p>
    <w:p w:rsidR="00CA14AB" w:rsidRPr="00E00B35" w:rsidRDefault="00CA14AB" w:rsidP="00BC64AB">
      <w:pPr>
        <w:pStyle w:val="Akapitzlist"/>
        <w:numPr>
          <w:ilvl w:val="0"/>
          <w:numId w:val="185"/>
        </w:numPr>
        <w:spacing w:after="0" w:line="312" w:lineRule="auto"/>
        <w:rPr>
          <w:szCs w:val="20"/>
        </w:rPr>
      </w:pPr>
      <w:r w:rsidRPr="00E00B35">
        <w:rPr>
          <w:szCs w:val="20"/>
        </w:rPr>
        <w:t>913 aktywnych zezwoleń na sprzedaż napojów do 4,5% zawartości alkoholu oraz na piwo przeznaczonych do spożycia w miejscu sprzedaży, przy limicie ustalonym na 1025 zezwoleń,</w:t>
      </w:r>
    </w:p>
    <w:p w:rsidR="00CA14AB" w:rsidRPr="00E00B35" w:rsidRDefault="00CA14AB" w:rsidP="00BC64AB">
      <w:pPr>
        <w:pStyle w:val="Akapitzlist"/>
        <w:numPr>
          <w:ilvl w:val="0"/>
          <w:numId w:val="185"/>
        </w:numPr>
        <w:spacing w:after="0" w:line="312" w:lineRule="auto"/>
        <w:rPr>
          <w:szCs w:val="20"/>
        </w:rPr>
      </w:pPr>
      <w:r w:rsidRPr="00E00B35">
        <w:rPr>
          <w:szCs w:val="20"/>
        </w:rPr>
        <w:t>753 aktywnych zezwoleń na sprzedaż napojów powyżej 4,5% do 18% zawartości alkoholu (z wyjątkiem piwa) przeznaczonych do spożycia w miejscu sprzedaży, przy limicie ustalonym na 855 zezwoleń,</w:t>
      </w:r>
    </w:p>
    <w:p w:rsidR="00CA14AB" w:rsidRPr="00E00B35" w:rsidRDefault="00CA14AB" w:rsidP="00BC64AB">
      <w:pPr>
        <w:pStyle w:val="Akapitzlist"/>
        <w:numPr>
          <w:ilvl w:val="0"/>
          <w:numId w:val="185"/>
        </w:numPr>
        <w:spacing w:after="0" w:line="312" w:lineRule="auto"/>
        <w:rPr>
          <w:szCs w:val="20"/>
        </w:rPr>
      </w:pPr>
      <w:r w:rsidRPr="00E00B35">
        <w:rPr>
          <w:szCs w:val="20"/>
        </w:rPr>
        <w:t>552 aktywne zezwolenia na sprzedaż napojów powyżej 18% zawartości alkoholu przeznaczonych do spożycia w miejscu sprzedaży, przy limicie ustalonym 695 zezwoleń.</w:t>
      </w:r>
    </w:p>
    <w:p w:rsidR="005E6C69" w:rsidRPr="00E00B35" w:rsidRDefault="005E6C69" w:rsidP="00E00B35">
      <w:pPr>
        <w:pStyle w:val="Nagwek5"/>
        <w:rPr>
          <w:szCs w:val="20"/>
        </w:rPr>
      </w:pPr>
      <w:bookmarkStart w:id="301" w:name="_Toc72352396"/>
      <w:bookmarkStart w:id="302" w:name="_Toc72352830"/>
    </w:p>
    <w:p w:rsidR="00CA14AB" w:rsidRPr="00E00B35" w:rsidRDefault="00CA14AB" w:rsidP="00E00B35">
      <w:pPr>
        <w:pStyle w:val="Nagwek5"/>
        <w:rPr>
          <w:szCs w:val="20"/>
        </w:rPr>
      </w:pPr>
      <w:r w:rsidRPr="00E00B35">
        <w:rPr>
          <w:szCs w:val="20"/>
        </w:rPr>
        <w:t>KONTROLA PRZESTRZEGANIA PRAWA</w:t>
      </w:r>
      <w:bookmarkEnd w:id="301"/>
      <w:bookmarkEnd w:id="302"/>
    </w:p>
    <w:p w:rsidR="00CA14AB" w:rsidRPr="00E00B35" w:rsidRDefault="00CA14AB" w:rsidP="00E00B35">
      <w:pPr>
        <w:spacing w:after="0" w:line="312" w:lineRule="auto"/>
        <w:rPr>
          <w:szCs w:val="20"/>
        </w:rPr>
      </w:pPr>
      <w:r w:rsidRPr="00E00B35">
        <w:rPr>
          <w:szCs w:val="20"/>
        </w:rPr>
        <w:t xml:space="preserve">Kontrole zasad i warunków prowadzenia sprzedaży - W roku sprawozdawczym, w oparciu o przyjęty plan kontroli, przeprowadzono kontrole dotyczące 58 punktów sprzedaży, w których funkcjonowały 163 zezwolenia na sprzedaż napojów alkoholowych. Zakres przeprowadzanych kontroli dotyczył przestrzegania zasad i warunków korzystania z zezwoleń na sprzedaż napojów alkoholowych. </w:t>
      </w:r>
    </w:p>
    <w:p w:rsidR="00CA14AB" w:rsidRPr="00E00B35" w:rsidRDefault="00CA14AB" w:rsidP="00E00B35">
      <w:pPr>
        <w:spacing w:after="0" w:line="312" w:lineRule="auto"/>
        <w:rPr>
          <w:szCs w:val="20"/>
        </w:rPr>
      </w:pPr>
      <w:r w:rsidRPr="00E00B35">
        <w:rPr>
          <w:szCs w:val="20"/>
        </w:rPr>
        <w:t xml:space="preserve">Oględziny lokalizacji punktów sprzedaży - Przeprowadzono oględziny lokalizacji 4 punktów sprzedaży, w których ubiegano się o wydanie 8 zezwoleń na sprzedaż napojów alkoholowych. Celem oględzin było zbadanie, czy planowana lokalizacja punktów sprzedaży, objętych wnioskami o udzielenie zezwoleń na sprzedaż napojów alkoholowych, jest zgodna z warunkami usytuowania przewidzianymi w obowiązujących przepisach prawa. </w:t>
      </w:r>
    </w:p>
    <w:p w:rsidR="00CA14AB" w:rsidRPr="00E00B35" w:rsidRDefault="00CA14AB" w:rsidP="00E00B35">
      <w:pPr>
        <w:spacing w:after="0" w:line="312" w:lineRule="auto"/>
        <w:rPr>
          <w:szCs w:val="20"/>
        </w:rPr>
      </w:pPr>
      <w:r w:rsidRPr="00E00B35">
        <w:rPr>
          <w:szCs w:val="20"/>
        </w:rPr>
        <w:t xml:space="preserve">Kontrole przez podmioty współpracujące - W ramach współpracy ze Strażą Miejską Wrocławia oraz Komisją Rozwiązywania Problemów Alkoholowych zwrócono się o przeprowadzenie przez te podmioty kontroli 3 punktów sprzedaży, w których funkcjonowało 9 zezwoleń na sprzedaż napojów alkoholowych. Kontrole te zostały zrealizowane. Dodatkowo pracownicy organu w związku z interwencją pobliskich mieszkańców zrealizowali 1 kontrolę punktu sprzedaży, w którym funkcjonowały 3 zezwolenia. </w:t>
      </w:r>
    </w:p>
    <w:p w:rsidR="00CA14AB" w:rsidRPr="00E00B35" w:rsidRDefault="00CA14AB" w:rsidP="00E00B35">
      <w:pPr>
        <w:spacing w:after="0" w:line="312" w:lineRule="auto"/>
        <w:rPr>
          <w:szCs w:val="20"/>
        </w:rPr>
      </w:pPr>
      <w:r w:rsidRPr="00E00B35">
        <w:rPr>
          <w:szCs w:val="20"/>
        </w:rPr>
        <w:t xml:space="preserve">Weryfikacja oświadczeń o wartości sprzedaży - W roku 2020 nie prowadzono czynności sprawdzających w zakresie weryfikacji danych w składanych przez przedsiębiorców oświadczeniach o wartości sprzedaży napojów alkoholowych. </w:t>
      </w:r>
    </w:p>
    <w:p w:rsidR="00CA14AB" w:rsidRPr="00E00B35" w:rsidRDefault="00CA14AB" w:rsidP="00E00B35">
      <w:pPr>
        <w:spacing w:after="0" w:line="312" w:lineRule="auto"/>
        <w:rPr>
          <w:szCs w:val="20"/>
        </w:rPr>
      </w:pPr>
      <w:r w:rsidRPr="00E00B35">
        <w:rPr>
          <w:szCs w:val="20"/>
        </w:rPr>
        <w:lastRenderedPageBreak/>
        <w:t>Weryfikacja opłat za korzystanie z zezwoleń - W styczniu 2020 roku posiadacze zezwoleń złożyli 1967 oświadczeń o wartości sprzedaży napojów alkoholowych. W okresie dodatkowych 30 dni złożono jeszcze 30 oświadczeń o wartości sprzedaży. Uzyskane w ten sposób dane posłużyły do weryfikacji wysokości wniesionych opłat za korzystanie z zezwoleń. Weryfikację opłat przeprowadzono w ciągu roku trzykrotnie, po upływie terminu każdej z trzech rat opłat za korzystanie z zezwoleń (z uwzględnieniem 30-dniowych okresów dodatkowych, w których Ustawodawca umożliwił dokonanie opłaty raty wraz z uiszczeniem opłaty dodatkowej, a także przesunięć terminów wynikających z przepisów ustaw nadzwyczajnych, stanowionych z uwagi na stan epidemii). W ramach realizacji delegacji ustawowej Rada Miejska Wrocławia podjęła uchwałę, na mocy której przesunięto dla gastronomii termin wniesienia trzeciej raty opłaty za zezwolenia do końca listopada (pierwotny termin upływał wraz z końcem września).</w:t>
      </w:r>
    </w:p>
    <w:p w:rsidR="00CA14AB" w:rsidRPr="00E00B35" w:rsidRDefault="00CA14AB" w:rsidP="00E00B35">
      <w:pPr>
        <w:spacing w:after="0" w:line="312" w:lineRule="auto"/>
        <w:rPr>
          <w:szCs w:val="20"/>
        </w:rPr>
      </w:pPr>
      <w:r w:rsidRPr="00E00B35">
        <w:rPr>
          <w:szCs w:val="20"/>
        </w:rPr>
        <w:t xml:space="preserve">Na wniosek przedsiębiorców wydano 48 zaświadczeń potwierdzających prawidłowe wniesienie opłaty za korzystanie z zezwoleń na sprzedaż napojów alkoholowych. </w:t>
      </w:r>
    </w:p>
    <w:p w:rsidR="005E6C69" w:rsidRPr="00E00B35" w:rsidRDefault="005E6C69" w:rsidP="00E00B35">
      <w:pPr>
        <w:pStyle w:val="Nagwek5"/>
        <w:rPr>
          <w:szCs w:val="20"/>
        </w:rPr>
      </w:pPr>
      <w:bookmarkStart w:id="303" w:name="_Toc72352397"/>
      <w:bookmarkStart w:id="304" w:name="_Toc72352831"/>
    </w:p>
    <w:p w:rsidR="00CA14AB" w:rsidRPr="00E00B35" w:rsidRDefault="00CA14AB" w:rsidP="00E00B35">
      <w:pPr>
        <w:pStyle w:val="Nagwek5"/>
        <w:rPr>
          <w:szCs w:val="20"/>
        </w:rPr>
      </w:pPr>
      <w:r w:rsidRPr="00E00B35">
        <w:rPr>
          <w:szCs w:val="20"/>
        </w:rPr>
        <w:t>WPŁYWY Z TYTUŁU OPŁAT W ROKU 2020</w:t>
      </w:r>
      <w:bookmarkEnd w:id="303"/>
      <w:bookmarkEnd w:id="304"/>
    </w:p>
    <w:p w:rsidR="00CA14AB" w:rsidRPr="00E00B35" w:rsidRDefault="00CA14AB" w:rsidP="00E00B35">
      <w:pPr>
        <w:spacing w:after="0" w:line="312" w:lineRule="auto"/>
        <w:rPr>
          <w:szCs w:val="20"/>
        </w:rPr>
      </w:pPr>
      <w:r w:rsidRPr="00E00B35">
        <w:rPr>
          <w:szCs w:val="20"/>
        </w:rPr>
        <w:t xml:space="preserve">Wpływy z tytułu opłat za korzystanie z zezwoleń w roku 2020 przekroczyły planowane pierwotnie dochody o kwotę w wysokości 959 322 zł i wyniosły 20 259 322 zł. </w:t>
      </w:r>
    </w:p>
    <w:p w:rsidR="00CA14AB" w:rsidRPr="00E00B35" w:rsidRDefault="00CA14AB" w:rsidP="00E00B35">
      <w:pPr>
        <w:spacing w:after="0" w:line="312" w:lineRule="auto"/>
        <w:rPr>
          <w:szCs w:val="20"/>
        </w:rPr>
      </w:pPr>
      <w:r w:rsidRPr="00E00B35">
        <w:rPr>
          <w:szCs w:val="20"/>
        </w:rPr>
        <w:t xml:space="preserve">Podobnie jak w latach ubiegłych nastąpił wzrost pozyskiwanych środków finansowych z tytułu korzystania z zezwoleń na sprzedaż napojów alkoholowych. Głównym powodem tego wzrostu jest wzrost sumarycznej wartości sprzedaży napojów alkoholowych, wykazywanej w składanych przez posiadaczy zezwoleń oświadczeniach. Wysokość opłaty za korzystanie z zezwoleń w danym roku jest bowiem pochodną wykazywanych wartości sprzedaży za rok poprzedni. Wzrost wartości sprzedaży alkoholu nie jest równoznaczny ze wzrostem ilości sprzedanego alkoholu, na uzyskiwane wartości sprzedaży istotny wpływ ma bowiem cena, za którą oferowany jest alkohol. </w:t>
      </w:r>
    </w:p>
    <w:p w:rsidR="00CA14AB" w:rsidRPr="00E00B35" w:rsidRDefault="00CA14AB" w:rsidP="00E00B35">
      <w:pPr>
        <w:spacing w:after="0" w:line="312" w:lineRule="auto"/>
        <w:rPr>
          <w:szCs w:val="20"/>
        </w:rPr>
      </w:pPr>
      <w:r w:rsidRPr="00E00B35">
        <w:rPr>
          <w:szCs w:val="20"/>
        </w:rPr>
        <w:t>Wpływy z tytułu opłat za zezwolenia na sprzedaż napojów alkoholowych w roku 2016 wynosiły 15 976 142 zł, w roku 2017 wyniosły 16 744 076 zł, w 2018 roku wpłacono 17 708 215 zł, w roku 2019 z tytułu opłaty wpłynęło 18 940 054 zł, a w roku 2020 odnotowano wpłaty w wysokości 20 259 322 zł.</w:t>
      </w:r>
    </w:p>
    <w:p w:rsidR="005E6C69" w:rsidRPr="00E00B35" w:rsidRDefault="005E6C69" w:rsidP="00E00B35">
      <w:pPr>
        <w:pStyle w:val="Nagwek5"/>
        <w:rPr>
          <w:szCs w:val="20"/>
        </w:rPr>
      </w:pPr>
      <w:bookmarkStart w:id="305" w:name="_Toc72352398"/>
      <w:bookmarkStart w:id="306" w:name="_Toc72352832"/>
    </w:p>
    <w:p w:rsidR="00CA14AB" w:rsidRPr="00E00B35" w:rsidRDefault="00CA14AB" w:rsidP="00E00B35">
      <w:pPr>
        <w:pStyle w:val="Nagwek5"/>
        <w:rPr>
          <w:szCs w:val="20"/>
        </w:rPr>
      </w:pPr>
      <w:r w:rsidRPr="00E00B35">
        <w:rPr>
          <w:szCs w:val="20"/>
        </w:rPr>
        <w:t>WDRAŻANIE NOWYCH ROZWIĄZAŃ</w:t>
      </w:r>
      <w:bookmarkEnd w:id="305"/>
      <w:bookmarkEnd w:id="306"/>
    </w:p>
    <w:p w:rsidR="00CA14AB" w:rsidRPr="00E00B35" w:rsidRDefault="00CA14AB" w:rsidP="00E00B35">
      <w:pPr>
        <w:spacing w:after="0" w:line="312" w:lineRule="auto"/>
        <w:rPr>
          <w:szCs w:val="20"/>
        </w:rPr>
      </w:pPr>
      <w:r w:rsidRPr="00E00B35">
        <w:rPr>
          <w:szCs w:val="20"/>
        </w:rPr>
        <w:t xml:space="preserve">2020 był rokiem, w którym bezpośrednia obsługa interesantów przez pracowników Działu Zezwoleń została – z uwagi na stan epidemii – prawie całkowicie wyłączona. Komunikacja odbywała się zatem za pośrednictwem połączeń telefonicznych oraz Poczty Polskiej. Rosła też liczba spraw załatwianych drogą elektroniczną (ePUAP). Przez cały rok istniała możliwość składania organowi zezwalającemu dokumentacji poprzez Kancelarię Ogólną. </w:t>
      </w:r>
    </w:p>
    <w:p w:rsidR="00CA14AB" w:rsidRPr="00E00B35" w:rsidRDefault="00CA14AB" w:rsidP="00E00B35">
      <w:pPr>
        <w:spacing w:after="0" w:line="312" w:lineRule="auto"/>
        <w:rPr>
          <w:szCs w:val="20"/>
        </w:rPr>
      </w:pPr>
      <w:r w:rsidRPr="00E00B35">
        <w:rPr>
          <w:szCs w:val="20"/>
        </w:rPr>
        <w:t xml:space="preserve">W roku sprawozdawczym stale rosła również liczba subskrybentów, którzy zapisali się na rozsyłany regularnie przez organ zezwalający newsletter, zawierający komunikaty przypominające o ustawowych obowiązkach posiadaczy zezwoleń oraz zmianach przepisów w przedmiotowym obszarze. Modyfikowane było również oprogramowanie do obsługi zezwoleń na sprzedaż napojów alkoholowych (OTAGO – KOALA). Prace dotyczyły zarówno poprawy działania systemu, jak i dostosowania systemu </w:t>
      </w:r>
      <w:r w:rsidRPr="00E00B35">
        <w:rPr>
          <w:szCs w:val="20"/>
        </w:rPr>
        <w:lastRenderedPageBreak/>
        <w:t xml:space="preserve">do zmieniających się przepisów. Aktualizowano i udoskonalano stronę internetową w BIP, uzupełniając ją o aktualne formularze do pobrania, opisy procedur, ważne komunikaty dla przedsiębiorców, schematy procedur kontroli i procedur sprawdzających, decyzje interpretacyjne. Ponadto cyklicznie publikowano wykazy funkcjonujących we Wrocławiu zezwoleń na sprzedaż napojów alkoholowych z podziałem na placówki handlowe oraz gastronomiczne. Na stronie internetowej funkcjonował też kalkulator opłat – narzędzie, które ułatwia samodzielne wyliczenie wysokości opłat za korzystanie z zezwoleń na sprzedaż napojów alkoholowych. </w:t>
      </w:r>
    </w:p>
    <w:p w:rsidR="005E6C69" w:rsidRPr="00E00B35" w:rsidRDefault="005E6C69" w:rsidP="00E00B35">
      <w:pPr>
        <w:pStyle w:val="Nagwek5"/>
        <w:rPr>
          <w:szCs w:val="20"/>
        </w:rPr>
      </w:pPr>
      <w:bookmarkStart w:id="307" w:name="_Toc72352399"/>
      <w:bookmarkStart w:id="308" w:name="_Toc72352833"/>
    </w:p>
    <w:p w:rsidR="00CA14AB" w:rsidRPr="00E00B35" w:rsidRDefault="00CA14AB" w:rsidP="00E00B35">
      <w:pPr>
        <w:pStyle w:val="Nagwek5"/>
        <w:rPr>
          <w:szCs w:val="20"/>
        </w:rPr>
      </w:pPr>
      <w:r w:rsidRPr="00E00B35">
        <w:rPr>
          <w:szCs w:val="20"/>
        </w:rPr>
        <w:t>ZADANIA INWESTYCYJNE</w:t>
      </w:r>
      <w:bookmarkEnd w:id="307"/>
      <w:bookmarkEnd w:id="308"/>
    </w:p>
    <w:p w:rsidR="00CA14AB" w:rsidRPr="00E00B35" w:rsidRDefault="00CA14AB" w:rsidP="00E00B35">
      <w:pPr>
        <w:spacing w:after="0" w:line="312" w:lineRule="auto"/>
        <w:rPr>
          <w:szCs w:val="20"/>
        </w:rPr>
      </w:pPr>
      <w:r w:rsidRPr="00E00B35">
        <w:rPr>
          <w:szCs w:val="20"/>
        </w:rPr>
        <w:t>Na zakupy inwestycyjne przeznaczono środki finansowe w łącznej kwocie 1.983.852,00 zł, w tym:</w:t>
      </w:r>
    </w:p>
    <w:p w:rsidR="00CA14AB" w:rsidRPr="00E00B35" w:rsidRDefault="00CA14AB" w:rsidP="00BC64AB">
      <w:pPr>
        <w:pStyle w:val="Akapitzlist"/>
        <w:numPr>
          <w:ilvl w:val="0"/>
          <w:numId w:val="186"/>
        </w:numPr>
        <w:spacing w:after="0" w:line="312" w:lineRule="auto"/>
        <w:rPr>
          <w:szCs w:val="20"/>
        </w:rPr>
      </w:pPr>
      <w:r w:rsidRPr="00E00B35">
        <w:rPr>
          <w:szCs w:val="20"/>
        </w:rPr>
        <w:t xml:space="preserve">dla Dolnośląskiego Centrum Chorób Płuc we Wrocławiu, ul. Grabiszyńska 105 w kwocie 341.952,00 zł - na zakup sprzętu medycznego: koagulatora chirurgicznego metodą argonową, szafy formalinowej, stołu formalinowego, digestorium oraz 2 mikroskopów; </w:t>
      </w:r>
    </w:p>
    <w:p w:rsidR="00CA14AB" w:rsidRPr="00E00B35" w:rsidRDefault="00CA14AB" w:rsidP="00BC64AB">
      <w:pPr>
        <w:pStyle w:val="Akapitzlist"/>
        <w:numPr>
          <w:ilvl w:val="0"/>
          <w:numId w:val="186"/>
        </w:numPr>
        <w:spacing w:after="0" w:line="312" w:lineRule="auto"/>
        <w:rPr>
          <w:szCs w:val="20"/>
        </w:rPr>
      </w:pPr>
      <w:r w:rsidRPr="00E00B35">
        <w:rPr>
          <w:szCs w:val="20"/>
        </w:rPr>
        <w:t xml:space="preserve">dla Uniwersyteckiego Szpitala Klinicznego we Wrocławiu, ul. Borowska 213 w kwocie 360.000,00 zł - na zakup aparatu ultrasonograficznego oraz lampy zabiegowej dla Kliniki Ginekologii i Położnictwa; </w:t>
      </w:r>
    </w:p>
    <w:p w:rsidR="00CA14AB" w:rsidRPr="00E00B35" w:rsidRDefault="00CA14AB" w:rsidP="00BC64AB">
      <w:pPr>
        <w:pStyle w:val="Akapitzlist"/>
        <w:numPr>
          <w:ilvl w:val="0"/>
          <w:numId w:val="186"/>
        </w:numPr>
        <w:spacing w:after="0" w:line="312" w:lineRule="auto"/>
        <w:rPr>
          <w:szCs w:val="20"/>
        </w:rPr>
      </w:pPr>
      <w:r w:rsidRPr="00E00B35">
        <w:rPr>
          <w:szCs w:val="20"/>
        </w:rPr>
        <w:t>dla Wojewódzkiego Szpitala Specjalistycznego we Wrocławiu, ul. Kamieńskiego 73a w kwocie 1 050 000,00 zł - na zakup wyposażenia wraz z przebudową Oddziału Położniczo-Ginekologicznego;</w:t>
      </w:r>
    </w:p>
    <w:p w:rsidR="00CA14AB" w:rsidRPr="00E00B35" w:rsidRDefault="00CA14AB" w:rsidP="00BC64AB">
      <w:pPr>
        <w:pStyle w:val="Akapitzlist"/>
        <w:numPr>
          <w:ilvl w:val="0"/>
          <w:numId w:val="186"/>
        </w:numPr>
        <w:spacing w:after="0" w:line="312" w:lineRule="auto"/>
        <w:rPr>
          <w:szCs w:val="20"/>
        </w:rPr>
      </w:pPr>
      <w:r w:rsidRPr="00E00B35">
        <w:rPr>
          <w:szCs w:val="20"/>
        </w:rPr>
        <w:t xml:space="preserve">dla Ekumenicznej Stacji Opieki – Centrum Pielęgniarstwa Rodzinnego, Rehabilitacji </w:t>
      </w:r>
      <w:r w:rsidRPr="00E00B35">
        <w:rPr>
          <w:szCs w:val="20"/>
        </w:rPr>
        <w:br/>
        <w:t>i Opieki Paliatywnej we Wrocławiu, ul. Wysoka 4 w kwocie 100.000,00 zł - na zakup sprzętu medycznego;</w:t>
      </w:r>
    </w:p>
    <w:p w:rsidR="00CA14AB" w:rsidRPr="00E00B35" w:rsidRDefault="00CA14AB" w:rsidP="00BC64AB">
      <w:pPr>
        <w:pStyle w:val="Akapitzlist"/>
        <w:numPr>
          <w:ilvl w:val="0"/>
          <w:numId w:val="186"/>
        </w:numPr>
        <w:spacing w:after="0" w:line="312" w:lineRule="auto"/>
        <w:rPr>
          <w:szCs w:val="20"/>
        </w:rPr>
      </w:pPr>
      <w:r w:rsidRPr="00E00B35">
        <w:rPr>
          <w:szCs w:val="20"/>
        </w:rPr>
        <w:t xml:space="preserve">dla Stowarzyszenia „MONAR” w kwocie 132 000,00 zł - na przeprowadzenie prac modernizacyjnych mających na celu zwiększenie dostępności do proponowanych działań dla osób uzależnionych lub zagrożonych uzależnieniem od środków psychoaktywnych, poprzez adaptację pomieszczeń, wymianę instalacji, doposażenie w sprzęt i urządzenia oraz środki poprawiające standardy i estetykę pomieszczeń.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ORGANIZACJA I ZAPEWNIENIE OPIEKA NAD DZIEĆMI W WIEKU DO LAT 3 SPRAWOWANEJ W FORMIE ŻŁOBKÓW NIEPUBLICZNYCH, KLUBÓW DZIECIĘCYCH ORAZ DZIENNEGO OPIEKUNA</w:t>
      </w:r>
    </w:p>
    <w:p w:rsidR="00CA14AB" w:rsidRPr="00E00B35" w:rsidRDefault="00CA14AB" w:rsidP="00E00B35">
      <w:pPr>
        <w:spacing w:after="0" w:line="312" w:lineRule="auto"/>
        <w:rPr>
          <w:szCs w:val="20"/>
        </w:rPr>
      </w:pPr>
      <w:r w:rsidRPr="00E00B35">
        <w:rPr>
          <w:szCs w:val="20"/>
        </w:rPr>
        <w:t xml:space="preserve">W roku sprawozdawczym 2020, na realizację przedmiotowego zadania, zaplanowano kwotę 27 725 280 zł., z której wydatkowano 26 179 740,63 zł, co stanowi 94,42 % zaplanowanych środków. Celem zadania jest zwiększenie ilości i dostępności miejsc opieki nad dziećmi w wieku do lat 3 na terenie Wrocławia poprzez dofinansowanie opieki prowadzonej w żłobkach niepublicznych oraz poprawa jakości opieki, poprzez sprawowanie nadzoru nad żłobkami i klubami dziecięcymi. </w:t>
      </w:r>
    </w:p>
    <w:p w:rsidR="00CA14AB" w:rsidRPr="00E00B35" w:rsidRDefault="00CA14AB" w:rsidP="00E00B35">
      <w:pPr>
        <w:spacing w:after="0" w:line="312" w:lineRule="auto"/>
        <w:rPr>
          <w:szCs w:val="20"/>
        </w:rPr>
      </w:pPr>
      <w:r w:rsidRPr="00E00B35">
        <w:rPr>
          <w:szCs w:val="20"/>
        </w:rPr>
        <w:t>Zadanie zapewnienia opieki nad dziećmi w wieku do lat 3 polega w szczególności na:</w:t>
      </w:r>
    </w:p>
    <w:p w:rsidR="00CA14AB" w:rsidRPr="00E00B35" w:rsidRDefault="00CA14AB" w:rsidP="00E00B35">
      <w:pPr>
        <w:spacing w:after="0" w:line="312" w:lineRule="auto"/>
        <w:rPr>
          <w:szCs w:val="20"/>
        </w:rPr>
      </w:pPr>
      <w:r w:rsidRPr="00E00B35">
        <w:rPr>
          <w:szCs w:val="20"/>
        </w:rPr>
        <w:t>zapewnieniu dzieciom opieki w warunkach bytowych zbliżonych do warunków domowych,</w:t>
      </w:r>
    </w:p>
    <w:p w:rsidR="00CA14AB" w:rsidRPr="00E00B35" w:rsidRDefault="00CA14AB" w:rsidP="00E00B35">
      <w:pPr>
        <w:spacing w:after="0" w:line="312" w:lineRule="auto"/>
        <w:rPr>
          <w:szCs w:val="20"/>
        </w:rPr>
      </w:pPr>
      <w:r w:rsidRPr="00E00B35">
        <w:rPr>
          <w:szCs w:val="20"/>
        </w:rPr>
        <w:lastRenderedPageBreak/>
        <w:t>zagwarantowaniu dzieciom właściwej opieki pielęgnacyjnej i edukacyjnej, przez prowadzenie zająć zabawowych z elementami edukacji, z uwzględnieniem indywidualnych potrzeb dziecka,</w:t>
      </w:r>
    </w:p>
    <w:p w:rsidR="00CA14AB" w:rsidRPr="00E00B35" w:rsidRDefault="00CA14AB" w:rsidP="00E00B35">
      <w:pPr>
        <w:spacing w:after="0" w:line="312" w:lineRule="auto"/>
        <w:rPr>
          <w:szCs w:val="20"/>
        </w:rPr>
      </w:pPr>
      <w:r w:rsidRPr="00E00B35">
        <w:rPr>
          <w:szCs w:val="20"/>
        </w:rPr>
        <w:t xml:space="preserve">prowadzeniu zajęć opiekuńczo–wychowawczych i edukacyjnych, uwzględniających rozwój psychomotoryczny dzieci, właściwych do wieku dzieci wg opracowanego programu zajęć odpowiednio dla różnych grup wiekowych, </w:t>
      </w:r>
    </w:p>
    <w:p w:rsidR="00CA14AB" w:rsidRPr="00E00B35" w:rsidRDefault="00CA14AB" w:rsidP="00E00B35">
      <w:pPr>
        <w:spacing w:after="0" w:line="312" w:lineRule="auto"/>
        <w:rPr>
          <w:szCs w:val="20"/>
        </w:rPr>
      </w:pPr>
      <w:r w:rsidRPr="00E00B35">
        <w:rPr>
          <w:szCs w:val="20"/>
        </w:rPr>
        <w:t>współpracy z rodzicami i opiekunami prawnymi dziecka,</w:t>
      </w:r>
    </w:p>
    <w:p w:rsidR="00CA14AB" w:rsidRPr="00E00B35" w:rsidRDefault="00CA14AB" w:rsidP="00E00B35">
      <w:pPr>
        <w:spacing w:after="0" w:line="312" w:lineRule="auto"/>
        <w:rPr>
          <w:szCs w:val="20"/>
        </w:rPr>
      </w:pPr>
      <w:r w:rsidRPr="00E00B35">
        <w:rPr>
          <w:szCs w:val="20"/>
        </w:rPr>
        <w:t>zapewnieniu dzieciom bezpieczeństwa w czasie przebywania w żłobku oraz odpowiednich warunków higieniczno-sanitarnych, zgodnych z obowiązującymi przepisami,</w:t>
      </w:r>
    </w:p>
    <w:p w:rsidR="00CA14AB" w:rsidRPr="00E00B35" w:rsidRDefault="00CA14AB" w:rsidP="00E00B35">
      <w:pPr>
        <w:spacing w:after="0" w:line="312" w:lineRule="auto"/>
        <w:rPr>
          <w:szCs w:val="20"/>
        </w:rPr>
      </w:pPr>
      <w:r w:rsidRPr="00E00B35">
        <w:rPr>
          <w:szCs w:val="20"/>
        </w:rPr>
        <w:t>zapewnianiu opieki przez personel o kwalifikacjach oraz ilości godzin określonych w ustawie o opiece nad dziećmi w wieku do lat 3.</w:t>
      </w:r>
    </w:p>
    <w:p w:rsidR="00CA14AB" w:rsidRPr="00E00B35" w:rsidRDefault="00CA14AB" w:rsidP="00E00B35">
      <w:pPr>
        <w:spacing w:after="0" w:line="312" w:lineRule="auto"/>
        <w:rPr>
          <w:szCs w:val="20"/>
        </w:rPr>
      </w:pPr>
      <w:r w:rsidRPr="00E00B35">
        <w:rPr>
          <w:szCs w:val="20"/>
        </w:rPr>
        <w:t xml:space="preserve">W związku z wejściem w życie z dniem 4 kwietnia 2011 r. ustawy o opiece nad dziećmi w wieku do lat 3, oprócz finansowania miejsc opieki w żłobkach publicznych, uzyskano możliwość finansowania i zlecania zadań z zakresu opieki nad dziećmi w wieku od ukończenia 20 tygodnia życia do lat 3 podmiotom wpisanym do rejestru żłobków i klubów dziecięcych prowadzonego przez Prezydenta Wrocławia oraz zatrudniania i finansowania dziennego opiekuna. Wdrożenie alternatywnych form opieki stało się kluczowym zadaniem Wydziału Zdrowia i Spraw Społecznych w latach 2011-2020, w związku z potrzebą większej liczby miejsc opieki nad dziećmi w wieku do lat 3. </w:t>
      </w:r>
    </w:p>
    <w:p w:rsidR="00CA14AB" w:rsidRPr="00E00B35" w:rsidRDefault="00CA14AB" w:rsidP="00E00B35">
      <w:pPr>
        <w:spacing w:after="0" w:line="312" w:lineRule="auto"/>
        <w:rPr>
          <w:szCs w:val="20"/>
        </w:rPr>
      </w:pPr>
      <w:r w:rsidRPr="00E00B35">
        <w:rPr>
          <w:szCs w:val="20"/>
        </w:rPr>
        <w:t>Opieka nad dziećmi w wieku do lat 3 sprawowana w formie Dziennego opiekuna jest realizowana przez Wrocławskie Centrum Integracji.</w:t>
      </w:r>
    </w:p>
    <w:p w:rsidR="00CA14AB" w:rsidRPr="00E00B35" w:rsidRDefault="00CA14AB" w:rsidP="00E00B35">
      <w:pPr>
        <w:spacing w:after="0" w:line="312" w:lineRule="auto"/>
        <w:rPr>
          <w:szCs w:val="20"/>
        </w:rPr>
      </w:pPr>
      <w:r w:rsidRPr="00E00B35">
        <w:rPr>
          <w:szCs w:val="20"/>
        </w:rPr>
        <w:t>Prowadzenie działalności w zakresie opieki nad dziećmi w wieku do lat 3 wiąże się z koniecznością uzyskania wpisu do rejestru żłobków i klubów dziecięcych prowadzonego w Wydziale Zdrowia i Spraw Społecznych. Żłobek lub klub dziecięcy musi spełniać wymogi określone w ustawie z dnia 4 lutego 2011 r. o opiece nad dziećmi w wieku do lat 3 oraz wydanych do niego rozporządzeniach, dotyczących warunków, jakie spełniać ma lokal, w którym sprawowana jest opieka nad dziećmi oraz kwalifikacji i doświadczenia kadry. W 2020 r. wpisano do rejestru 17 podmiotów, w tym 11 żłobków i 6 klubów dziecięcych oraz wykreślono 5 żłobków, nie wykreślono żadnego klubu dziecięcego.</w:t>
      </w:r>
    </w:p>
    <w:p w:rsidR="00CA14AB" w:rsidRPr="00E00B35" w:rsidRDefault="00CA14AB" w:rsidP="00E00B35">
      <w:pPr>
        <w:spacing w:after="0" w:line="312" w:lineRule="auto"/>
        <w:rPr>
          <w:szCs w:val="20"/>
        </w:rPr>
      </w:pPr>
      <w:r w:rsidRPr="00E00B35">
        <w:rPr>
          <w:szCs w:val="20"/>
        </w:rPr>
        <w:t>Na dzień 31 grudnia 2020 r. do Rejestru wpisanych było 178 żłobków, z tego 17 publicznych i 161 niepublicznych oraz 24 kluby dziecięce. Liczba miejsc w żłobkach wpisanych do rejestru wynosiła 7880, w tym w żłobkach publicznych 2375, w niepublicznych 5505 miejsc. Liczba miejsc w klubach dziecięcych wynosiła 479.</w:t>
      </w:r>
    </w:p>
    <w:p w:rsidR="00CA14AB" w:rsidRPr="00E00B35" w:rsidRDefault="00CA14AB" w:rsidP="00E00B35">
      <w:pPr>
        <w:spacing w:after="0" w:line="312" w:lineRule="auto"/>
        <w:rPr>
          <w:szCs w:val="20"/>
        </w:rPr>
      </w:pPr>
      <w:r w:rsidRPr="00E00B35">
        <w:rPr>
          <w:szCs w:val="20"/>
        </w:rPr>
        <w:t xml:space="preserve">W roku 2020 do dnia 31 sierpnia kontynuowano 71 umów zawartych w roku 2019 na dofinansowanie 3.223 miejsc w 104 niepublicznych żłobkach i klubach dziecięcych prowadzonych przez 64 podmioty gospodarcze oraz organizacje pozarządowe. </w:t>
      </w:r>
    </w:p>
    <w:p w:rsidR="00CA14AB" w:rsidRPr="00E00B35" w:rsidRDefault="00CA14AB" w:rsidP="00E00B35">
      <w:pPr>
        <w:spacing w:after="0" w:line="312" w:lineRule="auto"/>
        <w:rPr>
          <w:szCs w:val="20"/>
        </w:rPr>
      </w:pPr>
      <w:r w:rsidRPr="00E00B35">
        <w:rPr>
          <w:szCs w:val="20"/>
        </w:rPr>
        <w:t xml:space="preserve">W wyniku rozstrzygnięcia w 2020 r. konkursów na organizację opieki nad dziećmi w wieku do lat 3 na dzień 31 grudnia 2020 r. realizowane było 94 umowy na dofinansowanie 3.884 miejsc w 113 niepublicznych żłobkach i klubach dziecięcych prowadzonych przez 75 podmiotów gospodarczych oraz organizacji pozarządowych. Umowy te zostały zawarte na okres do dnia 31 sierpnia 2021 r. </w:t>
      </w:r>
    </w:p>
    <w:p w:rsidR="00CA14AB" w:rsidRPr="00E00B35" w:rsidRDefault="00CA14AB" w:rsidP="00E00B35">
      <w:pPr>
        <w:spacing w:after="0" w:line="312" w:lineRule="auto"/>
        <w:rPr>
          <w:szCs w:val="20"/>
        </w:rPr>
      </w:pPr>
      <w:r w:rsidRPr="00E00B35">
        <w:rPr>
          <w:szCs w:val="20"/>
        </w:rPr>
        <w:t xml:space="preserve">W ramach zawartych umów na dofinansowanie miejsc opieki nad dziećmi w wieku do lat 3: dostępnych było 3.824 miejsca w niepublicznych żłobkach i klubach dziecięcych </w:t>
      </w:r>
      <w:r w:rsidRPr="00E00B35">
        <w:rPr>
          <w:szCs w:val="20"/>
        </w:rPr>
        <w:lastRenderedPageBreak/>
        <w:t xml:space="preserve">prowadzonych w ramach działalności gospodarczej oraz 60 miejsc w niepublicznym żłobku o charakterze integracyjnym prowadzonym przez Oddział Fundacji „Promyk Słońca”. W związku z integracyjnym charakterem tej placówki oprócz realizowania zadań jw. dzieci niepełnosprawne i wymagające wczesnego wspomagania rozwoju w czasie pobytu w żłobku korzystały ze specjalistycznych zajęć prowadzonych przez rehabilitantów, logopedów i psychologów. </w:t>
      </w:r>
    </w:p>
    <w:p w:rsidR="00CA14AB" w:rsidRPr="00E00B35" w:rsidRDefault="00CA14AB" w:rsidP="00E00B35">
      <w:pPr>
        <w:spacing w:after="0" w:line="312" w:lineRule="auto"/>
        <w:rPr>
          <w:szCs w:val="20"/>
        </w:rPr>
      </w:pPr>
      <w:r w:rsidRPr="00E00B35">
        <w:rPr>
          <w:szCs w:val="20"/>
        </w:rPr>
        <w:t xml:space="preserve">W związku ze stanem epidemicznym w okresie od 16 marca 2020 roku do maja 2020 r. żłobki i kluby dziecięce nie funkcjonowały, a w okresie do sierpnia 2020r. funkcjonowały </w:t>
      </w:r>
    </w:p>
    <w:p w:rsidR="00CA14AB" w:rsidRPr="00E00B35" w:rsidRDefault="00CA14AB" w:rsidP="00E00B35">
      <w:pPr>
        <w:spacing w:after="0" w:line="312" w:lineRule="auto"/>
        <w:rPr>
          <w:szCs w:val="20"/>
        </w:rPr>
      </w:pPr>
      <w:r w:rsidRPr="00E00B35">
        <w:rPr>
          <w:szCs w:val="20"/>
        </w:rPr>
        <w:t>zgodnie z wytycznymi Sanepidu (m.in. zmniejszona liczba dzieci w placówkach). Z uwagi na pandemię COVID-19 w roku 2020 nie wszystkie miejsca w niepublicznych żłobkach i klubach dziecięcych dofinansowanych przez Gminę Wrocław były zajęte.</w:t>
      </w:r>
    </w:p>
    <w:p w:rsidR="00CA14AB" w:rsidRPr="00E00B35" w:rsidRDefault="00CA14AB" w:rsidP="00E00B35">
      <w:pPr>
        <w:spacing w:after="0" w:line="312" w:lineRule="auto"/>
        <w:rPr>
          <w:szCs w:val="20"/>
        </w:rPr>
      </w:pPr>
      <w:r w:rsidRPr="00E00B35">
        <w:rPr>
          <w:szCs w:val="20"/>
        </w:rPr>
        <w:t xml:space="preserve">Liczba miejsc w żłobkach wg danych na ostatni dzień okresu sprawozdawczego w latach: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5"/>
        <w:gridCol w:w="2265"/>
        <w:gridCol w:w="2266"/>
        <w:gridCol w:w="2266"/>
      </w:tblGrid>
      <w:tr w:rsidR="00CA14AB" w:rsidRPr="00E00B35" w:rsidTr="00CA14AB">
        <w:trPr>
          <w:tblHeader/>
        </w:trPr>
        <w:tc>
          <w:tcPr>
            <w:tcW w:w="2265" w:type="dxa"/>
          </w:tcPr>
          <w:p w:rsidR="00CA14AB" w:rsidRPr="00E00B35" w:rsidRDefault="00CA14AB" w:rsidP="00E00B35">
            <w:pPr>
              <w:spacing w:after="0" w:line="312" w:lineRule="auto"/>
              <w:rPr>
                <w:szCs w:val="20"/>
              </w:rPr>
            </w:pPr>
            <w:r w:rsidRPr="00E00B35">
              <w:rPr>
                <w:szCs w:val="20"/>
              </w:rPr>
              <w:t>Rok/</w:t>
            </w:r>
          </w:p>
          <w:p w:rsidR="00CA14AB" w:rsidRPr="00E00B35" w:rsidRDefault="00CA14AB" w:rsidP="00E00B35">
            <w:pPr>
              <w:spacing w:after="0" w:line="312" w:lineRule="auto"/>
              <w:rPr>
                <w:szCs w:val="20"/>
              </w:rPr>
            </w:pPr>
            <w:r w:rsidRPr="00E00B35">
              <w:rPr>
                <w:szCs w:val="20"/>
              </w:rPr>
              <w:t>Rodzaj placówki</w:t>
            </w:r>
          </w:p>
        </w:tc>
        <w:tc>
          <w:tcPr>
            <w:tcW w:w="2265" w:type="dxa"/>
          </w:tcPr>
          <w:p w:rsidR="00CA14AB" w:rsidRPr="00E00B35" w:rsidRDefault="00CA14AB" w:rsidP="00E00B35">
            <w:pPr>
              <w:spacing w:after="0" w:line="312" w:lineRule="auto"/>
              <w:rPr>
                <w:szCs w:val="20"/>
              </w:rPr>
            </w:pPr>
            <w:r w:rsidRPr="00E00B35">
              <w:rPr>
                <w:szCs w:val="20"/>
              </w:rPr>
              <w:t>Liczba miejsc w żłobkach  publicznych</w:t>
            </w:r>
          </w:p>
        </w:tc>
        <w:tc>
          <w:tcPr>
            <w:tcW w:w="2266" w:type="dxa"/>
          </w:tcPr>
          <w:p w:rsidR="00CA14AB" w:rsidRPr="00E00B35" w:rsidRDefault="00CA14AB" w:rsidP="00E00B35">
            <w:pPr>
              <w:spacing w:after="0" w:line="312" w:lineRule="auto"/>
              <w:rPr>
                <w:szCs w:val="20"/>
              </w:rPr>
            </w:pPr>
            <w:r w:rsidRPr="00E00B35">
              <w:rPr>
                <w:szCs w:val="20"/>
              </w:rPr>
              <w:t>Liczba miejsc w żłobkach/klubach dziecięcych niepublicznych wg rejestru</w:t>
            </w:r>
          </w:p>
        </w:tc>
        <w:tc>
          <w:tcPr>
            <w:tcW w:w="2266" w:type="dxa"/>
          </w:tcPr>
          <w:p w:rsidR="00CA14AB" w:rsidRPr="00E00B35" w:rsidRDefault="00CA14AB" w:rsidP="00E00B35">
            <w:pPr>
              <w:spacing w:after="0" w:line="312" w:lineRule="auto"/>
              <w:rPr>
                <w:szCs w:val="20"/>
              </w:rPr>
            </w:pPr>
            <w:r w:rsidRPr="00E00B35">
              <w:rPr>
                <w:szCs w:val="20"/>
              </w:rPr>
              <w:t xml:space="preserve">Liczba miejsc dofinansowanych przez Gminę Wrocław w niepublicznych żłobkach i klubach dziecięcych </w:t>
            </w:r>
          </w:p>
          <w:p w:rsidR="00CA14AB" w:rsidRPr="00E00B35" w:rsidRDefault="00CA14AB" w:rsidP="00E00B35">
            <w:pPr>
              <w:spacing w:after="0" w:line="312" w:lineRule="auto"/>
              <w:rPr>
                <w:szCs w:val="20"/>
              </w:rPr>
            </w:pPr>
            <w:r w:rsidRPr="00E00B35">
              <w:rPr>
                <w:szCs w:val="20"/>
              </w:rPr>
              <w:t>(Uwaga: do roku 2018 dofinansowano miejsca wyłącznie w żłobkach, od roku 2019 dofinansowano miejsca w żłobkach i klubach dziecięcych</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t>2009</w:t>
            </w:r>
          </w:p>
        </w:tc>
        <w:tc>
          <w:tcPr>
            <w:tcW w:w="2265" w:type="dxa"/>
          </w:tcPr>
          <w:p w:rsidR="00CA14AB" w:rsidRPr="00E00B35" w:rsidRDefault="00CA14AB" w:rsidP="00E00B35">
            <w:pPr>
              <w:spacing w:after="0" w:line="312" w:lineRule="auto"/>
              <w:rPr>
                <w:szCs w:val="20"/>
              </w:rPr>
            </w:pPr>
            <w:r w:rsidRPr="00E00B35">
              <w:rPr>
                <w:szCs w:val="20"/>
              </w:rPr>
              <w:t>1650</w:t>
            </w:r>
          </w:p>
        </w:tc>
        <w:tc>
          <w:tcPr>
            <w:tcW w:w="2266" w:type="dxa"/>
          </w:tcPr>
          <w:p w:rsidR="00CA14AB" w:rsidRPr="00E00B35" w:rsidRDefault="00CA14AB" w:rsidP="00E00B35">
            <w:pPr>
              <w:spacing w:after="0" w:line="312" w:lineRule="auto"/>
              <w:rPr>
                <w:szCs w:val="20"/>
              </w:rPr>
            </w:pPr>
            <w:r w:rsidRPr="00E00B35">
              <w:rPr>
                <w:szCs w:val="20"/>
              </w:rPr>
              <w:t>brak danych – nie prowadzono rejestrów</w:t>
            </w:r>
          </w:p>
        </w:tc>
        <w:tc>
          <w:tcPr>
            <w:tcW w:w="2266" w:type="dxa"/>
          </w:tcPr>
          <w:p w:rsidR="00CA14AB" w:rsidRPr="00E00B35" w:rsidRDefault="00CA14AB" w:rsidP="00E00B35">
            <w:pPr>
              <w:spacing w:after="0" w:line="312" w:lineRule="auto"/>
              <w:rPr>
                <w:szCs w:val="20"/>
              </w:rPr>
            </w:pPr>
            <w:r w:rsidRPr="00E00B35">
              <w:rPr>
                <w:szCs w:val="20"/>
              </w:rPr>
              <w:t xml:space="preserve">nie dotyczy – brak podstaw prawnych udzielania dotacji </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t>2010</w:t>
            </w:r>
          </w:p>
        </w:tc>
        <w:tc>
          <w:tcPr>
            <w:tcW w:w="2265" w:type="dxa"/>
          </w:tcPr>
          <w:p w:rsidR="00CA14AB" w:rsidRPr="00E00B35" w:rsidRDefault="00CA14AB" w:rsidP="00E00B35">
            <w:pPr>
              <w:spacing w:after="0" w:line="312" w:lineRule="auto"/>
              <w:rPr>
                <w:szCs w:val="20"/>
              </w:rPr>
            </w:pPr>
            <w:r w:rsidRPr="00E00B35">
              <w:rPr>
                <w:szCs w:val="20"/>
              </w:rPr>
              <w:t>1890</w:t>
            </w:r>
          </w:p>
        </w:tc>
        <w:tc>
          <w:tcPr>
            <w:tcW w:w="2266" w:type="dxa"/>
          </w:tcPr>
          <w:p w:rsidR="00CA14AB" w:rsidRPr="00E00B35" w:rsidRDefault="00CA14AB" w:rsidP="00E00B35">
            <w:pPr>
              <w:spacing w:after="0" w:line="312" w:lineRule="auto"/>
              <w:rPr>
                <w:szCs w:val="20"/>
              </w:rPr>
            </w:pPr>
            <w:r w:rsidRPr="00E00B35">
              <w:rPr>
                <w:szCs w:val="20"/>
              </w:rPr>
              <w:t>brak danych – nie prowadzono rejestrów</w:t>
            </w:r>
          </w:p>
        </w:tc>
        <w:tc>
          <w:tcPr>
            <w:tcW w:w="2266" w:type="dxa"/>
          </w:tcPr>
          <w:p w:rsidR="00CA14AB" w:rsidRPr="00E00B35" w:rsidRDefault="00CA14AB" w:rsidP="00E00B35">
            <w:pPr>
              <w:spacing w:after="0" w:line="312" w:lineRule="auto"/>
              <w:rPr>
                <w:szCs w:val="20"/>
              </w:rPr>
            </w:pPr>
            <w:r w:rsidRPr="00E00B35">
              <w:rPr>
                <w:szCs w:val="20"/>
              </w:rPr>
              <w:t>nie dotyczy – brak podstaw prawnych udzielania dotacji</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t>2011</w:t>
            </w:r>
          </w:p>
        </w:tc>
        <w:tc>
          <w:tcPr>
            <w:tcW w:w="2265" w:type="dxa"/>
          </w:tcPr>
          <w:p w:rsidR="00CA14AB" w:rsidRPr="00E00B35" w:rsidRDefault="00CA14AB" w:rsidP="00E00B35">
            <w:pPr>
              <w:spacing w:after="0" w:line="312" w:lineRule="auto"/>
              <w:rPr>
                <w:szCs w:val="20"/>
              </w:rPr>
            </w:pPr>
            <w:r w:rsidRPr="00E00B35">
              <w:rPr>
                <w:szCs w:val="20"/>
              </w:rPr>
              <w:t>1970</w:t>
            </w:r>
          </w:p>
        </w:tc>
        <w:tc>
          <w:tcPr>
            <w:tcW w:w="2266" w:type="dxa"/>
          </w:tcPr>
          <w:p w:rsidR="00CA14AB" w:rsidRPr="00E00B35" w:rsidRDefault="00CA14AB" w:rsidP="00E00B35">
            <w:pPr>
              <w:spacing w:after="0" w:line="312" w:lineRule="auto"/>
              <w:rPr>
                <w:szCs w:val="20"/>
              </w:rPr>
            </w:pPr>
            <w:r w:rsidRPr="00E00B35">
              <w:rPr>
                <w:szCs w:val="20"/>
              </w:rPr>
              <w:t>769</w:t>
            </w:r>
          </w:p>
        </w:tc>
        <w:tc>
          <w:tcPr>
            <w:tcW w:w="2266" w:type="dxa"/>
          </w:tcPr>
          <w:p w:rsidR="00CA14AB" w:rsidRPr="00E00B35" w:rsidRDefault="00CA14AB" w:rsidP="00E00B35">
            <w:pPr>
              <w:spacing w:after="0" w:line="312" w:lineRule="auto"/>
              <w:rPr>
                <w:szCs w:val="20"/>
              </w:rPr>
            </w:pPr>
            <w:r w:rsidRPr="00E00B35">
              <w:rPr>
                <w:szCs w:val="20"/>
              </w:rPr>
              <w:t>429</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t>2012</w:t>
            </w:r>
          </w:p>
        </w:tc>
        <w:tc>
          <w:tcPr>
            <w:tcW w:w="2265" w:type="dxa"/>
          </w:tcPr>
          <w:p w:rsidR="00CA14AB" w:rsidRPr="00E00B35" w:rsidRDefault="00CA14AB" w:rsidP="00E00B35">
            <w:pPr>
              <w:spacing w:after="0" w:line="312" w:lineRule="auto"/>
              <w:rPr>
                <w:szCs w:val="20"/>
              </w:rPr>
            </w:pPr>
            <w:r w:rsidRPr="00E00B35">
              <w:rPr>
                <w:szCs w:val="20"/>
              </w:rPr>
              <w:t>1990</w:t>
            </w:r>
          </w:p>
        </w:tc>
        <w:tc>
          <w:tcPr>
            <w:tcW w:w="2266" w:type="dxa"/>
          </w:tcPr>
          <w:p w:rsidR="00CA14AB" w:rsidRPr="00E00B35" w:rsidRDefault="00CA14AB" w:rsidP="00E00B35">
            <w:pPr>
              <w:spacing w:after="0" w:line="312" w:lineRule="auto"/>
              <w:rPr>
                <w:szCs w:val="20"/>
              </w:rPr>
            </w:pPr>
            <w:r w:rsidRPr="00E00B35">
              <w:rPr>
                <w:szCs w:val="20"/>
              </w:rPr>
              <w:t>1090</w:t>
            </w:r>
          </w:p>
        </w:tc>
        <w:tc>
          <w:tcPr>
            <w:tcW w:w="2266" w:type="dxa"/>
          </w:tcPr>
          <w:p w:rsidR="00CA14AB" w:rsidRPr="00E00B35" w:rsidRDefault="00CA14AB" w:rsidP="00E00B35">
            <w:pPr>
              <w:spacing w:after="0" w:line="312" w:lineRule="auto"/>
              <w:rPr>
                <w:szCs w:val="20"/>
              </w:rPr>
            </w:pPr>
            <w:r w:rsidRPr="00E00B35">
              <w:rPr>
                <w:szCs w:val="20"/>
              </w:rPr>
              <w:t>821</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t>2013</w:t>
            </w:r>
          </w:p>
        </w:tc>
        <w:tc>
          <w:tcPr>
            <w:tcW w:w="2265" w:type="dxa"/>
          </w:tcPr>
          <w:p w:rsidR="00CA14AB" w:rsidRPr="00E00B35" w:rsidRDefault="00CA14AB" w:rsidP="00E00B35">
            <w:pPr>
              <w:spacing w:after="0" w:line="312" w:lineRule="auto"/>
              <w:rPr>
                <w:szCs w:val="20"/>
              </w:rPr>
            </w:pPr>
            <w:r w:rsidRPr="00E00B35">
              <w:rPr>
                <w:szCs w:val="20"/>
              </w:rPr>
              <w:t>1990</w:t>
            </w:r>
          </w:p>
        </w:tc>
        <w:tc>
          <w:tcPr>
            <w:tcW w:w="2266" w:type="dxa"/>
          </w:tcPr>
          <w:p w:rsidR="00CA14AB" w:rsidRPr="00E00B35" w:rsidRDefault="00CA14AB" w:rsidP="00E00B35">
            <w:pPr>
              <w:spacing w:after="0" w:line="312" w:lineRule="auto"/>
              <w:rPr>
                <w:szCs w:val="20"/>
              </w:rPr>
            </w:pPr>
            <w:r w:rsidRPr="00E00B35">
              <w:rPr>
                <w:szCs w:val="20"/>
              </w:rPr>
              <w:t>1646</w:t>
            </w:r>
          </w:p>
        </w:tc>
        <w:tc>
          <w:tcPr>
            <w:tcW w:w="2266" w:type="dxa"/>
          </w:tcPr>
          <w:p w:rsidR="00CA14AB" w:rsidRPr="00E00B35" w:rsidRDefault="00CA14AB" w:rsidP="00E00B35">
            <w:pPr>
              <w:spacing w:after="0" w:line="312" w:lineRule="auto"/>
              <w:rPr>
                <w:szCs w:val="20"/>
              </w:rPr>
            </w:pPr>
            <w:r w:rsidRPr="00E00B35">
              <w:rPr>
                <w:szCs w:val="20"/>
              </w:rPr>
              <w:t>1070</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t>2014</w:t>
            </w:r>
          </w:p>
        </w:tc>
        <w:tc>
          <w:tcPr>
            <w:tcW w:w="2265" w:type="dxa"/>
          </w:tcPr>
          <w:p w:rsidR="00CA14AB" w:rsidRPr="00E00B35" w:rsidRDefault="00CA14AB" w:rsidP="00E00B35">
            <w:pPr>
              <w:spacing w:after="0" w:line="312" w:lineRule="auto"/>
              <w:rPr>
                <w:szCs w:val="20"/>
              </w:rPr>
            </w:pPr>
            <w:r w:rsidRPr="00E00B35">
              <w:rPr>
                <w:szCs w:val="20"/>
              </w:rPr>
              <w:t>2091</w:t>
            </w:r>
          </w:p>
        </w:tc>
        <w:tc>
          <w:tcPr>
            <w:tcW w:w="2266" w:type="dxa"/>
          </w:tcPr>
          <w:p w:rsidR="00CA14AB" w:rsidRPr="00E00B35" w:rsidRDefault="00CA14AB" w:rsidP="00E00B35">
            <w:pPr>
              <w:spacing w:after="0" w:line="312" w:lineRule="auto"/>
              <w:rPr>
                <w:szCs w:val="20"/>
              </w:rPr>
            </w:pPr>
            <w:r w:rsidRPr="00E00B35">
              <w:rPr>
                <w:szCs w:val="20"/>
              </w:rPr>
              <w:t>2118</w:t>
            </w:r>
          </w:p>
        </w:tc>
        <w:tc>
          <w:tcPr>
            <w:tcW w:w="2266" w:type="dxa"/>
          </w:tcPr>
          <w:p w:rsidR="00CA14AB" w:rsidRPr="00E00B35" w:rsidRDefault="00CA14AB" w:rsidP="00E00B35">
            <w:pPr>
              <w:spacing w:after="0" w:line="312" w:lineRule="auto"/>
              <w:rPr>
                <w:szCs w:val="20"/>
              </w:rPr>
            </w:pPr>
            <w:r w:rsidRPr="00E00B35">
              <w:rPr>
                <w:szCs w:val="20"/>
              </w:rPr>
              <w:t>1565</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t>2015</w:t>
            </w:r>
          </w:p>
        </w:tc>
        <w:tc>
          <w:tcPr>
            <w:tcW w:w="2265" w:type="dxa"/>
          </w:tcPr>
          <w:p w:rsidR="00CA14AB" w:rsidRPr="00E00B35" w:rsidRDefault="00CA14AB" w:rsidP="00E00B35">
            <w:pPr>
              <w:spacing w:after="0" w:line="312" w:lineRule="auto"/>
              <w:rPr>
                <w:szCs w:val="20"/>
              </w:rPr>
            </w:pPr>
            <w:r w:rsidRPr="00E00B35">
              <w:rPr>
                <w:szCs w:val="20"/>
              </w:rPr>
              <w:t>2091</w:t>
            </w:r>
          </w:p>
        </w:tc>
        <w:tc>
          <w:tcPr>
            <w:tcW w:w="2266" w:type="dxa"/>
          </w:tcPr>
          <w:p w:rsidR="00CA14AB" w:rsidRPr="00E00B35" w:rsidRDefault="00CA14AB" w:rsidP="00E00B35">
            <w:pPr>
              <w:spacing w:after="0" w:line="312" w:lineRule="auto"/>
              <w:rPr>
                <w:szCs w:val="20"/>
              </w:rPr>
            </w:pPr>
            <w:r w:rsidRPr="00E00B35">
              <w:rPr>
                <w:szCs w:val="20"/>
              </w:rPr>
              <w:t>2496</w:t>
            </w:r>
          </w:p>
        </w:tc>
        <w:tc>
          <w:tcPr>
            <w:tcW w:w="2266" w:type="dxa"/>
          </w:tcPr>
          <w:p w:rsidR="00CA14AB" w:rsidRPr="00E00B35" w:rsidRDefault="00CA14AB" w:rsidP="00E00B35">
            <w:pPr>
              <w:spacing w:after="0" w:line="312" w:lineRule="auto"/>
              <w:rPr>
                <w:szCs w:val="20"/>
              </w:rPr>
            </w:pPr>
            <w:r w:rsidRPr="00E00B35">
              <w:rPr>
                <w:szCs w:val="20"/>
              </w:rPr>
              <w:t>1954</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t>2016</w:t>
            </w:r>
          </w:p>
        </w:tc>
        <w:tc>
          <w:tcPr>
            <w:tcW w:w="2265" w:type="dxa"/>
          </w:tcPr>
          <w:p w:rsidR="00CA14AB" w:rsidRPr="00E00B35" w:rsidRDefault="00CA14AB" w:rsidP="00E00B35">
            <w:pPr>
              <w:spacing w:after="0" w:line="312" w:lineRule="auto"/>
              <w:rPr>
                <w:szCs w:val="20"/>
              </w:rPr>
            </w:pPr>
            <w:r w:rsidRPr="00E00B35">
              <w:rPr>
                <w:szCs w:val="20"/>
              </w:rPr>
              <w:t>2091</w:t>
            </w:r>
          </w:p>
        </w:tc>
        <w:tc>
          <w:tcPr>
            <w:tcW w:w="2266" w:type="dxa"/>
          </w:tcPr>
          <w:p w:rsidR="00CA14AB" w:rsidRPr="00E00B35" w:rsidRDefault="00CA14AB" w:rsidP="00E00B35">
            <w:pPr>
              <w:spacing w:after="0" w:line="312" w:lineRule="auto"/>
              <w:rPr>
                <w:szCs w:val="20"/>
              </w:rPr>
            </w:pPr>
            <w:r w:rsidRPr="00E00B35">
              <w:rPr>
                <w:szCs w:val="20"/>
              </w:rPr>
              <w:t>2957</w:t>
            </w:r>
          </w:p>
        </w:tc>
        <w:tc>
          <w:tcPr>
            <w:tcW w:w="2266" w:type="dxa"/>
          </w:tcPr>
          <w:p w:rsidR="00CA14AB" w:rsidRPr="00E00B35" w:rsidRDefault="00CA14AB" w:rsidP="00E00B35">
            <w:pPr>
              <w:spacing w:after="0" w:line="312" w:lineRule="auto"/>
              <w:rPr>
                <w:szCs w:val="20"/>
              </w:rPr>
            </w:pPr>
            <w:r w:rsidRPr="00E00B35">
              <w:rPr>
                <w:szCs w:val="20"/>
              </w:rPr>
              <w:t>2114</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t>2017</w:t>
            </w:r>
          </w:p>
        </w:tc>
        <w:tc>
          <w:tcPr>
            <w:tcW w:w="2265" w:type="dxa"/>
          </w:tcPr>
          <w:p w:rsidR="00CA14AB" w:rsidRPr="00E00B35" w:rsidRDefault="00CA14AB" w:rsidP="00E00B35">
            <w:pPr>
              <w:spacing w:after="0" w:line="312" w:lineRule="auto"/>
              <w:rPr>
                <w:szCs w:val="20"/>
              </w:rPr>
            </w:pPr>
            <w:r w:rsidRPr="00E00B35">
              <w:rPr>
                <w:szCs w:val="20"/>
              </w:rPr>
              <w:t>2091</w:t>
            </w:r>
          </w:p>
        </w:tc>
        <w:tc>
          <w:tcPr>
            <w:tcW w:w="2266" w:type="dxa"/>
          </w:tcPr>
          <w:p w:rsidR="00CA14AB" w:rsidRPr="00E00B35" w:rsidRDefault="00CA14AB" w:rsidP="00E00B35">
            <w:pPr>
              <w:spacing w:after="0" w:line="312" w:lineRule="auto"/>
              <w:rPr>
                <w:szCs w:val="20"/>
              </w:rPr>
            </w:pPr>
            <w:r w:rsidRPr="00E00B35">
              <w:rPr>
                <w:szCs w:val="20"/>
              </w:rPr>
              <w:t>3581</w:t>
            </w:r>
          </w:p>
        </w:tc>
        <w:tc>
          <w:tcPr>
            <w:tcW w:w="2266" w:type="dxa"/>
          </w:tcPr>
          <w:p w:rsidR="00CA14AB" w:rsidRPr="00E00B35" w:rsidRDefault="00CA14AB" w:rsidP="00E00B35">
            <w:pPr>
              <w:spacing w:after="0" w:line="312" w:lineRule="auto"/>
              <w:rPr>
                <w:szCs w:val="20"/>
              </w:rPr>
            </w:pPr>
            <w:r w:rsidRPr="00E00B35">
              <w:rPr>
                <w:szCs w:val="20"/>
              </w:rPr>
              <w:t>2315</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t>2018</w:t>
            </w:r>
          </w:p>
        </w:tc>
        <w:tc>
          <w:tcPr>
            <w:tcW w:w="2265" w:type="dxa"/>
          </w:tcPr>
          <w:p w:rsidR="00CA14AB" w:rsidRPr="00E00B35" w:rsidRDefault="00CA14AB" w:rsidP="00E00B35">
            <w:pPr>
              <w:spacing w:after="0" w:line="312" w:lineRule="auto"/>
              <w:rPr>
                <w:szCs w:val="20"/>
              </w:rPr>
            </w:pPr>
            <w:r w:rsidRPr="00E00B35">
              <w:rPr>
                <w:szCs w:val="20"/>
              </w:rPr>
              <w:t>2123</w:t>
            </w:r>
          </w:p>
        </w:tc>
        <w:tc>
          <w:tcPr>
            <w:tcW w:w="2266" w:type="dxa"/>
          </w:tcPr>
          <w:p w:rsidR="00CA14AB" w:rsidRPr="00E00B35" w:rsidRDefault="00CA14AB" w:rsidP="00E00B35">
            <w:pPr>
              <w:spacing w:after="0" w:line="312" w:lineRule="auto"/>
              <w:rPr>
                <w:szCs w:val="20"/>
              </w:rPr>
            </w:pPr>
            <w:r w:rsidRPr="00E00B35">
              <w:rPr>
                <w:szCs w:val="20"/>
              </w:rPr>
              <w:t>4445</w:t>
            </w:r>
          </w:p>
        </w:tc>
        <w:tc>
          <w:tcPr>
            <w:tcW w:w="2266" w:type="dxa"/>
          </w:tcPr>
          <w:p w:rsidR="00CA14AB" w:rsidRPr="00E00B35" w:rsidRDefault="00CA14AB" w:rsidP="00E00B35">
            <w:pPr>
              <w:spacing w:after="0" w:line="312" w:lineRule="auto"/>
              <w:rPr>
                <w:szCs w:val="20"/>
              </w:rPr>
            </w:pPr>
            <w:r w:rsidRPr="00E00B35">
              <w:rPr>
                <w:szCs w:val="20"/>
              </w:rPr>
              <w:t>2744</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lastRenderedPageBreak/>
              <w:t>2019</w:t>
            </w:r>
          </w:p>
        </w:tc>
        <w:tc>
          <w:tcPr>
            <w:tcW w:w="2265" w:type="dxa"/>
          </w:tcPr>
          <w:p w:rsidR="00CA14AB" w:rsidRPr="00E00B35" w:rsidRDefault="00CA14AB" w:rsidP="00E00B35">
            <w:pPr>
              <w:spacing w:after="0" w:line="312" w:lineRule="auto"/>
              <w:rPr>
                <w:szCs w:val="20"/>
              </w:rPr>
            </w:pPr>
            <w:r w:rsidRPr="00E00B35">
              <w:rPr>
                <w:szCs w:val="20"/>
              </w:rPr>
              <w:t>2155</w:t>
            </w:r>
          </w:p>
        </w:tc>
        <w:tc>
          <w:tcPr>
            <w:tcW w:w="2266" w:type="dxa"/>
          </w:tcPr>
          <w:p w:rsidR="00CA14AB" w:rsidRPr="00E00B35" w:rsidRDefault="00CA14AB" w:rsidP="00E00B35">
            <w:pPr>
              <w:spacing w:after="0" w:line="312" w:lineRule="auto"/>
              <w:rPr>
                <w:szCs w:val="20"/>
              </w:rPr>
            </w:pPr>
            <w:r w:rsidRPr="00E00B35">
              <w:rPr>
                <w:szCs w:val="20"/>
              </w:rPr>
              <w:t>5178</w:t>
            </w:r>
          </w:p>
        </w:tc>
        <w:tc>
          <w:tcPr>
            <w:tcW w:w="2266" w:type="dxa"/>
          </w:tcPr>
          <w:p w:rsidR="00CA14AB" w:rsidRPr="00E00B35" w:rsidRDefault="00CA14AB" w:rsidP="00E00B35">
            <w:pPr>
              <w:spacing w:after="0" w:line="312" w:lineRule="auto"/>
              <w:rPr>
                <w:szCs w:val="20"/>
              </w:rPr>
            </w:pPr>
            <w:r w:rsidRPr="00E00B35">
              <w:rPr>
                <w:szCs w:val="20"/>
              </w:rPr>
              <w:t>3223</w:t>
            </w:r>
          </w:p>
        </w:tc>
      </w:tr>
      <w:tr w:rsidR="00CA14AB" w:rsidRPr="00E00B35" w:rsidTr="00CA14AB">
        <w:tc>
          <w:tcPr>
            <w:tcW w:w="2265" w:type="dxa"/>
          </w:tcPr>
          <w:p w:rsidR="00CA14AB" w:rsidRPr="00E00B35" w:rsidRDefault="00CA14AB" w:rsidP="00E00B35">
            <w:pPr>
              <w:spacing w:after="0" w:line="312" w:lineRule="auto"/>
              <w:rPr>
                <w:szCs w:val="20"/>
              </w:rPr>
            </w:pPr>
            <w:r w:rsidRPr="00E00B35">
              <w:rPr>
                <w:szCs w:val="20"/>
              </w:rPr>
              <w:t>2020</w:t>
            </w:r>
          </w:p>
        </w:tc>
        <w:tc>
          <w:tcPr>
            <w:tcW w:w="2265" w:type="dxa"/>
          </w:tcPr>
          <w:p w:rsidR="00CA14AB" w:rsidRPr="00E00B35" w:rsidRDefault="00CA14AB" w:rsidP="00E00B35">
            <w:pPr>
              <w:spacing w:after="0" w:line="312" w:lineRule="auto"/>
              <w:rPr>
                <w:szCs w:val="20"/>
              </w:rPr>
            </w:pPr>
            <w:r w:rsidRPr="00E00B35">
              <w:rPr>
                <w:szCs w:val="20"/>
              </w:rPr>
              <w:t>2375</w:t>
            </w:r>
          </w:p>
        </w:tc>
        <w:tc>
          <w:tcPr>
            <w:tcW w:w="2266" w:type="dxa"/>
          </w:tcPr>
          <w:p w:rsidR="00CA14AB" w:rsidRPr="00E00B35" w:rsidRDefault="00CA14AB" w:rsidP="00E00B35">
            <w:pPr>
              <w:spacing w:after="0" w:line="312" w:lineRule="auto"/>
              <w:rPr>
                <w:szCs w:val="20"/>
              </w:rPr>
            </w:pPr>
            <w:r w:rsidRPr="00E00B35">
              <w:rPr>
                <w:szCs w:val="20"/>
              </w:rPr>
              <w:t>5505</w:t>
            </w:r>
          </w:p>
        </w:tc>
        <w:tc>
          <w:tcPr>
            <w:tcW w:w="2266" w:type="dxa"/>
          </w:tcPr>
          <w:p w:rsidR="00CA14AB" w:rsidRPr="00E00B35" w:rsidRDefault="00CA14AB" w:rsidP="00E00B35">
            <w:pPr>
              <w:spacing w:after="0" w:line="312" w:lineRule="auto"/>
              <w:rPr>
                <w:szCs w:val="20"/>
              </w:rPr>
            </w:pPr>
            <w:r w:rsidRPr="00E00B35">
              <w:rPr>
                <w:szCs w:val="20"/>
              </w:rPr>
              <w:t>3884</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Przeprowadzono nadzory w 27 żłobkach i klubach dziecięcych, w tym 21 w żłobkach niepublicznych i 6 w klubach dziecięcych. </w:t>
      </w:r>
    </w:p>
    <w:p w:rsidR="005E6C69" w:rsidRPr="00E00B35" w:rsidRDefault="005E6C69" w:rsidP="00E00B35">
      <w:pPr>
        <w:pStyle w:val="Nagwek5"/>
        <w:rPr>
          <w:szCs w:val="20"/>
        </w:rPr>
      </w:pPr>
      <w:bookmarkStart w:id="309" w:name="_Toc72352400"/>
      <w:bookmarkStart w:id="310" w:name="_Toc72352834"/>
    </w:p>
    <w:p w:rsidR="00CA14AB" w:rsidRPr="00E00B35" w:rsidRDefault="00CA14AB" w:rsidP="00E00B35">
      <w:pPr>
        <w:pStyle w:val="Nagwek5"/>
        <w:rPr>
          <w:szCs w:val="20"/>
        </w:rPr>
      </w:pPr>
      <w:r w:rsidRPr="00E00B35">
        <w:rPr>
          <w:szCs w:val="20"/>
        </w:rPr>
        <w:t>INNE ZADANIA</w:t>
      </w:r>
      <w:bookmarkEnd w:id="309"/>
      <w:bookmarkEnd w:id="310"/>
    </w:p>
    <w:p w:rsidR="00CA14AB" w:rsidRPr="00E00B35" w:rsidRDefault="00CA14AB" w:rsidP="00E00B35">
      <w:pPr>
        <w:spacing w:after="0" w:line="312" w:lineRule="auto"/>
        <w:rPr>
          <w:szCs w:val="20"/>
        </w:rPr>
      </w:pPr>
      <w:r w:rsidRPr="00E00B35">
        <w:rPr>
          <w:szCs w:val="20"/>
        </w:rPr>
        <w:t xml:space="preserve">Opracowano 8 projektów uchwał Rady Miejskiej, z tego: 5 dotyczących zakładów opieki zdrowotnej, dla których organem założycielskim jest Gmina Wrocław, 1 w sprawie uchwalenia Gminnego Programu Profilaktyki Rozwiązywania Problemów Alkoholowych oraz Przeciwdziałania Narkomanii dla miasta Wrocławia na rok 2021, 1 w sprawie przesunięcia terminu wniesienia 3 raty opłaty za korzystanie z zezwoleń na sprzedaż napojów alkoholowych przeznaczonych do spożycia w miejscu sprzedaży oraz 1 dotyczący zmiany uchwały w sprawie ustalenia rozkładu godzin pracy aptek ogólnodostępnych na terenie Miasta Wrocławia. Opracowano 3 projekty obwieszczeń z tekstami jednolitymi uchwał Rady Miejskiej. </w:t>
      </w:r>
    </w:p>
    <w:p w:rsidR="00CA14AB" w:rsidRPr="00E00B35" w:rsidRDefault="00CA14AB" w:rsidP="00E00B35">
      <w:pPr>
        <w:spacing w:after="0" w:line="312" w:lineRule="auto"/>
        <w:rPr>
          <w:szCs w:val="20"/>
        </w:rPr>
      </w:pPr>
      <w:r w:rsidRPr="00E00B35">
        <w:rPr>
          <w:szCs w:val="20"/>
        </w:rPr>
        <w:t>Sporządzono 31 informacji dla Biura Rozwoju Wrocławia w sprawie miejscowych planów zagospodarowania przestrzennego.</w:t>
      </w:r>
    </w:p>
    <w:p w:rsidR="00CA14AB" w:rsidRPr="00E00B35" w:rsidRDefault="00CA14AB" w:rsidP="00E00B35">
      <w:pPr>
        <w:spacing w:after="0" w:line="312" w:lineRule="auto"/>
        <w:rPr>
          <w:szCs w:val="20"/>
        </w:rPr>
      </w:pPr>
      <w:r w:rsidRPr="00E00B35">
        <w:rPr>
          <w:szCs w:val="20"/>
        </w:rPr>
        <w:t xml:space="preserve">Prowadzono wykaz dziennych opiekunów, wpisano 29 opiekunów, wykreślono 14 opiekunów. </w:t>
      </w:r>
    </w:p>
    <w:p w:rsidR="00CA14AB" w:rsidRPr="00E00B35" w:rsidRDefault="00CA14AB" w:rsidP="00E00B35">
      <w:pPr>
        <w:spacing w:after="0" w:line="312" w:lineRule="auto"/>
        <w:rPr>
          <w:szCs w:val="20"/>
        </w:rPr>
      </w:pPr>
      <w:r w:rsidRPr="00E00B35">
        <w:rPr>
          <w:szCs w:val="20"/>
        </w:rPr>
        <w:t xml:space="preserve">Wydano 11 zaświadczeń o wpisie do Rejestru żłobków, 10 zaświadczeń o zmianie wpisu. Wydano 6 decyzji o wykreśleniu z Rejestru żłobków i klubów dziecięcych oraz 4 decyzje dotyczące udzielonych dotacji. </w:t>
      </w:r>
    </w:p>
    <w:p w:rsidR="00CA14AB" w:rsidRPr="00E00B35" w:rsidRDefault="00CA14AB" w:rsidP="00E00B35">
      <w:pPr>
        <w:spacing w:after="0" w:line="312" w:lineRule="auto"/>
        <w:rPr>
          <w:szCs w:val="20"/>
        </w:rPr>
      </w:pPr>
      <w:r w:rsidRPr="00E00B35">
        <w:rPr>
          <w:szCs w:val="20"/>
        </w:rPr>
        <w:t>Udzielono 3 odpowiedzi na wnioski o informację publiczną.</w:t>
      </w:r>
    </w:p>
    <w:p w:rsidR="00CA14AB" w:rsidRPr="00E00B35" w:rsidRDefault="00CA14AB" w:rsidP="00E00B35">
      <w:pPr>
        <w:spacing w:after="0" w:line="312" w:lineRule="auto"/>
        <w:rPr>
          <w:szCs w:val="20"/>
        </w:rPr>
      </w:pPr>
      <w:r w:rsidRPr="00E00B35">
        <w:rPr>
          <w:szCs w:val="20"/>
        </w:rPr>
        <w:lastRenderedPageBreak/>
        <w:t>W okresie od 7 maja do 18 czerwca 2020 r. przygotowywano dla Ministerstwa Rodziny, Pracy i Polityki Społecznej tygodniowe informacje o otwieraniu instytucji opieki nad dziećmi w wieku do lat 3 w związku z sytuacją epidemiczną.</w:t>
      </w:r>
    </w:p>
    <w:p w:rsidR="00CA14AB" w:rsidRPr="00E00B35" w:rsidRDefault="00CA14AB" w:rsidP="00E00B35">
      <w:pPr>
        <w:spacing w:after="0" w:line="312" w:lineRule="auto"/>
        <w:rPr>
          <w:szCs w:val="20"/>
        </w:rPr>
      </w:pPr>
      <w:r w:rsidRPr="00E00B35">
        <w:rPr>
          <w:szCs w:val="20"/>
        </w:rPr>
        <w:t>W okresie od 12 października 2020 r. do 31 grudnia 2020 przygotowywano dla Ministerstwa Rodziny i Polityki Społecznej tygodniowe informacje o funkcjonujących na terenie Gminy Wrocław instytucjach opieki nad dziećmi w wieku do lat 3 w zakresie czasowego lub całkowitego zawieszenia działalności w związku z sytuacją epidemiczną.</w:t>
      </w:r>
    </w:p>
    <w:p w:rsidR="005E6C69" w:rsidRPr="00E00B35" w:rsidRDefault="005E6C69" w:rsidP="00E00B35">
      <w:pPr>
        <w:pStyle w:val="Nagwek5"/>
        <w:rPr>
          <w:szCs w:val="20"/>
        </w:rPr>
      </w:pPr>
      <w:bookmarkStart w:id="311" w:name="_Toc72352401"/>
      <w:bookmarkStart w:id="312" w:name="_Toc72352835"/>
      <w:bookmarkStart w:id="313" w:name="_Toc72357848"/>
      <w:bookmarkStart w:id="314" w:name="_Toc72358002"/>
    </w:p>
    <w:p w:rsidR="00CA14AB" w:rsidRPr="00E00B35" w:rsidRDefault="00CA14AB" w:rsidP="00E00B35">
      <w:pPr>
        <w:pStyle w:val="Nagwek5"/>
        <w:rPr>
          <w:szCs w:val="20"/>
        </w:rPr>
      </w:pPr>
      <w:r w:rsidRPr="00E00B35">
        <w:rPr>
          <w:szCs w:val="20"/>
        </w:rPr>
        <w:t>WROCŁAWSKI ZESPÓŁ ŻŁOBKÓW</w:t>
      </w:r>
      <w:bookmarkEnd w:id="311"/>
      <w:bookmarkEnd w:id="312"/>
      <w:bookmarkEnd w:id="313"/>
      <w:bookmarkEnd w:id="314"/>
      <w:r w:rsidRPr="00E00B35">
        <w:rPr>
          <w:szCs w:val="20"/>
        </w:rPr>
        <w:t xml:space="preserve"> </w:t>
      </w:r>
    </w:p>
    <w:p w:rsidR="00CA14AB" w:rsidRPr="00E00B35" w:rsidRDefault="00CA14AB" w:rsidP="00E00B35">
      <w:pPr>
        <w:spacing w:after="0" w:line="312" w:lineRule="auto"/>
        <w:rPr>
          <w:szCs w:val="20"/>
        </w:rPr>
      </w:pPr>
      <w:bookmarkStart w:id="315" w:name="_Toc72352402"/>
      <w:bookmarkStart w:id="316" w:name="_Toc72352836"/>
      <w:r w:rsidRPr="00E00B35">
        <w:rPr>
          <w:szCs w:val="20"/>
        </w:rPr>
        <w:t>Działalność jednostki opiera się w szczególności na sprawowaniu opieki nad dziećmi do lat trzech w oparciu o przepisy ustawy z dnia 4 lutego  2011 r. (Dz.U. 2021.75 t. j.) oraz obsługą żłobków pod względem organizacyjno-technicznym, jak zamówienia publiczne, zapewnianie ciągłej obsługi techniczno-eksploatacyjnej, prowadzenie spraw finansowych i księgowych, pracowniczych, organizacyjnych, bezpieczeństwa i higieny pracy, przeciwpożarowych, sprawozdawczości.</w:t>
      </w:r>
      <w:bookmarkEnd w:id="315"/>
      <w:bookmarkEnd w:id="316"/>
      <w:r w:rsidRPr="00E00B35">
        <w:rPr>
          <w:szCs w:val="20"/>
        </w:rPr>
        <w:t xml:space="preserve"> </w:t>
      </w:r>
    </w:p>
    <w:p w:rsidR="00CA14AB" w:rsidRPr="00E00B35" w:rsidRDefault="00CA14AB" w:rsidP="00E00B35">
      <w:pPr>
        <w:spacing w:after="0" w:line="312" w:lineRule="auto"/>
        <w:rPr>
          <w:szCs w:val="20"/>
        </w:rPr>
      </w:pPr>
      <w:r w:rsidRPr="00E00B35">
        <w:rPr>
          <w:szCs w:val="20"/>
        </w:rPr>
        <w:t>W skład Wrocławskiego Zespołu Żłobków wchodzi 16 żłobków i 1 filia:</w:t>
      </w:r>
    </w:p>
    <w:p w:rsidR="00CA14AB" w:rsidRPr="00E00B35" w:rsidRDefault="00CA14AB" w:rsidP="00BC64AB">
      <w:pPr>
        <w:pStyle w:val="Akapitzlist"/>
        <w:numPr>
          <w:ilvl w:val="0"/>
          <w:numId w:val="187"/>
        </w:numPr>
        <w:spacing w:after="0" w:line="312" w:lineRule="auto"/>
        <w:rPr>
          <w:szCs w:val="20"/>
        </w:rPr>
      </w:pPr>
      <w:r w:rsidRPr="00E00B35">
        <w:rPr>
          <w:szCs w:val="20"/>
        </w:rPr>
        <w:t>Żłobek nr 1, ul. Lwowska 20;</w:t>
      </w:r>
    </w:p>
    <w:p w:rsidR="00CA14AB" w:rsidRPr="00E00B35" w:rsidRDefault="00CA14AB" w:rsidP="00BC64AB">
      <w:pPr>
        <w:pStyle w:val="Akapitzlist"/>
        <w:numPr>
          <w:ilvl w:val="0"/>
          <w:numId w:val="187"/>
        </w:numPr>
        <w:spacing w:after="0" w:line="312" w:lineRule="auto"/>
        <w:rPr>
          <w:szCs w:val="20"/>
        </w:rPr>
      </w:pPr>
      <w:r w:rsidRPr="00E00B35">
        <w:rPr>
          <w:szCs w:val="20"/>
        </w:rPr>
        <w:t>Żłobek nr 2, ul. Zemska 33;</w:t>
      </w:r>
    </w:p>
    <w:p w:rsidR="00CA14AB" w:rsidRPr="00E00B35" w:rsidRDefault="00CA14AB" w:rsidP="00BC64AB">
      <w:pPr>
        <w:pStyle w:val="Akapitzlist"/>
        <w:numPr>
          <w:ilvl w:val="0"/>
          <w:numId w:val="187"/>
        </w:numPr>
        <w:spacing w:after="0" w:line="312" w:lineRule="auto"/>
        <w:rPr>
          <w:szCs w:val="20"/>
        </w:rPr>
      </w:pPr>
      <w:r w:rsidRPr="00E00B35">
        <w:rPr>
          <w:szCs w:val="20"/>
        </w:rPr>
        <w:t>Żłobek nr 3, ul. Białowieska 33;</w:t>
      </w:r>
    </w:p>
    <w:p w:rsidR="00CA14AB" w:rsidRPr="00E00B35" w:rsidRDefault="00CA14AB" w:rsidP="00BC64AB">
      <w:pPr>
        <w:pStyle w:val="Akapitzlist"/>
        <w:numPr>
          <w:ilvl w:val="0"/>
          <w:numId w:val="187"/>
        </w:numPr>
        <w:spacing w:after="0" w:line="312" w:lineRule="auto"/>
        <w:rPr>
          <w:szCs w:val="20"/>
        </w:rPr>
      </w:pPr>
      <w:r w:rsidRPr="00E00B35">
        <w:rPr>
          <w:szCs w:val="20"/>
        </w:rPr>
        <w:t>Żłobek nr 4, ul. Kłodnicka 25;</w:t>
      </w:r>
    </w:p>
    <w:p w:rsidR="00CA14AB" w:rsidRPr="00E00B35" w:rsidRDefault="00CA14AB" w:rsidP="00BC64AB">
      <w:pPr>
        <w:pStyle w:val="Akapitzlist"/>
        <w:numPr>
          <w:ilvl w:val="0"/>
          <w:numId w:val="187"/>
        </w:numPr>
        <w:spacing w:after="0" w:line="312" w:lineRule="auto"/>
        <w:rPr>
          <w:szCs w:val="20"/>
        </w:rPr>
      </w:pPr>
      <w:r w:rsidRPr="00E00B35">
        <w:rPr>
          <w:szCs w:val="20"/>
        </w:rPr>
        <w:t xml:space="preserve">Żłobek nr 5, ul. Dokerska 5; </w:t>
      </w:r>
    </w:p>
    <w:p w:rsidR="00CA14AB" w:rsidRPr="00E00B35" w:rsidRDefault="00CA14AB" w:rsidP="00BC64AB">
      <w:pPr>
        <w:pStyle w:val="Akapitzlist"/>
        <w:numPr>
          <w:ilvl w:val="0"/>
          <w:numId w:val="187"/>
        </w:numPr>
        <w:spacing w:after="0" w:line="312" w:lineRule="auto"/>
        <w:rPr>
          <w:szCs w:val="20"/>
        </w:rPr>
      </w:pPr>
      <w:r w:rsidRPr="00E00B35">
        <w:rPr>
          <w:szCs w:val="20"/>
        </w:rPr>
        <w:t>Filia Żłobka nr 5, ul. K. i M. Barskich 45;</w:t>
      </w:r>
    </w:p>
    <w:p w:rsidR="00CA14AB" w:rsidRPr="00E00B35" w:rsidRDefault="00CA14AB" w:rsidP="00BC64AB">
      <w:pPr>
        <w:pStyle w:val="Akapitzlist"/>
        <w:numPr>
          <w:ilvl w:val="0"/>
          <w:numId w:val="187"/>
        </w:numPr>
        <w:spacing w:after="0" w:line="312" w:lineRule="auto"/>
        <w:rPr>
          <w:szCs w:val="20"/>
        </w:rPr>
      </w:pPr>
      <w:r w:rsidRPr="00E00B35">
        <w:rPr>
          <w:szCs w:val="20"/>
        </w:rPr>
        <w:t>Żłobek nr 6, ul. Krowia 1;</w:t>
      </w:r>
    </w:p>
    <w:p w:rsidR="00CA14AB" w:rsidRPr="00E00B35" w:rsidRDefault="00CA14AB" w:rsidP="00BC64AB">
      <w:pPr>
        <w:pStyle w:val="Akapitzlist"/>
        <w:numPr>
          <w:ilvl w:val="0"/>
          <w:numId w:val="187"/>
        </w:numPr>
        <w:spacing w:after="0" w:line="312" w:lineRule="auto"/>
        <w:rPr>
          <w:szCs w:val="20"/>
        </w:rPr>
      </w:pPr>
      <w:r w:rsidRPr="00E00B35">
        <w:rPr>
          <w:szCs w:val="20"/>
        </w:rPr>
        <w:t>Żłobek nr 7, ul. Drukarska 9;</w:t>
      </w:r>
    </w:p>
    <w:p w:rsidR="00CA14AB" w:rsidRPr="00E00B35" w:rsidRDefault="00CA14AB" w:rsidP="00BC64AB">
      <w:pPr>
        <w:pStyle w:val="Akapitzlist"/>
        <w:numPr>
          <w:ilvl w:val="0"/>
          <w:numId w:val="187"/>
        </w:numPr>
        <w:spacing w:after="0" w:line="312" w:lineRule="auto"/>
        <w:rPr>
          <w:szCs w:val="20"/>
        </w:rPr>
      </w:pPr>
      <w:r w:rsidRPr="00E00B35">
        <w:rPr>
          <w:szCs w:val="20"/>
        </w:rPr>
        <w:t>Żłobek nr 8, ul. Sądowa 6;</w:t>
      </w:r>
    </w:p>
    <w:p w:rsidR="00CA14AB" w:rsidRPr="00E00B35" w:rsidRDefault="00CA14AB" w:rsidP="00BC64AB">
      <w:pPr>
        <w:pStyle w:val="Akapitzlist"/>
        <w:numPr>
          <w:ilvl w:val="0"/>
          <w:numId w:val="187"/>
        </w:numPr>
        <w:spacing w:after="0" w:line="312" w:lineRule="auto"/>
        <w:rPr>
          <w:szCs w:val="20"/>
        </w:rPr>
      </w:pPr>
      <w:r w:rsidRPr="00E00B35">
        <w:rPr>
          <w:szCs w:val="20"/>
        </w:rPr>
        <w:t>Żłobek nr 9, ul. Wrońskiego 13d;</w:t>
      </w:r>
    </w:p>
    <w:p w:rsidR="00CA14AB" w:rsidRPr="00E00B35" w:rsidRDefault="00CA14AB" w:rsidP="00BC64AB">
      <w:pPr>
        <w:pStyle w:val="Akapitzlist"/>
        <w:numPr>
          <w:ilvl w:val="0"/>
          <w:numId w:val="187"/>
        </w:numPr>
        <w:spacing w:after="0" w:line="312" w:lineRule="auto"/>
        <w:rPr>
          <w:szCs w:val="20"/>
        </w:rPr>
      </w:pPr>
      <w:r w:rsidRPr="00E00B35">
        <w:rPr>
          <w:szCs w:val="20"/>
        </w:rPr>
        <w:t>Żłobek nr 10, ul. Henryka Brodatego 17;</w:t>
      </w:r>
    </w:p>
    <w:p w:rsidR="00CA14AB" w:rsidRPr="00E00B35" w:rsidRDefault="00CA14AB" w:rsidP="00BC64AB">
      <w:pPr>
        <w:pStyle w:val="Akapitzlist"/>
        <w:numPr>
          <w:ilvl w:val="0"/>
          <w:numId w:val="187"/>
        </w:numPr>
        <w:spacing w:after="0" w:line="312" w:lineRule="auto"/>
        <w:rPr>
          <w:szCs w:val="20"/>
        </w:rPr>
      </w:pPr>
      <w:r w:rsidRPr="00E00B35">
        <w:rPr>
          <w:szCs w:val="20"/>
        </w:rPr>
        <w:t>Żłobek nr 11, ul. Hubska 39;</w:t>
      </w:r>
    </w:p>
    <w:p w:rsidR="00CA14AB" w:rsidRPr="00E00B35" w:rsidRDefault="00CA14AB" w:rsidP="00BC64AB">
      <w:pPr>
        <w:pStyle w:val="Akapitzlist"/>
        <w:numPr>
          <w:ilvl w:val="0"/>
          <w:numId w:val="187"/>
        </w:numPr>
        <w:spacing w:after="0" w:line="312" w:lineRule="auto"/>
        <w:rPr>
          <w:szCs w:val="20"/>
        </w:rPr>
      </w:pPr>
      <w:r w:rsidRPr="00E00B35">
        <w:rPr>
          <w:szCs w:val="20"/>
        </w:rPr>
        <w:t>Żłobek nr 12, ul. Jugosłowiańska 85a;</w:t>
      </w:r>
    </w:p>
    <w:p w:rsidR="00CA14AB" w:rsidRPr="00E00B35" w:rsidRDefault="00CA14AB" w:rsidP="00BC64AB">
      <w:pPr>
        <w:pStyle w:val="Akapitzlist"/>
        <w:numPr>
          <w:ilvl w:val="0"/>
          <w:numId w:val="187"/>
        </w:numPr>
        <w:spacing w:after="0" w:line="312" w:lineRule="auto"/>
        <w:rPr>
          <w:szCs w:val="20"/>
        </w:rPr>
      </w:pPr>
      <w:r w:rsidRPr="00E00B35">
        <w:rPr>
          <w:szCs w:val="20"/>
        </w:rPr>
        <w:t>Żłobek nr 13, ul. Wieczysta 107;</w:t>
      </w:r>
    </w:p>
    <w:p w:rsidR="00CA14AB" w:rsidRPr="00E00B35" w:rsidRDefault="00CA14AB" w:rsidP="00BC64AB">
      <w:pPr>
        <w:pStyle w:val="Akapitzlist"/>
        <w:numPr>
          <w:ilvl w:val="0"/>
          <w:numId w:val="187"/>
        </w:numPr>
        <w:spacing w:after="0" w:line="312" w:lineRule="auto"/>
        <w:rPr>
          <w:szCs w:val="20"/>
        </w:rPr>
      </w:pPr>
      <w:r w:rsidRPr="00E00B35">
        <w:rPr>
          <w:szCs w:val="20"/>
        </w:rPr>
        <w:t>Żłobek nr 14, ul. Mulicka 4c;</w:t>
      </w:r>
    </w:p>
    <w:p w:rsidR="00CA14AB" w:rsidRPr="00E00B35" w:rsidRDefault="00CA14AB" w:rsidP="00BC64AB">
      <w:pPr>
        <w:pStyle w:val="Akapitzlist"/>
        <w:numPr>
          <w:ilvl w:val="0"/>
          <w:numId w:val="187"/>
        </w:numPr>
        <w:spacing w:after="0" w:line="312" w:lineRule="auto"/>
        <w:rPr>
          <w:szCs w:val="20"/>
        </w:rPr>
      </w:pPr>
      <w:r w:rsidRPr="00E00B35">
        <w:rPr>
          <w:szCs w:val="20"/>
        </w:rPr>
        <w:t>Żłobek nr 15, ul. Łukowa 37;</w:t>
      </w:r>
    </w:p>
    <w:p w:rsidR="00CA14AB" w:rsidRPr="00E00B35" w:rsidRDefault="00CA14AB" w:rsidP="00BC64AB">
      <w:pPr>
        <w:pStyle w:val="Akapitzlist"/>
        <w:numPr>
          <w:ilvl w:val="0"/>
          <w:numId w:val="187"/>
        </w:numPr>
        <w:spacing w:after="0" w:line="312" w:lineRule="auto"/>
        <w:rPr>
          <w:szCs w:val="20"/>
        </w:rPr>
      </w:pPr>
      <w:r w:rsidRPr="00E00B35">
        <w:rPr>
          <w:szCs w:val="20"/>
        </w:rPr>
        <w:t>Żłobek nr 16, ul. Sygnałowa 23.</w:t>
      </w:r>
    </w:p>
    <w:p w:rsidR="00CA14AB" w:rsidRPr="00E00B35" w:rsidRDefault="00CA14AB" w:rsidP="00E00B35">
      <w:pPr>
        <w:spacing w:after="0" w:line="312" w:lineRule="auto"/>
        <w:rPr>
          <w:szCs w:val="20"/>
        </w:rPr>
      </w:pPr>
      <w:r w:rsidRPr="00E00B35">
        <w:rPr>
          <w:szCs w:val="20"/>
        </w:rPr>
        <w:t>W 2020 r. oddano do użytku Żłobek nr 16 przy ul. Sygnałowej 23 na osiedlu Jagodno.             W budynku znajduje się  również siedziba  filii Miejskiej Biblioteki Publicznej  i sala wielofunkcyjna edukacyjno-konferencyjna uwzględniająca potrzeby okolicznych mieszkańców i Rady Osiedla Jagodno.</w:t>
      </w:r>
    </w:p>
    <w:p w:rsidR="00CA14AB" w:rsidRPr="00E00B35" w:rsidRDefault="00CA14AB" w:rsidP="00E00B35">
      <w:pPr>
        <w:spacing w:after="0" w:line="312" w:lineRule="auto"/>
        <w:rPr>
          <w:szCs w:val="20"/>
        </w:rPr>
      </w:pPr>
      <w:r w:rsidRPr="00E00B35">
        <w:rPr>
          <w:szCs w:val="20"/>
        </w:rPr>
        <w:t>W obiekcie zastosowano proekologiczne rozwiązania w zakresie odnawialnych źródeł energii tj.:</w:t>
      </w:r>
    </w:p>
    <w:p w:rsidR="00CA14AB" w:rsidRPr="00E00B35" w:rsidRDefault="00CA14AB" w:rsidP="00BC64AB">
      <w:pPr>
        <w:pStyle w:val="Akapitzlist"/>
        <w:numPr>
          <w:ilvl w:val="0"/>
          <w:numId w:val="188"/>
        </w:numPr>
        <w:spacing w:after="0" w:line="312" w:lineRule="auto"/>
        <w:rPr>
          <w:szCs w:val="20"/>
        </w:rPr>
      </w:pPr>
      <w:r w:rsidRPr="00E00B35">
        <w:rPr>
          <w:szCs w:val="20"/>
        </w:rPr>
        <w:t>POMPA CIEPŁA POWIETRZNA – o mocy nominalnej 14kW do wytwarzania ciepłej wody użytkowej, zamontowana na dachu budynku;</w:t>
      </w:r>
    </w:p>
    <w:p w:rsidR="00CA14AB" w:rsidRPr="00E00B35" w:rsidRDefault="00CA14AB" w:rsidP="00BC64AB">
      <w:pPr>
        <w:pStyle w:val="Akapitzlist"/>
        <w:numPr>
          <w:ilvl w:val="0"/>
          <w:numId w:val="188"/>
        </w:numPr>
        <w:spacing w:after="0" w:line="312" w:lineRule="auto"/>
        <w:rPr>
          <w:szCs w:val="20"/>
        </w:rPr>
      </w:pPr>
      <w:r w:rsidRPr="00E00B35">
        <w:rPr>
          <w:szCs w:val="20"/>
        </w:rPr>
        <w:lastRenderedPageBreak/>
        <w:t xml:space="preserve">INSTALACJA FOTOWOLTAICZNA docelowo o mocy ~17 kW, stanowiąca źródło energii elektrycznej, która będzie wykorzystywana na potrzeby własne budynku; </w:t>
      </w:r>
    </w:p>
    <w:p w:rsidR="00CA14AB" w:rsidRPr="00E00B35" w:rsidRDefault="00CA14AB" w:rsidP="00BC64AB">
      <w:pPr>
        <w:pStyle w:val="Akapitzlist"/>
        <w:numPr>
          <w:ilvl w:val="0"/>
          <w:numId w:val="188"/>
        </w:numPr>
        <w:spacing w:after="0" w:line="312" w:lineRule="auto"/>
        <w:rPr>
          <w:szCs w:val="20"/>
        </w:rPr>
      </w:pPr>
      <w:r w:rsidRPr="00E00B35">
        <w:rPr>
          <w:szCs w:val="20"/>
        </w:rPr>
        <w:t>WODY DESZCZOWE – kompleksowe zagospodarowanie wód deszczowych/opadowych tj. skrzynki rozsączające, studnie chłonne, ogród deszczowy zasilany z wód opadowych boiska wielofunkcyjnego.</w:t>
      </w:r>
    </w:p>
    <w:p w:rsidR="00CA14AB" w:rsidRPr="00E00B35" w:rsidRDefault="00CA14AB" w:rsidP="00E00B35">
      <w:pPr>
        <w:spacing w:after="0" w:line="312" w:lineRule="auto"/>
        <w:rPr>
          <w:szCs w:val="20"/>
        </w:rPr>
      </w:pPr>
      <w:r w:rsidRPr="00E00B35">
        <w:rPr>
          <w:szCs w:val="20"/>
        </w:rPr>
        <w:t xml:space="preserve">Wartość inwestycji wyniosła 16 273 000 zł. Koszty utrzymania żłobka pokrywane są         z projektu „Mamo tato wróć do pracy”. Projekt jest współfinansowany ze Środków Europejskiego Funduszy Społecznego w ramach Regionalnego Programu Operacyjnego Województwa Dolnośląskiego na lata 2014-2020. </w:t>
      </w:r>
    </w:p>
    <w:p w:rsidR="00CA14AB" w:rsidRPr="00E00B35" w:rsidRDefault="00CA14AB" w:rsidP="00E00B35">
      <w:pPr>
        <w:spacing w:after="0" w:line="312" w:lineRule="auto"/>
        <w:rPr>
          <w:szCs w:val="20"/>
        </w:rPr>
      </w:pPr>
      <w:r w:rsidRPr="00E00B35">
        <w:rPr>
          <w:szCs w:val="20"/>
        </w:rPr>
        <w:t xml:space="preserve">Placówka rozpoczęła świadczenie usług 1 września 2020 r. W Żłobku nr 16 uruchomiono 220 miejsc dla dzieci. </w:t>
      </w:r>
    </w:p>
    <w:p w:rsidR="00CA14AB" w:rsidRPr="00E00B35" w:rsidRDefault="00CA14AB" w:rsidP="00E00B35">
      <w:pPr>
        <w:spacing w:after="0" w:line="312" w:lineRule="auto"/>
        <w:rPr>
          <w:szCs w:val="20"/>
        </w:rPr>
      </w:pPr>
      <w:r w:rsidRPr="00E00B35">
        <w:rPr>
          <w:szCs w:val="20"/>
        </w:rPr>
        <w:t>Celem projektu jest:</w:t>
      </w:r>
    </w:p>
    <w:p w:rsidR="00CA14AB" w:rsidRPr="00E00B35" w:rsidRDefault="00CA14AB" w:rsidP="00BC64AB">
      <w:pPr>
        <w:pStyle w:val="Akapitzlist"/>
        <w:numPr>
          <w:ilvl w:val="0"/>
          <w:numId w:val="189"/>
        </w:numPr>
        <w:spacing w:after="0" w:line="312" w:lineRule="auto"/>
        <w:rPr>
          <w:szCs w:val="20"/>
        </w:rPr>
      </w:pPr>
      <w:r w:rsidRPr="00E00B35">
        <w:rPr>
          <w:szCs w:val="20"/>
        </w:rPr>
        <w:t xml:space="preserve">utworzenie nowych miejsc opieki w żłobkach, zakup wyposażenia i pomocy dydaktycznych, zapewnienie środków na bieżące funkcjonowanie przez 24 miesięcy, wynagrodzeń opiekunów i kadry zarządzającej; </w:t>
      </w:r>
    </w:p>
    <w:p w:rsidR="00CA14AB" w:rsidRPr="00E00B35" w:rsidRDefault="00CA14AB" w:rsidP="00BC64AB">
      <w:pPr>
        <w:pStyle w:val="Akapitzlist"/>
        <w:numPr>
          <w:ilvl w:val="0"/>
          <w:numId w:val="189"/>
        </w:numPr>
        <w:spacing w:after="0" w:line="312" w:lineRule="auto"/>
        <w:rPr>
          <w:szCs w:val="20"/>
        </w:rPr>
      </w:pPr>
      <w:r w:rsidRPr="00E00B35">
        <w:rPr>
          <w:szCs w:val="20"/>
        </w:rPr>
        <w:t>stworzenie możliwości podjęcia pracy zawodowej osobom bezrobotnym lub biernym zawodowo poprzez objęcie opieką żłobkową dzieci w wieku do lat 3, znajdujących się aktualnie pod ich opieką, co uniemożliwia im poszukiwanie  i znalezienie zatrudnienia.</w:t>
      </w:r>
    </w:p>
    <w:p w:rsidR="00CA14AB" w:rsidRPr="00E00B35" w:rsidRDefault="00CA14AB" w:rsidP="00E00B35">
      <w:pPr>
        <w:spacing w:after="0" w:line="312" w:lineRule="auto"/>
        <w:rPr>
          <w:szCs w:val="20"/>
        </w:rPr>
      </w:pPr>
      <w:r w:rsidRPr="00E00B35">
        <w:rPr>
          <w:szCs w:val="20"/>
        </w:rPr>
        <w:t>Wartość projektu: 9 421 140,61 zł</w:t>
      </w:r>
    </w:p>
    <w:p w:rsidR="00CA14AB" w:rsidRPr="00E00B35" w:rsidRDefault="00CA14AB" w:rsidP="00E00B35">
      <w:pPr>
        <w:spacing w:after="0" w:line="312" w:lineRule="auto"/>
        <w:rPr>
          <w:szCs w:val="20"/>
        </w:rPr>
      </w:pPr>
      <w:r w:rsidRPr="00E00B35">
        <w:rPr>
          <w:szCs w:val="20"/>
        </w:rPr>
        <w:t>Wysokość dofinansowania: 8 007 969,51 zł</w:t>
      </w:r>
    </w:p>
    <w:p w:rsidR="00CA14AB" w:rsidRPr="00E00B35" w:rsidRDefault="00CA14AB" w:rsidP="00E00B35">
      <w:pPr>
        <w:spacing w:after="0" w:line="312" w:lineRule="auto"/>
        <w:rPr>
          <w:szCs w:val="20"/>
        </w:rPr>
      </w:pPr>
      <w:r w:rsidRPr="00E00B35">
        <w:rPr>
          <w:szCs w:val="20"/>
        </w:rPr>
        <w:t>Okres realizacji: 1 kwietnia 2020 r. do 31 sierpnia 2022 r.</w:t>
      </w:r>
    </w:p>
    <w:p w:rsidR="00CA14AB" w:rsidRPr="00E00B35" w:rsidRDefault="00CA14AB" w:rsidP="00E00B35">
      <w:pPr>
        <w:spacing w:after="0" w:line="312" w:lineRule="auto"/>
        <w:rPr>
          <w:szCs w:val="20"/>
        </w:rPr>
      </w:pPr>
      <w:r w:rsidRPr="00E00B35">
        <w:rPr>
          <w:szCs w:val="20"/>
        </w:rPr>
        <w:t>Kwota wydatkowana w 2020 r.: 1 337 210,19 zł, w tym dofinansowanie 1 111 124,98 zł</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4379595" cy="3537585"/>
            <wp:effectExtent l="19050" t="0" r="1905" b="0"/>
            <wp:docPr id="111" name="Obraz 12" descr="Prezydent Wrocławia Jacek Sutryk, kierownik Żłobka nr 16 i opiekunki w holu Żłobka nr 16. Wszyscy w maseczkach na twarz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ezydent Wrocławia Jacek Sutryk, kierownik Żłobka nr 16 i opiekunki w holu Żłobka nr 16. Wszyscy w maseczkach na twarzach."/>
                    <pic:cNvPicPr>
                      <a:picLocks noChangeAspect="1" noChangeArrowheads="1"/>
                    </pic:cNvPicPr>
                  </pic:nvPicPr>
                  <pic:blipFill>
                    <a:blip r:embed="rId106" cstate="print"/>
                    <a:srcRect l="1077" t="17119" b="19411"/>
                    <a:stretch>
                      <a:fillRect/>
                    </a:stretch>
                  </pic:blipFill>
                  <pic:spPr bwMode="auto">
                    <a:xfrm>
                      <a:off x="0" y="0"/>
                      <a:ext cx="4379595" cy="3537585"/>
                    </a:xfrm>
                    <a:prstGeom prst="rect">
                      <a:avLst/>
                    </a:prstGeom>
                    <a:solidFill>
                      <a:srgbClr val="FFFFFF"/>
                    </a:solidFill>
                    <a:ln w="9525">
                      <a:noFill/>
                      <a:miter lim="800000"/>
                      <a:headEnd/>
                      <a:tailEnd/>
                    </a:ln>
                  </pic:spPr>
                </pic:pic>
              </a:graphicData>
            </a:graphic>
          </wp:inline>
        </w:drawing>
      </w:r>
      <w:r w:rsidRPr="00E00B35">
        <w:rPr>
          <w:rFonts w:eastAsia="Verdana"/>
          <w:szCs w:val="20"/>
        </w:rPr>
        <w:t xml:space="preserve">               </w:t>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1</w:t>
      </w:r>
      <w:r w:rsidR="00573162" w:rsidRPr="00E00B35">
        <w:rPr>
          <w:szCs w:val="20"/>
        </w:rPr>
        <w:fldChar w:fldCharType="end"/>
      </w:r>
      <w:r w:rsidRPr="00E00B35">
        <w:rPr>
          <w:szCs w:val="20"/>
        </w:rPr>
        <w:t xml:space="preserve"> Uroczyste otwarcie Żłobka nr 16</w:t>
      </w:r>
    </w:p>
    <w:p w:rsidR="00CA14AB" w:rsidRPr="00E00B35" w:rsidRDefault="00CA14AB" w:rsidP="00E00B35">
      <w:pPr>
        <w:spacing w:after="0" w:line="312" w:lineRule="auto"/>
        <w:rPr>
          <w:szCs w:val="20"/>
        </w:rPr>
      </w:pPr>
      <w:r w:rsidRPr="00E00B35">
        <w:rPr>
          <w:szCs w:val="20"/>
        </w:rPr>
        <w:t>W kolejnych latach Miasto zwiększa liczbę miejsc w żłobkach Wrocławskiego Zespołu Żłobków:</w:t>
      </w:r>
    </w:p>
    <w:tbl>
      <w:tblPr>
        <w:tblW w:w="0" w:type="auto"/>
        <w:jc w:val="center"/>
        <w:tblLayout w:type="fixed"/>
        <w:tblLook w:val="0000"/>
      </w:tblPr>
      <w:tblGrid>
        <w:gridCol w:w="850"/>
        <w:gridCol w:w="2977"/>
        <w:gridCol w:w="4262"/>
      </w:tblGrid>
      <w:tr w:rsidR="00CA14AB" w:rsidRPr="00E00B35" w:rsidTr="00CA14AB">
        <w:trPr>
          <w:trHeight w:val="454"/>
          <w:jc w:val="center"/>
        </w:trPr>
        <w:tc>
          <w:tcPr>
            <w:tcW w:w="85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lastRenderedPageBreak/>
              <w:t>l.p.</w:t>
            </w:r>
          </w:p>
        </w:tc>
        <w:tc>
          <w:tcPr>
            <w:tcW w:w="2977"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rok</w:t>
            </w:r>
          </w:p>
        </w:tc>
        <w:tc>
          <w:tcPr>
            <w:tcW w:w="4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ogólna liczba miejsc w żłobkach</w:t>
            </w:r>
          </w:p>
        </w:tc>
      </w:tr>
      <w:tr w:rsidR="00CA14AB" w:rsidRPr="00E00B35" w:rsidTr="00CA14AB">
        <w:trPr>
          <w:trHeight w:val="397"/>
          <w:jc w:val="center"/>
        </w:trPr>
        <w:tc>
          <w:tcPr>
            <w:tcW w:w="85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2977"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2017</w:t>
            </w:r>
          </w:p>
        </w:tc>
        <w:tc>
          <w:tcPr>
            <w:tcW w:w="4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2091</w:t>
            </w:r>
          </w:p>
        </w:tc>
      </w:tr>
      <w:tr w:rsidR="00CA14AB" w:rsidRPr="00E00B35" w:rsidTr="00CA14AB">
        <w:trPr>
          <w:trHeight w:val="397"/>
          <w:jc w:val="center"/>
        </w:trPr>
        <w:tc>
          <w:tcPr>
            <w:tcW w:w="85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2977"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2018</w:t>
            </w:r>
          </w:p>
        </w:tc>
        <w:tc>
          <w:tcPr>
            <w:tcW w:w="4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2123</w:t>
            </w:r>
          </w:p>
        </w:tc>
      </w:tr>
      <w:tr w:rsidR="00CA14AB" w:rsidRPr="00E00B35" w:rsidTr="00CA14AB">
        <w:trPr>
          <w:trHeight w:val="397"/>
          <w:jc w:val="center"/>
        </w:trPr>
        <w:tc>
          <w:tcPr>
            <w:tcW w:w="85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2977"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2019</w:t>
            </w:r>
          </w:p>
        </w:tc>
        <w:tc>
          <w:tcPr>
            <w:tcW w:w="4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2155</w:t>
            </w:r>
          </w:p>
        </w:tc>
      </w:tr>
      <w:tr w:rsidR="00CA14AB" w:rsidRPr="00E00B35" w:rsidTr="00CA14AB">
        <w:trPr>
          <w:trHeight w:val="397"/>
          <w:jc w:val="center"/>
        </w:trPr>
        <w:tc>
          <w:tcPr>
            <w:tcW w:w="85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w:t>
            </w:r>
          </w:p>
        </w:tc>
        <w:tc>
          <w:tcPr>
            <w:tcW w:w="2977"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2020</w:t>
            </w:r>
          </w:p>
        </w:tc>
        <w:tc>
          <w:tcPr>
            <w:tcW w:w="4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2375</w:t>
            </w:r>
          </w:p>
        </w:tc>
      </w:tr>
    </w:tbl>
    <w:p w:rsidR="009A5BCE" w:rsidRPr="00E00B35" w:rsidRDefault="009A5BCE"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Od 1 września Żłobek nr 6 przy ul. Krowiej 1 przechodzi gruntowną modernizację. Jest to  etap II i III  remontu, który obejmuje przebudowę pomieszczeń grup dziecięcych, wymianę instalacji sanitarnych i elektrycznych oraz usprawnienie systemu ogrzewania     i wentylacji. W zakresie elewacji budynku, planowane jest docieplenie ścian i dachu oraz częściowa wymiana stolarki. Zagospodarowanie terenu obejmuje wymianę ogrodzenia      i budowę nowego placu zabaw, budowę śmietnika, przebudowę wjazdu na posesję           i nasadzenia zieleni. Wartość robót </w:t>
      </w:r>
      <w:r w:rsidRPr="00E00B35">
        <w:rPr>
          <w:rFonts w:eastAsia="NSimSun"/>
          <w:szCs w:val="20"/>
        </w:rPr>
        <w:t>wynosi</w:t>
      </w:r>
      <w:r w:rsidRPr="00E00B35">
        <w:rPr>
          <w:szCs w:val="20"/>
        </w:rPr>
        <w:t xml:space="preserve"> 2 604 190 złotych</w:t>
      </w:r>
    </w:p>
    <w:p w:rsidR="005E6C69" w:rsidRPr="00E00B35" w:rsidRDefault="005E6C69" w:rsidP="00E00B35">
      <w:pPr>
        <w:pStyle w:val="Nagwek5"/>
        <w:rPr>
          <w:szCs w:val="20"/>
        </w:rPr>
      </w:pPr>
      <w:bookmarkStart w:id="317" w:name="_Toc72352403"/>
      <w:bookmarkStart w:id="318" w:name="_Toc72352837"/>
    </w:p>
    <w:p w:rsidR="00CA14AB" w:rsidRPr="00E00B35" w:rsidRDefault="00CA14AB" w:rsidP="00E00B35">
      <w:pPr>
        <w:pStyle w:val="Nagwek5"/>
        <w:rPr>
          <w:szCs w:val="20"/>
        </w:rPr>
      </w:pPr>
      <w:r w:rsidRPr="00E00B35">
        <w:rPr>
          <w:szCs w:val="20"/>
        </w:rPr>
        <w:t>ELEKTRONICZNA REKRUTACJA DO ŻŁOBKÓW</w:t>
      </w:r>
      <w:bookmarkEnd w:id="317"/>
      <w:bookmarkEnd w:id="318"/>
    </w:p>
    <w:p w:rsidR="00CA14AB" w:rsidRPr="00E00B35" w:rsidRDefault="00CA14AB" w:rsidP="00E00B35">
      <w:pPr>
        <w:spacing w:after="0" w:line="312" w:lineRule="auto"/>
        <w:rPr>
          <w:szCs w:val="20"/>
        </w:rPr>
      </w:pPr>
      <w:r w:rsidRPr="00E00B35">
        <w:rPr>
          <w:szCs w:val="20"/>
        </w:rPr>
        <w:t xml:space="preserve">Rekrutacja odbywa się w systemie ciągłym, całorocznym. Wnioski można składać przez cały rok, a dzieci kwalifikowane są do żłobków w miarę zwalniania się miejsc. </w:t>
      </w:r>
    </w:p>
    <w:p w:rsidR="00CA14AB" w:rsidRPr="00E00B35" w:rsidRDefault="00CA14AB" w:rsidP="00E00B35">
      <w:pPr>
        <w:spacing w:after="0" w:line="312" w:lineRule="auto"/>
        <w:rPr>
          <w:szCs w:val="20"/>
        </w:rPr>
      </w:pPr>
      <w:r w:rsidRPr="00E00B35">
        <w:rPr>
          <w:szCs w:val="20"/>
        </w:rPr>
        <w:t>Od września – w związku ze zmianą roku żłobkowego (opiekuńczego) – w żłobkach zwalnia się wiele miejsc, ponieważ dzieci przechodzą do przedszkoli lub zmieniają grupy wiekowe na starsze. Dlatego na uwolnioną pulę można jednorazowo kwalifikować większą liczbę dzieci oczekujących na przyjęcie. W tym celu, system rekrutacyjny jest aktualizowany o dane zawierające uwolnione i nowe miejsca w żłobkach oraz aktualne grupy, a dzieci kwalifikowane są na wolne miejsca w rekrutacji terminowej (jednorazowej), której wyniki podawane są do wiadomości w czerwcu. W roku 2020, ze względu na stan epidemii wyniki zostały ogłoszone 1 lipca.</w:t>
      </w:r>
    </w:p>
    <w:p w:rsidR="00CA14AB" w:rsidRPr="00E00B35" w:rsidRDefault="00CA14AB" w:rsidP="00E00B35">
      <w:pPr>
        <w:spacing w:after="0" w:line="312" w:lineRule="auto"/>
        <w:rPr>
          <w:szCs w:val="20"/>
        </w:rPr>
      </w:pPr>
      <w:r w:rsidRPr="00E00B35">
        <w:rPr>
          <w:szCs w:val="20"/>
        </w:rPr>
        <w:t>W rekrutacji w 2020 roku uczestniczyło 140 żłobków i klubów dziecięcych w tym:</w:t>
      </w:r>
    </w:p>
    <w:p w:rsidR="00CA14AB" w:rsidRPr="00E00B35" w:rsidRDefault="00CA14AB" w:rsidP="00BC64AB">
      <w:pPr>
        <w:pStyle w:val="Akapitzlist"/>
        <w:numPr>
          <w:ilvl w:val="0"/>
          <w:numId w:val="190"/>
        </w:numPr>
        <w:spacing w:after="0" w:line="312" w:lineRule="auto"/>
        <w:rPr>
          <w:szCs w:val="20"/>
        </w:rPr>
      </w:pPr>
      <w:r w:rsidRPr="00E00B35">
        <w:rPr>
          <w:szCs w:val="20"/>
        </w:rPr>
        <w:t>17 placówek Wrocławskiego Zespołu Żłobków</w:t>
      </w:r>
    </w:p>
    <w:p w:rsidR="00CA14AB" w:rsidRPr="00E00B35" w:rsidRDefault="00CA14AB" w:rsidP="00BC64AB">
      <w:pPr>
        <w:pStyle w:val="Akapitzlist"/>
        <w:numPr>
          <w:ilvl w:val="0"/>
          <w:numId w:val="190"/>
        </w:numPr>
        <w:spacing w:after="0" w:line="312" w:lineRule="auto"/>
        <w:rPr>
          <w:szCs w:val="20"/>
        </w:rPr>
      </w:pPr>
      <w:r w:rsidRPr="00E00B35">
        <w:rPr>
          <w:szCs w:val="20"/>
        </w:rPr>
        <w:t xml:space="preserve">123 niepublicznych placówek z dofinansowaniem Miasta </w:t>
      </w:r>
    </w:p>
    <w:p w:rsidR="00CA14AB" w:rsidRPr="00E00B35" w:rsidRDefault="00CA14AB" w:rsidP="00E00B35">
      <w:pPr>
        <w:spacing w:after="0" w:line="312" w:lineRule="auto"/>
        <w:rPr>
          <w:szCs w:val="20"/>
        </w:rPr>
      </w:pPr>
      <w:r w:rsidRPr="00E00B35">
        <w:rPr>
          <w:szCs w:val="20"/>
        </w:rPr>
        <w:t>We wszystkich żłobkach uczestniczących w rekrutacji na koniec roku 2020 było 6259 miejsc. W stosunku do roku 2019 zanotowano wzrost o 881 miejsc.</w:t>
      </w:r>
    </w:p>
    <w:p w:rsidR="005E6C69" w:rsidRPr="00E00B35" w:rsidRDefault="005E6C69" w:rsidP="00E00B35">
      <w:pPr>
        <w:pStyle w:val="Nagwek5"/>
        <w:rPr>
          <w:szCs w:val="20"/>
        </w:rPr>
      </w:pPr>
      <w:bookmarkStart w:id="319" w:name="_Toc72352404"/>
      <w:bookmarkStart w:id="320" w:name="_Toc72352838"/>
    </w:p>
    <w:p w:rsidR="00CA14AB" w:rsidRPr="00E00B35" w:rsidRDefault="00CA14AB" w:rsidP="00E00B35">
      <w:pPr>
        <w:pStyle w:val="Nagwek5"/>
        <w:rPr>
          <w:szCs w:val="20"/>
        </w:rPr>
      </w:pPr>
      <w:r w:rsidRPr="00E00B35">
        <w:rPr>
          <w:szCs w:val="20"/>
        </w:rPr>
        <w:t>MIEJSCA NORMATYWNE W PLACÓWKACH WROCŁAWSKIEGO ZESPOŁU ŻŁOBKÓW</w:t>
      </w:r>
      <w:bookmarkEnd w:id="319"/>
      <w:bookmarkEnd w:id="320"/>
    </w:p>
    <w:p w:rsidR="00CA14AB" w:rsidRPr="00E00B35" w:rsidRDefault="00CA14AB" w:rsidP="00E00B35">
      <w:pPr>
        <w:spacing w:after="0" w:line="312" w:lineRule="auto"/>
        <w:rPr>
          <w:szCs w:val="20"/>
        </w:rPr>
      </w:pPr>
      <w:r w:rsidRPr="00E00B35">
        <w:rPr>
          <w:szCs w:val="20"/>
        </w:rPr>
        <w:t>Grupy wiekowe w żłobkach:</w:t>
      </w:r>
    </w:p>
    <w:p w:rsidR="00CA14AB" w:rsidRPr="00E00B35" w:rsidRDefault="00CA14AB" w:rsidP="00E00B35">
      <w:pPr>
        <w:spacing w:after="0" w:line="312" w:lineRule="auto"/>
        <w:rPr>
          <w:szCs w:val="20"/>
        </w:rPr>
      </w:pPr>
      <w:r w:rsidRPr="00E00B35">
        <w:rPr>
          <w:szCs w:val="20"/>
        </w:rPr>
        <w:t>grupa I – 20 tygodni – 12 miesięcy</w:t>
      </w:r>
    </w:p>
    <w:p w:rsidR="00CA14AB" w:rsidRPr="00E00B35" w:rsidRDefault="00CA14AB" w:rsidP="00E00B35">
      <w:pPr>
        <w:spacing w:after="0" w:line="312" w:lineRule="auto"/>
        <w:rPr>
          <w:szCs w:val="20"/>
        </w:rPr>
      </w:pPr>
      <w:r w:rsidRPr="00E00B35">
        <w:rPr>
          <w:szCs w:val="20"/>
        </w:rPr>
        <w:t>grupa II – 12 miesięcy+1 dzień – 24 miesiące</w:t>
      </w:r>
    </w:p>
    <w:p w:rsidR="00CA14AB" w:rsidRPr="00E00B35" w:rsidRDefault="00CA14AB" w:rsidP="00E00B35">
      <w:pPr>
        <w:spacing w:after="0" w:line="312" w:lineRule="auto"/>
        <w:rPr>
          <w:szCs w:val="20"/>
        </w:rPr>
      </w:pPr>
      <w:r w:rsidRPr="00E00B35">
        <w:rPr>
          <w:szCs w:val="20"/>
        </w:rPr>
        <w:t>grupa III – 24 miesiące+1 dzień – 36 miesięcy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0"/>
        <w:gridCol w:w="1891"/>
        <w:gridCol w:w="1532"/>
        <w:gridCol w:w="1461"/>
        <w:gridCol w:w="1462"/>
        <w:gridCol w:w="1462"/>
      </w:tblGrid>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żłobek</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ilość miejsc normatywnych</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ilość grup dziecięcych</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 xml:space="preserve">ilość grup I </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ilość grup II</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ilość grup III</w:t>
            </w:r>
          </w:p>
        </w:tc>
      </w:tr>
      <w:tr w:rsidR="00CA14AB" w:rsidRPr="00E00B35" w:rsidTr="00CA14AB">
        <w:tc>
          <w:tcPr>
            <w:tcW w:w="1480" w:type="dxa"/>
            <w:shd w:val="clear" w:color="auto" w:fill="auto"/>
          </w:tcPr>
          <w:p w:rsidR="00CA14AB" w:rsidRPr="00E00B35" w:rsidRDefault="00CA14AB" w:rsidP="00E00B35">
            <w:pPr>
              <w:spacing w:after="0" w:line="312" w:lineRule="auto"/>
              <w:rPr>
                <w:szCs w:val="20"/>
              </w:rPr>
            </w:pPr>
            <w:r w:rsidRPr="00E00B35">
              <w:rPr>
                <w:szCs w:val="20"/>
              </w:rPr>
              <w:t>Nr 1</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142</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4</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2</w:t>
            </w:r>
          </w:p>
        </w:tc>
      </w:tr>
      <w:tr w:rsidR="00CA14AB" w:rsidRPr="00E00B35" w:rsidTr="00CA14AB">
        <w:tc>
          <w:tcPr>
            <w:tcW w:w="1480" w:type="dxa"/>
            <w:shd w:val="clear" w:color="auto" w:fill="auto"/>
          </w:tcPr>
          <w:p w:rsidR="00CA14AB" w:rsidRPr="00E00B35" w:rsidRDefault="00CA14AB" w:rsidP="00E00B35">
            <w:pPr>
              <w:spacing w:after="0" w:line="312" w:lineRule="auto"/>
              <w:rPr>
                <w:szCs w:val="20"/>
              </w:rPr>
            </w:pPr>
            <w:r w:rsidRPr="00E00B35">
              <w:rPr>
                <w:szCs w:val="20"/>
              </w:rPr>
              <w:t>Nr 2</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121</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1480" w:type="dxa"/>
            <w:shd w:val="clear" w:color="auto" w:fill="auto"/>
          </w:tcPr>
          <w:p w:rsidR="00CA14AB" w:rsidRPr="00E00B35" w:rsidRDefault="00CA14AB" w:rsidP="00E00B35">
            <w:pPr>
              <w:spacing w:after="0" w:line="312" w:lineRule="auto"/>
              <w:rPr>
                <w:szCs w:val="20"/>
              </w:rPr>
            </w:pPr>
            <w:r w:rsidRPr="00E00B35">
              <w:rPr>
                <w:szCs w:val="20"/>
              </w:rPr>
              <w:lastRenderedPageBreak/>
              <w:t>Nr 3</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128</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0</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1480" w:type="dxa"/>
            <w:shd w:val="clear" w:color="auto" w:fill="auto"/>
          </w:tcPr>
          <w:p w:rsidR="00CA14AB" w:rsidRPr="00E00B35" w:rsidRDefault="00CA14AB" w:rsidP="00E00B35">
            <w:pPr>
              <w:spacing w:after="0" w:line="312" w:lineRule="auto"/>
              <w:rPr>
                <w:szCs w:val="20"/>
              </w:rPr>
            </w:pPr>
            <w:r w:rsidRPr="00E00B35">
              <w:rPr>
                <w:szCs w:val="20"/>
              </w:rPr>
              <w:t>Nr 4</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126</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0</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1480" w:type="dxa"/>
            <w:shd w:val="clear" w:color="auto" w:fill="auto"/>
          </w:tcPr>
          <w:p w:rsidR="00CA14AB" w:rsidRPr="00E00B35" w:rsidRDefault="00CA14AB" w:rsidP="00E00B35">
            <w:pPr>
              <w:spacing w:after="0" w:line="312" w:lineRule="auto"/>
              <w:rPr>
                <w:szCs w:val="20"/>
              </w:rPr>
            </w:pPr>
            <w:r w:rsidRPr="00E00B35">
              <w:rPr>
                <w:szCs w:val="20"/>
              </w:rPr>
              <w:t>Nr 5</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120</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Filia Żłobka Nr 5</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32</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jedna grupa dla wszystkich dzieci</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jedna grupa dla wszystkich dzieci</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jedna grupa dla wszystkich dzieci</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Nr 6</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113</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Nr 7</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126</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Nr 8</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141</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4</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2</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Nr 9</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82</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0</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Nr 10</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137</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4</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2</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Nr 11</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124</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0</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Nr 12</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157</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6</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3</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Nr 13</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125</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0</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Nr 14</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215</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7</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3</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Nr 15</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266</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8</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4</w:t>
            </w:r>
          </w:p>
        </w:tc>
      </w:tr>
      <w:tr w:rsidR="00CA14AB" w:rsidRPr="00E00B35" w:rsidTr="00CA14AB">
        <w:tc>
          <w:tcPr>
            <w:tcW w:w="1480" w:type="dxa"/>
            <w:shd w:val="clear" w:color="auto" w:fill="auto"/>
            <w:vAlign w:val="center"/>
          </w:tcPr>
          <w:p w:rsidR="00CA14AB" w:rsidRPr="00E00B35" w:rsidRDefault="00CA14AB" w:rsidP="00E00B35">
            <w:pPr>
              <w:spacing w:after="0" w:line="312" w:lineRule="auto"/>
              <w:rPr>
                <w:szCs w:val="20"/>
              </w:rPr>
            </w:pPr>
            <w:r w:rsidRPr="00E00B35">
              <w:rPr>
                <w:szCs w:val="20"/>
              </w:rPr>
              <w:t>Nr 16</w:t>
            </w:r>
          </w:p>
        </w:tc>
        <w:tc>
          <w:tcPr>
            <w:tcW w:w="1891" w:type="dxa"/>
            <w:shd w:val="clear" w:color="auto" w:fill="auto"/>
            <w:vAlign w:val="center"/>
          </w:tcPr>
          <w:p w:rsidR="00CA14AB" w:rsidRPr="00E00B35" w:rsidRDefault="00CA14AB" w:rsidP="00E00B35">
            <w:pPr>
              <w:spacing w:after="0" w:line="312" w:lineRule="auto"/>
              <w:rPr>
                <w:szCs w:val="20"/>
              </w:rPr>
            </w:pPr>
            <w:r w:rsidRPr="00E00B35">
              <w:rPr>
                <w:szCs w:val="20"/>
              </w:rPr>
              <w:t>220</w:t>
            </w:r>
          </w:p>
        </w:tc>
        <w:tc>
          <w:tcPr>
            <w:tcW w:w="1532" w:type="dxa"/>
            <w:shd w:val="clear" w:color="auto" w:fill="auto"/>
            <w:vAlign w:val="center"/>
          </w:tcPr>
          <w:p w:rsidR="00CA14AB" w:rsidRPr="00E00B35" w:rsidRDefault="00CA14AB" w:rsidP="00E00B35">
            <w:pPr>
              <w:spacing w:after="0" w:line="312" w:lineRule="auto"/>
              <w:rPr>
                <w:szCs w:val="20"/>
              </w:rPr>
            </w:pPr>
            <w:r w:rsidRPr="00E00B35">
              <w:rPr>
                <w:szCs w:val="20"/>
              </w:rPr>
              <w:t>7</w:t>
            </w:r>
          </w:p>
        </w:tc>
        <w:tc>
          <w:tcPr>
            <w:tcW w:w="1461"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1462" w:type="dxa"/>
            <w:shd w:val="clear" w:color="auto" w:fill="auto"/>
            <w:vAlign w:val="center"/>
          </w:tcPr>
          <w:p w:rsidR="00CA14AB" w:rsidRPr="00E00B35" w:rsidRDefault="00CA14AB" w:rsidP="00E00B35">
            <w:pPr>
              <w:spacing w:after="0" w:line="312" w:lineRule="auto"/>
              <w:rPr>
                <w:szCs w:val="20"/>
              </w:rPr>
            </w:pPr>
            <w:r w:rsidRPr="00E00B35">
              <w:rPr>
                <w:szCs w:val="20"/>
              </w:rPr>
              <w:t>2</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Ogółem w żłobkach jest:</w:t>
      </w:r>
    </w:p>
    <w:p w:rsidR="00CA14AB" w:rsidRPr="00E00B35" w:rsidRDefault="00CA14AB" w:rsidP="00BC64AB">
      <w:pPr>
        <w:pStyle w:val="Akapitzlist"/>
        <w:numPr>
          <w:ilvl w:val="0"/>
          <w:numId w:val="191"/>
        </w:numPr>
        <w:spacing w:after="0" w:line="312" w:lineRule="auto"/>
        <w:rPr>
          <w:szCs w:val="20"/>
        </w:rPr>
      </w:pPr>
      <w:r w:rsidRPr="00E00B35">
        <w:rPr>
          <w:szCs w:val="20"/>
        </w:rPr>
        <w:t>2375 miejsc normatywnych</w:t>
      </w:r>
    </w:p>
    <w:p w:rsidR="00CA14AB" w:rsidRPr="00E00B35" w:rsidRDefault="00CA14AB" w:rsidP="00BC64AB">
      <w:pPr>
        <w:pStyle w:val="Akapitzlist"/>
        <w:numPr>
          <w:ilvl w:val="0"/>
          <w:numId w:val="191"/>
        </w:numPr>
        <w:spacing w:after="0" w:line="312" w:lineRule="auto"/>
        <w:rPr>
          <w:szCs w:val="20"/>
        </w:rPr>
      </w:pPr>
      <w:r w:rsidRPr="00E00B35">
        <w:rPr>
          <w:szCs w:val="20"/>
        </w:rPr>
        <w:t>67 grup dziecięcych</w:t>
      </w:r>
    </w:p>
    <w:p w:rsidR="00CA14AB" w:rsidRPr="00E00B35" w:rsidRDefault="00CA14AB" w:rsidP="00BC64AB">
      <w:pPr>
        <w:pStyle w:val="Akapitzlist"/>
        <w:numPr>
          <w:ilvl w:val="0"/>
          <w:numId w:val="191"/>
        </w:numPr>
        <w:spacing w:after="0" w:line="312" w:lineRule="auto"/>
        <w:rPr>
          <w:szCs w:val="20"/>
        </w:rPr>
      </w:pPr>
      <w:r w:rsidRPr="00E00B35">
        <w:rPr>
          <w:szCs w:val="20"/>
        </w:rPr>
        <w:t>12 grup I</w:t>
      </w:r>
    </w:p>
    <w:p w:rsidR="00CA14AB" w:rsidRPr="00E00B35" w:rsidRDefault="00CA14AB" w:rsidP="00BC64AB">
      <w:pPr>
        <w:pStyle w:val="Akapitzlist"/>
        <w:numPr>
          <w:ilvl w:val="0"/>
          <w:numId w:val="191"/>
        </w:numPr>
        <w:spacing w:after="0" w:line="312" w:lineRule="auto"/>
        <w:rPr>
          <w:szCs w:val="20"/>
        </w:rPr>
      </w:pPr>
      <w:r w:rsidRPr="00E00B35">
        <w:rPr>
          <w:szCs w:val="20"/>
        </w:rPr>
        <w:t>28 grup II</w:t>
      </w:r>
    </w:p>
    <w:p w:rsidR="00CA14AB" w:rsidRPr="00E00B35" w:rsidRDefault="00CA14AB" w:rsidP="00BC64AB">
      <w:pPr>
        <w:pStyle w:val="Akapitzlist"/>
        <w:numPr>
          <w:ilvl w:val="0"/>
          <w:numId w:val="191"/>
        </w:numPr>
        <w:spacing w:after="0" w:line="312" w:lineRule="auto"/>
        <w:rPr>
          <w:szCs w:val="20"/>
        </w:rPr>
      </w:pPr>
      <w:r w:rsidRPr="00E00B35">
        <w:rPr>
          <w:szCs w:val="20"/>
        </w:rPr>
        <w:t>27 grup III</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FUNKCJONOWNIE WROCŁAWSKIEGO ZESPOŁU ŻŁOBKÓW W OKRESIE STANU EPIDEMII COVID-19</w:t>
      </w:r>
    </w:p>
    <w:p w:rsidR="00CA14AB" w:rsidRPr="00E00B35" w:rsidRDefault="00CA14AB" w:rsidP="00E00B35">
      <w:pPr>
        <w:spacing w:after="0" w:line="312" w:lineRule="auto"/>
        <w:rPr>
          <w:szCs w:val="20"/>
        </w:rPr>
      </w:pPr>
      <w:r w:rsidRPr="00E00B35">
        <w:rPr>
          <w:szCs w:val="20"/>
        </w:rPr>
        <w:t xml:space="preserve">Od 2 stycznia do 13 marca 2020 r. wszystkie Żłobki pracowały w normalnym trybie pracy. W związku z ogłoszeniem na obszarze Rzeczypospolitej Polskiej stanu epidemii,    z dniem 16 marca 2020 r. nastąpiło zawieszenie działalności żłobków. </w:t>
      </w:r>
    </w:p>
    <w:p w:rsidR="00CA14AB" w:rsidRPr="00E00B35" w:rsidRDefault="00CA14AB" w:rsidP="00E00B35">
      <w:pPr>
        <w:spacing w:after="0" w:line="312" w:lineRule="auto"/>
        <w:rPr>
          <w:szCs w:val="20"/>
        </w:rPr>
      </w:pPr>
      <w:r w:rsidRPr="00E00B35">
        <w:rPr>
          <w:szCs w:val="20"/>
        </w:rPr>
        <w:t>Do 8 maja 2020 r. wszystkie żłobki były zamknięte na podstawie:</w:t>
      </w:r>
    </w:p>
    <w:p w:rsidR="00CA14AB" w:rsidRPr="00E00B35" w:rsidRDefault="00CA14AB" w:rsidP="00BC64AB">
      <w:pPr>
        <w:pStyle w:val="Akapitzlist"/>
        <w:numPr>
          <w:ilvl w:val="0"/>
          <w:numId w:val="192"/>
        </w:numPr>
        <w:spacing w:after="0" w:line="312" w:lineRule="auto"/>
        <w:rPr>
          <w:szCs w:val="20"/>
        </w:rPr>
      </w:pPr>
      <w:r w:rsidRPr="00E00B35">
        <w:rPr>
          <w:szCs w:val="20"/>
        </w:rPr>
        <w:t>polecenia Wojewody Dolnośląskiego z dnia 11 marca 2020 r. od 16 marca do 25 marca 2020 r.</w:t>
      </w:r>
    </w:p>
    <w:p w:rsidR="00CA14AB" w:rsidRPr="00E00B35" w:rsidRDefault="00CA14AB" w:rsidP="00BC64AB">
      <w:pPr>
        <w:pStyle w:val="Akapitzlist"/>
        <w:numPr>
          <w:ilvl w:val="0"/>
          <w:numId w:val="192"/>
        </w:numPr>
        <w:spacing w:after="0" w:line="312" w:lineRule="auto"/>
        <w:rPr>
          <w:szCs w:val="20"/>
        </w:rPr>
      </w:pPr>
      <w:r w:rsidRPr="00E00B35">
        <w:rPr>
          <w:szCs w:val="20"/>
        </w:rPr>
        <w:t>polecenia Wojewody Dolnośląskiego z dnia 24 marca 2020 r. od 26 marca do 10 kwietnia 2020 r.</w:t>
      </w:r>
    </w:p>
    <w:p w:rsidR="00CA14AB" w:rsidRPr="00E00B35" w:rsidRDefault="00CA14AB" w:rsidP="00BC64AB">
      <w:pPr>
        <w:pStyle w:val="Akapitzlist"/>
        <w:numPr>
          <w:ilvl w:val="0"/>
          <w:numId w:val="192"/>
        </w:numPr>
        <w:spacing w:after="0" w:line="312" w:lineRule="auto"/>
        <w:rPr>
          <w:szCs w:val="20"/>
        </w:rPr>
      </w:pPr>
      <w:r w:rsidRPr="00E00B35">
        <w:rPr>
          <w:szCs w:val="20"/>
        </w:rPr>
        <w:t>Rozporządzenia Ministra Rodziny, Pracy i Polityki Społecznej z dnia 10 kwietnia 2020 r.  w sprawie czasowego ograniczenia funkcjonowania form opieki nad dziećmi w wieku do 3 lat w związku z zapobieganiem, przeciwdziałaniem i zwalczaniem COVID-19 – od 11 do 26 kwietnia 2020 r.</w:t>
      </w:r>
    </w:p>
    <w:p w:rsidR="00CA14AB" w:rsidRPr="00E00B35" w:rsidRDefault="00CA14AB" w:rsidP="00BC64AB">
      <w:pPr>
        <w:pStyle w:val="Akapitzlist"/>
        <w:numPr>
          <w:ilvl w:val="0"/>
          <w:numId w:val="192"/>
        </w:numPr>
        <w:spacing w:after="0" w:line="312" w:lineRule="auto"/>
        <w:rPr>
          <w:szCs w:val="20"/>
        </w:rPr>
      </w:pPr>
      <w:r w:rsidRPr="00E00B35">
        <w:rPr>
          <w:szCs w:val="20"/>
        </w:rPr>
        <w:t xml:space="preserve">Rozporządzenia Ministra Rodziny, Pracy i Polityki Społecznej z dnia 23 kwietnia 2020 r. zmieniającego rozporządzenie w sprawie czasowego ograniczenia funkcjonowania </w:t>
      </w:r>
      <w:r w:rsidRPr="00E00B35">
        <w:rPr>
          <w:szCs w:val="20"/>
        </w:rPr>
        <w:lastRenderedPageBreak/>
        <w:t>form opieki nad dziećmi w wieku do 3 lat w związku z zapobieganiem, przeciwdziałaniem i zwalczaniem COVID-19 – od 26 kwietnia 2020 r. do 3 maja 2020 r.</w:t>
      </w:r>
    </w:p>
    <w:p w:rsidR="00CA14AB" w:rsidRPr="00E00B35" w:rsidRDefault="00CA14AB" w:rsidP="00BC64AB">
      <w:pPr>
        <w:pStyle w:val="Akapitzlist"/>
        <w:numPr>
          <w:ilvl w:val="0"/>
          <w:numId w:val="192"/>
        </w:numPr>
        <w:spacing w:after="0" w:line="312" w:lineRule="auto"/>
        <w:rPr>
          <w:szCs w:val="20"/>
        </w:rPr>
      </w:pPr>
      <w:r w:rsidRPr="00E00B35">
        <w:rPr>
          <w:szCs w:val="20"/>
        </w:rPr>
        <w:t>Rozporządzenia Ministra Rodziny, Pracy i Polityki Społecznej z dnia 29 kwietnia 2020 r. zmieniającego rozporządzenie w sprawie czasowego ograniczenia funkcjonowania form opieki nad dziećmi w wieku do 3 lat w związku z zapobieganiem, przeciwdziałaniem i zwalczaniem COVID-19 – zamknięcie do 5 maja 2020 r., od 6 maja decyzję zamknięciu podejmuje podmiot prowadzący żłobek.</w:t>
      </w:r>
    </w:p>
    <w:p w:rsidR="00CA14AB" w:rsidRPr="00E00B35" w:rsidRDefault="00CA14AB" w:rsidP="00E00B35">
      <w:pPr>
        <w:spacing w:after="0" w:line="312" w:lineRule="auto"/>
        <w:rPr>
          <w:szCs w:val="20"/>
        </w:rPr>
      </w:pPr>
      <w:r w:rsidRPr="00E00B35">
        <w:rPr>
          <w:szCs w:val="20"/>
        </w:rPr>
        <w:t>Od 11 maja 2020 r. działalność żłobków została wznowiona w oparciu o decyzję Prezydenta Wrocławia i wytyczne przeciwepidemiczne Głównego Inspektora Sanitarnego. Na ich podstawie wydane zostało zarządzenie Nr 2939/</w:t>
      </w:r>
      <w:r w:rsidR="009A5BCE" w:rsidRPr="00E00B35">
        <w:rPr>
          <w:szCs w:val="20"/>
        </w:rPr>
        <w:t xml:space="preserve">20 Prezydenta Wrocławia z dnia </w:t>
      </w:r>
      <w:r w:rsidRPr="00E00B35">
        <w:rPr>
          <w:szCs w:val="20"/>
        </w:rPr>
        <w:t xml:space="preserve">5 maja 2020 r. w sprawie zasad funkcjonowania żłobków wchodzących w skład Wrocławskiego Zespołu Żłobków w związku z zapobieganiem, przeciwdziałaniem               i zwalczaniem COVID-19 określające zasady pracy żłobków w okresie pandemii               w zmożonym reżimie sanitarnym. Począwszy od tej daty Główny Inspektor Sanitarny wydał 5  kolejnych wersji wytycznych, co pociągało za sobą również konieczność zmiany zasad pracy i liczby dzieci, które mogą być przyjęte. </w:t>
      </w:r>
    </w:p>
    <w:p w:rsidR="00CA14AB" w:rsidRPr="00E00B35" w:rsidRDefault="00CA14AB" w:rsidP="00E00B35">
      <w:pPr>
        <w:spacing w:after="0" w:line="312" w:lineRule="auto"/>
        <w:rPr>
          <w:szCs w:val="20"/>
        </w:rPr>
      </w:pPr>
      <w:r w:rsidRPr="00E00B35">
        <w:rPr>
          <w:szCs w:val="20"/>
        </w:rPr>
        <w:t>Zmiany zarządzenia:</w:t>
      </w:r>
    </w:p>
    <w:p w:rsidR="00CA14AB" w:rsidRPr="00E00B35" w:rsidRDefault="00CA14AB" w:rsidP="00BC64AB">
      <w:pPr>
        <w:pStyle w:val="Akapitzlist"/>
        <w:numPr>
          <w:ilvl w:val="0"/>
          <w:numId w:val="193"/>
        </w:numPr>
        <w:spacing w:after="0" w:line="312" w:lineRule="auto"/>
        <w:rPr>
          <w:szCs w:val="20"/>
        </w:rPr>
      </w:pPr>
      <w:r w:rsidRPr="00E00B35">
        <w:rPr>
          <w:szCs w:val="20"/>
        </w:rPr>
        <w:t>zarządzenie nr 3102/20 PW z 28 maja 2020 r.;</w:t>
      </w:r>
    </w:p>
    <w:p w:rsidR="00CA14AB" w:rsidRPr="00E00B35" w:rsidRDefault="00CA14AB" w:rsidP="00BC64AB">
      <w:pPr>
        <w:pStyle w:val="Akapitzlist"/>
        <w:numPr>
          <w:ilvl w:val="0"/>
          <w:numId w:val="193"/>
        </w:numPr>
        <w:spacing w:after="0" w:line="312" w:lineRule="auto"/>
        <w:rPr>
          <w:szCs w:val="20"/>
        </w:rPr>
      </w:pPr>
      <w:r w:rsidRPr="00E00B35">
        <w:rPr>
          <w:szCs w:val="20"/>
        </w:rPr>
        <w:t>zarządzenie nr 3255/20 PW z 23 czerwca 2020 r.;</w:t>
      </w:r>
    </w:p>
    <w:p w:rsidR="00CA14AB" w:rsidRPr="00E00B35" w:rsidRDefault="00CA14AB" w:rsidP="00BC64AB">
      <w:pPr>
        <w:pStyle w:val="Akapitzlist"/>
        <w:numPr>
          <w:ilvl w:val="0"/>
          <w:numId w:val="193"/>
        </w:numPr>
        <w:spacing w:after="0" w:line="312" w:lineRule="auto"/>
        <w:rPr>
          <w:szCs w:val="20"/>
        </w:rPr>
      </w:pPr>
      <w:r w:rsidRPr="00E00B35">
        <w:rPr>
          <w:szCs w:val="20"/>
        </w:rPr>
        <w:t>zarządzenie nr 3601/20 PW z 20 sierpnia 2020 r.;</w:t>
      </w:r>
    </w:p>
    <w:p w:rsidR="00CA14AB" w:rsidRPr="00E00B35" w:rsidRDefault="00CA14AB" w:rsidP="00BC64AB">
      <w:pPr>
        <w:pStyle w:val="Akapitzlist"/>
        <w:numPr>
          <w:ilvl w:val="0"/>
          <w:numId w:val="193"/>
        </w:numPr>
        <w:spacing w:after="0" w:line="312" w:lineRule="auto"/>
        <w:rPr>
          <w:szCs w:val="20"/>
        </w:rPr>
      </w:pPr>
      <w:r w:rsidRPr="00E00B35">
        <w:rPr>
          <w:szCs w:val="20"/>
        </w:rPr>
        <w:t>zarządzenie nr 3</w:t>
      </w:r>
      <w:r w:rsidR="009A5BCE" w:rsidRPr="00E00B35">
        <w:rPr>
          <w:szCs w:val="20"/>
        </w:rPr>
        <w:t>854/20 PW z 30 września 2020 r.</w:t>
      </w:r>
    </w:p>
    <w:p w:rsidR="00CA14AB" w:rsidRPr="00E00B35" w:rsidRDefault="00CA14AB" w:rsidP="00E00B35">
      <w:pPr>
        <w:spacing w:after="0" w:line="312" w:lineRule="auto"/>
        <w:rPr>
          <w:szCs w:val="20"/>
        </w:rPr>
      </w:pPr>
      <w:r w:rsidRPr="00E00B35">
        <w:rPr>
          <w:szCs w:val="20"/>
        </w:rPr>
        <w:t>Z uwagi na stan epidemii w miesiącu wrześniu 2020 r. zmniejszono plan dochodów          o kwotę 4 000 000,00 zł, w związku ze zwolnieniem rodziców z opłat za czas zawieszenia funkcjonowania żłobka i czasowym ograniczeniem liczby przyjmowanych dzieci  – uchwała nr XXVI/709/20 Rady Miejskiej Wrocławia z dnia 17 września 2020 r. zmieniająca  uchwałę nr IX/175/11 Rady Miejskiej Wrocławia w sprawie ustalenia maksymalnej wysokości opłaty za wyżywienie i opłaty za pobyt dziecka w żłobku utworzonym przez gminę Wrocław.</w:t>
      </w:r>
    </w:p>
    <w:p w:rsidR="00CA14AB" w:rsidRPr="00E00B35" w:rsidRDefault="00CA14AB" w:rsidP="00E00B35">
      <w:pPr>
        <w:spacing w:after="0" w:line="312" w:lineRule="auto"/>
        <w:rPr>
          <w:szCs w:val="20"/>
        </w:rPr>
      </w:pPr>
      <w:r w:rsidRPr="00E00B35">
        <w:rPr>
          <w:szCs w:val="20"/>
        </w:rPr>
        <w:t xml:space="preserve">W maju, zgodnie z ograniczeniami mogło być przyjętych do żłobków 832 dzieci na 2155 miejsc  z normatywu. </w:t>
      </w:r>
    </w:p>
    <w:p w:rsidR="00CA14AB" w:rsidRPr="00E00B35" w:rsidRDefault="00CA14AB" w:rsidP="00E00B35">
      <w:pPr>
        <w:spacing w:after="0" w:line="312" w:lineRule="auto"/>
        <w:rPr>
          <w:szCs w:val="20"/>
        </w:rPr>
      </w:pPr>
      <w:r w:rsidRPr="00E00B35">
        <w:rPr>
          <w:szCs w:val="20"/>
        </w:rPr>
        <w:t>Pierwszeństwo przyjęcia miały dzieci pracowników:</w:t>
      </w:r>
    </w:p>
    <w:p w:rsidR="00CA14AB" w:rsidRPr="00E00B35" w:rsidRDefault="00CA14AB" w:rsidP="00BC64AB">
      <w:pPr>
        <w:pStyle w:val="Akapitzlist"/>
        <w:numPr>
          <w:ilvl w:val="0"/>
          <w:numId w:val="194"/>
        </w:numPr>
        <w:spacing w:after="0" w:line="312" w:lineRule="auto"/>
        <w:rPr>
          <w:szCs w:val="20"/>
        </w:rPr>
      </w:pPr>
      <w:r w:rsidRPr="00E00B35">
        <w:rPr>
          <w:szCs w:val="20"/>
        </w:rPr>
        <w:t>systemu ochrony zdrowia,</w:t>
      </w:r>
    </w:p>
    <w:p w:rsidR="00CA14AB" w:rsidRPr="00E00B35" w:rsidRDefault="00CA14AB" w:rsidP="00BC64AB">
      <w:pPr>
        <w:pStyle w:val="Akapitzlist"/>
        <w:numPr>
          <w:ilvl w:val="0"/>
          <w:numId w:val="194"/>
        </w:numPr>
        <w:spacing w:after="0" w:line="312" w:lineRule="auto"/>
        <w:rPr>
          <w:szCs w:val="20"/>
        </w:rPr>
      </w:pPr>
      <w:r w:rsidRPr="00E00B35">
        <w:rPr>
          <w:szCs w:val="20"/>
        </w:rPr>
        <w:t>służb mundurowych,</w:t>
      </w:r>
    </w:p>
    <w:p w:rsidR="00CA14AB" w:rsidRPr="00E00B35" w:rsidRDefault="00CA14AB" w:rsidP="00BC64AB">
      <w:pPr>
        <w:pStyle w:val="Akapitzlist"/>
        <w:numPr>
          <w:ilvl w:val="0"/>
          <w:numId w:val="194"/>
        </w:numPr>
        <w:spacing w:after="0" w:line="312" w:lineRule="auto"/>
        <w:rPr>
          <w:szCs w:val="20"/>
        </w:rPr>
      </w:pPr>
      <w:r w:rsidRPr="00E00B35">
        <w:rPr>
          <w:szCs w:val="20"/>
        </w:rPr>
        <w:t xml:space="preserve">handlu   i   przedsiębiorstw    produkcyjnych,    realizujący    zadania   związane  </w:t>
      </w:r>
    </w:p>
    <w:p w:rsidR="00CA14AB" w:rsidRPr="00E00B35" w:rsidRDefault="00CA14AB" w:rsidP="00BC64AB">
      <w:pPr>
        <w:pStyle w:val="Akapitzlist"/>
        <w:numPr>
          <w:ilvl w:val="0"/>
          <w:numId w:val="194"/>
        </w:numPr>
        <w:spacing w:after="0" w:line="312" w:lineRule="auto"/>
        <w:rPr>
          <w:szCs w:val="20"/>
        </w:rPr>
      </w:pPr>
      <w:r w:rsidRPr="00E00B35">
        <w:rPr>
          <w:szCs w:val="20"/>
        </w:rPr>
        <w:t>z zapobieganiem, przeciwdziałaniem i zwalczaniem COVID-19,</w:t>
      </w:r>
    </w:p>
    <w:p w:rsidR="00CA14AB" w:rsidRPr="00E00B35" w:rsidRDefault="00CA14AB" w:rsidP="00BC64AB">
      <w:pPr>
        <w:pStyle w:val="Akapitzlist"/>
        <w:numPr>
          <w:ilvl w:val="0"/>
          <w:numId w:val="194"/>
        </w:numPr>
        <w:spacing w:after="0" w:line="312" w:lineRule="auto"/>
        <w:rPr>
          <w:szCs w:val="20"/>
        </w:rPr>
      </w:pPr>
      <w:r w:rsidRPr="00E00B35">
        <w:rPr>
          <w:szCs w:val="20"/>
        </w:rPr>
        <w:t>służb związanych z utrzymaniem miasta.</w:t>
      </w:r>
    </w:p>
    <w:p w:rsidR="00CA14AB" w:rsidRPr="00E00B35" w:rsidRDefault="00CA14AB" w:rsidP="00E00B35">
      <w:pPr>
        <w:spacing w:after="0" w:line="312" w:lineRule="auto"/>
        <w:rPr>
          <w:szCs w:val="20"/>
        </w:rPr>
      </w:pPr>
      <w:r w:rsidRPr="00E00B35">
        <w:rPr>
          <w:szCs w:val="20"/>
        </w:rPr>
        <w:t xml:space="preserve">W pierwszym dniu otwarcia żłobków przyjęto 142 dzieci.  </w:t>
      </w:r>
    </w:p>
    <w:p w:rsidR="00CA14AB" w:rsidRPr="00E00B35" w:rsidRDefault="00CA14AB" w:rsidP="00E00B35">
      <w:pPr>
        <w:spacing w:after="0" w:line="312" w:lineRule="auto"/>
        <w:rPr>
          <w:szCs w:val="20"/>
        </w:rPr>
      </w:pPr>
      <w:r w:rsidRPr="00E00B35">
        <w:rPr>
          <w:szCs w:val="20"/>
        </w:rPr>
        <w:t>Średnia liczba dzieci przyjmowanych do żłobków w poszczególnych miesiącach wynosiła:</w:t>
      </w:r>
    </w:p>
    <w:tbl>
      <w:tblPr>
        <w:tblW w:w="0" w:type="auto"/>
        <w:jc w:val="center"/>
        <w:tblLayout w:type="fixed"/>
        <w:tblLook w:val="0000"/>
      </w:tblPr>
      <w:tblGrid>
        <w:gridCol w:w="1859"/>
        <w:gridCol w:w="2410"/>
        <w:gridCol w:w="2268"/>
        <w:gridCol w:w="2577"/>
      </w:tblGrid>
      <w:tr w:rsidR="00CA14AB" w:rsidRPr="00E00B35" w:rsidTr="00CA14AB">
        <w:trPr>
          <w:jc w:val="center"/>
        </w:trPr>
        <w:tc>
          <w:tcPr>
            <w:tcW w:w="185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miesiąc</w:t>
            </w:r>
          </w:p>
        </w:tc>
        <w:tc>
          <w:tcPr>
            <w:tcW w:w="24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normatyw wg wytycznych GIS</w:t>
            </w:r>
          </w:p>
        </w:tc>
        <w:tc>
          <w:tcPr>
            <w:tcW w:w="226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średnia liczba obecnych dzieci</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frekwencja w % w odniesieniu do normatywu</w:t>
            </w:r>
          </w:p>
        </w:tc>
      </w:tr>
      <w:tr w:rsidR="00CA14AB" w:rsidRPr="00E00B35" w:rsidTr="00CA14AB">
        <w:trPr>
          <w:trHeight w:val="340"/>
          <w:jc w:val="center"/>
        </w:trPr>
        <w:tc>
          <w:tcPr>
            <w:tcW w:w="185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lastRenderedPageBreak/>
              <w:t>maj</w:t>
            </w:r>
          </w:p>
        </w:tc>
        <w:tc>
          <w:tcPr>
            <w:tcW w:w="24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832</w:t>
            </w:r>
          </w:p>
        </w:tc>
        <w:tc>
          <w:tcPr>
            <w:tcW w:w="226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253</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12%</w:t>
            </w:r>
          </w:p>
        </w:tc>
      </w:tr>
      <w:tr w:rsidR="00CA14AB" w:rsidRPr="00E00B35" w:rsidTr="00CA14AB">
        <w:trPr>
          <w:trHeight w:val="340"/>
          <w:jc w:val="center"/>
        </w:trPr>
        <w:tc>
          <w:tcPr>
            <w:tcW w:w="185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czerwiec</w:t>
            </w:r>
          </w:p>
        </w:tc>
        <w:tc>
          <w:tcPr>
            <w:tcW w:w="24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1405</w:t>
            </w:r>
          </w:p>
        </w:tc>
        <w:tc>
          <w:tcPr>
            <w:tcW w:w="226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552</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26%</w:t>
            </w:r>
          </w:p>
        </w:tc>
      </w:tr>
      <w:tr w:rsidR="00CA14AB" w:rsidRPr="00E00B35" w:rsidTr="00CA14AB">
        <w:trPr>
          <w:trHeight w:val="340"/>
          <w:jc w:val="center"/>
        </w:trPr>
        <w:tc>
          <w:tcPr>
            <w:tcW w:w="185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lipiec</w:t>
            </w:r>
          </w:p>
        </w:tc>
        <w:tc>
          <w:tcPr>
            <w:tcW w:w="24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1719</w:t>
            </w:r>
          </w:p>
        </w:tc>
        <w:tc>
          <w:tcPr>
            <w:tcW w:w="226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657</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30%</w:t>
            </w:r>
          </w:p>
        </w:tc>
      </w:tr>
      <w:tr w:rsidR="00CA14AB" w:rsidRPr="00E00B35" w:rsidTr="00CA14AB">
        <w:trPr>
          <w:trHeight w:val="340"/>
          <w:jc w:val="center"/>
        </w:trPr>
        <w:tc>
          <w:tcPr>
            <w:tcW w:w="185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sierpień</w:t>
            </w:r>
          </w:p>
        </w:tc>
        <w:tc>
          <w:tcPr>
            <w:tcW w:w="24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1719</w:t>
            </w:r>
          </w:p>
        </w:tc>
        <w:tc>
          <w:tcPr>
            <w:tcW w:w="226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701</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32%</w:t>
            </w:r>
          </w:p>
        </w:tc>
      </w:tr>
    </w:tbl>
    <w:p w:rsidR="00CA14AB" w:rsidRPr="00E00B35" w:rsidRDefault="00CA14AB" w:rsidP="00E00B35">
      <w:pPr>
        <w:spacing w:after="0" w:line="312" w:lineRule="auto"/>
        <w:rPr>
          <w:szCs w:val="20"/>
        </w:rPr>
      </w:pPr>
      <w:r w:rsidRPr="00E00B35">
        <w:rPr>
          <w:szCs w:val="20"/>
        </w:rPr>
        <w:t xml:space="preserve">W roku 2020 żłobki decyzją Prezydenta Wrocławia w lipcu i sierpniu były zamknięte tylko dwa tygodnie. </w:t>
      </w:r>
    </w:p>
    <w:p w:rsidR="00CA14AB" w:rsidRPr="00E00B35" w:rsidRDefault="00CA14AB" w:rsidP="00E00B35">
      <w:pPr>
        <w:spacing w:after="0" w:line="312" w:lineRule="auto"/>
        <w:rPr>
          <w:szCs w:val="20"/>
        </w:rPr>
      </w:pPr>
      <w:r w:rsidRPr="00E00B35">
        <w:rPr>
          <w:szCs w:val="20"/>
        </w:rPr>
        <w:t>Od września 2020 r. w odniesieniu do opieki żłobkowej obowiązuje Rozporządzenie Ministra Rodziny, Pracy i Polityki Społecznej z dnia 28 sierpnia 2020 r. zmieniające rozporządzenie w sprawie czasowego ograniczenia funkcjonowania form opieki nad dziećmi w wieku do 3 lat w związku z zapobieganiem, przeciwdziałaniem i zwalczaniem COVID-19,  które  pozwala na czasowe ograniczenie funkcjonowania poszczególnych grup lub całego żłobka po uzyskaniu pozytywnej opinii Państwowego Powiatowego Inspektora Sanitarnego. Na tej podstawie od września do grudnia (choroba pracownika lub dziecka) w  żłobkach Wrocławskiego Zespołu Żłobków czasowo ograniczono pracę 16 grup w 11 żłobkach. Jeden żłobek został czasowo wyłączony w całości.</w:t>
      </w:r>
    </w:p>
    <w:p w:rsidR="00CA14AB" w:rsidRPr="00E00B35" w:rsidRDefault="00CA14AB" w:rsidP="00E00B35">
      <w:pPr>
        <w:spacing w:after="0" w:line="312" w:lineRule="auto"/>
        <w:rPr>
          <w:szCs w:val="20"/>
        </w:rPr>
      </w:pPr>
      <w:r w:rsidRPr="00E00B35">
        <w:rPr>
          <w:szCs w:val="20"/>
        </w:rPr>
        <w:t xml:space="preserve">Inne  rozwiązania są stosowane w przypadku braków kadrowych – każdorazowo             w uzgodnieniu i na wniosek kierownika żłobka. Zgodnie z zarządzeniem Prezydenta Wrocławia w zależności od możliwości organizacyjnych żłobka gwarantujących bezpieczne warunki opieki i pracy czasowo ograniczane są: </w:t>
      </w:r>
    </w:p>
    <w:p w:rsidR="00CA14AB" w:rsidRPr="00E00B35" w:rsidRDefault="00CA14AB" w:rsidP="00BC64AB">
      <w:pPr>
        <w:pStyle w:val="Akapitzlist"/>
        <w:numPr>
          <w:ilvl w:val="0"/>
          <w:numId w:val="195"/>
        </w:numPr>
        <w:spacing w:after="0" w:line="312" w:lineRule="auto"/>
        <w:rPr>
          <w:szCs w:val="20"/>
        </w:rPr>
      </w:pPr>
      <w:r w:rsidRPr="00E00B35">
        <w:rPr>
          <w:szCs w:val="20"/>
        </w:rPr>
        <w:t>liczba dzieci przebywających w grupie – od września do grudnia ograniczono liczbę dzieci (od 0 do 32) w 43 grupach w 9 żłobkach;</w:t>
      </w:r>
    </w:p>
    <w:p w:rsidR="00CA14AB" w:rsidRPr="00E00B35" w:rsidRDefault="00CA14AB" w:rsidP="00BC64AB">
      <w:pPr>
        <w:pStyle w:val="Akapitzlist"/>
        <w:numPr>
          <w:ilvl w:val="0"/>
          <w:numId w:val="195"/>
        </w:numPr>
        <w:spacing w:after="0" w:line="312" w:lineRule="auto"/>
        <w:rPr>
          <w:szCs w:val="20"/>
        </w:rPr>
      </w:pPr>
      <w:r w:rsidRPr="00E00B35">
        <w:rPr>
          <w:szCs w:val="20"/>
        </w:rPr>
        <w:t>czas pracy żłobków – od września do grudnia ograniczono czas pracy 26 grup w  7 żłobkach.</w:t>
      </w:r>
    </w:p>
    <w:p w:rsidR="00CA14AB" w:rsidRPr="00E00B35" w:rsidRDefault="00CA14AB" w:rsidP="00E00B35">
      <w:pPr>
        <w:spacing w:after="0" w:line="312" w:lineRule="auto"/>
        <w:rPr>
          <w:szCs w:val="20"/>
        </w:rPr>
      </w:pPr>
      <w:r w:rsidRPr="00E00B35">
        <w:rPr>
          <w:szCs w:val="20"/>
        </w:rPr>
        <w:t xml:space="preserve">Od września można przyjąć do żłobków 2262 dzieci.  Średnia liczba dzieci uczęszczających do żłobków od września wynosiła: </w:t>
      </w:r>
    </w:p>
    <w:tbl>
      <w:tblPr>
        <w:tblW w:w="0" w:type="auto"/>
        <w:jc w:val="center"/>
        <w:tblLayout w:type="fixed"/>
        <w:tblLook w:val="0000"/>
      </w:tblPr>
      <w:tblGrid>
        <w:gridCol w:w="2195"/>
        <w:gridCol w:w="2303"/>
        <w:gridCol w:w="2303"/>
        <w:gridCol w:w="2313"/>
      </w:tblGrid>
      <w:tr w:rsidR="00CA14AB" w:rsidRPr="00E00B35" w:rsidTr="00CA14AB">
        <w:trPr>
          <w:jc w:val="center"/>
        </w:trPr>
        <w:tc>
          <w:tcPr>
            <w:tcW w:w="219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miesiąc</w:t>
            </w:r>
          </w:p>
        </w:tc>
        <w:tc>
          <w:tcPr>
            <w:tcW w:w="230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normatyw wg wytycznych GIS</w:t>
            </w:r>
          </w:p>
        </w:tc>
        <w:tc>
          <w:tcPr>
            <w:tcW w:w="230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średnia liczba obecnych dzieci</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frekwencja w % w odniesieniu do normatywu</w:t>
            </w:r>
          </w:p>
        </w:tc>
      </w:tr>
      <w:tr w:rsidR="00CA14AB" w:rsidRPr="00E00B35" w:rsidTr="00CA14AB">
        <w:trPr>
          <w:trHeight w:val="340"/>
          <w:jc w:val="center"/>
        </w:trPr>
        <w:tc>
          <w:tcPr>
            <w:tcW w:w="219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wrzesień</w:t>
            </w:r>
          </w:p>
        </w:tc>
        <w:tc>
          <w:tcPr>
            <w:tcW w:w="230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2262</w:t>
            </w:r>
          </w:p>
        </w:tc>
        <w:tc>
          <w:tcPr>
            <w:tcW w:w="230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1203</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53%</w:t>
            </w:r>
          </w:p>
        </w:tc>
      </w:tr>
      <w:tr w:rsidR="00CA14AB" w:rsidRPr="00E00B35" w:rsidTr="00CA14AB">
        <w:trPr>
          <w:trHeight w:val="340"/>
          <w:jc w:val="center"/>
        </w:trPr>
        <w:tc>
          <w:tcPr>
            <w:tcW w:w="219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październik</w:t>
            </w:r>
          </w:p>
        </w:tc>
        <w:tc>
          <w:tcPr>
            <w:tcW w:w="230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2262</w:t>
            </w:r>
          </w:p>
        </w:tc>
        <w:tc>
          <w:tcPr>
            <w:tcW w:w="230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1072</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47%</w:t>
            </w:r>
          </w:p>
        </w:tc>
      </w:tr>
      <w:tr w:rsidR="00CA14AB" w:rsidRPr="00E00B35" w:rsidTr="00CA14AB">
        <w:trPr>
          <w:trHeight w:val="340"/>
          <w:jc w:val="center"/>
        </w:trPr>
        <w:tc>
          <w:tcPr>
            <w:tcW w:w="219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listopad</w:t>
            </w:r>
          </w:p>
        </w:tc>
        <w:tc>
          <w:tcPr>
            <w:tcW w:w="230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2262</w:t>
            </w:r>
          </w:p>
        </w:tc>
        <w:tc>
          <w:tcPr>
            <w:tcW w:w="230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996</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44%</w:t>
            </w:r>
          </w:p>
        </w:tc>
      </w:tr>
      <w:tr w:rsidR="00CA14AB" w:rsidRPr="00E00B35" w:rsidTr="00CA14AB">
        <w:trPr>
          <w:trHeight w:val="340"/>
          <w:jc w:val="center"/>
        </w:trPr>
        <w:tc>
          <w:tcPr>
            <w:tcW w:w="219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grudzień</w:t>
            </w:r>
          </w:p>
        </w:tc>
        <w:tc>
          <w:tcPr>
            <w:tcW w:w="230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2262</w:t>
            </w:r>
          </w:p>
        </w:tc>
        <w:tc>
          <w:tcPr>
            <w:tcW w:w="230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1092</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48%</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 związku z powyższym istnieje konieczność, zgodnie z art. 15r ust. 4 ustawy z dnia 2 marca 2020 r. o szczególnych rozwiązaniach związanych z zapobieganiem, przeciwdziałaniem i zwalczaniem COVID-19, innych chorób zakaźnych oraz wywołanych nimi sytuacji kryzysowych, przedłużenia terminów umów na dostawę żywności do żłobków Wrocławskiego Zespołu Żłobków.</w:t>
      </w:r>
    </w:p>
    <w:p w:rsidR="00CA14AB" w:rsidRPr="00E00B35" w:rsidRDefault="00CA14AB" w:rsidP="00E00B35">
      <w:pPr>
        <w:spacing w:after="0" w:line="312" w:lineRule="auto"/>
        <w:rPr>
          <w:szCs w:val="20"/>
        </w:rPr>
      </w:pPr>
      <w:r w:rsidRPr="00E00B35">
        <w:rPr>
          <w:szCs w:val="20"/>
        </w:rPr>
        <w:t>Najważniejsze działania podjęte dla ochrony zdrowia i życia dzieci, pracowników we Wrocławskim Zespole Żłobków w związku ze stanem epidemii:</w:t>
      </w:r>
    </w:p>
    <w:p w:rsidR="00CA14AB" w:rsidRPr="00E00B35" w:rsidRDefault="00CA14AB" w:rsidP="00BC64AB">
      <w:pPr>
        <w:pStyle w:val="Akapitzlist"/>
        <w:numPr>
          <w:ilvl w:val="0"/>
          <w:numId w:val="196"/>
        </w:numPr>
        <w:spacing w:after="0" w:line="312" w:lineRule="auto"/>
        <w:rPr>
          <w:szCs w:val="20"/>
        </w:rPr>
      </w:pPr>
      <w:r w:rsidRPr="00E00B35">
        <w:rPr>
          <w:szCs w:val="20"/>
        </w:rPr>
        <w:t>przeprowadzenie dezynfekcji i deratyzacji we wszystkich żłobkach  oraz siedzibie administracji w dniach od 18 do 20 marca 2020 r.;</w:t>
      </w:r>
    </w:p>
    <w:p w:rsidR="00CA14AB" w:rsidRPr="00E00B35" w:rsidRDefault="00CA14AB" w:rsidP="00BC64AB">
      <w:pPr>
        <w:pStyle w:val="Akapitzlist"/>
        <w:numPr>
          <w:ilvl w:val="0"/>
          <w:numId w:val="196"/>
        </w:numPr>
        <w:spacing w:after="0" w:line="312" w:lineRule="auto"/>
        <w:rPr>
          <w:szCs w:val="20"/>
        </w:rPr>
      </w:pPr>
      <w:r w:rsidRPr="00E00B35">
        <w:rPr>
          <w:szCs w:val="20"/>
        </w:rPr>
        <w:lastRenderedPageBreak/>
        <w:t>wzmożenie reżimu sanitarnego  we wszystkich żłobkach, mierzenie temperatury, każdorazowa dezynfekcja rąk, stosowanie masek ochronnych;</w:t>
      </w:r>
    </w:p>
    <w:p w:rsidR="00CA14AB" w:rsidRPr="00E00B35" w:rsidRDefault="00CA14AB" w:rsidP="00BC64AB">
      <w:pPr>
        <w:pStyle w:val="Akapitzlist"/>
        <w:numPr>
          <w:ilvl w:val="0"/>
          <w:numId w:val="196"/>
        </w:numPr>
        <w:spacing w:after="0" w:line="312" w:lineRule="auto"/>
        <w:rPr>
          <w:szCs w:val="20"/>
        </w:rPr>
      </w:pPr>
      <w:r w:rsidRPr="00E00B35">
        <w:rPr>
          <w:szCs w:val="20"/>
        </w:rPr>
        <w:t>zabezpieczenie płynu  do dezynfekcji rąk dla rodziców, ograniczenie wejścia na teren żłobków osobom  trzecim  –  tylko w wyjątkowych wypadkach;</w:t>
      </w:r>
    </w:p>
    <w:p w:rsidR="00CA14AB" w:rsidRPr="00E00B35" w:rsidRDefault="00CA14AB" w:rsidP="00BC64AB">
      <w:pPr>
        <w:pStyle w:val="Akapitzlist"/>
        <w:numPr>
          <w:ilvl w:val="0"/>
          <w:numId w:val="196"/>
        </w:numPr>
        <w:spacing w:after="0" w:line="312" w:lineRule="auto"/>
        <w:rPr>
          <w:szCs w:val="20"/>
        </w:rPr>
      </w:pPr>
      <w:r w:rsidRPr="00E00B35">
        <w:rPr>
          <w:szCs w:val="20"/>
        </w:rPr>
        <w:t>przed uruchomieniem i przyjęciem dzieci we wszystkich żłobkach przeprowadzono generalne sprzątanie, mycie zabawek, sprzętu, wszystkich pomieszczeń po przeprowadzonych zabiegach dezynfekcyjnych i deratyzacyjnych;</w:t>
      </w:r>
    </w:p>
    <w:p w:rsidR="00CA14AB" w:rsidRPr="00E00B35" w:rsidRDefault="00CA14AB" w:rsidP="00BC64AB">
      <w:pPr>
        <w:pStyle w:val="Akapitzlist"/>
        <w:numPr>
          <w:ilvl w:val="0"/>
          <w:numId w:val="196"/>
        </w:numPr>
        <w:spacing w:after="0" w:line="312" w:lineRule="auto"/>
        <w:rPr>
          <w:szCs w:val="20"/>
        </w:rPr>
      </w:pPr>
      <w:r w:rsidRPr="00E00B35">
        <w:rPr>
          <w:szCs w:val="20"/>
        </w:rPr>
        <w:t>działania prozdrowotne i profilaktyczne na rzecz pracowników, zabezpieczenie środków ochrony indywidualnej;</w:t>
      </w:r>
    </w:p>
    <w:p w:rsidR="00CA14AB" w:rsidRPr="00E00B35" w:rsidRDefault="00CA14AB" w:rsidP="00BC64AB">
      <w:pPr>
        <w:pStyle w:val="Akapitzlist"/>
        <w:numPr>
          <w:ilvl w:val="0"/>
          <w:numId w:val="196"/>
        </w:numPr>
        <w:spacing w:after="0" w:line="312" w:lineRule="auto"/>
        <w:rPr>
          <w:szCs w:val="20"/>
        </w:rPr>
      </w:pPr>
      <w:r w:rsidRPr="00E00B35">
        <w:rPr>
          <w:szCs w:val="20"/>
        </w:rPr>
        <w:t xml:space="preserve">utrzymywanie kontaktu mailowego/telefonicznego psychologa z rodzicami,  </w:t>
      </w:r>
    </w:p>
    <w:p w:rsidR="00CA14AB" w:rsidRPr="00E00B35" w:rsidRDefault="00CA14AB" w:rsidP="00BC64AB">
      <w:pPr>
        <w:pStyle w:val="Akapitzlist"/>
        <w:numPr>
          <w:ilvl w:val="0"/>
          <w:numId w:val="196"/>
        </w:numPr>
        <w:spacing w:after="0" w:line="312" w:lineRule="auto"/>
        <w:rPr>
          <w:szCs w:val="20"/>
        </w:rPr>
      </w:pPr>
      <w:r w:rsidRPr="00E00B35">
        <w:rPr>
          <w:szCs w:val="20"/>
        </w:rPr>
        <w:t>z którymi praca została rozpoczęta na konsultacjach;</w:t>
      </w:r>
    </w:p>
    <w:p w:rsidR="00CA14AB" w:rsidRPr="00E00B35" w:rsidRDefault="00CA14AB" w:rsidP="00BC64AB">
      <w:pPr>
        <w:pStyle w:val="Akapitzlist"/>
        <w:numPr>
          <w:ilvl w:val="0"/>
          <w:numId w:val="196"/>
        </w:numPr>
        <w:spacing w:after="0" w:line="312" w:lineRule="auto"/>
        <w:rPr>
          <w:szCs w:val="20"/>
        </w:rPr>
      </w:pPr>
      <w:r w:rsidRPr="00E00B35">
        <w:rPr>
          <w:szCs w:val="20"/>
        </w:rPr>
        <w:t>działania zarządcze w związku z pracą w czasie epidemii, opracowanie zasad pracy pracowników żłobków Wrocławskiego Zespołu Żłobków, zabezpieczenie systemu pracy  i utrzymywanie sprawnego działania całej jednostki - zarządzenie Dyrektora Wrocławskiego Zespołu Żłobków w sprawie zasad bezpieczeństwa pracowników i klientów, miejsca pracy oraz postępowania w przypadku podejrzenia zakażenia wirusem SARS-CoV-2, zarządzenie w sprawie Regulaminu pracy zdalnej;</w:t>
      </w:r>
    </w:p>
    <w:p w:rsidR="00CA14AB" w:rsidRPr="00E00B35" w:rsidRDefault="00CA14AB" w:rsidP="00BC64AB">
      <w:pPr>
        <w:pStyle w:val="Akapitzlist"/>
        <w:numPr>
          <w:ilvl w:val="0"/>
          <w:numId w:val="196"/>
        </w:numPr>
        <w:spacing w:after="0" w:line="312" w:lineRule="auto"/>
        <w:rPr>
          <w:szCs w:val="20"/>
        </w:rPr>
      </w:pPr>
      <w:r w:rsidRPr="00E00B35">
        <w:rPr>
          <w:szCs w:val="20"/>
        </w:rPr>
        <w:t xml:space="preserve">pracownicy administracji pracowali od 17 marca do 4 maja i od 13 października  do 31 grudnia w systemie zdalnym, z wyjątkiem pracowników, którzy pełnili dyżury; pracowników wyposażono w laptopy do pracy zdalnej, niektórym przydzielono służbowe telefony komórkowe; </w:t>
      </w:r>
    </w:p>
    <w:p w:rsidR="00CA14AB" w:rsidRPr="00E00B35" w:rsidRDefault="00CA14AB" w:rsidP="00BC64AB">
      <w:pPr>
        <w:pStyle w:val="Akapitzlist"/>
        <w:numPr>
          <w:ilvl w:val="0"/>
          <w:numId w:val="196"/>
        </w:numPr>
        <w:spacing w:after="0" w:line="312" w:lineRule="auto"/>
        <w:rPr>
          <w:szCs w:val="20"/>
        </w:rPr>
      </w:pPr>
      <w:r w:rsidRPr="00E00B35">
        <w:rPr>
          <w:szCs w:val="20"/>
        </w:rPr>
        <w:t xml:space="preserve">opracowano zasady postępowania w przypadku podejrzenia potencjalnego zakażenia wirusem SARS-CoV-2 we Wrocławskim Zespole Żłobków; </w:t>
      </w:r>
    </w:p>
    <w:p w:rsidR="00CA14AB" w:rsidRPr="00E00B35" w:rsidRDefault="00CA14AB" w:rsidP="00BC64AB">
      <w:pPr>
        <w:pStyle w:val="Akapitzlist"/>
        <w:numPr>
          <w:ilvl w:val="0"/>
          <w:numId w:val="196"/>
        </w:numPr>
        <w:spacing w:after="0" w:line="312" w:lineRule="auto"/>
        <w:rPr>
          <w:szCs w:val="20"/>
        </w:rPr>
      </w:pPr>
      <w:r w:rsidRPr="00E00B35">
        <w:rPr>
          <w:szCs w:val="20"/>
        </w:rPr>
        <w:t>opracowano zasady żywienia dzieci;</w:t>
      </w:r>
    </w:p>
    <w:p w:rsidR="00CA14AB" w:rsidRPr="00E00B35" w:rsidRDefault="00CA14AB" w:rsidP="00BC64AB">
      <w:pPr>
        <w:pStyle w:val="Akapitzlist"/>
        <w:numPr>
          <w:ilvl w:val="0"/>
          <w:numId w:val="196"/>
        </w:numPr>
        <w:spacing w:after="0" w:line="312" w:lineRule="auto"/>
        <w:rPr>
          <w:szCs w:val="20"/>
        </w:rPr>
      </w:pPr>
      <w:r w:rsidRPr="00E00B35">
        <w:rPr>
          <w:szCs w:val="20"/>
        </w:rPr>
        <w:t>pracownicy żłobków szyli maseczki i przyłbice na potrzeby Ekumenicznej Stacji Opieki, Miejskiego Centrum Usług Socjalnych i Wrocławskiego Zespołu Żłobków uszyto ponad  6 tys. maseczek i 120 przyłbic.</w:t>
      </w:r>
    </w:p>
    <w:p w:rsidR="00CA14AB" w:rsidRPr="00E00B35" w:rsidRDefault="00CA14AB" w:rsidP="00E00B35">
      <w:pPr>
        <w:spacing w:after="0" w:line="312" w:lineRule="auto"/>
        <w:rPr>
          <w:szCs w:val="20"/>
        </w:rPr>
      </w:pPr>
      <w:r w:rsidRPr="00E00B35">
        <w:rPr>
          <w:szCs w:val="20"/>
        </w:rPr>
        <w:t>Zorganizowanie pracy komórek organizacyjnych w stanie epidemii spowodowało konieczność zaopatrzenia ich w niezbędne środki ochrony:</w:t>
      </w:r>
    </w:p>
    <w:p w:rsidR="00CA14AB" w:rsidRPr="00E00B35" w:rsidRDefault="00CA14AB" w:rsidP="00BC64AB">
      <w:pPr>
        <w:pStyle w:val="Akapitzlist"/>
        <w:numPr>
          <w:ilvl w:val="0"/>
          <w:numId w:val="197"/>
        </w:numPr>
        <w:spacing w:after="0" w:line="312" w:lineRule="auto"/>
        <w:rPr>
          <w:szCs w:val="20"/>
        </w:rPr>
      </w:pPr>
      <w:r w:rsidRPr="00E00B35">
        <w:rPr>
          <w:szCs w:val="20"/>
        </w:rPr>
        <w:t xml:space="preserve">przygotowano wnioski o przydzielenie środków ochrony z rezerw publicznych; </w:t>
      </w:r>
    </w:p>
    <w:p w:rsidR="00CA14AB" w:rsidRPr="00E00B35" w:rsidRDefault="00CA14AB" w:rsidP="00BC64AB">
      <w:pPr>
        <w:pStyle w:val="Akapitzlist"/>
        <w:numPr>
          <w:ilvl w:val="0"/>
          <w:numId w:val="197"/>
        </w:numPr>
        <w:spacing w:after="0" w:line="312" w:lineRule="auto"/>
        <w:rPr>
          <w:szCs w:val="20"/>
        </w:rPr>
      </w:pPr>
      <w:r w:rsidRPr="00E00B35">
        <w:rPr>
          <w:szCs w:val="20"/>
        </w:rPr>
        <w:t>dokonano zakupu płynów dezynfekcyjnych, dozowników, termometrów, mat, parownic, rękawic, ozonatorów wraz z akcesoriami, fartuchów jednorazowych, maseczek wielorazowych, maseczek jednorazowych, fartuchów wielorazowych, kombinezonów, gogli, usług firm zewnętrznych, siedzisk dla dzieci, kremów;</w:t>
      </w:r>
    </w:p>
    <w:p w:rsidR="00CA14AB" w:rsidRPr="00E00B35" w:rsidRDefault="00CA14AB" w:rsidP="00BC64AB">
      <w:pPr>
        <w:pStyle w:val="Akapitzlist"/>
        <w:numPr>
          <w:ilvl w:val="0"/>
          <w:numId w:val="197"/>
        </w:numPr>
        <w:spacing w:after="0" w:line="312" w:lineRule="auto"/>
        <w:rPr>
          <w:szCs w:val="20"/>
        </w:rPr>
      </w:pPr>
      <w:r w:rsidRPr="00E00B35">
        <w:rPr>
          <w:szCs w:val="20"/>
        </w:rPr>
        <w:t>zakupiono osłony z plexiglasu oddzielające pracowników żłobków od rodziców/opiekunów w czasie wykonywania czynności związanych z rekrutacją do żłobków.</w:t>
      </w:r>
    </w:p>
    <w:tbl>
      <w:tblPr>
        <w:tblW w:w="0" w:type="auto"/>
        <w:jc w:val="center"/>
        <w:tblLayout w:type="fixed"/>
        <w:tblCellMar>
          <w:left w:w="70" w:type="dxa"/>
          <w:right w:w="70" w:type="dxa"/>
        </w:tblCellMar>
        <w:tblLook w:val="0000"/>
      </w:tblPr>
      <w:tblGrid>
        <w:gridCol w:w="960"/>
        <w:gridCol w:w="4931"/>
        <w:gridCol w:w="2420"/>
        <w:gridCol w:w="10"/>
      </w:tblGrid>
      <w:tr w:rsidR="00CA14AB" w:rsidRPr="00E00B35" w:rsidTr="00CA14AB">
        <w:trPr>
          <w:trHeight w:val="340"/>
          <w:jc w:val="center"/>
        </w:trPr>
        <w:tc>
          <w:tcPr>
            <w:tcW w:w="960" w:type="dxa"/>
            <w:tcBorders>
              <w:top w:val="single" w:sz="8" w:space="0" w:color="000000"/>
              <w:left w:val="single" w:sz="8" w:space="0" w:color="000000"/>
              <w:bottom w:val="single" w:sz="8"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4931" w:type="dxa"/>
            <w:tcBorders>
              <w:top w:val="single" w:sz="8" w:space="0" w:color="000000"/>
              <w:left w:val="single" w:sz="4" w:space="0" w:color="000000"/>
              <w:bottom w:val="single" w:sz="8"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rodzaj wydatków</w:t>
            </w:r>
          </w:p>
        </w:tc>
        <w:tc>
          <w:tcPr>
            <w:tcW w:w="2430"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kwota</w:t>
            </w:r>
          </w:p>
        </w:tc>
      </w:tr>
      <w:tr w:rsidR="00CA14AB" w:rsidRPr="00E00B35" w:rsidTr="00CA14AB">
        <w:trPr>
          <w:gridAfter w:val="1"/>
          <w:wAfter w:w="10" w:type="dxa"/>
          <w:trHeight w:val="340"/>
          <w:jc w:val="center"/>
        </w:trPr>
        <w:tc>
          <w:tcPr>
            <w:tcW w:w="960"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493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urządzenia sanitarne w budynkach i obiektach</w:t>
            </w:r>
          </w:p>
        </w:tc>
        <w:tc>
          <w:tcPr>
            <w:tcW w:w="2420"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135 245,49 zł </w:t>
            </w:r>
          </w:p>
        </w:tc>
      </w:tr>
      <w:tr w:rsidR="00CA14AB" w:rsidRPr="00E00B35" w:rsidTr="00CA14AB">
        <w:trPr>
          <w:gridAfter w:val="1"/>
          <w:wAfter w:w="10" w:type="dxa"/>
          <w:trHeight w:val="340"/>
          <w:jc w:val="center"/>
        </w:trPr>
        <w:tc>
          <w:tcPr>
            <w:tcW w:w="960"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493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 xml:space="preserve">dezynfekcja obiektów </w:t>
            </w:r>
          </w:p>
        </w:tc>
        <w:tc>
          <w:tcPr>
            <w:tcW w:w="2420"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14 268,00 zł </w:t>
            </w:r>
          </w:p>
        </w:tc>
      </w:tr>
      <w:tr w:rsidR="00CA14AB" w:rsidRPr="00E00B35" w:rsidTr="00CA14AB">
        <w:trPr>
          <w:gridAfter w:val="1"/>
          <w:wAfter w:w="10" w:type="dxa"/>
          <w:trHeight w:val="340"/>
          <w:jc w:val="center"/>
        </w:trPr>
        <w:tc>
          <w:tcPr>
            <w:tcW w:w="960"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493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zakup środków dezynfekcyjnych</w:t>
            </w:r>
          </w:p>
        </w:tc>
        <w:tc>
          <w:tcPr>
            <w:tcW w:w="2420"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49 247,24 zł </w:t>
            </w:r>
          </w:p>
        </w:tc>
      </w:tr>
      <w:tr w:rsidR="00CA14AB" w:rsidRPr="00E00B35" w:rsidTr="00CA14AB">
        <w:trPr>
          <w:gridAfter w:val="1"/>
          <w:wAfter w:w="10" w:type="dxa"/>
          <w:trHeight w:val="340"/>
          <w:jc w:val="center"/>
        </w:trPr>
        <w:tc>
          <w:tcPr>
            <w:tcW w:w="960"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w:t>
            </w:r>
          </w:p>
        </w:tc>
        <w:tc>
          <w:tcPr>
            <w:tcW w:w="493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zakup termometrów</w:t>
            </w:r>
          </w:p>
        </w:tc>
        <w:tc>
          <w:tcPr>
            <w:tcW w:w="2420"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17 625,60 zł </w:t>
            </w:r>
          </w:p>
        </w:tc>
      </w:tr>
      <w:tr w:rsidR="00CA14AB" w:rsidRPr="00E00B35" w:rsidTr="00CA14AB">
        <w:trPr>
          <w:gridAfter w:val="1"/>
          <w:wAfter w:w="10" w:type="dxa"/>
          <w:trHeight w:val="340"/>
          <w:jc w:val="center"/>
        </w:trPr>
        <w:tc>
          <w:tcPr>
            <w:tcW w:w="960"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lastRenderedPageBreak/>
              <w:t>5.</w:t>
            </w:r>
          </w:p>
        </w:tc>
        <w:tc>
          <w:tcPr>
            <w:tcW w:w="493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 xml:space="preserve">zakup rękawic </w:t>
            </w:r>
          </w:p>
        </w:tc>
        <w:tc>
          <w:tcPr>
            <w:tcW w:w="2420"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123 886,80 zł </w:t>
            </w:r>
          </w:p>
        </w:tc>
      </w:tr>
      <w:tr w:rsidR="00CA14AB" w:rsidRPr="00E00B35" w:rsidTr="00CA14AB">
        <w:trPr>
          <w:gridAfter w:val="1"/>
          <w:wAfter w:w="10" w:type="dxa"/>
          <w:trHeight w:val="340"/>
          <w:jc w:val="center"/>
        </w:trPr>
        <w:tc>
          <w:tcPr>
            <w:tcW w:w="960"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6.</w:t>
            </w:r>
          </w:p>
        </w:tc>
        <w:tc>
          <w:tcPr>
            <w:tcW w:w="493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zakup osłon z plexiglasu</w:t>
            </w:r>
          </w:p>
        </w:tc>
        <w:tc>
          <w:tcPr>
            <w:tcW w:w="2420"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2 607,60 zł </w:t>
            </w:r>
          </w:p>
        </w:tc>
      </w:tr>
      <w:tr w:rsidR="00CA14AB" w:rsidRPr="00E00B35" w:rsidTr="00CA14AB">
        <w:trPr>
          <w:gridAfter w:val="1"/>
          <w:wAfter w:w="10" w:type="dxa"/>
          <w:trHeight w:val="340"/>
          <w:jc w:val="center"/>
        </w:trPr>
        <w:tc>
          <w:tcPr>
            <w:tcW w:w="960"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7.</w:t>
            </w:r>
          </w:p>
        </w:tc>
        <w:tc>
          <w:tcPr>
            <w:tcW w:w="493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zakup mat</w:t>
            </w:r>
          </w:p>
        </w:tc>
        <w:tc>
          <w:tcPr>
            <w:tcW w:w="2420"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20 172,00 zł </w:t>
            </w:r>
          </w:p>
        </w:tc>
      </w:tr>
      <w:tr w:rsidR="00CA14AB" w:rsidRPr="00E00B35" w:rsidTr="00CA14AB">
        <w:trPr>
          <w:gridAfter w:val="1"/>
          <w:wAfter w:w="10" w:type="dxa"/>
          <w:trHeight w:val="340"/>
          <w:jc w:val="center"/>
        </w:trPr>
        <w:tc>
          <w:tcPr>
            <w:tcW w:w="960"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8.</w:t>
            </w:r>
          </w:p>
        </w:tc>
        <w:tc>
          <w:tcPr>
            <w:tcW w:w="493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zakup maseczek</w:t>
            </w:r>
          </w:p>
        </w:tc>
        <w:tc>
          <w:tcPr>
            <w:tcW w:w="2420"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49 200,00 zł </w:t>
            </w:r>
          </w:p>
        </w:tc>
      </w:tr>
      <w:tr w:rsidR="00CA14AB" w:rsidRPr="00E00B35" w:rsidTr="00CA14AB">
        <w:trPr>
          <w:gridAfter w:val="1"/>
          <w:wAfter w:w="10" w:type="dxa"/>
          <w:trHeight w:val="340"/>
          <w:jc w:val="center"/>
        </w:trPr>
        <w:tc>
          <w:tcPr>
            <w:tcW w:w="960"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9.</w:t>
            </w:r>
          </w:p>
        </w:tc>
        <w:tc>
          <w:tcPr>
            <w:tcW w:w="493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zakup maseczek i fartuchów</w:t>
            </w:r>
          </w:p>
        </w:tc>
        <w:tc>
          <w:tcPr>
            <w:tcW w:w="2420"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5 900,00 zł </w:t>
            </w:r>
          </w:p>
        </w:tc>
      </w:tr>
      <w:tr w:rsidR="00CA14AB" w:rsidRPr="00E00B35" w:rsidTr="00CA14AB">
        <w:trPr>
          <w:gridAfter w:val="1"/>
          <w:wAfter w:w="10" w:type="dxa"/>
          <w:trHeight w:val="340"/>
          <w:jc w:val="center"/>
        </w:trPr>
        <w:tc>
          <w:tcPr>
            <w:tcW w:w="96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10.</w:t>
            </w:r>
          </w:p>
        </w:tc>
        <w:tc>
          <w:tcPr>
            <w:tcW w:w="4931" w:type="dxa"/>
            <w:tcBorders>
              <w:top w:val="single" w:sz="4" w:space="0" w:color="000000"/>
              <w:left w:val="single" w:sz="4" w:space="0" w:color="000000"/>
              <w:bottom w:val="single" w:sz="8"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zakup fartuchów ochronnych</w:t>
            </w:r>
          </w:p>
        </w:tc>
        <w:tc>
          <w:tcPr>
            <w:tcW w:w="2420" w:type="dxa"/>
            <w:tcBorders>
              <w:top w:val="single" w:sz="4" w:space="0" w:color="000000"/>
              <w:left w:val="single" w:sz="4" w:space="0" w:color="000000"/>
              <w:bottom w:val="single" w:sz="8"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10 073,70 zł </w:t>
            </w:r>
          </w:p>
        </w:tc>
      </w:tr>
      <w:tr w:rsidR="00CA14AB" w:rsidRPr="00E00B35" w:rsidTr="00CA14AB">
        <w:trPr>
          <w:gridAfter w:val="1"/>
          <w:wAfter w:w="10" w:type="dxa"/>
          <w:trHeight w:val="340"/>
          <w:jc w:val="center"/>
        </w:trPr>
        <w:tc>
          <w:tcPr>
            <w:tcW w:w="96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11.</w:t>
            </w:r>
          </w:p>
        </w:tc>
        <w:tc>
          <w:tcPr>
            <w:tcW w:w="4931" w:type="dxa"/>
            <w:tcBorders>
              <w:top w:val="single" w:sz="8"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zakup fartuchów jednorazowych</w:t>
            </w:r>
          </w:p>
        </w:tc>
        <w:tc>
          <w:tcPr>
            <w:tcW w:w="2420" w:type="dxa"/>
            <w:tcBorders>
              <w:top w:val="single" w:sz="8"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7 380,00 zł </w:t>
            </w:r>
          </w:p>
        </w:tc>
      </w:tr>
      <w:tr w:rsidR="00CA14AB" w:rsidRPr="00E00B35" w:rsidTr="00CA14AB">
        <w:trPr>
          <w:gridAfter w:val="1"/>
          <w:wAfter w:w="10" w:type="dxa"/>
          <w:trHeight w:val="340"/>
          <w:jc w:val="center"/>
        </w:trPr>
        <w:tc>
          <w:tcPr>
            <w:tcW w:w="960"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12.</w:t>
            </w:r>
          </w:p>
        </w:tc>
        <w:tc>
          <w:tcPr>
            <w:tcW w:w="493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zakup półmasek ochronnych</w:t>
            </w:r>
          </w:p>
        </w:tc>
        <w:tc>
          <w:tcPr>
            <w:tcW w:w="2420"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Verdana"/>
                <w:szCs w:val="20"/>
              </w:rPr>
              <w:t xml:space="preserve">          </w:t>
            </w:r>
            <w:r w:rsidRPr="00E00B35">
              <w:rPr>
                <w:szCs w:val="20"/>
              </w:rPr>
              <w:t xml:space="preserve">18 733,98 zł </w:t>
            </w:r>
          </w:p>
        </w:tc>
      </w:tr>
    </w:tbl>
    <w:p w:rsidR="00CA14AB" w:rsidRPr="00E00B35" w:rsidRDefault="00CA14AB" w:rsidP="00E00B35">
      <w:pPr>
        <w:spacing w:after="0" w:line="312" w:lineRule="auto"/>
        <w:rPr>
          <w:szCs w:val="20"/>
        </w:rPr>
      </w:pPr>
      <w:r w:rsidRPr="00E00B35">
        <w:rPr>
          <w:szCs w:val="20"/>
        </w:rPr>
        <w:t>Łączne na środki ochrony wydatkowano 454 340,41 zł</w:t>
      </w:r>
    </w:p>
    <w:p w:rsidR="00CA14AB" w:rsidRPr="00E00B35" w:rsidRDefault="00CA14AB" w:rsidP="00E00B35">
      <w:pPr>
        <w:spacing w:after="0" w:line="312" w:lineRule="auto"/>
        <w:rPr>
          <w:szCs w:val="20"/>
        </w:rPr>
      </w:pPr>
      <w:r w:rsidRPr="00E00B35">
        <w:rPr>
          <w:szCs w:val="20"/>
        </w:rPr>
        <w:t>Rodzaj zakupionego asortymentu przedstawia się następująco:</w:t>
      </w:r>
    </w:p>
    <w:tbl>
      <w:tblPr>
        <w:tblW w:w="0" w:type="auto"/>
        <w:jc w:val="center"/>
        <w:tblLayout w:type="fixed"/>
        <w:tblCellMar>
          <w:left w:w="70" w:type="dxa"/>
          <w:right w:w="70" w:type="dxa"/>
        </w:tblCellMar>
        <w:tblLook w:val="0000"/>
      </w:tblPr>
      <w:tblGrid>
        <w:gridCol w:w="618"/>
        <w:gridCol w:w="4263"/>
        <w:gridCol w:w="1701"/>
        <w:gridCol w:w="1711"/>
        <w:gridCol w:w="10"/>
      </w:tblGrid>
      <w:tr w:rsidR="00CA14AB" w:rsidRPr="00E00B35" w:rsidTr="00CA14AB">
        <w:trPr>
          <w:trHeight w:val="300"/>
          <w:jc w:val="center"/>
        </w:trPr>
        <w:tc>
          <w:tcPr>
            <w:tcW w:w="618" w:type="dxa"/>
            <w:tcBorders>
              <w:top w:val="single" w:sz="8" w:space="0" w:color="000000"/>
              <w:left w:val="single" w:sz="8" w:space="0" w:color="000000"/>
              <w:bottom w:val="single" w:sz="8"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4263" w:type="dxa"/>
            <w:tcBorders>
              <w:top w:val="single" w:sz="8" w:space="0" w:color="000000"/>
              <w:left w:val="single" w:sz="8" w:space="0" w:color="000000"/>
              <w:bottom w:val="single" w:sz="8"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asortyment</w:t>
            </w:r>
          </w:p>
        </w:tc>
        <w:tc>
          <w:tcPr>
            <w:tcW w:w="1701" w:type="dxa"/>
            <w:tcBorders>
              <w:top w:val="single" w:sz="8" w:space="0" w:color="000000"/>
              <w:left w:val="single" w:sz="4" w:space="0" w:color="000000"/>
              <w:bottom w:val="single" w:sz="8"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jednostka miary</w:t>
            </w:r>
          </w:p>
        </w:tc>
        <w:tc>
          <w:tcPr>
            <w:tcW w:w="172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ilość</w:t>
            </w:r>
          </w:p>
        </w:tc>
      </w:tr>
      <w:tr w:rsidR="00CA14AB" w:rsidRPr="00E00B35" w:rsidTr="00CA14AB">
        <w:trPr>
          <w:gridAfter w:val="1"/>
          <w:wAfter w:w="10" w:type="dxa"/>
          <w:trHeight w:val="456"/>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płyny dezynfekcyjne do rąk, powierzchni, różne</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1 238</w:t>
            </w:r>
          </w:p>
        </w:tc>
      </w:tr>
      <w:tr w:rsidR="00CA14AB" w:rsidRPr="00E00B35" w:rsidTr="00CA14AB">
        <w:trPr>
          <w:gridAfter w:val="1"/>
          <w:wAfter w:w="10" w:type="dxa"/>
          <w:trHeight w:val="288"/>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dozowniki</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25</w:t>
            </w:r>
          </w:p>
        </w:tc>
      </w:tr>
      <w:tr w:rsidR="00CA14AB" w:rsidRPr="00E00B35" w:rsidTr="00CA14AB">
        <w:trPr>
          <w:gridAfter w:val="1"/>
          <w:wAfter w:w="10" w:type="dxa"/>
          <w:trHeight w:val="288"/>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termometr</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32</w:t>
            </w:r>
          </w:p>
        </w:tc>
      </w:tr>
      <w:tr w:rsidR="00CA14AB" w:rsidRPr="00E00B35" w:rsidTr="00CA14AB">
        <w:trPr>
          <w:gridAfter w:val="1"/>
          <w:wAfter w:w="10" w:type="dxa"/>
          <w:trHeight w:val="288"/>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maty dezynfekcyjne</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164</w:t>
            </w:r>
          </w:p>
        </w:tc>
      </w:tr>
      <w:tr w:rsidR="00CA14AB" w:rsidRPr="00E00B35" w:rsidTr="00CA14AB">
        <w:trPr>
          <w:gridAfter w:val="1"/>
          <w:wAfter w:w="10" w:type="dxa"/>
          <w:trHeight w:val="288"/>
          <w:jc w:val="center"/>
        </w:trPr>
        <w:tc>
          <w:tcPr>
            <w:tcW w:w="61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5.</w:t>
            </w:r>
          </w:p>
        </w:tc>
        <w:tc>
          <w:tcPr>
            <w:tcW w:w="426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parownice</w:t>
            </w:r>
          </w:p>
        </w:tc>
        <w:tc>
          <w:tcPr>
            <w:tcW w:w="1701"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27</w:t>
            </w:r>
          </w:p>
        </w:tc>
      </w:tr>
      <w:tr w:rsidR="00CA14AB" w:rsidRPr="00E00B35" w:rsidTr="00CA14AB">
        <w:trPr>
          <w:gridAfter w:val="1"/>
          <w:wAfter w:w="10" w:type="dxa"/>
          <w:trHeight w:val="288"/>
          <w:jc w:val="center"/>
        </w:trPr>
        <w:tc>
          <w:tcPr>
            <w:tcW w:w="61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6.</w:t>
            </w:r>
          </w:p>
        </w:tc>
        <w:tc>
          <w:tcPr>
            <w:tcW w:w="426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rękawice</w:t>
            </w:r>
          </w:p>
        </w:tc>
        <w:tc>
          <w:tcPr>
            <w:tcW w:w="1701"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opakowanie</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2 925</w:t>
            </w:r>
          </w:p>
        </w:tc>
      </w:tr>
      <w:tr w:rsidR="00CA14AB" w:rsidRPr="00E00B35" w:rsidTr="00CA14AB">
        <w:trPr>
          <w:gridAfter w:val="1"/>
          <w:wAfter w:w="10" w:type="dxa"/>
          <w:trHeight w:val="288"/>
          <w:jc w:val="center"/>
        </w:trPr>
        <w:tc>
          <w:tcPr>
            <w:tcW w:w="61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7.</w:t>
            </w:r>
          </w:p>
        </w:tc>
        <w:tc>
          <w:tcPr>
            <w:tcW w:w="426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ozonatory + akcesoria</w:t>
            </w:r>
          </w:p>
        </w:tc>
        <w:tc>
          <w:tcPr>
            <w:tcW w:w="1701"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16 + 348</w:t>
            </w:r>
          </w:p>
        </w:tc>
      </w:tr>
      <w:tr w:rsidR="00CA14AB" w:rsidRPr="00E00B35" w:rsidTr="00CA14AB">
        <w:trPr>
          <w:gridAfter w:val="1"/>
          <w:wAfter w:w="10" w:type="dxa"/>
          <w:trHeight w:val="288"/>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8.</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fartuchy jednorazowe</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2 000</w:t>
            </w:r>
          </w:p>
        </w:tc>
      </w:tr>
      <w:tr w:rsidR="00CA14AB" w:rsidRPr="00E00B35" w:rsidTr="00CA14AB">
        <w:trPr>
          <w:gridAfter w:val="1"/>
          <w:wAfter w:w="10" w:type="dxa"/>
          <w:trHeight w:val="288"/>
          <w:jc w:val="center"/>
        </w:trPr>
        <w:tc>
          <w:tcPr>
            <w:tcW w:w="61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9.</w:t>
            </w:r>
          </w:p>
        </w:tc>
        <w:tc>
          <w:tcPr>
            <w:tcW w:w="426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fartuchy wielorazowe</w:t>
            </w:r>
          </w:p>
        </w:tc>
        <w:tc>
          <w:tcPr>
            <w:tcW w:w="1701"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210</w:t>
            </w:r>
          </w:p>
        </w:tc>
      </w:tr>
      <w:tr w:rsidR="00CA14AB" w:rsidRPr="00E00B35" w:rsidTr="00CA14AB">
        <w:trPr>
          <w:gridAfter w:val="1"/>
          <w:wAfter w:w="10" w:type="dxa"/>
          <w:trHeight w:val="288"/>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10.</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maseczki wielorazowe</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10 000</w:t>
            </w:r>
          </w:p>
        </w:tc>
      </w:tr>
      <w:tr w:rsidR="00CA14AB" w:rsidRPr="00E00B35" w:rsidTr="00CA14AB">
        <w:trPr>
          <w:gridAfter w:val="1"/>
          <w:wAfter w:w="10" w:type="dxa"/>
          <w:trHeight w:val="288"/>
          <w:jc w:val="center"/>
        </w:trPr>
        <w:tc>
          <w:tcPr>
            <w:tcW w:w="61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11.</w:t>
            </w:r>
          </w:p>
        </w:tc>
        <w:tc>
          <w:tcPr>
            <w:tcW w:w="426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maseczki jednorazowe</w:t>
            </w:r>
          </w:p>
        </w:tc>
        <w:tc>
          <w:tcPr>
            <w:tcW w:w="1701"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16 600</w:t>
            </w:r>
          </w:p>
        </w:tc>
      </w:tr>
      <w:tr w:rsidR="00CA14AB" w:rsidRPr="00E00B35" w:rsidTr="00CA14AB">
        <w:trPr>
          <w:gridAfter w:val="1"/>
          <w:wAfter w:w="10" w:type="dxa"/>
          <w:trHeight w:val="288"/>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12.</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kombinezony</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91</w:t>
            </w:r>
          </w:p>
        </w:tc>
      </w:tr>
      <w:tr w:rsidR="00CA14AB" w:rsidRPr="00E00B35" w:rsidTr="00CA14AB">
        <w:trPr>
          <w:gridAfter w:val="1"/>
          <w:wAfter w:w="10" w:type="dxa"/>
          <w:trHeight w:val="288"/>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13.</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okulary ochronne</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62</w:t>
            </w:r>
          </w:p>
        </w:tc>
      </w:tr>
      <w:tr w:rsidR="00CA14AB" w:rsidRPr="00E00B35" w:rsidTr="00CA14AB">
        <w:trPr>
          <w:gridAfter w:val="1"/>
          <w:wAfter w:w="10" w:type="dxa"/>
          <w:trHeight w:val="305"/>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14.</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półprzyłbice,</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550</w:t>
            </w:r>
          </w:p>
        </w:tc>
      </w:tr>
      <w:tr w:rsidR="00CA14AB" w:rsidRPr="00E00B35" w:rsidTr="00CA14AB">
        <w:trPr>
          <w:gridAfter w:val="1"/>
          <w:wAfter w:w="10" w:type="dxa"/>
          <w:trHeight w:val="288"/>
          <w:jc w:val="center"/>
        </w:trPr>
        <w:tc>
          <w:tcPr>
            <w:tcW w:w="61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15.</w:t>
            </w:r>
          </w:p>
        </w:tc>
        <w:tc>
          <w:tcPr>
            <w:tcW w:w="4263" w:type="dxa"/>
            <w:tcBorders>
              <w:top w:val="single" w:sz="4" w:space="0" w:color="000000"/>
              <w:left w:val="single" w:sz="4" w:space="0" w:color="000000"/>
              <w:bottom w:val="single" w:sz="4" w:space="0" w:color="000000"/>
            </w:tcBorders>
            <w:shd w:val="clear" w:color="auto" w:fill="FFFFFF"/>
            <w:vAlign w:val="center"/>
          </w:tcPr>
          <w:p w:rsidR="00CA14AB" w:rsidRPr="00E00B35" w:rsidRDefault="00CA14AB" w:rsidP="00E00B35">
            <w:pPr>
              <w:spacing w:after="0" w:line="312" w:lineRule="auto"/>
              <w:rPr>
                <w:szCs w:val="20"/>
              </w:rPr>
            </w:pPr>
            <w:r w:rsidRPr="00E00B35">
              <w:rPr>
                <w:szCs w:val="20"/>
              </w:rPr>
              <w:t>przyłbice</w:t>
            </w:r>
          </w:p>
        </w:tc>
        <w:tc>
          <w:tcPr>
            <w:tcW w:w="1701" w:type="dxa"/>
            <w:tcBorders>
              <w:top w:val="single" w:sz="4" w:space="0" w:color="000000"/>
              <w:left w:val="single" w:sz="4" w:space="0" w:color="000000"/>
              <w:bottom w:val="single" w:sz="4" w:space="0" w:color="000000"/>
            </w:tcBorders>
            <w:shd w:val="clear" w:color="auto" w:fill="FFFFFF"/>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500</w:t>
            </w:r>
          </w:p>
        </w:tc>
      </w:tr>
      <w:tr w:rsidR="00CA14AB" w:rsidRPr="00E00B35" w:rsidTr="00CA14AB">
        <w:trPr>
          <w:gridAfter w:val="1"/>
          <w:wAfter w:w="10" w:type="dxa"/>
          <w:trHeight w:val="288"/>
          <w:jc w:val="center"/>
        </w:trPr>
        <w:tc>
          <w:tcPr>
            <w:tcW w:w="618"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16.</w:t>
            </w:r>
          </w:p>
        </w:tc>
        <w:tc>
          <w:tcPr>
            <w:tcW w:w="4263"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dezynfekcja obiektów</w:t>
            </w:r>
          </w:p>
        </w:tc>
        <w:tc>
          <w:tcPr>
            <w:tcW w:w="1701"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18</w:t>
            </w:r>
          </w:p>
        </w:tc>
      </w:tr>
      <w:tr w:rsidR="00CA14AB" w:rsidRPr="00E00B35" w:rsidTr="00CA14AB">
        <w:trPr>
          <w:gridAfter w:val="1"/>
          <w:wAfter w:w="10" w:type="dxa"/>
          <w:trHeight w:val="288"/>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17.</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osłony</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16</w:t>
            </w:r>
          </w:p>
        </w:tc>
      </w:tr>
      <w:tr w:rsidR="00CA14AB" w:rsidRPr="00E00B35" w:rsidTr="00CA14AB">
        <w:trPr>
          <w:gridAfter w:val="1"/>
          <w:wAfter w:w="10" w:type="dxa"/>
          <w:trHeight w:val="288"/>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18.</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siedziska dla dzieci</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1 850</w:t>
            </w:r>
          </w:p>
        </w:tc>
      </w:tr>
      <w:tr w:rsidR="00CA14AB" w:rsidRPr="00E00B35" w:rsidTr="00CA14AB">
        <w:trPr>
          <w:gridAfter w:val="1"/>
          <w:wAfter w:w="10" w:type="dxa"/>
          <w:trHeight w:val="288"/>
          <w:jc w:val="center"/>
        </w:trPr>
        <w:tc>
          <w:tcPr>
            <w:tcW w:w="618"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19.</w:t>
            </w:r>
          </w:p>
        </w:tc>
        <w:tc>
          <w:tcPr>
            <w:tcW w:w="4263"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kremy do rąk</w:t>
            </w:r>
          </w:p>
        </w:tc>
        <w:tc>
          <w:tcPr>
            <w:tcW w:w="1701" w:type="dxa"/>
            <w:tcBorders>
              <w:top w:val="none" w:sz="0"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szt.</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2 400</w:t>
            </w:r>
          </w:p>
        </w:tc>
      </w:tr>
    </w:tbl>
    <w:p w:rsidR="00264873" w:rsidRPr="00E00B35" w:rsidRDefault="00264873" w:rsidP="00E00B35">
      <w:pPr>
        <w:spacing w:after="0" w:line="312" w:lineRule="auto"/>
        <w:rPr>
          <w:szCs w:val="20"/>
        </w:rPr>
      </w:pPr>
      <w:bookmarkStart w:id="321" w:name="_Toc72352405"/>
      <w:bookmarkStart w:id="322" w:name="_Toc72352839"/>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DZIAŁANIA PODJĘTE W PLACÓWKACH ŻŁOBKOWYCH W ZWIĄZKU ZE STANEM EPIDEMII</w:t>
      </w:r>
      <w:bookmarkEnd w:id="321"/>
      <w:bookmarkEnd w:id="322"/>
    </w:p>
    <w:p w:rsidR="00CA14AB" w:rsidRPr="00E00B35" w:rsidRDefault="00CA14AB" w:rsidP="00E00B35">
      <w:pPr>
        <w:spacing w:after="0" w:line="312" w:lineRule="auto"/>
        <w:rPr>
          <w:szCs w:val="20"/>
        </w:rPr>
      </w:pPr>
      <w:r w:rsidRPr="00E00B35">
        <w:rPr>
          <w:szCs w:val="20"/>
        </w:rPr>
        <w:t xml:space="preserve">Działalność żłobków, po okresie zamknięcia została wznowiona w oparciu o wytyczne Głównego Inspektora Sanitarnego. Pracownicy żłobków rozpoczęli pracę w zmożonym reżimie sanitarnym. W okresie od maja do grudnia, stosując się do zaleceń Głównego Inspektora Sanitarnego, plan opieki nad dziećmi uległ modyfikacji wynikającej  </w:t>
      </w:r>
    </w:p>
    <w:p w:rsidR="00CA14AB" w:rsidRPr="00E00B35" w:rsidRDefault="00CA14AB" w:rsidP="00E00B35">
      <w:pPr>
        <w:spacing w:after="0" w:line="312" w:lineRule="auto"/>
        <w:rPr>
          <w:szCs w:val="20"/>
        </w:rPr>
      </w:pPr>
      <w:r w:rsidRPr="00E00B35">
        <w:rPr>
          <w:szCs w:val="20"/>
        </w:rPr>
        <w:t xml:space="preserve">z ograniczeń sanitarnych i konieczności zachowania dystansu. Większość zabaw miała charakter dydaktyczny (mniej tematyczny), wykorzystywano inny rodzaj zabawek  </w:t>
      </w:r>
    </w:p>
    <w:p w:rsidR="00CA14AB" w:rsidRPr="00E00B35" w:rsidRDefault="00CA14AB" w:rsidP="00E00B35">
      <w:pPr>
        <w:spacing w:after="0" w:line="312" w:lineRule="auto"/>
        <w:rPr>
          <w:szCs w:val="20"/>
        </w:rPr>
      </w:pPr>
      <w:r w:rsidRPr="00E00B35">
        <w:rPr>
          <w:szCs w:val="20"/>
        </w:rPr>
        <w:lastRenderedPageBreak/>
        <w:t>i pomocy, które także musiały być dobierane pod względem późniejszej dezynfekcji.</w:t>
      </w:r>
    </w:p>
    <w:p w:rsidR="00CA14AB" w:rsidRPr="00E00B35" w:rsidRDefault="00CA14AB" w:rsidP="00E00B35">
      <w:pPr>
        <w:spacing w:after="0" w:line="312" w:lineRule="auto"/>
        <w:rPr>
          <w:szCs w:val="20"/>
        </w:rPr>
      </w:pPr>
      <w:r w:rsidRPr="00E00B35">
        <w:rPr>
          <w:szCs w:val="20"/>
        </w:rPr>
        <w:t>W planie organizacji pracy w ciągu dnia pojawiły się działania mające na celu usunięcie szkodliwych wirusów i bakterii z pomieszczeń (np. parowanie, ozonowanie, zmywanie płynem dezynfekcyjnym ), a także dodatkowe czynności związane z kontrolą epidemiczną osób wchodzących do placówki.</w:t>
      </w:r>
    </w:p>
    <w:p w:rsidR="00CA14AB" w:rsidRPr="00E00B35" w:rsidRDefault="00CA14AB" w:rsidP="00E00B35">
      <w:pPr>
        <w:spacing w:after="0" w:line="312" w:lineRule="auto"/>
        <w:rPr>
          <w:szCs w:val="20"/>
        </w:rPr>
      </w:pPr>
      <w:r w:rsidRPr="00E00B35">
        <w:rPr>
          <w:szCs w:val="20"/>
        </w:rPr>
        <w:t>Określone wytyczne zaostrzyły kryteria w ilości przyjęć dzieci, co spowodowało znaczne zmniejszenie ilości dzieci w grupach. Praca w nowych warunkach  wiązała się                   z podejmowaniem  nowych rozwiązań organizacyjnych, dzięki którym zapewnione zostało bezpieczeństwo pracowników i dzieci oraz higieniczne warunki na salach. W tym celu opracowane zostały harmonogramy sprzątania, szczególna dbałość w czynnościach   zabiegach higienicznych (dodatkowe przyłbice, fartuchy wielokrotnego użytku, fartuchy jednorazowe).</w:t>
      </w:r>
    </w:p>
    <w:p w:rsidR="00CA14AB" w:rsidRPr="00E00B35" w:rsidRDefault="00CA14AB" w:rsidP="00E00B35">
      <w:pPr>
        <w:spacing w:after="0" w:line="312" w:lineRule="auto"/>
        <w:rPr>
          <w:szCs w:val="20"/>
        </w:rPr>
      </w:pPr>
      <w:r w:rsidRPr="00E00B35">
        <w:rPr>
          <w:szCs w:val="20"/>
        </w:rPr>
        <w:t>Ze względu na wysokie ryzyko zarażenia się Covid-19 wszystkie imprezy okolicznościowe, które odbywały się od września, zorganizowane zostały w oparciu o harmonogram imprez wewnętrznych, na podstawie konspektów oraz miesięcznych planów opracowanych przez zespół opiekunów. Nowy styl pracy wyzwolił  kreatywność i bazował na zasobach ludzkich. Kapitał ludzki, umiejętności i zdolności stały się w tym roku w pracy szczególnie cenne i ważne.</w:t>
      </w:r>
    </w:p>
    <w:p w:rsidR="00CA14AB" w:rsidRPr="00E00B35" w:rsidRDefault="00CA14AB" w:rsidP="00E00B35">
      <w:pPr>
        <w:spacing w:after="0" w:line="312" w:lineRule="auto"/>
        <w:rPr>
          <w:szCs w:val="20"/>
        </w:rPr>
      </w:pPr>
      <w:r w:rsidRPr="00E00B35">
        <w:rPr>
          <w:rFonts w:eastAsia="Nimbus Roman No9 L"/>
          <w:szCs w:val="20"/>
        </w:rPr>
        <w:t xml:space="preserve">Działania podjęte przez psychologa w związku ze stanem epidemii: </w:t>
      </w:r>
    </w:p>
    <w:p w:rsidR="00CA14AB" w:rsidRPr="00E00B35" w:rsidRDefault="00CA14AB" w:rsidP="00BC64AB">
      <w:pPr>
        <w:pStyle w:val="Akapitzlist"/>
        <w:numPr>
          <w:ilvl w:val="0"/>
          <w:numId w:val="198"/>
        </w:numPr>
        <w:spacing w:after="0" w:line="312" w:lineRule="auto"/>
        <w:rPr>
          <w:szCs w:val="20"/>
        </w:rPr>
      </w:pPr>
      <w:r w:rsidRPr="00E00B35">
        <w:rPr>
          <w:rFonts w:eastAsia="Nimbus Roman No9 L"/>
          <w:szCs w:val="20"/>
        </w:rPr>
        <w:t xml:space="preserve">uruchomiono możliwość konsultacji dla rodziców dzieci telefonicznie lub  </w:t>
      </w:r>
    </w:p>
    <w:p w:rsidR="00CA14AB" w:rsidRPr="00E00B35" w:rsidRDefault="00CA14AB" w:rsidP="00BC64AB">
      <w:pPr>
        <w:pStyle w:val="Akapitzlist"/>
        <w:numPr>
          <w:ilvl w:val="0"/>
          <w:numId w:val="198"/>
        </w:numPr>
        <w:spacing w:after="0" w:line="312" w:lineRule="auto"/>
        <w:rPr>
          <w:szCs w:val="20"/>
        </w:rPr>
      </w:pPr>
      <w:r w:rsidRPr="00E00B35">
        <w:rPr>
          <w:rFonts w:eastAsia="Nimbus Roman No9 L"/>
          <w:szCs w:val="20"/>
        </w:rPr>
        <w:t xml:space="preserve">z wykorzystaniem poczty elektronicznej; </w:t>
      </w:r>
    </w:p>
    <w:p w:rsidR="00CA14AB" w:rsidRPr="00E00B35" w:rsidRDefault="00CA14AB" w:rsidP="00BC64AB">
      <w:pPr>
        <w:pStyle w:val="Akapitzlist"/>
        <w:numPr>
          <w:ilvl w:val="0"/>
          <w:numId w:val="198"/>
        </w:numPr>
        <w:spacing w:after="0" w:line="312" w:lineRule="auto"/>
        <w:rPr>
          <w:szCs w:val="20"/>
        </w:rPr>
      </w:pPr>
      <w:r w:rsidRPr="00E00B35">
        <w:rPr>
          <w:rFonts w:eastAsia="Nimbus Roman No9 L"/>
          <w:szCs w:val="20"/>
        </w:rPr>
        <w:t>przygotowane zostały materiały psychoedukacyjne mające na celu wsparcie pracowników, rodziców dzieci Wrocławskiego Zespołu Żłobków w stanie epidemii COVID-19:</w:t>
      </w:r>
      <w:r w:rsidR="00264873" w:rsidRPr="00E00B35">
        <w:rPr>
          <w:rFonts w:eastAsia="Nimbus Roman No9 L"/>
          <w:szCs w:val="20"/>
        </w:rPr>
        <w:t xml:space="preserve"> </w:t>
      </w:r>
      <w:r w:rsidRPr="00E00B35">
        <w:rPr>
          <w:rFonts w:eastAsia="Nimbus Roman No9 L"/>
          <w:szCs w:val="20"/>
        </w:rPr>
        <w:t>“Radzenie sobie z lękiem przed koronawirusem. Praktyczne wskazówki.”</w:t>
      </w:r>
      <w:r w:rsidR="00264873" w:rsidRPr="00E00B35">
        <w:rPr>
          <w:rFonts w:eastAsia="Nimbus Roman No9 L"/>
          <w:szCs w:val="20"/>
        </w:rPr>
        <w:t xml:space="preserve">, </w:t>
      </w:r>
      <w:r w:rsidRPr="00E00B35">
        <w:rPr>
          <w:rFonts w:eastAsia="Nimbus Roman No9 L"/>
          <w:szCs w:val="20"/>
        </w:rPr>
        <w:t>“Sposoby radzenia sobie ze stresem.”</w:t>
      </w:r>
      <w:r w:rsidR="00264873" w:rsidRPr="00E00B35">
        <w:rPr>
          <w:rFonts w:eastAsia="Nimbus Roman No9 L"/>
          <w:szCs w:val="20"/>
        </w:rPr>
        <w:t>,</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przygotowano cotygodniowe propozycje zabaw relaksacyjnych i sensorycznych dla rodziców dzieci Wrocławskiego Zespołu Żłobków;</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udzielano wsparcia psychologicznego drogą mailową/telefoniczną pracownikom Wrocławskiego Zespołu Żłobków oraz rodzicom dzieci uczęszczających do żłobków Wrocławskiego Zespołu Żłobków</w:t>
      </w:r>
      <w:r w:rsidR="00264873" w:rsidRPr="00E00B35">
        <w:rPr>
          <w:rFonts w:eastAsia="Nimbus Roman No9 L"/>
          <w:szCs w:val="20"/>
        </w:rPr>
        <w:t xml:space="preserve"> </w:t>
      </w:r>
      <w:r w:rsidRPr="00E00B35">
        <w:rPr>
          <w:rFonts w:eastAsia="Nimbus Roman No9 L"/>
          <w:szCs w:val="20"/>
        </w:rPr>
        <w:t>przygotowano wskazówki dla opiekunów „Jak wesprzeć dziecko uczęszczaj</w:t>
      </w:r>
      <w:r w:rsidR="00264873" w:rsidRPr="00E00B35">
        <w:rPr>
          <w:rFonts w:eastAsia="Nimbus Roman No9 L"/>
          <w:szCs w:val="20"/>
        </w:rPr>
        <w:t>ące do żłobka podczas pandemii”.</w:t>
      </w:r>
    </w:p>
    <w:p w:rsidR="00CA14AB" w:rsidRPr="00E00B35" w:rsidRDefault="00CA14AB" w:rsidP="00E00B35">
      <w:pPr>
        <w:spacing w:after="0" w:line="312" w:lineRule="auto"/>
        <w:rPr>
          <w:szCs w:val="20"/>
        </w:rPr>
      </w:pPr>
      <w:r w:rsidRPr="00E00B35">
        <w:rPr>
          <w:szCs w:val="20"/>
        </w:rPr>
        <w:t>Stan epidemii związany z COVID-19 wymagał podjęcia działań także w zakresie żywienia dzieci w żłobkach. Został</w:t>
      </w:r>
      <w:r w:rsidR="00264873" w:rsidRPr="00E00B35">
        <w:rPr>
          <w:szCs w:val="20"/>
        </w:rPr>
        <w:t>a</w:t>
      </w:r>
      <w:r w:rsidRPr="00E00B35">
        <w:rPr>
          <w:szCs w:val="20"/>
        </w:rPr>
        <w:t xml:space="preserve"> opracowan</w:t>
      </w:r>
      <w:r w:rsidR="00264873" w:rsidRPr="00E00B35">
        <w:rPr>
          <w:szCs w:val="20"/>
        </w:rPr>
        <w:t>a</w:t>
      </w:r>
      <w:r w:rsidRPr="00E00B35">
        <w:rPr>
          <w:szCs w:val="20"/>
        </w:rPr>
        <w:t xml:space="preserve"> procedura HIGIENICZNA PRODUKCJA I DYSTRYBUCJA POSIŁKÓW WE WROCŁAWKIM ZESPOLE ŻŁOBKÓW – COVID-19</w:t>
      </w:r>
    </w:p>
    <w:p w:rsidR="00CA14AB" w:rsidRPr="00E00B35" w:rsidRDefault="00CA14AB" w:rsidP="00E00B35">
      <w:pPr>
        <w:spacing w:after="0" w:line="312" w:lineRule="auto"/>
        <w:rPr>
          <w:szCs w:val="20"/>
        </w:rPr>
      </w:pPr>
      <w:r w:rsidRPr="00E00B35">
        <w:rPr>
          <w:szCs w:val="20"/>
        </w:rPr>
        <w:t>Ćwiczenia ewakuacyjne w żłobkach przeprowadzono w formie zdalnej poprzez e-learning pod nadzorem pracowników Wydziału Bezpieczeństwa i Zarządzania Kryzysowego Urzędu Miejskiego Wrocławia zgodnie z zaleceniami Komendy Głównej PSP w Warszawie.</w:t>
      </w:r>
    </w:p>
    <w:p w:rsidR="005E6C69" w:rsidRPr="00E00B35" w:rsidRDefault="005E6C69" w:rsidP="00E00B35">
      <w:pPr>
        <w:pStyle w:val="Nagwek5"/>
        <w:rPr>
          <w:szCs w:val="20"/>
        </w:rPr>
      </w:pPr>
      <w:bookmarkStart w:id="323" w:name="_Toc72352406"/>
      <w:bookmarkStart w:id="324" w:name="_Toc72352840"/>
    </w:p>
    <w:p w:rsidR="00CA14AB" w:rsidRPr="00E00B35" w:rsidRDefault="00CA14AB" w:rsidP="00E00B35">
      <w:pPr>
        <w:pStyle w:val="Nagwek5"/>
        <w:rPr>
          <w:szCs w:val="20"/>
        </w:rPr>
      </w:pPr>
      <w:r w:rsidRPr="00E00B35">
        <w:rPr>
          <w:szCs w:val="20"/>
        </w:rPr>
        <w:t>OPIEKA NAD DZIEĆMI W WIEKU DO LAT 3</w:t>
      </w:r>
      <w:bookmarkEnd w:id="323"/>
      <w:bookmarkEnd w:id="324"/>
    </w:p>
    <w:p w:rsidR="00CA14AB" w:rsidRPr="00E00B35" w:rsidRDefault="00CA14AB" w:rsidP="00E00B35">
      <w:pPr>
        <w:spacing w:after="0" w:line="312" w:lineRule="auto"/>
        <w:rPr>
          <w:szCs w:val="20"/>
        </w:rPr>
      </w:pPr>
      <w:r w:rsidRPr="00E00B35">
        <w:rPr>
          <w:szCs w:val="20"/>
        </w:rPr>
        <w:t>Podstawowym zadaniem żłobka jest stworzenie dzieciom jak najlepszych warunków do rozwoju osobistego, intelektualnego i społecznego.</w:t>
      </w:r>
    </w:p>
    <w:p w:rsidR="00CA14AB" w:rsidRPr="00E00B35" w:rsidRDefault="00CA14AB" w:rsidP="00E00B35">
      <w:pPr>
        <w:spacing w:after="0" w:line="312" w:lineRule="auto"/>
        <w:rPr>
          <w:szCs w:val="20"/>
        </w:rPr>
      </w:pPr>
      <w:r w:rsidRPr="00E00B35">
        <w:rPr>
          <w:szCs w:val="20"/>
        </w:rPr>
        <w:t xml:space="preserve">Wiek żłobkowy jest okresem bardzo istotnym dla dalszego rozwoju dziecka. Każde dziecko w tym wieku  posiada wrodzony potencjał, rozwija się według własnych </w:t>
      </w:r>
      <w:r w:rsidRPr="00E00B35">
        <w:rPr>
          <w:szCs w:val="20"/>
        </w:rPr>
        <w:lastRenderedPageBreak/>
        <w:t>możliwości. Specyfika pracy z dzieckiem w okresie żłobkowym  polega na ostrożnym doborze form  i metod pracy z uwzględnieniem indywidualnych potrzeb oraz dostosowanie ich do poziomu rozwoju dziecka, co pozwala dzieciom na pełne i aktywne uczestnictwo w życiu grupy.</w:t>
      </w:r>
    </w:p>
    <w:p w:rsidR="00CA14AB" w:rsidRPr="00E00B35" w:rsidRDefault="00CA14AB" w:rsidP="00E00B35">
      <w:pPr>
        <w:spacing w:after="0" w:line="312" w:lineRule="auto"/>
        <w:rPr>
          <w:szCs w:val="20"/>
        </w:rPr>
      </w:pPr>
      <w:r w:rsidRPr="00E00B35">
        <w:rPr>
          <w:szCs w:val="20"/>
        </w:rPr>
        <w:t xml:space="preserve">Praca dydaktyczno-wychowawcza prowadzona jest na podstawie założeń „Planu wychowawczego grupy wiekowej”, które są planowane na dany miesiąc, oraz na podstawie „Katalogu niezbędnych oddziaływań wychowawczych”. W planach pracy uwzględnia się porę roku, uroczystości i święta kalendarzowe. Zajęcia przeprowadzane są na podstawie codziennie planowanych i zapisywanych konspektów pracy dydaktyczno-wychowawczej. </w:t>
      </w:r>
    </w:p>
    <w:p w:rsidR="00CA14AB" w:rsidRPr="00E00B35" w:rsidRDefault="00CA14AB" w:rsidP="00E00B35">
      <w:pPr>
        <w:spacing w:after="0" w:line="312" w:lineRule="auto"/>
        <w:rPr>
          <w:szCs w:val="20"/>
        </w:rPr>
      </w:pPr>
      <w:r w:rsidRPr="00E00B35">
        <w:rPr>
          <w:szCs w:val="20"/>
        </w:rPr>
        <w:t>W żłobkach przeprowadzane są następujące zajęcia:</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Zajęcia dydaktyczne – przeprowadzane są zajęcia i zabawy, które mają zintegrować i wyrobić poczucie potrzeby przynależności, szczególnie w pierwszych dniach adaptacji w żłobku.</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Zajęcia, które wzbogacają słownictwo dzieci, doskonalą umiejętność wypowiadania się.</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3922395" cy="3441065"/>
            <wp:effectExtent l="19050" t="0" r="1905" b="0"/>
            <wp:docPr id="110" name="Obraz 13" descr="Sala zabaw dla dzieci w żłobku. Regały z zabawkami. Dzieci sziedzą na dywanie, obserwują i słuchają. Jedno dziecko razem z opiekunką przy tablicy magnetycznej stojącej na podłodze. Na tablicy magnetycznej przymocowane obra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la zabaw dla dzieci w żłobku. Regały z zabawkami. Dzieci sziedzą na dywanie, obserwują i słuchają. Jedno dziecko razem z opiekunką przy tablicy magnetycznej stojącej na podłodze. Na tablicy magnetycznej przymocowane obrazki."/>
                    <pic:cNvPicPr>
                      <a:picLocks noChangeAspect="1" noChangeArrowheads="1"/>
                    </pic:cNvPicPr>
                  </pic:nvPicPr>
                  <pic:blipFill>
                    <a:blip r:embed="rId107" cstate="print"/>
                    <a:srcRect/>
                    <a:stretch>
                      <a:fillRect/>
                    </a:stretch>
                  </pic:blipFill>
                  <pic:spPr bwMode="auto">
                    <a:xfrm>
                      <a:off x="0" y="0"/>
                      <a:ext cx="3922395" cy="3441065"/>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2</w:t>
      </w:r>
      <w:r w:rsidR="00573162" w:rsidRPr="00E00B35">
        <w:rPr>
          <w:szCs w:val="20"/>
        </w:rPr>
        <w:fldChar w:fldCharType="end"/>
      </w:r>
      <w:r w:rsidRPr="00E00B35">
        <w:rPr>
          <w:szCs w:val="20"/>
        </w:rPr>
        <w:t xml:space="preserve"> Zajęcia dydaktyczne</w:t>
      </w:r>
    </w:p>
    <w:p w:rsidR="00CA14AB" w:rsidRPr="00E00B35" w:rsidRDefault="00CA14AB" w:rsidP="00E00B35">
      <w:pPr>
        <w:spacing w:after="0" w:line="312" w:lineRule="auto"/>
        <w:rPr>
          <w:szCs w:val="20"/>
        </w:rPr>
      </w:pPr>
      <w:r w:rsidRPr="00E00B35">
        <w:rPr>
          <w:szCs w:val="20"/>
        </w:rPr>
        <w:t>Opowiadania, historyjki obrazkowe rozwijające słownictwo, wiedzę dzieci na temat otaczającego świata, zasad dobrego wychowania i zachowania, bezpieczeństwa oraz inspiracji, kontaktu z przyrodą, harmonii i spójności.</w:t>
      </w:r>
    </w:p>
    <w:p w:rsidR="00CA14AB" w:rsidRPr="00E00B35" w:rsidRDefault="00CA14AB" w:rsidP="00E00B35">
      <w:pPr>
        <w:spacing w:after="0" w:line="312" w:lineRule="auto"/>
        <w:rPr>
          <w:szCs w:val="20"/>
        </w:rPr>
      </w:pPr>
      <w:r w:rsidRPr="00E00B35">
        <w:rPr>
          <w:szCs w:val="20"/>
        </w:rPr>
        <w:t>Zajęcia kształtujące zmysły – zagadki dźwiękowe i smakowe.</w:t>
      </w:r>
    </w:p>
    <w:p w:rsidR="00CA14AB" w:rsidRPr="00E00B35" w:rsidRDefault="00CA14AB" w:rsidP="00E00B35">
      <w:pPr>
        <w:spacing w:after="0" w:line="312" w:lineRule="auto"/>
        <w:rPr>
          <w:szCs w:val="20"/>
        </w:rPr>
      </w:pPr>
      <w:r w:rsidRPr="00E00B35">
        <w:rPr>
          <w:szCs w:val="20"/>
        </w:rPr>
        <w:t>Zajęcia plastyczne – rysowanie, malowanie, wydzieranie, wyklejanie, tworzenie postaci i różnych form z plasteliny. Nauka rozpoznawania podstawowych kolorów oraz umiejętności koordynacji oko-ręka.</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4234815" cy="3176270"/>
            <wp:effectExtent l="19050" t="0" r="0" b="0"/>
            <wp:docPr id="109" name="Obraz 14" descr="Dzieci siedzą na podłodze. Wraz z opiekunkami przyklejają kolorowe liście  zrobione z papieru do drzewa wyciętego z kart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zieci siedzą na podłodze. Wraz z opiekunkami przyklejają kolorowe liście  zrobione z papieru do drzewa wyciętego z kartonu."/>
                    <pic:cNvPicPr>
                      <a:picLocks noChangeAspect="1" noChangeArrowheads="1"/>
                    </pic:cNvPicPr>
                  </pic:nvPicPr>
                  <pic:blipFill>
                    <a:blip r:embed="rId108" cstate="print"/>
                    <a:srcRect/>
                    <a:stretch>
                      <a:fillRect/>
                    </a:stretch>
                  </pic:blipFill>
                  <pic:spPr bwMode="auto">
                    <a:xfrm>
                      <a:off x="0" y="0"/>
                      <a:ext cx="4234815" cy="3176270"/>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3</w:t>
      </w:r>
      <w:r w:rsidR="00573162" w:rsidRPr="00E00B35">
        <w:rPr>
          <w:szCs w:val="20"/>
        </w:rPr>
        <w:fldChar w:fldCharType="end"/>
      </w:r>
      <w:r w:rsidRPr="00E00B35">
        <w:rPr>
          <w:szCs w:val="20"/>
        </w:rPr>
        <w:t xml:space="preserve"> Zajęcia plastyczne</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Zajęcia muzyczne i rytmiczne – rozwijanie słuchu muzycznego, pamięci muzycznej, poczucia rytmu – zabawy rytmiczne i nauka piosenek. Reagowanie dzieci na zmianę tempa, rytmu nastroju muzycznego w czasie zabaw ruchowych i umuzykalniających. Zapoznanie dzieci z instrumentami muzycznymi.</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Zajęcia ruchowe – Zabawy ruchowe orientacyjno-porządkowe, skoczne, ćwiczące równowagę, ćwiczenie rzutu do celu, podskoki oraz tory przeszkód z wykorzystaniem kształtek rehabilitacyjnych.</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Zajęcia tematyczne – w kącikach np. kuchennym, fryzjerskim, lalek itp. kształtujące rozwój procesów poznawczych, umiejętności wspólnej zabawy, naśladowania czynności dorosłych.</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Zajęcia logopedyczne, czytelnicze, edukacyjne, propagujące zdrowy styl życia – ćwiczenia oddechowe, głosowe, nauka wierszy. Dbanie o prawidłową artykulację. Czytanie, opowiadanie krótkich bajek i opowiadań poszerzających wiedzę o otoczeniu.</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Zajęcia relaksacyjne – słuchanie muzyki relaksacyjnej w celu wyciszenia.</w:t>
      </w:r>
    </w:p>
    <w:p w:rsidR="00CA14AB" w:rsidRPr="00E00B35" w:rsidRDefault="00CA14AB" w:rsidP="00E00B35">
      <w:pPr>
        <w:spacing w:after="0" w:line="312" w:lineRule="auto"/>
        <w:rPr>
          <w:rFonts w:eastAsia="Nimbus Roman No9 L"/>
          <w:szCs w:val="20"/>
        </w:rPr>
      </w:pPr>
      <w:r w:rsidRPr="00E00B35">
        <w:rPr>
          <w:rFonts w:eastAsia="Nimbus Roman No9 L"/>
          <w:szCs w:val="20"/>
        </w:rPr>
        <w:t>W pracy z dziećmi wykorzystywane są nowoczesne sposoby, które służą rozwijaniu zdolności oraz zainteresowań dzieci. Najlepszym sposobem wychowania oraz nauczania jest umiejętna kombinacja dwóch rodzajów działań: tradycyjnego postępowania  z najmłodszymi oraz oryginalnego, często nieszablonowego rozbudzania w dzieciach ukrytych zdolności i zainteresowań.</w:t>
      </w:r>
    </w:p>
    <w:p w:rsidR="00CA14AB" w:rsidRPr="00E00B35" w:rsidRDefault="00CA14AB" w:rsidP="00E00B35">
      <w:pPr>
        <w:spacing w:after="0" w:line="312" w:lineRule="auto"/>
        <w:rPr>
          <w:szCs w:val="20"/>
        </w:rPr>
      </w:pPr>
      <w:r w:rsidRPr="00E00B35">
        <w:rPr>
          <w:szCs w:val="20"/>
        </w:rPr>
        <w:t>Dzieci w ciągu całego roku/pobytu w żłobku uczą się:</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współżycia społecznego w grupie dziecięcej,</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samodzielnego wykonywania czynności fizjologicznych i higienicznych,</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samodzielnego spożywania posiłków,</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używania prawidłowych zwrotów grzecznościowych,</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 xml:space="preserve">nawiązywania kontaktu i dzielenia się przedmiotami i zabawkami z drugim dzieckiem, </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poznawania reguł i zasad współżycia społecznego.</w:t>
      </w:r>
    </w:p>
    <w:p w:rsidR="00CA14AB" w:rsidRPr="00E00B35" w:rsidRDefault="00CA14AB" w:rsidP="00E00B35">
      <w:pPr>
        <w:spacing w:after="0" w:line="312" w:lineRule="auto"/>
        <w:rPr>
          <w:rFonts w:eastAsia="Nimbus Roman No9 L"/>
          <w:szCs w:val="20"/>
        </w:rPr>
      </w:pPr>
      <w:r w:rsidRPr="00E00B35">
        <w:rPr>
          <w:rFonts w:eastAsia="Nimbus Roman No9 L"/>
          <w:szCs w:val="20"/>
        </w:rPr>
        <w:lastRenderedPageBreak/>
        <w:t>Podczas zajęć wykorzystywane są elementy pedagogiki zabawy, kinezjologii edukacyjnej i pedagogiki Marii Montessori.</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Imprezy okolicznościowe w żłobkach</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Dzień Mamy i Taty</w:t>
      </w:r>
    </w:p>
    <w:p w:rsidR="00CA14AB" w:rsidRPr="00E00B35" w:rsidRDefault="00CA14AB" w:rsidP="00E00B35">
      <w:pPr>
        <w:spacing w:after="0" w:line="312" w:lineRule="auto"/>
        <w:rPr>
          <w:rFonts w:eastAsia="Nimbus Roman No9 L"/>
          <w:szCs w:val="20"/>
        </w:rPr>
      </w:pPr>
      <w:r w:rsidRPr="00E00B35">
        <w:rPr>
          <w:rFonts w:eastAsia="Nimbus Roman No9 L"/>
          <w:szCs w:val="20"/>
        </w:rPr>
        <w:t>Dydaktyczne wprowadzenie dzieci w zagadnienie święta, przygotowywanie laurek. Śpiewanie piosenek i recytacja wierszy związanych z tematyką Dnia Mamy i Dnia Taty.</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Dzień Dziecka</w:t>
      </w:r>
    </w:p>
    <w:p w:rsidR="00CA14AB" w:rsidRPr="00E00B35" w:rsidRDefault="00CA14AB" w:rsidP="00E00B35">
      <w:pPr>
        <w:spacing w:after="0" w:line="312" w:lineRule="auto"/>
        <w:rPr>
          <w:rFonts w:eastAsia="Nimbus Roman No9 L"/>
          <w:szCs w:val="20"/>
        </w:rPr>
      </w:pPr>
      <w:r w:rsidRPr="00E00B35">
        <w:rPr>
          <w:rFonts w:eastAsia="Nimbus Roman No9 L"/>
          <w:szCs w:val="20"/>
        </w:rPr>
        <w:t>Zabawy przy muzyce. Wręczanie upominków dla dzieci.</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Uroczyste zakończenie roku</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Śpiewanie piosenek. Wręczanie dyplomów i upominków dla dzie</w:t>
      </w:r>
      <w:r w:rsidR="0007217B" w:rsidRPr="00E00B35">
        <w:rPr>
          <w:rFonts w:eastAsia="Nimbus Roman No9 L"/>
          <w:szCs w:val="20"/>
        </w:rPr>
        <w:t>ci kończących edukację w żłobku,</w:t>
      </w:r>
    </w:p>
    <w:p w:rsidR="00CA14AB" w:rsidRPr="00E00B35" w:rsidRDefault="0007217B" w:rsidP="00BC64AB">
      <w:pPr>
        <w:pStyle w:val="Akapitzlist"/>
        <w:numPr>
          <w:ilvl w:val="0"/>
          <w:numId w:val="198"/>
        </w:numPr>
        <w:spacing w:after="0" w:line="312" w:lineRule="auto"/>
        <w:rPr>
          <w:rFonts w:eastAsia="Nimbus Roman No9 L"/>
          <w:szCs w:val="20"/>
        </w:rPr>
      </w:pPr>
      <w:r w:rsidRPr="00E00B35">
        <w:rPr>
          <w:rFonts w:eastAsia="Nimbus Roman No9 L"/>
          <w:szCs w:val="20"/>
        </w:rPr>
        <w:t>Zabawa Mikołajkowa,</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Przygotowanie prac plastycznych przez dzieci – „Listu do Św. Mikołaja.” Udekorowanie sali zabaw i szatni oraz wejścia do żłobka. Śpiewanie piosenek o Św. Mikołaju, wspólna zabawa z Mikołajem. Przeprowadzenie różnych konkursów z aktywnym udziałem dzieci. Uroczyste wręczanie prezentów od Św. Mikołaja. Upamiętnienie dnia zdjęciami indywidualnymi i grupowym. Za Św. Mikołaja prz</w:t>
      </w:r>
      <w:r w:rsidR="0007217B" w:rsidRPr="00E00B35">
        <w:rPr>
          <w:rFonts w:eastAsia="Nimbus Roman No9 L"/>
          <w:szCs w:val="20"/>
        </w:rPr>
        <w:t>ebierali się pracownicy Żłobków.</w:t>
      </w:r>
    </w:p>
    <w:p w:rsidR="00CA14AB" w:rsidRPr="00E00B35" w:rsidRDefault="00CA14AB" w:rsidP="00E00B35">
      <w:pPr>
        <w:pStyle w:val="Akapitzlist"/>
        <w:spacing w:after="0" w:line="312" w:lineRule="auto"/>
        <w:ind w:left="360"/>
        <w:rPr>
          <w:rFonts w:eastAsia="Nimbus Roman No9 L"/>
          <w:szCs w:val="20"/>
        </w:rPr>
      </w:pPr>
    </w:p>
    <w:p w:rsidR="00CA14AB" w:rsidRPr="00E00B35" w:rsidRDefault="00CA14AB" w:rsidP="00E00B35">
      <w:pPr>
        <w:pStyle w:val="Akapitzlist"/>
        <w:spacing w:after="0" w:line="312" w:lineRule="auto"/>
        <w:ind w:left="360"/>
        <w:rPr>
          <w:rFonts w:eastAsia="Nimbus Roman No9 L"/>
          <w:szCs w:val="20"/>
        </w:rPr>
      </w:pPr>
      <w:r w:rsidRPr="00E00B35">
        <w:rPr>
          <w:rFonts w:eastAsia="Nimbus Roman No9 L"/>
          <w:noProof/>
          <w:szCs w:val="20"/>
          <w:lang w:val="pl-PL" w:eastAsia="pl-PL" w:bidi="ar-SA"/>
        </w:rPr>
        <w:drawing>
          <wp:inline distT="0" distB="0" distL="0" distR="0">
            <wp:extent cx="3994785" cy="3441065"/>
            <wp:effectExtent l="0" t="285750" r="0" b="254635"/>
            <wp:docPr id="108" name="Obraz 12" descr="Siedzący Mikołaj z workiem prezent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Siedzący Mikołaj z workiem prezentów. "/>
                    <pic:cNvPicPr>
                      <a:picLocks noChangeAspect="1" noChangeArrowheads="1"/>
                    </pic:cNvPicPr>
                  </pic:nvPicPr>
                  <pic:blipFill>
                    <a:blip r:embed="rId109" cstate="print"/>
                    <a:srcRect/>
                    <a:stretch>
                      <a:fillRect/>
                    </a:stretch>
                  </pic:blipFill>
                  <pic:spPr bwMode="auto">
                    <a:xfrm rot="5400000">
                      <a:off x="0" y="0"/>
                      <a:ext cx="3994785" cy="344106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rFonts w:eastAsia="Nimbus Roman No9 L"/>
          <w:szCs w:val="20"/>
        </w:rPr>
      </w:pPr>
      <w:r w:rsidRPr="00E00B35">
        <w:rPr>
          <w:rFonts w:eastAsia="Nimbus Roman No9 L"/>
          <w:szCs w:val="20"/>
        </w:rPr>
        <w:lastRenderedPageBreak/>
        <w:t xml:space="preserve">Zdjęcie </w:t>
      </w:r>
      <w:r w:rsidR="00573162" w:rsidRPr="00E00B35">
        <w:rPr>
          <w:rFonts w:eastAsia="Nimbus Roman No9 L"/>
          <w:szCs w:val="20"/>
        </w:rPr>
        <w:fldChar w:fldCharType="begin"/>
      </w:r>
      <w:r w:rsidRPr="00E00B35">
        <w:rPr>
          <w:rFonts w:eastAsia="Nimbus Roman No9 L"/>
          <w:szCs w:val="20"/>
        </w:rPr>
        <w:instrText xml:space="preserve"> SEQ Zdjęcie \* ARABIC </w:instrText>
      </w:r>
      <w:r w:rsidR="00573162" w:rsidRPr="00E00B35">
        <w:rPr>
          <w:rFonts w:eastAsia="Nimbus Roman No9 L"/>
          <w:szCs w:val="20"/>
        </w:rPr>
        <w:fldChar w:fldCharType="separate"/>
      </w:r>
      <w:r w:rsidR="008C054F">
        <w:rPr>
          <w:rFonts w:eastAsia="Nimbus Roman No9 L"/>
          <w:noProof/>
          <w:szCs w:val="20"/>
        </w:rPr>
        <w:t>4</w:t>
      </w:r>
      <w:r w:rsidR="00573162" w:rsidRPr="00E00B35">
        <w:rPr>
          <w:rFonts w:eastAsia="Nimbus Roman No9 L"/>
          <w:szCs w:val="20"/>
        </w:rPr>
        <w:fldChar w:fldCharType="end"/>
      </w:r>
      <w:r w:rsidRPr="00E00B35">
        <w:rPr>
          <w:rFonts w:eastAsia="Nimbus Roman No9 L"/>
          <w:szCs w:val="20"/>
        </w:rPr>
        <w:t xml:space="preserve"> Mikołajki</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Kolędowanie przy choince</w:t>
      </w:r>
      <w:r w:rsidR="0007217B" w:rsidRPr="00E00B35">
        <w:rPr>
          <w:rFonts w:eastAsia="Nimbus Roman No9 L"/>
          <w:szCs w:val="20"/>
        </w:rPr>
        <w:t>,</w:t>
      </w:r>
    </w:p>
    <w:p w:rsidR="00CA14AB" w:rsidRPr="00E00B35" w:rsidRDefault="00CA14AB" w:rsidP="00BC64AB">
      <w:pPr>
        <w:pStyle w:val="Akapitzlist"/>
        <w:numPr>
          <w:ilvl w:val="0"/>
          <w:numId w:val="198"/>
        </w:numPr>
        <w:spacing w:after="0" w:line="312" w:lineRule="auto"/>
        <w:rPr>
          <w:rFonts w:eastAsia="Nimbus Roman No9 L"/>
          <w:szCs w:val="20"/>
        </w:rPr>
      </w:pPr>
      <w:r w:rsidRPr="00E00B35">
        <w:rPr>
          <w:rFonts w:eastAsia="Nimbus Roman No9 L"/>
          <w:szCs w:val="20"/>
        </w:rPr>
        <w:t>Ubieranie choinki - wieszanie ozdób choinkowych przez dzieci. Ws</w:t>
      </w:r>
      <w:r w:rsidR="0007217B" w:rsidRPr="00E00B35">
        <w:rPr>
          <w:rFonts w:eastAsia="Nimbus Roman No9 L"/>
          <w:szCs w:val="20"/>
        </w:rPr>
        <w:t>pólne kolędowanie przy choince,</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3489325" cy="3513455"/>
            <wp:effectExtent l="19050" t="0" r="0" b="0"/>
            <wp:docPr id="107" name="Obraz 16" descr="Gałąż śwerkowa na przymocowana na tablicy ogłoszeń. Gałąź ubrana w bombki z papieru zrobione przez dzie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ałąż śwerkowa na przymocowana na tablicy ogłoszeń. Gałąź ubrana w bombki z papieru zrobione przez dzieci."/>
                    <pic:cNvPicPr>
                      <a:picLocks noChangeAspect="1" noChangeArrowheads="1"/>
                    </pic:cNvPicPr>
                  </pic:nvPicPr>
                  <pic:blipFill>
                    <a:blip r:embed="rId110" cstate="print"/>
                    <a:srcRect/>
                    <a:stretch>
                      <a:fillRect/>
                    </a:stretch>
                  </pic:blipFill>
                  <pic:spPr bwMode="auto">
                    <a:xfrm>
                      <a:off x="0" y="0"/>
                      <a:ext cx="3489325" cy="3513455"/>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5</w:t>
      </w:r>
      <w:r w:rsidR="00573162" w:rsidRPr="00E00B35">
        <w:rPr>
          <w:szCs w:val="20"/>
        </w:rPr>
        <w:fldChar w:fldCharType="end"/>
      </w:r>
      <w:r w:rsidRPr="00E00B35">
        <w:rPr>
          <w:szCs w:val="20"/>
        </w:rPr>
        <w:t xml:space="preserve"> Praca plastyczna dzieci z okazji Świąt Bożego Narodzenia</w:t>
      </w:r>
    </w:p>
    <w:p w:rsidR="00CA14AB" w:rsidRPr="00E00B35" w:rsidRDefault="00CA14AB" w:rsidP="00BC64AB">
      <w:pPr>
        <w:pStyle w:val="Akapitzlist"/>
        <w:numPr>
          <w:ilvl w:val="0"/>
          <w:numId w:val="198"/>
        </w:numPr>
        <w:spacing w:after="0" w:line="312" w:lineRule="auto"/>
        <w:rPr>
          <w:szCs w:val="20"/>
        </w:rPr>
      </w:pPr>
      <w:r w:rsidRPr="00E00B35">
        <w:rPr>
          <w:rFonts w:eastAsia="Nimbus Roman No9 L"/>
          <w:szCs w:val="20"/>
        </w:rPr>
        <w:t>Zabawa</w:t>
      </w:r>
      <w:r w:rsidRPr="00E00B35">
        <w:rPr>
          <w:szCs w:val="20"/>
        </w:rPr>
        <w:t xml:space="preserve"> karnawałowa Zabawa taneczno-muzyczna z zespołem w udekorowanej balonikami sali. Pokaz strojów karnawałowych dzieci oraz opiekunek. Upamiętnienie zabawy sesją fotograficzną – zdjęcia indywidualne i grupowe wykonane przez fotografa.</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4596130" cy="3056255"/>
            <wp:effectExtent l="19050" t="0" r="0" b="0"/>
            <wp:docPr id="106" name="Obraz 17" descr="Sala zabaw w żłobku. Dwaj animatorzy puszczają muzykę i zachęcają do tańca. Dzieci tańczą przebrane w stroje karnawa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ala zabaw w żłobku. Dwaj animatorzy puszczają muzykę i zachęcają do tańca. Dzieci tańczą przebrane w stroje karnawałowe."/>
                    <pic:cNvPicPr>
                      <a:picLocks noChangeAspect="1" noChangeArrowheads="1"/>
                    </pic:cNvPicPr>
                  </pic:nvPicPr>
                  <pic:blipFill>
                    <a:blip r:embed="rId111" cstate="print"/>
                    <a:srcRect/>
                    <a:stretch>
                      <a:fillRect/>
                    </a:stretch>
                  </pic:blipFill>
                  <pic:spPr bwMode="auto">
                    <a:xfrm>
                      <a:off x="0" y="0"/>
                      <a:ext cx="4596130" cy="3056255"/>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6</w:t>
      </w:r>
      <w:r w:rsidR="00573162" w:rsidRPr="00E00B35">
        <w:rPr>
          <w:szCs w:val="20"/>
        </w:rPr>
        <w:fldChar w:fldCharType="end"/>
      </w:r>
      <w:r w:rsidRPr="00E00B35">
        <w:rPr>
          <w:szCs w:val="20"/>
        </w:rPr>
        <w:t xml:space="preserve"> Zabawa karnawałowa</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Dzień Babci i Dziadka</w:t>
      </w:r>
    </w:p>
    <w:p w:rsidR="00CA14AB" w:rsidRPr="00E00B35" w:rsidRDefault="00CA14AB" w:rsidP="00E00B35">
      <w:pPr>
        <w:spacing w:after="0" w:line="312" w:lineRule="auto"/>
        <w:rPr>
          <w:szCs w:val="20"/>
        </w:rPr>
      </w:pPr>
      <w:r w:rsidRPr="00E00B35">
        <w:rPr>
          <w:szCs w:val="20"/>
        </w:rPr>
        <w:t xml:space="preserve">Zaproszenie na uroczystość Babci i Dziadka. Wykonanie przez dzieci przygotowanego programu artystycznego. Śpiewanie piosenek, deklamowanie wierszyków, inscenizowanie piosenek. </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4114800" cy="2743200"/>
            <wp:effectExtent l="19050" t="0" r="0" b="0"/>
            <wp:docPr id="105" name="Obraz 18" descr="Na ścianie powieszona kotara. Na niej duże serce wyklejone z małych serduszek. W środku serca napis Kochamy babcię i dziadka. W środku serca także i narysowane potrtrety babci i dziadka&#10;Dzieci odświętnie ubrane pokazują paluszkami na se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a ścianie powieszona kotara. Na niej duże serce wyklejone z małych serduszek. W środku serca napis Kochamy babcię i dziadka. W środku serca także i narysowane potrtrety babci i dziadka&#10;Dzieci odświętnie ubrane pokazują paluszkami na serce."/>
                    <pic:cNvPicPr>
                      <a:picLocks noChangeAspect="1" noChangeArrowheads="1"/>
                    </pic:cNvPicPr>
                  </pic:nvPicPr>
                  <pic:blipFill>
                    <a:blip r:embed="rId112" cstate="print"/>
                    <a:srcRect/>
                    <a:stretch>
                      <a:fillRect/>
                    </a:stretch>
                  </pic:blipFill>
                  <pic:spPr bwMode="auto">
                    <a:xfrm>
                      <a:off x="0" y="0"/>
                      <a:ext cx="4114800" cy="2743200"/>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7</w:t>
      </w:r>
      <w:r w:rsidR="00573162" w:rsidRPr="00E00B35">
        <w:rPr>
          <w:szCs w:val="20"/>
        </w:rPr>
        <w:fldChar w:fldCharType="end"/>
      </w:r>
      <w:r w:rsidRPr="00E00B35">
        <w:rPr>
          <w:szCs w:val="20"/>
        </w:rPr>
        <w:t xml:space="preserve"> Dzień babci i dziadka</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Dzień Mamy i Taty</w:t>
      </w:r>
    </w:p>
    <w:p w:rsidR="00CA14AB" w:rsidRPr="00E00B35" w:rsidRDefault="00CA14AB" w:rsidP="00E00B35">
      <w:pPr>
        <w:spacing w:after="0" w:line="312" w:lineRule="auto"/>
        <w:rPr>
          <w:szCs w:val="20"/>
        </w:rPr>
      </w:pPr>
      <w:r w:rsidRPr="00E00B35">
        <w:rPr>
          <w:szCs w:val="20"/>
        </w:rPr>
        <w:t>Dydaktyczne wprowadzenie dzieci w zagadnienie święta, przygotowywanie laurek. Śpiewanie piosenek i recytacja wierszy związanych z tematyką Dnia Mamy i Dnia Taty.</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Dzień Dziecka</w:t>
      </w:r>
    </w:p>
    <w:p w:rsidR="00CA14AB" w:rsidRPr="00E00B35" w:rsidRDefault="00CA14AB" w:rsidP="00E00B35">
      <w:pPr>
        <w:spacing w:after="0" w:line="312" w:lineRule="auto"/>
        <w:rPr>
          <w:szCs w:val="20"/>
        </w:rPr>
      </w:pPr>
      <w:r w:rsidRPr="00E00B35">
        <w:rPr>
          <w:szCs w:val="20"/>
        </w:rPr>
        <w:t>Zabawy przy muzyce. Wręczanie upominków dla dzieci.</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Uroczyste zakończenie roku</w:t>
      </w:r>
    </w:p>
    <w:p w:rsidR="00CA14AB" w:rsidRPr="00E00B35" w:rsidRDefault="00CA14AB" w:rsidP="00E00B35">
      <w:pPr>
        <w:spacing w:after="0" w:line="312" w:lineRule="auto"/>
        <w:rPr>
          <w:szCs w:val="20"/>
        </w:rPr>
      </w:pPr>
      <w:r w:rsidRPr="00E00B35">
        <w:rPr>
          <w:szCs w:val="20"/>
        </w:rPr>
        <w:t>Śpiewanie piosenek. Wręczanie dyplomów i upominków dla dzieci kończących edukację w żłobku.</w:t>
      </w:r>
    </w:p>
    <w:p w:rsidR="00CA14AB" w:rsidRPr="00E00B35" w:rsidRDefault="00CA14AB" w:rsidP="00E00B35">
      <w:pPr>
        <w:spacing w:after="0" w:line="312" w:lineRule="auto"/>
        <w:rPr>
          <w:szCs w:val="20"/>
        </w:rPr>
      </w:pPr>
      <w:r w:rsidRPr="00E00B35">
        <w:rPr>
          <w:szCs w:val="20"/>
        </w:rPr>
        <w:t>Po ogłoszeniu stanu epidemii wszystkie imprezy odbywały się bez udziału członków rodzin.</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Zajęcia cykliczne</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Międzynarodowy Dzień Pluszowego Misia</w:t>
      </w:r>
    </w:p>
    <w:p w:rsidR="00CA14AB" w:rsidRPr="00E00B35" w:rsidRDefault="00CA14AB" w:rsidP="00E00B35">
      <w:pPr>
        <w:spacing w:after="0" w:line="312" w:lineRule="auto"/>
        <w:rPr>
          <w:szCs w:val="20"/>
        </w:rPr>
      </w:pPr>
      <w:r w:rsidRPr="00E00B35">
        <w:rPr>
          <w:szCs w:val="20"/>
        </w:rPr>
        <w:t xml:space="preserve">Dekorowanie sali zabaw i szatni. Wspólne śpiewanie piosenek i deklamowanie wierszyków o misiu. Tańce z przytulankami i zabawy tematyczne. Wyklejanie, kolorowanie, rysowanie postaci misia. </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3176270" cy="3465195"/>
            <wp:effectExtent l="19050" t="0" r="5080" b="0"/>
            <wp:docPr id="104" name="Obraz 19" descr="Praca plastyczna na kartonie przedstawiająca pluszowego mi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raca plastyczna na kartonie przedstawiająca pluszowego misia."/>
                    <pic:cNvPicPr>
                      <a:picLocks noChangeAspect="1" noChangeArrowheads="1"/>
                    </pic:cNvPicPr>
                  </pic:nvPicPr>
                  <pic:blipFill>
                    <a:blip r:embed="rId113" cstate="print"/>
                    <a:srcRect/>
                    <a:stretch>
                      <a:fillRect/>
                    </a:stretch>
                  </pic:blipFill>
                  <pic:spPr bwMode="auto">
                    <a:xfrm>
                      <a:off x="0" y="0"/>
                      <a:ext cx="3176270" cy="3465195"/>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8</w:t>
      </w:r>
      <w:r w:rsidR="00573162" w:rsidRPr="00E00B35">
        <w:rPr>
          <w:szCs w:val="20"/>
        </w:rPr>
        <w:fldChar w:fldCharType="end"/>
      </w:r>
      <w:r w:rsidRPr="00E00B35">
        <w:rPr>
          <w:szCs w:val="20"/>
        </w:rPr>
        <w:t xml:space="preserve"> Międzynarodowy Dzień Pluszowego Misia</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Przedstawienia teatralne</w:t>
      </w:r>
    </w:p>
    <w:p w:rsidR="00CA14AB" w:rsidRPr="00E00B35" w:rsidRDefault="00CA14AB" w:rsidP="00E00B35">
      <w:pPr>
        <w:spacing w:after="0" w:line="312" w:lineRule="auto"/>
        <w:rPr>
          <w:szCs w:val="20"/>
        </w:rPr>
      </w:pPr>
      <w:r w:rsidRPr="00E00B35">
        <w:rPr>
          <w:szCs w:val="20"/>
        </w:rPr>
        <w:t>Średnio raz w miesiącu organizuje się dla dzieci występ teatrzyku. Są to na ogół spektakle interaktywne, które są przedstawieniami warsztatowymi prowadzonymi przez aktorów mających wykształcenie pedagogiczne. Ze względu na stan epidemii w żłobkach odbyły się przedstawienia tylko w okresie od stycznia do marca. Przykładowe przedstawienia:</w:t>
      </w:r>
    </w:p>
    <w:p w:rsidR="00CA14AB" w:rsidRPr="00E00B35" w:rsidRDefault="00CA14AB" w:rsidP="00BC64AB">
      <w:pPr>
        <w:pStyle w:val="Akapitzlist"/>
        <w:numPr>
          <w:ilvl w:val="0"/>
          <w:numId w:val="198"/>
        </w:numPr>
        <w:spacing w:after="0" w:line="312" w:lineRule="auto"/>
        <w:rPr>
          <w:szCs w:val="20"/>
        </w:rPr>
      </w:pPr>
      <w:r w:rsidRPr="00E00B35">
        <w:rPr>
          <w:szCs w:val="20"/>
        </w:rPr>
        <w:t>Słoń Bimbalski</w:t>
      </w:r>
    </w:p>
    <w:p w:rsidR="00CA14AB" w:rsidRPr="00E00B35" w:rsidRDefault="00CA14AB" w:rsidP="00BC64AB">
      <w:pPr>
        <w:pStyle w:val="Akapitzlist"/>
        <w:numPr>
          <w:ilvl w:val="0"/>
          <w:numId w:val="198"/>
        </w:numPr>
        <w:spacing w:after="0" w:line="312" w:lineRule="auto"/>
        <w:rPr>
          <w:szCs w:val="20"/>
        </w:rPr>
      </w:pPr>
      <w:r w:rsidRPr="00E00B35">
        <w:rPr>
          <w:szCs w:val="20"/>
        </w:rPr>
        <w:t>Muzobajka Papa Bu</w:t>
      </w:r>
    </w:p>
    <w:p w:rsidR="00CA14AB" w:rsidRPr="00E00B35" w:rsidRDefault="00CA14AB" w:rsidP="00BC64AB">
      <w:pPr>
        <w:pStyle w:val="Akapitzlist"/>
        <w:numPr>
          <w:ilvl w:val="0"/>
          <w:numId w:val="198"/>
        </w:numPr>
        <w:spacing w:after="0" w:line="312" w:lineRule="auto"/>
        <w:rPr>
          <w:szCs w:val="20"/>
        </w:rPr>
      </w:pPr>
      <w:r w:rsidRPr="00E00B35">
        <w:rPr>
          <w:szCs w:val="20"/>
        </w:rPr>
        <w:t>Przygody Małpki Fiki Miki</w:t>
      </w:r>
    </w:p>
    <w:p w:rsidR="00CA14AB" w:rsidRPr="00E00B35" w:rsidRDefault="00CA14AB" w:rsidP="00BC64AB">
      <w:pPr>
        <w:pStyle w:val="Akapitzlist"/>
        <w:numPr>
          <w:ilvl w:val="0"/>
          <w:numId w:val="198"/>
        </w:numPr>
        <w:spacing w:after="0" w:line="312" w:lineRule="auto"/>
        <w:rPr>
          <w:szCs w:val="20"/>
        </w:rPr>
      </w:pPr>
      <w:r w:rsidRPr="00E00B35">
        <w:rPr>
          <w:szCs w:val="20"/>
        </w:rPr>
        <w:t>Przygody Wesołego Psiunia</w:t>
      </w:r>
    </w:p>
    <w:p w:rsidR="00CA14AB" w:rsidRPr="00E00B35" w:rsidRDefault="00CA14AB" w:rsidP="00BC64AB">
      <w:pPr>
        <w:pStyle w:val="Akapitzlist"/>
        <w:numPr>
          <w:ilvl w:val="0"/>
          <w:numId w:val="198"/>
        </w:numPr>
        <w:spacing w:after="0" w:line="312" w:lineRule="auto"/>
        <w:rPr>
          <w:szCs w:val="20"/>
        </w:rPr>
      </w:pPr>
      <w:r w:rsidRPr="00E00B35">
        <w:rPr>
          <w:szCs w:val="20"/>
        </w:rPr>
        <w:t>Czerwony Kapturek</w:t>
      </w:r>
    </w:p>
    <w:p w:rsidR="00CA14AB" w:rsidRPr="00E00B35" w:rsidRDefault="00CA14AB" w:rsidP="00BC64AB">
      <w:pPr>
        <w:pStyle w:val="Akapitzlist"/>
        <w:numPr>
          <w:ilvl w:val="0"/>
          <w:numId w:val="198"/>
        </w:numPr>
        <w:spacing w:after="0" w:line="312" w:lineRule="auto"/>
        <w:rPr>
          <w:szCs w:val="20"/>
        </w:rPr>
      </w:pPr>
      <w:r w:rsidRPr="00E00B35">
        <w:rPr>
          <w:szCs w:val="20"/>
        </w:rPr>
        <w:t>Bałwankowe Święta</w:t>
      </w:r>
    </w:p>
    <w:p w:rsidR="00CA14AB" w:rsidRPr="00E00B35" w:rsidRDefault="00CA14AB" w:rsidP="00BC64AB">
      <w:pPr>
        <w:pStyle w:val="Akapitzlist"/>
        <w:numPr>
          <w:ilvl w:val="0"/>
          <w:numId w:val="198"/>
        </w:numPr>
        <w:spacing w:after="0" w:line="312" w:lineRule="auto"/>
        <w:rPr>
          <w:szCs w:val="20"/>
        </w:rPr>
      </w:pPr>
      <w:r w:rsidRPr="00E00B35">
        <w:rPr>
          <w:szCs w:val="20"/>
        </w:rPr>
        <w:t>Trzy Świnki</w:t>
      </w:r>
    </w:p>
    <w:p w:rsidR="00CA14AB" w:rsidRPr="00E00B35" w:rsidRDefault="00CA14AB" w:rsidP="00BC64AB">
      <w:pPr>
        <w:pStyle w:val="Akapitzlist"/>
        <w:numPr>
          <w:ilvl w:val="0"/>
          <w:numId w:val="198"/>
        </w:numPr>
        <w:spacing w:after="0" w:line="312" w:lineRule="auto"/>
        <w:rPr>
          <w:szCs w:val="20"/>
        </w:rPr>
      </w:pPr>
      <w:r w:rsidRPr="00E00B35">
        <w:rPr>
          <w:szCs w:val="20"/>
        </w:rPr>
        <w:t>Wiosna u Kubusia</w:t>
      </w:r>
    </w:p>
    <w:p w:rsidR="00CA14AB" w:rsidRPr="00E00B35" w:rsidRDefault="00CA14AB" w:rsidP="00BC64AB">
      <w:pPr>
        <w:pStyle w:val="Akapitzlist"/>
        <w:numPr>
          <w:ilvl w:val="0"/>
          <w:numId w:val="198"/>
        </w:numPr>
        <w:spacing w:after="0" w:line="312" w:lineRule="auto"/>
        <w:rPr>
          <w:szCs w:val="20"/>
        </w:rPr>
      </w:pPr>
      <w:r w:rsidRPr="00E00B35">
        <w:rPr>
          <w:szCs w:val="20"/>
        </w:rPr>
        <w:t>Muzobajka Inny kolor</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3465195" cy="4163060"/>
            <wp:effectExtent l="19050" t="0" r="1905" b="0"/>
            <wp:docPr id="103" name="Obraz 20" descr="Aktorzy przebrani za tygryska i prosiacz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ktorzy przebrani za tygryska i prosiaczka"/>
                    <pic:cNvPicPr>
                      <a:picLocks noChangeAspect="1" noChangeArrowheads="1"/>
                    </pic:cNvPicPr>
                  </pic:nvPicPr>
                  <pic:blipFill>
                    <a:blip r:embed="rId114" cstate="print"/>
                    <a:srcRect/>
                    <a:stretch>
                      <a:fillRect/>
                    </a:stretch>
                  </pic:blipFill>
                  <pic:spPr bwMode="auto">
                    <a:xfrm>
                      <a:off x="0" y="0"/>
                      <a:ext cx="3465195" cy="4163060"/>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9</w:t>
      </w:r>
      <w:r w:rsidR="00573162" w:rsidRPr="00E00B35">
        <w:rPr>
          <w:szCs w:val="20"/>
        </w:rPr>
        <w:fldChar w:fldCharType="end"/>
      </w:r>
      <w:r w:rsidRPr="00E00B35">
        <w:rPr>
          <w:szCs w:val="20"/>
        </w:rPr>
        <w:t xml:space="preserve"> Przedstawienie teatralne</w:t>
      </w:r>
    </w:p>
    <w:p w:rsidR="00CA14AB" w:rsidRPr="00E00B35" w:rsidRDefault="00CA14AB" w:rsidP="00BC64AB">
      <w:pPr>
        <w:pStyle w:val="Akapitzlist"/>
        <w:numPr>
          <w:ilvl w:val="0"/>
          <w:numId w:val="199"/>
        </w:numPr>
        <w:spacing w:after="0" w:line="312" w:lineRule="auto"/>
        <w:rPr>
          <w:szCs w:val="20"/>
        </w:rPr>
      </w:pPr>
      <w:r w:rsidRPr="00E00B35">
        <w:rPr>
          <w:szCs w:val="20"/>
        </w:rPr>
        <w:t>Dzień dyni</w:t>
      </w:r>
    </w:p>
    <w:p w:rsidR="00CA14AB" w:rsidRPr="00E00B35" w:rsidRDefault="00CA14AB" w:rsidP="00E00B35">
      <w:pPr>
        <w:spacing w:after="0" w:line="312" w:lineRule="auto"/>
        <w:rPr>
          <w:szCs w:val="20"/>
        </w:rPr>
      </w:pPr>
      <w:r w:rsidRPr="00E00B35">
        <w:rPr>
          <w:szCs w:val="20"/>
        </w:rPr>
        <w:t>Przedstawienie dzieciom różnego rodzaju dyń i ich różnych kształtów i kolorów. Wspólne wydrążenie dyni stanowiącej dekorację sali zabaw Przebranie dzieci i opiekunek w ubrania w kolorze pomarańczowym. Zabawy i zajęcia plastyczne z motywem przewodnim dyni.</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4187190" cy="3152140"/>
            <wp:effectExtent l="19050" t="0" r="3810" b="0"/>
            <wp:docPr id="102" name="Obraz 21" descr="Dwie opiekunki przebrane za dynie. Opiekunki siedzą na podłodze i wycinaja z dyni lamp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wie opiekunki przebrane za dynie. Opiekunki siedzą na podłodze i wycinaja z dyni lampion."/>
                    <pic:cNvPicPr>
                      <a:picLocks noChangeAspect="1" noChangeArrowheads="1"/>
                    </pic:cNvPicPr>
                  </pic:nvPicPr>
                  <pic:blipFill>
                    <a:blip r:embed="rId115" cstate="print"/>
                    <a:srcRect/>
                    <a:stretch>
                      <a:fillRect/>
                    </a:stretch>
                  </pic:blipFill>
                  <pic:spPr bwMode="auto">
                    <a:xfrm>
                      <a:off x="0" y="0"/>
                      <a:ext cx="4187190" cy="3152140"/>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lastRenderedPageBreak/>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10</w:t>
      </w:r>
      <w:r w:rsidR="00573162" w:rsidRPr="00E00B35">
        <w:rPr>
          <w:szCs w:val="20"/>
        </w:rPr>
        <w:fldChar w:fldCharType="end"/>
      </w:r>
      <w:r w:rsidRPr="00E00B35">
        <w:rPr>
          <w:szCs w:val="20"/>
        </w:rPr>
        <w:t xml:space="preserve"> Dzień Dyni</w:t>
      </w:r>
    </w:p>
    <w:p w:rsidR="00CA14AB" w:rsidRPr="00E00B35" w:rsidRDefault="00CA14AB" w:rsidP="00E00B35">
      <w:pPr>
        <w:spacing w:after="0" w:line="312" w:lineRule="auto"/>
        <w:rPr>
          <w:szCs w:val="20"/>
        </w:rPr>
      </w:pPr>
      <w:r w:rsidRPr="00E00B35">
        <w:rPr>
          <w:szCs w:val="20"/>
        </w:rPr>
        <w:t>Przykładowe zajęcia zrealizowane w poszczególnych żłobkach:</w:t>
      </w:r>
    </w:p>
    <w:p w:rsidR="00CA14AB" w:rsidRPr="00E00B35" w:rsidRDefault="00CA14AB" w:rsidP="00E00B35">
      <w:pPr>
        <w:spacing w:after="0" w:line="312" w:lineRule="auto"/>
        <w:rPr>
          <w:szCs w:val="20"/>
        </w:rPr>
      </w:pPr>
      <w:r w:rsidRPr="00E00B35">
        <w:rPr>
          <w:szCs w:val="20"/>
        </w:rPr>
        <w:t xml:space="preserve">Sensoplastyka Kącik Małego odkrywcy - zabawy i doświadczenia – ciężki, lekki, puste, pełne, zabawa kolorami, co pływa po powierzchni wody, a co tonie – doświadczenia fizyczne, badanie właściwości fizycznych lodu, wody, zabawa – co to jest powietrze? </w:t>
      </w:r>
    </w:p>
    <w:p w:rsidR="00CA14AB" w:rsidRPr="00E00B35" w:rsidRDefault="00CA14AB" w:rsidP="00E00B35">
      <w:pPr>
        <w:spacing w:after="0" w:line="312" w:lineRule="auto"/>
        <w:rPr>
          <w:szCs w:val="20"/>
        </w:rPr>
      </w:pPr>
      <w:r w:rsidRPr="00E00B35">
        <w:rPr>
          <w:szCs w:val="20"/>
        </w:rPr>
        <w:t xml:space="preserve">Dzień Chleba – Jak powstał chleb? Rodzaje chleba. Jak smakuje ? Czy damy radę zrobić chlebek ? </w:t>
      </w:r>
    </w:p>
    <w:p w:rsidR="00CA14AB" w:rsidRPr="00E00B35" w:rsidRDefault="00CA14AB" w:rsidP="00E00B35">
      <w:pPr>
        <w:spacing w:after="0" w:line="312" w:lineRule="auto"/>
        <w:rPr>
          <w:szCs w:val="20"/>
        </w:rPr>
      </w:pPr>
      <w:r w:rsidRPr="00E00B35">
        <w:rPr>
          <w:szCs w:val="20"/>
        </w:rPr>
        <w:t>Dzień Jeża - słuchanie opowiadania o jeżyku. Oglądanie postaci jeża, jego zwyczajów, cech charakterystycznych. Śpiewanie piosenek o jeżu, szukanie jabłek w stosie liści, tańce w opaskach z wizerunkiem jeża. Wyklejanie gotowego szablonu jeża liśćmi z klonu. Wywieszenie prac na tablicy.</w:t>
      </w:r>
    </w:p>
    <w:p w:rsidR="00CA14AB" w:rsidRPr="00E00B35" w:rsidRDefault="00CA14AB" w:rsidP="00E00B35">
      <w:pPr>
        <w:spacing w:after="0" w:line="312" w:lineRule="auto"/>
        <w:rPr>
          <w:szCs w:val="20"/>
        </w:rPr>
      </w:pPr>
      <w:r w:rsidRPr="00E00B35">
        <w:rPr>
          <w:szCs w:val="20"/>
        </w:rPr>
        <w:t>Mali ogrodnicy - założenie zielonego ogródka w sali z wykorzystaniem koniecznych do tego produktów, nasiona, ziemia, woda, światło. Wykorzystanie roślin do  próbowania, degustowania, smakowania. W zajęciach umożliwiono dzieciom samodzielne wykonywanie prostych prac ogrodniczych sadzenie cebulek, rzeżuchy, stwarzając warunki do poznawania świata roślin</w:t>
      </w:r>
    </w:p>
    <w:p w:rsidR="00CA14AB" w:rsidRPr="00E00B35" w:rsidRDefault="00CA14AB" w:rsidP="00E00B35">
      <w:pPr>
        <w:spacing w:after="0" w:line="312" w:lineRule="auto"/>
        <w:rPr>
          <w:szCs w:val="20"/>
        </w:rPr>
      </w:pPr>
      <w:r w:rsidRPr="00E00B35">
        <w:rPr>
          <w:szCs w:val="20"/>
        </w:rPr>
        <w:t xml:space="preserve">Zabawy sensoryczne - dzieci poznają otoczenie i własną reakcję na nie. Są to np. ścieżki sensoryczne, po których dzieci próbują przejść gołymi nóżkami, puzzle sensoryczne, przeróżne piórka, kulki twarde, miękkie, gniotki własnoręcznie zrobione, woreczki wypełnione o różnej fakturze materiałem, kolorowe światła, relaksująca muzyka, tunele dla dzieci, namioty gdzie mogą się ukryć. </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4234815" cy="2935605"/>
            <wp:effectExtent l="19050" t="0" r="0" b="0"/>
            <wp:docPr id="101" name="Obraz 22" descr="Dzieci bawią się w podświetlonym basenie wypełnionym kolorowymi kul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zieci bawią się w podświetlonym basenie wypełnionym kolorowymi kulkami."/>
                    <pic:cNvPicPr>
                      <a:picLocks noChangeAspect="1" noChangeArrowheads="1"/>
                    </pic:cNvPicPr>
                  </pic:nvPicPr>
                  <pic:blipFill>
                    <a:blip r:embed="rId116" cstate="print"/>
                    <a:srcRect/>
                    <a:stretch>
                      <a:fillRect/>
                    </a:stretch>
                  </pic:blipFill>
                  <pic:spPr bwMode="auto">
                    <a:xfrm>
                      <a:off x="0" y="0"/>
                      <a:ext cx="4234815" cy="2935605"/>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11</w:t>
      </w:r>
      <w:r w:rsidR="00573162" w:rsidRPr="00E00B35">
        <w:rPr>
          <w:szCs w:val="20"/>
        </w:rPr>
        <w:fldChar w:fldCharType="end"/>
      </w:r>
      <w:r w:rsidRPr="00E00B35">
        <w:rPr>
          <w:szCs w:val="20"/>
        </w:rPr>
        <w:t xml:space="preserve"> Zabawa sensoryczna</w:t>
      </w:r>
    </w:p>
    <w:p w:rsidR="00CA14AB" w:rsidRPr="00E00B35" w:rsidRDefault="00CA14AB" w:rsidP="00E00B35">
      <w:pPr>
        <w:spacing w:after="0" w:line="312" w:lineRule="auto"/>
        <w:rPr>
          <w:szCs w:val="20"/>
        </w:rPr>
      </w:pPr>
      <w:r w:rsidRPr="00E00B35">
        <w:rPr>
          <w:szCs w:val="20"/>
        </w:rPr>
        <w:t xml:space="preserve">Dzień Postaci z bajek - zapoznanie dzieci z wizerunkiem postaci z różnych bajek. Przygotowanie przez opiekunki teatrzyku dla dzieci i wspólna zabawa przy muzyce. Panie tego dnia przebrane są za postacie z bajek dziecięcych.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Projekt edukacyjny „Owoce i warzywa dziecko spożywa”</w:t>
      </w:r>
    </w:p>
    <w:p w:rsidR="00CA14AB" w:rsidRPr="00E00B35" w:rsidRDefault="00CA14AB" w:rsidP="00E00B35">
      <w:pPr>
        <w:spacing w:after="0" w:line="312" w:lineRule="auto"/>
        <w:rPr>
          <w:szCs w:val="20"/>
        </w:rPr>
      </w:pPr>
      <w:r w:rsidRPr="00E00B35">
        <w:rPr>
          <w:szCs w:val="20"/>
        </w:rPr>
        <w:t>Żłobek zawsze dba o prawidłową dietę swoich małych podopiecznych i kształtowanie prawidłowych nawyków dietetycznych. Projekt realizowany w trakcie zajęć w formie zabaw, składający się z kilku części:</w:t>
      </w:r>
    </w:p>
    <w:p w:rsidR="00CA14AB" w:rsidRPr="00E00B35" w:rsidRDefault="00CA14AB" w:rsidP="00BC64AB">
      <w:pPr>
        <w:pStyle w:val="Akapitzlist"/>
        <w:numPr>
          <w:ilvl w:val="0"/>
          <w:numId w:val="199"/>
        </w:numPr>
        <w:spacing w:after="0" w:line="312" w:lineRule="auto"/>
        <w:rPr>
          <w:szCs w:val="20"/>
        </w:rPr>
      </w:pPr>
      <w:r w:rsidRPr="00E00B35">
        <w:rPr>
          <w:szCs w:val="20"/>
        </w:rPr>
        <w:t>wprowadzenie -  „Jedz warzywa i owoce bo są kolorowe”;</w:t>
      </w:r>
    </w:p>
    <w:p w:rsidR="00CA14AB" w:rsidRPr="00E00B35" w:rsidRDefault="00CA14AB" w:rsidP="00BC64AB">
      <w:pPr>
        <w:pStyle w:val="Akapitzlist"/>
        <w:numPr>
          <w:ilvl w:val="0"/>
          <w:numId w:val="199"/>
        </w:numPr>
        <w:spacing w:after="0" w:line="312" w:lineRule="auto"/>
        <w:rPr>
          <w:szCs w:val="20"/>
        </w:rPr>
      </w:pPr>
      <w:r w:rsidRPr="00E00B35">
        <w:rPr>
          <w:szCs w:val="20"/>
        </w:rPr>
        <w:t>pogadanka  „Jedz owoce i warzywa w nich mieszkają witaminy”;</w:t>
      </w:r>
    </w:p>
    <w:p w:rsidR="00CA14AB" w:rsidRPr="00E00B35" w:rsidRDefault="00CA14AB" w:rsidP="00BC64AB">
      <w:pPr>
        <w:pStyle w:val="Akapitzlist"/>
        <w:numPr>
          <w:ilvl w:val="0"/>
          <w:numId w:val="199"/>
        </w:numPr>
        <w:spacing w:after="0" w:line="312" w:lineRule="auto"/>
        <w:rPr>
          <w:szCs w:val="20"/>
        </w:rPr>
      </w:pPr>
      <w:r w:rsidRPr="00E00B35">
        <w:rPr>
          <w:szCs w:val="20"/>
        </w:rPr>
        <w:t>eksperyment - dzieci wkładały do jednych słoików ogórki zielone a do drugich paprykę; po kilku dnach dzieci skosztowały kiszonych ogórków;</w:t>
      </w:r>
    </w:p>
    <w:p w:rsidR="00CA14AB" w:rsidRPr="00E00B35" w:rsidRDefault="00CA14AB" w:rsidP="00BC64AB">
      <w:pPr>
        <w:pStyle w:val="Akapitzlist"/>
        <w:numPr>
          <w:ilvl w:val="0"/>
          <w:numId w:val="199"/>
        </w:numPr>
        <w:spacing w:after="0" w:line="312" w:lineRule="auto"/>
        <w:rPr>
          <w:szCs w:val="20"/>
        </w:rPr>
      </w:pPr>
      <w:r w:rsidRPr="00E00B35">
        <w:rPr>
          <w:szCs w:val="20"/>
        </w:rPr>
        <w:t>wizyta w  warzywniaku - dzieci podchodziły do warzywniaka i pakowały w  torbę wybrane warzywa i owoce;</w:t>
      </w:r>
    </w:p>
    <w:p w:rsidR="00CA14AB" w:rsidRPr="00E00B35" w:rsidRDefault="00CA14AB" w:rsidP="00BC64AB">
      <w:pPr>
        <w:pStyle w:val="Akapitzlist"/>
        <w:numPr>
          <w:ilvl w:val="0"/>
          <w:numId w:val="199"/>
        </w:numPr>
        <w:spacing w:after="0" w:line="312" w:lineRule="auto"/>
        <w:rPr>
          <w:szCs w:val="20"/>
        </w:rPr>
      </w:pPr>
      <w:r w:rsidRPr="00E00B35">
        <w:rPr>
          <w:szCs w:val="20"/>
        </w:rPr>
        <w:t>stół szwedzki - z przygotowanych produktów przez personel kuchni dzieci same przygotowały sobie kanapki.</w:t>
      </w:r>
    </w:p>
    <w:p w:rsidR="00CA14AB" w:rsidRPr="00E00B35" w:rsidRDefault="00CA14AB" w:rsidP="00E00B35">
      <w:pPr>
        <w:spacing w:after="0" w:line="312" w:lineRule="auto"/>
        <w:rPr>
          <w:szCs w:val="20"/>
        </w:rPr>
      </w:pPr>
      <w:r w:rsidRPr="00E00B35">
        <w:rPr>
          <w:szCs w:val="20"/>
        </w:rPr>
        <w:t>Żłobkowa  orkiestra - zastosowanie zabaw rytmiczno – muzycznych z wykorzystaniem niekonwencjonalnych instrumentów perkusyjnych. Zabawy rytmiczno-muzyczne opierają się  na następujących formach aktywności dzieci:  śpiew i mowa, ruch przy muzyce, gra na instrumentach,  aktywne słuchanie muzyki, opowieść ruchowa,  improwizacja ruchowa,  ćwiczenia muzyczno- ruchowe, tańce regionalne inscenizacje ruchowe. Dzieci odwzorowują ruchy opiekunki, a także wprowadzają własne kreatywne ćwiczenia.</w:t>
      </w:r>
    </w:p>
    <w:p w:rsidR="00CA14AB" w:rsidRPr="00E00B35" w:rsidRDefault="00CA14AB" w:rsidP="00E00B35">
      <w:pPr>
        <w:spacing w:after="0" w:line="312" w:lineRule="auto"/>
        <w:rPr>
          <w:szCs w:val="20"/>
        </w:rPr>
      </w:pPr>
      <w:r w:rsidRPr="00E00B35">
        <w:rPr>
          <w:szCs w:val="20"/>
        </w:rPr>
        <w:t xml:space="preserve">Żłobkowe piernikowo - wspólne wyrabianie, wycinanie i dekorowanie pierniczków różnych kształtów upieczonych później przez panie w  żłobkowej kuchni. </w:t>
      </w:r>
    </w:p>
    <w:p w:rsidR="00CA14AB" w:rsidRPr="00E00B35" w:rsidRDefault="00CA14AB" w:rsidP="00E00B35">
      <w:pPr>
        <w:spacing w:after="0" w:line="312" w:lineRule="auto"/>
        <w:rPr>
          <w:szCs w:val="20"/>
        </w:rPr>
      </w:pPr>
      <w:r w:rsidRPr="00E00B35">
        <w:rPr>
          <w:szCs w:val="20"/>
        </w:rPr>
        <w:t>Kreatywne Śniadanka - tego dnia dzieci otrzymują posiłek w postaci szwedzkiego stołu, bogaty w różnorakie warzywa. Dzięki dużej wyobraźni i kuszącej palecie barw warzyw dzieci tworzą na talerzykach obrazki i dokonują degustacji nowych potraw.</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Zajęcia „Znamy każdą porę roku”</w:t>
      </w:r>
    </w:p>
    <w:p w:rsidR="00CA14AB" w:rsidRPr="00E00B35" w:rsidRDefault="00CA14AB" w:rsidP="00E00B35">
      <w:pPr>
        <w:spacing w:after="0" w:line="312" w:lineRule="auto"/>
        <w:rPr>
          <w:szCs w:val="20"/>
        </w:rPr>
      </w:pPr>
      <w:r w:rsidRPr="00E00B35">
        <w:rPr>
          <w:szCs w:val="20"/>
        </w:rPr>
        <w:t>Cykliczne zajęcia z dziećmi przybliżające im wiedzę na temat otaczającego je świata i zmieniających się pór roku oraz zmian zachodzących w przyrodzie.</w:t>
      </w:r>
    </w:p>
    <w:p w:rsidR="00CA14AB" w:rsidRPr="00E00B35" w:rsidRDefault="00CA14AB" w:rsidP="00E00B35">
      <w:pPr>
        <w:spacing w:after="0" w:line="312" w:lineRule="auto"/>
        <w:rPr>
          <w:szCs w:val="20"/>
        </w:rPr>
      </w:pPr>
      <w:r w:rsidRPr="00E00B35">
        <w:rPr>
          <w:szCs w:val="20"/>
        </w:rPr>
        <w:t>W tych dniach wykonywane są zajęcia dydaktyczne, ruchowe, plastyczne, czytelnicze, teatralne, umuzykalniające.</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„Gimnastyka małego smyk</w:t>
      </w:r>
      <w:r w:rsidR="0007217B" w:rsidRPr="00E00B35">
        <w:rPr>
          <w:szCs w:val="20"/>
        </w:rPr>
        <w:t>a -zajęcia na świeżym powietrzu</w:t>
      </w:r>
      <w:r w:rsidRPr="00E00B35">
        <w:rPr>
          <w:szCs w:val="20"/>
        </w:rPr>
        <w:t>”</w:t>
      </w:r>
    </w:p>
    <w:p w:rsidR="00CA14AB" w:rsidRPr="00E00B35" w:rsidRDefault="00CA14AB" w:rsidP="00E00B35">
      <w:pPr>
        <w:spacing w:after="0" w:line="312" w:lineRule="auto"/>
        <w:rPr>
          <w:szCs w:val="20"/>
        </w:rPr>
      </w:pPr>
      <w:r w:rsidRPr="00E00B35">
        <w:rPr>
          <w:szCs w:val="20"/>
        </w:rPr>
        <w:t>Cykliczne zajęcia gimnastyczno-ruchowe obejmujące elementy takie jak: rzut piłką, przechodzenie przez tunel, rzut do celu, podskoki, przysiady, czołganie, stanie na jednej nodze. Zajęcia te są profilaktyką w przeciwdziałaniu wadom postawy oraz płaskostopiu.</w:t>
      </w:r>
    </w:p>
    <w:p w:rsidR="00CA14AB" w:rsidRPr="00E00B35" w:rsidRDefault="00CA14AB" w:rsidP="00E00B35">
      <w:pPr>
        <w:spacing w:after="0" w:line="312" w:lineRule="auto"/>
        <w:rPr>
          <w:szCs w:val="20"/>
        </w:rPr>
      </w:pPr>
      <w:r w:rsidRPr="00E00B35">
        <w:rPr>
          <w:szCs w:val="20"/>
        </w:rPr>
        <w:t>Działania/inicjatywy/innowacje podejmowane w żłobkach w 2020 r.:</w:t>
      </w:r>
    </w:p>
    <w:p w:rsidR="00CA14AB" w:rsidRPr="00E00B35" w:rsidRDefault="00CA14AB" w:rsidP="00E00B35">
      <w:pPr>
        <w:spacing w:after="0" w:line="312" w:lineRule="auto"/>
        <w:rPr>
          <w:szCs w:val="20"/>
        </w:rPr>
      </w:pPr>
      <w:r w:rsidRPr="00E00B35">
        <w:rPr>
          <w:szCs w:val="20"/>
        </w:rPr>
        <w:t xml:space="preserve">Dzieci wzięły udział w  konkursie plastycznym pt. „Witaj Pani Jesień” zorganizowanym przez Ogólnopolskie Stowarzyszenie Publicznych i Niepublicznych Żłobków i Klubów Dziecięcych. W poszczególnych żłobkach dzieci uczestniczyły w przygotowaniu wspólnej pracy plastycznej. </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3272790" cy="3874135"/>
            <wp:effectExtent l="19050" t="0" r="3810" b="0"/>
            <wp:docPr id="100" name="Obraz 23" descr="Praca plastyczna. Na kartonie wyklejone drzewo w kolorach jesi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raca plastyczna. Na kartonie wyklejone drzewo w kolorach jesieni."/>
                    <pic:cNvPicPr>
                      <a:picLocks noChangeAspect="1" noChangeArrowheads="1"/>
                    </pic:cNvPicPr>
                  </pic:nvPicPr>
                  <pic:blipFill>
                    <a:blip r:embed="rId117" cstate="print"/>
                    <a:srcRect/>
                    <a:stretch>
                      <a:fillRect/>
                    </a:stretch>
                  </pic:blipFill>
                  <pic:spPr bwMode="auto">
                    <a:xfrm>
                      <a:off x="0" y="0"/>
                      <a:ext cx="3272790" cy="3874135"/>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12</w:t>
      </w:r>
      <w:r w:rsidR="00573162" w:rsidRPr="00E00B35">
        <w:rPr>
          <w:szCs w:val="20"/>
        </w:rPr>
        <w:fldChar w:fldCharType="end"/>
      </w:r>
      <w:r w:rsidRPr="00E00B35">
        <w:rPr>
          <w:szCs w:val="20"/>
        </w:rPr>
        <w:t xml:space="preserve"> Konkurs plastyczny Witaj Pani Jesień</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3729990" cy="3994785"/>
            <wp:effectExtent l="19050" t="0" r="3810" b="0"/>
            <wp:docPr id="99" name="Obraz 24" descr="Praca plastyczna. Na kartonie wyklejona postaś Pani Jesieni. Suknia i kapelusz wyklejona z  naturalnych li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raca plastyczna. Na kartonie wyklejona postaś Pani Jesieni. Suknia i kapelusz wyklejona z  naturalnych liści."/>
                    <pic:cNvPicPr>
                      <a:picLocks noChangeAspect="1" noChangeArrowheads="1"/>
                    </pic:cNvPicPr>
                  </pic:nvPicPr>
                  <pic:blipFill>
                    <a:blip r:embed="rId118" cstate="print"/>
                    <a:srcRect/>
                    <a:stretch>
                      <a:fillRect/>
                    </a:stretch>
                  </pic:blipFill>
                  <pic:spPr bwMode="auto">
                    <a:xfrm>
                      <a:off x="0" y="0"/>
                      <a:ext cx="3729990" cy="3994785"/>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13</w:t>
      </w:r>
      <w:r w:rsidR="00573162" w:rsidRPr="00E00B35">
        <w:rPr>
          <w:szCs w:val="20"/>
        </w:rPr>
        <w:fldChar w:fldCharType="end"/>
      </w:r>
      <w:r w:rsidRPr="00E00B35">
        <w:rPr>
          <w:szCs w:val="20"/>
        </w:rPr>
        <w:t xml:space="preserve"> Konkurs plastyczny Witaj Pani Jesień</w:t>
      </w:r>
    </w:p>
    <w:p w:rsidR="00CA14AB" w:rsidRPr="00E00B35" w:rsidRDefault="00CA14AB" w:rsidP="00E00B35">
      <w:pPr>
        <w:spacing w:after="0" w:line="312" w:lineRule="auto"/>
        <w:rPr>
          <w:szCs w:val="20"/>
        </w:rPr>
      </w:pPr>
      <w:r w:rsidRPr="00E00B35">
        <w:rPr>
          <w:szCs w:val="20"/>
        </w:rPr>
        <w:t xml:space="preserve">Codziennie monitorowane zanieczyszczenie powietrza wg. najbliższej stacji kontroli powietrza znajdującej się na ul. Wybrzeże J. Konrada Korzeniowskiego we Wrocławiu. </w:t>
      </w:r>
      <w:r w:rsidRPr="00E00B35">
        <w:rPr>
          <w:szCs w:val="20"/>
        </w:rPr>
        <w:lastRenderedPageBreak/>
        <w:t>W/w informacje przedstawiane są na tablicy „ Smok informuje o stanie powietrza”.,  umieszczonej w holu głównym żłobka. Żłobek nr 15</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2935605" cy="3224530"/>
            <wp:effectExtent l="19050" t="0" r="0" b="0"/>
            <wp:docPr id="98" name="Obraz 25" descr="Tablica ogłoszeń. Smok z kartonu informuje o stanie powietrza. Opis poszczególnych symboli stanu powiet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lica ogłoszeń. Smok z kartonu informuje o stanie powietrza. Opis poszczególnych symboli stanu powietrza."/>
                    <pic:cNvPicPr>
                      <a:picLocks noChangeAspect="1" noChangeArrowheads="1"/>
                    </pic:cNvPicPr>
                  </pic:nvPicPr>
                  <pic:blipFill>
                    <a:blip r:embed="rId119" cstate="print"/>
                    <a:srcRect/>
                    <a:stretch>
                      <a:fillRect/>
                    </a:stretch>
                  </pic:blipFill>
                  <pic:spPr bwMode="auto">
                    <a:xfrm>
                      <a:off x="0" y="0"/>
                      <a:ext cx="2935605" cy="3224530"/>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14</w:t>
      </w:r>
      <w:r w:rsidR="00573162" w:rsidRPr="00E00B35">
        <w:rPr>
          <w:szCs w:val="20"/>
        </w:rPr>
        <w:fldChar w:fldCharType="end"/>
      </w:r>
      <w:r w:rsidRPr="00E00B35">
        <w:rPr>
          <w:szCs w:val="20"/>
        </w:rPr>
        <w:t xml:space="preserve"> Monitorowanie zanieczyszczenia powietrza</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Udział dzieci ze Żłobka nr 14</w:t>
      </w:r>
      <w:r w:rsidR="0007217B" w:rsidRPr="00E00B35">
        <w:rPr>
          <w:szCs w:val="20"/>
        </w:rPr>
        <w:t xml:space="preserve"> w akcji „Miska dla schroniska”</w:t>
      </w:r>
    </w:p>
    <w:p w:rsidR="00CA14AB" w:rsidRPr="00E00B35" w:rsidRDefault="00CA14AB" w:rsidP="00E00B35">
      <w:pPr>
        <w:spacing w:after="0" w:line="312" w:lineRule="auto"/>
        <w:rPr>
          <w:szCs w:val="20"/>
        </w:rPr>
      </w:pPr>
      <w:r w:rsidRPr="00E00B35">
        <w:rPr>
          <w:szCs w:val="20"/>
        </w:rPr>
        <w:t>Udział  Żłobka nr 12 w akcji charytatywnej dla schroniska dla zwierząt. Zbiórka zbędnych koców, ręczników, kołder dla schroniska dla bezdomnych zwierząt we Wrocławiu. Kształtowanie postaw prospołecznych, uwrażliwianie na potrzeby innych, rozwijanie empatii. Podkreślanie odpowiedzialności za słabszych i ich wspieranie.</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2983865" cy="4258945"/>
            <wp:effectExtent l="19050" t="0" r="6985" b="0"/>
            <wp:docPr id="97" name="Obraz 26" descr="Podziękowanie Schroniska dla bezdomnych zwierząt dla Żłobka nr 12 dla za zbiórkę na rzecz zwierzą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dziękowanie Schroniska dla bezdomnych zwierząt dla Żłobka nr 12 dla za zbiórkę na rzecz zwierząt."/>
                    <pic:cNvPicPr>
                      <a:picLocks noChangeAspect="1" noChangeArrowheads="1"/>
                    </pic:cNvPicPr>
                  </pic:nvPicPr>
                  <pic:blipFill>
                    <a:blip r:embed="rId120" cstate="print"/>
                    <a:srcRect/>
                    <a:stretch>
                      <a:fillRect/>
                    </a:stretch>
                  </pic:blipFill>
                  <pic:spPr bwMode="auto">
                    <a:xfrm>
                      <a:off x="0" y="0"/>
                      <a:ext cx="2983865" cy="4258945"/>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15</w:t>
      </w:r>
      <w:r w:rsidR="00573162" w:rsidRPr="00E00B35">
        <w:rPr>
          <w:szCs w:val="20"/>
        </w:rPr>
        <w:fldChar w:fldCharType="end"/>
      </w:r>
      <w:r w:rsidRPr="00E00B35">
        <w:rPr>
          <w:szCs w:val="20"/>
        </w:rPr>
        <w:t xml:space="preserve"> Akcja charytatywna dla schroniska dla zwierząt</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Kontakt z rodzicami</w:t>
      </w:r>
    </w:p>
    <w:p w:rsidR="00CA14AB" w:rsidRPr="00E00B35" w:rsidRDefault="00CA14AB" w:rsidP="00E00B35">
      <w:pPr>
        <w:spacing w:after="0" w:line="312" w:lineRule="auto"/>
        <w:rPr>
          <w:szCs w:val="20"/>
        </w:rPr>
      </w:pPr>
      <w:r w:rsidRPr="00E00B35">
        <w:rPr>
          <w:szCs w:val="20"/>
        </w:rPr>
        <w:t xml:space="preserve">Wszyscy rodzice zapoznają się z organizacją i pracą w żłobku oraz ze sprawami organizacyjnymi. </w:t>
      </w:r>
    </w:p>
    <w:p w:rsidR="00CA14AB" w:rsidRPr="00E00B35" w:rsidRDefault="00CA14AB" w:rsidP="00E00B35">
      <w:pPr>
        <w:spacing w:after="0" w:line="312" w:lineRule="auto"/>
        <w:rPr>
          <w:szCs w:val="20"/>
        </w:rPr>
      </w:pPr>
      <w:r w:rsidRPr="00E00B35">
        <w:rPr>
          <w:szCs w:val="20"/>
        </w:rPr>
        <w:t xml:space="preserve">Najważniejsze informacje dotyczące działalności i spraw żłobka – np. regulamin,  procedury, plany miesięczne, jadłospis, teksty o tematyce prozdrowotnej i inne wywieszane są  na tablicy informacyjnej. W okresie epidemii COVID-19 stały kontakt  </w:t>
      </w:r>
    </w:p>
    <w:p w:rsidR="00CA14AB" w:rsidRPr="00E00B35" w:rsidRDefault="00CA14AB" w:rsidP="00E00B35">
      <w:pPr>
        <w:spacing w:after="0" w:line="312" w:lineRule="auto"/>
        <w:rPr>
          <w:szCs w:val="20"/>
        </w:rPr>
      </w:pPr>
      <w:r w:rsidRPr="00E00B35">
        <w:rPr>
          <w:szCs w:val="20"/>
        </w:rPr>
        <w:t>z rodzicami utrzymywany jest przy pomocy poczty elektronicznej i poprzez portale społecznościowe.</w:t>
      </w:r>
    </w:p>
    <w:p w:rsidR="00CA14AB" w:rsidRPr="00E00B35" w:rsidRDefault="00CA14AB" w:rsidP="00E00B35">
      <w:pPr>
        <w:spacing w:after="0" w:line="312" w:lineRule="auto"/>
        <w:rPr>
          <w:szCs w:val="20"/>
        </w:rPr>
      </w:pPr>
      <w:r w:rsidRPr="00E00B35">
        <w:rPr>
          <w:szCs w:val="20"/>
        </w:rPr>
        <w:t>Rada Rodziców utworzona w Żłobku wspiera i pomaga np. przy zakupie paczek mikołajowych.</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Żywienie dzieci</w:t>
      </w:r>
    </w:p>
    <w:p w:rsidR="00CA14AB" w:rsidRPr="00E00B35" w:rsidRDefault="00CA14AB" w:rsidP="00E00B35">
      <w:pPr>
        <w:spacing w:after="0" w:line="312" w:lineRule="auto"/>
        <w:rPr>
          <w:szCs w:val="20"/>
        </w:rPr>
      </w:pPr>
      <w:r w:rsidRPr="00E00B35">
        <w:rPr>
          <w:szCs w:val="20"/>
        </w:rPr>
        <w:t>Pracownicy odpowiedzialni za żywienie dzieci  stale podnoszą swoje kompetencje poprzez konferencje, kursy i szkolenia. W 2020 r. brali udział w szkoleniu  organizowanym przez Ogólnopolskie Stowarzyszenie Żłobków i Klubów Dzie</w:t>
      </w:r>
      <w:r w:rsidR="0007217B" w:rsidRPr="00E00B35">
        <w:rPr>
          <w:szCs w:val="20"/>
        </w:rPr>
        <w:t xml:space="preserve">cięcych. Ponadto brali udział  </w:t>
      </w:r>
      <w:r w:rsidRPr="00E00B35">
        <w:rPr>
          <w:szCs w:val="20"/>
        </w:rPr>
        <w:t>w projekcie „Owoce warzywa dziecko spożywa” tego Stowarzyszenia i w projekcie „Certyfikat stołówki z racjonalnym Żywieniem” Miasta Wrocław.</w:t>
      </w:r>
    </w:p>
    <w:p w:rsidR="00CA14AB" w:rsidRPr="00E00B35" w:rsidRDefault="00CA14AB" w:rsidP="00E00B35">
      <w:pPr>
        <w:spacing w:after="0" w:line="312" w:lineRule="auto"/>
        <w:rPr>
          <w:szCs w:val="20"/>
        </w:rPr>
      </w:pPr>
      <w:r w:rsidRPr="00E00B35">
        <w:rPr>
          <w:szCs w:val="20"/>
        </w:rPr>
        <w:t xml:space="preserve">Opracowano dokumentacje HACCP (system bezpieczeństwa żywności) oraz wdrożono system HACCP w Żłobku  nr 16 przy ul. Sygnałowej. </w:t>
      </w:r>
    </w:p>
    <w:p w:rsidR="00CA14AB" w:rsidRPr="00E00B35" w:rsidRDefault="00CA14AB" w:rsidP="00E00B35">
      <w:pPr>
        <w:spacing w:after="0" w:line="312" w:lineRule="auto"/>
        <w:rPr>
          <w:szCs w:val="20"/>
        </w:rPr>
      </w:pPr>
      <w:r w:rsidRPr="00E00B35">
        <w:rPr>
          <w:szCs w:val="20"/>
        </w:rPr>
        <w:t xml:space="preserve">Opracowane zostały: </w:t>
      </w:r>
    </w:p>
    <w:p w:rsidR="00CA14AB" w:rsidRPr="00E00B35" w:rsidRDefault="00CA14AB" w:rsidP="00BC64AB">
      <w:pPr>
        <w:pStyle w:val="Akapitzlist"/>
        <w:numPr>
          <w:ilvl w:val="0"/>
          <w:numId w:val="200"/>
        </w:numPr>
        <w:spacing w:after="0" w:line="312" w:lineRule="auto"/>
        <w:rPr>
          <w:szCs w:val="20"/>
        </w:rPr>
      </w:pPr>
      <w:r w:rsidRPr="00E00B35">
        <w:rPr>
          <w:szCs w:val="20"/>
        </w:rPr>
        <w:lastRenderedPageBreak/>
        <w:t xml:space="preserve">instrukcja technologiczna i procedura przygotowania diet eliminacyjnych w Żłobku  nr 3; </w:t>
      </w:r>
    </w:p>
    <w:p w:rsidR="00CA14AB" w:rsidRPr="00E00B35" w:rsidRDefault="00CA14AB" w:rsidP="00BC64AB">
      <w:pPr>
        <w:pStyle w:val="Akapitzlist"/>
        <w:numPr>
          <w:ilvl w:val="0"/>
          <w:numId w:val="200"/>
        </w:numPr>
        <w:spacing w:after="0" w:line="312" w:lineRule="auto"/>
        <w:rPr>
          <w:szCs w:val="20"/>
        </w:rPr>
      </w:pPr>
      <w:r w:rsidRPr="00E00B35">
        <w:rPr>
          <w:szCs w:val="20"/>
        </w:rPr>
        <w:t>instrukcji technologiczna i procedura w zakresie postepowania z mlekiem kobiecym  w Żłobku nr 14;</w:t>
      </w:r>
    </w:p>
    <w:p w:rsidR="00CA14AB" w:rsidRPr="00E00B35" w:rsidRDefault="00CA14AB" w:rsidP="00BC64AB">
      <w:pPr>
        <w:pStyle w:val="Akapitzlist"/>
        <w:numPr>
          <w:ilvl w:val="0"/>
          <w:numId w:val="200"/>
        </w:numPr>
        <w:spacing w:after="0" w:line="312" w:lineRule="auto"/>
        <w:rPr>
          <w:szCs w:val="20"/>
        </w:rPr>
      </w:pPr>
      <w:r w:rsidRPr="00E00B35">
        <w:rPr>
          <w:szCs w:val="20"/>
        </w:rPr>
        <w:t>procedura postępowania z odpadami, w tym postępowania z odpadami pokonsumpcyjnymi w Żłobku nr 14.</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Pracownicy sprawujący opiekę nad dziećmi</w:t>
      </w:r>
    </w:p>
    <w:p w:rsidR="00CA14AB" w:rsidRPr="00E00B35" w:rsidRDefault="00CA14AB" w:rsidP="00E00B35">
      <w:pPr>
        <w:spacing w:after="0" w:line="312" w:lineRule="auto"/>
        <w:rPr>
          <w:szCs w:val="20"/>
        </w:rPr>
      </w:pPr>
      <w:r w:rsidRPr="00E00B35">
        <w:rPr>
          <w:rFonts w:eastAsia="Calibri"/>
          <w:szCs w:val="20"/>
        </w:rPr>
        <w:t xml:space="preserve">W dniu 31 grudnia 2020 r. Zespół zatrudniał 309 opiekunów, 10 pielęgniarek, 3 pomoce opiekunów i 63 salowych/sprzątaczek. </w:t>
      </w:r>
    </w:p>
    <w:p w:rsidR="00CA14AB" w:rsidRPr="00E00B35" w:rsidRDefault="00CA14AB" w:rsidP="00E00B35">
      <w:pPr>
        <w:spacing w:after="0" w:line="312" w:lineRule="auto"/>
        <w:rPr>
          <w:szCs w:val="20"/>
        </w:rPr>
      </w:pPr>
      <w:r w:rsidRPr="00E00B35">
        <w:rPr>
          <w:szCs w:val="20"/>
        </w:rPr>
        <w:t xml:space="preserve">Pracownicy zatrudnieni na stanowisku pomoc opiekuna, salowej/sprzątaczki po podniesieniu swoich kwalifikacji (ukończeniu odpowiedniej szkoły) mają możliwość awansu na stanowisko opiekuna. </w:t>
      </w:r>
    </w:p>
    <w:tbl>
      <w:tblPr>
        <w:tblW w:w="0" w:type="auto"/>
        <w:jc w:val="center"/>
        <w:tblLayout w:type="fixed"/>
        <w:tblLook w:val="0000"/>
      </w:tblPr>
      <w:tblGrid>
        <w:gridCol w:w="1035"/>
        <w:gridCol w:w="1114"/>
        <w:gridCol w:w="1610"/>
        <w:gridCol w:w="2355"/>
        <w:gridCol w:w="2492"/>
      </w:tblGrid>
      <w:tr w:rsidR="00CA14AB" w:rsidRPr="00E00B35" w:rsidTr="00CA14AB">
        <w:trPr>
          <w:trHeight w:val="567"/>
          <w:jc w:val="center"/>
        </w:trPr>
        <w:tc>
          <w:tcPr>
            <w:tcW w:w="103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rok</w:t>
            </w:r>
          </w:p>
        </w:tc>
        <w:tc>
          <w:tcPr>
            <w:tcW w:w="1114"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opiekun</w:t>
            </w:r>
          </w:p>
        </w:tc>
        <w:tc>
          <w:tcPr>
            <w:tcW w:w="16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pielęgniarka</w:t>
            </w:r>
          </w:p>
        </w:tc>
        <w:tc>
          <w:tcPr>
            <w:tcW w:w="235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pomoc opiekuna</w:t>
            </w:r>
          </w:p>
        </w:tc>
        <w:tc>
          <w:tcPr>
            <w:tcW w:w="24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salowa/sprzątaczka</w:t>
            </w:r>
          </w:p>
        </w:tc>
      </w:tr>
      <w:tr w:rsidR="00CA14AB" w:rsidRPr="00E00B35" w:rsidTr="00CA14AB">
        <w:trPr>
          <w:trHeight w:val="567"/>
          <w:jc w:val="center"/>
        </w:trPr>
        <w:tc>
          <w:tcPr>
            <w:tcW w:w="103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2017</w:t>
            </w:r>
          </w:p>
        </w:tc>
        <w:tc>
          <w:tcPr>
            <w:tcW w:w="1114"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254</w:t>
            </w:r>
          </w:p>
        </w:tc>
        <w:tc>
          <w:tcPr>
            <w:tcW w:w="16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17</w:t>
            </w:r>
          </w:p>
        </w:tc>
        <w:tc>
          <w:tcPr>
            <w:tcW w:w="235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stanowisko utworzone w 2018</w:t>
            </w:r>
          </w:p>
        </w:tc>
        <w:tc>
          <w:tcPr>
            <w:tcW w:w="24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60</w:t>
            </w:r>
          </w:p>
        </w:tc>
      </w:tr>
      <w:tr w:rsidR="00CA14AB" w:rsidRPr="00E00B35" w:rsidTr="00CA14AB">
        <w:trPr>
          <w:trHeight w:val="567"/>
          <w:jc w:val="center"/>
        </w:trPr>
        <w:tc>
          <w:tcPr>
            <w:tcW w:w="103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2018</w:t>
            </w:r>
          </w:p>
        </w:tc>
        <w:tc>
          <w:tcPr>
            <w:tcW w:w="1114"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263</w:t>
            </w:r>
          </w:p>
        </w:tc>
        <w:tc>
          <w:tcPr>
            <w:tcW w:w="16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15</w:t>
            </w:r>
          </w:p>
        </w:tc>
        <w:tc>
          <w:tcPr>
            <w:tcW w:w="235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9</w:t>
            </w:r>
          </w:p>
        </w:tc>
        <w:tc>
          <w:tcPr>
            <w:tcW w:w="24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64</w:t>
            </w:r>
          </w:p>
        </w:tc>
      </w:tr>
      <w:tr w:rsidR="00CA14AB" w:rsidRPr="00E00B35" w:rsidTr="00CA14AB">
        <w:trPr>
          <w:trHeight w:val="567"/>
          <w:jc w:val="center"/>
        </w:trPr>
        <w:tc>
          <w:tcPr>
            <w:tcW w:w="103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2019</w:t>
            </w:r>
          </w:p>
        </w:tc>
        <w:tc>
          <w:tcPr>
            <w:tcW w:w="1114"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284</w:t>
            </w:r>
          </w:p>
        </w:tc>
        <w:tc>
          <w:tcPr>
            <w:tcW w:w="16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11</w:t>
            </w:r>
          </w:p>
        </w:tc>
        <w:tc>
          <w:tcPr>
            <w:tcW w:w="235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5</w:t>
            </w:r>
          </w:p>
        </w:tc>
        <w:tc>
          <w:tcPr>
            <w:tcW w:w="24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63</w:t>
            </w:r>
          </w:p>
        </w:tc>
      </w:tr>
      <w:tr w:rsidR="00CA14AB" w:rsidRPr="00E00B35" w:rsidTr="00CA14AB">
        <w:trPr>
          <w:trHeight w:val="567"/>
          <w:jc w:val="center"/>
        </w:trPr>
        <w:tc>
          <w:tcPr>
            <w:tcW w:w="103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2020</w:t>
            </w:r>
          </w:p>
        </w:tc>
        <w:tc>
          <w:tcPr>
            <w:tcW w:w="1114"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309</w:t>
            </w:r>
          </w:p>
        </w:tc>
        <w:tc>
          <w:tcPr>
            <w:tcW w:w="16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10</w:t>
            </w:r>
          </w:p>
        </w:tc>
        <w:tc>
          <w:tcPr>
            <w:tcW w:w="235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24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63</w:t>
            </w:r>
          </w:p>
        </w:tc>
      </w:tr>
    </w:tbl>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Opieka psychologa</w:t>
      </w:r>
    </w:p>
    <w:p w:rsidR="00CA14AB" w:rsidRPr="00E00B35" w:rsidRDefault="00CA14AB" w:rsidP="00E00B35">
      <w:pPr>
        <w:spacing w:after="0" w:line="312" w:lineRule="auto"/>
        <w:rPr>
          <w:szCs w:val="20"/>
        </w:rPr>
      </w:pPr>
      <w:r w:rsidRPr="00E00B35">
        <w:rPr>
          <w:szCs w:val="20"/>
        </w:rPr>
        <w:t>Zadania zrealizowane przez psychologa:</w:t>
      </w:r>
    </w:p>
    <w:p w:rsidR="00CA14AB" w:rsidRPr="00E00B35" w:rsidRDefault="00CA14AB" w:rsidP="00BC64AB">
      <w:pPr>
        <w:pStyle w:val="Akapitzlist"/>
        <w:numPr>
          <w:ilvl w:val="0"/>
          <w:numId w:val="201"/>
        </w:numPr>
        <w:spacing w:after="0" w:line="312" w:lineRule="auto"/>
        <w:rPr>
          <w:szCs w:val="20"/>
        </w:rPr>
      </w:pPr>
      <w:r w:rsidRPr="00E00B35">
        <w:rPr>
          <w:rFonts w:eastAsia="Nimbus Roman No9 L"/>
          <w:szCs w:val="20"/>
        </w:rPr>
        <w:t>obserwacja psychologiczna dzieci w placówkach Wrocławskiego Zespołu Żłobków wg harmonogramów dyżurów i sporządzanie protokołów obserwacji psychologicznej;</w:t>
      </w:r>
    </w:p>
    <w:p w:rsidR="00CA14AB" w:rsidRPr="00E00B35" w:rsidRDefault="00CA14AB" w:rsidP="00BC64AB">
      <w:pPr>
        <w:pStyle w:val="Akapitzlist"/>
        <w:numPr>
          <w:ilvl w:val="0"/>
          <w:numId w:val="201"/>
        </w:numPr>
        <w:spacing w:after="0" w:line="312" w:lineRule="auto"/>
        <w:rPr>
          <w:szCs w:val="20"/>
        </w:rPr>
      </w:pPr>
      <w:r w:rsidRPr="00E00B35">
        <w:rPr>
          <w:rFonts w:eastAsia="Nimbus Roman No9 L"/>
          <w:szCs w:val="20"/>
        </w:rPr>
        <w:t xml:space="preserve">otwarte konsultacje dla rodziców; </w:t>
      </w:r>
    </w:p>
    <w:p w:rsidR="00CA14AB" w:rsidRPr="00E00B35" w:rsidRDefault="00CA14AB" w:rsidP="00BC64AB">
      <w:pPr>
        <w:pStyle w:val="Akapitzlist"/>
        <w:numPr>
          <w:ilvl w:val="0"/>
          <w:numId w:val="201"/>
        </w:numPr>
        <w:spacing w:after="0" w:line="312" w:lineRule="auto"/>
        <w:rPr>
          <w:szCs w:val="20"/>
        </w:rPr>
      </w:pPr>
      <w:r w:rsidRPr="00E00B35">
        <w:rPr>
          <w:szCs w:val="20"/>
        </w:rPr>
        <w:t>monitorowanie rozwoju regulacji emocji i stanów u dzieci przejawiających zachowania trudne w grupie dziecięcej;</w:t>
      </w:r>
    </w:p>
    <w:p w:rsidR="00CA14AB" w:rsidRPr="00E00B35" w:rsidRDefault="00CA14AB" w:rsidP="00BC64AB">
      <w:pPr>
        <w:pStyle w:val="Akapitzlist"/>
        <w:numPr>
          <w:ilvl w:val="0"/>
          <w:numId w:val="201"/>
        </w:numPr>
        <w:spacing w:after="0" w:line="312" w:lineRule="auto"/>
        <w:rPr>
          <w:szCs w:val="20"/>
        </w:rPr>
      </w:pPr>
      <w:r w:rsidRPr="00E00B35">
        <w:rPr>
          <w:szCs w:val="20"/>
        </w:rPr>
        <w:t xml:space="preserve">spotkania z opiekunami, u których w grupie żłobkowej pojawiły się trudności  </w:t>
      </w:r>
    </w:p>
    <w:p w:rsidR="00CA14AB" w:rsidRPr="00E00B35" w:rsidRDefault="00CA14AB" w:rsidP="00BC64AB">
      <w:pPr>
        <w:pStyle w:val="Akapitzlist"/>
        <w:numPr>
          <w:ilvl w:val="0"/>
          <w:numId w:val="201"/>
        </w:numPr>
        <w:spacing w:after="0" w:line="312" w:lineRule="auto"/>
        <w:rPr>
          <w:szCs w:val="20"/>
        </w:rPr>
      </w:pPr>
      <w:r w:rsidRPr="00E00B35">
        <w:rPr>
          <w:szCs w:val="20"/>
        </w:rPr>
        <w:t>z zakresu komunikacji z dziećmi;</w:t>
      </w:r>
    </w:p>
    <w:p w:rsidR="00CA14AB" w:rsidRPr="00E00B35" w:rsidRDefault="00CA14AB" w:rsidP="00BC64AB">
      <w:pPr>
        <w:pStyle w:val="Akapitzlist"/>
        <w:numPr>
          <w:ilvl w:val="0"/>
          <w:numId w:val="201"/>
        </w:numPr>
        <w:spacing w:after="0" w:line="312" w:lineRule="auto"/>
        <w:rPr>
          <w:szCs w:val="20"/>
        </w:rPr>
      </w:pPr>
      <w:r w:rsidRPr="00E00B35">
        <w:rPr>
          <w:szCs w:val="20"/>
        </w:rPr>
        <w:t xml:space="preserve">wsparcie  </w:t>
      </w:r>
      <w:r w:rsidRPr="00E00B35">
        <w:rPr>
          <w:rFonts w:eastAsia="Nimbus Roman No9 L"/>
          <w:szCs w:val="20"/>
        </w:rPr>
        <w:t>psychologiczne pracowników Wrocławskiego Zespołu Żłobków w ramach konsultacji psychologicznej;</w:t>
      </w:r>
    </w:p>
    <w:p w:rsidR="00CA14AB" w:rsidRPr="00E00B35" w:rsidRDefault="00CA14AB" w:rsidP="00BC64AB">
      <w:pPr>
        <w:pStyle w:val="Akapitzlist"/>
        <w:numPr>
          <w:ilvl w:val="0"/>
          <w:numId w:val="201"/>
        </w:numPr>
        <w:spacing w:after="0" w:line="312" w:lineRule="auto"/>
        <w:rPr>
          <w:szCs w:val="20"/>
        </w:rPr>
      </w:pPr>
      <w:r w:rsidRPr="00E00B35">
        <w:rPr>
          <w:rFonts w:eastAsia="Nimbus Roman No9 L"/>
          <w:szCs w:val="20"/>
        </w:rPr>
        <w:t xml:space="preserve">przygotowanie pisemnych wskazówek dla rodziców i opiekunów dzieci konsultowanych; </w:t>
      </w:r>
    </w:p>
    <w:p w:rsidR="00CA14AB" w:rsidRPr="00E00B35" w:rsidRDefault="00CA14AB" w:rsidP="00BC64AB">
      <w:pPr>
        <w:pStyle w:val="Akapitzlist"/>
        <w:numPr>
          <w:ilvl w:val="0"/>
          <w:numId w:val="201"/>
        </w:numPr>
        <w:spacing w:after="0" w:line="312" w:lineRule="auto"/>
        <w:rPr>
          <w:szCs w:val="20"/>
        </w:rPr>
      </w:pPr>
      <w:r w:rsidRPr="00E00B35">
        <w:rPr>
          <w:rFonts w:eastAsia="Nimbus Roman No9 L"/>
          <w:szCs w:val="20"/>
        </w:rPr>
        <w:t>informacje o funkcjonowaniu dziecka na wniosek Interdyscyplinarnego Zespołu ds. Przeciwdziałania Przemocy w Rodzinie;</w:t>
      </w:r>
    </w:p>
    <w:p w:rsidR="00CA14AB" w:rsidRPr="00E00B35" w:rsidRDefault="00CA14AB" w:rsidP="00BC64AB">
      <w:pPr>
        <w:pStyle w:val="Akapitzlist"/>
        <w:numPr>
          <w:ilvl w:val="0"/>
          <w:numId w:val="201"/>
        </w:numPr>
        <w:spacing w:after="0" w:line="312" w:lineRule="auto"/>
        <w:rPr>
          <w:szCs w:val="20"/>
        </w:rPr>
      </w:pPr>
      <w:r w:rsidRPr="00E00B35">
        <w:rPr>
          <w:szCs w:val="20"/>
        </w:rPr>
        <w:t>ankiety dotyczące gotowości dziecka do odpieluchowania: “Trening higieniczny - ankieta dla rodzica”;</w:t>
      </w:r>
    </w:p>
    <w:p w:rsidR="00CA14AB" w:rsidRPr="00E00B35" w:rsidRDefault="00CA14AB" w:rsidP="00BC64AB">
      <w:pPr>
        <w:pStyle w:val="Akapitzlist"/>
        <w:numPr>
          <w:ilvl w:val="0"/>
          <w:numId w:val="201"/>
        </w:numPr>
        <w:spacing w:after="0" w:line="312" w:lineRule="auto"/>
        <w:rPr>
          <w:szCs w:val="20"/>
        </w:rPr>
      </w:pPr>
      <w:r w:rsidRPr="00E00B35">
        <w:rPr>
          <w:szCs w:val="20"/>
        </w:rPr>
        <w:t>ankiety związane z treningiem higienicznym dla grup żłobkowych;</w:t>
      </w:r>
    </w:p>
    <w:p w:rsidR="00CA14AB" w:rsidRPr="00E00B35" w:rsidRDefault="00CA14AB" w:rsidP="00BC64AB">
      <w:pPr>
        <w:pStyle w:val="Akapitzlist"/>
        <w:numPr>
          <w:ilvl w:val="0"/>
          <w:numId w:val="201"/>
        </w:numPr>
        <w:spacing w:after="0" w:line="312" w:lineRule="auto"/>
        <w:rPr>
          <w:szCs w:val="20"/>
        </w:rPr>
      </w:pPr>
      <w:r w:rsidRPr="00E00B35">
        <w:rPr>
          <w:szCs w:val="20"/>
        </w:rPr>
        <w:t>wskazówki dla rodziców: „Jak przygotować dziecko do przedszkola?”;</w:t>
      </w:r>
    </w:p>
    <w:p w:rsidR="00CA14AB" w:rsidRPr="00E00B35" w:rsidRDefault="00CA14AB" w:rsidP="00BC64AB">
      <w:pPr>
        <w:pStyle w:val="Akapitzlist"/>
        <w:numPr>
          <w:ilvl w:val="0"/>
          <w:numId w:val="201"/>
        </w:numPr>
        <w:spacing w:after="0" w:line="312" w:lineRule="auto"/>
        <w:rPr>
          <w:szCs w:val="20"/>
        </w:rPr>
      </w:pPr>
      <w:r w:rsidRPr="00E00B35">
        <w:rPr>
          <w:szCs w:val="20"/>
        </w:rPr>
        <w:lastRenderedPageBreak/>
        <w:t xml:space="preserve">wprowadzenie wewnętrznych tabel obserwacji dla dzieci, które przejawiają zachowania autoagresywne lub mają trudność ze znalezieniem strategii na wyrażanie złości w grupie; </w:t>
      </w:r>
    </w:p>
    <w:p w:rsidR="00CA14AB" w:rsidRPr="00E00B35" w:rsidRDefault="00CA14AB" w:rsidP="00BC64AB">
      <w:pPr>
        <w:pStyle w:val="Akapitzlist"/>
        <w:numPr>
          <w:ilvl w:val="0"/>
          <w:numId w:val="201"/>
        </w:numPr>
        <w:spacing w:after="0" w:line="312" w:lineRule="auto"/>
        <w:rPr>
          <w:szCs w:val="20"/>
        </w:rPr>
      </w:pPr>
      <w:r w:rsidRPr="00E00B35">
        <w:rPr>
          <w:szCs w:val="20"/>
        </w:rPr>
        <w:t xml:space="preserve">prezentacja o adaptacji dziecka w żłobku dla rodziców nowoprzyjętych dzieci; ankieta o dziecku, dotycząca niezbędnych informacji o potrzebach i nawykach dziecka; obserwacja dzieci pod względem adaptacji do warunków żłobkowych; konsultacje dla rodziców związane z adaptacją dzieci do żłobków. </w:t>
      </w:r>
    </w:p>
    <w:p w:rsidR="00CA14AB" w:rsidRPr="00E00B35" w:rsidRDefault="00CA14AB" w:rsidP="00E00B35">
      <w:pPr>
        <w:spacing w:after="0" w:line="312" w:lineRule="auto"/>
        <w:rPr>
          <w:szCs w:val="20"/>
        </w:rPr>
      </w:pPr>
      <w:r w:rsidRPr="00E00B35">
        <w:rPr>
          <w:szCs w:val="20"/>
        </w:rPr>
        <w:t>Ponadto, w 2020 r. m.in.:</w:t>
      </w:r>
    </w:p>
    <w:p w:rsidR="00CA14AB" w:rsidRPr="00E00B35" w:rsidRDefault="00CA14AB" w:rsidP="00BC64AB">
      <w:pPr>
        <w:pStyle w:val="Akapitzlist"/>
        <w:numPr>
          <w:ilvl w:val="0"/>
          <w:numId w:val="202"/>
        </w:numPr>
        <w:spacing w:after="0" w:line="312" w:lineRule="auto"/>
        <w:rPr>
          <w:szCs w:val="20"/>
        </w:rPr>
      </w:pPr>
      <w:r w:rsidRPr="00E00B35">
        <w:rPr>
          <w:szCs w:val="20"/>
        </w:rPr>
        <w:t xml:space="preserve">rozpoczęto współpracę z I Ogólnopolskim Stowarzyszeniem Publicznych i Niepublicznych Żłobków i Klubów Dziecięcych, w ramach której powstał artykuł “Sen malucha. Trudności ze spaniem oraz zasypianiem w wieku poniemowlęcym.” opublikowany w czasopiśmie “Biblioteka Opiekuna Malucha w Żłobku i Klubie Dziecięcym”, wyd. Rozwój, Numer 1/2020; </w:t>
      </w:r>
    </w:p>
    <w:p w:rsidR="00CA14AB" w:rsidRPr="00E00B35" w:rsidRDefault="00CA14AB" w:rsidP="00BC64AB">
      <w:pPr>
        <w:pStyle w:val="Akapitzlist"/>
        <w:numPr>
          <w:ilvl w:val="0"/>
          <w:numId w:val="202"/>
        </w:numPr>
        <w:spacing w:after="0" w:line="312" w:lineRule="auto"/>
        <w:rPr>
          <w:szCs w:val="20"/>
        </w:rPr>
      </w:pPr>
      <w:r w:rsidRPr="00E00B35">
        <w:rPr>
          <w:rFonts w:eastAsia="Nimbus Roman No9 L"/>
          <w:szCs w:val="20"/>
        </w:rPr>
        <w:t xml:space="preserve">opracowano Zasady Komunikacji w Grupie Żłobkowej dla Opiekunów Wrocławskiego Zespołu Żłobków; </w:t>
      </w:r>
    </w:p>
    <w:p w:rsidR="00CA14AB" w:rsidRPr="00E00B35" w:rsidRDefault="00CA14AB" w:rsidP="00BC64AB">
      <w:pPr>
        <w:pStyle w:val="Akapitzlist"/>
        <w:numPr>
          <w:ilvl w:val="0"/>
          <w:numId w:val="202"/>
        </w:numPr>
        <w:spacing w:after="0" w:line="312" w:lineRule="auto"/>
        <w:rPr>
          <w:szCs w:val="20"/>
        </w:rPr>
      </w:pPr>
      <w:r w:rsidRPr="00E00B35">
        <w:rPr>
          <w:szCs w:val="20"/>
        </w:rPr>
        <w:t>przygotowano prezentację dla pracowników Wrocławskiego Zespołu Żłobków -“Zaburzenia psychiczne i rozwoju w okresie niemowlęctwa i wczesnego dzieciństwa”;</w:t>
      </w:r>
    </w:p>
    <w:p w:rsidR="00CA14AB" w:rsidRPr="00E00B35" w:rsidRDefault="00CA14AB" w:rsidP="00BC64AB">
      <w:pPr>
        <w:pStyle w:val="Akapitzlist"/>
        <w:numPr>
          <w:ilvl w:val="0"/>
          <w:numId w:val="202"/>
        </w:numPr>
        <w:spacing w:after="0" w:line="312" w:lineRule="auto"/>
        <w:rPr>
          <w:szCs w:val="20"/>
        </w:rPr>
      </w:pPr>
      <w:r w:rsidRPr="00E00B35">
        <w:rPr>
          <w:szCs w:val="20"/>
        </w:rPr>
        <w:t xml:space="preserve">przygotowano prezentację z zakresu komunikacji z personelem - “Efektywna komunikacja. Prezentacja szkoleniowa dla kierowników żłobków </w:t>
      </w:r>
      <w:r w:rsidR="0007217B" w:rsidRPr="00E00B35">
        <w:rPr>
          <w:szCs w:val="20"/>
        </w:rPr>
        <w:t>Wrocławskiego Zespołu Żłobków”,</w:t>
      </w:r>
    </w:p>
    <w:p w:rsidR="00CA14AB" w:rsidRPr="00E00B35" w:rsidRDefault="00CA14AB" w:rsidP="00BC64AB">
      <w:pPr>
        <w:pStyle w:val="Akapitzlist"/>
        <w:numPr>
          <w:ilvl w:val="0"/>
          <w:numId w:val="202"/>
        </w:numPr>
        <w:spacing w:after="0" w:line="312" w:lineRule="auto"/>
        <w:rPr>
          <w:szCs w:val="20"/>
        </w:rPr>
      </w:pPr>
      <w:r w:rsidRPr="00E00B35">
        <w:rPr>
          <w:szCs w:val="20"/>
        </w:rPr>
        <w:t>przygotowano wraz z intendentami zabawy i wskazówki dotyczące oswajania dzieci     z jedzeniem oraz rozszerzania diety;</w:t>
      </w:r>
    </w:p>
    <w:p w:rsidR="00CA14AB" w:rsidRPr="00E00B35" w:rsidRDefault="00CA14AB" w:rsidP="00BC64AB">
      <w:pPr>
        <w:pStyle w:val="Akapitzlist"/>
        <w:numPr>
          <w:ilvl w:val="0"/>
          <w:numId w:val="202"/>
        </w:numPr>
        <w:spacing w:after="0" w:line="312" w:lineRule="auto"/>
        <w:rPr>
          <w:szCs w:val="20"/>
        </w:rPr>
      </w:pPr>
      <w:r w:rsidRPr="00E00B35">
        <w:rPr>
          <w:szCs w:val="20"/>
        </w:rPr>
        <w:t>przygotowano materiały dla pracowników: “Niegrzeczne dzieci nie istnieją” oraz opracowanie, dotyczące negatywnego wpływu zasłyszanych przez dziecko komunikatów oceniających na jego rozwój;</w:t>
      </w:r>
    </w:p>
    <w:p w:rsidR="00CA14AB" w:rsidRPr="00E00B35" w:rsidRDefault="00CA14AB" w:rsidP="00BC64AB">
      <w:pPr>
        <w:pStyle w:val="Akapitzlist"/>
        <w:numPr>
          <w:ilvl w:val="0"/>
          <w:numId w:val="202"/>
        </w:numPr>
        <w:spacing w:after="0" w:line="312" w:lineRule="auto"/>
        <w:rPr>
          <w:szCs w:val="20"/>
        </w:rPr>
      </w:pPr>
      <w:r w:rsidRPr="00E00B35">
        <w:rPr>
          <w:szCs w:val="20"/>
        </w:rPr>
        <w:t>przygotowano planszę psychoedukacyjną dla rodziców: „Nie straszę Mikołajem”, która ma na celu zwrócenie uwagi na szkodliwość komunikatu “bądź grzeczny” na rozwój dziecka.</w:t>
      </w:r>
    </w:p>
    <w:tbl>
      <w:tblPr>
        <w:tblW w:w="0" w:type="auto"/>
        <w:tblInd w:w="245" w:type="dxa"/>
        <w:tblLayout w:type="fixed"/>
        <w:tblLook w:val="0000"/>
      </w:tblPr>
      <w:tblGrid>
        <w:gridCol w:w="569"/>
        <w:gridCol w:w="6946"/>
        <w:gridCol w:w="1427"/>
      </w:tblGrid>
      <w:tr w:rsidR="00CA14AB" w:rsidRPr="00E00B35" w:rsidTr="00CA14AB">
        <w:trPr>
          <w:trHeight w:val="510"/>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l.p.</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rodzaj oddziaływania psychologicznego</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ilość</w:t>
            </w:r>
          </w:p>
        </w:tc>
      </w:tr>
      <w:tr w:rsidR="00CA14AB" w:rsidRPr="00E00B35" w:rsidTr="00CA14AB">
        <w:trPr>
          <w:trHeight w:val="510"/>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1.</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Konsultacje psychologiczne dla rodziców w placówkach Wrocławskiego Zespołu Żłobków</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249</w:t>
            </w:r>
          </w:p>
        </w:tc>
      </w:tr>
      <w:tr w:rsidR="00CA14AB" w:rsidRPr="00E00B35" w:rsidTr="00CA14AB">
        <w:trPr>
          <w:trHeight w:val="510"/>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2.</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Konsultacje psychologiczne telefoniczne i mailowe dla rodziców dzieci uczęszczających do Wrocławskiego Zespołu Żłobków</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85</w:t>
            </w:r>
          </w:p>
        </w:tc>
      </w:tr>
      <w:tr w:rsidR="00CA14AB" w:rsidRPr="00E00B35" w:rsidTr="00CA14AB">
        <w:trPr>
          <w:trHeight w:val="510"/>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3.</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Psychoedukacja rodziców: tablice psychoedukacyjne, materiały o zdrowiu psychicznym, materiały wspierające podczas COVID-19</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17</w:t>
            </w:r>
          </w:p>
        </w:tc>
      </w:tr>
      <w:tr w:rsidR="00CA14AB" w:rsidRPr="00E00B35" w:rsidTr="00CA14AB">
        <w:trPr>
          <w:trHeight w:val="1134"/>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4.</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Psychoedukacja personelu Wrocławskiego Zespołu Żłobków;        o rozwoju dzieci do lat 3, zaburzeniach rozwoju, zaburzeniach psychicznych dzieci do lat 3, dbanie o zdrowie psychiczne w czasach pandemii COVID-19, zasady komunikacji w grupie żłobkowej, techniki relaksacyjne dla dzieci, radzenie sobie z zachowaniami trudnymi dziecka w grupie</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20</w:t>
            </w:r>
          </w:p>
        </w:tc>
      </w:tr>
      <w:tr w:rsidR="00CA14AB" w:rsidRPr="00E00B35" w:rsidTr="00CA14AB">
        <w:trPr>
          <w:trHeight w:val="283"/>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5.</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Obserwacja psychologiczna dzieci</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260</w:t>
            </w:r>
          </w:p>
        </w:tc>
      </w:tr>
      <w:tr w:rsidR="00CA14AB" w:rsidRPr="00E00B35" w:rsidTr="00CA14AB">
        <w:trPr>
          <w:trHeight w:val="283"/>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lastRenderedPageBreak/>
              <w:t>6.</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Przygotowanie protokołów z obserwacji dzieci</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40</w:t>
            </w:r>
          </w:p>
        </w:tc>
      </w:tr>
      <w:tr w:rsidR="00CA14AB" w:rsidRPr="00E00B35" w:rsidTr="00CA14AB">
        <w:trPr>
          <w:trHeight w:val="510"/>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7.</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Założenie Niebieskiej Karty z uwagi na podejrzenie przemocy w rodzinie dziecka</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2</w:t>
            </w:r>
          </w:p>
        </w:tc>
      </w:tr>
      <w:tr w:rsidR="00CA14AB" w:rsidRPr="00E00B35" w:rsidTr="00CA14AB">
        <w:trPr>
          <w:trHeight w:val="510"/>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8.</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Udział w spotkaniu Interdyscyplinarnej Komisji ds. Przeciwdziałania Przemocy w Rodzinie</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1</w:t>
            </w:r>
          </w:p>
        </w:tc>
      </w:tr>
      <w:tr w:rsidR="00CA14AB" w:rsidRPr="00E00B35" w:rsidTr="00CA14AB">
        <w:trPr>
          <w:trHeight w:val="454"/>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9.</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Przygotowanie wskazówek pisemnych dla rodziców dzieci konsultowanych</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70</w:t>
            </w:r>
          </w:p>
        </w:tc>
      </w:tr>
      <w:tr w:rsidR="00CA14AB" w:rsidRPr="00E00B35" w:rsidTr="00CA14AB">
        <w:trPr>
          <w:trHeight w:val="510"/>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10.</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Udzielenie indywidualnego wsparcia psychologicznego pracownika Wrocławskiego Zespołu Żłobków</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4</w:t>
            </w:r>
          </w:p>
        </w:tc>
      </w:tr>
      <w:tr w:rsidR="00CA14AB" w:rsidRPr="00E00B35" w:rsidTr="00CA14AB">
        <w:trPr>
          <w:trHeight w:val="794"/>
        </w:trPr>
        <w:tc>
          <w:tcPr>
            <w:tcW w:w="569"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11.</w:t>
            </w:r>
          </w:p>
        </w:tc>
        <w:tc>
          <w:tcPr>
            <w:tcW w:w="694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Wprowadzenie nowych narzędzi do monitorowania gotowości odpieluchowania dzieci oraz poznaniu dziecka nowoprzyjętego (ankieta adaptacyjna)</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rFonts w:eastAsia="Nimbus Roman No9 L"/>
                <w:szCs w:val="20"/>
              </w:rPr>
              <w:t>2</w:t>
            </w:r>
          </w:p>
        </w:tc>
      </w:tr>
    </w:tbl>
    <w:p w:rsidR="00CA14AB" w:rsidRPr="00E00B35" w:rsidRDefault="00CA14AB" w:rsidP="00E00B35">
      <w:pPr>
        <w:spacing w:after="0" w:line="312" w:lineRule="auto"/>
        <w:rPr>
          <w:rFonts w:eastAsia="Nimbus Roman No9 L"/>
          <w:szCs w:val="20"/>
        </w:rPr>
      </w:pPr>
    </w:p>
    <w:p w:rsidR="00CA14AB" w:rsidRPr="00E00B35" w:rsidRDefault="00CA14AB" w:rsidP="00E00B35">
      <w:pPr>
        <w:pStyle w:val="Nagwek4"/>
        <w:spacing w:before="0" w:after="0" w:line="312" w:lineRule="auto"/>
        <w:rPr>
          <w:sz w:val="20"/>
          <w:szCs w:val="20"/>
        </w:rPr>
      </w:pPr>
      <w:bookmarkStart w:id="325" w:name="_Toc72352407"/>
      <w:bookmarkStart w:id="326" w:name="_Toc72352841"/>
      <w:r w:rsidRPr="00E00B35">
        <w:rPr>
          <w:sz w:val="20"/>
          <w:szCs w:val="20"/>
        </w:rPr>
        <w:t>WEWNĘTRZNE REGULACJE PRAWNE</w:t>
      </w:r>
      <w:bookmarkEnd w:id="325"/>
      <w:bookmarkEnd w:id="326"/>
    </w:p>
    <w:p w:rsidR="00CA14AB" w:rsidRPr="00E00B35" w:rsidRDefault="00CA14AB" w:rsidP="00E00B35">
      <w:pPr>
        <w:spacing w:after="0" w:line="312" w:lineRule="auto"/>
        <w:rPr>
          <w:szCs w:val="20"/>
        </w:rPr>
      </w:pPr>
      <w:r w:rsidRPr="00E00B35">
        <w:rPr>
          <w:rFonts w:eastAsia="Calibri"/>
          <w:szCs w:val="20"/>
        </w:rPr>
        <w:t>W ramach organizowania pracy Zespołu i dostosowywania istniejących regulacji do wymagań wynikających z przepisów o kontroli zarządczej zostały opracowane i wdrożone następujące akty wewnętrzne Zespołu:</w:t>
      </w:r>
    </w:p>
    <w:p w:rsidR="00CA14AB" w:rsidRPr="00E00B35" w:rsidRDefault="00CA14AB" w:rsidP="00BC64AB">
      <w:pPr>
        <w:pStyle w:val="Akapitzlist"/>
        <w:numPr>
          <w:ilvl w:val="0"/>
          <w:numId w:val="203"/>
        </w:numPr>
        <w:spacing w:after="0" w:line="312" w:lineRule="auto"/>
        <w:rPr>
          <w:szCs w:val="20"/>
        </w:rPr>
      </w:pPr>
      <w:r w:rsidRPr="00E00B35">
        <w:rPr>
          <w:szCs w:val="20"/>
        </w:rPr>
        <w:t>zarządzenie w sprawie powołania Komisji socjalnej;</w:t>
      </w:r>
    </w:p>
    <w:p w:rsidR="00CA14AB" w:rsidRPr="00E00B35" w:rsidRDefault="00CA14AB" w:rsidP="00BC64AB">
      <w:pPr>
        <w:pStyle w:val="Akapitzlist"/>
        <w:numPr>
          <w:ilvl w:val="0"/>
          <w:numId w:val="203"/>
        </w:numPr>
        <w:spacing w:after="0" w:line="312" w:lineRule="auto"/>
        <w:rPr>
          <w:szCs w:val="20"/>
        </w:rPr>
      </w:pPr>
      <w:r w:rsidRPr="00E00B35">
        <w:rPr>
          <w:szCs w:val="20"/>
        </w:rPr>
        <w:t>zarządzenie w sprawie czasu pracy pracowników Wrocławskiego Zespołu Żłobków;</w:t>
      </w:r>
    </w:p>
    <w:p w:rsidR="00CA14AB" w:rsidRPr="00E00B35" w:rsidRDefault="00CA14AB" w:rsidP="00BC64AB">
      <w:pPr>
        <w:pStyle w:val="Akapitzlist"/>
        <w:numPr>
          <w:ilvl w:val="0"/>
          <w:numId w:val="203"/>
        </w:numPr>
        <w:spacing w:after="0" w:line="312" w:lineRule="auto"/>
        <w:rPr>
          <w:szCs w:val="20"/>
        </w:rPr>
      </w:pPr>
      <w:r w:rsidRPr="00E00B35">
        <w:rPr>
          <w:szCs w:val="20"/>
        </w:rPr>
        <w:t>zarządzenie w sprawie Komisji Bezpieczeństwa i Higieny Pracy oraz wprowadzenia Regulaminu Prac Komisji BHP i Wytycznych w sprawie merytorycznej działalności Komisji BHP;</w:t>
      </w:r>
    </w:p>
    <w:p w:rsidR="00CA14AB" w:rsidRPr="00E00B35" w:rsidRDefault="00CA14AB" w:rsidP="00BC64AB">
      <w:pPr>
        <w:pStyle w:val="Akapitzlist"/>
        <w:numPr>
          <w:ilvl w:val="0"/>
          <w:numId w:val="203"/>
        </w:numPr>
        <w:spacing w:after="0" w:line="312" w:lineRule="auto"/>
        <w:rPr>
          <w:szCs w:val="20"/>
        </w:rPr>
      </w:pPr>
      <w:r w:rsidRPr="00E00B35">
        <w:rPr>
          <w:szCs w:val="20"/>
        </w:rPr>
        <w:t>zarządzenie w sprawie podania do Wiadomości pracownikom Regulaminu organizacyjnego Wrocławskiego Zespołu Żłobków;</w:t>
      </w:r>
    </w:p>
    <w:p w:rsidR="00CA14AB" w:rsidRPr="00E00B35" w:rsidRDefault="00CA14AB" w:rsidP="00BC64AB">
      <w:pPr>
        <w:pStyle w:val="Akapitzlist"/>
        <w:numPr>
          <w:ilvl w:val="0"/>
          <w:numId w:val="203"/>
        </w:numPr>
        <w:spacing w:after="0" w:line="312" w:lineRule="auto"/>
        <w:rPr>
          <w:szCs w:val="20"/>
        </w:rPr>
      </w:pPr>
      <w:r w:rsidRPr="00E00B35">
        <w:rPr>
          <w:szCs w:val="20"/>
        </w:rPr>
        <w:t>zarządzenie w sprawie zmiany Regulaminu wynagradzania;</w:t>
      </w:r>
    </w:p>
    <w:p w:rsidR="00CA14AB" w:rsidRPr="00E00B35" w:rsidRDefault="00CA14AB" w:rsidP="00BC64AB">
      <w:pPr>
        <w:pStyle w:val="Akapitzlist"/>
        <w:numPr>
          <w:ilvl w:val="0"/>
          <w:numId w:val="203"/>
        </w:numPr>
        <w:spacing w:after="0" w:line="312" w:lineRule="auto"/>
        <w:rPr>
          <w:szCs w:val="20"/>
        </w:rPr>
      </w:pPr>
      <w:r w:rsidRPr="00E00B35">
        <w:rPr>
          <w:szCs w:val="20"/>
        </w:rPr>
        <w:t>zarządzenie zmieniające w sprawie przydziału środków ochrony indywidualnej oraz odzieży i obuwia roboczego pracownikom Wrocławskiego Zespołu Żłobków;</w:t>
      </w:r>
    </w:p>
    <w:p w:rsidR="00CA14AB" w:rsidRPr="00E00B35" w:rsidRDefault="00CA14AB" w:rsidP="00BC64AB">
      <w:pPr>
        <w:pStyle w:val="Akapitzlist"/>
        <w:numPr>
          <w:ilvl w:val="0"/>
          <w:numId w:val="203"/>
        </w:numPr>
        <w:spacing w:after="0" w:line="312" w:lineRule="auto"/>
        <w:rPr>
          <w:szCs w:val="20"/>
        </w:rPr>
      </w:pPr>
      <w:r w:rsidRPr="00E00B35">
        <w:rPr>
          <w:szCs w:val="20"/>
        </w:rPr>
        <w:t>zarządzenie w sprawie Regulaminu Zakładowego Funduszu Świadczeń Socjalnych;</w:t>
      </w:r>
    </w:p>
    <w:p w:rsidR="00CA14AB" w:rsidRPr="00E00B35" w:rsidRDefault="00CA14AB" w:rsidP="00BC64AB">
      <w:pPr>
        <w:pStyle w:val="Akapitzlist"/>
        <w:numPr>
          <w:ilvl w:val="0"/>
          <w:numId w:val="203"/>
        </w:numPr>
        <w:spacing w:after="0" w:line="312" w:lineRule="auto"/>
        <w:rPr>
          <w:szCs w:val="20"/>
        </w:rPr>
      </w:pPr>
      <w:r w:rsidRPr="00E00B35">
        <w:rPr>
          <w:szCs w:val="20"/>
        </w:rPr>
        <w:t>zarządzenie w sprawie zasad bezpieczeństwa pracowników i klientów, miejsca pracy oraz postępowania w przypadku podejrzenia zakażenia wirusem SARS-CoV-2;</w:t>
      </w:r>
    </w:p>
    <w:p w:rsidR="00CA14AB" w:rsidRPr="00E00B35" w:rsidRDefault="00CA14AB" w:rsidP="00BC64AB">
      <w:pPr>
        <w:pStyle w:val="Akapitzlist"/>
        <w:numPr>
          <w:ilvl w:val="0"/>
          <w:numId w:val="203"/>
        </w:numPr>
        <w:spacing w:after="0" w:line="312" w:lineRule="auto"/>
        <w:rPr>
          <w:szCs w:val="20"/>
        </w:rPr>
      </w:pPr>
      <w:r w:rsidRPr="00E00B35">
        <w:rPr>
          <w:szCs w:val="20"/>
        </w:rPr>
        <w:t>zarządzenie zmieniające w sprawie wprowadzenia Instrukcji obiegu dokumentów finansowo-księgowych, Instrukcji kasowej, Instrukcji inwentaryzacyjnej i Zasad (polityki) rachunkowości we Wrocławskim Zespole Żłobków;</w:t>
      </w:r>
    </w:p>
    <w:p w:rsidR="00CA14AB" w:rsidRPr="00E00B35" w:rsidRDefault="00CA14AB" w:rsidP="00BC64AB">
      <w:pPr>
        <w:pStyle w:val="Akapitzlist"/>
        <w:numPr>
          <w:ilvl w:val="0"/>
          <w:numId w:val="203"/>
        </w:numPr>
        <w:spacing w:after="0" w:line="312" w:lineRule="auto"/>
        <w:rPr>
          <w:szCs w:val="20"/>
        </w:rPr>
      </w:pPr>
      <w:r w:rsidRPr="00E00B35">
        <w:rPr>
          <w:szCs w:val="20"/>
        </w:rPr>
        <w:t>zarządzenie w sprawie powołania komisji rekrutacyjnych do przeprowadzenia rekrutacji dzieci do żłobków wchodzących w skład Wrocławskiego Zespołu Żłobków;</w:t>
      </w:r>
    </w:p>
    <w:p w:rsidR="00CA14AB" w:rsidRPr="00E00B35" w:rsidRDefault="00CA14AB" w:rsidP="00BC64AB">
      <w:pPr>
        <w:pStyle w:val="Akapitzlist"/>
        <w:numPr>
          <w:ilvl w:val="0"/>
          <w:numId w:val="203"/>
        </w:numPr>
        <w:spacing w:after="0" w:line="312" w:lineRule="auto"/>
        <w:rPr>
          <w:szCs w:val="20"/>
        </w:rPr>
      </w:pPr>
      <w:r w:rsidRPr="00E00B35">
        <w:rPr>
          <w:szCs w:val="20"/>
        </w:rPr>
        <w:t xml:space="preserve">zarządzenie zmieniające zarządzenie w sprawie zasad i warunków podnoszenia kwalifikacji zawodowych pracowników; </w:t>
      </w:r>
    </w:p>
    <w:p w:rsidR="00CA14AB" w:rsidRPr="00E00B35" w:rsidRDefault="00CA14AB" w:rsidP="00BC64AB">
      <w:pPr>
        <w:pStyle w:val="Akapitzlist"/>
        <w:numPr>
          <w:ilvl w:val="0"/>
          <w:numId w:val="203"/>
        </w:numPr>
        <w:spacing w:after="0" w:line="312" w:lineRule="auto"/>
        <w:rPr>
          <w:szCs w:val="20"/>
        </w:rPr>
      </w:pPr>
      <w:r w:rsidRPr="00E00B35">
        <w:rPr>
          <w:szCs w:val="20"/>
        </w:rPr>
        <w:t>zarządzenie zmieniające zarządzenie  w sprawie ochrony danych osobowych we Wrocławskim Zespole Żłobków;</w:t>
      </w:r>
    </w:p>
    <w:p w:rsidR="00CA14AB" w:rsidRPr="00E00B35" w:rsidRDefault="00CA14AB" w:rsidP="00BC64AB">
      <w:pPr>
        <w:pStyle w:val="Akapitzlist"/>
        <w:numPr>
          <w:ilvl w:val="0"/>
          <w:numId w:val="203"/>
        </w:numPr>
        <w:spacing w:after="0" w:line="312" w:lineRule="auto"/>
        <w:rPr>
          <w:szCs w:val="20"/>
        </w:rPr>
      </w:pPr>
      <w:r w:rsidRPr="00E00B35">
        <w:rPr>
          <w:szCs w:val="20"/>
        </w:rPr>
        <w:t>zarządzenie w sprawie Regulaminu pracy zdalnej;</w:t>
      </w:r>
    </w:p>
    <w:p w:rsidR="00CA14AB" w:rsidRPr="00E00B35" w:rsidRDefault="00CA14AB" w:rsidP="00BC64AB">
      <w:pPr>
        <w:pStyle w:val="Akapitzlist"/>
        <w:numPr>
          <w:ilvl w:val="0"/>
          <w:numId w:val="203"/>
        </w:numPr>
        <w:spacing w:after="0" w:line="312" w:lineRule="auto"/>
        <w:rPr>
          <w:szCs w:val="20"/>
        </w:rPr>
      </w:pPr>
      <w:r w:rsidRPr="00E00B35">
        <w:rPr>
          <w:szCs w:val="20"/>
        </w:rPr>
        <w:t>zarządzenie w sprawie powołania Zespołu Projektowego.</w:t>
      </w:r>
    </w:p>
    <w:p w:rsidR="005E6C69" w:rsidRPr="00E00B35" w:rsidRDefault="005E6C69" w:rsidP="00E00B35">
      <w:pPr>
        <w:pStyle w:val="Nagwek4"/>
        <w:spacing w:before="0" w:after="0" w:line="312" w:lineRule="auto"/>
        <w:rPr>
          <w:sz w:val="20"/>
          <w:szCs w:val="20"/>
        </w:rPr>
      </w:pPr>
      <w:bookmarkStart w:id="327" w:name="_Toc72352408"/>
      <w:bookmarkStart w:id="328" w:name="_Toc72352842"/>
    </w:p>
    <w:p w:rsidR="00CA14AB" w:rsidRPr="00E00B35" w:rsidRDefault="00CA14AB" w:rsidP="00E00B35">
      <w:pPr>
        <w:pStyle w:val="Nagwek4"/>
        <w:spacing w:before="0" w:after="0" w:line="312" w:lineRule="auto"/>
        <w:rPr>
          <w:sz w:val="20"/>
          <w:szCs w:val="20"/>
        </w:rPr>
      </w:pPr>
      <w:r w:rsidRPr="00E00B35">
        <w:rPr>
          <w:sz w:val="20"/>
          <w:szCs w:val="20"/>
        </w:rPr>
        <w:t>POLITYKA PERSONALNA</w:t>
      </w:r>
      <w:bookmarkEnd w:id="327"/>
      <w:bookmarkEnd w:id="328"/>
    </w:p>
    <w:p w:rsidR="00CA14AB" w:rsidRPr="00E00B35" w:rsidRDefault="00CA14AB" w:rsidP="00E00B35">
      <w:pPr>
        <w:spacing w:after="0" w:line="312" w:lineRule="auto"/>
        <w:rPr>
          <w:szCs w:val="20"/>
        </w:rPr>
      </w:pPr>
      <w:r w:rsidRPr="00E00B35">
        <w:rPr>
          <w:szCs w:val="20"/>
        </w:rPr>
        <w:t>W 2020 roku nastąpił wzrost zatrudnienia w stosunku do roku 2019, spowodowany oddaniem do użytku Żłobka nr 16.</w:t>
      </w:r>
    </w:p>
    <w:p w:rsidR="00CA14AB" w:rsidRPr="00E00B35" w:rsidRDefault="00CA14AB" w:rsidP="00E00B35">
      <w:pPr>
        <w:spacing w:after="0" w:line="312" w:lineRule="auto"/>
        <w:rPr>
          <w:szCs w:val="20"/>
        </w:rPr>
      </w:pPr>
      <w:r w:rsidRPr="00E00B35">
        <w:rPr>
          <w:szCs w:val="20"/>
        </w:rPr>
        <w:t>Ogółem wg. stanu na dzień 31 grudnia 2020 r. Zespół zatrudniał 528 osób na 521,13 etatach, w tym:</w:t>
      </w:r>
    </w:p>
    <w:p w:rsidR="00CA14AB" w:rsidRPr="00E00B35" w:rsidRDefault="00CA14AB" w:rsidP="00BC64AB">
      <w:pPr>
        <w:pStyle w:val="Akapitzlist"/>
        <w:numPr>
          <w:ilvl w:val="0"/>
          <w:numId w:val="203"/>
        </w:numPr>
        <w:spacing w:after="0" w:line="312" w:lineRule="auto"/>
        <w:rPr>
          <w:szCs w:val="20"/>
        </w:rPr>
      </w:pPr>
      <w:r w:rsidRPr="00E00B35">
        <w:rPr>
          <w:rFonts w:eastAsia="Calibri"/>
          <w:szCs w:val="20"/>
        </w:rPr>
        <w:t>506 kobiet,</w:t>
      </w:r>
    </w:p>
    <w:p w:rsidR="00CA14AB" w:rsidRPr="00E00B35" w:rsidRDefault="00CA14AB" w:rsidP="00BC64AB">
      <w:pPr>
        <w:pStyle w:val="Akapitzlist"/>
        <w:numPr>
          <w:ilvl w:val="0"/>
          <w:numId w:val="203"/>
        </w:numPr>
        <w:spacing w:after="0" w:line="312" w:lineRule="auto"/>
        <w:rPr>
          <w:szCs w:val="20"/>
        </w:rPr>
      </w:pPr>
      <w:r w:rsidRPr="00E00B35">
        <w:rPr>
          <w:szCs w:val="20"/>
        </w:rPr>
        <w:t>22 mężczyzn.</w:t>
      </w:r>
    </w:p>
    <w:tbl>
      <w:tblPr>
        <w:tblW w:w="0" w:type="auto"/>
        <w:jc w:val="center"/>
        <w:tblLayout w:type="fixed"/>
        <w:tblLook w:val="0000"/>
      </w:tblPr>
      <w:tblGrid>
        <w:gridCol w:w="1035"/>
        <w:gridCol w:w="1630"/>
        <w:gridCol w:w="1610"/>
        <w:gridCol w:w="1856"/>
        <w:gridCol w:w="2455"/>
      </w:tblGrid>
      <w:tr w:rsidR="00CA14AB" w:rsidRPr="00E00B35" w:rsidTr="00CA14AB">
        <w:trPr>
          <w:trHeight w:val="567"/>
          <w:jc w:val="center"/>
        </w:trPr>
        <w:tc>
          <w:tcPr>
            <w:tcW w:w="103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rok</w:t>
            </w:r>
          </w:p>
        </w:tc>
        <w:tc>
          <w:tcPr>
            <w:tcW w:w="163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zatrudnienie ogółem</w:t>
            </w:r>
          </w:p>
        </w:tc>
        <w:tc>
          <w:tcPr>
            <w:tcW w:w="16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etaty</w:t>
            </w:r>
          </w:p>
        </w:tc>
        <w:tc>
          <w:tcPr>
            <w:tcW w:w="185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kobiety</w:t>
            </w: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mężczyźni</w:t>
            </w:r>
          </w:p>
        </w:tc>
      </w:tr>
      <w:tr w:rsidR="00CA14AB" w:rsidRPr="00E00B35" w:rsidTr="00CA14AB">
        <w:trPr>
          <w:trHeight w:val="454"/>
          <w:jc w:val="center"/>
        </w:trPr>
        <w:tc>
          <w:tcPr>
            <w:tcW w:w="103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2017</w:t>
            </w:r>
          </w:p>
        </w:tc>
        <w:tc>
          <w:tcPr>
            <w:tcW w:w="163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457</w:t>
            </w:r>
          </w:p>
        </w:tc>
        <w:tc>
          <w:tcPr>
            <w:tcW w:w="16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453,53</w:t>
            </w:r>
          </w:p>
        </w:tc>
        <w:tc>
          <w:tcPr>
            <w:tcW w:w="185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437</w:t>
            </w: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w:t>
            </w:r>
          </w:p>
        </w:tc>
      </w:tr>
      <w:tr w:rsidR="00CA14AB" w:rsidRPr="00E00B35" w:rsidTr="00CA14AB">
        <w:trPr>
          <w:trHeight w:val="454"/>
          <w:jc w:val="center"/>
        </w:trPr>
        <w:tc>
          <w:tcPr>
            <w:tcW w:w="103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2018</w:t>
            </w:r>
          </w:p>
        </w:tc>
        <w:tc>
          <w:tcPr>
            <w:tcW w:w="163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477</w:t>
            </w:r>
          </w:p>
        </w:tc>
        <w:tc>
          <w:tcPr>
            <w:tcW w:w="16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472,26</w:t>
            </w:r>
          </w:p>
        </w:tc>
        <w:tc>
          <w:tcPr>
            <w:tcW w:w="185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460</w:t>
            </w: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17</w:t>
            </w:r>
          </w:p>
        </w:tc>
      </w:tr>
      <w:tr w:rsidR="00CA14AB" w:rsidRPr="00E00B35" w:rsidTr="00CA14AB">
        <w:trPr>
          <w:trHeight w:val="454"/>
          <w:jc w:val="center"/>
        </w:trPr>
        <w:tc>
          <w:tcPr>
            <w:tcW w:w="103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2019</w:t>
            </w:r>
          </w:p>
        </w:tc>
        <w:tc>
          <w:tcPr>
            <w:tcW w:w="163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499</w:t>
            </w:r>
          </w:p>
        </w:tc>
        <w:tc>
          <w:tcPr>
            <w:tcW w:w="16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494,13</w:t>
            </w:r>
          </w:p>
        </w:tc>
        <w:tc>
          <w:tcPr>
            <w:tcW w:w="185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478</w:t>
            </w: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21</w:t>
            </w:r>
          </w:p>
        </w:tc>
      </w:tr>
      <w:tr w:rsidR="00CA14AB" w:rsidRPr="00E00B35" w:rsidTr="00CA14AB">
        <w:trPr>
          <w:trHeight w:val="454"/>
          <w:jc w:val="center"/>
        </w:trPr>
        <w:tc>
          <w:tcPr>
            <w:tcW w:w="1035"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2020</w:t>
            </w:r>
          </w:p>
        </w:tc>
        <w:tc>
          <w:tcPr>
            <w:tcW w:w="163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528</w:t>
            </w:r>
          </w:p>
        </w:tc>
        <w:tc>
          <w:tcPr>
            <w:tcW w:w="1610"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521,13</w:t>
            </w:r>
          </w:p>
        </w:tc>
        <w:tc>
          <w:tcPr>
            <w:tcW w:w="1856" w:type="dxa"/>
            <w:tcBorders>
              <w:top w:val="single" w:sz="4" w:space="0" w:color="000000"/>
              <w:left w:val="single" w:sz="4" w:space="0" w:color="000000"/>
              <w:bottom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506</w:t>
            </w: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22</w:t>
            </w:r>
          </w:p>
        </w:tc>
      </w:tr>
    </w:tbl>
    <w:p w:rsidR="0007217B" w:rsidRPr="00E00B35" w:rsidRDefault="0007217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Zatrudnienie wg struktury wykształcenia:</w:t>
      </w:r>
    </w:p>
    <w:p w:rsidR="00CA14AB" w:rsidRPr="00E00B35" w:rsidRDefault="00CA14AB" w:rsidP="00BC64AB">
      <w:pPr>
        <w:pStyle w:val="Akapitzlist"/>
        <w:numPr>
          <w:ilvl w:val="0"/>
          <w:numId w:val="203"/>
        </w:numPr>
        <w:spacing w:after="0" w:line="312" w:lineRule="auto"/>
        <w:rPr>
          <w:szCs w:val="20"/>
        </w:rPr>
      </w:pPr>
      <w:r w:rsidRPr="00E00B35">
        <w:rPr>
          <w:szCs w:val="20"/>
        </w:rPr>
        <w:t>wyższe magisterskie 92 osoby,</w:t>
      </w:r>
    </w:p>
    <w:p w:rsidR="00CA14AB" w:rsidRPr="00E00B35" w:rsidRDefault="00CA14AB" w:rsidP="00BC64AB">
      <w:pPr>
        <w:pStyle w:val="Akapitzlist"/>
        <w:numPr>
          <w:ilvl w:val="0"/>
          <w:numId w:val="203"/>
        </w:numPr>
        <w:spacing w:after="0" w:line="312" w:lineRule="auto"/>
        <w:rPr>
          <w:szCs w:val="20"/>
        </w:rPr>
      </w:pPr>
      <w:r w:rsidRPr="00E00B35">
        <w:rPr>
          <w:szCs w:val="20"/>
        </w:rPr>
        <w:t>wyższe licencjackie 41 osób,</w:t>
      </w:r>
    </w:p>
    <w:p w:rsidR="00CA14AB" w:rsidRPr="00E00B35" w:rsidRDefault="00CA14AB" w:rsidP="00BC64AB">
      <w:pPr>
        <w:pStyle w:val="Akapitzlist"/>
        <w:numPr>
          <w:ilvl w:val="0"/>
          <w:numId w:val="203"/>
        </w:numPr>
        <w:spacing w:after="0" w:line="312" w:lineRule="auto"/>
        <w:rPr>
          <w:szCs w:val="20"/>
        </w:rPr>
      </w:pPr>
      <w:r w:rsidRPr="00E00B35">
        <w:rPr>
          <w:szCs w:val="20"/>
        </w:rPr>
        <w:t>wyższe inżynierskie 7 osób,</w:t>
      </w:r>
    </w:p>
    <w:p w:rsidR="00CA14AB" w:rsidRPr="00E00B35" w:rsidRDefault="00CA14AB" w:rsidP="00BC64AB">
      <w:pPr>
        <w:pStyle w:val="Akapitzlist"/>
        <w:numPr>
          <w:ilvl w:val="0"/>
          <w:numId w:val="203"/>
        </w:numPr>
        <w:spacing w:after="0" w:line="312" w:lineRule="auto"/>
        <w:rPr>
          <w:szCs w:val="20"/>
        </w:rPr>
      </w:pPr>
      <w:r w:rsidRPr="00E00B35">
        <w:rPr>
          <w:szCs w:val="20"/>
        </w:rPr>
        <w:t>średnie 317 osób,</w:t>
      </w:r>
    </w:p>
    <w:p w:rsidR="00CA14AB" w:rsidRPr="00E00B35" w:rsidRDefault="00CA14AB" w:rsidP="00BC64AB">
      <w:pPr>
        <w:pStyle w:val="Akapitzlist"/>
        <w:numPr>
          <w:ilvl w:val="0"/>
          <w:numId w:val="203"/>
        </w:numPr>
        <w:spacing w:after="0" w:line="312" w:lineRule="auto"/>
        <w:rPr>
          <w:szCs w:val="20"/>
        </w:rPr>
      </w:pPr>
      <w:r w:rsidRPr="00E00B35">
        <w:rPr>
          <w:szCs w:val="20"/>
        </w:rPr>
        <w:t>zawodowe 55 osób,</w:t>
      </w:r>
    </w:p>
    <w:p w:rsidR="00CA14AB" w:rsidRPr="00E00B35" w:rsidRDefault="00CA14AB" w:rsidP="00BC64AB">
      <w:pPr>
        <w:pStyle w:val="Akapitzlist"/>
        <w:numPr>
          <w:ilvl w:val="0"/>
          <w:numId w:val="203"/>
        </w:numPr>
        <w:spacing w:after="0" w:line="312" w:lineRule="auto"/>
        <w:rPr>
          <w:szCs w:val="20"/>
        </w:rPr>
      </w:pPr>
      <w:r w:rsidRPr="00E00B35">
        <w:rPr>
          <w:szCs w:val="20"/>
        </w:rPr>
        <w:t>podstawowe 16 osoby.</w:t>
      </w:r>
    </w:p>
    <w:p w:rsidR="00CA14AB" w:rsidRPr="00E00B35" w:rsidRDefault="00CA14AB" w:rsidP="00E00B35">
      <w:pPr>
        <w:spacing w:after="0" w:line="312" w:lineRule="auto"/>
        <w:rPr>
          <w:szCs w:val="20"/>
        </w:rPr>
      </w:pPr>
      <w:r w:rsidRPr="00E00B35">
        <w:rPr>
          <w:szCs w:val="20"/>
        </w:rPr>
        <w:t>Średni staż pracy w jednostce: 11 lat. W roku 2019 wynosił 22 lata.</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Stan zdrowia pracowników</w:t>
      </w:r>
    </w:p>
    <w:p w:rsidR="00CA14AB" w:rsidRPr="00E00B35" w:rsidRDefault="00CA14AB" w:rsidP="00E00B35">
      <w:pPr>
        <w:spacing w:after="0" w:line="312" w:lineRule="auto"/>
        <w:rPr>
          <w:szCs w:val="20"/>
        </w:rPr>
      </w:pPr>
      <w:r w:rsidRPr="00E00B35">
        <w:rPr>
          <w:szCs w:val="20"/>
        </w:rPr>
        <w:t>Niezwykle ważną kwestią w pracy z małym dzieckiem jest stan zdrowia pracowników sprawujących bezpośrednio opiekę nad maluchami. Dużą wagę przykłada się do stanu zdrowia personelu. W tym celu stale poddaje się badaniom sanitarno-epidemiologicznym pracowników żłobków. Ze względu na stan epidemii w związku z COVID-19, część badań, zgodnie z wytycznymi została przełożona.</w:t>
      </w:r>
    </w:p>
    <w:p w:rsidR="00CA14AB" w:rsidRPr="00E00B35" w:rsidRDefault="00CA14AB" w:rsidP="00E00B35">
      <w:pPr>
        <w:spacing w:after="0" w:line="312" w:lineRule="auto"/>
        <w:rPr>
          <w:szCs w:val="20"/>
        </w:rPr>
      </w:pPr>
      <w:r w:rsidRPr="00E00B35">
        <w:rPr>
          <w:szCs w:val="20"/>
        </w:rPr>
        <w:t>Badania medycyny pracy:</w:t>
      </w:r>
    </w:p>
    <w:p w:rsidR="00CA14AB" w:rsidRPr="00E00B35" w:rsidRDefault="00CA14AB" w:rsidP="00BC64AB">
      <w:pPr>
        <w:pStyle w:val="Akapitzlist"/>
        <w:numPr>
          <w:ilvl w:val="0"/>
          <w:numId w:val="204"/>
        </w:numPr>
        <w:spacing w:after="0" w:line="312" w:lineRule="auto"/>
        <w:rPr>
          <w:szCs w:val="20"/>
        </w:rPr>
      </w:pPr>
      <w:r w:rsidRPr="00E00B35">
        <w:rPr>
          <w:szCs w:val="20"/>
        </w:rPr>
        <w:t>wstępne 87 osób,</w:t>
      </w:r>
    </w:p>
    <w:p w:rsidR="00CA14AB" w:rsidRPr="00E00B35" w:rsidRDefault="00CA14AB" w:rsidP="00BC64AB">
      <w:pPr>
        <w:pStyle w:val="Akapitzlist"/>
        <w:numPr>
          <w:ilvl w:val="0"/>
          <w:numId w:val="204"/>
        </w:numPr>
        <w:spacing w:after="0" w:line="312" w:lineRule="auto"/>
        <w:rPr>
          <w:szCs w:val="20"/>
        </w:rPr>
      </w:pPr>
      <w:r w:rsidRPr="00E00B35">
        <w:rPr>
          <w:szCs w:val="20"/>
        </w:rPr>
        <w:t>okresowe 78 osób,</w:t>
      </w:r>
    </w:p>
    <w:p w:rsidR="00CA14AB" w:rsidRPr="00E00B35" w:rsidRDefault="00CA14AB" w:rsidP="00BC64AB">
      <w:pPr>
        <w:pStyle w:val="Akapitzlist"/>
        <w:numPr>
          <w:ilvl w:val="0"/>
          <w:numId w:val="204"/>
        </w:numPr>
        <w:spacing w:after="0" w:line="312" w:lineRule="auto"/>
        <w:rPr>
          <w:szCs w:val="20"/>
        </w:rPr>
      </w:pPr>
      <w:r w:rsidRPr="00E00B35">
        <w:rPr>
          <w:szCs w:val="20"/>
        </w:rPr>
        <w:t>kontrolne 43 osoby,</w:t>
      </w:r>
    </w:p>
    <w:p w:rsidR="00CA14AB" w:rsidRPr="00E00B35" w:rsidRDefault="00CA14AB" w:rsidP="00BC64AB">
      <w:pPr>
        <w:pStyle w:val="Akapitzlist"/>
        <w:numPr>
          <w:ilvl w:val="0"/>
          <w:numId w:val="204"/>
        </w:numPr>
        <w:spacing w:after="0" w:line="312" w:lineRule="auto"/>
        <w:rPr>
          <w:szCs w:val="20"/>
        </w:rPr>
      </w:pPr>
      <w:r w:rsidRPr="00E00B35">
        <w:rPr>
          <w:szCs w:val="20"/>
        </w:rPr>
        <w:t>dla celów sanitarno-epidemiologicznych 225 osób.</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Nabór na wolne urzędnicze stanowiska pracy</w:t>
      </w:r>
    </w:p>
    <w:p w:rsidR="00CA14AB" w:rsidRPr="00E00B35" w:rsidRDefault="00CA14AB" w:rsidP="00E00B35">
      <w:pPr>
        <w:spacing w:after="0" w:line="312" w:lineRule="auto"/>
        <w:rPr>
          <w:szCs w:val="20"/>
        </w:rPr>
      </w:pPr>
      <w:r w:rsidRPr="00E00B35">
        <w:rPr>
          <w:rFonts w:eastAsia="Calibri"/>
          <w:szCs w:val="20"/>
        </w:rPr>
        <w:t xml:space="preserve">W 2020 r. zorganizowano i przeprowadzono 14 naborów na stanowiska urzędnicze.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Podnoszenie kwalifikacji </w:t>
      </w:r>
    </w:p>
    <w:p w:rsidR="00CA14AB" w:rsidRPr="00E00B35" w:rsidRDefault="00CA14AB" w:rsidP="00E00B35">
      <w:pPr>
        <w:spacing w:after="0" w:line="312" w:lineRule="auto"/>
        <w:rPr>
          <w:szCs w:val="20"/>
        </w:rPr>
      </w:pPr>
      <w:r w:rsidRPr="00E00B35">
        <w:rPr>
          <w:rFonts w:eastAsia="Calibri"/>
          <w:szCs w:val="20"/>
        </w:rPr>
        <w:t xml:space="preserve">W Zespole, którego głównym zadaniem jest opieka nad dzieckiem do lat 3, preferuje się te kierunki doskonalenia zawodowego, które podnoszą merytoryczne kwalifikacje zawodowe pracowników wykonujących zadania na rzecz małych dzieci. </w:t>
      </w:r>
    </w:p>
    <w:p w:rsidR="00CA14AB" w:rsidRPr="00E00B35" w:rsidRDefault="00CA14AB" w:rsidP="00E00B35">
      <w:pPr>
        <w:spacing w:after="0" w:line="312" w:lineRule="auto"/>
        <w:rPr>
          <w:szCs w:val="20"/>
        </w:rPr>
      </w:pPr>
      <w:r w:rsidRPr="00E00B35">
        <w:rPr>
          <w:szCs w:val="20"/>
        </w:rPr>
        <w:t>Ilość uczących się ogółem: 18 osób w tym studia licencjackie 1 osoba, kurs „Opiekun w żłobku” 17 osób.</w:t>
      </w:r>
    </w:p>
    <w:p w:rsidR="00CA14AB" w:rsidRPr="00E00B35" w:rsidRDefault="00CA14AB" w:rsidP="00E00B35">
      <w:pPr>
        <w:spacing w:after="0" w:line="312" w:lineRule="auto"/>
        <w:rPr>
          <w:szCs w:val="20"/>
        </w:rPr>
      </w:pPr>
      <w:r w:rsidRPr="00E00B35">
        <w:rPr>
          <w:szCs w:val="20"/>
        </w:rPr>
        <w:t>W roku 2020 odbyło się 18 szkoleń w których wzięło udział 169 osób. 7 szkoleń z powodu COVID-19 zostało odwołanych. 5 szkoleń odbyło się online. W związku z wchodzącymi od stycznia 2021 roku zmianami w przepisach odbyły się 3 szkolenia  w zakresie zamówień publicznych. Ponadto pracownicy szkolili się w zakresie Pracowniczych Planów Kapitałowych.</w:t>
      </w:r>
    </w:p>
    <w:p w:rsidR="00CA14AB" w:rsidRPr="00E00B35" w:rsidRDefault="00CA14AB" w:rsidP="00E00B35">
      <w:pPr>
        <w:spacing w:after="0" w:line="312" w:lineRule="auto"/>
        <w:rPr>
          <w:szCs w:val="20"/>
        </w:rPr>
      </w:pPr>
      <w:r w:rsidRPr="00E00B35">
        <w:rPr>
          <w:szCs w:val="20"/>
        </w:rPr>
        <w:t>Kierownicy żłobków uczestniczyli w III Ogólnopolskiej Konferencji Żłobki i Kluby Dziecięce "Bo jakie początki takie będzie wszystko".</w:t>
      </w:r>
    </w:p>
    <w:p w:rsidR="00CA14AB" w:rsidRPr="00E00B35" w:rsidRDefault="00CA14AB" w:rsidP="00E00B35">
      <w:pPr>
        <w:spacing w:after="0" w:line="312" w:lineRule="auto"/>
        <w:rPr>
          <w:szCs w:val="20"/>
        </w:rPr>
      </w:pPr>
      <w:r w:rsidRPr="00E00B35">
        <w:rPr>
          <w:szCs w:val="20"/>
        </w:rPr>
        <w:t>Pracownik odpowiedzialny za składnicę akt odbył szkolenie Archiwistów I stopnia.</w:t>
      </w:r>
    </w:p>
    <w:p w:rsidR="00CA14AB" w:rsidRPr="00E00B35" w:rsidRDefault="00CA14AB" w:rsidP="00E00B35">
      <w:pPr>
        <w:spacing w:after="0" w:line="312" w:lineRule="auto"/>
        <w:rPr>
          <w:szCs w:val="20"/>
        </w:rPr>
      </w:pPr>
      <w:r w:rsidRPr="00E00B35">
        <w:rPr>
          <w:szCs w:val="20"/>
        </w:rPr>
        <w:t>Odbyły się szkolenia w zakresie udzielania pierwszej pomocy przedmedycznej. Udział w nich wzięło  86 osób. Część szkoleń, ze względu na COVID-19 zostało przełożonych na następny rok.</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Zakładowy fundusz świadczeń socjalnych</w:t>
      </w:r>
    </w:p>
    <w:p w:rsidR="00CA14AB" w:rsidRPr="00E00B35" w:rsidRDefault="00CA14AB" w:rsidP="00E00B35">
      <w:pPr>
        <w:spacing w:after="0" w:line="312" w:lineRule="auto"/>
        <w:rPr>
          <w:szCs w:val="20"/>
        </w:rPr>
      </w:pPr>
      <w:r w:rsidRPr="00E00B35">
        <w:rPr>
          <w:szCs w:val="20"/>
        </w:rPr>
        <w:t>Przyznawanie świadczeń z zakładowego funduszu świadczeń socjalnych odbywa się na mocy ogólnie obowiązujących przepisów prawa oraz regulaminu wewnętrznego. Zadanie to wykonuje powołana zarządzeniem dyrektora komisja socjalna. Wykorzystanie środków w 2020 roku przedstawia się następująco:</w:t>
      </w:r>
    </w:p>
    <w:p w:rsidR="00CA14AB" w:rsidRPr="00E00B35" w:rsidRDefault="00CA14AB" w:rsidP="00BC64AB">
      <w:pPr>
        <w:pStyle w:val="Akapitzlist"/>
        <w:numPr>
          <w:ilvl w:val="0"/>
          <w:numId w:val="205"/>
        </w:numPr>
        <w:spacing w:after="0" w:line="312" w:lineRule="auto"/>
        <w:rPr>
          <w:szCs w:val="20"/>
        </w:rPr>
      </w:pPr>
      <w:r w:rsidRPr="00E00B35">
        <w:rPr>
          <w:szCs w:val="20"/>
        </w:rPr>
        <w:t>udzielone pożyczki mieszkaniowe  - 232 000,00 zł</w:t>
      </w:r>
    </w:p>
    <w:p w:rsidR="00CA14AB" w:rsidRPr="00E00B35" w:rsidRDefault="00CA14AB" w:rsidP="00BC64AB">
      <w:pPr>
        <w:pStyle w:val="Akapitzlist"/>
        <w:numPr>
          <w:ilvl w:val="0"/>
          <w:numId w:val="205"/>
        </w:numPr>
        <w:spacing w:after="0" w:line="312" w:lineRule="auto"/>
        <w:rPr>
          <w:szCs w:val="20"/>
        </w:rPr>
      </w:pPr>
      <w:r w:rsidRPr="00E00B35">
        <w:rPr>
          <w:szCs w:val="20"/>
        </w:rPr>
        <w:t>udzielone zapomogi  - 30 000,00 zł</w:t>
      </w:r>
    </w:p>
    <w:p w:rsidR="00CA14AB" w:rsidRPr="00E00B35" w:rsidRDefault="00CA14AB" w:rsidP="00BC64AB">
      <w:pPr>
        <w:pStyle w:val="Akapitzlist"/>
        <w:numPr>
          <w:ilvl w:val="0"/>
          <w:numId w:val="205"/>
        </w:numPr>
        <w:spacing w:after="0" w:line="312" w:lineRule="auto"/>
        <w:rPr>
          <w:szCs w:val="20"/>
        </w:rPr>
      </w:pPr>
      <w:r w:rsidRPr="00E00B35">
        <w:rPr>
          <w:szCs w:val="20"/>
        </w:rPr>
        <w:t>dopłaty do wypoczynku dla dzieci pracowników - 105 613,80 zł</w:t>
      </w:r>
    </w:p>
    <w:p w:rsidR="00CA14AB" w:rsidRPr="00E00B35" w:rsidRDefault="00CA14AB" w:rsidP="00BC64AB">
      <w:pPr>
        <w:pStyle w:val="Akapitzlist"/>
        <w:numPr>
          <w:ilvl w:val="0"/>
          <w:numId w:val="205"/>
        </w:numPr>
        <w:spacing w:after="0" w:line="312" w:lineRule="auto"/>
        <w:rPr>
          <w:szCs w:val="20"/>
        </w:rPr>
      </w:pPr>
      <w:r w:rsidRPr="00E00B35">
        <w:rPr>
          <w:szCs w:val="20"/>
        </w:rPr>
        <w:t xml:space="preserve">dopłaty do wypoczynku  dla pracowników - 59 850,00 zł </w:t>
      </w:r>
    </w:p>
    <w:p w:rsidR="00CA14AB" w:rsidRPr="00E00B35" w:rsidRDefault="00CA14AB" w:rsidP="00BC64AB">
      <w:pPr>
        <w:pStyle w:val="Akapitzlist"/>
        <w:numPr>
          <w:ilvl w:val="0"/>
          <w:numId w:val="205"/>
        </w:numPr>
        <w:spacing w:after="0" w:line="312" w:lineRule="auto"/>
        <w:rPr>
          <w:szCs w:val="20"/>
        </w:rPr>
      </w:pPr>
      <w:r w:rsidRPr="00E00B35">
        <w:rPr>
          <w:szCs w:val="20"/>
        </w:rPr>
        <w:t xml:space="preserve">świadczenie świąteczne  - 477 500,00 zł </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STAN BEZPIECZEŃSTWA I HIGIENY PRACY ORAZ REALIZACJA ZADAŃ Z ZAKRESU BEZPIECZEŃSTWA I HIGIENY PRACY W ZESPOLE</w:t>
      </w:r>
    </w:p>
    <w:p w:rsidR="00CA14AB" w:rsidRPr="00E00B35" w:rsidRDefault="00CA14AB" w:rsidP="00E00B35">
      <w:pPr>
        <w:spacing w:after="0" w:line="312" w:lineRule="auto"/>
        <w:rPr>
          <w:szCs w:val="20"/>
        </w:rPr>
      </w:pPr>
      <w:r w:rsidRPr="00E00B35">
        <w:rPr>
          <w:szCs w:val="20"/>
        </w:rPr>
        <w:t xml:space="preserve">Przeprowadzono 6 kontroli stanu bhp w nadzorowanych obiektach. </w:t>
      </w:r>
    </w:p>
    <w:p w:rsidR="00CA14AB" w:rsidRPr="00E00B35" w:rsidRDefault="00CA14AB" w:rsidP="00E00B35">
      <w:pPr>
        <w:spacing w:after="0" w:line="312" w:lineRule="auto"/>
        <w:rPr>
          <w:szCs w:val="20"/>
        </w:rPr>
      </w:pPr>
      <w:r w:rsidRPr="00E00B35">
        <w:rPr>
          <w:szCs w:val="20"/>
        </w:rPr>
        <w:t>Opracowano:</w:t>
      </w:r>
    </w:p>
    <w:p w:rsidR="00CA14AB" w:rsidRPr="00E00B35" w:rsidRDefault="00CA14AB" w:rsidP="00BC64AB">
      <w:pPr>
        <w:pStyle w:val="Akapitzlist"/>
        <w:numPr>
          <w:ilvl w:val="0"/>
          <w:numId w:val="206"/>
        </w:numPr>
        <w:spacing w:after="0" w:line="312" w:lineRule="auto"/>
        <w:rPr>
          <w:szCs w:val="20"/>
        </w:rPr>
      </w:pPr>
      <w:r w:rsidRPr="00E00B35">
        <w:rPr>
          <w:szCs w:val="20"/>
        </w:rPr>
        <w:t>karty ryzyka zawodowego dla 3 stanowisk pracy, zaktualizowano 24 ryzyka,</w:t>
      </w:r>
    </w:p>
    <w:p w:rsidR="00CA14AB" w:rsidRPr="00E00B35" w:rsidRDefault="00CA14AB" w:rsidP="00BC64AB">
      <w:pPr>
        <w:pStyle w:val="Akapitzlist"/>
        <w:numPr>
          <w:ilvl w:val="0"/>
          <w:numId w:val="206"/>
        </w:numPr>
        <w:spacing w:after="0" w:line="312" w:lineRule="auto"/>
        <w:rPr>
          <w:szCs w:val="20"/>
        </w:rPr>
      </w:pPr>
      <w:r w:rsidRPr="00E00B35">
        <w:rPr>
          <w:szCs w:val="20"/>
        </w:rPr>
        <w:t>nową tabelę norm i przydziału środków ochrony indywidualnej,</w:t>
      </w:r>
    </w:p>
    <w:p w:rsidR="00CA14AB" w:rsidRPr="00E00B35" w:rsidRDefault="00CA14AB" w:rsidP="00BC64AB">
      <w:pPr>
        <w:pStyle w:val="Akapitzlist"/>
        <w:numPr>
          <w:ilvl w:val="0"/>
          <w:numId w:val="206"/>
        </w:numPr>
        <w:spacing w:after="0" w:line="312" w:lineRule="auto"/>
        <w:rPr>
          <w:szCs w:val="20"/>
        </w:rPr>
      </w:pPr>
      <w:r w:rsidRPr="00E00B35">
        <w:rPr>
          <w:szCs w:val="20"/>
        </w:rPr>
        <w:t xml:space="preserve">instrukcje bezpiecznej pracy przy obsłudze nowo zakupionych maszyn </w:t>
      </w:r>
      <w:r w:rsidRPr="00E00B35">
        <w:rPr>
          <w:szCs w:val="20"/>
        </w:rPr>
        <w:br/>
        <w:t>i urządzeń,</w:t>
      </w:r>
    </w:p>
    <w:p w:rsidR="00CA14AB" w:rsidRPr="00E00B35" w:rsidRDefault="00CA14AB" w:rsidP="00BC64AB">
      <w:pPr>
        <w:pStyle w:val="Akapitzlist"/>
        <w:numPr>
          <w:ilvl w:val="0"/>
          <w:numId w:val="206"/>
        </w:numPr>
        <w:spacing w:after="0" w:line="312" w:lineRule="auto"/>
        <w:rPr>
          <w:szCs w:val="20"/>
        </w:rPr>
      </w:pPr>
      <w:r w:rsidRPr="00E00B35">
        <w:rPr>
          <w:szCs w:val="20"/>
        </w:rPr>
        <w:t>zarządzenia związane z bezpieczeństwem i higieną pracy,</w:t>
      </w:r>
    </w:p>
    <w:p w:rsidR="00CA14AB" w:rsidRPr="00E00B35" w:rsidRDefault="00CA14AB" w:rsidP="00BC64AB">
      <w:pPr>
        <w:pStyle w:val="Akapitzlist"/>
        <w:numPr>
          <w:ilvl w:val="0"/>
          <w:numId w:val="206"/>
        </w:numPr>
        <w:spacing w:after="0" w:line="312" w:lineRule="auto"/>
        <w:rPr>
          <w:szCs w:val="20"/>
        </w:rPr>
      </w:pPr>
      <w:r w:rsidRPr="00E00B35">
        <w:rPr>
          <w:szCs w:val="20"/>
        </w:rPr>
        <w:t>skierowania na badania wstępne, okresowe, kontrolne,</w:t>
      </w:r>
    </w:p>
    <w:p w:rsidR="00CA14AB" w:rsidRPr="00E00B35" w:rsidRDefault="00CA14AB" w:rsidP="00BC64AB">
      <w:pPr>
        <w:pStyle w:val="Akapitzlist"/>
        <w:numPr>
          <w:ilvl w:val="0"/>
          <w:numId w:val="206"/>
        </w:numPr>
        <w:spacing w:after="0" w:line="312" w:lineRule="auto"/>
        <w:rPr>
          <w:szCs w:val="20"/>
        </w:rPr>
      </w:pPr>
      <w:r w:rsidRPr="00E00B35">
        <w:rPr>
          <w:szCs w:val="20"/>
        </w:rPr>
        <w:t>zarządzenia związane z przeciwdziałaniem rozprzestrzeniania się wirusa SARS-CoV-2.</w:t>
      </w:r>
    </w:p>
    <w:p w:rsidR="00CA14AB" w:rsidRPr="00E00B35" w:rsidRDefault="00CA14AB" w:rsidP="00E00B35">
      <w:pPr>
        <w:spacing w:after="0" w:line="312" w:lineRule="auto"/>
        <w:rPr>
          <w:szCs w:val="20"/>
        </w:rPr>
      </w:pPr>
      <w:r w:rsidRPr="00E00B35">
        <w:rPr>
          <w:szCs w:val="20"/>
        </w:rPr>
        <w:t>Dokonano ustaleń okoliczności i przyczyn:</w:t>
      </w:r>
    </w:p>
    <w:p w:rsidR="00CA14AB" w:rsidRPr="00E00B35" w:rsidRDefault="00CA14AB" w:rsidP="00BC64AB">
      <w:pPr>
        <w:pStyle w:val="Akapitzlist"/>
        <w:numPr>
          <w:ilvl w:val="0"/>
          <w:numId w:val="207"/>
        </w:numPr>
        <w:spacing w:after="0" w:line="312" w:lineRule="auto"/>
        <w:rPr>
          <w:szCs w:val="20"/>
        </w:rPr>
      </w:pPr>
      <w:r w:rsidRPr="00E00B35">
        <w:rPr>
          <w:szCs w:val="20"/>
        </w:rPr>
        <w:t>11 wypadków przy pracy,</w:t>
      </w:r>
    </w:p>
    <w:p w:rsidR="00CA14AB" w:rsidRPr="00E00B35" w:rsidRDefault="00CA14AB" w:rsidP="00BC64AB">
      <w:pPr>
        <w:pStyle w:val="Akapitzlist"/>
        <w:numPr>
          <w:ilvl w:val="0"/>
          <w:numId w:val="207"/>
        </w:numPr>
        <w:spacing w:after="0" w:line="312" w:lineRule="auto"/>
        <w:rPr>
          <w:szCs w:val="20"/>
        </w:rPr>
      </w:pPr>
      <w:r w:rsidRPr="00E00B35">
        <w:rPr>
          <w:szCs w:val="20"/>
        </w:rPr>
        <w:lastRenderedPageBreak/>
        <w:t>4 wypadków w drodze z pracy do domu i z domu do pracy.</w:t>
      </w:r>
    </w:p>
    <w:p w:rsidR="00CA14AB" w:rsidRPr="00E00B35" w:rsidRDefault="00CA14AB" w:rsidP="00E00B35">
      <w:pPr>
        <w:spacing w:after="0" w:line="312" w:lineRule="auto"/>
        <w:rPr>
          <w:szCs w:val="20"/>
        </w:rPr>
      </w:pPr>
      <w:r w:rsidRPr="00E00B35">
        <w:rPr>
          <w:szCs w:val="20"/>
        </w:rPr>
        <w:t xml:space="preserve">Na okoliczność wypadków sporządzano stosowną dokumentację, precyzowano wnioski wynikające z badania przyczyn i okoliczności tych wypadków oraz kontrolowano realizację tych wniosków. Prowadzono rejestry, kompletowano i przechowywano dokumenty dotyczące zaistniałych wypadków. Przeprowadzono aktualizację ryzyka zawodowego intendenta uwzględniając nowe zagrożenia wypadkowe. </w:t>
      </w:r>
    </w:p>
    <w:p w:rsidR="00CA14AB" w:rsidRPr="00E00B35" w:rsidRDefault="00CA14AB" w:rsidP="00BC64AB">
      <w:pPr>
        <w:pStyle w:val="Akapitzlist"/>
        <w:numPr>
          <w:ilvl w:val="0"/>
          <w:numId w:val="208"/>
        </w:numPr>
        <w:spacing w:after="0" w:line="312" w:lineRule="auto"/>
        <w:rPr>
          <w:szCs w:val="20"/>
        </w:rPr>
      </w:pPr>
      <w:r w:rsidRPr="00E00B35">
        <w:rPr>
          <w:szCs w:val="20"/>
        </w:rPr>
        <w:t>Współpracowano z:</w:t>
      </w:r>
    </w:p>
    <w:p w:rsidR="00CA14AB" w:rsidRPr="00E00B35" w:rsidRDefault="00CA14AB" w:rsidP="00BC64AB">
      <w:pPr>
        <w:pStyle w:val="Akapitzlist"/>
        <w:numPr>
          <w:ilvl w:val="0"/>
          <w:numId w:val="208"/>
        </w:numPr>
        <w:spacing w:after="0" w:line="312" w:lineRule="auto"/>
        <w:rPr>
          <w:szCs w:val="20"/>
        </w:rPr>
      </w:pPr>
      <w:r w:rsidRPr="00E00B35">
        <w:rPr>
          <w:szCs w:val="20"/>
        </w:rPr>
        <w:t xml:space="preserve">lekarzem sprawującym profilaktyczną opiekę zdrowotną nad pracownikami przy organizowaniu okresowych badań lekarskich pracowników, </w:t>
      </w:r>
    </w:p>
    <w:p w:rsidR="00CA14AB" w:rsidRPr="00E00B35" w:rsidRDefault="00CA14AB" w:rsidP="00BC64AB">
      <w:pPr>
        <w:pStyle w:val="Akapitzlist"/>
        <w:numPr>
          <w:ilvl w:val="0"/>
          <w:numId w:val="208"/>
        </w:numPr>
        <w:spacing w:after="0" w:line="312" w:lineRule="auto"/>
        <w:rPr>
          <w:szCs w:val="20"/>
        </w:rPr>
      </w:pPr>
      <w:r w:rsidRPr="00E00B35">
        <w:rPr>
          <w:szCs w:val="20"/>
        </w:rPr>
        <w:t>ZUS i GUS w sprawach wypadków przy pracy,</w:t>
      </w:r>
    </w:p>
    <w:p w:rsidR="00CA14AB" w:rsidRPr="00E00B35" w:rsidRDefault="00CA14AB" w:rsidP="00BC64AB">
      <w:pPr>
        <w:pStyle w:val="Akapitzlist"/>
        <w:numPr>
          <w:ilvl w:val="0"/>
          <w:numId w:val="208"/>
        </w:numPr>
        <w:spacing w:after="0" w:line="312" w:lineRule="auto"/>
        <w:rPr>
          <w:szCs w:val="20"/>
        </w:rPr>
      </w:pPr>
      <w:r w:rsidRPr="00E00B35">
        <w:rPr>
          <w:szCs w:val="20"/>
        </w:rPr>
        <w:t>placówkami żłobkowymi na terenie kraju na temat odzieży i obuwia,</w:t>
      </w:r>
    </w:p>
    <w:p w:rsidR="00CA14AB" w:rsidRPr="00E00B35" w:rsidRDefault="00CA14AB" w:rsidP="00BC64AB">
      <w:pPr>
        <w:pStyle w:val="Akapitzlist"/>
        <w:numPr>
          <w:ilvl w:val="0"/>
          <w:numId w:val="208"/>
        </w:numPr>
        <w:spacing w:after="0" w:line="312" w:lineRule="auto"/>
        <w:rPr>
          <w:szCs w:val="20"/>
        </w:rPr>
      </w:pPr>
      <w:r w:rsidRPr="00E00B35">
        <w:rPr>
          <w:szCs w:val="20"/>
        </w:rPr>
        <w:t>społeczną inspekcją pracy,</w:t>
      </w:r>
    </w:p>
    <w:p w:rsidR="00CA14AB" w:rsidRPr="00E00B35" w:rsidRDefault="00CA14AB" w:rsidP="00BC64AB">
      <w:pPr>
        <w:pStyle w:val="Akapitzlist"/>
        <w:numPr>
          <w:ilvl w:val="0"/>
          <w:numId w:val="208"/>
        </w:numPr>
        <w:spacing w:after="0" w:line="312" w:lineRule="auto"/>
        <w:rPr>
          <w:szCs w:val="20"/>
        </w:rPr>
      </w:pPr>
      <w:r w:rsidRPr="00E00B35">
        <w:rPr>
          <w:szCs w:val="20"/>
        </w:rPr>
        <w:t>zakładową organizacją związkową,</w:t>
      </w:r>
    </w:p>
    <w:p w:rsidR="00CA14AB" w:rsidRPr="00E00B35" w:rsidRDefault="00CA14AB" w:rsidP="00BC64AB">
      <w:pPr>
        <w:pStyle w:val="Akapitzlist"/>
        <w:numPr>
          <w:ilvl w:val="0"/>
          <w:numId w:val="208"/>
        </w:numPr>
        <w:spacing w:after="0" w:line="312" w:lineRule="auto"/>
        <w:rPr>
          <w:szCs w:val="20"/>
        </w:rPr>
      </w:pPr>
      <w:r w:rsidRPr="00E00B35">
        <w:rPr>
          <w:szCs w:val="20"/>
        </w:rPr>
        <w:t>komórką zamówień publicznych w zakresie zakupu towarów i środków na rzecz bhp,</w:t>
      </w:r>
    </w:p>
    <w:p w:rsidR="00CA14AB" w:rsidRPr="00E00B35" w:rsidRDefault="00CA14AB" w:rsidP="00BC64AB">
      <w:pPr>
        <w:pStyle w:val="Akapitzlist"/>
        <w:numPr>
          <w:ilvl w:val="0"/>
          <w:numId w:val="208"/>
        </w:numPr>
        <w:spacing w:after="0" w:line="312" w:lineRule="auto"/>
        <w:rPr>
          <w:szCs w:val="20"/>
        </w:rPr>
      </w:pPr>
      <w:r w:rsidRPr="00E00B35">
        <w:rPr>
          <w:szCs w:val="20"/>
        </w:rPr>
        <w:t>komórką działu technicznego w z</w:t>
      </w:r>
      <w:r w:rsidR="0007217B" w:rsidRPr="00E00B35">
        <w:rPr>
          <w:szCs w:val="20"/>
        </w:rPr>
        <w:t>akresie odbioru nowego oddziału.</w:t>
      </w:r>
    </w:p>
    <w:p w:rsidR="00CA14AB" w:rsidRPr="00E00B35" w:rsidRDefault="00CA14AB" w:rsidP="00E00B35">
      <w:pPr>
        <w:spacing w:after="0" w:line="312" w:lineRule="auto"/>
        <w:rPr>
          <w:szCs w:val="20"/>
        </w:rPr>
      </w:pPr>
      <w:r w:rsidRPr="00E00B35">
        <w:rPr>
          <w:szCs w:val="20"/>
        </w:rPr>
        <w:t>Przeszkolono 498 osób w zakresie bhp, w tym:</w:t>
      </w:r>
    </w:p>
    <w:p w:rsidR="00CA14AB" w:rsidRPr="00E00B35" w:rsidRDefault="00CA14AB" w:rsidP="00BC64AB">
      <w:pPr>
        <w:pStyle w:val="Akapitzlist"/>
        <w:numPr>
          <w:ilvl w:val="0"/>
          <w:numId w:val="209"/>
        </w:numPr>
        <w:spacing w:after="0" w:line="312" w:lineRule="auto"/>
        <w:rPr>
          <w:szCs w:val="20"/>
        </w:rPr>
      </w:pPr>
      <w:r w:rsidRPr="00E00B35">
        <w:rPr>
          <w:szCs w:val="20"/>
        </w:rPr>
        <w:t>84 osoby szkoleniem wstępnym,</w:t>
      </w:r>
    </w:p>
    <w:p w:rsidR="00CA14AB" w:rsidRPr="00E00B35" w:rsidRDefault="00CA14AB" w:rsidP="00BC64AB">
      <w:pPr>
        <w:pStyle w:val="Akapitzlist"/>
        <w:numPr>
          <w:ilvl w:val="0"/>
          <w:numId w:val="209"/>
        </w:numPr>
        <w:spacing w:after="0" w:line="312" w:lineRule="auto"/>
        <w:rPr>
          <w:szCs w:val="20"/>
        </w:rPr>
      </w:pPr>
      <w:r w:rsidRPr="00E00B35">
        <w:rPr>
          <w:szCs w:val="20"/>
        </w:rPr>
        <w:t>384 osób szkoleniem okresowym,</w:t>
      </w:r>
    </w:p>
    <w:p w:rsidR="00CA14AB" w:rsidRPr="00E00B35" w:rsidRDefault="00CA14AB" w:rsidP="00BC64AB">
      <w:pPr>
        <w:pStyle w:val="Akapitzlist"/>
        <w:numPr>
          <w:ilvl w:val="0"/>
          <w:numId w:val="209"/>
        </w:numPr>
        <w:spacing w:after="0" w:line="312" w:lineRule="auto"/>
        <w:rPr>
          <w:szCs w:val="20"/>
        </w:rPr>
      </w:pPr>
      <w:r w:rsidRPr="00E00B35">
        <w:rPr>
          <w:szCs w:val="20"/>
        </w:rPr>
        <w:t>30 osób szkoleniem z obsługi generatora ozonu.</w:t>
      </w:r>
    </w:p>
    <w:p w:rsidR="00CA14AB" w:rsidRPr="00E00B35" w:rsidRDefault="00CA14AB" w:rsidP="00E00B35">
      <w:pPr>
        <w:spacing w:after="0" w:line="312" w:lineRule="auto"/>
        <w:rPr>
          <w:szCs w:val="20"/>
        </w:rPr>
      </w:pPr>
      <w:r w:rsidRPr="00E00B35">
        <w:rPr>
          <w:szCs w:val="20"/>
        </w:rPr>
        <w:t>Na koniec 2020 roku wszyscy pracownicy Zespołu posiadali aktualne szkolenie z bhp.</w:t>
      </w:r>
    </w:p>
    <w:p w:rsidR="00CA14AB" w:rsidRPr="00E00B35" w:rsidRDefault="00CA14AB" w:rsidP="00E00B35">
      <w:pPr>
        <w:spacing w:after="0" w:line="312" w:lineRule="auto"/>
        <w:rPr>
          <w:szCs w:val="20"/>
        </w:rPr>
      </w:pPr>
      <w:r w:rsidRPr="00E00B35">
        <w:rPr>
          <w:szCs w:val="20"/>
        </w:rPr>
        <w:t>Odbyły się 3 posiedzenia Komisji BHP.</w:t>
      </w:r>
    </w:p>
    <w:p w:rsidR="00CA14AB" w:rsidRPr="00E00B35" w:rsidRDefault="00CA14AB" w:rsidP="00E00B35">
      <w:pPr>
        <w:spacing w:after="0" w:line="312" w:lineRule="auto"/>
        <w:rPr>
          <w:szCs w:val="20"/>
        </w:rPr>
      </w:pPr>
      <w:r w:rsidRPr="00E00B35">
        <w:rPr>
          <w:szCs w:val="20"/>
        </w:rPr>
        <w:t>Podczas szkoleń wstępnych, szkoleń okresowych z zakresu bhp oraz podczas przeprowadzanych dochodzeń powypadkowych informowano pracowników o ryzyku zawodowym i jego roli w środowisku pracy.</w:t>
      </w:r>
    </w:p>
    <w:p w:rsidR="005E6C69" w:rsidRPr="00E00B35" w:rsidRDefault="005E6C69" w:rsidP="00E00B35">
      <w:pPr>
        <w:pStyle w:val="Nagwek5"/>
        <w:rPr>
          <w:szCs w:val="20"/>
        </w:rPr>
      </w:pPr>
      <w:bookmarkStart w:id="329" w:name="_Toc72352409"/>
      <w:bookmarkStart w:id="330" w:name="_Toc72352843"/>
    </w:p>
    <w:p w:rsidR="00CA14AB" w:rsidRPr="00E00B35" w:rsidRDefault="00CA14AB" w:rsidP="00E00B35">
      <w:pPr>
        <w:pStyle w:val="Nagwek5"/>
        <w:rPr>
          <w:szCs w:val="20"/>
        </w:rPr>
      </w:pPr>
      <w:r w:rsidRPr="00E00B35">
        <w:rPr>
          <w:szCs w:val="20"/>
        </w:rPr>
        <w:t>DZIAŁANIA DOTYCZĄCE BEZPIECZEŃSTWA POŻAROWEGO</w:t>
      </w:r>
      <w:bookmarkEnd w:id="329"/>
      <w:bookmarkEnd w:id="330"/>
    </w:p>
    <w:p w:rsidR="00CA14AB" w:rsidRPr="00E00B35" w:rsidRDefault="00CA14AB" w:rsidP="00E00B35">
      <w:pPr>
        <w:spacing w:after="0" w:line="312" w:lineRule="auto"/>
        <w:rPr>
          <w:szCs w:val="20"/>
        </w:rPr>
      </w:pPr>
      <w:r w:rsidRPr="00E00B35">
        <w:rPr>
          <w:szCs w:val="20"/>
        </w:rPr>
        <w:t>Próbna ewakuacja</w:t>
      </w:r>
    </w:p>
    <w:p w:rsidR="00CA14AB" w:rsidRPr="00E00B35" w:rsidRDefault="00CA14AB" w:rsidP="00E00B35">
      <w:pPr>
        <w:spacing w:after="0" w:line="312" w:lineRule="auto"/>
        <w:rPr>
          <w:szCs w:val="20"/>
        </w:rPr>
      </w:pPr>
      <w:r w:rsidRPr="00E00B35">
        <w:rPr>
          <w:szCs w:val="20"/>
        </w:rPr>
        <w:t>W związku ze stanem epidemii oraz zgodnie z zaleceniami Biura Ochrony Zagrożeń Komendy Głównej Państwowej Straży Pożarnej w Warszawie w  grudniu przeprowadzono próbną ewakuację w 17 obiektach tj.: Żłobkach nr 1, 2, 3, 4, 5, 6, 7, 8, 9, 10, 11, 12, 13, 14, 15, 16 i w Filii Żłobka nr 5.</w:t>
      </w:r>
    </w:p>
    <w:p w:rsidR="00CA14AB" w:rsidRPr="00E00B35" w:rsidRDefault="00CA14AB" w:rsidP="00E00B35">
      <w:pPr>
        <w:spacing w:after="0" w:line="312" w:lineRule="auto"/>
        <w:rPr>
          <w:szCs w:val="20"/>
        </w:rPr>
      </w:pPr>
      <w:r w:rsidRPr="00E00B35">
        <w:rPr>
          <w:szCs w:val="20"/>
        </w:rPr>
        <w:t>Ćwiczenie ewakuacyjne przeprowadzono w formie zdalnej poprzez e-learning pod nadzorem pracowników Wydziału Bezpieczeństwa i Zarządzania Kryzysowego Urzędu Miejskiego we Wrocławiu zgodnie z zaleceniami Komendy Głównej PSP w Warszawie.</w:t>
      </w:r>
    </w:p>
    <w:p w:rsidR="00CA14AB" w:rsidRPr="00E00B35" w:rsidRDefault="00CA14AB" w:rsidP="00E00B35">
      <w:pPr>
        <w:spacing w:after="0" w:line="312" w:lineRule="auto"/>
        <w:rPr>
          <w:szCs w:val="20"/>
        </w:rPr>
      </w:pPr>
      <w:r w:rsidRPr="00E00B35">
        <w:rPr>
          <w:szCs w:val="20"/>
        </w:rPr>
        <w:t>Przeglądy urządzeń przeciwpożarowych, gaśnic oraz drzwi ppoż. i dymoszczelnych</w:t>
      </w:r>
    </w:p>
    <w:p w:rsidR="00CA14AB" w:rsidRPr="00E00B35" w:rsidRDefault="00CA14AB" w:rsidP="00E00B35">
      <w:pPr>
        <w:spacing w:after="0" w:line="312" w:lineRule="auto"/>
        <w:rPr>
          <w:szCs w:val="20"/>
        </w:rPr>
      </w:pPr>
      <w:r w:rsidRPr="00E00B35">
        <w:rPr>
          <w:szCs w:val="20"/>
        </w:rPr>
        <w:t>W 2020 r. dokonano przeglądów technicznych wszystkich urządzeń przeciwpożarowych oraz gaśnic, które znajdują się we wszystkich obiektach Wrocławskiego Zespołu Żłobków:</w:t>
      </w:r>
    </w:p>
    <w:p w:rsidR="00CA14AB" w:rsidRPr="00E00B35" w:rsidRDefault="00CA14AB" w:rsidP="00BC64AB">
      <w:pPr>
        <w:pStyle w:val="Akapitzlist"/>
        <w:numPr>
          <w:ilvl w:val="0"/>
          <w:numId w:val="210"/>
        </w:numPr>
        <w:spacing w:after="0" w:line="312" w:lineRule="auto"/>
        <w:rPr>
          <w:szCs w:val="20"/>
        </w:rPr>
      </w:pPr>
      <w:r w:rsidRPr="00E00B35">
        <w:rPr>
          <w:szCs w:val="20"/>
        </w:rPr>
        <w:t>hydranty zewnętrzne w  3 obiektach - 3 szt.</w:t>
      </w:r>
    </w:p>
    <w:p w:rsidR="00CA14AB" w:rsidRPr="00E00B35" w:rsidRDefault="00CA14AB" w:rsidP="00BC64AB">
      <w:pPr>
        <w:pStyle w:val="Akapitzlist"/>
        <w:numPr>
          <w:ilvl w:val="0"/>
          <w:numId w:val="210"/>
        </w:numPr>
        <w:spacing w:after="0" w:line="312" w:lineRule="auto"/>
        <w:rPr>
          <w:szCs w:val="20"/>
        </w:rPr>
      </w:pPr>
      <w:r w:rsidRPr="00E00B35">
        <w:rPr>
          <w:szCs w:val="20"/>
        </w:rPr>
        <w:t>hydranty wewnętrzne w 16 obiektach- 64 szt.</w:t>
      </w:r>
    </w:p>
    <w:p w:rsidR="00CA14AB" w:rsidRPr="00E00B35" w:rsidRDefault="00CA14AB" w:rsidP="00BC64AB">
      <w:pPr>
        <w:pStyle w:val="Akapitzlist"/>
        <w:numPr>
          <w:ilvl w:val="0"/>
          <w:numId w:val="210"/>
        </w:numPr>
        <w:spacing w:after="0" w:line="312" w:lineRule="auto"/>
        <w:rPr>
          <w:szCs w:val="20"/>
        </w:rPr>
      </w:pPr>
      <w:r w:rsidRPr="00E00B35">
        <w:rPr>
          <w:szCs w:val="20"/>
        </w:rPr>
        <w:t>węże hydrantowe w 6 obiektach – 30 szt.</w:t>
      </w:r>
    </w:p>
    <w:p w:rsidR="00CA14AB" w:rsidRPr="00E00B35" w:rsidRDefault="00CA14AB" w:rsidP="00BC64AB">
      <w:pPr>
        <w:pStyle w:val="Akapitzlist"/>
        <w:numPr>
          <w:ilvl w:val="0"/>
          <w:numId w:val="210"/>
        </w:numPr>
        <w:spacing w:after="0" w:line="312" w:lineRule="auto"/>
        <w:rPr>
          <w:szCs w:val="20"/>
        </w:rPr>
      </w:pPr>
      <w:r w:rsidRPr="00E00B35">
        <w:rPr>
          <w:szCs w:val="20"/>
        </w:rPr>
        <w:t>przeciwpożarowe wyłączniki prądu w  13 obiektach</w:t>
      </w:r>
    </w:p>
    <w:p w:rsidR="00CA14AB" w:rsidRPr="00E00B35" w:rsidRDefault="00CA14AB" w:rsidP="00BC64AB">
      <w:pPr>
        <w:pStyle w:val="Akapitzlist"/>
        <w:numPr>
          <w:ilvl w:val="0"/>
          <w:numId w:val="210"/>
        </w:numPr>
        <w:spacing w:after="0" w:line="312" w:lineRule="auto"/>
        <w:rPr>
          <w:szCs w:val="20"/>
        </w:rPr>
      </w:pPr>
      <w:r w:rsidRPr="00E00B35">
        <w:rPr>
          <w:szCs w:val="20"/>
        </w:rPr>
        <w:t>awaryjne oświetlenie ewakuacyjne w 2 obiektach</w:t>
      </w:r>
    </w:p>
    <w:p w:rsidR="00CA14AB" w:rsidRPr="00E00B35" w:rsidRDefault="00CA14AB" w:rsidP="00BC64AB">
      <w:pPr>
        <w:pStyle w:val="Akapitzlist"/>
        <w:numPr>
          <w:ilvl w:val="0"/>
          <w:numId w:val="210"/>
        </w:numPr>
        <w:spacing w:after="0" w:line="312" w:lineRule="auto"/>
        <w:rPr>
          <w:szCs w:val="20"/>
        </w:rPr>
      </w:pPr>
      <w:r w:rsidRPr="00E00B35">
        <w:rPr>
          <w:szCs w:val="20"/>
        </w:rPr>
        <w:lastRenderedPageBreak/>
        <w:t>systemy oddymiania klatek schodowych w 11 obiektach</w:t>
      </w:r>
    </w:p>
    <w:p w:rsidR="00CA14AB" w:rsidRPr="00E00B35" w:rsidRDefault="00CA14AB" w:rsidP="00BC64AB">
      <w:pPr>
        <w:pStyle w:val="Akapitzlist"/>
        <w:numPr>
          <w:ilvl w:val="0"/>
          <w:numId w:val="210"/>
        </w:numPr>
        <w:spacing w:after="0" w:line="312" w:lineRule="auto"/>
        <w:rPr>
          <w:szCs w:val="20"/>
        </w:rPr>
      </w:pPr>
      <w:r w:rsidRPr="00E00B35">
        <w:rPr>
          <w:szCs w:val="20"/>
        </w:rPr>
        <w:t>centrale przeciwpożarowe w 3 obiektach</w:t>
      </w:r>
    </w:p>
    <w:p w:rsidR="00CA14AB" w:rsidRPr="00E00B35" w:rsidRDefault="00CA14AB" w:rsidP="00BC64AB">
      <w:pPr>
        <w:pStyle w:val="Akapitzlist"/>
        <w:numPr>
          <w:ilvl w:val="0"/>
          <w:numId w:val="210"/>
        </w:numPr>
        <w:spacing w:after="0" w:line="312" w:lineRule="auto"/>
        <w:rPr>
          <w:szCs w:val="20"/>
        </w:rPr>
      </w:pPr>
      <w:r w:rsidRPr="00E00B35">
        <w:rPr>
          <w:szCs w:val="20"/>
        </w:rPr>
        <w:t>przeciwpożarowe klapy odcinające w 4 obiektach – 132 szt.</w:t>
      </w:r>
    </w:p>
    <w:p w:rsidR="00CA14AB" w:rsidRPr="00E00B35" w:rsidRDefault="00CA14AB" w:rsidP="00BC64AB">
      <w:pPr>
        <w:pStyle w:val="Akapitzlist"/>
        <w:numPr>
          <w:ilvl w:val="0"/>
          <w:numId w:val="210"/>
        </w:numPr>
        <w:spacing w:after="0" w:line="312" w:lineRule="auto"/>
        <w:rPr>
          <w:szCs w:val="20"/>
        </w:rPr>
      </w:pPr>
      <w:r w:rsidRPr="00E00B35">
        <w:rPr>
          <w:szCs w:val="20"/>
        </w:rPr>
        <w:t>gaśnice w 16 obiektach – 139 szt.</w:t>
      </w:r>
    </w:p>
    <w:p w:rsidR="00CA14AB" w:rsidRPr="00E00B35" w:rsidRDefault="00CA14AB" w:rsidP="00BC64AB">
      <w:pPr>
        <w:pStyle w:val="Akapitzlist"/>
        <w:numPr>
          <w:ilvl w:val="0"/>
          <w:numId w:val="210"/>
        </w:numPr>
        <w:spacing w:after="0" w:line="312" w:lineRule="auto"/>
        <w:rPr>
          <w:szCs w:val="20"/>
        </w:rPr>
      </w:pPr>
      <w:r w:rsidRPr="00E00B35">
        <w:rPr>
          <w:szCs w:val="20"/>
        </w:rPr>
        <w:t>drzwi przeciwpożarowe i dymoszczelne w 11 obiektach – 155 szt.</w:t>
      </w:r>
    </w:p>
    <w:p w:rsidR="00CA14AB" w:rsidRPr="00E00B35" w:rsidRDefault="00CA14AB" w:rsidP="00E00B35">
      <w:pPr>
        <w:spacing w:after="0" w:line="312" w:lineRule="auto"/>
        <w:rPr>
          <w:szCs w:val="20"/>
        </w:rPr>
      </w:pPr>
      <w:r w:rsidRPr="00E00B35">
        <w:rPr>
          <w:szCs w:val="20"/>
        </w:rPr>
        <w:t>Dokonano napraw urządzeń przeciwpożarowych.</w:t>
      </w:r>
    </w:p>
    <w:p w:rsidR="00CA14AB" w:rsidRPr="00E00B35" w:rsidRDefault="00CA14AB" w:rsidP="00E00B35">
      <w:pPr>
        <w:spacing w:after="0" w:line="312" w:lineRule="auto"/>
        <w:rPr>
          <w:szCs w:val="20"/>
        </w:rPr>
      </w:pPr>
      <w:r w:rsidRPr="00E00B35">
        <w:rPr>
          <w:szCs w:val="20"/>
        </w:rPr>
        <w:t>Instrukcje bezpieczeństwa pożarowego</w:t>
      </w:r>
    </w:p>
    <w:p w:rsidR="00CA14AB" w:rsidRPr="00E00B35" w:rsidRDefault="00CA14AB" w:rsidP="00E00B35">
      <w:pPr>
        <w:spacing w:after="0" w:line="312" w:lineRule="auto"/>
        <w:rPr>
          <w:szCs w:val="20"/>
        </w:rPr>
      </w:pPr>
      <w:r w:rsidRPr="00E00B35">
        <w:rPr>
          <w:szCs w:val="20"/>
        </w:rPr>
        <w:t>W 2020 r. zaktualizowano instrukcje bezpieczeństwa pożarowego w 18 obiektach. Obecnie wszystkie żłobki posiadają aktualne instrukcje.</w:t>
      </w:r>
    </w:p>
    <w:p w:rsidR="00CA14AB" w:rsidRPr="00E00B35" w:rsidRDefault="00CA14AB" w:rsidP="00E00B35">
      <w:pPr>
        <w:spacing w:after="0" w:line="312" w:lineRule="auto"/>
        <w:rPr>
          <w:szCs w:val="20"/>
        </w:rPr>
      </w:pPr>
      <w:r w:rsidRPr="00E00B35">
        <w:rPr>
          <w:szCs w:val="20"/>
        </w:rPr>
        <w:t>Wymiana sprzętu ppoż. na nowy</w:t>
      </w:r>
    </w:p>
    <w:p w:rsidR="00CA14AB" w:rsidRPr="00E00B35" w:rsidRDefault="00CA14AB" w:rsidP="00E00B35">
      <w:pPr>
        <w:spacing w:after="0" w:line="312" w:lineRule="auto"/>
        <w:rPr>
          <w:szCs w:val="20"/>
        </w:rPr>
      </w:pPr>
      <w:r w:rsidRPr="00E00B35">
        <w:rPr>
          <w:szCs w:val="20"/>
        </w:rPr>
        <w:t xml:space="preserve">Zakupiono 47 szt. oznakowania ewakuacyjnego i sprzętu ppoż. Zakupiono i zamontowano oznakowanie miejsc zbiórki do ewakuacji. </w:t>
      </w:r>
    </w:p>
    <w:p w:rsidR="005E6C69" w:rsidRPr="00E00B35" w:rsidRDefault="005E6C69" w:rsidP="00E00B35">
      <w:pPr>
        <w:pStyle w:val="Nagwek5"/>
        <w:rPr>
          <w:szCs w:val="20"/>
        </w:rPr>
      </w:pPr>
      <w:bookmarkStart w:id="331" w:name="_Toc72352410"/>
      <w:bookmarkStart w:id="332" w:name="_Toc72352844"/>
    </w:p>
    <w:p w:rsidR="00CA14AB" w:rsidRPr="00E00B35" w:rsidRDefault="00CA14AB" w:rsidP="00E00B35">
      <w:pPr>
        <w:pStyle w:val="Nagwek5"/>
        <w:rPr>
          <w:szCs w:val="20"/>
        </w:rPr>
      </w:pPr>
      <w:r w:rsidRPr="00E00B35">
        <w:rPr>
          <w:szCs w:val="20"/>
        </w:rPr>
        <w:t>REALIZACJA ZADAŃ INWESTYCYJNYCH WPI/127</w:t>
      </w:r>
      <w:bookmarkEnd w:id="331"/>
      <w:bookmarkEnd w:id="332"/>
    </w:p>
    <w:p w:rsidR="00CA14AB" w:rsidRPr="00E00B35" w:rsidRDefault="00CA14AB" w:rsidP="00E00B35">
      <w:pPr>
        <w:spacing w:after="0" w:line="312" w:lineRule="auto"/>
        <w:rPr>
          <w:szCs w:val="20"/>
        </w:rPr>
      </w:pPr>
      <w:r w:rsidRPr="00E00B35">
        <w:rPr>
          <w:szCs w:val="20"/>
        </w:rPr>
        <w:t>W ramach Programu Budowy i Przebudowy Żłobków (zadanie WPI/127), Wrocławski Zespół Żłobków zrealizował:</w:t>
      </w:r>
    </w:p>
    <w:p w:rsidR="00CA14AB" w:rsidRPr="00E00B35" w:rsidRDefault="00CA14AB" w:rsidP="00BC64AB">
      <w:pPr>
        <w:pStyle w:val="Akapitzlist"/>
        <w:numPr>
          <w:ilvl w:val="0"/>
          <w:numId w:val="211"/>
        </w:numPr>
        <w:spacing w:after="0" w:line="312" w:lineRule="auto"/>
        <w:rPr>
          <w:szCs w:val="20"/>
        </w:rPr>
      </w:pPr>
      <w:r w:rsidRPr="00E00B35">
        <w:rPr>
          <w:szCs w:val="20"/>
        </w:rPr>
        <w:t>wykonanie instalacji głównego pożarowego wyłącznika prądu i awaryjnego oświetlenia ewakuacyjnego dla budynku Żłobka nr 9 przy ul. Hoene-Wrońskiego 13d</w:t>
      </w:r>
    </w:p>
    <w:p w:rsidR="00CA14AB" w:rsidRPr="00E00B35" w:rsidRDefault="00CA14AB" w:rsidP="00BC64AB">
      <w:pPr>
        <w:pStyle w:val="Akapitzlist"/>
        <w:numPr>
          <w:ilvl w:val="0"/>
          <w:numId w:val="211"/>
        </w:numPr>
        <w:spacing w:after="0" w:line="312" w:lineRule="auto"/>
        <w:rPr>
          <w:szCs w:val="20"/>
        </w:rPr>
      </w:pPr>
      <w:r w:rsidRPr="00E00B35">
        <w:rPr>
          <w:szCs w:val="20"/>
        </w:rPr>
        <w:t>II etap montażu klimatyzatorów w wybranych salach pobytu dzieci w Żłobkach     nr 2, 4, 7, 10, 11, 13, 14; w chwili obecnej Żłobki nr 2, 7, 11 posiadają klimatyzowane wszystkie sale pobytu dzieci.</w:t>
      </w:r>
    </w:p>
    <w:p w:rsidR="00CA14AB" w:rsidRPr="00E00B35" w:rsidRDefault="00CA14AB" w:rsidP="00E00B35">
      <w:pPr>
        <w:spacing w:after="0" w:line="312" w:lineRule="auto"/>
        <w:rPr>
          <w:szCs w:val="20"/>
        </w:rPr>
      </w:pPr>
      <w:r w:rsidRPr="00E00B35">
        <w:rPr>
          <w:szCs w:val="20"/>
        </w:rPr>
        <w:t>W zakresie współpracy z Zarządem Inwestycji Miejskich Wrocławski Zespół Żłobków wykonywał następujące zadania:</w:t>
      </w:r>
    </w:p>
    <w:p w:rsidR="00CA14AB" w:rsidRPr="00E00B35" w:rsidRDefault="00CA14AB" w:rsidP="00BC64AB">
      <w:pPr>
        <w:pStyle w:val="Akapitzlist"/>
        <w:numPr>
          <w:ilvl w:val="0"/>
          <w:numId w:val="212"/>
        </w:numPr>
        <w:spacing w:after="0" w:line="312" w:lineRule="auto"/>
        <w:rPr>
          <w:szCs w:val="20"/>
        </w:rPr>
      </w:pPr>
      <w:r w:rsidRPr="00E00B35">
        <w:rPr>
          <w:szCs w:val="20"/>
        </w:rPr>
        <w:t xml:space="preserve">przedkładał propozycje oraz dokonywał uzgodnień programu funkcjonalno-użytkowego zadania: Budowa żłobka przy ul. Sołtysowickiej na osiedlu Sołtysowice; </w:t>
      </w:r>
    </w:p>
    <w:p w:rsidR="00CA14AB" w:rsidRPr="00E00B35" w:rsidRDefault="00CA14AB" w:rsidP="00BC64AB">
      <w:pPr>
        <w:pStyle w:val="Akapitzlist"/>
        <w:numPr>
          <w:ilvl w:val="0"/>
          <w:numId w:val="212"/>
        </w:numPr>
        <w:spacing w:after="0" w:line="312" w:lineRule="auto"/>
        <w:rPr>
          <w:szCs w:val="20"/>
        </w:rPr>
      </w:pPr>
      <w:r w:rsidRPr="00E00B35">
        <w:rPr>
          <w:szCs w:val="20"/>
        </w:rPr>
        <w:t>przekazywano Inwestorowi reklamacje gwarancyjne dotyczące ujawnionych wad     w okresie użytkowania Żłobka nr 3 przy ul. Białowieskiej 27, Żłobka nr 6 przy ul. Krowiej 1 i Żłobka nr 12 przy ul. Jugosłowiańskiej 85a oraz uczestniczono w odbiorach robót wykonanych w ramach gwarancji;</w:t>
      </w:r>
    </w:p>
    <w:p w:rsidR="00CA14AB" w:rsidRPr="00E00B35" w:rsidRDefault="00CA14AB" w:rsidP="00BC64AB">
      <w:pPr>
        <w:pStyle w:val="Akapitzlist"/>
        <w:numPr>
          <w:ilvl w:val="0"/>
          <w:numId w:val="212"/>
        </w:numPr>
        <w:spacing w:after="0" w:line="312" w:lineRule="auto"/>
        <w:rPr>
          <w:szCs w:val="20"/>
        </w:rPr>
      </w:pPr>
      <w:r w:rsidRPr="00E00B35">
        <w:rPr>
          <w:szCs w:val="20"/>
        </w:rPr>
        <w:t>przejęto do eksploatacji inwestycję zrealizowaną przez Zarząd Inwestycji Miejskich: Budynek żłobka z filią Miejskiej Biblioteki Publicznej przy ulicy Sygnałowej 23 gdzie uruchomiono Żłobek nr 16;</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4740275" cy="3224530"/>
            <wp:effectExtent l="19050" t="0" r="3175" b="0"/>
            <wp:docPr id="96" name="Obraz 27" descr="Budynek Żłobka na 16 od strony placu zabaw. Plaz zab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udynek Żłobka na 16 od strony placu zabaw. Plaz zabaw."/>
                    <pic:cNvPicPr>
                      <a:picLocks noChangeAspect="1" noChangeArrowheads="1"/>
                    </pic:cNvPicPr>
                  </pic:nvPicPr>
                  <pic:blipFill>
                    <a:blip r:embed="rId121" cstate="print"/>
                    <a:srcRect/>
                    <a:stretch>
                      <a:fillRect/>
                    </a:stretch>
                  </pic:blipFill>
                  <pic:spPr bwMode="auto">
                    <a:xfrm>
                      <a:off x="0" y="0"/>
                      <a:ext cx="4740275" cy="3224530"/>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16</w:t>
      </w:r>
      <w:r w:rsidR="00573162" w:rsidRPr="00E00B35">
        <w:rPr>
          <w:szCs w:val="20"/>
        </w:rPr>
        <w:fldChar w:fldCharType="end"/>
      </w:r>
      <w:r w:rsidRPr="00E00B35">
        <w:rPr>
          <w:szCs w:val="20"/>
        </w:rPr>
        <w:t xml:space="preserve"> Żłobek nr 16</w:t>
      </w:r>
    </w:p>
    <w:p w:rsidR="00CA14AB" w:rsidRPr="00E00B35" w:rsidRDefault="00CA14AB" w:rsidP="00BC64AB">
      <w:pPr>
        <w:pStyle w:val="Akapitzlist"/>
        <w:numPr>
          <w:ilvl w:val="0"/>
          <w:numId w:val="212"/>
        </w:numPr>
        <w:spacing w:after="0" w:line="312" w:lineRule="auto"/>
        <w:rPr>
          <w:szCs w:val="20"/>
        </w:rPr>
      </w:pPr>
      <w:r w:rsidRPr="00E00B35">
        <w:rPr>
          <w:szCs w:val="20"/>
        </w:rPr>
        <w:t>przygotowano i przekazano do drugiego etapu remontu budynek i teren Żłobka nr 6 przy ul. Krowiej 1.</w:t>
      </w:r>
    </w:p>
    <w:p w:rsidR="00CA14AB" w:rsidRPr="00E00B35" w:rsidRDefault="00CA14AB" w:rsidP="00E00B35">
      <w:pPr>
        <w:spacing w:after="0" w:line="312" w:lineRule="auto"/>
        <w:rPr>
          <w:szCs w:val="20"/>
        </w:rPr>
      </w:pPr>
      <w:r w:rsidRPr="00E00B35">
        <w:rPr>
          <w:szCs w:val="20"/>
        </w:rPr>
        <w:t>WYKONYWANIE ZADAŃ KONSERWACYJNO-EKSPLOATACYJNYCH</w:t>
      </w:r>
    </w:p>
    <w:p w:rsidR="00CA14AB" w:rsidRPr="00E00B35" w:rsidRDefault="00CA14AB" w:rsidP="00E00B35">
      <w:pPr>
        <w:spacing w:after="0" w:line="312" w:lineRule="auto"/>
        <w:rPr>
          <w:szCs w:val="20"/>
        </w:rPr>
      </w:pPr>
      <w:r w:rsidRPr="00E00B35">
        <w:rPr>
          <w:szCs w:val="20"/>
        </w:rPr>
        <w:t>W obiektach Zespołu wykonano prace konserwacyjne i naprawcze oraz usuwania awarii   w zakresie:</w:t>
      </w:r>
    </w:p>
    <w:p w:rsidR="00CA14AB" w:rsidRPr="00E00B35" w:rsidRDefault="00CA14AB" w:rsidP="00BC64AB">
      <w:pPr>
        <w:pStyle w:val="Akapitzlist"/>
        <w:numPr>
          <w:ilvl w:val="0"/>
          <w:numId w:val="212"/>
        </w:numPr>
        <w:spacing w:after="0" w:line="312" w:lineRule="auto"/>
        <w:rPr>
          <w:szCs w:val="20"/>
        </w:rPr>
      </w:pPr>
      <w:r w:rsidRPr="00E00B35">
        <w:rPr>
          <w:szCs w:val="20"/>
        </w:rPr>
        <w:t>stolarki okiennej i drzwiowej;</w:t>
      </w:r>
    </w:p>
    <w:p w:rsidR="00CA14AB" w:rsidRPr="00E00B35" w:rsidRDefault="00CA14AB" w:rsidP="00BC64AB">
      <w:pPr>
        <w:pStyle w:val="Akapitzlist"/>
        <w:numPr>
          <w:ilvl w:val="0"/>
          <w:numId w:val="212"/>
        </w:numPr>
        <w:spacing w:after="0" w:line="312" w:lineRule="auto"/>
        <w:rPr>
          <w:szCs w:val="20"/>
        </w:rPr>
      </w:pPr>
      <w:r w:rsidRPr="00E00B35">
        <w:rPr>
          <w:szCs w:val="20"/>
        </w:rPr>
        <w:t>rolet, żaluzji oraz moskitier;</w:t>
      </w:r>
    </w:p>
    <w:p w:rsidR="00CA14AB" w:rsidRPr="00E00B35" w:rsidRDefault="00CA14AB" w:rsidP="00BC64AB">
      <w:pPr>
        <w:pStyle w:val="Akapitzlist"/>
        <w:numPr>
          <w:ilvl w:val="0"/>
          <w:numId w:val="212"/>
        </w:numPr>
        <w:spacing w:after="0" w:line="312" w:lineRule="auto"/>
        <w:rPr>
          <w:szCs w:val="20"/>
        </w:rPr>
      </w:pPr>
      <w:r w:rsidRPr="00E00B35">
        <w:rPr>
          <w:szCs w:val="20"/>
        </w:rPr>
        <w:t>dźwigów towarowych i osobowych;</w:t>
      </w:r>
    </w:p>
    <w:p w:rsidR="00CA14AB" w:rsidRPr="00E00B35" w:rsidRDefault="00CA14AB" w:rsidP="00BC64AB">
      <w:pPr>
        <w:pStyle w:val="Akapitzlist"/>
        <w:numPr>
          <w:ilvl w:val="0"/>
          <w:numId w:val="212"/>
        </w:numPr>
        <w:spacing w:after="0" w:line="312" w:lineRule="auto"/>
        <w:rPr>
          <w:szCs w:val="20"/>
        </w:rPr>
      </w:pPr>
      <w:r w:rsidRPr="00E00B35">
        <w:rPr>
          <w:szCs w:val="20"/>
        </w:rPr>
        <w:t>systemu sygnalizacji włamania i napadu;</w:t>
      </w:r>
    </w:p>
    <w:p w:rsidR="00CA14AB" w:rsidRPr="00E00B35" w:rsidRDefault="00CA14AB" w:rsidP="00BC64AB">
      <w:pPr>
        <w:pStyle w:val="Akapitzlist"/>
        <w:numPr>
          <w:ilvl w:val="0"/>
          <w:numId w:val="212"/>
        </w:numPr>
        <w:spacing w:after="0" w:line="312" w:lineRule="auto"/>
        <w:rPr>
          <w:szCs w:val="20"/>
        </w:rPr>
      </w:pPr>
      <w:r w:rsidRPr="00E00B35">
        <w:rPr>
          <w:szCs w:val="20"/>
        </w:rPr>
        <w:t xml:space="preserve">placów zabaw; </w:t>
      </w:r>
    </w:p>
    <w:p w:rsidR="00CA14AB" w:rsidRPr="00E00B35" w:rsidRDefault="00CA14AB" w:rsidP="00BC64AB">
      <w:pPr>
        <w:pStyle w:val="Akapitzlist"/>
        <w:numPr>
          <w:ilvl w:val="0"/>
          <w:numId w:val="212"/>
        </w:numPr>
        <w:spacing w:after="0" w:line="312" w:lineRule="auto"/>
        <w:rPr>
          <w:szCs w:val="20"/>
        </w:rPr>
      </w:pPr>
      <w:r w:rsidRPr="00E00B35">
        <w:rPr>
          <w:szCs w:val="20"/>
        </w:rPr>
        <w:t>instalacji i urządzeń elektrycznych;</w:t>
      </w:r>
    </w:p>
    <w:p w:rsidR="00CA14AB" w:rsidRPr="00E00B35" w:rsidRDefault="00CA14AB" w:rsidP="00BC64AB">
      <w:pPr>
        <w:pStyle w:val="Akapitzlist"/>
        <w:numPr>
          <w:ilvl w:val="0"/>
          <w:numId w:val="212"/>
        </w:numPr>
        <w:spacing w:after="0" w:line="312" w:lineRule="auto"/>
        <w:rPr>
          <w:szCs w:val="20"/>
        </w:rPr>
      </w:pPr>
      <w:r w:rsidRPr="00E00B35">
        <w:rPr>
          <w:szCs w:val="20"/>
        </w:rPr>
        <w:t>sieci kanalizacji sanitarnej i deszczowej;</w:t>
      </w:r>
    </w:p>
    <w:p w:rsidR="00CA14AB" w:rsidRPr="00E00B35" w:rsidRDefault="00CA14AB" w:rsidP="00BC64AB">
      <w:pPr>
        <w:pStyle w:val="Akapitzlist"/>
        <w:numPr>
          <w:ilvl w:val="0"/>
          <w:numId w:val="212"/>
        </w:numPr>
        <w:spacing w:after="0" w:line="312" w:lineRule="auto"/>
        <w:rPr>
          <w:szCs w:val="20"/>
        </w:rPr>
      </w:pPr>
      <w:r w:rsidRPr="00E00B35">
        <w:rPr>
          <w:szCs w:val="20"/>
        </w:rPr>
        <w:t>robót ogólnobudowlanych obiektów żłobków wraz z terenem, instalacji sanitarnych, centralnego ogrzewania, wodnych i kanalizacyjnych, gazowych z urządzeniami.</w:t>
      </w:r>
    </w:p>
    <w:p w:rsidR="00CA14AB" w:rsidRPr="00E00B35" w:rsidRDefault="00CA14AB" w:rsidP="00E00B35">
      <w:pPr>
        <w:spacing w:after="0" w:line="312" w:lineRule="auto"/>
        <w:rPr>
          <w:szCs w:val="20"/>
        </w:rPr>
      </w:pPr>
      <w:r w:rsidRPr="00E00B35">
        <w:rPr>
          <w:szCs w:val="20"/>
        </w:rPr>
        <w:t>W celu realizacji zadań statutowych Zespołu realizowano zadania w ramach zabezpieczenia techniczno-eksploatacyjnego Zespołu m. in.:</w:t>
      </w:r>
    </w:p>
    <w:p w:rsidR="00CA14AB" w:rsidRPr="00E00B35" w:rsidRDefault="00CA14AB" w:rsidP="00BC64AB">
      <w:pPr>
        <w:pStyle w:val="Akapitzlist"/>
        <w:numPr>
          <w:ilvl w:val="0"/>
          <w:numId w:val="212"/>
        </w:numPr>
        <w:spacing w:after="0" w:line="312" w:lineRule="auto"/>
        <w:rPr>
          <w:szCs w:val="20"/>
        </w:rPr>
      </w:pPr>
      <w:r w:rsidRPr="00E00B35">
        <w:rPr>
          <w:szCs w:val="20"/>
        </w:rPr>
        <w:t>przeprowadzono coroczne, wymagane przez Prawo budowlane kontrole obiektów budowlanych znajdujących się w zarządzie Zespołu w zakresie instalacji i urządzeń sanitarnych służących ochronie środowiska, instalacji gazowych, elektrycznych, stanu technicznego obiektów i placów zabaw;</w:t>
      </w:r>
    </w:p>
    <w:p w:rsidR="00CA14AB" w:rsidRPr="00E00B35" w:rsidRDefault="00CA14AB" w:rsidP="00BC64AB">
      <w:pPr>
        <w:pStyle w:val="Akapitzlist"/>
        <w:numPr>
          <w:ilvl w:val="0"/>
          <w:numId w:val="212"/>
        </w:numPr>
        <w:spacing w:after="0" w:line="312" w:lineRule="auto"/>
        <w:rPr>
          <w:szCs w:val="20"/>
        </w:rPr>
      </w:pPr>
      <w:r w:rsidRPr="00E00B35">
        <w:rPr>
          <w:szCs w:val="20"/>
        </w:rPr>
        <w:t xml:space="preserve">przeprowadzono okresowe kontrole i czyszczenie przewodów kominowych wentylacyjnych i spalinowych; </w:t>
      </w:r>
    </w:p>
    <w:p w:rsidR="00CA14AB" w:rsidRPr="00E00B35" w:rsidRDefault="00CA14AB" w:rsidP="00BC64AB">
      <w:pPr>
        <w:pStyle w:val="Akapitzlist"/>
        <w:numPr>
          <w:ilvl w:val="0"/>
          <w:numId w:val="212"/>
        </w:numPr>
        <w:spacing w:after="0" w:line="312" w:lineRule="auto"/>
        <w:rPr>
          <w:szCs w:val="20"/>
        </w:rPr>
      </w:pPr>
      <w:r w:rsidRPr="00E00B35">
        <w:rPr>
          <w:szCs w:val="20"/>
        </w:rPr>
        <w:t xml:space="preserve">wykonano prace w zakresie wycinania, pielęgnacji, sadzenia drzew i krzewów oraz prowadzenia dokumentacji dendrologicznej drzew i krzewów znajdujących się na terenach zarządzanych przez Zespół, realizowano decyzje Miejskiego Konserwatora </w:t>
      </w:r>
      <w:r w:rsidRPr="00E00B35">
        <w:rPr>
          <w:szCs w:val="20"/>
        </w:rPr>
        <w:lastRenderedPageBreak/>
        <w:t>Zabytków oraz Marszałka Województwa Dolnośląskiego w zakresie wycinek oraz nasadzeń kompensacyjnych i wnioskowano o wycinkę drzew zagrażających bezpieczeństwu;</w:t>
      </w:r>
    </w:p>
    <w:p w:rsidR="00CA14AB" w:rsidRPr="00E00B35" w:rsidRDefault="00CA14AB" w:rsidP="00BC64AB">
      <w:pPr>
        <w:pStyle w:val="Akapitzlist"/>
        <w:numPr>
          <w:ilvl w:val="0"/>
          <w:numId w:val="212"/>
        </w:numPr>
        <w:spacing w:after="0" w:line="312" w:lineRule="auto"/>
        <w:rPr>
          <w:szCs w:val="20"/>
        </w:rPr>
      </w:pPr>
      <w:r w:rsidRPr="00E00B35">
        <w:rPr>
          <w:szCs w:val="20"/>
        </w:rPr>
        <w:t>sporządzano sprawozdania okresowe w zakresie zrealizowanych wycinek, nasadzeń oraz dostępnych terenów p</w:t>
      </w:r>
      <w:r w:rsidR="00E21DE4" w:rsidRPr="00E00B35">
        <w:rPr>
          <w:szCs w:val="20"/>
        </w:rPr>
        <w:t>od nasadzenia i planów nasadzeń;</w:t>
      </w:r>
    </w:p>
    <w:p w:rsidR="00CA14AB" w:rsidRPr="00E00B35" w:rsidRDefault="00CA14AB" w:rsidP="00BC64AB">
      <w:pPr>
        <w:pStyle w:val="Akapitzlist"/>
        <w:numPr>
          <w:ilvl w:val="0"/>
          <w:numId w:val="212"/>
        </w:numPr>
        <w:spacing w:after="0" w:line="312" w:lineRule="auto"/>
        <w:rPr>
          <w:szCs w:val="20"/>
        </w:rPr>
      </w:pPr>
      <w:r w:rsidRPr="00E00B35">
        <w:rPr>
          <w:szCs w:val="20"/>
        </w:rPr>
        <w:t>zakupiono i zamontowano dodatkowe urządzenia zabawowe na place zabaw Żłobków nr 2, 4, 7, 9, 11, 13 – łącznie: 2 piaskownice zamykane, 4 zjeżdżalnie, 2 domki  z tablicą;</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3970655" cy="2935605"/>
            <wp:effectExtent l="19050" t="0" r="0" b="0"/>
            <wp:docPr id="95" name="Obraz 28" descr="Zjeżdżalnia na placu zab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jeżdżalnia na placu zabaw"/>
                    <pic:cNvPicPr>
                      <a:picLocks noChangeAspect="1" noChangeArrowheads="1"/>
                    </pic:cNvPicPr>
                  </pic:nvPicPr>
                  <pic:blipFill>
                    <a:blip r:embed="rId122" cstate="print"/>
                    <a:srcRect/>
                    <a:stretch>
                      <a:fillRect/>
                    </a:stretch>
                  </pic:blipFill>
                  <pic:spPr bwMode="auto">
                    <a:xfrm>
                      <a:off x="0" y="0"/>
                      <a:ext cx="3970655" cy="2935605"/>
                    </a:xfrm>
                    <a:prstGeom prst="rect">
                      <a:avLst/>
                    </a:prstGeom>
                    <a:solidFill>
                      <a:srgbClr val="FFFFFF"/>
                    </a:solid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Zdjęcie </w:t>
      </w:r>
      <w:r w:rsidR="00573162" w:rsidRPr="00E00B35">
        <w:rPr>
          <w:szCs w:val="20"/>
        </w:rPr>
        <w:fldChar w:fldCharType="begin"/>
      </w:r>
      <w:r w:rsidR="00573162" w:rsidRPr="00E00B35">
        <w:rPr>
          <w:szCs w:val="20"/>
        </w:rPr>
        <w:instrText xml:space="preserve"> SEQ Zdjęcie \* ARABIC </w:instrText>
      </w:r>
      <w:r w:rsidR="00573162" w:rsidRPr="00E00B35">
        <w:rPr>
          <w:szCs w:val="20"/>
        </w:rPr>
        <w:fldChar w:fldCharType="separate"/>
      </w:r>
      <w:r w:rsidR="008C054F">
        <w:rPr>
          <w:noProof/>
          <w:szCs w:val="20"/>
        </w:rPr>
        <w:t>17</w:t>
      </w:r>
      <w:r w:rsidR="00573162" w:rsidRPr="00E00B35">
        <w:rPr>
          <w:szCs w:val="20"/>
        </w:rPr>
        <w:fldChar w:fldCharType="end"/>
      </w:r>
      <w:r w:rsidRPr="00E00B35">
        <w:rPr>
          <w:szCs w:val="20"/>
        </w:rPr>
        <w:t xml:space="preserve"> Plac zabaw</w:t>
      </w:r>
    </w:p>
    <w:p w:rsidR="00CA14AB" w:rsidRPr="00E00B35" w:rsidRDefault="00CA14AB" w:rsidP="00BC64AB">
      <w:pPr>
        <w:pStyle w:val="Akapitzlist"/>
        <w:numPr>
          <w:ilvl w:val="0"/>
          <w:numId w:val="212"/>
        </w:numPr>
        <w:spacing w:after="0" w:line="312" w:lineRule="auto"/>
        <w:rPr>
          <w:szCs w:val="20"/>
        </w:rPr>
      </w:pPr>
      <w:r w:rsidRPr="00E00B35">
        <w:rPr>
          <w:szCs w:val="20"/>
        </w:rPr>
        <w:t>zamontowano i uruchomiono szlaban ograniczający dostęp do parkingu przy ul. Fabrycznej 15 dla uporządkowania ruchu i podniesienia bezpieczeństwa ruchu na terenie należącym do Wrocławskiego Zespołu Żłobków.</w:t>
      </w:r>
    </w:p>
    <w:p w:rsidR="005E6C69" w:rsidRPr="00E00B35" w:rsidRDefault="005E6C69" w:rsidP="00E00B35">
      <w:pPr>
        <w:pStyle w:val="Nagwek5"/>
        <w:rPr>
          <w:szCs w:val="20"/>
        </w:rPr>
      </w:pPr>
      <w:bookmarkStart w:id="333" w:name="_Toc72352411"/>
      <w:bookmarkStart w:id="334" w:name="_Toc72352845"/>
    </w:p>
    <w:p w:rsidR="00CA14AB" w:rsidRPr="00E00B35" w:rsidRDefault="00CA14AB" w:rsidP="00E00B35">
      <w:pPr>
        <w:pStyle w:val="Nagwek5"/>
        <w:rPr>
          <w:szCs w:val="20"/>
        </w:rPr>
      </w:pPr>
      <w:r w:rsidRPr="00E00B35">
        <w:rPr>
          <w:szCs w:val="20"/>
        </w:rPr>
        <w:t>WYKONANIE BUDŻETU</w:t>
      </w:r>
      <w:bookmarkEnd w:id="333"/>
      <w:bookmarkEnd w:id="334"/>
    </w:p>
    <w:p w:rsidR="00CA14AB" w:rsidRPr="00E00B35" w:rsidRDefault="00CA14AB" w:rsidP="00E00B35">
      <w:pPr>
        <w:spacing w:after="0" w:line="312" w:lineRule="auto"/>
        <w:rPr>
          <w:szCs w:val="20"/>
        </w:rPr>
      </w:pPr>
      <w:r w:rsidRPr="00E00B35">
        <w:rPr>
          <w:szCs w:val="20"/>
        </w:rPr>
        <w:t>Rozdział  85505  –  Żłobki</w:t>
      </w:r>
    </w:p>
    <w:p w:rsidR="00CA14AB" w:rsidRPr="00E00B35" w:rsidRDefault="00CA14AB" w:rsidP="00E00B35">
      <w:pPr>
        <w:spacing w:after="0" w:line="312" w:lineRule="auto"/>
        <w:rPr>
          <w:szCs w:val="20"/>
        </w:rPr>
      </w:pPr>
      <w:r w:rsidRPr="00E00B35">
        <w:rPr>
          <w:szCs w:val="20"/>
        </w:rPr>
        <w:t>Zad. A.4.21 Wpływy z opłat za żłobek</w:t>
      </w:r>
    </w:p>
    <w:p w:rsidR="00CA14AB" w:rsidRPr="00E00B35" w:rsidRDefault="00CA14AB" w:rsidP="00E00B35">
      <w:pPr>
        <w:spacing w:after="0" w:line="312" w:lineRule="auto"/>
        <w:rPr>
          <w:szCs w:val="20"/>
        </w:rPr>
      </w:pPr>
      <w:r w:rsidRPr="00E00B35">
        <w:rPr>
          <w:szCs w:val="20"/>
        </w:rPr>
        <w:t>§ 0830 – Wpływy z usług</w:t>
      </w:r>
    </w:p>
    <w:p w:rsidR="00CA14AB" w:rsidRPr="00E00B35" w:rsidRDefault="00CA14AB" w:rsidP="00E00B35">
      <w:pPr>
        <w:spacing w:after="0" w:line="312" w:lineRule="auto"/>
        <w:rPr>
          <w:szCs w:val="20"/>
        </w:rPr>
      </w:pPr>
      <w:r w:rsidRPr="00E00B35">
        <w:rPr>
          <w:szCs w:val="20"/>
        </w:rPr>
        <w:t>Plan: 5 313 300,00</w:t>
      </w:r>
    </w:p>
    <w:p w:rsidR="00CA14AB" w:rsidRPr="00E00B35" w:rsidRDefault="00CA14AB" w:rsidP="00E00B35">
      <w:pPr>
        <w:spacing w:after="0" w:line="312" w:lineRule="auto"/>
        <w:rPr>
          <w:szCs w:val="20"/>
        </w:rPr>
      </w:pPr>
      <w:r w:rsidRPr="00E00B35">
        <w:rPr>
          <w:szCs w:val="20"/>
        </w:rPr>
        <w:t>Wykonanie:</w:t>
      </w:r>
      <w:r w:rsidR="00E21DE4" w:rsidRPr="00E00B35">
        <w:rPr>
          <w:szCs w:val="20"/>
        </w:rPr>
        <w:t xml:space="preserve"> </w:t>
      </w:r>
      <w:r w:rsidRPr="00E00B35">
        <w:rPr>
          <w:szCs w:val="20"/>
        </w:rPr>
        <w:t>6 543 896,71</w:t>
      </w:r>
      <w:r w:rsidR="00E21DE4" w:rsidRPr="00E00B35">
        <w:rPr>
          <w:szCs w:val="20"/>
        </w:rPr>
        <w:t xml:space="preserve"> -</w:t>
      </w:r>
      <w:r w:rsidRPr="00E00B35">
        <w:rPr>
          <w:szCs w:val="20"/>
        </w:rPr>
        <w:t xml:space="preserve"> 123,16%</w:t>
      </w:r>
    </w:p>
    <w:p w:rsidR="00CA14AB" w:rsidRPr="00E00B35" w:rsidRDefault="00CA14AB" w:rsidP="00E00B35">
      <w:pPr>
        <w:spacing w:after="0" w:line="312" w:lineRule="auto"/>
        <w:rPr>
          <w:szCs w:val="20"/>
        </w:rPr>
      </w:pPr>
      <w:r w:rsidRPr="00E00B35">
        <w:rPr>
          <w:szCs w:val="20"/>
        </w:rPr>
        <w:t>Z uwagi na stan epidemii w miesiącu wrześniu 2020 r. zmniejszono plan dochodów o kwotę 4 000 000,00 zł.</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Zad. A.2.5.13 § 0640 Wpływy z tytułu kosztów egzekucyjnych, opłaty komorniczej i kosztów upomnień</w:t>
      </w:r>
    </w:p>
    <w:p w:rsidR="00CA14AB" w:rsidRPr="00E00B35" w:rsidRDefault="00CA14AB" w:rsidP="00E00B35">
      <w:pPr>
        <w:spacing w:after="0" w:line="312" w:lineRule="auto"/>
        <w:rPr>
          <w:szCs w:val="20"/>
        </w:rPr>
      </w:pPr>
      <w:r w:rsidRPr="00E00B35">
        <w:rPr>
          <w:szCs w:val="20"/>
        </w:rPr>
        <w:t>Plan:  0,00</w:t>
      </w:r>
    </w:p>
    <w:p w:rsidR="00CA14AB" w:rsidRPr="00E00B35" w:rsidRDefault="00CA14AB" w:rsidP="00E00B35">
      <w:pPr>
        <w:spacing w:after="0" w:line="312" w:lineRule="auto"/>
        <w:rPr>
          <w:szCs w:val="20"/>
        </w:rPr>
      </w:pPr>
      <w:r w:rsidRPr="00E00B35">
        <w:rPr>
          <w:szCs w:val="20"/>
        </w:rPr>
        <w:t>Wykonanie:  928,40</w:t>
      </w:r>
    </w:p>
    <w:p w:rsidR="00CA14AB" w:rsidRPr="00E00B35" w:rsidRDefault="00CA14AB" w:rsidP="00E00B35">
      <w:pPr>
        <w:spacing w:after="0" w:line="312" w:lineRule="auto"/>
        <w:rPr>
          <w:szCs w:val="20"/>
        </w:rPr>
      </w:pPr>
      <w:r w:rsidRPr="00E00B35">
        <w:rPr>
          <w:szCs w:val="20"/>
        </w:rPr>
        <w:t>Zwrot kosztów postępowania komorniczego, adwokackiego oraz zastępstwa procesowego.</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Zad. A.5.4.8 § 0920 Pozostałe odsetki</w:t>
      </w:r>
    </w:p>
    <w:p w:rsidR="00CA14AB" w:rsidRPr="00E00B35" w:rsidRDefault="00CA14AB" w:rsidP="00E00B35">
      <w:pPr>
        <w:spacing w:after="0" w:line="312" w:lineRule="auto"/>
        <w:rPr>
          <w:szCs w:val="20"/>
        </w:rPr>
      </w:pPr>
      <w:r w:rsidRPr="00E00B35">
        <w:rPr>
          <w:szCs w:val="20"/>
        </w:rPr>
        <w:t>Plan: 0,00</w:t>
      </w:r>
    </w:p>
    <w:p w:rsidR="00CA14AB" w:rsidRPr="00E00B35" w:rsidRDefault="00CA14AB" w:rsidP="00E00B35">
      <w:pPr>
        <w:spacing w:after="0" w:line="312" w:lineRule="auto"/>
        <w:rPr>
          <w:szCs w:val="20"/>
        </w:rPr>
      </w:pPr>
      <w:r w:rsidRPr="00E00B35">
        <w:rPr>
          <w:szCs w:val="20"/>
        </w:rPr>
        <w:t>Wykonanie:  3 096,16</w:t>
      </w:r>
    </w:p>
    <w:p w:rsidR="00CA14AB" w:rsidRPr="00E00B35" w:rsidRDefault="00CA14AB" w:rsidP="00E00B35">
      <w:pPr>
        <w:spacing w:after="0" w:line="312" w:lineRule="auto"/>
        <w:rPr>
          <w:szCs w:val="20"/>
        </w:rPr>
      </w:pPr>
      <w:r w:rsidRPr="00E00B35">
        <w:rPr>
          <w:szCs w:val="20"/>
        </w:rPr>
        <w:t>Odsetki bankowe od środków na rachunkach bankowych oraz z tytułu opóźnienia                    w płatnościach za usługę żłobkową.</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Zad. A.5.6.36 § 0940 Wpływy z rozliczeń/zwrotów z lat ubiegłych</w:t>
      </w:r>
    </w:p>
    <w:p w:rsidR="00CA14AB" w:rsidRPr="00E00B35" w:rsidRDefault="00E21DE4" w:rsidP="00E00B35">
      <w:pPr>
        <w:spacing w:after="0" w:line="312" w:lineRule="auto"/>
        <w:rPr>
          <w:szCs w:val="20"/>
        </w:rPr>
      </w:pPr>
      <w:r w:rsidRPr="00E00B35">
        <w:rPr>
          <w:szCs w:val="20"/>
        </w:rPr>
        <w:t xml:space="preserve">Plan: </w:t>
      </w:r>
      <w:r w:rsidR="00CA14AB" w:rsidRPr="00E00B35">
        <w:rPr>
          <w:szCs w:val="20"/>
        </w:rPr>
        <w:t>0,00</w:t>
      </w:r>
    </w:p>
    <w:p w:rsidR="00CA14AB" w:rsidRPr="00E00B35" w:rsidRDefault="00CA14AB" w:rsidP="00E00B35">
      <w:pPr>
        <w:spacing w:after="0" w:line="312" w:lineRule="auto"/>
        <w:rPr>
          <w:szCs w:val="20"/>
        </w:rPr>
      </w:pPr>
      <w:r w:rsidRPr="00E00B35">
        <w:rPr>
          <w:szCs w:val="20"/>
        </w:rPr>
        <w:t>Wykonanie: 5 229,73</w:t>
      </w:r>
    </w:p>
    <w:p w:rsidR="00CA14AB" w:rsidRPr="00E00B35" w:rsidRDefault="00CA14AB" w:rsidP="00E00B35">
      <w:pPr>
        <w:spacing w:after="0" w:line="312" w:lineRule="auto"/>
        <w:rPr>
          <w:szCs w:val="20"/>
        </w:rPr>
      </w:pPr>
      <w:r w:rsidRPr="00E00B35">
        <w:rPr>
          <w:szCs w:val="20"/>
        </w:rPr>
        <w:t>Wpływy uzyskano z tytułu:</w:t>
      </w:r>
    </w:p>
    <w:p w:rsidR="00CA14AB" w:rsidRPr="00E00B35" w:rsidRDefault="00CA14AB" w:rsidP="00BC64AB">
      <w:pPr>
        <w:pStyle w:val="Akapitzlist"/>
        <w:numPr>
          <w:ilvl w:val="0"/>
          <w:numId w:val="212"/>
        </w:numPr>
        <w:spacing w:after="0" w:line="312" w:lineRule="auto"/>
        <w:rPr>
          <w:szCs w:val="20"/>
        </w:rPr>
      </w:pPr>
      <w:r w:rsidRPr="00E00B35">
        <w:rPr>
          <w:szCs w:val="20"/>
        </w:rPr>
        <w:t>zwrotu za kursy od byłych pracowników</w:t>
      </w:r>
    </w:p>
    <w:p w:rsidR="00CA14AB" w:rsidRPr="00E00B35" w:rsidRDefault="00CA14AB" w:rsidP="00BC64AB">
      <w:pPr>
        <w:pStyle w:val="Akapitzlist"/>
        <w:numPr>
          <w:ilvl w:val="0"/>
          <w:numId w:val="212"/>
        </w:numPr>
        <w:spacing w:after="0" w:line="312" w:lineRule="auto"/>
        <w:rPr>
          <w:szCs w:val="20"/>
        </w:rPr>
      </w:pPr>
      <w:r w:rsidRPr="00E00B35">
        <w:rPr>
          <w:szCs w:val="20"/>
        </w:rPr>
        <w:t>zwrotu składek ZUS</w:t>
      </w:r>
    </w:p>
    <w:p w:rsidR="00CA14AB" w:rsidRPr="00E00B35" w:rsidRDefault="00CA14AB" w:rsidP="00BC64AB">
      <w:pPr>
        <w:pStyle w:val="Akapitzlist"/>
        <w:numPr>
          <w:ilvl w:val="0"/>
          <w:numId w:val="212"/>
        </w:numPr>
        <w:spacing w:after="0" w:line="312" w:lineRule="auto"/>
        <w:rPr>
          <w:szCs w:val="20"/>
        </w:rPr>
      </w:pPr>
      <w:r w:rsidRPr="00E00B35">
        <w:rPr>
          <w:szCs w:val="20"/>
        </w:rPr>
        <w:t>wpływu z faktur korygujących wystawionych przez Tauron i Fortum</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Zad. A.5.6.37 § 0950 Wpływy z tytułu kar i odszkodowań wynikających z umów </w:t>
      </w:r>
    </w:p>
    <w:p w:rsidR="00CA14AB" w:rsidRPr="00E00B35" w:rsidRDefault="00CA14AB" w:rsidP="00E00B35">
      <w:pPr>
        <w:spacing w:after="0" w:line="312" w:lineRule="auto"/>
        <w:rPr>
          <w:szCs w:val="20"/>
        </w:rPr>
      </w:pPr>
      <w:r w:rsidRPr="00E00B35">
        <w:rPr>
          <w:szCs w:val="20"/>
        </w:rPr>
        <w:t>Plan:  0,00</w:t>
      </w:r>
    </w:p>
    <w:p w:rsidR="00CA14AB" w:rsidRPr="00E00B35" w:rsidRDefault="00CA14AB" w:rsidP="00E00B35">
      <w:pPr>
        <w:spacing w:after="0" w:line="312" w:lineRule="auto"/>
        <w:rPr>
          <w:szCs w:val="20"/>
        </w:rPr>
      </w:pPr>
      <w:r w:rsidRPr="00E00B35">
        <w:rPr>
          <w:szCs w:val="20"/>
        </w:rPr>
        <w:t>Wykonanie:  9 971,99</w:t>
      </w:r>
    </w:p>
    <w:p w:rsidR="00CA14AB" w:rsidRPr="00E00B35" w:rsidRDefault="00CA14AB" w:rsidP="00E00B35">
      <w:pPr>
        <w:spacing w:after="0" w:line="312" w:lineRule="auto"/>
        <w:rPr>
          <w:szCs w:val="20"/>
        </w:rPr>
      </w:pPr>
      <w:r w:rsidRPr="00E00B35">
        <w:rPr>
          <w:szCs w:val="20"/>
        </w:rPr>
        <w:t>Wpływy uzyskano z tytułu niewykonania lub nienależytego wykonania umowy.</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Zad. A.5.6.10 § 0970 Wpływy z różnych dochodów</w:t>
      </w:r>
    </w:p>
    <w:p w:rsidR="00CA14AB" w:rsidRPr="00E00B35" w:rsidRDefault="00CA14AB" w:rsidP="00E00B35">
      <w:pPr>
        <w:spacing w:after="0" w:line="312" w:lineRule="auto"/>
        <w:rPr>
          <w:szCs w:val="20"/>
        </w:rPr>
      </w:pPr>
      <w:r w:rsidRPr="00E00B35">
        <w:rPr>
          <w:szCs w:val="20"/>
        </w:rPr>
        <w:t>Plan:  0,00</w:t>
      </w:r>
    </w:p>
    <w:p w:rsidR="00CA14AB" w:rsidRPr="00E00B35" w:rsidRDefault="00CA14AB" w:rsidP="00E00B35">
      <w:pPr>
        <w:spacing w:after="0" w:line="312" w:lineRule="auto"/>
        <w:rPr>
          <w:szCs w:val="20"/>
        </w:rPr>
      </w:pPr>
      <w:r w:rsidRPr="00E00B35">
        <w:rPr>
          <w:szCs w:val="20"/>
        </w:rPr>
        <w:t>Wykonanie:  18 353,18</w:t>
      </w:r>
    </w:p>
    <w:p w:rsidR="00CA14AB" w:rsidRPr="00E00B35" w:rsidRDefault="00CA14AB" w:rsidP="00E00B35">
      <w:pPr>
        <w:spacing w:after="0" w:line="312" w:lineRule="auto"/>
        <w:rPr>
          <w:szCs w:val="20"/>
        </w:rPr>
      </w:pPr>
      <w:r w:rsidRPr="00E00B35">
        <w:rPr>
          <w:szCs w:val="20"/>
        </w:rPr>
        <w:t>Wpływy uzyskano z tytułu:</w:t>
      </w:r>
    </w:p>
    <w:p w:rsidR="00CA14AB" w:rsidRPr="00E00B35" w:rsidRDefault="00CA14AB" w:rsidP="00BC64AB">
      <w:pPr>
        <w:pStyle w:val="Akapitzlist"/>
        <w:numPr>
          <w:ilvl w:val="0"/>
          <w:numId w:val="213"/>
        </w:numPr>
        <w:spacing w:after="0" w:line="312" w:lineRule="auto"/>
        <w:rPr>
          <w:szCs w:val="20"/>
        </w:rPr>
      </w:pPr>
      <w:r w:rsidRPr="00E00B35">
        <w:rPr>
          <w:szCs w:val="20"/>
        </w:rPr>
        <w:t>wynagrodzenia płatnika składek,</w:t>
      </w:r>
    </w:p>
    <w:p w:rsidR="00CA14AB" w:rsidRPr="00E00B35" w:rsidRDefault="00CA14AB" w:rsidP="00BC64AB">
      <w:pPr>
        <w:pStyle w:val="Akapitzlist"/>
        <w:numPr>
          <w:ilvl w:val="0"/>
          <w:numId w:val="213"/>
        </w:numPr>
        <w:spacing w:after="0" w:line="312" w:lineRule="auto"/>
        <w:rPr>
          <w:szCs w:val="20"/>
        </w:rPr>
      </w:pPr>
      <w:r w:rsidRPr="00E00B35">
        <w:rPr>
          <w:szCs w:val="20"/>
        </w:rPr>
        <w:t xml:space="preserve">sprzedaży złomu po zlikwidowanych składnikach majątkowych, </w:t>
      </w:r>
    </w:p>
    <w:p w:rsidR="00CA14AB" w:rsidRPr="00E00B35" w:rsidRDefault="00CA14AB" w:rsidP="00BC64AB">
      <w:pPr>
        <w:pStyle w:val="Akapitzlist"/>
        <w:numPr>
          <w:ilvl w:val="0"/>
          <w:numId w:val="213"/>
        </w:numPr>
        <w:spacing w:after="0" w:line="312" w:lineRule="auto"/>
        <w:rPr>
          <w:szCs w:val="20"/>
        </w:rPr>
      </w:pPr>
      <w:r w:rsidRPr="00E00B35">
        <w:rPr>
          <w:szCs w:val="20"/>
        </w:rPr>
        <w:t>opłaty za wodę i ścieki,</w:t>
      </w:r>
    </w:p>
    <w:p w:rsidR="00CA14AB" w:rsidRPr="00E00B35" w:rsidRDefault="00CA14AB" w:rsidP="00BC64AB">
      <w:pPr>
        <w:pStyle w:val="Akapitzlist"/>
        <w:numPr>
          <w:ilvl w:val="0"/>
          <w:numId w:val="213"/>
        </w:numPr>
        <w:spacing w:after="0" w:line="312" w:lineRule="auto"/>
        <w:rPr>
          <w:szCs w:val="20"/>
        </w:rPr>
      </w:pPr>
      <w:r w:rsidRPr="00E00B35">
        <w:rPr>
          <w:szCs w:val="20"/>
        </w:rPr>
        <w:t>opłaty za gaz,</w:t>
      </w:r>
    </w:p>
    <w:p w:rsidR="00CA14AB" w:rsidRPr="00E00B35" w:rsidRDefault="00CA14AB" w:rsidP="00BC64AB">
      <w:pPr>
        <w:pStyle w:val="Akapitzlist"/>
        <w:numPr>
          <w:ilvl w:val="0"/>
          <w:numId w:val="213"/>
        </w:numPr>
        <w:spacing w:after="0" w:line="312" w:lineRule="auto"/>
        <w:rPr>
          <w:szCs w:val="20"/>
        </w:rPr>
      </w:pPr>
      <w:r w:rsidRPr="00E00B35">
        <w:rPr>
          <w:szCs w:val="20"/>
        </w:rPr>
        <w:t>zwrot opłat za kurs opiekunek.</w:t>
      </w:r>
    </w:p>
    <w:p w:rsidR="00E21DE4" w:rsidRPr="00E00B35" w:rsidRDefault="00E21DE4" w:rsidP="00E00B35">
      <w:pPr>
        <w:pStyle w:val="Akapitzlist"/>
        <w:spacing w:after="0" w:line="312" w:lineRule="auto"/>
        <w:ind w:left="360"/>
        <w:rPr>
          <w:szCs w:val="20"/>
        </w:rPr>
      </w:pPr>
    </w:p>
    <w:p w:rsidR="00CA14AB" w:rsidRPr="00E00B35" w:rsidRDefault="00CA14AB" w:rsidP="00E00B35">
      <w:pPr>
        <w:spacing w:after="0" w:line="312" w:lineRule="auto"/>
        <w:rPr>
          <w:szCs w:val="20"/>
        </w:rPr>
      </w:pPr>
      <w:r w:rsidRPr="00E00B35">
        <w:rPr>
          <w:szCs w:val="20"/>
        </w:rPr>
        <w:t xml:space="preserve">Zadanie WZZ/B/01 i zadania pośrednie  - Zapewnienie opieki nad dziećmi w wieku do </w:t>
      </w:r>
    </w:p>
    <w:p w:rsidR="00CA14AB" w:rsidRPr="00E00B35" w:rsidRDefault="00CA14AB" w:rsidP="00E00B35">
      <w:pPr>
        <w:spacing w:after="0" w:line="312" w:lineRule="auto"/>
        <w:rPr>
          <w:szCs w:val="20"/>
        </w:rPr>
      </w:pPr>
      <w:r w:rsidRPr="00E00B35">
        <w:rPr>
          <w:szCs w:val="20"/>
        </w:rPr>
        <w:t xml:space="preserve">lat 3 </w:t>
      </w:r>
    </w:p>
    <w:p w:rsidR="00CA14AB" w:rsidRPr="00E00B35" w:rsidRDefault="00CA14AB" w:rsidP="00E00B35">
      <w:pPr>
        <w:spacing w:after="0" w:line="312" w:lineRule="auto"/>
        <w:rPr>
          <w:szCs w:val="20"/>
        </w:rPr>
      </w:pPr>
      <w:r w:rsidRPr="00E00B35">
        <w:rPr>
          <w:szCs w:val="20"/>
        </w:rPr>
        <w:t>Plan ogółem: 43 813 754,00</w:t>
      </w:r>
    </w:p>
    <w:p w:rsidR="00CA14AB" w:rsidRPr="00E00B35" w:rsidRDefault="00CA14AB" w:rsidP="00E00B35">
      <w:pPr>
        <w:spacing w:after="0" w:line="312" w:lineRule="auto"/>
        <w:rPr>
          <w:szCs w:val="20"/>
        </w:rPr>
      </w:pPr>
      <w:r w:rsidRPr="00E00B35">
        <w:rPr>
          <w:szCs w:val="20"/>
        </w:rPr>
        <w:t>Wykonanie:  42 644 794,47</w:t>
      </w:r>
      <w:r w:rsidR="00E21DE4" w:rsidRPr="00E00B35">
        <w:rPr>
          <w:szCs w:val="20"/>
        </w:rPr>
        <w:t xml:space="preserve"> - </w:t>
      </w:r>
      <w:r w:rsidRPr="00E00B35">
        <w:rPr>
          <w:szCs w:val="20"/>
        </w:rPr>
        <w:t>97,33 %</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Wydatki osobowe § 4010, 4040, 4110, 4120, 4170, 4019, 4017, 4117, 4127, 4177</w:t>
      </w:r>
    </w:p>
    <w:p w:rsidR="00CA14AB" w:rsidRPr="00E00B35" w:rsidRDefault="00CA14AB" w:rsidP="00E00B35">
      <w:pPr>
        <w:spacing w:after="0" w:line="312" w:lineRule="auto"/>
        <w:rPr>
          <w:szCs w:val="20"/>
        </w:rPr>
      </w:pPr>
      <w:r w:rsidRPr="00E00B35">
        <w:rPr>
          <w:szCs w:val="20"/>
        </w:rPr>
        <w:t xml:space="preserve">Wydatki osobowe w kwocie  34 120 247,44  zł stanowią 81,79% wydatków jednostki. </w:t>
      </w:r>
    </w:p>
    <w:p w:rsidR="00E21DE4" w:rsidRPr="00E00B35" w:rsidRDefault="00CA14AB" w:rsidP="00E00B35">
      <w:pPr>
        <w:spacing w:after="0" w:line="312" w:lineRule="auto"/>
        <w:rPr>
          <w:szCs w:val="20"/>
        </w:rPr>
      </w:pPr>
      <w:r w:rsidRPr="00E00B35">
        <w:rPr>
          <w:szCs w:val="20"/>
        </w:rPr>
        <w:t>Wydatki osobowe zrealizowano w 99,15%</w:t>
      </w:r>
      <w:r w:rsidR="00E21DE4" w:rsidRPr="00E00B35">
        <w:rPr>
          <w:szCs w:val="20"/>
        </w:rPr>
        <w:t xml:space="preserve"> </w:t>
      </w:r>
    </w:p>
    <w:p w:rsidR="00CA14AB" w:rsidRPr="00E00B35" w:rsidRDefault="00CA14AB" w:rsidP="00E00B35">
      <w:pPr>
        <w:spacing w:after="0" w:line="312" w:lineRule="auto"/>
        <w:rPr>
          <w:szCs w:val="20"/>
        </w:rPr>
      </w:pPr>
      <w:r w:rsidRPr="00E00B35">
        <w:rPr>
          <w:szCs w:val="20"/>
        </w:rPr>
        <w:t>Niewykonanie wynikło z powodu absencji chorobowej pracowników.</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Świadczenia na rzecz osób fizycznych § 3020</w:t>
      </w:r>
    </w:p>
    <w:p w:rsidR="00CA14AB" w:rsidRPr="00E00B35" w:rsidRDefault="00CA14AB" w:rsidP="00E00B35">
      <w:pPr>
        <w:spacing w:after="0" w:line="312" w:lineRule="auto"/>
        <w:rPr>
          <w:szCs w:val="20"/>
        </w:rPr>
      </w:pPr>
      <w:r w:rsidRPr="00E00B35">
        <w:rPr>
          <w:szCs w:val="20"/>
        </w:rPr>
        <w:t>Wydatki na świadczenia na rzecz osób fizycznych w kwocie 158 233,95 stanowią 0,38% wydatków jednostki.</w:t>
      </w:r>
    </w:p>
    <w:p w:rsidR="00CA14AB" w:rsidRPr="00E00B35" w:rsidRDefault="00CA14AB" w:rsidP="00E00B35">
      <w:pPr>
        <w:spacing w:after="0" w:line="312" w:lineRule="auto"/>
        <w:rPr>
          <w:szCs w:val="20"/>
        </w:rPr>
      </w:pPr>
      <w:r w:rsidRPr="00E00B35">
        <w:rPr>
          <w:szCs w:val="20"/>
        </w:rPr>
        <w:lastRenderedPageBreak/>
        <w:t>Świadczenia na rzecz osób fizycznych wykonano w 88,39%</w:t>
      </w:r>
    </w:p>
    <w:p w:rsidR="00CA14AB" w:rsidRPr="00E00B35" w:rsidRDefault="00CA14AB" w:rsidP="00E00B35">
      <w:pPr>
        <w:spacing w:after="0" w:line="312" w:lineRule="auto"/>
        <w:rPr>
          <w:szCs w:val="20"/>
        </w:rPr>
      </w:pPr>
      <w:r w:rsidRPr="00E00B35">
        <w:rPr>
          <w:szCs w:val="20"/>
        </w:rPr>
        <w:t xml:space="preserve">Niewykonanie planu wynikło z absencji chorobowej pracowników, którym przysługują ekwiwalenty za pranie i używanie własnej odzieży. </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Pozostałe wydatki bieżące </w:t>
      </w:r>
    </w:p>
    <w:p w:rsidR="00CA14AB" w:rsidRPr="00E00B35" w:rsidRDefault="00CA14AB" w:rsidP="00E00B35">
      <w:pPr>
        <w:spacing w:after="0" w:line="312" w:lineRule="auto"/>
        <w:rPr>
          <w:szCs w:val="20"/>
        </w:rPr>
      </w:pPr>
      <w:r w:rsidRPr="00E00B35">
        <w:rPr>
          <w:szCs w:val="20"/>
        </w:rPr>
        <w:t>Pozostałe wydatki bieżące w kwocie 7 437 259,00 stanowią 17,83% wydatków ogółem. Pozostałe wydatki bieżące zrealizowano w 89,82%</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Przyczyny różnic pomiędzy budżetem zaplanowanym a wykonanym:</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Zakup środków żywności</w:t>
      </w:r>
    </w:p>
    <w:p w:rsidR="00CA14AB" w:rsidRPr="00E00B35" w:rsidRDefault="00CA14AB" w:rsidP="00E00B35">
      <w:pPr>
        <w:spacing w:after="0" w:line="312" w:lineRule="auto"/>
        <w:rPr>
          <w:szCs w:val="20"/>
        </w:rPr>
      </w:pPr>
      <w:r w:rsidRPr="00E00B35">
        <w:rPr>
          <w:szCs w:val="20"/>
        </w:rPr>
        <w:t>Plan wykonano w 84,77% - zamknięcie żłobków w miesiącach od marca do maja        2020 r. oraz zmniejszenie ilości dzieci uczęszczających do placówek po zniesieniu obostrzeń związanych z epidemią COVID-19 co znacząco wpłynęło na zmniejszenie realizacji zakupów żywności.</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Zakup materiałów i wyposażenia </w:t>
      </w:r>
    </w:p>
    <w:p w:rsidR="00CA14AB" w:rsidRPr="00E00B35" w:rsidRDefault="00CA14AB" w:rsidP="00E00B35">
      <w:pPr>
        <w:spacing w:after="0" w:line="312" w:lineRule="auto"/>
        <w:rPr>
          <w:szCs w:val="20"/>
        </w:rPr>
      </w:pPr>
      <w:r w:rsidRPr="00E00B35">
        <w:rPr>
          <w:szCs w:val="20"/>
        </w:rPr>
        <w:t>Plan wykonano w 92,75% - wynika to z otrzymania niższych cen od wykonawców, których wyłoniono w trakcie procedur przetargowych oraz zakupy materiałów                   i wyposażenia nie były realizowane z uwagi na ograniczenie działalności żłobków oraz brakiem możliwości zrealizowania dostaw lub usług przez firmy zewnętrzne.</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Energia</w:t>
      </w:r>
    </w:p>
    <w:p w:rsidR="00CA14AB" w:rsidRPr="00E00B35" w:rsidRDefault="00CA14AB" w:rsidP="00E00B35">
      <w:pPr>
        <w:spacing w:after="0" w:line="312" w:lineRule="auto"/>
        <w:rPr>
          <w:szCs w:val="20"/>
        </w:rPr>
      </w:pPr>
      <w:r w:rsidRPr="00E00B35">
        <w:rPr>
          <w:szCs w:val="20"/>
        </w:rPr>
        <w:t>Plan wykonano w 86,61% - na wartość wykonania wpłynęły korzystne temperatury         w okresie jesienno-zimowym, oraz przerwa w funkcjonowaniu żłobków która spowodowała mniejsze zużycie energii cieplnej na ogrzanie budynków. Jednocześnie zabezpieczono środki na zapłatę faktur za miesiąc grudzień, które dostawcy wystawili       i dostarczyli w styczniu 2021 r. co spowodowało niemożliwość uregulowania płatności dotyczących 2020 roku.</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Zakup usług pozostałych</w:t>
      </w:r>
    </w:p>
    <w:p w:rsidR="00CA14AB" w:rsidRPr="00E00B35" w:rsidRDefault="00CA14AB" w:rsidP="00E00B35">
      <w:pPr>
        <w:spacing w:after="0" w:line="312" w:lineRule="auto"/>
        <w:rPr>
          <w:szCs w:val="20"/>
        </w:rPr>
      </w:pPr>
      <w:r w:rsidRPr="00E00B35">
        <w:rPr>
          <w:szCs w:val="20"/>
        </w:rPr>
        <w:t xml:space="preserve">Plan wykonano w 97,54% - wynika to z otrzymania niższych cen od wykonawców, których wyłoniono w trakcie procedur przetargowych (przetargi nieograniczone). </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Zakup usług remontowych</w:t>
      </w:r>
    </w:p>
    <w:p w:rsidR="00CA14AB" w:rsidRPr="00E00B35" w:rsidRDefault="00CA14AB" w:rsidP="00E00B35">
      <w:pPr>
        <w:spacing w:after="0" w:line="312" w:lineRule="auto"/>
        <w:rPr>
          <w:szCs w:val="20"/>
        </w:rPr>
      </w:pPr>
      <w:r w:rsidRPr="00E00B35">
        <w:rPr>
          <w:szCs w:val="20"/>
        </w:rPr>
        <w:t>Plan wykonano w 97,24% - wynika to z otrzymania niższych cen od wykonawców, których wyłoniono w trakcie procedur przetargowych.</w:t>
      </w:r>
    </w:p>
    <w:p w:rsidR="00CA14AB" w:rsidRPr="00E00B35" w:rsidRDefault="00CA14AB" w:rsidP="00E00B35">
      <w:pPr>
        <w:spacing w:after="0" w:line="312" w:lineRule="auto"/>
        <w:rPr>
          <w:szCs w:val="20"/>
        </w:rPr>
      </w:pPr>
      <w:r w:rsidRPr="00E00B35">
        <w:rPr>
          <w:szCs w:val="20"/>
        </w:rPr>
        <w:t>Szkolenia pracowników niebędących członkami korpusu służby cywilnej</w:t>
      </w:r>
    </w:p>
    <w:p w:rsidR="00CA14AB" w:rsidRPr="00E00B35" w:rsidRDefault="00CA14AB" w:rsidP="00E00B35">
      <w:pPr>
        <w:spacing w:after="0" w:line="312" w:lineRule="auto"/>
        <w:rPr>
          <w:szCs w:val="20"/>
        </w:rPr>
      </w:pPr>
      <w:r w:rsidRPr="00E00B35">
        <w:rPr>
          <w:szCs w:val="20"/>
        </w:rPr>
        <w:t>Plan wykonano w 81,77%</w:t>
      </w:r>
    </w:p>
    <w:p w:rsidR="00CA14AB" w:rsidRPr="00E00B35" w:rsidRDefault="00CA14AB" w:rsidP="00E00B35">
      <w:pPr>
        <w:spacing w:after="0" w:line="312" w:lineRule="auto"/>
        <w:rPr>
          <w:szCs w:val="20"/>
        </w:rPr>
      </w:pPr>
      <w:r w:rsidRPr="00E00B35">
        <w:rPr>
          <w:szCs w:val="20"/>
        </w:rPr>
        <w:t>Szkolenia nie były realizowane w związku z pandemią.</w:t>
      </w:r>
    </w:p>
    <w:p w:rsidR="00E21DE4" w:rsidRPr="00E00B35" w:rsidRDefault="00CA14AB" w:rsidP="00E00B35">
      <w:pPr>
        <w:spacing w:after="0" w:line="312" w:lineRule="auto"/>
        <w:rPr>
          <w:szCs w:val="20"/>
        </w:rPr>
      </w:pPr>
      <w:r w:rsidRPr="00E00B35">
        <w:rPr>
          <w:szCs w:val="20"/>
        </w:rPr>
        <w:t xml:space="preserve">Opłaty z tytułu zakupu usług telekomunikacyjnych telefonii stacjonarnej i do sieci </w:t>
      </w:r>
    </w:p>
    <w:p w:rsidR="00CA14AB" w:rsidRPr="00E00B35" w:rsidRDefault="00CA14AB" w:rsidP="00E00B35">
      <w:pPr>
        <w:spacing w:after="0" w:line="312" w:lineRule="auto"/>
        <w:rPr>
          <w:szCs w:val="20"/>
        </w:rPr>
      </w:pPr>
      <w:r w:rsidRPr="00E00B35">
        <w:rPr>
          <w:szCs w:val="20"/>
        </w:rPr>
        <w:t>Internet</w:t>
      </w:r>
    </w:p>
    <w:p w:rsidR="00CA14AB" w:rsidRPr="00E00B35" w:rsidRDefault="00CA14AB" w:rsidP="00E00B35">
      <w:pPr>
        <w:spacing w:after="0" w:line="312" w:lineRule="auto"/>
        <w:rPr>
          <w:szCs w:val="20"/>
        </w:rPr>
      </w:pPr>
      <w:r w:rsidRPr="00E00B35">
        <w:rPr>
          <w:szCs w:val="20"/>
        </w:rPr>
        <w:lastRenderedPageBreak/>
        <w:t>Plan wykonano w 68,62% - wynika to z faktu podpisania korzystniejszej umowy z nowym operatorem.</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Zakup usług zdrowotnych</w:t>
      </w:r>
    </w:p>
    <w:p w:rsidR="00CA14AB" w:rsidRPr="00E00B35" w:rsidRDefault="00CA14AB" w:rsidP="00E00B35">
      <w:pPr>
        <w:spacing w:after="0" w:line="312" w:lineRule="auto"/>
        <w:rPr>
          <w:szCs w:val="20"/>
        </w:rPr>
      </w:pPr>
      <w:r w:rsidRPr="00E00B35">
        <w:rPr>
          <w:szCs w:val="20"/>
        </w:rPr>
        <w:t>Plan wykonano w 80,44% - wynika to z mniejszej ilości badań okresowych i wstępnych pracowników związanych z zamknięciem placówki służby zdrowia w czasie stanu epidemii.</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Odpisy na zakładowy fundusz świadczeń socjalnych</w:t>
      </w:r>
    </w:p>
    <w:p w:rsidR="00CA14AB" w:rsidRPr="00E00B35" w:rsidRDefault="00CA14AB" w:rsidP="00E00B35">
      <w:pPr>
        <w:spacing w:after="0" w:line="312" w:lineRule="auto"/>
        <w:rPr>
          <w:szCs w:val="20"/>
        </w:rPr>
      </w:pPr>
      <w:r w:rsidRPr="00E00B35">
        <w:rPr>
          <w:szCs w:val="20"/>
        </w:rPr>
        <w:t>Plan wykonano w 99,69% - wykonano zgodnie z planem.</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Podróże służbowe krajowe</w:t>
      </w:r>
    </w:p>
    <w:p w:rsidR="00CA14AB" w:rsidRPr="00E00B35" w:rsidRDefault="00CA14AB" w:rsidP="00E00B35">
      <w:pPr>
        <w:spacing w:after="0" w:line="312" w:lineRule="auto"/>
        <w:rPr>
          <w:szCs w:val="20"/>
        </w:rPr>
      </w:pPr>
      <w:r w:rsidRPr="00E00B35">
        <w:rPr>
          <w:szCs w:val="20"/>
        </w:rPr>
        <w:t>Plan wykonano w 93,82% - wynika to z powodu absencji chorobowej pracowników oraz zakazu przemieszczania się. Praca zdalna w okresie trwania epidemii COVID-19 spowodowała zmniejszenie wypłat ryczałtów samochodowych.</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Zakup usług obejmujących wykonanie ekspertyz, analiz i opinii</w:t>
      </w:r>
    </w:p>
    <w:p w:rsidR="00CA14AB" w:rsidRPr="00E00B35" w:rsidRDefault="00CA14AB" w:rsidP="00E00B35">
      <w:pPr>
        <w:spacing w:after="0" w:line="312" w:lineRule="auto"/>
        <w:rPr>
          <w:szCs w:val="20"/>
        </w:rPr>
      </w:pPr>
      <w:r w:rsidRPr="00E00B35">
        <w:rPr>
          <w:szCs w:val="20"/>
        </w:rPr>
        <w:t>Plan wykonano w 80,99%- wynika z ograniczeniem funkcjonowania żłobków i stanem epidemii.</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Różne opłaty i składki</w:t>
      </w:r>
    </w:p>
    <w:p w:rsidR="00CA14AB" w:rsidRPr="00E00B35" w:rsidRDefault="00CA14AB" w:rsidP="00E00B35">
      <w:pPr>
        <w:spacing w:after="0" w:line="312" w:lineRule="auto"/>
        <w:rPr>
          <w:szCs w:val="20"/>
        </w:rPr>
      </w:pPr>
      <w:r w:rsidRPr="00E00B35">
        <w:rPr>
          <w:szCs w:val="20"/>
        </w:rPr>
        <w:t>Plan wykonano w 74,82% - wynika z mniejszej ilości opłat komorniczych związanych      z egzekucją niezapłaconych należności od rodziców.</w:t>
      </w:r>
    </w:p>
    <w:p w:rsidR="00CA14AB" w:rsidRPr="00E00B35" w:rsidRDefault="00CA14AB" w:rsidP="00E00B35">
      <w:pPr>
        <w:spacing w:after="0" w:line="312" w:lineRule="auto"/>
        <w:rPr>
          <w:szCs w:val="20"/>
        </w:rPr>
      </w:pPr>
      <w:r w:rsidRPr="00E00B35">
        <w:rPr>
          <w:szCs w:val="20"/>
        </w:rPr>
        <w:t>Opłaty czynszowe za pomieszczenia biurowe</w:t>
      </w:r>
    </w:p>
    <w:p w:rsidR="00CA14AB" w:rsidRPr="00E00B35" w:rsidRDefault="00CA14AB" w:rsidP="00E00B35">
      <w:pPr>
        <w:spacing w:after="0" w:line="312" w:lineRule="auto"/>
        <w:rPr>
          <w:szCs w:val="20"/>
        </w:rPr>
      </w:pPr>
      <w:r w:rsidRPr="00E00B35">
        <w:rPr>
          <w:szCs w:val="20"/>
        </w:rPr>
        <w:t>Plan wykonano w 100%.</w:t>
      </w:r>
    </w:p>
    <w:p w:rsidR="00E21DE4" w:rsidRPr="00E00B35" w:rsidRDefault="00E21D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Koszty postępowania sądowego</w:t>
      </w:r>
    </w:p>
    <w:p w:rsidR="00CA14AB" w:rsidRPr="00E00B35" w:rsidRDefault="00CA14AB" w:rsidP="00E00B35">
      <w:pPr>
        <w:spacing w:after="0" w:line="312" w:lineRule="auto"/>
        <w:rPr>
          <w:szCs w:val="20"/>
        </w:rPr>
      </w:pPr>
      <w:r w:rsidRPr="00E00B35">
        <w:rPr>
          <w:szCs w:val="20"/>
        </w:rPr>
        <w:t>Plan wykonano w 75,80% - wynika z ograniczenia funkcjonowania sądów w okresie pandemii COVID-19.</w:t>
      </w:r>
    </w:p>
    <w:p w:rsidR="00CA14AB" w:rsidRPr="00E00B35" w:rsidRDefault="00CA14AB" w:rsidP="00E00B35">
      <w:pPr>
        <w:spacing w:after="0" w:line="312" w:lineRule="auto"/>
        <w:rPr>
          <w:szCs w:val="20"/>
        </w:rPr>
      </w:pPr>
      <w:r w:rsidRPr="00E00B35">
        <w:rPr>
          <w:szCs w:val="20"/>
        </w:rPr>
        <w:t>Struktura wydatków rzeczowych przedstawia się następująco:</w:t>
      </w:r>
    </w:p>
    <w:p w:rsidR="00CA14AB" w:rsidRPr="00E00B35" w:rsidRDefault="00CA14AB" w:rsidP="00BC64AB">
      <w:pPr>
        <w:pStyle w:val="Akapitzlist"/>
        <w:numPr>
          <w:ilvl w:val="0"/>
          <w:numId w:val="214"/>
        </w:numPr>
        <w:spacing w:after="0" w:line="312" w:lineRule="auto"/>
        <w:rPr>
          <w:szCs w:val="20"/>
        </w:rPr>
      </w:pPr>
      <w:r w:rsidRPr="00E00B35">
        <w:rPr>
          <w:szCs w:val="20"/>
        </w:rPr>
        <w:t xml:space="preserve">zakup materiałów i wyposażenia - 2 007 592,80        </w:t>
      </w:r>
    </w:p>
    <w:p w:rsidR="00CA14AB" w:rsidRPr="00E00B35" w:rsidRDefault="00CA14AB" w:rsidP="00BC64AB">
      <w:pPr>
        <w:pStyle w:val="Akapitzlist"/>
        <w:numPr>
          <w:ilvl w:val="0"/>
          <w:numId w:val="214"/>
        </w:numPr>
        <w:spacing w:after="0" w:line="312" w:lineRule="auto"/>
        <w:rPr>
          <w:szCs w:val="20"/>
        </w:rPr>
      </w:pPr>
      <w:r w:rsidRPr="00E00B35">
        <w:rPr>
          <w:szCs w:val="20"/>
        </w:rPr>
        <w:t>zakup środków żywności - 1 358 672,52</w:t>
      </w:r>
      <w:r w:rsidRPr="00E00B35">
        <w:rPr>
          <w:szCs w:val="20"/>
        </w:rPr>
        <w:tab/>
      </w:r>
    </w:p>
    <w:p w:rsidR="00CA14AB" w:rsidRPr="00E00B35" w:rsidRDefault="00CA14AB" w:rsidP="00BC64AB">
      <w:pPr>
        <w:pStyle w:val="Akapitzlist"/>
        <w:numPr>
          <w:ilvl w:val="0"/>
          <w:numId w:val="214"/>
        </w:numPr>
        <w:spacing w:after="0" w:line="312" w:lineRule="auto"/>
        <w:rPr>
          <w:szCs w:val="20"/>
        </w:rPr>
      </w:pPr>
      <w:r w:rsidRPr="00E00B35">
        <w:rPr>
          <w:szCs w:val="20"/>
        </w:rPr>
        <w:t xml:space="preserve">energia - 1 683 924,72        </w:t>
      </w:r>
    </w:p>
    <w:p w:rsidR="00CA14AB" w:rsidRPr="00E00B35" w:rsidRDefault="00CA14AB" w:rsidP="00BC64AB">
      <w:pPr>
        <w:pStyle w:val="Akapitzlist"/>
        <w:numPr>
          <w:ilvl w:val="0"/>
          <w:numId w:val="214"/>
        </w:numPr>
        <w:spacing w:after="0" w:line="312" w:lineRule="auto"/>
        <w:rPr>
          <w:szCs w:val="20"/>
        </w:rPr>
      </w:pPr>
      <w:r w:rsidRPr="00E00B35">
        <w:rPr>
          <w:szCs w:val="20"/>
        </w:rPr>
        <w:t>zakup usług remontowych - 748 711,25</w:t>
      </w:r>
      <w:r w:rsidRPr="00E00B35">
        <w:rPr>
          <w:szCs w:val="20"/>
        </w:rPr>
        <w:tab/>
        <w:t xml:space="preserve">   </w:t>
      </w:r>
    </w:p>
    <w:p w:rsidR="00CA14AB" w:rsidRPr="00E00B35" w:rsidRDefault="00CA14AB" w:rsidP="00BC64AB">
      <w:pPr>
        <w:pStyle w:val="Akapitzlist"/>
        <w:numPr>
          <w:ilvl w:val="0"/>
          <w:numId w:val="214"/>
        </w:numPr>
        <w:spacing w:after="0" w:line="312" w:lineRule="auto"/>
        <w:rPr>
          <w:szCs w:val="20"/>
        </w:rPr>
      </w:pPr>
      <w:r w:rsidRPr="00E00B35">
        <w:rPr>
          <w:szCs w:val="20"/>
        </w:rPr>
        <w:t>zakup usług pozostałych - 416 010,17</w:t>
      </w:r>
      <w:r w:rsidRPr="00E00B35">
        <w:rPr>
          <w:szCs w:val="20"/>
        </w:rPr>
        <w:tab/>
        <w:t xml:space="preserve">   </w:t>
      </w:r>
    </w:p>
    <w:p w:rsidR="00CA14AB" w:rsidRPr="00E00B35" w:rsidRDefault="00CA14AB" w:rsidP="00BC64AB">
      <w:pPr>
        <w:pStyle w:val="Akapitzlist"/>
        <w:numPr>
          <w:ilvl w:val="0"/>
          <w:numId w:val="214"/>
        </w:numPr>
        <w:spacing w:after="0" w:line="312" w:lineRule="auto"/>
        <w:rPr>
          <w:szCs w:val="20"/>
        </w:rPr>
      </w:pPr>
      <w:r w:rsidRPr="00E00B35">
        <w:rPr>
          <w:szCs w:val="20"/>
        </w:rPr>
        <w:t xml:space="preserve">odpisy na zakładowy fundusz świadczeń socjalnych - 814 428,75 </w:t>
      </w:r>
      <w:r w:rsidRPr="00E00B35">
        <w:rPr>
          <w:szCs w:val="20"/>
        </w:rPr>
        <w:tab/>
        <w:t xml:space="preserve">   </w:t>
      </w:r>
    </w:p>
    <w:p w:rsidR="00CA14AB" w:rsidRPr="00E00B35" w:rsidRDefault="00CA14AB" w:rsidP="00BC64AB">
      <w:pPr>
        <w:pStyle w:val="Akapitzlist"/>
        <w:numPr>
          <w:ilvl w:val="0"/>
          <w:numId w:val="214"/>
        </w:numPr>
        <w:spacing w:after="0" w:line="312" w:lineRule="auto"/>
        <w:rPr>
          <w:szCs w:val="20"/>
        </w:rPr>
      </w:pPr>
      <w:r w:rsidRPr="00E00B35">
        <w:rPr>
          <w:szCs w:val="20"/>
        </w:rPr>
        <w:t>podróże służbowe krajowe - 53 842,57</w:t>
      </w:r>
      <w:r w:rsidRPr="00E00B35">
        <w:rPr>
          <w:szCs w:val="20"/>
        </w:rPr>
        <w:tab/>
        <w:t xml:space="preserve">   </w:t>
      </w:r>
    </w:p>
    <w:p w:rsidR="00CA14AB" w:rsidRPr="00E00B35" w:rsidRDefault="00CA14AB" w:rsidP="00BC64AB">
      <w:pPr>
        <w:pStyle w:val="Akapitzlist"/>
        <w:numPr>
          <w:ilvl w:val="0"/>
          <w:numId w:val="214"/>
        </w:numPr>
        <w:spacing w:after="0" w:line="312" w:lineRule="auto"/>
        <w:rPr>
          <w:szCs w:val="20"/>
        </w:rPr>
      </w:pPr>
      <w:r w:rsidRPr="00E00B35">
        <w:rPr>
          <w:szCs w:val="20"/>
        </w:rPr>
        <w:t>opłaty z tytułu zakupu usług telekomunikacyjnych telefonii stacjonarnej i do sieci internet - 46 668,07</w:t>
      </w:r>
      <w:r w:rsidRPr="00E00B35">
        <w:rPr>
          <w:szCs w:val="20"/>
        </w:rPr>
        <w:tab/>
        <w:t xml:space="preserve"> </w:t>
      </w:r>
    </w:p>
    <w:p w:rsidR="00CA14AB" w:rsidRPr="00E00B35" w:rsidRDefault="00CA14AB" w:rsidP="00BC64AB">
      <w:pPr>
        <w:pStyle w:val="Akapitzlist"/>
        <w:numPr>
          <w:ilvl w:val="0"/>
          <w:numId w:val="214"/>
        </w:numPr>
        <w:spacing w:after="0" w:line="312" w:lineRule="auto"/>
        <w:rPr>
          <w:szCs w:val="20"/>
        </w:rPr>
      </w:pPr>
      <w:r w:rsidRPr="00E00B35">
        <w:rPr>
          <w:szCs w:val="20"/>
        </w:rPr>
        <w:t xml:space="preserve">zakup usług zdrowotnych - 48 196,68 </w:t>
      </w:r>
      <w:r w:rsidRPr="00E00B35">
        <w:rPr>
          <w:szCs w:val="20"/>
        </w:rPr>
        <w:tab/>
        <w:t xml:space="preserve">    </w:t>
      </w:r>
    </w:p>
    <w:p w:rsidR="00E21DE4" w:rsidRPr="00E00B35" w:rsidRDefault="00CA14AB" w:rsidP="00BC64AB">
      <w:pPr>
        <w:pStyle w:val="Akapitzlist"/>
        <w:numPr>
          <w:ilvl w:val="0"/>
          <w:numId w:val="214"/>
        </w:numPr>
        <w:spacing w:after="0" w:line="312" w:lineRule="auto"/>
        <w:rPr>
          <w:szCs w:val="20"/>
        </w:rPr>
      </w:pPr>
      <w:r w:rsidRPr="00E00B35">
        <w:rPr>
          <w:szCs w:val="20"/>
        </w:rPr>
        <w:t>szkolenia pracowników niebędących członkami korpusu służby cywilnej -</w:t>
      </w:r>
      <w:r w:rsidR="00E21DE4" w:rsidRPr="00E00B35">
        <w:rPr>
          <w:szCs w:val="20"/>
        </w:rPr>
        <w:t xml:space="preserve"> 46 359,6</w:t>
      </w:r>
    </w:p>
    <w:p w:rsidR="00CA14AB" w:rsidRPr="00E00B35" w:rsidRDefault="00CA14AB" w:rsidP="00BC64AB">
      <w:pPr>
        <w:pStyle w:val="Akapitzlist"/>
        <w:numPr>
          <w:ilvl w:val="0"/>
          <w:numId w:val="214"/>
        </w:numPr>
        <w:spacing w:after="0" w:line="312" w:lineRule="auto"/>
        <w:rPr>
          <w:szCs w:val="20"/>
        </w:rPr>
      </w:pPr>
      <w:r w:rsidRPr="00E00B35">
        <w:rPr>
          <w:szCs w:val="20"/>
        </w:rPr>
        <w:t>zakup usług obejmujących wykonanie ekspertyz, analiz i opinii</w:t>
      </w:r>
      <w:r w:rsidR="00E21DE4" w:rsidRPr="00E00B35">
        <w:rPr>
          <w:szCs w:val="20"/>
        </w:rPr>
        <w:t xml:space="preserve"> </w:t>
      </w:r>
      <w:r w:rsidRPr="00E00B35">
        <w:rPr>
          <w:szCs w:val="20"/>
        </w:rPr>
        <w:t>- 16 616,70</w:t>
      </w:r>
      <w:r w:rsidRPr="00E00B35">
        <w:rPr>
          <w:szCs w:val="20"/>
        </w:rPr>
        <w:tab/>
        <w:t xml:space="preserve">    </w:t>
      </w:r>
    </w:p>
    <w:p w:rsidR="00CA14AB" w:rsidRPr="00E00B35" w:rsidRDefault="00CA14AB" w:rsidP="00BC64AB">
      <w:pPr>
        <w:pStyle w:val="Akapitzlist"/>
        <w:numPr>
          <w:ilvl w:val="0"/>
          <w:numId w:val="214"/>
        </w:numPr>
        <w:spacing w:after="0" w:line="312" w:lineRule="auto"/>
        <w:rPr>
          <w:szCs w:val="20"/>
        </w:rPr>
      </w:pPr>
      <w:r w:rsidRPr="00E00B35">
        <w:rPr>
          <w:szCs w:val="20"/>
        </w:rPr>
        <w:t>opłaty na rzecz budżetów jednostek samorządu terytorialnego</w:t>
      </w:r>
      <w:r w:rsidR="00E21DE4" w:rsidRPr="00E00B35">
        <w:rPr>
          <w:szCs w:val="20"/>
        </w:rPr>
        <w:t xml:space="preserve"> </w:t>
      </w:r>
      <w:r w:rsidRPr="00E00B35">
        <w:rPr>
          <w:szCs w:val="20"/>
        </w:rPr>
        <w:t>- 131 103,15</w:t>
      </w:r>
      <w:r w:rsidRPr="00E00B35">
        <w:rPr>
          <w:szCs w:val="20"/>
        </w:rPr>
        <w:tab/>
        <w:t xml:space="preserve">    </w:t>
      </w:r>
    </w:p>
    <w:p w:rsidR="00CA14AB" w:rsidRPr="00E00B35" w:rsidRDefault="00CA14AB" w:rsidP="00BC64AB">
      <w:pPr>
        <w:pStyle w:val="Akapitzlist"/>
        <w:numPr>
          <w:ilvl w:val="0"/>
          <w:numId w:val="214"/>
        </w:numPr>
        <w:spacing w:after="0" w:line="312" w:lineRule="auto"/>
        <w:rPr>
          <w:szCs w:val="20"/>
        </w:rPr>
      </w:pPr>
      <w:r w:rsidRPr="00E00B35">
        <w:rPr>
          <w:szCs w:val="20"/>
        </w:rPr>
        <w:lastRenderedPageBreak/>
        <w:t xml:space="preserve">różne opłaty i składki - 11 223,13    </w:t>
      </w:r>
    </w:p>
    <w:p w:rsidR="00CA14AB" w:rsidRPr="00E00B35" w:rsidRDefault="00CA14AB" w:rsidP="00BC64AB">
      <w:pPr>
        <w:pStyle w:val="Akapitzlist"/>
        <w:numPr>
          <w:ilvl w:val="0"/>
          <w:numId w:val="214"/>
        </w:numPr>
        <w:spacing w:after="0" w:line="312" w:lineRule="auto"/>
        <w:rPr>
          <w:szCs w:val="20"/>
        </w:rPr>
      </w:pPr>
      <w:r w:rsidRPr="00E00B35">
        <w:rPr>
          <w:szCs w:val="20"/>
        </w:rPr>
        <w:t xml:space="preserve">koszty postępowania sądowego - 2 274,00         </w:t>
      </w:r>
    </w:p>
    <w:p w:rsidR="00E21DE4" w:rsidRPr="00E00B35" w:rsidRDefault="00CA14AB" w:rsidP="00BC64AB">
      <w:pPr>
        <w:pStyle w:val="Akapitzlist"/>
        <w:numPr>
          <w:ilvl w:val="0"/>
          <w:numId w:val="214"/>
        </w:numPr>
        <w:spacing w:after="0" w:line="312" w:lineRule="auto"/>
        <w:rPr>
          <w:szCs w:val="20"/>
        </w:rPr>
      </w:pPr>
      <w:r w:rsidRPr="00E00B35">
        <w:rPr>
          <w:szCs w:val="20"/>
        </w:rPr>
        <w:t>opłaty czynszowe za pomieszczenia biurowe - 51 634,82</w:t>
      </w:r>
      <w:r w:rsidR="00E21DE4" w:rsidRPr="00E00B35">
        <w:rPr>
          <w:szCs w:val="20"/>
        </w:rPr>
        <w:t>.</w:t>
      </w:r>
    </w:p>
    <w:p w:rsidR="00CA14AB" w:rsidRPr="00E00B35" w:rsidRDefault="00CA14AB" w:rsidP="00E00B35">
      <w:pPr>
        <w:pStyle w:val="Akapitzlist"/>
        <w:spacing w:after="0" w:line="312" w:lineRule="auto"/>
        <w:ind w:left="360"/>
        <w:rPr>
          <w:szCs w:val="20"/>
        </w:rPr>
      </w:pPr>
      <w:r w:rsidRPr="00E00B35">
        <w:rPr>
          <w:szCs w:val="20"/>
        </w:rPr>
        <w:t xml:space="preserve">        </w:t>
      </w:r>
    </w:p>
    <w:p w:rsidR="00CA14AB" w:rsidRPr="00E00B35" w:rsidRDefault="00CA14AB" w:rsidP="00E00B35">
      <w:pPr>
        <w:spacing w:after="0" w:line="312" w:lineRule="auto"/>
        <w:rPr>
          <w:szCs w:val="20"/>
        </w:rPr>
      </w:pPr>
      <w:r w:rsidRPr="00E00B35">
        <w:rPr>
          <w:szCs w:val="20"/>
        </w:rPr>
        <w:t>Wyszczególnienie wydatków na realizację zadań związanych z wystąpieniem stanów kryzysowych:</w:t>
      </w:r>
    </w:p>
    <w:p w:rsidR="00CA14AB" w:rsidRPr="00E00B35" w:rsidRDefault="00CA14AB" w:rsidP="00BC64AB">
      <w:pPr>
        <w:pStyle w:val="Akapitzlist"/>
        <w:numPr>
          <w:ilvl w:val="0"/>
          <w:numId w:val="214"/>
        </w:numPr>
        <w:spacing w:after="0" w:line="312" w:lineRule="auto"/>
        <w:rPr>
          <w:szCs w:val="20"/>
        </w:rPr>
      </w:pPr>
      <w:r w:rsidRPr="00E00B35">
        <w:rPr>
          <w:szCs w:val="20"/>
        </w:rPr>
        <w:t>zakup materiałów i wyposażenia (płyny do dezynfekcji, fartuchy, maseczki, termometry, myjki parowe, ozonatory,  stojaki bezdotykowe, rękawiczki jednorazowe, półmaski ochronne oraz osłony z plexiglasu) - 440 072,41</w:t>
      </w:r>
    </w:p>
    <w:p w:rsidR="00CA14AB" w:rsidRPr="00E00B35" w:rsidRDefault="00CA14AB" w:rsidP="00BC64AB">
      <w:pPr>
        <w:pStyle w:val="Akapitzlist"/>
        <w:numPr>
          <w:ilvl w:val="0"/>
          <w:numId w:val="214"/>
        </w:numPr>
        <w:spacing w:after="0" w:line="312" w:lineRule="auto"/>
        <w:rPr>
          <w:szCs w:val="20"/>
        </w:rPr>
      </w:pPr>
      <w:r w:rsidRPr="00E00B35">
        <w:rPr>
          <w:szCs w:val="20"/>
        </w:rPr>
        <w:t>zakup usług pozostałych (dezynfekcja COVID-19) - 14 268,00</w:t>
      </w:r>
    </w:p>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Zadanie WPI/127 – Wydatki inwestycyjne</w:t>
      </w:r>
    </w:p>
    <w:p w:rsidR="00CA14AB" w:rsidRPr="00E00B35" w:rsidRDefault="00CA14AB" w:rsidP="00E00B35">
      <w:pPr>
        <w:spacing w:after="0" w:line="312" w:lineRule="auto"/>
        <w:rPr>
          <w:szCs w:val="20"/>
        </w:rPr>
      </w:pPr>
      <w:r w:rsidRPr="00E00B35">
        <w:rPr>
          <w:szCs w:val="20"/>
        </w:rPr>
        <w:t>Plan ogółem:</w:t>
      </w:r>
      <w:r w:rsidR="00C463E4" w:rsidRPr="00E00B35">
        <w:rPr>
          <w:szCs w:val="20"/>
        </w:rPr>
        <w:t xml:space="preserve"> </w:t>
      </w:r>
      <w:r w:rsidRPr="00E00B35">
        <w:rPr>
          <w:szCs w:val="20"/>
        </w:rPr>
        <w:t>895 000,00</w:t>
      </w:r>
    </w:p>
    <w:p w:rsidR="00CA14AB" w:rsidRPr="00E00B35" w:rsidRDefault="00CA14AB" w:rsidP="00E00B35">
      <w:pPr>
        <w:spacing w:after="0" w:line="312" w:lineRule="auto"/>
        <w:rPr>
          <w:szCs w:val="20"/>
        </w:rPr>
      </w:pPr>
      <w:r w:rsidRPr="00E00B35">
        <w:rPr>
          <w:szCs w:val="20"/>
        </w:rPr>
        <w:t>Wykonanie:</w:t>
      </w:r>
      <w:r w:rsidR="00C463E4" w:rsidRPr="00E00B35">
        <w:rPr>
          <w:szCs w:val="20"/>
        </w:rPr>
        <w:t xml:space="preserve"> </w:t>
      </w:r>
      <w:r w:rsidRPr="00E00B35">
        <w:rPr>
          <w:szCs w:val="20"/>
        </w:rPr>
        <w:t>889 147,96</w:t>
      </w:r>
      <w:r w:rsidR="00C463E4" w:rsidRPr="00E00B35">
        <w:rPr>
          <w:szCs w:val="20"/>
        </w:rPr>
        <w:t xml:space="preserve"> - </w:t>
      </w:r>
      <w:r w:rsidRPr="00E00B35">
        <w:rPr>
          <w:szCs w:val="20"/>
        </w:rPr>
        <w:t>99,35%</w:t>
      </w:r>
    </w:p>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Wydatki inwestycyjne jednostki  §6050:</w:t>
      </w:r>
    </w:p>
    <w:p w:rsidR="00CA14AB" w:rsidRPr="00E00B35" w:rsidRDefault="00CA14AB" w:rsidP="00BC64AB">
      <w:pPr>
        <w:pStyle w:val="Akapitzlist"/>
        <w:numPr>
          <w:ilvl w:val="0"/>
          <w:numId w:val="214"/>
        </w:numPr>
        <w:spacing w:after="0" w:line="312" w:lineRule="auto"/>
        <w:rPr>
          <w:szCs w:val="20"/>
        </w:rPr>
      </w:pPr>
      <w:r w:rsidRPr="00E00B35">
        <w:rPr>
          <w:szCs w:val="20"/>
        </w:rPr>
        <w:t>zakup pierwszego wyposażenia Żłobka nr 16 w budynku przy  ul. Sygnałowej 23,</w:t>
      </w:r>
    </w:p>
    <w:p w:rsidR="00CA14AB" w:rsidRPr="00E00B35" w:rsidRDefault="00CA14AB" w:rsidP="00BC64AB">
      <w:pPr>
        <w:pStyle w:val="Akapitzlist"/>
        <w:numPr>
          <w:ilvl w:val="0"/>
          <w:numId w:val="214"/>
        </w:numPr>
        <w:spacing w:after="0" w:line="312" w:lineRule="auto"/>
        <w:rPr>
          <w:szCs w:val="20"/>
        </w:rPr>
      </w:pPr>
      <w:r w:rsidRPr="00E00B35">
        <w:rPr>
          <w:szCs w:val="20"/>
        </w:rPr>
        <w:t>zakup i montaż klimatyzatorów do żłobków,</w:t>
      </w:r>
    </w:p>
    <w:p w:rsidR="00CA14AB" w:rsidRPr="00E00B35" w:rsidRDefault="00CA14AB" w:rsidP="00BC64AB">
      <w:pPr>
        <w:pStyle w:val="Akapitzlist"/>
        <w:numPr>
          <w:ilvl w:val="0"/>
          <w:numId w:val="214"/>
        </w:numPr>
        <w:spacing w:after="0" w:line="312" w:lineRule="auto"/>
        <w:rPr>
          <w:szCs w:val="20"/>
        </w:rPr>
      </w:pPr>
      <w:r w:rsidRPr="00E00B35">
        <w:rPr>
          <w:szCs w:val="20"/>
        </w:rPr>
        <w:t>zakup i montaż systemu oświetlenia ewakuacyjnego z wyłącznikiem prądu Żłobka nr 9 przy ul. Wrońskiego 19d,</w:t>
      </w:r>
    </w:p>
    <w:p w:rsidR="00CA14AB" w:rsidRPr="00E00B35" w:rsidRDefault="00CA14AB" w:rsidP="00BC64AB">
      <w:pPr>
        <w:pStyle w:val="Akapitzlist"/>
        <w:numPr>
          <w:ilvl w:val="0"/>
          <w:numId w:val="214"/>
        </w:numPr>
        <w:spacing w:after="0" w:line="312" w:lineRule="auto"/>
        <w:rPr>
          <w:szCs w:val="20"/>
        </w:rPr>
      </w:pPr>
      <w:r w:rsidRPr="00E00B35">
        <w:rPr>
          <w:szCs w:val="20"/>
        </w:rPr>
        <w:t>zakup wraz z montażem szlabanu na parkingu budynku przy ul. Fabrycznej 15.</w:t>
      </w:r>
    </w:p>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Plan wykonano w 99,35% wynikało to z otrzymania niższych cen od wykonawców, których wyłoniono w trakcie procedur przetargowych.</w:t>
      </w:r>
    </w:p>
    <w:p w:rsidR="00CA14AB" w:rsidRPr="00E00B35" w:rsidRDefault="00CA14AB" w:rsidP="00E00B35">
      <w:pPr>
        <w:spacing w:after="0" w:line="312" w:lineRule="auto"/>
        <w:rPr>
          <w:szCs w:val="20"/>
        </w:rPr>
      </w:pPr>
      <w:r w:rsidRPr="00E00B35">
        <w:rPr>
          <w:szCs w:val="20"/>
        </w:rPr>
        <w:t>Zadanie INW/211 – Wydatki inwestycyjne</w:t>
      </w:r>
    </w:p>
    <w:p w:rsidR="00CA14AB" w:rsidRPr="00E00B35" w:rsidRDefault="00CA14AB" w:rsidP="00E00B35">
      <w:pPr>
        <w:spacing w:after="0" w:line="312" w:lineRule="auto"/>
        <w:rPr>
          <w:szCs w:val="20"/>
        </w:rPr>
      </w:pPr>
      <w:r w:rsidRPr="00E00B35">
        <w:rPr>
          <w:szCs w:val="20"/>
        </w:rPr>
        <w:t>Plan ogółem:</w:t>
      </w:r>
      <w:r w:rsidRPr="00E00B35">
        <w:rPr>
          <w:szCs w:val="20"/>
        </w:rPr>
        <w:tab/>
        <w:t>45 000,00</w:t>
      </w:r>
    </w:p>
    <w:p w:rsidR="00CA14AB" w:rsidRPr="00E00B35" w:rsidRDefault="00CA14AB" w:rsidP="00E00B35">
      <w:pPr>
        <w:spacing w:after="0" w:line="312" w:lineRule="auto"/>
        <w:rPr>
          <w:szCs w:val="20"/>
        </w:rPr>
      </w:pPr>
      <w:r w:rsidRPr="00E00B35">
        <w:rPr>
          <w:szCs w:val="20"/>
        </w:rPr>
        <w:t>Wykonanie :</w:t>
      </w:r>
      <w:r w:rsidRPr="00E00B35">
        <w:rPr>
          <w:szCs w:val="20"/>
        </w:rPr>
        <w:tab/>
        <w:t>39 906,12</w:t>
      </w:r>
      <w:r w:rsidR="00C463E4" w:rsidRPr="00E00B35">
        <w:rPr>
          <w:szCs w:val="20"/>
        </w:rPr>
        <w:t xml:space="preserve"> - </w:t>
      </w:r>
      <w:r w:rsidRPr="00E00B35">
        <w:rPr>
          <w:szCs w:val="20"/>
        </w:rPr>
        <w:t>88,68%</w:t>
      </w:r>
    </w:p>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Wydatki inwestycyjne jednostki  §6060:</w:t>
      </w:r>
    </w:p>
    <w:p w:rsidR="00CA14AB" w:rsidRPr="00E00B35" w:rsidRDefault="00CA14AB" w:rsidP="00E00B35">
      <w:pPr>
        <w:spacing w:after="0" w:line="312" w:lineRule="auto"/>
        <w:rPr>
          <w:szCs w:val="20"/>
        </w:rPr>
      </w:pPr>
      <w:r w:rsidRPr="00E00B35">
        <w:rPr>
          <w:szCs w:val="20"/>
        </w:rPr>
        <w:t>Zakup pieca konwekcyjnego oraz maglownicy.</w:t>
      </w:r>
    </w:p>
    <w:p w:rsidR="00CA14AB" w:rsidRPr="00E00B35" w:rsidRDefault="00CA14AB" w:rsidP="00E00B35">
      <w:pPr>
        <w:spacing w:after="0" w:line="312" w:lineRule="auto"/>
        <w:rPr>
          <w:szCs w:val="20"/>
        </w:rPr>
      </w:pPr>
      <w:r w:rsidRPr="00E00B35">
        <w:rPr>
          <w:szCs w:val="20"/>
        </w:rPr>
        <w:t>Plan wykonano w 88,68% wynikało to z otrzymania niższych cen od wykonawców, których wyłoniono w trakcie procedur przetargowych.</w:t>
      </w:r>
    </w:p>
    <w:p w:rsidR="00C463E4" w:rsidRPr="00E00B35" w:rsidRDefault="00C463E4"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ZAMÓWIENIA PUBLICZNE NA ROBOTY BUDOWLANE,  USŁUGI, DOSTAWY</w:t>
      </w:r>
    </w:p>
    <w:p w:rsidR="00CA14AB" w:rsidRPr="00E00B35" w:rsidRDefault="00CA14AB" w:rsidP="00E00B35">
      <w:pPr>
        <w:spacing w:after="0" w:line="312" w:lineRule="auto"/>
        <w:rPr>
          <w:szCs w:val="20"/>
        </w:rPr>
      </w:pPr>
      <w:r w:rsidRPr="00E00B35">
        <w:rPr>
          <w:szCs w:val="20"/>
        </w:rPr>
        <w:t>Zamówienia publiczne w roku 2020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182"/>
        <w:gridCol w:w="3071"/>
      </w:tblGrid>
      <w:tr w:rsidR="00CA14AB" w:rsidRPr="00E00B35" w:rsidTr="00CA14AB">
        <w:trPr>
          <w:trHeight w:val="567"/>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tryb zamówienia</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ilość przeprowadzonych postepowań</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przetarg nieograniczony - unijny</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przetarg nieograniczony pow. 30 000 euro</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68</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przetarg nieograniczony - biuletynowe nieobowiązkowy</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30</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lastRenderedPageBreak/>
              <w:t>4.</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zapytania ofertowe</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106</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5.</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wnioski do 3000 zł</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120</w:t>
            </w:r>
          </w:p>
        </w:tc>
      </w:tr>
    </w:tbl>
    <w:p w:rsidR="00CA14AB" w:rsidRPr="00E00B35" w:rsidRDefault="00CA14AB" w:rsidP="00E00B35">
      <w:pPr>
        <w:spacing w:after="0" w:line="312" w:lineRule="auto"/>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182"/>
        <w:gridCol w:w="3071"/>
      </w:tblGrid>
      <w:tr w:rsidR="00CA14AB" w:rsidRPr="00E00B35" w:rsidTr="00CA14AB">
        <w:trPr>
          <w:trHeight w:val="567"/>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tryb zamówienia</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liczba postępowań zakończonych udzieleniem zamówienia</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przetarg nieograniczony - unijny</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przetarg nieograniczony pow. 30 000 euro</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52</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przetarg nieograniczony - biuletynowe nieobowiązkowy</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26</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4.</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zapytania ofertowe</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91</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5.</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wnioski do 3000 zł</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116</w:t>
            </w:r>
          </w:p>
        </w:tc>
      </w:tr>
    </w:tbl>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Zamówienia publiczne powyżej 30 000 euro</w:t>
      </w:r>
    </w:p>
    <w:p w:rsidR="00CA14AB" w:rsidRPr="00E00B35" w:rsidRDefault="00CA14AB" w:rsidP="00E00B35">
      <w:pPr>
        <w:spacing w:after="0" w:line="312" w:lineRule="auto"/>
        <w:rPr>
          <w:szCs w:val="20"/>
        </w:rPr>
      </w:pPr>
      <w:r w:rsidRPr="00E00B35">
        <w:rPr>
          <w:szCs w:val="20"/>
        </w:rPr>
        <w:t>Przeprowadzone postępowania powyżej 30 000 euro w 2020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182"/>
        <w:gridCol w:w="3071"/>
      </w:tblGrid>
      <w:tr w:rsidR="00CA14AB" w:rsidRPr="00E00B35" w:rsidTr="00CA14AB">
        <w:trPr>
          <w:trHeight w:val="567"/>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przedmiot zamówienia</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Ilość przeprowadzonych postępowań</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roboty budowlane</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dostawy</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67</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usługi</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bl>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Wartość zawartych umów w 2020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3260"/>
        <w:gridCol w:w="2690"/>
        <w:gridCol w:w="2303"/>
      </w:tblGrid>
      <w:tr w:rsidR="00CA14AB" w:rsidRPr="00E00B35" w:rsidTr="00CA14AB">
        <w:trPr>
          <w:trHeight w:val="567"/>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przedmiot zamówienia</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liczba postępowań zakończonych udzieleniem zamówienia</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Wartość umów zł netto</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roboty budowlane</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0</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0,00</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dostawy</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51</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2 009 027,60</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usługi</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202 027,60</w:t>
            </w:r>
          </w:p>
        </w:tc>
      </w:tr>
    </w:tbl>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Zamówienia publiczne nieobowiązkowe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182"/>
        <w:gridCol w:w="3071"/>
      </w:tblGrid>
      <w:tr w:rsidR="00CA14AB" w:rsidRPr="00E00B35" w:rsidTr="00CA14AB">
        <w:trPr>
          <w:trHeight w:val="567"/>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przedmiot zamówienia</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Ilość przeprowadzonych postępowań</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roboty budowlane</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5</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dostawy</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24</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usługi</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bl>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lastRenderedPageBreak/>
        <w:t>Wartość zawartych umów w 2020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3260"/>
        <w:gridCol w:w="2690"/>
        <w:gridCol w:w="2303"/>
      </w:tblGrid>
      <w:tr w:rsidR="00CA14AB" w:rsidRPr="00E00B35" w:rsidTr="00CA14AB">
        <w:trPr>
          <w:trHeight w:val="567"/>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przedmiot zamówienia</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liczba postępowań zakończonych udzieleniem zamówienia</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Wartość umów zł netto</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roboty budowlane</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4</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49 074,00</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dostawy</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21</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325 986,77</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usługi</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66 700,00</w:t>
            </w:r>
          </w:p>
        </w:tc>
      </w:tr>
    </w:tbl>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Zamówienia publiczne zapytanie ofertowe</w:t>
      </w:r>
      <w:r w:rsidRPr="00E00B35">
        <w:rPr>
          <w:szCs w:val="20"/>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182"/>
        <w:gridCol w:w="3071"/>
      </w:tblGrid>
      <w:tr w:rsidR="00CA14AB" w:rsidRPr="00E00B35" w:rsidTr="00CA14AB">
        <w:trPr>
          <w:trHeight w:val="567"/>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przedmiot zamówienia</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Ilość przeprowadzonych postępowań</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roboty budowlane</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1</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dostawy</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65</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usługi</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40</w:t>
            </w:r>
          </w:p>
        </w:tc>
      </w:tr>
    </w:tbl>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Wartość zawartych umów w 2020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3260"/>
        <w:gridCol w:w="2690"/>
        <w:gridCol w:w="2303"/>
      </w:tblGrid>
      <w:tr w:rsidR="00CA14AB" w:rsidRPr="00E00B35" w:rsidTr="00CA14AB">
        <w:trPr>
          <w:trHeight w:val="567"/>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przedmiot zamówienia</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liczba postępowań zakończonych udzieleniem zamówienia</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Wartość umów zł netto</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roboty budowlane</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15 195,54</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dostawy</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54</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859 926,24</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3260" w:type="dxa"/>
            <w:shd w:val="clear" w:color="auto" w:fill="auto"/>
            <w:vAlign w:val="center"/>
          </w:tcPr>
          <w:p w:rsidR="00CA14AB" w:rsidRPr="00E00B35" w:rsidRDefault="00CA14AB" w:rsidP="00E00B35">
            <w:pPr>
              <w:spacing w:after="0" w:line="312" w:lineRule="auto"/>
              <w:rPr>
                <w:szCs w:val="20"/>
              </w:rPr>
            </w:pPr>
            <w:r w:rsidRPr="00E00B35">
              <w:rPr>
                <w:szCs w:val="20"/>
              </w:rPr>
              <w:t>usługi</w:t>
            </w:r>
          </w:p>
        </w:tc>
        <w:tc>
          <w:tcPr>
            <w:tcW w:w="2690" w:type="dxa"/>
            <w:shd w:val="clear" w:color="auto" w:fill="auto"/>
            <w:vAlign w:val="center"/>
          </w:tcPr>
          <w:p w:rsidR="00CA14AB" w:rsidRPr="00E00B35" w:rsidRDefault="00CA14AB" w:rsidP="00E00B35">
            <w:pPr>
              <w:spacing w:after="0" w:line="312" w:lineRule="auto"/>
              <w:rPr>
                <w:szCs w:val="20"/>
              </w:rPr>
            </w:pPr>
            <w:r w:rsidRPr="00E00B35">
              <w:rPr>
                <w:szCs w:val="20"/>
              </w:rPr>
              <w:t>36</w:t>
            </w:r>
          </w:p>
        </w:tc>
        <w:tc>
          <w:tcPr>
            <w:tcW w:w="2303" w:type="dxa"/>
            <w:shd w:val="clear" w:color="auto" w:fill="auto"/>
            <w:vAlign w:val="center"/>
          </w:tcPr>
          <w:p w:rsidR="00CA14AB" w:rsidRPr="00E00B35" w:rsidRDefault="00CA14AB" w:rsidP="00E00B35">
            <w:pPr>
              <w:spacing w:after="0" w:line="312" w:lineRule="auto"/>
              <w:rPr>
                <w:szCs w:val="20"/>
              </w:rPr>
            </w:pPr>
            <w:r w:rsidRPr="00E00B35">
              <w:rPr>
                <w:szCs w:val="20"/>
              </w:rPr>
              <w:t>365 475,82</w:t>
            </w:r>
          </w:p>
        </w:tc>
      </w:tr>
    </w:tbl>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Zamówienia publiczne do 3 000 zł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182"/>
        <w:gridCol w:w="3071"/>
      </w:tblGrid>
      <w:tr w:rsidR="00CA14AB" w:rsidRPr="00E00B35" w:rsidTr="00CA14AB">
        <w:trPr>
          <w:trHeight w:val="567"/>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l.p</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przedmiot zamówienia</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Ilość przeprowadzonych postępowań</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roboty budowlane</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dostawy</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18</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usługi</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61</w:t>
            </w:r>
          </w:p>
        </w:tc>
      </w:tr>
      <w:tr w:rsidR="00CA14AB" w:rsidRPr="00E00B35" w:rsidTr="00CA14AB">
        <w:trPr>
          <w:trHeight w:val="454"/>
        </w:trPr>
        <w:tc>
          <w:tcPr>
            <w:tcW w:w="959" w:type="dxa"/>
            <w:shd w:val="clear" w:color="auto" w:fill="auto"/>
            <w:vAlign w:val="center"/>
          </w:tcPr>
          <w:p w:rsidR="00CA14AB" w:rsidRPr="00E00B35" w:rsidRDefault="00CA14AB" w:rsidP="00E00B35">
            <w:pPr>
              <w:spacing w:after="0" w:line="312" w:lineRule="auto"/>
              <w:rPr>
                <w:szCs w:val="20"/>
              </w:rPr>
            </w:pPr>
            <w:r w:rsidRPr="00E00B35">
              <w:rPr>
                <w:szCs w:val="20"/>
              </w:rPr>
              <w:t>4.</w:t>
            </w:r>
          </w:p>
        </w:tc>
        <w:tc>
          <w:tcPr>
            <w:tcW w:w="5182" w:type="dxa"/>
            <w:shd w:val="clear" w:color="auto" w:fill="auto"/>
            <w:vAlign w:val="center"/>
          </w:tcPr>
          <w:p w:rsidR="00CA14AB" w:rsidRPr="00E00B35" w:rsidRDefault="00CA14AB" w:rsidP="00E00B35">
            <w:pPr>
              <w:spacing w:after="0" w:line="312" w:lineRule="auto"/>
              <w:rPr>
                <w:szCs w:val="20"/>
              </w:rPr>
            </w:pPr>
            <w:r w:rsidRPr="00E00B35">
              <w:rPr>
                <w:szCs w:val="20"/>
              </w:rPr>
              <w:t>awarie</w:t>
            </w:r>
          </w:p>
        </w:tc>
        <w:tc>
          <w:tcPr>
            <w:tcW w:w="3071" w:type="dxa"/>
            <w:shd w:val="clear" w:color="auto" w:fill="auto"/>
            <w:vAlign w:val="center"/>
          </w:tcPr>
          <w:p w:rsidR="00CA14AB" w:rsidRPr="00E00B35" w:rsidRDefault="00CA14AB" w:rsidP="00E00B35">
            <w:pPr>
              <w:spacing w:after="0" w:line="312" w:lineRule="auto"/>
              <w:rPr>
                <w:szCs w:val="20"/>
              </w:rPr>
            </w:pPr>
            <w:r w:rsidRPr="00E00B35">
              <w:rPr>
                <w:szCs w:val="20"/>
              </w:rPr>
              <w:t>41</w:t>
            </w:r>
          </w:p>
        </w:tc>
      </w:tr>
    </w:tbl>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Razem wartość udzielonych zamówień publicznych do 3 000 zł wyniosła 203 198,54 zł netto.</w:t>
      </w:r>
    </w:p>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Wybrane zadania z zakresu informatyki</w:t>
      </w:r>
    </w:p>
    <w:p w:rsidR="00CA14AB" w:rsidRPr="00E00B35" w:rsidRDefault="00CA14AB" w:rsidP="00E00B35">
      <w:pPr>
        <w:spacing w:after="0" w:line="312" w:lineRule="auto"/>
        <w:rPr>
          <w:szCs w:val="20"/>
        </w:rPr>
      </w:pPr>
      <w:r w:rsidRPr="00E00B35">
        <w:rPr>
          <w:szCs w:val="20"/>
        </w:rPr>
        <w:t>Utrzymanie systemu elektronicznej rekrutacji do żłobków:</w:t>
      </w:r>
    </w:p>
    <w:p w:rsidR="00CA14AB" w:rsidRPr="00E00B35" w:rsidRDefault="00CA14AB" w:rsidP="00BC64AB">
      <w:pPr>
        <w:pStyle w:val="Akapitzlist"/>
        <w:numPr>
          <w:ilvl w:val="0"/>
          <w:numId w:val="215"/>
        </w:numPr>
        <w:spacing w:after="0" w:line="312" w:lineRule="auto"/>
        <w:rPr>
          <w:szCs w:val="20"/>
        </w:rPr>
      </w:pPr>
      <w:r w:rsidRPr="00E00B35">
        <w:rPr>
          <w:szCs w:val="20"/>
        </w:rPr>
        <w:t>koncepcja, projekt zmian, wdrożenie i testy  rekrutacji na rok żłobkowy 2020/2021,</w:t>
      </w:r>
    </w:p>
    <w:p w:rsidR="00CA14AB" w:rsidRPr="00E00B35" w:rsidRDefault="00CA14AB" w:rsidP="00BC64AB">
      <w:pPr>
        <w:pStyle w:val="Akapitzlist"/>
        <w:numPr>
          <w:ilvl w:val="0"/>
          <w:numId w:val="215"/>
        </w:numPr>
        <w:spacing w:after="0" w:line="312" w:lineRule="auto"/>
        <w:rPr>
          <w:szCs w:val="20"/>
        </w:rPr>
      </w:pPr>
      <w:r w:rsidRPr="00E00B35">
        <w:rPr>
          <w:szCs w:val="20"/>
        </w:rPr>
        <w:lastRenderedPageBreak/>
        <w:t>utrzymanie systemu wsparcia użytkownika,</w:t>
      </w:r>
    </w:p>
    <w:p w:rsidR="00CA14AB" w:rsidRPr="00E00B35" w:rsidRDefault="00CA14AB" w:rsidP="00BC64AB">
      <w:pPr>
        <w:pStyle w:val="Akapitzlist"/>
        <w:numPr>
          <w:ilvl w:val="0"/>
          <w:numId w:val="215"/>
        </w:numPr>
        <w:spacing w:after="0" w:line="312" w:lineRule="auto"/>
        <w:rPr>
          <w:szCs w:val="20"/>
        </w:rPr>
      </w:pPr>
      <w:r w:rsidRPr="00E00B35">
        <w:rPr>
          <w:szCs w:val="20"/>
        </w:rPr>
        <w:t>koordynacja wdrożeń i testy bieżące.</w:t>
      </w:r>
    </w:p>
    <w:p w:rsidR="00C463E4" w:rsidRPr="00E00B35" w:rsidRDefault="00C463E4" w:rsidP="00BC64AB">
      <w:pPr>
        <w:pStyle w:val="Akapitzlist"/>
        <w:numPr>
          <w:ilvl w:val="0"/>
          <w:numId w:val="215"/>
        </w:numPr>
        <w:spacing w:after="0" w:line="312" w:lineRule="auto"/>
        <w:rPr>
          <w:szCs w:val="20"/>
        </w:rPr>
      </w:pPr>
    </w:p>
    <w:p w:rsidR="00CA14AB" w:rsidRPr="00E00B35" w:rsidRDefault="00CA14AB" w:rsidP="00E00B35">
      <w:pPr>
        <w:spacing w:after="0" w:line="312" w:lineRule="auto"/>
        <w:rPr>
          <w:szCs w:val="20"/>
        </w:rPr>
      </w:pPr>
      <w:r w:rsidRPr="00E00B35">
        <w:rPr>
          <w:szCs w:val="20"/>
        </w:rPr>
        <w:t>Utrzymanie Dziennika Elektronicznego  -  Dziennik umożliwia sprawne prowadzenie rozliczeń kosztów pobytu dzieci w żłobkach oraz ich wyżywienia. W 2020 r. zostały wprowadzone istotne zmiany w aplikacji:</w:t>
      </w:r>
    </w:p>
    <w:p w:rsidR="00CA14AB" w:rsidRPr="00E00B35" w:rsidRDefault="00CA14AB" w:rsidP="00BC64AB">
      <w:pPr>
        <w:pStyle w:val="Akapitzlist"/>
        <w:numPr>
          <w:ilvl w:val="0"/>
          <w:numId w:val="216"/>
        </w:numPr>
        <w:spacing w:after="0" w:line="312" w:lineRule="auto"/>
        <w:rPr>
          <w:szCs w:val="20"/>
        </w:rPr>
      </w:pPr>
      <w:r w:rsidRPr="00E00B35">
        <w:rPr>
          <w:szCs w:val="20"/>
        </w:rPr>
        <w:t>ewidencja grup w związku z ograniczeniami spowodowanymi COVID-19,</w:t>
      </w:r>
    </w:p>
    <w:p w:rsidR="00CA14AB" w:rsidRPr="00E00B35" w:rsidRDefault="00CA14AB" w:rsidP="00BC64AB">
      <w:pPr>
        <w:pStyle w:val="Akapitzlist"/>
        <w:numPr>
          <w:ilvl w:val="0"/>
          <w:numId w:val="216"/>
        </w:numPr>
        <w:spacing w:after="0" w:line="312" w:lineRule="auto"/>
        <w:rPr>
          <w:szCs w:val="20"/>
        </w:rPr>
      </w:pPr>
      <w:r w:rsidRPr="00E00B35">
        <w:rPr>
          <w:szCs w:val="20"/>
        </w:rPr>
        <w:t>wielokrotna modyfikacja algorytmów dot. sposobów rozliczania przerw spowodowanych COVID-19;</w:t>
      </w:r>
    </w:p>
    <w:p w:rsidR="00CA14AB" w:rsidRPr="00E00B35" w:rsidRDefault="00CA14AB" w:rsidP="00BC64AB">
      <w:pPr>
        <w:pStyle w:val="Akapitzlist"/>
        <w:numPr>
          <w:ilvl w:val="0"/>
          <w:numId w:val="216"/>
        </w:numPr>
        <w:spacing w:after="0" w:line="312" w:lineRule="auto"/>
        <w:rPr>
          <w:szCs w:val="20"/>
        </w:rPr>
      </w:pPr>
      <w:r w:rsidRPr="00E00B35">
        <w:rPr>
          <w:szCs w:val="20"/>
        </w:rPr>
        <w:t>zwiększenie czytelności interfejsu użytkowników.</w:t>
      </w:r>
    </w:p>
    <w:p w:rsidR="00C463E4" w:rsidRPr="00E00B35" w:rsidRDefault="00C463E4" w:rsidP="00E00B35">
      <w:pPr>
        <w:pStyle w:val="Akapitzlist"/>
        <w:spacing w:after="0" w:line="312" w:lineRule="auto"/>
        <w:ind w:left="360"/>
        <w:rPr>
          <w:szCs w:val="20"/>
        </w:rPr>
      </w:pPr>
    </w:p>
    <w:p w:rsidR="00CA14AB" w:rsidRPr="00E00B35" w:rsidRDefault="00CA14AB" w:rsidP="00E00B35">
      <w:pPr>
        <w:spacing w:after="0" w:line="312" w:lineRule="auto"/>
        <w:rPr>
          <w:szCs w:val="20"/>
        </w:rPr>
      </w:pPr>
      <w:r w:rsidRPr="00E00B35">
        <w:rPr>
          <w:szCs w:val="20"/>
        </w:rPr>
        <w:t xml:space="preserve">Przeniesieniu systemu BIP do innego dostawcy usługi. </w:t>
      </w:r>
    </w:p>
    <w:p w:rsidR="00CA14AB" w:rsidRPr="00E00B35" w:rsidRDefault="00CA14AB" w:rsidP="00E00B35">
      <w:pPr>
        <w:spacing w:after="0" w:line="312" w:lineRule="auto"/>
        <w:rPr>
          <w:szCs w:val="20"/>
        </w:rPr>
      </w:pPr>
      <w:r w:rsidRPr="00E00B35">
        <w:rPr>
          <w:szCs w:val="20"/>
        </w:rPr>
        <w:t>Projekt i wdrożenie  pracy zdalnej w dobie COVID-19:</w:t>
      </w:r>
    </w:p>
    <w:p w:rsidR="00CA14AB" w:rsidRPr="00E00B35" w:rsidRDefault="00CA14AB" w:rsidP="00BC64AB">
      <w:pPr>
        <w:pStyle w:val="Akapitzlist"/>
        <w:numPr>
          <w:ilvl w:val="0"/>
          <w:numId w:val="217"/>
        </w:numPr>
        <w:spacing w:after="0" w:line="312" w:lineRule="auto"/>
        <w:rPr>
          <w:szCs w:val="20"/>
        </w:rPr>
      </w:pPr>
      <w:r w:rsidRPr="00E00B35">
        <w:rPr>
          <w:szCs w:val="20"/>
        </w:rPr>
        <w:t>zakupy w trybie awaryjnym oraz przetargi niezbędne do uruchomienia usług zdalnych,</w:t>
      </w:r>
    </w:p>
    <w:p w:rsidR="00CA14AB" w:rsidRPr="00E00B35" w:rsidRDefault="00CA14AB" w:rsidP="00BC64AB">
      <w:pPr>
        <w:pStyle w:val="Akapitzlist"/>
        <w:numPr>
          <w:ilvl w:val="0"/>
          <w:numId w:val="217"/>
        </w:numPr>
        <w:spacing w:after="0" w:line="312" w:lineRule="auto"/>
        <w:rPr>
          <w:szCs w:val="20"/>
        </w:rPr>
      </w:pPr>
      <w:r w:rsidRPr="00E00B35">
        <w:rPr>
          <w:szCs w:val="20"/>
        </w:rPr>
        <w:t>instalacja, konfiguracja i dostosowanie sprzętu oraz rozwiązań informatycznych,</w:t>
      </w:r>
    </w:p>
    <w:p w:rsidR="00CA14AB" w:rsidRPr="00E00B35" w:rsidRDefault="00CA14AB" w:rsidP="00BC64AB">
      <w:pPr>
        <w:pStyle w:val="Akapitzlist"/>
        <w:numPr>
          <w:ilvl w:val="0"/>
          <w:numId w:val="217"/>
        </w:numPr>
        <w:spacing w:after="0" w:line="312" w:lineRule="auto"/>
        <w:rPr>
          <w:szCs w:val="20"/>
        </w:rPr>
      </w:pPr>
      <w:r w:rsidRPr="00E00B35">
        <w:rPr>
          <w:szCs w:val="20"/>
        </w:rPr>
        <w:t>instrukcje i koordynacja pracowników,</w:t>
      </w:r>
    </w:p>
    <w:p w:rsidR="00CA14AB" w:rsidRPr="00E00B35" w:rsidRDefault="00CA14AB" w:rsidP="00BC64AB">
      <w:pPr>
        <w:pStyle w:val="Akapitzlist"/>
        <w:numPr>
          <w:ilvl w:val="0"/>
          <w:numId w:val="217"/>
        </w:numPr>
        <w:spacing w:after="0" w:line="312" w:lineRule="auto"/>
        <w:rPr>
          <w:szCs w:val="20"/>
        </w:rPr>
      </w:pPr>
      <w:r w:rsidRPr="00E00B35">
        <w:rPr>
          <w:szCs w:val="20"/>
        </w:rPr>
        <w:t>wsparcie usług zdalnych.</w:t>
      </w:r>
    </w:p>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Projekt i wdrożenie nowej strony www.</w:t>
      </w:r>
    </w:p>
    <w:p w:rsidR="00CA14AB" w:rsidRPr="00E00B35" w:rsidRDefault="00CA14AB" w:rsidP="00E00B35">
      <w:pPr>
        <w:spacing w:after="0" w:line="312" w:lineRule="auto"/>
        <w:rPr>
          <w:szCs w:val="20"/>
        </w:rPr>
      </w:pPr>
      <w:r w:rsidRPr="00E00B35">
        <w:rPr>
          <w:szCs w:val="20"/>
        </w:rPr>
        <w:t>Wstępne prace nad wdrożeniem Systemu Obiegów Dokumentów EZD.</w:t>
      </w:r>
    </w:p>
    <w:p w:rsidR="00CA14AB" w:rsidRPr="00E00B35" w:rsidRDefault="00CA14AB" w:rsidP="00E00B35">
      <w:pPr>
        <w:spacing w:after="0" w:line="312" w:lineRule="auto"/>
        <w:rPr>
          <w:szCs w:val="20"/>
        </w:rPr>
      </w:pPr>
      <w:r w:rsidRPr="00E00B35">
        <w:rPr>
          <w:szCs w:val="20"/>
        </w:rPr>
        <w:t>Modernizacja instalacji teleinformatycznych:</w:t>
      </w:r>
    </w:p>
    <w:p w:rsidR="00CA14AB" w:rsidRPr="00E00B35" w:rsidRDefault="00CA14AB" w:rsidP="00BC64AB">
      <w:pPr>
        <w:pStyle w:val="Akapitzlist"/>
        <w:numPr>
          <w:ilvl w:val="0"/>
          <w:numId w:val="218"/>
        </w:numPr>
        <w:spacing w:after="0" w:line="312" w:lineRule="auto"/>
        <w:rPr>
          <w:szCs w:val="20"/>
        </w:rPr>
      </w:pPr>
      <w:r w:rsidRPr="00E00B35">
        <w:rPr>
          <w:szCs w:val="20"/>
        </w:rPr>
        <w:t>całkowita modernizacja systemów teleinformatycznych (instalacja domofono- telefoniczna) w Żłobkach nr 9, 4, 7,</w:t>
      </w:r>
    </w:p>
    <w:p w:rsidR="00CA14AB" w:rsidRPr="00E00B35" w:rsidRDefault="00CA14AB" w:rsidP="00BC64AB">
      <w:pPr>
        <w:pStyle w:val="Akapitzlist"/>
        <w:numPr>
          <w:ilvl w:val="0"/>
          <w:numId w:val="218"/>
        </w:numPr>
        <w:spacing w:after="0" w:line="312" w:lineRule="auto"/>
        <w:rPr>
          <w:szCs w:val="20"/>
        </w:rPr>
      </w:pPr>
      <w:r w:rsidRPr="00E00B35">
        <w:rPr>
          <w:szCs w:val="20"/>
        </w:rPr>
        <w:t>wymiana rejestratora CCTV w Żłobku nr 10, 14.</w:t>
      </w:r>
    </w:p>
    <w:p w:rsidR="00C463E4" w:rsidRPr="00E00B35" w:rsidRDefault="00C463E4" w:rsidP="00E00B35">
      <w:pPr>
        <w:spacing w:after="0" w:line="312" w:lineRule="auto"/>
        <w:rPr>
          <w:szCs w:val="20"/>
        </w:rPr>
      </w:pPr>
      <w:bookmarkStart w:id="335" w:name="_Toc72352412"/>
      <w:bookmarkStart w:id="336" w:name="_Toc72352846"/>
    </w:p>
    <w:p w:rsidR="00CA14AB" w:rsidRPr="00E00B35" w:rsidRDefault="00CA14AB" w:rsidP="00E00B35">
      <w:pPr>
        <w:spacing w:after="0" w:line="312" w:lineRule="auto"/>
        <w:rPr>
          <w:szCs w:val="20"/>
        </w:rPr>
      </w:pPr>
      <w:r w:rsidRPr="00E00B35">
        <w:rPr>
          <w:szCs w:val="20"/>
        </w:rPr>
        <w:t>Zakończenie</w:t>
      </w:r>
      <w:bookmarkEnd w:id="335"/>
      <w:bookmarkEnd w:id="336"/>
    </w:p>
    <w:p w:rsidR="00CA14AB" w:rsidRPr="00E00B35" w:rsidRDefault="00CA14AB" w:rsidP="00E00B35">
      <w:pPr>
        <w:spacing w:after="0" w:line="312" w:lineRule="auto"/>
        <w:rPr>
          <w:szCs w:val="20"/>
        </w:rPr>
      </w:pPr>
      <w:r w:rsidRPr="00E00B35">
        <w:rPr>
          <w:szCs w:val="20"/>
        </w:rPr>
        <w:t>Oprócz programu „Mamo tato, wróć do pracy” we Wrocławskim Zespole Żłobków realizowany jest także program MALUCH+ 2020</w:t>
      </w:r>
    </w:p>
    <w:p w:rsidR="00CA14AB" w:rsidRPr="00E00B35" w:rsidRDefault="00CA14AB" w:rsidP="00E00B35">
      <w:pPr>
        <w:spacing w:after="0" w:line="312" w:lineRule="auto"/>
        <w:rPr>
          <w:szCs w:val="20"/>
        </w:rPr>
      </w:pPr>
      <w:r w:rsidRPr="00E00B35">
        <w:rPr>
          <w:szCs w:val="20"/>
        </w:rPr>
        <w:t>Celem programu "Maluch+ 2020" jest zwiększenie dostępności terytorialnej i finansowej miejsc opieki w żłobkach, klubach dziecięcych i u dziennych opiekunów dla wszystkich dzieci, w tym dzieci niepełnosprawnych oraz wymagających szczególnej opieki.</w:t>
      </w:r>
    </w:p>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Wsparciem programu zostały objęte poniższe placówki Wrocławskiego Zespołu Żłobków:</w:t>
      </w:r>
    </w:p>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Żłobek nr 16, ul. Sygnałowa 23</w:t>
      </w:r>
    </w:p>
    <w:p w:rsidR="00CA14AB" w:rsidRPr="00E00B35" w:rsidRDefault="00CA14AB" w:rsidP="00E00B35">
      <w:pPr>
        <w:spacing w:after="0" w:line="312" w:lineRule="auto"/>
        <w:rPr>
          <w:szCs w:val="20"/>
        </w:rPr>
      </w:pPr>
      <w:r w:rsidRPr="00E00B35">
        <w:rPr>
          <w:szCs w:val="20"/>
        </w:rPr>
        <w:t>Wartość projektu: 4.153.014,32 zł</w:t>
      </w:r>
    </w:p>
    <w:p w:rsidR="00CA14AB" w:rsidRPr="00E00B35" w:rsidRDefault="00CA14AB" w:rsidP="00E00B35">
      <w:pPr>
        <w:spacing w:after="0" w:line="312" w:lineRule="auto"/>
        <w:rPr>
          <w:szCs w:val="20"/>
        </w:rPr>
      </w:pPr>
      <w:r w:rsidRPr="00E00B35">
        <w:rPr>
          <w:szCs w:val="20"/>
        </w:rPr>
        <w:t>Wysokość dofinansowania: 3 322 411,46 zł</w:t>
      </w:r>
    </w:p>
    <w:p w:rsidR="00CA14AB" w:rsidRPr="00E00B35" w:rsidRDefault="00CA14AB" w:rsidP="00E00B35">
      <w:pPr>
        <w:spacing w:after="0" w:line="312" w:lineRule="auto"/>
        <w:rPr>
          <w:szCs w:val="20"/>
        </w:rPr>
      </w:pPr>
      <w:r w:rsidRPr="00E00B35">
        <w:rPr>
          <w:szCs w:val="20"/>
        </w:rPr>
        <w:t>Okres realizacji: 1 stycznia 2020 r. – 31 grudnia 2020 r.</w:t>
      </w:r>
    </w:p>
    <w:p w:rsidR="00C463E4" w:rsidRPr="00E00B35" w:rsidRDefault="00C463E4" w:rsidP="00E00B35">
      <w:pPr>
        <w:spacing w:after="0" w:line="312" w:lineRule="auto"/>
        <w:rPr>
          <w:szCs w:val="20"/>
        </w:rPr>
      </w:pPr>
    </w:p>
    <w:p w:rsidR="00CA14AB" w:rsidRPr="00E00B35" w:rsidRDefault="00604CD2" w:rsidP="00E00B35">
      <w:pPr>
        <w:spacing w:after="0" w:line="312" w:lineRule="auto"/>
        <w:rPr>
          <w:szCs w:val="20"/>
        </w:rPr>
      </w:pPr>
      <w:r w:rsidRPr="00E00B35">
        <w:rPr>
          <w:szCs w:val="20"/>
        </w:rPr>
        <w:t xml:space="preserve">Filia Żłobka nr 5, ul. K. i </w:t>
      </w:r>
      <w:r w:rsidR="00CA14AB" w:rsidRPr="00E00B35">
        <w:rPr>
          <w:szCs w:val="20"/>
        </w:rPr>
        <w:t>M. Barskich 45</w:t>
      </w:r>
    </w:p>
    <w:p w:rsidR="00CA14AB" w:rsidRPr="00E00B35" w:rsidRDefault="00CA14AB" w:rsidP="00E00B35">
      <w:pPr>
        <w:spacing w:after="0" w:line="312" w:lineRule="auto"/>
        <w:rPr>
          <w:szCs w:val="20"/>
        </w:rPr>
      </w:pPr>
      <w:r w:rsidRPr="00E00B35">
        <w:rPr>
          <w:szCs w:val="20"/>
        </w:rPr>
        <w:t>Wysokość dofinansowania: 47 520,00 zł</w:t>
      </w:r>
    </w:p>
    <w:p w:rsidR="00CA14AB" w:rsidRPr="00E00B35" w:rsidRDefault="00CA14AB" w:rsidP="00E00B35">
      <w:pPr>
        <w:spacing w:after="0" w:line="312" w:lineRule="auto"/>
        <w:rPr>
          <w:szCs w:val="20"/>
        </w:rPr>
      </w:pPr>
      <w:r w:rsidRPr="00E00B35">
        <w:rPr>
          <w:szCs w:val="20"/>
        </w:rPr>
        <w:t>Okres realizacji: 1 stycznia 2020 r. – 31 grudnia 2020 r.</w:t>
      </w:r>
    </w:p>
    <w:p w:rsidR="00CA14AB" w:rsidRPr="00E00B35" w:rsidRDefault="00CA14AB" w:rsidP="00E00B35">
      <w:pPr>
        <w:spacing w:after="0" w:line="312" w:lineRule="auto"/>
        <w:rPr>
          <w:szCs w:val="20"/>
        </w:rPr>
      </w:pPr>
      <w:r w:rsidRPr="00E00B35">
        <w:rPr>
          <w:szCs w:val="20"/>
        </w:rPr>
        <w:lastRenderedPageBreak/>
        <w:t>Dofinansowanie bieżącego funkcjonowania 32 miejsc opieki utworzonych w latach poprzednich z dofinansowaniem Programu Maluch+.</w:t>
      </w:r>
    </w:p>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Żłobek nr 14, ul. Mulicka 4c, Wrocław</w:t>
      </w:r>
    </w:p>
    <w:p w:rsidR="00CA14AB" w:rsidRPr="00E00B35" w:rsidRDefault="00CA14AB" w:rsidP="00E00B35">
      <w:pPr>
        <w:spacing w:after="0" w:line="312" w:lineRule="auto"/>
        <w:rPr>
          <w:szCs w:val="20"/>
        </w:rPr>
      </w:pPr>
      <w:r w:rsidRPr="00E00B35">
        <w:rPr>
          <w:szCs w:val="20"/>
        </w:rPr>
        <w:t>Wysokość dofinansowania: 29 700,00 zł</w:t>
      </w:r>
    </w:p>
    <w:p w:rsidR="00CA14AB" w:rsidRPr="00E00B35" w:rsidRDefault="00CA14AB" w:rsidP="00E00B35">
      <w:pPr>
        <w:spacing w:after="0" w:line="312" w:lineRule="auto"/>
        <w:rPr>
          <w:szCs w:val="20"/>
        </w:rPr>
      </w:pPr>
      <w:r w:rsidRPr="00E00B35">
        <w:rPr>
          <w:szCs w:val="20"/>
        </w:rPr>
        <w:t>Okres realizacji: 1 stycznia 2020 r. – 31 grudnia 2020 r.</w:t>
      </w:r>
    </w:p>
    <w:p w:rsidR="00CA14AB" w:rsidRPr="00E00B35" w:rsidRDefault="00CA14AB" w:rsidP="00E00B35">
      <w:pPr>
        <w:spacing w:after="0" w:line="312" w:lineRule="auto"/>
        <w:rPr>
          <w:szCs w:val="20"/>
        </w:rPr>
      </w:pPr>
      <w:r w:rsidRPr="00E00B35">
        <w:rPr>
          <w:szCs w:val="20"/>
        </w:rPr>
        <w:t>Dofinansowanie bieżącego funkcjonowania 20 miejsc opieki utworzonych w latach poprzednich z dofinansowaniem Programu Maluch+.</w:t>
      </w:r>
    </w:p>
    <w:p w:rsidR="00CA14AB" w:rsidRPr="00E00B35" w:rsidRDefault="00CA14AB" w:rsidP="00E00B35">
      <w:pPr>
        <w:spacing w:after="0" w:line="312" w:lineRule="auto"/>
        <w:rPr>
          <w:szCs w:val="20"/>
        </w:rPr>
      </w:pPr>
      <w:r w:rsidRPr="00E00B35">
        <w:rPr>
          <w:szCs w:val="20"/>
        </w:rPr>
        <w:t>W 2020 r. rozstrzygnięto przetarg na budowę żłobka razem z filią Miejskiej Biblioteki Publicznej przy ul. Sołtysowickiej 9a w Sołtysowicach. Nowy żłobek pomieści 150 dzieci    i będzie mieć pięć oddziałów.</w:t>
      </w:r>
    </w:p>
    <w:p w:rsidR="00CA14AB" w:rsidRPr="00E00B35" w:rsidRDefault="00CA14AB" w:rsidP="00E00B35">
      <w:pPr>
        <w:spacing w:after="0" w:line="312" w:lineRule="auto"/>
        <w:rPr>
          <w:szCs w:val="20"/>
        </w:rPr>
      </w:pPr>
      <w:r w:rsidRPr="00E00B35">
        <w:rPr>
          <w:szCs w:val="20"/>
        </w:rPr>
        <w:t xml:space="preserve">W celu wdrożenia nowoczesnego systemu inwentaryzacyjnego, który znacznie przyspieszy i oszczędzi czas pracy podczas inwentaryzacji środków trwałych zakupiono profesjonalny sprzęty do inwentaryzacji - kolektor danych, skaner kodów kreskowych, drukarkę kodów kreskowych oraz oprogramowanie do skomunikowania kolektora danych z informatycznym systemem do obsługi finansowo-księgowej. </w:t>
      </w:r>
    </w:p>
    <w:p w:rsidR="00C463E4" w:rsidRPr="00E00B35" w:rsidRDefault="00C463E4" w:rsidP="00E00B35">
      <w:pPr>
        <w:spacing w:after="0" w:line="312" w:lineRule="auto"/>
        <w:rPr>
          <w:szCs w:val="20"/>
        </w:rPr>
      </w:pPr>
      <w:bookmarkStart w:id="337" w:name="_Toc72352413"/>
      <w:bookmarkStart w:id="338" w:name="_Toc72352847"/>
      <w:bookmarkStart w:id="339" w:name="_Toc72357849"/>
      <w:bookmarkStart w:id="340" w:name="_Toc72358003"/>
    </w:p>
    <w:p w:rsidR="00CA14AB" w:rsidRPr="00E00B35" w:rsidRDefault="00CA14AB" w:rsidP="00E00B35">
      <w:pPr>
        <w:pStyle w:val="Nagwek4"/>
        <w:spacing w:before="0" w:after="0" w:line="312" w:lineRule="auto"/>
        <w:rPr>
          <w:sz w:val="20"/>
          <w:szCs w:val="20"/>
        </w:rPr>
      </w:pPr>
      <w:r w:rsidRPr="00E00B35">
        <w:rPr>
          <w:sz w:val="20"/>
          <w:szCs w:val="20"/>
        </w:rPr>
        <w:t>MIEJSKIE CENTRUM USŁUG SOCJALNYCH WE WROCŁAWIU</w:t>
      </w:r>
      <w:bookmarkEnd w:id="337"/>
      <w:bookmarkEnd w:id="338"/>
      <w:bookmarkEnd w:id="339"/>
      <w:bookmarkEnd w:id="340"/>
    </w:p>
    <w:p w:rsidR="00CA14AB" w:rsidRPr="00E00B35" w:rsidRDefault="00CA14AB" w:rsidP="00E00B35">
      <w:pPr>
        <w:spacing w:after="0" w:line="312" w:lineRule="auto"/>
        <w:rPr>
          <w:szCs w:val="20"/>
        </w:rPr>
      </w:pPr>
      <w:bookmarkStart w:id="341" w:name="_Toc72352414"/>
      <w:bookmarkStart w:id="342" w:name="_Toc72352848"/>
      <w:r w:rsidRPr="00E00B35">
        <w:rPr>
          <w:szCs w:val="20"/>
        </w:rPr>
        <w:t>W 2020 r. Miejskie Centrum Usług Socjalnych we Wrocławiu (MCUS) zapewniało realizację opieki dla 819 mieszkańców Wrocławia średniomiesięcznie, w tym opiekę całodobową w domach pomocy społecznej dla 624 mieszkańców średniomiesięcznie i dzienną opiekę w ośrodkach wsparcia dla 195 klientów średniomiesięcznie. Podopiecznymi są osoby, które uzyskały uprawnienia do określonej formy pomocy społecznej, przyznane decyzją administracyjną wydaną zasadniczo przez Miejski Ośrodek Pomocy Społecznej we Wrocławiu.</w:t>
      </w:r>
      <w:bookmarkEnd w:id="341"/>
      <w:bookmarkEnd w:id="342"/>
      <w:r w:rsidRPr="00E00B35">
        <w:rPr>
          <w:szCs w:val="20"/>
        </w:rPr>
        <w:t xml:space="preserve"> </w:t>
      </w:r>
    </w:p>
    <w:p w:rsidR="00CA14AB" w:rsidRPr="00E00B35" w:rsidRDefault="00CA14AB" w:rsidP="00E00B35">
      <w:pPr>
        <w:spacing w:after="0" w:line="312" w:lineRule="auto"/>
        <w:rPr>
          <w:szCs w:val="20"/>
          <w:highlight w:val="yellow"/>
        </w:rPr>
      </w:pPr>
      <w:r w:rsidRPr="00E00B35">
        <w:rPr>
          <w:szCs w:val="20"/>
        </w:rPr>
        <w:t>W ramach powyższych zadań zapewniano mieszkańcom i klientom usługi opiekuńcze, bytowe, wspomagające, w tym z zakresu terapii zajęciowej, poprawiającej sprawność ruchową i psychofizyczną oraz wspierającą rozwój kulturalno-oświatowy. Działania terapeutyczne obejmowały także zaspokajanie potrzeb kontaktu ze środowiskiem oraz kształtowania poczucia wspólnoty nie tylko w ramach poszczególnych placówek, ale także ze środowiskiem lokalnym, w tym organizowane były spotkania z dziećmi i młodzieżą z wrocławskich placówek oświatowych. Wartością dodaną MCUS jest możliwość realizacji oferty opiekuńczej i wspomagającej jednocześnie dla mieszkańców domów pomocy społecznej i klientów dziennych domów pomocy.</w:t>
      </w:r>
    </w:p>
    <w:p w:rsidR="00CA14AB" w:rsidRPr="00E00B35" w:rsidRDefault="00CA14AB" w:rsidP="00E00B35">
      <w:pPr>
        <w:spacing w:after="0" w:line="312" w:lineRule="auto"/>
        <w:rPr>
          <w:szCs w:val="20"/>
        </w:rPr>
      </w:pPr>
      <w:bookmarkStart w:id="343" w:name="_Toc72352415"/>
      <w:bookmarkStart w:id="344" w:name="_Toc72352849"/>
      <w:r w:rsidRPr="00E00B35">
        <w:rPr>
          <w:szCs w:val="20"/>
        </w:rPr>
        <w:t>Projekty z dofinansowaniem zewnętrznym w MCUS</w:t>
      </w:r>
      <w:bookmarkEnd w:id="343"/>
      <w:bookmarkEnd w:id="344"/>
    </w:p>
    <w:p w:rsidR="00CA14AB" w:rsidRPr="00E00B35" w:rsidRDefault="00CA14AB" w:rsidP="00E00B35">
      <w:pPr>
        <w:spacing w:after="0" w:line="312" w:lineRule="auto"/>
        <w:rPr>
          <w:szCs w:val="20"/>
        </w:rPr>
      </w:pPr>
      <w:r w:rsidRPr="00E00B35">
        <w:rPr>
          <w:szCs w:val="20"/>
        </w:rPr>
        <w:t xml:space="preserve">W MCUS na bieżąco monitorowano możliwość pozyskiwania dofinansowania ze środków zewnętrznych na działania bieżące domów pomocy społecznej i dziennych domów pomocy oraz infrastrukturę. </w:t>
      </w:r>
    </w:p>
    <w:p w:rsidR="00CA14AB" w:rsidRPr="00E00B35" w:rsidRDefault="00CA14AB" w:rsidP="00E00B35">
      <w:pPr>
        <w:spacing w:after="0" w:line="312" w:lineRule="auto"/>
        <w:rPr>
          <w:rFonts w:eastAsia="Calibri"/>
          <w:szCs w:val="20"/>
        </w:rPr>
      </w:pPr>
      <w:r w:rsidRPr="00E00B35">
        <w:rPr>
          <w:rFonts w:eastAsia="Calibri"/>
          <w:szCs w:val="20"/>
        </w:rPr>
        <w:t xml:space="preserve">W styczniu 2020 roku otwarto dla klientów ostatni z planowanych do uruchomienia w latach 2019-2020 czterech dziennych domów pomocy. Nowy Dzienny Dom Pomocy powstał w Leśnicy przy ul. Władysława Skoczylasa 8. Tym samym w ostatnich dwóch latach (2019 i 2020)  utworzono 4 nowe dzienne domy pomocy (pozostałe przy ul. Karmelkowej 25 (1 DDP) i przy ul. Semaforowej 5 (2 DDP) i  uzyskano we Wrocławiu w </w:t>
      </w:r>
      <w:r w:rsidRPr="00E00B35">
        <w:rPr>
          <w:rFonts w:eastAsia="Calibri"/>
          <w:szCs w:val="20"/>
        </w:rPr>
        <w:lastRenderedPageBreak/>
        <w:t>sumie dodatkowe 120 miejsc (po 30 w każdym DDP) dla osób niesamodzielnych, w szczególności starszych, które ze względu na wiek schorzenia lub niepełnosprawność nie są w stanie samodzielnie funkcjonować, a osoby bliskie nie są w stanie zapewnić pomocy. Inwestycję zrealizowano w ramach projektu Utworzenie Dziennego Domu Pomocy i Klubu Integracji Społecznej przy ul. Skoczylasa 8 we Wrocławiu oraz rozbudowa Wrocławskiego Centrum Integracji przy ul. Strzegomska 49 we Wrocławiu. Koszty inwestycji w części DDP przy ul. Skoczylasa 8 wyniosły w projekcie 4.505.552,31 zł, w tym uzyskane dofinansowanie UE 3.468.552,90 zł, tj. 77</w:t>
      </w:r>
      <w:r w:rsidRPr="00E00B35" w:rsidDel="00DD6D5A">
        <w:rPr>
          <w:rFonts w:eastAsia="Calibri"/>
          <w:szCs w:val="20"/>
        </w:rPr>
        <w:t>%</w:t>
      </w:r>
      <w:r w:rsidRPr="00E00B35">
        <w:rPr>
          <w:rFonts w:eastAsia="Calibri"/>
          <w:szCs w:val="20"/>
        </w:rPr>
        <w:t>, w ramach Regionalnego Programu Operacyjnego Województwa Dolnośląskiego 2014-2020, Oś priorytetowa 6 Infrastruktura spójności społecznej, działanie nr 6.1 „Inwestycje w infrastrukturę społeczną”, podziałanie nr 6.1.2 „Inwestycje w infrastrukturę społeczną - ZIT WrOF”.</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4932680" cy="3296920"/>
            <wp:effectExtent l="19050" t="0" r="1270" b="0"/>
            <wp:docPr id="94" name="Obraz 1" descr="Budynek mieszkalny murowany, trzykondygnacyjny z dużą ilością okien,  okna sklepione łukowo na 2 pierwszych piętrach.  Drzwi wejściowe tylne w centralnej częśc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udynek mieszkalny murowany, trzykondygnacyjny z dużą ilością okien,  okna sklepione łukowo na 2 pierwszych piętrach.  Drzwi wejściowe tylne w centralnej części. "/>
                    <pic:cNvPicPr>
                      <a:picLocks noChangeAspect="1" noChangeArrowheads="1"/>
                    </pic:cNvPicPr>
                  </pic:nvPicPr>
                  <pic:blipFill>
                    <a:blip r:embed="rId123" cstate="print"/>
                    <a:srcRect/>
                    <a:stretch>
                      <a:fillRect/>
                    </a:stretch>
                  </pic:blipFill>
                  <pic:spPr bwMode="auto">
                    <a:xfrm>
                      <a:off x="0" y="0"/>
                      <a:ext cx="4932680" cy="3296920"/>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Fot. </w:t>
      </w:r>
      <w:hyperlink r:id="rId124" w:history="1">
        <w:r w:rsidRPr="00E00B35">
          <w:rPr>
            <w:rFonts w:eastAsia="Calibri"/>
            <w:szCs w:val="20"/>
          </w:rPr>
          <w:t>www.wroclaw.pl</w:t>
        </w:r>
      </w:hyperlink>
      <w:r w:rsidRPr="00E00B35">
        <w:rPr>
          <w:szCs w:val="20"/>
        </w:rPr>
        <w:t xml:space="preserve"> DDP ul. W. Skoczylasa</w:t>
      </w:r>
    </w:p>
    <w:p w:rsidR="00CA14AB" w:rsidRPr="00E00B35" w:rsidRDefault="00CA14AB" w:rsidP="00E00B35">
      <w:pPr>
        <w:spacing w:after="0" w:line="312" w:lineRule="auto"/>
        <w:rPr>
          <w:rFonts w:eastAsia="Calibri"/>
          <w:szCs w:val="20"/>
        </w:rPr>
      </w:pPr>
      <w:r w:rsidRPr="00E00B35">
        <w:rPr>
          <w:szCs w:val="20"/>
        </w:rPr>
        <w:lastRenderedPageBreak/>
        <w:t xml:space="preserve"> </w:t>
      </w:r>
      <w:r w:rsidRPr="00E00B35">
        <w:rPr>
          <w:noProof/>
          <w:szCs w:val="20"/>
          <w:lang w:val="pl-PL" w:eastAsia="pl-PL" w:bidi="ar-SA"/>
        </w:rPr>
        <w:drawing>
          <wp:inline distT="0" distB="0" distL="0" distR="0">
            <wp:extent cx="4932680" cy="3296920"/>
            <wp:effectExtent l="19050" t="0" r="1270" b="0"/>
            <wp:docPr id="93" name="Obraz 2" descr="Duża  altana ogrodowa  otwarta ośmiokątna w centralnej części, z  okrągłym stołem i siedziskami wokół.  Konstrukcja wykonana z drewna. Wokół chodnik z kostki brukowej dużą ilością ławek ogrodowych drewnianych z nogami żeliwny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Duża  altana ogrodowa  otwarta ośmiokątna w centralnej części, z  okrągłym stołem i siedziskami wokół.  Konstrukcja wykonana z drewna. Wokół chodnik z kostki brukowej dużą ilością ławek ogrodowych drewnianych z nogami żeliwnymi."/>
                    <pic:cNvPicPr>
                      <a:picLocks noChangeAspect="1" noChangeArrowheads="1"/>
                    </pic:cNvPicPr>
                  </pic:nvPicPr>
                  <pic:blipFill>
                    <a:blip r:embed="rId125" cstate="print"/>
                    <a:srcRect/>
                    <a:stretch>
                      <a:fillRect/>
                    </a:stretch>
                  </pic:blipFill>
                  <pic:spPr bwMode="auto">
                    <a:xfrm>
                      <a:off x="0" y="0"/>
                      <a:ext cx="4932680" cy="3296920"/>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rFonts w:eastAsia="Calibri"/>
          <w:szCs w:val="20"/>
        </w:rPr>
      </w:pPr>
      <w:r w:rsidRPr="00E00B35">
        <w:rPr>
          <w:szCs w:val="20"/>
        </w:rPr>
        <w:t xml:space="preserve">Fot. </w:t>
      </w:r>
      <w:hyperlink r:id="rId126" w:history="1">
        <w:r w:rsidRPr="00E00B35">
          <w:rPr>
            <w:rFonts w:eastAsia="Calibri"/>
            <w:szCs w:val="20"/>
          </w:rPr>
          <w:t>www.wroclaw.pl</w:t>
        </w:r>
      </w:hyperlink>
      <w:r w:rsidRPr="00E00B35">
        <w:rPr>
          <w:szCs w:val="20"/>
        </w:rPr>
        <w:t xml:space="preserve"> DDP ul. W. Skoczylasa</w:t>
      </w:r>
    </w:p>
    <w:p w:rsidR="00CA14AB" w:rsidRPr="00E00B35" w:rsidRDefault="00CA14AB" w:rsidP="00E00B35">
      <w:pPr>
        <w:spacing w:after="0" w:line="312" w:lineRule="auto"/>
        <w:rPr>
          <w:szCs w:val="20"/>
        </w:rPr>
      </w:pPr>
      <w:r w:rsidRPr="00E00B35">
        <w:rPr>
          <w:szCs w:val="20"/>
        </w:rPr>
        <w:t>Otwarcie Dziennego Domu Pomocy przy ul. W. Skoczylasa odbyło się w dniu 20 stycznia 2020 r. o godz. 13:00. Uroczystego przecięcia wstęgi dokonali: Jacek Sutryk – prezydent Wrocławia, Sergiusz Kmiecik – wiceprzewodniczący Komisji ds. Polityki Senioralnej, Jadwiga Góralewicz – dyrektor Wrocławskiego Centrum Integracji, Janusz Nałęcki – dyrektor Miejskiego Centrum Usług Socjalnych we Wrocławiu oraz przyszła Klientka Dziennego Domu Pomocy.</w:t>
      </w:r>
    </w:p>
    <w:p w:rsidR="00CA14AB" w:rsidRPr="00E00B35" w:rsidRDefault="00CA14AB" w:rsidP="00E00B35">
      <w:pPr>
        <w:spacing w:after="0" w:line="312" w:lineRule="auto"/>
        <w:rPr>
          <w:szCs w:val="20"/>
        </w:rPr>
      </w:pPr>
      <w:r w:rsidRPr="00E00B35">
        <w:rPr>
          <w:szCs w:val="20"/>
        </w:rPr>
        <w:t>Na spotkaniu byli obecni przedstawiciele Rady Miejskiej Wrocławia, Urzędu Miasta Wrocławia, Miejskiego Ośrodka Pomocy Społecznej, Wrocławskiego Centrum Integracji, Partnera Fundacji Bajkowy Świat, lokalne media oraz seniorzy wraz z opiekunami faktycznymi. Relacja z wydarzenia pojawiła się w mediach na stronie www projektu.</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4932680" cy="3296920"/>
            <wp:effectExtent l="19050" t="0" r="1270" b="0"/>
            <wp:docPr id="92" name="Obraz 4" descr="Duża grupa osób.  Na pierwszym planie 5 osób w stojących w szeregu, przecinających czerwoną wstęgę z otwar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Duża grupa osób.  Na pierwszym planie 5 osób w stojących w szeregu, przecinających czerwoną wstęgę z otwarcia.  "/>
                    <pic:cNvPicPr>
                      <a:picLocks noChangeAspect="1" noChangeArrowheads="1"/>
                    </pic:cNvPicPr>
                  </pic:nvPicPr>
                  <pic:blipFill>
                    <a:blip r:embed="rId127" cstate="print"/>
                    <a:srcRect/>
                    <a:stretch>
                      <a:fillRect/>
                    </a:stretch>
                  </pic:blipFill>
                  <pic:spPr bwMode="auto">
                    <a:xfrm>
                      <a:off x="0" y="0"/>
                      <a:ext cx="4932680" cy="3296920"/>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 xml:space="preserve">Fot. </w:t>
      </w:r>
      <w:hyperlink r:id="rId128" w:history="1">
        <w:r w:rsidRPr="00E00B35">
          <w:rPr>
            <w:rFonts w:eastAsia="Calibri"/>
            <w:szCs w:val="20"/>
          </w:rPr>
          <w:t>www.wroclaw.pl</w:t>
        </w:r>
      </w:hyperlink>
      <w:r w:rsidRPr="00E00B35">
        <w:rPr>
          <w:szCs w:val="20"/>
        </w:rPr>
        <w:t xml:space="preserve"> Otwarcie DDP przy ul. Skoczylasa 8 Od prawej: przyszła Klientka Dziennego Domu Pomocy, Jacek Sutryk – prezydent Wrocławia, Janusz Nałęcki – dyrektor Miejskiego Centrum Usług Socjalnych we Wrocławiu, Jadwiga Góralewicz – dyrektor Wrocławskiego Centrum Integracji, Sergiusz Kmiecik – wiceprzewodniczący Komisji ds. Polityki Senioralnej.</w:t>
      </w:r>
    </w:p>
    <w:p w:rsidR="00CA14AB" w:rsidRPr="00E00B35" w:rsidRDefault="00CA14AB" w:rsidP="00E00B35">
      <w:pPr>
        <w:spacing w:after="0" w:line="312" w:lineRule="auto"/>
        <w:rPr>
          <w:szCs w:val="20"/>
        </w:rPr>
      </w:pPr>
      <w:r w:rsidRPr="00E00B35">
        <w:rPr>
          <w:szCs w:val="20"/>
        </w:rPr>
        <w:t>Działania bieżące w nowym  Dzienny Domu Pomocy są dofinansowane z Europejskiego Funduszu Społecznego w ramach projektu społecznego pn. Mój drugi dom – zapewnienie wsparcia dla osób niesamodzielnych w Dziennych Domach Pomocy we Wrocławiu, realizowanego w ramach Regionalnego Programu Operacyjnego Województwa Dolnośląskiego</w:t>
      </w:r>
      <w:r w:rsidRPr="00E00B35" w:rsidDel="0027743C">
        <w:rPr>
          <w:szCs w:val="20"/>
        </w:rPr>
        <w:t xml:space="preserve"> </w:t>
      </w:r>
      <w:r w:rsidRPr="00E00B35">
        <w:rPr>
          <w:szCs w:val="20"/>
        </w:rPr>
        <w:t xml:space="preserve">2014-2020 Oś priorytetowa 9 Włączenie społeczne, Poddziałanie: 9.2.1 Dostęp do wysokiej jakości usług społecznych – konkursy horyzontalne. Celem projektu jest utworzenie nowych miejsc i usług opiekuńczych w 4 dziennych domach pomocy, które są ośrodkami wsparcia przeznaczonymi dla osób niesamodzielnych, zapewniającymi usługi opiekuńcze, specjalistyczne usługi opiekuńcze oraz aktywizację w sferze fizycznej, intelektualnej oraz społecznej. Wsparciem objęto również rodziny/bliskich klientów (opiekunów faktycznych), dla których zapewnia się poradnictwo psychologa i pielęgniarki oraz spotkania integracyjne prowadzące do wymiany doświadczeń, grupy wsparcia. </w:t>
      </w:r>
    </w:p>
    <w:p w:rsidR="00CA14AB" w:rsidRPr="00E00B35" w:rsidRDefault="00CA14AB" w:rsidP="00E00B35">
      <w:pPr>
        <w:spacing w:after="0" w:line="312" w:lineRule="auto"/>
        <w:rPr>
          <w:szCs w:val="20"/>
        </w:rPr>
      </w:pPr>
      <w:r w:rsidRPr="00E00B35">
        <w:rPr>
          <w:szCs w:val="20"/>
        </w:rPr>
        <w:t>Okres realizacji projektu trwa od dnia 01.01.2019 r. do dnia 31.10.2021 r. Całkowita wartość projektu wynosi 8.777.028,16 zł, a wartość dofinansowania wynosi 8.338.176,75 zł, tj. 95 % wartości projektu.</w:t>
      </w:r>
    </w:p>
    <w:p w:rsidR="00CA14AB" w:rsidRPr="00E00B35" w:rsidRDefault="00CA14AB" w:rsidP="00E00B35">
      <w:pPr>
        <w:spacing w:after="0" w:line="312" w:lineRule="auto"/>
        <w:rPr>
          <w:szCs w:val="20"/>
        </w:rPr>
      </w:pPr>
      <w:r w:rsidRPr="00E00B35">
        <w:rPr>
          <w:szCs w:val="20"/>
        </w:rPr>
        <w:t>W MCUS kontynuowano także projekty z komponentem ponadnarodowym. W ramach Programu Operacyjnego Wiedza Edukacja Rozwój 2014-2020 Oś priorytetowa: IV. Innowacje społeczne i współpraca ponadnarodowa Działanie: 4.3 Współpraca ponadnarodowa współfinansowanego ze środków Europejskiego Funduszu Społecznego kontynuowano lub rozpoczęto realizację dwóch projektów:</w:t>
      </w:r>
    </w:p>
    <w:p w:rsidR="00CA14AB" w:rsidRPr="00E00B35" w:rsidRDefault="00CA14AB" w:rsidP="00E00B35">
      <w:pPr>
        <w:spacing w:after="0" w:line="312" w:lineRule="auto"/>
        <w:rPr>
          <w:szCs w:val="20"/>
        </w:rPr>
      </w:pPr>
      <w:r w:rsidRPr="00E00B35">
        <w:rPr>
          <w:szCs w:val="20"/>
        </w:rPr>
        <w:t xml:space="preserve">ujęty w ramach zadania nr 106 w dokumencie „Założenia polityki społeczno-gospodarczej na rok budżetowy 2019” projekt pn. Domowa przystań, którego głównym celem jest </w:t>
      </w:r>
      <w:r w:rsidRPr="00E00B35">
        <w:rPr>
          <w:szCs w:val="20"/>
        </w:rPr>
        <w:lastRenderedPageBreak/>
        <w:t>podniesienie jakości i poszerzenie oferty usług prozdrowotnych i socjalnych świadczonych w DDP poprzez transfer, zaadoptowanie i wdrożenie nowego modelu wsparcia klientów DDP oraz ich rodzin i/lub opiekunów w miejscu zamieszkania, dzięki współpracy z partnerami ponadnarodowym i krajowym. Liderem projektu jest Gmina Wrocław (projekt realizowany przez MCUS) w partnerstwie z krajowym z Uniwersytetem Medycznym im. Piastów Śląskich we Wrocławiu i ponadnarodowym podmiotem Azienda Pubblica Di Servizi Alla Persona Citta Di Bologna (Włochy). Całkowita wartość projektu wynosi 1.039.938,43 zł, w tym wartość dofinansowania wynosi 1.008.740,28 zł, tj. 97 % wartości projektu (3% wkład własny 31.198, 15 zł). Realizacja projektu zakończyła się w 2020. W ramach projektu wypracowano Nowy Model Wsparcia dedykowany klientom DDP oraz ich rodzinom, z uwzględnieniem dodatkowych kompetencji pracowników DDP.</w:t>
      </w:r>
    </w:p>
    <w:p w:rsidR="00CA14AB" w:rsidRPr="00E00B35" w:rsidRDefault="00CA14AB" w:rsidP="00E00B35">
      <w:pPr>
        <w:spacing w:after="0" w:line="312" w:lineRule="auto"/>
        <w:rPr>
          <w:szCs w:val="20"/>
        </w:rPr>
      </w:pPr>
      <w:r w:rsidRPr="00E00B35">
        <w:rPr>
          <w:szCs w:val="20"/>
        </w:rPr>
        <w:t>projekt pn. Każdego dnia bezpieczniej w domach pomocy społecznej rozpoczęto we wrześniu 2019 roku. Głównym celem projektu jest podniesienie jakości usług socjalnych świadczonych w dziennych domach pomocy poprzez transfer, zaadoptowanie i wdrożenie nowego modelu zapobiegania następstwom nieszczęśliwych zdarzeń i ich skutkom. Nowy Model Zapobiegnia (nieszczęśliwym zdarzeniom) będzie polegał na podniesieniu wiedzy klientów dziennych domów pomocy, członków rodzin oraz opiekunów faktycznych z zakresu bezpieczeństwa zachowań poprzez prowadzenie szkoleń/spotkań, utrwaleniu pozytywnych działań i zachowań prewencyjnych klientów dziennych domów pomocy. Liderem projektu jest Gmina Wrocław (projekt realizuje MCUS) w partnerstwie krajowym z Uniwersytetem Medyczny im. Piastów Śląskich we Wrocławiu i ponadnarodowym z podmiotem włoskim Azienda Pubblica di Servizi alla Persona Giorgio Gasparini Vignola (Włochy). Uczestnikami projektu są klienci dziennych domów pomocy, członkowie rodzin, opiekunowie faktyczni (odbiorcy) oraz pracownicy dziennych domów pomocy. Całkowita wartość projektu wynosi 1.274.300,49 zł, w tym wartość dofinansowania wynosi 1.236.071,48 zł, tj. 97 % wartości projektu (3% wkład własny 38.229,01 zł). Aktualnie rozpoczęty został etap testowania. Realizacja projektu trwa od dnia września 2019 r. Z uwagi na panującą sytuację epidemiczną i zawieszeniem działalności wszystkich DDP funkcjonujących w strukturze MCUS, projekt również został zawieszany na okres czterech miesięcy, tj. od listopada 2020 r. do końca lutego 2021 r. Projekt zakończy się w 2022 roku.</w:t>
      </w:r>
    </w:p>
    <w:p w:rsidR="00CA14AB" w:rsidRPr="00E00B35" w:rsidRDefault="00CA14AB" w:rsidP="00E00B35">
      <w:pPr>
        <w:spacing w:after="0" w:line="312" w:lineRule="auto"/>
        <w:rPr>
          <w:rFonts w:eastAsia="Calibri"/>
          <w:szCs w:val="20"/>
        </w:rPr>
      </w:pPr>
      <w:r w:rsidRPr="00E00B35">
        <w:rPr>
          <w:rFonts w:eastAsia="Calibri"/>
          <w:szCs w:val="20"/>
        </w:rPr>
        <w:t xml:space="preserve">W 2020 roku w wyniku starań MCUS Gmina Wrocław złożyła dwa wnioski o dofinansowanie w ramach „Programu wyrównywania różnic między regionami III" w 2020 roku realizowanego przez PFRON w obszarze D – likwidacja barier transportowych. Gmina Wrocław uzyskała dofinansowanie na zakup trzech mikrobusów przystosowanych do przewozu osób niepełnosprawnych przeznaczonych dla mieszkańców DPS przy ul. Mącznej 3, klientów dziennych domów pomocy oraz mieszkańców DPS przy ul. Karmelkowej 25. </w:t>
      </w:r>
      <w:r w:rsidRPr="00E00B35">
        <w:rPr>
          <w:szCs w:val="20"/>
        </w:rPr>
        <w:t>Kwota dofinansowania z PFRON wynosi 232.906,71 zł. Całkowity koszt zakupu pojazdów to 569.913,00 zł.</w:t>
      </w:r>
      <w:r w:rsidRPr="00E00B35">
        <w:rPr>
          <w:rFonts w:eastAsia="Calibri"/>
          <w:szCs w:val="20"/>
        </w:rPr>
        <w:t xml:space="preserve"> Zakup pojazdów (realizacja do 25 lutego 2021 r.) korzystnie wpłynie na możliwość korzystania z oferty DDP i DPS przez osoby starsze, niesamodzielne i przyczynia się do przeciwdziałania wykluczeniu społecznemu tych osób. Pojazdy są niezbędne dla realizacji bieżących zadań na rzecz mieszkańców DPS i klientów DDP.</w:t>
      </w:r>
      <w:r w:rsidRPr="00E00B35">
        <w:rPr>
          <w:szCs w:val="20"/>
        </w:rPr>
        <w:t xml:space="preserve"> </w:t>
      </w:r>
      <w:r w:rsidRPr="00E00B35">
        <w:rPr>
          <w:rFonts w:eastAsia="Calibri"/>
          <w:szCs w:val="20"/>
        </w:rPr>
        <w:t xml:space="preserve">Zakup pojazdów zmniejszenia bariery transportowe dla osób niepełnosprawnych, w </w:t>
      </w:r>
      <w:r w:rsidRPr="00E00B35">
        <w:rPr>
          <w:rFonts w:eastAsia="Calibri"/>
          <w:szCs w:val="20"/>
        </w:rPr>
        <w:lastRenderedPageBreak/>
        <w:t>tym starszych, zmniejsza bariery w dostępie do atrakcji kulturalnych i oferty Wrocławia oraz okolic. Dodatkowo przyczyni się także do zapewnienia bieżących możliwości uczestnictwa w codziennych zajęciach przez osoby niepełnosprawne – klientów dziennych domów pomocy. Poza wsparciem w dotarciu do ośrodka i z powrotem do domu, środki transportu będą wykorzystywane w miarę potrzeb w dotarciu klientów do placówek zdrowotnych w ramach usług opiekuńczych świadczonych w DDP oraz pozwoli na uczestnictwo w ciągu dnia osób niesamodzielnych w ofercie kulturalnej Wrocławia oraz działaniach wpływających na integrację społeczną.</w:t>
      </w:r>
    </w:p>
    <w:p w:rsidR="005E6C69" w:rsidRPr="00E00B35" w:rsidRDefault="005E6C69" w:rsidP="00E00B35">
      <w:pPr>
        <w:pStyle w:val="Nagwek5"/>
        <w:rPr>
          <w:szCs w:val="20"/>
        </w:rPr>
      </w:pPr>
      <w:bookmarkStart w:id="345" w:name="_Toc72352416"/>
      <w:bookmarkStart w:id="346" w:name="_Toc72352850"/>
    </w:p>
    <w:p w:rsidR="00CA14AB" w:rsidRPr="00E00B35" w:rsidRDefault="00CA14AB" w:rsidP="00E00B35">
      <w:pPr>
        <w:pStyle w:val="Nagwek5"/>
        <w:rPr>
          <w:szCs w:val="20"/>
        </w:rPr>
      </w:pPr>
      <w:r w:rsidRPr="00E00B35">
        <w:rPr>
          <w:szCs w:val="20"/>
        </w:rPr>
        <w:t>Domy pomocy społecznej</w:t>
      </w:r>
      <w:bookmarkEnd w:id="345"/>
      <w:bookmarkEnd w:id="346"/>
    </w:p>
    <w:p w:rsidR="00CA14AB" w:rsidRPr="00E00B35" w:rsidRDefault="00CA14AB" w:rsidP="00E00B35">
      <w:pPr>
        <w:spacing w:after="0" w:line="312" w:lineRule="auto"/>
        <w:rPr>
          <w:szCs w:val="20"/>
        </w:rPr>
      </w:pPr>
      <w:r w:rsidRPr="00E00B35">
        <w:rPr>
          <w:szCs w:val="20"/>
        </w:rPr>
        <w:t>W MCUS funkcjonują następujące domy pomocy społecznej:</w:t>
      </w:r>
    </w:p>
    <w:p w:rsidR="00CA14AB" w:rsidRPr="00E00B35" w:rsidRDefault="00CA14AB" w:rsidP="00BC64AB">
      <w:pPr>
        <w:pStyle w:val="Akapitzlist"/>
        <w:numPr>
          <w:ilvl w:val="0"/>
          <w:numId w:val="219"/>
        </w:numPr>
        <w:spacing w:after="0" w:line="312" w:lineRule="auto"/>
        <w:rPr>
          <w:szCs w:val="20"/>
        </w:rPr>
      </w:pPr>
      <w:r w:rsidRPr="00E00B35">
        <w:rPr>
          <w:szCs w:val="20"/>
        </w:rPr>
        <w:t>MCUS Dom Pomocy Społecznej przy ul. Mącznej 3 – typ dla osób w podeszłym wieku oraz przewlekle somatycznie chorych</w:t>
      </w:r>
    </w:p>
    <w:p w:rsidR="00CA14AB" w:rsidRPr="00E00B35" w:rsidRDefault="00CA14AB" w:rsidP="00BC64AB">
      <w:pPr>
        <w:pStyle w:val="Akapitzlist"/>
        <w:numPr>
          <w:ilvl w:val="0"/>
          <w:numId w:val="219"/>
        </w:numPr>
        <w:spacing w:after="0" w:line="312" w:lineRule="auto"/>
        <w:rPr>
          <w:szCs w:val="20"/>
        </w:rPr>
      </w:pPr>
      <w:r w:rsidRPr="00E00B35">
        <w:rPr>
          <w:szCs w:val="20"/>
        </w:rPr>
        <w:t>MCUS Dom Pomocy Społecznej przy ul. Rędzińskiej 66/68 – typ dla osób dla przewlekle somatycznie chorych</w:t>
      </w:r>
    </w:p>
    <w:p w:rsidR="00CA14AB" w:rsidRPr="00E00B35" w:rsidRDefault="00CA14AB" w:rsidP="00BC64AB">
      <w:pPr>
        <w:pStyle w:val="Akapitzlist"/>
        <w:numPr>
          <w:ilvl w:val="0"/>
          <w:numId w:val="219"/>
        </w:numPr>
        <w:spacing w:after="0" w:line="312" w:lineRule="auto"/>
        <w:rPr>
          <w:szCs w:val="20"/>
        </w:rPr>
      </w:pPr>
      <w:r w:rsidRPr="00E00B35">
        <w:rPr>
          <w:szCs w:val="20"/>
        </w:rPr>
        <w:t>MCUS Dom Pomocy Społecznej przy ul. Karmelkowej 25 - typ dla osób dla przewlekle somatycznie chorych</w:t>
      </w:r>
    </w:p>
    <w:p w:rsidR="00CA14AB" w:rsidRPr="00E00B35" w:rsidRDefault="00CA14AB" w:rsidP="00BC64AB">
      <w:pPr>
        <w:pStyle w:val="Akapitzlist"/>
        <w:numPr>
          <w:ilvl w:val="0"/>
          <w:numId w:val="219"/>
        </w:numPr>
        <w:spacing w:after="0" w:line="312" w:lineRule="auto"/>
        <w:rPr>
          <w:szCs w:val="20"/>
        </w:rPr>
      </w:pPr>
      <w:r w:rsidRPr="00E00B35">
        <w:rPr>
          <w:szCs w:val="20"/>
        </w:rPr>
        <w:t>MCUS Dom Pomocy Społecznej przy ul. Kaletniczej 8 - typ dla osób dla osób przewlekle psychicznie chorych.</w:t>
      </w:r>
    </w:p>
    <w:p w:rsidR="00CA14AB" w:rsidRPr="00E00B35" w:rsidRDefault="00CA14AB" w:rsidP="00E00B35">
      <w:pPr>
        <w:spacing w:after="0" w:line="312" w:lineRule="auto"/>
        <w:rPr>
          <w:szCs w:val="20"/>
        </w:rPr>
      </w:pPr>
      <w:r w:rsidRPr="00E00B35">
        <w:rPr>
          <w:szCs w:val="20"/>
        </w:rPr>
        <w:t>Do domu pomocy społecznej (dalej DPS) kierowane są osoby wymagające całodobowej opieki z powodu wieku, choroby lub niepełnosprawności, niemogące samodzielnie funkcjonować w codziennym życiu, gdy pomoc środowiskowa nie może zapewnić niezbędnej pomocy tym osobom.</w:t>
      </w:r>
    </w:p>
    <w:p w:rsidR="005E6C69" w:rsidRPr="00E00B35" w:rsidRDefault="005E6C69" w:rsidP="00E00B35">
      <w:pPr>
        <w:pStyle w:val="Nagwek5"/>
        <w:rPr>
          <w:szCs w:val="20"/>
        </w:rPr>
      </w:pPr>
      <w:bookmarkStart w:id="347" w:name="_Toc72352417"/>
      <w:bookmarkStart w:id="348" w:name="_Toc72352851"/>
    </w:p>
    <w:p w:rsidR="00CA14AB" w:rsidRPr="00E00B35" w:rsidRDefault="00CA14AB" w:rsidP="00E00B35">
      <w:pPr>
        <w:pStyle w:val="Nagwek5"/>
        <w:rPr>
          <w:szCs w:val="20"/>
        </w:rPr>
      </w:pPr>
      <w:r w:rsidRPr="00E00B35">
        <w:rPr>
          <w:szCs w:val="20"/>
        </w:rPr>
        <w:t>Standaryzacja w DPS</w:t>
      </w:r>
      <w:bookmarkEnd w:id="347"/>
      <w:bookmarkEnd w:id="348"/>
    </w:p>
    <w:p w:rsidR="00CA14AB" w:rsidRPr="00E00B35" w:rsidRDefault="00CA14AB" w:rsidP="00E00B35">
      <w:pPr>
        <w:spacing w:after="0" w:line="312" w:lineRule="auto"/>
        <w:rPr>
          <w:szCs w:val="20"/>
        </w:rPr>
      </w:pPr>
      <w:r w:rsidRPr="00E00B35">
        <w:rPr>
          <w:szCs w:val="20"/>
        </w:rPr>
        <w:t>Zgodnie z ustawą z dnia 12 marca 2004 r. o pomocy społecznej DPS świadczy usługi bytowe, opiekuńcze, wspomagające i edukacyjne na poziomie obowiązującego standardu, w zakresie i formach wynikających z indywidualnych potrzeb osób w nim przebywających - mieszkańców. Standaryzacja pozwala na zapewnienie odpowiedniej jakości usług, ale też ma wymierny wpływ na koszt utrzymania mieszkańca w DPS.</w:t>
      </w:r>
    </w:p>
    <w:p w:rsidR="00CA14AB" w:rsidRPr="00E00B35" w:rsidRDefault="00CA14AB" w:rsidP="00E00B35">
      <w:pPr>
        <w:spacing w:after="0" w:line="312" w:lineRule="auto"/>
        <w:rPr>
          <w:szCs w:val="20"/>
        </w:rPr>
      </w:pPr>
      <w:r w:rsidRPr="00E00B35">
        <w:rPr>
          <w:szCs w:val="20"/>
        </w:rPr>
        <w:t>Wszystkie DPS funkcjonujące w MCUS spełniają obowiązujące przepisami standardy i działają na podstawie:</w:t>
      </w:r>
    </w:p>
    <w:p w:rsidR="00CA14AB" w:rsidRPr="00E00B35" w:rsidRDefault="00CA14AB" w:rsidP="00BC64AB">
      <w:pPr>
        <w:pStyle w:val="Akapitzlist"/>
        <w:numPr>
          <w:ilvl w:val="0"/>
          <w:numId w:val="220"/>
        </w:numPr>
        <w:spacing w:after="0" w:line="312" w:lineRule="auto"/>
        <w:rPr>
          <w:szCs w:val="20"/>
        </w:rPr>
      </w:pPr>
      <w:r w:rsidRPr="00E00B35">
        <w:rPr>
          <w:szCs w:val="20"/>
        </w:rPr>
        <w:t>Decyzji Nr PS.II.9013-15/10 z dnia 15 grudnia 2010 r. Wojewoda Dolnośląski wydał zezwolenie na prowadzenie Miejskiego Centrum Usług Socjalnych Domu Pomocy Społecznej przy ul. Rędzińskiej 66/68 we Wrocławiu;</w:t>
      </w:r>
    </w:p>
    <w:p w:rsidR="00CA14AB" w:rsidRPr="00E00B35" w:rsidRDefault="00CA14AB" w:rsidP="00BC64AB">
      <w:pPr>
        <w:pStyle w:val="Akapitzlist"/>
        <w:numPr>
          <w:ilvl w:val="0"/>
          <w:numId w:val="220"/>
        </w:numPr>
        <w:spacing w:after="0" w:line="312" w:lineRule="auto"/>
        <w:rPr>
          <w:szCs w:val="20"/>
        </w:rPr>
      </w:pPr>
      <w:r w:rsidRPr="00E00B35">
        <w:rPr>
          <w:szCs w:val="20"/>
        </w:rPr>
        <w:t>Decyzji Nr PS.II.9013-26/10 z dnia 31 grudnia 2010 r. Wojewoda Dolnośląski wydał zezwolenie na prowadzenie Miejskiego Centrum Usług Socjalnych Domu Pomocy Społecznej przy ul. Karmelkowej 25/27 we Wrocławiu – zmiana adresu na ul. Karmelkowa 25 – decyzja Nr PS-KNPS1.9423.12.2012 z dnia 13 sierpnia 2012 r.;</w:t>
      </w:r>
    </w:p>
    <w:p w:rsidR="00CA14AB" w:rsidRPr="00E00B35" w:rsidRDefault="00CA14AB" w:rsidP="00BC64AB">
      <w:pPr>
        <w:pStyle w:val="Akapitzlist"/>
        <w:numPr>
          <w:ilvl w:val="0"/>
          <w:numId w:val="220"/>
        </w:numPr>
        <w:spacing w:after="0" w:line="312" w:lineRule="auto"/>
        <w:rPr>
          <w:szCs w:val="20"/>
        </w:rPr>
      </w:pPr>
      <w:r w:rsidRPr="00E00B35">
        <w:rPr>
          <w:szCs w:val="20"/>
        </w:rPr>
        <w:t>Decyzji Nr PS.II.9013-9/10 z dnia 7 września 2010 r. Wojewoda Dolnośląski wydał zezwolenie na prowadzenie Miejskiego Centrum Usług Socjalnych Domu Pomocy Społecznej przy ul. Kaletniczej 8 we Wrocławiu;</w:t>
      </w:r>
    </w:p>
    <w:p w:rsidR="00CA14AB" w:rsidRPr="00E00B35" w:rsidRDefault="00CA14AB" w:rsidP="00BC64AB">
      <w:pPr>
        <w:pStyle w:val="Akapitzlist"/>
        <w:numPr>
          <w:ilvl w:val="0"/>
          <w:numId w:val="220"/>
        </w:numPr>
        <w:spacing w:after="0" w:line="312" w:lineRule="auto"/>
        <w:rPr>
          <w:szCs w:val="20"/>
        </w:rPr>
      </w:pPr>
      <w:r w:rsidRPr="00E00B35">
        <w:rPr>
          <w:szCs w:val="20"/>
        </w:rPr>
        <w:lastRenderedPageBreak/>
        <w:t>Decyzji z dnia 15 marca 2017 r. Wojewoda Dolnośląski zmieniającej decyzję Wojewody Dolnośląskiego nr SSZ.II.9013/14/2001 z dnia 10 września 2001 r., zmienionej decyzjami Wojewody Dolnośląskiego: nr PS.II.9013/6/2003 z dnia 24 lutego 2003 r., nr PS.II.9013/33/2005 z dnia 29 grudnia 2005 r., nr PS.II.9013-16/10 z dnia 22 listopada 2010 r., nr PS. KNPS1.9423.3.2012 z dnia 27 marca 2012 r., zezwalającej na prowadzenie Miejskiego Centrum Usług Socjalnych Domu Pomocy Społecznej przy ul. Mącznej 3 we Wrocławiu.</w:t>
      </w:r>
    </w:p>
    <w:p w:rsidR="00CA14AB" w:rsidRPr="00E00B35" w:rsidRDefault="00CA14AB" w:rsidP="00BC64AB">
      <w:pPr>
        <w:pStyle w:val="Akapitzlist"/>
        <w:numPr>
          <w:ilvl w:val="0"/>
          <w:numId w:val="220"/>
        </w:numPr>
        <w:spacing w:after="0" w:line="312" w:lineRule="auto"/>
        <w:rPr>
          <w:szCs w:val="20"/>
        </w:rPr>
      </w:pPr>
      <w:r w:rsidRPr="00E00B35">
        <w:rPr>
          <w:szCs w:val="20"/>
        </w:rPr>
        <w:t>Działalność DPS jest dotowana ze środków budżetu Państwa. W 2020 r. dla czterech DPS  uzyskano dotację w łącznej kwocie 2.682.098 zł.</w:t>
      </w:r>
    </w:p>
    <w:p w:rsidR="00CA14AB" w:rsidRPr="00E00B35" w:rsidRDefault="00CA14AB" w:rsidP="00E00B35">
      <w:pPr>
        <w:spacing w:after="0" w:line="312" w:lineRule="auto"/>
        <w:rPr>
          <w:szCs w:val="20"/>
        </w:rPr>
      </w:pPr>
      <w:r w:rsidRPr="00E00B35">
        <w:rPr>
          <w:szCs w:val="20"/>
        </w:rPr>
        <w:t>Tabela 1. Liczba mieszkańców w poszczególnych DPS w latach 2017-2020</w:t>
      </w:r>
    </w:p>
    <w:tbl>
      <w:tblPr>
        <w:tblpPr w:leftFromText="141" w:rightFromText="141" w:vertAnchor="text" w:horzAnchor="margin" w:tblpXSpec="center" w:tblpY="59"/>
        <w:tblW w:w="8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90"/>
        <w:gridCol w:w="764"/>
        <w:gridCol w:w="765"/>
        <w:gridCol w:w="15"/>
        <w:gridCol w:w="749"/>
        <w:gridCol w:w="736"/>
        <w:gridCol w:w="29"/>
        <w:gridCol w:w="764"/>
        <w:gridCol w:w="21"/>
        <w:gridCol w:w="744"/>
        <w:gridCol w:w="10"/>
        <w:gridCol w:w="754"/>
        <w:gridCol w:w="757"/>
        <w:gridCol w:w="8"/>
      </w:tblGrid>
      <w:tr w:rsidR="00CA14AB" w:rsidRPr="00E00B35" w:rsidTr="00CA14AB">
        <w:trPr>
          <w:gridAfter w:val="1"/>
          <w:wAfter w:w="8" w:type="dxa"/>
          <w:cantSplit/>
          <w:trHeight w:val="17"/>
        </w:trPr>
        <w:tc>
          <w:tcPr>
            <w:tcW w:w="2690" w:type="dxa"/>
            <w:vMerge w:val="restart"/>
            <w:shd w:val="clear" w:color="auto" w:fill="BFBFBF"/>
          </w:tcPr>
          <w:p w:rsidR="00CA14AB" w:rsidRPr="00E00B35" w:rsidRDefault="00CA14AB" w:rsidP="00E00B35">
            <w:pPr>
              <w:spacing w:after="0" w:line="312" w:lineRule="auto"/>
              <w:rPr>
                <w:szCs w:val="20"/>
              </w:rPr>
            </w:pPr>
            <w:r w:rsidRPr="00E00B35">
              <w:rPr>
                <w:szCs w:val="20"/>
              </w:rPr>
              <w:t>DOM POMOCY SPOŁECZNEJ (DPS)</w:t>
            </w:r>
          </w:p>
        </w:tc>
        <w:tc>
          <w:tcPr>
            <w:tcW w:w="1544" w:type="dxa"/>
            <w:gridSpan w:val="3"/>
            <w:shd w:val="clear" w:color="auto" w:fill="BFBFBF"/>
          </w:tcPr>
          <w:p w:rsidR="00CA14AB" w:rsidRPr="00E00B35" w:rsidRDefault="00CA14AB" w:rsidP="00E00B35">
            <w:pPr>
              <w:spacing w:after="0" w:line="312" w:lineRule="auto"/>
              <w:rPr>
                <w:szCs w:val="20"/>
              </w:rPr>
            </w:pPr>
            <w:r w:rsidRPr="00E00B35">
              <w:rPr>
                <w:szCs w:val="20"/>
              </w:rPr>
              <w:t>2017</w:t>
            </w:r>
          </w:p>
        </w:tc>
        <w:tc>
          <w:tcPr>
            <w:tcW w:w="1485" w:type="dxa"/>
            <w:gridSpan w:val="2"/>
            <w:tcBorders>
              <w:right w:val="single" w:sz="4" w:space="0" w:color="auto"/>
            </w:tcBorders>
            <w:shd w:val="clear" w:color="auto" w:fill="BFBFBF"/>
          </w:tcPr>
          <w:p w:rsidR="00CA14AB" w:rsidRPr="00E00B35" w:rsidRDefault="00CA14AB" w:rsidP="00E00B35">
            <w:pPr>
              <w:spacing w:after="0" w:line="312" w:lineRule="auto"/>
              <w:rPr>
                <w:szCs w:val="20"/>
              </w:rPr>
            </w:pPr>
            <w:r w:rsidRPr="00E00B35">
              <w:rPr>
                <w:szCs w:val="20"/>
              </w:rPr>
              <w:t>2018</w:t>
            </w:r>
          </w:p>
        </w:tc>
        <w:tc>
          <w:tcPr>
            <w:tcW w:w="814" w:type="dxa"/>
            <w:gridSpan w:val="3"/>
            <w:tcBorders>
              <w:top w:val="single" w:sz="4" w:space="0" w:color="auto"/>
              <w:left w:val="single" w:sz="4" w:space="0" w:color="auto"/>
              <w:bottom w:val="single" w:sz="4" w:space="0" w:color="auto"/>
              <w:right w:val="nil"/>
            </w:tcBorders>
            <w:shd w:val="clear" w:color="auto" w:fill="BFBFBF"/>
          </w:tcPr>
          <w:p w:rsidR="00CA14AB" w:rsidRPr="00E00B35" w:rsidRDefault="00CA14AB" w:rsidP="00E00B35">
            <w:pPr>
              <w:spacing w:after="0" w:line="312" w:lineRule="auto"/>
              <w:rPr>
                <w:szCs w:val="20"/>
              </w:rPr>
            </w:pPr>
            <w:r w:rsidRPr="00E00B35">
              <w:rPr>
                <w:szCs w:val="20"/>
              </w:rPr>
              <w:t>2019</w:t>
            </w:r>
          </w:p>
        </w:tc>
        <w:tc>
          <w:tcPr>
            <w:tcW w:w="754" w:type="dxa"/>
            <w:gridSpan w:val="2"/>
            <w:tcBorders>
              <w:top w:val="single" w:sz="4" w:space="0" w:color="auto"/>
              <w:left w:val="nil"/>
              <w:bottom w:val="single" w:sz="4" w:space="0" w:color="auto"/>
              <w:right w:val="single" w:sz="4" w:space="0" w:color="auto"/>
            </w:tcBorders>
            <w:shd w:val="clear" w:color="auto" w:fill="BFBFBF"/>
          </w:tcPr>
          <w:p w:rsidR="00CA14AB" w:rsidRPr="00E00B35" w:rsidRDefault="00CA14AB" w:rsidP="00E00B35">
            <w:pPr>
              <w:spacing w:after="0" w:line="312" w:lineRule="auto"/>
              <w:rPr>
                <w:szCs w:val="20"/>
              </w:rPr>
            </w:pPr>
          </w:p>
        </w:tc>
        <w:tc>
          <w:tcPr>
            <w:tcW w:w="754" w:type="dxa"/>
            <w:tcBorders>
              <w:top w:val="single" w:sz="4" w:space="0" w:color="auto"/>
              <w:left w:val="single" w:sz="4" w:space="0" w:color="auto"/>
              <w:bottom w:val="single" w:sz="4" w:space="0" w:color="auto"/>
              <w:right w:val="nil"/>
            </w:tcBorders>
            <w:shd w:val="clear" w:color="auto" w:fill="BFBFBF"/>
          </w:tcPr>
          <w:p w:rsidR="00CA14AB" w:rsidRPr="00E00B35" w:rsidRDefault="00CA14AB" w:rsidP="00E00B35">
            <w:pPr>
              <w:spacing w:after="0" w:line="312" w:lineRule="auto"/>
              <w:rPr>
                <w:szCs w:val="20"/>
              </w:rPr>
            </w:pPr>
            <w:r w:rsidRPr="00E00B35">
              <w:rPr>
                <w:szCs w:val="20"/>
              </w:rPr>
              <w:t>2020</w:t>
            </w:r>
          </w:p>
        </w:tc>
        <w:tc>
          <w:tcPr>
            <w:tcW w:w="757" w:type="dxa"/>
            <w:tcBorders>
              <w:top w:val="single" w:sz="4" w:space="0" w:color="auto"/>
              <w:left w:val="nil"/>
              <w:bottom w:val="single" w:sz="4" w:space="0" w:color="auto"/>
              <w:right w:val="single" w:sz="4" w:space="0" w:color="auto"/>
            </w:tcBorders>
            <w:shd w:val="clear" w:color="auto" w:fill="BFBFBF"/>
          </w:tcPr>
          <w:p w:rsidR="00CA14AB" w:rsidRPr="00E00B35" w:rsidRDefault="00CA14AB" w:rsidP="00E00B35">
            <w:pPr>
              <w:spacing w:after="0" w:line="312" w:lineRule="auto"/>
              <w:rPr>
                <w:szCs w:val="20"/>
              </w:rPr>
            </w:pPr>
          </w:p>
        </w:tc>
      </w:tr>
      <w:tr w:rsidR="00CA14AB" w:rsidRPr="00E00B35" w:rsidTr="00CA14AB">
        <w:trPr>
          <w:cantSplit/>
          <w:trHeight w:val="324"/>
        </w:trPr>
        <w:tc>
          <w:tcPr>
            <w:tcW w:w="2690" w:type="dxa"/>
            <w:vMerge/>
            <w:shd w:val="clear" w:color="auto" w:fill="BFBFBF"/>
          </w:tcPr>
          <w:p w:rsidR="00CA14AB" w:rsidRPr="00E00B35" w:rsidRDefault="00CA14AB" w:rsidP="00E00B35">
            <w:pPr>
              <w:spacing w:after="0" w:line="312" w:lineRule="auto"/>
              <w:rPr>
                <w:szCs w:val="20"/>
              </w:rPr>
            </w:pPr>
          </w:p>
        </w:tc>
        <w:tc>
          <w:tcPr>
            <w:tcW w:w="764" w:type="dxa"/>
            <w:shd w:val="clear" w:color="auto" w:fill="BFBFBF"/>
          </w:tcPr>
          <w:p w:rsidR="00CA14AB" w:rsidRPr="00E00B35" w:rsidRDefault="00CA14AB" w:rsidP="00E00B35">
            <w:pPr>
              <w:spacing w:after="0" w:line="312" w:lineRule="auto"/>
              <w:rPr>
                <w:szCs w:val="20"/>
              </w:rPr>
            </w:pPr>
            <w:r w:rsidRPr="00E00B35">
              <w:rPr>
                <w:szCs w:val="20"/>
              </w:rPr>
              <w:t>Liczba miejsc</w:t>
            </w:r>
          </w:p>
        </w:tc>
        <w:tc>
          <w:tcPr>
            <w:tcW w:w="765" w:type="dxa"/>
            <w:shd w:val="clear" w:color="auto" w:fill="BFBFBF"/>
          </w:tcPr>
          <w:p w:rsidR="00CA14AB" w:rsidRPr="00E00B35" w:rsidRDefault="00CA14AB" w:rsidP="00E00B35">
            <w:pPr>
              <w:spacing w:after="0" w:line="312" w:lineRule="auto"/>
              <w:rPr>
                <w:szCs w:val="20"/>
              </w:rPr>
            </w:pPr>
            <w:r w:rsidRPr="00E00B35">
              <w:rPr>
                <w:szCs w:val="20"/>
              </w:rPr>
              <w:t>Stan fakty-czny*</w:t>
            </w:r>
          </w:p>
        </w:tc>
        <w:tc>
          <w:tcPr>
            <w:tcW w:w="764" w:type="dxa"/>
            <w:gridSpan w:val="2"/>
            <w:shd w:val="clear" w:color="auto" w:fill="BFBFBF"/>
          </w:tcPr>
          <w:p w:rsidR="00CA14AB" w:rsidRPr="00E00B35" w:rsidRDefault="00CA14AB" w:rsidP="00E00B35">
            <w:pPr>
              <w:spacing w:after="0" w:line="312" w:lineRule="auto"/>
              <w:rPr>
                <w:szCs w:val="20"/>
              </w:rPr>
            </w:pPr>
            <w:r w:rsidRPr="00E00B35">
              <w:rPr>
                <w:szCs w:val="20"/>
              </w:rPr>
              <w:t>Liczba miejsc</w:t>
            </w:r>
          </w:p>
        </w:tc>
        <w:tc>
          <w:tcPr>
            <w:tcW w:w="765" w:type="dxa"/>
            <w:gridSpan w:val="2"/>
            <w:shd w:val="clear" w:color="auto" w:fill="BFBFBF"/>
          </w:tcPr>
          <w:p w:rsidR="00CA14AB" w:rsidRPr="00E00B35" w:rsidRDefault="00CA14AB" w:rsidP="00E00B35">
            <w:pPr>
              <w:spacing w:after="0" w:line="312" w:lineRule="auto"/>
              <w:rPr>
                <w:szCs w:val="20"/>
              </w:rPr>
            </w:pPr>
            <w:r w:rsidRPr="00E00B35">
              <w:rPr>
                <w:szCs w:val="20"/>
              </w:rPr>
              <w:t>Stan fakty-czny*</w:t>
            </w:r>
          </w:p>
        </w:tc>
        <w:tc>
          <w:tcPr>
            <w:tcW w:w="764" w:type="dxa"/>
            <w:shd w:val="clear" w:color="auto" w:fill="BFBFBF"/>
          </w:tcPr>
          <w:p w:rsidR="00CA14AB" w:rsidRPr="00E00B35" w:rsidRDefault="00CA14AB" w:rsidP="00E00B35">
            <w:pPr>
              <w:spacing w:after="0" w:line="312" w:lineRule="auto"/>
              <w:rPr>
                <w:szCs w:val="20"/>
              </w:rPr>
            </w:pPr>
            <w:r w:rsidRPr="00E00B35">
              <w:rPr>
                <w:szCs w:val="20"/>
              </w:rPr>
              <w:t>Liczba miejsc</w:t>
            </w:r>
          </w:p>
        </w:tc>
        <w:tc>
          <w:tcPr>
            <w:tcW w:w="765" w:type="dxa"/>
            <w:gridSpan w:val="2"/>
            <w:tcBorders>
              <w:top w:val="single" w:sz="4" w:space="0" w:color="auto"/>
            </w:tcBorders>
            <w:shd w:val="clear" w:color="auto" w:fill="BFBFBF"/>
          </w:tcPr>
          <w:p w:rsidR="00CA14AB" w:rsidRPr="00E00B35" w:rsidRDefault="00CA14AB" w:rsidP="00E00B35">
            <w:pPr>
              <w:spacing w:after="0" w:line="312" w:lineRule="auto"/>
              <w:rPr>
                <w:szCs w:val="20"/>
              </w:rPr>
            </w:pPr>
            <w:r w:rsidRPr="00E00B35">
              <w:rPr>
                <w:szCs w:val="20"/>
              </w:rPr>
              <w:t>Stan fakty-czny*</w:t>
            </w:r>
          </w:p>
        </w:tc>
        <w:tc>
          <w:tcPr>
            <w:tcW w:w="764" w:type="dxa"/>
            <w:gridSpan w:val="2"/>
            <w:tcBorders>
              <w:top w:val="single" w:sz="4" w:space="0" w:color="auto"/>
            </w:tcBorders>
            <w:shd w:val="clear" w:color="auto" w:fill="BFBFBF"/>
          </w:tcPr>
          <w:p w:rsidR="00CA14AB" w:rsidRPr="00E00B35" w:rsidRDefault="00CA14AB" w:rsidP="00E00B35">
            <w:pPr>
              <w:spacing w:after="0" w:line="312" w:lineRule="auto"/>
              <w:rPr>
                <w:szCs w:val="20"/>
              </w:rPr>
            </w:pPr>
            <w:r w:rsidRPr="00E00B35">
              <w:rPr>
                <w:szCs w:val="20"/>
              </w:rPr>
              <w:t>Liczba miejsc</w:t>
            </w:r>
          </w:p>
        </w:tc>
        <w:tc>
          <w:tcPr>
            <w:tcW w:w="765" w:type="dxa"/>
            <w:gridSpan w:val="2"/>
            <w:tcBorders>
              <w:top w:val="single" w:sz="4" w:space="0" w:color="auto"/>
            </w:tcBorders>
            <w:shd w:val="clear" w:color="auto" w:fill="BFBFBF"/>
          </w:tcPr>
          <w:p w:rsidR="00CA14AB" w:rsidRPr="00E00B35" w:rsidRDefault="00CA14AB" w:rsidP="00E00B35">
            <w:pPr>
              <w:spacing w:after="0" w:line="312" w:lineRule="auto"/>
              <w:rPr>
                <w:szCs w:val="20"/>
              </w:rPr>
            </w:pPr>
            <w:r w:rsidRPr="00E00B35">
              <w:rPr>
                <w:szCs w:val="20"/>
              </w:rPr>
              <w:t>Stan fakty-czny*</w:t>
            </w:r>
          </w:p>
        </w:tc>
      </w:tr>
      <w:tr w:rsidR="00CA14AB" w:rsidRPr="00E00B35" w:rsidTr="00CA14AB">
        <w:trPr>
          <w:trHeight w:val="17"/>
        </w:trPr>
        <w:tc>
          <w:tcPr>
            <w:tcW w:w="2690" w:type="dxa"/>
            <w:vAlign w:val="center"/>
          </w:tcPr>
          <w:p w:rsidR="00CA14AB" w:rsidRPr="00E00B35" w:rsidRDefault="00CA14AB" w:rsidP="00E00B35">
            <w:pPr>
              <w:spacing w:after="0" w:line="312" w:lineRule="auto"/>
              <w:rPr>
                <w:szCs w:val="20"/>
              </w:rPr>
            </w:pPr>
            <w:r w:rsidRPr="00E00B35">
              <w:rPr>
                <w:szCs w:val="20"/>
              </w:rPr>
              <w:t>DPS ul. Mączna 3</w:t>
            </w:r>
          </w:p>
        </w:tc>
        <w:tc>
          <w:tcPr>
            <w:tcW w:w="764" w:type="dxa"/>
            <w:shd w:val="clear" w:color="auto" w:fill="FFFFFF"/>
            <w:vAlign w:val="center"/>
          </w:tcPr>
          <w:p w:rsidR="00CA14AB" w:rsidRPr="00E00B35" w:rsidRDefault="00CA14AB" w:rsidP="00E00B35">
            <w:pPr>
              <w:spacing w:after="0" w:line="312" w:lineRule="auto"/>
              <w:rPr>
                <w:szCs w:val="20"/>
              </w:rPr>
            </w:pPr>
            <w:r w:rsidRPr="00E00B35">
              <w:rPr>
                <w:szCs w:val="20"/>
              </w:rPr>
              <w:t>155</w:t>
            </w:r>
          </w:p>
        </w:tc>
        <w:tc>
          <w:tcPr>
            <w:tcW w:w="765" w:type="dxa"/>
            <w:shd w:val="clear" w:color="auto" w:fill="D9D9D9"/>
            <w:vAlign w:val="center"/>
          </w:tcPr>
          <w:p w:rsidR="00CA14AB" w:rsidRPr="00E00B35" w:rsidRDefault="00CA14AB" w:rsidP="00E00B35">
            <w:pPr>
              <w:spacing w:after="0" w:line="312" w:lineRule="auto"/>
              <w:rPr>
                <w:szCs w:val="20"/>
              </w:rPr>
            </w:pPr>
            <w:r w:rsidRPr="00E00B35">
              <w:rPr>
                <w:szCs w:val="20"/>
              </w:rPr>
              <w:t>155</w:t>
            </w:r>
          </w:p>
        </w:tc>
        <w:tc>
          <w:tcPr>
            <w:tcW w:w="764" w:type="dxa"/>
            <w:gridSpan w:val="2"/>
            <w:shd w:val="clear" w:color="auto" w:fill="auto"/>
            <w:vAlign w:val="center"/>
          </w:tcPr>
          <w:p w:rsidR="00CA14AB" w:rsidRPr="00E00B35" w:rsidRDefault="00CA14AB" w:rsidP="00E00B35">
            <w:pPr>
              <w:spacing w:after="0" w:line="312" w:lineRule="auto"/>
              <w:rPr>
                <w:szCs w:val="20"/>
              </w:rPr>
            </w:pPr>
            <w:r w:rsidRPr="00E00B35">
              <w:rPr>
                <w:szCs w:val="20"/>
              </w:rPr>
              <w:t>155</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154</w:t>
            </w:r>
          </w:p>
        </w:tc>
        <w:tc>
          <w:tcPr>
            <w:tcW w:w="764" w:type="dxa"/>
            <w:shd w:val="clear" w:color="auto" w:fill="auto"/>
            <w:vAlign w:val="center"/>
          </w:tcPr>
          <w:p w:rsidR="00CA14AB" w:rsidRPr="00E00B35" w:rsidRDefault="00CA14AB" w:rsidP="00E00B35">
            <w:pPr>
              <w:spacing w:after="0" w:line="312" w:lineRule="auto"/>
              <w:rPr>
                <w:szCs w:val="20"/>
              </w:rPr>
            </w:pPr>
            <w:r w:rsidRPr="00E00B35">
              <w:rPr>
                <w:szCs w:val="20"/>
              </w:rPr>
              <w:t>155</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152</w:t>
            </w:r>
          </w:p>
        </w:tc>
        <w:tc>
          <w:tcPr>
            <w:tcW w:w="764" w:type="dxa"/>
            <w:gridSpan w:val="2"/>
            <w:shd w:val="clear" w:color="auto" w:fill="auto"/>
            <w:vAlign w:val="center"/>
          </w:tcPr>
          <w:p w:rsidR="00CA14AB" w:rsidRPr="00E00B35" w:rsidRDefault="00CA14AB" w:rsidP="00E00B35">
            <w:pPr>
              <w:spacing w:after="0" w:line="312" w:lineRule="auto"/>
              <w:rPr>
                <w:szCs w:val="20"/>
              </w:rPr>
            </w:pPr>
            <w:r w:rsidRPr="00E00B35">
              <w:rPr>
                <w:szCs w:val="20"/>
              </w:rPr>
              <w:t>155</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130</w:t>
            </w:r>
          </w:p>
        </w:tc>
      </w:tr>
      <w:tr w:rsidR="00CA14AB" w:rsidRPr="00E00B35" w:rsidTr="00CA14AB">
        <w:trPr>
          <w:trHeight w:val="340"/>
        </w:trPr>
        <w:tc>
          <w:tcPr>
            <w:tcW w:w="2690" w:type="dxa"/>
            <w:vAlign w:val="center"/>
          </w:tcPr>
          <w:p w:rsidR="00CA14AB" w:rsidRPr="00E00B35" w:rsidRDefault="00CA14AB" w:rsidP="00E00B35">
            <w:pPr>
              <w:spacing w:after="0" w:line="312" w:lineRule="auto"/>
              <w:rPr>
                <w:szCs w:val="20"/>
              </w:rPr>
            </w:pPr>
            <w:r w:rsidRPr="00E00B35">
              <w:rPr>
                <w:szCs w:val="20"/>
              </w:rPr>
              <w:t>DPS ul. Kaletnicza 8</w:t>
            </w:r>
          </w:p>
        </w:tc>
        <w:tc>
          <w:tcPr>
            <w:tcW w:w="764" w:type="dxa"/>
            <w:shd w:val="clear" w:color="auto" w:fill="FFFFFF"/>
            <w:vAlign w:val="center"/>
          </w:tcPr>
          <w:p w:rsidR="00CA14AB" w:rsidRPr="00E00B35" w:rsidRDefault="00CA14AB" w:rsidP="00E00B35">
            <w:pPr>
              <w:spacing w:after="0" w:line="312" w:lineRule="auto"/>
              <w:rPr>
                <w:szCs w:val="20"/>
              </w:rPr>
            </w:pPr>
            <w:r w:rsidRPr="00E00B35">
              <w:rPr>
                <w:szCs w:val="20"/>
              </w:rPr>
              <w:t>94</w:t>
            </w:r>
          </w:p>
        </w:tc>
        <w:tc>
          <w:tcPr>
            <w:tcW w:w="765" w:type="dxa"/>
            <w:shd w:val="clear" w:color="auto" w:fill="D9D9D9"/>
            <w:vAlign w:val="center"/>
          </w:tcPr>
          <w:p w:rsidR="00CA14AB" w:rsidRPr="00E00B35" w:rsidRDefault="00CA14AB" w:rsidP="00E00B35">
            <w:pPr>
              <w:spacing w:after="0" w:line="312" w:lineRule="auto"/>
              <w:rPr>
                <w:szCs w:val="20"/>
              </w:rPr>
            </w:pPr>
            <w:r w:rsidRPr="00E00B35">
              <w:rPr>
                <w:szCs w:val="20"/>
              </w:rPr>
              <w:t>94</w:t>
            </w:r>
          </w:p>
        </w:tc>
        <w:tc>
          <w:tcPr>
            <w:tcW w:w="764" w:type="dxa"/>
            <w:gridSpan w:val="2"/>
            <w:shd w:val="clear" w:color="auto" w:fill="auto"/>
            <w:vAlign w:val="center"/>
          </w:tcPr>
          <w:p w:rsidR="00CA14AB" w:rsidRPr="00E00B35" w:rsidRDefault="00CA14AB" w:rsidP="00E00B35">
            <w:pPr>
              <w:spacing w:after="0" w:line="312" w:lineRule="auto"/>
              <w:rPr>
                <w:szCs w:val="20"/>
              </w:rPr>
            </w:pPr>
            <w:r w:rsidRPr="00E00B35">
              <w:rPr>
                <w:szCs w:val="20"/>
              </w:rPr>
              <w:t>94</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94</w:t>
            </w:r>
          </w:p>
        </w:tc>
        <w:tc>
          <w:tcPr>
            <w:tcW w:w="764" w:type="dxa"/>
            <w:shd w:val="clear" w:color="auto" w:fill="auto"/>
            <w:vAlign w:val="center"/>
          </w:tcPr>
          <w:p w:rsidR="00CA14AB" w:rsidRPr="00E00B35" w:rsidRDefault="00CA14AB" w:rsidP="00E00B35">
            <w:pPr>
              <w:spacing w:after="0" w:line="312" w:lineRule="auto"/>
              <w:rPr>
                <w:szCs w:val="20"/>
              </w:rPr>
            </w:pPr>
            <w:r w:rsidRPr="00E00B35">
              <w:rPr>
                <w:szCs w:val="20"/>
              </w:rPr>
              <w:t>94</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93</w:t>
            </w:r>
          </w:p>
        </w:tc>
        <w:tc>
          <w:tcPr>
            <w:tcW w:w="764" w:type="dxa"/>
            <w:gridSpan w:val="2"/>
            <w:shd w:val="clear" w:color="auto" w:fill="auto"/>
            <w:vAlign w:val="center"/>
          </w:tcPr>
          <w:p w:rsidR="00CA14AB" w:rsidRPr="00E00B35" w:rsidRDefault="00CA14AB" w:rsidP="00E00B35">
            <w:pPr>
              <w:spacing w:after="0" w:line="312" w:lineRule="auto"/>
              <w:rPr>
                <w:szCs w:val="20"/>
              </w:rPr>
            </w:pPr>
            <w:r w:rsidRPr="00E00B35">
              <w:rPr>
                <w:szCs w:val="20"/>
              </w:rPr>
              <w:t>94</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93</w:t>
            </w:r>
          </w:p>
        </w:tc>
      </w:tr>
      <w:tr w:rsidR="00CA14AB" w:rsidRPr="00E00B35" w:rsidTr="00CA14AB">
        <w:trPr>
          <w:trHeight w:val="340"/>
        </w:trPr>
        <w:tc>
          <w:tcPr>
            <w:tcW w:w="2690" w:type="dxa"/>
            <w:vAlign w:val="center"/>
          </w:tcPr>
          <w:p w:rsidR="00CA14AB" w:rsidRPr="00E00B35" w:rsidRDefault="00CA14AB" w:rsidP="00E00B35">
            <w:pPr>
              <w:spacing w:after="0" w:line="312" w:lineRule="auto"/>
              <w:rPr>
                <w:szCs w:val="20"/>
              </w:rPr>
            </w:pPr>
            <w:r w:rsidRPr="00E00B35">
              <w:rPr>
                <w:szCs w:val="20"/>
              </w:rPr>
              <w:t>DPS ul. Rędzińska 66/68</w:t>
            </w:r>
          </w:p>
        </w:tc>
        <w:tc>
          <w:tcPr>
            <w:tcW w:w="764" w:type="dxa"/>
            <w:shd w:val="clear" w:color="auto" w:fill="FFFFFF"/>
            <w:vAlign w:val="center"/>
          </w:tcPr>
          <w:p w:rsidR="00CA14AB" w:rsidRPr="00E00B35" w:rsidRDefault="00CA14AB" w:rsidP="00E00B35">
            <w:pPr>
              <w:spacing w:after="0" w:line="312" w:lineRule="auto"/>
              <w:rPr>
                <w:szCs w:val="20"/>
              </w:rPr>
            </w:pPr>
            <w:r w:rsidRPr="00E00B35">
              <w:rPr>
                <w:szCs w:val="20"/>
              </w:rPr>
              <w:t>159</w:t>
            </w:r>
          </w:p>
        </w:tc>
        <w:tc>
          <w:tcPr>
            <w:tcW w:w="765" w:type="dxa"/>
            <w:shd w:val="clear" w:color="auto" w:fill="D9D9D9"/>
            <w:vAlign w:val="center"/>
          </w:tcPr>
          <w:p w:rsidR="00CA14AB" w:rsidRPr="00E00B35" w:rsidRDefault="00CA14AB" w:rsidP="00E00B35">
            <w:pPr>
              <w:spacing w:after="0" w:line="312" w:lineRule="auto"/>
              <w:rPr>
                <w:szCs w:val="20"/>
              </w:rPr>
            </w:pPr>
            <w:r w:rsidRPr="00E00B35">
              <w:rPr>
                <w:szCs w:val="20"/>
              </w:rPr>
              <w:t>159</w:t>
            </w:r>
          </w:p>
        </w:tc>
        <w:tc>
          <w:tcPr>
            <w:tcW w:w="764" w:type="dxa"/>
            <w:gridSpan w:val="2"/>
            <w:shd w:val="clear" w:color="auto" w:fill="auto"/>
            <w:vAlign w:val="center"/>
          </w:tcPr>
          <w:p w:rsidR="00CA14AB" w:rsidRPr="00E00B35" w:rsidRDefault="00CA14AB" w:rsidP="00E00B35">
            <w:pPr>
              <w:spacing w:after="0" w:line="312" w:lineRule="auto"/>
              <w:rPr>
                <w:szCs w:val="20"/>
              </w:rPr>
            </w:pPr>
            <w:r w:rsidRPr="00E00B35">
              <w:rPr>
                <w:szCs w:val="20"/>
              </w:rPr>
              <w:t>159</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158</w:t>
            </w:r>
          </w:p>
        </w:tc>
        <w:tc>
          <w:tcPr>
            <w:tcW w:w="764" w:type="dxa"/>
            <w:shd w:val="clear" w:color="auto" w:fill="auto"/>
            <w:vAlign w:val="center"/>
          </w:tcPr>
          <w:p w:rsidR="00CA14AB" w:rsidRPr="00E00B35" w:rsidRDefault="00CA14AB" w:rsidP="00E00B35">
            <w:pPr>
              <w:spacing w:after="0" w:line="312" w:lineRule="auto"/>
              <w:rPr>
                <w:szCs w:val="20"/>
              </w:rPr>
            </w:pPr>
            <w:r w:rsidRPr="00E00B35">
              <w:rPr>
                <w:szCs w:val="20"/>
              </w:rPr>
              <w:t>159</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158</w:t>
            </w:r>
          </w:p>
        </w:tc>
        <w:tc>
          <w:tcPr>
            <w:tcW w:w="764" w:type="dxa"/>
            <w:gridSpan w:val="2"/>
            <w:shd w:val="clear" w:color="auto" w:fill="auto"/>
            <w:vAlign w:val="center"/>
          </w:tcPr>
          <w:p w:rsidR="00CA14AB" w:rsidRPr="00E00B35" w:rsidRDefault="00CA14AB" w:rsidP="00E00B35">
            <w:pPr>
              <w:spacing w:after="0" w:line="312" w:lineRule="auto"/>
              <w:rPr>
                <w:szCs w:val="20"/>
              </w:rPr>
            </w:pPr>
            <w:r w:rsidRPr="00E00B35">
              <w:rPr>
                <w:szCs w:val="20"/>
              </w:rPr>
              <w:t>159</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145</w:t>
            </w:r>
          </w:p>
        </w:tc>
      </w:tr>
      <w:tr w:rsidR="00CA14AB" w:rsidRPr="00E00B35" w:rsidTr="00CA14AB">
        <w:trPr>
          <w:trHeight w:val="340"/>
        </w:trPr>
        <w:tc>
          <w:tcPr>
            <w:tcW w:w="2690" w:type="dxa"/>
            <w:vAlign w:val="center"/>
          </w:tcPr>
          <w:p w:rsidR="00CA14AB" w:rsidRPr="00E00B35" w:rsidRDefault="00CA14AB" w:rsidP="00E00B35">
            <w:pPr>
              <w:spacing w:after="0" w:line="312" w:lineRule="auto"/>
              <w:rPr>
                <w:szCs w:val="20"/>
              </w:rPr>
            </w:pPr>
            <w:r w:rsidRPr="00E00B35">
              <w:rPr>
                <w:szCs w:val="20"/>
              </w:rPr>
              <w:t>DPS ul. Karmelkowa 25</w:t>
            </w:r>
          </w:p>
        </w:tc>
        <w:tc>
          <w:tcPr>
            <w:tcW w:w="764" w:type="dxa"/>
            <w:shd w:val="clear" w:color="auto" w:fill="FFFFFF"/>
            <w:vAlign w:val="center"/>
          </w:tcPr>
          <w:p w:rsidR="00CA14AB" w:rsidRPr="00E00B35" w:rsidRDefault="00CA14AB" w:rsidP="00E00B35">
            <w:pPr>
              <w:spacing w:after="0" w:line="312" w:lineRule="auto"/>
              <w:rPr>
                <w:szCs w:val="20"/>
              </w:rPr>
            </w:pPr>
            <w:r w:rsidRPr="00E00B35">
              <w:rPr>
                <w:szCs w:val="20"/>
              </w:rPr>
              <w:t>236</w:t>
            </w:r>
          </w:p>
        </w:tc>
        <w:tc>
          <w:tcPr>
            <w:tcW w:w="765" w:type="dxa"/>
            <w:shd w:val="clear" w:color="auto" w:fill="D9D9D9"/>
            <w:vAlign w:val="center"/>
          </w:tcPr>
          <w:p w:rsidR="00CA14AB" w:rsidRPr="00E00B35" w:rsidRDefault="00CA14AB" w:rsidP="00E00B35">
            <w:pPr>
              <w:spacing w:after="0" w:line="312" w:lineRule="auto"/>
              <w:rPr>
                <w:szCs w:val="20"/>
              </w:rPr>
            </w:pPr>
            <w:r w:rsidRPr="00E00B35">
              <w:rPr>
                <w:szCs w:val="20"/>
              </w:rPr>
              <w:t>236</w:t>
            </w:r>
          </w:p>
        </w:tc>
        <w:tc>
          <w:tcPr>
            <w:tcW w:w="764" w:type="dxa"/>
            <w:gridSpan w:val="2"/>
            <w:shd w:val="clear" w:color="auto" w:fill="auto"/>
            <w:vAlign w:val="center"/>
          </w:tcPr>
          <w:p w:rsidR="00CA14AB" w:rsidRPr="00E00B35" w:rsidRDefault="00CA14AB" w:rsidP="00E00B35">
            <w:pPr>
              <w:spacing w:after="0" w:line="312" w:lineRule="auto"/>
              <w:rPr>
                <w:szCs w:val="20"/>
              </w:rPr>
            </w:pPr>
            <w:r w:rsidRPr="00E00B35">
              <w:rPr>
                <w:szCs w:val="20"/>
              </w:rPr>
              <w:t>236</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233</w:t>
            </w:r>
          </w:p>
        </w:tc>
        <w:tc>
          <w:tcPr>
            <w:tcW w:w="764" w:type="dxa"/>
            <w:shd w:val="clear" w:color="auto" w:fill="auto"/>
            <w:vAlign w:val="center"/>
          </w:tcPr>
          <w:p w:rsidR="00CA14AB" w:rsidRPr="00E00B35" w:rsidRDefault="00CA14AB" w:rsidP="00E00B35">
            <w:pPr>
              <w:spacing w:after="0" w:line="312" w:lineRule="auto"/>
              <w:rPr>
                <w:szCs w:val="20"/>
              </w:rPr>
            </w:pPr>
            <w:r w:rsidRPr="00E00B35">
              <w:rPr>
                <w:szCs w:val="20"/>
              </w:rPr>
              <w:t>236</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234</w:t>
            </w:r>
          </w:p>
        </w:tc>
        <w:tc>
          <w:tcPr>
            <w:tcW w:w="764" w:type="dxa"/>
            <w:gridSpan w:val="2"/>
            <w:shd w:val="clear" w:color="auto" w:fill="auto"/>
            <w:vAlign w:val="center"/>
          </w:tcPr>
          <w:p w:rsidR="00CA14AB" w:rsidRPr="00E00B35" w:rsidRDefault="00CA14AB" w:rsidP="00E00B35">
            <w:pPr>
              <w:spacing w:after="0" w:line="312" w:lineRule="auto"/>
              <w:rPr>
                <w:szCs w:val="20"/>
              </w:rPr>
            </w:pPr>
            <w:r w:rsidRPr="00E00B35">
              <w:rPr>
                <w:szCs w:val="20"/>
              </w:rPr>
              <w:t>236</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219</w:t>
            </w:r>
          </w:p>
        </w:tc>
      </w:tr>
      <w:tr w:rsidR="00CA14AB" w:rsidRPr="00E00B35" w:rsidTr="00CA14AB">
        <w:trPr>
          <w:trHeight w:val="17"/>
        </w:trPr>
        <w:tc>
          <w:tcPr>
            <w:tcW w:w="2690" w:type="dxa"/>
            <w:vAlign w:val="center"/>
          </w:tcPr>
          <w:p w:rsidR="00CA14AB" w:rsidRPr="00E00B35" w:rsidRDefault="00CA14AB" w:rsidP="00E00B35">
            <w:pPr>
              <w:spacing w:after="0" w:line="312" w:lineRule="auto"/>
              <w:rPr>
                <w:szCs w:val="20"/>
              </w:rPr>
            </w:pPr>
            <w:r w:rsidRPr="00E00B35">
              <w:rPr>
                <w:szCs w:val="20"/>
              </w:rPr>
              <w:t>SUMA</w:t>
            </w:r>
          </w:p>
        </w:tc>
        <w:tc>
          <w:tcPr>
            <w:tcW w:w="764" w:type="dxa"/>
            <w:shd w:val="clear" w:color="auto" w:fill="FFFFFF"/>
            <w:vAlign w:val="center"/>
          </w:tcPr>
          <w:p w:rsidR="00CA14AB" w:rsidRPr="00E00B35" w:rsidRDefault="00CA14AB" w:rsidP="00E00B35">
            <w:pPr>
              <w:spacing w:after="0" w:line="312" w:lineRule="auto"/>
              <w:rPr>
                <w:szCs w:val="20"/>
              </w:rPr>
            </w:pPr>
            <w:r w:rsidRPr="00E00B35">
              <w:rPr>
                <w:szCs w:val="20"/>
              </w:rPr>
              <w:t>644</w:t>
            </w:r>
          </w:p>
        </w:tc>
        <w:tc>
          <w:tcPr>
            <w:tcW w:w="765" w:type="dxa"/>
            <w:shd w:val="clear" w:color="auto" w:fill="D9D9D9"/>
            <w:vAlign w:val="center"/>
          </w:tcPr>
          <w:p w:rsidR="00CA14AB" w:rsidRPr="00E00B35" w:rsidRDefault="00CA14AB" w:rsidP="00E00B35">
            <w:pPr>
              <w:spacing w:after="0" w:line="312" w:lineRule="auto"/>
              <w:rPr>
                <w:szCs w:val="20"/>
              </w:rPr>
            </w:pPr>
            <w:r w:rsidRPr="00E00B35">
              <w:rPr>
                <w:szCs w:val="20"/>
              </w:rPr>
              <w:t>644</w:t>
            </w:r>
          </w:p>
        </w:tc>
        <w:tc>
          <w:tcPr>
            <w:tcW w:w="764" w:type="dxa"/>
            <w:gridSpan w:val="2"/>
            <w:shd w:val="clear" w:color="auto" w:fill="auto"/>
            <w:vAlign w:val="center"/>
          </w:tcPr>
          <w:p w:rsidR="00CA14AB" w:rsidRPr="00E00B35" w:rsidRDefault="00CA14AB" w:rsidP="00E00B35">
            <w:pPr>
              <w:spacing w:after="0" w:line="312" w:lineRule="auto"/>
              <w:rPr>
                <w:szCs w:val="20"/>
              </w:rPr>
            </w:pPr>
            <w:r w:rsidRPr="00E00B35">
              <w:rPr>
                <w:szCs w:val="20"/>
              </w:rPr>
              <w:t>644</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639</w:t>
            </w:r>
          </w:p>
        </w:tc>
        <w:tc>
          <w:tcPr>
            <w:tcW w:w="764" w:type="dxa"/>
            <w:shd w:val="clear" w:color="auto" w:fill="auto"/>
            <w:vAlign w:val="center"/>
          </w:tcPr>
          <w:p w:rsidR="00CA14AB" w:rsidRPr="00E00B35" w:rsidRDefault="00CA14AB" w:rsidP="00E00B35">
            <w:pPr>
              <w:spacing w:after="0" w:line="312" w:lineRule="auto"/>
              <w:rPr>
                <w:szCs w:val="20"/>
              </w:rPr>
            </w:pPr>
            <w:r w:rsidRPr="00E00B35">
              <w:rPr>
                <w:szCs w:val="20"/>
              </w:rPr>
              <w:t>644</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637</w:t>
            </w:r>
          </w:p>
        </w:tc>
        <w:tc>
          <w:tcPr>
            <w:tcW w:w="764" w:type="dxa"/>
            <w:gridSpan w:val="2"/>
            <w:shd w:val="clear" w:color="auto" w:fill="auto"/>
            <w:vAlign w:val="center"/>
          </w:tcPr>
          <w:p w:rsidR="00CA14AB" w:rsidRPr="00E00B35" w:rsidRDefault="00CA14AB" w:rsidP="00E00B35">
            <w:pPr>
              <w:spacing w:after="0" w:line="312" w:lineRule="auto"/>
              <w:rPr>
                <w:szCs w:val="20"/>
              </w:rPr>
            </w:pPr>
            <w:r w:rsidRPr="00E00B35">
              <w:rPr>
                <w:szCs w:val="20"/>
              </w:rPr>
              <w:t>644</w:t>
            </w:r>
          </w:p>
        </w:tc>
        <w:tc>
          <w:tcPr>
            <w:tcW w:w="765" w:type="dxa"/>
            <w:gridSpan w:val="2"/>
            <w:shd w:val="clear" w:color="auto" w:fill="D9D9D9"/>
            <w:vAlign w:val="center"/>
          </w:tcPr>
          <w:p w:rsidR="00CA14AB" w:rsidRPr="00E00B35" w:rsidRDefault="00CA14AB" w:rsidP="00E00B35">
            <w:pPr>
              <w:spacing w:after="0" w:line="312" w:lineRule="auto"/>
              <w:rPr>
                <w:szCs w:val="20"/>
              </w:rPr>
            </w:pPr>
            <w:r w:rsidRPr="00E00B35">
              <w:rPr>
                <w:szCs w:val="20"/>
              </w:rPr>
              <w:t>587</w:t>
            </w:r>
          </w:p>
        </w:tc>
      </w:tr>
    </w:tbl>
    <w:p w:rsidR="00CA14AB" w:rsidRPr="00E00B35" w:rsidRDefault="00CA14AB" w:rsidP="00E00B35">
      <w:pPr>
        <w:spacing w:after="0" w:line="312" w:lineRule="auto"/>
        <w:rPr>
          <w:szCs w:val="20"/>
        </w:rPr>
      </w:pPr>
      <w:r w:rsidRPr="00E00B35">
        <w:rPr>
          <w:szCs w:val="20"/>
        </w:rPr>
        <w:t>*Liczba mieszkańców wg stanu na dzień 31.12.2020 r. Spadek liczby mieszkańców ma bezpośredni związek z epidemią. Przyjęcia osób ze środowiska odbywają się w najwyższym rygorze sanitarnym.</w:t>
      </w:r>
    </w:p>
    <w:p w:rsidR="00CA14AB" w:rsidRPr="00E00B35" w:rsidRDefault="00CA14AB" w:rsidP="00E00B35">
      <w:pPr>
        <w:spacing w:after="0" w:line="312" w:lineRule="auto"/>
        <w:rPr>
          <w:szCs w:val="20"/>
        </w:rPr>
      </w:pPr>
      <w:r w:rsidRPr="00E00B35">
        <w:rPr>
          <w:szCs w:val="20"/>
        </w:rPr>
        <w:t>Budżet domów pomocy społecznej w 2020 roku wyniósł 42.493.083 zł  (z wyłączeniem wydatków związanych z epidemią).</w:t>
      </w:r>
    </w:p>
    <w:p w:rsidR="00CA14AB" w:rsidRPr="00E00B35" w:rsidRDefault="00CA14AB" w:rsidP="00E00B35">
      <w:pPr>
        <w:spacing w:after="0" w:line="312" w:lineRule="auto"/>
        <w:rPr>
          <w:szCs w:val="20"/>
        </w:rPr>
      </w:pPr>
      <w:r w:rsidRPr="00E00B35">
        <w:rPr>
          <w:szCs w:val="20"/>
        </w:rPr>
        <w:t>Tabela 2.  Wykonanie budżetu w domach pomocy społecznej w 2020 r.</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94"/>
        <w:gridCol w:w="1354"/>
        <w:gridCol w:w="1406"/>
        <w:gridCol w:w="1406"/>
        <w:gridCol w:w="860"/>
        <w:gridCol w:w="1129"/>
        <w:gridCol w:w="1463"/>
      </w:tblGrid>
      <w:tr w:rsidR="00CA14AB" w:rsidRPr="00E00B35" w:rsidTr="00CA14AB">
        <w:trPr>
          <w:trHeight w:val="15"/>
        </w:trPr>
        <w:tc>
          <w:tcPr>
            <w:tcW w:w="865" w:type="pct"/>
            <w:tcBorders>
              <w:bottom w:val="single" w:sz="4" w:space="0" w:color="auto"/>
            </w:tcBorders>
            <w:shd w:val="clear" w:color="auto" w:fill="BFBFBF"/>
          </w:tcPr>
          <w:p w:rsidR="00CA14AB" w:rsidRPr="00E00B35" w:rsidRDefault="00CA14AB" w:rsidP="00E00B35">
            <w:pPr>
              <w:spacing w:after="0" w:line="312" w:lineRule="auto"/>
              <w:rPr>
                <w:szCs w:val="20"/>
              </w:rPr>
            </w:pPr>
            <w:r w:rsidRPr="00E00B35">
              <w:rPr>
                <w:szCs w:val="20"/>
              </w:rPr>
              <w:t>DOM POMOCY SPOŁECZNEJ (DPS)</w:t>
            </w:r>
          </w:p>
        </w:tc>
        <w:tc>
          <w:tcPr>
            <w:tcW w:w="735" w:type="pct"/>
            <w:shd w:val="clear" w:color="auto" w:fill="BFBFBF"/>
          </w:tcPr>
          <w:p w:rsidR="00CA14AB" w:rsidRPr="00E00B35" w:rsidRDefault="00CA14AB" w:rsidP="00E00B35">
            <w:pPr>
              <w:spacing w:after="0" w:line="312" w:lineRule="auto"/>
              <w:rPr>
                <w:szCs w:val="20"/>
              </w:rPr>
            </w:pPr>
            <w:r w:rsidRPr="00E00B35">
              <w:rPr>
                <w:szCs w:val="20"/>
              </w:rPr>
              <w:t>Wykonanie budżetu 2020</w:t>
            </w:r>
          </w:p>
          <w:p w:rsidR="00CA14AB" w:rsidRPr="00E00B35" w:rsidRDefault="00CA14AB" w:rsidP="00E00B35">
            <w:pPr>
              <w:spacing w:after="0" w:line="312" w:lineRule="auto"/>
              <w:rPr>
                <w:szCs w:val="20"/>
              </w:rPr>
            </w:pPr>
            <w:r w:rsidRPr="00E00B35">
              <w:rPr>
                <w:szCs w:val="20"/>
              </w:rPr>
              <w:t>(zł)</w:t>
            </w:r>
          </w:p>
          <w:p w:rsidR="00CA14AB" w:rsidRPr="00E00B35" w:rsidRDefault="00CA14AB" w:rsidP="00E00B35">
            <w:pPr>
              <w:spacing w:after="0" w:line="312" w:lineRule="auto"/>
              <w:rPr>
                <w:szCs w:val="20"/>
              </w:rPr>
            </w:pPr>
          </w:p>
        </w:tc>
        <w:tc>
          <w:tcPr>
            <w:tcW w:w="763" w:type="pct"/>
            <w:shd w:val="clear" w:color="auto" w:fill="BFBFBF"/>
          </w:tcPr>
          <w:p w:rsidR="00CA14AB" w:rsidRPr="00E00B35" w:rsidRDefault="00CA14AB" w:rsidP="00E00B35">
            <w:pPr>
              <w:spacing w:after="0" w:line="312" w:lineRule="auto"/>
              <w:rPr>
                <w:szCs w:val="20"/>
              </w:rPr>
            </w:pPr>
            <w:r w:rsidRPr="00E00B35">
              <w:rPr>
                <w:szCs w:val="20"/>
              </w:rPr>
              <w:t>Odpłatność mieszkańca</w:t>
            </w:r>
          </w:p>
          <w:p w:rsidR="00CA14AB" w:rsidRPr="00E00B35" w:rsidRDefault="00CA14AB" w:rsidP="00E00B35">
            <w:pPr>
              <w:spacing w:after="0" w:line="312" w:lineRule="auto"/>
              <w:rPr>
                <w:szCs w:val="20"/>
              </w:rPr>
            </w:pPr>
            <w:r w:rsidRPr="00E00B35">
              <w:rPr>
                <w:szCs w:val="20"/>
              </w:rPr>
              <w:t>(zł)</w:t>
            </w:r>
          </w:p>
          <w:p w:rsidR="00CA14AB" w:rsidRPr="00E00B35" w:rsidRDefault="00CA14AB" w:rsidP="00E00B35">
            <w:pPr>
              <w:spacing w:after="0" w:line="312" w:lineRule="auto"/>
              <w:rPr>
                <w:szCs w:val="20"/>
              </w:rPr>
            </w:pPr>
          </w:p>
        </w:tc>
        <w:tc>
          <w:tcPr>
            <w:tcW w:w="763" w:type="pct"/>
            <w:shd w:val="clear" w:color="auto" w:fill="BFBFBF"/>
          </w:tcPr>
          <w:p w:rsidR="00CA14AB" w:rsidRPr="00E00B35" w:rsidRDefault="00CA14AB" w:rsidP="00E00B35">
            <w:pPr>
              <w:spacing w:after="0" w:line="312" w:lineRule="auto"/>
              <w:rPr>
                <w:szCs w:val="20"/>
              </w:rPr>
            </w:pPr>
            <w:r w:rsidRPr="00E00B35">
              <w:rPr>
                <w:szCs w:val="20"/>
              </w:rPr>
              <w:t>Dotacja z budżetu Wojewody Dolnośląskiego</w:t>
            </w:r>
          </w:p>
          <w:p w:rsidR="00CA14AB" w:rsidRPr="00E00B35" w:rsidRDefault="00CA14AB" w:rsidP="00E00B35">
            <w:pPr>
              <w:spacing w:after="0" w:line="312" w:lineRule="auto"/>
              <w:rPr>
                <w:szCs w:val="20"/>
              </w:rPr>
            </w:pPr>
            <w:r w:rsidRPr="00E00B35">
              <w:rPr>
                <w:szCs w:val="20"/>
              </w:rPr>
              <w:t>(zł)</w:t>
            </w:r>
          </w:p>
          <w:p w:rsidR="00CA14AB" w:rsidRPr="00E00B35" w:rsidRDefault="00CA14AB" w:rsidP="00E00B35">
            <w:pPr>
              <w:spacing w:after="0" w:line="312" w:lineRule="auto"/>
              <w:rPr>
                <w:szCs w:val="20"/>
              </w:rPr>
            </w:pPr>
          </w:p>
        </w:tc>
        <w:tc>
          <w:tcPr>
            <w:tcW w:w="466" w:type="pct"/>
            <w:shd w:val="clear" w:color="auto" w:fill="BFBFBF"/>
          </w:tcPr>
          <w:p w:rsidR="00CA14AB" w:rsidRPr="00E00B35" w:rsidRDefault="00CA14AB" w:rsidP="00E00B35">
            <w:pPr>
              <w:spacing w:after="0" w:line="312" w:lineRule="auto"/>
              <w:rPr>
                <w:szCs w:val="20"/>
              </w:rPr>
            </w:pPr>
            <w:r w:rsidRPr="00E00B35">
              <w:rPr>
                <w:szCs w:val="20"/>
              </w:rPr>
              <w:t>Liczba mieszka-ńców średnio-miesięcznie</w:t>
            </w:r>
          </w:p>
        </w:tc>
        <w:tc>
          <w:tcPr>
            <w:tcW w:w="613" w:type="pct"/>
            <w:shd w:val="clear" w:color="auto" w:fill="BFBFBF"/>
          </w:tcPr>
          <w:p w:rsidR="00CA14AB" w:rsidRPr="00E00B35" w:rsidRDefault="00CA14AB" w:rsidP="00E00B35">
            <w:pPr>
              <w:spacing w:after="0" w:line="312" w:lineRule="auto"/>
              <w:rPr>
                <w:szCs w:val="20"/>
              </w:rPr>
            </w:pPr>
            <w:r w:rsidRPr="00E00B35">
              <w:rPr>
                <w:szCs w:val="20"/>
              </w:rPr>
              <w:t>Wykorzystany budżet na jednego mieszkańca miesięcznie</w:t>
            </w:r>
          </w:p>
          <w:p w:rsidR="00CA14AB" w:rsidRPr="00E00B35" w:rsidRDefault="00CA14AB" w:rsidP="00E00B35">
            <w:pPr>
              <w:spacing w:after="0" w:line="312" w:lineRule="auto"/>
              <w:rPr>
                <w:szCs w:val="20"/>
              </w:rPr>
            </w:pPr>
            <w:r w:rsidRPr="00E00B35">
              <w:rPr>
                <w:szCs w:val="20"/>
              </w:rPr>
              <w:t>(zł)</w:t>
            </w:r>
          </w:p>
          <w:p w:rsidR="00CA14AB" w:rsidRPr="00E00B35" w:rsidRDefault="00CA14AB" w:rsidP="00E00B35">
            <w:pPr>
              <w:spacing w:after="0" w:line="312" w:lineRule="auto"/>
              <w:rPr>
                <w:szCs w:val="20"/>
              </w:rPr>
            </w:pPr>
          </w:p>
        </w:tc>
        <w:tc>
          <w:tcPr>
            <w:tcW w:w="794" w:type="pct"/>
            <w:shd w:val="clear" w:color="auto" w:fill="BFBFBF"/>
          </w:tcPr>
          <w:p w:rsidR="00CA14AB" w:rsidRPr="00E00B35" w:rsidRDefault="00CA14AB" w:rsidP="00E00B35">
            <w:pPr>
              <w:spacing w:after="0" w:line="312" w:lineRule="auto"/>
              <w:rPr>
                <w:szCs w:val="20"/>
              </w:rPr>
            </w:pPr>
            <w:r w:rsidRPr="00E00B35">
              <w:rPr>
                <w:szCs w:val="20"/>
              </w:rPr>
              <w:t>Koszt Gminy Wrocław</w:t>
            </w:r>
            <w:r w:rsidRPr="00E00B35">
              <w:rPr>
                <w:szCs w:val="20"/>
              </w:rPr>
              <w:sym w:font="Symbol" w:char="F02A"/>
            </w:r>
          </w:p>
          <w:p w:rsidR="00CA14AB" w:rsidRPr="00E00B35" w:rsidRDefault="00CA14AB" w:rsidP="00E00B35">
            <w:pPr>
              <w:spacing w:after="0" w:line="312" w:lineRule="auto"/>
              <w:rPr>
                <w:szCs w:val="20"/>
              </w:rPr>
            </w:pPr>
            <w:r w:rsidRPr="00E00B35">
              <w:rPr>
                <w:szCs w:val="20"/>
              </w:rPr>
              <w:t>z pomniejsze-niem odpłatności i/lub dotacji Wojewody na jednego mieszkańca średniomie-sięcznie</w:t>
            </w:r>
          </w:p>
          <w:p w:rsidR="00CA14AB" w:rsidRPr="00E00B35" w:rsidRDefault="00CA14AB" w:rsidP="00E00B35">
            <w:pPr>
              <w:spacing w:after="0" w:line="312" w:lineRule="auto"/>
              <w:rPr>
                <w:szCs w:val="20"/>
              </w:rPr>
            </w:pPr>
            <w:r w:rsidRPr="00E00B35">
              <w:rPr>
                <w:szCs w:val="20"/>
              </w:rPr>
              <w:t>(zł)</w:t>
            </w:r>
          </w:p>
        </w:tc>
      </w:tr>
      <w:tr w:rsidR="00CA14AB" w:rsidRPr="00E00B35" w:rsidTr="00CA14AB">
        <w:trPr>
          <w:trHeight w:val="315"/>
        </w:trPr>
        <w:tc>
          <w:tcPr>
            <w:tcW w:w="865" w:type="pct"/>
            <w:shd w:val="clear" w:color="auto" w:fill="E6E6E6"/>
            <w:vAlign w:val="center"/>
          </w:tcPr>
          <w:p w:rsidR="00CA14AB" w:rsidRPr="00E00B35" w:rsidRDefault="00CA14AB" w:rsidP="00E00B35">
            <w:pPr>
              <w:spacing w:after="0" w:line="312" w:lineRule="auto"/>
              <w:rPr>
                <w:szCs w:val="20"/>
              </w:rPr>
            </w:pPr>
            <w:r w:rsidRPr="00E00B35">
              <w:rPr>
                <w:szCs w:val="20"/>
              </w:rPr>
              <w:t>DPS ul. Mączna 3</w:t>
            </w:r>
          </w:p>
        </w:tc>
        <w:tc>
          <w:tcPr>
            <w:tcW w:w="735" w:type="pct"/>
            <w:vAlign w:val="center"/>
          </w:tcPr>
          <w:p w:rsidR="00CA14AB" w:rsidRPr="00E00B35" w:rsidRDefault="00CA14AB" w:rsidP="00E00B35">
            <w:pPr>
              <w:spacing w:after="0" w:line="312" w:lineRule="auto"/>
              <w:rPr>
                <w:szCs w:val="20"/>
              </w:rPr>
            </w:pPr>
            <w:r w:rsidRPr="00E00B35">
              <w:rPr>
                <w:szCs w:val="20"/>
              </w:rPr>
              <w:t>8 206 923,36</w:t>
            </w:r>
          </w:p>
        </w:tc>
        <w:tc>
          <w:tcPr>
            <w:tcW w:w="763" w:type="pct"/>
            <w:vAlign w:val="center"/>
          </w:tcPr>
          <w:p w:rsidR="00CA14AB" w:rsidRPr="00E00B35" w:rsidRDefault="00CA14AB" w:rsidP="00E00B35">
            <w:pPr>
              <w:spacing w:after="0" w:line="312" w:lineRule="auto"/>
              <w:rPr>
                <w:szCs w:val="20"/>
              </w:rPr>
            </w:pPr>
            <w:r w:rsidRPr="00E00B35">
              <w:rPr>
                <w:szCs w:val="20"/>
              </w:rPr>
              <w:t>2 375 681,93</w:t>
            </w:r>
          </w:p>
        </w:tc>
        <w:tc>
          <w:tcPr>
            <w:tcW w:w="763" w:type="pct"/>
            <w:vAlign w:val="center"/>
          </w:tcPr>
          <w:p w:rsidR="00CA14AB" w:rsidRPr="00E00B35" w:rsidRDefault="00CA14AB" w:rsidP="00E00B35">
            <w:pPr>
              <w:spacing w:after="0" w:line="312" w:lineRule="auto"/>
              <w:rPr>
                <w:szCs w:val="20"/>
              </w:rPr>
            </w:pPr>
            <w:r w:rsidRPr="00E00B35">
              <w:rPr>
                <w:szCs w:val="20"/>
              </w:rPr>
              <w:t>143 558,88</w:t>
            </w:r>
          </w:p>
        </w:tc>
        <w:tc>
          <w:tcPr>
            <w:tcW w:w="466" w:type="pct"/>
            <w:vAlign w:val="center"/>
          </w:tcPr>
          <w:p w:rsidR="00CA14AB" w:rsidRPr="00E00B35" w:rsidRDefault="00CA14AB" w:rsidP="00E00B35">
            <w:pPr>
              <w:spacing w:after="0" w:line="312" w:lineRule="auto"/>
              <w:rPr>
                <w:szCs w:val="20"/>
              </w:rPr>
            </w:pPr>
            <w:r w:rsidRPr="00E00B35">
              <w:rPr>
                <w:szCs w:val="20"/>
              </w:rPr>
              <w:t>145</w:t>
            </w:r>
          </w:p>
        </w:tc>
        <w:tc>
          <w:tcPr>
            <w:tcW w:w="613" w:type="pct"/>
            <w:vAlign w:val="center"/>
          </w:tcPr>
          <w:p w:rsidR="00CA14AB" w:rsidRPr="00E00B35" w:rsidRDefault="00CA14AB" w:rsidP="00E00B35">
            <w:pPr>
              <w:spacing w:after="0" w:line="312" w:lineRule="auto"/>
              <w:rPr>
                <w:szCs w:val="20"/>
              </w:rPr>
            </w:pPr>
            <w:r w:rsidRPr="00E00B35">
              <w:rPr>
                <w:szCs w:val="20"/>
              </w:rPr>
              <w:t xml:space="preserve">4 716,62 </w:t>
            </w:r>
          </w:p>
        </w:tc>
        <w:tc>
          <w:tcPr>
            <w:tcW w:w="794" w:type="pct"/>
            <w:vAlign w:val="center"/>
          </w:tcPr>
          <w:p w:rsidR="00CA14AB" w:rsidRPr="00E00B35" w:rsidRDefault="00CA14AB" w:rsidP="00E00B35">
            <w:pPr>
              <w:spacing w:after="0" w:line="312" w:lineRule="auto"/>
              <w:rPr>
                <w:szCs w:val="20"/>
              </w:rPr>
            </w:pPr>
            <w:r w:rsidRPr="00E00B35">
              <w:rPr>
                <w:szCs w:val="20"/>
              </w:rPr>
              <w:t>3 268,78</w:t>
            </w:r>
          </w:p>
        </w:tc>
      </w:tr>
      <w:tr w:rsidR="00CA14AB" w:rsidRPr="00E00B35" w:rsidTr="00CA14AB">
        <w:trPr>
          <w:trHeight w:val="315"/>
        </w:trPr>
        <w:tc>
          <w:tcPr>
            <w:tcW w:w="865" w:type="pct"/>
            <w:shd w:val="clear" w:color="auto" w:fill="E6E6E6"/>
            <w:vAlign w:val="center"/>
          </w:tcPr>
          <w:p w:rsidR="00CA14AB" w:rsidRPr="00E00B35" w:rsidRDefault="00CA14AB" w:rsidP="00E00B35">
            <w:pPr>
              <w:spacing w:after="0" w:line="312" w:lineRule="auto"/>
              <w:rPr>
                <w:szCs w:val="20"/>
              </w:rPr>
            </w:pPr>
            <w:r w:rsidRPr="00E00B35">
              <w:rPr>
                <w:szCs w:val="20"/>
              </w:rPr>
              <w:t xml:space="preserve">DPS ul. Karmelkowa </w:t>
            </w:r>
            <w:r w:rsidRPr="00E00B35">
              <w:rPr>
                <w:szCs w:val="20"/>
              </w:rPr>
              <w:lastRenderedPageBreak/>
              <w:t>25</w:t>
            </w:r>
          </w:p>
        </w:tc>
        <w:tc>
          <w:tcPr>
            <w:tcW w:w="735" w:type="pct"/>
            <w:vAlign w:val="center"/>
          </w:tcPr>
          <w:p w:rsidR="00CA14AB" w:rsidRPr="00E00B35" w:rsidRDefault="00CA14AB" w:rsidP="00E00B35">
            <w:pPr>
              <w:spacing w:after="0" w:line="312" w:lineRule="auto"/>
              <w:rPr>
                <w:szCs w:val="20"/>
              </w:rPr>
            </w:pPr>
            <w:r w:rsidRPr="00E00B35">
              <w:rPr>
                <w:szCs w:val="20"/>
              </w:rPr>
              <w:lastRenderedPageBreak/>
              <w:t>13 281 548,25</w:t>
            </w:r>
          </w:p>
        </w:tc>
        <w:tc>
          <w:tcPr>
            <w:tcW w:w="763" w:type="pct"/>
            <w:vAlign w:val="center"/>
          </w:tcPr>
          <w:p w:rsidR="00CA14AB" w:rsidRPr="00E00B35" w:rsidRDefault="00CA14AB" w:rsidP="00E00B35">
            <w:pPr>
              <w:spacing w:after="0" w:line="312" w:lineRule="auto"/>
              <w:rPr>
                <w:szCs w:val="20"/>
              </w:rPr>
            </w:pPr>
            <w:r w:rsidRPr="00E00B35">
              <w:rPr>
                <w:szCs w:val="20"/>
              </w:rPr>
              <w:t>3 226 105,85</w:t>
            </w:r>
          </w:p>
        </w:tc>
        <w:tc>
          <w:tcPr>
            <w:tcW w:w="763" w:type="pct"/>
            <w:vAlign w:val="center"/>
          </w:tcPr>
          <w:p w:rsidR="00CA14AB" w:rsidRPr="00E00B35" w:rsidRDefault="00CA14AB" w:rsidP="00E00B35">
            <w:pPr>
              <w:spacing w:after="0" w:line="312" w:lineRule="auto"/>
              <w:rPr>
                <w:szCs w:val="20"/>
              </w:rPr>
            </w:pPr>
            <w:r w:rsidRPr="00E00B35">
              <w:rPr>
                <w:szCs w:val="20"/>
              </w:rPr>
              <w:t>992 948,92</w:t>
            </w:r>
          </w:p>
        </w:tc>
        <w:tc>
          <w:tcPr>
            <w:tcW w:w="466" w:type="pct"/>
            <w:vAlign w:val="center"/>
          </w:tcPr>
          <w:p w:rsidR="00CA14AB" w:rsidRPr="00E00B35" w:rsidRDefault="00CA14AB" w:rsidP="00E00B35">
            <w:pPr>
              <w:spacing w:after="0" w:line="312" w:lineRule="auto"/>
              <w:rPr>
                <w:szCs w:val="20"/>
              </w:rPr>
            </w:pPr>
            <w:r w:rsidRPr="00E00B35">
              <w:rPr>
                <w:szCs w:val="20"/>
              </w:rPr>
              <w:t>229</w:t>
            </w:r>
          </w:p>
        </w:tc>
        <w:tc>
          <w:tcPr>
            <w:tcW w:w="613" w:type="pct"/>
            <w:vAlign w:val="center"/>
          </w:tcPr>
          <w:p w:rsidR="00CA14AB" w:rsidRPr="00E00B35" w:rsidRDefault="00CA14AB" w:rsidP="00E00B35">
            <w:pPr>
              <w:spacing w:after="0" w:line="312" w:lineRule="auto"/>
              <w:rPr>
                <w:szCs w:val="20"/>
              </w:rPr>
            </w:pPr>
            <w:r w:rsidRPr="00E00B35">
              <w:rPr>
                <w:szCs w:val="20"/>
              </w:rPr>
              <w:t>4 833,17</w:t>
            </w:r>
          </w:p>
        </w:tc>
        <w:tc>
          <w:tcPr>
            <w:tcW w:w="794" w:type="pct"/>
            <w:vAlign w:val="center"/>
          </w:tcPr>
          <w:p w:rsidR="00CA14AB" w:rsidRPr="00E00B35" w:rsidRDefault="00CA14AB" w:rsidP="00E00B35">
            <w:pPr>
              <w:spacing w:after="0" w:line="312" w:lineRule="auto"/>
              <w:rPr>
                <w:szCs w:val="20"/>
              </w:rPr>
            </w:pPr>
            <w:r w:rsidRPr="00E00B35">
              <w:rPr>
                <w:szCs w:val="20"/>
              </w:rPr>
              <w:t>3 297,85</w:t>
            </w:r>
          </w:p>
        </w:tc>
      </w:tr>
      <w:tr w:rsidR="00CA14AB" w:rsidRPr="00E00B35" w:rsidTr="00CA14AB">
        <w:trPr>
          <w:trHeight w:val="315"/>
        </w:trPr>
        <w:tc>
          <w:tcPr>
            <w:tcW w:w="865" w:type="pct"/>
            <w:shd w:val="clear" w:color="auto" w:fill="E6E6E6"/>
            <w:vAlign w:val="center"/>
          </w:tcPr>
          <w:p w:rsidR="00CA14AB" w:rsidRPr="00E00B35" w:rsidRDefault="00CA14AB" w:rsidP="00E00B35">
            <w:pPr>
              <w:spacing w:after="0" w:line="312" w:lineRule="auto"/>
              <w:rPr>
                <w:szCs w:val="20"/>
              </w:rPr>
            </w:pPr>
            <w:r w:rsidRPr="00E00B35">
              <w:rPr>
                <w:szCs w:val="20"/>
              </w:rPr>
              <w:lastRenderedPageBreak/>
              <w:t>DPS ul. Rędzińska 66/68</w:t>
            </w:r>
          </w:p>
        </w:tc>
        <w:tc>
          <w:tcPr>
            <w:tcW w:w="735" w:type="pct"/>
            <w:vAlign w:val="center"/>
          </w:tcPr>
          <w:p w:rsidR="00CA14AB" w:rsidRPr="00E00B35" w:rsidRDefault="00CA14AB" w:rsidP="00E00B35">
            <w:pPr>
              <w:spacing w:after="0" w:line="312" w:lineRule="auto"/>
              <w:rPr>
                <w:szCs w:val="20"/>
              </w:rPr>
            </w:pPr>
            <w:r w:rsidRPr="00E00B35">
              <w:rPr>
                <w:szCs w:val="20"/>
              </w:rPr>
              <w:t>9 319 367,55</w:t>
            </w:r>
          </w:p>
        </w:tc>
        <w:tc>
          <w:tcPr>
            <w:tcW w:w="763" w:type="pct"/>
            <w:vAlign w:val="center"/>
          </w:tcPr>
          <w:p w:rsidR="00CA14AB" w:rsidRPr="00E00B35" w:rsidRDefault="00CA14AB" w:rsidP="00E00B35">
            <w:pPr>
              <w:spacing w:after="0" w:line="312" w:lineRule="auto"/>
              <w:rPr>
                <w:szCs w:val="20"/>
              </w:rPr>
            </w:pPr>
            <w:r w:rsidRPr="00E00B35">
              <w:rPr>
                <w:szCs w:val="20"/>
              </w:rPr>
              <w:t>1 998 131,21</w:t>
            </w:r>
          </w:p>
        </w:tc>
        <w:tc>
          <w:tcPr>
            <w:tcW w:w="763" w:type="pct"/>
            <w:vAlign w:val="center"/>
          </w:tcPr>
          <w:p w:rsidR="00CA14AB" w:rsidRPr="00E00B35" w:rsidRDefault="00CA14AB" w:rsidP="00E00B35">
            <w:pPr>
              <w:spacing w:after="0" w:line="312" w:lineRule="auto"/>
              <w:rPr>
                <w:szCs w:val="20"/>
              </w:rPr>
            </w:pPr>
            <w:r w:rsidRPr="00E00B35">
              <w:rPr>
                <w:szCs w:val="20"/>
              </w:rPr>
              <w:t>505 446,89</w:t>
            </w:r>
          </w:p>
        </w:tc>
        <w:tc>
          <w:tcPr>
            <w:tcW w:w="466" w:type="pct"/>
            <w:vAlign w:val="center"/>
          </w:tcPr>
          <w:p w:rsidR="00CA14AB" w:rsidRPr="00E00B35" w:rsidRDefault="00CA14AB" w:rsidP="00E00B35">
            <w:pPr>
              <w:spacing w:after="0" w:line="312" w:lineRule="auto"/>
              <w:rPr>
                <w:szCs w:val="20"/>
              </w:rPr>
            </w:pPr>
            <w:r w:rsidRPr="00E00B35">
              <w:rPr>
                <w:szCs w:val="20"/>
              </w:rPr>
              <w:t>156</w:t>
            </w:r>
          </w:p>
        </w:tc>
        <w:tc>
          <w:tcPr>
            <w:tcW w:w="613" w:type="pct"/>
            <w:vAlign w:val="center"/>
          </w:tcPr>
          <w:p w:rsidR="00CA14AB" w:rsidRPr="00E00B35" w:rsidRDefault="00CA14AB" w:rsidP="00E00B35">
            <w:pPr>
              <w:spacing w:after="0" w:line="312" w:lineRule="auto"/>
              <w:rPr>
                <w:szCs w:val="20"/>
              </w:rPr>
            </w:pPr>
            <w:r w:rsidRPr="00E00B35">
              <w:rPr>
                <w:szCs w:val="20"/>
              </w:rPr>
              <w:t>4 978,29</w:t>
            </w:r>
          </w:p>
        </w:tc>
        <w:tc>
          <w:tcPr>
            <w:tcW w:w="794" w:type="pct"/>
            <w:vAlign w:val="center"/>
          </w:tcPr>
          <w:p w:rsidR="00CA14AB" w:rsidRPr="00E00B35" w:rsidRDefault="00CA14AB" w:rsidP="00E00B35">
            <w:pPr>
              <w:spacing w:after="0" w:line="312" w:lineRule="auto"/>
              <w:rPr>
                <w:szCs w:val="20"/>
              </w:rPr>
            </w:pPr>
            <w:r w:rsidRPr="00E00B35">
              <w:rPr>
                <w:szCs w:val="20"/>
              </w:rPr>
              <w:t>3 640,91</w:t>
            </w:r>
          </w:p>
        </w:tc>
      </w:tr>
      <w:tr w:rsidR="00CA14AB" w:rsidRPr="00E00B35" w:rsidTr="00CA14AB">
        <w:trPr>
          <w:trHeight w:val="315"/>
        </w:trPr>
        <w:tc>
          <w:tcPr>
            <w:tcW w:w="865" w:type="pct"/>
            <w:tcBorders>
              <w:bottom w:val="single" w:sz="4" w:space="0" w:color="auto"/>
            </w:tcBorders>
            <w:shd w:val="clear" w:color="auto" w:fill="E6E6E6"/>
            <w:vAlign w:val="center"/>
          </w:tcPr>
          <w:p w:rsidR="00CA14AB" w:rsidRPr="00E00B35" w:rsidRDefault="00CA14AB" w:rsidP="00E00B35">
            <w:pPr>
              <w:spacing w:after="0" w:line="312" w:lineRule="auto"/>
              <w:rPr>
                <w:szCs w:val="20"/>
              </w:rPr>
            </w:pPr>
            <w:r w:rsidRPr="00E00B35">
              <w:rPr>
                <w:szCs w:val="20"/>
              </w:rPr>
              <w:t>DPS  ul. Kaletnicza 8</w:t>
            </w:r>
          </w:p>
        </w:tc>
        <w:tc>
          <w:tcPr>
            <w:tcW w:w="735" w:type="pct"/>
            <w:tcBorders>
              <w:bottom w:val="single" w:sz="4" w:space="0" w:color="auto"/>
            </w:tcBorders>
            <w:vAlign w:val="center"/>
          </w:tcPr>
          <w:p w:rsidR="00CA14AB" w:rsidRPr="00E00B35" w:rsidRDefault="00CA14AB" w:rsidP="00E00B35">
            <w:pPr>
              <w:spacing w:after="0" w:line="312" w:lineRule="auto"/>
              <w:rPr>
                <w:szCs w:val="20"/>
              </w:rPr>
            </w:pPr>
            <w:r w:rsidRPr="00E00B35">
              <w:rPr>
                <w:szCs w:val="20"/>
              </w:rPr>
              <w:t xml:space="preserve">5 462 625,10 </w:t>
            </w:r>
          </w:p>
        </w:tc>
        <w:tc>
          <w:tcPr>
            <w:tcW w:w="763" w:type="pct"/>
            <w:tcBorders>
              <w:bottom w:val="single" w:sz="4" w:space="0" w:color="auto"/>
            </w:tcBorders>
            <w:vAlign w:val="center"/>
          </w:tcPr>
          <w:p w:rsidR="00CA14AB" w:rsidRPr="00E00B35" w:rsidRDefault="00CA14AB" w:rsidP="00E00B35">
            <w:pPr>
              <w:spacing w:after="0" w:line="312" w:lineRule="auto"/>
              <w:rPr>
                <w:szCs w:val="20"/>
              </w:rPr>
            </w:pPr>
            <w:r w:rsidRPr="00E00B35">
              <w:rPr>
                <w:szCs w:val="20"/>
              </w:rPr>
              <w:t>1 188 273,53</w:t>
            </w:r>
          </w:p>
        </w:tc>
        <w:tc>
          <w:tcPr>
            <w:tcW w:w="763" w:type="pct"/>
            <w:tcBorders>
              <w:bottom w:val="single" w:sz="4" w:space="0" w:color="auto"/>
            </w:tcBorders>
            <w:vAlign w:val="center"/>
          </w:tcPr>
          <w:p w:rsidR="00CA14AB" w:rsidRPr="00E00B35" w:rsidRDefault="00CA14AB" w:rsidP="00E00B35">
            <w:pPr>
              <w:spacing w:after="0" w:line="312" w:lineRule="auto"/>
              <w:rPr>
                <w:szCs w:val="20"/>
              </w:rPr>
            </w:pPr>
            <w:r w:rsidRPr="00E00B35">
              <w:rPr>
                <w:szCs w:val="20"/>
              </w:rPr>
              <w:t>998 930,54</w:t>
            </w:r>
          </w:p>
        </w:tc>
        <w:tc>
          <w:tcPr>
            <w:tcW w:w="466" w:type="pct"/>
            <w:tcBorders>
              <w:bottom w:val="single" w:sz="4" w:space="0" w:color="auto"/>
            </w:tcBorders>
            <w:vAlign w:val="center"/>
          </w:tcPr>
          <w:p w:rsidR="00CA14AB" w:rsidRPr="00E00B35" w:rsidRDefault="00CA14AB" w:rsidP="00E00B35">
            <w:pPr>
              <w:spacing w:after="0" w:line="312" w:lineRule="auto"/>
              <w:rPr>
                <w:szCs w:val="20"/>
              </w:rPr>
            </w:pPr>
            <w:r w:rsidRPr="00E00B35">
              <w:rPr>
                <w:szCs w:val="20"/>
              </w:rPr>
              <w:t>94</w:t>
            </w:r>
          </w:p>
        </w:tc>
        <w:tc>
          <w:tcPr>
            <w:tcW w:w="613" w:type="pct"/>
            <w:tcBorders>
              <w:bottom w:val="single" w:sz="4" w:space="0" w:color="auto"/>
            </w:tcBorders>
            <w:vAlign w:val="center"/>
          </w:tcPr>
          <w:p w:rsidR="00CA14AB" w:rsidRPr="00E00B35" w:rsidRDefault="00CA14AB" w:rsidP="00E00B35">
            <w:pPr>
              <w:spacing w:after="0" w:line="312" w:lineRule="auto"/>
              <w:rPr>
                <w:szCs w:val="20"/>
              </w:rPr>
            </w:pPr>
            <w:r w:rsidRPr="00E00B35">
              <w:rPr>
                <w:szCs w:val="20"/>
              </w:rPr>
              <w:t>4 842,75</w:t>
            </w:r>
          </w:p>
        </w:tc>
        <w:tc>
          <w:tcPr>
            <w:tcW w:w="794" w:type="pct"/>
            <w:tcBorders>
              <w:bottom w:val="single" w:sz="4" w:space="0" w:color="auto"/>
            </w:tcBorders>
            <w:vAlign w:val="center"/>
          </w:tcPr>
          <w:p w:rsidR="00CA14AB" w:rsidRPr="00E00B35" w:rsidRDefault="00CA14AB" w:rsidP="00E00B35">
            <w:pPr>
              <w:spacing w:after="0" w:line="312" w:lineRule="auto"/>
              <w:rPr>
                <w:szCs w:val="20"/>
              </w:rPr>
            </w:pPr>
            <w:r w:rsidRPr="00E00B35">
              <w:rPr>
                <w:szCs w:val="20"/>
              </w:rPr>
              <w:t>2 903,74</w:t>
            </w:r>
          </w:p>
        </w:tc>
      </w:tr>
      <w:tr w:rsidR="00CA14AB" w:rsidRPr="00E00B35" w:rsidTr="00CA14AB">
        <w:trPr>
          <w:trHeight w:val="386"/>
        </w:trPr>
        <w:tc>
          <w:tcPr>
            <w:tcW w:w="3593" w:type="pct"/>
            <w:gridSpan w:val="5"/>
            <w:shd w:val="clear" w:color="auto" w:fill="E6E6E6"/>
            <w:vAlign w:val="center"/>
          </w:tcPr>
          <w:p w:rsidR="00CA14AB" w:rsidRPr="00E00B35" w:rsidRDefault="00CA14AB" w:rsidP="00E00B35">
            <w:pPr>
              <w:spacing w:after="0" w:line="312" w:lineRule="auto"/>
              <w:rPr>
                <w:szCs w:val="20"/>
              </w:rPr>
            </w:pPr>
            <w:r w:rsidRPr="00E00B35">
              <w:rPr>
                <w:szCs w:val="20"/>
              </w:rPr>
              <w:t>Średnio wykonanie budżetu na mieszkańca w czterech domach pomocy społecznej </w:t>
            </w:r>
          </w:p>
        </w:tc>
        <w:tc>
          <w:tcPr>
            <w:tcW w:w="613" w:type="pct"/>
            <w:shd w:val="clear" w:color="auto" w:fill="E6E6E6"/>
            <w:vAlign w:val="center"/>
          </w:tcPr>
          <w:p w:rsidR="00CA14AB" w:rsidRPr="00E00B35" w:rsidRDefault="00CA14AB" w:rsidP="00E00B35">
            <w:pPr>
              <w:spacing w:after="0" w:line="312" w:lineRule="auto"/>
              <w:rPr>
                <w:szCs w:val="20"/>
              </w:rPr>
            </w:pPr>
            <w:r w:rsidRPr="00E00B35">
              <w:rPr>
                <w:szCs w:val="20"/>
              </w:rPr>
              <w:t>4 843,81</w:t>
            </w:r>
          </w:p>
        </w:tc>
        <w:tc>
          <w:tcPr>
            <w:tcW w:w="794" w:type="pct"/>
            <w:shd w:val="clear" w:color="auto" w:fill="E6E6E6"/>
            <w:vAlign w:val="center"/>
          </w:tcPr>
          <w:p w:rsidR="00CA14AB" w:rsidRPr="00E00B35" w:rsidRDefault="00CA14AB" w:rsidP="00E00B35">
            <w:pPr>
              <w:spacing w:after="0" w:line="312" w:lineRule="auto"/>
              <w:rPr>
                <w:szCs w:val="20"/>
              </w:rPr>
            </w:pPr>
          </w:p>
        </w:tc>
      </w:tr>
    </w:tbl>
    <w:p w:rsidR="00CA14AB" w:rsidRPr="00E00B35" w:rsidRDefault="00CA14AB" w:rsidP="00E00B35">
      <w:pPr>
        <w:spacing w:after="0" w:line="312" w:lineRule="auto"/>
        <w:rPr>
          <w:szCs w:val="20"/>
        </w:rPr>
      </w:pPr>
      <w:r w:rsidRPr="00E00B35">
        <w:rPr>
          <w:szCs w:val="20"/>
        </w:rPr>
        <w:sym w:font="Symbol" w:char="F02A"/>
      </w:r>
      <w:r w:rsidRPr="00E00B35">
        <w:rPr>
          <w:szCs w:val="20"/>
        </w:rPr>
        <w:t xml:space="preserve"> Uwaga: </w:t>
      </w:r>
      <w:r w:rsidRPr="00E00B35">
        <w:rPr>
          <w:rFonts w:eastAsia="Calibri"/>
          <w:szCs w:val="20"/>
        </w:rPr>
        <w:t xml:space="preserve">Dane w tabeli 3 nie uwzględniają pomniejszenia kosztu Gminy Wrocław o wpłaty za pobyt wnoszone przez małżonka, wstępnych, zstępnych lub innych osób za pobyt mieszkańców w DPS – dane nie są dostępne </w:t>
      </w:r>
      <w:r w:rsidRPr="00E00B35">
        <w:rPr>
          <w:rFonts w:eastAsia="Calibri"/>
          <w:szCs w:val="20"/>
        </w:rPr>
        <w:br/>
        <w:t>w MCUS.</w:t>
      </w:r>
    </w:p>
    <w:p w:rsidR="00CA14AB" w:rsidRPr="00E00B35" w:rsidRDefault="00CA14AB" w:rsidP="00E00B35">
      <w:pPr>
        <w:spacing w:after="0" w:line="312" w:lineRule="auto"/>
        <w:rPr>
          <w:szCs w:val="20"/>
          <w:highlight w:val="yellow"/>
        </w:rPr>
      </w:pPr>
      <w:r w:rsidRPr="00E00B35">
        <w:rPr>
          <w:szCs w:val="20"/>
        </w:rPr>
        <w:t>Koszt utrzymania w DPS, zgodnie z ustawą o pomocy społecznej, oznacza</w:t>
      </w:r>
      <w:r w:rsidRPr="00E00B35">
        <w:rPr>
          <w:rFonts w:eastAsia="Calibri"/>
          <w:szCs w:val="20"/>
        </w:rPr>
        <w:t xml:space="preserve"> kwotę rocznych kosztów działalności domu wynikającą z utrzymania mieszkańców, z roku poprzedniego, bez kosztów inwestycyjnych i wydatków na remonty, powiększoną o prognozowany średnioroczny wskaźnik cen towarów i usług konsumpcyjnych ogółem, przyjęty w </w:t>
      </w:r>
      <w:r w:rsidRPr="00E00B35">
        <w:rPr>
          <w:szCs w:val="20"/>
        </w:rPr>
        <w:t>ustawie</w:t>
      </w:r>
      <w:r w:rsidRPr="00E00B35">
        <w:rPr>
          <w:rFonts w:eastAsia="Calibri"/>
          <w:szCs w:val="20"/>
        </w:rPr>
        <w:t xml:space="preserve"> budżetowej na dany rok kalendarzowy, podzieloną przez liczbę miejsc, ustaloną jako sumę rzeczywistej liczby mieszkańców w poszczególnych miesiącach roku poprzedniego, w domu.</w:t>
      </w:r>
    </w:p>
    <w:p w:rsidR="00CA14AB" w:rsidRPr="00E00B35" w:rsidRDefault="00CA14AB" w:rsidP="00E00B35">
      <w:pPr>
        <w:spacing w:after="0" w:line="312" w:lineRule="auto"/>
        <w:rPr>
          <w:szCs w:val="20"/>
        </w:rPr>
      </w:pPr>
      <w:r w:rsidRPr="00E00B35">
        <w:rPr>
          <w:szCs w:val="20"/>
        </w:rPr>
        <w:t xml:space="preserve">Tabela 3. Koszt utrzymania mieszkańca w domach pomocy społecznej w latach 2014-2020 obliczony do zarządzenia Prezydenta Wrocławia w sprawie określenia średniego miesięcznego kosztu utrzymania mieszkańca </w:t>
      </w:r>
    </w:p>
    <w:tbl>
      <w:tblPr>
        <w:tblW w:w="5000" w:type="pct"/>
        <w:tblInd w:w="-5" w:type="dxa"/>
        <w:tblLayout w:type="fixed"/>
        <w:tblCellMar>
          <w:left w:w="70" w:type="dxa"/>
          <w:right w:w="70" w:type="dxa"/>
        </w:tblCellMar>
        <w:tblLook w:val="04A0"/>
      </w:tblPr>
      <w:tblGrid>
        <w:gridCol w:w="2446"/>
        <w:gridCol w:w="970"/>
        <w:gridCol w:w="969"/>
        <w:gridCol w:w="965"/>
        <w:gridCol w:w="969"/>
        <w:gridCol w:w="969"/>
        <w:gridCol w:w="962"/>
        <w:gridCol w:w="962"/>
      </w:tblGrid>
      <w:tr w:rsidR="00CA14AB" w:rsidRPr="00E00B35" w:rsidTr="00CA14AB">
        <w:trPr>
          <w:trHeight w:val="86"/>
        </w:trPr>
        <w:tc>
          <w:tcPr>
            <w:tcW w:w="1327" w:type="pct"/>
            <w:tcBorders>
              <w:top w:val="single" w:sz="4" w:space="0" w:color="auto"/>
              <w:left w:val="single" w:sz="4" w:space="0" w:color="auto"/>
              <w:bottom w:val="single" w:sz="4" w:space="0" w:color="auto"/>
              <w:right w:val="single" w:sz="4" w:space="0" w:color="auto"/>
            </w:tcBorders>
            <w:shd w:val="clear" w:color="auto" w:fill="BFBFBF"/>
            <w:noWrap/>
            <w:vAlign w:val="center"/>
          </w:tcPr>
          <w:p w:rsidR="00CA14AB" w:rsidRPr="00E00B35" w:rsidRDefault="00CA14AB" w:rsidP="00E00B35">
            <w:pPr>
              <w:spacing w:after="0" w:line="312" w:lineRule="auto"/>
              <w:rPr>
                <w:szCs w:val="20"/>
              </w:rPr>
            </w:pPr>
            <w:r w:rsidRPr="00E00B35">
              <w:rPr>
                <w:szCs w:val="20"/>
              </w:rPr>
              <w:t>DOM POMOCY SPOŁECZNEJ (DPS)</w:t>
            </w:r>
          </w:p>
        </w:tc>
        <w:tc>
          <w:tcPr>
            <w:tcW w:w="526" w:type="pct"/>
            <w:tcBorders>
              <w:top w:val="single" w:sz="4" w:space="0" w:color="auto"/>
              <w:left w:val="nil"/>
              <w:bottom w:val="single" w:sz="4" w:space="0" w:color="auto"/>
              <w:right w:val="single" w:sz="4" w:space="0" w:color="auto"/>
            </w:tcBorders>
            <w:shd w:val="clear" w:color="auto" w:fill="BFBFBF"/>
            <w:vAlign w:val="center"/>
          </w:tcPr>
          <w:p w:rsidR="00CA14AB" w:rsidRPr="00E00B35" w:rsidRDefault="00CA14AB" w:rsidP="00E00B35">
            <w:pPr>
              <w:spacing w:after="0" w:line="312" w:lineRule="auto"/>
              <w:rPr>
                <w:szCs w:val="20"/>
              </w:rPr>
            </w:pPr>
            <w:r w:rsidRPr="00E00B35">
              <w:rPr>
                <w:szCs w:val="20"/>
              </w:rPr>
              <w:t>2014</w:t>
            </w:r>
          </w:p>
        </w:tc>
        <w:tc>
          <w:tcPr>
            <w:tcW w:w="526" w:type="pct"/>
            <w:tcBorders>
              <w:top w:val="single" w:sz="4" w:space="0" w:color="auto"/>
              <w:left w:val="nil"/>
              <w:bottom w:val="single" w:sz="4" w:space="0" w:color="auto"/>
              <w:right w:val="single" w:sz="4" w:space="0" w:color="auto"/>
            </w:tcBorders>
            <w:shd w:val="clear" w:color="auto" w:fill="BFBFBF"/>
            <w:vAlign w:val="center"/>
          </w:tcPr>
          <w:p w:rsidR="00CA14AB" w:rsidRPr="00E00B35" w:rsidRDefault="00CA14AB" w:rsidP="00E00B35">
            <w:pPr>
              <w:spacing w:after="0" w:line="312" w:lineRule="auto"/>
              <w:rPr>
                <w:szCs w:val="20"/>
              </w:rPr>
            </w:pPr>
            <w:r w:rsidRPr="00E00B35">
              <w:rPr>
                <w:szCs w:val="20"/>
              </w:rPr>
              <w:t>2015</w:t>
            </w:r>
          </w:p>
        </w:tc>
        <w:tc>
          <w:tcPr>
            <w:tcW w:w="524" w:type="pct"/>
            <w:tcBorders>
              <w:top w:val="single" w:sz="4" w:space="0" w:color="auto"/>
              <w:left w:val="nil"/>
              <w:bottom w:val="single" w:sz="4" w:space="0" w:color="auto"/>
              <w:right w:val="single" w:sz="4" w:space="0" w:color="auto"/>
            </w:tcBorders>
            <w:shd w:val="clear" w:color="auto" w:fill="BFBFBF"/>
            <w:vAlign w:val="center"/>
          </w:tcPr>
          <w:p w:rsidR="00CA14AB" w:rsidRPr="00E00B35" w:rsidRDefault="00CA14AB" w:rsidP="00E00B35">
            <w:pPr>
              <w:spacing w:after="0" w:line="312" w:lineRule="auto"/>
              <w:rPr>
                <w:szCs w:val="20"/>
              </w:rPr>
            </w:pPr>
            <w:r w:rsidRPr="00E00B35">
              <w:rPr>
                <w:szCs w:val="20"/>
              </w:rPr>
              <w:t>2016</w:t>
            </w:r>
          </w:p>
        </w:tc>
        <w:tc>
          <w:tcPr>
            <w:tcW w:w="526" w:type="pct"/>
            <w:tcBorders>
              <w:top w:val="single" w:sz="4" w:space="0" w:color="auto"/>
              <w:left w:val="nil"/>
              <w:bottom w:val="single" w:sz="4" w:space="0" w:color="auto"/>
              <w:right w:val="single" w:sz="4" w:space="0" w:color="auto"/>
            </w:tcBorders>
            <w:shd w:val="clear" w:color="auto" w:fill="BFBFBF"/>
            <w:vAlign w:val="center"/>
          </w:tcPr>
          <w:p w:rsidR="00CA14AB" w:rsidRPr="00E00B35" w:rsidRDefault="00CA14AB" w:rsidP="00E00B35">
            <w:pPr>
              <w:spacing w:after="0" w:line="312" w:lineRule="auto"/>
              <w:rPr>
                <w:szCs w:val="20"/>
              </w:rPr>
            </w:pPr>
            <w:r w:rsidRPr="00E00B35">
              <w:rPr>
                <w:szCs w:val="20"/>
              </w:rPr>
              <w:t>2017</w:t>
            </w:r>
          </w:p>
        </w:tc>
        <w:tc>
          <w:tcPr>
            <w:tcW w:w="526" w:type="pct"/>
            <w:tcBorders>
              <w:top w:val="single" w:sz="4" w:space="0" w:color="auto"/>
              <w:left w:val="nil"/>
              <w:bottom w:val="single" w:sz="4" w:space="0" w:color="auto"/>
              <w:right w:val="single" w:sz="4" w:space="0" w:color="auto"/>
            </w:tcBorders>
            <w:shd w:val="clear" w:color="auto" w:fill="BFBFBF"/>
            <w:vAlign w:val="center"/>
          </w:tcPr>
          <w:p w:rsidR="00CA14AB" w:rsidRPr="00E00B35" w:rsidRDefault="00CA14AB" w:rsidP="00E00B35">
            <w:pPr>
              <w:spacing w:after="0" w:line="312" w:lineRule="auto"/>
              <w:rPr>
                <w:szCs w:val="20"/>
              </w:rPr>
            </w:pPr>
            <w:r w:rsidRPr="00E00B35">
              <w:rPr>
                <w:szCs w:val="20"/>
              </w:rPr>
              <w:t>2018</w:t>
            </w:r>
          </w:p>
        </w:tc>
        <w:tc>
          <w:tcPr>
            <w:tcW w:w="522" w:type="pct"/>
            <w:tcBorders>
              <w:top w:val="single" w:sz="4" w:space="0" w:color="auto"/>
              <w:left w:val="nil"/>
              <w:bottom w:val="single" w:sz="4" w:space="0" w:color="auto"/>
              <w:right w:val="single" w:sz="4" w:space="0" w:color="auto"/>
            </w:tcBorders>
            <w:shd w:val="clear" w:color="auto" w:fill="BFBFBF"/>
            <w:vAlign w:val="center"/>
          </w:tcPr>
          <w:p w:rsidR="00CA14AB" w:rsidRPr="00E00B35" w:rsidRDefault="00CA14AB" w:rsidP="00E00B35">
            <w:pPr>
              <w:spacing w:after="0" w:line="312" w:lineRule="auto"/>
              <w:rPr>
                <w:szCs w:val="20"/>
              </w:rPr>
            </w:pPr>
            <w:r w:rsidRPr="00E00B35">
              <w:rPr>
                <w:szCs w:val="20"/>
              </w:rPr>
              <w:t>2019</w:t>
            </w:r>
          </w:p>
        </w:tc>
        <w:tc>
          <w:tcPr>
            <w:tcW w:w="522" w:type="pct"/>
            <w:tcBorders>
              <w:top w:val="single" w:sz="4" w:space="0" w:color="auto"/>
              <w:left w:val="nil"/>
              <w:bottom w:val="single" w:sz="4" w:space="0" w:color="auto"/>
              <w:right w:val="single" w:sz="4" w:space="0" w:color="auto"/>
            </w:tcBorders>
            <w:shd w:val="clear" w:color="auto" w:fill="BFBFBF"/>
            <w:vAlign w:val="center"/>
          </w:tcPr>
          <w:p w:rsidR="00CA14AB" w:rsidRPr="00E00B35" w:rsidRDefault="00CA14AB" w:rsidP="00E00B35">
            <w:pPr>
              <w:spacing w:after="0" w:line="312" w:lineRule="auto"/>
              <w:rPr>
                <w:szCs w:val="20"/>
                <w:highlight w:val="yellow"/>
              </w:rPr>
            </w:pPr>
            <w:r w:rsidRPr="00E00B35">
              <w:rPr>
                <w:szCs w:val="20"/>
              </w:rPr>
              <w:t>2020</w:t>
            </w:r>
          </w:p>
        </w:tc>
      </w:tr>
      <w:tr w:rsidR="00CA14AB" w:rsidRPr="00E00B35" w:rsidTr="00CA14AB">
        <w:trPr>
          <w:trHeight w:val="174"/>
        </w:trPr>
        <w:tc>
          <w:tcPr>
            <w:tcW w:w="1327" w:type="pct"/>
            <w:tcBorders>
              <w:top w:val="single" w:sz="4" w:space="0" w:color="auto"/>
              <w:left w:val="single" w:sz="4" w:space="0" w:color="auto"/>
              <w:bottom w:val="single" w:sz="4" w:space="0" w:color="auto"/>
              <w:right w:val="single" w:sz="4" w:space="0" w:color="auto"/>
            </w:tcBorders>
            <w:noWrap/>
            <w:vAlign w:val="center"/>
          </w:tcPr>
          <w:p w:rsidR="00CA14AB" w:rsidRPr="00E00B35" w:rsidRDefault="00CA14AB" w:rsidP="00E00B35">
            <w:pPr>
              <w:spacing w:after="0" w:line="312" w:lineRule="auto"/>
              <w:rPr>
                <w:szCs w:val="20"/>
              </w:rPr>
            </w:pPr>
            <w:r w:rsidRPr="00E00B35">
              <w:rPr>
                <w:szCs w:val="20"/>
              </w:rPr>
              <w:t>DPS ul. Mączna 3</w:t>
            </w:r>
          </w:p>
        </w:tc>
        <w:tc>
          <w:tcPr>
            <w:tcW w:w="526" w:type="pct"/>
            <w:tcBorders>
              <w:top w:val="single" w:sz="4" w:space="0" w:color="auto"/>
              <w:left w:val="nil"/>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3 110 zł</w:t>
            </w:r>
          </w:p>
        </w:tc>
        <w:tc>
          <w:tcPr>
            <w:tcW w:w="526" w:type="pct"/>
            <w:tcBorders>
              <w:top w:val="single" w:sz="4" w:space="0" w:color="auto"/>
              <w:left w:val="nil"/>
              <w:bottom w:val="single" w:sz="4" w:space="0" w:color="auto"/>
              <w:right w:val="single" w:sz="4" w:space="0" w:color="auto"/>
            </w:tcBorders>
            <w:shd w:val="clear" w:color="auto" w:fill="FFFFFF"/>
          </w:tcPr>
          <w:p w:rsidR="00CA14AB" w:rsidRPr="00E00B35" w:rsidRDefault="00CA14AB" w:rsidP="00E00B35">
            <w:pPr>
              <w:spacing w:after="0" w:line="312" w:lineRule="auto"/>
              <w:rPr>
                <w:szCs w:val="20"/>
              </w:rPr>
            </w:pPr>
            <w:r w:rsidRPr="00E00B35">
              <w:rPr>
                <w:szCs w:val="20"/>
              </w:rPr>
              <w:t>3 143 zł</w:t>
            </w:r>
          </w:p>
        </w:tc>
        <w:tc>
          <w:tcPr>
            <w:tcW w:w="524" w:type="pct"/>
            <w:tcBorders>
              <w:top w:val="single" w:sz="4" w:space="0" w:color="auto"/>
              <w:left w:val="nil"/>
              <w:bottom w:val="single" w:sz="4" w:space="0" w:color="auto"/>
              <w:right w:val="single" w:sz="4" w:space="0" w:color="auto"/>
            </w:tcBorders>
            <w:shd w:val="clear" w:color="auto" w:fill="FFFFFF"/>
          </w:tcPr>
          <w:p w:rsidR="00CA14AB" w:rsidRPr="00E00B35" w:rsidRDefault="00CA14AB" w:rsidP="00E00B35">
            <w:pPr>
              <w:spacing w:after="0" w:line="312" w:lineRule="auto"/>
              <w:rPr>
                <w:szCs w:val="20"/>
              </w:rPr>
            </w:pPr>
            <w:r w:rsidRPr="00E00B35">
              <w:rPr>
                <w:szCs w:val="20"/>
              </w:rPr>
              <w:t>3 580 zł</w:t>
            </w:r>
          </w:p>
        </w:tc>
        <w:tc>
          <w:tcPr>
            <w:tcW w:w="526" w:type="pct"/>
            <w:tcBorders>
              <w:top w:val="single" w:sz="4" w:space="0" w:color="auto"/>
              <w:left w:val="nil"/>
              <w:bottom w:val="single" w:sz="4" w:space="0" w:color="auto"/>
              <w:right w:val="single" w:sz="4" w:space="0" w:color="auto"/>
            </w:tcBorders>
            <w:shd w:val="clear" w:color="auto" w:fill="FFFFFF"/>
          </w:tcPr>
          <w:p w:rsidR="00CA14AB" w:rsidRPr="00E00B35" w:rsidRDefault="00CA14AB" w:rsidP="00E00B35">
            <w:pPr>
              <w:spacing w:after="0" w:line="312" w:lineRule="auto"/>
              <w:rPr>
                <w:szCs w:val="20"/>
              </w:rPr>
            </w:pPr>
            <w:r w:rsidRPr="00E00B35">
              <w:rPr>
                <w:szCs w:val="20"/>
              </w:rPr>
              <w:t>3 814 zł</w:t>
            </w:r>
          </w:p>
        </w:tc>
        <w:tc>
          <w:tcPr>
            <w:tcW w:w="526" w:type="pct"/>
            <w:tcBorders>
              <w:top w:val="single" w:sz="4" w:space="0" w:color="auto"/>
              <w:left w:val="nil"/>
              <w:bottom w:val="single" w:sz="4" w:space="0" w:color="auto"/>
              <w:right w:val="single" w:sz="4" w:space="0" w:color="auto"/>
            </w:tcBorders>
            <w:shd w:val="clear" w:color="auto" w:fill="FFFFFF"/>
          </w:tcPr>
          <w:p w:rsidR="00CA14AB" w:rsidRPr="00E00B35" w:rsidRDefault="00CA14AB" w:rsidP="00E00B35">
            <w:pPr>
              <w:spacing w:after="0" w:line="312" w:lineRule="auto"/>
              <w:rPr>
                <w:szCs w:val="20"/>
              </w:rPr>
            </w:pPr>
            <w:r w:rsidRPr="00E00B35">
              <w:rPr>
                <w:szCs w:val="20"/>
              </w:rPr>
              <w:t>3 837 zł</w:t>
            </w:r>
          </w:p>
        </w:tc>
        <w:tc>
          <w:tcPr>
            <w:tcW w:w="522" w:type="pct"/>
            <w:tcBorders>
              <w:top w:val="single" w:sz="4" w:space="0" w:color="auto"/>
              <w:left w:val="nil"/>
              <w:bottom w:val="single" w:sz="4" w:space="0" w:color="auto"/>
              <w:right w:val="single" w:sz="4" w:space="0" w:color="auto"/>
            </w:tcBorders>
            <w:shd w:val="clear" w:color="auto" w:fill="FFFFFF"/>
          </w:tcPr>
          <w:p w:rsidR="00CA14AB" w:rsidRPr="00E00B35" w:rsidRDefault="00CA14AB" w:rsidP="00E00B35">
            <w:pPr>
              <w:spacing w:after="0" w:line="312" w:lineRule="auto"/>
              <w:rPr>
                <w:szCs w:val="20"/>
              </w:rPr>
            </w:pPr>
            <w:r w:rsidRPr="00E00B35">
              <w:rPr>
                <w:szCs w:val="20"/>
              </w:rPr>
              <w:t>4 399 zł</w:t>
            </w:r>
          </w:p>
        </w:tc>
        <w:tc>
          <w:tcPr>
            <w:tcW w:w="522" w:type="pct"/>
            <w:tcBorders>
              <w:top w:val="single" w:sz="4" w:space="0" w:color="auto"/>
              <w:left w:val="nil"/>
              <w:bottom w:val="single" w:sz="4" w:space="0" w:color="auto"/>
              <w:right w:val="single" w:sz="4" w:space="0" w:color="auto"/>
            </w:tcBorders>
            <w:shd w:val="clear" w:color="auto" w:fill="FFFFFF"/>
            <w:vAlign w:val="center"/>
          </w:tcPr>
          <w:p w:rsidR="00CA14AB" w:rsidRPr="00E00B35" w:rsidRDefault="00CA14AB" w:rsidP="00E00B35">
            <w:pPr>
              <w:spacing w:after="0" w:line="312" w:lineRule="auto"/>
              <w:rPr>
                <w:szCs w:val="20"/>
              </w:rPr>
            </w:pPr>
            <w:r w:rsidRPr="00E00B35">
              <w:rPr>
                <w:szCs w:val="20"/>
              </w:rPr>
              <w:t>4 725 zł</w:t>
            </w:r>
          </w:p>
        </w:tc>
      </w:tr>
      <w:tr w:rsidR="00CA14AB" w:rsidRPr="00E00B35" w:rsidTr="00CA14AB">
        <w:trPr>
          <w:trHeight w:val="91"/>
        </w:trPr>
        <w:tc>
          <w:tcPr>
            <w:tcW w:w="1327" w:type="pct"/>
            <w:tcBorders>
              <w:top w:val="single" w:sz="4" w:space="0" w:color="auto"/>
              <w:left w:val="single" w:sz="4" w:space="0" w:color="auto"/>
              <w:bottom w:val="single" w:sz="4" w:space="0" w:color="auto"/>
              <w:right w:val="single" w:sz="4" w:space="0" w:color="auto"/>
            </w:tcBorders>
            <w:noWrap/>
            <w:vAlign w:val="center"/>
          </w:tcPr>
          <w:p w:rsidR="00CA14AB" w:rsidRPr="00E00B35" w:rsidRDefault="00CA14AB" w:rsidP="00E00B35">
            <w:pPr>
              <w:spacing w:after="0" w:line="312" w:lineRule="auto"/>
              <w:rPr>
                <w:szCs w:val="20"/>
              </w:rPr>
            </w:pPr>
            <w:r w:rsidRPr="00E00B35">
              <w:rPr>
                <w:szCs w:val="20"/>
              </w:rPr>
              <w:t>DPS ul. Rędzińska 66/68</w:t>
            </w:r>
          </w:p>
        </w:tc>
        <w:tc>
          <w:tcPr>
            <w:tcW w:w="526" w:type="pct"/>
            <w:tcBorders>
              <w:top w:val="single" w:sz="4" w:space="0" w:color="auto"/>
              <w:left w:val="nil"/>
              <w:bottom w:val="single" w:sz="8" w:space="0" w:color="auto"/>
              <w:right w:val="single" w:sz="8" w:space="0" w:color="auto"/>
            </w:tcBorders>
          </w:tcPr>
          <w:p w:rsidR="00CA14AB" w:rsidRPr="00E00B35" w:rsidRDefault="00CA14AB" w:rsidP="00E00B35">
            <w:pPr>
              <w:spacing w:after="0" w:line="312" w:lineRule="auto"/>
              <w:rPr>
                <w:szCs w:val="20"/>
              </w:rPr>
            </w:pPr>
            <w:r w:rsidRPr="00E00B35">
              <w:rPr>
                <w:szCs w:val="20"/>
              </w:rPr>
              <w:t>3 408 zł</w:t>
            </w:r>
          </w:p>
        </w:tc>
        <w:tc>
          <w:tcPr>
            <w:tcW w:w="526" w:type="pct"/>
            <w:tcBorders>
              <w:top w:val="single" w:sz="4" w:space="0" w:color="auto"/>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3 480 zł</w:t>
            </w:r>
          </w:p>
        </w:tc>
        <w:tc>
          <w:tcPr>
            <w:tcW w:w="524" w:type="pct"/>
            <w:tcBorders>
              <w:top w:val="single" w:sz="4" w:space="0" w:color="auto"/>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3 966 zł</w:t>
            </w:r>
          </w:p>
        </w:tc>
        <w:tc>
          <w:tcPr>
            <w:tcW w:w="526" w:type="pct"/>
            <w:tcBorders>
              <w:top w:val="single" w:sz="4" w:space="0" w:color="auto"/>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4 298 zł</w:t>
            </w:r>
          </w:p>
        </w:tc>
        <w:tc>
          <w:tcPr>
            <w:tcW w:w="526" w:type="pct"/>
            <w:tcBorders>
              <w:top w:val="single" w:sz="4" w:space="0" w:color="auto"/>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4 414 zł</w:t>
            </w:r>
          </w:p>
        </w:tc>
        <w:tc>
          <w:tcPr>
            <w:tcW w:w="522" w:type="pct"/>
            <w:tcBorders>
              <w:top w:val="single" w:sz="4" w:space="0" w:color="auto"/>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5 002 zł</w:t>
            </w:r>
          </w:p>
        </w:tc>
        <w:tc>
          <w:tcPr>
            <w:tcW w:w="522" w:type="pct"/>
            <w:tcBorders>
              <w:top w:val="single" w:sz="4" w:space="0" w:color="auto"/>
              <w:left w:val="nil"/>
              <w:bottom w:val="single" w:sz="8" w:space="0" w:color="auto"/>
              <w:right w:val="single" w:sz="8" w:space="0" w:color="auto"/>
            </w:tcBorders>
            <w:shd w:val="clear" w:color="auto" w:fill="FFFFFF"/>
            <w:vAlign w:val="center"/>
          </w:tcPr>
          <w:p w:rsidR="00CA14AB" w:rsidRPr="00E00B35" w:rsidRDefault="00CA14AB" w:rsidP="00E00B35">
            <w:pPr>
              <w:spacing w:after="0" w:line="312" w:lineRule="auto"/>
              <w:rPr>
                <w:szCs w:val="20"/>
              </w:rPr>
            </w:pPr>
            <w:r w:rsidRPr="00E00B35">
              <w:rPr>
                <w:szCs w:val="20"/>
              </w:rPr>
              <w:t>5 052 zł</w:t>
            </w:r>
          </w:p>
        </w:tc>
      </w:tr>
      <w:tr w:rsidR="00CA14AB" w:rsidRPr="00E00B35" w:rsidTr="00CA14AB">
        <w:trPr>
          <w:trHeight w:val="142"/>
        </w:trPr>
        <w:tc>
          <w:tcPr>
            <w:tcW w:w="1327" w:type="pct"/>
            <w:tcBorders>
              <w:top w:val="nil"/>
              <w:left w:val="single" w:sz="4" w:space="0" w:color="auto"/>
              <w:bottom w:val="single" w:sz="4" w:space="0" w:color="auto"/>
              <w:right w:val="single" w:sz="4" w:space="0" w:color="auto"/>
            </w:tcBorders>
            <w:noWrap/>
            <w:vAlign w:val="center"/>
          </w:tcPr>
          <w:p w:rsidR="00CA14AB" w:rsidRPr="00E00B35" w:rsidRDefault="00CA14AB" w:rsidP="00E00B35">
            <w:pPr>
              <w:spacing w:after="0" w:line="312" w:lineRule="auto"/>
              <w:rPr>
                <w:szCs w:val="20"/>
              </w:rPr>
            </w:pPr>
            <w:r w:rsidRPr="00E00B35">
              <w:rPr>
                <w:szCs w:val="20"/>
              </w:rPr>
              <w:t>DPS ul. Kaletnicza 8</w:t>
            </w:r>
          </w:p>
        </w:tc>
        <w:tc>
          <w:tcPr>
            <w:tcW w:w="526" w:type="pct"/>
            <w:tcBorders>
              <w:top w:val="nil"/>
              <w:left w:val="nil"/>
              <w:bottom w:val="single" w:sz="8" w:space="0" w:color="auto"/>
              <w:right w:val="single" w:sz="8" w:space="0" w:color="auto"/>
            </w:tcBorders>
          </w:tcPr>
          <w:p w:rsidR="00CA14AB" w:rsidRPr="00E00B35" w:rsidRDefault="00CA14AB" w:rsidP="00E00B35">
            <w:pPr>
              <w:spacing w:after="0" w:line="312" w:lineRule="auto"/>
              <w:rPr>
                <w:szCs w:val="20"/>
              </w:rPr>
            </w:pPr>
            <w:r w:rsidRPr="00E00B35">
              <w:rPr>
                <w:szCs w:val="20"/>
              </w:rPr>
              <w:t>3 407 zł</w:t>
            </w:r>
          </w:p>
        </w:tc>
        <w:tc>
          <w:tcPr>
            <w:tcW w:w="526" w:type="pct"/>
            <w:tcBorders>
              <w:top w:val="nil"/>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3 517 zł</w:t>
            </w:r>
          </w:p>
        </w:tc>
        <w:tc>
          <w:tcPr>
            <w:tcW w:w="524" w:type="pct"/>
            <w:tcBorders>
              <w:top w:val="nil"/>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3 975 zł</w:t>
            </w:r>
          </w:p>
        </w:tc>
        <w:tc>
          <w:tcPr>
            <w:tcW w:w="526" w:type="pct"/>
            <w:tcBorders>
              <w:top w:val="nil"/>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4 283 zł</w:t>
            </w:r>
          </w:p>
        </w:tc>
        <w:tc>
          <w:tcPr>
            <w:tcW w:w="526" w:type="pct"/>
            <w:tcBorders>
              <w:top w:val="nil"/>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4 289 zł</w:t>
            </w:r>
          </w:p>
        </w:tc>
        <w:tc>
          <w:tcPr>
            <w:tcW w:w="522" w:type="pct"/>
            <w:tcBorders>
              <w:top w:val="nil"/>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4 844 zł</w:t>
            </w:r>
          </w:p>
        </w:tc>
        <w:tc>
          <w:tcPr>
            <w:tcW w:w="522" w:type="pct"/>
            <w:tcBorders>
              <w:top w:val="nil"/>
              <w:left w:val="nil"/>
              <w:bottom w:val="single" w:sz="8" w:space="0" w:color="auto"/>
              <w:right w:val="single" w:sz="8" w:space="0" w:color="auto"/>
            </w:tcBorders>
            <w:shd w:val="clear" w:color="auto" w:fill="FFFFFF"/>
            <w:vAlign w:val="center"/>
          </w:tcPr>
          <w:p w:rsidR="00CA14AB" w:rsidRPr="00E00B35" w:rsidRDefault="00CA14AB" w:rsidP="00E00B35">
            <w:pPr>
              <w:spacing w:after="0" w:line="312" w:lineRule="auto"/>
              <w:rPr>
                <w:szCs w:val="20"/>
              </w:rPr>
            </w:pPr>
            <w:r w:rsidRPr="00E00B35">
              <w:rPr>
                <w:szCs w:val="20"/>
              </w:rPr>
              <w:t>5 140 zł</w:t>
            </w:r>
          </w:p>
        </w:tc>
      </w:tr>
      <w:tr w:rsidR="00CA14AB" w:rsidRPr="00E00B35" w:rsidTr="00CA14AB">
        <w:trPr>
          <w:trHeight w:val="156"/>
        </w:trPr>
        <w:tc>
          <w:tcPr>
            <w:tcW w:w="1327" w:type="pct"/>
            <w:tcBorders>
              <w:top w:val="nil"/>
              <w:left w:val="single" w:sz="4" w:space="0" w:color="auto"/>
              <w:bottom w:val="single" w:sz="4" w:space="0" w:color="auto"/>
              <w:right w:val="single" w:sz="4" w:space="0" w:color="auto"/>
            </w:tcBorders>
            <w:noWrap/>
            <w:vAlign w:val="center"/>
          </w:tcPr>
          <w:p w:rsidR="00CA14AB" w:rsidRPr="00E00B35" w:rsidRDefault="00CA14AB" w:rsidP="00E00B35">
            <w:pPr>
              <w:spacing w:after="0" w:line="312" w:lineRule="auto"/>
              <w:rPr>
                <w:szCs w:val="20"/>
              </w:rPr>
            </w:pPr>
            <w:r w:rsidRPr="00E00B35">
              <w:rPr>
                <w:szCs w:val="20"/>
              </w:rPr>
              <w:t>DPS ul. Karmelkowa 25</w:t>
            </w:r>
          </w:p>
        </w:tc>
        <w:tc>
          <w:tcPr>
            <w:tcW w:w="526" w:type="pct"/>
            <w:tcBorders>
              <w:top w:val="nil"/>
              <w:left w:val="nil"/>
              <w:bottom w:val="single" w:sz="8" w:space="0" w:color="auto"/>
              <w:right w:val="single" w:sz="8" w:space="0" w:color="auto"/>
            </w:tcBorders>
          </w:tcPr>
          <w:p w:rsidR="00CA14AB" w:rsidRPr="00E00B35" w:rsidRDefault="00CA14AB" w:rsidP="00E00B35">
            <w:pPr>
              <w:spacing w:after="0" w:line="312" w:lineRule="auto"/>
              <w:rPr>
                <w:szCs w:val="20"/>
              </w:rPr>
            </w:pPr>
            <w:r w:rsidRPr="00E00B35">
              <w:rPr>
                <w:szCs w:val="20"/>
              </w:rPr>
              <w:t>3 229 zł</w:t>
            </w:r>
          </w:p>
        </w:tc>
        <w:tc>
          <w:tcPr>
            <w:tcW w:w="526" w:type="pct"/>
            <w:tcBorders>
              <w:top w:val="nil"/>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3 360 zł</w:t>
            </w:r>
          </w:p>
        </w:tc>
        <w:tc>
          <w:tcPr>
            <w:tcW w:w="524" w:type="pct"/>
            <w:tcBorders>
              <w:top w:val="nil"/>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3 955 zł</w:t>
            </w:r>
          </w:p>
        </w:tc>
        <w:tc>
          <w:tcPr>
            <w:tcW w:w="526" w:type="pct"/>
            <w:tcBorders>
              <w:top w:val="nil"/>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4 284 zł</w:t>
            </w:r>
          </w:p>
        </w:tc>
        <w:tc>
          <w:tcPr>
            <w:tcW w:w="526" w:type="pct"/>
            <w:tcBorders>
              <w:top w:val="nil"/>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4 293 zł</w:t>
            </w:r>
          </w:p>
        </w:tc>
        <w:tc>
          <w:tcPr>
            <w:tcW w:w="522" w:type="pct"/>
            <w:tcBorders>
              <w:top w:val="nil"/>
              <w:left w:val="nil"/>
              <w:bottom w:val="single" w:sz="8" w:space="0" w:color="auto"/>
              <w:right w:val="single" w:sz="8" w:space="0" w:color="auto"/>
            </w:tcBorders>
            <w:shd w:val="clear" w:color="auto" w:fill="FFFFFF"/>
          </w:tcPr>
          <w:p w:rsidR="00CA14AB" w:rsidRPr="00E00B35" w:rsidRDefault="00CA14AB" w:rsidP="00E00B35">
            <w:pPr>
              <w:spacing w:after="0" w:line="312" w:lineRule="auto"/>
              <w:rPr>
                <w:szCs w:val="20"/>
              </w:rPr>
            </w:pPr>
            <w:r w:rsidRPr="00E00B35">
              <w:rPr>
                <w:szCs w:val="20"/>
              </w:rPr>
              <w:t>4 908 zł</w:t>
            </w:r>
          </w:p>
        </w:tc>
        <w:tc>
          <w:tcPr>
            <w:tcW w:w="522" w:type="pct"/>
            <w:tcBorders>
              <w:top w:val="nil"/>
              <w:left w:val="nil"/>
              <w:bottom w:val="single" w:sz="8" w:space="0" w:color="auto"/>
              <w:right w:val="single" w:sz="8" w:space="0" w:color="auto"/>
            </w:tcBorders>
            <w:shd w:val="clear" w:color="auto" w:fill="FFFFFF"/>
            <w:vAlign w:val="center"/>
          </w:tcPr>
          <w:p w:rsidR="00CA14AB" w:rsidRPr="00E00B35" w:rsidRDefault="00CA14AB" w:rsidP="00E00B35">
            <w:pPr>
              <w:spacing w:after="0" w:line="312" w:lineRule="auto"/>
              <w:rPr>
                <w:szCs w:val="20"/>
              </w:rPr>
            </w:pPr>
            <w:r w:rsidRPr="00E00B35">
              <w:rPr>
                <w:szCs w:val="20"/>
              </w:rPr>
              <w:t>4 819 zł</w:t>
            </w:r>
          </w:p>
        </w:tc>
      </w:tr>
      <w:tr w:rsidR="00CA14AB" w:rsidRPr="00E00B35" w:rsidTr="00CA14AB">
        <w:trPr>
          <w:trHeight w:val="607"/>
        </w:trPr>
        <w:tc>
          <w:tcPr>
            <w:tcW w:w="1327" w:type="pct"/>
            <w:tcBorders>
              <w:top w:val="single" w:sz="4" w:space="0" w:color="auto"/>
              <w:left w:val="single" w:sz="4" w:space="0" w:color="auto"/>
              <w:bottom w:val="single" w:sz="4" w:space="0" w:color="auto"/>
              <w:right w:val="single" w:sz="4" w:space="0" w:color="000000"/>
            </w:tcBorders>
            <w:noWrap/>
            <w:vAlign w:val="center"/>
          </w:tcPr>
          <w:p w:rsidR="00CA14AB" w:rsidRPr="00E00B35" w:rsidRDefault="00CA14AB" w:rsidP="00E00B35">
            <w:pPr>
              <w:spacing w:after="0" w:line="312" w:lineRule="auto"/>
              <w:rPr>
                <w:szCs w:val="20"/>
              </w:rPr>
            </w:pPr>
            <w:r w:rsidRPr="00E00B35">
              <w:rPr>
                <w:szCs w:val="20"/>
              </w:rPr>
              <w:t>Średni miesięczny koszt utrzymania mieszkańca w 4 DPS</w:t>
            </w:r>
          </w:p>
        </w:tc>
        <w:tc>
          <w:tcPr>
            <w:tcW w:w="526" w:type="pct"/>
            <w:tcBorders>
              <w:top w:val="single" w:sz="4" w:space="0" w:color="auto"/>
              <w:left w:val="nil"/>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3 289 zł</w:t>
            </w:r>
          </w:p>
        </w:tc>
        <w:tc>
          <w:tcPr>
            <w:tcW w:w="526" w:type="pct"/>
            <w:tcBorders>
              <w:top w:val="single" w:sz="4" w:space="0" w:color="auto"/>
              <w:left w:val="nil"/>
              <w:bottom w:val="single" w:sz="4" w:space="0" w:color="auto"/>
              <w:right w:val="single" w:sz="4" w:space="0" w:color="auto"/>
            </w:tcBorders>
            <w:shd w:val="clear" w:color="auto" w:fill="FFFFFF"/>
          </w:tcPr>
          <w:p w:rsidR="00CA14AB" w:rsidRPr="00E00B35" w:rsidRDefault="00CA14AB" w:rsidP="00E00B35">
            <w:pPr>
              <w:spacing w:after="0" w:line="312" w:lineRule="auto"/>
              <w:rPr>
                <w:szCs w:val="20"/>
              </w:rPr>
            </w:pPr>
            <w:r w:rsidRPr="00E00B35">
              <w:rPr>
                <w:szCs w:val="20"/>
              </w:rPr>
              <w:t>3 375 zł</w:t>
            </w:r>
          </w:p>
        </w:tc>
        <w:tc>
          <w:tcPr>
            <w:tcW w:w="524" w:type="pct"/>
            <w:tcBorders>
              <w:top w:val="single" w:sz="4" w:space="0" w:color="auto"/>
              <w:left w:val="nil"/>
              <w:bottom w:val="single" w:sz="4" w:space="0" w:color="auto"/>
              <w:right w:val="single" w:sz="4" w:space="0" w:color="auto"/>
            </w:tcBorders>
            <w:shd w:val="clear" w:color="auto" w:fill="FFFFFF"/>
          </w:tcPr>
          <w:p w:rsidR="00CA14AB" w:rsidRPr="00E00B35" w:rsidRDefault="00CA14AB" w:rsidP="00E00B35">
            <w:pPr>
              <w:spacing w:after="0" w:line="312" w:lineRule="auto"/>
              <w:rPr>
                <w:szCs w:val="20"/>
              </w:rPr>
            </w:pPr>
            <w:r w:rsidRPr="00E00B35">
              <w:rPr>
                <w:szCs w:val="20"/>
              </w:rPr>
              <w:t>3 869 zł</w:t>
            </w:r>
          </w:p>
        </w:tc>
        <w:tc>
          <w:tcPr>
            <w:tcW w:w="526" w:type="pct"/>
            <w:tcBorders>
              <w:top w:val="single" w:sz="4" w:space="0" w:color="auto"/>
              <w:left w:val="nil"/>
              <w:bottom w:val="single" w:sz="4" w:space="0" w:color="auto"/>
              <w:right w:val="single" w:sz="4" w:space="0" w:color="auto"/>
            </w:tcBorders>
            <w:shd w:val="clear" w:color="auto" w:fill="FFFFFF"/>
          </w:tcPr>
          <w:p w:rsidR="00CA14AB" w:rsidRPr="00E00B35" w:rsidRDefault="00CA14AB" w:rsidP="00E00B35">
            <w:pPr>
              <w:spacing w:after="0" w:line="312" w:lineRule="auto"/>
              <w:rPr>
                <w:szCs w:val="20"/>
              </w:rPr>
            </w:pPr>
            <w:r w:rsidRPr="00E00B35">
              <w:rPr>
                <w:szCs w:val="20"/>
              </w:rPr>
              <w:t>4 170 zł</w:t>
            </w:r>
          </w:p>
        </w:tc>
        <w:tc>
          <w:tcPr>
            <w:tcW w:w="526" w:type="pct"/>
            <w:tcBorders>
              <w:top w:val="single" w:sz="4" w:space="0" w:color="auto"/>
              <w:left w:val="nil"/>
              <w:bottom w:val="single" w:sz="4" w:space="0" w:color="auto"/>
              <w:right w:val="single" w:sz="4" w:space="0" w:color="auto"/>
            </w:tcBorders>
            <w:shd w:val="clear" w:color="auto" w:fill="FFFFFF"/>
          </w:tcPr>
          <w:p w:rsidR="00CA14AB" w:rsidRPr="00E00B35" w:rsidRDefault="00CA14AB" w:rsidP="00E00B35">
            <w:pPr>
              <w:spacing w:after="0" w:line="312" w:lineRule="auto"/>
              <w:rPr>
                <w:szCs w:val="20"/>
              </w:rPr>
            </w:pPr>
            <w:r w:rsidRPr="00E00B35">
              <w:rPr>
                <w:szCs w:val="20"/>
              </w:rPr>
              <w:t>4 208 zł</w:t>
            </w:r>
          </w:p>
        </w:tc>
        <w:tc>
          <w:tcPr>
            <w:tcW w:w="522" w:type="pct"/>
            <w:tcBorders>
              <w:top w:val="single" w:sz="4" w:space="0" w:color="auto"/>
              <w:left w:val="nil"/>
              <w:bottom w:val="single" w:sz="4" w:space="0" w:color="auto"/>
              <w:right w:val="single" w:sz="4" w:space="0" w:color="auto"/>
            </w:tcBorders>
            <w:shd w:val="clear" w:color="auto" w:fill="FFFFFF"/>
          </w:tcPr>
          <w:p w:rsidR="00CA14AB" w:rsidRPr="00E00B35" w:rsidRDefault="00CA14AB" w:rsidP="00E00B35">
            <w:pPr>
              <w:spacing w:after="0" w:line="312" w:lineRule="auto"/>
              <w:rPr>
                <w:szCs w:val="20"/>
              </w:rPr>
            </w:pPr>
            <w:r w:rsidRPr="00E00B35">
              <w:rPr>
                <w:szCs w:val="20"/>
              </w:rPr>
              <w:t>4 788 zł</w:t>
            </w:r>
          </w:p>
        </w:tc>
        <w:tc>
          <w:tcPr>
            <w:tcW w:w="522" w:type="pct"/>
            <w:tcBorders>
              <w:top w:val="single" w:sz="4" w:space="0" w:color="auto"/>
              <w:left w:val="nil"/>
              <w:bottom w:val="single" w:sz="4" w:space="0" w:color="auto"/>
              <w:right w:val="single" w:sz="4" w:space="0" w:color="auto"/>
            </w:tcBorders>
            <w:shd w:val="clear" w:color="auto" w:fill="FFFFFF"/>
            <w:vAlign w:val="center"/>
          </w:tcPr>
          <w:p w:rsidR="00CA14AB" w:rsidRPr="00E00B35" w:rsidRDefault="00CA14AB" w:rsidP="00E00B35">
            <w:pPr>
              <w:spacing w:after="0" w:line="312" w:lineRule="auto"/>
              <w:rPr>
                <w:szCs w:val="20"/>
              </w:rPr>
            </w:pPr>
            <w:r w:rsidRPr="00E00B35">
              <w:rPr>
                <w:szCs w:val="20"/>
              </w:rPr>
              <w:t xml:space="preserve">     X (dane w marcu 2021 r. ) </w:t>
            </w:r>
          </w:p>
        </w:tc>
      </w:tr>
    </w:tbl>
    <w:p w:rsidR="00CA14AB" w:rsidRPr="00E00B35" w:rsidRDefault="00CA14AB" w:rsidP="00E00B35">
      <w:pPr>
        <w:spacing w:after="0" w:line="312" w:lineRule="auto"/>
        <w:rPr>
          <w:szCs w:val="20"/>
        </w:rPr>
      </w:pPr>
      <w:bookmarkStart w:id="349" w:name="_Toc72352418"/>
      <w:bookmarkStart w:id="350" w:name="_Toc72352852"/>
      <w:r w:rsidRPr="00E00B35">
        <w:rPr>
          <w:szCs w:val="20"/>
        </w:rPr>
        <w:t>Ogólne informacje dotyczące mieszkańców w poszczególnych DPS</w:t>
      </w:r>
      <w:bookmarkEnd w:id="349"/>
      <w:bookmarkEnd w:id="350"/>
    </w:p>
    <w:p w:rsidR="00CA14AB" w:rsidRPr="00E00B35" w:rsidRDefault="00CA14AB" w:rsidP="00E00B35">
      <w:pPr>
        <w:spacing w:after="0" w:line="312" w:lineRule="auto"/>
        <w:rPr>
          <w:szCs w:val="20"/>
        </w:rPr>
      </w:pPr>
      <w:r w:rsidRPr="00E00B35">
        <w:rPr>
          <w:szCs w:val="20"/>
        </w:rPr>
        <w:t>W DPS przebywają osoby/mieszkańcy wymagający niezbędnej pomocy w formie usług opiekuńczych w miejscu zamieszkania.</w:t>
      </w:r>
    </w:p>
    <w:p w:rsidR="00CA14AB" w:rsidRPr="00E00B35" w:rsidRDefault="00CA14AB" w:rsidP="00E00B35">
      <w:pPr>
        <w:spacing w:after="0" w:line="312" w:lineRule="auto"/>
        <w:rPr>
          <w:szCs w:val="20"/>
        </w:rPr>
      </w:pPr>
      <w:r w:rsidRPr="00E00B35">
        <w:rPr>
          <w:szCs w:val="20"/>
        </w:rPr>
        <w:t>Tabela 4. Podstawowe informacje dotyczące mieszkańców domów pomocy społecznej w 2020</w:t>
      </w:r>
    </w:p>
    <w:tbl>
      <w:tblPr>
        <w:tblW w:w="9022"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38"/>
        <w:gridCol w:w="1596"/>
        <w:gridCol w:w="1596"/>
        <w:gridCol w:w="1596"/>
        <w:gridCol w:w="1596"/>
      </w:tblGrid>
      <w:tr w:rsidR="00CA14AB" w:rsidRPr="00E00B35" w:rsidTr="00CA14AB">
        <w:trPr>
          <w:trHeight w:val="289"/>
        </w:trPr>
        <w:tc>
          <w:tcPr>
            <w:tcW w:w="2638" w:type="dxa"/>
            <w:shd w:val="clear" w:color="auto" w:fill="BFBFBF"/>
            <w:noWrap/>
            <w:hideMark/>
          </w:tcPr>
          <w:p w:rsidR="00CA14AB" w:rsidRPr="00E00B35" w:rsidRDefault="00CA14AB" w:rsidP="00E00B35">
            <w:pPr>
              <w:spacing w:after="0" w:line="312" w:lineRule="auto"/>
              <w:rPr>
                <w:szCs w:val="20"/>
              </w:rPr>
            </w:pPr>
            <w:r w:rsidRPr="00E00B35">
              <w:rPr>
                <w:szCs w:val="20"/>
              </w:rPr>
              <w:t>ZAKRES DANYCH/</w:t>
            </w:r>
          </w:p>
          <w:p w:rsidR="00CA14AB" w:rsidRPr="00E00B35" w:rsidRDefault="00CA14AB" w:rsidP="00E00B35">
            <w:pPr>
              <w:spacing w:after="0" w:line="312" w:lineRule="auto"/>
              <w:rPr>
                <w:szCs w:val="20"/>
              </w:rPr>
            </w:pPr>
            <w:r w:rsidRPr="00E00B35">
              <w:rPr>
                <w:szCs w:val="20"/>
              </w:rPr>
              <w:t xml:space="preserve">DOM POMOCY </w:t>
            </w:r>
            <w:r w:rsidRPr="00E00B35">
              <w:rPr>
                <w:szCs w:val="20"/>
              </w:rPr>
              <w:lastRenderedPageBreak/>
              <w:t>SPOŁECZNEJ</w:t>
            </w:r>
          </w:p>
        </w:tc>
        <w:tc>
          <w:tcPr>
            <w:tcW w:w="1596" w:type="dxa"/>
            <w:shd w:val="clear" w:color="auto" w:fill="BFBFBF"/>
            <w:hideMark/>
          </w:tcPr>
          <w:p w:rsidR="00CA14AB" w:rsidRPr="00E00B35" w:rsidRDefault="00CA14AB" w:rsidP="00E00B35">
            <w:pPr>
              <w:spacing w:after="0" w:line="312" w:lineRule="auto"/>
              <w:rPr>
                <w:szCs w:val="20"/>
              </w:rPr>
            </w:pPr>
            <w:r w:rsidRPr="00E00B35">
              <w:rPr>
                <w:szCs w:val="20"/>
              </w:rPr>
              <w:lastRenderedPageBreak/>
              <w:t>DPS</w:t>
            </w:r>
          </w:p>
          <w:p w:rsidR="00CA14AB" w:rsidRPr="00E00B35" w:rsidRDefault="00CA14AB" w:rsidP="00E00B35">
            <w:pPr>
              <w:spacing w:after="0" w:line="312" w:lineRule="auto"/>
              <w:rPr>
                <w:szCs w:val="20"/>
              </w:rPr>
            </w:pPr>
            <w:r w:rsidRPr="00E00B35">
              <w:rPr>
                <w:szCs w:val="20"/>
              </w:rPr>
              <w:t>ul. Mączna 3</w:t>
            </w:r>
          </w:p>
        </w:tc>
        <w:tc>
          <w:tcPr>
            <w:tcW w:w="1596" w:type="dxa"/>
            <w:shd w:val="clear" w:color="auto" w:fill="BFBFBF"/>
            <w:hideMark/>
          </w:tcPr>
          <w:p w:rsidR="00CA14AB" w:rsidRPr="00E00B35" w:rsidRDefault="00CA14AB" w:rsidP="00E00B35">
            <w:pPr>
              <w:spacing w:after="0" w:line="312" w:lineRule="auto"/>
              <w:rPr>
                <w:szCs w:val="20"/>
              </w:rPr>
            </w:pPr>
            <w:r w:rsidRPr="00E00B35">
              <w:rPr>
                <w:szCs w:val="20"/>
              </w:rPr>
              <w:t>DPS</w:t>
            </w:r>
          </w:p>
          <w:p w:rsidR="00CA14AB" w:rsidRPr="00E00B35" w:rsidRDefault="00CA14AB" w:rsidP="00E00B35">
            <w:pPr>
              <w:spacing w:after="0" w:line="312" w:lineRule="auto"/>
              <w:rPr>
                <w:szCs w:val="20"/>
              </w:rPr>
            </w:pPr>
            <w:r w:rsidRPr="00E00B35">
              <w:rPr>
                <w:szCs w:val="20"/>
              </w:rPr>
              <w:t xml:space="preserve">ul. Rędzińska </w:t>
            </w:r>
            <w:r w:rsidRPr="00E00B35">
              <w:rPr>
                <w:szCs w:val="20"/>
              </w:rPr>
              <w:lastRenderedPageBreak/>
              <w:t>66/68</w:t>
            </w:r>
          </w:p>
        </w:tc>
        <w:tc>
          <w:tcPr>
            <w:tcW w:w="1596" w:type="dxa"/>
            <w:shd w:val="clear" w:color="auto" w:fill="BFBFBF"/>
            <w:hideMark/>
          </w:tcPr>
          <w:p w:rsidR="00CA14AB" w:rsidRPr="00E00B35" w:rsidRDefault="00CA14AB" w:rsidP="00E00B35">
            <w:pPr>
              <w:spacing w:after="0" w:line="312" w:lineRule="auto"/>
              <w:rPr>
                <w:szCs w:val="20"/>
              </w:rPr>
            </w:pPr>
            <w:r w:rsidRPr="00E00B35">
              <w:rPr>
                <w:szCs w:val="20"/>
              </w:rPr>
              <w:lastRenderedPageBreak/>
              <w:t>DPS</w:t>
            </w:r>
          </w:p>
          <w:p w:rsidR="00CA14AB" w:rsidRPr="00E00B35" w:rsidRDefault="00CA14AB" w:rsidP="00E00B35">
            <w:pPr>
              <w:spacing w:after="0" w:line="312" w:lineRule="auto"/>
              <w:rPr>
                <w:szCs w:val="20"/>
              </w:rPr>
            </w:pPr>
            <w:r w:rsidRPr="00E00B35">
              <w:rPr>
                <w:szCs w:val="20"/>
              </w:rPr>
              <w:t xml:space="preserve">ul. </w:t>
            </w:r>
            <w:r w:rsidRPr="00E00B35">
              <w:rPr>
                <w:szCs w:val="20"/>
              </w:rPr>
              <w:lastRenderedPageBreak/>
              <w:t>Karmelkowa 25</w:t>
            </w:r>
          </w:p>
        </w:tc>
        <w:tc>
          <w:tcPr>
            <w:tcW w:w="1596" w:type="dxa"/>
            <w:shd w:val="clear" w:color="auto" w:fill="BFBFBF"/>
            <w:hideMark/>
          </w:tcPr>
          <w:p w:rsidR="00CA14AB" w:rsidRPr="00E00B35" w:rsidRDefault="00CA14AB" w:rsidP="00E00B35">
            <w:pPr>
              <w:spacing w:after="0" w:line="312" w:lineRule="auto"/>
              <w:rPr>
                <w:szCs w:val="20"/>
              </w:rPr>
            </w:pPr>
            <w:r w:rsidRPr="00E00B35">
              <w:rPr>
                <w:szCs w:val="20"/>
              </w:rPr>
              <w:lastRenderedPageBreak/>
              <w:t>DPS</w:t>
            </w:r>
          </w:p>
          <w:p w:rsidR="00CA14AB" w:rsidRPr="00E00B35" w:rsidRDefault="00CA14AB" w:rsidP="00E00B35">
            <w:pPr>
              <w:spacing w:after="0" w:line="312" w:lineRule="auto"/>
              <w:rPr>
                <w:szCs w:val="20"/>
              </w:rPr>
            </w:pPr>
            <w:r w:rsidRPr="00E00B35">
              <w:rPr>
                <w:szCs w:val="20"/>
              </w:rPr>
              <w:t xml:space="preserve">ul. Kaletnicza </w:t>
            </w:r>
            <w:r w:rsidRPr="00E00B35">
              <w:rPr>
                <w:szCs w:val="20"/>
              </w:rPr>
              <w:lastRenderedPageBreak/>
              <w:t>8</w:t>
            </w:r>
          </w:p>
        </w:tc>
      </w:tr>
      <w:tr w:rsidR="00CA14AB" w:rsidRPr="00E00B35" w:rsidTr="00CA14AB">
        <w:trPr>
          <w:trHeight w:val="289"/>
        </w:trPr>
        <w:tc>
          <w:tcPr>
            <w:tcW w:w="2638" w:type="dxa"/>
            <w:shd w:val="clear" w:color="auto" w:fill="auto"/>
            <w:noWrap/>
            <w:vAlign w:val="center"/>
            <w:hideMark/>
          </w:tcPr>
          <w:p w:rsidR="00CA14AB" w:rsidRPr="00E00B35" w:rsidRDefault="00CA14AB" w:rsidP="00E00B35">
            <w:pPr>
              <w:spacing w:after="0" w:line="312" w:lineRule="auto"/>
              <w:rPr>
                <w:szCs w:val="20"/>
              </w:rPr>
            </w:pPr>
            <w:r w:rsidRPr="00E00B35">
              <w:rPr>
                <w:szCs w:val="20"/>
              </w:rPr>
              <w:lastRenderedPageBreak/>
              <w:t>Liczba miejsc</w:t>
            </w:r>
          </w:p>
        </w:tc>
        <w:tc>
          <w:tcPr>
            <w:tcW w:w="1596" w:type="dxa"/>
            <w:shd w:val="clear" w:color="auto" w:fill="auto"/>
            <w:vAlign w:val="center"/>
            <w:hideMark/>
          </w:tcPr>
          <w:p w:rsidR="00CA14AB" w:rsidRPr="00E00B35" w:rsidRDefault="00CA14AB" w:rsidP="00E00B35">
            <w:pPr>
              <w:spacing w:after="0" w:line="312" w:lineRule="auto"/>
              <w:rPr>
                <w:szCs w:val="20"/>
              </w:rPr>
            </w:pPr>
            <w:r w:rsidRPr="00E00B35">
              <w:rPr>
                <w:szCs w:val="20"/>
              </w:rPr>
              <w:t>155</w:t>
            </w:r>
          </w:p>
        </w:tc>
        <w:tc>
          <w:tcPr>
            <w:tcW w:w="1596" w:type="dxa"/>
            <w:shd w:val="clear" w:color="auto" w:fill="auto"/>
            <w:vAlign w:val="center"/>
            <w:hideMark/>
          </w:tcPr>
          <w:p w:rsidR="00CA14AB" w:rsidRPr="00E00B35" w:rsidRDefault="00CA14AB" w:rsidP="00E00B35">
            <w:pPr>
              <w:spacing w:after="0" w:line="312" w:lineRule="auto"/>
              <w:rPr>
                <w:szCs w:val="20"/>
              </w:rPr>
            </w:pPr>
            <w:r w:rsidRPr="00E00B35">
              <w:rPr>
                <w:szCs w:val="20"/>
              </w:rPr>
              <w:t>159</w:t>
            </w:r>
          </w:p>
        </w:tc>
        <w:tc>
          <w:tcPr>
            <w:tcW w:w="1596" w:type="dxa"/>
            <w:shd w:val="clear" w:color="auto" w:fill="auto"/>
            <w:vAlign w:val="center"/>
            <w:hideMark/>
          </w:tcPr>
          <w:p w:rsidR="00CA14AB" w:rsidRPr="00E00B35" w:rsidRDefault="00CA14AB" w:rsidP="00E00B35">
            <w:pPr>
              <w:spacing w:after="0" w:line="312" w:lineRule="auto"/>
              <w:rPr>
                <w:szCs w:val="20"/>
              </w:rPr>
            </w:pPr>
            <w:r w:rsidRPr="00E00B35">
              <w:rPr>
                <w:szCs w:val="20"/>
              </w:rPr>
              <w:t>234</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94</w:t>
            </w:r>
          </w:p>
        </w:tc>
      </w:tr>
      <w:tr w:rsidR="00CA14AB" w:rsidRPr="00E00B35" w:rsidTr="00CA14AB">
        <w:trPr>
          <w:trHeight w:val="482"/>
        </w:trPr>
        <w:tc>
          <w:tcPr>
            <w:tcW w:w="2638" w:type="dxa"/>
            <w:shd w:val="clear" w:color="auto" w:fill="auto"/>
            <w:noWrap/>
            <w:vAlign w:val="center"/>
          </w:tcPr>
          <w:p w:rsidR="00CA14AB" w:rsidRPr="00E00B35" w:rsidRDefault="00CA14AB" w:rsidP="00E00B35">
            <w:pPr>
              <w:spacing w:after="0" w:line="312" w:lineRule="auto"/>
              <w:rPr>
                <w:szCs w:val="20"/>
              </w:rPr>
            </w:pPr>
            <w:r w:rsidRPr="00E00B35">
              <w:rPr>
                <w:szCs w:val="20"/>
              </w:rPr>
              <w:t>Liczba mieszkańców wg stanu na 31.12.2020 r.</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130</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145</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219</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93</w:t>
            </w:r>
          </w:p>
        </w:tc>
      </w:tr>
      <w:tr w:rsidR="00CA14AB" w:rsidRPr="00E00B35" w:rsidTr="00CA14AB">
        <w:trPr>
          <w:trHeight w:val="482"/>
        </w:trPr>
        <w:tc>
          <w:tcPr>
            <w:tcW w:w="2638" w:type="dxa"/>
            <w:shd w:val="clear" w:color="auto" w:fill="auto"/>
            <w:noWrap/>
            <w:vAlign w:val="center"/>
            <w:hideMark/>
          </w:tcPr>
          <w:p w:rsidR="00CA14AB" w:rsidRPr="00E00B35" w:rsidRDefault="00CA14AB" w:rsidP="00E00B35">
            <w:pPr>
              <w:spacing w:after="0" w:line="312" w:lineRule="auto"/>
              <w:rPr>
                <w:szCs w:val="20"/>
              </w:rPr>
            </w:pPr>
            <w:r w:rsidRPr="00E00B35">
              <w:rPr>
                <w:szCs w:val="20"/>
              </w:rPr>
              <w:t>Procent kobiet i mężczyzn wśród mieszkańców</w:t>
            </w:r>
          </w:p>
        </w:tc>
        <w:tc>
          <w:tcPr>
            <w:tcW w:w="1596" w:type="dxa"/>
            <w:shd w:val="clear" w:color="auto" w:fill="auto"/>
            <w:vAlign w:val="center"/>
            <w:hideMark/>
          </w:tcPr>
          <w:p w:rsidR="00CA14AB" w:rsidRPr="00E00B35" w:rsidRDefault="00CA14AB" w:rsidP="00E00B35">
            <w:pPr>
              <w:spacing w:after="0" w:line="312" w:lineRule="auto"/>
              <w:rPr>
                <w:szCs w:val="20"/>
              </w:rPr>
            </w:pPr>
            <w:r w:rsidRPr="00E00B35">
              <w:rPr>
                <w:szCs w:val="20"/>
              </w:rPr>
              <w:t xml:space="preserve">71,54, % </w:t>
            </w:r>
          </w:p>
          <w:p w:rsidR="00CA14AB" w:rsidRPr="00E00B35" w:rsidRDefault="00CA14AB" w:rsidP="00E00B35">
            <w:pPr>
              <w:spacing w:after="0" w:line="312" w:lineRule="auto"/>
              <w:rPr>
                <w:szCs w:val="20"/>
                <w:highlight w:val="yellow"/>
              </w:rPr>
            </w:pPr>
            <w:r w:rsidRPr="00E00B35">
              <w:rPr>
                <w:szCs w:val="20"/>
              </w:rPr>
              <w:t>28,46 %</w:t>
            </w:r>
          </w:p>
        </w:tc>
        <w:tc>
          <w:tcPr>
            <w:tcW w:w="1596" w:type="dxa"/>
            <w:shd w:val="clear" w:color="auto" w:fill="auto"/>
            <w:vAlign w:val="center"/>
            <w:hideMark/>
          </w:tcPr>
          <w:p w:rsidR="00CA14AB" w:rsidRPr="00E00B35" w:rsidRDefault="00CA14AB" w:rsidP="00E00B35">
            <w:pPr>
              <w:spacing w:after="0" w:line="312" w:lineRule="auto"/>
              <w:rPr>
                <w:szCs w:val="20"/>
              </w:rPr>
            </w:pPr>
            <w:r w:rsidRPr="00E00B35">
              <w:rPr>
                <w:szCs w:val="20"/>
              </w:rPr>
              <w:t xml:space="preserve"> 39,30 % </w:t>
            </w:r>
          </w:p>
          <w:p w:rsidR="00CA14AB" w:rsidRPr="00E00B35" w:rsidRDefault="00CA14AB" w:rsidP="00E00B35">
            <w:pPr>
              <w:spacing w:after="0" w:line="312" w:lineRule="auto"/>
              <w:rPr>
                <w:szCs w:val="20"/>
                <w:highlight w:val="yellow"/>
              </w:rPr>
            </w:pPr>
            <w:r w:rsidRPr="00E00B35">
              <w:rPr>
                <w:szCs w:val="20"/>
              </w:rPr>
              <w:t xml:space="preserve"> 60,70 %</w:t>
            </w:r>
          </w:p>
        </w:tc>
        <w:tc>
          <w:tcPr>
            <w:tcW w:w="1596" w:type="dxa"/>
            <w:shd w:val="clear" w:color="auto" w:fill="auto"/>
            <w:vAlign w:val="center"/>
            <w:hideMark/>
          </w:tcPr>
          <w:p w:rsidR="00CA14AB" w:rsidRPr="00E00B35" w:rsidRDefault="00CA14AB" w:rsidP="00E00B35">
            <w:pPr>
              <w:spacing w:after="0" w:line="312" w:lineRule="auto"/>
              <w:rPr>
                <w:szCs w:val="20"/>
              </w:rPr>
            </w:pPr>
            <w:r w:rsidRPr="00E00B35">
              <w:rPr>
                <w:szCs w:val="20"/>
              </w:rPr>
              <w:t xml:space="preserve">52,51 % </w:t>
            </w:r>
          </w:p>
          <w:p w:rsidR="00CA14AB" w:rsidRPr="00E00B35" w:rsidRDefault="00CA14AB" w:rsidP="00E00B35">
            <w:pPr>
              <w:spacing w:after="0" w:line="312" w:lineRule="auto"/>
              <w:rPr>
                <w:szCs w:val="20"/>
                <w:highlight w:val="yellow"/>
              </w:rPr>
            </w:pPr>
            <w:r w:rsidRPr="00E00B35">
              <w:rPr>
                <w:szCs w:val="20"/>
              </w:rPr>
              <w:t>47,48 %</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 xml:space="preserve">45,16 % </w:t>
            </w:r>
          </w:p>
          <w:p w:rsidR="00CA14AB" w:rsidRPr="00E00B35" w:rsidRDefault="00CA14AB" w:rsidP="00E00B35">
            <w:pPr>
              <w:spacing w:after="0" w:line="312" w:lineRule="auto"/>
              <w:rPr>
                <w:szCs w:val="20"/>
                <w:highlight w:val="yellow"/>
              </w:rPr>
            </w:pPr>
            <w:r w:rsidRPr="00E00B35">
              <w:rPr>
                <w:szCs w:val="20"/>
              </w:rPr>
              <w:t>54,84 %</w:t>
            </w:r>
          </w:p>
        </w:tc>
      </w:tr>
      <w:tr w:rsidR="00CA14AB" w:rsidRPr="00E00B35" w:rsidTr="00CA14AB">
        <w:trPr>
          <w:trHeight w:val="384"/>
        </w:trPr>
        <w:tc>
          <w:tcPr>
            <w:tcW w:w="2638" w:type="dxa"/>
            <w:shd w:val="clear" w:color="auto" w:fill="auto"/>
            <w:noWrap/>
            <w:vAlign w:val="center"/>
            <w:hideMark/>
          </w:tcPr>
          <w:p w:rsidR="00CA14AB" w:rsidRPr="00E00B35" w:rsidRDefault="00CA14AB" w:rsidP="00E00B35">
            <w:pPr>
              <w:spacing w:after="0" w:line="312" w:lineRule="auto"/>
              <w:rPr>
                <w:szCs w:val="20"/>
              </w:rPr>
            </w:pPr>
            <w:r w:rsidRPr="00E00B35">
              <w:rPr>
                <w:szCs w:val="20"/>
              </w:rPr>
              <w:t>Średnia wieku mieszkańców</w:t>
            </w:r>
          </w:p>
        </w:tc>
        <w:tc>
          <w:tcPr>
            <w:tcW w:w="1596" w:type="dxa"/>
            <w:shd w:val="clear" w:color="auto" w:fill="auto"/>
            <w:vAlign w:val="center"/>
          </w:tcPr>
          <w:p w:rsidR="00CA14AB" w:rsidRPr="00E00B35" w:rsidRDefault="00CA14AB" w:rsidP="00E00B35">
            <w:pPr>
              <w:spacing w:after="0" w:line="312" w:lineRule="auto"/>
              <w:rPr>
                <w:szCs w:val="20"/>
                <w:highlight w:val="yellow"/>
              </w:rPr>
            </w:pPr>
            <w:r w:rsidRPr="00E00B35">
              <w:rPr>
                <w:szCs w:val="20"/>
              </w:rPr>
              <w:t>80,44</w:t>
            </w:r>
          </w:p>
        </w:tc>
        <w:tc>
          <w:tcPr>
            <w:tcW w:w="1596" w:type="dxa"/>
            <w:shd w:val="clear" w:color="auto" w:fill="auto"/>
            <w:vAlign w:val="center"/>
          </w:tcPr>
          <w:p w:rsidR="00CA14AB" w:rsidRPr="00E00B35" w:rsidRDefault="00CA14AB" w:rsidP="00E00B35">
            <w:pPr>
              <w:spacing w:after="0" w:line="312" w:lineRule="auto"/>
              <w:rPr>
                <w:szCs w:val="20"/>
                <w:highlight w:val="yellow"/>
              </w:rPr>
            </w:pPr>
            <w:r w:rsidRPr="00E00B35">
              <w:rPr>
                <w:szCs w:val="20"/>
              </w:rPr>
              <w:t>67,70</w:t>
            </w:r>
          </w:p>
        </w:tc>
        <w:tc>
          <w:tcPr>
            <w:tcW w:w="1596" w:type="dxa"/>
            <w:shd w:val="clear" w:color="auto" w:fill="auto"/>
            <w:vAlign w:val="center"/>
          </w:tcPr>
          <w:p w:rsidR="00CA14AB" w:rsidRPr="00E00B35" w:rsidRDefault="00CA14AB" w:rsidP="00E00B35">
            <w:pPr>
              <w:spacing w:after="0" w:line="312" w:lineRule="auto"/>
              <w:rPr>
                <w:szCs w:val="20"/>
                <w:highlight w:val="yellow"/>
              </w:rPr>
            </w:pPr>
            <w:r w:rsidRPr="00E00B35">
              <w:rPr>
                <w:szCs w:val="20"/>
              </w:rPr>
              <w:t>70,24</w:t>
            </w:r>
          </w:p>
        </w:tc>
        <w:tc>
          <w:tcPr>
            <w:tcW w:w="1596" w:type="dxa"/>
            <w:shd w:val="clear" w:color="auto" w:fill="auto"/>
            <w:vAlign w:val="center"/>
          </w:tcPr>
          <w:p w:rsidR="00CA14AB" w:rsidRPr="00E00B35" w:rsidRDefault="00CA14AB" w:rsidP="00E00B35">
            <w:pPr>
              <w:spacing w:after="0" w:line="312" w:lineRule="auto"/>
              <w:rPr>
                <w:szCs w:val="20"/>
                <w:highlight w:val="yellow"/>
              </w:rPr>
            </w:pPr>
            <w:r w:rsidRPr="00E00B35">
              <w:rPr>
                <w:szCs w:val="20"/>
              </w:rPr>
              <w:t>62,67</w:t>
            </w:r>
          </w:p>
        </w:tc>
      </w:tr>
      <w:tr w:rsidR="00CA14AB" w:rsidRPr="00E00B35" w:rsidTr="00CA14AB">
        <w:trPr>
          <w:trHeight w:val="289"/>
        </w:trPr>
        <w:tc>
          <w:tcPr>
            <w:tcW w:w="2638" w:type="dxa"/>
            <w:shd w:val="clear" w:color="auto" w:fill="auto"/>
            <w:noWrap/>
            <w:vAlign w:val="center"/>
            <w:hideMark/>
          </w:tcPr>
          <w:p w:rsidR="00CA14AB" w:rsidRPr="00E00B35" w:rsidRDefault="00CA14AB" w:rsidP="00E00B35">
            <w:pPr>
              <w:spacing w:after="0" w:line="312" w:lineRule="auto"/>
              <w:rPr>
                <w:szCs w:val="20"/>
              </w:rPr>
            </w:pPr>
            <w:r w:rsidRPr="00E00B35">
              <w:rPr>
                <w:szCs w:val="20"/>
              </w:rPr>
              <w:t>Najstarszy mieszkaniec/mieszkanka</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103</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99</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96</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93</w:t>
            </w:r>
          </w:p>
        </w:tc>
      </w:tr>
      <w:tr w:rsidR="00CA14AB" w:rsidRPr="00E00B35" w:rsidTr="00CA14AB">
        <w:trPr>
          <w:trHeight w:val="289"/>
        </w:trPr>
        <w:tc>
          <w:tcPr>
            <w:tcW w:w="2638" w:type="dxa"/>
            <w:shd w:val="clear" w:color="auto" w:fill="auto"/>
            <w:noWrap/>
            <w:vAlign w:val="center"/>
            <w:hideMark/>
          </w:tcPr>
          <w:p w:rsidR="00CA14AB" w:rsidRPr="00E00B35" w:rsidRDefault="00CA14AB" w:rsidP="00E00B35">
            <w:pPr>
              <w:spacing w:after="0" w:line="312" w:lineRule="auto"/>
              <w:rPr>
                <w:szCs w:val="20"/>
              </w:rPr>
            </w:pPr>
            <w:r w:rsidRPr="00E00B35">
              <w:rPr>
                <w:szCs w:val="20"/>
              </w:rPr>
              <w:t>Najmłodszy mieszkaniec/mieszkanka</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34</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31</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30</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28</w:t>
            </w:r>
          </w:p>
        </w:tc>
      </w:tr>
      <w:tr w:rsidR="00CA14AB" w:rsidRPr="00E00B35" w:rsidTr="00CA14AB">
        <w:trPr>
          <w:trHeight w:val="289"/>
        </w:trPr>
        <w:tc>
          <w:tcPr>
            <w:tcW w:w="2638" w:type="dxa"/>
            <w:shd w:val="clear" w:color="auto" w:fill="auto"/>
            <w:noWrap/>
            <w:vAlign w:val="center"/>
            <w:hideMark/>
          </w:tcPr>
          <w:p w:rsidR="00CA14AB" w:rsidRPr="00E00B35" w:rsidRDefault="00CA14AB" w:rsidP="00E00B35">
            <w:pPr>
              <w:spacing w:after="0" w:line="312" w:lineRule="auto"/>
              <w:rPr>
                <w:szCs w:val="20"/>
              </w:rPr>
            </w:pPr>
            <w:r w:rsidRPr="00E00B35">
              <w:rPr>
                <w:szCs w:val="20"/>
              </w:rPr>
              <w:t>Zgony</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68</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40</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51</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6</w:t>
            </w:r>
          </w:p>
        </w:tc>
      </w:tr>
      <w:tr w:rsidR="00CA14AB" w:rsidRPr="00E00B35" w:rsidTr="00CA14AB">
        <w:trPr>
          <w:trHeight w:val="289"/>
        </w:trPr>
        <w:tc>
          <w:tcPr>
            <w:tcW w:w="2638" w:type="dxa"/>
            <w:shd w:val="clear" w:color="auto" w:fill="auto"/>
            <w:noWrap/>
            <w:vAlign w:val="center"/>
            <w:hideMark/>
          </w:tcPr>
          <w:p w:rsidR="00CA14AB" w:rsidRPr="00E00B35" w:rsidRDefault="00CA14AB" w:rsidP="00E00B35">
            <w:pPr>
              <w:spacing w:after="0" w:line="312" w:lineRule="auto"/>
              <w:rPr>
                <w:szCs w:val="20"/>
              </w:rPr>
            </w:pPr>
            <w:r w:rsidRPr="00E00B35">
              <w:rPr>
                <w:szCs w:val="20"/>
              </w:rPr>
              <w:t>Przyjęcia nowych mieszkańców</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52</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28</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40</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6</w:t>
            </w:r>
          </w:p>
        </w:tc>
      </w:tr>
      <w:tr w:rsidR="00CA14AB" w:rsidRPr="00E00B35" w:rsidTr="00CA14AB">
        <w:trPr>
          <w:trHeight w:val="70"/>
        </w:trPr>
        <w:tc>
          <w:tcPr>
            <w:tcW w:w="2638" w:type="dxa"/>
            <w:shd w:val="clear" w:color="auto" w:fill="auto"/>
            <w:noWrap/>
            <w:vAlign w:val="center"/>
            <w:hideMark/>
          </w:tcPr>
          <w:p w:rsidR="00CA14AB" w:rsidRPr="00E00B35" w:rsidRDefault="00CA14AB" w:rsidP="00E00B35">
            <w:pPr>
              <w:spacing w:after="0" w:line="312" w:lineRule="auto"/>
              <w:rPr>
                <w:szCs w:val="20"/>
              </w:rPr>
            </w:pPr>
            <w:r w:rsidRPr="00E00B35">
              <w:rPr>
                <w:szCs w:val="20"/>
              </w:rPr>
              <w:t>Rezygnacja</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6</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1</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4</w:t>
            </w:r>
          </w:p>
        </w:tc>
        <w:tc>
          <w:tcPr>
            <w:tcW w:w="1596" w:type="dxa"/>
            <w:shd w:val="clear" w:color="auto" w:fill="auto"/>
            <w:vAlign w:val="center"/>
          </w:tcPr>
          <w:p w:rsidR="00CA14AB" w:rsidRPr="00E00B35" w:rsidRDefault="00CA14AB" w:rsidP="00E00B35">
            <w:pPr>
              <w:spacing w:after="0" w:line="312" w:lineRule="auto"/>
              <w:rPr>
                <w:szCs w:val="20"/>
              </w:rPr>
            </w:pPr>
            <w:r w:rsidRPr="00E00B35">
              <w:rPr>
                <w:szCs w:val="20"/>
              </w:rPr>
              <w:t>0</w:t>
            </w:r>
          </w:p>
        </w:tc>
      </w:tr>
    </w:tbl>
    <w:p w:rsidR="00C463E4" w:rsidRPr="00E00B35" w:rsidRDefault="00C463E4"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Zadania opiekuńcze i dostęp do świadczeń medycznych. Realizowano działania wynikające z indywidualnego planu wsparcia mieszkańca, po rozpoznaniu indywidualnych potrzeb mieszkańca, koordynowanego przez pracowników pierwszego kontaktu, z uwzględnieniem jego stanu zdrowia, w ramach zespołów interdyscyplinarnych. Mieszkańcy DPS w MCUS byli objęci całodobową opieką w zakresie opieki higienicznej i pielęgnacji. Zadania z zakresu długoterminowej opieki pielęgniarskiej oraz pielęgniarskiej opieki środowiskowej realizowały podmioty zewnętrzne finansowane z Narodowego Funduszu Zdrowia, zgodnie z deklaracją wyboru mieszkańca. W ramach wizyt domowych realizowanych w domu pacjenta (w tym wypadku w DPS) mieszkańcy mieli możliwość skorzystania ze świadczeń psychiatrycznych, neurologicznych, geriatrycznych, a także ze świadczeń logopedycznych i urologa. Mieszkańcy DPS mieli zapewniony dostęp do psychologów oraz do lekarza pierwszego kontaktu i lekarzy specjalistów.</w:t>
      </w:r>
    </w:p>
    <w:p w:rsidR="00CA14AB" w:rsidRPr="00E00B35" w:rsidRDefault="00CA14AB" w:rsidP="00E00B35">
      <w:pPr>
        <w:spacing w:after="0" w:line="312" w:lineRule="auto"/>
        <w:rPr>
          <w:szCs w:val="20"/>
        </w:rPr>
      </w:pPr>
      <w:r w:rsidRPr="00E00B35">
        <w:rPr>
          <w:szCs w:val="20"/>
        </w:rPr>
        <w:t>W ramach bieżących zadań statutowych w 2020 roku mieszkańcy DPS korzystali z wizyt domowych w ramach NFZ, lekarzy POZ, logopedy, psychiatry, oraz byli dowożeni do lekarzy specjalistów – łącznie w 4 DPS odbyły się 2200 konsultacje psychiatryczne,</w:t>
      </w:r>
    </w:p>
    <w:p w:rsidR="00CA14AB" w:rsidRPr="00E00B35" w:rsidRDefault="00CA14AB" w:rsidP="00E00B35">
      <w:pPr>
        <w:spacing w:after="0" w:line="312" w:lineRule="auto"/>
        <w:rPr>
          <w:szCs w:val="20"/>
        </w:rPr>
      </w:pPr>
      <w:r w:rsidRPr="00E00B35">
        <w:rPr>
          <w:szCs w:val="20"/>
        </w:rPr>
        <w:t>974 konsultacje logopedyczne, 10143 konsultacje lekarza POZ oraz mieli zapewniony dostęp do psychologów.</w:t>
      </w:r>
    </w:p>
    <w:p w:rsidR="00CA14AB" w:rsidRPr="00E00B35" w:rsidRDefault="00CA14AB" w:rsidP="00E00B35">
      <w:pPr>
        <w:spacing w:after="0" w:line="312" w:lineRule="auto"/>
        <w:rPr>
          <w:szCs w:val="20"/>
        </w:rPr>
      </w:pPr>
      <w:r w:rsidRPr="00E00B35">
        <w:rPr>
          <w:szCs w:val="20"/>
        </w:rPr>
        <w:t>W związku z ograniczeniami wynikającymi ze stanu epidemicznego świadczenia medyczne odbywały się w znacznej mierze w ramach teleporady bez badania lekarskiego na terenie DPS, tylko w sytuacjach tego wymagających wizyty domowe odbywały się stacjonarnie, z zachowaniem reżimu sanitarnego i wytycznych służb sanitarno-epidemiologicznych.</w:t>
      </w:r>
    </w:p>
    <w:p w:rsidR="00CA14AB" w:rsidRPr="00E00B35" w:rsidRDefault="00CA14AB" w:rsidP="00E00B35">
      <w:pPr>
        <w:spacing w:after="0" w:line="312" w:lineRule="auto"/>
        <w:rPr>
          <w:szCs w:val="20"/>
        </w:rPr>
      </w:pPr>
      <w:r w:rsidRPr="00E00B35">
        <w:rPr>
          <w:szCs w:val="20"/>
        </w:rPr>
        <w:lastRenderedPageBreak/>
        <w:t>Ponadto, z powodu ograniczonej lub zawieszonej działalności placówek medycznych część świadczeń medycznych (o ile stan zdrowia mieszkańca na to pozwalał) została odwołana lub przesunięta na późniejsze terminy.</w:t>
      </w:r>
    </w:p>
    <w:p w:rsidR="00CA14AB" w:rsidRPr="00E00B35" w:rsidRDefault="00CA14AB" w:rsidP="00E00B35">
      <w:pPr>
        <w:spacing w:after="0" w:line="312" w:lineRule="auto"/>
        <w:rPr>
          <w:szCs w:val="20"/>
        </w:rPr>
      </w:pPr>
      <w:r w:rsidRPr="00E00B35">
        <w:rPr>
          <w:szCs w:val="20"/>
        </w:rPr>
        <w:t>Konsultacje logopedyczne zostały ograniczone z powodu wprowadzonego zakazu wstępu osób z zewnątrz.</w:t>
      </w:r>
    </w:p>
    <w:p w:rsidR="00CA14AB" w:rsidRPr="00E00B35" w:rsidRDefault="00CA14AB" w:rsidP="00E00B35">
      <w:pPr>
        <w:spacing w:after="0" w:line="312" w:lineRule="auto"/>
        <w:rPr>
          <w:szCs w:val="20"/>
        </w:rPr>
      </w:pPr>
      <w:r w:rsidRPr="00E00B35">
        <w:rPr>
          <w:szCs w:val="20"/>
        </w:rPr>
        <w:t>DPS, zgodnie z obowiązkiem zapisanym w ustawie o pomocy społecznej, pokrywały opłaty ryczałtowe i częściową odpłatność do wysokości limitu ceny, zgodnie z przepisami ustawy z dnia 27 sierpnia 2004 r. o świadczeniach opieki zdrowotnej finansowanych ze środków publicznych. Średnie miesięczne dofinansowanie do leków wyniosło 14,21 zł i nie zmieniło się w stosunku do 2019 roku. Średnie miesięczne dofinansowanie do pieluchmajtek wyniosło 16,47 zł i jest wyższe o 0,36 zł w stosunku do 2019 roku.</w:t>
      </w:r>
    </w:p>
    <w:p w:rsidR="005E6C69" w:rsidRPr="00E00B35" w:rsidRDefault="005E6C69" w:rsidP="00E00B35">
      <w:pPr>
        <w:pStyle w:val="Nagwek5"/>
        <w:rPr>
          <w:szCs w:val="20"/>
        </w:rPr>
      </w:pPr>
    </w:p>
    <w:p w:rsidR="00CA14AB" w:rsidRPr="00E00B35" w:rsidRDefault="00C463E4" w:rsidP="00E00B35">
      <w:pPr>
        <w:pStyle w:val="Nagwek5"/>
        <w:rPr>
          <w:szCs w:val="20"/>
        </w:rPr>
      </w:pPr>
      <w:r w:rsidRPr="00E00B35">
        <w:rPr>
          <w:szCs w:val="20"/>
        </w:rPr>
        <w:t>Zapewnienie wyżywienia</w:t>
      </w:r>
    </w:p>
    <w:p w:rsidR="00CA14AB" w:rsidRPr="00E00B35" w:rsidRDefault="00CA14AB" w:rsidP="00E00B35">
      <w:pPr>
        <w:spacing w:after="0" w:line="312" w:lineRule="auto"/>
        <w:rPr>
          <w:szCs w:val="20"/>
        </w:rPr>
      </w:pPr>
      <w:r w:rsidRPr="00E00B35">
        <w:rPr>
          <w:szCs w:val="20"/>
        </w:rPr>
        <w:t>Całodobowe wyżywienie dla mieszkańców DPS w MCUS zapewnia kuchnia centralna w DPS przy ul. Karmelkowej 25, z której przywożone są posiłki do pozostałych DPS. Ponadto mieszkańcy mają stały dostęp do podstawowych produktów żywnościowych w kuchenkach oddziałowych, na miejscu. Kuchnia centralna zapewniała także posiłki dla ośmiu dziennych domów pomocy w MCUS.</w:t>
      </w:r>
    </w:p>
    <w:p w:rsidR="00CA14AB" w:rsidRPr="00E00B35" w:rsidRDefault="00CA14AB" w:rsidP="00E00B35">
      <w:pPr>
        <w:spacing w:after="0" w:line="312" w:lineRule="auto"/>
        <w:rPr>
          <w:szCs w:val="20"/>
        </w:rPr>
      </w:pPr>
      <w:r w:rsidRPr="00E00B35">
        <w:rPr>
          <w:szCs w:val="20"/>
        </w:rPr>
        <w:t>W celu poprawy jakości życia mieszkańców DPS oraz poprawy standardów realizowano Program wspierania osób w podeszłym wieku, niepełnosprawnych oraz niesamodzielnych określony w zadaniu nr 98:  zawarty w dokumencie „Założenia polityki społeczno-gospodarczej na rok budżetowy 2020”, w ramach priorytetu nr III: Rozwój partycypacji, budowa kapitału społecznego i poprawa jakości życia. W ramach tego zadnia kontynuowano realizację zadania nr 107 z 2019 roku: Program przebudowy Centrów Usług Socjalnych. W czerwcu 2020  r. został zakończony remont i  przebudowa kuchni centralnej mieszczącej się w DPS Karmelkowa 25. Remont kuchni spowodował podniesienie standardów obsługi żywieniowej mieszkańców DPS oraz pracy personelu. Zmieniony został układ pomieszczeń, aby zoptymalizować ergonomię pracy oraz proces przygotowywania posiłków. Zamontowano sprzęt gastronomiczny o najwyższych normach energetycznych, które pozwolą na obniżenie zużycia energii oraz zamontowano nowy dźwig platformowy do przewozu sprzętu gastronomicznego z posiłkami. Przebudowano i unowocześniono instalację wentylacyjną. W okresie trwania prac modernizacyjnych posiłki do DPS i DDP były dostarczane przez firmę zewnętrzną. Łącznie kuchnia centralna MCUS po remoncie, przez okres 6 miesięcy, przygotowała w 2020 roku 450 660 posiłków (śniadania, obiady, podwieczorki i kolacje) dla podopiecznych MCUS. Średnia dzienna stawka żywnościowa na jednego mieszkańca DPS (całodzienne wyżywienie) wyniosła 9,68 zł (wsad do kotła).</w:t>
      </w:r>
    </w:p>
    <w:p w:rsidR="00CA14AB" w:rsidRPr="00E00B35" w:rsidRDefault="00CA14AB" w:rsidP="00E00B35">
      <w:pPr>
        <w:spacing w:after="0" w:line="312" w:lineRule="auto"/>
        <w:rPr>
          <w:szCs w:val="20"/>
        </w:rPr>
      </w:pPr>
      <w:r w:rsidRPr="00E00B35">
        <w:rPr>
          <w:szCs w:val="20"/>
        </w:rPr>
        <w:t xml:space="preserve">Z kolei w marcu 2020 zakończony został remont kuchni w DPS przy Mącznej 3. Modernizacja spowodowała podniesienie standardów obsługi żywieniowej mieszkańców DPS oraz pracy personelu. Zmieniony został układ pomieszczeń, aby zoptymalizować ergonomię pracy oraz proces przygotowywania posiłków. Zamontowano sprzęt gastronomiczny o najwyższych normach energetycznych, które pozwolą na obniżenie zużycia energii oraz zamontowano nowy dźwig platformowy do przewozu sprzętu </w:t>
      </w:r>
      <w:r w:rsidRPr="00E00B35">
        <w:rPr>
          <w:szCs w:val="20"/>
        </w:rPr>
        <w:lastRenderedPageBreak/>
        <w:t>gastronomicznego z posiłkami. Przebudowano i unowocześniono instalację wentylacyjną. W celu ułatwieniu poruszania się po terenie jadalni oraz, aby zapewnić mieszkańcom DPS optymalne bezpieczeństwo, zostały zamontowane dodatkowe pochwyty dla osób niepełnosprawnych. Ponadto wygospodarowano powierzchnię w DPS i utworzono 2 nowe pokoje dla mieszkańców z węzłem sanitarnym (łazienka z toaletą, dostosowaną dla osób niepełnosprawnych). W nowych pokojach jest 5 miejsc dla mieszkańców. Zastosowano materiały ułatwiające utrzymanie czystości.  W zakresie przebudowy obiektu DPS dokonano także wymiany układu wodno-kanalizacyjnego w budynku A (w pomieszczeniach piwnicznych).</w:t>
      </w:r>
    </w:p>
    <w:p w:rsidR="00CA14AB" w:rsidRPr="00E00B35" w:rsidRDefault="00CA14AB" w:rsidP="00E00B35">
      <w:pPr>
        <w:spacing w:after="0" w:line="312" w:lineRule="auto"/>
        <w:rPr>
          <w:szCs w:val="20"/>
        </w:rPr>
      </w:pPr>
      <w:r w:rsidRPr="00E00B35">
        <w:rPr>
          <w:szCs w:val="20"/>
        </w:rPr>
        <w:t>Działania wspomagające. Na rzecz mieszkańców DPS w MCUS podejmowano na bieżąco działania aktywizacyjne i terapeutyczne, zgodnie z harmonogramami działań w poszczególnych DPS. Prowadzono działalność socjalną, terapeutyczno-opiekuńczą oraz wspomagającą, mającą na celu podtrzymanie aktywności psychofizycznej. Propagowano różnorodne formy aktywizacji i czynnego wypoczynku.</w:t>
      </w:r>
    </w:p>
    <w:p w:rsidR="00CA14AB" w:rsidRPr="00E00B35" w:rsidRDefault="00CA14AB" w:rsidP="00E00B35">
      <w:pPr>
        <w:spacing w:after="0" w:line="312" w:lineRule="auto"/>
        <w:rPr>
          <w:szCs w:val="20"/>
        </w:rPr>
      </w:pPr>
      <w:r w:rsidRPr="00E00B35">
        <w:rPr>
          <w:szCs w:val="20"/>
        </w:rPr>
        <w:t>W ramach bieżącej działalności statutowej w całodobowych domach pomocy społecznej w MCUS dla mieszkańców organizowane były odczyty, pogadanki, prelekcje na temat zdrowego żywienia, przestrzegania zaleconej przez lekarza diety, nawyków higienicznych. Ponadto w ramach pogadanek poruszane były tematy dotyczące szkodliwości palenia papierosów czy skutków spożywania alkoholu oraz rozmowy wspierające postawy abstynenckie. Często podejmowane były tematy dotyczące prawidłowego odżywiania  we współczesnych chorobach metabolicznych, takich jak cukrzyca.</w:t>
      </w:r>
    </w:p>
    <w:p w:rsidR="00CA14AB" w:rsidRPr="00E00B35" w:rsidRDefault="00CA14AB" w:rsidP="00E00B35">
      <w:pPr>
        <w:spacing w:after="0" w:line="312" w:lineRule="auto"/>
        <w:rPr>
          <w:szCs w:val="20"/>
        </w:rPr>
      </w:pPr>
      <w:r w:rsidRPr="00E00B35">
        <w:rPr>
          <w:szCs w:val="20"/>
        </w:rPr>
        <w:t>Z uwagi na ograniczenia związane z epidemią koronawirusa  pogadanki czy prelekcji realizowane były w mniejszych grupach lub indywidualnie z mieszkańcami, tak, aby na terenie DPS zapewnić zachowanie dystansu i tym samym ograniczyć zagrożenie zakażeniem wirusem. Kwestie prozdrowotne były poruszane z mieszkańcami w rozmowach indywidualnych przez psychologa, pielęgniarki oraz pracowników pierwszego kontaktu. Dodatkowo prowadzone były instruktaże i motywowanie do właściwego stosowania środków ochrony oraz konieczności zachowania dystansu społecznego.</w:t>
      </w:r>
    </w:p>
    <w:p w:rsidR="00CA14AB" w:rsidRPr="00E00B35" w:rsidRDefault="00CA14AB" w:rsidP="00E00B35">
      <w:pPr>
        <w:spacing w:after="0" w:line="312" w:lineRule="auto"/>
        <w:rPr>
          <w:szCs w:val="20"/>
        </w:rPr>
      </w:pPr>
      <w:r w:rsidRPr="00E00B35">
        <w:rPr>
          <w:szCs w:val="20"/>
        </w:rPr>
        <w:t>Warto wymienić niektóre z wydarzeń, które przy zachowaniu reżimu sanitarnego umiliły dni mieszkańcom DPS, wspomagały integrację ze środowiskiem lokalnym oraz z rodzinami i osobami bliskimi:</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 xml:space="preserve">XI Integracyjny Turniej gry w Bulle Soft </w:t>
      </w:r>
    </w:p>
    <w:p w:rsidR="00CA14AB" w:rsidRPr="00E00B35" w:rsidRDefault="00CA14AB" w:rsidP="00E00B35">
      <w:pPr>
        <w:spacing w:after="0" w:line="312" w:lineRule="auto"/>
        <w:rPr>
          <w:szCs w:val="20"/>
        </w:rPr>
      </w:pPr>
      <w:r w:rsidRPr="00E00B35">
        <w:rPr>
          <w:szCs w:val="20"/>
        </w:rPr>
        <w:t>W lutym 2020 roku po raz jedenasty MCUS współorganizował razem ze Stowarzyszeniem dla Osób Starszych, Chorych i Niepełnosprawnych „Kolory Nadziei” Integracyjny Turniej gry w Bulle Soft, który odbył się w Hali Sportowej Uniwersytetu Ekonomicznego we Wrocławiu. W turnieju wzięło udział 12 drużyn z  wrocławskich domów pomocy społecznej i Uniwersytetów Trzeciego Wieku (UTW Uniwersytet Wrocławski, DUTW Dolnośląskiej Szkoły Wyższej, UTW Uniwersytet Ekonomiczny, Absolwenci AWF).</w:t>
      </w:r>
    </w:p>
    <w:p w:rsidR="005E6C69" w:rsidRPr="00E00B35" w:rsidRDefault="005E6C69" w:rsidP="00E00B35">
      <w:pPr>
        <w:pStyle w:val="Nagwek5"/>
        <w:rPr>
          <w:szCs w:val="20"/>
        </w:rPr>
      </w:pPr>
    </w:p>
    <w:p w:rsidR="00CA14AB" w:rsidRPr="00E00B35" w:rsidRDefault="00CA14AB" w:rsidP="00E00B35">
      <w:pPr>
        <w:pStyle w:val="Nagwek5"/>
        <w:rPr>
          <w:szCs w:val="20"/>
        </w:rPr>
      </w:pPr>
      <w:r w:rsidRPr="00E00B35">
        <w:rPr>
          <w:szCs w:val="20"/>
        </w:rPr>
        <w:t>Zajęcia aktywizacyjne na wolnym powietrzu na terenach zielonych DPS</w:t>
      </w:r>
    </w:p>
    <w:p w:rsidR="00CA14AB" w:rsidRPr="00E00B35" w:rsidRDefault="00CA14AB" w:rsidP="00E00B35">
      <w:pPr>
        <w:spacing w:after="0" w:line="312" w:lineRule="auto"/>
        <w:rPr>
          <w:szCs w:val="20"/>
        </w:rPr>
      </w:pPr>
      <w:r w:rsidRPr="00E00B35">
        <w:rPr>
          <w:szCs w:val="20"/>
        </w:rPr>
        <w:t xml:space="preserve">W okresie letnim organizowane były zajęcia aktywizacyjne na wolnym powietrzu w ogrodach. W trakcie zajęć mieszkańcy śpiewali znane piosenki biesiadne. Dodatkowym </w:t>
      </w:r>
      <w:r w:rsidRPr="00E00B35">
        <w:rPr>
          <w:szCs w:val="20"/>
        </w:rPr>
        <w:lastRenderedPageBreak/>
        <w:t>urozmaiceniem podczas zajęć były ćwiczenia umysłu polegające na rozwiązywaniu zagadek z różnych dziedzin życia oraz ćwiczenia sprawnościowe i oddechowe. Wspaniałą i lubianą formą zajęć aktywizacyjnych był koncert życzeń, znanych i lubianych utworów muzycznych z czasów młodości uczestników spotkań.</w:t>
      </w:r>
    </w:p>
    <w:p w:rsidR="005E6C69" w:rsidRPr="00E00B35" w:rsidRDefault="005E6C69" w:rsidP="00E00B35">
      <w:pPr>
        <w:spacing w:after="0" w:line="312" w:lineRule="auto"/>
        <w:rPr>
          <w:rStyle w:val="Nagwek5Znak"/>
          <w:szCs w:val="20"/>
        </w:rPr>
      </w:pPr>
    </w:p>
    <w:p w:rsidR="00CA14AB" w:rsidRPr="00E00B35" w:rsidRDefault="00CA14AB" w:rsidP="00E00B35">
      <w:pPr>
        <w:spacing w:after="0" w:line="312" w:lineRule="auto"/>
        <w:rPr>
          <w:szCs w:val="20"/>
        </w:rPr>
      </w:pPr>
      <w:r w:rsidRPr="00E00B35">
        <w:rPr>
          <w:rStyle w:val="Nagwek5Znak"/>
          <w:szCs w:val="20"/>
        </w:rPr>
        <w:t>Mini koncerty znanych kolęd i standardów świątecznych „Hydro dla Seniora”, wykonanych</w:t>
      </w:r>
      <w:r w:rsidRPr="00E00B35">
        <w:rPr>
          <w:szCs w:val="20"/>
        </w:rPr>
        <w:t xml:space="preserve"> przez Artystów Narodowego Forum Muzyki.</w:t>
      </w:r>
    </w:p>
    <w:p w:rsidR="00CA14AB" w:rsidRPr="00E00B35" w:rsidRDefault="00CA14AB" w:rsidP="00E00B35">
      <w:pPr>
        <w:spacing w:after="0" w:line="312" w:lineRule="auto"/>
        <w:rPr>
          <w:szCs w:val="20"/>
        </w:rPr>
      </w:pPr>
      <w:r w:rsidRPr="00E00B35">
        <w:rPr>
          <w:szCs w:val="20"/>
        </w:rPr>
        <w:t>Z uwagi na panującą sytuację epidemiczną najdogodniejszym miejscem, w którym koncerty mogły się odbyć był teren zewnętrzny DPS. Zachowując dystans społeczny mieszkańcy obserwowali i słuchali koncertów z okien swoich pokoi. Kolędowy koncert świąteczny to przedsięwzięcie MPWiK i Hydropolis w wykonaniu artystów Narodowego Forum Muzyki.</w:t>
      </w:r>
    </w:p>
    <w:p w:rsidR="00CA14AB" w:rsidRPr="00E00B35" w:rsidRDefault="00CA14AB" w:rsidP="00E00B35">
      <w:pPr>
        <w:spacing w:after="0" w:line="312" w:lineRule="auto"/>
        <w:rPr>
          <w:szCs w:val="20"/>
        </w:rPr>
      </w:pPr>
      <w:r w:rsidRPr="00E00B35">
        <w:rPr>
          <w:szCs w:val="20"/>
        </w:rPr>
        <w:t>Pracownicy Zespołu Terapii Ruchowej w DPS w MCUS prowadzili działania wspomagające polegające na utrzymywaniu lub podnoszeniu sprawności, aktywizowaniu i usamodzielnianiu mieszkańców stosując różne formy terapeutyczne z uwzględnieniem zapewnienia wolności, intymności, godności i poczucia bezpieczeństwa mieszkańca. Prowadzone formy ćwiczeń ruchowych i inne formy terapeutyczne były zróżnicowane i adekwatne do potrzeb i możliwości mieszkańców, uwzględniały szereg istotnych czynników, takich jak wiek, stan zdrowia, stan sprawności psychofizycznej oraz ogólne samopoczucie. Wsparciem objęto następujący odsetek mieszkańców w poszczególnych DPS: DPS Mączna – ok. 52%, DPS Rędzińska – ok. 64,5%, DPS Kaletnicza – ok. 78,8 %, DPS Karmelkowa – ok. 62%. Udział procentowy osób niepełnosprawnych wśród osób objętych postępowaniem terapeutycznym w poszczególnych DPS kształtował się następująco: DPS Mączna – ok. 32%, DPS Rędzińska – ok. 42%, DPS Kaletnicza – ok. 93%, DPS Karmelkowa – ok. 61%. Ponadto w zależności od sytuacji epidemicznej mieszkańcy DPS wspierani byli rehabilitacyjnie także przez podmiot medyczny zewnętrzny w ramach usługi finansowanej z NFZ, czyli rehabilitacji w warunkach domowych dla osób niepełnosprawnych.</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3970655" cy="3946525"/>
            <wp:effectExtent l="19050" t="0" r="0" b="0"/>
            <wp:docPr id="91" name="Obraz 9" descr="Poszczególne etapy wykonywania dekoracji walentynkowych- malowanie serc z masy solnej farbami akrylowy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Poszczególne etapy wykonywania dekoracji walentynkowych- malowanie serc z masy solnej farbami akrylowymi. "/>
                    <pic:cNvPicPr>
                      <a:picLocks noChangeAspect="1" noChangeArrowheads="1"/>
                    </pic:cNvPicPr>
                  </pic:nvPicPr>
                  <pic:blipFill>
                    <a:blip r:embed="rId129" cstate="print"/>
                    <a:srcRect l="5736" t="3262" r="3683"/>
                    <a:stretch>
                      <a:fillRect/>
                    </a:stretch>
                  </pic:blipFill>
                  <pic:spPr bwMode="auto">
                    <a:xfrm>
                      <a:off x="0" y="0"/>
                      <a:ext cx="3970655" cy="394652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Fot. MCUS Aktywizacja podopiecznych w jednostkach MCUS</w:t>
      </w:r>
    </w:p>
    <w:p w:rsidR="00CA14AB" w:rsidRPr="00E00B35" w:rsidRDefault="00CA14AB" w:rsidP="00E00B35">
      <w:pPr>
        <w:spacing w:after="0" w:line="312" w:lineRule="auto"/>
        <w:rPr>
          <w:szCs w:val="20"/>
        </w:rPr>
      </w:pPr>
      <w:bookmarkStart w:id="351" w:name="_Toc72352419"/>
      <w:bookmarkStart w:id="352" w:name="_Toc72352853"/>
      <w:r w:rsidRPr="00E00B35">
        <w:rPr>
          <w:szCs w:val="20"/>
        </w:rPr>
        <w:t>Dzienne domy pomocy (DDP)</w:t>
      </w:r>
      <w:bookmarkEnd w:id="351"/>
      <w:bookmarkEnd w:id="352"/>
    </w:p>
    <w:p w:rsidR="00CA14AB" w:rsidRPr="00E00B35" w:rsidRDefault="00CA14AB" w:rsidP="00E00B35">
      <w:pPr>
        <w:spacing w:after="0" w:line="312" w:lineRule="auto"/>
        <w:rPr>
          <w:szCs w:val="20"/>
        </w:rPr>
      </w:pPr>
      <w:r w:rsidRPr="00E00B35">
        <w:rPr>
          <w:szCs w:val="20"/>
        </w:rPr>
        <w:t>W MCUS funkcjonuje 8 dziennych domów pomocy, świadczących usługi opiekuńcze, w tym posiłek, a także usługi specjalistyczne i wspomagające w następujących lokalizacjach:</w:t>
      </w:r>
    </w:p>
    <w:p w:rsidR="00CA14AB" w:rsidRPr="00E00B35" w:rsidRDefault="00CA14AB" w:rsidP="00BC64AB">
      <w:pPr>
        <w:pStyle w:val="Akapitzlist"/>
        <w:numPr>
          <w:ilvl w:val="0"/>
          <w:numId w:val="221"/>
        </w:numPr>
        <w:spacing w:after="0" w:line="312" w:lineRule="auto"/>
        <w:rPr>
          <w:szCs w:val="20"/>
        </w:rPr>
      </w:pPr>
      <w:r w:rsidRPr="00E00B35">
        <w:rPr>
          <w:szCs w:val="20"/>
        </w:rPr>
        <w:t>Dzienny Dom Pomocy przy ul. Skwierzyńskiej 23/2</w:t>
      </w:r>
    </w:p>
    <w:p w:rsidR="00CA14AB" w:rsidRPr="00E00B35" w:rsidRDefault="00CA14AB" w:rsidP="00BC64AB">
      <w:pPr>
        <w:pStyle w:val="Akapitzlist"/>
        <w:numPr>
          <w:ilvl w:val="0"/>
          <w:numId w:val="221"/>
        </w:numPr>
        <w:spacing w:after="0" w:line="312" w:lineRule="auto"/>
        <w:rPr>
          <w:szCs w:val="20"/>
        </w:rPr>
      </w:pPr>
      <w:r w:rsidRPr="00E00B35">
        <w:rPr>
          <w:szCs w:val="20"/>
        </w:rPr>
        <w:t>Dzienny Dom Pomocy przy ul. Tadeusza Kościuszki 67</w:t>
      </w:r>
    </w:p>
    <w:p w:rsidR="00CA14AB" w:rsidRPr="00E00B35" w:rsidRDefault="00CA14AB" w:rsidP="00BC64AB">
      <w:pPr>
        <w:pStyle w:val="Akapitzlist"/>
        <w:numPr>
          <w:ilvl w:val="0"/>
          <w:numId w:val="221"/>
        </w:numPr>
        <w:spacing w:after="0" w:line="312" w:lineRule="auto"/>
        <w:rPr>
          <w:szCs w:val="20"/>
        </w:rPr>
      </w:pPr>
      <w:r w:rsidRPr="00E00B35">
        <w:rPr>
          <w:szCs w:val="20"/>
        </w:rPr>
        <w:t>Dzienny Dom Pomocy przy ul. Komuny Paryskiej 11</w:t>
      </w:r>
    </w:p>
    <w:p w:rsidR="00CA14AB" w:rsidRPr="00E00B35" w:rsidRDefault="00CA14AB" w:rsidP="00BC64AB">
      <w:pPr>
        <w:pStyle w:val="Akapitzlist"/>
        <w:numPr>
          <w:ilvl w:val="0"/>
          <w:numId w:val="221"/>
        </w:numPr>
        <w:spacing w:after="0" w:line="312" w:lineRule="auto"/>
        <w:rPr>
          <w:szCs w:val="20"/>
        </w:rPr>
      </w:pPr>
      <w:r w:rsidRPr="00E00B35">
        <w:rPr>
          <w:szCs w:val="20"/>
        </w:rPr>
        <w:t>Dzienny Dom Pomocy przy ul. Stefana Żeromskiego 37/1</w:t>
      </w:r>
    </w:p>
    <w:p w:rsidR="00CA14AB" w:rsidRPr="00E00B35" w:rsidRDefault="00CA14AB" w:rsidP="00BC64AB">
      <w:pPr>
        <w:pStyle w:val="Akapitzlist"/>
        <w:numPr>
          <w:ilvl w:val="0"/>
          <w:numId w:val="221"/>
        </w:numPr>
        <w:spacing w:after="0" w:line="312" w:lineRule="auto"/>
        <w:rPr>
          <w:szCs w:val="20"/>
        </w:rPr>
      </w:pPr>
      <w:r w:rsidRPr="00E00B35">
        <w:rPr>
          <w:szCs w:val="20"/>
        </w:rPr>
        <w:t xml:space="preserve">Dzienny Dom Pomocy przy ul. Karmelkowej 25 </w:t>
      </w:r>
    </w:p>
    <w:p w:rsidR="00CA14AB" w:rsidRPr="00E00B35" w:rsidRDefault="00CA14AB" w:rsidP="00BC64AB">
      <w:pPr>
        <w:pStyle w:val="Akapitzlist"/>
        <w:numPr>
          <w:ilvl w:val="0"/>
          <w:numId w:val="221"/>
        </w:numPr>
        <w:spacing w:after="0" w:line="312" w:lineRule="auto"/>
        <w:rPr>
          <w:szCs w:val="20"/>
        </w:rPr>
      </w:pPr>
      <w:r w:rsidRPr="00E00B35">
        <w:rPr>
          <w:szCs w:val="20"/>
        </w:rPr>
        <w:t xml:space="preserve">Dzienny Dom Pomocy nr 1 przy ul. Semaforowej 5 </w:t>
      </w:r>
    </w:p>
    <w:p w:rsidR="00CA14AB" w:rsidRPr="00E00B35" w:rsidRDefault="00CA14AB" w:rsidP="00BC64AB">
      <w:pPr>
        <w:pStyle w:val="Akapitzlist"/>
        <w:numPr>
          <w:ilvl w:val="0"/>
          <w:numId w:val="221"/>
        </w:numPr>
        <w:spacing w:after="0" w:line="312" w:lineRule="auto"/>
        <w:rPr>
          <w:szCs w:val="20"/>
        </w:rPr>
      </w:pPr>
      <w:r w:rsidRPr="00E00B35">
        <w:rPr>
          <w:szCs w:val="20"/>
        </w:rPr>
        <w:t xml:space="preserve">Dzienny Dom Pomocy nr 2 przy ul. Semaforowej 5 </w:t>
      </w:r>
    </w:p>
    <w:p w:rsidR="00CA14AB" w:rsidRPr="00E00B35" w:rsidRDefault="00CA14AB" w:rsidP="00BC64AB">
      <w:pPr>
        <w:pStyle w:val="Akapitzlist"/>
        <w:numPr>
          <w:ilvl w:val="0"/>
          <w:numId w:val="221"/>
        </w:numPr>
        <w:spacing w:after="0" w:line="312" w:lineRule="auto"/>
        <w:rPr>
          <w:szCs w:val="20"/>
        </w:rPr>
      </w:pPr>
      <w:r w:rsidRPr="00E00B35">
        <w:rPr>
          <w:szCs w:val="20"/>
        </w:rPr>
        <w:t xml:space="preserve">Dzienny Dom Pomocy przy ul. Władysława Skoczylasa 8. </w:t>
      </w:r>
    </w:p>
    <w:p w:rsidR="00CA14AB" w:rsidRPr="00E00B35" w:rsidRDefault="00CA14AB" w:rsidP="00E00B35">
      <w:pPr>
        <w:spacing w:after="0" w:line="312" w:lineRule="auto"/>
        <w:rPr>
          <w:szCs w:val="20"/>
        </w:rPr>
      </w:pPr>
      <w:r w:rsidRPr="00E00B35">
        <w:rPr>
          <w:szCs w:val="20"/>
        </w:rPr>
        <w:t>Łącznie w ww. DDP jest 266 miejsc. Cztery z powyższych DDP, tj. przy ul. Karmelkowej 25, przy ul. Semaforowej 5, oraz przy ul. Skoczylasa powstały dzięki uzyskaniu dofinansowania ze środków zewnętrznych (UE).</w:t>
      </w:r>
    </w:p>
    <w:p w:rsidR="00CA14AB" w:rsidRPr="00E00B35" w:rsidRDefault="00CA14AB" w:rsidP="00E00B35">
      <w:pPr>
        <w:spacing w:after="0" w:line="312" w:lineRule="auto"/>
        <w:rPr>
          <w:szCs w:val="20"/>
        </w:rPr>
      </w:pPr>
      <w:r w:rsidRPr="00E00B35">
        <w:rPr>
          <w:szCs w:val="20"/>
        </w:rPr>
        <w:t xml:space="preserve">Dzienny dom pomocy (dalej DDP) to ośrodek wsparcia dla osób, które z powodu wieku, stanu zdrowia lub innych przyczyn potrzebują wsparcia innych osób, a rodzina lub inne osoby bliskie nie są w stanie tej opieki zapewnić. W DDP zapewniono klientom usługi opiekuńcze w ustalonych godzinach w ramach dziennego pobytu, w tym, co najmniej jeden gorący posiłek uwzględniający obowiązujące normy żywienia. Podejmowano także działania podnoszące sprawność intelektualną i fizyczną, aktywizację klientów i integrację ze środowiskiem lokalnym. Z uwagi na pogarszające się stany klientów oraz wzrastającą </w:t>
      </w:r>
      <w:r w:rsidRPr="00E00B35">
        <w:rPr>
          <w:szCs w:val="20"/>
        </w:rPr>
        <w:lastRenderedPageBreak/>
        <w:t>liczbę osób z orzeczonym stopniem niepełnosprawności, w tym poruszających się na wózkach niezbędne staje się rozszerzenie oferty zapewniającej mobilność osobom potencjalnie zagrożonym wykluczeniem społecznym. Ze względu na swoje dysfunkcje i ograniczenia w uzasadnionych sytuacjach, w DDP przy ul. Żeromskiego, DDP przy ul. Karmelkowej oraz DDP nr 2 przy ul. Semaforowej, zapewniano przewóz klientów do ośrodka i z powrotem do miejsca zamieszkania.</w:t>
      </w:r>
    </w:p>
    <w:p w:rsidR="00CA14AB" w:rsidRPr="00E00B35" w:rsidRDefault="00CA14AB" w:rsidP="00E00B35">
      <w:pPr>
        <w:spacing w:after="0" w:line="312" w:lineRule="auto"/>
        <w:rPr>
          <w:szCs w:val="20"/>
        </w:rPr>
      </w:pPr>
      <w:r w:rsidRPr="00E00B35">
        <w:rPr>
          <w:szCs w:val="20"/>
        </w:rPr>
        <w:t>Średnia wieku klientów DDP wynosiła 79 lat. Wśród klientów DDP: ok. 55,50 % to kobiety- średnia wieku to 80 lat, a ok. 44,50% to mężczyźni- średnia wieku to 78 lat.</w:t>
      </w:r>
    </w:p>
    <w:tbl>
      <w:tblPr>
        <w:tblpPr w:leftFromText="141" w:rightFromText="141" w:vertAnchor="text" w:horzAnchor="margin" w:tblpX="69" w:tblpY="316"/>
        <w:tblW w:w="49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4"/>
        <w:gridCol w:w="1501"/>
        <w:gridCol w:w="1500"/>
        <w:gridCol w:w="1500"/>
        <w:gridCol w:w="1506"/>
      </w:tblGrid>
      <w:tr w:rsidR="00CA14AB" w:rsidRPr="00E00B35" w:rsidTr="00CA14AB">
        <w:trPr>
          <w:trHeight w:val="340"/>
        </w:trPr>
        <w:tc>
          <w:tcPr>
            <w:tcW w:w="1760" w:type="pct"/>
            <w:tcBorders>
              <w:top w:val="single" w:sz="4" w:space="0" w:color="000000"/>
              <w:left w:val="single" w:sz="4" w:space="0" w:color="000000"/>
              <w:bottom w:val="single" w:sz="4" w:space="0" w:color="000000"/>
              <w:right w:val="single" w:sz="4" w:space="0" w:color="000000"/>
            </w:tcBorders>
            <w:shd w:val="clear" w:color="auto" w:fill="BFBFBF"/>
          </w:tcPr>
          <w:p w:rsidR="00CA14AB" w:rsidRPr="00E00B35" w:rsidRDefault="00CA14AB" w:rsidP="00E00B35">
            <w:pPr>
              <w:spacing w:after="0" w:line="312" w:lineRule="auto"/>
              <w:rPr>
                <w:szCs w:val="20"/>
              </w:rPr>
            </w:pPr>
            <w:r w:rsidRPr="00E00B35">
              <w:rPr>
                <w:szCs w:val="20"/>
              </w:rPr>
              <w:t>DZIENNY DOM POMOCY (DDP)</w:t>
            </w:r>
          </w:p>
        </w:tc>
        <w:tc>
          <w:tcPr>
            <w:tcW w:w="809" w:type="pct"/>
            <w:tcBorders>
              <w:top w:val="single" w:sz="4" w:space="0" w:color="000000"/>
              <w:left w:val="single" w:sz="4" w:space="0" w:color="000000"/>
              <w:bottom w:val="single" w:sz="4" w:space="0" w:color="000000"/>
              <w:right w:val="single" w:sz="4" w:space="0" w:color="000000"/>
            </w:tcBorders>
            <w:shd w:val="clear" w:color="auto" w:fill="BFBFBF"/>
          </w:tcPr>
          <w:p w:rsidR="00CA14AB" w:rsidRPr="00E00B35" w:rsidRDefault="00CA14AB" w:rsidP="00E00B35">
            <w:pPr>
              <w:spacing w:after="0" w:line="312" w:lineRule="auto"/>
              <w:rPr>
                <w:szCs w:val="20"/>
              </w:rPr>
            </w:pPr>
            <w:r w:rsidRPr="00E00B35">
              <w:rPr>
                <w:szCs w:val="20"/>
              </w:rPr>
              <w:t>Liczba miejsc</w:t>
            </w:r>
          </w:p>
        </w:tc>
        <w:tc>
          <w:tcPr>
            <w:tcW w:w="809" w:type="pct"/>
            <w:tcBorders>
              <w:top w:val="single" w:sz="4" w:space="0" w:color="000000"/>
              <w:left w:val="single" w:sz="4" w:space="0" w:color="000000"/>
              <w:bottom w:val="single" w:sz="4" w:space="0" w:color="000000"/>
              <w:right w:val="single" w:sz="4" w:space="0" w:color="000000"/>
            </w:tcBorders>
            <w:shd w:val="clear" w:color="auto" w:fill="BFBFBF"/>
          </w:tcPr>
          <w:p w:rsidR="00CA14AB" w:rsidRPr="00E00B35" w:rsidRDefault="00CA14AB" w:rsidP="00E00B35">
            <w:pPr>
              <w:spacing w:after="0" w:line="312" w:lineRule="auto"/>
              <w:rPr>
                <w:szCs w:val="20"/>
              </w:rPr>
            </w:pPr>
            <w:r w:rsidRPr="00E00B35">
              <w:rPr>
                <w:szCs w:val="20"/>
              </w:rPr>
              <w:t>Liczba wydanych decyzji</w:t>
            </w:r>
          </w:p>
        </w:tc>
        <w:tc>
          <w:tcPr>
            <w:tcW w:w="809" w:type="pct"/>
            <w:tcBorders>
              <w:top w:val="single" w:sz="4" w:space="0" w:color="000000"/>
              <w:left w:val="single" w:sz="4" w:space="0" w:color="000000"/>
              <w:bottom w:val="single" w:sz="4" w:space="0" w:color="000000"/>
              <w:right w:val="single" w:sz="4" w:space="0" w:color="000000"/>
            </w:tcBorders>
            <w:shd w:val="clear" w:color="auto" w:fill="BFBFBF"/>
          </w:tcPr>
          <w:p w:rsidR="00CA14AB" w:rsidRPr="00E00B35" w:rsidRDefault="00CA14AB" w:rsidP="00E00B35">
            <w:pPr>
              <w:spacing w:after="0" w:line="312" w:lineRule="auto"/>
              <w:rPr>
                <w:szCs w:val="20"/>
              </w:rPr>
            </w:pPr>
            <w:r w:rsidRPr="00E00B35">
              <w:rPr>
                <w:szCs w:val="20"/>
              </w:rPr>
              <w:t>Liczba klientów korzystających z bezpłatnego pobytu</w:t>
            </w:r>
          </w:p>
        </w:tc>
        <w:tc>
          <w:tcPr>
            <w:tcW w:w="812" w:type="pct"/>
            <w:tcBorders>
              <w:top w:val="single" w:sz="4" w:space="0" w:color="000000"/>
              <w:left w:val="single" w:sz="4" w:space="0" w:color="000000"/>
              <w:bottom w:val="single" w:sz="4" w:space="0" w:color="000000"/>
              <w:right w:val="single" w:sz="4" w:space="0" w:color="000000"/>
            </w:tcBorders>
            <w:shd w:val="clear" w:color="auto" w:fill="BFBFBF"/>
          </w:tcPr>
          <w:p w:rsidR="00CA14AB" w:rsidRPr="00E00B35" w:rsidRDefault="00CA14AB" w:rsidP="00E00B35">
            <w:pPr>
              <w:spacing w:after="0" w:line="312" w:lineRule="auto"/>
              <w:rPr>
                <w:szCs w:val="20"/>
              </w:rPr>
            </w:pPr>
            <w:r w:rsidRPr="00E00B35">
              <w:rPr>
                <w:szCs w:val="20"/>
              </w:rPr>
              <w:t>Liczba osób oczekujących na miejsce</w:t>
            </w:r>
          </w:p>
          <w:p w:rsidR="00CA14AB" w:rsidRPr="00E00B35" w:rsidRDefault="00CA14AB" w:rsidP="00E00B35">
            <w:pPr>
              <w:spacing w:after="0" w:line="312" w:lineRule="auto"/>
              <w:rPr>
                <w:szCs w:val="20"/>
              </w:rPr>
            </w:pPr>
            <w:r w:rsidRPr="00E00B35">
              <w:rPr>
                <w:szCs w:val="20"/>
              </w:rPr>
              <w:t>w DDP</w:t>
            </w:r>
          </w:p>
        </w:tc>
      </w:tr>
      <w:tr w:rsidR="00CA14AB" w:rsidRPr="00E00B35" w:rsidTr="00CA14AB">
        <w:trPr>
          <w:trHeight w:val="221"/>
        </w:trPr>
        <w:tc>
          <w:tcPr>
            <w:tcW w:w="17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DDP ul. T. Kościuszki 67</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45</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34</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5</w:t>
            </w:r>
          </w:p>
        </w:tc>
        <w:tc>
          <w:tcPr>
            <w:tcW w:w="8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228"/>
        </w:trPr>
        <w:tc>
          <w:tcPr>
            <w:tcW w:w="17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DDP ul. Komuny Paryskiej 11</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30</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28</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w:t>
            </w:r>
          </w:p>
        </w:tc>
        <w:tc>
          <w:tcPr>
            <w:tcW w:w="8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228"/>
        </w:trPr>
        <w:tc>
          <w:tcPr>
            <w:tcW w:w="17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DDP ul. Skwierzyńska 23/2</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45</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47</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w:t>
            </w:r>
          </w:p>
        </w:tc>
        <w:tc>
          <w:tcPr>
            <w:tcW w:w="8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228"/>
        </w:trPr>
        <w:tc>
          <w:tcPr>
            <w:tcW w:w="17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DDP ul. S. Żeromskiego 37/1</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26</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23</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0</w:t>
            </w:r>
          </w:p>
        </w:tc>
        <w:tc>
          <w:tcPr>
            <w:tcW w:w="8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w:t>
            </w:r>
          </w:p>
        </w:tc>
      </w:tr>
      <w:tr w:rsidR="00CA14AB" w:rsidRPr="00E00B35" w:rsidTr="00CA14AB">
        <w:trPr>
          <w:trHeight w:val="228"/>
        </w:trPr>
        <w:tc>
          <w:tcPr>
            <w:tcW w:w="1760"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DDP ul. Karmelkowa 25</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30</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34</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4</w:t>
            </w:r>
          </w:p>
        </w:tc>
        <w:tc>
          <w:tcPr>
            <w:tcW w:w="81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9</w:t>
            </w:r>
          </w:p>
        </w:tc>
      </w:tr>
      <w:tr w:rsidR="00CA14AB" w:rsidRPr="00E00B35" w:rsidTr="00CA14AB">
        <w:trPr>
          <w:trHeight w:val="228"/>
        </w:trPr>
        <w:tc>
          <w:tcPr>
            <w:tcW w:w="1760"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DDP nr 1 ul. Semaforowa 5</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30</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23</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2</w:t>
            </w:r>
          </w:p>
        </w:tc>
        <w:tc>
          <w:tcPr>
            <w:tcW w:w="81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3</w:t>
            </w:r>
          </w:p>
        </w:tc>
      </w:tr>
      <w:tr w:rsidR="00CA14AB" w:rsidRPr="00E00B35" w:rsidTr="00CA14AB">
        <w:trPr>
          <w:trHeight w:val="228"/>
        </w:trPr>
        <w:tc>
          <w:tcPr>
            <w:tcW w:w="1760"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DDP nr 2 ul. Semaforowa 5</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30</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20</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0</w:t>
            </w:r>
          </w:p>
        </w:tc>
        <w:tc>
          <w:tcPr>
            <w:tcW w:w="81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3</w:t>
            </w:r>
          </w:p>
        </w:tc>
      </w:tr>
      <w:tr w:rsidR="00CA14AB" w:rsidRPr="00E00B35" w:rsidTr="00CA14AB">
        <w:trPr>
          <w:trHeight w:val="228"/>
        </w:trPr>
        <w:tc>
          <w:tcPr>
            <w:tcW w:w="1760"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DDP ul. W. Skoczylasa 8</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30</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27</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0</w:t>
            </w:r>
          </w:p>
        </w:tc>
        <w:tc>
          <w:tcPr>
            <w:tcW w:w="81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228"/>
        </w:trPr>
        <w:tc>
          <w:tcPr>
            <w:tcW w:w="1760"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 xml:space="preserve">Razem </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266</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236</w:t>
            </w:r>
          </w:p>
        </w:tc>
        <w:tc>
          <w:tcPr>
            <w:tcW w:w="809"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16</w:t>
            </w:r>
          </w:p>
        </w:tc>
        <w:tc>
          <w:tcPr>
            <w:tcW w:w="81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17</w:t>
            </w:r>
          </w:p>
        </w:tc>
      </w:tr>
    </w:tbl>
    <w:p w:rsidR="00CA14AB" w:rsidRPr="00E00B35" w:rsidRDefault="00CA14AB" w:rsidP="00E00B35">
      <w:pPr>
        <w:spacing w:after="0" w:line="312" w:lineRule="auto"/>
        <w:rPr>
          <w:szCs w:val="20"/>
        </w:rPr>
      </w:pPr>
      <w:r w:rsidRPr="00E00B35">
        <w:rPr>
          <w:szCs w:val="20"/>
        </w:rPr>
        <w:t>Tabela 5. Dane liczbowe dotyczące klientów dziennych domach pomocy w roku 2020</w:t>
      </w:r>
    </w:p>
    <w:p w:rsidR="00CA14AB" w:rsidRPr="00E00B35" w:rsidRDefault="00CA14AB" w:rsidP="00E00B35">
      <w:pPr>
        <w:spacing w:after="0" w:line="312" w:lineRule="auto"/>
        <w:rPr>
          <w:szCs w:val="20"/>
        </w:rPr>
      </w:pPr>
      <w:r w:rsidRPr="00E00B35">
        <w:rPr>
          <w:szCs w:val="20"/>
        </w:rPr>
        <w:t>Klienci kierowani byli do DDP przez Miejski Ośrodek Pomocy Społecznej na podstawie decyzji administracyjnej z indywidualnym naliczeniem odpłatności za pobyt zależnym od wysokości dochodu klienta. Średnia wysokość ustalonej odpłatności w 2020 r. wyniosła 189,76 zł miesięcznie na klienta i jest wyższa o 20,40 zł w stosunku do 2019 roku. W roku 2020 Miejski Ośrodek Pomocy Społecznej wydał decyzje kierujące do DDP, przyznając bezpłatne świadczenie dla 16 osób.</w:t>
      </w:r>
    </w:p>
    <w:p w:rsidR="00CA14AB" w:rsidRPr="00E00B35" w:rsidRDefault="00CA14AB" w:rsidP="00E00B35">
      <w:pPr>
        <w:spacing w:after="0" w:line="312" w:lineRule="auto"/>
        <w:rPr>
          <w:szCs w:val="20"/>
          <w:highlight w:val="yellow"/>
        </w:rPr>
      </w:pPr>
      <w:r w:rsidRPr="00E00B35">
        <w:rPr>
          <w:szCs w:val="20"/>
        </w:rPr>
        <w:t xml:space="preserve">W roku 2020 posiłki do tzw. starych DDP były dostarczane z dwóch źródeł ze względu na remont i przebudowę kuchni centralnej MCUS. Od stycznia do 30 czerwca 2020 roku posiłki dostarczały firmy cateringowe wyłonione w postepowaniach przetargowych. Od lipca posiłki ponownie są przygotowywane w kuchni centralnej w Domu Pomocy Społecznej przy ul. Karmelkowej 25 i były dowożone samochodem przystosowanym do przewozu posiłków przez pracownika na stanowisku kierowcy. W 2020 nie zarejestrowano skarg na jakość i gramaturę posiłków. Dzienne domy pomocy posiadają wprowadzony system HACCP, gwarantujący Dobre Praktyki Higieniczne oraz bezpieczeństwo żywności i żywienia. </w:t>
      </w:r>
    </w:p>
    <w:p w:rsidR="00CA14AB" w:rsidRPr="00E00B35" w:rsidRDefault="00CA14AB" w:rsidP="00E00B35">
      <w:pPr>
        <w:spacing w:after="0" w:line="312" w:lineRule="auto"/>
        <w:rPr>
          <w:szCs w:val="20"/>
        </w:rPr>
      </w:pPr>
      <w:r w:rsidRPr="00E00B35">
        <w:rPr>
          <w:szCs w:val="20"/>
        </w:rPr>
        <w:t>Tabela 6. Średnie miesięczne koszty i odpłatność w dziennych domów pomocy w MCUS</w:t>
      </w:r>
    </w:p>
    <w:tbl>
      <w:tblPr>
        <w:tblW w:w="9087" w:type="dxa"/>
        <w:tblInd w:w="55" w:type="dxa"/>
        <w:tblLayout w:type="fixed"/>
        <w:tblCellMar>
          <w:left w:w="70" w:type="dxa"/>
          <w:right w:w="70" w:type="dxa"/>
        </w:tblCellMar>
        <w:tblLook w:val="04A0"/>
      </w:tblPr>
      <w:tblGrid>
        <w:gridCol w:w="2709"/>
        <w:gridCol w:w="2079"/>
        <w:gridCol w:w="2079"/>
        <w:gridCol w:w="2220"/>
      </w:tblGrid>
      <w:tr w:rsidR="00CA14AB" w:rsidRPr="00E00B35" w:rsidTr="00CA14AB">
        <w:trPr>
          <w:trHeight w:val="864"/>
        </w:trPr>
        <w:tc>
          <w:tcPr>
            <w:tcW w:w="2709" w:type="dxa"/>
            <w:tcBorders>
              <w:top w:val="single" w:sz="4" w:space="0" w:color="auto"/>
              <w:left w:val="single" w:sz="4" w:space="0" w:color="auto"/>
              <w:bottom w:val="single" w:sz="4" w:space="0" w:color="auto"/>
              <w:right w:val="single" w:sz="4" w:space="0" w:color="auto"/>
            </w:tcBorders>
            <w:shd w:val="clear" w:color="000000" w:fill="D9D9D9"/>
            <w:noWrap/>
            <w:hideMark/>
          </w:tcPr>
          <w:p w:rsidR="00CA14AB" w:rsidRPr="00E00B35" w:rsidRDefault="00CA14AB" w:rsidP="00E00B35">
            <w:pPr>
              <w:spacing w:after="0" w:line="312" w:lineRule="auto"/>
              <w:rPr>
                <w:szCs w:val="20"/>
              </w:rPr>
            </w:pPr>
            <w:r w:rsidRPr="00E00B35">
              <w:rPr>
                <w:szCs w:val="20"/>
              </w:rPr>
              <w:t>Dzienny Dom Pomocy (DDP)</w:t>
            </w:r>
          </w:p>
        </w:tc>
        <w:tc>
          <w:tcPr>
            <w:tcW w:w="2079" w:type="dxa"/>
            <w:tcBorders>
              <w:top w:val="single" w:sz="4" w:space="0" w:color="auto"/>
              <w:left w:val="nil"/>
              <w:bottom w:val="single" w:sz="4" w:space="0" w:color="auto"/>
              <w:right w:val="single" w:sz="4" w:space="0" w:color="auto"/>
            </w:tcBorders>
            <w:shd w:val="clear" w:color="000000" w:fill="D9D9D9"/>
            <w:hideMark/>
          </w:tcPr>
          <w:p w:rsidR="00CA14AB" w:rsidRPr="00E00B35" w:rsidRDefault="00CA14AB" w:rsidP="00E00B35">
            <w:pPr>
              <w:spacing w:after="0" w:line="312" w:lineRule="auto"/>
              <w:rPr>
                <w:szCs w:val="20"/>
              </w:rPr>
            </w:pPr>
            <w:r w:rsidRPr="00E00B35">
              <w:rPr>
                <w:szCs w:val="20"/>
              </w:rPr>
              <w:t xml:space="preserve">Średnia miesięczna odpłatność Klienta </w:t>
            </w:r>
            <w:r w:rsidRPr="00E00B35">
              <w:rPr>
                <w:szCs w:val="20"/>
              </w:rPr>
              <w:lastRenderedPageBreak/>
              <w:t>za pobyt w DDP (zł)</w:t>
            </w:r>
          </w:p>
        </w:tc>
        <w:tc>
          <w:tcPr>
            <w:tcW w:w="2079" w:type="dxa"/>
            <w:tcBorders>
              <w:top w:val="single" w:sz="4" w:space="0" w:color="auto"/>
              <w:left w:val="nil"/>
              <w:bottom w:val="single" w:sz="4" w:space="0" w:color="auto"/>
              <w:right w:val="single" w:sz="4" w:space="0" w:color="auto"/>
            </w:tcBorders>
            <w:shd w:val="clear" w:color="000000" w:fill="D9D9D9"/>
            <w:hideMark/>
          </w:tcPr>
          <w:p w:rsidR="00CA14AB" w:rsidRPr="00E00B35" w:rsidRDefault="00CA14AB" w:rsidP="00E00B35">
            <w:pPr>
              <w:spacing w:after="0" w:line="312" w:lineRule="auto"/>
              <w:rPr>
                <w:szCs w:val="20"/>
              </w:rPr>
            </w:pPr>
            <w:r w:rsidRPr="00E00B35">
              <w:rPr>
                <w:szCs w:val="20"/>
              </w:rPr>
              <w:lastRenderedPageBreak/>
              <w:t xml:space="preserve">Średni miesięczny koszt utrzymania 1 miejsca w DDP bez </w:t>
            </w:r>
            <w:r w:rsidRPr="00E00B35">
              <w:rPr>
                <w:szCs w:val="20"/>
              </w:rPr>
              <w:lastRenderedPageBreak/>
              <w:t>dopłaty Klienta (zł)</w:t>
            </w:r>
          </w:p>
        </w:tc>
        <w:tc>
          <w:tcPr>
            <w:tcW w:w="2220" w:type="dxa"/>
            <w:tcBorders>
              <w:top w:val="single" w:sz="4" w:space="0" w:color="auto"/>
              <w:left w:val="nil"/>
              <w:bottom w:val="single" w:sz="4" w:space="0" w:color="auto"/>
              <w:right w:val="single" w:sz="4" w:space="0" w:color="auto"/>
            </w:tcBorders>
            <w:shd w:val="clear" w:color="000000" w:fill="D9D9D9"/>
            <w:hideMark/>
          </w:tcPr>
          <w:p w:rsidR="00CA14AB" w:rsidRPr="00E00B35" w:rsidRDefault="00CA14AB" w:rsidP="00E00B35">
            <w:pPr>
              <w:spacing w:after="0" w:line="312" w:lineRule="auto"/>
              <w:rPr>
                <w:szCs w:val="20"/>
              </w:rPr>
            </w:pPr>
            <w:r w:rsidRPr="00E00B35">
              <w:rPr>
                <w:szCs w:val="20"/>
              </w:rPr>
              <w:lastRenderedPageBreak/>
              <w:t xml:space="preserve">Średni miesięczny koszt utrzymania 1 miejsca w DDP z </w:t>
            </w:r>
            <w:r w:rsidRPr="00E00B35">
              <w:rPr>
                <w:szCs w:val="20"/>
              </w:rPr>
              <w:lastRenderedPageBreak/>
              <w:t>uwzględnieniem odpłatności klienta (zł)</w:t>
            </w:r>
          </w:p>
        </w:tc>
      </w:tr>
      <w:tr w:rsidR="00CA14AB" w:rsidRPr="00E00B35" w:rsidTr="00CA14AB">
        <w:trPr>
          <w:trHeight w:val="20"/>
        </w:trPr>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lastRenderedPageBreak/>
              <w:t>DDP ul. Komuny Paryskiej 11</w:t>
            </w:r>
          </w:p>
        </w:tc>
        <w:tc>
          <w:tcPr>
            <w:tcW w:w="2079" w:type="dxa"/>
            <w:tcBorders>
              <w:top w:val="nil"/>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116,24</w:t>
            </w:r>
          </w:p>
        </w:tc>
        <w:tc>
          <w:tcPr>
            <w:tcW w:w="2079" w:type="dxa"/>
            <w:tcBorders>
              <w:top w:val="nil"/>
              <w:left w:val="nil"/>
              <w:bottom w:val="single" w:sz="4" w:space="0" w:color="auto"/>
              <w:right w:val="single" w:sz="4" w:space="0" w:color="auto"/>
            </w:tcBorders>
            <w:shd w:val="clear" w:color="auto" w:fill="FFFFFF"/>
            <w:noWrap/>
            <w:vAlign w:val="center"/>
          </w:tcPr>
          <w:p w:rsidR="00CA14AB" w:rsidRPr="00E00B35" w:rsidRDefault="00CA14AB" w:rsidP="00E00B35">
            <w:pPr>
              <w:spacing w:after="0" w:line="312" w:lineRule="auto"/>
              <w:rPr>
                <w:szCs w:val="20"/>
              </w:rPr>
            </w:pPr>
            <w:r w:rsidRPr="00E00B35">
              <w:rPr>
                <w:szCs w:val="20"/>
              </w:rPr>
              <w:t>386,53</w:t>
            </w:r>
          </w:p>
        </w:tc>
        <w:tc>
          <w:tcPr>
            <w:tcW w:w="2220" w:type="dxa"/>
            <w:tcBorders>
              <w:top w:val="nil"/>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270,29</w:t>
            </w:r>
          </w:p>
        </w:tc>
      </w:tr>
      <w:tr w:rsidR="00CA14AB" w:rsidRPr="00E00B35" w:rsidTr="00CA14AB">
        <w:trPr>
          <w:trHeight w:val="20"/>
        </w:trPr>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DDP ul. T. Kościuszki 67</w:t>
            </w:r>
          </w:p>
        </w:tc>
        <w:tc>
          <w:tcPr>
            <w:tcW w:w="2079" w:type="dxa"/>
            <w:tcBorders>
              <w:top w:val="nil"/>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157,18</w:t>
            </w:r>
          </w:p>
        </w:tc>
        <w:tc>
          <w:tcPr>
            <w:tcW w:w="2079" w:type="dxa"/>
            <w:tcBorders>
              <w:top w:val="nil"/>
              <w:left w:val="nil"/>
              <w:bottom w:val="single" w:sz="4" w:space="0" w:color="auto"/>
              <w:right w:val="single" w:sz="4" w:space="0" w:color="auto"/>
            </w:tcBorders>
            <w:shd w:val="clear" w:color="auto" w:fill="FFFFFF"/>
            <w:noWrap/>
            <w:vAlign w:val="center"/>
          </w:tcPr>
          <w:p w:rsidR="00CA14AB" w:rsidRPr="00E00B35" w:rsidRDefault="00CA14AB" w:rsidP="00E00B35">
            <w:pPr>
              <w:spacing w:after="0" w:line="312" w:lineRule="auto"/>
              <w:rPr>
                <w:szCs w:val="20"/>
              </w:rPr>
            </w:pPr>
            <w:r w:rsidRPr="00E00B35">
              <w:rPr>
                <w:szCs w:val="20"/>
              </w:rPr>
              <w:t>943,34</w:t>
            </w:r>
          </w:p>
        </w:tc>
        <w:tc>
          <w:tcPr>
            <w:tcW w:w="2220" w:type="dxa"/>
            <w:tcBorders>
              <w:top w:val="nil"/>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786,16</w:t>
            </w:r>
          </w:p>
        </w:tc>
      </w:tr>
      <w:tr w:rsidR="00CA14AB" w:rsidRPr="00E00B35" w:rsidTr="00CA14AB">
        <w:trPr>
          <w:trHeight w:val="20"/>
        </w:trPr>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DDP ul. Skwierzyńska 23/2</w:t>
            </w:r>
          </w:p>
        </w:tc>
        <w:tc>
          <w:tcPr>
            <w:tcW w:w="2079" w:type="dxa"/>
            <w:tcBorders>
              <w:top w:val="nil"/>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151,81</w:t>
            </w:r>
          </w:p>
        </w:tc>
        <w:tc>
          <w:tcPr>
            <w:tcW w:w="2079" w:type="dxa"/>
            <w:tcBorders>
              <w:top w:val="nil"/>
              <w:left w:val="nil"/>
              <w:bottom w:val="single" w:sz="4" w:space="0" w:color="auto"/>
              <w:right w:val="single" w:sz="4" w:space="0" w:color="auto"/>
            </w:tcBorders>
            <w:shd w:val="clear" w:color="auto" w:fill="FFFFFF"/>
            <w:noWrap/>
            <w:vAlign w:val="center"/>
          </w:tcPr>
          <w:p w:rsidR="00CA14AB" w:rsidRPr="00E00B35" w:rsidRDefault="00CA14AB" w:rsidP="00E00B35">
            <w:pPr>
              <w:spacing w:after="0" w:line="312" w:lineRule="auto"/>
              <w:rPr>
                <w:szCs w:val="20"/>
              </w:rPr>
            </w:pPr>
            <w:r w:rsidRPr="00E00B35">
              <w:rPr>
                <w:szCs w:val="20"/>
              </w:rPr>
              <w:t>1045,46</w:t>
            </w:r>
          </w:p>
        </w:tc>
        <w:tc>
          <w:tcPr>
            <w:tcW w:w="2220" w:type="dxa"/>
            <w:tcBorders>
              <w:top w:val="nil"/>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893,65</w:t>
            </w:r>
          </w:p>
        </w:tc>
      </w:tr>
      <w:tr w:rsidR="00CA14AB" w:rsidRPr="00E00B35" w:rsidTr="00CA14AB">
        <w:trPr>
          <w:trHeight w:val="20"/>
        </w:trPr>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DDP ul. S. Żeromskiego37/1</w:t>
            </w:r>
          </w:p>
        </w:tc>
        <w:tc>
          <w:tcPr>
            <w:tcW w:w="2079" w:type="dxa"/>
            <w:tcBorders>
              <w:top w:val="nil"/>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254,48</w:t>
            </w:r>
          </w:p>
        </w:tc>
        <w:tc>
          <w:tcPr>
            <w:tcW w:w="2079" w:type="dxa"/>
            <w:tcBorders>
              <w:top w:val="nil"/>
              <w:left w:val="nil"/>
              <w:bottom w:val="single" w:sz="4" w:space="0" w:color="auto"/>
              <w:right w:val="single" w:sz="4" w:space="0" w:color="auto"/>
            </w:tcBorders>
            <w:shd w:val="clear" w:color="auto" w:fill="FFFFFF"/>
            <w:noWrap/>
            <w:vAlign w:val="center"/>
          </w:tcPr>
          <w:p w:rsidR="00CA14AB" w:rsidRPr="00E00B35" w:rsidRDefault="00CA14AB" w:rsidP="00E00B35">
            <w:pPr>
              <w:spacing w:after="0" w:line="312" w:lineRule="auto"/>
              <w:rPr>
                <w:szCs w:val="20"/>
              </w:rPr>
            </w:pPr>
            <w:r w:rsidRPr="00E00B35">
              <w:rPr>
                <w:szCs w:val="20"/>
              </w:rPr>
              <w:t>1200,07</w:t>
            </w:r>
          </w:p>
        </w:tc>
        <w:tc>
          <w:tcPr>
            <w:tcW w:w="2220" w:type="dxa"/>
            <w:tcBorders>
              <w:top w:val="nil"/>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945,59</w:t>
            </w:r>
          </w:p>
        </w:tc>
      </w:tr>
      <w:tr w:rsidR="00CA14AB" w:rsidRPr="00E00B35" w:rsidTr="00CA14AB">
        <w:trPr>
          <w:trHeight w:val="2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DDP ul. Karmelkowa 25*</w:t>
            </w:r>
          </w:p>
        </w:tc>
        <w:tc>
          <w:tcPr>
            <w:tcW w:w="2079" w:type="dxa"/>
            <w:tcBorders>
              <w:top w:val="single" w:sz="4" w:space="0" w:color="auto"/>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191,55</w:t>
            </w:r>
          </w:p>
        </w:tc>
        <w:tc>
          <w:tcPr>
            <w:tcW w:w="2079" w:type="dxa"/>
            <w:tcBorders>
              <w:top w:val="single" w:sz="4" w:space="0" w:color="auto"/>
              <w:left w:val="nil"/>
              <w:bottom w:val="single" w:sz="4" w:space="0" w:color="auto"/>
              <w:right w:val="single" w:sz="4" w:space="0" w:color="auto"/>
            </w:tcBorders>
            <w:shd w:val="clear" w:color="auto" w:fill="FFFFFF"/>
            <w:noWrap/>
            <w:vAlign w:val="center"/>
          </w:tcPr>
          <w:p w:rsidR="00CA14AB" w:rsidRPr="00E00B35" w:rsidRDefault="00CA14AB" w:rsidP="00E00B35">
            <w:pPr>
              <w:spacing w:after="0" w:line="312" w:lineRule="auto"/>
              <w:rPr>
                <w:szCs w:val="20"/>
              </w:rPr>
            </w:pPr>
            <w:r w:rsidRPr="00E00B35">
              <w:rPr>
                <w:szCs w:val="20"/>
              </w:rPr>
              <w:t>1 724,53</w:t>
            </w:r>
          </w:p>
        </w:tc>
        <w:tc>
          <w:tcPr>
            <w:tcW w:w="2220" w:type="dxa"/>
            <w:tcBorders>
              <w:top w:val="single" w:sz="4" w:space="0" w:color="auto"/>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1 532,98</w:t>
            </w:r>
          </w:p>
        </w:tc>
      </w:tr>
      <w:tr w:rsidR="00CA14AB" w:rsidRPr="00E00B35" w:rsidTr="00CA14AB">
        <w:trPr>
          <w:trHeight w:val="2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DDP nr 1 ul. Semaforowa 5</w:t>
            </w:r>
          </w:p>
        </w:tc>
        <w:tc>
          <w:tcPr>
            <w:tcW w:w="2079" w:type="dxa"/>
            <w:tcBorders>
              <w:top w:val="single" w:sz="4" w:space="0" w:color="auto"/>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151,38</w:t>
            </w:r>
          </w:p>
        </w:tc>
        <w:tc>
          <w:tcPr>
            <w:tcW w:w="2079" w:type="dxa"/>
            <w:tcBorders>
              <w:top w:val="single" w:sz="4" w:space="0" w:color="auto"/>
              <w:left w:val="nil"/>
              <w:bottom w:val="single" w:sz="4" w:space="0" w:color="auto"/>
              <w:right w:val="single" w:sz="4" w:space="0" w:color="auto"/>
            </w:tcBorders>
            <w:shd w:val="clear" w:color="auto" w:fill="FFFFFF"/>
            <w:noWrap/>
            <w:vAlign w:val="center"/>
          </w:tcPr>
          <w:p w:rsidR="00CA14AB" w:rsidRPr="00E00B35" w:rsidRDefault="00CA14AB" w:rsidP="00E00B35">
            <w:pPr>
              <w:spacing w:after="0" w:line="312" w:lineRule="auto"/>
              <w:rPr>
                <w:szCs w:val="20"/>
              </w:rPr>
            </w:pPr>
            <w:r w:rsidRPr="00E00B35">
              <w:rPr>
                <w:szCs w:val="20"/>
              </w:rPr>
              <w:t>1 224,94</w:t>
            </w:r>
          </w:p>
        </w:tc>
        <w:tc>
          <w:tcPr>
            <w:tcW w:w="2220" w:type="dxa"/>
            <w:tcBorders>
              <w:top w:val="single" w:sz="4" w:space="0" w:color="auto"/>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1 073,56</w:t>
            </w:r>
          </w:p>
        </w:tc>
      </w:tr>
      <w:tr w:rsidR="00CA14AB" w:rsidRPr="00E00B35" w:rsidTr="00CA14AB">
        <w:trPr>
          <w:trHeight w:val="2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DDP nr 2 ul. Semaforowa 5</w:t>
            </w:r>
          </w:p>
        </w:tc>
        <w:tc>
          <w:tcPr>
            <w:tcW w:w="2079" w:type="dxa"/>
            <w:tcBorders>
              <w:top w:val="single" w:sz="4" w:space="0" w:color="auto"/>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206,28</w:t>
            </w:r>
          </w:p>
        </w:tc>
        <w:tc>
          <w:tcPr>
            <w:tcW w:w="2079" w:type="dxa"/>
            <w:tcBorders>
              <w:top w:val="single" w:sz="4" w:space="0" w:color="auto"/>
              <w:left w:val="nil"/>
              <w:bottom w:val="single" w:sz="4" w:space="0" w:color="auto"/>
              <w:right w:val="single" w:sz="4" w:space="0" w:color="auto"/>
            </w:tcBorders>
            <w:shd w:val="clear" w:color="auto" w:fill="FFFFFF"/>
            <w:noWrap/>
            <w:vAlign w:val="center"/>
          </w:tcPr>
          <w:p w:rsidR="00CA14AB" w:rsidRPr="00E00B35" w:rsidRDefault="00CA14AB" w:rsidP="00E00B35">
            <w:pPr>
              <w:spacing w:after="0" w:line="312" w:lineRule="auto"/>
              <w:rPr>
                <w:szCs w:val="20"/>
              </w:rPr>
            </w:pPr>
            <w:r w:rsidRPr="00E00B35">
              <w:rPr>
                <w:szCs w:val="20"/>
              </w:rPr>
              <w:t>1 176,38</w:t>
            </w:r>
          </w:p>
        </w:tc>
        <w:tc>
          <w:tcPr>
            <w:tcW w:w="2220" w:type="dxa"/>
            <w:tcBorders>
              <w:top w:val="single" w:sz="4" w:space="0" w:color="auto"/>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 xml:space="preserve">970,10 </w:t>
            </w:r>
          </w:p>
        </w:tc>
      </w:tr>
      <w:tr w:rsidR="00CA14AB" w:rsidRPr="00E00B35" w:rsidTr="00CA14AB">
        <w:trPr>
          <w:trHeight w:val="2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DDP ul. W. Skoczylasa 8</w:t>
            </w:r>
          </w:p>
        </w:tc>
        <w:tc>
          <w:tcPr>
            <w:tcW w:w="2079" w:type="dxa"/>
            <w:tcBorders>
              <w:top w:val="single" w:sz="4" w:space="0" w:color="auto"/>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229,66</w:t>
            </w:r>
          </w:p>
        </w:tc>
        <w:tc>
          <w:tcPr>
            <w:tcW w:w="2079" w:type="dxa"/>
            <w:tcBorders>
              <w:top w:val="single" w:sz="4" w:space="0" w:color="auto"/>
              <w:left w:val="nil"/>
              <w:bottom w:val="single" w:sz="4" w:space="0" w:color="auto"/>
              <w:right w:val="single" w:sz="4" w:space="0" w:color="auto"/>
            </w:tcBorders>
            <w:shd w:val="clear" w:color="auto" w:fill="FFFFFF"/>
            <w:noWrap/>
            <w:vAlign w:val="center"/>
          </w:tcPr>
          <w:p w:rsidR="00CA14AB" w:rsidRPr="00E00B35" w:rsidRDefault="00CA14AB" w:rsidP="00E00B35">
            <w:pPr>
              <w:spacing w:after="0" w:line="312" w:lineRule="auto"/>
              <w:rPr>
                <w:szCs w:val="20"/>
              </w:rPr>
            </w:pPr>
            <w:r w:rsidRPr="00E00B35">
              <w:rPr>
                <w:szCs w:val="20"/>
              </w:rPr>
              <w:t>1 411,33</w:t>
            </w:r>
          </w:p>
        </w:tc>
        <w:tc>
          <w:tcPr>
            <w:tcW w:w="2220" w:type="dxa"/>
            <w:tcBorders>
              <w:top w:val="single" w:sz="4" w:space="0" w:color="auto"/>
              <w:left w:val="nil"/>
              <w:bottom w:val="single" w:sz="4" w:space="0" w:color="auto"/>
              <w:right w:val="single" w:sz="4" w:space="0" w:color="auto"/>
            </w:tcBorders>
            <w:shd w:val="clear" w:color="auto" w:fill="auto"/>
            <w:noWrap/>
            <w:vAlign w:val="center"/>
          </w:tcPr>
          <w:p w:rsidR="00CA14AB" w:rsidRPr="00E00B35" w:rsidRDefault="00CA14AB" w:rsidP="00E00B35">
            <w:pPr>
              <w:spacing w:after="0" w:line="312" w:lineRule="auto"/>
              <w:rPr>
                <w:szCs w:val="20"/>
              </w:rPr>
            </w:pPr>
            <w:r w:rsidRPr="00E00B35">
              <w:rPr>
                <w:szCs w:val="20"/>
              </w:rPr>
              <w:t>1 181,67</w:t>
            </w:r>
          </w:p>
        </w:tc>
      </w:tr>
      <w:tr w:rsidR="00CA14AB" w:rsidRPr="00E00B35" w:rsidTr="00CA14AB">
        <w:trPr>
          <w:trHeight w:val="213"/>
        </w:trPr>
        <w:tc>
          <w:tcPr>
            <w:tcW w:w="2709" w:type="dxa"/>
            <w:tcBorders>
              <w:top w:val="single" w:sz="4" w:space="0" w:color="auto"/>
              <w:left w:val="single" w:sz="8" w:space="0" w:color="auto"/>
              <w:bottom w:val="single" w:sz="8" w:space="0" w:color="auto"/>
              <w:right w:val="single" w:sz="4" w:space="0" w:color="auto"/>
            </w:tcBorders>
            <w:shd w:val="clear" w:color="000000" w:fill="D9D9D9"/>
            <w:vAlign w:val="center"/>
            <w:hideMark/>
          </w:tcPr>
          <w:p w:rsidR="00CA14AB" w:rsidRPr="00E00B35" w:rsidRDefault="00CA14AB" w:rsidP="00E00B35">
            <w:pPr>
              <w:spacing w:after="0" w:line="312" w:lineRule="auto"/>
              <w:rPr>
                <w:szCs w:val="20"/>
              </w:rPr>
            </w:pPr>
            <w:r w:rsidRPr="00E00B35">
              <w:rPr>
                <w:szCs w:val="20"/>
              </w:rPr>
              <w:t>Średnia dla DDP</w:t>
            </w:r>
          </w:p>
        </w:tc>
        <w:tc>
          <w:tcPr>
            <w:tcW w:w="2079" w:type="dxa"/>
            <w:tcBorders>
              <w:top w:val="single" w:sz="4" w:space="0" w:color="auto"/>
              <w:left w:val="nil"/>
              <w:bottom w:val="single" w:sz="8" w:space="0" w:color="auto"/>
              <w:right w:val="single" w:sz="4" w:space="0" w:color="auto"/>
            </w:tcBorders>
            <w:shd w:val="clear" w:color="000000" w:fill="D9D9D9"/>
            <w:noWrap/>
            <w:vAlign w:val="center"/>
          </w:tcPr>
          <w:p w:rsidR="00CA14AB" w:rsidRPr="00E00B35" w:rsidRDefault="00CA14AB" w:rsidP="00E00B35">
            <w:pPr>
              <w:spacing w:after="0" w:line="312" w:lineRule="auto"/>
              <w:rPr>
                <w:szCs w:val="20"/>
              </w:rPr>
            </w:pPr>
            <w:r w:rsidRPr="00E00B35">
              <w:rPr>
                <w:szCs w:val="20"/>
              </w:rPr>
              <w:t>182,32</w:t>
            </w:r>
          </w:p>
        </w:tc>
        <w:tc>
          <w:tcPr>
            <w:tcW w:w="2079" w:type="dxa"/>
            <w:tcBorders>
              <w:top w:val="single" w:sz="4" w:space="0" w:color="auto"/>
              <w:left w:val="nil"/>
              <w:bottom w:val="single" w:sz="8" w:space="0" w:color="auto"/>
              <w:right w:val="single" w:sz="4" w:space="0" w:color="auto"/>
            </w:tcBorders>
            <w:shd w:val="clear" w:color="000000" w:fill="D9D9D9"/>
            <w:noWrap/>
            <w:vAlign w:val="center"/>
          </w:tcPr>
          <w:p w:rsidR="00CA14AB" w:rsidRPr="00E00B35" w:rsidRDefault="00CA14AB" w:rsidP="00E00B35">
            <w:pPr>
              <w:spacing w:after="0" w:line="312" w:lineRule="auto"/>
              <w:rPr>
                <w:szCs w:val="20"/>
              </w:rPr>
            </w:pPr>
            <w:r w:rsidRPr="00E00B35">
              <w:rPr>
                <w:szCs w:val="20"/>
              </w:rPr>
              <w:t>1 139,07</w:t>
            </w:r>
          </w:p>
        </w:tc>
        <w:tc>
          <w:tcPr>
            <w:tcW w:w="2220" w:type="dxa"/>
            <w:tcBorders>
              <w:top w:val="single" w:sz="4" w:space="0" w:color="auto"/>
              <w:left w:val="nil"/>
              <w:bottom w:val="single" w:sz="8" w:space="0" w:color="auto"/>
              <w:right w:val="single" w:sz="8" w:space="0" w:color="auto"/>
            </w:tcBorders>
            <w:shd w:val="clear" w:color="000000" w:fill="D9D9D9"/>
            <w:noWrap/>
            <w:vAlign w:val="center"/>
          </w:tcPr>
          <w:p w:rsidR="00CA14AB" w:rsidRPr="00E00B35" w:rsidRDefault="00CA14AB" w:rsidP="00E00B35">
            <w:pPr>
              <w:spacing w:after="0" w:line="312" w:lineRule="auto"/>
              <w:rPr>
                <w:szCs w:val="20"/>
              </w:rPr>
            </w:pPr>
            <w:r w:rsidRPr="00E00B35">
              <w:rPr>
                <w:szCs w:val="20"/>
              </w:rPr>
              <w:t>956,75</w:t>
            </w:r>
          </w:p>
        </w:tc>
      </w:tr>
    </w:tbl>
    <w:p w:rsidR="00CA14AB" w:rsidRPr="00E00B35" w:rsidRDefault="00CA14AB" w:rsidP="00E00B35">
      <w:pPr>
        <w:spacing w:after="0" w:line="312" w:lineRule="auto"/>
        <w:rPr>
          <w:szCs w:val="20"/>
        </w:rPr>
      </w:pPr>
      <w:r w:rsidRPr="00E00B35">
        <w:rPr>
          <w:szCs w:val="20"/>
        </w:rPr>
        <w:t xml:space="preserve">Na rok 2020 zaplanowano dla naszych klientów wiele atrakcji w tym sporo wydarzeń kulturowo-oświatowych, jednak w marcu została ogłoszona epidemia i rozpoczął się trudny okres walki z koronawirusem.  Udało się zrealizować tylko kilka spotkań z dziećmi i młodzieżą, w tym z  okazji Dnia Babci i Dziadka, koncert Kolęd młodzieży ze Szkoły Muzycznej we Wrocławiu. Odbyły się również spotkania okolicznościowe z okazji Walentynek  oraz bale karnawałowe. Z zajęć stałych uwagę zwracają takie jak: </w:t>
      </w:r>
    </w:p>
    <w:p w:rsidR="00CA14AB" w:rsidRPr="00E00B35" w:rsidRDefault="00CA14AB" w:rsidP="00BC64AB">
      <w:pPr>
        <w:pStyle w:val="Akapitzlist"/>
        <w:numPr>
          <w:ilvl w:val="0"/>
          <w:numId w:val="221"/>
        </w:numPr>
        <w:spacing w:after="0" w:line="312" w:lineRule="auto"/>
        <w:rPr>
          <w:szCs w:val="20"/>
        </w:rPr>
      </w:pPr>
      <w:r w:rsidRPr="00E00B35">
        <w:rPr>
          <w:szCs w:val="20"/>
        </w:rPr>
        <w:t>gimnastyka poranna mająca na celu usprawnienie fizyczne oraz koordynację ruchowo-wzrokową; w trakcie zajęć wykorzystuje się taśmy  gimnastyczne, piłeczki oraz woreczki;</w:t>
      </w:r>
    </w:p>
    <w:p w:rsidR="00CA14AB" w:rsidRPr="00E00B35" w:rsidRDefault="00CA14AB" w:rsidP="00BC64AB">
      <w:pPr>
        <w:pStyle w:val="Akapitzlist"/>
        <w:numPr>
          <w:ilvl w:val="0"/>
          <w:numId w:val="221"/>
        </w:numPr>
        <w:spacing w:after="0" w:line="312" w:lineRule="auto"/>
        <w:rPr>
          <w:szCs w:val="20"/>
        </w:rPr>
      </w:pPr>
      <w:r w:rsidRPr="00E00B35">
        <w:rPr>
          <w:szCs w:val="20"/>
        </w:rPr>
        <w:t>biblioterapia podczas, której czytane są wspólnie poranne gazety, książki,  następnie prowadzone są dyskusje;</w:t>
      </w:r>
    </w:p>
    <w:p w:rsidR="00CA14AB" w:rsidRPr="00E00B35" w:rsidRDefault="00CA14AB" w:rsidP="00BC64AB">
      <w:pPr>
        <w:pStyle w:val="Akapitzlist"/>
        <w:numPr>
          <w:ilvl w:val="0"/>
          <w:numId w:val="221"/>
        </w:numPr>
        <w:spacing w:after="0" w:line="312" w:lineRule="auto"/>
        <w:rPr>
          <w:szCs w:val="20"/>
        </w:rPr>
      </w:pPr>
      <w:r w:rsidRPr="00E00B35">
        <w:rPr>
          <w:szCs w:val="20"/>
        </w:rPr>
        <w:t>muzykoterapia bierna - chwile relaksu, odprężenia  i naładowania „akumulatorów” na dalszą cześć dnia;</w:t>
      </w:r>
    </w:p>
    <w:p w:rsidR="00CA14AB" w:rsidRPr="00E00B35" w:rsidRDefault="00CA14AB" w:rsidP="00BC64AB">
      <w:pPr>
        <w:pStyle w:val="Akapitzlist"/>
        <w:numPr>
          <w:ilvl w:val="0"/>
          <w:numId w:val="221"/>
        </w:numPr>
        <w:spacing w:after="0" w:line="312" w:lineRule="auto"/>
        <w:rPr>
          <w:szCs w:val="20"/>
        </w:rPr>
      </w:pPr>
      <w:r w:rsidRPr="00E00B35">
        <w:rPr>
          <w:szCs w:val="20"/>
        </w:rPr>
        <w:t>muzykoterapia czynna -wspólne śpiewanie znanych oraz lubianych utworów,</w:t>
      </w:r>
    </w:p>
    <w:p w:rsidR="00CA14AB" w:rsidRPr="00E00B35" w:rsidRDefault="00CA14AB" w:rsidP="00BC64AB">
      <w:pPr>
        <w:pStyle w:val="Akapitzlist"/>
        <w:numPr>
          <w:ilvl w:val="0"/>
          <w:numId w:val="221"/>
        </w:numPr>
        <w:spacing w:after="0" w:line="312" w:lineRule="auto"/>
        <w:rPr>
          <w:szCs w:val="20"/>
        </w:rPr>
      </w:pPr>
      <w:r w:rsidRPr="00E00B35">
        <w:rPr>
          <w:szCs w:val="20"/>
        </w:rPr>
        <w:t>arteterapia -w ramach arteterapii malowania, wyklejano, wycinano pod czujnym okiem terapeuty dekoracje okolicznościowe;</w:t>
      </w:r>
    </w:p>
    <w:p w:rsidR="00CA14AB" w:rsidRPr="00E00B35" w:rsidRDefault="00CA14AB" w:rsidP="00BC64AB">
      <w:pPr>
        <w:pStyle w:val="Akapitzlist"/>
        <w:numPr>
          <w:ilvl w:val="0"/>
          <w:numId w:val="221"/>
        </w:numPr>
        <w:spacing w:after="0" w:line="312" w:lineRule="auto"/>
        <w:rPr>
          <w:szCs w:val="20"/>
        </w:rPr>
      </w:pPr>
      <w:r w:rsidRPr="00E00B35">
        <w:rPr>
          <w:szCs w:val="20"/>
        </w:rPr>
        <w:t>ludoterapia – to udział seniorów w grach i zabawach;</w:t>
      </w:r>
    </w:p>
    <w:p w:rsidR="00CA14AB" w:rsidRPr="00E00B35" w:rsidRDefault="00CA14AB" w:rsidP="00BC64AB">
      <w:pPr>
        <w:pStyle w:val="Akapitzlist"/>
        <w:numPr>
          <w:ilvl w:val="0"/>
          <w:numId w:val="221"/>
        </w:numPr>
        <w:spacing w:after="0" w:line="312" w:lineRule="auto"/>
        <w:rPr>
          <w:szCs w:val="20"/>
        </w:rPr>
      </w:pPr>
      <w:r w:rsidRPr="00E00B35">
        <w:rPr>
          <w:szCs w:val="20"/>
        </w:rPr>
        <w:t>trening pamięci w celu wsparcia sprawności funkcji poznawczych.</w:t>
      </w:r>
    </w:p>
    <w:p w:rsidR="00CA14AB" w:rsidRPr="00E00B35" w:rsidRDefault="00CA14AB" w:rsidP="00E00B35">
      <w:pPr>
        <w:spacing w:after="0" w:line="312" w:lineRule="auto"/>
        <w:rPr>
          <w:szCs w:val="20"/>
        </w:rPr>
      </w:pPr>
      <w:r w:rsidRPr="00E00B35">
        <w:rPr>
          <w:szCs w:val="20"/>
        </w:rPr>
        <w:t>Tabela 7. Dane liczbowe dotyczące udziału klientów w dziennych domach pomocy organizowanych wydarzeniach i imprezach w 2020 r.</w:t>
      </w:r>
    </w:p>
    <w:tbl>
      <w:tblPr>
        <w:tblW w:w="510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25"/>
        <w:gridCol w:w="1189"/>
        <w:gridCol w:w="1189"/>
        <w:gridCol w:w="1189"/>
        <w:gridCol w:w="1976"/>
        <w:gridCol w:w="1013"/>
      </w:tblGrid>
      <w:tr w:rsidR="00CA14AB" w:rsidRPr="00E00B35" w:rsidTr="00CA14AB">
        <w:trPr>
          <w:trHeight w:val="1070"/>
          <w:jc w:val="center"/>
        </w:trPr>
        <w:tc>
          <w:tcPr>
            <w:tcW w:w="1543" w:type="pct"/>
            <w:tcBorders>
              <w:top w:val="single" w:sz="4" w:space="0" w:color="000000"/>
              <w:left w:val="single" w:sz="4" w:space="0" w:color="000000"/>
              <w:bottom w:val="single" w:sz="4" w:space="0" w:color="000000"/>
              <w:right w:val="single" w:sz="4" w:space="0" w:color="000000"/>
            </w:tcBorders>
            <w:shd w:val="clear" w:color="auto" w:fill="D9D9D9"/>
            <w:hideMark/>
          </w:tcPr>
          <w:p w:rsidR="00CA14AB" w:rsidRPr="00E00B35" w:rsidRDefault="00CA14AB" w:rsidP="00E00B35">
            <w:pPr>
              <w:spacing w:after="0" w:line="312" w:lineRule="auto"/>
              <w:rPr>
                <w:szCs w:val="20"/>
              </w:rPr>
            </w:pPr>
            <w:r w:rsidRPr="00E00B35">
              <w:rPr>
                <w:szCs w:val="20"/>
              </w:rPr>
              <w:t>Dzienny Dom Pomocy     (DDP)</w:t>
            </w:r>
          </w:p>
        </w:tc>
        <w:tc>
          <w:tcPr>
            <w:tcW w:w="627" w:type="pct"/>
            <w:tcBorders>
              <w:top w:val="single" w:sz="4" w:space="0" w:color="000000"/>
              <w:left w:val="single" w:sz="4" w:space="0" w:color="000000"/>
              <w:bottom w:val="single" w:sz="4" w:space="0" w:color="000000"/>
              <w:right w:val="single" w:sz="4" w:space="0" w:color="000000"/>
            </w:tcBorders>
            <w:shd w:val="clear" w:color="auto" w:fill="D9D9D9"/>
          </w:tcPr>
          <w:p w:rsidR="00CA14AB" w:rsidRPr="00E00B35" w:rsidRDefault="00CA14AB" w:rsidP="00E00B35">
            <w:pPr>
              <w:spacing w:after="0" w:line="312" w:lineRule="auto"/>
              <w:rPr>
                <w:szCs w:val="20"/>
              </w:rPr>
            </w:pPr>
            <w:r w:rsidRPr="00E00B35">
              <w:rPr>
                <w:szCs w:val="20"/>
              </w:rPr>
              <w:t>Liczba zorgani-zowanych poczęstu</w:t>
            </w:r>
            <w:r w:rsidRPr="00E00B35">
              <w:rPr>
                <w:szCs w:val="20"/>
              </w:rPr>
              <w:lastRenderedPageBreak/>
              <w:t>-nków</w:t>
            </w:r>
          </w:p>
        </w:tc>
        <w:tc>
          <w:tcPr>
            <w:tcW w:w="627" w:type="pct"/>
            <w:tcBorders>
              <w:top w:val="single" w:sz="4" w:space="0" w:color="000000"/>
              <w:left w:val="single" w:sz="4" w:space="0" w:color="000000"/>
              <w:bottom w:val="single" w:sz="4" w:space="0" w:color="000000"/>
              <w:right w:val="single" w:sz="4" w:space="0" w:color="000000"/>
            </w:tcBorders>
            <w:shd w:val="clear" w:color="auto" w:fill="D9D9D9"/>
            <w:hideMark/>
          </w:tcPr>
          <w:p w:rsidR="00CA14AB" w:rsidRPr="00E00B35" w:rsidRDefault="00CA14AB" w:rsidP="00E00B35">
            <w:pPr>
              <w:spacing w:after="0" w:line="312" w:lineRule="auto"/>
              <w:rPr>
                <w:szCs w:val="20"/>
              </w:rPr>
            </w:pPr>
            <w:r w:rsidRPr="00E00B35">
              <w:rPr>
                <w:szCs w:val="20"/>
              </w:rPr>
              <w:lastRenderedPageBreak/>
              <w:t>Liczba zorganizo-wanych imprez/ wydarzeń</w:t>
            </w:r>
          </w:p>
        </w:tc>
        <w:tc>
          <w:tcPr>
            <w:tcW w:w="627" w:type="pct"/>
            <w:tcBorders>
              <w:top w:val="single" w:sz="4" w:space="0" w:color="000000"/>
              <w:left w:val="single" w:sz="4" w:space="0" w:color="000000"/>
              <w:bottom w:val="single" w:sz="4" w:space="0" w:color="000000"/>
              <w:right w:val="single" w:sz="4" w:space="0" w:color="000000"/>
            </w:tcBorders>
            <w:shd w:val="clear" w:color="auto" w:fill="D9D9D9"/>
          </w:tcPr>
          <w:p w:rsidR="00CA14AB" w:rsidRPr="00E00B35" w:rsidRDefault="00CA14AB" w:rsidP="00E00B35">
            <w:pPr>
              <w:spacing w:after="0" w:line="312" w:lineRule="auto"/>
              <w:rPr>
                <w:szCs w:val="20"/>
              </w:rPr>
            </w:pPr>
            <w:r w:rsidRPr="00E00B35">
              <w:rPr>
                <w:szCs w:val="20"/>
              </w:rPr>
              <w:t>Liczba uczestników narasta-jąco</w:t>
            </w:r>
          </w:p>
          <w:p w:rsidR="00CA14AB" w:rsidRPr="00E00B35" w:rsidRDefault="00CA14AB" w:rsidP="00E00B35">
            <w:pPr>
              <w:spacing w:after="0" w:line="312" w:lineRule="auto"/>
              <w:rPr>
                <w:szCs w:val="20"/>
              </w:rPr>
            </w:pPr>
          </w:p>
        </w:tc>
        <w:tc>
          <w:tcPr>
            <w:tcW w:w="1042" w:type="pct"/>
            <w:tcBorders>
              <w:top w:val="single" w:sz="4" w:space="0" w:color="000000"/>
              <w:left w:val="single" w:sz="4" w:space="0" w:color="000000"/>
              <w:bottom w:val="single" w:sz="4" w:space="0" w:color="000000"/>
              <w:right w:val="single" w:sz="4" w:space="0" w:color="000000"/>
            </w:tcBorders>
            <w:shd w:val="clear" w:color="auto" w:fill="D9D9D9"/>
          </w:tcPr>
          <w:p w:rsidR="00CA14AB" w:rsidRPr="00E00B35" w:rsidRDefault="00CA14AB" w:rsidP="00E00B35">
            <w:pPr>
              <w:spacing w:after="0" w:line="312" w:lineRule="auto"/>
              <w:rPr>
                <w:szCs w:val="20"/>
              </w:rPr>
            </w:pPr>
            <w:r w:rsidRPr="00E00B35">
              <w:rPr>
                <w:szCs w:val="20"/>
              </w:rPr>
              <w:lastRenderedPageBreak/>
              <w:t>Wskaźnik</w:t>
            </w:r>
          </w:p>
          <w:p w:rsidR="00CA14AB" w:rsidRPr="00E00B35" w:rsidRDefault="00CA14AB" w:rsidP="00E00B35">
            <w:pPr>
              <w:spacing w:after="0" w:line="312" w:lineRule="auto"/>
              <w:rPr>
                <w:szCs w:val="20"/>
              </w:rPr>
            </w:pPr>
            <w:r w:rsidRPr="00E00B35">
              <w:rPr>
                <w:szCs w:val="20"/>
              </w:rPr>
              <w:t xml:space="preserve">do budżetu zadaniowego (średnia liczba uczestników </w:t>
            </w:r>
            <w:r w:rsidRPr="00E00B35">
              <w:rPr>
                <w:szCs w:val="20"/>
              </w:rPr>
              <w:br/>
            </w:r>
            <w:r w:rsidRPr="00E00B35">
              <w:rPr>
                <w:szCs w:val="20"/>
              </w:rPr>
              <w:lastRenderedPageBreak/>
              <w:t>w wydarzeniu)</w:t>
            </w:r>
          </w:p>
        </w:tc>
        <w:tc>
          <w:tcPr>
            <w:tcW w:w="535" w:type="pct"/>
            <w:tcBorders>
              <w:top w:val="single" w:sz="4" w:space="0" w:color="000000"/>
              <w:left w:val="single" w:sz="4" w:space="0" w:color="000000"/>
              <w:bottom w:val="single" w:sz="4" w:space="0" w:color="000000"/>
              <w:right w:val="single" w:sz="4" w:space="0" w:color="000000"/>
            </w:tcBorders>
            <w:shd w:val="clear" w:color="auto" w:fill="D9D9D9"/>
          </w:tcPr>
          <w:p w:rsidR="00CA14AB" w:rsidRPr="00E00B35" w:rsidRDefault="00CA14AB" w:rsidP="00E00B35">
            <w:pPr>
              <w:spacing w:after="0" w:line="312" w:lineRule="auto"/>
              <w:rPr>
                <w:szCs w:val="20"/>
              </w:rPr>
            </w:pPr>
            <w:r w:rsidRPr="00E00B35">
              <w:rPr>
                <w:szCs w:val="20"/>
              </w:rPr>
              <w:lastRenderedPageBreak/>
              <w:t>Skargi</w:t>
            </w:r>
          </w:p>
        </w:tc>
      </w:tr>
      <w:tr w:rsidR="00CA14AB" w:rsidRPr="00E00B35" w:rsidTr="00CA14AB">
        <w:trPr>
          <w:trHeight w:val="20"/>
          <w:jc w:val="center"/>
        </w:trPr>
        <w:tc>
          <w:tcPr>
            <w:tcW w:w="1543"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lastRenderedPageBreak/>
              <w:t>DDP ul. T. Kościuszki 67</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5</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89</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1 270</w:t>
            </w:r>
          </w:p>
        </w:tc>
        <w:tc>
          <w:tcPr>
            <w:tcW w:w="104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14,26</w:t>
            </w:r>
          </w:p>
        </w:tc>
        <w:tc>
          <w:tcPr>
            <w:tcW w:w="535"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20"/>
          <w:jc w:val="center"/>
        </w:trPr>
        <w:tc>
          <w:tcPr>
            <w:tcW w:w="1543"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DDP ul. Komuny Paryskiej 11</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5</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84</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1 198</w:t>
            </w:r>
          </w:p>
        </w:tc>
        <w:tc>
          <w:tcPr>
            <w:tcW w:w="104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142,26</w:t>
            </w:r>
          </w:p>
        </w:tc>
        <w:tc>
          <w:tcPr>
            <w:tcW w:w="535"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20"/>
          <w:jc w:val="center"/>
        </w:trPr>
        <w:tc>
          <w:tcPr>
            <w:tcW w:w="1543"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DDP ul. Skwierzyńska23/2</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5</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90</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1 676</w:t>
            </w:r>
          </w:p>
        </w:tc>
        <w:tc>
          <w:tcPr>
            <w:tcW w:w="104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18,62</w:t>
            </w:r>
          </w:p>
        </w:tc>
        <w:tc>
          <w:tcPr>
            <w:tcW w:w="535"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20"/>
          <w:jc w:val="center"/>
        </w:trPr>
        <w:tc>
          <w:tcPr>
            <w:tcW w:w="1543"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DDP ul. S. Żeromskiego 37/1</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5</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84</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856</w:t>
            </w:r>
          </w:p>
        </w:tc>
        <w:tc>
          <w:tcPr>
            <w:tcW w:w="104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10,19</w:t>
            </w:r>
          </w:p>
        </w:tc>
        <w:tc>
          <w:tcPr>
            <w:tcW w:w="535"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20"/>
          <w:jc w:val="center"/>
        </w:trPr>
        <w:tc>
          <w:tcPr>
            <w:tcW w:w="1543"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DDP ul. Karmelkowa 25</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26</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130</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1848</w:t>
            </w:r>
          </w:p>
        </w:tc>
        <w:tc>
          <w:tcPr>
            <w:tcW w:w="104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14,22</w:t>
            </w:r>
          </w:p>
        </w:tc>
        <w:tc>
          <w:tcPr>
            <w:tcW w:w="535"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20"/>
          <w:jc w:val="center"/>
        </w:trPr>
        <w:tc>
          <w:tcPr>
            <w:tcW w:w="1543"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DDP nr 1 ul. Semaforowa 5</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11</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123</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1 413</w:t>
            </w:r>
          </w:p>
        </w:tc>
        <w:tc>
          <w:tcPr>
            <w:tcW w:w="104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11,49</w:t>
            </w:r>
          </w:p>
        </w:tc>
        <w:tc>
          <w:tcPr>
            <w:tcW w:w="535"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70"/>
          <w:jc w:val="center"/>
        </w:trPr>
        <w:tc>
          <w:tcPr>
            <w:tcW w:w="1543"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DDP nr 2 ul. Semaforowa 5</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11</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137</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1 154</w:t>
            </w:r>
          </w:p>
        </w:tc>
        <w:tc>
          <w:tcPr>
            <w:tcW w:w="1042"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8,42</w:t>
            </w:r>
          </w:p>
        </w:tc>
        <w:tc>
          <w:tcPr>
            <w:tcW w:w="535"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20"/>
          <w:jc w:val="center"/>
        </w:trPr>
        <w:tc>
          <w:tcPr>
            <w:tcW w:w="1543"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DDP ul. W. Skoczylasa 8</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Del="006E5E26" w:rsidRDefault="00CA14AB" w:rsidP="00E00B35">
            <w:pPr>
              <w:spacing w:after="0" w:line="312" w:lineRule="auto"/>
              <w:rPr>
                <w:szCs w:val="20"/>
              </w:rPr>
            </w:pPr>
            <w:r w:rsidRPr="00E00B35">
              <w:rPr>
                <w:szCs w:val="20"/>
              </w:rPr>
              <w:t>12</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Del="006E5E26" w:rsidRDefault="00CA14AB" w:rsidP="00E00B35">
            <w:pPr>
              <w:spacing w:after="0" w:line="312" w:lineRule="auto"/>
              <w:rPr>
                <w:szCs w:val="20"/>
              </w:rPr>
            </w:pPr>
            <w:r w:rsidRPr="00E00B35">
              <w:rPr>
                <w:szCs w:val="20"/>
              </w:rPr>
              <w:t>139</w:t>
            </w:r>
          </w:p>
        </w:tc>
        <w:tc>
          <w:tcPr>
            <w:tcW w:w="627" w:type="pct"/>
            <w:tcBorders>
              <w:top w:val="single" w:sz="4" w:space="0" w:color="000000"/>
              <w:left w:val="single" w:sz="4" w:space="0" w:color="000000"/>
              <w:bottom w:val="single" w:sz="4" w:space="0" w:color="000000"/>
              <w:right w:val="single" w:sz="4" w:space="0" w:color="000000"/>
            </w:tcBorders>
            <w:vAlign w:val="center"/>
          </w:tcPr>
          <w:p w:rsidR="00CA14AB" w:rsidRPr="00E00B35" w:rsidDel="006E5E26" w:rsidRDefault="00CA14AB" w:rsidP="00E00B35">
            <w:pPr>
              <w:spacing w:after="0" w:line="312" w:lineRule="auto"/>
              <w:rPr>
                <w:szCs w:val="20"/>
              </w:rPr>
            </w:pPr>
            <w:r w:rsidRPr="00E00B35">
              <w:rPr>
                <w:szCs w:val="20"/>
              </w:rPr>
              <w:t>1 830</w:t>
            </w:r>
          </w:p>
        </w:tc>
        <w:tc>
          <w:tcPr>
            <w:tcW w:w="1042" w:type="pct"/>
            <w:tcBorders>
              <w:top w:val="single" w:sz="4" w:space="0" w:color="000000"/>
              <w:left w:val="single" w:sz="4" w:space="0" w:color="000000"/>
              <w:bottom w:val="single" w:sz="4" w:space="0" w:color="000000"/>
              <w:right w:val="single" w:sz="4" w:space="0" w:color="000000"/>
            </w:tcBorders>
            <w:vAlign w:val="center"/>
          </w:tcPr>
          <w:p w:rsidR="00CA14AB" w:rsidRPr="00E00B35" w:rsidDel="006E5E26" w:rsidRDefault="00CA14AB" w:rsidP="00E00B35">
            <w:pPr>
              <w:spacing w:after="0" w:line="312" w:lineRule="auto"/>
              <w:rPr>
                <w:szCs w:val="20"/>
              </w:rPr>
            </w:pPr>
            <w:r w:rsidRPr="00E00B35">
              <w:rPr>
                <w:szCs w:val="20"/>
              </w:rPr>
              <w:t>13,17</w:t>
            </w:r>
          </w:p>
        </w:tc>
        <w:tc>
          <w:tcPr>
            <w:tcW w:w="535" w:type="pct"/>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0</w:t>
            </w:r>
          </w:p>
        </w:tc>
      </w:tr>
    </w:tbl>
    <w:p w:rsidR="0082271B" w:rsidRPr="00E00B35" w:rsidRDefault="0082271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Tabela 8. Dane liczbowe dotyczące liczby ważniejszych organizowanych wydarzeń i imprez kulturalno-oświatowych w latach 2017-2020</w:t>
      </w:r>
    </w:p>
    <w:tbl>
      <w:tblPr>
        <w:tblW w:w="94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363"/>
        <w:gridCol w:w="1539"/>
        <w:gridCol w:w="1540"/>
        <w:gridCol w:w="1753"/>
        <w:gridCol w:w="1279"/>
      </w:tblGrid>
      <w:tr w:rsidR="00CA14AB" w:rsidRPr="00E00B35" w:rsidTr="00CA14AB">
        <w:trPr>
          <w:trHeight w:val="120"/>
        </w:trPr>
        <w:tc>
          <w:tcPr>
            <w:tcW w:w="3363" w:type="dxa"/>
            <w:vMerge w:val="restart"/>
            <w:shd w:val="clear" w:color="000000" w:fill="D9D9D9"/>
            <w:hideMark/>
          </w:tcPr>
          <w:p w:rsidR="00CA14AB" w:rsidRPr="00E00B35" w:rsidRDefault="00CA14AB" w:rsidP="00E00B35">
            <w:pPr>
              <w:spacing w:after="0" w:line="312" w:lineRule="auto"/>
              <w:rPr>
                <w:szCs w:val="20"/>
              </w:rPr>
            </w:pPr>
            <w:r w:rsidRPr="00E00B35">
              <w:rPr>
                <w:szCs w:val="20"/>
              </w:rPr>
              <w:t>Dzienny Dom Pomocy (DDP)</w:t>
            </w:r>
          </w:p>
        </w:tc>
        <w:tc>
          <w:tcPr>
            <w:tcW w:w="1539" w:type="dxa"/>
            <w:shd w:val="clear" w:color="000000" w:fill="D9D9D9"/>
          </w:tcPr>
          <w:p w:rsidR="00CA14AB" w:rsidRPr="00E00B35" w:rsidRDefault="00CA14AB" w:rsidP="00E00B35">
            <w:pPr>
              <w:spacing w:after="0" w:line="312" w:lineRule="auto"/>
              <w:rPr>
                <w:szCs w:val="20"/>
              </w:rPr>
            </w:pPr>
            <w:r w:rsidRPr="00E00B35">
              <w:rPr>
                <w:szCs w:val="20"/>
              </w:rPr>
              <w:t>2017</w:t>
            </w:r>
          </w:p>
        </w:tc>
        <w:tc>
          <w:tcPr>
            <w:tcW w:w="1540" w:type="dxa"/>
            <w:shd w:val="clear" w:color="000000" w:fill="D9D9D9"/>
          </w:tcPr>
          <w:p w:rsidR="00CA14AB" w:rsidRPr="00E00B35" w:rsidRDefault="00CA14AB" w:rsidP="00E00B35">
            <w:pPr>
              <w:spacing w:after="0" w:line="312" w:lineRule="auto"/>
              <w:rPr>
                <w:szCs w:val="20"/>
              </w:rPr>
            </w:pPr>
            <w:r w:rsidRPr="00E00B35">
              <w:rPr>
                <w:szCs w:val="20"/>
              </w:rPr>
              <w:t>2018</w:t>
            </w:r>
          </w:p>
        </w:tc>
        <w:tc>
          <w:tcPr>
            <w:tcW w:w="1753" w:type="dxa"/>
            <w:shd w:val="clear" w:color="000000" w:fill="D9D9D9"/>
            <w:hideMark/>
          </w:tcPr>
          <w:p w:rsidR="00CA14AB" w:rsidRPr="00E00B35" w:rsidRDefault="00CA14AB" w:rsidP="00E00B35">
            <w:pPr>
              <w:spacing w:after="0" w:line="312" w:lineRule="auto"/>
              <w:rPr>
                <w:szCs w:val="20"/>
              </w:rPr>
            </w:pPr>
            <w:r w:rsidRPr="00E00B35">
              <w:rPr>
                <w:szCs w:val="20"/>
              </w:rPr>
              <w:t>2019</w:t>
            </w:r>
          </w:p>
        </w:tc>
        <w:tc>
          <w:tcPr>
            <w:tcW w:w="1279" w:type="dxa"/>
            <w:shd w:val="clear" w:color="000000" w:fill="D9D9D9"/>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553"/>
        </w:trPr>
        <w:tc>
          <w:tcPr>
            <w:tcW w:w="3363" w:type="dxa"/>
            <w:vMerge/>
            <w:hideMark/>
          </w:tcPr>
          <w:p w:rsidR="00CA14AB" w:rsidRPr="00E00B35" w:rsidRDefault="00CA14AB" w:rsidP="00E00B35">
            <w:pPr>
              <w:spacing w:after="0" w:line="312" w:lineRule="auto"/>
              <w:rPr>
                <w:szCs w:val="20"/>
              </w:rPr>
            </w:pPr>
          </w:p>
        </w:tc>
        <w:tc>
          <w:tcPr>
            <w:tcW w:w="1539" w:type="dxa"/>
            <w:shd w:val="clear" w:color="000000" w:fill="D9D9D9"/>
          </w:tcPr>
          <w:p w:rsidR="00CA14AB" w:rsidRPr="00E00B35" w:rsidRDefault="00CA14AB" w:rsidP="00E00B35">
            <w:pPr>
              <w:spacing w:after="0" w:line="312" w:lineRule="auto"/>
              <w:rPr>
                <w:szCs w:val="20"/>
              </w:rPr>
            </w:pPr>
            <w:r w:rsidRPr="00E00B35">
              <w:rPr>
                <w:szCs w:val="20"/>
              </w:rPr>
              <w:t>Liczba imprez/ wydarzeń</w:t>
            </w:r>
          </w:p>
        </w:tc>
        <w:tc>
          <w:tcPr>
            <w:tcW w:w="1540" w:type="dxa"/>
            <w:shd w:val="clear" w:color="000000" w:fill="D9D9D9"/>
          </w:tcPr>
          <w:p w:rsidR="00CA14AB" w:rsidRPr="00E00B35" w:rsidRDefault="00CA14AB" w:rsidP="00E00B35">
            <w:pPr>
              <w:spacing w:after="0" w:line="312" w:lineRule="auto"/>
              <w:rPr>
                <w:szCs w:val="20"/>
              </w:rPr>
            </w:pPr>
            <w:r w:rsidRPr="00E00B35">
              <w:rPr>
                <w:szCs w:val="20"/>
              </w:rPr>
              <w:t>Liczba imprez/ wydarzeń</w:t>
            </w:r>
          </w:p>
        </w:tc>
        <w:tc>
          <w:tcPr>
            <w:tcW w:w="1753" w:type="dxa"/>
            <w:shd w:val="clear" w:color="000000" w:fill="D9D9D9"/>
            <w:hideMark/>
          </w:tcPr>
          <w:p w:rsidR="00CA14AB" w:rsidRPr="00E00B35" w:rsidRDefault="00CA14AB" w:rsidP="00E00B35">
            <w:pPr>
              <w:spacing w:after="0" w:line="312" w:lineRule="auto"/>
              <w:rPr>
                <w:szCs w:val="20"/>
              </w:rPr>
            </w:pPr>
            <w:r w:rsidRPr="00E00B35">
              <w:rPr>
                <w:szCs w:val="20"/>
              </w:rPr>
              <w:t>Liczba imprez/ wydarzeń</w:t>
            </w:r>
          </w:p>
        </w:tc>
        <w:tc>
          <w:tcPr>
            <w:tcW w:w="1279" w:type="dxa"/>
            <w:shd w:val="clear" w:color="000000" w:fill="D9D9D9"/>
          </w:tcPr>
          <w:p w:rsidR="00CA14AB" w:rsidRPr="00E00B35" w:rsidRDefault="00CA14AB" w:rsidP="00E00B35">
            <w:pPr>
              <w:spacing w:after="0" w:line="312" w:lineRule="auto"/>
              <w:rPr>
                <w:szCs w:val="20"/>
              </w:rPr>
            </w:pPr>
            <w:r w:rsidRPr="00E00B35">
              <w:rPr>
                <w:szCs w:val="20"/>
              </w:rPr>
              <w:t>Liczba imprez/ wydarzeń</w:t>
            </w:r>
          </w:p>
        </w:tc>
      </w:tr>
      <w:tr w:rsidR="00CA14AB" w:rsidRPr="00E00B35" w:rsidTr="00CA14AB">
        <w:trPr>
          <w:trHeight w:val="20"/>
        </w:trPr>
        <w:tc>
          <w:tcPr>
            <w:tcW w:w="3363" w:type="dxa"/>
            <w:shd w:val="clear" w:color="auto" w:fill="auto"/>
            <w:vAlign w:val="center"/>
            <w:hideMark/>
          </w:tcPr>
          <w:p w:rsidR="00CA14AB" w:rsidRPr="00E00B35" w:rsidRDefault="00CA14AB" w:rsidP="00E00B35">
            <w:pPr>
              <w:spacing w:after="0" w:line="312" w:lineRule="auto"/>
              <w:rPr>
                <w:szCs w:val="20"/>
              </w:rPr>
            </w:pPr>
            <w:r w:rsidRPr="00E00B35">
              <w:rPr>
                <w:szCs w:val="20"/>
              </w:rPr>
              <w:t>DDP ul. T. Kościuszki 67</w:t>
            </w:r>
          </w:p>
        </w:tc>
        <w:tc>
          <w:tcPr>
            <w:tcW w:w="1539" w:type="dxa"/>
            <w:shd w:val="clear" w:color="auto" w:fill="auto"/>
          </w:tcPr>
          <w:p w:rsidR="00CA14AB" w:rsidRPr="00E00B35" w:rsidRDefault="00CA14AB" w:rsidP="00E00B35">
            <w:pPr>
              <w:spacing w:after="0" w:line="312" w:lineRule="auto"/>
              <w:rPr>
                <w:szCs w:val="20"/>
              </w:rPr>
            </w:pPr>
            <w:r w:rsidRPr="00E00B35">
              <w:rPr>
                <w:szCs w:val="20"/>
              </w:rPr>
              <w:t>139</w:t>
            </w:r>
          </w:p>
        </w:tc>
        <w:tc>
          <w:tcPr>
            <w:tcW w:w="1540" w:type="dxa"/>
            <w:shd w:val="clear" w:color="auto" w:fill="auto"/>
          </w:tcPr>
          <w:p w:rsidR="00CA14AB" w:rsidRPr="00E00B35" w:rsidRDefault="00CA14AB" w:rsidP="00E00B35">
            <w:pPr>
              <w:spacing w:after="0" w:line="312" w:lineRule="auto"/>
              <w:rPr>
                <w:szCs w:val="20"/>
              </w:rPr>
            </w:pPr>
            <w:r w:rsidRPr="00E00B35">
              <w:rPr>
                <w:szCs w:val="20"/>
              </w:rPr>
              <w:t>88</w:t>
            </w:r>
          </w:p>
        </w:tc>
        <w:tc>
          <w:tcPr>
            <w:tcW w:w="1753" w:type="dxa"/>
            <w:shd w:val="clear" w:color="auto" w:fill="auto"/>
          </w:tcPr>
          <w:p w:rsidR="00CA14AB" w:rsidRPr="00E00B35" w:rsidRDefault="00CA14AB" w:rsidP="00E00B35">
            <w:pPr>
              <w:spacing w:after="0" w:line="312" w:lineRule="auto"/>
              <w:rPr>
                <w:szCs w:val="20"/>
              </w:rPr>
            </w:pPr>
            <w:r w:rsidRPr="00E00B35">
              <w:rPr>
                <w:szCs w:val="20"/>
              </w:rPr>
              <w:t>116</w:t>
            </w:r>
          </w:p>
        </w:tc>
        <w:tc>
          <w:tcPr>
            <w:tcW w:w="1279" w:type="dxa"/>
            <w:vAlign w:val="center"/>
          </w:tcPr>
          <w:p w:rsidR="00CA14AB" w:rsidRPr="00E00B35" w:rsidRDefault="00CA14AB" w:rsidP="00E00B35">
            <w:pPr>
              <w:spacing w:after="0" w:line="312" w:lineRule="auto"/>
              <w:rPr>
                <w:szCs w:val="20"/>
              </w:rPr>
            </w:pPr>
            <w:r w:rsidRPr="00E00B35">
              <w:rPr>
                <w:szCs w:val="20"/>
              </w:rPr>
              <w:t>89</w:t>
            </w:r>
          </w:p>
        </w:tc>
      </w:tr>
      <w:tr w:rsidR="00CA14AB" w:rsidRPr="00E00B35" w:rsidTr="00CA14AB">
        <w:trPr>
          <w:trHeight w:val="20"/>
        </w:trPr>
        <w:tc>
          <w:tcPr>
            <w:tcW w:w="3363" w:type="dxa"/>
            <w:shd w:val="clear" w:color="auto" w:fill="auto"/>
            <w:vAlign w:val="center"/>
            <w:hideMark/>
          </w:tcPr>
          <w:p w:rsidR="00CA14AB" w:rsidRPr="00E00B35" w:rsidRDefault="00CA14AB" w:rsidP="00E00B35">
            <w:pPr>
              <w:spacing w:after="0" w:line="312" w:lineRule="auto"/>
              <w:rPr>
                <w:szCs w:val="20"/>
              </w:rPr>
            </w:pPr>
            <w:r w:rsidRPr="00E00B35">
              <w:rPr>
                <w:szCs w:val="20"/>
              </w:rPr>
              <w:t>DDP ul. Komuny Paryskiej 11</w:t>
            </w:r>
          </w:p>
        </w:tc>
        <w:tc>
          <w:tcPr>
            <w:tcW w:w="1539" w:type="dxa"/>
            <w:shd w:val="clear" w:color="auto" w:fill="auto"/>
          </w:tcPr>
          <w:p w:rsidR="00CA14AB" w:rsidRPr="00E00B35" w:rsidRDefault="00CA14AB" w:rsidP="00E00B35">
            <w:pPr>
              <w:spacing w:after="0" w:line="312" w:lineRule="auto"/>
              <w:rPr>
                <w:szCs w:val="20"/>
              </w:rPr>
            </w:pPr>
            <w:r w:rsidRPr="00E00B35">
              <w:rPr>
                <w:szCs w:val="20"/>
              </w:rPr>
              <w:t>124</w:t>
            </w:r>
          </w:p>
        </w:tc>
        <w:tc>
          <w:tcPr>
            <w:tcW w:w="1540" w:type="dxa"/>
            <w:shd w:val="clear" w:color="auto" w:fill="auto"/>
          </w:tcPr>
          <w:p w:rsidR="00CA14AB" w:rsidRPr="00E00B35" w:rsidRDefault="00CA14AB" w:rsidP="00E00B35">
            <w:pPr>
              <w:spacing w:after="0" w:line="312" w:lineRule="auto"/>
              <w:rPr>
                <w:szCs w:val="20"/>
              </w:rPr>
            </w:pPr>
            <w:r w:rsidRPr="00E00B35">
              <w:rPr>
                <w:szCs w:val="20"/>
              </w:rPr>
              <w:t>150</w:t>
            </w:r>
          </w:p>
        </w:tc>
        <w:tc>
          <w:tcPr>
            <w:tcW w:w="1753" w:type="dxa"/>
            <w:shd w:val="clear" w:color="auto" w:fill="auto"/>
          </w:tcPr>
          <w:p w:rsidR="00CA14AB" w:rsidRPr="00E00B35" w:rsidRDefault="00CA14AB" w:rsidP="00E00B35">
            <w:pPr>
              <w:spacing w:after="0" w:line="312" w:lineRule="auto"/>
              <w:rPr>
                <w:szCs w:val="20"/>
              </w:rPr>
            </w:pPr>
            <w:r w:rsidRPr="00E00B35">
              <w:rPr>
                <w:szCs w:val="20"/>
              </w:rPr>
              <w:t>229</w:t>
            </w:r>
          </w:p>
        </w:tc>
        <w:tc>
          <w:tcPr>
            <w:tcW w:w="1279" w:type="dxa"/>
            <w:vAlign w:val="center"/>
          </w:tcPr>
          <w:p w:rsidR="00CA14AB" w:rsidRPr="00E00B35" w:rsidRDefault="00CA14AB" w:rsidP="00E00B35">
            <w:pPr>
              <w:spacing w:after="0" w:line="312" w:lineRule="auto"/>
              <w:rPr>
                <w:szCs w:val="20"/>
              </w:rPr>
            </w:pPr>
            <w:r w:rsidRPr="00E00B35">
              <w:rPr>
                <w:szCs w:val="20"/>
              </w:rPr>
              <w:t>84</w:t>
            </w:r>
          </w:p>
        </w:tc>
      </w:tr>
      <w:tr w:rsidR="00CA14AB" w:rsidRPr="00E00B35" w:rsidTr="00CA14AB">
        <w:trPr>
          <w:trHeight w:val="20"/>
        </w:trPr>
        <w:tc>
          <w:tcPr>
            <w:tcW w:w="3363" w:type="dxa"/>
            <w:shd w:val="clear" w:color="auto" w:fill="auto"/>
            <w:vAlign w:val="center"/>
            <w:hideMark/>
          </w:tcPr>
          <w:p w:rsidR="00CA14AB" w:rsidRPr="00E00B35" w:rsidRDefault="00CA14AB" w:rsidP="00E00B35">
            <w:pPr>
              <w:spacing w:after="0" w:line="312" w:lineRule="auto"/>
              <w:rPr>
                <w:szCs w:val="20"/>
              </w:rPr>
            </w:pPr>
            <w:r w:rsidRPr="00E00B35">
              <w:rPr>
                <w:szCs w:val="20"/>
              </w:rPr>
              <w:t>DDP ul. Skwierzyńska23/2</w:t>
            </w:r>
          </w:p>
        </w:tc>
        <w:tc>
          <w:tcPr>
            <w:tcW w:w="1539" w:type="dxa"/>
            <w:shd w:val="clear" w:color="auto" w:fill="auto"/>
          </w:tcPr>
          <w:p w:rsidR="00CA14AB" w:rsidRPr="00E00B35" w:rsidRDefault="00CA14AB" w:rsidP="00E00B35">
            <w:pPr>
              <w:spacing w:after="0" w:line="312" w:lineRule="auto"/>
              <w:rPr>
                <w:szCs w:val="20"/>
              </w:rPr>
            </w:pPr>
            <w:r w:rsidRPr="00E00B35">
              <w:rPr>
                <w:szCs w:val="20"/>
              </w:rPr>
              <w:t>163</w:t>
            </w:r>
          </w:p>
        </w:tc>
        <w:tc>
          <w:tcPr>
            <w:tcW w:w="1540" w:type="dxa"/>
            <w:shd w:val="clear" w:color="auto" w:fill="auto"/>
          </w:tcPr>
          <w:p w:rsidR="00CA14AB" w:rsidRPr="00E00B35" w:rsidRDefault="00CA14AB" w:rsidP="00E00B35">
            <w:pPr>
              <w:spacing w:after="0" w:line="312" w:lineRule="auto"/>
              <w:rPr>
                <w:szCs w:val="20"/>
              </w:rPr>
            </w:pPr>
            <w:r w:rsidRPr="00E00B35">
              <w:rPr>
                <w:szCs w:val="20"/>
              </w:rPr>
              <w:t>163</w:t>
            </w:r>
          </w:p>
        </w:tc>
        <w:tc>
          <w:tcPr>
            <w:tcW w:w="1753" w:type="dxa"/>
            <w:shd w:val="clear" w:color="auto" w:fill="auto"/>
          </w:tcPr>
          <w:p w:rsidR="00CA14AB" w:rsidRPr="00E00B35" w:rsidRDefault="00CA14AB" w:rsidP="00E00B35">
            <w:pPr>
              <w:spacing w:after="0" w:line="312" w:lineRule="auto"/>
              <w:rPr>
                <w:szCs w:val="20"/>
              </w:rPr>
            </w:pPr>
            <w:r w:rsidRPr="00E00B35">
              <w:rPr>
                <w:szCs w:val="20"/>
              </w:rPr>
              <w:t>216</w:t>
            </w:r>
          </w:p>
        </w:tc>
        <w:tc>
          <w:tcPr>
            <w:tcW w:w="1279" w:type="dxa"/>
            <w:vAlign w:val="center"/>
          </w:tcPr>
          <w:p w:rsidR="00CA14AB" w:rsidRPr="00E00B35" w:rsidRDefault="00CA14AB" w:rsidP="00E00B35">
            <w:pPr>
              <w:spacing w:after="0" w:line="312" w:lineRule="auto"/>
              <w:rPr>
                <w:szCs w:val="20"/>
              </w:rPr>
            </w:pPr>
            <w:r w:rsidRPr="00E00B35">
              <w:rPr>
                <w:szCs w:val="20"/>
              </w:rPr>
              <w:t>90</w:t>
            </w:r>
          </w:p>
        </w:tc>
      </w:tr>
      <w:tr w:rsidR="00CA14AB" w:rsidRPr="00E00B35" w:rsidTr="00CA14AB">
        <w:trPr>
          <w:trHeight w:val="20"/>
        </w:trPr>
        <w:tc>
          <w:tcPr>
            <w:tcW w:w="3363" w:type="dxa"/>
            <w:shd w:val="clear" w:color="auto" w:fill="auto"/>
            <w:vAlign w:val="center"/>
            <w:hideMark/>
          </w:tcPr>
          <w:p w:rsidR="00CA14AB" w:rsidRPr="00E00B35" w:rsidRDefault="00CA14AB" w:rsidP="00E00B35">
            <w:pPr>
              <w:spacing w:after="0" w:line="312" w:lineRule="auto"/>
              <w:rPr>
                <w:szCs w:val="20"/>
              </w:rPr>
            </w:pPr>
            <w:r w:rsidRPr="00E00B35">
              <w:rPr>
                <w:szCs w:val="20"/>
              </w:rPr>
              <w:t>DDP ul. S. Żeromskiego 37/1</w:t>
            </w:r>
          </w:p>
        </w:tc>
        <w:tc>
          <w:tcPr>
            <w:tcW w:w="1539" w:type="dxa"/>
            <w:shd w:val="clear" w:color="auto" w:fill="auto"/>
          </w:tcPr>
          <w:p w:rsidR="00CA14AB" w:rsidRPr="00E00B35" w:rsidRDefault="00CA14AB" w:rsidP="00E00B35">
            <w:pPr>
              <w:spacing w:after="0" w:line="312" w:lineRule="auto"/>
              <w:rPr>
                <w:szCs w:val="20"/>
              </w:rPr>
            </w:pPr>
            <w:r w:rsidRPr="00E00B35">
              <w:rPr>
                <w:szCs w:val="20"/>
              </w:rPr>
              <w:t>89</w:t>
            </w:r>
          </w:p>
        </w:tc>
        <w:tc>
          <w:tcPr>
            <w:tcW w:w="1540" w:type="dxa"/>
            <w:shd w:val="clear" w:color="auto" w:fill="auto"/>
          </w:tcPr>
          <w:p w:rsidR="00CA14AB" w:rsidRPr="00E00B35" w:rsidRDefault="00CA14AB" w:rsidP="00E00B35">
            <w:pPr>
              <w:spacing w:after="0" w:line="312" w:lineRule="auto"/>
              <w:rPr>
                <w:szCs w:val="20"/>
              </w:rPr>
            </w:pPr>
            <w:r w:rsidRPr="00E00B35">
              <w:rPr>
                <w:szCs w:val="20"/>
              </w:rPr>
              <w:t>171</w:t>
            </w:r>
          </w:p>
        </w:tc>
        <w:tc>
          <w:tcPr>
            <w:tcW w:w="1753" w:type="dxa"/>
            <w:shd w:val="clear" w:color="auto" w:fill="auto"/>
          </w:tcPr>
          <w:p w:rsidR="00CA14AB" w:rsidRPr="00E00B35" w:rsidRDefault="00CA14AB" w:rsidP="00E00B35">
            <w:pPr>
              <w:spacing w:after="0" w:line="312" w:lineRule="auto"/>
              <w:rPr>
                <w:szCs w:val="20"/>
              </w:rPr>
            </w:pPr>
            <w:r w:rsidRPr="00E00B35">
              <w:rPr>
                <w:szCs w:val="20"/>
              </w:rPr>
              <w:t>230</w:t>
            </w:r>
          </w:p>
        </w:tc>
        <w:tc>
          <w:tcPr>
            <w:tcW w:w="1279" w:type="dxa"/>
            <w:vAlign w:val="center"/>
          </w:tcPr>
          <w:p w:rsidR="00CA14AB" w:rsidRPr="00E00B35" w:rsidRDefault="00CA14AB" w:rsidP="00E00B35">
            <w:pPr>
              <w:spacing w:after="0" w:line="312" w:lineRule="auto"/>
              <w:rPr>
                <w:szCs w:val="20"/>
              </w:rPr>
            </w:pPr>
            <w:r w:rsidRPr="00E00B35">
              <w:rPr>
                <w:szCs w:val="20"/>
              </w:rPr>
              <w:t>84</w:t>
            </w:r>
          </w:p>
        </w:tc>
      </w:tr>
      <w:tr w:rsidR="00CA14AB" w:rsidRPr="00E00B35" w:rsidTr="00CA14AB">
        <w:trPr>
          <w:trHeight w:val="20"/>
        </w:trPr>
        <w:tc>
          <w:tcPr>
            <w:tcW w:w="3363" w:type="dxa"/>
            <w:shd w:val="clear" w:color="auto" w:fill="auto"/>
            <w:vAlign w:val="center"/>
          </w:tcPr>
          <w:p w:rsidR="00CA14AB" w:rsidRPr="00E00B35" w:rsidRDefault="00CA14AB" w:rsidP="00E00B35">
            <w:pPr>
              <w:spacing w:after="0" w:line="312" w:lineRule="auto"/>
              <w:rPr>
                <w:szCs w:val="20"/>
              </w:rPr>
            </w:pPr>
            <w:r w:rsidRPr="00E00B35">
              <w:rPr>
                <w:szCs w:val="20"/>
              </w:rPr>
              <w:t>DDP ul. Karmelkowa 25</w:t>
            </w:r>
          </w:p>
        </w:tc>
        <w:tc>
          <w:tcPr>
            <w:tcW w:w="1539" w:type="dxa"/>
            <w:shd w:val="clear" w:color="auto" w:fill="auto"/>
          </w:tcPr>
          <w:p w:rsidR="00CA14AB" w:rsidRPr="00E00B35" w:rsidRDefault="00CA14AB" w:rsidP="00E00B35">
            <w:pPr>
              <w:spacing w:after="0" w:line="312" w:lineRule="auto"/>
              <w:rPr>
                <w:szCs w:val="20"/>
              </w:rPr>
            </w:pPr>
            <w:r w:rsidRPr="00E00B35">
              <w:rPr>
                <w:szCs w:val="20"/>
              </w:rPr>
              <w:t>-</w:t>
            </w:r>
          </w:p>
        </w:tc>
        <w:tc>
          <w:tcPr>
            <w:tcW w:w="1540" w:type="dxa"/>
            <w:shd w:val="clear" w:color="auto" w:fill="auto"/>
          </w:tcPr>
          <w:p w:rsidR="00CA14AB" w:rsidRPr="00E00B35" w:rsidRDefault="00CA14AB" w:rsidP="00E00B35">
            <w:pPr>
              <w:spacing w:after="0" w:line="312" w:lineRule="auto"/>
              <w:rPr>
                <w:szCs w:val="20"/>
              </w:rPr>
            </w:pPr>
            <w:r w:rsidRPr="00E00B35">
              <w:rPr>
                <w:szCs w:val="20"/>
              </w:rPr>
              <w:t>-</w:t>
            </w:r>
          </w:p>
        </w:tc>
        <w:tc>
          <w:tcPr>
            <w:tcW w:w="1753" w:type="dxa"/>
            <w:shd w:val="clear" w:color="auto" w:fill="auto"/>
          </w:tcPr>
          <w:p w:rsidR="00CA14AB" w:rsidRPr="00E00B35" w:rsidRDefault="00CA14AB" w:rsidP="00E00B35">
            <w:pPr>
              <w:spacing w:after="0" w:line="312" w:lineRule="auto"/>
              <w:rPr>
                <w:szCs w:val="20"/>
              </w:rPr>
            </w:pPr>
            <w:r w:rsidRPr="00E00B35">
              <w:rPr>
                <w:szCs w:val="20"/>
              </w:rPr>
              <w:t>59</w:t>
            </w:r>
          </w:p>
        </w:tc>
        <w:tc>
          <w:tcPr>
            <w:tcW w:w="1279" w:type="dxa"/>
            <w:vAlign w:val="center"/>
          </w:tcPr>
          <w:p w:rsidR="00CA14AB" w:rsidRPr="00E00B35" w:rsidRDefault="00CA14AB" w:rsidP="00E00B35">
            <w:pPr>
              <w:spacing w:after="0" w:line="312" w:lineRule="auto"/>
              <w:rPr>
                <w:szCs w:val="20"/>
              </w:rPr>
            </w:pPr>
            <w:r w:rsidRPr="00E00B35">
              <w:rPr>
                <w:szCs w:val="20"/>
              </w:rPr>
              <w:t>130</w:t>
            </w:r>
          </w:p>
        </w:tc>
      </w:tr>
      <w:tr w:rsidR="00CA14AB" w:rsidRPr="00E00B35" w:rsidTr="00CA14AB">
        <w:trPr>
          <w:trHeight w:val="20"/>
        </w:trPr>
        <w:tc>
          <w:tcPr>
            <w:tcW w:w="3363" w:type="dxa"/>
            <w:shd w:val="clear" w:color="auto" w:fill="auto"/>
            <w:vAlign w:val="center"/>
          </w:tcPr>
          <w:p w:rsidR="00CA14AB" w:rsidRPr="00E00B35" w:rsidRDefault="00CA14AB" w:rsidP="00E00B35">
            <w:pPr>
              <w:spacing w:after="0" w:line="312" w:lineRule="auto"/>
              <w:rPr>
                <w:szCs w:val="20"/>
              </w:rPr>
            </w:pPr>
            <w:r w:rsidRPr="00E00B35">
              <w:rPr>
                <w:szCs w:val="20"/>
              </w:rPr>
              <w:t>DDP nr 1 ul. Semaforowa 5</w:t>
            </w:r>
          </w:p>
        </w:tc>
        <w:tc>
          <w:tcPr>
            <w:tcW w:w="1539" w:type="dxa"/>
            <w:shd w:val="clear" w:color="auto" w:fill="auto"/>
          </w:tcPr>
          <w:p w:rsidR="00CA14AB" w:rsidRPr="00E00B35" w:rsidRDefault="00CA14AB" w:rsidP="00E00B35">
            <w:pPr>
              <w:spacing w:after="0" w:line="312" w:lineRule="auto"/>
              <w:rPr>
                <w:szCs w:val="20"/>
              </w:rPr>
            </w:pPr>
            <w:r w:rsidRPr="00E00B35">
              <w:rPr>
                <w:szCs w:val="20"/>
              </w:rPr>
              <w:t>-</w:t>
            </w:r>
          </w:p>
        </w:tc>
        <w:tc>
          <w:tcPr>
            <w:tcW w:w="1540" w:type="dxa"/>
            <w:shd w:val="clear" w:color="auto" w:fill="auto"/>
          </w:tcPr>
          <w:p w:rsidR="00CA14AB" w:rsidRPr="00E00B35" w:rsidRDefault="00CA14AB" w:rsidP="00E00B35">
            <w:pPr>
              <w:spacing w:after="0" w:line="312" w:lineRule="auto"/>
              <w:rPr>
                <w:szCs w:val="20"/>
              </w:rPr>
            </w:pPr>
            <w:r w:rsidRPr="00E00B35">
              <w:rPr>
                <w:szCs w:val="20"/>
              </w:rPr>
              <w:t>-</w:t>
            </w:r>
          </w:p>
        </w:tc>
        <w:tc>
          <w:tcPr>
            <w:tcW w:w="1753" w:type="dxa"/>
            <w:shd w:val="clear" w:color="auto" w:fill="auto"/>
          </w:tcPr>
          <w:p w:rsidR="00CA14AB" w:rsidRPr="00E00B35" w:rsidRDefault="00CA14AB" w:rsidP="00E00B35">
            <w:pPr>
              <w:spacing w:after="0" w:line="312" w:lineRule="auto"/>
              <w:rPr>
                <w:szCs w:val="20"/>
              </w:rPr>
            </w:pPr>
            <w:r w:rsidRPr="00E00B35">
              <w:rPr>
                <w:szCs w:val="20"/>
              </w:rPr>
              <w:t>97</w:t>
            </w:r>
          </w:p>
        </w:tc>
        <w:tc>
          <w:tcPr>
            <w:tcW w:w="1279" w:type="dxa"/>
            <w:vAlign w:val="center"/>
          </w:tcPr>
          <w:p w:rsidR="00CA14AB" w:rsidRPr="00E00B35" w:rsidRDefault="00CA14AB" w:rsidP="00E00B35">
            <w:pPr>
              <w:spacing w:after="0" w:line="312" w:lineRule="auto"/>
              <w:rPr>
                <w:szCs w:val="20"/>
              </w:rPr>
            </w:pPr>
            <w:r w:rsidRPr="00E00B35">
              <w:rPr>
                <w:szCs w:val="20"/>
              </w:rPr>
              <w:t>123</w:t>
            </w:r>
          </w:p>
        </w:tc>
      </w:tr>
      <w:tr w:rsidR="00CA14AB" w:rsidRPr="00E00B35" w:rsidTr="00CA14AB">
        <w:trPr>
          <w:trHeight w:val="20"/>
        </w:trPr>
        <w:tc>
          <w:tcPr>
            <w:tcW w:w="3363" w:type="dxa"/>
            <w:shd w:val="clear" w:color="auto" w:fill="auto"/>
            <w:vAlign w:val="center"/>
          </w:tcPr>
          <w:p w:rsidR="00CA14AB" w:rsidRPr="00E00B35" w:rsidRDefault="00CA14AB" w:rsidP="00E00B35">
            <w:pPr>
              <w:spacing w:after="0" w:line="312" w:lineRule="auto"/>
              <w:rPr>
                <w:szCs w:val="20"/>
              </w:rPr>
            </w:pPr>
            <w:r w:rsidRPr="00E00B35">
              <w:rPr>
                <w:szCs w:val="20"/>
              </w:rPr>
              <w:t>DDP nr 2 ul. Semaforowa 5</w:t>
            </w:r>
          </w:p>
        </w:tc>
        <w:tc>
          <w:tcPr>
            <w:tcW w:w="1539" w:type="dxa"/>
            <w:shd w:val="clear" w:color="auto" w:fill="auto"/>
          </w:tcPr>
          <w:p w:rsidR="00CA14AB" w:rsidRPr="00E00B35" w:rsidRDefault="00CA14AB" w:rsidP="00E00B35">
            <w:pPr>
              <w:spacing w:after="0" w:line="312" w:lineRule="auto"/>
              <w:rPr>
                <w:szCs w:val="20"/>
              </w:rPr>
            </w:pPr>
            <w:r w:rsidRPr="00E00B35">
              <w:rPr>
                <w:szCs w:val="20"/>
              </w:rPr>
              <w:t>-</w:t>
            </w:r>
          </w:p>
        </w:tc>
        <w:tc>
          <w:tcPr>
            <w:tcW w:w="1540" w:type="dxa"/>
            <w:shd w:val="clear" w:color="auto" w:fill="auto"/>
          </w:tcPr>
          <w:p w:rsidR="00CA14AB" w:rsidRPr="00E00B35" w:rsidRDefault="00CA14AB" w:rsidP="00E00B35">
            <w:pPr>
              <w:spacing w:after="0" w:line="312" w:lineRule="auto"/>
              <w:rPr>
                <w:szCs w:val="20"/>
              </w:rPr>
            </w:pPr>
            <w:r w:rsidRPr="00E00B35">
              <w:rPr>
                <w:szCs w:val="20"/>
              </w:rPr>
              <w:t>-</w:t>
            </w:r>
          </w:p>
        </w:tc>
        <w:tc>
          <w:tcPr>
            <w:tcW w:w="1753" w:type="dxa"/>
            <w:shd w:val="clear" w:color="auto" w:fill="auto"/>
          </w:tcPr>
          <w:p w:rsidR="00CA14AB" w:rsidRPr="00E00B35" w:rsidRDefault="00CA14AB" w:rsidP="00E00B35">
            <w:pPr>
              <w:spacing w:after="0" w:line="312" w:lineRule="auto"/>
              <w:rPr>
                <w:szCs w:val="20"/>
              </w:rPr>
            </w:pPr>
            <w:r w:rsidRPr="00E00B35">
              <w:rPr>
                <w:szCs w:val="20"/>
              </w:rPr>
              <w:t>101</w:t>
            </w:r>
          </w:p>
        </w:tc>
        <w:tc>
          <w:tcPr>
            <w:tcW w:w="1279" w:type="dxa"/>
            <w:vAlign w:val="center"/>
          </w:tcPr>
          <w:p w:rsidR="00CA14AB" w:rsidRPr="00E00B35" w:rsidRDefault="00CA14AB" w:rsidP="00E00B35">
            <w:pPr>
              <w:spacing w:after="0" w:line="312" w:lineRule="auto"/>
              <w:rPr>
                <w:szCs w:val="20"/>
              </w:rPr>
            </w:pPr>
            <w:r w:rsidRPr="00E00B35">
              <w:rPr>
                <w:szCs w:val="20"/>
              </w:rPr>
              <w:t>137</w:t>
            </w:r>
          </w:p>
        </w:tc>
      </w:tr>
      <w:tr w:rsidR="00CA14AB" w:rsidRPr="00E00B35" w:rsidTr="00CA14AB">
        <w:trPr>
          <w:trHeight w:val="20"/>
        </w:trPr>
        <w:tc>
          <w:tcPr>
            <w:tcW w:w="3363" w:type="dxa"/>
            <w:shd w:val="clear" w:color="auto" w:fill="auto"/>
            <w:vAlign w:val="center"/>
          </w:tcPr>
          <w:p w:rsidR="00CA14AB" w:rsidRPr="00E00B35" w:rsidRDefault="00CA14AB" w:rsidP="00E00B35">
            <w:pPr>
              <w:spacing w:after="0" w:line="312" w:lineRule="auto"/>
              <w:rPr>
                <w:szCs w:val="20"/>
              </w:rPr>
            </w:pPr>
            <w:r w:rsidRPr="00E00B35">
              <w:rPr>
                <w:szCs w:val="20"/>
              </w:rPr>
              <w:t>DDP ul. W. Skoczylasa 8</w:t>
            </w:r>
          </w:p>
        </w:tc>
        <w:tc>
          <w:tcPr>
            <w:tcW w:w="1539" w:type="dxa"/>
            <w:shd w:val="clear" w:color="auto" w:fill="auto"/>
          </w:tcPr>
          <w:p w:rsidR="00CA14AB" w:rsidRPr="00E00B35" w:rsidRDefault="00CA14AB" w:rsidP="00E00B35">
            <w:pPr>
              <w:spacing w:after="0" w:line="312" w:lineRule="auto"/>
              <w:rPr>
                <w:szCs w:val="20"/>
              </w:rPr>
            </w:pPr>
            <w:r w:rsidRPr="00E00B35">
              <w:rPr>
                <w:szCs w:val="20"/>
              </w:rPr>
              <w:t>-</w:t>
            </w:r>
          </w:p>
        </w:tc>
        <w:tc>
          <w:tcPr>
            <w:tcW w:w="1540" w:type="dxa"/>
            <w:shd w:val="clear" w:color="auto" w:fill="auto"/>
          </w:tcPr>
          <w:p w:rsidR="00CA14AB" w:rsidRPr="00E00B35" w:rsidRDefault="00CA14AB" w:rsidP="00E00B35">
            <w:pPr>
              <w:spacing w:after="0" w:line="312" w:lineRule="auto"/>
              <w:rPr>
                <w:szCs w:val="20"/>
              </w:rPr>
            </w:pPr>
            <w:r w:rsidRPr="00E00B35">
              <w:rPr>
                <w:szCs w:val="20"/>
              </w:rPr>
              <w:t>-</w:t>
            </w:r>
          </w:p>
        </w:tc>
        <w:tc>
          <w:tcPr>
            <w:tcW w:w="1753" w:type="dxa"/>
            <w:shd w:val="clear" w:color="auto" w:fill="auto"/>
          </w:tcPr>
          <w:p w:rsidR="00CA14AB" w:rsidRPr="00E00B35" w:rsidRDefault="00CA14AB" w:rsidP="00E00B35">
            <w:pPr>
              <w:spacing w:after="0" w:line="312" w:lineRule="auto"/>
              <w:rPr>
                <w:szCs w:val="20"/>
              </w:rPr>
            </w:pPr>
            <w:r w:rsidRPr="00E00B35">
              <w:rPr>
                <w:szCs w:val="20"/>
              </w:rPr>
              <w:t>-</w:t>
            </w:r>
          </w:p>
        </w:tc>
        <w:tc>
          <w:tcPr>
            <w:tcW w:w="1279" w:type="dxa"/>
            <w:vAlign w:val="center"/>
          </w:tcPr>
          <w:p w:rsidR="00CA14AB" w:rsidRPr="00E00B35" w:rsidRDefault="00CA14AB" w:rsidP="00E00B35">
            <w:pPr>
              <w:spacing w:after="0" w:line="312" w:lineRule="auto"/>
              <w:rPr>
                <w:szCs w:val="20"/>
              </w:rPr>
            </w:pPr>
            <w:r w:rsidRPr="00E00B35">
              <w:rPr>
                <w:szCs w:val="20"/>
              </w:rPr>
              <w:t>139</w:t>
            </w:r>
          </w:p>
        </w:tc>
      </w:tr>
      <w:tr w:rsidR="00CA14AB" w:rsidRPr="00E00B35" w:rsidTr="00CA14AB">
        <w:trPr>
          <w:trHeight w:val="20"/>
        </w:trPr>
        <w:tc>
          <w:tcPr>
            <w:tcW w:w="3363" w:type="dxa"/>
            <w:shd w:val="clear" w:color="000000" w:fill="D9D9D9"/>
            <w:vAlign w:val="center"/>
            <w:hideMark/>
          </w:tcPr>
          <w:p w:rsidR="00CA14AB" w:rsidRPr="00E00B35" w:rsidRDefault="00CA14AB" w:rsidP="00E00B35">
            <w:pPr>
              <w:spacing w:after="0" w:line="312" w:lineRule="auto"/>
              <w:rPr>
                <w:szCs w:val="20"/>
              </w:rPr>
            </w:pPr>
            <w:r w:rsidRPr="00E00B35">
              <w:rPr>
                <w:szCs w:val="20"/>
              </w:rPr>
              <w:t xml:space="preserve">Razem </w:t>
            </w:r>
          </w:p>
        </w:tc>
        <w:tc>
          <w:tcPr>
            <w:tcW w:w="1539" w:type="dxa"/>
            <w:shd w:val="clear" w:color="000000" w:fill="D9D9D9"/>
          </w:tcPr>
          <w:p w:rsidR="00CA14AB" w:rsidRPr="00E00B35" w:rsidRDefault="00CA14AB" w:rsidP="00E00B35">
            <w:pPr>
              <w:spacing w:after="0" w:line="312" w:lineRule="auto"/>
              <w:rPr>
                <w:szCs w:val="20"/>
              </w:rPr>
            </w:pPr>
            <w:r w:rsidRPr="00E00B35">
              <w:rPr>
                <w:szCs w:val="20"/>
              </w:rPr>
              <w:t>515</w:t>
            </w:r>
          </w:p>
        </w:tc>
        <w:tc>
          <w:tcPr>
            <w:tcW w:w="1540" w:type="dxa"/>
            <w:shd w:val="clear" w:color="000000" w:fill="D9D9D9"/>
          </w:tcPr>
          <w:p w:rsidR="00CA14AB" w:rsidRPr="00E00B35" w:rsidRDefault="00CA14AB" w:rsidP="00E00B35">
            <w:pPr>
              <w:spacing w:after="0" w:line="312" w:lineRule="auto"/>
              <w:rPr>
                <w:szCs w:val="20"/>
              </w:rPr>
            </w:pPr>
            <w:r w:rsidRPr="00E00B35">
              <w:rPr>
                <w:szCs w:val="20"/>
              </w:rPr>
              <w:t>572</w:t>
            </w:r>
          </w:p>
        </w:tc>
        <w:tc>
          <w:tcPr>
            <w:tcW w:w="1753" w:type="dxa"/>
            <w:shd w:val="clear" w:color="000000" w:fill="D9D9D9"/>
          </w:tcPr>
          <w:p w:rsidR="00CA14AB" w:rsidRPr="00E00B35" w:rsidRDefault="00CA14AB" w:rsidP="00E00B35">
            <w:pPr>
              <w:spacing w:after="0" w:line="312" w:lineRule="auto"/>
              <w:rPr>
                <w:szCs w:val="20"/>
              </w:rPr>
            </w:pPr>
            <w:r w:rsidRPr="00E00B35">
              <w:rPr>
                <w:szCs w:val="20"/>
              </w:rPr>
              <w:t>1 048</w:t>
            </w:r>
          </w:p>
        </w:tc>
        <w:tc>
          <w:tcPr>
            <w:tcW w:w="1279" w:type="dxa"/>
            <w:shd w:val="clear" w:color="000000" w:fill="D9D9D9"/>
            <w:vAlign w:val="center"/>
          </w:tcPr>
          <w:p w:rsidR="00CA14AB" w:rsidRPr="00E00B35" w:rsidRDefault="00CA14AB" w:rsidP="00E00B35">
            <w:pPr>
              <w:spacing w:after="0" w:line="312" w:lineRule="auto"/>
              <w:rPr>
                <w:szCs w:val="20"/>
              </w:rPr>
            </w:pPr>
            <w:r w:rsidRPr="00E00B35">
              <w:rPr>
                <w:szCs w:val="20"/>
              </w:rPr>
              <w:t>876</w:t>
            </w:r>
          </w:p>
        </w:tc>
      </w:tr>
    </w:tbl>
    <w:p w:rsidR="0082271B" w:rsidRPr="00E00B35" w:rsidRDefault="0082271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Tabela 9. Dane liczbowe dotyczące udziału klientów DDP w organizowanych wydarzeniach </w:t>
      </w:r>
      <w:r w:rsidRPr="00E00B35">
        <w:rPr>
          <w:szCs w:val="20"/>
        </w:rPr>
        <w:br/>
        <w:t>i imprezach kulturalno-oświatowych w latach 2017-2020</w:t>
      </w:r>
    </w:p>
    <w:tbl>
      <w:tblPr>
        <w:tblW w:w="92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322"/>
        <w:gridCol w:w="1506"/>
        <w:gridCol w:w="1506"/>
        <w:gridCol w:w="1506"/>
        <w:gridCol w:w="1416"/>
      </w:tblGrid>
      <w:tr w:rsidR="00CA14AB" w:rsidRPr="00E00B35" w:rsidTr="00CA14AB">
        <w:trPr>
          <w:trHeight w:val="126"/>
        </w:trPr>
        <w:tc>
          <w:tcPr>
            <w:tcW w:w="3322" w:type="dxa"/>
            <w:vMerge w:val="restart"/>
            <w:shd w:val="clear" w:color="000000" w:fill="D9D9D9"/>
            <w:hideMark/>
          </w:tcPr>
          <w:p w:rsidR="00CA14AB" w:rsidRPr="00E00B35" w:rsidRDefault="00CA14AB" w:rsidP="00E00B35">
            <w:pPr>
              <w:spacing w:after="0" w:line="312" w:lineRule="auto"/>
              <w:rPr>
                <w:szCs w:val="20"/>
              </w:rPr>
            </w:pPr>
            <w:r w:rsidRPr="00E00B35">
              <w:rPr>
                <w:szCs w:val="20"/>
              </w:rPr>
              <w:t>Dzienny Dom Pomocy (DDP)</w:t>
            </w:r>
          </w:p>
        </w:tc>
        <w:tc>
          <w:tcPr>
            <w:tcW w:w="1506" w:type="dxa"/>
            <w:shd w:val="clear" w:color="000000" w:fill="D9D9D9"/>
            <w:hideMark/>
          </w:tcPr>
          <w:p w:rsidR="00CA14AB" w:rsidRPr="00E00B35" w:rsidRDefault="00CA14AB" w:rsidP="00E00B35">
            <w:pPr>
              <w:spacing w:after="0" w:line="312" w:lineRule="auto"/>
              <w:rPr>
                <w:szCs w:val="20"/>
              </w:rPr>
            </w:pPr>
            <w:r w:rsidRPr="00E00B35">
              <w:rPr>
                <w:szCs w:val="20"/>
              </w:rPr>
              <w:t>2017</w:t>
            </w:r>
          </w:p>
        </w:tc>
        <w:tc>
          <w:tcPr>
            <w:tcW w:w="1506" w:type="dxa"/>
            <w:shd w:val="clear" w:color="000000" w:fill="D9D9D9"/>
            <w:hideMark/>
          </w:tcPr>
          <w:p w:rsidR="00CA14AB" w:rsidRPr="00E00B35" w:rsidRDefault="00CA14AB" w:rsidP="00E00B35">
            <w:pPr>
              <w:spacing w:after="0" w:line="312" w:lineRule="auto"/>
              <w:rPr>
                <w:szCs w:val="20"/>
              </w:rPr>
            </w:pPr>
            <w:r w:rsidRPr="00E00B35">
              <w:rPr>
                <w:szCs w:val="20"/>
              </w:rPr>
              <w:t>2018</w:t>
            </w:r>
          </w:p>
        </w:tc>
        <w:tc>
          <w:tcPr>
            <w:tcW w:w="1506" w:type="dxa"/>
            <w:shd w:val="clear" w:color="000000" w:fill="D9D9D9"/>
            <w:hideMark/>
          </w:tcPr>
          <w:p w:rsidR="00CA14AB" w:rsidRPr="00E00B35" w:rsidRDefault="00CA14AB" w:rsidP="00E00B35">
            <w:pPr>
              <w:spacing w:after="0" w:line="312" w:lineRule="auto"/>
              <w:rPr>
                <w:szCs w:val="20"/>
              </w:rPr>
            </w:pPr>
            <w:r w:rsidRPr="00E00B35">
              <w:rPr>
                <w:szCs w:val="20"/>
              </w:rPr>
              <w:t>2019</w:t>
            </w:r>
          </w:p>
        </w:tc>
        <w:tc>
          <w:tcPr>
            <w:tcW w:w="1416" w:type="dxa"/>
            <w:shd w:val="clear" w:color="000000" w:fill="D9D9D9"/>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583"/>
        </w:trPr>
        <w:tc>
          <w:tcPr>
            <w:tcW w:w="3322" w:type="dxa"/>
            <w:vMerge/>
            <w:hideMark/>
          </w:tcPr>
          <w:p w:rsidR="00CA14AB" w:rsidRPr="00E00B35" w:rsidRDefault="00CA14AB" w:rsidP="00E00B35">
            <w:pPr>
              <w:spacing w:after="0" w:line="312" w:lineRule="auto"/>
              <w:rPr>
                <w:szCs w:val="20"/>
              </w:rPr>
            </w:pPr>
          </w:p>
        </w:tc>
        <w:tc>
          <w:tcPr>
            <w:tcW w:w="1506" w:type="dxa"/>
            <w:shd w:val="clear" w:color="000000" w:fill="D9D9D9"/>
            <w:hideMark/>
          </w:tcPr>
          <w:p w:rsidR="00CA14AB" w:rsidRPr="00E00B35" w:rsidRDefault="00CA14AB" w:rsidP="00E00B35">
            <w:pPr>
              <w:spacing w:after="0" w:line="312" w:lineRule="auto"/>
              <w:rPr>
                <w:szCs w:val="20"/>
              </w:rPr>
            </w:pPr>
            <w:r w:rsidRPr="00E00B35">
              <w:rPr>
                <w:szCs w:val="20"/>
              </w:rPr>
              <w:t>Liczba klientów narastająco</w:t>
            </w:r>
          </w:p>
        </w:tc>
        <w:tc>
          <w:tcPr>
            <w:tcW w:w="1506" w:type="dxa"/>
            <w:shd w:val="clear" w:color="000000" w:fill="D9D9D9"/>
            <w:hideMark/>
          </w:tcPr>
          <w:p w:rsidR="00CA14AB" w:rsidRPr="00E00B35" w:rsidRDefault="00CA14AB" w:rsidP="00E00B35">
            <w:pPr>
              <w:spacing w:after="0" w:line="312" w:lineRule="auto"/>
              <w:rPr>
                <w:szCs w:val="20"/>
              </w:rPr>
            </w:pPr>
            <w:r w:rsidRPr="00E00B35">
              <w:rPr>
                <w:szCs w:val="20"/>
              </w:rPr>
              <w:t>Liczba klientów narastająco</w:t>
            </w:r>
          </w:p>
        </w:tc>
        <w:tc>
          <w:tcPr>
            <w:tcW w:w="1506" w:type="dxa"/>
            <w:shd w:val="clear" w:color="000000" w:fill="D9D9D9"/>
            <w:hideMark/>
          </w:tcPr>
          <w:p w:rsidR="00CA14AB" w:rsidRPr="00E00B35" w:rsidRDefault="00CA14AB" w:rsidP="00E00B35">
            <w:pPr>
              <w:spacing w:after="0" w:line="312" w:lineRule="auto"/>
              <w:rPr>
                <w:szCs w:val="20"/>
              </w:rPr>
            </w:pPr>
            <w:r w:rsidRPr="00E00B35">
              <w:rPr>
                <w:szCs w:val="20"/>
              </w:rPr>
              <w:t>Liczba klientów narastająco</w:t>
            </w:r>
          </w:p>
        </w:tc>
        <w:tc>
          <w:tcPr>
            <w:tcW w:w="1416" w:type="dxa"/>
            <w:shd w:val="clear" w:color="000000" w:fill="D9D9D9"/>
          </w:tcPr>
          <w:p w:rsidR="00CA14AB" w:rsidRPr="00E00B35" w:rsidRDefault="00CA14AB" w:rsidP="00E00B35">
            <w:pPr>
              <w:spacing w:after="0" w:line="312" w:lineRule="auto"/>
              <w:rPr>
                <w:szCs w:val="20"/>
              </w:rPr>
            </w:pPr>
            <w:r w:rsidRPr="00E00B35">
              <w:rPr>
                <w:szCs w:val="20"/>
              </w:rPr>
              <w:t>Liczba klientów narastająco</w:t>
            </w:r>
          </w:p>
        </w:tc>
      </w:tr>
      <w:tr w:rsidR="00CA14AB" w:rsidRPr="00E00B35" w:rsidTr="00CA14AB">
        <w:trPr>
          <w:trHeight w:val="19"/>
        </w:trPr>
        <w:tc>
          <w:tcPr>
            <w:tcW w:w="3322" w:type="dxa"/>
            <w:shd w:val="clear" w:color="auto" w:fill="auto"/>
            <w:vAlign w:val="center"/>
            <w:hideMark/>
          </w:tcPr>
          <w:p w:rsidR="00CA14AB" w:rsidRPr="00E00B35" w:rsidRDefault="00CA14AB" w:rsidP="00E00B35">
            <w:pPr>
              <w:spacing w:after="0" w:line="312" w:lineRule="auto"/>
              <w:rPr>
                <w:szCs w:val="20"/>
              </w:rPr>
            </w:pPr>
            <w:r w:rsidRPr="00E00B35">
              <w:rPr>
                <w:szCs w:val="20"/>
              </w:rPr>
              <w:t>DDP ul. T. Kościuszki 67</w:t>
            </w:r>
          </w:p>
        </w:tc>
        <w:tc>
          <w:tcPr>
            <w:tcW w:w="1506" w:type="dxa"/>
            <w:shd w:val="clear" w:color="auto" w:fill="auto"/>
          </w:tcPr>
          <w:p w:rsidR="00CA14AB" w:rsidRPr="00E00B35" w:rsidRDefault="00CA14AB" w:rsidP="00E00B35">
            <w:pPr>
              <w:spacing w:after="0" w:line="312" w:lineRule="auto"/>
              <w:rPr>
                <w:szCs w:val="20"/>
              </w:rPr>
            </w:pPr>
            <w:r w:rsidRPr="00E00B35">
              <w:rPr>
                <w:szCs w:val="20"/>
              </w:rPr>
              <w:t>2299</w:t>
            </w:r>
          </w:p>
        </w:tc>
        <w:tc>
          <w:tcPr>
            <w:tcW w:w="1506" w:type="dxa"/>
            <w:shd w:val="clear" w:color="auto" w:fill="auto"/>
          </w:tcPr>
          <w:p w:rsidR="00CA14AB" w:rsidRPr="00E00B35" w:rsidRDefault="00CA14AB" w:rsidP="00E00B35">
            <w:pPr>
              <w:spacing w:after="0" w:line="312" w:lineRule="auto"/>
              <w:rPr>
                <w:szCs w:val="20"/>
              </w:rPr>
            </w:pPr>
            <w:r w:rsidRPr="00E00B35">
              <w:rPr>
                <w:szCs w:val="20"/>
              </w:rPr>
              <w:t>1284</w:t>
            </w:r>
          </w:p>
        </w:tc>
        <w:tc>
          <w:tcPr>
            <w:tcW w:w="1506" w:type="dxa"/>
            <w:shd w:val="clear" w:color="auto" w:fill="auto"/>
          </w:tcPr>
          <w:p w:rsidR="00CA14AB" w:rsidRPr="00E00B35" w:rsidRDefault="00CA14AB" w:rsidP="00E00B35">
            <w:pPr>
              <w:spacing w:after="0" w:line="312" w:lineRule="auto"/>
              <w:rPr>
                <w:szCs w:val="20"/>
              </w:rPr>
            </w:pPr>
            <w:r w:rsidRPr="00E00B35">
              <w:rPr>
                <w:szCs w:val="20"/>
              </w:rPr>
              <w:t>1748</w:t>
            </w:r>
          </w:p>
        </w:tc>
        <w:tc>
          <w:tcPr>
            <w:tcW w:w="1416" w:type="dxa"/>
            <w:vAlign w:val="center"/>
          </w:tcPr>
          <w:p w:rsidR="00CA14AB" w:rsidRPr="00E00B35" w:rsidRDefault="00CA14AB" w:rsidP="00E00B35">
            <w:pPr>
              <w:spacing w:after="0" w:line="312" w:lineRule="auto"/>
              <w:rPr>
                <w:szCs w:val="20"/>
              </w:rPr>
            </w:pPr>
            <w:r w:rsidRPr="00E00B35">
              <w:rPr>
                <w:szCs w:val="20"/>
              </w:rPr>
              <w:t>1270</w:t>
            </w:r>
          </w:p>
        </w:tc>
      </w:tr>
      <w:tr w:rsidR="00CA14AB" w:rsidRPr="00E00B35" w:rsidTr="00CA14AB">
        <w:trPr>
          <w:trHeight w:val="19"/>
        </w:trPr>
        <w:tc>
          <w:tcPr>
            <w:tcW w:w="3322" w:type="dxa"/>
            <w:shd w:val="clear" w:color="auto" w:fill="auto"/>
            <w:vAlign w:val="center"/>
            <w:hideMark/>
          </w:tcPr>
          <w:p w:rsidR="00CA14AB" w:rsidRPr="00E00B35" w:rsidRDefault="00CA14AB" w:rsidP="00E00B35">
            <w:pPr>
              <w:spacing w:after="0" w:line="312" w:lineRule="auto"/>
              <w:rPr>
                <w:szCs w:val="20"/>
              </w:rPr>
            </w:pPr>
            <w:r w:rsidRPr="00E00B35">
              <w:rPr>
                <w:szCs w:val="20"/>
              </w:rPr>
              <w:t>DDP ul. Komuny Paryskiej 11</w:t>
            </w:r>
          </w:p>
        </w:tc>
        <w:tc>
          <w:tcPr>
            <w:tcW w:w="1506" w:type="dxa"/>
            <w:shd w:val="clear" w:color="auto" w:fill="auto"/>
          </w:tcPr>
          <w:p w:rsidR="00CA14AB" w:rsidRPr="00E00B35" w:rsidRDefault="00CA14AB" w:rsidP="00E00B35">
            <w:pPr>
              <w:spacing w:after="0" w:line="312" w:lineRule="auto"/>
              <w:rPr>
                <w:szCs w:val="20"/>
              </w:rPr>
            </w:pPr>
            <w:r w:rsidRPr="00E00B35">
              <w:rPr>
                <w:szCs w:val="20"/>
              </w:rPr>
              <w:t>1986</w:t>
            </w:r>
          </w:p>
        </w:tc>
        <w:tc>
          <w:tcPr>
            <w:tcW w:w="1506" w:type="dxa"/>
            <w:shd w:val="clear" w:color="auto" w:fill="auto"/>
          </w:tcPr>
          <w:p w:rsidR="00CA14AB" w:rsidRPr="00E00B35" w:rsidRDefault="00CA14AB" w:rsidP="00E00B35">
            <w:pPr>
              <w:spacing w:after="0" w:line="312" w:lineRule="auto"/>
              <w:rPr>
                <w:szCs w:val="20"/>
              </w:rPr>
            </w:pPr>
            <w:r w:rsidRPr="00E00B35">
              <w:rPr>
                <w:szCs w:val="20"/>
              </w:rPr>
              <w:t>2846</w:t>
            </w:r>
          </w:p>
        </w:tc>
        <w:tc>
          <w:tcPr>
            <w:tcW w:w="1506" w:type="dxa"/>
            <w:shd w:val="clear" w:color="auto" w:fill="auto"/>
          </w:tcPr>
          <w:p w:rsidR="00CA14AB" w:rsidRPr="00E00B35" w:rsidRDefault="00CA14AB" w:rsidP="00E00B35">
            <w:pPr>
              <w:spacing w:after="0" w:line="312" w:lineRule="auto"/>
              <w:rPr>
                <w:szCs w:val="20"/>
              </w:rPr>
            </w:pPr>
            <w:r w:rsidRPr="00E00B35">
              <w:rPr>
                <w:szCs w:val="20"/>
              </w:rPr>
              <w:t>4035</w:t>
            </w:r>
          </w:p>
        </w:tc>
        <w:tc>
          <w:tcPr>
            <w:tcW w:w="1416" w:type="dxa"/>
            <w:vAlign w:val="center"/>
          </w:tcPr>
          <w:p w:rsidR="00CA14AB" w:rsidRPr="00E00B35" w:rsidRDefault="00CA14AB" w:rsidP="00E00B35">
            <w:pPr>
              <w:spacing w:after="0" w:line="312" w:lineRule="auto"/>
              <w:rPr>
                <w:szCs w:val="20"/>
              </w:rPr>
            </w:pPr>
            <w:r w:rsidRPr="00E00B35">
              <w:rPr>
                <w:szCs w:val="20"/>
              </w:rPr>
              <w:t>1198</w:t>
            </w:r>
          </w:p>
        </w:tc>
      </w:tr>
      <w:tr w:rsidR="00CA14AB" w:rsidRPr="00E00B35" w:rsidTr="00CA14AB">
        <w:trPr>
          <w:trHeight w:val="19"/>
        </w:trPr>
        <w:tc>
          <w:tcPr>
            <w:tcW w:w="3322" w:type="dxa"/>
            <w:shd w:val="clear" w:color="auto" w:fill="auto"/>
            <w:vAlign w:val="center"/>
            <w:hideMark/>
          </w:tcPr>
          <w:p w:rsidR="00CA14AB" w:rsidRPr="00E00B35" w:rsidRDefault="00CA14AB" w:rsidP="00E00B35">
            <w:pPr>
              <w:spacing w:after="0" w:line="312" w:lineRule="auto"/>
              <w:rPr>
                <w:szCs w:val="20"/>
              </w:rPr>
            </w:pPr>
            <w:r w:rsidRPr="00E00B35">
              <w:rPr>
                <w:szCs w:val="20"/>
              </w:rPr>
              <w:t>DDP ul. Skwierzyńska 23/2</w:t>
            </w:r>
          </w:p>
        </w:tc>
        <w:tc>
          <w:tcPr>
            <w:tcW w:w="1506" w:type="dxa"/>
            <w:shd w:val="clear" w:color="auto" w:fill="auto"/>
          </w:tcPr>
          <w:p w:rsidR="00CA14AB" w:rsidRPr="00E00B35" w:rsidRDefault="00CA14AB" w:rsidP="00E00B35">
            <w:pPr>
              <w:spacing w:after="0" w:line="312" w:lineRule="auto"/>
              <w:rPr>
                <w:szCs w:val="20"/>
              </w:rPr>
            </w:pPr>
            <w:r w:rsidRPr="00E00B35">
              <w:rPr>
                <w:szCs w:val="20"/>
              </w:rPr>
              <w:t>3292</w:t>
            </w:r>
          </w:p>
        </w:tc>
        <w:tc>
          <w:tcPr>
            <w:tcW w:w="1506" w:type="dxa"/>
            <w:shd w:val="clear" w:color="auto" w:fill="auto"/>
          </w:tcPr>
          <w:p w:rsidR="00CA14AB" w:rsidRPr="00E00B35" w:rsidRDefault="00CA14AB" w:rsidP="00E00B35">
            <w:pPr>
              <w:spacing w:after="0" w:line="312" w:lineRule="auto"/>
              <w:rPr>
                <w:szCs w:val="20"/>
              </w:rPr>
            </w:pPr>
            <w:r w:rsidRPr="00E00B35">
              <w:rPr>
                <w:szCs w:val="20"/>
              </w:rPr>
              <w:t>3292</w:t>
            </w:r>
          </w:p>
        </w:tc>
        <w:tc>
          <w:tcPr>
            <w:tcW w:w="1506" w:type="dxa"/>
            <w:shd w:val="clear" w:color="auto" w:fill="auto"/>
          </w:tcPr>
          <w:p w:rsidR="00CA14AB" w:rsidRPr="00E00B35" w:rsidRDefault="00CA14AB" w:rsidP="00E00B35">
            <w:pPr>
              <w:spacing w:after="0" w:line="312" w:lineRule="auto"/>
              <w:rPr>
                <w:szCs w:val="20"/>
              </w:rPr>
            </w:pPr>
            <w:r w:rsidRPr="00E00B35">
              <w:rPr>
                <w:szCs w:val="20"/>
              </w:rPr>
              <w:t>4533</w:t>
            </w:r>
          </w:p>
        </w:tc>
        <w:tc>
          <w:tcPr>
            <w:tcW w:w="1416" w:type="dxa"/>
            <w:vAlign w:val="center"/>
          </w:tcPr>
          <w:p w:rsidR="00CA14AB" w:rsidRPr="00E00B35" w:rsidRDefault="00CA14AB" w:rsidP="00E00B35">
            <w:pPr>
              <w:spacing w:after="0" w:line="312" w:lineRule="auto"/>
              <w:rPr>
                <w:szCs w:val="20"/>
              </w:rPr>
            </w:pPr>
            <w:r w:rsidRPr="00E00B35">
              <w:rPr>
                <w:szCs w:val="20"/>
              </w:rPr>
              <w:t>1676</w:t>
            </w:r>
          </w:p>
        </w:tc>
      </w:tr>
      <w:tr w:rsidR="00CA14AB" w:rsidRPr="00E00B35" w:rsidTr="00CA14AB">
        <w:trPr>
          <w:trHeight w:val="19"/>
        </w:trPr>
        <w:tc>
          <w:tcPr>
            <w:tcW w:w="3322" w:type="dxa"/>
            <w:shd w:val="clear" w:color="auto" w:fill="auto"/>
            <w:vAlign w:val="center"/>
            <w:hideMark/>
          </w:tcPr>
          <w:p w:rsidR="00CA14AB" w:rsidRPr="00E00B35" w:rsidRDefault="00CA14AB" w:rsidP="00E00B35">
            <w:pPr>
              <w:spacing w:after="0" w:line="312" w:lineRule="auto"/>
              <w:rPr>
                <w:szCs w:val="20"/>
              </w:rPr>
            </w:pPr>
            <w:r w:rsidRPr="00E00B35">
              <w:rPr>
                <w:szCs w:val="20"/>
              </w:rPr>
              <w:t>DDP ul. S. Żeromskiego 37/1</w:t>
            </w:r>
          </w:p>
        </w:tc>
        <w:tc>
          <w:tcPr>
            <w:tcW w:w="1506" w:type="dxa"/>
            <w:shd w:val="clear" w:color="auto" w:fill="auto"/>
          </w:tcPr>
          <w:p w:rsidR="00CA14AB" w:rsidRPr="00E00B35" w:rsidRDefault="00CA14AB" w:rsidP="00E00B35">
            <w:pPr>
              <w:spacing w:after="0" w:line="312" w:lineRule="auto"/>
              <w:rPr>
                <w:szCs w:val="20"/>
              </w:rPr>
            </w:pPr>
            <w:r w:rsidRPr="00E00B35">
              <w:rPr>
                <w:szCs w:val="20"/>
              </w:rPr>
              <w:t>1335</w:t>
            </w:r>
          </w:p>
        </w:tc>
        <w:tc>
          <w:tcPr>
            <w:tcW w:w="1506" w:type="dxa"/>
            <w:shd w:val="clear" w:color="auto" w:fill="auto"/>
          </w:tcPr>
          <w:p w:rsidR="00CA14AB" w:rsidRPr="00E00B35" w:rsidRDefault="00CA14AB" w:rsidP="00E00B35">
            <w:pPr>
              <w:spacing w:after="0" w:line="312" w:lineRule="auto"/>
              <w:rPr>
                <w:szCs w:val="20"/>
              </w:rPr>
            </w:pPr>
            <w:r w:rsidRPr="00E00B35">
              <w:rPr>
                <w:szCs w:val="20"/>
              </w:rPr>
              <w:t>2987</w:t>
            </w:r>
          </w:p>
        </w:tc>
        <w:tc>
          <w:tcPr>
            <w:tcW w:w="1506" w:type="dxa"/>
            <w:shd w:val="clear" w:color="auto" w:fill="auto"/>
          </w:tcPr>
          <w:p w:rsidR="00CA14AB" w:rsidRPr="00E00B35" w:rsidRDefault="00CA14AB" w:rsidP="00E00B35">
            <w:pPr>
              <w:spacing w:after="0" w:line="312" w:lineRule="auto"/>
              <w:rPr>
                <w:szCs w:val="20"/>
              </w:rPr>
            </w:pPr>
            <w:r w:rsidRPr="00E00B35">
              <w:rPr>
                <w:szCs w:val="20"/>
              </w:rPr>
              <w:t>3344</w:t>
            </w:r>
          </w:p>
        </w:tc>
        <w:tc>
          <w:tcPr>
            <w:tcW w:w="1416" w:type="dxa"/>
            <w:vAlign w:val="center"/>
          </w:tcPr>
          <w:p w:rsidR="00CA14AB" w:rsidRPr="00E00B35" w:rsidRDefault="00CA14AB" w:rsidP="00E00B35">
            <w:pPr>
              <w:spacing w:after="0" w:line="312" w:lineRule="auto"/>
              <w:rPr>
                <w:szCs w:val="20"/>
              </w:rPr>
            </w:pPr>
            <w:r w:rsidRPr="00E00B35">
              <w:rPr>
                <w:szCs w:val="20"/>
              </w:rPr>
              <w:t>856</w:t>
            </w:r>
          </w:p>
        </w:tc>
      </w:tr>
      <w:tr w:rsidR="00CA14AB" w:rsidRPr="00E00B35" w:rsidTr="00CA14AB">
        <w:trPr>
          <w:trHeight w:val="19"/>
        </w:trPr>
        <w:tc>
          <w:tcPr>
            <w:tcW w:w="3322" w:type="dxa"/>
            <w:shd w:val="clear" w:color="auto" w:fill="auto"/>
            <w:vAlign w:val="center"/>
          </w:tcPr>
          <w:p w:rsidR="00CA14AB" w:rsidRPr="00E00B35" w:rsidRDefault="00CA14AB" w:rsidP="00E00B35">
            <w:pPr>
              <w:spacing w:after="0" w:line="312" w:lineRule="auto"/>
              <w:rPr>
                <w:szCs w:val="20"/>
              </w:rPr>
            </w:pPr>
            <w:r w:rsidRPr="00E00B35">
              <w:rPr>
                <w:szCs w:val="20"/>
              </w:rPr>
              <w:lastRenderedPageBreak/>
              <w:t>DDP ul. Karmelkowa 25</w:t>
            </w:r>
          </w:p>
        </w:tc>
        <w:tc>
          <w:tcPr>
            <w:tcW w:w="1506" w:type="dxa"/>
            <w:shd w:val="clear" w:color="auto" w:fill="auto"/>
          </w:tcPr>
          <w:p w:rsidR="00CA14AB" w:rsidRPr="00E00B35" w:rsidRDefault="00CA14AB" w:rsidP="00E00B35">
            <w:pPr>
              <w:spacing w:after="0" w:line="312" w:lineRule="auto"/>
              <w:rPr>
                <w:szCs w:val="20"/>
              </w:rPr>
            </w:pPr>
            <w:r w:rsidRPr="00E00B35">
              <w:rPr>
                <w:szCs w:val="20"/>
              </w:rPr>
              <w:t>-</w:t>
            </w:r>
          </w:p>
        </w:tc>
        <w:tc>
          <w:tcPr>
            <w:tcW w:w="1506" w:type="dxa"/>
            <w:shd w:val="clear" w:color="auto" w:fill="auto"/>
          </w:tcPr>
          <w:p w:rsidR="00CA14AB" w:rsidRPr="00E00B35" w:rsidRDefault="00CA14AB" w:rsidP="00E00B35">
            <w:pPr>
              <w:spacing w:after="0" w:line="312" w:lineRule="auto"/>
              <w:rPr>
                <w:szCs w:val="20"/>
              </w:rPr>
            </w:pPr>
            <w:r w:rsidRPr="00E00B35">
              <w:rPr>
                <w:szCs w:val="20"/>
              </w:rPr>
              <w:t>-</w:t>
            </w:r>
          </w:p>
        </w:tc>
        <w:tc>
          <w:tcPr>
            <w:tcW w:w="1506" w:type="dxa"/>
            <w:shd w:val="clear" w:color="auto" w:fill="auto"/>
          </w:tcPr>
          <w:p w:rsidR="00CA14AB" w:rsidRPr="00E00B35" w:rsidRDefault="00CA14AB" w:rsidP="00E00B35">
            <w:pPr>
              <w:spacing w:after="0" w:line="312" w:lineRule="auto"/>
              <w:rPr>
                <w:szCs w:val="20"/>
              </w:rPr>
            </w:pPr>
            <w:r w:rsidRPr="00E00B35">
              <w:rPr>
                <w:szCs w:val="20"/>
              </w:rPr>
              <w:t>3188</w:t>
            </w:r>
          </w:p>
        </w:tc>
        <w:tc>
          <w:tcPr>
            <w:tcW w:w="1416" w:type="dxa"/>
            <w:vAlign w:val="center"/>
          </w:tcPr>
          <w:p w:rsidR="00CA14AB" w:rsidRPr="00E00B35" w:rsidRDefault="00CA14AB" w:rsidP="00E00B35">
            <w:pPr>
              <w:spacing w:after="0" w:line="312" w:lineRule="auto"/>
              <w:rPr>
                <w:szCs w:val="20"/>
              </w:rPr>
            </w:pPr>
            <w:r w:rsidRPr="00E00B35">
              <w:rPr>
                <w:szCs w:val="20"/>
              </w:rPr>
              <w:t>1848</w:t>
            </w:r>
          </w:p>
        </w:tc>
      </w:tr>
      <w:tr w:rsidR="00CA14AB" w:rsidRPr="00E00B35" w:rsidTr="00CA14AB">
        <w:trPr>
          <w:trHeight w:val="19"/>
        </w:trPr>
        <w:tc>
          <w:tcPr>
            <w:tcW w:w="3322" w:type="dxa"/>
            <w:shd w:val="clear" w:color="auto" w:fill="auto"/>
            <w:vAlign w:val="center"/>
          </w:tcPr>
          <w:p w:rsidR="00CA14AB" w:rsidRPr="00E00B35" w:rsidRDefault="00CA14AB" w:rsidP="00E00B35">
            <w:pPr>
              <w:spacing w:after="0" w:line="312" w:lineRule="auto"/>
              <w:rPr>
                <w:szCs w:val="20"/>
              </w:rPr>
            </w:pPr>
            <w:r w:rsidRPr="00E00B35">
              <w:rPr>
                <w:szCs w:val="20"/>
              </w:rPr>
              <w:t>DDP nr 1 ul. Semaforowa 5</w:t>
            </w:r>
          </w:p>
        </w:tc>
        <w:tc>
          <w:tcPr>
            <w:tcW w:w="1506" w:type="dxa"/>
            <w:shd w:val="clear" w:color="auto" w:fill="auto"/>
          </w:tcPr>
          <w:p w:rsidR="00CA14AB" w:rsidRPr="00E00B35" w:rsidRDefault="00CA14AB" w:rsidP="00E00B35">
            <w:pPr>
              <w:spacing w:after="0" w:line="312" w:lineRule="auto"/>
              <w:rPr>
                <w:szCs w:val="20"/>
              </w:rPr>
            </w:pPr>
            <w:r w:rsidRPr="00E00B35">
              <w:rPr>
                <w:szCs w:val="20"/>
              </w:rPr>
              <w:t>-</w:t>
            </w:r>
          </w:p>
        </w:tc>
        <w:tc>
          <w:tcPr>
            <w:tcW w:w="1506" w:type="dxa"/>
            <w:shd w:val="clear" w:color="auto" w:fill="auto"/>
          </w:tcPr>
          <w:p w:rsidR="00CA14AB" w:rsidRPr="00E00B35" w:rsidRDefault="00CA14AB" w:rsidP="00E00B35">
            <w:pPr>
              <w:spacing w:after="0" w:line="312" w:lineRule="auto"/>
              <w:rPr>
                <w:szCs w:val="20"/>
              </w:rPr>
            </w:pPr>
            <w:r w:rsidRPr="00E00B35">
              <w:rPr>
                <w:szCs w:val="20"/>
              </w:rPr>
              <w:t>-</w:t>
            </w:r>
          </w:p>
        </w:tc>
        <w:tc>
          <w:tcPr>
            <w:tcW w:w="1506" w:type="dxa"/>
            <w:shd w:val="clear" w:color="auto" w:fill="auto"/>
          </w:tcPr>
          <w:p w:rsidR="00CA14AB" w:rsidRPr="00E00B35" w:rsidRDefault="00CA14AB" w:rsidP="00E00B35">
            <w:pPr>
              <w:spacing w:after="0" w:line="312" w:lineRule="auto"/>
              <w:rPr>
                <w:szCs w:val="20"/>
              </w:rPr>
            </w:pPr>
            <w:r w:rsidRPr="00E00B35">
              <w:rPr>
                <w:szCs w:val="20"/>
              </w:rPr>
              <w:t>1137</w:t>
            </w:r>
          </w:p>
        </w:tc>
        <w:tc>
          <w:tcPr>
            <w:tcW w:w="1416" w:type="dxa"/>
            <w:vAlign w:val="center"/>
          </w:tcPr>
          <w:p w:rsidR="00CA14AB" w:rsidRPr="00E00B35" w:rsidRDefault="00CA14AB" w:rsidP="00E00B35">
            <w:pPr>
              <w:spacing w:after="0" w:line="312" w:lineRule="auto"/>
              <w:rPr>
                <w:szCs w:val="20"/>
              </w:rPr>
            </w:pPr>
            <w:r w:rsidRPr="00E00B35">
              <w:rPr>
                <w:szCs w:val="20"/>
              </w:rPr>
              <w:t>1413</w:t>
            </w:r>
          </w:p>
        </w:tc>
      </w:tr>
      <w:tr w:rsidR="00CA14AB" w:rsidRPr="00E00B35" w:rsidTr="00CA14AB">
        <w:trPr>
          <w:trHeight w:val="19"/>
        </w:trPr>
        <w:tc>
          <w:tcPr>
            <w:tcW w:w="3322" w:type="dxa"/>
            <w:shd w:val="clear" w:color="auto" w:fill="auto"/>
            <w:vAlign w:val="center"/>
          </w:tcPr>
          <w:p w:rsidR="00CA14AB" w:rsidRPr="00E00B35" w:rsidRDefault="00CA14AB" w:rsidP="00E00B35">
            <w:pPr>
              <w:spacing w:after="0" w:line="312" w:lineRule="auto"/>
              <w:rPr>
                <w:szCs w:val="20"/>
              </w:rPr>
            </w:pPr>
            <w:r w:rsidRPr="00E00B35">
              <w:rPr>
                <w:szCs w:val="20"/>
              </w:rPr>
              <w:t>DDP nr 2 ul. Semaforowa 5</w:t>
            </w:r>
          </w:p>
        </w:tc>
        <w:tc>
          <w:tcPr>
            <w:tcW w:w="1506" w:type="dxa"/>
            <w:shd w:val="clear" w:color="auto" w:fill="auto"/>
          </w:tcPr>
          <w:p w:rsidR="00CA14AB" w:rsidRPr="00E00B35" w:rsidRDefault="00CA14AB" w:rsidP="00E00B35">
            <w:pPr>
              <w:spacing w:after="0" w:line="312" w:lineRule="auto"/>
              <w:rPr>
                <w:szCs w:val="20"/>
              </w:rPr>
            </w:pPr>
            <w:r w:rsidRPr="00E00B35">
              <w:rPr>
                <w:szCs w:val="20"/>
              </w:rPr>
              <w:t>-</w:t>
            </w:r>
          </w:p>
        </w:tc>
        <w:tc>
          <w:tcPr>
            <w:tcW w:w="1506" w:type="dxa"/>
            <w:shd w:val="clear" w:color="auto" w:fill="auto"/>
          </w:tcPr>
          <w:p w:rsidR="00CA14AB" w:rsidRPr="00E00B35" w:rsidRDefault="00CA14AB" w:rsidP="00E00B35">
            <w:pPr>
              <w:spacing w:after="0" w:line="312" w:lineRule="auto"/>
              <w:rPr>
                <w:szCs w:val="20"/>
              </w:rPr>
            </w:pPr>
            <w:r w:rsidRPr="00E00B35">
              <w:rPr>
                <w:szCs w:val="20"/>
              </w:rPr>
              <w:t>-</w:t>
            </w:r>
          </w:p>
        </w:tc>
        <w:tc>
          <w:tcPr>
            <w:tcW w:w="1506" w:type="dxa"/>
            <w:shd w:val="clear" w:color="auto" w:fill="auto"/>
          </w:tcPr>
          <w:p w:rsidR="00CA14AB" w:rsidRPr="00E00B35" w:rsidRDefault="00CA14AB" w:rsidP="00E00B35">
            <w:pPr>
              <w:spacing w:after="0" w:line="312" w:lineRule="auto"/>
              <w:rPr>
                <w:szCs w:val="20"/>
              </w:rPr>
            </w:pPr>
            <w:r w:rsidRPr="00E00B35">
              <w:rPr>
                <w:szCs w:val="20"/>
              </w:rPr>
              <w:t>1219</w:t>
            </w:r>
          </w:p>
        </w:tc>
        <w:tc>
          <w:tcPr>
            <w:tcW w:w="1416" w:type="dxa"/>
            <w:vAlign w:val="center"/>
          </w:tcPr>
          <w:p w:rsidR="00CA14AB" w:rsidRPr="00E00B35" w:rsidRDefault="00CA14AB" w:rsidP="00E00B35">
            <w:pPr>
              <w:spacing w:after="0" w:line="312" w:lineRule="auto"/>
              <w:rPr>
                <w:szCs w:val="20"/>
              </w:rPr>
            </w:pPr>
            <w:r w:rsidRPr="00E00B35">
              <w:rPr>
                <w:szCs w:val="20"/>
              </w:rPr>
              <w:t>1154</w:t>
            </w:r>
          </w:p>
        </w:tc>
      </w:tr>
      <w:tr w:rsidR="00CA14AB" w:rsidRPr="00E00B35" w:rsidTr="00CA14AB">
        <w:trPr>
          <w:trHeight w:val="19"/>
        </w:trPr>
        <w:tc>
          <w:tcPr>
            <w:tcW w:w="3322" w:type="dxa"/>
            <w:shd w:val="clear" w:color="auto" w:fill="auto"/>
            <w:vAlign w:val="center"/>
          </w:tcPr>
          <w:p w:rsidR="00CA14AB" w:rsidRPr="00E00B35" w:rsidRDefault="00CA14AB" w:rsidP="00E00B35">
            <w:pPr>
              <w:spacing w:after="0" w:line="312" w:lineRule="auto"/>
              <w:rPr>
                <w:szCs w:val="20"/>
              </w:rPr>
            </w:pPr>
            <w:r w:rsidRPr="00E00B35">
              <w:rPr>
                <w:szCs w:val="20"/>
              </w:rPr>
              <w:t>DDP ul. W. Skoczylasa 8</w:t>
            </w:r>
          </w:p>
        </w:tc>
        <w:tc>
          <w:tcPr>
            <w:tcW w:w="1506" w:type="dxa"/>
            <w:shd w:val="clear" w:color="auto" w:fill="auto"/>
          </w:tcPr>
          <w:p w:rsidR="00CA14AB" w:rsidRPr="00E00B35" w:rsidRDefault="00CA14AB" w:rsidP="00E00B35">
            <w:pPr>
              <w:spacing w:after="0" w:line="312" w:lineRule="auto"/>
              <w:rPr>
                <w:szCs w:val="20"/>
              </w:rPr>
            </w:pPr>
            <w:r w:rsidRPr="00E00B35">
              <w:rPr>
                <w:szCs w:val="20"/>
              </w:rPr>
              <w:t>-</w:t>
            </w:r>
          </w:p>
        </w:tc>
        <w:tc>
          <w:tcPr>
            <w:tcW w:w="1506" w:type="dxa"/>
            <w:shd w:val="clear" w:color="auto" w:fill="auto"/>
          </w:tcPr>
          <w:p w:rsidR="00CA14AB" w:rsidRPr="00E00B35" w:rsidRDefault="00CA14AB" w:rsidP="00E00B35">
            <w:pPr>
              <w:spacing w:after="0" w:line="312" w:lineRule="auto"/>
              <w:rPr>
                <w:szCs w:val="20"/>
              </w:rPr>
            </w:pPr>
            <w:r w:rsidRPr="00E00B35">
              <w:rPr>
                <w:szCs w:val="20"/>
              </w:rPr>
              <w:t>-</w:t>
            </w:r>
          </w:p>
        </w:tc>
        <w:tc>
          <w:tcPr>
            <w:tcW w:w="1506" w:type="dxa"/>
            <w:shd w:val="clear" w:color="auto" w:fill="auto"/>
          </w:tcPr>
          <w:p w:rsidR="00CA14AB" w:rsidRPr="00E00B35" w:rsidRDefault="00CA14AB" w:rsidP="00E00B35">
            <w:pPr>
              <w:spacing w:after="0" w:line="312" w:lineRule="auto"/>
              <w:rPr>
                <w:szCs w:val="20"/>
              </w:rPr>
            </w:pPr>
            <w:r w:rsidRPr="00E00B35">
              <w:rPr>
                <w:szCs w:val="20"/>
              </w:rPr>
              <w:t>-</w:t>
            </w:r>
          </w:p>
        </w:tc>
        <w:tc>
          <w:tcPr>
            <w:tcW w:w="1416" w:type="dxa"/>
            <w:vAlign w:val="center"/>
          </w:tcPr>
          <w:p w:rsidR="00CA14AB" w:rsidRPr="00E00B35" w:rsidRDefault="00CA14AB" w:rsidP="00E00B35">
            <w:pPr>
              <w:spacing w:after="0" w:line="312" w:lineRule="auto"/>
              <w:rPr>
                <w:szCs w:val="20"/>
              </w:rPr>
            </w:pPr>
            <w:r w:rsidRPr="00E00B35">
              <w:rPr>
                <w:szCs w:val="20"/>
              </w:rPr>
              <w:t>1830</w:t>
            </w:r>
          </w:p>
        </w:tc>
      </w:tr>
      <w:tr w:rsidR="00CA14AB" w:rsidRPr="00E00B35" w:rsidTr="00CA14AB">
        <w:trPr>
          <w:trHeight w:val="19"/>
        </w:trPr>
        <w:tc>
          <w:tcPr>
            <w:tcW w:w="3322" w:type="dxa"/>
            <w:shd w:val="clear" w:color="000000" w:fill="D9D9D9"/>
            <w:vAlign w:val="center"/>
            <w:hideMark/>
          </w:tcPr>
          <w:p w:rsidR="00CA14AB" w:rsidRPr="00E00B35" w:rsidRDefault="00CA14AB" w:rsidP="00E00B35">
            <w:pPr>
              <w:spacing w:after="0" w:line="312" w:lineRule="auto"/>
              <w:rPr>
                <w:szCs w:val="20"/>
              </w:rPr>
            </w:pPr>
            <w:r w:rsidRPr="00E00B35">
              <w:rPr>
                <w:szCs w:val="20"/>
              </w:rPr>
              <w:t xml:space="preserve">Razem </w:t>
            </w:r>
          </w:p>
        </w:tc>
        <w:tc>
          <w:tcPr>
            <w:tcW w:w="1506" w:type="dxa"/>
            <w:shd w:val="clear" w:color="000000" w:fill="D9D9D9"/>
          </w:tcPr>
          <w:p w:rsidR="00CA14AB" w:rsidRPr="00E00B35" w:rsidRDefault="00CA14AB" w:rsidP="00E00B35">
            <w:pPr>
              <w:spacing w:after="0" w:line="312" w:lineRule="auto"/>
              <w:rPr>
                <w:szCs w:val="20"/>
              </w:rPr>
            </w:pPr>
            <w:r w:rsidRPr="00E00B35">
              <w:rPr>
                <w:szCs w:val="20"/>
              </w:rPr>
              <w:t>8912</w:t>
            </w:r>
          </w:p>
        </w:tc>
        <w:tc>
          <w:tcPr>
            <w:tcW w:w="1506" w:type="dxa"/>
            <w:shd w:val="clear" w:color="000000" w:fill="D9D9D9"/>
          </w:tcPr>
          <w:p w:rsidR="00CA14AB" w:rsidRPr="00E00B35" w:rsidRDefault="00CA14AB" w:rsidP="00E00B35">
            <w:pPr>
              <w:spacing w:after="0" w:line="312" w:lineRule="auto"/>
              <w:rPr>
                <w:szCs w:val="20"/>
              </w:rPr>
            </w:pPr>
            <w:r w:rsidRPr="00E00B35">
              <w:rPr>
                <w:szCs w:val="20"/>
              </w:rPr>
              <w:t>10409</w:t>
            </w:r>
          </w:p>
        </w:tc>
        <w:tc>
          <w:tcPr>
            <w:tcW w:w="1506" w:type="dxa"/>
            <w:shd w:val="clear" w:color="000000" w:fill="D9D9D9"/>
          </w:tcPr>
          <w:p w:rsidR="00CA14AB" w:rsidRPr="00E00B35" w:rsidRDefault="00CA14AB" w:rsidP="00E00B35">
            <w:pPr>
              <w:spacing w:after="0" w:line="312" w:lineRule="auto"/>
              <w:rPr>
                <w:szCs w:val="20"/>
              </w:rPr>
            </w:pPr>
            <w:r w:rsidRPr="00E00B35">
              <w:rPr>
                <w:szCs w:val="20"/>
              </w:rPr>
              <w:t>19204</w:t>
            </w:r>
          </w:p>
        </w:tc>
        <w:tc>
          <w:tcPr>
            <w:tcW w:w="1416" w:type="dxa"/>
            <w:shd w:val="clear" w:color="000000" w:fill="D9D9D9"/>
            <w:vAlign w:val="center"/>
          </w:tcPr>
          <w:p w:rsidR="00CA14AB" w:rsidRPr="00E00B35" w:rsidRDefault="00CA14AB" w:rsidP="00E00B35">
            <w:pPr>
              <w:spacing w:after="0" w:line="312" w:lineRule="auto"/>
              <w:rPr>
                <w:szCs w:val="20"/>
                <w:highlight w:val="yellow"/>
              </w:rPr>
            </w:pPr>
            <w:r w:rsidRPr="00E00B35">
              <w:rPr>
                <w:szCs w:val="20"/>
              </w:rPr>
              <w:t>11 245</w:t>
            </w:r>
          </w:p>
        </w:tc>
      </w:tr>
    </w:tbl>
    <w:p w:rsidR="0082271B" w:rsidRPr="00E00B35" w:rsidRDefault="0082271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 ramach realizacji zadań terapeutyczno-opiekuńczych w DDP zapewniono wsparcie psychologiczne. Klienci mieli możliwość korzystania ze specjalistycznych porad w wyznaczone dni w miesiącu. Prowadzono pogadanki, zajęcia integracyjne, konsultacje indywidualne oraz spotkania grupowe. Organizowano również spotkania edukacyjne z lekarzami i pracownikami służb społecznych (Policja, Straż Miejska, pracownicy socjalni MOPS).</w:t>
      </w:r>
    </w:p>
    <w:p w:rsidR="00CA14AB" w:rsidRPr="00E00B35" w:rsidRDefault="00CA14AB" w:rsidP="00E00B35">
      <w:pPr>
        <w:spacing w:after="0" w:line="312" w:lineRule="auto"/>
        <w:rPr>
          <w:szCs w:val="20"/>
        </w:rPr>
      </w:pPr>
      <w:r w:rsidRPr="00E00B35">
        <w:rPr>
          <w:szCs w:val="20"/>
        </w:rPr>
        <w:t>MCUS w ramach realizowanych projektów przyczynia się do wprowadzania innowacyjnych rozwiązań w funkcjonujących od dawna dziennych domów pomocy. Nowe rozwiązania stosowane przez partnerów projektowych są wzorem do  rozszerzenia zakresu świadczonych usług o usługi pielęgnacyjne, higieniczne i edukacyjne. Niezwykle istotnym jest, że wdrażanie nowych rozwiązań równoczesne jest z prowadzeniem cyklu szkoleń, ukierunkowanych na świadczenia usług w dziennych domach pomocy, które wpływają na podnoszenie kompetencji i wiedzy wśród pracowników.</w:t>
      </w:r>
    </w:p>
    <w:p w:rsidR="00CA14AB" w:rsidRPr="00E00B35" w:rsidRDefault="00CA14AB" w:rsidP="00E00B35">
      <w:pPr>
        <w:spacing w:after="0" w:line="312" w:lineRule="auto"/>
        <w:rPr>
          <w:szCs w:val="20"/>
        </w:rPr>
      </w:pPr>
      <w:r w:rsidRPr="00E00B35">
        <w:rPr>
          <w:szCs w:val="20"/>
        </w:rPr>
        <w:t>Dodatkowo w 2020 roku wychodząc naprzeciw potrzebom i problemom osób borykających się z opieką nad chorymi członkami rodzin, dzienne domy pomocy wprowadziły nową formę wsparcia skierowaną do rodzin i opiekunów faktycznych. Udzielane wsparcie psychologiczne, poradnictwo organizacyjne i wspólne spotkania są niezwykle istotnym elementem zintegrowanego systemu usług świadczonych w dziennych domach pomocy i wykazuje tendencje wzrostowe. W celu wzmocnienia kompetencji opiekuńczych (rodzin/opiekunów faktycznych) osób starszych niesamodzielnych, stale wprowadzane są nowe działania w dziennych domach pomocy podnoszące umiejętności i wiedzę opiekunów faktycznych w zakresie opieki, komunikacji z bliskimi.</w:t>
      </w:r>
    </w:p>
    <w:p w:rsidR="005E6C69" w:rsidRPr="00E00B35" w:rsidRDefault="005E6C69" w:rsidP="00E00B35">
      <w:pPr>
        <w:pStyle w:val="Nagwek5"/>
        <w:rPr>
          <w:szCs w:val="20"/>
        </w:rPr>
      </w:pPr>
      <w:bookmarkStart w:id="353" w:name="_Toc72352420"/>
      <w:bookmarkStart w:id="354" w:name="_Toc72352854"/>
    </w:p>
    <w:p w:rsidR="00CA14AB" w:rsidRPr="00E00B35" w:rsidRDefault="00CA14AB" w:rsidP="00E00B35">
      <w:pPr>
        <w:pStyle w:val="Nagwek5"/>
        <w:rPr>
          <w:szCs w:val="20"/>
        </w:rPr>
      </w:pPr>
      <w:r w:rsidRPr="00E00B35">
        <w:rPr>
          <w:szCs w:val="20"/>
        </w:rPr>
        <w:t>Podjęte działania w całodobowych DPS związane z epidemię SARS-CoV-2</w:t>
      </w:r>
      <w:bookmarkEnd w:id="353"/>
      <w:bookmarkEnd w:id="354"/>
    </w:p>
    <w:p w:rsidR="00CA14AB" w:rsidRPr="00E00B35" w:rsidRDefault="00CA14AB" w:rsidP="00E00B35">
      <w:pPr>
        <w:spacing w:after="0" w:line="312" w:lineRule="auto"/>
        <w:rPr>
          <w:szCs w:val="20"/>
        </w:rPr>
      </w:pPr>
      <w:r w:rsidRPr="00E00B35">
        <w:rPr>
          <w:szCs w:val="20"/>
        </w:rPr>
        <w:t xml:space="preserve">W związku z zagrożeniem związanym z epidemią koronawirusa SARS-CoV-2 dla osób starszych i przewlekle chorych, zostały  podjęte działania związane są z zapewnieniem ciągłości funkcjonowania DPS w stanie epidemii poprzez minimalizowanie zagrożeń, tj. wprowadzono i przestrzegano zasad higieny poprzez zastosowanie środków bezpieczeństwa i ochrony indywidualnej oraz stosowano się do obowiązujących zaleceń właściwych organów i służb. Działania te związane są z organizacją usług dla mieszkańców nowo przyjętych oraz mieszkańców powracających ze szpitala lub urlopowanych, z zasadami postępowania pracowników, z informacją i zaleceniami dotyczącymi opieki, sprzątania oraz postepowania z odpadami. Ograniczenia związane z epidemią SARS-CoV-2 dotyczyły organizacji poszczególnych stanowisk pracy poprzez ograniczenie kontaktów pomiędzy pracownikami. Ponadto pracownicy na stanowisku terapeuty zajęciowego oraz kulturalno-oświatowego pracowali indywidualnie z mieszkańcami z zastosowaniem środków ochrony osobistej, a także w przypadku braku </w:t>
      </w:r>
      <w:r w:rsidRPr="00E00B35">
        <w:rPr>
          <w:szCs w:val="20"/>
        </w:rPr>
        <w:lastRenderedPageBreak/>
        <w:t>ognisk zakażania, w większych grupach na świeżym powietrzu. Na potrzeby religijne zostały wykorzystane środki komunikacji zdalnej. Dodatkowo zostały ograniczone bezpośrednie kontakty mieszkańców z osobami spoza DPS. Jedynie konieczność wyjazdu mieszkańca na umówioną wizytę lekarską, do lekarza specjalisty została utrzymana, podczas której mieszkaniec jest wyposażony w środki ochrony osobistej.  Z uwagi na wprowadzone ograniczenia odwiedzin z zewnątrz, zapewniono w szerszym zakresie mieszkańcom dostęp do urządzeń umożliwiających kontakt z bliskimi (telefon: stacjonarny, komórkowy; tablet, komputer, Internet; komunikatory społecznościowe).</w:t>
      </w:r>
    </w:p>
    <w:p w:rsidR="00CA14AB" w:rsidRPr="00E00B35" w:rsidRDefault="00CA14AB" w:rsidP="00E00B35">
      <w:pPr>
        <w:spacing w:after="0" w:line="312" w:lineRule="auto"/>
        <w:rPr>
          <w:szCs w:val="20"/>
        </w:rPr>
      </w:pPr>
      <w:r w:rsidRPr="00E00B35">
        <w:rPr>
          <w:szCs w:val="20"/>
        </w:rPr>
        <w:t>W 2020 roku podjęto działania przygotowawcze w celu zapewnienia szczepień pracowników i mieszkańców DPS zakwalifikowanych do grupy „0”.</w:t>
      </w:r>
    </w:p>
    <w:p w:rsidR="00CA14AB" w:rsidRPr="00E00B35" w:rsidRDefault="00CA14AB" w:rsidP="00E00B35">
      <w:pPr>
        <w:spacing w:after="0" w:line="312" w:lineRule="auto"/>
        <w:rPr>
          <w:szCs w:val="20"/>
        </w:rPr>
      </w:pPr>
      <w:r w:rsidRPr="00E00B35">
        <w:rPr>
          <w:szCs w:val="20"/>
        </w:rPr>
        <w:t>Ze względu na epidemię SARS-CoV-2, która w sposób istotny wpływa na funkcjonowanie osób starszych oraz przewlekle chorych w 2020 roku liczba odbiorców usług w czterech domach pomocy społecznej MCUS w MCUS zmniejszyła się, średniomiesięcznie o 3 %. Natomiast pomimo epidemii w 8 dziennych domach pomocy odnotowaliśmy ogólny wzrost liczby klientów o 3,5 %, a biorąc pod uwagę nowo otwarty DDP Skoczylasa o 15%.</w:t>
      </w:r>
    </w:p>
    <w:p w:rsidR="00CA14AB" w:rsidRPr="00E00B35" w:rsidRDefault="00CA14AB" w:rsidP="00E00B35">
      <w:pPr>
        <w:spacing w:after="0" w:line="312" w:lineRule="auto"/>
        <w:rPr>
          <w:szCs w:val="20"/>
        </w:rPr>
      </w:pPr>
      <w:r w:rsidRPr="00E00B35">
        <w:rPr>
          <w:szCs w:val="20"/>
        </w:rPr>
        <w:t>W pierwszym etapie epidemii udało się nam utrzymać przez większość czasu stan bez większych ognisk SARS-CoV-2. Niestety druga fala która pojawiła się w październiku z głownie uwagi na rozsiane przypadkami w środowisku zewnętrznym spowodowała się pojawienie ognisk w trzech domach pomocy (odpowiednio DPS przy  ul. Karmelkowej przy ul. Rędzińskiej oraz przy ul. Mącznej), a pod koniec roku pojawiły się pojedyncze przypadki zakażenia w DPS przy ul. Kaletniczej. Na początku drugiej fali pojawiło się też ognisko w DDP przy ul. Karmelkowej. Wszelkie działania profilaktyczne oraz zapobiegające dalszemu rozprzestrzenianiu się zakażenia podejmowane były niezwłocznie, a także w porozumieniu z właściwymi organami i służbami epidemiologiczno-sanitarnymi. Wielokrotnie przeprowadzano akcje testowania pracowników i mieszkańców w kierunku SARS-CoV-2, aby zminimalizować ryzyko i uzyskać możliwe najlepszą wiedzę na temat sytuacji w określonym obiekcie. Organizowano proces testowania na zlecenie PSSE we Wrocławiu, wykorzystywano testy antygenowe uzyskane z Dolnośląskiego Urzędu Wojewódzkiego, a także zorganizowano dwukrotnie akcję  testowania pracowników DPS i DDP przez Wrocławskie Centrum Zdrowia (z tych testów skorzystało 264 pracowników). Na bieżąco podejmowano działania w celu zabezpieczenia pracowników oraz mieszkańców w niezbędne środki ochrony osobistej, środki higieniczne i porządkowe oraz sprzęt wspomagający likwidację koronawirusa w obiekcie. Wsparcie w tym zakresie (finansowe oraz rzeczowe) uzyskano z Gminy Wrocław,  Dolnośląskiego Urzędu Wojewódzkiego, w ramach wsparcia ze środków UE, ale także od wielu darczyńców ze środowiska – zarówno od osób prywatnych, jak i podmiotów gospodarczych oraz organizacji pozarządowych.</w:t>
      </w:r>
    </w:p>
    <w:p w:rsidR="00CA14AB" w:rsidRPr="00E00B35" w:rsidRDefault="00CA14AB" w:rsidP="00E00B35">
      <w:pPr>
        <w:spacing w:after="0" w:line="312" w:lineRule="auto"/>
        <w:rPr>
          <w:szCs w:val="20"/>
        </w:rPr>
      </w:pPr>
      <w:r w:rsidRPr="00E00B35">
        <w:rPr>
          <w:szCs w:val="20"/>
        </w:rPr>
        <w:t>W ramach niwelowania skutków COVID-19 poprzez łagodzenie skutków pandemii COVID-19 oraz przeciwdziałanie jej negatywnym konsekwencjom w DPS MCUS skorzystano z możliwości uzyskania dofinansowania w trzech projektach grantowych:</w:t>
      </w:r>
    </w:p>
    <w:p w:rsidR="00CA14AB" w:rsidRPr="00E00B35" w:rsidRDefault="00CA14AB" w:rsidP="00E00B35">
      <w:pPr>
        <w:spacing w:after="0" w:line="312" w:lineRule="auto"/>
        <w:rPr>
          <w:szCs w:val="20"/>
        </w:rPr>
      </w:pPr>
      <w:r w:rsidRPr="00E00B35">
        <w:rPr>
          <w:szCs w:val="20"/>
        </w:rPr>
        <w:t>1)</w:t>
      </w:r>
      <w:r w:rsidRPr="00E00B35">
        <w:rPr>
          <w:szCs w:val="20"/>
        </w:rPr>
        <w:tab/>
        <w:t xml:space="preserve">Projekt „Wsparcie Dolnośląskich DPS” realizowany w okresie od dnia 01.08.2020 r. do dnia 31.12.2020 r.- Program Operacyjny Wiedza Edukacja Rozwój 2014-2020, Oś </w:t>
      </w:r>
      <w:r w:rsidRPr="00E00B35">
        <w:rPr>
          <w:szCs w:val="20"/>
        </w:rPr>
        <w:lastRenderedPageBreak/>
        <w:t xml:space="preserve">priorytetowa II Efektywne polityki publiczne dla rynku pracy, gospodarki i edukacji, Działanie 2.8 Rozwój usług społecznych świadczonych w środowisku lokalnym współfinansowany ze środków Europejskiego Funduszu Społecznego. </w:t>
      </w:r>
    </w:p>
    <w:p w:rsidR="00CA14AB" w:rsidRPr="00E00B35" w:rsidRDefault="00CA14AB" w:rsidP="00E00B35">
      <w:pPr>
        <w:spacing w:after="0" w:line="312" w:lineRule="auto"/>
        <w:rPr>
          <w:szCs w:val="20"/>
        </w:rPr>
      </w:pPr>
      <w:r w:rsidRPr="00E00B35">
        <w:rPr>
          <w:szCs w:val="20"/>
        </w:rPr>
        <w:t>Łączna wysokość Grantu 1.392.778,65 zł, w tym:</w:t>
      </w:r>
    </w:p>
    <w:p w:rsidR="00CA14AB" w:rsidRPr="00E00B35" w:rsidRDefault="00CA14AB" w:rsidP="00E00B35">
      <w:pPr>
        <w:spacing w:after="0" w:line="312" w:lineRule="auto"/>
        <w:rPr>
          <w:szCs w:val="20"/>
        </w:rPr>
      </w:pPr>
      <w:r w:rsidRPr="00E00B35">
        <w:rPr>
          <w:szCs w:val="20"/>
        </w:rPr>
        <w:t>ze środków UE 1.173.833,85 zł</w:t>
      </w:r>
    </w:p>
    <w:p w:rsidR="00CA14AB" w:rsidRPr="00E00B35" w:rsidRDefault="00CA14AB" w:rsidP="00E00B35">
      <w:pPr>
        <w:spacing w:after="0" w:line="312" w:lineRule="auto"/>
        <w:rPr>
          <w:szCs w:val="20"/>
        </w:rPr>
      </w:pPr>
      <w:r w:rsidRPr="00E00B35">
        <w:rPr>
          <w:szCs w:val="20"/>
        </w:rPr>
        <w:t>ze środków budżetu państwa 218.944,80 zł.</w:t>
      </w:r>
    </w:p>
    <w:p w:rsidR="00CA14AB" w:rsidRPr="00E00B35" w:rsidRDefault="00CA14AB" w:rsidP="00E00B35">
      <w:pPr>
        <w:spacing w:after="0" w:line="312" w:lineRule="auto"/>
        <w:rPr>
          <w:szCs w:val="20"/>
        </w:rPr>
      </w:pPr>
      <w:r w:rsidRPr="00E00B35">
        <w:rPr>
          <w:szCs w:val="20"/>
        </w:rPr>
        <w:t>W ramach grantu zostały przekazane dodatki do wynagrodzeń dla pracowników świadczących bezpośrednią pracę z pensjonariuszami Domów Pomocy Społecznej;</w:t>
      </w:r>
    </w:p>
    <w:p w:rsidR="00CA14AB" w:rsidRPr="00E00B35" w:rsidRDefault="00CA14AB" w:rsidP="00E00B35">
      <w:pPr>
        <w:spacing w:after="0" w:line="312" w:lineRule="auto"/>
        <w:rPr>
          <w:szCs w:val="20"/>
        </w:rPr>
      </w:pPr>
      <w:r w:rsidRPr="00E00B35">
        <w:rPr>
          <w:szCs w:val="20"/>
        </w:rPr>
        <w:t>2)</w:t>
      </w:r>
      <w:r w:rsidRPr="00E00B35">
        <w:rPr>
          <w:szCs w:val="20"/>
        </w:rPr>
        <w:tab/>
        <w:t>Projekt „Zapewnienie bezpieczeństwa i opieki pacjentom oraz bezpieczeństwa personelowi zakładów opiekuńczo-leczniczych, domów pomocy społecznej, zakładów pielęgnacyjno-opiekuńczych i hospicjów na czas COVID-19” realizowany w okresie od dnia 01.05.2020 r. do dnia 31.12.2020 r. - Program Operacyjny Wiedza Edukacja Rozwój 2014-2020, Oś Priorytetowa V - Wsparcie dla obszaru zdrowia, Działanie 5.2 Działania projakościowe i rozwiązania organizacyjne w systemie ochrony zdrowia ułatwiające dostęp do niedrogich, trwałych oraz wysokiej jakości usług zdrowotnych współfinansowany ze środków Europejskiego Funduszu Społecznego. W ramach grantu wypłacono dodatki do wynagrodzenia dla pielęgniarek, które – ze względów bezpieczeństwa i ograniczania ryzyka zakażenia – musiały zrezygnować z innych miejsc zatrudnienia. Dodatkowo w celu maksymalizacji założonych efektów umożliwiono w placówkach objętych projektem wdrożenie dobrowolnego modelu bezpiecznego systemu pracy, aby chronić najbliższych przez zarażeniem. W ramach projektu podmiotami objętymi wsparciem były:</w:t>
      </w:r>
    </w:p>
    <w:p w:rsidR="00CA14AB" w:rsidRPr="00E00B35" w:rsidRDefault="00CA14AB" w:rsidP="00E00B35">
      <w:pPr>
        <w:spacing w:after="0" w:line="312" w:lineRule="auto"/>
        <w:rPr>
          <w:szCs w:val="20"/>
        </w:rPr>
      </w:pPr>
      <w:r w:rsidRPr="00E00B35">
        <w:rPr>
          <w:szCs w:val="20"/>
        </w:rPr>
        <w:t>MCUS Dom Pomocy Społecznej przy ul. Mącznej 3 - wysokość grantu: 61.821,19zł, z czego kwota 52.034,90 zł pochodzi ze środków europejskich, a kwota 9.786,29 zł z dotacji celowej,</w:t>
      </w:r>
    </w:p>
    <w:p w:rsidR="00CA14AB" w:rsidRPr="00E00B35" w:rsidRDefault="00CA14AB" w:rsidP="00E00B35">
      <w:pPr>
        <w:spacing w:after="0" w:line="312" w:lineRule="auto"/>
        <w:rPr>
          <w:szCs w:val="20"/>
        </w:rPr>
      </w:pPr>
      <w:r w:rsidRPr="00E00B35">
        <w:rPr>
          <w:szCs w:val="20"/>
        </w:rPr>
        <w:t>MCUS Dom Pomocy Społecznej przy ul. Rędzińskiej 66/68 - wysokość grantu: 98.630,39 zł,     z czego kwota 83.017,20 zł pochodzi ze środków europejskich, a kwota 15.613,19 zł z dotacji celowej,</w:t>
      </w:r>
    </w:p>
    <w:p w:rsidR="00CA14AB" w:rsidRPr="00E00B35" w:rsidRDefault="00CA14AB" w:rsidP="00E00B35">
      <w:pPr>
        <w:spacing w:after="0" w:line="312" w:lineRule="auto"/>
        <w:rPr>
          <w:szCs w:val="20"/>
        </w:rPr>
      </w:pPr>
      <w:r w:rsidRPr="00E00B35">
        <w:rPr>
          <w:szCs w:val="20"/>
        </w:rPr>
        <w:t>MCUS Dom Pomocy Społecznej przy ul. Karmelkowej 25 - wysokość grantu: 112.588,89 zł,  z czego kwota 94.766,07 zł pochodzi ze środków europejskich, a kwota 17.822,82 zł z dotacji celowej,</w:t>
      </w:r>
    </w:p>
    <w:p w:rsidR="00CA14AB" w:rsidRPr="00E00B35" w:rsidRDefault="00CA14AB" w:rsidP="00E00B35">
      <w:pPr>
        <w:spacing w:after="0" w:line="312" w:lineRule="auto"/>
        <w:rPr>
          <w:szCs w:val="20"/>
        </w:rPr>
      </w:pPr>
      <w:r w:rsidRPr="00E00B35">
        <w:rPr>
          <w:szCs w:val="20"/>
        </w:rPr>
        <w:t>MCUS Dom Pomocy Społecznej przy ul. Kaletniczej 8 - wysokość grantu: 66.752,81 zł, z czego kwota 56.185,84 zł pochodzi ze środków europejskich, a kwota 10.566,97 zł z dotacji celowej;</w:t>
      </w:r>
    </w:p>
    <w:p w:rsidR="00CA14AB" w:rsidRPr="00E00B35" w:rsidRDefault="00CA14AB" w:rsidP="00E00B35">
      <w:pPr>
        <w:spacing w:after="0" w:line="312" w:lineRule="auto"/>
        <w:rPr>
          <w:szCs w:val="20"/>
        </w:rPr>
      </w:pPr>
      <w:r w:rsidRPr="00E00B35">
        <w:rPr>
          <w:szCs w:val="20"/>
        </w:rPr>
        <w:t>3)</w:t>
      </w:r>
      <w:r w:rsidRPr="00E00B35">
        <w:rPr>
          <w:szCs w:val="20"/>
        </w:rPr>
        <w:tab/>
        <w:t>Projekt „Przeciwdziałanie wykluczeniu społecznemu spowodowanemu przez COVID-19” realizowany w okresie od dnia 26.10.2020 r. do dnia 31.03.2021 r. - Regionalny Program Operacyjny Województwa Dolnośląskiego 2014-2020, Oś priorytetowa 9 Włączenie społeczne, Działanie 9.3 Dostęp do wysokiej jakości usług zdrowotnych współfinansowany ze środków Europejskiego Funduszu Społecznego. Celem grantu jest niwelowanie skutków występowania choroby zakaźnej COVID-19 wywołanej wirusem SARS-CoV-2, w instytucjach opieki całodobowej (DPS) we Wrocławiu.  W projekcie realizowanym przez Gminę Wrocław objęto wsparciem 13 DPS, w tym cztery DPS funkcjonujące w strukturze MCUS.</w:t>
      </w:r>
    </w:p>
    <w:p w:rsidR="00CA14AB" w:rsidRPr="00E00B35" w:rsidRDefault="00CA14AB" w:rsidP="00E00B35">
      <w:pPr>
        <w:spacing w:after="0" w:line="312" w:lineRule="auto"/>
        <w:rPr>
          <w:szCs w:val="20"/>
        </w:rPr>
      </w:pPr>
      <w:r w:rsidRPr="00E00B35">
        <w:rPr>
          <w:szCs w:val="20"/>
        </w:rPr>
        <w:lastRenderedPageBreak/>
        <w:t>Łączna wysokość Grantu 708.206,30 zł, w tym:</w:t>
      </w:r>
    </w:p>
    <w:p w:rsidR="00CA14AB" w:rsidRPr="00E00B35" w:rsidRDefault="00CA14AB" w:rsidP="00E00B35">
      <w:pPr>
        <w:spacing w:after="0" w:line="312" w:lineRule="auto"/>
        <w:rPr>
          <w:szCs w:val="20"/>
        </w:rPr>
      </w:pPr>
      <w:r w:rsidRPr="00E00B35">
        <w:rPr>
          <w:szCs w:val="20"/>
        </w:rPr>
        <w:t>ze środków UE 601.975,36 zł</w:t>
      </w:r>
    </w:p>
    <w:p w:rsidR="00CA14AB" w:rsidRPr="00E00B35" w:rsidRDefault="00CA14AB" w:rsidP="00E00B35">
      <w:pPr>
        <w:spacing w:after="0" w:line="312" w:lineRule="auto"/>
        <w:rPr>
          <w:szCs w:val="20"/>
        </w:rPr>
      </w:pPr>
      <w:r w:rsidRPr="00E00B35">
        <w:rPr>
          <w:szCs w:val="20"/>
        </w:rPr>
        <w:t>ze środków budżetu państwa 70.820,63 zł</w:t>
      </w:r>
    </w:p>
    <w:p w:rsidR="00CA14AB" w:rsidRPr="00E00B35" w:rsidRDefault="00CA14AB" w:rsidP="00E00B35">
      <w:pPr>
        <w:spacing w:after="0" w:line="312" w:lineRule="auto"/>
        <w:rPr>
          <w:szCs w:val="20"/>
        </w:rPr>
      </w:pPr>
      <w:r w:rsidRPr="00E00B35">
        <w:rPr>
          <w:szCs w:val="20"/>
        </w:rPr>
        <w:t>ze środków Budżetu Wojewody Dolnośląskiego 35.410,31 zł.</w:t>
      </w:r>
    </w:p>
    <w:p w:rsidR="00CA14AB" w:rsidRPr="00E00B35" w:rsidRDefault="00CA14AB" w:rsidP="00E00B35">
      <w:pPr>
        <w:spacing w:after="0" w:line="312" w:lineRule="auto"/>
        <w:rPr>
          <w:szCs w:val="20"/>
        </w:rPr>
      </w:pPr>
      <w:r w:rsidRPr="00E00B35">
        <w:rPr>
          <w:szCs w:val="20"/>
        </w:rPr>
        <w:t>W ramach projektu zakupione zostały niezbędne środki ochrony osobistej, środki do dezynfekcji itp. oraz wyposażenie, które przyczynią się do zminimalizowania skutków COVID19 w DPS.</w:t>
      </w:r>
    </w:p>
    <w:p w:rsidR="00CA14AB" w:rsidRPr="00E00B35" w:rsidRDefault="00CA14AB" w:rsidP="00E00B35">
      <w:pPr>
        <w:spacing w:after="0" w:line="312" w:lineRule="auto"/>
        <w:rPr>
          <w:szCs w:val="20"/>
        </w:rPr>
      </w:pPr>
      <w:r w:rsidRPr="00E00B35">
        <w:rPr>
          <w:szCs w:val="20"/>
        </w:rPr>
        <w:t>Tabela 10. Dane dotyczące wydatków MCUS na walkę z epidemią SARS-CoV-2 z wyłączeniem dodatków do wynagrodzeń dla pracowników bezpośrednio pracujących z mieszkaniami DPS</w:t>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593"/>
        <w:gridCol w:w="1606"/>
      </w:tblGrid>
      <w:tr w:rsidR="00CA14AB" w:rsidRPr="00E00B35" w:rsidTr="00CA14AB">
        <w:trPr>
          <w:trHeight w:val="415"/>
        </w:trPr>
        <w:tc>
          <w:tcPr>
            <w:tcW w:w="7593" w:type="dxa"/>
            <w:shd w:val="clear" w:color="auto" w:fill="D9D9D9"/>
            <w:noWrap/>
            <w:tcMar>
              <w:top w:w="0" w:type="dxa"/>
              <w:left w:w="70" w:type="dxa"/>
              <w:bottom w:w="0" w:type="dxa"/>
              <w:right w:w="70" w:type="dxa"/>
            </w:tcMar>
          </w:tcPr>
          <w:p w:rsidR="00CA14AB" w:rsidRPr="00E00B35" w:rsidRDefault="00CA14AB" w:rsidP="00E00B35">
            <w:pPr>
              <w:spacing w:after="0" w:line="312" w:lineRule="auto"/>
              <w:rPr>
                <w:rFonts w:eastAsia="Calibri"/>
                <w:szCs w:val="20"/>
              </w:rPr>
            </w:pPr>
            <w:r w:rsidRPr="00E00B35">
              <w:rPr>
                <w:rFonts w:eastAsia="Calibri"/>
                <w:szCs w:val="20"/>
              </w:rPr>
              <w:t>Nazwa zadania i źródło finansowania</w:t>
            </w:r>
          </w:p>
        </w:tc>
        <w:tc>
          <w:tcPr>
            <w:tcW w:w="1479" w:type="dxa"/>
            <w:shd w:val="clear" w:color="auto" w:fill="D9D9D9"/>
            <w:noWrap/>
            <w:tcMar>
              <w:top w:w="0" w:type="dxa"/>
              <w:left w:w="70" w:type="dxa"/>
              <w:bottom w:w="0" w:type="dxa"/>
              <w:right w:w="70" w:type="dxa"/>
            </w:tcMar>
          </w:tcPr>
          <w:p w:rsidR="00CA14AB" w:rsidRPr="00E00B35" w:rsidRDefault="00CA14AB" w:rsidP="00E00B35">
            <w:pPr>
              <w:spacing w:after="0" w:line="312" w:lineRule="auto"/>
              <w:rPr>
                <w:rFonts w:eastAsia="Calibri"/>
                <w:szCs w:val="20"/>
              </w:rPr>
            </w:pPr>
            <w:r w:rsidRPr="00E00B35">
              <w:rPr>
                <w:rFonts w:eastAsia="Calibri"/>
                <w:szCs w:val="20"/>
              </w:rPr>
              <w:t xml:space="preserve">Kwota </w:t>
            </w:r>
            <w:r w:rsidRPr="00E00B35">
              <w:rPr>
                <w:szCs w:val="20"/>
              </w:rPr>
              <w:t>(zł)</w:t>
            </w:r>
          </w:p>
        </w:tc>
      </w:tr>
      <w:tr w:rsidR="00CA14AB" w:rsidRPr="00E00B35" w:rsidTr="00CA14AB">
        <w:trPr>
          <w:trHeight w:val="801"/>
        </w:trPr>
        <w:tc>
          <w:tcPr>
            <w:tcW w:w="7593" w:type="dxa"/>
            <w:noWrap/>
            <w:tcMar>
              <w:top w:w="0" w:type="dxa"/>
              <w:left w:w="70" w:type="dxa"/>
              <w:bottom w:w="0" w:type="dxa"/>
              <w:right w:w="70" w:type="dxa"/>
            </w:tcMar>
            <w:vAlign w:val="center"/>
            <w:hideMark/>
          </w:tcPr>
          <w:p w:rsidR="00CA14AB" w:rsidRPr="00E00B35" w:rsidRDefault="00CA14AB" w:rsidP="00E00B35">
            <w:pPr>
              <w:spacing w:after="0" w:line="312" w:lineRule="auto"/>
              <w:rPr>
                <w:rFonts w:eastAsia="Calibri"/>
                <w:szCs w:val="20"/>
              </w:rPr>
            </w:pPr>
            <w:r w:rsidRPr="00E00B35">
              <w:rPr>
                <w:rFonts w:eastAsia="Calibri"/>
                <w:szCs w:val="20"/>
              </w:rPr>
              <w:t xml:space="preserve">Zakup środków ochrony (np. maseczki, kombinezony, rękawiczki, przyłbice, aparatura, testy, środki dezynfekcyjne) - środki własne </w:t>
            </w:r>
          </w:p>
        </w:tc>
        <w:tc>
          <w:tcPr>
            <w:tcW w:w="1479" w:type="dxa"/>
            <w:noWrap/>
            <w:tcMar>
              <w:top w:w="0" w:type="dxa"/>
              <w:left w:w="70" w:type="dxa"/>
              <w:bottom w:w="0" w:type="dxa"/>
              <w:right w:w="70" w:type="dxa"/>
            </w:tcMar>
            <w:vAlign w:val="bottom"/>
            <w:hideMark/>
          </w:tcPr>
          <w:p w:rsidR="00CA14AB" w:rsidRPr="00E00B35" w:rsidRDefault="00CA14AB" w:rsidP="00E00B35">
            <w:pPr>
              <w:spacing w:after="0" w:line="312" w:lineRule="auto"/>
              <w:rPr>
                <w:rFonts w:eastAsia="Calibri"/>
                <w:szCs w:val="20"/>
              </w:rPr>
            </w:pPr>
            <w:r w:rsidRPr="00E00B35">
              <w:rPr>
                <w:rFonts w:eastAsia="Calibri"/>
                <w:szCs w:val="20"/>
              </w:rPr>
              <w:t>1 509 146,27</w:t>
            </w:r>
          </w:p>
        </w:tc>
      </w:tr>
      <w:tr w:rsidR="00CA14AB" w:rsidRPr="00E00B35" w:rsidTr="00CA14AB">
        <w:trPr>
          <w:trHeight w:val="720"/>
        </w:trPr>
        <w:tc>
          <w:tcPr>
            <w:tcW w:w="7593" w:type="dxa"/>
            <w:tcMar>
              <w:top w:w="0" w:type="dxa"/>
              <w:left w:w="70" w:type="dxa"/>
              <w:bottom w:w="0" w:type="dxa"/>
              <w:right w:w="70" w:type="dxa"/>
            </w:tcMar>
            <w:vAlign w:val="bottom"/>
            <w:hideMark/>
          </w:tcPr>
          <w:p w:rsidR="00CA14AB" w:rsidRPr="00E00B35" w:rsidRDefault="00CA14AB" w:rsidP="00E00B35">
            <w:pPr>
              <w:spacing w:after="0" w:line="312" w:lineRule="auto"/>
              <w:rPr>
                <w:rFonts w:eastAsia="Calibri"/>
                <w:szCs w:val="20"/>
              </w:rPr>
            </w:pPr>
            <w:r w:rsidRPr="00E00B35">
              <w:rPr>
                <w:rFonts w:eastAsia="Calibri"/>
                <w:szCs w:val="20"/>
              </w:rPr>
              <w:t>Projekt „Zapewnienie bezpieczeństwa i opieki pacjentom oraz bezpieczeństwa personelowi zakładów opiekuńczo-leczniczych, domów pomocy społecznej, zakładów pielęgnacyjno-opiekuńczych i hospicjów na czas COVID-19” współfinansowany przez UE ze środków EFS w ramach PO WER na lata 2014-2020 (środki ochrony bez dodatków do wynagrodzeń)</w:t>
            </w:r>
          </w:p>
        </w:tc>
        <w:tc>
          <w:tcPr>
            <w:tcW w:w="1479" w:type="dxa"/>
            <w:noWrap/>
            <w:tcMar>
              <w:top w:w="0" w:type="dxa"/>
              <w:left w:w="70" w:type="dxa"/>
              <w:bottom w:w="0" w:type="dxa"/>
              <w:right w:w="70" w:type="dxa"/>
            </w:tcMar>
            <w:vAlign w:val="bottom"/>
            <w:hideMark/>
          </w:tcPr>
          <w:p w:rsidR="00CA14AB" w:rsidRPr="00E00B35" w:rsidRDefault="00CA14AB" w:rsidP="00E00B35">
            <w:pPr>
              <w:spacing w:after="0" w:line="312" w:lineRule="auto"/>
              <w:rPr>
                <w:rFonts w:eastAsia="Calibri"/>
                <w:szCs w:val="20"/>
              </w:rPr>
            </w:pPr>
            <w:r w:rsidRPr="00E00B35">
              <w:rPr>
                <w:rFonts w:eastAsia="Calibri"/>
                <w:szCs w:val="20"/>
              </w:rPr>
              <w:t>27 785,00</w:t>
            </w:r>
          </w:p>
        </w:tc>
      </w:tr>
      <w:tr w:rsidR="00CA14AB" w:rsidRPr="00E00B35" w:rsidTr="00CA14AB">
        <w:trPr>
          <w:trHeight w:val="720"/>
        </w:trPr>
        <w:tc>
          <w:tcPr>
            <w:tcW w:w="7593" w:type="dxa"/>
            <w:tcMar>
              <w:top w:w="0" w:type="dxa"/>
              <w:left w:w="70" w:type="dxa"/>
              <w:bottom w:w="0" w:type="dxa"/>
              <w:right w:w="70" w:type="dxa"/>
            </w:tcMar>
            <w:vAlign w:val="bottom"/>
            <w:hideMark/>
          </w:tcPr>
          <w:p w:rsidR="00CA14AB" w:rsidRPr="00E00B35" w:rsidRDefault="00CA14AB" w:rsidP="00E00B35">
            <w:pPr>
              <w:spacing w:after="0" w:line="312" w:lineRule="auto"/>
              <w:rPr>
                <w:rFonts w:eastAsia="Calibri"/>
                <w:szCs w:val="20"/>
              </w:rPr>
            </w:pPr>
            <w:r w:rsidRPr="00E00B35">
              <w:rPr>
                <w:rFonts w:eastAsia="Calibri"/>
                <w:szCs w:val="20"/>
              </w:rPr>
              <w:t>Projekt „Przeciwdziałanie wykluczeniu społecznemu spowodowanemu przez COVID-19” współfinansowany przez UE ze środków EFS</w:t>
            </w:r>
            <w:r w:rsidRPr="00E00B35">
              <w:rPr>
                <w:rFonts w:eastAsia="Calibri"/>
                <w:szCs w:val="20"/>
              </w:rPr>
              <w:br/>
              <w:t>w ramach RPO WD  na lata 2014-2020 – środki ochrony – projekt trwa</w:t>
            </w:r>
          </w:p>
        </w:tc>
        <w:tc>
          <w:tcPr>
            <w:tcW w:w="1479" w:type="dxa"/>
            <w:noWrap/>
            <w:tcMar>
              <w:top w:w="0" w:type="dxa"/>
              <w:left w:w="70" w:type="dxa"/>
              <w:bottom w:w="0" w:type="dxa"/>
              <w:right w:w="70" w:type="dxa"/>
            </w:tcMar>
            <w:vAlign w:val="bottom"/>
            <w:hideMark/>
          </w:tcPr>
          <w:p w:rsidR="00CA14AB" w:rsidRPr="00E00B35" w:rsidRDefault="00CA14AB" w:rsidP="00E00B35">
            <w:pPr>
              <w:spacing w:after="0" w:line="312" w:lineRule="auto"/>
              <w:rPr>
                <w:rFonts w:eastAsia="Calibri"/>
                <w:szCs w:val="20"/>
              </w:rPr>
            </w:pPr>
            <w:r w:rsidRPr="00E00B35">
              <w:rPr>
                <w:rFonts w:eastAsia="Calibri"/>
                <w:szCs w:val="20"/>
              </w:rPr>
              <w:t>76921,33 (wydatkowane               w 2020 r.)</w:t>
            </w:r>
          </w:p>
        </w:tc>
      </w:tr>
      <w:tr w:rsidR="00CA14AB" w:rsidRPr="00E00B35" w:rsidTr="00CA14AB">
        <w:trPr>
          <w:trHeight w:val="344"/>
        </w:trPr>
        <w:tc>
          <w:tcPr>
            <w:tcW w:w="7593" w:type="dxa"/>
            <w:shd w:val="clear" w:color="auto" w:fill="D9D9D9"/>
            <w:tcMar>
              <w:top w:w="0" w:type="dxa"/>
              <w:left w:w="70" w:type="dxa"/>
              <w:bottom w:w="0" w:type="dxa"/>
              <w:right w:w="70" w:type="dxa"/>
            </w:tcMar>
            <w:vAlign w:val="bottom"/>
          </w:tcPr>
          <w:p w:rsidR="00CA14AB" w:rsidRPr="00E00B35" w:rsidRDefault="00CA14AB" w:rsidP="00E00B35">
            <w:pPr>
              <w:spacing w:after="0" w:line="312" w:lineRule="auto"/>
              <w:rPr>
                <w:rFonts w:eastAsia="Calibri"/>
                <w:szCs w:val="20"/>
              </w:rPr>
            </w:pPr>
            <w:r w:rsidRPr="00E00B35">
              <w:rPr>
                <w:rFonts w:eastAsia="Calibri"/>
                <w:szCs w:val="20"/>
              </w:rPr>
              <w:t>SUMA</w:t>
            </w:r>
          </w:p>
        </w:tc>
        <w:tc>
          <w:tcPr>
            <w:tcW w:w="1479" w:type="dxa"/>
            <w:shd w:val="clear" w:color="auto" w:fill="D9D9D9"/>
            <w:noWrap/>
            <w:tcMar>
              <w:top w:w="0" w:type="dxa"/>
              <w:left w:w="70" w:type="dxa"/>
              <w:bottom w:w="0" w:type="dxa"/>
              <w:right w:w="70" w:type="dxa"/>
            </w:tcMar>
            <w:vAlign w:val="bottom"/>
          </w:tcPr>
          <w:p w:rsidR="00CA14AB" w:rsidRPr="00E00B35" w:rsidRDefault="00CA14AB" w:rsidP="00E00B35">
            <w:pPr>
              <w:spacing w:after="0" w:line="312" w:lineRule="auto"/>
              <w:rPr>
                <w:rFonts w:eastAsia="Calibri"/>
                <w:szCs w:val="20"/>
              </w:rPr>
            </w:pPr>
            <w:r w:rsidRPr="00E00B35">
              <w:rPr>
                <w:rFonts w:eastAsia="Calibri"/>
                <w:szCs w:val="20"/>
              </w:rPr>
              <w:t xml:space="preserve">1 613 852,60 </w:t>
            </w:r>
          </w:p>
        </w:tc>
      </w:tr>
    </w:tbl>
    <w:p w:rsidR="0082271B" w:rsidRPr="00E00B35" w:rsidRDefault="0082271B" w:rsidP="00E00B35">
      <w:pPr>
        <w:spacing w:after="0" w:line="312" w:lineRule="auto"/>
        <w:rPr>
          <w:szCs w:val="20"/>
        </w:rPr>
      </w:pPr>
      <w:bookmarkStart w:id="355" w:name="_Toc72352421"/>
      <w:bookmarkStart w:id="356" w:name="_Toc72352855"/>
    </w:p>
    <w:p w:rsidR="00CA14AB" w:rsidRPr="00E00B35" w:rsidRDefault="00CA14AB" w:rsidP="00E00B35">
      <w:pPr>
        <w:pStyle w:val="Nagwek5"/>
        <w:rPr>
          <w:szCs w:val="20"/>
        </w:rPr>
      </w:pPr>
      <w:r w:rsidRPr="00E00B35">
        <w:rPr>
          <w:szCs w:val="20"/>
        </w:rPr>
        <w:t>Funkcjonowanie DDP w czasie epidemii SARS-CoV-2</w:t>
      </w:r>
      <w:bookmarkEnd w:id="355"/>
      <w:bookmarkEnd w:id="356"/>
      <w:r w:rsidRPr="00E00B35">
        <w:rPr>
          <w:szCs w:val="20"/>
        </w:rPr>
        <w:t xml:space="preserve"> </w:t>
      </w:r>
    </w:p>
    <w:p w:rsidR="00CA14AB" w:rsidRPr="00E00B35" w:rsidRDefault="00CA14AB" w:rsidP="00E00B35">
      <w:pPr>
        <w:spacing w:after="0" w:line="312" w:lineRule="auto"/>
        <w:rPr>
          <w:szCs w:val="20"/>
        </w:rPr>
      </w:pPr>
      <w:r w:rsidRPr="00E00B35">
        <w:rPr>
          <w:szCs w:val="20"/>
        </w:rPr>
        <w:t>W 2020 roku zgodnie z poleceniem Wojewody Dolnośląskiego, na podstawie art. 11h ust. 1 i 4 ustawy z dnia 2 marca 2020 r. o szczególnych rozwiązaniach związanych z zapobieganiem, przeciwdziałaniem i zwalczaniem COVID-19, innych chorób zakaźnych oraz wywołanych nimi sytuacji kryzysowych, w celu zapobiegania rozprzestrzenianiu się choroby zakaźnej COVID-19 wywołanej wirusem SARS-CoV-2 czasowo, od dnia 12 marca 2020 r. do dnia 17 czerwca  2020 r.  oraz od dnia 26 października 2020 r. do dnia 31 grudnia  2020 r., została zawieszona działalność dziennych domów pomocy.</w:t>
      </w:r>
    </w:p>
    <w:p w:rsidR="00CA14AB" w:rsidRPr="00E00B35" w:rsidRDefault="00CA14AB" w:rsidP="00E00B35">
      <w:pPr>
        <w:spacing w:after="0" w:line="312" w:lineRule="auto"/>
        <w:rPr>
          <w:szCs w:val="20"/>
        </w:rPr>
      </w:pPr>
      <w:r w:rsidRPr="00E00B35">
        <w:rPr>
          <w:szCs w:val="20"/>
        </w:rPr>
        <w:t>Czasowe zawieszenie nie dotyczyło prowadzenia i zapewnienia usług świadczonych w formie indywidualnego wsparcia, z pominięciem bezpośredniego  kontaktu osobistego, w szczególności polegającego na:</w:t>
      </w:r>
    </w:p>
    <w:p w:rsidR="00CA14AB" w:rsidRPr="00E00B35" w:rsidRDefault="00CA14AB" w:rsidP="00BC64AB">
      <w:pPr>
        <w:pStyle w:val="Akapitzlist"/>
        <w:numPr>
          <w:ilvl w:val="0"/>
          <w:numId w:val="222"/>
        </w:numPr>
        <w:spacing w:after="0" w:line="312" w:lineRule="auto"/>
        <w:rPr>
          <w:szCs w:val="20"/>
        </w:rPr>
      </w:pPr>
      <w:r w:rsidRPr="00E00B35">
        <w:rPr>
          <w:szCs w:val="20"/>
        </w:rPr>
        <w:t>wsparciu psychologicznym,</w:t>
      </w:r>
    </w:p>
    <w:p w:rsidR="00CA14AB" w:rsidRPr="00E00B35" w:rsidRDefault="00CA14AB" w:rsidP="00BC64AB">
      <w:pPr>
        <w:pStyle w:val="Akapitzlist"/>
        <w:numPr>
          <w:ilvl w:val="0"/>
          <w:numId w:val="222"/>
        </w:numPr>
        <w:spacing w:after="0" w:line="312" w:lineRule="auto"/>
        <w:rPr>
          <w:szCs w:val="20"/>
        </w:rPr>
      </w:pPr>
      <w:r w:rsidRPr="00E00B35">
        <w:rPr>
          <w:szCs w:val="20"/>
        </w:rPr>
        <w:t xml:space="preserve">poradnictwie za pomocą zdalnych środków komunikacji, np.: kontakt telefoniczny, on-line, </w:t>
      </w:r>
    </w:p>
    <w:p w:rsidR="00CA14AB" w:rsidRPr="00E00B35" w:rsidRDefault="00CA14AB" w:rsidP="00BC64AB">
      <w:pPr>
        <w:pStyle w:val="Akapitzlist"/>
        <w:numPr>
          <w:ilvl w:val="0"/>
          <w:numId w:val="222"/>
        </w:numPr>
        <w:spacing w:after="0" w:line="312" w:lineRule="auto"/>
        <w:rPr>
          <w:szCs w:val="20"/>
        </w:rPr>
      </w:pPr>
      <w:r w:rsidRPr="00E00B35">
        <w:rPr>
          <w:szCs w:val="20"/>
        </w:rPr>
        <w:t>dostarczaniu klientom posiłku do miejsca zamieszkania,</w:t>
      </w:r>
    </w:p>
    <w:p w:rsidR="00CA14AB" w:rsidRPr="00E00B35" w:rsidRDefault="00CA14AB" w:rsidP="00BC64AB">
      <w:pPr>
        <w:pStyle w:val="Akapitzlist"/>
        <w:numPr>
          <w:ilvl w:val="0"/>
          <w:numId w:val="222"/>
        </w:numPr>
        <w:spacing w:after="0" w:line="312" w:lineRule="auto"/>
        <w:rPr>
          <w:szCs w:val="20"/>
        </w:rPr>
      </w:pPr>
      <w:r w:rsidRPr="00E00B35">
        <w:rPr>
          <w:szCs w:val="20"/>
        </w:rPr>
        <w:t>robieniu zakupów klientom niesamodzielnym,</w:t>
      </w:r>
    </w:p>
    <w:p w:rsidR="00CA14AB" w:rsidRPr="00E00B35" w:rsidRDefault="00CA14AB" w:rsidP="00BC64AB">
      <w:pPr>
        <w:pStyle w:val="Akapitzlist"/>
        <w:numPr>
          <w:ilvl w:val="0"/>
          <w:numId w:val="222"/>
        </w:numPr>
        <w:spacing w:after="0" w:line="312" w:lineRule="auto"/>
        <w:rPr>
          <w:szCs w:val="20"/>
        </w:rPr>
      </w:pPr>
      <w:r w:rsidRPr="00E00B35">
        <w:rPr>
          <w:szCs w:val="20"/>
        </w:rPr>
        <w:t>realizacji e-recept klientów,</w:t>
      </w:r>
    </w:p>
    <w:p w:rsidR="00CA14AB" w:rsidRPr="00E00B35" w:rsidRDefault="00CA14AB" w:rsidP="00BC64AB">
      <w:pPr>
        <w:pStyle w:val="Akapitzlist"/>
        <w:numPr>
          <w:ilvl w:val="0"/>
          <w:numId w:val="222"/>
        </w:numPr>
        <w:spacing w:after="0" w:line="312" w:lineRule="auto"/>
        <w:rPr>
          <w:szCs w:val="20"/>
        </w:rPr>
      </w:pPr>
      <w:r w:rsidRPr="00E00B35">
        <w:rPr>
          <w:szCs w:val="20"/>
        </w:rPr>
        <w:t>pomocy w kontakcie z placówkami służby zdrowia,</w:t>
      </w:r>
    </w:p>
    <w:p w:rsidR="00CA14AB" w:rsidRPr="00E00B35" w:rsidRDefault="00CA14AB" w:rsidP="00BC64AB">
      <w:pPr>
        <w:pStyle w:val="Akapitzlist"/>
        <w:numPr>
          <w:ilvl w:val="0"/>
          <w:numId w:val="222"/>
        </w:numPr>
        <w:spacing w:after="0" w:line="312" w:lineRule="auto"/>
        <w:rPr>
          <w:szCs w:val="20"/>
        </w:rPr>
      </w:pPr>
      <w:r w:rsidRPr="00E00B35">
        <w:rPr>
          <w:szCs w:val="20"/>
        </w:rPr>
        <w:lastRenderedPageBreak/>
        <w:t>innych niezbędnych działań wspierających klientów.</w:t>
      </w:r>
    </w:p>
    <w:p w:rsidR="00CA14AB" w:rsidRPr="00E00B35" w:rsidRDefault="00CA14AB" w:rsidP="00E00B35">
      <w:pPr>
        <w:spacing w:after="0" w:line="312" w:lineRule="auto"/>
        <w:rPr>
          <w:szCs w:val="20"/>
        </w:rPr>
      </w:pPr>
      <w:r w:rsidRPr="00E00B35">
        <w:rPr>
          <w:szCs w:val="20"/>
        </w:rPr>
        <w:t>Klienci DDP zostali objęci ww. wsparciem. Posiłki były pakowane w reżimie sanitarnym w jednostkowe opakowania jednorazowe i dostarczane bezpośrednio do miejsc zamieszkania klientów. Wprowadzono zdalne formy działań terapeutycznych polegających m.in. na dostarczaniu kart pracy w celu treningów funkcji poznawczych wśród klientów, dostarczaniu prasy i książek oraz na prowadzeniu videogimnastyki, czy wsparciu terapeuty podczas rozmów telefonicznych. W okresie Świąt Bożego Narodzenia dostarczono klientom paczki z podarunkami. We wszystkich DDP zawieszono realizację działań w zakresie integracji ze środowiskiem lokalnym oraz udział w imprezach kulturalno-oświatowych.</w:t>
      </w:r>
    </w:p>
    <w:p w:rsidR="00CA14AB" w:rsidRPr="00E00B35" w:rsidRDefault="00CA14AB" w:rsidP="00E00B35">
      <w:pPr>
        <w:spacing w:after="0" w:line="312" w:lineRule="auto"/>
        <w:rPr>
          <w:szCs w:val="20"/>
        </w:rPr>
      </w:pPr>
      <w:r w:rsidRPr="00E00B35">
        <w:rPr>
          <w:szCs w:val="20"/>
        </w:rPr>
        <w:t>W okresach funkcjonowania DDP podczas epidemii (tzn. od dnia 18 czerwca 2020 r. do dnia 23 października 2020 r.) obowiązywał podwyższony reżim sanitarny, pracownicy stosowali środki ochrony osobistej (maseczki, przyłbice, rękawiczki jednorazowe) natomiast klienci podczas pobytu w DDP nosili przyłbice.</w:t>
      </w:r>
    </w:p>
    <w:p w:rsidR="00CA14AB" w:rsidRPr="00E00B35" w:rsidRDefault="00CA14AB" w:rsidP="00E00B35">
      <w:pPr>
        <w:spacing w:after="0" w:line="312" w:lineRule="auto"/>
        <w:rPr>
          <w:szCs w:val="20"/>
        </w:rPr>
      </w:pPr>
      <w:r w:rsidRPr="00E00B35">
        <w:rPr>
          <w:szCs w:val="20"/>
        </w:rPr>
        <w:t>W tych okresach, gdy DDP prowadziły działalność na miejscu usługi opiekuńcze i specjalistyczne usługi opiekuńcze były świadczone w mniejszych grupach klientów, tak aby na terenie DDP zapewnić zachowanie dystansu i tym samym ograniczyć zagrożenie zakażeniem wirusem. Klienci spożywali posiłki w małych grupach z zachowaniem dystansu społecznego. Przewóz osób odbywał się zgodnie z aktualnymi zaleceniami i rekomendacjami w tym zakresie.</w:t>
      </w:r>
    </w:p>
    <w:p w:rsidR="00CA14AB" w:rsidRPr="00E00B35" w:rsidRDefault="00CA14AB" w:rsidP="00E00B35">
      <w:pPr>
        <w:spacing w:after="0" w:line="312" w:lineRule="auto"/>
        <w:rPr>
          <w:szCs w:val="20"/>
        </w:rPr>
      </w:pPr>
      <w:r w:rsidRPr="00E00B35">
        <w:rPr>
          <w:szCs w:val="20"/>
        </w:rPr>
        <w:t>Podczas działalności DDP w czasie pandemii wsparcie było realizowane zarówno poprzez kontakt osobisty, jak i przez telefon oraz przy pomocy dostępnych mediów społecznościowych i komunikatorów, dla tych osób, które takiej pomocy potrzebowały. Warsztaty ze specjalistami były przeprowadzane w formie on-line z pomocą i zaangażowaniem personelu DDP, którzy pełnił rolę moderatorów spotkania, obserwował reakcję uczestników i przekazywał od nich informacje zwrotne oraz pytania.</w:t>
      </w:r>
    </w:p>
    <w:p w:rsidR="00CA14AB" w:rsidRPr="00E00B35" w:rsidRDefault="00CA14AB" w:rsidP="00E00B35">
      <w:pPr>
        <w:spacing w:after="0" w:line="312" w:lineRule="auto"/>
        <w:rPr>
          <w:szCs w:val="20"/>
        </w:rPr>
      </w:pPr>
      <w:r w:rsidRPr="00E00B35">
        <w:rPr>
          <w:szCs w:val="20"/>
        </w:rPr>
        <w:t>Działania w całodobowych domach pomocy społecznej, jak również dziennych domach pomocy wpisują się w znakomitą większość celów wskazanych w Programie wspierania osób   w podeszłym wieku, niepełnosprawnych oraz niesamodzielnych, zgodnie z Uchwałą nr LXIII/1518/18 Rady Miejskiej Wrocławia z dnia 11 października 2018 r. w sprawie „Gminnego programu wspierania osób w podeszłym wieku, niepełnosprawnych oraz niesamodzielnych” np.:</w:t>
      </w:r>
    </w:p>
    <w:p w:rsidR="00CA14AB" w:rsidRPr="00E00B35" w:rsidRDefault="00CA14AB" w:rsidP="00BC64AB">
      <w:pPr>
        <w:pStyle w:val="Akapitzlist"/>
        <w:numPr>
          <w:ilvl w:val="0"/>
          <w:numId w:val="222"/>
        </w:numPr>
        <w:spacing w:after="0" w:line="312" w:lineRule="auto"/>
        <w:rPr>
          <w:szCs w:val="20"/>
        </w:rPr>
      </w:pPr>
      <w:r w:rsidRPr="00E00B35">
        <w:rPr>
          <w:szCs w:val="20"/>
        </w:rPr>
        <w:t xml:space="preserve">rozwój infrastruktury domów pomocy społecznej oraz utrzymanie w nich właściwego standardu opieki, </w:t>
      </w:r>
    </w:p>
    <w:p w:rsidR="00CA14AB" w:rsidRPr="00E00B35" w:rsidRDefault="00CA14AB" w:rsidP="00BC64AB">
      <w:pPr>
        <w:pStyle w:val="Akapitzlist"/>
        <w:numPr>
          <w:ilvl w:val="0"/>
          <w:numId w:val="222"/>
        </w:numPr>
        <w:spacing w:after="0" w:line="312" w:lineRule="auto"/>
        <w:rPr>
          <w:szCs w:val="20"/>
        </w:rPr>
      </w:pPr>
      <w:r w:rsidRPr="00E00B35">
        <w:rPr>
          <w:szCs w:val="20"/>
        </w:rPr>
        <w:t xml:space="preserve">rozwój infrastruktury dziennych domów pomocy, </w:t>
      </w:r>
    </w:p>
    <w:p w:rsidR="00CA14AB" w:rsidRPr="00E00B35" w:rsidRDefault="00CA14AB" w:rsidP="00BC64AB">
      <w:pPr>
        <w:pStyle w:val="Akapitzlist"/>
        <w:numPr>
          <w:ilvl w:val="0"/>
          <w:numId w:val="222"/>
        </w:numPr>
        <w:spacing w:after="0" w:line="312" w:lineRule="auto"/>
        <w:rPr>
          <w:szCs w:val="20"/>
        </w:rPr>
      </w:pPr>
      <w:r w:rsidRPr="00E00B35">
        <w:rPr>
          <w:szCs w:val="20"/>
        </w:rPr>
        <w:t xml:space="preserve">edukacja zdrowotna wśród osób somatycznie i psychicznie chorych oraz wsparcie ich rodzin i opiekunów, </w:t>
      </w:r>
    </w:p>
    <w:p w:rsidR="00CA14AB" w:rsidRPr="00E00B35" w:rsidRDefault="00CA14AB" w:rsidP="00BC64AB">
      <w:pPr>
        <w:pStyle w:val="Akapitzlist"/>
        <w:numPr>
          <w:ilvl w:val="0"/>
          <w:numId w:val="222"/>
        </w:numPr>
        <w:spacing w:after="0" w:line="312" w:lineRule="auto"/>
        <w:rPr>
          <w:szCs w:val="20"/>
        </w:rPr>
      </w:pPr>
      <w:r w:rsidRPr="00E00B35">
        <w:rPr>
          <w:szCs w:val="20"/>
        </w:rPr>
        <w:t xml:space="preserve">edukacja i aktywizacja społeczna beneficjentów Programu, </w:t>
      </w:r>
    </w:p>
    <w:p w:rsidR="00CA14AB" w:rsidRPr="00E00B35" w:rsidRDefault="00CA14AB" w:rsidP="00BC64AB">
      <w:pPr>
        <w:pStyle w:val="Akapitzlist"/>
        <w:numPr>
          <w:ilvl w:val="0"/>
          <w:numId w:val="222"/>
        </w:numPr>
        <w:spacing w:after="0" w:line="312" w:lineRule="auto"/>
        <w:rPr>
          <w:szCs w:val="20"/>
        </w:rPr>
      </w:pPr>
      <w:r w:rsidRPr="00E00B35">
        <w:rPr>
          <w:szCs w:val="20"/>
        </w:rPr>
        <w:t xml:space="preserve">rozwijanie oferty miejsc pobytu dla beneficjentów Programu, </w:t>
      </w:r>
    </w:p>
    <w:p w:rsidR="00CA14AB" w:rsidRPr="00E00B35" w:rsidRDefault="00CA14AB" w:rsidP="00BC64AB">
      <w:pPr>
        <w:pStyle w:val="Akapitzlist"/>
        <w:numPr>
          <w:ilvl w:val="0"/>
          <w:numId w:val="222"/>
        </w:numPr>
        <w:spacing w:after="0" w:line="312" w:lineRule="auto"/>
        <w:rPr>
          <w:szCs w:val="20"/>
        </w:rPr>
      </w:pPr>
      <w:r w:rsidRPr="00E00B35">
        <w:rPr>
          <w:szCs w:val="20"/>
        </w:rPr>
        <w:t xml:space="preserve">dostosowanych do ich potrzeb życiowych, rozwój przyjaznego transportu, </w:t>
      </w:r>
    </w:p>
    <w:p w:rsidR="00CA14AB" w:rsidRPr="00E00B35" w:rsidRDefault="00CA14AB" w:rsidP="00BC64AB">
      <w:pPr>
        <w:pStyle w:val="Akapitzlist"/>
        <w:numPr>
          <w:ilvl w:val="0"/>
          <w:numId w:val="222"/>
        </w:numPr>
        <w:spacing w:after="0" w:line="312" w:lineRule="auto"/>
        <w:rPr>
          <w:szCs w:val="20"/>
        </w:rPr>
      </w:pPr>
      <w:r w:rsidRPr="00E00B35">
        <w:rPr>
          <w:szCs w:val="20"/>
        </w:rPr>
        <w:t xml:space="preserve">wzmocnienie wsparcia w życiu codziennym poprzez łatwiejszy dostęp do usług i specjalistów, </w:t>
      </w:r>
    </w:p>
    <w:p w:rsidR="00CA14AB" w:rsidRPr="00E00B35" w:rsidRDefault="00CA14AB" w:rsidP="00BC64AB">
      <w:pPr>
        <w:pStyle w:val="Akapitzlist"/>
        <w:numPr>
          <w:ilvl w:val="0"/>
          <w:numId w:val="222"/>
        </w:numPr>
        <w:spacing w:after="0" w:line="312" w:lineRule="auto"/>
        <w:rPr>
          <w:szCs w:val="20"/>
        </w:rPr>
      </w:pPr>
      <w:r w:rsidRPr="00E00B35">
        <w:rPr>
          <w:szCs w:val="20"/>
        </w:rPr>
        <w:t xml:space="preserve">rozwój aktywności fizycznej, </w:t>
      </w:r>
    </w:p>
    <w:p w:rsidR="00CA14AB" w:rsidRPr="00E00B35" w:rsidRDefault="00CA14AB" w:rsidP="00BC64AB">
      <w:pPr>
        <w:pStyle w:val="Akapitzlist"/>
        <w:numPr>
          <w:ilvl w:val="0"/>
          <w:numId w:val="222"/>
        </w:numPr>
        <w:spacing w:after="0" w:line="312" w:lineRule="auto"/>
        <w:rPr>
          <w:szCs w:val="20"/>
        </w:rPr>
      </w:pPr>
      <w:r w:rsidRPr="00E00B35">
        <w:rPr>
          <w:szCs w:val="20"/>
        </w:rPr>
        <w:lastRenderedPageBreak/>
        <w:t>poprawa poczucia bezpieczeństwa w miejscu zamieszkania.</w:t>
      </w:r>
    </w:p>
    <w:p w:rsidR="005E6C69" w:rsidRPr="00E00B35" w:rsidRDefault="005E6C69" w:rsidP="00E00B35">
      <w:pPr>
        <w:pStyle w:val="Nagwek4"/>
        <w:spacing w:before="0" w:after="0" w:line="312" w:lineRule="auto"/>
        <w:rPr>
          <w:sz w:val="20"/>
          <w:szCs w:val="20"/>
        </w:rPr>
      </w:pPr>
      <w:bookmarkStart w:id="357" w:name="_Toc72352422"/>
      <w:bookmarkStart w:id="358" w:name="_Toc72352856"/>
      <w:bookmarkStart w:id="359" w:name="_Toc72357850"/>
      <w:bookmarkStart w:id="360" w:name="_Toc72358004"/>
    </w:p>
    <w:p w:rsidR="00CA14AB" w:rsidRPr="00E00B35" w:rsidRDefault="00CA14AB" w:rsidP="00E00B35">
      <w:pPr>
        <w:pStyle w:val="Nagwek4"/>
        <w:spacing w:before="0" w:after="0" w:line="312" w:lineRule="auto"/>
        <w:rPr>
          <w:sz w:val="20"/>
          <w:szCs w:val="20"/>
        </w:rPr>
      </w:pPr>
      <w:r w:rsidRPr="00E00B35">
        <w:rPr>
          <w:sz w:val="20"/>
          <w:szCs w:val="20"/>
        </w:rPr>
        <w:t>MIEJSKI OŚRODEK POMOCY SPOŁECZNEJ</w:t>
      </w:r>
      <w:bookmarkEnd w:id="357"/>
      <w:bookmarkEnd w:id="358"/>
      <w:bookmarkEnd w:id="359"/>
      <w:bookmarkEnd w:id="360"/>
      <w:r w:rsidRPr="00E00B35">
        <w:rPr>
          <w:sz w:val="20"/>
          <w:szCs w:val="20"/>
        </w:rPr>
        <w:t xml:space="preserve"> </w:t>
      </w:r>
    </w:p>
    <w:p w:rsidR="00CA14AB" w:rsidRPr="00E00B35" w:rsidRDefault="00CA14AB" w:rsidP="00E00B35">
      <w:pPr>
        <w:spacing w:after="0" w:line="312" w:lineRule="auto"/>
        <w:rPr>
          <w:szCs w:val="20"/>
        </w:rPr>
      </w:pPr>
      <w:r w:rsidRPr="00E00B35">
        <w:rPr>
          <w:szCs w:val="20"/>
        </w:rPr>
        <w:t xml:space="preserve">Pomoc społeczna jest instytucją polityki społecznej mającą na celu umożliwianie osobom i rodzinom przezwyciężanie trudnych sytuacji życiowych, których nie są one </w:t>
      </w:r>
      <w:r w:rsidRPr="00E00B35">
        <w:rPr>
          <w:szCs w:val="20"/>
        </w:rPr>
        <w:br/>
        <w:t xml:space="preserve">w stanie pokonać wykorzystując własne uprawnienia, zasoby i możliwości. </w:t>
      </w:r>
    </w:p>
    <w:p w:rsidR="00CA14AB" w:rsidRPr="00E00B35" w:rsidRDefault="00CA14AB" w:rsidP="00E00B35">
      <w:pPr>
        <w:spacing w:after="0" w:line="312" w:lineRule="auto"/>
        <w:rPr>
          <w:szCs w:val="20"/>
        </w:rPr>
      </w:pPr>
      <w:r w:rsidRPr="00E00B35">
        <w:rPr>
          <w:szCs w:val="20"/>
        </w:rPr>
        <w:t>Miejski Ośrodek Pomocy Społecznej oraz inne jednostki pomocy społecznej realizują te zadania we Wrocławiu.</w:t>
      </w:r>
    </w:p>
    <w:p w:rsidR="00CA14AB" w:rsidRPr="00E00B35" w:rsidRDefault="00CA14AB" w:rsidP="00E00B35">
      <w:pPr>
        <w:spacing w:after="0" w:line="312" w:lineRule="auto"/>
        <w:rPr>
          <w:szCs w:val="20"/>
        </w:rPr>
      </w:pPr>
      <w:r w:rsidRPr="00E00B35">
        <w:rPr>
          <w:szCs w:val="20"/>
        </w:rPr>
        <w:t>Ośrodek wspiera osoby i rodziny w wysiłkach zmierzających do zaspokojenia niezbędnych potrzeb i umożliwia im życie w warunkach odpowiadających godności człowieka. Zadaniem pomocy społecznej jest zapobieganie powstawaniu trudnych sytuacji życiowych, przez podejmowanie działań zmierzających do życiowego usamodzielnienia osób i rodzin oraz ich integracji ze środowiskiem i to zarówno poprzez pomoc finansową, pracę socjalną, jak i tworzenie odpowiednich programów pomocowych, osłonowych</w:t>
      </w:r>
      <w:r w:rsidRPr="00E00B35">
        <w:rPr>
          <w:szCs w:val="20"/>
        </w:rPr>
        <w:br/>
        <w:t>i wsparcia.</w:t>
      </w:r>
    </w:p>
    <w:p w:rsidR="00CA14AB" w:rsidRPr="00E00B35" w:rsidRDefault="00CA14AB" w:rsidP="00E00B35">
      <w:pPr>
        <w:spacing w:after="0" w:line="312" w:lineRule="auto"/>
        <w:rPr>
          <w:szCs w:val="20"/>
        </w:rPr>
      </w:pPr>
      <w:r w:rsidRPr="00E00B35">
        <w:rPr>
          <w:szCs w:val="20"/>
        </w:rPr>
        <w:t>Pomoc społeczną organizują organy administracji rządowej i samorządowej, współpracując w tym zakresie, na zasadach partnerstwa, z organizacjami pozarządowymi, Kościołem Katolickim i innymi kościołami, związkami wyznaniowymi oraz osobami fizycznymi i prawnymi.</w:t>
      </w:r>
    </w:p>
    <w:p w:rsidR="00CA14AB" w:rsidRPr="00E00B35" w:rsidRDefault="00CA14AB" w:rsidP="00E00B35">
      <w:pPr>
        <w:spacing w:after="0" w:line="312" w:lineRule="auto"/>
        <w:rPr>
          <w:szCs w:val="20"/>
        </w:rPr>
      </w:pPr>
      <w:r w:rsidRPr="00E00B35">
        <w:rPr>
          <w:szCs w:val="20"/>
        </w:rPr>
        <w:t xml:space="preserve">Gmina i powiat są obowiązane zgodnie z przepisami ustawy o pomocy społecznej do wykonywania zadań pomocy społecznej i nie mogą odmówić pomocy osobie potrzebującej, mimo istniejącego obowiązku osób fizycznych lub prawnych do zaspokajania jej niezbędnych potrzeb życiowych. Rodzaj, forma i rozmiar świadczenia powinny być odpowiednie do okoliczności uzasadniających udzielenie pomocy. Potrzeby osób i rodzin powinny zostać uwzględnione, jeżeli odpowiadają celom i mieszczą się </w:t>
      </w:r>
      <w:r w:rsidRPr="00E00B35">
        <w:rPr>
          <w:szCs w:val="20"/>
        </w:rPr>
        <w:br/>
        <w:t>w możliwościach pomocy społecznej.</w:t>
      </w:r>
    </w:p>
    <w:p w:rsidR="00CA14AB" w:rsidRPr="00E00B35" w:rsidRDefault="00CA14AB" w:rsidP="00E00B35">
      <w:pPr>
        <w:spacing w:after="0" w:line="312" w:lineRule="auto"/>
        <w:rPr>
          <w:szCs w:val="20"/>
        </w:rPr>
      </w:pPr>
      <w:r w:rsidRPr="00E00B35">
        <w:rPr>
          <w:szCs w:val="20"/>
        </w:rPr>
        <w:t xml:space="preserve">Osoby i rodziny korzystające z pomocy społecznej są obowiązane do współdziałania </w:t>
      </w:r>
      <w:r w:rsidRPr="00E00B35">
        <w:rPr>
          <w:szCs w:val="20"/>
        </w:rPr>
        <w:br/>
        <w:t>w rozwiązywaniu ich trudnej sytuacji życiowej.</w:t>
      </w:r>
    </w:p>
    <w:p w:rsidR="00CA14AB" w:rsidRPr="00E00B35" w:rsidRDefault="00CA14AB" w:rsidP="00E00B35">
      <w:pPr>
        <w:spacing w:after="0" w:line="312" w:lineRule="auto"/>
        <w:rPr>
          <w:szCs w:val="20"/>
        </w:rPr>
      </w:pPr>
      <w:r w:rsidRPr="00E00B35">
        <w:rPr>
          <w:szCs w:val="20"/>
        </w:rPr>
        <w:t xml:space="preserve">Biorąc pod uwagę, iż 8 394 osób w rodzinie korzysta z zasiłków wypłacanych zgodnie </w:t>
      </w:r>
      <w:r w:rsidRPr="00E00B35">
        <w:rPr>
          <w:szCs w:val="20"/>
        </w:rPr>
        <w:br/>
        <w:t xml:space="preserve">z ustawą o pomocy społecznej, 2 745 osób otrzymuje dodatek do wydatków mieszkaniowych, 1 175 osób korzysta z dodatku energetycznego, dla 11 246 rodzin wypłacane są świadczenia rodzinne, 2 177 osób otrzymuje wypłaty z funduszu alimentacyjnego, ze świadczenia wychowawczego korzysta średnio miesięcznie 104 635 dzieci, ze świadczenia „Dobry Start” skorzystało 57 352 dzieci, a 176 rodzin korzysta </w:t>
      </w:r>
      <w:r w:rsidRPr="00E00B35">
        <w:rPr>
          <w:szCs w:val="20"/>
        </w:rPr>
        <w:br/>
        <w:t xml:space="preserve">z pomocy materialnej o charakterze socjalnym dla uczniów, co daje łączną liczbę osób korzystających w 2020 roku z różnych form pomocy wypłacanych przez MOPS – 187 900, czyli 29,19% mieszkańców Wrocławia. Jedna osoba może korzystać z kilku form pomocy, dlatego szacuje się, że pomocą z powodu ubóstwa powiązanego z innymi trudnościami życiowymi objęte jest około 3% mieszkańców Wrocławia. </w:t>
      </w:r>
    </w:p>
    <w:p w:rsidR="00CA14AB" w:rsidRPr="00E00B35" w:rsidRDefault="00CA14AB" w:rsidP="00E00B35">
      <w:pPr>
        <w:spacing w:after="0" w:line="312" w:lineRule="auto"/>
        <w:rPr>
          <w:szCs w:val="20"/>
        </w:rPr>
      </w:pPr>
      <w:r w:rsidRPr="00E00B35">
        <w:rPr>
          <w:szCs w:val="20"/>
        </w:rPr>
        <w:t>W 2020r. na realizację zadań wydatkowano 896 722 229,75 zł (w tym projekty 2 085 586,58 zł), w tym na realizację poszczególnych zadań przeznaczono:</w:t>
      </w:r>
    </w:p>
    <w:p w:rsidR="00CA14AB" w:rsidRPr="00E00B35" w:rsidRDefault="00CA14AB" w:rsidP="00BC64AB">
      <w:pPr>
        <w:pStyle w:val="Akapitzlist"/>
        <w:numPr>
          <w:ilvl w:val="0"/>
          <w:numId w:val="223"/>
        </w:numPr>
        <w:spacing w:after="0" w:line="312" w:lineRule="auto"/>
        <w:rPr>
          <w:szCs w:val="20"/>
        </w:rPr>
      </w:pPr>
      <w:r w:rsidRPr="00E00B35">
        <w:rPr>
          <w:szCs w:val="20"/>
        </w:rPr>
        <w:t>749 307 897,33 zł na zadania zlecone Gminie;</w:t>
      </w:r>
    </w:p>
    <w:p w:rsidR="00CA14AB" w:rsidRPr="00E00B35" w:rsidRDefault="00CA14AB" w:rsidP="00BC64AB">
      <w:pPr>
        <w:pStyle w:val="Akapitzlist"/>
        <w:numPr>
          <w:ilvl w:val="0"/>
          <w:numId w:val="223"/>
        </w:numPr>
        <w:spacing w:after="0" w:line="312" w:lineRule="auto"/>
        <w:rPr>
          <w:szCs w:val="20"/>
        </w:rPr>
      </w:pPr>
      <w:r w:rsidRPr="00E00B35">
        <w:rPr>
          <w:szCs w:val="20"/>
        </w:rPr>
        <w:t>107 697 907,06 zł na zadania własne Gminy (w tym projekty 1 308 626,20 zł);</w:t>
      </w:r>
    </w:p>
    <w:p w:rsidR="00CA14AB" w:rsidRPr="00E00B35" w:rsidRDefault="00CA14AB" w:rsidP="00BC64AB">
      <w:pPr>
        <w:pStyle w:val="Akapitzlist"/>
        <w:numPr>
          <w:ilvl w:val="0"/>
          <w:numId w:val="223"/>
        </w:numPr>
        <w:spacing w:after="0" w:line="312" w:lineRule="auto"/>
        <w:rPr>
          <w:szCs w:val="20"/>
        </w:rPr>
      </w:pPr>
      <w:r w:rsidRPr="00E00B35">
        <w:rPr>
          <w:szCs w:val="20"/>
        </w:rPr>
        <w:lastRenderedPageBreak/>
        <w:t>28 439 153,39 zł na zadania własne Powiatu (w tym projekty 776 960,38 zł);</w:t>
      </w:r>
    </w:p>
    <w:p w:rsidR="00CA14AB" w:rsidRPr="00E00B35" w:rsidRDefault="00CA14AB" w:rsidP="00BC64AB">
      <w:pPr>
        <w:pStyle w:val="Akapitzlist"/>
        <w:numPr>
          <w:ilvl w:val="0"/>
          <w:numId w:val="223"/>
        </w:numPr>
        <w:spacing w:after="0" w:line="312" w:lineRule="auto"/>
        <w:rPr>
          <w:szCs w:val="20"/>
        </w:rPr>
      </w:pPr>
      <w:r w:rsidRPr="00E00B35">
        <w:rPr>
          <w:szCs w:val="20"/>
        </w:rPr>
        <w:t>11 277 271,97 zł na zadania zlecone Powiatowi.</w:t>
      </w:r>
    </w:p>
    <w:p w:rsidR="00CA14AB" w:rsidRPr="00E00B35" w:rsidRDefault="00CA14AB" w:rsidP="00E00B35">
      <w:pPr>
        <w:spacing w:after="0" w:line="312" w:lineRule="auto"/>
        <w:rPr>
          <w:rFonts w:eastAsia="Calibri"/>
          <w:szCs w:val="20"/>
        </w:rPr>
      </w:pPr>
      <w:r w:rsidRPr="00E00B35">
        <w:rPr>
          <w:rFonts w:eastAsia="Calibri"/>
          <w:szCs w:val="20"/>
        </w:rPr>
        <w:t xml:space="preserve">Na podstawie Zarządzenia nr 2909/2020 z dnia 28 kwietnia 2020r. w sprawie podziału środków Państwowego Funduszu Rehabilitacji Osób Niepełnosprawnych </w:t>
      </w:r>
      <w:r w:rsidRPr="00E00B35">
        <w:rPr>
          <w:rFonts w:eastAsia="Calibri"/>
          <w:szCs w:val="20"/>
        </w:rPr>
        <w:br/>
        <w:t xml:space="preserve">na zadania z zakresu rehabilitacji zawodowej i społecznej osób niepełnosprawnych realizowane przez Miasto Wrocław w 2020r. (z późn. zm.)  Gmina Wrocław-MOPS dysponowała środkami Państwowego Funduszu Rehabilitacji Osób Niepełnosprawnych (PFRON) w łącznej wysokości 10 640 821,00 zł na rehabilitację społeczną osób </w:t>
      </w:r>
      <w:r w:rsidRPr="00E00B35">
        <w:rPr>
          <w:rFonts w:eastAsia="Calibri"/>
          <w:szCs w:val="20"/>
        </w:rPr>
        <w:br/>
        <w:t xml:space="preserve">niepełnosprawnych. W 2020 r. wypłacono na zadania związane z indywidualnymi potrzebami osób z niepełnosprawnością kwotę 4 890 918,00 zł i na prowadzenie </w:t>
      </w:r>
      <w:r w:rsidRPr="00E00B35">
        <w:rPr>
          <w:rFonts w:eastAsia="Calibri"/>
          <w:szCs w:val="20"/>
        </w:rPr>
        <w:br/>
        <w:t>5 Warsztatów Terapii Zajęciowej (WTZ) kwotę 5 665 094,00 zł, co daje łącznie 10 556 012,00 zł.  Na obsługę powyższego  zadania Gmina Wrocław-MOPS wykorzystała kwotę 254 683,00 zł. Działalność WTZ-ów została dofinansowana przez Gminę Wrocław w kwocie 629 969 zł. Od 2012 roku Gmina Wrocław-MOPS realizuje dodatkowo program „Aktywny Samorząd”, który również jest finansowany ze środków PFRON. Kwota przeznaczona na dofinansowania zadań w 2020 na dzień składania sprawozdania  wynosi 1 797 235 zł.</w:t>
      </w:r>
    </w:p>
    <w:p w:rsidR="00CA14AB" w:rsidRPr="00E00B35" w:rsidRDefault="00CA14AB" w:rsidP="00E00B35">
      <w:pPr>
        <w:spacing w:after="0" w:line="312" w:lineRule="auto"/>
        <w:rPr>
          <w:rFonts w:eastAsia="Calibri"/>
          <w:szCs w:val="20"/>
        </w:rPr>
      </w:pPr>
      <w:r w:rsidRPr="00E00B35">
        <w:rPr>
          <w:szCs w:val="20"/>
        </w:rPr>
        <w:t>W 2020r. Miasto prowadziło samodzielnie lub za pośrednictwem organizacji pozarządowych 13 całodobowych domów pomocy społecznej o łącznych wydatkach 61 642 409,45 zł, 1 mieszkanie chronione, na które wydatkowano 244 047 zł oraz</w:t>
      </w:r>
      <w:bookmarkStart w:id="361" w:name="_Hlk534356951"/>
      <w:bookmarkStart w:id="362" w:name="_Hlk535999913"/>
      <w:r w:rsidRPr="00E00B35">
        <w:rPr>
          <w:szCs w:val="20"/>
        </w:rPr>
        <w:br/>
        <w:t xml:space="preserve">35 placówek opiekuńczo-wychowawczych (w tym 13 typu rodzinnego) o łącznych wydatkach 29 454 554,28 zł, Centrum Rozwoju i Aktywności Dzieci i Młodzieży Stowarzyszenia Pomocy Iskierka 2 092 000,00 zł, 7 środowiskowych domów samopomocy, na które wydatkowano 4 451 456,52 zł, oraz dwa ośrodki prowadzone przez Stowarzyszenie "Akson" – Ośrodek Interwencji Kryzysowej na kwotę 336 000,00 zł i Specjalistyczny Ośrodek Wsparcia dla Ofiar Przemocy w Rodzinie na kwotę 455 000,00 zł. Dodatkowo w ramach zadań zleconych przez Miasto, organizacje pozarządowe prowadziły dwa dzienne domy pomocy, w tym Dzienny Dom Pomocy „Senior+” z dotacją łączną w 2020r. na kwotę 692 000 zł, opiekę wytchnieniową, w tym w miejscu zamieszkania osób z niepełnosprawnością (dwie dotacje łącznie na kwotę 901 730 zł), Streetbus – uliczny autobus dla osób w kryzysie ulicznej bezdomności wraz z usługami streetworkerów z dotacją na kwotę 95 480 zł, a także wypożyczalnię sprzętu rehabilitacyjnego i pomocniczego z dotacją na kwotę w wysokości 72 500 zł. </w:t>
      </w:r>
    </w:p>
    <w:p w:rsidR="00CA14AB" w:rsidRPr="00E00B35" w:rsidRDefault="00CA14AB" w:rsidP="00E00B35">
      <w:pPr>
        <w:spacing w:after="0" w:line="312" w:lineRule="auto"/>
        <w:rPr>
          <w:szCs w:val="20"/>
        </w:rPr>
      </w:pPr>
      <w:bookmarkStart w:id="363" w:name="_Hlk61972780"/>
      <w:r w:rsidRPr="00E00B35">
        <w:rPr>
          <w:szCs w:val="20"/>
        </w:rPr>
        <w:t>Ponadto MOPS nadzorował 3 dzienne domy pomocy, Ośrodek Opiekuńczo-Adaptacyjny "Pensjonat dla Osób Starszych" – przy ul. Kamieńskiego 91 oraz Ośrodek Wsparcia – Dom dla Matek z Małoletnimi Dziećmi i Kobiet w Ciąży przy ul. Reymonta i ul. Chrobrego, Nadodrzańskie Centrum Wsparcia z budżetem w wysokości 1 126 927,06 zł, pracę prowadzonych przez ngo 10 schronisk, 1 Domu dla matek z małoletnimi dziećmi i kobiet w ciąży i 1 noclegowni dla osób bezdomnych, w których jest łącznie 649 miejsc całorocznych (w okresie zimowym dodatkowe 155 dostawek), 1 łaźni, 4 kuchni charytatywnych wydających dziennie ok. 1 430 posiłków oraz "Ogrzewalni”.</w:t>
      </w:r>
    </w:p>
    <w:p w:rsidR="00CA14AB" w:rsidRPr="00E00B35" w:rsidRDefault="00CA14AB" w:rsidP="00E00B35">
      <w:pPr>
        <w:spacing w:after="0" w:line="312" w:lineRule="auto"/>
        <w:rPr>
          <w:szCs w:val="20"/>
        </w:rPr>
      </w:pPr>
      <w:r w:rsidRPr="00E00B35">
        <w:rPr>
          <w:szCs w:val="20"/>
        </w:rPr>
        <w:t xml:space="preserve">W 2020r. z uwagi na stan epidemii wirusa SARS-CoV-2 nie organizowano corocznej wigilii dla osób potrzebujących. W ramach tego zadania MOPS wspólnie z Wydziałem </w:t>
      </w:r>
      <w:r w:rsidRPr="00E00B35">
        <w:rPr>
          <w:szCs w:val="20"/>
        </w:rPr>
        <w:lastRenderedPageBreak/>
        <w:t xml:space="preserve">Partycypacji Społecznej UM Wrocławia przygotował konkurs  na przygotowanie </w:t>
      </w:r>
      <w:r w:rsidRPr="00E00B35">
        <w:rPr>
          <w:szCs w:val="20"/>
        </w:rPr>
        <w:br/>
        <w:t>i dystrybucję paczek świątecznych dla potrzebujących mieszkańców Wrocławia na kwotę 450 000,00 zł.</w:t>
      </w:r>
      <w:bookmarkEnd w:id="363"/>
      <w:r w:rsidRPr="00E00B35">
        <w:rPr>
          <w:szCs w:val="20"/>
        </w:rPr>
        <w:t xml:space="preserve"> W 2020r. przekazano również środki na funkcjonowanie Wrocławskiego Banku Żywności w kwocie 490 000,00 zł. Ponadto Centrum, ds. Katastrof i Klęsk Żywiołowych „TRATWA” otrzymało 120 000,00 zł na realizację zadania polegającego na przygotowaniu i dostarczeniu paczek dla mieszkańców Wrocławia, którzy w związku z epidemią wirusa SARS-Cov-2 znaleźli się w trudnej sytuacji materialno-bytowej (zadanie realizowane było we współpracy z pracownikami MOPS).</w:t>
      </w:r>
    </w:p>
    <w:p w:rsidR="00CA14AB" w:rsidRPr="00E00B35" w:rsidRDefault="00CA14AB" w:rsidP="00E00B35">
      <w:pPr>
        <w:spacing w:after="0" w:line="312" w:lineRule="auto"/>
        <w:rPr>
          <w:szCs w:val="20"/>
        </w:rPr>
      </w:pPr>
      <w:r w:rsidRPr="00E00B35">
        <w:rPr>
          <w:szCs w:val="20"/>
        </w:rPr>
        <w:t>Budżet MOPS w latach 2016-2020</w:t>
      </w: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1560"/>
        <w:gridCol w:w="1559"/>
        <w:gridCol w:w="1559"/>
        <w:gridCol w:w="1985"/>
        <w:gridCol w:w="1842"/>
      </w:tblGrid>
      <w:tr w:rsidR="00CA14AB" w:rsidRPr="00E00B35" w:rsidTr="00CA14AB">
        <w:trPr>
          <w:trHeight w:val="568"/>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Zadania</w:t>
            </w:r>
          </w:p>
        </w:tc>
        <w:tc>
          <w:tcPr>
            <w:tcW w:w="1560" w:type="dxa"/>
            <w:shd w:val="clear" w:color="auto" w:fill="D9D9D9"/>
            <w:vAlign w:val="center"/>
          </w:tcPr>
          <w:p w:rsidR="00CA14AB" w:rsidRPr="00E00B35" w:rsidRDefault="00CA14AB" w:rsidP="00E00B35">
            <w:pPr>
              <w:spacing w:after="0" w:line="312" w:lineRule="auto"/>
              <w:rPr>
                <w:szCs w:val="20"/>
              </w:rPr>
            </w:pPr>
            <w:r w:rsidRPr="00E00B35">
              <w:rPr>
                <w:szCs w:val="20"/>
              </w:rPr>
              <w:t>2016</w:t>
            </w:r>
          </w:p>
          <w:p w:rsidR="00CA14AB" w:rsidRPr="00E00B35" w:rsidRDefault="00CA14AB" w:rsidP="00E00B35">
            <w:pPr>
              <w:spacing w:after="0" w:line="312" w:lineRule="auto"/>
              <w:rPr>
                <w:szCs w:val="20"/>
              </w:rPr>
            </w:pPr>
            <w:r w:rsidRPr="00E00B35">
              <w:rPr>
                <w:szCs w:val="20"/>
              </w:rPr>
              <w:t>[zł]</w:t>
            </w:r>
          </w:p>
        </w:tc>
        <w:tc>
          <w:tcPr>
            <w:tcW w:w="1559" w:type="dxa"/>
            <w:shd w:val="clear" w:color="auto" w:fill="D9D9D9"/>
            <w:vAlign w:val="center"/>
          </w:tcPr>
          <w:p w:rsidR="00CA14AB" w:rsidRPr="00E00B35" w:rsidRDefault="00CA14AB" w:rsidP="00E00B35">
            <w:pPr>
              <w:spacing w:after="0" w:line="312" w:lineRule="auto"/>
              <w:rPr>
                <w:szCs w:val="20"/>
              </w:rPr>
            </w:pPr>
            <w:r w:rsidRPr="00E00B35">
              <w:rPr>
                <w:szCs w:val="20"/>
              </w:rPr>
              <w:t>2017</w:t>
            </w:r>
          </w:p>
          <w:p w:rsidR="00CA14AB" w:rsidRPr="00E00B35" w:rsidRDefault="00CA14AB" w:rsidP="00E00B35">
            <w:pPr>
              <w:spacing w:after="0" w:line="312" w:lineRule="auto"/>
              <w:rPr>
                <w:szCs w:val="20"/>
              </w:rPr>
            </w:pPr>
            <w:r w:rsidRPr="00E00B35">
              <w:rPr>
                <w:szCs w:val="20"/>
              </w:rPr>
              <w:t>[zł]</w:t>
            </w:r>
          </w:p>
        </w:tc>
        <w:tc>
          <w:tcPr>
            <w:tcW w:w="1559" w:type="dxa"/>
            <w:shd w:val="clear" w:color="auto" w:fill="D9D9D9"/>
            <w:vAlign w:val="center"/>
          </w:tcPr>
          <w:p w:rsidR="00CA14AB" w:rsidRPr="00E00B35" w:rsidRDefault="00CA14AB" w:rsidP="00E00B35">
            <w:pPr>
              <w:spacing w:after="0" w:line="312" w:lineRule="auto"/>
              <w:rPr>
                <w:szCs w:val="20"/>
              </w:rPr>
            </w:pPr>
            <w:r w:rsidRPr="00E00B35">
              <w:rPr>
                <w:szCs w:val="20"/>
              </w:rPr>
              <w:t>2018</w:t>
            </w:r>
          </w:p>
          <w:p w:rsidR="00CA14AB" w:rsidRPr="00E00B35" w:rsidRDefault="00CA14AB" w:rsidP="00E00B35">
            <w:pPr>
              <w:spacing w:after="0" w:line="312" w:lineRule="auto"/>
              <w:rPr>
                <w:szCs w:val="20"/>
              </w:rPr>
            </w:pPr>
            <w:r w:rsidRPr="00E00B35">
              <w:rPr>
                <w:szCs w:val="20"/>
              </w:rPr>
              <w:t>[zł]</w:t>
            </w:r>
          </w:p>
        </w:tc>
        <w:tc>
          <w:tcPr>
            <w:tcW w:w="1985" w:type="dxa"/>
            <w:shd w:val="clear" w:color="auto" w:fill="D9D9D9"/>
          </w:tcPr>
          <w:p w:rsidR="00CA14AB" w:rsidRPr="00E00B35" w:rsidRDefault="00CA14AB" w:rsidP="00E00B35">
            <w:pPr>
              <w:spacing w:after="0" w:line="312" w:lineRule="auto"/>
              <w:rPr>
                <w:szCs w:val="20"/>
              </w:rPr>
            </w:pPr>
            <w:r w:rsidRPr="00E00B35">
              <w:rPr>
                <w:szCs w:val="20"/>
              </w:rPr>
              <w:t>2019</w:t>
            </w:r>
          </w:p>
          <w:p w:rsidR="00CA14AB" w:rsidRPr="00E00B35" w:rsidRDefault="00CA14AB" w:rsidP="00E00B35">
            <w:pPr>
              <w:spacing w:after="0" w:line="312" w:lineRule="auto"/>
              <w:rPr>
                <w:szCs w:val="20"/>
              </w:rPr>
            </w:pPr>
            <w:r w:rsidRPr="00E00B35">
              <w:rPr>
                <w:szCs w:val="20"/>
              </w:rPr>
              <w:t>[zł]</w:t>
            </w:r>
          </w:p>
        </w:tc>
        <w:tc>
          <w:tcPr>
            <w:tcW w:w="1842" w:type="dxa"/>
            <w:shd w:val="clear" w:color="auto" w:fill="D9D9D9"/>
          </w:tcPr>
          <w:p w:rsidR="00CA14AB" w:rsidRPr="00E00B35" w:rsidRDefault="00CA14AB" w:rsidP="00E00B35">
            <w:pPr>
              <w:spacing w:after="0" w:line="312" w:lineRule="auto"/>
              <w:rPr>
                <w:szCs w:val="20"/>
              </w:rPr>
            </w:pPr>
            <w:r w:rsidRPr="00E00B35">
              <w:rPr>
                <w:szCs w:val="20"/>
              </w:rPr>
              <w:t>2020</w:t>
            </w:r>
          </w:p>
          <w:p w:rsidR="00CA14AB" w:rsidRPr="00E00B35" w:rsidRDefault="00CA14AB" w:rsidP="00E00B35">
            <w:pPr>
              <w:spacing w:after="0" w:line="312" w:lineRule="auto"/>
              <w:rPr>
                <w:szCs w:val="20"/>
              </w:rPr>
            </w:pPr>
            <w:r w:rsidRPr="00E00B35">
              <w:rPr>
                <w:szCs w:val="20"/>
              </w:rPr>
              <w:t>[zł]</w:t>
            </w:r>
          </w:p>
        </w:tc>
      </w:tr>
      <w:tr w:rsidR="00CA14AB" w:rsidRPr="00E00B35" w:rsidTr="00CA14AB">
        <w:trPr>
          <w:trHeight w:val="823"/>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Zadania zlecone Gminie</w:t>
            </w:r>
          </w:p>
        </w:tc>
        <w:tc>
          <w:tcPr>
            <w:tcW w:w="1560" w:type="dxa"/>
            <w:vAlign w:val="center"/>
          </w:tcPr>
          <w:p w:rsidR="00CA14AB" w:rsidRPr="00E00B35" w:rsidRDefault="00CA14AB" w:rsidP="00E00B35">
            <w:pPr>
              <w:spacing w:after="0" w:line="312" w:lineRule="auto"/>
              <w:rPr>
                <w:szCs w:val="20"/>
              </w:rPr>
            </w:pPr>
            <w:r w:rsidRPr="00E00B35">
              <w:rPr>
                <w:szCs w:val="20"/>
              </w:rPr>
              <w:t>271 637 966</w:t>
            </w:r>
          </w:p>
        </w:tc>
        <w:tc>
          <w:tcPr>
            <w:tcW w:w="1559" w:type="dxa"/>
            <w:vAlign w:val="center"/>
          </w:tcPr>
          <w:p w:rsidR="00CA14AB" w:rsidRPr="00E00B35" w:rsidRDefault="00CA14AB" w:rsidP="00E00B35">
            <w:pPr>
              <w:spacing w:after="0" w:line="312" w:lineRule="auto"/>
              <w:rPr>
                <w:szCs w:val="20"/>
              </w:rPr>
            </w:pPr>
            <w:r w:rsidRPr="00E00B35">
              <w:rPr>
                <w:szCs w:val="20"/>
              </w:rPr>
              <w:t>346 728 645</w:t>
            </w:r>
          </w:p>
        </w:tc>
        <w:tc>
          <w:tcPr>
            <w:tcW w:w="1559" w:type="dxa"/>
            <w:vAlign w:val="center"/>
          </w:tcPr>
          <w:p w:rsidR="00CA14AB" w:rsidRPr="00E00B35" w:rsidRDefault="00CA14AB" w:rsidP="00E00B35">
            <w:pPr>
              <w:spacing w:after="0" w:line="312" w:lineRule="auto"/>
              <w:rPr>
                <w:szCs w:val="20"/>
              </w:rPr>
            </w:pPr>
            <w:r w:rsidRPr="00E00B35">
              <w:rPr>
                <w:szCs w:val="20"/>
              </w:rPr>
              <w:t>365 283 194</w:t>
            </w:r>
          </w:p>
        </w:tc>
        <w:tc>
          <w:tcPr>
            <w:tcW w:w="1985" w:type="dxa"/>
            <w:vAlign w:val="center"/>
          </w:tcPr>
          <w:p w:rsidR="00CA14AB" w:rsidRPr="00E00B35" w:rsidRDefault="00CA14AB" w:rsidP="00E00B35">
            <w:pPr>
              <w:spacing w:after="0" w:line="312" w:lineRule="auto"/>
              <w:rPr>
                <w:szCs w:val="20"/>
              </w:rPr>
            </w:pPr>
            <w:r w:rsidRPr="00E00B35">
              <w:rPr>
                <w:szCs w:val="20"/>
              </w:rPr>
              <w:t>549 019 462,45</w:t>
            </w:r>
          </w:p>
        </w:tc>
        <w:tc>
          <w:tcPr>
            <w:tcW w:w="1842" w:type="dxa"/>
            <w:vAlign w:val="center"/>
          </w:tcPr>
          <w:p w:rsidR="00CA14AB" w:rsidRPr="00E00B35" w:rsidRDefault="00CA14AB" w:rsidP="00E00B35">
            <w:pPr>
              <w:spacing w:after="0" w:line="312" w:lineRule="auto"/>
              <w:rPr>
                <w:szCs w:val="20"/>
              </w:rPr>
            </w:pPr>
            <w:r w:rsidRPr="00E00B35">
              <w:rPr>
                <w:szCs w:val="20"/>
              </w:rPr>
              <w:t>749 307 897,33</w:t>
            </w:r>
          </w:p>
        </w:tc>
      </w:tr>
      <w:tr w:rsidR="00CA14AB" w:rsidRPr="00E00B35" w:rsidTr="00CA14AB">
        <w:trPr>
          <w:trHeight w:val="900"/>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Zadania własne Gminy</w:t>
            </w:r>
          </w:p>
        </w:tc>
        <w:tc>
          <w:tcPr>
            <w:tcW w:w="1560" w:type="dxa"/>
            <w:vAlign w:val="center"/>
          </w:tcPr>
          <w:p w:rsidR="00CA14AB" w:rsidRPr="00E00B35" w:rsidRDefault="00CA14AB" w:rsidP="00E00B35">
            <w:pPr>
              <w:spacing w:after="0" w:line="312" w:lineRule="auto"/>
              <w:rPr>
                <w:szCs w:val="20"/>
              </w:rPr>
            </w:pPr>
            <w:r w:rsidRPr="00E00B35">
              <w:rPr>
                <w:szCs w:val="20"/>
              </w:rPr>
              <w:t>89 410 466</w:t>
            </w:r>
          </w:p>
        </w:tc>
        <w:tc>
          <w:tcPr>
            <w:tcW w:w="1559" w:type="dxa"/>
            <w:vAlign w:val="center"/>
          </w:tcPr>
          <w:p w:rsidR="00CA14AB" w:rsidRPr="00E00B35" w:rsidRDefault="00CA14AB" w:rsidP="00E00B35">
            <w:pPr>
              <w:spacing w:after="0" w:line="312" w:lineRule="auto"/>
              <w:rPr>
                <w:szCs w:val="20"/>
              </w:rPr>
            </w:pPr>
            <w:r w:rsidRPr="00E00B35">
              <w:rPr>
                <w:szCs w:val="20"/>
              </w:rPr>
              <w:t>89 734 750</w:t>
            </w:r>
          </w:p>
        </w:tc>
        <w:tc>
          <w:tcPr>
            <w:tcW w:w="1559" w:type="dxa"/>
            <w:vAlign w:val="center"/>
          </w:tcPr>
          <w:p w:rsidR="00CA14AB" w:rsidRPr="00E00B35" w:rsidRDefault="00CA14AB" w:rsidP="00E00B35">
            <w:pPr>
              <w:spacing w:after="0" w:line="312" w:lineRule="auto"/>
              <w:rPr>
                <w:szCs w:val="20"/>
              </w:rPr>
            </w:pPr>
            <w:r w:rsidRPr="00E00B35">
              <w:rPr>
                <w:szCs w:val="20"/>
              </w:rPr>
              <w:t>98 363 112</w:t>
            </w:r>
          </w:p>
        </w:tc>
        <w:tc>
          <w:tcPr>
            <w:tcW w:w="1985" w:type="dxa"/>
            <w:vAlign w:val="center"/>
          </w:tcPr>
          <w:p w:rsidR="00CA14AB" w:rsidRPr="00E00B35" w:rsidRDefault="00CA14AB" w:rsidP="00E00B35">
            <w:pPr>
              <w:spacing w:after="0" w:line="312" w:lineRule="auto"/>
              <w:rPr>
                <w:szCs w:val="20"/>
              </w:rPr>
            </w:pPr>
            <w:r w:rsidRPr="00E00B35">
              <w:rPr>
                <w:szCs w:val="20"/>
              </w:rPr>
              <w:t>105 944 424,48</w:t>
            </w:r>
          </w:p>
        </w:tc>
        <w:tc>
          <w:tcPr>
            <w:tcW w:w="1842" w:type="dxa"/>
            <w:vAlign w:val="center"/>
          </w:tcPr>
          <w:p w:rsidR="00CA14AB" w:rsidRPr="00E00B35" w:rsidRDefault="00CA14AB" w:rsidP="00E00B35">
            <w:pPr>
              <w:spacing w:after="0" w:line="312" w:lineRule="auto"/>
              <w:rPr>
                <w:szCs w:val="20"/>
              </w:rPr>
            </w:pPr>
            <w:r w:rsidRPr="00E00B35">
              <w:rPr>
                <w:szCs w:val="20"/>
              </w:rPr>
              <w:t>107 697 907,06</w:t>
            </w:r>
          </w:p>
        </w:tc>
      </w:tr>
      <w:tr w:rsidR="00CA14AB" w:rsidRPr="00E00B35" w:rsidTr="00CA14AB">
        <w:trPr>
          <w:trHeight w:val="964"/>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Zadania własne Powiatu</w:t>
            </w:r>
          </w:p>
        </w:tc>
        <w:tc>
          <w:tcPr>
            <w:tcW w:w="1560" w:type="dxa"/>
            <w:vAlign w:val="center"/>
          </w:tcPr>
          <w:p w:rsidR="00CA14AB" w:rsidRPr="00E00B35" w:rsidRDefault="00CA14AB" w:rsidP="00E00B35">
            <w:pPr>
              <w:spacing w:after="0" w:line="312" w:lineRule="auto"/>
              <w:rPr>
                <w:szCs w:val="20"/>
              </w:rPr>
            </w:pPr>
            <w:r w:rsidRPr="00E00B35">
              <w:rPr>
                <w:szCs w:val="20"/>
              </w:rPr>
              <w:t>26 408 375</w:t>
            </w:r>
          </w:p>
        </w:tc>
        <w:tc>
          <w:tcPr>
            <w:tcW w:w="1559" w:type="dxa"/>
            <w:vAlign w:val="center"/>
          </w:tcPr>
          <w:p w:rsidR="00CA14AB" w:rsidRPr="00E00B35" w:rsidRDefault="00CA14AB" w:rsidP="00E00B35">
            <w:pPr>
              <w:spacing w:after="0" w:line="312" w:lineRule="auto"/>
              <w:rPr>
                <w:szCs w:val="20"/>
              </w:rPr>
            </w:pPr>
            <w:r w:rsidRPr="00E00B35">
              <w:rPr>
                <w:szCs w:val="20"/>
              </w:rPr>
              <w:t>26 303 073</w:t>
            </w:r>
          </w:p>
        </w:tc>
        <w:tc>
          <w:tcPr>
            <w:tcW w:w="1559" w:type="dxa"/>
            <w:vAlign w:val="center"/>
          </w:tcPr>
          <w:p w:rsidR="00CA14AB" w:rsidRPr="00E00B35" w:rsidRDefault="00CA14AB" w:rsidP="00E00B35">
            <w:pPr>
              <w:spacing w:after="0" w:line="312" w:lineRule="auto"/>
              <w:rPr>
                <w:szCs w:val="20"/>
              </w:rPr>
            </w:pPr>
            <w:r w:rsidRPr="00E00B35">
              <w:rPr>
                <w:szCs w:val="20"/>
              </w:rPr>
              <w:t>26 974 910</w:t>
            </w:r>
          </w:p>
        </w:tc>
        <w:tc>
          <w:tcPr>
            <w:tcW w:w="1985" w:type="dxa"/>
            <w:vAlign w:val="center"/>
          </w:tcPr>
          <w:p w:rsidR="00CA14AB" w:rsidRPr="00E00B35" w:rsidRDefault="00CA14AB" w:rsidP="00E00B35">
            <w:pPr>
              <w:spacing w:after="0" w:line="312" w:lineRule="auto"/>
              <w:rPr>
                <w:szCs w:val="20"/>
              </w:rPr>
            </w:pPr>
            <w:r w:rsidRPr="00E00B35">
              <w:rPr>
                <w:szCs w:val="20"/>
              </w:rPr>
              <w:t>28 452 948,10</w:t>
            </w:r>
          </w:p>
        </w:tc>
        <w:tc>
          <w:tcPr>
            <w:tcW w:w="1842" w:type="dxa"/>
            <w:vAlign w:val="center"/>
          </w:tcPr>
          <w:p w:rsidR="00CA14AB" w:rsidRPr="00E00B35" w:rsidRDefault="00CA14AB" w:rsidP="00E00B35">
            <w:pPr>
              <w:spacing w:after="0" w:line="312" w:lineRule="auto"/>
              <w:rPr>
                <w:szCs w:val="20"/>
              </w:rPr>
            </w:pPr>
            <w:r w:rsidRPr="00E00B35">
              <w:rPr>
                <w:szCs w:val="20"/>
              </w:rPr>
              <w:t xml:space="preserve">  </w:t>
            </w:r>
            <w:bookmarkStart w:id="364" w:name="_Hlk61864568"/>
            <w:r w:rsidRPr="00E00B35">
              <w:rPr>
                <w:szCs w:val="20"/>
              </w:rPr>
              <w:t>28 439 153,39</w:t>
            </w:r>
            <w:bookmarkEnd w:id="364"/>
          </w:p>
        </w:tc>
      </w:tr>
      <w:tr w:rsidR="00CA14AB" w:rsidRPr="00E00B35" w:rsidTr="00CA14AB">
        <w:trPr>
          <w:trHeight w:val="901"/>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Zadania zlecone Powiatowi</w:t>
            </w:r>
          </w:p>
        </w:tc>
        <w:tc>
          <w:tcPr>
            <w:tcW w:w="1560" w:type="dxa"/>
            <w:vAlign w:val="center"/>
          </w:tcPr>
          <w:p w:rsidR="00CA14AB" w:rsidRPr="00E00B35" w:rsidRDefault="00CA14AB" w:rsidP="00E00B35">
            <w:pPr>
              <w:spacing w:after="0" w:line="312" w:lineRule="auto"/>
              <w:rPr>
                <w:szCs w:val="20"/>
              </w:rPr>
            </w:pPr>
            <w:r w:rsidRPr="00E00B35">
              <w:rPr>
                <w:szCs w:val="20"/>
              </w:rPr>
              <w:t xml:space="preserve">5 413 535 </w:t>
            </w:r>
          </w:p>
        </w:tc>
        <w:tc>
          <w:tcPr>
            <w:tcW w:w="1559" w:type="dxa"/>
            <w:vAlign w:val="center"/>
          </w:tcPr>
          <w:p w:rsidR="00CA14AB" w:rsidRPr="00E00B35" w:rsidRDefault="00CA14AB" w:rsidP="00E00B35">
            <w:pPr>
              <w:spacing w:after="0" w:line="312" w:lineRule="auto"/>
              <w:rPr>
                <w:szCs w:val="20"/>
              </w:rPr>
            </w:pPr>
            <w:r w:rsidRPr="00E00B35">
              <w:rPr>
                <w:szCs w:val="20"/>
              </w:rPr>
              <w:t>7 543 020</w:t>
            </w:r>
          </w:p>
        </w:tc>
        <w:tc>
          <w:tcPr>
            <w:tcW w:w="1559" w:type="dxa"/>
            <w:vAlign w:val="center"/>
          </w:tcPr>
          <w:p w:rsidR="00CA14AB" w:rsidRPr="00E00B35" w:rsidRDefault="00CA14AB" w:rsidP="00E00B35">
            <w:pPr>
              <w:spacing w:after="0" w:line="312" w:lineRule="auto"/>
              <w:rPr>
                <w:szCs w:val="20"/>
              </w:rPr>
            </w:pPr>
            <w:r w:rsidRPr="00E00B35">
              <w:rPr>
                <w:szCs w:val="20"/>
              </w:rPr>
              <w:t>8 490 038</w:t>
            </w:r>
          </w:p>
        </w:tc>
        <w:tc>
          <w:tcPr>
            <w:tcW w:w="1985" w:type="dxa"/>
            <w:vAlign w:val="center"/>
          </w:tcPr>
          <w:p w:rsidR="00CA14AB" w:rsidRPr="00E00B35" w:rsidRDefault="00CA14AB" w:rsidP="00E00B35">
            <w:pPr>
              <w:spacing w:after="0" w:line="312" w:lineRule="auto"/>
              <w:rPr>
                <w:szCs w:val="20"/>
              </w:rPr>
            </w:pPr>
            <w:r w:rsidRPr="00E00B35">
              <w:rPr>
                <w:szCs w:val="20"/>
              </w:rPr>
              <w:t>9 968 302,08</w:t>
            </w:r>
          </w:p>
        </w:tc>
        <w:tc>
          <w:tcPr>
            <w:tcW w:w="1842" w:type="dxa"/>
            <w:vAlign w:val="center"/>
          </w:tcPr>
          <w:p w:rsidR="00CA14AB" w:rsidRPr="00E00B35" w:rsidRDefault="00CA14AB" w:rsidP="00E00B35">
            <w:pPr>
              <w:spacing w:after="0" w:line="312" w:lineRule="auto"/>
              <w:rPr>
                <w:szCs w:val="20"/>
              </w:rPr>
            </w:pPr>
            <w:bookmarkStart w:id="365" w:name="_Hlk61864596"/>
            <w:r w:rsidRPr="00E00B35">
              <w:rPr>
                <w:szCs w:val="20"/>
              </w:rPr>
              <w:t xml:space="preserve">  11 277 271,97</w:t>
            </w:r>
            <w:bookmarkEnd w:id="365"/>
          </w:p>
        </w:tc>
      </w:tr>
      <w:tr w:rsidR="00CA14AB" w:rsidRPr="00E00B35" w:rsidTr="00CA14AB">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Zadania powierzone Powiatowi</w:t>
            </w:r>
          </w:p>
        </w:tc>
        <w:tc>
          <w:tcPr>
            <w:tcW w:w="1560" w:type="dxa"/>
            <w:vAlign w:val="center"/>
          </w:tcPr>
          <w:p w:rsidR="00CA14AB" w:rsidRPr="00E00B35" w:rsidRDefault="00CA14AB" w:rsidP="00E00B35">
            <w:pPr>
              <w:spacing w:after="0" w:line="312" w:lineRule="auto"/>
              <w:rPr>
                <w:szCs w:val="20"/>
              </w:rPr>
            </w:pPr>
            <w:r w:rsidRPr="00E00B35">
              <w:rPr>
                <w:szCs w:val="20"/>
              </w:rPr>
              <w:t>0</w:t>
            </w:r>
          </w:p>
        </w:tc>
        <w:tc>
          <w:tcPr>
            <w:tcW w:w="1559" w:type="dxa"/>
            <w:vAlign w:val="center"/>
          </w:tcPr>
          <w:p w:rsidR="00CA14AB" w:rsidRPr="00E00B35" w:rsidRDefault="00CA14AB" w:rsidP="00E00B35">
            <w:pPr>
              <w:spacing w:after="0" w:line="312" w:lineRule="auto"/>
              <w:rPr>
                <w:szCs w:val="20"/>
              </w:rPr>
            </w:pPr>
            <w:r w:rsidRPr="00E00B35">
              <w:rPr>
                <w:szCs w:val="20"/>
              </w:rPr>
              <w:t>0</w:t>
            </w:r>
          </w:p>
        </w:tc>
        <w:tc>
          <w:tcPr>
            <w:tcW w:w="1559" w:type="dxa"/>
            <w:vAlign w:val="center"/>
          </w:tcPr>
          <w:p w:rsidR="00CA14AB" w:rsidRPr="00E00B35" w:rsidRDefault="00CA14AB" w:rsidP="00E00B35">
            <w:pPr>
              <w:spacing w:after="0" w:line="312" w:lineRule="auto"/>
              <w:rPr>
                <w:szCs w:val="20"/>
              </w:rPr>
            </w:pPr>
            <w:r w:rsidRPr="00E00B35">
              <w:rPr>
                <w:szCs w:val="20"/>
              </w:rPr>
              <w:t>0</w:t>
            </w:r>
          </w:p>
        </w:tc>
        <w:tc>
          <w:tcPr>
            <w:tcW w:w="1985" w:type="dxa"/>
            <w:vAlign w:val="center"/>
          </w:tcPr>
          <w:p w:rsidR="00CA14AB" w:rsidRPr="00E00B35" w:rsidRDefault="00CA14AB" w:rsidP="00E00B35">
            <w:pPr>
              <w:spacing w:after="0" w:line="312" w:lineRule="auto"/>
              <w:rPr>
                <w:szCs w:val="20"/>
              </w:rPr>
            </w:pPr>
            <w:r w:rsidRPr="00E00B35">
              <w:rPr>
                <w:szCs w:val="20"/>
              </w:rPr>
              <w:t>0</w:t>
            </w:r>
          </w:p>
        </w:tc>
        <w:tc>
          <w:tcPr>
            <w:tcW w:w="1842" w:type="dxa"/>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739"/>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Zadania powierzone Gminie</w:t>
            </w:r>
          </w:p>
        </w:tc>
        <w:tc>
          <w:tcPr>
            <w:tcW w:w="1560" w:type="dxa"/>
            <w:vAlign w:val="center"/>
          </w:tcPr>
          <w:p w:rsidR="00CA14AB" w:rsidRPr="00E00B35" w:rsidRDefault="00CA14AB" w:rsidP="00E00B35">
            <w:pPr>
              <w:spacing w:after="0" w:line="312" w:lineRule="auto"/>
              <w:rPr>
                <w:szCs w:val="20"/>
              </w:rPr>
            </w:pPr>
            <w:r w:rsidRPr="00E00B35">
              <w:rPr>
                <w:szCs w:val="20"/>
              </w:rPr>
              <w:t>0</w:t>
            </w:r>
          </w:p>
        </w:tc>
        <w:tc>
          <w:tcPr>
            <w:tcW w:w="1559" w:type="dxa"/>
            <w:vAlign w:val="center"/>
          </w:tcPr>
          <w:p w:rsidR="00CA14AB" w:rsidRPr="00E00B35" w:rsidRDefault="00CA14AB" w:rsidP="00E00B35">
            <w:pPr>
              <w:spacing w:after="0" w:line="312" w:lineRule="auto"/>
              <w:rPr>
                <w:szCs w:val="20"/>
              </w:rPr>
            </w:pPr>
            <w:r w:rsidRPr="00E00B35">
              <w:rPr>
                <w:szCs w:val="20"/>
              </w:rPr>
              <w:t>0</w:t>
            </w:r>
          </w:p>
        </w:tc>
        <w:tc>
          <w:tcPr>
            <w:tcW w:w="1559" w:type="dxa"/>
            <w:vAlign w:val="center"/>
          </w:tcPr>
          <w:p w:rsidR="00CA14AB" w:rsidRPr="00E00B35" w:rsidRDefault="00CA14AB" w:rsidP="00E00B35">
            <w:pPr>
              <w:spacing w:after="0" w:line="312" w:lineRule="auto"/>
              <w:rPr>
                <w:szCs w:val="20"/>
              </w:rPr>
            </w:pPr>
            <w:r w:rsidRPr="00E00B35">
              <w:rPr>
                <w:szCs w:val="20"/>
              </w:rPr>
              <w:t>40 374</w:t>
            </w:r>
          </w:p>
        </w:tc>
        <w:tc>
          <w:tcPr>
            <w:tcW w:w="1985" w:type="dxa"/>
            <w:vAlign w:val="center"/>
          </w:tcPr>
          <w:p w:rsidR="00CA14AB" w:rsidRPr="00E00B35" w:rsidRDefault="00CA14AB" w:rsidP="00E00B35">
            <w:pPr>
              <w:spacing w:after="0" w:line="312" w:lineRule="auto"/>
              <w:rPr>
                <w:szCs w:val="20"/>
              </w:rPr>
            </w:pPr>
            <w:r w:rsidRPr="00E00B35">
              <w:rPr>
                <w:szCs w:val="20"/>
              </w:rPr>
              <w:t>0</w:t>
            </w:r>
          </w:p>
        </w:tc>
        <w:tc>
          <w:tcPr>
            <w:tcW w:w="1842" w:type="dxa"/>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739"/>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Ogółem bez PFRON …</w:t>
            </w:r>
          </w:p>
        </w:tc>
        <w:tc>
          <w:tcPr>
            <w:tcW w:w="1560" w:type="dxa"/>
            <w:vAlign w:val="center"/>
          </w:tcPr>
          <w:p w:rsidR="00CA14AB" w:rsidRPr="00E00B35" w:rsidRDefault="00CA14AB" w:rsidP="00E00B35">
            <w:pPr>
              <w:spacing w:after="0" w:line="312" w:lineRule="auto"/>
              <w:rPr>
                <w:szCs w:val="20"/>
              </w:rPr>
            </w:pPr>
            <w:r w:rsidRPr="00E00B35">
              <w:rPr>
                <w:szCs w:val="20"/>
              </w:rPr>
              <w:t>392 870 342</w:t>
            </w:r>
          </w:p>
        </w:tc>
        <w:tc>
          <w:tcPr>
            <w:tcW w:w="1559" w:type="dxa"/>
            <w:vAlign w:val="center"/>
          </w:tcPr>
          <w:p w:rsidR="00CA14AB" w:rsidRPr="00E00B35" w:rsidRDefault="00CA14AB" w:rsidP="00E00B35">
            <w:pPr>
              <w:spacing w:after="0" w:line="312" w:lineRule="auto"/>
              <w:rPr>
                <w:szCs w:val="20"/>
              </w:rPr>
            </w:pPr>
            <w:r w:rsidRPr="00E00B35">
              <w:rPr>
                <w:szCs w:val="20"/>
              </w:rPr>
              <w:t>470 309 488</w:t>
            </w:r>
          </w:p>
        </w:tc>
        <w:tc>
          <w:tcPr>
            <w:tcW w:w="1559" w:type="dxa"/>
            <w:vAlign w:val="center"/>
          </w:tcPr>
          <w:p w:rsidR="00CA14AB" w:rsidRPr="00E00B35" w:rsidRDefault="00CA14AB" w:rsidP="00E00B35">
            <w:pPr>
              <w:spacing w:after="0" w:line="312" w:lineRule="auto"/>
              <w:rPr>
                <w:szCs w:val="20"/>
              </w:rPr>
            </w:pPr>
            <w:r w:rsidRPr="00E00B35">
              <w:rPr>
                <w:szCs w:val="20"/>
              </w:rPr>
              <w:t>499 151 628</w:t>
            </w:r>
          </w:p>
        </w:tc>
        <w:tc>
          <w:tcPr>
            <w:tcW w:w="1985" w:type="dxa"/>
            <w:vAlign w:val="center"/>
          </w:tcPr>
          <w:p w:rsidR="00CA14AB" w:rsidRPr="00E00B35" w:rsidRDefault="00CA14AB" w:rsidP="00E00B35">
            <w:pPr>
              <w:spacing w:after="0" w:line="312" w:lineRule="auto"/>
              <w:rPr>
                <w:szCs w:val="20"/>
              </w:rPr>
            </w:pPr>
            <w:r w:rsidRPr="00E00B35">
              <w:rPr>
                <w:szCs w:val="20"/>
              </w:rPr>
              <w:t>693 385 137,11</w:t>
            </w:r>
          </w:p>
        </w:tc>
        <w:tc>
          <w:tcPr>
            <w:tcW w:w="1842" w:type="dxa"/>
            <w:vAlign w:val="center"/>
          </w:tcPr>
          <w:p w:rsidR="00CA14AB" w:rsidRPr="00E00B35" w:rsidRDefault="00CA14AB" w:rsidP="00E00B35">
            <w:pPr>
              <w:spacing w:after="0" w:line="312" w:lineRule="auto"/>
              <w:rPr>
                <w:szCs w:val="20"/>
              </w:rPr>
            </w:pPr>
            <w:r w:rsidRPr="00E00B35">
              <w:rPr>
                <w:szCs w:val="20"/>
              </w:rPr>
              <w:t>896 722 229,75</w:t>
            </w:r>
          </w:p>
        </w:tc>
      </w:tr>
      <w:tr w:rsidR="00CA14AB" w:rsidRPr="00E00B35" w:rsidTr="00CA14AB">
        <w:trPr>
          <w:trHeight w:val="833"/>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PFRON</w:t>
            </w:r>
          </w:p>
          <w:p w:rsidR="00CA14AB" w:rsidRPr="00E00B35" w:rsidRDefault="00CA14AB" w:rsidP="00E00B35">
            <w:pPr>
              <w:spacing w:after="0" w:line="312" w:lineRule="auto"/>
              <w:rPr>
                <w:szCs w:val="20"/>
              </w:rPr>
            </w:pPr>
            <w:r w:rsidRPr="00E00B35">
              <w:rPr>
                <w:szCs w:val="20"/>
              </w:rPr>
              <w:t>(PFRON+AKTYWNY SAMORZĄD) + FUNDUSZ SOLIDARNOŚCIOWY</w:t>
            </w:r>
          </w:p>
        </w:tc>
        <w:tc>
          <w:tcPr>
            <w:tcW w:w="1560" w:type="dxa"/>
            <w:vAlign w:val="center"/>
          </w:tcPr>
          <w:p w:rsidR="00CA14AB" w:rsidRPr="00E00B35" w:rsidRDefault="00CA14AB" w:rsidP="00E00B35">
            <w:pPr>
              <w:spacing w:after="0" w:line="312" w:lineRule="auto"/>
              <w:rPr>
                <w:szCs w:val="20"/>
              </w:rPr>
            </w:pPr>
            <w:r w:rsidRPr="00E00B35">
              <w:rPr>
                <w:szCs w:val="20"/>
              </w:rPr>
              <w:t>7 672 152</w:t>
            </w:r>
          </w:p>
        </w:tc>
        <w:tc>
          <w:tcPr>
            <w:tcW w:w="1559" w:type="dxa"/>
            <w:vAlign w:val="center"/>
          </w:tcPr>
          <w:p w:rsidR="00CA14AB" w:rsidRPr="00E00B35" w:rsidRDefault="00CA14AB" w:rsidP="00E00B35">
            <w:pPr>
              <w:spacing w:after="0" w:line="312" w:lineRule="auto"/>
              <w:rPr>
                <w:szCs w:val="20"/>
              </w:rPr>
            </w:pPr>
            <w:r w:rsidRPr="00E00B35">
              <w:rPr>
                <w:szCs w:val="20"/>
              </w:rPr>
              <w:t>7 847 475</w:t>
            </w:r>
          </w:p>
        </w:tc>
        <w:tc>
          <w:tcPr>
            <w:tcW w:w="1559" w:type="dxa"/>
            <w:vAlign w:val="center"/>
          </w:tcPr>
          <w:p w:rsidR="00CA14AB" w:rsidRPr="00E00B35" w:rsidRDefault="00CA14AB" w:rsidP="00E00B35">
            <w:pPr>
              <w:spacing w:after="0" w:line="312" w:lineRule="auto"/>
              <w:rPr>
                <w:szCs w:val="20"/>
              </w:rPr>
            </w:pPr>
            <w:r w:rsidRPr="00E00B35">
              <w:rPr>
                <w:szCs w:val="20"/>
              </w:rPr>
              <w:t>8 695 345</w:t>
            </w:r>
          </w:p>
        </w:tc>
        <w:tc>
          <w:tcPr>
            <w:tcW w:w="1985" w:type="dxa"/>
            <w:vAlign w:val="center"/>
          </w:tcPr>
          <w:p w:rsidR="00CA14AB" w:rsidRPr="00E00B35" w:rsidRDefault="00CA14AB" w:rsidP="00E00B35">
            <w:pPr>
              <w:spacing w:after="0" w:line="312" w:lineRule="auto"/>
              <w:rPr>
                <w:szCs w:val="20"/>
                <w:highlight w:val="red"/>
              </w:rPr>
            </w:pPr>
            <w:r w:rsidRPr="00E00B35">
              <w:rPr>
                <w:szCs w:val="20"/>
              </w:rPr>
              <w:t>12 198 033,42</w:t>
            </w:r>
          </w:p>
        </w:tc>
        <w:tc>
          <w:tcPr>
            <w:tcW w:w="1842" w:type="dxa"/>
            <w:vAlign w:val="center"/>
          </w:tcPr>
          <w:p w:rsidR="00CA14AB" w:rsidRPr="00E00B35" w:rsidRDefault="00CA14AB" w:rsidP="00E00B35">
            <w:pPr>
              <w:spacing w:after="0" w:line="312" w:lineRule="auto"/>
              <w:rPr>
                <w:szCs w:val="20"/>
              </w:rPr>
            </w:pPr>
            <w:r w:rsidRPr="00E00B35">
              <w:rPr>
                <w:szCs w:val="20"/>
              </w:rPr>
              <w:t>14 421 931,21</w:t>
            </w:r>
          </w:p>
        </w:tc>
      </w:tr>
    </w:tbl>
    <w:bookmarkEnd w:id="361"/>
    <w:bookmarkEnd w:id="362"/>
    <w:p w:rsidR="00CA14AB" w:rsidRPr="00E00B35" w:rsidRDefault="00CA14AB" w:rsidP="00E00B35">
      <w:pPr>
        <w:spacing w:after="0" w:line="312" w:lineRule="auto"/>
        <w:rPr>
          <w:szCs w:val="20"/>
        </w:rPr>
      </w:pPr>
      <w:r w:rsidRPr="00E00B35">
        <w:rPr>
          <w:szCs w:val="20"/>
        </w:rPr>
        <w:t xml:space="preserve">Procentowy podział wydatków w 2020 roku przedstawia wykres kołowy </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5763127" cy="4320262"/>
            <wp:effectExtent l="6099" t="6109" r="6099" b="4964"/>
            <wp:docPr id="90"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5E6C69" w:rsidRPr="00E00B35" w:rsidRDefault="005E6C69"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Na szkolenie kadry kierowniczej i pracowników w roku 2020 MOPS wydatkował łącznie 114 840,07 zł.</w:t>
      </w:r>
    </w:p>
    <w:p w:rsidR="00CA14AB" w:rsidRPr="00E00B35" w:rsidRDefault="00CA14AB" w:rsidP="00E00B35">
      <w:pPr>
        <w:spacing w:after="0" w:line="312" w:lineRule="auto"/>
        <w:rPr>
          <w:szCs w:val="20"/>
        </w:rPr>
      </w:pPr>
      <w:r w:rsidRPr="00E00B35">
        <w:rPr>
          <w:szCs w:val="20"/>
        </w:rPr>
        <w:t xml:space="preserve">W sprawach przyznania świadczeń udzielanych przez MOPS wydano w 2020r. </w:t>
      </w:r>
      <w:r w:rsidRPr="00E00B35">
        <w:rPr>
          <w:szCs w:val="20"/>
        </w:rPr>
        <w:br/>
        <w:t xml:space="preserve">74 038 decyzji administracyjnych. </w:t>
      </w:r>
    </w:p>
    <w:p w:rsidR="005E6C69" w:rsidRPr="00E00B35" w:rsidRDefault="005E6C69" w:rsidP="00E00B35">
      <w:pPr>
        <w:spacing w:after="0" w:line="312" w:lineRule="auto"/>
        <w:rPr>
          <w:szCs w:val="20"/>
        </w:rPr>
      </w:pPr>
      <w:bookmarkStart w:id="366" w:name="_Hlk534363855"/>
    </w:p>
    <w:p w:rsidR="00CA14AB" w:rsidRPr="00E00B35" w:rsidRDefault="00CA14AB" w:rsidP="00E00B35">
      <w:pPr>
        <w:spacing w:after="0" w:line="312" w:lineRule="auto"/>
        <w:rPr>
          <w:szCs w:val="20"/>
        </w:rPr>
      </w:pPr>
      <w:r w:rsidRPr="00E00B35">
        <w:rPr>
          <w:szCs w:val="20"/>
        </w:rPr>
        <w:t xml:space="preserve">Ilość decyzji administracyjnych i orzeczeń wydawanych przez MOPS </w:t>
      </w:r>
      <w:r w:rsidRPr="00E00B35">
        <w:rPr>
          <w:szCs w:val="20"/>
        </w:rPr>
        <w:br/>
        <w:t>i Powiatowy Zespół ds. Orzekania o Niepełnosprawności w latach 2016-2020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3"/>
        <w:gridCol w:w="1535"/>
        <w:gridCol w:w="1535"/>
        <w:gridCol w:w="1535"/>
        <w:gridCol w:w="1535"/>
        <w:gridCol w:w="1535"/>
      </w:tblGrid>
      <w:tr w:rsidR="00CA14AB" w:rsidRPr="00E00B35" w:rsidTr="00CA14AB">
        <w:trPr>
          <w:trHeight w:val="437"/>
        </w:trPr>
        <w:tc>
          <w:tcPr>
            <w:tcW w:w="1535" w:type="dxa"/>
            <w:shd w:val="clear" w:color="auto" w:fill="D9D9D9"/>
            <w:vAlign w:val="center"/>
          </w:tcPr>
          <w:p w:rsidR="00CA14AB" w:rsidRPr="00E00B35" w:rsidRDefault="00CA14AB" w:rsidP="00E00B35">
            <w:pPr>
              <w:spacing w:after="0" w:line="312" w:lineRule="auto"/>
              <w:rPr>
                <w:szCs w:val="20"/>
              </w:rPr>
            </w:pPr>
            <w:r w:rsidRPr="00E00B35">
              <w:rPr>
                <w:szCs w:val="20"/>
              </w:rPr>
              <w:t>Jednotska orgniazacyjna</w:t>
            </w:r>
          </w:p>
        </w:tc>
        <w:tc>
          <w:tcPr>
            <w:tcW w:w="1535" w:type="dxa"/>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1535" w:type="dxa"/>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1535" w:type="dxa"/>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1535" w:type="dxa"/>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1535" w:type="dxa"/>
            <w:shd w:val="clear" w:color="auto" w:fill="D9D9D9"/>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416"/>
        </w:trPr>
        <w:tc>
          <w:tcPr>
            <w:tcW w:w="1535" w:type="dxa"/>
            <w:shd w:val="clear" w:color="auto" w:fill="D9D9D9"/>
            <w:vAlign w:val="center"/>
          </w:tcPr>
          <w:p w:rsidR="00CA14AB" w:rsidRPr="00E00B35" w:rsidRDefault="00CA14AB" w:rsidP="00E00B35">
            <w:pPr>
              <w:spacing w:after="0" w:line="312" w:lineRule="auto"/>
              <w:rPr>
                <w:szCs w:val="20"/>
              </w:rPr>
            </w:pPr>
            <w:r w:rsidRPr="00E00B35">
              <w:rPr>
                <w:szCs w:val="20"/>
              </w:rPr>
              <w:t>MOPS</w:t>
            </w:r>
          </w:p>
        </w:tc>
        <w:tc>
          <w:tcPr>
            <w:tcW w:w="1535" w:type="dxa"/>
            <w:vAlign w:val="center"/>
          </w:tcPr>
          <w:p w:rsidR="00CA14AB" w:rsidRPr="00E00B35" w:rsidRDefault="00CA14AB" w:rsidP="00E00B35">
            <w:pPr>
              <w:spacing w:after="0" w:line="312" w:lineRule="auto"/>
              <w:rPr>
                <w:szCs w:val="20"/>
              </w:rPr>
            </w:pPr>
            <w:r w:rsidRPr="00E00B35">
              <w:rPr>
                <w:szCs w:val="20"/>
              </w:rPr>
              <w:t>121 320</w:t>
            </w:r>
          </w:p>
        </w:tc>
        <w:tc>
          <w:tcPr>
            <w:tcW w:w="1535" w:type="dxa"/>
            <w:vAlign w:val="center"/>
          </w:tcPr>
          <w:p w:rsidR="00CA14AB" w:rsidRPr="00E00B35" w:rsidRDefault="00CA14AB" w:rsidP="00E00B35">
            <w:pPr>
              <w:spacing w:after="0" w:line="312" w:lineRule="auto"/>
              <w:rPr>
                <w:szCs w:val="20"/>
              </w:rPr>
            </w:pPr>
            <w:r w:rsidRPr="00E00B35">
              <w:rPr>
                <w:szCs w:val="20"/>
              </w:rPr>
              <w:t>130 833</w:t>
            </w:r>
          </w:p>
        </w:tc>
        <w:tc>
          <w:tcPr>
            <w:tcW w:w="1535" w:type="dxa"/>
            <w:vAlign w:val="center"/>
          </w:tcPr>
          <w:p w:rsidR="00CA14AB" w:rsidRPr="00E00B35" w:rsidRDefault="00CA14AB" w:rsidP="00E00B35">
            <w:pPr>
              <w:spacing w:after="0" w:line="312" w:lineRule="auto"/>
              <w:rPr>
                <w:szCs w:val="20"/>
              </w:rPr>
            </w:pPr>
            <w:r w:rsidRPr="00E00B35">
              <w:rPr>
                <w:szCs w:val="20"/>
              </w:rPr>
              <w:t>133 556</w:t>
            </w:r>
          </w:p>
        </w:tc>
        <w:tc>
          <w:tcPr>
            <w:tcW w:w="1535" w:type="dxa"/>
            <w:vAlign w:val="center"/>
          </w:tcPr>
          <w:p w:rsidR="00CA14AB" w:rsidRPr="00E00B35" w:rsidRDefault="00CA14AB" w:rsidP="00E00B35">
            <w:pPr>
              <w:spacing w:after="0" w:line="312" w:lineRule="auto"/>
              <w:rPr>
                <w:szCs w:val="20"/>
              </w:rPr>
            </w:pPr>
            <w:r w:rsidRPr="00E00B35">
              <w:rPr>
                <w:szCs w:val="20"/>
              </w:rPr>
              <w:t>90 496</w:t>
            </w:r>
          </w:p>
        </w:tc>
        <w:tc>
          <w:tcPr>
            <w:tcW w:w="1535" w:type="dxa"/>
            <w:vAlign w:val="center"/>
          </w:tcPr>
          <w:p w:rsidR="00CA14AB" w:rsidRPr="00E00B35" w:rsidRDefault="00CA14AB" w:rsidP="00E00B35">
            <w:pPr>
              <w:spacing w:after="0" w:line="312" w:lineRule="auto"/>
              <w:rPr>
                <w:szCs w:val="20"/>
              </w:rPr>
            </w:pPr>
            <w:r w:rsidRPr="00E00B35">
              <w:rPr>
                <w:szCs w:val="20"/>
              </w:rPr>
              <w:t>74 067</w:t>
            </w:r>
          </w:p>
        </w:tc>
      </w:tr>
      <w:tr w:rsidR="00CA14AB" w:rsidRPr="00E00B35" w:rsidTr="00CA14AB">
        <w:trPr>
          <w:trHeight w:val="422"/>
        </w:trPr>
        <w:tc>
          <w:tcPr>
            <w:tcW w:w="1535" w:type="dxa"/>
            <w:shd w:val="clear" w:color="auto" w:fill="D9D9D9"/>
            <w:vAlign w:val="center"/>
          </w:tcPr>
          <w:p w:rsidR="00CA14AB" w:rsidRPr="00E00B35" w:rsidRDefault="00CA14AB" w:rsidP="00E00B35">
            <w:pPr>
              <w:spacing w:after="0" w:line="312" w:lineRule="auto"/>
              <w:rPr>
                <w:szCs w:val="20"/>
              </w:rPr>
            </w:pPr>
            <w:r w:rsidRPr="00E00B35">
              <w:rPr>
                <w:szCs w:val="20"/>
              </w:rPr>
              <w:t>PZON</w:t>
            </w:r>
          </w:p>
        </w:tc>
        <w:tc>
          <w:tcPr>
            <w:tcW w:w="1535" w:type="dxa"/>
            <w:vAlign w:val="center"/>
          </w:tcPr>
          <w:p w:rsidR="00CA14AB" w:rsidRPr="00E00B35" w:rsidRDefault="00CA14AB" w:rsidP="00E00B35">
            <w:pPr>
              <w:spacing w:after="0" w:line="312" w:lineRule="auto"/>
              <w:rPr>
                <w:szCs w:val="20"/>
              </w:rPr>
            </w:pPr>
            <w:r w:rsidRPr="00E00B35">
              <w:rPr>
                <w:szCs w:val="20"/>
              </w:rPr>
              <w:t>8 585</w:t>
            </w:r>
          </w:p>
        </w:tc>
        <w:tc>
          <w:tcPr>
            <w:tcW w:w="1535" w:type="dxa"/>
            <w:vAlign w:val="center"/>
          </w:tcPr>
          <w:p w:rsidR="00CA14AB" w:rsidRPr="00E00B35" w:rsidRDefault="00CA14AB" w:rsidP="00E00B35">
            <w:pPr>
              <w:spacing w:after="0" w:line="312" w:lineRule="auto"/>
              <w:rPr>
                <w:szCs w:val="20"/>
              </w:rPr>
            </w:pPr>
            <w:r w:rsidRPr="00E00B35">
              <w:rPr>
                <w:szCs w:val="20"/>
              </w:rPr>
              <w:t>8 322</w:t>
            </w:r>
          </w:p>
        </w:tc>
        <w:tc>
          <w:tcPr>
            <w:tcW w:w="1535" w:type="dxa"/>
            <w:vAlign w:val="center"/>
          </w:tcPr>
          <w:p w:rsidR="00CA14AB" w:rsidRPr="00E00B35" w:rsidRDefault="00CA14AB" w:rsidP="00E00B35">
            <w:pPr>
              <w:spacing w:after="0" w:line="312" w:lineRule="auto"/>
              <w:rPr>
                <w:szCs w:val="20"/>
              </w:rPr>
            </w:pPr>
            <w:r w:rsidRPr="00E00B35">
              <w:rPr>
                <w:szCs w:val="20"/>
              </w:rPr>
              <w:t>8 027</w:t>
            </w:r>
          </w:p>
        </w:tc>
        <w:tc>
          <w:tcPr>
            <w:tcW w:w="1535" w:type="dxa"/>
            <w:vAlign w:val="center"/>
          </w:tcPr>
          <w:p w:rsidR="00CA14AB" w:rsidRPr="00E00B35" w:rsidRDefault="00CA14AB" w:rsidP="00E00B35">
            <w:pPr>
              <w:spacing w:after="0" w:line="312" w:lineRule="auto"/>
              <w:rPr>
                <w:szCs w:val="20"/>
              </w:rPr>
            </w:pPr>
            <w:r w:rsidRPr="00E00B35">
              <w:rPr>
                <w:szCs w:val="20"/>
              </w:rPr>
              <w:t>8 817</w:t>
            </w:r>
          </w:p>
        </w:tc>
        <w:tc>
          <w:tcPr>
            <w:tcW w:w="1535" w:type="dxa"/>
            <w:vAlign w:val="center"/>
          </w:tcPr>
          <w:p w:rsidR="00CA14AB" w:rsidRPr="00E00B35" w:rsidRDefault="00CA14AB" w:rsidP="00E00B35">
            <w:pPr>
              <w:spacing w:after="0" w:line="312" w:lineRule="auto"/>
              <w:rPr>
                <w:szCs w:val="20"/>
              </w:rPr>
            </w:pPr>
            <w:r w:rsidRPr="00E00B35">
              <w:rPr>
                <w:szCs w:val="20"/>
              </w:rPr>
              <w:t>6 958</w:t>
            </w:r>
          </w:p>
        </w:tc>
      </w:tr>
    </w:tbl>
    <w:p w:rsidR="005E6C69" w:rsidRPr="00E00B35" w:rsidRDefault="005E6C69" w:rsidP="00E00B35">
      <w:pPr>
        <w:spacing w:after="0" w:line="312" w:lineRule="auto"/>
        <w:rPr>
          <w:szCs w:val="20"/>
        </w:rPr>
      </w:pPr>
      <w:bookmarkStart w:id="367" w:name="_Hlk534357999"/>
      <w:bookmarkStart w:id="368" w:name="_Hlk534359944"/>
      <w:bookmarkEnd w:id="366"/>
    </w:p>
    <w:p w:rsidR="00CA14AB" w:rsidRPr="00E00B35" w:rsidRDefault="00CA14AB" w:rsidP="00E00B35">
      <w:pPr>
        <w:spacing w:after="0" w:line="312" w:lineRule="auto"/>
        <w:rPr>
          <w:szCs w:val="20"/>
        </w:rPr>
      </w:pPr>
      <w:r w:rsidRPr="00E00B35">
        <w:rPr>
          <w:szCs w:val="20"/>
        </w:rPr>
        <w:t xml:space="preserve">W ramach obszarów nadzorowanych przez MOPS realizowane były trzy zadania publiczne </w:t>
      </w:r>
      <w:r w:rsidRPr="00E00B35">
        <w:rPr>
          <w:szCs w:val="20"/>
        </w:rPr>
        <w:br/>
        <w:t>w ramach resortowych programów Ministerstwa Rodziny i Polityki Społecznej (zwane dalej MRiPS):</w:t>
      </w:r>
    </w:p>
    <w:p w:rsidR="00CA14AB" w:rsidRPr="00E00B35" w:rsidRDefault="00CA14AB" w:rsidP="00E00B35">
      <w:pPr>
        <w:spacing w:after="0" w:line="312" w:lineRule="auto"/>
        <w:rPr>
          <w:szCs w:val="20"/>
        </w:rPr>
      </w:pPr>
      <w:r w:rsidRPr="00E00B35">
        <w:rPr>
          <w:szCs w:val="20"/>
        </w:rPr>
        <w:t>1)  Zadanie publiczne w ramach Programu „Asystent rodziny na rok 2020”– dofinansowanie na kwotę 32 300,00 zł (dotacja);</w:t>
      </w:r>
    </w:p>
    <w:p w:rsidR="00CA14AB" w:rsidRPr="00E00B35" w:rsidRDefault="0082271B" w:rsidP="00E00B35">
      <w:pPr>
        <w:spacing w:after="0" w:line="312" w:lineRule="auto"/>
        <w:rPr>
          <w:szCs w:val="20"/>
        </w:rPr>
      </w:pPr>
      <w:r w:rsidRPr="00E00B35">
        <w:rPr>
          <w:szCs w:val="20"/>
        </w:rPr>
        <w:t>2</w:t>
      </w:r>
      <w:r w:rsidR="00CA14AB" w:rsidRPr="00E00B35">
        <w:rPr>
          <w:szCs w:val="20"/>
        </w:rPr>
        <w:t xml:space="preserve">) „Zapewnienie funkcjonowania Dziennego Domu Senior +” w ramach „Programu Wieloletniego Senior + na lata 2015 - 2020”, edycja 2020 – dofinansowanie </w:t>
      </w:r>
      <w:r w:rsidR="00CA14AB" w:rsidRPr="00E00B35">
        <w:rPr>
          <w:szCs w:val="20"/>
        </w:rPr>
        <w:lastRenderedPageBreak/>
        <w:t>funkcjonowania Dziennego Domu Senior + na kwotę 100 800,00 zł (dotacja), wartość całego zadania wynosiła 351 000,00 zł;</w:t>
      </w:r>
    </w:p>
    <w:p w:rsidR="00CA14AB" w:rsidRPr="00E00B35" w:rsidRDefault="0082271B" w:rsidP="00E00B35">
      <w:pPr>
        <w:spacing w:after="0" w:line="312" w:lineRule="auto"/>
        <w:rPr>
          <w:szCs w:val="20"/>
        </w:rPr>
      </w:pPr>
      <w:r w:rsidRPr="00E00B35">
        <w:rPr>
          <w:szCs w:val="20"/>
        </w:rPr>
        <w:t>3</w:t>
      </w:r>
      <w:r w:rsidR="00CA14AB" w:rsidRPr="00E00B35">
        <w:rPr>
          <w:szCs w:val="20"/>
        </w:rPr>
        <w:t xml:space="preserve">) „Opieka wytchnieniowa we Wrocławiu w 2020r.” w ramach Programu „Opieka wytchnieniowa” – edycja 2020 – dofinansowanie na kwotę 363 600,00 zł (dotacja), wartość całego zadania wynosiła 453 600,00 zł. </w:t>
      </w:r>
    </w:p>
    <w:p w:rsidR="00CA14AB" w:rsidRPr="00E00B35" w:rsidRDefault="00CA14AB" w:rsidP="00E00B35">
      <w:pPr>
        <w:spacing w:after="0" w:line="312" w:lineRule="auto"/>
        <w:rPr>
          <w:szCs w:val="20"/>
        </w:rPr>
      </w:pPr>
      <w:r w:rsidRPr="00E00B35">
        <w:rPr>
          <w:szCs w:val="20"/>
        </w:rPr>
        <w:t xml:space="preserve">Jedno zadanie publiczne dofinansowane z dotacji z Państwowego Funduszu Rehabilitacji Osób Niepełnosprawnych w ramach programu „Pomoc osobom niepełnosprawnym poszkodowanym w wyniku żywiołu lub sytuacji kryzysowych wywołanych chorobami zakaźnymi” moduł III – pomoc finansowa dla osób niepełnosprawnych, które na skutek wystąpienia sytuacji kryzysowych spowodowanych chorobami zakaźnymi utraciły, </w:t>
      </w:r>
      <w:r w:rsidRPr="00E00B35">
        <w:rPr>
          <w:szCs w:val="20"/>
        </w:rPr>
        <w:br/>
        <w:t>w okresie od dnia 9 marca 2020 roku do dnia 4 września 2020 roku, możliwość korzystania (przez okres co najmniej 5 kolejnych następujących po sobie dni roboczych) z opieki świadczonej w placówce rehabilitacyjnej na kwotę 2 460 000,00 zł (dotacja).</w:t>
      </w:r>
    </w:p>
    <w:p w:rsidR="005E6C69" w:rsidRPr="00E00B35" w:rsidRDefault="00CA14AB" w:rsidP="00E00B35">
      <w:pPr>
        <w:spacing w:after="0" w:line="312" w:lineRule="auto"/>
        <w:rPr>
          <w:szCs w:val="20"/>
        </w:rPr>
      </w:pPr>
      <w:r w:rsidRPr="00E00B35">
        <w:rPr>
          <w:szCs w:val="20"/>
        </w:rPr>
        <w:t xml:space="preserve">W 2020 roku MOPS wraz z partnerami pozyskał 11 589 235,42 zł (w tym do wykorzystania przez MOPS 4 873 813,87 zł) ze środków zewnętrznych w ramach projektów: „Wsparcie dzieci umieszczonych w pieczy zastępczej w okresie epidemii COVID-19”, AZYL – usługi opiekuńcze dla osób niesamodzielnych”, „SAMO-Dzielni edycja 2” oraz zadań publicznych w ramach „Asystent rodziny na rok 2020”, „Programu Wieloletniego Senior + na lata 2015-2020”, Programu ”Opieka wytchnieniowa” i „Pomoc osobom niepełnosprawnym poszkodowanym w wyniku żywiołu lub sytuacji kryzysowych wywołanych chorobami zakaźnymi” (wkład własny Gminy Wrocław do dofinansowanych </w:t>
      </w:r>
      <w:r w:rsidRPr="00E00B35">
        <w:rPr>
          <w:szCs w:val="20"/>
        </w:rPr>
        <w:br/>
        <w:t>w 2020r. projektów wynosi łącznie 550 831,13 zł).</w:t>
      </w:r>
    </w:p>
    <w:p w:rsidR="00CA14AB" w:rsidRPr="00E00B35" w:rsidRDefault="00CA14AB" w:rsidP="00E00B35">
      <w:pPr>
        <w:spacing w:after="0" w:line="312" w:lineRule="auto"/>
        <w:rPr>
          <w:szCs w:val="20"/>
        </w:rPr>
      </w:pPr>
      <w:r w:rsidRPr="00E00B35">
        <w:rPr>
          <w:szCs w:val="20"/>
        </w:rPr>
        <w:br/>
        <w:t>Środki zewnętrzne pozyskane przez MOPS w latach 2016-2020</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3"/>
        <w:gridCol w:w="1559"/>
        <w:gridCol w:w="1559"/>
        <w:gridCol w:w="1560"/>
        <w:gridCol w:w="1559"/>
        <w:gridCol w:w="1843"/>
      </w:tblGrid>
      <w:tr w:rsidR="00CA14AB" w:rsidRPr="00E00B35" w:rsidTr="00CA14AB">
        <w:trPr>
          <w:trHeight w:val="437"/>
          <w:jc w:val="center"/>
        </w:trPr>
        <w:tc>
          <w:tcPr>
            <w:tcW w:w="1413" w:type="dxa"/>
            <w:shd w:val="clear" w:color="auto" w:fill="D9D9D9"/>
            <w:vAlign w:val="center"/>
          </w:tcPr>
          <w:p w:rsidR="00CA14AB" w:rsidRPr="00E00B35" w:rsidRDefault="00CA14AB" w:rsidP="00E00B35">
            <w:pPr>
              <w:spacing w:after="0" w:line="312" w:lineRule="auto"/>
              <w:rPr>
                <w:szCs w:val="20"/>
              </w:rPr>
            </w:pPr>
            <w:r w:rsidRPr="00E00B35">
              <w:rPr>
                <w:szCs w:val="20"/>
              </w:rPr>
              <w:t>Środki finansowe</w:t>
            </w:r>
          </w:p>
        </w:tc>
        <w:tc>
          <w:tcPr>
            <w:tcW w:w="1559" w:type="dxa"/>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1559" w:type="dxa"/>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1560" w:type="dxa"/>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1559" w:type="dxa"/>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1843" w:type="dxa"/>
            <w:shd w:val="clear" w:color="auto" w:fill="D9D9D9"/>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1121"/>
          <w:jc w:val="center"/>
        </w:trPr>
        <w:tc>
          <w:tcPr>
            <w:tcW w:w="1413" w:type="dxa"/>
            <w:shd w:val="clear" w:color="auto" w:fill="D9D9D9"/>
            <w:vAlign w:val="center"/>
          </w:tcPr>
          <w:p w:rsidR="00CA14AB" w:rsidRPr="00E00B35" w:rsidRDefault="00CA14AB" w:rsidP="00E00B35">
            <w:pPr>
              <w:spacing w:after="0" w:line="312" w:lineRule="auto"/>
              <w:rPr>
                <w:szCs w:val="20"/>
              </w:rPr>
            </w:pPr>
            <w:r w:rsidRPr="00E00B35">
              <w:rPr>
                <w:szCs w:val="20"/>
              </w:rPr>
              <w:t>Środki zewnętrzne pozyskane przez MOPS</w:t>
            </w:r>
          </w:p>
        </w:tc>
        <w:tc>
          <w:tcPr>
            <w:tcW w:w="1559" w:type="dxa"/>
            <w:vAlign w:val="center"/>
          </w:tcPr>
          <w:p w:rsidR="00CA14AB" w:rsidRPr="00E00B35" w:rsidRDefault="00CA14AB" w:rsidP="00E00B35">
            <w:pPr>
              <w:spacing w:after="0" w:line="312" w:lineRule="auto"/>
              <w:rPr>
                <w:szCs w:val="20"/>
              </w:rPr>
            </w:pPr>
            <w:r w:rsidRPr="00E00B35">
              <w:rPr>
                <w:szCs w:val="20"/>
              </w:rPr>
              <w:t>3 972 165,92</w:t>
            </w:r>
          </w:p>
        </w:tc>
        <w:tc>
          <w:tcPr>
            <w:tcW w:w="1559" w:type="dxa"/>
            <w:vAlign w:val="center"/>
          </w:tcPr>
          <w:p w:rsidR="00CA14AB" w:rsidRPr="00E00B35" w:rsidRDefault="00CA14AB" w:rsidP="00E00B35">
            <w:pPr>
              <w:spacing w:after="0" w:line="312" w:lineRule="auto"/>
              <w:rPr>
                <w:szCs w:val="20"/>
              </w:rPr>
            </w:pPr>
            <w:r w:rsidRPr="00E00B35">
              <w:rPr>
                <w:szCs w:val="20"/>
              </w:rPr>
              <w:t>1 278 232,93</w:t>
            </w:r>
          </w:p>
        </w:tc>
        <w:tc>
          <w:tcPr>
            <w:tcW w:w="1560" w:type="dxa"/>
            <w:vAlign w:val="center"/>
          </w:tcPr>
          <w:p w:rsidR="00CA14AB" w:rsidRPr="00E00B35" w:rsidRDefault="00CA14AB" w:rsidP="00E00B35">
            <w:pPr>
              <w:spacing w:after="0" w:line="312" w:lineRule="auto"/>
              <w:rPr>
                <w:szCs w:val="20"/>
              </w:rPr>
            </w:pPr>
            <w:r w:rsidRPr="00E00B35">
              <w:rPr>
                <w:szCs w:val="20"/>
              </w:rPr>
              <w:t>5 636 045,89 w tym dla MOPS: 3 614 972,57</w:t>
            </w:r>
          </w:p>
        </w:tc>
        <w:tc>
          <w:tcPr>
            <w:tcW w:w="1559" w:type="dxa"/>
            <w:vAlign w:val="center"/>
          </w:tcPr>
          <w:p w:rsidR="00CA14AB" w:rsidRPr="00E00B35" w:rsidRDefault="00CA14AB" w:rsidP="00E00B35">
            <w:pPr>
              <w:spacing w:after="0" w:line="312" w:lineRule="auto"/>
              <w:rPr>
                <w:szCs w:val="20"/>
              </w:rPr>
            </w:pPr>
            <w:r w:rsidRPr="00E00B35">
              <w:rPr>
                <w:szCs w:val="20"/>
              </w:rPr>
              <w:t>10 278 279,54 w tym dla MOPS: 4 091 685,90</w:t>
            </w:r>
          </w:p>
        </w:tc>
        <w:tc>
          <w:tcPr>
            <w:tcW w:w="1843" w:type="dxa"/>
            <w:vAlign w:val="center"/>
          </w:tcPr>
          <w:p w:rsidR="00CA14AB" w:rsidRPr="00E00B35" w:rsidRDefault="00CA14AB" w:rsidP="00E00B35">
            <w:pPr>
              <w:spacing w:after="0" w:line="312" w:lineRule="auto"/>
              <w:rPr>
                <w:szCs w:val="20"/>
              </w:rPr>
            </w:pPr>
            <w:r w:rsidRPr="00E00B35">
              <w:rPr>
                <w:szCs w:val="20"/>
              </w:rPr>
              <w:t xml:space="preserve">11 589 235,42 </w:t>
            </w:r>
          </w:p>
          <w:p w:rsidR="00CA14AB" w:rsidRPr="00E00B35" w:rsidRDefault="00CA14AB" w:rsidP="00E00B35">
            <w:pPr>
              <w:spacing w:after="0" w:line="312" w:lineRule="auto"/>
              <w:rPr>
                <w:szCs w:val="20"/>
              </w:rPr>
            </w:pPr>
            <w:r w:rsidRPr="00E00B35">
              <w:rPr>
                <w:szCs w:val="20"/>
              </w:rPr>
              <w:t xml:space="preserve">w tym dla </w:t>
            </w:r>
          </w:p>
          <w:p w:rsidR="00CA14AB" w:rsidRPr="00E00B35" w:rsidRDefault="00CA14AB" w:rsidP="00E00B35">
            <w:pPr>
              <w:spacing w:after="0" w:line="312" w:lineRule="auto"/>
              <w:rPr>
                <w:szCs w:val="20"/>
              </w:rPr>
            </w:pPr>
            <w:r w:rsidRPr="00E00B35">
              <w:rPr>
                <w:szCs w:val="20"/>
              </w:rPr>
              <w:t xml:space="preserve">MOPS: 4 873 813,87 </w:t>
            </w:r>
          </w:p>
        </w:tc>
      </w:tr>
      <w:bookmarkEnd w:id="367"/>
      <w:bookmarkEnd w:id="368"/>
    </w:tbl>
    <w:p w:rsidR="0082271B" w:rsidRPr="00E00B35" w:rsidRDefault="0082271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W roku 2020 Gmina Wrocław, w imieniu której realizatorem był MOPS i WCRS, przy współudziale wolontariuszy, organizacji pozarządowych oraz OSP realizowała Program MRiPS pn. „Wspieraj Seniora”, w ramach którego wsparciem objęto 619 wrocławskich seniorów – 171 zgłoszonych przez Infolinię i 448 zgłoszonych poza Infolinią. </w:t>
      </w:r>
    </w:p>
    <w:p w:rsidR="00CA14AB" w:rsidRPr="00E00B35" w:rsidRDefault="00CA14AB" w:rsidP="00E00B35">
      <w:pPr>
        <w:spacing w:after="0" w:line="312" w:lineRule="auto"/>
        <w:rPr>
          <w:szCs w:val="20"/>
        </w:rPr>
      </w:pPr>
      <w:r w:rsidRPr="00E00B35">
        <w:rPr>
          <w:szCs w:val="20"/>
        </w:rPr>
        <w:t xml:space="preserve">W ramach programu seniorzy w wieku powyżej 70 roku życia, którzy w obowiązującym stanie epidemii zdecydowali się na pozostanie w domu, mieli możliwość skorzystania </w:t>
      </w:r>
      <w:r w:rsidRPr="00E00B35">
        <w:rPr>
          <w:szCs w:val="20"/>
        </w:rPr>
        <w:br/>
        <w:t xml:space="preserve">z usługi wsparcia polegającej w szczególności na dostarczeniu zakupów, zgodnie </w:t>
      </w:r>
      <w:r w:rsidRPr="00E00B35">
        <w:rPr>
          <w:szCs w:val="20"/>
        </w:rPr>
        <w:br/>
        <w:t xml:space="preserve">ze wskazanym przez seniora zakresem, obejmujących artykuły podstawowej potrzeby, </w:t>
      </w:r>
      <w:r w:rsidRPr="00E00B35">
        <w:rPr>
          <w:szCs w:val="20"/>
        </w:rPr>
        <w:br/>
        <w:t xml:space="preserve">w tym artykuły spożywcze, środków higieny osobistej. Seniorzy zgłaszali się poprzez Infolinię uruchomioną w ramach programu Solidarnościowy Korpus Wsparcia Seniorów </w:t>
      </w:r>
      <w:r w:rsidRPr="00E00B35">
        <w:rPr>
          <w:szCs w:val="20"/>
        </w:rPr>
        <w:lastRenderedPageBreak/>
        <w:t xml:space="preserve">(528 zgłoszeń), jak też poza Infolinią (489 zgłoszeń), łącznie dając liczbę 1 017 zgłoszeń osób chętnych do otrzymania wsparcia w ramach programu. </w:t>
      </w:r>
    </w:p>
    <w:p w:rsidR="00CA14AB" w:rsidRPr="00E00B35" w:rsidRDefault="00CA14AB" w:rsidP="00E00B35">
      <w:pPr>
        <w:spacing w:after="0" w:line="312" w:lineRule="auto"/>
        <w:rPr>
          <w:szCs w:val="20"/>
        </w:rPr>
      </w:pPr>
      <w:r w:rsidRPr="00E00B35">
        <w:rPr>
          <w:szCs w:val="20"/>
        </w:rPr>
        <w:t xml:space="preserve">Do współpracy w ramach Programu zgłosiło się 369 osób, z tego porozumienia podpisało 297 wolontariuszy, a 92 wolontariuszy faktycznie świadczyło wsparcie na rzecz seniorów w ramach programu "Wspieraj Seniora".   </w:t>
      </w:r>
    </w:p>
    <w:p w:rsidR="00CA14AB" w:rsidRPr="00E00B35" w:rsidRDefault="00CA14AB" w:rsidP="00E00B35">
      <w:pPr>
        <w:spacing w:after="0" w:line="312" w:lineRule="auto"/>
        <w:rPr>
          <w:szCs w:val="20"/>
        </w:rPr>
      </w:pPr>
      <w:r w:rsidRPr="00E00B35">
        <w:rPr>
          <w:szCs w:val="20"/>
        </w:rPr>
        <w:t>Na realizację programu „Wspieraj Seniora” w 2020r. przyznano kwotę 207 037,00 zł.</w:t>
      </w:r>
    </w:p>
    <w:p w:rsidR="00CA14AB" w:rsidRPr="00E00B35" w:rsidRDefault="00CA14AB" w:rsidP="00E00B35">
      <w:pPr>
        <w:spacing w:after="0" w:line="312" w:lineRule="auto"/>
        <w:rPr>
          <w:szCs w:val="20"/>
        </w:rPr>
      </w:pPr>
      <w:r w:rsidRPr="00E00B35">
        <w:rPr>
          <w:szCs w:val="20"/>
        </w:rPr>
        <w:t>Koszt całkowity realizacji zadania w ramach programu "Wspieraj Seniora” to 151 182,87 zł (stan na 31.12.2020r.). Wysokość środków z dotacji z budżetu państwa na realizację programu "Wspieraj Seniora" wyniosła 99 374,16 zł (w tym realizowane przez MOPS – 62 850,84 zł, realizowane przez WCRS – 36 523,32 zł), natomiast wkład własny Gminy Wrocław stanowił kwotę 51 808,71 zł (w tym MOPS – 21 808,71 zł, WCRS – 30 000,00 zł).</w:t>
      </w:r>
    </w:p>
    <w:p w:rsidR="005E6C69" w:rsidRPr="00E00B35" w:rsidRDefault="005E6C69" w:rsidP="00E00B35">
      <w:pPr>
        <w:pStyle w:val="Nagwek4"/>
        <w:spacing w:before="0" w:after="0" w:line="312" w:lineRule="auto"/>
        <w:rPr>
          <w:sz w:val="20"/>
          <w:szCs w:val="20"/>
        </w:rPr>
      </w:pPr>
      <w:bookmarkStart w:id="369" w:name="_Toc72352423"/>
      <w:bookmarkStart w:id="370" w:name="_Toc72352857"/>
    </w:p>
    <w:p w:rsidR="00CA14AB" w:rsidRPr="00E00B35" w:rsidRDefault="00CA14AB" w:rsidP="00E00B35">
      <w:pPr>
        <w:pStyle w:val="Nagwek4"/>
        <w:spacing w:before="0" w:after="0" w:line="312" w:lineRule="auto"/>
        <w:rPr>
          <w:sz w:val="20"/>
          <w:szCs w:val="20"/>
        </w:rPr>
      </w:pPr>
      <w:r w:rsidRPr="00E00B35">
        <w:rPr>
          <w:sz w:val="20"/>
          <w:szCs w:val="20"/>
        </w:rPr>
        <w:t>ZASIŁKI I POMOC W NATURZE</w:t>
      </w:r>
      <w:bookmarkEnd w:id="369"/>
      <w:bookmarkEnd w:id="370"/>
    </w:p>
    <w:p w:rsidR="00CA14AB" w:rsidRPr="00E00B35" w:rsidRDefault="00CA14AB" w:rsidP="00E00B35">
      <w:pPr>
        <w:spacing w:after="0" w:line="312" w:lineRule="auto"/>
        <w:rPr>
          <w:szCs w:val="20"/>
        </w:rPr>
      </w:pPr>
      <w:r w:rsidRPr="00E00B35">
        <w:rPr>
          <w:szCs w:val="20"/>
        </w:rPr>
        <w:t>Rodzaje świadczeń finansowanych z budżetu Gminy Wrocław w 2020r.</w:t>
      </w:r>
    </w:p>
    <w:tbl>
      <w:tblPr>
        <w:tblW w:w="9214"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103"/>
        <w:gridCol w:w="2268"/>
        <w:gridCol w:w="1843"/>
      </w:tblGrid>
      <w:tr w:rsidR="00CA14AB" w:rsidRPr="00E00B35" w:rsidTr="00CA14AB">
        <w:trPr>
          <w:trHeight w:val="544"/>
        </w:trPr>
        <w:tc>
          <w:tcPr>
            <w:tcW w:w="5103" w:type="dxa"/>
            <w:tcBorders>
              <w:top w:val="single" w:sz="4" w:space="0" w:color="auto"/>
              <w:left w:val="single" w:sz="4" w:space="0" w:color="auto"/>
              <w:bottom w:val="single" w:sz="4" w:space="0" w:color="auto"/>
              <w:right w:val="single" w:sz="4" w:space="0" w:color="auto"/>
            </w:tcBorders>
            <w:shd w:val="clear" w:color="auto" w:fill="D9D9D9"/>
          </w:tcPr>
          <w:p w:rsidR="00CA14AB" w:rsidRPr="00E00B35" w:rsidRDefault="00CA14AB" w:rsidP="00E00B35">
            <w:pPr>
              <w:spacing w:after="0" w:line="312" w:lineRule="auto"/>
              <w:rPr>
                <w:szCs w:val="20"/>
              </w:rPr>
            </w:pPr>
            <w:r w:rsidRPr="00E00B35">
              <w:rPr>
                <w:szCs w:val="20"/>
              </w:rPr>
              <w:t>Rodzaj pomocy</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Liczba osób korzystających</w:t>
            </w:r>
          </w:p>
          <w:p w:rsidR="00CA14AB" w:rsidRPr="00E00B35" w:rsidRDefault="00CA14AB" w:rsidP="00E00B35">
            <w:pPr>
              <w:spacing w:after="0" w:line="312" w:lineRule="auto"/>
              <w:rPr>
                <w:szCs w:val="20"/>
              </w:rPr>
            </w:pPr>
            <w:r w:rsidRPr="00E00B35">
              <w:rPr>
                <w:szCs w:val="20"/>
              </w:rPr>
              <w:t>z pomocy</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Kwota świadczeń</w:t>
            </w:r>
          </w:p>
          <w:p w:rsidR="00CA14AB" w:rsidRPr="00E00B35" w:rsidRDefault="00CA14AB" w:rsidP="00E00B35">
            <w:pPr>
              <w:spacing w:after="0" w:line="312" w:lineRule="auto"/>
              <w:rPr>
                <w:szCs w:val="20"/>
              </w:rPr>
            </w:pPr>
            <w:r w:rsidRPr="00E00B35">
              <w:rPr>
                <w:szCs w:val="20"/>
              </w:rPr>
              <w:t>[zł]</w:t>
            </w:r>
          </w:p>
        </w:tc>
      </w:tr>
      <w:tr w:rsidR="00CA14AB" w:rsidRPr="00E00B35" w:rsidTr="00CA14AB">
        <w:trPr>
          <w:trHeight w:val="352"/>
        </w:trPr>
        <w:tc>
          <w:tcPr>
            <w:tcW w:w="5103"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Zasiłki celowe</w:t>
            </w:r>
          </w:p>
        </w:tc>
        <w:tc>
          <w:tcPr>
            <w:tcW w:w="2268"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3 801</w:t>
            </w:r>
          </w:p>
        </w:tc>
        <w:tc>
          <w:tcPr>
            <w:tcW w:w="1843"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7 985 399</w:t>
            </w:r>
          </w:p>
        </w:tc>
      </w:tr>
      <w:tr w:rsidR="00CA14AB" w:rsidRPr="00E00B35" w:rsidTr="00CA14AB">
        <w:trPr>
          <w:trHeight w:val="528"/>
        </w:trPr>
        <w:tc>
          <w:tcPr>
            <w:tcW w:w="5103"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Zasiłki okresowe </w:t>
            </w:r>
            <w:r w:rsidRPr="00E00B35">
              <w:rPr>
                <w:szCs w:val="20"/>
              </w:rPr>
              <w:br/>
              <w:t xml:space="preserve"> - w tym dotacja z budżetu państwa</w:t>
            </w:r>
          </w:p>
        </w:tc>
        <w:tc>
          <w:tcPr>
            <w:tcW w:w="2268"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694</w:t>
            </w:r>
          </w:p>
        </w:tc>
        <w:tc>
          <w:tcPr>
            <w:tcW w:w="1843"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1 586 313</w:t>
            </w:r>
            <w:r w:rsidRPr="00E00B35">
              <w:rPr>
                <w:szCs w:val="20"/>
              </w:rPr>
              <w:br/>
              <w:t>1 270 325</w:t>
            </w:r>
          </w:p>
        </w:tc>
      </w:tr>
      <w:tr w:rsidR="00CA14AB" w:rsidRPr="00E00B35" w:rsidTr="00CA14AB">
        <w:trPr>
          <w:trHeight w:val="648"/>
        </w:trPr>
        <w:tc>
          <w:tcPr>
            <w:tcW w:w="5103"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Zasiłki celowe na pokrycie kosztów posiłków i zakupu żywności w tym w ramach programu wspierania finansowego gmin w zakresie dożywiania „Pomoc państwa w zakresie dożywiania" </w:t>
            </w:r>
          </w:p>
        </w:tc>
        <w:tc>
          <w:tcPr>
            <w:tcW w:w="2268"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1 298 </w:t>
            </w:r>
          </w:p>
          <w:p w:rsidR="00CA14AB" w:rsidRPr="00E00B35" w:rsidRDefault="00CA14AB" w:rsidP="00E00B35">
            <w:pPr>
              <w:spacing w:after="0" w:line="312" w:lineRule="auto"/>
              <w:rPr>
                <w:szCs w:val="20"/>
              </w:rPr>
            </w:pPr>
            <w:r w:rsidRPr="00E00B35">
              <w:rPr>
                <w:szCs w:val="20"/>
              </w:rPr>
              <w:t xml:space="preserve">w tym liczba dzieci korzystająca </w:t>
            </w:r>
            <w:r w:rsidRPr="00E00B35">
              <w:rPr>
                <w:szCs w:val="20"/>
              </w:rPr>
              <w:br/>
              <w:t>z posiłku 209</w:t>
            </w:r>
          </w:p>
        </w:tc>
        <w:tc>
          <w:tcPr>
            <w:tcW w:w="1843"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1 111 751 </w:t>
            </w:r>
            <w:r w:rsidRPr="00E00B35">
              <w:rPr>
                <w:szCs w:val="20"/>
              </w:rPr>
              <w:br/>
              <w:t>w tym dotacja</w:t>
            </w:r>
            <w:r w:rsidRPr="00E00B35">
              <w:rPr>
                <w:szCs w:val="20"/>
              </w:rPr>
              <w:br/>
              <w:t>663 726</w:t>
            </w:r>
          </w:p>
        </w:tc>
      </w:tr>
    </w:tbl>
    <w:p w:rsidR="00CA14AB" w:rsidRPr="00E00B35" w:rsidRDefault="00CA14AB" w:rsidP="00E00B35">
      <w:pPr>
        <w:spacing w:after="0" w:line="312" w:lineRule="auto"/>
        <w:rPr>
          <w:szCs w:val="20"/>
        </w:rPr>
      </w:pPr>
      <w:r w:rsidRPr="00E00B35">
        <w:rPr>
          <w:szCs w:val="20"/>
        </w:rPr>
        <w:t>Średnia wysokość zasiłku celowego w 2020r. wyniosła – 288,01 zł (w 2019 – 263,86 zł), natomiast średnia wysokość zasiłku okresowego – 390,52 zł (w 2019 – 412,17 zł).</w:t>
      </w:r>
    </w:p>
    <w:p w:rsidR="005E6C69" w:rsidRPr="00E00B35" w:rsidRDefault="005E6C69"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Rodzaje świadczeń finansowanych z budżetu państwa w 2020r.</w:t>
      </w:r>
    </w:p>
    <w:tbl>
      <w:tblPr>
        <w:tblW w:w="9214"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5249"/>
        <w:gridCol w:w="1826"/>
        <w:gridCol w:w="2139"/>
      </w:tblGrid>
      <w:tr w:rsidR="00CA14AB" w:rsidRPr="00E00B35" w:rsidTr="00CA14AB">
        <w:trPr>
          <w:trHeight w:val="574"/>
        </w:trPr>
        <w:tc>
          <w:tcPr>
            <w:tcW w:w="5249" w:type="dxa"/>
            <w:tcBorders>
              <w:top w:val="single" w:sz="4" w:space="0" w:color="auto"/>
              <w:left w:val="single" w:sz="4" w:space="0" w:color="auto"/>
              <w:bottom w:val="single" w:sz="4" w:space="0" w:color="auto"/>
              <w:right w:val="single" w:sz="4" w:space="0" w:color="auto"/>
            </w:tcBorders>
            <w:shd w:val="clear" w:color="auto" w:fill="D9D9D9"/>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Rodzaj pomocy</w:t>
            </w:r>
          </w:p>
        </w:tc>
        <w:tc>
          <w:tcPr>
            <w:tcW w:w="1826"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Liczba osób korzystających</w:t>
            </w:r>
          </w:p>
          <w:p w:rsidR="00CA14AB" w:rsidRPr="00E00B35" w:rsidRDefault="00CA14AB" w:rsidP="00E00B35">
            <w:pPr>
              <w:spacing w:after="0" w:line="312" w:lineRule="auto"/>
              <w:rPr>
                <w:szCs w:val="20"/>
              </w:rPr>
            </w:pPr>
            <w:r w:rsidRPr="00E00B35">
              <w:rPr>
                <w:szCs w:val="20"/>
              </w:rPr>
              <w:t>z pomocy</w:t>
            </w:r>
          </w:p>
        </w:tc>
        <w:tc>
          <w:tcPr>
            <w:tcW w:w="2139"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 xml:space="preserve">Kwota świadczeń </w:t>
            </w:r>
            <w:r w:rsidRPr="00E00B35">
              <w:rPr>
                <w:szCs w:val="20"/>
              </w:rPr>
              <w:br/>
              <w:t>[zł]</w:t>
            </w:r>
          </w:p>
        </w:tc>
      </w:tr>
      <w:tr w:rsidR="00CA14AB" w:rsidRPr="00E00B35" w:rsidTr="00CA14AB">
        <w:tc>
          <w:tcPr>
            <w:tcW w:w="5249" w:type="dxa"/>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 xml:space="preserve">Zasiłek stały (zadanie własne Gminy dotowane przez Państwo w 100%) </w:t>
            </w:r>
          </w:p>
        </w:tc>
        <w:tc>
          <w:tcPr>
            <w:tcW w:w="182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1 434</w:t>
            </w:r>
          </w:p>
        </w:tc>
        <w:tc>
          <w:tcPr>
            <w:tcW w:w="213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7 926 915</w:t>
            </w:r>
          </w:p>
        </w:tc>
      </w:tr>
      <w:tr w:rsidR="00CA14AB" w:rsidRPr="00E00B35" w:rsidTr="00CA14AB">
        <w:tc>
          <w:tcPr>
            <w:tcW w:w="5249" w:type="dxa"/>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Składki na ubezpieczenie zdrowotne ZUS (zadanie własne Gminy dotowane przez Państwo w 100 %)</w:t>
            </w:r>
          </w:p>
        </w:tc>
        <w:tc>
          <w:tcPr>
            <w:tcW w:w="182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1 186</w:t>
            </w:r>
          </w:p>
        </w:tc>
        <w:tc>
          <w:tcPr>
            <w:tcW w:w="213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676 953</w:t>
            </w:r>
          </w:p>
        </w:tc>
      </w:tr>
      <w:tr w:rsidR="00CA14AB" w:rsidRPr="00E00B35" w:rsidTr="00CA14AB">
        <w:trPr>
          <w:trHeight w:val="472"/>
        </w:trPr>
        <w:tc>
          <w:tcPr>
            <w:tcW w:w="5249" w:type="dxa"/>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 xml:space="preserve">Specjalistyczne usługi opiekuńcze dla osób </w:t>
            </w:r>
            <w:r w:rsidRPr="00E00B35">
              <w:rPr>
                <w:szCs w:val="20"/>
              </w:rPr>
              <w:br/>
              <w:t>z zaburzeniami psychicznymi (zadanie zlecone Gminy dotowane przez Państwo w 100 %)</w:t>
            </w:r>
          </w:p>
        </w:tc>
        <w:tc>
          <w:tcPr>
            <w:tcW w:w="182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36</w:t>
            </w:r>
          </w:p>
        </w:tc>
        <w:tc>
          <w:tcPr>
            <w:tcW w:w="213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996 920</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Średnia wysokość zasiłku stałego w 2020r. wyniosła 531,65 zł (w 2019 – 540,23 zł)</w:t>
      </w:r>
    </w:p>
    <w:p w:rsidR="00CA14AB" w:rsidRPr="00E00B35" w:rsidRDefault="00CA14AB" w:rsidP="00E00B35">
      <w:pPr>
        <w:spacing w:after="0" w:line="312" w:lineRule="auto"/>
        <w:rPr>
          <w:szCs w:val="20"/>
        </w:rPr>
      </w:pPr>
      <w:r w:rsidRPr="00E00B35">
        <w:rPr>
          <w:szCs w:val="20"/>
        </w:rPr>
        <w:t>Ilość osób pobierających zasiłki stałe, okresowe i celowe w latach 2016 – 2020</w:t>
      </w:r>
    </w:p>
    <w:tbl>
      <w:tblPr>
        <w:tblW w:w="9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7"/>
        <w:gridCol w:w="1441"/>
        <w:gridCol w:w="1441"/>
        <w:gridCol w:w="1441"/>
        <w:gridCol w:w="1441"/>
        <w:gridCol w:w="1441"/>
      </w:tblGrid>
      <w:tr w:rsidR="00CA14AB" w:rsidRPr="00E00B35" w:rsidTr="00CA14AB">
        <w:trPr>
          <w:trHeight w:val="398"/>
        </w:trPr>
        <w:tc>
          <w:tcPr>
            <w:tcW w:w="2087" w:type="dxa"/>
            <w:shd w:val="clear" w:color="auto" w:fill="D9D9D9"/>
            <w:vAlign w:val="center"/>
          </w:tcPr>
          <w:p w:rsidR="00CA14AB" w:rsidRPr="00E00B35" w:rsidRDefault="00CA14AB" w:rsidP="00E00B35">
            <w:pPr>
              <w:spacing w:after="0" w:line="312" w:lineRule="auto"/>
              <w:rPr>
                <w:szCs w:val="20"/>
              </w:rPr>
            </w:pPr>
            <w:r w:rsidRPr="00E00B35">
              <w:rPr>
                <w:szCs w:val="20"/>
              </w:rPr>
              <w:lastRenderedPageBreak/>
              <w:t>Rodzaje zasiłków</w:t>
            </w:r>
          </w:p>
        </w:tc>
        <w:tc>
          <w:tcPr>
            <w:tcW w:w="1441" w:type="dxa"/>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1441" w:type="dxa"/>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1441" w:type="dxa"/>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1441" w:type="dxa"/>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1441" w:type="dxa"/>
            <w:shd w:val="clear" w:color="auto" w:fill="D9D9D9"/>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c>
          <w:tcPr>
            <w:tcW w:w="2087" w:type="dxa"/>
            <w:shd w:val="clear" w:color="auto" w:fill="D9D9D9"/>
            <w:vAlign w:val="center"/>
          </w:tcPr>
          <w:p w:rsidR="00CA14AB" w:rsidRPr="00E00B35" w:rsidRDefault="00CA14AB" w:rsidP="00E00B35">
            <w:pPr>
              <w:spacing w:after="0" w:line="312" w:lineRule="auto"/>
              <w:rPr>
                <w:szCs w:val="20"/>
              </w:rPr>
            </w:pPr>
            <w:r w:rsidRPr="00E00B35">
              <w:rPr>
                <w:szCs w:val="20"/>
              </w:rPr>
              <w:t>Zasiłki stałe</w:t>
            </w:r>
          </w:p>
        </w:tc>
        <w:tc>
          <w:tcPr>
            <w:tcW w:w="1441" w:type="dxa"/>
          </w:tcPr>
          <w:p w:rsidR="00CA14AB" w:rsidRPr="00E00B35" w:rsidRDefault="00CA14AB" w:rsidP="00E00B35">
            <w:pPr>
              <w:spacing w:after="0" w:line="312" w:lineRule="auto"/>
              <w:rPr>
                <w:szCs w:val="20"/>
              </w:rPr>
            </w:pPr>
            <w:r w:rsidRPr="00E00B35">
              <w:rPr>
                <w:szCs w:val="20"/>
              </w:rPr>
              <w:t>1 887</w:t>
            </w:r>
          </w:p>
        </w:tc>
        <w:tc>
          <w:tcPr>
            <w:tcW w:w="1441" w:type="dxa"/>
            <w:vAlign w:val="center"/>
          </w:tcPr>
          <w:p w:rsidR="00CA14AB" w:rsidRPr="00E00B35" w:rsidRDefault="00CA14AB" w:rsidP="00E00B35">
            <w:pPr>
              <w:spacing w:after="0" w:line="312" w:lineRule="auto"/>
              <w:rPr>
                <w:szCs w:val="20"/>
              </w:rPr>
            </w:pPr>
            <w:r w:rsidRPr="00E00B35">
              <w:rPr>
                <w:szCs w:val="20"/>
              </w:rPr>
              <w:t>1 873</w:t>
            </w:r>
          </w:p>
        </w:tc>
        <w:tc>
          <w:tcPr>
            <w:tcW w:w="1441" w:type="dxa"/>
            <w:vAlign w:val="center"/>
          </w:tcPr>
          <w:p w:rsidR="00CA14AB" w:rsidRPr="00E00B35" w:rsidRDefault="00CA14AB" w:rsidP="00E00B35">
            <w:pPr>
              <w:spacing w:after="0" w:line="312" w:lineRule="auto"/>
              <w:rPr>
                <w:szCs w:val="20"/>
              </w:rPr>
            </w:pPr>
            <w:r w:rsidRPr="00E00B35">
              <w:rPr>
                <w:szCs w:val="20"/>
              </w:rPr>
              <w:t>1 677</w:t>
            </w:r>
          </w:p>
        </w:tc>
        <w:tc>
          <w:tcPr>
            <w:tcW w:w="1441" w:type="dxa"/>
          </w:tcPr>
          <w:p w:rsidR="00CA14AB" w:rsidRPr="00E00B35" w:rsidRDefault="00CA14AB" w:rsidP="00E00B35">
            <w:pPr>
              <w:spacing w:after="0" w:line="312" w:lineRule="auto"/>
              <w:rPr>
                <w:szCs w:val="20"/>
              </w:rPr>
            </w:pPr>
            <w:r w:rsidRPr="00E00B35">
              <w:rPr>
                <w:szCs w:val="20"/>
              </w:rPr>
              <w:t>1 588</w:t>
            </w:r>
          </w:p>
        </w:tc>
        <w:tc>
          <w:tcPr>
            <w:tcW w:w="1441" w:type="dxa"/>
            <w:vAlign w:val="center"/>
          </w:tcPr>
          <w:p w:rsidR="00CA14AB" w:rsidRPr="00E00B35" w:rsidRDefault="00CA14AB" w:rsidP="00E00B35">
            <w:pPr>
              <w:spacing w:after="0" w:line="312" w:lineRule="auto"/>
              <w:rPr>
                <w:szCs w:val="20"/>
              </w:rPr>
            </w:pPr>
            <w:r w:rsidRPr="00E00B35">
              <w:rPr>
                <w:szCs w:val="20"/>
              </w:rPr>
              <w:t>1434</w:t>
            </w:r>
          </w:p>
        </w:tc>
      </w:tr>
      <w:tr w:rsidR="00CA14AB" w:rsidRPr="00E00B35" w:rsidTr="00CA14AB">
        <w:tc>
          <w:tcPr>
            <w:tcW w:w="2087" w:type="dxa"/>
            <w:shd w:val="clear" w:color="auto" w:fill="D9D9D9"/>
            <w:vAlign w:val="center"/>
          </w:tcPr>
          <w:p w:rsidR="00CA14AB" w:rsidRPr="00E00B35" w:rsidRDefault="00CA14AB" w:rsidP="00E00B35">
            <w:pPr>
              <w:spacing w:after="0" w:line="312" w:lineRule="auto"/>
              <w:rPr>
                <w:szCs w:val="20"/>
              </w:rPr>
            </w:pPr>
            <w:r w:rsidRPr="00E00B35">
              <w:rPr>
                <w:szCs w:val="20"/>
              </w:rPr>
              <w:t>Zasiłki okresowe</w:t>
            </w:r>
          </w:p>
        </w:tc>
        <w:tc>
          <w:tcPr>
            <w:tcW w:w="1441" w:type="dxa"/>
          </w:tcPr>
          <w:p w:rsidR="00CA14AB" w:rsidRPr="00E00B35" w:rsidRDefault="00CA14AB" w:rsidP="00E00B35">
            <w:pPr>
              <w:spacing w:after="0" w:line="312" w:lineRule="auto"/>
              <w:rPr>
                <w:szCs w:val="20"/>
              </w:rPr>
            </w:pPr>
            <w:r w:rsidRPr="00E00B35">
              <w:rPr>
                <w:szCs w:val="20"/>
              </w:rPr>
              <w:t>863</w:t>
            </w:r>
          </w:p>
        </w:tc>
        <w:tc>
          <w:tcPr>
            <w:tcW w:w="1441" w:type="dxa"/>
            <w:vAlign w:val="center"/>
          </w:tcPr>
          <w:p w:rsidR="00CA14AB" w:rsidRPr="00E00B35" w:rsidRDefault="00CA14AB" w:rsidP="00E00B35">
            <w:pPr>
              <w:spacing w:after="0" w:line="312" w:lineRule="auto"/>
              <w:rPr>
                <w:szCs w:val="20"/>
              </w:rPr>
            </w:pPr>
            <w:r w:rsidRPr="00E00B35">
              <w:rPr>
                <w:szCs w:val="20"/>
              </w:rPr>
              <w:t>1 050</w:t>
            </w:r>
          </w:p>
        </w:tc>
        <w:tc>
          <w:tcPr>
            <w:tcW w:w="1441" w:type="dxa"/>
            <w:vAlign w:val="center"/>
          </w:tcPr>
          <w:p w:rsidR="00CA14AB" w:rsidRPr="00E00B35" w:rsidRDefault="00CA14AB" w:rsidP="00E00B35">
            <w:pPr>
              <w:spacing w:after="0" w:line="312" w:lineRule="auto"/>
              <w:rPr>
                <w:szCs w:val="20"/>
              </w:rPr>
            </w:pPr>
            <w:r w:rsidRPr="00E00B35">
              <w:rPr>
                <w:szCs w:val="20"/>
              </w:rPr>
              <w:t>858</w:t>
            </w:r>
          </w:p>
        </w:tc>
        <w:tc>
          <w:tcPr>
            <w:tcW w:w="1441" w:type="dxa"/>
          </w:tcPr>
          <w:p w:rsidR="00CA14AB" w:rsidRPr="00E00B35" w:rsidRDefault="00CA14AB" w:rsidP="00E00B35">
            <w:pPr>
              <w:spacing w:after="0" w:line="312" w:lineRule="auto"/>
              <w:rPr>
                <w:szCs w:val="20"/>
              </w:rPr>
            </w:pPr>
            <w:r w:rsidRPr="00E00B35">
              <w:rPr>
                <w:szCs w:val="20"/>
              </w:rPr>
              <w:t>803</w:t>
            </w:r>
          </w:p>
        </w:tc>
        <w:tc>
          <w:tcPr>
            <w:tcW w:w="1441" w:type="dxa"/>
            <w:vAlign w:val="center"/>
          </w:tcPr>
          <w:p w:rsidR="00CA14AB" w:rsidRPr="00E00B35" w:rsidRDefault="00CA14AB" w:rsidP="00E00B35">
            <w:pPr>
              <w:spacing w:after="0" w:line="312" w:lineRule="auto"/>
              <w:rPr>
                <w:szCs w:val="20"/>
              </w:rPr>
            </w:pPr>
            <w:r w:rsidRPr="00E00B35">
              <w:rPr>
                <w:szCs w:val="20"/>
              </w:rPr>
              <w:t>694</w:t>
            </w:r>
          </w:p>
        </w:tc>
      </w:tr>
      <w:tr w:rsidR="00CA14AB" w:rsidRPr="00E00B35" w:rsidTr="00CA14AB">
        <w:tc>
          <w:tcPr>
            <w:tcW w:w="2087" w:type="dxa"/>
            <w:shd w:val="clear" w:color="auto" w:fill="D9D9D9"/>
            <w:vAlign w:val="center"/>
          </w:tcPr>
          <w:p w:rsidR="00CA14AB" w:rsidRPr="00E00B35" w:rsidRDefault="00CA14AB" w:rsidP="00E00B35">
            <w:pPr>
              <w:spacing w:after="0" w:line="312" w:lineRule="auto"/>
              <w:rPr>
                <w:szCs w:val="20"/>
              </w:rPr>
            </w:pPr>
            <w:r w:rsidRPr="00E00B35">
              <w:rPr>
                <w:szCs w:val="20"/>
              </w:rPr>
              <w:t>Zasiłki celowe</w:t>
            </w:r>
          </w:p>
        </w:tc>
        <w:tc>
          <w:tcPr>
            <w:tcW w:w="1441" w:type="dxa"/>
          </w:tcPr>
          <w:p w:rsidR="00CA14AB" w:rsidRPr="00E00B35" w:rsidRDefault="00CA14AB" w:rsidP="00E00B35">
            <w:pPr>
              <w:spacing w:after="0" w:line="312" w:lineRule="auto"/>
              <w:rPr>
                <w:szCs w:val="20"/>
              </w:rPr>
            </w:pPr>
            <w:r w:rsidRPr="00E00B35">
              <w:rPr>
                <w:szCs w:val="20"/>
              </w:rPr>
              <w:t>5 324</w:t>
            </w:r>
          </w:p>
        </w:tc>
        <w:tc>
          <w:tcPr>
            <w:tcW w:w="1441" w:type="dxa"/>
            <w:vAlign w:val="center"/>
          </w:tcPr>
          <w:p w:rsidR="00CA14AB" w:rsidRPr="00E00B35" w:rsidRDefault="00CA14AB" w:rsidP="00E00B35">
            <w:pPr>
              <w:spacing w:after="0" w:line="312" w:lineRule="auto"/>
              <w:rPr>
                <w:szCs w:val="20"/>
              </w:rPr>
            </w:pPr>
            <w:r w:rsidRPr="00E00B35">
              <w:rPr>
                <w:szCs w:val="20"/>
              </w:rPr>
              <w:t>4 925</w:t>
            </w:r>
          </w:p>
        </w:tc>
        <w:tc>
          <w:tcPr>
            <w:tcW w:w="1441" w:type="dxa"/>
            <w:vAlign w:val="center"/>
          </w:tcPr>
          <w:p w:rsidR="00CA14AB" w:rsidRPr="00E00B35" w:rsidRDefault="00CA14AB" w:rsidP="00E00B35">
            <w:pPr>
              <w:spacing w:after="0" w:line="312" w:lineRule="auto"/>
              <w:rPr>
                <w:szCs w:val="20"/>
              </w:rPr>
            </w:pPr>
            <w:r w:rsidRPr="00E00B35">
              <w:rPr>
                <w:szCs w:val="20"/>
              </w:rPr>
              <w:t>4 250</w:t>
            </w:r>
          </w:p>
        </w:tc>
        <w:tc>
          <w:tcPr>
            <w:tcW w:w="1441" w:type="dxa"/>
          </w:tcPr>
          <w:p w:rsidR="00CA14AB" w:rsidRPr="00E00B35" w:rsidRDefault="00CA14AB" w:rsidP="00E00B35">
            <w:pPr>
              <w:spacing w:after="0" w:line="312" w:lineRule="auto"/>
              <w:rPr>
                <w:szCs w:val="20"/>
              </w:rPr>
            </w:pPr>
            <w:r w:rsidRPr="00E00B35">
              <w:rPr>
                <w:szCs w:val="20"/>
              </w:rPr>
              <w:t>4 003</w:t>
            </w:r>
          </w:p>
        </w:tc>
        <w:tc>
          <w:tcPr>
            <w:tcW w:w="1441" w:type="dxa"/>
            <w:vAlign w:val="center"/>
          </w:tcPr>
          <w:p w:rsidR="00CA14AB" w:rsidRPr="00E00B35" w:rsidRDefault="00CA14AB" w:rsidP="00E00B35">
            <w:pPr>
              <w:spacing w:after="0" w:line="312" w:lineRule="auto"/>
              <w:rPr>
                <w:szCs w:val="20"/>
              </w:rPr>
            </w:pPr>
            <w:r w:rsidRPr="00E00B35">
              <w:rPr>
                <w:szCs w:val="20"/>
              </w:rPr>
              <w:t>3801</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Dożywianie dzieci i młodzieży we Wrocławiu w latach 2016-2020r. (program wspierania finansowego gmin w zakresie dożywiania „Pomoc państwa w zakresie dożywiania” </w:t>
      </w:r>
      <w:r w:rsidRPr="00E00B35">
        <w:rPr>
          <w:szCs w:val="20"/>
        </w:rPr>
        <w:br/>
        <w:t xml:space="preserve">i od 2019r. „Posiłek w szkole i w domu” - tylko posiłki dla dzieci uczących się oraz dzieci </w:t>
      </w:r>
      <w:r w:rsidRPr="00E00B35">
        <w:rPr>
          <w:szCs w:val="20"/>
        </w:rPr>
        <w:br/>
        <w:t>do lat 7)</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1440"/>
        <w:gridCol w:w="2160"/>
        <w:gridCol w:w="1440"/>
        <w:gridCol w:w="1620"/>
        <w:gridCol w:w="1620"/>
      </w:tblGrid>
      <w:tr w:rsidR="00CA14AB" w:rsidRPr="00E00B35" w:rsidTr="00CA14AB">
        <w:tc>
          <w:tcPr>
            <w:tcW w:w="900" w:type="dxa"/>
            <w:shd w:val="clear" w:color="auto" w:fill="D9D9D9"/>
          </w:tcPr>
          <w:p w:rsidR="00CA14AB" w:rsidRPr="00E00B35" w:rsidRDefault="00CA14AB" w:rsidP="00E00B35">
            <w:pPr>
              <w:spacing w:after="0" w:line="312" w:lineRule="auto"/>
              <w:rPr>
                <w:szCs w:val="20"/>
              </w:rPr>
            </w:pPr>
            <w:r w:rsidRPr="00E00B35">
              <w:rPr>
                <w:szCs w:val="20"/>
              </w:rPr>
              <w:t>Rok</w:t>
            </w:r>
          </w:p>
        </w:tc>
        <w:tc>
          <w:tcPr>
            <w:tcW w:w="1440" w:type="dxa"/>
            <w:shd w:val="clear" w:color="auto" w:fill="D9D9D9"/>
          </w:tcPr>
          <w:p w:rsidR="00CA14AB" w:rsidRPr="00E00B35" w:rsidRDefault="00CA14AB" w:rsidP="00E00B35">
            <w:pPr>
              <w:spacing w:after="0" w:line="312" w:lineRule="auto"/>
              <w:rPr>
                <w:szCs w:val="20"/>
              </w:rPr>
            </w:pPr>
            <w:r w:rsidRPr="00E00B35">
              <w:rPr>
                <w:szCs w:val="20"/>
              </w:rPr>
              <w:t>Koszt</w:t>
            </w:r>
          </w:p>
          <w:p w:rsidR="00CA14AB" w:rsidRPr="00E00B35" w:rsidRDefault="00CA14AB" w:rsidP="00E00B35">
            <w:pPr>
              <w:spacing w:after="0" w:line="312" w:lineRule="auto"/>
              <w:rPr>
                <w:szCs w:val="20"/>
              </w:rPr>
            </w:pPr>
            <w:r w:rsidRPr="00E00B35">
              <w:rPr>
                <w:szCs w:val="20"/>
              </w:rPr>
              <w:t>dożywiania ogółem</w:t>
            </w:r>
          </w:p>
          <w:p w:rsidR="00CA14AB" w:rsidRPr="00E00B35" w:rsidRDefault="00CA14AB" w:rsidP="00E00B35">
            <w:pPr>
              <w:spacing w:after="0" w:line="312" w:lineRule="auto"/>
              <w:rPr>
                <w:szCs w:val="20"/>
              </w:rPr>
            </w:pPr>
            <w:r w:rsidRPr="00E00B35">
              <w:rPr>
                <w:szCs w:val="20"/>
              </w:rPr>
              <w:t>[zł]</w:t>
            </w:r>
          </w:p>
        </w:tc>
        <w:tc>
          <w:tcPr>
            <w:tcW w:w="2160" w:type="dxa"/>
            <w:shd w:val="clear" w:color="auto" w:fill="D9D9D9"/>
          </w:tcPr>
          <w:p w:rsidR="00CA14AB" w:rsidRPr="00E00B35" w:rsidRDefault="00CA14AB" w:rsidP="00E00B35">
            <w:pPr>
              <w:spacing w:after="0" w:line="312" w:lineRule="auto"/>
              <w:rPr>
                <w:szCs w:val="20"/>
              </w:rPr>
            </w:pPr>
            <w:r w:rsidRPr="00E00B35">
              <w:rPr>
                <w:szCs w:val="20"/>
              </w:rPr>
              <w:t>Środki z rezerwy budżetowej Wojewody</w:t>
            </w:r>
          </w:p>
          <w:p w:rsidR="00CA14AB" w:rsidRPr="00E00B35" w:rsidRDefault="00CA14AB" w:rsidP="00E00B35">
            <w:pPr>
              <w:spacing w:after="0" w:line="312" w:lineRule="auto"/>
              <w:rPr>
                <w:szCs w:val="20"/>
              </w:rPr>
            </w:pPr>
            <w:r w:rsidRPr="00E00B35">
              <w:rPr>
                <w:szCs w:val="20"/>
              </w:rPr>
              <w:t>[zł]</w:t>
            </w:r>
          </w:p>
        </w:tc>
        <w:tc>
          <w:tcPr>
            <w:tcW w:w="1440" w:type="dxa"/>
            <w:shd w:val="clear" w:color="auto" w:fill="D9D9D9"/>
          </w:tcPr>
          <w:p w:rsidR="00CA14AB" w:rsidRPr="00E00B35" w:rsidRDefault="00CA14AB" w:rsidP="00E00B35">
            <w:pPr>
              <w:spacing w:after="0" w:line="312" w:lineRule="auto"/>
              <w:rPr>
                <w:szCs w:val="20"/>
              </w:rPr>
            </w:pPr>
            <w:r w:rsidRPr="00E00B35">
              <w:rPr>
                <w:szCs w:val="20"/>
              </w:rPr>
              <w:t xml:space="preserve">Środki </w:t>
            </w:r>
            <w:r w:rsidRPr="00E00B35">
              <w:rPr>
                <w:szCs w:val="20"/>
              </w:rPr>
              <w:br/>
              <w:t>z budżetu Gminy</w:t>
            </w:r>
          </w:p>
          <w:p w:rsidR="00CA14AB" w:rsidRPr="00E00B35" w:rsidRDefault="00CA14AB" w:rsidP="00E00B35">
            <w:pPr>
              <w:spacing w:after="0" w:line="312" w:lineRule="auto"/>
              <w:rPr>
                <w:szCs w:val="20"/>
              </w:rPr>
            </w:pPr>
            <w:r w:rsidRPr="00E00B35">
              <w:rPr>
                <w:szCs w:val="20"/>
              </w:rPr>
              <w:t>[zł]</w:t>
            </w:r>
          </w:p>
        </w:tc>
        <w:tc>
          <w:tcPr>
            <w:tcW w:w="1620" w:type="dxa"/>
            <w:shd w:val="clear" w:color="auto" w:fill="D9D9D9"/>
          </w:tcPr>
          <w:p w:rsidR="00CA14AB" w:rsidRPr="00E00B35" w:rsidRDefault="00CA14AB" w:rsidP="00E00B35">
            <w:pPr>
              <w:spacing w:after="0" w:line="312" w:lineRule="auto"/>
              <w:rPr>
                <w:szCs w:val="20"/>
              </w:rPr>
            </w:pPr>
            <w:r w:rsidRPr="00E00B35">
              <w:rPr>
                <w:szCs w:val="20"/>
              </w:rPr>
              <w:t>Udział procentowy Gminy</w:t>
            </w:r>
          </w:p>
          <w:p w:rsidR="00CA14AB" w:rsidRPr="00E00B35" w:rsidRDefault="00CA14AB" w:rsidP="00E00B35">
            <w:pPr>
              <w:spacing w:after="0" w:line="312" w:lineRule="auto"/>
              <w:rPr>
                <w:szCs w:val="20"/>
              </w:rPr>
            </w:pPr>
            <w:r w:rsidRPr="00E00B35">
              <w:rPr>
                <w:szCs w:val="20"/>
              </w:rPr>
              <w:t>[%]</w:t>
            </w:r>
          </w:p>
        </w:tc>
        <w:tc>
          <w:tcPr>
            <w:tcW w:w="1620" w:type="dxa"/>
            <w:shd w:val="clear" w:color="auto" w:fill="D9D9D9"/>
          </w:tcPr>
          <w:p w:rsidR="00CA14AB" w:rsidRPr="00E00B35" w:rsidRDefault="00CA14AB" w:rsidP="00E00B35">
            <w:pPr>
              <w:spacing w:after="0" w:line="312" w:lineRule="auto"/>
              <w:rPr>
                <w:szCs w:val="20"/>
              </w:rPr>
            </w:pPr>
            <w:r w:rsidRPr="00E00B35">
              <w:rPr>
                <w:szCs w:val="20"/>
              </w:rPr>
              <w:t xml:space="preserve">Liczba dożywianych dzieci </w:t>
            </w:r>
          </w:p>
          <w:p w:rsidR="00CA14AB" w:rsidRPr="00E00B35" w:rsidRDefault="00CA14AB" w:rsidP="00E00B35">
            <w:pPr>
              <w:spacing w:after="0" w:line="312" w:lineRule="auto"/>
              <w:rPr>
                <w:szCs w:val="20"/>
              </w:rPr>
            </w:pPr>
            <w:r w:rsidRPr="00E00B35">
              <w:rPr>
                <w:szCs w:val="20"/>
              </w:rPr>
              <w:t>i młodzieży*</w:t>
            </w:r>
          </w:p>
        </w:tc>
      </w:tr>
      <w:tr w:rsidR="00CA14AB" w:rsidRPr="00E00B35" w:rsidTr="00CA14AB">
        <w:tc>
          <w:tcPr>
            <w:tcW w:w="900" w:type="dxa"/>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1440" w:type="dxa"/>
          </w:tcPr>
          <w:p w:rsidR="00CA14AB" w:rsidRPr="00E00B35" w:rsidRDefault="00CA14AB" w:rsidP="00E00B35">
            <w:pPr>
              <w:spacing w:after="0" w:line="312" w:lineRule="auto"/>
              <w:rPr>
                <w:szCs w:val="20"/>
              </w:rPr>
            </w:pPr>
            <w:r w:rsidRPr="00E00B35">
              <w:rPr>
                <w:szCs w:val="20"/>
              </w:rPr>
              <w:t>337 748</w:t>
            </w:r>
          </w:p>
        </w:tc>
        <w:tc>
          <w:tcPr>
            <w:tcW w:w="2160" w:type="dxa"/>
          </w:tcPr>
          <w:p w:rsidR="00CA14AB" w:rsidRPr="00E00B35" w:rsidRDefault="00CA14AB" w:rsidP="00E00B35">
            <w:pPr>
              <w:spacing w:after="0" w:line="312" w:lineRule="auto"/>
              <w:rPr>
                <w:szCs w:val="20"/>
              </w:rPr>
            </w:pPr>
            <w:r w:rsidRPr="00E00B35">
              <w:rPr>
                <w:szCs w:val="20"/>
              </w:rPr>
              <w:t>155 933</w:t>
            </w:r>
          </w:p>
        </w:tc>
        <w:tc>
          <w:tcPr>
            <w:tcW w:w="1440" w:type="dxa"/>
          </w:tcPr>
          <w:p w:rsidR="00CA14AB" w:rsidRPr="00E00B35" w:rsidRDefault="00CA14AB" w:rsidP="00E00B35">
            <w:pPr>
              <w:spacing w:after="0" w:line="312" w:lineRule="auto"/>
              <w:rPr>
                <w:szCs w:val="20"/>
              </w:rPr>
            </w:pPr>
            <w:r w:rsidRPr="00E00B35">
              <w:rPr>
                <w:szCs w:val="20"/>
              </w:rPr>
              <w:t>181 815</w:t>
            </w:r>
          </w:p>
        </w:tc>
        <w:tc>
          <w:tcPr>
            <w:tcW w:w="1620" w:type="dxa"/>
          </w:tcPr>
          <w:p w:rsidR="00CA14AB" w:rsidRPr="00E00B35" w:rsidRDefault="00CA14AB" w:rsidP="00E00B35">
            <w:pPr>
              <w:spacing w:after="0" w:line="312" w:lineRule="auto"/>
              <w:rPr>
                <w:szCs w:val="20"/>
              </w:rPr>
            </w:pPr>
            <w:r w:rsidRPr="00E00B35">
              <w:rPr>
                <w:szCs w:val="20"/>
              </w:rPr>
              <w:t>53,83</w:t>
            </w:r>
          </w:p>
        </w:tc>
        <w:tc>
          <w:tcPr>
            <w:tcW w:w="1620" w:type="dxa"/>
          </w:tcPr>
          <w:p w:rsidR="00CA14AB" w:rsidRPr="00E00B35" w:rsidRDefault="00CA14AB" w:rsidP="00E00B35">
            <w:pPr>
              <w:spacing w:after="0" w:line="312" w:lineRule="auto"/>
              <w:rPr>
                <w:szCs w:val="20"/>
              </w:rPr>
            </w:pPr>
            <w:r w:rsidRPr="00E00B35">
              <w:rPr>
                <w:szCs w:val="20"/>
              </w:rPr>
              <w:t>658</w:t>
            </w:r>
          </w:p>
        </w:tc>
      </w:tr>
      <w:tr w:rsidR="00CA14AB" w:rsidRPr="00E00B35" w:rsidTr="00CA14AB">
        <w:tc>
          <w:tcPr>
            <w:tcW w:w="900" w:type="dxa"/>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1440" w:type="dxa"/>
          </w:tcPr>
          <w:p w:rsidR="00CA14AB" w:rsidRPr="00E00B35" w:rsidRDefault="00CA14AB" w:rsidP="00E00B35">
            <w:pPr>
              <w:spacing w:after="0" w:line="312" w:lineRule="auto"/>
              <w:rPr>
                <w:szCs w:val="20"/>
              </w:rPr>
            </w:pPr>
            <w:r w:rsidRPr="00E00B35">
              <w:rPr>
                <w:szCs w:val="20"/>
              </w:rPr>
              <w:t>213 837</w:t>
            </w:r>
          </w:p>
        </w:tc>
        <w:tc>
          <w:tcPr>
            <w:tcW w:w="2160" w:type="dxa"/>
          </w:tcPr>
          <w:p w:rsidR="00CA14AB" w:rsidRPr="00E00B35" w:rsidRDefault="00CA14AB" w:rsidP="00E00B35">
            <w:pPr>
              <w:spacing w:after="0" w:line="312" w:lineRule="auto"/>
              <w:rPr>
                <w:szCs w:val="20"/>
              </w:rPr>
            </w:pPr>
            <w:r w:rsidRPr="00E00B35">
              <w:rPr>
                <w:szCs w:val="20"/>
              </w:rPr>
              <w:t>71 890</w:t>
            </w:r>
          </w:p>
        </w:tc>
        <w:tc>
          <w:tcPr>
            <w:tcW w:w="1440" w:type="dxa"/>
          </w:tcPr>
          <w:p w:rsidR="00CA14AB" w:rsidRPr="00E00B35" w:rsidRDefault="00CA14AB" w:rsidP="00E00B35">
            <w:pPr>
              <w:spacing w:after="0" w:line="312" w:lineRule="auto"/>
              <w:rPr>
                <w:szCs w:val="20"/>
              </w:rPr>
            </w:pPr>
            <w:r w:rsidRPr="00E00B35">
              <w:rPr>
                <w:szCs w:val="20"/>
              </w:rPr>
              <w:t>141 947</w:t>
            </w:r>
          </w:p>
        </w:tc>
        <w:tc>
          <w:tcPr>
            <w:tcW w:w="1620" w:type="dxa"/>
          </w:tcPr>
          <w:p w:rsidR="00CA14AB" w:rsidRPr="00E00B35" w:rsidRDefault="00CA14AB" w:rsidP="00E00B35">
            <w:pPr>
              <w:spacing w:after="0" w:line="312" w:lineRule="auto"/>
              <w:rPr>
                <w:szCs w:val="20"/>
              </w:rPr>
            </w:pPr>
            <w:r w:rsidRPr="00E00B35">
              <w:rPr>
                <w:szCs w:val="20"/>
              </w:rPr>
              <w:t>66,38</w:t>
            </w:r>
          </w:p>
        </w:tc>
        <w:tc>
          <w:tcPr>
            <w:tcW w:w="1620" w:type="dxa"/>
          </w:tcPr>
          <w:p w:rsidR="00CA14AB" w:rsidRPr="00E00B35" w:rsidRDefault="00CA14AB" w:rsidP="00E00B35">
            <w:pPr>
              <w:spacing w:after="0" w:line="312" w:lineRule="auto"/>
              <w:rPr>
                <w:szCs w:val="20"/>
              </w:rPr>
            </w:pPr>
            <w:r w:rsidRPr="00E00B35">
              <w:rPr>
                <w:szCs w:val="20"/>
              </w:rPr>
              <w:t>357</w:t>
            </w:r>
          </w:p>
        </w:tc>
      </w:tr>
      <w:tr w:rsidR="00CA14AB" w:rsidRPr="00E00B35" w:rsidTr="00CA14AB">
        <w:tc>
          <w:tcPr>
            <w:tcW w:w="900" w:type="dxa"/>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1440" w:type="dxa"/>
          </w:tcPr>
          <w:p w:rsidR="00CA14AB" w:rsidRPr="00E00B35" w:rsidRDefault="00CA14AB" w:rsidP="00E00B35">
            <w:pPr>
              <w:spacing w:after="0" w:line="312" w:lineRule="auto"/>
              <w:rPr>
                <w:szCs w:val="20"/>
              </w:rPr>
            </w:pPr>
            <w:r w:rsidRPr="00E00B35">
              <w:rPr>
                <w:szCs w:val="20"/>
              </w:rPr>
              <w:t>200 372</w:t>
            </w:r>
          </w:p>
        </w:tc>
        <w:tc>
          <w:tcPr>
            <w:tcW w:w="2160" w:type="dxa"/>
          </w:tcPr>
          <w:p w:rsidR="00CA14AB" w:rsidRPr="00E00B35" w:rsidRDefault="00CA14AB" w:rsidP="00E00B35">
            <w:pPr>
              <w:spacing w:after="0" w:line="312" w:lineRule="auto"/>
              <w:rPr>
                <w:szCs w:val="20"/>
              </w:rPr>
            </w:pPr>
            <w:r w:rsidRPr="00E00B35">
              <w:rPr>
                <w:szCs w:val="20"/>
              </w:rPr>
              <w:t>67 913</w:t>
            </w:r>
          </w:p>
        </w:tc>
        <w:tc>
          <w:tcPr>
            <w:tcW w:w="1440" w:type="dxa"/>
          </w:tcPr>
          <w:p w:rsidR="00CA14AB" w:rsidRPr="00E00B35" w:rsidRDefault="00CA14AB" w:rsidP="00E00B35">
            <w:pPr>
              <w:spacing w:after="0" w:line="312" w:lineRule="auto"/>
              <w:rPr>
                <w:szCs w:val="20"/>
              </w:rPr>
            </w:pPr>
            <w:r w:rsidRPr="00E00B35">
              <w:rPr>
                <w:szCs w:val="20"/>
              </w:rPr>
              <w:t>132 459</w:t>
            </w:r>
          </w:p>
        </w:tc>
        <w:tc>
          <w:tcPr>
            <w:tcW w:w="1620" w:type="dxa"/>
          </w:tcPr>
          <w:p w:rsidR="00CA14AB" w:rsidRPr="00E00B35" w:rsidRDefault="00CA14AB" w:rsidP="00E00B35">
            <w:pPr>
              <w:spacing w:after="0" w:line="312" w:lineRule="auto"/>
              <w:rPr>
                <w:szCs w:val="20"/>
              </w:rPr>
            </w:pPr>
            <w:r w:rsidRPr="00E00B35">
              <w:rPr>
                <w:szCs w:val="20"/>
              </w:rPr>
              <w:t>66,11</w:t>
            </w:r>
          </w:p>
        </w:tc>
        <w:tc>
          <w:tcPr>
            <w:tcW w:w="1620" w:type="dxa"/>
          </w:tcPr>
          <w:p w:rsidR="00CA14AB" w:rsidRPr="00E00B35" w:rsidRDefault="00CA14AB" w:rsidP="00E00B35">
            <w:pPr>
              <w:spacing w:after="0" w:line="312" w:lineRule="auto"/>
              <w:rPr>
                <w:szCs w:val="20"/>
              </w:rPr>
            </w:pPr>
            <w:r w:rsidRPr="00E00B35">
              <w:rPr>
                <w:szCs w:val="20"/>
              </w:rPr>
              <w:t>436</w:t>
            </w:r>
          </w:p>
        </w:tc>
      </w:tr>
      <w:tr w:rsidR="00CA14AB" w:rsidRPr="00E00B35" w:rsidTr="00CA14AB">
        <w:tc>
          <w:tcPr>
            <w:tcW w:w="900" w:type="dxa"/>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1440" w:type="dxa"/>
          </w:tcPr>
          <w:p w:rsidR="00CA14AB" w:rsidRPr="00E00B35" w:rsidRDefault="00CA14AB" w:rsidP="00E00B35">
            <w:pPr>
              <w:spacing w:after="0" w:line="312" w:lineRule="auto"/>
              <w:rPr>
                <w:szCs w:val="20"/>
              </w:rPr>
            </w:pPr>
            <w:r w:rsidRPr="00E00B35">
              <w:rPr>
                <w:szCs w:val="20"/>
              </w:rPr>
              <w:t>152 456</w:t>
            </w:r>
          </w:p>
        </w:tc>
        <w:tc>
          <w:tcPr>
            <w:tcW w:w="2160" w:type="dxa"/>
          </w:tcPr>
          <w:p w:rsidR="00CA14AB" w:rsidRPr="00E00B35" w:rsidRDefault="00CA14AB" w:rsidP="00E00B35">
            <w:pPr>
              <w:spacing w:after="0" w:line="312" w:lineRule="auto"/>
              <w:rPr>
                <w:szCs w:val="20"/>
              </w:rPr>
            </w:pPr>
            <w:r w:rsidRPr="00E00B35">
              <w:rPr>
                <w:szCs w:val="20"/>
              </w:rPr>
              <w:t>47 874</w:t>
            </w:r>
          </w:p>
        </w:tc>
        <w:tc>
          <w:tcPr>
            <w:tcW w:w="1440" w:type="dxa"/>
          </w:tcPr>
          <w:p w:rsidR="00CA14AB" w:rsidRPr="00E00B35" w:rsidRDefault="00CA14AB" w:rsidP="00E00B35">
            <w:pPr>
              <w:spacing w:after="0" w:line="312" w:lineRule="auto"/>
              <w:rPr>
                <w:szCs w:val="20"/>
              </w:rPr>
            </w:pPr>
            <w:r w:rsidRPr="00E00B35">
              <w:rPr>
                <w:szCs w:val="20"/>
              </w:rPr>
              <w:t>164 582</w:t>
            </w:r>
          </w:p>
        </w:tc>
        <w:tc>
          <w:tcPr>
            <w:tcW w:w="1620" w:type="dxa"/>
          </w:tcPr>
          <w:p w:rsidR="00CA14AB" w:rsidRPr="00E00B35" w:rsidRDefault="00CA14AB" w:rsidP="00E00B35">
            <w:pPr>
              <w:spacing w:after="0" w:line="312" w:lineRule="auto"/>
              <w:rPr>
                <w:szCs w:val="20"/>
              </w:rPr>
            </w:pPr>
            <w:r w:rsidRPr="00E00B35">
              <w:rPr>
                <w:szCs w:val="20"/>
              </w:rPr>
              <w:t>68,60</w:t>
            </w:r>
          </w:p>
        </w:tc>
        <w:tc>
          <w:tcPr>
            <w:tcW w:w="1620" w:type="dxa"/>
          </w:tcPr>
          <w:p w:rsidR="00CA14AB" w:rsidRPr="00E00B35" w:rsidRDefault="00CA14AB" w:rsidP="00E00B35">
            <w:pPr>
              <w:spacing w:after="0" w:line="312" w:lineRule="auto"/>
              <w:rPr>
                <w:szCs w:val="20"/>
              </w:rPr>
            </w:pPr>
            <w:r w:rsidRPr="00E00B35">
              <w:rPr>
                <w:szCs w:val="20"/>
              </w:rPr>
              <w:t>273</w:t>
            </w:r>
          </w:p>
        </w:tc>
      </w:tr>
      <w:tr w:rsidR="00CA14AB" w:rsidRPr="00E00B35" w:rsidTr="00CA14AB">
        <w:tc>
          <w:tcPr>
            <w:tcW w:w="900" w:type="dxa"/>
            <w:shd w:val="clear" w:color="auto" w:fill="D9D9D9"/>
            <w:vAlign w:val="center"/>
          </w:tcPr>
          <w:p w:rsidR="00CA14AB" w:rsidRPr="00E00B35" w:rsidRDefault="00CA14AB" w:rsidP="00E00B35">
            <w:pPr>
              <w:spacing w:after="0" w:line="312" w:lineRule="auto"/>
              <w:rPr>
                <w:szCs w:val="20"/>
              </w:rPr>
            </w:pPr>
            <w:r w:rsidRPr="00E00B35">
              <w:rPr>
                <w:szCs w:val="20"/>
              </w:rPr>
              <w:t>2020</w:t>
            </w:r>
          </w:p>
        </w:tc>
        <w:tc>
          <w:tcPr>
            <w:tcW w:w="1440" w:type="dxa"/>
          </w:tcPr>
          <w:p w:rsidR="00CA14AB" w:rsidRPr="00E00B35" w:rsidRDefault="00CA14AB" w:rsidP="00E00B35">
            <w:pPr>
              <w:spacing w:after="0" w:line="312" w:lineRule="auto"/>
              <w:rPr>
                <w:szCs w:val="20"/>
              </w:rPr>
            </w:pPr>
            <w:r w:rsidRPr="00E00B35">
              <w:rPr>
                <w:szCs w:val="20"/>
              </w:rPr>
              <w:t>52 471</w:t>
            </w:r>
          </w:p>
        </w:tc>
        <w:tc>
          <w:tcPr>
            <w:tcW w:w="2160" w:type="dxa"/>
          </w:tcPr>
          <w:p w:rsidR="00CA14AB" w:rsidRPr="00E00B35" w:rsidRDefault="00CA14AB" w:rsidP="00E00B35">
            <w:pPr>
              <w:spacing w:after="0" w:line="312" w:lineRule="auto"/>
              <w:rPr>
                <w:szCs w:val="20"/>
              </w:rPr>
            </w:pPr>
            <w:r w:rsidRPr="00E00B35">
              <w:rPr>
                <w:szCs w:val="20"/>
              </w:rPr>
              <w:t>21 426</w:t>
            </w:r>
          </w:p>
        </w:tc>
        <w:tc>
          <w:tcPr>
            <w:tcW w:w="1440" w:type="dxa"/>
          </w:tcPr>
          <w:p w:rsidR="00CA14AB" w:rsidRPr="00E00B35" w:rsidRDefault="00CA14AB" w:rsidP="00E00B35">
            <w:pPr>
              <w:spacing w:after="0" w:line="312" w:lineRule="auto"/>
              <w:rPr>
                <w:szCs w:val="20"/>
              </w:rPr>
            </w:pPr>
            <w:r w:rsidRPr="00E00B35">
              <w:rPr>
                <w:szCs w:val="20"/>
              </w:rPr>
              <w:t>31 045</w:t>
            </w:r>
          </w:p>
        </w:tc>
        <w:tc>
          <w:tcPr>
            <w:tcW w:w="1620" w:type="dxa"/>
          </w:tcPr>
          <w:p w:rsidR="00CA14AB" w:rsidRPr="00E00B35" w:rsidRDefault="00CA14AB" w:rsidP="00E00B35">
            <w:pPr>
              <w:spacing w:after="0" w:line="312" w:lineRule="auto"/>
              <w:rPr>
                <w:szCs w:val="20"/>
              </w:rPr>
            </w:pPr>
            <w:r w:rsidRPr="00E00B35">
              <w:rPr>
                <w:szCs w:val="20"/>
              </w:rPr>
              <w:t>59,16</w:t>
            </w:r>
          </w:p>
        </w:tc>
        <w:tc>
          <w:tcPr>
            <w:tcW w:w="1620" w:type="dxa"/>
          </w:tcPr>
          <w:p w:rsidR="00CA14AB" w:rsidRPr="00E00B35" w:rsidRDefault="00CA14AB" w:rsidP="00E00B35">
            <w:pPr>
              <w:spacing w:after="0" w:line="312" w:lineRule="auto"/>
              <w:rPr>
                <w:szCs w:val="20"/>
              </w:rPr>
            </w:pPr>
            <w:r w:rsidRPr="00E00B35">
              <w:rPr>
                <w:szCs w:val="20"/>
              </w:rPr>
              <w:t>209</w:t>
            </w:r>
          </w:p>
        </w:tc>
      </w:tr>
    </w:tbl>
    <w:p w:rsidR="00CA14AB" w:rsidRPr="00E00B35" w:rsidRDefault="00CA14AB" w:rsidP="00E00B35">
      <w:pPr>
        <w:spacing w:after="0" w:line="312" w:lineRule="auto"/>
        <w:rPr>
          <w:szCs w:val="20"/>
        </w:rPr>
      </w:pPr>
      <w:r w:rsidRPr="00E00B35">
        <w:rPr>
          <w:szCs w:val="20"/>
        </w:rPr>
        <w:t>* stale zmniejszająca się  liczba dzieci korzystająca z dożywiania (zakup posiłku w szkole) wynika z dwóch powodów:</w:t>
      </w:r>
    </w:p>
    <w:p w:rsidR="00CA14AB" w:rsidRPr="00E00B35" w:rsidRDefault="00CA14AB" w:rsidP="00E00B35">
      <w:pPr>
        <w:spacing w:after="0" w:line="312" w:lineRule="auto"/>
        <w:rPr>
          <w:szCs w:val="20"/>
        </w:rPr>
      </w:pPr>
      <w:r w:rsidRPr="00E00B35">
        <w:rPr>
          <w:szCs w:val="20"/>
        </w:rPr>
        <w:t>z tytułu wejścia w życie ustawy o pomocy państwa w wychowaniu dzieci (Program 500+), gdyż rodzice którzy korzystali z pomocy wyłącznie w postaci zakupu posiłku dla dzieci w szkole nie złożyli stosownych wniosków o taką pomoc;</w:t>
      </w:r>
    </w:p>
    <w:p w:rsidR="00CA14AB" w:rsidRPr="00E00B35" w:rsidRDefault="00CA14AB" w:rsidP="00E00B35">
      <w:pPr>
        <w:spacing w:after="0" w:line="312" w:lineRule="auto"/>
        <w:rPr>
          <w:szCs w:val="20"/>
        </w:rPr>
      </w:pPr>
      <w:r w:rsidRPr="00E00B35">
        <w:rPr>
          <w:szCs w:val="20"/>
        </w:rPr>
        <w:t>rodzice otrzymywali zasiłki celowe na zakup posiłków w szkole (w sprawozdaniach do Ministerstwa Rodziny i Polityki Społecznej są wykazane jako zasiłki celowe na zakup posiłku lub żywności).</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Program „Posiłek w szkole i w domu” przewiduje dofinansowanie z budżetu państwa pomocy w następujących formach:</w:t>
      </w:r>
    </w:p>
    <w:p w:rsidR="00CA14AB" w:rsidRPr="00E00B35" w:rsidRDefault="00CA14AB" w:rsidP="00BC64AB">
      <w:pPr>
        <w:pStyle w:val="Akapitzlist"/>
        <w:numPr>
          <w:ilvl w:val="0"/>
          <w:numId w:val="224"/>
        </w:numPr>
        <w:spacing w:after="0" w:line="312" w:lineRule="auto"/>
        <w:rPr>
          <w:szCs w:val="20"/>
        </w:rPr>
      </w:pPr>
      <w:r w:rsidRPr="00E00B35">
        <w:rPr>
          <w:szCs w:val="20"/>
        </w:rPr>
        <w:t>posiłek, ze szczególnym uwzględnieniem posiłku gorącego,</w:t>
      </w:r>
    </w:p>
    <w:p w:rsidR="00CA14AB" w:rsidRPr="00E00B35" w:rsidRDefault="00CA14AB" w:rsidP="00BC64AB">
      <w:pPr>
        <w:pStyle w:val="Akapitzlist"/>
        <w:numPr>
          <w:ilvl w:val="0"/>
          <w:numId w:val="224"/>
        </w:numPr>
        <w:spacing w:after="0" w:line="312" w:lineRule="auto"/>
        <w:rPr>
          <w:szCs w:val="20"/>
        </w:rPr>
      </w:pPr>
      <w:r w:rsidRPr="00E00B35">
        <w:rPr>
          <w:szCs w:val="20"/>
        </w:rPr>
        <w:t xml:space="preserve">zasiłek celowy na zakup posiłku lub zakup żywności (w tym na zakup posiłku dzieciom przebywającym w placówkach oświatowych, gdzie rodzice zobowiązani są </w:t>
      </w:r>
      <w:r w:rsidRPr="00E00B35">
        <w:rPr>
          <w:szCs w:val="20"/>
        </w:rPr>
        <w:br/>
        <w:t>do pokrywania kosztów żywienia),</w:t>
      </w:r>
    </w:p>
    <w:p w:rsidR="00CA14AB" w:rsidRPr="00E00B35" w:rsidRDefault="00CA14AB" w:rsidP="00BC64AB">
      <w:pPr>
        <w:pStyle w:val="Akapitzlist"/>
        <w:numPr>
          <w:ilvl w:val="0"/>
          <w:numId w:val="224"/>
        </w:numPr>
        <w:spacing w:after="0" w:line="312" w:lineRule="auto"/>
        <w:rPr>
          <w:szCs w:val="20"/>
        </w:rPr>
      </w:pPr>
      <w:r w:rsidRPr="00E00B35">
        <w:rPr>
          <w:szCs w:val="20"/>
        </w:rPr>
        <w:t>świadczenie rzeczowe w postaci produktów żywnościowych.</w:t>
      </w:r>
    </w:p>
    <w:p w:rsidR="00CA14AB" w:rsidRPr="00E00B35" w:rsidRDefault="00CA14AB" w:rsidP="00E00B35">
      <w:pPr>
        <w:spacing w:after="0" w:line="312" w:lineRule="auto"/>
        <w:rPr>
          <w:szCs w:val="20"/>
        </w:rPr>
      </w:pPr>
      <w:r w:rsidRPr="00E00B35">
        <w:rPr>
          <w:szCs w:val="20"/>
        </w:rPr>
        <w:t xml:space="preserve">Na realizację całego Programu MOPS wydatkował w 2020r. – 1 111 751 zł, z tego </w:t>
      </w:r>
      <w:r w:rsidRPr="00E00B35">
        <w:rPr>
          <w:szCs w:val="20"/>
        </w:rPr>
        <w:br/>
        <w:t>z budżetu Wojewody – 663 726 zł. Procentowy udział Gminy w realizacji całego Programu wyniósł w 2020r. – ok. 40,29%.</w:t>
      </w:r>
    </w:p>
    <w:p w:rsidR="00890136" w:rsidRPr="00E00B35" w:rsidRDefault="00890136" w:rsidP="00E00B35">
      <w:pPr>
        <w:spacing w:after="0" w:line="312" w:lineRule="auto"/>
        <w:rPr>
          <w:szCs w:val="20"/>
        </w:rPr>
      </w:pPr>
    </w:p>
    <w:p w:rsidR="00890136" w:rsidRPr="00E00B35" w:rsidRDefault="00CA14AB" w:rsidP="00E00B35">
      <w:pPr>
        <w:pStyle w:val="Nagwek4"/>
        <w:spacing w:before="0" w:after="0" w:line="312" w:lineRule="auto"/>
        <w:rPr>
          <w:sz w:val="20"/>
          <w:szCs w:val="20"/>
        </w:rPr>
      </w:pPr>
      <w:bookmarkStart w:id="371" w:name="_Toc72352424"/>
      <w:bookmarkStart w:id="372" w:name="_Toc72352858"/>
      <w:bookmarkStart w:id="373" w:name="_Hlk534357722"/>
      <w:bookmarkStart w:id="374" w:name="_Hlk58934751"/>
      <w:r w:rsidRPr="00E00B35">
        <w:rPr>
          <w:sz w:val="20"/>
          <w:szCs w:val="20"/>
        </w:rPr>
        <w:t>ŚWIADCZENIA NA RZECZ OSÓB NIEPEŁNOSPRAWNYCH Z ZAKRESU REHABILITACJI SPOŁECZNEJ – FINANSOWANE ZE ŚRODKÓW PFRON</w:t>
      </w:r>
      <w:bookmarkEnd w:id="371"/>
      <w:bookmarkEnd w:id="372"/>
    </w:p>
    <w:p w:rsidR="00CA14AB" w:rsidRPr="00E00B35" w:rsidRDefault="00CA14AB" w:rsidP="00E00B35">
      <w:pPr>
        <w:spacing w:after="0" w:line="312" w:lineRule="auto"/>
        <w:rPr>
          <w:szCs w:val="20"/>
        </w:rPr>
      </w:pPr>
      <w:r w:rsidRPr="00E00B35">
        <w:rPr>
          <w:szCs w:val="20"/>
        </w:rPr>
        <w:t>Wykonanie zadań powiatu finansowanych przez PFRON w latach 2016-2020</w:t>
      </w:r>
    </w:p>
    <w:p w:rsidR="00CA14AB" w:rsidRPr="00E00B35" w:rsidRDefault="00CA14AB" w:rsidP="00E00B35">
      <w:pPr>
        <w:spacing w:after="0" w:line="312" w:lineRule="auto"/>
        <w:rPr>
          <w:szCs w:val="20"/>
        </w:rPr>
      </w:pPr>
      <w:r w:rsidRPr="00E00B35">
        <w:rPr>
          <w:szCs w:val="20"/>
        </w:rPr>
        <w:t xml:space="preserve">Kwota wydatkowana na poszczególne zadania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4"/>
        <w:gridCol w:w="1410"/>
        <w:gridCol w:w="7"/>
        <w:gridCol w:w="1410"/>
        <w:gridCol w:w="7"/>
        <w:gridCol w:w="1410"/>
        <w:gridCol w:w="7"/>
        <w:gridCol w:w="1410"/>
        <w:gridCol w:w="7"/>
        <w:gridCol w:w="1845"/>
      </w:tblGrid>
      <w:tr w:rsidR="00CA14AB" w:rsidRPr="00E00B35" w:rsidTr="00CA14AB">
        <w:trPr>
          <w:cantSplit/>
        </w:trPr>
        <w:tc>
          <w:tcPr>
            <w:tcW w:w="2234" w:type="dxa"/>
            <w:shd w:val="clear" w:color="auto" w:fill="D9D9D9"/>
            <w:vAlign w:val="center"/>
          </w:tcPr>
          <w:p w:rsidR="00CA14AB" w:rsidRPr="00E00B35" w:rsidRDefault="00CA14AB" w:rsidP="00E00B35">
            <w:pPr>
              <w:spacing w:after="0" w:line="312" w:lineRule="auto"/>
              <w:rPr>
                <w:szCs w:val="20"/>
              </w:rPr>
            </w:pPr>
            <w:bookmarkStart w:id="375" w:name="_Toc72352425"/>
            <w:bookmarkStart w:id="376" w:name="_Toc72352859"/>
            <w:bookmarkStart w:id="377" w:name="_Toc72357851"/>
            <w:bookmarkStart w:id="378" w:name="_Toc72358005"/>
            <w:r w:rsidRPr="00E00B35">
              <w:rPr>
                <w:szCs w:val="20"/>
              </w:rPr>
              <w:lastRenderedPageBreak/>
              <w:t>Rok</w:t>
            </w:r>
            <w:bookmarkEnd w:id="375"/>
            <w:bookmarkEnd w:id="376"/>
            <w:bookmarkEnd w:id="377"/>
            <w:bookmarkEnd w:id="378"/>
          </w:p>
        </w:tc>
        <w:tc>
          <w:tcPr>
            <w:tcW w:w="1417" w:type="dxa"/>
            <w:gridSpan w:val="2"/>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1417" w:type="dxa"/>
            <w:gridSpan w:val="2"/>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1417" w:type="dxa"/>
            <w:gridSpan w:val="2"/>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1417" w:type="dxa"/>
            <w:gridSpan w:val="2"/>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1845" w:type="dxa"/>
            <w:shd w:val="clear" w:color="auto" w:fill="D9D9D9"/>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cantSplit/>
        </w:trPr>
        <w:tc>
          <w:tcPr>
            <w:tcW w:w="2234" w:type="dxa"/>
            <w:shd w:val="clear" w:color="auto" w:fill="D9D9D9"/>
            <w:vAlign w:val="center"/>
          </w:tcPr>
          <w:p w:rsidR="00CA14AB" w:rsidRPr="00E00B35" w:rsidRDefault="00CA14AB" w:rsidP="00E00B35">
            <w:pPr>
              <w:spacing w:after="0" w:line="312" w:lineRule="auto"/>
              <w:rPr>
                <w:szCs w:val="20"/>
              </w:rPr>
            </w:pPr>
            <w:bookmarkStart w:id="379" w:name="_Toc72352426"/>
            <w:bookmarkStart w:id="380" w:name="_Toc72352860"/>
            <w:bookmarkStart w:id="381" w:name="_Toc72357852"/>
            <w:bookmarkStart w:id="382" w:name="_Toc72358006"/>
            <w:r w:rsidRPr="00E00B35">
              <w:rPr>
                <w:szCs w:val="20"/>
              </w:rPr>
              <w:t>Zadania finansowane przez PFRON</w:t>
            </w:r>
            <w:bookmarkEnd w:id="379"/>
            <w:bookmarkEnd w:id="380"/>
            <w:bookmarkEnd w:id="381"/>
            <w:bookmarkEnd w:id="382"/>
          </w:p>
        </w:tc>
        <w:tc>
          <w:tcPr>
            <w:tcW w:w="1417" w:type="dxa"/>
            <w:gridSpan w:val="2"/>
            <w:shd w:val="clear" w:color="auto" w:fill="D9D9D9"/>
            <w:vAlign w:val="center"/>
          </w:tcPr>
          <w:p w:rsidR="00CA14AB" w:rsidRPr="00E00B35" w:rsidRDefault="00CA14AB" w:rsidP="00E00B35">
            <w:pPr>
              <w:spacing w:after="0" w:line="312" w:lineRule="auto"/>
              <w:rPr>
                <w:szCs w:val="20"/>
              </w:rPr>
            </w:pPr>
            <w:r w:rsidRPr="00E00B35">
              <w:rPr>
                <w:szCs w:val="20"/>
              </w:rPr>
              <w:t>Wykonanie</w:t>
            </w:r>
          </w:p>
          <w:p w:rsidR="00CA14AB" w:rsidRPr="00E00B35" w:rsidRDefault="00CA14AB" w:rsidP="00E00B35">
            <w:pPr>
              <w:spacing w:after="0" w:line="312" w:lineRule="auto"/>
              <w:rPr>
                <w:szCs w:val="20"/>
              </w:rPr>
            </w:pPr>
            <w:r w:rsidRPr="00E00B35">
              <w:rPr>
                <w:szCs w:val="20"/>
              </w:rPr>
              <w:t>[zł]</w:t>
            </w:r>
          </w:p>
        </w:tc>
        <w:tc>
          <w:tcPr>
            <w:tcW w:w="1417" w:type="dxa"/>
            <w:gridSpan w:val="2"/>
            <w:shd w:val="clear" w:color="auto" w:fill="D9D9D9"/>
            <w:vAlign w:val="center"/>
          </w:tcPr>
          <w:p w:rsidR="00CA14AB" w:rsidRPr="00E00B35" w:rsidRDefault="00CA14AB" w:rsidP="00E00B35">
            <w:pPr>
              <w:spacing w:after="0" w:line="312" w:lineRule="auto"/>
              <w:rPr>
                <w:szCs w:val="20"/>
              </w:rPr>
            </w:pPr>
            <w:r w:rsidRPr="00E00B35">
              <w:rPr>
                <w:szCs w:val="20"/>
              </w:rPr>
              <w:t>Wykonanie</w:t>
            </w:r>
          </w:p>
          <w:p w:rsidR="00CA14AB" w:rsidRPr="00E00B35" w:rsidRDefault="00CA14AB" w:rsidP="00E00B35">
            <w:pPr>
              <w:spacing w:after="0" w:line="312" w:lineRule="auto"/>
              <w:rPr>
                <w:szCs w:val="20"/>
              </w:rPr>
            </w:pPr>
            <w:r w:rsidRPr="00E00B35">
              <w:rPr>
                <w:szCs w:val="20"/>
              </w:rPr>
              <w:t>[zł]</w:t>
            </w:r>
          </w:p>
        </w:tc>
        <w:tc>
          <w:tcPr>
            <w:tcW w:w="1417" w:type="dxa"/>
            <w:gridSpan w:val="2"/>
            <w:shd w:val="clear" w:color="auto" w:fill="D9D9D9"/>
            <w:vAlign w:val="center"/>
          </w:tcPr>
          <w:p w:rsidR="00CA14AB" w:rsidRPr="00E00B35" w:rsidRDefault="00CA14AB" w:rsidP="00E00B35">
            <w:pPr>
              <w:spacing w:after="0" w:line="312" w:lineRule="auto"/>
              <w:rPr>
                <w:szCs w:val="20"/>
              </w:rPr>
            </w:pPr>
            <w:r w:rsidRPr="00E00B35">
              <w:rPr>
                <w:szCs w:val="20"/>
              </w:rPr>
              <w:t>Wykonanie</w:t>
            </w:r>
          </w:p>
          <w:p w:rsidR="00CA14AB" w:rsidRPr="00E00B35" w:rsidRDefault="00CA14AB" w:rsidP="00E00B35">
            <w:pPr>
              <w:spacing w:after="0" w:line="312" w:lineRule="auto"/>
              <w:rPr>
                <w:szCs w:val="20"/>
              </w:rPr>
            </w:pPr>
            <w:r w:rsidRPr="00E00B35">
              <w:rPr>
                <w:szCs w:val="20"/>
              </w:rPr>
              <w:t>[zł]</w:t>
            </w:r>
          </w:p>
        </w:tc>
        <w:tc>
          <w:tcPr>
            <w:tcW w:w="1417" w:type="dxa"/>
            <w:gridSpan w:val="2"/>
            <w:shd w:val="clear" w:color="auto" w:fill="D9D9D9"/>
            <w:vAlign w:val="center"/>
          </w:tcPr>
          <w:p w:rsidR="00CA14AB" w:rsidRPr="00E00B35" w:rsidRDefault="00CA14AB" w:rsidP="00E00B35">
            <w:pPr>
              <w:spacing w:after="0" w:line="312" w:lineRule="auto"/>
              <w:rPr>
                <w:szCs w:val="20"/>
              </w:rPr>
            </w:pPr>
            <w:r w:rsidRPr="00E00B35">
              <w:rPr>
                <w:szCs w:val="20"/>
              </w:rPr>
              <w:t>Wykonanie</w:t>
            </w:r>
          </w:p>
          <w:p w:rsidR="00CA14AB" w:rsidRPr="00E00B35" w:rsidRDefault="00CA14AB" w:rsidP="00E00B35">
            <w:pPr>
              <w:spacing w:after="0" w:line="312" w:lineRule="auto"/>
              <w:rPr>
                <w:szCs w:val="20"/>
              </w:rPr>
            </w:pPr>
            <w:r w:rsidRPr="00E00B35">
              <w:rPr>
                <w:szCs w:val="20"/>
              </w:rPr>
              <w:t>[zł]</w:t>
            </w:r>
          </w:p>
        </w:tc>
        <w:tc>
          <w:tcPr>
            <w:tcW w:w="1845" w:type="dxa"/>
            <w:shd w:val="clear" w:color="auto" w:fill="D9D9D9"/>
            <w:vAlign w:val="center"/>
          </w:tcPr>
          <w:p w:rsidR="00CA14AB" w:rsidRPr="00E00B35" w:rsidRDefault="00CA14AB" w:rsidP="00E00B35">
            <w:pPr>
              <w:spacing w:after="0" w:line="312" w:lineRule="auto"/>
              <w:rPr>
                <w:szCs w:val="20"/>
              </w:rPr>
            </w:pPr>
            <w:r w:rsidRPr="00E00B35">
              <w:rPr>
                <w:szCs w:val="20"/>
              </w:rPr>
              <w:t>Wykonanie</w:t>
            </w:r>
          </w:p>
          <w:p w:rsidR="00CA14AB" w:rsidRPr="00E00B35" w:rsidRDefault="00CA14AB" w:rsidP="00E00B35">
            <w:pPr>
              <w:spacing w:after="0" w:line="312" w:lineRule="auto"/>
              <w:rPr>
                <w:szCs w:val="20"/>
              </w:rPr>
            </w:pPr>
            <w:r w:rsidRPr="00E00B35">
              <w:rPr>
                <w:szCs w:val="20"/>
              </w:rPr>
              <w:t>[zł]</w:t>
            </w:r>
          </w:p>
        </w:tc>
      </w:tr>
      <w:tr w:rsidR="00CA14AB" w:rsidRPr="00E00B35" w:rsidTr="00CA14AB">
        <w:tc>
          <w:tcPr>
            <w:tcW w:w="2234" w:type="dxa"/>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Dofinansowanie do turnusów rehabilitacyjnych</w:t>
            </w:r>
          </w:p>
        </w:tc>
        <w:tc>
          <w:tcPr>
            <w:tcW w:w="1417" w:type="dxa"/>
            <w:gridSpan w:val="2"/>
            <w:vAlign w:val="center"/>
          </w:tcPr>
          <w:p w:rsidR="00CA14AB" w:rsidRPr="00E00B35" w:rsidRDefault="00CA14AB" w:rsidP="00E00B35">
            <w:pPr>
              <w:spacing w:after="0" w:line="312" w:lineRule="auto"/>
              <w:rPr>
                <w:szCs w:val="20"/>
              </w:rPr>
            </w:pPr>
            <w:r w:rsidRPr="00E00B35">
              <w:rPr>
                <w:szCs w:val="20"/>
              </w:rPr>
              <w:t>513 905</w:t>
            </w:r>
          </w:p>
        </w:tc>
        <w:tc>
          <w:tcPr>
            <w:tcW w:w="1417" w:type="dxa"/>
            <w:gridSpan w:val="2"/>
            <w:vAlign w:val="center"/>
          </w:tcPr>
          <w:p w:rsidR="00CA14AB" w:rsidRPr="00E00B35" w:rsidRDefault="00CA14AB" w:rsidP="00E00B35">
            <w:pPr>
              <w:spacing w:after="0" w:line="312" w:lineRule="auto"/>
              <w:rPr>
                <w:szCs w:val="20"/>
              </w:rPr>
            </w:pPr>
            <w:r w:rsidRPr="00E00B35">
              <w:rPr>
                <w:szCs w:val="20"/>
              </w:rPr>
              <w:t>528 977</w:t>
            </w:r>
          </w:p>
        </w:tc>
        <w:tc>
          <w:tcPr>
            <w:tcW w:w="1417" w:type="dxa"/>
            <w:gridSpan w:val="2"/>
            <w:vAlign w:val="center"/>
          </w:tcPr>
          <w:p w:rsidR="00CA14AB" w:rsidRPr="00E00B35" w:rsidRDefault="00CA14AB" w:rsidP="00E00B35">
            <w:pPr>
              <w:spacing w:after="0" w:line="312" w:lineRule="auto"/>
              <w:rPr>
                <w:szCs w:val="20"/>
              </w:rPr>
            </w:pPr>
            <w:r w:rsidRPr="00E00B35">
              <w:rPr>
                <w:szCs w:val="20"/>
              </w:rPr>
              <w:t>596 750</w:t>
            </w:r>
          </w:p>
        </w:tc>
        <w:tc>
          <w:tcPr>
            <w:tcW w:w="1417" w:type="dxa"/>
            <w:gridSpan w:val="2"/>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602 649</w:t>
            </w:r>
          </w:p>
        </w:tc>
        <w:tc>
          <w:tcPr>
            <w:tcW w:w="1845" w:type="dxa"/>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449 881</w:t>
            </w:r>
          </w:p>
        </w:tc>
      </w:tr>
      <w:tr w:rsidR="00CA14AB" w:rsidRPr="00E00B35" w:rsidTr="00CA14AB">
        <w:tc>
          <w:tcPr>
            <w:tcW w:w="2234" w:type="dxa"/>
            <w:shd w:val="clear" w:color="auto" w:fill="D9D9D9"/>
            <w:vAlign w:val="center"/>
          </w:tcPr>
          <w:p w:rsidR="00CA14AB" w:rsidRPr="00E00B35" w:rsidRDefault="00CA14AB" w:rsidP="00E00B35">
            <w:pPr>
              <w:spacing w:after="0" w:line="312" w:lineRule="auto"/>
              <w:rPr>
                <w:szCs w:val="20"/>
              </w:rPr>
            </w:pPr>
            <w:r w:rsidRPr="00E00B35">
              <w:rPr>
                <w:szCs w:val="20"/>
              </w:rPr>
              <w:t>Finansowanie Warsztatów Terapii Zajęciowej</w:t>
            </w:r>
          </w:p>
        </w:tc>
        <w:tc>
          <w:tcPr>
            <w:tcW w:w="1417" w:type="dxa"/>
            <w:gridSpan w:val="2"/>
            <w:vAlign w:val="center"/>
          </w:tcPr>
          <w:p w:rsidR="00CA14AB" w:rsidRPr="00E00B35" w:rsidRDefault="00CA14AB" w:rsidP="00E00B35">
            <w:pPr>
              <w:spacing w:after="0" w:line="312" w:lineRule="auto"/>
              <w:rPr>
                <w:szCs w:val="20"/>
              </w:rPr>
            </w:pPr>
            <w:r w:rsidRPr="00E00B35">
              <w:rPr>
                <w:szCs w:val="20"/>
              </w:rPr>
              <w:t>3 711 072</w:t>
            </w:r>
          </w:p>
        </w:tc>
        <w:tc>
          <w:tcPr>
            <w:tcW w:w="1417" w:type="dxa"/>
            <w:gridSpan w:val="2"/>
            <w:vAlign w:val="center"/>
          </w:tcPr>
          <w:p w:rsidR="00CA14AB" w:rsidRPr="00E00B35" w:rsidRDefault="00CA14AB" w:rsidP="00E00B35">
            <w:pPr>
              <w:spacing w:after="0" w:line="312" w:lineRule="auto"/>
              <w:rPr>
                <w:szCs w:val="20"/>
              </w:rPr>
            </w:pPr>
            <w:r w:rsidRPr="00E00B35">
              <w:rPr>
                <w:szCs w:val="20"/>
              </w:rPr>
              <w:t>4 161 072</w:t>
            </w:r>
          </w:p>
        </w:tc>
        <w:tc>
          <w:tcPr>
            <w:tcW w:w="1417" w:type="dxa"/>
            <w:gridSpan w:val="2"/>
            <w:vAlign w:val="center"/>
          </w:tcPr>
          <w:p w:rsidR="00CA14AB" w:rsidRPr="00E00B35" w:rsidRDefault="00CA14AB" w:rsidP="00E00B35">
            <w:pPr>
              <w:spacing w:after="0" w:line="312" w:lineRule="auto"/>
              <w:rPr>
                <w:szCs w:val="20"/>
              </w:rPr>
            </w:pPr>
            <w:r w:rsidRPr="00E00B35">
              <w:rPr>
                <w:szCs w:val="20"/>
              </w:rPr>
              <w:t>4 638 868</w:t>
            </w:r>
          </w:p>
        </w:tc>
        <w:tc>
          <w:tcPr>
            <w:tcW w:w="1417" w:type="dxa"/>
            <w:gridSpan w:val="2"/>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4 990 877</w:t>
            </w:r>
          </w:p>
        </w:tc>
        <w:tc>
          <w:tcPr>
            <w:tcW w:w="1845" w:type="dxa"/>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5 665 094</w:t>
            </w:r>
          </w:p>
        </w:tc>
      </w:tr>
      <w:tr w:rsidR="00CA14AB" w:rsidRPr="00E00B35" w:rsidTr="00CA14AB">
        <w:trPr>
          <w:trHeight w:val="1145"/>
        </w:trPr>
        <w:tc>
          <w:tcPr>
            <w:tcW w:w="2234" w:type="dxa"/>
            <w:shd w:val="clear" w:color="auto" w:fill="D9D9D9"/>
            <w:vAlign w:val="center"/>
          </w:tcPr>
          <w:p w:rsidR="00CA14AB" w:rsidRPr="00E00B35" w:rsidRDefault="00CA14AB" w:rsidP="00E00B35">
            <w:pPr>
              <w:spacing w:after="0" w:line="312" w:lineRule="auto"/>
              <w:rPr>
                <w:szCs w:val="20"/>
              </w:rPr>
            </w:pPr>
            <w:r w:rsidRPr="00E00B35">
              <w:rPr>
                <w:szCs w:val="20"/>
              </w:rPr>
              <w:br w:type="page"/>
              <w:t xml:space="preserve">Dofinansowanie zakupu sprzętu rehabilitacyjnego, przedmiotów ortopedycznych </w:t>
            </w:r>
            <w:r w:rsidRPr="00E00B35">
              <w:rPr>
                <w:szCs w:val="20"/>
              </w:rPr>
              <w:br/>
              <w:t>i środków pomocniczych</w:t>
            </w:r>
          </w:p>
        </w:tc>
        <w:tc>
          <w:tcPr>
            <w:tcW w:w="1417" w:type="dxa"/>
            <w:gridSpan w:val="2"/>
            <w:vAlign w:val="center"/>
          </w:tcPr>
          <w:p w:rsidR="00CA14AB" w:rsidRPr="00E00B35" w:rsidRDefault="00CA14AB" w:rsidP="00E00B35">
            <w:pPr>
              <w:spacing w:after="0" w:line="312" w:lineRule="auto"/>
              <w:rPr>
                <w:szCs w:val="20"/>
              </w:rPr>
            </w:pPr>
            <w:r w:rsidRPr="00E00B35">
              <w:rPr>
                <w:szCs w:val="20"/>
              </w:rPr>
              <w:t>1 599 998</w:t>
            </w:r>
          </w:p>
        </w:tc>
        <w:tc>
          <w:tcPr>
            <w:tcW w:w="1417" w:type="dxa"/>
            <w:gridSpan w:val="2"/>
            <w:vAlign w:val="center"/>
          </w:tcPr>
          <w:p w:rsidR="00CA14AB" w:rsidRPr="00E00B35" w:rsidRDefault="00CA14AB" w:rsidP="00E00B35">
            <w:pPr>
              <w:spacing w:after="0" w:line="312" w:lineRule="auto"/>
              <w:rPr>
                <w:szCs w:val="20"/>
              </w:rPr>
            </w:pPr>
            <w:r w:rsidRPr="00E00B35">
              <w:rPr>
                <w:szCs w:val="20"/>
              </w:rPr>
              <w:t>1 498 833</w:t>
            </w:r>
          </w:p>
        </w:tc>
        <w:tc>
          <w:tcPr>
            <w:tcW w:w="1417" w:type="dxa"/>
            <w:gridSpan w:val="2"/>
            <w:vAlign w:val="center"/>
          </w:tcPr>
          <w:p w:rsidR="00CA14AB" w:rsidRPr="00E00B35" w:rsidRDefault="00CA14AB" w:rsidP="00E00B35">
            <w:pPr>
              <w:spacing w:after="0" w:line="312" w:lineRule="auto"/>
              <w:rPr>
                <w:szCs w:val="20"/>
              </w:rPr>
            </w:pPr>
            <w:r w:rsidRPr="00E00B35">
              <w:rPr>
                <w:szCs w:val="20"/>
              </w:rPr>
              <w:t>1 620 459</w:t>
            </w:r>
          </w:p>
        </w:tc>
        <w:tc>
          <w:tcPr>
            <w:tcW w:w="1417" w:type="dxa"/>
            <w:gridSpan w:val="2"/>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2 135 974</w:t>
            </w:r>
          </w:p>
        </w:tc>
        <w:tc>
          <w:tcPr>
            <w:tcW w:w="1845" w:type="dxa"/>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2 566 680</w:t>
            </w:r>
          </w:p>
        </w:tc>
      </w:tr>
      <w:tr w:rsidR="00CA14AB" w:rsidRPr="00E00B35" w:rsidTr="00CA14AB">
        <w:trPr>
          <w:trHeight w:val="1145"/>
        </w:trPr>
        <w:tc>
          <w:tcPr>
            <w:tcW w:w="22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 xml:space="preserve">Dofinansowanie likwidacji barier </w:t>
            </w:r>
            <w:r w:rsidRPr="00E00B35">
              <w:rPr>
                <w:szCs w:val="20"/>
              </w:rPr>
              <w:br/>
              <w:t>w komunikowaniu się</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133 796</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125 502</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149 748</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149 593</w:t>
            </w:r>
          </w:p>
        </w:tc>
        <w:tc>
          <w:tcPr>
            <w:tcW w:w="1845"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238 753</w:t>
            </w:r>
          </w:p>
        </w:tc>
      </w:tr>
      <w:tr w:rsidR="00CA14AB" w:rsidRPr="00E00B35" w:rsidTr="00CA14AB">
        <w:trPr>
          <w:trHeight w:val="1225"/>
        </w:trPr>
        <w:tc>
          <w:tcPr>
            <w:tcW w:w="2234" w:type="dxa"/>
            <w:tcBorders>
              <w:top w:val="single" w:sz="4" w:space="0" w:color="000000"/>
              <w:left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Dofinansowanie</w:t>
            </w:r>
            <w:r w:rsidRPr="00E00B35">
              <w:rPr>
                <w:szCs w:val="20"/>
              </w:rPr>
              <w:br/>
              <w:t xml:space="preserve"> usług tłumacza języka migowego lub tłumacza przewodnika</w:t>
            </w:r>
          </w:p>
        </w:tc>
        <w:tc>
          <w:tcPr>
            <w:tcW w:w="1417" w:type="dxa"/>
            <w:gridSpan w:val="2"/>
            <w:tcBorders>
              <w:top w:val="single" w:sz="4" w:space="0" w:color="000000"/>
              <w:left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12 073</w:t>
            </w:r>
          </w:p>
        </w:tc>
        <w:tc>
          <w:tcPr>
            <w:tcW w:w="1417" w:type="dxa"/>
            <w:gridSpan w:val="2"/>
            <w:tcBorders>
              <w:top w:val="single" w:sz="4" w:space="0" w:color="000000"/>
              <w:left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5 550</w:t>
            </w:r>
          </w:p>
        </w:tc>
        <w:tc>
          <w:tcPr>
            <w:tcW w:w="1417" w:type="dxa"/>
            <w:gridSpan w:val="2"/>
            <w:tcBorders>
              <w:top w:val="single" w:sz="4" w:space="0" w:color="000000"/>
              <w:left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6 000</w:t>
            </w:r>
          </w:p>
        </w:tc>
        <w:tc>
          <w:tcPr>
            <w:tcW w:w="1417" w:type="dxa"/>
            <w:gridSpan w:val="2"/>
            <w:tcBorders>
              <w:top w:val="single" w:sz="4" w:space="0" w:color="000000"/>
              <w:left w:val="single" w:sz="4" w:space="0" w:color="000000"/>
              <w:right w:val="single" w:sz="4" w:space="0" w:color="000000"/>
            </w:tcBorders>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800</w:t>
            </w:r>
          </w:p>
        </w:tc>
        <w:tc>
          <w:tcPr>
            <w:tcW w:w="1845" w:type="dxa"/>
            <w:tcBorders>
              <w:top w:val="single" w:sz="4" w:space="0" w:color="000000"/>
              <w:left w:val="single" w:sz="4" w:space="0" w:color="000000"/>
              <w:right w:val="single" w:sz="4" w:space="0" w:color="000000"/>
            </w:tcBorders>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1000</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tc>
      </w:tr>
      <w:tr w:rsidR="00CA14AB" w:rsidRPr="00E00B35" w:rsidTr="00CA14AB">
        <w:trPr>
          <w:trHeight w:val="916"/>
        </w:trPr>
        <w:tc>
          <w:tcPr>
            <w:tcW w:w="22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 xml:space="preserve">Dofinansowanie likwidacji barier architektonicznych </w:t>
            </w:r>
            <w:r w:rsidRPr="00E00B35">
              <w:rPr>
                <w:szCs w:val="20"/>
              </w:rPr>
              <w:br/>
              <w:t>i technicznych</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501 469</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524 790</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684 190</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699 904</w:t>
            </w:r>
          </w:p>
        </w:tc>
        <w:tc>
          <w:tcPr>
            <w:tcW w:w="1845"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801 645</w:t>
            </w:r>
          </w:p>
        </w:tc>
      </w:tr>
      <w:tr w:rsidR="00CA14AB" w:rsidRPr="00E00B35" w:rsidTr="00CA14AB">
        <w:trPr>
          <w:trHeight w:val="1145"/>
        </w:trPr>
        <w:tc>
          <w:tcPr>
            <w:tcW w:w="22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Otwarte konkursy ofert dla organizacji pozarządowych</w:t>
            </w:r>
          </w:p>
        </w:tc>
        <w:tc>
          <w:tcPr>
            <w:tcW w:w="1410" w:type="dxa"/>
            <w:tcBorders>
              <w:top w:val="single" w:sz="4" w:space="0" w:color="000000"/>
              <w:left w:val="single" w:sz="4" w:space="0" w:color="000000"/>
              <w:bottom w:val="single" w:sz="4" w:space="0" w:color="000000"/>
              <w:right w:val="single" w:sz="4" w:space="0" w:color="auto"/>
            </w:tcBorders>
            <w:vAlign w:val="center"/>
          </w:tcPr>
          <w:p w:rsidR="00CA14AB" w:rsidRPr="00E00B35" w:rsidRDefault="00CA14AB" w:rsidP="00E00B35">
            <w:pPr>
              <w:spacing w:after="0" w:line="312" w:lineRule="auto"/>
              <w:rPr>
                <w:szCs w:val="20"/>
              </w:rPr>
            </w:pPr>
            <w:r w:rsidRPr="00E00B35">
              <w:rPr>
                <w:szCs w:val="20"/>
              </w:rPr>
              <w:t>1 199 839</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995 175</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999 330</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997 406</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832 959</w:t>
            </w:r>
          </w:p>
        </w:tc>
      </w:tr>
      <w:tr w:rsidR="00CA14AB" w:rsidRPr="00E00B35" w:rsidTr="00CA14AB">
        <w:trPr>
          <w:trHeight w:val="1145"/>
        </w:trPr>
        <w:tc>
          <w:tcPr>
            <w:tcW w:w="22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Ogółem</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7 672 152</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7 839 899</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8 695 345</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9 577 203</w:t>
            </w:r>
          </w:p>
        </w:tc>
        <w:tc>
          <w:tcPr>
            <w:tcW w:w="1845"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10 556 012</w:t>
            </w:r>
          </w:p>
        </w:tc>
      </w:tr>
    </w:tbl>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Liczba osób uczestniczących w poszczególnych zadaniach w latach 2016-2020</w:t>
      </w:r>
    </w:p>
    <w:tbl>
      <w:tblPr>
        <w:tblW w:w="9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1417"/>
        <w:gridCol w:w="1417"/>
        <w:gridCol w:w="1417"/>
        <w:gridCol w:w="1417"/>
        <w:gridCol w:w="1417"/>
      </w:tblGrid>
      <w:tr w:rsidR="00CA14AB" w:rsidRPr="00E00B35" w:rsidTr="00CA14AB">
        <w:trPr>
          <w:cantSplit/>
        </w:trPr>
        <w:tc>
          <w:tcPr>
            <w:tcW w:w="2235" w:type="dxa"/>
            <w:shd w:val="clear" w:color="auto" w:fill="D9D9D9"/>
            <w:vAlign w:val="center"/>
          </w:tcPr>
          <w:p w:rsidR="00CA14AB" w:rsidRPr="00E00B35" w:rsidRDefault="00CA14AB" w:rsidP="00E00B35">
            <w:pPr>
              <w:spacing w:after="0" w:line="312" w:lineRule="auto"/>
              <w:rPr>
                <w:szCs w:val="20"/>
              </w:rPr>
            </w:pPr>
            <w:bookmarkStart w:id="383" w:name="_Toc72352427"/>
            <w:bookmarkStart w:id="384" w:name="_Toc72352861"/>
            <w:bookmarkStart w:id="385" w:name="_Toc72357853"/>
            <w:bookmarkStart w:id="386" w:name="_Toc72358007"/>
            <w:r w:rsidRPr="00E00B35">
              <w:rPr>
                <w:szCs w:val="20"/>
              </w:rPr>
              <w:t>Rok</w:t>
            </w:r>
            <w:bookmarkEnd w:id="383"/>
            <w:bookmarkEnd w:id="384"/>
            <w:bookmarkEnd w:id="385"/>
            <w:bookmarkEnd w:id="386"/>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1417" w:type="dxa"/>
            <w:shd w:val="clear" w:color="auto" w:fill="D9D9D9"/>
          </w:tcPr>
          <w:p w:rsidR="00CA14AB" w:rsidRPr="00E00B35" w:rsidRDefault="00CA14AB" w:rsidP="00E00B35">
            <w:pPr>
              <w:spacing w:after="0" w:line="312" w:lineRule="auto"/>
              <w:rPr>
                <w:szCs w:val="20"/>
              </w:rPr>
            </w:pPr>
            <w:r w:rsidRPr="00E00B35">
              <w:rPr>
                <w:szCs w:val="20"/>
              </w:rPr>
              <w:t>2019</w:t>
            </w:r>
          </w:p>
        </w:tc>
        <w:tc>
          <w:tcPr>
            <w:tcW w:w="1417" w:type="dxa"/>
            <w:shd w:val="clear" w:color="auto" w:fill="D9D9D9"/>
          </w:tcPr>
          <w:p w:rsidR="00CA14AB" w:rsidRPr="00E00B35" w:rsidRDefault="00CA14AB" w:rsidP="00E00B35">
            <w:pPr>
              <w:spacing w:after="0" w:line="312" w:lineRule="auto"/>
              <w:rPr>
                <w:szCs w:val="20"/>
              </w:rPr>
            </w:pPr>
            <w:r w:rsidRPr="00E00B35">
              <w:rPr>
                <w:szCs w:val="20"/>
              </w:rPr>
              <w:t>2020</w:t>
            </w:r>
          </w:p>
        </w:tc>
      </w:tr>
      <w:tr w:rsidR="00CA14AB" w:rsidRPr="00E00B35" w:rsidTr="00CA14AB">
        <w:trPr>
          <w:cantSplit/>
        </w:trPr>
        <w:tc>
          <w:tcPr>
            <w:tcW w:w="2235" w:type="dxa"/>
            <w:shd w:val="clear" w:color="auto" w:fill="D9D9D9"/>
            <w:vAlign w:val="center"/>
          </w:tcPr>
          <w:p w:rsidR="00CA14AB" w:rsidRPr="00E00B35" w:rsidRDefault="00CA14AB" w:rsidP="00E00B35">
            <w:pPr>
              <w:spacing w:after="0" w:line="312" w:lineRule="auto"/>
              <w:rPr>
                <w:szCs w:val="20"/>
              </w:rPr>
            </w:pPr>
            <w:bookmarkStart w:id="387" w:name="_Toc72352428"/>
            <w:bookmarkStart w:id="388" w:name="_Toc72352862"/>
            <w:bookmarkStart w:id="389" w:name="_Toc72357854"/>
            <w:bookmarkStart w:id="390" w:name="_Toc72358008"/>
            <w:r w:rsidRPr="00E00B35">
              <w:rPr>
                <w:szCs w:val="20"/>
              </w:rPr>
              <w:lastRenderedPageBreak/>
              <w:t>Zadanania finansowane przez PFRON</w:t>
            </w:r>
            <w:bookmarkEnd w:id="387"/>
            <w:bookmarkEnd w:id="388"/>
            <w:bookmarkEnd w:id="389"/>
            <w:bookmarkEnd w:id="390"/>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Ilość osób</w:t>
            </w:r>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Ilość osób</w:t>
            </w:r>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Ilość osób</w:t>
            </w:r>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Ilość osób</w:t>
            </w:r>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Ilość osób</w:t>
            </w:r>
          </w:p>
        </w:tc>
      </w:tr>
      <w:tr w:rsidR="00CA14AB" w:rsidRPr="00E00B35" w:rsidTr="00CA14AB">
        <w:tc>
          <w:tcPr>
            <w:tcW w:w="2235" w:type="dxa"/>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Dofinansowanie do turnusów rehabilitacyjnych</w:t>
            </w:r>
          </w:p>
        </w:tc>
        <w:tc>
          <w:tcPr>
            <w:tcW w:w="1417" w:type="dxa"/>
            <w:vAlign w:val="center"/>
          </w:tcPr>
          <w:p w:rsidR="00CA14AB" w:rsidRPr="00E00B35" w:rsidRDefault="00CA14AB" w:rsidP="00E00B35">
            <w:pPr>
              <w:spacing w:after="0" w:line="312" w:lineRule="auto"/>
              <w:rPr>
                <w:szCs w:val="20"/>
              </w:rPr>
            </w:pPr>
            <w:r w:rsidRPr="00E00B35">
              <w:rPr>
                <w:szCs w:val="20"/>
              </w:rPr>
              <w:t>500</w:t>
            </w:r>
            <w:r w:rsidRPr="00E00B35">
              <w:rPr>
                <w:szCs w:val="20"/>
              </w:rPr>
              <w:br/>
              <w:t xml:space="preserve"> w tym 156 opiekunów</w:t>
            </w:r>
          </w:p>
        </w:tc>
        <w:tc>
          <w:tcPr>
            <w:tcW w:w="1417" w:type="dxa"/>
            <w:vAlign w:val="center"/>
          </w:tcPr>
          <w:p w:rsidR="00CA14AB" w:rsidRPr="00E00B35" w:rsidRDefault="00CA14AB" w:rsidP="00E00B35">
            <w:pPr>
              <w:spacing w:after="0" w:line="312" w:lineRule="auto"/>
              <w:rPr>
                <w:szCs w:val="20"/>
              </w:rPr>
            </w:pPr>
            <w:r w:rsidRPr="00E00B35">
              <w:rPr>
                <w:szCs w:val="20"/>
              </w:rPr>
              <w:t>501</w:t>
            </w:r>
            <w:r w:rsidRPr="00E00B35">
              <w:rPr>
                <w:szCs w:val="20"/>
              </w:rPr>
              <w:br/>
              <w:t xml:space="preserve"> w tym 206 opiekunów</w:t>
            </w:r>
          </w:p>
        </w:tc>
        <w:tc>
          <w:tcPr>
            <w:tcW w:w="1417" w:type="dxa"/>
            <w:vAlign w:val="center"/>
          </w:tcPr>
          <w:p w:rsidR="00CA14AB" w:rsidRPr="00E00B35" w:rsidRDefault="00CA14AB" w:rsidP="00E00B35">
            <w:pPr>
              <w:spacing w:after="0" w:line="312" w:lineRule="auto"/>
              <w:rPr>
                <w:szCs w:val="20"/>
              </w:rPr>
            </w:pPr>
            <w:r w:rsidRPr="00E00B35">
              <w:rPr>
                <w:szCs w:val="20"/>
              </w:rPr>
              <w:t xml:space="preserve">531 </w:t>
            </w:r>
          </w:p>
          <w:p w:rsidR="00CA14AB" w:rsidRPr="00E00B35" w:rsidRDefault="00CA14AB" w:rsidP="00E00B35">
            <w:pPr>
              <w:spacing w:after="0" w:line="312" w:lineRule="auto"/>
              <w:rPr>
                <w:szCs w:val="20"/>
              </w:rPr>
            </w:pPr>
            <w:r w:rsidRPr="00E00B35">
              <w:rPr>
                <w:szCs w:val="20"/>
              </w:rPr>
              <w:t>w tym 215 opiekunów</w:t>
            </w:r>
          </w:p>
        </w:tc>
        <w:tc>
          <w:tcPr>
            <w:tcW w:w="1417" w:type="dxa"/>
            <w:vAlign w:val="center"/>
          </w:tcPr>
          <w:p w:rsidR="00CA14AB" w:rsidRPr="00E00B35" w:rsidRDefault="00CA14AB" w:rsidP="00E00B35">
            <w:pPr>
              <w:spacing w:after="0" w:line="312" w:lineRule="auto"/>
              <w:rPr>
                <w:szCs w:val="20"/>
              </w:rPr>
            </w:pPr>
            <w:r w:rsidRPr="00E00B35">
              <w:rPr>
                <w:szCs w:val="20"/>
              </w:rPr>
              <w:t xml:space="preserve">493 </w:t>
            </w:r>
          </w:p>
          <w:p w:rsidR="00CA14AB" w:rsidRPr="00E00B35" w:rsidRDefault="00CA14AB" w:rsidP="00E00B35">
            <w:pPr>
              <w:spacing w:after="0" w:line="312" w:lineRule="auto"/>
              <w:rPr>
                <w:szCs w:val="20"/>
              </w:rPr>
            </w:pPr>
            <w:r w:rsidRPr="00E00B35">
              <w:rPr>
                <w:szCs w:val="20"/>
              </w:rPr>
              <w:t>w tym 197 opiekunów</w:t>
            </w:r>
          </w:p>
        </w:tc>
        <w:tc>
          <w:tcPr>
            <w:tcW w:w="1417" w:type="dxa"/>
            <w:vAlign w:val="center"/>
          </w:tcPr>
          <w:p w:rsidR="00CA14AB" w:rsidRPr="00E00B35" w:rsidRDefault="00CA14AB" w:rsidP="00E00B35">
            <w:pPr>
              <w:spacing w:after="0" w:line="312" w:lineRule="auto"/>
              <w:rPr>
                <w:szCs w:val="20"/>
              </w:rPr>
            </w:pPr>
            <w:r w:rsidRPr="00E00B35">
              <w:rPr>
                <w:szCs w:val="20"/>
              </w:rPr>
              <w:t xml:space="preserve">340 </w:t>
            </w:r>
          </w:p>
          <w:p w:rsidR="00CA14AB" w:rsidRPr="00E00B35" w:rsidRDefault="00CA14AB" w:rsidP="00E00B35">
            <w:pPr>
              <w:spacing w:after="0" w:line="312" w:lineRule="auto"/>
              <w:rPr>
                <w:szCs w:val="20"/>
              </w:rPr>
            </w:pPr>
            <w:r w:rsidRPr="00E00B35">
              <w:rPr>
                <w:szCs w:val="20"/>
              </w:rPr>
              <w:t xml:space="preserve">w tym 150 </w:t>
            </w:r>
          </w:p>
          <w:p w:rsidR="00CA14AB" w:rsidRPr="00E00B35" w:rsidRDefault="00CA14AB" w:rsidP="00E00B35">
            <w:pPr>
              <w:spacing w:after="0" w:line="312" w:lineRule="auto"/>
              <w:rPr>
                <w:szCs w:val="20"/>
              </w:rPr>
            </w:pPr>
            <w:r w:rsidRPr="00E00B35">
              <w:rPr>
                <w:szCs w:val="20"/>
              </w:rPr>
              <w:t>opiekunów</w:t>
            </w:r>
          </w:p>
        </w:tc>
      </w:tr>
      <w:tr w:rsidR="00CA14AB" w:rsidRPr="00E00B35" w:rsidTr="00CA14AB">
        <w:tc>
          <w:tcPr>
            <w:tcW w:w="2235" w:type="dxa"/>
            <w:shd w:val="clear" w:color="auto" w:fill="D9D9D9"/>
            <w:vAlign w:val="center"/>
          </w:tcPr>
          <w:p w:rsidR="00CA14AB" w:rsidRPr="00E00B35" w:rsidRDefault="00CA14AB" w:rsidP="00E00B35">
            <w:pPr>
              <w:spacing w:after="0" w:line="312" w:lineRule="auto"/>
              <w:rPr>
                <w:szCs w:val="20"/>
              </w:rPr>
            </w:pPr>
            <w:r w:rsidRPr="00E00B35">
              <w:rPr>
                <w:szCs w:val="20"/>
              </w:rPr>
              <w:t>Finansowanie Warsztatów Terapii Zajęciowej</w:t>
            </w:r>
          </w:p>
        </w:tc>
        <w:tc>
          <w:tcPr>
            <w:tcW w:w="1417" w:type="dxa"/>
            <w:vAlign w:val="center"/>
          </w:tcPr>
          <w:p w:rsidR="00CA14AB" w:rsidRPr="00E00B35" w:rsidRDefault="00CA14AB" w:rsidP="00E00B35">
            <w:pPr>
              <w:spacing w:after="0" w:line="312" w:lineRule="auto"/>
              <w:rPr>
                <w:szCs w:val="20"/>
              </w:rPr>
            </w:pPr>
            <w:r w:rsidRPr="00E00B35">
              <w:rPr>
                <w:szCs w:val="20"/>
              </w:rPr>
              <w:t>232</w:t>
            </w:r>
          </w:p>
        </w:tc>
        <w:tc>
          <w:tcPr>
            <w:tcW w:w="1417" w:type="dxa"/>
            <w:vAlign w:val="center"/>
          </w:tcPr>
          <w:p w:rsidR="00CA14AB" w:rsidRPr="00E00B35" w:rsidRDefault="00CA14AB" w:rsidP="00E00B35">
            <w:pPr>
              <w:spacing w:after="0" w:line="312" w:lineRule="auto"/>
              <w:rPr>
                <w:szCs w:val="20"/>
              </w:rPr>
            </w:pPr>
            <w:r w:rsidRPr="00E00B35">
              <w:rPr>
                <w:szCs w:val="20"/>
              </w:rPr>
              <w:t>282</w:t>
            </w:r>
          </w:p>
        </w:tc>
        <w:tc>
          <w:tcPr>
            <w:tcW w:w="1417" w:type="dxa"/>
            <w:vAlign w:val="center"/>
          </w:tcPr>
          <w:p w:rsidR="00CA14AB" w:rsidRPr="00E00B35" w:rsidRDefault="00CA14AB" w:rsidP="00E00B35">
            <w:pPr>
              <w:spacing w:after="0" w:line="312" w:lineRule="auto"/>
              <w:rPr>
                <w:szCs w:val="20"/>
              </w:rPr>
            </w:pPr>
            <w:r w:rsidRPr="00E00B35">
              <w:rPr>
                <w:szCs w:val="20"/>
              </w:rPr>
              <w:t>263</w:t>
            </w:r>
          </w:p>
        </w:tc>
        <w:tc>
          <w:tcPr>
            <w:tcW w:w="1417" w:type="dxa"/>
            <w:vAlign w:val="center"/>
          </w:tcPr>
          <w:p w:rsidR="00CA14AB" w:rsidRPr="00E00B35" w:rsidRDefault="00CA14AB" w:rsidP="00E00B35">
            <w:pPr>
              <w:spacing w:after="0" w:line="312" w:lineRule="auto"/>
              <w:rPr>
                <w:szCs w:val="20"/>
              </w:rPr>
            </w:pPr>
            <w:r w:rsidRPr="00E00B35">
              <w:rPr>
                <w:szCs w:val="20"/>
              </w:rPr>
              <w:t>265</w:t>
            </w:r>
          </w:p>
        </w:tc>
        <w:tc>
          <w:tcPr>
            <w:tcW w:w="1417" w:type="dxa"/>
            <w:vAlign w:val="center"/>
          </w:tcPr>
          <w:p w:rsidR="00CA14AB" w:rsidRPr="00E00B35" w:rsidRDefault="00CA14AB" w:rsidP="00E00B35">
            <w:pPr>
              <w:spacing w:after="0" w:line="312" w:lineRule="auto"/>
              <w:rPr>
                <w:szCs w:val="20"/>
              </w:rPr>
            </w:pPr>
            <w:r w:rsidRPr="00E00B35">
              <w:rPr>
                <w:szCs w:val="20"/>
              </w:rPr>
              <w:t>271</w:t>
            </w:r>
          </w:p>
        </w:tc>
      </w:tr>
      <w:tr w:rsidR="00CA14AB" w:rsidRPr="00E00B35" w:rsidTr="00CA14AB">
        <w:tc>
          <w:tcPr>
            <w:tcW w:w="2235" w:type="dxa"/>
            <w:shd w:val="clear" w:color="auto" w:fill="D9D9D9"/>
            <w:vAlign w:val="center"/>
          </w:tcPr>
          <w:p w:rsidR="00CA14AB" w:rsidRPr="00E00B35" w:rsidRDefault="00CA14AB" w:rsidP="00E00B35">
            <w:pPr>
              <w:spacing w:after="0" w:line="312" w:lineRule="auto"/>
              <w:rPr>
                <w:szCs w:val="20"/>
              </w:rPr>
            </w:pPr>
            <w:r w:rsidRPr="00E00B35">
              <w:rPr>
                <w:szCs w:val="20"/>
              </w:rPr>
              <w:br w:type="page"/>
              <w:t xml:space="preserve">Dofinansowanie zakupu sprzętu rehabilitacyjnego, przedmiotów ortopedycznych </w:t>
            </w:r>
            <w:r w:rsidRPr="00E00B35">
              <w:rPr>
                <w:szCs w:val="20"/>
              </w:rPr>
              <w:br/>
              <w:t>i środków pomocniczych</w:t>
            </w:r>
          </w:p>
        </w:tc>
        <w:tc>
          <w:tcPr>
            <w:tcW w:w="1417" w:type="dxa"/>
            <w:vAlign w:val="center"/>
          </w:tcPr>
          <w:p w:rsidR="00CA14AB" w:rsidRPr="00E00B35" w:rsidRDefault="00CA14AB" w:rsidP="00E00B35">
            <w:pPr>
              <w:spacing w:after="0" w:line="312" w:lineRule="auto"/>
              <w:rPr>
                <w:szCs w:val="20"/>
              </w:rPr>
            </w:pPr>
            <w:r w:rsidRPr="00E00B35">
              <w:rPr>
                <w:szCs w:val="20"/>
              </w:rPr>
              <w:t>920</w:t>
            </w:r>
          </w:p>
        </w:tc>
        <w:tc>
          <w:tcPr>
            <w:tcW w:w="1417" w:type="dxa"/>
            <w:vAlign w:val="center"/>
          </w:tcPr>
          <w:p w:rsidR="00CA14AB" w:rsidRPr="00E00B35" w:rsidRDefault="00CA14AB" w:rsidP="00E00B35">
            <w:pPr>
              <w:spacing w:after="0" w:line="312" w:lineRule="auto"/>
              <w:rPr>
                <w:szCs w:val="20"/>
              </w:rPr>
            </w:pPr>
            <w:r w:rsidRPr="00E00B35">
              <w:rPr>
                <w:szCs w:val="20"/>
              </w:rPr>
              <w:t>697</w:t>
            </w:r>
          </w:p>
        </w:tc>
        <w:tc>
          <w:tcPr>
            <w:tcW w:w="1417" w:type="dxa"/>
            <w:vAlign w:val="center"/>
          </w:tcPr>
          <w:p w:rsidR="00CA14AB" w:rsidRPr="00E00B35" w:rsidRDefault="00CA14AB" w:rsidP="00E00B35">
            <w:pPr>
              <w:spacing w:after="0" w:line="312" w:lineRule="auto"/>
              <w:rPr>
                <w:szCs w:val="20"/>
              </w:rPr>
            </w:pPr>
            <w:r w:rsidRPr="00E00B35">
              <w:rPr>
                <w:szCs w:val="20"/>
              </w:rPr>
              <w:t>662</w:t>
            </w:r>
          </w:p>
        </w:tc>
        <w:tc>
          <w:tcPr>
            <w:tcW w:w="1417" w:type="dxa"/>
            <w:vAlign w:val="center"/>
          </w:tcPr>
          <w:p w:rsidR="00CA14AB" w:rsidRPr="00E00B35" w:rsidRDefault="00CA14AB" w:rsidP="00E00B35">
            <w:pPr>
              <w:spacing w:after="0" w:line="312" w:lineRule="auto"/>
              <w:rPr>
                <w:szCs w:val="20"/>
              </w:rPr>
            </w:pPr>
            <w:r w:rsidRPr="00E00B35">
              <w:rPr>
                <w:szCs w:val="20"/>
              </w:rPr>
              <w:t>701</w:t>
            </w:r>
          </w:p>
        </w:tc>
        <w:tc>
          <w:tcPr>
            <w:tcW w:w="1417" w:type="dxa"/>
            <w:vAlign w:val="center"/>
          </w:tcPr>
          <w:p w:rsidR="00CA14AB" w:rsidRPr="00E00B35" w:rsidRDefault="00CA14AB" w:rsidP="00E00B35">
            <w:pPr>
              <w:spacing w:after="0" w:line="312" w:lineRule="auto"/>
              <w:rPr>
                <w:szCs w:val="20"/>
              </w:rPr>
            </w:pPr>
            <w:r w:rsidRPr="00E00B35">
              <w:rPr>
                <w:szCs w:val="20"/>
              </w:rPr>
              <w:t>889</w:t>
            </w:r>
          </w:p>
        </w:tc>
      </w:tr>
      <w:tr w:rsidR="00CA14AB" w:rsidRPr="00E00B35" w:rsidTr="00CA14AB">
        <w:tc>
          <w:tcPr>
            <w:tcW w:w="2235" w:type="dxa"/>
            <w:shd w:val="clear" w:color="auto" w:fill="D9D9D9"/>
            <w:vAlign w:val="center"/>
          </w:tcPr>
          <w:p w:rsidR="00CA14AB" w:rsidRPr="00E00B35" w:rsidRDefault="00CA14AB" w:rsidP="00E00B35">
            <w:pPr>
              <w:spacing w:after="0" w:line="312" w:lineRule="auto"/>
              <w:rPr>
                <w:szCs w:val="20"/>
              </w:rPr>
            </w:pPr>
            <w:r w:rsidRPr="00E00B35">
              <w:rPr>
                <w:szCs w:val="20"/>
              </w:rPr>
              <w:t xml:space="preserve">Dofinansowanie likwidacji barier </w:t>
            </w:r>
            <w:r w:rsidRPr="00E00B35">
              <w:rPr>
                <w:szCs w:val="20"/>
              </w:rPr>
              <w:br/>
              <w:t>w komunikowaniu się</w:t>
            </w:r>
          </w:p>
        </w:tc>
        <w:tc>
          <w:tcPr>
            <w:tcW w:w="1417" w:type="dxa"/>
            <w:vAlign w:val="center"/>
          </w:tcPr>
          <w:p w:rsidR="00CA14AB" w:rsidRPr="00E00B35" w:rsidRDefault="00CA14AB" w:rsidP="00E00B35">
            <w:pPr>
              <w:spacing w:after="0" w:line="312" w:lineRule="auto"/>
              <w:rPr>
                <w:szCs w:val="20"/>
              </w:rPr>
            </w:pPr>
            <w:r w:rsidRPr="00E00B35">
              <w:rPr>
                <w:szCs w:val="20"/>
              </w:rPr>
              <w:t>94</w:t>
            </w:r>
          </w:p>
        </w:tc>
        <w:tc>
          <w:tcPr>
            <w:tcW w:w="1417" w:type="dxa"/>
            <w:vAlign w:val="center"/>
          </w:tcPr>
          <w:p w:rsidR="00CA14AB" w:rsidRPr="00E00B35" w:rsidRDefault="00CA14AB" w:rsidP="00E00B35">
            <w:pPr>
              <w:spacing w:after="0" w:line="312" w:lineRule="auto"/>
              <w:rPr>
                <w:szCs w:val="20"/>
              </w:rPr>
            </w:pPr>
            <w:r w:rsidRPr="00E00B35">
              <w:rPr>
                <w:szCs w:val="20"/>
              </w:rPr>
              <w:t>67</w:t>
            </w:r>
          </w:p>
        </w:tc>
        <w:tc>
          <w:tcPr>
            <w:tcW w:w="1417" w:type="dxa"/>
            <w:vAlign w:val="center"/>
          </w:tcPr>
          <w:p w:rsidR="00CA14AB" w:rsidRPr="00E00B35" w:rsidRDefault="00CA14AB" w:rsidP="00E00B35">
            <w:pPr>
              <w:spacing w:after="0" w:line="312" w:lineRule="auto"/>
              <w:rPr>
                <w:szCs w:val="20"/>
              </w:rPr>
            </w:pPr>
            <w:r w:rsidRPr="00E00B35">
              <w:rPr>
                <w:szCs w:val="20"/>
              </w:rPr>
              <w:t>96</w:t>
            </w:r>
          </w:p>
        </w:tc>
        <w:tc>
          <w:tcPr>
            <w:tcW w:w="1417" w:type="dxa"/>
            <w:vAlign w:val="center"/>
          </w:tcPr>
          <w:p w:rsidR="00CA14AB" w:rsidRPr="00E00B35" w:rsidRDefault="00CA14AB" w:rsidP="00E00B35">
            <w:pPr>
              <w:spacing w:after="0" w:line="312" w:lineRule="auto"/>
              <w:rPr>
                <w:szCs w:val="20"/>
              </w:rPr>
            </w:pPr>
            <w:r w:rsidRPr="00E00B35">
              <w:rPr>
                <w:szCs w:val="20"/>
              </w:rPr>
              <w:t>83</w:t>
            </w:r>
          </w:p>
        </w:tc>
        <w:tc>
          <w:tcPr>
            <w:tcW w:w="1417" w:type="dxa"/>
            <w:vAlign w:val="center"/>
          </w:tcPr>
          <w:p w:rsidR="00CA14AB" w:rsidRPr="00E00B35" w:rsidRDefault="00CA14AB" w:rsidP="00E00B35">
            <w:pPr>
              <w:spacing w:after="0" w:line="312" w:lineRule="auto"/>
              <w:rPr>
                <w:szCs w:val="20"/>
              </w:rPr>
            </w:pPr>
            <w:r w:rsidRPr="00E00B35">
              <w:rPr>
                <w:szCs w:val="20"/>
              </w:rPr>
              <w:t>148</w:t>
            </w:r>
          </w:p>
        </w:tc>
      </w:tr>
      <w:tr w:rsidR="00CA14AB" w:rsidRPr="00E00B35" w:rsidTr="00CA14AB">
        <w:tc>
          <w:tcPr>
            <w:tcW w:w="2235" w:type="dxa"/>
            <w:shd w:val="clear" w:color="auto" w:fill="D9D9D9"/>
            <w:vAlign w:val="center"/>
          </w:tcPr>
          <w:p w:rsidR="00CA14AB" w:rsidRPr="00E00B35" w:rsidRDefault="00CA14AB" w:rsidP="00E00B35">
            <w:pPr>
              <w:spacing w:after="0" w:line="312" w:lineRule="auto"/>
              <w:rPr>
                <w:szCs w:val="20"/>
              </w:rPr>
            </w:pPr>
            <w:r w:rsidRPr="00E00B35">
              <w:rPr>
                <w:szCs w:val="20"/>
              </w:rPr>
              <w:t>Dofinansowanie</w:t>
            </w:r>
            <w:r w:rsidRPr="00E00B35">
              <w:rPr>
                <w:szCs w:val="20"/>
              </w:rPr>
              <w:br/>
              <w:t xml:space="preserve"> usług tłumacza języka migowego lub tłumacza przewodnika </w:t>
            </w:r>
          </w:p>
        </w:tc>
        <w:tc>
          <w:tcPr>
            <w:tcW w:w="1417" w:type="dxa"/>
            <w:vAlign w:val="center"/>
          </w:tcPr>
          <w:p w:rsidR="00CA14AB" w:rsidRPr="00E00B35" w:rsidRDefault="00CA14AB" w:rsidP="00E00B35">
            <w:pPr>
              <w:spacing w:after="0" w:line="312" w:lineRule="auto"/>
              <w:rPr>
                <w:szCs w:val="20"/>
              </w:rPr>
            </w:pPr>
            <w:r w:rsidRPr="00E00B35">
              <w:rPr>
                <w:szCs w:val="20"/>
              </w:rPr>
              <w:t>4</w:t>
            </w:r>
          </w:p>
        </w:tc>
        <w:tc>
          <w:tcPr>
            <w:tcW w:w="1417" w:type="dxa"/>
            <w:vAlign w:val="center"/>
          </w:tcPr>
          <w:p w:rsidR="00CA14AB" w:rsidRPr="00E00B35" w:rsidRDefault="00CA14AB" w:rsidP="00E00B35">
            <w:pPr>
              <w:spacing w:after="0" w:line="312" w:lineRule="auto"/>
              <w:rPr>
                <w:szCs w:val="20"/>
              </w:rPr>
            </w:pPr>
            <w:r w:rsidRPr="00E00B35">
              <w:rPr>
                <w:szCs w:val="20"/>
              </w:rPr>
              <w:t>7</w:t>
            </w:r>
          </w:p>
        </w:tc>
        <w:tc>
          <w:tcPr>
            <w:tcW w:w="1417" w:type="dxa"/>
            <w:vAlign w:val="center"/>
          </w:tcPr>
          <w:p w:rsidR="00CA14AB" w:rsidRPr="00E00B35" w:rsidRDefault="00CA14AB" w:rsidP="00E00B35">
            <w:pPr>
              <w:spacing w:after="0" w:line="312" w:lineRule="auto"/>
              <w:rPr>
                <w:szCs w:val="20"/>
              </w:rPr>
            </w:pPr>
            <w:r w:rsidRPr="00E00B35">
              <w:rPr>
                <w:szCs w:val="20"/>
              </w:rPr>
              <w:t>2</w:t>
            </w:r>
          </w:p>
        </w:tc>
        <w:tc>
          <w:tcPr>
            <w:tcW w:w="1417" w:type="dxa"/>
            <w:vAlign w:val="center"/>
          </w:tcPr>
          <w:p w:rsidR="00CA14AB" w:rsidRPr="00E00B35" w:rsidRDefault="00CA14AB" w:rsidP="00E00B35">
            <w:pPr>
              <w:spacing w:after="0" w:line="312" w:lineRule="auto"/>
              <w:rPr>
                <w:szCs w:val="20"/>
                <w:highlight w:val="yellow"/>
              </w:rPr>
            </w:pPr>
            <w:r w:rsidRPr="00E00B35">
              <w:rPr>
                <w:szCs w:val="20"/>
              </w:rPr>
              <w:t>1</w:t>
            </w:r>
          </w:p>
        </w:tc>
        <w:tc>
          <w:tcPr>
            <w:tcW w:w="1417" w:type="dxa"/>
            <w:vAlign w:val="center"/>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2235" w:type="dxa"/>
            <w:shd w:val="clear" w:color="auto" w:fill="D9D9D9"/>
            <w:vAlign w:val="center"/>
          </w:tcPr>
          <w:p w:rsidR="00CA14AB" w:rsidRPr="00E00B35" w:rsidRDefault="00CA14AB" w:rsidP="00E00B35">
            <w:pPr>
              <w:spacing w:after="0" w:line="312" w:lineRule="auto"/>
              <w:rPr>
                <w:szCs w:val="20"/>
              </w:rPr>
            </w:pPr>
            <w:r w:rsidRPr="00E00B35">
              <w:rPr>
                <w:szCs w:val="20"/>
              </w:rPr>
              <w:t xml:space="preserve">Dofinansowanie likwidacji barier architektonicznych </w:t>
            </w:r>
            <w:r w:rsidRPr="00E00B35">
              <w:rPr>
                <w:szCs w:val="20"/>
              </w:rPr>
              <w:br/>
              <w:t>i technicznych</w:t>
            </w:r>
          </w:p>
        </w:tc>
        <w:tc>
          <w:tcPr>
            <w:tcW w:w="1417" w:type="dxa"/>
            <w:vAlign w:val="center"/>
          </w:tcPr>
          <w:p w:rsidR="00CA14AB" w:rsidRPr="00E00B35" w:rsidRDefault="00CA14AB" w:rsidP="00E00B35">
            <w:pPr>
              <w:spacing w:after="0" w:line="312" w:lineRule="auto"/>
              <w:rPr>
                <w:szCs w:val="20"/>
              </w:rPr>
            </w:pPr>
            <w:r w:rsidRPr="00E00B35">
              <w:rPr>
                <w:szCs w:val="20"/>
              </w:rPr>
              <w:t>77</w:t>
            </w:r>
          </w:p>
        </w:tc>
        <w:tc>
          <w:tcPr>
            <w:tcW w:w="1417" w:type="dxa"/>
            <w:vAlign w:val="center"/>
          </w:tcPr>
          <w:p w:rsidR="00CA14AB" w:rsidRPr="00E00B35" w:rsidRDefault="00CA14AB" w:rsidP="00E00B35">
            <w:pPr>
              <w:spacing w:after="0" w:line="312" w:lineRule="auto"/>
              <w:rPr>
                <w:szCs w:val="20"/>
              </w:rPr>
            </w:pPr>
            <w:r w:rsidRPr="00E00B35">
              <w:rPr>
                <w:szCs w:val="20"/>
              </w:rPr>
              <w:t>91</w:t>
            </w:r>
          </w:p>
        </w:tc>
        <w:tc>
          <w:tcPr>
            <w:tcW w:w="1417" w:type="dxa"/>
            <w:vAlign w:val="center"/>
          </w:tcPr>
          <w:p w:rsidR="00CA14AB" w:rsidRPr="00E00B35" w:rsidRDefault="00CA14AB" w:rsidP="00E00B35">
            <w:pPr>
              <w:spacing w:after="0" w:line="312" w:lineRule="auto"/>
              <w:rPr>
                <w:szCs w:val="20"/>
              </w:rPr>
            </w:pPr>
            <w:r w:rsidRPr="00E00B35">
              <w:rPr>
                <w:szCs w:val="20"/>
              </w:rPr>
              <w:t>118</w:t>
            </w:r>
          </w:p>
        </w:tc>
        <w:tc>
          <w:tcPr>
            <w:tcW w:w="1417" w:type="dxa"/>
            <w:vAlign w:val="center"/>
          </w:tcPr>
          <w:p w:rsidR="00CA14AB" w:rsidRPr="00E00B35" w:rsidRDefault="00CA14AB" w:rsidP="00E00B35">
            <w:pPr>
              <w:spacing w:after="0" w:line="312" w:lineRule="auto"/>
              <w:rPr>
                <w:szCs w:val="20"/>
              </w:rPr>
            </w:pPr>
            <w:r w:rsidRPr="00E00B35">
              <w:rPr>
                <w:szCs w:val="20"/>
              </w:rPr>
              <w:t>104</w:t>
            </w:r>
          </w:p>
        </w:tc>
        <w:tc>
          <w:tcPr>
            <w:tcW w:w="1417" w:type="dxa"/>
            <w:vAlign w:val="center"/>
          </w:tcPr>
          <w:p w:rsidR="00CA14AB" w:rsidRPr="00E00B35" w:rsidRDefault="00CA14AB" w:rsidP="00E00B35">
            <w:pPr>
              <w:spacing w:after="0" w:line="312" w:lineRule="auto"/>
              <w:rPr>
                <w:szCs w:val="20"/>
              </w:rPr>
            </w:pPr>
            <w:r w:rsidRPr="00E00B35">
              <w:rPr>
                <w:szCs w:val="20"/>
              </w:rPr>
              <w:t>93</w:t>
            </w:r>
          </w:p>
        </w:tc>
      </w:tr>
      <w:tr w:rsidR="00CA14AB" w:rsidRPr="00E00B35" w:rsidTr="00CA14AB">
        <w:trPr>
          <w:trHeight w:val="931"/>
        </w:trPr>
        <w:tc>
          <w:tcPr>
            <w:tcW w:w="2235" w:type="dxa"/>
            <w:shd w:val="clear" w:color="auto" w:fill="D9D9D9"/>
            <w:vAlign w:val="center"/>
          </w:tcPr>
          <w:p w:rsidR="00CA14AB" w:rsidRPr="00E00B35" w:rsidRDefault="00CA14AB" w:rsidP="00E00B35">
            <w:pPr>
              <w:spacing w:after="0" w:line="312" w:lineRule="auto"/>
              <w:rPr>
                <w:szCs w:val="20"/>
              </w:rPr>
            </w:pPr>
            <w:r w:rsidRPr="00E00B35">
              <w:rPr>
                <w:szCs w:val="20"/>
              </w:rPr>
              <w:t>Zlecenie zadań zgodnie z art.36 ustawy o rehab. zaw. i społecznej</w:t>
            </w:r>
          </w:p>
        </w:tc>
        <w:tc>
          <w:tcPr>
            <w:tcW w:w="1417" w:type="dxa"/>
            <w:vAlign w:val="center"/>
          </w:tcPr>
          <w:p w:rsidR="00CA14AB" w:rsidRPr="00E00B35" w:rsidRDefault="00CA14AB" w:rsidP="00E00B35">
            <w:pPr>
              <w:spacing w:after="0" w:line="312" w:lineRule="auto"/>
              <w:rPr>
                <w:szCs w:val="20"/>
              </w:rPr>
            </w:pPr>
            <w:r w:rsidRPr="00E00B35">
              <w:rPr>
                <w:szCs w:val="20"/>
              </w:rPr>
              <w:t>36</w:t>
            </w:r>
          </w:p>
          <w:p w:rsidR="00CA14AB" w:rsidRPr="00E00B35" w:rsidRDefault="00CA14AB" w:rsidP="00E00B35">
            <w:pPr>
              <w:spacing w:after="0" w:line="312" w:lineRule="auto"/>
              <w:rPr>
                <w:szCs w:val="20"/>
              </w:rPr>
            </w:pPr>
            <w:r w:rsidRPr="00E00B35">
              <w:rPr>
                <w:szCs w:val="20"/>
              </w:rPr>
              <w:t>Ilość umów z organizacjami</w:t>
            </w:r>
          </w:p>
        </w:tc>
        <w:tc>
          <w:tcPr>
            <w:tcW w:w="1417" w:type="dxa"/>
            <w:vAlign w:val="center"/>
          </w:tcPr>
          <w:p w:rsidR="00CA14AB" w:rsidRPr="00E00B35" w:rsidRDefault="00CA14AB" w:rsidP="00E00B35">
            <w:pPr>
              <w:spacing w:after="0" w:line="312" w:lineRule="auto"/>
              <w:rPr>
                <w:szCs w:val="20"/>
              </w:rPr>
            </w:pPr>
            <w:r w:rsidRPr="00E00B35">
              <w:rPr>
                <w:szCs w:val="20"/>
              </w:rPr>
              <w:t>36</w:t>
            </w:r>
          </w:p>
          <w:p w:rsidR="00CA14AB" w:rsidRPr="00E00B35" w:rsidRDefault="00CA14AB" w:rsidP="00E00B35">
            <w:pPr>
              <w:spacing w:after="0" w:line="312" w:lineRule="auto"/>
              <w:rPr>
                <w:szCs w:val="20"/>
              </w:rPr>
            </w:pPr>
            <w:r w:rsidRPr="00E00B35">
              <w:rPr>
                <w:szCs w:val="20"/>
              </w:rPr>
              <w:t>Ilość umów z organizacjami</w:t>
            </w:r>
          </w:p>
        </w:tc>
        <w:tc>
          <w:tcPr>
            <w:tcW w:w="1417" w:type="dxa"/>
            <w:vAlign w:val="center"/>
          </w:tcPr>
          <w:p w:rsidR="00CA14AB" w:rsidRPr="00E00B35" w:rsidRDefault="00CA14AB" w:rsidP="00E00B35">
            <w:pPr>
              <w:spacing w:after="0" w:line="312" w:lineRule="auto"/>
              <w:rPr>
                <w:szCs w:val="20"/>
              </w:rPr>
            </w:pPr>
            <w:r w:rsidRPr="00E00B35">
              <w:rPr>
                <w:szCs w:val="20"/>
              </w:rPr>
              <w:t xml:space="preserve">33 </w:t>
            </w:r>
          </w:p>
          <w:p w:rsidR="00CA14AB" w:rsidRPr="00E00B35" w:rsidRDefault="00CA14AB" w:rsidP="00E00B35">
            <w:pPr>
              <w:spacing w:after="0" w:line="312" w:lineRule="auto"/>
              <w:rPr>
                <w:szCs w:val="20"/>
              </w:rPr>
            </w:pPr>
            <w:r w:rsidRPr="00E00B35">
              <w:rPr>
                <w:szCs w:val="20"/>
              </w:rPr>
              <w:t>ilość umów z organizacjami</w:t>
            </w:r>
          </w:p>
        </w:tc>
        <w:tc>
          <w:tcPr>
            <w:tcW w:w="1417" w:type="dxa"/>
            <w:vAlign w:val="center"/>
          </w:tcPr>
          <w:p w:rsidR="00CA14AB" w:rsidRPr="00E00B35" w:rsidRDefault="00CA14AB" w:rsidP="00E00B35">
            <w:pPr>
              <w:spacing w:after="0" w:line="312" w:lineRule="auto"/>
              <w:rPr>
                <w:szCs w:val="20"/>
              </w:rPr>
            </w:pPr>
            <w:r w:rsidRPr="00E00B35">
              <w:rPr>
                <w:szCs w:val="20"/>
              </w:rPr>
              <w:t>26</w:t>
            </w:r>
          </w:p>
          <w:p w:rsidR="00CA14AB" w:rsidRPr="00E00B35" w:rsidRDefault="00CA14AB" w:rsidP="00E00B35">
            <w:pPr>
              <w:spacing w:after="0" w:line="312" w:lineRule="auto"/>
              <w:rPr>
                <w:szCs w:val="20"/>
              </w:rPr>
            </w:pPr>
            <w:r w:rsidRPr="00E00B35">
              <w:rPr>
                <w:szCs w:val="20"/>
              </w:rPr>
              <w:t>ilość umów z organizacjami</w:t>
            </w:r>
          </w:p>
        </w:tc>
        <w:tc>
          <w:tcPr>
            <w:tcW w:w="1417" w:type="dxa"/>
            <w:vAlign w:val="center"/>
          </w:tcPr>
          <w:p w:rsidR="00CA14AB" w:rsidRPr="00E00B35" w:rsidRDefault="00CA14AB" w:rsidP="00E00B35">
            <w:pPr>
              <w:spacing w:after="0" w:line="312" w:lineRule="auto"/>
              <w:rPr>
                <w:szCs w:val="20"/>
              </w:rPr>
            </w:pPr>
            <w:r w:rsidRPr="00E00B35">
              <w:rPr>
                <w:szCs w:val="20"/>
              </w:rPr>
              <w:t>30</w:t>
            </w:r>
          </w:p>
          <w:p w:rsidR="00CA14AB" w:rsidRPr="00E00B35" w:rsidRDefault="00CA14AB" w:rsidP="00E00B35">
            <w:pPr>
              <w:spacing w:after="0" w:line="312" w:lineRule="auto"/>
              <w:rPr>
                <w:szCs w:val="20"/>
              </w:rPr>
            </w:pPr>
            <w:r w:rsidRPr="00E00B35">
              <w:rPr>
                <w:szCs w:val="20"/>
              </w:rPr>
              <w:t>ilość umów z organizacjami</w:t>
            </w:r>
          </w:p>
        </w:tc>
      </w:tr>
    </w:tbl>
    <w:p w:rsidR="0082271B" w:rsidRPr="00E00B35" w:rsidRDefault="0082271B" w:rsidP="00E00B35">
      <w:pPr>
        <w:spacing w:after="0" w:line="312" w:lineRule="auto"/>
        <w:rPr>
          <w:szCs w:val="20"/>
        </w:rPr>
      </w:pPr>
      <w:bookmarkStart w:id="391" w:name="_Toc72352429"/>
      <w:bookmarkStart w:id="392" w:name="_Toc72352863"/>
    </w:p>
    <w:p w:rsidR="00CA14AB" w:rsidRPr="00E00B35" w:rsidRDefault="00CA14AB" w:rsidP="00E00B35">
      <w:pPr>
        <w:pStyle w:val="Nagwek4"/>
        <w:spacing w:before="0" w:after="0" w:line="312" w:lineRule="auto"/>
        <w:rPr>
          <w:sz w:val="20"/>
          <w:szCs w:val="20"/>
        </w:rPr>
      </w:pPr>
      <w:r w:rsidRPr="00E00B35">
        <w:rPr>
          <w:sz w:val="20"/>
          <w:szCs w:val="20"/>
        </w:rPr>
        <w:t>AKTYWNY SAMORZĄD</w:t>
      </w:r>
      <w:bookmarkEnd w:id="391"/>
      <w:bookmarkEnd w:id="392"/>
    </w:p>
    <w:p w:rsidR="00CA14AB" w:rsidRPr="00E00B35" w:rsidRDefault="00CA14AB" w:rsidP="00E00B35">
      <w:pPr>
        <w:spacing w:after="0" w:line="312" w:lineRule="auto"/>
        <w:rPr>
          <w:szCs w:val="20"/>
        </w:rPr>
      </w:pPr>
      <w:r w:rsidRPr="00E00B35">
        <w:rPr>
          <w:szCs w:val="20"/>
        </w:rPr>
        <w:t>Program „Aktywny samorząd” jest ważnym krokiem w kierunku wydajniejszego modelu polityki społecznej wobec osób z niepełnosprawnościami. Działania przewidziane</w:t>
      </w:r>
      <w:r w:rsidRPr="00E00B35">
        <w:rPr>
          <w:szCs w:val="20"/>
        </w:rPr>
        <w:br/>
        <w:t xml:space="preserve">w programie uzupełnią plany ujęte w powiatowych strategiach rozwiązywania problemów społecznych i programach działań na rzecz osób niepełnosprawnych. Umożliwia samorządom aktywniejsze włączenie się w działania na rzecz inkluzji społecznej osób niepełnosprawnych. </w:t>
      </w:r>
    </w:p>
    <w:p w:rsidR="00CA14AB" w:rsidRPr="00E00B35" w:rsidRDefault="00CA14AB" w:rsidP="00E00B35">
      <w:pPr>
        <w:pStyle w:val="Nagwek5"/>
        <w:rPr>
          <w:szCs w:val="20"/>
        </w:rPr>
      </w:pPr>
      <w:r w:rsidRPr="00E00B35">
        <w:rPr>
          <w:szCs w:val="20"/>
        </w:rPr>
        <w:lastRenderedPageBreak/>
        <w:t>Aktywny Samorząd 2020</w:t>
      </w:r>
    </w:p>
    <w:p w:rsidR="00CA14AB" w:rsidRPr="00E00B35" w:rsidRDefault="00CA14AB" w:rsidP="00E00B35">
      <w:pPr>
        <w:spacing w:after="0" w:line="312" w:lineRule="auto"/>
        <w:rPr>
          <w:szCs w:val="20"/>
        </w:rPr>
      </w:pPr>
      <w:r w:rsidRPr="00E00B35">
        <w:rPr>
          <w:szCs w:val="20"/>
        </w:rPr>
        <w:t xml:space="preserve">Celem głównym programu jest wyeliminowanie lub zmniejszenie barier ograniczających uczestnictwo beneficjentów pomocy w życiu społecznym, zawodowym i w dostępie </w:t>
      </w:r>
      <w:r w:rsidRPr="00E00B35">
        <w:rPr>
          <w:szCs w:val="20"/>
        </w:rPr>
        <w:br/>
        <w:t>do edukacji. Cele szczegółowe programu:</w:t>
      </w:r>
    </w:p>
    <w:p w:rsidR="00CA14AB" w:rsidRPr="00E00B35" w:rsidRDefault="00CA14AB" w:rsidP="00BC64AB">
      <w:pPr>
        <w:pStyle w:val="Akapitzlist"/>
        <w:numPr>
          <w:ilvl w:val="0"/>
          <w:numId w:val="225"/>
        </w:numPr>
        <w:spacing w:after="0" w:line="312" w:lineRule="auto"/>
        <w:rPr>
          <w:szCs w:val="20"/>
        </w:rPr>
      </w:pPr>
      <w:r w:rsidRPr="00E00B35">
        <w:rPr>
          <w:szCs w:val="20"/>
        </w:rPr>
        <w:t>przygotowanie beneficjentów programu z zaburzeniami ruchu i percepcji wzrokowej do pełnienia różnych ról społecznych poprzez umożliwienie im włączenia się do tworzącego się społeczeństwa informacyjnego,</w:t>
      </w:r>
    </w:p>
    <w:p w:rsidR="00CA14AB" w:rsidRPr="00E00B35" w:rsidRDefault="00CA14AB" w:rsidP="00BC64AB">
      <w:pPr>
        <w:pStyle w:val="Akapitzlist"/>
        <w:numPr>
          <w:ilvl w:val="0"/>
          <w:numId w:val="225"/>
        </w:numPr>
        <w:spacing w:after="0" w:line="312" w:lineRule="auto"/>
        <w:rPr>
          <w:szCs w:val="20"/>
        </w:rPr>
      </w:pPr>
      <w:r w:rsidRPr="00E00B35">
        <w:rPr>
          <w:szCs w:val="20"/>
        </w:rPr>
        <w:t>przygotowanie beneficjentów programu do aktywizacji zawodowej lub wsparcie ich</w:t>
      </w:r>
      <w:r w:rsidRPr="00E00B35">
        <w:rPr>
          <w:szCs w:val="20"/>
        </w:rPr>
        <w:br/>
        <w:t xml:space="preserve">w utrzymaniu zatrudnienia poprzez likwidację lub ograniczenie barier </w:t>
      </w:r>
      <w:r w:rsidRPr="00E00B35">
        <w:rPr>
          <w:szCs w:val="20"/>
        </w:rPr>
        <w:br/>
        <w:t>w poruszaniu się oraz barier transportowych,</w:t>
      </w:r>
    </w:p>
    <w:p w:rsidR="00CA14AB" w:rsidRPr="00E00B35" w:rsidRDefault="00CA14AB" w:rsidP="00BC64AB">
      <w:pPr>
        <w:pStyle w:val="Akapitzlist"/>
        <w:numPr>
          <w:ilvl w:val="0"/>
          <w:numId w:val="225"/>
        </w:numPr>
        <w:spacing w:after="0" w:line="312" w:lineRule="auto"/>
        <w:rPr>
          <w:szCs w:val="20"/>
        </w:rPr>
      </w:pPr>
      <w:r w:rsidRPr="00E00B35">
        <w:rPr>
          <w:szCs w:val="20"/>
        </w:rPr>
        <w:t>umożliwienie beneficjentom programu aktywizacji zawodowej poprzez zastosowanie elementów wspierających ich zatrudnienie,</w:t>
      </w:r>
    </w:p>
    <w:p w:rsidR="00CA14AB" w:rsidRPr="00E00B35" w:rsidRDefault="00CA14AB" w:rsidP="00BC64AB">
      <w:pPr>
        <w:pStyle w:val="Akapitzlist"/>
        <w:numPr>
          <w:ilvl w:val="0"/>
          <w:numId w:val="225"/>
        </w:numPr>
        <w:spacing w:after="0" w:line="312" w:lineRule="auto"/>
        <w:rPr>
          <w:szCs w:val="20"/>
        </w:rPr>
      </w:pPr>
      <w:r w:rsidRPr="00E00B35">
        <w:rPr>
          <w:szCs w:val="20"/>
        </w:rPr>
        <w:t>poprawa szans beneficjentów programu w rywalizacji o zatrudnienie na otwartym rynku pracy poprzez podwyższanie kwalifikacji,</w:t>
      </w:r>
    </w:p>
    <w:p w:rsidR="00CA14AB" w:rsidRPr="00E00B35" w:rsidRDefault="00CA14AB" w:rsidP="00BC64AB">
      <w:pPr>
        <w:pStyle w:val="Akapitzlist"/>
        <w:numPr>
          <w:ilvl w:val="0"/>
          <w:numId w:val="225"/>
        </w:numPr>
        <w:spacing w:after="0" w:line="312" w:lineRule="auto"/>
        <w:rPr>
          <w:szCs w:val="20"/>
        </w:rPr>
      </w:pPr>
      <w:r w:rsidRPr="00E00B35">
        <w:rPr>
          <w:szCs w:val="20"/>
        </w:rPr>
        <w:t>wzrost kompetencji osób zaangażowanych w proces rehabilitacji osób niepełnosprawnych, pracowników lub pracujących na rzecz jednostek samorządu terytorialnego lub organizacji pozarządowych.</w:t>
      </w:r>
    </w:p>
    <w:p w:rsidR="00CA14AB" w:rsidRPr="00E00B35" w:rsidRDefault="00CA14AB" w:rsidP="00E00B35">
      <w:pPr>
        <w:spacing w:after="0" w:line="312" w:lineRule="auto"/>
        <w:rPr>
          <w:szCs w:val="20"/>
        </w:rPr>
      </w:pPr>
      <w:r w:rsidRPr="00E00B35">
        <w:rPr>
          <w:szCs w:val="20"/>
        </w:rPr>
        <w:t>Program obejmuje następujące obszary wsparcia:</w:t>
      </w:r>
    </w:p>
    <w:p w:rsidR="00CA14AB" w:rsidRPr="00E00B35" w:rsidRDefault="00CA14AB" w:rsidP="00BC64AB">
      <w:pPr>
        <w:pStyle w:val="Akapitzlist"/>
        <w:numPr>
          <w:ilvl w:val="0"/>
          <w:numId w:val="226"/>
        </w:numPr>
        <w:spacing w:after="0" w:line="312" w:lineRule="auto"/>
        <w:rPr>
          <w:szCs w:val="20"/>
        </w:rPr>
      </w:pPr>
      <w:r w:rsidRPr="00E00B35">
        <w:rPr>
          <w:szCs w:val="20"/>
        </w:rPr>
        <w:t>Moduł I</w:t>
      </w:r>
    </w:p>
    <w:p w:rsidR="00CA14AB" w:rsidRPr="00E00B35" w:rsidRDefault="00CA14AB" w:rsidP="00BC64AB">
      <w:pPr>
        <w:pStyle w:val="Akapitzlist"/>
        <w:numPr>
          <w:ilvl w:val="0"/>
          <w:numId w:val="226"/>
        </w:numPr>
        <w:spacing w:after="0" w:line="312" w:lineRule="auto"/>
        <w:rPr>
          <w:szCs w:val="20"/>
        </w:rPr>
      </w:pPr>
      <w:r w:rsidRPr="00E00B35">
        <w:rPr>
          <w:szCs w:val="20"/>
        </w:rPr>
        <w:t>Obszar A - likwidacja bariery transportowej</w:t>
      </w:r>
    </w:p>
    <w:p w:rsidR="00CA14AB" w:rsidRPr="00E00B35" w:rsidRDefault="00CA14AB" w:rsidP="00BC64AB">
      <w:pPr>
        <w:pStyle w:val="Akapitzlist"/>
        <w:numPr>
          <w:ilvl w:val="0"/>
          <w:numId w:val="226"/>
        </w:numPr>
        <w:spacing w:after="0" w:line="312" w:lineRule="auto"/>
        <w:rPr>
          <w:szCs w:val="20"/>
        </w:rPr>
      </w:pPr>
      <w:r w:rsidRPr="00E00B35">
        <w:rPr>
          <w:szCs w:val="20"/>
        </w:rPr>
        <w:t>Obszar B - likwidacja barier w dostępie do uczestnictwa w społeczeństwie informacyjnym</w:t>
      </w:r>
    </w:p>
    <w:p w:rsidR="00CA14AB" w:rsidRPr="00E00B35" w:rsidRDefault="00CA14AB" w:rsidP="00BC64AB">
      <w:pPr>
        <w:pStyle w:val="Akapitzlist"/>
        <w:numPr>
          <w:ilvl w:val="0"/>
          <w:numId w:val="226"/>
        </w:numPr>
        <w:spacing w:after="0" w:line="312" w:lineRule="auto"/>
        <w:rPr>
          <w:szCs w:val="20"/>
        </w:rPr>
      </w:pPr>
      <w:r w:rsidRPr="00E00B35">
        <w:rPr>
          <w:szCs w:val="20"/>
        </w:rPr>
        <w:t>Obszar C - likwidacja barier w poruszaniu się</w:t>
      </w:r>
    </w:p>
    <w:p w:rsidR="00CA14AB" w:rsidRPr="00E00B35" w:rsidRDefault="00CA14AB" w:rsidP="00BC64AB">
      <w:pPr>
        <w:pStyle w:val="Akapitzlist"/>
        <w:numPr>
          <w:ilvl w:val="0"/>
          <w:numId w:val="226"/>
        </w:numPr>
        <w:spacing w:after="0" w:line="312" w:lineRule="auto"/>
        <w:rPr>
          <w:szCs w:val="20"/>
        </w:rPr>
      </w:pPr>
      <w:r w:rsidRPr="00E00B35">
        <w:rPr>
          <w:szCs w:val="20"/>
        </w:rPr>
        <w:t>Obszar D - pomoc w utrzymaniu aktywności zawodowej poprzez zapewnienie opieki dla osoby zależnej</w:t>
      </w:r>
    </w:p>
    <w:p w:rsidR="00CA14AB" w:rsidRPr="00E00B35" w:rsidRDefault="00CA14AB" w:rsidP="00BC64AB">
      <w:pPr>
        <w:pStyle w:val="Akapitzlist"/>
        <w:numPr>
          <w:ilvl w:val="0"/>
          <w:numId w:val="226"/>
        </w:numPr>
        <w:spacing w:after="0" w:line="312" w:lineRule="auto"/>
        <w:rPr>
          <w:szCs w:val="20"/>
        </w:rPr>
      </w:pPr>
      <w:r w:rsidRPr="00E00B35">
        <w:rPr>
          <w:szCs w:val="20"/>
        </w:rPr>
        <w:t>Moduł II – pomoc w uzyskaniu wykształcenia na poziomie wyższym</w:t>
      </w:r>
    </w:p>
    <w:p w:rsidR="00890136" w:rsidRPr="00E00B35" w:rsidRDefault="00890136" w:rsidP="00E00B35">
      <w:pPr>
        <w:pStyle w:val="Akapitzlist"/>
        <w:spacing w:after="0" w:line="312" w:lineRule="auto"/>
        <w:ind w:left="360"/>
        <w:rPr>
          <w:szCs w:val="20"/>
        </w:rPr>
      </w:pPr>
    </w:p>
    <w:p w:rsidR="00CA14AB" w:rsidRPr="00E00B35" w:rsidRDefault="00CA14AB" w:rsidP="00E00B35">
      <w:pPr>
        <w:spacing w:after="0" w:line="312" w:lineRule="auto"/>
        <w:rPr>
          <w:szCs w:val="20"/>
        </w:rPr>
      </w:pPr>
      <w:r w:rsidRPr="00E00B35">
        <w:rPr>
          <w:szCs w:val="20"/>
        </w:rPr>
        <w:t xml:space="preserve">Aktywny Samorząd w trakcie realizacji do 31.03.2021r. na dzień 31.12.2020r. </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4787"/>
        <w:gridCol w:w="2426"/>
        <w:gridCol w:w="1999"/>
      </w:tblGrid>
      <w:tr w:rsidR="00CA14AB" w:rsidRPr="00E00B35" w:rsidTr="00CA14AB">
        <w:trPr>
          <w:trHeight w:val="690"/>
        </w:trPr>
        <w:tc>
          <w:tcPr>
            <w:tcW w:w="2598" w:type="pct"/>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rFonts w:eastAsia="Arial Unicode MS"/>
                <w:szCs w:val="20"/>
              </w:rPr>
            </w:pPr>
            <w:bookmarkStart w:id="393" w:name="_Toc72352430"/>
            <w:bookmarkStart w:id="394" w:name="_Toc72352864"/>
            <w:bookmarkStart w:id="395" w:name="_Toc72357855"/>
            <w:bookmarkStart w:id="396" w:name="_Toc72358009"/>
            <w:r w:rsidRPr="00E00B35">
              <w:rPr>
                <w:szCs w:val="20"/>
              </w:rPr>
              <w:t>Aktywny Samorząd Moduł I</w:t>
            </w:r>
            <w:bookmarkEnd w:id="393"/>
            <w:bookmarkEnd w:id="394"/>
            <w:bookmarkEnd w:id="395"/>
            <w:bookmarkEnd w:id="396"/>
          </w:p>
        </w:tc>
        <w:tc>
          <w:tcPr>
            <w:tcW w:w="1317" w:type="pct"/>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Ilość umów</w:t>
            </w:r>
          </w:p>
        </w:tc>
        <w:tc>
          <w:tcPr>
            <w:tcW w:w="1085" w:type="pct"/>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Wykonanie</w:t>
            </w:r>
            <w:r w:rsidRPr="00E00B35">
              <w:rPr>
                <w:szCs w:val="20"/>
              </w:rPr>
              <w:br/>
              <w:t>[zł]</w:t>
            </w:r>
          </w:p>
        </w:tc>
      </w:tr>
      <w:tr w:rsidR="00CA14AB" w:rsidRPr="00E00B35" w:rsidTr="00CA14AB">
        <w:trPr>
          <w:trHeight w:val="657"/>
        </w:trPr>
        <w:tc>
          <w:tcPr>
            <w:tcW w:w="2598"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Obszar A 1, A4 Dofinansowanie zakupu/montażu oprzyrządowania do posiadanego samochodu</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12</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48 791</w:t>
            </w:r>
          </w:p>
        </w:tc>
      </w:tr>
      <w:tr w:rsidR="00CA14AB" w:rsidRPr="00E00B35" w:rsidTr="00CA14AB">
        <w:trPr>
          <w:trHeight w:val="657"/>
        </w:trPr>
        <w:tc>
          <w:tcPr>
            <w:tcW w:w="2598"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Obszar A 2, A3 Dofinansowanie uzyskania prawa jazdy kategorii B</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7 022</w:t>
            </w:r>
          </w:p>
        </w:tc>
      </w:tr>
      <w:tr w:rsidR="00CA14AB" w:rsidRPr="00E00B35" w:rsidTr="00CA14AB">
        <w:trPr>
          <w:trHeight w:val="657"/>
        </w:trPr>
        <w:tc>
          <w:tcPr>
            <w:tcW w:w="2598"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Obszar B 1, B 3, B 4 Dofinansowanie sprzętu elektronicznego lub jego elementów </w:t>
            </w:r>
            <w:r w:rsidRPr="00E00B35">
              <w:rPr>
                <w:szCs w:val="20"/>
              </w:rPr>
              <w:br/>
              <w:t>i oprogramowania</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108</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471 233</w:t>
            </w:r>
          </w:p>
        </w:tc>
      </w:tr>
      <w:tr w:rsidR="00CA14AB" w:rsidRPr="00E00B35" w:rsidTr="00CA14AB">
        <w:trPr>
          <w:trHeight w:val="657"/>
        </w:trPr>
        <w:tc>
          <w:tcPr>
            <w:tcW w:w="2598"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Obszar B 2 Dofinansowanie szkoleń </w:t>
            </w:r>
            <w:r w:rsidRPr="00E00B35">
              <w:rPr>
                <w:szCs w:val="20"/>
              </w:rPr>
              <w:br/>
              <w:t xml:space="preserve">w zakresie obsługi nabytego w ramach programu sprzętu elektronicznego </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2 000</w:t>
            </w:r>
          </w:p>
        </w:tc>
      </w:tr>
      <w:tr w:rsidR="00CA14AB" w:rsidRPr="00E00B35" w:rsidTr="00CA14AB">
        <w:trPr>
          <w:trHeight w:val="657"/>
        </w:trPr>
        <w:tc>
          <w:tcPr>
            <w:tcW w:w="2598"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 xml:space="preserve">Obszar B 5 Dofinansowanie do naprawy sprzętu elektronicznego </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0</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657"/>
        </w:trPr>
        <w:tc>
          <w:tcPr>
            <w:tcW w:w="2598"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Obszar C 1 Dofinansowanie zakupu wózka inwalidzkiego o napędzie elektrycznym</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              16</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262 744</w:t>
            </w:r>
          </w:p>
        </w:tc>
      </w:tr>
      <w:tr w:rsidR="00CA14AB" w:rsidRPr="00E00B35" w:rsidTr="00CA14AB">
        <w:trPr>
          <w:trHeight w:val="657"/>
        </w:trPr>
        <w:tc>
          <w:tcPr>
            <w:tcW w:w="2598"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Obszar C 2Dofinansowanie utrzymania sprawności technicznej posiadanego elektrycznego wózka inwalidzkiego</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37</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114 164</w:t>
            </w:r>
          </w:p>
        </w:tc>
      </w:tr>
      <w:tr w:rsidR="00CA14AB" w:rsidRPr="00E00B35" w:rsidTr="00CA14AB">
        <w:trPr>
          <w:trHeight w:val="651"/>
        </w:trPr>
        <w:tc>
          <w:tcPr>
            <w:tcW w:w="2598"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Obszar C3Dofinansowanie zakupu protezy kończyny na III poziomie jakości</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18</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282 250</w:t>
            </w:r>
          </w:p>
        </w:tc>
      </w:tr>
      <w:tr w:rsidR="00CA14AB" w:rsidRPr="00E00B35" w:rsidTr="00CA14AB">
        <w:trPr>
          <w:trHeight w:val="651"/>
        </w:trPr>
        <w:tc>
          <w:tcPr>
            <w:tcW w:w="2598"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Obszar C4Dofinansowanie do utrzymania sprawności technicznej protezy kończyny na III poziomie jakości</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8 400</w:t>
            </w:r>
          </w:p>
        </w:tc>
      </w:tr>
      <w:tr w:rsidR="00CA14AB" w:rsidRPr="00E00B35" w:rsidTr="00CA14AB">
        <w:trPr>
          <w:trHeight w:val="651"/>
        </w:trPr>
        <w:tc>
          <w:tcPr>
            <w:tcW w:w="2598"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Obszar C5Dofinansowanie do zakupu skutera inwalidzkiego o napędzie elektrycznym lub  oprzyrządowania elektrycznego do wózka ręcznego </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16</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103 630</w:t>
            </w:r>
          </w:p>
        </w:tc>
      </w:tr>
      <w:tr w:rsidR="00CA14AB" w:rsidRPr="00E00B35" w:rsidTr="00CA14AB">
        <w:trPr>
          <w:trHeight w:val="651"/>
        </w:trPr>
        <w:tc>
          <w:tcPr>
            <w:tcW w:w="2598"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Obszar D Pomoc w utrzymaniu aktywności zawodowej- dofinansowanie do przedszkoli</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5</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8 499</w:t>
            </w:r>
          </w:p>
        </w:tc>
      </w:tr>
      <w:tr w:rsidR="00CA14AB" w:rsidRPr="00E00B35" w:rsidTr="00CA14AB">
        <w:trPr>
          <w:trHeight w:val="651"/>
        </w:trPr>
        <w:tc>
          <w:tcPr>
            <w:tcW w:w="2598" w:type="pct"/>
            <w:tcBorders>
              <w:top w:val="single" w:sz="4" w:space="0" w:color="auto"/>
              <w:left w:val="single" w:sz="4" w:space="0" w:color="auto"/>
              <w:bottom w:val="single" w:sz="4" w:space="0" w:color="auto"/>
              <w:right w:val="single" w:sz="4" w:space="0" w:color="auto"/>
            </w:tcBorders>
            <w:shd w:val="clear" w:color="auto" w:fill="D0CECE"/>
            <w:vAlign w:val="center"/>
          </w:tcPr>
          <w:p w:rsidR="00CA14AB" w:rsidRPr="00E00B35" w:rsidRDefault="00CA14AB" w:rsidP="00E00B35">
            <w:pPr>
              <w:spacing w:after="0" w:line="312" w:lineRule="auto"/>
              <w:rPr>
                <w:szCs w:val="20"/>
              </w:rPr>
            </w:pPr>
            <w:r w:rsidRPr="00E00B35">
              <w:rPr>
                <w:szCs w:val="20"/>
              </w:rPr>
              <w:t>Moduł II Dofinansowanie kosztów nauki na poziomie wyższym w semestrze letnim i częściowo zimowym 2020/2021*</w:t>
            </w:r>
          </w:p>
        </w:tc>
        <w:tc>
          <w:tcPr>
            <w:tcW w:w="1317"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169</w:t>
            </w:r>
          </w:p>
        </w:tc>
        <w:tc>
          <w:tcPr>
            <w:tcW w:w="1085" w:type="pct"/>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488 502</w:t>
            </w:r>
          </w:p>
        </w:tc>
      </w:tr>
    </w:tbl>
    <w:p w:rsidR="00CA14AB" w:rsidRPr="00E00B35" w:rsidRDefault="00CA14AB" w:rsidP="00E00B35">
      <w:pPr>
        <w:spacing w:after="0" w:line="312" w:lineRule="auto"/>
        <w:rPr>
          <w:rFonts w:eastAsia="Calibri"/>
          <w:szCs w:val="20"/>
        </w:rPr>
      </w:pPr>
      <w:r w:rsidRPr="00E00B35">
        <w:rPr>
          <w:rFonts w:eastAsia="Calibri"/>
          <w:szCs w:val="20"/>
        </w:rPr>
        <w:t>*Realizacja semestru zimowego 2020/2021 w roku 2020.</w:t>
      </w:r>
    </w:p>
    <w:p w:rsidR="00890136" w:rsidRPr="00E00B35" w:rsidRDefault="00890136" w:rsidP="00E00B35">
      <w:pPr>
        <w:spacing w:after="0" w:line="312" w:lineRule="auto"/>
        <w:rPr>
          <w:rFonts w:eastAsia="Calibri"/>
          <w:szCs w:val="20"/>
        </w:rPr>
      </w:pPr>
    </w:p>
    <w:p w:rsidR="00CA14AB" w:rsidRPr="00E00B35" w:rsidRDefault="00CA14AB" w:rsidP="00E00B35">
      <w:pPr>
        <w:spacing w:after="0" w:line="312" w:lineRule="auto"/>
        <w:rPr>
          <w:szCs w:val="20"/>
        </w:rPr>
      </w:pPr>
      <w:r w:rsidRPr="00E00B35">
        <w:rPr>
          <w:szCs w:val="20"/>
        </w:rPr>
        <w:t>Działalności na rzecz osób niepełnosprawnościami w 2020r. – zadania zlecane organizacjom pozarządowym, finansowane ze środków PFRON.</w:t>
      </w:r>
    </w:p>
    <w:p w:rsidR="00CA14AB" w:rsidRPr="00E00B35" w:rsidRDefault="00CA14AB" w:rsidP="00E00B35">
      <w:pPr>
        <w:spacing w:after="0" w:line="312" w:lineRule="auto"/>
        <w:rPr>
          <w:rFonts w:eastAsia="Calibri"/>
          <w:szCs w:val="20"/>
        </w:rPr>
      </w:pPr>
      <w:r w:rsidRPr="00E00B35">
        <w:rPr>
          <w:rFonts w:eastAsia="Calibri"/>
          <w:szCs w:val="20"/>
        </w:rPr>
        <w:t>W 2020</w:t>
      </w:r>
      <w:r w:rsidR="0082271B" w:rsidRPr="00E00B35">
        <w:rPr>
          <w:rFonts w:eastAsia="Calibri"/>
          <w:szCs w:val="20"/>
        </w:rPr>
        <w:t xml:space="preserve"> </w:t>
      </w:r>
      <w:r w:rsidRPr="00E00B35">
        <w:rPr>
          <w:rFonts w:eastAsia="Calibri"/>
          <w:szCs w:val="20"/>
        </w:rPr>
        <w:t>r. ogłoszono 2 edycje otwartego konkursu  ofert na realizację zadania publicznego pn.: „REHABILITACJA SPOŁECZNA OSÓB NIEPEŁNOSPRAWNYCH ZLECANA ZE ŚRODKÓW PFRON”. W wyniku rozstrzygnięcia ww. konkursów ofert zawarto z organizacjami pozarządowymi 28 umów dotacyjnych na realizację zadań publicznych.</w:t>
      </w:r>
    </w:p>
    <w:p w:rsidR="00CA14AB" w:rsidRPr="00E00B35" w:rsidRDefault="00CA14AB" w:rsidP="00E00B35">
      <w:pPr>
        <w:spacing w:after="0" w:line="312" w:lineRule="auto"/>
        <w:rPr>
          <w:rFonts w:eastAsia="Calibri"/>
          <w:szCs w:val="20"/>
        </w:rPr>
      </w:pPr>
      <w:r w:rsidRPr="00E00B35">
        <w:rPr>
          <w:rFonts w:eastAsia="Calibri"/>
          <w:szCs w:val="20"/>
        </w:rPr>
        <w:t xml:space="preserve">Ponadto w okresie sprawozdawczym, na podstawie art. 19 a ustawy z dnia 24 kwietnia 2003r. o działalności pożytku publicznego i o wolontariacie  (t.j. Dz. U. z 2020r. poz. 1057 z późn. zm.) zawarto 2 umowy dotacyjne z pominięciem otwartego konkursu ofert. </w:t>
      </w:r>
    </w:p>
    <w:p w:rsidR="00CA14AB" w:rsidRPr="00E00B35" w:rsidRDefault="00CA14AB" w:rsidP="00E00B35">
      <w:pPr>
        <w:spacing w:after="0" w:line="312" w:lineRule="auto"/>
        <w:rPr>
          <w:rFonts w:eastAsia="Calibri"/>
          <w:szCs w:val="20"/>
        </w:rPr>
      </w:pPr>
      <w:r w:rsidRPr="00E00B35">
        <w:rPr>
          <w:rFonts w:eastAsia="Calibri"/>
          <w:szCs w:val="20"/>
        </w:rPr>
        <w:t xml:space="preserve">Łącznie zadania zlecone realizowane były przez 25 podmiotów. Z oferty skorzystało </w:t>
      </w:r>
      <w:r w:rsidRPr="00E00B35">
        <w:rPr>
          <w:rFonts w:eastAsia="Calibri"/>
          <w:szCs w:val="20"/>
        </w:rPr>
        <w:br/>
        <w:t xml:space="preserve">5 366 bezpośrednich beneficjentów (oraz użytkownicy wyszukiwarki </w:t>
      </w:r>
      <w:hyperlink r:id="rId131" w:history="1">
        <w:r w:rsidRPr="00E00B35">
          <w:rPr>
            <w:rFonts w:eastAsia="Calibri"/>
            <w:szCs w:val="20"/>
          </w:rPr>
          <w:t>www.niepełnosprawnik.pl</w:t>
        </w:r>
      </w:hyperlink>
      <w:r w:rsidRPr="00E00B35">
        <w:rPr>
          <w:rFonts w:eastAsia="Calibri"/>
          <w:szCs w:val="20"/>
        </w:rPr>
        <w:t xml:space="preserve"> 32 534, w tym z Wrocławia 6 341). Ponadto 4 zawarte umowy skierowane były do szerokiego grona odbiorców, w tym do osób korzystających </w:t>
      </w:r>
      <w:r w:rsidRPr="00E00B35">
        <w:rPr>
          <w:rFonts w:eastAsia="Calibri"/>
          <w:szCs w:val="20"/>
        </w:rPr>
        <w:br/>
        <w:t xml:space="preserve">z zasobów internetowych i mediów społecznościowych, widzów tv naziemnej i kablowej, wszystkich mieszkańców  Wrocławia i innych użytkowników przestrzeni miejskiej, turystów oraz najmłodszej grupy odbiorców dzieci przedszkolnych i szkolnych. </w:t>
      </w:r>
    </w:p>
    <w:p w:rsidR="00CA14AB" w:rsidRPr="00E00B35" w:rsidRDefault="00CA14AB" w:rsidP="00E00B35">
      <w:pPr>
        <w:spacing w:after="0" w:line="312" w:lineRule="auto"/>
        <w:rPr>
          <w:rFonts w:eastAsia="Calibri"/>
          <w:szCs w:val="20"/>
        </w:rPr>
      </w:pPr>
      <w:r w:rsidRPr="00E00B35">
        <w:rPr>
          <w:rFonts w:eastAsia="Calibri"/>
          <w:szCs w:val="20"/>
        </w:rPr>
        <w:t>W ramach zadań realizowane były następujące działania:</w:t>
      </w:r>
    </w:p>
    <w:p w:rsidR="00CA14AB" w:rsidRPr="00E00B35" w:rsidRDefault="00CA14AB" w:rsidP="00BC64AB">
      <w:pPr>
        <w:pStyle w:val="Akapitzlist"/>
        <w:numPr>
          <w:ilvl w:val="0"/>
          <w:numId w:val="227"/>
        </w:numPr>
        <w:spacing w:after="0" w:line="312" w:lineRule="auto"/>
        <w:rPr>
          <w:rFonts w:eastAsia="Calibri"/>
          <w:szCs w:val="20"/>
        </w:rPr>
      </w:pPr>
      <w:r w:rsidRPr="00E00B35">
        <w:rPr>
          <w:rFonts w:eastAsia="Calibri"/>
          <w:szCs w:val="20"/>
        </w:rPr>
        <w:t xml:space="preserve">Organizowanie i prowadzenie szkoleń, kursów, warsztatów, grup środowiskowego wsparcia oraz zespołów aktywności społecznej dla osób niepełnosprawnych aktywizujących zawodowo i społecznie te osoby – realizacji tego działania dotyczyła 8 </w:t>
      </w:r>
      <w:r w:rsidRPr="00E00B35">
        <w:rPr>
          <w:rFonts w:eastAsia="Calibri"/>
          <w:szCs w:val="20"/>
        </w:rPr>
        <w:lastRenderedPageBreak/>
        <w:t xml:space="preserve">zawartych umów dotacyjnych, w tym 2 umowy dotacyjne </w:t>
      </w:r>
      <w:r w:rsidRPr="00E00B35">
        <w:rPr>
          <w:rFonts w:eastAsia="Calibri"/>
          <w:szCs w:val="20"/>
        </w:rPr>
        <w:br/>
        <w:t>z pominięciem otwartego konkursu ofert. Z oferty skorzystało ok.</w:t>
      </w:r>
      <w:r w:rsidR="0082271B" w:rsidRPr="00E00B35">
        <w:rPr>
          <w:rFonts w:eastAsia="Calibri"/>
          <w:szCs w:val="20"/>
        </w:rPr>
        <w:t xml:space="preserve"> 932 beneficjentów ostatecznych.</w:t>
      </w:r>
    </w:p>
    <w:p w:rsidR="00CA14AB" w:rsidRPr="00E00B35" w:rsidRDefault="00CA14AB" w:rsidP="00BC64AB">
      <w:pPr>
        <w:pStyle w:val="Akapitzlist"/>
        <w:numPr>
          <w:ilvl w:val="0"/>
          <w:numId w:val="227"/>
        </w:numPr>
        <w:spacing w:after="0" w:line="312" w:lineRule="auto"/>
        <w:rPr>
          <w:rFonts w:eastAsia="Calibri"/>
          <w:szCs w:val="20"/>
        </w:rPr>
      </w:pPr>
      <w:r w:rsidRPr="00E00B35">
        <w:rPr>
          <w:rFonts w:eastAsia="Calibri"/>
          <w:szCs w:val="20"/>
        </w:rPr>
        <w:t xml:space="preserve">Organizowanie i prowadzenie szkoleń, kursów, warsztatów dla członków rodzin osób niepełnosprawnych oraz opiekunów, kadry i wolontariuszy bezpośrednio zaangażowanych w proces rehabilitacji społecznej osób niepełnosprawnych, </w:t>
      </w:r>
      <w:r w:rsidRPr="00E00B35">
        <w:rPr>
          <w:rFonts w:eastAsia="Calibri"/>
          <w:szCs w:val="20"/>
        </w:rPr>
        <w:br/>
        <w:t>ze szczególnym uwzględnieniem zagadnień dotyczących procesu integracji osób niepełnosprawnych w najbliższym środowisku i społeczności lokalnej, zwiększenia ich aktywności życiowej i zaradności osobistej oraz niezależności ekonomicznej, podnoszenia umiejętności pracy z osobami niepełnosprawnymi w tym sprawowania nad nimi opieki i udzielania pomocy w procesie rehabilitacji - realizacja tego działania dotyczyła 1 zawartej umowy dotacyjnej, z oferty skorzystało 20 beneficjentów.</w:t>
      </w:r>
    </w:p>
    <w:p w:rsidR="00CA14AB" w:rsidRPr="00E00B35" w:rsidRDefault="00CA14AB" w:rsidP="00BC64AB">
      <w:pPr>
        <w:pStyle w:val="Akapitzlist"/>
        <w:numPr>
          <w:ilvl w:val="0"/>
          <w:numId w:val="227"/>
        </w:numPr>
        <w:spacing w:after="0" w:line="312" w:lineRule="auto"/>
        <w:rPr>
          <w:rFonts w:eastAsia="Calibri"/>
          <w:szCs w:val="20"/>
        </w:rPr>
      </w:pPr>
      <w:r w:rsidRPr="00E00B35">
        <w:rPr>
          <w:rFonts w:eastAsia="Calibri"/>
          <w:szCs w:val="20"/>
        </w:rPr>
        <w:t xml:space="preserve">Prowadzenie poradnictwa psychologicznego, społeczno-prawnego oraz udzielanie informacji na temat przysługujących uprawnień, dostępnych usług, sprzętu rehabilitacyjnego i pomocy technicznej dla osób niepełnosprawnych - realizacja tego działania dotyczyła 4 zawartych umów dotacyjnych, z oferty skorzystało </w:t>
      </w:r>
      <w:r w:rsidRPr="00E00B35">
        <w:rPr>
          <w:rFonts w:eastAsia="Calibri"/>
          <w:szCs w:val="20"/>
        </w:rPr>
        <w:br/>
        <w:t>ok.</w:t>
      </w:r>
      <w:r w:rsidR="0082271B" w:rsidRPr="00E00B35">
        <w:rPr>
          <w:rFonts w:eastAsia="Calibri"/>
          <w:szCs w:val="20"/>
        </w:rPr>
        <w:t xml:space="preserve"> 528 beneficjentów ostatecznych.</w:t>
      </w:r>
    </w:p>
    <w:p w:rsidR="00CA14AB" w:rsidRPr="00E00B35" w:rsidRDefault="00CA14AB" w:rsidP="00BC64AB">
      <w:pPr>
        <w:pStyle w:val="Akapitzlist"/>
        <w:numPr>
          <w:ilvl w:val="0"/>
          <w:numId w:val="227"/>
        </w:numPr>
        <w:spacing w:after="0" w:line="312" w:lineRule="auto"/>
        <w:rPr>
          <w:rFonts w:eastAsia="Calibri"/>
          <w:szCs w:val="20"/>
        </w:rPr>
      </w:pPr>
      <w:r w:rsidRPr="00E00B35">
        <w:rPr>
          <w:rFonts w:eastAsia="Calibri"/>
          <w:szCs w:val="20"/>
        </w:rPr>
        <w:t>Prowadzenie grupowych i indywidualnych zajęć, które:</w:t>
      </w:r>
    </w:p>
    <w:p w:rsidR="00CA14AB" w:rsidRPr="00E00B35" w:rsidRDefault="00CA14AB" w:rsidP="00BC64AB">
      <w:pPr>
        <w:pStyle w:val="Akapitzlist"/>
        <w:numPr>
          <w:ilvl w:val="0"/>
          <w:numId w:val="228"/>
        </w:numPr>
        <w:spacing w:after="0" w:line="312" w:lineRule="auto"/>
        <w:rPr>
          <w:rFonts w:eastAsia="Calibri"/>
          <w:szCs w:val="20"/>
        </w:rPr>
      </w:pPr>
      <w:r w:rsidRPr="00E00B35">
        <w:rPr>
          <w:rFonts w:eastAsia="Calibri"/>
          <w:szCs w:val="20"/>
        </w:rPr>
        <w:t>mają na celu nabywanie, rozwijanie i podtrzymywanie umiejętności niezbędnych do samodzielnego funkcjonowania osób niepełnosprawnych,</w:t>
      </w:r>
    </w:p>
    <w:p w:rsidR="00CA14AB" w:rsidRPr="00E00B35" w:rsidRDefault="00CA14AB" w:rsidP="00BC64AB">
      <w:pPr>
        <w:pStyle w:val="Akapitzlist"/>
        <w:numPr>
          <w:ilvl w:val="0"/>
          <w:numId w:val="228"/>
        </w:numPr>
        <w:spacing w:after="0" w:line="312" w:lineRule="auto"/>
        <w:rPr>
          <w:rFonts w:eastAsia="Calibri"/>
          <w:szCs w:val="20"/>
        </w:rPr>
      </w:pPr>
      <w:r w:rsidRPr="00E00B35">
        <w:rPr>
          <w:rFonts w:eastAsia="Calibri"/>
          <w:szCs w:val="20"/>
        </w:rPr>
        <w:t>rozwijają umiejętności sprawnego komunikowania się z otoczeniem osób z uszkodzeniami słuchu, mowy, z autyzmem i z niepełnosprawnością intelektualną,</w:t>
      </w:r>
    </w:p>
    <w:p w:rsidR="00CA14AB" w:rsidRPr="00E00B35" w:rsidRDefault="00CA14AB" w:rsidP="00BC64AB">
      <w:pPr>
        <w:pStyle w:val="Akapitzlist"/>
        <w:numPr>
          <w:ilvl w:val="0"/>
          <w:numId w:val="228"/>
        </w:numPr>
        <w:spacing w:after="0" w:line="312" w:lineRule="auto"/>
        <w:rPr>
          <w:rFonts w:eastAsia="Calibri"/>
          <w:szCs w:val="20"/>
        </w:rPr>
      </w:pPr>
      <w:r w:rsidRPr="00E00B35">
        <w:rPr>
          <w:rFonts w:eastAsia="Calibri"/>
          <w:szCs w:val="20"/>
        </w:rPr>
        <w:t>usprawniają i wspierają funkcjonowanie osób z autyzmem i z niepełnosprawnością intelektualną w różnych rolach społecznych i w różnych środowiskach - realizacja tego działania dotyczyła  10 zawartych  umów dotacyjnych, z oferty skorzystało ok.</w:t>
      </w:r>
      <w:r w:rsidR="0082271B" w:rsidRPr="00E00B35">
        <w:rPr>
          <w:rFonts w:eastAsia="Calibri"/>
          <w:szCs w:val="20"/>
        </w:rPr>
        <w:t xml:space="preserve"> 200 beneficjentów ostatecznych.</w:t>
      </w:r>
    </w:p>
    <w:p w:rsidR="00CA14AB" w:rsidRPr="00E00B35" w:rsidRDefault="00CA14AB" w:rsidP="00BC64AB">
      <w:pPr>
        <w:pStyle w:val="Akapitzlist"/>
        <w:numPr>
          <w:ilvl w:val="0"/>
          <w:numId w:val="227"/>
        </w:numPr>
        <w:spacing w:after="0" w:line="312" w:lineRule="auto"/>
        <w:rPr>
          <w:rFonts w:eastAsia="Calibri"/>
          <w:szCs w:val="20"/>
        </w:rPr>
      </w:pPr>
      <w:r w:rsidRPr="00E00B35">
        <w:rPr>
          <w:rFonts w:eastAsia="Calibri"/>
          <w:szCs w:val="20"/>
        </w:rPr>
        <w:t>Organizowanie lokalnych, regionalnych  i ogólnopolskich imprez kulturalnych, sportowych turystycznych i rekreacyjnych dla osób niepełnosprawnych wspierających ich aktywność w tych dziedzinach – realizacja tego działania dotyczyła 1 umowy dotacyjnej, z oferty skorzystało ok. 7</w:t>
      </w:r>
      <w:r w:rsidR="0082271B" w:rsidRPr="00E00B35">
        <w:rPr>
          <w:rFonts w:eastAsia="Calibri"/>
          <w:szCs w:val="20"/>
        </w:rPr>
        <w:t>6 beneficjentów  ostatecznych.</w:t>
      </w:r>
    </w:p>
    <w:p w:rsidR="00CA14AB" w:rsidRPr="00E00B35" w:rsidRDefault="00CA14AB" w:rsidP="00BC64AB">
      <w:pPr>
        <w:pStyle w:val="Akapitzlist"/>
        <w:numPr>
          <w:ilvl w:val="0"/>
          <w:numId w:val="227"/>
        </w:numPr>
        <w:spacing w:after="0" w:line="312" w:lineRule="auto"/>
        <w:rPr>
          <w:rFonts w:eastAsia="Calibri"/>
          <w:szCs w:val="20"/>
        </w:rPr>
      </w:pPr>
      <w:r w:rsidRPr="00E00B35">
        <w:rPr>
          <w:rFonts w:eastAsia="Calibri"/>
          <w:szCs w:val="20"/>
        </w:rPr>
        <w:t>Promowanie aktywności osób niepełnosprawnych w różnych dziedzinach życia społecznego i zawodowego - realizacja tego działania dotyczyła 1 umowy dotacyjnej, z oferty skorzystało  grono odbiorców stron  internetowych i mediów społecznoś</w:t>
      </w:r>
      <w:r w:rsidR="0082271B" w:rsidRPr="00E00B35">
        <w:rPr>
          <w:rFonts w:eastAsia="Calibri"/>
          <w:szCs w:val="20"/>
        </w:rPr>
        <w:t>ciowych w liczbie około 120 000.</w:t>
      </w:r>
    </w:p>
    <w:p w:rsidR="00CA14AB" w:rsidRPr="00E00B35" w:rsidRDefault="00CA14AB" w:rsidP="00BC64AB">
      <w:pPr>
        <w:pStyle w:val="Akapitzlist"/>
        <w:numPr>
          <w:ilvl w:val="0"/>
          <w:numId w:val="227"/>
        </w:numPr>
        <w:spacing w:after="0" w:line="312" w:lineRule="auto"/>
        <w:rPr>
          <w:rFonts w:eastAsia="Calibri"/>
          <w:szCs w:val="20"/>
        </w:rPr>
      </w:pPr>
      <w:r w:rsidRPr="00E00B35">
        <w:rPr>
          <w:rFonts w:eastAsia="Calibri"/>
          <w:szCs w:val="20"/>
        </w:rPr>
        <w:t>Prowadzenie kampanii informacyjnych na rzecz integracji osób niepełnosprawnych                        i przeciwdziałaniu ich dyskryminacji – realizacja tego działania dotyczyła 4 umów dotacyjnych, z oferty skorzystało ok. 3 610 beneficjentów ostatecznych oraz ponad to trzy zadania były skierowane do szerokiego grona odbiorców m.in. odbiorcy stron  internetowych i mediów społecznościowych, widzowie telewizji naziemnej i kablowej, użytkownicy przestrzeni miejskiej Wrocławia oraz do grupy najmłodszej tj. dz</w:t>
      </w:r>
      <w:r w:rsidR="0082271B" w:rsidRPr="00E00B35">
        <w:rPr>
          <w:rFonts w:eastAsia="Calibri"/>
          <w:szCs w:val="20"/>
        </w:rPr>
        <w:t>ieci przedszkolnych i szkolnych.</w:t>
      </w:r>
    </w:p>
    <w:p w:rsidR="00CA14AB" w:rsidRPr="00E00B35" w:rsidRDefault="00CA14AB" w:rsidP="00BC64AB">
      <w:pPr>
        <w:pStyle w:val="Akapitzlist"/>
        <w:numPr>
          <w:ilvl w:val="0"/>
          <w:numId w:val="227"/>
        </w:numPr>
        <w:spacing w:after="0" w:line="312" w:lineRule="auto"/>
        <w:rPr>
          <w:rFonts w:eastAsia="Calibri"/>
          <w:szCs w:val="20"/>
        </w:rPr>
      </w:pPr>
      <w:r w:rsidRPr="00E00B35">
        <w:rPr>
          <w:rFonts w:eastAsia="Calibri"/>
          <w:szCs w:val="20"/>
        </w:rPr>
        <w:t xml:space="preserve">Świadczenie usług wspierających, które mają na celu umożliwienie lub wspomaganie niezależnego życia osób niepełnosprawnych, w szczególności usług asystencji </w:t>
      </w:r>
      <w:r w:rsidRPr="00E00B35">
        <w:rPr>
          <w:rFonts w:eastAsia="Calibri"/>
          <w:szCs w:val="20"/>
        </w:rPr>
        <w:lastRenderedPageBreak/>
        <w:t xml:space="preserve">osobistej - realizacja tego działania dotyczyła 1 zawartej umowy dotacyjnej, w wyszukiwarce </w:t>
      </w:r>
      <w:hyperlink r:id="rId132" w:history="1">
        <w:r w:rsidRPr="00E00B35">
          <w:rPr>
            <w:rFonts w:eastAsia="Calibri"/>
            <w:szCs w:val="20"/>
          </w:rPr>
          <w:t>www.niepełnosprawnik.pl</w:t>
        </w:r>
      </w:hyperlink>
      <w:r w:rsidRPr="00E00B35">
        <w:rPr>
          <w:rFonts w:eastAsia="Calibri"/>
          <w:szCs w:val="20"/>
        </w:rPr>
        <w:t xml:space="preserve"> zostało upublicznione 480 audytów miejsc użyteczności publicznej, wyszukiwarkę odwiedziło 32 534 użytkowników, z Wrocławia 6 341 użytkowników , wygenerowali 45 116 odsłon, w tym 7 042 to od</w:t>
      </w:r>
      <w:r w:rsidR="0082271B" w:rsidRPr="00E00B35">
        <w:rPr>
          <w:rFonts w:eastAsia="Calibri"/>
          <w:szCs w:val="20"/>
        </w:rPr>
        <w:t>słony użytkowników z Wrocławia.</w:t>
      </w:r>
    </w:p>
    <w:p w:rsidR="00CA14AB" w:rsidRPr="00E00B35" w:rsidRDefault="00CA14AB" w:rsidP="00E00B35">
      <w:pPr>
        <w:spacing w:after="0" w:line="312" w:lineRule="auto"/>
        <w:rPr>
          <w:rFonts w:eastAsia="Calibri"/>
          <w:szCs w:val="20"/>
        </w:rPr>
      </w:pPr>
      <w:r w:rsidRPr="00E00B35">
        <w:rPr>
          <w:rFonts w:eastAsia="Calibri"/>
          <w:szCs w:val="20"/>
        </w:rPr>
        <w:t>W dniu 28.07.2020</w:t>
      </w:r>
      <w:r w:rsidR="0082271B" w:rsidRPr="00E00B35">
        <w:rPr>
          <w:rFonts w:eastAsia="Calibri"/>
          <w:szCs w:val="20"/>
        </w:rPr>
        <w:t xml:space="preserve"> </w:t>
      </w:r>
      <w:r w:rsidRPr="00E00B35">
        <w:rPr>
          <w:rFonts w:eastAsia="Calibri"/>
          <w:szCs w:val="20"/>
        </w:rPr>
        <w:t>r. w Miejskim Ośrodku Pomocy Społecznej we Wrocławiu                        ul. Strzegomska 6 odbyło się spotkanie informacyjne z organizacjami pozarządowymi, które w 2020r. w drodze konkursu pn. REHABILITACJA SPOŁECZNA OSÓB NIEPEŁNOSPRAWNYCH ZLECANA ZE ŚRODKÓW PFRON –I EDYCJA pozyskały dotację na realizację zadań. Celem spotkania było zapoznanie się z ofertą organizacji, wymiana doświadczeń oraz propozycje współpracy między jednostkami. W spotkaniu uczestniczyli przedstawiciele 16 organizacji, które pozyskały dofinansowanie oraz 2 organizacje, które uczestniczyły w charakterze słuchaczy. Przedstawiciel Stowarzyszenia Drogowe Ochotnicze Pogotowie Ratunkowe przedstawił wytyczne oraz ofertę pomocy przy organizowaniu spotkań i imprez grupowych przez organizacje pozarządowe w czasie pandemii. Spotkanie zorganizowano z zachowaniem środków bezpieczeństwa i obostrzeń przewidzianych w związku z pandemią COVID-19.</w:t>
      </w:r>
    </w:p>
    <w:p w:rsidR="00CA14AB" w:rsidRPr="00E00B35" w:rsidRDefault="00CA14AB" w:rsidP="00E00B35">
      <w:pPr>
        <w:spacing w:after="0" w:line="312" w:lineRule="auto"/>
        <w:rPr>
          <w:rFonts w:eastAsia="Calibri"/>
          <w:szCs w:val="20"/>
        </w:rPr>
      </w:pPr>
      <w:r w:rsidRPr="00E00B35">
        <w:rPr>
          <w:rFonts w:eastAsia="Calibri"/>
          <w:szCs w:val="20"/>
        </w:rPr>
        <w:t xml:space="preserve">Organizacje pozarządowe </w:t>
      </w:r>
      <w:r w:rsidRPr="00E00B35">
        <w:rPr>
          <w:szCs w:val="20"/>
        </w:rPr>
        <w:t xml:space="preserve"> </w:t>
      </w:r>
      <w:r w:rsidRPr="00E00B35">
        <w:rPr>
          <w:rFonts w:eastAsia="Calibri"/>
          <w:szCs w:val="20"/>
        </w:rPr>
        <w:t>realizujące zadania w ramach umów dotacyjnych uwzględniały aktualną sytuację epidemiologiczną związaną z pandemią COVID-19, stosowały wymagane środki bezpieczeństwa i obostrzenia.</w:t>
      </w:r>
    </w:p>
    <w:p w:rsidR="00890136" w:rsidRPr="00E00B35" w:rsidRDefault="00890136" w:rsidP="00E00B35">
      <w:pPr>
        <w:spacing w:after="0" w:line="312" w:lineRule="auto"/>
        <w:rPr>
          <w:rFonts w:eastAsia="Calibri"/>
          <w:szCs w:val="20"/>
        </w:rPr>
      </w:pPr>
    </w:p>
    <w:p w:rsidR="00CA14AB" w:rsidRPr="00E00B35" w:rsidRDefault="00CA14AB" w:rsidP="00E00B35">
      <w:pPr>
        <w:pStyle w:val="Nagwek4"/>
        <w:spacing w:before="0" w:after="0" w:line="312" w:lineRule="auto"/>
        <w:rPr>
          <w:sz w:val="20"/>
          <w:szCs w:val="20"/>
        </w:rPr>
      </w:pPr>
      <w:bookmarkStart w:id="397" w:name="_Toc72352431"/>
      <w:bookmarkStart w:id="398" w:name="_Toc72352865"/>
      <w:bookmarkEnd w:id="373"/>
      <w:bookmarkEnd w:id="374"/>
      <w:r w:rsidRPr="00E00B35">
        <w:rPr>
          <w:sz w:val="20"/>
          <w:szCs w:val="20"/>
        </w:rPr>
        <w:t>PRACA SOCJALNA I PORADNICTWO SPECJALISTYCZNE</w:t>
      </w:r>
      <w:bookmarkEnd w:id="397"/>
      <w:bookmarkEnd w:id="398"/>
    </w:p>
    <w:p w:rsidR="00CA14AB" w:rsidRPr="00E00B35" w:rsidRDefault="00CA14AB" w:rsidP="00E00B35">
      <w:pPr>
        <w:spacing w:after="0" w:line="312" w:lineRule="auto"/>
        <w:rPr>
          <w:szCs w:val="20"/>
        </w:rPr>
      </w:pPr>
      <w:r w:rsidRPr="00E00B35">
        <w:rPr>
          <w:szCs w:val="20"/>
        </w:rPr>
        <w:t xml:space="preserve">Pracą socjalną objęto 2 560 osób i rodzin. Interweniowano w 133 sprawach kryzysowych. Poradnictwo specjalistyczne: prawne, psychologiczne, pedagogiczne, psychiatryczne, specjalistów pracy zespołowej oraz poradnictwo specjalistyczne na rzecz osób niesłyszących i doradztwo w ramach aktywizacji społeczno - zawodowej prowadzono dla 2 035 osób i rodzin. </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Praca socjalna i poradnictwo specjalistyczne w latach 2016-2020</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8"/>
        <w:gridCol w:w="1507"/>
        <w:gridCol w:w="1506"/>
        <w:gridCol w:w="1506"/>
        <w:gridCol w:w="1506"/>
        <w:gridCol w:w="1506"/>
      </w:tblGrid>
      <w:tr w:rsidR="00CA14AB" w:rsidRPr="00E00B35" w:rsidTr="00CA14AB">
        <w:tc>
          <w:tcPr>
            <w:tcW w:w="950" w:type="pct"/>
            <w:shd w:val="clear" w:color="auto" w:fill="D9D9D9"/>
            <w:vAlign w:val="center"/>
          </w:tcPr>
          <w:p w:rsidR="00CA14AB" w:rsidRPr="00E00B35" w:rsidRDefault="00CA14AB" w:rsidP="00E00B35">
            <w:pPr>
              <w:spacing w:after="0" w:line="312" w:lineRule="auto"/>
              <w:rPr>
                <w:szCs w:val="20"/>
              </w:rPr>
            </w:pPr>
            <w:r w:rsidRPr="00E00B35">
              <w:rPr>
                <w:szCs w:val="20"/>
              </w:rPr>
              <w:t>Pomoc usługowa</w:t>
            </w:r>
          </w:p>
        </w:tc>
        <w:tc>
          <w:tcPr>
            <w:tcW w:w="810" w:type="pct"/>
            <w:shd w:val="clear" w:color="auto" w:fill="D9D9D9"/>
          </w:tcPr>
          <w:p w:rsidR="00CA14AB" w:rsidRPr="00E00B35" w:rsidRDefault="00CA14AB" w:rsidP="00E00B35">
            <w:pPr>
              <w:spacing w:after="0" w:line="312" w:lineRule="auto"/>
              <w:rPr>
                <w:szCs w:val="20"/>
              </w:rPr>
            </w:pPr>
            <w:r w:rsidRPr="00E00B35">
              <w:rPr>
                <w:szCs w:val="20"/>
              </w:rPr>
              <w:t>2016</w:t>
            </w:r>
          </w:p>
        </w:tc>
        <w:tc>
          <w:tcPr>
            <w:tcW w:w="810" w:type="pct"/>
            <w:shd w:val="clear" w:color="auto" w:fill="D9D9D9"/>
            <w:vAlign w:val="bottom"/>
          </w:tcPr>
          <w:p w:rsidR="00CA14AB" w:rsidRPr="00E00B35" w:rsidRDefault="00CA14AB" w:rsidP="00E00B35">
            <w:pPr>
              <w:spacing w:after="0" w:line="312" w:lineRule="auto"/>
              <w:rPr>
                <w:szCs w:val="20"/>
              </w:rPr>
            </w:pPr>
            <w:r w:rsidRPr="00E00B35">
              <w:rPr>
                <w:szCs w:val="20"/>
              </w:rPr>
              <w:t>2017</w:t>
            </w:r>
          </w:p>
        </w:tc>
        <w:tc>
          <w:tcPr>
            <w:tcW w:w="810" w:type="pct"/>
            <w:shd w:val="clear" w:color="auto" w:fill="D9D9D9"/>
            <w:vAlign w:val="bottom"/>
          </w:tcPr>
          <w:p w:rsidR="00CA14AB" w:rsidRPr="00E00B35" w:rsidRDefault="00CA14AB" w:rsidP="00E00B35">
            <w:pPr>
              <w:spacing w:after="0" w:line="312" w:lineRule="auto"/>
              <w:rPr>
                <w:szCs w:val="20"/>
              </w:rPr>
            </w:pPr>
            <w:r w:rsidRPr="00E00B35">
              <w:rPr>
                <w:szCs w:val="20"/>
              </w:rPr>
              <w:t>2018</w:t>
            </w:r>
          </w:p>
        </w:tc>
        <w:tc>
          <w:tcPr>
            <w:tcW w:w="810" w:type="pct"/>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810" w:type="pct"/>
            <w:shd w:val="clear" w:color="auto" w:fill="D9D9D9"/>
            <w:vAlign w:val="bottom"/>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639"/>
        </w:trPr>
        <w:tc>
          <w:tcPr>
            <w:tcW w:w="950" w:type="pct"/>
            <w:shd w:val="clear" w:color="auto" w:fill="D9D9D9"/>
            <w:vAlign w:val="center"/>
          </w:tcPr>
          <w:p w:rsidR="00CA14AB" w:rsidRPr="00E00B35" w:rsidRDefault="00CA14AB" w:rsidP="00E00B35">
            <w:pPr>
              <w:spacing w:after="0" w:line="312" w:lineRule="auto"/>
              <w:rPr>
                <w:szCs w:val="20"/>
              </w:rPr>
            </w:pPr>
            <w:r w:rsidRPr="00E00B35">
              <w:rPr>
                <w:szCs w:val="20"/>
              </w:rPr>
              <w:t xml:space="preserve">Praca </w:t>
            </w:r>
          </w:p>
          <w:p w:rsidR="00CA14AB" w:rsidRPr="00E00B35" w:rsidRDefault="00CA14AB" w:rsidP="00E00B35">
            <w:pPr>
              <w:spacing w:after="0" w:line="312" w:lineRule="auto"/>
              <w:rPr>
                <w:szCs w:val="20"/>
              </w:rPr>
            </w:pPr>
            <w:r w:rsidRPr="00E00B35">
              <w:rPr>
                <w:szCs w:val="20"/>
              </w:rPr>
              <w:t>socjalna</w:t>
            </w:r>
          </w:p>
        </w:tc>
        <w:tc>
          <w:tcPr>
            <w:tcW w:w="810" w:type="pct"/>
            <w:vAlign w:val="center"/>
          </w:tcPr>
          <w:p w:rsidR="00CA14AB" w:rsidRPr="00E00B35" w:rsidRDefault="00CA14AB" w:rsidP="00E00B35">
            <w:pPr>
              <w:spacing w:after="0" w:line="312" w:lineRule="auto"/>
              <w:rPr>
                <w:szCs w:val="20"/>
              </w:rPr>
            </w:pPr>
            <w:r w:rsidRPr="00E00B35">
              <w:rPr>
                <w:szCs w:val="20"/>
              </w:rPr>
              <w:t>2 156</w:t>
            </w:r>
          </w:p>
        </w:tc>
        <w:tc>
          <w:tcPr>
            <w:tcW w:w="810" w:type="pct"/>
            <w:vAlign w:val="center"/>
          </w:tcPr>
          <w:p w:rsidR="00CA14AB" w:rsidRPr="00E00B35" w:rsidRDefault="00CA14AB" w:rsidP="00E00B35">
            <w:pPr>
              <w:spacing w:after="0" w:line="312" w:lineRule="auto"/>
              <w:rPr>
                <w:szCs w:val="20"/>
              </w:rPr>
            </w:pPr>
            <w:r w:rsidRPr="00E00B35">
              <w:rPr>
                <w:szCs w:val="20"/>
              </w:rPr>
              <w:t>2 393</w:t>
            </w:r>
          </w:p>
        </w:tc>
        <w:tc>
          <w:tcPr>
            <w:tcW w:w="810" w:type="pct"/>
            <w:vAlign w:val="center"/>
          </w:tcPr>
          <w:p w:rsidR="00CA14AB" w:rsidRPr="00E00B35" w:rsidRDefault="00CA14AB" w:rsidP="00E00B35">
            <w:pPr>
              <w:spacing w:after="0" w:line="312" w:lineRule="auto"/>
              <w:rPr>
                <w:szCs w:val="20"/>
              </w:rPr>
            </w:pPr>
            <w:r w:rsidRPr="00E00B35">
              <w:rPr>
                <w:szCs w:val="20"/>
              </w:rPr>
              <w:t>2 518</w:t>
            </w:r>
          </w:p>
        </w:tc>
        <w:tc>
          <w:tcPr>
            <w:tcW w:w="810" w:type="pct"/>
            <w:vAlign w:val="center"/>
          </w:tcPr>
          <w:p w:rsidR="00CA14AB" w:rsidRPr="00E00B35" w:rsidRDefault="00CA14AB" w:rsidP="00E00B35">
            <w:pPr>
              <w:spacing w:after="0" w:line="312" w:lineRule="auto"/>
              <w:rPr>
                <w:szCs w:val="20"/>
              </w:rPr>
            </w:pPr>
            <w:r w:rsidRPr="00E00B35">
              <w:rPr>
                <w:szCs w:val="20"/>
              </w:rPr>
              <w:t>2 417</w:t>
            </w:r>
          </w:p>
        </w:tc>
        <w:tc>
          <w:tcPr>
            <w:tcW w:w="810" w:type="pct"/>
            <w:vAlign w:val="center"/>
          </w:tcPr>
          <w:p w:rsidR="00CA14AB" w:rsidRPr="00E00B35" w:rsidRDefault="00CA14AB" w:rsidP="00E00B35">
            <w:pPr>
              <w:spacing w:after="0" w:line="312" w:lineRule="auto"/>
              <w:rPr>
                <w:szCs w:val="20"/>
              </w:rPr>
            </w:pPr>
            <w:r w:rsidRPr="00E00B35">
              <w:rPr>
                <w:szCs w:val="20"/>
              </w:rPr>
              <w:t>2 560</w:t>
            </w:r>
          </w:p>
        </w:tc>
      </w:tr>
      <w:tr w:rsidR="00CA14AB" w:rsidRPr="00E00B35" w:rsidTr="00CA14AB">
        <w:tc>
          <w:tcPr>
            <w:tcW w:w="950" w:type="pct"/>
            <w:shd w:val="clear" w:color="auto" w:fill="D9D9D9"/>
            <w:vAlign w:val="center"/>
          </w:tcPr>
          <w:p w:rsidR="00CA14AB" w:rsidRPr="00E00B35" w:rsidRDefault="00CA14AB" w:rsidP="00E00B35">
            <w:pPr>
              <w:spacing w:after="0" w:line="312" w:lineRule="auto"/>
              <w:rPr>
                <w:szCs w:val="20"/>
              </w:rPr>
            </w:pPr>
            <w:r w:rsidRPr="00E00B35">
              <w:rPr>
                <w:szCs w:val="20"/>
              </w:rPr>
              <w:t>Interwencja kryzysowa</w:t>
            </w:r>
          </w:p>
        </w:tc>
        <w:tc>
          <w:tcPr>
            <w:tcW w:w="810" w:type="pct"/>
          </w:tcPr>
          <w:p w:rsidR="00CA14AB" w:rsidRPr="00E00B35" w:rsidRDefault="00CA14AB" w:rsidP="00E00B35">
            <w:pPr>
              <w:spacing w:after="0" w:line="312" w:lineRule="auto"/>
              <w:rPr>
                <w:szCs w:val="20"/>
              </w:rPr>
            </w:pPr>
            <w:r w:rsidRPr="00E00B35">
              <w:rPr>
                <w:szCs w:val="20"/>
              </w:rPr>
              <w:t>241</w:t>
            </w:r>
          </w:p>
        </w:tc>
        <w:tc>
          <w:tcPr>
            <w:tcW w:w="810" w:type="pct"/>
            <w:vAlign w:val="center"/>
          </w:tcPr>
          <w:p w:rsidR="00CA14AB" w:rsidRPr="00E00B35" w:rsidRDefault="00CA14AB" w:rsidP="00E00B35">
            <w:pPr>
              <w:spacing w:after="0" w:line="312" w:lineRule="auto"/>
              <w:rPr>
                <w:szCs w:val="20"/>
              </w:rPr>
            </w:pPr>
            <w:r w:rsidRPr="00E00B35">
              <w:rPr>
                <w:szCs w:val="20"/>
              </w:rPr>
              <w:t>199</w:t>
            </w:r>
          </w:p>
        </w:tc>
        <w:tc>
          <w:tcPr>
            <w:tcW w:w="810" w:type="pct"/>
            <w:vAlign w:val="center"/>
          </w:tcPr>
          <w:p w:rsidR="00CA14AB" w:rsidRPr="00E00B35" w:rsidRDefault="00CA14AB" w:rsidP="00E00B35">
            <w:pPr>
              <w:spacing w:after="0" w:line="312" w:lineRule="auto"/>
              <w:rPr>
                <w:szCs w:val="20"/>
              </w:rPr>
            </w:pPr>
            <w:r w:rsidRPr="00E00B35">
              <w:rPr>
                <w:szCs w:val="20"/>
              </w:rPr>
              <w:t>181</w:t>
            </w:r>
          </w:p>
        </w:tc>
        <w:tc>
          <w:tcPr>
            <w:tcW w:w="810" w:type="pct"/>
            <w:vAlign w:val="center"/>
          </w:tcPr>
          <w:p w:rsidR="00CA14AB" w:rsidRPr="00E00B35" w:rsidRDefault="00CA14AB" w:rsidP="00E00B35">
            <w:pPr>
              <w:spacing w:after="0" w:line="312" w:lineRule="auto"/>
              <w:rPr>
                <w:szCs w:val="20"/>
              </w:rPr>
            </w:pPr>
            <w:r w:rsidRPr="00E00B35">
              <w:rPr>
                <w:szCs w:val="20"/>
              </w:rPr>
              <w:t>160</w:t>
            </w:r>
          </w:p>
        </w:tc>
        <w:tc>
          <w:tcPr>
            <w:tcW w:w="810" w:type="pct"/>
            <w:vAlign w:val="center"/>
          </w:tcPr>
          <w:p w:rsidR="00CA14AB" w:rsidRPr="00E00B35" w:rsidRDefault="00CA14AB" w:rsidP="00E00B35">
            <w:pPr>
              <w:spacing w:after="0" w:line="312" w:lineRule="auto"/>
              <w:rPr>
                <w:szCs w:val="20"/>
              </w:rPr>
            </w:pPr>
            <w:r w:rsidRPr="00E00B35">
              <w:rPr>
                <w:szCs w:val="20"/>
              </w:rPr>
              <w:t>133</w:t>
            </w:r>
          </w:p>
        </w:tc>
      </w:tr>
      <w:tr w:rsidR="00CA14AB" w:rsidRPr="00E00B35" w:rsidTr="00CA14AB">
        <w:tc>
          <w:tcPr>
            <w:tcW w:w="950" w:type="pct"/>
            <w:shd w:val="clear" w:color="auto" w:fill="D9D9D9"/>
            <w:vAlign w:val="center"/>
          </w:tcPr>
          <w:p w:rsidR="00CA14AB" w:rsidRPr="00E00B35" w:rsidRDefault="00CA14AB" w:rsidP="00E00B35">
            <w:pPr>
              <w:spacing w:after="0" w:line="312" w:lineRule="auto"/>
              <w:rPr>
                <w:szCs w:val="20"/>
              </w:rPr>
            </w:pPr>
            <w:r w:rsidRPr="00E00B35">
              <w:rPr>
                <w:szCs w:val="20"/>
              </w:rPr>
              <w:t>Poradnictwo specjalistyczne</w:t>
            </w:r>
          </w:p>
        </w:tc>
        <w:tc>
          <w:tcPr>
            <w:tcW w:w="810" w:type="pct"/>
            <w:vAlign w:val="center"/>
          </w:tcPr>
          <w:p w:rsidR="00CA14AB" w:rsidRPr="00E00B35" w:rsidRDefault="00CA14AB" w:rsidP="00E00B35">
            <w:pPr>
              <w:spacing w:after="0" w:line="312" w:lineRule="auto"/>
              <w:rPr>
                <w:szCs w:val="20"/>
              </w:rPr>
            </w:pPr>
            <w:r w:rsidRPr="00E00B35">
              <w:rPr>
                <w:szCs w:val="20"/>
              </w:rPr>
              <w:t>2 726</w:t>
            </w:r>
          </w:p>
        </w:tc>
        <w:tc>
          <w:tcPr>
            <w:tcW w:w="810" w:type="pct"/>
            <w:vAlign w:val="center"/>
          </w:tcPr>
          <w:p w:rsidR="00CA14AB" w:rsidRPr="00E00B35" w:rsidRDefault="00CA14AB" w:rsidP="00E00B35">
            <w:pPr>
              <w:spacing w:after="0" w:line="312" w:lineRule="auto"/>
              <w:rPr>
                <w:szCs w:val="20"/>
              </w:rPr>
            </w:pPr>
            <w:r w:rsidRPr="00E00B35">
              <w:rPr>
                <w:szCs w:val="20"/>
              </w:rPr>
              <w:t>3 080</w:t>
            </w:r>
          </w:p>
        </w:tc>
        <w:tc>
          <w:tcPr>
            <w:tcW w:w="810" w:type="pct"/>
            <w:vAlign w:val="center"/>
          </w:tcPr>
          <w:p w:rsidR="00CA14AB" w:rsidRPr="00E00B35" w:rsidRDefault="00CA14AB" w:rsidP="00E00B35">
            <w:pPr>
              <w:spacing w:after="0" w:line="312" w:lineRule="auto"/>
              <w:rPr>
                <w:szCs w:val="20"/>
              </w:rPr>
            </w:pPr>
            <w:r w:rsidRPr="00E00B35">
              <w:rPr>
                <w:szCs w:val="20"/>
              </w:rPr>
              <w:t>2 703</w:t>
            </w:r>
          </w:p>
        </w:tc>
        <w:tc>
          <w:tcPr>
            <w:tcW w:w="810" w:type="pct"/>
            <w:vAlign w:val="center"/>
          </w:tcPr>
          <w:p w:rsidR="00CA14AB" w:rsidRPr="00E00B35" w:rsidRDefault="00CA14AB" w:rsidP="00E00B35">
            <w:pPr>
              <w:spacing w:after="0" w:line="312" w:lineRule="auto"/>
              <w:rPr>
                <w:szCs w:val="20"/>
              </w:rPr>
            </w:pPr>
            <w:r w:rsidRPr="00E00B35">
              <w:rPr>
                <w:szCs w:val="20"/>
              </w:rPr>
              <w:t>2 088</w:t>
            </w:r>
          </w:p>
        </w:tc>
        <w:tc>
          <w:tcPr>
            <w:tcW w:w="810" w:type="pct"/>
            <w:vAlign w:val="center"/>
          </w:tcPr>
          <w:p w:rsidR="00CA14AB" w:rsidRPr="00E00B35" w:rsidRDefault="00CA14AB" w:rsidP="00E00B35">
            <w:pPr>
              <w:spacing w:after="0" w:line="312" w:lineRule="auto"/>
              <w:rPr>
                <w:szCs w:val="20"/>
              </w:rPr>
            </w:pPr>
            <w:r w:rsidRPr="00E00B35">
              <w:rPr>
                <w:szCs w:val="20"/>
              </w:rPr>
              <w:t>2 035</w:t>
            </w:r>
          </w:p>
        </w:tc>
      </w:tr>
    </w:tbl>
    <w:p w:rsidR="00CA14AB" w:rsidRPr="00E00B35" w:rsidRDefault="00CA14AB" w:rsidP="00E00B35">
      <w:pPr>
        <w:spacing w:after="0" w:line="312" w:lineRule="auto"/>
        <w:rPr>
          <w:szCs w:val="20"/>
        </w:rPr>
      </w:pPr>
      <w:r w:rsidRPr="00E00B35">
        <w:rPr>
          <w:szCs w:val="20"/>
        </w:rPr>
        <w:t xml:space="preserve">Inne interwencje zostały opisane przy Nadodrzańskim Centrum Wsparcia. </w:t>
      </w:r>
      <w:bookmarkStart w:id="399" w:name="_Hlk534358487"/>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400" w:name="_Toc72352432"/>
      <w:bookmarkStart w:id="401" w:name="_Toc72352866"/>
      <w:r w:rsidRPr="00E00B35">
        <w:rPr>
          <w:sz w:val="20"/>
          <w:szCs w:val="20"/>
        </w:rPr>
        <w:t>USŁUGI OPIEKUŃCZE I SPECJALISTYCZNE USŁUGI OPIEKUŃCZE ŚWIADCZONE W MIEJSCU ZAMIESZKANIA</w:t>
      </w:r>
      <w:bookmarkEnd w:id="400"/>
      <w:bookmarkEnd w:id="401"/>
      <w:r w:rsidRPr="00E00B35">
        <w:rPr>
          <w:sz w:val="20"/>
          <w:szCs w:val="20"/>
        </w:rPr>
        <w:t xml:space="preserve"> </w:t>
      </w:r>
    </w:p>
    <w:p w:rsidR="00CA14AB" w:rsidRPr="00E00B35" w:rsidRDefault="00CA14AB" w:rsidP="00E00B35">
      <w:pPr>
        <w:spacing w:after="0" w:line="312" w:lineRule="auto"/>
        <w:rPr>
          <w:szCs w:val="20"/>
        </w:rPr>
      </w:pPr>
      <w:r w:rsidRPr="00E00B35">
        <w:rPr>
          <w:szCs w:val="20"/>
        </w:rPr>
        <w:t xml:space="preserve">Zadaniem Działu Usług Opiekuńczych MOPS jest realizacja polityki dotyczącej świadczenia na terenie Gminy Wrocław usług opiekuńczych, w tym specjalistycznych </w:t>
      </w:r>
      <w:r w:rsidRPr="00E00B35">
        <w:rPr>
          <w:szCs w:val="20"/>
        </w:rPr>
        <w:br/>
      </w:r>
      <w:r w:rsidRPr="00E00B35">
        <w:rPr>
          <w:szCs w:val="20"/>
        </w:rPr>
        <w:lastRenderedPageBreak/>
        <w:t xml:space="preserve">i specjalistycznych usług opiekuńczych dla osób z zaburzeniami psychicznymi, współpraca z pracownikami organizacji pozarządowych w zakresie realizacji usług opiekuńczych, analiza możliwości uzyskiwania dofinansowania ze środków zewnętrznych na realizację zadań lub projektów związanych z zakresem zadań Działu, podejmowanie działań mających na celu zaspokajanie rozpoznanych potrzeb, udzielanie pomocy społecznej </w:t>
      </w:r>
      <w:r w:rsidRPr="00E00B35">
        <w:rPr>
          <w:szCs w:val="20"/>
        </w:rPr>
        <w:br/>
        <w:t xml:space="preserve">w formie pracy socjalnej, usług opiekuńczych, w tym specjalistycznych </w:t>
      </w:r>
      <w:r w:rsidRPr="00E00B35">
        <w:rPr>
          <w:szCs w:val="20"/>
        </w:rPr>
        <w:br/>
        <w:t xml:space="preserve">i specjalistycznych usług opiekuńczych dla osób z zaburzeniami psychicznymi, świadczeń finansowych, rzeczowych, w naturze oraz wspieranie osób i rodzin poprzez konsultacje </w:t>
      </w:r>
      <w:r w:rsidRPr="00E00B35">
        <w:rPr>
          <w:szCs w:val="20"/>
        </w:rPr>
        <w:br/>
        <w:t>i poradnictwo specjalistyczne. W 2020 roku Dział Usług Opiekuńczych wydał 7 614 decyzji administracyjnych, podjął interwencje kryzysowe w 47 środowiskach.</w:t>
      </w:r>
    </w:p>
    <w:p w:rsidR="00CA14AB" w:rsidRPr="00E00B35" w:rsidRDefault="00CA14AB" w:rsidP="00E00B35">
      <w:pPr>
        <w:spacing w:after="0" w:line="312" w:lineRule="auto"/>
        <w:rPr>
          <w:szCs w:val="20"/>
        </w:rPr>
      </w:pPr>
      <w:r w:rsidRPr="00E00B35">
        <w:rPr>
          <w:szCs w:val="20"/>
        </w:rPr>
        <w:t>W 2020 roku usługi opiekuńcze w miejscu zamieszkania klienta na terenie Wrocławia organizował i realizował jeden podmiot wyłoniony w drodze ogłoszonego przez Gminę Wrocław konkursu tj. organizacja pozarządowa o nazwie Ekumeniczna Stacja Opieki – Centrum Pielęgniarstwa Rodzinnego Rehabilitacji i Opieki Paliatywnej, z siedzibą przy ul. Wysokiej 4 we Wrocławiu, jednostka organizacyjna Diecezji Wrocławskiej Kościoła Ewangelicko-Augsburskiego w RP.</w:t>
      </w:r>
    </w:p>
    <w:p w:rsidR="00CA14AB" w:rsidRPr="00E00B35" w:rsidRDefault="00CA14AB" w:rsidP="00E00B35">
      <w:pPr>
        <w:spacing w:after="0" w:line="312" w:lineRule="auto"/>
        <w:rPr>
          <w:szCs w:val="20"/>
        </w:rPr>
      </w:pPr>
      <w:r w:rsidRPr="00E00B35">
        <w:rPr>
          <w:szCs w:val="20"/>
        </w:rPr>
        <w:t xml:space="preserve">W okresie sprawozdawczym usługi opiekuńcze świadczono dla 2 621 osób (w ramach zadań własnych). Z usług świadczonych przez opiekunów zatrudnionych w Ekumenicznej Stacji Opieki – Centrum Pielęgniarstwa Rodzinnego, Rehabilitacji i Opieki Paliatywnej, najczęściej korzystały osoby samotne i obłożnie chore. Usługi świadczyło średniomiesięcznie 704 osób pełniących obowiązki opiekunów lub opiekunek domowych.  </w:t>
      </w:r>
    </w:p>
    <w:p w:rsidR="00CA14AB" w:rsidRPr="00E00B35" w:rsidRDefault="00CA14AB" w:rsidP="00E00B35">
      <w:pPr>
        <w:spacing w:after="0" w:line="312" w:lineRule="auto"/>
        <w:rPr>
          <w:szCs w:val="20"/>
        </w:rPr>
      </w:pPr>
      <w:r w:rsidRPr="00E00B35">
        <w:rPr>
          <w:szCs w:val="20"/>
        </w:rPr>
        <w:t xml:space="preserve">Jakość usług wykonywanych przez opiekunów i opiekunki poddawana była systematycznemu monitoringowi przez 36 pracowników socjalnych MOPS. W okresie sprawozdawczym przeprowadzono 11 773 monitoringów środowisk (w tym 8 844  </w:t>
      </w:r>
      <w:r w:rsidRPr="00E00B35">
        <w:rPr>
          <w:szCs w:val="20"/>
        </w:rPr>
        <w:br/>
        <w:t xml:space="preserve">w formie telefonicznej z uwagi na obecny stan epidemiczny trwający w Polsce). </w:t>
      </w:r>
    </w:p>
    <w:p w:rsidR="00CA14AB" w:rsidRPr="00E00B35" w:rsidRDefault="00CA14AB" w:rsidP="00E00B35">
      <w:pPr>
        <w:spacing w:after="0" w:line="312" w:lineRule="auto"/>
        <w:rPr>
          <w:szCs w:val="20"/>
        </w:rPr>
      </w:pPr>
      <w:r w:rsidRPr="00E00B35">
        <w:rPr>
          <w:szCs w:val="20"/>
        </w:rPr>
        <w:t>Ponadto z początkiem roku 2020 przeprowadzono ewaluację monitoringu usług w 54 środowiskach. Z uwagi na pandemię COVID-19 nie było możliwości przeprowadzenia kontroli usług i w związku z powyższym pracownik Sekcji Kontroli MOPS przeprowadził 201 rozmów telefonicznych z klientami, którzy korzystają z tej formy pomocy celem sprawdzenia czy usługi opiekuńcze świadczone są prawidłowo.</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Usługi opiekuńcze i specjalistyczne usługi opiekuńcze w latach 2016-2020</w:t>
      </w:r>
    </w:p>
    <w:tbl>
      <w:tblPr>
        <w:tblW w:w="963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1226"/>
        <w:gridCol w:w="2214"/>
        <w:gridCol w:w="2084"/>
        <w:gridCol w:w="2344"/>
        <w:gridCol w:w="1766"/>
      </w:tblGrid>
      <w:tr w:rsidR="00CA14AB" w:rsidRPr="00E00B35" w:rsidTr="00CA14AB">
        <w:trPr>
          <w:trHeight w:val="841"/>
          <w:jc w:val="center"/>
        </w:trPr>
        <w:tc>
          <w:tcPr>
            <w:tcW w:w="1226" w:type="dxa"/>
            <w:tcBorders>
              <w:top w:val="single" w:sz="4" w:space="0" w:color="auto"/>
              <w:left w:val="single" w:sz="4" w:space="0" w:color="auto"/>
              <w:bottom w:val="single" w:sz="4" w:space="0" w:color="auto"/>
              <w:right w:val="single" w:sz="4" w:space="0" w:color="auto"/>
            </w:tcBorders>
            <w:shd w:val="clear" w:color="auto" w:fill="D9D9D9"/>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Rok</w:t>
            </w:r>
          </w:p>
        </w:tc>
        <w:tc>
          <w:tcPr>
            <w:tcW w:w="2214"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 xml:space="preserve">Koszt usług opiekuńczych </w:t>
            </w:r>
            <w:r w:rsidRPr="00E00B35">
              <w:rPr>
                <w:szCs w:val="20"/>
              </w:rPr>
              <w:br/>
              <w:t>i specjalistycznych usług opiekuńczych ogółem [zł]</w:t>
            </w:r>
          </w:p>
          <w:p w:rsidR="00CA14AB" w:rsidRPr="00E00B35" w:rsidRDefault="00CA14AB" w:rsidP="00E00B35">
            <w:pPr>
              <w:spacing w:after="0" w:line="312" w:lineRule="auto"/>
              <w:rPr>
                <w:szCs w:val="20"/>
              </w:rPr>
            </w:pPr>
            <w:r w:rsidRPr="00E00B35">
              <w:rPr>
                <w:szCs w:val="20"/>
              </w:rPr>
              <w:t>środki z budżetu Gminy</w:t>
            </w:r>
          </w:p>
        </w:tc>
        <w:tc>
          <w:tcPr>
            <w:tcW w:w="2084"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 xml:space="preserve">Liczba osób objętych pomocą </w:t>
            </w:r>
            <w:r w:rsidRPr="00E00B35">
              <w:rPr>
                <w:szCs w:val="20"/>
              </w:rPr>
              <w:br/>
              <w:t>w tej formie</w:t>
            </w:r>
          </w:p>
        </w:tc>
        <w:tc>
          <w:tcPr>
            <w:tcW w:w="2344"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Liczba wypracowanych godzin usług</w:t>
            </w:r>
          </w:p>
        </w:tc>
        <w:tc>
          <w:tcPr>
            <w:tcW w:w="1766"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 xml:space="preserve">Wpływy </w:t>
            </w:r>
            <w:r w:rsidRPr="00E00B35">
              <w:rPr>
                <w:szCs w:val="20"/>
              </w:rPr>
              <w:br/>
              <w:t>z odpłatności klientów</w:t>
            </w:r>
            <w:r w:rsidRPr="00E00B35">
              <w:rPr>
                <w:szCs w:val="20"/>
              </w:rPr>
              <w:br/>
              <w:t>[zł]</w:t>
            </w:r>
          </w:p>
        </w:tc>
      </w:tr>
      <w:tr w:rsidR="00CA14AB" w:rsidRPr="00E00B35" w:rsidTr="00CA14AB">
        <w:trPr>
          <w:trHeight w:val="706"/>
          <w:jc w:val="center"/>
        </w:trPr>
        <w:tc>
          <w:tcPr>
            <w:tcW w:w="1226"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221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13 074 318</w:t>
            </w:r>
          </w:p>
        </w:tc>
        <w:tc>
          <w:tcPr>
            <w:tcW w:w="208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2 615</w:t>
            </w:r>
          </w:p>
        </w:tc>
        <w:tc>
          <w:tcPr>
            <w:tcW w:w="234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1 033 763</w:t>
            </w:r>
          </w:p>
        </w:tc>
        <w:tc>
          <w:tcPr>
            <w:tcW w:w="176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2 194 604</w:t>
            </w:r>
          </w:p>
        </w:tc>
      </w:tr>
      <w:tr w:rsidR="00CA14AB" w:rsidRPr="00E00B35" w:rsidTr="00CA14AB">
        <w:trPr>
          <w:trHeight w:val="705"/>
          <w:jc w:val="center"/>
        </w:trPr>
        <w:tc>
          <w:tcPr>
            <w:tcW w:w="1226"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lastRenderedPageBreak/>
              <w:t>2017</w:t>
            </w:r>
          </w:p>
        </w:tc>
        <w:tc>
          <w:tcPr>
            <w:tcW w:w="221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17 807 083</w:t>
            </w:r>
          </w:p>
        </w:tc>
        <w:tc>
          <w:tcPr>
            <w:tcW w:w="208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3 082</w:t>
            </w:r>
          </w:p>
        </w:tc>
        <w:tc>
          <w:tcPr>
            <w:tcW w:w="234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1 144 189</w:t>
            </w:r>
          </w:p>
        </w:tc>
        <w:tc>
          <w:tcPr>
            <w:tcW w:w="176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2 935 316</w:t>
            </w:r>
          </w:p>
        </w:tc>
      </w:tr>
      <w:tr w:rsidR="00CA14AB" w:rsidRPr="00E00B35" w:rsidTr="00CA14AB">
        <w:trPr>
          <w:trHeight w:val="688"/>
          <w:jc w:val="center"/>
        </w:trPr>
        <w:tc>
          <w:tcPr>
            <w:tcW w:w="1226"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221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18 340 240</w:t>
            </w:r>
          </w:p>
        </w:tc>
        <w:tc>
          <w:tcPr>
            <w:tcW w:w="208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3 084</w:t>
            </w:r>
          </w:p>
        </w:tc>
        <w:tc>
          <w:tcPr>
            <w:tcW w:w="234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1 118 729</w:t>
            </w:r>
          </w:p>
        </w:tc>
        <w:tc>
          <w:tcPr>
            <w:tcW w:w="176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3 006 166</w:t>
            </w:r>
          </w:p>
        </w:tc>
      </w:tr>
      <w:tr w:rsidR="00CA14AB" w:rsidRPr="00E00B35" w:rsidTr="00CA14AB">
        <w:trPr>
          <w:trHeight w:val="688"/>
          <w:jc w:val="center"/>
        </w:trPr>
        <w:tc>
          <w:tcPr>
            <w:tcW w:w="1226"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221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20 272 309</w:t>
            </w:r>
          </w:p>
        </w:tc>
        <w:tc>
          <w:tcPr>
            <w:tcW w:w="208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2 931</w:t>
            </w:r>
          </w:p>
        </w:tc>
        <w:tc>
          <w:tcPr>
            <w:tcW w:w="234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1 122 964</w:t>
            </w:r>
          </w:p>
        </w:tc>
        <w:tc>
          <w:tcPr>
            <w:tcW w:w="176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3 219 453</w:t>
            </w:r>
          </w:p>
        </w:tc>
      </w:tr>
      <w:tr w:rsidR="00CA14AB" w:rsidRPr="00E00B35" w:rsidTr="00CA14AB">
        <w:trPr>
          <w:trHeight w:val="688"/>
          <w:jc w:val="center"/>
        </w:trPr>
        <w:tc>
          <w:tcPr>
            <w:tcW w:w="1226"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2020</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rsidR="00CA14AB" w:rsidRPr="00E00B35" w:rsidRDefault="00CA14AB" w:rsidP="00E00B35">
            <w:pPr>
              <w:spacing w:after="0" w:line="312" w:lineRule="auto"/>
              <w:rPr>
                <w:szCs w:val="20"/>
              </w:rPr>
            </w:pPr>
            <w:r w:rsidRPr="00E00B35">
              <w:rPr>
                <w:szCs w:val="20"/>
              </w:rPr>
              <w:t xml:space="preserve">24 598 530,96 </w:t>
            </w:r>
          </w:p>
        </w:tc>
        <w:tc>
          <w:tcPr>
            <w:tcW w:w="208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2 621</w:t>
            </w:r>
          </w:p>
        </w:tc>
        <w:tc>
          <w:tcPr>
            <w:tcW w:w="234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1 053 813</w:t>
            </w:r>
          </w:p>
        </w:tc>
        <w:tc>
          <w:tcPr>
            <w:tcW w:w="176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3 679 184</w:t>
            </w:r>
          </w:p>
        </w:tc>
      </w:tr>
    </w:tbl>
    <w:p w:rsidR="0082271B" w:rsidRPr="00E00B35" w:rsidRDefault="0082271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Od dnia 01.09.2013r. realizacją specjalistycznych usług opiekuńczych dla osób </w:t>
      </w:r>
      <w:r w:rsidRPr="00E00B35">
        <w:rPr>
          <w:szCs w:val="20"/>
        </w:rPr>
        <w:br/>
        <w:t xml:space="preserve">z zaburzeniami psychicznymi na terenie Wrocławia zajmuje się Wrocławskie Centrum Zdrowia Samodzielny Publiczny Zakład Opieki Zdrowotnej, z siedzibą przy ul. Podróżniczej 26/28 we Wrocławiu. Posiadane przez WCZ SP ZOZ zaplecze </w:t>
      </w:r>
      <w:r w:rsidRPr="00E00B35">
        <w:rPr>
          <w:szCs w:val="20"/>
        </w:rPr>
        <w:br/>
        <w:t xml:space="preserve">w zakresie świadczenia usług zdrowotnych dla osób chorych psychicznie, a także przewlekle i długoterminowo chorych, umożliwia podmiotowi kompleksową obsługę osób wymagających wsparcia zarówno zdrowotnego jak i opiekuńczego. Z tej formy pomocy </w:t>
      </w:r>
      <w:r w:rsidRPr="00E00B35">
        <w:rPr>
          <w:szCs w:val="20"/>
        </w:rPr>
        <w:br/>
        <w:t xml:space="preserve">w 2020 roku skorzystało 38 osób, a pomoc świadczyło średniomiesięcznie </w:t>
      </w:r>
      <w:r w:rsidRPr="00E00B35">
        <w:rPr>
          <w:szCs w:val="20"/>
        </w:rPr>
        <w:br/>
        <w:t>21 opiekunek.</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Specjalistyczne usługi opiekuńcze w miejscu zamieszkania dla osób </w:t>
      </w:r>
      <w:r w:rsidRPr="00E00B35">
        <w:rPr>
          <w:szCs w:val="20"/>
        </w:rPr>
        <w:br/>
        <w:t>z zaburzeniami psychicznymi w latach 2016-2020</w:t>
      </w:r>
    </w:p>
    <w:tbl>
      <w:tblPr>
        <w:tblW w:w="8950" w:type="dxa"/>
        <w:jc w:val="center"/>
        <w:tblInd w:w="-36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1721"/>
        <w:gridCol w:w="2693"/>
        <w:gridCol w:w="2126"/>
        <w:gridCol w:w="2410"/>
      </w:tblGrid>
      <w:tr w:rsidR="00CA14AB" w:rsidRPr="00E00B35" w:rsidTr="00CA14AB">
        <w:trPr>
          <w:jc w:val="center"/>
        </w:trPr>
        <w:tc>
          <w:tcPr>
            <w:tcW w:w="1721" w:type="dxa"/>
            <w:tcBorders>
              <w:top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Rok</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 xml:space="preserve">Środki </w:t>
            </w:r>
            <w:r w:rsidRPr="00E00B35">
              <w:rPr>
                <w:szCs w:val="20"/>
              </w:rPr>
              <w:br/>
              <w:t>z rezerwy budżetowej Wojewody</w:t>
            </w:r>
            <w:r w:rsidRPr="00E00B35">
              <w:rPr>
                <w:szCs w:val="20"/>
              </w:rPr>
              <w:br/>
              <w:t>[zł]</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 xml:space="preserve">Liczba osób objętych pomocą </w:t>
            </w:r>
            <w:r w:rsidRPr="00E00B35">
              <w:rPr>
                <w:szCs w:val="20"/>
              </w:rPr>
              <w:br/>
              <w:t>w tej formie</w:t>
            </w:r>
          </w:p>
        </w:tc>
        <w:tc>
          <w:tcPr>
            <w:tcW w:w="2410" w:type="dxa"/>
            <w:tcBorders>
              <w:top w:val="single" w:sz="4" w:space="0" w:color="auto"/>
              <w:left w:val="single" w:sz="4" w:space="0" w:color="auto"/>
              <w:bottom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Liczba wypracowanych godzin usług</w:t>
            </w:r>
          </w:p>
        </w:tc>
      </w:tr>
      <w:tr w:rsidR="00CA14AB" w:rsidRPr="00E00B35" w:rsidTr="00CA14AB">
        <w:trPr>
          <w:trHeight w:val="566"/>
          <w:jc w:val="center"/>
        </w:trPr>
        <w:tc>
          <w:tcPr>
            <w:tcW w:w="1721" w:type="dxa"/>
            <w:tcBorders>
              <w:top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2693"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512 082</w:t>
            </w:r>
          </w:p>
        </w:tc>
        <w:tc>
          <w:tcPr>
            <w:tcW w:w="212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32</w:t>
            </w:r>
          </w:p>
        </w:tc>
        <w:tc>
          <w:tcPr>
            <w:tcW w:w="2410" w:type="dxa"/>
            <w:tcBorders>
              <w:top w:val="single" w:sz="4" w:space="0" w:color="auto"/>
              <w:left w:val="single" w:sz="4" w:space="0" w:color="auto"/>
              <w:bottom w:val="single" w:sz="4" w:space="0" w:color="auto"/>
            </w:tcBorders>
            <w:vAlign w:val="center"/>
          </w:tcPr>
          <w:p w:rsidR="00CA14AB" w:rsidRPr="00E00B35" w:rsidRDefault="00CA14AB" w:rsidP="00E00B35">
            <w:pPr>
              <w:spacing w:after="0" w:line="312" w:lineRule="auto"/>
              <w:rPr>
                <w:szCs w:val="20"/>
              </w:rPr>
            </w:pPr>
            <w:r w:rsidRPr="00E00B35">
              <w:rPr>
                <w:szCs w:val="20"/>
              </w:rPr>
              <w:t>17 658</w:t>
            </w:r>
          </w:p>
        </w:tc>
      </w:tr>
      <w:tr w:rsidR="00CA14AB" w:rsidRPr="00E00B35" w:rsidTr="00CA14AB">
        <w:trPr>
          <w:trHeight w:val="566"/>
          <w:jc w:val="center"/>
        </w:trPr>
        <w:tc>
          <w:tcPr>
            <w:tcW w:w="1721" w:type="dxa"/>
            <w:tcBorders>
              <w:top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2693"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569 270</w:t>
            </w:r>
          </w:p>
        </w:tc>
        <w:tc>
          <w:tcPr>
            <w:tcW w:w="212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42</w:t>
            </w:r>
          </w:p>
        </w:tc>
        <w:tc>
          <w:tcPr>
            <w:tcW w:w="2410" w:type="dxa"/>
            <w:tcBorders>
              <w:top w:val="single" w:sz="4" w:space="0" w:color="auto"/>
              <w:left w:val="single" w:sz="4" w:space="0" w:color="auto"/>
              <w:bottom w:val="single" w:sz="4" w:space="0" w:color="auto"/>
            </w:tcBorders>
            <w:vAlign w:val="center"/>
          </w:tcPr>
          <w:p w:rsidR="00CA14AB" w:rsidRPr="00E00B35" w:rsidRDefault="00CA14AB" w:rsidP="00E00B35">
            <w:pPr>
              <w:spacing w:after="0" w:line="312" w:lineRule="auto"/>
              <w:rPr>
                <w:szCs w:val="20"/>
              </w:rPr>
            </w:pPr>
            <w:r w:rsidRPr="00E00B35">
              <w:rPr>
                <w:szCs w:val="20"/>
              </w:rPr>
              <w:t>19 630</w:t>
            </w:r>
          </w:p>
        </w:tc>
      </w:tr>
      <w:tr w:rsidR="00CA14AB" w:rsidRPr="00E00B35" w:rsidTr="00CA14AB">
        <w:trPr>
          <w:trHeight w:val="566"/>
          <w:jc w:val="center"/>
        </w:trPr>
        <w:tc>
          <w:tcPr>
            <w:tcW w:w="1721" w:type="dxa"/>
            <w:tcBorders>
              <w:top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2693"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649 605</w:t>
            </w:r>
          </w:p>
        </w:tc>
        <w:tc>
          <w:tcPr>
            <w:tcW w:w="212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37</w:t>
            </w:r>
          </w:p>
        </w:tc>
        <w:tc>
          <w:tcPr>
            <w:tcW w:w="2410" w:type="dxa"/>
            <w:tcBorders>
              <w:top w:val="single" w:sz="4" w:space="0" w:color="auto"/>
              <w:left w:val="single" w:sz="4" w:space="0" w:color="auto"/>
              <w:bottom w:val="single" w:sz="4" w:space="0" w:color="auto"/>
            </w:tcBorders>
            <w:vAlign w:val="center"/>
          </w:tcPr>
          <w:p w:rsidR="00CA14AB" w:rsidRPr="00E00B35" w:rsidRDefault="00CA14AB" w:rsidP="00E00B35">
            <w:pPr>
              <w:spacing w:after="0" w:line="312" w:lineRule="auto"/>
              <w:rPr>
                <w:szCs w:val="20"/>
              </w:rPr>
            </w:pPr>
            <w:r w:rsidRPr="00E00B35">
              <w:rPr>
                <w:szCs w:val="20"/>
              </w:rPr>
              <w:t>19 685</w:t>
            </w:r>
          </w:p>
        </w:tc>
      </w:tr>
      <w:tr w:rsidR="00CA14AB" w:rsidRPr="00E00B35" w:rsidTr="00CA14AB">
        <w:trPr>
          <w:trHeight w:val="566"/>
          <w:jc w:val="center"/>
        </w:trPr>
        <w:tc>
          <w:tcPr>
            <w:tcW w:w="1721" w:type="dxa"/>
            <w:tcBorders>
              <w:top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2693"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848 843</w:t>
            </w:r>
          </w:p>
        </w:tc>
        <w:tc>
          <w:tcPr>
            <w:tcW w:w="212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43</w:t>
            </w:r>
          </w:p>
        </w:tc>
        <w:tc>
          <w:tcPr>
            <w:tcW w:w="2410" w:type="dxa"/>
            <w:tcBorders>
              <w:top w:val="single" w:sz="4" w:space="0" w:color="auto"/>
              <w:left w:val="single" w:sz="4" w:space="0" w:color="auto"/>
              <w:bottom w:val="single" w:sz="4" w:space="0" w:color="auto"/>
            </w:tcBorders>
            <w:vAlign w:val="center"/>
          </w:tcPr>
          <w:p w:rsidR="00CA14AB" w:rsidRPr="00E00B35" w:rsidRDefault="00CA14AB" w:rsidP="00E00B35">
            <w:pPr>
              <w:spacing w:after="0" w:line="312" w:lineRule="auto"/>
              <w:rPr>
                <w:szCs w:val="20"/>
              </w:rPr>
            </w:pPr>
            <w:r w:rsidRPr="00E00B35">
              <w:rPr>
                <w:szCs w:val="20"/>
              </w:rPr>
              <w:t>21 065</w:t>
            </w:r>
          </w:p>
        </w:tc>
      </w:tr>
      <w:tr w:rsidR="00CA14AB" w:rsidRPr="00E00B35" w:rsidTr="00CA14AB">
        <w:trPr>
          <w:trHeight w:val="566"/>
          <w:jc w:val="center"/>
        </w:trPr>
        <w:tc>
          <w:tcPr>
            <w:tcW w:w="1721" w:type="dxa"/>
            <w:tcBorders>
              <w:top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2020</w:t>
            </w:r>
          </w:p>
        </w:tc>
        <w:tc>
          <w:tcPr>
            <w:tcW w:w="2693"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985 000</w:t>
            </w:r>
          </w:p>
        </w:tc>
        <w:tc>
          <w:tcPr>
            <w:tcW w:w="212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38</w:t>
            </w:r>
          </w:p>
        </w:tc>
        <w:tc>
          <w:tcPr>
            <w:tcW w:w="2410" w:type="dxa"/>
            <w:tcBorders>
              <w:top w:val="single" w:sz="4" w:space="0" w:color="auto"/>
              <w:left w:val="single" w:sz="4" w:space="0" w:color="auto"/>
              <w:bottom w:val="single" w:sz="4" w:space="0" w:color="auto"/>
            </w:tcBorders>
            <w:vAlign w:val="center"/>
          </w:tcPr>
          <w:p w:rsidR="00CA14AB" w:rsidRPr="00E00B35" w:rsidRDefault="00CA14AB" w:rsidP="00E00B35">
            <w:pPr>
              <w:spacing w:after="0" w:line="312" w:lineRule="auto"/>
              <w:rPr>
                <w:szCs w:val="20"/>
              </w:rPr>
            </w:pPr>
            <w:r w:rsidRPr="00E00B35">
              <w:rPr>
                <w:szCs w:val="20"/>
              </w:rPr>
              <w:t>23 676</w:t>
            </w:r>
          </w:p>
        </w:tc>
      </w:tr>
    </w:tbl>
    <w:p w:rsidR="0082271B" w:rsidRPr="00E00B35" w:rsidRDefault="0082271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W celu pozyskania środków finansowych z budżetu Państwa na obsługę, organizację </w:t>
      </w:r>
      <w:r w:rsidRPr="00E00B35">
        <w:rPr>
          <w:szCs w:val="20"/>
        </w:rPr>
        <w:br/>
        <w:t>i świadczenie specjalistycznych usług opiekuńczych dla osób z zaburzeniami psychicznymi od stycznia 2016r. Miejski Ośrodek Pomocy Społecznej sporządza opis zadania oraz kalkulację kosztów jego realizacji.</w:t>
      </w:r>
    </w:p>
    <w:p w:rsidR="00CA14AB" w:rsidRPr="00E00B35" w:rsidRDefault="00CA14AB" w:rsidP="00E00B35">
      <w:pPr>
        <w:spacing w:after="0" w:line="312" w:lineRule="auto"/>
        <w:rPr>
          <w:szCs w:val="20"/>
        </w:rPr>
      </w:pPr>
      <w:r w:rsidRPr="00E00B35">
        <w:rPr>
          <w:szCs w:val="20"/>
        </w:rPr>
        <w:t xml:space="preserve">W ciągu roku 2020 przygotowano kalkulacje dla 5 nowych klientów ubiegających się </w:t>
      </w:r>
      <w:r w:rsidRPr="00E00B35">
        <w:rPr>
          <w:szCs w:val="20"/>
        </w:rPr>
        <w:br/>
        <w:t xml:space="preserve">o przyznanie specjalistycznych usług dla osób z zaburzeniami psychicznymi, natomiast </w:t>
      </w:r>
      <w:r w:rsidRPr="00E00B35">
        <w:rPr>
          <w:szCs w:val="20"/>
        </w:rPr>
        <w:br/>
      </w:r>
      <w:r w:rsidRPr="00E00B35">
        <w:rPr>
          <w:szCs w:val="20"/>
        </w:rPr>
        <w:lastRenderedPageBreak/>
        <w:t>w miesiącu grudniu 2020r. przygotowano kalkulacje dla 31  klientów kontynuujących specjalistyczne usługi opiekuńcze dla osób z zaburzeniami psychicznymi w roku 2021.</w:t>
      </w:r>
      <w:bookmarkStart w:id="402" w:name="_Hlk534357751"/>
      <w:bookmarkStart w:id="403" w:name="_Hlk534359010"/>
      <w:bookmarkEnd w:id="399"/>
    </w:p>
    <w:p w:rsidR="00890136" w:rsidRPr="00E00B35" w:rsidRDefault="00890136" w:rsidP="00E00B35">
      <w:pPr>
        <w:pStyle w:val="Nagwek4"/>
        <w:spacing w:before="0" w:after="0" w:line="312" w:lineRule="auto"/>
        <w:rPr>
          <w:sz w:val="20"/>
          <w:szCs w:val="20"/>
        </w:rPr>
      </w:pPr>
      <w:bookmarkStart w:id="404" w:name="_Toc72352433"/>
      <w:bookmarkStart w:id="405" w:name="_Toc72352867"/>
    </w:p>
    <w:p w:rsidR="00CA14AB" w:rsidRPr="00E00B35" w:rsidRDefault="00CA14AB" w:rsidP="00E00B35">
      <w:pPr>
        <w:pStyle w:val="Nagwek4"/>
        <w:spacing w:before="0" w:after="0" w:line="312" w:lineRule="auto"/>
        <w:rPr>
          <w:sz w:val="20"/>
          <w:szCs w:val="20"/>
        </w:rPr>
      </w:pPr>
      <w:r w:rsidRPr="00E00B35">
        <w:rPr>
          <w:sz w:val="20"/>
          <w:szCs w:val="20"/>
        </w:rPr>
        <w:t>USŁUGI REALIZOWANE W PLACÓWKACH O CHARAKTERZE DZIENNYM</w:t>
      </w:r>
      <w:bookmarkEnd w:id="404"/>
      <w:bookmarkEnd w:id="405"/>
    </w:p>
    <w:p w:rsidR="00CA14AB" w:rsidRPr="00E00B35" w:rsidRDefault="00CA14AB" w:rsidP="00E00B35">
      <w:pPr>
        <w:spacing w:after="0" w:line="312" w:lineRule="auto"/>
        <w:rPr>
          <w:szCs w:val="20"/>
        </w:rPr>
      </w:pPr>
      <w:r w:rsidRPr="00E00B35">
        <w:rPr>
          <w:szCs w:val="20"/>
        </w:rPr>
        <w:t xml:space="preserve">Usługi dla osób, które ze względu na wiek, chorobę lub niezaradność wymagają częściowej opieki i pomocy w zaspakajaniu niezbędnych potrzeb życiowych, realizowane były w niżej wymienionych dwunastu dziennych domach pomocy (DDP) przeznaczonych dla osób starszych (dla 404 osób) oraz w jednym ośrodku opiekuńczo-adaptacyjnym </w:t>
      </w:r>
      <w:r w:rsidRPr="00E00B35">
        <w:rPr>
          <w:szCs w:val="20"/>
        </w:rPr>
        <w:br/>
        <w:t>(dla 129 osób).</w:t>
      </w:r>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Dzienne domy pomocy i ośrodek wsparcia</w:t>
      </w:r>
    </w:p>
    <w:tbl>
      <w:tblPr>
        <w:tblW w:w="9214" w:type="dxa"/>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269"/>
        <w:gridCol w:w="2976"/>
        <w:gridCol w:w="986"/>
        <w:gridCol w:w="73"/>
        <w:gridCol w:w="2910"/>
      </w:tblGrid>
      <w:tr w:rsidR="00CA14AB" w:rsidRPr="00E00B35" w:rsidTr="00CA14AB">
        <w:trPr>
          <w:trHeight w:val="671"/>
        </w:trPr>
        <w:tc>
          <w:tcPr>
            <w:tcW w:w="2269"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Profil DDP</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Adres</w:t>
            </w:r>
          </w:p>
        </w:tc>
        <w:tc>
          <w:tcPr>
            <w:tcW w:w="986"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Ilość miejsc</w:t>
            </w:r>
          </w:p>
        </w:tc>
        <w:tc>
          <w:tcPr>
            <w:tcW w:w="29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DDP prowadzony przez</w:t>
            </w:r>
          </w:p>
        </w:tc>
      </w:tr>
      <w:tr w:rsidR="00CA14AB" w:rsidRPr="00E00B35" w:rsidTr="00CA14AB">
        <w:trPr>
          <w:trHeight w:val="240"/>
        </w:trPr>
        <w:tc>
          <w:tcPr>
            <w:tcW w:w="226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Dla osób starszych</w:t>
            </w:r>
          </w:p>
        </w:tc>
        <w:tc>
          <w:tcPr>
            <w:tcW w:w="29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Stefana Żeromskiego 37/1</w:t>
            </w:r>
          </w:p>
          <w:p w:rsidR="00CA14AB" w:rsidRPr="00E00B35" w:rsidRDefault="00CA14AB" w:rsidP="00E00B35">
            <w:pPr>
              <w:spacing w:after="0" w:line="312" w:lineRule="auto"/>
              <w:rPr>
                <w:szCs w:val="20"/>
              </w:rPr>
            </w:pPr>
            <w:r w:rsidRPr="00E00B35">
              <w:rPr>
                <w:szCs w:val="20"/>
              </w:rPr>
              <w:t>50-321 Wrocław</w:t>
            </w:r>
          </w:p>
          <w:p w:rsidR="00CA14AB" w:rsidRPr="00E00B35" w:rsidRDefault="00CA14AB" w:rsidP="00E00B35">
            <w:pPr>
              <w:spacing w:after="0" w:line="312" w:lineRule="auto"/>
              <w:rPr>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26</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Miejskie Centrum Usług Socjalnych we Wrocławiu </w:t>
            </w:r>
          </w:p>
        </w:tc>
      </w:tr>
      <w:tr w:rsidR="00CA14AB" w:rsidRPr="00E00B35" w:rsidTr="00CA14AB">
        <w:trPr>
          <w:trHeight w:val="300"/>
        </w:trPr>
        <w:tc>
          <w:tcPr>
            <w:tcW w:w="226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Dla osób starszych</w:t>
            </w:r>
          </w:p>
        </w:tc>
        <w:tc>
          <w:tcPr>
            <w:tcW w:w="29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Skwierzyńska 23/2</w:t>
            </w:r>
          </w:p>
          <w:p w:rsidR="00CA14AB" w:rsidRPr="00E00B35" w:rsidRDefault="00CA14AB" w:rsidP="00E00B35">
            <w:pPr>
              <w:spacing w:after="0" w:line="312" w:lineRule="auto"/>
              <w:rPr>
                <w:szCs w:val="20"/>
              </w:rPr>
            </w:pPr>
            <w:r w:rsidRPr="00E00B35">
              <w:rPr>
                <w:szCs w:val="20"/>
              </w:rPr>
              <w:t>53-521 Wrocław</w:t>
            </w:r>
          </w:p>
          <w:p w:rsidR="00CA14AB" w:rsidRPr="00E00B35" w:rsidRDefault="00CA14AB" w:rsidP="00E00B35">
            <w:pPr>
              <w:spacing w:after="0" w:line="312" w:lineRule="auto"/>
              <w:rPr>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45</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Miejskie Centrum Usług Socjalnych we Wrocławiu</w:t>
            </w:r>
          </w:p>
        </w:tc>
      </w:tr>
      <w:tr w:rsidR="00CA14AB" w:rsidRPr="00E00B35" w:rsidTr="00CA14AB">
        <w:trPr>
          <w:trHeight w:val="260"/>
        </w:trPr>
        <w:tc>
          <w:tcPr>
            <w:tcW w:w="226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Dla osób starszych</w:t>
            </w:r>
          </w:p>
        </w:tc>
        <w:tc>
          <w:tcPr>
            <w:tcW w:w="29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Komuny Paryskiej 11</w:t>
            </w:r>
          </w:p>
          <w:p w:rsidR="00CA14AB" w:rsidRPr="00E00B35" w:rsidRDefault="00CA14AB" w:rsidP="00E00B35">
            <w:pPr>
              <w:spacing w:after="0" w:line="312" w:lineRule="auto"/>
              <w:rPr>
                <w:szCs w:val="20"/>
              </w:rPr>
            </w:pPr>
            <w:r w:rsidRPr="00E00B35">
              <w:rPr>
                <w:szCs w:val="20"/>
              </w:rPr>
              <w:t>50-451 Wrocław</w:t>
            </w:r>
          </w:p>
          <w:p w:rsidR="00CA14AB" w:rsidRPr="00E00B35" w:rsidRDefault="00CA14AB" w:rsidP="00E00B35">
            <w:pPr>
              <w:spacing w:after="0" w:line="312" w:lineRule="auto"/>
              <w:rPr>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Miejskie Centrum Usług Socjalnych we Wrocławiu</w:t>
            </w:r>
          </w:p>
        </w:tc>
      </w:tr>
      <w:tr w:rsidR="00CA14AB" w:rsidRPr="00E00B35" w:rsidTr="00CA14AB">
        <w:trPr>
          <w:trHeight w:val="260"/>
        </w:trPr>
        <w:tc>
          <w:tcPr>
            <w:tcW w:w="226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Dla osób starszych</w:t>
            </w:r>
          </w:p>
          <w:p w:rsidR="00CA14AB" w:rsidRPr="00E00B35" w:rsidRDefault="00CA14AB" w:rsidP="00E00B35">
            <w:pPr>
              <w:spacing w:after="0" w:line="312" w:lineRule="auto"/>
              <w:rPr>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ul. Tadeusza Kościuszki 67</w:t>
            </w:r>
          </w:p>
          <w:p w:rsidR="00CA14AB" w:rsidRPr="00E00B35" w:rsidRDefault="00CA14AB" w:rsidP="00E00B35">
            <w:pPr>
              <w:spacing w:after="0" w:line="312" w:lineRule="auto"/>
              <w:rPr>
                <w:szCs w:val="20"/>
              </w:rPr>
            </w:pPr>
            <w:r w:rsidRPr="00E00B35">
              <w:rPr>
                <w:szCs w:val="20"/>
              </w:rPr>
              <w:t>50-008 Wrocław</w:t>
            </w:r>
          </w:p>
          <w:p w:rsidR="00CA14AB" w:rsidRPr="00E00B35" w:rsidRDefault="00CA14AB" w:rsidP="00E00B35">
            <w:pPr>
              <w:spacing w:after="0" w:line="312" w:lineRule="auto"/>
              <w:rPr>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45</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Miejskie Centrum Usług Socjalnych we Wrocławiu/2</w:t>
            </w:r>
          </w:p>
        </w:tc>
      </w:tr>
      <w:tr w:rsidR="00CA14AB" w:rsidRPr="00E00B35" w:rsidTr="00CA14AB">
        <w:trPr>
          <w:trHeight w:val="260"/>
        </w:trPr>
        <w:tc>
          <w:tcPr>
            <w:tcW w:w="226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Dla osób starszych </w:t>
            </w:r>
            <w:r w:rsidRPr="00E00B35">
              <w:rPr>
                <w:szCs w:val="20"/>
              </w:rPr>
              <w:br/>
              <w:t xml:space="preserve">z deficytem pamięci </w:t>
            </w:r>
          </w:p>
        </w:tc>
        <w:tc>
          <w:tcPr>
            <w:tcW w:w="29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Ignacego Kraszewskiego 2</w:t>
            </w:r>
          </w:p>
          <w:p w:rsidR="00CA14AB" w:rsidRPr="00E00B35" w:rsidRDefault="00CA14AB" w:rsidP="00E00B35">
            <w:pPr>
              <w:spacing w:after="0" w:line="312" w:lineRule="auto"/>
              <w:rPr>
                <w:szCs w:val="20"/>
              </w:rPr>
            </w:pPr>
            <w:r w:rsidRPr="00E00B35">
              <w:rPr>
                <w:szCs w:val="20"/>
              </w:rPr>
              <w:t>50-229 Wrocław</w:t>
            </w:r>
          </w:p>
        </w:tc>
        <w:tc>
          <w:tcPr>
            <w:tcW w:w="98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Stowarzyszenie Pod Wezwaniem Matki Bożej Nieustającej Pomocy "Przyjaciele Seniorów"</w:t>
            </w:r>
          </w:p>
        </w:tc>
      </w:tr>
      <w:tr w:rsidR="00CA14AB" w:rsidRPr="00E00B35" w:rsidTr="00CA14AB">
        <w:trPr>
          <w:trHeight w:val="260"/>
        </w:trPr>
        <w:tc>
          <w:tcPr>
            <w:tcW w:w="226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Dla osób starszych </w:t>
            </w:r>
          </w:p>
        </w:tc>
        <w:tc>
          <w:tcPr>
            <w:tcW w:w="29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Litewska 20</w:t>
            </w:r>
          </w:p>
          <w:p w:rsidR="00CA14AB" w:rsidRPr="00E00B35" w:rsidRDefault="00CA14AB" w:rsidP="00E00B35">
            <w:pPr>
              <w:spacing w:after="0" w:line="312" w:lineRule="auto"/>
              <w:rPr>
                <w:szCs w:val="20"/>
              </w:rPr>
            </w:pPr>
            <w:r w:rsidRPr="00E00B35">
              <w:rPr>
                <w:szCs w:val="20"/>
              </w:rPr>
              <w:t>51-354 Wrocław</w:t>
            </w:r>
          </w:p>
          <w:p w:rsidR="00CA14AB" w:rsidRPr="00E00B35" w:rsidRDefault="00CA14AB" w:rsidP="00E00B35">
            <w:pPr>
              <w:spacing w:after="0" w:line="312" w:lineRule="auto"/>
              <w:rPr>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Miejski Ośrodek Pomocy Społecznej </w:t>
            </w:r>
          </w:p>
        </w:tc>
      </w:tr>
      <w:tr w:rsidR="00CA14AB" w:rsidRPr="00E00B35" w:rsidTr="00CA14AB">
        <w:trPr>
          <w:trHeight w:val="789"/>
        </w:trPr>
        <w:tc>
          <w:tcPr>
            <w:tcW w:w="226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Dla osób, które </w:t>
            </w:r>
            <w:r w:rsidRPr="00E00B35">
              <w:rPr>
                <w:szCs w:val="20"/>
              </w:rPr>
              <w:br/>
              <w:t>ze względu na wiek, chorobę czy niezaradność wymagają częściowej opieki</w:t>
            </w:r>
          </w:p>
        </w:tc>
        <w:tc>
          <w:tcPr>
            <w:tcW w:w="29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ul. Ciepła 15b </w:t>
            </w:r>
            <w:r w:rsidRPr="00E00B35">
              <w:rPr>
                <w:szCs w:val="20"/>
              </w:rPr>
              <w:br/>
              <w:t>50-524 Wrocław</w:t>
            </w:r>
          </w:p>
        </w:tc>
        <w:tc>
          <w:tcPr>
            <w:tcW w:w="98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60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Miejski Ośrodek Pomocy Społecznej</w:t>
            </w:r>
          </w:p>
        </w:tc>
      </w:tr>
      <w:tr w:rsidR="00CA14AB" w:rsidRPr="00E00B35" w:rsidTr="00CA14AB">
        <w:trPr>
          <w:trHeight w:val="789"/>
        </w:trPr>
        <w:tc>
          <w:tcPr>
            <w:tcW w:w="226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Dla osób starszych</w:t>
            </w:r>
          </w:p>
        </w:tc>
        <w:tc>
          <w:tcPr>
            <w:tcW w:w="29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Kazimierza Wielkiego 31-33</w:t>
            </w:r>
          </w:p>
          <w:p w:rsidR="00CA14AB" w:rsidRPr="00E00B35" w:rsidRDefault="00CA14AB" w:rsidP="00E00B35">
            <w:pPr>
              <w:spacing w:after="0" w:line="312" w:lineRule="auto"/>
              <w:rPr>
                <w:szCs w:val="20"/>
              </w:rPr>
            </w:pPr>
            <w:r w:rsidRPr="00E00B35">
              <w:rPr>
                <w:szCs w:val="20"/>
              </w:rPr>
              <w:t>50-077 Wrocław</w:t>
            </w:r>
          </w:p>
        </w:tc>
        <w:tc>
          <w:tcPr>
            <w:tcW w:w="98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28</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Parafia Ewangelicko-Augsburska Opatrzności Bożej we Wrocławiu.</w:t>
            </w:r>
          </w:p>
        </w:tc>
      </w:tr>
      <w:tr w:rsidR="00CA14AB" w:rsidRPr="00E00B35" w:rsidTr="00CA14AB">
        <w:trPr>
          <w:trHeight w:val="789"/>
        </w:trPr>
        <w:tc>
          <w:tcPr>
            <w:tcW w:w="226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Dla osób starszych niesamodzielnych</w:t>
            </w:r>
          </w:p>
        </w:tc>
        <w:tc>
          <w:tcPr>
            <w:tcW w:w="29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Dzienny Dom Pomocy nr 1</w:t>
            </w:r>
          </w:p>
          <w:p w:rsidR="00CA14AB" w:rsidRPr="00E00B35" w:rsidRDefault="00CA14AB" w:rsidP="00E00B35">
            <w:pPr>
              <w:spacing w:after="0" w:line="312" w:lineRule="auto"/>
              <w:rPr>
                <w:szCs w:val="20"/>
              </w:rPr>
            </w:pPr>
            <w:r w:rsidRPr="00E00B35">
              <w:rPr>
                <w:szCs w:val="20"/>
              </w:rPr>
              <w:t>ul. Semaforowa 5</w:t>
            </w:r>
          </w:p>
          <w:p w:rsidR="00CA14AB" w:rsidRPr="00E00B35" w:rsidRDefault="00CA14AB" w:rsidP="00E00B35">
            <w:pPr>
              <w:spacing w:after="0" w:line="312" w:lineRule="auto"/>
              <w:rPr>
                <w:szCs w:val="20"/>
              </w:rPr>
            </w:pPr>
            <w:r w:rsidRPr="00E00B35">
              <w:rPr>
                <w:szCs w:val="20"/>
              </w:rPr>
              <w:t>52-115 Wrocław</w:t>
            </w:r>
          </w:p>
        </w:tc>
        <w:tc>
          <w:tcPr>
            <w:tcW w:w="98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Miejskie Centrum Usług Socjalnych we Wrocławiu</w:t>
            </w:r>
          </w:p>
        </w:tc>
      </w:tr>
      <w:tr w:rsidR="00CA14AB" w:rsidRPr="00E00B35" w:rsidTr="00CA14AB">
        <w:trPr>
          <w:trHeight w:val="789"/>
        </w:trPr>
        <w:tc>
          <w:tcPr>
            <w:tcW w:w="226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Dla osób starszych niesamodzielnych</w:t>
            </w:r>
          </w:p>
        </w:tc>
        <w:tc>
          <w:tcPr>
            <w:tcW w:w="29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Dzienny Dom Pomocy nr 2</w:t>
            </w:r>
          </w:p>
          <w:p w:rsidR="00CA14AB" w:rsidRPr="00E00B35" w:rsidRDefault="00CA14AB" w:rsidP="00E00B35">
            <w:pPr>
              <w:spacing w:after="0" w:line="312" w:lineRule="auto"/>
              <w:rPr>
                <w:szCs w:val="20"/>
              </w:rPr>
            </w:pPr>
            <w:r w:rsidRPr="00E00B35">
              <w:rPr>
                <w:szCs w:val="20"/>
              </w:rPr>
              <w:t>ul. Semaforowa 5</w:t>
            </w:r>
          </w:p>
          <w:p w:rsidR="00CA14AB" w:rsidRPr="00E00B35" w:rsidRDefault="00CA14AB" w:rsidP="00E00B35">
            <w:pPr>
              <w:spacing w:after="0" w:line="312" w:lineRule="auto"/>
              <w:rPr>
                <w:szCs w:val="20"/>
              </w:rPr>
            </w:pPr>
            <w:r w:rsidRPr="00E00B35">
              <w:rPr>
                <w:szCs w:val="20"/>
              </w:rPr>
              <w:t>52-115 Wrocław</w:t>
            </w:r>
          </w:p>
        </w:tc>
        <w:tc>
          <w:tcPr>
            <w:tcW w:w="98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Miejskie Centrum Usług Socjalnych we Wrocławiu </w:t>
            </w:r>
          </w:p>
        </w:tc>
      </w:tr>
      <w:tr w:rsidR="00CA14AB" w:rsidRPr="00E00B35" w:rsidTr="00CA14AB">
        <w:trPr>
          <w:trHeight w:val="789"/>
        </w:trPr>
        <w:tc>
          <w:tcPr>
            <w:tcW w:w="2269" w:type="dxa"/>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Dla osób starszych niesamodzielnych</w:t>
            </w:r>
          </w:p>
        </w:tc>
        <w:tc>
          <w:tcPr>
            <w:tcW w:w="2976" w:type="dxa"/>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ul. Karmelkowa 25</w:t>
            </w:r>
          </w:p>
          <w:p w:rsidR="00CA14AB" w:rsidRPr="00E00B35" w:rsidRDefault="00CA14AB" w:rsidP="00E00B35">
            <w:pPr>
              <w:spacing w:after="0" w:line="312" w:lineRule="auto"/>
              <w:rPr>
                <w:szCs w:val="20"/>
              </w:rPr>
            </w:pPr>
            <w:r w:rsidRPr="00E00B35">
              <w:rPr>
                <w:szCs w:val="20"/>
              </w:rPr>
              <w:t xml:space="preserve"> 52-433 Wrocław</w:t>
            </w:r>
          </w:p>
        </w:tc>
        <w:tc>
          <w:tcPr>
            <w:tcW w:w="986" w:type="dxa"/>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30</w:t>
            </w:r>
          </w:p>
        </w:tc>
        <w:tc>
          <w:tcPr>
            <w:tcW w:w="2983" w:type="dxa"/>
            <w:gridSpan w:val="2"/>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Miejskie Centrum Usług Socjalnych we Wrocławiu</w:t>
            </w:r>
          </w:p>
        </w:tc>
      </w:tr>
      <w:tr w:rsidR="00CA14AB" w:rsidRPr="00E00B35" w:rsidTr="00CA14AB">
        <w:trPr>
          <w:trHeight w:val="789"/>
        </w:trPr>
        <w:tc>
          <w:tcPr>
            <w:tcW w:w="2269" w:type="dxa"/>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Dla osób starszych i niesamodzielnych</w:t>
            </w:r>
          </w:p>
        </w:tc>
        <w:tc>
          <w:tcPr>
            <w:tcW w:w="2976" w:type="dxa"/>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ul. Władysława Skoczylasa 8,</w:t>
            </w:r>
          </w:p>
          <w:p w:rsidR="00CA14AB" w:rsidRPr="00E00B35" w:rsidRDefault="00CA14AB" w:rsidP="00E00B35">
            <w:pPr>
              <w:spacing w:after="0" w:line="312" w:lineRule="auto"/>
              <w:rPr>
                <w:szCs w:val="20"/>
              </w:rPr>
            </w:pPr>
            <w:r w:rsidRPr="00E00B35">
              <w:rPr>
                <w:szCs w:val="20"/>
              </w:rPr>
              <w:t xml:space="preserve"> 54-071 Wrocław</w:t>
            </w:r>
          </w:p>
        </w:tc>
        <w:tc>
          <w:tcPr>
            <w:tcW w:w="986" w:type="dxa"/>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30</w:t>
            </w:r>
          </w:p>
        </w:tc>
        <w:tc>
          <w:tcPr>
            <w:tcW w:w="2983" w:type="dxa"/>
            <w:gridSpan w:val="2"/>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Miejskie Centrum Usług Socjalnych we Wrocławiu</w:t>
            </w:r>
          </w:p>
        </w:tc>
      </w:tr>
      <w:tr w:rsidR="00CA14AB" w:rsidRPr="00E00B35" w:rsidTr="00CA14AB">
        <w:tc>
          <w:tcPr>
            <w:tcW w:w="921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Ośrodek Opiekuńczo-Adaptacyjny „Pensjonat dla Osób Starszych” </w:t>
            </w:r>
            <w:r w:rsidRPr="00E00B35">
              <w:rPr>
                <w:szCs w:val="20"/>
              </w:rPr>
              <w:br/>
            </w:r>
          </w:p>
        </w:tc>
      </w:tr>
      <w:tr w:rsidR="00CA14AB" w:rsidRPr="00E00B35" w:rsidTr="00CA14AB">
        <w:trPr>
          <w:trHeight w:val="260"/>
        </w:trPr>
        <w:tc>
          <w:tcPr>
            <w:tcW w:w="2269"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Dla osób starszych</w:t>
            </w:r>
          </w:p>
        </w:tc>
        <w:tc>
          <w:tcPr>
            <w:tcW w:w="29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ul. Henryka Michała Kamieńskiego 190, </w:t>
            </w:r>
            <w:r w:rsidRPr="00E00B35">
              <w:rPr>
                <w:szCs w:val="20"/>
              </w:rPr>
              <w:br/>
              <w:t>51-124 Wrocław</w:t>
            </w: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129</w:t>
            </w:r>
          </w:p>
        </w:tc>
        <w:tc>
          <w:tcPr>
            <w:tcW w:w="291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Miejski Ośrodek Pomocy Społecznej</w:t>
            </w:r>
          </w:p>
        </w:tc>
      </w:tr>
    </w:tbl>
    <w:p w:rsidR="0082271B" w:rsidRPr="00E00B35" w:rsidRDefault="0082271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Zadania w DDP wykonywane są m.in. poprzez:</w:t>
      </w:r>
    </w:p>
    <w:p w:rsidR="00CA14AB" w:rsidRPr="00E00B35" w:rsidRDefault="00CA14AB" w:rsidP="00BC64AB">
      <w:pPr>
        <w:pStyle w:val="Akapitzlist"/>
        <w:numPr>
          <w:ilvl w:val="0"/>
          <w:numId w:val="229"/>
        </w:numPr>
        <w:spacing w:after="0" w:line="312" w:lineRule="auto"/>
        <w:ind w:left="426" w:hanging="426"/>
        <w:rPr>
          <w:szCs w:val="20"/>
        </w:rPr>
      </w:pPr>
      <w:r w:rsidRPr="00E00B35">
        <w:rPr>
          <w:szCs w:val="20"/>
        </w:rPr>
        <w:t xml:space="preserve">zapewnienie osobom starszym dziennego pobytu bez noclegów wraz z minimum jednym ciepłym posiłkiem dziennie; </w:t>
      </w:r>
    </w:p>
    <w:p w:rsidR="00CA14AB" w:rsidRPr="00E00B35" w:rsidRDefault="00CA14AB" w:rsidP="00BC64AB">
      <w:pPr>
        <w:pStyle w:val="Akapitzlist"/>
        <w:numPr>
          <w:ilvl w:val="0"/>
          <w:numId w:val="229"/>
        </w:numPr>
        <w:spacing w:after="0" w:line="312" w:lineRule="auto"/>
        <w:ind w:left="426" w:hanging="426"/>
        <w:rPr>
          <w:szCs w:val="20"/>
        </w:rPr>
      </w:pPr>
      <w:r w:rsidRPr="00E00B35">
        <w:rPr>
          <w:szCs w:val="20"/>
        </w:rPr>
        <w:t>realizowanie zadań opiekuńczo-pielęgnacyjnych (np.: pomoc w wykonywaniu czynności codziennych, gdy wymaga tego stan zdrowia i kondycja seniora; podawanie leków – stosownie do zleceń lekarskich, pomiary ciśnienia krwi, ważenie, a także monitorowanie stanu psychicznego i fizycznego- w zależności od DDP);</w:t>
      </w:r>
    </w:p>
    <w:p w:rsidR="00CA14AB" w:rsidRPr="00E00B35" w:rsidRDefault="00CA14AB" w:rsidP="00BC64AB">
      <w:pPr>
        <w:pStyle w:val="Akapitzlist"/>
        <w:numPr>
          <w:ilvl w:val="0"/>
          <w:numId w:val="229"/>
        </w:numPr>
        <w:spacing w:after="0" w:line="312" w:lineRule="auto"/>
        <w:ind w:left="426" w:hanging="426"/>
        <w:rPr>
          <w:szCs w:val="20"/>
        </w:rPr>
      </w:pPr>
      <w:r w:rsidRPr="00E00B35">
        <w:rPr>
          <w:szCs w:val="20"/>
        </w:rPr>
        <w:t xml:space="preserve">zapewnienie miejsca do rekreacji, odpoczynku i integracji; </w:t>
      </w:r>
    </w:p>
    <w:p w:rsidR="00CA14AB" w:rsidRPr="00E00B35" w:rsidRDefault="00CA14AB" w:rsidP="00BC64AB">
      <w:pPr>
        <w:pStyle w:val="Akapitzlist"/>
        <w:numPr>
          <w:ilvl w:val="0"/>
          <w:numId w:val="229"/>
        </w:numPr>
        <w:spacing w:after="0" w:line="312" w:lineRule="auto"/>
        <w:ind w:left="426" w:hanging="426"/>
        <w:rPr>
          <w:szCs w:val="20"/>
        </w:rPr>
      </w:pPr>
      <w:r w:rsidRPr="00E00B35">
        <w:rPr>
          <w:szCs w:val="20"/>
        </w:rPr>
        <w:t xml:space="preserve">zachęcanie i tworzenie okoliczności do samopomocy, nawiązywania kontaktów towarzyskich, integracji w rodzinach i ze środowiskiem lokalnym, w tym tworzenia więzi międzypokoleniowych; </w:t>
      </w:r>
    </w:p>
    <w:p w:rsidR="00CA14AB" w:rsidRPr="00E00B35" w:rsidRDefault="00CA14AB" w:rsidP="00BC64AB">
      <w:pPr>
        <w:pStyle w:val="Akapitzlist"/>
        <w:numPr>
          <w:ilvl w:val="0"/>
          <w:numId w:val="229"/>
        </w:numPr>
        <w:spacing w:after="0" w:line="312" w:lineRule="auto"/>
        <w:ind w:left="426" w:hanging="426"/>
        <w:rPr>
          <w:szCs w:val="20"/>
        </w:rPr>
      </w:pPr>
      <w:r w:rsidRPr="00E00B35">
        <w:rPr>
          <w:szCs w:val="20"/>
        </w:rPr>
        <w:t>zapewnienie warunków i mobilizowanie do aktywnego spędzania czasu wolnego przez seniorów, w tym uczestnictwa w kulturze;</w:t>
      </w:r>
    </w:p>
    <w:p w:rsidR="00CA14AB" w:rsidRPr="00E00B35" w:rsidRDefault="00CA14AB" w:rsidP="00BC64AB">
      <w:pPr>
        <w:pStyle w:val="Akapitzlist"/>
        <w:numPr>
          <w:ilvl w:val="0"/>
          <w:numId w:val="229"/>
        </w:numPr>
        <w:spacing w:after="0" w:line="312" w:lineRule="auto"/>
        <w:ind w:left="426" w:hanging="426"/>
        <w:rPr>
          <w:szCs w:val="20"/>
        </w:rPr>
      </w:pPr>
      <w:r w:rsidRPr="00E00B35">
        <w:rPr>
          <w:szCs w:val="20"/>
        </w:rPr>
        <w:t xml:space="preserve">podejmowanie zadań z zakresu „terapii podtrzymującej” polegającej </w:t>
      </w:r>
      <w:r w:rsidRPr="00E00B35">
        <w:rPr>
          <w:szCs w:val="20"/>
        </w:rPr>
        <w:br/>
        <w:t xml:space="preserve">na utrzymaniu uczestników w dobrym samopoczuciu i umożliwieniu swobodnej ekspresji, podejmowaniu czynności intelektualnych, zachęcaniu do regularnych ćwiczeń fizycznych grupowych bądź indywidualnych w zależności od potrzeb oraz „ćwiczeń umysłu”. </w:t>
      </w:r>
    </w:p>
    <w:p w:rsidR="00CA14AB" w:rsidRPr="00E00B35" w:rsidRDefault="00CA14AB" w:rsidP="00E00B35">
      <w:pPr>
        <w:spacing w:after="0" w:line="312" w:lineRule="auto"/>
        <w:rPr>
          <w:szCs w:val="20"/>
        </w:rPr>
      </w:pPr>
      <w:r w:rsidRPr="00E00B35">
        <w:rPr>
          <w:szCs w:val="20"/>
        </w:rPr>
        <w:t xml:space="preserve">Warunkiem udanej realizacji powyższych zadań jest stworzenie atmosfery zbliżonej </w:t>
      </w:r>
      <w:r w:rsidRPr="00E00B35">
        <w:rPr>
          <w:szCs w:val="20"/>
        </w:rPr>
        <w:br/>
        <w:t>do domowej oraz dostosowanie oferty, rodzaju zadań tempa realizacji, zakresu pomocy do stale zmieniających się potrzeb psychofizycznych uczestników.</w:t>
      </w:r>
    </w:p>
    <w:p w:rsidR="00CA14AB" w:rsidRPr="00E00B35" w:rsidRDefault="00CA14AB" w:rsidP="00E00B35">
      <w:pPr>
        <w:spacing w:after="0" w:line="312" w:lineRule="auto"/>
        <w:rPr>
          <w:szCs w:val="20"/>
        </w:rPr>
      </w:pPr>
      <w:r w:rsidRPr="00E00B35">
        <w:rPr>
          <w:szCs w:val="20"/>
        </w:rPr>
        <w:t>Ponadto opiekę dzienną dla 223 osób zapewniono w 7 środowiskowych domach samopomocy (ŚDS).</w:t>
      </w:r>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Środowiskowe Domy Sampomocy</w:t>
      </w:r>
    </w:p>
    <w:tbl>
      <w:tblPr>
        <w:tblW w:w="914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770"/>
        <w:gridCol w:w="2545"/>
        <w:gridCol w:w="992"/>
        <w:gridCol w:w="2835"/>
      </w:tblGrid>
      <w:tr w:rsidR="00CA14AB" w:rsidRPr="00E00B35" w:rsidTr="00CA14AB">
        <w:trPr>
          <w:trHeight w:val="598"/>
        </w:trPr>
        <w:tc>
          <w:tcPr>
            <w:tcW w:w="2770"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Profil ŚDS</w:t>
            </w:r>
          </w:p>
        </w:tc>
        <w:tc>
          <w:tcPr>
            <w:tcW w:w="2545"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Adres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Ilość miejsc</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Prowadzony przez</w:t>
            </w:r>
          </w:p>
        </w:tc>
      </w:tr>
      <w:tr w:rsidR="00CA14AB" w:rsidRPr="00E00B35" w:rsidTr="00CA14AB">
        <w:trPr>
          <w:trHeight w:val="24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ŚDS dla osób </w:t>
            </w:r>
            <w:r w:rsidRPr="00E00B35">
              <w:rPr>
                <w:szCs w:val="20"/>
              </w:rPr>
              <w:br/>
              <w:t>z niepełnosprawnością intelektualną (typ B)</w:t>
            </w:r>
          </w:p>
        </w:tc>
        <w:tc>
          <w:tcPr>
            <w:tcW w:w="254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ul. Generała Okulickiego Leopolda 2 </w:t>
            </w:r>
          </w:p>
          <w:p w:rsidR="00CA14AB" w:rsidRPr="00E00B35" w:rsidRDefault="00CA14AB" w:rsidP="00E00B35">
            <w:pPr>
              <w:spacing w:after="0" w:line="312" w:lineRule="auto"/>
              <w:rPr>
                <w:szCs w:val="20"/>
              </w:rPr>
            </w:pPr>
            <w:r w:rsidRPr="00E00B35">
              <w:rPr>
                <w:szCs w:val="20"/>
              </w:rPr>
              <w:t>51-216 Wrocław</w:t>
            </w:r>
          </w:p>
        </w:tc>
        <w:tc>
          <w:tcPr>
            <w:tcW w:w="992"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35</w:t>
            </w:r>
          </w:p>
        </w:tc>
        <w:tc>
          <w:tcPr>
            <w:tcW w:w="283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Fundacja „Przyjazny Dom” Imienia Stanisława Jabłonki</w:t>
            </w:r>
          </w:p>
        </w:tc>
      </w:tr>
      <w:tr w:rsidR="00CA14AB" w:rsidRPr="00E00B35" w:rsidTr="00CA14AB">
        <w:trPr>
          <w:trHeight w:val="30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ŚDS dla osób </w:t>
            </w:r>
            <w:r w:rsidRPr="00E00B35">
              <w:rPr>
                <w:szCs w:val="20"/>
              </w:rPr>
              <w:br/>
              <w:t>z niepełnosprawnością intelektualną (typ B)</w:t>
            </w:r>
          </w:p>
        </w:tc>
        <w:tc>
          <w:tcPr>
            <w:tcW w:w="254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Stawowa 1a</w:t>
            </w:r>
          </w:p>
          <w:p w:rsidR="00CA14AB" w:rsidRPr="00E00B35" w:rsidRDefault="00CA14AB" w:rsidP="00E00B35">
            <w:pPr>
              <w:spacing w:after="0" w:line="312" w:lineRule="auto"/>
              <w:rPr>
                <w:szCs w:val="20"/>
              </w:rPr>
            </w:pPr>
            <w:r w:rsidRPr="00E00B35">
              <w:rPr>
                <w:szCs w:val="20"/>
              </w:rPr>
              <w:t>50-018 Wrocław</w:t>
            </w:r>
          </w:p>
        </w:tc>
        <w:tc>
          <w:tcPr>
            <w:tcW w:w="992"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30</w:t>
            </w:r>
          </w:p>
        </w:tc>
        <w:tc>
          <w:tcPr>
            <w:tcW w:w="283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Stowarzyszenie „OSTOJA” na Rzecz Osób z Niepełnosprawnościami</w:t>
            </w:r>
          </w:p>
          <w:p w:rsidR="00CA14AB" w:rsidRPr="00E00B35" w:rsidRDefault="00CA14AB" w:rsidP="00E00B35">
            <w:pPr>
              <w:spacing w:after="0" w:line="312" w:lineRule="auto"/>
              <w:rPr>
                <w:szCs w:val="20"/>
              </w:rPr>
            </w:pPr>
          </w:p>
        </w:tc>
      </w:tr>
      <w:tr w:rsidR="00CA14AB" w:rsidRPr="00E00B35" w:rsidTr="00CA14AB">
        <w:trPr>
          <w:trHeight w:val="26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br w:type="page"/>
              <w:t>ŚDS dla osób psychicznie chorych (typ A)</w:t>
            </w:r>
          </w:p>
        </w:tc>
        <w:tc>
          <w:tcPr>
            <w:tcW w:w="254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Nowowiejska 20 F</w:t>
            </w:r>
          </w:p>
          <w:p w:rsidR="00CA14AB" w:rsidRPr="00E00B35" w:rsidRDefault="00CA14AB" w:rsidP="00E00B35">
            <w:pPr>
              <w:spacing w:after="0" w:line="312" w:lineRule="auto"/>
              <w:rPr>
                <w:szCs w:val="20"/>
              </w:rPr>
            </w:pPr>
            <w:r w:rsidRPr="00E00B35">
              <w:rPr>
                <w:szCs w:val="20"/>
              </w:rPr>
              <w:t>53-503 Wrocław</w:t>
            </w:r>
          </w:p>
        </w:tc>
        <w:tc>
          <w:tcPr>
            <w:tcW w:w="992"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24</w:t>
            </w:r>
          </w:p>
        </w:tc>
        <w:tc>
          <w:tcPr>
            <w:tcW w:w="283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Dolnośląskie Stowarzyszenie Aktywnej Rehabilitacji „Art”</w:t>
            </w:r>
          </w:p>
        </w:tc>
      </w:tr>
      <w:tr w:rsidR="00CA14AB" w:rsidRPr="00E00B35" w:rsidTr="00CA14AB">
        <w:trPr>
          <w:trHeight w:val="26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ŚDS dla osób psychicznie chorych (typ A)</w:t>
            </w:r>
          </w:p>
        </w:tc>
        <w:tc>
          <w:tcPr>
            <w:tcW w:w="254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Kleczkowska 5 oficyna</w:t>
            </w:r>
          </w:p>
          <w:p w:rsidR="00CA14AB" w:rsidRPr="00E00B35" w:rsidRDefault="00CA14AB" w:rsidP="00E00B35">
            <w:pPr>
              <w:spacing w:after="0" w:line="312" w:lineRule="auto"/>
              <w:rPr>
                <w:szCs w:val="20"/>
              </w:rPr>
            </w:pPr>
            <w:r w:rsidRPr="00E00B35">
              <w:rPr>
                <w:szCs w:val="20"/>
              </w:rPr>
              <w:t>50-227 Wrocław</w:t>
            </w:r>
          </w:p>
        </w:tc>
        <w:tc>
          <w:tcPr>
            <w:tcW w:w="992"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25</w:t>
            </w:r>
          </w:p>
        </w:tc>
        <w:tc>
          <w:tcPr>
            <w:tcW w:w="283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Stowarzyszenie Na Rzecz Promocji Zdrowia „Curatus”</w:t>
            </w:r>
          </w:p>
        </w:tc>
      </w:tr>
      <w:tr w:rsidR="00CA14AB" w:rsidRPr="00E00B35" w:rsidTr="00CA14AB">
        <w:trPr>
          <w:trHeight w:val="26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ŚDS dla osób psychicznie chorych typ (A i C)</w:t>
            </w:r>
          </w:p>
        </w:tc>
        <w:tc>
          <w:tcPr>
            <w:tcW w:w="254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Szkolna 11</w:t>
            </w:r>
          </w:p>
          <w:p w:rsidR="00CA14AB" w:rsidRPr="00E00B35" w:rsidRDefault="00CA14AB" w:rsidP="00E00B35">
            <w:pPr>
              <w:spacing w:after="0" w:line="312" w:lineRule="auto"/>
              <w:rPr>
                <w:szCs w:val="20"/>
              </w:rPr>
            </w:pPr>
            <w:r w:rsidRPr="00E00B35">
              <w:rPr>
                <w:szCs w:val="20"/>
              </w:rPr>
              <w:t>54-007 Wrocław</w:t>
            </w:r>
          </w:p>
        </w:tc>
        <w:tc>
          <w:tcPr>
            <w:tcW w:w="992"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55</w:t>
            </w:r>
          </w:p>
        </w:tc>
        <w:tc>
          <w:tcPr>
            <w:tcW w:w="283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Stowarzyszenie  </w:t>
            </w:r>
          </w:p>
          <w:p w:rsidR="00CA14AB" w:rsidRPr="00E00B35" w:rsidRDefault="00CA14AB" w:rsidP="00E00B35">
            <w:pPr>
              <w:spacing w:after="0" w:line="312" w:lineRule="auto"/>
              <w:rPr>
                <w:szCs w:val="20"/>
              </w:rPr>
            </w:pPr>
            <w:r w:rsidRPr="00E00B35">
              <w:rPr>
                <w:szCs w:val="20"/>
              </w:rPr>
              <w:t>“W Naszym Domu”</w:t>
            </w:r>
          </w:p>
        </w:tc>
      </w:tr>
      <w:tr w:rsidR="00CA14AB" w:rsidRPr="00E00B35" w:rsidTr="00CA14AB">
        <w:trPr>
          <w:trHeight w:val="26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ŚDS dla osób z zaburzeniami psychicznymi (typ A)</w:t>
            </w:r>
          </w:p>
        </w:tc>
        <w:tc>
          <w:tcPr>
            <w:tcW w:w="254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Kiełczowska 43</w:t>
            </w:r>
          </w:p>
          <w:p w:rsidR="00CA14AB" w:rsidRPr="00E00B35" w:rsidRDefault="00CA14AB" w:rsidP="00E00B35">
            <w:pPr>
              <w:spacing w:after="0" w:line="312" w:lineRule="auto"/>
              <w:rPr>
                <w:szCs w:val="20"/>
              </w:rPr>
            </w:pPr>
            <w:r w:rsidRPr="00E00B35">
              <w:rPr>
                <w:szCs w:val="20"/>
              </w:rPr>
              <w:t>51-315 Wrocław</w:t>
            </w:r>
          </w:p>
        </w:tc>
        <w:tc>
          <w:tcPr>
            <w:tcW w:w="992"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24</w:t>
            </w:r>
          </w:p>
        </w:tc>
        <w:tc>
          <w:tcPr>
            <w:tcW w:w="283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Fundacja „Opieka i Troska”</w:t>
            </w:r>
          </w:p>
        </w:tc>
      </w:tr>
      <w:tr w:rsidR="00CA14AB" w:rsidRPr="00E00B35" w:rsidTr="00CA14AB">
        <w:trPr>
          <w:trHeight w:val="26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ŚDS dla osób </w:t>
            </w:r>
            <w:r w:rsidRPr="00E00B35">
              <w:rPr>
                <w:szCs w:val="20"/>
              </w:rPr>
              <w:br/>
              <w:t>z niepełnosprawnością intelektualną (typ B i D)</w:t>
            </w:r>
          </w:p>
        </w:tc>
        <w:tc>
          <w:tcPr>
            <w:tcW w:w="254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ul. Komuny Paryskiej 28  </w:t>
            </w:r>
          </w:p>
          <w:p w:rsidR="00CA14AB" w:rsidRPr="00E00B35" w:rsidRDefault="00CA14AB" w:rsidP="00E00B35">
            <w:pPr>
              <w:spacing w:after="0" w:line="312" w:lineRule="auto"/>
              <w:rPr>
                <w:szCs w:val="20"/>
              </w:rPr>
            </w:pPr>
            <w:r w:rsidRPr="00E00B35">
              <w:rPr>
                <w:szCs w:val="20"/>
              </w:rPr>
              <w:t>50-451 Wrocław</w:t>
            </w:r>
          </w:p>
        </w:tc>
        <w:tc>
          <w:tcPr>
            <w:tcW w:w="992"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30</w:t>
            </w:r>
          </w:p>
        </w:tc>
        <w:tc>
          <w:tcPr>
            <w:tcW w:w="283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Wrocławskie Stowarzyszenie Na Rzecz Osób Niepełnosprawnych Intelektualnie „Bonitum”</w:t>
            </w:r>
          </w:p>
        </w:tc>
      </w:tr>
    </w:tbl>
    <w:p w:rsidR="00DC2D5B" w:rsidRPr="00E00B35" w:rsidRDefault="00DC2D5B" w:rsidP="00E00B35">
      <w:pPr>
        <w:spacing w:after="0" w:line="312" w:lineRule="auto"/>
        <w:rPr>
          <w:szCs w:val="20"/>
        </w:rPr>
      </w:pPr>
      <w:bookmarkStart w:id="406" w:name="_Toc72352434"/>
      <w:bookmarkStart w:id="407" w:name="_Toc72352868"/>
      <w:bookmarkEnd w:id="402"/>
    </w:p>
    <w:p w:rsidR="00CA14AB" w:rsidRPr="00E00B35" w:rsidRDefault="00CA14AB" w:rsidP="00E00B35">
      <w:pPr>
        <w:pStyle w:val="Nagwek4"/>
        <w:spacing w:before="0" w:after="0" w:line="312" w:lineRule="auto"/>
        <w:rPr>
          <w:sz w:val="20"/>
          <w:szCs w:val="20"/>
        </w:rPr>
      </w:pPr>
      <w:r w:rsidRPr="00E00B35">
        <w:rPr>
          <w:sz w:val="20"/>
          <w:szCs w:val="20"/>
        </w:rPr>
        <w:t>ZAPEWNIENIE OPIEKI CAŁODOBOWEJ W DOMACH POMOCY SPOŁECZNEJ</w:t>
      </w:r>
      <w:bookmarkEnd w:id="406"/>
      <w:bookmarkEnd w:id="407"/>
    </w:p>
    <w:p w:rsidR="00CA14AB" w:rsidRPr="00E00B35" w:rsidRDefault="00CA14AB" w:rsidP="00E00B35">
      <w:pPr>
        <w:spacing w:after="0" w:line="312" w:lineRule="auto"/>
        <w:rPr>
          <w:szCs w:val="20"/>
        </w:rPr>
      </w:pPr>
      <w:r w:rsidRPr="00E00B35">
        <w:rPr>
          <w:szCs w:val="20"/>
        </w:rPr>
        <w:t>W roku sprawozdawczym 2020</w:t>
      </w:r>
      <w:r w:rsidR="00DC2D5B" w:rsidRPr="00E00B35">
        <w:rPr>
          <w:szCs w:val="20"/>
        </w:rPr>
        <w:t xml:space="preserve"> </w:t>
      </w:r>
      <w:r w:rsidRPr="00E00B35">
        <w:rPr>
          <w:szCs w:val="20"/>
        </w:rPr>
        <w:t xml:space="preserve">r. terenowi pracownicy socjalni Działu Pomocy Instytucjonalnej (DPIN) MOPS rozeznali 457 nowych środowisk osób wymagających opieki całodobowej, przeprowadzono 346 wywiadów aktualizujących sytuację osób oraz oceniono sytuację dochodową 951 osób zobowiązanych do wnoszenia opłaty za pobyt członka rodziny w domu pomocy społecznej. Liczba realizowanych umów z osobami obowiązanymi do wnoszenia opłaty za pobyt członka rodziny w domu pomocy społecznej wynosi 298 (w tym 64 umowy zawarto w 2020r., aneksowano natomiast 234 umów), </w:t>
      </w:r>
      <w:r w:rsidRPr="00E00B35">
        <w:rPr>
          <w:szCs w:val="20"/>
        </w:rPr>
        <w:br/>
        <w:t>na kwotę 1 817 646,75 zł.</w:t>
      </w:r>
    </w:p>
    <w:p w:rsidR="00CA14AB" w:rsidRPr="00E00B35" w:rsidRDefault="00CA14AB" w:rsidP="00E00B35">
      <w:pPr>
        <w:spacing w:after="0" w:line="312" w:lineRule="auto"/>
        <w:rPr>
          <w:szCs w:val="20"/>
        </w:rPr>
      </w:pPr>
      <w:r w:rsidRPr="00E00B35">
        <w:rPr>
          <w:szCs w:val="20"/>
        </w:rPr>
        <w:t>W 2020</w:t>
      </w:r>
      <w:r w:rsidR="00DC2D5B" w:rsidRPr="00E00B35">
        <w:rPr>
          <w:szCs w:val="20"/>
        </w:rPr>
        <w:t xml:space="preserve"> </w:t>
      </w:r>
      <w:r w:rsidRPr="00E00B35">
        <w:rPr>
          <w:szCs w:val="20"/>
        </w:rPr>
        <w:t>r. DPIN wydał 2 979  decyzji lub postanowień, w tym m.in.: 289 decyzji kierujących, 238 decyzji umieszczających, 1 465 decyzji o odpłatności, 42 decyzji odmawiających udzielenia pomocy i 930 decyzji innych dotyczących spraw prowadzonych przez pracowników DPIN m.in. umarzających postępowanie, uchylające, wygaszające oraz żądające zwrotu zastępczo wniesionych opłat przez Gminę Wrocław za pobyt mieszkańca domu pomocy społecznej i innych związanych z obowiązkiem ponoszenia opłat przez osoby obowiązane oraz 15 postanowień.</w:t>
      </w:r>
    </w:p>
    <w:p w:rsidR="00CA14AB" w:rsidRPr="00E00B35" w:rsidRDefault="00CA14AB" w:rsidP="00E00B35">
      <w:pPr>
        <w:spacing w:after="0" w:line="312" w:lineRule="auto"/>
        <w:rPr>
          <w:szCs w:val="20"/>
        </w:rPr>
      </w:pPr>
      <w:r w:rsidRPr="00E00B35">
        <w:rPr>
          <w:szCs w:val="20"/>
        </w:rPr>
        <w:lastRenderedPageBreak/>
        <w:t>W domach pomocy społecznej na terenie Wrocławia w 2020r. umieszczono 203 osób. Poza Wrocławiem w różnych powiatach na terenie całej Polski umieszczono 23 osób.</w:t>
      </w:r>
      <w:r w:rsidRPr="00E00B35">
        <w:rPr>
          <w:szCs w:val="20"/>
        </w:rPr>
        <w:br/>
        <w:t>W domach pomocy społecznej na terenie innych powiatów przebywa łącznie 271 osób, skierowane przez Gminę Wrocław.</w:t>
      </w:r>
    </w:p>
    <w:p w:rsidR="00CA14AB" w:rsidRPr="00E00B35" w:rsidRDefault="00CA14AB" w:rsidP="00E00B35">
      <w:pPr>
        <w:spacing w:after="0" w:line="312" w:lineRule="auto"/>
        <w:rPr>
          <w:szCs w:val="20"/>
        </w:rPr>
      </w:pPr>
      <w:r w:rsidRPr="00E00B35">
        <w:rPr>
          <w:szCs w:val="20"/>
        </w:rPr>
        <w:t>Budżet zgodnie z planem na funkcjonowanie domów pomocy społecznej obejmujący dotację Wojewody, dotację Gminy oraz inne środki w 2020r. wynosił 63 853 370,00 zł.</w:t>
      </w:r>
    </w:p>
    <w:p w:rsidR="00CA14AB" w:rsidRPr="00E00B35" w:rsidRDefault="00CA14AB" w:rsidP="00E00B35">
      <w:pPr>
        <w:spacing w:after="0" w:line="312" w:lineRule="auto"/>
        <w:rPr>
          <w:szCs w:val="20"/>
        </w:rPr>
      </w:pPr>
      <w:r w:rsidRPr="00E00B35">
        <w:rPr>
          <w:szCs w:val="20"/>
        </w:rPr>
        <w:t xml:space="preserve">Gmina Wrocław poniosła koszty związane z odpłatnością za osoby (mieszkańców Wrocławia) umieszczone w DPS-ach w innych powiatach w wysokości 8 712 502,21 zł. </w:t>
      </w:r>
    </w:p>
    <w:p w:rsidR="00CA14AB" w:rsidRPr="00E00B35" w:rsidRDefault="00CA14AB" w:rsidP="00E00B35">
      <w:pPr>
        <w:spacing w:after="0" w:line="312" w:lineRule="auto"/>
        <w:rPr>
          <w:szCs w:val="20"/>
        </w:rPr>
      </w:pPr>
      <w:r w:rsidRPr="00E00B35">
        <w:rPr>
          <w:szCs w:val="20"/>
        </w:rPr>
        <w:t xml:space="preserve">Na miejsce w domach pomocy społecznej we Wrocławiu oczekuje 286 osób, a na miejsca w domach pomocy w innych powiatach oczekuje 19 osób. </w:t>
      </w:r>
    </w:p>
    <w:p w:rsidR="00890136" w:rsidRPr="00E00B35" w:rsidRDefault="00890136" w:rsidP="00E00B35">
      <w:pPr>
        <w:spacing w:after="0" w:line="312" w:lineRule="auto"/>
        <w:rPr>
          <w:szCs w:val="20"/>
        </w:rPr>
      </w:pPr>
    </w:p>
    <w:p w:rsidR="00CA14AB" w:rsidRPr="00E00B35" w:rsidRDefault="00CA14AB" w:rsidP="00E00B35">
      <w:pPr>
        <w:pStyle w:val="Nagwek5"/>
        <w:rPr>
          <w:szCs w:val="20"/>
        </w:rPr>
      </w:pPr>
      <w:r w:rsidRPr="00E00B35">
        <w:rPr>
          <w:szCs w:val="20"/>
        </w:rPr>
        <w:t>Liczba miejsc i średni miesięczny koszt utrzymania we wrocławskich domach pomocy społecznej w 2020 roku</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770"/>
        <w:gridCol w:w="2687"/>
        <w:gridCol w:w="1134"/>
        <w:gridCol w:w="2551"/>
      </w:tblGrid>
      <w:tr w:rsidR="00CA14AB" w:rsidRPr="00E00B35" w:rsidTr="00CA14AB">
        <w:tc>
          <w:tcPr>
            <w:tcW w:w="2770"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Profil Domu</w:t>
            </w:r>
          </w:p>
        </w:tc>
        <w:tc>
          <w:tcPr>
            <w:tcW w:w="2687"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Adres</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Ilość miejsc</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Średni miesięczny koszt utrzymania jednego mieszkańca [zł]</w:t>
            </w:r>
          </w:p>
        </w:tc>
      </w:tr>
      <w:tr w:rsidR="00CA14AB" w:rsidRPr="00E00B35" w:rsidTr="00CA14AB">
        <w:trPr>
          <w:trHeight w:val="24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DPS dla osób przewlekle somatycznie chorych</w:t>
            </w:r>
          </w:p>
        </w:tc>
        <w:tc>
          <w:tcPr>
            <w:tcW w:w="2687"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Karmelkowa 25</w:t>
            </w:r>
          </w:p>
          <w:p w:rsidR="00CA14AB" w:rsidRPr="00E00B35" w:rsidRDefault="00CA14AB" w:rsidP="00E00B35">
            <w:pPr>
              <w:spacing w:after="0" w:line="312" w:lineRule="auto"/>
              <w:rPr>
                <w:szCs w:val="20"/>
              </w:rPr>
            </w:pPr>
            <w:r w:rsidRPr="00E00B35">
              <w:rPr>
                <w:szCs w:val="20"/>
              </w:rPr>
              <w:t>52-437 Wrocław</w:t>
            </w:r>
          </w:p>
          <w:p w:rsidR="00CA14AB" w:rsidRPr="00E00B35" w:rsidRDefault="00CA14AB" w:rsidP="00E00B35">
            <w:pPr>
              <w:spacing w:after="0" w:line="312" w:lineRule="auto"/>
              <w:rPr>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236</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4 814,00</w:t>
            </w:r>
          </w:p>
        </w:tc>
      </w:tr>
      <w:tr w:rsidR="00CA14AB" w:rsidRPr="00E00B35" w:rsidTr="00CA14AB">
        <w:trPr>
          <w:trHeight w:val="30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DPS dla osób przewlekle somatycznie chorych</w:t>
            </w:r>
          </w:p>
        </w:tc>
        <w:tc>
          <w:tcPr>
            <w:tcW w:w="2687"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Rędzińska 66-68</w:t>
            </w:r>
          </w:p>
          <w:p w:rsidR="00CA14AB" w:rsidRPr="00E00B35" w:rsidRDefault="00CA14AB" w:rsidP="00E00B35">
            <w:pPr>
              <w:spacing w:after="0" w:line="312" w:lineRule="auto"/>
              <w:rPr>
                <w:szCs w:val="20"/>
              </w:rPr>
            </w:pPr>
            <w:r w:rsidRPr="00E00B35">
              <w:rPr>
                <w:szCs w:val="20"/>
              </w:rPr>
              <w:t>54-106 Wrocław</w:t>
            </w:r>
          </w:p>
          <w:p w:rsidR="00CA14AB" w:rsidRPr="00E00B35" w:rsidRDefault="00CA14AB" w:rsidP="00E00B35">
            <w:pPr>
              <w:spacing w:after="0" w:line="312" w:lineRule="auto"/>
              <w:rPr>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159</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5 052,00</w:t>
            </w:r>
          </w:p>
        </w:tc>
      </w:tr>
      <w:tr w:rsidR="00CA14AB" w:rsidRPr="00E00B35" w:rsidTr="00CA14AB">
        <w:trPr>
          <w:trHeight w:val="26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DPS dla osób przewlekle somatycznie chorych </w:t>
            </w:r>
          </w:p>
        </w:tc>
        <w:tc>
          <w:tcPr>
            <w:tcW w:w="2687"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Grunwaldzka 104</w:t>
            </w:r>
          </w:p>
          <w:p w:rsidR="00CA14AB" w:rsidRPr="00E00B35" w:rsidRDefault="00CA14AB" w:rsidP="00E00B35">
            <w:pPr>
              <w:spacing w:after="0" w:line="312" w:lineRule="auto"/>
              <w:rPr>
                <w:szCs w:val="20"/>
              </w:rPr>
            </w:pPr>
            <w:r w:rsidRPr="00E00B35">
              <w:rPr>
                <w:szCs w:val="20"/>
              </w:rPr>
              <w:t>50-357 Wrocław</w:t>
            </w:r>
          </w:p>
          <w:p w:rsidR="00CA14AB" w:rsidRPr="00E00B35" w:rsidRDefault="00CA14AB" w:rsidP="00E00B35">
            <w:pPr>
              <w:spacing w:after="0" w:line="312" w:lineRule="auto"/>
              <w:rPr>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73</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3 587,29</w:t>
            </w:r>
          </w:p>
        </w:tc>
      </w:tr>
      <w:tr w:rsidR="00CA14AB" w:rsidRPr="00E00B35" w:rsidTr="00CA14AB">
        <w:trPr>
          <w:trHeight w:val="972"/>
        </w:trPr>
        <w:tc>
          <w:tcPr>
            <w:tcW w:w="2770" w:type="dxa"/>
            <w:tcBorders>
              <w:top w:val="single" w:sz="4" w:space="0" w:color="auto"/>
              <w:left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DPS dla osób </w:t>
            </w:r>
            <w:r w:rsidRPr="00E00B35">
              <w:rPr>
                <w:szCs w:val="20"/>
              </w:rPr>
              <w:br/>
              <w:t xml:space="preserve">w podeszłym wieku </w:t>
            </w:r>
            <w:r w:rsidRPr="00E00B35">
              <w:rPr>
                <w:szCs w:val="20"/>
              </w:rPr>
              <w:br/>
              <w:t>i przewlekle somatycznie chorych</w:t>
            </w:r>
          </w:p>
        </w:tc>
        <w:tc>
          <w:tcPr>
            <w:tcW w:w="2687" w:type="dxa"/>
            <w:tcBorders>
              <w:top w:val="single" w:sz="4" w:space="0" w:color="auto"/>
              <w:left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Mączna 3</w:t>
            </w:r>
          </w:p>
          <w:p w:rsidR="00CA14AB" w:rsidRPr="00E00B35" w:rsidRDefault="00CA14AB" w:rsidP="00E00B35">
            <w:pPr>
              <w:spacing w:after="0" w:line="312" w:lineRule="auto"/>
              <w:rPr>
                <w:szCs w:val="20"/>
              </w:rPr>
            </w:pPr>
            <w:r w:rsidRPr="00E00B35">
              <w:rPr>
                <w:szCs w:val="20"/>
              </w:rPr>
              <w:t>54-131 Wrocław</w:t>
            </w:r>
          </w:p>
        </w:tc>
        <w:tc>
          <w:tcPr>
            <w:tcW w:w="1134" w:type="dxa"/>
            <w:tcBorders>
              <w:top w:val="single" w:sz="4" w:space="0" w:color="auto"/>
              <w:left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155</w:t>
            </w:r>
          </w:p>
        </w:tc>
        <w:tc>
          <w:tcPr>
            <w:tcW w:w="2551" w:type="dxa"/>
            <w:tcBorders>
              <w:top w:val="single" w:sz="4" w:space="0" w:color="auto"/>
              <w:left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4 725,00</w:t>
            </w:r>
          </w:p>
        </w:tc>
      </w:tr>
      <w:tr w:rsidR="00CA14AB" w:rsidRPr="00E00B35" w:rsidTr="00CA14AB">
        <w:trPr>
          <w:trHeight w:val="28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DPS dla osób </w:t>
            </w:r>
            <w:r w:rsidRPr="00E00B35">
              <w:rPr>
                <w:szCs w:val="20"/>
              </w:rPr>
              <w:br/>
              <w:t>w podeszłym wieku</w:t>
            </w:r>
          </w:p>
        </w:tc>
        <w:tc>
          <w:tcPr>
            <w:tcW w:w="2687"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Świątnicka 25/27</w:t>
            </w:r>
          </w:p>
          <w:p w:rsidR="00CA14AB" w:rsidRPr="00E00B35" w:rsidRDefault="00CA14AB" w:rsidP="00E00B35">
            <w:pPr>
              <w:spacing w:after="0" w:line="312" w:lineRule="auto"/>
              <w:rPr>
                <w:szCs w:val="20"/>
              </w:rPr>
            </w:pPr>
            <w:r w:rsidRPr="00E00B35">
              <w:rPr>
                <w:szCs w:val="20"/>
              </w:rPr>
              <w:t>52-018 Wrocław</w:t>
            </w:r>
          </w:p>
          <w:p w:rsidR="00CA14AB" w:rsidRPr="00E00B35" w:rsidRDefault="00CA14AB" w:rsidP="00E00B35">
            <w:pPr>
              <w:spacing w:after="0" w:line="312" w:lineRule="auto"/>
              <w:rPr>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104</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4 016,07</w:t>
            </w:r>
          </w:p>
        </w:tc>
      </w:tr>
      <w:tr w:rsidR="00CA14AB" w:rsidRPr="00E00B35" w:rsidTr="00CA14AB">
        <w:trPr>
          <w:trHeight w:val="22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DPS dla osób przewlekle psychicznie chorych</w:t>
            </w:r>
          </w:p>
        </w:tc>
        <w:tc>
          <w:tcPr>
            <w:tcW w:w="2687"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Kaletnicza 8</w:t>
            </w:r>
          </w:p>
          <w:p w:rsidR="00CA14AB" w:rsidRPr="00E00B35" w:rsidRDefault="00CA14AB" w:rsidP="00E00B35">
            <w:pPr>
              <w:spacing w:after="0" w:line="312" w:lineRule="auto"/>
              <w:rPr>
                <w:szCs w:val="20"/>
              </w:rPr>
            </w:pPr>
            <w:r w:rsidRPr="00E00B35">
              <w:rPr>
                <w:szCs w:val="20"/>
              </w:rPr>
              <w:t>51-180 Wrocław</w:t>
            </w:r>
          </w:p>
          <w:p w:rsidR="00CA14AB" w:rsidRPr="00E00B35" w:rsidRDefault="00CA14AB" w:rsidP="00E00B35">
            <w:pPr>
              <w:spacing w:after="0" w:line="312" w:lineRule="auto"/>
              <w:rPr>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94</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5 140,00</w:t>
            </w:r>
          </w:p>
        </w:tc>
      </w:tr>
      <w:tr w:rsidR="00CA14AB" w:rsidRPr="00E00B35" w:rsidTr="00CA14AB">
        <w:trPr>
          <w:trHeight w:val="320"/>
        </w:trPr>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DPS dla osób przewlekle psychicznie chorych</w:t>
            </w:r>
          </w:p>
        </w:tc>
        <w:tc>
          <w:tcPr>
            <w:tcW w:w="2687"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Farna 3</w:t>
            </w:r>
          </w:p>
          <w:p w:rsidR="00CA14AB" w:rsidRPr="00E00B35" w:rsidRDefault="00CA14AB" w:rsidP="00E00B35">
            <w:pPr>
              <w:spacing w:after="0" w:line="312" w:lineRule="auto"/>
              <w:rPr>
                <w:szCs w:val="20"/>
              </w:rPr>
            </w:pPr>
            <w:r w:rsidRPr="00E00B35">
              <w:rPr>
                <w:szCs w:val="20"/>
              </w:rPr>
              <w:t>51-313 Wrocław</w:t>
            </w:r>
          </w:p>
          <w:p w:rsidR="00CA14AB" w:rsidRPr="00E00B35" w:rsidRDefault="00CA14AB" w:rsidP="00E00B35">
            <w:pPr>
              <w:spacing w:after="0" w:line="312" w:lineRule="auto"/>
              <w:rPr>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101</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3 785,17</w:t>
            </w:r>
          </w:p>
        </w:tc>
      </w:tr>
      <w:tr w:rsidR="00CA14AB" w:rsidRPr="00E00B35" w:rsidTr="00CA14AB">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DPS dla osób dorosłych niepełnosprawnych intelektualnie </w:t>
            </w:r>
          </w:p>
        </w:tc>
        <w:tc>
          <w:tcPr>
            <w:tcW w:w="2687"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Objazdowa 40</w:t>
            </w:r>
          </w:p>
          <w:p w:rsidR="00CA14AB" w:rsidRPr="00E00B35" w:rsidRDefault="00CA14AB" w:rsidP="00E00B35">
            <w:pPr>
              <w:spacing w:after="0" w:line="312" w:lineRule="auto"/>
              <w:rPr>
                <w:szCs w:val="20"/>
              </w:rPr>
            </w:pPr>
            <w:r w:rsidRPr="00E00B35">
              <w:rPr>
                <w:szCs w:val="20"/>
              </w:rPr>
              <w:t>54-513 Wrocław</w:t>
            </w: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37</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4 086,35</w:t>
            </w:r>
          </w:p>
        </w:tc>
      </w:tr>
      <w:tr w:rsidR="00CA14AB" w:rsidRPr="00E00B35" w:rsidTr="00CA14AB">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DPS dla osób dorosłych </w:t>
            </w:r>
            <w:r w:rsidRPr="00E00B35">
              <w:rPr>
                <w:szCs w:val="20"/>
              </w:rPr>
              <w:lastRenderedPageBreak/>
              <w:t>niepełnosprawnych intelektualnie</w:t>
            </w:r>
          </w:p>
        </w:tc>
        <w:tc>
          <w:tcPr>
            <w:tcW w:w="2687"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ul. Jutrosińska 29</w:t>
            </w:r>
          </w:p>
          <w:p w:rsidR="00CA14AB" w:rsidRPr="00E00B35" w:rsidRDefault="00CA14AB" w:rsidP="00E00B35">
            <w:pPr>
              <w:spacing w:after="0" w:line="312" w:lineRule="auto"/>
              <w:rPr>
                <w:szCs w:val="20"/>
              </w:rPr>
            </w:pPr>
            <w:r w:rsidRPr="00E00B35">
              <w:rPr>
                <w:szCs w:val="20"/>
              </w:rPr>
              <w:lastRenderedPageBreak/>
              <w:t>51-124 Wrocław</w:t>
            </w: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7</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5 030,64</w:t>
            </w:r>
          </w:p>
        </w:tc>
      </w:tr>
      <w:tr w:rsidR="00CA14AB" w:rsidRPr="00E00B35" w:rsidTr="00CA14AB">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DPS dla osób dorosłych</w:t>
            </w:r>
          </w:p>
          <w:p w:rsidR="00CA14AB" w:rsidRPr="00E00B35" w:rsidRDefault="00CA14AB" w:rsidP="00E00B35">
            <w:pPr>
              <w:spacing w:after="0" w:line="312" w:lineRule="auto"/>
              <w:rPr>
                <w:szCs w:val="20"/>
              </w:rPr>
            </w:pPr>
            <w:r w:rsidRPr="00E00B35">
              <w:rPr>
                <w:szCs w:val="20"/>
              </w:rPr>
              <w:t>niepełnosprawnych intelektualnie</w:t>
            </w:r>
          </w:p>
        </w:tc>
        <w:tc>
          <w:tcPr>
            <w:tcW w:w="2687"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Generała Leopolda Okulickiego 2</w:t>
            </w:r>
          </w:p>
          <w:p w:rsidR="00CA14AB" w:rsidRPr="00E00B35" w:rsidRDefault="00CA14AB" w:rsidP="00E00B35">
            <w:pPr>
              <w:spacing w:after="0" w:line="312" w:lineRule="auto"/>
              <w:rPr>
                <w:szCs w:val="20"/>
              </w:rPr>
            </w:pPr>
            <w:r w:rsidRPr="00E00B35">
              <w:rPr>
                <w:szCs w:val="20"/>
              </w:rPr>
              <w:t>51-126 Wrocław</w:t>
            </w: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24</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5 089,77</w:t>
            </w:r>
          </w:p>
        </w:tc>
      </w:tr>
      <w:tr w:rsidR="00CA14AB" w:rsidRPr="00E00B35" w:rsidTr="00CA14AB">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DPS dla osób przewlekle somatycznie chorych</w:t>
            </w:r>
          </w:p>
        </w:tc>
        <w:tc>
          <w:tcPr>
            <w:tcW w:w="2687"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Św. Marcina 10</w:t>
            </w:r>
          </w:p>
          <w:p w:rsidR="00CA14AB" w:rsidRPr="00E00B35" w:rsidRDefault="00CA14AB" w:rsidP="00E00B35">
            <w:pPr>
              <w:spacing w:after="0" w:line="312" w:lineRule="auto"/>
              <w:rPr>
                <w:szCs w:val="20"/>
              </w:rPr>
            </w:pPr>
            <w:r w:rsidRPr="00E00B35">
              <w:rPr>
                <w:szCs w:val="20"/>
              </w:rPr>
              <w:t>50-327 Wrocław</w:t>
            </w: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48</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3 545,70</w:t>
            </w:r>
          </w:p>
        </w:tc>
      </w:tr>
      <w:tr w:rsidR="00CA14AB" w:rsidRPr="00E00B35" w:rsidTr="00CA14AB">
        <w:tc>
          <w:tcPr>
            <w:tcW w:w="2770"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DPS dla osób dorosłych niepełnosprawnych intelektualnie „Arka II”</w:t>
            </w:r>
          </w:p>
        </w:tc>
        <w:tc>
          <w:tcPr>
            <w:tcW w:w="2687"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Jutrosińska 29a</w:t>
            </w:r>
          </w:p>
          <w:p w:rsidR="00CA14AB" w:rsidRPr="00E00B35" w:rsidRDefault="00CA14AB" w:rsidP="00E00B35">
            <w:pPr>
              <w:spacing w:after="0" w:line="312" w:lineRule="auto"/>
              <w:rPr>
                <w:szCs w:val="20"/>
              </w:rPr>
            </w:pPr>
            <w:r w:rsidRPr="00E00B35">
              <w:rPr>
                <w:szCs w:val="20"/>
              </w:rPr>
              <w:t>51-124 Wrocław</w:t>
            </w: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6</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5 602,44</w:t>
            </w:r>
          </w:p>
        </w:tc>
      </w:tr>
      <w:tr w:rsidR="00CA14AB" w:rsidRPr="00E00B35" w:rsidTr="00CA14AB">
        <w:trPr>
          <w:trHeight w:val="504"/>
        </w:trPr>
        <w:tc>
          <w:tcPr>
            <w:tcW w:w="2770" w:type="dxa"/>
            <w:tcBorders>
              <w:top w:val="single" w:sz="4" w:space="0" w:color="auto"/>
              <w:left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DPS dla osób </w:t>
            </w:r>
            <w:r w:rsidRPr="00E00B35">
              <w:rPr>
                <w:szCs w:val="20"/>
              </w:rPr>
              <w:br/>
              <w:t xml:space="preserve">w podeszłym wieku </w:t>
            </w:r>
            <w:r w:rsidRPr="00E00B35">
              <w:rPr>
                <w:szCs w:val="20"/>
              </w:rPr>
              <w:br/>
              <w:t>i przewlekle somatycznie chorych</w:t>
            </w:r>
          </w:p>
        </w:tc>
        <w:tc>
          <w:tcPr>
            <w:tcW w:w="2687" w:type="dxa"/>
            <w:tcBorders>
              <w:top w:val="single" w:sz="4" w:space="0" w:color="auto"/>
              <w:left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M. Lutra 2</w:t>
            </w:r>
          </w:p>
          <w:p w:rsidR="00CA14AB" w:rsidRPr="00E00B35" w:rsidRDefault="00CA14AB" w:rsidP="00E00B35">
            <w:pPr>
              <w:spacing w:after="0" w:line="312" w:lineRule="auto"/>
              <w:rPr>
                <w:szCs w:val="20"/>
              </w:rPr>
            </w:pPr>
            <w:r w:rsidRPr="00E00B35">
              <w:rPr>
                <w:szCs w:val="20"/>
              </w:rPr>
              <w:t xml:space="preserve">54-239 Wrocław </w:t>
            </w:r>
          </w:p>
        </w:tc>
        <w:tc>
          <w:tcPr>
            <w:tcW w:w="113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72</w:t>
            </w:r>
          </w:p>
        </w:tc>
        <w:tc>
          <w:tcPr>
            <w:tcW w:w="2551" w:type="dxa"/>
            <w:tcBorders>
              <w:top w:val="single" w:sz="4" w:space="0" w:color="auto"/>
              <w:left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4 236,85</w:t>
            </w:r>
          </w:p>
        </w:tc>
      </w:tr>
    </w:tbl>
    <w:p w:rsidR="00DC2D5B" w:rsidRPr="00E00B35" w:rsidRDefault="00DC2D5B" w:rsidP="00E00B35">
      <w:pPr>
        <w:spacing w:after="0" w:line="312" w:lineRule="auto"/>
        <w:rPr>
          <w:szCs w:val="20"/>
        </w:rPr>
      </w:pPr>
    </w:p>
    <w:p w:rsidR="00CA14AB" w:rsidRPr="00E00B35" w:rsidRDefault="00CA14AB" w:rsidP="00E00B35">
      <w:pPr>
        <w:pStyle w:val="Nagwek5"/>
        <w:rPr>
          <w:szCs w:val="20"/>
        </w:rPr>
      </w:pPr>
      <w:r w:rsidRPr="00E00B35">
        <w:rPr>
          <w:szCs w:val="20"/>
        </w:rPr>
        <w:t>Formę opieki całodobowej stanowiło mieszkanie chronione dla 12 osób</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764"/>
        <w:gridCol w:w="2551"/>
        <w:gridCol w:w="992"/>
        <w:gridCol w:w="2835"/>
      </w:tblGrid>
      <w:tr w:rsidR="00CA14AB" w:rsidRPr="00E00B35" w:rsidTr="00CA14AB">
        <w:trPr>
          <w:trHeight w:val="591"/>
        </w:trPr>
        <w:tc>
          <w:tcPr>
            <w:tcW w:w="2764"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Profil mieszkania</w:t>
            </w:r>
          </w:p>
          <w:p w:rsidR="00CA14AB" w:rsidRPr="00E00B35" w:rsidRDefault="00CA14AB" w:rsidP="00E00B35">
            <w:pPr>
              <w:spacing w:after="0" w:line="312" w:lineRule="auto"/>
              <w:rPr>
                <w:szCs w:val="20"/>
              </w:rPr>
            </w:pPr>
            <w:r w:rsidRPr="00E00B35">
              <w:rPr>
                <w:szCs w:val="20"/>
              </w:rPr>
              <w:t>chronionego</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Adres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Ilość miejsc</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CA14AB" w:rsidRPr="00E00B35" w:rsidRDefault="00CA14AB" w:rsidP="00E00B35">
            <w:pPr>
              <w:spacing w:after="0" w:line="312" w:lineRule="auto"/>
              <w:rPr>
                <w:szCs w:val="20"/>
              </w:rPr>
            </w:pPr>
            <w:r w:rsidRPr="00E00B35">
              <w:rPr>
                <w:szCs w:val="20"/>
              </w:rPr>
              <w:t>Placówkę prowadzi na zlecenie Gminy Wrocław</w:t>
            </w:r>
          </w:p>
        </w:tc>
      </w:tr>
      <w:tr w:rsidR="00CA14AB" w:rsidRPr="00E00B35" w:rsidTr="00CA14AB">
        <w:trPr>
          <w:trHeight w:val="280"/>
        </w:trPr>
        <w:tc>
          <w:tcPr>
            <w:tcW w:w="2764"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Mieszkanie chronione przeznaczone dla osób niepełnosprawnych </w:t>
            </w:r>
          </w:p>
        </w:tc>
        <w:tc>
          <w:tcPr>
            <w:tcW w:w="2551"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ul. Jutrosińska 29</w:t>
            </w:r>
          </w:p>
          <w:p w:rsidR="00CA14AB" w:rsidRPr="00E00B35" w:rsidRDefault="00CA14AB" w:rsidP="00E00B35">
            <w:pPr>
              <w:spacing w:after="0" w:line="312" w:lineRule="auto"/>
              <w:rPr>
                <w:szCs w:val="20"/>
              </w:rPr>
            </w:pPr>
            <w:r w:rsidRPr="00E00B35">
              <w:rPr>
                <w:szCs w:val="20"/>
              </w:rPr>
              <w:t>51-124 Wrocław</w:t>
            </w:r>
          </w:p>
        </w:tc>
        <w:tc>
          <w:tcPr>
            <w:tcW w:w="992"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12</w:t>
            </w:r>
          </w:p>
        </w:tc>
        <w:tc>
          <w:tcPr>
            <w:tcW w:w="2835"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Fundacja L´ARCHE</w:t>
            </w:r>
          </w:p>
        </w:tc>
      </w:tr>
    </w:tbl>
    <w:p w:rsidR="00DC2D5B" w:rsidRPr="00E00B35" w:rsidRDefault="00DC2D5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Budżet zgodnie z planem na funkcjonowanie mieszkania chronionego w 2020r. wynosił 250 047,00 zł.</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408" w:name="_Toc72352435"/>
      <w:bookmarkStart w:id="409" w:name="_Toc72352869"/>
      <w:bookmarkStart w:id="410" w:name="_Hlk534359249"/>
      <w:bookmarkEnd w:id="403"/>
      <w:r w:rsidRPr="00E00B35">
        <w:rPr>
          <w:sz w:val="20"/>
          <w:szCs w:val="20"/>
        </w:rPr>
        <w:t xml:space="preserve">OŚRODEK WSPARCIA – DOM DLA MATEK Z MAŁOLETNIMI DZIEĆMI </w:t>
      </w:r>
      <w:r w:rsidRPr="00E00B35">
        <w:rPr>
          <w:sz w:val="20"/>
          <w:szCs w:val="20"/>
        </w:rPr>
        <w:br/>
        <w:t>I KOBIET W CIĄŻY w MIEJSKIM OŚRODKU POMOCY SPOŁECZNEJ</w:t>
      </w:r>
      <w:bookmarkEnd w:id="408"/>
      <w:bookmarkEnd w:id="409"/>
      <w:r w:rsidRPr="00E00B35">
        <w:rPr>
          <w:sz w:val="20"/>
          <w:szCs w:val="20"/>
        </w:rPr>
        <w:t xml:space="preserve"> </w:t>
      </w:r>
    </w:p>
    <w:p w:rsidR="00CA14AB" w:rsidRPr="00E00B35" w:rsidRDefault="00CA14AB" w:rsidP="00E00B35">
      <w:pPr>
        <w:spacing w:after="0" w:line="312" w:lineRule="auto"/>
        <w:rPr>
          <w:rFonts w:eastAsia="Calibri"/>
          <w:szCs w:val="20"/>
        </w:rPr>
      </w:pPr>
      <w:r w:rsidRPr="00E00B35">
        <w:rPr>
          <w:rFonts w:eastAsia="Calibri"/>
          <w:szCs w:val="20"/>
        </w:rPr>
        <w:t xml:space="preserve">Ośrodek Wsparcia działa w ramach struktur MOPS na podstawie Zarządzenia nr 55/15 Dyrektora Miejskiego Ośrodka Pomocy Społecznej z dnia 24 listopada 2015r. w sprawie wprowadzenia Regulaminu Ośrodka Wsparcia – Domu dla Matek z Małoletnimi Dziećmi </w:t>
      </w:r>
      <w:r w:rsidRPr="00E00B35">
        <w:rPr>
          <w:rFonts w:eastAsia="Calibri"/>
          <w:szCs w:val="20"/>
        </w:rPr>
        <w:br/>
        <w:t xml:space="preserve">i Kobiet w Ciąży przy ul. Władysława Reymonta 8 i ul. Bolesława Chrobrego 34a </w:t>
      </w:r>
      <w:r w:rsidRPr="00E00B35">
        <w:rPr>
          <w:rFonts w:eastAsia="Calibri"/>
          <w:szCs w:val="20"/>
        </w:rPr>
        <w:br/>
        <w:t xml:space="preserve">w Miejskim Ośrodku Pomocy Społecznej. </w:t>
      </w:r>
    </w:p>
    <w:p w:rsidR="00CA14AB" w:rsidRPr="00E00B35" w:rsidRDefault="00CA14AB" w:rsidP="00E00B35">
      <w:pPr>
        <w:spacing w:after="0" w:line="312" w:lineRule="auto"/>
        <w:rPr>
          <w:szCs w:val="20"/>
        </w:rPr>
      </w:pPr>
      <w:r w:rsidRPr="00E00B35">
        <w:rPr>
          <w:szCs w:val="20"/>
        </w:rPr>
        <w:t xml:space="preserve">Celem działalności Ośrodka Wsparcia jest udzielanie pomocy mieszkańcom Wrocławia, </w:t>
      </w:r>
      <w:r w:rsidRPr="00E00B35">
        <w:rPr>
          <w:szCs w:val="20"/>
        </w:rPr>
        <w:br/>
        <w:t xml:space="preserve">w tym cudzoziemcom przebywającym na terenie Gminy Wrocław, którzy znaleźli się </w:t>
      </w:r>
      <w:r w:rsidRPr="00E00B35">
        <w:rPr>
          <w:szCs w:val="20"/>
        </w:rPr>
        <w:br/>
        <w:t xml:space="preserve">w trudnej sytuacji życiowej, a dla dobra swojego i dzieci powinni przebywać poza miejscem stałego zamieszkania oraz udzielanie tym osobom/rodzinom wsparcia </w:t>
      </w:r>
      <w:r w:rsidRPr="00E00B35">
        <w:rPr>
          <w:szCs w:val="20"/>
        </w:rPr>
        <w:br/>
        <w:t>w podejmowaniu działań zmierzających do życiowego usamodzielnienia się oraz ich integracji ze środowiskiem.</w:t>
      </w:r>
    </w:p>
    <w:p w:rsidR="00CA14AB" w:rsidRPr="00E00B35" w:rsidRDefault="00CA14AB" w:rsidP="00E00B35">
      <w:pPr>
        <w:spacing w:after="0" w:line="312" w:lineRule="auto"/>
        <w:rPr>
          <w:szCs w:val="20"/>
        </w:rPr>
      </w:pPr>
      <w:r w:rsidRPr="00E00B35">
        <w:rPr>
          <w:szCs w:val="20"/>
        </w:rPr>
        <w:t xml:space="preserve">Cele te są realizowane poprzez: </w:t>
      </w:r>
    </w:p>
    <w:p w:rsidR="00CA14AB" w:rsidRPr="00E00B35" w:rsidRDefault="00CA14AB" w:rsidP="00BC64AB">
      <w:pPr>
        <w:pStyle w:val="Akapitzlist"/>
        <w:numPr>
          <w:ilvl w:val="0"/>
          <w:numId w:val="230"/>
        </w:numPr>
        <w:spacing w:after="0" w:line="312" w:lineRule="auto"/>
        <w:ind w:left="426" w:hanging="426"/>
        <w:rPr>
          <w:rFonts w:eastAsia="Calibri"/>
          <w:szCs w:val="20"/>
        </w:rPr>
      </w:pPr>
      <w:r w:rsidRPr="00E00B35">
        <w:rPr>
          <w:rFonts w:eastAsia="Calibri"/>
          <w:szCs w:val="20"/>
        </w:rPr>
        <w:t xml:space="preserve">świadczenie usług interwencyjnych - zapewnienie schronienia matkom lub ojcom </w:t>
      </w:r>
      <w:r w:rsidRPr="00E00B35">
        <w:rPr>
          <w:rFonts w:eastAsia="Calibri"/>
          <w:szCs w:val="20"/>
        </w:rPr>
        <w:br/>
        <w:t>z małoletnimi dziećmi, kobietom w ciąży, jak również innym osobom sprawującym opiekę nad dziećmi;</w:t>
      </w:r>
    </w:p>
    <w:p w:rsidR="00CA14AB" w:rsidRPr="00E00B35" w:rsidRDefault="00CA14AB" w:rsidP="00BC64AB">
      <w:pPr>
        <w:pStyle w:val="Akapitzlist"/>
        <w:numPr>
          <w:ilvl w:val="0"/>
          <w:numId w:val="230"/>
        </w:numPr>
        <w:spacing w:after="0" w:line="312" w:lineRule="auto"/>
        <w:ind w:left="426" w:hanging="426"/>
        <w:rPr>
          <w:rFonts w:eastAsia="Calibri"/>
          <w:szCs w:val="20"/>
        </w:rPr>
      </w:pPr>
      <w:r w:rsidRPr="00E00B35">
        <w:rPr>
          <w:rFonts w:eastAsia="Calibri"/>
          <w:szCs w:val="20"/>
        </w:rPr>
        <w:t>zapewnienie potrzeb bytowych;</w:t>
      </w:r>
    </w:p>
    <w:p w:rsidR="00CA14AB" w:rsidRPr="00E00B35" w:rsidRDefault="00CA14AB" w:rsidP="00BC64AB">
      <w:pPr>
        <w:pStyle w:val="Akapitzlist"/>
        <w:numPr>
          <w:ilvl w:val="0"/>
          <w:numId w:val="230"/>
        </w:numPr>
        <w:spacing w:after="0" w:line="312" w:lineRule="auto"/>
        <w:ind w:left="426" w:hanging="426"/>
        <w:rPr>
          <w:rFonts w:eastAsia="Calibri"/>
          <w:szCs w:val="20"/>
        </w:rPr>
      </w:pPr>
      <w:r w:rsidRPr="00E00B35">
        <w:rPr>
          <w:rFonts w:eastAsia="Calibri"/>
          <w:szCs w:val="20"/>
        </w:rPr>
        <w:lastRenderedPageBreak/>
        <w:t>świadczenie usług wsparcia socjalnego i specjalistycznego;</w:t>
      </w:r>
    </w:p>
    <w:p w:rsidR="00CA14AB" w:rsidRPr="00E00B35" w:rsidRDefault="00CA14AB" w:rsidP="00BC64AB">
      <w:pPr>
        <w:pStyle w:val="Akapitzlist"/>
        <w:numPr>
          <w:ilvl w:val="0"/>
          <w:numId w:val="230"/>
        </w:numPr>
        <w:spacing w:after="0" w:line="312" w:lineRule="auto"/>
        <w:ind w:left="426" w:hanging="426"/>
        <w:rPr>
          <w:rFonts w:eastAsia="Calibri"/>
          <w:szCs w:val="20"/>
        </w:rPr>
      </w:pPr>
      <w:r w:rsidRPr="00E00B35">
        <w:rPr>
          <w:rFonts w:eastAsia="Calibri"/>
          <w:szCs w:val="20"/>
        </w:rPr>
        <w:t>konsultacje specjalistyczne w ramach telefonu zaufania MOPS;</w:t>
      </w:r>
    </w:p>
    <w:p w:rsidR="00CA14AB" w:rsidRPr="00E00B35" w:rsidRDefault="00CA14AB" w:rsidP="00BC64AB">
      <w:pPr>
        <w:pStyle w:val="Akapitzlist"/>
        <w:numPr>
          <w:ilvl w:val="0"/>
          <w:numId w:val="230"/>
        </w:numPr>
        <w:spacing w:after="0" w:line="312" w:lineRule="auto"/>
        <w:ind w:left="426" w:hanging="426"/>
        <w:rPr>
          <w:rFonts w:eastAsia="Calibri"/>
          <w:szCs w:val="20"/>
        </w:rPr>
      </w:pPr>
      <w:r w:rsidRPr="00E00B35">
        <w:rPr>
          <w:rFonts w:eastAsia="Calibri"/>
          <w:szCs w:val="20"/>
        </w:rPr>
        <w:t xml:space="preserve">rozmowy interwencyjne z osobami w kryzysie mające na celu udzielenie niezbędnej informacji i wsparcia w zakresie aktualnych potrzeb osoby </w:t>
      </w:r>
      <w:r w:rsidRPr="00E00B35">
        <w:rPr>
          <w:rFonts w:eastAsia="Calibri"/>
          <w:szCs w:val="20"/>
        </w:rPr>
        <w:br/>
        <w:t xml:space="preserve">za pośrednictwem telefonu w ramach całodobowych dyżurów specjalistów. </w:t>
      </w:r>
    </w:p>
    <w:p w:rsidR="00CA14AB" w:rsidRPr="00E00B35" w:rsidRDefault="00CA14AB" w:rsidP="00E00B35">
      <w:pPr>
        <w:spacing w:after="0" w:line="312" w:lineRule="auto"/>
        <w:rPr>
          <w:rFonts w:eastAsia="Calibri"/>
          <w:szCs w:val="20"/>
        </w:rPr>
      </w:pPr>
      <w:r w:rsidRPr="00E00B35">
        <w:rPr>
          <w:rFonts w:eastAsia="Calibri"/>
          <w:szCs w:val="20"/>
        </w:rPr>
        <w:t>W zakresie wsparcia socjalnego i specjalistycznego Klient Ośrodka otrzymuje:</w:t>
      </w:r>
    </w:p>
    <w:p w:rsidR="00CA14AB" w:rsidRPr="00E00B35" w:rsidRDefault="00CA14AB" w:rsidP="00BC64AB">
      <w:pPr>
        <w:pStyle w:val="Akapitzlist"/>
        <w:numPr>
          <w:ilvl w:val="0"/>
          <w:numId w:val="230"/>
        </w:numPr>
        <w:spacing w:after="0" w:line="312" w:lineRule="auto"/>
        <w:ind w:left="426" w:hanging="426"/>
        <w:rPr>
          <w:rFonts w:eastAsia="Calibri"/>
          <w:szCs w:val="20"/>
        </w:rPr>
      </w:pPr>
      <w:r w:rsidRPr="00E00B35">
        <w:rPr>
          <w:rFonts w:eastAsia="Calibri"/>
          <w:szCs w:val="20"/>
        </w:rPr>
        <w:t xml:space="preserve">usługę pracy socjalnej indywidualnie dostosowaną do sytuacji życiowej </w:t>
      </w:r>
      <w:r w:rsidRPr="00E00B35">
        <w:rPr>
          <w:rFonts w:eastAsia="Calibri"/>
          <w:szCs w:val="20"/>
        </w:rPr>
        <w:br/>
        <w:t>w porozumieniu z Klientem Ośrodka,</w:t>
      </w:r>
    </w:p>
    <w:p w:rsidR="00CA14AB" w:rsidRPr="00E00B35" w:rsidRDefault="00CA14AB" w:rsidP="00BC64AB">
      <w:pPr>
        <w:pStyle w:val="Akapitzlist"/>
        <w:numPr>
          <w:ilvl w:val="0"/>
          <w:numId w:val="230"/>
        </w:numPr>
        <w:spacing w:after="0" w:line="312" w:lineRule="auto"/>
        <w:ind w:left="426" w:hanging="426"/>
        <w:rPr>
          <w:rFonts w:eastAsia="Calibri"/>
          <w:szCs w:val="20"/>
        </w:rPr>
      </w:pPr>
      <w:r w:rsidRPr="00E00B35">
        <w:rPr>
          <w:rFonts w:eastAsia="Calibri"/>
          <w:szCs w:val="20"/>
        </w:rPr>
        <w:t>dostęp do bezpłatnego poradnictwa specjalistycznego, psychologicznego, pedagogicznego, zawodowego stosownie do potrzeb,</w:t>
      </w:r>
    </w:p>
    <w:p w:rsidR="00CA14AB" w:rsidRPr="00E00B35" w:rsidRDefault="00CA14AB" w:rsidP="00BC64AB">
      <w:pPr>
        <w:pStyle w:val="Akapitzlist"/>
        <w:numPr>
          <w:ilvl w:val="0"/>
          <w:numId w:val="230"/>
        </w:numPr>
        <w:spacing w:after="0" w:line="312" w:lineRule="auto"/>
        <w:ind w:left="426" w:hanging="426"/>
        <w:rPr>
          <w:rFonts w:eastAsia="Calibri"/>
          <w:szCs w:val="20"/>
        </w:rPr>
      </w:pPr>
      <w:r w:rsidRPr="00E00B35">
        <w:rPr>
          <w:rFonts w:eastAsia="Calibri"/>
          <w:szCs w:val="20"/>
        </w:rPr>
        <w:t>możliwość korzystania z oferty grup wsparcia, warsztatów edukacyjnych, grup samopomocowych oraz udziału w grupowych spotkaniach integracyjnych.</w:t>
      </w:r>
    </w:p>
    <w:p w:rsidR="00CA14AB" w:rsidRPr="00E00B35" w:rsidRDefault="00CA14AB" w:rsidP="00E00B35">
      <w:pPr>
        <w:spacing w:after="0" w:line="312" w:lineRule="auto"/>
        <w:rPr>
          <w:rFonts w:eastAsia="Calibri"/>
          <w:szCs w:val="20"/>
        </w:rPr>
      </w:pPr>
      <w:r w:rsidRPr="00E00B35">
        <w:rPr>
          <w:rFonts w:eastAsia="Calibri"/>
          <w:szCs w:val="20"/>
        </w:rPr>
        <w:t>Ośrodek Wsparcia ma dwie lokalizacje:</w:t>
      </w:r>
    </w:p>
    <w:p w:rsidR="00CA14AB" w:rsidRPr="00E00B35" w:rsidRDefault="00CA14AB" w:rsidP="00BC64AB">
      <w:pPr>
        <w:pStyle w:val="Akapitzlist"/>
        <w:numPr>
          <w:ilvl w:val="0"/>
          <w:numId w:val="230"/>
        </w:numPr>
        <w:spacing w:after="0" w:line="312" w:lineRule="auto"/>
        <w:ind w:left="426" w:hanging="426"/>
        <w:rPr>
          <w:rFonts w:eastAsia="Calibri"/>
          <w:szCs w:val="20"/>
        </w:rPr>
      </w:pPr>
      <w:r w:rsidRPr="00E00B35">
        <w:rPr>
          <w:rFonts w:eastAsia="Calibri"/>
          <w:szCs w:val="20"/>
        </w:rPr>
        <w:t xml:space="preserve">Ośrodek Wsparcia przy ul. Reymonta 8 - przebywa tam 6 rodzin </w:t>
      </w:r>
      <w:r w:rsidRPr="00E00B35">
        <w:rPr>
          <w:rFonts w:eastAsia="Calibri"/>
          <w:szCs w:val="20"/>
        </w:rPr>
        <w:br/>
        <w:t xml:space="preserve">rumuńskich Romów. Mieszkańcy ośrodka mają do dyspozycji kuchnię wraz </w:t>
      </w:r>
      <w:r w:rsidRPr="00E00B35">
        <w:rPr>
          <w:rFonts w:eastAsia="Calibri"/>
          <w:szCs w:val="20"/>
        </w:rPr>
        <w:br/>
        <w:t xml:space="preserve">z wyposażeniem, 2 łazienki, pralnię oraz świetlicę. Na dzień 31.12.2020r. </w:t>
      </w:r>
      <w:r w:rsidRPr="00E00B35">
        <w:rPr>
          <w:rFonts w:eastAsia="Calibri"/>
          <w:szCs w:val="20"/>
        </w:rPr>
        <w:br/>
        <w:t>w ośrodku przebywało 18 osób, w tym 6 dzieci w wieku od 1 do 11 lat.</w:t>
      </w:r>
    </w:p>
    <w:p w:rsidR="00CA14AB" w:rsidRPr="00E00B35" w:rsidRDefault="00CA14AB" w:rsidP="00BC64AB">
      <w:pPr>
        <w:pStyle w:val="Akapitzlist"/>
        <w:numPr>
          <w:ilvl w:val="0"/>
          <w:numId w:val="230"/>
        </w:numPr>
        <w:spacing w:after="0" w:line="312" w:lineRule="auto"/>
        <w:ind w:left="426" w:hanging="426"/>
        <w:rPr>
          <w:rFonts w:eastAsia="Calibri"/>
          <w:szCs w:val="20"/>
        </w:rPr>
      </w:pPr>
      <w:r w:rsidRPr="00E00B35">
        <w:rPr>
          <w:rFonts w:eastAsia="Calibri"/>
          <w:szCs w:val="20"/>
        </w:rPr>
        <w:t xml:space="preserve">Ośrodek Wsparcia przy ul. B. Chrobrego 34a - przebywa tam 14 rodzin </w:t>
      </w:r>
      <w:r w:rsidRPr="00E00B35">
        <w:rPr>
          <w:rFonts w:eastAsia="Calibri"/>
          <w:szCs w:val="20"/>
        </w:rPr>
        <w:br/>
        <w:t>z dziećmi na utrzymaniu. Każda z rodzin ma do dyspozycji samodzielne mieszkanie 1, 2 lub 4-pokojowe, z oddzielną kuchnią i łazienką. W okresie od 01.01.2020r. do 31.12.2020r. w Ośrodku przebywało średnio 41 osób. Na dzień 31.12.2020r. w ośrodku przebywały 43 osoby, w tym 28 dzieci w wieku od 0 do 18 lat.</w:t>
      </w:r>
    </w:p>
    <w:p w:rsidR="00CA14AB" w:rsidRPr="00E00B35" w:rsidRDefault="00CA14AB" w:rsidP="00E00B35">
      <w:pPr>
        <w:spacing w:after="0" w:line="312" w:lineRule="auto"/>
        <w:rPr>
          <w:rFonts w:eastAsia="Calibri"/>
          <w:szCs w:val="20"/>
        </w:rPr>
      </w:pPr>
      <w:r w:rsidRPr="00E00B35">
        <w:rPr>
          <w:rFonts w:eastAsia="Calibri"/>
          <w:szCs w:val="20"/>
        </w:rPr>
        <w:t>Z każdym z mieszkańców prowadzona jest indywidualna praca socjalna, skoncentrowana na usamodzielnieniu rodzin korzystających ze wsparcia MOPS. Usamodzielnienie rozumiane jest tu jako przygotowanie do pełnego uczestnictwa w życiu społecznym, zawodowym, łącznie z uzyskaniem samodzielnych mieszkań socjalnych z zasobów Gminy Wrocław, a w przypadku mieszkańców pochodzenia romskiego dodatkowo przygotowanie ich do integracji ze społeczeństwem polskim.</w:t>
      </w:r>
    </w:p>
    <w:p w:rsidR="00CA14AB" w:rsidRPr="00E00B35" w:rsidRDefault="00CA14AB" w:rsidP="00E00B35">
      <w:pPr>
        <w:spacing w:after="0" w:line="312" w:lineRule="auto"/>
        <w:rPr>
          <w:szCs w:val="20"/>
        </w:rPr>
      </w:pPr>
      <w:r w:rsidRPr="00E00B35">
        <w:rPr>
          <w:szCs w:val="20"/>
        </w:rPr>
        <w:t xml:space="preserve">Realizacja pracy socjalnej dla mieszkańców ośrodka wsparcia jest prowadzona przez kadrę ośrodka, która składa się z 3 konsultantów pedagogów oraz koordynatora ośrodka. Kadra ośrodka ściśle współpracuje z asystentami rodziny oraz innymi specjalistami stanowiącymi zasoby MOPS: psycholodzy, pedagodzy, specjaliści pracy socjalnej. Ściśle też współpracują z innymi instytucjami i organizacjami pozarządowymi funkcjonującymi na terenie miasta Wrocławia. </w:t>
      </w:r>
    </w:p>
    <w:p w:rsidR="00CA14AB" w:rsidRPr="00E00B35" w:rsidRDefault="00CA14AB" w:rsidP="00E00B35">
      <w:pPr>
        <w:spacing w:after="0" w:line="312" w:lineRule="auto"/>
        <w:rPr>
          <w:szCs w:val="20"/>
        </w:rPr>
      </w:pPr>
      <w:r w:rsidRPr="00E00B35">
        <w:rPr>
          <w:szCs w:val="20"/>
        </w:rPr>
        <w:t>W 2020 roku 4 rodziny przeprowadziły się do własnych lokali socjalnych, a 5 kolejnych rodzin oczekuje na zakończenie remontu i podpisanie umowy z Gminą Wrocław o lokal socjalny.</w:t>
      </w:r>
    </w:p>
    <w:p w:rsidR="00CA14AB" w:rsidRPr="00E00B35" w:rsidRDefault="00CA14AB" w:rsidP="00E00B35">
      <w:pPr>
        <w:spacing w:after="0" w:line="312" w:lineRule="auto"/>
        <w:rPr>
          <w:szCs w:val="20"/>
        </w:rPr>
      </w:pPr>
      <w:r w:rsidRPr="00E00B35">
        <w:rPr>
          <w:szCs w:val="20"/>
        </w:rPr>
        <w:t xml:space="preserve">Jednocześnie należy nadmienić, że drugi Dom dla Matek z Małoletnimi Dziećmi i Kobiet </w:t>
      </w:r>
      <w:r w:rsidRPr="00E00B35">
        <w:rPr>
          <w:szCs w:val="20"/>
        </w:rPr>
        <w:br/>
        <w:t>w Ciąży jest prowadzony przez organizację pozarządową Stowarzyszenie „Misja Dworcowa” im. Ks. Jana Schneidera.</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411" w:name="_Toc72352436"/>
      <w:bookmarkStart w:id="412" w:name="_Toc72352870"/>
      <w:bookmarkStart w:id="413" w:name="_Hlk534359332"/>
      <w:bookmarkEnd w:id="410"/>
      <w:r w:rsidRPr="00E00B35">
        <w:rPr>
          <w:sz w:val="20"/>
          <w:szCs w:val="20"/>
        </w:rPr>
        <w:lastRenderedPageBreak/>
        <w:t>ORZEKANIE O NIEPEŁNOSPRAWNOŚCI I STOPNIU NIEPEŁNOSPRAWNOŚCI</w:t>
      </w:r>
      <w:bookmarkEnd w:id="411"/>
      <w:bookmarkEnd w:id="412"/>
    </w:p>
    <w:p w:rsidR="00CA14AB" w:rsidRPr="00E00B35" w:rsidRDefault="00CA14AB" w:rsidP="00E00B35">
      <w:pPr>
        <w:spacing w:after="0" w:line="312" w:lineRule="auto"/>
        <w:rPr>
          <w:szCs w:val="20"/>
        </w:rPr>
      </w:pPr>
      <w:r w:rsidRPr="00E00B35">
        <w:rPr>
          <w:szCs w:val="20"/>
        </w:rPr>
        <w:t xml:space="preserve">Zgodnie z zawartymi porozumieniami Powiatowy Zespół do Spraw Orzekania </w:t>
      </w:r>
      <w:r w:rsidRPr="00E00B35">
        <w:rPr>
          <w:szCs w:val="20"/>
        </w:rPr>
        <w:br/>
        <w:t xml:space="preserve">o Niepełnosprawności we Wrocławiu obejmuje zasięgiem swojego działania powiat wrocławski grodzki i ziemski. </w:t>
      </w:r>
    </w:p>
    <w:p w:rsidR="00CA14AB" w:rsidRPr="00E00B35" w:rsidRDefault="00CA14AB" w:rsidP="00E00B35">
      <w:pPr>
        <w:spacing w:after="0" w:line="312" w:lineRule="auto"/>
        <w:rPr>
          <w:szCs w:val="20"/>
        </w:rPr>
      </w:pPr>
      <w:r w:rsidRPr="00E00B35">
        <w:rPr>
          <w:szCs w:val="20"/>
        </w:rPr>
        <w:t xml:space="preserve">W Zespole zatrudnionych było 12 pracowników administracyjno-biurowych oraz </w:t>
      </w:r>
      <w:r w:rsidRPr="00E00B35">
        <w:rPr>
          <w:szCs w:val="20"/>
        </w:rPr>
        <w:br/>
        <w:t>20 członków składów orzekających, wykonujących inną pracę zarobkową na podstawie umów cywilnoprawnych.</w:t>
      </w:r>
    </w:p>
    <w:p w:rsidR="00CA14AB" w:rsidRPr="00E00B35" w:rsidRDefault="00CA14AB" w:rsidP="00E00B35">
      <w:pPr>
        <w:spacing w:after="0" w:line="312" w:lineRule="auto"/>
        <w:rPr>
          <w:szCs w:val="20"/>
        </w:rPr>
      </w:pPr>
      <w:r w:rsidRPr="00E00B35">
        <w:rPr>
          <w:szCs w:val="20"/>
        </w:rPr>
        <w:t>W 2020</w:t>
      </w:r>
      <w:r w:rsidR="00DC2D5B" w:rsidRPr="00E00B35">
        <w:rPr>
          <w:szCs w:val="20"/>
        </w:rPr>
        <w:t xml:space="preserve"> </w:t>
      </w:r>
      <w:r w:rsidRPr="00E00B35">
        <w:rPr>
          <w:szCs w:val="20"/>
        </w:rPr>
        <w:t xml:space="preserve">r. przyjęto ogółem 6 605 wniosków w sprawie wydania orzeczenia </w:t>
      </w:r>
      <w:r w:rsidRPr="00E00B35">
        <w:rPr>
          <w:szCs w:val="20"/>
        </w:rPr>
        <w:br/>
        <w:t xml:space="preserve">o niepełnosprawności lub o stopniu niepełnosprawności. </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rFonts w:eastAsia="Calibri"/>
          <w:szCs w:val="20"/>
        </w:rPr>
      </w:pPr>
      <w:r w:rsidRPr="00E00B35">
        <w:rPr>
          <w:rFonts w:eastAsia="Calibri"/>
          <w:szCs w:val="20"/>
        </w:rPr>
        <w:t>W okresie sprawozdawczym wydano ogółem 6 958 orzeczeń:</w:t>
      </w:r>
    </w:p>
    <w:p w:rsidR="00CA14AB" w:rsidRPr="00E00B35" w:rsidRDefault="00CA14AB" w:rsidP="00E00B35">
      <w:pPr>
        <w:spacing w:after="0" w:line="312" w:lineRule="auto"/>
        <w:rPr>
          <w:rFonts w:eastAsia="Calibri"/>
          <w:szCs w:val="20"/>
        </w:rPr>
      </w:pPr>
      <w:r w:rsidRPr="00E00B35">
        <w:rPr>
          <w:rFonts w:eastAsia="Calibri"/>
          <w:szCs w:val="20"/>
        </w:rPr>
        <w:t>Liczba wydanych orzeczeń o stopniu niepełnosprawności (osobom po 16 roku życia)</w:t>
      </w:r>
    </w:p>
    <w:tbl>
      <w:tblPr>
        <w:tblW w:w="9142" w:type="dxa"/>
        <w:tblLayout w:type="fixed"/>
        <w:tblCellMar>
          <w:left w:w="70" w:type="dxa"/>
          <w:right w:w="70" w:type="dxa"/>
        </w:tblCellMar>
        <w:tblLook w:val="0000"/>
      </w:tblPr>
      <w:tblGrid>
        <w:gridCol w:w="763"/>
        <w:gridCol w:w="5261"/>
        <w:gridCol w:w="3118"/>
      </w:tblGrid>
      <w:tr w:rsidR="00CA14AB" w:rsidRPr="00E00B35" w:rsidTr="00CA14AB">
        <w:tc>
          <w:tcPr>
            <w:tcW w:w="763" w:type="dxa"/>
            <w:tcBorders>
              <w:top w:val="single" w:sz="6" w:space="0" w:color="auto"/>
              <w:left w:val="single" w:sz="6" w:space="0" w:color="auto"/>
              <w:bottom w:val="single" w:sz="6" w:space="0" w:color="auto"/>
              <w:right w:val="single" w:sz="6" w:space="0" w:color="auto"/>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Lp.</w:t>
            </w:r>
          </w:p>
        </w:tc>
        <w:tc>
          <w:tcPr>
            <w:tcW w:w="5261" w:type="dxa"/>
            <w:tcBorders>
              <w:top w:val="single" w:sz="6" w:space="0" w:color="auto"/>
              <w:left w:val="single" w:sz="6" w:space="0" w:color="auto"/>
              <w:bottom w:val="single" w:sz="6" w:space="0" w:color="auto"/>
              <w:right w:val="single" w:sz="6" w:space="0" w:color="auto"/>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Wyszczególnienie</w:t>
            </w:r>
          </w:p>
        </w:tc>
        <w:tc>
          <w:tcPr>
            <w:tcW w:w="3118" w:type="dxa"/>
            <w:tcBorders>
              <w:top w:val="single" w:sz="6" w:space="0" w:color="auto"/>
              <w:left w:val="single" w:sz="6" w:space="0" w:color="auto"/>
              <w:bottom w:val="single" w:sz="6" w:space="0" w:color="auto"/>
              <w:right w:val="single" w:sz="6" w:space="0" w:color="auto"/>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Liczba</w:t>
            </w:r>
          </w:p>
        </w:tc>
      </w:tr>
      <w:tr w:rsidR="00CA14AB" w:rsidRPr="00E00B35" w:rsidTr="00CA14AB">
        <w:tc>
          <w:tcPr>
            <w:tcW w:w="763"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1.</w:t>
            </w:r>
          </w:p>
          <w:p w:rsidR="00CA14AB" w:rsidRPr="00E00B35" w:rsidRDefault="00CA14AB" w:rsidP="00E00B35">
            <w:pPr>
              <w:spacing w:after="0" w:line="312" w:lineRule="auto"/>
              <w:rPr>
                <w:rFonts w:eastAsia="Calibri"/>
                <w:szCs w:val="20"/>
              </w:rPr>
            </w:pPr>
          </w:p>
        </w:tc>
        <w:tc>
          <w:tcPr>
            <w:tcW w:w="5261"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 xml:space="preserve">Wydane orzeczenia z określeniem stopnia </w:t>
            </w:r>
            <w:r w:rsidRPr="00E00B35">
              <w:rPr>
                <w:rFonts w:eastAsia="Calibri"/>
                <w:szCs w:val="20"/>
              </w:rPr>
              <w:br/>
              <w:t xml:space="preserve"> niepełnosprawności,</w:t>
            </w:r>
          </w:p>
          <w:p w:rsidR="00CA14AB" w:rsidRPr="00E00B35" w:rsidRDefault="00CA14AB" w:rsidP="00E00B35">
            <w:pPr>
              <w:spacing w:after="0" w:line="312" w:lineRule="auto"/>
              <w:rPr>
                <w:rFonts w:eastAsia="Calibri"/>
                <w:szCs w:val="20"/>
              </w:rPr>
            </w:pPr>
            <w:r w:rsidRPr="00E00B35">
              <w:rPr>
                <w:rFonts w:eastAsia="Calibri"/>
                <w:szCs w:val="20"/>
              </w:rPr>
              <w:t>w tym:</w:t>
            </w:r>
          </w:p>
          <w:p w:rsidR="00CA14AB" w:rsidRPr="00E00B35" w:rsidRDefault="00CA14AB" w:rsidP="00E00B35">
            <w:pPr>
              <w:spacing w:after="0" w:line="312" w:lineRule="auto"/>
              <w:rPr>
                <w:rFonts w:eastAsia="Calibri"/>
                <w:szCs w:val="20"/>
              </w:rPr>
            </w:pPr>
            <w:r w:rsidRPr="00E00B35">
              <w:rPr>
                <w:rFonts w:eastAsia="Calibri"/>
                <w:szCs w:val="20"/>
              </w:rPr>
              <w:t>- lekki stopień</w:t>
            </w:r>
          </w:p>
          <w:p w:rsidR="00CA14AB" w:rsidRPr="00E00B35" w:rsidRDefault="00CA14AB" w:rsidP="00E00B35">
            <w:pPr>
              <w:spacing w:after="0" w:line="312" w:lineRule="auto"/>
              <w:rPr>
                <w:rFonts w:eastAsia="Calibri"/>
                <w:szCs w:val="20"/>
              </w:rPr>
            </w:pPr>
            <w:r w:rsidRPr="00E00B35">
              <w:rPr>
                <w:rFonts w:eastAsia="Calibri"/>
                <w:szCs w:val="20"/>
              </w:rPr>
              <w:t>- umiarkowany stopień</w:t>
            </w:r>
          </w:p>
          <w:p w:rsidR="00CA14AB" w:rsidRPr="00E00B35" w:rsidRDefault="00CA14AB" w:rsidP="00E00B35">
            <w:pPr>
              <w:spacing w:after="0" w:line="312" w:lineRule="auto"/>
              <w:rPr>
                <w:rFonts w:eastAsia="Calibri"/>
                <w:szCs w:val="20"/>
              </w:rPr>
            </w:pPr>
            <w:r w:rsidRPr="00E00B35">
              <w:rPr>
                <w:rFonts w:eastAsia="Calibri"/>
                <w:szCs w:val="20"/>
              </w:rPr>
              <w:t>- znaczny stopień</w:t>
            </w:r>
          </w:p>
        </w:tc>
        <w:tc>
          <w:tcPr>
            <w:tcW w:w="3118" w:type="dxa"/>
            <w:tcBorders>
              <w:top w:val="single" w:sz="6" w:space="0" w:color="auto"/>
              <w:left w:val="single" w:sz="6" w:space="0" w:color="auto"/>
              <w:bottom w:val="single" w:sz="6" w:space="0" w:color="auto"/>
              <w:right w:val="single" w:sz="6" w:space="0" w:color="auto"/>
            </w:tcBorders>
            <w:vAlign w:val="center"/>
          </w:tcPr>
          <w:p w:rsidR="00CA14AB" w:rsidRPr="00E00B35" w:rsidRDefault="00CA14AB" w:rsidP="00E00B35">
            <w:pPr>
              <w:spacing w:after="0" w:line="312" w:lineRule="auto"/>
              <w:rPr>
                <w:rFonts w:eastAsia="Calibri"/>
                <w:szCs w:val="20"/>
              </w:rPr>
            </w:pPr>
            <w:r w:rsidRPr="00E00B35">
              <w:rPr>
                <w:rFonts w:eastAsia="Calibri"/>
                <w:szCs w:val="20"/>
              </w:rPr>
              <w:t>4 636</w:t>
            </w:r>
          </w:p>
          <w:p w:rsidR="00CA14AB" w:rsidRPr="00E00B35" w:rsidRDefault="00CA14AB" w:rsidP="00E00B35">
            <w:pPr>
              <w:spacing w:after="0" w:line="312" w:lineRule="auto"/>
              <w:rPr>
                <w:rFonts w:eastAsia="Calibri"/>
                <w:szCs w:val="20"/>
              </w:rPr>
            </w:pPr>
          </w:p>
          <w:p w:rsidR="00CA14AB" w:rsidRPr="00E00B35" w:rsidRDefault="00CA14AB" w:rsidP="00E00B35">
            <w:pPr>
              <w:spacing w:after="0" w:line="312" w:lineRule="auto"/>
              <w:rPr>
                <w:rFonts w:eastAsia="Calibri"/>
                <w:szCs w:val="20"/>
              </w:rPr>
            </w:pPr>
            <w:r w:rsidRPr="00E00B35">
              <w:rPr>
                <w:rFonts w:eastAsia="Calibri"/>
                <w:szCs w:val="20"/>
              </w:rPr>
              <w:t>1 818</w:t>
            </w:r>
          </w:p>
          <w:p w:rsidR="00CA14AB" w:rsidRPr="00E00B35" w:rsidRDefault="00CA14AB" w:rsidP="00E00B35">
            <w:pPr>
              <w:spacing w:after="0" w:line="312" w:lineRule="auto"/>
              <w:rPr>
                <w:rFonts w:eastAsia="Calibri"/>
                <w:szCs w:val="20"/>
              </w:rPr>
            </w:pPr>
            <w:r w:rsidRPr="00E00B35">
              <w:rPr>
                <w:rFonts w:eastAsia="Calibri"/>
                <w:szCs w:val="20"/>
              </w:rPr>
              <w:t>1 744</w:t>
            </w:r>
          </w:p>
          <w:p w:rsidR="00CA14AB" w:rsidRPr="00E00B35" w:rsidRDefault="00CA14AB" w:rsidP="00E00B35">
            <w:pPr>
              <w:spacing w:after="0" w:line="312" w:lineRule="auto"/>
              <w:rPr>
                <w:rFonts w:eastAsia="Calibri"/>
                <w:szCs w:val="20"/>
              </w:rPr>
            </w:pPr>
            <w:r w:rsidRPr="00E00B35">
              <w:rPr>
                <w:rFonts w:eastAsia="Calibri"/>
                <w:szCs w:val="20"/>
              </w:rPr>
              <w:t>1 074</w:t>
            </w:r>
          </w:p>
          <w:p w:rsidR="00CA14AB" w:rsidRPr="00E00B35" w:rsidRDefault="00CA14AB" w:rsidP="00E00B35">
            <w:pPr>
              <w:spacing w:after="0" w:line="312" w:lineRule="auto"/>
              <w:rPr>
                <w:rFonts w:eastAsia="Calibri"/>
                <w:szCs w:val="20"/>
              </w:rPr>
            </w:pPr>
          </w:p>
        </w:tc>
      </w:tr>
      <w:tr w:rsidR="00CA14AB" w:rsidRPr="00E00B35" w:rsidTr="00CA14AB">
        <w:tc>
          <w:tcPr>
            <w:tcW w:w="763"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2.</w:t>
            </w:r>
          </w:p>
          <w:p w:rsidR="00CA14AB" w:rsidRPr="00E00B35" w:rsidRDefault="00CA14AB" w:rsidP="00E00B35">
            <w:pPr>
              <w:spacing w:after="0" w:line="312" w:lineRule="auto"/>
              <w:rPr>
                <w:rFonts w:eastAsia="Calibri"/>
                <w:szCs w:val="20"/>
              </w:rPr>
            </w:pPr>
          </w:p>
        </w:tc>
        <w:tc>
          <w:tcPr>
            <w:tcW w:w="5261"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 xml:space="preserve">Wydane orzeczenia o niezaliczeniu do osób </w:t>
            </w:r>
            <w:r w:rsidRPr="00E00B35">
              <w:rPr>
                <w:rFonts w:eastAsia="Calibri"/>
                <w:szCs w:val="20"/>
              </w:rPr>
              <w:br/>
              <w:t xml:space="preserve"> niepełnosprawnych</w:t>
            </w:r>
          </w:p>
          <w:p w:rsidR="00CA14AB" w:rsidRPr="00E00B35" w:rsidRDefault="00CA14AB" w:rsidP="00E00B35">
            <w:pPr>
              <w:spacing w:after="0" w:line="312" w:lineRule="auto"/>
              <w:rPr>
                <w:rFonts w:eastAsia="Calibri"/>
                <w:szCs w:val="20"/>
              </w:rPr>
            </w:pPr>
          </w:p>
        </w:tc>
        <w:tc>
          <w:tcPr>
            <w:tcW w:w="3118" w:type="dxa"/>
            <w:tcBorders>
              <w:top w:val="single" w:sz="6" w:space="0" w:color="auto"/>
              <w:left w:val="single" w:sz="6" w:space="0" w:color="auto"/>
              <w:bottom w:val="single" w:sz="6" w:space="0" w:color="auto"/>
              <w:right w:val="single" w:sz="6" w:space="0" w:color="auto"/>
            </w:tcBorders>
            <w:vAlign w:val="center"/>
          </w:tcPr>
          <w:p w:rsidR="00CA14AB" w:rsidRPr="00E00B35" w:rsidRDefault="00CA14AB" w:rsidP="00E00B35">
            <w:pPr>
              <w:spacing w:after="0" w:line="312" w:lineRule="auto"/>
              <w:rPr>
                <w:rFonts w:eastAsia="Calibri"/>
                <w:szCs w:val="20"/>
              </w:rPr>
            </w:pPr>
            <w:r w:rsidRPr="00E00B35">
              <w:rPr>
                <w:rFonts w:eastAsia="Calibri"/>
                <w:szCs w:val="20"/>
              </w:rPr>
              <w:t>886</w:t>
            </w:r>
          </w:p>
          <w:p w:rsidR="00CA14AB" w:rsidRPr="00E00B35" w:rsidRDefault="00CA14AB" w:rsidP="00E00B35">
            <w:pPr>
              <w:spacing w:after="0" w:line="312" w:lineRule="auto"/>
              <w:rPr>
                <w:rFonts w:eastAsia="Calibri"/>
                <w:szCs w:val="20"/>
              </w:rPr>
            </w:pPr>
          </w:p>
        </w:tc>
      </w:tr>
      <w:tr w:rsidR="00CA14AB" w:rsidRPr="00E00B35" w:rsidTr="00CA14AB">
        <w:tc>
          <w:tcPr>
            <w:tcW w:w="763"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3.</w:t>
            </w:r>
          </w:p>
          <w:p w:rsidR="00CA14AB" w:rsidRPr="00E00B35" w:rsidRDefault="00CA14AB" w:rsidP="00E00B35">
            <w:pPr>
              <w:spacing w:after="0" w:line="312" w:lineRule="auto"/>
              <w:rPr>
                <w:rFonts w:eastAsia="Calibri"/>
                <w:szCs w:val="20"/>
              </w:rPr>
            </w:pPr>
          </w:p>
        </w:tc>
        <w:tc>
          <w:tcPr>
            <w:tcW w:w="5261"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 xml:space="preserve">Wydane orzeczenia o odmowie ustalenia </w:t>
            </w:r>
            <w:r w:rsidRPr="00E00B35">
              <w:rPr>
                <w:rFonts w:eastAsia="Calibri"/>
                <w:szCs w:val="20"/>
              </w:rPr>
              <w:br/>
              <w:t xml:space="preserve"> stopnia niepełnosprawności (utrzymanie w mocy poprzedniej decyzji)</w:t>
            </w:r>
          </w:p>
        </w:tc>
        <w:tc>
          <w:tcPr>
            <w:tcW w:w="3118" w:type="dxa"/>
            <w:tcBorders>
              <w:top w:val="single" w:sz="6" w:space="0" w:color="auto"/>
              <w:left w:val="single" w:sz="6" w:space="0" w:color="auto"/>
              <w:bottom w:val="single" w:sz="6" w:space="0" w:color="auto"/>
              <w:right w:val="single" w:sz="6" w:space="0" w:color="auto"/>
            </w:tcBorders>
            <w:vAlign w:val="center"/>
          </w:tcPr>
          <w:p w:rsidR="00CA14AB" w:rsidRPr="00E00B35" w:rsidRDefault="00CA14AB" w:rsidP="00E00B35">
            <w:pPr>
              <w:spacing w:after="0" w:line="312" w:lineRule="auto"/>
              <w:rPr>
                <w:rFonts w:eastAsia="Calibri"/>
                <w:szCs w:val="20"/>
              </w:rPr>
            </w:pPr>
            <w:r w:rsidRPr="00E00B35">
              <w:rPr>
                <w:rFonts w:eastAsia="Calibri"/>
                <w:szCs w:val="20"/>
              </w:rPr>
              <w:t>320</w:t>
            </w:r>
          </w:p>
          <w:p w:rsidR="00CA14AB" w:rsidRPr="00E00B35" w:rsidRDefault="00CA14AB" w:rsidP="00E00B35">
            <w:pPr>
              <w:spacing w:after="0" w:line="312" w:lineRule="auto"/>
              <w:rPr>
                <w:rFonts w:eastAsia="Calibri"/>
                <w:szCs w:val="20"/>
              </w:rPr>
            </w:pPr>
          </w:p>
        </w:tc>
      </w:tr>
      <w:tr w:rsidR="00CA14AB" w:rsidRPr="00E00B35" w:rsidTr="00CA14AB">
        <w:tc>
          <w:tcPr>
            <w:tcW w:w="763"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p>
          <w:p w:rsidR="00CA14AB" w:rsidRPr="00E00B35" w:rsidRDefault="00CA14AB" w:rsidP="00E00B35">
            <w:pPr>
              <w:spacing w:after="0" w:line="312" w:lineRule="auto"/>
              <w:rPr>
                <w:rFonts w:eastAsia="Calibri"/>
                <w:szCs w:val="20"/>
              </w:rPr>
            </w:pPr>
          </w:p>
        </w:tc>
        <w:tc>
          <w:tcPr>
            <w:tcW w:w="5261"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Razem</w:t>
            </w:r>
          </w:p>
        </w:tc>
        <w:tc>
          <w:tcPr>
            <w:tcW w:w="3118" w:type="dxa"/>
            <w:tcBorders>
              <w:top w:val="single" w:sz="6" w:space="0" w:color="auto"/>
              <w:left w:val="single" w:sz="6" w:space="0" w:color="auto"/>
              <w:bottom w:val="single" w:sz="6" w:space="0" w:color="auto"/>
              <w:right w:val="single" w:sz="6" w:space="0" w:color="auto"/>
            </w:tcBorders>
            <w:vAlign w:val="center"/>
          </w:tcPr>
          <w:p w:rsidR="00CA14AB" w:rsidRPr="00E00B35" w:rsidRDefault="00CA14AB" w:rsidP="00E00B35">
            <w:pPr>
              <w:spacing w:after="0" w:line="312" w:lineRule="auto"/>
              <w:rPr>
                <w:rFonts w:eastAsia="Calibri"/>
                <w:szCs w:val="20"/>
              </w:rPr>
            </w:pPr>
            <w:r w:rsidRPr="00E00B35">
              <w:rPr>
                <w:rFonts w:eastAsia="Calibri"/>
                <w:szCs w:val="20"/>
              </w:rPr>
              <w:t>5 842</w:t>
            </w:r>
          </w:p>
        </w:tc>
      </w:tr>
    </w:tbl>
    <w:p w:rsidR="00890136" w:rsidRPr="00E00B35" w:rsidRDefault="00890136" w:rsidP="00E00B35">
      <w:pPr>
        <w:spacing w:after="0" w:line="312" w:lineRule="auto"/>
        <w:rPr>
          <w:rFonts w:eastAsia="Calibri"/>
          <w:szCs w:val="20"/>
        </w:rPr>
      </w:pPr>
    </w:p>
    <w:p w:rsidR="00CA14AB" w:rsidRPr="00E00B35" w:rsidRDefault="00CA14AB" w:rsidP="00E00B35">
      <w:pPr>
        <w:spacing w:after="0" w:line="312" w:lineRule="auto"/>
        <w:rPr>
          <w:rFonts w:eastAsia="Calibri"/>
          <w:szCs w:val="20"/>
        </w:rPr>
      </w:pPr>
      <w:r w:rsidRPr="00E00B35">
        <w:rPr>
          <w:rFonts w:eastAsia="Calibri"/>
          <w:szCs w:val="20"/>
        </w:rPr>
        <w:t>Liczba wydanych orzeczeń o stopniu niepełnosprawności (osobom do 16 roku życia)</w:t>
      </w:r>
    </w:p>
    <w:tbl>
      <w:tblPr>
        <w:tblW w:w="0" w:type="auto"/>
        <w:tblLayout w:type="fixed"/>
        <w:tblCellMar>
          <w:left w:w="70" w:type="dxa"/>
          <w:right w:w="70" w:type="dxa"/>
        </w:tblCellMar>
        <w:tblLook w:val="0000"/>
      </w:tblPr>
      <w:tblGrid>
        <w:gridCol w:w="703"/>
        <w:gridCol w:w="5321"/>
        <w:gridCol w:w="3118"/>
      </w:tblGrid>
      <w:tr w:rsidR="00CA14AB" w:rsidRPr="00E00B35" w:rsidTr="00CA14AB">
        <w:tc>
          <w:tcPr>
            <w:tcW w:w="703" w:type="dxa"/>
            <w:tcBorders>
              <w:top w:val="single" w:sz="6" w:space="0" w:color="auto"/>
              <w:left w:val="single" w:sz="6" w:space="0" w:color="auto"/>
              <w:bottom w:val="single" w:sz="6" w:space="0" w:color="auto"/>
              <w:right w:val="single" w:sz="6" w:space="0" w:color="auto"/>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Lp.</w:t>
            </w:r>
          </w:p>
          <w:p w:rsidR="00CA14AB" w:rsidRPr="00E00B35" w:rsidRDefault="00CA14AB" w:rsidP="00E00B35">
            <w:pPr>
              <w:spacing w:after="0" w:line="312" w:lineRule="auto"/>
              <w:rPr>
                <w:rFonts w:eastAsia="Calibri"/>
                <w:szCs w:val="20"/>
              </w:rPr>
            </w:pPr>
          </w:p>
        </w:tc>
        <w:tc>
          <w:tcPr>
            <w:tcW w:w="5321" w:type="dxa"/>
            <w:tcBorders>
              <w:top w:val="single" w:sz="6" w:space="0" w:color="auto"/>
              <w:left w:val="single" w:sz="6" w:space="0" w:color="auto"/>
              <w:bottom w:val="single" w:sz="6" w:space="0" w:color="auto"/>
              <w:right w:val="single" w:sz="6" w:space="0" w:color="auto"/>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Wyszczególnienie</w:t>
            </w:r>
          </w:p>
          <w:p w:rsidR="00CA14AB" w:rsidRPr="00E00B35" w:rsidRDefault="00CA14AB" w:rsidP="00E00B35">
            <w:pPr>
              <w:spacing w:after="0" w:line="312" w:lineRule="auto"/>
              <w:rPr>
                <w:rFonts w:eastAsia="Calibri"/>
                <w:szCs w:val="20"/>
              </w:rPr>
            </w:pPr>
          </w:p>
        </w:tc>
        <w:tc>
          <w:tcPr>
            <w:tcW w:w="3118" w:type="dxa"/>
            <w:tcBorders>
              <w:top w:val="single" w:sz="6" w:space="0" w:color="auto"/>
              <w:left w:val="single" w:sz="6" w:space="0" w:color="auto"/>
              <w:bottom w:val="single" w:sz="6" w:space="0" w:color="auto"/>
              <w:right w:val="single" w:sz="6" w:space="0" w:color="auto"/>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Liczba</w:t>
            </w:r>
          </w:p>
          <w:p w:rsidR="00CA14AB" w:rsidRPr="00E00B35" w:rsidRDefault="00CA14AB" w:rsidP="00E00B35">
            <w:pPr>
              <w:spacing w:after="0" w:line="312" w:lineRule="auto"/>
              <w:rPr>
                <w:rFonts w:eastAsia="Calibri"/>
                <w:szCs w:val="20"/>
              </w:rPr>
            </w:pPr>
          </w:p>
        </w:tc>
      </w:tr>
      <w:tr w:rsidR="00CA14AB" w:rsidRPr="00E00B35" w:rsidTr="00CA14AB">
        <w:tc>
          <w:tcPr>
            <w:tcW w:w="703"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1.</w:t>
            </w:r>
          </w:p>
          <w:p w:rsidR="00CA14AB" w:rsidRPr="00E00B35" w:rsidRDefault="00CA14AB" w:rsidP="00E00B35">
            <w:pPr>
              <w:spacing w:after="0" w:line="312" w:lineRule="auto"/>
              <w:rPr>
                <w:rFonts w:eastAsia="Calibri"/>
                <w:szCs w:val="20"/>
              </w:rPr>
            </w:pPr>
          </w:p>
        </w:tc>
        <w:tc>
          <w:tcPr>
            <w:tcW w:w="5321"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 xml:space="preserve">Wydane orzeczenia o odmowie ustalenia </w:t>
            </w:r>
            <w:r w:rsidRPr="00E00B35">
              <w:rPr>
                <w:rFonts w:eastAsia="Calibri"/>
                <w:szCs w:val="20"/>
              </w:rPr>
              <w:br/>
              <w:t xml:space="preserve"> niepełnosprawności (utrzymano w mocy poprzednia decyzję)</w:t>
            </w:r>
          </w:p>
          <w:p w:rsidR="00CA14AB" w:rsidRPr="00E00B35" w:rsidRDefault="00CA14AB" w:rsidP="00E00B35">
            <w:pPr>
              <w:spacing w:after="0" w:line="312" w:lineRule="auto"/>
              <w:rPr>
                <w:rFonts w:eastAsia="Calibri"/>
                <w:szCs w:val="20"/>
              </w:rPr>
            </w:pPr>
          </w:p>
        </w:tc>
        <w:tc>
          <w:tcPr>
            <w:tcW w:w="3118" w:type="dxa"/>
            <w:tcBorders>
              <w:top w:val="single" w:sz="6" w:space="0" w:color="auto"/>
              <w:left w:val="single" w:sz="6" w:space="0" w:color="auto"/>
              <w:bottom w:val="single" w:sz="6" w:space="0" w:color="auto"/>
              <w:right w:val="single" w:sz="6" w:space="0" w:color="auto"/>
            </w:tcBorders>
            <w:vAlign w:val="center"/>
          </w:tcPr>
          <w:p w:rsidR="00CA14AB" w:rsidRPr="00E00B35" w:rsidRDefault="00CA14AB" w:rsidP="00E00B35">
            <w:pPr>
              <w:spacing w:after="0" w:line="312" w:lineRule="auto"/>
              <w:rPr>
                <w:rFonts w:eastAsia="Calibri"/>
                <w:szCs w:val="20"/>
              </w:rPr>
            </w:pPr>
            <w:r w:rsidRPr="00E00B35">
              <w:rPr>
                <w:rFonts w:eastAsia="Calibri"/>
                <w:szCs w:val="20"/>
              </w:rPr>
              <w:t>10</w:t>
            </w:r>
          </w:p>
          <w:p w:rsidR="00CA14AB" w:rsidRPr="00E00B35" w:rsidRDefault="00CA14AB" w:rsidP="00E00B35">
            <w:pPr>
              <w:spacing w:after="0" w:line="312" w:lineRule="auto"/>
              <w:rPr>
                <w:rFonts w:eastAsia="Calibri"/>
                <w:szCs w:val="20"/>
              </w:rPr>
            </w:pPr>
          </w:p>
        </w:tc>
      </w:tr>
      <w:tr w:rsidR="00CA14AB" w:rsidRPr="00E00B35" w:rsidTr="00CA14AB">
        <w:tc>
          <w:tcPr>
            <w:tcW w:w="703"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2.</w:t>
            </w:r>
          </w:p>
          <w:p w:rsidR="00CA14AB" w:rsidRPr="00E00B35" w:rsidRDefault="00CA14AB" w:rsidP="00E00B35">
            <w:pPr>
              <w:spacing w:after="0" w:line="312" w:lineRule="auto"/>
              <w:rPr>
                <w:rFonts w:eastAsia="Calibri"/>
                <w:szCs w:val="20"/>
              </w:rPr>
            </w:pPr>
          </w:p>
        </w:tc>
        <w:tc>
          <w:tcPr>
            <w:tcW w:w="5321"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Wydane orzeczenia o niezaliczeniu do osób</w:t>
            </w:r>
            <w:r w:rsidRPr="00E00B35">
              <w:rPr>
                <w:rFonts w:eastAsia="Calibri"/>
                <w:szCs w:val="20"/>
              </w:rPr>
              <w:br/>
              <w:t xml:space="preserve"> niepełnosprawnych</w:t>
            </w:r>
          </w:p>
          <w:p w:rsidR="00CA14AB" w:rsidRPr="00E00B35" w:rsidRDefault="00CA14AB" w:rsidP="00E00B35">
            <w:pPr>
              <w:spacing w:after="0" w:line="312" w:lineRule="auto"/>
              <w:rPr>
                <w:rFonts w:eastAsia="Calibri"/>
                <w:szCs w:val="20"/>
              </w:rPr>
            </w:pPr>
          </w:p>
        </w:tc>
        <w:tc>
          <w:tcPr>
            <w:tcW w:w="3118" w:type="dxa"/>
            <w:tcBorders>
              <w:top w:val="single" w:sz="6" w:space="0" w:color="auto"/>
              <w:left w:val="single" w:sz="6" w:space="0" w:color="auto"/>
              <w:bottom w:val="single" w:sz="6" w:space="0" w:color="auto"/>
              <w:right w:val="single" w:sz="6" w:space="0" w:color="auto"/>
            </w:tcBorders>
            <w:vAlign w:val="center"/>
          </w:tcPr>
          <w:p w:rsidR="00CA14AB" w:rsidRPr="00E00B35" w:rsidRDefault="00CA14AB" w:rsidP="00E00B35">
            <w:pPr>
              <w:spacing w:after="0" w:line="312" w:lineRule="auto"/>
              <w:rPr>
                <w:rFonts w:eastAsia="Calibri"/>
                <w:szCs w:val="20"/>
              </w:rPr>
            </w:pPr>
            <w:r w:rsidRPr="00E00B35">
              <w:rPr>
                <w:rFonts w:eastAsia="Calibri"/>
                <w:szCs w:val="20"/>
              </w:rPr>
              <w:t>202</w:t>
            </w:r>
          </w:p>
        </w:tc>
      </w:tr>
      <w:tr w:rsidR="00CA14AB" w:rsidRPr="00E00B35" w:rsidTr="00CA14AB">
        <w:tc>
          <w:tcPr>
            <w:tcW w:w="703"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3.</w:t>
            </w:r>
          </w:p>
          <w:p w:rsidR="00CA14AB" w:rsidRPr="00E00B35" w:rsidRDefault="00CA14AB" w:rsidP="00E00B35">
            <w:pPr>
              <w:spacing w:after="0" w:line="312" w:lineRule="auto"/>
              <w:rPr>
                <w:rFonts w:eastAsia="Calibri"/>
                <w:szCs w:val="20"/>
              </w:rPr>
            </w:pPr>
          </w:p>
        </w:tc>
        <w:tc>
          <w:tcPr>
            <w:tcW w:w="5321"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 xml:space="preserve">Wydane orzeczenia o zaliczeniu do osób </w:t>
            </w:r>
            <w:r w:rsidRPr="00E00B35">
              <w:rPr>
                <w:rFonts w:eastAsia="Calibri"/>
                <w:szCs w:val="20"/>
              </w:rPr>
              <w:br/>
              <w:t xml:space="preserve"> niepełnosprawnych</w:t>
            </w:r>
          </w:p>
          <w:p w:rsidR="00CA14AB" w:rsidRPr="00E00B35" w:rsidRDefault="00CA14AB" w:rsidP="00E00B35">
            <w:pPr>
              <w:spacing w:after="0" w:line="312" w:lineRule="auto"/>
              <w:rPr>
                <w:rFonts w:eastAsia="Calibri"/>
                <w:szCs w:val="20"/>
              </w:rPr>
            </w:pPr>
          </w:p>
        </w:tc>
        <w:tc>
          <w:tcPr>
            <w:tcW w:w="3118" w:type="dxa"/>
            <w:tcBorders>
              <w:top w:val="single" w:sz="6" w:space="0" w:color="auto"/>
              <w:left w:val="single" w:sz="6" w:space="0" w:color="auto"/>
              <w:bottom w:val="single" w:sz="6" w:space="0" w:color="auto"/>
              <w:right w:val="single" w:sz="6" w:space="0" w:color="auto"/>
            </w:tcBorders>
            <w:vAlign w:val="center"/>
          </w:tcPr>
          <w:p w:rsidR="00CA14AB" w:rsidRPr="00E00B35" w:rsidRDefault="00CA14AB" w:rsidP="00E00B35">
            <w:pPr>
              <w:spacing w:after="0" w:line="312" w:lineRule="auto"/>
              <w:rPr>
                <w:rFonts w:eastAsia="Calibri"/>
                <w:szCs w:val="20"/>
              </w:rPr>
            </w:pPr>
            <w:r w:rsidRPr="00E00B35">
              <w:rPr>
                <w:rFonts w:eastAsia="Calibri"/>
                <w:szCs w:val="20"/>
              </w:rPr>
              <w:t>904</w:t>
            </w:r>
          </w:p>
        </w:tc>
      </w:tr>
      <w:tr w:rsidR="00CA14AB" w:rsidRPr="00E00B35" w:rsidTr="00CA14AB">
        <w:tc>
          <w:tcPr>
            <w:tcW w:w="703"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p>
        </w:tc>
        <w:tc>
          <w:tcPr>
            <w:tcW w:w="5321"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Razem</w:t>
            </w:r>
          </w:p>
        </w:tc>
        <w:tc>
          <w:tcPr>
            <w:tcW w:w="3118" w:type="dxa"/>
            <w:tcBorders>
              <w:top w:val="single" w:sz="6" w:space="0" w:color="auto"/>
              <w:left w:val="single" w:sz="6" w:space="0" w:color="auto"/>
              <w:bottom w:val="single" w:sz="6" w:space="0" w:color="auto"/>
              <w:right w:val="single" w:sz="6" w:space="0" w:color="auto"/>
            </w:tcBorders>
            <w:vAlign w:val="center"/>
          </w:tcPr>
          <w:p w:rsidR="00CA14AB" w:rsidRPr="00E00B35" w:rsidRDefault="00CA14AB" w:rsidP="00E00B35">
            <w:pPr>
              <w:spacing w:after="0" w:line="312" w:lineRule="auto"/>
              <w:rPr>
                <w:rFonts w:eastAsia="Calibri"/>
                <w:szCs w:val="20"/>
              </w:rPr>
            </w:pPr>
            <w:r w:rsidRPr="00E00B35">
              <w:rPr>
                <w:rFonts w:eastAsia="Calibri"/>
                <w:szCs w:val="20"/>
              </w:rPr>
              <w:t>1 116</w:t>
            </w:r>
          </w:p>
          <w:p w:rsidR="00CA14AB" w:rsidRPr="00E00B35" w:rsidRDefault="00CA14AB" w:rsidP="00E00B35">
            <w:pPr>
              <w:spacing w:after="0" w:line="312" w:lineRule="auto"/>
              <w:rPr>
                <w:rFonts w:eastAsia="Calibri"/>
                <w:szCs w:val="20"/>
              </w:rPr>
            </w:pPr>
          </w:p>
        </w:tc>
      </w:tr>
    </w:tbl>
    <w:p w:rsidR="00890136" w:rsidRPr="00E00B35" w:rsidRDefault="00890136" w:rsidP="00E00B35">
      <w:pPr>
        <w:spacing w:after="0" w:line="312" w:lineRule="auto"/>
        <w:rPr>
          <w:rFonts w:eastAsia="Calibri"/>
          <w:szCs w:val="20"/>
        </w:rPr>
      </w:pPr>
    </w:p>
    <w:p w:rsidR="00CA14AB" w:rsidRPr="00E00B35" w:rsidRDefault="00CA14AB" w:rsidP="00E00B35">
      <w:pPr>
        <w:spacing w:after="0" w:line="312" w:lineRule="auto"/>
        <w:rPr>
          <w:rFonts w:eastAsia="Calibri"/>
          <w:szCs w:val="20"/>
        </w:rPr>
      </w:pPr>
      <w:r w:rsidRPr="00E00B35">
        <w:rPr>
          <w:rFonts w:eastAsia="Calibri"/>
          <w:szCs w:val="20"/>
        </w:rPr>
        <w:t xml:space="preserve">Na podstawie wydanych orzeczeń wystawiono 1 401 legitymacji osoby niepełnosprawnej. </w:t>
      </w:r>
    </w:p>
    <w:p w:rsidR="00CA14AB" w:rsidRPr="00E00B35" w:rsidRDefault="00CA14AB" w:rsidP="00E00B35">
      <w:pPr>
        <w:spacing w:after="0" w:line="312" w:lineRule="auto"/>
        <w:rPr>
          <w:rFonts w:eastAsia="Calibri"/>
          <w:szCs w:val="20"/>
        </w:rPr>
      </w:pPr>
      <w:r w:rsidRPr="00E00B35">
        <w:rPr>
          <w:rFonts w:eastAsia="Calibri"/>
          <w:szCs w:val="20"/>
        </w:rPr>
        <w:t>Liczba wydanych kart parkingowych</w:t>
      </w:r>
    </w:p>
    <w:tbl>
      <w:tblPr>
        <w:tblW w:w="9142" w:type="dxa"/>
        <w:tblLayout w:type="fixed"/>
        <w:tblCellMar>
          <w:left w:w="70" w:type="dxa"/>
          <w:right w:w="70" w:type="dxa"/>
        </w:tblCellMar>
        <w:tblLook w:val="0000"/>
      </w:tblPr>
      <w:tblGrid>
        <w:gridCol w:w="637"/>
        <w:gridCol w:w="5387"/>
        <w:gridCol w:w="3118"/>
      </w:tblGrid>
      <w:tr w:rsidR="00CA14AB" w:rsidRPr="00E00B35" w:rsidTr="00CA14AB">
        <w:tc>
          <w:tcPr>
            <w:tcW w:w="637" w:type="dxa"/>
            <w:tcBorders>
              <w:top w:val="single" w:sz="6" w:space="0" w:color="auto"/>
              <w:left w:val="single" w:sz="6" w:space="0" w:color="auto"/>
              <w:bottom w:val="single" w:sz="6" w:space="0" w:color="auto"/>
              <w:right w:val="single" w:sz="6" w:space="0" w:color="auto"/>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Lp.</w:t>
            </w:r>
          </w:p>
          <w:p w:rsidR="00CA14AB" w:rsidRPr="00E00B35" w:rsidRDefault="00CA14AB" w:rsidP="00E00B35">
            <w:pPr>
              <w:spacing w:after="0" w:line="312" w:lineRule="auto"/>
              <w:rPr>
                <w:rFonts w:eastAsia="Calibri"/>
                <w:szCs w:val="20"/>
              </w:rPr>
            </w:pPr>
          </w:p>
        </w:tc>
        <w:tc>
          <w:tcPr>
            <w:tcW w:w="5387" w:type="dxa"/>
            <w:tcBorders>
              <w:top w:val="single" w:sz="6" w:space="0" w:color="auto"/>
              <w:left w:val="single" w:sz="6" w:space="0" w:color="auto"/>
              <w:bottom w:val="single" w:sz="6" w:space="0" w:color="auto"/>
              <w:right w:val="single" w:sz="6" w:space="0" w:color="auto"/>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Wyszczególnienie</w:t>
            </w:r>
          </w:p>
          <w:p w:rsidR="00CA14AB" w:rsidRPr="00E00B35" w:rsidRDefault="00CA14AB" w:rsidP="00E00B35">
            <w:pPr>
              <w:spacing w:after="0" w:line="312" w:lineRule="auto"/>
              <w:rPr>
                <w:rFonts w:eastAsia="Calibri"/>
                <w:szCs w:val="20"/>
              </w:rPr>
            </w:pPr>
          </w:p>
        </w:tc>
        <w:tc>
          <w:tcPr>
            <w:tcW w:w="3118" w:type="dxa"/>
            <w:tcBorders>
              <w:top w:val="single" w:sz="6" w:space="0" w:color="auto"/>
              <w:left w:val="single" w:sz="6" w:space="0" w:color="auto"/>
              <w:bottom w:val="single" w:sz="6" w:space="0" w:color="auto"/>
              <w:right w:val="single" w:sz="6" w:space="0" w:color="auto"/>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Liczba</w:t>
            </w:r>
          </w:p>
          <w:p w:rsidR="00CA14AB" w:rsidRPr="00E00B35" w:rsidRDefault="00CA14AB" w:rsidP="00E00B35">
            <w:pPr>
              <w:spacing w:after="0" w:line="312" w:lineRule="auto"/>
              <w:rPr>
                <w:rFonts w:eastAsia="Calibri"/>
                <w:szCs w:val="20"/>
              </w:rPr>
            </w:pPr>
          </w:p>
        </w:tc>
      </w:tr>
      <w:tr w:rsidR="00CA14AB" w:rsidRPr="00E00B35" w:rsidTr="00CA14AB">
        <w:tc>
          <w:tcPr>
            <w:tcW w:w="637"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1.</w:t>
            </w:r>
          </w:p>
          <w:p w:rsidR="00CA14AB" w:rsidRPr="00E00B35" w:rsidRDefault="00CA14AB" w:rsidP="00E00B35">
            <w:pPr>
              <w:spacing w:after="0" w:line="312" w:lineRule="auto"/>
              <w:rPr>
                <w:rFonts w:eastAsia="Calibri"/>
                <w:szCs w:val="20"/>
              </w:rPr>
            </w:pPr>
          </w:p>
        </w:tc>
        <w:tc>
          <w:tcPr>
            <w:tcW w:w="5387"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Karty wydane osobom niepełnosprawnym</w:t>
            </w:r>
          </w:p>
        </w:tc>
        <w:tc>
          <w:tcPr>
            <w:tcW w:w="3118" w:type="dxa"/>
            <w:tcBorders>
              <w:top w:val="single" w:sz="6" w:space="0" w:color="auto"/>
              <w:left w:val="single" w:sz="6" w:space="0" w:color="auto"/>
              <w:bottom w:val="single" w:sz="6" w:space="0" w:color="auto"/>
              <w:right w:val="single" w:sz="6" w:space="0" w:color="auto"/>
            </w:tcBorders>
            <w:vAlign w:val="center"/>
          </w:tcPr>
          <w:p w:rsidR="00CA14AB" w:rsidRPr="00E00B35" w:rsidRDefault="00CA14AB" w:rsidP="00E00B35">
            <w:pPr>
              <w:spacing w:after="0" w:line="312" w:lineRule="auto"/>
              <w:rPr>
                <w:rFonts w:eastAsia="Calibri"/>
                <w:szCs w:val="20"/>
              </w:rPr>
            </w:pPr>
            <w:r w:rsidRPr="00E00B35">
              <w:rPr>
                <w:rFonts w:eastAsia="Calibri"/>
                <w:szCs w:val="20"/>
              </w:rPr>
              <w:t>1 296</w:t>
            </w:r>
          </w:p>
        </w:tc>
      </w:tr>
      <w:tr w:rsidR="00CA14AB" w:rsidRPr="00E00B35" w:rsidTr="00CA14AB">
        <w:tc>
          <w:tcPr>
            <w:tcW w:w="637"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2.</w:t>
            </w:r>
          </w:p>
          <w:p w:rsidR="00CA14AB" w:rsidRPr="00E00B35" w:rsidRDefault="00CA14AB" w:rsidP="00E00B35">
            <w:pPr>
              <w:spacing w:after="0" w:line="312" w:lineRule="auto"/>
              <w:rPr>
                <w:rFonts w:eastAsia="Calibri"/>
                <w:szCs w:val="20"/>
              </w:rPr>
            </w:pPr>
          </w:p>
        </w:tc>
        <w:tc>
          <w:tcPr>
            <w:tcW w:w="5387"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Karty wydane placówkom zajmujących się opieką, rehabilitacją lub edukacją osób niepełnosprawnych</w:t>
            </w:r>
          </w:p>
          <w:p w:rsidR="00CA14AB" w:rsidRPr="00E00B35" w:rsidRDefault="00CA14AB" w:rsidP="00E00B35">
            <w:pPr>
              <w:spacing w:after="0" w:line="312" w:lineRule="auto"/>
              <w:rPr>
                <w:rFonts w:eastAsia="Calibri"/>
                <w:szCs w:val="20"/>
              </w:rPr>
            </w:pPr>
          </w:p>
        </w:tc>
        <w:tc>
          <w:tcPr>
            <w:tcW w:w="3118" w:type="dxa"/>
            <w:tcBorders>
              <w:top w:val="single" w:sz="6" w:space="0" w:color="auto"/>
              <w:left w:val="single" w:sz="6" w:space="0" w:color="auto"/>
              <w:bottom w:val="single" w:sz="6" w:space="0" w:color="auto"/>
              <w:right w:val="single" w:sz="6" w:space="0" w:color="auto"/>
            </w:tcBorders>
            <w:vAlign w:val="center"/>
          </w:tcPr>
          <w:p w:rsidR="00CA14AB" w:rsidRPr="00E00B35" w:rsidRDefault="00CA14AB" w:rsidP="00E00B35">
            <w:pPr>
              <w:spacing w:after="0" w:line="312" w:lineRule="auto"/>
              <w:rPr>
                <w:rFonts w:eastAsia="Calibri"/>
                <w:szCs w:val="20"/>
              </w:rPr>
            </w:pPr>
            <w:r w:rsidRPr="00E00B35">
              <w:rPr>
                <w:rFonts w:eastAsia="Calibri"/>
                <w:szCs w:val="20"/>
              </w:rPr>
              <w:t>21</w:t>
            </w:r>
          </w:p>
          <w:p w:rsidR="00CA14AB" w:rsidRPr="00E00B35" w:rsidRDefault="00CA14AB" w:rsidP="00E00B35">
            <w:pPr>
              <w:spacing w:after="0" w:line="312" w:lineRule="auto"/>
              <w:rPr>
                <w:rFonts w:eastAsia="Calibri"/>
                <w:szCs w:val="20"/>
              </w:rPr>
            </w:pPr>
          </w:p>
        </w:tc>
      </w:tr>
      <w:tr w:rsidR="00CA14AB" w:rsidRPr="00E00B35" w:rsidTr="00CA14AB">
        <w:tc>
          <w:tcPr>
            <w:tcW w:w="637"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p>
          <w:p w:rsidR="00CA14AB" w:rsidRPr="00E00B35" w:rsidRDefault="00CA14AB" w:rsidP="00E00B35">
            <w:pPr>
              <w:spacing w:after="0" w:line="312" w:lineRule="auto"/>
              <w:rPr>
                <w:rFonts w:eastAsia="Calibri"/>
                <w:szCs w:val="20"/>
              </w:rPr>
            </w:pPr>
          </w:p>
        </w:tc>
        <w:tc>
          <w:tcPr>
            <w:tcW w:w="5387" w:type="dxa"/>
            <w:tcBorders>
              <w:top w:val="single" w:sz="6" w:space="0" w:color="auto"/>
              <w:left w:val="single" w:sz="6" w:space="0" w:color="auto"/>
              <w:bottom w:val="single" w:sz="6" w:space="0" w:color="auto"/>
              <w:right w:val="single" w:sz="6" w:space="0" w:color="auto"/>
            </w:tcBorders>
          </w:tcPr>
          <w:p w:rsidR="00CA14AB" w:rsidRPr="00E00B35" w:rsidRDefault="00CA14AB" w:rsidP="00E00B35">
            <w:pPr>
              <w:spacing w:after="0" w:line="312" w:lineRule="auto"/>
              <w:rPr>
                <w:rFonts w:eastAsia="Calibri"/>
                <w:szCs w:val="20"/>
              </w:rPr>
            </w:pPr>
            <w:r w:rsidRPr="00E00B35">
              <w:rPr>
                <w:rFonts w:eastAsia="Calibri"/>
                <w:szCs w:val="20"/>
              </w:rPr>
              <w:t>Razem</w:t>
            </w:r>
          </w:p>
          <w:p w:rsidR="00CA14AB" w:rsidRPr="00E00B35" w:rsidRDefault="00CA14AB" w:rsidP="00E00B35">
            <w:pPr>
              <w:spacing w:after="0" w:line="312" w:lineRule="auto"/>
              <w:rPr>
                <w:rFonts w:eastAsia="Calibri"/>
                <w:szCs w:val="20"/>
              </w:rPr>
            </w:pPr>
          </w:p>
        </w:tc>
        <w:tc>
          <w:tcPr>
            <w:tcW w:w="3118" w:type="dxa"/>
            <w:tcBorders>
              <w:top w:val="single" w:sz="6" w:space="0" w:color="auto"/>
              <w:left w:val="single" w:sz="6" w:space="0" w:color="auto"/>
              <w:bottom w:val="single" w:sz="6" w:space="0" w:color="auto"/>
              <w:right w:val="single" w:sz="6" w:space="0" w:color="auto"/>
            </w:tcBorders>
            <w:vAlign w:val="center"/>
          </w:tcPr>
          <w:p w:rsidR="00CA14AB" w:rsidRPr="00E00B35" w:rsidRDefault="00CA14AB" w:rsidP="00E00B35">
            <w:pPr>
              <w:spacing w:after="0" w:line="312" w:lineRule="auto"/>
              <w:rPr>
                <w:rFonts w:eastAsia="Calibri"/>
                <w:szCs w:val="20"/>
              </w:rPr>
            </w:pPr>
            <w:r w:rsidRPr="00E00B35">
              <w:rPr>
                <w:rFonts w:eastAsia="Calibri"/>
                <w:szCs w:val="20"/>
              </w:rPr>
              <w:t>1 317</w:t>
            </w:r>
          </w:p>
        </w:tc>
      </w:tr>
    </w:tbl>
    <w:p w:rsidR="00DC2D5B" w:rsidRPr="00E00B35" w:rsidRDefault="00DC2D5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Wydatki związane z funkcjonowaniem Powiatowego Zespołu do Spraw Orzekania </w:t>
      </w:r>
      <w:r w:rsidRPr="00E00B35">
        <w:rPr>
          <w:szCs w:val="20"/>
        </w:rPr>
        <w:br/>
        <w:t xml:space="preserve">o Niepełnosprawności wyniosły 2 028 653 zł. </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414" w:name="_Toc72352437"/>
      <w:bookmarkStart w:id="415" w:name="_Toc72352871"/>
      <w:r w:rsidRPr="00E00B35">
        <w:rPr>
          <w:sz w:val="20"/>
          <w:szCs w:val="20"/>
        </w:rPr>
        <w:t>PIECZA ZASTĘPCZA NAD DZIECKIEM</w:t>
      </w:r>
      <w:bookmarkEnd w:id="414"/>
      <w:bookmarkEnd w:id="415"/>
      <w:r w:rsidRPr="00E00B35">
        <w:rPr>
          <w:sz w:val="20"/>
          <w:szCs w:val="20"/>
        </w:rPr>
        <w:t xml:space="preserve"> </w:t>
      </w:r>
    </w:p>
    <w:p w:rsidR="00890136" w:rsidRPr="00E00B35" w:rsidRDefault="00890136" w:rsidP="00E00B35">
      <w:pPr>
        <w:pStyle w:val="Nagwek4"/>
        <w:spacing w:before="0" w:after="0" w:line="312" w:lineRule="auto"/>
        <w:rPr>
          <w:sz w:val="20"/>
          <w:szCs w:val="20"/>
        </w:rPr>
      </w:pPr>
    </w:p>
    <w:p w:rsidR="00CA14AB" w:rsidRPr="00E00B35" w:rsidRDefault="00CA14AB" w:rsidP="00E00B35">
      <w:pPr>
        <w:pStyle w:val="Nagwek5"/>
        <w:rPr>
          <w:szCs w:val="20"/>
        </w:rPr>
      </w:pPr>
      <w:r w:rsidRPr="00E00B35">
        <w:rPr>
          <w:szCs w:val="20"/>
        </w:rPr>
        <w:t>Rodzinna piecza zastępcza</w:t>
      </w:r>
    </w:p>
    <w:p w:rsidR="00CA14AB" w:rsidRPr="00E00B35" w:rsidRDefault="00CA14AB" w:rsidP="00E00B35">
      <w:pPr>
        <w:spacing w:after="0" w:line="312" w:lineRule="auto"/>
        <w:rPr>
          <w:rFonts w:eastAsia="Lucida Sans Unicode"/>
          <w:szCs w:val="20"/>
        </w:rPr>
      </w:pPr>
      <w:r w:rsidRPr="00E00B35">
        <w:rPr>
          <w:rFonts w:eastAsia="Lucida Sans Unicode"/>
          <w:szCs w:val="20"/>
        </w:rPr>
        <w:t xml:space="preserve">System pieczy zastępczej to zespół osób, instytucji i działań mających na celu zapewnienie czasowej opieki i wychowania dzieciom, w przypadku niemożności realizowania tej powinności przez ich rodziców. Pieczę zastępczą organizuje powiat, </w:t>
      </w:r>
      <w:r w:rsidRPr="00E00B35">
        <w:rPr>
          <w:rFonts w:eastAsia="Lucida Sans Unicode"/>
          <w:szCs w:val="20"/>
        </w:rPr>
        <w:br/>
        <w:t>na podstawie ustawy z dnia 9 czerwca 2011r. o wspieraniu rodziny i systemie pieczy zastępczej (t.j. Dz. U. z 2020r. poz. 821). Miejski Ośrodek Pomocy Społecznej we Wrocławiu w zakresie pieczy zastępczej realizuje zadania powiatowego centrum pomocy rodzinie oraz organizatora rodzinnej pieczy zastępczej.</w:t>
      </w:r>
    </w:p>
    <w:p w:rsidR="00890136" w:rsidRPr="00E00B35" w:rsidRDefault="00CA14AB" w:rsidP="00E00B35">
      <w:pPr>
        <w:spacing w:after="0" w:line="312" w:lineRule="auto"/>
        <w:rPr>
          <w:rFonts w:eastAsia="SimSun"/>
          <w:szCs w:val="20"/>
        </w:rPr>
      </w:pPr>
      <w:r w:rsidRPr="00E00B35">
        <w:rPr>
          <w:rFonts w:eastAsia="Lucida Sans Unicode"/>
          <w:szCs w:val="20"/>
        </w:rPr>
        <w:t>W roku 2020 do różnych form rodzinnej pieczy zastępczej na terenie Wrocławia zostało przyjętych łącznie 137 dzieci, natomiast 179 opuściło rodzinną pieczę zastępczą.</w:t>
      </w:r>
      <w:r w:rsidRPr="00E00B35">
        <w:rPr>
          <w:rFonts w:eastAsia="SimSun"/>
          <w:szCs w:val="20"/>
        </w:rPr>
        <w:t xml:space="preserve"> </w:t>
      </w:r>
      <w:r w:rsidRPr="00E00B35">
        <w:rPr>
          <w:rFonts w:eastAsia="SimSun"/>
          <w:szCs w:val="20"/>
        </w:rPr>
        <w:br/>
        <w:t xml:space="preserve">W przypadku większości dzieci żyje przynajmniej jeden z rodziców biologicznych, </w:t>
      </w:r>
      <w:r w:rsidRPr="00E00B35">
        <w:rPr>
          <w:rFonts w:eastAsia="SimSun"/>
          <w:szCs w:val="20"/>
        </w:rPr>
        <w:br/>
        <w:t>a powodem umieszczenia w pieczy zastępczej</w:t>
      </w:r>
      <w:r w:rsidRPr="00E00B35">
        <w:rPr>
          <w:rFonts w:eastAsia="Lucida Sans Unicode"/>
          <w:szCs w:val="20"/>
        </w:rPr>
        <w:t xml:space="preserve"> są najczęściej różnego rodzaju </w:t>
      </w:r>
      <w:r w:rsidRPr="00E00B35">
        <w:rPr>
          <w:rFonts w:eastAsia="SimSun"/>
          <w:szCs w:val="20"/>
        </w:rPr>
        <w:t>uzależnienia rodziców oraz ich bezradność w sprawach opiekuńczo-wychowawczych.</w:t>
      </w:r>
    </w:p>
    <w:p w:rsidR="00890136" w:rsidRPr="00E00B35" w:rsidRDefault="00890136" w:rsidP="00E00B35">
      <w:pPr>
        <w:spacing w:after="0" w:line="312" w:lineRule="auto"/>
        <w:rPr>
          <w:rFonts w:eastAsia="SimSun"/>
          <w:szCs w:val="20"/>
        </w:rPr>
      </w:pPr>
    </w:p>
    <w:p w:rsidR="00CA14AB" w:rsidRPr="00E00B35" w:rsidRDefault="00CA14AB" w:rsidP="00E00B35">
      <w:pPr>
        <w:spacing w:after="0" w:line="312" w:lineRule="auto"/>
        <w:rPr>
          <w:rFonts w:eastAsia="Lucida Sans Unicode"/>
          <w:szCs w:val="20"/>
        </w:rPr>
      </w:pPr>
      <w:r w:rsidRPr="00E00B35">
        <w:rPr>
          <w:rFonts w:eastAsia="Lucida Sans Unicode"/>
          <w:szCs w:val="20"/>
        </w:rPr>
        <w:t>Rodzinna piecza zastępcza we Wrocławiu, stan na 31.12.2020</w:t>
      </w:r>
      <w:r w:rsidR="00DC2D5B" w:rsidRPr="00E00B35">
        <w:rPr>
          <w:rFonts w:eastAsia="Lucida Sans Unicode"/>
          <w:szCs w:val="20"/>
        </w:rPr>
        <w:t xml:space="preserve"> </w:t>
      </w:r>
      <w:r w:rsidRPr="00E00B35">
        <w:rPr>
          <w:rFonts w:eastAsia="Lucida Sans Unicode"/>
          <w:szCs w:val="20"/>
        </w:rPr>
        <w:t>r.</w:t>
      </w:r>
    </w:p>
    <w:tbl>
      <w:tblPr>
        <w:tblW w:w="9361" w:type="dxa"/>
        <w:tblLayout w:type="fixed"/>
        <w:tblCellMar>
          <w:left w:w="10" w:type="dxa"/>
          <w:right w:w="10" w:type="dxa"/>
        </w:tblCellMar>
        <w:tblLook w:val="04A0"/>
      </w:tblPr>
      <w:tblGrid>
        <w:gridCol w:w="861"/>
        <w:gridCol w:w="861"/>
        <w:gridCol w:w="847"/>
        <w:gridCol w:w="847"/>
        <w:gridCol w:w="847"/>
        <w:gridCol w:w="847"/>
        <w:gridCol w:w="847"/>
        <w:gridCol w:w="847"/>
        <w:gridCol w:w="1413"/>
        <w:gridCol w:w="1144"/>
      </w:tblGrid>
      <w:tr w:rsidR="00CA14AB" w:rsidRPr="00E00B35" w:rsidTr="00CA14AB">
        <w:trPr>
          <w:trHeight w:val="1185"/>
        </w:trPr>
        <w:tc>
          <w:tcPr>
            <w:tcW w:w="1722" w:type="dxa"/>
            <w:gridSpan w:val="2"/>
            <w:tcBorders>
              <w:top w:val="single" w:sz="4" w:space="0" w:color="000000"/>
              <w:left w:val="single" w:sz="4" w:space="0" w:color="000000"/>
              <w:bottom w:val="single" w:sz="4" w:space="0" w:color="000000"/>
            </w:tcBorders>
            <w:shd w:val="clear" w:color="auto" w:fill="D9D9D9"/>
            <w:tcMar>
              <w:top w:w="0" w:type="dxa"/>
              <w:left w:w="70" w:type="dxa"/>
              <w:bottom w:w="0" w:type="dxa"/>
              <w:right w:w="70" w:type="dxa"/>
            </w:tcMar>
            <w:vAlign w:val="center"/>
          </w:tcPr>
          <w:p w:rsidR="00CA14AB" w:rsidRPr="00E00B35" w:rsidRDefault="00CA14AB" w:rsidP="00E00B35">
            <w:pPr>
              <w:spacing w:after="0" w:line="312" w:lineRule="auto"/>
              <w:rPr>
                <w:rFonts w:eastAsia="SimSun"/>
                <w:szCs w:val="20"/>
              </w:rPr>
            </w:pPr>
            <w:r w:rsidRPr="00E00B35">
              <w:rPr>
                <w:rFonts w:eastAsia="SimSun"/>
                <w:szCs w:val="20"/>
              </w:rPr>
              <w:t>Rodziny spokrewnione</w:t>
            </w:r>
          </w:p>
        </w:tc>
        <w:tc>
          <w:tcPr>
            <w:tcW w:w="1694" w:type="dxa"/>
            <w:gridSpan w:val="2"/>
            <w:tcBorders>
              <w:top w:val="single" w:sz="4" w:space="0" w:color="000000"/>
              <w:left w:val="single" w:sz="4" w:space="0" w:color="000000"/>
              <w:bottom w:val="single" w:sz="4" w:space="0" w:color="000000"/>
            </w:tcBorders>
            <w:shd w:val="clear" w:color="auto" w:fill="D9D9D9"/>
            <w:tcMar>
              <w:top w:w="0" w:type="dxa"/>
              <w:left w:w="70" w:type="dxa"/>
              <w:bottom w:w="0" w:type="dxa"/>
              <w:right w:w="70" w:type="dxa"/>
            </w:tcMar>
            <w:vAlign w:val="center"/>
          </w:tcPr>
          <w:p w:rsidR="00CA14AB" w:rsidRPr="00E00B35" w:rsidRDefault="00CA14AB" w:rsidP="00E00B35">
            <w:pPr>
              <w:spacing w:after="0" w:line="312" w:lineRule="auto"/>
              <w:rPr>
                <w:rFonts w:eastAsia="SimSun"/>
                <w:szCs w:val="20"/>
              </w:rPr>
            </w:pPr>
            <w:r w:rsidRPr="00E00B35">
              <w:rPr>
                <w:rFonts w:eastAsia="SimSun"/>
                <w:szCs w:val="20"/>
              </w:rPr>
              <w:t>Rodziny niezawodowe</w:t>
            </w:r>
          </w:p>
        </w:tc>
        <w:tc>
          <w:tcPr>
            <w:tcW w:w="1694" w:type="dxa"/>
            <w:gridSpan w:val="2"/>
            <w:tcBorders>
              <w:top w:val="single" w:sz="4" w:space="0" w:color="000000"/>
              <w:left w:val="single" w:sz="4" w:space="0" w:color="000000"/>
              <w:bottom w:val="single" w:sz="4" w:space="0" w:color="000000"/>
            </w:tcBorders>
            <w:shd w:val="clear" w:color="auto" w:fill="D9D9D9"/>
            <w:tcMar>
              <w:top w:w="0" w:type="dxa"/>
              <w:left w:w="70" w:type="dxa"/>
              <w:bottom w:w="0" w:type="dxa"/>
              <w:right w:w="70" w:type="dxa"/>
            </w:tcMar>
            <w:vAlign w:val="center"/>
          </w:tcPr>
          <w:p w:rsidR="00CA14AB" w:rsidRPr="00E00B35" w:rsidRDefault="00CA14AB" w:rsidP="00E00B35">
            <w:pPr>
              <w:spacing w:after="0" w:line="312" w:lineRule="auto"/>
              <w:rPr>
                <w:rFonts w:eastAsia="SimSun"/>
                <w:szCs w:val="20"/>
              </w:rPr>
            </w:pPr>
            <w:r w:rsidRPr="00E00B35">
              <w:rPr>
                <w:rFonts w:eastAsia="SimSun"/>
                <w:szCs w:val="20"/>
              </w:rPr>
              <w:t>Rodziny zastępcze zawodowe łącznie</w:t>
            </w:r>
          </w:p>
        </w:tc>
        <w:tc>
          <w:tcPr>
            <w:tcW w:w="1694" w:type="dxa"/>
            <w:gridSpan w:val="2"/>
            <w:tcBorders>
              <w:top w:val="single" w:sz="4" w:space="0" w:color="000000"/>
              <w:left w:val="single" w:sz="4" w:space="0" w:color="000000"/>
              <w:bottom w:val="single" w:sz="4" w:space="0" w:color="000000"/>
            </w:tcBorders>
            <w:shd w:val="clear" w:color="auto" w:fill="D9D9D9"/>
            <w:tcMar>
              <w:top w:w="0" w:type="dxa"/>
              <w:left w:w="70" w:type="dxa"/>
              <w:bottom w:w="0" w:type="dxa"/>
              <w:right w:w="70" w:type="dxa"/>
            </w:tcMar>
            <w:vAlign w:val="center"/>
          </w:tcPr>
          <w:p w:rsidR="00CA14AB" w:rsidRPr="00E00B35" w:rsidRDefault="00CA14AB" w:rsidP="00E00B35">
            <w:pPr>
              <w:spacing w:after="0" w:line="312" w:lineRule="auto"/>
              <w:rPr>
                <w:rFonts w:eastAsia="SimSun"/>
                <w:szCs w:val="20"/>
              </w:rPr>
            </w:pPr>
            <w:r w:rsidRPr="00E00B35">
              <w:rPr>
                <w:rFonts w:eastAsia="SimSun"/>
                <w:szCs w:val="20"/>
              </w:rPr>
              <w:t>Rodzinne domy dziecka</w:t>
            </w:r>
          </w:p>
        </w:tc>
        <w:tc>
          <w:tcPr>
            <w:tcW w:w="255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CA14AB" w:rsidRPr="00E00B35" w:rsidRDefault="00CA14AB" w:rsidP="00E00B35">
            <w:pPr>
              <w:spacing w:after="0" w:line="312" w:lineRule="auto"/>
              <w:rPr>
                <w:rFonts w:eastAsia="SimSun"/>
                <w:szCs w:val="20"/>
              </w:rPr>
            </w:pPr>
            <w:r w:rsidRPr="00E00B35">
              <w:rPr>
                <w:rFonts w:eastAsia="SimSun"/>
                <w:szCs w:val="20"/>
              </w:rPr>
              <w:t>RODZINA PIECZA ZASTĘPCZA ŁĄCZNIE</w:t>
            </w:r>
          </w:p>
        </w:tc>
      </w:tr>
      <w:tr w:rsidR="00CA14AB" w:rsidRPr="00E00B35" w:rsidTr="00CA14AB">
        <w:trPr>
          <w:trHeight w:val="900"/>
        </w:trPr>
        <w:tc>
          <w:tcPr>
            <w:tcW w:w="861"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Liczba rodzin</w:t>
            </w:r>
          </w:p>
          <w:p w:rsidR="00CA14AB" w:rsidRPr="00E00B35" w:rsidRDefault="00CA14AB" w:rsidP="00E00B35">
            <w:pPr>
              <w:spacing w:after="0" w:line="312" w:lineRule="auto"/>
              <w:rPr>
                <w:rFonts w:eastAsia="SimSun"/>
                <w:szCs w:val="20"/>
              </w:rPr>
            </w:pPr>
          </w:p>
        </w:tc>
        <w:tc>
          <w:tcPr>
            <w:tcW w:w="861"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Liczba dzieci</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Liczba rodzin</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Liczba dzieci</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Liczba rodzin</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Liczba dzieci</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Liczba rodzin</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Liczba dzieci</w:t>
            </w:r>
          </w:p>
          <w:p w:rsidR="00CA14AB" w:rsidRPr="00E00B35" w:rsidRDefault="00CA14AB" w:rsidP="00E00B35">
            <w:pPr>
              <w:spacing w:after="0" w:line="312" w:lineRule="auto"/>
              <w:rPr>
                <w:rFonts w:eastAsia="SimSun"/>
                <w:szCs w:val="20"/>
              </w:rPr>
            </w:pPr>
          </w:p>
        </w:tc>
        <w:tc>
          <w:tcPr>
            <w:tcW w:w="1413"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Liczba rodzin/RDD</w:t>
            </w:r>
          </w:p>
          <w:p w:rsidR="00CA14AB" w:rsidRPr="00E00B35" w:rsidRDefault="00CA14AB" w:rsidP="00E00B35">
            <w:pPr>
              <w:spacing w:after="0" w:line="312" w:lineRule="auto"/>
              <w:rPr>
                <w:rFonts w:eastAsia="SimSun"/>
                <w:szCs w:val="20"/>
              </w:rPr>
            </w:pPr>
          </w:p>
        </w:tc>
        <w:tc>
          <w:tcPr>
            <w:tcW w:w="1144"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Liczba dzieci</w:t>
            </w:r>
          </w:p>
          <w:p w:rsidR="00CA14AB" w:rsidRPr="00E00B35" w:rsidRDefault="00CA14AB" w:rsidP="00E00B35">
            <w:pPr>
              <w:spacing w:after="0" w:line="312" w:lineRule="auto"/>
              <w:rPr>
                <w:rFonts w:eastAsia="SimSun"/>
                <w:szCs w:val="20"/>
              </w:rPr>
            </w:pPr>
          </w:p>
        </w:tc>
      </w:tr>
      <w:tr w:rsidR="00CA14AB" w:rsidRPr="00E00B35" w:rsidTr="00CA14AB">
        <w:trPr>
          <w:trHeight w:val="735"/>
        </w:trPr>
        <w:tc>
          <w:tcPr>
            <w:tcW w:w="861"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lastRenderedPageBreak/>
              <w:t>448</w:t>
            </w:r>
          </w:p>
          <w:p w:rsidR="00CA14AB" w:rsidRPr="00E00B35" w:rsidRDefault="00CA14AB" w:rsidP="00E00B35">
            <w:pPr>
              <w:spacing w:after="0" w:line="312" w:lineRule="auto"/>
              <w:rPr>
                <w:rFonts w:eastAsia="SimSun"/>
                <w:szCs w:val="20"/>
              </w:rPr>
            </w:pPr>
          </w:p>
        </w:tc>
        <w:tc>
          <w:tcPr>
            <w:tcW w:w="861"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543</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153</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188</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15</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30</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5</w:t>
            </w:r>
          </w:p>
          <w:p w:rsidR="00CA14AB" w:rsidRPr="00E00B35" w:rsidRDefault="00CA14AB" w:rsidP="00E00B35">
            <w:pPr>
              <w:spacing w:after="0" w:line="312" w:lineRule="auto"/>
              <w:rPr>
                <w:rFonts w:eastAsia="SimSun"/>
                <w:szCs w:val="20"/>
              </w:rPr>
            </w:pPr>
          </w:p>
        </w:tc>
        <w:tc>
          <w:tcPr>
            <w:tcW w:w="847"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32</w:t>
            </w:r>
          </w:p>
          <w:p w:rsidR="00CA14AB" w:rsidRPr="00E00B35" w:rsidRDefault="00CA14AB" w:rsidP="00E00B35">
            <w:pPr>
              <w:spacing w:after="0" w:line="312" w:lineRule="auto"/>
              <w:rPr>
                <w:rFonts w:eastAsia="SimSun"/>
                <w:szCs w:val="20"/>
              </w:rPr>
            </w:pPr>
          </w:p>
        </w:tc>
        <w:tc>
          <w:tcPr>
            <w:tcW w:w="1413" w:type="dxa"/>
            <w:tcBorders>
              <w:left w:val="single" w:sz="4" w:space="0" w:color="000000"/>
              <w:bottom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621</w:t>
            </w:r>
          </w:p>
          <w:p w:rsidR="00CA14AB" w:rsidRPr="00E00B35" w:rsidRDefault="00CA14AB" w:rsidP="00E00B35">
            <w:pPr>
              <w:spacing w:after="0" w:line="312" w:lineRule="auto"/>
              <w:rPr>
                <w:rFonts w:eastAsia="SimSun"/>
                <w:szCs w:val="20"/>
              </w:rPr>
            </w:pPr>
          </w:p>
        </w:tc>
        <w:tc>
          <w:tcPr>
            <w:tcW w:w="1144"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rFonts w:eastAsia="SimSun"/>
                <w:szCs w:val="20"/>
              </w:rPr>
            </w:pPr>
            <w:r w:rsidRPr="00E00B35">
              <w:rPr>
                <w:rFonts w:eastAsia="SimSun"/>
                <w:szCs w:val="20"/>
              </w:rPr>
              <w:t>793</w:t>
            </w:r>
          </w:p>
          <w:p w:rsidR="00CA14AB" w:rsidRPr="00E00B35" w:rsidRDefault="00CA14AB" w:rsidP="00E00B35">
            <w:pPr>
              <w:spacing w:after="0" w:line="312" w:lineRule="auto"/>
              <w:rPr>
                <w:rFonts w:eastAsia="SimSun"/>
                <w:szCs w:val="20"/>
              </w:rPr>
            </w:pPr>
          </w:p>
        </w:tc>
      </w:tr>
    </w:tbl>
    <w:p w:rsidR="00CA14AB" w:rsidRPr="00E00B35" w:rsidRDefault="00CA14AB" w:rsidP="00E00B35">
      <w:pPr>
        <w:spacing w:after="0" w:line="312" w:lineRule="auto"/>
        <w:rPr>
          <w:szCs w:val="20"/>
        </w:rPr>
      </w:pPr>
      <w:r w:rsidRPr="00E00B35">
        <w:rPr>
          <w:szCs w:val="20"/>
        </w:rPr>
        <w:t xml:space="preserve">Rodzinną pieczę zastępczą we Wrocławiu w zdecydowanej większości   sprawują rodziny spokrewnione z dzieckiem. Z punktu widzenia potrzeb emocjonalnych dziecka i jego prawa do wychowywania się w środowisku najbardziej zbliżonym do rodziny naturalnej ta forma pieczy winna być dla dziecka najkorzystniejsza. Należy jednak zauważyć, że część tego typu rodzin nie wywiązuje się prawidłowo z zadań na nich spoczywających, a dzieci w nich umieszczone nadal podlegają negatywnym wpływom. Najliczniejszą grupę pośród opiekunów zastępczych stanowią dziadkowie, a zaawansowany wiek rodziców zastępczych jest bezpośrednią przyczyną zwiększającej się dysfunkcjonalności rodziny. </w:t>
      </w:r>
      <w:r w:rsidRPr="00E00B35">
        <w:rPr>
          <w:rFonts w:eastAsia="Lucida Sans Unicode"/>
          <w:szCs w:val="20"/>
        </w:rPr>
        <w:t xml:space="preserve">Dlatego bardzo ważne jest tworzenie warunków do powstawania i działania zawodowych </w:t>
      </w:r>
      <w:r w:rsidRPr="00E00B35">
        <w:rPr>
          <w:rFonts w:eastAsia="Lucida Sans Unicode"/>
          <w:szCs w:val="20"/>
        </w:rPr>
        <w:br/>
        <w:t>i niezawodowych rodzin zastępczych, rodzinnych domów dziecka i rodzin pomocowych. Niestety, l</w:t>
      </w:r>
      <w:r w:rsidRPr="00E00B35">
        <w:rPr>
          <w:szCs w:val="20"/>
        </w:rPr>
        <w:t xml:space="preserve">iczba rodzin zastępczych zawodowych utrzymuje sie na podobnym poziomie od kilku lat i pomimo prowadzenia wielu działań na rzecz promocji rodzicielstwa zastepczego, kandydatów o odpowiedniej motywacji i predyspozycjach jest zbyt mało </w:t>
      </w:r>
      <w:r w:rsidRPr="00E00B35">
        <w:rPr>
          <w:szCs w:val="20"/>
        </w:rPr>
        <w:br/>
        <w:t>w stosunku do potrzeb.</w:t>
      </w:r>
    </w:p>
    <w:p w:rsidR="00CA14AB" w:rsidRPr="00E00B35" w:rsidRDefault="00CA14AB" w:rsidP="00E00B35">
      <w:pPr>
        <w:spacing w:after="0" w:line="312" w:lineRule="auto"/>
        <w:rPr>
          <w:szCs w:val="20"/>
        </w:rPr>
      </w:pPr>
      <w:r w:rsidRPr="00E00B35">
        <w:rPr>
          <w:szCs w:val="20"/>
        </w:rPr>
        <w:t xml:space="preserve">Obok komplikacji, jakie towarzyszą prawie każdemu procesowi wychowawczemu, </w:t>
      </w:r>
      <w:r w:rsidRPr="00E00B35">
        <w:rPr>
          <w:szCs w:val="20"/>
        </w:rPr>
        <w:br/>
        <w:t xml:space="preserve">w rodzinie zastępczej często występują czynniki dodatkowo utrudniające jego przebieg, związane z problemami adaptacyjnymi, niedostosowaniem społecznym dziecka, czy też przejawianymi przez nie problemami natury psychologicznej i emocjonalnej. </w:t>
      </w:r>
      <w:r w:rsidRPr="00E00B35">
        <w:rPr>
          <w:szCs w:val="20"/>
        </w:rPr>
        <w:br/>
        <w:t xml:space="preserve">W odpowiedzi na zdiagnozowane potrzeby rodzin, Miejski Ośrodek Pomocy Społecznej we Wrocławiu w 2020 roku udzielał szerokiego wsparcia,  skierowanego do rodzin zastępczych i ich podopiecznych. W ramach zasobów kadrowych MOPS zapewniono każdej rodzinie wsparcie koordynatora rodzinnej pieczy zastępczej (lub innego pracownika, wykonującego jego zadania), prowadzono grupy wsparcia, zapewniono pomoc psychologiczną, prawną oraz opiekę wolontariuszy. Przeprowadzono 27 procedur kwalifikacyjnych dla kandydatów na opiekunów zastępczych, przeszkolono </w:t>
      </w:r>
      <w:r w:rsidRPr="00E00B35">
        <w:rPr>
          <w:szCs w:val="20"/>
        </w:rPr>
        <w:br/>
        <w:t xml:space="preserve">do sprawowania tej funkcji 22 osoby. Ponadto na zlecenie sądu wydano 82 opinie </w:t>
      </w:r>
      <w:r w:rsidRPr="00E00B35">
        <w:rPr>
          <w:szCs w:val="20"/>
        </w:rPr>
        <w:br/>
        <w:t>w zakresie predyspozycji i motywacji do pełnienia funkcji opiekunów zastępczych.</w:t>
      </w:r>
    </w:p>
    <w:p w:rsidR="00CA14AB" w:rsidRPr="00E00B35" w:rsidRDefault="00CA14AB" w:rsidP="00E00B35">
      <w:pPr>
        <w:spacing w:after="0" w:line="312" w:lineRule="auto"/>
        <w:rPr>
          <w:szCs w:val="20"/>
        </w:rPr>
      </w:pPr>
      <w:r w:rsidRPr="00E00B35">
        <w:rPr>
          <w:szCs w:val="20"/>
        </w:rPr>
        <w:t xml:space="preserve">Na zlecenie Gminy Wrocław w 2020 roku były prowadzone dwa ośrodki, które realizowały terapię i poradnictwo na potrzeby podopiecznych MOPS. Obejmowały one swoim wsparciem rodziny zastępcze oraz placówki opiekuńczo-wychowawcze typu rodzinnego, </w:t>
      </w:r>
      <w:r w:rsidRPr="00E00B35">
        <w:rPr>
          <w:rFonts w:eastAsia="SimSun"/>
          <w:szCs w:val="20"/>
        </w:rPr>
        <w:t xml:space="preserve">zapewniając im bezpłatny dostęp do </w:t>
      </w:r>
      <w:r w:rsidRPr="00E00B35">
        <w:rPr>
          <w:rFonts w:eastAsia="Lucida Sans Unicode"/>
          <w:szCs w:val="20"/>
        </w:rPr>
        <w:t xml:space="preserve">specjalistycznej pomocy. </w:t>
      </w:r>
      <w:r w:rsidRPr="00E00B35">
        <w:rPr>
          <w:szCs w:val="20"/>
        </w:rPr>
        <w:t>Wydatki przekazane stowarzyszeniom na realizację powyższego zadania wyniosły łącznie 583 320 zł, w tym:</w:t>
      </w:r>
    </w:p>
    <w:p w:rsidR="00CA14AB" w:rsidRPr="00E00B35" w:rsidRDefault="00CA14AB" w:rsidP="00E00B35">
      <w:pPr>
        <w:spacing w:after="0" w:line="312" w:lineRule="auto"/>
        <w:rPr>
          <w:szCs w:val="20"/>
        </w:rPr>
      </w:pPr>
      <w:r w:rsidRPr="00E00B35">
        <w:rPr>
          <w:szCs w:val="20"/>
        </w:rPr>
        <w:t>Krakowski Instytut Psychoterapii Stowarzyszenia ,,Siemacha” (oddział we Wrocławiu) - 349 992 zł</w:t>
      </w:r>
    </w:p>
    <w:p w:rsidR="00CA14AB" w:rsidRPr="00E00B35" w:rsidRDefault="00CA14AB" w:rsidP="00E00B35">
      <w:pPr>
        <w:spacing w:after="0" w:line="312" w:lineRule="auto"/>
        <w:rPr>
          <w:szCs w:val="20"/>
        </w:rPr>
      </w:pPr>
      <w:r w:rsidRPr="00E00B35">
        <w:rPr>
          <w:szCs w:val="20"/>
        </w:rPr>
        <w:t>Stowarzyszenie ,,Wspólna Sprawa- Bliżej Siebie”- 233 328 zł.</w:t>
      </w:r>
    </w:p>
    <w:p w:rsidR="00CA14AB" w:rsidRPr="00E00B35" w:rsidRDefault="00CA14AB" w:rsidP="00E00B35">
      <w:pPr>
        <w:spacing w:after="0" w:line="312" w:lineRule="auto"/>
        <w:rPr>
          <w:szCs w:val="20"/>
        </w:rPr>
      </w:pPr>
      <w:r w:rsidRPr="00E00B35">
        <w:rPr>
          <w:szCs w:val="20"/>
        </w:rPr>
        <w:t xml:space="preserve">Zespół Realizacji Zadań Organizatora Rodzinnej Pieczy Zastępczej w okresie październik-listopad 2020 uczestniczył w realizacji projektu MRiPS pn. „Wsparcie dzieci umieszczonych w pieczy zastępczej w okresie epidemii COVID-19”.  Głównym celem projektu było zapobieganie i ograniczenie negatywnych skutków wystąpienia COVID-19 w obszarze pieczy zastępczej. W ramach ww. inicjatywy rodziny zastępcze otrzymały  środki  ochrony (maseczki, rękawiczki, płyny dezynfekcyjne). Podopieczni </w:t>
      </w:r>
      <w:r w:rsidRPr="00E00B35">
        <w:rPr>
          <w:szCs w:val="20"/>
        </w:rPr>
        <w:br/>
      </w:r>
      <w:r w:rsidRPr="00E00B35">
        <w:rPr>
          <w:szCs w:val="20"/>
        </w:rPr>
        <w:lastRenderedPageBreak/>
        <w:t xml:space="preserve">w  różnym wieku, realizujący obowiązek szkolny otrzymali laptopy (192 szt.) oraz sprzęt audiowizualny (63 zestawy kamer, głośników z mikrofonem) do nauki zdalnej. Rodziny, które opiekują się dziećmi z niepełnosprawnością, otrzymały specjalne oprogramowanie wspomagające proces realizacji obowiązku szkolnego. Ponadto trzy rodzinne domy dziecka otrzymały dodatkowo telewizory. Kwota wydatkowana na realizację projektu </w:t>
      </w:r>
      <w:r w:rsidRPr="00E00B35">
        <w:rPr>
          <w:szCs w:val="20"/>
        </w:rPr>
        <w:br/>
        <w:t>w zakresie rodzinnej pieczy zastępczej wyniosła 734 785 zł. Szczegółowy opis projektu znajduje się w dalszej części sprawozdania dotyczącej realizacji projektów współfinansowanych ze środków UE oraz środków rządowych.</w:t>
      </w:r>
    </w:p>
    <w:p w:rsidR="00CA14AB" w:rsidRPr="00E00B35" w:rsidRDefault="00CA14AB" w:rsidP="00E00B35">
      <w:pPr>
        <w:spacing w:after="0" w:line="312" w:lineRule="auto"/>
        <w:rPr>
          <w:rFonts w:eastAsia="Lucida Sans Unicode"/>
          <w:szCs w:val="20"/>
        </w:rPr>
      </w:pPr>
      <w:r w:rsidRPr="00E00B35">
        <w:rPr>
          <w:szCs w:val="20"/>
        </w:rPr>
        <w:t>Wsparciem MOPS są także objęci dorośli wychowankowie rodzinnej pieczy zastępczej, realizujący indywidualne programy usamodzielnienia.</w:t>
      </w:r>
      <w:r w:rsidRPr="00E00B35">
        <w:rPr>
          <w:rFonts w:eastAsia="Lucida Sans Unicode"/>
          <w:szCs w:val="20"/>
        </w:rPr>
        <w:t xml:space="preserve"> Z różnych form kierowanej do nich pomocy korzysta obecnie 295 podopiecznych (w tym 159 osób nadal pozostających </w:t>
      </w:r>
      <w:r w:rsidRPr="00E00B35">
        <w:rPr>
          <w:rFonts w:eastAsia="Lucida Sans Unicode"/>
          <w:szCs w:val="20"/>
        </w:rPr>
        <w:br/>
        <w:t>w rodzinach zastępczych).</w:t>
      </w:r>
      <w:r w:rsidRPr="00E00B35">
        <w:rPr>
          <w:szCs w:val="20"/>
        </w:rPr>
        <w:t xml:space="preserve"> Bagaż trudnych doświadczeń, wychowanie się poza rodziną naturalną na ogół powodują, że ten etap w życiu młodzieży jest szczególnie skomplikowany.</w:t>
      </w:r>
      <w:r w:rsidRPr="00E00B35">
        <w:rPr>
          <w:rFonts w:eastAsia="Lucida Sans Unicode"/>
          <w:szCs w:val="20"/>
        </w:rPr>
        <w:t xml:space="preserve"> Wielu wychowanków ma problemy emocjonalne, trudności </w:t>
      </w:r>
      <w:r w:rsidRPr="00E00B35">
        <w:rPr>
          <w:rFonts w:eastAsia="Lucida Sans Unicode"/>
          <w:szCs w:val="20"/>
        </w:rPr>
        <w:br/>
        <w:t xml:space="preserve">z nawiązywaniem relacji i podtrzymywaniem  więzi. Decyzje wychowanków co do wyboru poziomu i kierunku kształcenia często są podejmowane bez uwzględnienia własnych predyspozycji, zainteresowań oraz sytuacji na rynku pracy. Potrzebne są działania przyczyniające się do rozwoju kompetencji społecznych (umiejętności osobiste </w:t>
      </w:r>
      <w:r w:rsidRPr="00E00B35">
        <w:rPr>
          <w:rFonts w:eastAsia="Lucida Sans Unicode"/>
          <w:szCs w:val="20"/>
        </w:rPr>
        <w:br/>
        <w:t>i interpersonalne).  Konieczne jest stwarzanie okazji do odkrywania własnego potencjału, zainteresowań oraz tworzenie warunków do ich rozwoju. Istnieje także potrzeba uzyskania wsparcia w zakresie wiedzy o rynku pracy, edukacji o zawodach,  zdobyciu pierwszych doświadczeń zawodowych (kontakty z pracodawcami, udział w szkoleniach zawodowych, stażach).</w:t>
      </w:r>
    </w:p>
    <w:p w:rsidR="00CA14AB" w:rsidRPr="00E00B35" w:rsidRDefault="00CA14AB" w:rsidP="00E00B35">
      <w:pPr>
        <w:spacing w:after="0" w:line="312" w:lineRule="auto"/>
        <w:rPr>
          <w:rFonts w:eastAsia="SimSun"/>
          <w:szCs w:val="20"/>
        </w:rPr>
      </w:pPr>
      <w:r w:rsidRPr="00E00B35">
        <w:rPr>
          <w:rFonts w:eastAsia="SimSun"/>
          <w:szCs w:val="20"/>
        </w:rPr>
        <w:t>Część zadań w zakresie zaspakajania potrzeb młodzieży wypełnia Młodzieżowe Centrum Wsparcia (zadanie na zlecenie Gminy Wrocław realizuje Stowarzyszenie Pomocy Wzajemnej im. Stefana Kardynała Wyszyńskiego z Wrocławia). Do Centrum kierowane są osoby opuszczające różne formy pieczy zastępczej (na wniosek osoby zainteresowanej). W ramach realizowanego zadania jego odbiorcy są przygotowywani do odpowiedzialnego wejścia w dorosłość, poprzez:</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zapewnienie bezpiecznych warunków mieszkaniowych (3 lokale mieszkalne przeznaczone dla 24 osób łącznie);</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wsparcie psychologiczne (indywidualne oraz w formie warsztatów);</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wsparcie pedagogów oraz opiekunów (moderowanie grup mieszkaniowych, trening ekonomiczny, pomoc w nauce);</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wsparcie pracownika socjalnego (pomoc w uzyskaniu samodzielnego mieszkania, przysługujących świadczeń, kontakt z rodziną biologiczną);</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udzielanie pomocy prawnej (pomoc w dochodzeniu należnych uprawnień, pisma procesowe);</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wsparcie doradcy zawodowego (umiejętności związane z poruszaniem się po rynku pracy);</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pomoc w zorganizowaniu czasu wolnego.</w:t>
      </w:r>
    </w:p>
    <w:p w:rsidR="00CA14AB" w:rsidRPr="00E00B35" w:rsidRDefault="00CA14AB" w:rsidP="00E00B35">
      <w:pPr>
        <w:spacing w:after="0" w:line="312" w:lineRule="auto"/>
        <w:rPr>
          <w:rFonts w:eastAsia="SimSun"/>
          <w:szCs w:val="20"/>
        </w:rPr>
      </w:pPr>
      <w:r w:rsidRPr="00E00B35">
        <w:rPr>
          <w:rFonts w:eastAsia="SimSun"/>
          <w:szCs w:val="20"/>
        </w:rPr>
        <w:t xml:space="preserve">Młodzież znajduje także wsparcie za pośrednictwem Stowarzyszenia „Nasz Dom” </w:t>
      </w:r>
      <w:r w:rsidRPr="00E00B35">
        <w:rPr>
          <w:rFonts w:eastAsia="SimSun"/>
          <w:szCs w:val="20"/>
        </w:rPr>
        <w:br/>
        <w:t xml:space="preserve">w ramach projektu „Samodzielność”. Stowarzyszenie zapewnia wychowankom 10 miejsc </w:t>
      </w:r>
      <w:r w:rsidRPr="00E00B35">
        <w:rPr>
          <w:rFonts w:eastAsia="SimSun"/>
          <w:szCs w:val="20"/>
        </w:rPr>
        <w:lastRenderedPageBreak/>
        <w:t xml:space="preserve">noclegowych w domu jednorodzinnym. Do mieszkania usamodzielnienia kierowane są osoby opuszczające różne formy pieczy zastępczej (na wniosek  osoby zainteresowanej). </w:t>
      </w:r>
    </w:p>
    <w:p w:rsidR="00CA14AB" w:rsidRPr="00E00B35" w:rsidRDefault="00CA14AB" w:rsidP="00E00B35">
      <w:pPr>
        <w:spacing w:after="0" w:line="312" w:lineRule="auto"/>
        <w:rPr>
          <w:rFonts w:eastAsia="SimSun"/>
          <w:szCs w:val="20"/>
        </w:rPr>
      </w:pPr>
      <w:r w:rsidRPr="00E00B35">
        <w:rPr>
          <w:rFonts w:eastAsia="SimSun"/>
          <w:szCs w:val="20"/>
        </w:rPr>
        <w:t>Usamodzielniana młodzież w ramach wymienionego projektu uczestniczy w:</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treningach ekonomicznych;</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warsztatach profilaktyki uzależnień;</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warsztatach wzmacniających poczucie wartości i odpowiedzialności;</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spotkaniach z doradcą zawodowym oraz psychologiem.</w:t>
      </w:r>
    </w:p>
    <w:p w:rsidR="00CA14AB" w:rsidRPr="00E00B35" w:rsidRDefault="00CA14AB" w:rsidP="00E00B35">
      <w:pPr>
        <w:spacing w:after="0" w:line="312" w:lineRule="auto"/>
        <w:rPr>
          <w:szCs w:val="20"/>
        </w:rPr>
      </w:pPr>
      <w:r w:rsidRPr="00E00B35">
        <w:rPr>
          <w:szCs w:val="20"/>
        </w:rPr>
        <w:t>W 2020</w:t>
      </w:r>
      <w:r w:rsidR="00933852" w:rsidRPr="00E00B35">
        <w:rPr>
          <w:szCs w:val="20"/>
        </w:rPr>
        <w:t xml:space="preserve"> </w:t>
      </w:r>
      <w:r w:rsidRPr="00E00B35">
        <w:rPr>
          <w:szCs w:val="20"/>
        </w:rPr>
        <w:t xml:space="preserve">r. Miejski Ośrodek Pomocy Społecznej we Wrocławiu kontynuował realizację projektu pod nazwą „TRAMPOLINA – mieszkania wspomagane”. W 2020 roku uczestniczyło w nim 15 pełnoletnich wychowanków rodzinnej pieczy zastępczej. Głównym założeniem projektu jest umożliwienie ww. osobom wyjścia z trudnej sytuacji życiowej </w:t>
      </w:r>
      <w:r w:rsidRPr="00E00B35">
        <w:rPr>
          <w:szCs w:val="20"/>
        </w:rPr>
        <w:br/>
        <w:t xml:space="preserve">w jakiej się znajdują, poprzez pobyt w mieszkaniu wspomaganym/treningowym uruchomionym we Wrocławiu. W lokalu prowadzone są usługi wspierające aktywność uczestników, tj. poradnictwo specjalistyczne (np. psychologiczne, pedagogiczne) oraz liczne treningi dostosowane do indywidualnych potrzeb (m.in. trening umiejętności społecznych, praktycznych, kulinarnych, załatwiania spraw urzędowych, zarządzania finansami, spędzania wolnego czasu). Udział w projekcie umożliwi uczestnikom płynne </w:t>
      </w:r>
      <w:r w:rsidRPr="00E00B35">
        <w:rPr>
          <w:szCs w:val="20"/>
        </w:rPr>
        <w:br/>
        <w:t xml:space="preserve">i bezpieczne przejście  do samodzielnego zamieszkania i życia. Szczegółowy opis projektu znajduje się w dalszej części sprawozdania dotyczącej realizacji projektów współfinansowanych ze środków UE. </w:t>
      </w:r>
    </w:p>
    <w:p w:rsidR="00CA14AB" w:rsidRPr="00E00B35" w:rsidRDefault="00CA14AB" w:rsidP="00E00B35">
      <w:pPr>
        <w:spacing w:after="0" w:line="312" w:lineRule="auto"/>
        <w:rPr>
          <w:rFonts w:eastAsia="SimSun"/>
          <w:szCs w:val="20"/>
        </w:rPr>
      </w:pPr>
      <w:r w:rsidRPr="00E00B35">
        <w:rPr>
          <w:rFonts w:eastAsia="SimSun"/>
          <w:szCs w:val="20"/>
        </w:rPr>
        <w:t xml:space="preserve">Bardzo duże znaczenie we wspieraniu procesu usamodzielnienia ma współpraca </w:t>
      </w:r>
      <w:r w:rsidRPr="00E00B35">
        <w:rPr>
          <w:rFonts w:eastAsia="SimSun"/>
          <w:szCs w:val="20"/>
        </w:rPr>
        <w:br/>
        <w:t xml:space="preserve">z organizacjami pozarządowymi oraz udział młodzieży w projektach. W 2020 roku 18 wychowanków rodzinnej pieczy zastępczej w wieku 16-24 lat brało udział </w:t>
      </w:r>
      <w:r w:rsidRPr="00E00B35">
        <w:rPr>
          <w:rFonts w:eastAsia="SimSun"/>
          <w:szCs w:val="20"/>
        </w:rPr>
        <w:br/>
        <w:t>w projekcie ,,Wehikuł usamodzielnienia” realizowanym przez Fundację Robinson Crusoe. Poprzednia edycja zakończyła się w czerwcu (11 uczestników), kolejna rozpoczęła się w październiku (7 uczestników) i trwa nadal. W ramach projektu młodzież rozwija kompetencje społeczne i zawodowe, korzysta ze wsparcia w postaci szkoleń, treningów, warsztatów, badań, wyjazdów edukacyjnych, dofinansowania do nauki. Uczestnicy poznają także świat wrocławskich organizacji pozarządowych, mają możliwość realizacji swoich zainteresowań i pasji;</w:t>
      </w:r>
    </w:p>
    <w:p w:rsidR="00CA14AB" w:rsidRPr="00E00B35" w:rsidRDefault="00CA14AB" w:rsidP="00E00B35">
      <w:pPr>
        <w:spacing w:after="0" w:line="312" w:lineRule="auto"/>
        <w:rPr>
          <w:rFonts w:eastAsia="SimSun"/>
          <w:szCs w:val="20"/>
        </w:rPr>
      </w:pPr>
      <w:r w:rsidRPr="00E00B35">
        <w:rPr>
          <w:rFonts w:eastAsia="SimSun"/>
          <w:szCs w:val="20"/>
        </w:rPr>
        <w:t>W zakresie właściwości Działu Rodzinnej Pieczy Zastępczej wydano w 2020r. 3 572 decyzji administracyjnych, w tym:</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2 055 dla rodzin zastępczych,</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156 dla usamodzielnianych wychowanków pieczy zastępczej,</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1 361 dla rodziców biologicznych.</w:t>
      </w:r>
    </w:p>
    <w:p w:rsidR="00CA14AB" w:rsidRPr="00E00B35" w:rsidRDefault="00CA14AB" w:rsidP="00E00B35">
      <w:pPr>
        <w:spacing w:after="0" w:line="312" w:lineRule="auto"/>
        <w:rPr>
          <w:rFonts w:eastAsia="SimSun"/>
          <w:szCs w:val="20"/>
        </w:rPr>
      </w:pPr>
      <w:r w:rsidRPr="00E00B35">
        <w:rPr>
          <w:rFonts w:eastAsia="SimSun"/>
          <w:szCs w:val="20"/>
        </w:rPr>
        <w:t xml:space="preserve">MOPS przekazuje do Biura Informacji Gospodarczej dane o rodzicach biologicznych, którzy mają zaległości, za okres dłuższy niż 12 miesięcy, z tytułu ponoszenia opłaty </w:t>
      </w:r>
      <w:r w:rsidRPr="00E00B35">
        <w:rPr>
          <w:rFonts w:eastAsia="SimSun"/>
          <w:szCs w:val="20"/>
        </w:rPr>
        <w:br/>
        <w:t xml:space="preserve">za pobyt ich dzieci w pieczy zastępczej. W związku z wprowadzonymi zmianami przepisów o udostępnianiu informacji gospodarczych i wymianie danych gospodarczych, MOPS jest aktualnie zobowiązany do przekazywania danych o zaległościach rodziców biologicznych do pięciu Biur Informacji Gospodarczej (Krajowy Rejestr Długów, InfoMonitor, Rejestr Dłużników ERIF, Krajowe Biuro Informacji Gospodarczej, Krajowa </w:t>
      </w:r>
      <w:r w:rsidRPr="00E00B35">
        <w:rPr>
          <w:rFonts w:eastAsia="SimSun"/>
          <w:szCs w:val="20"/>
        </w:rPr>
        <w:lastRenderedPageBreak/>
        <w:t>Informacja Długów Telekomunikacyjnych). Na dzień 31.12.2020 r. w rejestrach dłużników widniały 103 osoby zgłoszone przez Dział Rodzinnej Pieczy Zastępczej.</w:t>
      </w:r>
    </w:p>
    <w:p w:rsidR="00CA14AB" w:rsidRPr="00E00B35" w:rsidRDefault="00CA14AB" w:rsidP="00E00B35">
      <w:pPr>
        <w:spacing w:after="0" w:line="312" w:lineRule="auto"/>
        <w:rPr>
          <w:rFonts w:eastAsia="SimSun"/>
          <w:szCs w:val="20"/>
        </w:rPr>
      </w:pPr>
      <w:r w:rsidRPr="00E00B35">
        <w:rPr>
          <w:rFonts w:eastAsia="SimSun"/>
          <w:szCs w:val="20"/>
        </w:rPr>
        <w:t>W 2020r. przyznano rodzinom zastępczym oraz rodzinnym domom dziecka świadczenia</w:t>
      </w:r>
      <w:r w:rsidRPr="00E00B35">
        <w:rPr>
          <w:rFonts w:eastAsia="SimSun"/>
          <w:szCs w:val="20"/>
        </w:rPr>
        <w:br/>
        <w:t>w łącznej wysokości 8 814 559 zł, w tym:</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wydatki na rodziny zastępcze spokrewnione – 5 080 523 zł;</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wydatki na rodziny zastępcze niezawodowe– 2 686 104 zł;</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wydatki na rodziny zastępcze zawodowe– 491 270 zł;</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wydatki na rodzinne domy dziecka– 543 034 zł;</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wydatki na rodziny pomocowe– 13 628 zł.</w:t>
      </w:r>
    </w:p>
    <w:p w:rsidR="00CA14AB" w:rsidRPr="00E00B35" w:rsidRDefault="00CA14AB" w:rsidP="00E00B35">
      <w:pPr>
        <w:spacing w:after="0" w:line="312" w:lineRule="auto"/>
        <w:rPr>
          <w:rFonts w:eastAsia="SimSun"/>
          <w:szCs w:val="20"/>
        </w:rPr>
      </w:pPr>
      <w:r w:rsidRPr="00E00B35">
        <w:rPr>
          <w:rFonts w:eastAsia="SimSun"/>
          <w:szCs w:val="20"/>
        </w:rPr>
        <w:t>Oprócz świadczeń obligatoryjnych przyznawano także świadczenia fakultatywne, w tym:</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świadczenia na rzecz dzieci do 18 r. ż. na dofinansowanie do wypoczynku poza miejscem ich zamieszkania (349 dzieci, na łączną kwotę 170 437 zł);</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 xml:space="preserve">jednorazową pomoc na zabezpieczenie najpilniejszych potrzeb związanych </w:t>
      </w:r>
      <w:r w:rsidRPr="00E00B35">
        <w:rPr>
          <w:rFonts w:eastAsia="SimSun"/>
          <w:szCs w:val="20"/>
        </w:rPr>
        <w:br/>
        <w:t xml:space="preserve">z przyjęciem nowego dziecka (w różnych kwotach, w zależności od potrzeb, </w:t>
      </w:r>
      <w:r w:rsidRPr="00E00B35">
        <w:rPr>
          <w:rFonts w:eastAsia="SimSun"/>
          <w:szCs w:val="20"/>
        </w:rPr>
        <w:br/>
        <w:t>w łącznej wysokości  138 930 zł);</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pomoc na pokrycie kosztów związanych z przeprowadzeniem niezbędnego remontu lokalu mieszkalnego w celu polepszenia warunków mieszkaniowych dzieci umieszczonych w pieczy zastępczej, w łącznej kwocie 19 000 zł.</w:t>
      </w:r>
    </w:p>
    <w:p w:rsidR="00CA14AB" w:rsidRPr="00E00B35" w:rsidRDefault="00CA14AB" w:rsidP="00E00B35">
      <w:pPr>
        <w:spacing w:after="0" w:line="312" w:lineRule="auto"/>
        <w:rPr>
          <w:rFonts w:eastAsia="SimSun"/>
          <w:szCs w:val="20"/>
        </w:rPr>
      </w:pPr>
      <w:r w:rsidRPr="00E00B35">
        <w:rPr>
          <w:rFonts w:eastAsia="SimSun"/>
          <w:szCs w:val="20"/>
        </w:rPr>
        <w:t>W 2020r. na wynagrodzenia dla rodzin zastępczych zawodowych i prowadzących rodzinne domy dziecka w ramach rodzinnej pieczy zastępczej wydano 1 068 055,43 zł (kwota brutto wraz ze składkami ZUS pracodawcy i Funduszem Pracy).</w:t>
      </w:r>
    </w:p>
    <w:p w:rsidR="00CA14AB" w:rsidRPr="00E00B35" w:rsidRDefault="00CA14AB" w:rsidP="00E00B35">
      <w:pPr>
        <w:spacing w:after="0" w:line="312" w:lineRule="auto"/>
        <w:rPr>
          <w:rFonts w:eastAsia="SimSun"/>
          <w:szCs w:val="20"/>
        </w:rPr>
      </w:pPr>
      <w:r w:rsidRPr="00E00B35">
        <w:rPr>
          <w:rFonts w:eastAsia="SimSun"/>
          <w:szCs w:val="20"/>
        </w:rPr>
        <w:t xml:space="preserve">Ustawa o pomocy państwa w wychowywaniu dzieci obejmuje wsparciem w ramach Programu 500+ także dzieci z pieczy zastępczej. Na każde dziecko umieszczone </w:t>
      </w:r>
      <w:r w:rsidRPr="00E00B35">
        <w:rPr>
          <w:rFonts w:eastAsia="SimSun"/>
          <w:szCs w:val="20"/>
        </w:rPr>
        <w:br/>
        <w:t xml:space="preserve">w rodzinnej pieczy zastępczej, w wieku do ukończenia 18 roku życia, niezależnie </w:t>
      </w:r>
      <w:r w:rsidRPr="00E00B35">
        <w:rPr>
          <w:rFonts w:eastAsia="SimSun"/>
          <w:szCs w:val="20"/>
        </w:rPr>
        <w:br/>
        <w:t xml:space="preserve">od dochodu, przysługuje dodatek wychowawczy w wysokości 500 zł miesięcznie. </w:t>
      </w:r>
      <w:r w:rsidRPr="00E00B35">
        <w:rPr>
          <w:rFonts w:eastAsia="SimSun"/>
          <w:szCs w:val="20"/>
        </w:rPr>
        <w:br/>
        <w:t xml:space="preserve">W 2020r. wypłacono na rzecz dzieci z rodzin zastępczych i rodzinnych domów dziecka </w:t>
      </w:r>
      <w:r w:rsidRPr="00E00B35">
        <w:rPr>
          <w:rFonts w:eastAsia="SimSun"/>
          <w:szCs w:val="20"/>
        </w:rPr>
        <w:br/>
        <w:t>8 092 świadczenia z tego tytułu, na łączną kwotę 3 971 549 zł.</w:t>
      </w:r>
    </w:p>
    <w:p w:rsidR="00CA14AB" w:rsidRPr="00E00B35" w:rsidRDefault="00CA14AB" w:rsidP="00E00B35">
      <w:pPr>
        <w:spacing w:after="0" w:line="312" w:lineRule="auto"/>
        <w:rPr>
          <w:rFonts w:eastAsia="SimSun"/>
          <w:szCs w:val="20"/>
        </w:rPr>
      </w:pPr>
      <w:r w:rsidRPr="00E00B35">
        <w:rPr>
          <w:rFonts w:eastAsia="SimSun"/>
          <w:szCs w:val="20"/>
        </w:rPr>
        <w:t>Rozporządzenie Rady Ministrów z dnia 30 maja 2018r. w sprawie szczegółowych warunków realizacji rządowego programu „Dobry Start” obejmuje również dzieci z pieczy zastępczej. Świadczenie w związku z rozpoczęciem roku szkolnego przysługuje rodzinom zastępczym oraz prowadzącym rodzinne domy dziecka na dzieci oraz osoby uczące się do 20 roku życia (w przypadku osób uczących się legitymujących orzeczeniem</w:t>
      </w:r>
      <w:r w:rsidRPr="00E00B35">
        <w:rPr>
          <w:rFonts w:eastAsia="SimSun"/>
          <w:szCs w:val="20"/>
        </w:rPr>
        <w:br/>
        <w:t>o niepełnosprawności do 24 roku życia). W 2020r. wypłacono na rzecz wychowanków rodzinnej pieczy zastępczej 645 świadczeń z tego tytułu na łączną kwotę 193 500 zł.</w:t>
      </w:r>
    </w:p>
    <w:p w:rsidR="00CA14AB" w:rsidRPr="00E00B35" w:rsidRDefault="00CA14AB" w:rsidP="00E00B35">
      <w:pPr>
        <w:spacing w:after="0" w:line="312" w:lineRule="auto"/>
        <w:rPr>
          <w:rFonts w:eastAsia="SimSun"/>
          <w:szCs w:val="20"/>
        </w:rPr>
      </w:pPr>
      <w:r w:rsidRPr="00E00B35">
        <w:rPr>
          <w:rFonts w:eastAsia="SimSun"/>
          <w:szCs w:val="20"/>
        </w:rPr>
        <w:t>Pomoc dla osób usamodzielnianych - wychowanków rodzinnej pieczy zastępczej wyniosła 668 622 zł w tym:</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pomoc na kontynuowanie nauki w wysokości 502 708 zł (pomoc dla 112 wychowanków rodzin zastępczych);</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pomoc na usamodzielnienie w kwocie 107 565 (26 osób);</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pomoc na zagospodarowanie w kwocie 58 349 zł (32 osób).</w:t>
      </w:r>
    </w:p>
    <w:p w:rsidR="00CA14AB" w:rsidRPr="00E00B35" w:rsidRDefault="00CA14AB" w:rsidP="00E00B35">
      <w:pPr>
        <w:spacing w:after="0" w:line="312" w:lineRule="auto"/>
        <w:rPr>
          <w:rFonts w:eastAsia="SimSun"/>
          <w:szCs w:val="20"/>
        </w:rPr>
      </w:pPr>
      <w:r w:rsidRPr="00E00B35">
        <w:rPr>
          <w:rFonts w:eastAsia="SimSun"/>
          <w:szCs w:val="20"/>
        </w:rPr>
        <w:t xml:space="preserve">W rodzinach zastępczych funkcjonujących w 2020r. na terenie Wrocławia przebywało 115 dzieci pochodzących z terenu innych powiatów. Natomiast w pieczy zastępczej na terenie innych powiatów przebywało 159 dzieci pochodzących z Wrocławia (Miasto Wrocław </w:t>
      </w:r>
      <w:r w:rsidRPr="00E00B35">
        <w:rPr>
          <w:rFonts w:eastAsia="SimSun"/>
          <w:szCs w:val="20"/>
        </w:rPr>
        <w:lastRenderedPageBreak/>
        <w:t xml:space="preserve">przekazywało środki na ich utrzymanie, na podstawie zawartych porozumień na łączną kwotę 1 798 065,72 zł). </w:t>
      </w:r>
    </w:p>
    <w:p w:rsidR="00890136" w:rsidRPr="00E00B35" w:rsidRDefault="00890136" w:rsidP="00E00B35">
      <w:pPr>
        <w:pStyle w:val="Nagwek4"/>
        <w:spacing w:before="0" w:after="0" w:line="312" w:lineRule="auto"/>
        <w:rPr>
          <w:sz w:val="20"/>
          <w:szCs w:val="20"/>
        </w:rPr>
      </w:pPr>
    </w:p>
    <w:p w:rsidR="00CA14AB" w:rsidRPr="00E00B35" w:rsidRDefault="00CA14AB" w:rsidP="00E00B35">
      <w:pPr>
        <w:pStyle w:val="Nagwek4"/>
        <w:spacing w:before="0" w:after="0" w:line="312" w:lineRule="auto"/>
        <w:rPr>
          <w:sz w:val="20"/>
          <w:szCs w:val="20"/>
        </w:rPr>
      </w:pPr>
      <w:r w:rsidRPr="00E00B35">
        <w:rPr>
          <w:sz w:val="20"/>
          <w:szCs w:val="20"/>
        </w:rPr>
        <w:t xml:space="preserve">INSTYTUCJONALNA PIECZA ZASTĘPCZA </w:t>
      </w:r>
    </w:p>
    <w:p w:rsidR="00CA14AB" w:rsidRPr="00E00B35" w:rsidRDefault="00CA14AB" w:rsidP="00E00B35">
      <w:pPr>
        <w:spacing w:after="0" w:line="312" w:lineRule="auto"/>
        <w:rPr>
          <w:szCs w:val="20"/>
        </w:rPr>
      </w:pPr>
      <w:r w:rsidRPr="00E00B35">
        <w:rPr>
          <w:szCs w:val="20"/>
        </w:rPr>
        <w:t>W roku 2020 we Wrocławiu w ramach instytucjonalnej pieczy zastępczej funkcjonowało 35 placówek opiekuńczo-wychowawczych, w tym 13 placówek typu rodzinnego.</w:t>
      </w:r>
    </w:p>
    <w:p w:rsidR="00CA14AB" w:rsidRPr="00E00B35" w:rsidRDefault="00CA14AB" w:rsidP="00E00B35">
      <w:pPr>
        <w:spacing w:after="0" w:line="312" w:lineRule="auto"/>
        <w:rPr>
          <w:szCs w:val="20"/>
        </w:rPr>
      </w:pPr>
      <w:r w:rsidRPr="00E00B35">
        <w:rPr>
          <w:szCs w:val="20"/>
        </w:rPr>
        <w:t>W ramach Wrocławskiego Centrum Opieki i Wychowania działało 10 placówek opiekuńczo-wychowawczych łączących zadania socjalizacyjne i interwencyjne o łącznej liczbie 170 miejsc dla wychowanków.</w:t>
      </w:r>
    </w:p>
    <w:p w:rsidR="00CA14AB" w:rsidRPr="00E00B35" w:rsidRDefault="00CA14AB" w:rsidP="00E00B35">
      <w:pPr>
        <w:spacing w:after="0" w:line="312" w:lineRule="auto"/>
        <w:rPr>
          <w:szCs w:val="20"/>
        </w:rPr>
      </w:pPr>
      <w:r w:rsidRPr="00E00B35">
        <w:rPr>
          <w:szCs w:val="20"/>
        </w:rPr>
        <w:t>W ramach Zespołu Placówek Opiekuńczo-Wychowawczych „Dziecięcy Dom” funkcjonowało 5 placówek, w tym: 2 placówki interwencyjne, 2 placówki specjalistyczno-terapeutyczne i 1 placówka socjalizacyjna o łącznej liczbie 66 miejsc dla wychowanków.</w:t>
      </w:r>
    </w:p>
    <w:p w:rsidR="00CA14AB" w:rsidRPr="00E00B35" w:rsidRDefault="00CA14AB" w:rsidP="00E00B35">
      <w:pPr>
        <w:spacing w:after="0" w:line="312" w:lineRule="auto"/>
        <w:rPr>
          <w:szCs w:val="20"/>
        </w:rPr>
      </w:pPr>
      <w:r w:rsidRPr="00E00B35">
        <w:rPr>
          <w:szCs w:val="20"/>
        </w:rPr>
        <w:t xml:space="preserve">Stowarzyszenie SIEMACHA prowadziło we Wrocławiu 4 Placówki Opiekuńczo-Wychowawcze typu socjalizacyjnego SIEMACHA Spot 24/7 o łącznej liczbie 46 miejsc </w:t>
      </w:r>
      <w:r w:rsidRPr="00E00B35">
        <w:rPr>
          <w:szCs w:val="20"/>
        </w:rPr>
        <w:br/>
        <w:t>dla wychowanków.</w:t>
      </w:r>
    </w:p>
    <w:p w:rsidR="00CA14AB" w:rsidRPr="00E00B35" w:rsidRDefault="00CA14AB" w:rsidP="00E00B35">
      <w:pPr>
        <w:spacing w:after="0" w:line="312" w:lineRule="auto"/>
        <w:rPr>
          <w:szCs w:val="20"/>
        </w:rPr>
      </w:pPr>
      <w:r w:rsidRPr="00E00B35">
        <w:rPr>
          <w:szCs w:val="20"/>
        </w:rPr>
        <w:t>Ewangelickie Centrum Diakonii i Edukacji im. Ks. Marcina Lutra prowadziło we Wrocławiu 2 placówki opiekuńczo-wychowawcze typu socjalizacyjnego o łącznej liczbie 28 miejsc dla wychowanków.</w:t>
      </w:r>
    </w:p>
    <w:p w:rsidR="00CA14AB" w:rsidRPr="00E00B35" w:rsidRDefault="00CA14AB" w:rsidP="00E00B35">
      <w:pPr>
        <w:spacing w:after="0" w:line="312" w:lineRule="auto"/>
        <w:rPr>
          <w:szCs w:val="20"/>
        </w:rPr>
      </w:pPr>
      <w:r w:rsidRPr="00E00B35">
        <w:rPr>
          <w:szCs w:val="20"/>
        </w:rPr>
        <w:t>Towarzystwo „Nasz Dom” prowadziło we Wrocławiu 1 placówkę opiekuńczo-wychowawczą Dom dla Dzieci z 14 miejscami dla wychowanków oraz mieszkanie dla usamodzielnianych, pełnoletnich wychowanków pieczy zastępczej, pod nazwą Dom dla Usamodzielnianych z 10 miejscami.</w:t>
      </w:r>
    </w:p>
    <w:p w:rsidR="00CA14AB" w:rsidRPr="00E00B35" w:rsidRDefault="00CA14AB" w:rsidP="00E00B35">
      <w:pPr>
        <w:spacing w:after="0" w:line="312" w:lineRule="auto"/>
        <w:rPr>
          <w:szCs w:val="20"/>
        </w:rPr>
      </w:pPr>
      <w:r w:rsidRPr="00E00B35">
        <w:rPr>
          <w:szCs w:val="20"/>
        </w:rPr>
        <w:t xml:space="preserve">Dział Instytucjonalnej Pieczy Zastępczej MOPS prowadzi nadzór nad wszystkimi placówkami opiekuńczo-wychowawczymi na terenie Wrocławia; współpracuje z sądami, asystentami rodzinnymi, szkołami i rodzinami biologicznymi wychowanków oraz obejmuje wsparciem pełnoletnich wychowanków placówek opiekuńczo-wychowawczych i resocjalizacyjnych. </w:t>
      </w:r>
    </w:p>
    <w:p w:rsidR="00CA14AB" w:rsidRPr="00E00B35" w:rsidRDefault="00CA14AB" w:rsidP="00E00B35">
      <w:pPr>
        <w:spacing w:after="0" w:line="312" w:lineRule="auto"/>
        <w:rPr>
          <w:szCs w:val="20"/>
        </w:rPr>
      </w:pPr>
      <w:r w:rsidRPr="00E00B35">
        <w:rPr>
          <w:szCs w:val="20"/>
        </w:rPr>
        <w:t xml:space="preserve">Ogółem placówki dysponują 399 miejscami, w tym 75 miejsc znajduje się </w:t>
      </w:r>
      <w:r w:rsidRPr="00E00B35">
        <w:rPr>
          <w:szCs w:val="20"/>
        </w:rPr>
        <w:br/>
        <w:t xml:space="preserve">w placówkach opiekuńczo-wychowawczych typu rodzinnego. </w:t>
      </w:r>
    </w:p>
    <w:p w:rsidR="00CA14AB" w:rsidRPr="00E00B35" w:rsidRDefault="00CA14AB" w:rsidP="00E00B35">
      <w:pPr>
        <w:spacing w:after="0" w:line="312" w:lineRule="auto"/>
        <w:rPr>
          <w:szCs w:val="20"/>
        </w:rPr>
      </w:pPr>
      <w:r w:rsidRPr="00E00B35">
        <w:rPr>
          <w:szCs w:val="20"/>
        </w:rPr>
        <w:t xml:space="preserve">W 2020r. do wszystkich placówek opiekuńczo-wychowawczych skierowano 244 nowych wychowanków. Liczba dzieci przebywających we wszystkich placówkach opiekuńczo-wychowawczych ogółem (stan na 31.12.2020r.) wyniosła 403. </w:t>
      </w:r>
    </w:p>
    <w:p w:rsidR="00CA14AB" w:rsidRPr="00E00B35" w:rsidRDefault="00CA14AB" w:rsidP="00E00B35">
      <w:pPr>
        <w:spacing w:after="0" w:line="312" w:lineRule="auto"/>
        <w:rPr>
          <w:szCs w:val="20"/>
        </w:rPr>
      </w:pPr>
      <w:r w:rsidRPr="00E00B35">
        <w:rPr>
          <w:szCs w:val="20"/>
        </w:rPr>
        <w:t xml:space="preserve">Od dnia 1 lipca 2019r. pomoc psychologiczno-pedagogiczną oraz terapeutyczną </w:t>
      </w:r>
      <w:r w:rsidRPr="00E00B35">
        <w:rPr>
          <w:szCs w:val="20"/>
        </w:rPr>
        <w:br/>
        <w:t xml:space="preserve">dla Dyrektorów oraz wychowanków placówek opiekuńczo-wychowawczych typu rodzinnego świadczy Stowarzyszenie "Wspólna sprawa-bliżej siebie” z siedzibą główną </w:t>
      </w:r>
      <w:r w:rsidRPr="00E00B35">
        <w:rPr>
          <w:szCs w:val="20"/>
        </w:rPr>
        <w:br/>
        <w:t>w Bielawie przy ul. Wolności 97. Realizacja ww. usług odbywa się we Wrocławiu.</w:t>
      </w:r>
    </w:p>
    <w:p w:rsidR="00CA14AB" w:rsidRPr="00E00B35" w:rsidRDefault="00CA14AB" w:rsidP="00E00B35">
      <w:pPr>
        <w:spacing w:after="0" w:line="312" w:lineRule="auto"/>
        <w:rPr>
          <w:szCs w:val="20"/>
        </w:rPr>
      </w:pPr>
      <w:r w:rsidRPr="00E00B35">
        <w:rPr>
          <w:szCs w:val="20"/>
        </w:rPr>
        <w:t xml:space="preserve">Przez cały rok 2020 kontynuowana była realizacja projektu „TRAMPOLINA-mieszkania wspomagane”, w ramach którego wsparciem zostali objęci wychowankowie opuszczający pieczę zastępczą. Projekt umożliwia płynne i bezpieczne przejście od pobytu w placówce opiekuńczo-wychowawczej do samodzielnego zamieszkania i życia. W mieszkaniach prowadzone są różne treningi dostosowane do indywidualnych potrzeb, m.in. trening umiejętności społecznych, kulinarnych, załatwiania spraw urzędowych, zarządzania finansami, spędzania wolnego czasu. Szczegółowy opis projektu znajduje się w dalszej </w:t>
      </w:r>
      <w:r w:rsidRPr="00E00B35">
        <w:rPr>
          <w:szCs w:val="20"/>
        </w:rPr>
        <w:lastRenderedPageBreak/>
        <w:t xml:space="preserve">części sprawozdania dotyczącej realizacji projektów współfinansowanych </w:t>
      </w:r>
      <w:r w:rsidRPr="00E00B35">
        <w:rPr>
          <w:szCs w:val="20"/>
        </w:rPr>
        <w:br/>
        <w:t>ze środków UE. Projekt rozpoczął się 01 marca 2019</w:t>
      </w:r>
      <w:r w:rsidR="00933852" w:rsidRPr="00E00B35">
        <w:rPr>
          <w:szCs w:val="20"/>
        </w:rPr>
        <w:t xml:space="preserve"> </w:t>
      </w:r>
      <w:r w:rsidRPr="00E00B35">
        <w:rPr>
          <w:szCs w:val="20"/>
        </w:rPr>
        <w:t>r.</w:t>
      </w:r>
    </w:p>
    <w:p w:rsidR="00CA14AB" w:rsidRPr="00E00B35" w:rsidRDefault="00CA14AB" w:rsidP="00E00B35">
      <w:pPr>
        <w:spacing w:after="0" w:line="312" w:lineRule="auto"/>
        <w:rPr>
          <w:szCs w:val="20"/>
        </w:rPr>
      </w:pPr>
      <w:r w:rsidRPr="00E00B35">
        <w:rPr>
          <w:szCs w:val="20"/>
        </w:rPr>
        <w:t>Wychowankowie opuszczający jedną z form instytucjonalnej, bądź rodzinnej pieczy zastępczej nadal mogą korzystać z Młodzieżowego Centrum Wsparcia prowadzonego przez Stowarzyszenie Pomocy Wzajemnej im. Stefana Kardynała Wyszyńskiego</w:t>
      </w:r>
      <w:r w:rsidRPr="00E00B35">
        <w:rPr>
          <w:szCs w:val="20"/>
        </w:rPr>
        <w:br/>
        <w:t>we Wrocławiu. Mają tu zapewnioną m.in.:</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możliwość zamieszkania w mieszkaniu dla usamodzielnianych wychowanków,</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wsparcie psychologiczne,</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pomoc prawną,</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doradztwo zawodowe.</w:t>
      </w:r>
    </w:p>
    <w:p w:rsidR="00CA14AB" w:rsidRPr="00E00B35" w:rsidRDefault="00CA14AB" w:rsidP="00E00B35">
      <w:pPr>
        <w:spacing w:after="0" w:line="312" w:lineRule="auto"/>
        <w:rPr>
          <w:szCs w:val="20"/>
        </w:rPr>
      </w:pPr>
      <w:r w:rsidRPr="00E00B35">
        <w:rPr>
          <w:szCs w:val="20"/>
        </w:rPr>
        <w:t>W roku 2020 Centrum Rozwoju i Aktywności Dzieci i Młodzieży kontynuowało swoją działalność w zakresie wsparcia dziennego i obejmowało swoimi działaniami opiekuńczo – wychowawczymi i terapeutycznymi nie mniej niż 200 dzieci z terenu miasta Wrocławia.</w:t>
      </w:r>
    </w:p>
    <w:p w:rsidR="00CA14AB" w:rsidRPr="00E00B35" w:rsidRDefault="00CA14AB" w:rsidP="00E00B35">
      <w:pPr>
        <w:spacing w:after="0" w:line="312" w:lineRule="auto"/>
        <w:rPr>
          <w:szCs w:val="20"/>
        </w:rPr>
      </w:pPr>
      <w:r w:rsidRPr="00E00B35">
        <w:rPr>
          <w:szCs w:val="20"/>
        </w:rPr>
        <w:t xml:space="preserve">W 2020r. kontynuowano prowadzenie specjalistycznej placówki wsparcia dziennego </w:t>
      </w:r>
      <w:r w:rsidRPr="00E00B35">
        <w:rPr>
          <w:szCs w:val="20"/>
        </w:rPr>
        <w:br/>
        <w:t xml:space="preserve">w Magnolia Park we Wrocławiu, prowadzonej przez Stowarzyszenie SIEMACHA, która posiada 130 miejsc dla wychowanków w wieku szkolnym (6-18 lat). </w:t>
      </w:r>
    </w:p>
    <w:p w:rsidR="00CA14AB" w:rsidRPr="00E00B35" w:rsidRDefault="00CA14AB" w:rsidP="00E00B35">
      <w:pPr>
        <w:spacing w:after="0" w:line="312" w:lineRule="auto"/>
        <w:rPr>
          <w:rFonts w:eastAsia="Calibri"/>
          <w:szCs w:val="20"/>
        </w:rPr>
      </w:pPr>
      <w:r w:rsidRPr="00E00B35">
        <w:rPr>
          <w:rFonts w:eastAsia="Calibri"/>
          <w:szCs w:val="20"/>
        </w:rPr>
        <w:t xml:space="preserve">Placówka wsparcia dziennego prowadzi działania na rzecz dzieci i młodzieży z rodzin mających trudności w wypełnianiu swoich zadań opiekuńczo-wychowawczych, </w:t>
      </w:r>
      <w:r w:rsidRPr="00E00B35">
        <w:rPr>
          <w:rFonts w:eastAsia="Calibri"/>
          <w:szCs w:val="20"/>
        </w:rPr>
        <w:br/>
        <w:t>a w szczególności pochodzących z rodzin wielodzietnych, ubogich, niezaradnych życiowo, zagrożonych uzależnieniami i przemocą. Placówka wsparcia dziennego swoimi działaniami zapobiega niedostosowaniu i sieroctwu społecznemu dzieci i młodzieży poprzez oddziaływania opiekuńczo – wychowawcze, edukacyjne i profilaktyczno-terapeutyczne oraz wspiera rodziców w rozwiązywaniu problemów wychowawczych.</w:t>
      </w:r>
    </w:p>
    <w:p w:rsidR="00CA14AB" w:rsidRPr="00E00B35" w:rsidRDefault="00CA14AB" w:rsidP="00E00B35">
      <w:pPr>
        <w:spacing w:after="0" w:line="312" w:lineRule="auto"/>
        <w:rPr>
          <w:szCs w:val="20"/>
        </w:rPr>
      </w:pPr>
      <w:r w:rsidRPr="00E00B35">
        <w:rPr>
          <w:szCs w:val="20"/>
        </w:rPr>
        <w:t xml:space="preserve">W okresie sprawozdawczym zostało wydanych 594 decyzji w sprawie dodatku do zryczałtowanej kwoty środków finansowych na utrzymanie dzieci w placówkach opiekuńczo-wychowawczych typu rodzinnego a także dodatku w wysokości świadczenia wychowawczego, który został wprowadzony poprzez nowelizację ustawy z dnia 9 czerwca 2011r. o wpieraniu rodziny i systemie pieczy zastępczej, która dotyczyła dzieci umieszczonych w placówkach opiekuńczo-wychowawczych. Ww. dodatek, zgodnie </w:t>
      </w:r>
      <w:r w:rsidRPr="00E00B35">
        <w:rPr>
          <w:szCs w:val="20"/>
        </w:rPr>
        <w:br/>
        <w:t xml:space="preserve">z ustawą, przeznacza się w szczególności na rozwój zainteresowań oraz zwiększanie szans edukacyjnych i rozwojowych dzieci umieszczonych w instytucjonalnej pieczy zastępczej. </w:t>
      </w:r>
    </w:p>
    <w:p w:rsidR="00CA14AB" w:rsidRPr="00E00B35" w:rsidRDefault="00CA14AB" w:rsidP="00E00B35">
      <w:pPr>
        <w:spacing w:after="0" w:line="312" w:lineRule="auto"/>
        <w:rPr>
          <w:szCs w:val="20"/>
        </w:rPr>
      </w:pPr>
      <w:r w:rsidRPr="00E00B35">
        <w:rPr>
          <w:szCs w:val="20"/>
        </w:rPr>
        <w:t>Świadczenia i koszty realizacji zadań.</w:t>
      </w:r>
    </w:p>
    <w:p w:rsidR="00CA14AB" w:rsidRPr="00E00B35" w:rsidRDefault="00CA14AB" w:rsidP="00E00B35">
      <w:pPr>
        <w:spacing w:after="0" w:line="312" w:lineRule="auto"/>
        <w:rPr>
          <w:szCs w:val="20"/>
        </w:rPr>
      </w:pPr>
      <w:r w:rsidRPr="00E00B35">
        <w:rPr>
          <w:szCs w:val="20"/>
        </w:rPr>
        <w:t>W zakresie właściwości Działu Instytucjonalnej Pieczy Zastępczej wydano 1 291 decyzje administracyjne.</w:t>
      </w:r>
    </w:p>
    <w:p w:rsidR="00CA14AB" w:rsidRPr="00E00B35" w:rsidRDefault="00CA14AB" w:rsidP="00E00B35">
      <w:pPr>
        <w:spacing w:after="0" w:line="312" w:lineRule="auto"/>
        <w:rPr>
          <w:szCs w:val="20"/>
        </w:rPr>
      </w:pPr>
      <w:r w:rsidRPr="00E00B35">
        <w:rPr>
          <w:szCs w:val="20"/>
        </w:rPr>
        <w:t xml:space="preserve">Pomoc dla usamodzielnianych wychowanków placówek opiekuńczo – wychowawczych </w:t>
      </w:r>
      <w:r w:rsidRPr="00E00B35">
        <w:rPr>
          <w:szCs w:val="20"/>
        </w:rPr>
        <w:br/>
        <w:t>i resocjalizacyjnych wyniosła ogółem 316 915,67 zł w tym:</w:t>
      </w:r>
    </w:p>
    <w:p w:rsidR="00CA14AB" w:rsidRPr="00E00B35" w:rsidRDefault="00CA14AB" w:rsidP="00E00B35">
      <w:pPr>
        <w:spacing w:after="0" w:line="312" w:lineRule="auto"/>
        <w:rPr>
          <w:szCs w:val="20"/>
        </w:rPr>
      </w:pPr>
      <w:r w:rsidRPr="00E00B35">
        <w:rPr>
          <w:szCs w:val="20"/>
        </w:rPr>
        <w:t>pomoc pieniężna na kontynuowanie nauki w wysokości 265 571,68 zł,</w:t>
      </w:r>
    </w:p>
    <w:p w:rsidR="00CA14AB" w:rsidRPr="00E00B35" w:rsidRDefault="00CA14AB" w:rsidP="00E00B35">
      <w:pPr>
        <w:spacing w:after="0" w:line="312" w:lineRule="auto"/>
        <w:rPr>
          <w:szCs w:val="20"/>
        </w:rPr>
      </w:pPr>
      <w:r w:rsidRPr="00E00B35">
        <w:rPr>
          <w:szCs w:val="20"/>
        </w:rPr>
        <w:t>pomoc na usamodzielnienie w wysokości 29 519 zł,</w:t>
      </w:r>
    </w:p>
    <w:p w:rsidR="00CA14AB" w:rsidRPr="00E00B35" w:rsidRDefault="00CA14AB" w:rsidP="00E00B35">
      <w:pPr>
        <w:spacing w:after="0" w:line="312" w:lineRule="auto"/>
        <w:rPr>
          <w:szCs w:val="20"/>
        </w:rPr>
      </w:pPr>
      <w:r w:rsidRPr="00E00B35">
        <w:rPr>
          <w:szCs w:val="20"/>
        </w:rPr>
        <w:t>pomoc na zagospodarowanie w wysokości 21 824,99 zł.</w:t>
      </w:r>
    </w:p>
    <w:p w:rsidR="00CA14AB" w:rsidRPr="00E00B35" w:rsidRDefault="00CA14AB" w:rsidP="00E00B35">
      <w:pPr>
        <w:spacing w:after="0" w:line="312" w:lineRule="auto"/>
        <w:rPr>
          <w:szCs w:val="20"/>
        </w:rPr>
      </w:pPr>
      <w:r w:rsidRPr="00E00B35">
        <w:rPr>
          <w:szCs w:val="20"/>
        </w:rPr>
        <w:t xml:space="preserve">Dział Instytucjonalnej Pieczy Zastępczej na podstawie zawartych porozumień poniósł opłaty za zakwaterowanie i wyżywienie dzieci w Zakładach Opiekuńczo-Leczniczych </w:t>
      </w:r>
      <w:r w:rsidRPr="00E00B35">
        <w:rPr>
          <w:szCs w:val="20"/>
        </w:rPr>
        <w:br/>
        <w:t>w łącznej wysokości 731 672.34 zł.</w:t>
      </w:r>
    </w:p>
    <w:p w:rsidR="00CA14AB" w:rsidRPr="00E00B35" w:rsidRDefault="00CA14AB" w:rsidP="00E00B35">
      <w:pPr>
        <w:spacing w:after="0" w:line="312" w:lineRule="auto"/>
        <w:rPr>
          <w:szCs w:val="20"/>
        </w:rPr>
      </w:pPr>
      <w:r w:rsidRPr="00E00B35">
        <w:rPr>
          <w:szCs w:val="20"/>
        </w:rPr>
        <w:lastRenderedPageBreak/>
        <w:t>Na utrzymanie placówek opiekuńczo-wychowawczych na terenie Wrocławia wydano łącznie 27 926 389,91 zł, w tym na utrzymanie dzieci w placówkach opiekuńczo-wychowawczych na terenie innych powiatów, gdzie wydano łącznie 42 606,11 zł.</w:t>
      </w:r>
    </w:p>
    <w:p w:rsidR="00CA14AB" w:rsidRPr="00E00B35" w:rsidRDefault="00CA14AB" w:rsidP="00E00B35">
      <w:pPr>
        <w:spacing w:after="0" w:line="312" w:lineRule="auto"/>
        <w:rPr>
          <w:szCs w:val="20"/>
        </w:rPr>
      </w:pPr>
      <w:r w:rsidRPr="00E00B35">
        <w:rPr>
          <w:szCs w:val="20"/>
        </w:rPr>
        <w:t xml:space="preserve">Na dodatek do zryczałtowanej kwoty środków finansowych na utrzymanie dzieci </w:t>
      </w:r>
      <w:r w:rsidRPr="00E00B35">
        <w:rPr>
          <w:szCs w:val="20"/>
        </w:rPr>
        <w:br/>
        <w:t xml:space="preserve">w placówkach opiekuńczo-wychowawczych typu rodzinnego wydano łączną kwotę </w:t>
      </w:r>
      <w:r w:rsidRPr="00E00B35">
        <w:rPr>
          <w:szCs w:val="20"/>
        </w:rPr>
        <w:br/>
        <w:t>348 058,42 zł.</w:t>
      </w:r>
    </w:p>
    <w:p w:rsidR="00CA14AB" w:rsidRPr="00E00B35" w:rsidRDefault="00CA14AB" w:rsidP="00E00B35">
      <w:pPr>
        <w:spacing w:after="0" w:line="312" w:lineRule="auto"/>
        <w:rPr>
          <w:szCs w:val="20"/>
        </w:rPr>
      </w:pPr>
      <w:r w:rsidRPr="00E00B35">
        <w:rPr>
          <w:szCs w:val="20"/>
        </w:rPr>
        <w:t>Na dodatek w wysokości dodatku wychowawczego na dzieci w placówkach opiekuńczo-wychowawczych wydano łączną kwotę 1 595 294,13 zł.</w:t>
      </w:r>
    </w:p>
    <w:p w:rsidR="00CA14AB" w:rsidRPr="00E00B35" w:rsidRDefault="00CA14AB" w:rsidP="00E00B35">
      <w:pPr>
        <w:spacing w:after="0" w:line="312" w:lineRule="auto"/>
        <w:rPr>
          <w:szCs w:val="20"/>
        </w:rPr>
      </w:pPr>
      <w:bookmarkStart w:id="416" w:name="_Hlk61341893"/>
      <w:r w:rsidRPr="00E00B35">
        <w:rPr>
          <w:szCs w:val="20"/>
        </w:rPr>
        <w:t>W roku 2020 na działalność Centrum Rozwoju i Aktywności Dzieci i Młodzieży</w:t>
      </w:r>
      <w:r w:rsidRPr="00E00B35">
        <w:rPr>
          <w:szCs w:val="20"/>
        </w:rPr>
        <w:br/>
        <w:t>we Wrocławiu przekazano łącznie 2 092 000 zł, w tym kwota 800 000 zł została przekazana ze środków przeznaczonych na profilaktykę i rozwiązywanie problemów alkoholowych.</w:t>
      </w:r>
    </w:p>
    <w:p w:rsidR="00CA14AB" w:rsidRPr="00E00B35" w:rsidRDefault="00CA14AB" w:rsidP="00E00B35">
      <w:pPr>
        <w:spacing w:after="0" w:line="312" w:lineRule="auto"/>
        <w:rPr>
          <w:szCs w:val="20"/>
        </w:rPr>
      </w:pPr>
      <w:r w:rsidRPr="00E00B35">
        <w:rPr>
          <w:szCs w:val="20"/>
        </w:rPr>
        <w:t>W roku 2020 na działalność specjalistycznej placówki wsparcia dziennego SIEMACHA Spot Magnolia Park Stowarzyszenia SIEMACHA przekazano łącznie 699 000,00 zł.</w:t>
      </w:r>
    </w:p>
    <w:bookmarkEnd w:id="416"/>
    <w:p w:rsidR="00CA14AB" w:rsidRPr="00E00B35" w:rsidRDefault="00CA14AB" w:rsidP="00E00B35">
      <w:pPr>
        <w:spacing w:after="0" w:line="312" w:lineRule="auto"/>
        <w:rPr>
          <w:szCs w:val="20"/>
        </w:rPr>
      </w:pPr>
      <w:r w:rsidRPr="00E00B35">
        <w:rPr>
          <w:szCs w:val="20"/>
        </w:rPr>
        <w:t xml:space="preserve">W 2020 r. na </w:t>
      </w:r>
      <w:r w:rsidRPr="00E00B35">
        <w:rPr>
          <w:rFonts w:eastAsia="Calibri"/>
          <w:szCs w:val="20"/>
        </w:rPr>
        <w:t>realizację rządowego programu „Dobry start”, na dzieci umieszczone</w:t>
      </w:r>
      <w:r w:rsidRPr="00E00B35">
        <w:rPr>
          <w:rFonts w:eastAsia="Calibri"/>
          <w:szCs w:val="20"/>
        </w:rPr>
        <w:br/>
        <w:t xml:space="preserve">w </w:t>
      </w:r>
      <w:r w:rsidRPr="00E00B35">
        <w:rPr>
          <w:szCs w:val="20"/>
        </w:rPr>
        <w:t xml:space="preserve">placówkach opiekuńczo–wychowawczych oraz na usamodzielnianych wychowanków placówek opiekuńczo-wychowawczych i resocjalizacyjnych wydano łączną kwotę </w:t>
      </w:r>
      <w:r w:rsidRPr="00E00B35">
        <w:rPr>
          <w:szCs w:val="20"/>
        </w:rPr>
        <w:br/>
        <w:t>92 400 zł.</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Świadczenia i koszty realizacji zadań związanych z opieką nad rodziną i dzieckiem w latach 2016-2020 w [zł]</w:t>
      </w:r>
    </w:p>
    <w:tbl>
      <w:tblPr>
        <w:tblW w:w="9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1502"/>
        <w:gridCol w:w="1502"/>
        <w:gridCol w:w="1502"/>
        <w:gridCol w:w="1502"/>
        <w:gridCol w:w="1502"/>
      </w:tblGrid>
      <w:tr w:rsidR="00CA14AB" w:rsidRPr="00E00B35" w:rsidTr="00CA14AB">
        <w:trPr>
          <w:trHeight w:val="732"/>
        </w:trPr>
        <w:tc>
          <w:tcPr>
            <w:tcW w:w="166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Zadania</w:t>
            </w:r>
          </w:p>
        </w:tc>
        <w:tc>
          <w:tcPr>
            <w:tcW w:w="150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2016</w:t>
            </w:r>
          </w:p>
        </w:tc>
        <w:tc>
          <w:tcPr>
            <w:tcW w:w="150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2017</w:t>
            </w:r>
          </w:p>
        </w:tc>
        <w:tc>
          <w:tcPr>
            <w:tcW w:w="150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2018</w:t>
            </w:r>
          </w:p>
        </w:tc>
        <w:tc>
          <w:tcPr>
            <w:tcW w:w="150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2019</w:t>
            </w:r>
          </w:p>
        </w:tc>
        <w:tc>
          <w:tcPr>
            <w:tcW w:w="150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2020</w:t>
            </w:r>
          </w:p>
        </w:tc>
      </w:tr>
      <w:tr w:rsidR="00CA14AB" w:rsidRPr="00E00B35" w:rsidTr="00CA14AB">
        <w:trPr>
          <w:trHeight w:val="842"/>
        </w:trPr>
        <w:tc>
          <w:tcPr>
            <w:tcW w:w="166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CA14AB" w:rsidRPr="00E00B35" w:rsidRDefault="00CA14AB" w:rsidP="00E00B35">
            <w:pPr>
              <w:spacing w:after="0" w:line="312" w:lineRule="auto"/>
              <w:rPr>
                <w:rFonts w:eastAsia="Calibri"/>
                <w:szCs w:val="20"/>
              </w:rPr>
            </w:pPr>
            <w:r w:rsidRPr="00E00B35">
              <w:rPr>
                <w:rFonts w:eastAsia="Calibri"/>
                <w:szCs w:val="20"/>
              </w:rPr>
              <w:t>Utrzymanie dzieci z rodzin zastępczych</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rFonts w:eastAsia="Calibri"/>
                <w:szCs w:val="20"/>
              </w:rPr>
              <w:t>9 314 030</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szCs w:val="20"/>
              </w:rPr>
              <w:t>9 183 697</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rFonts w:eastAsia="Calibri"/>
                <w:szCs w:val="20"/>
              </w:rPr>
              <w:t>9 347 954</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rFonts w:eastAsia="Calibri"/>
                <w:szCs w:val="20"/>
              </w:rPr>
              <w:t>9 231 992</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rFonts w:eastAsia="Calibri"/>
                <w:szCs w:val="20"/>
              </w:rPr>
              <w:t>8 814 559</w:t>
            </w:r>
          </w:p>
        </w:tc>
      </w:tr>
      <w:tr w:rsidR="00CA14AB" w:rsidRPr="00E00B35" w:rsidTr="00CA14AB">
        <w:trPr>
          <w:trHeight w:val="1181"/>
        </w:trPr>
        <w:tc>
          <w:tcPr>
            <w:tcW w:w="166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CA14AB" w:rsidRPr="00E00B35" w:rsidRDefault="00CA14AB" w:rsidP="00E00B35">
            <w:pPr>
              <w:spacing w:after="0" w:line="312" w:lineRule="auto"/>
              <w:rPr>
                <w:rFonts w:eastAsia="Calibri"/>
                <w:szCs w:val="20"/>
              </w:rPr>
            </w:pPr>
            <w:r w:rsidRPr="00E00B35">
              <w:rPr>
                <w:rFonts w:eastAsia="Calibri"/>
                <w:szCs w:val="20"/>
              </w:rPr>
              <w:t>Świadczenia dla pełnoletnich wychowanków pieczy zastępczej</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4AB" w:rsidRPr="00E00B35" w:rsidRDefault="00CA14AB" w:rsidP="00E00B35">
            <w:pPr>
              <w:spacing w:after="0" w:line="312" w:lineRule="auto"/>
              <w:rPr>
                <w:rFonts w:eastAsia="Calibri"/>
                <w:szCs w:val="20"/>
              </w:rPr>
            </w:pPr>
            <w:r w:rsidRPr="00E00B35">
              <w:rPr>
                <w:szCs w:val="20"/>
              </w:rPr>
              <w:t>1 185 212</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4AB" w:rsidRPr="00E00B35" w:rsidRDefault="00CA14AB" w:rsidP="00E00B35">
            <w:pPr>
              <w:spacing w:after="0" w:line="312" w:lineRule="auto"/>
              <w:rPr>
                <w:rFonts w:eastAsia="Calibri"/>
                <w:szCs w:val="20"/>
              </w:rPr>
            </w:pPr>
            <w:r w:rsidRPr="00E00B35">
              <w:rPr>
                <w:szCs w:val="20"/>
              </w:rPr>
              <w:t>1 027 454</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4AB" w:rsidRPr="00E00B35" w:rsidRDefault="00CA14AB" w:rsidP="00E00B35">
            <w:pPr>
              <w:spacing w:after="0" w:line="312" w:lineRule="auto"/>
              <w:rPr>
                <w:rFonts w:eastAsia="Calibri"/>
                <w:szCs w:val="20"/>
              </w:rPr>
            </w:pPr>
            <w:r w:rsidRPr="00E00B35">
              <w:rPr>
                <w:rFonts w:eastAsia="Calibri"/>
                <w:szCs w:val="20"/>
              </w:rPr>
              <w:t>1 240 071</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4AB" w:rsidRPr="00E00B35" w:rsidRDefault="00CA14AB" w:rsidP="00E00B35">
            <w:pPr>
              <w:spacing w:after="0" w:line="312" w:lineRule="auto"/>
              <w:rPr>
                <w:rFonts w:eastAsia="Calibri"/>
                <w:szCs w:val="20"/>
              </w:rPr>
            </w:pPr>
            <w:r w:rsidRPr="00E00B35">
              <w:rPr>
                <w:rFonts w:eastAsia="Calibri"/>
                <w:szCs w:val="20"/>
              </w:rPr>
              <w:t>1 147 010,61</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4AB" w:rsidRPr="00E00B35" w:rsidRDefault="00CA14AB" w:rsidP="00E00B35">
            <w:pPr>
              <w:spacing w:after="0" w:line="312" w:lineRule="auto"/>
              <w:rPr>
                <w:rFonts w:eastAsia="Calibri"/>
                <w:szCs w:val="20"/>
              </w:rPr>
            </w:pPr>
            <w:r w:rsidRPr="00E00B35">
              <w:rPr>
                <w:rFonts w:eastAsia="Calibri"/>
                <w:szCs w:val="20"/>
              </w:rPr>
              <w:t xml:space="preserve">985 537,67 </w:t>
            </w:r>
          </w:p>
        </w:tc>
      </w:tr>
      <w:tr w:rsidR="00CA14AB" w:rsidRPr="00E00B35" w:rsidTr="00CA14AB">
        <w:trPr>
          <w:trHeight w:val="923"/>
        </w:trPr>
        <w:tc>
          <w:tcPr>
            <w:tcW w:w="1668" w:type="dxa"/>
            <w:tcBorders>
              <w:top w:val="single" w:sz="4" w:space="0" w:color="000000"/>
              <w:left w:val="single" w:sz="4" w:space="0" w:color="000000"/>
              <w:bottom w:val="single" w:sz="4" w:space="0" w:color="000000"/>
              <w:right w:val="single" w:sz="4" w:space="0" w:color="000000"/>
            </w:tcBorders>
            <w:shd w:val="clear" w:color="auto" w:fill="D9D9D9"/>
            <w:hideMark/>
          </w:tcPr>
          <w:p w:rsidR="00CA14AB" w:rsidRPr="00E00B35" w:rsidRDefault="00CA14AB" w:rsidP="00E00B35">
            <w:pPr>
              <w:spacing w:after="0" w:line="312" w:lineRule="auto"/>
              <w:rPr>
                <w:rFonts w:eastAsia="Calibri"/>
                <w:szCs w:val="20"/>
              </w:rPr>
            </w:pPr>
            <w:r w:rsidRPr="00E00B35">
              <w:rPr>
                <w:rFonts w:eastAsia="Calibri"/>
                <w:szCs w:val="20"/>
              </w:rPr>
              <w:t>Utrzymanie placówek opiekuńczo-wychowawczych</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szCs w:val="20"/>
              </w:rPr>
              <w:t>25 166 980</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szCs w:val="20"/>
              </w:rPr>
              <w:t>24 479 249</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rFonts w:eastAsia="Calibri"/>
                <w:szCs w:val="20"/>
              </w:rPr>
              <w:t>25 623 695</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rFonts w:eastAsia="Calibri"/>
                <w:szCs w:val="20"/>
              </w:rPr>
              <w:t>26 933 525,48</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rFonts w:eastAsia="Calibri"/>
                <w:szCs w:val="20"/>
              </w:rPr>
              <w:t>27 883 783,80</w:t>
            </w:r>
          </w:p>
        </w:tc>
      </w:tr>
      <w:tr w:rsidR="00CA14AB" w:rsidRPr="00E00B35" w:rsidTr="00CA14AB">
        <w:trPr>
          <w:trHeight w:val="1556"/>
        </w:trPr>
        <w:tc>
          <w:tcPr>
            <w:tcW w:w="1668" w:type="dxa"/>
            <w:tcBorders>
              <w:top w:val="single" w:sz="4" w:space="0" w:color="000000"/>
              <w:left w:val="single" w:sz="4" w:space="0" w:color="000000"/>
              <w:bottom w:val="single" w:sz="4" w:space="0" w:color="000000"/>
              <w:right w:val="single" w:sz="4" w:space="0" w:color="000000"/>
            </w:tcBorders>
            <w:shd w:val="clear" w:color="auto" w:fill="D9D9D9"/>
            <w:hideMark/>
          </w:tcPr>
          <w:p w:rsidR="00CA14AB" w:rsidRPr="00E00B35" w:rsidRDefault="00CA14AB" w:rsidP="00E00B35">
            <w:pPr>
              <w:spacing w:after="0" w:line="312" w:lineRule="auto"/>
              <w:rPr>
                <w:rFonts w:eastAsia="Calibri"/>
                <w:szCs w:val="20"/>
              </w:rPr>
            </w:pPr>
            <w:r w:rsidRPr="00E00B35">
              <w:rPr>
                <w:rFonts w:eastAsia="Calibri"/>
                <w:szCs w:val="20"/>
              </w:rPr>
              <w:t>Utrzymanie dzieci z rodzin zastępczych i placówek opiekuńczo wychowawczy</w:t>
            </w:r>
            <w:r w:rsidRPr="00E00B35">
              <w:rPr>
                <w:rFonts w:eastAsia="Calibri"/>
                <w:szCs w:val="20"/>
              </w:rPr>
              <w:lastRenderedPageBreak/>
              <w:t>ch na terenach innych powiatów</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rFonts w:eastAsia="Calibri"/>
                <w:szCs w:val="20"/>
              </w:rPr>
              <w:lastRenderedPageBreak/>
              <w:t>1 733 736</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szCs w:val="20"/>
              </w:rPr>
              <w:t>1 800 397</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rFonts w:eastAsia="Calibri"/>
                <w:szCs w:val="20"/>
              </w:rPr>
              <w:t>1  682 188</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rFonts w:eastAsia="Calibri"/>
                <w:szCs w:val="20"/>
              </w:rPr>
              <w:t>1 928 069,66</w:t>
            </w:r>
          </w:p>
        </w:tc>
        <w:tc>
          <w:tcPr>
            <w:tcW w:w="1502"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rFonts w:eastAsia="Calibri"/>
                <w:szCs w:val="20"/>
              </w:rPr>
            </w:pPr>
            <w:r w:rsidRPr="00E00B35">
              <w:rPr>
                <w:rFonts w:eastAsia="Calibri"/>
                <w:szCs w:val="20"/>
              </w:rPr>
              <w:t xml:space="preserve">42 606,11 </w:t>
            </w:r>
          </w:p>
        </w:tc>
      </w:tr>
    </w:tbl>
    <w:p w:rsidR="00CA14AB" w:rsidRPr="00E00B35" w:rsidRDefault="00CA14AB" w:rsidP="00E00B35">
      <w:pPr>
        <w:spacing w:after="0" w:line="312" w:lineRule="auto"/>
        <w:rPr>
          <w:szCs w:val="20"/>
        </w:rPr>
      </w:pPr>
      <w:bookmarkStart w:id="417" w:name="_Hlk534358116"/>
      <w:bookmarkStart w:id="418" w:name="_Hlk534358178"/>
      <w:bookmarkEnd w:id="413"/>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419" w:name="_Toc72352438"/>
      <w:bookmarkStart w:id="420" w:name="_Toc72352872"/>
      <w:bookmarkStart w:id="421" w:name="_Hlk59085021"/>
      <w:r w:rsidRPr="00E00B35">
        <w:rPr>
          <w:sz w:val="20"/>
          <w:szCs w:val="20"/>
        </w:rPr>
        <w:t>REALIZACJA PROJEKTÓW WSPÓŁFINANSOWANYCH ZE ŚRODKÓW UNII EUROPEJSKIEJ ORAZ ŚRODKÓW RZĄDOWYCH</w:t>
      </w:r>
      <w:bookmarkEnd w:id="419"/>
      <w:bookmarkEnd w:id="420"/>
      <w:r w:rsidRPr="00E00B35">
        <w:rPr>
          <w:sz w:val="20"/>
          <w:szCs w:val="20"/>
        </w:rPr>
        <w:t xml:space="preserve"> </w:t>
      </w:r>
    </w:p>
    <w:p w:rsidR="00CA14AB" w:rsidRPr="00E00B35" w:rsidRDefault="00CA14AB" w:rsidP="00E00B35">
      <w:pPr>
        <w:spacing w:after="0" w:line="312" w:lineRule="auto"/>
        <w:rPr>
          <w:szCs w:val="20"/>
        </w:rPr>
      </w:pPr>
      <w:r w:rsidRPr="00E00B35">
        <w:rPr>
          <w:szCs w:val="20"/>
        </w:rPr>
        <w:t xml:space="preserve">W roku 2020 Sekcja Projektów Rozwojowych w Centrum Pracy Socjalnej i Rodziny </w:t>
      </w:r>
      <w:r w:rsidRPr="00E00B35">
        <w:rPr>
          <w:szCs w:val="20"/>
        </w:rPr>
        <w:br/>
        <w:t xml:space="preserve">we współpracy z właściwymi merytorycznie komórkami organizacyjnymi MOPS, realizowała zadania w zakresie aplikowania o środki zewnętrzne. W 2020r. pozyskano dotacje ze źródeł zewnętrznych w łącznej wysokości 11 589 235,42 zł, w tym </w:t>
      </w:r>
      <w:r w:rsidRPr="00E00B35">
        <w:rPr>
          <w:szCs w:val="20"/>
        </w:rPr>
        <w:br/>
        <w:t>do wykorzystania przez MOPS 4 873 813,87 zł.</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Pozyskane dofinansowanie w 2020 roku</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196"/>
        <w:gridCol w:w="2138"/>
        <w:gridCol w:w="2081"/>
        <w:gridCol w:w="1934"/>
      </w:tblGrid>
      <w:tr w:rsidR="00CA14AB" w:rsidRPr="00E00B35" w:rsidTr="00CA14AB">
        <w:trPr>
          <w:trHeight w:val="638"/>
        </w:trPr>
        <w:tc>
          <w:tcPr>
            <w:tcW w:w="3196" w:type="dxa"/>
            <w:shd w:val="clear" w:color="auto" w:fill="D9D9D9"/>
            <w:tcMar>
              <w:top w:w="72" w:type="dxa"/>
              <w:left w:w="144" w:type="dxa"/>
              <w:bottom w:w="72" w:type="dxa"/>
              <w:right w:w="144" w:type="dxa"/>
            </w:tcMar>
            <w:vAlign w:val="center"/>
            <w:hideMark/>
          </w:tcPr>
          <w:p w:rsidR="00CA14AB" w:rsidRPr="00E00B35" w:rsidRDefault="00CA14AB" w:rsidP="00E00B35">
            <w:pPr>
              <w:spacing w:after="0" w:line="312" w:lineRule="auto"/>
              <w:rPr>
                <w:szCs w:val="20"/>
              </w:rPr>
            </w:pPr>
            <w:r w:rsidRPr="00E00B35">
              <w:rPr>
                <w:szCs w:val="20"/>
              </w:rPr>
              <w:t>Nazwa projektu</w:t>
            </w:r>
          </w:p>
        </w:tc>
        <w:tc>
          <w:tcPr>
            <w:tcW w:w="2138" w:type="dxa"/>
            <w:shd w:val="clear" w:color="auto" w:fill="D9D9D9"/>
            <w:tcMar>
              <w:top w:w="72" w:type="dxa"/>
              <w:left w:w="144" w:type="dxa"/>
              <w:bottom w:w="72" w:type="dxa"/>
              <w:right w:w="144" w:type="dxa"/>
            </w:tcMar>
            <w:vAlign w:val="center"/>
            <w:hideMark/>
          </w:tcPr>
          <w:p w:rsidR="00CA14AB" w:rsidRPr="00E00B35" w:rsidRDefault="00CA14AB" w:rsidP="00E00B35">
            <w:pPr>
              <w:spacing w:after="0" w:line="312" w:lineRule="auto"/>
              <w:rPr>
                <w:szCs w:val="20"/>
              </w:rPr>
            </w:pPr>
            <w:r w:rsidRPr="00E00B35">
              <w:rPr>
                <w:szCs w:val="20"/>
              </w:rPr>
              <w:t>Wartość całkowita projektu</w:t>
            </w:r>
          </w:p>
          <w:p w:rsidR="00CA14AB" w:rsidRPr="00E00B35" w:rsidRDefault="00CA14AB" w:rsidP="00E00B35">
            <w:pPr>
              <w:spacing w:after="0" w:line="312" w:lineRule="auto"/>
              <w:rPr>
                <w:szCs w:val="20"/>
              </w:rPr>
            </w:pPr>
            <w:r w:rsidRPr="00E00B35">
              <w:rPr>
                <w:szCs w:val="20"/>
              </w:rPr>
              <w:t xml:space="preserve"> [zł]</w:t>
            </w:r>
          </w:p>
        </w:tc>
        <w:tc>
          <w:tcPr>
            <w:tcW w:w="2081" w:type="dxa"/>
            <w:shd w:val="clear" w:color="auto" w:fill="D9D9D9"/>
            <w:tcMar>
              <w:top w:w="72" w:type="dxa"/>
              <w:left w:w="144" w:type="dxa"/>
              <w:bottom w:w="72" w:type="dxa"/>
              <w:right w:w="144" w:type="dxa"/>
            </w:tcMar>
            <w:vAlign w:val="center"/>
            <w:hideMark/>
          </w:tcPr>
          <w:p w:rsidR="00CA14AB" w:rsidRPr="00E00B35" w:rsidRDefault="00CA14AB" w:rsidP="00E00B35">
            <w:pPr>
              <w:spacing w:after="0" w:line="312" w:lineRule="auto"/>
              <w:rPr>
                <w:szCs w:val="20"/>
              </w:rPr>
            </w:pPr>
            <w:r w:rsidRPr="00E00B35">
              <w:rPr>
                <w:szCs w:val="20"/>
              </w:rPr>
              <w:t>Kwota przyznanej dotacji</w:t>
            </w:r>
          </w:p>
          <w:p w:rsidR="00CA14AB" w:rsidRPr="00E00B35" w:rsidRDefault="00CA14AB" w:rsidP="00E00B35">
            <w:pPr>
              <w:spacing w:after="0" w:line="312" w:lineRule="auto"/>
              <w:rPr>
                <w:szCs w:val="20"/>
              </w:rPr>
            </w:pPr>
            <w:r w:rsidRPr="00E00B35">
              <w:rPr>
                <w:szCs w:val="20"/>
              </w:rPr>
              <w:t xml:space="preserve"> [zł]</w:t>
            </w:r>
          </w:p>
        </w:tc>
        <w:tc>
          <w:tcPr>
            <w:tcW w:w="1934" w:type="dxa"/>
            <w:shd w:val="clear" w:color="auto" w:fill="D9D9D9"/>
            <w:tcMar>
              <w:top w:w="72" w:type="dxa"/>
              <w:left w:w="144" w:type="dxa"/>
              <w:bottom w:w="72" w:type="dxa"/>
              <w:right w:w="144" w:type="dxa"/>
            </w:tcMar>
            <w:vAlign w:val="center"/>
            <w:hideMark/>
          </w:tcPr>
          <w:p w:rsidR="00CA14AB" w:rsidRPr="00E00B35" w:rsidRDefault="00CA14AB" w:rsidP="00E00B35">
            <w:pPr>
              <w:spacing w:after="0" w:line="312" w:lineRule="auto"/>
              <w:rPr>
                <w:szCs w:val="20"/>
              </w:rPr>
            </w:pPr>
            <w:r w:rsidRPr="00E00B35">
              <w:rPr>
                <w:szCs w:val="20"/>
              </w:rPr>
              <w:t>Wkład własny</w:t>
            </w:r>
          </w:p>
          <w:p w:rsidR="00CA14AB" w:rsidRPr="00E00B35" w:rsidRDefault="00CA14AB" w:rsidP="00E00B35">
            <w:pPr>
              <w:spacing w:after="0" w:line="312" w:lineRule="auto"/>
              <w:rPr>
                <w:szCs w:val="20"/>
              </w:rPr>
            </w:pPr>
            <w:r w:rsidRPr="00E00B35">
              <w:rPr>
                <w:szCs w:val="20"/>
              </w:rPr>
              <w:t xml:space="preserve"> [zł]</w:t>
            </w:r>
          </w:p>
        </w:tc>
      </w:tr>
      <w:tr w:rsidR="00CA14AB" w:rsidRPr="00E00B35" w:rsidTr="00CA14AB">
        <w:trPr>
          <w:trHeight w:val="638"/>
        </w:trPr>
        <w:tc>
          <w:tcPr>
            <w:tcW w:w="3196" w:type="dxa"/>
            <w:shd w:val="clear" w:color="auto" w:fill="D9D9D9"/>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Zadanie publiczne w ramach „Asystent rodziny na rok 2020”</w:t>
            </w:r>
          </w:p>
        </w:tc>
        <w:tc>
          <w:tcPr>
            <w:tcW w:w="2138"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32 300,00 </w:t>
            </w:r>
          </w:p>
        </w:tc>
        <w:tc>
          <w:tcPr>
            <w:tcW w:w="2081"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32 300,00</w:t>
            </w:r>
          </w:p>
        </w:tc>
        <w:tc>
          <w:tcPr>
            <w:tcW w:w="1934"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0,00 </w:t>
            </w:r>
          </w:p>
        </w:tc>
      </w:tr>
      <w:tr w:rsidR="00CA14AB" w:rsidRPr="00E00B35" w:rsidTr="00CA14AB">
        <w:trPr>
          <w:trHeight w:val="638"/>
        </w:trPr>
        <w:tc>
          <w:tcPr>
            <w:tcW w:w="3196" w:type="dxa"/>
            <w:shd w:val="clear" w:color="auto" w:fill="D9D9D9"/>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Zadanie publiczne pn. „Zapewnienie funkcjonowania Dziennego Domu Senior +” w ramach Programu Wieloletniego „Senior +” na lata 2015-2020 - edycja 2020</w:t>
            </w:r>
          </w:p>
        </w:tc>
        <w:tc>
          <w:tcPr>
            <w:tcW w:w="2138"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351 000,00</w:t>
            </w:r>
          </w:p>
        </w:tc>
        <w:tc>
          <w:tcPr>
            <w:tcW w:w="2081"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100 800,00</w:t>
            </w:r>
          </w:p>
        </w:tc>
        <w:tc>
          <w:tcPr>
            <w:tcW w:w="1934"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250 200,00  </w:t>
            </w:r>
          </w:p>
        </w:tc>
      </w:tr>
      <w:tr w:rsidR="00CA14AB" w:rsidRPr="00E00B35" w:rsidTr="00CA14AB">
        <w:trPr>
          <w:trHeight w:val="638"/>
        </w:trPr>
        <w:tc>
          <w:tcPr>
            <w:tcW w:w="3196" w:type="dxa"/>
            <w:shd w:val="clear" w:color="auto" w:fill="D9D9D9"/>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Zadanie publiczne pn. „Opieka wytchnieniowa we Wrocławiu w 2020 r” w ramach Programu „Opieka wytchnieniowa” – edycja 2020</w:t>
            </w:r>
          </w:p>
        </w:tc>
        <w:tc>
          <w:tcPr>
            <w:tcW w:w="2138"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453 600,00 </w:t>
            </w:r>
          </w:p>
        </w:tc>
        <w:tc>
          <w:tcPr>
            <w:tcW w:w="2081"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363 600,00</w:t>
            </w:r>
          </w:p>
        </w:tc>
        <w:tc>
          <w:tcPr>
            <w:tcW w:w="1934"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90 000,00 </w:t>
            </w:r>
          </w:p>
        </w:tc>
      </w:tr>
      <w:tr w:rsidR="00CA14AB" w:rsidRPr="00E00B35" w:rsidTr="00CA14AB">
        <w:trPr>
          <w:trHeight w:val="638"/>
        </w:trPr>
        <w:tc>
          <w:tcPr>
            <w:tcW w:w="3196" w:type="dxa"/>
            <w:shd w:val="clear" w:color="auto" w:fill="D9D9D9"/>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Zadanie publiczne w ramach „Pomoc osobom niepełnosprawnym poszkodowanym w wyniku żywiołu lub sytuacji kryzysowych wywołanych </w:t>
            </w:r>
            <w:r w:rsidRPr="00E00B35">
              <w:rPr>
                <w:szCs w:val="20"/>
              </w:rPr>
              <w:lastRenderedPageBreak/>
              <w:t>chorobami zakaźnymi”</w:t>
            </w:r>
          </w:p>
        </w:tc>
        <w:tc>
          <w:tcPr>
            <w:tcW w:w="2138"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lastRenderedPageBreak/>
              <w:t xml:space="preserve">2 460 000,00 </w:t>
            </w:r>
          </w:p>
        </w:tc>
        <w:tc>
          <w:tcPr>
            <w:tcW w:w="2081"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2 460 000,00 </w:t>
            </w:r>
          </w:p>
        </w:tc>
        <w:tc>
          <w:tcPr>
            <w:tcW w:w="1934"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0,00 </w:t>
            </w:r>
          </w:p>
        </w:tc>
      </w:tr>
      <w:tr w:rsidR="00CA14AB" w:rsidRPr="00E00B35" w:rsidTr="00CA14AB">
        <w:trPr>
          <w:trHeight w:val="638"/>
        </w:trPr>
        <w:tc>
          <w:tcPr>
            <w:tcW w:w="3196" w:type="dxa"/>
            <w:shd w:val="clear" w:color="auto" w:fill="D9D9D9"/>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lastRenderedPageBreak/>
              <w:t>Wsparcie dzieci umieszczonych w pieczy zastępczej w okresie epidemii COVID-19</w:t>
            </w:r>
          </w:p>
        </w:tc>
        <w:tc>
          <w:tcPr>
            <w:tcW w:w="2138"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1 005 575,00</w:t>
            </w:r>
          </w:p>
        </w:tc>
        <w:tc>
          <w:tcPr>
            <w:tcW w:w="2081"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1 005 575,00</w:t>
            </w:r>
          </w:p>
        </w:tc>
        <w:tc>
          <w:tcPr>
            <w:tcW w:w="1934"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0,00 </w:t>
            </w:r>
          </w:p>
        </w:tc>
      </w:tr>
      <w:tr w:rsidR="00CA14AB" w:rsidRPr="00E00B35" w:rsidTr="00CA14AB">
        <w:trPr>
          <w:trHeight w:val="638"/>
        </w:trPr>
        <w:tc>
          <w:tcPr>
            <w:tcW w:w="3196" w:type="dxa"/>
            <w:shd w:val="clear" w:color="auto" w:fill="D9D9D9"/>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AZYL – usługi opiekuńcze dla osób niesamodzielnych</w:t>
            </w:r>
          </w:p>
        </w:tc>
        <w:tc>
          <w:tcPr>
            <w:tcW w:w="2138"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3 815 999,00</w:t>
            </w:r>
          </w:p>
          <w:p w:rsidR="00CA14AB" w:rsidRPr="00E00B35" w:rsidRDefault="00CA14AB" w:rsidP="00E00B35">
            <w:pPr>
              <w:spacing w:after="0" w:line="312" w:lineRule="auto"/>
              <w:rPr>
                <w:szCs w:val="20"/>
              </w:rPr>
            </w:pPr>
            <w:r w:rsidRPr="00E00B35">
              <w:rPr>
                <w:szCs w:val="20"/>
              </w:rPr>
              <w:t xml:space="preserve">w tym MOPS: </w:t>
            </w:r>
          </w:p>
          <w:p w:rsidR="00CA14AB" w:rsidRPr="00E00B35" w:rsidRDefault="00CA14AB" w:rsidP="00E00B35">
            <w:pPr>
              <w:spacing w:after="0" w:line="312" w:lineRule="auto"/>
              <w:rPr>
                <w:szCs w:val="20"/>
              </w:rPr>
            </w:pPr>
            <w:r w:rsidRPr="00E00B35">
              <w:rPr>
                <w:szCs w:val="20"/>
              </w:rPr>
              <w:t xml:space="preserve">74 750,00 </w:t>
            </w:r>
          </w:p>
        </w:tc>
        <w:tc>
          <w:tcPr>
            <w:tcW w:w="2081"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3 625 199,05</w:t>
            </w:r>
          </w:p>
          <w:p w:rsidR="00CA14AB" w:rsidRPr="00E00B35" w:rsidRDefault="00CA14AB" w:rsidP="00E00B35">
            <w:pPr>
              <w:spacing w:after="0" w:line="312" w:lineRule="auto"/>
              <w:rPr>
                <w:szCs w:val="20"/>
              </w:rPr>
            </w:pPr>
            <w:r w:rsidRPr="00E00B35">
              <w:rPr>
                <w:szCs w:val="20"/>
              </w:rPr>
              <w:t>w tym MOPS:</w:t>
            </w:r>
          </w:p>
          <w:p w:rsidR="00CA14AB" w:rsidRPr="00E00B35" w:rsidRDefault="00CA14AB" w:rsidP="00E00B35">
            <w:pPr>
              <w:spacing w:after="0" w:line="312" w:lineRule="auto"/>
              <w:rPr>
                <w:szCs w:val="20"/>
              </w:rPr>
            </w:pPr>
            <w:r w:rsidRPr="00E00B35">
              <w:rPr>
                <w:szCs w:val="20"/>
              </w:rPr>
              <w:t>74 750,00</w:t>
            </w:r>
          </w:p>
        </w:tc>
        <w:tc>
          <w:tcPr>
            <w:tcW w:w="1934"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190 799,95 </w:t>
            </w:r>
          </w:p>
          <w:p w:rsidR="00CA14AB" w:rsidRPr="00E00B35" w:rsidRDefault="00CA14AB" w:rsidP="00E00B35">
            <w:pPr>
              <w:spacing w:after="0" w:line="312" w:lineRule="auto"/>
              <w:rPr>
                <w:szCs w:val="20"/>
              </w:rPr>
            </w:pPr>
            <w:r w:rsidRPr="00E00B35">
              <w:rPr>
                <w:szCs w:val="20"/>
              </w:rPr>
              <w:t xml:space="preserve">w tym MOPS: 0,00 </w:t>
            </w:r>
          </w:p>
        </w:tc>
      </w:tr>
      <w:tr w:rsidR="00CA14AB" w:rsidRPr="00E00B35" w:rsidTr="00CA14AB">
        <w:trPr>
          <w:trHeight w:val="1106"/>
        </w:trPr>
        <w:tc>
          <w:tcPr>
            <w:tcW w:w="3196" w:type="dxa"/>
            <w:shd w:val="clear" w:color="auto" w:fill="D9D9D9"/>
            <w:tcMar>
              <w:top w:w="72" w:type="dxa"/>
              <w:left w:w="144" w:type="dxa"/>
              <w:bottom w:w="72" w:type="dxa"/>
              <w:right w:w="144" w:type="dxa"/>
            </w:tcMar>
            <w:vAlign w:val="center"/>
          </w:tcPr>
          <w:p w:rsidR="00CA14AB" w:rsidRPr="00E00B35" w:rsidRDefault="00CA14AB" w:rsidP="00E00B35">
            <w:pPr>
              <w:spacing w:after="0" w:line="312" w:lineRule="auto"/>
              <w:rPr>
                <w:szCs w:val="20"/>
              </w:rPr>
            </w:pPr>
            <w:bookmarkStart w:id="422" w:name="_Toc72352439"/>
            <w:bookmarkStart w:id="423" w:name="_Toc72352873"/>
            <w:bookmarkStart w:id="424" w:name="_Toc72357856"/>
            <w:bookmarkStart w:id="425" w:name="_Toc72358010"/>
            <w:r w:rsidRPr="00E00B35">
              <w:rPr>
                <w:szCs w:val="20"/>
              </w:rPr>
              <w:t>SAMO-Dzielni edycja 2</w:t>
            </w:r>
            <w:bookmarkEnd w:id="422"/>
            <w:bookmarkEnd w:id="423"/>
            <w:bookmarkEnd w:id="424"/>
            <w:bookmarkEnd w:id="425"/>
          </w:p>
        </w:tc>
        <w:tc>
          <w:tcPr>
            <w:tcW w:w="2138"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4 212 392,50 </w:t>
            </w:r>
          </w:p>
          <w:p w:rsidR="00CA14AB" w:rsidRPr="00E00B35" w:rsidRDefault="00CA14AB" w:rsidP="00E00B35">
            <w:pPr>
              <w:spacing w:after="0" w:line="312" w:lineRule="auto"/>
              <w:rPr>
                <w:szCs w:val="20"/>
              </w:rPr>
            </w:pPr>
            <w:r w:rsidRPr="00E00B35">
              <w:rPr>
                <w:szCs w:val="20"/>
              </w:rPr>
              <w:t>w tym MOPS: 1 047 420,00</w:t>
            </w:r>
          </w:p>
        </w:tc>
        <w:tc>
          <w:tcPr>
            <w:tcW w:w="2081"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4 001 761,37</w:t>
            </w:r>
          </w:p>
          <w:p w:rsidR="00CA14AB" w:rsidRPr="00E00B35" w:rsidRDefault="00CA14AB" w:rsidP="00E00B35">
            <w:pPr>
              <w:spacing w:after="0" w:line="312" w:lineRule="auto"/>
              <w:rPr>
                <w:szCs w:val="20"/>
              </w:rPr>
            </w:pPr>
            <w:r w:rsidRPr="00E00B35">
              <w:rPr>
                <w:szCs w:val="20"/>
              </w:rPr>
              <w:t>w tym MOPS:</w:t>
            </w:r>
          </w:p>
          <w:p w:rsidR="00CA14AB" w:rsidRPr="00E00B35" w:rsidRDefault="00CA14AB" w:rsidP="00E00B35">
            <w:pPr>
              <w:spacing w:after="0" w:line="312" w:lineRule="auto"/>
              <w:rPr>
                <w:szCs w:val="20"/>
              </w:rPr>
            </w:pPr>
            <w:r w:rsidRPr="00E00B35">
              <w:rPr>
                <w:szCs w:val="20"/>
              </w:rPr>
              <w:t xml:space="preserve"> 836 788,87</w:t>
            </w:r>
          </w:p>
        </w:tc>
        <w:tc>
          <w:tcPr>
            <w:tcW w:w="1934"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210 631,13 </w:t>
            </w:r>
          </w:p>
          <w:p w:rsidR="00CA14AB" w:rsidRPr="00E00B35" w:rsidRDefault="00CA14AB" w:rsidP="00E00B35">
            <w:pPr>
              <w:spacing w:after="0" w:line="312" w:lineRule="auto"/>
              <w:rPr>
                <w:szCs w:val="20"/>
              </w:rPr>
            </w:pPr>
            <w:r w:rsidRPr="00E00B35">
              <w:rPr>
                <w:szCs w:val="20"/>
              </w:rPr>
              <w:t xml:space="preserve">w tym MOPS: </w:t>
            </w:r>
          </w:p>
          <w:p w:rsidR="00CA14AB" w:rsidRPr="00E00B35" w:rsidRDefault="00CA14AB" w:rsidP="00E00B35">
            <w:pPr>
              <w:spacing w:after="0" w:line="312" w:lineRule="auto"/>
              <w:rPr>
                <w:szCs w:val="20"/>
              </w:rPr>
            </w:pPr>
            <w:r w:rsidRPr="00E00B35">
              <w:rPr>
                <w:szCs w:val="20"/>
              </w:rPr>
              <w:t>210 631,13</w:t>
            </w:r>
          </w:p>
        </w:tc>
      </w:tr>
      <w:tr w:rsidR="00CA14AB" w:rsidRPr="00E00B35" w:rsidTr="00CA14AB">
        <w:trPr>
          <w:trHeight w:val="638"/>
        </w:trPr>
        <w:tc>
          <w:tcPr>
            <w:tcW w:w="3196" w:type="dxa"/>
            <w:shd w:val="clear" w:color="auto" w:fill="D9D9D9"/>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SUMA DOTACJI</w:t>
            </w:r>
          </w:p>
        </w:tc>
        <w:tc>
          <w:tcPr>
            <w:tcW w:w="2138"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12 330 866,50 </w:t>
            </w:r>
          </w:p>
        </w:tc>
        <w:tc>
          <w:tcPr>
            <w:tcW w:w="2081"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11 589 235,42 </w:t>
            </w:r>
          </w:p>
        </w:tc>
        <w:tc>
          <w:tcPr>
            <w:tcW w:w="1934"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741 631,08</w:t>
            </w:r>
          </w:p>
        </w:tc>
      </w:tr>
      <w:tr w:rsidR="00CA14AB" w:rsidRPr="00E00B35" w:rsidTr="00CA14AB">
        <w:trPr>
          <w:trHeight w:val="638"/>
        </w:trPr>
        <w:tc>
          <w:tcPr>
            <w:tcW w:w="3196" w:type="dxa"/>
            <w:shd w:val="clear" w:color="auto" w:fill="D9D9D9"/>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W TYM</w:t>
            </w:r>
          </w:p>
          <w:p w:rsidR="00CA14AB" w:rsidRPr="00E00B35" w:rsidRDefault="00CA14AB" w:rsidP="00E00B35">
            <w:pPr>
              <w:spacing w:after="0" w:line="312" w:lineRule="auto"/>
              <w:rPr>
                <w:szCs w:val="20"/>
              </w:rPr>
            </w:pPr>
            <w:r w:rsidRPr="00E00B35">
              <w:rPr>
                <w:szCs w:val="20"/>
              </w:rPr>
              <w:t>SUMA DOTACJI DLA MOPS</w:t>
            </w:r>
          </w:p>
        </w:tc>
        <w:tc>
          <w:tcPr>
            <w:tcW w:w="2138"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5 424 645,00 </w:t>
            </w:r>
          </w:p>
          <w:p w:rsidR="00CA14AB" w:rsidRPr="00E00B35" w:rsidRDefault="00CA14AB" w:rsidP="00E00B35">
            <w:pPr>
              <w:spacing w:after="0" w:line="312" w:lineRule="auto"/>
              <w:rPr>
                <w:szCs w:val="20"/>
              </w:rPr>
            </w:pPr>
          </w:p>
        </w:tc>
        <w:tc>
          <w:tcPr>
            <w:tcW w:w="2081"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4 873 813,87 </w:t>
            </w:r>
          </w:p>
          <w:p w:rsidR="00CA14AB" w:rsidRPr="00E00B35" w:rsidRDefault="00CA14AB" w:rsidP="00E00B35">
            <w:pPr>
              <w:spacing w:after="0" w:line="312" w:lineRule="auto"/>
              <w:rPr>
                <w:szCs w:val="20"/>
              </w:rPr>
            </w:pPr>
          </w:p>
        </w:tc>
        <w:tc>
          <w:tcPr>
            <w:tcW w:w="1934" w:type="dxa"/>
            <w:shd w:val="clear" w:color="auto" w:fill="FFFFFF"/>
            <w:tcMar>
              <w:top w:w="72" w:type="dxa"/>
              <w:left w:w="144" w:type="dxa"/>
              <w:bottom w:w="72" w:type="dxa"/>
              <w:right w:w="144" w:type="dxa"/>
            </w:tcMar>
            <w:vAlign w:val="center"/>
          </w:tcPr>
          <w:p w:rsidR="00CA14AB" w:rsidRPr="00E00B35" w:rsidRDefault="00CA14AB" w:rsidP="00E00B35">
            <w:pPr>
              <w:spacing w:after="0" w:line="312" w:lineRule="auto"/>
              <w:rPr>
                <w:szCs w:val="20"/>
              </w:rPr>
            </w:pPr>
            <w:r w:rsidRPr="00E00B35">
              <w:rPr>
                <w:szCs w:val="20"/>
              </w:rPr>
              <w:t xml:space="preserve">550 831,13 </w:t>
            </w:r>
          </w:p>
          <w:p w:rsidR="00CA14AB" w:rsidRPr="00E00B35" w:rsidRDefault="00CA14AB" w:rsidP="00E00B35">
            <w:pPr>
              <w:spacing w:after="0" w:line="312" w:lineRule="auto"/>
              <w:rPr>
                <w:szCs w:val="20"/>
              </w:rPr>
            </w:pPr>
          </w:p>
        </w:tc>
      </w:tr>
    </w:tbl>
    <w:p w:rsidR="00890136" w:rsidRPr="00E00B35" w:rsidRDefault="00890136" w:rsidP="00E00B35">
      <w:pPr>
        <w:spacing w:after="0" w:line="312" w:lineRule="auto"/>
        <w:rPr>
          <w:rFonts w:eastAsia="Calibri"/>
          <w:szCs w:val="20"/>
        </w:rPr>
      </w:pPr>
    </w:p>
    <w:p w:rsidR="00CA14AB" w:rsidRPr="00E00B35" w:rsidRDefault="00CA14AB" w:rsidP="00E00B35">
      <w:pPr>
        <w:spacing w:after="0" w:line="312" w:lineRule="auto"/>
        <w:rPr>
          <w:rFonts w:eastAsia="Calibri"/>
          <w:szCs w:val="20"/>
        </w:rPr>
      </w:pPr>
      <w:r w:rsidRPr="00E00B35">
        <w:rPr>
          <w:rFonts w:eastAsia="Calibri"/>
          <w:szCs w:val="20"/>
        </w:rPr>
        <w:t xml:space="preserve">W 2020r. umowy o dofinansowanie zawierane były z Ministerstwem Rodziny, Pracy </w:t>
      </w:r>
      <w:r w:rsidRPr="00E00B35">
        <w:rPr>
          <w:rFonts w:eastAsia="Calibri"/>
          <w:szCs w:val="20"/>
        </w:rPr>
        <w:br/>
        <w:t xml:space="preserve">i Polityki Społecznej, jednak z uwagi na fakt, że rozporządzeniem Rady Ministrów z dnia </w:t>
      </w:r>
      <w:r w:rsidRPr="00E00B35">
        <w:rPr>
          <w:rFonts w:eastAsia="Calibri"/>
          <w:szCs w:val="20"/>
        </w:rPr>
        <w:br/>
        <w:t>7 października 2020r. w drodze przekształcenia Ministerstwa Rodziny, Pracy i Polityki Społecznej zostało utworzone Ministerstwo Rodziny i Polityki Społecznej (MRiPS) – poniżej stosuje się aktualną nazwę Ministerstwa.</w:t>
      </w:r>
    </w:p>
    <w:p w:rsidR="00CA14AB" w:rsidRPr="00E00B35" w:rsidRDefault="00CA14AB" w:rsidP="00E00B35">
      <w:pPr>
        <w:spacing w:after="0" w:line="312" w:lineRule="auto"/>
        <w:rPr>
          <w:rFonts w:eastAsia="Calibri"/>
          <w:szCs w:val="20"/>
        </w:rPr>
      </w:pPr>
      <w:bookmarkStart w:id="426" w:name="_Hlk61599759"/>
      <w:r w:rsidRPr="00E00B35">
        <w:rPr>
          <w:rFonts w:eastAsia="Calibri"/>
          <w:szCs w:val="20"/>
        </w:rPr>
        <w:t>Zadanie publiczne w ramach „Programu asystent rodziny na rok 2020” współfinansowane ze środków Ministerstwa Rodziny i Polityki Społecznej.</w:t>
      </w:r>
    </w:p>
    <w:p w:rsidR="00CA14AB" w:rsidRPr="00E00B35" w:rsidRDefault="00CA14AB" w:rsidP="00E00B35">
      <w:pPr>
        <w:spacing w:after="0" w:line="312" w:lineRule="auto"/>
        <w:rPr>
          <w:rFonts w:eastAsia="Calibri"/>
          <w:szCs w:val="20"/>
        </w:rPr>
      </w:pPr>
      <w:r w:rsidRPr="00E00B35">
        <w:rPr>
          <w:rFonts w:eastAsia="Calibri"/>
          <w:szCs w:val="20"/>
        </w:rPr>
        <w:t xml:space="preserve">Program zakładał dofinansowanie jednorazowego dodatku do wynagrodzenia dla asystentów rodziny aktywnie działających w okresie zwalczania pandemii Covid-19. Objęte Programem zostały osoby, które pracowały przed lub rozpoczęły pracę na stanowisku asystenta rodziny najpóźniej 1 stycznia 2020r. i do dnia 19 czerwca 2020r. pracowały na stanowisku asystenta rodzin. Nie wykazywało się osób, które w okresie </w:t>
      </w:r>
      <w:r w:rsidRPr="00E00B35">
        <w:rPr>
          <w:rFonts w:eastAsia="Calibri"/>
          <w:szCs w:val="20"/>
        </w:rPr>
        <w:br/>
        <w:t xml:space="preserve">od 1 stycznia do 19 czerwca 2020r. nie świadczyły pracy łącznie przez co najmniej 90 dni kalendarzowych (zwolnienia lekarskie, urlopy macierzyńskie i rodzicielskie, itp). Dofinansowanie w formie dodatku do wynagrodzenia dla asystentów rodziny w wysokości jednorazowej wynosiło 1 700 zł brutto na każdego zatrudnionego asystenta rodziny </w:t>
      </w:r>
      <w:r w:rsidRPr="00E00B35">
        <w:rPr>
          <w:rFonts w:eastAsia="Calibri"/>
          <w:szCs w:val="20"/>
        </w:rPr>
        <w:br/>
        <w:t xml:space="preserve">w gminie (podstawa zatrudnienia zarówno umowa o pracę, jak i umowa-zlecenie), proporcjonalnie do wymiaru etatu. Dodatek otrzymało 19 asystentów rodziny. </w:t>
      </w:r>
    </w:p>
    <w:p w:rsidR="00CA14AB" w:rsidRPr="00E00B35" w:rsidRDefault="00CA14AB" w:rsidP="00E00B35">
      <w:pPr>
        <w:spacing w:after="0" w:line="312" w:lineRule="auto"/>
        <w:rPr>
          <w:rFonts w:eastAsia="Calibri"/>
          <w:szCs w:val="20"/>
        </w:rPr>
      </w:pPr>
      <w:r w:rsidRPr="00E00B35">
        <w:rPr>
          <w:rFonts w:eastAsia="Calibri"/>
          <w:szCs w:val="20"/>
        </w:rPr>
        <w:t>Kwota dofinansowania 32 300 zł - projekt w 100 % finansowany przez MRiPS</w:t>
      </w:r>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 xml:space="preserve">Zadanie publiczne pn. Zapewnienie funkcjonowania Dziennego Domu „Senior+” w ramach Programu Wieloletniego „Senior+” na lata 2015-2020 - edycja 2020 </w:t>
      </w:r>
    </w:p>
    <w:p w:rsidR="00CA14AB" w:rsidRPr="00E00B35" w:rsidRDefault="00CA14AB" w:rsidP="00E00B35">
      <w:pPr>
        <w:spacing w:after="0" w:line="312" w:lineRule="auto"/>
        <w:rPr>
          <w:rFonts w:eastAsia="Calibri"/>
          <w:szCs w:val="20"/>
        </w:rPr>
      </w:pPr>
      <w:r w:rsidRPr="00E00B35">
        <w:rPr>
          <w:rFonts w:eastAsia="Calibri"/>
          <w:szCs w:val="20"/>
        </w:rPr>
        <w:t xml:space="preserve">W 2020r. Gmina Wrocław realizowała zadanie publiczne pn. Zapewnienie funkcjonowania Dziennego Domu „Senior+” w ramach Programu Wieloletniego „Senior+” na lata 2015-2020” - edycja 2020, które było współfinansowane ze środków </w:t>
      </w:r>
      <w:bookmarkStart w:id="427" w:name="_Hlk62140850"/>
      <w:r w:rsidRPr="00E00B35">
        <w:rPr>
          <w:rFonts w:eastAsia="Calibri"/>
          <w:szCs w:val="20"/>
        </w:rPr>
        <w:t xml:space="preserve">Ministerstwa Rodziny i Polityki Społecznej. </w:t>
      </w:r>
    </w:p>
    <w:bookmarkEnd w:id="427"/>
    <w:p w:rsidR="00CA14AB" w:rsidRPr="00E00B35" w:rsidRDefault="00CA14AB" w:rsidP="00E00B35">
      <w:pPr>
        <w:spacing w:after="0" w:line="312" w:lineRule="auto"/>
        <w:rPr>
          <w:rFonts w:eastAsia="Calibri"/>
          <w:szCs w:val="20"/>
        </w:rPr>
      </w:pPr>
      <w:r w:rsidRPr="00E00B35">
        <w:rPr>
          <w:rFonts w:eastAsia="Calibri"/>
          <w:szCs w:val="20"/>
        </w:rPr>
        <w:t>Realizacja zadania polegała na zapewnieniu funkcjonowania Dziennego Domu „Senior+” kierującego ofertę do 28 osób w wieku powyżej 60 roku życia, nieaktywnych zawodowo, w tym cierpiących na choroby neurodegeneracyjne (otępienne) we wczesnej fazie.</w:t>
      </w:r>
    </w:p>
    <w:p w:rsidR="00CA14AB" w:rsidRPr="00E00B35" w:rsidRDefault="00CA14AB" w:rsidP="00E00B35">
      <w:pPr>
        <w:spacing w:after="0" w:line="312" w:lineRule="auto"/>
        <w:rPr>
          <w:rFonts w:eastAsia="Calibri"/>
          <w:szCs w:val="20"/>
        </w:rPr>
      </w:pPr>
      <w:r w:rsidRPr="00E00B35">
        <w:rPr>
          <w:rFonts w:eastAsia="Calibri"/>
          <w:szCs w:val="20"/>
        </w:rPr>
        <w:t>Realizacja zadania publicznego została zlecona przez Gminę Wrocław podmiotowi,</w:t>
      </w:r>
      <w:r w:rsidRPr="00E00B35">
        <w:rPr>
          <w:rFonts w:eastAsia="Calibri"/>
          <w:szCs w:val="20"/>
        </w:rPr>
        <w:br/>
        <w:t>o którym mowa w art. 3 ust. 2 i 3 ustawy z dnia 24 kwietnia 2003r. o działalności pożytku publicznego i wolontariacie. W wyniku ogłoszonego konkursu realizację zadania zlecono Parafii Ewangelicko-Augsburskiej we Wrocławiu, która prowadzi Dzienny Dom „Senior+” przy ul. Kazimierza Wielkiego 31-33.</w:t>
      </w:r>
    </w:p>
    <w:p w:rsidR="00CA14AB" w:rsidRPr="00E00B35" w:rsidRDefault="00CA14AB" w:rsidP="00E00B35">
      <w:pPr>
        <w:spacing w:after="0" w:line="312" w:lineRule="auto"/>
        <w:rPr>
          <w:rFonts w:eastAsia="Calibri"/>
          <w:szCs w:val="20"/>
        </w:rPr>
      </w:pPr>
      <w:r w:rsidRPr="00E00B35">
        <w:rPr>
          <w:rFonts w:eastAsia="Calibri"/>
          <w:szCs w:val="20"/>
        </w:rPr>
        <w:t>W ramach zadania podjęto działania aktywizujące dla seniorów, o charakterze: rekreacyjnym, pielęgniarsko–opiekuńczym, rehabilitacyjno–gimnastycznym, treningu umysłu, wsparcia psychologicznego, kulturalno-oświatowym, reintegracji społecznej</w:t>
      </w:r>
      <w:r w:rsidRPr="00E00B35">
        <w:rPr>
          <w:rFonts w:eastAsia="Calibri"/>
          <w:szCs w:val="20"/>
        </w:rPr>
        <w:br/>
        <w:t xml:space="preserve">i socjalnym (ciepły posiłek). </w:t>
      </w:r>
    </w:p>
    <w:p w:rsidR="00CA14AB" w:rsidRPr="00E00B35" w:rsidRDefault="00CA14AB" w:rsidP="00E00B35">
      <w:pPr>
        <w:spacing w:after="0" w:line="312" w:lineRule="auto"/>
        <w:rPr>
          <w:rFonts w:eastAsia="Calibri"/>
          <w:szCs w:val="20"/>
        </w:rPr>
      </w:pPr>
      <w:r w:rsidRPr="00E00B35">
        <w:rPr>
          <w:rFonts w:eastAsia="Calibri"/>
          <w:szCs w:val="20"/>
        </w:rPr>
        <w:t xml:space="preserve">Łączna wartość projektu: 351 000,00 zł, w tym dofinansowanie z MRiPS </w:t>
      </w:r>
      <w:r w:rsidRPr="00E00B35">
        <w:rPr>
          <w:rFonts w:eastAsia="Calibri"/>
          <w:szCs w:val="20"/>
        </w:rPr>
        <w:br/>
        <w:t xml:space="preserve">100 800,00 zł oraz 250 200,00 zł wkładu własnego. </w:t>
      </w:r>
    </w:p>
    <w:p w:rsidR="00CA14AB" w:rsidRPr="00E00B35" w:rsidRDefault="00CA14AB" w:rsidP="00E00B35">
      <w:pPr>
        <w:spacing w:after="0" w:line="312" w:lineRule="auto"/>
        <w:rPr>
          <w:rFonts w:eastAsia="Calibri"/>
          <w:szCs w:val="20"/>
        </w:rPr>
      </w:pPr>
      <w:r w:rsidRPr="00E00B35">
        <w:rPr>
          <w:rFonts w:eastAsia="Calibri"/>
          <w:szCs w:val="20"/>
        </w:rPr>
        <w:t xml:space="preserve">Zadanie publiczne pn. „Opieka wytchnieniowa we Wrocławiu w 2020r.” </w:t>
      </w:r>
      <w:r w:rsidRPr="00E00B35">
        <w:rPr>
          <w:rFonts w:eastAsia="Calibri"/>
          <w:szCs w:val="20"/>
        </w:rPr>
        <w:br/>
        <w:t xml:space="preserve">w ramach Programu „Opieka wytchnieniowa” - edycja 2020 </w:t>
      </w:r>
    </w:p>
    <w:p w:rsidR="00CA14AB" w:rsidRPr="00E00B35" w:rsidRDefault="00CA14AB" w:rsidP="00E00B35">
      <w:pPr>
        <w:spacing w:after="0" w:line="312" w:lineRule="auto"/>
        <w:rPr>
          <w:rFonts w:eastAsia="Calibri"/>
          <w:szCs w:val="20"/>
        </w:rPr>
      </w:pPr>
      <w:r w:rsidRPr="00E00B35">
        <w:rPr>
          <w:rFonts w:eastAsia="Calibri"/>
          <w:szCs w:val="20"/>
        </w:rPr>
        <w:t xml:space="preserve">W 2020r. Gmina Wrocław realizowała zadanie publiczne pn. „Opieka wytchnieniowa </w:t>
      </w:r>
      <w:r w:rsidRPr="00E00B35">
        <w:rPr>
          <w:rFonts w:eastAsia="Calibri"/>
          <w:szCs w:val="20"/>
        </w:rPr>
        <w:br/>
        <w:t xml:space="preserve">we Wrocławiu w 2020r.” w ramach Programu „Opieka wytchnieniowa” - edycja 2020, które było współfinansowane ze środków Ministerstwa Rodziny i Polityki Społecznej. </w:t>
      </w:r>
    </w:p>
    <w:p w:rsidR="00CA14AB" w:rsidRPr="00E00B35" w:rsidRDefault="00CA14AB" w:rsidP="00E00B35">
      <w:pPr>
        <w:spacing w:after="0" w:line="312" w:lineRule="auto"/>
        <w:rPr>
          <w:rFonts w:eastAsia="Calibri"/>
          <w:szCs w:val="20"/>
        </w:rPr>
      </w:pPr>
      <w:r w:rsidRPr="00E00B35">
        <w:rPr>
          <w:rFonts w:eastAsia="Calibri"/>
          <w:szCs w:val="20"/>
        </w:rPr>
        <w:t>Realizacja zadania polegała na zwiększeniu dostępności do wysokiej jakości bezpłatnych oraz trwałych usług opieki wytchnieniowej dla opiekunów osób z niepełnosprawnością zamieszkujących Wrocław.</w:t>
      </w:r>
    </w:p>
    <w:p w:rsidR="00CA14AB" w:rsidRPr="00E00B35" w:rsidRDefault="00CA14AB" w:rsidP="00E00B35">
      <w:pPr>
        <w:spacing w:after="0" w:line="312" w:lineRule="auto"/>
        <w:rPr>
          <w:rFonts w:eastAsia="Calibri"/>
          <w:szCs w:val="20"/>
        </w:rPr>
      </w:pPr>
      <w:r w:rsidRPr="00E00B35">
        <w:rPr>
          <w:rFonts w:eastAsia="Calibri"/>
          <w:szCs w:val="20"/>
        </w:rPr>
        <w:t>Realizacja zadania publicznego została zlecona przez Gminę Wrocław podmiotom,</w:t>
      </w:r>
      <w:r w:rsidRPr="00E00B35">
        <w:rPr>
          <w:rFonts w:eastAsia="Calibri"/>
          <w:szCs w:val="20"/>
        </w:rPr>
        <w:br/>
        <w:t>o którym mowa w art. 3 ust. 2 i 3 ustawy z dnia 24 kwietnia 2003r. o działalności pożytku publicznego i wolontariacie. W wyniku ogłoszonego konkursu zadania realizują:</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Fundacja Eudajmonia</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Stowarzyszenie Bonitum</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Fundacja Promyk Słońca</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Fundacja Wrocławskie Hospicjum dla Dzieci</w:t>
      </w:r>
    </w:p>
    <w:p w:rsidR="00CA14AB" w:rsidRPr="00E00B35" w:rsidRDefault="00CA14AB" w:rsidP="00E00B35">
      <w:pPr>
        <w:spacing w:after="0" w:line="312" w:lineRule="auto"/>
        <w:rPr>
          <w:rFonts w:eastAsia="Calibri"/>
          <w:szCs w:val="20"/>
        </w:rPr>
      </w:pPr>
      <w:r w:rsidRPr="00E00B35">
        <w:rPr>
          <w:rFonts w:eastAsia="Calibri"/>
          <w:szCs w:val="20"/>
        </w:rPr>
        <w:t xml:space="preserve">W ramach zadania zrealizowano 8 353 godziny opieki wytchnieniowej dla członków rodzin lub opiekunów sprawujących bezpośrednią opiekę nad osobami dorosłymi ze znacznym stopniem niepełnosprawności lub dziećmi niepełnosprawnymi z orzeczeniem </w:t>
      </w:r>
      <w:r w:rsidRPr="00E00B35">
        <w:rPr>
          <w:rFonts w:eastAsia="Calibri"/>
          <w:szCs w:val="20"/>
        </w:rPr>
        <w:br/>
        <w:t>o niepełnosprawności.</w:t>
      </w:r>
    </w:p>
    <w:p w:rsidR="00CA14AB" w:rsidRPr="00E00B35" w:rsidRDefault="00CA14AB" w:rsidP="00E00B35">
      <w:pPr>
        <w:spacing w:after="0" w:line="312" w:lineRule="auto"/>
        <w:rPr>
          <w:rFonts w:eastAsia="Calibri"/>
          <w:szCs w:val="20"/>
        </w:rPr>
      </w:pPr>
      <w:r w:rsidRPr="00E00B35">
        <w:rPr>
          <w:rFonts w:eastAsia="Calibri"/>
          <w:szCs w:val="20"/>
        </w:rPr>
        <w:t xml:space="preserve">Łączna wartość projektu: 453 600,00 zł, w tym dofinansowanie z MRiPS </w:t>
      </w:r>
      <w:r w:rsidRPr="00E00B35">
        <w:rPr>
          <w:rFonts w:eastAsia="Calibri"/>
          <w:szCs w:val="20"/>
        </w:rPr>
        <w:br/>
        <w:t>363 600,00 zł oraz 90 000,00 zł wkładu własnego.</w:t>
      </w:r>
    </w:p>
    <w:p w:rsidR="00CA14AB" w:rsidRPr="00E00B35" w:rsidRDefault="00CA14AB" w:rsidP="00E00B35">
      <w:pPr>
        <w:spacing w:after="0" w:line="312" w:lineRule="auto"/>
        <w:rPr>
          <w:rFonts w:eastAsia="Calibri"/>
          <w:szCs w:val="20"/>
        </w:rPr>
      </w:pPr>
      <w:r w:rsidRPr="00E00B35">
        <w:rPr>
          <w:rFonts w:eastAsia="Calibri"/>
          <w:szCs w:val="20"/>
        </w:rPr>
        <w:lastRenderedPageBreak/>
        <w:t>Zadanie publiczne w ramach programu „Pomoc osobom niepełnosprawnym poszkodowanym w wyniku żywiołu lub sytuacji kryzysowych wywołanych chorobami zakaźnymi”</w:t>
      </w:r>
    </w:p>
    <w:p w:rsidR="00CA14AB" w:rsidRPr="00E00B35" w:rsidRDefault="00CA14AB" w:rsidP="00E00B35">
      <w:pPr>
        <w:spacing w:after="0" w:line="312" w:lineRule="auto"/>
        <w:rPr>
          <w:szCs w:val="20"/>
        </w:rPr>
      </w:pPr>
      <w:r w:rsidRPr="00E00B35">
        <w:rPr>
          <w:szCs w:val="20"/>
        </w:rPr>
        <w:t xml:space="preserve">W związku z wystąpieniem zagrożenia epidemicznego oraz stanu epidemii Państwowy Fundusz Rehabilitacji Osób Niepełnosprawnych uruchomił realizację programu „Pomoc osobom niepełnosprawnym poszkodowanym w wyniku żywiołu lub sytuacji kryzysowych wywołanych chorobami zakaźnymi”. Gmina Wrocław przystąpiła do realizacji programu. </w:t>
      </w:r>
      <w:r w:rsidRPr="00E00B35">
        <w:rPr>
          <w:szCs w:val="20"/>
        </w:rPr>
        <w:br/>
        <w:t xml:space="preserve">W Gminie Wrocław realizatorem został Miejski Ośrodek Pomocy Społecznej we Wrocławiu. W ramach Modułu III tego programu wprowadzona została możliwość uzyskania pomocy finansowej. </w:t>
      </w:r>
    </w:p>
    <w:p w:rsidR="00CA14AB" w:rsidRPr="00E00B35" w:rsidRDefault="00CA14AB" w:rsidP="00E00B35">
      <w:pPr>
        <w:spacing w:after="0" w:line="312" w:lineRule="auto"/>
        <w:rPr>
          <w:szCs w:val="20"/>
        </w:rPr>
      </w:pPr>
      <w:r w:rsidRPr="00E00B35">
        <w:rPr>
          <w:szCs w:val="20"/>
        </w:rPr>
        <w:t xml:space="preserve">Program był przeznaczony dla osób z niepełnosprawnością, które są mieszkańcami Wrocławia i uczęszczały na zajęcia do placówek działających minimum 10 miesięcy </w:t>
      </w:r>
      <w:r w:rsidRPr="00E00B35">
        <w:rPr>
          <w:szCs w:val="20"/>
        </w:rPr>
        <w:br/>
        <w:t>w roku przez minimum 5 dni w tygodniu tj:</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Warsztatów Terapii Zajęciowej;</w:t>
      </w:r>
    </w:p>
    <w:p w:rsidR="00CA14AB" w:rsidRPr="00E00B35" w:rsidRDefault="00CA14AB" w:rsidP="00BC64AB">
      <w:pPr>
        <w:pStyle w:val="Akapitzlist"/>
        <w:numPr>
          <w:ilvl w:val="0"/>
          <w:numId w:val="231"/>
        </w:numPr>
        <w:spacing w:after="0" w:line="312" w:lineRule="auto"/>
        <w:ind w:left="426" w:hanging="426"/>
        <w:rPr>
          <w:rFonts w:eastAsia="SimSun"/>
          <w:szCs w:val="20"/>
        </w:rPr>
      </w:pPr>
      <w:r w:rsidRPr="00E00B35">
        <w:rPr>
          <w:rFonts w:eastAsia="SimSun"/>
          <w:szCs w:val="20"/>
        </w:rPr>
        <w:t>Środowiskowych Domów Samopomocy;</w:t>
      </w:r>
    </w:p>
    <w:p w:rsidR="00CA14AB" w:rsidRPr="00E00B35" w:rsidRDefault="00933852" w:rsidP="00BC64AB">
      <w:pPr>
        <w:pStyle w:val="Akapitzlist"/>
        <w:numPr>
          <w:ilvl w:val="0"/>
          <w:numId w:val="231"/>
        </w:numPr>
        <w:spacing w:after="0" w:line="312" w:lineRule="auto"/>
        <w:ind w:left="426" w:hanging="426"/>
        <w:rPr>
          <w:rFonts w:eastAsia="SimSun"/>
          <w:szCs w:val="20"/>
        </w:rPr>
      </w:pPr>
      <w:r w:rsidRPr="00E00B35">
        <w:rPr>
          <w:rFonts w:eastAsia="SimSun"/>
          <w:szCs w:val="20"/>
        </w:rPr>
        <w:t>Dziennych Domów Pomocy;</w:t>
      </w:r>
    </w:p>
    <w:p w:rsidR="00CA14AB" w:rsidRPr="00E00B35" w:rsidRDefault="00CA14AB" w:rsidP="00BC64AB">
      <w:pPr>
        <w:pStyle w:val="Akapitzlist"/>
        <w:numPr>
          <w:ilvl w:val="0"/>
          <w:numId w:val="231"/>
        </w:numPr>
        <w:spacing w:after="0" w:line="312" w:lineRule="auto"/>
        <w:ind w:left="426" w:hanging="426"/>
        <w:rPr>
          <w:szCs w:val="20"/>
        </w:rPr>
      </w:pPr>
      <w:r w:rsidRPr="00E00B35">
        <w:rPr>
          <w:rFonts w:eastAsia="SimSun"/>
          <w:szCs w:val="20"/>
        </w:rPr>
        <w:t>Placówek</w:t>
      </w:r>
      <w:r w:rsidRPr="00E00B35">
        <w:rPr>
          <w:szCs w:val="20"/>
        </w:rPr>
        <w:t xml:space="preserve"> rehabilitacyjnych, których działalność finansowana jest ze środków PFRON na podstawie art. 36 ustawy z dnia 27 sierpnia 1997 r. o rehabilitacji zawodowej i społecznej oraz zatrudnianiu osób niepełnosprawnych (Dz.U. </w:t>
      </w:r>
      <w:r w:rsidR="00933852" w:rsidRPr="00E00B35">
        <w:rPr>
          <w:szCs w:val="20"/>
        </w:rPr>
        <w:t>z 2020 r. poz. 426 z późn. zm.);</w:t>
      </w:r>
    </w:p>
    <w:p w:rsidR="00933852" w:rsidRPr="00E00B35" w:rsidRDefault="00CA14AB" w:rsidP="00BC64AB">
      <w:pPr>
        <w:pStyle w:val="Akapitzlist"/>
        <w:numPr>
          <w:ilvl w:val="0"/>
          <w:numId w:val="231"/>
        </w:numPr>
        <w:spacing w:after="0" w:line="312" w:lineRule="auto"/>
        <w:ind w:left="426" w:hanging="426"/>
        <w:rPr>
          <w:szCs w:val="20"/>
        </w:rPr>
      </w:pPr>
      <w:r w:rsidRPr="00E00B35">
        <w:rPr>
          <w:szCs w:val="20"/>
        </w:rPr>
        <w:t>w ramach programów zatwierdzonych przez Radę Nadzorczą PFRON i w ramach tych programów korzystają ze wsparcia udzielanego przez placówki rehabilitacyjne;</w:t>
      </w:r>
    </w:p>
    <w:p w:rsidR="00933852"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w ramach zajęć rewalidacyjno-wychowawczych organizowanych zgodnie </w:t>
      </w:r>
      <w:r w:rsidRPr="00E00B35">
        <w:rPr>
          <w:szCs w:val="20"/>
        </w:rPr>
        <w:br/>
        <w:t>z przepisami rozporządzenia Ministra Edukacji Narodowej z dnia 23 kwietnia 2013</w:t>
      </w:r>
      <w:r w:rsidR="00933852" w:rsidRPr="00E00B35">
        <w:rPr>
          <w:szCs w:val="20"/>
        </w:rPr>
        <w:t xml:space="preserve"> </w:t>
      </w:r>
      <w:r w:rsidRPr="00E00B35">
        <w:rPr>
          <w:szCs w:val="20"/>
        </w:rPr>
        <w:t>r. w sprawie warunków i sposobu organizowania zajęć rewalidacyjno-wychowawczych dla dzieci i młodzieży z upośledzeniem umysłowym w stopniu głębokim (Dz. U. z 2013r. poz. 529);</w:t>
      </w:r>
    </w:p>
    <w:p w:rsidR="00933852" w:rsidRPr="00E00B35" w:rsidRDefault="00CA14AB" w:rsidP="00BC64AB">
      <w:pPr>
        <w:pStyle w:val="Akapitzlist"/>
        <w:numPr>
          <w:ilvl w:val="0"/>
          <w:numId w:val="231"/>
        </w:numPr>
        <w:spacing w:after="0" w:line="312" w:lineRule="auto"/>
        <w:ind w:left="426" w:hanging="426"/>
        <w:rPr>
          <w:szCs w:val="20"/>
        </w:rPr>
      </w:pPr>
      <w:r w:rsidRPr="00E00B35">
        <w:rPr>
          <w:szCs w:val="20"/>
        </w:rPr>
        <w:t>Specjalnych ośrodków szkolno-wychowawczych oraz specjalnych ośrodków wychowawczych, szkół specjalnych przysposabiających do pracy funkcjonujących na podstawie ustawy z dnia 14 grudnia 2016 r. Prawo oświatowe (Dz. U. z 2020r. poz. 910 ze zm.);</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Ośrodków rehabilitacyjno-edukacyjno-wychowawczych oraz ośrodków rewalidacyjno-wychowawczych  funkcjonujących na podstawie ustawy z dnia 14 grudnia 2016r. Prawo oświatowe (Dz. U. z 2020r. poz. 910 ze zm.).</w:t>
      </w:r>
    </w:p>
    <w:p w:rsidR="00CA14AB" w:rsidRPr="00E00B35" w:rsidRDefault="00CA14AB" w:rsidP="00E00B35">
      <w:pPr>
        <w:spacing w:after="0" w:line="312" w:lineRule="auto"/>
        <w:rPr>
          <w:szCs w:val="20"/>
        </w:rPr>
      </w:pPr>
      <w:r w:rsidRPr="00E00B35">
        <w:rPr>
          <w:szCs w:val="20"/>
        </w:rPr>
        <w:t xml:space="preserve">Wpłynęło 1395 wniosków, z czego pozytywnie rozpatrzono ok. 1070. </w:t>
      </w:r>
    </w:p>
    <w:p w:rsidR="00CA14AB" w:rsidRPr="00E00B35" w:rsidRDefault="00CA14AB" w:rsidP="00E00B35">
      <w:pPr>
        <w:spacing w:after="0" w:line="312" w:lineRule="auto"/>
        <w:rPr>
          <w:szCs w:val="20"/>
        </w:rPr>
      </w:pPr>
      <w:r w:rsidRPr="00E00B35">
        <w:rPr>
          <w:szCs w:val="20"/>
        </w:rPr>
        <w:t xml:space="preserve">Łączna wartość projektu 2 460 000,00 zł </w:t>
      </w:r>
      <w:bookmarkStart w:id="428" w:name="_Hlk61692664"/>
      <w:r w:rsidRPr="00E00B35">
        <w:rPr>
          <w:szCs w:val="20"/>
        </w:rPr>
        <w:t>– środki w 100 % pochodzą z Państwowego Funduszu Rehabilitacji Osób Niepełnosprawnych</w:t>
      </w:r>
    </w:p>
    <w:bookmarkEnd w:id="428"/>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Zadanie publiczne pn. „Asystent Osobisty Osoby Niepełnosprawnej” w ramach Programu „Asystent osobisty osoby niepełnosprawnej” - edycja 2019-2020</w:t>
      </w:r>
    </w:p>
    <w:p w:rsidR="00CA14AB" w:rsidRPr="00E00B35" w:rsidRDefault="00CA14AB" w:rsidP="00E00B35">
      <w:pPr>
        <w:spacing w:after="0" w:line="312" w:lineRule="auto"/>
        <w:rPr>
          <w:rFonts w:eastAsia="Calibri"/>
          <w:szCs w:val="20"/>
        </w:rPr>
      </w:pPr>
      <w:r w:rsidRPr="00E00B35">
        <w:rPr>
          <w:rFonts w:eastAsia="Calibri"/>
          <w:szCs w:val="20"/>
        </w:rPr>
        <w:t xml:space="preserve">W 2020 r. Gmina Wrocław realizowała zadanie publiczne pn. „Asystent Osobisty Osoby Niepełnosprawnej” w ramach Programu „Asystent osobisty osoby niepełnosprawnej” - </w:t>
      </w:r>
      <w:r w:rsidRPr="00E00B35">
        <w:rPr>
          <w:rFonts w:eastAsia="Calibri"/>
          <w:szCs w:val="20"/>
        </w:rPr>
        <w:lastRenderedPageBreak/>
        <w:t>edycja 2019-2020, które było współfinansowane ze środków Ministerstwa Rodziny i Polityki Społecznej.</w:t>
      </w:r>
    </w:p>
    <w:p w:rsidR="00CA14AB" w:rsidRPr="00E00B35" w:rsidRDefault="00CA14AB" w:rsidP="00E00B35">
      <w:pPr>
        <w:spacing w:after="0" w:line="312" w:lineRule="auto"/>
        <w:rPr>
          <w:rFonts w:eastAsia="Calibri"/>
          <w:szCs w:val="20"/>
        </w:rPr>
      </w:pPr>
      <w:r w:rsidRPr="00E00B35">
        <w:rPr>
          <w:szCs w:val="20"/>
        </w:rPr>
        <w:t xml:space="preserve">Celem zadania było świadczenie usługi asystenta dla pełnoletnich mieszkańców Wrocławia posiadających orzeczenie o znacznym lub umiarkowanym stopniu niepełnosprawności lub równoważnym do wymienionych, które wymagają wsparcia </w:t>
      </w:r>
      <w:r w:rsidRPr="00E00B35">
        <w:rPr>
          <w:szCs w:val="20"/>
        </w:rPr>
        <w:br/>
        <w:t xml:space="preserve">w wykonywaniu codziennych czynności oraz funkcjonowaniu w życiu społecznym. </w:t>
      </w:r>
    </w:p>
    <w:p w:rsidR="00CA14AB" w:rsidRPr="00E00B35" w:rsidRDefault="00CA14AB" w:rsidP="00E00B35">
      <w:pPr>
        <w:spacing w:after="0" w:line="312" w:lineRule="auto"/>
        <w:rPr>
          <w:rFonts w:eastAsia="Calibri"/>
          <w:szCs w:val="20"/>
        </w:rPr>
      </w:pPr>
      <w:r w:rsidRPr="00E00B35">
        <w:rPr>
          <w:rFonts w:eastAsia="Calibri"/>
          <w:szCs w:val="20"/>
        </w:rPr>
        <w:t>Realizacja zadania publicznego została zlecona przez Gminę Wrocław podmiotom,</w:t>
      </w:r>
      <w:r w:rsidRPr="00E00B35">
        <w:rPr>
          <w:rFonts w:eastAsia="Calibri"/>
          <w:szCs w:val="20"/>
        </w:rPr>
        <w:br/>
        <w:t>o którym mowa w art. 3 ust. 2 i 3 ustawy z dnia 24 kwietnia 2003r. o działalności pożytku publicznego i wolontariacie. W wyniku ogłoszonego konkursu zadania realizowały:</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Stowarzyszenie „Ostoja” na Rzecz Osób z Niepełnosprawnościami</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Fundacja IMAGO</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Polski Związek Głuchych Oddział Dolnośląski</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Polski Związek Niewidomych Okręg Dolnośląski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Fundacja „Promyk Słońca”</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Fundacja „Eudajmonia”</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Wrocławskie Stowarzyszenie Głuchych „Nadzieja”</w:t>
      </w:r>
      <w:r w:rsidR="00933852" w:rsidRPr="00E00B35">
        <w:rPr>
          <w:szCs w:val="20"/>
        </w:rPr>
        <w:t>.</w:t>
      </w:r>
    </w:p>
    <w:p w:rsidR="00CA14AB" w:rsidRPr="00E00B35" w:rsidRDefault="00CA14AB" w:rsidP="00E00B35">
      <w:pPr>
        <w:spacing w:after="0" w:line="312" w:lineRule="auto"/>
        <w:rPr>
          <w:rFonts w:eastAsia="Calibri"/>
          <w:szCs w:val="20"/>
        </w:rPr>
      </w:pPr>
      <w:r w:rsidRPr="00E00B35">
        <w:rPr>
          <w:rFonts w:eastAsia="Calibri"/>
          <w:szCs w:val="20"/>
        </w:rPr>
        <w:t>W ramach zadania zrealizowano 54 154,5 godziny usług asystenckich dla beneficjentów zadania.</w:t>
      </w:r>
    </w:p>
    <w:p w:rsidR="00CA14AB" w:rsidRPr="00E00B35" w:rsidRDefault="00CA14AB" w:rsidP="00E00B35">
      <w:pPr>
        <w:spacing w:after="0" w:line="312" w:lineRule="auto"/>
        <w:rPr>
          <w:rFonts w:eastAsia="Calibri"/>
          <w:szCs w:val="20"/>
        </w:rPr>
      </w:pPr>
      <w:r w:rsidRPr="00E00B35">
        <w:rPr>
          <w:rFonts w:eastAsia="Calibri"/>
          <w:szCs w:val="20"/>
        </w:rPr>
        <w:t>Łączna wartość projektu: 3 113 900,00 zł</w:t>
      </w:r>
      <w:r w:rsidRPr="00E00B35">
        <w:rPr>
          <w:rFonts w:eastAsia="Verdana"/>
          <w:szCs w:val="20"/>
        </w:rPr>
        <w:t xml:space="preserve">, w tym 2 717 900,00 zł </w:t>
      </w:r>
      <w:r w:rsidRPr="00E00B35">
        <w:rPr>
          <w:rFonts w:eastAsia="Calibri"/>
          <w:szCs w:val="20"/>
        </w:rPr>
        <w:t xml:space="preserve">dofinansowanie z MRiPS </w:t>
      </w:r>
      <w:r w:rsidRPr="00E00B35">
        <w:rPr>
          <w:rFonts w:eastAsia="Verdana"/>
          <w:szCs w:val="20"/>
        </w:rPr>
        <w:t xml:space="preserve">i </w:t>
      </w:r>
      <w:r w:rsidRPr="00E00B35">
        <w:rPr>
          <w:rFonts w:eastAsia="Calibri"/>
          <w:szCs w:val="20"/>
        </w:rPr>
        <w:t xml:space="preserve">396 000,00 zł wkład własny Gminy Wrocław. </w:t>
      </w:r>
    </w:p>
    <w:p w:rsidR="00CA14AB" w:rsidRPr="00E00B35" w:rsidRDefault="00CA14AB" w:rsidP="00E00B35">
      <w:pPr>
        <w:spacing w:after="0" w:line="312" w:lineRule="auto"/>
        <w:rPr>
          <w:rFonts w:eastAsia="Calibri"/>
          <w:szCs w:val="20"/>
        </w:rPr>
      </w:pPr>
      <w:r w:rsidRPr="00E00B35">
        <w:rPr>
          <w:rFonts w:eastAsia="Calibri"/>
          <w:szCs w:val="20"/>
        </w:rPr>
        <w:t>Dodatkowo otrzymano 13 589,00 na koszty związane z obsługą zadania.</w:t>
      </w:r>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Projekt „Wsparcie dzieci umieszczonych w pieczy zastępczej w okresie epidemii COVID-19”</w:t>
      </w:r>
    </w:p>
    <w:p w:rsidR="00CA14AB" w:rsidRPr="00E00B35" w:rsidRDefault="00CA14AB" w:rsidP="00E00B35">
      <w:pPr>
        <w:spacing w:after="0" w:line="312" w:lineRule="auto"/>
        <w:rPr>
          <w:rFonts w:eastAsia="Calibri"/>
          <w:szCs w:val="20"/>
        </w:rPr>
      </w:pPr>
      <w:r w:rsidRPr="00E00B35">
        <w:rPr>
          <w:rFonts w:eastAsia="Calibri"/>
          <w:szCs w:val="20"/>
        </w:rPr>
        <w:t xml:space="preserve">W 2020 r. Gmina Wrocław zrealizowała projekt „Wsparcie dzieci umieszczonych w pieczy zastępczej w okresie epidemii COVID-19”. </w:t>
      </w:r>
      <w:r w:rsidRPr="00E00B35">
        <w:rPr>
          <w:szCs w:val="20"/>
        </w:rPr>
        <w:t>Projekt współfinansowany był ze środków Europejskiego Funduszu Społecznego w ramach Programu Operacyjnego Wiedza Edukacja Rozwój na lata 2014-2020, Działania 2.8 Rozwój usług społecznych świadczonych w środowisku lokalnym, PI 9iv: Ułatwianie dostępu do przystępnych cenowo, trwałych oraz wysokiej jakości usług, w tym opieki zdrowotnej.</w:t>
      </w:r>
    </w:p>
    <w:p w:rsidR="00CA14AB" w:rsidRPr="00E00B35" w:rsidRDefault="00CA14AB" w:rsidP="00E00B35">
      <w:pPr>
        <w:spacing w:after="0" w:line="312" w:lineRule="auto"/>
        <w:rPr>
          <w:szCs w:val="20"/>
        </w:rPr>
      </w:pPr>
      <w:r w:rsidRPr="00E00B35">
        <w:rPr>
          <w:szCs w:val="20"/>
        </w:rPr>
        <w:t xml:space="preserve">Celem głównym zadania było </w:t>
      </w:r>
      <w:r w:rsidRPr="00E00B35">
        <w:rPr>
          <w:rFonts w:eastAsia="Calibri"/>
          <w:szCs w:val="20"/>
        </w:rPr>
        <w:t xml:space="preserve">zapobieganie i ograniczenie negatywnych skutków wystąpienia COVID-19 poprzez </w:t>
      </w:r>
      <w:r w:rsidRPr="00E00B35">
        <w:rPr>
          <w:szCs w:val="20"/>
        </w:rPr>
        <w:t>wzmocnienie rodzin zastępczych, rodzinnych domów dziecka, placówek opiekuńczo-wychowawczych, regionalnych placówek opiekuńczo-terapeutycznych, interwencyjnych ośrodków preadopcyjnych, w zakresie bezpiecznej realizacji zadań tych podmiotów w okresie epidemii COVID-19.</w:t>
      </w:r>
    </w:p>
    <w:p w:rsidR="00CA14AB" w:rsidRPr="00E00B35" w:rsidRDefault="00CA14AB" w:rsidP="00E00B35">
      <w:pPr>
        <w:spacing w:after="0" w:line="312" w:lineRule="auto"/>
        <w:rPr>
          <w:szCs w:val="20"/>
        </w:rPr>
      </w:pPr>
      <w:r w:rsidRPr="00E00B35">
        <w:rPr>
          <w:szCs w:val="20"/>
        </w:rPr>
        <w:t>Celem szczegółowym projektu było wsparcie dzieci, rodziców zastępczych i pracowników rodzinnych oraz instytucjonalnych podmiotów pieczy zastępczej w sytuacji zagrożenia epidemią choroby COVID-19 poprzez:</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zakup wyposażenia na cele realizowania zadań w trybie zdalnego nauczania;</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zakup środków ochrony indywidualnej i wyposażenia do bezpośredniej walki </w:t>
      </w:r>
      <w:r w:rsidRPr="00E00B35">
        <w:rPr>
          <w:szCs w:val="20"/>
        </w:rPr>
        <w:br/>
        <w:t>z epidemią;</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lastRenderedPageBreak/>
        <w:t>zakup wyposażenia do organizacji miejsc kwarantanny/izolacji dla dzieci z pieczy zastępczej.</w:t>
      </w:r>
    </w:p>
    <w:p w:rsidR="00CA14AB" w:rsidRPr="00E00B35" w:rsidRDefault="00CA14AB" w:rsidP="00E00B35">
      <w:pPr>
        <w:spacing w:after="0" w:line="312" w:lineRule="auto"/>
        <w:rPr>
          <w:szCs w:val="20"/>
        </w:rPr>
      </w:pPr>
      <w:r w:rsidRPr="00E00B35">
        <w:rPr>
          <w:szCs w:val="20"/>
        </w:rPr>
        <w:t xml:space="preserve">W ramach projektu zakupiono i rozdysponowano 230 laptopów, 15 oprogramowań dla osób z niepełnosprawnościami, 77 sztuk sprzętu audiowizualnego (8 telewizorów, </w:t>
      </w:r>
      <w:r w:rsidRPr="00E00B35">
        <w:rPr>
          <w:szCs w:val="20"/>
        </w:rPr>
        <w:br/>
        <w:t xml:space="preserve">2 rzutniki, 7 kamer internetowych, 60 zestawów: kamera internetowa + głośniki ), środki ochrony indywidualnej (21 330 sztuk maseczek, 106 650 sztuk rękawiczek jednorazowych, 2 051 litrów płynu dezynfekującego), oraz wyposażono w meble </w:t>
      </w:r>
      <w:r w:rsidRPr="00E00B35">
        <w:rPr>
          <w:szCs w:val="20"/>
        </w:rPr>
        <w:br/>
        <w:t>7 izolatek. Pomoc otrzymały 622 rodziny zastępcze oraz 35 placówek opiekuńczo-wychowawczych.</w:t>
      </w:r>
    </w:p>
    <w:p w:rsidR="00CA14AB" w:rsidRPr="00E00B35" w:rsidRDefault="00CA14AB" w:rsidP="00E00B35">
      <w:pPr>
        <w:spacing w:after="0" w:line="312" w:lineRule="auto"/>
        <w:rPr>
          <w:rFonts w:eastAsia="Calibri"/>
          <w:szCs w:val="20"/>
        </w:rPr>
      </w:pPr>
      <w:r w:rsidRPr="00E00B35">
        <w:rPr>
          <w:rFonts w:eastAsia="Calibri"/>
          <w:szCs w:val="20"/>
        </w:rPr>
        <w:t>Kwota</w:t>
      </w:r>
      <w:r w:rsidRPr="00E00B35">
        <w:rPr>
          <w:rFonts w:eastAsia="Verdana"/>
          <w:szCs w:val="20"/>
        </w:rPr>
        <w:t xml:space="preserve"> </w:t>
      </w:r>
      <w:r w:rsidRPr="00E00B35">
        <w:rPr>
          <w:rFonts w:eastAsia="Calibri"/>
          <w:szCs w:val="20"/>
        </w:rPr>
        <w:t xml:space="preserve">dofinansowania: 1 005 575,00 zł – projekt w 100 % finansowany </w:t>
      </w:r>
      <w:r w:rsidRPr="00E00B35">
        <w:rPr>
          <w:rFonts w:eastAsia="Calibri"/>
          <w:szCs w:val="20"/>
        </w:rPr>
        <w:br/>
        <w:t>z Programu Operacyjnego Wiedza Edukacja Rozwój</w:t>
      </w:r>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Projekt „PAS-ja”</w:t>
      </w:r>
    </w:p>
    <w:p w:rsidR="00CA14AB" w:rsidRPr="00E00B35" w:rsidRDefault="00CA14AB" w:rsidP="00E00B35">
      <w:pPr>
        <w:spacing w:after="0" w:line="312" w:lineRule="auto"/>
        <w:rPr>
          <w:szCs w:val="20"/>
        </w:rPr>
      </w:pPr>
      <w:r w:rsidRPr="00E00B35">
        <w:rPr>
          <w:szCs w:val="20"/>
        </w:rPr>
        <w:t xml:space="preserve">Przez cały 2020r. kontynuowano realizację projektu „PAS-ja”, która rozpoczęła się </w:t>
      </w:r>
      <w:r w:rsidRPr="00E00B35">
        <w:rPr>
          <w:szCs w:val="20"/>
        </w:rPr>
        <w:br/>
        <w:t xml:space="preserve">we wrześniu 2018r. Projekt był realizowany przez Miejski Ośrodek Pomocy Społecznej </w:t>
      </w:r>
      <w:r w:rsidRPr="00E00B35">
        <w:rPr>
          <w:szCs w:val="20"/>
        </w:rPr>
        <w:br/>
        <w:t xml:space="preserve">w imieniu Gminy Wrocław. Był dofinansowany w ramach Regionalnego Programu Operacyjnego Województwa Dolnośląskiego 2014-2020,  współfinansowanego </w:t>
      </w:r>
      <w:r w:rsidRPr="00E00B35">
        <w:rPr>
          <w:szCs w:val="20"/>
        </w:rPr>
        <w:br/>
        <w:t>ze środków Unii Europejskiej w ramach Europejskiego Funduszu Społecznego.</w:t>
      </w:r>
    </w:p>
    <w:p w:rsidR="00CA14AB" w:rsidRPr="00E00B35" w:rsidRDefault="00CA14AB" w:rsidP="00E00B35">
      <w:pPr>
        <w:spacing w:after="0" w:line="312" w:lineRule="auto"/>
        <w:rPr>
          <w:szCs w:val="20"/>
        </w:rPr>
      </w:pPr>
      <w:r w:rsidRPr="00E00B35">
        <w:rPr>
          <w:szCs w:val="20"/>
        </w:rPr>
        <w:t xml:space="preserve">"PAS-ja" (Program Aktywizacji Społecznej - ja) za cel główny projektu stawia: zwiększenie szans na integracje społeczną (w tym: na podniesienie zdolności </w:t>
      </w:r>
      <w:r w:rsidRPr="00E00B35">
        <w:rPr>
          <w:szCs w:val="20"/>
        </w:rPr>
        <w:br/>
        <w:t xml:space="preserve">do zatrudnienia) 180 zagrożonych ubóstwem i wykluczeniem społecznym, korzystających ze wsparcia MOPS wrocławian poprzez zastosowanie wobec nich usług aktywnej integracji </w:t>
      </w:r>
      <w:r w:rsidRPr="00E00B35">
        <w:rPr>
          <w:szCs w:val="20"/>
        </w:rPr>
        <w:br/>
        <w:t xml:space="preserve">w okresie 25.09.2018r. - 31.12.2020r. Pierwotny wniosek o dofinansowanie zakładał zakończenie realizacji 30.06.2020r., jednakże ze względu na konieczność okresowego zawieszenia realizacji wsparcia z powodu pandemii COVID-19, ostatecznie okres realizacji wydłużono o pół roku. </w:t>
      </w:r>
    </w:p>
    <w:p w:rsidR="00CA14AB" w:rsidRPr="00E00B35" w:rsidRDefault="00CA14AB" w:rsidP="00E00B35">
      <w:pPr>
        <w:spacing w:after="0" w:line="312" w:lineRule="auto"/>
        <w:rPr>
          <w:szCs w:val="20"/>
        </w:rPr>
      </w:pPr>
      <w:r w:rsidRPr="00E00B35">
        <w:rPr>
          <w:szCs w:val="20"/>
        </w:rPr>
        <w:t xml:space="preserve">Zgodnie z założeniami projektu wśród 180 deklarowanych we wniosku o dofinansowanie uczestników powinny znaleźć się 62 osoby z niepełnosprawnością (wsparciem w ramach projektu w okresie 2018-2020 objęto 99 osób z niepełnosprawnością, w tym w 2020 – 37 osób).  Ze względu na poważny problem grupy docelowej projektu z integracją społeczną i praktyczny brak gotowości do zmiany sytuacji życiowej (w tym podjęcia pracy), </w:t>
      </w:r>
      <w:r w:rsidRPr="00E00B35">
        <w:rPr>
          <w:szCs w:val="20"/>
        </w:rPr>
        <w:br/>
        <w:t>w projekcie była realizowana tylko aktywizacja społeczna, jako przygotowanie grupy do dalszej aktywizacji, w tym zawodowej. Ścieżki reintegracji uczestników były realizowane w ramach 16 grup PAL (po 8 grup PAL w każdej turze realizacji projektu).</w:t>
      </w:r>
    </w:p>
    <w:p w:rsidR="00CA14AB" w:rsidRPr="00E00B35" w:rsidRDefault="00CA14AB" w:rsidP="00E00B35">
      <w:pPr>
        <w:spacing w:after="0" w:line="312" w:lineRule="auto"/>
        <w:rPr>
          <w:szCs w:val="20"/>
        </w:rPr>
      </w:pPr>
      <w:r w:rsidRPr="00E00B35">
        <w:rPr>
          <w:szCs w:val="20"/>
        </w:rPr>
        <w:t>W 2020 roku  udział w projekcie kontynuowała druga tura uczestników (rozpoczęcie - VIII 2019r.) Byli oni podzieleni na 8 Programów Aktywności Lokalnej:</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ZTPS 1- PAS-ja na Przedmieściu Świdnickim II,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ZTPS 2 - PAS-ja na Leśnicy II</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ZTPS 3 - PAS-ja na Ołbinie II,</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ZTPS 3 - PAS-ja na Wielkiej Wyspie II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ZTPS 4 - PAS-ja aktywnego życia II (PAL kategorialny dla osób </w:t>
      </w:r>
      <w:r w:rsidRPr="00E00B35">
        <w:rPr>
          <w:szCs w:val="20"/>
        </w:rPr>
        <w:br/>
        <w:t>z niepełnosprawnością i przewlekle chorych),</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ZTSP 5 – PAS-ja Huby i okolice,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lastRenderedPageBreak/>
        <w:t xml:space="preserve">ZTPS 6 - PAS-ja przeciw przemocy (PAL kategorialny dla ofiar przemocy),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ZTPS 7 – PAS-ja później dorosłości (PAL kategorialny dla seniorów). </w:t>
      </w:r>
    </w:p>
    <w:p w:rsidR="00CA14AB" w:rsidRPr="00E00B35" w:rsidRDefault="00CA14AB" w:rsidP="00E00B35">
      <w:pPr>
        <w:spacing w:after="0" w:line="312" w:lineRule="auto"/>
        <w:rPr>
          <w:szCs w:val="20"/>
        </w:rPr>
      </w:pPr>
      <w:r w:rsidRPr="00E00B35">
        <w:rPr>
          <w:szCs w:val="20"/>
        </w:rPr>
        <w:t xml:space="preserve">Wsparciem w ich ramach objęto 113 osób korzystających z pomocy MOPS, z czego 7 osób weszło do projektu w 2020roku.  W 2020 roku,  w ramach II tury projektu, realizowano: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Intensywną Pracę Socjalną,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treningi z zakresu rozwoju osobistego (np. trening kreatywności, trening aktywności - rękodzieło, trening fotograficzny),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treningi z zakresu aktywizacji społecznej (np. treningi aktywności społecznej, trening tworzenia inicjatyw społecznych, trening aktywności lokalnej i animacji),</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specjalistyczne poradnictwo indywidualne (np. Poradnictwo indywidualne dla osób długotrwale chorych zagrożonych niepełnosprawnością i niepełnosprawnych, Indywidualne poradnictwo rodzinne, indywidualne poradnictwo socjalne),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treningi z zakresu kompetencji życiowych (np. treningi umiejętności życiowych, trening Domowe ABC, trening kulinarny)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 indywidualne poradnictwo z zakresu nowoczesnych technologii (np. trening obsługi nowoczesnych urządzeń, indywidualne wsparcie z zakresu nowoczesnych technologii);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treningi autoprezentacji,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grupę wsparcia dla ofiar przemocy. </w:t>
      </w:r>
    </w:p>
    <w:p w:rsidR="00CA14AB" w:rsidRPr="00E00B35" w:rsidRDefault="00CA14AB" w:rsidP="00E00B35">
      <w:pPr>
        <w:spacing w:after="0" w:line="312" w:lineRule="auto"/>
        <w:rPr>
          <w:szCs w:val="20"/>
        </w:rPr>
      </w:pPr>
      <w:r w:rsidRPr="00E00B35">
        <w:rPr>
          <w:szCs w:val="20"/>
        </w:rPr>
        <w:t xml:space="preserve">Ze względu na zagrożenie epidemiczne realizacja wsparcia projektowego była okresowo zawieszana. Podczas pierwszego lockdownu (od połowy marca 2020 roku) realizowano wyłącznie intensywną pracę socjalną i to drogą telefoniczną. Pracownicy wchodzili w środowiska wyłącznie w kryzysowych sytuacjach. W kwietniu niektóre PAL-e wznowiły realizację poradnictwa indywidualnego, ale świadczyły je głównie drogą telefoniczną, a jeśli na zasadzie spotkań osobistych, to przy zachowaniu ścisłego reżimu sanitarnego. W czerwcu i lipcu, w formie zajęć stacjonarnych, odbyły się treningi autoprezentacji realizowane przez firmę zewnętrzną. Zajęcia stacjonarne wznowiono we wrześniu, jednakże, ze względu na zaostrzające się reżimy sanitarne, ich program musiał ulec modyfikacji (m.in. nie odbyła się część wyjść do instytucji kultury), a czas trwania w wielu wypadkach - skróceniu. To ostatnie było spowodowane głównie koniecznością zadbania o bezpieczeństwo uczestników, którzy w większości należeli do grupy ryzyka jeśli chodzi o COVID-19. Realizacja grupowych form wsparcia w poszczególnych PAL-ach trwała do końca listopada, najczęściej jednak miała formę konsultacji telefonicznych (rzadko: spotkań w grupach do pięciu osób z prowadzącym włącznie).  </w:t>
      </w:r>
    </w:p>
    <w:p w:rsidR="00CA14AB" w:rsidRPr="00E00B35" w:rsidRDefault="00CA14AB" w:rsidP="00E00B35">
      <w:pPr>
        <w:spacing w:after="0" w:line="312" w:lineRule="auto"/>
        <w:rPr>
          <w:szCs w:val="20"/>
        </w:rPr>
      </w:pPr>
      <w:r w:rsidRPr="00E00B35">
        <w:rPr>
          <w:szCs w:val="20"/>
        </w:rPr>
        <w:t xml:space="preserve">Druga  tura realizacji projektu zakończyła się przygotowaniem szeregu inicjatyw społecznych, których organizatorami lub współorganizatorami byli uczestnicy. </w:t>
      </w:r>
      <w:r w:rsidRPr="00E00B35">
        <w:rPr>
          <w:szCs w:val="20"/>
        </w:rPr>
        <w:br/>
        <w:t xml:space="preserve">Ze względu na epidemię, pierwotne plany realizacji inicjatyw musiały zostać mocno zweryfikowane. </w:t>
      </w:r>
    </w:p>
    <w:p w:rsidR="00CA14AB" w:rsidRPr="00E00B35" w:rsidRDefault="00CA14AB" w:rsidP="00E00B35">
      <w:pPr>
        <w:spacing w:after="0" w:line="312" w:lineRule="auto"/>
        <w:rPr>
          <w:szCs w:val="20"/>
        </w:rPr>
      </w:pPr>
      <w:r w:rsidRPr="00E00B35">
        <w:rPr>
          <w:szCs w:val="20"/>
        </w:rPr>
        <w:t xml:space="preserve">1. PAL PAS-ja NA PRZEDMIEŚCIU ŚWIDNICKIM II: uczestnicy, przy współpracy </w:t>
      </w:r>
      <w:r w:rsidRPr="00E00B35">
        <w:rPr>
          <w:szCs w:val="20"/>
        </w:rPr>
        <w:br/>
        <w:t xml:space="preserve">z Fundacją Sensor, jej podopiecznymi oraz w jej siedzibie, przeprowadzili inicjatywę społeczną pod nazwą „Stop przemocy wobec zwierząt”. Jej celem było uwrażliwienie Wrocławian na los zwierząt oraz edukacja w zakresie możliwości podjęcia działań </w:t>
      </w:r>
      <w:r w:rsidRPr="00E00B35">
        <w:rPr>
          <w:szCs w:val="20"/>
        </w:rPr>
        <w:br/>
      </w:r>
      <w:r w:rsidRPr="00E00B35">
        <w:rPr>
          <w:szCs w:val="20"/>
        </w:rPr>
        <w:lastRenderedPageBreak/>
        <w:t xml:space="preserve">i zaangażowania się na rzecz wrocławskich schronisk dla zwierząt. Działanie </w:t>
      </w:r>
      <w:r w:rsidRPr="00E00B35">
        <w:rPr>
          <w:szCs w:val="20"/>
        </w:rPr>
        <w:br/>
        <w:t xml:space="preserve">to zrealizowano poprzez wykonanie przypinek i ekologicznych toreb z hasłami inicjatywy a następnie rozdanie ich okolicznym mieszkańcom. Dodatkowo mieszkańcy otrzymali ulotki informacyjne ze schroniska przy ul. Ślazowej oraz naklejki samochodowe </w:t>
      </w:r>
      <w:r w:rsidRPr="00E00B35">
        <w:rPr>
          <w:szCs w:val="20"/>
        </w:rPr>
        <w:br/>
        <w:t xml:space="preserve">z wizerunkami zwierząt i hasłem „Nie krzywdź”. </w:t>
      </w:r>
    </w:p>
    <w:p w:rsidR="00CA14AB" w:rsidRPr="00E00B35" w:rsidRDefault="00CA14AB" w:rsidP="00E00B35">
      <w:pPr>
        <w:spacing w:after="0" w:line="312" w:lineRule="auto"/>
        <w:rPr>
          <w:szCs w:val="20"/>
        </w:rPr>
      </w:pPr>
      <w:r w:rsidRPr="00E00B35">
        <w:rPr>
          <w:szCs w:val="20"/>
        </w:rPr>
        <w:t xml:space="preserve">2. PAL PAS-ja NA LEŚNICY II: W ramach inicjatywy uczestnicy przygotowali </w:t>
      </w:r>
      <w:r w:rsidRPr="00E00B35">
        <w:rPr>
          <w:szCs w:val="20"/>
        </w:rPr>
        <w:br/>
        <w:t xml:space="preserve">i poprowadzili stoisko MOPS na Jarmarku Jadwiżańskim. Ich rola polegała na animowaniu konkursów i zabaw z użyciem gier plenerowych dla młodszych uczestników Jarmarku, </w:t>
      </w:r>
      <w:r w:rsidRPr="00E00B35">
        <w:rPr>
          <w:szCs w:val="20"/>
        </w:rPr>
        <w:br/>
        <w:t>a także tworzeniu przypinek ze wzorem zaprojektowanym wspólnie z Centrum Kultury Zamek.</w:t>
      </w:r>
    </w:p>
    <w:p w:rsidR="00CA14AB" w:rsidRPr="00E00B35" w:rsidRDefault="00CA14AB" w:rsidP="00E00B35">
      <w:pPr>
        <w:spacing w:after="0" w:line="312" w:lineRule="auto"/>
        <w:rPr>
          <w:szCs w:val="20"/>
        </w:rPr>
      </w:pPr>
      <w:r w:rsidRPr="00E00B35">
        <w:rPr>
          <w:szCs w:val="20"/>
        </w:rPr>
        <w:t xml:space="preserve">3. PAL PAS-ja NA WIELKIEJ WYSPIE II: Uczestnicy PAL w ramach inicjatywy wypracowali wspólnie wystawę własnych prac fotograficznych wykonanych podczas treningów. Wystawa pt. „Stój, poczekaj…” pozostanie do obejrzenia w Centrum Aktywności Lokalnej Zacisze-Zalesie-Szczytniki po ponownym udostępnieniu tego miejsca dla społeczności lokalnej. Efektem pracy uczestników jest również krótki reportaż filmowy o ich uczestnictwie w Projekcie, który będzie udostępniony w CAL po ustaniu pandemii. </w:t>
      </w:r>
    </w:p>
    <w:p w:rsidR="00CA14AB" w:rsidRPr="00E00B35" w:rsidRDefault="00CA14AB" w:rsidP="00E00B35">
      <w:pPr>
        <w:spacing w:after="0" w:line="312" w:lineRule="auto"/>
        <w:rPr>
          <w:szCs w:val="20"/>
        </w:rPr>
      </w:pPr>
      <w:r w:rsidRPr="00E00B35">
        <w:rPr>
          <w:szCs w:val="20"/>
        </w:rPr>
        <w:t xml:space="preserve">4. PAL PAS-ja NA OŁBINIE II: W ramach inicjatywy uczestnicy wykonali ozdobne torby bawełniane na zakupy, które zostaną przekazane mieszkańcom Ołbina, celem promowania postaw ekologicznych. Dodatkowo uczestnicy zaprojektowali fotoksiążkę dokumentującą ich proces aktywizacji. </w:t>
      </w:r>
    </w:p>
    <w:p w:rsidR="00CA14AB" w:rsidRPr="00E00B35" w:rsidRDefault="00CA14AB" w:rsidP="00E00B35">
      <w:pPr>
        <w:spacing w:after="0" w:line="312" w:lineRule="auto"/>
        <w:rPr>
          <w:szCs w:val="20"/>
        </w:rPr>
      </w:pPr>
      <w:r w:rsidRPr="00E00B35">
        <w:rPr>
          <w:szCs w:val="20"/>
        </w:rPr>
        <w:t xml:space="preserve">5. PAL PAS-ja AKTYWNEGO ŻYCIA II: W ramach przeprowadzonej inicjatywy uczestnicy przygotowali całkowicie ekologiczne kosmetyki. Po ich ozdobnym zapakowaniu przekazali je Radzie Osiedla Powstańców Śląskich, która dołączyła te prezenty do paczek świątecznych ofiarowywanych najbardziej potrzebującym mieszkańcom osiedla. Oprócz tego uczestnicy przygotowali wystawę wykonanych przez siebie zdjęć, która obecnie wisi w siedzibie ZTPS 4. Po złagodzeniu reżimów sanitarnych związanych z epidemią, będzie dostępna szerszemu gronu odbiorców w siedzibie Rady Osiedla Powstańców Śląskich.  </w:t>
      </w:r>
    </w:p>
    <w:p w:rsidR="00CA14AB" w:rsidRPr="00E00B35" w:rsidRDefault="00CA14AB" w:rsidP="00E00B35">
      <w:pPr>
        <w:spacing w:after="0" w:line="312" w:lineRule="auto"/>
        <w:rPr>
          <w:szCs w:val="20"/>
        </w:rPr>
      </w:pPr>
      <w:r w:rsidRPr="00E00B35">
        <w:rPr>
          <w:szCs w:val="20"/>
        </w:rPr>
        <w:t>6. PAL PAS-ja HUBY I OKOLICE: uczestnicy przeprowadzili inicjatywę wspólnie</w:t>
      </w:r>
    </w:p>
    <w:p w:rsidR="00CA14AB" w:rsidRPr="00E00B35" w:rsidRDefault="00CA14AB" w:rsidP="00E00B35">
      <w:pPr>
        <w:spacing w:after="0" w:line="312" w:lineRule="auto"/>
        <w:rPr>
          <w:szCs w:val="20"/>
        </w:rPr>
      </w:pPr>
      <w:r w:rsidRPr="00E00B35">
        <w:rPr>
          <w:szCs w:val="20"/>
        </w:rPr>
        <w:t xml:space="preserve">z  pensjonariuszami Dziennego Domu Pomocy „Na Ciepłej”. Polegała ona na nasadzeniu zieleni wokół siedziby DDP przy ul. Ciepłej 15b. W jej efekcie część terenu DDP została zagospodarowana różnorodnymi gatunkami roślin. Powstało miejsce spotkań </w:t>
      </w:r>
      <w:r w:rsidRPr="00E00B35">
        <w:rPr>
          <w:szCs w:val="20"/>
        </w:rPr>
        <w:br/>
        <w:t xml:space="preserve">i relaksu, gdzie pensjonariusze Dziennego Domu Pomocy, a także mieszkańcy Hub </w:t>
      </w:r>
      <w:r w:rsidRPr="00E00B35">
        <w:rPr>
          <w:szCs w:val="20"/>
        </w:rPr>
        <w:br/>
        <w:t xml:space="preserve">i okolic oraz osoby odwiedzające DDP mogą odpocząć wśród zieleni. Oprócz tego uczestnicy zainicjowali i zorganizowali imprezę plenerową pt. „Senioriada”, w której wzięli udział pensjonariusze 4 DDP we Wrocławiu. </w:t>
      </w:r>
    </w:p>
    <w:p w:rsidR="00CA14AB" w:rsidRPr="00E00B35" w:rsidRDefault="00CA14AB" w:rsidP="00E00B35">
      <w:pPr>
        <w:spacing w:after="0" w:line="312" w:lineRule="auto"/>
        <w:rPr>
          <w:szCs w:val="20"/>
        </w:rPr>
      </w:pPr>
      <w:r w:rsidRPr="00E00B35">
        <w:rPr>
          <w:szCs w:val="20"/>
        </w:rPr>
        <w:t xml:space="preserve">7. PAL PAS-ja PRZECIW PRZEMOCY: Uczestniczki w ramach inicjatywy współorganizowały happening pt. „Psie Pole przeciw przemocy”, który odbył się w na terenie kawiarni Stara Piekarnia. Jego celem było zwrócenie uwagi okolicznych mieszkańców na problem przemocy w rodzinie: począwszy od zwiększenia świadomości nt. występowania różnych form przemocy (przemoc psychiczna, przemoc fizyczna), </w:t>
      </w:r>
      <w:r w:rsidRPr="00E00B35">
        <w:rPr>
          <w:szCs w:val="20"/>
        </w:rPr>
        <w:br/>
        <w:t xml:space="preserve">a skończywszy na zachęceniu świadków i potencjalnych świadków przemocy do reagowania i zgłaszania tego typu aktów do odpowiednich organów. Głównym punktem </w:t>
      </w:r>
      <w:r w:rsidRPr="00E00B35">
        <w:rPr>
          <w:szCs w:val="20"/>
        </w:rPr>
        <w:lastRenderedPageBreak/>
        <w:t>wydarzenia był warsztat malarski, podczas którego uczestniczki stworzyły  samodzielnie mini mural.</w:t>
      </w:r>
    </w:p>
    <w:p w:rsidR="00CA14AB" w:rsidRPr="00E00B35" w:rsidRDefault="00CA14AB" w:rsidP="00E00B35">
      <w:pPr>
        <w:spacing w:after="0" w:line="312" w:lineRule="auto"/>
        <w:rPr>
          <w:szCs w:val="20"/>
        </w:rPr>
      </w:pPr>
      <w:r w:rsidRPr="00E00B35">
        <w:rPr>
          <w:szCs w:val="20"/>
        </w:rPr>
        <w:t xml:space="preserve">8. PAL PAS-ja PÓŹNEJ DOROSŁOŚCI: W ramach inicjatywy uczestnicy postanowili powalczyć ze stereotypem wycofanego z życia, nieaktywnego seniora. W tym celu zaprojektowali fotoksiążkę pt. „Późna dorosłość – wartość doświadczeń i wspomnień”, </w:t>
      </w:r>
      <w:r w:rsidRPr="00E00B35">
        <w:rPr>
          <w:szCs w:val="20"/>
        </w:rPr>
        <w:br/>
        <w:t xml:space="preserve">w której podkreślili istotną rolę seniorów w życiu społecznym. Na własnych przykładach pokazali, że „późna dorosłość” to okres w życiu, który sprzyja rozwijaniu pasji, talentów, podejmowaniu działań na rzecz innych. Wydana książka trafiła do partnerów zaangażowanych w realizację PAL, organizacji pozarządowych i instytucji i będzie wykorzystywana do promocji działań związanych z aktywizacją seniorów. </w:t>
      </w:r>
    </w:p>
    <w:p w:rsidR="00CA14AB" w:rsidRPr="00E00B35" w:rsidRDefault="00CA14AB" w:rsidP="00E00B35">
      <w:pPr>
        <w:spacing w:after="0" w:line="312" w:lineRule="auto"/>
        <w:rPr>
          <w:szCs w:val="20"/>
        </w:rPr>
      </w:pPr>
      <w:r w:rsidRPr="00E00B35">
        <w:rPr>
          <w:szCs w:val="20"/>
        </w:rPr>
        <w:t xml:space="preserve">W skali całego projektu wsparciem objęto 214 klientów MOPS, w tym 99 osób </w:t>
      </w:r>
      <w:r w:rsidRPr="00E00B35">
        <w:rPr>
          <w:szCs w:val="20"/>
        </w:rPr>
        <w:br/>
        <w:t xml:space="preserve">z niepełnosprawnością. Uczestnicy przeprowadzili 17 inicjatyw społecznych. Pozostałe zadeklarowane we wniosku o dofinansowanie efekty są dopiero monitorowane. </w:t>
      </w:r>
    </w:p>
    <w:p w:rsidR="00CA14AB" w:rsidRPr="00E00B35" w:rsidRDefault="00CA14AB" w:rsidP="00E00B35">
      <w:pPr>
        <w:spacing w:after="0" w:line="312" w:lineRule="auto"/>
        <w:rPr>
          <w:szCs w:val="20"/>
        </w:rPr>
      </w:pPr>
      <w:r w:rsidRPr="00E00B35">
        <w:rPr>
          <w:szCs w:val="20"/>
        </w:rPr>
        <w:t>W 2020 r., realizując budżet projektu, wydatkowano środki finansowe w łącznej wysokości 426 389,05 zł, jako środki pozyskane z UE.</w:t>
      </w:r>
    </w:p>
    <w:p w:rsidR="00CA14AB" w:rsidRPr="00E00B35" w:rsidRDefault="00CA14AB" w:rsidP="00E00B35">
      <w:pPr>
        <w:spacing w:after="0" w:line="312" w:lineRule="auto"/>
        <w:rPr>
          <w:szCs w:val="20"/>
        </w:rPr>
      </w:pPr>
      <w:r w:rsidRPr="00E00B35">
        <w:rPr>
          <w:szCs w:val="20"/>
        </w:rPr>
        <w:t xml:space="preserve">Łączna wartość całego projektu wynosiła 1 478 268,32 zł, a tym: dofinansowanie z UE 1 256 528,05 zł i wkład Gminy Wrocław - 221 740,27 zł. Wydatkowano w skali całego projektu 1 376 613,61 zł,  w tym wkład własny Gminy wyniósł 221 740,27 zł. </w:t>
      </w:r>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 xml:space="preserve">Projekt „TRAMPOLINA–mieszkania wspomagane” </w:t>
      </w:r>
    </w:p>
    <w:p w:rsidR="00CA14AB" w:rsidRPr="00E00B35" w:rsidRDefault="00CA14AB" w:rsidP="00E00B35">
      <w:pPr>
        <w:spacing w:after="0" w:line="312" w:lineRule="auto"/>
        <w:rPr>
          <w:rFonts w:eastAsia="Calibri"/>
          <w:szCs w:val="20"/>
        </w:rPr>
      </w:pPr>
      <w:r w:rsidRPr="00E00B35">
        <w:rPr>
          <w:rFonts w:eastAsia="Calibri"/>
          <w:szCs w:val="20"/>
        </w:rPr>
        <w:t xml:space="preserve">Projekt jest odpowiedzią na problemy osób bezdomnych bądź zagrożonych bezdomnością z  powodu doświadczania przemocy czy opuszczania pieczy zastępczej. Osoby te pozbawione dachu nad głową doświadczają wykluczenia społecznego, zrywania więzi społecznych, problemów  natury prawnej i administracyjnej, a docelowo izolacji społecznej i trwałej bezdomności jako najbardziej skrajnej formy ubóstwa. </w:t>
      </w:r>
    </w:p>
    <w:p w:rsidR="00CA14AB" w:rsidRPr="00E00B35" w:rsidRDefault="00CA14AB" w:rsidP="00E00B35">
      <w:pPr>
        <w:spacing w:after="0" w:line="312" w:lineRule="auto"/>
        <w:rPr>
          <w:rFonts w:eastAsia="Calibri"/>
          <w:szCs w:val="20"/>
        </w:rPr>
      </w:pPr>
      <w:r w:rsidRPr="00E00B35">
        <w:rPr>
          <w:rFonts w:eastAsia="Calibri"/>
          <w:szCs w:val="20"/>
        </w:rPr>
        <w:t xml:space="preserve">Celem projektu jest zwiększenie dostępności środowiskowych usług społecznych w postaci 7 mieszkań wspomaganych dla minimum 66 osób zagrożonych ubóstwem lub wykluczeniem społecznym korzystających </w:t>
      </w:r>
      <w:r w:rsidRPr="00E00B35">
        <w:rPr>
          <w:rFonts w:eastAsia="Calibri"/>
          <w:szCs w:val="20"/>
        </w:rPr>
        <w:br/>
        <w:t>ze wsparcia MOPS we Wrocławiu.</w:t>
      </w:r>
    </w:p>
    <w:p w:rsidR="00CA14AB" w:rsidRPr="00E00B35" w:rsidRDefault="00CA14AB" w:rsidP="00E00B35">
      <w:pPr>
        <w:spacing w:after="0" w:line="312" w:lineRule="auto"/>
        <w:rPr>
          <w:rFonts w:eastAsia="Calibri"/>
          <w:szCs w:val="20"/>
        </w:rPr>
      </w:pPr>
      <w:r w:rsidRPr="00E00B35">
        <w:rPr>
          <w:rFonts w:eastAsia="Calibri"/>
          <w:szCs w:val="20"/>
        </w:rPr>
        <w:t>W 7 mieszkaniach wspomaganych treningowych w 2020 roku kontynuowano realizację usług wspierających aktywność osób w mieszkaniach oraz usług wspierających pobyt osoby w mieszkaniu tj.:</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dla grupy osób opuszczających pieczę zastępczą (rodzinną i instytucjonalną): trening załatwiania spraw urzędowych, trening umiejętności praktycznych, trening ekonomiczny, trening umiejętności społecznych, trening kulinarny, trening spędzania wolnego czasu, wsparcie opiekuna mieszkania;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dla grupy osób zagrożonych bezdomnością z powodu doświadczania przemocy: poradnictwo specjalistyczne (grupa wsparcia), trening zarządzania mieszkaniem, trening wychowanie dzieci i komunikacja, trening kulturalny, trening zarządzania finansami, trening kulinarny, trening WenDo, wsparcie opiekuna mieszkania;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dla grupy osób bezdomnych: pracę socjalną prowadzoną metodą towarzyszenia, spotkania z psychologiem, trening umiejętności spędzania wolnego czasu, trening </w:t>
      </w:r>
      <w:r w:rsidRPr="00E00B35">
        <w:rPr>
          <w:szCs w:val="20"/>
        </w:rPr>
        <w:lastRenderedPageBreak/>
        <w:t>umiejętności społecznych, trening umiejętności praktycznych, trening zdrowego żywienia, wsparcie opiekuna mieszkania.</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dla grupy osób zagrożonych bezdomnością z powodu doświadczania przemocy oraz grupy osób bezdomnych zrealizowany został trening umiejętności społecznych AUTOPREZENTACJA, którego celem było podniesienie samooceny uczestników, pewności siebie, wiary we własne możliwości, a także wypracowanie nawyków dbania o higienę i wygląd zewnętrzny. </w:t>
      </w:r>
    </w:p>
    <w:p w:rsidR="00CA14AB" w:rsidRPr="00E00B35" w:rsidRDefault="00CA14AB" w:rsidP="00E00B35">
      <w:pPr>
        <w:spacing w:after="0" w:line="312" w:lineRule="auto"/>
        <w:rPr>
          <w:rFonts w:eastAsia="Calibri"/>
          <w:szCs w:val="20"/>
        </w:rPr>
      </w:pPr>
      <w:r w:rsidRPr="00E00B35">
        <w:rPr>
          <w:rFonts w:eastAsia="Calibri"/>
          <w:szCs w:val="20"/>
        </w:rPr>
        <w:t>W 7 mieszkaniach przygotowanych jest 34 miejsc dla osób dorosłych przeznaczonych dla poszczególnych grup:</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2 mieszkania (6 i 8 osób) dla młodzieży opuszczającej instytucjonalną lub rodzinna pieczę zastępczą;</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2 mieszkania (6 i 8 osób) dla osób bezdomnych;</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3 mieszkania (2 osoby + dzieci; 2 osoby + dzieci, 2 osoby + dzieci) dla osób zagrożonych bezdomnością z powodu doświadczania </w:t>
      </w:r>
      <w:r w:rsidR="00933852" w:rsidRPr="00E00B35">
        <w:rPr>
          <w:szCs w:val="20"/>
        </w:rPr>
        <w:t xml:space="preserve">przemocy; (na dzień 31.12.2020 </w:t>
      </w:r>
      <w:r w:rsidRPr="00E00B35">
        <w:rPr>
          <w:szCs w:val="20"/>
        </w:rPr>
        <w:t>w mieszkaniach łącznie przebywało 6 matek i 10 dzieci).</w:t>
      </w:r>
    </w:p>
    <w:p w:rsidR="00CA14AB" w:rsidRPr="00E00B35" w:rsidRDefault="00CA14AB" w:rsidP="00E00B35">
      <w:pPr>
        <w:spacing w:after="0" w:line="312" w:lineRule="auto"/>
        <w:rPr>
          <w:rFonts w:eastAsia="Calibri"/>
          <w:szCs w:val="20"/>
        </w:rPr>
      </w:pPr>
      <w:r w:rsidRPr="00E00B35">
        <w:rPr>
          <w:rFonts w:eastAsia="Calibri"/>
          <w:szCs w:val="20"/>
        </w:rPr>
        <w:t xml:space="preserve">Wsparciem w 2020 roku zostały objęte 52 osoby, nie licząc dzieci uczestniczek. </w:t>
      </w:r>
    </w:p>
    <w:p w:rsidR="00CA14AB" w:rsidRPr="00E00B35" w:rsidRDefault="00CA14AB" w:rsidP="00E00B35">
      <w:pPr>
        <w:spacing w:after="0" w:line="312" w:lineRule="auto"/>
        <w:rPr>
          <w:rFonts w:eastAsia="Calibri"/>
          <w:szCs w:val="20"/>
        </w:rPr>
      </w:pPr>
      <w:r w:rsidRPr="00E00B35">
        <w:rPr>
          <w:rFonts w:eastAsia="Calibri"/>
          <w:szCs w:val="20"/>
        </w:rPr>
        <w:t xml:space="preserve">Działania w ramach projektu mają stanowić pomost w procesie reintegracji, umożliwiając płynne i bezpieczne przejście od pobytu w zinstytucjonalizowanej placówce </w:t>
      </w:r>
      <w:r w:rsidRPr="00E00B35">
        <w:rPr>
          <w:rFonts w:eastAsia="Calibri"/>
          <w:szCs w:val="20"/>
        </w:rPr>
        <w:br/>
        <w:t xml:space="preserve">do samodzielnego zamieszkania.  </w:t>
      </w:r>
    </w:p>
    <w:p w:rsidR="00CA14AB" w:rsidRPr="00E00B35" w:rsidRDefault="00CA14AB" w:rsidP="00E00B35">
      <w:pPr>
        <w:spacing w:after="0" w:line="312" w:lineRule="auto"/>
        <w:rPr>
          <w:rFonts w:eastAsia="Calibri"/>
          <w:szCs w:val="20"/>
        </w:rPr>
      </w:pPr>
      <w:r w:rsidRPr="00E00B35">
        <w:rPr>
          <w:rFonts w:eastAsia="Calibri"/>
          <w:szCs w:val="20"/>
        </w:rPr>
        <w:t xml:space="preserve">W trakcie 2020 roku planowane było zakończenie I tury projektu i przeprowadzenie rekrutacji dla 3 grup uczestników, którzy mieli rozpocząć realizację usług wspierających (treningi) w ostatnim kwartale 2020r. Z powodu zagrożenia epidemiologicznego tylko jedna grupa (uczestnicy opuszczający pieczę zastępczą - instytucjonalną i  rodzinną) zakończyła udział w projekcie i opuściła mieszkania, a na jej miejsce weszli nowi uczestnicy, rozpoczynając w III kwartale treningi zaplanowane w projekcie. Wsparcie realizowane było metoda mieszaną – zarówno w kontaktach bezpośrednich </w:t>
      </w:r>
      <w:r w:rsidRPr="00E00B35">
        <w:rPr>
          <w:rFonts w:eastAsia="Calibri"/>
          <w:szCs w:val="20"/>
        </w:rPr>
        <w:br/>
        <w:t xml:space="preserve">z zachowaniem wszelkich środków ostrożności, jak i z wykorzystaniem, dostępnych narzędzi internetowych i nowoczesnych technologii. 2  pozostałe grupy, ze względu </w:t>
      </w:r>
      <w:r w:rsidRPr="00E00B35">
        <w:rPr>
          <w:rFonts w:eastAsia="Calibri"/>
          <w:szCs w:val="20"/>
        </w:rPr>
        <w:br/>
        <w:t xml:space="preserve">na występujące ryzyko epidemiologiczne na terenie kraju oraz liczne własne dodatkowe ograniczenia (zdrowotne, rodzinne) otrzymały możliwość przedłużenia pobytu </w:t>
      </w:r>
      <w:r w:rsidRPr="00E00B35">
        <w:rPr>
          <w:rFonts w:eastAsia="Calibri"/>
          <w:szCs w:val="20"/>
        </w:rPr>
        <w:br/>
        <w:t xml:space="preserve">w mieszkaniach do końca 2020r., korzystając ze wsparcia opiekunów mieszkań oraz poradnictwa specjalistycznego. W  trakcie trwania ostatniego kwartału następowała stopniowa wymiana uczestniczek w  mieszkaniach przeznaczonych do realizacji dla grupy osób zagrożonych bezdomnością z powodu doświadczania przemocy. Uczestniczki  wyprowadzały się do otrzymanych lokali socjalnych lub do innych placówek pomocowych na terenie miasta. </w:t>
      </w:r>
    </w:p>
    <w:p w:rsidR="00CA14AB" w:rsidRPr="00E00B35" w:rsidRDefault="00CA14AB" w:rsidP="00E00B35">
      <w:pPr>
        <w:spacing w:after="0" w:line="312" w:lineRule="auto"/>
        <w:rPr>
          <w:rFonts w:eastAsia="Calibri"/>
          <w:szCs w:val="20"/>
        </w:rPr>
      </w:pPr>
      <w:r w:rsidRPr="00E00B35">
        <w:rPr>
          <w:rFonts w:eastAsia="Calibri"/>
          <w:szCs w:val="20"/>
        </w:rPr>
        <w:t xml:space="preserve">Grupa osób bezdomnych także otrzymała możliwość przedłużenia swojego pobytu </w:t>
      </w:r>
      <w:r w:rsidRPr="00E00B35">
        <w:rPr>
          <w:rFonts w:eastAsia="Calibri"/>
          <w:szCs w:val="20"/>
        </w:rPr>
        <w:br/>
        <w:t xml:space="preserve">w  mieszkaniach realizując pracę socjalną metodą towarzyszenia oraz korzystając </w:t>
      </w:r>
      <w:r w:rsidRPr="00E00B35">
        <w:rPr>
          <w:rFonts w:eastAsia="Calibri"/>
          <w:szCs w:val="20"/>
        </w:rPr>
        <w:br/>
        <w:t xml:space="preserve">ze wsparcia opiekunów mieszkań i psychologów. </w:t>
      </w:r>
    </w:p>
    <w:p w:rsidR="00CA14AB" w:rsidRPr="00E00B35" w:rsidRDefault="00CA14AB" w:rsidP="00E00B35">
      <w:pPr>
        <w:spacing w:after="0" w:line="312" w:lineRule="auto"/>
        <w:rPr>
          <w:rFonts w:eastAsia="Calibri"/>
          <w:szCs w:val="20"/>
        </w:rPr>
      </w:pPr>
      <w:r w:rsidRPr="00E00B35">
        <w:rPr>
          <w:rFonts w:eastAsia="Calibri"/>
          <w:szCs w:val="20"/>
        </w:rPr>
        <w:t>Rezultaty osiągane dzięki realizacji projektu to m.in.:</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przygotowanie osób przebywających w mieszkaniach wspomaganych do prowadzenia samodzielnego życia,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lastRenderedPageBreak/>
        <w:t xml:space="preserve">wspieranie integracji ze środowiskiem lokalnym poprzez rozwój umiejętności prawidłowego wchodzenia w relacje,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 xml:space="preserve">stwarzanie możliwości samodzielnego rozwiązywania trudności życiowych,  emocjonalnych, rodzinnych, rozwijanie umiejętności planowania i wykorzystania czasu wolnego,  </w:t>
      </w:r>
    </w:p>
    <w:p w:rsidR="00CA14AB" w:rsidRPr="00E00B35" w:rsidRDefault="00CA14AB" w:rsidP="00BC64AB">
      <w:pPr>
        <w:pStyle w:val="Akapitzlist"/>
        <w:numPr>
          <w:ilvl w:val="0"/>
          <w:numId w:val="231"/>
        </w:numPr>
        <w:spacing w:after="0" w:line="312" w:lineRule="auto"/>
        <w:ind w:left="426" w:hanging="426"/>
        <w:rPr>
          <w:szCs w:val="20"/>
        </w:rPr>
      </w:pPr>
      <w:r w:rsidRPr="00E00B35">
        <w:rPr>
          <w:szCs w:val="20"/>
        </w:rPr>
        <w:t>rozwijanie i utrwalanie poczucia odpowiedzialności za własne życie - rozwijanie umiejętności realnego postrzegania rzeczywistości.</w:t>
      </w:r>
    </w:p>
    <w:p w:rsidR="00890136" w:rsidRPr="00E00B35" w:rsidRDefault="00890136" w:rsidP="00BC64AB">
      <w:pPr>
        <w:pStyle w:val="Akapitzlist"/>
        <w:numPr>
          <w:ilvl w:val="0"/>
          <w:numId w:val="231"/>
        </w:numPr>
        <w:spacing w:after="0" w:line="312" w:lineRule="auto"/>
        <w:ind w:left="426" w:hanging="426"/>
        <w:rPr>
          <w:szCs w:val="20"/>
        </w:rPr>
      </w:pPr>
    </w:p>
    <w:p w:rsidR="00CA14AB" w:rsidRPr="00E00B35" w:rsidRDefault="00CA14AB" w:rsidP="00E00B35">
      <w:pPr>
        <w:spacing w:after="0" w:line="312" w:lineRule="auto"/>
        <w:rPr>
          <w:rFonts w:eastAsia="Calibri"/>
          <w:szCs w:val="20"/>
        </w:rPr>
      </w:pPr>
      <w:r w:rsidRPr="00E00B35">
        <w:rPr>
          <w:rFonts w:eastAsia="Calibri"/>
          <w:szCs w:val="20"/>
        </w:rPr>
        <w:t>Wskaźniki produktu oraz rezultatu określone we wniosku beneficjenta o dofinansowanie:</w:t>
      </w:r>
    </w:p>
    <w:tbl>
      <w:tblPr>
        <w:tblW w:w="9404" w:type="dxa"/>
        <w:jc w:val="center"/>
        <w:tblCellMar>
          <w:left w:w="70" w:type="dxa"/>
          <w:right w:w="70" w:type="dxa"/>
        </w:tblCellMar>
        <w:tblLook w:val="04A0"/>
      </w:tblPr>
      <w:tblGrid>
        <w:gridCol w:w="520"/>
        <w:gridCol w:w="4540"/>
        <w:gridCol w:w="2852"/>
        <w:gridCol w:w="1612"/>
      </w:tblGrid>
      <w:tr w:rsidR="00CA14AB" w:rsidRPr="00E00B35" w:rsidTr="00CA14AB">
        <w:trPr>
          <w:trHeight w:val="510"/>
          <w:jc w:val="center"/>
        </w:trPr>
        <w:tc>
          <w:tcPr>
            <w:tcW w:w="40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CA14AB" w:rsidRPr="00E00B35" w:rsidRDefault="00CA14AB" w:rsidP="00E00B35">
            <w:pPr>
              <w:spacing w:after="0" w:line="312" w:lineRule="auto"/>
              <w:rPr>
                <w:szCs w:val="20"/>
              </w:rPr>
            </w:pPr>
            <w:r w:rsidRPr="00E00B35">
              <w:rPr>
                <w:szCs w:val="20"/>
              </w:rPr>
              <w:t>Lp.</w:t>
            </w:r>
          </w:p>
        </w:tc>
        <w:tc>
          <w:tcPr>
            <w:tcW w:w="4540" w:type="dxa"/>
            <w:tcBorders>
              <w:top w:val="single" w:sz="4" w:space="0" w:color="auto"/>
              <w:left w:val="nil"/>
              <w:bottom w:val="single" w:sz="4" w:space="0" w:color="auto"/>
              <w:right w:val="single" w:sz="4" w:space="0" w:color="auto"/>
            </w:tcBorders>
            <w:shd w:val="clear" w:color="auto" w:fill="E7E6E6"/>
            <w:noWrap/>
            <w:vAlign w:val="center"/>
            <w:hideMark/>
          </w:tcPr>
          <w:p w:rsidR="00CA14AB" w:rsidRPr="00E00B35" w:rsidRDefault="00CA14AB" w:rsidP="00E00B35">
            <w:pPr>
              <w:spacing w:after="0" w:line="312" w:lineRule="auto"/>
              <w:rPr>
                <w:szCs w:val="20"/>
              </w:rPr>
            </w:pPr>
            <w:r w:rsidRPr="00E00B35">
              <w:rPr>
                <w:szCs w:val="20"/>
              </w:rPr>
              <w:t>wskaźniki produktu</w:t>
            </w:r>
          </w:p>
        </w:tc>
        <w:tc>
          <w:tcPr>
            <w:tcW w:w="2852" w:type="dxa"/>
            <w:tcBorders>
              <w:top w:val="single" w:sz="4" w:space="0" w:color="auto"/>
              <w:left w:val="nil"/>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wartość osiągnięta od początku realizacji projektu</w:t>
            </w:r>
          </w:p>
        </w:tc>
        <w:tc>
          <w:tcPr>
            <w:tcW w:w="1612" w:type="dxa"/>
            <w:tcBorders>
              <w:top w:val="single" w:sz="4" w:space="0" w:color="auto"/>
              <w:left w:val="nil"/>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stopień realizacji</w:t>
            </w:r>
          </w:p>
        </w:tc>
      </w:tr>
      <w:tr w:rsidR="00CA14AB" w:rsidRPr="00E00B35" w:rsidTr="00CA14AB">
        <w:trPr>
          <w:trHeight w:val="1020"/>
          <w:jc w:val="center"/>
        </w:trPr>
        <w:tc>
          <w:tcPr>
            <w:tcW w:w="400" w:type="dxa"/>
            <w:tcBorders>
              <w:top w:val="nil"/>
              <w:left w:val="single" w:sz="4" w:space="0" w:color="auto"/>
              <w:bottom w:val="single" w:sz="4" w:space="0" w:color="auto"/>
              <w:right w:val="single" w:sz="4" w:space="0" w:color="auto"/>
            </w:tcBorders>
            <w:shd w:val="clear" w:color="auto" w:fill="E7E6E6"/>
            <w:noWrap/>
            <w:vAlign w:val="center"/>
            <w:hideMark/>
          </w:tcPr>
          <w:p w:rsidR="00CA14AB" w:rsidRPr="00E00B35" w:rsidRDefault="00CA14AB" w:rsidP="00E00B35">
            <w:pPr>
              <w:spacing w:after="0" w:line="312" w:lineRule="auto"/>
              <w:rPr>
                <w:szCs w:val="20"/>
              </w:rPr>
            </w:pPr>
            <w:r w:rsidRPr="00E00B35">
              <w:rPr>
                <w:szCs w:val="20"/>
              </w:rPr>
              <w:t>1</w:t>
            </w:r>
          </w:p>
        </w:tc>
        <w:tc>
          <w:tcPr>
            <w:tcW w:w="4540" w:type="dxa"/>
            <w:tcBorders>
              <w:top w:val="nil"/>
              <w:left w:val="nil"/>
              <w:bottom w:val="single" w:sz="4" w:space="0" w:color="auto"/>
              <w:right w:val="single" w:sz="4" w:space="0" w:color="auto"/>
            </w:tcBorders>
            <w:shd w:val="clear" w:color="auto" w:fill="auto"/>
            <w:vAlign w:val="bottom"/>
            <w:hideMark/>
          </w:tcPr>
          <w:p w:rsidR="00CA14AB" w:rsidRPr="00E00B35" w:rsidRDefault="00CA14AB" w:rsidP="00E00B35">
            <w:pPr>
              <w:spacing w:after="0" w:line="312" w:lineRule="auto"/>
              <w:rPr>
                <w:szCs w:val="20"/>
              </w:rPr>
            </w:pPr>
            <w:r w:rsidRPr="00E00B35">
              <w:rPr>
                <w:szCs w:val="20"/>
              </w:rPr>
              <w:t>Liczba osób zagrożonych ubóstwem lub wykluczeniem społecznym objętych usługami społecznymi świadczonymi w interesie ogólnym w programie</w:t>
            </w:r>
          </w:p>
        </w:tc>
        <w:tc>
          <w:tcPr>
            <w:tcW w:w="2852" w:type="dxa"/>
            <w:tcBorders>
              <w:top w:val="nil"/>
              <w:left w:val="nil"/>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 xml:space="preserve">61 osób </w:t>
            </w:r>
          </w:p>
        </w:tc>
        <w:tc>
          <w:tcPr>
            <w:tcW w:w="1612" w:type="dxa"/>
            <w:tcBorders>
              <w:top w:val="nil"/>
              <w:left w:val="nil"/>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92,42%</w:t>
            </w:r>
          </w:p>
        </w:tc>
      </w:tr>
      <w:tr w:rsidR="00CA14AB" w:rsidRPr="00E00B35" w:rsidTr="00CA14AB">
        <w:trPr>
          <w:trHeight w:val="1020"/>
          <w:jc w:val="center"/>
        </w:trPr>
        <w:tc>
          <w:tcPr>
            <w:tcW w:w="400" w:type="dxa"/>
            <w:tcBorders>
              <w:top w:val="nil"/>
              <w:left w:val="single" w:sz="4" w:space="0" w:color="auto"/>
              <w:bottom w:val="single" w:sz="4" w:space="0" w:color="auto"/>
              <w:right w:val="single" w:sz="4" w:space="0" w:color="auto"/>
            </w:tcBorders>
            <w:shd w:val="clear" w:color="auto" w:fill="E7E6E6"/>
            <w:noWrap/>
            <w:vAlign w:val="center"/>
            <w:hideMark/>
          </w:tcPr>
          <w:p w:rsidR="00CA14AB" w:rsidRPr="00E00B35" w:rsidRDefault="00CA14AB" w:rsidP="00E00B35">
            <w:pPr>
              <w:spacing w:after="0" w:line="312" w:lineRule="auto"/>
              <w:rPr>
                <w:szCs w:val="20"/>
              </w:rPr>
            </w:pPr>
            <w:r w:rsidRPr="00E00B35">
              <w:rPr>
                <w:szCs w:val="20"/>
              </w:rPr>
              <w:t>2</w:t>
            </w:r>
          </w:p>
        </w:tc>
        <w:tc>
          <w:tcPr>
            <w:tcW w:w="4540" w:type="dxa"/>
            <w:tcBorders>
              <w:top w:val="nil"/>
              <w:left w:val="nil"/>
              <w:bottom w:val="single" w:sz="4" w:space="0" w:color="auto"/>
              <w:right w:val="single" w:sz="4" w:space="0" w:color="auto"/>
            </w:tcBorders>
            <w:shd w:val="clear" w:color="auto" w:fill="auto"/>
            <w:vAlign w:val="bottom"/>
            <w:hideMark/>
          </w:tcPr>
          <w:p w:rsidR="00CA14AB" w:rsidRPr="00E00B35" w:rsidRDefault="00CA14AB" w:rsidP="00E00B35">
            <w:pPr>
              <w:spacing w:after="0" w:line="312" w:lineRule="auto"/>
              <w:rPr>
                <w:szCs w:val="20"/>
              </w:rPr>
            </w:pPr>
            <w:r w:rsidRPr="00E00B35">
              <w:rPr>
                <w:szCs w:val="20"/>
              </w:rPr>
              <w:t>Liczba osób zagrożonych ubóstwem lub wykluczeniem społecznym objętych usługami w postaci mieszkań chronionych i wspomaganych w programie</w:t>
            </w:r>
          </w:p>
          <w:p w:rsidR="00CA14AB" w:rsidRPr="00E00B35" w:rsidRDefault="00CA14AB" w:rsidP="00E00B35">
            <w:pPr>
              <w:spacing w:after="0" w:line="312" w:lineRule="auto"/>
              <w:rPr>
                <w:szCs w:val="20"/>
              </w:rPr>
            </w:pPr>
          </w:p>
        </w:tc>
        <w:tc>
          <w:tcPr>
            <w:tcW w:w="2852" w:type="dxa"/>
            <w:tcBorders>
              <w:top w:val="nil"/>
              <w:left w:val="nil"/>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61 osób</w:t>
            </w:r>
          </w:p>
        </w:tc>
        <w:tc>
          <w:tcPr>
            <w:tcW w:w="1612" w:type="dxa"/>
            <w:tcBorders>
              <w:top w:val="nil"/>
              <w:left w:val="nil"/>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92,42%</w:t>
            </w:r>
          </w:p>
        </w:tc>
      </w:tr>
      <w:tr w:rsidR="00CA14AB" w:rsidRPr="00E00B35" w:rsidTr="00CA14AB">
        <w:trPr>
          <w:trHeight w:val="255"/>
          <w:jc w:val="center"/>
        </w:trPr>
        <w:tc>
          <w:tcPr>
            <w:tcW w:w="400" w:type="dxa"/>
            <w:tcBorders>
              <w:top w:val="nil"/>
              <w:left w:val="single" w:sz="4" w:space="0" w:color="auto"/>
              <w:bottom w:val="single" w:sz="4" w:space="0" w:color="auto"/>
              <w:right w:val="single" w:sz="4" w:space="0" w:color="auto"/>
            </w:tcBorders>
            <w:shd w:val="clear" w:color="auto" w:fill="E7E6E6"/>
            <w:noWrap/>
            <w:vAlign w:val="center"/>
            <w:hideMark/>
          </w:tcPr>
          <w:p w:rsidR="00CA14AB" w:rsidRPr="00E00B35" w:rsidRDefault="00CA14AB" w:rsidP="00E00B35">
            <w:pPr>
              <w:spacing w:after="0" w:line="312" w:lineRule="auto"/>
              <w:rPr>
                <w:szCs w:val="20"/>
              </w:rPr>
            </w:pPr>
            <w:r w:rsidRPr="00E00B35">
              <w:rPr>
                <w:szCs w:val="20"/>
              </w:rPr>
              <w:t> Lp.</w:t>
            </w:r>
          </w:p>
        </w:tc>
        <w:tc>
          <w:tcPr>
            <w:tcW w:w="4540" w:type="dxa"/>
            <w:tcBorders>
              <w:top w:val="nil"/>
              <w:left w:val="nil"/>
              <w:bottom w:val="single" w:sz="4" w:space="0" w:color="auto"/>
              <w:right w:val="single" w:sz="4" w:space="0" w:color="auto"/>
            </w:tcBorders>
            <w:shd w:val="clear" w:color="auto" w:fill="E7E6E6"/>
            <w:noWrap/>
            <w:vAlign w:val="center"/>
            <w:hideMark/>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wskaźniki rezultatu</w:t>
            </w:r>
          </w:p>
          <w:p w:rsidR="00CA14AB" w:rsidRPr="00E00B35" w:rsidRDefault="00CA14AB" w:rsidP="00E00B35">
            <w:pPr>
              <w:spacing w:after="0" w:line="312" w:lineRule="auto"/>
              <w:rPr>
                <w:szCs w:val="20"/>
              </w:rPr>
            </w:pPr>
          </w:p>
        </w:tc>
        <w:tc>
          <w:tcPr>
            <w:tcW w:w="2852" w:type="dxa"/>
            <w:tcBorders>
              <w:top w:val="single" w:sz="4" w:space="0" w:color="auto"/>
              <w:left w:val="nil"/>
              <w:bottom w:val="single" w:sz="4" w:space="0" w:color="auto"/>
              <w:right w:val="single" w:sz="4" w:space="0" w:color="auto"/>
            </w:tcBorders>
            <w:shd w:val="clear" w:color="auto" w:fill="E7E6E6"/>
            <w:noWrap/>
            <w:vAlign w:val="center"/>
            <w:hideMark/>
          </w:tcPr>
          <w:p w:rsidR="00CA14AB" w:rsidRPr="00E00B35" w:rsidRDefault="00CA14AB" w:rsidP="00E00B35">
            <w:pPr>
              <w:spacing w:after="0" w:line="312" w:lineRule="auto"/>
              <w:rPr>
                <w:szCs w:val="20"/>
              </w:rPr>
            </w:pPr>
            <w:r w:rsidRPr="00E00B35">
              <w:rPr>
                <w:szCs w:val="20"/>
              </w:rPr>
              <w:t>wartość osiągnięta od początku realizacji projektu</w:t>
            </w:r>
          </w:p>
        </w:tc>
        <w:tc>
          <w:tcPr>
            <w:tcW w:w="1612" w:type="dxa"/>
            <w:tcBorders>
              <w:top w:val="single" w:sz="4" w:space="0" w:color="auto"/>
              <w:left w:val="nil"/>
              <w:bottom w:val="single" w:sz="4" w:space="0" w:color="auto"/>
              <w:right w:val="single" w:sz="4" w:space="0" w:color="auto"/>
            </w:tcBorders>
            <w:shd w:val="clear" w:color="auto" w:fill="E7E6E6"/>
            <w:vAlign w:val="center"/>
          </w:tcPr>
          <w:p w:rsidR="00CA14AB" w:rsidRPr="00E00B35" w:rsidRDefault="00CA14AB" w:rsidP="00E00B35">
            <w:pPr>
              <w:spacing w:after="0" w:line="312" w:lineRule="auto"/>
              <w:rPr>
                <w:szCs w:val="20"/>
              </w:rPr>
            </w:pPr>
            <w:r w:rsidRPr="00E00B35">
              <w:rPr>
                <w:szCs w:val="20"/>
              </w:rPr>
              <w:t>stopień realizacji</w:t>
            </w:r>
          </w:p>
        </w:tc>
      </w:tr>
      <w:tr w:rsidR="00CA14AB" w:rsidRPr="00E00B35" w:rsidTr="00CA14AB">
        <w:trPr>
          <w:trHeight w:val="1275"/>
          <w:jc w:val="center"/>
        </w:trPr>
        <w:tc>
          <w:tcPr>
            <w:tcW w:w="400" w:type="dxa"/>
            <w:tcBorders>
              <w:top w:val="nil"/>
              <w:left w:val="single" w:sz="4" w:space="0" w:color="auto"/>
              <w:bottom w:val="single" w:sz="4" w:space="0" w:color="auto"/>
              <w:right w:val="single" w:sz="4" w:space="0" w:color="auto"/>
            </w:tcBorders>
            <w:shd w:val="clear" w:color="auto" w:fill="E7E6E6"/>
            <w:noWrap/>
            <w:vAlign w:val="center"/>
            <w:hideMark/>
          </w:tcPr>
          <w:p w:rsidR="00CA14AB" w:rsidRPr="00E00B35" w:rsidRDefault="00CA14AB" w:rsidP="00E00B35">
            <w:pPr>
              <w:spacing w:after="0" w:line="312" w:lineRule="auto"/>
              <w:rPr>
                <w:szCs w:val="20"/>
              </w:rPr>
            </w:pPr>
            <w:r w:rsidRPr="00E00B35">
              <w:rPr>
                <w:szCs w:val="20"/>
              </w:rPr>
              <w:t>1</w:t>
            </w:r>
          </w:p>
        </w:tc>
        <w:tc>
          <w:tcPr>
            <w:tcW w:w="4540" w:type="dxa"/>
            <w:tcBorders>
              <w:top w:val="nil"/>
              <w:left w:val="nil"/>
              <w:bottom w:val="single" w:sz="4" w:space="0" w:color="auto"/>
              <w:right w:val="single" w:sz="4" w:space="0" w:color="auto"/>
            </w:tcBorders>
            <w:shd w:val="clear" w:color="auto" w:fill="auto"/>
            <w:vAlign w:val="bottom"/>
            <w:hideMark/>
          </w:tcPr>
          <w:p w:rsidR="00CA14AB" w:rsidRPr="00E00B35" w:rsidRDefault="00CA14AB" w:rsidP="00E00B35">
            <w:pPr>
              <w:spacing w:after="0" w:line="312" w:lineRule="auto"/>
              <w:rPr>
                <w:szCs w:val="20"/>
              </w:rPr>
            </w:pPr>
            <w:r w:rsidRPr="00E00B35">
              <w:rPr>
                <w:szCs w:val="20"/>
              </w:rPr>
              <w:t>Liczba osób zagrożonych ubóstwem lub wykluczeniem społecznym, które opuściły opiekę instytucjonalną na rzecz usług społecznych świadczonych w społeczności lokalnej w programie</w:t>
            </w:r>
          </w:p>
        </w:tc>
        <w:tc>
          <w:tcPr>
            <w:tcW w:w="2852" w:type="dxa"/>
            <w:tcBorders>
              <w:top w:val="nil"/>
              <w:left w:val="nil"/>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14 osób</w:t>
            </w:r>
          </w:p>
        </w:tc>
        <w:tc>
          <w:tcPr>
            <w:tcW w:w="1612" w:type="dxa"/>
            <w:tcBorders>
              <w:top w:val="nil"/>
              <w:left w:val="nil"/>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116,67%</w:t>
            </w:r>
          </w:p>
        </w:tc>
      </w:tr>
      <w:tr w:rsidR="00CA14AB" w:rsidRPr="00E00B35" w:rsidTr="00CA14AB">
        <w:trPr>
          <w:trHeight w:val="1020"/>
          <w:jc w:val="center"/>
        </w:trPr>
        <w:tc>
          <w:tcPr>
            <w:tcW w:w="400" w:type="dxa"/>
            <w:tcBorders>
              <w:top w:val="nil"/>
              <w:left w:val="single" w:sz="4" w:space="0" w:color="auto"/>
              <w:bottom w:val="single" w:sz="4" w:space="0" w:color="auto"/>
              <w:right w:val="single" w:sz="4" w:space="0" w:color="auto"/>
            </w:tcBorders>
            <w:shd w:val="clear" w:color="auto" w:fill="E7E6E6"/>
            <w:noWrap/>
            <w:vAlign w:val="center"/>
            <w:hideMark/>
          </w:tcPr>
          <w:p w:rsidR="00CA14AB" w:rsidRPr="00E00B35" w:rsidRDefault="00CA14AB" w:rsidP="00E00B35">
            <w:pPr>
              <w:spacing w:after="0" w:line="312" w:lineRule="auto"/>
              <w:rPr>
                <w:szCs w:val="20"/>
              </w:rPr>
            </w:pPr>
            <w:r w:rsidRPr="00E00B35">
              <w:rPr>
                <w:szCs w:val="20"/>
              </w:rPr>
              <w:t>2</w:t>
            </w:r>
          </w:p>
        </w:tc>
        <w:tc>
          <w:tcPr>
            <w:tcW w:w="4540" w:type="dxa"/>
            <w:tcBorders>
              <w:top w:val="nil"/>
              <w:left w:val="nil"/>
              <w:bottom w:val="single" w:sz="4" w:space="0" w:color="auto"/>
              <w:right w:val="single" w:sz="4" w:space="0" w:color="auto"/>
            </w:tcBorders>
            <w:shd w:val="clear" w:color="auto" w:fill="auto"/>
            <w:vAlign w:val="bottom"/>
            <w:hideMark/>
          </w:tcPr>
          <w:p w:rsidR="00CA14AB" w:rsidRPr="00E00B35" w:rsidRDefault="00CA14AB" w:rsidP="00E00B35">
            <w:pPr>
              <w:spacing w:after="0" w:line="312" w:lineRule="auto"/>
              <w:rPr>
                <w:szCs w:val="20"/>
              </w:rPr>
            </w:pPr>
            <w:r w:rsidRPr="00E00B35">
              <w:rPr>
                <w:szCs w:val="20"/>
              </w:rPr>
              <w:t>Liczba utworzonych w programie miejsc świadczenia usług w mieszkaniach wspomaganych i chronionych istniejących po zakończeniu projektu</w:t>
            </w:r>
          </w:p>
        </w:tc>
        <w:tc>
          <w:tcPr>
            <w:tcW w:w="2852" w:type="dxa"/>
            <w:tcBorders>
              <w:top w:val="nil"/>
              <w:left w:val="nil"/>
              <w:bottom w:val="single" w:sz="4" w:space="0" w:color="auto"/>
              <w:right w:val="single" w:sz="4" w:space="0" w:color="auto"/>
            </w:tcBorders>
            <w:shd w:val="clear" w:color="auto" w:fill="auto"/>
            <w:vAlign w:val="center"/>
            <w:hideMark/>
          </w:tcPr>
          <w:p w:rsidR="00CA14AB" w:rsidRPr="00E00B35" w:rsidRDefault="00CA14AB" w:rsidP="00E00B35">
            <w:pPr>
              <w:spacing w:after="0" w:line="312" w:lineRule="auto"/>
              <w:rPr>
                <w:szCs w:val="20"/>
              </w:rPr>
            </w:pPr>
            <w:r w:rsidRPr="00E00B35">
              <w:rPr>
                <w:szCs w:val="20"/>
              </w:rPr>
              <w:t>*wskaźnik określany po zakończonym projekcie</w:t>
            </w:r>
          </w:p>
        </w:tc>
        <w:tc>
          <w:tcPr>
            <w:tcW w:w="1612" w:type="dxa"/>
            <w:tcBorders>
              <w:top w:val="nil"/>
              <w:left w:val="nil"/>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765"/>
          <w:jc w:val="center"/>
        </w:trPr>
        <w:tc>
          <w:tcPr>
            <w:tcW w:w="400" w:type="dxa"/>
            <w:tcBorders>
              <w:top w:val="nil"/>
              <w:left w:val="single" w:sz="4" w:space="0" w:color="auto"/>
              <w:bottom w:val="single" w:sz="4" w:space="0" w:color="auto"/>
              <w:right w:val="single" w:sz="4" w:space="0" w:color="auto"/>
            </w:tcBorders>
            <w:shd w:val="clear" w:color="auto" w:fill="E7E6E6"/>
            <w:noWrap/>
            <w:vAlign w:val="center"/>
            <w:hideMark/>
          </w:tcPr>
          <w:p w:rsidR="00CA14AB" w:rsidRPr="00E00B35" w:rsidRDefault="00CA14AB" w:rsidP="00E00B35">
            <w:pPr>
              <w:spacing w:after="0" w:line="312" w:lineRule="auto"/>
              <w:rPr>
                <w:szCs w:val="20"/>
              </w:rPr>
            </w:pPr>
            <w:r w:rsidRPr="00E00B35">
              <w:rPr>
                <w:szCs w:val="20"/>
              </w:rPr>
              <w:t>3</w:t>
            </w:r>
          </w:p>
        </w:tc>
        <w:tc>
          <w:tcPr>
            <w:tcW w:w="4540" w:type="dxa"/>
            <w:tcBorders>
              <w:top w:val="nil"/>
              <w:left w:val="nil"/>
              <w:bottom w:val="single" w:sz="4" w:space="0" w:color="auto"/>
              <w:right w:val="single" w:sz="4" w:space="0" w:color="auto"/>
            </w:tcBorders>
            <w:shd w:val="clear" w:color="auto" w:fill="auto"/>
            <w:vAlign w:val="bottom"/>
            <w:hideMark/>
          </w:tcPr>
          <w:p w:rsidR="00CA14AB" w:rsidRPr="00E00B35" w:rsidRDefault="00CA14AB" w:rsidP="00E00B35">
            <w:pPr>
              <w:spacing w:after="0" w:line="312" w:lineRule="auto"/>
              <w:rPr>
                <w:szCs w:val="20"/>
              </w:rPr>
            </w:pPr>
            <w:r w:rsidRPr="00E00B35">
              <w:rPr>
                <w:szCs w:val="20"/>
              </w:rPr>
              <w:t>Liczba wspartych w programie miejsc świadczenia usług społecznych istniejących po zakończeniu projektu</w:t>
            </w:r>
          </w:p>
        </w:tc>
        <w:tc>
          <w:tcPr>
            <w:tcW w:w="2852" w:type="dxa"/>
            <w:tcBorders>
              <w:top w:val="nil"/>
              <w:left w:val="nil"/>
              <w:bottom w:val="single" w:sz="4" w:space="0" w:color="auto"/>
              <w:right w:val="single" w:sz="4" w:space="0" w:color="auto"/>
            </w:tcBorders>
            <w:shd w:val="clear" w:color="auto" w:fill="auto"/>
            <w:vAlign w:val="center"/>
            <w:hideMark/>
          </w:tcPr>
          <w:p w:rsidR="00CA14AB" w:rsidRPr="00E00B35" w:rsidRDefault="00CA14AB" w:rsidP="00E00B35">
            <w:pPr>
              <w:spacing w:after="0" w:line="312" w:lineRule="auto"/>
              <w:rPr>
                <w:szCs w:val="20"/>
              </w:rPr>
            </w:pPr>
            <w:r w:rsidRPr="00E00B35">
              <w:rPr>
                <w:szCs w:val="20"/>
              </w:rPr>
              <w:t>*wskaźnik określany po zakończonym projekcie</w:t>
            </w:r>
          </w:p>
        </w:tc>
        <w:tc>
          <w:tcPr>
            <w:tcW w:w="1612" w:type="dxa"/>
            <w:tcBorders>
              <w:top w:val="nil"/>
              <w:left w:val="nil"/>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0%</w:t>
            </w:r>
          </w:p>
        </w:tc>
      </w:tr>
    </w:tbl>
    <w:p w:rsidR="00933852" w:rsidRPr="00E00B35" w:rsidRDefault="00933852" w:rsidP="00E00B35">
      <w:pPr>
        <w:pStyle w:val="Nagwek5"/>
        <w:rPr>
          <w:szCs w:val="20"/>
        </w:rPr>
      </w:pPr>
    </w:p>
    <w:p w:rsidR="00CA14AB" w:rsidRPr="00E00B35" w:rsidRDefault="00CA14AB" w:rsidP="00E00B35">
      <w:pPr>
        <w:pStyle w:val="Nagwek5"/>
        <w:rPr>
          <w:szCs w:val="20"/>
        </w:rPr>
      </w:pPr>
      <w:r w:rsidRPr="00E00B35">
        <w:rPr>
          <w:szCs w:val="20"/>
        </w:rPr>
        <w:t xml:space="preserve">Projekt realizowany jest w mieszkaniach wyremontowanych dzięki wsparciu z Europejskiego Funduszu Rozwoju Regionalnego w ramach Regionalnego Programu Operacyjnego Województwa Dolnośląskiego 2014-2020 </w:t>
      </w:r>
    </w:p>
    <w:p w:rsidR="00CA14AB" w:rsidRPr="00E00B35" w:rsidRDefault="00CA14AB" w:rsidP="00E00B35">
      <w:pPr>
        <w:spacing w:after="0" w:line="312" w:lineRule="auto"/>
        <w:rPr>
          <w:rFonts w:eastAsia="Calibri"/>
          <w:szCs w:val="20"/>
        </w:rPr>
      </w:pPr>
      <w:r w:rsidRPr="00E00B35">
        <w:rPr>
          <w:rFonts w:eastAsia="Calibri"/>
          <w:szCs w:val="20"/>
        </w:rPr>
        <w:t xml:space="preserve">Łączna wartość projektu: 1 788 840,00 zł </w:t>
      </w:r>
    </w:p>
    <w:p w:rsidR="00CA14AB" w:rsidRPr="00E00B35" w:rsidRDefault="00CA14AB" w:rsidP="00E00B35">
      <w:pPr>
        <w:spacing w:after="0" w:line="312" w:lineRule="auto"/>
        <w:rPr>
          <w:rFonts w:eastAsia="Calibri"/>
          <w:szCs w:val="20"/>
        </w:rPr>
      </w:pPr>
      <w:r w:rsidRPr="00E00B35">
        <w:rPr>
          <w:rFonts w:eastAsia="Calibri"/>
          <w:szCs w:val="20"/>
        </w:rPr>
        <w:t xml:space="preserve">Dofinansowanie: 1 699 398,00 zł </w:t>
      </w:r>
    </w:p>
    <w:p w:rsidR="00CA14AB" w:rsidRPr="00E00B35" w:rsidRDefault="00CA14AB" w:rsidP="00E00B35">
      <w:pPr>
        <w:spacing w:after="0" w:line="312" w:lineRule="auto"/>
        <w:rPr>
          <w:rFonts w:eastAsia="Calibri"/>
          <w:szCs w:val="20"/>
        </w:rPr>
      </w:pPr>
      <w:r w:rsidRPr="00E00B35">
        <w:rPr>
          <w:rFonts w:eastAsia="Calibri"/>
          <w:szCs w:val="20"/>
        </w:rPr>
        <w:t xml:space="preserve">Wkład własny: 89 442,00 zł  </w:t>
      </w:r>
    </w:p>
    <w:p w:rsidR="00CA14AB" w:rsidRPr="00E00B35" w:rsidRDefault="00CA14AB" w:rsidP="00E00B35">
      <w:pPr>
        <w:spacing w:after="0" w:line="312" w:lineRule="auto"/>
        <w:rPr>
          <w:rFonts w:eastAsia="Calibri"/>
          <w:szCs w:val="20"/>
        </w:rPr>
      </w:pPr>
      <w:r w:rsidRPr="00E00B35">
        <w:rPr>
          <w:rFonts w:eastAsia="Calibri"/>
          <w:szCs w:val="20"/>
        </w:rPr>
        <w:lastRenderedPageBreak/>
        <w:t xml:space="preserve">W 2020r., realizując budżet projektu, wydatkowano środki finansowe w łącznej wysokości 456 086,54 zł, w tym: 422 659,54 zł to dofinansowanie, a  33 427,00 zł to środki </w:t>
      </w:r>
      <w:r w:rsidRPr="00E00B35">
        <w:rPr>
          <w:rFonts w:eastAsia="Calibri"/>
          <w:szCs w:val="20"/>
        </w:rPr>
        <w:br/>
        <w:t>w ramach wkładu własnego Gminy Wrocław.</w:t>
      </w:r>
    </w:p>
    <w:p w:rsidR="00CA14AB" w:rsidRPr="00E00B35" w:rsidRDefault="00CA14AB" w:rsidP="00E00B35">
      <w:pPr>
        <w:spacing w:after="0" w:line="312" w:lineRule="auto"/>
        <w:rPr>
          <w:rFonts w:eastAsia="Calibri"/>
          <w:szCs w:val="20"/>
        </w:rPr>
      </w:pPr>
      <w:r w:rsidRPr="00E00B35">
        <w:rPr>
          <w:rFonts w:eastAsia="Calibri"/>
          <w:szCs w:val="20"/>
        </w:rPr>
        <w:t>Dodatkowo na realizację projektu w roku 2020 Gmina Wrocław przekazała kwotę: 80 000,00 zł,  z czego wydatkowano 71 118,83 zł.</w:t>
      </w:r>
    </w:p>
    <w:p w:rsidR="00CA14AB" w:rsidRPr="00E00B35" w:rsidRDefault="00CA14AB" w:rsidP="00E00B35">
      <w:pPr>
        <w:spacing w:after="0" w:line="312" w:lineRule="auto"/>
        <w:rPr>
          <w:rFonts w:eastAsia="Calibri"/>
          <w:szCs w:val="20"/>
        </w:rPr>
      </w:pPr>
      <w:r w:rsidRPr="00E00B35">
        <w:rPr>
          <w:rFonts w:eastAsia="Calibri"/>
          <w:szCs w:val="20"/>
        </w:rPr>
        <w:t xml:space="preserve">Kwota ta posłużyła na dodatkowe doposażenie mieszkań, które nie były możliwe do przeprowadzenia w ramach budżetu projektu. Zakupiono nowe materace dla uczestników, koce akrylowe, dodatkowe lodówki, czujniki tlenku węgla i gaśnice przeciwpożarowe do użytku domowego, koce gaśnicze. Przeprowadzono przeglądy instalacji gazowych, a także dezynsekcję ze względu na pojawienie się insektów </w:t>
      </w:r>
      <w:r w:rsidRPr="00E00B35">
        <w:rPr>
          <w:rFonts w:eastAsia="Calibri"/>
          <w:szCs w:val="20"/>
        </w:rPr>
        <w:br/>
        <w:t xml:space="preserve">w jednym z mieszkań. Dzięki dodatkowym środkom zorganizowano dodatkowe zajęcia dla dzieci uczestniczek z grupy zagrożonej bezdomnością z powodu doświadczania przemocy, na które w ramach budżetu projektu nie ma możliwości ponoszenia kosztów. </w:t>
      </w:r>
    </w:p>
    <w:p w:rsidR="00CA14AB" w:rsidRPr="00E00B35" w:rsidRDefault="00CA14AB" w:rsidP="00E00B35">
      <w:pPr>
        <w:spacing w:after="0" w:line="312" w:lineRule="auto"/>
        <w:rPr>
          <w:rFonts w:eastAsia="Calibri"/>
          <w:szCs w:val="20"/>
        </w:rPr>
      </w:pPr>
      <w:r w:rsidRPr="00E00B35">
        <w:rPr>
          <w:rFonts w:eastAsia="Calibri"/>
          <w:szCs w:val="20"/>
        </w:rPr>
        <w:t>Okres realizacji projektu: od 01.03.2019r. do 31.12.2021r.</w:t>
      </w:r>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Projekt "Azyl – usługi opiekuńcze dla osób niesamodzielnych"</w:t>
      </w:r>
    </w:p>
    <w:p w:rsidR="00CA14AB" w:rsidRPr="00E00B35" w:rsidRDefault="00CA14AB" w:rsidP="00E00B35">
      <w:pPr>
        <w:spacing w:after="0" w:line="312" w:lineRule="auto"/>
        <w:rPr>
          <w:szCs w:val="20"/>
        </w:rPr>
      </w:pPr>
      <w:r w:rsidRPr="00E00B35">
        <w:rPr>
          <w:szCs w:val="20"/>
        </w:rPr>
        <w:t xml:space="preserve">Stowarzyszenie Centrum Wspierania Przedsiębiorczości w partnerstwie z Fundacją Evangelium Vitae oraz Gminą Wrocław – Miejskim Ośrodkiem Pomocy Społecznej we Wrocławiu realizuje projekt "Azyl – usługi opiekuńcze dla osób niesamodzielnych". Projekt współfinansowany jest ze środków Europejskiego Funduszu Społecznego </w:t>
      </w:r>
      <w:r w:rsidRPr="00E00B35">
        <w:rPr>
          <w:szCs w:val="20"/>
        </w:rPr>
        <w:br/>
        <w:t>w ramach Regionalnego Programu Operacyjnego Województwa Dolnośląskiego na lata 2014-2020, Oś priorytetowa 9: Włączenie Społeczne, Działanie 9.2: Dostęp do wysokiej jakości usług społecznych.</w:t>
      </w:r>
    </w:p>
    <w:p w:rsidR="00CA14AB" w:rsidRPr="00E00B35" w:rsidRDefault="00CA14AB" w:rsidP="00E00B35">
      <w:pPr>
        <w:spacing w:after="0" w:line="312" w:lineRule="auto"/>
        <w:rPr>
          <w:szCs w:val="20"/>
        </w:rPr>
      </w:pPr>
      <w:r w:rsidRPr="00E00B35">
        <w:rPr>
          <w:szCs w:val="20"/>
        </w:rPr>
        <w:t>Cele projektu: zwiększenie dostępności do wysokiej jakości usług społecznych przez utworzenie 20 miejsc opieki i świadczenie usług opiekuńczych oraz bytowych dla 240 osób w całodobowej placówce krótkookresowego pobytu.</w:t>
      </w:r>
    </w:p>
    <w:p w:rsidR="00CA14AB" w:rsidRPr="00E00B35" w:rsidRDefault="00CA14AB" w:rsidP="00E00B35">
      <w:pPr>
        <w:spacing w:after="0" w:line="312" w:lineRule="auto"/>
        <w:rPr>
          <w:szCs w:val="20"/>
        </w:rPr>
      </w:pPr>
      <w:r w:rsidRPr="00E00B35">
        <w:rPr>
          <w:szCs w:val="20"/>
        </w:rPr>
        <w:t>W ramach projektu zostaną podjęte następujące zadania:</w:t>
      </w:r>
    </w:p>
    <w:p w:rsidR="00CA14AB" w:rsidRPr="00E00B35" w:rsidRDefault="00CA14AB" w:rsidP="00E00B35">
      <w:pPr>
        <w:spacing w:after="0" w:line="312" w:lineRule="auto"/>
        <w:rPr>
          <w:szCs w:val="20"/>
        </w:rPr>
      </w:pPr>
      <w:r w:rsidRPr="00E00B35">
        <w:rPr>
          <w:szCs w:val="20"/>
        </w:rPr>
        <w:t xml:space="preserve">Zadanie 1 – Stworzenie miejsc świadczenia usług opiekuńczych oraz bytowych </w:t>
      </w:r>
      <w:r w:rsidRPr="00E00B35">
        <w:rPr>
          <w:szCs w:val="20"/>
        </w:rPr>
        <w:br/>
        <w:t>w całodobowej placówce okresowego pobytu.</w:t>
      </w:r>
    </w:p>
    <w:p w:rsidR="00CA14AB" w:rsidRPr="00E00B35" w:rsidRDefault="00CA14AB" w:rsidP="00E00B35">
      <w:pPr>
        <w:spacing w:after="0" w:line="312" w:lineRule="auto"/>
        <w:rPr>
          <w:szCs w:val="20"/>
        </w:rPr>
      </w:pPr>
      <w:r w:rsidRPr="00E00B35">
        <w:rPr>
          <w:szCs w:val="20"/>
        </w:rPr>
        <w:t>Zadanie 2 – Świadczenie usług opiekuńczych oraz bytowych w całodobowej placówce okresowego pobytu.</w:t>
      </w:r>
    </w:p>
    <w:p w:rsidR="00CA14AB" w:rsidRPr="00E00B35" w:rsidRDefault="00CA14AB" w:rsidP="00E00B35">
      <w:pPr>
        <w:spacing w:after="0" w:line="312" w:lineRule="auto"/>
        <w:rPr>
          <w:szCs w:val="20"/>
        </w:rPr>
      </w:pPr>
      <w:r w:rsidRPr="00E00B35">
        <w:rPr>
          <w:szCs w:val="20"/>
        </w:rPr>
        <w:t xml:space="preserve">Grupę docelową stanowić będzie 240 osób (140 K i 100 M) zagrożonych ubóstwem lub wykluczeniem społecznym, w tym osoby pozostające bez zatrudnienia wymagające </w:t>
      </w:r>
      <w:r w:rsidRPr="00E00B35">
        <w:rPr>
          <w:szCs w:val="20"/>
        </w:rPr>
        <w:br/>
        <w:t>w pierwszej kolejności aktywizacji społecznej, które ze względu na wiek, stan zdrowia czy niepełnosprawność wymagają opieki lub wsparcia w związku z niemożnością samodzielnego wykonania min. jednej z podstawowych czynności dnia codziennego.</w:t>
      </w:r>
    </w:p>
    <w:p w:rsidR="00CA14AB" w:rsidRPr="00E00B35" w:rsidRDefault="00CA14AB" w:rsidP="00E00B35">
      <w:pPr>
        <w:spacing w:after="0" w:line="312" w:lineRule="auto"/>
        <w:rPr>
          <w:szCs w:val="20"/>
        </w:rPr>
      </w:pPr>
      <w:r w:rsidRPr="00E00B35">
        <w:rPr>
          <w:szCs w:val="20"/>
        </w:rPr>
        <w:t>W 2020 roku przeprowadzono procedurę w ramach zasady konkurencyjności na remont pomieszczeń, w których będą realizowane usługi opiekuńcze dla osób niesamodzielnych w ramach projektu.</w:t>
      </w:r>
    </w:p>
    <w:p w:rsidR="00CA14AB" w:rsidRPr="00E00B35" w:rsidRDefault="00CA14AB" w:rsidP="00E00B35">
      <w:pPr>
        <w:spacing w:after="0" w:line="312" w:lineRule="auto"/>
        <w:rPr>
          <w:szCs w:val="20"/>
        </w:rPr>
      </w:pPr>
      <w:r w:rsidRPr="00E00B35">
        <w:rPr>
          <w:szCs w:val="20"/>
        </w:rPr>
        <w:t>Łączna wartość projektu: 3 815 999,00 zł, w tym budżet MOPS - wynosi 74 750,00 zł.</w:t>
      </w:r>
    </w:p>
    <w:p w:rsidR="00CA14AB" w:rsidRPr="00E00B35" w:rsidRDefault="00CA14AB" w:rsidP="00E00B35">
      <w:pPr>
        <w:spacing w:after="0" w:line="312" w:lineRule="auto"/>
        <w:rPr>
          <w:szCs w:val="20"/>
        </w:rPr>
      </w:pPr>
      <w:r w:rsidRPr="00E00B35">
        <w:rPr>
          <w:szCs w:val="20"/>
        </w:rPr>
        <w:t xml:space="preserve">Dofinansowanie z UE: 3 625 199,05 zł, w tym MOPS to 74 750,00 zł. </w:t>
      </w:r>
      <w:r w:rsidRPr="00E00B35">
        <w:rPr>
          <w:szCs w:val="20"/>
        </w:rPr>
        <w:br/>
        <w:t xml:space="preserve">Okres realizacji projektu: od 01.07.2020r. do 30.06.2023r. </w:t>
      </w:r>
      <w:bookmarkEnd w:id="426"/>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 xml:space="preserve">Projekt „SAMO-Dzielni edycja 2” </w:t>
      </w:r>
    </w:p>
    <w:p w:rsidR="00CA14AB" w:rsidRPr="00E00B35" w:rsidRDefault="00CA14AB" w:rsidP="00E00B35">
      <w:pPr>
        <w:spacing w:after="0" w:line="312" w:lineRule="auto"/>
        <w:rPr>
          <w:szCs w:val="20"/>
        </w:rPr>
      </w:pPr>
      <w:r w:rsidRPr="00E00B35">
        <w:rPr>
          <w:szCs w:val="20"/>
        </w:rPr>
        <w:t xml:space="preserve">Fundacja „Promyk Słońca”, w partnerstwie z Gminą Wrocław – Miejskim Ośrodkiem Pomocy Społecznej we Wrocławiu po raz kolejny realizuje projekt „SAMO-Dzielni edycja 2”. Projekt współfinansowany jest ze środków Europejskiego Funduszu Społecznego </w:t>
      </w:r>
      <w:r w:rsidRPr="00E00B35">
        <w:rPr>
          <w:szCs w:val="20"/>
        </w:rPr>
        <w:br/>
        <w:t xml:space="preserve">w ramach Regionalnego Programu Operacyjnego Województwa Dolnośląskiego na lata 2014-2020, Oś priorytetowa 9: Włączenie Społeczne, Działanie 9.2: Dostęp do wysokiej jakości usług społecznych. Cel projektu: zaspokojenie potrzeb niepełnosprawnych mieszkańców Wrocławia w zakresie usług asystenckich oraz opieki wytchnieniowej dla dzieci i dorosłych z niepełnosprawnościami. Usługi opieki wytchnieniowej świadczone będą dla osób dorosłych w systemie całodobowym (lub dziennym) w zaadaptowanym </w:t>
      </w:r>
      <w:r w:rsidRPr="00E00B35">
        <w:rPr>
          <w:szCs w:val="20"/>
        </w:rPr>
        <w:br/>
        <w:t xml:space="preserve">do tego celu i wyposażonym mieszkaniu. Usługi opieki wytchnieniowej dla dzieci </w:t>
      </w:r>
      <w:r w:rsidRPr="00E00B35">
        <w:rPr>
          <w:szCs w:val="20"/>
        </w:rPr>
        <w:br/>
        <w:t>z niepełnosprawnością, wymagających wsparcia w codziennym funkcjonowaniu, będą świadczone w systemie dziennym w odpowiednio wyposażonym lokalu.</w:t>
      </w:r>
    </w:p>
    <w:p w:rsidR="00CA14AB" w:rsidRPr="00E00B35" w:rsidRDefault="00CA14AB" w:rsidP="00E00B35">
      <w:pPr>
        <w:spacing w:after="0" w:line="312" w:lineRule="auto"/>
        <w:rPr>
          <w:szCs w:val="20"/>
        </w:rPr>
      </w:pPr>
      <w:r w:rsidRPr="00E00B35">
        <w:rPr>
          <w:szCs w:val="20"/>
        </w:rPr>
        <w:t xml:space="preserve">Opieka wytchnieniowa dla osób dorosłych będzie świadczona w zaadaptowanym do tego celu mieszkaniu, wyremontowanym przez Miejski Ośrodek Pomocy Społecznej </w:t>
      </w:r>
      <w:r w:rsidRPr="00E00B35">
        <w:rPr>
          <w:szCs w:val="20"/>
        </w:rPr>
        <w:br/>
        <w:t xml:space="preserve">w znajdującym się w należącym do MOPS Pensjonacie dla Osób Starszych przy </w:t>
      </w:r>
      <w:r w:rsidRPr="00E00B35">
        <w:rPr>
          <w:szCs w:val="20"/>
        </w:rPr>
        <w:br/>
        <w:t xml:space="preserve">ul. Kamieńskiego 190 we Wrocławiu, które zostanie dostosowane dla osób </w:t>
      </w:r>
      <w:r w:rsidRPr="00E00B35">
        <w:rPr>
          <w:szCs w:val="20"/>
        </w:rPr>
        <w:br/>
        <w:t>z niepełnosprawnościami, niezależnie od ich dysfunkcji. Wyposażone zostanie w sprzęt wspomagający opiekę nad osobami mającymi problem z poruszaniem się (podnośnik sufitowy).</w:t>
      </w:r>
    </w:p>
    <w:p w:rsidR="00CA14AB" w:rsidRPr="00E00B35" w:rsidRDefault="00CA14AB" w:rsidP="00E00B35">
      <w:pPr>
        <w:spacing w:after="0" w:line="312" w:lineRule="auto"/>
        <w:rPr>
          <w:szCs w:val="20"/>
        </w:rPr>
      </w:pPr>
      <w:r w:rsidRPr="00E00B35">
        <w:rPr>
          <w:szCs w:val="20"/>
        </w:rPr>
        <w:t>Usługi opieki wytchnieniowej dla dzieci będą świadczone w wynajmowanym przez Fundację budynku przy ulicy Powstańców Śląskich we Wrocławiu (powierzchnia użytkowa 119,20 m², z zapleczem socjalnym, kuchnią i toaletą, 2 piętra).</w:t>
      </w:r>
    </w:p>
    <w:p w:rsidR="00CA14AB" w:rsidRPr="00E00B35" w:rsidRDefault="00CA14AB" w:rsidP="00E00B35">
      <w:pPr>
        <w:spacing w:after="0" w:line="312" w:lineRule="auto"/>
        <w:rPr>
          <w:szCs w:val="20"/>
        </w:rPr>
      </w:pPr>
      <w:r w:rsidRPr="00E00B35">
        <w:rPr>
          <w:szCs w:val="20"/>
        </w:rPr>
        <w:t>Planowane efekty: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zwiększenie liczby miejsc świadczenia usług asystenckich oraz opieki wytchnieniowej w lokalnej społeczności,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ułatwienie dostępu do przystępnych cenowo, trwałych oraz wysokiej jakości usług asystenckich oraz opieki wytchnieniowej,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umożliwienie osobom z niepełnosprawnością samodzielnego i niezależnego funkcjonowania społecznego, edukacyjnego oraz zawodowego,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polepszenie funkcjonowania faktycznych opiekunów osób z niepełnosprawnością,</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wsparcie rodzin zagrożonych ubóstwem lub wykluczeniem społecznym.</w:t>
      </w:r>
    </w:p>
    <w:p w:rsidR="00CA14AB" w:rsidRPr="00E00B35" w:rsidRDefault="001F4CB6" w:rsidP="00E00B35">
      <w:pPr>
        <w:spacing w:after="0" w:line="312" w:lineRule="auto"/>
        <w:rPr>
          <w:szCs w:val="20"/>
        </w:rPr>
      </w:pPr>
      <w:r w:rsidRPr="00E00B35">
        <w:rPr>
          <w:szCs w:val="20"/>
        </w:rPr>
        <w:t xml:space="preserve">W ramach projektu </w:t>
      </w:r>
      <w:r w:rsidR="00CA14AB" w:rsidRPr="00E00B35">
        <w:rPr>
          <w:szCs w:val="20"/>
        </w:rPr>
        <w:t xml:space="preserve">zostanie zapewnione  stałe wsparcie co najmniej 70 osobom </w:t>
      </w:r>
      <w:r w:rsidR="00CA14AB" w:rsidRPr="00E00B35">
        <w:rPr>
          <w:szCs w:val="20"/>
        </w:rPr>
        <w:br/>
        <w:t xml:space="preserve">z niepełnosprawnością w zakresie asystencji osobistej, oraz usług opiekuńczych </w:t>
      </w:r>
      <w:r w:rsidR="00CA14AB" w:rsidRPr="00E00B35">
        <w:rPr>
          <w:szCs w:val="20"/>
        </w:rPr>
        <w:br/>
        <w:t>w formie opieki wytchnieniowej 87 dorosłym i 36 dzieciom</w:t>
      </w:r>
      <w:r w:rsidRPr="00E00B35">
        <w:rPr>
          <w:szCs w:val="20"/>
        </w:rPr>
        <w:t>.</w:t>
      </w:r>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Zadania zrealizowane w ramach projektu przez Gminę Wrocław – MOPS Wrocław sierpień 2020 – grudzień 2020</w:t>
      </w:r>
    </w:p>
    <w:p w:rsidR="00CA14AB" w:rsidRPr="00E00B35" w:rsidRDefault="00CA14AB" w:rsidP="00E00B35">
      <w:pPr>
        <w:spacing w:after="0" w:line="312" w:lineRule="auto"/>
        <w:rPr>
          <w:szCs w:val="20"/>
        </w:rPr>
      </w:pPr>
      <w:r w:rsidRPr="00E00B35">
        <w:rPr>
          <w:szCs w:val="20"/>
        </w:rPr>
        <w:t>W III i IV kwartale 2020 r. wszelkie działania po stronie Gminy Wrocław – MOPS Wrocław skoncentrowały  się na pracach związanych z adaptacją mieszkania, w którym będzie świadczona opieka wytchnieniowa. Po opracowaniu projektu i uzyskaniu pozwolenia na budowę rozpoczęto procedurę zmierzającą do wyłonienia wykonawcy. Prace remontowo-</w:t>
      </w:r>
      <w:r w:rsidRPr="00E00B35">
        <w:rPr>
          <w:szCs w:val="20"/>
        </w:rPr>
        <w:lastRenderedPageBreak/>
        <w:t xml:space="preserve">adaptacyjne zostały zakończone z końcem grudnia. W tym samym czasie procedowano zakup specjalistycznego sprzętu do mieszkania ułatwiającego funkcjonowanie osobie </w:t>
      </w:r>
      <w:r w:rsidRPr="00E00B35">
        <w:rPr>
          <w:szCs w:val="20"/>
        </w:rPr>
        <w:br/>
        <w:t xml:space="preserve">z niepełnosprawnością (podnośnik sufitowy, łóżko rehabilitacyjne). W mieszkaniu również w tym czasie została zamontowana kuchnia z udogodnieniami dla osób niepełnosprawnych. </w:t>
      </w:r>
    </w:p>
    <w:p w:rsidR="00CA14AB" w:rsidRPr="00E00B35" w:rsidRDefault="00CA14AB" w:rsidP="00E00B35">
      <w:pPr>
        <w:spacing w:after="0" w:line="312" w:lineRule="auto"/>
        <w:rPr>
          <w:szCs w:val="20"/>
        </w:rPr>
      </w:pPr>
      <w:r w:rsidRPr="00E00B35">
        <w:rPr>
          <w:szCs w:val="20"/>
        </w:rPr>
        <w:t>Łączna wartość projektu: 4 212 392,50 zł, w tym budżet MOPS - wynosi 1 047 420,00 zł.</w:t>
      </w:r>
    </w:p>
    <w:p w:rsidR="00CA14AB" w:rsidRPr="00E00B35" w:rsidRDefault="00CA14AB" w:rsidP="00E00B35">
      <w:pPr>
        <w:spacing w:after="0" w:line="312" w:lineRule="auto"/>
        <w:rPr>
          <w:szCs w:val="20"/>
        </w:rPr>
      </w:pPr>
      <w:r w:rsidRPr="00E00B35">
        <w:rPr>
          <w:szCs w:val="20"/>
        </w:rPr>
        <w:t>Dofinansowanie z UE: 4 001 761,37 zł, w tym MOPS to 836 788,87 zł.                                                                                         Okres realizacji projektu: od 01.08.2020r. do 31.10.2023r.</w:t>
      </w:r>
    </w:p>
    <w:p w:rsidR="00CA14AB" w:rsidRPr="00E00B35" w:rsidRDefault="00CA14AB" w:rsidP="00E00B35">
      <w:pPr>
        <w:spacing w:after="0" w:line="312" w:lineRule="auto"/>
        <w:rPr>
          <w:szCs w:val="20"/>
        </w:rPr>
      </w:pPr>
      <w:r w:rsidRPr="00E00B35">
        <w:rPr>
          <w:szCs w:val="20"/>
        </w:rPr>
        <w:t>Projekt „Droga do domu”</w:t>
      </w:r>
    </w:p>
    <w:p w:rsidR="00CA14AB" w:rsidRPr="00E00B35" w:rsidRDefault="00CA14AB" w:rsidP="00E00B35">
      <w:pPr>
        <w:spacing w:after="0" w:line="312" w:lineRule="auto"/>
        <w:rPr>
          <w:szCs w:val="20"/>
        </w:rPr>
      </w:pPr>
      <w:r w:rsidRPr="00E00B35">
        <w:rPr>
          <w:szCs w:val="20"/>
        </w:rPr>
        <w:t xml:space="preserve">Od czerwca 2019r. w partnerstwie Towarzystwa Pomocy im. św. Brata Alberta – Koło Wrocławskie, Gminy Wrocław/Miejskiego Ośrodka Pomocy Społecznej oraz partnera zagranicznego - Spółdzielni Socjalnej OPEN GROUP, realizowany jest projekt pn. „Droga do domu”. Projekt współfinansowany jest ze środków Europejskiego Funduszu Społecznego w ramach Programu Operacyjnego Wiedza Edukacja Rozwój 2014-2020, </w:t>
      </w:r>
      <w:r w:rsidRPr="00E00B35">
        <w:rPr>
          <w:szCs w:val="20"/>
        </w:rPr>
        <w:br/>
        <w:t>Oś Priorytetowa IV. Innowacje społeczne i współpraca ponadnarodowa, Działanie 4.3 Współpraca ponadnarodowa.</w:t>
      </w:r>
    </w:p>
    <w:p w:rsidR="00CA14AB" w:rsidRPr="00E00B35" w:rsidRDefault="00CA14AB" w:rsidP="00E00B35">
      <w:pPr>
        <w:spacing w:after="0" w:line="312" w:lineRule="auto"/>
        <w:rPr>
          <w:szCs w:val="20"/>
        </w:rPr>
      </w:pPr>
      <w:r w:rsidRPr="00E00B35">
        <w:rPr>
          <w:szCs w:val="20"/>
        </w:rPr>
        <w:t>Projekt adresowany jest do jednostek samorządu terytorialnego na poziomie gminnym lub powiatowym, instytucji pomocy i integracji społecznej, podmiotów ekonomii społecznej oraz instytucji rynku pracy i placówek systemu opieki zdrowotnej – łącznie 25 podmiotów. Dodatkowo na etapie testowania rozwiązania w ramach projektu wsparciem objętych zostanie 30 osób bezdomnych.</w:t>
      </w:r>
    </w:p>
    <w:p w:rsidR="00CA14AB" w:rsidRPr="00E00B35" w:rsidRDefault="00CA14AB" w:rsidP="00E00B35">
      <w:pPr>
        <w:spacing w:after="0" w:line="312" w:lineRule="auto"/>
        <w:rPr>
          <w:szCs w:val="20"/>
        </w:rPr>
      </w:pPr>
      <w:r w:rsidRPr="00E00B35">
        <w:rPr>
          <w:szCs w:val="20"/>
        </w:rPr>
        <w:t xml:space="preserve">Celem głównym projektu jest wypracowanie oraz wdrożenie w okresie od VI 2019 </w:t>
      </w:r>
      <w:r w:rsidRPr="00E00B35">
        <w:rPr>
          <w:szCs w:val="20"/>
        </w:rPr>
        <w:br/>
        <w:t xml:space="preserve">do V 2022. nowego modelu w zakresie wsparcia w wychodzeniu z bezdomności, powstałego w wyniku współpracy z partnerem ponadnarodowym. Projekt zakłada </w:t>
      </w:r>
      <w:r w:rsidRPr="00E00B35">
        <w:rPr>
          <w:szCs w:val="20"/>
        </w:rPr>
        <w:br/>
        <w:t>2 rodzaje współpracy ponadnarodowej: transfer, zaadaptowanie i wdrożenie nowego rozwiązania oraz wymianę informacji i doświadczeń.</w:t>
      </w:r>
    </w:p>
    <w:p w:rsidR="00CA14AB" w:rsidRPr="00E00B35" w:rsidRDefault="00CA14AB" w:rsidP="00E00B35">
      <w:pPr>
        <w:spacing w:after="0" w:line="312" w:lineRule="auto"/>
        <w:rPr>
          <w:szCs w:val="20"/>
        </w:rPr>
      </w:pPr>
      <w:r w:rsidRPr="00E00B35">
        <w:rPr>
          <w:szCs w:val="20"/>
        </w:rPr>
        <w:t>Projekt zakłada następujące działania/etapy realizacji projektu:</w:t>
      </w:r>
    </w:p>
    <w:p w:rsidR="00CA14AB" w:rsidRPr="00E00B35" w:rsidRDefault="00CA14AB" w:rsidP="00E00B35">
      <w:pPr>
        <w:spacing w:after="0" w:line="312" w:lineRule="auto"/>
        <w:rPr>
          <w:rFonts w:eastAsia="Calibri"/>
          <w:szCs w:val="20"/>
        </w:rPr>
      </w:pPr>
      <w:r w:rsidRPr="00E00B35">
        <w:rPr>
          <w:rFonts w:eastAsia="Calibri"/>
          <w:szCs w:val="20"/>
        </w:rPr>
        <w:t>1. Przygotowanie rozwiązania we współpracy z partnerem ponadnarodowym – VI 2019 – XI 2019.</w:t>
      </w:r>
    </w:p>
    <w:p w:rsidR="00CA14AB" w:rsidRPr="00E00B35" w:rsidRDefault="00CA14AB" w:rsidP="00E00B35">
      <w:pPr>
        <w:spacing w:after="0" w:line="312" w:lineRule="auto"/>
        <w:rPr>
          <w:rFonts w:eastAsia="Calibri"/>
          <w:szCs w:val="20"/>
        </w:rPr>
      </w:pPr>
      <w:r w:rsidRPr="00E00B35">
        <w:rPr>
          <w:rFonts w:eastAsia="Calibri"/>
          <w:szCs w:val="20"/>
        </w:rPr>
        <w:t>2.</w:t>
      </w:r>
      <w:r w:rsidR="001F4CB6" w:rsidRPr="00E00B35">
        <w:rPr>
          <w:rFonts w:eastAsia="Calibri"/>
          <w:szCs w:val="20"/>
        </w:rPr>
        <w:t xml:space="preserve"> </w:t>
      </w:r>
      <w:r w:rsidRPr="00E00B35">
        <w:rPr>
          <w:rFonts w:eastAsia="Calibri"/>
          <w:szCs w:val="20"/>
        </w:rPr>
        <w:t>Testowanie nowego rozwiązania – XII 2019 – II 2021.</w:t>
      </w:r>
    </w:p>
    <w:p w:rsidR="00CA14AB" w:rsidRPr="00E00B35" w:rsidRDefault="00CA14AB" w:rsidP="00E00B35">
      <w:pPr>
        <w:spacing w:after="0" w:line="312" w:lineRule="auto"/>
        <w:rPr>
          <w:rFonts w:eastAsia="Calibri"/>
          <w:szCs w:val="20"/>
        </w:rPr>
      </w:pPr>
      <w:r w:rsidRPr="00E00B35">
        <w:rPr>
          <w:rFonts w:eastAsia="Calibri"/>
          <w:szCs w:val="20"/>
        </w:rPr>
        <w:t>3. Analiza efektów testowanego rozwiązania z uwzględnieniem opinii eksperta/ów oraz wsparcia partnera ponadnarodowego – III 2021- VI 2021.</w:t>
      </w:r>
    </w:p>
    <w:p w:rsidR="00CA14AB" w:rsidRPr="00E00B35" w:rsidRDefault="00CA14AB" w:rsidP="00E00B35">
      <w:pPr>
        <w:spacing w:after="0" w:line="312" w:lineRule="auto"/>
        <w:rPr>
          <w:rFonts w:eastAsia="Calibri"/>
          <w:szCs w:val="20"/>
        </w:rPr>
      </w:pPr>
      <w:r w:rsidRPr="00E00B35">
        <w:rPr>
          <w:rFonts w:eastAsia="Calibri"/>
          <w:szCs w:val="20"/>
        </w:rPr>
        <w:t>4.</w:t>
      </w:r>
      <w:r w:rsidR="001F4CB6" w:rsidRPr="00E00B35">
        <w:rPr>
          <w:rFonts w:eastAsia="Calibri"/>
          <w:szCs w:val="20"/>
        </w:rPr>
        <w:t xml:space="preserve"> </w:t>
      </w:r>
      <w:r w:rsidRPr="00E00B35">
        <w:rPr>
          <w:rFonts w:eastAsia="Calibri"/>
          <w:szCs w:val="20"/>
        </w:rPr>
        <w:t>Opracowanie ostatecznej wersji wdrożeniowej rozwiązania – VII 2021 –X 2021.</w:t>
      </w:r>
    </w:p>
    <w:p w:rsidR="00CA14AB" w:rsidRPr="00E00B35" w:rsidRDefault="00CA14AB" w:rsidP="00E00B35">
      <w:pPr>
        <w:spacing w:after="0" w:line="312" w:lineRule="auto"/>
        <w:rPr>
          <w:rFonts w:eastAsia="Calibri"/>
          <w:szCs w:val="20"/>
        </w:rPr>
      </w:pPr>
      <w:r w:rsidRPr="00E00B35">
        <w:rPr>
          <w:rFonts w:eastAsia="Calibri"/>
          <w:szCs w:val="20"/>
        </w:rPr>
        <w:t>5.</w:t>
      </w:r>
      <w:r w:rsidR="001F4CB6" w:rsidRPr="00E00B35">
        <w:rPr>
          <w:rFonts w:eastAsia="Calibri"/>
          <w:szCs w:val="20"/>
        </w:rPr>
        <w:t xml:space="preserve"> </w:t>
      </w:r>
      <w:r w:rsidRPr="00E00B35">
        <w:rPr>
          <w:rFonts w:eastAsia="Calibri"/>
          <w:szCs w:val="20"/>
        </w:rPr>
        <w:t>Wdrożenie rozwiązania do praktyki, z wsparciem partnera ponadnarodowego XI 2021 – II 2022.</w:t>
      </w:r>
    </w:p>
    <w:p w:rsidR="00CA14AB" w:rsidRPr="00E00B35" w:rsidRDefault="00CA14AB" w:rsidP="00E00B35">
      <w:pPr>
        <w:spacing w:after="0" w:line="312" w:lineRule="auto"/>
        <w:rPr>
          <w:szCs w:val="20"/>
        </w:rPr>
      </w:pPr>
      <w:r w:rsidRPr="00E00B35">
        <w:rPr>
          <w:rFonts w:eastAsia="Calibri"/>
          <w:szCs w:val="20"/>
        </w:rPr>
        <w:t>6. Wypracowanie rekomendacji dla instytucji użytkownika – III 2022 – V 2022</w:t>
      </w:r>
      <w:r w:rsidRPr="00E00B35">
        <w:rPr>
          <w:szCs w:val="20"/>
        </w:rPr>
        <w:t>.</w:t>
      </w:r>
    </w:p>
    <w:p w:rsidR="00CA14AB" w:rsidRPr="00E00B35" w:rsidRDefault="00CA14AB" w:rsidP="00E00B35">
      <w:pPr>
        <w:spacing w:after="0" w:line="312" w:lineRule="auto"/>
        <w:rPr>
          <w:szCs w:val="20"/>
        </w:rPr>
      </w:pPr>
      <w:r w:rsidRPr="00E00B35">
        <w:rPr>
          <w:szCs w:val="20"/>
        </w:rPr>
        <w:t xml:space="preserve">W pierwszym etapie realizacji projektu odbyło się 8 spotkań Miejskiej Grupy ds. rozwiązywania problemu bezdomności. Zrealizowano warsztaty współpracy ponadnarodowej w Bolonii w celu zapoznania uczestników z Polski z włoską metodą pracy z osobami bezdomnymi  pn. "Laboratorio AbbaStanza”, która transferowana będzie </w:t>
      </w:r>
      <w:r w:rsidRPr="00E00B35">
        <w:rPr>
          <w:szCs w:val="20"/>
        </w:rPr>
        <w:br/>
        <w:t xml:space="preserve">na grunt polski. Na tej podstawie przygotowano wstępną wersję nowego modelu usamodzielnienia osób bezdomnych i zrekrutowano 30 osób bezdomnych, które wezmą udział w testowaniu  nowego modelu pracy. Zarząd Zasobu Komunalnego wraz z MOPS </w:t>
      </w:r>
      <w:r w:rsidRPr="00E00B35">
        <w:rPr>
          <w:szCs w:val="20"/>
        </w:rPr>
        <w:br/>
      </w:r>
      <w:r w:rsidRPr="00E00B35">
        <w:rPr>
          <w:szCs w:val="20"/>
        </w:rPr>
        <w:lastRenderedPageBreak/>
        <w:t xml:space="preserve">w imieniu Gminy Wrocław wyremontował oraz doposażył na potrzeby realizacji projektów 10 mieszkań. Koszt remontów wraz z wyposażeniem mieszkań wyniósł 848 084,79 zł (środki gminne). Projekt realizowany jest zgodnie z założeniami i modyfikacjami wynikającymi z potrzeby dostosowania się do obostrzeń wynikających z epidemii związanej z wirusem SARS-CoV-2. Obecnie 10 mieszkań zostało już zakwaterowanych przez uczestników projektu. Uczestnicy projektu chętnie współpracują z koordynatorami usamodzielnienia w celu poprawy swojej sytuacji życiowej. Podejmują się spotkań </w:t>
      </w:r>
      <w:r w:rsidRPr="00E00B35">
        <w:rPr>
          <w:szCs w:val="20"/>
        </w:rPr>
        <w:br/>
        <w:t xml:space="preserve">z psychologiem, regulują swoje zadłużenia oraz sprawy rodzinne, które od lat zaniedbywali. Prace zespołu eksperckiego koncentrują się nad założeniami dotyczącymi rzeczywistych kosztów modelu i przygotowaniu założeń oraz ich analizie.   </w:t>
      </w:r>
    </w:p>
    <w:p w:rsidR="00CA14AB" w:rsidRPr="00E00B35" w:rsidRDefault="00CA14AB" w:rsidP="00E00B35">
      <w:pPr>
        <w:spacing w:after="0" w:line="312" w:lineRule="auto"/>
        <w:rPr>
          <w:szCs w:val="20"/>
        </w:rPr>
      </w:pPr>
      <w:r w:rsidRPr="00E00B35">
        <w:rPr>
          <w:szCs w:val="20"/>
        </w:rPr>
        <w:t>Łączna wartość projektu: 1 397 788,80 zł, w tym budżet MOPS - wynosi 350 316,00 zł.</w:t>
      </w:r>
    </w:p>
    <w:p w:rsidR="00CA14AB" w:rsidRPr="00E00B35" w:rsidRDefault="00CA14AB" w:rsidP="00E00B35">
      <w:pPr>
        <w:spacing w:after="0" w:line="312" w:lineRule="auto"/>
        <w:rPr>
          <w:szCs w:val="20"/>
        </w:rPr>
      </w:pPr>
      <w:r w:rsidRPr="00E00B35">
        <w:rPr>
          <w:szCs w:val="20"/>
        </w:rPr>
        <w:t xml:space="preserve">Dofinansowanie z UE: 1 354 629,70 zł, w tym MOPS to 307 156,90 zł. </w:t>
      </w:r>
    </w:p>
    <w:p w:rsidR="00CA14AB" w:rsidRPr="00E00B35" w:rsidRDefault="00CA14AB" w:rsidP="00E00B35">
      <w:pPr>
        <w:spacing w:after="0" w:line="312" w:lineRule="auto"/>
        <w:rPr>
          <w:szCs w:val="20"/>
        </w:rPr>
      </w:pPr>
      <w:r w:rsidRPr="00E00B35">
        <w:rPr>
          <w:szCs w:val="20"/>
        </w:rPr>
        <w:t xml:space="preserve">Okres realizacji projektu: od 01.06.2019r. do 31.05.2022r. </w:t>
      </w:r>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Projekt „Housing first – najpierw mieszkanie”</w:t>
      </w:r>
    </w:p>
    <w:p w:rsidR="00CA14AB" w:rsidRPr="00E00B35" w:rsidRDefault="00CA14AB" w:rsidP="00E00B35">
      <w:pPr>
        <w:spacing w:after="0" w:line="312" w:lineRule="auto"/>
        <w:rPr>
          <w:szCs w:val="20"/>
        </w:rPr>
      </w:pPr>
      <w:r w:rsidRPr="00E00B35">
        <w:rPr>
          <w:szCs w:val="20"/>
        </w:rPr>
        <w:t xml:space="preserve">Od lipca 2019r. w partnerstwie krajowym: Towarzystwo Pomocy im. św. Brata Alberta Zarząd Główny, Urząd Miejski w Gdańsku, Urząd Miasta Stołecznego Warszawa, Urząd Miejski Wrocławia/MOPS oraz Ogólnopolska Federacja na rzecz Rozwiązywania Problemu Bezdomności, oraz partnerem zagranicznym, którym jest portugalska organizacja Associao para o Estudo e Integrao Psicossocial (AEIPS), realizowany jest projekt </w:t>
      </w:r>
      <w:r w:rsidRPr="00E00B35">
        <w:rPr>
          <w:szCs w:val="20"/>
        </w:rPr>
        <w:br/>
        <w:t>pn. „Housing first – najpierw mieszkanie”. Projekt współfinansowany jest ze środków Europejskiego Funduszu Społecznego w ramach Programu Operacyjnego Wiedza Edukacja Rozwój 2014-2020, Oś Priorytetowa IV. Innowacje społeczne i współpraca ponadnarodowa, Działanie 4.3 Współpraca ponadnarodowa.</w:t>
      </w:r>
    </w:p>
    <w:p w:rsidR="00CA14AB" w:rsidRPr="00E00B35" w:rsidRDefault="00CA14AB" w:rsidP="00E00B35">
      <w:pPr>
        <w:spacing w:after="0" w:line="312" w:lineRule="auto"/>
        <w:rPr>
          <w:szCs w:val="20"/>
        </w:rPr>
      </w:pPr>
      <w:r w:rsidRPr="00E00B35">
        <w:rPr>
          <w:szCs w:val="20"/>
        </w:rPr>
        <w:t>Projekt adresowany jest do jednostek samorządu terytorialnego na poziomie gminnym lub powiatowym, instytucji pomocy i integracji społecznej, podmiotów ekonomii społecznej oraz instytucji rynku pracy i placówek systemu opieki zdrowotnej – łącznie 25 podmiotów. Dodatkowo na etapie testowania rozwiązania w ramach projektu wsparciem objętych zostanie 30 osób bezdomnych (po 10 osób na każde miasto: Wrocław, Gdańsk, Warszawę).</w:t>
      </w:r>
    </w:p>
    <w:p w:rsidR="00CA14AB" w:rsidRPr="00E00B35" w:rsidRDefault="00CA14AB" w:rsidP="00E00B35">
      <w:pPr>
        <w:spacing w:after="0" w:line="312" w:lineRule="auto"/>
        <w:rPr>
          <w:szCs w:val="20"/>
        </w:rPr>
      </w:pPr>
      <w:r w:rsidRPr="00E00B35">
        <w:rPr>
          <w:szCs w:val="20"/>
        </w:rPr>
        <w:t xml:space="preserve">Celem głównym jest wdrożenie nowego rozwiązania o zasięgu ogólnopolskim, metody „Housing first”, powstałego dzięki współpracy z partnerem zagranicznym z Portugalii, </w:t>
      </w:r>
      <w:r w:rsidRPr="00E00B35">
        <w:rPr>
          <w:szCs w:val="20"/>
        </w:rPr>
        <w:br/>
        <w:t>w obszarze rozwiązywania problemu bezdomności w okresie 30 miesięcy realizacji projektu.</w:t>
      </w:r>
    </w:p>
    <w:p w:rsidR="00CA14AB" w:rsidRPr="00E00B35" w:rsidRDefault="00CA14AB" w:rsidP="00E00B35">
      <w:pPr>
        <w:spacing w:after="0" w:line="312" w:lineRule="auto"/>
        <w:rPr>
          <w:szCs w:val="20"/>
        </w:rPr>
      </w:pPr>
      <w:r w:rsidRPr="00E00B35">
        <w:rPr>
          <w:szCs w:val="20"/>
        </w:rPr>
        <w:t>Projekt zakłada następujące działania/etapy realizacji projektu:</w:t>
      </w:r>
    </w:p>
    <w:p w:rsidR="00CA14AB" w:rsidRPr="00E00B35" w:rsidRDefault="00CA14AB" w:rsidP="00E00B35">
      <w:pPr>
        <w:spacing w:after="0" w:line="312" w:lineRule="auto"/>
        <w:rPr>
          <w:rFonts w:eastAsia="Calibri"/>
          <w:szCs w:val="20"/>
        </w:rPr>
      </w:pPr>
      <w:r w:rsidRPr="00E00B35">
        <w:rPr>
          <w:rFonts w:eastAsia="Calibri"/>
          <w:szCs w:val="20"/>
        </w:rPr>
        <w:t>1. Przygotowanie rozwiązania we współpracy z partnerem ponadnarodowym – VII 2019 – XII 2019.</w:t>
      </w:r>
    </w:p>
    <w:p w:rsidR="00CA14AB" w:rsidRPr="00E00B35" w:rsidRDefault="00CA14AB" w:rsidP="00E00B35">
      <w:pPr>
        <w:spacing w:after="0" w:line="312" w:lineRule="auto"/>
        <w:rPr>
          <w:rFonts w:eastAsia="Calibri"/>
          <w:szCs w:val="20"/>
        </w:rPr>
      </w:pPr>
      <w:r w:rsidRPr="00E00B35">
        <w:rPr>
          <w:rFonts w:eastAsia="Calibri"/>
          <w:szCs w:val="20"/>
        </w:rPr>
        <w:t>2.</w:t>
      </w:r>
      <w:r w:rsidR="001F4CB6" w:rsidRPr="00E00B35">
        <w:rPr>
          <w:rFonts w:eastAsia="Calibri"/>
          <w:szCs w:val="20"/>
        </w:rPr>
        <w:t xml:space="preserve"> </w:t>
      </w:r>
      <w:r w:rsidRPr="00E00B35">
        <w:rPr>
          <w:rFonts w:eastAsia="Calibri"/>
          <w:szCs w:val="20"/>
        </w:rPr>
        <w:t>Testowanie nowego rozwiązania – I 2020 – VI 2021.</w:t>
      </w:r>
      <w:r w:rsidRPr="00E00B35">
        <w:rPr>
          <w:szCs w:val="20"/>
        </w:rPr>
        <w:t xml:space="preserve"> </w:t>
      </w:r>
    </w:p>
    <w:p w:rsidR="00CA14AB" w:rsidRPr="00E00B35" w:rsidRDefault="00CA14AB" w:rsidP="00E00B35">
      <w:pPr>
        <w:spacing w:after="0" w:line="312" w:lineRule="auto"/>
        <w:rPr>
          <w:rFonts w:eastAsia="Calibri"/>
          <w:szCs w:val="20"/>
        </w:rPr>
      </w:pPr>
      <w:r w:rsidRPr="00E00B35">
        <w:rPr>
          <w:rFonts w:eastAsia="Calibri"/>
          <w:szCs w:val="20"/>
        </w:rPr>
        <w:t>3. Analiza efektów testowanego rozwiązania z uwzględnieniem opinii eksperta/ów oraz wsparcia partnera ponadnarodowego – I 2021 - VI 2021.</w:t>
      </w:r>
    </w:p>
    <w:p w:rsidR="00CA14AB" w:rsidRPr="00E00B35" w:rsidRDefault="00CA14AB" w:rsidP="00E00B35">
      <w:pPr>
        <w:spacing w:after="0" w:line="312" w:lineRule="auto"/>
        <w:rPr>
          <w:rFonts w:eastAsia="Calibri"/>
          <w:szCs w:val="20"/>
        </w:rPr>
      </w:pPr>
      <w:r w:rsidRPr="00E00B35">
        <w:rPr>
          <w:rFonts w:eastAsia="Calibri"/>
          <w:szCs w:val="20"/>
        </w:rPr>
        <w:t>4.</w:t>
      </w:r>
      <w:r w:rsidR="001F4CB6" w:rsidRPr="00E00B35">
        <w:rPr>
          <w:rFonts w:eastAsia="Calibri"/>
          <w:szCs w:val="20"/>
        </w:rPr>
        <w:t xml:space="preserve"> </w:t>
      </w:r>
      <w:r w:rsidRPr="00E00B35">
        <w:rPr>
          <w:rFonts w:eastAsia="Calibri"/>
          <w:szCs w:val="20"/>
        </w:rPr>
        <w:t>Opracowanie ostatecznej wersji wdrożeniowej rozwiązania – I 2021 – VI 2021.</w:t>
      </w:r>
    </w:p>
    <w:p w:rsidR="00CA14AB" w:rsidRPr="00E00B35" w:rsidRDefault="00CA14AB" w:rsidP="00E00B35">
      <w:pPr>
        <w:spacing w:after="0" w:line="312" w:lineRule="auto"/>
        <w:rPr>
          <w:rFonts w:eastAsia="Calibri"/>
          <w:szCs w:val="20"/>
        </w:rPr>
      </w:pPr>
      <w:r w:rsidRPr="00E00B35">
        <w:rPr>
          <w:rFonts w:eastAsia="Calibri"/>
          <w:szCs w:val="20"/>
        </w:rPr>
        <w:t>5.</w:t>
      </w:r>
      <w:r w:rsidR="001F4CB6" w:rsidRPr="00E00B35">
        <w:rPr>
          <w:rFonts w:eastAsia="Calibri"/>
          <w:szCs w:val="20"/>
        </w:rPr>
        <w:t xml:space="preserve"> </w:t>
      </w:r>
      <w:r w:rsidRPr="00E00B35">
        <w:rPr>
          <w:rFonts w:eastAsia="Calibri"/>
          <w:szCs w:val="20"/>
        </w:rPr>
        <w:t xml:space="preserve">Wdrożenie rozwiązania do praktyki, z wsparciem partnera ponadnarodowego XII 2021 – XII 2021.   </w:t>
      </w:r>
    </w:p>
    <w:p w:rsidR="00CA14AB" w:rsidRPr="00E00B35" w:rsidRDefault="00CA14AB" w:rsidP="00E00B35">
      <w:pPr>
        <w:spacing w:after="0" w:line="312" w:lineRule="auto"/>
        <w:rPr>
          <w:szCs w:val="20"/>
        </w:rPr>
      </w:pPr>
      <w:r w:rsidRPr="00E00B35">
        <w:rPr>
          <w:rFonts w:eastAsia="Calibri"/>
          <w:szCs w:val="20"/>
        </w:rPr>
        <w:lastRenderedPageBreak/>
        <w:t>6. Wypracowanie rekomendacji dla instytucji użytkownika – VII 2021 – XII 202</w:t>
      </w:r>
      <w:r w:rsidRPr="00E00B35">
        <w:rPr>
          <w:szCs w:val="20"/>
        </w:rPr>
        <w:t xml:space="preserve">1.  </w:t>
      </w:r>
    </w:p>
    <w:p w:rsidR="00CA14AB" w:rsidRPr="00E00B35" w:rsidRDefault="00CA14AB" w:rsidP="00E00B35">
      <w:pPr>
        <w:spacing w:after="0" w:line="312" w:lineRule="auto"/>
        <w:rPr>
          <w:szCs w:val="20"/>
        </w:rPr>
      </w:pPr>
      <w:r w:rsidRPr="00E00B35">
        <w:rPr>
          <w:szCs w:val="20"/>
        </w:rPr>
        <w:t>W pierwszym etapie realizacji projektu zorganizowano wizytę studyjną u partnera ponadnarodowego w Lizbonie w celu zapoznania uczestników z Polski z portugalską metodą pracy z osobami bezdomnymi, która transferowana będzie na grunt polski. Na tej podstawie przygotowano wersję nowego modelu usamodzielnienia osób bezdomnych. Zrekrutowano osoby bezdomne, które biorą udział w testowaniu nowego modelu pracy. Zarząd Zasobu Komunalnego wraz z MOPS w imieniu Gminy Wrocław wyremontował na potrzeby realizacji projektów 3 mieszkania. Koszt remontów wraz z wyposażeniem mieszkań wyniósł 148 576,16 zł, z czego dotacja UE to 36 000,00 zł.</w:t>
      </w:r>
    </w:p>
    <w:p w:rsidR="00CA14AB" w:rsidRPr="00E00B35" w:rsidRDefault="00CA14AB" w:rsidP="00E00B35">
      <w:pPr>
        <w:spacing w:after="0" w:line="312" w:lineRule="auto"/>
        <w:rPr>
          <w:szCs w:val="20"/>
        </w:rPr>
      </w:pPr>
      <w:r w:rsidRPr="00E00B35">
        <w:rPr>
          <w:szCs w:val="20"/>
        </w:rPr>
        <w:t xml:space="preserve">Projekt realizowany jest zgodnie z założeniami i modyfikacjami wynikającymi z potrzeby dostosowania się do obostrzeń wynikających z epidemii związanej z wirusem SARS-CoV-2. Okres realizacji 2 etapu projektu został wydłużony do IX 2021. Obecnie 10 mieszkań zostało przekazanych do dyspozycji uczestników projektu – 3 mieszkania z zasobu komunalnego gminy oraz 7 wynajmowanych na wolnym rynku w ramach projektu. </w:t>
      </w:r>
      <w:r w:rsidRPr="00E00B35">
        <w:rPr>
          <w:szCs w:val="20"/>
        </w:rPr>
        <w:br/>
        <w:t xml:space="preserve">W ramach prac grupy badawczej zostały przeprowadzone badanie wśród beneficjentów projektu, trwają natomiast prace dotyczące kontynuacji realizacji projektu.  </w:t>
      </w:r>
    </w:p>
    <w:p w:rsidR="00CA14AB" w:rsidRPr="00E00B35" w:rsidRDefault="00CA14AB" w:rsidP="00E00B35">
      <w:pPr>
        <w:spacing w:after="0" w:line="312" w:lineRule="auto"/>
        <w:rPr>
          <w:szCs w:val="20"/>
        </w:rPr>
      </w:pPr>
      <w:r w:rsidRPr="00E00B35">
        <w:rPr>
          <w:szCs w:val="20"/>
        </w:rPr>
        <w:t>Łączna wartość projektu: 5 574 025,60 zł, w tym budżet MOPS - wynosi 307 625,00 zł.</w:t>
      </w:r>
    </w:p>
    <w:p w:rsidR="00CA14AB" w:rsidRPr="00E00B35" w:rsidRDefault="00CA14AB" w:rsidP="00E00B35">
      <w:pPr>
        <w:spacing w:after="0" w:line="312" w:lineRule="auto"/>
        <w:rPr>
          <w:szCs w:val="20"/>
        </w:rPr>
      </w:pPr>
      <w:r w:rsidRPr="00E00B35">
        <w:rPr>
          <w:szCs w:val="20"/>
        </w:rPr>
        <w:t xml:space="preserve">Dofinansowanie z UE: 5 391 745,60 zł, w tym MOPS to 252 625,00 zł. </w:t>
      </w:r>
    </w:p>
    <w:p w:rsidR="00CA14AB" w:rsidRPr="00E00B35" w:rsidRDefault="00CA14AB" w:rsidP="00E00B35">
      <w:pPr>
        <w:spacing w:after="0" w:line="312" w:lineRule="auto"/>
        <w:rPr>
          <w:szCs w:val="20"/>
        </w:rPr>
      </w:pPr>
      <w:r w:rsidRPr="00E00B35">
        <w:rPr>
          <w:szCs w:val="20"/>
        </w:rPr>
        <w:t>Okres realizacji projektu: od 01.07.2019</w:t>
      </w:r>
      <w:r w:rsidR="001F4CB6" w:rsidRPr="00E00B35">
        <w:rPr>
          <w:szCs w:val="20"/>
        </w:rPr>
        <w:t xml:space="preserve"> </w:t>
      </w:r>
      <w:r w:rsidRPr="00E00B35">
        <w:rPr>
          <w:szCs w:val="20"/>
        </w:rPr>
        <w:t>r. do 31.12.2021</w:t>
      </w:r>
      <w:r w:rsidR="001F4CB6" w:rsidRPr="00E00B35">
        <w:rPr>
          <w:szCs w:val="20"/>
        </w:rPr>
        <w:t xml:space="preserve"> </w:t>
      </w:r>
      <w:r w:rsidRPr="00E00B35">
        <w:rPr>
          <w:szCs w:val="20"/>
        </w:rPr>
        <w:t xml:space="preserve">r. </w:t>
      </w:r>
    </w:p>
    <w:p w:rsidR="00CA14AB" w:rsidRPr="00E00B35" w:rsidRDefault="00CA14AB" w:rsidP="00E00B35">
      <w:pPr>
        <w:spacing w:after="0" w:line="312" w:lineRule="auto"/>
        <w:rPr>
          <w:szCs w:val="20"/>
        </w:rPr>
      </w:pPr>
      <w:r w:rsidRPr="00E00B35">
        <w:rPr>
          <w:szCs w:val="20"/>
        </w:rPr>
        <w:t>Projekt „Droga do samodzielności – stworzenie 30 miejsc świadczenia usług społecznych w ramach 6 mieszkań treningowych na obszarze Miasta Wrocławia”</w:t>
      </w:r>
    </w:p>
    <w:p w:rsidR="00CA14AB" w:rsidRPr="00E00B35" w:rsidRDefault="00CA14AB" w:rsidP="00E00B35">
      <w:pPr>
        <w:spacing w:after="0" w:line="312" w:lineRule="auto"/>
        <w:rPr>
          <w:szCs w:val="20"/>
        </w:rPr>
      </w:pPr>
      <w:r w:rsidRPr="00E00B35">
        <w:rPr>
          <w:szCs w:val="20"/>
        </w:rPr>
        <w:t xml:space="preserve">Fundacja Inicjowania Rozwoju Społecznego w partnerstwie z Gminą Wrocław – Miejskim Ośrodkiem Pomocy Społecznej we Wrocławiu realizuje projekt </w:t>
      </w:r>
      <w:r w:rsidRPr="00E00B35">
        <w:rPr>
          <w:rFonts w:eastAsia="Arial Narrow"/>
          <w:szCs w:val="20"/>
        </w:rPr>
        <w:t xml:space="preserve">„Droga do samodzielności – stworzenie 30 miejsc świadczenia usług społecznych w ramach 6 mieszkań treningowych na obszarze Miasta Wrocławia”. </w:t>
      </w:r>
      <w:r w:rsidRPr="00E00B35">
        <w:rPr>
          <w:szCs w:val="20"/>
        </w:rPr>
        <w:t xml:space="preserve">Projekt współfinansowany jest ze środków Europejskiego Funduszu Społecznego w ramach Regionalnego Programu Operacyjnego Województwa Dolnośląskiego na lata 2014-2020, Oś priorytetowa </w:t>
      </w:r>
      <w:r w:rsidRPr="00E00B35">
        <w:rPr>
          <w:szCs w:val="20"/>
        </w:rPr>
        <w:br/>
        <w:t>9: Włączenie Społeczne, Działanie 9.2: Dostęp do wysokiej jakości usług społecznych.</w:t>
      </w:r>
    </w:p>
    <w:p w:rsidR="00CA14AB" w:rsidRPr="00E00B35" w:rsidRDefault="00CA14AB" w:rsidP="00E00B35">
      <w:pPr>
        <w:spacing w:after="0" w:line="312" w:lineRule="auto"/>
        <w:rPr>
          <w:rFonts w:eastAsia="Arial Narrow"/>
          <w:szCs w:val="20"/>
        </w:rPr>
      </w:pPr>
      <w:r w:rsidRPr="00E00B35">
        <w:rPr>
          <w:rFonts w:eastAsia="Arial Narrow"/>
          <w:szCs w:val="20"/>
        </w:rPr>
        <w:t xml:space="preserve">Celem projektu jest zwiększenie dostępu do mieszkalnictwa wspomaganego poprzez utworzenie 6 mieszkań treningowych oraz wsparcie 120 osób zagrożonych ubóstwem lub wykluczeniem społecznym. Uczestnicy projektu otrzymają więc nie tylko możliwość pobytu w mieszkaniach treningowych (śr. przez 3 miesiące, maks. do 6 miesięcy), ale też zapewnione zostaną im usługi treningowe i pomoc, szczególnie osobom niesamodzielnym. </w:t>
      </w:r>
    </w:p>
    <w:p w:rsidR="00CA14AB" w:rsidRPr="00E00B35" w:rsidRDefault="00CA14AB" w:rsidP="00E00B35">
      <w:pPr>
        <w:spacing w:after="0" w:line="312" w:lineRule="auto"/>
        <w:rPr>
          <w:rFonts w:eastAsia="Arial Narrow"/>
          <w:szCs w:val="20"/>
        </w:rPr>
      </w:pPr>
      <w:r w:rsidRPr="00E00B35">
        <w:rPr>
          <w:rFonts w:eastAsia="Arial Narrow"/>
          <w:szCs w:val="20"/>
        </w:rPr>
        <w:t xml:space="preserve">Realizacja projektu przede wszystkim ma przyczynić się do wzrostu samodzielności wśród jego uczestników, którymi mogą stać się m.in. osoby wymagające pomocy i usług asystenckich, wielokrotnie wykluczone społecznie, o znacznym lub umiarkowanym stopniu niepełnosprawności, osoby, których dochód nie przekracza 150% kryterium dochodowego przewidzianego przez ustawę o pomocy społecznej, długotrwale bezrobotne, uzależnione od substancji lub od czynności po zakończonym leczeniu </w:t>
      </w:r>
      <w:r w:rsidRPr="00E00B35">
        <w:rPr>
          <w:rFonts w:eastAsia="Arial Narrow"/>
          <w:szCs w:val="20"/>
        </w:rPr>
        <w:br/>
        <w:t xml:space="preserve">w specjalistycznej instytucji, opuszczające pieczę zastępczą, samotni rodzice lub rodzice mający problemy opiekuńczo-wychowawcze. Uczestnicy projektu objęci są kompleksowym wsparciem wykwalifikowanej kadry. Mają także możliwość wzięcia udziału </w:t>
      </w:r>
      <w:r w:rsidRPr="00E00B35">
        <w:rPr>
          <w:rFonts w:eastAsia="Arial Narrow"/>
          <w:szCs w:val="20"/>
        </w:rPr>
        <w:lastRenderedPageBreak/>
        <w:t>w następujących formach wsparcia: określenie indywidualnego programu usamodzielnienia oraz wsparcie opiekunów mieszkań i pracownika socjalnego, trening umiejętności interpersonalnych i radzenia sobie ze stresem, trening umiejętności praktycznych, takich jak indywidualny trening higieny, kulinarny i nawyków prozdrowotnych, indywidualny trening finansowy i zarządzania mieszkaniem, trening umiejętności spędzania czasu wolnego, realizacja usług wspierających: socjalnych, terapeutycznych, psychologicznych, prawniczych i mediacyjnych, usługi opiekuńcze dla osób niesamodzielnych, wsparcie osób, których problemy związane z zagrożeniem wykluczeniem społecznym wpływają na zaburzenia funkcji wychowawczych i generują powielanie niekorzystnych postaw w następnym pokoleniu.</w:t>
      </w:r>
    </w:p>
    <w:p w:rsidR="00CA14AB" w:rsidRPr="00E00B35" w:rsidRDefault="00CA14AB" w:rsidP="00E00B35">
      <w:pPr>
        <w:spacing w:after="0" w:line="312" w:lineRule="auto"/>
        <w:rPr>
          <w:szCs w:val="20"/>
        </w:rPr>
      </w:pPr>
      <w:r w:rsidRPr="00E00B35">
        <w:rPr>
          <w:szCs w:val="20"/>
        </w:rPr>
        <w:t xml:space="preserve"> W 2020r. w ramach projektu podjęto następujące działania: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od kwietnia do września 2020r. wyremontowano i doposażono 6 mieszkań, przekazanych przez MOPS na cele projektu, w ramach których stworzono 34 miejsca dla osób objętych wsparciem w projekcie;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przeprowadzono rozmowy rekrutacyjne z ponad 60 potencjalnymi osobami kwalifikującymi się do udziału w projekcie;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 ramach pierwszej edycji od września do grudnia 2020r. zakwaterowano 31 osób dorosłych oraz 6 dzieci do gotowych mieszkań, oraz utworzono listę osób rezerwowych, zadeklarowanych do udziału w projekcie;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rozpoczęto pracę z mieszkańcami w ramach zajęć grupowych oraz indywidualne wsparcie. Uczestnicy mają zapewnione indywidualnie wsparcie: prawnika, psychologa, terapeuty, trenera finansowego oraz higieny. Mieszkańcy także w ramach grupowych zajęć szkolili się z umiejętności praktycznych prowadzenia mieszkania, tj.: warsztaty kulinarne, warsztaty sprzątania i umiejętności praktycz</w:t>
      </w:r>
      <w:r w:rsidR="00DC464F" w:rsidRPr="00E00B35">
        <w:rPr>
          <w:szCs w:val="20"/>
        </w:rPr>
        <w:t xml:space="preserve">nych, warsztaty pracy w grupie </w:t>
      </w:r>
      <w:r w:rsidRPr="00E00B35">
        <w:rPr>
          <w:szCs w:val="20"/>
        </w:rPr>
        <w:t>i umiejętności interpersonalnych.</w:t>
      </w:r>
    </w:p>
    <w:p w:rsidR="00CA14AB" w:rsidRPr="00E00B35" w:rsidRDefault="00CA14AB" w:rsidP="00E00B35">
      <w:pPr>
        <w:spacing w:after="0" w:line="312" w:lineRule="auto"/>
        <w:rPr>
          <w:szCs w:val="20"/>
        </w:rPr>
      </w:pPr>
      <w:r w:rsidRPr="00E00B35">
        <w:rPr>
          <w:szCs w:val="20"/>
        </w:rPr>
        <w:t>Łączna wartość projektu: 1 982 285,60 zł, w tym budżet MOPS - wynosi 125 156,74 zł.</w:t>
      </w:r>
    </w:p>
    <w:p w:rsidR="00CA14AB" w:rsidRPr="00E00B35" w:rsidRDefault="00CA14AB" w:rsidP="00E00B35">
      <w:pPr>
        <w:spacing w:after="0" w:line="312" w:lineRule="auto"/>
        <w:rPr>
          <w:szCs w:val="20"/>
        </w:rPr>
      </w:pPr>
      <w:r w:rsidRPr="00E00B35">
        <w:rPr>
          <w:szCs w:val="20"/>
        </w:rPr>
        <w:t xml:space="preserve">Dofinansowanie z UE: 1 878 688,32 zł, w tym MOPS to 20 859,46 zł. </w:t>
      </w:r>
    </w:p>
    <w:p w:rsidR="00CA14AB" w:rsidRPr="00E00B35" w:rsidRDefault="00CA14AB" w:rsidP="00E00B35">
      <w:pPr>
        <w:spacing w:after="0" w:line="312" w:lineRule="auto"/>
        <w:rPr>
          <w:szCs w:val="20"/>
        </w:rPr>
      </w:pPr>
      <w:r w:rsidRPr="00E00B35">
        <w:rPr>
          <w:szCs w:val="20"/>
        </w:rPr>
        <w:t>Okres realizacji projektu: od 01.03.2019r. do 28.02.2022r.</w:t>
      </w:r>
    </w:p>
    <w:p w:rsidR="00CA14AB" w:rsidRPr="00E00B35" w:rsidRDefault="00CA14AB" w:rsidP="00E00B35">
      <w:pPr>
        <w:spacing w:after="0" w:line="312" w:lineRule="auto"/>
        <w:rPr>
          <w:szCs w:val="20"/>
        </w:rPr>
      </w:pPr>
      <w:r w:rsidRPr="00E00B35">
        <w:rPr>
          <w:szCs w:val="20"/>
        </w:rPr>
        <w:t>Złożone w 2020r. wnioski o dotację na realizację działań dofinansowanych ze środków krajowych lub unijnych – MOPS jako Wnioskodawca lub Partner</w:t>
      </w:r>
    </w:p>
    <w:tbl>
      <w:tblPr>
        <w:tblW w:w="11055" w:type="dxa"/>
        <w:jc w:val="center"/>
        <w:tblLayout w:type="fixed"/>
        <w:tblCellMar>
          <w:left w:w="70" w:type="dxa"/>
          <w:right w:w="70" w:type="dxa"/>
        </w:tblCellMar>
        <w:tblLook w:val="04A0"/>
      </w:tblPr>
      <w:tblGrid>
        <w:gridCol w:w="422"/>
        <w:gridCol w:w="851"/>
        <w:gridCol w:w="1277"/>
        <w:gridCol w:w="1276"/>
        <w:gridCol w:w="1559"/>
        <w:gridCol w:w="1131"/>
        <w:gridCol w:w="1134"/>
        <w:gridCol w:w="1137"/>
        <w:gridCol w:w="1134"/>
        <w:gridCol w:w="1134"/>
      </w:tblGrid>
      <w:tr w:rsidR="00CA14AB" w:rsidRPr="00E00B35" w:rsidTr="00CA14AB">
        <w:trPr>
          <w:trHeight w:val="981"/>
          <w:jc w:val="center"/>
        </w:trPr>
        <w:tc>
          <w:tcPr>
            <w:tcW w:w="422"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Lp</w:t>
            </w:r>
          </w:p>
        </w:tc>
        <w:tc>
          <w:tcPr>
            <w:tcW w:w="851" w:type="dxa"/>
            <w:tcBorders>
              <w:top w:val="single" w:sz="4" w:space="0" w:color="auto"/>
              <w:left w:val="nil"/>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Wniosko-dawca</w:t>
            </w:r>
          </w:p>
        </w:tc>
        <w:tc>
          <w:tcPr>
            <w:tcW w:w="1277" w:type="dxa"/>
            <w:tcBorders>
              <w:top w:val="single" w:sz="4" w:space="0" w:color="auto"/>
              <w:left w:val="nil"/>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Tytuł</w:t>
            </w:r>
          </w:p>
        </w:tc>
        <w:tc>
          <w:tcPr>
            <w:tcW w:w="1276" w:type="dxa"/>
            <w:tcBorders>
              <w:top w:val="single" w:sz="4" w:space="0" w:color="auto"/>
              <w:left w:val="nil"/>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Grupa docelowa</w:t>
            </w:r>
          </w:p>
        </w:tc>
        <w:tc>
          <w:tcPr>
            <w:tcW w:w="1559" w:type="dxa"/>
            <w:tcBorders>
              <w:top w:val="single" w:sz="4" w:space="0" w:color="auto"/>
              <w:left w:val="nil"/>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Zakres projektu</w:t>
            </w:r>
          </w:p>
        </w:tc>
        <w:tc>
          <w:tcPr>
            <w:tcW w:w="1131" w:type="dxa"/>
            <w:tcBorders>
              <w:top w:val="single" w:sz="4" w:space="0" w:color="auto"/>
              <w:left w:val="nil"/>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Ogólna kwota projektu [zł]</w:t>
            </w:r>
          </w:p>
        </w:tc>
        <w:tc>
          <w:tcPr>
            <w:tcW w:w="1134" w:type="dxa"/>
            <w:tcBorders>
              <w:top w:val="single" w:sz="4" w:space="0" w:color="auto"/>
              <w:left w:val="nil"/>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Kwota dotacji [zł]</w:t>
            </w:r>
          </w:p>
        </w:tc>
        <w:tc>
          <w:tcPr>
            <w:tcW w:w="1137" w:type="dxa"/>
            <w:tcBorders>
              <w:top w:val="single" w:sz="4" w:space="0" w:color="auto"/>
              <w:left w:val="nil"/>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Jednostka Kontraktująca/nazwa programu</w:t>
            </w:r>
          </w:p>
          <w:p w:rsidR="00CA14AB" w:rsidRPr="00E00B35" w:rsidRDefault="00CA14AB" w:rsidP="00E00B35">
            <w:pPr>
              <w:spacing w:after="0" w:line="312" w:lineRule="auto"/>
              <w:rPr>
                <w:szCs w:val="20"/>
              </w:rPr>
            </w:pPr>
            <w:r w:rsidRPr="00E00B35">
              <w:rPr>
                <w:szCs w:val="20"/>
              </w:rPr>
              <w:t xml:space="preserve"> </w:t>
            </w:r>
          </w:p>
        </w:tc>
        <w:tc>
          <w:tcPr>
            <w:tcW w:w="1134" w:type="dxa"/>
            <w:tcBorders>
              <w:top w:val="single" w:sz="4" w:space="0" w:color="auto"/>
              <w:left w:val="nil"/>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Partnerzy /</w:t>
            </w:r>
          </w:p>
          <w:p w:rsidR="00CA14AB" w:rsidRPr="00E00B35" w:rsidRDefault="00CA14AB" w:rsidP="00E00B35">
            <w:pPr>
              <w:spacing w:after="0" w:line="312" w:lineRule="auto"/>
              <w:rPr>
                <w:szCs w:val="20"/>
              </w:rPr>
            </w:pPr>
            <w:r w:rsidRPr="00E00B35">
              <w:rPr>
                <w:szCs w:val="20"/>
              </w:rPr>
              <w:t>Organizacje współuczestniczące</w:t>
            </w:r>
          </w:p>
        </w:tc>
        <w:tc>
          <w:tcPr>
            <w:tcW w:w="1134" w:type="dxa"/>
            <w:tcBorders>
              <w:top w:val="single" w:sz="4" w:space="0" w:color="auto"/>
              <w:left w:val="nil"/>
              <w:bottom w:val="single" w:sz="4" w:space="0" w:color="auto"/>
              <w:right w:val="single" w:sz="4" w:space="0" w:color="auto"/>
            </w:tcBorders>
            <w:shd w:val="clear" w:color="auto" w:fill="E7E6E6"/>
            <w:vAlign w:val="center"/>
            <w:hideMark/>
          </w:tcPr>
          <w:p w:rsidR="00CA14AB" w:rsidRPr="00E00B35" w:rsidRDefault="00CA14AB" w:rsidP="00E00B35">
            <w:pPr>
              <w:spacing w:after="0" w:line="312" w:lineRule="auto"/>
              <w:rPr>
                <w:szCs w:val="20"/>
              </w:rPr>
            </w:pPr>
            <w:r w:rsidRPr="00E00B35">
              <w:rPr>
                <w:szCs w:val="20"/>
              </w:rPr>
              <w:t>Sposób załatwienia</w:t>
            </w:r>
          </w:p>
        </w:tc>
      </w:tr>
      <w:tr w:rsidR="00CA14AB" w:rsidRPr="00E00B35" w:rsidTr="00CA14AB">
        <w:trPr>
          <w:trHeight w:val="981"/>
          <w:jc w:val="center"/>
        </w:trPr>
        <w:tc>
          <w:tcPr>
            <w:tcW w:w="422" w:type="dxa"/>
            <w:tcBorders>
              <w:top w:val="single" w:sz="4" w:space="0" w:color="auto"/>
              <w:left w:val="single" w:sz="4" w:space="0" w:color="auto"/>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1</w:t>
            </w:r>
          </w:p>
        </w:tc>
        <w:tc>
          <w:tcPr>
            <w:tcW w:w="851"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Gmina Wrocław</w:t>
            </w:r>
          </w:p>
        </w:tc>
        <w:tc>
          <w:tcPr>
            <w:tcW w:w="1277"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Zadanie publiczne pn. „Zapewnienie funkcjono</w:t>
            </w:r>
            <w:r w:rsidRPr="00E00B35">
              <w:rPr>
                <w:szCs w:val="20"/>
              </w:rPr>
              <w:lastRenderedPageBreak/>
              <w:t xml:space="preserve">wa-nia Dziennego Domu Senior +” w ramach PROGRAMU WIELOLETNIE-GO „SENIOR +” NA LATA 2015-2020, </w:t>
            </w:r>
          </w:p>
          <w:p w:rsidR="00CA14AB" w:rsidRPr="00E00B35" w:rsidRDefault="00CA14AB" w:rsidP="00E00B35">
            <w:pPr>
              <w:spacing w:after="0" w:line="312" w:lineRule="auto"/>
              <w:rPr>
                <w:szCs w:val="20"/>
              </w:rPr>
            </w:pPr>
            <w:r w:rsidRPr="00E00B35">
              <w:rPr>
                <w:szCs w:val="20"/>
              </w:rPr>
              <w:t>Edycja 2020</w:t>
            </w:r>
          </w:p>
        </w:tc>
        <w:tc>
          <w:tcPr>
            <w:tcW w:w="1276"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lastRenderedPageBreak/>
              <w:t xml:space="preserve">28 osób w wieku powyżej 60r. życia, nieaktywnych </w:t>
            </w:r>
            <w:r w:rsidRPr="00E00B35">
              <w:rPr>
                <w:szCs w:val="20"/>
              </w:rPr>
              <w:lastRenderedPageBreak/>
              <w:t>zawodowo, w tym cierpiących na choroby neurodegenera-cyjne (otępienne) we wczesnej fazie.</w:t>
            </w:r>
          </w:p>
        </w:tc>
        <w:tc>
          <w:tcPr>
            <w:tcW w:w="1559"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lastRenderedPageBreak/>
              <w:t xml:space="preserve">Prowadzenie działań w ramach utworzonego Dziennego Domu Senior </w:t>
            </w:r>
            <w:r w:rsidRPr="00E00B35">
              <w:rPr>
                <w:szCs w:val="20"/>
              </w:rPr>
              <w:lastRenderedPageBreak/>
              <w:t xml:space="preserve">+ </w:t>
            </w:r>
          </w:p>
          <w:p w:rsidR="00CA14AB" w:rsidRPr="00E00B35" w:rsidRDefault="00CA14AB" w:rsidP="00E00B35">
            <w:pPr>
              <w:spacing w:after="0" w:line="312" w:lineRule="auto"/>
              <w:rPr>
                <w:szCs w:val="20"/>
              </w:rPr>
            </w:pPr>
            <w:r w:rsidRPr="00E00B35">
              <w:rPr>
                <w:szCs w:val="20"/>
              </w:rPr>
              <w:t>(zajęcia rekreacyjne, zajęcia rehabilitacyjno-gimnastyczne, zajęcia plastyczne i artystyczne,  usługi pielęgniarsko-opiekuńcze, wsparcie psychologiczne, zapewnienie gorącego posiłku)</w:t>
            </w:r>
          </w:p>
        </w:tc>
        <w:tc>
          <w:tcPr>
            <w:tcW w:w="1131"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351 000,00</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100 800,00</w:t>
            </w:r>
          </w:p>
        </w:tc>
        <w:tc>
          <w:tcPr>
            <w:tcW w:w="113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Ministerstwo Rodziny </w:t>
            </w:r>
            <w:r w:rsidRPr="00E00B35">
              <w:rPr>
                <w:szCs w:val="20"/>
              </w:rPr>
              <w:br/>
              <w:t>i Polityki Społecznej</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Program Wieloletni „SENIOR +” na lata 2015-2020, </w:t>
            </w:r>
          </w:p>
          <w:p w:rsidR="00CA14AB" w:rsidRPr="00E00B35" w:rsidRDefault="00CA14AB" w:rsidP="00E00B35">
            <w:pPr>
              <w:spacing w:after="0" w:line="312" w:lineRule="auto"/>
              <w:rPr>
                <w:szCs w:val="20"/>
              </w:rPr>
            </w:pPr>
            <w:r w:rsidRPr="00E00B35">
              <w:rPr>
                <w:szCs w:val="20"/>
              </w:rPr>
              <w:t xml:space="preserve">Edycja 2020 </w:t>
            </w:r>
          </w:p>
        </w:tc>
        <w:tc>
          <w:tcPr>
            <w:tcW w:w="1134"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lastRenderedPageBreak/>
              <w:t>Parafia Ewangelicko-Augsburska Opatrzno</w:t>
            </w:r>
            <w:r w:rsidRPr="00E00B35">
              <w:rPr>
                <w:szCs w:val="20"/>
              </w:rPr>
              <w:lastRenderedPageBreak/>
              <w:t xml:space="preserve">ści Bożej - zlecenie zadania publicznego w ramach konkursu ofert na podstawie ustawy </w:t>
            </w:r>
          </w:p>
          <w:p w:rsidR="00CA14AB" w:rsidRPr="00E00B35" w:rsidRDefault="00CA14AB" w:rsidP="00E00B35">
            <w:pPr>
              <w:spacing w:after="0" w:line="312" w:lineRule="auto"/>
              <w:rPr>
                <w:szCs w:val="20"/>
              </w:rPr>
            </w:pPr>
            <w:r w:rsidRPr="00E00B35">
              <w:rPr>
                <w:szCs w:val="20"/>
              </w:rPr>
              <w:t xml:space="preserve">o pożytku publicznym </w:t>
            </w:r>
          </w:p>
          <w:p w:rsidR="00CA14AB" w:rsidRPr="00E00B35" w:rsidRDefault="00CA14AB" w:rsidP="00E00B35">
            <w:pPr>
              <w:spacing w:after="0" w:line="312" w:lineRule="auto"/>
              <w:rPr>
                <w:szCs w:val="20"/>
              </w:rPr>
            </w:pPr>
            <w:r w:rsidRPr="00E00B35">
              <w:rPr>
                <w:szCs w:val="20"/>
              </w:rPr>
              <w:t xml:space="preserve">i o wolontariacie  </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 xml:space="preserve">POZYTYWNY </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projekt otrzymał dofinanso</w:t>
            </w:r>
            <w:r w:rsidRPr="00E00B35">
              <w:rPr>
                <w:szCs w:val="20"/>
              </w:rPr>
              <w:lastRenderedPageBreak/>
              <w:t>wa-nie</w:t>
            </w:r>
          </w:p>
        </w:tc>
      </w:tr>
      <w:tr w:rsidR="00CA14AB" w:rsidRPr="00E00B35" w:rsidTr="00CA14AB">
        <w:trPr>
          <w:trHeight w:val="1701"/>
          <w:jc w:val="center"/>
        </w:trPr>
        <w:tc>
          <w:tcPr>
            <w:tcW w:w="422" w:type="dxa"/>
            <w:tcBorders>
              <w:top w:val="single" w:sz="4" w:space="0" w:color="auto"/>
              <w:left w:val="single" w:sz="4" w:space="0" w:color="auto"/>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lastRenderedPageBreak/>
              <w:t xml:space="preserve">2 </w:t>
            </w:r>
          </w:p>
        </w:tc>
        <w:tc>
          <w:tcPr>
            <w:tcW w:w="851"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Gmina Wrocław</w:t>
            </w:r>
          </w:p>
          <w:p w:rsidR="00CA14AB" w:rsidRPr="00E00B35" w:rsidRDefault="00CA14AB" w:rsidP="00E00B35">
            <w:pPr>
              <w:spacing w:after="0" w:line="312" w:lineRule="auto"/>
              <w:rPr>
                <w:szCs w:val="20"/>
              </w:rPr>
            </w:pPr>
            <w:r w:rsidRPr="00E00B35">
              <w:rPr>
                <w:szCs w:val="20"/>
              </w:rPr>
              <w:t>(MOPS)</w:t>
            </w:r>
          </w:p>
        </w:tc>
        <w:tc>
          <w:tcPr>
            <w:tcW w:w="127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Zadanie publiczne </w:t>
            </w:r>
            <w:r w:rsidRPr="00E00B35">
              <w:rPr>
                <w:szCs w:val="20"/>
              </w:rPr>
              <w:br/>
              <w:t>w ramach „Asystent rodziny na rok 2020”</w:t>
            </w:r>
          </w:p>
          <w:p w:rsidR="00CA14AB" w:rsidRPr="00E00B35" w:rsidRDefault="00CA14AB" w:rsidP="00E00B35">
            <w:pPr>
              <w:spacing w:after="0" w:line="312" w:lineRule="auto"/>
              <w:rPr>
                <w:szCs w:val="20"/>
              </w:rPr>
            </w:pPr>
          </w:p>
        </w:tc>
        <w:tc>
          <w:tcPr>
            <w:tcW w:w="127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Asystenci  rodziny aktywnie działających w okresie zwalczania pandemii Covid-19.</w:t>
            </w:r>
          </w:p>
        </w:tc>
        <w:tc>
          <w:tcPr>
            <w:tcW w:w="1559"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Dofinansowanie jednorazowego dodatku do wynagrodzenia dla asystentów rodziny</w:t>
            </w:r>
          </w:p>
        </w:tc>
        <w:tc>
          <w:tcPr>
            <w:tcW w:w="1131"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32 300,00</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32 300,00</w:t>
            </w:r>
          </w:p>
        </w:tc>
        <w:tc>
          <w:tcPr>
            <w:tcW w:w="113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Ministerstwo Rodziny </w:t>
            </w:r>
            <w:r w:rsidRPr="00E00B35">
              <w:rPr>
                <w:szCs w:val="20"/>
              </w:rPr>
              <w:br/>
              <w:t>i Polityki Społecznej</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„Asystent rodziny na rok 2020”</w:t>
            </w:r>
          </w:p>
        </w:tc>
        <w:tc>
          <w:tcPr>
            <w:tcW w:w="1134"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Brak</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POZYTYWNY </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projekt otrzymał dofinansowa-nie</w:t>
            </w:r>
          </w:p>
        </w:tc>
      </w:tr>
      <w:tr w:rsidR="00CA14AB" w:rsidRPr="00E00B35" w:rsidTr="00CA14AB">
        <w:trPr>
          <w:trHeight w:val="981"/>
          <w:jc w:val="center"/>
        </w:trPr>
        <w:tc>
          <w:tcPr>
            <w:tcW w:w="422" w:type="dxa"/>
            <w:tcBorders>
              <w:top w:val="single" w:sz="4" w:space="0" w:color="auto"/>
              <w:left w:val="single" w:sz="4" w:space="0" w:color="auto"/>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3</w:t>
            </w:r>
          </w:p>
        </w:tc>
        <w:tc>
          <w:tcPr>
            <w:tcW w:w="851"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Gmina Wrocław</w:t>
            </w:r>
          </w:p>
          <w:p w:rsidR="00CA14AB" w:rsidRPr="00E00B35" w:rsidRDefault="00CA14AB" w:rsidP="00E00B35">
            <w:pPr>
              <w:spacing w:after="0" w:line="312" w:lineRule="auto"/>
              <w:rPr>
                <w:szCs w:val="20"/>
              </w:rPr>
            </w:pPr>
          </w:p>
        </w:tc>
        <w:tc>
          <w:tcPr>
            <w:tcW w:w="1277"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 xml:space="preserve">Zadanie publiczne pn.”Opieka wytchnienio-wa we Wrocławiu w 2020r.” w ramach Programu „Opieka wytchnienio-wa” – edycja </w:t>
            </w:r>
            <w:r w:rsidRPr="00E00B35">
              <w:rPr>
                <w:szCs w:val="20"/>
              </w:rPr>
              <w:lastRenderedPageBreak/>
              <w:t>2020</w:t>
            </w:r>
          </w:p>
        </w:tc>
        <w:tc>
          <w:tcPr>
            <w:tcW w:w="1276"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lastRenderedPageBreak/>
              <w:t xml:space="preserve">Rodziny oraz opiekunowie sprawujący bezpośrednią opiekę nad osobami niepełnosprawnymi.  </w:t>
            </w:r>
          </w:p>
          <w:p w:rsidR="00CA14AB" w:rsidRPr="00E00B35" w:rsidRDefault="00CA14AB" w:rsidP="00E00B35">
            <w:pPr>
              <w:spacing w:after="0" w:line="312" w:lineRule="auto"/>
              <w:rPr>
                <w:szCs w:val="20"/>
              </w:rPr>
            </w:pPr>
          </w:p>
        </w:tc>
        <w:tc>
          <w:tcPr>
            <w:tcW w:w="1559"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 xml:space="preserve">Celem głównym projektu jest wspieranie członków rodzin lub opiekunów sprawujących bezpośrednią opiekę nad dziećmi niepełnosprawnymi z </w:t>
            </w:r>
            <w:r w:rsidRPr="00E00B35">
              <w:rPr>
                <w:szCs w:val="20"/>
              </w:rPr>
              <w:lastRenderedPageBreak/>
              <w:t xml:space="preserve">orzeczeniem o niepełnosprawności oraz osobami ze znacznym stopniem niepełnosprawności </w:t>
            </w:r>
          </w:p>
        </w:tc>
        <w:tc>
          <w:tcPr>
            <w:tcW w:w="1131"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lastRenderedPageBreak/>
              <w:t>453 600,00</w:t>
            </w:r>
          </w:p>
        </w:tc>
        <w:tc>
          <w:tcPr>
            <w:tcW w:w="1134"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363 600,00</w:t>
            </w:r>
          </w:p>
        </w:tc>
        <w:tc>
          <w:tcPr>
            <w:tcW w:w="113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Ministerstwo Rodziny </w:t>
            </w:r>
            <w:r w:rsidRPr="00E00B35">
              <w:rPr>
                <w:szCs w:val="20"/>
              </w:rPr>
              <w:br/>
              <w:t>i Polityki Społecznej</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Program „  Opieka wytchnienio-wa” -Edycja 2020</w:t>
            </w:r>
          </w:p>
        </w:tc>
        <w:tc>
          <w:tcPr>
            <w:tcW w:w="1134"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1) Fundacja Eudajmonia</w:t>
            </w:r>
          </w:p>
          <w:p w:rsidR="00CA14AB" w:rsidRPr="00E00B35" w:rsidRDefault="00CA14AB" w:rsidP="00E00B35">
            <w:pPr>
              <w:spacing w:after="0" w:line="312" w:lineRule="auto"/>
              <w:rPr>
                <w:szCs w:val="20"/>
              </w:rPr>
            </w:pPr>
            <w:r w:rsidRPr="00E00B35">
              <w:rPr>
                <w:szCs w:val="20"/>
              </w:rPr>
              <w:t>2)Stowarzy-szenie Bonitum</w:t>
            </w:r>
          </w:p>
          <w:p w:rsidR="00CA14AB" w:rsidRPr="00E00B35" w:rsidRDefault="00CA14AB" w:rsidP="00E00B35">
            <w:pPr>
              <w:spacing w:after="0" w:line="312" w:lineRule="auto"/>
              <w:rPr>
                <w:szCs w:val="20"/>
              </w:rPr>
            </w:pPr>
            <w:r w:rsidRPr="00E00B35">
              <w:rPr>
                <w:szCs w:val="20"/>
              </w:rPr>
              <w:t>3) Fundacja Promyk Słońca</w:t>
            </w:r>
          </w:p>
          <w:p w:rsidR="00CA14AB" w:rsidRPr="00E00B35" w:rsidRDefault="00CA14AB" w:rsidP="00E00B35">
            <w:pPr>
              <w:spacing w:after="0" w:line="312" w:lineRule="auto"/>
              <w:rPr>
                <w:szCs w:val="20"/>
              </w:rPr>
            </w:pPr>
            <w:r w:rsidRPr="00E00B35">
              <w:rPr>
                <w:szCs w:val="20"/>
              </w:rPr>
              <w:t xml:space="preserve">4) Fundacja </w:t>
            </w:r>
            <w:r w:rsidRPr="00E00B35">
              <w:rPr>
                <w:szCs w:val="20"/>
              </w:rPr>
              <w:lastRenderedPageBreak/>
              <w:t>Wrocławskie Hospicjum dla Dzieci</w:t>
            </w:r>
          </w:p>
          <w:p w:rsidR="00CA14AB" w:rsidRPr="00E00B35" w:rsidRDefault="00CA14AB" w:rsidP="00E00B35">
            <w:pPr>
              <w:spacing w:after="0" w:line="312" w:lineRule="auto"/>
              <w:rPr>
                <w:szCs w:val="20"/>
              </w:rPr>
            </w:pPr>
            <w:r w:rsidRPr="00E00B35">
              <w:rPr>
                <w:szCs w:val="20"/>
              </w:rPr>
              <w:t>-zlecenie zadania publicznego w ramach konkursu ofert na podstawie ustawy</w:t>
            </w:r>
          </w:p>
          <w:p w:rsidR="00CA14AB" w:rsidRPr="00E00B35" w:rsidRDefault="00CA14AB" w:rsidP="00E00B35">
            <w:pPr>
              <w:spacing w:after="0" w:line="312" w:lineRule="auto"/>
              <w:rPr>
                <w:szCs w:val="20"/>
              </w:rPr>
            </w:pPr>
            <w:r w:rsidRPr="00E00B35">
              <w:rPr>
                <w:szCs w:val="20"/>
              </w:rPr>
              <w:t>o pożytku publi. i o wolontariacie</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 xml:space="preserve">POZYTYWNY </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projekt otrzymał dofinansowa-nie</w:t>
            </w:r>
          </w:p>
        </w:tc>
      </w:tr>
      <w:tr w:rsidR="00CA14AB" w:rsidRPr="00E00B35" w:rsidTr="00CA14AB">
        <w:trPr>
          <w:trHeight w:val="981"/>
          <w:jc w:val="center"/>
        </w:trPr>
        <w:tc>
          <w:tcPr>
            <w:tcW w:w="422" w:type="dxa"/>
            <w:tcBorders>
              <w:top w:val="single" w:sz="4" w:space="0" w:color="auto"/>
              <w:left w:val="single" w:sz="4" w:space="0" w:color="auto"/>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lastRenderedPageBreak/>
              <w:t>4</w:t>
            </w:r>
          </w:p>
        </w:tc>
        <w:tc>
          <w:tcPr>
            <w:tcW w:w="851"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Gmina Wrocław</w:t>
            </w:r>
          </w:p>
          <w:p w:rsidR="00CA14AB" w:rsidRPr="00E00B35" w:rsidRDefault="00CA14AB" w:rsidP="00E00B35">
            <w:pPr>
              <w:spacing w:after="0" w:line="312" w:lineRule="auto"/>
              <w:rPr>
                <w:szCs w:val="20"/>
              </w:rPr>
            </w:pPr>
          </w:p>
        </w:tc>
        <w:tc>
          <w:tcPr>
            <w:tcW w:w="1277"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 xml:space="preserve">Zadanie publiczne pn. „Pomoc osobom niepełnosprawnym poszkodowa-nym w wyniku żywiołu lub sytuacji kryzysowych wywołanych chorobami zakaźnymi” </w:t>
            </w:r>
          </w:p>
        </w:tc>
        <w:tc>
          <w:tcPr>
            <w:tcW w:w="127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1) osoby niepełnospraw-ne posiadające aktualne orzeczenie o stopniu niepełnospraw-ności (lub orzeczenie równoważne); 2) dzieci i młodzież niepełnospraw-na posiadająca aktualne orzeczenie o niepełn., wydane przed ukończeniem 16 roku </w:t>
            </w:r>
            <w:r w:rsidRPr="00E00B35">
              <w:rPr>
                <w:szCs w:val="20"/>
              </w:rPr>
              <w:lastRenderedPageBreak/>
              <w:t xml:space="preserve">życia; </w:t>
            </w:r>
          </w:p>
        </w:tc>
        <w:tc>
          <w:tcPr>
            <w:tcW w:w="1559"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lastRenderedPageBreak/>
              <w:t xml:space="preserve">Celem głównym projektu jest pomoc finansowa dla osób niepełnosprawnych, które na skutek wystąpienia sytuacji kryzysowych spowodowanych chorobami zakaźnymi utraciły możliwość korzystania z opieki świadczonej w placówce rehabilitacyjnej – w formie dofinansowania kosztów </w:t>
            </w:r>
            <w:r w:rsidRPr="00E00B35">
              <w:rPr>
                <w:szCs w:val="20"/>
              </w:rPr>
              <w:lastRenderedPageBreak/>
              <w:t>związanych z zapewnieniem opieki w warunkach domowych</w:t>
            </w:r>
          </w:p>
        </w:tc>
        <w:tc>
          <w:tcPr>
            <w:tcW w:w="1131"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2 460 000,00</w:t>
            </w:r>
          </w:p>
        </w:tc>
        <w:tc>
          <w:tcPr>
            <w:tcW w:w="1134"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2 460 000,00</w:t>
            </w:r>
          </w:p>
        </w:tc>
        <w:tc>
          <w:tcPr>
            <w:tcW w:w="113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Państwowy Fundusz Rehabilitacji Osób Niepełno-sprawnych </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Moduł III programu - pomoc finansowa dla osób niepełno-sprawnych</w:t>
            </w:r>
          </w:p>
        </w:tc>
        <w:tc>
          <w:tcPr>
            <w:tcW w:w="1134"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Brak</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POZYTYWNY </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projekt otrzymał dofinansowa-nie</w:t>
            </w:r>
          </w:p>
        </w:tc>
      </w:tr>
      <w:tr w:rsidR="00CA14AB" w:rsidRPr="00E00B35" w:rsidTr="00CA14AB">
        <w:trPr>
          <w:trHeight w:val="981"/>
          <w:jc w:val="center"/>
        </w:trPr>
        <w:tc>
          <w:tcPr>
            <w:tcW w:w="422" w:type="dxa"/>
            <w:tcBorders>
              <w:top w:val="single" w:sz="4" w:space="0" w:color="auto"/>
              <w:left w:val="single" w:sz="4" w:space="0" w:color="auto"/>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lastRenderedPageBreak/>
              <w:t>5</w:t>
            </w:r>
          </w:p>
        </w:tc>
        <w:tc>
          <w:tcPr>
            <w:tcW w:w="851"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Gmina Wrocław</w:t>
            </w:r>
          </w:p>
          <w:p w:rsidR="00CA14AB" w:rsidRPr="00E00B35" w:rsidRDefault="00CA14AB" w:rsidP="00E00B35">
            <w:pPr>
              <w:spacing w:after="0" w:line="312" w:lineRule="auto"/>
              <w:rPr>
                <w:szCs w:val="20"/>
              </w:rPr>
            </w:pPr>
            <w:r w:rsidRPr="00E00B35">
              <w:rPr>
                <w:szCs w:val="20"/>
              </w:rPr>
              <w:t>(MOPS)</w:t>
            </w:r>
          </w:p>
        </w:tc>
        <w:tc>
          <w:tcPr>
            <w:tcW w:w="1277"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Wsparcie dzieci umieszczo-nych w pieczy zastępczej w okresie epidemii COVID-19</w:t>
            </w:r>
          </w:p>
        </w:tc>
        <w:tc>
          <w:tcPr>
            <w:tcW w:w="1276"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wychowankowie umieszczeni w pieczy zastępczej rodzinnej i instytucjonalnej w tym osoby uczące się, które pozostały w pieczy zastępczej do 25 roku życia na podstawie art. 37 ust. 2 ustawy z dnia 9 czerwca 2011 r. o wspieraniu rodziny i systemie pieczy zastępczej oraz ich opiekunowie.</w:t>
            </w:r>
          </w:p>
        </w:tc>
        <w:tc>
          <w:tcPr>
            <w:tcW w:w="1559"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Cel programu jest zapobieganie i ograniczenie negatywnych skutków wystąpienia COVID-19 w obszarze pieczy zastępczej</w:t>
            </w:r>
          </w:p>
          <w:p w:rsidR="00CA14AB" w:rsidRPr="00E00B35" w:rsidRDefault="00CA14AB" w:rsidP="00E00B35">
            <w:pPr>
              <w:spacing w:after="0" w:line="312" w:lineRule="auto"/>
              <w:rPr>
                <w:szCs w:val="20"/>
              </w:rPr>
            </w:pPr>
          </w:p>
        </w:tc>
        <w:tc>
          <w:tcPr>
            <w:tcW w:w="1131"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1 005 575,00</w:t>
            </w:r>
          </w:p>
        </w:tc>
        <w:tc>
          <w:tcPr>
            <w:tcW w:w="1134"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t>1 005 575,00</w:t>
            </w:r>
          </w:p>
        </w:tc>
        <w:tc>
          <w:tcPr>
            <w:tcW w:w="113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Ministerstwo Rodziny </w:t>
            </w:r>
          </w:p>
          <w:p w:rsidR="00CA14AB" w:rsidRPr="00E00B35" w:rsidRDefault="00CA14AB" w:rsidP="00E00B35">
            <w:pPr>
              <w:spacing w:after="0" w:line="312" w:lineRule="auto"/>
              <w:rPr>
                <w:szCs w:val="20"/>
              </w:rPr>
            </w:pPr>
            <w:r w:rsidRPr="00E00B35">
              <w:rPr>
                <w:szCs w:val="20"/>
              </w:rPr>
              <w:t>i Polityki Społecznej</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PROGRAM OPERACYJNY WIEDZA EDUKACJA </w:t>
            </w:r>
            <w:r w:rsidRPr="00E00B35">
              <w:rPr>
                <w:szCs w:val="20"/>
              </w:rPr>
              <w:br/>
              <w:t xml:space="preserve">I ROZWÓJ </w:t>
            </w:r>
          </w:p>
          <w:p w:rsidR="00CA14AB" w:rsidRPr="00E00B35" w:rsidRDefault="00CA14AB" w:rsidP="00E00B35">
            <w:pPr>
              <w:spacing w:after="0" w:line="312" w:lineRule="auto"/>
              <w:rPr>
                <w:szCs w:val="20"/>
              </w:rPr>
            </w:pPr>
            <w:r w:rsidRPr="00E00B35">
              <w:rPr>
                <w:szCs w:val="20"/>
              </w:rPr>
              <w:t xml:space="preserve">2.8 Rozwój usług społecznych świadczonych w środowisku lokalnym, PI 9iv: Ułatwianie dostępu do przystępnych cenowo, trwałych oraz wysokiej jakości usług, w </w:t>
            </w:r>
            <w:r w:rsidRPr="00E00B35">
              <w:rPr>
                <w:szCs w:val="20"/>
              </w:rPr>
              <w:lastRenderedPageBreak/>
              <w:t xml:space="preserve">tym opieki zdrowotnej </w:t>
            </w:r>
          </w:p>
          <w:p w:rsidR="00CA14AB" w:rsidRPr="00E00B35" w:rsidRDefault="00CA14AB" w:rsidP="00E00B35">
            <w:pPr>
              <w:spacing w:after="0" w:line="312" w:lineRule="auto"/>
              <w:rPr>
                <w:szCs w:val="20"/>
              </w:rPr>
            </w:pPr>
            <w:r w:rsidRPr="00E00B35">
              <w:rPr>
                <w:szCs w:val="20"/>
              </w:rPr>
              <w:t>i usług socjalnych świadczonych w interesie ogólnym, współfinan-sowanego z Europejskiego Funduszu Społecznego.</w:t>
            </w:r>
          </w:p>
        </w:tc>
        <w:tc>
          <w:tcPr>
            <w:tcW w:w="1134" w:type="dxa"/>
            <w:tcBorders>
              <w:top w:val="single" w:sz="4" w:space="0" w:color="auto"/>
              <w:left w:val="nil"/>
              <w:bottom w:val="single" w:sz="4" w:space="0" w:color="auto"/>
              <w:right w:val="single" w:sz="4" w:space="0" w:color="auto"/>
            </w:tcBorders>
            <w:vAlign w:val="center"/>
            <w:hideMark/>
          </w:tcPr>
          <w:p w:rsidR="00CA14AB" w:rsidRPr="00E00B35" w:rsidRDefault="00CA14AB" w:rsidP="00E00B35">
            <w:pPr>
              <w:spacing w:after="0" w:line="312" w:lineRule="auto"/>
              <w:rPr>
                <w:szCs w:val="20"/>
              </w:rPr>
            </w:pPr>
            <w:r w:rsidRPr="00E00B35">
              <w:rPr>
                <w:szCs w:val="20"/>
              </w:rPr>
              <w:lastRenderedPageBreak/>
              <w:t>brak</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POZYTYWNY </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projekt otrzymał dofinansowa-nie</w:t>
            </w:r>
          </w:p>
        </w:tc>
      </w:tr>
      <w:tr w:rsidR="00CA14AB" w:rsidRPr="00E00B35" w:rsidTr="00CA14AB">
        <w:trPr>
          <w:trHeight w:val="981"/>
          <w:jc w:val="center"/>
        </w:trPr>
        <w:tc>
          <w:tcPr>
            <w:tcW w:w="422"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6</w:t>
            </w:r>
          </w:p>
        </w:tc>
        <w:tc>
          <w:tcPr>
            <w:tcW w:w="851"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Gmina Wrocław</w:t>
            </w:r>
          </w:p>
        </w:tc>
        <w:tc>
          <w:tcPr>
            <w:tcW w:w="127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KomPAS</w:t>
            </w:r>
          </w:p>
        </w:tc>
        <w:tc>
          <w:tcPr>
            <w:tcW w:w="127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160 osób zagrożonych ubóstwem lub wykluczeniem społecznym</w:t>
            </w:r>
          </w:p>
        </w:tc>
        <w:tc>
          <w:tcPr>
            <w:tcW w:w="1559"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Celem głównym projektu jest zwiększenie szans </w:t>
            </w:r>
          </w:p>
          <w:p w:rsidR="00CA14AB" w:rsidRPr="00E00B35" w:rsidRDefault="00CA14AB" w:rsidP="00E00B35">
            <w:pPr>
              <w:spacing w:after="0" w:line="312" w:lineRule="auto"/>
              <w:rPr>
                <w:szCs w:val="20"/>
              </w:rPr>
            </w:pPr>
            <w:r w:rsidRPr="00E00B35">
              <w:rPr>
                <w:szCs w:val="20"/>
              </w:rPr>
              <w:t>na integrację społ. (w tym: na podnie-sienie zdolności do zatrudnienia) 160 wrocławian i wrocła-wianek zagroż. ubóstwem i/lub wy-kluczeniem społ.,</w:t>
            </w:r>
          </w:p>
          <w:p w:rsidR="00CA14AB" w:rsidRPr="00E00B35" w:rsidRDefault="00CA14AB" w:rsidP="00E00B35">
            <w:pPr>
              <w:spacing w:after="0" w:line="312" w:lineRule="auto"/>
              <w:rPr>
                <w:szCs w:val="20"/>
              </w:rPr>
            </w:pPr>
            <w:r w:rsidRPr="00E00B35">
              <w:rPr>
                <w:szCs w:val="20"/>
              </w:rPr>
              <w:t>korzystających ze </w:t>
            </w:r>
          </w:p>
          <w:p w:rsidR="00CA14AB" w:rsidRPr="00E00B35" w:rsidRDefault="00CA14AB" w:rsidP="00E00B35">
            <w:pPr>
              <w:spacing w:after="0" w:line="312" w:lineRule="auto"/>
              <w:rPr>
                <w:szCs w:val="20"/>
              </w:rPr>
            </w:pPr>
            <w:r w:rsidRPr="00E00B35">
              <w:rPr>
                <w:szCs w:val="20"/>
              </w:rPr>
              <w:t>wsparcia MOPS </w:t>
            </w:r>
          </w:p>
          <w:p w:rsidR="00CA14AB" w:rsidRPr="00E00B35" w:rsidRDefault="00CA14AB" w:rsidP="00E00B35">
            <w:pPr>
              <w:spacing w:after="0" w:line="312" w:lineRule="auto"/>
              <w:rPr>
                <w:szCs w:val="20"/>
              </w:rPr>
            </w:pPr>
            <w:r w:rsidRPr="00E00B35">
              <w:rPr>
                <w:szCs w:val="20"/>
              </w:rPr>
              <w:lastRenderedPageBreak/>
              <w:t>Wrocław, poprzez </w:t>
            </w:r>
          </w:p>
          <w:p w:rsidR="00CA14AB" w:rsidRPr="00E00B35" w:rsidRDefault="00CA14AB" w:rsidP="00E00B35">
            <w:pPr>
              <w:spacing w:after="0" w:line="312" w:lineRule="auto"/>
              <w:rPr>
                <w:szCs w:val="20"/>
              </w:rPr>
            </w:pPr>
            <w:r w:rsidRPr="00E00B35">
              <w:rPr>
                <w:szCs w:val="20"/>
              </w:rPr>
              <w:t>zastosowanie </w:t>
            </w:r>
          </w:p>
          <w:p w:rsidR="00CA14AB" w:rsidRPr="00E00B35" w:rsidRDefault="00CA14AB" w:rsidP="00E00B35">
            <w:pPr>
              <w:spacing w:after="0" w:line="312" w:lineRule="auto"/>
              <w:rPr>
                <w:szCs w:val="20"/>
              </w:rPr>
            </w:pPr>
            <w:r w:rsidRPr="00E00B35">
              <w:rPr>
                <w:szCs w:val="20"/>
              </w:rPr>
              <w:t>wobec nich usług </w:t>
            </w:r>
          </w:p>
          <w:p w:rsidR="00CA14AB" w:rsidRPr="00E00B35" w:rsidRDefault="00CA14AB" w:rsidP="00E00B35">
            <w:pPr>
              <w:spacing w:after="0" w:line="312" w:lineRule="auto"/>
              <w:rPr>
                <w:szCs w:val="20"/>
              </w:rPr>
            </w:pPr>
            <w:r w:rsidRPr="00E00B35">
              <w:rPr>
                <w:szCs w:val="20"/>
              </w:rPr>
              <w:t>aktywnej integracji (UAI) w okresie </w:t>
            </w:r>
          </w:p>
          <w:p w:rsidR="00CA14AB" w:rsidRPr="00E00B35" w:rsidRDefault="00CA14AB" w:rsidP="00E00B35">
            <w:pPr>
              <w:spacing w:after="0" w:line="312" w:lineRule="auto"/>
              <w:rPr>
                <w:szCs w:val="20"/>
              </w:rPr>
            </w:pPr>
            <w:r w:rsidRPr="00E00B35">
              <w:rPr>
                <w:szCs w:val="20"/>
              </w:rPr>
              <w:t>15.02.2021 - 30.06.2023.</w:t>
            </w:r>
          </w:p>
        </w:tc>
        <w:tc>
          <w:tcPr>
            <w:tcW w:w="1131"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1 739 904,00</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1 478 918,40</w:t>
            </w:r>
          </w:p>
        </w:tc>
        <w:tc>
          <w:tcPr>
            <w:tcW w:w="113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Dolnośląski Wojewódzki Urząd Pracy (DWUP)</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REGIONALNY PROGRAM OPERACYJNY WOJEWÓDZ-TWA DOLNOŚLĄ-SKIEGO 2014-2020,                                                OP: 9.Włączenie </w:t>
            </w:r>
            <w:r w:rsidRPr="00E00B35">
              <w:rPr>
                <w:szCs w:val="20"/>
              </w:rPr>
              <w:lastRenderedPageBreak/>
              <w:t>społeczne, Działanie: 9.1 Aktywna integracja, Poddziałanie: 9.1.1 Aktywna integracja - konkursy horyzontalne</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brak</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PROJEKT W TRAKCIE OCENY</w:t>
            </w:r>
          </w:p>
        </w:tc>
      </w:tr>
      <w:tr w:rsidR="00CA14AB" w:rsidRPr="00E00B35" w:rsidTr="00CA14AB">
        <w:trPr>
          <w:trHeight w:val="981"/>
          <w:jc w:val="center"/>
        </w:trPr>
        <w:tc>
          <w:tcPr>
            <w:tcW w:w="422"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7</w:t>
            </w:r>
          </w:p>
        </w:tc>
        <w:tc>
          <w:tcPr>
            <w:tcW w:w="851"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Gmina Wrocław</w:t>
            </w:r>
          </w:p>
          <w:p w:rsidR="00CA14AB" w:rsidRPr="00E00B35" w:rsidRDefault="00CA14AB" w:rsidP="00E00B35">
            <w:pPr>
              <w:spacing w:after="0" w:line="312" w:lineRule="auto"/>
              <w:rPr>
                <w:szCs w:val="20"/>
              </w:rPr>
            </w:pPr>
          </w:p>
        </w:tc>
        <w:tc>
          <w:tcPr>
            <w:tcW w:w="127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Zadanie publiczne pn.”Opieka wytchnienio-wa we Wrocławiu w 2021 r” w ramach Programu „Opieka wytchnienio-wa” – edycja 2021</w:t>
            </w:r>
          </w:p>
        </w:tc>
        <w:tc>
          <w:tcPr>
            <w:tcW w:w="127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Rodziny oraz opiekunowie sprawujący bezpośrednią opiekę nad osobami niepełnospra-wnymi.  </w:t>
            </w:r>
          </w:p>
          <w:p w:rsidR="00CA14AB" w:rsidRPr="00E00B35" w:rsidRDefault="00CA14AB" w:rsidP="00E00B35">
            <w:pPr>
              <w:spacing w:after="0" w:line="312" w:lineRule="auto"/>
              <w:rPr>
                <w:szCs w:val="20"/>
              </w:rPr>
            </w:pPr>
          </w:p>
        </w:tc>
        <w:tc>
          <w:tcPr>
            <w:tcW w:w="1559"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Celem głównym projektu jest wspieranie członków rodzin lub opiekunów sprawujących bezpośrednią opiekę nad dziećmi niepełnosprawnymi z orzeczeniem o niepełnosprawności oraz osobami ze zn. stopniem niepełnosprawności </w:t>
            </w:r>
          </w:p>
        </w:tc>
        <w:tc>
          <w:tcPr>
            <w:tcW w:w="1131"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914 736,00</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0,00</w:t>
            </w:r>
          </w:p>
        </w:tc>
        <w:tc>
          <w:tcPr>
            <w:tcW w:w="113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Ministerstwo Rodziny </w:t>
            </w:r>
            <w:r w:rsidRPr="00E00B35">
              <w:rPr>
                <w:szCs w:val="20"/>
              </w:rPr>
              <w:br/>
              <w:t>i Polityki Społecznej</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Program „  Opieka wytchnienio-wa” -Edycja 2021</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MOPS zamierza zlecić zadanie  w ramach konkursu ofert na podstawie ustawy</w:t>
            </w:r>
          </w:p>
          <w:p w:rsidR="00CA14AB" w:rsidRPr="00E00B35" w:rsidRDefault="00CA14AB" w:rsidP="00E00B35">
            <w:pPr>
              <w:spacing w:after="0" w:line="312" w:lineRule="auto"/>
              <w:rPr>
                <w:szCs w:val="20"/>
              </w:rPr>
            </w:pPr>
            <w:r w:rsidRPr="00E00B35">
              <w:rPr>
                <w:szCs w:val="20"/>
              </w:rPr>
              <w:t>o pożytku publicznym</w:t>
            </w:r>
          </w:p>
          <w:p w:rsidR="00CA14AB" w:rsidRPr="00E00B35" w:rsidRDefault="00CA14AB" w:rsidP="00E00B35">
            <w:pPr>
              <w:spacing w:after="0" w:line="312" w:lineRule="auto"/>
              <w:rPr>
                <w:szCs w:val="20"/>
              </w:rPr>
            </w:pPr>
            <w:r w:rsidRPr="00E00B35">
              <w:rPr>
                <w:szCs w:val="20"/>
              </w:rPr>
              <w:t xml:space="preserve">i o wolontariacie </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PROJEKT W TRAKCIE OCENY</w:t>
            </w:r>
          </w:p>
        </w:tc>
      </w:tr>
      <w:tr w:rsidR="00CA14AB" w:rsidRPr="00E00B35" w:rsidTr="00CA14AB">
        <w:trPr>
          <w:trHeight w:val="425"/>
          <w:jc w:val="center"/>
        </w:trPr>
        <w:tc>
          <w:tcPr>
            <w:tcW w:w="422"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8</w:t>
            </w:r>
          </w:p>
        </w:tc>
        <w:tc>
          <w:tcPr>
            <w:tcW w:w="851"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Gmina Wrocław</w:t>
            </w:r>
          </w:p>
          <w:p w:rsidR="00CA14AB" w:rsidRPr="00E00B35" w:rsidRDefault="00CA14AB" w:rsidP="00E00B35">
            <w:pPr>
              <w:spacing w:after="0" w:line="312" w:lineRule="auto"/>
              <w:rPr>
                <w:szCs w:val="20"/>
              </w:rPr>
            </w:pPr>
            <w:r w:rsidRPr="00E00B35">
              <w:rPr>
                <w:szCs w:val="20"/>
              </w:rPr>
              <w:t>(MOPS)</w:t>
            </w:r>
          </w:p>
        </w:tc>
        <w:tc>
          <w:tcPr>
            <w:tcW w:w="127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Zadanie publiczne w ramach „Programu asystent osobisty osoby </w:t>
            </w:r>
            <w:r w:rsidRPr="00E00B35">
              <w:rPr>
                <w:szCs w:val="20"/>
              </w:rPr>
              <w:lastRenderedPageBreak/>
              <w:t>niepełnos-prawnej” – edycja 2021</w:t>
            </w:r>
          </w:p>
        </w:tc>
        <w:tc>
          <w:tcPr>
            <w:tcW w:w="127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 xml:space="preserve">Osoby niepełnospra-wne posiadające orzeczenie o </w:t>
            </w:r>
            <w:r w:rsidRPr="00E00B35">
              <w:rPr>
                <w:szCs w:val="20"/>
              </w:rPr>
              <w:lastRenderedPageBreak/>
              <w:t>znacznym lub umiarkowanym stopniu niepełnospra-wności.</w:t>
            </w:r>
          </w:p>
        </w:tc>
        <w:tc>
          <w:tcPr>
            <w:tcW w:w="1559"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Cel programu jest wprowadzenie usługi asystenta jako formy ogólnodostęp</w:t>
            </w:r>
            <w:r w:rsidRPr="00E00B35">
              <w:rPr>
                <w:szCs w:val="20"/>
              </w:rPr>
              <w:lastRenderedPageBreak/>
              <w:t>nego wsparcia dla pełnoletnich osób niepełnosprawnych, posiadających orzeczenie o zn. lub umiarkowanym st.niepełnospr.</w:t>
            </w:r>
          </w:p>
        </w:tc>
        <w:tc>
          <w:tcPr>
            <w:tcW w:w="1131"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2 536 308,54</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0,00</w:t>
            </w:r>
          </w:p>
        </w:tc>
        <w:tc>
          <w:tcPr>
            <w:tcW w:w="113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 xml:space="preserve">Ministerstwo Rodziny </w:t>
            </w:r>
          </w:p>
          <w:p w:rsidR="00CA14AB" w:rsidRPr="00E00B35" w:rsidRDefault="00CA14AB" w:rsidP="00E00B35">
            <w:pPr>
              <w:spacing w:after="0" w:line="312" w:lineRule="auto"/>
              <w:rPr>
                <w:szCs w:val="20"/>
              </w:rPr>
            </w:pPr>
            <w:r w:rsidRPr="00E00B35">
              <w:rPr>
                <w:szCs w:val="20"/>
              </w:rPr>
              <w:t>i Polityki Społecznej</w:t>
            </w:r>
          </w:p>
          <w:p w:rsidR="00CA14AB" w:rsidRPr="00E00B35" w:rsidRDefault="00CA14AB" w:rsidP="00E00B35">
            <w:pPr>
              <w:spacing w:after="0" w:line="312" w:lineRule="auto"/>
              <w:rPr>
                <w:szCs w:val="20"/>
              </w:rPr>
            </w:pPr>
            <w:r w:rsidRPr="00E00B35">
              <w:rPr>
                <w:szCs w:val="20"/>
              </w:rPr>
              <w:t xml:space="preserve">Program </w:t>
            </w:r>
            <w:r w:rsidRPr="00E00B35">
              <w:rPr>
                <w:szCs w:val="20"/>
              </w:rPr>
              <w:lastRenderedPageBreak/>
              <w:t>„  Asystent osobisty osoby niepełnos-prawnej” – edycja 2021</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 xml:space="preserve">MOPS zamierza zlecić zadanie  w ramach konkursu ofert na </w:t>
            </w:r>
            <w:r w:rsidRPr="00E00B35">
              <w:rPr>
                <w:szCs w:val="20"/>
              </w:rPr>
              <w:lastRenderedPageBreak/>
              <w:t>podstawie ustawy</w:t>
            </w:r>
          </w:p>
          <w:p w:rsidR="00CA14AB" w:rsidRPr="00E00B35" w:rsidRDefault="00CA14AB" w:rsidP="00E00B35">
            <w:pPr>
              <w:spacing w:after="0" w:line="312" w:lineRule="auto"/>
              <w:rPr>
                <w:szCs w:val="20"/>
              </w:rPr>
            </w:pPr>
            <w:r w:rsidRPr="00E00B35">
              <w:rPr>
                <w:szCs w:val="20"/>
              </w:rPr>
              <w:t>o pożytku publicznym</w:t>
            </w:r>
          </w:p>
          <w:p w:rsidR="00CA14AB" w:rsidRPr="00E00B35" w:rsidRDefault="00CA14AB" w:rsidP="00E00B35">
            <w:pPr>
              <w:spacing w:after="0" w:line="312" w:lineRule="auto"/>
              <w:rPr>
                <w:szCs w:val="20"/>
              </w:rPr>
            </w:pPr>
            <w:r w:rsidRPr="00E00B35">
              <w:rPr>
                <w:szCs w:val="20"/>
              </w:rPr>
              <w:t>i o wolontariacie</w:t>
            </w:r>
          </w:p>
        </w:tc>
        <w:tc>
          <w:tcPr>
            <w:tcW w:w="1134"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lastRenderedPageBreak/>
              <w:t>PROJEKT W TRAKCIE OCENY</w:t>
            </w:r>
          </w:p>
        </w:tc>
      </w:tr>
    </w:tbl>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 roku 2020 do wykorzystania przez MOPS pozyskano środki w wysokości 4 873 813,87 zł na realizację projektów ze środków Europejskiego Funduszu Społecznego: „Wsparcie dzieci umieszczonych w pieczy zastępczej w okresie epidemii COVID-19”, AZYL – usługi opiekuńcze dla osób niesamodzielnych” (aplikacja w 2019r.), „SAMO-Dzielni edycja 2” (aplikacja w 2019r.) oraz zadań publicznych w ramach resortowych programów MRiPS tj. „Asystent rodziny na rok 2020”, „Programu Wieloletniego Senior + na lata 2015-2020” – edycja 2020 i Programu ”Opieka wytchnieniowa – edycja 2020”, „Pomoc osobom niepełnosprawnym poszkodowanym w wyniku żywiołu lub sytuacji kryzysowych wywołanych chorobami zakaźnymi”.</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429" w:name="_Toc72352440"/>
      <w:bookmarkStart w:id="430" w:name="_Toc72352874"/>
      <w:bookmarkStart w:id="431" w:name="_Hlk534360148"/>
      <w:bookmarkStart w:id="432" w:name="_Hlk59085762"/>
      <w:bookmarkEnd w:id="417"/>
      <w:bookmarkEnd w:id="418"/>
      <w:bookmarkEnd w:id="421"/>
      <w:r w:rsidRPr="00E00B35">
        <w:rPr>
          <w:sz w:val="20"/>
          <w:szCs w:val="20"/>
        </w:rPr>
        <w:t>NADODRZAŃSKIE CENTRUM WSPARCIA</w:t>
      </w:r>
      <w:bookmarkEnd w:id="429"/>
      <w:bookmarkEnd w:id="430"/>
    </w:p>
    <w:p w:rsidR="00CA14AB" w:rsidRPr="00E00B35" w:rsidRDefault="00CA14AB" w:rsidP="00E00B35">
      <w:pPr>
        <w:spacing w:after="0" w:line="312" w:lineRule="auto"/>
        <w:rPr>
          <w:szCs w:val="20"/>
        </w:rPr>
      </w:pPr>
      <w:r w:rsidRPr="00E00B35">
        <w:rPr>
          <w:szCs w:val="20"/>
        </w:rPr>
        <w:t>Nadodrzańskie Centrum Wsparcia (NCWS) jest komórką organizacyjną Miejskiego Ośrodka Pomocy Społecznej we Wrocławiu. Siedzibę NCWS stanowią nieruchomości</w:t>
      </w:r>
      <w:r w:rsidRPr="00E00B35">
        <w:rPr>
          <w:szCs w:val="20"/>
        </w:rPr>
        <w:br/>
        <w:t>we Wrocławiu przy ul. Rydygiera 43abcd i 45a, nad którymi Miejski Ośrodek Pomocy Społecznej sprawuje trwały zarząd. NCWS rozpoczęło działalność na początku 2013 roku.</w:t>
      </w:r>
    </w:p>
    <w:p w:rsidR="00CA14AB" w:rsidRPr="00E00B35" w:rsidRDefault="00CA14AB" w:rsidP="00E00B35">
      <w:pPr>
        <w:spacing w:after="0" w:line="312" w:lineRule="auto"/>
        <w:rPr>
          <w:szCs w:val="20"/>
        </w:rPr>
      </w:pPr>
      <w:r w:rsidRPr="00E00B35">
        <w:rPr>
          <w:szCs w:val="20"/>
        </w:rPr>
        <w:t>W roku 2020 Nadodrzańskie Centrum Wsparcia realizowało działania w zakresie pomocy społecznej o charakterze dziennym i całodobowym.</w:t>
      </w:r>
    </w:p>
    <w:p w:rsidR="00CA14AB" w:rsidRPr="00E00B35" w:rsidRDefault="00CA14AB" w:rsidP="00E00B35">
      <w:pPr>
        <w:spacing w:after="0" w:line="312" w:lineRule="auto"/>
        <w:rPr>
          <w:szCs w:val="20"/>
        </w:rPr>
      </w:pPr>
      <w:r w:rsidRPr="00E00B35">
        <w:rPr>
          <w:szCs w:val="20"/>
        </w:rPr>
        <w:t xml:space="preserve">W zakresie działań całodobowych Nadodrzańskie Centrum Wsparcia realizowało zadania dotyczące wsparcia osób, które znalazły się w sytuacji kryzysowej </w:t>
      </w:r>
      <w:r w:rsidRPr="00E00B35">
        <w:rPr>
          <w:szCs w:val="20"/>
        </w:rPr>
        <w:br/>
        <w:t xml:space="preserve">ze szczególnym uwzględnieniem osób doświadczających przemocy prowadząc Ośrodek Interwencji Kryzysowej. </w:t>
      </w:r>
    </w:p>
    <w:p w:rsidR="00CA14AB" w:rsidRPr="00E00B35" w:rsidRDefault="00CA14AB" w:rsidP="00E00B35">
      <w:pPr>
        <w:spacing w:after="0" w:line="312" w:lineRule="auto"/>
        <w:rPr>
          <w:szCs w:val="20"/>
        </w:rPr>
      </w:pPr>
      <w:r w:rsidRPr="00E00B35">
        <w:rPr>
          <w:szCs w:val="20"/>
        </w:rPr>
        <w:t>W OIK udzielano pomocy w formie: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całodobowego wsparcia w formie konsultacji interwencyjnych (w kontakcie bezpośrednim, za pośrednictwem telefonu interwencyjnego, poprzez Internet);</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wsparcia specjalistycznego;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wsparcia socjalnego;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schronienia.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 zakresie schronienia Mieszkańcom OIK zapewniono: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zakwaterowanie w umeblowanych pokojach wieloosobowych;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lastRenderedPageBreak/>
        <w:t>możliwość korzystania z innych pomieszczeń i ich wyposażenia.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 zakresie wsparcia socjalnego i specjalistycznego Mieszkańcy OIK:</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zostali objęci indywidualną pracą socjalną;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uzyskali potrzebne wsparcie z zakresu poradnictwa specjalistycznego: prawnego psychologicznego, pedagogicznego;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uzyskiwali wsparcie finansowe, zgodnie z posiadanymi uprawnieniami;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otrzymywali podstawowe środki czystości, artykuły spożywcze i odzież.</w:t>
      </w:r>
    </w:p>
    <w:p w:rsidR="00CA14AB" w:rsidRPr="00E00B35" w:rsidRDefault="00CA14AB" w:rsidP="00E00B35">
      <w:pPr>
        <w:spacing w:after="0" w:line="312" w:lineRule="auto"/>
        <w:rPr>
          <w:szCs w:val="20"/>
        </w:rPr>
      </w:pPr>
      <w:r w:rsidRPr="00E00B35">
        <w:rPr>
          <w:szCs w:val="20"/>
        </w:rPr>
        <w:t xml:space="preserve">W 2020 roku w ramach działania Ośrodka Interwencji Kryzysowej przeprowadzono 635 działań interwencyjnych z czego 149 interwencji dotyczyło osób, które zgłosiły się do OIK osobiście i 486 interwencji w stosunku do osób, które nawiązały kontakt </w:t>
      </w:r>
      <w:r w:rsidRPr="00E00B35">
        <w:rPr>
          <w:szCs w:val="20"/>
        </w:rPr>
        <w:br/>
        <w:t>za pośrednictwem telefonu i komunikatora internetowego. Na pobyt czasowy w Ośrodku Interwencji Kryzysowej przyjęto 110 osób. Beneficjentami były głównie osoby doświadczające przemocy w rodzinie, ale również były to osoby niepełnosprawne, osoby znajdujące się w sytuacjach kryzysowych o różnym charakterze.</w:t>
      </w:r>
    </w:p>
    <w:p w:rsidR="00CA14AB" w:rsidRPr="00E00B35" w:rsidRDefault="00CA14AB" w:rsidP="00E00B35">
      <w:pPr>
        <w:spacing w:after="0" w:line="312" w:lineRule="auto"/>
        <w:rPr>
          <w:szCs w:val="20"/>
        </w:rPr>
      </w:pPr>
      <w:r w:rsidRPr="00E00B35">
        <w:rPr>
          <w:szCs w:val="20"/>
        </w:rPr>
        <w:t>W zakresie działań dziennych aktywność w Nadodrzańskim Centrum Wsparcia w roku 2020 zmalała w sposób znaczący ze względu na stan pandemii i związane z nią przepisy dotyczące izolacji i dystansu społecznego.</w:t>
      </w:r>
    </w:p>
    <w:p w:rsidR="00CA14AB" w:rsidRPr="00E00B35" w:rsidRDefault="00CA14AB" w:rsidP="00E00B35">
      <w:pPr>
        <w:spacing w:after="0" w:line="312" w:lineRule="auto"/>
        <w:rPr>
          <w:szCs w:val="20"/>
        </w:rPr>
      </w:pPr>
      <w:r w:rsidRPr="00E00B35">
        <w:rPr>
          <w:szCs w:val="20"/>
        </w:rPr>
        <w:t>Zorganizowano bezpłatne, specjalistyczne: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konsultacje psychologiczne (966 konsultacje dla 270 osób, w tym 17 dzieci);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poradnictwo prawne (ze 64 konsultacji skorzystało 48 osób).</w:t>
      </w:r>
    </w:p>
    <w:p w:rsidR="00CA14AB" w:rsidRPr="00E00B35" w:rsidRDefault="00CA14AB" w:rsidP="00E00B35">
      <w:pPr>
        <w:spacing w:after="0" w:line="312" w:lineRule="auto"/>
        <w:rPr>
          <w:szCs w:val="20"/>
        </w:rPr>
      </w:pPr>
      <w:r w:rsidRPr="00E00B35">
        <w:rPr>
          <w:szCs w:val="20"/>
        </w:rPr>
        <w:t xml:space="preserve">Podczas indywidualnych spotkań ze specjalistą pracy socjalnej ds. aktywizacji udzielane było wsparcie osobom biernym zawodowo; </w:t>
      </w:r>
    </w:p>
    <w:p w:rsidR="00CA14AB" w:rsidRPr="00E00B35" w:rsidRDefault="00CA14AB" w:rsidP="00E00B35">
      <w:pPr>
        <w:spacing w:after="0" w:line="312" w:lineRule="auto"/>
        <w:rPr>
          <w:szCs w:val="20"/>
        </w:rPr>
      </w:pPr>
      <w:r w:rsidRPr="00E00B35">
        <w:rPr>
          <w:szCs w:val="20"/>
        </w:rPr>
        <w:t>Odbyły się warsztaty ZTPS 7 w ramach programu „Akademia Seniora” oraz warsztaty dla uczestniczek projektu „Trampolina-mieszkania wspomagane” oraz szkolenia i superwizje dla pracowników MOPS.</w:t>
      </w:r>
    </w:p>
    <w:p w:rsidR="00CA14AB" w:rsidRPr="00E00B35" w:rsidRDefault="00CA14AB" w:rsidP="00E00B35">
      <w:pPr>
        <w:spacing w:after="0" w:line="312" w:lineRule="auto"/>
        <w:rPr>
          <w:rFonts w:eastAsia="Calibri"/>
          <w:szCs w:val="20"/>
        </w:rPr>
      </w:pPr>
      <w:r w:rsidRPr="00E00B35">
        <w:rPr>
          <w:szCs w:val="20"/>
        </w:rPr>
        <w:t>Ponadto na terenie Nadodrzańskiego Centrum Wsparcia w sposób ciągły odbywała się działalność Zespołu Interdyscyplinarnego.</w:t>
      </w:r>
      <w:bookmarkStart w:id="433" w:name="_Hlk534359668"/>
      <w:bookmarkStart w:id="434" w:name="_Hlk59088164"/>
      <w:bookmarkEnd w:id="431"/>
      <w:bookmarkEnd w:id="432"/>
    </w:p>
    <w:p w:rsidR="00890136" w:rsidRPr="00E00B35" w:rsidRDefault="00890136" w:rsidP="00E00B35">
      <w:pPr>
        <w:pStyle w:val="Nagwek4"/>
        <w:spacing w:before="0" w:after="0" w:line="312" w:lineRule="auto"/>
        <w:rPr>
          <w:sz w:val="20"/>
          <w:szCs w:val="20"/>
        </w:rPr>
      </w:pPr>
      <w:bookmarkStart w:id="435" w:name="_Toc72352441"/>
      <w:bookmarkStart w:id="436" w:name="_Toc72352875"/>
    </w:p>
    <w:p w:rsidR="00CA14AB" w:rsidRPr="00E00B35" w:rsidRDefault="00CA14AB" w:rsidP="00E00B35">
      <w:pPr>
        <w:pStyle w:val="Nagwek4"/>
        <w:spacing w:before="0" w:after="0" w:line="312" w:lineRule="auto"/>
        <w:rPr>
          <w:sz w:val="20"/>
          <w:szCs w:val="20"/>
        </w:rPr>
      </w:pPr>
      <w:r w:rsidRPr="00E00B35">
        <w:rPr>
          <w:sz w:val="20"/>
          <w:szCs w:val="20"/>
        </w:rPr>
        <w:t>PODSUMOWANIE DZIAŁAŃ CENTRUM PRACY SOCJALNEJ I RODZINY W 2020 ROKU</w:t>
      </w:r>
      <w:bookmarkEnd w:id="435"/>
      <w:bookmarkEnd w:id="436"/>
    </w:p>
    <w:p w:rsidR="00CA14AB" w:rsidRPr="00E00B35" w:rsidRDefault="00CA14AB" w:rsidP="00E00B35">
      <w:pPr>
        <w:spacing w:after="0" w:line="312" w:lineRule="auto"/>
        <w:rPr>
          <w:szCs w:val="20"/>
        </w:rPr>
      </w:pPr>
      <w:r w:rsidRPr="00E00B35">
        <w:rPr>
          <w:szCs w:val="20"/>
        </w:rPr>
        <w:t>Działania CPSR (komórki organizacyjnej MOPS) w 2020 roku ukierunkowane były na realizację zadań związanych z:</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podnoszeniem jakości pracy pracowników socjalnych i asystentów rodziny, w tym pracowników nowozatrudnionych;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udzielaniem wsparcia merytorycznego i emocjonalnego pracownikom socjalnym i asystentom rodziny wraz z organizacją superwizji;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poradnictwem specjalistycznym, konsultacjami i udzielaniem wsparcia mieszkańcom Wrocławia w tym klientom MOPS i rodzinom przeżywającym trudności;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organizacją i realizacją warsztatów edukacyjnych dla rodziców;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nadzorem i koordynowaniem zadań wykonywanych przez asystentów rodziny powołanych na rzecz wspierania rodzin w zakresie wypełniania ich funkcji opiekuńczo – wychowawczych we współpracy z pracownikami socjalnymi oraz koordynatorami MOPS;</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lastRenderedPageBreak/>
        <w:t>organizacją i koordynowaniem praktyk w MOPS;</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koordynacją wolontariatu na rzecz osób i rodzin objętych pomocą MOPS;</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współpracą z pracownikami MOPS i pracownikami innych instytucji w zakresie opracowywanych i realizowanych projektów współfinansowanych ze środków zewnętrznych, w tym środków unijnych;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aktywizacją społeczno-zawodową klientów MOPS;</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organizacją i koordynowaniem prac społecznie użytecznych, we współpracy z Powiatowym Urzędem Pracy;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wdrażaniem środowiskowej metody w pracy socjalnej;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realizacją Programu Pomocy dla Rodzin Wielodzietnych „dwa plus trzy i jeszcze więcej” oraz ogólnopolskiego Programu Karta Dużej Rodziny (zadanie szczegółowo przestawione jest w dalszej części sprawozdania);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współpracą pomiędzy pracownikami socjalnymi i przedstawicielami instytucji działającymi w obszarze pomocy społecznej;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zapewnieniem Zespołowi Interdyscyplinarnemu ds. Przeciwdziałania Przemocy w Rodzinie obsługi organizacyjno-technicznej;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pozyskiwaniem środków zewnętrznych na dodatkowe działania projektowe i realizacja różnych projektów aktywizacyjnych (szczegółowo opisane we wcześniejszej części sprawozdania dot. realizacji projektów współfinansowanych ze środków UE;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wypłatą wynagrodzeń ustanowionych prawomocnym postanowieniem sądu dla opiekunów prawnych i kuratorów osób ubezwłasnowolnionych (zadanie szczegółowo przestawione jest w dalszej części sprawozdania w części Dodatkowe zadania);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koordynacją pochówków Dzieci Martwo Urodzonych (zadanie szczegółowo przestawione jest w dalszej części sprawozdania w części Dodatkowe zadania).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Centrum Pracy Socjalnej i Rodziny realizowało swoje zadania poprzez:</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konsultantów (w tym psychologów, pedagogów, socjologów);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asystentów rodziny;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pracowników socjalnych, specjalistów pracy socjalnej- koordynatorów;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innych pracowników/specjalistów.</w:t>
      </w:r>
    </w:p>
    <w:p w:rsidR="00CA14AB" w:rsidRPr="00E00B35" w:rsidRDefault="00CA14AB" w:rsidP="00E00B35">
      <w:pPr>
        <w:spacing w:after="0" w:line="312" w:lineRule="auto"/>
        <w:rPr>
          <w:rFonts w:eastAsia="Calibri"/>
          <w:szCs w:val="20"/>
        </w:rPr>
      </w:pPr>
      <w:r w:rsidRPr="00E00B35">
        <w:rPr>
          <w:rFonts w:eastAsia="Calibri"/>
          <w:szCs w:val="20"/>
        </w:rPr>
        <w:t xml:space="preserve">W 2020r. z uwagi na wystąpienie w kraju stan epidemii wywołanej zakażeniami wirusem SARS-CoV-2, zakres zadań zrealizowanych przez pracowników CPSR uległ zmianie w odniesieniu do planów - część zadań nie została zrealizowana w ogóle lub została zrealizowana tylko częściowo. Pojawiła się też konieczność podjęcia nowych działań, związanych z trwającą epidemią. </w:t>
      </w:r>
    </w:p>
    <w:p w:rsidR="00CA14AB" w:rsidRPr="00E00B35" w:rsidRDefault="00CA14AB" w:rsidP="00E00B35">
      <w:pPr>
        <w:spacing w:after="0" w:line="312" w:lineRule="auto"/>
        <w:rPr>
          <w:szCs w:val="20"/>
        </w:rPr>
      </w:pPr>
      <w:r w:rsidRPr="00E00B35">
        <w:rPr>
          <w:szCs w:val="20"/>
        </w:rPr>
        <w:t>W roku 2020 specjalistki pracy socjalnej realizowały działania sprzyjające rozwojowi warsztatu pracy socjalnej m.in. poprzez:</w:t>
      </w:r>
    </w:p>
    <w:p w:rsidR="00CA14AB" w:rsidRPr="00E00B35" w:rsidRDefault="00CA14AB" w:rsidP="00BC64AB">
      <w:pPr>
        <w:pStyle w:val="Akapitzlist"/>
        <w:numPr>
          <w:ilvl w:val="0"/>
          <w:numId w:val="232"/>
        </w:numPr>
        <w:spacing w:after="0" w:line="312" w:lineRule="auto"/>
        <w:ind w:left="426" w:hanging="426"/>
        <w:rPr>
          <w:rFonts w:eastAsia="Calibri"/>
          <w:szCs w:val="20"/>
        </w:rPr>
      </w:pPr>
      <w:r w:rsidRPr="00E00B35">
        <w:rPr>
          <w:rFonts w:eastAsia="Calibri"/>
          <w:szCs w:val="20"/>
        </w:rPr>
        <w:t>towarzyszenie 191 razy pracownikom socjalnym podczas pracy w środowisku;</w:t>
      </w:r>
    </w:p>
    <w:p w:rsidR="00CA14AB" w:rsidRPr="00E00B35" w:rsidRDefault="00CA14AB" w:rsidP="00BC64AB">
      <w:pPr>
        <w:pStyle w:val="Akapitzlist"/>
        <w:numPr>
          <w:ilvl w:val="0"/>
          <w:numId w:val="232"/>
        </w:numPr>
        <w:spacing w:after="0" w:line="312" w:lineRule="auto"/>
        <w:ind w:left="426" w:hanging="426"/>
        <w:rPr>
          <w:rFonts w:eastAsia="Calibri"/>
          <w:szCs w:val="20"/>
        </w:rPr>
      </w:pPr>
      <w:r w:rsidRPr="00E00B35">
        <w:rPr>
          <w:rFonts w:eastAsia="Calibri"/>
          <w:szCs w:val="20"/>
        </w:rPr>
        <w:t>wprowadzenie zgodnie z procedurą 26 nowych pracowników socjalnych, w tym 3 asystentów rodziny;</w:t>
      </w:r>
    </w:p>
    <w:p w:rsidR="00CA14AB" w:rsidRPr="00E00B35" w:rsidRDefault="00CA14AB" w:rsidP="00BC64AB">
      <w:pPr>
        <w:pStyle w:val="Akapitzlist"/>
        <w:numPr>
          <w:ilvl w:val="0"/>
          <w:numId w:val="232"/>
        </w:numPr>
        <w:spacing w:after="0" w:line="312" w:lineRule="auto"/>
        <w:ind w:left="426" w:hanging="426"/>
        <w:rPr>
          <w:rFonts w:eastAsia="Calibri"/>
          <w:szCs w:val="20"/>
        </w:rPr>
      </w:pPr>
      <w:r w:rsidRPr="00E00B35">
        <w:rPr>
          <w:rFonts w:eastAsia="Calibri"/>
          <w:szCs w:val="20"/>
        </w:rPr>
        <w:t>przeprowadzenie 1 207 konsultacji z pracownikami socjalnymi według wybranej specjalizacji, które służyły wsparciu merytorycznemu, a zwłaszcza kształtowaniu zachowań niezbędnych i przydatnych w pracy socjalnej;</w:t>
      </w:r>
    </w:p>
    <w:p w:rsidR="00CA14AB" w:rsidRPr="00E00B35" w:rsidRDefault="00CA14AB" w:rsidP="00BC64AB">
      <w:pPr>
        <w:pStyle w:val="Akapitzlist"/>
        <w:numPr>
          <w:ilvl w:val="0"/>
          <w:numId w:val="232"/>
        </w:numPr>
        <w:spacing w:after="0" w:line="312" w:lineRule="auto"/>
        <w:ind w:left="426" w:hanging="426"/>
        <w:rPr>
          <w:rFonts w:eastAsia="Calibri"/>
          <w:szCs w:val="20"/>
        </w:rPr>
      </w:pPr>
      <w:r w:rsidRPr="00E00B35">
        <w:rPr>
          <w:rFonts w:eastAsia="Calibri"/>
          <w:szCs w:val="20"/>
        </w:rPr>
        <w:lastRenderedPageBreak/>
        <w:t>przeprowadzenie 185 konsultacji z przedstawicielami podmiotów współpracujących z MOPS;</w:t>
      </w:r>
    </w:p>
    <w:p w:rsidR="00CA14AB" w:rsidRPr="00E00B35" w:rsidRDefault="00CA14AB" w:rsidP="00BC64AB">
      <w:pPr>
        <w:pStyle w:val="Akapitzlist"/>
        <w:numPr>
          <w:ilvl w:val="0"/>
          <w:numId w:val="232"/>
        </w:numPr>
        <w:spacing w:after="0" w:line="312" w:lineRule="auto"/>
        <w:ind w:left="426" w:hanging="426"/>
        <w:rPr>
          <w:rFonts w:eastAsia="Calibri"/>
          <w:szCs w:val="20"/>
        </w:rPr>
      </w:pPr>
      <w:r w:rsidRPr="00E00B35">
        <w:rPr>
          <w:rFonts w:eastAsia="Calibri"/>
          <w:szCs w:val="20"/>
        </w:rPr>
        <w:t>udzielenie na rzecz klientów MOPS łącznie 682 porad dla rodzin (nie uwzględniono środowisk, w których aktywna jest Niebieska Karta);</w:t>
      </w:r>
    </w:p>
    <w:p w:rsidR="00CA14AB" w:rsidRPr="00E00B35" w:rsidRDefault="00CA14AB" w:rsidP="00BC64AB">
      <w:pPr>
        <w:pStyle w:val="Akapitzlist"/>
        <w:numPr>
          <w:ilvl w:val="0"/>
          <w:numId w:val="232"/>
        </w:numPr>
        <w:spacing w:after="0" w:line="312" w:lineRule="auto"/>
        <w:ind w:left="426" w:hanging="426"/>
        <w:rPr>
          <w:rFonts w:eastAsia="Calibri"/>
          <w:szCs w:val="20"/>
        </w:rPr>
      </w:pPr>
      <w:r w:rsidRPr="00E00B35">
        <w:rPr>
          <w:rFonts w:eastAsia="Calibri"/>
          <w:szCs w:val="20"/>
        </w:rPr>
        <w:t xml:space="preserve">udział w pracach 42 grup roboczych w 39 rodzinach; </w:t>
      </w:r>
    </w:p>
    <w:p w:rsidR="00CA14AB" w:rsidRPr="00E00B35" w:rsidRDefault="00CA14AB" w:rsidP="00BC64AB">
      <w:pPr>
        <w:pStyle w:val="Akapitzlist"/>
        <w:numPr>
          <w:ilvl w:val="0"/>
          <w:numId w:val="232"/>
        </w:numPr>
        <w:spacing w:after="0" w:line="312" w:lineRule="auto"/>
        <w:ind w:left="426" w:hanging="426"/>
        <w:rPr>
          <w:rFonts w:eastAsia="Calibri"/>
          <w:szCs w:val="20"/>
        </w:rPr>
      </w:pPr>
      <w:r w:rsidRPr="00E00B35">
        <w:rPr>
          <w:rFonts w:eastAsia="Calibri"/>
          <w:szCs w:val="20"/>
        </w:rPr>
        <w:t xml:space="preserve">udział w 268 ocenach sytuacji rodziny, o której mowa w ustawie o wspieraniu rodziny i systemie pieczy zastępczej;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współpracę z </w:t>
      </w:r>
      <w:r w:rsidRPr="00E00B35">
        <w:rPr>
          <w:rFonts w:eastAsia="Calibri"/>
          <w:szCs w:val="20"/>
        </w:rPr>
        <w:t>innymi</w:t>
      </w:r>
      <w:r w:rsidRPr="00E00B35">
        <w:rPr>
          <w:szCs w:val="20"/>
        </w:rPr>
        <w:t xml:space="preserve"> komórkami organizacyjnymi MOPS (np. Nadodrzańskie Centrum Wsparcia, Ośrodek Interwencji Kryzysowej, Ośrodek Wsparcia) i spoza MOPS.</w:t>
      </w:r>
    </w:p>
    <w:p w:rsidR="00CA14AB" w:rsidRPr="00E00B35" w:rsidRDefault="00CA14AB" w:rsidP="00E00B35">
      <w:pPr>
        <w:spacing w:after="0" w:line="312" w:lineRule="auto"/>
        <w:rPr>
          <w:szCs w:val="20"/>
        </w:rPr>
      </w:pPr>
      <w:r w:rsidRPr="00E00B35">
        <w:rPr>
          <w:szCs w:val="20"/>
        </w:rPr>
        <w:t xml:space="preserve">Konsultanci psycholodzy i pedagodzy w 2020 roku zrealizowali łącznie 1 277 spotkań konsultacyjnych w tym: </w:t>
      </w:r>
    </w:p>
    <w:p w:rsidR="00CA14AB" w:rsidRPr="00E00B35" w:rsidRDefault="00CA14AB" w:rsidP="00BC64AB">
      <w:pPr>
        <w:pStyle w:val="Akapitzlist"/>
        <w:numPr>
          <w:ilvl w:val="0"/>
          <w:numId w:val="232"/>
        </w:numPr>
        <w:spacing w:after="0" w:line="312" w:lineRule="auto"/>
        <w:ind w:left="426" w:hanging="426"/>
        <w:rPr>
          <w:rFonts w:eastAsia="Calibri"/>
          <w:szCs w:val="20"/>
        </w:rPr>
      </w:pPr>
      <w:r w:rsidRPr="00E00B35">
        <w:rPr>
          <w:rFonts w:eastAsia="Calibri"/>
          <w:szCs w:val="20"/>
        </w:rPr>
        <w:t>w miejscu zamieszkania klienta 273 razy,</w:t>
      </w:r>
    </w:p>
    <w:p w:rsidR="00CA14AB" w:rsidRPr="00E00B35" w:rsidRDefault="00CA14AB" w:rsidP="00BC64AB">
      <w:pPr>
        <w:pStyle w:val="Akapitzlist"/>
        <w:numPr>
          <w:ilvl w:val="0"/>
          <w:numId w:val="232"/>
        </w:numPr>
        <w:spacing w:after="0" w:line="312" w:lineRule="auto"/>
        <w:ind w:left="426" w:hanging="426"/>
        <w:rPr>
          <w:rFonts w:eastAsia="Calibri"/>
          <w:szCs w:val="20"/>
        </w:rPr>
      </w:pPr>
      <w:r w:rsidRPr="00E00B35">
        <w:rPr>
          <w:rFonts w:eastAsia="Calibri"/>
          <w:szCs w:val="20"/>
        </w:rPr>
        <w:t>stacjonarnie w placówkach MOPS 1 004 razy.</w:t>
      </w:r>
    </w:p>
    <w:p w:rsidR="00CA14AB" w:rsidRPr="00E00B35" w:rsidRDefault="00CA14AB" w:rsidP="00E00B35">
      <w:pPr>
        <w:spacing w:after="0" w:line="312" w:lineRule="auto"/>
        <w:rPr>
          <w:szCs w:val="20"/>
        </w:rPr>
      </w:pPr>
      <w:r w:rsidRPr="00E00B35">
        <w:rPr>
          <w:szCs w:val="20"/>
        </w:rPr>
        <w:t xml:space="preserve">W roku 2020 zostało również podjętych 118 interwencji wobec klientów MOPS podczas dyżurów interwencyjnych oraz wydano 143 adnotacje urzędowe dla celów MOPS i zaświadczeń dla klientów. Konsultanci przeprowadzili także 667 rozmów konsultacyjnych z pracownikami socjalnymi i asystentami rodziny. </w:t>
      </w:r>
    </w:p>
    <w:p w:rsidR="00CA14AB" w:rsidRPr="00E00B35" w:rsidRDefault="00CA14AB" w:rsidP="00E00B35">
      <w:pPr>
        <w:spacing w:after="0" w:line="312" w:lineRule="auto"/>
        <w:rPr>
          <w:szCs w:val="20"/>
        </w:rPr>
      </w:pPr>
      <w:r w:rsidRPr="00E00B35">
        <w:rPr>
          <w:szCs w:val="20"/>
        </w:rPr>
        <w:t xml:space="preserve">W 2020 roku konsultanci planowali przeprowadzić warsztaty o zróżnicowanej tematyce dla klientów MOPS. Z powodu sytuacji w kraju spowodowanej stanem epidemii wywołanej zakażeniami wirusem SARS-CoV-2, udało się przeprowadzić jedynie jeden z zaplanowanych warsztatów – cykl spotkań podnoszących kompetencje rodzicielskie, w którym udział wzięło 4 uczestników. </w:t>
      </w:r>
    </w:p>
    <w:p w:rsidR="00CA14AB" w:rsidRPr="00E00B35" w:rsidRDefault="00CA14AB" w:rsidP="00E00B35">
      <w:pPr>
        <w:spacing w:after="0" w:line="312" w:lineRule="auto"/>
        <w:rPr>
          <w:szCs w:val="20"/>
        </w:rPr>
      </w:pPr>
      <w:r w:rsidRPr="00E00B35">
        <w:rPr>
          <w:szCs w:val="20"/>
        </w:rPr>
        <w:t>Konsultanci kontynuowali również prowadzenie cyklicznych warsztatów dla seniorów usprawniających pamięć pt: „Gimnastyka umysłu” w Dziennych Domach Pomocy „Pogodna jesień”. Z powodu epidemii i z uwagi na dobro seniorów, zajęcia odbyły się jedynie w pierwszym kwartale – 4 razy dla 20 uczestników.</w:t>
      </w:r>
    </w:p>
    <w:p w:rsidR="00CA14AB" w:rsidRPr="00E00B35" w:rsidRDefault="00CA14AB" w:rsidP="00E00B35">
      <w:pPr>
        <w:spacing w:after="0" w:line="312" w:lineRule="auto"/>
        <w:rPr>
          <w:szCs w:val="20"/>
        </w:rPr>
      </w:pPr>
      <w:r w:rsidRPr="00E00B35">
        <w:rPr>
          <w:szCs w:val="20"/>
        </w:rPr>
        <w:t xml:space="preserve">Ponadto jeden z konsultantów psychologów w roku 2020 przeprowadził serię szkoleń dla pracowników MOPS dotyczącą pracy metodą Dialogu Motywacyjnego. W szkoleniach wzięło udział 55 pracowników m.in.: asystenci rodziny, pracownicy socjalni, koordynatorzy pieczy zastępczej. Konsultant psycholog przygotował również poradnik pt. „Psychologiczny samopomocnik. Koronawirus a zdrowie psychiczne”, który dostępny był na stronie MOPS: </w:t>
      </w:r>
    </w:p>
    <w:p w:rsidR="00CA14AB" w:rsidRPr="00E00B35" w:rsidRDefault="00573162" w:rsidP="00E00B35">
      <w:pPr>
        <w:spacing w:after="0" w:line="312" w:lineRule="auto"/>
        <w:rPr>
          <w:szCs w:val="20"/>
        </w:rPr>
        <w:sectPr w:rsidR="00CA14AB" w:rsidRPr="00E00B35" w:rsidSect="005D3FB0">
          <w:footerReference w:type="even" r:id="rId133"/>
          <w:footerReference w:type="default" r:id="rId134"/>
          <w:pgSz w:w="11906" w:h="16838" w:code="9"/>
          <w:pgMar w:top="1417" w:right="1417" w:bottom="1417" w:left="1417" w:header="709" w:footer="709" w:gutter="0"/>
          <w:cols w:space="708"/>
          <w:docGrid w:linePitch="360"/>
        </w:sectPr>
      </w:pPr>
      <w:hyperlink r:id="rId135" w:history="1">
        <w:r w:rsidR="00CA14AB" w:rsidRPr="00E00B35">
          <w:rPr>
            <w:szCs w:val="20"/>
          </w:rPr>
          <w:t>https://www.mops.wroclaw.pl/aktualnosci/informacje/1559-jak-radzic-sibie-w-sytuacji-stresujacej-koronawirus-a-zdrowie-psychiczne</w:t>
        </w:r>
      </w:hyperlink>
    </w:p>
    <w:p w:rsidR="00CA14AB" w:rsidRPr="00E00B35" w:rsidRDefault="00CA14AB" w:rsidP="00E00B35">
      <w:pPr>
        <w:spacing w:after="0" w:line="312" w:lineRule="auto"/>
        <w:rPr>
          <w:szCs w:val="20"/>
        </w:rPr>
      </w:pPr>
      <w:bookmarkStart w:id="437" w:name="_GoBack3"/>
      <w:bookmarkEnd w:id="437"/>
      <w:r w:rsidRPr="00E00B35">
        <w:rPr>
          <w:szCs w:val="20"/>
        </w:rPr>
        <w:lastRenderedPageBreak/>
        <w:t>Działania i poradnictwo na rzecz osób z dysfunkcją narządu słuchu podejmowane były przez konsultanta socjologa posługującego się językiem migowym na rzecz 34 osób (64 osoby w rodzinie). W roku 2020 pracownik udzielił ogółem 435 porad, dodatkowo 143 razy towarzyszył klientom niesłyszącym w załatwianiu spraw urzędowych (w tym m.in. w placówkach służby zdrowia, ZUS, bankach, spółdzielniach mieszkaniowych). Pracownik asystował pracownikom socjalnym przy wywiadach środowiskowych oraz innych działaniach podejmowanych w rodzinach porozumiewających się w języku migowym, jak również wspierał asystentów rodziny w kontakcie z niesłyszącymi podopiecznymi MOPS.</w:t>
      </w:r>
    </w:p>
    <w:p w:rsidR="00CA14AB" w:rsidRPr="00E00B35" w:rsidRDefault="00CA14AB" w:rsidP="00E00B35">
      <w:pPr>
        <w:spacing w:after="0" w:line="312" w:lineRule="auto"/>
        <w:rPr>
          <w:szCs w:val="20"/>
        </w:rPr>
      </w:pPr>
      <w:r w:rsidRPr="00E00B35">
        <w:rPr>
          <w:szCs w:val="20"/>
        </w:rPr>
        <w:t>W roku 2020 CPSR koordynowało świadczenie usług medycznych psychiatrycznych dla klientów Miejskiego Ośrodka Pomocy Społecznej w miejscu ich zamieszkania. Usługę, na podstawie podpisanych umów, realizowało dwóch lekarzy, w tym jednym ze specjalizacją psychiatrii dzieci i młodzieży. Zrealizowano ogółem 209 wizyt domowych na rzecz 180 rodzin (290 osób w rodzinach).</w:t>
      </w:r>
    </w:p>
    <w:p w:rsidR="00CA14AB" w:rsidRPr="00E00B35" w:rsidRDefault="00CA14AB" w:rsidP="00E00B35">
      <w:pPr>
        <w:spacing w:after="0" w:line="312" w:lineRule="auto"/>
        <w:rPr>
          <w:szCs w:val="20"/>
        </w:rPr>
      </w:pPr>
      <w:r w:rsidRPr="00E00B35">
        <w:rPr>
          <w:szCs w:val="20"/>
        </w:rPr>
        <w:t>Wizyty lekarzy w całości opłacone zostały ze środków finansowych MOPS.</w:t>
      </w:r>
    </w:p>
    <w:p w:rsidR="00CA14AB" w:rsidRPr="00E00B35" w:rsidRDefault="00CA14AB" w:rsidP="00E00B35">
      <w:pPr>
        <w:spacing w:after="0" w:line="312" w:lineRule="auto"/>
        <w:rPr>
          <w:szCs w:val="20"/>
        </w:rPr>
      </w:pPr>
      <w:r w:rsidRPr="00E00B35">
        <w:rPr>
          <w:szCs w:val="20"/>
        </w:rPr>
        <w:t>Interwencje u osób zaburzonych psychicznie odbywały się głównie w obecności pracowników socjalnych, a w razie potrzeby psychologa CPSR oraz policji, pielęgniarki środowiskowej, opiekunki, pracowników straży miejskiej.</w:t>
      </w:r>
    </w:p>
    <w:p w:rsidR="00890136" w:rsidRPr="00E00B35" w:rsidRDefault="00890136" w:rsidP="00E00B35">
      <w:pPr>
        <w:pStyle w:val="Nagwek4"/>
        <w:spacing w:before="0" w:after="0" w:line="312" w:lineRule="auto"/>
        <w:rPr>
          <w:sz w:val="20"/>
          <w:szCs w:val="20"/>
        </w:rPr>
      </w:pPr>
      <w:bookmarkStart w:id="438" w:name="_Toc72352442"/>
      <w:bookmarkStart w:id="439" w:name="_Toc72352876"/>
    </w:p>
    <w:p w:rsidR="00CA14AB" w:rsidRPr="00E00B35" w:rsidRDefault="00CA14AB" w:rsidP="00E00B35">
      <w:pPr>
        <w:pStyle w:val="Nagwek4"/>
        <w:spacing w:before="0" w:after="0" w:line="312" w:lineRule="auto"/>
        <w:rPr>
          <w:sz w:val="20"/>
          <w:szCs w:val="20"/>
        </w:rPr>
      </w:pPr>
      <w:r w:rsidRPr="00E00B35">
        <w:rPr>
          <w:sz w:val="20"/>
          <w:szCs w:val="20"/>
        </w:rPr>
        <w:t>PRAKTYKI ZAWODOWE I STUDENCKIE</w:t>
      </w:r>
      <w:bookmarkEnd w:id="438"/>
      <w:bookmarkEnd w:id="439"/>
    </w:p>
    <w:p w:rsidR="00CA14AB" w:rsidRPr="00E00B35" w:rsidRDefault="00CA14AB" w:rsidP="00E00B35">
      <w:pPr>
        <w:spacing w:after="0" w:line="312" w:lineRule="auto"/>
        <w:rPr>
          <w:szCs w:val="20"/>
        </w:rPr>
      </w:pPr>
      <w:r w:rsidRPr="00E00B35">
        <w:rPr>
          <w:szCs w:val="20"/>
        </w:rPr>
        <w:t xml:space="preserve">W 2020 roku w komórkach organizacyjnych MOPS praktyki studenckie i zawodowe odbywały łącznie 23 osoby, tylko 11 z nich ukończyło praktykę (m.in. z powodu epidemii). W przeważającej większości praktyki w MOPS realizują studenci Uniwersytetu Wrocławskiego o kierunku praca socjalna, ale też słuchacze innych szkół wyższych </w:t>
      </w:r>
      <w:r w:rsidRPr="00E00B35">
        <w:rPr>
          <w:szCs w:val="20"/>
        </w:rPr>
        <w:br/>
        <w:t>i policealnych. Praktyki w 2020r. realizowane były w Zespołach Terenowej Pracy Socjalnej, Zespole ds. Osób Bezdomnych i Uchodźców, Dziale Pomocy Instytucjonalnej, Dziale Usług Opiekuńczych, Dziennym Domu Pomocy Społecznej przy ul. Ciepłej.</w:t>
      </w:r>
    </w:p>
    <w:p w:rsidR="00890136" w:rsidRPr="00E00B35" w:rsidRDefault="00890136" w:rsidP="00E00B35">
      <w:pPr>
        <w:pStyle w:val="Nagwek4"/>
        <w:spacing w:before="0" w:after="0" w:line="312" w:lineRule="auto"/>
        <w:rPr>
          <w:sz w:val="20"/>
          <w:szCs w:val="20"/>
        </w:rPr>
      </w:pPr>
      <w:bookmarkStart w:id="440" w:name="_Toc72352443"/>
      <w:bookmarkStart w:id="441" w:name="_Toc72352877"/>
    </w:p>
    <w:p w:rsidR="00CA14AB" w:rsidRPr="00E00B35" w:rsidRDefault="00CA14AB" w:rsidP="00E00B35">
      <w:pPr>
        <w:pStyle w:val="Nagwek4"/>
        <w:spacing w:before="0" w:after="0" w:line="312" w:lineRule="auto"/>
        <w:rPr>
          <w:sz w:val="20"/>
          <w:szCs w:val="20"/>
        </w:rPr>
      </w:pPr>
      <w:r w:rsidRPr="00E00B35">
        <w:rPr>
          <w:sz w:val="20"/>
          <w:szCs w:val="20"/>
        </w:rPr>
        <w:t>WOLONTARIAT</w:t>
      </w:r>
      <w:bookmarkEnd w:id="440"/>
      <w:bookmarkEnd w:id="441"/>
    </w:p>
    <w:p w:rsidR="00CA14AB" w:rsidRPr="00E00B35" w:rsidRDefault="00CA14AB" w:rsidP="00E00B35">
      <w:pPr>
        <w:spacing w:after="0" w:line="312" w:lineRule="auto"/>
        <w:rPr>
          <w:szCs w:val="20"/>
        </w:rPr>
      </w:pPr>
      <w:r w:rsidRPr="00E00B35">
        <w:rPr>
          <w:szCs w:val="20"/>
        </w:rPr>
        <w:t xml:space="preserve">Wolontariusze w MOPS pozyskiwani są od 2005 roku. W 2020r. podpisano 15 nowych porozumień o współpracy z wolontariuszami. W marcu, z uwagi na panującą epidemię, wstrzymano podpisywanie deklaracji i porozumień, a także realizację zadań przez wolontariuszy (12 wolontariuszy wykazało chęć dalszej współpracy, gdy zostaną zniesione obostrzenia). Wolontariusze zaangażowani byli głównie w pomoc dzieciom </w:t>
      </w:r>
      <w:r w:rsidRPr="00E00B35">
        <w:rPr>
          <w:szCs w:val="20"/>
        </w:rPr>
        <w:br/>
        <w:t xml:space="preserve">w nauce, w tym m.in. z rodzin objętych Programem Pomocy dla Rodzin Wielodzietnych „dwa plus trzy i jeszcze więcej”, rodzin zastępczych oraz rodzin objętych pomocą MOPS, w tym asystenturą rodziny oraz Ośrodka Wsparcia przy ul. Reymonta 8. </w:t>
      </w:r>
    </w:p>
    <w:p w:rsidR="00890136" w:rsidRPr="00E00B35" w:rsidRDefault="00890136" w:rsidP="00E00B35">
      <w:pPr>
        <w:pStyle w:val="Nagwek4"/>
        <w:spacing w:before="0" w:after="0" w:line="312" w:lineRule="auto"/>
        <w:rPr>
          <w:sz w:val="20"/>
          <w:szCs w:val="20"/>
        </w:rPr>
      </w:pPr>
      <w:bookmarkStart w:id="442" w:name="_Toc72352444"/>
      <w:bookmarkStart w:id="443" w:name="_Toc72352878"/>
    </w:p>
    <w:p w:rsidR="00CA14AB" w:rsidRPr="00E00B35" w:rsidRDefault="00CA14AB" w:rsidP="00E00B35">
      <w:pPr>
        <w:pStyle w:val="Nagwek4"/>
        <w:spacing w:before="0" w:after="0" w:line="312" w:lineRule="auto"/>
        <w:rPr>
          <w:sz w:val="20"/>
          <w:szCs w:val="20"/>
        </w:rPr>
      </w:pPr>
      <w:r w:rsidRPr="00E00B35">
        <w:rPr>
          <w:sz w:val="20"/>
          <w:szCs w:val="20"/>
        </w:rPr>
        <w:t>ASYSTENT RODZINY (AR)</w:t>
      </w:r>
      <w:bookmarkEnd w:id="442"/>
      <w:bookmarkEnd w:id="443"/>
    </w:p>
    <w:p w:rsidR="00CA14AB" w:rsidRPr="00E00B35" w:rsidRDefault="00CA14AB" w:rsidP="00E00B35">
      <w:pPr>
        <w:spacing w:after="0" w:line="312" w:lineRule="auto"/>
        <w:rPr>
          <w:szCs w:val="20"/>
        </w:rPr>
      </w:pPr>
      <w:r w:rsidRPr="00E00B35">
        <w:rPr>
          <w:szCs w:val="20"/>
        </w:rPr>
        <w:t xml:space="preserve">W roku 2020 MOPS dysponował 20 etatami dla asystentów rodziny (w trakcie roku </w:t>
      </w:r>
      <w:r w:rsidRPr="00E00B35">
        <w:rPr>
          <w:szCs w:val="20"/>
        </w:rPr>
        <w:br/>
        <w:t xml:space="preserve">w sumie zatrudnionych było 24 AR). </w:t>
      </w:r>
    </w:p>
    <w:p w:rsidR="00CA14AB" w:rsidRPr="00E00B35" w:rsidRDefault="00CA14AB" w:rsidP="00E00B35">
      <w:pPr>
        <w:spacing w:after="0" w:line="312" w:lineRule="auto"/>
        <w:rPr>
          <w:szCs w:val="20"/>
        </w:rPr>
      </w:pPr>
      <w:r w:rsidRPr="00E00B35">
        <w:rPr>
          <w:szCs w:val="20"/>
        </w:rPr>
        <w:t>Do głównych zadań asystenta rodziny należy: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opracowanie i realizacja planu pracy z rodziną;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dokumentacji dotyczącej pracy z rodziną;</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lastRenderedPageBreak/>
        <w:t>udzielanie pomocy rodzinom w poprawie ich sytuacji życiowej i w zdobywaniu umiejętności prawidłowego prowadzenia gospodarstwa domowego;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udzielanie pomocy rodzinom w rozwiązywaniu problemów socjalnych, psychologicznych, wychowawczych;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motywowanie członków rodziny do podnoszenia kwalifikacji zawodowych oraz pomoc w poszukiwaniu, podejmowaniu i utrzymaniu pracy zarobkowej;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indywidualnych konsultacji wychowawczych dla rodziców i dzieci;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dokonywanie okresowej oceny sytuacji rodziny (okresowa ocena następuje po 6 miesiącach pracy z rodziną; harmonogram planowanych ocen dla poszczególnych rodzin znajduje się w dokumentacji asystenta);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monitorowanie funkcjonowania rodziny po zakończeniu pracy z rodziną;</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sporządzanie na wniosek sądu opinii o rodzinie i jej członkach;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współpraca z podmiotami działającymi na rzecz rodziny;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podejmowanie działań interwencyjnych i zaradczych w sytuacji zagrożenia bezpieczeństwa dzieci i rodziny;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realizacja zadań określonych w ustawie z dnia 4 listopada 2016r. o wsparciu kobiet w ciąży i rodzin „Za życiem”.</w:t>
      </w:r>
    </w:p>
    <w:p w:rsidR="00CA14AB" w:rsidRPr="00E00B35" w:rsidRDefault="00CA14AB" w:rsidP="00E00B35">
      <w:pPr>
        <w:spacing w:after="0" w:line="312" w:lineRule="auto"/>
        <w:rPr>
          <w:szCs w:val="20"/>
        </w:rPr>
      </w:pPr>
      <w:r w:rsidRPr="00E00B35">
        <w:rPr>
          <w:szCs w:val="20"/>
        </w:rPr>
        <w:t xml:space="preserve">Asystenci rodziny, realizując swoje zadania w roku 2020, odpowiedzialni byli za koordynowanie działań zmierzających do poprawy sytuacji rodzin. </w:t>
      </w:r>
    </w:p>
    <w:p w:rsidR="00CA14AB" w:rsidRPr="00E00B35" w:rsidRDefault="00CA14AB" w:rsidP="00E00B35">
      <w:pPr>
        <w:spacing w:after="0" w:line="312" w:lineRule="auto"/>
        <w:rPr>
          <w:szCs w:val="20"/>
        </w:rPr>
      </w:pPr>
      <w:r w:rsidRPr="00E00B35">
        <w:rPr>
          <w:szCs w:val="20"/>
        </w:rPr>
        <w:t xml:space="preserve">W roku 2020 z usług asystenta rodziny skorzystało łącznie 311 rodzin, z tego ze 101 rodzinami zakończono współpracę ze względu na: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osiągnięte cele z 36 rodzinami,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zaprzestanie współpracy przez rodzinę z 34 rodzinami,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brak efektów z 7 rodzinami,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zmianę metod pracy z 2 rodzinami,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inne przyczyny – 22 (w tym zmiana miejsca zamieszkania poza Wrocław, brak kontaktu ze strony klientów, pozbawienie władzy rodzicielskiej, osiągnięcie pełnoletności przez dzieci).</w:t>
      </w:r>
    </w:p>
    <w:p w:rsidR="00CA14AB" w:rsidRPr="00E00B35" w:rsidRDefault="00CA14AB" w:rsidP="00E00B35">
      <w:pPr>
        <w:spacing w:after="0" w:line="312" w:lineRule="auto"/>
        <w:rPr>
          <w:szCs w:val="20"/>
        </w:rPr>
      </w:pPr>
      <w:r w:rsidRPr="00E00B35">
        <w:rPr>
          <w:szCs w:val="20"/>
        </w:rPr>
        <w:t xml:space="preserve">Ponadto asystenci rodzin przeprowadzili 473 okresowe oceny sytuacji rodziny, o których mowa w ustawie o wspieraniu rodziny i systemie pieczy zastępczej (t.j. Dz.U. 2020, poz. 821), powołali 3 zespoły problemowe, wzięli udział w 103 grupach roboczych w ramach procedury Niebieskie Karty, a także z uwagi na sytuację epidemiczną w kraju </w:t>
      </w:r>
      <w:r w:rsidRPr="00E00B35">
        <w:rPr>
          <w:szCs w:val="20"/>
        </w:rPr>
        <w:br/>
        <w:t>w 57 grupach roboczych w formie zdalnej.</w:t>
      </w:r>
    </w:p>
    <w:p w:rsidR="00CA14AB" w:rsidRPr="00E00B35" w:rsidRDefault="00CA14AB" w:rsidP="00E00B35">
      <w:pPr>
        <w:spacing w:after="0" w:line="312" w:lineRule="auto"/>
        <w:rPr>
          <w:szCs w:val="20"/>
        </w:rPr>
      </w:pPr>
      <w:r w:rsidRPr="00E00B35">
        <w:rPr>
          <w:szCs w:val="20"/>
        </w:rPr>
        <w:t>W 2020r. asystenci rodziny, oprócz bezpośredniej pracy w środowisku zamieszkania rodzin, włączyli się w działania związane z wprowadzeniem w kraju stanu epidemii</w:t>
      </w:r>
      <w:r w:rsidRPr="00E00B35">
        <w:rPr>
          <w:szCs w:val="20"/>
        </w:rPr>
        <w:br/>
        <w:t>w związku z rozprzestrzenianiem się wirusa SARS-CoV-2, w tym m.in.: profilaktykę zakażeń, edukowanie w kwestii obowiązujących zasad bezpieczeństwa, wsparcie emocjonalne rodzin, przeciwdziałanie wykluczeniu cyfrowemu, pomoc</w:t>
      </w:r>
      <w:r w:rsidRPr="00E00B35">
        <w:rPr>
          <w:szCs w:val="20"/>
        </w:rPr>
        <w:br/>
        <w:t>w uzyskaniu sprzętu komputerowego na potrzeby udziału dzieci w nauczaniu zdalnym, edukowanie rodzin w zakresie kontaktu online ze szkołą i urzędami, edukowanie</w:t>
      </w:r>
      <w:r w:rsidRPr="00E00B35">
        <w:rPr>
          <w:szCs w:val="20"/>
        </w:rPr>
        <w:br/>
        <w:t>i motywowanie rodzin do korzystania ze wsparcia psychologicznego online, zgłoszenie rodzin w trudnej sytuacji finansowej do akcji charytatywnej „Szlachetna Paczka”.</w:t>
      </w:r>
    </w:p>
    <w:p w:rsidR="00CA14AB" w:rsidRPr="00E00B35" w:rsidRDefault="00CA14AB" w:rsidP="00E00B35">
      <w:pPr>
        <w:spacing w:after="0" w:line="312" w:lineRule="auto"/>
        <w:rPr>
          <w:szCs w:val="20"/>
        </w:rPr>
      </w:pPr>
      <w:r w:rsidRPr="00E00B35">
        <w:rPr>
          <w:szCs w:val="20"/>
        </w:rPr>
        <w:lastRenderedPageBreak/>
        <w:t xml:space="preserve">W dniu 04 listopada 2016 roku weszła w życie ustawa o wspieraniu kobiet w ciąży </w:t>
      </w:r>
      <w:r w:rsidRPr="00E00B35">
        <w:rPr>
          <w:szCs w:val="20"/>
        </w:rPr>
        <w:br/>
        <w:t xml:space="preserve">i rodzin „Za życiem”. W ramach tej ustawy kobiety w ciąży, ze szczególnym uwzględnieniem kobiet w ciąży powikłanej oraz w sytuacji niepowodzeń położniczych, oraz rodziny z dzieckiem, u którego zdiagnozowano ciężkie i nieodwracalne upośledzenie albo nieuleczalną chorobę zagrażającą jego życiu, które powstały w prenatalnym okresie rozwoju dziecka lub w czasie porodu – mogą skorzystać z poradnictwa w zakresie: przezwyciężenia trudności w pielęgnacji i wychowaniu dziecka, wsparcia psychologicznego, pomocy prawnej i dostępu do rehabilitacji społecznej i zawodowej oraz świadczeń opieki zdrowotnej.  Asystenci rodziny zgodnie z art. 8 pkt 3 koordynują powyższe działania, opracowują wspólnie z rodziną katalog możliwego do uzyskania wsparcia oraz występują w imieniu tych rodzin, na ich żądanie do różnych podmiotów, </w:t>
      </w:r>
      <w:r w:rsidRPr="00E00B35">
        <w:rPr>
          <w:szCs w:val="20"/>
        </w:rPr>
        <w:br/>
        <w:t>w celu umożliwienia im skorzystania ze wsparcia, na podstawie pisemnego upoważnienia. W 2020 roku taką formą pomocy objętych było 14 rodzin (zostały wliczone do liczby rodzin objętych asystenturą – 311).</w:t>
      </w:r>
    </w:p>
    <w:p w:rsidR="00CA14AB" w:rsidRPr="00E00B35" w:rsidRDefault="00CA14AB" w:rsidP="00E00B35">
      <w:pPr>
        <w:spacing w:after="0" w:line="312" w:lineRule="auto"/>
        <w:rPr>
          <w:szCs w:val="20"/>
        </w:rPr>
      </w:pPr>
      <w:r w:rsidRPr="00E00B35">
        <w:rPr>
          <w:szCs w:val="20"/>
        </w:rPr>
        <w:t xml:space="preserve">Ustawa o wspieraniu rodziny i systemie pieczy zastępczej daje możliwość objęcia rodzin przeżywających trudności w wypełnianiu funkcji opiekuńczo-wychowawczych pomocą rodziny wspierającej. Pełnienie funkcji rodziny wspierającej może być powierzone osobom z bezpośredniego otoczenia dziecka, które nie były skazane prawomocnym wyrokiem za umyślne przestępstwo. Powinna to być rodzina/osoba z najbliższego otoczenia rodziny, z sąsiedztwa, ktoś, kto rodzinie jest znany (nie wyklucza to rodziny spokrewnionej). </w:t>
      </w:r>
    </w:p>
    <w:p w:rsidR="00CA14AB" w:rsidRPr="00E00B35" w:rsidRDefault="00CA14AB" w:rsidP="00E00B35">
      <w:pPr>
        <w:spacing w:after="0" w:line="312" w:lineRule="auto"/>
        <w:rPr>
          <w:szCs w:val="20"/>
        </w:rPr>
      </w:pPr>
      <w:r w:rsidRPr="00E00B35">
        <w:rPr>
          <w:szCs w:val="20"/>
        </w:rPr>
        <w:t>Ustawa o wspieraniu rodziny i systemie pieczy zastępczej wymienia 3 obszary pracy dla rodzin wspierających: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opieka i wychowanie dziecka;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gospodarstwa domowego;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kształtowanie i wypełnianie podstawowych ról społecznych.</w:t>
      </w:r>
    </w:p>
    <w:p w:rsidR="00CA14AB" w:rsidRPr="00E00B35" w:rsidRDefault="00CA14AB" w:rsidP="00E00B35">
      <w:pPr>
        <w:spacing w:after="0" w:line="312" w:lineRule="auto"/>
        <w:rPr>
          <w:szCs w:val="20"/>
        </w:rPr>
      </w:pPr>
      <w:r w:rsidRPr="00E00B35">
        <w:rPr>
          <w:szCs w:val="20"/>
        </w:rPr>
        <w:t>W roku 2020 podjęte zostały działania zmierzające do pozyskania rodzin mogących realizować to zadanie. Sytuacja spowodowana stanem epidemii wywołanym wirusem SARS-CoV-2 znacząco utrudniła realizację tego zadania. W roku 2020 zrealizowano: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Przygotowanie umowy na świadczenie usługi rodziny wspierającej,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Opracowanie procedury kierowania do rodzin - rodziny wspieranej w MOPS Wrocław,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Opracowanie dokumentacji, w tym kwestionariusza wywiadu z członkami rodzin, oświadczenia i wniosku kandydata/kandydatki do pełnienia funkcji rodziny wspierającej i inne,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Umieszczono informację</w:t>
      </w:r>
      <w:bookmarkStart w:id="444" w:name="_GoBack1"/>
      <w:bookmarkEnd w:id="444"/>
      <w:r w:rsidRPr="00E00B35">
        <w:rPr>
          <w:szCs w:val="20"/>
        </w:rPr>
        <w:t xml:space="preserve"> na stronie MOPS: </w:t>
      </w:r>
      <w:hyperlink r:id="rId136">
        <w:r w:rsidRPr="00E00B35">
          <w:rPr>
            <w:szCs w:val="20"/>
          </w:rPr>
          <w:t>https://www.mops.wroclaw.pl/formy-pomocy/pomoc-uslugowa/asystent-rodziny/1644-zostan-rodzina-wspierajaca</w:t>
        </w:r>
      </w:hyperlink>
      <w:r w:rsidRPr="00E00B35">
        <w:rPr>
          <w:szCs w:val="20"/>
        </w:rPr>
        <w:t xml:space="preserve"> </w:t>
      </w:r>
    </w:p>
    <w:p w:rsidR="00890136" w:rsidRPr="00E00B35" w:rsidRDefault="00890136" w:rsidP="00E00B35">
      <w:pPr>
        <w:pStyle w:val="Nagwek4"/>
        <w:spacing w:before="0" w:after="0" w:line="312" w:lineRule="auto"/>
        <w:rPr>
          <w:sz w:val="20"/>
          <w:szCs w:val="20"/>
        </w:rPr>
      </w:pPr>
      <w:bookmarkStart w:id="445" w:name="_Toc72352445"/>
      <w:bookmarkStart w:id="446" w:name="_Toc72352879"/>
    </w:p>
    <w:p w:rsidR="00CA14AB" w:rsidRPr="00E00B35" w:rsidRDefault="00CA14AB" w:rsidP="00E00B35">
      <w:pPr>
        <w:pStyle w:val="Nagwek4"/>
        <w:spacing w:before="0" w:after="0" w:line="312" w:lineRule="auto"/>
        <w:rPr>
          <w:sz w:val="20"/>
          <w:szCs w:val="20"/>
        </w:rPr>
      </w:pPr>
      <w:r w:rsidRPr="00E00B35">
        <w:rPr>
          <w:sz w:val="20"/>
          <w:szCs w:val="20"/>
        </w:rPr>
        <w:t>ZESPÓŁ DS. AKTYWIZACJI I INTEGRACJI</w:t>
      </w:r>
      <w:bookmarkEnd w:id="445"/>
      <w:bookmarkEnd w:id="446"/>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PUNKTY AKTYWIZACJI SPOŁECZNO-ZAWODOWEJ (PASZ)</w:t>
      </w:r>
    </w:p>
    <w:p w:rsidR="00CA14AB" w:rsidRPr="00E00B35" w:rsidRDefault="00CA14AB" w:rsidP="00E00B35">
      <w:pPr>
        <w:spacing w:after="0" w:line="312" w:lineRule="auto"/>
        <w:rPr>
          <w:szCs w:val="20"/>
        </w:rPr>
      </w:pPr>
      <w:r w:rsidRPr="00E00B35">
        <w:rPr>
          <w:szCs w:val="20"/>
        </w:rPr>
        <w:t xml:space="preserve">Działania PASZ kierowane były do osób nieaktywnych społecznie i zawodowo, osób pozostających bez zatrudnienia, klientów zagrożonych wykluczeniem społecznym. </w:t>
      </w:r>
    </w:p>
    <w:p w:rsidR="00CA14AB" w:rsidRPr="00E00B35" w:rsidRDefault="00CA14AB" w:rsidP="00E00B35">
      <w:pPr>
        <w:spacing w:after="0" w:line="312" w:lineRule="auto"/>
        <w:rPr>
          <w:szCs w:val="20"/>
        </w:rPr>
      </w:pPr>
      <w:r w:rsidRPr="00E00B35">
        <w:rPr>
          <w:szCs w:val="20"/>
        </w:rPr>
        <w:lastRenderedPageBreak/>
        <w:t xml:space="preserve">Realizuje aktywizację edukację i wsparcie. Wypracowywana jest we współpracy z klientem indywidualna ścieżka reintegracji oraz wzmacniane są umiejętności wykorzystywania aktywnych metod poszukiwania pracy. </w:t>
      </w:r>
    </w:p>
    <w:p w:rsidR="00CA14AB" w:rsidRPr="00E00B35" w:rsidRDefault="00CA14AB" w:rsidP="00E00B35">
      <w:pPr>
        <w:spacing w:after="0" w:line="312" w:lineRule="auto"/>
        <w:rPr>
          <w:szCs w:val="20"/>
        </w:rPr>
      </w:pPr>
      <w:r w:rsidRPr="00E00B35">
        <w:rPr>
          <w:szCs w:val="20"/>
        </w:rPr>
        <w:t xml:space="preserve">W 2020 roku poradnictwa udzielono 164 osobom (254 osoby w rodzinach), w tym 61 kobietom i 103 mężczyznom, a pracownicy PASZ przeprowadzili 664 rozmowy doradcze, Pracownicy ds. aktywizacji omawiali sprawy wspólnych klientów z pracownikami socjalnymi i innymi specjalistami MOPS łącznie 1 167 razy. Ponadto kierowali bezrobotnych klientów MOPS do prac społecznie użytecznych, współpracowali z wieloma organizacjami i instytucjami, w tym z Wrocławskim Centrum Integracji. </w:t>
      </w:r>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PROGRAM PRAC SPOŁECZNIE UŻYTECZNYCH (PSU)</w:t>
      </w:r>
    </w:p>
    <w:p w:rsidR="00CA14AB" w:rsidRPr="00E00B35" w:rsidRDefault="00CA14AB" w:rsidP="00E00B35">
      <w:pPr>
        <w:spacing w:after="0" w:line="312" w:lineRule="auto"/>
        <w:rPr>
          <w:szCs w:val="20"/>
        </w:rPr>
      </w:pPr>
      <w:r w:rsidRPr="00E00B35">
        <w:rPr>
          <w:szCs w:val="20"/>
        </w:rPr>
        <w:t xml:space="preserve">Prace społecznie użyteczne (PSU) są instrumentem aktywizującym skierowanym do osób bezrobotnych korzystających ze świadczeń z pomocy społecznej. </w:t>
      </w:r>
    </w:p>
    <w:p w:rsidR="00CA14AB" w:rsidRPr="00E00B35" w:rsidRDefault="00CA14AB" w:rsidP="00E00B35">
      <w:pPr>
        <w:spacing w:after="0" w:line="312" w:lineRule="auto"/>
        <w:rPr>
          <w:szCs w:val="20"/>
        </w:rPr>
      </w:pPr>
      <w:r w:rsidRPr="00E00B35">
        <w:rPr>
          <w:szCs w:val="20"/>
        </w:rPr>
        <w:t>Osoby chętne mogą dodatkowo wziąć udział w Programie Aktywizacja i Integracja (PAI), który zakłada aktywizację zawodową poprzez udział w PSU i działania w zakresie integracji społecznej bezrobotnych poprzez grupowe poradnictwo specjalistyczne, warsztaty trenerskie, grupy wsparcia. Działania te mają na celu kształtowanie aktywnej postawy w życiu społecznym i zawodowym. Program zakłada przywrócenie ww. osób bezrobotnych na rynek pracy, utrwalenia pożądanych i potrzebnych na rynku pracy nawyków w celu podjęcia pracy na otwartym rynku pracy. W roku 2020 Program Aktywizacja i Integracja nie odbył się. Powodem takiego stanu rzeczy był brak chętnych do uczestnictwa. Kandydaci, którzy wstępnie zadeklarowali udział, po wprowadzeniu ograniczeń, nakazów i zakazów wynikających z trwającej epidemii wywołanej wirusem SARS-CoV-2 w obawie o swoje zdrowie, ostatecznie nie wyrazili chęci udziału w PAI.</w:t>
      </w:r>
      <w:r w:rsidRPr="00E00B35">
        <w:rPr>
          <w:rFonts w:eastAsia="Calibri"/>
          <w:szCs w:val="20"/>
        </w:rPr>
        <w:t xml:space="preserve"> </w:t>
      </w:r>
    </w:p>
    <w:p w:rsidR="00CA14AB" w:rsidRPr="00E00B35" w:rsidRDefault="00CA14AB" w:rsidP="00E00B35">
      <w:pPr>
        <w:spacing w:after="0" w:line="312" w:lineRule="auto"/>
        <w:rPr>
          <w:szCs w:val="20"/>
        </w:rPr>
      </w:pPr>
      <w:r w:rsidRPr="00E00B35">
        <w:rPr>
          <w:szCs w:val="20"/>
        </w:rPr>
        <w:t xml:space="preserve">Celem tych prac jest przede wszystkim przygotowanie osób wykluczonych do pełnienia ról zawodowych oraz do pełnego uczestnictwa w życiu społecznym i gospodarczym, oraz ma służyć zwiększaniu zdolności do zdobycia i utrzymania zatrudnienia. Osoba przystępująca do prac społecznie użytecznych jest zobowiązana do przepracowania </w:t>
      </w:r>
      <w:r w:rsidRPr="00E00B35">
        <w:rPr>
          <w:szCs w:val="20"/>
        </w:rPr>
        <w:br/>
        <w:t>w wymiarze do 10 godzin tygodniowo 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jednostkach organizacyjnych pomocy społecznej,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organizacjach pozarządowych statutowo zajmujących się pomocą charytatywną lub na rzecz społeczności lokalnej, organizacjach pozarządowych realizujących zadania pomocy społecznej na zlecenie lub w ramach działań statutowych,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instytucjach publicznych działających na rzecz społeczności lokalnej (np. szkoły, domy kultury, biblioteki, przedszkola, żłobki).</w:t>
      </w:r>
    </w:p>
    <w:p w:rsidR="00CA14AB" w:rsidRPr="00E00B35" w:rsidRDefault="00CA14AB" w:rsidP="00E00B35">
      <w:pPr>
        <w:spacing w:after="0" w:line="312" w:lineRule="auto"/>
        <w:rPr>
          <w:szCs w:val="20"/>
        </w:rPr>
      </w:pPr>
      <w:r w:rsidRPr="00E00B35">
        <w:rPr>
          <w:szCs w:val="20"/>
        </w:rPr>
        <w:t xml:space="preserve">W 2020r. Miejski Ośrodek Pomocy Społecznej wnioskował o organizację Prac Społecznie Użytecznych dla 60 osób, w tym dla 10 osób w ramach Programu Aktywizacja </w:t>
      </w:r>
      <w:r w:rsidRPr="00E00B35">
        <w:rPr>
          <w:szCs w:val="20"/>
        </w:rPr>
        <w:br/>
        <w:t xml:space="preserve">i Integracja. </w:t>
      </w:r>
    </w:p>
    <w:p w:rsidR="00CA14AB" w:rsidRPr="00E00B35" w:rsidRDefault="00CA14AB" w:rsidP="00E00B35">
      <w:pPr>
        <w:spacing w:after="0" w:line="312" w:lineRule="auto"/>
        <w:rPr>
          <w:szCs w:val="20"/>
        </w:rPr>
      </w:pPr>
      <w:r w:rsidRPr="00E00B35">
        <w:rPr>
          <w:szCs w:val="20"/>
        </w:rPr>
        <w:t>Program Prac Społecznie Użytecznych w 2020 roku z powodu epidemii wywołanej wirusem SARS-CoV-2 realizowany był w okresie od 1 lipca do 30 listopada. Wiele podmiotów, które pierwotnie zgłosiły chęć przyjęcia osób do wykonywania prac społecznie użytecznych zrezygnowała z ich realizacji.</w:t>
      </w:r>
    </w:p>
    <w:p w:rsidR="00CA14AB" w:rsidRPr="00E00B35" w:rsidRDefault="00CA14AB" w:rsidP="00E00B35">
      <w:pPr>
        <w:spacing w:after="0" w:line="312" w:lineRule="auto"/>
        <w:rPr>
          <w:szCs w:val="20"/>
        </w:rPr>
      </w:pPr>
      <w:r w:rsidRPr="00E00B35">
        <w:rPr>
          <w:szCs w:val="20"/>
        </w:rPr>
        <w:lastRenderedPageBreak/>
        <w:t>Pozyskano 138 miejsc pracy w 37 podmiotach, w których potencjalnie mogą być wykonywane prace społecznie użyteczne, w tym w 13 instytucjach pożytku publicznego.</w:t>
      </w:r>
    </w:p>
    <w:p w:rsidR="00CA14AB" w:rsidRPr="00E00B35" w:rsidRDefault="00CA14AB" w:rsidP="00E00B35">
      <w:pPr>
        <w:spacing w:after="0" w:line="312" w:lineRule="auto"/>
        <w:rPr>
          <w:szCs w:val="20"/>
        </w:rPr>
      </w:pPr>
      <w:r w:rsidRPr="00E00B35">
        <w:rPr>
          <w:szCs w:val="20"/>
        </w:rPr>
        <w:t>Do projektu pracownicy socjalni ZTPS 1-7, ZOBU, Ośrodka Wsparcia i pracownicy Punktu Aktywizacji Społeczno-Zawodowej CPSR zgłosili 96 osób, w tym 32 kobiety i 64 mężczyzn. Do prac społecznie użytecznych z uwagi na liczne ograniczenia ostatecznie skierowano 49 osób (11 kobiet i 38 mężczyzn), z czego aktywność zawodową podjęły 42 osoby (8 kobiet i 34 mężczyzn).</w:t>
      </w:r>
    </w:p>
    <w:p w:rsidR="00890136" w:rsidRPr="00E00B35" w:rsidRDefault="00890136" w:rsidP="00E00B35">
      <w:pPr>
        <w:pStyle w:val="Nagwek4"/>
        <w:spacing w:before="0" w:after="0" w:line="312" w:lineRule="auto"/>
        <w:rPr>
          <w:sz w:val="20"/>
          <w:szCs w:val="20"/>
        </w:rPr>
      </w:pPr>
    </w:p>
    <w:p w:rsidR="00CA14AB" w:rsidRPr="00E00B35" w:rsidRDefault="00CA14AB" w:rsidP="00E00B35">
      <w:pPr>
        <w:pStyle w:val="Nagwek4"/>
        <w:spacing w:before="0" w:after="0" w:line="312" w:lineRule="auto"/>
        <w:rPr>
          <w:sz w:val="20"/>
          <w:szCs w:val="20"/>
        </w:rPr>
      </w:pPr>
      <w:r w:rsidRPr="00E00B35">
        <w:rPr>
          <w:sz w:val="20"/>
          <w:szCs w:val="20"/>
        </w:rPr>
        <w:t xml:space="preserve">WSPÓŁPRACA Z WROCŁAWSKIM CENTRUM INTEGRACJI </w:t>
      </w:r>
    </w:p>
    <w:p w:rsidR="00CA14AB" w:rsidRPr="00E00B35" w:rsidRDefault="00CA14AB" w:rsidP="00E00B35">
      <w:pPr>
        <w:spacing w:after="0" w:line="312" w:lineRule="auto"/>
        <w:rPr>
          <w:rFonts w:eastAsia="Calibri"/>
          <w:szCs w:val="20"/>
          <w:highlight w:val="yellow"/>
        </w:rPr>
      </w:pPr>
      <w:r w:rsidRPr="00E00B35">
        <w:rPr>
          <w:szCs w:val="20"/>
        </w:rPr>
        <w:t xml:space="preserve">Miejski Ośrodek Pomocy Społecznej w roku 2020 współpracował z Wrocławskim Centrum Integracji (WCI) na rzecz zagrożonych wykluczeniem społecznym mieszkańców Wrocławia. Pracownicy socjalni MOPS na podstawie przeprowadzonych wywiadów środowiskowych skierowali łącznie 122 osoby do uczestnictwa w WCI w ramach realizacji projektu „Razem można więcej”, „Centrum Kompetencji” oraz do szkoleń pozaprojektowych zgodnie z ustawą o zatrudnieniu socjalnym. </w:t>
      </w:r>
    </w:p>
    <w:p w:rsidR="00890136" w:rsidRPr="00E00B35" w:rsidRDefault="00890136" w:rsidP="00E00B35">
      <w:pPr>
        <w:pStyle w:val="Nagwek4"/>
        <w:spacing w:before="0" w:after="0" w:line="312" w:lineRule="auto"/>
        <w:rPr>
          <w:sz w:val="20"/>
          <w:szCs w:val="20"/>
        </w:rPr>
      </w:pPr>
    </w:p>
    <w:p w:rsidR="00CA14AB" w:rsidRPr="00E00B35" w:rsidRDefault="00CA14AB" w:rsidP="00E00B35">
      <w:pPr>
        <w:pStyle w:val="Nagwek4"/>
        <w:spacing w:before="0" w:after="0" w:line="312" w:lineRule="auto"/>
        <w:rPr>
          <w:sz w:val="20"/>
          <w:szCs w:val="20"/>
        </w:rPr>
      </w:pPr>
      <w:r w:rsidRPr="00E00B35">
        <w:rPr>
          <w:sz w:val="20"/>
          <w:szCs w:val="20"/>
        </w:rPr>
        <w:t>METODA ŚRODOWISKOWA</w:t>
      </w:r>
    </w:p>
    <w:p w:rsidR="00CA14AB" w:rsidRPr="00E00B35" w:rsidRDefault="00CA14AB" w:rsidP="00E00B35">
      <w:pPr>
        <w:spacing w:after="0" w:line="312" w:lineRule="auto"/>
        <w:rPr>
          <w:rFonts w:eastAsia="Calibri"/>
          <w:szCs w:val="20"/>
        </w:rPr>
      </w:pPr>
      <w:r w:rsidRPr="00E00B35">
        <w:rPr>
          <w:rFonts w:eastAsia="Calibri"/>
          <w:szCs w:val="20"/>
        </w:rPr>
        <w:t xml:space="preserve">W 2020 roku w Miejskim Ośrodku Pomocy Społecznej we Wrocławiu we wszystkich </w:t>
      </w:r>
      <w:r w:rsidRPr="00E00B35">
        <w:rPr>
          <w:rFonts w:eastAsia="Calibri"/>
          <w:szCs w:val="20"/>
        </w:rPr>
        <w:br/>
        <w:t xml:space="preserve">Zespołach Terenowej Pracy Socjalnej oraz w Zespole ds. Osób Bezdomnych i Uchodźców realizowana była przez pracowników socjalnych środowiskowa metoda pracy socjalnej. Metoda ta polega na organizowaniu społeczności lokalnej, a także na współpracy </w:t>
      </w:r>
      <w:r w:rsidRPr="00E00B35">
        <w:rPr>
          <w:rFonts w:eastAsia="Calibri"/>
          <w:szCs w:val="20"/>
        </w:rPr>
        <w:br/>
        <w:t xml:space="preserve">pomiędzy instytucjami publicznymi, organizacjami pozarządowymi i mieszkańcami celem poprawy warunków życia mieszkańców. </w:t>
      </w:r>
    </w:p>
    <w:p w:rsidR="00CA14AB" w:rsidRPr="00E00B35" w:rsidRDefault="00CA14AB" w:rsidP="00E00B35">
      <w:pPr>
        <w:spacing w:after="0" w:line="312" w:lineRule="auto"/>
        <w:rPr>
          <w:rFonts w:eastAsia="Calibri"/>
          <w:szCs w:val="20"/>
        </w:rPr>
      </w:pPr>
      <w:r w:rsidRPr="00E00B35">
        <w:rPr>
          <w:rFonts w:eastAsia="Calibri"/>
          <w:szCs w:val="20"/>
        </w:rPr>
        <w:t xml:space="preserve">W związku z pojawieniem się epidemii wywołanej wirusem SARS-CoV-2 i związanymi z nią obostrzeniami, w roku 2020 zaplanowane działania środowiskowe uległy zmianie, wiele z nich zostało odwołanych, a grupy odbiorców, do których były kierowane, zostały znacznie zmniejszone. Ponadto charakter działań środowiskowych, który głównie opiera się na integrowaniu i poznawaniu środowiska lokalnego w znacznym stopniu musiał ulec </w:t>
      </w:r>
      <w:r w:rsidRPr="00E00B35">
        <w:rPr>
          <w:rFonts w:eastAsia="Calibri"/>
          <w:szCs w:val="20"/>
        </w:rPr>
        <w:br/>
        <w:t xml:space="preserve">zmianie.  </w:t>
      </w:r>
    </w:p>
    <w:p w:rsidR="00CA14AB" w:rsidRPr="00E00B35" w:rsidRDefault="00CA14AB" w:rsidP="00E00B35">
      <w:pPr>
        <w:spacing w:after="0" w:line="312" w:lineRule="auto"/>
        <w:rPr>
          <w:rFonts w:eastAsia="Calibri"/>
          <w:szCs w:val="20"/>
        </w:rPr>
      </w:pPr>
      <w:r w:rsidRPr="00E00B35">
        <w:rPr>
          <w:rFonts w:eastAsia="Calibri"/>
          <w:szCs w:val="20"/>
        </w:rPr>
        <w:t>W 2020 roku Miejski Ośrodek Pomocy Społecznej brał udział w realizacji 276 różnych działań środowiskowych na terenie Wrocławia.  W działania te zaangażowanych było 105 pracowników MOPS.</w:t>
      </w:r>
    </w:p>
    <w:p w:rsidR="00CA14AB" w:rsidRPr="00E00B35" w:rsidRDefault="00CA14AB" w:rsidP="00E00B35">
      <w:pPr>
        <w:spacing w:after="0" w:line="312" w:lineRule="auto"/>
        <w:rPr>
          <w:rFonts w:eastAsia="Calibri"/>
          <w:szCs w:val="20"/>
        </w:rPr>
      </w:pPr>
      <w:r w:rsidRPr="00E00B35">
        <w:rPr>
          <w:rFonts w:eastAsia="Calibri"/>
          <w:szCs w:val="20"/>
        </w:rPr>
        <w:t xml:space="preserve">Pośród działań środowiskowych najczęściej podejmowanych w 2020r. znalazły się: </w:t>
      </w:r>
      <w:r w:rsidRPr="00E00B35">
        <w:rPr>
          <w:rFonts w:eastAsia="Calibri"/>
          <w:szCs w:val="20"/>
        </w:rPr>
        <w:br/>
        <w:t xml:space="preserve">spotkania edukacyjne, partnerskie, informacyjne, dyżury informacyjne (m.in. w Radach Osiedli, Areszcie Śledczym, Organizacjach pozarządowych), Inicjatywy społeczne (m.in. sadzenie krzewów ozdobnych, gotowanie do lodówki społecznej, wystawy fotograficzne), koordynowanie i dystrybuowanie paczek żywnościowych / higienicznych z okazji świąt, mikołajków etc. </w:t>
      </w:r>
    </w:p>
    <w:p w:rsidR="00CA14AB" w:rsidRPr="00E00B35" w:rsidRDefault="00CA14AB" w:rsidP="00E00B35">
      <w:pPr>
        <w:spacing w:after="0" w:line="312" w:lineRule="auto"/>
        <w:rPr>
          <w:rFonts w:eastAsia="Calibri"/>
          <w:szCs w:val="20"/>
        </w:rPr>
      </w:pPr>
      <w:r w:rsidRPr="00E00B35">
        <w:rPr>
          <w:rFonts w:eastAsia="Calibri"/>
          <w:szCs w:val="20"/>
        </w:rPr>
        <w:t>Ilość poszczególnych działań środowiskowych podejmowanych przez MOPS w 2020 roku przedstawia wykres słupkowy</w:t>
      </w:r>
    </w:p>
    <w:p w:rsidR="00CA14AB" w:rsidRPr="00E00B35" w:rsidRDefault="00CA14AB" w:rsidP="00E00B35">
      <w:pPr>
        <w:spacing w:after="0" w:line="312" w:lineRule="auto"/>
        <w:rPr>
          <w:szCs w:val="20"/>
          <w:highlight w:val="yellow"/>
        </w:rPr>
      </w:pPr>
      <w:r w:rsidRPr="00E00B35">
        <w:rPr>
          <w:noProof/>
          <w:szCs w:val="20"/>
          <w:lang w:val="pl-PL" w:eastAsia="pl-PL" w:bidi="ar-SA"/>
        </w:rPr>
        <w:lastRenderedPageBreak/>
        <w:drawing>
          <wp:inline distT="0" distB="0" distL="0" distR="0">
            <wp:extent cx="5751195" cy="3032125"/>
            <wp:effectExtent l="19050" t="0" r="1905" b="0"/>
            <wp:docPr id="89"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37" cstate="print"/>
                    <a:srcRect/>
                    <a:stretch>
                      <a:fillRect/>
                    </a:stretch>
                  </pic:blipFill>
                  <pic:spPr bwMode="auto">
                    <a:xfrm>
                      <a:off x="0" y="0"/>
                      <a:ext cx="5751195" cy="3032125"/>
                    </a:xfrm>
                    <a:prstGeom prst="rect">
                      <a:avLst/>
                    </a:prstGeom>
                    <a:noFill/>
                    <a:ln w="9525">
                      <a:noFill/>
                      <a:miter lim="800000"/>
                      <a:headEnd/>
                      <a:tailEnd/>
                    </a:ln>
                  </pic:spPr>
                </pic:pic>
              </a:graphicData>
            </a:graphic>
          </wp:inline>
        </w:drawing>
      </w:r>
    </w:p>
    <w:p w:rsidR="00890136" w:rsidRPr="00E00B35" w:rsidRDefault="00890136" w:rsidP="00E00B35">
      <w:pPr>
        <w:spacing w:after="0" w:line="312" w:lineRule="auto"/>
        <w:rPr>
          <w:rFonts w:eastAsia="Calibri"/>
          <w:szCs w:val="20"/>
        </w:rPr>
      </w:pPr>
    </w:p>
    <w:p w:rsidR="00CA14AB" w:rsidRPr="00E00B35" w:rsidRDefault="00CA14AB" w:rsidP="00E00B35">
      <w:pPr>
        <w:spacing w:after="0" w:line="312" w:lineRule="auto"/>
        <w:rPr>
          <w:rFonts w:eastAsia="Calibri"/>
          <w:szCs w:val="20"/>
        </w:rPr>
      </w:pPr>
      <w:r w:rsidRPr="00E00B35">
        <w:rPr>
          <w:rFonts w:eastAsia="Calibri"/>
          <w:szCs w:val="20"/>
        </w:rPr>
        <w:t xml:space="preserve">Na terenie ZTPS 6 od stycznia do grudnia 2020 regularnie prowadzony był Punkt </w:t>
      </w:r>
      <w:r w:rsidRPr="00E00B35">
        <w:rPr>
          <w:rFonts w:eastAsia="Calibri"/>
          <w:szCs w:val="20"/>
        </w:rPr>
        <w:br/>
        <w:t xml:space="preserve">Informacyjny – Pracownia Rodzinna z zakresu pracy socjalnej (w czasie epidemii </w:t>
      </w:r>
      <w:r w:rsidRPr="00E00B35">
        <w:rPr>
          <w:rFonts w:eastAsia="Calibri"/>
          <w:szCs w:val="20"/>
        </w:rPr>
        <w:br/>
        <w:t xml:space="preserve">udzielano konsultacji telefonicznych). </w:t>
      </w:r>
    </w:p>
    <w:p w:rsidR="00CA14AB" w:rsidRPr="00E00B35" w:rsidRDefault="00CA14AB" w:rsidP="00E00B35">
      <w:pPr>
        <w:spacing w:after="0" w:line="312" w:lineRule="auto"/>
        <w:rPr>
          <w:szCs w:val="20"/>
        </w:rPr>
      </w:pPr>
      <w:r w:rsidRPr="00E00B35">
        <w:rPr>
          <w:rFonts w:eastAsia="Calibri"/>
          <w:szCs w:val="20"/>
        </w:rPr>
        <w:t xml:space="preserve">Ponadto na początku roku 2020 na mocy zawartego porozumienie wspólnie </w:t>
      </w:r>
      <w:r w:rsidRPr="00E00B35">
        <w:rPr>
          <w:rFonts w:eastAsia="Calibri"/>
          <w:szCs w:val="20"/>
        </w:rPr>
        <w:br/>
        <w:t xml:space="preserve">z Wrocławskim Centrum Zdrowia, swoją działalność rozpoczął Punkt Informacyjny </w:t>
      </w:r>
      <w:r w:rsidRPr="00E00B35">
        <w:rPr>
          <w:szCs w:val="20"/>
        </w:rPr>
        <w:t xml:space="preserve">dla osób i ich rodzin doświadczających choroby psychicznej i uzależnionych od środków </w:t>
      </w:r>
      <w:r w:rsidRPr="00E00B35">
        <w:rPr>
          <w:szCs w:val="20"/>
        </w:rPr>
        <w:br/>
        <w:t xml:space="preserve">psychoaktywnych </w:t>
      </w:r>
      <w:r w:rsidRPr="00E00B35">
        <w:rPr>
          <w:rFonts w:eastAsia="Calibri"/>
          <w:szCs w:val="20"/>
        </w:rPr>
        <w:t>na terenie ZTPS 1 i ZTPS 6</w:t>
      </w:r>
      <w:r w:rsidRPr="00E00B35">
        <w:rPr>
          <w:szCs w:val="20"/>
        </w:rPr>
        <w:t>. Niestety w związku z epidemią działalność Punktów od marca 2020 została zawieszona, ale nie przerwana, ponieważ w roku 2021 planowana jest dalsza współpraca.</w:t>
      </w:r>
    </w:p>
    <w:p w:rsidR="00CA14AB" w:rsidRPr="00E00B35" w:rsidRDefault="00CA14AB" w:rsidP="00E00B35">
      <w:pPr>
        <w:spacing w:after="0" w:line="312" w:lineRule="auto"/>
        <w:rPr>
          <w:szCs w:val="20"/>
        </w:rPr>
      </w:pPr>
      <w:r w:rsidRPr="00E00B35">
        <w:rPr>
          <w:szCs w:val="20"/>
        </w:rPr>
        <w:t xml:space="preserve">Charakter działań znacznie uległ zmianie i głównie kierowane były one do jednostek </w:t>
      </w:r>
      <w:r w:rsidRPr="00E00B35">
        <w:rPr>
          <w:szCs w:val="20"/>
        </w:rPr>
        <w:br/>
        <w:t>znajdujących się w sytuacji kryzysowej (dyżury informacyjne, spotkanie informacyjno-edukacyjne, organizowanie i rozwożenie paczek żywnościowych, higienicznych), a nie jak w poprzednich latach do integrowania i pobudzania społeczności lokalnych.</w:t>
      </w:r>
    </w:p>
    <w:p w:rsidR="00CA14AB" w:rsidRPr="00E00B35" w:rsidRDefault="00CA14AB" w:rsidP="00E00B35">
      <w:pPr>
        <w:spacing w:after="0" w:line="312" w:lineRule="auto"/>
        <w:rPr>
          <w:szCs w:val="20"/>
        </w:rPr>
      </w:pPr>
      <w:r w:rsidRPr="00E00B35">
        <w:rPr>
          <w:szCs w:val="20"/>
        </w:rPr>
        <w:t xml:space="preserve">W realizowanych w 2020r. działaniach MOPS najczęściej występował w roli ich </w:t>
      </w:r>
      <w:r w:rsidRPr="00E00B35">
        <w:rPr>
          <w:szCs w:val="20"/>
        </w:rPr>
        <w:br/>
        <w:t xml:space="preserve">organizatora (146 razy). W 54 przypadkach oddelegował swojego pracownika </w:t>
      </w:r>
      <w:r w:rsidRPr="00E00B35">
        <w:rPr>
          <w:szCs w:val="20"/>
        </w:rPr>
        <w:br/>
        <w:t>do udziału w realizowanym na terenie miasta wydarzeniu, 74 razy angażował się jako współorganizator działania.</w:t>
      </w:r>
    </w:p>
    <w:p w:rsidR="00CA14AB" w:rsidRPr="00E00B35" w:rsidRDefault="00CA14AB" w:rsidP="00E00B35">
      <w:pPr>
        <w:spacing w:after="0" w:line="312" w:lineRule="auto"/>
        <w:rPr>
          <w:rFonts w:eastAsia="Calibri"/>
          <w:szCs w:val="20"/>
        </w:rPr>
      </w:pPr>
      <w:r w:rsidRPr="00E00B35">
        <w:rPr>
          <w:rFonts w:eastAsia="Calibri"/>
          <w:szCs w:val="20"/>
        </w:rPr>
        <w:t>Poszczególne role MOPS w podejmowanych w 2020 roku działaniach środowiskowych przedstawia wykres słupkowy</w:t>
      </w:r>
    </w:p>
    <w:p w:rsidR="00CA14AB" w:rsidRPr="00E00B35" w:rsidRDefault="00CA14AB" w:rsidP="00E00B35">
      <w:pPr>
        <w:spacing w:after="0" w:line="312" w:lineRule="auto"/>
        <w:rPr>
          <w:szCs w:val="20"/>
          <w:highlight w:val="yellow"/>
        </w:rPr>
      </w:pPr>
      <w:r w:rsidRPr="00E00B35">
        <w:rPr>
          <w:szCs w:val="20"/>
        </w:rPr>
        <w:lastRenderedPageBreak/>
        <w:t xml:space="preserve"> </w:t>
      </w:r>
      <w:r w:rsidRPr="00E00B35">
        <w:rPr>
          <w:noProof/>
          <w:szCs w:val="20"/>
          <w:lang w:val="pl-PL" w:eastAsia="pl-PL" w:bidi="ar-SA"/>
        </w:rPr>
        <w:drawing>
          <wp:inline distT="0" distB="0" distL="0" distR="0">
            <wp:extent cx="5558790" cy="2117725"/>
            <wp:effectExtent l="19050" t="0" r="3810" b="0"/>
            <wp:docPr id="88"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138" cstate="print"/>
                    <a:srcRect/>
                    <a:stretch>
                      <a:fillRect/>
                    </a:stretch>
                  </pic:blipFill>
                  <pic:spPr bwMode="auto">
                    <a:xfrm>
                      <a:off x="0" y="0"/>
                      <a:ext cx="5558790" cy="2117725"/>
                    </a:xfrm>
                    <a:prstGeom prst="rect">
                      <a:avLst/>
                    </a:prstGeom>
                    <a:noFill/>
                    <a:ln w="9525">
                      <a:noFill/>
                      <a:miter lim="800000"/>
                      <a:headEnd/>
                      <a:tailEnd/>
                    </a:ln>
                  </pic:spPr>
                </pic:pic>
              </a:graphicData>
            </a:graphic>
          </wp:inline>
        </w:drawing>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Znaczącej ilości działań środowiskowych nie udałoby się zrealizować bez dobrej </w:t>
      </w:r>
      <w:r w:rsidRPr="00E00B35">
        <w:rPr>
          <w:szCs w:val="20"/>
        </w:rPr>
        <w:br/>
        <w:t xml:space="preserve">współpracy z różnymi podmiotami działającymi na rzecz wrocławskiej społeczności. </w:t>
      </w:r>
      <w:r w:rsidRPr="00E00B35">
        <w:rPr>
          <w:szCs w:val="20"/>
        </w:rPr>
        <w:br/>
        <w:t xml:space="preserve">W 2020r. MOPS podejmował działania środowiskowe wspólnie z 94 instytucjami </w:t>
      </w:r>
      <w:r w:rsidRPr="00E00B35">
        <w:rPr>
          <w:szCs w:val="20"/>
        </w:rPr>
        <w:br/>
        <w:t xml:space="preserve">i organizacjami. Najczęściej działania środowiskowe MOPS realizował wspólnie </w:t>
      </w:r>
      <w:r w:rsidRPr="00E00B35">
        <w:rPr>
          <w:szCs w:val="20"/>
        </w:rPr>
        <w:br/>
        <w:t>z Radami Osiedla (77 działań), organizacjami pozarządowymi (48), placówkami oświatowymi: przedszkolami, szkołami (22). W dalszej kolejności współpraca prowadzona była z instytucjami kultury, podmiotami kościelnymi oraz wieloma innymi podmiotami działającymi na terenie Wrocławia.</w:t>
      </w:r>
    </w:p>
    <w:p w:rsidR="00CA14AB" w:rsidRPr="00E00B35" w:rsidRDefault="00CA14AB" w:rsidP="00E00B35">
      <w:pPr>
        <w:spacing w:after="0" w:line="312" w:lineRule="auto"/>
        <w:rPr>
          <w:rFonts w:eastAsia="Calibri"/>
          <w:szCs w:val="20"/>
        </w:rPr>
      </w:pPr>
      <w:r w:rsidRPr="00E00B35">
        <w:rPr>
          <w:rFonts w:eastAsia="Calibri"/>
          <w:szCs w:val="20"/>
        </w:rPr>
        <w:t xml:space="preserve">Sytuacja związana z panującą epidemią w kraju, znacznie wpłynęła na realizację działań środowiskowych. Pojawiły się działania przyczyniające się pośrednio do integracji środowiska, a głównie skupiające się na konkretnej i szybkiej pomocy </w:t>
      </w:r>
      <w:r w:rsidRPr="00E00B35">
        <w:rPr>
          <w:rFonts w:eastAsia="Calibri"/>
          <w:szCs w:val="20"/>
        </w:rPr>
        <w:br/>
        <w:t xml:space="preserve">w sytuacji kryzysowej. W 2020r. zrealizowano 49 działań środowiskowych </w:t>
      </w:r>
      <w:r w:rsidRPr="00E00B35">
        <w:rPr>
          <w:rFonts w:eastAsia="Calibri"/>
          <w:szCs w:val="20"/>
        </w:rPr>
        <w:br/>
        <w:t xml:space="preserve">związanych z trwającą epidemią. Były to np. spotkania partnerskie oparte na wypracowanej współpracy i zbudowanej sieci powiązań między instytucjami (13) czy akcje związane z koordynacją i dystrybucją paczek żywnościowych oraz paczek świątecznych i Mikołajkowych (10). W tym trudnym czasie podejmowany były przez pracowników socjalnych długoterminowe zbiórki artykułów pierwszej pomocy (odzież, art. chemiczne, higieniczne, dezynfekujące), które później były przekazywane do potrzebujących rodzin (6). </w:t>
      </w:r>
    </w:p>
    <w:p w:rsidR="00CA14AB" w:rsidRPr="00E00B35" w:rsidRDefault="00CA14AB" w:rsidP="00E00B35">
      <w:pPr>
        <w:spacing w:after="0" w:line="312" w:lineRule="auto"/>
        <w:rPr>
          <w:rFonts w:eastAsia="Calibri"/>
          <w:szCs w:val="20"/>
        </w:rPr>
      </w:pPr>
      <w:r w:rsidRPr="00E00B35">
        <w:rPr>
          <w:rFonts w:eastAsia="Calibri"/>
          <w:szCs w:val="20"/>
        </w:rPr>
        <w:t xml:space="preserve">Podejmowane działania związane były też z dostarczaniem ciepłych posiłków do miejsc </w:t>
      </w:r>
      <w:r w:rsidRPr="00E00B35">
        <w:rPr>
          <w:rFonts w:eastAsia="Calibri"/>
          <w:szCs w:val="20"/>
        </w:rPr>
        <w:br/>
        <w:t xml:space="preserve">zamieszkania osób potrzebujących na Osiedlu Gajowice oraz pomocy w „Pogotowiu </w:t>
      </w:r>
      <w:r w:rsidRPr="00E00B35">
        <w:rPr>
          <w:rFonts w:eastAsia="Calibri"/>
          <w:szCs w:val="20"/>
        </w:rPr>
        <w:br/>
        <w:t xml:space="preserve">kulinarnym” (akcja polegająca na gotowaniu posiłków dla seniorów oraz osób najbardziej potrzebujących w czasie epidemii koronawirusa) na Psim Polu. Pracownicy przeprowadzili akcje związane z szyciem i rozdawaniem maseczek ochronnych „Maseczki Mocy”. Ponadto zrealizowana została Inicjatywa społeczna „Pomaganie jest fajne” polegająca </w:t>
      </w:r>
      <w:r w:rsidRPr="00E00B35">
        <w:rPr>
          <w:rFonts w:eastAsia="Calibri"/>
          <w:szCs w:val="20"/>
        </w:rPr>
        <w:br/>
        <w:t xml:space="preserve">na gotowaniu posiłków do lodówki społecznej na Nadodrzu, przeprowadzono także </w:t>
      </w:r>
      <w:r w:rsidRPr="00E00B35">
        <w:rPr>
          <w:rFonts w:eastAsia="Calibri"/>
          <w:szCs w:val="20"/>
        </w:rPr>
        <w:br/>
        <w:t xml:space="preserve">warsztaty „Życzliwy senior” oraz projekt socjalny „Pokoloruj świat seniora”. </w:t>
      </w:r>
    </w:p>
    <w:p w:rsidR="00CA14AB" w:rsidRPr="00E00B35" w:rsidRDefault="00CA14AB" w:rsidP="00E00B35">
      <w:pPr>
        <w:spacing w:after="0" w:line="312" w:lineRule="auto"/>
        <w:rPr>
          <w:rFonts w:eastAsia="Calibri"/>
          <w:szCs w:val="20"/>
        </w:rPr>
      </w:pPr>
      <w:r w:rsidRPr="00E00B35">
        <w:rPr>
          <w:rFonts w:eastAsia="Calibri"/>
          <w:szCs w:val="20"/>
        </w:rPr>
        <w:t xml:space="preserve">Mimo trudności i zmiany swego charakteru praca środowiskowa była realizowana, </w:t>
      </w:r>
      <w:r w:rsidRPr="00E00B35">
        <w:rPr>
          <w:rFonts w:eastAsia="Calibri"/>
          <w:szCs w:val="20"/>
        </w:rPr>
        <w:br/>
        <w:t xml:space="preserve">a wszystkie podejmowane działania miały na celu wyrównywanie szans przez wspieranie w rozwoju tych osób, rodzin, środowisk i grup, które znajdują się w najtrudniejszym </w:t>
      </w:r>
      <w:r w:rsidRPr="00E00B35">
        <w:rPr>
          <w:rFonts w:eastAsia="Calibri"/>
          <w:szCs w:val="20"/>
        </w:rPr>
        <w:lastRenderedPageBreak/>
        <w:t xml:space="preserve">położeniu oraz przywróceniu najsłabszym poczucia podmiotowości i wpływu na własne życie i funkcjonowanie środowiska, w którym żyją. </w:t>
      </w:r>
    </w:p>
    <w:p w:rsidR="00890136" w:rsidRPr="00E00B35" w:rsidRDefault="00890136" w:rsidP="00E00B35">
      <w:pPr>
        <w:pStyle w:val="Nagwek4"/>
        <w:spacing w:before="0" w:after="0" w:line="312" w:lineRule="auto"/>
        <w:rPr>
          <w:sz w:val="20"/>
          <w:szCs w:val="20"/>
        </w:rPr>
      </w:pPr>
      <w:bookmarkStart w:id="447" w:name="_Toc72352446"/>
      <w:bookmarkStart w:id="448" w:name="_Toc72352880"/>
    </w:p>
    <w:p w:rsidR="00CA14AB" w:rsidRPr="00E00B35" w:rsidRDefault="00CA14AB" w:rsidP="00E00B35">
      <w:pPr>
        <w:pStyle w:val="Nagwek4"/>
        <w:spacing w:before="0" w:after="0" w:line="312" w:lineRule="auto"/>
        <w:rPr>
          <w:sz w:val="20"/>
          <w:szCs w:val="20"/>
        </w:rPr>
      </w:pPr>
      <w:r w:rsidRPr="00E00B35">
        <w:rPr>
          <w:sz w:val="20"/>
          <w:szCs w:val="20"/>
        </w:rPr>
        <w:t>ZESPÓŁ INTERDYSCYPLINARNY DS. PRZECIWDZIAŁANIA PRZEMOCY W RODZINIE</w:t>
      </w:r>
      <w:bookmarkEnd w:id="447"/>
      <w:bookmarkEnd w:id="448"/>
    </w:p>
    <w:p w:rsidR="00CA14AB" w:rsidRPr="00E00B35" w:rsidRDefault="00CA14AB" w:rsidP="00E00B35">
      <w:pPr>
        <w:spacing w:after="0" w:line="312" w:lineRule="auto"/>
        <w:rPr>
          <w:szCs w:val="20"/>
        </w:rPr>
      </w:pPr>
      <w:r w:rsidRPr="00E00B35">
        <w:rPr>
          <w:szCs w:val="20"/>
        </w:rPr>
        <w:t xml:space="preserve">W 2020 roku odbyło się 5 posiedzeń Zespołu Interdyscyplinarnego ds. Przeciwdziałania Przemocy w Rodzinie. Liczba czynnych procedur wynosiła 2 551 (w tym 7 023 osoby </w:t>
      </w:r>
      <w:r w:rsidRPr="00E00B35">
        <w:rPr>
          <w:szCs w:val="20"/>
        </w:rPr>
        <w:br/>
        <w:t>w rodzinach, z czego to 2 754 kobiety, 2 559 mężczyźni oraz 1 710 dzieci).</w:t>
      </w:r>
    </w:p>
    <w:p w:rsidR="00CA14AB" w:rsidRPr="00E00B35" w:rsidRDefault="00CA14AB" w:rsidP="00E00B35">
      <w:pPr>
        <w:spacing w:after="0" w:line="312" w:lineRule="auto"/>
        <w:rPr>
          <w:szCs w:val="20"/>
        </w:rPr>
      </w:pPr>
      <w:r w:rsidRPr="00E00B35">
        <w:rPr>
          <w:szCs w:val="20"/>
        </w:rPr>
        <w:t xml:space="preserve">W okresie sprawozdawczym do Zespołu wpłynęło 1 799 formularzy „Niebieska Karta” (422 formularzy NK-A, które zostały ponownie sporządzone w toku trwania tej samej procedury), powołano 1 377 nowych grup roboczych, odbyło się 7 246 posiedzeń grup roboczych, zamknięto 1 170 procedur „Niebieskie Karty”, z czego 986 ze względu </w:t>
      </w:r>
      <w:r w:rsidRPr="00E00B35">
        <w:rPr>
          <w:szCs w:val="20"/>
        </w:rPr>
        <w:br/>
        <w:t>na ustanie przemocy w rodzinie, 184 ze względu na brak zasadności podejmowania działań. Monitorowano 2 551 środowisk dotkniętych problemem przemocy w rodzinie.</w:t>
      </w:r>
    </w:p>
    <w:p w:rsidR="00CA14AB" w:rsidRPr="00E00B35" w:rsidRDefault="00CA14AB" w:rsidP="00E00B35">
      <w:pPr>
        <w:spacing w:after="0" w:line="312" w:lineRule="auto"/>
        <w:rPr>
          <w:szCs w:val="20"/>
        </w:rPr>
      </w:pPr>
      <w:r w:rsidRPr="00E00B35">
        <w:rPr>
          <w:szCs w:val="20"/>
        </w:rPr>
        <w:t xml:space="preserve">Osób stosujących przemoc było 2 678, z czego 392 kobiety, 2 282 mężczyźni. W 4 procedurach Niebieskie Karty jako osoby, wobec których istnieje podejrzenie, </w:t>
      </w:r>
      <w:r w:rsidRPr="00E00B35">
        <w:rPr>
          <w:szCs w:val="20"/>
        </w:rPr>
        <w:br/>
        <w:t>że stosują przemoc w rodzinie wskazano dzieci.  Osób doznających przemocy było 3 784, w tym 2 671 kobiet, 836 dzieci i 277 mężczyzn. Przypadków odebrania dzieci z rodziny na podstawie art. 12a ustawy o przeciwdziałaniu przemocy w rodzinie było 13, odebrano 27 dzieci, w tym dziewczynek 17, a chłopców 10.</w:t>
      </w:r>
    </w:p>
    <w:p w:rsidR="00CA14AB" w:rsidRPr="00E00B35" w:rsidRDefault="00CA14AB" w:rsidP="00E00B35">
      <w:pPr>
        <w:spacing w:after="0" w:line="312" w:lineRule="auto"/>
        <w:rPr>
          <w:szCs w:val="20"/>
        </w:rPr>
      </w:pPr>
      <w:r w:rsidRPr="00E00B35">
        <w:rPr>
          <w:szCs w:val="20"/>
        </w:rPr>
        <w:t xml:space="preserve">W dniach od 25 listopada 2020 roku do 10 grudnia 2020 roku Zespół Interdyscyplinarny ds. Przeciwdziałania Przemocy w Rodzinie przeprowadził </w:t>
      </w:r>
      <w:r w:rsidRPr="00E00B35">
        <w:rPr>
          <w:szCs w:val="20"/>
        </w:rPr>
        <w:br/>
        <w:t xml:space="preserve">VI Wrocławską Kampanię Przeciwdziałania Przemocy „Biała wstążka”, która odbyła się pod Honorowym Patronatem Prezydenta Wrocławia. Hasłem kampanii było POLICZ DO 10. ŻYJ BEZ PRZEMOCY.  Adresatami kampanii były rodziny zagrożone </w:t>
      </w:r>
      <w:r w:rsidRPr="00E00B35">
        <w:rPr>
          <w:szCs w:val="20"/>
        </w:rPr>
        <w:br/>
        <w:t xml:space="preserve">i dotknięte przemocą w rodzinie, świadkowie występowania przemocy, społeczność lokalna, przedstawiciele instytucji działających na rzecz przeciwdziałania przemocy </w:t>
      </w:r>
      <w:r w:rsidRPr="00E00B35">
        <w:rPr>
          <w:szCs w:val="20"/>
        </w:rPr>
        <w:br/>
        <w:t>w rodzinie. Celem kampanii było zwiększenie świadomości społecznej na temat przeciwdziałania przemocy w rodzinie i ograniczenia jej skutków, podnoszenie społecznej wrażliwości w odniesieniu do zjawiska przemocy w rodzinie, poszerzenie poziomu wiedzy obywateli oraz przedstawicieli organizacji i instytucji działających w obszarze przeciwdziałania przemocy na temat przemocy domowej, nawiązanie dialogu i poprawa współpracy pomiędzy instytucjami i organizacjami działającymi na rzecz przeciwdziałania przemocy. Szczególnie w czasie izolacji społecznej spowodowanej epidemią wywołaną wirusem SARS-CoV-2 cele te stały się priorytetami działań w zakresie profilaktyki występowania przemocy w rodzinie.</w:t>
      </w:r>
      <w:r w:rsidRPr="00E00B35">
        <w:rPr>
          <w:rFonts w:eastAsia="Calibri"/>
          <w:szCs w:val="20"/>
        </w:rPr>
        <w:t xml:space="preserve"> </w:t>
      </w:r>
      <w:r w:rsidRPr="00E00B35">
        <w:rPr>
          <w:szCs w:val="20"/>
        </w:rPr>
        <w:t xml:space="preserve">VI Wrocławska Kampania Przeciwdziałania Przemocy „Biała Wstążka” 2020 z uwagi na epidemię realizowana była głównie w Internecie i lokalnych mediach.  Przeprowadzono następujące wydarzenia: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25.11.2020 – 10.12.2020 - Historia Pani Marii – opowieść przemocą pisana – organizator: Zespół Interdyscyplinarny ds. Przeciwdziałania Przemocy w Rodzinie; opis wydarzenia: interaktywna prezentacja fikcyjnego przypadku przemocy </w:t>
      </w:r>
      <w:r w:rsidRPr="00E00B35">
        <w:rPr>
          <w:szCs w:val="20"/>
        </w:rPr>
        <w:br/>
        <w:t>z zaangażowaniem internautów w dalsze losy bohaterki opowieści.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lastRenderedPageBreak/>
        <w:t xml:space="preserve">26.11.2020 – 05.12.2020 - Radcowski Telefon Zaufania - STOP PRZEMOCY - </w:t>
      </w:r>
      <w:r w:rsidRPr="00E00B35">
        <w:rPr>
          <w:szCs w:val="20"/>
        </w:rPr>
        <w:br/>
        <w:t>organizator: Okręgowa Izba Radców Prawnych we Wrocławiu; opis wydarzenia: bezpłatne poradnictwo prawne udzielane osobom pokrzywdzonym przemocą w rodzinie.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25.11.2020 - Twoja obojętność krzywdzi innych… - uroczyste odsłonięcie muralu, ul. Legnicka 64; organizator: Wydział Zdrowia i Spraw Społecznych Urzędu Miejskiego Wrocławia;  Stowarzyszenie Psychoedukacji i Terapii "Evolutio"; opis wydarzenia: udział przedstawicieli Zespołu Interdyscyplinarnego ds. Przeciwdziałania Przemocy w Rodzinie w uroczystym odsłonięciu muralu.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25.11.2020 - Internetowy event Białej Wstążki; organizator: Zespół Interdyscyplinarny ds. </w:t>
      </w:r>
      <w:bookmarkStart w:id="449" w:name="_Hlk61329346"/>
      <w:r w:rsidRPr="00E00B35">
        <w:rPr>
          <w:szCs w:val="20"/>
        </w:rPr>
        <w:t>Przeciwdziałania</w:t>
      </w:r>
      <w:bookmarkEnd w:id="449"/>
      <w:r w:rsidRPr="00E00B35">
        <w:rPr>
          <w:szCs w:val="20"/>
        </w:rPr>
        <w:t xml:space="preserve"> Przemocy w Rodzinie; opis wydarzenia: udostępnienie na Facebooku nakładki na zdjęcia profilowe z symbolem białej wstążki z napisem: Biała Wstążka Wrocław 2020 r., nakładka była pobierana przez internautów.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25.11.2020 - Policz do 10. Żyj bez przemocy! – o historii przesłania VI Wrocławskiej Kampanii Przeciwdziałania Przemocy Biała Wstążka 2020; </w:t>
      </w:r>
      <w:r w:rsidRPr="00E00B35">
        <w:rPr>
          <w:szCs w:val="20"/>
        </w:rPr>
        <w:br/>
        <w:t xml:space="preserve">organizator: Zespół Interdyscyplinarny ds. Przeciwdziałania Przemocy w Rodzinie; </w:t>
      </w:r>
      <w:r w:rsidRPr="00E00B35">
        <w:rPr>
          <w:szCs w:val="20"/>
        </w:rPr>
        <w:br/>
        <w:t xml:space="preserve">Uniwersytet Wrocławski, Instytut Socjologii; opis wydarzenia: prezentacja materiałów edukacyjnych i informacyjnych dotyczących zagadnienia przemocy w rodzinie </w:t>
      </w:r>
      <w:r w:rsidRPr="00E00B35">
        <w:rPr>
          <w:szCs w:val="20"/>
        </w:rPr>
        <w:br/>
        <w:t>przygotowanych przez studentów Uniwersytetu Wrocławskiego, Instytut Socjologii.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25.11.2020 - O Wrocławskiej Kampanii Przeciwdziałania Przemocy „Biała Wstążka”; organizator: Zespół Interdyscyplinarny ds. Przeciwdziałania Przemocy </w:t>
      </w:r>
      <w:r w:rsidRPr="00E00B35">
        <w:rPr>
          <w:szCs w:val="20"/>
        </w:rPr>
        <w:br/>
        <w:t xml:space="preserve">w Rodzinie; opis wydarzenia: rozmowa Przewodniczącej Zespołu Interdyscyplinarnego </w:t>
      </w:r>
      <w:r w:rsidRPr="00E00B35">
        <w:rPr>
          <w:szCs w:val="20"/>
        </w:rPr>
        <w:br/>
        <w:t>o zjawisku przemocy i przeciwdziałaniu temu zjawisku w TV Echo 24.</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26.11.2020 - Więzi, które chronią; organizator: Dolnośląska Szkoła Wyższa, </w:t>
      </w:r>
      <w:r w:rsidRPr="00E00B35">
        <w:rPr>
          <w:szCs w:val="20"/>
        </w:rPr>
        <w:br/>
        <w:t xml:space="preserve">Wrocławskie Centrum Zdrowia, Stowarzyszenie EVOLUTIO; opis wydarzenia: </w:t>
      </w:r>
      <w:r w:rsidRPr="00E00B35">
        <w:rPr>
          <w:szCs w:val="20"/>
        </w:rPr>
        <w:br/>
        <w:t>interdyscyplinarna konferencja naukowa.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28.11.2020 - Procedura „Niebieskie Karty” – narzędzie przeciwdziałania </w:t>
      </w:r>
      <w:r w:rsidRPr="00E00B35">
        <w:rPr>
          <w:szCs w:val="20"/>
        </w:rPr>
        <w:br/>
        <w:t xml:space="preserve">przemocy w rodzinie; organizator: Komenda Miejska Policji we Wrocławiu, Zespół </w:t>
      </w:r>
      <w:r w:rsidRPr="00E00B35">
        <w:rPr>
          <w:szCs w:val="20"/>
        </w:rPr>
        <w:br/>
        <w:t xml:space="preserve">Interdyscyplinarny ds. Przeciwdziałania Przemocy w Rodzinie; opis wydarzenia: rozmowa z przedstawicielami Policji, w tym członkiem Zespołu Interdyscyplinarnego na temat </w:t>
      </w:r>
      <w:r w:rsidRPr="00E00B35">
        <w:rPr>
          <w:szCs w:val="20"/>
        </w:rPr>
        <w:br/>
        <w:t>procedury „Niebieskie Karty” i interwencji podejmowanych w związku z występowaniem przemocy w rodzinie w TV Echo 24.</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29.11.2020 - Poradnik dla ofiar przemocy domowej w czasie epidemii </w:t>
      </w:r>
      <w:r w:rsidRPr="00E00B35">
        <w:rPr>
          <w:szCs w:val="20"/>
        </w:rPr>
        <w:br/>
        <w:t>koronawirusa; organizator: Zespół Interdyscyplinarny ds. Przeciwdziałania Przemocy w Rodzinie; Uniwersytet Wrocławski, Instytut Socjologii; opis wydarzenia: prezentacja poradnika dedykowanego osobom doświadczającym przemocy opracowanego przez studentów Instytutu Socjologii Uniwersytetu Wrocławskiego.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04.12.2020 - Izolacja sprawcy przemocy – nowe regulacje prawne – szkolenie online skierowane dla pracowników socjalnych pełniących funkcję liderów grup </w:t>
      </w:r>
      <w:r w:rsidRPr="00E00B35">
        <w:rPr>
          <w:szCs w:val="20"/>
        </w:rPr>
        <w:br/>
      </w:r>
      <w:r w:rsidRPr="00E00B35">
        <w:rPr>
          <w:szCs w:val="20"/>
        </w:rPr>
        <w:lastRenderedPageBreak/>
        <w:t>roboczych; organizator: Miejski Ośrodek Pomocy Społecznej; opis wydarzenia: szkolenie przy wykorzystaniu platformy internetowej poświęcone tzw. Ustawie „antyprzemocowej” wprowadzającej nowe regulacje dotyczące sprawców przemocy.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02.12.2020 - Rola kuratora sądowego w przeciwdziałaniu przemocy i realizacji procedury Niebieskie Karty; organizator: I Zespół Kuratorskiej Służby Sądowej Sądu Rejonowego Wrocław Fabryczna, Zespół Interdyscyplinarny ds. Przeciwdziałania </w:t>
      </w:r>
      <w:r w:rsidRPr="00E00B35">
        <w:rPr>
          <w:szCs w:val="20"/>
        </w:rPr>
        <w:br/>
        <w:t>Przemocy w Rodzinie; opis wydarzenia: prezentacja artykułu autorstwa kuratora Pani Joanny Poprawy.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03.12.2020 - Przemoc w rodzinie w czasie izolacji społecznej; organizator: Zespół Interdyscyplinarny ds. Przeciwdziałania Przemocy w Rodzinie; opis wydarzenia audycja z udziałem Przewodniczącej Zespołu Interdyscyplinarnego w Radio Rodzina.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05.12.2020 - Przemoc… tak ją widzę; organizator: Zespół Interdyscyplinarny </w:t>
      </w:r>
      <w:r w:rsidRPr="00E00B35">
        <w:rPr>
          <w:szCs w:val="20"/>
        </w:rPr>
        <w:br/>
        <w:t xml:space="preserve">ds. Przeciwdziałania Przemocy w Rodzinie, Miejski Ośrodek Pomocy Społecznej - Zespół </w:t>
      </w:r>
      <w:r w:rsidRPr="00E00B35">
        <w:rPr>
          <w:szCs w:val="20"/>
        </w:rPr>
        <w:br/>
        <w:t xml:space="preserve">Terenowej Pracy Socjalnej nr 7, Szkoła Podstawowa nr 91; opis wydarzenia: film </w:t>
      </w:r>
      <w:r w:rsidRPr="00E00B35">
        <w:rPr>
          <w:szCs w:val="20"/>
        </w:rPr>
        <w:br/>
        <w:t>prezentujący prace plastyczne uczniów szkół podstawowych nr 58, 74, 93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05.12.2020 - Przemoc w rodzinie – charakterystyka zjawiska; organizator: Miejski Ośrodek Pomocy Społecznej; opis wydarzenia: szkolenie online w formie prezentacji </w:t>
      </w:r>
      <w:r w:rsidRPr="00E00B35">
        <w:rPr>
          <w:szCs w:val="20"/>
        </w:rPr>
        <w:br/>
        <w:t>multimedialnej dla przedstawicieli Policji, oświaty i ochrony zdrowia.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06.12.2020 - Historia Białej Wstążki: wspomnienie Barbary Klucznik –Widajewicz; organizator: Zespół Interdyscyplinarny ds. Przeciwdziałania Przemocy </w:t>
      </w:r>
      <w:r w:rsidRPr="00E00B35">
        <w:rPr>
          <w:szCs w:val="20"/>
        </w:rPr>
        <w:br/>
        <w:t>w Rodzinie, Miejski Ośrodek Pomocy Społecznej - Zespół Terenowej Pracy Socjalnej nr 3; opis wydarzenia: wspomnienie wydarzeń z 1989 r. w Montrealu, które stały się impulsem do ruchu Białej Wstążki na świecie.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08.12.2020 - Bez śladów. Przemoc instytucjonalna wobec kobiet; organizator: Koło Naukowe Praw Człowieka, Uniwersytet Wrocławski, Wydział Prawa, Administracji i Ekonomii; opis wydarzenia: debata internetowa.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09.12.2020 - Izolacja sprawcy przemocy - praktyka, problemy, perspektywy; organizator: Komisja Praw Człowieka i Praworządności OIRP Wrocław, Okręgowa Izba Radców Prawnych we Wrocławiu; opis wydarzenia: webinar.</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10.12.2020 - Poradnik - jak walczyć z cyberprzemocą; organizator: Centrum Badań Problemów Prawnych i Ekonomicznych Komunikacji Elektronicznej Wydział Prawa, </w:t>
      </w:r>
      <w:r w:rsidRPr="00E00B35">
        <w:rPr>
          <w:szCs w:val="20"/>
        </w:rPr>
        <w:br/>
        <w:t>Administracji i Ekonomii, Uniwersytet Wrocławski; opis wydarzenia: poradnik autorstwa Sylwii Koteckiej-Kral.</w:t>
      </w:r>
    </w:p>
    <w:p w:rsidR="00CA14AB" w:rsidRPr="00E00B35" w:rsidRDefault="00CA14AB" w:rsidP="00E00B35">
      <w:pPr>
        <w:spacing w:after="0" w:line="312" w:lineRule="auto"/>
        <w:rPr>
          <w:szCs w:val="20"/>
        </w:rPr>
      </w:pPr>
      <w:r w:rsidRPr="00E00B35">
        <w:rPr>
          <w:szCs w:val="20"/>
        </w:rPr>
        <w:t xml:space="preserve">Działania w ramach realizacji Miejskiego Programu Przeciwdziałania Przemocy w Rodzinie oraz Ochrony Ofiar Przemocy w Rodzinie prowadzone były przez cały rok. Działania MOPS na rzecz przeciwdziałania przemocy wobec kobiet obejmowały m.in.: udzielanie </w:t>
      </w:r>
      <w:r w:rsidRPr="00E00B35">
        <w:rPr>
          <w:szCs w:val="20"/>
        </w:rPr>
        <w:br/>
        <w:t xml:space="preserve">schronienia kobietom dotkniętym przemocą, udzielanie poradnictwa, informacji kobietom doświadczającym przemocy, świadczenie wsparcia psychologicznego na rzecz kobiet </w:t>
      </w:r>
      <w:r w:rsidRPr="00E00B35">
        <w:rPr>
          <w:szCs w:val="20"/>
        </w:rPr>
        <w:br/>
        <w:t xml:space="preserve">doznających przemocy, świadczenie wsparcia interwencyjnego (OIK) na rzecz kobiet </w:t>
      </w:r>
      <w:r w:rsidRPr="00E00B35">
        <w:rPr>
          <w:szCs w:val="20"/>
        </w:rPr>
        <w:br/>
        <w:t xml:space="preserve">doznających przemocy, udzielanie pomocy prawnej kobietom doznającym przemocy, </w:t>
      </w:r>
      <w:r w:rsidRPr="00E00B35">
        <w:rPr>
          <w:szCs w:val="20"/>
        </w:rPr>
        <w:lastRenderedPageBreak/>
        <w:t>udzielanie indywidualnego wsparcia w toku procedury NK przez pracowników socjalnych, liderów w oparciu o plan pracy zawarty w procedurze.</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450" w:name="_Toc72352447"/>
      <w:bookmarkStart w:id="451" w:name="_Toc72352881"/>
      <w:bookmarkEnd w:id="433"/>
      <w:r w:rsidRPr="00E00B35">
        <w:rPr>
          <w:sz w:val="20"/>
          <w:szCs w:val="20"/>
        </w:rPr>
        <w:t xml:space="preserve">REALIZACJA PROGRAMU POMOCY DLA RODZIN WIELODZIETNYCH </w:t>
      </w:r>
      <w:r w:rsidRPr="00E00B35">
        <w:rPr>
          <w:sz w:val="20"/>
          <w:szCs w:val="20"/>
        </w:rPr>
        <w:br/>
        <w:t>„DWA PLUS TRZY I JESZCZE WIĘCEJ” W 2020 ROKU</w:t>
      </w:r>
      <w:bookmarkEnd w:id="450"/>
      <w:bookmarkEnd w:id="451"/>
    </w:p>
    <w:p w:rsidR="00CA14AB" w:rsidRPr="00E00B35" w:rsidRDefault="00CA14AB" w:rsidP="00E00B35">
      <w:pPr>
        <w:spacing w:after="0" w:line="312" w:lineRule="auto"/>
        <w:rPr>
          <w:szCs w:val="20"/>
        </w:rPr>
      </w:pPr>
      <w:r w:rsidRPr="00E00B35">
        <w:rPr>
          <w:szCs w:val="20"/>
        </w:rPr>
        <w:t xml:space="preserve">Program realizowany jest na podstawie uchwały Nr XXXV/2333/05 Rady Miejskiej Wrocławia z dnia 17 marca 2005r. z późn. zm. w sprawie Programu Pomocy dla Rodzin Wielodzietnych „dwa plus trzy i jeszcze więcej". </w:t>
      </w:r>
    </w:p>
    <w:p w:rsidR="00CA14AB" w:rsidRPr="00E00B35" w:rsidRDefault="00CA14AB" w:rsidP="00E00B35">
      <w:pPr>
        <w:spacing w:after="0" w:line="312" w:lineRule="auto"/>
        <w:rPr>
          <w:szCs w:val="20"/>
        </w:rPr>
      </w:pPr>
      <w:r w:rsidRPr="00E00B35">
        <w:rPr>
          <w:szCs w:val="20"/>
        </w:rPr>
        <w:t>W 2020</w:t>
      </w:r>
      <w:r w:rsidR="00436BC1" w:rsidRPr="00E00B35">
        <w:rPr>
          <w:szCs w:val="20"/>
        </w:rPr>
        <w:t xml:space="preserve"> </w:t>
      </w:r>
      <w:r w:rsidRPr="00E00B35">
        <w:rPr>
          <w:szCs w:val="20"/>
        </w:rPr>
        <w:t>r. do Programu przystąpiło 448 nowych rodzin.</w:t>
      </w:r>
    </w:p>
    <w:p w:rsidR="00CA14AB" w:rsidRPr="00E00B35" w:rsidRDefault="00CA14AB" w:rsidP="00E00B35">
      <w:pPr>
        <w:spacing w:after="0" w:line="312" w:lineRule="auto"/>
        <w:rPr>
          <w:rFonts w:eastAsia="Calibri"/>
          <w:szCs w:val="20"/>
        </w:rPr>
      </w:pPr>
      <w:r w:rsidRPr="00E00B35">
        <w:rPr>
          <w:rFonts w:eastAsia="Calibri"/>
          <w:szCs w:val="20"/>
        </w:rPr>
        <w:t>Od września 2005r. (od początku realizacji Programu) do końca 2020r. deklarację uczestnictwa w Programie wypełniły 8 652 rodziny, z tego 1 701 rodzin przestało spełniać kryteria (dzieci ukończyły 25 lat lub rodzina wyprowadziła się z Wrocławia), ostatecznie na dzień 31 grudnia 2020r. liczba rodzin uczestniczących w Programie wyniosła 6 951, w tym liczba rodziców/opiekunów wyniosła 16 499 osób. Natomiast liczba dzieci w rodzinach wyniosła 27 635, co łącznie daje 44 134 uczestników Programu.</w:t>
      </w:r>
    </w:p>
    <w:p w:rsidR="00CA14AB" w:rsidRPr="00E00B35" w:rsidRDefault="00CA14AB" w:rsidP="00E00B35">
      <w:pPr>
        <w:spacing w:after="0" w:line="312" w:lineRule="auto"/>
        <w:rPr>
          <w:rFonts w:eastAsia="Calibri"/>
          <w:szCs w:val="20"/>
        </w:rPr>
      </w:pPr>
      <w:r w:rsidRPr="00E00B35">
        <w:rPr>
          <w:rFonts w:eastAsia="Calibri"/>
          <w:szCs w:val="20"/>
        </w:rPr>
        <w:t>Przy przedłużeniu ważności karty Rodzina Plus ankietę ewaluacyjną wypełniło 685 rodzin.</w:t>
      </w:r>
    </w:p>
    <w:p w:rsidR="00CA14AB" w:rsidRPr="00E00B35" w:rsidRDefault="00CA14AB" w:rsidP="00E00B35">
      <w:pPr>
        <w:spacing w:after="0" w:line="312" w:lineRule="auto"/>
        <w:rPr>
          <w:szCs w:val="20"/>
        </w:rPr>
      </w:pPr>
      <w:r w:rsidRPr="00E00B35">
        <w:rPr>
          <w:szCs w:val="20"/>
        </w:rPr>
        <w:t xml:space="preserve">W związku z ogłoszeniem pandemii COVID-19 w połowie marca 2020 roku nie wszystkie formy wsparcia mogły być zrealizowane w pełnym zakresie. Jednak pomimo pandemii zostały wdrożone i zrealizowane w mniejszym lub większym zakresie wszystkie formy </w:t>
      </w:r>
      <w:r w:rsidRPr="00E00B35">
        <w:rPr>
          <w:szCs w:val="20"/>
        </w:rPr>
        <w:br/>
        <w:t>pomocy zawarte w ofercie Programu: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pomoc finansowa dla rodzin spełniających kryteria dochodowe zgodne z ustawą o pomocy społecznej na: żywność, odzież, obuwie, wyposażenie do szkoły, wypoczynek letni i zimowy, opłaty mieszkaniowe i inne;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bezpłatne poradnictwo psychologiczne, pedagogiczne, rodzinne, prawne, socjalne </w:t>
      </w:r>
      <w:r w:rsidRPr="00E00B35">
        <w:rPr>
          <w:szCs w:val="20"/>
        </w:rPr>
        <w:br/>
        <w:t xml:space="preserve">i dla osób bezrobotnych;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warsztaty edukacyjne dla rodziców;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bezpłatne przejazdy dla dzieci w każdy dzień tygodnia na wszystkich liniach komunikacją miejską oraz 2 kl. pociągów osobowych Kolei Dolnośląskich i Przewozów Regionalnych;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bezpłatne przejazdy dla rodziców w soboty, niedziele i święta komunikacją miejską oraz 2 kl. pociągów osobowych Kolei Dolnośląskich i Przewozów Regionalnych;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wstęp do ZOO w specjalnej cenie dla całej rodziny, niezależnie od ilości dzieci, </w:t>
      </w:r>
      <w:r w:rsidRPr="00E00B35">
        <w:rPr>
          <w:szCs w:val="20"/>
        </w:rPr>
        <w:br/>
        <w:t xml:space="preserve">w każdy dzień tygodnia;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bezpłatne warsztaty teatralno-plastyczne dla dzieci i młodzieży organizowane przez Wrocławskie Centrum Twórczości Dziecka;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ulgowe bilety wstępu na kąpieliska Morskie Oko, Kłokoczyce i Glinianki, codziennie przez cały sezon oraz na basenie letnim Orbita i pływali krytej Orbita;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bezpłatny wstęp na baseny udostępniane przez wybrane szkoły podstawowe – w związku z ograniczeniami związanymi z pandemią zrealizowano w niepełnym zakresie do połowy marca 2020 r.;</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ulgowe bilety na rejsy po Odrze parostatkami Wiktoria i Nereida;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bilet rodzinny w specjalnej cenie za całą rodzinę na wszystkie opcje zwiedzania </w:t>
      </w:r>
      <w:r w:rsidRPr="00E00B35">
        <w:rPr>
          <w:szCs w:val="20"/>
        </w:rPr>
        <w:br/>
        <w:t xml:space="preserve">w Centrum Poznawczym Hali Stulecia;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lastRenderedPageBreak/>
        <w:t>wstęp w cenie Biletu Rodzinnego do Wrocławskiego Parku Wodnego bez konieczności dopłat za wstęp dzieci;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ulgowe bilety do teatrów: Współczesnego, Polskiego, Lalek, Centrum Sztuki Impart, Teatru Muzycznego Capitol, Opery Wrocławskiej, Teatru Pantomimy, Teatru „Pieśń Kozła”, Teatru AST (Akademia Sztuk Teatralnych;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bezpłatny wstęp do oddziałów Muzeum Miejskiego Wrocławia, Muzeum Architektury, Muzeum Współczesnego oraz na wystawy w galeriach;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preferencje przy rozpatrywaniu wniosków na turnusy rehabilitacyjne dla osób </w:t>
      </w:r>
      <w:r w:rsidRPr="00E00B35">
        <w:rPr>
          <w:szCs w:val="20"/>
        </w:rPr>
        <w:br/>
        <w:t>z Rodzin Wielodzietnych „dwa plus trzy i jeszcze więcej” posiadających orzeczenie o niepełnosprawności;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pomoc dzieciom w nauce świadczoną przez wolontariuszy;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zajęcia w MDK Fabryczna;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na zajęcia w Centrum Edukacyjnym Narodowego Forum Muzyki oraz </w:t>
      </w:r>
      <w:r w:rsidRPr="00E00B35">
        <w:rPr>
          <w:szCs w:val="20"/>
        </w:rPr>
        <w:br/>
        <w:t>na koncerty w NFM;</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ulgowe bilety do Dolnośląskiego Centrum Filmowego;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w Muzeum Poczty i Telekomunikacji</w:t>
      </w:r>
      <w:r w:rsidR="00436BC1" w:rsidRPr="00E00B35">
        <w:rPr>
          <w:szCs w:val="20"/>
        </w:rPr>
        <w:t xml:space="preserve"> </w:t>
      </w:r>
      <w:r w:rsidRPr="00E00B35">
        <w:rPr>
          <w:szCs w:val="20"/>
        </w:rPr>
        <w:t>bezpłatne warsztaty i spotkania dla rodzin z dziećmi w filiach Miejskiej Biblioteki Publicznej;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na usługi w Poradniach Ginekologicznych i Położnictwa oraz w Poradniach Specjalistycznych należących do firmy Centrum Medyczne Mediconcept </w:t>
      </w:r>
      <w:r w:rsidRPr="00E00B35">
        <w:rPr>
          <w:szCs w:val="20"/>
        </w:rPr>
        <w:br/>
        <w:t>Sp. z o. 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w Domu Wakacji Rodzinnych „Malinowe Wzgórza” w Górkach Wielkich </w:t>
      </w:r>
      <w:r w:rsidRPr="00E00B35">
        <w:rPr>
          <w:szCs w:val="20"/>
        </w:rPr>
        <w:br/>
        <w:t>w Beskidzie Śląskim;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oferowane przez firmę  Mechanika, Blacharstwo, Lakiernictwo Pojazdowe na naprawy samochodów osobowych, dostawczych wraz z ulgami na zakup części zamiennych;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w Księgarni DODO;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porady prawne w firmie AM-Group Prawo dla Każdego;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bezpłatna pomoc przy zakładaniu działalności gospodarczej i usługę księgową przez pierwszy miesiąc bezpłatnie oferowaną przez Biuro Rachunkowe AS;</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bezpłatne strzyżenie z modelowaniem oraz zniżki na koloryzację i pielęgnację włosów oferowane przez Akademię Technik Fryzjerskich Sp. z o. 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w Hipermarkecie Leclerc na zabawki, wyroby papiernicze i szkolne, produkty kosmetyczne dla dzieci, artykuły spożywcze dla niemowląt, odzież dziecięcą </w:t>
      </w:r>
      <w:r w:rsidRPr="00E00B35">
        <w:rPr>
          <w:szCs w:val="20"/>
        </w:rPr>
        <w:br/>
        <w:t>i niemowlęcą;</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proponowane przez firmę JotBe – komputer Serwis na akcesoria dla dzieci, nosidełka ergonomiczne, przyczepki rowerowe;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w każdy wtorek, w Delikatesach Familijnych;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na usługi hotelowo-gastronomiczne w Pensjonacie Nowy Gierałtów </w:t>
      </w:r>
      <w:r w:rsidRPr="00E00B35">
        <w:rPr>
          <w:szCs w:val="20"/>
        </w:rPr>
        <w:br/>
        <w:t>u Wanata;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w opłacie za zajęcia Taekwon-do prowadzone przez Fundację Samuraj;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ubezpieczenia majątkowe i komunikacyjne oferowane prze firmę superubezpieczenia.pl;</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okulary i inne akcesoria oferowane przez Firmę Optymal;</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lastRenderedPageBreak/>
        <w:t>zniżki oferowane przez Wrocławską Księgarnię Archidiecezjalną;</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na zaopatrzenie ortopedyczne dla dzieci oferowane przez Specjalistyczną Firmę </w:t>
      </w:r>
      <w:r w:rsidR="00436BC1" w:rsidRPr="00E00B35">
        <w:rPr>
          <w:szCs w:val="20"/>
        </w:rPr>
        <w:t>O</w:t>
      </w:r>
      <w:r w:rsidRPr="00E00B35">
        <w:rPr>
          <w:szCs w:val="20"/>
        </w:rPr>
        <w:t>rtopedyczną Med-Orth;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zajęcia pozalekcyjne oferowane prze firmę MultiEdukacja;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w Domu Handlowym Feniks na artykuły spożywcze i przemysłowe;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na wszystkie produkty z mleka koziego w gospodarstwie przy </w:t>
      </w:r>
      <w:r w:rsidRPr="00E00B35">
        <w:rPr>
          <w:szCs w:val="20"/>
        </w:rPr>
        <w:br/>
        <w:t>ul. Gromadzkiej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zabawki i akcesoria dla dzieci w sklepie internetowym elefuntea.pl;</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w Gabinecie Terapeutyczno-Logopedycznym „LogAfa”;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w Sali Zabaw „Fioletowa Sowa” w CH Marino, w Tarasach Grabiszyńskich oraz w Galerii Kiełczowskiej oferowane przez firmę T&amp;M BRACIA Sp. z o. 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pościel i inne akcesoria dziecięce w sklepie internetowym http://hippo-sklep;</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w Parku Trampolin Jump World, oferowane przez firmę 4 Friends;</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meble skrzyniowe i tapicerowane oferowane przez firmę Meble Vox;</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zakupy spożywcze w sklepie internetowym www.swiezenatalerze.pl;</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bezpłatne ubezpieczenie dla dzieci NNW pod warunkiem zawarcia przez jednego </w:t>
      </w:r>
      <w:r w:rsidRPr="00E00B35">
        <w:rPr>
          <w:szCs w:val="20"/>
        </w:rPr>
        <w:br/>
        <w:t>z rodziców umowy ubezpieczenia Nowa Perspektywa oraz zniżki na Pakiet Medyczny „Bądź zdrów” oferowane przez AVIVA Towarzystwo Ubezpieczeń na Życie;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bezpłatny wstęp na wydarzenia kulturalne w Klubie Proza w Przejściu Garncarskim, oferowany przez Wrocławski Dom Literatury;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cały asortyment w sklepie internetowym eco-market.pl;</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całą usługę zmiany ogrzewania z węglowego na gazowe oferowane przez INSTALPRO;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7 noclegów z wyżywieniem w hotelu MILENA w Milówce;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zajęcia grupowe z matematyki w ramach Akademii Umiejętności Matematycznych;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sesję Biofeedback oraz bezpłatna diagnoza, oferowane przez firmę Usługi Psychologiczne Agnieszka Uberoi;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na wszystkie usługi agencji interaktywnej–plakaty, banery, ulotki oraz </w:t>
      </w:r>
      <w:r w:rsidRPr="00E00B35">
        <w:rPr>
          <w:szCs w:val="20"/>
        </w:rPr>
        <w:br/>
        <w:t>na meble i architekturę ogrodową oferowane przez firmę Haiku Studio Michał Pliszka w sklepach internetowych: http://haiku.com.pl i http://ogrodolandia.pl;</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cały asortyment w sklepie internetowym www.polskiedzieci.pl;</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bilety jednorazowe na naukę jazdy konnej, jazdę w zastępie oraz zajęcia dla dzieci w wieku 3-6 lat, oferowane przez Wrocławski tor Wyścigów Konnych Partynice;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wszystkie pakiety sesji fotograficznych dziecięcych, rodzinnych, innych, oferowane przy zamówieniu sesji fotograficznej przez stronę internetową fotosienkiewicz.com;</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porady prawne, sporządzanie pism procesowych oraz prowadzenia sprawy przed sądami i innymi instytucjami, oferowane przez Kancelarię Prawną WSI Polska;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lastRenderedPageBreak/>
        <w:t>zniżki na bilety dla minimum trzech osób, bilety indywidualne oraz bezpłatny wstęp na rodzinne zwiedzanie w każdą trzecią niedzielę miesiąca, oferowane</w:t>
      </w:r>
      <w:r w:rsidRPr="00E00B35">
        <w:rPr>
          <w:szCs w:val="20"/>
        </w:rPr>
        <w:br/>
        <w:t>w Ogrodzie Botanicznym i w Arboretum Wojsławice w Niemczy;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terapię w zakresie trudności szkolnych, terapię logopedyczną i terapię ręki, pierwszeństwo przy zapisach na zajęcia wczesnego wspomagania rozwoju dziecka, oferowane przez Stowarzyszenie na rzecz Integracji Społecznej „Nasz Świat”;</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wszystkie usługi terapeutyczne przy płatności kartą, oferowane przez Poradnię Terapeutyczną Zatoka;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cały asortyment w Kawiarni Amorinio, oferowane przez firmę Silvena;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cały asortyment dostępny w sklepie internetowym Świat Kwiatów poprzez stronę internetową www.sklep.swiatkwiatow.pl;</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na wizyty u psychologa, psychiatry i dietetyka przy ul. Białowieskiej oraz </w:t>
      </w:r>
      <w:r w:rsidRPr="00E00B35">
        <w:rPr>
          <w:szCs w:val="20"/>
        </w:rPr>
        <w:br/>
        <w:t xml:space="preserve">na warsztaty organizowane przez Fundację „Świadomi” przy ul. Krzyckiej </w:t>
      </w:r>
      <w:r w:rsidRPr="00E00B35">
        <w:rPr>
          <w:szCs w:val="20"/>
        </w:rPr>
        <w:br/>
        <w:t>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warsztaty (Pakiet Nastolatek Standard, Pakiet Młodzież i Studenci Standard) oraz na indywidualne konsultacje, oferowane przez firmę Tropiciele Talentów;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bezpłatne badania i konsultacje lekarskie oferowane przez Centrum Medyczne Synexus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zdjęcia do dokumentów oferowane przez Dea Print w Pasażu Królewieckim na wrocławskich Maślicach;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zakup materaców i poduszek oferowane przez firmę Framatti Polska przy ul. Międzyleskiej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zajęcia indywidualne, duety i zespoły muzyczne oferowane przez Szkołę Muzyczną Arka przy ul. Stalowowolskiej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porady prawne, sporządzanie pism procesowych, reprezentowanie przed sądami, organami administracji publicznej i innymi instytucjami oferowane przez Spółkę Partnerską Radców Prawnych KSW LEGAL Kapułka&amp;Superson – Winkowska przy ul. Bałuckiego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zniżka dla każdego dziecka z rodziny na każdy obóz, kolonię letnią i zimową organizowaną przez  Biuro Podróży ActiveTime24;</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cały asortyment w sklepach internetowych: https://ogroddosfera.pl; https://panmajster.pl; https://palram.pl;</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na zakup wraz z montażem okien i drzwi oraz zniżki na zakup roletek, moskitier i parapetów oferowane przez firmę U-H-T Zbigniew Łytka </w:t>
      </w:r>
      <w:r w:rsidRPr="00E00B35">
        <w:rPr>
          <w:szCs w:val="20"/>
        </w:rPr>
        <w:br/>
        <w:t>przy ul. Robotniczej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cały asortyment w sklepach z rajstopami, bielizną i odzieżą oraz zniżki na cały asortyment wyrobów garmażeryjnych oferowane przez firmę PAULA Sudoł Paulina;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na wszystkie usługi oferowane przez Centrum Pomocy Psychologicznej </w:t>
      </w:r>
      <w:r w:rsidRPr="00E00B35">
        <w:rPr>
          <w:szCs w:val="20"/>
        </w:rPr>
        <w:br/>
        <w:t>i Psychoedukacji „AVANTI” przy Pl. Powstańców Śląskich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wszystkie usługi świadczone przez Kancelarię Adwokacką Adwokat Małgorzata Mażewska-Woźniak przy ul. Grabiszyńskiej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lastRenderedPageBreak/>
        <w:t>bezpłatne badanie wzroku oraz promocje do wyboru – zniżki na cały asortyment dla całej rodziny lub gwarancja jednorazowej bezpłatnej wymiany soczewek okularowych dla dzieci przez rok od daty zakupu, oferowane przez Salon Optyczny Na Oko Anna Grabarczyk;</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nieprzeceniony asortyment odzieżowy oferowane przez firmę Lancerto</w:t>
      </w:r>
      <w:r w:rsidRPr="00E00B35">
        <w:rPr>
          <w:szCs w:val="20"/>
        </w:rPr>
        <w:br/>
        <w:t>w sklepie Lancerto w Pasażu Grunwaldzkim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jeżeli przyjdzie cała rodzina, na kawę, ciasta, kanapki i całą ofertę kawiarni oraz zniżki na organizację przyjęcia okolicznościowego, na zajęcia dla dzieci i na wybrane warsztaty dla dorosłych oferowane przez firmę Smaragdus w Studiu Warsztatowym i Kawiarni FOKS przy ul. Krzyckiej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wszystkie usługi oferowane na stronie https://www.damtox.pl oraz zniżki na tworzenie stron www i na pozycjonowanie stron www proponowane przez firmę Damtox Tomasz Bołoz;</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wszystkie usługi  oferowane przez firmę Conselion Prawo i Podatki Kosoń i Wspólnicy Spółka Komandytowa przy Pl. Powstańców Śląskich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produkty dla dzieci w sklepie www.activegarden.pl oraz zniżki na wynajem aut przez stronę www.prestigecarclub.pl oferowane przez firmę VEOX Miklaszewski Marcin;</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oprawki okularowe i na soczewki kontaktowe #BIOVIEW oferowane przez KODANO OPTYK przy ul. Sieradzkiej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przy wejściu na lodowisko na Stadionie Wrocław;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od cen wszystkich rodzajów biletów (normalny, ulgowy, rodzinny) </w:t>
      </w:r>
      <w:r w:rsidRPr="00E00B35">
        <w:rPr>
          <w:szCs w:val="20"/>
        </w:rPr>
        <w:br/>
        <w:t>w Centrum Edukacji Ekologicznej Hydropolis;</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od ceny biletu normalnego i ulgowego na Pływalni Krytej Orbita i Pływalni Letniej Orbita oferowane przez Centrum Treningowe Spartan;</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produkty w sklepie internetowym www.eco24.pl oferowane przez firmę ECO24;</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zniżki na cały asortyment ze stron internetowych: https://laflora.pl </w:t>
      </w:r>
      <w:r w:rsidRPr="00E00B35">
        <w:rPr>
          <w:szCs w:val="20"/>
        </w:rPr>
        <w:br/>
        <w:t>i https://telekwiaciarnia.pl;</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wszystkie dostępne na stronie www.fiszkoteka.pl kursy językowe i Konto Premium oferowane przez firmę VocApp sp. z o. 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zniżki na wszystkie rodzaje zdjęć do dokumentów wykonane online na stronie www.passport-photo.online/pl oraz w aplikacji mobilnej – Android oferowane przez firmę FotoExpress Sp. z o. o.</w:t>
      </w:r>
    </w:p>
    <w:p w:rsidR="00CA14AB" w:rsidRPr="00E00B35" w:rsidRDefault="00CA14AB" w:rsidP="00E00B35">
      <w:pPr>
        <w:spacing w:after="0" w:line="312" w:lineRule="auto"/>
        <w:rPr>
          <w:szCs w:val="20"/>
        </w:rPr>
      </w:pPr>
      <w:r w:rsidRPr="00E00B35">
        <w:rPr>
          <w:szCs w:val="20"/>
        </w:rPr>
        <w:t>W 2020 r. zawarto 17 porozumień z oferentami.</w:t>
      </w:r>
    </w:p>
    <w:p w:rsidR="00CA14AB" w:rsidRPr="00E00B35" w:rsidRDefault="00CA14AB" w:rsidP="00E00B35">
      <w:pPr>
        <w:spacing w:after="0" w:line="312" w:lineRule="auto"/>
        <w:rPr>
          <w:szCs w:val="20"/>
        </w:rPr>
      </w:pPr>
      <w:r w:rsidRPr="00E00B35">
        <w:rPr>
          <w:szCs w:val="20"/>
        </w:rPr>
        <w:t xml:space="preserve">W 2020r. kontynuowano realizację rządowego programu dla rodzin wielodzietnych Karta Dużej Rodziny, realizowanego w oparciu o Ustawę z dnia 5 grudnia 2014r. </w:t>
      </w:r>
      <w:r w:rsidRPr="00E00B35">
        <w:rPr>
          <w:szCs w:val="20"/>
        </w:rPr>
        <w:br/>
        <w:t>o Karcie Dużej Rodziny (t.j. Dz. U. z 2020r. poz. 1348 ze zm.).</w:t>
      </w:r>
    </w:p>
    <w:p w:rsidR="00CA14AB" w:rsidRPr="00E00B35" w:rsidRDefault="00CA14AB" w:rsidP="00E00B35">
      <w:pPr>
        <w:spacing w:after="0" w:line="312" w:lineRule="auto"/>
        <w:rPr>
          <w:rFonts w:eastAsia="Arial Unicode MS"/>
          <w:szCs w:val="20"/>
        </w:rPr>
      </w:pPr>
      <w:r w:rsidRPr="00E00B35">
        <w:rPr>
          <w:rFonts w:eastAsia="Arial Unicode MS"/>
          <w:szCs w:val="20"/>
        </w:rPr>
        <w:t>Program polega na przyznaniu rodzinom wielodzietnym korzystniejszego od ogólnie obowiązującego dostępu do towarów, usług lub innych form działalności (art. 1, ust. 2 w/w ustawy). Realizatorem programu dla mieszkańców Wrocławia jest Miejski Ośrodek Pomocy Społecznej.</w:t>
      </w:r>
    </w:p>
    <w:p w:rsidR="00CA14AB" w:rsidRPr="00E00B35" w:rsidRDefault="00CA14AB" w:rsidP="00E00B35">
      <w:pPr>
        <w:spacing w:after="0" w:line="312" w:lineRule="auto"/>
        <w:rPr>
          <w:szCs w:val="20"/>
        </w:rPr>
      </w:pPr>
      <w:r w:rsidRPr="00E00B35">
        <w:rPr>
          <w:rFonts w:eastAsia="Arial Unicode MS"/>
          <w:szCs w:val="20"/>
        </w:rPr>
        <w:lastRenderedPageBreak/>
        <w:t xml:space="preserve">Z danych zgromadzonych w 2020r. wynika, że od dnia 1 stycznia 2020r. do dnia </w:t>
      </w:r>
      <w:r w:rsidRPr="00E00B35">
        <w:rPr>
          <w:rFonts w:eastAsia="Arial Unicode MS"/>
          <w:szCs w:val="20"/>
        </w:rPr>
        <w:br/>
        <w:t xml:space="preserve">31 grudnia 2020r. wniosek o przyznanie Karty Dużej Rodziny złożyły 724 rodziny wielodzietne wychowujące dzieci oraz 491 rodzin składających się wyłącznie z rodziców. Zamówiono w tym okresie (zgodnie z raportem R01) 4 910 kart tradycyjnych i 4 819 kart elektronicznych. </w:t>
      </w:r>
    </w:p>
    <w:p w:rsidR="00CA14AB" w:rsidRPr="00E00B35" w:rsidRDefault="00CA14AB" w:rsidP="00E00B35">
      <w:pPr>
        <w:spacing w:after="0" w:line="312" w:lineRule="auto"/>
        <w:rPr>
          <w:szCs w:val="20"/>
        </w:rPr>
      </w:pPr>
      <w:r w:rsidRPr="00E00B35">
        <w:rPr>
          <w:rFonts w:eastAsia="Arial Unicode MS"/>
          <w:szCs w:val="20"/>
        </w:rPr>
        <w:t xml:space="preserve">Od początku realizacji rządowego programu dla rodzin wielodzietnych Karta Dużej Rodziny tj. od 16 czerwca 2014r. do 31 grudnia 2020r. wniosek o przyznanie Karty Dużej Rodziny złożyło 9 510 rodzin wielodzietnych. </w:t>
      </w:r>
    </w:p>
    <w:p w:rsidR="00890136" w:rsidRPr="00E00B35" w:rsidRDefault="00890136" w:rsidP="00E00B35">
      <w:pPr>
        <w:pStyle w:val="Nagwek4"/>
        <w:spacing w:before="0" w:after="0" w:line="312" w:lineRule="auto"/>
        <w:rPr>
          <w:sz w:val="20"/>
          <w:szCs w:val="20"/>
        </w:rPr>
      </w:pPr>
      <w:bookmarkStart w:id="452" w:name="_Toc72352448"/>
      <w:bookmarkStart w:id="453" w:name="_Toc72352882"/>
      <w:bookmarkStart w:id="454" w:name="_Hlk534360476"/>
      <w:bookmarkEnd w:id="434"/>
    </w:p>
    <w:p w:rsidR="00CA14AB" w:rsidRPr="00E00B35" w:rsidRDefault="00CA14AB" w:rsidP="00E00B35">
      <w:pPr>
        <w:pStyle w:val="Nagwek4"/>
        <w:spacing w:before="0" w:after="0" w:line="312" w:lineRule="auto"/>
        <w:rPr>
          <w:sz w:val="20"/>
          <w:szCs w:val="20"/>
        </w:rPr>
      </w:pPr>
      <w:r w:rsidRPr="00E00B35">
        <w:rPr>
          <w:sz w:val="20"/>
          <w:szCs w:val="20"/>
        </w:rPr>
        <w:t>DZIAŁ WSPARCIA MIESZKAŃCÓW</w:t>
      </w:r>
      <w:bookmarkEnd w:id="452"/>
      <w:bookmarkEnd w:id="453"/>
    </w:p>
    <w:p w:rsidR="00CA14AB" w:rsidRPr="00E00B35" w:rsidRDefault="00CA14AB" w:rsidP="00E00B35">
      <w:pPr>
        <w:spacing w:after="0" w:line="312" w:lineRule="auto"/>
        <w:rPr>
          <w:szCs w:val="20"/>
        </w:rPr>
      </w:pPr>
      <w:r w:rsidRPr="00E00B35">
        <w:rPr>
          <w:szCs w:val="20"/>
        </w:rPr>
        <w:t>Dział Wsparcia Mieszkańców mający swoją siedzibę przy ul. Hubskiej 30/32 wykonuje zadania z zakresu: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przyznawania i wypłaty dodatków mieszkaniowych;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przyznawania i wypłaty dodatków energetycznych;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przyznawania i wypłaty pomocy o charakterze socjalnym dla uczniów;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przyznawania i wypłaty świadczenia „Za życiem”;</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przyznawania i wypłaty świadczeń rekompensujących utracone wynagrodzenia osobom odbywającym ćwiczenia wojskowe, wydawaniem decyzji o uznaniu żołnierza za posiadającego na wyłącznym utrzymaniu członków rodziny lub o uznaniu za samotnego oraz pokrywaniem bieżących należności związanych z zamieszkiwaniem w lokalu żołnierza uznanego za posiadającego na wyłącznym utrzymaniu członków rodziny lub uznanego za samotnego, w okresie odbywania przez nich czynnej służby wojskowej;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wypłaty Karta Polaka.</w:t>
      </w:r>
    </w:p>
    <w:p w:rsidR="00890136" w:rsidRPr="00E00B35" w:rsidRDefault="00890136" w:rsidP="00E00B35">
      <w:pPr>
        <w:pStyle w:val="Nagwek5"/>
        <w:rPr>
          <w:szCs w:val="20"/>
        </w:rPr>
      </w:pPr>
      <w:bookmarkStart w:id="455" w:name="_Toc72352449"/>
      <w:bookmarkStart w:id="456" w:name="_Toc72352883"/>
    </w:p>
    <w:p w:rsidR="00CA14AB" w:rsidRPr="00E00B35" w:rsidRDefault="00CA14AB" w:rsidP="00E00B35">
      <w:pPr>
        <w:pStyle w:val="Nagwek5"/>
        <w:rPr>
          <w:szCs w:val="20"/>
        </w:rPr>
      </w:pPr>
      <w:r w:rsidRPr="00E00B35">
        <w:rPr>
          <w:szCs w:val="20"/>
        </w:rPr>
        <w:t>DODATKI MIESZKANIOWE</w:t>
      </w:r>
      <w:bookmarkEnd w:id="455"/>
      <w:bookmarkEnd w:id="456"/>
    </w:p>
    <w:p w:rsidR="00CA14AB" w:rsidRPr="00E00B35" w:rsidRDefault="00CA14AB" w:rsidP="00E00B35">
      <w:pPr>
        <w:spacing w:after="0" w:line="312" w:lineRule="auto"/>
        <w:rPr>
          <w:szCs w:val="20"/>
        </w:rPr>
      </w:pPr>
      <w:r w:rsidRPr="00E00B35">
        <w:rPr>
          <w:szCs w:val="20"/>
        </w:rPr>
        <w:t>Dodatki mieszkaniowe w 2020r. przyznawane i wypłacane były na podstawie ustawy z dnia 21 czerwca 2001r. o dodatkach mieszkaniowych (t.j. Dz. U. z 2019r. poz. 2133).</w:t>
      </w:r>
    </w:p>
    <w:p w:rsidR="00CA14AB" w:rsidRPr="00E00B35" w:rsidRDefault="00CA14AB" w:rsidP="00E00B35">
      <w:pPr>
        <w:spacing w:after="0" w:line="312" w:lineRule="auto"/>
        <w:rPr>
          <w:szCs w:val="20"/>
        </w:rPr>
      </w:pPr>
      <w:r w:rsidRPr="00E00B35">
        <w:rPr>
          <w:szCs w:val="20"/>
        </w:rPr>
        <w:t>Dodatki mieszkaniowe – dane liczbowe za lata 2016-2020</w:t>
      </w:r>
    </w:p>
    <w:tbl>
      <w:tblPr>
        <w:tblW w:w="97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1560"/>
        <w:gridCol w:w="1560"/>
        <w:gridCol w:w="1560"/>
        <w:gridCol w:w="1560"/>
        <w:gridCol w:w="1560"/>
      </w:tblGrid>
      <w:tr w:rsidR="00CA14AB" w:rsidRPr="00E00B35" w:rsidTr="00CA14AB">
        <w:trPr>
          <w:trHeight w:val="640"/>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Wyszczególnie-nie</w:t>
            </w:r>
          </w:p>
        </w:tc>
        <w:tc>
          <w:tcPr>
            <w:tcW w:w="1560" w:type="dxa"/>
            <w:shd w:val="clear" w:color="auto" w:fill="D9D9D9"/>
            <w:vAlign w:val="center"/>
          </w:tcPr>
          <w:p w:rsidR="00CA14AB" w:rsidRPr="00E00B35" w:rsidRDefault="00CA14AB" w:rsidP="00E00B35">
            <w:pPr>
              <w:spacing w:after="0" w:line="312" w:lineRule="auto"/>
              <w:rPr>
                <w:rFonts w:eastAsia="Calibri"/>
                <w:szCs w:val="20"/>
              </w:rPr>
            </w:pPr>
            <w:r w:rsidRPr="00E00B35">
              <w:rPr>
                <w:szCs w:val="20"/>
              </w:rPr>
              <w:t>2016</w:t>
            </w:r>
          </w:p>
        </w:tc>
        <w:tc>
          <w:tcPr>
            <w:tcW w:w="1560" w:type="dxa"/>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2017</w:t>
            </w:r>
          </w:p>
        </w:tc>
        <w:tc>
          <w:tcPr>
            <w:tcW w:w="1560" w:type="dxa"/>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2018</w:t>
            </w:r>
          </w:p>
        </w:tc>
        <w:tc>
          <w:tcPr>
            <w:tcW w:w="1560" w:type="dxa"/>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2019</w:t>
            </w:r>
          </w:p>
        </w:tc>
        <w:tc>
          <w:tcPr>
            <w:tcW w:w="1560" w:type="dxa"/>
            <w:shd w:val="clear" w:color="auto" w:fill="D9D9D9"/>
            <w:vAlign w:val="center"/>
          </w:tcPr>
          <w:p w:rsidR="00CA14AB" w:rsidRPr="00E00B35" w:rsidRDefault="00CA14AB" w:rsidP="00E00B35">
            <w:pPr>
              <w:spacing w:after="0" w:line="312" w:lineRule="auto"/>
              <w:rPr>
                <w:rFonts w:eastAsia="Calibri"/>
                <w:szCs w:val="20"/>
              </w:rPr>
            </w:pPr>
            <w:r w:rsidRPr="00E00B35">
              <w:rPr>
                <w:rFonts w:eastAsia="Calibri"/>
                <w:szCs w:val="20"/>
              </w:rPr>
              <w:t>2020</w:t>
            </w:r>
          </w:p>
        </w:tc>
      </w:tr>
      <w:tr w:rsidR="00CA14AB" w:rsidRPr="00E00B35" w:rsidTr="00CA14AB">
        <w:trPr>
          <w:trHeight w:val="680"/>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Kwota wypłaconych dodatków – ogółem w [zł]</w:t>
            </w:r>
          </w:p>
        </w:tc>
        <w:tc>
          <w:tcPr>
            <w:tcW w:w="1560" w:type="dxa"/>
            <w:vAlign w:val="center"/>
          </w:tcPr>
          <w:p w:rsidR="00CA14AB" w:rsidRPr="00E00B35" w:rsidRDefault="00CA14AB" w:rsidP="00E00B35">
            <w:pPr>
              <w:spacing w:after="0" w:line="312" w:lineRule="auto"/>
              <w:rPr>
                <w:rFonts w:eastAsia="Calibri"/>
                <w:szCs w:val="20"/>
              </w:rPr>
            </w:pPr>
            <w:r w:rsidRPr="00E00B35">
              <w:rPr>
                <w:szCs w:val="20"/>
              </w:rPr>
              <w:t>9 899 990</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9 197 176</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8 354 510</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7 161 491</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6 505 171</w:t>
            </w:r>
          </w:p>
        </w:tc>
      </w:tr>
      <w:tr w:rsidR="00CA14AB" w:rsidRPr="00E00B35" w:rsidTr="00CA14AB">
        <w:trPr>
          <w:trHeight w:val="680"/>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Liczba wydanych decyzji</w:t>
            </w:r>
          </w:p>
        </w:tc>
        <w:tc>
          <w:tcPr>
            <w:tcW w:w="1560" w:type="dxa"/>
            <w:vAlign w:val="center"/>
          </w:tcPr>
          <w:p w:rsidR="00CA14AB" w:rsidRPr="00E00B35" w:rsidRDefault="00CA14AB" w:rsidP="00E00B35">
            <w:pPr>
              <w:spacing w:after="0" w:line="312" w:lineRule="auto"/>
              <w:rPr>
                <w:rFonts w:eastAsia="Calibri"/>
                <w:szCs w:val="20"/>
              </w:rPr>
            </w:pPr>
            <w:r w:rsidRPr="00E00B35">
              <w:rPr>
                <w:szCs w:val="20"/>
              </w:rPr>
              <w:t>7 694</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6 915</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6 229</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 xml:space="preserve">                  5 187</w:t>
            </w:r>
          </w:p>
          <w:p w:rsidR="00CA14AB" w:rsidRPr="00E00B35" w:rsidRDefault="00CA14AB" w:rsidP="00E00B35">
            <w:pPr>
              <w:spacing w:after="0" w:line="312" w:lineRule="auto"/>
              <w:rPr>
                <w:rFonts w:eastAsia="Calibri"/>
                <w:szCs w:val="20"/>
              </w:rPr>
            </w:pP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4814</w:t>
            </w:r>
          </w:p>
        </w:tc>
      </w:tr>
      <w:tr w:rsidR="00CA14AB" w:rsidRPr="00E00B35" w:rsidTr="00CA14AB">
        <w:trPr>
          <w:trHeight w:val="680"/>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Liczba wypłaconych dodatków</w:t>
            </w:r>
          </w:p>
        </w:tc>
        <w:tc>
          <w:tcPr>
            <w:tcW w:w="1560" w:type="dxa"/>
            <w:vAlign w:val="center"/>
          </w:tcPr>
          <w:p w:rsidR="00CA14AB" w:rsidRPr="00E00B35" w:rsidRDefault="00CA14AB" w:rsidP="00E00B35">
            <w:pPr>
              <w:spacing w:after="0" w:line="312" w:lineRule="auto"/>
              <w:rPr>
                <w:rFonts w:eastAsia="Calibri"/>
                <w:szCs w:val="20"/>
              </w:rPr>
            </w:pPr>
            <w:r w:rsidRPr="00E00B35">
              <w:rPr>
                <w:szCs w:val="20"/>
              </w:rPr>
              <w:t>40 260</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36 454</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32 745</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29 094</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25 779</w:t>
            </w:r>
          </w:p>
        </w:tc>
      </w:tr>
      <w:tr w:rsidR="00CA14AB" w:rsidRPr="00E00B35" w:rsidTr="00CA14AB">
        <w:trPr>
          <w:trHeight w:val="680"/>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 xml:space="preserve">Średnia wartość wypłaconego </w:t>
            </w:r>
            <w:r w:rsidRPr="00E00B35">
              <w:rPr>
                <w:szCs w:val="20"/>
              </w:rPr>
              <w:lastRenderedPageBreak/>
              <w:t>dodatku w [zł]</w:t>
            </w:r>
          </w:p>
        </w:tc>
        <w:tc>
          <w:tcPr>
            <w:tcW w:w="1560" w:type="dxa"/>
            <w:vAlign w:val="center"/>
          </w:tcPr>
          <w:p w:rsidR="00CA14AB" w:rsidRPr="00E00B35" w:rsidRDefault="00CA14AB" w:rsidP="00E00B35">
            <w:pPr>
              <w:spacing w:after="0" w:line="312" w:lineRule="auto"/>
              <w:rPr>
                <w:rFonts w:eastAsia="Calibri"/>
                <w:szCs w:val="20"/>
              </w:rPr>
            </w:pPr>
            <w:r w:rsidRPr="00E00B35">
              <w:rPr>
                <w:szCs w:val="20"/>
              </w:rPr>
              <w:lastRenderedPageBreak/>
              <w:t>245,90</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252,30</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255,14</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246,15</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252,34</w:t>
            </w:r>
          </w:p>
        </w:tc>
      </w:tr>
      <w:tr w:rsidR="00CA14AB" w:rsidRPr="00E00B35" w:rsidTr="00CA14AB">
        <w:trPr>
          <w:trHeight w:val="680"/>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lastRenderedPageBreak/>
              <w:t>Sumaryczna liczba gospodarstw domowych korzystających z dodatku mieszkaniowego</w:t>
            </w:r>
          </w:p>
        </w:tc>
        <w:tc>
          <w:tcPr>
            <w:tcW w:w="1560" w:type="dxa"/>
            <w:vAlign w:val="center"/>
          </w:tcPr>
          <w:p w:rsidR="00CA14AB" w:rsidRPr="00E00B35" w:rsidRDefault="00CA14AB" w:rsidP="00E00B35">
            <w:pPr>
              <w:spacing w:after="0" w:line="312" w:lineRule="auto"/>
              <w:rPr>
                <w:rFonts w:eastAsia="Calibri"/>
                <w:szCs w:val="20"/>
              </w:rPr>
            </w:pPr>
            <w:r w:rsidRPr="00E00B35">
              <w:rPr>
                <w:szCs w:val="20"/>
              </w:rPr>
              <w:t>4 260</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3 847</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3 467</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3 082</w:t>
            </w:r>
          </w:p>
        </w:tc>
        <w:tc>
          <w:tcPr>
            <w:tcW w:w="1560" w:type="dxa"/>
            <w:vAlign w:val="center"/>
          </w:tcPr>
          <w:p w:rsidR="00CA14AB" w:rsidRPr="00E00B35" w:rsidRDefault="00CA14AB" w:rsidP="00E00B35">
            <w:pPr>
              <w:spacing w:after="0" w:line="312" w:lineRule="auto"/>
              <w:rPr>
                <w:rFonts w:eastAsia="Calibri"/>
                <w:szCs w:val="20"/>
              </w:rPr>
            </w:pPr>
            <w:r w:rsidRPr="00E00B35">
              <w:rPr>
                <w:rFonts w:eastAsia="Calibri"/>
                <w:szCs w:val="20"/>
              </w:rPr>
              <w:t>2 745</w:t>
            </w:r>
          </w:p>
        </w:tc>
      </w:tr>
    </w:tbl>
    <w:p w:rsidR="00CA14AB" w:rsidRPr="00E00B35" w:rsidRDefault="00CA14AB" w:rsidP="00E00B35">
      <w:pPr>
        <w:spacing w:after="0" w:line="312" w:lineRule="auto"/>
        <w:rPr>
          <w:szCs w:val="20"/>
        </w:rPr>
      </w:pPr>
    </w:p>
    <w:p w:rsidR="00CA14AB" w:rsidRPr="00E00B35" w:rsidRDefault="00CA14AB" w:rsidP="00E00B35">
      <w:pPr>
        <w:pStyle w:val="Nagwek5"/>
        <w:rPr>
          <w:szCs w:val="20"/>
        </w:rPr>
      </w:pPr>
      <w:bookmarkStart w:id="457" w:name="_Toc72352450"/>
      <w:bookmarkStart w:id="458" w:name="_Toc72352884"/>
      <w:r w:rsidRPr="00E00B35">
        <w:rPr>
          <w:szCs w:val="20"/>
        </w:rPr>
        <w:t>DODATKI ENERGETYCZNE</w:t>
      </w:r>
      <w:bookmarkEnd w:id="457"/>
      <w:bookmarkEnd w:id="458"/>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Dodatki energetyczne w 2020r. przyznawane i wypłacane były na podstawie ustawy z dnia 10 kwietnia 1997r. Prawo energetyczne (t.j. Dz. U. z 2020 r. poz. 833 ze zm.) oraz uchwały nr XXII/1906/04 Rady Miejskiej Wrocławia z dnia 22 kwietnia 2004r. </w:t>
      </w:r>
      <w:r w:rsidRPr="00E00B35">
        <w:rPr>
          <w:szCs w:val="20"/>
        </w:rPr>
        <w:br/>
        <w:t>w sprawie upoważnienia dyrektora MOPS do załatwiania indywidualnych spraw z zakresu administracji publicznej nie należących do zadań z zakresu pomocy społecznej, zmienionej uchwałą nr XXXV/2335/05 Rady Miejskiej Wrocławia z dnia 17 marca 2015r. oraz uchwałą nr L/1258/13 Rady Miejskiej Wrocławia z dnia 28 listopada 2013r.</w:t>
      </w:r>
    </w:p>
    <w:p w:rsidR="00CA14AB" w:rsidRPr="00E00B35" w:rsidRDefault="00CA14AB" w:rsidP="00E00B35">
      <w:pPr>
        <w:spacing w:after="0" w:line="312" w:lineRule="auto"/>
        <w:rPr>
          <w:szCs w:val="20"/>
        </w:rPr>
      </w:pPr>
      <w:r w:rsidRPr="00E00B35">
        <w:rPr>
          <w:szCs w:val="20"/>
        </w:rPr>
        <w:t>Dodatki energetyczne za lata 2016-2020</w:t>
      </w:r>
    </w:p>
    <w:tbl>
      <w:tblPr>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1418"/>
        <w:gridCol w:w="1418"/>
        <w:gridCol w:w="1418"/>
        <w:gridCol w:w="1418"/>
        <w:gridCol w:w="1418"/>
      </w:tblGrid>
      <w:tr w:rsidR="00CA14AB" w:rsidRPr="00E00B35" w:rsidTr="00CA14AB">
        <w:trPr>
          <w:cantSplit/>
          <w:trHeight w:val="632"/>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Wyszczególnie-nie</w:t>
            </w:r>
          </w:p>
        </w:tc>
        <w:tc>
          <w:tcPr>
            <w:tcW w:w="1418" w:type="dxa"/>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1418" w:type="dxa"/>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1418" w:type="dxa"/>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1418" w:type="dxa"/>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1418" w:type="dxa"/>
            <w:shd w:val="clear" w:color="auto" w:fill="D9D9D9"/>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cantSplit/>
          <w:trHeight w:val="680"/>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Kwota wypłaconych dodatków – ogółem w [zł]</w:t>
            </w:r>
          </w:p>
        </w:tc>
        <w:tc>
          <w:tcPr>
            <w:tcW w:w="1418" w:type="dxa"/>
            <w:vAlign w:val="center"/>
          </w:tcPr>
          <w:p w:rsidR="00CA14AB" w:rsidRPr="00E00B35" w:rsidRDefault="00CA14AB" w:rsidP="00E00B35">
            <w:pPr>
              <w:spacing w:after="0" w:line="312" w:lineRule="auto"/>
              <w:rPr>
                <w:szCs w:val="20"/>
              </w:rPr>
            </w:pPr>
            <w:r w:rsidRPr="00E00B35">
              <w:rPr>
                <w:szCs w:val="20"/>
              </w:rPr>
              <w:t>155 401</w:t>
            </w:r>
          </w:p>
        </w:tc>
        <w:tc>
          <w:tcPr>
            <w:tcW w:w="1418" w:type="dxa"/>
            <w:vAlign w:val="center"/>
          </w:tcPr>
          <w:p w:rsidR="00CA14AB" w:rsidRPr="00E00B35" w:rsidRDefault="00CA14AB" w:rsidP="00E00B35">
            <w:pPr>
              <w:spacing w:after="0" w:line="312" w:lineRule="auto"/>
              <w:rPr>
                <w:szCs w:val="20"/>
              </w:rPr>
            </w:pPr>
            <w:r w:rsidRPr="00E00B35">
              <w:rPr>
                <w:szCs w:val="20"/>
              </w:rPr>
              <w:t>145 039</w:t>
            </w:r>
          </w:p>
        </w:tc>
        <w:tc>
          <w:tcPr>
            <w:tcW w:w="1418" w:type="dxa"/>
            <w:vAlign w:val="center"/>
          </w:tcPr>
          <w:p w:rsidR="00CA14AB" w:rsidRPr="00E00B35" w:rsidRDefault="00CA14AB" w:rsidP="00E00B35">
            <w:pPr>
              <w:spacing w:after="0" w:line="312" w:lineRule="auto"/>
              <w:rPr>
                <w:szCs w:val="20"/>
              </w:rPr>
            </w:pPr>
            <w:r w:rsidRPr="00E00B35">
              <w:rPr>
                <w:szCs w:val="20"/>
              </w:rPr>
              <w:t>138 566</w:t>
            </w:r>
          </w:p>
        </w:tc>
        <w:tc>
          <w:tcPr>
            <w:tcW w:w="1418" w:type="dxa"/>
            <w:vAlign w:val="center"/>
          </w:tcPr>
          <w:p w:rsidR="00CA14AB" w:rsidRPr="00E00B35" w:rsidRDefault="00CA14AB" w:rsidP="00E00B35">
            <w:pPr>
              <w:spacing w:after="0" w:line="312" w:lineRule="auto"/>
              <w:rPr>
                <w:szCs w:val="20"/>
              </w:rPr>
            </w:pPr>
            <w:r w:rsidRPr="00E00B35">
              <w:rPr>
                <w:szCs w:val="20"/>
              </w:rPr>
              <w:t>129 297,82</w:t>
            </w:r>
          </w:p>
        </w:tc>
        <w:tc>
          <w:tcPr>
            <w:tcW w:w="1418" w:type="dxa"/>
            <w:vAlign w:val="center"/>
          </w:tcPr>
          <w:p w:rsidR="00CA14AB" w:rsidRPr="00E00B35" w:rsidRDefault="00CA14AB" w:rsidP="00E00B35">
            <w:pPr>
              <w:spacing w:after="0" w:line="312" w:lineRule="auto"/>
              <w:rPr>
                <w:szCs w:val="20"/>
              </w:rPr>
            </w:pPr>
            <w:r w:rsidRPr="00E00B35">
              <w:rPr>
                <w:szCs w:val="20"/>
              </w:rPr>
              <w:t>123 137</w:t>
            </w:r>
          </w:p>
        </w:tc>
      </w:tr>
      <w:tr w:rsidR="00CA14AB" w:rsidRPr="00E00B35" w:rsidTr="00CA14AB">
        <w:trPr>
          <w:trHeight w:val="680"/>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Liczba wydanych decyzji</w:t>
            </w:r>
          </w:p>
        </w:tc>
        <w:tc>
          <w:tcPr>
            <w:tcW w:w="1418" w:type="dxa"/>
            <w:vAlign w:val="center"/>
          </w:tcPr>
          <w:p w:rsidR="00CA14AB" w:rsidRPr="00E00B35" w:rsidRDefault="00CA14AB" w:rsidP="00E00B35">
            <w:pPr>
              <w:spacing w:after="0" w:line="312" w:lineRule="auto"/>
              <w:rPr>
                <w:szCs w:val="20"/>
              </w:rPr>
            </w:pPr>
            <w:r w:rsidRPr="00E00B35">
              <w:rPr>
                <w:szCs w:val="20"/>
              </w:rPr>
              <w:t>2 465</w:t>
            </w:r>
          </w:p>
        </w:tc>
        <w:tc>
          <w:tcPr>
            <w:tcW w:w="1418" w:type="dxa"/>
            <w:vAlign w:val="center"/>
          </w:tcPr>
          <w:p w:rsidR="00CA14AB" w:rsidRPr="00E00B35" w:rsidRDefault="00CA14AB" w:rsidP="00E00B35">
            <w:pPr>
              <w:spacing w:after="0" w:line="312" w:lineRule="auto"/>
              <w:rPr>
                <w:szCs w:val="20"/>
              </w:rPr>
            </w:pPr>
            <w:r w:rsidRPr="00E00B35">
              <w:rPr>
                <w:szCs w:val="20"/>
              </w:rPr>
              <w:t>2 243</w:t>
            </w:r>
          </w:p>
        </w:tc>
        <w:tc>
          <w:tcPr>
            <w:tcW w:w="1418" w:type="dxa"/>
            <w:vAlign w:val="center"/>
          </w:tcPr>
          <w:p w:rsidR="00CA14AB" w:rsidRPr="00E00B35" w:rsidRDefault="00CA14AB" w:rsidP="00E00B35">
            <w:pPr>
              <w:spacing w:after="0" w:line="312" w:lineRule="auto"/>
              <w:rPr>
                <w:szCs w:val="20"/>
              </w:rPr>
            </w:pPr>
            <w:r w:rsidRPr="00E00B35">
              <w:rPr>
                <w:szCs w:val="20"/>
              </w:rPr>
              <w:t>2 138</w:t>
            </w:r>
          </w:p>
        </w:tc>
        <w:tc>
          <w:tcPr>
            <w:tcW w:w="1418" w:type="dxa"/>
            <w:vAlign w:val="center"/>
          </w:tcPr>
          <w:p w:rsidR="00CA14AB" w:rsidRPr="00E00B35" w:rsidRDefault="00CA14AB" w:rsidP="00E00B35">
            <w:pPr>
              <w:spacing w:after="0" w:line="312" w:lineRule="auto"/>
              <w:rPr>
                <w:szCs w:val="20"/>
              </w:rPr>
            </w:pPr>
            <w:r w:rsidRPr="00E00B35">
              <w:rPr>
                <w:szCs w:val="20"/>
              </w:rPr>
              <w:t>2 086</w:t>
            </w:r>
          </w:p>
        </w:tc>
        <w:tc>
          <w:tcPr>
            <w:tcW w:w="1418" w:type="dxa"/>
            <w:vAlign w:val="center"/>
          </w:tcPr>
          <w:p w:rsidR="00CA14AB" w:rsidRPr="00E00B35" w:rsidRDefault="00CA14AB" w:rsidP="00E00B35">
            <w:pPr>
              <w:spacing w:after="0" w:line="312" w:lineRule="auto"/>
              <w:rPr>
                <w:szCs w:val="20"/>
              </w:rPr>
            </w:pPr>
            <w:r w:rsidRPr="00E00B35">
              <w:rPr>
                <w:szCs w:val="20"/>
              </w:rPr>
              <w:t>1964</w:t>
            </w:r>
          </w:p>
        </w:tc>
      </w:tr>
      <w:tr w:rsidR="00CA14AB" w:rsidRPr="00E00B35" w:rsidTr="00CA14AB">
        <w:trPr>
          <w:trHeight w:val="680"/>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Liczba wypłaconych dodatków</w:t>
            </w:r>
          </w:p>
        </w:tc>
        <w:tc>
          <w:tcPr>
            <w:tcW w:w="1418" w:type="dxa"/>
            <w:vAlign w:val="center"/>
          </w:tcPr>
          <w:p w:rsidR="00CA14AB" w:rsidRPr="00E00B35" w:rsidRDefault="00CA14AB" w:rsidP="00E00B35">
            <w:pPr>
              <w:spacing w:after="0" w:line="312" w:lineRule="auto"/>
              <w:rPr>
                <w:szCs w:val="20"/>
              </w:rPr>
            </w:pPr>
            <w:r w:rsidRPr="00E00B35">
              <w:rPr>
                <w:szCs w:val="20"/>
              </w:rPr>
              <w:t>11 513</w:t>
            </w:r>
          </w:p>
        </w:tc>
        <w:tc>
          <w:tcPr>
            <w:tcW w:w="1418" w:type="dxa"/>
            <w:vAlign w:val="center"/>
          </w:tcPr>
          <w:p w:rsidR="00CA14AB" w:rsidRPr="00E00B35" w:rsidRDefault="00CA14AB" w:rsidP="00E00B35">
            <w:pPr>
              <w:spacing w:after="0" w:line="312" w:lineRule="auto"/>
              <w:rPr>
                <w:szCs w:val="20"/>
              </w:rPr>
            </w:pPr>
            <w:r w:rsidRPr="00E00B35">
              <w:rPr>
                <w:szCs w:val="20"/>
              </w:rPr>
              <w:t>10 859</w:t>
            </w:r>
          </w:p>
        </w:tc>
        <w:tc>
          <w:tcPr>
            <w:tcW w:w="1418" w:type="dxa"/>
            <w:vAlign w:val="center"/>
          </w:tcPr>
          <w:p w:rsidR="00CA14AB" w:rsidRPr="00E00B35" w:rsidRDefault="00CA14AB" w:rsidP="00E00B35">
            <w:pPr>
              <w:spacing w:after="0" w:line="312" w:lineRule="auto"/>
              <w:rPr>
                <w:szCs w:val="20"/>
              </w:rPr>
            </w:pPr>
            <w:r w:rsidRPr="00E00B35">
              <w:rPr>
                <w:szCs w:val="20"/>
              </w:rPr>
              <w:t>10 422</w:t>
            </w:r>
          </w:p>
        </w:tc>
        <w:tc>
          <w:tcPr>
            <w:tcW w:w="1418" w:type="dxa"/>
            <w:vAlign w:val="center"/>
          </w:tcPr>
          <w:p w:rsidR="00CA14AB" w:rsidRPr="00E00B35" w:rsidRDefault="00CA14AB" w:rsidP="00E00B35">
            <w:pPr>
              <w:spacing w:after="0" w:line="312" w:lineRule="auto"/>
              <w:rPr>
                <w:szCs w:val="20"/>
              </w:rPr>
            </w:pPr>
            <w:r w:rsidRPr="00E00B35">
              <w:rPr>
                <w:szCs w:val="20"/>
              </w:rPr>
              <w:t>9 801</w:t>
            </w:r>
          </w:p>
        </w:tc>
        <w:tc>
          <w:tcPr>
            <w:tcW w:w="1418" w:type="dxa"/>
            <w:vAlign w:val="center"/>
          </w:tcPr>
          <w:p w:rsidR="00CA14AB" w:rsidRPr="00E00B35" w:rsidRDefault="00CA14AB" w:rsidP="00E00B35">
            <w:pPr>
              <w:spacing w:after="0" w:line="312" w:lineRule="auto"/>
              <w:rPr>
                <w:szCs w:val="20"/>
              </w:rPr>
            </w:pPr>
            <w:r w:rsidRPr="00E00B35">
              <w:rPr>
                <w:szCs w:val="20"/>
              </w:rPr>
              <w:t>9 391</w:t>
            </w:r>
          </w:p>
        </w:tc>
      </w:tr>
      <w:tr w:rsidR="00CA14AB" w:rsidRPr="00E00B35" w:rsidTr="00CA14AB">
        <w:trPr>
          <w:trHeight w:val="680"/>
        </w:trPr>
        <w:tc>
          <w:tcPr>
            <w:tcW w:w="1985" w:type="dxa"/>
            <w:shd w:val="clear" w:color="auto" w:fill="D9D9D9"/>
            <w:vAlign w:val="center"/>
          </w:tcPr>
          <w:p w:rsidR="00CA14AB" w:rsidRPr="00E00B35" w:rsidRDefault="00CA14AB" w:rsidP="00E00B35">
            <w:pPr>
              <w:spacing w:after="0" w:line="312" w:lineRule="auto"/>
              <w:rPr>
                <w:szCs w:val="20"/>
              </w:rPr>
            </w:pPr>
            <w:r w:rsidRPr="00E00B35">
              <w:rPr>
                <w:szCs w:val="20"/>
              </w:rPr>
              <w:t>Średnia wartość wypłaconego dodatku w [zł]</w:t>
            </w:r>
          </w:p>
        </w:tc>
        <w:tc>
          <w:tcPr>
            <w:tcW w:w="1418" w:type="dxa"/>
            <w:vAlign w:val="center"/>
          </w:tcPr>
          <w:p w:rsidR="00CA14AB" w:rsidRPr="00E00B35" w:rsidRDefault="00CA14AB" w:rsidP="00E00B35">
            <w:pPr>
              <w:spacing w:after="0" w:line="312" w:lineRule="auto"/>
              <w:rPr>
                <w:szCs w:val="20"/>
              </w:rPr>
            </w:pPr>
            <w:r w:rsidRPr="00E00B35">
              <w:rPr>
                <w:szCs w:val="20"/>
              </w:rPr>
              <w:t xml:space="preserve">13,50 </w:t>
            </w:r>
          </w:p>
        </w:tc>
        <w:tc>
          <w:tcPr>
            <w:tcW w:w="1418" w:type="dxa"/>
            <w:vAlign w:val="center"/>
          </w:tcPr>
          <w:p w:rsidR="00CA14AB" w:rsidRPr="00E00B35" w:rsidRDefault="00CA14AB" w:rsidP="00E00B35">
            <w:pPr>
              <w:spacing w:after="0" w:line="312" w:lineRule="auto"/>
              <w:rPr>
                <w:szCs w:val="20"/>
              </w:rPr>
            </w:pPr>
            <w:r w:rsidRPr="00E00B35">
              <w:rPr>
                <w:szCs w:val="20"/>
              </w:rPr>
              <w:t xml:space="preserve">13,36 </w:t>
            </w:r>
          </w:p>
        </w:tc>
        <w:tc>
          <w:tcPr>
            <w:tcW w:w="1418" w:type="dxa"/>
            <w:vAlign w:val="center"/>
          </w:tcPr>
          <w:p w:rsidR="00CA14AB" w:rsidRPr="00E00B35" w:rsidRDefault="00CA14AB" w:rsidP="00E00B35">
            <w:pPr>
              <w:spacing w:after="0" w:line="312" w:lineRule="auto"/>
              <w:rPr>
                <w:szCs w:val="20"/>
              </w:rPr>
            </w:pPr>
            <w:r w:rsidRPr="00E00B35">
              <w:rPr>
                <w:szCs w:val="20"/>
              </w:rPr>
              <w:t>13,29</w:t>
            </w:r>
          </w:p>
        </w:tc>
        <w:tc>
          <w:tcPr>
            <w:tcW w:w="1418" w:type="dxa"/>
            <w:vAlign w:val="center"/>
          </w:tcPr>
          <w:p w:rsidR="00CA14AB" w:rsidRPr="00E00B35" w:rsidRDefault="00CA14AB" w:rsidP="00E00B35">
            <w:pPr>
              <w:spacing w:after="0" w:line="312" w:lineRule="auto"/>
              <w:rPr>
                <w:szCs w:val="20"/>
              </w:rPr>
            </w:pPr>
            <w:r w:rsidRPr="00E00B35">
              <w:rPr>
                <w:szCs w:val="20"/>
              </w:rPr>
              <w:t>13,19</w:t>
            </w:r>
          </w:p>
        </w:tc>
        <w:tc>
          <w:tcPr>
            <w:tcW w:w="1418" w:type="dxa"/>
            <w:vAlign w:val="center"/>
          </w:tcPr>
          <w:p w:rsidR="00CA14AB" w:rsidRPr="00E00B35" w:rsidRDefault="00CA14AB" w:rsidP="00E00B35">
            <w:pPr>
              <w:spacing w:after="0" w:line="312" w:lineRule="auto"/>
              <w:rPr>
                <w:szCs w:val="20"/>
              </w:rPr>
            </w:pPr>
            <w:r w:rsidRPr="00E00B35">
              <w:rPr>
                <w:szCs w:val="20"/>
              </w:rPr>
              <w:t>13,11</w:t>
            </w:r>
          </w:p>
        </w:tc>
      </w:tr>
      <w:tr w:rsidR="00CA14AB" w:rsidRPr="00E00B35" w:rsidTr="00CA14AB">
        <w:trPr>
          <w:trHeight w:val="680"/>
        </w:trPr>
        <w:tc>
          <w:tcPr>
            <w:tcW w:w="1985" w:type="dxa"/>
            <w:shd w:val="pct12" w:color="auto" w:fill="auto"/>
            <w:vAlign w:val="center"/>
          </w:tcPr>
          <w:p w:rsidR="00CA14AB" w:rsidRPr="00E00B35" w:rsidRDefault="00CA14AB" w:rsidP="00E00B35">
            <w:pPr>
              <w:spacing w:after="0" w:line="312" w:lineRule="auto"/>
              <w:rPr>
                <w:szCs w:val="20"/>
              </w:rPr>
            </w:pPr>
            <w:r w:rsidRPr="00E00B35">
              <w:rPr>
                <w:szCs w:val="20"/>
              </w:rPr>
              <w:t xml:space="preserve">Sumaryczna liczba gospodarstw domowych korzystających </w:t>
            </w:r>
            <w:r w:rsidRPr="00E00B35">
              <w:rPr>
                <w:szCs w:val="20"/>
              </w:rPr>
              <w:br/>
              <w:t>z dodatku energetycznego</w:t>
            </w:r>
          </w:p>
        </w:tc>
        <w:tc>
          <w:tcPr>
            <w:tcW w:w="1418" w:type="dxa"/>
            <w:vAlign w:val="center"/>
          </w:tcPr>
          <w:p w:rsidR="00CA14AB" w:rsidRPr="00E00B35" w:rsidRDefault="00CA14AB" w:rsidP="00E00B35">
            <w:pPr>
              <w:spacing w:after="0" w:line="312" w:lineRule="auto"/>
              <w:rPr>
                <w:szCs w:val="20"/>
              </w:rPr>
            </w:pPr>
            <w:r w:rsidRPr="00E00B35">
              <w:rPr>
                <w:szCs w:val="20"/>
              </w:rPr>
              <w:t>1 721</w:t>
            </w:r>
          </w:p>
        </w:tc>
        <w:tc>
          <w:tcPr>
            <w:tcW w:w="1418" w:type="dxa"/>
            <w:vAlign w:val="center"/>
          </w:tcPr>
          <w:p w:rsidR="00CA14AB" w:rsidRPr="00E00B35" w:rsidRDefault="00CA14AB" w:rsidP="00E00B35">
            <w:pPr>
              <w:spacing w:after="0" w:line="312" w:lineRule="auto"/>
              <w:rPr>
                <w:szCs w:val="20"/>
              </w:rPr>
            </w:pPr>
            <w:r w:rsidRPr="00E00B35">
              <w:rPr>
                <w:szCs w:val="20"/>
              </w:rPr>
              <w:t>1302</w:t>
            </w:r>
          </w:p>
        </w:tc>
        <w:tc>
          <w:tcPr>
            <w:tcW w:w="1418" w:type="dxa"/>
            <w:vAlign w:val="center"/>
          </w:tcPr>
          <w:p w:rsidR="00CA14AB" w:rsidRPr="00E00B35" w:rsidRDefault="00CA14AB" w:rsidP="00E00B35">
            <w:pPr>
              <w:spacing w:after="0" w:line="312" w:lineRule="auto"/>
              <w:rPr>
                <w:szCs w:val="20"/>
              </w:rPr>
            </w:pPr>
            <w:r w:rsidRPr="00E00B35">
              <w:rPr>
                <w:szCs w:val="20"/>
              </w:rPr>
              <w:t>1 233</w:t>
            </w:r>
          </w:p>
        </w:tc>
        <w:tc>
          <w:tcPr>
            <w:tcW w:w="1418" w:type="dxa"/>
            <w:vAlign w:val="center"/>
          </w:tcPr>
          <w:p w:rsidR="00CA14AB" w:rsidRPr="00E00B35" w:rsidRDefault="00CA14AB" w:rsidP="00E00B35">
            <w:pPr>
              <w:spacing w:after="0" w:line="312" w:lineRule="auto"/>
              <w:rPr>
                <w:szCs w:val="20"/>
              </w:rPr>
            </w:pPr>
            <w:r w:rsidRPr="00E00B35">
              <w:rPr>
                <w:szCs w:val="20"/>
              </w:rPr>
              <w:t>1 227</w:t>
            </w:r>
          </w:p>
        </w:tc>
        <w:tc>
          <w:tcPr>
            <w:tcW w:w="1418" w:type="dxa"/>
            <w:vAlign w:val="center"/>
          </w:tcPr>
          <w:p w:rsidR="00CA14AB" w:rsidRPr="00E00B35" w:rsidRDefault="00CA14AB" w:rsidP="00E00B35">
            <w:pPr>
              <w:spacing w:after="0" w:line="312" w:lineRule="auto"/>
              <w:rPr>
                <w:szCs w:val="20"/>
              </w:rPr>
            </w:pPr>
            <w:r w:rsidRPr="00E00B35">
              <w:rPr>
                <w:szCs w:val="20"/>
              </w:rPr>
              <w:t>1 175</w:t>
            </w:r>
          </w:p>
        </w:tc>
      </w:tr>
    </w:tbl>
    <w:p w:rsidR="00CA14AB" w:rsidRPr="00E00B35" w:rsidRDefault="00CA14AB" w:rsidP="00E00B35">
      <w:pPr>
        <w:spacing w:after="0" w:line="312" w:lineRule="auto"/>
        <w:rPr>
          <w:szCs w:val="20"/>
        </w:rPr>
      </w:pPr>
    </w:p>
    <w:p w:rsidR="00890136" w:rsidRPr="00E00B35" w:rsidRDefault="00890136" w:rsidP="00E00B35">
      <w:pPr>
        <w:pStyle w:val="Nagwek5"/>
        <w:rPr>
          <w:szCs w:val="20"/>
        </w:rPr>
      </w:pPr>
      <w:bookmarkStart w:id="459" w:name="_Toc72352451"/>
      <w:bookmarkStart w:id="460" w:name="_Toc72352885"/>
    </w:p>
    <w:p w:rsidR="00CA14AB" w:rsidRPr="00E00B35" w:rsidRDefault="00CA14AB" w:rsidP="00E00B35">
      <w:pPr>
        <w:pStyle w:val="Nagwek5"/>
        <w:rPr>
          <w:szCs w:val="20"/>
        </w:rPr>
      </w:pPr>
      <w:r w:rsidRPr="00E00B35">
        <w:rPr>
          <w:szCs w:val="20"/>
        </w:rPr>
        <w:t>POMOC O CHARAKTERZE SOCJALNYM DLA UCZNIÓW</w:t>
      </w:r>
      <w:bookmarkEnd w:id="459"/>
      <w:bookmarkEnd w:id="460"/>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Na podstawie ustawy z dnia 7 września 1991r. o systemie oświaty (t.j. Dz. U. z 2020r. poz. 1327 ze zm.) oraz uchwały Nr XXX/603/16 Rady Miejskiej Wrocławia </w:t>
      </w:r>
      <w:r w:rsidRPr="00E00B35">
        <w:rPr>
          <w:szCs w:val="20"/>
        </w:rPr>
        <w:br/>
        <w:t xml:space="preserve">z dnia 15.09.2016r. w sprawie regulaminu udzielania pomocy materialnej o charakterze socjalnym dla uczniów zamieszkałych na terenie Gminy Wrocław oraz uchwały Nr X/183/15 Rady Miejskiej Wrocławia z dnia 21.05.2015r. w sprawie upoważnienia dyrektora Miejskiego Ośrodka Pomocy Społecznej do prowadzenia postępowania w sprawach przyznawania świadczeń pomocy materialnej o charakterze socjalnym udzielono uczniom pomocy materialnej o charakterze socjalnym wypłacając stypendia i zasiłki szkolne. </w:t>
      </w:r>
    </w:p>
    <w:p w:rsidR="00CA14AB" w:rsidRPr="00E00B35" w:rsidRDefault="00CA14AB" w:rsidP="00E00B35">
      <w:pPr>
        <w:spacing w:after="0" w:line="312" w:lineRule="auto"/>
        <w:rPr>
          <w:szCs w:val="20"/>
        </w:rPr>
      </w:pPr>
      <w:r w:rsidRPr="00E00B35">
        <w:rPr>
          <w:szCs w:val="20"/>
        </w:rPr>
        <w:t xml:space="preserve">Zasiłki i stypendia szkolne – dane liczbowe za lata 2017-2020 </w:t>
      </w:r>
    </w:p>
    <w:tbl>
      <w:tblPr>
        <w:tblW w:w="8060" w:type="dxa"/>
        <w:tblInd w:w="15" w:type="dxa"/>
        <w:tblLayout w:type="fixed"/>
        <w:tblCellMar>
          <w:left w:w="0" w:type="dxa"/>
          <w:right w:w="0" w:type="dxa"/>
        </w:tblCellMar>
        <w:tblLook w:val="0000"/>
      </w:tblPr>
      <w:tblGrid>
        <w:gridCol w:w="547"/>
        <w:gridCol w:w="1560"/>
        <w:gridCol w:w="1701"/>
        <w:gridCol w:w="1417"/>
        <w:gridCol w:w="1276"/>
        <w:gridCol w:w="1559"/>
      </w:tblGrid>
      <w:tr w:rsidR="00CA14AB" w:rsidRPr="00E00B35" w:rsidTr="00CA14AB">
        <w:trPr>
          <w:cantSplit/>
          <w:trHeight w:val="255"/>
        </w:trPr>
        <w:tc>
          <w:tcPr>
            <w:tcW w:w="2107" w:type="dxa"/>
            <w:gridSpan w:val="2"/>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Wyszczególnienie</w:t>
            </w:r>
          </w:p>
        </w:tc>
        <w:tc>
          <w:tcPr>
            <w:tcW w:w="1701" w:type="dxa"/>
            <w:tcBorders>
              <w:top w:val="single" w:sz="4" w:space="0" w:color="auto"/>
              <w:left w:val="nil"/>
              <w:bottom w:val="single" w:sz="4" w:space="0" w:color="auto"/>
              <w:right w:val="single" w:sz="4" w:space="0" w:color="auto"/>
            </w:tcBorders>
            <w:shd w:val="pct15" w:color="auto" w:fill="auto"/>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2017</w:t>
            </w:r>
          </w:p>
        </w:tc>
        <w:tc>
          <w:tcPr>
            <w:tcW w:w="1417" w:type="dxa"/>
            <w:tcBorders>
              <w:top w:val="single" w:sz="4" w:space="0" w:color="auto"/>
              <w:left w:val="nil"/>
              <w:bottom w:val="single" w:sz="4" w:space="0" w:color="auto"/>
              <w:right w:val="single" w:sz="4" w:space="0" w:color="auto"/>
            </w:tcBorders>
            <w:shd w:val="pct15" w:color="auto" w:fill="auto"/>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2018</w:t>
            </w:r>
          </w:p>
        </w:tc>
        <w:tc>
          <w:tcPr>
            <w:tcW w:w="1276" w:type="dxa"/>
            <w:tcBorders>
              <w:top w:val="single" w:sz="4" w:space="0" w:color="auto"/>
              <w:left w:val="nil"/>
              <w:bottom w:val="single" w:sz="4" w:space="0" w:color="auto"/>
              <w:right w:val="single" w:sz="4" w:space="0" w:color="auto"/>
            </w:tcBorders>
            <w:shd w:val="pct15" w:color="auto" w:fill="auto"/>
          </w:tcPr>
          <w:p w:rsidR="00CA14AB" w:rsidRPr="00E00B35" w:rsidRDefault="00CA14AB" w:rsidP="00E00B35">
            <w:pPr>
              <w:spacing w:after="0" w:line="312" w:lineRule="auto"/>
              <w:rPr>
                <w:szCs w:val="20"/>
              </w:rPr>
            </w:pPr>
            <w:r w:rsidRPr="00E00B35">
              <w:rPr>
                <w:szCs w:val="20"/>
              </w:rPr>
              <w:t>2019</w:t>
            </w:r>
          </w:p>
        </w:tc>
        <w:tc>
          <w:tcPr>
            <w:tcW w:w="1559" w:type="dxa"/>
            <w:tcBorders>
              <w:top w:val="single" w:sz="4" w:space="0" w:color="auto"/>
              <w:left w:val="nil"/>
              <w:bottom w:val="single" w:sz="4" w:space="0" w:color="auto"/>
              <w:right w:val="single" w:sz="4" w:space="0" w:color="auto"/>
            </w:tcBorders>
            <w:shd w:val="pct15" w:color="auto" w:fill="auto"/>
          </w:tcPr>
          <w:p w:rsidR="00CA14AB" w:rsidRPr="00E00B35" w:rsidRDefault="00CA14AB" w:rsidP="00E00B35">
            <w:pPr>
              <w:spacing w:after="0" w:line="312" w:lineRule="auto"/>
              <w:rPr>
                <w:szCs w:val="20"/>
              </w:rPr>
            </w:pPr>
            <w:r w:rsidRPr="00E00B35">
              <w:rPr>
                <w:szCs w:val="20"/>
              </w:rPr>
              <w:t>2020</w:t>
            </w:r>
          </w:p>
        </w:tc>
      </w:tr>
      <w:tr w:rsidR="00CA14AB" w:rsidRPr="00E00B35" w:rsidTr="00CA14AB">
        <w:trPr>
          <w:cantSplit/>
          <w:trHeight w:val="497"/>
        </w:trPr>
        <w:tc>
          <w:tcPr>
            <w:tcW w:w="2107" w:type="dxa"/>
            <w:gridSpan w:val="2"/>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Kwota wypłaconych świadczeń w [zł]</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342 272</w:t>
            </w:r>
          </w:p>
        </w:tc>
        <w:tc>
          <w:tcPr>
            <w:tcW w:w="14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266 777</w:t>
            </w:r>
          </w:p>
        </w:tc>
        <w:tc>
          <w:tcPr>
            <w:tcW w:w="12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147 098,50</w:t>
            </w:r>
          </w:p>
        </w:tc>
        <w:tc>
          <w:tcPr>
            <w:tcW w:w="1559" w:type="dxa"/>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136 727</w:t>
            </w:r>
          </w:p>
        </w:tc>
      </w:tr>
      <w:tr w:rsidR="00CA14AB" w:rsidRPr="00E00B35" w:rsidTr="00CA14AB">
        <w:trPr>
          <w:cantSplit/>
          <w:trHeight w:val="339"/>
        </w:trPr>
        <w:tc>
          <w:tcPr>
            <w:tcW w:w="547" w:type="dxa"/>
            <w:tcBorders>
              <w:top w:val="single" w:sz="4" w:space="0" w:color="auto"/>
              <w:left w:val="single" w:sz="4" w:space="0" w:color="auto"/>
              <w:bottom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p>
        </w:tc>
        <w:tc>
          <w:tcPr>
            <w:tcW w:w="1560" w:type="dxa"/>
            <w:tcBorders>
              <w:top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w tym zasiłki szkolne w [zł]</w:t>
            </w:r>
          </w:p>
        </w:tc>
        <w:tc>
          <w:tcPr>
            <w:tcW w:w="170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12 500</w:t>
            </w:r>
          </w:p>
        </w:tc>
        <w:tc>
          <w:tcPr>
            <w:tcW w:w="141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 xml:space="preserve">9 650 </w:t>
            </w:r>
          </w:p>
        </w:tc>
        <w:tc>
          <w:tcPr>
            <w:tcW w:w="127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8 200</w:t>
            </w:r>
          </w:p>
        </w:tc>
        <w:tc>
          <w:tcPr>
            <w:tcW w:w="1559" w:type="dxa"/>
            <w:tcBorders>
              <w:top w:val="single" w:sz="4" w:space="0" w:color="auto"/>
              <w:left w:val="nil"/>
              <w:bottom w:val="single" w:sz="4" w:space="0" w:color="auto"/>
              <w:right w:val="single" w:sz="4" w:space="0" w:color="auto"/>
            </w:tcBorders>
          </w:tcPr>
          <w:p w:rsidR="00CA14AB" w:rsidRPr="00E00B35" w:rsidRDefault="00CA14AB" w:rsidP="00E00B35">
            <w:pPr>
              <w:spacing w:after="0" w:line="312" w:lineRule="auto"/>
              <w:rPr>
                <w:szCs w:val="20"/>
              </w:rPr>
            </w:pPr>
            <w:r w:rsidRPr="00E00B35">
              <w:rPr>
                <w:szCs w:val="20"/>
              </w:rPr>
              <w:t>5020</w:t>
            </w:r>
          </w:p>
        </w:tc>
      </w:tr>
      <w:tr w:rsidR="00CA14AB" w:rsidRPr="00E00B35" w:rsidTr="00CA14AB">
        <w:trPr>
          <w:cantSplit/>
          <w:trHeight w:val="497"/>
        </w:trPr>
        <w:tc>
          <w:tcPr>
            <w:tcW w:w="2107" w:type="dxa"/>
            <w:gridSpan w:val="2"/>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Sumaryczna liczba gospodarstw domowych korzystających z pomocy materialnej o charakterze socjalnym dla uczniów</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 xml:space="preserve">399 </w:t>
            </w:r>
          </w:p>
        </w:tc>
        <w:tc>
          <w:tcPr>
            <w:tcW w:w="14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290</w:t>
            </w:r>
          </w:p>
        </w:tc>
        <w:tc>
          <w:tcPr>
            <w:tcW w:w="1276" w:type="dxa"/>
            <w:tcBorders>
              <w:top w:val="single" w:sz="4" w:space="0" w:color="auto"/>
              <w:left w:val="single" w:sz="4" w:space="0" w:color="auto"/>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197</w:t>
            </w:r>
          </w:p>
        </w:tc>
        <w:tc>
          <w:tcPr>
            <w:tcW w:w="1559" w:type="dxa"/>
            <w:tcBorders>
              <w:top w:val="single" w:sz="4" w:space="0" w:color="auto"/>
              <w:left w:val="single" w:sz="4" w:space="0" w:color="auto"/>
              <w:bottom w:val="single" w:sz="4" w:space="0" w:color="auto"/>
              <w:right w:val="single" w:sz="4" w:space="0" w:color="auto"/>
            </w:tcBorders>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176</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p>
        </w:tc>
      </w:tr>
      <w:tr w:rsidR="00CA14AB" w:rsidRPr="00E00B35" w:rsidTr="00CA14AB">
        <w:trPr>
          <w:cantSplit/>
          <w:trHeight w:val="329"/>
        </w:trPr>
        <w:tc>
          <w:tcPr>
            <w:tcW w:w="3808" w:type="dxa"/>
            <w:gridSpan w:val="3"/>
            <w:tcBorders>
              <w:top w:val="single" w:sz="4" w:space="0" w:color="auto"/>
              <w:left w:val="single" w:sz="4" w:space="0" w:color="auto"/>
              <w:bottom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Zasiłek szkolny</w:t>
            </w:r>
          </w:p>
        </w:tc>
        <w:tc>
          <w:tcPr>
            <w:tcW w:w="1417" w:type="dxa"/>
            <w:tcBorders>
              <w:top w:val="single" w:sz="4" w:space="0" w:color="auto"/>
              <w:bottom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p>
        </w:tc>
        <w:tc>
          <w:tcPr>
            <w:tcW w:w="1276" w:type="dxa"/>
            <w:tcBorders>
              <w:top w:val="single" w:sz="4" w:space="0" w:color="auto"/>
              <w:bottom w:val="single" w:sz="4" w:space="0" w:color="auto"/>
            </w:tcBorders>
            <w:shd w:val="clear" w:color="auto" w:fill="D9D9D9"/>
          </w:tcPr>
          <w:p w:rsidR="00CA14AB" w:rsidRPr="00E00B35" w:rsidRDefault="00CA14AB" w:rsidP="00E00B35">
            <w:pPr>
              <w:spacing w:after="0" w:line="312" w:lineRule="auto"/>
              <w:rPr>
                <w:szCs w:val="20"/>
              </w:rPr>
            </w:pPr>
          </w:p>
        </w:tc>
        <w:tc>
          <w:tcPr>
            <w:tcW w:w="1559" w:type="dxa"/>
            <w:tcBorders>
              <w:top w:val="single" w:sz="4" w:space="0" w:color="auto"/>
              <w:bottom w:val="single" w:sz="4" w:space="0" w:color="auto"/>
              <w:right w:val="single" w:sz="4" w:space="0" w:color="auto"/>
            </w:tcBorders>
            <w:shd w:val="clear" w:color="auto" w:fill="D9D9D9"/>
          </w:tcPr>
          <w:p w:rsidR="00CA14AB" w:rsidRPr="00E00B35" w:rsidRDefault="00CA14AB" w:rsidP="00E00B35">
            <w:pPr>
              <w:spacing w:after="0" w:line="312" w:lineRule="auto"/>
              <w:rPr>
                <w:szCs w:val="20"/>
              </w:rPr>
            </w:pPr>
          </w:p>
        </w:tc>
      </w:tr>
      <w:tr w:rsidR="00CA14AB" w:rsidRPr="00E00B35" w:rsidTr="00CA14AB">
        <w:trPr>
          <w:cantSplit/>
          <w:trHeight w:val="752"/>
        </w:trPr>
        <w:tc>
          <w:tcPr>
            <w:tcW w:w="2107" w:type="dxa"/>
            <w:gridSpan w:val="2"/>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 xml:space="preserve">Liczba decyzji wydanych </w:t>
            </w:r>
          </w:p>
        </w:tc>
        <w:tc>
          <w:tcPr>
            <w:tcW w:w="170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43</w:t>
            </w:r>
          </w:p>
        </w:tc>
        <w:tc>
          <w:tcPr>
            <w:tcW w:w="141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37</w:t>
            </w:r>
          </w:p>
        </w:tc>
        <w:tc>
          <w:tcPr>
            <w:tcW w:w="127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23</w:t>
            </w:r>
          </w:p>
        </w:tc>
        <w:tc>
          <w:tcPr>
            <w:tcW w:w="1559" w:type="dxa"/>
            <w:tcBorders>
              <w:top w:val="single" w:sz="4" w:space="0" w:color="auto"/>
              <w:left w:val="nil"/>
              <w:bottom w:val="single" w:sz="4" w:space="0" w:color="auto"/>
              <w:right w:val="single" w:sz="4" w:space="0" w:color="auto"/>
            </w:tcBorders>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17</w:t>
            </w:r>
          </w:p>
        </w:tc>
      </w:tr>
      <w:tr w:rsidR="00CA14AB" w:rsidRPr="00E00B35" w:rsidTr="00CA14AB">
        <w:trPr>
          <w:cantSplit/>
          <w:trHeight w:val="619"/>
        </w:trPr>
        <w:tc>
          <w:tcPr>
            <w:tcW w:w="547" w:type="dxa"/>
            <w:tcBorders>
              <w:top w:val="single" w:sz="4" w:space="0" w:color="auto"/>
              <w:left w:val="single" w:sz="4" w:space="0" w:color="auto"/>
              <w:bottom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p>
        </w:tc>
        <w:tc>
          <w:tcPr>
            <w:tcW w:w="1560" w:type="dxa"/>
            <w:tcBorders>
              <w:top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w tym przyznających</w:t>
            </w:r>
          </w:p>
        </w:tc>
        <w:tc>
          <w:tcPr>
            <w:tcW w:w="170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28</w:t>
            </w:r>
          </w:p>
        </w:tc>
        <w:tc>
          <w:tcPr>
            <w:tcW w:w="141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30</w:t>
            </w:r>
          </w:p>
        </w:tc>
        <w:tc>
          <w:tcPr>
            <w:tcW w:w="127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19</w:t>
            </w:r>
          </w:p>
        </w:tc>
        <w:tc>
          <w:tcPr>
            <w:tcW w:w="1559" w:type="dxa"/>
            <w:tcBorders>
              <w:top w:val="single" w:sz="4" w:space="0" w:color="auto"/>
              <w:left w:val="nil"/>
              <w:bottom w:val="single" w:sz="4" w:space="0" w:color="auto"/>
              <w:right w:val="single" w:sz="4" w:space="0" w:color="auto"/>
            </w:tcBorders>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17</w:t>
            </w:r>
          </w:p>
        </w:tc>
      </w:tr>
      <w:tr w:rsidR="00CA14AB" w:rsidRPr="00E00B35" w:rsidTr="00CA14AB">
        <w:trPr>
          <w:cantSplit/>
          <w:trHeight w:val="426"/>
        </w:trPr>
        <w:tc>
          <w:tcPr>
            <w:tcW w:w="3808" w:type="dxa"/>
            <w:gridSpan w:val="3"/>
            <w:tcBorders>
              <w:top w:val="single" w:sz="4" w:space="0" w:color="auto"/>
              <w:left w:val="single" w:sz="4" w:space="0" w:color="auto"/>
              <w:bottom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Stypendium szkolne</w:t>
            </w:r>
          </w:p>
        </w:tc>
        <w:tc>
          <w:tcPr>
            <w:tcW w:w="1417" w:type="dxa"/>
            <w:tcBorders>
              <w:top w:val="single" w:sz="4" w:space="0" w:color="auto"/>
              <w:bottom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p>
        </w:tc>
        <w:tc>
          <w:tcPr>
            <w:tcW w:w="1276" w:type="dxa"/>
            <w:tcBorders>
              <w:top w:val="single" w:sz="4" w:space="0" w:color="auto"/>
              <w:bottom w:val="single" w:sz="4" w:space="0" w:color="auto"/>
            </w:tcBorders>
            <w:shd w:val="clear" w:color="auto" w:fill="D9D9D9"/>
          </w:tcPr>
          <w:p w:rsidR="00CA14AB" w:rsidRPr="00E00B35" w:rsidRDefault="00CA14AB" w:rsidP="00E00B35">
            <w:pPr>
              <w:spacing w:after="0" w:line="312" w:lineRule="auto"/>
              <w:rPr>
                <w:szCs w:val="20"/>
              </w:rPr>
            </w:pPr>
          </w:p>
        </w:tc>
        <w:tc>
          <w:tcPr>
            <w:tcW w:w="1559" w:type="dxa"/>
            <w:tcBorders>
              <w:top w:val="single" w:sz="4" w:space="0" w:color="auto"/>
              <w:bottom w:val="single" w:sz="4" w:space="0" w:color="auto"/>
              <w:right w:val="single" w:sz="4" w:space="0" w:color="auto"/>
            </w:tcBorders>
            <w:shd w:val="clear" w:color="auto" w:fill="D9D9D9"/>
          </w:tcPr>
          <w:p w:rsidR="00CA14AB" w:rsidRPr="00E00B35" w:rsidRDefault="00CA14AB" w:rsidP="00E00B35">
            <w:pPr>
              <w:spacing w:after="0" w:line="312" w:lineRule="auto"/>
              <w:rPr>
                <w:szCs w:val="20"/>
              </w:rPr>
            </w:pPr>
          </w:p>
        </w:tc>
      </w:tr>
      <w:tr w:rsidR="00CA14AB" w:rsidRPr="00E00B35" w:rsidTr="00CA14AB">
        <w:trPr>
          <w:cantSplit/>
          <w:trHeight w:val="521"/>
        </w:trPr>
        <w:tc>
          <w:tcPr>
            <w:tcW w:w="2107" w:type="dxa"/>
            <w:gridSpan w:val="2"/>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 xml:space="preserve">Liczba wydanych decyzji </w:t>
            </w:r>
          </w:p>
        </w:tc>
        <w:tc>
          <w:tcPr>
            <w:tcW w:w="170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1 024</w:t>
            </w:r>
          </w:p>
        </w:tc>
        <w:tc>
          <w:tcPr>
            <w:tcW w:w="141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742</w:t>
            </w:r>
          </w:p>
        </w:tc>
        <w:tc>
          <w:tcPr>
            <w:tcW w:w="1276"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470</w:t>
            </w:r>
          </w:p>
        </w:tc>
        <w:tc>
          <w:tcPr>
            <w:tcW w:w="1559" w:type="dxa"/>
            <w:tcBorders>
              <w:top w:val="single" w:sz="4" w:space="0" w:color="auto"/>
              <w:left w:val="nil"/>
              <w:bottom w:val="single" w:sz="4" w:space="0" w:color="auto"/>
              <w:right w:val="single" w:sz="4" w:space="0" w:color="auto"/>
            </w:tcBorders>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416</w:t>
            </w:r>
          </w:p>
          <w:p w:rsidR="00CA14AB" w:rsidRPr="00E00B35" w:rsidRDefault="00CA14AB" w:rsidP="00E00B35">
            <w:pPr>
              <w:spacing w:after="0" w:line="312" w:lineRule="auto"/>
              <w:rPr>
                <w:szCs w:val="20"/>
              </w:rPr>
            </w:pPr>
          </w:p>
        </w:tc>
      </w:tr>
      <w:tr w:rsidR="00CA14AB" w:rsidRPr="00E00B35" w:rsidTr="00CA14AB">
        <w:trPr>
          <w:cantSplit/>
          <w:trHeight w:val="442"/>
        </w:trPr>
        <w:tc>
          <w:tcPr>
            <w:tcW w:w="547" w:type="dxa"/>
            <w:tcBorders>
              <w:top w:val="single" w:sz="4" w:space="0" w:color="auto"/>
              <w:left w:val="single" w:sz="4" w:space="0" w:color="auto"/>
              <w:bottom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p>
        </w:tc>
        <w:tc>
          <w:tcPr>
            <w:tcW w:w="1560" w:type="dxa"/>
            <w:tcBorders>
              <w:top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w tym przyznających</w:t>
            </w:r>
          </w:p>
        </w:tc>
        <w:tc>
          <w:tcPr>
            <w:tcW w:w="170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518</w:t>
            </w:r>
          </w:p>
        </w:tc>
        <w:tc>
          <w:tcPr>
            <w:tcW w:w="1417"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373</w:t>
            </w:r>
          </w:p>
        </w:tc>
        <w:tc>
          <w:tcPr>
            <w:tcW w:w="127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232</w:t>
            </w:r>
          </w:p>
        </w:tc>
        <w:tc>
          <w:tcPr>
            <w:tcW w:w="1559" w:type="dxa"/>
            <w:tcBorders>
              <w:top w:val="single" w:sz="4" w:space="0" w:color="auto"/>
              <w:left w:val="nil"/>
              <w:bottom w:val="single" w:sz="4" w:space="0" w:color="auto"/>
              <w:right w:val="single" w:sz="4" w:space="0" w:color="auto"/>
            </w:tcBorders>
            <w:vAlign w:val="center"/>
          </w:tcPr>
          <w:p w:rsidR="00CA14AB" w:rsidRPr="00E00B35" w:rsidRDefault="00CA14AB" w:rsidP="00E00B35">
            <w:pPr>
              <w:spacing w:after="0" w:line="312" w:lineRule="auto"/>
              <w:rPr>
                <w:szCs w:val="20"/>
              </w:rPr>
            </w:pPr>
            <w:r w:rsidRPr="00E00B35">
              <w:rPr>
                <w:szCs w:val="20"/>
              </w:rPr>
              <w:t>193</w:t>
            </w:r>
          </w:p>
        </w:tc>
      </w:tr>
    </w:tbl>
    <w:p w:rsidR="00CA14AB" w:rsidRPr="00E00B35" w:rsidRDefault="00CA14AB" w:rsidP="00E00B35">
      <w:pPr>
        <w:spacing w:after="0" w:line="312" w:lineRule="auto"/>
        <w:rPr>
          <w:szCs w:val="20"/>
        </w:rPr>
      </w:pPr>
    </w:p>
    <w:p w:rsidR="00890136" w:rsidRPr="00E00B35" w:rsidRDefault="00890136" w:rsidP="00E00B35">
      <w:pPr>
        <w:pStyle w:val="Nagwek5"/>
        <w:rPr>
          <w:szCs w:val="20"/>
        </w:rPr>
      </w:pPr>
      <w:bookmarkStart w:id="461" w:name="_Toc72352452"/>
      <w:bookmarkStart w:id="462" w:name="_Toc72352886"/>
    </w:p>
    <w:p w:rsidR="00CA14AB" w:rsidRPr="00E00B35" w:rsidRDefault="00CA14AB" w:rsidP="00E00B35">
      <w:pPr>
        <w:pStyle w:val="Nagwek5"/>
        <w:rPr>
          <w:szCs w:val="20"/>
        </w:rPr>
      </w:pPr>
      <w:r w:rsidRPr="00E00B35">
        <w:rPr>
          <w:szCs w:val="20"/>
        </w:rPr>
        <w:t>ŚWIADCZENIA DLA ŻOŁNIERZY</w:t>
      </w:r>
      <w:bookmarkEnd w:id="461"/>
      <w:bookmarkEnd w:id="462"/>
      <w:r w:rsidRPr="00E00B35">
        <w:rPr>
          <w:szCs w:val="20"/>
        </w:rPr>
        <w:t xml:space="preserve"> </w:t>
      </w:r>
    </w:p>
    <w:p w:rsidR="00CA14AB" w:rsidRPr="00E00B35" w:rsidRDefault="00CA14AB" w:rsidP="00E00B35">
      <w:pPr>
        <w:spacing w:after="0" w:line="312" w:lineRule="auto"/>
        <w:rPr>
          <w:szCs w:val="20"/>
        </w:rPr>
      </w:pPr>
      <w:r w:rsidRPr="00E00B35">
        <w:rPr>
          <w:szCs w:val="20"/>
        </w:rPr>
        <w:t>Wydawanie decyzji o uznaniu żołnierza za samotnego lub za posiadającego na wyłącznym utrzymaniu członków rodziny oraz świadczenia rekompensujące utracone wynagrodzenia osobom odbywającym ćwiczenia wojskowe, a także pokrywające należności związane</w:t>
      </w:r>
      <w:r w:rsidRPr="00E00B35">
        <w:rPr>
          <w:szCs w:val="20"/>
        </w:rPr>
        <w:br/>
      </w:r>
      <w:r w:rsidRPr="00E00B35">
        <w:rPr>
          <w:szCs w:val="20"/>
        </w:rPr>
        <w:lastRenderedPageBreak/>
        <w:t xml:space="preserve">z utrzymaniem lokalu mieszkalnego przez żołnierza uznanego za samotnego lub </w:t>
      </w:r>
      <w:r w:rsidRPr="00E00B35">
        <w:rPr>
          <w:szCs w:val="20"/>
        </w:rPr>
        <w:br/>
        <w:t xml:space="preserve">za posiadającego na wyłącznym utrzymaniu członków rodziny w okresie odbywania przez nich czynnej służby wojskowej są przyznawane i wypłacane na podstawie ustawy z dnia 21 listopada 1967r. o powszechnym obowiązku obrony Rzeczpospolitej Polskiej </w:t>
      </w:r>
      <w:r w:rsidRPr="00E00B35">
        <w:rPr>
          <w:szCs w:val="20"/>
        </w:rPr>
        <w:br/>
        <w:t>(tj. Dz. U. 2019 poz. 1541 ze zm.). Świadczenie w całości refundowane przez Wojewódzki Sztab Wojskowy.</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Świadczenia dla żołnierzy za lata 2016-2020</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3"/>
        <w:gridCol w:w="1560"/>
        <w:gridCol w:w="1417"/>
        <w:gridCol w:w="1559"/>
        <w:gridCol w:w="1560"/>
        <w:gridCol w:w="1560"/>
      </w:tblGrid>
      <w:tr w:rsidR="00CA14AB" w:rsidRPr="00E00B35" w:rsidTr="00CA14AB">
        <w:trPr>
          <w:cantSplit/>
          <w:trHeight w:val="588"/>
        </w:trPr>
        <w:tc>
          <w:tcPr>
            <w:tcW w:w="2263" w:type="dxa"/>
            <w:shd w:val="clear" w:color="auto" w:fill="D9D9D9"/>
            <w:vAlign w:val="center"/>
          </w:tcPr>
          <w:p w:rsidR="00CA14AB" w:rsidRPr="00E00B35" w:rsidRDefault="00CA14AB" w:rsidP="00E00B35">
            <w:pPr>
              <w:spacing w:after="0" w:line="312" w:lineRule="auto"/>
              <w:rPr>
                <w:szCs w:val="20"/>
              </w:rPr>
            </w:pPr>
            <w:r w:rsidRPr="00E00B35">
              <w:rPr>
                <w:szCs w:val="20"/>
              </w:rPr>
              <w:t>Wyszczególnienie</w:t>
            </w:r>
          </w:p>
        </w:tc>
        <w:tc>
          <w:tcPr>
            <w:tcW w:w="1560" w:type="dxa"/>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1559" w:type="dxa"/>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1560" w:type="dxa"/>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1560" w:type="dxa"/>
            <w:shd w:val="clear" w:color="auto" w:fill="D9D9D9"/>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cantSplit/>
          <w:trHeight w:val="588"/>
        </w:trPr>
        <w:tc>
          <w:tcPr>
            <w:tcW w:w="2263" w:type="dxa"/>
            <w:shd w:val="clear" w:color="auto" w:fill="D9D9D9"/>
            <w:vAlign w:val="center"/>
          </w:tcPr>
          <w:p w:rsidR="00CA14AB" w:rsidRPr="00E00B35" w:rsidRDefault="00CA14AB" w:rsidP="00E00B35">
            <w:pPr>
              <w:spacing w:after="0" w:line="312" w:lineRule="auto"/>
              <w:rPr>
                <w:szCs w:val="20"/>
              </w:rPr>
            </w:pPr>
            <w:r w:rsidRPr="00E00B35">
              <w:rPr>
                <w:szCs w:val="20"/>
              </w:rPr>
              <w:t>Kwota wypłaconych świadczeń w [zł]</w:t>
            </w:r>
          </w:p>
        </w:tc>
        <w:tc>
          <w:tcPr>
            <w:tcW w:w="1560" w:type="dxa"/>
            <w:vAlign w:val="center"/>
          </w:tcPr>
          <w:p w:rsidR="00CA14AB" w:rsidRPr="00E00B35" w:rsidRDefault="00CA14AB" w:rsidP="00E00B35">
            <w:pPr>
              <w:spacing w:after="0" w:line="312" w:lineRule="auto"/>
              <w:rPr>
                <w:szCs w:val="20"/>
              </w:rPr>
            </w:pPr>
            <w:r w:rsidRPr="00E00B35">
              <w:rPr>
                <w:szCs w:val="20"/>
              </w:rPr>
              <w:t xml:space="preserve">144 945 </w:t>
            </w:r>
          </w:p>
        </w:tc>
        <w:tc>
          <w:tcPr>
            <w:tcW w:w="1417" w:type="dxa"/>
            <w:vAlign w:val="center"/>
          </w:tcPr>
          <w:p w:rsidR="00CA14AB" w:rsidRPr="00E00B35" w:rsidRDefault="00CA14AB" w:rsidP="00E00B35">
            <w:pPr>
              <w:spacing w:after="0" w:line="312" w:lineRule="auto"/>
              <w:rPr>
                <w:szCs w:val="20"/>
              </w:rPr>
            </w:pPr>
            <w:r w:rsidRPr="00E00B35">
              <w:rPr>
                <w:szCs w:val="20"/>
              </w:rPr>
              <w:t>126 065</w:t>
            </w:r>
          </w:p>
        </w:tc>
        <w:tc>
          <w:tcPr>
            <w:tcW w:w="1559" w:type="dxa"/>
            <w:vAlign w:val="center"/>
          </w:tcPr>
          <w:p w:rsidR="00CA14AB" w:rsidRPr="00E00B35" w:rsidRDefault="00CA14AB" w:rsidP="00E00B35">
            <w:pPr>
              <w:spacing w:after="0" w:line="312" w:lineRule="auto"/>
              <w:rPr>
                <w:szCs w:val="20"/>
              </w:rPr>
            </w:pPr>
            <w:r w:rsidRPr="00E00B35">
              <w:rPr>
                <w:szCs w:val="20"/>
              </w:rPr>
              <w:t>192 100</w:t>
            </w:r>
          </w:p>
        </w:tc>
        <w:tc>
          <w:tcPr>
            <w:tcW w:w="1560" w:type="dxa"/>
            <w:vAlign w:val="center"/>
          </w:tcPr>
          <w:p w:rsidR="00CA14AB" w:rsidRPr="00E00B35" w:rsidRDefault="00CA14AB" w:rsidP="00E00B35">
            <w:pPr>
              <w:spacing w:after="0" w:line="312" w:lineRule="auto"/>
              <w:rPr>
                <w:szCs w:val="20"/>
              </w:rPr>
            </w:pPr>
            <w:r w:rsidRPr="00E00B35">
              <w:rPr>
                <w:szCs w:val="20"/>
              </w:rPr>
              <w:t>187 392,94</w:t>
            </w:r>
          </w:p>
        </w:tc>
        <w:tc>
          <w:tcPr>
            <w:tcW w:w="1560" w:type="dxa"/>
            <w:vAlign w:val="center"/>
          </w:tcPr>
          <w:p w:rsidR="00CA14AB" w:rsidRPr="00E00B35" w:rsidRDefault="00CA14AB" w:rsidP="00E00B35">
            <w:pPr>
              <w:spacing w:after="0" w:line="312" w:lineRule="auto"/>
              <w:rPr>
                <w:szCs w:val="20"/>
              </w:rPr>
            </w:pPr>
            <w:r w:rsidRPr="00E00B35">
              <w:rPr>
                <w:szCs w:val="20"/>
              </w:rPr>
              <w:t>103 090,80</w:t>
            </w:r>
          </w:p>
        </w:tc>
      </w:tr>
      <w:tr w:rsidR="00CA14AB" w:rsidRPr="00E00B35" w:rsidTr="00CA14AB">
        <w:trPr>
          <w:cantSplit/>
          <w:trHeight w:val="588"/>
        </w:trPr>
        <w:tc>
          <w:tcPr>
            <w:tcW w:w="2263" w:type="dxa"/>
            <w:shd w:val="clear" w:color="auto" w:fill="D9D9D9"/>
            <w:vAlign w:val="center"/>
          </w:tcPr>
          <w:p w:rsidR="00CA14AB" w:rsidRPr="00E00B35" w:rsidRDefault="00CA14AB" w:rsidP="00E00B35">
            <w:pPr>
              <w:spacing w:after="0" w:line="312" w:lineRule="auto"/>
              <w:rPr>
                <w:szCs w:val="20"/>
              </w:rPr>
            </w:pPr>
            <w:r w:rsidRPr="00E00B35">
              <w:rPr>
                <w:szCs w:val="20"/>
              </w:rPr>
              <w:t>Liczba wydanych decyzji</w:t>
            </w:r>
          </w:p>
        </w:tc>
        <w:tc>
          <w:tcPr>
            <w:tcW w:w="1560" w:type="dxa"/>
            <w:vAlign w:val="center"/>
          </w:tcPr>
          <w:p w:rsidR="00CA14AB" w:rsidRPr="00E00B35" w:rsidRDefault="00CA14AB" w:rsidP="00E00B35">
            <w:pPr>
              <w:spacing w:after="0" w:line="312" w:lineRule="auto"/>
              <w:rPr>
                <w:szCs w:val="20"/>
              </w:rPr>
            </w:pPr>
            <w:r w:rsidRPr="00E00B35">
              <w:rPr>
                <w:szCs w:val="20"/>
              </w:rPr>
              <w:t>59</w:t>
            </w:r>
          </w:p>
        </w:tc>
        <w:tc>
          <w:tcPr>
            <w:tcW w:w="1417" w:type="dxa"/>
            <w:vAlign w:val="center"/>
          </w:tcPr>
          <w:p w:rsidR="00CA14AB" w:rsidRPr="00E00B35" w:rsidRDefault="00CA14AB" w:rsidP="00E00B35">
            <w:pPr>
              <w:spacing w:after="0" w:line="312" w:lineRule="auto"/>
              <w:rPr>
                <w:szCs w:val="20"/>
              </w:rPr>
            </w:pPr>
            <w:r w:rsidRPr="00E00B35">
              <w:rPr>
                <w:szCs w:val="20"/>
              </w:rPr>
              <w:t>55</w:t>
            </w:r>
          </w:p>
        </w:tc>
        <w:tc>
          <w:tcPr>
            <w:tcW w:w="1559" w:type="dxa"/>
            <w:vAlign w:val="center"/>
          </w:tcPr>
          <w:p w:rsidR="00CA14AB" w:rsidRPr="00E00B35" w:rsidRDefault="00CA14AB" w:rsidP="00E00B35">
            <w:pPr>
              <w:spacing w:after="0" w:line="312" w:lineRule="auto"/>
              <w:rPr>
                <w:szCs w:val="20"/>
              </w:rPr>
            </w:pPr>
            <w:r w:rsidRPr="00E00B35">
              <w:rPr>
                <w:szCs w:val="20"/>
              </w:rPr>
              <w:t>107</w:t>
            </w:r>
          </w:p>
        </w:tc>
        <w:tc>
          <w:tcPr>
            <w:tcW w:w="1560" w:type="dxa"/>
            <w:vAlign w:val="center"/>
          </w:tcPr>
          <w:p w:rsidR="00CA14AB" w:rsidRPr="00E00B35" w:rsidRDefault="00CA14AB" w:rsidP="00E00B35">
            <w:pPr>
              <w:spacing w:after="0" w:line="312" w:lineRule="auto"/>
              <w:rPr>
                <w:szCs w:val="20"/>
              </w:rPr>
            </w:pPr>
            <w:r w:rsidRPr="00E00B35">
              <w:rPr>
                <w:szCs w:val="20"/>
              </w:rPr>
              <w:t>93</w:t>
            </w:r>
          </w:p>
        </w:tc>
        <w:tc>
          <w:tcPr>
            <w:tcW w:w="1560" w:type="dxa"/>
            <w:vAlign w:val="center"/>
          </w:tcPr>
          <w:p w:rsidR="00CA14AB" w:rsidRPr="00E00B35" w:rsidRDefault="00CA14AB" w:rsidP="00E00B35">
            <w:pPr>
              <w:spacing w:after="0" w:line="312" w:lineRule="auto"/>
              <w:rPr>
                <w:szCs w:val="20"/>
              </w:rPr>
            </w:pPr>
            <w:r w:rsidRPr="00E00B35">
              <w:rPr>
                <w:szCs w:val="20"/>
              </w:rPr>
              <w:t>56</w:t>
            </w:r>
          </w:p>
        </w:tc>
      </w:tr>
      <w:tr w:rsidR="00CA14AB" w:rsidRPr="00E00B35" w:rsidTr="00CA14AB">
        <w:trPr>
          <w:cantSplit/>
          <w:trHeight w:val="588"/>
        </w:trPr>
        <w:tc>
          <w:tcPr>
            <w:tcW w:w="2263" w:type="dxa"/>
            <w:shd w:val="clear" w:color="auto" w:fill="D9D9D9"/>
            <w:vAlign w:val="center"/>
          </w:tcPr>
          <w:p w:rsidR="00CA14AB" w:rsidRPr="00E00B35" w:rsidRDefault="00CA14AB" w:rsidP="00E00B35">
            <w:pPr>
              <w:spacing w:after="0" w:line="312" w:lineRule="auto"/>
              <w:rPr>
                <w:szCs w:val="20"/>
              </w:rPr>
            </w:pPr>
            <w:r w:rsidRPr="00E00B35">
              <w:rPr>
                <w:szCs w:val="20"/>
              </w:rPr>
              <w:t>Liczba przyznanych świadczeń</w:t>
            </w:r>
          </w:p>
        </w:tc>
        <w:tc>
          <w:tcPr>
            <w:tcW w:w="1560" w:type="dxa"/>
            <w:vAlign w:val="center"/>
          </w:tcPr>
          <w:p w:rsidR="00CA14AB" w:rsidRPr="00E00B35" w:rsidRDefault="00CA14AB" w:rsidP="00E00B35">
            <w:pPr>
              <w:spacing w:after="0" w:line="312" w:lineRule="auto"/>
              <w:rPr>
                <w:szCs w:val="20"/>
              </w:rPr>
            </w:pPr>
            <w:r w:rsidRPr="00E00B35">
              <w:rPr>
                <w:szCs w:val="20"/>
              </w:rPr>
              <w:t>57</w:t>
            </w:r>
          </w:p>
        </w:tc>
        <w:tc>
          <w:tcPr>
            <w:tcW w:w="1417" w:type="dxa"/>
            <w:vAlign w:val="center"/>
          </w:tcPr>
          <w:p w:rsidR="00CA14AB" w:rsidRPr="00E00B35" w:rsidRDefault="00CA14AB" w:rsidP="00E00B35">
            <w:pPr>
              <w:spacing w:after="0" w:line="312" w:lineRule="auto"/>
              <w:rPr>
                <w:szCs w:val="20"/>
              </w:rPr>
            </w:pPr>
            <w:r w:rsidRPr="00E00B35">
              <w:rPr>
                <w:szCs w:val="20"/>
              </w:rPr>
              <w:t>55</w:t>
            </w:r>
          </w:p>
        </w:tc>
        <w:tc>
          <w:tcPr>
            <w:tcW w:w="1559" w:type="dxa"/>
            <w:vAlign w:val="center"/>
          </w:tcPr>
          <w:p w:rsidR="00CA14AB" w:rsidRPr="00E00B35" w:rsidRDefault="00CA14AB" w:rsidP="00E00B35">
            <w:pPr>
              <w:spacing w:after="0" w:line="312" w:lineRule="auto"/>
              <w:rPr>
                <w:szCs w:val="20"/>
              </w:rPr>
            </w:pPr>
            <w:r w:rsidRPr="00E00B35">
              <w:rPr>
                <w:szCs w:val="20"/>
              </w:rPr>
              <w:t>103</w:t>
            </w:r>
          </w:p>
        </w:tc>
        <w:tc>
          <w:tcPr>
            <w:tcW w:w="1560" w:type="dxa"/>
            <w:vAlign w:val="center"/>
          </w:tcPr>
          <w:p w:rsidR="00CA14AB" w:rsidRPr="00E00B35" w:rsidRDefault="00CA14AB" w:rsidP="00E00B35">
            <w:pPr>
              <w:spacing w:after="0" w:line="312" w:lineRule="auto"/>
              <w:rPr>
                <w:szCs w:val="20"/>
              </w:rPr>
            </w:pPr>
            <w:r w:rsidRPr="00E00B35">
              <w:rPr>
                <w:szCs w:val="20"/>
              </w:rPr>
              <w:t>91</w:t>
            </w:r>
          </w:p>
        </w:tc>
        <w:tc>
          <w:tcPr>
            <w:tcW w:w="1560" w:type="dxa"/>
            <w:vAlign w:val="center"/>
          </w:tcPr>
          <w:p w:rsidR="00CA14AB" w:rsidRPr="00E00B35" w:rsidRDefault="00CA14AB" w:rsidP="00E00B35">
            <w:pPr>
              <w:spacing w:after="0" w:line="312" w:lineRule="auto"/>
              <w:rPr>
                <w:szCs w:val="20"/>
              </w:rPr>
            </w:pPr>
            <w:r w:rsidRPr="00E00B35">
              <w:rPr>
                <w:szCs w:val="20"/>
              </w:rPr>
              <w:t>55</w:t>
            </w:r>
          </w:p>
        </w:tc>
      </w:tr>
    </w:tbl>
    <w:p w:rsidR="00CA14AB" w:rsidRPr="00E00B35" w:rsidRDefault="00CA14AB" w:rsidP="00E00B35">
      <w:pPr>
        <w:spacing w:after="0" w:line="312" w:lineRule="auto"/>
        <w:rPr>
          <w:szCs w:val="20"/>
        </w:rPr>
      </w:pPr>
      <w:bookmarkStart w:id="463" w:name="_Toc72352453"/>
      <w:bookmarkStart w:id="464" w:name="_Toc72352887"/>
      <w:r w:rsidRPr="00E00B35">
        <w:rPr>
          <w:szCs w:val="20"/>
        </w:rPr>
        <w:t>ŚWIADCZENIE „ZA ŻYCIEM”</w:t>
      </w:r>
      <w:bookmarkEnd w:id="463"/>
      <w:bookmarkEnd w:id="464"/>
      <w:r w:rsidRPr="00E00B35">
        <w:rPr>
          <w:szCs w:val="20"/>
        </w:rPr>
        <w:t xml:space="preserve"> </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Na podstawie art. 10 ustawy z dnia 4 listopada 2016r. o wsparciu kobiet w ciąży i rodzin „Za życiem” (t.j. Dz. U. z 2020r. poz. 1329) przyznawano i wypłacano jednorazowe świadczenie w wysokości 4 000 zł.</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Świadczenie „Za życiem” przyznane i wypłacone w latach 2018-2020</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6"/>
        <w:gridCol w:w="1984"/>
        <w:gridCol w:w="2126"/>
        <w:gridCol w:w="2126"/>
      </w:tblGrid>
      <w:tr w:rsidR="00CA14AB" w:rsidRPr="00E00B35" w:rsidTr="00CA14AB">
        <w:trPr>
          <w:trHeight w:val="454"/>
        </w:trPr>
        <w:tc>
          <w:tcPr>
            <w:tcW w:w="3256" w:type="dxa"/>
            <w:shd w:val="clear" w:color="auto" w:fill="D9D9D9"/>
            <w:vAlign w:val="center"/>
          </w:tcPr>
          <w:p w:rsidR="00CA14AB" w:rsidRPr="00E00B35" w:rsidRDefault="00CA14AB" w:rsidP="00E00B35">
            <w:pPr>
              <w:spacing w:after="0" w:line="312" w:lineRule="auto"/>
              <w:rPr>
                <w:szCs w:val="20"/>
              </w:rPr>
            </w:pPr>
            <w:r w:rsidRPr="00E00B35">
              <w:rPr>
                <w:szCs w:val="20"/>
              </w:rPr>
              <w:t>Wyszczególnienie</w:t>
            </w:r>
          </w:p>
        </w:tc>
        <w:tc>
          <w:tcPr>
            <w:tcW w:w="1984" w:type="dxa"/>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2126" w:type="dxa"/>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2126" w:type="dxa"/>
            <w:shd w:val="clear" w:color="auto" w:fill="D9D9D9"/>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454"/>
        </w:trPr>
        <w:tc>
          <w:tcPr>
            <w:tcW w:w="3256" w:type="dxa"/>
            <w:shd w:val="clear" w:color="auto" w:fill="D9D9D9"/>
            <w:vAlign w:val="center"/>
          </w:tcPr>
          <w:p w:rsidR="00CA14AB" w:rsidRPr="00E00B35" w:rsidRDefault="00CA14AB" w:rsidP="00E00B35">
            <w:pPr>
              <w:spacing w:after="0" w:line="312" w:lineRule="auto"/>
              <w:rPr>
                <w:szCs w:val="20"/>
              </w:rPr>
            </w:pPr>
            <w:r w:rsidRPr="00E00B35">
              <w:rPr>
                <w:szCs w:val="20"/>
              </w:rPr>
              <w:t>Kwota wypłaconych świadczeń w [zł]</w:t>
            </w:r>
          </w:p>
        </w:tc>
        <w:tc>
          <w:tcPr>
            <w:tcW w:w="1984" w:type="dxa"/>
            <w:vAlign w:val="center"/>
          </w:tcPr>
          <w:p w:rsidR="00CA14AB" w:rsidRPr="00E00B35" w:rsidRDefault="00CA14AB" w:rsidP="00E00B35">
            <w:pPr>
              <w:spacing w:after="0" w:line="312" w:lineRule="auto"/>
              <w:rPr>
                <w:szCs w:val="20"/>
              </w:rPr>
            </w:pPr>
            <w:r w:rsidRPr="00E00B35">
              <w:rPr>
                <w:szCs w:val="20"/>
              </w:rPr>
              <w:t>324 000</w:t>
            </w:r>
          </w:p>
        </w:tc>
        <w:tc>
          <w:tcPr>
            <w:tcW w:w="2126" w:type="dxa"/>
            <w:vAlign w:val="center"/>
          </w:tcPr>
          <w:p w:rsidR="00CA14AB" w:rsidRPr="00E00B35" w:rsidRDefault="00CA14AB" w:rsidP="00E00B35">
            <w:pPr>
              <w:spacing w:after="0" w:line="312" w:lineRule="auto"/>
              <w:rPr>
                <w:szCs w:val="20"/>
              </w:rPr>
            </w:pPr>
            <w:r w:rsidRPr="00E00B35">
              <w:rPr>
                <w:szCs w:val="20"/>
              </w:rPr>
              <w:t>364 000</w:t>
            </w:r>
          </w:p>
        </w:tc>
        <w:tc>
          <w:tcPr>
            <w:tcW w:w="2126" w:type="dxa"/>
            <w:vAlign w:val="center"/>
          </w:tcPr>
          <w:p w:rsidR="00CA14AB" w:rsidRPr="00E00B35" w:rsidRDefault="00CA14AB" w:rsidP="00E00B35">
            <w:pPr>
              <w:spacing w:after="0" w:line="312" w:lineRule="auto"/>
              <w:rPr>
                <w:szCs w:val="20"/>
              </w:rPr>
            </w:pPr>
            <w:r w:rsidRPr="00E00B35">
              <w:rPr>
                <w:szCs w:val="20"/>
              </w:rPr>
              <w:t>352 000</w:t>
            </w:r>
          </w:p>
        </w:tc>
      </w:tr>
      <w:tr w:rsidR="00CA14AB" w:rsidRPr="00E00B35" w:rsidTr="00CA14AB">
        <w:trPr>
          <w:trHeight w:val="454"/>
        </w:trPr>
        <w:tc>
          <w:tcPr>
            <w:tcW w:w="3256" w:type="dxa"/>
            <w:shd w:val="clear" w:color="auto" w:fill="D9D9D9"/>
            <w:vAlign w:val="center"/>
          </w:tcPr>
          <w:p w:rsidR="00CA14AB" w:rsidRPr="00E00B35" w:rsidRDefault="00CA14AB" w:rsidP="00E00B35">
            <w:pPr>
              <w:spacing w:after="0" w:line="312" w:lineRule="auto"/>
              <w:rPr>
                <w:szCs w:val="20"/>
              </w:rPr>
            </w:pPr>
            <w:r w:rsidRPr="00E00B35">
              <w:rPr>
                <w:szCs w:val="20"/>
              </w:rPr>
              <w:t>Liczba wydanych decyzji</w:t>
            </w:r>
          </w:p>
        </w:tc>
        <w:tc>
          <w:tcPr>
            <w:tcW w:w="1984" w:type="dxa"/>
            <w:vAlign w:val="center"/>
          </w:tcPr>
          <w:p w:rsidR="00CA14AB" w:rsidRPr="00E00B35" w:rsidRDefault="00CA14AB" w:rsidP="00E00B35">
            <w:pPr>
              <w:spacing w:after="0" w:line="312" w:lineRule="auto"/>
              <w:rPr>
                <w:szCs w:val="20"/>
              </w:rPr>
            </w:pPr>
            <w:r w:rsidRPr="00E00B35">
              <w:rPr>
                <w:szCs w:val="20"/>
              </w:rPr>
              <w:t>75</w:t>
            </w:r>
          </w:p>
        </w:tc>
        <w:tc>
          <w:tcPr>
            <w:tcW w:w="2126" w:type="dxa"/>
            <w:vAlign w:val="center"/>
          </w:tcPr>
          <w:p w:rsidR="00CA14AB" w:rsidRPr="00E00B35" w:rsidRDefault="00CA14AB" w:rsidP="00E00B35">
            <w:pPr>
              <w:spacing w:after="0" w:line="312" w:lineRule="auto"/>
              <w:rPr>
                <w:szCs w:val="20"/>
              </w:rPr>
            </w:pPr>
            <w:r w:rsidRPr="00E00B35">
              <w:rPr>
                <w:szCs w:val="20"/>
              </w:rPr>
              <w:t>93</w:t>
            </w:r>
          </w:p>
        </w:tc>
        <w:tc>
          <w:tcPr>
            <w:tcW w:w="2126" w:type="dxa"/>
            <w:vAlign w:val="center"/>
          </w:tcPr>
          <w:p w:rsidR="00CA14AB" w:rsidRPr="00E00B35" w:rsidRDefault="00CA14AB" w:rsidP="00E00B35">
            <w:pPr>
              <w:spacing w:after="0" w:line="312" w:lineRule="auto"/>
              <w:rPr>
                <w:szCs w:val="20"/>
              </w:rPr>
            </w:pPr>
            <w:r w:rsidRPr="00E00B35">
              <w:rPr>
                <w:szCs w:val="20"/>
              </w:rPr>
              <w:t>85</w:t>
            </w:r>
          </w:p>
        </w:tc>
      </w:tr>
      <w:tr w:rsidR="00CA14AB" w:rsidRPr="00E00B35" w:rsidTr="00CA14AB">
        <w:trPr>
          <w:trHeight w:val="454"/>
        </w:trPr>
        <w:tc>
          <w:tcPr>
            <w:tcW w:w="3256" w:type="dxa"/>
            <w:shd w:val="clear" w:color="auto" w:fill="D9D9D9"/>
            <w:vAlign w:val="center"/>
          </w:tcPr>
          <w:p w:rsidR="00CA14AB" w:rsidRPr="00E00B35" w:rsidRDefault="00CA14AB" w:rsidP="00E00B35">
            <w:pPr>
              <w:spacing w:after="0" w:line="312" w:lineRule="auto"/>
              <w:rPr>
                <w:szCs w:val="20"/>
              </w:rPr>
            </w:pPr>
            <w:r w:rsidRPr="00E00B35">
              <w:rPr>
                <w:szCs w:val="20"/>
              </w:rPr>
              <w:t>Liczba dzieci, na które wypłacono świadczenia</w:t>
            </w:r>
          </w:p>
        </w:tc>
        <w:tc>
          <w:tcPr>
            <w:tcW w:w="1984" w:type="dxa"/>
            <w:vAlign w:val="center"/>
          </w:tcPr>
          <w:p w:rsidR="00CA14AB" w:rsidRPr="00E00B35" w:rsidRDefault="00CA14AB" w:rsidP="00E00B35">
            <w:pPr>
              <w:spacing w:after="0" w:line="312" w:lineRule="auto"/>
              <w:rPr>
                <w:szCs w:val="20"/>
              </w:rPr>
            </w:pPr>
            <w:r w:rsidRPr="00E00B35">
              <w:rPr>
                <w:szCs w:val="20"/>
              </w:rPr>
              <w:t>81</w:t>
            </w:r>
          </w:p>
        </w:tc>
        <w:tc>
          <w:tcPr>
            <w:tcW w:w="2126" w:type="dxa"/>
            <w:vAlign w:val="center"/>
          </w:tcPr>
          <w:p w:rsidR="00CA14AB" w:rsidRPr="00E00B35" w:rsidRDefault="00CA14AB" w:rsidP="00E00B35">
            <w:pPr>
              <w:spacing w:after="0" w:line="312" w:lineRule="auto"/>
              <w:rPr>
                <w:szCs w:val="20"/>
              </w:rPr>
            </w:pPr>
            <w:r w:rsidRPr="00E00B35">
              <w:rPr>
                <w:szCs w:val="20"/>
              </w:rPr>
              <w:t>91</w:t>
            </w:r>
          </w:p>
        </w:tc>
        <w:tc>
          <w:tcPr>
            <w:tcW w:w="2126" w:type="dxa"/>
            <w:vAlign w:val="center"/>
          </w:tcPr>
          <w:p w:rsidR="00CA14AB" w:rsidRPr="00E00B35" w:rsidRDefault="00CA14AB" w:rsidP="00E00B35">
            <w:pPr>
              <w:spacing w:after="0" w:line="312" w:lineRule="auto"/>
              <w:rPr>
                <w:szCs w:val="20"/>
              </w:rPr>
            </w:pPr>
            <w:r w:rsidRPr="00E00B35">
              <w:rPr>
                <w:szCs w:val="20"/>
              </w:rPr>
              <w:t>88</w:t>
            </w:r>
          </w:p>
        </w:tc>
      </w:tr>
    </w:tbl>
    <w:p w:rsidR="00CA14AB" w:rsidRPr="00E00B35" w:rsidRDefault="00CA14AB" w:rsidP="00E00B35">
      <w:pPr>
        <w:spacing w:after="0" w:line="312" w:lineRule="auto"/>
        <w:rPr>
          <w:szCs w:val="20"/>
        </w:rPr>
      </w:pPr>
      <w:bookmarkStart w:id="465" w:name="_Toc72352454"/>
      <w:bookmarkStart w:id="466" w:name="_Toc72352888"/>
      <w:r w:rsidRPr="00E00B35">
        <w:rPr>
          <w:szCs w:val="20"/>
        </w:rPr>
        <w:t>KARTA POLAKA</w:t>
      </w:r>
      <w:bookmarkEnd w:id="465"/>
      <w:bookmarkEnd w:id="466"/>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Na podstawie art. 8b ust. 2 ustawy z dnia 7 września 2007r. o Karcie Polaka </w:t>
      </w:r>
      <w:r w:rsidRPr="00E00B35">
        <w:rPr>
          <w:szCs w:val="20"/>
        </w:rPr>
        <w:br/>
        <w:t>(tj. Dz. U. z 2019r. poz. 1598 ze zm.) z 337 decyzji wypłacono kwotę: 2 951 288,00 zł.</w:t>
      </w:r>
    </w:p>
    <w:p w:rsidR="00890136" w:rsidRPr="00E00B35" w:rsidRDefault="00890136" w:rsidP="00E00B35">
      <w:pPr>
        <w:pStyle w:val="Nagwek5"/>
        <w:rPr>
          <w:szCs w:val="20"/>
        </w:rPr>
      </w:pPr>
      <w:bookmarkStart w:id="467" w:name="_Toc72352455"/>
      <w:bookmarkStart w:id="468" w:name="_Toc72352889"/>
    </w:p>
    <w:p w:rsidR="00CA14AB" w:rsidRPr="00E00B35" w:rsidRDefault="00CA14AB" w:rsidP="00E00B35">
      <w:pPr>
        <w:pStyle w:val="Nagwek5"/>
        <w:rPr>
          <w:szCs w:val="20"/>
        </w:rPr>
      </w:pPr>
      <w:r w:rsidRPr="00E00B35">
        <w:rPr>
          <w:szCs w:val="20"/>
        </w:rPr>
        <w:t>WYPŁATA ŚWIADCZEŃ RODZINNYCH, ZASIŁKÓW DLA OPIEKUNÓW, ŚWIADCZEŃ Z FUNDUSZU ALIMENTACYJNEGO, ŚWIADCZEŃ WYCHOWAWCZYCH ORAZ ŚWIADCZENIE Z PROGRAMU „DOBRY START”</w:t>
      </w:r>
      <w:bookmarkEnd w:id="467"/>
      <w:bookmarkEnd w:id="468"/>
    </w:p>
    <w:p w:rsidR="00CA14AB" w:rsidRPr="00E00B35" w:rsidRDefault="00CA14AB" w:rsidP="00E00B35">
      <w:pPr>
        <w:spacing w:after="0" w:line="312" w:lineRule="auto"/>
        <w:rPr>
          <w:szCs w:val="20"/>
        </w:rPr>
      </w:pPr>
      <w:r w:rsidRPr="00E00B35">
        <w:rPr>
          <w:szCs w:val="20"/>
        </w:rPr>
        <w:t xml:space="preserve">Dział Świadczeń mający swoją główną siedzibę przy ul. Namysłowskiej 8 zajmuje się wypłatą: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świadczeń rodzinnych,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zasiłków dla opiekunów,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świadczeń z funduszu alimentacyjnego,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świadczeń wychowawczych,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lastRenderedPageBreak/>
        <w:t>świadczeń z programu „Dobry start”,</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działań wobec dłużników alimentacyjnych.</w:t>
      </w:r>
    </w:p>
    <w:p w:rsidR="00890136" w:rsidRPr="00E00B35" w:rsidRDefault="00890136" w:rsidP="00E00B35">
      <w:pPr>
        <w:pStyle w:val="Akapitzlist"/>
        <w:spacing w:after="0" w:line="312" w:lineRule="auto"/>
        <w:ind w:left="426"/>
        <w:rPr>
          <w:szCs w:val="20"/>
        </w:rPr>
      </w:pPr>
    </w:p>
    <w:p w:rsidR="00CA14AB" w:rsidRPr="00E00B35" w:rsidRDefault="00CA14AB" w:rsidP="00E00B35">
      <w:pPr>
        <w:pStyle w:val="Nagwek5"/>
        <w:rPr>
          <w:szCs w:val="20"/>
        </w:rPr>
      </w:pPr>
      <w:r w:rsidRPr="00E00B35">
        <w:rPr>
          <w:szCs w:val="20"/>
        </w:rPr>
        <w:t xml:space="preserve">ŚWIADCZENIA RODZINNE I ALIMENTACYJNE, ZASIŁEK DLA OPIEKUNÓW </w:t>
      </w:r>
    </w:p>
    <w:p w:rsidR="00CA14AB" w:rsidRPr="00E00B35" w:rsidRDefault="00CA14AB" w:rsidP="00E00B35">
      <w:pPr>
        <w:spacing w:after="0" w:line="312" w:lineRule="auto"/>
        <w:rPr>
          <w:szCs w:val="20"/>
        </w:rPr>
      </w:pPr>
      <w:r w:rsidRPr="00E00B35">
        <w:rPr>
          <w:szCs w:val="20"/>
        </w:rPr>
        <w:t xml:space="preserve">W okresie sprawozdawczym w Rozdziale 85502 – „Świadczenia rodzinne, świadczenia </w:t>
      </w:r>
      <w:r w:rsidRPr="00E00B35">
        <w:rPr>
          <w:szCs w:val="20"/>
        </w:rPr>
        <w:br/>
        <w:t xml:space="preserve">z funduszu alimentacyjnego oraz składki na ubezpieczenie emerytalne i rentowe </w:t>
      </w:r>
      <w:r w:rsidRPr="00E00B35">
        <w:rPr>
          <w:szCs w:val="20"/>
        </w:rPr>
        <w:br/>
        <w:t>z ubezpieczenia społecznego” wydatkowano kwoty: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74 395 968 zł - na wypłatę świadczeń rodzinnych, jednorazowej zapomogi</w:t>
      </w:r>
      <w:r w:rsidRPr="00E00B35">
        <w:rPr>
          <w:szCs w:val="20"/>
        </w:rPr>
        <w:br/>
        <w:t xml:space="preserve">z tytułu urodzenia dziecka, zasiłków dla opiekunów i składek na ubezpieczenie emerytalno-rentowe opłacane za uprawnionych klientów (wypłacane </w:t>
      </w:r>
      <w:r w:rsidRPr="00E00B35">
        <w:rPr>
          <w:szCs w:val="20"/>
        </w:rPr>
        <w:br/>
        <w:t>i przyznawane na podstawie ustawy z dnia 28 listopada 2003</w:t>
      </w:r>
      <w:r w:rsidR="00436BC1" w:rsidRPr="00E00B35">
        <w:rPr>
          <w:szCs w:val="20"/>
        </w:rPr>
        <w:t xml:space="preserve"> </w:t>
      </w:r>
      <w:r w:rsidRPr="00E00B35">
        <w:rPr>
          <w:szCs w:val="20"/>
        </w:rPr>
        <w:t xml:space="preserve">r. o świadczeniach rodzinnych oraz ustawy z dnia 4 kwietnia 2014r. o ustalaniu i wypłacie zasiłków dla opiekunów);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12 252 091 zł - na wypłatę świadczeń z funduszu alimentacyjnego (wypłacane </w:t>
      </w:r>
      <w:r w:rsidRPr="00E00B35">
        <w:rPr>
          <w:szCs w:val="20"/>
        </w:rPr>
        <w:br/>
        <w:t>i przyznawane na podstawie ustawy z dnia 7 września 2007r. o pomocy osobom uprawnionym do alimentów);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1 775 882 zł – na wypłatę dodatku do zasiłku rodzinnego z tytułu wychowywania dziecka w rodzinie wielodzietnej (wypłacane i przyznawane na podstawie ustawy </w:t>
      </w:r>
      <w:r w:rsidRPr="00E00B35">
        <w:rPr>
          <w:szCs w:val="20"/>
        </w:rPr>
        <w:br/>
        <w:t xml:space="preserve">z dnia 28 listopada 2003r. o świadczeniach rodzinnych oraz Uchwały </w:t>
      </w:r>
      <w:r w:rsidRPr="00E00B35">
        <w:rPr>
          <w:szCs w:val="20"/>
        </w:rPr>
        <w:br/>
        <w:t>Nr LXII/1585/14 Rady Miejskiej Wrocławia z dnia 4 września 2014r. (Dziennik Urzędowy Województwa Dolnośląskiego z 2014 r. poz.3863));</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444 000 zł – na wypłatę jednorazowego świadczenia z tytułu urodzenia się dwojga lub więcej dzieci podczas jednego porodu „Wsparcie na Starcie” (wypłacane i przyznawane na podstawie ustawy z dnia 28 listopada 2003</w:t>
      </w:r>
      <w:r w:rsidR="00436BC1" w:rsidRPr="00E00B35">
        <w:rPr>
          <w:szCs w:val="20"/>
        </w:rPr>
        <w:t xml:space="preserve"> </w:t>
      </w:r>
      <w:r w:rsidRPr="00E00B35">
        <w:rPr>
          <w:szCs w:val="20"/>
        </w:rPr>
        <w:t xml:space="preserve">r. </w:t>
      </w:r>
      <w:r w:rsidRPr="00E00B35">
        <w:rPr>
          <w:szCs w:val="20"/>
        </w:rPr>
        <w:br/>
        <w:t xml:space="preserve">o świadczeniach rodzinnych oraz Uchwały Nr VI/131/19 Rady Miejskiej Wrocławia z dnia 21 marca 2019r. (Dziennik Urzędowy Województwa Dolnośląskiego </w:t>
      </w:r>
      <w:r w:rsidRPr="00E00B35">
        <w:rPr>
          <w:szCs w:val="20"/>
        </w:rPr>
        <w:br/>
        <w:t>z 2019r. poz.2145)). "Wsparcie na starcie" to jednorazowe świadczenie z tytułu urodzenia się dwojga lub więcej dzieci podczas jednego porodu. Świadczenie przysługuje, gdy podczas jednego porodu urodziło się dwoje lub więcej dzieci. Wysokość świadczenia wynosi 2 000 zł na każde urodzone dziecko. W 2020 roku ze świadczenia z tytułu urodzenia się dwojga lub więcej dzieci podczas jednego porodu skorzystało 110 rodzin, w których urodziło się 222 dzieci.</w:t>
      </w:r>
    </w:p>
    <w:p w:rsidR="00CA14AB" w:rsidRPr="00E00B35" w:rsidRDefault="00CA14AB" w:rsidP="00E00B35">
      <w:pPr>
        <w:spacing w:after="0" w:line="312" w:lineRule="auto"/>
        <w:rPr>
          <w:szCs w:val="20"/>
        </w:rPr>
      </w:pPr>
      <w:r w:rsidRPr="00E00B35">
        <w:rPr>
          <w:szCs w:val="20"/>
        </w:rPr>
        <w:t xml:space="preserve">W Dziale Świadczeń w sprawach świadczeń rodzinnych, alimentacyjnych oraz zasiłków dla opiekunów wydano łącznie </w:t>
      </w:r>
      <w:r w:rsidRPr="00E00B35">
        <w:rPr>
          <w:rFonts w:eastAsia="Calibri"/>
          <w:szCs w:val="20"/>
        </w:rPr>
        <w:t xml:space="preserve">19 594 </w:t>
      </w:r>
      <w:r w:rsidRPr="00E00B35">
        <w:rPr>
          <w:szCs w:val="20"/>
        </w:rPr>
        <w:t>decyzje administracyjne. Wydano 82 decyzje</w:t>
      </w:r>
      <w:r w:rsidRPr="00E00B35">
        <w:rPr>
          <w:szCs w:val="20"/>
        </w:rPr>
        <w:br/>
        <w:t>o rozłożeniu na raty kwoty 163 098 zł nienależnie pobranych świadczeń.</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Realizacja świadczeń w 2020r. z rozdziału - 85502 kształtowała się następująco:</w:t>
      </w:r>
    </w:p>
    <w:tbl>
      <w:tblPr>
        <w:tblW w:w="0" w:type="auto"/>
        <w:tblLayout w:type="fixed"/>
        <w:tblCellMar>
          <w:left w:w="0" w:type="dxa"/>
          <w:right w:w="0" w:type="dxa"/>
        </w:tblCellMar>
        <w:tblLook w:val="0000"/>
      </w:tblPr>
      <w:tblGrid>
        <w:gridCol w:w="531"/>
        <w:gridCol w:w="3624"/>
        <w:gridCol w:w="2239"/>
        <w:gridCol w:w="2693"/>
      </w:tblGrid>
      <w:tr w:rsidR="00CA14AB" w:rsidRPr="00E00B35" w:rsidTr="00CA14AB">
        <w:trPr>
          <w:trHeight w:val="255"/>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Lp.</w:t>
            </w:r>
          </w:p>
        </w:tc>
        <w:tc>
          <w:tcPr>
            <w:tcW w:w="3624" w:type="dxa"/>
            <w:tcBorders>
              <w:top w:val="single" w:sz="4" w:space="0" w:color="auto"/>
              <w:left w:val="nil"/>
              <w:bottom w:val="single" w:sz="4" w:space="0" w:color="auto"/>
              <w:right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Wyszczególnienie</w:t>
            </w:r>
          </w:p>
        </w:tc>
        <w:tc>
          <w:tcPr>
            <w:tcW w:w="2239"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 xml:space="preserve">Kwota </w:t>
            </w:r>
            <w:r w:rsidRPr="00E00B35">
              <w:rPr>
                <w:szCs w:val="20"/>
              </w:rPr>
              <w:br/>
              <w:t>[zł]</w:t>
            </w:r>
          </w:p>
        </w:tc>
        <w:tc>
          <w:tcPr>
            <w:tcW w:w="2693"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Średnia miesięczna liczba rodzin/osób</w:t>
            </w:r>
          </w:p>
        </w:tc>
      </w:tr>
      <w:tr w:rsidR="00CA14AB" w:rsidRPr="00E00B35" w:rsidTr="00CA14AB">
        <w:trPr>
          <w:trHeight w:val="255"/>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1.</w:t>
            </w:r>
          </w:p>
        </w:tc>
        <w:tc>
          <w:tcPr>
            <w:tcW w:w="36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Świadczenia rodzinne bez jednorazowej zapomogi z tytułu urodzenia dziecka i świadczenia rodzicielskiego</w:t>
            </w:r>
          </w:p>
        </w:tc>
        <w:tc>
          <w:tcPr>
            <w:tcW w:w="223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63 622 753</w:t>
            </w:r>
          </w:p>
        </w:tc>
        <w:tc>
          <w:tcPr>
            <w:tcW w:w="269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11 246 rodzin</w:t>
            </w:r>
          </w:p>
        </w:tc>
      </w:tr>
      <w:tr w:rsidR="00CA14AB" w:rsidRPr="00E00B35" w:rsidTr="00CA14AB">
        <w:trPr>
          <w:trHeight w:val="521"/>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lastRenderedPageBreak/>
              <w:t>2.</w:t>
            </w:r>
          </w:p>
        </w:tc>
        <w:tc>
          <w:tcPr>
            <w:tcW w:w="36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Jednorazowa zapomoga z tytułu urodzenia dziecka</w:t>
            </w:r>
          </w:p>
        </w:tc>
        <w:tc>
          <w:tcPr>
            <w:tcW w:w="223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1 792 000</w:t>
            </w:r>
          </w:p>
        </w:tc>
        <w:tc>
          <w:tcPr>
            <w:tcW w:w="269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rFonts w:eastAsia="Calibri"/>
                <w:szCs w:val="20"/>
              </w:rPr>
            </w:pPr>
            <w:r w:rsidRPr="00E00B35">
              <w:rPr>
                <w:rFonts w:eastAsia="Calibri"/>
                <w:szCs w:val="20"/>
              </w:rPr>
              <w:t xml:space="preserve">145 </w:t>
            </w:r>
            <w:r w:rsidRPr="00E00B35">
              <w:rPr>
                <w:szCs w:val="20"/>
              </w:rPr>
              <w:t>rodzin</w:t>
            </w:r>
          </w:p>
        </w:tc>
      </w:tr>
      <w:tr w:rsidR="00CA14AB" w:rsidRPr="00E00B35" w:rsidTr="00CA14AB">
        <w:trPr>
          <w:trHeight w:val="497"/>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3.</w:t>
            </w:r>
          </w:p>
        </w:tc>
        <w:tc>
          <w:tcPr>
            <w:tcW w:w="36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Świadczenie rodzicielskie</w:t>
            </w:r>
          </w:p>
        </w:tc>
        <w:tc>
          <w:tcPr>
            <w:tcW w:w="223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8 981 215</w:t>
            </w:r>
          </w:p>
        </w:tc>
        <w:tc>
          <w:tcPr>
            <w:tcW w:w="269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713 rodzin</w:t>
            </w:r>
          </w:p>
        </w:tc>
      </w:tr>
      <w:tr w:rsidR="00CA14AB" w:rsidRPr="00E00B35" w:rsidTr="00CA14AB">
        <w:trPr>
          <w:trHeight w:val="497"/>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4.</w:t>
            </w:r>
          </w:p>
        </w:tc>
        <w:tc>
          <w:tcPr>
            <w:tcW w:w="36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 xml:space="preserve">Zasiłek dla opiekuna </w:t>
            </w:r>
          </w:p>
        </w:tc>
        <w:tc>
          <w:tcPr>
            <w:tcW w:w="223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231 803</w:t>
            </w:r>
          </w:p>
        </w:tc>
        <w:tc>
          <w:tcPr>
            <w:tcW w:w="269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32 osoby</w:t>
            </w:r>
          </w:p>
        </w:tc>
      </w:tr>
      <w:tr w:rsidR="00CA14AB" w:rsidRPr="00E00B35" w:rsidTr="00CA14AB">
        <w:trPr>
          <w:trHeight w:val="497"/>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5.</w:t>
            </w:r>
          </w:p>
        </w:tc>
        <w:tc>
          <w:tcPr>
            <w:tcW w:w="36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Składki na ubezpieczenie emerytalno-rentowe opłacane za uprawnionych klientów</w:t>
            </w:r>
          </w:p>
        </w:tc>
        <w:tc>
          <w:tcPr>
            <w:tcW w:w="223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4 528 977</w:t>
            </w:r>
          </w:p>
        </w:tc>
        <w:tc>
          <w:tcPr>
            <w:tcW w:w="269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741 osób</w:t>
            </w:r>
          </w:p>
        </w:tc>
      </w:tr>
      <w:tr w:rsidR="00CA14AB" w:rsidRPr="00E00B35" w:rsidTr="00CA14AB">
        <w:trPr>
          <w:trHeight w:val="497"/>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6.</w:t>
            </w:r>
          </w:p>
        </w:tc>
        <w:tc>
          <w:tcPr>
            <w:tcW w:w="36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Wydatki na świadczenia z funduszu alimentacyjnego</w:t>
            </w:r>
          </w:p>
        </w:tc>
        <w:tc>
          <w:tcPr>
            <w:tcW w:w="223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12 252 091</w:t>
            </w:r>
          </w:p>
        </w:tc>
        <w:tc>
          <w:tcPr>
            <w:tcW w:w="269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1 529 rodzin/2 177 osób</w:t>
            </w:r>
          </w:p>
        </w:tc>
      </w:tr>
      <w:tr w:rsidR="00CA14AB" w:rsidRPr="00E00B35" w:rsidTr="00CA14AB">
        <w:trPr>
          <w:trHeight w:val="497"/>
        </w:trPr>
        <w:tc>
          <w:tcPr>
            <w:tcW w:w="4155" w:type="dxa"/>
            <w:gridSpan w:val="2"/>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Łączna kwota wydatkowana na świadczenia rodzinne, na zasiłek dla opiekunów, na składki na ubezpieczenie emerytalno-rentowe opłacane za uprawnionych klientów i fundusz alimentacyjny</w:t>
            </w:r>
          </w:p>
        </w:tc>
        <w:tc>
          <w:tcPr>
            <w:tcW w:w="4932"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91 177 036</w:t>
            </w:r>
          </w:p>
          <w:p w:rsidR="00CA14AB" w:rsidRPr="00E00B35" w:rsidRDefault="00CA14AB" w:rsidP="00E00B35">
            <w:pPr>
              <w:spacing w:after="0" w:line="312" w:lineRule="auto"/>
              <w:rPr>
                <w:szCs w:val="20"/>
              </w:rPr>
            </w:pPr>
          </w:p>
        </w:tc>
      </w:tr>
      <w:tr w:rsidR="00CA14AB" w:rsidRPr="00E00B35" w:rsidTr="00CA14AB">
        <w:trPr>
          <w:trHeight w:val="497"/>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7.</w:t>
            </w:r>
          </w:p>
        </w:tc>
        <w:tc>
          <w:tcPr>
            <w:tcW w:w="36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CA14AB" w:rsidRPr="00E00B35" w:rsidRDefault="00CA14AB" w:rsidP="00E00B35">
            <w:pPr>
              <w:spacing w:after="0" w:line="312" w:lineRule="auto"/>
              <w:rPr>
                <w:szCs w:val="20"/>
              </w:rPr>
            </w:pPr>
            <w:r w:rsidRPr="00E00B35">
              <w:rPr>
                <w:szCs w:val="20"/>
              </w:rPr>
              <w:t>Dodatek z tytułu wielodzietności wypłacany ze środków Gminy Wrocław</w:t>
            </w:r>
          </w:p>
        </w:tc>
        <w:tc>
          <w:tcPr>
            <w:tcW w:w="223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1 775 882</w:t>
            </w:r>
          </w:p>
        </w:tc>
        <w:tc>
          <w:tcPr>
            <w:tcW w:w="26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A14AB" w:rsidRPr="00E00B35" w:rsidRDefault="00CA14AB" w:rsidP="00E00B35">
            <w:pPr>
              <w:spacing w:after="0" w:line="312" w:lineRule="auto"/>
              <w:rPr>
                <w:rFonts w:eastAsia="Calibri"/>
                <w:szCs w:val="20"/>
              </w:rPr>
            </w:pPr>
            <w:r w:rsidRPr="00E00B35">
              <w:rPr>
                <w:rFonts w:eastAsia="Calibri"/>
                <w:szCs w:val="20"/>
              </w:rPr>
              <w:t>1 043 rodziny</w:t>
            </w:r>
          </w:p>
        </w:tc>
      </w:tr>
      <w:tr w:rsidR="00CA14AB" w:rsidRPr="00E00B35" w:rsidTr="00CA14AB">
        <w:trPr>
          <w:trHeight w:val="497"/>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8.</w:t>
            </w:r>
          </w:p>
        </w:tc>
        <w:tc>
          <w:tcPr>
            <w:tcW w:w="36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CA14AB" w:rsidRPr="00E00B35" w:rsidRDefault="00CA14AB" w:rsidP="00E00B35">
            <w:pPr>
              <w:spacing w:after="0" w:line="312" w:lineRule="auto"/>
              <w:rPr>
                <w:szCs w:val="20"/>
              </w:rPr>
            </w:pPr>
            <w:r w:rsidRPr="00E00B35">
              <w:rPr>
                <w:szCs w:val="20"/>
              </w:rPr>
              <w:t>Jednorazowe świadczenie z tytułu urodzenia się dwojga lub więcej dzieci podczas jednego porodu „Wsparcie na Starcie” wypłacane ze środków Gminy Wrocław</w:t>
            </w:r>
          </w:p>
        </w:tc>
        <w:tc>
          <w:tcPr>
            <w:tcW w:w="223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444 000</w:t>
            </w:r>
          </w:p>
        </w:tc>
        <w:tc>
          <w:tcPr>
            <w:tcW w:w="26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A14AB" w:rsidRPr="00E00B35" w:rsidRDefault="00CA14AB" w:rsidP="00E00B35">
            <w:pPr>
              <w:spacing w:after="0" w:line="312" w:lineRule="auto"/>
              <w:rPr>
                <w:rFonts w:eastAsia="Calibri"/>
                <w:szCs w:val="20"/>
              </w:rPr>
            </w:pPr>
            <w:r w:rsidRPr="00E00B35">
              <w:rPr>
                <w:rFonts w:eastAsia="Calibri"/>
                <w:szCs w:val="20"/>
              </w:rPr>
              <w:t>9 rodzin</w:t>
            </w:r>
          </w:p>
        </w:tc>
      </w:tr>
    </w:tbl>
    <w:p w:rsidR="00436BC1" w:rsidRPr="00E00B35" w:rsidRDefault="00436BC1" w:rsidP="00E00B35">
      <w:pPr>
        <w:spacing w:after="0" w:line="312" w:lineRule="auto"/>
        <w:rPr>
          <w:szCs w:val="20"/>
        </w:rPr>
      </w:pPr>
    </w:p>
    <w:p w:rsidR="00CA14AB" w:rsidRPr="00E00B35" w:rsidRDefault="00CA14AB" w:rsidP="00E00B35">
      <w:pPr>
        <w:pStyle w:val="Nagwek5"/>
        <w:rPr>
          <w:szCs w:val="20"/>
        </w:rPr>
      </w:pPr>
      <w:r w:rsidRPr="00E00B35">
        <w:rPr>
          <w:szCs w:val="20"/>
        </w:rPr>
        <w:t xml:space="preserve">ŚWIADCZENIA WYCHOWAWCZE </w:t>
      </w:r>
    </w:p>
    <w:p w:rsidR="00CA14AB" w:rsidRPr="00E00B35" w:rsidRDefault="00CA14AB" w:rsidP="00E00B35">
      <w:pPr>
        <w:spacing w:after="0" w:line="312" w:lineRule="auto"/>
        <w:rPr>
          <w:szCs w:val="20"/>
        </w:rPr>
      </w:pPr>
      <w:r w:rsidRPr="00E00B35">
        <w:rPr>
          <w:szCs w:val="20"/>
        </w:rPr>
        <w:t>Świadczenia wychowawcze w 2020r. przyznawane i wypłacane były na podstawie ustawy z dnia 11 lutego 2016r. o pomocy państwa w wychowywaniu dzieci.</w:t>
      </w:r>
    </w:p>
    <w:p w:rsidR="00CA14AB" w:rsidRPr="00E00B35" w:rsidRDefault="00CA14AB" w:rsidP="00E00B35">
      <w:pPr>
        <w:spacing w:after="0" w:line="312" w:lineRule="auto"/>
        <w:rPr>
          <w:szCs w:val="20"/>
        </w:rPr>
      </w:pPr>
      <w:r w:rsidRPr="00E00B35">
        <w:rPr>
          <w:szCs w:val="20"/>
        </w:rPr>
        <w:t xml:space="preserve">W okresie sprawozdawczym w Rozdziale 85501 – „Świadczenia wychowawcze” </w:t>
      </w:r>
      <w:r w:rsidRPr="00E00B35">
        <w:rPr>
          <w:szCs w:val="20"/>
        </w:rPr>
        <w:br/>
        <w:t>na wypłatę świadczeń wydatkowano kwotę 630 157 401 zł i wydano 1 646 decyzji administracyjnych oraz 9 585 informacji o przyznaniu świadczenia. Wydano 47 decyzji</w:t>
      </w:r>
      <w:r w:rsidRPr="00E00B35">
        <w:rPr>
          <w:szCs w:val="20"/>
        </w:rPr>
        <w:br/>
        <w:t>o rozłożeniu na raty kwoty 129 617 zł nienależnie pobranych świadczeń.</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Realizacja świadczeń wychowawczych w 2020r.</w:t>
      </w:r>
    </w:p>
    <w:tbl>
      <w:tblPr>
        <w:tblW w:w="9087" w:type="dxa"/>
        <w:tblLayout w:type="fixed"/>
        <w:tblCellMar>
          <w:left w:w="0" w:type="dxa"/>
          <w:right w:w="0" w:type="dxa"/>
        </w:tblCellMar>
        <w:tblLook w:val="0000"/>
      </w:tblPr>
      <w:tblGrid>
        <w:gridCol w:w="531"/>
        <w:gridCol w:w="3624"/>
        <w:gridCol w:w="2466"/>
        <w:gridCol w:w="2466"/>
      </w:tblGrid>
      <w:tr w:rsidR="00CA14AB" w:rsidRPr="00E00B35" w:rsidTr="00CA14AB">
        <w:trPr>
          <w:trHeight w:val="255"/>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Lp.</w:t>
            </w:r>
          </w:p>
        </w:tc>
        <w:tc>
          <w:tcPr>
            <w:tcW w:w="3624" w:type="dxa"/>
            <w:tcBorders>
              <w:top w:val="single" w:sz="4" w:space="0" w:color="auto"/>
              <w:left w:val="nil"/>
              <w:bottom w:val="single" w:sz="4" w:space="0" w:color="auto"/>
              <w:right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Wyszczególnienie</w:t>
            </w:r>
          </w:p>
        </w:tc>
        <w:tc>
          <w:tcPr>
            <w:tcW w:w="2466"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 xml:space="preserve">Kwota </w:t>
            </w:r>
            <w:r w:rsidRPr="00E00B35">
              <w:rPr>
                <w:szCs w:val="20"/>
              </w:rPr>
              <w:br/>
              <w:t>[zł]</w:t>
            </w:r>
          </w:p>
        </w:tc>
        <w:tc>
          <w:tcPr>
            <w:tcW w:w="2466"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Średnia miesięczna liczba dzieci</w:t>
            </w:r>
          </w:p>
        </w:tc>
      </w:tr>
      <w:tr w:rsidR="00CA14AB" w:rsidRPr="00E00B35" w:rsidTr="00CA14AB">
        <w:trPr>
          <w:trHeight w:val="255"/>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1.</w:t>
            </w:r>
          </w:p>
        </w:tc>
        <w:tc>
          <w:tcPr>
            <w:tcW w:w="36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Świadczenia wychowawcze</w:t>
            </w:r>
          </w:p>
        </w:tc>
        <w:tc>
          <w:tcPr>
            <w:tcW w:w="246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630 157 401</w:t>
            </w:r>
          </w:p>
        </w:tc>
        <w:tc>
          <w:tcPr>
            <w:tcW w:w="246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104 635</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Świadczenia wychowawcze, świadczenia rodzinne, świadczenia z funduszu alimentacyjnego, składki na ubezpieczenie emerytalne i rentowe z ubezpieczenia społecznego, świadczenia rodzicielskie oraz zasiłek dla opiekunów wypłacane w latach 2016-2020</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2"/>
        <w:gridCol w:w="1433"/>
        <w:gridCol w:w="1433"/>
        <w:gridCol w:w="1433"/>
        <w:gridCol w:w="1433"/>
        <w:gridCol w:w="1607"/>
      </w:tblGrid>
      <w:tr w:rsidR="00CA14AB" w:rsidRPr="00E00B35" w:rsidTr="00CA14AB">
        <w:trPr>
          <w:trHeight w:val="852"/>
        </w:trPr>
        <w:tc>
          <w:tcPr>
            <w:tcW w:w="2012" w:type="dxa"/>
            <w:shd w:val="clear" w:color="auto" w:fill="D9D9D9"/>
          </w:tcPr>
          <w:p w:rsidR="00CA14AB" w:rsidRPr="00E00B35" w:rsidRDefault="00CA14AB" w:rsidP="00E00B35">
            <w:pPr>
              <w:spacing w:after="0" w:line="312" w:lineRule="auto"/>
              <w:rPr>
                <w:szCs w:val="20"/>
              </w:rPr>
            </w:pPr>
            <w:r w:rsidRPr="00E00B35">
              <w:rPr>
                <w:szCs w:val="20"/>
              </w:rPr>
              <w:lastRenderedPageBreak/>
              <w:t>Świadczenia</w:t>
            </w:r>
          </w:p>
        </w:tc>
        <w:tc>
          <w:tcPr>
            <w:tcW w:w="1433" w:type="dxa"/>
            <w:shd w:val="clear" w:color="auto" w:fill="D9D9D9"/>
            <w:vAlign w:val="center"/>
          </w:tcPr>
          <w:p w:rsidR="00CA14AB" w:rsidRPr="00E00B35" w:rsidRDefault="00CA14AB" w:rsidP="00E00B35">
            <w:pPr>
              <w:spacing w:after="0" w:line="312" w:lineRule="auto"/>
              <w:rPr>
                <w:szCs w:val="20"/>
              </w:rPr>
            </w:pPr>
            <w:r w:rsidRPr="00E00B35">
              <w:rPr>
                <w:szCs w:val="20"/>
              </w:rPr>
              <w:t>2016</w:t>
            </w:r>
          </w:p>
          <w:p w:rsidR="00CA14AB" w:rsidRPr="00E00B35" w:rsidRDefault="00CA14AB" w:rsidP="00E00B35">
            <w:pPr>
              <w:spacing w:after="0" w:line="312" w:lineRule="auto"/>
              <w:rPr>
                <w:szCs w:val="20"/>
              </w:rPr>
            </w:pPr>
            <w:r w:rsidRPr="00E00B35">
              <w:rPr>
                <w:szCs w:val="20"/>
              </w:rPr>
              <w:t>[zł]</w:t>
            </w:r>
          </w:p>
        </w:tc>
        <w:tc>
          <w:tcPr>
            <w:tcW w:w="1433" w:type="dxa"/>
            <w:shd w:val="clear" w:color="auto" w:fill="D9D9D9"/>
            <w:vAlign w:val="center"/>
          </w:tcPr>
          <w:p w:rsidR="00CA14AB" w:rsidRPr="00E00B35" w:rsidRDefault="00CA14AB" w:rsidP="00E00B35">
            <w:pPr>
              <w:spacing w:after="0" w:line="312" w:lineRule="auto"/>
              <w:rPr>
                <w:szCs w:val="20"/>
              </w:rPr>
            </w:pPr>
            <w:r w:rsidRPr="00E00B35">
              <w:rPr>
                <w:szCs w:val="20"/>
              </w:rPr>
              <w:t>2017</w:t>
            </w:r>
          </w:p>
          <w:p w:rsidR="00CA14AB" w:rsidRPr="00E00B35" w:rsidRDefault="00CA14AB" w:rsidP="00E00B35">
            <w:pPr>
              <w:spacing w:after="0" w:line="312" w:lineRule="auto"/>
              <w:rPr>
                <w:szCs w:val="20"/>
              </w:rPr>
            </w:pPr>
            <w:r w:rsidRPr="00E00B35">
              <w:rPr>
                <w:szCs w:val="20"/>
              </w:rPr>
              <w:t>[zł]</w:t>
            </w:r>
          </w:p>
        </w:tc>
        <w:tc>
          <w:tcPr>
            <w:tcW w:w="1433" w:type="dxa"/>
            <w:shd w:val="clear" w:color="auto" w:fill="D9D9D9"/>
            <w:vAlign w:val="center"/>
          </w:tcPr>
          <w:p w:rsidR="00CA14AB" w:rsidRPr="00E00B35" w:rsidRDefault="00CA14AB" w:rsidP="00E00B35">
            <w:pPr>
              <w:spacing w:after="0" w:line="312" w:lineRule="auto"/>
              <w:rPr>
                <w:szCs w:val="20"/>
              </w:rPr>
            </w:pPr>
            <w:r w:rsidRPr="00E00B35">
              <w:rPr>
                <w:szCs w:val="20"/>
              </w:rPr>
              <w:t>2018</w:t>
            </w:r>
          </w:p>
          <w:p w:rsidR="00CA14AB" w:rsidRPr="00E00B35" w:rsidRDefault="00CA14AB" w:rsidP="00E00B35">
            <w:pPr>
              <w:spacing w:after="0" w:line="312" w:lineRule="auto"/>
              <w:rPr>
                <w:szCs w:val="20"/>
              </w:rPr>
            </w:pPr>
            <w:r w:rsidRPr="00E00B35">
              <w:rPr>
                <w:szCs w:val="20"/>
              </w:rPr>
              <w:t>[zł]</w:t>
            </w:r>
          </w:p>
        </w:tc>
        <w:tc>
          <w:tcPr>
            <w:tcW w:w="1433" w:type="dxa"/>
            <w:shd w:val="clear" w:color="auto" w:fill="D9D9D9"/>
            <w:vAlign w:val="center"/>
          </w:tcPr>
          <w:p w:rsidR="00CA14AB" w:rsidRPr="00E00B35" w:rsidRDefault="00CA14AB" w:rsidP="00E00B35">
            <w:pPr>
              <w:spacing w:after="0" w:line="312" w:lineRule="auto"/>
              <w:rPr>
                <w:szCs w:val="20"/>
              </w:rPr>
            </w:pPr>
            <w:r w:rsidRPr="00E00B35">
              <w:rPr>
                <w:szCs w:val="20"/>
              </w:rPr>
              <w:t>2019</w:t>
            </w:r>
          </w:p>
          <w:p w:rsidR="00CA14AB" w:rsidRPr="00E00B35" w:rsidRDefault="00CA14AB" w:rsidP="00E00B35">
            <w:pPr>
              <w:spacing w:after="0" w:line="312" w:lineRule="auto"/>
              <w:rPr>
                <w:szCs w:val="20"/>
              </w:rPr>
            </w:pPr>
            <w:r w:rsidRPr="00E00B35">
              <w:rPr>
                <w:szCs w:val="20"/>
              </w:rPr>
              <w:t>[zł]</w:t>
            </w:r>
          </w:p>
        </w:tc>
        <w:tc>
          <w:tcPr>
            <w:tcW w:w="1607" w:type="dxa"/>
            <w:shd w:val="clear" w:color="auto" w:fill="D9D9D9"/>
            <w:vAlign w:val="center"/>
          </w:tcPr>
          <w:p w:rsidR="00CA14AB" w:rsidRPr="00E00B35" w:rsidRDefault="00CA14AB" w:rsidP="00E00B35">
            <w:pPr>
              <w:spacing w:after="0" w:line="312" w:lineRule="auto"/>
              <w:rPr>
                <w:szCs w:val="20"/>
              </w:rPr>
            </w:pPr>
            <w:r w:rsidRPr="00E00B35">
              <w:rPr>
                <w:szCs w:val="20"/>
              </w:rPr>
              <w:t>2020</w:t>
            </w:r>
          </w:p>
          <w:p w:rsidR="00CA14AB" w:rsidRPr="00E00B35" w:rsidRDefault="00CA14AB" w:rsidP="00E00B35">
            <w:pPr>
              <w:spacing w:after="0" w:line="312" w:lineRule="auto"/>
              <w:rPr>
                <w:szCs w:val="20"/>
              </w:rPr>
            </w:pPr>
            <w:r w:rsidRPr="00E00B35">
              <w:rPr>
                <w:szCs w:val="20"/>
              </w:rPr>
              <w:t>[zł]</w:t>
            </w:r>
          </w:p>
        </w:tc>
      </w:tr>
      <w:tr w:rsidR="00CA14AB" w:rsidRPr="00E00B35" w:rsidTr="00CA14AB">
        <w:trPr>
          <w:trHeight w:val="725"/>
        </w:trPr>
        <w:tc>
          <w:tcPr>
            <w:tcW w:w="2012" w:type="dxa"/>
            <w:shd w:val="clear" w:color="auto" w:fill="D9D9D9"/>
            <w:vAlign w:val="center"/>
          </w:tcPr>
          <w:p w:rsidR="00CA14AB" w:rsidRPr="00E00B35" w:rsidRDefault="00CA14AB" w:rsidP="00E00B35">
            <w:pPr>
              <w:spacing w:after="0" w:line="312" w:lineRule="auto"/>
              <w:rPr>
                <w:szCs w:val="20"/>
              </w:rPr>
            </w:pPr>
            <w:r w:rsidRPr="00E00B35">
              <w:rPr>
                <w:szCs w:val="20"/>
              </w:rPr>
              <w:t>Świadczenia wychowawcze</w:t>
            </w:r>
          </w:p>
        </w:tc>
        <w:tc>
          <w:tcPr>
            <w:tcW w:w="1433" w:type="dxa"/>
            <w:vAlign w:val="center"/>
          </w:tcPr>
          <w:p w:rsidR="00CA14AB" w:rsidRPr="00E00B35" w:rsidRDefault="00CA14AB" w:rsidP="00E00B35">
            <w:pPr>
              <w:spacing w:after="0" w:line="312" w:lineRule="auto"/>
              <w:rPr>
                <w:szCs w:val="20"/>
              </w:rPr>
            </w:pPr>
            <w:r w:rsidRPr="00E00B35">
              <w:rPr>
                <w:szCs w:val="20"/>
              </w:rPr>
              <w:t>179 770 458</w:t>
            </w:r>
          </w:p>
        </w:tc>
        <w:tc>
          <w:tcPr>
            <w:tcW w:w="1433" w:type="dxa"/>
            <w:vAlign w:val="center"/>
          </w:tcPr>
          <w:p w:rsidR="00CA14AB" w:rsidRPr="00E00B35" w:rsidRDefault="00CA14AB" w:rsidP="00E00B35">
            <w:pPr>
              <w:spacing w:after="0" w:line="312" w:lineRule="auto"/>
              <w:rPr>
                <w:szCs w:val="20"/>
              </w:rPr>
            </w:pPr>
            <w:r w:rsidRPr="00E00B35">
              <w:rPr>
                <w:szCs w:val="20"/>
              </w:rPr>
              <w:t>250 052 041</w:t>
            </w:r>
          </w:p>
        </w:tc>
        <w:tc>
          <w:tcPr>
            <w:tcW w:w="1433" w:type="dxa"/>
            <w:vAlign w:val="center"/>
          </w:tcPr>
          <w:p w:rsidR="00CA14AB" w:rsidRPr="00E00B35" w:rsidRDefault="00CA14AB" w:rsidP="00E00B35">
            <w:pPr>
              <w:spacing w:after="0" w:line="312" w:lineRule="auto"/>
              <w:rPr>
                <w:szCs w:val="20"/>
              </w:rPr>
            </w:pPr>
            <w:r w:rsidRPr="00E00B35">
              <w:rPr>
                <w:szCs w:val="20"/>
              </w:rPr>
              <w:t>247 536 560</w:t>
            </w:r>
          </w:p>
        </w:tc>
        <w:tc>
          <w:tcPr>
            <w:tcW w:w="1433" w:type="dxa"/>
            <w:vAlign w:val="center"/>
          </w:tcPr>
          <w:p w:rsidR="00CA14AB" w:rsidRPr="00E00B35" w:rsidRDefault="00CA14AB" w:rsidP="00E00B35">
            <w:pPr>
              <w:spacing w:after="0" w:line="312" w:lineRule="auto"/>
              <w:rPr>
                <w:szCs w:val="20"/>
              </w:rPr>
            </w:pPr>
            <w:r w:rsidRPr="00E00B35">
              <w:rPr>
                <w:szCs w:val="20"/>
              </w:rPr>
              <w:t>428 184 357</w:t>
            </w:r>
          </w:p>
        </w:tc>
        <w:tc>
          <w:tcPr>
            <w:tcW w:w="1607" w:type="dxa"/>
            <w:vAlign w:val="center"/>
          </w:tcPr>
          <w:p w:rsidR="00CA14AB" w:rsidRPr="00E00B35" w:rsidRDefault="00CA14AB" w:rsidP="00E00B35">
            <w:pPr>
              <w:spacing w:after="0" w:line="312" w:lineRule="auto"/>
              <w:rPr>
                <w:szCs w:val="20"/>
              </w:rPr>
            </w:pPr>
            <w:r w:rsidRPr="00E00B35">
              <w:rPr>
                <w:szCs w:val="20"/>
              </w:rPr>
              <w:t>630 157 401</w:t>
            </w:r>
          </w:p>
        </w:tc>
      </w:tr>
      <w:tr w:rsidR="00CA14AB" w:rsidRPr="00E00B35" w:rsidTr="00CA14AB">
        <w:tc>
          <w:tcPr>
            <w:tcW w:w="2012" w:type="dxa"/>
            <w:shd w:val="clear" w:color="auto" w:fill="D9D9D9"/>
            <w:vAlign w:val="bottom"/>
          </w:tcPr>
          <w:p w:rsidR="00CA14AB" w:rsidRPr="00E00B35" w:rsidRDefault="00CA14AB" w:rsidP="00E00B35">
            <w:pPr>
              <w:spacing w:after="0" w:line="312" w:lineRule="auto"/>
              <w:rPr>
                <w:szCs w:val="20"/>
              </w:rPr>
            </w:pPr>
            <w:r w:rsidRPr="00E00B35">
              <w:rPr>
                <w:szCs w:val="20"/>
              </w:rPr>
              <w:t>Świadczenia rodzinne bez jednorazowej zapomogi z tytułu urodzenia dziecka i świadczenia rodzicielskiego</w:t>
            </w:r>
          </w:p>
        </w:tc>
        <w:tc>
          <w:tcPr>
            <w:tcW w:w="1433" w:type="dxa"/>
            <w:vAlign w:val="center"/>
          </w:tcPr>
          <w:p w:rsidR="00CA14AB" w:rsidRPr="00E00B35" w:rsidRDefault="00CA14AB" w:rsidP="00E00B35">
            <w:pPr>
              <w:spacing w:after="0" w:line="312" w:lineRule="auto"/>
              <w:rPr>
                <w:szCs w:val="20"/>
              </w:rPr>
            </w:pPr>
            <w:r w:rsidRPr="00E00B35">
              <w:rPr>
                <w:szCs w:val="20"/>
              </w:rPr>
              <w:t>49 296 489</w:t>
            </w:r>
          </w:p>
        </w:tc>
        <w:tc>
          <w:tcPr>
            <w:tcW w:w="1433" w:type="dxa"/>
            <w:vAlign w:val="center"/>
          </w:tcPr>
          <w:p w:rsidR="00CA14AB" w:rsidRPr="00E00B35" w:rsidRDefault="00CA14AB" w:rsidP="00E00B35">
            <w:pPr>
              <w:spacing w:after="0" w:line="312" w:lineRule="auto"/>
              <w:rPr>
                <w:szCs w:val="20"/>
              </w:rPr>
            </w:pPr>
            <w:r w:rsidRPr="00E00B35">
              <w:rPr>
                <w:szCs w:val="20"/>
              </w:rPr>
              <w:t xml:space="preserve">53 668 475 </w:t>
            </w:r>
          </w:p>
          <w:p w:rsidR="00CA14AB" w:rsidRPr="00E00B35" w:rsidRDefault="00CA14AB" w:rsidP="00E00B35">
            <w:pPr>
              <w:spacing w:after="0" w:line="312" w:lineRule="auto"/>
              <w:rPr>
                <w:szCs w:val="20"/>
              </w:rPr>
            </w:pPr>
          </w:p>
        </w:tc>
        <w:tc>
          <w:tcPr>
            <w:tcW w:w="1433" w:type="dxa"/>
            <w:vAlign w:val="center"/>
          </w:tcPr>
          <w:p w:rsidR="00CA14AB" w:rsidRPr="00E00B35" w:rsidRDefault="00CA14AB" w:rsidP="00E00B35">
            <w:pPr>
              <w:spacing w:after="0" w:line="312" w:lineRule="auto"/>
              <w:rPr>
                <w:szCs w:val="20"/>
              </w:rPr>
            </w:pPr>
            <w:r w:rsidRPr="00E00B35">
              <w:rPr>
                <w:szCs w:val="20"/>
              </w:rPr>
              <w:t>59 001 875</w:t>
            </w:r>
          </w:p>
        </w:tc>
        <w:tc>
          <w:tcPr>
            <w:tcW w:w="1433" w:type="dxa"/>
            <w:vAlign w:val="center"/>
          </w:tcPr>
          <w:p w:rsidR="00CA14AB" w:rsidRPr="00E00B35" w:rsidRDefault="00CA14AB" w:rsidP="00E00B35">
            <w:pPr>
              <w:spacing w:after="0" w:line="312" w:lineRule="auto"/>
              <w:rPr>
                <w:szCs w:val="20"/>
              </w:rPr>
            </w:pPr>
            <w:r w:rsidRPr="00E00B35">
              <w:rPr>
                <w:szCs w:val="20"/>
              </w:rPr>
              <w:t>62 300 292</w:t>
            </w:r>
          </w:p>
        </w:tc>
        <w:tc>
          <w:tcPr>
            <w:tcW w:w="1607" w:type="dxa"/>
            <w:vAlign w:val="center"/>
          </w:tcPr>
          <w:p w:rsidR="00CA14AB" w:rsidRPr="00E00B35" w:rsidRDefault="00CA14AB" w:rsidP="00E00B35">
            <w:pPr>
              <w:spacing w:after="0" w:line="312" w:lineRule="auto"/>
              <w:rPr>
                <w:szCs w:val="20"/>
              </w:rPr>
            </w:pPr>
            <w:r w:rsidRPr="00E00B35">
              <w:rPr>
                <w:szCs w:val="20"/>
              </w:rPr>
              <w:t>63 622 753</w:t>
            </w:r>
          </w:p>
        </w:tc>
      </w:tr>
      <w:tr w:rsidR="00CA14AB" w:rsidRPr="00E00B35" w:rsidTr="00CA14AB">
        <w:tc>
          <w:tcPr>
            <w:tcW w:w="2012" w:type="dxa"/>
            <w:shd w:val="clear" w:color="auto" w:fill="D9D9D9"/>
            <w:vAlign w:val="bottom"/>
          </w:tcPr>
          <w:p w:rsidR="00CA14AB" w:rsidRPr="00E00B35" w:rsidRDefault="00CA14AB" w:rsidP="00E00B35">
            <w:pPr>
              <w:spacing w:after="0" w:line="312" w:lineRule="auto"/>
              <w:rPr>
                <w:szCs w:val="20"/>
              </w:rPr>
            </w:pPr>
            <w:r w:rsidRPr="00E00B35">
              <w:rPr>
                <w:szCs w:val="20"/>
              </w:rPr>
              <w:t>Jednorazowa zapomoga z tytułu urodzenia dziecka</w:t>
            </w:r>
          </w:p>
        </w:tc>
        <w:tc>
          <w:tcPr>
            <w:tcW w:w="1433" w:type="dxa"/>
            <w:vAlign w:val="center"/>
          </w:tcPr>
          <w:p w:rsidR="00CA14AB" w:rsidRPr="00E00B35" w:rsidRDefault="00CA14AB" w:rsidP="00E00B35">
            <w:pPr>
              <w:spacing w:after="0" w:line="312" w:lineRule="auto"/>
              <w:rPr>
                <w:szCs w:val="20"/>
              </w:rPr>
            </w:pPr>
            <w:r w:rsidRPr="00E00B35">
              <w:rPr>
                <w:szCs w:val="20"/>
              </w:rPr>
              <w:t xml:space="preserve">3  706 000 </w:t>
            </w:r>
          </w:p>
        </w:tc>
        <w:tc>
          <w:tcPr>
            <w:tcW w:w="1433" w:type="dxa"/>
            <w:vAlign w:val="center"/>
          </w:tcPr>
          <w:p w:rsidR="00CA14AB" w:rsidRPr="00E00B35" w:rsidRDefault="00CA14AB" w:rsidP="00E00B35">
            <w:pPr>
              <w:spacing w:after="0" w:line="312" w:lineRule="auto"/>
              <w:rPr>
                <w:szCs w:val="20"/>
              </w:rPr>
            </w:pPr>
            <w:r w:rsidRPr="00E00B35">
              <w:rPr>
                <w:szCs w:val="20"/>
              </w:rPr>
              <w:t>3 229 000</w:t>
            </w:r>
          </w:p>
        </w:tc>
        <w:tc>
          <w:tcPr>
            <w:tcW w:w="1433" w:type="dxa"/>
            <w:vAlign w:val="center"/>
          </w:tcPr>
          <w:p w:rsidR="00CA14AB" w:rsidRPr="00E00B35" w:rsidRDefault="00CA14AB" w:rsidP="00E00B35">
            <w:pPr>
              <w:spacing w:after="0" w:line="312" w:lineRule="auto"/>
              <w:rPr>
                <w:szCs w:val="20"/>
              </w:rPr>
            </w:pPr>
            <w:r w:rsidRPr="00E00B35">
              <w:rPr>
                <w:szCs w:val="20"/>
              </w:rPr>
              <w:t>3 092 000</w:t>
            </w:r>
          </w:p>
        </w:tc>
        <w:tc>
          <w:tcPr>
            <w:tcW w:w="1433" w:type="dxa"/>
            <w:vAlign w:val="center"/>
          </w:tcPr>
          <w:p w:rsidR="00CA14AB" w:rsidRPr="00E00B35" w:rsidRDefault="00CA14AB" w:rsidP="00E00B35">
            <w:pPr>
              <w:spacing w:after="0" w:line="312" w:lineRule="auto"/>
              <w:rPr>
                <w:szCs w:val="20"/>
              </w:rPr>
            </w:pPr>
            <w:r w:rsidRPr="00E00B35">
              <w:rPr>
                <w:szCs w:val="20"/>
              </w:rPr>
              <w:t>2 517 000</w:t>
            </w:r>
          </w:p>
        </w:tc>
        <w:tc>
          <w:tcPr>
            <w:tcW w:w="1607" w:type="dxa"/>
            <w:vAlign w:val="center"/>
          </w:tcPr>
          <w:p w:rsidR="00CA14AB" w:rsidRPr="00E00B35" w:rsidRDefault="00CA14AB" w:rsidP="00E00B35">
            <w:pPr>
              <w:spacing w:after="0" w:line="312" w:lineRule="auto"/>
              <w:rPr>
                <w:szCs w:val="20"/>
              </w:rPr>
            </w:pPr>
            <w:r w:rsidRPr="00E00B35">
              <w:rPr>
                <w:szCs w:val="20"/>
              </w:rPr>
              <w:t>1 792 000</w:t>
            </w:r>
          </w:p>
        </w:tc>
      </w:tr>
      <w:tr w:rsidR="00CA14AB" w:rsidRPr="00E00B35" w:rsidTr="00CA14AB">
        <w:tc>
          <w:tcPr>
            <w:tcW w:w="2012" w:type="dxa"/>
            <w:shd w:val="clear" w:color="auto" w:fill="D9D9D9"/>
            <w:vAlign w:val="center"/>
          </w:tcPr>
          <w:p w:rsidR="00CA14AB" w:rsidRPr="00E00B35" w:rsidRDefault="00CA14AB" w:rsidP="00E00B35">
            <w:pPr>
              <w:spacing w:after="0" w:line="312" w:lineRule="auto"/>
              <w:rPr>
                <w:szCs w:val="20"/>
              </w:rPr>
            </w:pPr>
            <w:r w:rsidRPr="00E00B35">
              <w:rPr>
                <w:szCs w:val="20"/>
              </w:rPr>
              <w:t>Świadczenie rodzicielskie</w:t>
            </w:r>
          </w:p>
        </w:tc>
        <w:tc>
          <w:tcPr>
            <w:tcW w:w="1433" w:type="dxa"/>
            <w:vAlign w:val="center"/>
          </w:tcPr>
          <w:p w:rsidR="00CA14AB" w:rsidRPr="00E00B35" w:rsidRDefault="00CA14AB" w:rsidP="00E00B35">
            <w:pPr>
              <w:spacing w:after="0" w:line="312" w:lineRule="auto"/>
              <w:rPr>
                <w:szCs w:val="20"/>
              </w:rPr>
            </w:pPr>
            <w:r w:rsidRPr="00E00B35">
              <w:rPr>
                <w:szCs w:val="20"/>
              </w:rPr>
              <w:t>8 670 196</w:t>
            </w:r>
          </w:p>
        </w:tc>
        <w:tc>
          <w:tcPr>
            <w:tcW w:w="1433" w:type="dxa"/>
            <w:vAlign w:val="center"/>
          </w:tcPr>
          <w:p w:rsidR="00CA14AB" w:rsidRPr="00E00B35" w:rsidRDefault="00CA14AB" w:rsidP="00E00B35">
            <w:pPr>
              <w:spacing w:after="0" w:line="312" w:lineRule="auto"/>
              <w:rPr>
                <w:szCs w:val="20"/>
              </w:rPr>
            </w:pPr>
            <w:r w:rsidRPr="00E00B35">
              <w:rPr>
                <w:szCs w:val="20"/>
              </w:rPr>
              <w:t>10 519 380</w:t>
            </w:r>
          </w:p>
        </w:tc>
        <w:tc>
          <w:tcPr>
            <w:tcW w:w="1433" w:type="dxa"/>
            <w:vAlign w:val="center"/>
          </w:tcPr>
          <w:p w:rsidR="00CA14AB" w:rsidRPr="00E00B35" w:rsidRDefault="00CA14AB" w:rsidP="00E00B35">
            <w:pPr>
              <w:spacing w:after="0" w:line="312" w:lineRule="auto"/>
              <w:rPr>
                <w:szCs w:val="20"/>
              </w:rPr>
            </w:pPr>
            <w:r w:rsidRPr="00E00B35">
              <w:rPr>
                <w:szCs w:val="20"/>
              </w:rPr>
              <w:t>10 617 335</w:t>
            </w:r>
          </w:p>
        </w:tc>
        <w:tc>
          <w:tcPr>
            <w:tcW w:w="1433" w:type="dxa"/>
            <w:vAlign w:val="center"/>
          </w:tcPr>
          <w:p w:rsidR="00CA14AB" w:rsidRPr="00E00B35" w:rsidRDefault="00CA14AB" w:rsidP="00E00B35">
            <w:pPr>
              <w:spacing w:after="0" w:line="312" w:lineRule="auto"/>
              <w:rPr>
                <w:szCs w:val="20"/>
              </w:rPr>
            </w:pPr>
            <w:r w:rsidRPr="00E00B35">
              <w:rPr>
                <w:szCs w:val="20"/>
              </w:rPr>
              <w:t>9 963 802</w:t>
            </w:r>
          </w:p>
        </w:tc>
        <w:tc>
          <w:tcPr>
            <w:tcW w:w="1607" w:type="dxa"/>
            <w:vAlign w:val="center"/>
          </w:tcPr>
          <w:p w:rsidR="00CA14AB" w:rsidRPr="00E00B35" w:rsidRDefault="00CA14AB" w:rsidP="00E00B35">
            <w:pPr>
              <w:spacing w:after="0" w:line="312" w:lineRule="auto"/>
              <w:rPr>
                <w:szCs w:val="20"/>
              </w:rPr>
            </w:pPr>
            <w:r w:rsidRPr="00E00B35">
              <w:rPr>
                <w:szCs w:val="20"/>
              </w:rPr>
              <w:t>8 981 215</w:t>
            </w:r>
          </w:p>
        </w:tc>
      </w:tr>
      <w:tr w:rsidR="00CA14AB" w:rsidRPr="00E00B35" w:rsidTr="00CA14AB">
        <w:tc>
          <w:tcPr>
            <w:tcW w:w="2012" w:type="dxa"/>
            <w:shd w:val="clear" w:color="auto" w:fill="D9D9D9"/>
            <w:vAlign w:val="center"/>
          </w:tcPr>
          <w:p w:rsidR="00CA14AB" w:rsidRPr="00E00B35" w:rsidRDefault="00CA14AB" w:rsidP="00E00B35">
            <w:pPr>
              <w:spacing w:after="0" w:line="312" w:lineRule="auto"/>
              <w:rPr>
                <w:szCs w:val="20"/>
              </w:rPr>
            </w:pPr>
            <w:r w:rsidRPr="00E00B35">
              <w:rPr>
                <w:szCs w:val="20"/>
              </w:rPr>
              <w:t>Składki na ubezpieczenie emerytalno-rentowe opłacane za uprawnionych klientów</w:t>
            </w:r>
          </w:p>
        </w:tc>
        <w:tc>
          <w:tcPr>
            <w:tcW w:w="1433" w:type="dxa"/>
            <w:vAlign w:val="center"/>
          </w:tcPr>
          <w:p w:rsidR="00CA14AB" w:rsidRPr="00E00B35" w:rsidRDefault="00CA14AB" w:rsidP="00E00B35">
            <w:pPr>
              <w:spacing w:after="0" w:line="312" w:lineRule="auto"/>
              <w:rPr>
                <w:szCs w:val="20"/>
              </w:rPr>
            </w:pPr>
            <w:r w:rsidRPr="00E00B35">
              <w:rPr>
                <w:szCs w:val="20"/>
              </w:rPr>
              <w:t>3 400 000</w:t>
            </w:r>
          </w:p>
        </w:tc>
        <w:tc>
          <w:tcPr>
            <w:tcW w:w="1433" w:type="dxa"/>
            <w:vAlign w:val="center"/>
          </w:tcPr>
          <w:p w:rsidR="00CA14AB" w:rsidRPr="00E00B35" w:rsidRDefault="00CA14AB" w:rsidP="00E00B35">
            <w:pPr>
              <w:spacing w:after="0" w:line="312" w:lineRule="auto"/>
              <w:rPr>
                <w:szCs w:val="20"/>
              </w:rPr>
            </w:pPr>
            <w:r w:rsidRPr="00E00B35">
              <w:rPr>
                <w:szCs w:val="20"/>
              </w:rPr>
              <w:t>3 505 866</w:t>
            </w:r>
          </w:p>
        </w:tc>
        <w:tc>
          <w:tcPr>
            <w:tcW w:w="1433" w:type="dxa"/>
            <w:vAlign w:val="center"/>
          </w:tcPr>
          <w:p w:rsidR="00CA14AB" w:rsidRPr="00E00B35" w:rsidRDefault="00CA14AB" w:rsidP="00E00B35">
            <w:pPr>
              <w:spacing w:after="0" w:line="312" w:lineRule="auto"/>
              <w:rPr>
                <w:szCs w:val="20"/>
              </w:rPr>
            </w:pPr>
            <w:r w:rsidRPr="00E00B35">
              <w:rPr>
                <w:szCs w:val="20"/>
              </w:rPr>
              <w:t>3 756 420</w:t>
            </w:r>
          </w:p>
        </w:tc>
        <w:tc>
          <w:tcPr>
            <w:tcW w:w="1433" w:type="dxa"/>
            <w:vAlign w:val="center"/>
          </w:tcPr>
          <w:p w:rsidR="00CA14AB" w:rsidRPr="00E00B35" w:rsidRDefault="00CA14AB" w:rsidP="00E00B35">
            <w:pPr>
              <w:spacing w:after="0" w:line="312" w:lineRule="auto"/>
              <w:rPr>
                <w:szCs w:val="20"/>
              </w:rPr>
            </w:pPr>
            <w:r w:rsidRPr="00E00B35">
              <w:rPr>
                <w:szCs w:val="20"/>
              </w:rPr>
              <w:t>3 783 514</w:t>
            </w:r>
          </w:p>
        </w:tc>
        <w:tc>
          <w:tcPr>
            <w:tcW w:w="1607" w:type="dxa"/>
            <w:vAlign w:val="center"/>
          </w:tcPr>
          <w:p w:rsidR="00CA14AB" w:rsidRPr="00E00B35" w:rsidRDefault="00CA14AB" w:rsidP="00E00B35">
            <w:pPr>
              <w:spacing w:after="0" w:line="312" w:lineRule="auto"/>
              <w:rPr>
                <w:szCs w:val="20"/>
              </w:rPr>
            </w:pPr>
            <w:r w:rsidRPr="00E00B35">
              <w:rPr>
                <w:szCs w:val="20"/>
              </w:rPr>
              <w:t>4 528 977</w:t>
            </w:r>
          </w:p>
        </w:tc>
      </w:tr>
      <w:tr w:rsidR="00CA14AB" w:rsidRPr="00E00B35" w:rsidTr="00CA14AB">
        <w:tc>
          <w:tcPr>
            <w:tcW w:w="2012" w:type="dxa"/>
            <w:shd w:val="clear" w:color="auto" w:fill="D9D9D9"/>
            <w:vAlign w:val="bottom"/>
          </w:tcPr>
          <w:p w:rsidR="00CA14AB" w:rsidRPr="00E00B35" w:rsidRDefault="00CA14AB" w:rsidP="00E00B35">
            <w:pPr>
              <w:spacing w:after="0" w:line="312" w:lineRule="auto"/>
              <w:rPr>
                <w:szCs w:val="20"/>
              </w:rPr>
            </w:pPr>
            <w:r w:rsidRPr="00E00B35">
              <w:rPr>
                <w:szCs w:val="20"/>
              </w:rPr>
              <w:t>Wydatki na świadczenia z funduszu alimentacyjnego</w:t>
            </w:r>
          </w:p>
        </w:tc>
        <w:tc>
          <w:tcPr>
            <w:tcW w:w="1433" w:type="dxa"/>
            <w:vAlign w:val="center"/>
          </w:tcPr>
          <w:p w:rsidR="00CA14AB" w:rsidRPr="00E00B35" w:rsidRDefault="00CA14AB" w:rsidP="00E00B35">
            <w:pPr>
              <w:spacing w:after="0" w:line="312" w:lineRule="auto"/>
              <w:rPr>
                <w:szCs w:val="20"/>
              </w:rPr>
            </w:pPr>
            <w:r w:rsidRPr="00E00B35">
              <w:rPr>
                <w:szCs w:val="20"/>
              </w:rPr>
              <w:t>18 444 389</w:t>
            </w:r>
          </w:p>
        </w:tc>
        <w:tc>
          <w:tcPr>
            <w:tcW w:w="1433" w:type="dxa"/>
            <w:vAlign w:val="center"/>
          </w:tcPr>
          <w:p w:rsidR="00CA14AB" w:rsidRPr="00E00B35" w:rsidRDefault="00CA14AB" w:rsidP="00E00B35">
            <w:pPr>
              <w:spacing w:after="0" w:line="312" w:lineRule="auto"/>
              <w:rPr>
                <w:szCs w:val="20"/>
              </w:rPr>
            </w:pPr>
            <w:r w:rsidRPr="00E00B35">
              <w:rPr>
                <w:szCs w:val="20"/>
              </w:rPr>
              <w:t>16 943 274</w:t>
            </w:r>
          </w:p>
        </w:tc>
        <w:tc>
          <w:tcPr>
            <w:tcW w:w="1433" w:type="dxa"/>
            <w:vAlign w:val="center"/>
          </w:tcPr>
          <w:p w:rsidR="00CA14AB" w:rsidRPr="00E00B35" w:rsidRDefault="00CA14AB" w:rsidP="00E00B35">
            <w:pPr>
              <w:spacing w:after="0" w:line="312" w:lineRule="auto"/>
              <w:rPr>
                <w:szCs w:val="20"/>
              </w:rPr>
            </w:pPr>
            <w:r w:rsidRPr="00E00B35">
              <w:rPr>
                <w:szCs w:val="20"/>
              </w:rPr>
              <w:t>15 539 546</w:t>
            </w:r>
          </w:p>
        </w:tc>
        <w:tc>
          <w:tcPr>
            <w:tcW w:w="1433" w:type="dxa"/>
            <w:vAlign w:val="center"/>
          </w:tcPr>
          <w:p w:rsidR="00CA14AB" w:rsidRPr="00E00B35" w:rsidRDefault="00CA14AB" w:rsidP="00E00B35">
            <w:pPr>
              <w:spacing w:after="0" w:line="312" w:lineRule="auto"/>
              <w:rPr>
                <w:szCs w:val="20"/>
              </w:rPr>
            </w:pPr>
            <w:r w:rsidRPr="00E00B35">
              <w:rPr>
                <w:szCs w:val="20"/>
              </w:rPr>
              <w:t>13 745 244</w:t>
            </w:r>
          </w:p>
        </w:tc>
        <w:tc>
          <w:tcPr>
            <w:tcW w:w="1607" w:type="dxa"/>
            <w:vAlign w:val="center"/>
          </w:tcPr>
          <w:p w:rsidR="00CA14AB" w:rsidRPr="00E00B35" w:rsidRDefault="00CA14AB" w:rsidP="00E00B35">
            <w:pPr>
              <w:spacing w:after="0" w:line="312" w:lineRule="auto"/>
              <w:rPr>
                <w:szCs w:val="20"/>
              </w:rPr>
            </w:pPr>
            <w:r w:rsidRPr="00E00B35">
              <w:rPr>
                <w:szCs w:val="20"/>
              </w:rPr>
              <w:t>12 252 091</w:t>
            </w:r>
          </w:p>
        </w:tc>
      </w:tr>
      <w:tr w:rsidR="00CA14AB" w:rsidRPr="00E00B35" w:rsidTr="00CA14AB">
        <w:tc>
          <w:tcPr>
            <w:tcW w:w="2012" w:type="dxa"/>
            <w:shd w:val="clear" w:color="auto" w:fill="D9D9D9"/>
            <w:vAlign w:val="bottom"/>
          </w:tcPr>
          <w:p w:rsidR="00CA14AB" w:rsidRPr="00E00B35" w:rsidRDefault="00CA14AB" w:rsidP="00E00B35">
            <w:pPr>
              <w:spacing w:after="0" w:line="312" w:lineRule="auto"/>
              <w:rPr>
                <w:szCs w:val="20"/>
              </w:rPr>
            </w:pPr>
            <w:r w:rsidRPr="00E00B35">
              <w:rPr>
                <w:szCs w:val="20"/>
              </w:rPr>
              <w:t>Zasiłek dla opiekuna łącznie z odsetkami</w:t>
            </w:r>
          </w:p>
        </w:tc>
        <w:tc>
          <w:tcPr>
            <w:tcW w:w="1433" w:type="dxa"/>
            <w:vAlign w:val="center"/>
          </w:tcPr>
          <w:p w:rsidR="00CA14AB" w:rsidRPr="00E00B35" w:rsidRDefault="00CA14AB" w:rsidP="00E00B35">
            <w:pPr>
              <w:spacing w:after="0" w:line="312" w:lineRule="auto"/>
              <w:rPr>
                <w:szCs w:val="20"/>
              </w:rPr>
            </w:pPr>
            <w:r w:rsidRPr="00E00B35">
              <w:rPr>
                <w:szCs w:val="20"/>
              </w:rPr>
              <w:t>900 992</w:t>
            </w:r>
          </w:p>
        </w:tc>
        <w:tc>
          <w:tcPr>
            <w:tcW w:w="1433" w:type="dxa"/>
            <w:vAlign w:val="center"/>
          </w:tcPr>
          <w:p w:rsidR="00CA14AB" w:rsidRPr="00E00B35" w:rsidRDefault="00CA14AB" w:rsidP="00E00B35">
            <w:pPr>
              <w:spacing w:after="0" w:line="312" w:lineRule="auto"/>
              <w:rPr>
                <w:szCs w:val="20"/>
              </w:rPr>
            </w:pPr>
            <w:r w:rsidRPr="00E00B35">
              <w:rPr>
                <w:szCs w:val="20"/>
              </w:rPr>
              <w:t>683 966</w:t>
            </w:r>
          </w:p>
        </w:tc>
        <w:tc>
          <w:tcPr>
            <w:tcW w:w="1433" w:type="dxa"/>
            <w:vAlign w:val="center"/>
          </w:tcPr>
          <w:p w:rsidR="00CA14AB" w:rsidRPr="00E00B35" w:rsidRDefault="00CA14AB" w:rsidP="00E00B35">
            <w:pPr>
              <w:spacing w:after="0" w:line="312" w:lineRule="auto"/>
              <w:rPr>
                <w:szCs w:val="20"/>
              </w:rPr>
            </w:pPr>
            <w:r w:rsidRPr="00E00B35">
              <w:rPr>
                <w:szCs w:val="20"/>
              </w:rPr>
              <w:t>447 312</w:t>
            </w:r>
          </w:p>
        </w:tc>
        <w:tc>
          <w:tcPr>
            <w:tcW w:w="1433" w:type="dxa"/>
            <w:vAlign w:val="center"/>
          </w:tcPr>
          <w:p w:rsidR="00CA14AB" w:rsidRPr="00E00B35" w:rsidRDefault="00CA14AB" w:rsidP="00E00B35">
            <w:pPr>
              <w:spacing w:after="0" w:line="312" w:lineRule="auto"/>
              <w:rPr>
                <w:szCs w:val="20"/>
              </w:rPr>
            </w:pPr>
            <w:r w:rsidRPr="00E00B35">
              <w:rPr>
                <w:szCs w:val="20"/>
              </w:rPr>
              <w:t xml:space="preserve">345 576 </w:t>
            </w:r>
          </w:p>
        </w:tc>
        <w:tc>
          <w:tcPr>
            <w:tcW w:w="1607" w:type="dxa"/>
            <w:vAlign w:val="center"/>
          </w:tcPr>
          <w:p w:rsidR="00CA14AB" w:rsidRPr="00E00B35" w:rsidRDefault="00CA14AB" w:rsidP="00E00B35">
            <w:pPr>
              <w:spacing w:after="0" w:line="312" w:lineRule="auto"/>
              <w:rPr>
                <w:szCs w:val="20"/>
              </w:rPr>
            </w:pPr>
            <w:r w:rsidRPr="00E00B35">
              <w:rPr>
                <w:szCs w:val="20"/>
              </w:rPr>
              <w:t>231 803</w:t>
            </w:r>
          </w:p>
          <w:p w:rsidR="00CA14AB" w:rsidRPr="00E00B35" w:rsidRDefault="00CA14AB" w:rsidP="00E00B35">
            <w:pPr>
              <w:spacing w:after="0" w:line="312" w:lineRule="auto"/>
              <w:rPr>
                <w:szCs w:val="20"/>
              </w:rPr>
            </w:pPr>
          </w:p>
        </w:tc>
      </w:tr>
    </w:tbl>
    <w:p w:rsidR="00CA14AB" w:rsidRPr="00E00B35" w:rsidRDefault="00CA14AB" w:rsidP="00E00B35">
      <w:pPr>
        <w:spacing w:after="0" w:line="312" w:lineRule="auto"/>
        <w:rPr>
          <w:szCs w:val="20"/>
        </w:rPr>
      </w:pPr>
    </w:p>
    <w:p w:rsidR="00CA14AB" w:rsidRPr="00E00B35" w:rsidRDefault="00CA14AB" w:rsidP="00E00B35">
      <w:pPr>
        <w:pStyle w:val="Nagwek5"/>
        <w:rPr>
          <w:szCs w:val="20"/>
        </w:rPr>
      </w:pPr>
      <w:r w:rsidRPr="00E00B35">
        <w:rPr>
          <w:szCs w:val="20"/>
        </w:rPr>
        <w:t xml:space="preserve">ŚWIADCZENIA Z PROGRAMU „DOBRY START” </w:t>
      </w:r>
    </w:p>
    <w:p w:rsidR="00CA14AB" w:rsidRPr="00E00B35" w:rsidRDefault="00CA14AB" w:rsidP="00E00B35">
      <w:pPr>
        <w:spacing w:after="0" w:line="312" w:lineRule="auto"/>
        <w:rPr>
          <w:szCs w:val="20"/>
        </w:rPr>
      </w:pPr>
      <w:r w:rsidRPr="00E00B35">
        <w:rPr>
          <w:szCs w:val="20"/>
        </w:rPr>
        <w:t xml:space="preserve">Świadczenia „300+” przyznawane i wypłacane były na podstawie rozporządzenia Rady Ministrów z dnia 30 maja 2018r. w sprawie szczegółowych warunków realizacji rządowego programu „Dobry start” (Dz. U. z 2018r., poz. 1061 ze zm.). </w:t>
      </w:r>
    </w:p>
    <w:p w:rsidR="00CA14AB" w:rsidRPr="00E00B35" w:rsidRDefault="00CA14AB" w:rsidP="00E00B35">
      <w:pPr>
        <w:spacing w:after="0" w:line="312" w:lineRule="auto"/>
        <w:rPr>
          <w:szCs w:val="20"/>
        </w:rPr>
      </w:pPr>
      <w:r w:rsidRPr="00E00B35">
        <w:rPr>
          <w:szCs w:val="20"/>
        </w:rPr>
        <w:t>W okresie sprawozdawczym w Rozdziale 85504 – „Świadczenia 300+” na wypłatę świadczeń wydatkowano kwotę 17 177 550 zł i wydano 43 359 informacji o przyznaniu świadczenia oraz 346 decyzji administracyjnych o odmowie jego przyznania.</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Realizacja świadczeń z programu „Dobry start”  w 2020r.</w:t>
      </w:r>
    </w:p>
    <w:tbl>
      <w:tblPr>
        <w:tblW w:w="0" w:type="auto"/>
        <w:tblLayout w:type="fixed"/>
        <w:tblCellMar>
          <w:left w:w="0" w:type="dxa"/>
          <w:right w:w="0" w:type="dxa"/>
        </w:tblCellMar>
        <w:tblLook w:val="0000"/>
      </w:tblPr>
      <w:tblGrid>
        <w:gridCol w:w="531"/>
        <w:gridCol w:w="3624"/>
        <w:gridCol w:w="2466"/>
        <w:gridCol w:w="2466"/>
      </w:tblGrid>
      <w:tr w:rsidR="00CA14AB" w:rsidRPr="00E00B35" w:rsidTr="00CA14AB">
        <w:trPr>
          <w:trHeight w:val="255"/>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Lp.</w:t>
            </w:r>
          </w:p>
        </w:tc>
        <w:tc>
          <w:tcPr>
            <w:tcW w:w="3624" w:type="dxa"/>
            <w:tcBorders>
              <w:top w:val="single" w:sz="4" w:space="0" w:color="auto"/>
              <w:left w:val="nil"/>
              <w:bottom w:val="single" w:sz="4" w:space="0" w:color="auto"/>
              <w:right w:val="single" w:sz="4" w:space="0" w:color="auto"/>
            </w:tcBorders>
            <w:shd w:val="clear" w:color="auto" w:fill="D9D9D9"/>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Wyszczególnienie</w:t>
            </w:r>
          </w:p>
        </w:tc>
        <w:tc>
          <w:tcPr>
            <w:tcW w:w="2466"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 xml:space="preserve">Kwota </w:t>
            </w:r>
            <w:r w:rsidRPr="00E00B35">
              <w:rPr>
                <w:szCs w:val="20"/>
              </w:rPr>
              <w:br/>
            </w:r>
            <w:r w:rsidRPr="00E00B35">
              <w:rPr>
                <w:szCs w:val="20"/>
              </w:rPr>
              <w:lastRenderedPageBreak/>
              <w:t>[zł]</w:t>
            </w:r>
          </w:p>
        </w:tc>
        <w:tc>
          <w:tcPr>
            <w:tcW w:w="2466"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lastRenderedPageBreak/>
              <w:t xml:space="preserve">Liczba dzieci, na które </w:t>
            </w:r>
            <w:r w:rsidRPr="00E00B35">
              <w:rPr>
                <w:szCs w:val="20"/>
              </w:rPr>
              <w:lastRenderedPageBreak/>
              <w:t>wypłacono świadczenia</w:t>
            </w:r>
          </w:p>
        </w:tc>
      </w:tr>
      <w:tr w:rsidR="00CA14AB" w:rsidRPr="00E00B35" w:rsidTr="00CA14AB">
        <w:trPr>
          <w:trHeight w:val="255"/>
        </w:trPr>
        <w:tc>
          <w:tcPr>
            <w:tcW w:w="531"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lastRenderedPageBreak/>
              <w:t>1.</w:t>
            </w:r>
          </w:p>
        </w:tc>
        <w:tc>
          <w:tcPr>
            <w:tcW w:w="36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Świadczenia „300+”</w:t>
            </w:r>
          </w:p>
        </w:tc>
        <w:tc>
          <w:tcPr>
            <w:tcW w:w="246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17 177 550</w:t>
            </w:r>
          </w:p>
        </w:tc>
        <w:tc>
          <w:tcPr>
            <w:tcW w:w="246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A14AB" w:rsidRPr="00E00B35" w:rsidRDefault="00CA14AB" w:rsidP="00E00B35">
            <w:pPr>
              <w:spacing w:after="0" w:line="312" w:lineRule="auto"/>
              <w:rPr>
                <w:szCs w:val="20"/>
              </w:rPr>
            </w:pPr>
            <w:r w:rsidRPr="00E00B35">
              <w:rPr>
                <w:szCs w:val="20"/>
              </w:rPr>
              <w:t>57 352</w:t>
            </w:r>
          </w:p>
        </w:tc>
      </w:tr>
    </w:tbl>
    <w:p w:rsidR="00CA14AB" w:rsidRPr="00E00B35" w:rsidRDefault="00CA14AB" w:rsidP="00E00B35">
      <w:pPr>
        <w:spacing w:after="0" w:line="312" w:lineRule="auto"/>
        <w:rPr>
          <w:szCs w:val="20"/>
        </w:rPr>
      </w:pPr>
    </w:p>
    <w:p w:rsidR="00CA14AB" w:rsidRPr="00E00B35" w:rsidRDefault="00CA14AB" w:rsidP="00E00B35">
      <w:pPr>
        <w:pStyle w:val="Nagwek5"/>
        <w:rPr>
          <w:szCs w:val="20"/>
        </w:rPr>
      </w:pPr>
      <w:r w:rsidRPr="00E00B35">
        <w:rPr>
          <w:szCs w:val="20"/>
        </w:rPr>
        <w:t xml:space="preserve">PROWADZENIE POSTĘPOWAŃ WOBEC DŁUŻNIKÓW ALIMENTACYJNYCH </w:t>
      </w:r>
    </w:p>
    <w:p w:rsidR="00CA14AB" w:rsidRPr="00E00B35" w:rsidRDefault="00CA14AB" w:rsidP="00E00B35">
      <w:pPr>
        <w:spacing w:after="0" w:line="312" w:lineRule="auto"/>
        <w:rPr>
          <w:szCs w:val="20"/>
        </w:rPr>
      </w:pPr>
      <w:r w:rsidRPr="00E00B35">
        <w:rPr>
          <w:szCs w:val="20"/>
        </w:rPr>
        <w:t>W 2020r. wydano: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164 decyzje o uznaniu za dłużnika alimentacyjnego;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30 decyzji w sprawie umorzenia zadłużenia;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11 decyzji w sprawie zastosowania układów ratalnych.</w:t>
      </w:r>
    </w:p>
    <w:p w:rsidR="00CA14AB" w:rsidRPr="00E00B35" w:rsidRDefault="00CA14AB" w:rsidP="00E00B35">
      <w:pPr>
        <w:spacing w:after="0" w:line="312" w:lineRule="auto"/>
        <w:rPr>
          <w:szCs w:val="20"/>
        </w:rPr>
      </w:pPr>
      <w:r w:rsidRPr="00E00B35">
        <w:rPr>
          <w:szCs w:val="20"/>
        </w:rPr>
        <w:t>Ponadto dokonano: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1 850 przyłączeń do egzekucji komorniczej po przyznaniu świadczeń z funduszu alimentacyjnego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234 wszczęć postępowań. </w:t>
      </w:r>
    </w:p>
    <w:p w:rsidR="00CA14AB" w:rsidRPr="00E00B35" w:rsidRDefault="00CA14AB" w:rsidP="00E00B35">
      <w:pPr>
        <w:spacing w:after="0" w:line="312" w:lineRule="auto"/>
        <w:rPr>
          <w:szCs w:val="20"/>
        </w:rPr>
      </w:pPr>
      <w:r w:rsidRPr="00E00B35">
        <w:rPr>
          <w:szCs w:val="20"/>
        </w:rPr>
        <w:t xml:space="preserve">Realizując zadania zapisane w art. 8a ustawy z dnia 7 września 2007r. o pomocy osobom uprawnionym do alimentów (t.j. Dz. U. z 2020r. poz. 808 ze zm.) aktualizowano </w:t>
      </w:r>
      <w:r w:rsidRPr="00E00B35">
        <w:rPr>
          <w:szCs w:val="20"/>
        </w:rPr>
        <w:br/>
        <w:t>w biurach informacji gospodarczej informacje o zadłużeniu dłużników alimentacyjnych. Średnio miesięcznie w 2020r. zgłoszonych było 3 512 osób.</w:t>
      </w:r>
    </w:p>
    <w:p w:rsidR="00890136" w:rsidRPr="00E00B35" w:rsidRDefault="00890136" w:rsidP="00E00B35">
      <w:pPr>
        <w:spacing w:after="0" w:line="312" w:lineRule="auto"/>
        <w:rPr>
          <w:szCs w:val="20"/>
        </w:rPr>
      </w:pPr>
    </w:p>
    <w:p w:rsidR="00CA14AB" w:rsidRPr="00E00B35" w:rsidRDefault="00CA14AB" w:rsidP="00E00B35">
      <w:pPr>
        <w:pStyle w:val="Nagwek5"/>
        <w:rPr>
          <w:szCs w:val="20"/>
        </w:rPr>
      </w:pPr>
      <w:bookmarkStart w:id="469" w:name="_Toc72352456"/>
      <w:bookmarkStart w:id="470" w:name="_Toc72352890"/>
      <w:bookmarkStart w:id="471" w:name="_Hlk534360746"/>
      <w:bookmarkStart w:id="472" w:name="_Hlk59096067"/>
      <w:bookmarkEnd w:id="454"/>
      <w:r w:rsidRPr="00E00B35">
        <w:rPr>
          <w:szCs w:val="20"/>
        </w:rPr>
        <w:t>DOSTĘP DO INFORMACJI PUBLICZNEJ</w:t>
      </w:r>
      <w:bookmarkEnd w:id="469"/>
      <w:bookmarkEnd w:id="470"/>
    </w:p>
    <w:p w:rsidR="00CA14AB" w:rsidRPr="00E00B35" w:rsidRDefault="00CA14AB" w:rsidP="00E00B35">
      <w:pPr>
        <w:spacing w:after="0" w:line="312" w:lineRule="auto"/>
        <w:rPr>
          <w:szCs w:val="20"/>
        </w:rPr>
      </w:pPr>
      <w:r w:rsidRPr="00E00B35">
        <w:rPr>
          <w:szCs w:val="20"/>
        </w:rPr>
        <w:t xml:space="preserve">W związku z realizacją prawa dostępu do informacji publicznej na podstawie przepisów ustawy z dnia 6 września 2001r. o dostępie do informacji publicznej w 2020r. MOPS rozpatrzył 17 wniosków złożonych przez osoby i podmioty zainteresowane. </w:t>
      </w:r>
    </w:p>
    <w:p w:rsidR="00890136" w:rsidRPr="00E00B35" w:rsidRDefault="00890136" w:rsidP="00E00B35">
      <w:pPr>
        <w:spacing w:after="0" w:line="312" w:lineRule="auto"/>
        <w:rPr>
          <w:szCs w:val="20"/>
        </w:rPr>
      </w:pPr>
    </w:p>
    <w:p w:rsidR="00CA14AB" w:rsidRPr="00E00B35" w:rsidRDefault="00CA14AB" w:rsidP="00E00B35">
      <w:pPr>
        <w:pStyle w:val="Nagwek5"/>
        <w:rPr>
          <w:szCs w:val="20"/>
        </w:rPr>
      </w:pPr>
      <w:bookmarkStart w:id="473" w:name="_Toc72352457"/>
      <w:bookmarkStart w:id="474" w:name="_Toc72352891"/>
      <w:bookmarkStart w:id="475" w:name="_Hlk534360973"/>
      <w:bookmarkEnd w:id="471"/>
      <w:bookmarkEnd w:id="472"/>
      <w:r w:rsidRPr="00E00B35">
        <w:rPr>
          <w:szCs w:val="20"/>
        </w:rPr>
        <w:t>OCHRONA DANYCH OSOBOWYCH</w:t>
      </w:r>
      <w:bookmarkEnd w:id="473"/>
      <w:bookmarkEnd w:id="474"/>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W związku z realizacją zarządzenia Nr 41/2018 Dyrektora MOPS z dnia 20 czerwca 2018r. w sprawie wprowadzenia Polityki Bezpieczeństwa i Instrukcji Zarządzania Systemami Informatycznymi służącymi do przetwarzania danych osobowych w Miejskim Ośrodku Pomocy Społecznej oraz zarządzenia Nr 39/19 Dyrektora MOPS z dnia 6 czerwca 2019r. zmieniającego zarządzenie nr 41/18 Dyrektora Miejskiego Ośrodka Pomocy Społecznej z dnia 20 czerwca 2018r. w sprawie wprowadzenia Polityki Bezpieczeństwa </w:t>
      </w:r>
      <w:r w:rsidRPr="00E00B35">
        <w:rPr>
          <w:szCs w:val="20"/>
        </w:rPr>
        <w:br/>
        <w:t>i Instrukcji Zarządzania Systemami Informatycznymi służącymi do przetwarzania danych osobowych w Miejskim Ośrodku Pomocy Społecznej w 2020r. na wniosek kierowników komórek organizacyjnych MOPS, przyznano uprawnienia do przetwarzania danych osobowych dla 292 pracowników MOPS, współpracowników oraz praktykantów, stażystów i wolontariuszy. W związku z epidemią szkolenia były prowadzone w formie samokształcenia na podstawie materiałów i prezentacji opracowanych przez inspektora ochrony danych.</w:t>
      </w:r>
    </w:p>
    <w:p w:rsidR="00CA14AB" w:rsidRPr="00E00B35" w:rsidRDefault="00CA14AB" w:rsidP="00E00B35">
      <w:pPr>
        <w:spacing w:after="0" w:line="312" w:lineRule="auto"/>
        <w:rPr>
          <w:szCs w:val="20"/>
        </w:rPr>
      </w:pPr>
      <w:r w:rsidRPr="00E00B35">
        <w:rPr>
          <w:szCs w:val="20"/>
        </w:rPr>
        <w:t xml:space="preserve">Realizowano zarządzenie Nr 58/19 Dyrektora MOPS z dnia 5 listopada 2019r. </w:t>
      </w:r>
      <w:r w:rsidRPr="00E00B35">
        <w:rPr>
          <w:szCs w:val="20"/>
        </w:rPr>
        <w:br/>
        <w:t xml:space="preserve">w sprawie wprowadzenia Regulaminu zarządzania skargami i wnioskami w związku </w:t>
      </w:r>
      <w:r w:rsidRPr="00E00B35">
        <w:rPr>
          <w:szCs w:val="20"/>
        </w:rPr>
        <w:br/>
        <w:t>z przetwarzaniem danych osobowych w Miejskim Ośrodku Pomocy Społecznej.</w:t>
      </w:r>
    </w:p>
    <w:p w:rsidR="00CA14AB" w:rsidRPr="00E00B35" w:rsidRDefault="00CA14AB" w:rsidP="00E00B35">
      <w:pPr>
        <w:spacing w:after="0" w:line="312" w:lineRule="auto"/>
        <w:rPr>
          <w:szCs w:val="20"/>
        </w:rPr>
      </w:pPr>
      <w:r w:rsidRPr="00E00B35">
        <w:rPr>
          <w:szCs w:val="20"/>
        </w:rPr>
        <w:t xml:space="preserve">Jednocześnie w ramach realizacji projektów finansowanych ze środków zewnętrznych: „Asystent osobisty osoby niepełnosprawnej” – upoważniono 19 osób, „Opieka wytchnieniowa” – upoważniono 19 osób, „Pomoc osobom niepełnosprawnym poszkodowanym w wyniku żywiołu lub sytuacji kryzysowych wywołanych chorobami </w:t>
      </w:r>
      <w:r w:rsidRPr="00E00B35">
        <w:rPr>
          <w:szCs w:val="20"/>
        </w:rPr>
        <w:lastRenderedPageBreak/>
        <w:t>zakaźnymi” – upoważniono 22 osób, „SAMO-Dzielni edycja 2” – upoważniono 14 osób, „Wsparcie dzieci umieszczonych w pieczy zastępczej w okresie epidemii  COVID-19” – upoważniono 59 osób „Pas-ja” – upoważniono 6 osób, „Trampolina – mieszkania wspomagane” – upoważniono 8 osób.</w:t>
      </w:r>
    </w:p>
    <w:p w:rsidR="00CA14AB" w:rsidRPr="00E00B35" w:rsidRDefault="00CA14AB" w:rsidP="00E00B35">
      <w:pPr>
        <w:spacing w:after="0" w:line="312" w:lineRule="auto"/>
        <w:rPr>
          <w:szCs w:val="20"/>
        </w:rPr>
      </w:pPr>
      <w:r w:rsidRPr="00E00B35">
        <w:rPr>
          <w:szCs w:val="20"/>
        </w:rPr>
        <w:t xml:space="preserve">W ramach monitorowania przestrzegania przepisów w zakresie ochrony danych osobowych przetwarzanych w MOPS inspektor ochrony danych wydawał zalecenia </w:t>
      </w:r>
      <w:r w:rsidRPr="00E00B35">
        <w:rPr>
          <w:szCs w:val="20"/>
        </w:rPr>
        <w:br/>
        <w:t>i podejmował działania korygująco-zapobiegawcze. Przekazano pracownikom kilkanaście Biuletynów Ochrony Danych Osobowych w Miejskim Ośrodku Pomocy Społecznej i inne przydatne informacje w zakresie ochrony danych.</w:t>
      </w:r>
    </w:p>
    <w:p w:rsidR="00890136" w:rsidRPr="00E00B35" w:rsidRDefault="00890136" w:rsidP="00E00B35">
      <w:pPr>
        <w:spacing w:after="0" w:line="312" w:lineRule="auto"/>
        <w:rPr>
          <w:szCs w:val="20"/>
        </w:rPr>
      </w:pPr>
    </w:p>
    <w:p w:rsidR="00CA14AB" w:rsidRPr="00E00B35" w:rsidRDefault="00CA14AB" w:rsidP="00E00B35">
      <w:pPr>
        <w:pStyle w:val="Nagwek5"/>
        <w:rPr>
          <w:szCs w:val="20"/>
        </w:rPr>
      </w:pPr>
      <w:bookmarkStart w:id="476" w:name="_Toc72352458"/>
      <w:bookmarkStart w:id="477" w:name="_Toc72352892"/>
      <w:bookmarkEnd w:id="475"/>
      <w:r w:rsidRPr="00E00B35">
        <w:rPr>
          <w:szCs w:val="20"/>
        </w:rPr>
        <w:t>SPRAWY SĄDOWE Z UDZIAŁEM MOPS</w:t>
      </w:r>
      <w:bookmarkEnd w:id="476"/>
      <w:bookmarkEnd w:id="477"/>
    </w:p>
    <w:p w:rsidR="00CA14AB" w:rsidRPr="00E00B35" w:rsidRDefault="00CA14AB" w:rsidP="00E00B35">
      <w:pPr>
        <w:spacing w:after="0" w:line="312" w:lineRule="auto"/>
        <w:rPr>
          <w:szCs w:val="20"/>
        </w:rPr>
      </w:pPr>
      <w:r w:rsidRPr="00E00B35">
        <w:rPr>
          <w:szCs w:val="20"/>
        </w:rPr>
        <w:t xml:space="preserve">W 2020 roku toczyło się 872 spraw sądowych (w tym postępowań prokuratorskich) przy udziale MOPS, w których w zależności od rodzaju postępowania i sposobu jego zainicjowania MOPS był powodem, wnioskodawcą, uczestnikiem lub zawiadamiającym. Należy zaznaczyć, że zebrane dane uwzględniają tylko typowe sprawy wynikające </w:t>
      </w:r>
      <w:r w:rsidRPr="00E00B35">
        <w:rPr>
          <w:szCs w:val="20"/>
        </w:rPr>
        <w:br/>
        <w:t>z ustawowych zadań realizowanych przez MOPS, których występowanie na stałe wpisuje się w działalność jednostki.</w:t>
      </w:r>
    </w:p>
    <w:p w:rsidR="00CA14AB" w:rsidRPr="00E00B35" w:rsidRDefault="00CA14AB" w:rsidP="00E00B35">
      <w:pPr>
        <w:spacing w:after="0" w:line="312" w:lineRule="auto"/>
        <w:rPr>
          <w:szCs w:val="20"/>
        </w:rPr>
      </w:pPr>
      <w:r w:rsidRPr="00E00B35">
        <w:rPr>
          <w:szCs w:val="20"/>
        </w:rPr>
        <w:t>Liczba spraw, które toczyły się w 2020</w:t>
      </w:r>
      <w:r w:rsidR="00436BC1" w:rsidRPr="00E00B35">
        <w:rPr>
          <w:szCs w:val="20"/>
        </w:rPr>
        <w:t xml:space="preserve"> </w:t>
      </w:r>
      <w:r w:rsidRPr="00E00B35">
        <w:rPr>
          <w:szCs w:val="20"/>
        </w:rPr>
        <w:t>r.:</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 alimenty – 117;</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 stwierdzenie nabycia spadku – 88;</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o uchylenie postanowienia o umieszczeniu dziecka w rodzinie zastępczej – 4;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 przyjęcie do domu pomoc społecznej bez zgody – 46;</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 przyjęcie do szpitala psychiatrycznego – 21;</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 przyznanie wynagrodzenia z tytułu opieki prawnej – 51;</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sprawy karne toczące się przed prokuraturą i sądem (zawiadomienia o możliwości popełnienia przestępstwa) – 481;</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zawiadomienia do prokuratury w przedmiocie skierowania wniosku do sądu o ubezwłasnowolnienie – 50;</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o rozstrzygnięcie sporu o właściwość przez SKO albo NSA – 14. </w:t>
      </w:r>
    </w:p>
    <w:p w:rsidR="00CA14AB" w:rsidRPr="00E00B35" w:rsidRDefault="00CA14AB" w:rsidP="00E00B35">
      <w:pPr>
        <w:spacing w:after="0" w:line="312" w:lineRule="auto"/>
        <w:rPr>
          <w:szCs w:val="20"/>
        </w:rPr>
      </w:pPr>
      <w:r w:rsidRPr="00E00B35">
        <w:rPr>
          <w:szCs w:val="20"/>
        </w:rPr>
        <w:t>Ponadto konsultanci prawni udzielili porad prawnych 1 056 osobom i rodzinom.</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478" w:name="_Toc72352459"/>
      <w:bookmarkStart w:id="479" w:name="_Toc72352893"/>
      <w:r w:rsidRPr="00E00B35">
        <w:rPr>
          <w:sz w:val="20"/>
          <w:szCs w:val="20"/>
        </w:rPr>
        <w:t>DODATKOWE ZADANIA</w:t>
      </w:r>
      <w:bookmarkEnd w:id="478"/>
      <w:bookmarkEnd w:id="479"/>
    </w:p>
    <w:p w:rsidR="00CA14AB" w:rsidRPr="00E00B35" w:rsidRDefault="00CA14AB" w:rsidP="00E00B35">
      <w:pPr>
        <w:spacing w:after="0" w:line="312" w:lineRule="auto"/>
        <w:rPr>
          <w:szCs w:val="20"/>
        </w:rPr>
      </w:pPr>
      <w:bookmarkStart w:id="480" w:name="_Hlk534361061"/>
      <w:r w:rsidRPr="00E00B35">
        <w:rPr>
          <w:szCs w:val="20"/>
        </w:rPr>
        <w:t xml:space="preserve">W ramach realizacji uchwały nr LIX/1375/18 Rady Miejskiej Wrocławia </w:t>
      </w:r>
      <w:r w:rsidRPr="00E00B35">
        <w:rPr>
          <w:szCs w:val="20"/>
        </w:rPr>
        <w:br/>
        <w:t xml:space="preserve">z dnia 5 lipca 2018r. w sprawie lokalnego programu pomocy społecznej o nazwie Lokalny Program Osłonowy dla osób, które ponoszą zwiększone koszty grzewcze </w:t>
      </w:r>
      <w:r w:rsidRPr="00E00B35">
        <w:rPr>
          <w:rFonts w:eastAsia="Calibri"/>
          <w:szCs w:val="20"/>
        </w:rPr>
        <w:t>lokalu związane z trwałą zmianą systemu ogrzewania opartego na paliwie</w:t>
      </w:r>
      <w:r w:rsidRPr="00E00B35">
        <w:rPr>
          <w:szCs w:val="20"/>
        </w:rPr>
        <w:t xml:space="preserve"> stałym na jeden z systemów niskoemisyjnych, MOPS przyjmował wnioski i wydawał decyzje </w:t>
      </w:r>
      <w:r w:rsidRPr="00E00B35">
        <w:rPr>
          <w:szCs w:val="20"/>
        </w:rPr>
        <w:br/>
        <w:t xml:space="preserve">o przyznaniu dofinansowania. Do końca roku 2020 łącznie z programu skorzystało 425 rodzin na kwotę 249 230,25 zł.  </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Realizacja Lokalnego Programu Osłonowego narastająco od początku trwania Programu na dzień 31.12.2020r.</w:t>
      </w:r>
    </w:p>
    <w:tbl>
      <w:tblPr>
        <w:tblW w:w="9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6"/>
        <w:gridCol w:w="1740"/>
        <w:gridCol w:w="1551"/>
        <w:gridCol w:w="1787"/>
        <w:gridCol w:w="1551"/>
        <w:gridCol w:w="1377"/>
      </w:tblGrid>
      <w:tr w:rsidR="00CA14AB" w:rsidRPr="00E00B35" w:rsidTr="00CA14AB">
        <w:tc>
          <w:tcPr>
            <w:tcW w:w="1826" w:type="dxa"/>
            <w:tcBorders>
              <w:bottom w:val="single" w:sz="4" w:space="0" w:color="000000"/>
            </w:tcBorders>
            <w:shd w:val="pct12" w:color="auto" w:fill="auto"/>
            <w:vAlign w:val="center"/>
          </w:tcPr>
          <w:p w:rsidR="00CA14AB" w:rsidRPr="00E00B35" w:rsidRDefault="00CA14AB" w:rsidP="00E00B35">
            <w:pPr>
              <w:spacing w:after="0" w:line="312" w:lineRule="auto"/>
              <w:rPr>
                <w:szCs w:val="20"/>
              </w:rPr>
            </w:pPr>
            <w:r w:rsidRPr="00E00B35">
              <w:rPr>
                <w:szCs w:val="20"/>
              </w:rPr>
              <w:t xml:space="preserve">Wnioski i </w:t>
            </w:r>
            <w:r w:rsidRPr="00E00B35">
              <w:rPr>
                <w:szCs w:val="20"/>
              </w:rPr>
              <w:lastRenderedPageBreak/>
              <w:t>odmowy</w:t>
            </w:r>
          </w:p>
        </w:tc>
        <w:tc>
          <w:tcPr>
            <w:tcW w:w="1740" w:type="dxa"/>
            <w:shd w:val="pct12" w:color="auto" w:fill="auto"/>
            <w:vAlign w:val="center"/>
          </w:tcPr>
          <w:p w:rsidR="00CA14AB" w:rsidRPr="00E00B35" w:rsidRDefault="00CA14AB" w:rsidP="00E00B35">
            <w:pPr>
              <w:spacing w:after="0" w:line="312" w:lineRule="auto"/>
              <w:rPr>
                <w:szCs w:val="20"/>
              </w:rPr>
            </w:pPr>
            <w:r w:rsidRPr="00E00B35">
              <w:rPr>
                <w:szCs w:val="20"/>
              </w:rPr>
              <w:lastRenderedPageBreak/>
              <w:t xml:space="preserve">Podłączenie do </w:t>
            </w:r>
            <w:r w:rsidRPr="00E00B35">
              <w:rPr>
                <w:szCs w:val="20"/>
              </w:rPr>
              <w:lastRenderedPageBreak/>
              <w:t>miejskiej sieci ciepłowniczej</w:t>
            </w:r>
          </w:p>
        </w:tc>
        <w:tc>
          <w:tcPr>
            <w:tcW w:w="1551" w:type="dxa"/>
            <w:shd w:val="pct12" w:color="auto" w:fill="auto"/>
            <w:vAlign w:val="center"/>
          </w:tcPr>
          <w:p w:rsidR="00CA14AB" w:rsidRPr="00E00B35" w:rsidRDefault="00CA14AB" w:rsidP="00E00B35">
            <w:pPr>
              <w:spacing w:after="0" w:line="312" w:lineRule="auto"/>
              <w:rPr>
                <w:szCs w:val="20"/>
              </w:rPr>
            </w:pPr>
            <w:r w:rsidRPr="00E00B35">
              <w:rPr>
                <w:szCs w:val="20"/>
              </w:rPr>
              <w:lastRenderedPageBreak/>
              <w:t xml:space="preserve">Ogrzewanie </w:t>
            </w:r>
            <w:r w:rsidRPr="00E00B35">
              <w:rPr>
                <w:szCs w:val="20"/>
              </w:rPr>
              <w:lastRenderedPageBreak/>
              <w:t>gazowe</w:t>
            </w:r>
          </w:p>
        </w:tc>
        <w:tc>
          <w:tcPr>
            <w:tcW w:w="1787" w:type="dxa"/>
            <w:shd w:val="pct12" w:color="auto" w:fill="auto"/>
            <w:vAlign w:val="center"/>
          </w:tcPr>
          <w:p w:rsidR="00CA14AB" w:rsidRPr="00E00B35" w:rsidRDefault="00CA14AB" w:rsidP="00E00B35">
            <w:pPr>
              <w:spacing w:after="0" w:line="312" w:lineRule="auto"/>
              <w:rPr>
                <w:szCs w:val="20"/>
              </w:rPr>
            </w:pPr>
            <w:r w:rsidRPr="00E00B35">
              <w:rPr>
                <w:szCs w:val="20"/>
              </w:rPr>
              <w:lastRenderedPageBreak/>
              <w:t xml:space="preserve">Ogrzewanie </w:t>
            </w:r>
            <w:r w:rsidRPr="00E00B35">
              <w:rPr>
                <w:szCs w:val="20"/>
              </w:rPr>
              <w:lastRenderedPageBreak/>
              <w:t>elektryczne akumulacyjne</w:t>
            </w:r>
          </w:p>
        </w:tc>
        <w:tc>
          <w:tcPr>
            <w:tcW w:w="1551" w:type="dxa"/>
            <w:shd w:val="pct12" w:color="auto" w:fill="auto"/>
            <w:vAlign w:val="center"/>
          </w:tcPr>
          <w:p w:rsidR="00CA14AB" w:rsidRPr="00E00B35" w:rsidRDefault="00CA14AB" w:rsidP="00E00B35">
            <w:pPr>
              <w:spacing w:after="0" w:line="312" w:lineRule="auto"/>
              <w:rPr>
                <w:szCs w:val="20"/>
              </w:rPr>
            </w:pPr>
            <w:r w:rsidRPr="00E00B35">
              <w:rPr>
                <w:szCs w:val="20"/>
              </w:rPr>
              <w:lastRenderedPageBreak/>
              <w:t xml:space="preserve">Ogrzewanie </w:t>
            </w:r>
            <w:r w:rsidRPr="00E00B35">
              <w:rPr>
                <w:szCs w:val="20"/>
              </w:rPr>
              <w:lastRenderedPageBreak/>
              <w:t>olejowe</w:t>
            </w:r>
          </w:p>
        </w:tc>
        <w:tc>
          <w:tcPr>
            <w:tcW w:w="1377" w:type="dxa"/>
            <w:shd w:val="pct12" w:color="auto" w:fill="auto"/>
            <w:vAlign w:val="center"/>
          </w:tcPr>
          <w:p w:rsidR="00CA14AB" w:rsidRPr="00E00B35" w:rsidRDefault="00CA14AB" w:rsidP="00E00B35">
            <w:pPr>
              <w:spacing w:after="0" w:line="312" w:lineRule="auto"/>
              <w:rPr>
                <w:szCs w:val="20"/>
              </w:rPr>
            </w:pPr>
            <w:r w:rsidRPr="00E00B35">
              <w:rPr>
                <w:szCs w:val="20"/>
              </w:rPr>
              <w:lastRenderedPageBreak/>
              <w:t>Razem</w:t>
            </w:r>
          </w:p>
        </w:tc>
      </w:tr>
      <w:tr w:rsidR="00CA14AB" w:rsidRPr="00E00B35" w:rsidTr="00CA14AB">
        <w:tc>
          <w:tcPr>
            <w:tcW w:w="1826" w:type="dxa"/>
            <w:shd w:val="pct12" w:color="auto" w:fill="auto"/>
            <w:vAlign w:val="center"/>
          </w:tcPr>
          <w:p w:rsidR="00CA14AB" w:rsidRPr="00E00B35" w:rsidRDefault="00CA14AB" w:rsidP="00E00B35">
            <w:pPr>
              <w:spacing w:after="0" w:line="312" w:lineRule="auto"/>
              <w:rPr>
                <w:szCs w:val="20"/>
              </w:rPr>
            </w:pPr>
            <w:r w:rsidRPr="00E00B35">
              <w:rPr>
                <w:szCs w:val="20"/>
              </w:rPr>
              <w:lastRenderedPageBreak/>
              <w:t>Liczba wniosków złożonych</w:t>
            </w:r>
          </w:p>
        </w:tc>
        <w:tc>
          <w:tcPr>
            <w:tcW w:w="1740" w:type="dxa"/>
            <w:vAlign w:val="center"/>
          </w:tcPr>
          <w:p w:rsidR="00CA14AB" w:rsidRPr="00E00B35" w:rsidRDefault="00CA14AB" w:rsidP="00E00B35">
            <w:pPr>
              <w:spacing w:after="0" w:line="312" w:lineRule="auto"/>
              <w:rPr>
                <w:szCs w:val="20"/>
              </w:rPr>
            </w:pPr>
            <w:r w:rsidRPr="00E00B35">
              <w:rPr>
                <w:szCs w:val="20"/>
              </w:rPr>
              <w:t>49</w:t>
            </w:r>
          </w:p>
        </w:tc>
        <w:tc>
          <w:tcPr>
            <w:tcW w:w="1551" w:type="dxa"/>
            <w:vAlign w:val="center"/>
          </w:tcPr>
          <w:p w:rsidR="00CA14AB" w:rsidRPr="00E00B35" w:rsidRDefault="00CA14AB" w:rsidP="00E00B35">
            <w:pPr>
              <w:spacing w:after="0" w:line="312" w:lineRule="auto"/>
              <w:rPr>
                <w:szCs w:val="20"/>
              </w:rPr>
            </w:pPr>
            <w:r w:rsidRPr="00E00B35">
              <w:rPr>
                <w:szCs w:val="20"/>
              </w:rPr>
              <w:t>279</w:t>
            </w:r>
          </w:p>
        </w:tc>
        <w:tc>
          <w:tcPr>
            <w:tcW w:w="1787" w:type="dxa"/>
            <w:vAlign w:val="center"/>
          </w:tcPr>
          <w:p w:rsidR="00CA14AB" w:rsidRPr="00E00B35" w:rsidRDefault="00CA14AB" w:rsidP="00E00B35">
            <w:pPr>
              <w:spacing w:after="0" w:line="312" w:lineRule="auto"/>
              <w:rPr>
                <w:szCs w:val="20"/>
              </w:rPr>
            </w:pPr>
            <w:r w:rsidRPr="00E00B35">
              <w:rPr>
                <w:szCs w:val="20"/>
              </w:rPr>
              <w:t>136</w:t>
            </w:r>
          </w:p>
        </w:tc>
        <w:tc>
          <w:tcPr>
            <w:tcW w:w="1551" w:type="dxa"/>
            <w:vAlign w:val="center"/>
          </w:tcPr>
          <w:p w:rsidR="00CA14AB" w:rsidRPr="00E00B35" w:rsidRDefault="00CA14AB" w:rsidP="00E00B35">
            <w:pPr>
              <w:spacing w:after="0" w:line="312" w:lineRule="auto"/>
              <w:rPr>
                <w:szCs w:val="20"/>
              </w:rPr>
            </w:pPr>
            <w:r w:rsidRPr="00E00B35">
              <w:rPr>
                <w:szCs w:val="20"/>
              </w:rPr>
              <w:t>0</w:t>
            </w:r>
          </w:p>
        </w:tc>
        <w:tc>
          <w:tcPr>
            <w:tcW w:w="1377" w:type="dxa"/>
            <w:vAlign w:val="center"/>
          </w:tcPr>
          <w:p w:rsidR="00CA14AB" w:rsidRPr="00E00B35" w:rsidRDefault="00CA14AB" w:rsidP="00E00B35">
            <w:pPr>
              <w:spacing w:after="0" w:line="312" w:lineRule="auto"/>
              <w:rPr>
                <w:szCs w:val="20"/>
              </w:rPr>
            </w:pPr>
            <w:r w:rsidRPr="00E00B35">
              <w:rPr>
                <w:szCs w:val="20"/>
              </w:rPr>
              <w:t>464</w:t>
            </w:r>
          </w:p>
        </w:tc>
      </w:tr>
      <w:tr w:rsidR="00CA14AB" w:rsidRPr="00E00B35" w:rsidTr="00CA14AB">
        <w:tc>
          <w:tcPr>
            <w:tcW w:w="1826" w:type="dxa"/>
            <w:shd w:val="pct12" w:color="auto" w:fill="auto"/>
            <w:vAlign w:val="center"/>
          </w:tcPr>
          <w:p w:rsidR="00CA14AB" w:rsidRPr="00E00B35" w:rsidRDefault="00CA14AB" w:rsidP="00E00B35">
            <w:pPr>
              <w:spacing w:after="0" w:line="312" w:lineRule="auto"/>
              <w:rPr>
                <w:szCs w:val="20"/>
              </w:rPr>
            </w:pPr>
            <w:r w:rsidRPr="00E00B35">
              <w:rPr>
                <w:szCs w:val="20"/>
              </w:rPr>
              <w:t>Liczba wniosków rozpatrzonych pozytywnie</w:t>
            </w:r>
          </w:p>
        </w:tc>
        <w:tc>
          <w:tcPr>
            <w:tcW w:w="1740" w:type="dxa"/>
            <w:vAlign w:val="center"/>
          </w:tcPr>
          <w:p w:rsidR="00CA14AB" w:rsidRPr="00E00B35" w:rsidRDefault="00CA14AB" w:rsidP="00E00B35">
            <w:pPr>
              <w:spacing w:after="0" w:line="312" w:lineRule="auto"/>
              <w:rPr>
                <w:szCs w:val="20"/>
              </w:rPr>
            </w:pPr>
            <w:r w:rsidRPr="00E00B35">
              <w:rPr>
                <w:szCs w:val="20"/>
              </w:rPr>
              <w:t>41</w:t>
            </w:r>
          </w:p>
        </w:tc>
        <w:tc>
          <w:tcPr>
            <w:tcW w:w="1551" w:type="dxa"/>
            <w:vAlign w:val="center"/>
          </w:tcPr>
          <w:p w:rsidR="00CA14AB" w:rsidRPr="00E00B35" w:rsidRDefault="00CA14AB" w:rsidP="00E00B35">
            <w:pPr>
              <w:spacing w:after="0" w:line="312" w:lineRule="auto"/>
              <w:rPr>
                <w:szCs w:val="20"/>
              </w:rPr>
            </w:pPr>
            <w:r w:rsidRPr="00E00B35">
              <w:rPr>
                <w:szCs w:val="20"/>
              </w:rPr>
              <w:t>260</w:t>
            </w:r>
          </w:p>
        </w:tc>
        <w:tc>
          <w:tcPr>
            <w:tcW w:w="1787" w:type="dxa"/>
            <w:vAlign w:val="center"/>
          </w:tcPr>
          <w:p w:rsidR="00CA14AB" w:rsidRPr="00E00B35" w:rsidRDefault="00CA14AB" w:rsidP="00E00B35">
            <w:pPr>
              <w:spacing w:after="0" w:line="312" w:lineRule="auto"/>
              <w:rPr>
                <w:szCs w:val="20"/>
              </w:rPr>
            </w:pPr>
            <w:r w:rsidRPr="00E00B35">
              <w:rPr>
                <w:szCs w:val="20"/>
              </w:rPr>
              <w:t>124</w:t>
            </w:r>
          </w:p>
        </w:tc>
        <w:tc>
          <w:tcPr>
            <w:tcW w:w="1551" w:type="dxa"/>
            <w:vAlign w:val="center"/>
          </w:tcPr>
          <w:p w:rsidR="00CA14AB" w:rsidRPr="00E00B35" w:rsidRDefault="00CA14AB" w:rsidP="00E00B35">
            <w:pPr>
              <w:spacing w:after="0" w:line="312" w:lineRule="auto"/>
              <w:rPr>
                <w:szCs w:val="20"/>
              </w:rPr>
            </w:pPr>
            <w:r w:rsidRPr="00E00B35">
              <w:rPr>
                <w:szCs w:val="20"/>
              </w:rPr>
              <w:t>0</w:t>
            </w:r>
          </w:p>
        </w:tc>
        <w:tc>
          <w:tcPr>
            <w:tcW w:w="1377" w:type="dxa"/>
            <w:vAlign w:val="center"/>
          </w:tcPr>
          <w:p w:rsidR="00CA14AB" w:rsidRPr="00E00B35" w:rsidRDefault="00CA14AB" w:rsidP="00E00B35">
            <w:pPr>
              <w:spacing w:after="0" w:line="312" w:lineRule="auto"/>
              <w:rPr>
                <w:szCs w:val="20"/>
              </w:rPr>
            </w:pPr>
            <w:r w:rsidRPr="00E00B35">
              <w:rPr>
                <w:szCs w:val="20"/>
              </w:rPr>
              <w:t>425</w:t>
            </w:r>
          </w:p>
        </w:tc>
      </w:tr>
      <w:tr w:rsidR="00CA14AB" w:rsidRPr="00E00B35" w:rsidTr="00CA14AB">
        <w:tc>
          <w:tcPr>
            <w:tcW w:w="1826" w:type="dxa"/>
            <w:shd w:val="pct12" w:color="auto" w:fill="auto"/>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Liczba odmów</w:t>
            </w:r>
          </w:p>
          <w:p w:rsidR="00CA14AB" w:rsidRPr="00E00B35" w:rsidRDefault="00CA14AB" w:rsidP="00E00B35">
            <w:pPr>
              <w:spacing w:after="0" w:line="312" w:lineRule="auto"/>
              <w:rPr>
                <w:szCs w:val="20"/>
              </w:rPr>
            </w:pPr>
          </w:p>
        </w:tc>
        <w:tc>
          <w:tcPr>
            <w:tcW w:w="1740" w:type="dxa"/>
            <w:vAlign w:val="center"/>
          </w:tcPr>
          <w:p w:rsidR="00CA14AB" w:rsidRPr="00E00B35" w:rsidRDefault="00CA14AB" w:rsidP="00E00B35">
            <w:pPr>
              <w:spacing w:after="0" w:line="312" w:lineRule="auto"/>
              <w:rPr>
                <w:szCs w:val="20"/>
              </w:rPr>
            </w:pPr>
            <w:r w:rsidRPr="00E00B35">
              <w:rPr>
                <w:szCs w:val="20"/>
              </w:rPr>
              <w:t>3</w:t>
            </w:r>
          </w:p>
        </w:tc>
        <w:tc>
          <w:tcPr>
            <w:tcW w:w="1551" w:type="dxa"/>
            <w:vAlign w:val="center"/>
          </w:tcPr>
          <w:p w:rsidR="00CA14AB" w:rsidRPr="00E00B35" w:rsidRDefault="00CA14AB" w:rsidP="00E00B35">
            <w:pPr>
              <w:spacing w:after="0" w:line="312" w:lineRule="auto"/>
              <w:rPr>
                <w:szCs w:val="20"/>
              </w:rPr>
            </w:pPr>
            <w:r w:rsidRPr="00E00B35">
              <w:rPr>
                <w:szCs w:val="20"/>
              </w:rPr>
              <w:t>6</w:t>
            </w:r>
          </w:p>
        </w:tc>
        <w:tc>
          <w:tcPr>
            <w:tcW w:w="1787" w:type="dxa"/>
            <w:vAlign w:val="center"/>
          </w:tcPr>
          <w:p w:rsidR="00CA14AB" w:rsidRPr="00E00B35" w:rsidRDefault="00CA14AB" w:rsidP="00E00B35">
            <w:pPr>
              <w:spacing w:after="0" w:line="312" w:lineRule="auto"/>
              <w:rPr>
                <w:szCs w:val="20"/>
              </w:rPr>
            </w:pPr>
            <w:r w:rsidRPr="00E00B35">
              <w:rPr>
                <w:szCs w:val="20"/>
              </w:rPr>
              <w:t>5</w:t>
            </w:r>
          </w:p>
        </w:tc>
        <w:tc>
          <w:tcPr>
            <w:tcW w:w="1551" w:type="dxa"/>
            <w:vAlign w:val="center"/>
          </w:tcPr>
          <w:p w:rsidR="00CA14AB" w:rsidRPr="00E00B35" w:rsidRDefault="00CA14AB" w:rsidP="00E00B35">
            <w:pPr>
              <w:spacing w:after="0" w:line="312" w:lineRule="auto"/>
              <w:rPr>
                <w:szCs w:val="20"/>
              </w:rPr>
            </w:pPr>
            <w:r w:rsidRPr="00E00B35">
              <w:rPr>
                <w:szCs w:val="20"/>
              </w:rPr>
              <w:t>0</w:t>
            </w:r>
          </w:p>
        </w:tc>
        <w:tc>
          <w:tcPr>
            <w:tcW w:w="1377" w:type="dxa"/>
            <w:vAlign w:val="center"/>
          </w:tcPr>
          <w:p w:rsidR="00CA14AB" w:rsidRPr="00E00B35" w:rsidRDefault="00CA14AB" w:rsidP="00E00B35">
            <w:pPr>
              <w:spacing w:after="0" w:line="312" w:lineRule="auto"/>
              <w:rPr>
                <w:szCs w:val="20"/>
              </w:rPr>
            </w:pPr>
            <w:r w:rsidRPr="00E00B35">
              <w:rPr>
                <w:szCs w:val="20"/>
              </w:rPr>
              <w:t>14</w:t>
            </w:r>
          </w:p>
        </w:tc>
      </w:tr>
      <w:tr w:rsidR="00CA14AB" w:rsidRPr="00E00B35" w:rsidTr="00CA14AB">
        <w:tc>
          <w:tcPr>
            <w:tcW w:w="1826" w:type="dxa"/>
            <w:shd w:val="pct12" w:color="auto" w:fill="auto"/>
            <w:vAlign w:val="center"/>
          </w:tcPr>
          <w:p w:rsidR="00CA14AB" w:rsidRPr="00E00B35" w:rsidRDefault="00CA14AB" w:rsidP="00E00B35">
            <w:pPr>
              <w:spacing w:after="0" w:line="312" w:lineRule="auto"/>
              <w:rPr>
                <w:szCs w:val="20"/>
              </w:rPr>
            </w:pPr>
            <w:r w:rsidRPr="00E00B35">
              <w:rPr>
                <w:szCs w:val="20"/>
              </w:rPr>
              <w:t>Łączna kwota przyznana [zł]</w:t>
            </w:r>
          </w:p>
        </w:tc>
        <w:tc>
          <w:tcPr>
            <w:tcW w:w="1740" w:type="dxa"/>
            <w:vAlign w:val="center"/>
          </w:tcPr>
          <w:p w:rsidR="00CA14AB" w:rsidRPr="00E00B35" w:rsidRDefault="00CA14AB" w:rsidP="00E00B35">
            <w:pPr>
              <w:spacing w:after="0" w:line="312" w:lineRule="auto"/>
              <w:rPr>
                <w:szCs w:val="20"/>
              </w:rPr>
            </w:pPr>
            <w:r w:rsidRPr="00E00B35">
              <w:rPr>
                <w:szCs w:val="20"/>
              </w:rPr>
              <w:t>10 321,08</w:t>
            </w:r>
          </w:p>
        </w:tc>
        <w:tc>
          <w:tcPr>
            <w:tcW w:w="1551" w:type="dxa"/>
            <w:vAlign w:val="center"/>
          </w:tcPr>
          <w:p w:rsidR="00CA14AB" w:rsidRPr="00E00B35" w:rsidRDefault="00CA14AB" w:rsidP="00E00B35">
            <w:pPr>
              <w:spacing w:after="0" w:line="312" w:lineRule="auto"/>
              <w:rPr>
                <w:szCs w:val="20"/>
              </w:rPr>
            </w:pPr>
            <w:r w:rsidRPr="00E00B35">
              <w:rPr>
                <w:szCs w:val="20"/>
              </w:rPr>
              <w:t>100 504,70</w:t>
            </w:r>
          </w:p>
        </w:tc>
        <w:tc>
          <w:tcPr>
            <w:tcW w:w="1787" w:type="dxa"/>
            <w:vAlign w:val="center"/>
          </w:tcPr>
          <w:p w:rsidR="00CA14AB" w:rsidRPr="00E00B35" w:rsidRDefault="00CA14AB" w:rsidP="00E00B35">
            <w:pPr>
              <w:spacing w:after="0" w:line="312" w:lineRule="auto"/>
              <w:rPr>
                <w:szCs w:val="20"/>
              </w:rPr>
            </w:pPr>
            <w:r w:rsidRPr="00E00B35">
              <w:rPr>
                <w:szCs w:val="20"/>
              </w:rPr>
              <w:t>138 404,47</w:t>
            </w:r>
          </w:p>
        </w:tc>
        <w:tc>
          <w:tcPr>
            <w:tcW w:w="1551" w:type="dxa"/>
            <w:vAlign w:val="center"/>
          </w:tcPr>
          <w:p w:rsidR="00CA14AB" w:rsidRPr="00E00B35" w:rsidRDefault="00CA14AB" w:rsidP="00E00B35">
            <w:pPr>
              <w:spacing w:after="0" w:line="312" w:lineRule="auto"/>
              <w:rPr>
                <w:szCs w:val="20"/>
              </w:rPr>
            </w:pPr>
            <w:r w:rsidRPr="00E00B35">
              <w:rPr>
                <w:szCs w:val="20"/>
              </w:rPr>
              <w:t>0,00</w:t>
            </w:r>
          </w:p>
        </w:tc>
        <w:tc>
          <w:tcPr>
            <w:tcW w:w="1377" w:type="dxa"/>
            <w:vAlign w:val="center"/>
          </w:tcPr>
          <w:p w:rsidR="00CA14AB" w:rsidRPr="00E00B35" w:rsidRDefault="00CA14AB" w:rsidP="00E00B35">
            <w:pPr>
              <w:spacing w:after="0" w:line="312" w:lineRule="auto"/>
              <w:rPr>
                <w:szCs w:val="20"/>
              </w:rPr>
            </w:pPr>
            <w:r w:rsidRPr="00E00B35">
              <w:rPr>
                <w:szCs w:val="20"/>
              </w:rPr>
              <w:t>249 230,25</w:t>
            </w:r>
          </w:p>
        </w:tc>
      </w:tr>
    </w:tbl>
    <w:p w:rsidR="00436BC1" w:rsidRPr="00E00B35" w:rsidRDefault="00436BC1"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Lokalny Program Osłonowy w latach 2019-2020</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53"/>
        <w:gridCol w:w="3054"/>
        <w:gridCol w:w="3260"/>
      </w:tblGrid>
      <w:tr w:rsidR="00CA14AB" w:rsidRPr="00E00B35" w:rsidTr="00CA14AB">
        <w:tc>
          <w:tcPr>
            <w:tcW w:w="2753" w:type="dxa"/>
            <w:tcBorders>
              <w:bottom w:val="single" w:sz="4" w:space="0" w:color="000000"/>
            </w:tcBorders>
            <w:shd w:val="pct12" w:color="auto" w:fill="auto"/>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Wnioski i odmowy</w:t>
            </w:r>
          </w:p>
          <w:p w:rsidR="00CA14AB" w:rsidRPr="00E00B35" w:rsidRDefault="00CA14AB" w:rsidP="00E00B35">
            <w:pPr>
              <w:spacing w:after="0" w:line="312" w:lineRule="auto"/>
              <w:rPr>
                <w:szCs w:val="20"/>
              </w:rPr>
            </w:pPr>
          </w:p>
        </w:tc>
        <w:tc>
          <w:tcPr>
            <w:tcW w:w="3054" w:type="dxa"/>
            <w:shd w:val="pct12" w:color="auto" w:fill="auto"/>
            <w:vAlign w:val="center"/>
          </w:tcPr>
          <w:p w:rsidR="00CA14AB" w:rsidRPr="00E00B35" w:rsidRDefault="00CA14AB" w:rsidP="00E00B35">
            <w:pPr>
              <w:spacing w:after="0" w:line="312" w:lineRule="auto"/>
              <w:rPr>
                <w:szCs w:val="20"/>
              </w:rPr>
            </w:pPr>
            <w:r w:rsidRPr="00E00B35">
              <w:rPr>
                <w:szCs w:val="20"/>
              </w:rPr>
              <w:t>2019</w:t>
            </w:r>
          </w:p>
        </w:tc>
        <w:tc>
          <w:tcPr>
            <w:tcW w:w="3260" w:type="dxa"/>
            <w:shd w:val="pct12" w:color="auto" w:fill="auto"/>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573"/>
        </w:trPr>
        <w:tc>
          <w:tcPr>
            <w:tcW w:w="2753" w:type="dxa"/>
            <w:shd w:val="pct12" w:color="auto" w:fill="auto"/>
            <w:vAlign w:val="center"/>
          </w:tcPr>
          <w:p w:rsidR="00CA14AB" w:rsidRPr="00E00B35" w:rsidRDefault="00CA14AB" w:rsidP="00E00B35">
            <w:pPr>
              <w:spacing w:after="0" w:line="312" w:lineRule="auto"/>
              <w:rPr>
                <w:szCs w:val="20"/>
              </w:rPr>
            </w:pPr>
            <w:r w:rsidRPr="00E00B35">
              <w:rPr>
                <w:szCs w:val="20"/>
              </w:rPr>
              <w:t>Liczba wniosków złożonych</w:t>
            </w:r>
          </w:p>
        </w:tc>
        <w:tc>
          <w:tcPr>
            <w:tcW w:w="3054" w:type="dxa"/>
            <w:vAlign w:val="center"/>
          </w:tcPr>
          <w:p w:rsidR="00CA14AB" w:rsidRPr="00E00B35" w:rsidRDefault="00CA14AB" w:rsidP="00E00B35">
            <w:pPr>
              <w:spacing w:after="0" w:line="312" w:lineRule="auto"/>
              <w:rPr>
                <w:szCs w:val="20"/>
              </w:rPr>
            </w:pPr>
            <w:r w:rsidRPr="00E00B35">
              <w:rPr>
                <w:szCs w:val="20"/>
              </w:rPr>
              <w:t>206</w:t>
            </w:r>
          </w:p>
        </w:tc>
        <w:tc>
          <w:tcPr>
            <w:tcW w:w="3260" w:type="dxa"/>
            <w:vAlign w:val="center"/>
          </w:tcPr>
          <w:p w:rsidR="00CA14AB" w:rsidRPr="00E00B35" w:rsidRDefault="00CA14AB" w:rsidP="00E00B35">
            <w:pPr>
              <w:spacing w:after="0" w:line="312" w:lineRule="auto"/>
              <w:rPr>
                <w:szCs w:val="20"/>
              </w:rPr>
            </w:pPr>
            <w:r w:rsidRPr="00E00B35">
              <w:rPr>
                <w:szCs w:val="20"/>
              </w:rPr>
              <w:t>258</w:t>
            </w:r>
          </w:p>
        </w:tc>
      </w:tr>
      <w:tr w:rsidR="00CA14AB" w:rsidRPr="00E00B35" w:rsidTr="00CA14AB">
        <w:tc>
          <w:tcPr>
            <w:tcW w:w="2753" w:type="dxa"/>
            <w:shd w:val="pct12" w:color="auto" w:fill="auto"/>
            <w:vAlign w:val="center"/>
          </w:tcPr>
          <w:p w:rsidR="00CA14AB" w:rsidRPr="00E00B35" w:rsidRDefault="00CA14AB" w:rsidP="00E00B35">
            <w:pPr>
              <w:spacing w:after="0" w:line="312" w:lineRule="auto"/>
              <w:rPr>
                <w:szCs w:val="20"/>
              </w:rPr>
            </w:pPr>
            <w:r w:rsidRPr="00E00B35">
              <w:rPr>
                <w:szCs w:val="20"/>
              </w:rPr>
              <w:t>Liczba wniosków rozpatrzonych pozytywnie</w:t>
            </w:r>
          </w:p>
        </w:tc>
        <w:tc>
          <w:tcPr>
            <w:tcW w:w="3054" w:type="dxa"/>
            <w:vAlign w:val="center"/>
          </w:tcPr>
          <w:p w:rsidR="00CA14AB" w:rsidRPr="00E00B35" w:rsidRDefault="00CA14AB" w:rsidP="00E00B35">
            <w:pPr>
              <w:spacing w:after="0" w:line="312" w:lineRule="auto"/>
              <w:rPr>
                <w:szCs w:val="20"/>
              </w:rPr>
            </w:pPr>
            <w:r w:rsidRPr="00E00B35">
              <w:rPr>
                <w:szCs w:val="20"/>
              </w:rPr>
              <w:t>174</w:t>
            </w:r>
          </w:p>
        </w:tc>
        <w:tc>
          <w:tcPr>
            <w:tcW w:w="3260" w:type="dxa"/>
            <w:vAlign w:val="center"/>
          </w:tcPr>
          <w:p w:rsidR="00CA14AB" w:rsidRPr="00E00B35" w:rsidRDefault="00CA14AB" w:rsidP="00E00B35">
            <w:pPr>
              <w:spacing w:after="0" w:line="312" w:lineRule="auto"/>
              <w:rPr>
                <w:szCs w:val="20"/>
              </w:rPr>
            </w:pPr>
            <w:r w:rsidRPr="00E00B35">
              <w:rPr>
                <w:szCs w:val="20"/>
              </w:rPr>
              <w:t>251</w:t>
            </w:r>
          </w:p>
        </w:tc>
      </w:tr>
      <w:tr w:rsidR="00CA14AB" w:rsidRPr="00E00B35" w:rsidTr="00CA14AB">
        <w:tc>
          <w:tcPr>
            <w:tcW w:w="2753" w:type="dxa"/>
            <w:shd w:val="pct12" w:color="auto" w:fill="auto"/>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Liczba odmów</w:t>
            </w:r>
          </w:p>
          <w:p w:rsidR="00CA14AB" w:rsidRPr="00E00B35" w:rsidRDefault="00CA14AB" w:rsidP="00E00B35">
            <w:pPr>
              <w:spacing w:after="0" w:line="312" w:lineRule="auto"/>
              <w:rPr>
                <w:szCs w:val="20"/>
              </w:rPr>
            </w:pPr>
          </w:p>
        </w:tc>
        <w:tc>
          <w:tcPr>
            <w:tcW w:w="3054" w:type="dxa"/>
            <w:vAlign w:val="center"/>
          </w:tcPr>
          <w:p w:rsidR="00CA14AB" w:rsidRPr="00E00B35" w:rsidRDefault="00CA14AB" w:rsidP="00E00B35">
            <w:pPr>
              <w:spacing w:after="0" w:line="312" w:lineRule="auto"/>
              <w:rPr>
                <w:szCs w:val="20"/>
              </w:rPr>
            </w:pPr>
            <w:r w:rsidRPr="00E00B35">
              <w:rPr>
                <w:szCs w:val="20"/>
              </w:rPr>
              <w:t>9</w:t>
            </w:r>
          </w:p>
        </w:tc>
        <w:tc>
          <w:tcPr>
            <w:tcW w:w="3260" w:type="dxa"/>
            <w:vAlign w:val="center"/>
          </w:tcPr>
          <w:p w:rsidR="00CA14AB" w:rsidRPr="00E00B35" w:rsidRDefault="00CA14AB" w:rsidP="00E00B35">
            <w:pPr>
              <w:spacing w:after="0" w:line="312" w:lineRule="auto"/>
              <w:rPr>
                <w:szCs w:val="20"/>
              </w:rPr>
            </w:pPr>
            <w:r w:rsidRPr="00E00B35">
              <w:rPr>
                <w:szCs w:val="20"/>
              </w:rPr>
              <w:t>5</w:t>
            </w:r>
          </w:p>
        </w:tc>
      </w:tr>
      <w:tr w:rsidR="00CA14AB" w:rsidRPr="00E00B35" w:rsidTr="00CA14AB">
        <w:trPr>
          <w:trHeight w:val="715"/>
        </w:trPr>
        <w:tc>
          <w:tcPr>
            <w:tcW w:w="2753" w:type="dxa"/>
            <w:shd w:val="pct12" w:color="auto" w:fill="auto"/>
            <w:vAlign w:val="center"/>
          </w:tcPr>
          <w:p w:rsidR="00CA14AB" w:rsidRPr="00E00B35" w:rsidRDefault="00CA14AB" w:rsidP="00E00B35">
            <w:pPr>
              <w:spacing w:after="0" w:line="312" w:lineRule="auto"/>
              <w:rPr>
                <w:szCs w:val="20"/>
              </w:rPr>
            </w:pPr>
            <w:r w:rsidRPr="00E00B35">
              <w:rPr>
                <w:szCs w:val="20"/>
              </w:rPr>
              <w:t>Łączna kwota przyznana [zł]</w:t>
            </w:r>
          </w:p>
        </w:tc>
        <w:tc>
          <w:tcPr>
            <w:tcW w:w="3054" w:type="dxa"/>
            <w:vAlign w:val="center"/>
          </w:tcPr>
          <w:p w:rsidR="00CA14AB" w:rsidRPr="00E00B35" w:rsidRDefault="00CA14AB" w:rsidP="00E00B35">
            <w:pPr>
              <w:spacing w:after="0" w:line="312" w:lineRule="auto"/>
              <w:rPr>
                <w:szCs w:val="20"/>
              </w:rPr>
            </w:pPr>
            <w:r w:rsidRPr="00E00B35">
              <w:rPr>
                <w:szCs w:val="20"/>
              </w:rPr>
              <w:t>95 541,97</w:t>
            </w:r>
          </w:p>
        </w:tc>
        <w:tc>
          <w:tcPr>
            <w:tcW w:w="3260" w:type="dxa"/>
            <w:vAlign w:val="center"/>
          </w:tcPr>
          <w:p w:rsidR="00CA14AB" w:rsidRPr="00E00B35" w:rsidRDefault="00CA14AB" w:rsidP="00E00B35">
            <w:pPr>
              <w:spacing w:after="0" w:line="312" w:lineRule="auto"/>
              <w:rPr>
                <w:szCs w:val="20"/>
              </w:rPr>
            </w:pPr>
            <w:r w:rsidRPr="00E00B35">
              <w:rPr>
                <w:szCs w:val="20"/>
              </w:rPr>
              <w:t>153 688,28</w:t>
            </w:r>
          </w:p>
        </w:tc>
      </w:tr>
      <w:bookmarkEnd w:id="480"/>
    </w:tbl>
    <w:p w:rsidR="00436BC1" w:rsidRPr="00E00B35" w:rsidRDefault="00436BC1"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DZIAŁ FINANSOWY – SEKCJA WINDYKACJI w 2020</w:t>
      </w:r>
      <w:r w:rsidR="00436BC1" w:rsidRPr="00E00B35">
        <w:rPr>
          <w:szCs w:val="20"/>
        </w:rPr>
        <w:t xml:space="preserve"> </w:t>
      </w:r>
      <w:r w:rsidRPr="00E00B35">
        <w:rPr>
          <w:szCs w:val="20"/>
        </w:rPr>
        <w:t>r. wystawiała upomnienia osobom, które otrzymały decyzje o nienależnie pobranych świadczeniach lub żądaniach zwrotu świadczeń. Ilość wystawionych upomnień, tytułów wykonawczych oraz ilość decyzji o układach ratalnych z klientem przedstawia poniższa tabela.</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Działalność w zakresie procedury windykacyjnej przedstawia się następująco:</w:t>
      </w:r>
    </w:p>
    <w:tbl>
      <w:tblPr>
        <w:tblW w:w="9640" w:type="dxa"/>
        <w:tblInd w:w="-72" w:type="dxa"/>
        <w:tblLayout w:type="fixed"/>
        <w:tblCellMar>
          <w:left w:w="70" w:type="dxa"/>
          <w:right w:w="70" w:type="dxa"/>
        </w:tblCellMar>
        <w:tblLook w:val="04A0"/>
      </w:tblPr>
      <w:tblGrid>
        <w:gridCol w:w="568"/>
        <w:gridCol w:w="1275"/>
        <w:gridCol w:w="709"/>
        <w:gridCol w:w="1418"/>
        <w:gridCol w:w="850"/>
        <w:gridCol w:w="1541"/>
        <w:gridCol w:w="1294"/>
        <w:gridCol w:w="709"/>
        <w:gridCol w:w="1276"/>
      </w:tblGrid>
      <w:tr w:rsidR="00CA14AB" w:rsidRPr="00E00B35" w:rsidTr="00CA14AB">
        <w:trPr>
          <w:trHeight w:val="1032"/>
        </w:trPr>
        <w:tc>
          <w:tcPr>
            <w:tcW w:w="568" w:type="dxa"/>
            <w:vMerge w:val="restart"/>
            <w:tcBorders>
              <w:top w:val="single" w:sz="8" w:space="0" w:color="auto"/>
              <w:left w:val="single" w:sz="8" w:space="0" w:color="auto"/>
              <w:right w:val="nil"/>
            </w:tcBorders>
            <w:shd w:val="clear" w:color="000000" w:fill="BFBFBF"/>
            <w:noWrap/>
            <w:vAlign w:val="center"/>
            <w:hideMark/>
          </w:tcPr>
          <w:p w:rsidR="00CA14AB" w:rsidRPr="00E00B35" w:rsidRDefault="00CA14AB" w:rsidP="00E00B35">
            <w:pPr>
              <w:spacing w:after="0" w:line="312" w:lineRule="auto"/>
              <w:rPr>
                <w:szCs w:val="20"/>
              </w:rPr>
            </w:pPr>
            <w:r w:rsidRPr="00E00B35">
              <w:rPr>
                <w:szCs w:val="20"/>
              </w:rPr>
              <w:t>Lp.</w:t>
            </w:r>
          </w:p>
          <w:p w:rsidR="00CA14AB" w:rsidRPr="00E00B35" w:rsidRDefault="00CA14AB" w:rsidP="00E00B35">
            <w:pPr>
              <w:spacing w:after="0" w:line="312" w:lineRule="auto"/>
              <w:rPr>
                <w:szCs w:val="20"/>
              </w:rPr>
            </w:pPr>
          </w:p>
        </w:tc>
        <w:tc>
          <w:tcPr>
            <w:tcW w:w="1275" w:type="dxa"/>
            <w:vMerge w:val="restart"/>
            <w:tcBorders>
              <w:top w:val="single" w:sz="8" w:space="0" w:color="auto"/>
              <w:left w:val="single" w:sz="8" w:space="0" w:color="auto"/>
              <w:right w:val="single" w:sz="8" w:space="0" w:color="auto"/>
            </w:tcBorders>
            <w:shd w:val="clear" w:color="000000" w:fill="BFBFBF"/>
            <w:noWrap/>
            <w:vAlign w:val="center"/>
            <w:hideMark/>
          </w:tcPr>
          <w:p w:rsidR="00CA14AB" w:rsidRPr="00E00B35" w:rsidRDefault="00CA14AB" w:rsidP="00E00B35">
            <w:pPr>
              <w:spacing w:after="0" w:line="312" w:lineRule="auto"/>
              <w:rPr>
                <w:szCs w:val="20"/>
              </w:rPr>
            </w:pPr>
            <w:r w:rsidRPr="00E00B35">
              <w:rPr>
                <w:szCs w:val="20"/>
              </w:rPr>
              <w:t>Treść</w:t>
            </w:r>
          </w:p>
          <w:p w:rsidR="00CA14AB" w:rsidRPr="00E00B35" w:rsidRDefault="00CA14AB" w:rsidP="00E00B35">
            <w:pPr>
              <w:spacing w:after="0" w:line="312" w:lineRule="auto"/>
              <w:rPr>
                <w:szCs w:val="20"/>
              </w:rPr>
            </w:pPr>
          </w:p>
        </w:tc>
        <w:tc>
          <w:tcPr>
            <w:tcW w:w="2127" w:type="dxa"/>
            <w:gridSpan w:val="2"/>
            <w:tcBorders>
              <w:top w:val="single" w:sz="8" w:space="0" w:color="auto"/>
              <w:left w:val="nil"/>
              <w:bottom w:val="single" w:sz="4" w:space="0" w:color="auto"/>
              <w:right w:val="nil"/>
            </w:tcBorders>
            <w:shd w:val="clear" w:color="000000" w:fill="BFBFBF"/>
            <w:vAlign w:val="center"/>
            <w:hideMark/>
          </w:tcPr>
          <w:p w:rsidR="00CA14AB" w:rsidRPr="00E00B35" w:rsidRDefault="00CA14AB" w:rsidP="00E00B35">
            <w:pPr>
              <w:spacing w:after="0" w:line="312" w:lineRule="auto"/>
              <w:rPr>
                <w:szCs w:val="20"/>
              </w:rPr>
            </w:pPr>
            <w:r w:rsidRPr="00E00B35">
              <w:rPr>
                <w:szCs w:val="20"/>
              </w:rPr>
              <w:t>Dział Świadczeń Rodzinnych</w:t>
            </w:r>
          </w:p>
        </w:tc>
        <w:tc>
          <w:tcPr>
            <w:tcW w:w="2391" w:type="dxa"/>
            <w:gridSpan w:val="2"/>
            <w:tcBorders>
              <w:top w:val="single" w:sz="8" w:space="0" w:color="auto"/>
              <w:left w:val="single" w:sz="8" w:space="0" w:color="auto"/>
              <w:bottom w:val="single" w:sz="4" w:space="0" w:color="auto"/>
              <w:right w:val="nil"/>
            </w:tcBorders>
            <w:shd w:val="clear" w:color="000000" w:fill="BFBFBF"/>
            <w:vAlign w:val="center"/>
            <w:hideMark/>
          </w:tcPr>
          <w:p w:rsidR="00CA14AB" w:rsidRPr="00E00B35" w:rsidRDefault="00CA14AB" w:rsidP="00E00B35">
            <w:pPr>
              <w:spacing w:after="0" w:line="312" w:lineRule="auto"/>
              <w:rPr>
                <w:szCs w:val="20"/>
              </w:rPr>
            </w:pPr>
            <w:r w:rsidRPr="00E00B35">
              <w:rPr>
                <w:szCs w:val="20"/>
              </w:rPr>
              <w:t>Pomoc Społeczna</w:t>
            </w:r>
          </w:p>
        </w:tc>
        <w:tc>
          <w:tcPr>
            <w:tcW w:w="1294" w:type="dxa"/>
            <w:vMerge w:val="restart"/>
            <w:tcBorders>
              <w:top w:val="single" w:sz="8" w:space="0" w:color="auto"/>
              <w:left w:val="single" w:sz="8" w:space="0" w:color="auto"/>
              <w:right w:val="nil"/>
            </w:tcBorders>
            <w:shd w:val="clear" w:color="000000" w:fill="BFBFBF"/>
            <w:vAlign w:val="center"/>
            <w:hideMark/>
          </w:tcPr>
          <w:p w:rsidR="00CA14AB" w:rsidRPr="00E00B35" w:rsidRDefault="00CA14AB" w:rsidP="00E00B35">
            <w:pPr>
              <w:spacing w:after="0" w:line="312" w:lineRule="auto"/>
              <w:rPr>
                <w:szCs w:val="20"/>
              </w:rPr>
            </w:pPr>
            <w:r w:rsidRPr="00E00B35">
              <w:rPr>
                <w:szCs w:val="20"/>
              </w:rPr>
              <w:t>Fundusz alimenta-cyjny</w:t>
            </w:r>
          </w:p>
        </w:tc>
        <w:tc>
          <w:tcPr>
            <w:tcW w:w="1985" w:type="dxa"/>
            <w:gridSpan w:val="2"/>
            <w:tcBorders>
              <w:top w:val="single" w:sz="8" w:space="0" w:color="auto"/>
              <w:left w:val="single" w:sz="8" w:space="0" w:color="auto"/>
              <w:bottom w:val="single" w:sz="4" w:space="0" w:color="auto"/>
              <w:right w:val="single" w:sz="4" w:space="0" w:color="auto"/>
            </w:tcBorders>
            <w:shd w:val="clear" w:color="000000" w:fill="BFBFBF"/>
            <w:vAlign w:val="center"/>
            <w:hideMark/>
          </w:tcPr>
          <w:p w:rsidR="00CA14AB" w:rsidRPr="00E00B35" w:rsidRDefault="00CA14AB" w:rsidP="00E00B35">
            <w:pPr>
              <w:spacing w:after="0" w:line="312" w:lineRule="auto"/>
              <w:rPr>
                <w:szCs w:val="20"/>
              </w:rPr>
            </w:pPr>
            <w:r w:rsidRPr="00E00B35">
              <w:rPr>
                <w:szCs w:val="20"/>
              </w:rPr>
              <w:t>Dział Wsparcia Mieszkańców</w:t>
            </w:r>
          </w:p>
        </w:tc>
      </w:tr>
      <w:tr w:rsidR="00CA14AB" w:rsidRPr="00E00B35" w:rsidTr="00CA14AB">
        <w:trPr>
          <w:trHeight w:val="653"/>
        </w:trPr>
        <w:tc>
          <w:tcPr>
            <w:tcW w:w="568" w:type="dxa"/>
            <w:vMerge/>
            <w:tcBorders>
              <w:left w:val="single" w:sz="8" w:space="0" w:color="auto"/>
              <w:bottom w:val="single" w:sz="8" w:space="0" w:color="auto"/>
              <w:right w:val="single" w:sz="8" w:space="0" w:color="auto"/>
            </w:tcBorders>
            <w:shd w:val="clear" w:color="auto" w:fill="auto"/>
            <w:noWrap/>
            <w:vAlign w:val="center"/>
            <w:hideMark/>
          </w:tcPr>
          <w:p w:rsidR="00CA14AB" w:rsidRPr="00E00B35" w:rsidRDefault="00CA14AB" w:rsidP="00E00B35">
            <w:pPr>
              <w:spacing w:after="0" w:line="312" w:lineRule="auto"/>
              <w:rPr>
                <w:szCs w:val="20"/>
              </w:rPr>
            </w:pPr>
          </w:p>
        </w:tc>
        <w:tc>
          <w:tcPr>
            <w:tcW w:w="1275" w:type="dxa"/>
            <w:vMerge/>
            <w:tcBorders>
              <w:left w:val="single" w:sz="8" w:space="0" w:color="auto"/>
              <w:bottom w:val="single" w:sz="8" w:space="0" w:color="auto"/>
              <w:right w:val="single" w:sz="8" w:space="0" w:color="auto"/>
            </w:tcBorders>
            <w:shd w:val="clear" w:color="auto" w:fill="auto"/>
            <w:noWrap/>
            <w:vAlign w:val="center"/>
            <w:hideMark/>
          </w:tcPr>
          <w:p w:rsidR="00CA14AB" w:rsidRPr="00E00B35" w:rsidRDefault="00CA14AB" w:rsidP="00E00B35">
            <w:pPr>
              <w:spacing w:after="0" w:line="312" w:lineRule="auto"/>
              <w:rPr>
                <w:szCs w:val="20"/>
              </w:rPr>
            </w:pPr>
          </w:p>
        </w:tc>
        <w:tc>
          <w:tcPr>
            <w:tcW w:w="709" w:type="dxa"/>
            <w:tcBorders>
              <w:top w:val="single" w:sz="4" w:space="0" w:color="auto"/>
              <w:left w:val="single" w:sz="8" w:space="0" w:color="auto"/>
              <w:bottom w:val="single" w:sz="8" w:space="0" w:color="auto"/>
              <w:right w:val="nil"/>
            </w:tcBorders>
            <w:shd w:val="pct15" w:color="auto" w:fill="auto"/>
            <w:vAlign w:val="center"/>
            <w:hideMark/>
          </w:tcPr>
          <w:p w:rsidR="00CA14AB" w:rsidRPr="00E00B35" w:rsidRDefault="00CA14AB" w:rsidP="00E00B35">
            <w:pPr>
              <w:spacing w:after="0" w:line="312" w:lineRule="auto"/>
              <w:rPr>
                <w:szCs w:val="20"/>
              </w:rPr>
            </w:pPr>
            <w:r w:rsidRPr="00E00B35">
              <w:rPr>
                <w:szCs w:val="20"/>
              </w:rPr>
              <w:t>ilość</w:t>
            </w:r>
          </w:p>
        </w:tc>
        <w:tc>
          <w:tcPr>
            <w:tcW w:w="1418" w:type="dxa"/>
            <w:tcBorders>
              <w:top w:val="single" w:sz="4" w:space="0" w:color="auto"/>
              <w:left w:val="single" w:sz="4" w:space="0" w:color="auto"/>
              <w:bottom w:val="single" w:sz="8" w:space="0" w:color="auto"/>
              <w:right w:val="nil"/>
            </w:tcBorders>
            <w:shd w:val="pct15" w:color="auto" w:fill="auto"/>
            <w:vAlign w:val="center"/>
            <w:hideMark/>
          </w:tcPr>
          <w:p w:rsidR="00CA14AB" w:rsidRPr="00E00B35" w:rsidRDefault="00CA14AB" w:rsidP="00E00B35">
            <w:pPr>
              <w:spacing w:after="0" w:line="312" w:lineRule="auto"/>
              <w:rPr>
                <w:szCs w:val="20"/>
              </w:rPr>
            </w:pPr>
            <w:r w:rsidRPr="00E00B35">
              <w:rPr>
                <w:szCs w:val="20"/>
              </w:rPr>
              <w:t>wartość [zł]</w:t>
            </w:r>
          </w:p>
        </w:tc>
        <w:tc>
          <w:tcPr>
            <w:tcW w:w="850" w:type="dxa"/>
            <w:tcBorders>
              <w:top w:val="single" w:sz="4" w:space="0" w:color="auto"/>
              <w:left w:val="single" w:sz="4" w:space="0" w:color="auto"/>
              <w:bottom w:val="single" w:sz="8" w:space="0" w:color="auto"/>
              <w:right w:val="nil"/>
            </w:tcBorders>
            <w:shd w:val="pct15" w:color="auto" w:fill="auto"/>
            <w:vAlign w:val="center"/>
            <w:hideMark/>
          </w:tcPr>
          <w:p w:rsidR="00CA14AB" w:rsidRPr="00E00B35" w:rsidRDefault="00CA14AB" w:rsidP="00E00B35">
            <w:pPr>
              <w:spacing w:after="0" w:line="312" w:lineRule="auto"/>
              <w:rPr>
                <w:szCs w:val="20"/>
              </w:rPr>
            </w:pPr>
            <w:r w:rsidRPr="00E00B35">
              <w:rPr>
                <w:szCs w:val="20"/>
              </w:rPr>
              <w:t>ilość</w:t>
            </w:r>
          </w:p>
        </w:tc>
        <w:tc>
          <w:tcPr>
            <w:tcW w:w="1541" w:type="dxa"/>
            <w:tcBorders>
              <w:top w:val="single" w:sz="4" w:space="0" w:color="auto"/>
              <w:left w:val="single" w:sz="4" w:space="0" w:color="auto"/>
              <w:bottom w:val="single" w:sz="8" w:space="0" w:color="auto"/>
              <w:right w:val="single" w:sz="8" w:space="0" w:color="auto"/>
            </w:tcBorders>
            <w:shd w:val="pct15" w:color="auto" w:fill="auto"/>
            <w:vAlign w:val="center"/>
            <w:hideMark/>
          </w:tcPr>
          <w:p w:rsidR="00CA14AB" w:rsidRPr="00E00B35" w:rsidRDefault="00CA14AB" w:rsidP="00E00B35">
            <w:pPr>
              <w:spacing w:after="0" w:line="312" w:lineRule="auto"/>
              <w:rPr>
                <w:szCs w:val="20"/>
              </w:rPr>
            </w:pPr>
            <w:r w:rsidRPr="00E00B35">
              <w:rPr>
                <w:szCs w:val="20"/>
              </w:rPr>
              <w:t>wartość [zł]</w:t>
            </w:r>
          </w:p>
        </w:tc>
        <w:tc>
          <w:tcPr>
            <w:tcW w:w="1294" w:type="dxa"/>
            <w:vMerge/>
            <w:tcBorders>
              <w:left w:val="single" w:sz="8" w:space="0" w:color="auto"/>
              <w:bottom w:val="single" w:sz="4" w:space="0" w:color="auto"/>
              <w:right w:val="nil"/>
            </w:tcBorders>
            <w:shd w:val="clear" w:color="auto" w:fill="auto"/>
            <w:vAlign w:val="center"/>
          </w:tcPr>
          <w:p w:rsidR="00CA14AB" w:rsidRPr="00E00B35" w:rsidRDefault="00CA14AB" w:rsidP="00E00B35">
            <w:pPr>
              <w:spacing w:after="0" w:line="312" w:lineRule="auto"/>
              <w:rPr>
                <w:szCs w:val="20"/>
              </w:rPr>
            </w:pPr>
          </w:p>
        </w:tc>
        <w:tc>
          <w:tcPr>
            <w:tcW w:w="709" w:type="dxa"/>
            <w:tcBorders>
              <w:top w:val="single" w:sz="4" w:space="0" w:color="auto"/>
              <w:left w:val="single" w:sz="4" w:space="0" w:color="auto"/>
              <w:bottom w:val="single" w:sz="4" w:space="0" w:color="auto"/>
              <w:right w:val="nil"/>
            </w:tcBorders>
            <w:shd w:val="pct15" w:color="auto" w:fill="auto"/>
            <w:vAlign w:val="center"/>
            <w:hideMark/>
          </w:tcPr>
          <w:p w:rsidR="00CA14AB" w:rsidRPr="00E00B35" w:rsidRDefault="00CA14AB" w:rsidP="00E00B35">
            <w:pPr>
              <w:spacing w:after="0" w:line="312" w:lineRule="auto"/>
              <w:rPr>
                <w:szCs w:val="20"/>
              </w:rPr>
            </w:pPr>
            <w:r w:rsidRPr="00E00B35">
              <w:rPr>
                <w:szCs w:val="20"/>
              </w:rPr>
              <w:t>ilość</w:t>
            </w:r>
          </w:p>
        </w:tc>
        <w:tc>
          <w:tcPr>
            <w:tcW w:w="1276" w:type="dxa"/>
            <w:tcBorders>
              <w:top w:val="single" w:sz="4" w:space="0" w:color="auto"/>
              <w:left w:val="single" w:sz="4" w:space="0" w:color="auto"/>
              <w:bottom w:val="single" w:sz="8" w:space="0" w:color="auto"/>
              <w:right w:val="single" w:sz="4" w:space="0" w:color="auto"/>
            </w:tcBorders>
            <w:shd w:val="pct15" w:color="auto" w:fill="auto"/>
            <w:vAlign w:val="center"/>
            <w:hideMark/>
          </w:tcPr>
          <w:p w:rsidR="00CA14AB" w:rsidRPr="00E00B35" w:rsidRDefault="00CA14AB" w:rsidP="00E00B35">
            <w:pPr>
              <w:spacing w:after="0" w:line="312" w:lineRule="auto"/>
              <w:rPr>
                <w:szCs w:val="20"/>
              </w:rPr>
            </w:pPr>
            <w:r w:rsidRPr="00E00B35">
              <w:rPr>
                <w:szCs w:val="20"/>
              </w:rPr>
              <w:t>wartość [zł]</w:t>
            </w:r>
          </w:p>
        </w:tc>
      </w:tr>
      <w:tr w:rsidR="00CA14AB" w:rsidRPr="00E00B35" w:rsidTr="00CA14AB">
        <w:trPr>
          <w:trHeight w:val="887"/>
        </w:trPr>
        <w:tc>
          <w:tcPr>
            <w:tcW w:w="568" w:type="dxa"/>
            <w:tcBorders>
              <w:top w:val="nil"/>
              <w:left w:val="single" w:sz="8" w:space="0" w:color="auto"/>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lastRenderedPageBreak/>
              <w:t>1</w:t>
            </w:r>
          </w:p>
        </w:tc>
        <w:tc>
          <w:tcPr>
            <w:tcW w:w="1275" w:type="dxa"/>
            <w:tcBorders>
              <w:top w:val="nil"/>
              <w:left w:val="nil"/>
              <w:bottom w:val="single" w:sz="4" w:space="0" w:color="auto"/>
              <w:right w:val="nil"/>
            </w:tcBorders>
            <w:shd w:val="clear" w:color="auto" w:fill="auto"/>
            <w:vAlign w:val="center"/>
            <w:hideMark/>
          </w:tcPr>
          <w:p w:rsidR="00CA14AB" w:rsidRPr="00E00B35" w:rsidRDefault="00CA14AB" w:rsidP="00E00B35">
            <w:pPr>
              <w:spacing w:after="0" w:line="312" w:lineRule="auto"/>
              <w:rPr>
                <w:szCs w:val="20"/>
              </w:rPr>
            </w:pPr>
            <w:r w:rsidRPr="00E00B35">
              <w:rPr>
                <w:szCs w:val="20"/>
              </w:rPr>
              <w:t>wystawiono upomnienia</w:t>
            </w:r>
          </w:p>
        </w:tc>
        <w:tc>
          <w:tcPr>
            <w:tcW w:w="709" w:type="dxa"/>
            <w:tcBorders>
              <w:top w:val="single" w:sz="8" w:space="0" w:color="auto"/>
              <w:left w:val="single" w:sz="8" w:space="0" w:color="auto"/>
              <w:bottom w:val="single" w:sz="4" w:space="0" w:color="auto"/>
              <w:right w:val="nil"/>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334</w:t>
            </w:r>
          </w:p>
        </w:tc>
        <w:tc>
          <w:tcPr>
            <w:tcW w:w="141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764 996,17</w:t>
            </w:r>
          </w:p>
        </w:tc>
        <w:tc>
          <w:tcPr>
            <w:tcW w:w="850" w:type="dxa"/>
            <w:tcBorders>
              <w:top w:val="single" w:sz="8" w:space="0" w:color="auto"/>
              <w:left w:val="nil"/>
              <w:bottom w:val="single" w:sz="4" w:space="0" w:color="auto"/>
              <w:right w:val="nil"/>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964</w:t>
            </w:r>
          </w:p>
        </w:tc>
        <w:tc>
          <w:tcPr>
            <w:tcW w:w="154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1 376 647,60</w:t>
            </w:r>
          </w:p>
        </w:tc>
        <w:tc>
          <w:tcPr>
            <w:tcW w:w="1294" w:type="dxa"/>
            <w:tcBorders>
              <w:top w:val="single" w:sz="8" w:space="0" w:color="auto"/>
              <w:left w:val="nil"/>
              <w:bottom w:val="single" w:sz="4" w:space="0" w:color="auto"/>
              <w:right w:val="single" w:sz="8"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Prowadzą komornicy</w:t>
            </w:r>
          </w:p>
        </w:tc>
        <w:tc>
          <w:tcPr>
            <w:tcW w:w="709" w:type="dxa"/>
            <w:tcBorders>
              <w:top w:val="single" w:sz="8" w:space="0" w:color="auto"/>
              <w:left w:val="nil"/>
              <w:bottom w:val="single" w:sz="4" w:space="0" w:color="auto"/>
              <w:right w:val="nil"/>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0</w:t>
            </w:r>
          </w:p>
        </w:tc>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799"/>
        </w:trPr>
        <w:tc>
          <w:tcPr>
            <w:tcW w:w="56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2</w:t>
            </w:r>
          </w:p>
        </w:tc>
        <w:tc>
          <w:tcPr>
            <w:tcW w:w="1275" w:type="dxa"/>
            <w:tcBorders>
              <w:top w:val="nil"/>
              <w:left w:val="nil"/>
              <w:bottom w:val="single" w:sz="8" w:space="0" w:color="auto"/>
              <w:right w:val="nil"/>
            </w:tcBorders>
            <w:shd w:val="clear" w:color="auto" w:fill="auto"/>
            <w:vAlign w:val="center"/>
            <w:hideMark/>
          </w:tcPr>
          <w:p w:rsidR="00CA14AB" w:rsidRPr="00E00B35" w:rsidRDefault="00CA14AB" w:rsidP="00E00B35">
            <w:pPr>
              <w:spacing w:after="0" w:line="312" w:lineRule="auto"/>
              <w:rPr>
                <w:szCs w:val="20"/>
              </w:rPr>
            </w:pPr>
            <w:r w:rsidRPr="00E00B35">
              <w:rPr>
                <w:szCs w:val="20"/>
              </w:rPr>
              <w:t xml:space="preserve">Wystawiono tytuły wykonawcze </w:t>
            </w:r>
          </w:p>
        </w:tc>
        <w:tc>
          <w:tcPr>
            <w:tcW w:w="709" w:type="dxa"/>
            <w:tcBorders>
              <w:top w:val="nil"/>
              <w:left w:val="single" w:sz="8" w:space="0" w:color="auto"/>
              <w:bottom w:val="single" w:sz="8" w:space="0" w:color="auto"/>
              <w:right w:val="nil"/>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230</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419 399,20</w:t>
            </w:r>
          </w:p>
        </w:tc>
        <w:tc>
          <w:tcPr>
            <w:tcW w:w="850" w:type="dxa"/>
            <w:tcBorders>
              <w:top w:val="nil"/>
              <w:left w:val="nil"/>
              <w:bottom w:val="single" w:sz="8" w:space="0" w:color="auto"/>
              <w:right w:val="nil"/>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854</w:t>
            </w:r>
          </w:p>
        </w:tc>
        <w:tc>
          <w:tcPr>
            <w:tcW w:w="1541" w:type="dxa"/>
            <w:tcBorders>
              <w:top w:val="nil"/>
              <w:left w:val="single" w:sz="8" w:space="0" w:color="auto"/>
              <w:bottom w:val="single" w:sz="8" w:space="0" w:color="auto"/>
              <w:right w:val="single" w:sz="8"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1 098 049,92</w:t>
            </w:r>
          </w:p>
        </w:tc>
        <w:tc>
          <w:tcPr>
            <w:tcW w:w="1294" w:type="dxa"/>
            <w:tcBorders>
              <w:top w:val="nil"/>
              <w:left w:val="nil"/>
              <w:bottom w:val="single" w:sz="8" w:space="0" w:color="auto"/>
              <w:right w:val="single" w:sz="8"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Prowadzą komornicy</w:t>
            </w:r>
          </w:p>
        </w:tc>
        <w:tc>
          <w:tcPr>
            <w:tcW w:w="709" w:type="dxa"/>
            <w:tcBorders>
              <w:top w:val="nil"/>
              <w:left w:val="nil"/>
              <w:bottom w:val="single" w:sz="8" w:space="0" w:color="auto"/>
              <w:right w:val="nil"/>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0</w:t>
            </w:r>
          </w:p>
        </w:tc>
        <w:tc>
          <w:tcPr>
            <w:tcW w:w="1276" w:type="dxa"/>
            <w:tcBorders>
              <w:top w:val="nil"/>
              <w:left w:val="single" w:sz="8" w:space="0" w:color="auto"/>
              <w:bottom w:val="single" w:sz="8" w:space="0" w:color="auto"/>
              <w:right w:val="single" w:sz="8"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1078"/>
        </w:trPr>
        <w:tc>
          <w:tcPr>
            <w:tcW w:w="56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3</w:t>
            </w:r>
          </w:p>
        </w:tc>
        <w:tc>
          <w:tcPr>
            <w:tcW w:w="1275" w:type="dxa"/>
            <w:tcBorders>
              <w:top w:val="nil"/>
              <w:left w:val="nil"/>
              <w:bottom w:val="single" w:sz="8" w:space="0" w:color="auto"/>
              <w:right w:val="nil"/>
            </w:tcBorders>
            <w:shd w:val="clear" w:color="auto" w:fill="auto"/>
            <w:vAlign w:val="center"/>
            <w:hideMark/>
          </w:tcPr>
          <w:p w:rsidR="00CA14AB" w:rsidRPr="00E00B35" w:rsidRDefault="00CA14AB" w:rsidP="00E00B35">
            <w:pPr>
              <w:spacing w:after="0" w:line="312" w:lineRule="auto"/>
              <w:rPr>
                <w:szCs w:val="20"/>
              </w:rPr>
            </w:pPr>
            <w:r w:rsidRPr="00E00B35">
              <w:rPr>
                <w:szCs w:val="20"/>
              </w:rPr>
              <w:t>Układy ratalne/</w:t>
            </w:r>
          </w:p>
          <w:p w:rsidR="00CA14AB" w:rsidRPr="00E00B35" w:rsidRDefault="00CA14AB" w:rsidP="00E00B35">
            <w:pPr>
              <w:spacing w:after="0" w:line="312" w:lineRule="auto"/>
              <w:rPr>
                <w:szCs w:val="20"/>
              </w:rPr>
            </w:pPr>
            <w:r w:rsidRPr="00E00B35">
              <w:rPr>
                <w:szCs w:val="20"/>
              </w:rPr>
              <w:t>ugody</w:t>
            </w:r>
          </w:p>
        </w:tc>
        <w:tc>
          <w:tcPr>
            <w:tcW w:w="709" w:type="dxa"/>
            <w:tcBorders>
              <w:top w:val="nil"/>
              <w:left w:val="single" w:sz="8" w:space="0" w:color="auto"/>
              <w:bottom w:val="single" w:sz="8" w:space="0" w:color="auto"/>
              <w:right w:val="single" w:sz="4" w:space="0" w:color="auto"/>
            </w:tcBorders>
            <w:shd w:val="clear" w:color="auto" w:fill="auto"/>
            <w:noWrap/>
            <w:vAlign w:val="center"/>
            <w:hideMark/>
          </w:tcPr>
          <w:p w:rsidR="00CA14AB" w:rsidRPr="00E00B35" w:rsidRDefault="00CA14AB" w:rsidP="00E00B35">
            <w:pPr>
              <w:spacing w:after="0" w:line="312" w:lineRule="auto"/>
              <w:rPr>
                <w:szCs w:val="20"/>
              </w:rPr>
            </w:pPr>
            <w:r w:rsidRPr="00E00B35">
              <w:rPr>
                <w:szCs w:val="20"/>
              </w:rPr>
              <w:t>129</w:t>
            </w:r>
          </w:p>
        </w:tc>
        <w:tc>
          <w:tcPr>
            <w:tcW w:w="1418" w:type="dxa"/>
            <w:tcBorders>
              <w:top w:val="single" w:sz="4" w:space="0" w:color="auto"/>
              <w:left w:val="nil"/>
              <w:bottom w:val="single" w:sz="8" w:space="0" w:color="auto"/>
              <w:right w:val="nil"/>
            </w:tcBorders>
            <w:shd w:val="clear" w:color="auto" w:fill="auto"/>
            <w:vAlign w:val="center"/>
            <w:hideMark/>
          </w:tcPr>
          <w:p w:rsidR="00CA14AB" w:rsidRPr="00E00B35" w:rsidRDefault="00CA14AB" w:rsidP="00E00B35">
            <w:pPr>
              <w:spacing w:after="0" w:line="312" w:lineRule="auto"/>
              <w:rPr>
                <w:szCs w:val="20"/>
              </w:rPr>
            </w:pPr>
            <w:r w:rsidRPr="00E00B35">
              <w:rPr>
                <w:szCs w:val="20"/>
              </w:rPr>
              <w:t>292 712,54</w:t>
            </w:r>
          </w:p>
        </w:tc>
        <w:tc>
          <w:tcPr>
            <w:tcW w:w="2391" w:type="dxa"/>
            <w:gridSpan w:val="2"/>
            <w:tcBorders>
              <w:top w:val="single" w:sz="8" w:space="0" w:color="auto"/>
              <w:left w:val="single" w:sz="4" w:space="0" w:color="auto"/>
              <w:bottom w:val="single" w:sz="8" w:space="0" w:color="auto"/>
              <w:right w:val="single" w:sz="4" w:space="0" w:color="000000"/>
            </w:tcBorders>
            <w:shd w:val="clear" w:color="auto" w:fill="auto"/>
            <w:vAlign w:val="center"/>
            <w:hideMark/>
          </w:tcPr>
          <w:p w:rsidR="00CA14AB" w:rsidRPr="00E00B35" w:rsidRDefault="00CA14AB" w:rsidP="00E00B35">
            <w:pPr>
              <w:spacing w:after="0" w:line="312" w:lineRule="auto"/>
              <w:rPr>
                <w:szCs w:val="20"/>
              </w:rPr>
            </w:pPr>
            <w:r w:rsidRPr="00E00B35">
              <w:rPr>
                <w:szCs w:val="20"/>
              </w:rPr>
              <w:t>38 decyzji na kwotę                61 832,49</w:t>
            </w:r>
          </w:p>
        </w:tc>
        <w:tc>
          <w:tcPr>
            <w:tcW w:w="1294" w:type="dxa"/>
            <w:tcBorders>
              <w:top w:val="single" w:sz="8" w:space="0" w:color="auto"/>
              <w:left w:val="nil"/>
              <w:bottom w:val="single" w:sz="8" w:space="0" w:color="auto"/>
              <w:right w:val="single" w:sz="4" w:space="0" w:color="000000"/>
            </w:tcBorders>
            <w:shd w:val="clear" w:color="auto" w:fill="auto"/>
            <w:vAlign w:val="center"/>
            <w:hideMark/>
          </w:tcPr>
          <w:p w:rsidR="00CA14AB" w:rsidRPr="00E00B35" w:rsidRDefault="00CA14AB" w:rsidP="00E00B35">
            <w:pPr>
              <w:spacing w:after="0" w:line="312" w:lineRule="auto"/>
              <w:rPr>
                <w:szCs w:val="20"/>
              </w:rPr>
            </w:pPr>
            <w:r w:rsidRPr="00E00B35">
              <w:rPr>
                <w:szCs w:val="20"/>
              </w:rPr>
              <w:t>8 decyzji na kwotę 82 878,77</w:t>
            </w:r>
          </w:p>
        </w:tc>
        <w:tc>
          <w:tcPr>
            <w:tcW w:w="1985" w:type="dxa"/>
            <w:gridSpan w:val="2"/>
            <w:tcBorders>
              <w:top w:val="single" w:sz="8" w:space="0" w:color="auto"/>
              <w:left w:val="nil"/>
              <w:bottom w:val="single" w:sz="8" w:space="0" w:color="auto"/>
              <w:right w:val="single" w:sz="4" w:space="0" w:color="000000"/>
            </w:tcBorders>
            <w:shd w:val="clear" w:color="auto" w:fill="auto"/>
            <w:vAlign w:val="center"/>
            <w:hideMark/>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2 decyzje na kwotę 17 675,80</w:t>
            </w:r>
          </w:p>
        </w:tc>
      </w:tr>
    </w:tbl>
    <w:p w:rsidR="00436BC1" w:rsidRPr="00E00B35" w:rsidRDefault="00436BC1" w:rsidP="00E00B35">
      <w:pPr>
        <w:spacing w:after="0" w:line="312" w:lineRule="auto"/>
        <w:rPr>
          <w:szCs w:val="20"/>
        </w:rPr>
      </w:pPr>
      <w:bookmarkStart w:id="481" w:name="_Hlk536084775"/>
      <w:bookmarkStart w:id="482" w:name="_Hlk61883640"/>
    </w:p>
    <w:p w:rsidR="00CA14AB" w:rsidRPr="00E00B35" w:rsidRDefault="00CA14AB" w:rsidP="00E00B35">
      <w:pPr>
        <w:spacing w:after="0" w:line="312" w:lineRule="auto"/>
        <w:rPr>
          <w:szCs w:val="20"/>
        </w:rPr>
      </w:pPr>
      <w:r w:rsidRPr="00E00B35">
        <w:rPr>
          <w:szCs w:val="20"/>
        </w:rPr>
        <w:t>Należności w kwocie 16 270 055,55 zł (MOPS 9 293 447,52 zł oraz GMINA 6 976 608,03 zł) odzyskano w wyniku potrąceń, wpłat własnych dłużników, rat oraz realizacji tytułów wykonawczych.</w:t>
      </w:r>
    </w:p>
    <w:bookmarkEnd w:id="481"/>
    <w:bookmarkEnd w:id="482"/>
    <w:p w:rsidR="00CA14AB" w:rsidRPr="00E00B35" w:rsidRDefault="00CA14AB" w:rsidP="00E00B35">
      <w:pPr>
        <w:spacing w:after="0" w:line="312" w:lineRule="auto"/>
        <w:rPr>
          <w:szCs w:val="20"/>
        </w:rPr>
      </w:pPr>
      <w:r w:rsidRPr="00E00B35">
        <w:rPr>
          <w:szCs w:val="20"/>
        </w:rPr>
        <w:t>Na podstawie art. 60 ustawy z dnia 27 sierpnia 2009r. o finansach publicznych</w:t>
      </w:r>
      <w:r w:rsidRPr="00E00B35">
        <w:rPr>
          <w:szCs w:val="20"/>
        </w:rPr>
        <w:br/>
        <w:t>w 2020r. umorzono należności na ogólną kwotę 1 515 533,67 zł.</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Tytuły dokonanych umorzeń przedstawia poniższa tabela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1"/>
        <w:gridCol w:w="3071"/>
      </w:tblGrid>
      <w:tr w:rsidR="00CA14AB" w:rsidRPr="00E00B35" w:rsidTr="00CA14AB">
        <w:trPr>
          <w:trHeight w:val="1149"/>
        </w:trPr>
        <w:tc>
          <w:tcPr>
            <w:tcW w:w="3070" w:type="dxa"/>
            <w:shd w:val="clear" w:color="auto" w:fill="D9D9D9"/>
            <w:vAlign w:val="center"/>
          </w:tcPr>
          <w:p w:rsidR="00CA14AB" w:rsidRPr="00E00B35" w:rsidRDefault="00CA14AB" w:rsidP="00E00B35">
            <w:pPr>
              <w:spacing w:after="0" w:line="312" w:lineRule="auto"/>
              <w:rPr>
                <w:szCs w:val="20"/>
              </w:rPr>
            </w:pPr>
            <w:r w:rsidRPr="00E00B35">
              <w:rPr>
                <w:szCs w:val="20"/>
              </w:rPr>
              <w:t>Tytuł dokonanych umorzeń</w:t>
            </w:r>
          </w:p>
        </w:tc>
        <w:tc>
          <w:tcPr>
            <w:tcW w:w="3071" w:type="dxa"/>
            <w:shd w:val="clear" w:color="auto" w:fill="D9D9D9"/>
            <w:vAlign w:val="center"/>
          </w:tcPr>
          <w:p w:rsidR="00CA14AB" w:rsidRPr="00E00B35" w:rsidRDefault="00CA14AB" w:rsidP="00E00B35">
            <w:pPr>
              <w:spacing w:after="0" w:line="312" w:lineRule="auto"/>
              <w:rPr>
                <w:szCs w:val="20"/>
              </w:rPr>
            </w:pPr>
            <w:r w:rsidRPr="00E00B35">
              <w:rPr>
                <w:szCs w:val="20"/>
              </w:rPr>
              <w:t>Łączna liczba dokonanych umorzeń</w:t>
            </w:r>
          </w:p>
        </w:tc>
        <w:tc>
          <w:tcPr>
            <w:tcW w:w="3071" w:type="dxa"/>
            <w:shd w:val="clear" w:color="auto" w:fill="D9D9D9"/>
            <w:vAlign w:val="center"/>
          </w:tcPr>
          <w:p w:rsidR="00CA14AB" w:rsidRPr="00E00B35" w:rsidRDefault="00CA14AB" w:rsidP="00E00B35">
            <w:pPr>
              <w:spacing w:after="0" w:line="312" w:lineRule="auto"/>
              <w:rPr>
                <w:szCs w:val="20"/>
              </w:rPr>
            </w:pPr>
            <w:r w:rsidRPr="00E00B35">
              <w:rPr>
                <w:szCs w:val="20"/>
              </w:rPr>
              <w:t xml:space="preserve">Łączna kwota dokonanych umorzeń </w:t>
            </w:r>
            <w:r w:rsidRPr="00E00B35">
              <w:rPr>
                <w:szCs w:val="20"/>
              </w:rPr>
              <w:br/>
              <w:t>[w zł]</w:t>
            </w:r>
          </w:p>
        </w:tc>
      </w:tr>
      <w:tr w:rsidR="00CA14AB" w:rsidRPr="00E00B35" w:rsidTr="00CA14AB">
        <w:trPr>
          <w:trHeight w:val="803"/>
        </w:trPr>
        <w:tc>
          <w:tcPr>
            <w:tcW w:w="3070" w:type="dxa"/>
          </w:tcPr>
          <w:p w:rsidR="00CA14AB" w:rsidRPr="00E00B35" w:rsidRDefault="00CA14AB" w:rsidP="00E00B35">
            <w:pPr>
              <w:spacing w:after="0" w:line="312" w:lineRule="auto"/>
              <w:rPr>
                <w:szCs w:val="20"/>
              </w:rPr>
            </w:pPr>
            <w:r w:rsidRPr="00E00B35">
              <w:rPr>
                <w:szCs w:val="20"/>
              </w:rPr>
              <w:t>Umorzenia z tytułu nienależnie pobranych świadczeń rodzinnych.</w:t>
            </w:r>
          </w:p>
        </w:tc>
        <w:tc>
          <w:tcPr>
            <w:tcW w:w="3071" w:type="dxa"/>
            <w:vAlign w:val="center"/>
          </w:tcPr>
          <w:p w:rsidR="00CA14AB" w:rsidRPr="00E00B35" w:rsidRDefault="00CA14AB" w:rsidP="00E00B35">
            <w:pPr>
              <w:spacing w:after="0" w:line="312" w:lineRule="auto"/>
              <w:rPr>
                <w:szCs w:val="20"/>
              </w:rPr>
            </w:pPr>
            <w:r w:rsidRPr="00E00B35">
              <w:rPr>
                <w:szCs w:val="20"/>
              </w:rPr>
              <w:t>11</w:t>
            </w:r>
          </w:p>
        </w:tc>
        <w:tc>
          <w:tcPr>
            <w:tcW w:w="3071" w:type="dxa"/>
            <w:vAlign w:val="center"/>
          </w:tcPr>
          <w:p w:rsidR="00CA14AB" w:rsidRPr="00E00B35" w:rsidRDefault="00CA14AB" w:rsidP="00E00B35">
            <w:pPr>
              <w:spacing w:after="0" w:line="312" w:lineRule="auto"/>
              <w:rPr>
                <w:szCs w:val="20"/>
              </w:rPr>
            </w:pPr>
            <w:r w:rsidRPr="00E00B35">
              <w:rPr>
                <w:szCs w:val="20"/>
              </w:rPr>
              <w:t>6 765,35</w:t>
            </w: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t>Umorzenia z tytułu nienależnie pobranego funduszu alimentacyjnego</w:t>
            </w:r>
          </w:p>
        </w:tc>
        <w:tc>
          <w:tcPr>
            <w:tcW w:w="3071" w:type="dxa"/>
            <w:vAlign w:val="center"/>
          </w:tcPr>
          <w:p w:rsidR="00CA14AB" w:rsidRPr="00E00B35" w:rsidRDefault="00CA14AB" w:rsidP="00E00B35">
            <w:pPr>
              <w:spacing w:after="0" w:line="312" w:lineRule="auto"/>
              <w:rPr>
                <w:szCs w:val="20"/>
              </w:rPr>
            </w:pPr>
            <w:r w:rsidRPr="00E00B35">
              <w:rPr>
                <w:szCs w:val="20"/>
              </w:rPr>
              <w:t>7</w:t>
            </w:r>
          </w:p>
          <w:p w:rsidR="00CA14AB" w:rsidRPr="00E00B35" w:rsidRDefault="00CA14AB" w:rsidP="00E00B35">
            <w:pPr>
              <w:spacing w:after="0" w:line="312" w:lineRule="auto"/>
              <w:rPr>
                <w:szCs w:val="20"/>
              </w:rPr>
            </w:pPr>
          </w:p>
        </w:tc>
        <w:tc>
          <w:tcPr>
            <w:tcW w:w="3071" w:type="dxa"/>
            <w:vAlign w:val="center"/>
          </w:tcPr>
          <w:p w:rsidR="00CA14AB" w:rsidRPr="00E00B35" w:rsidRDefault="00CA14AB" w:rsidP="00E00B35">
            <w:pPr>
              <w:spacing w:after="0" w:line="312" w:lineRule="auto"/>
              <w:rPr>
                <w:szCs w:val="20"/>
              </w:rPr>
            </w:pPr>
            <w:r w:rsidRPr="00E00B35">
              <w:rPr>
                <w:szCs w:val="20"/>
              </w:rPr>
              <w:t>5 782,78</w:t>
            </w:r>
          </w:p>
        </w:tc>
      </w:tr>
      <w:tr w:rsidR="00CA14AB" w:rsidRPr="00E00B35" w:rsidTr="00CA14AB">
        <w:trPr>
          <w:trHeight w:val="797"/>
        </w:trPr>
        <w:tc>
          <w:tcPr>
            <w:tcW w:w="3070" w:type="dxa"/>
          </w:tcPr>
          <w:p w:rsidR="00CA14AB" w:rsidRPr="00E00B35" w:rsidRDefault="00CA14AB" w:rsidP="00E00B35">
            <w:pPr>
              <w:spacing w:after="0" w:line="312" w:lineRule="auto"/>
              <w:rPr>
                <w:szCs w:val="20"/>
              </w:rPr>
            </w:pPr>
            <w:r w:rsidRPr="00E00B35">
              <w:rPr>
                <w:szCs w:val="20"/>
              </w:rPr>
              <w:t>Umorzenia z tytułu nienależnie pobranego  dodatku mieszkaniowego</w:t>
            </w:r>
          </w:p>
        </w:tc>
        <w:tc>
          <w:tcPr>
            <w:tcW w:w="3071" w:type="dxa"/>
            <w:vAlign w:val="center"/>
          </w:tcPr>
          <w:p w:rsidR="00CA14AB" w:rsidRPr="00E00B35" w:rsidRDefault="00CA14AB" w:rsidP="00E00B35">
            <w:pPr>
              <w:spacing w:after="0" w:line="312" w:lineRule="auto"/>
              <w:rPr>
                <w:szCs w:val="20"/>
              </w:rPr>
            </w:pPr>
            <w:r w:rsidRPr="00E00B35">
              <w:rPr>
                <w:szCs w:val="20"/>
              </w:rPr>
              <w:t>3</w:t>
            </w:r>
          </w:p>
        </w:tc>
        <w:tc>
          <w:tcPr>
            <w:tcW w:w="3071" w:type="dxa"/>
            <w:vAlign w:val="center"/>
          </w:tcPr>
          <w:p w:rsidR="00CA14AB" w:rsidRPr="00E00B35" w:rsidRDefault="00CA14AB" w:rsidP="00E00B35">
            <w:pPr>
              <w:spacing w:after="0" w:line="312" w:lineRule="auto"/>
              <w:rPr>
                <w:szCs w:val="20"/>
              </w:rPr>
            </w:pPr>
            <w:r w:rsidRPr="00E00B35">
              <w:rPr>
                <w:szCs w:val="20"/>
              </w:rPr>
              <w:t>5 329,53</w:t>
            </w: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t>Umorzenia z tytułu opłaty za pobyt dziecka w rodzinie zastępczej</w:t>
            </w:r>
          </w:p>
        </w:tc>
        <w:tc>
          <w:tcPr>
            <w:tcW w:w="3071" w:type="dxa"/>
            <w:vAlign w:val="center"/>
          </w:tcPr>
          <w:p w:rsidR="00CA14AB" w:rsidRPr="00E00B35" w:rsidRDefault="00CA14AB" w:rsidP="00E00B35">
            <w:pPr>
              <w:spacing w:after="0" w:line="312" w:lineRule="auto"/>
              <w:rPr>
                <w:szCs w:val="20"/>
              </w:rPr>
            </w:pPr>
            <w:r w:rsidRPr="00E00B35">
              <w:rPr>
                <w:szCs w:val="20"/>
              </w:rPr>
              <w:t>58</w:t>
            </w:r>
          </w:p>
        </w:tc>
        <w:tc>
          <w:tcPr>
            <w:tcW w:w="3071" w:type="dxa"/>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1 216 887,26</w:t>
            </w:r>
          </w:p>
          <w:p w:rsidR="00CA14AB" w:rsidRPr="00E00B35" w:rsidRDefault="00CA14AB" w:rsidP="00E00B35">
            <w:pPr>
              <w:spacing w:after="0" w:line="312" w:lineRule="auto"/>
              <w:rPr>
                <w:szCs w:val="20"/>
              </w:rPr>
            </w:pP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t>Umorzenia z tytułu nienależnie pobranego świadczenia na pokrycie kosztów utrzymania dziecka w rodzinie zastępczej</w:t>
            </w:r>
          </w:p>
        </w:tc>
        <w:tc>
          <w:tcPr>
            <w:tcW w:w="3071" w:type="dxa"/>
            <w:vAlign w:val="center"/>
          </w:tcPr>
          <w:p w:rsidR="00CA14AB" w:rsidRPr="00E00B35" w:rsidRDefault="00CA14AB" w:rsidP="00E00B35">
            <w:pPr>
              <w:spacing w:after="0" w:line="312" w:lineRule="auto"/>
              <w:rPr>
                <w:szCs w:val="20"/>
              </w:rPr>
            </w:pPr>
            <w:r w:rsidRPr="00E00B35">
              <w:rPr>
                <w:szCs w:val="20"/>
              </w:rPr>
              <w:t>8</w:t>
            </w:r>
          </w:p>
        </w:tc>
        <w:tc>
          <w:tcPr>
            <w:tcW w:w="3071" w:type="dxa"/>
            <w:vAlign w:val="center"/>
          </w:tcPr>
          <w:p w:rsidR="00CA14AB" w:rsidRPr="00E00B35" w:rsidRDefault="00CA14AB" w:rsidP="00E00B35">
            <w:pPr>
              <w:spacing w:after="0" w:line="312" w:lineRule="auto"/>
              <w:rPr>
                <w:szCs w:val="20"/>
              </w:rPr>
            </w:pPr>
            <w:r w:rsidRPr="00E00B35">
              <w:rPr>
                <w:szCs w:val="20"/>
              </w:rPr>
              <w:t>183 535,34</w:t>
            </w: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t xml:space="preserve">Umorzenia z tytułu wypłaconej zaliczki </w:t>
            </w:r>
            <w:r w:rsidRPr="00E00B35">
              <w:rPr>
                <w:szCs w:val="20"/>
              </w:rPr>
              <w:lastRenderedPageBreak/>
              <w:t>alimentacyjnej</w:t>
            </w:r>
          </w:p>
        </w:tc>
        <w:tc>
          <w:tcPr>
            <w:tcW w:w="3071" w:type="dxa"/>
            <w:vAlign w:val="center"/>
          </w:tcPr>
          <w:p w:rsidR="00CA14AB" w:rsidRPr="00E00B35" w:rsidRDefault="00CA14AB" w:rsidP="00E00B35">
            <w:pPr>
              <w:spacing w:after="0" w:line="312" w:lineRule="auto"/>
              <w:rPr>
                <w:szCs w:val="20"/>
              </w:rPr>
            </w:pPr>
            <w:r w:rsidRPr="00E00B35">
              <w:rPr>
                <w:szCs w:val="20"/>
              </w:rPr>
              <w:lastRenderedPageBreak/>
              <w:t>2</w:t>
            </w:r>
          </w:p>
        </w:tc>
        <w:tc>
          <w:tcPr>
            <w:tcW w:w="3071" w:type="dxa"/>
            <w:vAlign w:val="center"/>
          </w:tcPr>
          <w:p w:rsidR="00CA14AB" w:rsidRPr="00E00B35" w:rsidRDefault="00CA14AB" w:rsidP="00E00B35">
            <w:pPr>
              <w:spacing w:after="0" w:line="312" w:lineRule="auto"/>
              <w:rPr>
                <w:szCs w:val="20"/>
              </w:rPr>
            </w:pPr>
            <w:r w:rsidRPr="00E00B35">
              <w:rPr>
                <w:szCs w:val="20"/>
              </w:rPr>
              <w:t>9 069,37</w:t>
            </w: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lastRenderedPageBreak/>
              <w:t>Umorzenia z tytułu nienależnie pobranej zaliczki alimentacyjnej</w:t>
            </w:r>
          </w:p>
        </w:tc>
        <w:tc>
          <w:tcPr>
            <w:tcW w:w="3071" w:type="dxa"/>
            <w:vAlign w:val="center"/>
          </w:tcPr>
          <w:p w:rsidR="00CA14AB" w:rsidRPr="00E00B35" w:rsidRDefault="00CA14AB" w:rsidP="00E00B35">
            <w:pPr>
              <w:spacing w:after="0" w:line="312" w:lineRule="auto"/>
              <w:rPr>
                <w:szCs w:val="20"/>
              </w:rPr>
            </w:pPr>
            <w:r w:rsidRPr="00E00B35">
              <w:rPr>
                <w:szCs w:val="20"/>
              </w:rPr>
              <w:t>1</w:t>
            </w:r>
          </w:p>
        </w:tc>
        <w:tc>
          <w:tcPr>
            <w:tcW w:w="3071" w:type="dxa"/>
            <w:vAlign w:val="center"/>
          </w:tcPr>
          <w:p w:rsidR="00CA14AB" w:rsidRPr="00E00B35" w:rsidRDefault="00CA14AB" w:rsidP="00E00B35">
            <w:pPr>
              <w:spacing w:after="0" w:line="312" w:lineRule="auto"/>
              <w:rPr>
                <w:szCs w:val="20"/>
              </w:rPr>
            </w:pPr>
            <w:r w:rsidRPr="00E00B35">
              <w:rPr>
                <w:szCs w:val="20"/>
              </w:rPr>
              <w:t>1 809,97</w:t>
            </w: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t>Umorzenia z tytułu nienależnie pobranego świadczenia wychowawczego (500+)</w:t>
            </w:r>
          </w:p>
        </w:tc>
        <w:tc>
          <w:tcPr>
            <w:tcW w:w="3071" w:type="dxa"/>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7</w:t>
            </w:r>
          </w:p>
          <w:p w:rsidR="00CA14AB" w:rsidRPr="00E00B35" w:rsidRDefault="00CA14AB" w:rsidP="00E00B35">
            <w:pPr>
              <w:spacing w:after="0" w:line="312" w:lineRule="auto"/>
              <w:rPr>
                <w:szCs w:val="20"/>
              </w:rPr>
            </w:pPr>
          </w:p>
        </w:tc>
        <w:tc>
          <w:tcPr>
            <w:tcW w:w="3071" w:type="dxa"/>
            <w:vAlign w:val="center"/>
          </w:tcPr>
          <w:p w:rsidR="00CA14AB" w:rsidRPr="00E00B35" w:rsidRDefault="00CA14AB" w:rsidP="00E00B35">
            <w:pPr>
              <w:spacing w:after="0" w:line="312" w:lineRule="auto"/>
              <w:rPr>
                <w:szCs w:val="20"/>
              </w:rPr>
            </w:pPr>
            <w:r w:rsidRPr="00E00B35">
              <w:rPr>
                <w:szCs w:val="20"/>
              </w:rPr>
              <w:t>4 643,57</w:t>
            </w: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t>Umorzenia z tytułu nienależnie pobranego zasiłku pielęgnacyjnego</w:t>
            </w:r>
          </w:p>
        </w:tc>
        <w:tc>
          <w:tcPr>
            <w:tcW w:w="3071" w:type="dxa"/>
            <w:vAlign w:val="center"/>
          </w:tcPr>
          <w:p w:rsidR="00CA14AB" w:rsidRPr="00E00B35" w:rsidRDefault="00CA14AB" w:rsidP="00E00B35">
            <w:pPr>
              <w:spacing w:after="0" w:line="312" w:lineRule="auto"/>
              <w:rPr>
                <w:szCs w:val="20"/>
              </w:rPr>
            </w:pPr>
            <w:r w:rsidRPr="00E00B35">
              <w:rPr>
                <w:szCs w:val="20"/>
              </w:rPr>
              <w:t>7</w:t>
            </w:r>
          </w:p>
        </w:tc>
        <w:tc>
          <w:tcPr>
            <w:tcW w:w="3071" w:type="dxa"/>
            <w:vAlign w:val="center"/>
          </w:tcPr>
          <w:p w:rsidR="00CA14AB" w:rsidRPr="00E00B35" w:rsidRDefault="00CA14AB" w:rsidP="00E00B35">
            <w:pPr>
              <w:spacing w:after="0" w:line="312" w:lineRule="auto"/>
              <w:rPr>
                <w:szCs w:val="20"/>
              </w:rPr>
            </w:pPr>
            <w:r w:rsidRPr="00E00B35">
              <w:rPr>
                <w:szCs w:val="20"/>
              </w:rPr>
              <w:t>26 893,61</w:t>
            </w:r>
          </w:p>
        </w:tc>
      </w:tr>
      <w:tr w:rsidR="00CA14AB" w:rsidRPr="00E00B35" w:rsidTr="00CA14AB">
        <w:trPr>
          <w:trHeight w:val="1082"/>
        </w:trPr>
        <w:tc>
          <w:tcPr>
            <w:tcW w:w="3070" w:type="dxa"/>
          </w:tcPr>
          <w:p w:rsidR="00CA14AB" w:rsidRPr="00E00B35" w:rsidRDefault="00CA14AB" w:rsidP="00E00B35">
            <w:pPr>
              <w:spacing w:after="0" w:line="312" w:lineRule="auto"/>
              <w:rPr>
                <w:szCs w:val="20"/>
              </w:rPr>
            </w:pPr>
            <w:r w:rsidRPr="00E00B35">
              <w:rPr>
                <w:szCs w:val="20"/>
              </w:rPr>
              <w:t>Umorzenia z tytułu nienależnie pobranego świadczenia pielęgnacyjnego</w:t>
            </w:r>
          </w:p>
        </w:tc>
        <w:tc>
          <w:tcPr>
            <w:tcW w:w="3071" w:type="dxa"/>
            <w:vAlign w:val="center"/>
          </w:tcPr>
          <w:p w:rsidR="00CA14AB" w:rsidRPr="00E00B35" w:rsidRDefault="00CA14AB" w:rsidP="00E00B35">
            <w:pPr>
              <w:spacing w:after="0" w:line="312" w:lineRule="auto"/>
              <w:rPr>
                <w:szCs w:val="20"/>
              </w:rPr>
            </w:pPr>
            <w:r w:rsidRPr="00E00B35">
              <w:rPr>
                <w:szCs w:val="20"/>
              </w:rPr>
              <w:t>4</w:t>
            </w:r>
          </w:p>
        </w:tc>
        <w:tc>
          <w:tcPr>
            <w:tcW w:w="3071" w:type="dxa"/>
            <w:vAlign w:val="center"/>
          </w:tcPr>
          <w:p w:rsidR="00CA14AB" w:rsidRPr="00E00B35" w:rsidRDefault="00CA14AB" w:rsidP="00E00B35">
            <w:pPr>
              <w:spacing w:after="0" w:line="312" w:lineRule="auto"/>
              <w:rPr>
                <w:szCs w:val="20"/>
              </w:rPr>
            </w:pPr>
            <w:r w:rsidRPr="00E00B35">
              <w:rPr>
                <w:szCs w:val="20"/>
              </w:rPr>
              <w:t>5 567,88</w:t>
            </w: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t>Umorzenia z tytułu nienależnie pobranego świadczenia na kontynuowanie nauki</w:t>
            </w:r>
          </w:p>
        </w:tc>
        <w:tc>
          <w:tcPr>
            <w:tcW w:w="3071" w:type="dxa"/>
            <w:vAlign w:val="center"/>
          </w:tcPr>
          <w:p w:rsidR="00CA14AB" w:rsidRPr="00E00B35" w:rsidRDefault="00CA14AB" w:rsidP="00E00B35">
            <w:pPr>
              <w:spacing w:after="0" w:line="312" w:lineRule="auto"/>
              <w:rPr>
                <w:szCs w:val="20"/>
              </w:rPr>
            </w:pPr>
            <w:r w:rsidRPr="00E00B35">
              <w:rPr>
                <w:szCs w:val="20"/>
              </w:rPr>
              <w:t>2</w:t>
            </w:r>
          </w:p>
        </w:tc>
        <w:tc>
          <w:tcPr>
            <w:tcW w:w="3071" w:type="dxa"/>
            <w:vAlign w:val="center"/>
          </w:tcPr>
          <w:p w:rsidR="00CA14AB" w:rsidRPr="00E00B35" w:rsidRDefault="00CA14AB" w:rsidP="00E00B35">
            <w:pPr>
              <w:spacing w:after="0" w:line="312" w:lineRule="auto"/>
              <w:rPr>
                <w:szCs w:val="20"/>
              </w:rPr>
            </w:pPr>
            <w:r w:rsidRPr="00E00B35">
              <w:rPr>
                <w:szCs w:val="20"/>
              </w:rPr>
              <w:t>5 709,70</w:t>
            </w:r>
          </w:p>
        </w:tc>
      </w:tr>
      <w:tr w:rsidR="00CA14AB" w:rsidRPr="00E00B35" w:rsidTr="00CA14AB">
        <w:trPr>
          <w:trHeight w:val="857"/>
        </w:trPr>
        <w:tc>
          <w:tcPr>
            <w:tcW w:w="3070" w:type="dxa"/>
          </w:tcPr>
          <w:p w:rsidR="00CA14AB" w:rsidRPr="00E00B35" w:rsidRDefault="00CA14AB" w:rsidP="00E00B35">
            <w:pPr>
              <w:spacing w:after="0" w:line="312" w:lineRule="auto"/>
              <w:rPr>
                <w:szCs w:val="20"/>
              </w:rPr>
            </w:pPr>
            <w:r w:rsidRPr="00E00B35">
              <w:rPr>
                <w:szCs w:val="20"/>
              </w:rPr>
              <w:t>Umorzenia z tytułu wypłaconego funduszu alimentacyjnego</w:t>
            </w:r>
          </w:p>
        </w:tc>
        <w:tc>
          <w:tcPr>
            <w:tcW w:w="3071" w:type="dxa"/>
            <w:vAlign w:val="center"/>
          </w:tcPr>
          <w:p w:rsidR="00CA14AB" w:rsidRPr="00E00B35" w:rsidRDefault="00CA14AB" w:rsidP="00E00B35">
            <w:pPr>
              <w:spacing w:after="0" w:line="312" w:lineRule="auto"/>
              <w:rPr>
                <w:szCs w:val="20"/>
              </w:rPr>
            </w:pPr>
            <w:r w:rsidRPr="00E00B35">
              <w:rPr>
                <w:szCs w:val="20"/>
              </w:rPr>
              <w:t>2</w:t>
            </w:r>
          </w:p>
        </w:tc>
        <w:tc>
          <w:tcPr>
            <w:tcW w:w="3071" w:type="dxa"/>
            <w:vAlign w:val="center"/>
          </w:tcPr>
          <w:p w:rsidR="00CA14AB" w:rsidRPr="00E00B35" w:rsidRDefault="00CA14AB" w:rsidP="00E00B35">
            <w:pPr>
              <w:spacing w:after="0" w:line="312" w:lineRule="auto"/>
              <w:rPr>
                <w:szCs w:val="20"/>
              </w:rPr>
            </w:pPr>
            <w:r w:rsidRPr="00E00B35">
              <w:rPr>
                <w:szCs w:val="20"/>
              </w:rPr>
              <w:t>33 285,33</w:t>
            </w: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t>Umorzenia z tytułu nienależnie pobranego zasiłku dla opiekuna</w:t>
            </w:r>
          </w:p>
        </w:tc>
        <w:tc>
          <w:tcPr>
            <w:tcW w:w="3071" w:type="dxa"/>
            <w:vAlign w:val="center"/>
          </w:tcPr>
          <w:p w:rsidR="00CA14AB" w:rsidRPr="00E00B35" w:rsidRDefault="00CA14AB" w:rsidP="00E00B35">
            <w:pPr>
              <w:spacing w:after="0" w:line="312" w:lineRule="auto"/>
              <w:rPr>
                <w:szCs w:val="20"/>
              </w:rPr>
            </w:pPr>
            <w:r w:rsidRPr="00E00B35">
              <w:rPr>
                <w:szCs w:val="20"/>
              </w:rPr>
              <w:t>3</w:t>
            </w:r>
          </w:p>
        </w:tc>
        <w:tc>
          <w:tcPr>
            <w:tcW w:w="3071" w:type="dxa"/>
            <w:vAlign w:val="center"/>
          </w:tcPr>
          <w:p w:rsidR="00CA14AB" w:rsidRPr="00E00B35" w:rsidRDefault="00CA14AB" w:rsidP="00E00B35">
            <w:pPr>
              <w:spacing w:after="0" w:line="312" w:lineRule="auto"/>
              <w:rPr>
                <w:szCs w:val="20"/>
              </w:rPr>
            </w:pPr>
            <w:r w:rsidRPr="00E00B35">
              <w:rPr>
                <w:szCs w:val="20"/>
              </w:rPr>
              <w:t>7 915,43</w:t>
            </w: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t>Umorzenia z tytułu nienależnie pobranego zasiłku stałego</w:t>
            </w:r>
          </w:p>
        </w:tc>
        <w:tc>
          <w:tcPr>
            <w:tcW w:w="3071" w:type="dxa"/>
            <w:vAlign w:val="center"/>
          </w:tcPr>
          <w:p w:rsidR="00CA14AB" w:rsidRPr="00E00B35" w:rsidRDefault="00CA14AB" w:rsidP="00E00B35">
            <w:pPr>
              <w:spacing w:after="0" w:line="312" w:lineRule="auto"/>
              <w:rPr>
                <w:szCs w:val="20"/>
              </w:rPr>
            </w:pPr>
            <w:r w:rsidRPr="00E00B35">
              <w:rPr>
                <w:szCs w:val="20"/>
              </w:rPr>
              <w:t>1</w:t>
            </w:r>
          </w:p>
        </w:tc>
        <w:tc>
          <w:tcPr>
            <w:tcW w:w="3071" w:type="dxa"/>
            <w:vAlign w:val="center"/>
          </w:tcPr>
          <w:p w:rsidR="00CA14AB" w:rsidRPr="00E00B35" w:rsidRDefault="00CA14AB" w:rsidP="00E00B35">
            <w:pPr>
              <w:spacing w:after="0" w:line="312" w:lineRule="auto"/>
              <w:rPr>
                <w:szCs w:val="20"/>
              </w:rPr>
            </w:pPr>
            <w:r w:rsidRPr="00E00B35">
              <w:rPr>
                <w:szCs w:val="20"/>
              </w:rPr>
              <w:t>354,48</w:t>
            </w: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t>Umorzenia z tytułu nienależnie pobranego świadczenia Dobry Start (300+)</w:t>
            </w:r>
          </w:p>
        </w:tc>
        <w:tc>
          <w:tcPr>
            <w:tcW w:w="3071" w:type="dxa"/>
            <w:vAlign w:val="center"/>
          </w:tcPr>
          <w:p w:rsidR="00CA14AB" w:rsidRPr="00E00B35" w:rsidRDefault="00CA14AB" w:rsidP="00E00B35">
            <w:pPr>
              <w:spacing w:after="0" w:line="312" w:lineRule="auto"/>
              <w:rPr>
                <w:szCs w:val="20"/>
              </w:rPr>
            </w:pPr>
            <w:r w:rsidRPr="00E00B35">
              <w:rPr>
                <w:szCs w:val="20"/>
              </w:rPr>
              <w:t>1</w:t>
            </w:r>
          </w:p>
        </w:tc>
        <w:tc>
          <w:tcPr>
            <w:tcW w:w="3071" w:type="dxa"/>
            <w:vAlign w:val="center"/>
          </w:tcPr>
          <w:p w:rsidR="00CA14AB" w:rsidRPr="00E00B35" w:rsidRDefault="00CA14AB" w:rsidP="00E00B35">
            <w:pPr>
              <w:spacing w:after="0" w:line="312" w:lineRule="auto"/>
              <w:rPr>
                <w:szCs w:val="20"/>
              </w:rPr>
            </w:pPr>
            <w:r w:rsidRPr="00E00B35">
              <w:rPr>
                <w:szCs w:val="20"/>
              </w:rPr>
              <w:t>312,94</w:t>
            </w:r>
          </w:p>
        </w:tc>
      </w:tr>
      <w:tr w:rsidR="00CA14AB" w:rsidRPr="00E00B35" w:rsidTr="00CA14AB">
        <w:tc>
          <w:tcPr>
            <w:tcW w:w="3070" w:type="dxa"/>
          </w:tcPr>
          <w:p w:rsidR="00CA14AB" w:rsidRPr="00E00B35" w:rsidRDefault="00CA14AB" w:rsidP="00E00B35">
            <w:pPr>
              <w:spacing w:after="0" w:line="312" w:lineRule="auto"/>
              <w:rPr>
                <w:szCs w:val="20"/>
              </w:rPr>
            </w:pPr>
            <w:r w:rsidRPr="00E00B35">
              <w:rPr>
                <w:szCs w:val="20"/>
              </w:rPr>
              <w:t>Umorzenia z tytułu nienależnie pobranego specjalnego zasiłku dla opiekuńczego</w:t>
            </w:r>
          </w:p>
        </w:tc>
        <w:tc>
          <w:tcPr>
            <w:tcW w:w="3071" w:type="dxa"/>
            <w:vAlign w:val="center"/>
          </w:tcPr>
          <w:p w:rsidR="00CA14AB" w:rsidRPr="00E00B35" w:rsidRDefault="00CA14AB" w:rsidP="00E00B35">
            <w:pPr>
              <w:spacing w:after="0" w:line="312" w:lineRule="auto"/>
              <w:rPr>
                <w:szCs w:val="20"/>
              </w:rPr>
            </w:pPr>
            <w:r w:rsidRPr="00E00B35">
              <w:rPr>
                <w:szCs w:val="20"/>
              </w:rPr>
              <w:t>2</w:t>
            </w:r>
          </w:p>
        </w:tc>
        <w:tc>
          <w:tcPr>
            <w:tcW w:w="3071" w:type="dxa"/>
            <w:vAlign w:val="center"/>
          </w:tcPr>
          <w:p w:rsidR="00CA14AB" w:rsidRPr="00E00B35" w:rsidRDefault="00CA14AB" w:rsidP="00E00B35">
            <w:pPr>
              <w:spacing w:after="0" w:line="312" w:lineRule="auto"/>
              <w:rPr>
                <w:szCs w:val="20"/>
              </w:rPr>
            </w:pPr>
            <w:r w:rsidRPr="00E00B35">
              <w:rPr>
                <w:szCs w:val="20"/>
              </w:rPr>
              <w:t>1 671,13</w:t>
            </w:r>
          </w:p>
        </w:tc>
      </w:tr>
      <w:tr w:rsidR="00CA14AB" w:rsidRPr="00E00B35" w:rsidTr="00CA14AB">
        <w:tc>
          <w:tcPr>
            <w:tcW w:w="3070" w:type="dxa"/>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OGÓŁEM</w:t>
            </w:r>
          </w:p>
          <w:p w:rsidR="00CA14AB" w:rsidRPr="00E00B35" w:rsidRDefault="00CA14AB" w:rsidP="00E00B35">
            <w:pPr>
              <w:spacing w:after="0" w:line="312" w:lineRule="auto"/>
              <w:rPr>
                <w:szCs w:val="20"/>
              </w:rPr>
            </w:pPr>
          </w:p>
        </w:tc>
        <w:tc>
          <w:tcPr>
            <w:tcW w:w="3071" w:type="dxa"/>
            <w:vAlign w:val="center"/>
          </w:tcPr>
          <w:p w:rsidR="00CA14AB" w:rsidRPr="00E00B35" w:rsidRDefault="00CA14AB" w:rsidP="00E00B35">
            <w:pPr>
              <w:spacing w:after="0" w:line="312" w:lineRule="auto"/>
              <w:rPr>
                <w:szCs w:val="20"/>
              </w:rPr>
            </w:pPr>
            <w:r w:rsidRPr="00E00B35">
              <w:rPr>
                <w:szCs w:val="20"/>
              </w:rPr>
              <w:t>119</w:t>
            </w:r>
          </w:p>
        </w:tc>
        <w:tc>
          <w:tcPr>
            <w:tcW w:w="3071" w:type="dxa"/>
            <w:vAlign w:val="center"/>
          </w:tcPr>
          <w:p w:rsidR="00CA14AB" w:rsidRPr="00E00B35" w:rsidRDefault="00CA14AB" w:rsidP="00E00B35">
            <w:pPr>
              <w:spacing w:after="0" w:line="312" w:lineRule="auto"/>
              <w:rPr>
                <w:szCs w:val="20"/>
              </w:rPr>
            </w:pPr>
            <w:r w:rsidRPr="00E00B35">
              <w:rPr>
                <w:szCs w:val="20"/>
              </w:rPr>
              <w:t>1 515 533,67</w:t>
            </w:r>
          </w:p>
        </w:tc>
      </w:tr>
    </w:tbl>
    <w:p w:rsidR="00CA14AB" w:rsidRPr="00E00B35" w:rsidRDefault="00CA14AB" w:rsidP="00E00B35">
      <w:pPr>
        <w:spacing w:after="0" w:line="312" w:lineRule="auto"/>
        <w:rPr>
          <w:szCs w:val="20"/>
        </w:rPr>
      </w:pPr>
      <w:r w:rsidRPr="00E00B35">
        <w:rPr>
          <w:szCs w:val="20"/>
        </w:rPr>
        <w:t>Tytuły – 1 084 szt.</w:t>
      </w:r>
    </w:p>
    <w:p w:rsidR="00CA14AB" w:rsidRPr="00E00B35" w:rsidRDefault="00CA14AB" w:rsidP="00E00B35">
      <w:pPr>
        <w:spacing w:after="0" w:line="312" w:lineRule="auto"/>
        <w:rPr>
          <w:szCs w:val="20"/>
        </w:rPr>
      </w:pPr>
      <w:r w:rsidRPr="00E00B35">
        <w:rPr>
          <w:szCs w:val="20"/>
        </w:rPr>
        <w:t>Upomnienia – 1 298 szt.</w:t>
      </w:r>
    </w:p>
    <w:p w:rsidR="00890136" w:rsidRPr="00E00B35" w:rsidRDefault="00890136" w:rsidP="00E00B35">
      <w:pPr>
        <w:spacing w:after="0" w:line="312" w:lineRule="auto"/>
        <w:rPr>
          <w:szCs w:val="20"/>
        </w:rPr>
      </w:pPr>
    </w:p>
    <w:p w:rsidR="00890136" w:rsidRPr="00E00B35" w:rsidRDefault="00CA14AB" w:rsidP="00E00B35">
      <w:pPr>
        <w:spacing w:after="0" w:line="312" w:lineRule="auto"/>
        <w:rPr>
          <w:szCs w:val="20"/>
        </w:rPr>
      </w:pPr>
      <w:r w:rsidRPr="00E00B35">
        <w:rPr>
          <w:szCs w:val="20"/>
        </w:rPr>
        <w:lastRenderedPageBreak/>
        <w:t>Na podstawie art.18 ust.1 pkt 9 ustawy o pomocy społecznej z dnia 12 marca 2004r. wypłacane jest wynagrodzenie dla opiekunów prawnych. W 2020r. wypłacono je na ogólną kwotę 845 096,97 zł dla 96 opiekunów prawnych (mających pod opieką 199 osób). Wynagrodzenie wypłacane jest na podstawie postanowień sądowych.</w:t>
      </w:r>
    </w:p>
    <w:p w:rsidR="00CA14AB" w:rsidRPr="00E00B35" w:rsidRDefault="00CA14AB" w:rsidP="00E00B35">
      <w:pPr>
        <w:spacing w:after="0" w:line="312" w:lineRule="auto"/>
        <w:rPr>
          <w:szCs w:val="20"/>
        </w:rPr>
      </w:pPr>
      <w:r w:rsidRPr="00E00B35">
        <w:rPr>
          <w:szCs w:val="20"/>
        </w:rPr>
        <w:br/>
        <w:t xml:space="preserve">Wynagrodzenia opiekunów prawnych w latach 2016-2020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1417"/>
        <w:gridCol w:w="1418"/>
        <w:gridCol w:w="1417"/>
        <w:gridCol w:w="1418"/>
        <w:gridCol w:w="1417"/>
      </w:tblGrid>
      <w:tr w:rsidR="00CA14AB" w:rsidRPr="00E00B35" w:rsidTr="00CA14AB">
        <w:trPr>
          <w:trHeight w:val="500"/>
        </w:trPr>
        <w:tc>
          <w:tcPr>
            <w:tcW w:w="2235" w:type="dxa"/>
            <w:shd w:val="clear" w:color="auto" w:fill="D9D9D9"/>
          </w:tcPr>
          <w:p w:rsidR="00CA14AB" w:rsidRPr="00E00B35" w:rsidRDefault="00CA14AB" w:rsidP="00E00B35">
            <w:pPr>
              <w:spacing w:after="0" w:line="312" w:lineRule="auto"/>
              <w:rPr>
                <w:szCs w:val="20"/>
              </w:rPr>
            </w:pPr>
            <w:r w:rsidRPr="00E00B35">
              <w:rPr>
                <w:szCs w:val="20"/>
              </w:rPr>
              <w:t>Wyszczególnienie</w:t>
            </w:r>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1418" w:type="dxa"/>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1418" w:type="dxa"/>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1417" w:type="dxa"/>
            <w:shd w:val="clear" w:color="auto" w:fill="D9D9D9"/>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617"/>
        </w:trPr>
        <w:tc>
          <w:tcPr>
            <w:tcW w:w="2235" w:type="dxa"/>
            <w:shd w:val="clear" w:color="auto" w:fill="D9D9D9"/>
          </w:tcPr>
          <w:p w:rsidR="00CA14AB" w:rsidRPr="00E00B35" w:rsidRDefault="00CA14AB" w:rsidP="00E00B35">
            <w:pPr>
              <w:spacing w:after="0" w:line="312" w:lineRule="auto"/>
              <w:rPr>
                <w:szCs w:val="20"/>
              </w:rPr>
            </w:pPr>
            <w:r w:rsidRPr="00E00B35">
              <w:rPr>
                <w:szCs w:val="20"/>
              </w:rPr>
              <w:t>Kwota wypłaconych wynagrodzeń [zł]</w:t>
            </w:r>
          </w:p>
        </w:tc>
        <w:tc>
          <w:tcPr>
            <w:tcW w:w="1417" w:type="dxa"/>
            <w:vAlign w:val="center"/>
          </w:tcPr>
          <w:p w:rsidR="00CA14AB" w:rsidRPr="00E00B35" w:rsidRDefault="00CA14AB" w:rsidP="00E00B35">
            <w:pPr>
              <w:spacing w:after="0" w:line="312" w:lineRule="auto"/>
              <w:rPr>
                <w:szCs w:val="20"/>
              </w:rPr>
            </w:pPr>
            <w:r w:rsidRPr="00E00B35">
              <w:rPr>
                <w:szCs w:val="20"/>
              </w:rPr>
              <w:t>571 982</w:t>
            </w:r>
          </w:p>
        </w:tc>
        <w:tc>
          <w:tcPr>
            <w:tcW w:w="1418" w:type="dxa"/>
            <w:vAlign w:val="center"/>
          </w:tcPr>
          <w:p w:rsidR="00CA14AB" w:rsidRPr="00E00B35" w:rsidRDefault="00CA14AB" w:rsidP="00E00B35">
            <w:pPr>
              <w:spacing w:after="0" w:line="312" w:lineRule="auto"/>
              <w:rPr>
                <w:szCs w:val="20"/>
              </w:rPr>
            </w:pPr>
            <w:r w:rsidRPr="00E00B35">
              <w:rPr>
                <w:szCs w:val="20"/>
              </w:rPr>
              <w:t>602 222</w:t>
            </w:r>
          </w:p>
        </w:tc>
        <w:tc>
          <w:tcPr>
            <w:tcW w:w="1417" w:type="dxa"/>
            <w:vAlign w:val="center"/>
          </w:tcPr>
          <w:p w:rsidR="00CA14AB" w:rsidRPr="00E00B35" w:rsidRDefault="00CA14AB" w:rsidP="00E00B35">
            <w:pPr>
              <w:spacing w:after="0" w:line="312" w:lineRule="auto"/>
              <w:rPr>
                <w:szCs w:val="20"/>
              </w:rPr>
            </w:pPr>
            <w:r w:rsidRPr="00E00B35">
              <w:rPr>
                <w:szCs w:val="20"/>
              </w:rPr>
              <w:t>670 012</w:t>
            </w:r>
          </w:p>
        </w:tc>
        <w:tc>
          <w:tcPr>
            <w:tcW w:w="1418" w:type="dxa"/>
            <w:vAlign w:val="center"/>
          </w:tcPr>
          <w:p w:rsidR="00CA14AB" w:rsidRPr="00E00B35" w:rsidRDefault="00CA14AB" w:rsidP="00E00B35">
            <w:pPr>
              <w:spacing w:after="0" w:line="312" w:lineRule="auto"/>
              <w:rPr>
                <w:szCs w:val="20"/>
              </w:rPr>
            </w:pPr>
            <w:r w:rsidRPr="00E00B35">
              <w:rPr>
                <w:szCs w:val="20"/>
              </w:rPr>
              <w:t>794 024,72</w:t>
            </w:r>
          </w:p>
        </w:tc>
        <w:tc>
          <w:tcPr>
            <w:tcW w:w="1417" w:type="dxa"/>
            <w:vAlign w:val="center"/>
          </w:tcPr>
          <w:p w:rsidR="00CA14AB" w:rsidRPr="00E00B35" w:rsidRDefault="00CA14AB" w:rsidP="00E00B35">
            <w:pPr>
              <w:spacing w:after="0" w:line="312" w:lineRule="auto"/>
              <w:rPr>
                <w:szCs w:val="20"/>
              </w:rPr>
            </w:pPr>
            <w:r w:rsidRPr="00E00B35">
              <w:rPr>
                <w:szCs w:val="20"/>
              </w:rPr>
              <w:t>845 096,97</w:t>
            </w:r>
          </w:p>
        </w:tc>
      </w:tr>
      <w:tr w:rsidR="00CA14AB" w:rsidRPr="00E00B35" w:rsidTr="00CA14AB">
        <w:trPr>
          <w:trHeight w:val="568"/>
        </w:trPr>
        <w:tc>
          <w:tcPr>
            <w:tcW w:w="2235" w:type="dxa"/>
            <w:shd w:val="clear" w:color="auto" w:fill="D9D9D9"/>
            <w:vAlign w:val="center"/>
          </w:tcPr>
          <w:p w:rsidR="00CA14AB" w:rsidRPr="00E00B35" w:rsidRDefault="00CA14AB" w:rsidP="00E00B35">
            <w:pPr>
              <w:spacing w:after="0" w:line="312" w:lineRule="auto"/>
              <w:rPr>
                <w:szCs w:val="20"/>
              </w:rPr>
            </w:pPr>
            <w:r w:rsidRPr="00E00B35">
              <w:rPr>
                <w:szCs w:val="20"/>
              </w:rPr>
              <w:t>Ilość opiekunów prawnych</w:t>
            </w:r>
          </w:p>
        </w:tc>
        <w:tc>
          <w:tcPr>
            <w:tcW w:w="1417" w:type="dxa"/>
            <w:vAlign w:val="center"/>
          </w:tcPr>
          <w:p w:rsidR="00CA14AB" w:rsidRPr="00E00B35" w:rsidRDefault="00CA14AB" w:rsidP="00E00B35">
            <w:pPr>
              <w:spacing w:after="0" w:line="312" w:lineRule="auto"/>
              <w:rPr>
                <w:szCs w:val="20"/>
              </w:rPr>
            </w:pPr>
            <w:r w:rsidRPr="00E00B35">
              <w:rPr>
                <w:szCs w:val="20"/>
              </w:rPr>
              <w:t>90</w:t>
            </w:r>
          </w:p>
        </w:tc>
        <w:tc>
          <w:tcPr>
            <w:tcW w:w="1418" w:type="dxa"/>
            <w:vAlign w:val="center"/>
          </w:tcPr>
          <w:p w:rsidR="00CA14AB" w:rsidRPr="00E00B35" w:rsidRDefault="00CA14AB" w:rsidP="00E00B35">
            <w:pPr>
              <w:spacing w:after="0" w:line="312" w:lineRule="auto"/>
              <w:rPr>
                <w:szCs w:val="20"/>
              </w:rPr>
            </w:pPr>
            <w:r w:rsidRPr="00E00B35">
              <w:rPr>
                <w:szCs w:val="20"/>
              </w:rPr>
              <w:t xml:space="preserve">88 </w:t>
            </w:r>
          </w:p>
        </w:tc>
        <w:tc>
          <w:tcPr>
            <w:tcW w:w="1417" w:type="dxa"/>
            <w:vAlign w:val="center"/>
          </w:tcPr>
          <w:p w:rsidR="00CA14AB" w:rsidRPr="00E00B35" w:rsidRDefault="00CA14AB" w:rsidP="00E00B35">
            <w:pPr>
              <w:spacing w:after="0" w:line="312" w:lineRule="auto"/>
              <w:rPr>
                <w:szCs w:val="20"/>
              </w:rPr>
            </w:pPr>
            <w:r w:rsidRPr="00E00B35">
              <w:rPr>
                <w:szCs w:val="20"/>
              </w:rPr>
              <w:t>93</w:t>
            </w:r>
          </w:p>
        </w:tc>
        <w:tc>
          <w:tcPr>
            <w:tcW w:w="1418" w:type="dxa"/>
            <w:vAlign w:val="center"/>
          </w:tcPr>
          <w:p w:rsidR="00CA14AB" w:rsidRPr="00E00B35" w:rsidRDefault="00CA14AB" w:rsidP="00E00B35">
            <w:pPr>
              <w:spacing w:after="0" w:line="312" w:lineRule="auto"/>
              <w:rPr>
                <w:szCs w:val="20"/>
              </w:rPr>
            </w:pPr>
            <w:r w:rsidRPr="00E00B35">
              <w:rPr>
                <w:szCs w:val="20"/>
              </w:rPr>
              <w:t>97</w:t>
            </w:r>
          </w:p>
        </w:tc>
        <w:tc>
          <w:tcPr>
            <w:tcW w:w="1417" w:type="dxa"/>
            <w:vAlign w:val="center"/>
          </w:tcPr>
          <w:p w:rsidR="00CA14AB" w:rsidRPr="00E00B35" w:rsidRDefault="00CA14AB" w:rsidP="00E00B35">
            <w:pPr>
              <w:spacing w:after="0" w:line="312" w:lineRule="auto"/>
              <w:rPr>
                <w:szCs w:val="20"/>
              </w:rPr>
            </w:pPr>
            <w:r w:rsidRPr="00E00B35">
              <w:rPr>
                <w:szCs w:val="20"/>
              </w:rPr>
              <w:t>96</w:t>
            </w:r>
          </w:p>
        </w:tc>
      </w:tr>
      <w:tr w:rsidR="00CA14AB" w:rsidRPr="00E00B35" w:rsidTr="00CA14AB">
        <w:trPr>
          <w:trHeight w:val="568"/>
        </w:trPr>
        <w:tc>
          <w:tcPr>
            <w:tcW w:w="2235" w:type="dxa"/>
            <w:shd w:val="clear" w:color="auto" w:fill="D9D9D9"/>
            <w:vAlign w:val="center"/>
          </w:tcPr>
          <w:p w:rsidR="00CA14AB" w:rsidRPr="00E00B35" w:rsidRDefault="00CA14AB" w:rsidP="00E00B35">
            <w:pPr>
              <w:spacing w:after="0" w:line="312" w:lineRule="auto"/>
              <w:rPr>
                <w:szCs w:val="20"/>
              </w:rPr>
            </w:pPr>
            <w:r w:rsidRPr="00E00B35">
              <w:rPr>
                <w:szCs w:val="20"/>
              </w:rPr>
              <w:t>Ilość osób dla których została ustanowiona opieka prawna, która jest opłacana ze środków publicznych</w:t>
            </w:r>
          </w:p>
        </w:tc>
        <w:tc>
          <w:tcPr>
            <w:tcW w:w="1417" w:type="dxa"/>
            <w:vAlign w:val="center"/>
          </w:tcPr>
          <w:p w:rsidR="00CA14AB" w:rsidRPr="00E00B35" w:rsidRDefault="00CA14AB" w:rsidP="00E00B35">
            <w:pPr>
              <w:spacing w:after="0" w:line="312" w:lineRule="auto"/>
              <w:rPr>
                <w:szCs w:val="20"/>
              </w:rPr>
            </w:pPr>
            <w:r w:rsidRPr="00E00B35">
              <w:rPr>
                <w:szCs w:val="20"/>
              </w:rPr>
              <w:t>162</w:t>
            </w:r>
          </w:p>
        </w:tc>
        <w:tc>
          <w:tcPr>
            <w:tcW w:w="1418" w:type="dxa"/>
            <w:vAlign w:val="center"/>
          </w:tcPr>
          <w:p w:rsidR="00CA14AB" w:rsidRPr="00E00B35" w:rsidRDefault="00CA14AB" w:rsidP="00E00B35">
            <w:pPr>
              <w:spacing w:after="0" w:line="312" w:lineRule="auto"/>
              <w:rPr>
                <w:szCs w:val="20"/>
              </w:rPr>
            </w:pPr>
            <w:r w:rsidRPr="00E00B35">
              <w:rPr>
                <w:szCs w:val="20"/>
              </w:rPr>
              <w:t>154</w:t>
            </w:r>
          </w:p>
        </w:tc>
        <w:tc>
          <w:tcPr>
            <w:tcW w:w="1417" w:type="dxa"/>
            <w:vAlign w:val="center"/>
          </w:tcPr>
          <w:p w:rsidR="00CA14AB" w:rsidRPr="00E00B35" w:rsidRDefault="00CA14AB" w:rsidP="00E00B35">
            <w:pPr>
              <w:spacing w:after="0" w:line="312" w:lineRule="auto"/>
              <w:rPr>
                <w:szCs w:val="20"/>
              </w:rPr>
            </w:pPr>
            <w:r w:rsidRPr="00E00B35">
              <w:rPr>
                <w:szCs w:val="20"/>
              </w:rPr>
              <w:t>168</w:t>
            </w:r>
          </w:p>
        </w:tc>
        <w:tc>
          <w:tcPr>
            <w:tcW w:w="1418" w:type="dxa"/>
            <w:vAlign w:val="center"/>
          </w:tcPr>
          <w:p w:rsidR="00CA14AB" w:rsidRPr="00E00B35" w:rsidRDefault="00CA14AB" w:rsidP="00E00B35">
            <w:pPr>
              <w:spacing w:after="0" w:line="312" w:lineRule="auto"/>
              <w:rPr>
                <w:szCs w:val="20"/>
              </w:rPr>
            </w:pPr>
            <w:r w:rsidRPr="00E00B35">
              <w:rPr>
                <w:szCs w:val="20"/>
              </w:rPr>
              <w:t>187</w:t>
            </w:r>
          </w:p>
        </w:tc>
        <w:tc>
          <w:tcPr>
            <w:tcW w:w="1417" w:type="dxa"/>
            <w:vAlign w:val="center"/>
          </w:tcPr>
          <w:p w:rsidR="00CA14AB" w:rsidRPr="00E00B35" w:rsidRDefault="00CA14AB" w:rsidP="00E00B35">
            <w:pPr>
              <w:spacing w:after="0" w:line="312" w:lineRule="auto"/>
              <w:rPr>
                <w:szCs w:val="20"/>
              </w:rPr>
            </w:pPr>
            <w:r w:rsidRPr="00E00B35">
              <w:rPr>
                <w:szCs w:val="20"/>
              </w:rPr>
              <w:t>199</w:t>
            </w:r>
          </w:p>
        </w:tc>
      </w:tr>
    </w:tbl>
    <w:p w:rsidR="00436BC1" w:rsidRPr="00E00B35" w:rsidRDefault="00436BC1"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Na podstawie prawomocnych wyroków Sądów powołujących się na uchwałę Sądu Najwyższego z dnia 28.03.2014r. (sygn. akt III CZP 6/14) zostały wypłacone wynagrodzenia dla kuratorów osób częściowo ubezwłasnowolnionych. W 2020r. wypłacono je na ogólną kwotę 81 023,55 zł dla 17 kuratorów (mających pod opieką 21 osób).</w:t>
      </w:r>
    </w:p>
    <w:p w:rsidR="00CA14AB" w:rsidRPr="00E00B35" w:rsidRDefault="00CA14AB" w:rsidP="00E00B35">
      <w:pPr>
        <w:spacing w:after="0" w:line="312" w:lineRule="auto"/>
        <w:rPr>
          <w:szCs w:val="20"/>
        </w:rPr>
      </w:pPr>
      <w:bookmarkStart w:id="483" w:name="_Hlk59098235"/>
      <w:r w:rsidRPr="00E00B35">
        <w:rPr>
          <w:szCs w:val="20"/>
        </w:rPr>
        <w:t xml:space="preserve">Zgodnie z ustawą z dnia 27 sierpnia 2004r. o świadczeniach opieki zdrowotnej finansowanych ze środków publicznych (t.j. Dz. U. z 2020r. poz. 1398 ze zm.) Dyrektor Miejskiego Ośrodka Pomocy Społecznej oraz inne osoby upoważnione przez Prezydenta Wrocławia wydały 1 904 (w 2019r. – 2 232) decyzji potwierdzających prawo do opieki zdrowotnej świadczeniobiorców, którzy nie są zaliczeni do kręgu osób „ubezpieczonych”. </w:t>
      </w:r>
    </w:p>
    <w:p w:rsidR="00CA14AB" w:rsidRPr="00E00B35" w:rsidRDefault="00CA14AB" w:rsidP="00E00B35">
      <w:pPr>
        <w:spacing w:after="0" w:line="312" w:lineRule="auto"/>
        <w:rPr>
          <w:szCs w:val="20"/>
        </w:rPr>
      </w:pPr>
      <w:bookmarkStart w:id="484" w:name="_Hlk534358839"/>
      <w:bookmarkEnd w:id="483"/>
      <w:r w:rsidRPr="00E00B35">
        <w:rPr>
          <w:szCs w:val="20"/>
        </w:rPr>
        <w:t xml:space="preserve">W 2016r. zostało zawarte kolejne porozumienie pomiędzy Miejskim Ośrodkiem Pomocy Społecznej, a Pogotowiem Ratunkowym we Wrocławiu, które ma na celu zapewnienie pomocy w formie usług opiekuńczych w dni wolne od pracy: soboty, niedziele i święta. Pomoc interwencyjna dotyczy szczególnie osób samotnych, które nie kwalifikują się do leczenia szpitalnego, a wymagają pomocy osoby drugiej i polega na zapewnieniu niezwłocznej opieki w zakresie potrzeb bytowych (wyżywienie), jak i opieki pielęgniarskiej (pomoc w utrzymaniu higieny osobistej oraz zaleconej przez lekarza pielęgnacji, wykupienia zaleconych leków). W 2020r. Pogotowie Ratunkowe zgłosiło łącznie 21 osób do tej formy pomocy. Zgłoszenia przyjmuje dyżurujący pracownik MOPS. </w:t>
      </w:r>
    </w:p>
    <w:p w:rsidR="00CA14AB" w:rsidRPr="00E00B35" w:rsidRDefault="00CA14AB" w:rsidP="00E00B35">
      <w:pPr>
        <w:spacing w:after="0" w:line="312" w:lineRule="auto"/>
        <w:rPr>
          <w:szCs w:val="20"/>
        </w:rPr>
      </w:pPr>
      <w:bookmarkStart w:id="485" w:name="_Hlk59098433"/>
      <w:bookmarkEnd w:id="484"/>
      <w:r w:rsidRPr="00E00B35">
        <w:rPr>
          <w:szCs w:val="20"/>
        </w:rPr>
        <w:t xml:space="preserve">W ramach realizacji uchwały nr LXIII/1518/18 Rady Miejskiej Wrocławia </w:t>
      </w:r>
      <w:r w:rsidRPr="00E00B35">
        <w:rPr>
          <w:szCs w:val="20"/>
        </w:rPr>
        <w:br/>
        <w:t xml:space="preserve">z dnia 11 października 2018r. w sprawie przyjęcia Gminnego programu wspierania osób </w:t>
      </w:r>
      <w:r w:rsidRPr="00E00B35">
        <w:rPr>
          <w:szCs w:val="20"/>
        </w:rPr>
        <w:br/>
        <w:t xml:space="preserve">w podeszłym wieku, niepełnosprawnych oraz niesamodzielnych na lata 2019-2023, </w:t>
      </w:r>
      <w:r w:rsidRPr="00E00B35">
        <w:rPr>
          <w:szCs w:val="20"/>
        </w:rPr>
        <w:br/>
        <w:t xml:space="preserve">a także Zarządzenia nr 3860/20 Prezydenta Wrocławia z dnia 1 października 2020r. </w:t>
      </w:r>
      <w:r w:rsidRPr="00E00B35">
        <w:rPr>
          <w:szCs w:val="20"/>
        </w:rPr>
        <w:br/>
        <w:t xml:space="preserve">w sprawie określenia zasad postępowania przy kierowaniu osób w podeszłym wieku, </w:t>
      </w:r>
      <w:r w:rsidRPr="00E00B35">
        <w:rPr>
          <w:szCs w:val="20"/>
        </w:rPr>
        <w:lastRenderedPageBreak/>
        <w:t xml:space="preserve">niepełnosprawnych oraz niesamodzielnych do miejsc pobytu dostosowanych do ich potrzeb życiowych, MOPS przygotowuje skierowania do ww. miejsc pobytu. Skierowania podpisywane były przez Dyrektora Miejskiego Ośrodka Pomocy Społecznej. Łącznie </w:t>
      </w:r>
      <w:r w:rsidRPr="00E00B35">
        <w:rPr>
          <w:szCs w:val="20"/>
        </w:rPr>
        <w:br/>
        <w:t xml:space="preserve">w 44 miejscach pobytu na koniec 2020 roku przebywało 99 osób. </w:t>
      </w:r>
    </w:p>
    <w:p w:rsidR="00CA14AB" w:rsidRPr="00E00B35" w:rsidRDefault="00CA14AB" w:rsidP="00E00B35">
      <w:pPr>
        <w:spacing w:after="0" w:line="312" w:lineRule="auto"/>
        <w:rPr>
          <w:szCs w:val="20"/>
        </w:rPr>
      </w:pPr>
      <w:bookmarkStart w:id="486" w:name="_Hlk534361228"/>
      <w:bookmarkStart w:id="487" w:name="_Hlk59097590"/>
      <w:bookmarkEnd w:id="485"/>
      <w:r w:rsidRPr="00E00B35">
        <w:rPr>
          <w:szCs w:val="20"/>
        </w:rPr>
        <w:t xml:space="preserve">Od 2014r. realizowane są uroczyste pochówki Dzieci Martwo Urodzonych. Wspólnie </w:t>
      </w:r>
      <w:r w:rsidRPr="00E00B35">
        <w:rPr>
          <w:szCs w:val="20"/>
        </w:rPr>
        <w:br/>
        <w:t xml:space="preserve">z MOPS zadanie realizują: Wydział Zdrowia i Spraw Społecznych Urzędu Miejskiego Wrocławia, Zarząd Cmentarzy Komunalnych we Wrocławiu, Fundacja Evangelium Vitae, Samodzielny Publiczny Szpital Kliniczny nr 1 we Wrocławiu, Szpital Specjalistyczny </w:t>
      </w:r>
      <w:r w:rsidRPr="00E00B35">
        <w:rPr>
          <w:szCs w:val="20"/>
        </w:rPr>
        <w:br/>
        <w:t xml:space="preserve">im. A Falkiewicza we Wrocławiu, Uniwersytecki Szpital Kliniczny im. Jana Mikulicza–Radeckiego we Wrocławiu, Wojewódzki Szpital Specjalistyczny we Wrocławiu. </w:t>
      </w:r>
    </w:p>
    <w:p w:rsidR="00CA14AB" w:rsidRPr="00E00B35" w:rsidRDefault="00CA14AB" w:rsidP="00E00B35">
      <w:pPr>
        <w:spacing w:after="0" w:line="312" w:lineRule="auto"/>
        <w:rPr>
          <w:szCs w:val="20"/>
        </w:rPr>
      </w:pPr>
      <w:r w:rsidRPr="00E00B35">
        <w:rPr>
          <w:szCs w:val="20"/>
        </w:rPr>
        <w:t>W 2020</w:t>
      </w:r>
      <w:r w:rsidR="00436BC1" w:rsidRPr="00E00B35">
        <w:rPr>
          <w:szCs w:val="20"/>
        </w:rPr>
        <w:t xml:space="preserve"> </w:t>
      </w:r>
      <w:r w:rsidRPr="00E00B35">
        <w:rPr>
          <w:szCs w:val="20"/>
        </w:rPr>
        <w:t>r. odbyły się 3 uroczyste pochówki Dzieci Martwo Urodzonych.</w:t>
      </w:r>
    </w:p>
    <w:p w:rsidR="00CA14AB" w:rsidRPr="00E00B35" w:rsidRDefault="00CA14AB" w:rsidP="00E00B35">
      <w:pPr>
        <w:spacing w:after="0" w:line="312" w:lineRule="auto"/>
        <w:rPr>
          <w:szCs w:val="20"/>
        </w:rPr>
      </w:pPr>
      <w:bookmarkStart w:id="488" w:name="_Hlk534361311"/>
      <w:bookmarkEnd w:id="486"/>
      <w:bookmarkEnd w:id="487"/>
      <w:r w:rsidRPr="00E00B35">
        <w:rPr>
          <w:szCs w:val="20"/>
        </w:rPr>
        <w:t xml:space="preserve">Zgodnie z zarządzeniem nr 9556/18 Prezydenta Wrocławia z dnia 18 kwietnia 2018r. </w:t>
      </w:r>
      <w:r w:rsidRPr="00E00B35">
        <w:rPr>
          <w:szCs w:val="20"/>
        </w:rPr>
        <w:br/>
        <w:t xml:space="preserve">w sprawie trybu postępowania przy udzielaniu pomocy repatriantom i członkom ich najbliższej rodziny, zapraszanych przez Gminę Wrocław do osiedlenia się we Wrocławiu, na pisemny wniosek Dyrektora Wydziału Spraw Obywatelskich Urzędu Miejskiego Wrocławia w 2020r. MOPS umieścił w mieszkaniach interwencyjnych znajdujących się </w:t>
      </w:r>
      <w:r w:rsidRPr="00E00B35">
        <w:rPr>
          <w:szCs w:val="20"/>
        </w:rPr>
        <w:br/>
        <w:t xml:space="preserve">w Ośrodku Opiekuńczo-Adaptacyjnym „Pensjonat dla Osób Starszych” przy </w:t>
      </w:r>
      <w:r w:rsidRPr="00E00B35">
        <w:rPr>
          <w:szCs w:val="20"/>
        </w:rPr>
        <w:br/>
        <w:t xml:space="preserve">ul. Kamieńskiego 190 we Wrocławiu 5 rodzin repatriantów (razem 11 osób </w:t>
      </w:r>
      <w:r w:rsidRPr="00E00B35">
        <w:rPr>
          <w:szCs w:val="20"/>
        </w:rPr>
        <w:br/>
        <w:t>w rodzinie).</w:t>
      </w:r>
    </w:p>
    <w:p w:rsidR="00CA14AB" w:rsidRPr="00E00B35" w:rsidRDefault="00CA14AB" w:rsidP="00E00B35">
      <w:pPr>
        <w:spacing w:after="0" w:line="312" w:lineRule="auto"/>
        <w:rPr>
          <w:szCs w:val="20"/>
        </w:rPr>
      </w:pPr>
      <w:r w:rsidRPr="00E00B35">
        <w:rPr>
          <w:szCs w:val="20"/>
        </w:rPr>
        <w:t>W 2020</w:t>
      </w:r>
      <w:r w:rsidR="00436BC1" w:rsidRPr="00E00B35">
        <w:rPr>
          <w:szCs w:val="20"/>
        </w:rPr>
        <w:t xml:space="preserve"> </w:t>
      </w:r>
      <w:r w:rsidRPr="00E00B35">
        <w:rPr>
          <w:szCs w:val="20"/>
        </w:rPr>
        <w:t xml:space="preserve">r. Zespół ds. Organizacji i Nadzoru w Dziale Prawnym, Organizacji i Nadzoru sporządził 3 projekty uchwał Rady Miejskiej Wrocławia (wszystkie przyjęte przez RMW) </w:t>
      </w:r>
      <w:r w:rsidRPr="00E00B35">
        <w:rPr>
          <w:szCs w:val="20"/>
        </w:rPr>
        <w:br/>
        <w:t xml:space="preserve">i 11 projektów zarządzeń Prezydenta Wrocławia, rozpatrywał 59 spraw skargowo-wnioskowych regulowanych przepisami ustawy z dnia 14 czerwca 1960r. – Kodeks postępowania administracyjnego, zakończonych wydaniem skierowanego do skarżącego/wnioskodawcy zawiadomienia o sposobie rozpatrzenia skargi/wniosku. </w:t>
      </w:r>
      <w:r w:rsidRPr="00E00B35">
        <w:rPr>
          <w:szCs w:val="20"/>
        </w:rPr>
        <w:br/>
        <w:t>Z podanej ogólnej liczby spraw, 47 z nich stanowiło skargi, pozostałe 12 – wnioski. Zespół ds. Organizacji i Nadzoru MOPS udzielał ponadto w 30 sprawach osobom zainteresowanym oraz uprawnionym podmiotom wyjaśnień dotyczących skarg, wniosków, petycji, postulatów, inicjatyw i interpretacji.</w:t>
      </w:r>
    </w:p>
    <w:bookmarkEnd w:id="488"/>
    <w:p w:rsidR="00CA14AB" w:rsidRPr="00E00B35" w:rsidRDefault="00CA14AB" w:rsidP="00E00B35">
      <w:pPr>
        <w:spacing w:after="0" w:line="312" w:lineRule="auto"/>
        <w:rPr>
          <w:szCs w:val="20"/>
        </w:rPr>
      </w:pPr>
      <w:r w:rsidRPr="00E00B35">
        <w:rPr>
          <w:szCs w:val="20"/>
        </w:rPr>
        <w:t>SEKCJA INFORMATYKI MOPS w roku 2020 oprócz bieżącej pracy administracyjno-serwisowej związanej z utrzymaniem ciągłości pracy, oprogramowania i infrastruktury informatycznej, przeprowadziła: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instalację sprzętu zakupionego w 2019 roku;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uruchomienie i wdrożenie dzierżawionych łącz internetowych gwarantujących usługę dostępu do sieci PESEL-NET;</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uruchomienie 4 stanowisk komputerowych umożliwiających dostęp do ogólnopolskiej bazy PESEL w ramach aplikacji ŹRÓDŁO;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wdrożenie oprogramowania do szyfrowania poczty elektronicznej;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zakup i wdrożenie 200 licencji do połączeń VPN Cisco AnyConnect, na łączną kwotę 2 857,29 zł;</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zakup 4 licencji do wideokonferencji Cisco Webex Meetings, na łączną kwotę </w:t>
      </w:r>
      <w:r w:rsidRPr="00E00B35">
        <w:rPr>
          <w:szCs w:val="20"/>
        </w:rPr>
        <w:br/>
        <w:t>3 336,99 zł;</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lastRenderedPageBreak/>
        <w:t xml:space="preserve">zakup sprzętu komputerowego (laptopy, głośniki oraz kamery internetowe) </w:t>
      </w:r>
      <w:r w:rsidRPr="00E00B35">
        <w:rPr>
          <w:szCs w:val="20"/>
        </w:rPr>
        <w:br/>
        <w:t xml:space="preserve">w ramach projektu „Wsparcie dzieci umieszczonych w pieczy zastępczej </w:t>
      </w:r>
      <w:r w:rsidRPr="00E00B35">
        <w:rPr>
          <w:szCs w:val="20"/>
        </w:rPr>
        <w:br/>
        <w:t>w okresie epidemii COVID-19”, na łączną kwotę 641 998,58 zł brutto;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przygotowanie i wydanie zakupionego sprzętu komputerowego (laptopy, głośniki oraz kamery internetowe) w ramach projektu „Wsparcie dzieci umieszczonych </w:t>
      </w:r>
      <w:r w:rsidRPr="00E00B35">
        <w:rPr>
          <w:szCs w:val="20"/>
        </w:rPr>
        <w:br/>
        <w:t>w pieczy zastępczej w okresie epidemii COVID-19”;</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zakup sprzętu komputerowego wraz z oprogramowaniem i licencjami (zestaw komputerowy, laptopy, drukarki, urządzenia wielofunkcyjne, skanery itp.), zakupione w czterech  postępowaniach przetargowych, na łączną kwotę 257 547,24 zł brutto;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przygotowanie i wydanie do pracy zdalnej sprzętu komputerowego (laptopy, komputery stacjonarne, komputery AllInOne), łączna ilość wydanego sprzętu 71;</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pozyskanie lub odnowienie 61 kwalifikowanych podpisów elektronicznych, </w:t>
      </w:r>
      <w:r w:rsidRPr="00E00B35">
        <w:rPr>
          <w:szCs w:val="20"/>
        </w:rPr>
        <w:br/>
        <w:t>za pośrednictwem CUI;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zakup i wdrożenie systemu zarządzania kolejkami klientów w siedzibie MOPS przy ul. Hubska 30-32, za łączną kwotę: 26 528,64 zł brutto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uruchomienie Biura Obsługi Klienta dla CPSR, DAON, DPIN, DIPZ, DRPZ oraz Kas na ul. Strzegomskiej 6;</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zakup i wdrożenie półki dyskowej DS224C wraz z 12 dyskami do macierzy NetApp FAS 8300, na łączną kwotę 119 310,00 zł;</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zakup i wdrożenie dwóch serwerów HP DL380 Gen10, na łączną kwotę 149 506,50 zł;</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zakup licencji oprogramowania do serwerów, na łączną kwotę 283 705,75 zł;</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dostosowanie strony internetowej mops.wroclaw.pl oraz bip.mops.wroclaw.pl do wymogów WCASG 2.1 zgodnie z ustawą o dostępności cyfrowej stron i aplikacji mobilnych;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podjęcie współpracy z CUI w obszarze umieszczenia w ich Centrum Przetwarzania Danych zakupionych serwerów wraz z oprogramowaniem i półką macierzy dyskowej oraz dostarczenia na potrzeby MOPS oprogramowania do obsługi kopii zapasowych systemów, a także wirtualizowania środowiska informatycznego MOPS;</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modernizacja konfiguracji urządzeń sieciowych umożliwiających korzystanie przez jednostki MOPS z zasobów informatycznych umieszczonych w Centrum Przetwarzania Danych należącego do CUI;</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podłączenie i uruchomienie zapasowego włókna światłowodowego miejskiej sieci Internetu MAN do budynku przy ul. Strzegomskiej 6;</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podłączenie jednostki MOPS przy ul. Hubskiej 30-32 do sieci miejskiego Internetu MAN;</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prace przygotowawcze do procesu migracji systemów informatycznych oraz systemu kopii zapasowych MOPS na zakupiony sprzęt umieszczony w CPD CUI. Migracja z urządzeń, dla których nie wystąpi możliwość wykupienia polis gwarancyjnych producenta.</w:t>
      </w:r>
    </w:p>
    <w:p w:rsidR="00890136" w:rsidRPr="00E00B35" w:rsidRDefault="00890136" w:rsidP="00E00B35">
      <w:pPr>
        <w:pStyle w:val="Akapitzlist"/>
        <w:spacing w:after="0" w:line="312" w:lineRule="auto"/>
        <w:ind w:left="426"/>
        <w:rPr>
          <w:szCs w:val="20"/>
        </w:rPr>
      </w:pPr>
    </w:p>
    <w:p w:rsidR="00CA14AB" w:rsidRPr="00E00B35" w:rsidRDefault="00CA14AB" w:rsidP="00E00B35">
      <w:pPr>
        <w:pStyle w:val="Nagwek4"/>
        <w:spacing w:before="0" w:after="0" w:line="312" w:lineRule="auto"/>
        <w:rPr>
          <w:sz w:val="20"/>
          <w:szCs w:val="20"/>
        </w:rPr>
      </w:pPr>
      <w:bookmarkStart w:id="489" w:name="_Toc72352460"/>
      <w:bookmarkStart w:id="490" w:name="_Toc72352894"/>
      <w:r w:rsidRPr="00E00B35">
        <w:rPr>
          <w:sz w:val="20"/>
          <w:szCs w:val="20"/>
        </w:rPr>
        <w:lastRenderedPageBreak/>
        <w:t>SEKCJA DS. WSPÓŁPRACY Z ORGANIZACJAMI POZARZĄDOWYMI MOPS</w:t>
      </w:r>
      <w:bookmarkEnd w:id="489"/>
      <w:bookmarkEnd w:id="490"/>
    </w:p>
    <w:p w:rsidR="00CA14AB" w:rsidRPr="00E00B35" w:rsidRDefault="00CA14AB" w:rsidP="00E00B35">
      <w:pPr>
        <w:spacing w:after="0" w:line="312" w:lineRule="auto"/>
        <w:rPr>
          <w:szCs w:val="20"/>
        </w:rPr>
      </w:pPr>
      <w:r w:rsidRPr="00E00B35">
        <w:rPr>
          <w:szCs w:val="20"/>
        </w:rPr>
        <w:t>Sekcja ds. Współpracy z Organizacjami Pozarządowymi nadzorowała w 2020 roku pracę 49 organizacji pozarządowych, którym zlecono 97 zadań:</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domów pomocy społecznej;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środowiskowych domów samopomocy typu 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środowiskowych domów samopomocy typu B;</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środowiskowego domu samopomocy typu A i C;</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środowiskowego domu samopomocy typu B i D;</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i zapewnienie miejsc w placówkach opiekuńczo-wychowawczych wsparcia dziennego;</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organizowanie i prowadzenie całodobowych placówek opiekuńczo-wychowawczych;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organizowanie wsparcia osobom usamodzielnianym opuszczającym rodziny zastępcze, rodzinne domy dziecka oraz placówki opiekuńczo-wychowawcze </w:t>
      </w:r>
      <w:r w:rsidRPr="00E00B35">
        <w:rPr>
          <w:szCs w:val="20"/>
        </w:rPr>
        <w:br/>
        <w:t>i regionalne placówki opiekuńczo-terapeutyczne, poprzez wspieranie procesu usamodzielnienia;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zbiorowego żywienia w kuchniach charytatywnych i innych miejscach wydawania posiłków osobom bezdomnym i zagrożonym bezdomnością z Gminy Wrocław;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organizowanie i prowadzenie łaźni i magazynu wydającego odzież dla osób najuboższych i bezdomnych na terenie Gminy Wrocław;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organizowanie i prowadzenie schronienia i magazynów wydających odzież dla osób bezdomnych posiadających ostatnie stałe zameldowanie w Gminie Wrocław;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organizowanie dodatkowego wsparcia osób bezdomnych za pomocą pracy streetworkerów i tzw. Streetbusa;</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magazynów przekazujących żywność organizacjom pozarządowym prowadzącym działalność na rzecz osób najuboższych;</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ogrzewalni oraz realizowanie pakietu interwencyjnego dla osób bezdomnych na terenie Gminy Wrocław;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noclegowni dla bezdomnych mężczyzn;</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prowadzenie ośrodków realizujących w sposób zorganizowany terapię </w:t>
      </w:r>
      <w:r w:rsidRPr="00E00B35">
        <w:rPr>
          <w:szCs w:val="20"/>
        </w:rPr>
        <w:br/>
        <w:t>i poradnictwo na potrzeby Miejskiego Ośrodka Pomocy Społecznej we Wrocławiu;</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zespołu mieszkań chronionych dla osób dorosłych niepełnosprawnych intelektualnie;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organizowanie i prowadzenie dziennych domów pomocy dla osób starszych </w:t>
      </w:r>
      <w:r w:rsidRPr="00E00B35">
        <w:rPr>
          <w:szCs w:val="20"/>
        </w:rPr>
        <w:br/>
        <w:t>z deficytem pamięci w tym min. DDP Senior+;</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Ośrodka Interwencji Kryzysowej;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opieka wytchnieniowa w miejscu zamieszkania osób z niepełnosprawnością;</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opieka wytchnieniowa w Gminie Wrocław;</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asystent osoby niepełnosprawnej: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prowadzenie Specjalistycznego Ośrodka Wsparcia dla ofiar przemocy w rodzinie;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ponadto 15 zadań zlecono w trybie artykułu 19a ustawy o działalności pożytku publicznego i o wolontariacie.</w:t>
      </w:r>
    </w:p>
    <w:p w:rsidR="00CA14AB" w:rsidRPr="00E00B35" w:rsidRDefault="00CA14AB" w:rsidP="00E00B35">
      <w:pPr>
        <w:spacing w:after="0" w:line="312" w:lineRule="auto"/>
        <w:rPr>
          <w:szCs w:val="20"/>
        </w:rPr>
      </w:pPr>
      <w:r w:rsidRPr="00E00B35">
        <w:rPr>
          <w:szCs w:val="20"/>
        </w:rPr>
        <w:lastRenderedPageBreak/>
        <w:t>3 zadania zostały sfinansowane w oparciu o przepisy mające na celu zapobiec rozprzestrzenianiu się COVID-19</w:t>
      </w:r>
      <w:r w:rsidR="00134DDF" w:rsidRPr="00E00B35">
        <w:rPr>
          <w:szCs w:val="20"/>
        </w:rPr>
        <w:t xml:space="preserve">, </w:t>
      </w:r>
      <w:r w:rsidRPr="00E00B35">
        <w:rPr>
          <w:szCs w:val="20"/>
        </w:rPr>
        <w:t>jedno zadanie dotyczyło zwiększenia dostępności dla osób z niepełnosprawnościami poprzez wydanie informatora.</w:t>
      </w:r>
    </w:p>
    <w:p w:rsidR="00CA14AB" w:rsidRPr="00E00B35" w:rsidRDefault="00CA14AB" w:rsidP="00E00B35">
      <w:pPr>
        <w:spacing w:after="0" w:line="312" w:lineRule="auto"/>
        <w:rPr>
          <w:szCs w:val="20"/>
        </w:rPr>
      </w:pPr>
      <w:r w:rsidRPr="00E00B35">
        <w:rPr>
          <w:szCs w:val="20"/>
        </w:rPr>
        <w:t>Środki łącznie przekazane organizacjom w 2020 roku i podlegające rozliczeniu przez Sekcję wynosiły 40 656 173,00 zł w tym:</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14 411 942,00 zł - zadania własne Gminy;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4 524 948,00 zł - zadania zlecone Gminy;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21 264 283,00 zł - zadania własne Powiatu; </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455 000,00 zł  - zadania zlecone Powiatu.</w:t>
      </w:r>
    </w:p>
    <w:p w:rsidR="00CA14AB" w:rsidRPr="00E00B35" w:rsidRDefault="00CA14AB" w:rsidP="00E00B35">
      <w:pPr>
        <w:spacing w:after="0" w:line="312" w:lineRule="auto"/>
        <w:rPr>
          <w:szCs w:val="20"/>
        </w:rPr>
      </w:pPr>
      <w:r w:rsidRPr="00E00B35">
        <w:rPr>
          <w:szCs w:val="20"/>
        </w:rPr>
        <w:t xml:space="preserve">Zlecanie zadań organizacjom pozarządowym w latach 2016-2020 </w:t>
      </w:r>
    </w:p>
    <w:tbl>
      <w:tblPr>
        <w:tblW w:w="0" w:type="auto"/>
        <w:tblLayout w:type="fixed"/>
        <w:tblLook w:val="0000"/>
      </w:tblPr>
      <w:tblGrid>
        <w:gridCol w:w="1809"/>
        <w:gridCol w:w="1418"/>
        <w:gridCol w:w="1417"/>
        <w:gridCol w:w="1418"/>
        <w:gridCol w:w="1559"/>
        <w:gridCol w:w="1566"/>
      </w:tblGrid>
      <w:tr w:rsidR="00CA14AB" w:rsidRPr="00E00B35" w:rsidTr="00CA14AB">
        <w:trPr>
          <w:trHeight w:val="580"/>
        </w:trPr>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Wyszczególnienie</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2016</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2017</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2018</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2019</w:t>
            </w:r>
          </w:p>
        </w:tc>
        <w:tc>
          <w:tcPr>
            <w:tcW w:w="156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715"/>
        </w:trPr>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Liczba nadzorowanych organizacji</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50</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49</w:t>
            </w:r>
          </w:p>
        </w:tc>
      </w:tr>
      <w:tr w:rsidR="00CA14AB" w:rsidRPr="00E00B35" w:rsidTr="00CA14AB">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Zadania własne Gminy [zł]</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8 227 907,00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11 103 407,00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9 265 078,00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10 577 180,00</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14 411 942,00</w:t>
            </w:r>
          </w:p>
          <w:p w:rsidR="00CA14AB" w:rsidRPr="00E00B35" w:rsidRDefault="00CA14AB" w:rsidP="00E00B35">
            <w:pPr>
              <w:spacing w:after="0" w:line="312" w:lineRule="auto"/>
              <w:rPr>
                <w:szCs w:val="20"/>
              </w:rPr>
            </w:pPr>
          </w:p>
        </w:tc>
      </w:tr>
      <w:tr w:rsidR="00CA14AB" w:rsidRPr="00E00B35" w:rsidTr="00CA14AB">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Zadania zlecone Gminy [zł]</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2 844 161,00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2 853 000,00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3 876 932,00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4 156 438,00</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4 524 948,00</w:t>
            </w:r>
          </w:p>
        </w:tc>
      </w:tr>
      <w:tr w:rsidR="00CA14AB" w:rsidRPr="00E00B35" w:rsidTr="00CA14AB">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Zadania powierzone Gminy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44 620,00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0,00</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Zadania własne Powiatu [zł]</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19 552 712,00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19 486 793,00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19 722 932,00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19 965 937,48</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21 264 283,00</w:t>
            </w:r>
          </w:p>
          <w:p w:rsidR="00CA14AB" w:rsidRPr="00E00B35" w:rsidRDefault="00CA14AB" w:rsidP="00E00B35">
            <w:pPr>
              <w:spacing w:after="0" w:line="312" w:lineRule="auto"/>
              <w:rPr>
                <w:szCs w:val="20"/>
              </w:rPr>
            </w:pPr>
          </w:p>
        </w:tc>
      </w:tr>
      <w:tr w:rsidR="00CA14AB" w:rsidRPr="00E00B35" w:rsidTr="00CA14AB">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Zadnia zlecone Powiatu [zł]</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341 000,00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358 500,00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358 500,00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412 999,40</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455 000,00</w:t>
            </w:r>
          </w:p>
        </w:tc>
      </w:tr>
      <w:tr w:rsidR="00CA14AB" w:rsidRPr="00E00B35" w:rsidTr="00CA14AB">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Środki łącznie przekazane organizacjom [zł]</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31 010 400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33 801700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33 223442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r w:rsidRPr="00E00B35">
              <w:rPr>
                <w:szCs w:val="20"/>
              </w:rPr>
              <w:t>35 112 554,88</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40 656 173,00</w:t>
            </w:r>
          </w:p>
          <w:p w:rsidR="00CA14AB" w:rsidRPr="00E00B35" w:rsidRDefault="00CA14AB" w:rsidP="00E00B35">
            <w:pPr>
              <w:spacing w:after="0" w:line="312" w:lineRule="auto"/>
              <w:rPr>
                <w:szCs w:val="20"/>
              </w:rPr>
            </w:pP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bookmarkStart w:id="491" w:name="_Hlk59099182"/>
      <w:r w:rsidRPr="00E00B35">
        <w:rPr>
          <w:szCs w:val="20"/>
        </w:rPr>
        <w:t xml:space="preserve">Dnia 15 października 2020 roku na okres zimowy została otwarta całodobowa Ogrzewalnia dla osób bezdomnych (maksymalnie 100 miejsc) prowadzona na zlecenie Gminy Wrocław przez Towarzystwo Pomocy im. Św. Brata Alberta Koło Wrocławskie. Placówka usytuowana jest przy ul. Gajowickiej 62 we Wrocławiu. Planowane zakończenie realizacji zadania to 15 kwiecień 2021r. </w:t>
      </w:r>
    </w:p>
    <w:p w:rsidR="00890136" w:rsidRPr="00E00B35" w:rsidRDefault="00890136" w:rsidP="00E00B35">
      <w:pPr>
        <w:spacing w:after="0" w:line="312" w:lineRule="auto"/>
        <w:rPr>
          <w:szCs w:val="20"/>
        </w:rPr>
      </w:pPr>
    </w:p>
    <w:p w:rsidR="00CA14AB" w:rsidRPr="00E00B35" w:rsidRDefault="00CA14AB" w:rsidP="00E00B35">
      <w:pPr>
        <w:pStyle w:val="Nagwek5"/>
        <w:rPr>
          <w:szCs w:val="20"/>
        </w:rPr>
      </w:pPr>
      <w:bookmarkStart w:id="492" w:name="_Toc72352461"/>
      <w:bookmarkStart w:id="493" w:name="_Toc72352895"/>
      <w:bookmarkEnd w:id="491"/>
      <w:r w:rsidRPr="00E00B35">
        <w:rPr>
          <w:szCs w:val="20"/>
        </w:rPr>
        <w:t>NIERUCHOMOŚCI ZARZĄDZANE PRZEZ MOPS</w:t>
      </w:r>
      <w:bookmarkEnd w:id="492"/>
      <w:bookmarkEnd w:id="493"/>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Miejski Ośrodek Pomocy Społecznej w roku 2020 zarządzał nieruchomościami w ilości 150 budynków i lokali,  w tym: 61 pozostających w trwałym zarządzie MOPS, 30 </w:t>
      </w:r>
      <w:r w:rsidRPr="00E00B35">
        <w:rPr>
          <w:szCs w:val="20"/>
        </w:rPr>
        <w:lastRenderedPageBreak/>
        <w:t xml:space="preserve">użytkowanych na podstawie umowy użyczenia, 56 na podstawie umowy najmu i 3 </w:t>
      </w:r>
      <w:r w:rsidRPr="00E00B35">
        <w:rPr>
          <w:szCs w:val="20"/>
        </w:rPr>
        <w:br/>
        <w:t>na podstawie porozumienia.</w:t>
      </w:r>
    </w:p>
    <w:p w:rsidR="00CA14AB" w:rsidRPr="00E00B35" w:rsidRDefault="00CA14AB" w:rsidP="00E00B35">
      <w:pPr>
        <w:spacing w:after="0" w:line="312" w:lineRule="auto"/>
        <w:rPr>
          <w:szCs w:val="20"/>
        </w:rPr>
      </w:pPr>
      <w:r w:rsidRPr="00E00B35">
        <w:rPr>
          <w:szCs w:val="20"/>
        </w:rPr>
        <w:t xml:space="preserve">W ramach tych zasobów:  32 obiekty były użytkowane na potrzeby realizacji działań statutowych MOPS, 13 na potrzeby placówek opiekuńczo wychowawczych typu rodzinnego, 4 przeznaczone na pełnienie funkcji rodziny zawodowej, 26 zaangażowanych w projektach unijnych, 44 mieszkań dla zabezpieczenia miejsc pobytu w ramach </w:t>
      </w:r>
      <w:r w:rsidRPr="00E00B35">
        <w:rPr>
          <w:szCs w:val="20"/>
        </w:rPr>
        <w:br/>
        <w:t xml:space="preserve">„Gminnego programu wspierania osób w podeszłym wieku, niepełnosprawnych </w:t>
      </w:r>
      <w:r w:rsidRPr="00E00B35">
        <w:rPr>
          <w:szCs w:val="20"/>
        </w:rPr>
        <w:br/>
        <w:t xml:space="preserve">i niesamodzielnych” oraz 31 lokali użyczanych innym podmiotom m.in. stowarzyszeniom </w:t>
      </w:r>
      <w:r w:rsidRPr="00E00B35">
        <w:rPr>
          <w:szCs w:val="20"/>
        </w:rPr>
        <w:br/>
        <w:t>i fundacjom.</w:t>
      </w:r>
    </w:p>
    <w:p w:rsidR="00890136" w:rsidRPr="00E00B35" w:rsidRDefault="00890136"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Nieruchomości zarządzane przez MOPS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1"/>
        <w:gridCol w:w="3071"/>
      </w:tblGrid>
      <w:tr w:rsidR="00CA14AB" w:rsidRPr="00E00B35" w:rsidTr="00CA14AB">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Liczba nieruchomości</w:t>
            </w:r>
          </w:p>
          <w:p w:rsidR="00CA14AB" w:rsidRPr="00E00B35" w:rsidRDefault="00CA14AB" w:rsidP="00E00B35">
            <w:pPr>
              <w:spacing w:after="0" w:line="312" w:lineRule="auto"/>
              <w:rPr>
                <w:szCs w:val="20"/>
              </w:rPr>
            </w:pPr>
          </w:p>
        </w:tc>
        <w:tc>
          <w:tcPr>
            <w:tcW w:w="307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Właściciel nieruchomości</w:t>
            </w:r>
          </w:p>
          <w:p w:rsidR="00CA14AB" w:rsidRPr="00E00B35" w:rsidRDefault="00CA14AB" w:rsidP="00E00B35">
            <w:pPr>
              <w:spacing w:after="0" w:line="312" w:lineRule="auto"/>
              <w:rPr>
                <w:szCs w:val="20"/>
              </w:rPr>
            </w:pPr>
          </w:p>
        </w:tc>
        <w:tc>
          <w:tcPr>
            <w:tcW w:w="307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A14AB" w:rsidRPr="00E00B35" w:rsidRDefault="00CA14AB" w:rsidP="00E00B35">
            <w:pPr>
              <w:spacing w:after="0" w:line="312" w:lineRule="auto"/>
              <w:rPr>
                <w:szCs w:val="20"/>
              </w:rPr>
            </w:pPr>
            <w:r w:rsidRPr="00E00B35">
              <w:rPr>
                <w:szCs w:val="20"/>
              </w:rPr>
              <w:t>Tytuł prawny MOPS</w:t>
            </w:r>
          </w:p>
          <w:p w:rsidR="00CA14AB" w:rsidRPr="00E00B35" w:rsidRDefault="00CA14AB" w:rsidP="00E00B35">
            <w:pPr>
              <w:spacing w:after="0" w:line="312" w:lineRule="auto"/>
              <w:rPr>
                <w:szCs w:val="20"/>
              </w:rPr>
            </w:pPr>
          </w:p>
        </w:tc>
      </w:tr>
      <w:tr w:rsidR="00CA14AB" w:rsidRPr="00E00B35" w:rsidTr="00CA14AB">
        <w:trPr>
          <w:trHeight w:val="440"/>
        </w:trPr>
        <w:tc>
          <w:tcPr>
            <w:tcW w:w="3070"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61</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Gmina Wrocław</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trwały zarząd</w:t>
            </w:r>
          </w:p>
        </w:tc>
      </w:tr>
      <w:tr w:rsidR="00CA14AB" w:rsidRPr="00E00B35" w:rsidTr="00CA14AB">
        <w:trPr>
          <w:trHeight w:val="486"/>
        </w:trPr>
        <w:tc>
          <w:tcPr>
            <w:tcW w:w="3070"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2</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Gmina Wrocław</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umowa użyczenia</w:t>
            </w:r>
          </w:p>
        </w:tc>
      </w:tr>
      <w:tr w:rsidR="00CA14AB" w:rsidRPr="00E00B35" w:rsidTr="00CA14AB">
        <w:tc>
          <w:tcPr>
            <w:tcW w:w="3070"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28</w:t>
            </w:r>
          </w:p>
        </w:tc>
        <w:tc>
          <w:tcPr>
            <w:tcW w:w="3071"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Zarząd Zasobu Komunalnego</w:t>
            </w:r>
          </w:p>
        </w:tc>
        <w:tc>
          <w:tcPr>
            <w:tcW w:w="3071"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umowa użyczenia</w:t>
            </w:r>
          </w:p>
        </w:tc>
      </w:tr>
      <w:tr w:rsidR="00CA14AB" w:rsidRPr="00E00B35" w:rsidTr="00CA14AB">
        <w:tc>
          <w:tcPr>
            <w:tcW w:w="3070"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2</w:t>
            </w:r>
          </w:p>
        </w:tc>
        <w:tc>
          <w:tcPr>
            <w:tcW w:w="3071"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 xml:space="preserve">Wrocławskie Mieszkania </w:t>
            </w:r>
          </w:p>
          <w:p w:rsidR="00CA14AB" w:rsidRPr="00E00B35" w:rsidRDefault="00CA14AB" w:rsidP="00E00B35">
            <w:pPr>
              <w:spacing w:after="0" w:line="312" w:lineRule="auto"/>
              <w:rPr>
                <w:szCs w:val="20"/>
              </w:rPr>
            </w:pPr>
            <w:r w:rsidRPr="00E00B35">
              <w:rPr>
                <w:szCs w:val="20"/>
              </w:rPr>
              <w:t>Sp. z o.o.</w:t>
            </w:r>
          </w:p>
        </w:tc>
        <w:tc>
          <w:tcPr>
            <w:tcW w:w="3071"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porozumienie</w:t>
            </w:r>
          </w:p>
        </w:tc>
      </w:tr>
      <w:tr w:rsidR="00CA14AB" w:rsidRPr="00E00B35" w:rsidTr="00CA14AB">
        <w:tc>
          <w:tcPr>
            <w:tcW w:w="3070"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1</w:t>
            </w:r>
          </w:p>
        </w:tc>
        <w:tc>
          <w:tcPr>
            <w:tcW w:w="3071"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 xml:space="preserve">Wrocławskie Mieszkania </w:t>
            </w:r>
            <w:r w:rsidRPr="00E00B35">
              <w:rPr>
                <w:szCs w:val="20"/>
              </w:rPr>
              <w:br/>
              <w:t>Sp. z o.o.</w:t>
            </w:r>
          </w:p>
        </w:tc>
        <w:tc>
          <w:tcPr>
            <w:tcW w:w="3071" w:type="dxa"/>
            <w:tcBorders>
              <w:top w:val="single" w:sz="4" w:space="0" w:color="000000"/>
              <w:left w:val="single" w:sz="4" w:space="0" w:color="000000"/>
              <w:bottom w:val="single" w:sz="4" w:space="0" w:color="000000"/>
              <w:right w:val="single" w:sz="4" w:space="0" w:color="000000"/>
            </w:tcBorders>
            <w:vAlign w:val="center"/>
          </w:tcPr>
          <w:p w:rsidR="00CA14AB" w:rsidRPr="00E00B35" w:rsidRDefault="00CA14AB" w:rsidP="00E00B35">
            <w:pPr>
              <w:spacing w:after="0" w:line="312" w:lineRule="auto"/>
              <w:rPr>
                <w:szCs w:val="20"/>
              </w:rPr>
            </w:pPr>
            <w:r w:rsidRPr="00E00B35">
              <w:rPr>
                <w:szCs w:val="20"/>
              </w:rPr>
              <w:t>umowa najmu</w:t>
            </w:r>
          </w:p>
        </w:tc>
      </w:tr>
      <w:tr w:rsidR="00CA14AB" w:rsidRPr="00E00B35" w:rsidTr="00CA14AB">
        <w:trPr>
          <w:trHeight w:val="472"/>
        </w:trPr>
        <w:tc>
          <w:tcPr>
            <w:tcW w:w="3070"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4</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Spółdzielnia Mieszkaniowa</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umowa najmu</w:t>
            </w:r>
          </w:p>
        </w:tc>
      </w:tr>
      <w:tr w:rsidR="00CA14AB" w:rsidRPr="00E00B35" w:rsidTr="00CA14AB">
        <w:trPr>
          <w:trHeight w:val="503"/>
        </w:trPr>
        <w:tc>
          <w:tcPr>
            <w:tcW w:w="3070"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5</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Od osób fizycznych</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umowa najmu</w:t>
            </w:r>
          </w:p>
        </w:tc>
      </w:tr>
      <w:tr w:rsidR="00CA14AB" w:rsidRPr="00E00B35" w:rsidTr="00CA14AB">
        <w:tc>
          <w:tcPr>
            <w:tcW w:w="3070"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1</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 xml:space="preserve">Polskie Koleje Państwowe S.A. </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umowa najmu</w:t>
            </w:r>
          </w:p>
        </w:tc>
      </w:tr>
      <w:tr w:rsidR="00CA14AB" w:rsidRPr="00E00B35" w:rsidTr="00CA14AB">
        <w:tc>
          <w:tcPr>
            <w:tcW w:w="3070"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1</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 xml:space="preserve">Zespół Szkół Nr 18 we Wrocławiu </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porozumienie</w:t>
            </w:r>
          </w:p>
        </w:tc>
      </w:tr>
      <w:tr w:rsidR="00CA14AB" w:rsidRPr="00E00B35" w:rsidTr="00CA14AB">
        <w:trPr>
          <w:trHeight w:val="486"/>
        </w:trPr>
        <w:tc>
          <w:tcPr>
            <w:tcW w:w="3070"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1</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„Nasz Dom” Spółka z o.o.</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umowa najmu</w:t>
            </w:r>
          </w:p>
        </w:tc>
      </w:tr>
      <w:tr w:rsidR="00CA14AB" w:rsidRPr="00E00B35" w:rsidTr="00CA14AB">
        <w:trPr>
          <w:trHeight w:val="408"/>
        </w:trPr>
        <w:tc>
          <w:tcPr>
            <w:tcW w:w="3070"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44</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TBS Wrocław Sp. z o.o.</w:t>
            </w:r>
          </w:p>
        </w:tc>
        <w:tc>
          <w:tcPr>
            <w:tcW w:w="3071" w:type="dxa"/>
            <w:tcBorders>
              <w:top w:val="single" w:sz="4" w:space="0" w:color="000000"/>
              <w:left w:val="single" w:sz="4" w:space="0" w:color="000000"/>
              <w:bottom w:val="single" w:sz="4" w:space="0" w:color="000000"/>
              <w:right w:val="single" w:sz="4" w:space="0" w:color="000000"/>
            </w:tcBorders>
            <w:vAlign w:val="center"/>
            <w:hideMark/>
          </w:tcPr>
          <w:p w:rsidR="00CA14AB" w:rsidRPr="00E00B35" w:rsidRDefault="00CA14AB" w:rsidP="00E00B35">
            <w:pPr>
              <w:spacing w:after="0" w:line="312" w:lineRule="auto"/>
              <w:rPr>
                <w:szCs w:val="20"/>
              </w:rPr>
            </w:pPr>
            <w:r w:rsidRPr="00E00B35">
              <w:rPr>
                <w:szCs w:val="20"/>
              </w:rPr>
              <w:t>umowa najmu</w:t>
            </w:r>
          </w:p>
        </w:tc>
      </w:tr>
    </w:tbl>
    <w:p w:rsidR="00134DDF" w:rsidRPr="00E00B35" w:rsidRDefault="00134DDF" w:rsidP="00E00B35">
      <w:pPr>
        <w:spacing w:after="0" w:line="312" w:lineRule="auto"/>
        <w:rPr>
          <w:rFonts w:eastAsia="Calibri"/>
          <w:szCs w:val="20"/>
        </w:rPr>
      </w:pPr>
      <w:bookmarkStart w:id="494" w:name="_Toc72352462"/>
      <w:bookmarkStart w:id="495" w:name="_Toc72352896"/>
      <w:bookmarkStart w:id="496" w:name="_Hlk534361582"/>
    </w:p>
    <w:p w:rsidR="00CA14AB" w:rsidRPr="00E00B35" w:rsidRDefault="00CA14AB" w:rsidP="00E00B35">
      <w:pPr>
        <w:pStyle w:val="Nagwek5"/>
        <w:rPr>
          <w:szCs w:val="20"/>
        </w:rPr>
      </w:pPr>
      <w:r w:rsidRPr="00E00B35">
        <w:rPr>
          <w:szCs w:val="20"/>
        </w:rPr>
        <w:t>ZMIANY ORGANIZACYJNE W MOPS</w:t>
      </w:r>
      <w:bookmarkEnd w:id="494"/>
      <w:bookmarkEnd w:id="495"/>
      <w:r w:rsidRPr="00E00B35">
        <w:rPr>
          <w:szCs w:val="20"/>
        </w:rPr>
        <w:t xml:space="preserve"> </w:t>
      </w:r>
    </w:p>
    <w:p w:rsidR="00CA14AB" w:rsidRPr="00E00B35" w:rsidRDefault="00CA14AB" w:rsidP="00E00B35">
      <w:pPr>
        <w:spacing w:after="0" w:line="312" w:lineRule="auto"/>
        <w:rPr>
          <w:rFonts w:eastAsia="Calibri"/>
          <w:szCs w:val="20"/>
        </w:rPr>
      </w:pPr>
      <w:r w:rsidRPr="00E00B35">
        <w:rPr>
          <w:rFonts w:eastAsia="Calibri"/>
          <w:szCs w:val="20"/>
        </w:rPr>
        <w:t xml:space="preserve">Od roku 2016 Miejski Ośrodek Pomocy Społecznej przygotowuje się do oddzielenia pracy socjalnej i pomocy finansowej, scalając komórki organizacyjne, wypracowując jednolitą strukturę organizacyjną. Proces ten trwa w dalszym ciągu. </w:t>
      </w:r>
    </w:p>
    <w:p w:rsidR="00CA14AB" w:rsidRPr="00E00B35" w:rsidRDefault="00CA14AB" w:rsidP="00E00B35">
      <w:pPr>
        <w:spacing w:after="0" w:line="312" w:lineRule="auto"/>
        <w:rPr>
          <w:rFonts w:eastAsia="Calibri"/>
          <w:szCs w:val="20"/>
        </w:rPr>
      </w:pPr>
      <w:r w:rsidRPr="00E00B35">
        <w:rPr>
          <w:rFonts w:eastAsia="Calibri"/>
          <w:szCs w:val="20"/>
        </w:rPr>
        <w:t xml:space="preserve">Proces wdrażania intensywnej pracy socjalnej (IPS) w MOPS Wrocław </w:t>
      </w:r>
    </w:p>
    <w:p w:rsidR="00CA14AB" w:rsidRPr="00E00B35" w:rsidRDefault="00CA14AB" w:rsidP="00E00B35">
      <w:pPr>
        <w:spacing w:after="0" w:line="312" w:lineRule="auto"/>
        <w:rPr>
          <w:rFonts w:eastAsia="Calibri"/>
          <w:szCs w:val="20"/>
        </w:rPr>
      </w:pPr>
      <w:r w:rsidRPr="00E00B35">
        <w:rPr>
          <w:rFonts w:eastAsia="Calibri"/>
          <w:szCs w:val="20"/>
        </w:rPr>
        <w:t xml:space="preserve">Celem opracowania metodologii i narzędzi IPS, wyłoniono grupę pracowników reprezentantów poszczególnych komórek organizacyjnych i powstał zespół ekspercki. </w:t>
      </w:r>
      <w:r w:rsidRPr="00E00B35">
        <w:rPr>
          <w:rFonts w:eastAsia="Calibri"/>
          <w:szCs w:val="20"/>
        </w:rPr>
        <w:br/>
        <w:t xml:space="preserve">W skład zespołu weszli pracownicy socjalni, kadra kierownicza Zespołów Terenowej Pracy Socjalnej oraz specjaliści Centrum Pracy Socjalnej i Rodziny (CPSR) MOPS we Wrocławiu. </w:t>
      </w:r>
    </w:p>
    <w:p w:rsidR="00CA14AB" w:rsidRPr="00E00B35" w:rsidRDefault="00CA14AB" w:rsidP="00E00B35">
      <w:pPr>
        <w:spacing w:after="0" w:line="312" w:lineRule="auto"/>
        <w:rPr>
          <w:rFonts w:eastAsia="Calibri"/>
          <w:szCs w:val="20"/>
        </w:rPr>
      </w:pPr>
      <w:r w:rsidRPr="00E00B35">
        <w:rPr>
          <w:rFonts w:eastAsia="Calibri"/>
          <w:szCs w:val="20"/>
        </w:rPr>
        <w:lastRenderedPageBreak/>
        <w:t>Ogółem utworzonych zostało 27 arkuszy różnorakich narzędzi, w większości diagnostycznych, które miały ułatwić i usystematyzować poszczególne etapy pracy socjalnej z klientem. W toku prac ustalony został algorytm stosowania poszczególnych narzędzi w procesie oraz uzgodniono, które z narzędzi są obligatoryjne, a które fakultatywne. W kolejnych latach przeprowadzono pilotaż stosowania narzędzi, a także szereg szkoleń dla pracowników dotyczących ich stosowania. Od 2016r. IPS realizowana jest w ZTPS 5, od 2018 do 2019 w ZTPS 3. W roku 2020 zakończono proces aktualizacji narzędzi pracy socjalnej. Zostały dostosowane do obecnych potrzeb beneficjentów pomocy społecznej oraz do obecnego stanu wiedzy pracowników socjalnych, zwłaszcza stosowania Terapii Skoncentrowanej na Rozwiązaniu (TSR) oraz pracy z rodziną w ujęciu systemowym i Dialogu Motywującego (DM). Uaktualnione narzędzia zostały przedstawione pracownikom socjalnym, a następnie przygotowane zostało zarządzenie dyrektora włączające je do dokumentacji pracownika socjalnego.</w:t>
      </w:r>
    </w:p>
    <w:p w:rsidR="00CA14AB" w:rsidRPr="00E00B35" w:rsidRDefault="00CA14AB" w:rsidP="00E00B35">
      <w:pPr>
        <w:spacing w:after="0" w:line="312" w:lineRule="auto"/>
        <w:rPr>
          <w:rFonts w:eastAsia="Calibri"/>
          <w:szCs w:val="20"/>
        </w:rPr>
      </w:pPr>
      <w:r w:rsidRPr="00E00B35">
        <w:rPr>
          <w:rFonts w:eastAsia="Calibri"/>
          <w:szCs w:val="20"/>
        </w:rPr>
        <w:t xml:space="preserve">W roku  2020 we wszystkich Zespołach Terenowej Pracy Socjalnej w ramach </w:t>
      </w:r>
      <w:r w:rsidRPr="00E00B35">
        <w:rPr>
          <w:rFonts w:eastAsia="Calibri"/>
          <w:szCs w:val="20"/>
        </w:rPr>
        <w:br/>
        <w:t xml:space="preserve">projektu PAS-ja prowadzony był program Intensywnej Pracy Socjalnej (IPS), który polegał na testowaniu rozdzielenia pracy socjalnej od pomocy finansowej. Program realizowało łącznie 31 pracowników socjalnych, przygotowanych do realizacji zadania </w:t>
      </w:r>
      <w:r w:rsidRPr="00E00B35">
        <w:rPr>
          <w:rFonts w:eastAsia="Calibri"/>
          <w:szCs w:val="20"/>
        </w:rPr>
        <w:br/>
        <w:t>(2 wyłącznie IPS, 29 w ramach PAS-ja). Do udziału w programie skierowane zostały 282  osoby. 214 osób było uczestnikami projektu PAS-ja, 68 osoby skorzystały z wyłącznego IPS w ZTPS 5. Spośród osób korzystających z wyłącznego IPS 30 zaprzestało korzystania ze świadczeń MOPS.</w:t>
      </w:r>
    </w:p>
    <w:p w:rsidR="00CA14AB" w:rsidRPr="00E00B35" w:rsidRDefault="00CA14AB" w:rsidP="00E00B35">
      <w:pPr>
        <w:spacing w:after="0" w:line="312" w:lineRule="auto"/>
        <w:rPr>
          <w:rFonts w:eastAsia="Calibri"/>
          <w:szCs w:val="20"/>
        </w:rPr>
      </w:pPr>
      <w:r w:rsidRPr="00E00B35">
        <w:rPr>
          <w:rFonts w:eastAsia="Calibri"/>
          <w:szCs w:val="20"/>
        </w:rPr>
        <w:t xml:space="preserve">Dodatkowo w tramach projektu „TRAMPOLINA- mieszkania wspomagane” 5 pracowników ZOBU realizowało pracę socjalną metodą towarzyszenia opartą na indywidualnym podejściu do sytuacji każdej osoby. Metoda towarzyszenia zakłada, że pracownik socjalny akompaniuje uczestnikowi od pierwszego kontaktu, poprzez aktywne słuchanie, diagnozę i ocenę sytuacji życiowej uczestnika oraz wsparcie i towarzyszenie w realizacji określonych zadań (minimum 4 godziny pracy socjalnej w miesiącu). Wobec uczestników IPS zastosowano grupowe warsztaty kompetencji społecznych, które pozwoliły </w:t>
      </w:r>
      <w:r w:rsidRPr="00E00B35">
        <w:rPr>
          <w:rFonts w:eastAsia="Calibri"/>
          <w:szCs w:val="20"/>
        </w:rPr>
        <w:br/>
        <w:t xml:space="preserve">na wzbogacenie tej formy wsparcia. </w:t>
      </w:r>
    </w:p>
    <w:p w:rsidR="00CA14AB" w:rsidRPr="00E00B35" w:rsidRDefault="00CA14AB" w:rsidP="00E00B35">
      <w:pPr>
        <w:spacing w:after="0" w:line="312" w:lineRule="auto"/>
        <w:rPr>
          <w:rFonts w:eastAsia="Calibri"/>
          <w:szCs w:val="20"/>
        </w:rPr>
      </w:pPr>
      <w:r w:rsidRPr="00E00B35">
        <w:rPr>
          <w:rFonts w:eastAsia="Calibri"/>
          <w:szCs w:val="20"/>
        </w:rPr>
        <w:t>Ponadto dla pracowników MOPS zorganizowano szkolenia  wewnętrzne prowadzone przez specjalistów MOPS między innymi: TSR, spotkania edukacyjne nt. pracy socjalnej, ewaluacja pracy socjalnej dla nowozatrudnionych pracowników socjalnych. Przeprowadzonych zostało szereg konsultacji indywidualnych z pracownikami socjalnymi Ośrodka zainteresowanych IPS.</w:t>
      </w:r>
    </w:p>
    <w:bookmarkEnd w:id="496"/>
    <w:p w:rsidR="00CA14AB" w:rsidRPr="00E00B35" w:rsidRDefault="00CA14AB" w:rsidP="00E00B35">
      <w:pPr>
        <w:spacing w:after="0" w:line="312" w:lineRule="auto"/>
        <w:rPr>
          <w:szCs w:val="20"/>
        </w:rPr>
      </w:pPr>
      <w:r w:rsidRPr="00E00B35">
        <w:rPr>
          <w:szCs w:val="20"/>
        </w:rPr>
        <w:t>Zestawienie działań MOPS spowodowanych pandemią wywołaną wirusem SARS-CoV-2</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497" w:name="_Toc72352463"/>
      <w:bookmarkStart w:id="498" w:name="_Toc72352897"/>
      <w:r w:rsidRPr="00E00B35">
        <w:rPr>
          <w:sz w:val="20"/>
          <w:szCs w:val="20"/>
        </w:rPr>
        <w:t>WSPARCIE NA RZECZ OSÓB Z NIEPEŁNOSPRAWNOŚCIAMI</w:t>
      </w:r>
      <w:bookmarkEnd w:id="497"/>
      <w:bookmarkEnd w:id="498"/>
    </w:p>
    <w:p w:rsidR="00CA14AB" w:rsidRPr="00E00B35" w:rsidRDefault="00CA14AB" w:rsidP="00E00B35">
      <w:pPr>
        <w:spacing w:after="0" w:line="312" w:lineRule="auto"/>
        <w:rPr>
          <w:szCs w:val="20"/>
        </w:rPr>
      </w:pPr>
      <w:r w:rsidRPr="00E00B35">
        <w:rPr>
          <w:szCs w:val="20"/>
        </w:rPr>
        <w:t>Realizacja programu PFRON „Pomoc osobom niepełnosprawnym poszkodowanym w wyniku żywiołu lub sytuacji kryzysowych wywołanych chorobami zakaźnymi”</w:t>
      </w:r>
    </w:p>
    <w:p w:rsidR="00CA14AB" w:rsidRPr="00E00B35" w:rsidRDefault="00CA14AB" w:rsidP="00E00B35">
      <w:pPr>
        <w:spacing w:after="0" w:line="312" w:lineRule="auto"/>
        <w:rPr>
          <w:szCs w:val="20"/>
        </w:rPr>
      </w:pPr>
      <w:r w:rsidRPr="00E00B35">
        <w:rPr>
          <w:szCs w:val="20"/>
        </w:rPr>
        <w:t xml:space="preserve">W związku z wystąpieniem zagrożenia epidemicznego oraz stanu epidemii Państwowy Fundusz Rehabilitacji Osób Niepełnosprawnych uruchomił realizację programu „Pomoc osobom niepełnosprawnym poszkodowanym w wyniku żywiołu lub sytuacji kryzysowych wywołanych chorobami zakaźnymi”. Gmina Wrocław przystąpiła do realizacji programu, </w:t>
      </w:r>
      <w:r w:rsidRPr="00E00B35">
        <w:rPr>
          <w:szCs w:val="20"/>
        </w:rPr>
        <w:lastRenderedPageBreak/>
        <w:t>którego realizatorem w imieniu Gminy został MOPS. W ramach Modułu III tego programu wprowadzona została możliwość uzyskania pomocy finansowej. Program był przeznaczony dla osób z niepełnosprawnością, które są mieszkańcami Wrocławia i uczęszczały na zajęcia do placówek działających minimum 10 miesięcy w roku przez minimum 5 dni w tygodniu tj: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Warsztatów Terapii Zajęciowej;</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Środowiskowych Domów Samopomocy;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Dziennych Domów Pomocy;</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 xml:space="preserve">Placówek rehabilitacyjnych, których działalność finansowana jest ze środków PFRON na podstawie art. 36 ustawy z dnia 27 sierpnia 1997 r. o rehabilitacji zawodowej i społecznej oraz zatrudnianiu osób niepełnosprawnych (Dz.U. z </w:t>
      </w:r>
      <w:r w:rsidR="00134DDF" w:rsidRPr="00E00B35">
        <w:rPr>
          <w:szCs w:val="20"/>
        </w:rPr>
        <w:t>2020 r. poz. 426 z późn. zm.);</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 ramach programów zatwierdzonych przez Radę Nadzorczą PFRON i w ramach tych programów korzystają ze wsparcia udzielanego przez placówki rehabilitacyjne;</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w ramach zajęć rewalidacyjno-wychowawczych organizowanych zgodnie z przepisami rozporządzenia Ministra Edukacji Narodowej z dnia 23 kwietnia 2013 r. w sprawie warunków i sposobu organizowania zajęć rewalidacyjno-wychowawczych dla dzieci i młodzieży z upośledzeniem umysłowym w stopniu głębokim (Dz. U. z 2013 r. poz. 529);</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Specjalnych ośrodków szkolno-wychowawczych oraz specjalnych ośrodków wychowawczych, szkół specjalnych przysposabiających do pracy funkcjonujących na podstawie ustawy z dnia 14 grudnia 2016 r. Prawo oświatowe (Dz. U. z 2020 r. poz. 910);</w:t>
      </w:r>
    </w:p>
    <w:p w:rsidR="00CA14AB" w:rsidRPr="00E00B35" w:rsidRDefault="00CA14AB" w:rsidP="00BC64AB">
      <w:pPr>
        <w:pStyle w:val="Akapitzlist"/>
        <w:numPr>
          <w:ilvl w:val="0"/>
          <w:numId w:val="232"/>
        </w:numPr>
        <w:spacing w:after="0" w:line="312" w:lineRule="auto"/>
        <w:ind w:left="426" w:hanging="426"/>
        <w:rPr>
          <w:szCs w:val="20"/>
        </w:rPr>
      </w:pPr>
      <w:r w:rsidRPr="00E00B35">
        <w:rPr>
          <w:szCs w:val="20"/>
        </w:rPr>
        <w:t>Ośrodków rehabilitacyjno-edukacyjno-wychowawczych oraz ośrodków rewalidacyjno-wychowawczych  funkcjonujących na podstawie ustawy z dnia 14 grudnia 2016 r. Prawo oświatowe (Dz. U. z 2020 r. poz. 910).</w:t>
      </w:r>
    </w:p>
    <w:p w:rsidR="00CA14AB" w:rsidRPr="00E00B35" w:rsidRDefault="00CA14AB" w:rsidP="00E00B35">
      <w:pPr>
        <w:spacing w:after="0" w:line="312" w:lineRule="auto"/>
        <w:rPr>
          <w:szCs w:val="20"/>
        </w:rPr>
      </w:pPr>
      <w:r w:rsidRPr="00E00B35">
        <w:rPr>
          <w:szCs w:val="20"/>
        </w:rPr>
        <w:t xml:space="preserve">Wpłynęło 1 395 wniosków, z czego pozytywnie rozpatrzono ok. 1070. </w:t>
      </w:r>
    </w:p>
    <w:p w:rsidR="00CA14AB" w:rsidRPr="00E00B35" w:rsidRDefault="00CA14AB" w:rsidP="00E00B35">
      <w:pPr>
        <w:spacing w:after="0" w:line="312" w:lineRule="auto"/>
        <w:rPr>
          <w:szCs w:val="20"/>
        </w:rPr>
      </w:pPr>
      <w:r w:rsidRPr="00E00B35">
        <w:rPr>
          <w:szCs w:val="20"/>
        </w:rPr>
        <w:t xml:space="preserve">Łącznie wypłacono kwotę:  1 316 500,00 zł. </w:t>
      </w:r>
    </w:p>
    <w:p w:rsidR="00CA14AB" w:rsidRPr="00E00B35" w:rsidRDefault="00CA14AB" w:rsidP="00E00B35">
      <w:pPr>
        <w:spacing w:after="0" w:line="312" w:lineRule="auto"/>
        <w:rPr>
          <w:szCs w:val="20"/>
        </w:rPr>
      </w:pPr>
      <w:r w:rsidRPr="00E00B35">
        <w:rPr>
          <w:szCs w:val="20"/>
        </w:rPr>
        <w:t>Łączna wartość projektu 2 400 000,00 – środki w 100 % pochodzą z Państwowego Funduszu Rehabilitacji Osób Niepełnosprawnych.</w:t>
      </w:r>
    </w:p>
    <w:p w:rsidR="00890136" w:rsidRPr="00E00B35" w:rsidRDefault="00890136" w:rsidP="00E00B35">
      <w:pPr>
        <w:spacing w:after="0" w:line="312" w:lineRule="auto"/>
        <w:rPr>
          <w:szCs w:val="20"/>
        </w:rPr>
      </w:pPr>
    </w:p>
    <w:p w:rsidR="00CA14AB" w:rsidRPr="00E00B35" w:rsidRDefault="00CA14AB" w:rsidP="00E00B35">
      <w:pPr>
        <w:pStyle w:val="Nagwek5"/>
        <w:rPr>
          <w:szCs w:val="20"/>
        </w:rPr>
      </w:pPr>
      <w:r w:rsidRPr="00E00B35">
        <w:rPr>
          <w:szCs w:val="20"/>
        </w:rPr>
        <w:t>Intensywna praca socjalna w ramach projektu „PAS-ja”</w:t>
      </w:r>
    </w:p>
    <w:p w:rsidR="00CA14AB" w:rsidRPr="00E00B35" w:rsidRDefault="00CA14AB" w:rsidP="00E00B35">
      <w:pPr>
        <w:spacing w:after="0" w:line="312" w:lineRule="auto"/>
        <w:rPr>
          <w:szCs w:val="20"/>
        </w:rPr>
      </w:pPr>
      <w:r w:rsidRPr="00E00B35">
        <w:rPr>
          <w:szCs w:val="20"/>
        </w:rPr>
        <w:t>Realizacja projektu została wydłużona do 31.12.2020 (pierwotnie było 30.06.2020) ze względu na COVID i ograniczenia kontaktów.  W II półroczu kontynuowane były zajęcia wcześniej niezrealizowane, z wykorzystaniem nowoczesnych technologii. Dodatkowo przez pół roku na rzecz 35 osób z niepełnosprawnościami będącymi uczestnikami projektu realizowana była intensywna praca socjalna, której celem było wsparcie, edukacja i pomoc w rozwiązywaniu bieżących problemów tym trudnym czasie zagrożenia i izolacji.</w:t>
      </w:r>
    </w:p>
    <w:p w:rsidR="00890136" w:rsidRPr="00E00B35" w:rsidRDefault="00890136" w:rsidP="00E00B35">
      <w:pPr>
        <w:spacing w:after="0" w:line="312" w:lineRule="auto"/>
        <w:rPr>
          <w:szCs w:val="20"/>
        </w:rPr>
      </w:pPr>
    </w:p>
    <w:p w:rsidR="00CA14AB" w:rsidRPr="00E00B35" w:rsidRDefault="00CA14AB" w:rsidP="00E00B35">
      <w:pPr>
        <w:pStyle w:val="Nagwek5"/>
        <w:rPr>
          <w:szCs w:val="20"/>
        </w:rPr>
      </w:pPr>
      <w:bookmarkStart w:id="499" w:name="_Toc72352464"/>
      <w:bookmarkStart w:id="500" w:name="_Toc72352898"/>
      <w:r w:rsidRPr="00E00B35">
        <w:rPr>
          <w:szCs w:val="20"/>
        </w:rPr>
        <w:t>WSPARCIE DOMÓW POMOCY SPOŁECZNEJ PROWADZONYCH PRZEZ NGO</w:t>
      </w:r>
      <w:bookmarkEnd w:id="499"/>
      <w:bookmarkEnd w:id="500"/>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Dodatkowe środki </w:t>
      </w:r>
    </w:p>
    <w:p w:rsidR="00CA14AB" w:rsidRPr="00E00B35" w:rsidRDefault="00CA14AB" w:rsidP="00E00B35">
      <w:pPr>
        <w:spacing w:after="0" w:line="312" w:lineRule="auto"/>
        <w:rPr>
          <w:szCs w:val="20"/>
        </w:rPr>
      </w:pPr>
      <w:r w:rsidRPr="00E00B35">
        <w:rPr>
          <w:szCs w:val="20"/>
        </w:rPr>
        <w:lastRenderedPageBreak/>
        <w:t>Oprócz dotacji bieżącej dodatkowo przekazywane były środki na zwiększenie wynagrodzeń personelu zatrudnionego w domach w związku ze zwiększonym ryzykiem i ilością pracy w związku z COVID-19. Do 9 DPS prowadzonych przez NGO łącznie przekazano 981.372,25 zł (w tym środki Gminy to 196.275,25 zł, a środki Województwa to 785.097,00 zł).</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501" w:name="_Toc72352465"/>
      <w:bookmarkStart w:id="502" w:name="_Toc72352899"/>
      <w:r w:rsidRPr="00E00B35">
        <w:rPr>
          <w:sz w:val="20"/>
          <w:szCs w:val="20"/>
        </w:rPr>
        <w:t>WSPARCIE OSÓB BEZDOMNYCH/PLACÓWEK POMOCOWYCH NA RZECZ OSÓB BEZDOMNYCH</w:t>
      </w:r>
      <w:bookmarkEnd w:id="501"/>
      <w:bookmarkEnd w:id="502"/>
    </w:p>
    <w:p w:rsidR="00CA14AB" w:rsidRPr="00E00B35" w:rsidRDefault="00CA14AB" w:rsidP="00E00B35">
      <w:pPr>
        <w:spacing w:after="0" w:line="312" w:lineRule="auto"/>
        <w:rPr>
          <w:szCs w:val="20"/>
        </w:rPr>
      </w:pPr>
      <w:r w:rsidRPr="00E00B35">
        <w:rPr>
          <w:szCs w:val="20"/>
        </w:rPr>
        <w:t>Ewakuacja ok. 160 osób bezdomnych przebywających w noclegowni przy ul. Małachowskiego i zapewnienie im miejsca do odbycia kwarantanny – działania podejmowane wspólnie z Centrum Zarządzania Kryzysowego UM Wrocław, Towarzystwo Pomocy im. św. Brata Alberta Koło Wrocławskie oraz MPK Wrocław i Strażą Miejską. Podczas kwarantanny zapewniono kompleksową obsługę osób w kwarantannie – całodzienne wyżywienie, środki czystości i higieny, koordynowano zbiórki w tym zakresie oraz przekazywano artykuły od darczyńców.</w:t>
      </w:r>
    </w:p>
    <w:p w:rsidR="00CA14AB" w:rsidRPr="00E00B35" w:rsidRDefault="00CA14AB" w:rsidP="00E00B35">
      <w:pPr>
        <w:spacing w:after="0" w:line="312" w:lineRule="auto"/>
        <w:rPr>
          <w:szCs w:val="20"/>
        </w:rPr>
      </w:pPr>
      <w:r w:rsidRPr="00E00B35">
        <w:rPr>
          <w:szCs w:val="20"/>
        </w:rPr>
        <w:t>Pomoc organizacjom pozarządowym działającym w obszarze bezdomności w pozyskaniu środków ochrony osobistej (płyny dezynfekujące, maseczki, przyłbice, rękawiczki) - zwłaszcza w początkowej fazie epidemii.</w:t>
      </w:r>
    </w:p>
    <w:p w:rsidR="00CA14AB" w:rsidRPr="00E00B35" w:rsidRDefault="00CA14AB" w:rsidP="00E00B35">
      <w:pPr>
        <w:spacing w:after="0" w:line="312" w:lineRule="auto"/>
        <w:rPr>
          <w:szCs w:val="20"/>
        </w:rPr>
      </w:pPr>
      <w:r w:rsidRPr="00E00B35">
        <w:rPr>
          <w:szCs w:val="20"/>
        </w:rPr>
        <w:t xml:space="preserve">Otwarcie tymczasowej noclegowni dla osób bezdomnych w miejscu zawieszonej działalności WrOPON przy ul. Sokolniczej – pomoc Stowarzyszenia Pomocy Wzajemnej im. kard. Stefana Wyszyńskiego. </w:t>
      </w:r>
    </w:p>
    <w:p w:rsidR="00CA14AB" w:rsidRPr="00E00B35" w:rsidRDefault="00CA14AB" w:rsidP="00E00B35">
      <w:pPr>
        <w:spacing w:after="0" w:line="312" w:lineRule="auto"/>
        <w:rPr>
          <w:szCs w:val="20"/>
        </w:rPr>
      </w:pPr>
      <w:r w:rsidRPr="00E00B35">
        <w:rPr>
          <w:szCs w:val="20"/>
        </w:rPr>
        <w:t>Zapewnienie wyżywienia dla osób bezdomnych przebywających w placówkach pomocowych w trakcie kwarantanny.</w:t>
      </w:r>
    </w:p>
    <w:p w:rsidR="00CA14AB" w:rsidRPr="00E00B35" w:rsidRDefault="00CA14AB" w:rsidP="00E00B35">
      <w:pPr>
        <w:spacing w:after="0" w:line="312" w:lineRule="auto"/>
        <w:rPr>
          <w:szCs w:val="20"/>
        </w:rPr>
      </w:pPr>
      <w:r w:rsidRPr="00E00B35">
        <w:rPr>
          <w:szCs w:val="20"/>
        </w:rPr>
        <w:t>Zakup naczyń jednorazowych dla kuchni charytatywnych celem ich właściwego funkcjonowania w czasie panujących obostrzeń – łącznie zakupiono w roku 2020 i przekazano 4 organizacjom 60 tysięcy naczyń jednorazowych (koszt ok 16 tys. złotych).</w:t>
      </w:r>
    </w:p>
    <w:p w:rsidR="00CA14AB" w:rsidRPr="00E00B35" w:rsidRDefault="00CA14AB" w:rsidP="00E00B35">
      <w:pPr>
        <w:spacing w:after="0" w:line="312" w:lineRule="auto"/>
        <w:rPr>
          <w:szCs w:val="20"/>
        </w:rPr>
      </w:pPr>
      <w:r w:rsidRPr="00E00B35">
        <w:rPr>
          <w:szCs w:val="20"/>
        </w:rPr>
        <w:t>Pomoc w tworzeniu tymczasowych miejsc izolacyjnych dla osób bezdomnych, które chcą skorzystać z pomocy placówek stacjonarnych.</w:t>
      </w:r>
    </w:p>
    <w:p w:rsidR="00CA14AB" w:rsidRPr="00E00B35" w:rsidRDefault="00CA14AB" w:rsidP="00E00B35">
      <w:pPr>
        <w:spacing w:after="0" w:line="312" w:lineRule="auto"/>
        <w:rPr>
          <w:szCs w:val="20"/>
        </w:rPr>
      </w:pPr>
      <w:r w:rsidRPr="00E00B35">
        <w:rPr>
          <w:szCs w:val="20"/>
        </w:rPr>
        <w:t>MOPS wspólnie z Wydziałem Partycypacji Społecznej UM Wrocławia przygotował konkurs  na przygotowanie i dystrybucję paczek świątecznych dla potrzebujących mieszkańców Wrocławia na kwotę 450 000,00 zł.</w:t>
      </w:r>
    </w:p>
    <w:p w:rsidR="00CA14AB" w:rsidRPr="00E00B35" w:rsidRDefault="00CA14AB" w:rsidP="00E00B35">
      <w:pPr>
        <w:spacing w:after="0" w:line="312" w:lineRule="auto"/>
        <w:rPr>
          <w:szCs w:val="20"/>
        </w:rPr>
      </w:pPr>
      <w:r w:rsidRPr="00E00B35">
        <w:rPr>
          <w:szCs w:val="20"/>
        </w:rPr>
        <w:t>Wsparcie osób bezdomnych bądź zagrożonych bezdennością z powodu doświadczania przemocy w ramach projektu „TRAMPOLINA-mieszkania wspomagane”</w:t>
      </w:r>
    </w:p>
    <w:p w:rsidR="00CA14AB" w:rsidRPr="00E00B35" w:rsidRDefault="00CA14AB" w:rsidP="00E00B35">
      <w:pPr>
        <w:spacing w:after="0" w:line="312" w:lineRule="auto"/>
        <w:rPr>
          <w:szCs w:val="20"/>
        </w:rPr>
      </w:pPr>
      <w:r w:rsidRPr="00E00B35">
        <w:rPr>
          <w:szCs w:val="20"/>
        </w:rPr>
        <w:t>Grupa 13 osób bezdomnych oraz 9 osób zagrożonych bezdomnością z powodu doświadczania przemocy otrzymała możliwość przedłużenia pobytu w mieszkaniach ze względu na stan zagrożenia epidemiologicznego. Kontynuowano wsparcie opiekunów mieszkań, a także poradnictwo specjalistyczne. Pobyt w mieszkaniach dla I tury uczestników zaplanowany pierwotnie do końca sierpnia został przedłużony do końca grudnia 2020r. Zarówno wsparcie opiekunów jak i psychologa realizowane jest metodą mieszaną - w kontaktach bezpośrednich oraz za pośrednictwem dostępnych technologii i narzędzi internetowych.</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503" w:name="_Toc72352466"/>
      <w:bookmarkStart w:id="504" w:name="_Toc72352900"/>
      <w:r w:rsidRPr="00E00B35">
        <w:rPr>
          <w:sz w:val="20"/>
          <w:szCs w:val="20"/>
        </w:rPr>
        <w:lastRenderedPageBreak/>
        <w:t>WSPARCIE SENIORÓW</w:t>
      </w:r>
      <w:bookmarkEnd w:id="503"/>
      <w:bookmarkEnd w:id="504"/>
    </w:p>
    <w:p w:rsidR="00890136" w:rsidRPr="00E00B35" w:rsidRDefault="00890136" w:rsidP="00E00B35">
      <w:pPr>
        <w:pStyle w:val="Nagwek4"/>
        <w:spacing w:before="0" w:after="0" w:line="312" w:lineRule="auto"/>
        <w:rPr>
          <w:sz w:val="20"/>
          <w:szCs w:val="20"/>
        </w:rPr>
      </w:pPr>
    </w:p>
    <w:p w:rsidR="00CA14AB" w:rsidRPr="00E00B35" w:rsidRDefault="00CA14AB" w:rsidP="00E00B35">
      <w:pPr>
        <w:pStyle w:val="Nagwek5"/>
        <w:rPr>
          <w:szCs w:val="20"/>
        </w:rPr>
      </w:pPr>
      <w:r w:rsidRPr="00E00B35">
        <w:rPr>
          <w:szCs w:val="20"/>
        </w:rPr>
        <w:t>Realizacja programu „Wspieraj Seniora”</w:t>
      </w:r>
    </w:p>
    <w:p w:rsidR="00CA14AB" w:rsidRPr="00E00B35" w:rsidRDefault="00CA14AB" w:rsidP="00E00B35">
      <w:pPr>
        <w:spacing w:after="0" w:line="312" w:lineRule="auto"/>
        <w:rPr>
          <w:szCs w:val="20"/>
        </w:rPr>
      </w:pPr>
      <w:r w:rsidRPr="00E00B35">
        <w:rPr>
          <w:szCs w:val="20"/>
        </w:rPr>
        <w:t xml:space="preserve">W roku 2020 Gmina Wrocław, w imieniu której realizatorem był MOPS i WCRS, przy współudziale wolontariuszy, organizacji pozarządowych oraz OSP realizowała Program MRiPS pn. „Wspieraj Seniora”, w ramach którego wsparciem objęto 619 wrocławskich seniorów – 171 zgłoszonych przez Infolinię i 448 zgłoszonych poza Infolinią. </w:t>
      </w:r>
    </w:p>
    <w:p w:rsidR="00CA14AB" w:rsidRPr="00E00B35" w:rsidRDefault="00CA14AB" w:rsidP="00E00B35">
      <w:pPr>
        <w:spacing w:after="0" w:line="312" w:lineRule="auto"/>
        <w:rPr>
          <w:szCs w:val="20"/>
        </w:rPr>
      </w:pPr>
      <w:r w:rsidRPr="00E00B35">
        <w:rPr>
          <w:szCs w:val="20"/>
        </w:rPr>
        <w:t xml:space="preserve">W ramach programu seniorzy w wieku powyżej 70 roku życia, którzy w obowiązującym stanie epidemii zdecydowali się na pozostanie w domu, mieli możliwość skorzystania z usługi wsparcia polegającej w szczególności na dostarczeniu zakupów, zgodnie ze wskazanym przez seniora zakresem, obejmujących artykuły podstawowej potrzeby, w tym artykuły spożywcze, środków higieny osobistej. Seniorzy zgłaszali się poprzez Infolinię uruchomioną w ramach programu Solidarnościowy Korpus Wsparcia Seniorów (528 zgłoszeń), jak też poza Infolinią (489 zgłoszeń), łącznie dając liczbę 1 017 zgłoszeń osób chętnych do wsparcia w ramach programu. </w:t>
      </w:r>
    </w:p>
    <w:p w:rsidR="00CA14AB" w:rsidRPr="00E00B35" w:rsidRDefault="00CA14AB" w:rsidP="00E00B35">
      <w:pPr>
        <w:spacing w:after="0" w:line="312" w:lineRule="auto"/>
        <w:rPr>
          <w:szCs w:val="20"/>
        </w:rPr>
      </w:pPr>
      <w:r w:rsidRPr="00E00B35">
        <w:rPr>
          <w:szCs w:val="20"/>
        </w:rPr>
        <w:t xml:space="preserve">Do współpracy w ramach Programu zgłosiło się 369 osób, z tego porozumienia podpisało 297 wolontariuszy, a 92 wolontariuszy faktycznie świadczyło wsparcie na rzecz seniorów w ramach programu "Wspieraj Seniora".   </w:t>
      </w:r>
    </w:p>
    <w:p w:rsidR="00CA14AB" w:rsidRPr="00E00B35" w:rsidRDefault="00CA14AB" w:rsidP="00E00B35">
      <w:pPr>
        <w:spacing w:after="0" w:line="312" w:lineRule="auto"/>
        <w:rPr>
          <w:szCs w:val="20"/>
        </w:rPr>
      </w:pPr>
      <w:r w:rsidRPr="00E00B35">
        <w:rPr>
          <w:szCs w:val="20"/>
        </w:rPr>
        <w:t>Na realizację programu „Wspieraj Seniora” w 2020r. przyznano kwotę 207 037,00 zł.</w:t>
      </w:r>
    </w:p>
    <w:p w:rsidR="00CA14AB" w:rsidRPr="00E00B35" w:rsidRDefault="00CA14AB" w:rsidP="00E00B35">
      <w:pPr>
        <w:spacing w:after="0" w:line="312" w:lineRule="auto"/>
        <w:rPr>
          <w:szCs w:val="20"/>
        </w:rPr>
      </w:pPr>
      <w:r w:rsidRPr="00E00B35">
        <w:rPr>
          <w:szCs w:val="20"/>
        </w:rPr>
        <w:t>Koszt całkowity realizacji zadania w ramach programu "Wspieraj Seniora” to 151 182,87 zł (stan na 31.12.2020r.). Wysokość środków z dotacji z budżetu państwa na realizację programu "Wspieraj Seniora" wyniosła 99 374,16 zł (w tym realizowane przez MOPS – 62 850,84 zł, realizowane przez WCRS – 36 523,32 zł), natomiast wkład własny Gminy Wrocław stanowił kwotę 51 808,71 zł, w tym MOPS – 21 808,71 zł, WCRS – 30 000,00 zł).</w:t>
      </w:r>
    </w:p>
    <w:p w:rsidR="00890136" w:rsidRPr="00E00B35" w:rsidRDefault="00890136" w:rsidP="00E00B35">
      <w:pPr>
        <w:spacing w:after="0" w:line="312" w:lineRule="auto"/>
        <w:rPr>
          <w:szCs w:val="20"/>
        </w:rPr>
      </w:pPr>
    </w:p>
    <w:p w:rsidR="00CA14AB" w:rsidRPr="00E00B35" w:rsidRDefault="00CA14AB" w:rsidP="00E00B35">
      <w:pPr>
        <w:pStyle w:val="Nagwek5"/>
        <w:rPr>
          <w:szCs w:val="20"/>
        </w:rPr>
      </w:pPr>
      <w:r w:rsidRPr="00E00B35">
        <w:rPr>
          <w:szCs w:val="20"/>
        </w:rPr>
        <w:t>Intensywna praca socjalna w ramach projektu „PAS-ja”</w:t>
      </w:r>
    </w:p>
    <w:p w:rsidR="00CA14AB" w:rsidRPr="00E00B35" w:rsidRDefault="00CA14AB" w:rsidP="00E00B35">
      <w:pPr>
        <w:spacing w:after="0" w:line="312" w:lineRule="auto"/>
        <w:rPr>
          <w:szCs w:val="20"/>
        </w:rPr>
      </w:pPr>
      <w:r w:rsidRPr="00E00B35">
        <w:rPr>
          <w:szCs w:val="20"/>
        </w:rPr>
        <w:t>Realizacja projektu została wydłużona do 31.12.2020 (pierwotnie było 30.06.2020) ze względu na COVID i ograniczenia kontaktów.  W II półroczu kontynuowane były zajęcia wcześniej niezrealizowane, z wykorzystaniem nowoczesnych technologii. Dodatkowo przez pół roku na rzecz 28 seniorów będących uczestnikami projektu realizowana była intensywna praca socjalna, której celem było wsparcie, edukacja i pomoc w rozwiązywaniu bieżących problemów tym trudnym czasie zagrożenia i izolacji.</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505" w:name="_Toc72352467"/>
      <w:bookmarkStart w:id="506" w:name="_Toc72352901"/>
      <w:r w:rsidRPr="00E00B35">
        <w:rPr>
          <w:sz w:val="20"/>
          <w:szCs w:val="20"/>
        </w:rPr>
        <w:t>WSPARCIE PIECZY ZASTĘPCZEJ</w:t>
      </w:r>
      <w:bookmarkEnd w:id="505"/>
      <w:bookmarkEnd w:id="506"/>
    </w:p>
    <w:p w:rsidR="00CA14AB" w:rsidRPr="00E00B35" w:rsidRDefault="00CA14AB" w:rsidP="00E00B35">
      <w:pPr>
        <w:spacing w:after="0" w:line="312" w:lineRule="auto"/>
        <w:rPr>
          <w:szCs w:val="20"/>
        </w:rPr>
      </w:pPr>
      <w:r w:rsidRPr="00E00B35">
        <w:rPr>
          <w:szCs w:val="20"/>
        </w:rPr>
        <w:t>Realizacja projektu „Wsparcie dzieci umieszczonych w pieczy zastępczej w okresie epidemii COVID-19”</w:t>
      </w:r>
    </w:p>
    <w:p w:rsidR="00CA14AB" w:rsidRPr="00E00B35" w:rsidRDefault="00CA14AB" w:rsidP="00E00B35">
      <w:pPr>
        <w:spacing w:after="0" w:line="312" w:lineRule="auto"/>
        <w:rPr>
          <w:szCs w:val="20"/>
        </w:rPr>
      </w:pPr>
      <w:r w:rsidRPr="00E00B35">
        <w:rPr>
          <w:rFonts w:eastAsia="Calibri"/>
          <w:szCs w:val="20"/>
        </w:rPr>
        <w:t xml:space="preserve">W 2020 r. Gmina Wrocław zrealizowała projekt „Wsparcie dzieci umieszczonych w pieczy zastępczej w okresie epidemii COVID-19”. </w:t>
      </w:r>
      <w:r w:rsidRPr="00E00B35">
        <w:rPr>
          <w:szCs w:val="20"/>
        </w:rPr>
        <w:t>Projekt współfinansowany był ze środków Europejskiego Funduszu Społecznego w ramach Programu Operacyjnego Wiedza Edukacja Rozwój na lata 2014-2020, Działania 2.8 Rozwój usług społecznych świadczonych w środowisku lokalnym, PI 9iv: Ułatwianie dostępu do przystępnych cenowo, trwałych oraz wysokiej jakości usług, w tym opieki zdrowotnej.</w:t>
      </w:r>
    </w:p>
    <w:p w:rsidR="00CA14AB" w:rsidRPr="00E00B35" w:rsidRDefault="00CA14AB" w:rsidP="00E00B35">
      <w:pPr>
        <w:spacing w:after="0" w:line="312" w:lineRule="auto"/>
        <w:rPr>
          <w:szCs w:val="20"/>
        </w:rPr>
      </w:pPr>
      <w:r w:rsidRPr="00E00B35">
        <w:rPr>
          <w:szCs w:val="20"/>
        </w:rPr>
        <w:lastRenderedPageBreak/>
        <w:t xml:space="preserve">Celem głównym zadania było </w:t>
      </w:r>
      <w:r w:rsidRPr="00E00B35">
        <w:rPr>
          <w:rFonts w:eastAsia="Calibri"/>
          <w:szCs w:val="20"/>
        </w:rPr>
        <w:t xml:space="preserve">zapobieganie i ograniczenie negatywnych skutków wystąpienia COVID-19 poprzez </w:t>
      </w:r>
      <w:r w:rsidRPr="00E00B35">
        <w:rPr>
          <w:szCs w:val="20"/>
        </w:rPr>
        <w:t>wzmocnienie rodzin zastępczych, rodzinnych domów dziecka, placówek opiekuńczo-wychowawczych, regionalnych placówek opiekuńczo-terapeutycznych, interwencyjnych ośrodków preadopcyjnych, w zakresie bezpiecznej realizacji zadań tych podmiotów w okresie epidemii COVID-19. Celem szczegółowym projektu było wsparcie dzieci, rodziców zastępczych i pracowników rodzinnych oraz instytucjonalnych podmiotów pieczy zastępczej w sytuacji zagrożenia epidemią choroby COVID-19 poprzez:</w:t>
      </w:r>
    </w:p>
    <w:p w:rsidR="00CA14AB" w:rsidRPr="00E00B35" w:rsidRDefault="00CA14AB" w:rsidP="00BC64AB">
      <w:pPr>
        <w:pStyle w:val="Akapitzlist"/>
        <w:numPr>
          <w:ilvl w:val="0"/>
          <w:numId w:val="233"/>
        </w:numPr>
        <w:spacing w:after="0" w:line="312" w:lineRule="auto"/>
        <w:ind w:left="426" w:hanging="426"/>
        <w:rPr>
          <w:szCs w:val="20"/>
        </w:rPr>
      </w:pPr>
      <w:r w:rsidRPr="00E00B35">
        <w:rPr>
          <w:szCs w:val="20"/>
        </w:rPr>
        <w:t>zakup wyposażenia na cele realizowania zadań w trybie zdalnego nauczania;</w:t>
      </w:r>
    </w:p>
    <w:p w:rsidR="00CA14AB" w:rsidRPr="00E00B35" w:rsidRDefault="00CA14AB" w:rsidP="00BC64AB">
      <w:pPr>
        <w:pStyle w:val="Akapitzlist"/>
        <w:numPr>
          <w:ilvl w:val="0"/>
          <w:numId w:val="233"/>
        </w:numPr>
        <w:spacing w:after="0" w:line="312" w:lineRule="auto"/>
        <w:ind w:left="426" w:hanging="426"/>
        <w:rPr>
          <w:szCs w:val="20"/>
        </w:rPr>
      </w:pPr>
      <w:r w:rsidRPr="00E00B35">
        <w:rPr>
          <w:szCs w:val="20"/>
        </w:rPr>
        <w:t>zakup środków ochrony indywidualnej i wyposażenia do bezpośredniej walki z epidemią;</w:t>
      </w:r>
    </w:p>
    <w:p w:rsidR="00CA14AB" w:rsidRPr="00E00B35" w:rsidRDefault="00CA14AB" w:rsidP="00BC64AB">
      <w:pPr>
        <w:pStyle w:val="Akapitzlist"/>
        <w:numPr>
          <w:ilvl w:val="0"/>
          <w:numId w:val="233"/>
        </w:numPr>
        <w:spacing w:after="0" w:line="312" w:lineRule="auto"/>
        <w:ind w:left="426" w:hanging="426"/>
        <w:rPr>
          <w:szCs w:val="20"/>
        </w:rPr>
      </w:pPr>
      <w:r w:rsidRPr="00E00B35">
        <w:rPr>
          <w:szCs w:val="20"/>
        </w:rPr>
        <w:t>zakup wyposażenia do organizacji miejsc kwarantanny/izolacji dla dzieci z pieczy zastępczej.</w:t>
      </w:r>
    </w:p>
    <w:p w:rsidR="00CA14AB" w:rsidRPr="00E00B35" w:rsidRDefault="00CA14AB" w:rsidP="00E00B35">
      <w:pPr>
        <w:spacing w:after="0" w:line="312" w:lineRule="auto"/>
        <w:rPr>
          <w:szCs w:val="20"/>
        </w:rPr>
      </w:pPr>
      <w:r w:rsidRPr="00E00B35">
        <w:rPr>
          <w:szCs w:val="20"/>
        </w:rPr>
        <w:t>W ramach projektu zakupiono i rozdysponowano 230 laptopów, 15 oprogramowań dla osób z niepełnosprawnościami, 77 sztuk sprzętu audiowizualnego (8 telewizorów, 2 rzutniki, 7 kamer internetowych, 60 zestawów: kamera internetowa + głośniki ), środki ochrony indywidualnej (21 330 sztuk maseczek, 106 650 sztuk rękawiczek jednorazowych, 2 051 litrów płynu dezynfekującego) oraz wyposażono w meble 7 izolatek. Pomoc otrzymały 622 rodziny zastępcze oraz 35 placówek opiekuńczo-wychowawczych.</w:t>
      </w:r>
    </w:p>
    <w:p w:rsidR="00CA14AB" w:rsidRPr="00E00B35" w:rsidRDefault="00CA14AB" w:rsidP="00E00B35">
      <w:pPr>
        <w:spacing w:after="0" w:line="312" w:lineRule="auto"/>
        <w:rPr>
          <w:rFonts w:eastAsia="Calibri"/>
          <w:szCs w:val="20"/>
        </w:rPr>
      </w:pPr>
      <w:r w:rsidRPr="00E00B35">
        <w:rPr>
          <w:rFonts w:eastAsia="Calibri"/>
          <w:szCs w:val="20"/>
        </w:rPr>
        <w:t>Kwota</w:t>
      </w:r>
      <w:r w:rsidRPr="00E00B35">
        <w:rPr>
          <w:rFonts w:eastAsia="Verdana"/>
          <w:szCs w:val="20"/>
        </w:rPr>
        <w:t xml:space="preserve"> </w:t>
      </w:r>
      <w:r w:rsidRPr="00E00B35">
        <w:rPr>
          <w:rFonts w:eastAsia="Calibri"/>
          <w:szCs w:val="20"/>
        </w:rPr>
        <w:t>dofinansowania: 1 005 575,00 zł – projekt w 100 % finansowany z Programu Operacyjnego Wiedza Edukacja Rozwój</w:t>
      </w:r>
    </w:p>
    <w:p w:rsidR="00890136" w:rsidRPr="00E00B35" w:rsidRDefault="00890136" w:rsidP="00E00B35">
      <w:pPr>
        <w:spacing w:after="0" w:line="312" w:lineRule="auto"/>
        <w:rPr>
          <w:rFonts w:eastAsia="Calibri"/>
          <w:szCs w:val="20"/>
        </w:rPr>
      </w:pPr>
    </w:p>
    <w:p w:rsidR="00CA14AB" w:rsidRPr="00E00B35" w:rsidRDefault="00CA14AB" w:rsidP="00E00B35">
      <w:pPr>
        <w:pStyle w:val="Nagwek5"/>
        <w:rPr>
          <w:szCs w:val="20"/>
        </w:rPr>
      </w:pPr>
      <w:r w:rsidRPr="00E00B35">
        <w:rPr>
          <w:szCs w:val="20"/>
        </w:rPr>
        <w:t xml:space="preserve">Pozyskanie komputerów do nauki zdalnej dzieci w rodzinach zastępczych </w:t>
      </w:r>
    </w:p>
    <w:p w:rsidR="00CA14AB" w:rsidRPr="00E00B35" w:rsidRDefault="00CA14AB" w:rsidP="00E00B35">
      <w:pPr>
        <w:spacing w:after="0" w:line="312" w:lineRule="auto"/>
        <w:rPr>
          <w:szCs w:val="20"/>
        </w:rPr>
      </w:pPr>
      <w:r w:rsidRPr="00E00B35">
        <w:rPr>
          <w:szCs w:val="20"/>
        </w:rPr>
        <w:t>Zespół Realizacji Zadań Organizatora Rodzinnej Pieczy Zastępczej otrzymał używane komputery przenośne od trzech firm: Volvo – 30 sztuk, Techland – 30 sztuk, Fundacji Sarigato – 10 sztuk do nauki zdalnej dla rodzin zastępczych z terenu Wrocławia.</w:t>
      </w:r>
    </w:p>
    <w:p w:rsidR="00890136" w:rsidRPr="00E00B35" w:rsidRDefault="00890136" w:rsidP="00E00B35">
      <w:pPr>
        <w:spacing w:after="0" w:line="312" w:lineRule="auto"/>
        <w:rPr>
          <w:szCs w:val="20"/>
        </w:rPr>
      </w:pPr>
    </w:p>
    <w:p w:rsidR="00CA14AB" w:rsidRPr="00E00B35" w:rsidRDefault="00CA14AB" w:rsidP="00E00B35">
      <w:pPr>
        <w:pStyle w:val="Nagwek5"/>
        <w:rPr>
          <w:szCs w:val="20"/>
        </w:rPr>
      </w:pPr>
      <w:r w:rsidRPr="00E00B35">
        <w:rPr>
          <w:szCs w:val="20"/>
        </w:rPr>
        <w:t xml:space="preserve">Darowizna laptopów do nauki zdalnej dzieci z placówek opiekuńczo-wychowawczych </w:t>
      </w:r>
    </w:p>
    <w:p w:rsidR="00CA14AB" w:rsidRPr="00E00B35" w:rsidRDefault="00CA14AB" w:rsidP="00E00B35">
      <w:pPr>
        <w:spacing w:after="0" w:line="312" w:lineRule="auto"/>
        <w:rPr>
          <w:szCs w:val="20"/>
        </w:rPr>
      </w:pPr>
      <w:r w:rsidRPr="00E00B35">
        <w:rPr>
          <w:szCs w:val="20"/>
        </w:rPr>
        <w:t>W ramach umowy darowizny placówkom opiekuńczo-wychowawczym zostało przekazanych łącznie 16 laptopów od firmy Techland i Wrocławski Park Technologiczny, a także 15 komputerów stacjonarnych od firmy IFIRMA S.A.</w:t>
      </w:r>
    </w:p>
    <w:p w:rsidR="00890136" w:rsidRPr="00E00B35" w:rsidRDefault="00890136" w:rsidP="00E00B35">
      <w:pPr>
        <w:spacing w:after="0" w:line="312" w:lineRule="auto"/>
        <w:rPr>
          <w:szCs w:val="20"/>
        </w:rPr>
      </w:pPr>
    </w:p>
    <w:p w:rsidR="00CA14AB" w:rsidRPr="00E00B35" w:rsidRDefault="00CA14AB" w:rsidP="00E00B35">
      <w:pPr>
        <w:pStyle w:val="Nagwek5"/>
        <w:rPr>
          <w:szCs w:val="20"/>
        </w:rPr>
      </w:pPr>
      <w:r w:rsidRPr="00E00B35">
        <w:rPr>
          <w:szCs w:val="20"/>
        </w:rPr>
        <w:t>Wsparcie młodzieży z pieczy zastępczej w ramach projektu „TRAMPOLINA-mieszkania wspomagane”</w:t>
      </w:r>
    </w:p>
    <w:p w:rsidR="00CA14AB" w:rsidRPr="00E00B35" w:rsidRDefault="00CA14AB" w:rsidP="00E00B35">
      <w:pPr>
        <w:spacing w:after="0" w:line="312" w:lineRule="auto"/>
        <w:rPr>
          <w:szCs w:val="20"/>
        </w:rPr>
      </w:pPr>
      <w:r w:rsidRPr="00E00B35">
        <w:rPr>
          <w:szCs w:val="20"/>
        </w:rPr>
        <w:t xml:space="preserve">Mimo zagrożenia epidemiologicznego grupa uczestników projektu będąca wychowankami pieczy zastępczej zakończyła udział w projekcie i opuściła mieszkania, a na jej miejsce weszli nowi uczestnicy (25 osób) rozpoczynając w III kwartale 2020r. treningi zaplanowane w projekcie. Wsparcie realizowane było metoda mieszaną – zarówno w kontaktach bezpośrednich z zachowaniem wszelkich środków ostrożności, jak i z wykorzystaniem, dostępnych narzędzi internetowych i nowoczesnych technologii. </w:t>
      </w:r>
    </w:p>
    <w:p w:rsidR="00CA14AB" w:rsidRPr="00E00B35" w:rsidRDefault="00CA14AB" w:rsidP="00E00B35">
      <w:pPr>
        <w:spacing w:after="0" w:line="312" w:lineRule="auto"/>
        <w:rPr>
          <w:szCs w:val="20"/>
        </w:rPr>
      </w:pPr>
      <w:r w:rsidRPr="00E00B35">
        <w:rPr>
          <w:szCs w:val="20"/>
        </w:rPr>
        <w:lastRenderedPageBreak/>
        <w:t>Młodzież jest wspierana i monitorowana w trakcie objęcia wsparciem oraz po jego zakończeniu.</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507" w:name="_Toc72352468"/>
      <w:bookmarkStart w:id="508" w:name="_Toc72352902"/>
      <w:r w:rsidRPr="00E00B35">
        <w:rPr>
          <w:sz w:val="20"/>
          <w:szCs w:val="20"/>
        </w:rPr>
        <w:t>WSPARCIE MIESZKAŃCÓW WROCŁAWIA, W TYM RODZIN Z DZIEĆMI</w:t>
      </w:r>
      <w:bookmarkEnd w:id="507"/>
      <w:bookmarkEnd w:id="508"/>
    </w:p>
    <w:p w:rsidR="00CA14AB" w:rsidRPr="00E00B35" w:rsidRDefault="00CA14AB" w:rsidP="00E00B35">
      <w:pPr>
        <w:pStyle w:val="Nagwek5"/>
        <w:rPr>
          <w:szCs w:val="20"/>
        </w:rPr>
      </w:pPr>
      <w:r w:rsidRPr="00E00B35">
        <w:rPr>
          <w:szCs w:val="20"/>
        </w:rPr>
        <w:t xml:space="preserve">„PACZKA W KORONIE” </w:t>
      </w:r>
      <w:bookmarkStart w:id="509" w:name="_Hlk63541411"/>
      <w:r w:rsidRPr="00E00B35">
        <w:rPr>
          <w:szCs w:val="20"/>
        </w:rPr>
        <w:t xml:space="preserve">– działania w zakresie zwalczania zakażenia, zapobiegania rozprzestrzenianiu się, profilaktyki oraz zwalczania skutków COVID-19 </w:t>
      </w:r>
    </w:p>
    <w:bookmarkEnd w:id="509"/>
    <w:p w:rsidR="00CA14AB" w:rsidRPr="00E00B35" w:rsidRDefault="00CA14AB" w:rsidP="00E00B35">
      <w:pPr>
        <w:spacing w:after="0" w:line="312" w:lineRule="auto"/>
        <w:rPr>
          <w:szCs w:val="20"/>
        </w:rPr>
      </w:pPr>
      <w:r w:rsidRPr="00E00B35">
        <w:rPr>
          <w:szCs w:val="20"/>
        </w:rPr>
        <w:t>W związku z pandemią COVID-19 Gmina Wrocław przekazała organizacji pozarządowej Centrum, ds. Katastrof i Klęsk Żywiołowych „TRATWA” kwotę 120 000,00 zł na realizację zadania polegającego na przygotowaniu i dostarczeniu paczek dla mieszkańców Wrocławia, którzy w związku z epidemią wirusa SARS-Cov-2 znaleźli się w trudnej sytuacji materialno-bytowej (zadanie realizowane było we współpracy z pracownikami MOPS).</w:t>
      </w:r>
    </w:p>
    <w:p w:rsidR="00CA14AB" w:rsidRPr="00E00B35" w:rsidRDefault="00CA14AB" w:rsidP="00E00B35">
      <w:pPr>
        <w:spacing w:after="0" w:line="312" w:lineRule="auto"/>
        <w:rPr>
          <w:szCs w:val="20"/>
        </w:rPr>
      </w:pPr>
      <w:r w:rsidRPr="00E00B35">
        <w:rPr>
          <w:szCs w:val="20"/>
        </w:rPr>
        <w:t>Pomoc w formie gorącego posiłku z dowozem do domu - pomoc przyznana z urzędu w trybie art. 48b ustawy o pomocy społecznej z dnia 12 marca 2004r. w postaci produktów żywnościowych, w związku z zaistniałą sytuacją kryzysową występującą na masową skalę (COVID-19). Posiłki z dowozem do miejsca zamieszkania dla starszych, samotnych, chorych i objętych kwarantanną mieszkańców Wrocławia, którzy w związku z epidemią COVID -19 znaleźli się w trudnej sytuacji materialno-bytowej.  Pomoc realizowana była od 7 kwietnia do 27 maja 2020r. Ogółem wsparciem  objęto 217 osób. Rozwieziono 6 916 posiłków. Koszt realizacji zadania to 100 935 zł.</w:t>
      </w:r>
    </w:p>
    <w:p w:rsidR="00CA14AB" w:rsidRPr="00E00B35" w:rsidRDefault="00CA14AB" w:rsidP="00E00B35">
      <w:pPr>
        <w:spacing w:after="0" w:line="312" w:lineRule="auto"/>
        <w:rPr>
          <w:szCs w:val="20"/>
        </w:rPr>
      </w:pPr>
      <w:r w:rsidRPr="00E00B35">
        <w:rPr>
          <w:szCs w:val="20"/>
        </w:rPr>
        <w:t xml:space="preserve">Paczki świąteczne (artykuły spożywcze, środki czystości i higieny, odzież, zabawki, różnorodne prezenty świąteczne dla dzieci). </w:t>
      </w:r>
    </w:p>
    <w:p w:rsidR="00CA14AB" w:rsidRPr="00E00B35" w:rsidRDefault="00CA14AB" w:rsidP="00E00B35">
      <w:pPr>
        <w:spacing w:after="0" w:line="312" w:lineRule="auto"/>
        <w:rPr>
          <w:szCs w:val="20"/>
        </w:rPr>
      </w:pPr>
      <w:r w:rsidRPr="00E00B35">
        <w:rPr>
          <w:szCs w:val="20"/>
        </w:rPr>
        <w:t>Współpraca pracowników socjalnych z organizacjami pozarządowymi, Radami Osiedla i wypracowanie wspólnych inicjatyw w związku pandemią np. zbiórka środków czystości i artykułów higienicznych, które były dostarczane potrzebującym mieszkańcom Wrocławia, dostarczanie paczek, karmy dla zwierząt itp.</w:t>
      </w:r>
    </w:p>
    <w:p w:rsidR="00CA14AB" w:rsidRPr="00E00B35" w:rsidRDefault="00CA14AB" w:rsidP="00E00B35">
      <w:pPr>
        <w:spacing w:after="0" w:line="312" w:lineRule="auto"/>
        <w:rPr>
          <w:szCs w:val="20"/>
        </w:rPr>
      </w:pPr>
      <w:r w:rsidRPr="00E00B35">
        <w:rPr>
          <w:szCs w:val="20"/>
        </w:rPr>
        <w:t xml:space="preserve">Działania asystentów rodziny na rzecz rodzin z dziećmi: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profilaktyka w kwestii przeciwdziałania zakażeniem koronawirusem SARS CoV-2,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edukowanie w kwestii obowiązujących zasad bezpieczeństwa w związku z panująca pandemią, motywowanie do przestrzegania, udzielanie instruktaży odnośnie prawidłowej higieny rąk oraz korzystania z maseczek ochronnych,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edukowanie odnośnie procedur, do jakich należy się stosować w przypadku podejrzenia zakażenia koronawirusem,</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edukowanie w kwestii zasad kwarantanny, przekazywanie danych do Sanepidu, modelowanie kontaktu,</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edukowanie w kwestii kontaktu z przychodniami (teleporady),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udzielanie wsparcia emocjonalnego w związku z nagłą zmianą sytuacji w kraju w związku z pandemią,</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przekazywanie informacji odnośnie wsparcia psychologicznego online i telefonicznie dla rodziców i dzieci, motywowanie do korzystania w razie potrzeby (również interwencja kryzysowa),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lastRenderedPageBreak/>
        <w:t>przekazywanie sposobów kreatywnego spędzania czasu z dziećmi, przekazywanie materiałów edukacyjnych, adresów stron internetowych (np. zwiedzanie muzeum online),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zachęcanie do korzystania przez dzieci z warsztatów np. plastycznych prowadzonych </w:t>
      </w:r>
      <w:r w:rsidRPr="00E00B35">
        <w:rPr>
          <w:szCs w:val="20"/>
        </w:rPr>
        <w:br/>
        <w:t>w reżimie sanitarnym,</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przeciwdziałanie przemocy w rodzinie, częstsze monitorowanie środowisk </w:t>
      </w:r>
      <w:r w:rsidRPr="00E00B35">
        <w:rPr>
          <w:szCs w:val="20"/>
        </w:rPr>
        <w:br/>
        <w:t>z procedurą NK,</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przekazywanie danych teleinformacyjnych dla ofiar przemocy, zachęcanie do instalowania aplikacji pomocowych typu „Twój parasol”,</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przeciwdziałanie wykluczeniu cyfrowemu, pomoc w uzyskaniu sprzętu komputerowego w związku z wprowadzeniem nauczania zdalnego,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zaznajamianie i edukowanie rodzin w zakresie kontaktu ze szkołą za pośrednictwem dziennika elektronicznego czy platformy Teams,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wspieranie w realizacji zdalnego nauczania, pomoc w odrabianiu lekcji, motywowanie rodziców do zainteresowania sytuacją szkolną dzieci,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przekazywanie informacji odnośnie warsztatów podnoszących kompetencje rodzicielskie prowadzonych w formie zdalnej,</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przekazywanie linków do stron internetowych odnośnie prawidłowych postaw rodzicielskich, doskonalenia panowania nad emocjami, odpowiedniego reagowania na emocje dzieci itp.,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rozmowy wspierające w trzeźwości, przekazywanie danych do korzystania z grup wsparcia online,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pomoc w rejestracji online do PUP,</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edukowanie w kwestii składania wniosków o „bon turystyczny”,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edukowanie w kwestii kontaktu z ZUS online, przeprowadzanie instruktaży,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edukowanie w kwestii korzystania z porad prawnych online i telefonicznie.</w:t>
      </w:r>
    </w:p>
    <w:p w:rsidR="00890136" w:rsidRPr="00E00B35" w:rsidRDefault="00890136" w:rsidP="00E00B35">
      <w:pPr>
        <w:pStyle w:val="Akapitzlist"/>
        <w:spacing w:after="0" w:line="312" w:lineRule="auto"/>
        <w:ind w:left="426"/>
        <w:rPr>
          <w:szCs w:val="20"/>
        </w:rPr>
      </w:pPr>
    </w:p>
    <w:p w:rsidR="00CA14AB" w:rsidRPr="00E00B35" w:rsidRDefault="00CA14AB" w:rsidP="00E00B35">
      <w:pPr>
        <w:pStyle w:val="Nagwek4"/>
        <w:spacing w:before="0" w:after="0" w:line="312" w:lineRule="auto"/>
        <w:rPr>
          <w:sz w:val="20"/>
          <w:szCs w:val="20"/>
        </w:rPr>
      </w:pPr>
      <w:bookmarkStart w:id="510" w:name="_Toc72352469"/>
      <w:bookmarkStart w:id="511" w:name="_Toc72352903"/>
      <w:bookmarkStart w:id="512" w:name="_Toc72357857"/>
      <w:bookmarkStart w:id="513" w:name="_Toc72358011"/>
      <w:r w:rsidRPr="00E00B35">
        <w:rPr>
          <w:sz w:val="20"/>
          <w:szCs w:val="20"/>
        </w:rPr>
        <w:t>WROCŁAWSKIE CENTRUM INTEGRACJI</w:t>
      </w:r>
      <w:bookmarkEnd w:id="510"/>
      <w:bookmarkEnd w:id="511"/>
      <w:bookmarkEnd w:id="512"/>
      <w:bookmarkEnd w:id="513"/>
      <w:r w:rsidRPr="00E00B35">
        <w:rPr>
          <w:sz w:val="20"/>
          <w:szCs w:val="20"/>
        </w:rPr>
        <w:t xml:space="preserve"> </w:t>
      </w:r>
    </w:p>
    <w:p w:rsidR="00CA14AB" w:rsidRPr="00E00B35" w:rsidRDefault="00CA14AB" w:rsidP="00E00B35">
      <w:pPr>
        <w:spacing w:after="0" w:line="312" w:lineRule="auto"/>
        <w:rPr>
          <w:szCs w:val="20"/>
        </w:rPr>
      </w:pPr>
      <w:r w:rsidRPr="00E00B35">
        <w:rPr>
          <w:szCs w:val="20"/>
        </w:rPr>
        <w:t>W 2020 roku Wrocławskie Centrum Integracji realizowało następujące zadania: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Reintegracja społeczna i zawodowa realizowanej w ramach ustawy </w:t>
      </w:r>
      <w:r w:rsidRPr="00E00B35">
        <w:rPr>
          <w:szCs w:val="20"/>
        </w:rPr>
        <w:br/>
        <w:t>o zatrudnieniu socjalnym.</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Działania na rzecz mieszkańców Wrocławia wykonywanych przez uczestników reintegracji społecznej i zawodowej.</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Organizacja nieodpłatnych, kontrolowanych prac na cele społeczne, zasądzonych w ramach kary ograniczenia wolności w ramach Wrocławskiego Centrum Sprawiedliwości Naprawczej.</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Organizacja opieki nad dziećmi do lat 3 w punktach opieki dziennej.</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Wsparcie na rynku pracy obcokrajowców mieszkających i pracujących </w:t>
      </w:r>
      <w:r w:rsidRPr="00E00B35">
        <w:rPr>
          <w:szCs w:val="20"/>
        </w:rPr>
        <w:br/>
        <w:t>we Wrocławiu w ramach projektu społecznego „Wrocław na językach świata”.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Wsparcie organizacji zadań Klubu Integracji Społecznej w ramach projektu partnerskiego „Klub Integracji Społecznej we Wrocławiu”.</w:t>
      </w:r>
    </w:p>
    <w:p w:rsidR="00CA14AB" w:rsidRPr="00E00B35" w:rsidRDefault="00CA14AB" w:rsidP="00E00B35">
      <w:pPr>
        <w:spacing w:after="0" w:line="312" w:lineRule="auto"/>
        <w:rPr>
          <w:szCs w:val="20"/>
        </w:rPr>
      </w:pPr>
      <w:bookmarkStart w:id="514" w:name="_Toc72352470"/>
      <w:bookmarkStart w:id="515" w:name="_Toc72352904"/>
      <w:r w:rsidRPr="00E00B35">
        <w:rPr>
          <w:szCs w:val="20"/>
        </w:rPr>
        <w:t>I. Reintegracja społeczna i zawodowa realizowana w ramach ustawy o zatrudnieniu socjalnym</w:t>
      </w:r>
      <w:bookmarkEnd w:id="514"/>
      <w:bookmarkEnd w:id="515"/>
    </w:p>
    <w:p w:rsidR="00CA14AB" w:rsidRPr="00E00B35" w:rsidRDefault="00CA14AB" w:rsidP="00E00B35">
      <w:pPr>
        <w:spacing w:after="0" w:line="312" w:lineRule="auto"/>
        <w:rPr>
          <w:szCs w:val="20"/>
        </w:rPr>
      </w:pPr>
      <w:r w:rsidRPr="00E00B35">
        <w:rPr>
          <w:szCs w:val="20"/>
        </w:rPr>
        <w:lastRenderedPageBreak/>
        <w:t>W 2020 roku Indywidualny Program Zatrudnienia Socjalnego był realizowany łącznie przez 155  uczestników. 83 osoby ukończyły zajęcia reintegracji społeczno - zawodowej w 2020 roku, 23 osoby podjęły zatrudnienie.</w:t>
      </w:r>
    </w:p>
    <w:p w:rsidR="00CA14AB" w:rsidRPr="00E00B35" w:rsidRDefault="00CA14AB" w:rsidP="00E00B35">
      <w:pPr>
        <w:spacing w:after="0" w:line="312" w:lineRule="auto"/>
        <w:rPr>
          <w:szCs w:val="20"/>
        </w:rPr>
      </w:pPr>
      <w:r w:rsidRPr="00E00B35">
        <w:rPr>
          <w:szCs w:val="20"/>
        </w:rPr>
        <w:t>WCI zapewniło osobom podpisującym Indywidualny Program Zatrudnienia Socjalnego (IPZS):</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badania lekarza medycyny pracy, szkolenie BHP, ubezpieczenie NNW, odzież ochronną, codzienny posiłek, niezbędne narzędzia i materiały do szkoleń zawodowych, materiały do szkoleń z reintegracji społecznej, np. artykuły plastyczne, artykuły spożywcze, rośliny, artykuły dekoracyjne, bilety wstępu w ramach wyjść integracyjnych, wypłatę świadczenia integracyjnego</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udział w reintegracji zawodowej oraz społecznej</w:t>
      </w:r>
      <w:r w:rsidR="00134DDF" w:rsidRPr="00E00B35">
        <w:rPr>
          <w:szCs w:val="20"/>
        </w:rPr>
        <w:t>.</w:t>
      </w:r>
    </w:p>
    <w:p w:rsidR="00CA14AB" w:rsidRPr="00E00B35" w:rsidRDefault="00CA14AB" w:rsidP="00E00B35">
      <w:pPr>
        <w:spacing w:after="0" w:line="312" w:lineRule="auto"/>
        <w:rPr>
          <w:szCs w:val="20"/>
        </w:rPr>
      </w:pPr>
      <w:r w:rsidRPr="00E00B35">
        <w:rPr>
          <w:szCs w:val="20"/>
        </w:rPr>
        <w:t>1. Reintegracja zawodowa i społeczna.</w:t>
      </w:r>
    </w:p>
    <w:p w:rsidR="00CA14AB" w:rsidRPr="00E00B35" w:rsidRDefault="00CA14AB" w:rsidP="00E00B35">
      <w:pPr>
        <w:spacing w:after="0" w:line="312" w:lineRule="auto"/>
        <w:rPr>
          <w:szCs w:val="20"/>
        </w:rPr>
      </w:pPr>
      <w:r w:rsidRPr="00E00B35">
        <w:rPr>
          <w:szCs w:val="20"/>
        </w:rPr>
        <w:t>Reintegracja zawodowa realizowana była w pięciu grupach zawodowych: pracownik porządkowy - konserwator, pracownik biura i handlu, opiekun osoby zależnej, pracownik obsługi klienta, pracownik remontowo-budowlany. Zajęcia na warsztatach zawodowych realizowane przez instruktorów zawodu obejmowały: usługi gospodarcze, prace remontowe i porządkowe pomieszczeń w lokalu Stowarzyszenia Odra-Niemen. Bieżące prace porządkowe, dezynfekcyjne i konserwatorskie w siedzibie Wrocławskiego Centrum Integracji. Prace porządkowe terenów zieleni WCI oraz przy siedzibie Klubu Integracji Społecznej we Wrocławiu. Lokalizowanie oraz dokumentowanie w przestrzeni miejskiej znaków mowy nienawiści i wandalizmu na terenie Starego Miasta (Ostrów Tumski, Rynek). Usługi gospodarcze i pozostałe prace wykonywane były bezpłatnie, przy pomocy zakupionych przez WCI niezbędnych narzędzi, materiałów oraz środków czystości.</w:t>
      </w:r>
    </w:p>
    <w:p w:rsidR="00CA14AB" w:rsidRPr="00E00B35" w:rsidRDefault="00CA14AB" w:rsidP="00E00B35">
      <w:pPr>
        <w:spacing w:after="0" w:line="312" w:lineRule="auto"/>
        <w:rPr>
          <w:szCs w:val="20"/>
        </w:rPr>
      </w:pPr>
      <w:r w:rsidRPr="00E00B35">
        <w:rPr>
          <w:szCs w:val="20"/>
        </w:rPr>
        <w:t xml:space="preserve">Poprzez udział w zajęciach uczestnicy zdobyli/podwyższyli m.in. następujące umiejętności zawodowe: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stosowania właściwych środków czystości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doboru sprzętu i materiałów do konkretnych prac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utrzymania czystości w budynku i na powierzchniach zewnętrznych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pielęgnacji terenów zieleni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konserwacji narzędzi i urządzeń wykorzystywanych w procesie pracy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realizowania drobnych napraw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wykonywania drobnych prac remontowo</w:t>
      </w:r>
      <w:r w:rsidR="00134DDF" w:rsidRPr="00E00B35">
        <w:rPr>
          <w:szCs w:val="20"/>
        </w:rPr>
        <w:t>-</w:t>
      </w:r>
      <w:r w:rsidRPr="00E00B35">
        <w:rPr>
          <w:szCs w:val="20"/>
        </w:rPr>
        <w:t>budowlanych</w:t>
      </w:r>
      <w:r w:rsidR="00134DDF" w:rsidRPr="00E00B35">
        <w:rPr>
          <w:szCs w:val="20"/>
        </w:rPr>
        <w:t>.</w:t>
      </w:r>
    </w:p>
    <w:p w:rsidR="00CA14AB" w:rsidRPr="00E00B35" w:rsidRDefault="00CA14AB" w:rsidP="00E00B35">
      <w:pPr>
        <w:spacing w:after="0" w:line="312" w:lineRule="auto"/>
        <w:rPr>
          <w:szCs w:val="20"/>
        </w:rPr>
      </w:pPr>
      <w:r w:rsidRPr="00E00B35">
        <w:rPr>
          <w:szCs w:val="20"/>
        </w:rPr>
        <w:t>Podczas warsztatów z doradcą zawodowym uczestnicy nabyli dodatkowe umiejętności: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sporządzania dokumentów aplikacyjnych</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autoprezentacji</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wyszukiwania odpowiednich ofert w Internecie, aplikowania on-line</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bazowania na swoich zasobach, dookreślenia swoich słabych i mocnych stron</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ukierunkowania zawodowego</w:t>
      </w:r>
      <w:r w:rsidR="00134DDF" w:rsidRPr="00E00B35">
        <w:rPr>
          <w:szCs w:val="20"/>
        </w:rPr>
        <w:t>.</w:t>
      </w:r>
    </w:p>
    <w:p w:rsidR="00CA14AB" w:rsidRPr="00E00B35" w:rsidRDefault="00CA14AB" w:rsidP="00E00B35">
      <w:pPr>
        <w:spacing w:after="0" w:line="312" w:lineRule="auto"/>
        <w:rPr>
          <w:szCs w:val="20"/>
        </w:rPr>
      </w:pPr>
      <w:r w:rsidRPr="00E00B35">
        <w:rPr>
          <w:szCs w:val="20"/>
        </w:rPr>
        <w:t xml:space="preserve">W 2020 realizowane były zajęcia dodatkowe – warsztaty ceramiczne, plastyczne </w:t>
      </w:r>
      <w:r w:rsidRPr="00E00B35">
        <w:rPr>
          <w:szCs w:val="20"/>
        </w:rPr>
        <w:br/>
        <w:t xml:space="preserve">i florystyczne jako wsparcie zajęć zawodowych, poszerzenie zainteresowań podczas spotkań grup samopomocy - banku czasu oraz zapewnienie uczestnikom alternatywnych form spędzania wolnego czasu. </w:t>
      </w:r>
    </w:p>
    <w:p w:rsidR="00CA14AB" w:rsidRPr="00E00B35" w:rsidRDefault="00CA14AB" w:rsidP="00E00B35">
      <w:pPr>
        <w:spacing w:after="0" w:line="312" w:lineRule="auto"/>
        <w:rPr>
          <w:szCs w:val="20"/>
        </w:rPr>
      </w:pPr>
      <w:r w:rsidRPr="00E00B35">
        <w:rPr>
          <w:szCs w:val="20"/>
        </w:rPr>
        <w:t>Reintegracja zawodowa obejmowała również:</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lastRenderedPageBreak/>
        <w:t>warsztaty zawodowe</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kursy zawodowe kwalifikacyjne</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warsztaty autoprezentacji</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warsztaty poruszania się po rynku pracy</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trening obsługi komputera</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warsztaty grupowe z radcą prawnym dotyczące różnych form zatrudnienia, zakładania spółdzielni socjalnych, wybranych zagadnień prawa pracy</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konsultacje indywidualne z doradcą zawodowym, informatykiem, radcą prawnym</w:t>
      </w:r>
      <w:r w:rsidR="00134DDF" w:rsidRPr="00E00B35">
        <w:rPr>
          <w:szCs w:val="20"/>
        </w:rPr>
        <w:t>.</w:t>
      </w:r>
    </w:p>
    <w:p w:rsidR="00CA14AB" w:rsidRPr="00E00B35" w:rsidRDefault="00CA14AB" w:rsidP="00E00B35">
      <w:pPr>
        <w:spacing w:after="0" w:line="312" w:lineRule="auto"/>
        <w:rPr>
          <w:szCs w:val="20"/>
        </w:rPr>
      </w:pPr>
      <w:r w:rsidRPr="00E00B35">
        <w:rPr>
          <w:szCs w:val="20"/>
        </w:rPr>
        <w:t>Reintegracja społeczna ukierunkowana była na zdobycie umiejętności społecznych, prowadzenia gospodarstwa domowego, w tym zarządzanie budżetem domowym. Kształtowanie prozdrowotnych postaw uczestników poprzez zapewnienie dostępu do specjalisty zajmującego się terapią i profilaktyką uzależnień oraz zajęcia z pracownikiem socjalnym poświęcone tematyce dbałości o zdrowie. Konsultacje indywidualne realizowane przez radcę prawnego, w tym dotyczących spraw mieszkaniowych, spadkowych, postępowania obejmującego ustalenie stopnia niepełnosprawności. Część zajęć z zakresu reintegracji społecznej zrealizowana była w ramach warsztatów tematycznych i wyjść integracyjnych przygotowanych w formule odwiedzin muzeum światowego kina czy rejsu statkiem po Odrze, wyjścia na  wystawę zwierząt egzotycznych. Uczestnicy wzięli udział również w warsztatach kulinarnych, zdobywali umiejętności niezbędne w kuchni, jak również z zakresu savoir-vivre. Zajęcia prowadzili: doradca zawodowy, psycholog, pracownik socjalny, terapeuta uzależnień, radca prawny.</w:t>
      </w:r>
    </w:p>
    <w:p w:rsidR="00CA14AB" w:rsidRPr="00E00B35" w:rsidRDefault="00CA14AB" w:rsidP="00E00B35">
      <w:pPr>
        <w:spacing w:after="0" w:line="312" w:lineRule="auto"/>
        <w:rPr>
          <w:szCs w:val="20"/>
        </w:rPr>
      </w:pPr>
      <w:r w:rsidRPr="00E00B35">
        <w:rPr>
          <w:szCs w:val="20"/>
        </w:rPr>
        <w:t>Reintegracja społeczna obejmowała: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warsztaty: umiejętności psychospołecznych,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warsztaty z pracownikiem socjalnym,</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warsztaty tematyczne (m.in. florystyczne: wiosenne, walentynkowe, świąteczne; ceramiczne; plastyczne; kulinarne; integracyjne)</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zarządzanie budżetem domowym</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profilaktykę uzależnień</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konsultacje indywidualne</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pomoc psychologiczną grupową i indywidualną</w:t>
      </w:r>
      <w:r w:rsidR="00134DDF" w:rsidRPr="00E00B35">
        <w:rPr>
          <w:szCs w:val="20"/>
        </w:rPr>
        <w:t>.</w:t>
      </w:r>
    </w:p>
    <w:p w:rsidR="00CA14AB" w:rsidRPr="00E00B35" w:rsidRDefault="00CA14AB" w:rsidP="00E00B35">
      <w:pPr>
        <w:spacing w:after="0" w:line="312" w:lineRule="auto"/>
        <w:rPr>
          <w:szCs w:val="20"/>
        </w:rPr>
      </w:pPr>
      <w:r w:rsidRPr="00E00B35">
        <w:rPr>
          <w:rFonts w:eastAsia="Calibri"/>
          <w:szCs w:val="20"/>
        </w:rPr>
        <w:t xml:space="preserve">Reintegracja społeczna i zawodowa w projekcie „RAZEM można więcej” </w:t>
      </w:r>
      <w:r w:rsidRPr="00E00B35">
        <w:rPr>
          <w:szCs w:val="20"/>
        </w:rPr>
        <w:t xml:space="preserve">realizowana  była w okresie październik 2018r - grudzień 2020r. zgodnie z zapisami ustawy </w:t>
      </w:r>
      <w:r w:rsidRPr="00E00B35">
        <w:rPr>
          <w:szCs w:val="20"/>
        </w:rPr>
        <w:br/>
        <w:t xml:space="preserve">o zatrudnieniu socjalnym Projekt współfinansowany był  przez Unię Europejską w ramach Europejskiego Funduszu Społecznego (Priorytet 9. Wyłączenie Społeczne; Działanie 9.1. Aktywna Integracja: Poddziałanie 9.1.2 Aktywne Integracja). Wartość projektu wynosiła 2 775 200,70 zł. Celem projektu była poprawa funkcjonowania społecznego i odbudowa zdolności  do samodzielnego świadczenia pracy 216 niezatrudnionych mieszkańców Wrocławia, zagrożonych ubóstwem lub wykluczeniem społecznym. </w:t>
      </w:r>
    </w:p>
    <w:p w:rsidR="00CA14AB" w:rsidRPr="00E00B35" w:rsidRDefault="00CA14AB" w:rsidP="00E00B35">
      <w:pPr>
        <w:spacing w:after="0" w:line="312" w:lineRule="auto"/>
        <w:rPr>
          <w:szCs w:val="20"/>
        </w:rPr>
      </w:pPr>
      <w:r w:rsidRPr="00E00B35">
        <w:rPr>
          <w:szCs w:val="20"/>
        </w:rPr>
        <w:t>W 2020 roku uczestnicy projektu osiągnęli następujące rezultaty: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50 osób podpisało Indywidualny Program Zatrudnienia Socjalnego</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33 osó</w:t>
      </w:r>
      <w:r w:rsidR="00134DDF" w:rsidRPr="00E00B35">
        <w:rPr>
          <w:szCs w:val="20"/>
        </w:rPr>
        <w:t>b ukończyło staże u pracodawców,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 9 osób uzyskało nowe kwalifikacje zawodowe</w:t>
      </w:r>
      <w:r w:rsidR="00134DDF"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 87 osoby nabyło kompetencje cyfrowe</w:t>
      </w:r>
      <w:r w:rsidR="00134DDF" w:rsidRPr="00E00B35">
        <w:rPr>
          <w:szCs w:val="20"/>
        </w:rPr>
        <w:t>,</w:t>
      </w:r>
    </w:p>
    <w:p w:rsidR="00CA14AB" w:rsidRPr="00E00B35" w:rsidRDefault="00134DDF" w:rsidP="00BC64AB">
      <w:pPr>
        <w:pStyle w:val="Akapitzlist"/>
        <w:numPr>
          <w:ilvl w:val="0"/>
          <w:numId w:val="234"/>
        </w:numPr>
        <w:spacing w:after="0" w:line="312" w:lineRule="auto"/>
        <w:ind w:left="426" w:hanging="426"/>
        <w:rPr>
          <w:szCs w:val="20"/>
        </w:rPr>
      </w:pPr>
      <w:r w:rsidRPr="00E00B35">
        <w:rPr>
          <w:szCs w:val="20"/>
        </w:rPr>
        <w:lastRenderedPageBreak/>
        <w:t>14 osoby podjęły zatrudnienie.</w:t>
      </w:r>
    </w:p>
    <w:p w:rsidR="00CA14AB" w:rsidRPr="00E00B35" w:rsidRDefault="00CA14AB" w:rsidP="00E00B35">
      <w:pPr>
        <w:spacing w:after="0" w:line="312" w:lineRule="auto"/>
        <w:rPr>
          <w:szCs w:val="20"/>
        </w:rPr>
      </w:pPr>
      <w:r w:rsidRPr="00E00B35">
        <w:rPr>
          <w:rFonts w:eastAsia="Calibri"/>
          <w:szCs w:val="20"/>
        </w:rPr>
        <w:t>Reintegrację społeczną i zawodową w projekcie „Centrum Kompetencji”</w:t>
      </w:r>
      <w:r w:rsidRPr="00E00B35">
        <w:rPr>
          <w:szCs w:val="20"/>
        </w:rPr>
        <w:t xml:space="preserve"> rozpoczęto </w:t>
      </w:r>
      <w:r w:rsidRPr="00E00B35">
        <w:rPr>
          <w:szCs w:val="20"/>
        </w:rPr>
        <w:br/>
        <w:t xml:space="preserve">we wrześniu 2020r. Realizacja projektu, zgodnie z zapisami ustawy o zatrudnieniu socjalnym będzie trwała do czerwca 2023r..  Projekt współfinansowany jest przez Unię Europejską w ramach Europejskiego Funduszu Społecznego (Priorytet 9. Wyłączenie Społeczne; Działanie 9.1. Aktywna Integracja: Poddziałanie 9.1.2 Aktywne Integracja). Wartość projektu to kwota 3 265 436,31zł. Liderem projektu jest Gmina Wrocław, </w:t>
      </w:r>
      <w:r w:rsidRPr="00E00B35">
        <w:rPr>
          <w:szCs w:val="20"/>
        </w:rPr>
        <w:br/>
        <w:t xml:space="preserve">w imieniu której projekt realizuje Wrocławskie Centrum Integracji. Celem projektu jest poprawa funkcjonowania społecznego i odbudowa zdolności  do samodzielnego świadczenia pracy 252 niezatrudnionych mieszkańców Wrocławia, zagrożonych ubóstwem lub wykluczeniem społecznym. Działania projektowe realizowane będą   w ramach usług aktywnej integracji o charakterze społecznym oraz zawodowym. Udzielane wsparcie ma charakter zindywidualizowany. W ramach reintegracji społecznej i zawodowej realizowane są warsztaty kulinarne, trening obywatelski i prowadzona kawiarenka internetowa, zajęcia z psychologiem, doradcą zawodowym, prawnikiem i specjalistą ds. uzależnień. W 2020 roku Indywidualne Programy Zatrudnienia Socjalnego w projekcie „Centrum Kompetencji” podpisało 25 osób. </w:t>
      </w:r>
    </w:p>
    <w:p w:rsidR="00CA14AB" w:rsidRPr="00E00B35" w:rsidRDefault="00CA14AB" w:rsidP="00E00B35">
      <w:pPr>
        <w:spacing w:after="0" w:line="312" w:lineRule="auto"/>
        <w:rPr>
          <w:szCs w:val="20"/>
        </w:rPr>
      </w:pPr>
      <w:bookmarkStart w:id="516" w:name="_Toc72352471"/>
      <w:bookmarkStart w:id="517" w:name="_Toc72352905"/>
      <w:r w:rsidRPr="00E00B35">
        <w:rPr>
          <w:szCs w:val="20"/>
        </w:rPr>
        <w:t>II. Działania na rzecz mieszkańców Wrocławia realizowane bezpłatnie w ramach statutowej działalności WCI</w:t>
      </w:r>
      <w:bookmarkEnd w:id="516"/>
      <w:bookmarkEnd w:id="517"/>
    </w:p>
    <w:p w:rsidR="00CA14AB" w:rsidRPr="00E00B35" w:rsidRDefault="00CA14AB" w:rsidP="00E00B35">
      <w:pPr>
        <w:spacing w:after="0" w:line="312" w:lineRule="auto"/>
        <w:rPr>
          <w:szCs w:val="20"/>
        </w:rPr>
      </w:pPr>
      <w:r w:rsidRPr="00E00B35">
        <w:rPr>
          <w:szCs w:val="20"/>
        </w:rPr>
        <w:t>Wrocławskie Centrum Integracji świadczy od kilku lat usługi gospodarcze na rzecz osób starszych, niepełnosprawnych, samotnych, korzystających z usług opiekuńczych przyznawanych przez MOPS. Usługami sprzątania objętych zostało łącznie 89 mieszkań, średnio 64 mieszkania w miesiącu. Uczestnicy WCI realizujący Indywidualny Program Zatrudnienia Socjalnego posprzątali ponad 38 tyś.m2 mieszkań, umyli blisko 300 okien oraz wyprali ponad 250,00 m2 dywanów. Z usług comiesięcznego prania pościeli korzystało blisko 80% klientów, z usług prania firan i zasłon przy usłudze mycia okien, korzystało niemal 100% klientów, którzy z powodu wieku i stanu zdrowia nie są w stanie samodzielnie wykonać tych czynności. Centrum zapewniało również środki chemii gospodarczej służące wykonaniu usług.</w:t>
      </w:r>
    </w:p>
    <w:p w:rsidR="00CA14AB" w:rsidRPr="00E00B35" w:rsidRDefault="00CA14AB" w:rsidP="00E00B35">
      <w:pPr>
        <w:spacing w:after="0" w:line="312" w:lineRule="auto"/>
        <w:rPr>
          <w:szCs w:val="20"/>
        </w:rPr>
      </w:pPr>
      <w:r w:rsidRPr="00E00B35">
        <w:rPr>
          <w:szCs w:val="20"/>
        </w:rPr>
        <w:t xml:space="preserve">Szacunkowy koszt rynkowy usług sprzątania wynosi ok. 245 tys. zł. </w:t>
      </w:r>
    </w:p>
    <w:p w:rsidR="00CA14AB" w:rsidRPr="00E00B35" w:rsidRDefault="00CA14AB" w:rsidP="00E00B35">
      <w:pPr>
        <w:spacing w:after="0" w:line="312" w:lineRule="auto"/>
        <w:rPr>
          <w:szCs w:val="20"/>
        </w:rPr>
      </w:pPr>
      <w:r w:rsidRPr="00E00B35">
        <w:rPr>
          <w:szCs w:val="20"/>
        </w:rPr>
        <w:t xml:space="preserve">Usługami remontowymi obejmowaliśmy lokal Stowarzyszenia Odra-Niemen. </w:t>
      </w:r>
      <w:r w:rsidRPr="00E00B35">
        <w:rPr>
          <w:szCs w:val="20"/>
        </w:rPr>
        <w:br/>
        <w:t xml:space="preserve">W lokalu o łącznej powierzchni 290 m2 wykonaliśmy prace remontowe </w:t>
      </w:r>
      <w:r w:rsidRPr="00E00B35">
        <w:rPr>
          <w:szCs w:val="20"/>
        </w:rPr>
        <w:br/>
        <w:t xml:space="preserve">20 pomieszczeń. Prace obejmowały m.in. usunięcie starych powłok ze ścian i sufitów, wyrównanie ubytków, malowanie, drobne prace płytkarskie, drobne prace konserwatorskie. </w:t>
      </w:r>
    </w:p>
    <w:p w:rsidR="00CA14AB" w:rsidRPr="00E00B35" w:rsidRDefault="00CA14AB" w:rsidP="00E00B35">
      <w:pPr>
        <w:spacing w:after="0" w:line="312" w:lineRule="auto"/>
        <w:rPr>
          <w:szCs w:val="20"/>
        </w:rPr>
      </w:pPr>
      <w:r w:rsidRPr="00E00B35">
        <w:rPr>
          <w:szCs w:val="20"/>
        </w:rPr>
        <w:t>Koszt wykonanych prac remontowych na rynku szacowany jest na ok. 15 tys. zł.</w:t>
      </w:r>
    </w:p>
    <w:p w:rsidR="00CA14AB" w:rsidRPr="00E00B35" w:rsidRDefault="00CA14AB" w:rsidP="00E00B35">
      <w:pPr>
        <w:spacing w:after="0" w:line="312" w:lineRule="auto"/>
        <w:rPr>
          <w:szCs w:val="20"/>
        </w:rPr>
      </w:pPr>
      <w:r w:rsidRPr="00E00B35">
        <w:rPr>
          <w:szCs w:val="20"/>
        </w:rPr>
        <w:t>Działania „Zero Waste”- prowadzenie Społecznej Lodówki.</w:t>
      </w:r>
    </w:p>
    <w:p w:rsidR="00CA14AB" w:rsidRPr="00E00B35" w:rsidRDefault="00CA14AB" w:rsidP="00E00B35">
      <w:pPr>
        <w:spacing w:after="0" w:line="312" w:lineRule="auto"/>
        <w:rPr>
          <w:szCs w:val="20"/>
        </w:rPr>
      </w:pPr>
      <w:r w:rsidRPr="00E00B35">
        <w:rPr>
          <w:szCs w:val="20"/>
        </w:rPr>
        <w:t>Promując ideę „Dziel się i częstuj” przeciwdziałającą marnowaniu się jedzenia, realizujemy przedsięwzięcie „Społecznej Lodówki”. W realizację działań włączeni się uczestnicy Wrocławskiego Centrum Integracji  Ze „Społecznej Lodówki” korzysta codziennie ok. 12 osób, w skali roku około 400 osób.</w:t>
      </w:r>
    </w:p>
    <w:p w:rsidR="00CA14AB" w:rsidRPr="00E00B35" w:rsidRDefault="00CA14AB" w:rsidP="00E00B35">
      <w:pPr>
        <w:spacing w:after="0" w:line="312" w:lineRule="auto"/>
        <w:rPr>
          <w:szCs w:val="20"/>
        </w:rPr>
      </w:pPr>
      <w:bookmarkStart w:id="518" w:name="_Toc72352472"/>
      <w:bookmarkStart w:id="519" w:name="_Toc72352906"/>
      <w:r w:rsidRPr="00E00B35">
        <w:rPr>
          <w:szCs w:val="20"/>
        </w:rPr>
        <w:lastRenderedPageBreak/>
        <w:t>III. Organizacja nieodpłatnych, kontrolowanych prac na cele społeczne, zasądzonych w ramach kary ograniczenia wolności w ramach Wrocławskiego Centrum Sprawiedliwości Naprawczej</w:t>
      </w:r>
      <w:bookmarkEnd w:id="518"/>
      <w:bookmarkEnd w:id="519"/>
      <w:r w:rsidR="00134DDF" w:rsidRPr="00E00B35">
        <w:rPr>
          <w:szCs w:val="20"/>
        </w:rPr>
        <w:t>.</w:t>
      </w:r>
    </w:p>
    <w:p w:rsidR="00CA14AB" w:rsidRPr="00E00B35" w:rsidRDefault="00CA14AB" w:rsidP="00E00B35">
      <w:pPr>
        <w:spacing w:after="0" w:line="312" w:lineRule="auto"/>
        <w:rPr>
          <w:szCs w:val="20"/>
        </w:rPr>
      </w:pPr>
      <w:r w:rsidRPr="00E00B35">
        <w:rPr>
          <w:szCs w:val="20"/>
        </w:rPr>
        <w:t>Od 2009 r. WCI realizuje zadanie własne Gminy Wrocław, polegające na organizacji warunków wykonywania nieodpłatnych, kontrolowanych prac na cele społeczne przez osoby skazane na karę ograniczenia wolności. Prace organizowane są na podstawie rozporządzenia Ministra Sprawiedliwości z dnia 01.06.2010 r. w sprawie podmiotów, w których jest wykonywana kara ograniczenia wolności oraz praca społecznie użyteczna (Dz. U. z 2010r., nr 98, poz. 634).</w:t>
      </w:r>
    </w:p>
    <w:p w:rsidR="00CA14AB" w:rsidRPr="00E00B35" w:rsidRDefault="00CA14AB" w:rsidP="00E00B35">
      <w:pPr>
        <w:spacing w:after="0" w:line="312" w:lineRule="auto"/>
        <w:rPr>
          <w:szCs w:val="20"/>
        </w:rPr>
      </w:pPr>
      <w:r w:rsidRPr="00E00B35">
        <w:rPr>
          <w:szCs w:val="20"/>
        </w:rPr>
        <w:t xml:space="preserve">W ramach zadania WCI współpracuje z trzema sądami rejonowymi: dla Wrocławia-Krzyków, dla Wrocławia-Fabrycznej i dla Wrocławia-Śródmieścia oraz kuratorami zawodowymi okręgu wrocławskiego. </w:t>
      </w:r>
    </w:p>
    <w:p w:rsidR="00CA14AB" w:rsidRPr="00E00B35" w:rsidRDefault="00CA14AB" w:rsidP="00E00B35">
      <w:pPr>
        <w:spacing w:after="0" w:line="312" w:lineRule="auto"/>
        <w:rPr>
          <w:szCs w:val="20"/>
        </w:rPr>
      </w:pPr>
      <w:r w:rsidRPr="00E00B35">
        <w:rPr>
          <w:szCs w:val="20"/>
        </w:rPr>
        <w:t>Decyzją Wojewody Dolnośląskiego, w okresie od 13.03.2020 r. - 24.05.2020 r. działalność Wrocławskiego Centrum Integracji została zawieszona z powodu pandemii SARS-CoV-19. Pomimo to w 2020 roku, podobnie jak w poprzednich latach, liczba osób kierowanych do Wrocławskiego Centrum Integracji wzrosła. Sądy rejonowe skierowały do WCI łącznie 858 osób, co oznacza wzrost liczby przyjętych osób o ponad 10,42% w porównaniu z rokiem 2019. Od 2009 roku (tj. od początku włączenia WCI w organizację warunków wykonywania kary ograniczenia wolności we Wrocławiu), liczba osób skazanych skierowanych do Wrocławskiego Centrum Integracji wzrosła ponad 11-krotnie.</w:t>
      </w:r>
    </w:p>
    <w:p w:rsidR="00CA14AB" w:rsidRPr="00E00B35" w:rsidRDefault="00CA14AB" w:rsidP="00E00B35">
      <w:pPr>
        <w:spacing w:after="0" w:line="312" w:lineRule="auto"/>
        <w:rPr>
          <w:szCs w:val="20"/>
        </w:rPr>
      </w:pPr>
      <w:r w:rsidRPr="00E00B35">
        <w:rPr>
          <w:szCs w:val="20"/>
        </w:rPr>
        <w:t>Tabela 1: Liczba osób kierowanych przez Sądy do Wrocławskiego Centrum Integracji</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5751195" cy="3080385"/>
            <wp:effectExtent l="19050" t="0" r="1905" b="0"/>
            <wp:docPr id="86" name="Obraz 5" descr="Wykres przedstawia liczby osób skierowanych przez Sądy do WCI: V-VIII 2009 – 74 osoby, 2010 – 111 osób, 2011 – 154 osoby, 2012 – 213 osób, 2013 – 271 osób, 2014 – 249 osób, 2015 – 251 osób, 2016 – 577 osób, 2017 – 716 osób, 2018 – 759 osób, 2019 – 780 osób, 2020 – 858 osó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Wykres przedstawia liczby osób skierowanych przez Sądy do WCI: V-VIII 2009 – 74 osoby, 2010 – 111 osób, 2011 – 154 osoby, 2012 – 213 osób, 2013 – 271 osób, 2014 – 249 osób, 2015 – 251 osób, 2016 – 577 osób, 2017 – 716 osób, 2018 – 759 osób, 2019 – 780 osób, 2020 – 858 osób"/>
                    <pic:cNvPicPr>
                      <a:picLocks noChangeAspect="1" noChangeArrowheads="1"/>
                    </pic:cNvPicPr>
                  </pic:nvPicPr>
                  <pic:blipFill>
                    <a:blip r:embed="rId139" cstate="print">
                      <a:grayscl/>
                      <a:biLevel thresh="50000"/>
                    </a:blip>
                    <a:srcRect/>
                    <a:stretch>
                      <a:fillRect/>
                    </a:stretch>
                  </pic:blipFill>
                  <pic:spPr bwMode="auto">
                    <a:xfrm>
                      <a:off x="0" y="0"/>
                      <a:ext cx="5751195" cy="308038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Wykres przedstawia liczby osób skierowanych przez Sądy do WCI: V-VIII 2009 – 74 osoby, 2010 – 111 osób, 2011 – 154 osoby, 2012 – 213 osób, 2013 – 271 osób, 2014 – 249 osób, 2015 – 251 osób, 2016 – 577 osób, 2017 – 716 osób, 2018 – 759 osób, 2019 – 780 osób, 2020 – 858 osób</w:t>
      </w:r>
    </w:p>
    <w:p w:rsidR="00CA14AB" w:rsidRPr="00E00B35" w:rsidRDefault="00CA14AB" w:rsidP="00E00B35">
      <w:pPr>
        <w:spacing w:after="0" w:line="312" w:lineRule="auto"/>
        <w:rPr>
          <w:szCs w:val="20"/>
        </w:rPr>
      </w:pPr>
      <w:r w:rsidRPr="00E00B35">
        <w:rPr>
          <w:szCs w:val="20"/>
        </w:rPr>
        <w:t xml:space="preserve">W 2020 r. drugi z podmiotów wyznaczonych przez Gminę Wrocław do organizacji kary ograniczenia wolności, tj. Stowarzyszenie Pomocy „Ludzie Ludziom”, zrezygnował </w:t>
      </w:r>
      <w:r w:rsidRPr="00E00B35">
        <w:rPr>
          <w:szCs w:val="20"/>
        </w:rPr>
        <w:br/>
        <w:t xml:space="preserve">z realizacji tego zadania z dniem 31.12.2020 roku. W związku w powyższym podjęto </w:t>
      </w:r>
      <w:r w:rsidRPr="00E00B35">
        <w:rPr>
          <w:szCs w:val="20"/>
        </w:rPr>
        <w:lastRenderedPageBreak/>
        <w:t>szereg działań służących przygotowaniu Wrocławskiego Centrum Integracji do koordynowania z dniem 01.01.2021 roku całości organizacji prac na cele społeczne.</w:t>
      </w:r>
    </w:p>
    <w:p w:rsidR="00CA14AB" w:rsidRPr="00E00B35" w:rsidRDefault="00CA14AB" w:rsidP="00E00B35">
      <w:pPr>
        <w:spacing w:after="0" w:line="312" w:lineRule="auto"/>
        <w:rPr>
          <w:szCs w:val="20"/>
        </w:rPr>
      </w:pPr>
      <w:r w:rsidRPr="00E00B35">
        <w:rPr>
          <w:szCs w:val="20"/>
        </w:rPr>
        <w:t>W 2020 r. liczba partnerów zaangażowanych w organizację warunków do wykonywania prac na cele społeczne wzrosła o 25. W 2020 roku WCI współpracowało łącznie z 81 partnerami lokalnymi, m.in. szkołami, przedszkolami, organizacjami pozarządowymi, radami osiedli, parafiami. Skazani włączani byli do prac porządkowych, konserwatorskich, naprawczych, drobnych prac remontowo-budowlanych. Osoby skierowane przez Sądy, były angażowane do prac związanych z utrzymaniem i właściwym funkcjonowaniem obiektów i terenów zielonych, a ich praca przyniosła wymierne korzyści zarówno podopiecznym podmiotów współpracujących, jak i całej społeczności lokalnej.</w:t>
      </w:r>
    </w:p>
    <w:p w:rsidR="00CA14AB" w:rsidRPr="00E00B35" w:rsidRDefault="00CA14AB" w:rsidP="00E00B35">
      <w:pPr>
        <w:spacing w:after="0" w:line="312" w:lineRule="auto"/>
        <w:rPr>
          <w:szCs w:val="20"/>
        </w:rPr>
      </w:pPr>
      <w:r w:rsidRPr="00E00B35">
        <w:rPr>
          <w:szCs w:val="20"/>
        </w:rPr>
        <w:t>Obserwujemy znaczący wzrost liczby spraw kierowanych przez kuratorów zawodowych do Wrocławskiego Centrum Integracji  oraz wzrost sumarycznej liczby godzin społecznych zasądzonych do odpracowania. W 2020 roku łącznie zasądzono do odpracowania 139 939 godzin – o 17 580 godzin więcej, niż w roku poprzednim. Oznacza to, że od 2009 roku liczba zasądzonych godzin prac na cele społeczne wzrosła 15-krotnie.</w:t>
      </w:r>
    </w:p>
    <w:p w:rsidR="00CA14AB" w:rsidRPr="00E00B35" w:rsidRDefault="00CA14AB" w:rsidP="00E00B35">
      <w:pPr>
        <w:spacing w:after="0" w:line="312" w:lineRule="auto"/>
        <w:rPr>
          <w:szCs w:val="20"/>
        </w:rPr>
      </w:pPr>
      <w:r w:rsidRPr="00E00B35">
        <w:rPr>
          <w:szCs w:val="20"/>
        </w:rPr>
        <w:t>Tabela 2: Liczba godzin społecznych zasądzonych przez Sądy Rejonowe</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5751195" cy="2815590"/>
            <wp:effectExtent l="19050" t="0" r="1905" b="0"/>
            <wp:docPr id="85" name="Obraz 4" descr="Wykres przedstawia liczby godzin społecznych zasądzonych przez Sądy Rejonowe w latach: V - XII 2009 - 9300 godz., 2010 - 10914 godz., 2011 - 16678 godz., 2012 - 20192 godz., 2013 - 21515 godz., 2014 - 17588 godz., 2015 - 16570 godz., 2016 - 72845 godz., 2017 - 99342 godz., 2018 - 112033 godz., 2019 - 122359 godz., 2020 - 139939 god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Wykres przedstawia liczby godzin społecznych zasądzonych przez Sądy Rejonowe w latach: V - XII 2009 - 9300 godz., 2010 - 10914 godz., 2011 - 16678 godz., 2012 - 20192 godz., 2013 - 21515 godz., 2014 - 17588 godz., 2015 - 16570 godz., 2016 - 72845 godz., 2017 - 99342 godz., 2018 - 112033 godz., 2019 - 122359 godz., 2020 - 139939 godz."/>
                    <pic:cNvPicPr>
                      <a:picLocks noChangeAspect="1" noChangeArrowheads="1"/>
                    </pic:cNvPicPr>
                  </pic:nvPicPr>
                  <pic:blipFill>
                    <a:blip r:embed="rId140" cstate="print">
                      <a:grayscl/>
                      <a:biLevel thresh="50000"/>
                    </a:blip>
                    <a:srcRect/>
                    <a:stretch>
                      <a:fillRect/>
                    </a:stretch>
                  </pic:blipFill>
                  <pic:spPr bwMode="auto">
                    <a:xfrm>
                      <a:off x="0" y="0"/>
                      <a:ext cx="5751195" cy="2815590"/>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Wykres przedstawia liczby godzin społecznych zasądzonych przez Sądy Rejonowe w latach: V - XII 2009 - 9300 godz., 2010 - 10914 godz., 2011 - 16678 godz., 2012 - 20192 godz., 2013 - 21515 godz., 2014 - 17588 godz., 2015 - 16570 godz., 2016 - 72845 godz., 2017 - 99342 godz., 2018 - 112033 godz., 2019 - 122359 godz., 2020 - 139939 godz.</w:t>
      </w:r>
    </w:p>
    <w:p w:rsidR="00CA14AB" w:rsidRPr="00E00B35" w:rsidRDefault="00CA14AB" w:rsidP="00E00B35">
      <w:pPr>
        <w:spacing w:after="0" w:line="312" w:lineRule="auto"/>
        <w:rPr>
          <w:szCs w:val="20"/>
        </w:rPr>
      </w:pPr>
      <w:r w:rsidRPr="00E00B35">
        <w:rPr>
          <w:szCs w:val="20"/>
        </w:rPr>
        <w:t>Tabela 3: Liczba godzin społecznych odpracowanych nieodpłatnie na rzecz społeczności lokalnej</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5751195" cy="2550795"/>
            <wp:effectExtent l="19050" t="0" r="1905" b="0"/>
            <wp:docPr id="83" name="Obraz 3" descr="Wykres przedstawia liczby godzin społecznych odpracowanych na rzecz społeczności lokalnej: V - XII 2009 - 3909 godz., 2010 - 5583  godz., 2011 - 7763 godz., 2012 - 10973 godz., 2013 - 10616 godz., 2014 - 8831 godz., 2015 - 10181 godz., 2016 - 24285 godz., 2017 - 42469 godz., 2018 - 54038 godz., 2019 - 63485 godz., 2020 - 59766 god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Wykres przedstawia liczby godzin społecznych odpracowanych na rzecz społeczności lokalnej: V - XII 2009 - 3909 godz., 2010 - 5583  godz., 2011 - 7763 godz., 2012 - 10973 godz., 2013 - 10616 godz., 2014 - 8831 godz., 2015 - 10181 godz., 2016 - 24285 godz., 2017 - 42469 godz., 2018 - 54038 godz., 2019 - 63485 godz., 2020 - 59766 godz."/>
                    <pic:cNvPicPr>
                      <a:picLocks noChangeAspect="1" noChangeArrowheads="1"/>
                    </pic:cNvPicPr>
                  </pic:nvPicPr>
                  <pic:blipFill>
                    <a:blip r:embed="rId141" cstate="print">
                      <a:grayscl/>
                      <a:biLevel thresh="50000"/>
                    </a:blip>
                    <a:srcRect/>
                    <a:stretch>
                      <a:fillRect/>
                    </a:stretch>
                  </pic:blipFill>
                  <pic:spPr bwMode="auto">
                    <a:xfrm>
                      <a:off x="0" y="0"/>
                      <a:ext cx="5751195" cy="255079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Wykres przedstawia liczby godzin społecznych odpracowanych na rzecz społeczności lokalnej: V - XII 2009 - 3909 godz., 2010 - 5583  godz., 2011 - 7763 godz., 2012 - 10973 godz., 2013 - 10616 godz., 2014 - 8831 godz., 2015 - 10181 godz., 2016 - 24285 godz., 2017 - 42469 godz., 2018 - 54038 godz., 2019 - 63485 godz., 2020 - 59766 godz.</w:t>
      </w:r>
    </w:p>
    <w:p w:rsidR="00CA14AB" w:rsidRPr="00E00B35" w:rsidRDefault="00CA14AB" w:rsidP="00E00B35">
      <w:pPr>
        <w:spacing w:after="0" w:line="312" w:lineRule="auto"/>
        <w:rPr>
          <w:szCs w:val="20"/>
        </w:rPr>
      </w:pPr>
      <w:r w:rsidRPr="00E00B35">
        <w:rPr>
          <w:szCs w:val="20"/>
        </w:rPr>
        <w:t>W okresie sprawozdawczym osoby skazane odpracowały 59 766 godzin na rzecz społeczności lokalnej. Od 2009 roku ponad 15-krotnie wzrosła liczba odpracowanych godzin społecznych.</w:t>
      </w:r>
    </w:p>
    <w:p w:rsidR="00CA14AB" w:rsidRPr="00E00B35" w:rsidRDefault="00CA14AB" w:rsidP="00E00B35">
      <w:pPr>
        <w:spacing w:after="0" w:line="312" w:lineRule="auto"/>
        <w:rPr>
          <w:szCs w:val="20"/>
        </w:rPr>
      </w:pPr>
      <w:r w:rsidRPr="00E00B35">
        <w:rPr>
          <w:szCs w:val="20"/>
        </w:rPr>
        <w:t>W roku 2020 liczba odpracowanych godzin spadła w porównaniu z rokiem 2019. Spadek spowodowany był sytuacją pandemiczną, w następstwie której, u większości podmiotów partnerskich, prace społeczne zostały wstrzymane na okres od kilku tygodniu do kilku miesięcy.</w:t>
      </w:r>
    </w:p>
    <w:p w:rsidR="00CA14AB" w:rsidRPr="00E00B35" w:rsidRDefault="00CA14AB" w:rsidP="00E00B35">
      <w:pPr>
        <w:spacing w:after="0" w:line="312" w:lineRule="auto"/>
        <w:rPr>
          <w:szCs w:val="20"/>
        </w:rPr>
      </w:pPr>
      <w:r w:rsidRPr="00E00B35">
        <w:rPr>
          <w:szCs w:val="20"/>
        </w:rPr>
        <w:t xml:space="preserve">Prace społeczne organizowane były w nurcie idei sprawiedliwości naprawczej. Prace </w:t>
      </w:r>
      <w:r w:rsidRPr="00E00B35">
        <w:rPr>
          <w:szCs w:val="20"/>
        </w:rPr>
        <w:br/>
        <w:t>te wpisują się w założenia Rekomendacji Nr CM/Rec(2018)8 Komitetu Ministrów [Rady Europy] dla państw członkowskich dotyczącej sprawiedliwości naprawczej w sprawach karnych.</w:t>
      </w:r>
    </w:p>
    <w:p w:rsidR="00CA14AB" w:rsidRPr="00E00B35" w:rsidRDefault="00CA14AB" w:rsidP="00E00B35">
      <w:pPr>
        <w:spacing w:after="0" w:line="312" w:lineRule="auto"/>
        <w:rPr>
          <w:szCs w:val="20"/>
        </w:rPr>
      </w:pPr>
      <w:r w:rsidRPr="00E00B35">
        <w:rPr>
          <w:szCs w:val="20"/>
        </w:rPr>
        <w:t xml:space="preserve">Zadanie jest prezentowane jako dobra praktyka w ramach międzynarodowego projektu Restorative Justice for Change oraz ujmowane w wystąpieniach ekspertów krajowych i międzynarodowych, m.in. dr Annę Matczak z Uniwersytetu w Hadze, dr Beatę Czarnecką-Dzialuk z Państwowej Akademii Nauk, dr Iana Mardera z Maynooth University w Irlandii. </w:t>
      </w:r>
    </w:p>
    <w:p w:rsidR="00CA14AB" w:rsidRPr="00E00B35" w:rsidRDefault="00CA14AB" w:rsidP="00E00B35">
      <w:pPr>
        <w:spacing w:after="0" w:line="312" w:lineRule="auto"/>
        <w:rPr>
          <w:szCs w:val="20"/>
        </w:rPr>
      </w:pPr>
      <w:r w:rsidRPr="00E00B35">
        <w:rPr>
          <w:szCs w:val="20"/>
        </w:rPr>
        <w:t xml:space="preserve">Od 2020 roku przedstawiciele WCSN włączeni są do udziału w regularnych spotkaniach roboczych Europejskiego Forum Sprawiedliwości Naprawczej – prestiżowego gremium ekspertów, badaczy, praktyków i specjalistów w dziedzinie sprawiedliwości naprawczej </w:t>
      </w:r>
      <w:r w:rsidRPr="00E00B35">
        <w:rPr>
          <w:szCs w:val="20"/>
        </w:rPr>
        <w:br/>
        <w:t xml:space="preserve">z ponad 40 krajów Europy i świata.  </w:t>
      </w:r>
    </w:p>
    <w:p w:rsidR="00CA14AB" w:rsidRPr="00E00B35" w:rsidRDefault="00CA14AB" w:rsidP="00E00B35">
      <w:pPr>
        <w:spacing w:after="0" w:line="312" w:lineRule="auto"/>
        <w:rPr>
          <w:szCs w:val="20"/>
        </w:rPr>
      </w:pPr>
      <w:r w:rsidRPr="00E00B35">
        <w:rPr>
          <w:szCs w:val="20"/>
        </w:rPr>
        <w:t xml:space="preserve">Od 2016 r. Wrocławskie Centrum Integracji  obsługuje internetowe Centrum Zgłoszeń – www.wcsn.pl, za pośrednictwem którego drogą elektroniczną Mieszkańcy zgłaszają elementy mowy nienawiści pojawiające się w przestrzeni miejskiej Wrocławia. Centrum jest odpowiedzialne za koordynację działań związanych z eliminowaniem następstw wandalizmu w przestrzeni miejskiej, w tym: weryfikację zgłoszeń, ustalanie zarządców </w:t>
      </w:r>
      <w:r w:rsidRPr="00E00B35">
        <w:rPr>
          <w:szCs w:val="20"/>
        </w:rPr>
        <w:lastRenderedPageBreak/>
        <w:t xml:space="preserve">nieruchomości, określanie zakresu prac, dobór materiałów oraz usuwanie zgłoszonych elementów mowy nienawiści przy udziale osób odbywających karę ograniczenia wolności. </w:t>
      </w:r>
    </w:p>
    <w:p w:rsidR="00CA14AB" w:rsidRPr="00E00B35" w:rsidRDefault="00CA14AB" w:rsidP="00E00B35">
      <w:pPr>
        <w:spacing w:after="0" w:line="312" w:lineRule="auto"/>
        <w:rPr>
          <w:szCs w:val="20"/>
        </w:rPr>
      </w:pPr>
      <w:r w:rsidRPr="00E00B35">
        <w:rPr>
          <w:szCs w:val="20"/>
        </w:rPr>
        <w:t xml:space="preserve">W 2020 r. przyjęto 262 zgłoszenia mieszkańców, w następstwie których  usunięto 1150 napisów i symboli nawołujących do nienawiści. W porównaniu z rokiem 2019 nastąpił wzrost o ponad 9% w zakresie ilości nienawistnych napisów i symboli usuniętych z przestrzeni miejskiej. Prace realizowane były przez osoby skazane, wykonujące prace społeczne na rzecz Wrocławskiego Centrum Integracji i nadzorowane przez zespół Wrocławskiego Centrum Sprawiedliwości Naprawczej. </w:t>
      </w:r>
    </w:p>
    <w:p w:rsidR="00CA14AB" w:rsidRPr="00E00B35" w:rsidRDefault="00CA14AB" w:rsidP="00E00B35">
      <w:pPr>
        <w:spacing w:after="0" w:line="312" w:lineRule="auto"/>
        <w:rPr>
          <w:szCs w:val="20"/>
        </w:rPr>
      </w:pPr>
      <w:r w:rsidRPr="00E00B35">
        <w:rPr>
          <w:szCs w:val="20"/>
        </w:rPr>
        <w:t>Od 2016 roku, tj. od czasu włączenia usuwania mowy nienawiści z przestrzeni miejskiej do katalogu prac społecznych,  liczba usuwanych nienawistnych napisów wzrosła prawie 6-krotnie.</w:t>
      </w:r>
    </w:p>
    <w:p w:rsidR="00CA14AB" w:rsidRPr="00E00B35" w:rsidRDefault="00CA14AB" w:rsidP="00E00B35">
      <w:pPr>
        <w:spacing w:after="0" w:line="312" w:lineRule="auto"/>
        <w:rPr>
          <w:szCs w:val="20"/>
        </w:rPr>
      </w:pPr>
      <w:bookmarkStart w:id="520" w:name="_Toc72352473"/>
      <w:bookmarkStart w:id="521" w:name="_Toc72352907"/>
      <w:r w:rsidRPr="00E00B35">
        <w:rPr>
          <w:szCs w:val="20"/>
        </w:rPr>
        <w:t>IV. Organizacja opieki nad dziećmi do lat 3 w punktach opieki dziennej</w:t>
      </w:r>
      <w:bookmarkEnd w:id="520"/>
      <w:bookmarkEnd w:id="521"/>
    </w:p>
    <w:p w:rsidR="00CA14AB" w:rsidRPr="00E00B35" w:rsidRDefault="00CA14AB" w:rsidP="00E00B35">
      <w:pPr>
        <w:spacing w:after="0" w:line="312" w:lineRule="auto"/>
        <w:rPr>
          <w:szCs w:val="20"/>
        </w:rPr>
      </w:pPr>
      <w:r w:rsidRPr="00E00B35">
        <w:rPr>
          <w:szCs w:val="20"/>
        </w:rPr>
        <w:t xml:space="preserve">Od 2014 roku Wrocławskie Centrum Integracji realizuje zadanie „Wrocławski Opiekun Dzienny” polegające na organizowaniu opieki nad dziećmi w wieku do lat 3, w celu umożliwienia Rodzicom/opiekunom prawnym powrót na rynek pracy lub kontynuowanie zatrudnienia.  Zadanie realizowane jest w oparciu o ustawę o opiece nad dziećmi w wieku do lat 3 i stanowi kontynuację projektu „Wdrożenie programu opieki dziennej nad dziećmi do lat § 3 na terenie Gminy Wrocław”  oraz „Rodzice na Start!”.  </w:t>
      </w:r>
    </w:p>
    <w:p w:rsidR="00CA14AB" w:rsidRPr="00E00B35" w:rsidRDefault="00CA14AB" w:rsidP="00E00B35">
      <w:pPr>
        <w:spacing w:after="0" w:line="312" w:lineRule="auto"/>
        <w:rPr>
          <w:szCs w:val="20"/>
        </w:rPr>
      </w:pPr>
      <w:r w:rsidRPr="00E00B35">
        <w:rPr>
          <w:szCs w:val="20"/>
        </w:rPr>
        <w:t>W ram</w:t>
      </w:r>
      <w:r w:rsidR="00134DDF" w:rsidRPr="00E00B35">
        <w:rPr>
          <w:szCs w:val="20"/>
        </w:rPr>
        <w:t>ach zadania koordynujemy proces</w:t>
      </w:r>
      <w:r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ogłaszania konkursów i zatrudniania Opiekunów Dziennych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upowszechniania idei opieki domowej wśród rodziców dzieci do lat 3</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organizowania i  dofinansowywania op</w:t>
      </w:r>
      <w:r w:rsidR="002F38DA" w:rsidRPr="00E00B35">
        <w:rPr>
          <w:szCs w:val="20"/>
        </w:rPr>
        <w:t>ieki w Punktach Opieki Dziennej,</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wypo</w:t>
      </w:r>
      <w:r w:rsidR="002F38DA" w:rsidRPr="00E00B35">
        <w:rPr>
          <w:szCs w:val="20"/>
        </w:rPr>
        <w:t>sażania Punktów Opieki Dziennej,</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monitorowania jakości sprawowanej opieki</w:t>
      </w:r>
      <w:r w:rsidR="002F38DA"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wspierania rodziców i opiekunów dziennej  w formie wsparcia psychologicznego</w:t>
      </w:r>
      <w:r w:rsidR="002F38DA" w:rsidRPr="00E00B35">
        <w:rPr>
          <w:szCs w:val="20"/>
        </w:rPr>
        <w:t>.</w:t>
      </w:r>
    </w:p>
    <w:p w:rsidR="00CA14AB" w:rsidRPr="00E00B35" w:rsidRDefault="00CA14AB" w:rsidP="00E00B35">
      <w:pPr>
        <w:spacing w:after="0" w:line="312" w:lineRule="auto"/>
        <w:rPr>
          <w:szCs w:val="20"/>
        </w:rPr>
      </w:pPr>
      <w:r w:rsidRPr="00E00B35">
        <w:rPr>
          <w:szCs w:val="20"/>
        </w:rPr>
        <w:t>Korzyści świadczenia usług przez Opiekunów Dziennych: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opieka w warunkach domowych</w:t>
      </w:r>
      <w:r w:rsidR="002F38DA"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indywidualne podejście do dzieci</w:t>
      </w:r>
      <w:r w:rsidR="002F38DA"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dostępność opieki przez 10 godzin dziennie</w:t>
      </w:r>
      <w:r w:rsidR="002F38DA"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małe grupy dzieci</w:t>
      </w:r>
      <w:r w:rsidR="002F38DA"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usytuowanie punktów w lokalizacjach dużego zapotrzebowania na opiekę nad dziećmi</w:t>
      </w:r>
      <w:r w:rsidR="002F38DA" w:rsidRPr="00E00B35">
        <w:rPr>
          <w:szCs w:val="20"/>
        </w:rPr>
        <w:t>,</w:t>
      </w:r>
      <w:r w:rsidRPr="00E00B35">
        <w:rPr>
          <w:szCs w:val="20"/>
        </w:rPr>
        <w:t xml:space="preserve">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Gmina Wrocław nie ponosi kosztów związanych z infrastrukturą</w:t>
      </w:r>
      <w:r w:rsidR="002F38DA"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niskie opłaty dla rodziców, w 2020r. wynosiły ok. 500 zł/m-c dzięki dofinansowaniu ze środków Gminy Wrocław</w:t>
      </w:r>
      <w:r w:rsidR="002F38DA" w:rsidRPr="00E00B35">
        <w:rPr>
          <w:szCs w:val="20"/>
        </w:rPr>
        <w:t>.</w:t>
      </w:r>
    </w:p>
    <w:p w:rsidR="00CA14AB" w:rsidRPr="00E00B35" w:rsidRDefault="00CA14AB" w:rsidP="00E00B35">
      <w:pPr>
        <w:spacing w:after="0" w:line="312" w:lineRule="auto"/>
        <w:rPr>
          <w:szCs w:val="20"/>
        </w:rPr>
      </w:pPr>
      <w:r w:rsidRPr="00E00B35">
        <w:rPr>
          <w:szCs w:val="20"/>
        </w:rPr>
        <w:t>W 2020 roku w ramach zadania Wrocławski Opiekun Dzienny zatrudnienie podjęło/kontynuowało 26 Opiekunów Dziennych, którzy prowadzą Punkty Opieki Dziennej (POD). Z usług opiekuńczych świadczonych przez 26 Dziennych Opiekunów skorzystało w ubiegłym roku 183 rodziców dzieci w wieku od 20 tygodnia życia do 3 lat, powierzając 187 dzieci pod opiekę.</w:t>
      </w:r>
    </w:p>
    <w:p w:rsidR="00CA14AB" w:rsidRPr="00E00B35" w:rsidRDefault="00CA14AB" w:rsidP="00E00B35">
      <w:pPr>
        <w:spacing w:after="0" w:line="312" w:lineRule="auto"/>
        <w:rPr>
          <w:szCs w:val="20"/>
        </w:rPr>
      </w:pPr>
      <w:r w:rsidRPr="00E00B35">
        <w:rPr>
          <w:szCs w:val="20"/>
        </w:rPr>
        <w:t xml:space="preserve">Punkty Opieki Dziennej otwarte w ramach projektu „Rodzice na start” zapewniały 46 miejsc opieki nad dziećmi do lat 3, z których skorzystało łącznie 94 dzieci. Dodatkowo w ramach projektu „Rodzice na start!” wspieraliśmy rodziców/opiekunów prawnych dzieci </w:t>
      </w:r>
      <w:r w:rsidRPr="00E00B35">
        <w:rPr>
          <w:szCs w:val="20"/>
        </w:rPr>
        <w:lastRenderedPageBreak/>
        <w:t xml:space="preserve">do lat 3 w zakresie aktywizacji zawodowej umożliwiając konsultacje indywidualne </w:t>
      </w:r>
      <w:r w:rsidRPr="00E00B35">
        <w:rPr>
          <w:szCs w:val="20"/>
        </w:rPr>
        <w:br/>
        <w:t>i grupowe z doradcą zawodowym.</w:t>
      </w:r>
    </w:p>
    <w:p w:rsidR="00CA14AB" w:rsidRPr="00E00B35" w:rsidRDefault="00CA14AB" w:rsidP="00E00B35">
      <w:pPr>
        <w:spacing w:after="0" w:line="312" w:lineRule="auto"/>
        <w:rPr>
          <w:szCs w:val="20"/>
        </w:rPr>
      </w:pPr>
      <w:r w:rsidRPr="00E00B35">
        <w:rPr>
          <w:szCs w:val="20"/>
        </w:rPr>
        <w:t>Mimo pandemii i obaw rodziców prowadzone Punkty Opieki Dziennej dla dzieci do lat 3 miały w 2020</w:t>
      </w:r>
      <w:r w:rsidR="00E34F9A" w:rsidRPr="00E00B35">
        <w:rPr>
          <w:szCs w:val="20"/>
        </w:rPr>
        <w:t xml:space="preserve"> </w:t>
      </w:r>
      <w:r w:rsidRPr="00E00B35">
        <w:rPr>
          <w:szCs w:val="20"/>
        </w:rPr>
        <w:t>r. pełne obłożenie.</w:t>
      </w:r>
    </w:p>
    <w:p w:rsidR="00CA14AB" w:rsidRPr="00E00B35" w:rsidRDefault="00CA14AB" w:rsidP="00E00B35">
      <w:pPr>
        <w:spacing w:after="0" w:line="312" w:lineRule="auto"/>
        <w:rPr>
          <w:szCs w:val="20"/>
        </w:rPr>
      </w:pPr>
      <w:r w:rsidRPr="00E00B35">
        <w:rPr>
          <w:szCs w:val="20"/>
        </w:rPr>
        <w:t xml:space="preserve">W 2020 r. Wrocławskie Centrum Integracji prowadziło łącznie 26 Punktów Opieki Dziennej dając tym samym zatrudnienie 26 Opiekunom Dziennym oraz udostępniając 127 miejsc opieki dla dzieci poniżej 3 roku życia. Średnia frekwencja dzieci </w:t>
      </w:r>
      <w:r w:rsidRPr="00E00B35">
        <w:rPr>
          <w:szCs w:val="20"/>
        </w:rPr>
        <w:br/>
        <w:t>w Punktach Opieki Dziennej, mimo zagrożenia epidemicznego była wysoka i wynosiła przeszło 70%.</w:t>
      </w:r>
    </w:p>
    <w:p w:rsidR="00CA14AB" w:rsidRPr="00E00B35" w:rsidRDefault="00CA14AB" w:rsidP="00E00B35">
      <w:pPr>
        <w:spacing w:after="0" w:line="312" w:lineRule="auto"/>
        <w:rPr>
          <w:szCs w:val="20"/>
        </w:rPr>
      </w:pPr>
      <w:bookmarkStart w:id="522" w:name="_Toc72352474"/>
      <w:bookmarkStart w:id="523" w:name="_Toc72352908"/>
      <w:r w:rsidRPr="00E00B35">
        <w:rPr>
          <w:szCs w:val="20"/>
        </w:rPr>
        <w:t xml:space="preserve">V. Wsparcie na rynku pracy obcokrajowców mieszkających i pracujących </w:t>
      </w:r>
      <w:r w:rsidRPr="00E00B35">
        <w:rPr>
          <w:szCs w:val="20"/>
        </w:rPr>
        <w:br/>
        <w:t>we Wrocławiu w ramach projektu społecznego „Wrocław na językach świata”</w:t>
      </w:r>
      <w:bookmarkEnd w:id="522"/>
      <w:bookmarkEnd w:id="523"/>
    </w:p>
    <w:p w:rsidR="00CA14AB" w:rsidRPr="00E00B35" w:rsidRDefault="00CA14AB" w:rsidP="00E00B35">
      <w:pPr>
        <w:spacing w:after="0" w:line="312" w:lineRule="auto"/>
        <w:rPr>
          <w:szCs w:val="20"/>
        </w:rPr>
      </w:pPr>
      <w:r w:rsidRPr="00E00B35">
        <w:rPr>
          <w:szCs w:val="20"/>
        </w:rPr>
        <w:t xml:space="preserve">Od września 2016 r. WCI realizuje projekt społeczny „Wrocław na językach świata”. W ramach projektu mieszkańcy Wrocławia jako wolontariusze uczą obcokrajowców mieszkających- studiujących lub pracujących we Wrocławiu, posługiwania się językiem polskim. Celem projektu jest zwiększenie kompetencji językowych cudzoziemców, a co za tym idzie ułatwianie im funkcjonowania w środowisku pracy oraz we wrocławskiej społeczności. Na potrzeby projektu stworzyliśmy platformę internetową: www.wnjs.pl. Platforma internetowa dostępna jest w 3 wersjach językowych – polskiej, angielskiej </w:t>
      </w:r>
      <w:r w:rsidRPr="00E00B35">
        <w:rPr>
          <w:szCs w:val="20"/>
        </w:rPr>
        <w:br/>
        <w:t>i ukraińskiej.</w:t>
      </w:r>
    </w:p>
    <w:p w:rsidR="00CA14AB" w:rsidRPr="00E00B35" w:rsidRDefault="00CA14AB" w:rsidP="00E00B35">
      <w:pPr>
        <w:spacing w:after="0" w:line="312" w:lineRule="auto"/>
        <w:rPr>
          <w:szCs w:val="20"/>
        </w:rPr>
      </w:pPr>
      <w:r w:rsidRPr="00E00B35">
        <w:rPr>
          <w:szCs w:val="20"/>
        </w:rPr>
        <w:t>W 2020 roku zarejestrowało się na platformie internetowej:</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160 wolontariuszy (21 osób mniej niż w roku 2019 – spadek spowodowany pandemią), od początku projektu do końca roku 2020  - 815 wolontariuszy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373 obcokrajowców (144 osób mniej niż w roku 2019 – spadek spowodowany pandemią), od początku projektu do końca roku 2020  - 2430 obcokrajowców</w:t>
      </w:r>
    </w:p>
    <w:p w:rsidR="00CA14AB" w:rsidRPr="00E00B35" w:rsidRDefault="00CA14AB" w:rsidP="00E00B35">
      <w:pPr>
        <w:spacing w:after="0" w:line="312" w:lineRule="auto"/>
        <w:rPr>
          <w:szCs w:val="20"/>
        </w:rPr>
      </w:pPr>
      <w:r w:rsidRPr="00E00B35">
        <w:rPr>
          <w:szCs w:val="20"/>
        </w:rPr>
        <w:t>W roku 2020 utworzonych zostało 990 tandemów - średnio ok. 83 tandemów miesięcznie (tandem to 1 wolontariusz i 1 obcokrajowiec lub 1 wolontariusz i kilku obcokrajowców).</w:t>
      </w:r>
    </w:p>
    <w:p w:rsidR="00CA14AB" w:rsidRPr="00E00B35" w:rsidRDefault="00CA14AB" w:rsidP="00E00B35">
      <w:pPr>
        <w:spacing w:after="0" w:line="312" w:lineRule="auto"/>
        <w:rPr>
          <w:szCs w:val="20"/>
        </w:rPr>
      </w:pPr>
      <w:r w:rsidRPr="00E00B35">
        <w:rPr>
          <w:szCs w:val="20"/>
        </w:rPr>
        <w:t>W roku 2020 utworzone tandemy spotkały się 2742 razy przeznaczając na naukę języka polskiego 4113 godzin.</w:t>
      </w:r>
    </w:p>
    <w:p w:rsidR="00CA14AB" w:rsidRPr="00E00B35" w:rsidRDefault="00CA14AB" w:rsidP="00E00B35">
      <w:pPr>
        <w:spacing w:after="0" w:line="312" w:lineRule="auto"/>
        <w:rPr>
          <w:szCs w:val="20"/>
        </w:rPr>
      </w:pPr>
      <w:r w:rsidRPr="00E00B35">
        <w:rPr>
          <w:szCs w:val="20"/>
        </w:rPr>
        <w:t>Zgłaszający się obcokrajowcy pochodzą z 83 krajów (najwięcej zgłoszeń – Ukraina, ok. 73%, następnie – Indie, Białoruś, Rosja, Brazylia i Włochy).</w:t>
      </w:r>
    </w:p>
    <w:p w:rsidR="00CA14AB" w:rsidRPr="00E00B35" w:rsidRDefault="00CA14AB" w:rsidP="00E00B35">
      <w:pPr>
        <w:spacing w:after="0" w:line="312" w:lineRule="auto"/>
        <w:rPr>
          <w:szCs w:val="20"/>
        </w:rPr>
      </w:pPr>
      <w:r w:rsidRPr="00E00B35">
        <w:rPr>
          <w:szCs w:val="20"/>
        </w:rPr>
        <w:t>47% zgłaszających się i korzystających  z nauki języka polskiego obcokrajowców, to osoby w wieku 18 - 29 lat.</w:t>
      </w:r>
    </w:p>
    <w:p w:rsidR="00CA14AB" w:rsidRPr="00E00B35" w:rsidRDefault="00CA14AB" w:rsidP="00E00B35">
      <w:pPr>
        <w:spacing w:after="0" w:line="312" w:lineRule="auto"/>
        <w:rPr>
          <w:szCs w:val="20"/>
        </w:rPr>
      </w:pPr>
      <w:r w:rsidRPr="00E00B35">
        <w:rPr>
          <w:szCs w:val="20"/>
        </w:rPr>
        <w:t xml:space="preserve">51% mieszkańców Wrocławia zgłaszających się do projektu i organizujących jako wolontariusze lekcje języka polskiego, to osoby w wieku 18-29 (78% wolontariuszy </w:t>
      </w:r>
      <w:r w:rsidRPr="00E00B35">
        <w:rPr>
          <w:szCs w:val="20"/>
        </w:rPr>
        <w:br/>
        <w:t>w przedziale wiekowym 18 – 60+ to kobiety).</w:t>
      </w:r>
    </w:p>
    <w:p w:rsidR="00CA14AB" w:rsidRPr="00E00B35" w:rsidRDefault="00CA14AB" w:rsidP="00E00B35">
      <w:pPr>
        <w:spacing w:after="0" w:line="312" w:lineRule="auto"/>
        <w:rPr>
          <w:szCs w:val="20"/>
        </w:rPr>
      </w:pPr>
      <w:r w:rsidRPr="00E00B35">
        <w:rPr>
          <w:szCs w:val="20"/>
        </w:rPr>
        <w:t>Umożliwiono również repatriantom udział w kampanii i prowadzono dedykowane dla nich spotkania językowe online z wolontariuszami.</w:t>
      </w:r>
    </w:p>
    <w:p w:rsidR="00CA14AB" w:rsidRPr="00E00B35" w:rsidRDefault="00CA14AB" w:rsidP="00E00B35">
      <w:pPr>
        <w:spacing w:after="0" w:line="312" w:lineRule="auto"/>
        <w:rPr>
          <w:szCs w:val="20"/>
        </w:rPr>
      </w:pPr>
      <w:r w:rsidRPr="00E00B35">
        <w:rPr>
          <w:szCs w:val="20"/>
        </w:rPr>
        <w:t>Dysponujemy we Wrocławiu 71 miejscami nauki języka polskiego, o dogodnej dla każdego wolontariusza i obcokrajowca lokalizacji. Miejsca te udostępniane są bezpłatnie przez partnerów projektu. Spotkania tandemów odbywają się u partnerów prowadzących między innymi restauracje, kawiarnie, organizacje pozarządowe i instytucje kultury. Spotkania odbywają się również w kościołach i związkach wyznaniowych oraz filiach Miejskiej Biblioteki Publicznej.</w:t>
      </w:r>
    </w:p>
    <w:p w:rsidR="00CA14AB" w:rsidRPr="00E00B35" w:rsidRDefault="00CA14AB" w:rsidP="00E00B35">
      <w:pPr>
        <w:spacing w:after="0" w:line="312" w:lineRule="auto"/>
        <w:rPr>
          <w:szCs w:val="20"/>
        </w:rPr>
      </w:pPr>
      <w:r w:rsidRPr="00E00B35">
        <w:rPr>
          <w:szCs w:val="20"/>
        </w:rPr>
        <w:lastRenderedPageBreak/>
        <w:t>W związku z pandemią wirusa SARS-CoV-2 od marca 2020 r. zostały zawieszone stacjonarne spotkania tandemowe w projekcie. W kwietniu 2020 r. zostały wznowione spotkania tandemowe w nowej formie (online), która funkcjonowała do końca 2020 roku.</w:t>
      </w:r>
    </w:p>
    <w:p w:rsidR="00CA14AB" w:rsidRPr="00E00B35" w:rsidRDefault="00CA14AB" w:rsidP="00E00B35">
      <w:pPr>
        <w:spacing w:after="0" w:line="312" w:lineRule="auto"/>
        <w:rPr>
          <w:szCs w:val="20"/>
        </w:rPr>
      </w:pPr>
      <w:r w:rsidRPr="00E00B35">
        <w:rPr>
          <w:szCs w:val="20"/>
        </w:rPr>
        <w:t>W drugiej połowie roku 2020 zostały przeprowadzone bezpłatne szkolenia (online) dla wolontariuszy obejmujące zagadnienia metodyki nauczania języka polskiego jako obcego.</w:t>
      </w:r>
    </w:p>
    <w:p w:rsidR="00CA14AB" w:rsidRPr="00E00B35" w:rsidRDefault="00CA14AB" w:rsidP="00E00B35">
      <w:pPr>
        <w:spacing w:after="0" w:line="312" w:lineRule="auto"/>
        <w:rPr>
          <w:szCs w:val="20"/>
        </w:rPr>
      </w:pPr>
      <w:r w:rsidRPr="00E00B35">
        <w:rPr>
          <w:szCs w:val="20"/>
        </w:rPr>
        <w:t>Wolontariusz projektu Wrocław na Językach Świata został wyróżniony w konkursie „Wrocławskie Oblicza Wolontariatu 2019”.</w:t>
      </w:r>
    </w:p>
    <w:p w:rsidR="00CA14AB" w:rsidRPr="00E00B35" w:rsidRDefault="00CA14AB" w:rsidP="00E00B35">
      <w:pPr>
        <w:spacing w:after="0" w:line="312" w:lineRule="auto"/>
        <w:rPr>
          <w:szCs w:val="20"/>
        </w:rPr>
      </w:pPr>
      <w:r w:rsidRPr="00E00B35">
        <w:rPr>
          <w:szCs w:val="20"/>
        </w:rPr>
        <w:t>Przeprowadzone zostały wywiady radiowe i telewizyjne dotyczące funkcjonowania projektu. Materiały pojawiły się w programach informacyjnych TVP3 Wrocław, TVP Polonia, ECHO24, Radio Rodzina.</w:t>
      </w:r>
    </w:p>
    <w:p w:rsidR="00CA14AB" w:rsidRPr="00E00B35" w:rsidRDefault="00CA14AB" w:rsidP="00E00B35">
      <w:pPr>
        <w:spacing w:after="0" w:line="312" w:lineRule="auto"/>
        <w:rPr>
          <w:szCs w:val="20"/>
        </w:rPr>
      </w:pPr>
      <w:r w:rsidRPr="00E00B35">
        <w:rPr>
          <w:szCs w:val="20"/>
        </w:rPr>
        <w:t xml:space="preserve">Minister Rodziny, Pracy i Polityki Społecznej zarekomendował projekt do udziału w forum wysokiego szczebla „Budowanie ogólnospołecznego podejścia do pojawiających się wyzwań w migracjach i integracji” organizowanym </w:t>
      </w:r>
      <w:r w:rsidRPr="00E00B35">
        <w:rPr>
          <w:szCs w:val="20"/>
        </w:rPr>
        <w:br/>
        <w:t xml:space="preserve">w styczniu 2020 r. w Paryżu przez Organizację Współpracy Gospodarczej </w:t>
      </w:r>
      <w:r w:rsidRPr="00E00B35">
        <w:rPr>
          <w:szCs w:val="20"/>
        </w:rPr>
        <w:br/>
        <w:t xml:space="preserve">i Rozwoju (OECD). Projekt został zaprezentowany na w/w międzynarodowym forum. Na prośbę Przedstawicielstwa OECD w Polsce powstał artykuł </w:t>
      </w:r>
      <w:r w:rsidRPr="00E00B35">
        <w:rPr>
          <w:szCs w:val="20"/>
        </w:rPr>
        <w:br/>
        <w:t>o projekcie w Biuletynie OECD 360.</w:t>
      </w:r>
    </w:p>
    <w:p w:rsidR="00CA14AB" w:rsidRPr="00E00B35" w:rsidRDefault="00CA14AB" w:rsidP="00E00B35">
      <w:pPr>
        <w:spacing w:after="0" w:line="312" w:lineRule="auto"/>
        <w:rPr>
          <w:szCs w:val="20"/>
        </w:rPr>
      </w:pPr>
      <w:bookmarkStart w:id="524" w:name="_Toc72352475"/>
      <w:bookmarkStart w:id="525" w:name="_Toc72352909"/>
      <w:r w:rsidRPr="00E00B35">
        <w:rPr>
          <w:szCs w:val="20"/>
        </w:rPr>
        <w:t>VI. Wsparcie organizacji zadań Klubu Integracji Społecznej w ramach projektu „Klub Integracji Społecznej we Wrocławiu”</w:t>
      </w:r>
      <w:bookmarkEnd w:id="524"/>
      <w:bookmarkEnd w:id="525"/>
    </w:p>
    <w:p w:rsidR="00CA14AB" w:rsidRPr="00E00B35" w:rsidRDefault="00CA14AB" w:rsidP="00E00B35">
      <w:pPr>
        <w:spacing w:after="0" w:line="312" w:lineRule="auto"/>
        <w:rPr>
          <w:szCs w:val="20"/>
        </w:rPr>
      </w:pPr>
      <w:r w:rsidRPr="00E00B35">
        <w:rPr>
          <w:szCs w:val="20"/>
        </w:rPr>
        <w:t xml:space="preserve">Projekt </w:t>
      </w:r>
      <w:r w:rsidRPr="00E00B35">
        <w:rPr>
          <w:rFonts w:eastAsia="Calibri"/>
          <w:szCs w:val="20"/>
        </w:rPr>
        <w:t xml:space="preserve">„Klubu Integracji Społecznej we Wrocławiu” </w:t>
      </w:r>
      <w:r w:rsidRPr="00E00B35">
        <w:rPr>
          <w:szCs w:val="20"/>
        </w:rPr>
        <w:t xml:space="preserve">realizowany jest w okresie od listopada 2019 r. do kwietnia 2022 r. i jest współfinansowany ze środków Unii Europejskiej w ramach Europejskiego Funduszu Społecznego (Priorytet 9. Wyłączenie Społeczne; Działanie 9.1. Aktywna Integracja: Poddziałanie 9.1.1 Aktywna Integracja – konkursy horyzontalne. </w:t>
      </w:r>
    </w:p>
    <w:p w:rsidR="00CA14AB" w:rsidRPr="00E00B35" w:rsidRDefault="00CA14AB" w:rsidP="00E00B35">
      <w:pPr>
        <w:spacing w:after="0" w:line="312" w:lineRule="auto"/>
        <w:rPr>
          <w:szCs w:val="20"/>
        </w:rPr>
      </w:pPr>
      <w:r w:rsidRPr="00E00B35">
        <w:rPr>
          <w:szCs w:val="20"/>
        </w:rPr>
        <w:t xml:space="preserve">Całkowita wartość projektu: 3 374 566,44 zł. Kwota dofinansowania unijnego </w:t>
      </w:r>
      <w:r w:rsidRPr="00E00B35">
        <w:rPr>
          <w:szCs w:val="20"/>
        </w:rPr>
        <w:br/>
        <w:t>to 3 205 838,11 zł.</w:t>
      </w:r>
    </w:p>
    <w:p w:rsidR="00CA14AB" w:rsidRPr="00E00B35" w:rsidRDefault="00CA14AB" w:rsidP="00E00B35">
      <w:pPr>
        <w:spacing w:after="0" w:line="312" w:lineRule="auto"/>
        <w:rPr>
          <w:szCs w:val="20"/>
        </w:rPr>
      </w:pPr>
      <w:r w:rsidRPr="00E00B35">
        <w:rPr>
          <w:szCs w:val="20"/>
        </w:rPr>
        <w:t>Liderem projektu jest Gmina Wrocław, w imieniu której projekt realizuje Wrocławskie Centrum Integracji. Partnerem projektu jest Stowarzyszenie Ruch Antynarkotyczny „KARAN”.</w:t>
      </w:r>
    </w:p>
    <w:p w:rsidR="00CA14AB" w:rsidRPr="00E00B35" w:rsidRDefault="00CA14AB" w:rsidP="00E00B35">
      <w:pPr>
        <w:spacing w:after="0" w:line="312" w:lineRule="auto"/>
        <w:rPr>
          <w:rFonts w:eastAsia="Calibri"/>
          <w:szCs w:val="20"/>
        </w:rPr>
      </w:pPr>
      <w:r w:rsidRPr="00E00B35">
        <w:rPr>
          <w:rFonts w:eastAsia="Calibri"/>
          <w:szCs w:val="20"/>
        </w:rPr>
        <w:t>Z udziału w projekcie skorzysta przez 2 lata 276 niezatrudnionych mieszkańców Wrocławia</w:t>
      </w:r>
      <w:r w:rsidRPr="00E00B35">
        <w:rPr>
          <w:szCs w:val="20"/>
        </w:rPr>
        <w:t xml:space="preserve"> </w:t>
      </w:r>
      <w:r w:rsidRPr="00E00B35">
        <w:rPr>
          <w:rFonts w:eastAsia="Calibri"/>
          <w:szCs w:val="20"/>
        </w:rPr>
        <w:t>powyżej 18 r.ż., którzy z powodu m.in.: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długotrwałej choroby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niepełnosprawności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długotrwałego pozostawania poza rynkiem pracy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ubóstwa, braku wsparcia rodzinnego i środowiskowego,</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nie mogą samodzielnie uzyskać kompetencji społecznych i zawodowych.</w:t>
      </w:r>
    </w:p>
    <w:p w:rsidR="00CA14AB" w:rsidRPr="00E00B35" w:rsidRDefault="00CA14AB" w:rsidP="00E00B35">
      <w:pPr>
        <w:spacing w:after="0" w:line="312" w:lineRule="auto"/>
        <w:rPr>
          <w:rFonts w:eastAsia="Calibri"/>
          <w:szCs w:val="20"/>
        </w:rPr>
      </w:pPr>
      <w:r w:rsidRPr="00E00B35">
        <w:rPr>
          <w:rFonts w:eastAsia="Calibri"/>
          <w:szCs w:val="20"/>
        </w:rPr>
        <w:t xml:space="preserve">Projekt realizowany jest </w:t>
      </w:r>
      <w:r w:rsidRPr="00E00B35">
        <w:rPr>
          <w:szCs w:val="20"/>
        </w:rPr>
        <w:t>zgodnie z zapisami ustawy o zatrudnieniu socjalnym.</w:t>
      </w:r>
    </w:p>
    <w:p w:rsidR="00CA14AB" w:rsidRPr="00E00B35" w:rsidRDefault="00CA14AB" w:rsidP="00E00B35">
      <w:pPr>
        <w:spacing w:after="0" w:line="312" w:lineRule="auto"/>
        <w:rPr>
          <w:szCs w:val="20"/>
        </w:rPr>
      </w:pPr>
      <w:r w:rsidRPr="00E00B35">
        <w:rPr>
          <w:szCs w:val="20"/>
        </w:rPr>
        <w:t>W 2020 roku w ramach projektu zrealizowano następujące działania:</w:t>
      </w:r>
    </w:p>
    <w:p w:rsidR="00CA14AB" w:rsidRPr="00E00B35" w:rsidRDefault="00CA14AB" w:rsidP="00E00B35">
      <w:pPr>
        <w:spacing w:after="0" w:line="312" w:lineRule="auto"/>
        <w:rPr>
          <w:szCs w:val="20"/>
        </w:rPr>
      </w:pPr>
      <w:r w:rsidRPr="00E00B35">
        <w:rPr>
          <w:szCs w:val="20"/>
        </w:rPr>
        <w:t xml:space="preserve">a) realizowane (zakończone) 2 edycje (I i II edycja) oraz rozpoczęła się III edycja w ścieżce reintegracji społecznej w Klubie Integracji Społecznej we Wrocławiu przy ul. Skoczylasa 8. W 2020 r. wzięło udział 43 uczestników (w trzech edycjach)  </w:t>
      </w:r>
    </w:p>
    <w:p w:rsidR="00CA14AB" w:rsidRPr="00E00B35" w:rsidRDefault="00CA14AB" w:rsidP="00E00B35">
      <w:pPr>
        <w:spacing w:after="0" w:line="312" w:lineRule="auto"/>
        <w:rPr>
          <w:szCs w:val="20"/>
        </w:rPr>
      </w:pPr>
      <w:r w:rsidRPr="00E00B35">
        <w:rPr>
          <w:szCs w:val="20"/>
        </w:rPr>
        <w:t xml:space="preserve">b) realizowane (zakończone) 2 edycje (I i II edycja) oraz rozpoczęła się III edycja w ścieżce reintegracji społeczno-zawodowej w Klubie Integracji Społecznej </w:t>
      </w:r>
      <w:r w:rsidRPr="00E00B35">
        <w:rPr>
          <w:szCs w:val="20"/>
        </w:rPr>
        <w:br/>
      </w:r>
      <w:r w:rsidRPr="00E00B35">
        <w:rPr>
          <w:szCs w:val="20"/>
        </w:rPr>
        <w:lastRenderedPageBreak/>
        <w:t xml:space="preserve">we Wrocławiu przy ul. Skoczylasa 8. W 2020 r. wzięło udział 48 uczestników (w trzech edycjach) </w:t>
      </w:r>
    </w:p>
    <w:p w:rsidR="00CA14AB" w:rsidRPr="00E00B35" w:rsidRDefault="00CA14AB" w:rsidP="00E00B35">
      <w:pPr>
        <w:spacing w:after="0" w:line="312" w:lineRule="auto"/>
        <w:rPr>
          <w:szCs w:val="20"/>
        </w:rPr>
      </w:pPr>
      <w:r w:rsidRPr="00E00B35">
        <w:rPr>
          <w:szCs w:val="20"/>
        </w:rPr>
        <w:t xml:space="preserve">c) zrealizowane (zakończone) 2 edycje (I i II edycja) w ścieżce reintegracji społeczno-zawodowej we Wrocławskim Centrum Integracji. W 2020 r. wzięło udział 15 uczestników, uwzględnionych punkcie 2. (w dwóch edycjach). </w:t>
      </w:r>
    </w:p>
    <w:p w:rsidR="00CA14AB" w:rsidRPr="00E00B35" w:rsidRDefault="00CA14AB" w:rsidP="00E00B35">
      <w:pPr>
        <w:spacing w:after="0" w:line="312" w:lineRule="auto"/>
        <w:rPr>
          <w:szCs w:val="20"/>
        </w:rPr>
      </w:pPr>
      <w:r w:rsidRPr="00E00B35">
        <w:rPr>
          <w:szCs w:val="20"/>
        </w:rPr>
        <w:t>W 2020 roku uczestnicy projektu osiągnęli następujące rezultaty: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13 osób z niepełnosprawnościami  osiągnęło postęp w rozumieniu efektywności społecznej</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5 osób zagrożonych ubóstwem lub wykluczeniem społecznym poszukuje pracy po opuszczeniu programu</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7 osób zagrożonych ubóstwem lub wykluczeniem społecznym podjęło pracę po opuszczeniu programu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25 osób zagrożonych ubóstwem lub wykluczeniem społecznym osiągnęło postęp </w:t>
      </w:r>
      <w:r w:rsidRPr="00E00B35">
        <w:rPr>
          <w:szCs w:val="20"/>
        </w:rPr>
        <w:br/>
        <w:t xml:space="preserve">w rozumieniu efektywności społecznej (liczba osób z wyłączeniem osób </w:t>
      </w:r>
      <w:r w:rsidRPr="00E00B35">
        <w:rPr>
          <w:szCs w:val="20"/>
        </w:rPr>
        <w:br/>
        <w:t>z niepełnosprawnościami)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7 osób zagrożonych ubóstwem lub wykluczeniem społecznym osiągnęło postęp </w:t>
      </w:r>
      <w:r w:rsidRPr="00E00B35">
        <w:rPr>
          <w:szCs w:val="20"/>
        </w:rPr>
        <w:br/>
        <w:t xml:space="preserve">w rozumieniu efektywności zatrudnieniowej (liczba osób z wyłączeniem osób </w:t>
      </w:r>
      <w:r w:rsidRPr="00E00B35">
        <w:rPr>
          <w:szCs w:val="20"/>
        </w:rPr>
        <w:br/>
        <w:t>z niepełnosprawnościami).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38 osób zagrożonych ubóstwem lub wykluczeniem społecznym uzyskało kwalifikacje lub nabyło kompetencje zawodowe po zakończeniu projektu</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9 osób ukończyło praktyki u pracodawców</w:t>
      </w:r>
      <w:r w:rsidR="00E34F9A" w:rsidRPr="00E00B35">
        <w:rPr>
          <w:szCs w:val="20"/>
        </w:rPr>
        <w:t>.</w:t>
      </w:r>
    </w:p>
    <w:p w:rsidR="00890136" w:rsidRPr="00E00B35" w:rsidRDefault="00890136" w:rsidP="00E00B35">
      <w:pPr>
        <w:pStyle w:val="Akapitzlist"/>
        <w:spacing w:after="0" w:line="312" w:lineRule="auto"/>
        <w:ind w:left="426"/>
        <w:rPr>
          <w:szCs w:val="20"/>
        </w:rPr>
      </w:pPr>
    </w:p>
    <w:p w:rsidR="00CA14AB" w:rsidRPr="00E00B35" w:rsidRDefault="00CA14AB" w:rsidP="00E00B35">
      <w:pPr>
        <w:pStyle w:val="Nagwek5"/>
        <w:rPr>
          <w:szCs w:val="20"/>
        </w:rPr>
      </w:pPr>
      <w:bookmarkStart w:id="526" w:name="_Toc72352476"/>
      <w:bookmarkStart w:id="527" w:name="_Toc72352910"/>
      <w:r w:rsidRPr="00E00B35">
        <w:rPr>
          <w:szCs w:val="20"/>
        </w:rPr>
        <w:t xml:space="preserve">PODSUMOWANIE DZIAŁALNOŚCI WROCŁAWSKIEGO CENTRUM INTEGRACJI </w:t>
      </w:r>
      <w:r w:rsidRPr="00E00B35">
        <w:rPr>
          <w:szCs w:val="20"/>
        </w:rPr>
        <w:br/>
        <w:t>W 2020 r.</w:t>
      </w:r>
      <w:bookmarkEnd w:id="526"/>
      <w:bookmarkEnd w:id="527"/>
    </w:p>
    <w:p w:rsidR="00CA14AB" w:rsidRPr="00E00B35" w:rsidRDefault="00CA14AB" w:rsidP="00E00B35">
      <w:pPr>
        <w:spacing w:after="0" w:line="312" w:lineRule="auto"/>
        <w:rPr>
          <w:szCs w:val="20"/>
        </w:rPr>
      </w:pPr>
      <w:r w:rsidRPr="00E00B35">
        <w:rPr>
          <w:szCs w:val="20"/>
        </w:rPr>
        <w:t xml:space="preserve">Statutowym zadaniem Wrocławskiego Centrum Integracji, w myśl ustawy </w:t>
      </w:r>
      <w:r w:rsidRPr="00E00B35">
        <w:rPr>
          <w:szCs w:val="20"/>
        </w:rPr>
        <w:br/>
        <w:t xml:space="preserve">o zatrudnieniu socjalnym, jest reintegracja społeczna i zawodowa mieszkańców Wrocławia, w szczególności osób bezrobotnych, nieaktywnych zawodowo czy zagrożonych wykluczeniem społecznym. </w:t>
      </w:r>
    </w:p>
    <w:p w:rsidR="00CA14AB" w:rsidRPr="00E00B35" w:rsidRDefault="00CA14AB" w:rsidP="00E00B35">
      <w:pPr>
        <w:spacing w:after="0" w:line="312" w:lineRule="auto"/>
        <w:rPr>
          <w:szCs w:val="20"/>
        </w:rPr>
      </w:pPr>
      <w:r w:rsidRPr="00E00B35">
        <w:rPr>
          <w:szCs w:val="20"/>
        </w:rPr>
        <w:t xml:space="preserve">Pomimo niskiej stopy bezrobocia i korzystnej sytuacji na rynku pracy we Wrocławiu ciągle funkcjonują osoby, które nie są w stanie samodzielnie wejść na rynek pracy. Działania podejmowana przez WCI mają na celu dotarcie i zaktywizowanie społeczne </w:t>
      </w:r>
      <w:r w:rsidRPr="00E00B35">
        <w:rPr>
          <w:szCs w:val="20"/>
        </w:rPr>
        <w:br/>
        <w:t xml:space="preserve">i zawodowe tych osób oraz przygotowanie ich do wejścia/powrotu na rynek pracy. </w:t>
      </w:r>
      <w:r w:rsidRPr="00E00B35">
        <w:rPr>
          <w:szCs w:val="20"/>
        </w:rPr>
        <w:br/>
        <w:t>W 2020 roku zgłosiło się do Wrocławskiego Centrum Integracji 800 osób, które skorzystały z informacji o możliwościach wsparcia w celu powrotu na rynek pracy. Uzyskały pomoc psychologiczną oraz doradcy zawodowego.</w:t>
      </w:r>
    </w:p>
    <w:p w:rsidR="00CA14AB" w:rsidRPr="00E00B35" w:rsidRDefault="00CA14AB" w:rsidP="00E00B35">
      <w:pPr>
        <w:spacing w:after="0" w:line="312" w:lineRule="auto"/>
        <w:rPr>
          <w:szCs w:val="20"/>
        </w:rPr>
      </w:pPr>
      <w:r w:rsidRPr="00E00B35">
        <w:rPr>
          <w:szCs w:val="20"/>
        </w:rPr>
        <w:t xml:space="preserve">155 osób podpisało i realizowało Indywidualny Program Zatrudnienia Socjalnego (IPZS). Uczestnicy skorzystali z zajęć w ramach reintegracji społecznej </w:t>
      </w:r>
      <w:r w:rsidRPr="00E00B35">
        <w:rPr>
          <w:szCs w:val="20"/>
        </w:rPr>
        <w:br/>
        <w:t xml:space="preserve">i zawodowej realizowanych przez psychologów, doradców zawodowych, instruktorów zawodu. Osoby te przy wsparciu instruktorów zawodu, podczas warsztatów reintegracji zawodowej, wykonywały również nieodpłatnie usługi na rzecz mieszkańców Wrocławia. 83 bezrobotnych mieszkańców Wrocławia ukończyło realizację IPZS, w tym 23 osoby podjęły zatrudnienie. Efektywność zatrudnieniowa wyniosła 28% uczestników. Kolejne 9 osób podjęło zatrudnienie po zakończeniu uczestnictwa w Klubie Integracji Społecznej. </w:t>
      </w:r>
    </w:p>
    <w:p w:rsidR="00CA14AB" w:rsidRPr="00E00B35" w:rsidRDefault="00CA14AB" w:rsidP="00E00B35">
      <w:pPr>
        <w:spacing w:after="0" w:line="312" w:lineRule="auto"/>
        <w:rPr>
          <w:szCs w:val="20"/>
        </w:rPr>
      </w:pPr>
      <w:r w:rsidRPr="00E00B35">
        <w:rPr>
          <w:szCs w:val="20"/>
        </w:rPr>
        <w:lastRenderedPageBreak/>
        <w:t xml:space="preserve">Wrocławskie Centrum Integracji świadczy od kilku lat usługi gospodarcze na rzecz osób starszych, niepełnosprawnych, samotnych, korzystających z usług opiekuńczych przyznawanych przez MOPS. Usługami sprzątania objętych zostało łącznie 89 mieszkań, średnio 64 mieszkania w miesiącu. Uczestnicy WCI realizujący Indywidualny Program Zatrudnienia Socjalnego posprzątali ponad 38 tyś.m2 mieszkań, umyli blisko 300 okien oraz wyprali ponad 250,00 m2 dywanów. Z usług comiesięcznego prania pościeli korzystało blisko 80% klientów, z usług prania firan </w:t>
      </w:r>
      <w:r w:rsidRPr="00E00B35">
        <w:rPr>
          <w:szCs w:val="20"/>
        </w:rPr>
        <w:br/>
        <w:t xml:space="preserve">i zasłon przy usłudze mycia okien, korzystało niemal 100% klientów, którzy z powodu wieku i stanu zdrowia nie są w stanie samodzielnie wykonać tych czynności. Szacunkowy koszt rynkowy usług sprzątania wynosi ok </w:t>
      </w:r>
    </w:p>
    <w:p w:rsidR="00CA14AB" w:rsidRPr="00E00B35" w:rsidRDefault="00CA14AB" w:rsidP="00E00B35">
      <w:pPr>
        <w:spacing w:after="0" w:line="312" w:lineRule="auto"/>
        <w:rPr>
          <w:szCs w:val="20"/>
        </w:rPr>
      </w:pPr>
      <w:r w:rsidRPr="00E00B35">
        <w:rPr>
          <w:szCs w:val="20"/>
        </w:rPr>
        <w:t>Od 2009 r. WCI realizuje zadanie własne Gminy Wrocław, polegające na organizacji warunków wykonywania nieodpłatnych, kontrolowanych prac na cele społeczne przez osoby skazane na karę ograniczenia wolności. Prace organizowane są na podstawie rozporządzenia Ministra Sprawiedliwości z dnia 01.06.2010 r. w sprawie podmiotów, w których jest wykonywana kara ograniczenia wolności oraz praca społecznie użyteczna (Dz. U. z 2010r., nr 98, poz. 634). W okresie sprawozdawczym 856 osób skazanych (przeszło 10% więcej skierowanych przez Sądy Rejonowe niż w 2019 r.) odpracowało prawie 60 000 godzin na rzecz społeczności lokalnej. Od 2009 roku ponad 15-krotnie wzrosła liczba odpracowanych godzin społecznych. W roku 2020 przeciętna liczba odpracowanych przez skazanych godzin spadła w porównaniu z rokiem 2019. Spadek spowodowany był sytuacją pandemiczną, w następstwie której, u większości z 81 podmiotów partnerskich, prace społeczne zostały wstrzymane na okres od kilku tygodniu do kilku miesięcy.</w:t>
      </w:r>
    </w:p>
    <w:p w:rsidR="00CA14AB" w:rsidRPr="00E00B35" w:rsidRDefault="00CA14AB" w:rsidP="00E00B35">
      <w:pPr>
        <w:spacing w:after="0" w:line="312" w:lineRule="auto"/>
        <w:rPr>
          <w:szCs w:val="20"/>
        </w:rPr>
      </w:pPr>
      <w:r w:rsidRPr="00E00B35">
        <w:rPr>
          <w:szCs w:val="20"/>
        </w:rPr>
        <w:t xml:space="preserve">Prace wykonywane były na potrzeby przeszło 80 partnerów, m.in. szkół, przedszkoli, stowarzyszeń, rad osiedli czy parafii. Wartość odpracowanych godzin szacowana jest na ok. 1 mln zł. W 2020 roku Wrocławskie Centrum Integracji  obsługiwało Internetowe Centrum Zgłoszeń,  za pośrednictwem którego drogą elektroniczną mogą być zgłaszane przejawy wandalizmu w przestrzeni publicznej Wrocławia. WCI jest odpowiedzialne za koordynację działań związanych z eliminowaniem następstw wandalizmu w przestrzeni miejskiej, w tym: weryfikację zgłoszeń, ustalanie zarządców nieruchomości, określanie zakresu prac, dobór materiałów oraz usuwanie zgłoszonych elementów mowy nienawiści. W 2020 roku zostało usuniętych 1150 symboli i napisów. Prace realizowane były przez osoby skazane, wykonujące prace społeczne na rzecz Wrocławskiego Centrum Integracji i nadzorowane przez zespół Wrocławskiego Centrum Sprawiedliwości Naprawczej. </w:t>
      </w:r>
    </w:p>
    <w:p w:rsidR="00CA14AB" w:rsidRPr="00E00B35" w:rsidRDefault="00CA14AB" w:rsidP="00E00B35">
      <w:pPr>
        <w:spacing w:after="0" w:line="312" w:lineRule="auto"/>
        <w:rPr>
          <w:szCs w:val="20"/>
        </w:rPr>
      </w:pPr>
      <w:r w:rsidRPr="00E00B35">
        <w:rPr>
          <w:szCs w:val="20"/>
        </w:rPr>
        <w:t xml:space="preserve">Od 2014 roku WCI realizuje zadanie „Wrocławski Opiekun Dzienny” polegające na zorganizowaniu opieki nad dziećmi w wieku do lat 3 w celu umożliwienia Rodzicom / opiekunom prawnym powrót na rynek pracy lub kontynuowanie zatrudnienia.  Zadanie realizowane jest w oparciu o ustawę o opiece nad dziećmi w wieku do lat 3.  W 2020 Wrocławskie Centrum Integracji organizowało pracę 26 punktów opieki dziennej. Punkty opieki dziennej udostępniają 130 miejsc dla dzieci poniżej 3 r.ż. W porównaniu z 2018 rokiem WCI zwiększyło liczbę punktów opieki dziennej o 10 (dla dodatkowo 47 dzieci). Zwiększenie liczby miejsc opieki było możliwe dzięki realizacji projektu „Rodzice na </w:t>
      </w:r>
      <w:r w:rsidRPr="00E00B35">
        <w:rPr>
          <w:szCs w:val="20"/>
        </w:rPr>
        <w:lastRenderedPageBreak/>
        <w:t>start!” współfinansowanego ze środków Unii Europejskiej. Gmina Wrocław do września 2020 r. nie finansowała dodatkowych 10 punktów opieki nad 47 dziećmi.</w:t>
      </w:r>
    </w:p>
    <w:p w:rsidR="00CA14AB" w:rsidRPr="00E00B35" w:rsidRDefault="00CA14AB" w:rsidP="00E00B35">
      <w:pPr>
        <w:spacing w:after="0" w:line="312" w:lineRule="auto"/>
        <w:rPr>
          <w:szCs w:val="20"/>
        </w:rPr>
      </w:pPr>
      <w:r w:rsidRPr="00E00B35">
        <w:rPr>
          <w:szCs w:val="20"/>
        </w:rPr>
        <w:t>Wrocławskie Centrum Integracji  organizuje wsparcie na rynku pracy obcokrajowców mieszkających i pracujących we Wrocławiu w ramach projektu społecznego „Wrocław na językach świata”. Wrocławianie jako wolontariusze uczą obcokrajowców mieszkających i pracujących we Wrocławiu posługiwania się językiem polskim. W roku 2020 utworzonych zostało 990 tandemów - średnio ok. 83 tandemów miesięcznie (tandem to 1 wolontariusz i 1 obcokrajowiec lub 1 wolontariusz i kilku obcokrajowców).</w:t>
      </w:r>
    </w:p>
    <w:p w:rsidR="00CA14AB" w:rsidRPr="00E00B35" w:rsidRDefault="00CA14AB" w:rsidP="00E00B35">
      <w:pPr>
        <w:spacing w:after="0" w:line="312" w:lineRule="auto"/>
        <w:rPr>
          <w:szCs w:val="20"/>
        </w:rPr>
      </w:pPr>
      <w:r w:rsidRPr="00E00B35">
        <w:rPr>
          <w:szCs w:val="20"/>
        </w:rPr>
        <w:t>W roku 2020 utworzone tandemy spotkały się 2742 razy przeznaczając na naukę języka polskiego 4113 godzin.</w:t>
      </w:r>
    </w:p>
    <w:p w:rsidR="00CA14AB" w:rsidRPr="00E00B35" w:rsidRDefault="00CA14AB" w:rsidP="00E00B35">
      <w:pPr>
        <w:spacing w:after="0" w:line="312" w:lineRule="auto"/>
        <w:rPr>
          <w:szCs w:val="20"/>
        </w:rPr>
      </w:pPr>
      <w:r w:rsidRPr="00E00B35">
        <w:rPr>
          <w:szCs w:val="20"/>
        </w:rPr>
        <w:t>Zgłaszający się obcokrajowcy pochodzą z 83 krajów (najwięcej zgłoszeń – Ukraina, ok. 73%, następnie – Indie, Białoruś, Rosja, Brazylia i Włochy).</w:t>
      </w:r>
    </w:p>
    <w:p w:rsidR="00CA14AB" w:rsidRPr="00E00B35" w:rsidRDefault="00CA14AB" w:rsidP="00E00B35">
      <w:pPr>
        <w:spacing w:after="0" w:line="312" w:lineRule="auto"/>
        <w:rPr>
          <w:szCs w:val="20"/>
        </w:rPr>
      </w:pPr>
      <w:r w:rsidRPr="00E00B35">
        <w:rPr>
          <w:szCs w:val="20"/>
        </w:rPr>
        <w:t xml:space="preserve">47% zgłaszających się i korzystających  z nauki języka polskiego obcokrajowców, </w:t>
      </w:r>
      <w:r w:rsidRPr="00E00B35">
        <w:rPr>
          <w:szCs w:val="20"/>
        </w:rPr>
        <w:br/>
        <w:t>to osoby w wieku 18 - 29 lat.</w:t>
      </w:r>
    </w:p>
    <w:p w:rsidR="00CA14AB" w:rsidRPr="00E00B35" w:rsidRDefault="00CA14AB" w:rsidP="00E00B35">
      <w:pPr>
        <w:spacing w:after="0" w:line="312" w:lineRule="auto"/>
        <w:rPr>
          <w:szCs w:val="20"/>
        </w:rPr>
      </w:pPr>
      <w:r w:rsidRPr="00E00B35">
        <w:rPr>
          <w:szCs w:val="20"/>
        </w:rPr>
        <w:t xml:space="preserve">51% mieszkańców Wrocławia zgłaszających się do projektu i organizujących jako wolontariusze lekcje języka polskiego, to osoby w wieku 18-29 (78% wolontariuszy </w:t>
      </w:r>
      <w:r w:rsidRPr="00E00B35">
        <w:rPr>
          <w:szCs w:val="20"/>
        </w:rPr>
        <w:br/>
        <w:t>w przedziale wiekowym 18 – 60+ to kobiety).</w:t>
      </w:r>
    </w:p>
    <w:p w:rsidR="00CA14AB" w:rsidRPr="00E00B35" w:rsidRDefault="00CA14AB" w:rsidP="00E00B35">
      <w:pPr>
        <w:spacing w:after="0" w:line="312" w:lineRule="auto"/>
        <w:rPr>
          <w:szCs w:val="20"/>
        </w:rPr>
      </w:pPr>
      <w:r w:rsidRPr="00E00B35">
        <w:rPr>
          <w:szCs w:val="20"/>
        </w:rPr>
        <w:t xml:space="preserve">Wrocławskie Centrum Integracji w 2020 r. rozpoczęło realizację projektu „Centrum Kompetencji” współfinansowanego  ze środków Europejskiego Funduszu Społecznego. Wartość projektu realizowanego w okresie od czerwca 2020 r. do marca 2023 r. to kwota 3 374 566,44 zł. Projekt skierowany jest do 252 mieszkańców Wrocławia zagrożonych ubóstwem lub wykluczeniem społecznym. Celem projektu jest poprawa funkcjonowania społecznego i odbudowa zdolności  do samodzielnego świadczenia pracy. </w:t>
      </w:r>
    </w:p>
    <w:p w:rsidR="00CA14AB" w:rsidRPr="00E00B35" w:rsidRDefault="00CA14AB" w:rsidP="00E00B35">
      <w:pPr>
        <w:spacing w:after="0" w:line="312" w:lineRule="auto"/>
        <w:rPr>
          <w:szCs w:val="20"/>
        </w:rPr>
      </w:pPr>
      <w:r w:rsidRPr="00E00B35">
        <w:rPr>
          <w:szCs w:val="20"/>
        </w:rPr>
        <w:t xml:space="preserve">Wrocławskie Centrum Integracji  w 2020 r. realizowało samodzielnie lub </w:t>
      </w:r>
      <w:r w:rsidRPr="00E00B35">
        <w:rPr>
          <w:szCs w:val="20"/>
        </w:rPr>
        <w:br/>
        <w:t xml:space="preserve">w partnerstwie 4 projekty współfinansowane ze środków Unii Europejskiej: RAZEM można więcej, Centrum Kompetencji, Rodzice na start!, Klub Integracji Społecznej we Wrocławiu. Uczestnikami projektów byli mieszkańcy Wrocławia- osoby niezatrudnione, zagrożone wykluczeniem społecznym, w tym osoby </w:t>
      </w:r>
      <w:r w:rsidRPr="00E00B35">
        <w:rPr>
          <w:szCs w:val="20"/>
        </w:rPr>
        <w:br/>
        <w:t>z niepełnosprawnościami. Koszt realizacji projektów, z których skorzystało łącznie 439 osób to przeszło 2 mln zł.</w:t>
      </w:r>
    </w:p>
    <w:p w:rsidR="00CA14AB" w:rsidRPr="00E00B35" w:rsidRDefault="00CA14AB" w:rsidP="00E00B35">
      <w:pPr>
        <w:spacing w:after="0" w:line="312" w:lineRule="auto"/>
        <w:rPr>
          <w:szCs w:val="20"/>
        </w:rPr>
      </w:pPr>
      <w:r w:rsidRPr="00E00B35">
        <w:rPr>
          <w:szCs w:val="20"/>
        </w:rPr>
        <w:t>Profilaktyka i działania aktywizujące społeczność Wrocławia w profilaktykę SARS-CoV-2.</w:t>
      </w:r>
    </w:p>
    <w:p w:rsidR="00CA14AB" w:rsidRPr="00E00B35" w:rsidRDefault="00CA14AB" w:rsidP="00E00B35">
      <w:pPr>
        <w:spacing w:after="0" w:line="312" w:lineRule="auto"/>
        <w:rPr>
          <w:szCs w:val="20"/>
        </w:rPr>
      </w:pPr>
      <w:r w:rsidRPr="00E00B35">
        <w:rPr>
          <w:szCs w:val="20"/>
        </w:rPr>
        <w:t xml:space="preserve">Wrocławskie Centrum Integracji od marca 2020 r. zaangażowało się w koordynowanie akcji „Szyjemy maseczki”. W akcję zaangażowaliśmy 29 mieszkańców Wrocławia, którzy przygotowywali wykroje, szyli, pakowali i dystrybuowali maseczki. Wykorzystywaliśmy maszyny krawieckie Klubu Integracji Społecznej prowadzonego przez Stowarzyszenie Ruch Antynarkotyczny „Karan” oraz transport Wrocławskiego Centrum Integracji. Z pomocą wolontariuszy i pracowników WCI, uszyliśmy 10 000 maseczek fizelinowych i bawełnianych. Maseczki były dystrybuowane  wśród mieszkańców Wrocławia zagrożonych wykluczeniem społecznym oraz do następujących miejsc : Uniwersytecki Szpital Kliniczny im. Jana Mikulicza-Radeckiego, Szpital Specjalistyczny im. A. Falkiewicza, Wojewódzki Szpital Specjalistyczny przy ul. Kamieńskiego, Wojewódzki Szpital Specjalistyczny im. J. Gromkowskiego, Podstacja Pogotowia Ratunkowego przy ul. Jantarowej, Ekumeniczna Stacja Opieki,  Regionalne Centrum Krwiodawstwa oraz Komenda Miejska Policji. </w:t>
      </w:r>
    </w:p>
    <w:p w:rsidR="00CA14AB" w:rsidRPr="00E00B35" w:rsidRDefault="00CA14AB" w:rsidP="00E00B35">
      <w:pPr>
        <w:spacing w:after="0" w:line="312" w:lineRule="auto"/>
        <w:rPr>
          <w:szCs w:val="20"/>
        </w:rPr>
      </w:pPr>
      <w:r w:rsidRPr="00E00B35">
        <w:rPr>
          <w:szCs w:val="20"/>
        </w:rPr>
        <w:lastRenderedPageBreak/>
        <w:t xml:space="preserve">Koszt realizacji działań szacujemy na 50 tys. </w:t>
      </w:r>
      <w:r w:rsidR="00E34F9A" w:rsidRPr="00E00B35">
        <w:rPr>
          <w:szCs w:val="20"/>
        </w:rPr>
        <w:t>zł</w:t>
      </w:r>
    </w:p>
    <w:p w:rsidR="00CA14AB" w:rsidRPr="00E00B35" w:rsidRDefault="00E34F9A" w:rsidP="00E00B35">
      <w:pPr>
        <w:spacing w:after="0" w:line="312" w:lineRule="auto"/>
        <w:rPr>
          <w:szCs w:val="20"/>
        </w:rPr>
      </w:pPr>
      <w:r w:rsidRPr="00E00B35">
        <w:rPr>
          <w:szCs w:val="20"/>
        </w:rPr>
        <w:t>D</w:t>
      </w:r>
      <w:r w:rsidR="00CA14AB" w:rsidRPr="00E00B35">
        <w:rPr>
          <w:szCs w:val="20"/>
        </w:rPr>
        <w:t>oradcy zawodowi i psycholodzy świadczyli nieodpłatnie pomoc dla mieszkańców Wrocławia, którzy zostali dotknięci skutkami pandemii, szacujemy że koszt udzielenia dla 5 500 osób  konsultacji on-line to kwota 75 tys. zł</w:t>
      </w:r>
    </w:p>
    <w:p w:rsidR="00CA14AB" w:rsidRPr="00E00B35" w:rsidRDefault="00E34F9A" w:rsidP="00E00B35">
      <w:pPr>
        <w:spacing w:after="0" w:line="312" w:lineRule="auto"/>
        <w:rPr>
          <w:szCs w:val="20"/>
        </w:rPr>
      </w:pPr>
      <w:r w:rsidRPr="00E00B35">
        <w:rPr>
          <w:szCs w:val="20"/>
        </w:rPr>
        <w:t>U</w:t>
      </w:r>
      <w:r w:rsidR="00CA14AB" w:rsidRPr="00E00B35">
        <w:rPr>
          <w:szCs w:val="20"/>
        </w:rPr>
        <w:t>czestnicy projektów dofinansowywanych ze środków Europejskiego Funduszu Społecznego otrzymali środki ochrony osobistej ( maseczki, płyny, przyłbice, rękawice jednorazowe), pomieszczenia były odkażane, zakupiono bezdotykowe termometry i bezdotykowe aplikatory środków odkażających, koszt 6,5 tys. zł został poniesiony ze środków unijnych</w:t>
      </w:r>
    </w:p>
    <w:p w:rsidR="00CA14AB" w:rsidRPr="00E00B35" w:rsidRDefault="00CA14AB" w:rsidP="00E00B35">
      <w:pPr>
        <w:spacing w:after="0" w:line="312" w:lineRule="auto"/>
        <w:rPr>
          <w:szCs w:val="20"/>
        </w:rPr>
      </w:pPr>
      <w:r w:rsidRPr="00E00B35">
        <w:rPr>
          <w:szCs w:val="20"/>
        </w:rPr>
        <w:t>26 Punktów Opieki Dziennnej nad dziećmi do lat 3 zostało zaopatrzonych w środki dezynfekcyjne z przeznaczeniem dla opiekunek i dezynfekcji wyposażenia Punktów na łączną kwotę 24 tys. zł</w:t>
      </w:r>
    </w:p>
    <w:p w:rsidR="00CA14AB" w:rsidRPr="00E00B35" w:rsidRDefault="00CA14AB" w:rsidP="00E00B35">
      <w:pPr>
        <w:spacing w:after="0" w:line="312" w:lineRule="auto"/>
        <w:rPr>
          <w:szCs w:val="20"/>
        </w:rPr>
      </w:pPr>
      <w:r w:rsidRPr="00E00B35">
        <w:rPr>
          <w:szCs w:val="20"/>
        </w:rPr>
        <w:t xml:space="preserve">Wrocławskie Centrum Integracji wydatkowało ponadto 99 tys. zł </w:t>
      </w:r>
      <w:r w:rsidRPr="00E00B35">
        <w:rPr>
          <w:szCs w:val="20"/>
        </w:rPr>
        <w:br/>
        <w:t xml:space="preserve">na zabezpieczenie sanitarne pracowników oraz interesantów korzystających </w:t>
      </w:r>
      <w:r w:rsidRPr="00E00B35">
        <w:rPr>
          <w:szCs w:val="20"/>
        </w:rPr>
        <w:br/>
        <w:t>ze wsparcia WCI ( w tym przeszło 800 osób skazanych w 2020 r.na wykonanie prac na cele społeczne).</w:t>
      </w:r>
    </w:p>
    <w:p w:rsidR="00CA14AB" w:rsidRPr="00E00B35" w:rsidRDefault="00CA14AB" w:rsidP="00E00B35">
      <w:pPr>
        <w:spacing w:after="0" w:line="312" w:lineRule="auto"/>
        <w:rPr>
          <w:szCs w:val="20"/>
        </w:rPr>
      </w:pPr>
      <w:r w:rsidRPr="00E00B35">
        <w:rPr>
          <w:szCs w:val="20"/>
        </w:rPr>
        <w:t xml:space="preserve">Łączny koszt profilaktyki SARS –CoV-2 , z której skorzystało przeszło 12 00 osób to kwota: 254 500 zł </w:t>
      </w:r>
    </w:p>
    <w:p w:rsidR="00CA14AB" w:rsidRPr="00E00B35" w:rsidRDefault="00CA14AB"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528" w:name="_Toc72352477"/>
      <w:bookmarkStart w:id="529" w:name="_Toc72352911"/>
      <w:r w:rsidRPr="00E00B35">
        <w:rPr>
          <w:sz w:val="20"/>
          <w:szCs w:val="20"/>
        </w:rPr>
        <w:t>INFORMACJE DO RAPORTU O STANIE GMINY ZA 2020</w:t>
      </w:r>
      <w:bookmarkEnd w:id="528"/>
      <w:bookmarkEnd w:id="529"/>
    </w:p>
    <w:p w:rsidR="00CA14AB" w:rsidRPr="00E00B35" w:rsidRDefault="00CA14AB" w:rsidP="00E00B35">
      <w:pPr>
        <w:spacing w:after="0" w:line="312" w:lineRule="auto"/>
        <w:rPr>
          <w:szCs w:val="20"/>
        </w:rPr>
      </w:pPr>
      <w:bookmarkStart w:id="530" w:name="_Toc72352478"/>
      <w:bookmarkStart w:id="531" w:name="_Toc72352912"/>
      <w:r w:rsidRPr="00E00B35">
        <w:rPr>
          <w:szCs w:val="20"/>
        </w:rPr>
        <w:t xml:space="preserve">Dotyczy poz. 31 LISTA PROGRAMÓW SKIEROWANYCH DO OSÓB </w:t>
      </w:r>
      <w:r w:rsidRPr="00E00B35">
        <w:rPr>
          <w:szCs w:val="20"/>
        </w:rPr>
        <w:br/>
        <w:t>Z NIEPEŁNOSPRAWNOŚCIĄ</w:t>
      </w:r>
      <w:bookmarkEnd w:id="530"/>
      <w:bookmarkEnd w:id="531"/>
    </w:p>
    <w:p w:rsidR="00CA14AB" w:rsidRPr="00E00B35" w:rsidRDefault="00CA14AB" w:rsidP="00E00B35">
      <w:pPr>
        <w:spacing w:after="0" w:line="312" w:lineRule="auto"/>
        <w:rPr>
          <w:szCs w:val="20"/>
        </w:rPr>
      </w:pPr>
      <w:r w:rsidRPr="00E00B35">
        <w:rPr>
          <w:szCs w:val="20"/>
        </w:rPr>
        <w:t>Gmina Wrocław w 2020 realizowała projekty dedykowane osobom z niepełnosprawnością. Wsparcie społeczne i zawodowe zapewniał udział w projektach: „Razem można więcej” oraz „Centrum Kompetencji” ,   w ramach funkcjonowania Wrocławskiego Centrum Integracji. Projekty dofinansowane w kwocie przeszło 2 mln zł w 2020 r. ze środków Unii Europejskiej , zapewniają zdobycie nowego zawodu, skorzystanie ze staży oraz uzyskanie zatrudnienia. Podczas szkoleń uczestnicy otrzymują stypendia pozwalające na poprawę sytuacji finansowej rodzin.</w:t>
      </w:r>
    </w:p>
    <w:p w:rsidR="00CA14AB" w:rsidRPr="00E00B35" w:rsidRDefault="00CA14AB" w:rsidP="00E00B35">
      <w:pPr>
        <w:spacing w:after="0" w:line="312" w:lineRule="auto"/>
        <w:rPr>
          <w:szCs w:val="20"/>
        </w:rPr>
      </w:pPr>
      <w:bookmarkStart w:id="532" w:name="_Toc72352479"/>
      <w:bookmarkStart w:id="533" w:name="_Toc72352913"/>
      <w:r w:rsidRPr="00E00B35">
        <w:rPr>
          <w:szCs w:val="20"/>
        </w:rPr>
        <w:t>Dotyczy poz. 33  DIALOG MIĘDZYKULTUROWY</w:t>
      </w:r>
      <w:bookmarkEnd w:id="532"/>
      <w:bookmarkEnd w:id="533"/>
    </w:p>
    <w:p w:rsidR="00CA14AB" w:rsidRPr="00E00B35" w:rsidRDefault="00CA14AB" w:rsidP="00E00B35">
      <w:pPr>
        <w:spacing w:after="0" w:line="312" w:lineRule="auto"/>
        <w:rPr>
          <w:szCs w:val="20"/>
        </w:rPr>
      </w:pPr>
      <w:r w:rsidRPr="00E00B35">
        <w:rPr>
          <w:szCs w:val="20"/>
        </w:rPr>
        <w:t>Gmina Wrocław realizuje od 4 lat projekt społeczny „Wrocław na językach świata”.</w:t>
      </w:r>
      <w:r w:rsidRPr="00E00B35">
        <w:rPr>
          <w:szCs w:val="20"/>
        </w:rPr>
        <w:br/>
        <w:t xml:space="preserve">W ramach projektu mieszkańcy Wrocławia jako wolontariusze uczą obcokrajowców mieszkających- studiujących lub pracujących we Wrocławiu, posługiwania się językiem polskim. Celem projektu jest zwiększenie kompetencji językowych cudzoziemców, a co za tym idzie ułatwianie im funkcjonowania w środowisku pracy oraz we wrocławskiej społeczności.  Na potrzeby projektu funkcjonuje platforma internetowa: www.wnjs.pl , dostępna w 3  językach polskim, angielskim i ukraińskim. W 2020 r. zgłosiło się do kampanii społecznej 160 wolontariuszy oraz 373 obcokrajowców (150 obcokrajowców mniej niż w 2019 r. z powodu pandemii). W ramach 990 tandemów (tandem to 1 wolontariusz i 1 obcokrajowiec lub 1 wolontariusz i kilku obcokrajowców), zorganizowano przeszło 4 000 godzin bezpłatnej nauki języka polskiego dla obcokrajowców z 83 krajów (najwięcej zgłoszeń – Ukraina, ok. 73%, następnie – Indie, Białoruś, Rosja, Brazylia </w:t>
      </w:r>
      <w:r w:rsidRPr="00E00B35">
        <w:rPr>
          <w:szCs w:val="20"/>
        </w:rPr>
        <w:br/>
        <w:t>i Włochy).</w:t>
      </w:r>
    </w:p>
    <w:p w:rsidR="00CA14AB" w:rsidRPr="00E00B35" w:rsidRDefault="00CA14AB" w:rsidP="00E00B35">
      <w:pPr>
        <w:spacing w:after="0" w:line="312" w:lineRule="auto"/>
        <w:rPr>
          <w:szCs w:val="20"/>
        </w:rPr>
      </w:pPr>
      <w:bookmarkStart w:id="534" w:name="_Toc72352480"/>
      <w:bookmarkStart w:id="535" w:name="_Toc72352914"/>
      <w:r w:rsidRPr="00E00B35">
        <w:rPr>
          <w:szCs w:val="20"/>
        </w:rPr>
        <w:lastRenderedPageBreak/>
        <w:t xml:space="preserve">Dotyczy poz. 42 PROGRAMY RESOCJALIZACJI OSÓB SKAZANYCH </w:t>
      </w:r>
      <w:r w:rsidRPr="00E00B35">
        <w:rPr>
          <w:szCs w:val="20"/>
        </w:rPr>
        <w:br/>
        <w:t>I ZAGROŻONYCH WYKLUCZENIEM SPOŁECZNYM</w:t>
      </w:r>
      <w:bookmarkEnd w:id="534"/>
      <w:bookmarkEnd w:id="535"/>
    </w:p>
    <w:p w:rsidR="00CA14AB" w:rsidRPr="00E00B35" w:rsidRDefault="00CA14AB" w:rsidP="00E00B35">
      <w:pPr>
        <w:spacing w:after="0" w:line="312" w:lineRule="auto"/>
        <w:rPr>
          <w:szCs w:val="20"/>
        </w:rPr>
      </w:pPr>
      <w:r w:rsidRPr="00E00B35">
        <w:rPr>
          <w:szCs w:val="20"/>
        </w:rPr>
        <w:t xml:space="preserve">Gmina Wrocław w 2020 r. udzielała wsparcia osobom zagrożonym społecznie </w:t>
      </w:r>
      <w:r w:rsidRPr="00E00B35">
        <w:rPr>
          <w:szCs w:val="20"/>
        </w:rPr>
        <w:br/>
        <w:t xml:space="preserve">i zawodowo. Z organizacji prac na cele społeczne zasądzonych przez Sądy Rejonowe skorzystała rekordowa liczba przeszło 1000 osób, które odpracowały nieodpłatnie przeszło 91 000 godzin  na cele społeczności lokalnej.  Od 2017 roku przeszło dwukrotnie wzrosła liczba godzin zorganizowanych przez Gminę Wrocław i przepracowanych nieodpłatnie w podmiotach publicznych oraz na rzecz organizacji pozarządowych. </w:t>
      </w:r>
    </w:p>
    <w:p w:rsidR="00CA14AB" w:rsidRPr="00E00B35" w:rsidRDefault="00CA14AB" w:rsidP="00E00B35">
      <w:pPr>
        <w:spacing w:after="0" w:line="312" w:lineRule="auto"/>
        <w:rPr>
          <w:szCs w:val="20"/>
        </w:rPr>
      </w:pPr>
      <w:r w:rsidRPr="00E00B35">
        <w:rPr>
          <w:szCs w:val="20"/>
        </w:rPr>
        <w:t xml:space="preserve">Mieszkańcy niezatrudnieni mogli korzystać z bezpłatnych szkoleń zawodowych. </w:t>
      </w:r>
      <w:r w:rsidRPr="00E00B35">
        <w:rPr>
          <w:szCs w:val="20"/>
        </w:rPr>
        <w:br/>
        <w:t xml:space="preserve">Z aktywizacji w ramach projektów dofinansowanych w 2020 r. w kwocie 2 mln zł </w:t>
      </w:r>
      <w:r w:rsidRPr="00E00B35">
        <w:rPr>
          <w:szCs w:val="20"/>
        </w:rPr>
        <w:br/>
        <w:t xml:space="preserve">ze środków Europejskiego Funduszu Społecznego: „Razem można więcej” oraz  Centrum Kompetencji” skorzystało 200 osób, z których co trzecia osoba podjęła zatrudnienie. </w:t>
      </w:r>
      <w:r w:rsidRPr="00E00B35">
        <w:rPr>
          <w:szCs w:val="20"/>
        </w:rPr>
        <w:br/>
        <w:t xml:space="preserve">W dzielnicy Leśnica utworzony i wyposażony został Klub Integracji Społecznej, który dzięki sfinansowaniu siedziby przy ul. Skoczylasa 8 ze środków unijnych, oferuje pomoc niezatrudnionym mieszkańcom Wrocławia doświadczającym ubóstwa z powodu bezrobocia  i niepełnosprawności. Miejsca integracji społecznej i zawodowej w Centrum Integracji  Społecznej i Klubie Integracji Społecznej, dzięki dofinansowaniu unijnemu, które pozyskała Gmina Wrocław, świadczą całoroczną kompleksową i  bezpłatną pomoc. </w:t>
      </w:r>
    </w:p>
    <w:p w:rsidR="00CA14AB" w:rsidRPr="00E00B35" w:rsidRDefault="00CA14AB" w:rsidP="00E00B35">
      <w:pPr>
        <w:spacing w:after="0" w:line="312" w:lineRule="auto"/>
        <w:rPr>
          <w:szCs w:val="20"/>
        </w:rPr>
      </w:pPr>
      <w:r w:rsidRPr="00E00B35">
        <w:rPr>
          <w:szCs w:val="20"/>
        </w:rPr>
        <w:t xml:space="preserve">5500 osób zagrożonych wykluczeniem społecznym i zawodowym z powodu doświadczania skutków pandemii skorzystało z bezpłatnego wsparcia on-line doradców zawodowych </w:t>
      </w:r>
      <w:r w:rsidRPr="00E00B35">
        <w:rPr>
          <w:szCs w:val="20"/>
        </w:rPr>
        <w:br/>
        <w:t xml:space="preserve">i psychologów zatrudnionych  Klubie I centrum Integracji Społecznej. </w:t>
      </w:r>
    </w:p>
    <w:p w:rsidR="00CA14AB" w:rsidRPr="00E00B35" w:rsidRDefault="00CA14AB" w:rsidP="00E00B35">
      <w:pPr>
        <w:spacing w:after="0" w:line="312" w:lineRule="auto"/>
        <w:rPr>
          <w:szCs w:val="20"/>
        </w:rPr>
      </w:pPr>
      <w:r w:rsidRPr="00E00B35">
        <w:rPr>
          <w:noProof/>
          <w:szCs w:val="20"/>
          <w:lang w:val="pl-PL" w:eastAsia="pl-PL" w:bidi="ar-SA"/>
        </w:rPr>
        <w:drawing>
          <wp:inline distT="0" distB="0" distL="0" distR="0">
            <wp:extent cx="4692015" cy="2623185"/>
            <wp:effectExtent l="19050" t="0" r="0" b="0"/>
            <wp:docPr id="82" name="Obraz 2" descr="Wykres pokazuje wzrost liczby godzin odpracowanych w Gminie Wrocław w latach 2017-2020 przez osoby skazane na kary nie izolacyjne  (2017 – 42469 godzin, 2018 – 54038 godzin, 2019 – 65485 godzin, 2020 – 91674 god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ykres pokazuje wzrost liczby godzin odpracowanych w Gminie Wrocław w latach 2017-2020 przez osoby skazane na kary nie izolacyjne  (2017 – 42469 godzin, 2018 – 54038 godzin, 2019 – 65485 godzin, 2020 – 91674 godzin)."/>
                    <pic:cNvPicPr>
                      <a:picLocks noChangeAspect="1" noChangeArrowheads="1"/>
                    </pic:cNvPicPr>
                  </pic:nvPicPr>
                  <pic:blipFill>
                    <a:blip r:embed="rId142" cstate="print">
                      <a:grayscl/>
                      <a:biLevel thresh="50000"/>
                    </a:blip>
                    <a:srcRect/>
                    <a:stretch>
                      <a:fillRect/>
                    </a:stretch>
                  </pic:blipFill>
                  <pic:spPr bwMode="auto">
                    <a:xfrm>
                      <a:off x="0" y="0"/>
                      <a:ext cx="4692015" cy="262318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r w:rsidRPr="00E00B35">
        <w:rPr>
          <w:szCs w:val="20"/>
        </w:rPr>
        <w:t>Wykres pokazuje wzrost liczby godzin odpracowanych w Gminie Wrocław w latach 2017-2020 przez osoby skazane na kary nie izolacyjne  (2017 – 42469 godzin, 2018 – 54038 godzin, 2019 – 65485 godzin, 2020 – 91674 godzin).</w:t>
      </w:r>
    </w:p>
    <w:p w:rsidR="00CA14AB" w:rsidRPr="00E00B35" w:rsidRDefault="00CA14AB" w:rsidP="00E00B35">
      <w:pPr>
        <w:spacing w:after="0" w:line="312" w:lineRule="auto"/>
        <w:rPr>
          <w:szCs w:val="20"/>
        </w:rPr>
      </w:pPr>
      <w:r w:rsidRPr="00E00B35">
        <w:rPr>
          <w:noProof/>
          <w:szCs w:val="20"/>
          <w:lang w:val="pl-PL" w:eastAsia="pl-PL" w:bidi="ar-SA"/>
        </w:rPr>
        <w:lastRenderedPageBreak/>
        <w:drawing>
          <wp:inline distT="0" distB="0" distL="0" distR="0">
            <wp:extent cx="4620260" cy="2454275"/>
            <wp:effectExtent l="19050" t="0" r="8890" b="0"/>
            <wp:docPr id="80" name="Obraz 1" descr="Wykres pokazuje wzrost  liczby osób w latach 2017-2020, skierowanych przez Sądy Rejonowe i zaangażowanych przez Gminę Wrocław do pracy w jednostkach publicznych oraz na cele organizacji pozarządowych ( 2017 – 716 osób, 2018 – 759 osób, 2019 – 780 osób, 2020 – 1108 osó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ykres pokazuje wzrost  liczby osób w latach 2017-2020, skierowanych przez Sądy Rejonowe i zaangażowanych przez Gminę Wrocław do pracy w jednostkach publicznych oraz na cele organizacji pozarządowych ( 2017 – 716 osób, 2018 – 759 osób, 2019 – 780 osób, 2020 – 1108 osób)"/>
                    <pic:cNvPicPr>
                      <a:picLocks noChangeAspect="1" noChangeArrowheads="1"/>
                    </pic:cNvPicPr>
                  </pic:nvPicPr>
                  <pic:blipFill>
                    <a:blip r:embed="rId143" cstate="print">
                      <a:grayscl/>
                      <a:biLevel thresh="50000"/>
                    </a:blip>
                    <a:srcRect/>
                    <a:stretch>
                      <a:fillRect/>
                    </a:stretch>
                  </pic:blipFill>
                  <pic:spPr bwMode="auto">
                    <a:xfrm>
                      <a:off x="0" y="0"/>
                      <a:ext cx="4620260" cy="2454275"/>
                    </a:xfrm>
                    <a:prstGeom prst="rect">
                      <a:avLst/>
                    </a:prstGeom>
                    <a:noFill/>
                    <a:ln w="9525">
                      <a:noFill/>
                      <a:miter lim="800000"/>
                      <a:headEnd/>
                      <a:tailEnd/>
                    </a:ln>
                  </pic:spPr>
                </pic:pic>
              </a:graphicData>
            </a:graphic>
          </wp:inline>
        </w:drawing>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Wykres pokazuje wzrost  liczby osób w latach 2017-2020, skierowanych przez Sądy Rejonowe i zaangażowanych przez Gminę Wrocław do pracy w jednostkach publicznych oraz na cele organizacji pozarządowych ( 2017 – 716 osób, 2018 – 759 osób, 2019 – 780 osób, 2020 – 1108 osób)</w:t>
      </w:r>
    </w:p>
    <w:p w:rsidR="00CA14AB" w:rsidRPr="00E00B35" w:rsidRDefault="00CA14AB" w:rsidP="00E00B35">
      <w:pPr>
        <w:spacing w:after="0" w:line="312" w:lineRule="auto"/>
        <w:rPr>
          <w:szCs w:val="20"/>
        </w:rPr>
      </w:pPr>
      <w:bookmarkStart w:id="536" w:name="_Toc72352481"/>
      <w:bookmarkStart w:id="537" w:name="_Toc72352915"/>
      <w:bookmarkStart w:id="538" w:name="_Toc72357858"/>
      <w:bookmarkStart w:id="539" w:name="_Toc72358012"/>
      <w:r w:rsidRPr="00E00B35">
        <w:rPr>
          <w:szCs w:val="20"/>
        </w:rPr>
        <w:t>ZESPÓŁ PLACÓWEK OPIEKUŃCZO – WYCHOWAWCZYCH „DZIECIĘCY DOM”</w:t>
      </w:r>
      <w:bookmarkEnd w:id="536"/>
      <w:bookmarkEnd w:id="537"/>
      <w:bookmarkEnd w:id="538"/>
      <w:bookmarkEnd w:id="539"/>
      <w:r w:rsidRPr="00E00B35">
        <w:rPr>
          <w:szCs w:val="20"/>
        </w:rPr>
        <w:t xml:space="preserve"> </w:t>
      </w:r>
    </w:p>
    <w:p w:rsidR="00CA14AB" w:rsidRPr="00E00B35" w:rsidRDefault="00CA14AB" w:rsidP="00E00B35">
      <w:pPr>
        <w:spacing w:after="0" w:line="312" w:lineRule="auto"/>
        <w:rPr>
          <w:szCs w:val="20"/>
        </w:rPr>
      </w:pPr>
      <w:r w:rsidRPr="00E00B35">
        <w:rPr>
          <w:szCs w:val="20"/>
        </w:rPr>
        <w:t>Zespół Placówek Opiekuńczo – Wychowawczych „Dziecięcy Dom” w roku 2020 kontynuował swoją działalność instytucjonalnej pieczy zastępczej w ramach pięciu placówek: Placówka Interwencyjna nr 1, Placówka Interwencyjna nr 5, Placówka Socjalizacyjna nr 2, Placówka Specjalistyczno – Terapeutyczna nr 3 i Placówka Specjalistyczno – Terapeutyczna nr 4. Przedmiotem działalności Dziecięcego Domu jest zapewnienie całodobowej opieki i wychowania dzieciom w przypadkach niemożności sprawowania opieki i wychowania przez rodziców, w ramach limitu miejsc: 66.</w:t>
      </w:r>
    </w:p>
    <w:p w:rsidR="00CA14AB" w:rsidRPr="00E00B35" w:rsidRDefault="00CA14AB" w:rsidP="00E00B35">
      <w:pPr>
        <w:spacing w:after="0" w:line="312" w:lineRule="auto"/>
        <w:rPr>
          <w:szCs w:val="20"/>
        </w:rPr>
      </w:pPr>
      <w:r w:rsidRPr="00E00B35">
        <w:rPr>
          <w:szCs w:val="20"/>
        </w:rPr>
        <w:t>W roku 2020 w Dziecięcym Domu przebywało ogółem 130 dzieci  Z tej liczby przyjętych zostało na wniosek sądu – 124 dzieci, w wyniku interwencji  policji – 6 dzieci. Ogółem w roku sprawozdawczym przyjęto 65 dzieci, a wypisano 55 w tym: w wyniku podjętej przez rodziców współpracy 21 dzieci powróciło do swoich rodzin, we współpracy z sądami i ośrodkami adopcyjnymi umieszczono 25 dzieci w rodzinach adopcyjnych i 1 dziecko w rodzinie zastępczej, 1 dziecko przeniesiono do Rodzinnego Domu Dziecka oraz przekierowano 6 dzieci do innych placówek instytucjonalnej pieczy zastępczej, a 1 w Zakładzie Opiekuńczo – Leczniczym.</w:t>
      </w:r>
    </w:p>
    <w:p w:rsidR="00CA14AB" w:rsidRPr="00E00B35" w:rsidRDefault="00CA14AB" w:rsidP="00E00B35">
      <w:pPr>
        <w:spacing w:after="0" w:line="312" w:lineRule="auto"/>
        <w:rPr>
          <w:szCs w:val="20"/>
        </w:rPr>
      </w:pPr>
      <w:r w:rsidRPr="00E00B35">
        <w:rPr>
          <w:szCs w:val="20"/>
        </w:rPr>
        <w:t>Funkcję opiekuna prawnego sprawował specjalista pracy z rodziną dla 48 wychowanków.</w:t>
      </w:r>
    </w:p>
    <w:p w:rsidR="00CA14AB" w:rsidRPr="00E00B35" w:rsidRDefault="00CA14AB" w:rsidP="00E00B35">
      <w:pPr>
        <w:spacing w:after="0" w:line="312" w:lineRule="auto"/>
        <w:rPr>
          <w:szCs w:val="20"/>
        </w:rPr>
      </w:pPr>
      <w:r w:rsidRPr="00E00B35">
        <w:rPr>
          <w:szCs w:val="20"/>
        </w:rPr>
        <w:t>Analiza ruchu wychowanków w Dziecięcym Domu w latach 2019 - 2020</w:t>
      </w:r>
    </w:p>
    <w:tbl>
      <w:tblPr>
        <w:tblW w:w="9212" w:type="dxa"/>
        <w:tblLook w:val="01E0"/>
      </w:tblPr>
      <w:tblGrid>
        <w:gridCol w:w="3528"/>
        <w:gridCol w:w="2878"/>
        <w:gridCol w:w="2806"/>
      </w:tblGrid>
      <w:tr w:rsidR="00CA14AB" w:rsidRPr="00E00B35" w:rsidTr="00CA14AB">
        <w:tc>
          <w:tcPr>
            <w:tcW w:w="352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p>
        </w:tc>
        <w:tc>
          <w:tcPr>
            <w:tcW w:w="287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ab/>
              <w:t>2019</w:t>
            </w:r>
          </w:p>
        </w:tc>
        <w:tc>
          <w:tcPr>
            <w:tcW w:w="2806"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2020</w:t>
            </w:r>
          </w:p>
        </w:tc>
      </w:tr>
      <w:tr w:rsidR="00CA14AB" w:rsidRPr="00E00B35" w:rsidTr="00CA14AB">
        <w:tc>
          <w:tcPr>
            <w:tcW w:w="352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Przebywało ogółem dzieci</w:t>
            </w:r>
          </w:p>
        </w:tc>
        <w:tc>
          <w:tcPr>
            <w:tcW w:w="287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129</w:t>
            </w:r>
          </w:p>
        </w:tc>
        <w:tc>
          <w:tcPr>
            <w:tcW w:w="2806"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130</w:t>
            </w:r>
          </w:p>
        </w:tc>
      </w:tr>
      <w:tr w:rsidR="00CA14AB" w:rsidRPr="00E00B35" w:rsidTr="00CA14AB">
        <w:tc>
          <w:tcPr>
            <w:tcW w:w="352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na wniosek sądu</w:t>
            </w:r>
          </w:p>
        </w:tc>
        <w:tc>
          <w:tcPr>
            <w:tcW w:w="287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124</w:t>
            </w:r>
          </w:p>
        </w:tc>
        <w:tc>
          <w:tcPr>
            <w:tcW w:w="2806"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124</w:t>
            </w:r>
          </w:p>
        </w:tc>
      </w:tr>
      <w:tr w:rsidR="00CA14AB" w:rsidRPr="00E00B35" w:rsidTr="00CA14AB">
        <w:tc>
          <w:tcPr>
            <w:tcW w:w="352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z interwencji policji</w:t>
            </w:r>
          </w:p>
        </w:tc>
        <w:tc>
          <w:tcPr>
            <w:tcW w:w="287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5</w:t>
            </w:r>
          </w:p>
        </w:tc>
        <w:tc>
          <w:tcPr>
            <w:tcW w:w="2806"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6</w:t>
            </w:r>
          </w:p>
        </w:tc>
      </w:tr>
      <w:tr w:rsidR="00CA14AB" w:rsidRPr="00E00B35" w:rsidTr="00CA14AB">
        <w:tc>
          <w:tcPr>
            <w:tcW w:w="352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Przyjęto ogółem</w:t>
            </w:r>
          </w:p>
        </w:tc>
        <w:tc>
          <w:tcPr>
            <w:tcW w:w="287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58</w:t>
            </w:r>
          </w:p>
        </w:tc>
        <w:tc>
          <w:tcPr>
            <w:tcW w:w="2806"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65</w:t>
            </w:r>
          </w:p>
        </w:tc>
      </w:tr>
      <w:tr w:rsidR="00CA14AB" w:rsidRPr="00E00B35" w:rsidTr="00CA14AB">
        <w:tc>
          <w:tcPr>
            <w:tcW w:w="352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Wypisano ogółem</w:t>
            </w:r>
          </w:p>
        </w:tc>
        <w:tc>
          <w:tcPr>
            <w:tcW w:w="287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64</w:t>
            </w:r>
          </w:p>
        </w:tc>
        <w:tc>
          <w:tcPr>
            <w:tcW w:w="2806"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55</w:t>
            </w:r>
          </w:p>
        </w:tc>
      </w:tr>
      <w:tr w:rsidR="00CA14AB" w:rsidRPr="00E00B35" w:rsidTr="00CA14AB">
        <w:tc>
          <w:tcPr>
            <w:tcW w:w="352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do rodziny własnej</w:t>
            </w:r>
          </w:p>
        </w:tc>
        <w:tc>
          <w:tcPr>
            <w:tcW w:w="287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27</w:t>
            </w:r>
          </w:p>
        </w:tc>
        <w:tc>
          <w:tcPr>
            <w:tcW w:w="2806"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21</w:t>
            </w:r>
          </w:p>
        </w:tc>
      </w:tr>
      <w:tr w:rsidR="00CA14AB" w:rsidRPr="00E00B35" w:rsidTr="00CA14AB">
        <w:tc>
          <w:tcPr>
            <w:tcW w:w="352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lastRenderedPageBreak/>
              <w:t>do rodziny adopcyjnej</w:t>
            </w:r>
          </w:p>
        </w:tc>
        <w:tc>
          <w:tcPr>
            <w:tcW w:w="287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15</w:t>
            </w:r>
          </w:p>
        </w:tc>
        <w:tc>
          <w:tcPr>
            <w:tcW w:w="2806"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25</w:t>
            </w:r>
          </w:p>
        </w:tc>
      </w:tr>
      <w:tr w:rsidR="00CA14AB" w:rsidRPr="00E00B35" w:rsidTr="00CA14AB">
        <w:tc>
          <w:tcPr>
            <w:tcW w:w="352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do rodziny zastępczej</w:t>
            </w:r>
          </w:p>
        </w:tc>
        <w:tc>
          <w:tcPr>
            <w:tcW w:w="287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8</w:t>
            </w:r>
          </w:p>
        </w:tc>
        <w:tc>
          <w:tcPr>
            <w:tcW w:w="2806"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352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do innych placówek</w:t>
            </w:r>
          </w:p>
        </w:tc>
        <w:tc>
          <w:tcPr>
            <w:tcW w:w="2878"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14</w:t>
            </w:r>
          </w:p>
        </w:tc>
        <w:tc>
          <w:tcPr>
            <w:tcW w:w="2806" w:type="dxa"/>
            <w:tcBorders>
              <w:top w:val="single" w:sz="4" w:space="0" w:color="000000"/>
              <w:left w:val="single" w:sz="4" w:space="0" w:color="000000"/>
              <w:bottom w:val="single" w:sz="4" w:space="0" w:color="000000"/>
              <w:right w:val="single" w:sz="4" w:space="0" w:color="000000"/>
            </w:tcBorders>
          </w:tcPr>
          <w:p w:rsidR="00CA14AB" w:rsidRPr="00E00B35" w:rsidRDefault="00CA14AB" w:rsidP="00E00B35">
            <w:pPr>
              <w:spacing w:after="0" w:line="312" w:lineRule="auto"/>
              <w:rPr>
                <w:szCs w:val="20"/>
              </w:rPr>
            </w:pPr>
            <w:r w:rsidRPr="00E00B35">
              <w:rPr>
                <w:szCs w:val="20"/>
              </w:rPr>
              <w:t>6</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 xml:space="preserve">Sprawozdanie z wykonania budżetu: </w:t>
      </w:r>
    </w:p>
    <w:p w:rsidR="00CA14AB" w:rsidRPr="00E00B35" w:rsidRDefault="00CA14AB" w:rsidP="00E00B35">
      <w:pPr>
        <w:spacing w:after="0" w:line="312" w:lineRule="auto"/>
        <w:rPr>
          <w:szCs w:val="20"/>
        </w:rPr>
      </w:pPr>
      <w:r w:rsidRPr="00E00B35">
        <w:rPr>
          <w:szCs w:val="20"/>
        </w:rPr>
        <w:t>W roku 2020 wydano na działalność Dziecięcego Domu kwotę 6.584.877,94 PLN.</w:t>
      </w:r>
    </w:p>
    <w:p w:rsidR="00CA14AB" w:rsidRPr="00E00B35" w:rsidRDefault="00CA14AB" w:rsidP="00E00B35">
      <w:pPr>
        <w:spacing w:after="0" w:line="312" w:lineRule="auto"/>
        <w:rPr>
          <w:szCs w:val="20"/>
        </w:rPr>
      </w:pPr>
      <w:r w:rsidRPr="00E00B35">
        <w:rPr>
          <w:szCs w:val="20"/>
        </w:rPr>
        <w:t>(W tym dotacja w wysokości 68.151 na dziecko z zagranicy)</w:t>
      </w:r>
    </w:p>
    <w:p w:rsidR="00CA14AB" w:rsidRPr="00E00B35" w:rsidRDefault="00CA14AB" w:rsidP="00E00B35">
      <w:pPr>
        <w:spacing w:after="0" w:line="312" w:lineRule="auto"/>
        <w:rPr>
          <w:szCs w:val="20"/>
        </w:rPr>
      </w:pPr>
      <w:bookmarkStart w:id="540" w:name="_Toc72352482"/>
      <w:bookmarkStart w:id="541" w:name="_Toc72352916"/>
      <w:r w:rsidRPr="00E00B35">
        <w:rPr>
          <w:szCs w:val="20"/>
        </w:rPr>
        <w:t>OPIEKA MEDYCZNA</w:t>
      </w:r>
      <w:bookmarkEnd w:id="540"/>
      <w:bookmarkEnd w:id="541"/>
      <w:r w:rsidRPr="00E00B35">
        <w:rPr>
          <w:szCs w:val="20"/>
        </w:rPr>
        <w:t xml:space="preserve"> </w:t>
      </w:r>
    </w:p>
    <w:p w:rsidR="00CA14AB" w:rsidRPr="00E00B35" w:rsidRDefault="00CA14AB" w:rsidP="00E00B35">
      <w:pPr>
        <w:spacing w:after="0" w:line="312" w:lineRule="auto"/>
        <w:rPr>
          <w:szCs w:val="20"/>
        </w:rPr>
      </w:pPr>
      <w:r w:rsidRPr="00E00B35">
        <w:rPr>
          <w:szCs w:val="20"/>
        </w:rPr>
        <w:t>Wszystkim wychowankom zapewniono całodobową opiekę pielęgniarską oraz codzienną opiekę lekarza pediatry.</w:t>
      </w:r>
    </w:p>
    <w:p w:rsidR="00CA14AB" w:rsidRPr="00E00B35" w:rsidRDefault="00CA14AB" w:rsidP="00E00B35">
      <w:pPr>
        <w:spacing w:after="0" w:line="312" w:lineRule="auto"/>
        <w:rPr>
          <w:szCs w:val="20"/>
        </w:rPr>
      </w:pPr>
      <w:r w:rsidRPr="00E00B35">
        <w:rPr>
          <w:szCs w:val="20"/>
        </w:rPr>
        <w:t>U dzieci przebywających w Zespole Placówek Opiekuńczo – Wychowawczych „Dziecięcy Dom” zdiagnozowano następujące deficyty zdrowotne: próchnica (30), wada postawy (21), opóźniony rozwój psychoruchowy (14), żółtaczka noworodków (14), wady serca (13), wada wzroku (12), nadpobudliwość psychoruchowa (9), alergia pokarmowa (9), wada wymowy (8), dziecko nosicielki chorób przenoszonych drogą płciową (7), zez (5), hipotrofia (5), przepuklina pępkowa (5), dzieci matek z zaburzeniami psychicznymi (5), zespół dysmorficzny (5), wcześniactwo (5), wylewy dokomorowe (4), małogłowie (4), niedoczynność tarczycy (4), atopowe zapalenie skóry (3), wada rozwojowa kończyn dolnych (3), zespół abstynencyjny (3), naczyniak (3), koślawe stopy (3), koślawość kolan (3), wady układu moczowego (3), wodniak jądra (3), ubytek słuchu (3), niedobór wagi (3), wcześniactwo (2), zespół Coffina – Lowryego (2), przerost III migdałka (2), mózgowe porażenie dziecięce (2), zastawka komorowo-otrzewnowa (2), wnętrostwo (2), wędrujące jądra (2), brak jądra (1), wada rozwojowa dłoni (2), wodogłowie (1), epilepsja (1), zespół Potocki – Lupski (1), skrajna otyłość (1), rozszczep podniebienia (1), retinopatia wcześniacza (1), krwiak podokostnowy (1), zrośnięcie warg sromowych (1),  niedowład kończyn dolnych - dziecko poruszające się na wózku inwalidzkim (1).</w:t>
      </w:r>
    </w:p>
    <w:p w:rsidR="00CA14AB" w:rsidRPr="00E00B35" w:rsidRDefault="00CA14AB" w:rsidP="00E00B35">
      <w:pPr>
        <w:spacing w:after="0" w:line="312" w:lineRule="auto"/>
        <w:rPr>
          <w:szCs w:val="20"/>
        </w:rPr>
      </w:pPr>
      <w:r w:rsidRPr="00E00B35">
        <w:rPr>
          <w:szCs w:val="20"/>
        </w:rPr>
        <w:t xml:space="preserve">Zdiagnozowane deficyty zdrowotne miały wpływ na wskaźnik zachorowalności. Zanotowano 335 zachorowań. Głównie były to: infekcje górnych dróg oddechowych (107), nieżyt nosa (43), infekcje wirusowe (52), zmiany skórne (19), dyspepsje (13), zapalenie gardła (23), zapalenie ucha (13), alergie (31), zapalenia oskrzeli (28) i inne. Leczenie antybiotykiem zastosowano u 52 dzieci, oraz leczenie objawowe u 283 dzieci. </w:t>
      </w:r>
    </w:p>
    <w:p w:rsidR="00CA14AB" w:rsidRPr="00E00B35" w:rsidRDefault="00CA14AB" w:rsidP="00E00B35">
      <w:pPr>
        <w:spacing w:after="0" w:line="312" w:lineRule="auto"/>
        <w:rPr>
          <w:szCs w:val="20"/>
        </w:rPr>
      </w:pPr>
      <w:r w:rsidRPr="00E00B35">
        <w:rPr>
          <w:szCs w:val="20"/>
        </w:rPr>
        <w:t xml:space="preserve">W roku 2020 przeprowadzono 124 konsultacje specjalistyczne: neurologiczne (31), okulistyczne (29), laryngologiczne (19), ortopedyczne (17), kardiologiczne (6), dermatologiczne (3), nefrologiczne (3), w poradni chirurgicznej dla dzieci (5), w Klinice Chorób Zakaźnych (3), w poradni szczepień (2), stomatologiczne (2), gastrologiczne (2), endokrynologiczne (2). Nie odbyło się 27 zaplanowanych konsultacji ze względu na epidemię COVID-19 oraz zamknięcie większości poradni specjalistycznych w okresie od marca do czerwca 2020 roku. Wiele z planowanych wizyt nie doszło do skutku z powodu niemożności zarejestrowania dziecka na dany termin do lekarza i z powodu zamknięcia  niektórych poradni specjalistycznych. </w:t>
      </w:r>
    </w:p>
    <w:p w:rsidR="00CA14AB" w:rsidRPr="00E00B35" w:rsidRDefault="00CA14AB" w:rsidP="00E00B35">
      <w:pPr>
        <w:spacing w:after="0" w:line="312" w:lineRule="auto"/>
        <w:rPr>
          <w:szCs w:val="20"/>
        </w:rPr>
      </w:pPr>
      <w:r w:rsidRPr="00E00B35">
        <w:rPr>
          <w:szCs w:val="20"/>
        </w:rPr>
        <w:t>U wychowanków przeprowadzane były także badania specjalistyczne: EEG (3), USG jamy brzusznej (4), USG serca (2), badanie HRT (1).</w:t>
      </w:r>
    </w:p>
    <w:p w:rsidR="00CA14AB" w:rsidRPr="00E00B35" w:rsidRDefault="00CA14AB" w:rsidP="00E00B35">
      <w:pPr>
        <w:spacing w:after="0" w:line="312" w:lineRule="auto"/>
        <w:rPr>
          <w:szCs w:val="20"/>
        </w:rPr>
      </w:pPr>
      <w:r w:rsidRPr="00E00B35">
        <w:rPr>
          <w:szCs w:val="20"/>
        </w:rPr>
        <w:lastRenderedPageBreak/>
        <w:t xml:space="preserve">Hospitalizowano 5 dzieci z czego 2 hospitalizacje były w trybie nagłym. Przeprowadzono 1 zabieg operacyjny w trybie planowym. </w:t>
      </w:r>
    </w:p>
    <w:p w:rsidR="00CA14AB" w:rsidRPr="00E00B35" w:rsidRDefault="00CA14AB" w:rsidP="00E00B35">
      <w:pPr>
        <w:spacing w:after="0" w:line="312" w:lineRule="auto"/>
        <w:rPr>
          <w:szCs w:val="20"/>
        </w:rPr>
      </w:pPr>
      <w:r w:rsidRPr="00E00B35">
        <w:rPr>
          <w:szCs w:val="20"/>
        </w:rPr>
        <w:t>Zaszczepiono 36 dzieci, którym podano łącznie 90 dawek szczepionek.</w:t>
      </w:r>
    </w:p>
    <w:p w:rsidR="00CA14AB" w:rsidRPr="00E00B35" w:rsidRDefault="00CA14AB" w:rsidP="00E00B35">
      <w:pPr>
        <w:spacing w:after="0" w:line="312" w:lineRule="auto"/>
        <w:rPr>
          <w:szCs w:val="20"/>
        </w:rPr>
      </w:pPr>
      <w:r w:rsidRPr="00E00B35">
        <w:rPr>
          <w:szCs w:val="20"/>
        </w:rPr>
        <w:t xml:space="preserve">Z orzeczeniem o niepełnosprawności przebywało 11 dzieci. </w:t>
      </w:r>
    </w:p>
    <w:p w:rsidR="00CA14AB" w:rsidRPr="00E00B35" w:rsidRDefault="00CA14AB" w:rsidP="00E00B35">
      <w:pPr>
        <w:spacing w:after="0" w:line="312" w:lineRule="auto"/>
        <w:rPr>
          <w:szCs w:val="20"/>
        </w:rPr>
      </w:pPr>
      <w:r w:rsidRPr="00E00B35">
        <w:rPr>
          <w:szCs w:val="20"/>
        </w:rPr>
        <w:t>Zachorowania na COVID – 19 nie wpłynęły na funkcjonowanie placówek. Chorowało 5 osób personelu (w różnych terminach), a 9 zostało poddanych kwarantannie/izolacji.  U wychowanków nie stwierdzono zachorowań. Przestrzegano wszelkich obostrzeń i profilaktyki w postaci dezynfekcji pomieszczeń, sprzętów, rąk, używania maseczek ochronnych, fartuchów i zachowywania dystansu społecznego.</w:t>
      </w:r>
    </w:p>
    <w:p w:rsidR="00CA14AB" w:rsidRPr="00E00B35" w:rsidRDefault="00CA14AB" w:rsidP="00E00B35">
      <w:pPr>
        <w:spacing w:after="0" w:line="312" w:lineRule="auto"/>
        <w:rPr>
          <w:szCs w:val="20"/>
        </w:rPr>
      </w:pPr>
      <w:bookmarkStart w:id="542" w:name="_Toc72352483"/>
      <w:bookmarkStart w:id="543" w:name="_Toc72352917"/>
      <w:r w:rsidRPr="00E00B35">
        <w:rPr>
          <w:szCs w:val="20"/>
        </w:rPr>
        <w:t>OPIEKA SPECJALISTYCZNA I TERAPEUTYCZNA</w:t>
      </w:r>
      <w:bookmarkEnd w:id="542"/>
      <w:bookmarkEnd w:id="543"/>
    </w:p>
    <w:p w:rsidR="00CA14AB" w:rsidRPr="00E00B35" w:rsidRDefault="00CA14AB" w:rsidP="00E00B35">
      <w:pPr>
        <w:spacing w:after="0" w:line="312" w:lineRule="auto"/>
        <w:rPr>
          <w:szCs w:val="20"/>
        </w:rPr>
      </w:pPr>
      <w:r w:rsidRPr="00E00B35">
        <w:rPr>
          <w:szCs w:val="20"/>
        </w:rPr>
        <w:t xml:space="preserve">W roku 2020 psychologowie realizowali swoje obowiązki w stosunku do 130 dzieci. Opieka psychologiczna obejmowała diagnozę rozwojową i działania stymulujące rozwój. Wśród obserwowanych problemów manifestowanych przez dzieci podczas ich pobytu w placówce wyróżnić można zaniedbania opiekuńcze, wychowawcze, emocjonalno – społeczne, rozwojowe, doświadczenia różnych form agresji  w rodzinie biologicznej (51), </w:t>
      </w:r>
    </w:p>
    <w:p w:rsidR="00CA14AB" w:rsidRPr="00E00B35" w:rsidRDefault="00CA14AB" w:rsidP="00E00B35">
      <w:pPr>
        <w:spacing w:after="0" w:line="312" w:lineRule="auto"/>
        <w:rPr>
          <w:szCs w:val="20"/>
        </w:rPr>
      </w:pPr>
      <w:r w:rsidRPr="00E00B35">
        <w:rPr>
          <w:szCs w:val="20"/>
        </w:rPr>
        <w:t>FASD i FAS – stwierdzony lub w obserwacji (5), zaburzone funkcjonowanie emocjonalno – społeczne, w tym zachowania opozycyjno – buntownicze (35), w tym leczonych psychiatrycznie (4), z elementami nadpobudliwości (19).</w:t>
      </w:r>
    </w:p>
    <w:p w:rsidR="00CA14AB" w:rsidRPr="00E00B35" w:rsidRDefault="00CA14AB" w:rsidP="00E00B35">
      <w:pPr>
        <w:spacing w:after="0" w:line="312" w:lineRule="auto"/>
        <w:rPr>
          <w:szCs w:val="20"/>
        </w:rPr>
      </w:pPr>
      <w:r w:rsidRPr="00E00B35">
        <w:rPr>
          <w:szCs w:val="20"/>
        </w:rPr>
        <w:t>Wszystkie dzieci miały zapewnioną opiekę psychologiczno – pedagogiczną oraz uczestniczyły w zajęciach specjalistycznych: wyrównawczych, korekcyjnych, usprawniających, wyciszających, stymulujących, relaksacyjnych i edukacyjnych prowadzonych różnymi metodami.</w:t>
      </w:r>
    </w:p>
    <w:p w:rsidR="00CA14AB" w:rsidRPr="00E00B35" w:rsidRDefault="00CA14AB" w:rsidP="00E00B35">
      <w:pPr>
        <w:spacing w:after="0" w:line="312" w:lineRule="auto"/>
        <w:rPr>
          <w:szCs w:val="20"/>
        </w:rPr>
      </w:pPr>
      <w:r w:rsidRPr="00E00B35">
        <w:rPr>
          <w:szCs w:val="20"/>
        </w:rPr>
        <w:t>Pod opieką neurologopedy i terapeuty integracji sensorycznej pozostawało 81 dzieci,</w:t>
      </w:r>
      <w:r w:rsidRPr="00E00B35">
        <w:rPr>
          <w:szCs w:val="20"/>
        </w:rPr>
        <w:br/>
        <w:t>w tym: z rozszczepem podniebienia, niedosłuchem oraz z zespołem FAS  (1), z afazją motoryczną (2), z mózgowym porażeniem dziecięcym i współistniejącą z nim dyzartrią (1), dyslalią (15) (w tym parasygmatyzmem 10), z zaburzeniami miofunkcjonalnymi (8), opóźnionym rozwojem mowy (alalia prolongata) (9). Kontynuowano postępowanie logopedyczne w przypadku oligofazji (2). Objęto opieką dzieci z nieharmonijnym rozwojem psychoruchowym (20) oraz ze specyficznymi problemami szkolnymi, orzeczeniami poradni psychologiczno – pedagogicznych (13).</w:t>
      </w:r>
    </w:p>
    <w:p w:rsidR="00CA14AB" w:rsidRPr="00E00B35" w:rsidRDefault="00CA14AB" w:rsidP="00E00B35">
      <w:pPr>
        <w:spacing w:after="0" w:line="312" w:lineRule="auto"/>
        <w:rPr>
          <w:szCs w:val="20"/>
        </w:rPr>
      </w:pPr>
      <w:r w:rsidRPr="00E00B35">
        <w:rPr>
          <w:szCs w:val="20"/>
        </w:rPr>
        <w:t>Wczesnym wspomaganiem rozwoju, opieką neurologopedyczną niemowląt i karmieniem terapeutycznym objęto 10 dzieci.</w:t>
      </w:r>
    </w:p>
    <w:p w:rsidR="00CA14AB" w:rsidRPr="00E00B35" w:rsidRDefault="00CA14AB" w:rsidP="00E00B35">
      <w:pPr>
        <w:spacing w:after="0" w:line="312" w:lineRule="auto"/>
        <w:rPr>
          <w:szCs w:val="20"/>
        </w:rPr>
      </w:pPr>
      <w:r w:rsidRPr="00E00B35">
        <w:rPr>
          <w:szCs w:val="20"/>
        </w:rPr>
        <w:t>Dzieciom z orzeczeniem o niepełnosprawności zapewniono wielospecjalistyczną terapię,</w:t>
      </w:r>
      <w:r w:rsidRPr="00E00B35">
        <w:rPr>
          <w:szCs w:val="20"/>
        </w:rPr>
        <w:br/>
        <w:t>w tym fizjoterapię. Dzieciom z deficytami w rozwoju psychoruchowym i z wadami postawy oraz zaburzeniami koordynacji zapewniono rehabilitację. Fizjoterapię zastosowano z powodu: osłabienia mięśni postawy, brzucha lub kończyn górnych/dolnych,  zaburzeń postawy/ skoliozy/ skrzywienia bocznego, problemów z napięciem mięśniowym/ przykurczami, zaburzenia koordynacji/ równowagi,  zaburzenia chodu, znacznego opóźnienia w rozwoju motorycznym, upośledzenia umysłowego lub zaburzenia w obrębie mózgu,  zespołów zaburzeń lub genetycznych, dysfunkcji w obrębie kończyn górnych , mózgowego porażenia dziecięcego.</w:t>
      </w:r>
    </w:p>
    <w:p w:rsidR="00CA14AB" w:rsidRPr="00E00B35" w:rsidRDefault="00CA14AB" w:rsidP="00E00B35">
      <w:pPr>
        <w:spacing w:after="0" w:line="312" w:lineRule="auto"/>
        <w:rPr>
          <w:szCs w:val="20"/>
        </w:rPr>
      </w:pPr>
      <w:r w:rsidRPr="00E00B35">
        <w:rPr>
          <w:szCs w:val="20"/>
        </w:rPr>
        <w:t>Obowiązek szkolny realizowało w drugim semestrze 2019/2020 ogółem 21 wychowanków.</w:t>
      </w:r>
    </w:p>
    <w:p w:rsidR="00CA14AB" w:rsidRPr="00E00B35" w:rsidRDefault="00CA14AB" w:rsidP="00E00B35">
      <w:pPr>
        <w:spacing w:after="0" w:line="312" w:lineRule="auto"/>
        <w:rPr>
          <w:szCs w:val="20"/>
        </w:rPr>
      </w:pPr>
      <w:r w:rsidRPr="00E00B35">
        <w:rPr>
          <w:szCs w:val="20"/>
        </w:rPr>
        <w:lastRenderedPageBreak/>
        <w:t>Była to nauka realizowana zdalnie ze względu na panującą pandemię koronawirusa.</w:t>
      </w:r>
    </w:p>
    <w:p w:rsidR="00CA14AB" w:rsidRPr="00E00B35" w:rsidRDefault="00CA14AB" w:rsidP="00E00B35">
      <w:pPr>
        <w:spacing w:after="0" w:line="312" w:lineRule="auto"/>
        <w:rPr>
          <w:szCs w:val="20"/>
        </w:rPr>
      </w:pPr>
      <w:r w:rsidRPr="00E00B35">
        <w:rPr>
          <w:szCs w:val="20"/>
        </w:rPr>
        <w:t xml:space="preserve">W Szkole Podstawowej nr 12 we Wrocławiu  - 14 wychowanków,  w Szkole Podstawowej nr 75 z Oddziałami Integracyjnymi – 1, w Szkole Podstawowej nr 116 dla Uczniów </w:t>
      </w:r>
      <w:r w:rsidRPr="00E00B35">
        <w:rPr>
          <w:szCs w:val="20"/>
        </w:rPr>
        <w:br/>
        <w:t xml:space="preserve">z Mózgowym Porażeniem Dziecięcym – 1, w Szkole Podstawowej Specjalnej nr 87 – 1, </w:t>
      </w:r>
      <w:r w:rsidRPr="00E00B35">
        <w:rPr>
          <w:szCs w:val="20"/>
        </w:rPr>
        <w:br/>
        <w:t>w Szkole Podstawowej Specjalnej nr 89 – 1 w Szkole Podstawowej nr 120 (Neuromed) – 1. w MOS Kłodzko – 1, w LO Długołęka – 1.</w:t>
      </w:r>
    </w:p>
    <w:p w:rsidR="00CA14AB" w:rsidRPr="00E00B35" w:rsidRDefault="00CA14AB" w:rsidP="00E00B35">
      <w:pPr>
        <w:spacing w:after="0" w:line="312" w:lineRule="auto"/>
        <w:rPr>
          <w:szCs w:val="20"/>
        </w:rPr>
      </w:pPr>
      <w:r w:rsidRPr="00E00B35">
        <w:rPr>
          <w:szCs w:val="20"/>
        </w:rPr>
        <w:t>Nauczaniem specjalnym, integracyjnym objętych było na mocy orzeczenia poradni psychologiczno – pedagogicznych 7 uczniów.</w:t>
      </w:r>
    </w:p>
    <w:p w:rsidR="00CA14AB" w:rsidRPr="00E00B35" w:rsidRDefault="00CA14AB" w:rsidP="00E00B35">
      <w:pPr>
        <w:spacing w:after="0" w:line="312" w:lineRule="auto"/>
        <w:rPr>
          <w:szCs w:val="20"/>
        </w:rPr>
      </w:pPr>
      <w:r w:rsidRPr="00E00B35">
        <w:rPr>
          <w:szCs w:val="20"/>
        </w:rPr>
        <w:t xml:space="preserve">W dniu zakończenia roku szkolnego 2019/2020 promocję do następnych klas uzyskali wszyscy wychowankowie tj. 21 uczniów. </w:t>
      </w:r>
    </w:p>
    <w:p w:rsidR="00CA14AB" w:rsidRPr="00E00B35" w:rsidRDefault="00CA14AB" w:rsidP="00E00B35">
      <w:pPr>
        <w:spacing w:after="0" w:line="312" w:lineRule="auto"/>
        <w:rPr>
          <w:szCs w:val="20"/>
        </w:rPr>
      </w:pPr>
      <w:r w:rsidRPr="00E00B35">
        <w:rPr>
          <w:szCs w:val="20"/>
        </w:rPr>
        <w:t xml:space="preserve">W pierwszym semestrze roku szkolnego 2020/2021 ogółem do szkoły uczęszczało 29 dzieci: do SP 12 – 19 , do SP 50 – 1, do SP  - 107 – 1, do SP  93 – 2, do SP 75 – 1, do SP 116 – 1, do SPS 87 – 1, do SPS 89 – 1, do MOS Kłodzko – 1, do LO Długołęka - 1. </w:t>
      </w:r>
    </w:p>
    <w:p w:rsidR="00CA14AB" w:rsidRPr="00E00B35" w:rsidRDefault="00CA14AB" w:rsidP="00E00B35">
      <w:pPr>
        <w:spacing w:after="0" w:line="312" w:lineRule="auto"/>
        <w:rPr>
          <w:szCs w:val="20"/>
        </w:rPr>
      </w:pPr>
      <w:r w:rsidRPr="00E00B35">
        <w:rPr>
          <w:szCs w:val="20"/>
        </w:rPr>
        <w:t>Nauczaniem specjalnym, integracyjnym objętych było na mocy orzeczenia poradni psychologiczno – pedagogicznych 12 uczniów</w:t>
      </w:r>
    </w:p>
    <w:p w:rsidR="00CA14AB" w:rsidRPr="00E00B35" w:rsidRDefault="00CA14AB" w:rsidP="00E00B35">
      <w:pPr>
        <w:spacing w:after="0" w:line="312" w:lineRule="auto"/>
        <w:rPr>
          <w:szCs w:val="20"/>
        </w:rPr>
      </w:pPr>
      <w:r w:rsidRPr="00E00B35">
        <w:rPr>
          <w:szCs w:val="20"/>
        </w:rPr>
        <w:t>Z wyżej wymienionej liczby w  trakcie trwania drugiego semestru z Dziecięcego Domu wypisanych zostało 8 dzieci realizujących obowiązek szkolny.    .</w:t>
      </w:r>
    </w:p>
    <w:p w:rsidR="00CA14AB" w:rsidRPr="00E00B35" w:rsidRDefault="00CA14AB" w:rsidP="00E00B35">
      <w:pPr>
        <w:spacing w:after="0" w:line="312" w:lineRule="auto"/>
        <w:rPr>
          <w:szCs w:val="20"/>
        </w:rPr>
      </w:pPr>
      <w:r w:rsidRPr="00E00B35">
        <w:rPr>
          <w:szCs w:val="20"/>
        </w:rPr>
        <w:t>Obowiązek przedszkolny (zerówka) realizowało w pierwszej połowie 2020 roku (drugi semestr roku szkolnego 2019/2020  w SP 12 – 4 dzieci i w Przedszkolu nr 109 – 1 dziecko,</w:t>
      </w:r>
    </w:p>
    <w:p w:rsidR="00CA14AB" w:rsidRPr="00E00B35" w:rsidRDefault="00CA14AB" w:rsidP="00E00B35">
      <w:pPr>
        <w:spacing w:after="0" w:line="312" w:lineRule="auto"/>
        <w:rPr>
          <w:szCs w:val="20"/>
        </w:rPr>
      </w:pPr>
      <w:r w:rsidRPr="00E00B35">
        <w:rPr>
          <w:szCs w:val="20"/>
        </w:rPr>
        <w:t>W drugiej połowie 2020 roku ( pierwszy semestr roku szkolnego 2020/2021) w SP 12 - 4 dzieci i w Przedszkolu Specjalnym nr 157 – 1 dziecko.</w:t>
      </w:r>
    </w:p>
    <w:p w:rsidR="00CA14AB" w:rsidRPr="00E00B35" w:rsidRDefault="00CA14AB" w:rsidP="00E00B35">
      <w:pPr>
        <w:spacing w:after="0" w:line="312" w:lineRule="auto"/>
        <w:rPr>
          <w:szCs w:val="20"/>
        </w:rPr>
      </w:pPr>
      <w:bookmarkStart w:id="544" w:name="_Toc72352484"/>
      <w:bookmarkStart w:id="545" w:name="_Toc72352918"/>
      <w:r w:rsidRPr="00E00B35">
        <w:rPr>
          <w:szCs w:val="20"/>
        </w:rPr>
        <w:t>PRACA DYDAKTYCZNO – WYCHOWAWCZA</w:t>
      </w:r>
      <w:bookmarkEnd w:id="544"/>
      <w:bookmarkEnd w:id="545"/>
    </w:p>
    <w:p w:rsidR="00CA14AB" w:rsidRPr="00E00B35" w:rsidRDefault="00CA14AB" w:rsidP="00E00B35">
      <w:pPr>
        <w:spacing w:after="0" w:line="312" w:lineRule="auto"/>
        <w:rPr>
          <w:szCs w:val="20"/>
        </w:rPr>
      </w:pPr>
      <w:r w:rsidRPr="00E00B35">
        <w:rPr>
          <w:szCs w:val="20"/>
        </w:rPr>
        <w:t>W Dziecięcym Domu sporządzony został Ramowy Roczny Plan Pracy oraz Harmonogram Imprez i Uroczystości. Niestety z powodu pandemii koronawirusa nie udało się zrealizować wszystkich zamierzeń. Prowadzone były zajęcia dydaktyczno – wychowawcze w znacznie uboższym wymiarze niż w poprzednich latach.</w:t>
      </w:r>
    </w:p>
    <w:p w:rsidR="00CA14AB" w:rsidRPr="00E00B35" w:rsidRDefault="00CA14AB" w:rsidP="00E00B35">
      <w:pPr>
        <w:spacing w:after="0" w:line="312" w:lineRule="auto"/>
        <w:rPr>
          <w:szCs w:val="20"/>
        </w:rPr>
      </w:pPr>
      <w:r w:rsidRPr="00E00B35">
        <w:rPr>
          <w:szCs w:val="20"/>
        </w:rPr>
        <w:t>zajęcia specjalistyczne (grupowe i indywidualne) z wykorzystaniem elementów Integracji Sensorycznej, metody Montessori i Sherborne, Dobrego Startu prowadzone przez psychologów, neurologopedię, pedagoga, fizjoterapeutę oraz wychowawców</w:t>
      </w:r>
    </w:p>
    <w:p w:rsidR="00CA14AB" w:rsidRPr="00E00B35" w:rsidRDefault="00CA14AB" w:rsidP="00E00B35">
      <w:pPr>
        <w:spacing w:after="0" w:line="312" w:lineRule="auto"/>
        <w:rPr>
          <w:szCs w:val="20"/>
        </w:rPr>
      </w:pPr>
      <w:r w:rsidRPr="00E00B35">
        <w:rPr>
          <w:szCs w:val="20"/>
        </w:rPr>
        <w:t xml:space="preserve">zajęcia kulinarno – poznawcze: sobotni cykl zajęć kulinarnych, zajęcia kulinarne i poczęstunek w Restauracji Hard Rock Cafe. </w:t>
      </w:r>
    </w:p>
    <w:p w:rsidR="00CA14AB" w:rsidRPr="00E00B35" w:rsidRDefault="00CA14AB" w:rsidP="00E00B35">
      <w:pPr>
        <w:spacing w:after="0" w:line="312" w:lineRule="auto"/>
        <w:rPr>
          <w:szCs w:val="20"/>
        </w:rPr>
      </w:pPr>
      <w:r w:rsidRPr="00E00B35">
        <w:rPr>
          <w:szCs w:val="20"/>
        </w:rPr>
        <w:t>zajęcia edukacyjne: cykliczne zajęcia komputerowe dla 4 wychowanków, cykliczne zajęcia muzyczne dla 8 wychowanków (do czasu narodowej kwarantanny)</w:t>
      </w:r>
    </w:p>
    <w:p w:rsidR="00CA14AB" w:rsidRPr="00E00B35" w:rsidRDefault="00CA14AB" w:rsidP="00E00B35">
      <w:pPr>
        <w:spacing w:after="0" w:line="312" w:lineRule="auto"/>
        <w:rPr>
          <w:szCs w:val="20"/>
        </w:rPr>
      </w:pPr>
      <w:r w:rsidRPr="00E00B35">
        <w:rPr>
          <w:szCs w:val="20"/>
        </w:rPr>
        <w:t>Wychowankom zorganizowano:</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ferie zimowe w postaci półkolonii przy parafii Najświętszego Serca Jezusa, oraz w klubie sportowym „Spartan”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wycieczkę na grzyby do lasu w okolice Gruszeczki, i w ramach edukacji regionalnej wyjście do Rynku</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zajęcia rozrywkowe: wyjście do „Kolejkowa” i do kina na film „Paczka” do czasu ogłoszenia narodowej kwarantanny.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lastRenderedPageBreak/>
        <w:t>umożliwiano rozwijanie zainteresowań: jedna wychowanka uczęszczała do Młodzieżowej Akademii Musicalowej, a czterech wychowanków trenowało piłkę nożną w klubie „Spartan.</w:t>
      </w:r>
    </w:p>
    <w:p w:rsidR="00CA14AB" w:rsidRPr="00E00B35" w:rsidRDefault="00CA14AB" w:rsidP="00E00B35">
      <w:pPr>
        <w:spacing w:after="0" w:line="312" w:lineRule="auto"/>
        <w:rPr>
          <w:szCs w:val="20"/>
        </w:rPr>
      </w:pPr>
      <w:r w:rsidRPr="00E00B35">
        <w:rPr>
          <w:szCs w:val="20"/>
        </w:rPr>
        <w:t>w roku 2020 zorganizowano wychowankom uroczystości związane z kultywowaniem tradycji: wizyta duszpasterska „Kolęda” Powitanie Wiosny – konkurs na Marzannę, Święta Wielkanocne, Święto Pracy, Dzień, Flagi, Święto Konstytucji 3 Maja, Dzień Dziecka, uroczyste rozdanie świadectw w ogrodzie Dziecięcego Domu. Św. Mikołaja, Boże Narodzenie. Organizowano wychowankom dzień urodzin. Dwie wychowanki przystąpiły do pierwszej Komunii św. (we wrześniu).</w:t>
      </w:r>
    </w:p>
    <w:p w:rsidR="00CA14AB" w:rsidRPr="00E00B35" w:rsidRDefault="00CA14AB" w:rsidP="00E00B35">
      <w:pPr>
        <w:spacing w:after="0" w:line="312" w:lineRule="auto"/>
        <w:rPr>
          <w:szCs w:val="20"/>
        </w:rPr>
      </w:pPr>
      <w:r w:rsidRPr="00E00B35">
        <w:rPr>
          <w:szCs w:val="20"/>
        </w:rPr>
        <w:t>Bardzo dużo zajęć dydaktycznych i edukacyjnych związanych było ze zdalnym nauczaniem. Zaopatrzono dzieci w komputery, organizowano harmonogram połączeń internetowych, wysyłania nauczycielom zadań domowych i innych zdalne zleconych prac.</w:t>
      </w:r>
    </w:p>
    <w:p w:rsidR="00CA14AB" w:rsidRPr="00E00B35" w:rsidRDefault="00CA14AB" w:rsidP="00E00B35">
      <w:pPr>
        <w:spacing w:after="0" w:line="312" w:lineRule="auto"/>
        <w:rPr>
          <w:szCs w:val="20"/>
        </w:rPr>
      </w:pPr>
      <w:bookmarkStart w:id="546" w:name="_Toc72352485"/>
      <w:bookmarkStart w:id="547" w:name="_Toc72352919"/>
      <w:r w:rsidRPr="00E00B35">
        <w:rPr>
          <w:szCs w:val="20"/>
        </w:rPr>
        <w:t>WARUNKI SOCJALNO – BYTOWE</w:t>
      </w:r>
      <w:bookmarkEnd w:id="546"/>
      <w:bookmarkEnd w:id="547"/>
    </w:p>
    <w:p w:rsidR="00CA14AB" w:rsidRPr="00E00B35" w:rsidRDefault="00CA14AB" w:rsidP="00E00B35">
      <w:pPr>
        <w:spacing w:after="0" w:line="312" w:lineRule="auto"/>
        <w:rPr>
          <w:szCs w:val="20"/>
        </w:rPr>
      </w:pPr>
      <w:r w:rsidRPr="00E00B35">
        <w:rPr>
          <w:szCs w:val="20"/>
        </w:rPr>
        <w:t>W celu realizacji zadań statutowych zapewniono wychowankom warunki socjalno – bytowe zgodne z obowiązującymi standardami, z uwzględnieniem wieku i potrzeb dzieci.</w:t>
      </w:r>
    </w:p>
    <w:p w:rsidR="00CA14AB" w:rsidRPr="00E00B35" w:rsidRDefault="00CA14AB" w:rsidP="00E00B35">
      <w:pPr>
        <w:spacing w:after="0" w:line="312" w:lineRule="auto"/>
        <w:rPr>
          <w:szCs w:val="20"/>
        </w:rPr>
      </w:pPr>
      <w:bookmarkStart w:id="548" w:name="_Toc72352486"/>
      <w:bookmarkStart w:id="549" w:name="_Toc72352920"/>
      <w:bookmarkStart w:id="550" w:name="_Toc72357859"/>
      <w:bookmarkStart w:id="551" w:name="_Toc72358013"/>
      <w:r w:rsidRPr="00E00B35">
        <w:rPr>
          <w:szCs w:val="20"/>
        </w:rPr>
        <w:t>WROCŁAWSKIE CENTRUM OPIEKI I WYCHOWANIA</w:t>
      </w:r>
      <w:bookmarkEnd w:id="548"/>
      <w:bookmarkEnd w:id="549"/>
      <w:bookmarkEnd w:id="550"/>
      <w:bookmarkEnd w:id="551"/>
    </w:p>
    <w:p w:rsidR="00CA14AB" w:rsidRPr="00E00B35" w:rsidRDefault="00CA14AB" w:rsidP="00E00B35">
      <w:pPr>
        <w:spacing w:after="0" w:line="312" w:lineRule="auto"/>
        <w:rPr>
          <w:szCs w:val="20"/>
        </w:rPr>
      </w:pPr>
      <w:bookmarkStart w:id="552" w:name="_Toc72352487"/>
      <w:bookmarkStart w:id="553" w:name="_Toc72352921"/>
      <w:r w:rsidRPr="00E00B35">
        <w:rPr>
          <w:szCs w:val="20"/>
        </w:rPr>
        <w:t>Sprawozdanie opisowe z realizacji zadań za rok 2020</w:t>
      </w:r>
      <w:bookmarkEnd w:id="552"/>
      <w:bookmarkEnd w:id="553"/>
    </w:p>
    <w:p w:rsidR="00CA14AB" w:rsidRPr="00E00B35" w:rsidRDefault="00CA14AB" w:rsidP="00E00B35">
      <w:pPr>
        <w:spacing w:after="0" w:line="312" w:lineRule="auto"/>
        <w:rPr>
          <w:szCs w:val="20"/>
        </w:rPr>
      </w:pPr>
      <w:r w:rsidRPr="00E00B35">
        <w:rPr>
          <w:szCs w:val="20"/>
        </w:rPr>
        <w:t xml:space="preserve">Wrocławskie Centrum Opieki i Wychowania przy ul. Lekcyjnej 29 jest jednym </w:t>
      </w:r>
      <w:r w:rsidRPr="00E00B35">
        <w:rPr>
          <w:szCs w:val="20"/>
        </w:rPr>
        <w:br/>
        <w:t>z elementów sytemu opieki nad dzieckiem i rodziną. WCOW jest jednostką organizacyjną Miasta działającą w formie jednostki budżetowej.</w:t>
      </w:r>
    </w:p>
    <w:p w:rsidR="00CA14AB" w:rsidRPr="00E00B35" w:rsidRDefault="00CA14AB" w:rsidP="00E00B35">
      <w:pPr>
        <w:spacing w:after="0" w:line="312" w:lineRule="auto"/>
        <w:rPr>
          <w:szCs w:val="20"/>
        </w:rPr>
      </w:pPr>
      <w:bookmarkStart w:id="554" w:name="_Toc72352488"/>
      <w:bookmarkStart w:id="555" w:name="_Toc72352922"/>
      <w:r w:rsidRPr="00E00B35">
        <w:rPr>
          <w:szCs w:val="20"/>
        </w:rPr>
        <w:t>Misją Centrum jest:</w:t>
      </w:r>
      <w:bookmarkEnd w:id="554"/>
      <w:bookmarkEnd w:id="555"/>
      <w:r w:rsidRPr="00E00B35">
        <w:rPr>
          <w:szCs w:val="20"/>
        </w:rPr>
        <w:t xml:space="preserve">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współpraca z rodziną i otoczeniem wychowanka w celu jego powrotu do domu rodzinnego lub znalezienie najlepszego rozwiązania dla danego dziecka w konkretnej sytuacji życiowej,</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staranie, by dzieciom pozbawionym zainteresowania i właściwej opieki w rodzinnych domach stworzyć dom zastępczy, w którym mogą czuć się jak u siebie.</w:t>
      </w:r>
    </w:p>
    <w:p w:rsidR="00CA14AB" w:rsidRPr="00E00B35" w:rsidRDefault="00CA14AB" w:rsidP="00E00B35">
      <w:pPr>
        <w:spacing w:after="0" w:line="312" w:lineRule="auto"/>
        <w:rPr>
          <w:szCs w:val="20"/>
        </w:rPr>
      </w:pPr>
      <w:r w:rsidRPr="00E00B35">
        <w:rPr>
          <w:szCs w:val="20"/>
        </w:rPr>
        <w:t>WCOW zapewnia opiekę i wychowanie dzieciom i młodzieży pozbawionej całkowicie lub częściowo opieki rodzicielskiej.</w:t>
      </w:r>
    </w:p>
    <w:p w:rsidR="00CA14AB" w:rsidRPr="00E00B35" w:rsidRDefault="00CA14AB" w:rsidP="00E00B35">
      <w:pPr>
        <w:spacing w:after="0" w:line="312" w:lineRule="auto"/>
        <w:rPr>
          <w:szCs w:val="20"/>
        </w:rPr>
      </w:pPr>
      <w:r w:rsidRPr="00E00B35">
        <w:rPr>
          <w:szCs w:val="20"/>
        </w:rPr>
        <w:t xml:space="preserve">W 2020 WCOW posiadało 178 miejsc. </w:t>
      </w:r>
    </w:p>
    <w:p w:rsidR="00CA14AB" w:rsidRPr="00E00B35" w:rsidRDefault="00CA14AB" w:rsidP="00E00B35">
      <w:pPr>
        <w:spacing w:after="0" w:line="312" w:lineRule="auto"/>
        <w:rPr>
          <w:szCs w:val="20"/>
        </w:rPr>
      </w:pPr>
      <w:r w:rsidRPr="00E00B35">
        <w:rPr>
          <w:szCs w:val="20"/>
        </w:rPr>
        <w:t>Wychowankowie WCOW mieszkają w Placówkach usytuowanych w 13 lokalizacjach: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1 typu socjalizacyjno-interwencyjnego przy ul. Lekcyjnej 29 we Wrocławiu, limit miejsc: 14;</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2 typu socjalizacyjno-interwencyjnego</w:t>
      </w:r>
      <w:r w:rsidRPr="00E00B35">
        <w:rPr>
          <w:szCs w:val="20"/>
        </w:rPr>
        <w:br/>
        <w:t>ul. Poleska 15/31 we Wrocławiu, limit miejsc 14</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3 typu socjalizacyjno-interwencyjnego</w:t>
      </w:r>
      <w:r w:rsidRPr="00E00B35">
        <w:rPr>
          <w:szCs w:val="20"/>
        </w:rPr>
        <w:br/>
        <w:t>ul. Legnicka 21/9 we Wrocławiu, limit miejsc 14</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4 typu socjalizacyjno-interwencyjnego</w:t>
      </w:r>
      <w:r w:rsidRPr="00E00B35">
        <w:rPr>
          <w:szCs w:val="20"/>
        </w:rPr>
        <w:br/>
        <w:t>ul. Kamieńskiego 253/1 we Wrocławiu, limit miejsc 14</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5 typu socjalizacyjno-interwencyjnego</w:t>
      </w:r>
      <w:r w:rsidRPr="00E00B35">
        <w:rPr>
          <w:szCs w:val="20"/>
        </w:rPr>
        <w:br/>
        <w:t>ul. Lekcyjnej 29/1 we Wrocławiu, limit miejsc 14</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6 typu socjalizacyjno-interwencyjnego</w:t>
      </w:r>
      <w:r w:rsidRPr="00E00B35">
        <w:rPr>
          <w:szCs w:val="20"/>
        </w:rPr>
        <w:br/>
        <w:t>ul. Litewska 72/1 we Wrocławiu, limit miejsc 14</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lastRenderedPageBreak/>
        <w:t>Placówka Opiekuńczo-Wychowawcza nr 7 typu socjalizacyjno-interwencyjnego</w:t>
      </w:r>
      <w:r w:rsidRPr="00E00B35">
        <w:rPr>
          <w:szCs w:val="20"/>
        </w:rPr>
        <w:br/>
        <w:t>ul. Kamieńskiego 253/2 we Wrocławiu, limit miejsc 14</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9 typu socjalizacyjno-interwencyjnego</w:t>
      </w:r>
      <w:r w:rsidRPr="00E00B35">
        <w:rPr>
          <w:szCs w:val="20"/>
        </w:rPr>
        <w:br/>
        <w:t>ul. Legnicka 21/10 Wrocławiu, limit miejsc 14</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10 typu socjalizacyjno-interwencyjnego</w:t>
      </w:r>
      <w:r w:rsidRPr="00E00B35">
        <w:rPr>
          <w:szCs w:val="20"/>
        </w:rPr>
        <w:br/>
        <w:t>ul. Borowska 181-187/1we we Wrocławiu, limit miejsc:14</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11 typu socjalizacyjno-interwencyjnego</w:t>
      </w:r>
      <w:r w:rsidRPr="00E00B35">
        <w:rPr>
          <w:szCs w:val="20"/>
        </w:rPr>
        <w:br/>
        <w:t>ul. Borowska 181-187/2 we Wrocławiu, limit miejsc:14</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12 typu socjalizacyjno-interwencyjnego</w:t>
      </w:r>
      <w:r w:rsidRPr="00E00B35">
        <w:rPr>
          <w:szCs w:val="20"/>
        </w:rPr>
        <w:br/>
        <w:t>ul. Gazowa 22/3 we Wrocławiu, limit miejsc 12</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13 typu socjalizacyjno-interwencyjnego</w:t>
      </w:r>
      <w:r w:rsidRPr="00E00B35">
        <w:rPr>
          <w:szCs w:val="20"/>
        </w:rPr>
        <w:br/>
        <w:t>ul. Kołłątaja 31/3 we Wrocławiu, limit miejsc 12</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Placówka Opiekuńczo-Wychowawcza nr 14 typu socjalizacyjno- interwencyjnego ul. Podwale 67/8 i 8</w:t>
      </w:r>
      <w:r w:rsidR="00E34F9A" w:rsidRPr="00E00B35">
        <w:rPr>
          <w:szCs w:val="20"/>
        </w:rPr>
        <w:t>a we Wrocławiu; limit miejsc 14.</w:t>
      </w:r>
    </w:p>
    <w:p w:rsidR="00CA14AB" w:rsidRPr="00E00B35" w:rsidRDefault="00CA14AB" w:rsidP="00E00B35">
      <w:pPr>
        <w:spacing w:after="0" w:line="312" w:lineRule="auto"/>
        <w:rPr>
          <w:szCs w:val="20"/>
        </w:rPr>
      </w:pPr>
      <w:r w:rsidRPr="00E00B35">
        <w:rPr>
          <w:szCs w:val="20"/>
        </w:rPr>
        <w:t>W 2020</w:t>
      </w:r>
      <w:r w:rsidR="00E34F9A" w:rsidRPr="00E00B35">
        <w:rPr>
          <w:szCs w:val="20"/>
        </w:rPr>
        <w:t xml:space="preserve"> </w:t>
      </w:r>
      <w:r w:rsidRPr="00E00B35">
        <w:rPr>
          <w:szCs w:val="20"/>
        </w:rPr>
        <w:t>r., doprowadzono do standaryzacji wszystkich placówek WCOW zgodnie z wymogami zapisanymi w Ustawie.</w:t>
      </w:r>
    </w:p>
    <w:p w:rsidR="00CA14AB" w:rsidRPr="00E00B35" w:rsidRDefault="00CA14AB" w:rsidP="00E00B35">
      <w:pPr>
        <w:spacing w:after="0" w:line="312" w:lineRule="auto"/>
        <w:rPr>
          <w:szCs w:val="20"/>
        </w:rPr>
      </w:pPr>
      <w:r w:rsidRPr="00E00B35">
        <w:rPr>
          <w:szCs w:val="20"/>
        </w:rPr>
        <w:t xml:space="preserve">Struktura organizacyjna WCOW obejmuje: Dział Finansowy z podległym mu Działem Obsługi oraz Dział Organizacyjno-Kadrowy, wydzielony został również Zespół specjalistów, w skład którego wchodzą: pedagodzy, psycholodzy,terapeuci, pracownicy socjalni, pielęgniarki i zatrudnieni na umowach cywilno-prawnych logopedzi. WCOW dysponuje 146 etatami podzielonymi zgodnie z Regulaminem organizacyjnym </w:t>
      </w:r>
      <w:r w:rsidRPr="00E00B35">
        <w:rPr>
          <w:szCs w:val="20"/>
        </w:rPr>
        <w:br/>
        <w:t>w następujący sposób:</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Dyrektor-1</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Zastępca Dyrektora – 2 (1+2x1/2)</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Główny Księgowy - 1</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Kierownik komórki organizacyjnej – 3</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Pracownicy administracyjni-10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Pracownicy obsługi - 20</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Specjaliści - 29,5</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Starszy wychowawca-koordynator-1</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Wychowawcy i opiekunowie dziecięcy-78,5</w:t>
      </w:r>
    </w:p>
    <w:p w:rsidR="00CA14AB" w:rsidRPr="00E00B35" w:rsidRDefault="00CA14AB" w:rsidP="00E00B35">
      <w:pPr>
        <w:spacing w:after="0" w:line="312" w:lineRule="auto"/>
        <w:rPr>
          <w:szCs w:val="20"/>
        </w:rPr>
      </w:pPr>
      <w:r w:rsidRPr="00E00B35">
        <w:rPr>
          <w:szCs w:val="20"/>
        </w:rPr>
        <w:t xml:space="preserve">W 2020r Wrocławskie Centrum odnotowało: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41 pracowników WCOW przebywających na kwarantannie w związku z COVID – 19,</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19 wychowanków placówek WCOW przbywało na kwarantannie w związku z COVID – 19.</w:t>
      </w:r>
    </w:p>
    <w:p w:rsidR="00CA14AB" w:rsidRPr="00E00B35" w:rsidRDefault="00CA14AB" w:rsidP="00E00B35">
      <w:pPr>
        <w:spacing w:after="0" w:line="312" w:lineRule="auto"/>
        <w:rPr>
          <w:szCs w:val="20"/>
        </w:rPr>
      </w:pPr>
      <w:r w:rsidRPr="00E00B35">
        <w:rPr>
          <w:szCs w:val="20"/>
        </w:rPr>
        <w:t>W 2020</w:t>
      </w:r>
      <w:r w:rsidR="00E34F9A" w:rsidRPr="00E00B35">
        <w:rPr>
          <w:szCs w:val="20"/>
        </w:rPr>
        <w:t xml:space="preserve"> </w:t>
      </w:r>
      <w:r w:rsidRPr="00E00B35">
        <w:rPr>
          <w:szCs w:val="20"/>
        </w:rPr>
        <w:t>r. we WCOW przeprowadzono 3 kontrole.</w:t>
      </w:r>
    </w:p>
    <w:p w:rsidR="00CA14AB" w:rsidRPr="00E00B35" w:rsidRDefault="00CA14AB" w:rsidP="00E00B35">
      <w:pPr>
        <w:spacing w:after="0" w:line="312" w:lineRule="auto"/>
        <w:rPr>
          <w:szCs w:val="20"/>
        </w:rPr>
      </w:pPr>
      <w:r w:rsidRPr="00E00B35">
        <w:rPr>
          <w:szCs w:val="20"/>
        </w:rPr>
        <w:t xml:space="preserve">Placówki WCOW były kontrolowane 3-krotnie przez Dolnośląski Urząd Wojewódzki, były to kontrole planowe - wszystkie kontrole zakończyły się pozytywną oceną funkcjonowania Placówek, zapewniających właściwy standard opieki. Przeprowadzono również 4 odbiory przez Państwową Straż Pożarną związane ze standaryzacją placówek zgodnie z zapisami Ustawy. </w:t>
      </w:r>
    </w:p>
    <w:p w:rsidR="00CA14AB" w:rsidRPr="00E00B35" w:rsidRDefault="00CA14AB" w:rsidP="00E00B35">
      <w:pPr>
        <w:spacing w:after="0" w:line="312" w:lineRule="auto"/>
        <w:rPr>
          <w:szCs w:val="20"/>
        </w:rPr>
      </w:pPr>
      <w:r w:rsidRPr="00E00B35">
        <w:rPr>
          <w:szCs w:val="20"/>
        </w:rPr>
        <w:t>W 2020r. pracownicy WCOW uczestniczyli w szeregu szkoleń z zakresu zmieniających się przepisów prawa oraz pogłębiających ich kompetencje, tj.:</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lastRenderedPageBreak/>
        <w:t>Szkolenie z RODO.</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Szkolenia HACAP dla pracowników kuchni;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Szkolenia z zakresu prawa pracy, księgowości- dla pracowników administracji; w większości szkolenia były przeprowadzane on -line.</w:t>
      </w:r>
    </w:p>
    <w:p w:rsidR="00CA14AB" w:rsidRPr="00E00B35" w:rsidRDefault="00CA14AB" w:rsidP="00BC64AB">
      <w:pPr>
        <w:pStyle w:val="Akapitzlist"/>
        <w:numPr>
          <w:ilvl w:val="0"/>
          <w:numId w:val="234"/>
        </w:numPr>
        <w:spacing w:after="0" w:line="312" w:lineRule="auto"/>
        <w:ind w:left="426" w:hanging="426"/>
        <w:rPr>
          <w:szCs w:val="20"/>
        </w:rPr>
      </w:pPr>
      <w:bookmarkStart w:id="556" w:name="_Toc72352489"/>
      <w:bookmarkStart w:id="557" w:name="_Toc72352923"/>
      <w:r w:rsidRPr="00E00B35">
        <w:rPr>
          <w:szCs w:val="20"/>
        </w:rPr>
        <w:t>Realizacja zadań zespołu specjalistów.</w:t>
      </w:r>
      <w:bookmarkEnd w:id="556"/>
      <w:bookmarkEnd w:id="557"/>
    </w:p>
    <w:p w:rsidR="00CA14AB" w:rsidRPr="00E00B35" w:rsidRDefault="00CA14AB" w:rsidP="00E00B35">
      <w:pPr>
        <w:spacing w:after="0" w:line="312" w:lineRule="auto"/>
        <w:rPr>
          <w:rFonts w:eastAsia="Calibri"/>
          <w:szCs w:val="20"/>
        </w:rPr>
      </w:pPr>
      <w:r w:rsidRPr="00E00B35">
        <w:rPr>
          <w:rFonts w:eastAsia="Calibri"/>
          <w:szCs w:val="20"/>
        </w:rPr>
        <w:t xml:space="preserve">Zadaniem nadrzędnym zespołu specjalistów Wrocławskiego Centrum Opieki i Wychowania jest wsparcie merytoryczne pracy wychowawców na rzecz dzieci zabezpieczonych w tutejszym Centrum oraz ich rodzin, ze szczególnym uwzględnieniem zapewnienia dzieciom opieki i wychowania oraz zaspokojenia niezbędnych potrzeb emocjonalnych, rozwojowych, zdrowotnych, bytowych, społecznych i religijnych, z poszanowaniem podmiotowości podopiecznych i ich systemów rodzinnych. </w:t>
      </w:r>
    </w:p>
    <w:p w:rsidR="00CA14AB" w:rsidRPr="00E00B35" w:rsidRDefault="00CA14AB" w:rsidP="00E00B35">
      <w:pPr>
        <w:spacing w:after="0" w:line="312" w:lineRule="auto"/>
        <w:rPr>
          <w:rFonts w:eastAsia="Calibri"/>
          <w:szCs w:val="20"/>
        </w:rPr>
      </w:pPr>
      <w:r w:rsidRPr="00E00B35">
        <w:rPr>
          <w:rFonts w:eastAsia="Calibri"/>
          <w:szCs w:val="20"/>
        </w:rPr>
        <w:t xml:space="preserve">Zgodnie z przyjętymi rozwiązaniami organizacyjnymi Zespół realizował swoje zadania przy pomocy specjalistów: pracownika socjalnego, pedagoga, psychologa, terapeuty, logopedy i pielęgniarki, przyporządkowanych do wsparcia wyznaczonych grup wychowawczych. W uzasadnionych przypadkach korzystano także z wsparcia seksuologa oraz przedstawicieli innych specjalizacji, adekwatnie do potrzeb i treści wnoszonych przez wychowanków. </w:t>
      </w:r>
    </w:p>
    <w:p w:rsidR="00CA14AB" w:rsidRPr="00E00B35" w:rsidRDefault="00CA14AB" w:rsidP="00E00B35">
      <w:pPr>
        <w:spacing w:after="0" w:line="312" w:lineRule="auto"/>
        <w:rPr>
          <w:rFonts w:eastAsia="Calibri"/>
          <w:szCs w:val="20"/>
        </w:rPr>
      </w:pPr>
      <w:r w:rsidRPr="00E00B35">
        <w:rPr>
          <w:rFonts w:eastAsia="Calibri"/>
          <w:szCs w:val="20"/>
        </w:rPr>
        <w:t xml:space="preserve">W okresie sprawozdawczym, ze względu na zagrożenie epidemiczne niezbędne było przeorganizowanie zespołu specjalistów w taki sposób, by zapewnić maksymalne poczucie bezpieczeństwa pracownikom i wychowankom WCOW. Zarządzeniem Prezydenta Wrocławia organizacja posiedzeń Zespołów ds. oceny sytuacji dzieci została zawieszona do odwołania. Opracowano i wdrożono Instrukcje przeciwdziałania zagrożeniu epidemicznemu, użytkowania maseczek oraz ozonatorów. Zespół przedmiotowy pielęgniarek cyklicznie wykonywał pogadanki instruktażowe i motywujące wychowanków do zachowania ostrożności zgodnie z wytycznymi służb medycznych. W związku z wprowadzeniem nauczania zdalnego w szkołach, dokonano reorganizacji zespołu specjalistów w taki sposób, by w ramach swoich zadań wspomagali wychowanków w realizacji obowiązku szkolnego w tych szczególnych warunkach. Dla zachowania stabilności procesów pracy zespołu, w okresie sprawozdawczym przeprowadzono jednorazowy monitoring dokumentacji wychowanków, do tej pory organizowanym w systemie kwartalnym.  </w:t>
      </w:r>
    </w:p>
    <w:p w:rsidR="00CA14AB" w:rsidRPr="00E00B35" w:rsidRDefault="00CA14AB" w:rsidP="00E00B35">
      <w:pPr>
        <w:spacing w:after="0" w:line="312" w:lineRule="auto"/>
        <w:rPr>
          <w:rFonts w:eastAsia="Calibri"/>
          <w:szCs w:val="20"/>
        </w:rPr>
      </w:pPr>
      <w:r w:rsidRPr="00E00B35">
        <w:rPr>
          <w:rFonts w:eastAsia="Calibri"/>
          <w:szCs w:val="20"/>
        </w:rPr>
        <w:t>Zakres wykonanych przez Zespół działań w okresie sprawozdawczym, mimo zagrożenia epidemicznego, skupiał się zasadniczo na realizacji działań w następujących obszarach, z zachowaniem zalecanej przez służby medyczne ostrożności:</w:t>
      </w:r>
    </w:p>
    <w:p w:rsidR="00CA14AB" w:rsidRPr="00E00B35" w:rsidRDefault="00CA14AB" w:rsidP="00E00B35">
      <w:pPr>
        <w:spacing w:after="0" w:line="312" w:lineRule="auto"/>
        <w:rPr>
          <w:rFonts w:eastAsia="Calibri"/>
          <w:szCs w:val="20"/>
        </w:rPr>
      </w:pPr>
      <w:r w:rsidRPr="00E00B35">
        <w:rPr>
          <w:rFonts w:eastAsia="Calibri"/>
          <w:szCs w:val="20"/>
        </w:rPr>
        <w:t>1. Praca z rodziną oraz regulacja sytuacji prawnej dzieci zabezpieczonych we WCOW, a szczególnie: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diagnostyka rodzin pochodzeniowych dzieci umieszczonych w WCOW pod kątem możliwości powrotu dzieci do domu,</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współpraca z rodzicami biologicznymi nakierowana na aktywizację systemu rodzinnego do wykorzystania własnych zasobów w celu przezwyciężenia trudnej sytuacji życiowej będącej przyczyną zabezpieczenia dziecka w placówce,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współpraca w ZTPS, sądami, kuratorami, policją, asystentami rodzin i innymi instytucjami działającymi na polu niesienia pomocy osobom potrzebującym w </w:t>
      </w:r>
      <w:r w:rsidRPr="00E00B35">
        <w:rPr>
          <w:szCs w:val="20"/>
        </w:rPr>
        <w:lastRenderedPageBreak/>
        <w:t>zakresie pogłębienia diagnostyki środowisk rodzinnych dzieci umieszczonych w WCOW oraz objęcia wsparciem w/w systemów rodzinnych nakierowanym na wzrost możliwości powrotu dzieci do domu rodzinnego,</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bieżące monitorowanie sytuacji w rodzinach pochodzeniowych dzieci przebywających na przepustkach i urlopowanych,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ustalanie uprawnień do dochodów dzieci, w tym alimentów.</w:t>
      </w:r>
    </w:p>
    <w:p w:rsidR="00CA14AB" w:rsidRPr="00E00B35" w:rsidRDefault="00CA14AB" w:rsidP="00E00B35">
      <w:pPr>
        <w:spacing w:after="0" w:line="312" w:lineRule="auto"/>
        <w:rPr>
          <w:rFonts w:eastAsia="Calibri"/>
          <w:szCs w:val="20"/>
        </w:rPr>
      </w:pPr>
      <w:r w:rsidRPr="00E00B35">
        <w:rPr>
          <w:rFonts w:eastAsia="Calibri"/>
          <w:szCs w:val="20"/>
        </w:rPr>
        <w:t>2. Procesy adopcji dzieci zabezpieczonych we WCOW w przypadku uregulowania ich sytuacji prawnej poprzez pozbawienie władzy rodzicielskiej rodziców, a w szczególności: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opieka terapeutyczna, psychologiczna i pedagogiczna wobec dzieci pozostających w procesie adopcyjnym uwzględniająca szczególne potrzeby emocjonalne wychowanków w tym okresie;</w:t>
      </w:r>
    </w:p>
    <w:p w:rsidR="00E34F9A" w:rsidRPr="00E00B35" w:rsidRDefault="00CA14AB" w:rsidP="00BC64AB">
      <w:pPr>
        <w:pStyle w:val="Akapitzlist"/>
        <w:numPr>
          <w:ilvl w:val="0"/>
          <w:numId w:val="234"/>
        </w:numPr>
        <w:spacing w:after="0" w:line="312" w:lineRule="auto"/>
        <w:ind w:left="426" w:hanging="426"/>
        <w:rPr>
          <w:szCs w:val="20"/>
        </w:rPr>
      </w:pPr>
      <w:r w:rsidRPr="00E00B35">
        <w:rPr>
          <w:szCs w:val="20"/>
        </w:rPr>
        <w:t>ścisła współpraca z Ośrodkiem Adopcyjnym,</w:t>
      </w:r>
    </w:p>
    <w:p w:rsidR="00CA14AB" w:rsidRPr="00E00B35" w:rsidRDefault="00CA14AB" w:rsidP="00BC64AB">
      <w:pPr>
        <w:pStyle w:val="Akapitzlist"/>
        <w:numPr>
          <w:ilvl w:val="0"/>
          <w:numId w:val="234"/>
        </w:numPr>
        <w:spacing w:after="0" w:line="312" w:lineRule="auto"/>
        <w:ind w:left="426" w:hanging="426"/>
        <w:rPr>
          <w:szCs w:val="20"/>
        </w:rPr>
      </w:pPr>
      <w:r w:rsidRPr="00E00B35">
        <w:rPr>
          <w:rFonts w:eastAsia="Calibri"/>
          <w:szCs w:val="20"/>
        </w:rPr>
        <w:t>ścisła współpraca z kandydatami na rodziny adopcyjne,</w:t>
      </w:r>
    </w:p>
    <w:p w:rsidR="00CA14AB" w:rsidRPr="00E00B35" w:rsidRDefault="00CA14AB" w:rsidP="00BC64AB">
      <w:pPr>
        <w:pStyle w:val="Akapitzlist"/>
        <w:numPr>
          <w:ilvl w:val="0"/>
          <w:numId w:val="234"/>
        </w:numPr>
        <w:spacing w:after="0" w:line="312" w:lineRule="auto"/>
        <w:ind w:left="426" w:hanging="426"/>
        <w:rPr>
          <w:szCs w:val="20"/>
        </w:rPr>
      </w:pPr>
      <w:r w:rsidRPr="00E00B35">
        <w:rPr>
          <w:rFonts w:eastAsia="Calibri"/>
          <w:szCs w:val="20"/>
        </w:rPr>
        <w:t>ścisła współpraca z systemami rodzinnymi nakierowana na złagodzenie skutków emocjonalnych dzieci przygotowywanych do życia w rodzinach adopcyjnych.</w:t>
      </w:r>
    </w:p>
    <w:p w:rsidR="00CA14AB" w:rsidRPr="00E00B35" w:rsidRDefault="00CA14AB" w:rsidP="00E00B35">
      <w:pPr>
        <w:spacing w:after="0" w:line="312" w:lineRule="auto"/>
        <w:rPr>
          <w:rFonts w:eastAsia="Calibri"/>
          <w:szCs w:val="20"/>
        </w:rPr>
      </w:pPr>
      <w:r w:rsidRPr="00E00B35">
        <w:rPr>
          <w:rFonts w:eastAsia="Calibri"/>
          <w:szCs w:val="20"/>
        </w:rPr>
        <w:t>3. Budowanie diagnozy i jej aktualizacji oraz  procesem opiekuńczo-wychowawczym i edukacyjnym dzieci zabezpieczonych we WCOW, w tym szczególnie:</w:t>
      </w:r>
    </w:p>
    <w:p w:rsidR="00CA14AB" w:rsidRPr="00E00B35" w:rsidRDefault="00CA14AB" w:rsidP="00BC64AB">
      <w:pPr>
        <w:pStyle w:val="Akapitzlist"/>
        <w:numPr>
          <w:ilvl w:val="0"/>
          <w:numId w:val="234"/>
        </w:numPr>
        <w:spacing w:after="0" w:line="312" w:lineRule="auto"/>
        <w:ind w:left="426" w:hanging="426"/>
        <w:rPr>
          <w:rFonts w:eastAsia="Calibri"/>
          <w:szCs w:val="20"/>
        </w:rPr>
      </w:pPr>
      <w:r w:rsidRPr="00E00B35">
        <w:rPr>
          <w:rFonts w:eastAsia="Calibri"/>
          <w:szCs w:val="20"/>
        </w:rPr>
        <w:t>opieka psychologiczna, pedagogiczna, terapeutyczna, medyczna i logopedyczna nad wychowankami WCOW  zgodnie z ich potrzebami,</w:t>
      </w:r>
    </w:p>
    <w:p w:rsidR="00CA14AB" w:rsidRPr="00E00B35" w:rsidRDefault="00CA14AB" w:rsidP="00BC64AB">
      <w:pPr>
        <w:pStyle w:val="Akapitzlist"/>
        <w:numPr>
          <w:ilvl w:val="0"/>
          <w:numId w:val="234"/>
        </w:numPr>
        <w:spacing w:after="0" w:line="312" w:lineRule="auto"/>
        <w:ind w:left="426" w:hanging="426"/>
        <w:rPr>
          <w:rFonts w:eastAsia="Calibri"/>
          <w:szCs w:val="20"/>
        </w:rPr>
      </w:pPr>
      <w:r w:rsidRPr="00E00B35">
        <w:rPr>
          <w:rFonts w:eastAsia="Calibri"/>
          <w:szCs w:val="20"/>
        </w:rPr>
        <w:t>prowadzenie zajęć specjalistycznych indywidualnych i grupowych z wychowankami WCOW adekwatnie do potrzeb oraz organizowanie roku szkolnego dzieci,</w:t>
      </w:r>
    </w:p>
    <w:p w:rsidR="00CA14AB" w:rsidRPr="00E00B35" w:rsidRDefault="00CA14AB" w:rsidP="00BC64AB">
      <w:pPr>
        <w:pStyle w:val="Akapitzlist"/>
        <w:numPr>
          <w:ilvl w:val="0"/>
          <w:numId w:val="234"/>
        </w:numPr>
        <w:spacing w:after="0" w:line="312" w:lineRule="auto"/>
        <w:ind w:left="426" w:hanging="426"/>
        <w:rPr>
          <w:rFonts w:eastAsia="Calibri"/>
          <w:szCs w:val="20"/>
        </w:rPr>
      </w:pPr>
      <w:r w:rsidRPr="00E00B35">
        <w:rPr>
          <w:rFonts w:eastAsia="Calibri"/>
          <w:szCs w:val="20"/>
        </w:rPr>
        <w:t>współpraca z lekarzami specjalistami i wykonywanie konsultacji w obszarze psychiatrycznym oraz neurologicznym oraz innymi adekwatnie do potrzeb dzieci,</w:t>
      </w:r>
    </w:p>
    <w:p w:rsidR="00CA14AB" w:rsidRPr="00E00B35" w:rsidRDefault="00CA14AB" w:rsidP="00BC64AB">
      <w:pPr>
        <w:pStyle w:val="Akapitzlist"/>
        <w:numPr>
          <w:ilvl w:val="0"/>
          <w:numId w:val="234"/>
        </w:numPr>
        <w:spacing w:after="0" w:line="312" w:lineRule="auto"/>
        <w:ind w:left="426" w:hanging="426"/>
        <w:rPr>
          <w:rFonts w:eastAsia="Calibri"/>
          <w:szCs w:val="20"/>
        </w:rPr>
      </w:pPr>
      <w:r w:rsidRPr="00E00B35">
        <w:rPr>
          <w:rFonts w:eastAsia="Calibri"/>
          <w:szCs w:val="20"/>
        </w:rPr>
        <w:t>organizacja zespołów ds. okresowej oceny sytuacji dzieci zabezpieczonych we WCOW,</w:t>
      </w:r>
    </w:p>
    <w:p w:rsidR="00CA14AB" w:rsidRPr="00E00B35" w:rsidRDefault="00CA14AB" w:rsidP="00BC64AB">
      <w:pPr>
        <w:pStyle w:val="Akapitzlist"/>
        <w:numPr>
          <w:ilvl w:val="0"/>
          <w:numId w:val="234"/>
        </w:numPr>
        <w:spacing w:after="0" w:line="312" w:lineRule="auto"/>
        <w:ind w:left="426" w:hanging="426"/>
        <w:rPr>
          <w:rFonts w:eastAsia="Calibri"/>
          <w:szCs w:val="20"/>
        </w:rPr>
      </w:pPr>
      <w:r w:rsidRPr="00E00B35">
        <w:rPr>
          <w:rFonts w:eastAsia="Calibri"/>
          <w:szCs w:val="20"/>
        </w:rPr>
        <w:t>współpraca z instytucjami działającymi na polu pomocy rodzinie i dziecku, miedzy innymi z Poradniami Psychologiczno-Pedagogicznymi, Sądami Rodzinnymi, Policją, szkołami i innymi adekwatnie do potrzeb,</w:t>
      </w:r>
    </w:p>
    <w:p w:rsidR="00CA14AB" w:rsidRPr="00E00B35" w:rsidRDefault="00CA14AB" w:rsidP="00BC64AB">
      <w:pPr>
        <w:pStyle w:val="Akapitzlist"/>
        <w:numPr>
          <w:ilvl w:val="0"/>
          <w:numId w:val="234"/>
        </w:numPr>
        <w:spacing w:after="0" w:line="312" w:lineRule="auto"/>
        <w:ind w:left="426" w:hanging="426"/>
        <w:rPr>
          <w:rFonts w:eastAsia="Calibri"/>
          <w:szCs w:val="20"/>
        </w:rPr>
      </w:pPr>
      <w:r w:rsidRPr="00E00B35">
        <w:rPr>
          <w:rFonts w:eastAsia="Calibri"/>
          <w:szCs w:val="20"/>
        </w:rPr>
        <w:t xml:space="preserve">sporządzanie diagnoz, raportów i opinii na temat sytuacji dzieci zabezpieczonych we WCOW, </w:t>
      </w:r>
    </w:p>
    <w:p w:rsidR="00CA14AB" w:rsidRPr="00E00B35" w:rsidRDefault="00CA14AB" w:rsidP="00BC64AB">
      <w:pPr>
        <w:pStyle w:val="Akapitzlist"/>
        <w:numPr>
          <w:ilvl w:val="0"/>
          <w:numId w:val="234"/>
        </w:numPr>
        <w:spacing w:after="0" w:line="312" w:lineRule="auto"/>
        <w:ind w:left="426" w:hanging="426"/>
        <w:rPr>
          <w:rFonts w:eastAsia="Calibri"/>
          <w:szCs w:val="20"/>
        </w:rPr>
      </w:pPr>
      <w:r w:rsidRPr="00E00B35">
        <w:rPr>
          <w:rFonts w:eastAsia="Calibri"/>
          <w:szCs w:val="20"/>
        </w:rPr>
        <w:t>współpraca z rodzinami zaprzyjaźnionymi,</w:t>
      </w:r>
    </w:p>
    <w:p w:rsidR="00CA14AB" w:rsidRPr="00E00B35" w:rsidRDefault="00CA14AB" w:rsidP="00BC64AB">
      <w:pPr>
        <w:pStyle w:val="Akapitzlist"/>
        <w:numPr>
          <w:ilvl w:val="0"/>
          <w:numId w:val="234"/>
        </w:numPr>
        <w:spacing w:after="0" w:line="312" w:lineRule="auto"/>
        <w:ind w:left="426" w:hanging="426"/>
        <w:rPr>
          <w:rFonts w:eastAsia="Calibri"/>
          <w:szCs w:val="20"/>
        </w:rPr>
      </w:pPr>
      <w:r w:rsidRPr="00E00B35">
        <w:rPr>
          <w:rFonts w:eastAsia="Calibri"/>
          <w:szCs w:val="20"/>
        </w:rPr>
        <w:t>ścisła współpraca z wychowawcami na rzecz usprawniania procesów opiekuńczych wobec dzieci zabezpieczonych w tutejszym Centrum.</w:t>
      </w:r>
    </w:p>
    <w:p w:rsidR="00CA14AB" w:rsidRPr="00E00B35" w:rsidRDefault="00CA14AB" w:rsidP="00E00B35">
      <w:pPr>
        <w:spacing w:after="0" w:line="312" w:lineRule="auto"/>
        <w:rPr>
          <w:szCs w:val="20"/>
        </w:rPr>
      </w:pPr>
      <w:bookmarkStart w:id="558" w:name="_Toc72352490"/>
      <w:bookmarkStart w:id="559" w:name="_Toc72352924"/>
      <w:r w:rsidRPr="00E00B35">
        <w:rPr>
          <w:szCs w:val="20"/>
        </w:rPr>
        <w:t>Placówki nr 1 nr 5 i nr 6:</w:t>
      </w:r>
      <w:bookmarkEnd w:id="558"/>
      <w:bookmarkEnd w:id="559"/>
    </w:p>
    <w:p w:rsidR="00CA14AB" w:rsidRPr="00E00B35" w:rsidRDefault="00CA14AB" w:rsidP="00E00B35">
      <w:pPr>
        <w:spacing w:after="0" w:line="312" w:lineRule="auto"/>
        <w:rPr>
          <w:szCs w:val="20"/>
        </w:rPr>
      </w:pPr>
      <w:r w:rsidRPr="00E00B35">
        <w:rPr>
          <w:szCs w:val="20"/>
        </w:rPr>
        <w:t>Ferie Zimowe grupy wychowawczej z Placówki nr 6 od 10.02 do 16.02.2020r. w Szklarskiej Porębie.</w:t>
      </w:r>
    </w:p>
    <w:p w:rsidR="00CA14AB" w:rsidRPr="00E00B35" w:rsidRDefault="00CA14AB" w:rsidP="00E00B35">
      <w:pPr>
        <w:spacing w:after="0" w:line="312" w:lineRule="auto"/>
        <w:rPr>
          <w:szCs w:val="20"/>
        </w:rPr>
      </w:pPr>
      <w:r w:rsidRPr="00E00B35">
        <w:rPr>
          <w:szCs w:val="20"/>
        </w:rPr>
        <w:t xml:space="preserve">Zakończenie projektu „Podróż do domu”.  W projekcie wzięło udział 50 wychowanków, w tym 20 wychowanków w wieku powyżej 15 roku życia, oraz 30 wychowanków poniżej 15 roku życia. W ramach projektu młodzież miała prowadzony mentoring oraz zajęcia z doradcą zawodowym, zajęcia z Zawodoznawstwa, warsztaty z przedsiębiorczości oraz zajęcia z zakresu treningów społecznych. Grupa poniżej 15 roku życia miała prowadzone zajęcia teatralne oraz plastyczne, a także wsparcie mentora. </w:t>
      </w:r>
    </w:p>
    <w:p w:rsidR="00CA14AB" w:rsidRPr="00E00B35" w:rsidRDefault="00CA14AB" w:rsidP="00E00B35">
      <w:pPr>
        <w:spacing w:after="0" w:line="312" w:lineRule="auto"/>
        <w:rPr>
          <w:szCs w:val="20"/>
        </w:rPr>
      </w:pPr>
      <w:r w:rsidRPr="00E00B35">
        <w:rPr>
          <w:szCs w:val="20"/>
        </w:rPr>
        <w:t>Mikołajki z Fundacją MottoDolls. Wręczenie dzieciom prezentów od motocyklistów.</w:t>
      </w:r>
    </w:p>
    <w:p w:rsidR="00CA14AB" w:rsidRPr="00E00B35" w:rsidRDefault="00CA14AB" w:rsidP="00E00B35">
      <w:pPr>
        <w:spacing w:after="0" w:line="312" w:lineRule="auto"/>
        <w:rPr>
          <w:szCs w:val="20"/>
        </w:rPr>
      </w:pPr>
      <w:r w:rsidRPr="00E00B35">
        <w:rPr>
          <w:szCs w:val="20"/>
        </w:rPr>
        <w:lastRenderedPageBreak/>
        <w:t>Organizacja Mikołajek: prezenty między innymi od sieci sklepów LIDL, od firmy HP, organizacja prezentów Osiedli Siechnice, Decathlon i innych.</w:t>
      </w:r>
    </w:p>
    <w:p w:rsidR="00CA14AB" w:rsidRPr="00E00B35" w:rsidRDefault="00CA14AB" w:rsidP="00E00B35">
      <w:pPr>
        <w:spacing w:after="0" w:line="312" w:lineRule="auto"/>
        <w:rPr>
          <w:szCs w:val="20"/>
        </w:rPr>
      </w:pPr>
      <w:r w:rsidRPr="00E00B35">
        <w:rPr>
          <w:szCs w:val="20"/>
        </w:rPr>
        <w:t xml:space="preserve">Udział wychowanków z grupy młodszej (do 5 roku życia) w zajęciach organizowanych w Klubokawiarni Hopsaki.  </w:t>
      </w:r>
    </w:p>
    <w:p w:rsidR="00CA14AB" w:rsidRPr="00E00B35" w:rsidRDefault="00CA14AB" w:rsidP="00E00B35">
      <w:pPr>
        <w:spacing w:after="0" w:line="312" w:lineRule="auto"/>
        <w:rPr>
          <w:szCs w:val="20"/>
        </w:rPr>
      </w:pPr>
      <w:r w:rsidRPr="00E00B35">
        <w:rPr>
          <w:szCs w:val="20"/>
        </w:rPr>
        <w:t xml:space="preserve">Współpraca ze Stowarzyszeniem Adventure Realms: wsparcie edukacyjne wolontariuszy online, organizacja gry miejskiej. </w:t>
      </w:r>
    </w:p>
    <w:p w:rsidR="00CA14AB" w:rsidRPr="00E00B35" w:rsidRDefault="00CA14AB" w:rsidP="00E00B35">
      <w:pPr>
        <w:spacing w:after="0" w:line="312" w:lineRule="auto"/>
        <w:rPr>
          <w:szCs w:val="20"/>
        </w:rPr>
      </w:pPr>
      <w:r w:rsidRPr="00E00B35">
        <w:rPr>
          <w:szCs w:val="20"/>
        </w:rPr>
        <w:t xml:space="preserve">W związku z pandemią w roku 2020 nie było możliwości zorganizowania wielu eventów. Ograniczono wsparcie wolontariuszy. </w:t>
      </w:r>
    </w:p>
    <w:p w:rsidR="00CA14AB" w:rsidRPr="00E00B35" w:rsidRDefault="00CA14AB" w:rsidP="00E00B35">
      <w:pPr>
        <w:spacing w:after="0" w:line="312" w:lineRule="auto"/>
        <w:rPr>
          <w:szCs w:val="20"/>
        </w:rPr>
      </w:pPr>
      <w:bookmarkStart w:id="560" w:name="_Toc72352491"/>
      <w:bookmarkStart w:id="561" w:name="_Toc72352925"/>
      <w:r w:rsidRPr="00E00B35">
        <w:rPr>
          <w:szCs w:val="20"/>
        </w:rPr>
        <w:t>Placówka nr 2</w:t>
      </w:r>
      <w:bookmarkEnd w:id="560"/>
      <w:bookmarkEnd w:id="561"/>
      <w:r w:rsidRPr="00E00B35">
        <w:rPr>
          <w:szCs w:val="20"/>
        </w:rPr>
        <w:t xml:space="preserve"> </w:t>
      </w:r>
    </w:p>
    <w:p w:rsidR="00CA14AB" w:rsidRPr="00E00B35" w:rsidRDefault="00CA14AB" w:rsidP="00E00B35">
      <w:pPr>
        <w:spacing w:after="0" w:line="312" w:lineRule="auto"/>
        <w:rPr>
          <w:szCs w:val="20"/>
        </w:rPr>
      </w:pPr>
      <w:r w:rsidRPr="00E00B35">
        <w:rPr>
          <w:szCs w:val="20"/>
        </w:rPr>
        <w:t>Wyjazd na wycieczkę do Kopalni Złota w Złotym Stoku. Wycieczka zorganizowana we współpracy z firmą Fresenius.</w:t>
      </w:r>
    </w:p>
    <w:p w:rsidR="00CA14AB" w:rsidRPr="00E00B35" w:rsidRDefault="00CA14AB" w:rsidP="00E00B35">
      <w:pPr>
        <w:spacing w:after="0" w:line="312" w:lineRule="auto"/>
        <w:rPr>
          <w:szCs w:val="20"/>
        </w:rPr>
      </w:pPr>
      <w:r w:rsidRPr="00E00B35">
        <w:rPr>
          <w:szCs w:val="20"/>
        </w:rPr>
        <w:t xml:space="preserve">Zakończenie projektu „Podróż do domu”. Wyjazd uczestników do Marianówka. </w:t>
      </w:r>
      <w:r w:rsidRPr="00E00B35">
        <w:rPr>
          <w:szCs w:val="20"/>
        </w:rPr>
        <w:br/>
        <w:t xml:space="preserve">W ramach projektu młodzież miała prowadzony mentoring oraz zajęcia z doradcą zawodowym, zajęcia z zawodoznawstwa, warsztaty z przedsiębiorczości oraz zajęcia </w:t>
      </w:r>
      <w:r w:rsidRPr="00E00B35">
        <w:rPr>
          <w:szCs w:val="20"/>
        </w:rPr>
        <w:br/>
        <w:t>z zakresu treningów społecznych. Grupa poniżej 15 roku życia miała prowadzone zajęcia teatralne oraz plastyczne, a także wsparcie mentora.</w:t>
      </w:r>
    </w:p>
    <w:p w:rsidR="00CA14AB" w:rsidRPr="00E00B35" w:rsidRDefault="00CA14AB" w:rsidP="00E00B35">
      <w:pPr>
        <w:spacing w:after="0" w:line="312" w:lineRule="auto"/>
        <w:rPr>
          <w:szCs w:val="20"/>
        </w:rPr>
      </w:pPr>
      <w:r w:rsidRPr="00E00B35">
        <w:rPr>
          <w:szCs w:val="20"/>
        </w:rPr>
        <w:t>Obchody Dnia Babci i Dnia Dziadka.</w:t>
      </w:r>
    </w:p>
    <w:p w:rsidR="00CA14AB" w:rsidRPr="00E00B35" w:rsidRDefault="00CA14AB" w:rsidP="00E00B35">
      <w:pPr>
        <w:spacing w:after="0" w:line="312" w:lineRule="auto"/>
        <w:rPr>
          <w:szCs w:val="20"/>
        </w:rPr>
      </w:pPr>
      <w:r w:rsidRPr="00E00B35">
        <w:rPr>
          <w:szCs w:val="20"/>
        </w:rPr>
        <w:t>Warsztaty w „Starej Piekarni” – przygotowanie zdrowych słodyczy.</w:t>
      </w:r>
    </w:p>
    <w:p w:rsidR="00CA14AB" w:rsidRPr="00E00B35" w:rsidRDefault="00CA14AB" w:rsidP="00E00B35">
      <w:pPr>
        <w:spacing w:after="0" w:line="312" w:lineRule="auto"/>
        <w:rPr>
          <w:szCs w:val="20"/>
        </w:rPr>
      </w:pPr>
      <w:r w:rsidRPr="00E00B35">
        <w:rPr>
          <w:szCs w:val="20"/>
        </w:rPr>
        <w:t>Ferie w mieście. Wyjścia grupowe do Go Jump, Aquapark, wyjście do kina.</w:t>
      </w:r>
    </w:p>
    <w:p w:rsidR="00CA14AB" w:rsidRPr="00E00B35" w:rsidRDefault="00CA14AB" w:rsidP="00E00B35">
      <w:pPr>
        <w:spacing w:after="0" w:line="312" w:lineRule="auto"/>
        <w:rPr>
          <w:szCs w:val="20"/>
        </w:rPr>
      </w:pPr>
      <w:r w:rsidRPr="00E00B35">
        <w:rPr>
          <w:szCs w:val="20"/>
        </w:rPr>
        <w:t>Ogólnopolski dzień walki z depresją. Zajęcia tematyczne.</w:t>
      </w:r>
    </w:p>
    <w:p w:rsidR="00CA14AB" w:rsidRPr="00E00B35" w:rsidRDefault="00CA14AB" w:rsidP="00E00B35">
      <w:pPr>
        <w:spacing w:after="0" w:line="312" w:lineRule="auto"/>
        <w:rPr>
          <w:szCs w:val="20"/>
        </w:rPr>
      </w:pPr>
      <w:r w:rsidRPr="00E00B35">
        <w:rPr>
          <w:szCs w:val="20"/>
        </w:rPr>
        <w:t xml:space="preserve">Międzynarodowy Dzień Kobiet – krótka historyczna pogadanka  na temat powstania  święta. Społeczność poświęcona szacunkowi okazywanemu kobietom w kulturze europejskiej. Przygotowanie laurek i kwiatków dla naszych najbliższych koleżanek </w:t>
      </w:r>
      <w:r w:rsidRPr="00E00B35">
        <w:rPr>
          <w:szCs w:val="20"/>
        </w:rPr>
        <w:br/>
        <w:t>i Pań.</w:t>
      </w:r>
    </w:p>
    <w:p w:rsidR="00CA14AB" w:rsidRPr="00E00B35" w:rsidRDefault="00CA14AB" w:rsidP="00E00B35">
      <w:pPr>
        <w:spacing w:after="0" w:line="312" w:lineRule="auto"/>
        <w:rPr>
          <w:szCs w:val="20"/>
        </w:rPr>
      </w:pPr>
      <w:r w:rsidRPr="00E00B35">
        <w:rPr>
          <w:szCs w:val="20"/>
        </w:rPr>
        <w:t>Święta Wielkanocne – przygotowanie świątecznej dekoracji w Domu, warsztaty kulinarne związane z tradycją posiłków na stole wielkanocnym. „Zajączek”.</w:t>
      </w:r>
    </w:p>
    <w:p w:rsidR="00CA14AB" w:rsidRPr="00E00B35" w:rsidRDefault="00CA14AB" w:rsidP="00E00B35">
      <w:pPr>
        <w:spacing w:after="0" w:line="312" w:lineRule="auto"/>
        <w:rPr>
          <w:szCs w:val="20"/>
        </w:rPr>
      </w:pPr>
      <w:r w:rsidRPr="00E00B35">
        <w:rPr>
          <w:szCs w:val="20"/>
        </w:rPr>
        <w:t>Święto Pracy, Dzień  Flagi Rzeczpospolitej Polskiej, Święto Narodowe 3 Maja – społeczność  poświęcona przypomnieniu faktów historycznych i budowaniu tożsamości obywatelskiej. Przygotowanie i wywieszenie flag Rzeczpospolitej Polskiej.</w:t>
      </w:r>
    </w:p>
    <w:p w:rsidR="00CA14AB" w:rsidRPr="00E00B35" w:rsidRDefault="00CA14AB" w:rsidP="00E00B35">
      <w:pPr>
        <w:spacing w:after="0" w:line="312" w:lineRule="auto"/>
        <w:rPr>
          <w:szCs w:val="20"/>
        </w:rPr>
      </w:pPr>
      <w:r w:rsidRPr="00E00B35">
        <w:rPr>
          <w:szCs w:val="20"/>
        </w:rPr>
        <w:t>Dzień Matki – przygotowanie laurek i upominków dla mam.</w:t>
      </w:r>
    </w:p>
    <w:p w:rsidR="00CA14AB" w:rsidRPr="00E00B35" w:rsidRDefault="00CA14AB" w:rsidP="00E00B35">
      <w:pPr>
        <w:spacing w:after="0" w:line="312" w:lineRule="auto"/>
        <w:rPr>
          <w:szCs w:val="20"/>
        </w:rPr>
      </w:pPr>
      <w:r w:rsidRPr="00E00B35">
        <w:rPr>
          <w:szCs w:val="20"/>
        </w:rPr>
        <w:t>Międzynarodowy Dzień Dziecka – przygotowanie niespodzianek dla dzieci.</w:t>
      </w:r>
    </w:p>
    <w:p w:rsidR="00CA14AB" w:rsidRPr="00E00B35" w:rsidRDefault="00CA14AB" w:rsidP="00E00B35">
      <w:pPr>
        <w:spacing w:after="0" w:line="312" w:lineRule="auto"/>
        <w:rPr>
          <w:szCs w:val="20"/>
        </w:rPr>
      </w:pPr>
      <w:r w:rsidRPr="00E00B35">
        <w:rPr>
          <w:szCs w:val="20"/>
        </w:rPr>
        <w:t>Dzień cyklisty- rajd rowerowy do Milicza (13.07.20</w:t>
      </w:r>
      <w:r w:rsidR="00E34F9A" w:rsidRPr="00E00B35">
        <w:rPr>
          <w:szCs w:val="20"/>
        </w:rPr>
        <w:t xml:space="preserve"> </w:t>
      </w:r>
      <w:r w:rsidRPr="00E00B35">
        <w:rPr>
          <w:szCs w:val="20"/>
        </w:rPr>
        <w:t>r. – 17.07.20</w:t>
      </w:r>
      <w:r w:rsidR="00E34F9A" w:rsidRPr="00E00B35">
        <w:rPr>
          <w:szCs w:val="20"/>
        </w:rPr>
        <w:t xml:space="preserve"> </w:t>
      </w:r>
      <w:r w:rsidRPr="00E00B35">
        <w:rPr>
          <w:szCs w:val="20"/>
        </w:rPr>
        <w:t>r.).</w:t>
      </w:r>
    </w:p>
    <w:p w:rsidR="00CA14AB" w:rsidRPr="00E00B35" w:rsidRDefault="00CA14AB" w:rsidP="00E00B35">
      <w:pPr>
        <w:spacing w:after="0" w:line="312" w:lineRule="auto"/>
        <w:rPr>
          <w:szCs w:val="20"/>
        </w:rPr>
      </w:pPr>
      <w:r w:rsidRPr="00E00B35">
        <w:rPr>
          <w:szCs w:val="20"/>
        </w:rPr>
        <w:t>Obóz letni zorganizowany we współpracy z Survival Race (18.08.20</w:t>
      </w:r>
      <w:r w:rsidR="00E34F9A" w:rsidRPr="00E00B35">
        <w:rPr>
          <w:szCs w:val="20"/>
        </w:rPr>
        <w:t xml:space="preserve"> </w:t>
      </w:r>
      <w:r w:rsidRPr="00E00B35">
        <w:rPr>
          <w:szCs w:val="20"/>
        </w:rPr>
        <w:t>r. – 27.08.20</w:t>
      </w:r>
      <w:r w:rsidR="00E34F9A" w:rsidRPr="00E00B35">
        <w:rPr>
          <w:szCs w:val="20"/>
        </w:rPr>
        <w:t xml:space="preserve"> </w:t>
      </w:r>
      <w:r w:rsidRPr="00E00B35">
        <w:rPr>
          <w:szCs w:val="20"/>
        </w:rPr>
        <w:t>r.).</w:t>
      </w:r>
    </w:p>
    <w:p w:rsidR="00CA14AB" w:rsidRPr="00E00B35" w:rsidRDefault="00CA14AB" w:rsidP="00E00B35">
      <w:pPr>
        <w:spacing w:after="0" w:line="312" w:lineRule="auto"/>
        <w:rPr>
          <w:szCs w:val="20"/>
        </w:rPr>
      </w:pPr>
      <w:r w:rsidRPr="00E00B35">
        <w:rPr>
          <w:szCs w:val="20"/>
        </w:rPr>
        <w:t>Inauguracja roku szkolnego 2020/2021.</w:t>
      </w:r>
    </w:p>
    <w:p w:rsidR="00CA14AB" w:rsidRPr="00E00B35" w:rsidRDefault="00CA14AB" w:rsidP="00E00B35">
      <w:pPr>
        <w:spacing w:after="0" w:line="312" w:lineRule="auto"/>
        <w:rPr>
          <w:szCs w:val="20"/>
        </w:rPr>
      </w:pPr>
      <w:r w:rsidRPr="00E00B35">
        <w:rPr>
          <w:szCs w:val="20"/>
        </w:rPr>
        <w:t>Wyjazd do Domasławic - jednodniowa wycieczka zorganizowana przez  Survival Race (03.10.20</w:t>
      </w:r>
      <w:r w:rsidR="00E34F9A" w:rsidRPr="00E00B35">
        <w:rPr>
          <w:szCs w:val="20"/>
        </w:rPr>
        <w:t xml:space="preserve"> </w:t>
      </w:r>
      <w:r w:rsidRPr="00E00B35">
        <w:rPr>
          <w:szCs w:val="20"/>
        </w:rPr>
        <w:t>r.).</w:t>
      </w:r>
    </w:p>
    <w:p w:rsidR="00CA14AB" w:rsidRPr="00E00B35" w:rsidRDefault="00CA14AB" w:rsidP="00E00B35">
      <w:pPr>
        <w:spacing w:after="0" w:line="312" w:lineRule="auto"/>
        <w:rPr>
          <w:szCs w:val="20"/>
        </w:rPr>
      </w:pPr>
      <w:r w:rsidRPr="00E00B35">
        <w:rPr>
          <w:szCs w:val="20"/>
        </w:rPr>
        <w:t>Dzień Wszystkich Świętych - odwiedziny grobów bliskich zmarłych.</w:t>
      </w:r>
    </w:p>
    <w:p w:rsidR="00CA14AB" w:rsidRPr="00E00B35" w:rsidRDefault="00CA14AB" w:rsidP="00E00B35">
      <w:pPr>
        <w:spacing w:after="0" w:line="312" w:lineRule="auto"/>
        <w:rPr>
          <w:szCs w:val="20"/>
        </w:rPr>
      </w:pPr>
      <w:r w:rsidRPr="00E00B35">
        <w:rPr>
          <w:szCs w:val="20"/>
        </w:rPr>
        <w:t>Przygotowanie świątecznej dekoracji Domu, ubieranie choinki, przygotowanie posiłków wigilijnych.</w:t>
      </w:r>
    </w:p>
    <w:p w:rsidR="00CA14AB" w:rsidRPr="00E00B35" w:rsidRDefault="00CA14AB" w:rsidP="00E00B35">
      <w:pPr>
        <w:spacing w:after="0" w:line="312" w:lineRule="auto"/>
        <w:rPr>
          <w:szCs w:val="20"/>
        </w:rPr>
      </w:pPr>
      <w:r w:rsidRPr="00E00B35">
        <w:rPr>
          <w:szCs w:val="20"/>
        </w:rPr>
        <w:t>Mikołajki – 06.12.20</w:t>
      </w:r>
      <w:r w:rsidR="00E34F9A" w:rsidRPr="00E00B35">
        <w:rPr>
          <w:szCs w:val="20"/>
        </w:rPr>
        <w:t xml:space="preserve"> </w:t>
      </w:r>
      <w:r w:rsidRPr="00E00B35">
        <w:rPr>
          <w:szCs w:val="20"/>
        </w:rPr>
        <w:t>r.</w:t>
      </w:r>
    </w:p>
    <w:p w:rsidR="00CA14AB" w:rsidRPr="00E00B35" w:rsidRDefault="00CA14AB" w:rsidP="00E00B35">
      <w:pPr>
        <w:spacing w:after="0" w:line="312" w:lineRule="auto"/>
        <w:rPr>
          <w:szCs w:val="20"/>
        </w:rPr>
      </w:pPr>
      <w:r w:rsidRPr="00E00B35">
        <w:rPr>
          <w:szCs w:val="20"/>
        </w:rPr>
        <w:t>Kolacja wigilijna dla całej grupy dzieci i zaproszonych gości – 16.12.20</w:t>
      </w:r>
      <w:r w:rsidR="00E34F9A" w:rsidRPr="00E00B35">
        <w:rPr>
          <w:szCs w:val="20"/>
        </w:rPr>
        <w:t xml:space="preserve"> </w:t>
      </w:r>
      <w:r w:rsidRPr="00E00B35">
        <w:rPr>
          <w:szCs w:val="20"/>
        </w:rPr>
        <w:t>r.</w:t>
      </w:r>
    </w:p>
    <w:p w:rsidR="00CA14AB" w:rsidRPr="00E00B35" w:rsidRDefault="00CA14AB" w:rsidP="00E00B35">
      <w:pPr>
        <w:spacing w:after="0" w:line="312" w:lineRule="auto"/>
        <w:rPr>
          <w:szCs w:val="20"/>
        </w:rPr>
      </w:pPr>
      <w:r w:rsidRPr="00E00B35">
        <w:rPr>
          <w:szCs w:val="20"/>
        </w:rPr>
        <w:t>Mikołajki z Fundacją MottoDolls. Wręczenie dzieciom prezentów od motocyklistów</w:t>
      </w:r>
    </w:p>
    <w:p w:rsidR="00CA14AB" w:rsidRPr="00E00B35" w:rsidRDefault="00CA14AB" w:rsidP="00E00B35">
      <w:pPr>
        <w:spacing w:after="0" w:line="312" w:lineRule="auto"/>
        <w:rPr>
          <w:szCs w:val="20"/>
        </w:rPr>
      </w:pPr>
      <w:bookmarkStart w:id="562" w:name="_Toc72352492"/>
      <w:bookmarkStart w:id="563" w:name="_Toc72352926"/>
      <w:r w:rsidRPr="00E00B35">
        <w:rPr>
          <w:szCs w:val="20"/>
        </w:rPr>
        <w:t>Placówka nr 4</w:t>
      </w:r>
      <w:bookmarkEnd w:id="562"/>
      <w:bookmarkEnd w:id="563"/>
    </w:p>
    <w:p w:rsidR="00CA14AB" w:rsidRPr="00E00B35" w:rsidRDefault="00CA14AB" w:rsidP="00E00B35">
      <w:pPr>
        <w:spacing w:after="0" w:line="312" w:lineRule="auto"/>
        <w:rPr>
          <w:szCs w:val="20"/>
        </w:rPr>
      </w:pPr>
      <w:r w:rsidRPr="00E00B35">
        <w:rPr>
          <w:szCs w:val="20"/>
        </w:rPr>
        <w:lastRenderedPageBreak/>
        <w:t>Udział w pochodzie Trzech Króli.</w:t>
      </w:r>
    </w:p>
    <w:p w:rsidR="00CA14AB" w:rsidRPr="00E00B35" w:rsidRDefault="00CA14AB" w:rsidP="00E00B35">
      <w:pPr>
        <w:spacing w:after="0" w:line="312" w:lineRule="auto"/>
        <w:rPr>
          <w:szCs w:val="20"/>
        </w:rPr>
      </w:pPr>
      <w:r w:rsidRPr="00E00B35">
        <w:rPr>
          <w:szCs w:val="20"/>
        </w:rPr>
        <w:t xml:space="preserve">Dzień Babci i Dziadka - rozmowy na temat znaczenie w naszym życiu babci </w:t>
      </w:r>
      <w:r w:rsidRPr="00E00B35">
        <w:rPr>
          <w:szCs w:val="20"/>
        </w:rPr>
        <w:br/>
        <w:t xml:space="preserve">i dziadka, oglądamy fotografie, opowiadamy o miłych wspomnieniach, dzieci </w:t>
      </w:r>
      <w:r w:rsidRPr="00E00B35">
        <w:rPr>
          <w:szCs w:val="20"/>
        </w:rPr>
        <w:br/>
        <w:t>z pomocą mam i wychowawców robią laurki.</w:t>
      </w:r>
    </w:p>
    <w:p w:rsidR="00CA14AB" w:rsidRPr="00E00B35" w:rsidRDefault="00CA14AB" w:rsidP="00E00B35">
      <w:pPr>
        <w:spacing w:after="0" w:line="312" w:lineRule="auto"/>
        <w:rPr>
          <w:szCs w:val="20"/>
        </w:rPr>
      </w:pPr>
      <w:r w:rsidRPr="00E00B35">
        <w:rPr>
          <w:szCs w:val="20"/>
        </w:rPr>
        <w:t>Wyjścia na basen, oswajanie niemowlaków z wodą.</w:t>
      </w:r>
    </w:p>
    <w:p w:rsidR="00CA14AB" w:rsidRPr="00E00B35" w:rsidRDefault="00CA14AB" w:rsidP="00E00B35">
      <w:pPr>
        <w:spacing w:after="0" w:line="312" w:lineRule="auto"/>
        <w:rPr>
          <w:szCs w:val="20"/>
        </w:rPr>
      </w:pPr>
      <w:r w:rsidRPr="00E00B35">
        <w:rPr>
          <w:szCs w:val="20"/>
        </w:rPr>
        <w:t xml:space="preserve">Zakończenie projektu „Podróż do domu”. Wyjazd uczestników do Marianówka. </w:t>
      </w:r>
      <w:r w:rsidRPr="00E00B35">
        <w:rPr>
          <w:szCs w:val="20"/>
        </w:rPr>
        <w:br/>
        <w:t>W ramach projektu młodzież miała prowadzony mentoring oraz zajęcia z doradcą zawodowym, zajęcia z zawodoznawstwa, warsztaty z przedsiębiorczości oraz zajęcia z zakresu treningów społecznych.</w:t>
      </w:r>
    </w:p>
    <w:p w:rsidR="00CA14AB" w:rsidRPr="00E00B35" w:rsidRDefault="00CA14AB" w:rsidP="00E00B35">
      <w:pPr>
        <w:spacing w:after="0" w:line="312" w:lineRule="auto"/>
        <w:rPr>
          <w:szCs w:val="20"/>
        </w:rPr>
      </w:pPr>
      <w:r w:rsidRPr="00E00B35">
        <w:rPr>
          <w:szCs w:val="20"/>
        </w:rPr>
        <w:t>Cykliczne zajęcia z pierwszej pomocy przedmedycznej.</w:t>
      </w:r>
    </w:p>
    <w:p w:rsidR="00CA14AB" w:rsidRPr="00E00B35" w:rsidRDefault="00CA14AB" w:rsidP="00E00B35">
      <w:pPr>
        <w:spacing w:after="0" w:line="312" w:lineRule="auto"/>
        <w:rPr>
          <w:szCs w:val="20"/>
        </w:rPr>
      </w:pPr>
      <w:r w:rsidRPr="00E00B35">
        <w:rPr>
          <w:szCs w:val="20"/>
        </w:rPr>
        <w:t>Trening ekonomiczny.</w:t>
      </w:r>
    </w:p>
    <w:p w:rsidR="00CA14AB" w:rsidRPr="00E00B35" w:rsidRDefault="00CA14AB" w:rsidP="00E00B35">
      <w:pPr>
        <w:spacing w:after="0" w:line="312" w:lineRule="auto"/>
        <w:rPr>
          <w:szCs w:val="20"/>
        </w:rPr>
      </w:pPr>
      <w:r w:rsidRPr="00E00B35">
        <w:rPr>
          <w:szCs w:val="20"/>
        </w:rPr>
        <w:t>Międzynarodowy Dzień Dziecka. Przygotowanie prezentów dla wszystkich wychowanków. Mamy przygotowały prezenty dla swoich dzieci.</w:t>
      </w:r>
    </w:p>
    <w:p w:rsidR="00CA14AB" w:rsidRPr="00E00B35" w:rsidRDefault="00CA14AB" w:rsidP="00E00B35">
      <w:pPr>
        <w:spacing w:after="0" w:line="312" w:lineRule="auto"/>
        <w:rPr>
          <w:szCs w:val="20"/>
        </w:rPr>
      </w:pPr>
      <w:r w:rsidRPr="00E00B35">
        <w:rPr>
          <w:szCs w:val="20"/>
        </w:rPr>
        <w:t>Wyjścia na basen, spacery po Ostrowie Tumskim, Ogrodzie Japońskim, Rynku. Wizyty w Parku Szczytnickim.</w:t>
      </w:r>
    </w:p>
    <w:p w:rsidR="00CA14AB" w:rsidRPr="00E00B35" w:rsidRDefault="00CA14AB" w:rsidP="00E00B35">
      <w:pPr>
        <w:spacing w:after="0" w:line="312" w:lineRule="auto"/>
        <w:rPr>
          <w:szCs w:val="20"/>
        </w:rPr>
      </w:pPr>
      <w:r w:rsidRPr="00E00B35">
        <w:rPr>
          <w:szCs w:val="20"/>
        </w:rPr>
        <w:t>Rejs statkiem po Odrze.</w:t>
      </w:r>
    </w:p>
    <w:p w:rsidR="00CA14AB" w:rsidRPr="00E00B35" w:rsidRDefault="00CA14AB" w:rsidP="00E00B35">
      <w:pPr>
        <w:spacing w:after="0" w:line="312" w:lineRule="auto"/>
        <w:rPr>
          <w:szCs w:val="20"/>
        </w:rPr>
      </w:pPr>
      <w:r w:rsidRPr="00E00B35">
        <w:rPr>
          <w:szCs w:val="20"/>
        </w:rPr>
        <w:t>Spotkanie młodych mam w Klubo – Bawialni.</w:t>
      </w:r>
    </w:p>
    <w:p w:rsidR="00CA14AB" w:rsidRPr="00E00B35" w:rsidRDefault="00CA14AB" w:rsidP="00E00B35">
      <w:pPr>
        <w:spacing w:after="0" w:line="312" w:lineRule="auto"/>
        <w:rPr>
          <w:szCs w:val="20"/>
        </w:rPr>
      </w:pPr>
      <w:r w:rsidRPr="00E00B35">
        <w:rPr>
          <w:szCs w:val="20"/>
        </w:rPr>
        <w:t>Wycieczka do Pawilonu Czterech Kopuł.</w:t>
      </w:r>
    </w:p>
    <w:p w:rsidR="00CA14AB" w:rsidRPr="00E00B35" w:rsidRDefault="00CA14AB" w:rsidP="00E00B35">
      <w:pPr>
        <w:spacing w:after="0" w:line="312" w:lineRule="auto"/>
        <w:rPr>
          <w:szCs w:val="20"/>
        </w:rPr>
      </w:pPr>
      <w:r w:rsidRPr="00E00B35">
        <w:rPr>
          <w:szCs w:val="20"/>
        </w:rPr>
        <w:t>Inauguracja roku szkolnego 2020/2021.</w:t>
      </w:r>
    </w:p>
    <w:p w:rsidR="00CA14AB" w:rsidRPr="00E00B35" w:rsidRDefault="00CA14AB" w:rsidP="00E00B35">
      <w:pPr>
        <w:spacing w:after="0" w:line="312" w:lineRule="auto"/>
        <w:rPr>
          <w:szCs w:val="20"/>
        </w:rPr>
      </w:pPr>
      <w:r w:rsidRPr="00E00B35">
        <w:rPr>
          <w:szCs w:val="20"/>
        </w:rPr>
        <w:t>Dzień Wszystkich Świętych – oddawanie czci i szacunku zmarłym, wizyty na grobach zmarłych bliskich.</w:t>
      </w:r>
    </w:p>
    <w:p w:rsidR="00CA14AB" w:rsidRPr="00E00B35" w:rsidRDefault="00CA14AB" w:rsidP="00E00B35">
      <w:pPr>
        <w:spacing w:after="0" w:line="312" w:lineRule="auto"/>
        <w:rPr>
          <w:szCs w:val="20"/>
        </w:rPr>
      </w:pPr>
      <w:r w:rsidRPr="00E00B35">
        <w:rPr>
          <w:szCs w:val="20"/>
        </w:rPr>
        <w:t>Dzień Niepodległości – przypomnienie faktów historycznych związanych ze świętem.</w:t>
      </w:r>
    </w:p>
    <w:p w:rsidR="00CA14AB" w:rsidRPr="00E00B35" w:rsidRDefault="00CA14AB" w:rsidP="00E00B35">
      <w:pPr>
        <w:spacing w:after="0" w:line="312" w:lineRule="auto"/>
        <w:rPr>
          <w:szCs w:val="20"/>
        </w:rPr>
      </w:pPr>
      <w:r w:rsidRPr="00E00B35">
        <w:rPr>
          <w:szCs w:val="20"/>
        </w:rPr>
        <w:t>Andrzejki – zabawa andrzejkowa dla młodszych dzieci.</w:t>
      </w:r>
    </w:p>
    <w:p w:rsidR="00CA14AB" w:rsidRPr="00E00B35" w:rsidRDefault="00CA14AB" w:rsidP="00E00B35">
      <w:pPr>
        <w:spacing w:after="0" w:line="312" w:lineRule="auto"/>
        <w:rPr>
          <w:szCs w:val="20"/>
        </w:rPr>
      </w:pPr>
      <w:r w:rsidRPr="00E00B35">
        <w:rPr>
          <w:szCs w:val="20"/>
        </w:rPr>
        <w:t>Mikołajki. Przekazanie prezentów od sponsorów prywatnych. Wcześniej dzieci pisały listy do Mikołaja – 06.12.20</w:t>
      </w:r>
      <w:r w:rsidR="00E34F9A" w:rsidRPr="00E00B35">
        <w:rPr>
          <w:szCs w:val="20"/>
        </w:rPr>
        <w:t xml:space="preserve"> </w:t>
      </w:r>
      <w:r w:rsidRPr="00E00B35">
        <w:rPr>
          <w:szCs w:val="20"/>
        </w:rPr>
        <w:t xml:space="preserve">r. </w:t>
      </w:r>
    </w:p>
    <w:p w:rsidR="00CA14AB" w:rsidRPr="00E00B35" w:rsidRDefault="00CA14AB" w:rsidP="00E00B35">
      <w:pPr>
        <w:spacing w:after="0" w:line="312" w:lineRule="auto"/>
        <w:rPr>
          <w:szCs w:val="20"/>
        </w:rPr>
      </w:pPr>
      <w:r w:rsidRPr="00E00B35">
        <w:rPr>
          <w:szCs w:val="20"/>
        </w:rPr>
        <w:t>Kolacja świąteczna. Wizyta Św. Mikołaja. Przekazanie prezentów od sponsorów – 17.12.20</w:t>
      </w:r>
      <w:r w:rsidR="00E34F9A" w:rsidRPr="00E00B35">
        <w:rPr>
          <w:szCs w:val="20"/>
        </w:rPr>
        <w:t xml:space="preserve"> </w:t>
      </w:r>
      <w:r w:rsidRPr="00E00B35">
        <w:rPr>
          <w:szCs w:val="20"/>
        </w:rPr>
        <w:t>r.</w:t>
      </w:r>
    </w:p>
    <w:p w:rsidR="00CA14AB" w:rsidRPr="00E00B35" w:rsidRDefault="00CA14AB" w:rsidP="00E00B35">
      <w:pPr>
        <w:spacing w:after="0" w:line="312" w:lineRule="auto"/>
        <w:rPr>
          <w:szCs w:val="20"/>
        </w:rPr>
      </w:pPr>
      <w:bookmarkStart w:id="564" w:name="_Toc72352493"/>
      <w:bookmarkStart w:id="565" w:name="_Toc72352927"/>
      <w:r w:rsidRPr="00E00B35">
        <w:rPr>
          <w:szCs w:val="20"/>
        </w:rPr>
        <w:t>Placówka nr 7</w:t>
      </w:r>
      <w:bookmarkEnd w:id="564"/>
      <w:bookmarkEnd w:id="565"/>
    </w:p>
    <w:p w:rsidR="00CA14AB" w:rsidRPr="00E00B35" w:rsidRDefault="00CA14AB" w:rsidP="00E00B35">
      <w:pPr>
        <w:spacing w:after="0" w:line="312" w:lineRule="auto"/>
        <w:rPr>
          <w:szCs w:val="20"/>
        </w:rPr>
      </w:pPr>
      <w:r w:rsidRPr="00E00B35">
        <w:rPr>
          <w:szCs w:val="20"/>
        </w:rPr>
        <w:t xml:space="preserve">Zakończenie projektu „Podróż do domu”. Wyjazd uczestników do Marianówka. </w:t>
      </w:r>
      <w:r w:rsidRPr="00E00B35">
        <w:rPr>
          <w:szCs w:val="20"/>
        </w:rPr>
        <w:br/>
        <w:t xml:space="preserve">W ramach projektu młodzież miała prowadzony mentoring oraz zajęcia z doradcą zawodowym, zajęcia z zawodoznawstwa, warsztaty z przedsiębiorczości oraz zajęcia </w:t>
      </w:r>
      <w:r w:rsidRPr="00E00B35">
        <w:rPr>
          <w:szCs w:val="20"/>
        </w:rPr>
        <w:br/>
        <w:t>z zakresu treningów społecznych. Grupa poniżej 15 roku życia miała prowadzone zajęcia teatralne oraz plastyczne, a także wsparcie mentora</w:t>
      </w:r>
    </w:p>
    <w:p w:rsidR="00CA14AB" w:rsidRPr="00E00B35" w:rsidRDefault="00CA14AB" w:rsidP="00E00B35">
      <w:pPr>
        <w:spacing w:after="0" w:line="312" w:lineRule="auto"/>
        <w:rPr>
          <w:szCs w:val="20"/>
        </w:rPr>
      </w:pPr>
      <w:r w:rsidRPr="00E00B35">
        <w:rPr>
          <w:szCs w:val="20"/>
        </w:rPr>
        <w:t>Dzień Kobiet – wspólne przygotowanie laurek dla Pań pracujących w placówce.</w:t>
      </w:r>
    </w:p>
    <w:p w:rsidR="00CA14AB" w:rsidRPr="00E00B35" w:rsidRDefault="00CA14AB" w:rsidP="00E00B35">
      <w:pPr>
        <w:spacing w:after="0" w:line="312" w:lineRule="auto"/>
        <w:rPr>
          <w:szCs w:val="20"/>
        </w:rPr>
      </w:pPr>
      <w:r w:rsidRPr="00E00B35">
        <w:rPr>
          <w:szCs w:val="20"/>
        </w:rPr>
        <w:t>Krótka lekcja historii Dzień Kobiet dawniej i współcześnie.</w:t>
      </w:r>
    </w:p>
    <w:p w:rsidR="00CA14AB" w:rsidRPr="00E00B35" w:rsidRDefault="00CA14AB" w:rsidP="00E00B35">
      <w:pPr>
        <w:spacing w:after="0" w:line="312" w:lineRule="auto"/>
        <w:rPr>
          <w:szCs w:val="20"/>
        </w:rPr>
      </w:pPr>
      <w:r w:rsidRPr="00E00B35">
        <w:rPr>
          <w:szCs w:val="20"/>
        </w:rPr>
        <w:t>Przemoc i agresja – próba stworzenia definicji przemocy i agresji oraz stworzenie plakatu, który będzie informował wychowanków, że w naszym domu nie ma przyzwolenia na przemoc i agresję.</w:t>
      </w:r>
    </w:p>
    <w:p w:rsidR="00CA14AB" w:rsidRPr="00E00B35" w:rsidRDefault="00CA14AB" w:rsidP="00E00B35">
      <w:pPr>
        <w:spacing w:after="0" w:line="312" w:lineRule="auto"/>
        <w:rPr>
          <w:szCs w:val="20"/>
        </w:rPr>
      </w:pPr>
      <w:r w:rsidRPr="00E00B35">
        <w:rPr>
          <w:szCs w:val="20"/>
        </w:rPr>
        <w:t>Pierwszy dzień wiosny – generalne porządki w ogrodzie.</w:t>
      </w:r>
    </w:p>
    <w:p w:rsidR="00CA14AB" w:rsidRPr="00E00B35" w:rsidRDefault="00CA14AB" w:rsidP="00E00B35">
      <w:pPr>
        <w:spacing w:after="0" w:line="312" w:lineRule="auto"/>
        <w:rPr>
          <w:szCs w:val="20"/>
        </w:rPr>
      </w:pPr>
      <w:r w:rsidRPr="00E00B35">
        <w:rPr>
          <w:szCs w:val="20"/>
        </w:rPr>
        <w:t>Dzień czytania Tolkiena – próba zachęcenia wychowanków do przeczytania wybranych pozycji – podczas klubu książki staraliśmy się czytać jedną z pozycji Tolkiena „Hobbita” jednak wychowankowie zdecydowali się na inne książki (Pinokio, Harry Potter).</w:t>
      </w:r>
    </w:p>
    <w:p w:rsidR="00CA14AB" w:rsidRPr="00E00B35" w:rsidRDefault="00CA14AB" w:rsidP="00E00B35">
      <w:pPr>
        <w:spacing w:after="0" w:line="312" w:lineRule="auto"/>
        <w:rPr>
          <w:szCs w:val="20"/>
        </w:rPr>
      </w:pPr>
      <w:r w:rsidRPr="00E00B35">
        <w:rPr>
          <w:szCs w:val="20"/>
        </w:rPr>
        <w:lastRenderedPageBreak/>
        <w:t>Prima Aprilis – przypomnienie historii i obyczajów w Polsce; wspólne gry i zabawy na świeżym powietrzu</w:t>
      </w:r>
      <w:r w:rsidR="00E34F9A" w:rsidRPr="00E00B35">
        <w:rPr>
          <w:szCs w:val="20"/>
        </w:rPr>
        <w:t>.</w:t>
      </w:r>
    </w:p>
    <w:p w:rsidR="00CA14AB" w:rsidRPr="00E00B35" w:rsidRDefault="00CA14AB" w:rsidP="00E00B35">
      <w:pPr>
        <w:spacing w:after="0" w:line="312" w:lineRule="auto"/>
        <w:rPr>
          <w:szCs w:val="20"/>
        </w:rPr>
      </w:pPr>
      <w:r w:rsidRPr="00E00B35">
        <w:rPr>
          <w:szCs w:val="20"/>
        </w:rPr>
        <w:t>Generalne porządki w całym domu – przygotowanie do nadchodzących Świąt wielkanocnych; integracja przy realizowaniu wyznaczonego celu.</w:t>
      </w:r>
    </w:p>
    <w:p w:rsidR="00CA14AB" w:rsidRPr="00E00B35" w:rsidRDefault="00CA14AB" w:rsidP="00E00B35">
      <w:pPr>
        <w:spacing w:after="0" w:line="312" w:lineRule="auto"/>
        <w:rPr>
          <w:szCs w:val="20"/>
        </w:rPr>
      </w:pPr>
      <w:r w:rsidRPr="00E00B35">
        <w:rPr>
          <w:szCs w:val="20"/>
        </w:rPr>
        <w:t>Święta Wielkanocne – zaznajomienie dzieci z tradycją.</w:t>
      </w:r>
    </w:p>
    <w:p w:rsidR="00CA14AB" w:rsidRPr="00E00B35" w:rsidRDefault="00CA14AB" w:rsidP="00E00B35">
      <w:pPr>
        <w:spacing w:after="0" w:line="312" w:lineRule="auto"/>
        <w:rPr>
          <w:szCs w:val="20"/>
        </w:rPr>
      </w:pPr>
      <w:r w:rsidRPr="00E00B35">
        <w:rPr>
          <w:szCs w:val="20"/>
        </w:rPr>
        <w:t>Wspólne przygotowanie śniadania Wielkanocnego i świętowanie.</w:t>
      </w:r>
    </w:p>
    <w:p w:rsidR="00CA14AB" w:rsidRPr="00E00B35" w:rsidRDefault="00CA14AB" w:rsidP="00E00B35">
      <w:pPr>
        <w:spacing w:after="0" w:line="312" w:lineRule="auto"/>
        <w:rPr>
          <w:szCs w:val="20"/>
        </w:rPr>
      </w:pPr>
      <w:r w:rsidRPr="00E00B35">
        <w:rPr>
          <w:szCs w:val="20"/>
        </w:rPr>
        <w:t>Bezinteresowność -lekcja pt. Co jest motorem działań ludzkich – próba uświadomienia  wychowankom, że uśmiech i inne niematerialne rzeczy również mogą być nagrodą za podjęte działania/ pomoc.</w:t>
      </w:r>
    </w:p>
    <w:p w:rsidR="00CA14AB" w:rsidRPr="00E00B35" w:rsidRDefault="00CA14AB" w:rsidP="00E00B35">
      <w:pPr>
        <w:spacing w:after="0" w:line="312" w:lineRule="auto"/>
        <w:rPr>
          <w:szCs w:val="20"/>
        </w:rPr>
      </w:pPr>
      <w:r w:rsidRPr="00E00B35">
        <w:rPr>
          <w:szCs w:val="20"/>
        </w:rPr>
        <w:t>Święto Flagi -</w:t>
      </w:r>
      <w:r w:rsidR="00E34F9A" w:rsidRPr="00E00B35">
        <w:rPr>
          <w:szCs w:val="20"/>
        </w:rPr>
        <w:t xml:space="preserve"> </w:t>
      </w:r>
      <w:r w:rsidRPr="00E00B35">
        <w:rPr>
          <w:szCs w:val="20"/>
        </w:rPr>
        <w:t>rozmowa z dziećmi na temat istoty święta, konkurs na najładniejszą flagę.</w:t>
      </w:r>
    </w:p>
    <w:p w:rsidR="00CA14AB" w:rsidRPr="00E00B35" w:rsidRDefault="00CA14AB" w:rsidP="00E00B35">
      <w:pPr>
        <w:spacing w:after="0" w:line="312" w:lineRule="auto"/>
        <w:rPr>
          <w:szCs w:val="20"/>
        </w:rPr>
      </w:pPr>
      <w:r w:rsidRPr="00E00B35">
        <w:rPr>
          <w:szCs w:val="20"/>
        </w:rPr>
        <w:t>Święto Konstytucji 3 Maja -zapoznanie się z tradycją oraz ważnymi wydarzeniami dotyczącymi naszego kraju; burza mózgów na temat tego czym jest patriotyzm oraz jakie zachowania czynią nas patriotami.</w:t>
      </w:r>
    </w:p>
    <w:p w:rsidR="00CA14AB" w:rsidRPr="00E00B35" w:rsidRDefault="00CA14AB" w:rsidP="00E00B35">
      <w:pPr>
        <w:spacing w:after="0" w:line="312" w:lineRule="auto"/>
        <w:rPr>
          <w:szCs w:val="20"/>
        </w:rPr>
      </w:pPr>
      <w:r w:rsidRPr="00E00B35">
        <w:rPr>
          <w:szCs w:val="20"/>
        </w:rPr>
        <w:t>Dzień Matki -wspólne wykonywanie laurek i upominków dla mam, rozmowy na temat wyrażania uczuć/ okazywania emocji w stosunku do osób nam bliskich; rozmowa na temat szacunku.</w:t>
      </w:r>
    </w:p>
    <w:p w:rsidR="00CA14AB" w:rsidRPr="00E00B35" w:rsidRDefault="00CA14AB" w:rsidP="00E00B35">
      <w:pPr>
        <w:spacing w:after="0" w:line="312" w:lineRule="auto"/>
        <w:rPr>
          <w:szCs w:val="20"/>
        </w:rPr>
      </w:pPr>
      <w:r w:rsidRPr="00E00B35">
        <w:rPr>
          <w:szCs w:val="20"/>
        </w:rPr>
        <w:t>Dzień Dziecka – wspólne gry i zabawy, wspólne przygotowanie ciasta/ ciasteczek, piknik na świeżym powietrzu.</w:t>
      </w:r>
    </w:p>
    <w:p w:rsidR="00CA14AB" w:rsidRPr="00E00B35" w:rsidRDefault="00CA14AB" w:rsidP="00E00B35">
      <w:pPr>
        <w:spacing w:after="0" w:line="312" w:lineRule="auto"/>
        <w:rPr>
          <w:szCs w:val="20"/>
        </w:rPr>
      </w:pPr>
      <w:r w:rsidRPr="00E00B35">
        <w:rPr>
          <w:szCs w:val="20"/>
        </w:rPr>
        <w:t>Zasady bezpiecznych wakacji – stworzenie plakatu, który będzie zawierał 25 zasad bezpiecznych wakacji.</w:t>
      </w:r>
    </w:p>
    <w:p w:rsidR="00CA14AB" w:rsidRPr="00E00B35" w:rsidRDefault="00CA14AB" w:rsidP="00E00B35">
      <w:pPr>
        <w:spacing w:after="0" w:line="312" w:lineRule="auto"/>
        <w:rPr>
          <w:szCs w:val="20"/>
        </w:rPr>
      </w:pPr>
      <w:r w:rsidRPr="00E00B35">
        <w:rPr>
          <w:szCs w:val="20"/>
        </w:rPr>
        <w:t>Dzień cyklisty - rajd rowerowy dla części starszych wychowanków do Milicza (13.07.20r. – 17.07.20</w:t>
      </w:r>
      <w:r w:rsidR="00E34F9A" w:rsidRPr="00E00B35">
        <w:rPr>
          <w:szCs w:val="20"/>
        </w:rPr>
        <w:t xml:space="preserve"> </w:t>
      </w:r>
      <w:r w:rsidRPr="00E00B35">
        <w:rPr>
          <w:szCs w:val="20"/>
        </w:rPr>
        <w:t>r.).</w:t>
      </w:r>
    </w:p>
    <w:p w:rsidR="00CA14AB" w:rsidRPr="00E00B35" w:rsidRDefault="00CA14AB" w:rsidP="00E00B35">
      <w:pPr>
        <w:spacing w:after="0" w:line="312" w:lineRule="auto"/>
        <w:rPr>
          <w:szCs w:val="20"/>
        </w:rPr>
      </w:pPr>
      <w:r w:rsidRPr="00E00B35">
        <w:rPr>
          <w:szCs w:val="20"/>
        </w:rPr>
        <w:t xml:space="preserve">Wyjścia na basen, zajęcia na świeżym powietrzu. </w:t>
      </w:r>
    </w:p>
    <w:p w:rsidR="00CA14AB" w:rsidRPr="00E00B35" w:rsidRDefault="00CA14AB" w:rsidP="00E00B35">
      <w:pPr>
        <w:spacing w:after="0" w:line="312" w:lineRule="auto"/>
        <w:rPr>
          <w:szCs w:val="20"/>
        </w:rPr>
      </w:pPr>
      <w:r w:rsidRPr="00E00B35">
        <w:rPr>
          <w:szCs w:val="20"/>
        </w:rPr>
        <w:t>MasterChef – konkurs kulinarny dla dzieci.</w:t>
      </w:r>
    </w:p>
    <w:p w:rsidR="00CA14AB" w:rsidRPr="00E00B35" w:rsidRDefault="00CA14AB" w:rsidP="00E00B35">
      <w:pPr>
        <w:spacing w:after="0" w:line="312" w:lineRule="auto"/>
        <w:rPr>
          <w:szCs w:val="20"/>
        </w:rPr>
      </w:pPr>
      <w:r w:rsidRPr="00E00B35">
        <w:rPr>
          <w:szCs w:val="20"/>
        </w:rPr>
        <w:t>Wyjście na festiwal „Baniek Mydlanych”.</w:t>
      </w:r>
    </w:p>
    <w:p w:rsidR="00CA14AB" w:rsidRPr="00E00B35" w:rsidRDefault="00CA14AB" w:rsidP="00E00B35">
      <w:pPr>
        <w:spacing w:after="0" w:line="312" w:lineRule="auto"/>
        <w:rPr>
          <w:szCs w:val="20"/>
        </w:rPr>
      </w:pPr>
      <w:r w:rsidRPr="00E00B35">
        <w:rPr>
          <w:szCs w:val="20"/>
        </w:rPr>
        <w:t>Dzień Taty – przygotowanie drobnych upominków dla ojców.</w:t>
      </w:r>
    </w:p>
    <w:p w:rsidR="00CA14AB" w:rsidRPr="00E00B35" w:rsidRDefault="00CA14AB" w:rsidP="00E00B35">
      <w:pPr>
        <w:spacing w:after="0" w:line="312" w:lineRule="auto"/>
        <w:rPr>
          <w:szCs w:val="20"/>
        </w:rPr>
      </w:pPr>
      <w:r w:rsidRPr="00E00B35">
        <w:rPr>
          <w:szCs w:val="20"/>
        </w:rPr>
        <w:t>Inauguracja roku szkolnego 2020/2021.</w:t>
      </w:r>
    </w:p>
    <w:p w:rsidR="00CA14AB" w:rsidRPr="00E00B35" w:rsidRDefault="00CA14AB" w:rsidP="00E00B35">
      <w:pPr>
        <w:spacing w:after="0" w:line="312" w:lineRule="auto"/>
        <w:rPr>
          <w:szCs w:val="20"/>
        </w:rPr>
      </w:pPr>
      <w:r w:rsidRPr="00E00B35">
        <w:rPr>
          <w:szCs w:val="20"/>
        </w:rPr>
        <w:t>Dzień Wszystkich Świętych – oddawanie czci i szacunku zmarłym, wizyty na grobach zmarłych bliskich.</w:t>
      </w:r>
    </w:p>
    <w:p w:rsidR="00CA14AB" w:rsidRPr="00E00B35" w:rsidRDefault="00CA14AB" w:rsidP="00E00B35">
      <w:pPr>
        <w:spacing w:after="0" w:line="312" w:lineRule="auto"/>
        <w:rPr>
          <w:szCs w:val="20"/>
        </w:rPr>
      </w:pPr>
      <w:r w:rsidRPr="00E00B35">
        <w:rPr>
          <w:szCs w:val="20"/>
        </w:rPr>
        <w:t>Dzień Niepodległości. Zajęcia tematyczne.</w:t>
      </w:r>
    </w:p>
    <w:p w:rsidR="00CA14AB" w:rsidRPr="00E00B35" w:rsidRDefault="00CA14AB" w:rsidP="00E00B35">
      <w:pPr>
        <w:spacing w:after="0" w:line="312" w:lineRule="auto"/>
        <w:rPr>
          <w:szCs w:val="20"/>
        </w:rPr>
      </w:pPr>
      <w:r w:rsidRPr="00E00B35">
        <w:rPr>
          <w:szCs w:val="20"/>
        </w:rPr>
        <w:t>Współpraca ze Stowarzyszeniem Adventure Realms: wsparcie edukacyjne wolontariuszy online, organizacja gry miejskiej. Zorganizowanie wystawy na terenie ogrodu przy Placówkach nr 4 i 7 – 26.11.20r.</w:t>
      </w:r>
    </w:p>
    <w:p w:rsidR="00CA14AB" w:rsidRPr="00E00B35" w:rsidRDefault="00CA14AB" w:rsidP="00E00B35">
      <w:pPr>
        <w:spacing w:after="0" w:line="312" w:lineRule="auto"/>
        <w:rPr>
          <w:szCs w:val="20"/>
        </w:rPr>
      </w:pPr>
      <w:r w:rsidRPr="00E00B35">
        <w:rPr>
          <w:szCs w:val="20"/>
        </w:rPr>
        <w:t>Andrzejki – zabawa andrzejkowa, wróżby.</w:t>
      </w:r>
    </w:p>
    <w:p w:rsidR="00CA14AB" w:rsidRPr="00E00B35" w:rsidRDefault="00CA14AB" w:rsidP="00E00B35">
      <w:pPr>
        <w:spacing w:after="0" w:line="312" w:lineRule="auto"/>
        <w:rPr>
          <w:szCs w:val="20"/>
        </w:rPr>
      </w:pPr>
      <w:r w:rsidRPr="00E00B35">
        <w:rPr>
          <w:szCs w:val="20"/>
        </w:rPr>
        <w:t>Przygotowanie ozdób świątecznych. Ubranie choinki i ustrojenie mieszkania.</w:t>
      </w:r>
    </w:p>
    <w:p w:rsidR="00CA14AB" w:rsidRPr="00E00B35" w:rsidRDefault="00CA14AB" w:rsidP="00E00B35">
      <w:pPr>
        <w:spacing w:after="0" w:line="312" w:lineRule="auto"/>
        <w:rPr>
          <w:szCs w:val="20"/>
        </w:rPr>
      </w:pPr>
      <w:r w:rsidRPr="00E00B35">
        <w:rPr>
          <w:szCs w:val="20"/>
        </w:rPr>
        <w:t>Mikołajki – przekazanie prezentów przygotowanych na podstawie listów do Mikołaja, napisanych przez dzieci.</w:t>
      </w:r>
    </w:p>
    <w:p w:rsidR="00CA14AB" w:rsidRPr="00E00B35" w:rsidRDefault="00CA14AB" w:rsidP="00E00B35">
      <w:pPr>
        <w:spacing w:after="0" w:line="312" w:lineRule="auto"/>
        <w:rPr>
          <w:szCs w:val="20"/>
        </w:rPr>
      </w:pPr>
      <w:r w:rsidRPr="00E00B35">
        <w:rPr>
          <w:szCs w:val="20"/>
        </w:rPr>
        <w:t>Kolacja świąteczna. Wizyta Św. Mikołaja. Przekazanie prezentów od sponsorów – 17.12.20</w:t>
      </w:r>
      <w:r w:rsidR="00E34F9A" w:rsidRPr="00E00B35">
        <w:rPr>
          <w:szCs w:val="20"/>
        </w:rPr>
        <w:t xml:space="preserve"> </w:t>
      </w:r>
      <w:r w:rsidRPr="00E00B35">
        <w:rPr>
          <w:szCs w:val="20"/>
        </w:rPr>
        <w:t>r.</w:t>
      </w:r>
    </w:p>
    <w:p w:rsidR="00CA14AB" w:rsidRPr="00E00B35" w:rsidRDefault="00CA14AB" w:rsidP="00E00B35">
      <w:pPr>
        <w:spacing w:after="0" w:line="312" w:lineRule="auto"/>
        <w:rPr>
          <w:szCs w:val="20"/>
        </w:rPr>
      </w:pPr>
      <w:bookmarkStart w:id="566" w:name="_Toc72352494"/>
      <w:bookmarkStart w:id="567" w:name="_Toc72352928"/>
      <w:r w:rsidRPr="00E00B35">
        <w:rPr>
          <w:szCs w:val="20"/>
        </w:rPr>
        <w:t>Placówki nr 3,9,13,14</w:t>
      </w:r>
      <w:bookmarkEnd w:id="566"/>
      <w:bookmarkEnd w:id="567"/>
    </w:p>
    <w:p w:rsidR="00CA14AB" w:rsidRPr="00E00B35" w:rsidRDefault="00CA14AB" w:rsidP="00E00B35">
      <w:pPr>
        <w:spacing w:after="0" w:line="312" w:lineRule="auto"/>
        <w:rPr>
          <w:szCs w:val="20"/>
        </w:rPr>
      </w:pPr>
      <w:r w:rsidRPr="00E00B35">
        <w:rPr>
          <w:szCs w:val="20"/>
        </w:rPr>
        <w:t>W związku z pandemią Covid-19 większość współprac zewnętrznych na czas jej trwania zostało wstrzymanych. Zawieszeniu od marca 2020 r. uległy:</w:t>
      </w:r>
    </w:p>
    <w:p w:rsidR="00CA14AB" w:rsidRPr="00E00B35" w:rsidRDefault="00CA14AB" w:rsidP="00E00B35">
      <w:pPr>
        <w:spacing w:after="0" w:line="312" w:lineRule="auto"/>
        <w:rPr>
          <w:szCs w:val="20"/>
        </w:rPr>
      </w:pPr>
      <w:r w:rsidRPr="00E00B35">
        <w:rPr>
          <w:szCs w:val="20"/>
        </w:rPr>
        <w:lastRenderedPageBreak/>
        <w:t>Projekt edukacji zdrowotnej i artystycznej dzieci i młodzieży Fundacji Ocelot – współpracy w ramach badania dzieci przez Instytut Psychoedukacji i Medycyny Stylu życia oraz zajęć akrobatycznych (coaching, psychodietetyka, akrobatyka)</w:t>
      </w:r>
      <w:r w:rsidR="00E34F9A" w:rsidRPr="00E00B35">
        <w:rPr>
          <w:szCs w:val="20"/>
        </w:rPr>
        <w:t>.</w:t>
      </w:r>
    </w:p>
    <w:p w:rsidR="00CA14AB" w:rsidRPr="00E00B35" w:rsidRDefault="00CA14AB" w:rsidP="00E00B35">
      <w:pPr>
        <w:spacing w:after="0" w:line="312" w:lineRule="auto"/>
        <w:rPr>
          <w:szCs w:val="20"/>
        </w:rPr>
      </w:pPr>
      <w:r w:rsidRPr="00E00B35">
        <w:rPr>
          <w:szCs w:val="20"/>
        </w:rPr>
        <w:t>Współpraca z Wrocławskim Parkiem Technologicznym (Fundacja Pro Mathematica)                          w ramach warsztatów dla usamodzielniającej się młodzieży</w:t>
      </w:r>
      <w:r w:rsidR="00E34F9A" w:rsidRPr="00E00B35">
        <w:rPr>
          <w:szCs w:val="20"/>
        </w:rPr>
        <w:t>.</w:t>
      </w:r>
    </w:p>
    <w:p w:rsidR="00CA14AB" w:rsidRPr="00E00B35" w:rsidRDefault="00CA14AB" w:rsidP="00E00B35">
      <w:pPr>
        <w:spacing w:after="0" w:line="312" w:lineRule="auto"/>
        <w:rPr>
          <w:szCs w:val="20"/>
        </w:rPr>
      </w:pPr>
      <w:r w:rsidRPr="00E00B35">
        <w:rPr>
          <w:szCs w:val="20"/>
        </w:rPr>
        <w:t>Akademia Młodego Przedsiębiorcy z Europejskim Funduszem Leasingowym – warsztaty biznesowe dla usamodzielniającej się młodzieży</w:t>
      </w:r>
      <w:r w:rsidR="00E34F9A" w:rsidRPr="00E00B35">
        <w:rPr>
          <w:szCs w:val="20"/>
        </w:rPr>
        <w:t>.</w:t>
      </w:r>
    </w:p>
    <w:p w:rsidR="00CA14AB" w:rsidRPr="00E00B35" w:rsidRDefault="00CA14AB" w:rsidP="00E00B35">
      <w:pPr>
        <w:spacing w:after="0" w:line="312" w:lineRule="auto"/>
        <w:rPr>
          <w:szCs w:val="20"/>
        </w:rPr>
      </w:pPr>
      <w:r w:rsidRPr="00E00B35">
        <w:rPr>
          <w:szCs w:val="20"/>
        </w:rPr>
        <w:t>Projekt Nauka na start z firmą Mind Valve – wsparcie procesu usamodzielnienia</w:t>
      </w:r>
      <w:r w:rsidR="00E34F9A" w:rsidRPr="00E00B35">
        <w:rPr>
          <w:szCs w:val="20"/>
        </w:rPr>
        <w:t>.</w:t>
      </w:r>
    </w:p>
    <w:p w:rsidR="00CA14AB" w:rsidRPr="00E00B35" w:rsidRDefault="00CA14AB" w:rsidP="00E00B35">
      <w:pPr>
        <w:spacing w:after="0" w:line="312" w:lineRule="auto"/>
        <w:rPr>
          <w:szCs w:val="20"/>
        </w:rPr>
      </w:pPr>
      <w:r w:rsidRPr="00E00B35">
        <w:rPr>
          <w:szCs w:val="20"/>
        </w:rPr>
        <w:t>UBS i Capgemini – wsparcie edukacyjne młodzieży – korepetycje prowadzono tylko                       w formie zdalnej</w:t>
      </w:r>
      <w:r w:rsidR="00E34F9A" w:rsidRPr="00E00B35">
        <w:rPr>
          <w:szCs w:val="20"/>
        </w:rPr>
        <w:t>.</w:t>
      </w:r>
    </w:p>
    <w:p w:rsidR="00CA14AB" w:rsidRPr="00E00B35" w:rsidRDefault="00CA14AB" w:rsidP="00E00B35">
      <w:pPr>
        <w:spacing w:after="0" w:line="312" w:lineRule="auto"/>
        <w:rPr>
          <w:szCs w:val="20"/>
        </w:rPr>
      </w:pPr>
      <w:r w:rsidRPr="00E00B35">
        <w:rPr>
          <w:szCs w:val="20"/>
        </w:rPr>
        <w:t>V Pułk Artylerii w Sulechowie – wyjazdy survivalowe i szkolenie wojskowe młodzieży</w:t>
      </w:r>
      <w:r w:rsidR="00E34F9A" w:rsidRPr="00E00B35">
        <w:rPr>
          <w:szCs w:val="20"/>
        </w:rPr>
        <w:t>.</w:t>
      </w:r>
    </w:p>
    <w:p w:rsidR="00CA14AB" w:rsidRPr="00E00B35" w:rsidRDefault="00CA14AB" w:rsidP="00E00B35">
      <w:pPr>
        <w:spacing w:after="0" w:line="312" w:lineRule="auto"/>
        <w:rPr>
          <w:szCs w:val="20"/>
        </w:rPr>
      </w:pPr>
      <w:r w:rsidRPr="00E00B35">
        <w:rPr>
          <w:szCs w:val="20"/>
        </w:rPr>
        <w:t>Pogrom Wichra – organizacja survivali</w:t>
      </w:r>
      <w:r w:rsidR="00E34F9A" w:rsidRPr="00E00B35">
        <w:rPr>
          <w:szCs w:val="20"/>
        </w:rPr>
        <w:t>.</w:t>
      </w:r>
    </w:p>
    <w:p w:rsidR="00CA14AB" w:rsidRPr="00E00B35" w:rsidRDefault="00CA14AB" w:rsidP="00E00B35">
      <w:pPr>
        <w:spacing w:after="0" w:line="312" w:lineRule="auto"/>
        <w:rPr>
          <w:szCs w:val="20"/>
        </w:rPr>
      </w:pPr>
      <w:r w:rsidRPr="00E00B35">
        <w:rPr>
          <w:szCs w:val="20"/>
        </w:rPr>
        <w:t>Profesor Pies – dogoterapia dla dzieci młodszych</w:t>
      </w:r>
      <w:r w:rsidR="00E34F9A" w:rsidRPr="00E00B35">
        <w:rPr>
          <w:szCs w:val="20"/>
        </w:rPr>
        <w:t>.</w:t>
      </w:r>
    </w:p>
    <w:p w:rsidR="00CA14AB" w:rsidRPr="00E00B35" w:rsidRDefault="00CA14AB" w:rsidP="00E00B35">
      <w:pPr>
        <w:spacing w:after="0" w:line="312" w:lineRule="auto"/>
        <w:rPr>
          <w:szCs w:val="20"/>
        </w:rPr>
      </w:pPr>
      <w:r w:rsidRPr="00E00B35">
        <w:rPr>
          <w:szCs w:val="20"/>
        </w:rPr>
        <w:t>W roku 2020  z zachowaniem reżimu sanitarnego zrealizowano współpracę z:</w:t>
      </w:r>
    </w:p>
    <w:p w:rsidR="00CA14AB" w:rsidRPr="00E00B35" w:rsidRDefault="00CA14AB" w:rsidP="00E00B35">
      <w:pPr>
        <w:spacing w:after="0" w:line="312" w:lineRule="auto"/>
        <w:rPr>
          <w:szCs w:val="20"/>
        </w:rPr>
      </w:pPr>
      <w:r w:rsidRPr="00E00B35">
        <w:rPr>
          <w:szCs w:val="20"/>
        </w:rPr>
        <w:t>Fundacją Dom Dbamy o Młodych – realizacja paczek świątecznych, przygotowanie projektu gamingowego z Ivory Business Consulting Group (do realizacji po zniesieniu obostrzeń), wsparcie rzeczowe placówki</w:t>
      </w:r>
      <w:r w:rsidR="00E34F9A" w:rsidRPr="00E00B35">
        <w:rPr>
          <w:szCs w:val="20"/>
        </w:rPr>
        <w:t>.</w:t>
      </w:r>
    </w:p>
    <w:p w:rsidR="00CA14AB" w:rsidRPr="00E00B35" w:rsidRDefault="00CA14AB" w:rsidP="00E00B35">
      <w:pPr>
        <w:spacing w:after="0" w:line="312" w:lineRule="auto"/>
        <w:rPr>
          <w:szCs w:val="20"/>
        </w:rPr>
      </w:pPr>
      <w:r w:rsidRPr="00E00B35">
        <w:rPr>
          <w:szCs w:val="20"/>
        </w:rPr>
        <w:t>Fundacja ING – zdalne tworzenie logo fundacji – cykl zajęć plastycznych</w:t>
      </w:r>
      <w:r w:rsidR="00E34F9A" w:rsidRPr="00E00B35">
        <w:rPr>
          <w:szCs w:val="20"/>
        </w:rPr>
        <w:t>.</w:t>
      </w:r>
    </w:p>
    <w:p w:rsidR="00CA14AB" w:rsidRPr="00E00B35" w:rsidRDefault="00CA14AB" w:rsidP="00E00B35">
      <w:pPr>
        <w:spacing w:after="0" w:line="312" w:lineRule="auto"/>
        <w:rPr>
          <w:szCs w:val="20"/>
        </w:rPr>
      </w:pPr>
      <w:r w:rsidRPr="00E00B35">
        <w:rPr>
          <w:szCs w:val="20"/>
        </w:rPr>
        <w:t>Urząd Statystyczny we Wrocławiu – wsparcie rzeczowe, przygotowanie zajęć dla usamodzielniającej się młodzieży do realizacji po zniesieniu obostrzeń</w:t>
      </w:r>
      <w:r w:rsidR="00E34F9A" w:rsidRPr="00E00B35">
        <w:rPr>
          <w:szCs w:val="20"/>
        </w:rPr>
        <w:t>.</w:t>
      </w:r>
    </w:p>
    <w:p w:rsidR="00CA14AB" w:rsidRPr="00E00B35" w:rsidRDefault="00CA14AB" w:rsidP="00E00B35">
      <w:pPr>
        <w:spacing w:after="0" w:line="312" w:lineRule="auto"/>
        <w:rPr>
          <w:szCs w:val="20"/>
        </w:rPr>
      </w:pPr>
      <w:r w:rsidRPr="00E00B35">
        <w:rPr>
          <w:szCs w:val="20"/>
        </w:rPr>
        <w:t>Wrocławski Park Technologiczny – wyposażenie pracowni cukierniczej oraz „młodego majsterkowicza”, wsparcie rzeczowe, paczki świąteczne, zorganizowanie wyjazdów krajoznawczych w Góry Wałbrzyskie oraz do miasteczka rozrywki TWIN PIGS</w:t>
      </w:r>
      <w:r w:rsidR="00E34F9A" w:rsidRPr="00E00B35">
        <w:rPr>
          <w:szCs w:val="20"/>
        </w:rPr>
        <w:t>.</w:t>
      </w:r>
    </w:p>
    <w:p w:rsidR="00CA14AB" w:rsidRPr="00E00B35" w:rsidRDefault="00CA14AB" w:rsidP="00E00B35">
      <w:pPr>
        <w:spacing w:after="0" w:line="312" w:lineRule="auto"/>
        <w:rPr>
          <w:szCs w:val="20"/>
        </w:rPr>
      </w:pPr>
      <w:r w:rsidRPr="00E00B35">
        <w:rPr>
          <w:szCs w:val="20"/>
        </w:rPr>
        <w:t>Przedszkole Fika – paczki świąteczne</w:t>
      </w:r>
      <w:r w:rsidR="00E34F9A" w:rsidRPr="00E00B35">
        <w:rPr>
          <w:szCs w:val="20"/>
        </w:rPr>
        <w:t>.</w:t>
      </w:r>
    </w:p>
    <w:p w:rsidR="00CA14AB" w:rsidRPr="00E00B35" w:rsidRDefault="00CA14AB" w:rsidP="00E00B35">
      <w:pPr>
        <w:spacing w:after="0" w:line="312" w:lineRule="auto"/>
        <w:rPr>
          <w:szCs w:val="20"/>
        </w:rPr>
      </w:pPr>
      <w:r w:rsidRPr="00E00B35">
        <w:rPr>
          <w:szCs w:val="20"/>
        </w:rPr>
        <w:t>Elfowisko 2020 – organizacja paczek świątecznych</w:t>
      </w:r>
      <w:r w:rsidR="00E34F9A" w:rsidRPr="00E00B35">
        <w:rPr>
          <w:szCs w:val="20"/>
        </w:rPr>
        <w:t>.</w:t>
      </w:r>
    </w:p>
    <w:p w:rsidR="00CA14AB" w:rsidRPr="00E00B35" w:rsidRDefault="00CA14AB" w:rsidP="00E00B35">
      <w:pPr>
        <w:spacing w:after="0" w:line="312" w:lineRule="auto"/>
        <w:rPr>
          <w:szCs w:val="20"/>
        </w:rPr>
      </w:pPr>
      <w:r w:rsidRPr="00E00B35">
        <w:rPr>
          <w:szCs w:val="20"/>
        </w:rPr>
        <w:t>Studio EMS Gold – paczki świąteczne</w:t>
      </w:r>
      <w:r w:rsidR="00E34F9A" w:rsidRPr="00E00B35">
        <w:rPr>
          <w:szCs w:val="20"/>
        </w:rPr>
        <w:t>.</w:t>
      </w:r>
    </w:p>
    <w:p w:rsidR="00CA14AB" w:rsidRPr="00E00B35" w:rsidRDefault="00CA14AB" w:rsidP="00E00B35">
      <w:pPr>
        <w:spacing w:after="0" w:line="312" w:lineRule="auto"/>
        <w:rPr>
          <w:szCs w:val="20"/>
        </w:rPr>
      </w:pPr>
      <w:r w:rsidRPr="00E00B35">
        <w:rPr>
          <w:szCs w:val="20"/>
        </w:rPr>
        <w:t>Hoist Finance – paczki świąteczne</w:t>
      </w:r>
      <w:r w:rsidR="00E34F9A" w:rsidRPr="00E00B35">
        <w:rPr>
          <w:szCs w:val="20"/>
        </w:rPr>
        <w:t>.</w:t>
      </w:r>
    </w:p>
    <w:p w:rsidR="00CA14AB" w:rsidRPr="00E00B35" w:rsidRDefault="00CA14AB" w:rsidP="00E00B35">
      <w:pPr>
        <w:spacing w:after="0" w:line="312" w:lineRule="auto"/>
        <w:rPr>
          <w:szCs w:val="20"/>
        </w:rPr>
      </w:pPr>
      <w:r w:rsidRPr="00E00B35">
        <w:rPr>
          <w:szCs w:val="20"/>
        </w:rPr>
        <w:t>Fundacja Ofiaruj Serce – paczki świąteczne</w:t>
      </w:r>
      <w:r w:rsidR="00E34F9A" w:rsidRPr="00E00B35">
        <w:rPr>
          <w:szCs w:val="20"/>
        </w:rPr>
        <w:t>.</w:t>
      </w:r>
    </w:p>
    <w:p w:rsidR="00CA14AB" w:rsidRPr="00E00B35" w:rsidRDefault="00CA14AB" w:rsidP="00E00B35">
      <w:pPr>
        <w:spacing w:after="0" w:line="312" w:lineRule="auto"/>
        <w:rPr>
          <w:szCs w:val="20"/>
        </w:rPr>
      </w:pPr>
      <w:r w:rsidRPr="00E00B35">
        <w:rPr>
          <w:szCs w:val="20"/>
        </w:rPr>
        <w:t>Liceum nr 16 – paczki świąteczne</w:t>
      </w:r>
      <w:r w:rsidR="00E34F9A" w:rsidRPr="00E00B35">
        <w:rPr>
          <w:szCs w:val="20"/>
        </w:rPr>
        <w:t>.</w:t>
      </w:r>
    </w:p>
    <w:p w:rsidR="00CA14AB" w:rsidRPr="00E00B35" w:rsidRDefault="00CA14AB" w:rsidP="00E00B35">
      <w:pPr>
        <w:spacing w:after="0" w:line="312" w:lineRule="auto"/>
        <w:rPr>
          <w:szCs w:val="20"/>
        </w:rPr>
      </w:pPr>
      <w:r w:rsidRPr="00E00B35">
        <w:rPr>
          <w:szCs w:val="20"/>
        </w:rPr>
        <w:t>UBS i Capgemini– doposażenie wychowanków w laptopy i sprzęt</w:t>
      </w:r>
      <w:r w:rsidR="00E34F9A" w:rsidRPr="00E00B35">
        <w:rPr>
          <w:szCs w:val="20"/>
        </w:rPr>
        <w:t>.</w:t>
      </w:r>
    </w:p>
    <w:p w:rsidR="00CA14AB" w:rsidRPr="00E00B35" w:rsidRDefault="00CA14AB" w:rsidP="00E00B35">
      <w:pPr>
        <w:spacing w:after="0" w:line="312" w:lineRule="auto"/>
        <w:rPr>
          <w:szCs w:val="20"/>
        </w:rPr>
      </w:pPr>
      <w:r w:rsidRPr="00E00B35">
        <w:rPr>
          <w:szCs w:val="20"/>
        </w:rPr>
        <w:t>Michalczewski Sp. z o.o. - firma przewozowa zapewniała bezpieczne przewozy wychowanków na wyjazdy rekreacyjne m.in. do Sobótki, Parku Szczodre</w:t>
      </w:r>
      <w:r w:rsidR="00E34F9A" w:rsidRPr="00E00B35">
        <w:rPr>
          <w:szCs w:val="20"/>
        </w:rPr>
        <w:t>.</w:t>
      </w:r>
    </w:p>
    <w:p w:rsidR="00CA14AB" w:rsidRPr="00E00B35" w:rsidRDefault="00CA14AB" w:rsidP="00E00B35">
      <w:pPr>
        <w:spacing w:after="0" w:line="312" w:lineRule="auto"/>
        <w:rPr>
          <w:szCs w:val="20"/>
        </w:rPr>
      </w:pPr>
      <w:r w:rsidRPr="00E00B35">
        <w:rPr>
          <w:szCs w:val="20"/>
        </w:rPr>
        <w:t>W ramach współpracy z wrocławskimi uczelniami wyższymi zrealizowano cykl zajęć dla studentów z Akademii Wychowania Fizycznego (II rok terapii zajęciowej) oraz udzielono wsparcia merytorycznego w tworzeniu projektu dyplomowego na temat Zapobieganie zachowaniom agresywnym młodzieży (Uniwersytet Wrocławski)</w:t>
      </w:r>
      <w:r w:rsidR="00E34F9A" w:rsidRPr="00E00B35">
        <w:rPr>
          <w:szCs w:val="20"/>
        </w:rPr>
        <w:t>.</w:t>
      </w:r>
    </w:p>
    <w:p w:rsidR="00CA14AB" w:rsidRPr="00E00B35" w:rsidRDefault="00CA14AB" w:rsidP="00E00B35">
      <w:pPr>
        <w:spacing w:after="0" w:line="312" w:lineRule="auto"/>
        <w:rPr>
          <w:szCs w:val="20"/>
        </w:rPr>
      </w:pPr>
      <w:bookmarkStart w:id="568" w:name="_Toc72352495"/>
      <w:bookmarkStart w:id="569" w:name="_Toc72352929"/>
      <w:r w:rsidRPr="00E00B35">
        <w:rPr>
          <w:szCs w:val="20"/>
        </w:rPr>
        <w:t>Placówka nr 10</w:t>
      </w:r>
      <w:bookmarkEnd w:id="568"/>
      <w:bookmarkEnd w:id="569"/>
      <w:r w:rsidRPr="00E00B35">
        <w:rPr>
          <w:szCs w:val="20"/>
        </w:rPr>
        <w:t xml:space="preserve"> </w:t>
      </w:r>
    </w:p>
    <w:p w:rsidR="00CA14AB" w:rsidRPr="00E00B35" w:rsidRDefault="00CA14AB" w:rsidP="00E00B35">
      <w:pPr>
        <w:spacing w:after="0" w:line="312" w:lineRule="auto"/>
        <w:rPr>
          <w:szCs w:val="20"/>
        </w:rPr>
      </w:pPr>
      <w:r w:rsidRPr="00E00B35">
        <w:rPr>
          <w:szCs w:val="20"/>
        </w:rPr>
        <w:t xml:space="preserve">Placówka realizowała oddziaływania opiekuńczo wychowawcze głównie w zakresie interwencyjnym, zabezpieczając dzieci głównie w pierwszym okresie przyjęcia do placówki celem dokonania wstępnej diagnozy i przekierowania do docelowych placówek typu socjalizacyjnego lub w razie konieczności placówek umożliwiających realizację orzeczeń o potrzebie kształcenia specjalnego (MOS, SOSW) lub ośrodków wychowawczych (MOW).  W ramach realizacji zadań szczegółowych udzielono </w:t>
      </w:r>
      <w:r w:rsidRPr="00E00B35">
        <w:rPr>
          <w:szCs w:val="20"/>
        </w:rPr>
        <w:lastRenderedPageBreak/>
        <w:t>wychowankom pomocy w adaptacji do nowej sytuacji życiowej, zadbano o opracowanie indywidualnych planów pomocy w zakresie środowiska rodzinnego, pedagogicznym, psychologicznym oraz zdrowotnym, udzielono wsparcia edukacyjnego, zadbano o rozwój zainteresowań, grupowe i indywidualne zajęcia prozdrowotne i psychoprofilaktyczne, sportowe, kulinarne, korekcyjno-kompensacyjne, zapewniono udział w imprezach i uroczystościach.</w:t>
      </w:r>
    </w:p>
    <w:p w:rsidR="00CA14AB" w:rsidRPr="00E00B35" w:rsidRDefault="00CA14AB" w:rsidP="00E00B35">
      <w:pPr>
        <w:spacing w:after="0" w:line="312" w:lineRule="auto"/>
        <w:rPr>
          <w:szCs w:val="20"/>
        </w:rPr>
      </w:pPr>
      <w:r w:rsidRPr="00E00B35">
        <w:rPr>
          <w:szCs w:val="20"/>
        </w:rPr>
        <w:t xml:space="preserve">W zakresie zabezpieczenia i udzielenia właściwej pomocy współpracowano z Komisariatem Policji Wrocław Krzyki, Komendą Miejską i Wojewódzką. </w:t>
      </w:r>
    </w:p>
    <w:p w:rsidR="00CA14AB" w:rsidRPr="00E00B35" w:rsidRDefault="00CA14AB" w:rsidP="00E00B35">
      <w:pPr>
        <w:spacing w:after="0" w:line="312" w:lineRule="auto"/>
        <w:rPr>
          <w:szCs w:val="20"/>
        </w:rPr>
      </w:pPr>
      <w:r w:rsidRPr="00E00B35">
        <w:rPr>
          <w:szCs w:val="20"/>
        </w:rPr>
        <w:t>We współpracy z podmiotami zewnętrznymi zrealizowano następujące przedsięwzięcia:</w:t>
      </w:r>
    </w:p>
    <w:p w:rsidR="00CA14AB" w:rsidRPr="00E00B35" w:rsidRDefault="00CA14AB" w:rsidP="00E00B35">
      <w:pPr>
        <w:spacing w:after="0" w:line="312" w:lineRule="auto"/>
        <w:rPr>
          <w:szCs w:val="20"/>
        </w:rPr>
      </w:pPr>
      <w:r w:rsidRPr="00E00B35">
        <w:rPr>
          <w:szCs w:val="20"/>
        </w:rPr>
        <w:t>Wrocławskie instytucje kultury, sportu i rekreacji (m.in. kina, Wrocławski Park Wodny, Młodzieżowe Centrum Sportu) umożliwiające bezpłatne korzystanie z obiektów dla wychowanków WCOW.</w:t>
      </w:r>
    </w:p>
    <w:p w:rsidR="00CA14AB" w:rsidRPr="00E00B35" w:rsidRDefault="00CA14AB" w:rsidP="00E00B35">
      <w:pPr>
        <w:spacing w:after="0" w:line="312" w:lineRule="auto"/>
        <w:rPr>
          <w:szCs w:val="20"/>
        </w:rPr>
      </w:pPr>
      <w:r w:rsidRPr="00E00B35">
        <w:rPr>
          <w:szCs w:val="20"/>
        </w:rPr>
        <w:t>Lidl Polska S.A. – w zakresie realizacji paczek świątecznych.</w:t>
      </w:r>
    </w:p>
    <w:p w:rsidR="00CA14AB" w:rsidRPr="00E00B35" w:rsidRDefault="00CA14AB" w:rsidP="00E00B35">
      <w:pPr>
        <w:spacing w:after="0" w:line="312" w:lineRule="auto"/>
        <w:rPr>
          <w:szCs w:val="20"/>
        </w:rPr>
      </w:pPr>
      <w:r w:rsidRPr="00E00B35">
        <w:rPr>
          <w:szCs w:val="20"/>
        </w:rPr>
        <w:t>Mottodolls – w zakresie realizacji paczek Mikołajkowych</w:t>
      </w:r>
    </w:p>
    <w:p w:rsidR="00CA14AB" w:rsidRPr="00E00B35" w:rsidRDefault="00CA14AB" w:rsidP="00E00B35">
      <w:pPr>
        <w:spacing w:after="0" w:line="312" w:lineRule="auto"/>
        <w:rPr>
          <w:szCs w:val="20"/>
        </w:rPr>
      </w:pPr>
      <w:r w:rsidRPr="00E00B35">
        <w:rPr>
          <w:szCs w:val="20"/>
        </w:rPr>
        <w:t>Dolnośląskie Centrum Neuropsychiatrii Dzieci i Młodzieży „Neuromed” - w ramach zacieśnionej współpracy w zakresie realizowania obowiązku szkolnego dla dzieci ze szczególnymi potrzebami edukacyjnymi, realizowania specjalistycznego wsparcia lekarza psychiatry oraz terapii i psychoprofilaktyki uzależnień</w:t>
      </w:r>
    </w:p>
    <w:p w:rsidR="00CA14AB" w:rsidRPr="00E00B35" w:rsidRDefault="00CA14AB" w:rsidP="00E00B35">
      <w:pPr>
        <w:spacing w:after="0" w:line="312" w:lineRule="auto"/>
        <w:rPr>
          <w:szCs w:val="20"/>
        </w:rPr>
      </w:pPr>
      <w:r w:rsidRPr="00E00B35">
        <w:rPr>
          <w:szCs w:val="20"/>
        </w:rPr>
        <w:t>Zrealizowano także w roku 2020 jednodniowe wyjazdy krajoznawcze:</w:t>
      </w:r>
    </w:p>
    <w:p w:rsidR="00CA14AB" w:rsidRPr="00E00B35" w:rsidRDefault="00CA14AB" w:rsidP="00E00B35">
      <w:pPr>
        <w:spacing w:after="0" w:line="312" w:lineRule="auto"/>
        <w:rPr>
          <w:szCs w:val="20"/>
        </w:rPr>
      </w:pPr>
      <w:r w:rsidRPr="00E00B35">
        <w:rPr>
          <w:szCs w:val="20"/>
        </w:rPr>
        <w:t>Bardo – spływ pontonowy (czerwiec)</w:t>
      </w:r>
    </w:p>
    <w:p w:rsidR="00CA14AB" w:rsidRPr="00E00B35" w:rsidRDefault="00CA14AB" w:rsidP="00E00B35">
      <w:pPr>
        <w:spacing w:after="0" w:line="312" w:lineRule="auto"/>
        <w:rPr>
          <w:szCs w:val="20"/>
        </w:rPr>
      </w:pPr>
      <w:r w:rsidRPr="00E00B35">
        <w:rPr>
          <w:szCs w:val="20"/>
        </w:rPr>
        <w:t>Wejście na górę Ślęza (lipiec – sierpień)</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570" w:name="_Toc72352496"/>
      <w:bookmarkStart w:id="571" w:name="_Toc72352930"/>
      <w:bookmarkStart w:id="572" w:name="_Toc72357860"/>
      <w:bookmarkStart w:id="573" w:name="_Toc72358014"/>
      <w:r w:rsidRPr="00E00B35">
        <w:rPr>
          <w:sz w:val="20"/>
          <w:szCs w:val="20"/>
        </w:rPr>
        <w:t>WROCŁAWSKI ZAKŁAD AKTYWNOSCI ZAWODOWEJ</w:t>
      </w:r>
      <w:bookmarkEnd w:id="570"/>
      <w:bookmarkEnd w:id="571"/>
      <w:bookmarkEnd w:id="572"/>
      <w:bookmarkEnd w:id="573"/>
    </w:p>
    <w:p w:rsidR="00CA14AB" w:rsidRPr="00E00B35" w:rsidRDefault="00CA14AB" w:rsidP="00E00B35">
      <w:pPr>
        <w:spacing w:after="0" w:line="312" w:lineRule="auto"/>
        <w:rPr>
          <w:szCs w:val="20"/>
        </w:rPr>
      </w:pPr>
      <w:r w:rsidRPr="00E00B35">
        <w:rPr>
          <w:szCs w:val="20"/>
        </w:rPr>
        <w:t xml:space="preserve">Wrocławski Zakład Aktywności Zawodowej jako zakład budżetowy Gminy Wrocław został utworzony Uchwałą Nr XXIV/870/08 Rady Miejskiej Wrocławia z dnia 11 września </w:t>
      </w:r>
      <w:r w:rsidRPr="00E00B35">
        <w:rPr>
          <w:szCs w:val="20"/>
        </w:rPr>
        <w:br/>
        <w:t xml:space="preserve">2008 r. w sprawie utworzenia Wrocławskiego Zakładu Aktywności Zawodowej </w:t>
      </w:r>
      <w:r w:rsidRPr="00E00B35">
        <w:rPr>
          <w:szCs w:val="20"/>
        </w:rPr>
        <w:br/>
        <w:t>z siedzibą we Wrocławiu i nadania Statutu. Od początku r. 2011 funkcjonuje jako samorządowy zakład budżetowy Gminy Wrocław.</w:t>
      </w:r>
    </w:p>
    <w:p w:rsidR="00CA14AB" w:rsidRPr="00E00B35" w:rsidRDefault="00CA14AB" w:rsidP="00E00B35">
      <w:pPr>
        <w:spacing w:after="0" w:line="312" w:lineRule="auto"/>
        <w:rPr>
          <w:szCs w:val="20"/>
        </w:rPr>
      </w:pPr>
      <w:r w:rsidRPr="00E00B35">
        <w:rPr>
          <w:szCs w:val="20"/>
        </w:rPr>
        <w:t xml:space="preserve">Działalność prowadzona jest na terenie nieruchomości przy ul. Litomskiej 10 </w:t>
      </w:r>
      <w:r w:rsidRPr="00E00B35">
        <w:rPr>
          <w:szCs w:val="20"/>
        </w:rPr>
        <w:br/>
        <w:t xml:space="preserve">we Wrocławiu, na podstawie umowy użyczenia zawartej w dniu 15 lutego 2010 r., pomiędzy Gminą Wrocław a Wrocławskim Zakładem Aktywności Zawodowej. Zgodnie z przepisami ustawy o rehabilitacji zawodowej i społecznej oraz zatrudnianiu osób niepełnosprawnych obiekty i pomieszczenia użytkowane odpowiadają przepisom i zasadom bezpieczeństwa i higieny pracy oraz uwzględniają potrzeby osób niepełnosprawnych w zakresie przystosowania stanowisk pracy, pomieszczeń higieniczno - sanitarnych i ciągów komunikacyjnych oraz spełniają wymagania dostępności do nich. </w:t>
      </w:r>
    </w:p>
    <w:p w:rsidR="00CA14AB" w:rsidRPr="00E00B35" w:rsidRDefault="00CA14AB" w:rsidP="00E00B35">
      <w:pPr>
        <w:spacing w:after="0" w:line="312" w:lineRule="auto"/>
        <w:rPr>
          <w:szCs w:val="20"/>
        </w:rPr>
      </w:pPr>
      <w:r w:rsidRPr="00E00B35">
        <w:rPr>
          <w:szCs w:val="20"/>
        </w:rPr>
        <w:t xml:space="preserve">36 niepełnosprawnym pracownikom w 2020 r. była zapewniona doraźna i specjalistyczna opieka medyczna, poradnictwo i usługi rehabilitacyjne. </w:t>
      </w:r>
    </w:p>
    <w:p w:rsidR="00CA14AB" w:rsidRPr="00E00B35" w:rsidRDefault="00CA14AB" w:rsidP="00E00B35">
      <w:pPr>
        <w:spacing w:after="0" w:line="312" w:lineRule="auto"/>
        <w:rPr>
          <w:szCs w:val="20"/>
        </w:rPr>
      </w:pPr>
      <w:r w:rsidRPr="00E00B35">
        <w:rPr>
          <w:szCs w:val="20"/>
        </w:rPr>
        <w:t xml:space="preserve">Opieka medyczna realizowana była poprzez umożliwienie niepełnosprawnym pracownikom korzystania z usług medycznych w EMC Instytut Medyczny S.A. na  podstawie Umowy nr WZAZ/U/2/2020 z dnia 2.01.2020 r. Wszystkim pracownikom niepełnosprawnym zapewniono 60 minut rehabilitacji dziennie. Zakład zapewnia transport do pracy i z pracy dla czterech osób z niepełnosprawnością ruchową. </w:t>
      </w:r>
    </w:p>
    <w:p w:rsidR="00CA14AB" w:rsidRPr="00E00B35" w:rsidRDefault="00CA14AB" w:rsidP="00E00B35">
      <w:pPr>
        <w:spacing w:after="0" w:line="312" w:lineRule="auto"/>
        <w:rPr>
          <w:szCs w:val="20"/>
        </w:rPr>
      </w:pPr>
      <w:r w:rsidRPr="00E00B35">
        <w:rPr>
          <w:szCs w:val="20"/>
        </w:rPr>
        <w:lastRenderedPageBreak/>
        <w:t>Podstawową misją jednostki jest zatrudnienie i utrzymanie miejsc pracy dla osób niepełnosprawnych zaliczonych do znacznego oraz do umiarkowanego stopnia niepełnosprawności, rehabilitacja zawodowa i społeczna niepełnosprawnych pracowników oraz przygotowanie niepełnosprawnych pracowników do aktywnego życia w otwartym środowisku przy wykorzystaniu ich możliwości i zdolności.</w:t>
      </w:r>
    </w:p>
    <w:p w:rsidR="00CA14AB" w:rsidRPr="00E00B35" w:rsidRDefault="00CA14AB" w:rsidP="00E00B35">
      <w:pPr>
        <w:spacing w:after="0" w:line="312" w:lineRule="auto"/>
        <w:rPr>
          <w:szCs w:val="20"/>
        </w:rPr>
      </w:pPr>
      <w:r w:rsidRPr="00E00B35">
        <w:rPr>
          <w:szCs w:val="20"/>
        </w:rPr>
        <w:t>W 2020 r. realizowano zadanie w zakresie rehabilitacji zawodowej i społecznej osób niepełnosprawnych. Do marca 2020 r. odbywały się praktyki zawodowe w firmach: Mc’Donalds, KFC oraz Pizza Hut. W tym celu pracownicy także byli dodatkowo wspierani przez terapeutę. W trakcie praktyk byli wspierani przez trenera pracy w celu przyszłego podjęcia pracy na otwartym rynku.</w:t>
      </w:r>
    </w:p>
    <w:p w:rsidR="00CA14AB" w:rsidRPr="00E00B35" w:rsidRDefault="00CA14AB" w:rsidP="00E00B35">
      <w:pPr>
        <w:spacing w:after="0" w:line="312" w:lineRule="auto"/>
        <w:rPr>
          <w:szCs w:val="20"/>
        </w:rPr>
      </w:pPr>
      <w:r w:rsidRPr="00E00B35">
        <w:rPr>
          <w:szCs w:val="20"/>
        </w:rPr>
        <w:t>Przychody Wrocławskiego Zakładu Aktywno</w:t>
      </w:r>
      <w:r w:rsidR="001C0779" w:rsidRPr="00E00B35">
        <w:rPr>
          <w:szCs w:val="20"/>
        </w:rPr>
        <w:t xml:space="preserve">ści Zawodowej w 2020r wyniosły </w:t>
      </w:r>
      <w:r w:rsidRPr="00E00B35">
        <w:rPr>
          <w:szCs w:val="20"/>
        </w:rPr>
        <w:t>3</w:t>
      </w:r>
      <w:r w:rsidR="001C0779" w:rsidRPr="00E00B35">
        <w:rPr>
          <w:szCs w:val="20"/>
        </w:rPr>
        <w:t>.</w:t>
      </w:r>
      <w:r w:rsidRPr="00E00B35">
        <w:rPr>
          <w:szCs w:val="20"/>
        </w:rPr>
        <w:t>481</w:t>
      </w:r>
      <w:r w:rsidR="001C0779" w:rsidRPr="00E00B35">
        <w:rPr>
          <w:szCs w:val="20"/>
        </w:rPr>
        <w:t>.</w:t>
      </w:r>
      <w:r w:rsidRPr="00E00B35">
        <w:rPr>
          <w:szCs w:val="20"/>
        </w:rPr>
        <w:t>125,14zł z tego:</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1.139.803,00 zł to dotacja podmiotowa z budżetu otrzymana na pokrycie kosztów działalności obsługowo-rehabilitacyjnej Zakładu (paragraf 2510),</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105.321,00 zł to dotacja podmiotowa z budżetu Województwa Dolnośląskiego na pokrycie kosztów działalności obsługowo-rehabilitacyjnej ( paragraf 2510),</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953.909,00 zł to środki otrzymane przez Województwo Dolnośląskie ze środków Państwowego Funduszu Rehabilitacji Osób Niepełnosprawnych  na pokrycie kosztów działalności obsługowo-rehabilitacyjnej Zakładu (paragraf 0970),</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502.324,45 zł to pozostałe przychody finansowe Zakładu- SODIR ( paragraf 0970),</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646.647,10 zł to środki uzyskane z działalności gospodarczej Zakładu (paragraf 0830),</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133.114,60 zł to pozostałe przychody operacyjne,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5,99 zł to otrzymane odsetki ( paragraf 0920).</w:t>
      </w:r>
    </w:p>
    <w:p w:rsidR="00CA14AB" w:rsidRPr="00E00B35" w:rsidRDefault="00CA14AB" w:rsidP="00E00B35">
      <w:pPr>
        <w:spacing w:after="0" w:line="312" w:lineRule="auto"/>
        <w:rPr>
          <w:szCs w:val="20"/>
        </w:rPr>
      </w:pPr>
      <w:r w:rsidRPr="00E00B35">
        <w:rPr>
          <w:szCs w:val="20"/>
        </w:rPr>
        <w:t>W celu realizacji zadań świadczono usługi poligraficzne, gastronomiczne i cateringowe, ogrodnicze i porządkowe, zajmowano się obsługą techniczną szkoleń, konferencji i imprez okolicznościowych oraz kompletowaniem Wyprawki Wrocławskiej.</w:t>
      </w:r>
    </w:p>
    <w:p w:rsidR="00CA14AB" w:rsidRPr="00E00B35" w:rsidRDefault="00CA14AB" w:rsidP="00E00B35">
      <w:pPr>
        <w:spacing w:after="0" w:line="312" w:lineRule="auto"/>
        <w:rPr>
          <w:szCs w:val="20"/>
        </w:rPr>
      </w:pPr>
      <w:r w:rsidRPr="00E00B35">
        <w:rPr>
          <w:szCs w:val="20"/>
        </w:rPr>
        <w:t xml:space="preserve">W roku 2019 zrealizowano  usługi dla kontrahentów zewnętrznych w kwocie 364.969,61 zł oraz dla jednostek Gminy Wrocław w kwocie 281.677,49 zł. </w:t>
      </w:r>
    </w:p>
    <w:p w:rsidR="00CA14AB" w:rsidRPr="00E00B35" w:rsidRDefault="00CA14AB" w:rsidP="00E00B35">
      <w:pPr>
        <w:spacing w:after="0" w:line="312" w:lineRule="auto"/>
        <w:rPr>
          <w:szCs w:val="20"/>
        </w:rPr>
      </w:pPr>
      <w:r w:rsidRPr="00E00B35">
        <w:rPr>
          <w:szCs w:val="20"/>
        </w:rPr>
        <w:t xml:space="preserve">Prowadzona działalność usługowo-wytwórcza ma na celu jak najlepsze przygotowanie pracowników do pracy na wolnym rynku. Dlatego też przyjmowane przez Zakład zlecenia są bardzo różnorodne, zarówno w zakresie sposobu realizacji, jak i terminów i charakteru wykonywanych zadań. Realizowano stałe zlecenia dla Miejskiego Ośrodka Pomocy Społecznej - w zakresie poligrafii i cateringu. Ponadto wykonywano usługi poligraficzne dla firmy Vermeiren i na podstawie umów zadaniowych dla Wrocławskiego Centrum Rozwoju Społecznego. Usługi cateringowe realizowano dla Regionalnego Centrum Wspierania Inicjatyw Pozarządowych i Fundacji Znacznie Więcej.  Nadal podstawowym zadaniem działu gastronomicznego było codzienne przygotowywanie i dystrybucja dwudaniowych obiadów serwowanych na terenie jadalni usytuowanej na parterze budynku przy ul. Litomskiej 10. Do zadań Zakładu należy też obsługa gastronomiczna Sesji Rady Miasta Wrocławia oraz innych spotkań z udziałem przedstawicieli Rady Miasta. Zakład wraz z Fundacją Presto włączył się w projekt Wrocławskiego Centrum Rozwoju Społecznego – przygotowanie Wyprawki Wrocławskiej dla nowo narodzonych </w:t>
      </w:r>
      <w:r w:rsidRPr="00E00B35">
        <w:rPr>
          <w:szCs w:val="20"/>
        </w:rPr>
        <w:lastRenderedPageBreak/>
        <w:t>mieszkańców Wrocławia. Zadaniem pracowników z niepełnosprawnością było kompletowanie wyprawek i transport do Urzędu Stanu Cywilnego.</w:t>
      </w:r>
    </w:p>
    <w:p w:rsidR="00CA14AB" w:rsidRPr="00E00B35" w:rsidRDefault="00CA14AB" w:rsidP="00E00B35">
      <w:pPr>
        <w:spacing w:after="0" w:line="312" w:lineRule="auto"/>
        <w:rPr>
          <w:szCs w:val="20"/>
        </w:rPr>
      </w:pPr>
      <w:r w:rsidRPr="00E00B35">
        <w:rPr>
          <w:szCs w:val="20"/>
        </w:rPr>
        <w:t>Z powodu pandemii usługi świadczone przez Wrocławski Zakład Aktywności Zawodowej zostały w znacznym stopniu ograniczone w połowie marca 2020 r. Zakład jednak cały czas pracował – włączał się również w akcje pomocy osobom zamkniętym w domach z powodu epidemii w postaci dowożenia posiłków. W miesiącach  kwietniu i maju pracownicy z niepełnosprawnością byli w przestoju, a w czerwcu pracowali w systemie pracy naprzemiennej. Stosowano procedury sanitarne i zasady dystansu społecznego. Wiele corocznych zadań związanych z rehabilitacją społeczną pracowników z niepełnosprawnością nie zostało zrealizowanych, co spowodowało znaczny spadek umiejętności radzenia sobie w życiu codziennym przez osoby z niepełnosprawnością.</w:t>
      </w:r>
    </w:p>
    <w:p w:rsidR="00CA14AB" w:rsidRPr="00E00B35" w:rsidRDefault="00CA14AB" w:rsidP="00E00B35">
      <w:pPr>
        <w:spacing w:after="0" w:line="312" w:lineRule="auto"/>
        <w:rPr>
          <w:szCs w:val="20"/>
        </w:rPr>
      </w:pPr>
      <w:r w:rsidRPr="00E00B35">
        <w:rPr>
          <w:szCs w:val="20"/>
        </w:rPr>
        <w:t xml:space="preserve">W Zakładzie funkcjonował Zespół Programowy, który dla każdego pracownika z niepełnosprawnością przy jego czynnym udziale prowadził dokumentację związaną z przygotowaniem i realizacją indywidualnego programu rehabilitacji zawodowej i społecznej. Zespół decydował o podejmowanych wobec pracowników działaniach zmierzających do właściwego przygotowania pracownika do przejścia do pracy na wolnym rynku. Działania Zespołu Programowego wspierane były przez środki zakładowego funduszu celowego – Zakładowego Funduszu Aktywności, którego utworzenie było warunkiem otrzymania statusu zakładu aktywności zawodowej. Wpływy środków na konto funduszu to podatek od nieruchomości, podatek dochodowy od osób fizycznych. </w:t>
      </w:r>
    </w:p>
    <w:p w:rsidR="00CA14AB" w:rsidRPr="00E00B35" w:rsidRDefault="00CA14AB" w:rsidP="00E00B35">
      <w:pPr>
        <w:spacing w:after="0" w:line="312" w:lineRule="auto"/>
        <w:rPr>
          <w:szCs w:val="20"/>
        </w:rPr>
      </w:pPr>
      <w:r w:rsidRPr="00E00B35">
        <w:rPr>
          <w:szCs w:val="20"/>
        </w:rPr>
        <w:t xml:space="preserve">Współpracując z Wrocławskim Zakładem Aktywności Zawodowej kontrahenci mogli odnosić wymierne korzyści: </w:t>
      </w:r>
    </w:p>
    <w:p w:rsidR="00CA14AB" w:rsidRPr="00E00B35" w:rsidRDefault="00CA14AB" w:rsidP="00E00B35">
      <w:pPr>
        <w:spacing w:after="0" w:line="312" w:lineRule="auto"/>
        <w:rPr>
          <w:rFonts w:eastAsia="Calibri"/>
          <w:szCs w:val="20"/>
        </w:rPr>
      </w:pPr>
      <w:r w:rsidRPr="00E00B35">
        <w:rPr>
          <w:szCs w:val="20"/>
        </w:rPr>
        <w:t>Jako podmiot uprawniony w świetne przepisów art.22 ust.1 ustawy z dnia 27 sierpnia 1997r o rehabilitacji zawodowej i społecznej oraz zatrudnieniu osób niepełnosprawnych kontrahenci Wrocławskiego Zakładu Aktywności Zawodowej mogą obniżyć obowiązkową wpłatę na Państwowy Fundusz Rehabilitacji Osób Niepełnosprawnych z tytułu zakupu usług w naszym zakładzie. Dzięki takim przepisom nasi kontrahenci uzyskali w roku 2020 ulgi w kwocie 62.697,69 zł.</w:t>
      </w:r>
    </w:p>
    <w:p w:rsidR="00CA14AB" w:rsidRPr="00E00B35" w:rsidRDefault="00CA14AB" w:rsidP="00E00B35">
      <w:pPr>
        <w:spacing w:after="0" w:line="312" w:lineRule="auto"/>
        <w:rPr>
          <w:szCs w:val="20"/>
        </w:rPr>
      </w:pPr>
      <w:r w:rsidRPr="00E00B35">
        <w:rPr>
          <w:szCs w:val="20"/>
        </w:rPr>
        <w:t xml:space="preserve"> Jednostki będące w strukturach Gminy Wrocław mają prawo zlecania usług Wrocławskiemu Zakładowi Aktywności Zawodowej z pominięciem procedur ustawy o zamówieniach publicznych – tzw. zlecenia „in house”.</w:t>
      </w:r>
    </w:p>
    <w:p w:rsidR="00CA14AB" w:rsidRPr="00E00B35" w:rsidRDefault="00CA14AB" w:rsidP="00E00B35">
      <w:pPr>
        <w:spacing w:after="0" w:line="312" w:lineRule="auto"/>
        <w:rPr>
          <w:szCs w:val="20"/>
        </w:rPr>
      </w:pPr>
      <w:r w:rsidRPr="00E00B35">
        <w:rPr>
          <w:szCs w:val="20"/>
        </w:rPr>
        <w:t>Zakład prowadzi też działalność, która ma wpływ na proces łamania stereotypów związanych z postrzeganiem osób niepełnosprawnych w społeczeństwie Wrocławia:</w:t>
      </w:r>
    </w:p>
    <w:p w:rsidR="00CA14AB" w:rsidRPr="00E00B35" w:rsidRDefault="00CA14AB" w:rsidP="00E00B35">
      <w:pPr>
        <w:spacing w:after="0" w:line="312" w:lineRule="auto"/>
        <w:rPr>
          <w:szCs w:val="20"/>
        </w:rPr>
      </w:pPr>
      <w:r w:rsidRPr="00E00B35">
        <w:rPr>
          <w:szCs w:val="20"/>
        </w:rPr>
        <w:t>Na terenie budynku WZAZ organizowane są obwodowe komisje wyborcze (budynek jest dostępny dla osób mają</w:t>
      </w:r>
      <w:r w:rsidR="001C0779" w:rsidRPr="00E00B35">
        <w:rPr>
          <w:szCs w:val="20"/>
        </w:rPr>
        <w:t>cych kłopoty z poruszaniem się).</w:t>
      </w:r>
    </w:p>
    <w:p w:rsidR="00CA14AB" w:rsidRPr="00E00B35" w:rsidRDefault="00CA14AB" w:rsidP="00E00B35">
      <w:pPr>
        <w:spacing w:after="0" w:line="312" w:lineRule="auto"/>
        <w:rPr>
          <w:szCs w:val="20"/>
        </w:rPr>
      </w:pPr>
      <w:r w:rsidRPr="00E00B35">
        <w:rPr>
          <w:szCs w:val="20"/>
        </w:rPr>
        <w:t>Na terenie Zakładu Odbywają się spotkania, konferencje, warsztaty i seminaria dotyczące zagadnień związanych z rehabilitacja zawodową i s</w:t>
      </w:r>
      <w:r w:rsidR="001C0779" w:rsidRPr="00E00B35">
        <w:rPr>
          <w:szCs w:val="20"/>
        </w:rPr>
        <w:t>połeczną osób niepełnosprawnych.</w:t>
      </w:r>
    </w:p>
    <w:p w:rsidR="00CA14AB" w:rsidRPr="00E00B35" w:rsidRDefault="00CA14AB" w:rsidP="00E00B35">
      <w:pPr>
        <w:spacing w:after="0" w:line="312" w:lineRule="auto"/>
        <w:rPr>
          <w:szCs w:val="20"/>
        </w:rPr>
      </w:pPr>
      <w:r w:rsidRPr="00E00B35">
        <w:rPr>
          <w:szCs w:val="20"/>
        </w:rPr>
        <w:t>Personel Zakładu brał udział w aktualizowaniu Strategii Województwa Dolnośląskiego na rze</w:t>
      </w:r>
      <w:r w:rsidR="001C0779" w:rsidRPr="00E00B35">
        <w:rPr>
          <w:szCs w:val="20"/>
        </w:rPr>
        <w:t>cz rozwoju ekonomii społecznej.</w:t>
      </w:r>
    </w:p>
    <w:p w:rsidR="00CA14AB" w:rsidRPr="00E00B35" w:rsidRDefault="00CA14AB" w:rsidP="00E00B35">
      <w:pPr>
        <w:spacing w:after="0" w:line="312" w:lineRule="auto"/>
        <w:rPr>
          <w:szCs w:val="20"/>
        </w:rPr>
      </w:pPr>
      <w:r w:rsidRPr="00E00B35">
        <w:rPr>
          <w:szCs w:val="20"/>
        </w:rPr>
        <w:t>Pracownicy niepełnosprawni wspierani przez instruktorów uczestniczyli w działaniach związanych z wdrażaniem w ramach działalności WZAZ procesu digitalizacji zbiorów bibliotecznych zas</w:t>
      </w:r>
      <w:r w:rsidR="001C0779" w:rsidRPr="00E00B35">
        <w:rPr>
          <w:szCs w:val="20"/>
        </w:rPr>
        <w:t>obów Biblioteki Uniwersyteckiej.</w:t>
      </w:r>
    </w:p>
    <w:p w:rsidR="00CA14AB" w:rsidRPr="00E00B35" w:rsidRDefault="00CA14AB" w:rsidP="00E00B35">
      <w:pPr>
        <w:spacing w:after="0" w:line="312" w:lineRule="auto"/>
        <w:rPr>
          <w:szCs w:val="20"/>
        </w:rPr>
      </w:pPr>
      <w:r w:rsidRPr="00E00B35">
        <w:rPr>
          <w:szCs w:val="20"/>
        </w:rPr>
        <w:lastRenderedPageBreak/>
        <w:t>Zakład jest członkiem Związku Pracodawców Zakładów Aktywności Zawodowej, przez co wraz z innymi zakładami aktywności zawodowej ma realny wpływ na zmiany legislacyjne dotyczące działalnośc</w:t>
      </w:r>
      <w:r w:rsidR="001C0779" w:rsidRPr="00E00B35">
        <w:rPr>
          <w:szCs w:val="20"/>
        </w:rPr>
        <w:t>i jednostek ekonomii społecznej.</w:t>
      </w:r>
    </w:p>
    <w:p w:rsidR="00CA14AB" w:rsidRPr="00E00B35" w:rsidRDefault="00CA14AB" w:rsidP="00E00B35">
      <w:pPr>
        <w:spacing w:after="0" w:line="312" w:lineRule="auto"/>
        <w:rPr>
          <w:szCs w:val="20"/>
        </w:rPr>
      </w:pPr>
      <w:r w:rsidRPr="00E00B35">
        <w:rPr>
          <w:szCs w:val="20"/>
        </w:rPr>
        <w:t xml:space="preserve">Zakład czynnie brał udział w społecznym programie Gminy Wrocław – pracownicy z niepełnosprawnością kompletowali Wyprawki Wrocławskie. </w:t>
      </w:r>
    </w:p>
    <w:p w:rsidR="00890136" w:rsidRPr="00E00B35" w:rsidRDefault="00890136" w:rsidP="00E00B35">
      <w:pPr>
        <w:spacing w:after="0" w:line="312" w:lineRule="auto"/>
        <w:rPr>
          <w:szCs w:val="20"/>
        </w:rPr>
      </w:pPr>
    </w:p>
    <w:p w:rsidR="00CA14AB" w:rsidRPr="00E00B35" w:rsidRDefault="00CA14AB" w:rsidP="00E00B35">
      <w:pPr>
        <w:pStyle w:val="Nagwek3"/>
        <w:spacing w:after="0" w:line="312" w:lineRule="auto"/>
        <w:rPr>
          <w:sz w:val="20"/>
          <w:lang w:val="pl-PL"/>
        </w:rPr>
      </w:pPr>
      <w:bookmarkStart w:id="574" w:name="_Toc72352497"/>
      <w:bookmarkStart w:id="575" w:name="_Toc72352931"/>
      <w:bookmarkStart w:id="576" w:name="_Toc72357861"/>
      <w:bookmarkStart w:id="577" w:name="_Toc72358015"/>
      <w:r w:rsidRPr="00E00B35">
        <w:rPr>
          <w:sz w:val="20"/>
        </w:rPr>
        <w:t>BIURO SPORTU I REKREACJI</w:t>
      </w:r>
      <w:bookmarkEnd w:id="574"/>
      <w:bookmarkEnd w:id="575"/>
      <w:bookmarkEnd w:id="576"/>
      <w:bookmarkEnd w:id="577"/>
    </w:p>
    <w:p w:rsidR="00890136" w:rsidRPr="00E00B35" w:rsidRDefault="00890136" w:rsidP="00E00B35">
      <w:pPr>
        <w:pStyle w:val="Nagwek3"/>
        <w:spacing w:after="0" w:line="312" w:lineRule="auto"/>
        <w:rPr>
          <w:sz w:val="20"/>
          <w:lang w:val="pl-PL"/>
        </w:rPr>
      </w:pPr>
    </w:p>
    <w:p w:rsidR="00CA14AB" w:rsidRPr="00E00B35" w:rsidRDefault="00CA14AB" w:rsidP="00E00B35">
      <w:pPr>
        <w:pStyle w:val="Nagwek4"/>
        <w:spacing w:before="0" w:after="0" w:line="312" w:lineRule="auto"/>
        <w:rPr>
          <w:sz w:val="20"/>
          <w:szCs w:val="20"/>
        </w:rPr>
      </w:pPr>
      <w:bookmarkStart w:id="578" w:name="_Toc72352498"/>
      <w:bookmarkStart w:id="579" w:name="_Toc72352932"/>
      <w:r w:rsidRPr="00E00B35">
        <w:rPr>
          <w:sz w:val="20"/>
          <w:szCs w:val="20"/>
        </w:rPr>
        <w:t>REALIZACJA PROGRAMÓW ROZWOJU DYSCYPLIN SPORTOWYCH</w:t>
      </w:r>
      <w:bookmarkEnd w:id="578"/>
      <w:bookmarkEnd w:id="579"/>
    </w:p>
    <w:p w:rsidR="00CA14AB" w:rsidRPr="00E00B35" w:rsidRDefault="00CA14AB" w:rsidP="00E00B35">
      <w:pPr>
        <w:spacing w:after="0" w:line="312" w:lineRule="auto"/>
        <w:rPr>
          <w:szCs w:val="20"/>
        </w:rPr>
      </w:pPr>
      <w:r w:rsidRPr="00E00B35">
        <w:rPr>
          <w:szCs w:val="20"/>
        </w:rPr>
        <w:t>W związku z występującym w Polsce od marca zagrożeniem wirusem SARS-CoV-2 wywołującym chorobę COVID-19 większość zaplanowanych szkoleń odbyło się w formie zdalnej ale później po zniesieniu obostrzeń w sporcie większość zaplanowanych szkoleń odbyło się normalnie.</w:t>
      </w:r>
    </w:p>
    <w:p w:rsidR="00CA14AB" w:rsidRPr="00E00B35" w:rsidRDefault="00CA14AB" w:rsidP="00E00B35">
      <w:pPr>
        <w:spacing w:after="0" w:line="312" w:lineRule="auto"/>
        <w:rPr>
          <w:szCs w:val="20"/>
        </w:rPr>
      </w:pPr>
      <w:r w:rsidRPr="00E00B35">
        <w:rPr>
          <w:szCs w:val="20"/>
        </w:rPr>
        <w:t xml:space="preserve">PROGRAM BASKETMANII To nazwa miejskiego programu sportowego, który został stworzony na potrzeby rozwoju koszykówki we Wrocławiu (sprzyjające okoliczności czyli przyznanie Polsce  organizacji Mistrzostw Europy w Koszykówce Mężczyzn „Eurobasket 2009” - Wrocław Miasto Gospodarz). W ramach programu udzielono wsparcia finansowego, którego głównym adresatem były wrocławskie dzieci i młodzież szkolna. Program miał na celu ujednolicenie systemu szkolenia w koszykówce we wrocławskich szkołach podstawowych i gimnazjalnych oraz podniesienie poziomu wyszkolenia umożliwiające przejście do grupo wyższym poziomie sportowym. Realizatorami zadania były wrocławskie kluby koszykarskie tj. WKS „Śląsk”, Wrocławski Klub Koszykówki, </w:t>
      </w:r>
      <w:r w:rsidRPr="00E00B35">
        <w:rPr>
          <w:szCs w:val="20"/>
        </w:rPr>
        <w:br/>
        <w:t>1 Klub Sportowy Ślęza Wrocław i Międzyszkolny Klub Sportowy "MOS" Wrocław oraz organizacje pozarządowe tj. Stowarzyszenie „Stores” i Wrocławski Szkolny Związek Sportowy.</w:t>
      </w:r>
    </w:p>
    <w:p w:rsidR="00CA14AB" w:rsidRPr="00E00B35" w:rsidRDefault="00CA14AB" w:rsidP="00E00B35">
      <w:pPr>
        <w:spacing w:after="0" w:line="312" w:lineRule="auto"/>
        <w:rPr>
          <w:szCs w:val="20"/>
        </w:rPr>
      </w:pPr>
      <w:r w:rsidRPr="00E00B35">
        <w:rPr>
          <w:szCs w:val="20"/>
        </w:rPr>
        <w:t>PROGRAM FOOTBALLMANII stworzony na potrzeby rozwoju piłki nożnej we Wrocławiu (sprzyjające okoliczności czyli przyznanie Polsce  organizacji Mistrzostw Europy w Piłce Nożnej Mężczyzn „Euro 2012TM”-Wrocław Miasto Gospodarz oraz zarządzaniem klubem sportowym WKS Śląsk Wrocław S.A.). W ramach programu udzielono wsparcia finansowego, którego głównym adresatem były wrocławskie dzieci i młodzież szkolna. Program miał na celu ujednolicenie systemu szkolenia w piłce nożnej mężczyzn oraz podniesienie poziomu wyszkolenia umożliwiające przejście do grup o wyższym poziomie sportowym. Jednocześnie program zakłada wyselekcjonowanie najzdolniejszych zawodników z wrocławskich klubów piłkarskich, którzy w przyszłości zasilą pierwszy zespół seniorów WKS „Śląsk Wrocław” S.A. Dofinansowaniem objęto dzieci i młodzież z 15 wrocławskich klubów piłkarskich.</w:t>
      </w:r>
    </w:p>
    <w:p w:rsidR="00CA14AB" w:rsidRPr="00E00B35" w:rsidRDefault="00CA14AB" w:rsidP="00E00B35">
      <w:pPr>
        <w:spacing w:after="0" w:line="312" w:lineRule="auto"/>
        <w:rPr>
          <w:szCs w:val="20"/>
        </w:rPr>
      </w:pPr>
      <w:r w:rsidRPr="00E00B35">
        <w:rPr>
          <w:szCs w:val="20"/>
        </w:rPr>
        <w:t xml:space="preserve">PROGRAM VOLLEYMANII został stworzony na potrzeby rozwoju siatkówki we Wrocławiu (sprzyjające okoliczności czyli przyznanie Polsce organizacji FIVB Mistrzostw Świata w Piłce Siatkowej Mężczyzn Polska 2014-Wrocław Miasto Gospodarz). W ramach programu udzielono wsparcia finansowego, którego głównym adresatem były wrocławskie dziewczęta i chłopcy. Program miał na celu wprowadzenie jednolitego systemu szkolenia dziewcząt i chłopców w piłce siatkowej we wrocławskich szkołach podstawowych i gimnazjalnych oraz podniesienie poziomu wyszkolenia umożliwiające przejście do grup o </w:t>
      </w:r>
      <w:r w:rsidRPr="00E00B35">
        <w:rPr>
          <w:szCs w:val="20"/>
        </w:rPr>
        <w:lastRenderedPageBreak/>
        <w:t>wyższym poziomie sportowym. Realizatorem zadania był wrocławski klub siatkarski Volley Wrocław.</w:t>
      </w:r>
    </w:p>
    <w:p w:rsidR="00CA14AB" w:rsidRPr="00E00B35" w:rsidRDefault="00CA14AB" w:rsidP="00E00B35">
      <w:pPr>
        <w:spacing w:after="0" w:line="312" w:lineRule="auto"/>
        <w:rPr>
          <w:szCs w:val="20"/>
        </w:rPr>
      </w:pPr>
      <w:r w:rsidRPr="00E00B35">
        <w:rPr>
          <w:szCs w:val="20"/>
        </w:rPr>
        <w:t>WROCŁAWSKI FOOTBALL powstał jako zadanie w II półroczu 2018 roku i było realizowane na podstawie Uchwały Rady Miejskiej Wrocławia w formie dofinansowania szkolenia wrocławskich klubów piłkarskich w kategorii senior, które brały udział w rozgrywkach w piłce nożnej mężczyzn na poziomie lokalnym (Klasa B, Klasa A i Klasa Okręgowa), regionalnym (IV Liga) i ogólnopolskim (I-III Liga). Zadanie miało na celu osiągnięcie wyższych wyników sportowych przez zawodników i poprawy warunków uprawiania sportów w klubach sportowych. Dofinansowaniem objęto 11 wrocławskich klubów piłkarskich.</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580" w:name="_Toc72352499"/>
      <w:bookmarkStart w:id="581" w:name="_Toc72352933"/>
      <w:r w:rsidRPr="00E00B35">
        <w:rPr>
          <w:sz w:val="20"/>
          <w:szCs w:val="20"/>
        </w:rPr>
        <w:t>REALIZACJA PROGRAMÓW WSPOMAGAJĄCYCH SZKOLENIE SPORTOWE</w:t>
      </w:r>
      <w:bookmarkEnd w:id="580"/>
      <w:bookmarkEnd w:id="581"/>
    </w:p>
    <w:p w:rsidR="00CA14AB" w:rsidRPr="00E00B35" w:rsidRDefault="00CA14AB" w:rsidP="00E00B35">
      <w:pPr>
        <w:spacing w:after="0" w:line="312" w:lineRule="auto"/>
        <w:rPr>
          <w:szCs w:val="20"/>
        </w:rPr>
      </w:pPr>
      <w:r w:rsidRPr="00E00B35">
        <w:rPr>
          <w:szCs w:val="20"/>
        </w:rPr>
        <w:t>W związku z występującym w Polsce od marca zagrożeniem wirusem SARS-CoV-2 wywołującym chorobę COVID-19 większość zaplanowanych szkoleń odbyło się w formie zdalnej ale później po zniesieniu obostrzeń w sporcie większość zaplanowanych szkoleń odbyło się normalnie.</w:t>
      </w:r>
    </w:p>
    <w:p w:rsidR="00CA14AB" w:rsidRPr="00E00B35" w:rsidRDefault="00CA14AB" w:rsidP="00E00B35">
      <w:pPr>
        <w:spacing w:after="0" w:line="312" w:lineRule="auto"/>
        <w:rPr>
          <w:szCs w:val="20"/>
        </w:rPr>
      </w:pPr>
      <w:r w:rsidRPr="00E00B35">
        <w:rPr>
          <w:szCs w:val="20"/>
        </w:rPr>
        <w:t xml:space="preserve">PROGRAM MŁODZIEŻOWYCH CENTRÓW SPORTU (PROGRAM MCS) jest realizowany poprzez wsparcie finansowe szkolenia sportowego dzieci </w:t>
      </w:r>
      <w:r w:rsidRPr="00E00B35">
        <w:rPr>
          <w:szCs w:val="20"/>
        </w:rPr>
        <w:br/>
        <w:t xml:space="preserve">i młodzieży uzdolnionej w ramach sekcji sportowych z dyscyplin indywidualnych </w:t>
      </w:r>
      <w:r w:rsidRPr="00E00B35">
        <w:rPr>
          <w:szCs w:val="20"/>
        </w:rPr>
        <w:br/>
        <w:t xml:space="preserve">i zespołowych, które osiągnęły punktowane wyniki tj. minimum 10 pkt. (średnia </w:t>
      </w:r>
      <w:r w:rsidRPr="00E00B35">
        <w:rPr>
          <w:szCs w:val="20"/>
        </w:rPr>
        <w:br/>
        <w:t>z ostatnich trzech lat) w ogólnopolskim Systemie Sportu Młodzieżowego prowadzonym przez Ministerstwo Sportu i Turystyki. Program ma na celu podniesienie poziomu wyszkolenia i uzyskanie lepszych wyników w ogólnopolskiej punktacji ministerstwa. Dofinansowaniem objęto dzieci i młodzież z 24 wrocławskich klubów sportowych.</w:t>
      </w:r>
    </w:p>
    <w:p w:rsidR="00CA14AB" w:rsidRPr="00E00B35" w:rsidRDefault="00CA14AB" w:rsidP="00E00B35">
      <w:pPr>
        <w:spacing w:after="0" w:line="312" w:lineRule="auto"/>
        <w:rPr>
          <w:szCs w:val="20"/>
        </w:rPr>
      </w:pPr>
      <w:r w:rsidRPr="00E00B35">
        <w:rPr>
          <w:szCs w:val="20"/>
        </w:rPr>
        <w:t>PROGRAM GRUP SZKOLENIA PODSTAWOWEGO (PROGRAM GSP) realizowany jako podstawowe szkolenie sportowe dzieci i młodzieży w ramach sekcji sportowych z dyscyplin indywidualnych i zespołowych, które osiągnęły punktowane wyniki w ogólnopolskim Systemie Sportu Młodzieżowego prowadzonego przez Ministerstwo Sportu i Turystyki oraz dla tych które nie są objęte ww. systemem. Program ma na celu podniesienie poziomu szkolenia dzieci i młodzież w różnych dyscyplinach sportowych umożliwiające im przejście do grup o wyższym poziomie sportowym. Dofinansowaniem objęto dzieci i młodzież z 37 wrocławskich klubów sportowych.SZKOLENIA W SPORTACH WALKI Zadanie było realizowane w formie wsparcia finansowego szkolenia dzieci i młodzieżyw sportach walki tj. szermierka, zapasy, judo, boks, taekwon-do, karate, kickboxing, ju-jitsu, kendo itp., które osiągnęły punktowane wyniki w ogólnopolskim Systemie Sportu Młodzieżowego prowadzonego przez Ministerstwo Sportu i Turystyki oraz dla tych które nie są objęte ww. systemem. Zadanie miało na celu podniesienie poziomu szkolenia dzieci i młodzież w sportach walki umożliwiające im przejście do grup o wyższym poziomie sportowym. Dofinansowaniem objęto dzieci i młodzież z 23 wrocławskich klubów sportowych.</w:t>
      </w:r>
    </w:p>
    <w:p w:rsidR="00CA14AB" w:rsidRPr="00E00B35" w:rsidRDefault="00CA14AB" w:rsidP="00E00B35">
      <w:pPr>
        <w:spacing w:after="0" w:line="312" w:lineRule="auto"/>
        <w:rPr>
          <w:szCs w:val="20"/>
        </w:rPr>
      </w:pPr>
      <w:r w:rsidRPr="00E00B35">
        <w:rPr>
          <w:szCs w:val="20"/>
        </w:rPr>
        <w:t xml:space="preserve">SPORT PROFESJONALNY Na podstawie Uchwały Rady Miejskiej Wrocławia w formie dofinansowania wsparto szkolenie i udziału w rozgrywkach wrocławskich klubów sportowych z dyscyplin takich jak: piłka nożna mężczyzn, żużel, koszykówka mężczyzn, </w:t>
      </w:r>
      <w:r w:rsidRPr="00E00B35">
        <w:rPr>
          <w:szCs w:val="20"/>
        </w:rPr>
        <w:lastRenderedPageBreak/>
        <w:t>koszykówka kobiet, piłka siatkowa mężczyzn, piłka siatkowa kobiet, futbol amerykański, baseball, piłka nożna kobiet, tenis stołowy kobiet, piłka ręczna mężczyzn, piłka ręczna kobiet, szachy, brydż sportowy i lacrosse. Zadanie ma na celu poprawę warunków uprawiania sportów w klubach i osiągania wyższych wyników sportowych przez zawodników, co jest widoczne w awansach i wynikach tabel wrocławskich klubów, które są odbiorcami programu. Realizatorami zadania są m.in. takie wrocławskie kluby jak WKS „Śląsk Wrocław” S.A., Wrocławskie Towarzystwo Sportowe S.A., Śląsk Wrocław Basketball S.A., 1 Klub Sportowy Ślęza Wrocław S.A., Volleyball Wrocław S.A., Stowarzyszenie Sportowe Forza Wrocław, Wrocławski Klub Koszykówki, UKS Gimbasket, UKS Handball 28, KS AZS Wratislavia, KS Polonia Wrocław Sp. z o.o., KS Kosynierzy Wrocław, AZS Wrocław, Gwardia Wrocław Sp. z o.o. i KS Baseball Wrocław.</w:t>
      </w:r>
    </w:p>
    <w:p w:rsidR="00CA14AB" w:rsidRPr="00E00B35" w:rsidRDefault="00CA14AB" w:rsidP="00E00B35">
      <w:pPr>
        <w:spacing w:after="0" w:line="312" w:lineRule="auto"/>
        <w:rPr>
          <w:szCs w:val="20"/>
        </w:rPr>
      </w:pPr>
      <w:r w:rsidRPr="00E00B35">
        <w:rPr>
          <w:szCs w:val="20"/>
        </w:rPr>
        <w:t>PROGRAM STYPENDIÓW I NAGRÓD SPORTOWYCH Wypłacono stypendia sportowe za wybitne wyn</w:t>
      </w:r>
      <w:r w:rsidR="008C1022" w:rsidRPr="00E00B35">
        <w:rPr>
          <w:szCs w:val="20"/>
        </w:rPr>
        <w:t xml:space="preserve">iki w dyscyplinach sportowych, </w:t>
      </w:r>
      <w:r w:rsidRPr="00E00B35">
        <w:rPr>
          <w:szCs w:val="20"/>
        </w:rPr>
        <w:t>a w szczególności za zajęcie miejsca medalowego na Mistrzostwach Polski, Akademickich Mistrzostwach Polski, Europy i Świata w 2018 roku. Wypłacono 532 stypendia sportowcom z ponad 50 wrocławskich klubów (w tym 245 kobiet oraz 287 mężczyzn). Zdobyto odpowiednio 199 medali złotych, 165 medali srebrnych oraz 168 medale brązowe w dyscyplinach indywidualnych, drużynowych i zespołowych.</w:t>
      </w:r>
    </w:p>
    <w:p w:rsidR="00CA14AB" w:rsidRPr="00E00B35" w:rsidRDefault="00CA14AB" w:rsidP="00E00B35">
      <w:pPr>
        <w:spacing w:after="0" w:line="312" w:lineRule="auto"/>
        <w:rPr>
          <w:szCs w:val="20"/>
        </w:rPr>
      </w:pPr>
      <w:r w:rsidRPr="00E00B35">
        <w:rPr>
          <w:szCs w:val="20"/>
        </w:rPr>
        <w:t>Uhonorowano sportowców i ich trenerów  - łącznie wypłacono nagrody o wartości 1 274 350,00 zł 202 sportowcom i 89 trenerom, którzy osiągnęli medalowe miejsca na Mistrzostwach Europy i Świata.</w:t>
      </w:r>
    </w:p>
    <w:p w:rsidR="00CA14AB" w:rsidRPr="00E00B35" w:rsidRDefault="00CA14AB"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582" w:name="_Toc72352500"/>
      <w:bookmarkStart w:id="583" w:name="_Toc72352934"/>
      <w:r w:rsidRPr="00E00B35">
        <w:rPr>
          <w:sz w:val="20"/>
          <w:szCs w:val="20"/>
        </w:rPr>
        <w:t>KIBICE RAZEM W 2020 ROKU</w:t>
      </w:r>
      <w:bookmarkEnd w:id="582"/>
      <w:bookmarkEnd w:id="583"/>
    </w:p>
    <w:p w:rsidR="00CA14AB" w:rsidRPr="00E00B35" w:rsidRDefault="00CA14AB" w:rsidP="00E00B35">
      <w:pPr>
        <w:spacing w:after="0" w:line="312" w:lineRule="auto"/>
        <w:rPr>
          <w:szCs w:val="20"/>
        </w:rPr>
      </w:pPr>
      <w:r w:rsidRPr="00E00B35">
        <w:rPr>
          <w:szCs w:val="20"/>
        </w:rPr>
        <w:t xml:space="preserve">Lokalny Ośrodek pn. „Kibice Razem” - zadanie, które powstało na bazie sprzyjających okoliczności czyli przyznanie Polsce  organizacji Mistrzostw Europy w Piłce Nożnej Mężczyzn „Euro 2012TM” realizowane było w formie powierzenia zadania Fundacji „Convention Bureau-Wrocław” (umowa trzyletnia 2018-2020), która prowadziła lokalny ośrodek pn. „Kibice Razem,” który miał na celu zminimalizowanie zachowań agresywnych, a także przekonań o charakterze rasistowskim wśród niektórych polskich kibiców piłkarskich za pomocą długoterminowej pracy edukacyjno-pedagogicznej polegającej na bezpośrednim i codziennym kontakcie z grupą docelową. Jak również miał na celu wspieranie pozytywnych wzorców kibicowania, a także tendencji zmierzających                       </w:t>
      </w:r>
      <w:r w:rsidRPr="00E00B35">
        <w:rPr>
          <w:szCs w:val="20"/>
        </w:rPr>
        <w:br/>
        <w:t xml:space="preserve">do demokratyzacji środowiska kibiców, jego upodmiotowienia i wyzwolenia               </w:t>
      </w:r>
      <w:r w:rsidRPr="00E00B35">
        <w:rPr>
          <w:szCs w:val="20"/>
        </w:rPr>
        <w:br/>
        <w:t xml:space="preserve">z dominacji grup o charakterze chuligańskim. Do głównych zadań ośrodka należało: prowadzenie lokalu przy ul. Szewskiej we Wrocławiu, praca pedagogiczna z kibicami, współpraca z takimi instytucjami jak kluby sportowe, władze miejskie, szkoły, lokalne media, stowarzyszenia oraz udział w meczach piłkarskich, praktykach, stażach           </w:t>
      </w:r>
      <w:r w:rsidRPr="00E00B35">
        <w:rPr>
          <w:szCs w:val="20"/>
        </w:rPr>
        <w:br/>
        <w:t>i spotkaniach dotyczących ww. projektu na terenie Polski i Europy.</w:t>
      </w:r>
    </w:p>
    <w:p w:rsidR="00CA14AB" w:rsidRPr="00E00B35" w:rsidRDefault="00CA14AB" w:rsidP="00E00B35">
      <w:pPr>
        <w:spacing w:after="0" w:line="312" w:lineRule="auto"/>
        <w:rPr>
          <w:szCs w:val="20"/>
        </w:rPr>
      </w:pPr>
      <w:r w:rsidRPr="00E00B35">
        <w:rPr>
          <w:szCs w:val="20"/>
        </w:rPr>
        <w:t xml:space="preserve">2. Program Trener Osiedlowy - program był realizowany na zlecenie Miasta Wrocław           w formie powierzenia Wrocławskiemu Szkolnemu Związkowi Sportowemu (umowa trzyletnia 2018-2020). Polegał na organizacji imprez oraz zajęć sportowo-rekreacyjnych dla dzieci i młodzieży spędzających czas wolny na szkolnych i osiedlowych boiskach oraz terenach zielonych. W 2020 r. na wytypowanych boiskach zajęcia prowadziło 47 trenerów </w:t>
      </w:r>
      <w:r w:rsidRPr="00E00B35">
        <w:rPr>
          <w:szCs w:val="20"/>
        </w:rPr>
        <w:lastRenderedPageBreak/>
        <w:t xml:space="preserve">osiedlowych. Poprzez obecność Trenera Osiedlowego dbano o bezpieczeństwo uczestników czego efektem był brak zagrożeń patologicznych w miejscach gdzie działał trener. Co roku program przyciąga bardzo dużą liczbę dzieci i młodzieży biorących czynny dział w zajęciach i imprezach sportowo - rekreacyjnych. </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584" w:name="_Toc72352501"/>
      <w:bookmarkStart w:id="585" w:name="_Toc72352935"/>
      <w:r w:rsidRPr="00E00B35">
        <w:rPr>
          <w:sz w:val="20"/>
          <w:szCs w:val="20"/>
        </w:rPr>
        <w:t>ORGANIZACJA OGÓLNOPOLSKICH I MIĘDZYNARODOWYCH IMPREZ SPORTOWYCH NA TERENIE WROCŁAWIA</w:t>
      </w:r>
      <w:bookmarkEnd w:id="584"/>
      <w:bookmarkEnd w:id="585"/>
    </w:p>
    <w:p w:rsidR="00CA14AB" w:rsidRPr="00E00B35" w:rsidRDefault="00CA14AB" w:rsidP="00E00B35">
      <w:pPr>
        <w:spacing w:after="0" w:line="312" w:lineRule="auto"/>
        <w:rPr>
          <w:szCs w:val="20"/>
        </w:rPr>
      </w:pPr>
      <w:r w:rsidRPr="00E00B35">
        <w:rPr>
          <w:szCs w:val="20"/>
        </w:rPr>
        <w:t xml:space="preserve"> związku z występującym w Polsce od marca zagrożeniem wirusem SARS-CoV-2 wywołującym chorobę COVID-19 większość zaplanowanych imprez zostało odwołanych. Po zniesieniu części obostrzeń w sporcie cześć zaplanowanych imprez odbyła się w późniejszym terminie.</w:t>
      </w:r>
    </w:p>
    <w:p w:rsidR="00CA14AB" w:rsidRPr="00E00B35" w:rsidRDefault="00CA14AB" w:rsidP="00E00B35">
      <w:pPr>
        <w:spacing w:after="0" w:line="312" w:lineRule="auto"/>
        <w:rPr>
          <w:szCs w:val="20"/>
        </w:rPr>
      </w:pPr>
      <w:r w:rsidRPr="00E00B35">
        <w:rPr>
          <w:szCs w:val="20"/>
        </w:rPr>
        <w:t xml:space="preserve">Każdego roku Wrocław jest gospodarzem wielu imprez sportowych w różnych dyscyplinach, które mają za zadanie promować miasto jako przyjazne wszelkim aktywnością fizycznym oraz jako arenę wielkich emocji sportowych. W 2020 roku we Wrocławiu zostały zorganizowane m.in. następujące imprezy – Bieg Uliczny na 10 km, Mini Mistrzostwa Świata Przedszkolaków, Turniej Karate Tradycyjnego, Cykl Imprez Jeździeckich, Puchar Polski Dzieci Karate Tradycyjnego, Organizacja Zawodów ze Szkoleniem w Working Equitation, Mistrzostwa Polski Juniorów i Młodzików w Szachach Szybkich i Błyskawicznych, Zawody Rowerowe PUMP IT TOUR, Arcymistrzowski Festiwal Szachowy Kobiet i Międzynarodowe Zawody Pływackie. Większość wyżej wymienionych imprez jest cyklicznych i na stałe zostały wpisane do kalendarza sportowych wydarzeń Wrocławia ze względu na duże i stale rosnące zainteresowanie uczestników jak i kibiców. </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586" w:name="_Toc72352502"/>
      <w:bookmarkStart w:id="587" w:name="_Toc72352936"/>
      <w:r w:rsidRPr="00E00B35">
        <w:rPr>
          <w:sz w:val="20"/>
          <w:szCs w:val="20"/>
        </w:rPr>
        <w:t>ZDROWI I AKTYWNI MIESZKAŃCY</w:t>
      </w:r>
      <w:bookmarkEnd w:id="586"/>
      <w:bookmarkEnd w:id="587"/>
    </w:p>
    <w:p w:rsidR="00CA14AB" w:rsidRPr="00E00B35" w:rsidRDefault="00CA14AB" w:rsidP="00E00B35">
      <w:pPr>
        <w:spacing w:after="0" w:line="312" w:lineRule="auto"/>
        <w:rPr>
          <w:szCs w:val="20"/>
        </w:rPr>
      </w:pPr>
      <w:r w:rsidRPr="00E00B35">
        <w:rPr>
          <w:szCs w:val="20"/>
        </w:rPr>
        <w:t>W związku z występującym w Polsce od marca zagrożeniem wirusem SARS-CoV-2 wywołującym chorobę COVID-19 większość zaplanowanych imprez zostało odwołanych i nie odbyło się ale później po zniesieniu obostrzeń w sporcie cześć zaplanowanych imprez odbyło się. Jednocześnie w związku z występującym w Polsce od marca zagrożeniem wirusem SARS-CoV-2 wywołującym chorobę COVID-19 większość zaplanowanych zajęć i szkoleń odbyło się w formie zdalnej ale później po zniesieniu obostrzeń w sporcie większość zaplanowanych zajęć i szkoleń odbyło się normalnie.</w:t>
      </w:r>
    </w:p>
    <w:p w:rsidR="00CA14AB" w:rsidRPr="00E00B35" w:rsidRDefault="00CA14AB" w:rsidP="00E00B35">
      <w:pPr>
        <w:spacing w:after="0" w:line="312" w:lineRule="auto"/>
        <w:rPr>
          <w:szCs w:val="20"/>
        </w:rPr>
      </w:pPr>
      <w:r w:rsidRPr="00E00B35">
        <w:rPr>
          <w:szCs w:val="20"/>
        </w:rPr>
        <w:t>PROGRAM TRENER OSIEDLOWY  realizowany na zlecenie Miasta Wrocław w formie powierzenia Wrocławskiemu Szkolnemu Związkowi Sportowemu (umowa trzyletnia 2018-2020). Polegał na organizacji imprez oraz zajęć sportowo-rekreacyjnych dla dzieci i młodzieży spędzających czas wolny na szkolnych i osiedlowych boiskach oraz terenach zielonych. W 2020 r. na wytypowanych boiskach zajęcia prowadziło 47 trenerów osiedlowych. Poprzez obecność Trenera Osiedlowego dbano o bezpieczeństwo uczestników czego efektem był brak zagrożeń patologicznych w miejscach gdzie działał trener. Co roku program przyciąga bardzo dużą liczbę dzieci i młodzieży biorących czynny udział w zajęciach i imprezach sportowo - rekreacyjnych.</w:t>
      </w:r>
    </w:p>
    <w:p w:rsidR="00CA14AB" w:rsidRPr="00E00B35" w:rsidRDefault="00CA14AB" w:rsidP="00E00B35">
      <w:pPr>
        <w:spacing w:after="0" w:line="312" w:lineRule="auto"/>
        <w:rPr>
          <w:szCs w:val="20"/>
        </w:rPr>
      </w:pPr>
      <w:r w:rsidRPr="00E00B35">
        <w:rPr>
          <w:szCs w:val="20"/>
        </w:rPr>
        <w:t xml:space="preserve">28. OTWARTE MISTRZOSTWA WROCŁAWIA zrealizowane w formie powierzenia zadania Stowarzyszeniu „Otwarte Mistrzostwa Wrocławia” (umowa trzyletnia 2018-2020), które zorganizowało całoroczny cykl zawodów w 20 dyscyplinach sportowych, dla około 30 </w:t>
      </w:r>
      <w:r w:rsidRPr="00E00B35">
        <w:rPr>
          <w:szCs w:val="20"/>
        </w:rPr>
        <w:lastRenderedPageBreak/>
        <w:t>tysięcy mieszkańców Wrocławia i okolic. Najbardziej popularne dyscypliny to: siatkówka, siatkówka plażowa, koszykówka, biegi długie oraz piłka nożna halowa oraz nowa dyscyplina bubble soccer.</w:t>
      </w:r>
    </w:p>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TRENER SENIORALNY ZE SPORTOWĄ RODZINĄ Zadanie powstało w 2018 roku i ze względu na duże zainteresowanie zostało kontynuowane w 2020 roku. Program ten miał za zadanie aktywizację i integrację społeczną seniorów połączoną z integracją międzypokoleniową oraz ze wzmacnianiem więzów rodzinnych. W ramach zadania zorganizowano i przeprowadzono zajęcia i imprezy sportowe dla wrocławskich seniorów oraz wrocławskich rodzin. Zadanie było realizowane przy współpracy z Wrocławskim Szkolnym Związkiem Sportowym.</w:t>
      </w:r>
    </w:p>
    <w:p w:rsidR="00CA14AB" w:rsidRPr="00E00B35" w:rsidRDefault="00CA14AB" w:rsidP="00E00B35">
      <w:pPr>
        <w:spacing w:after="0" w:line="312" w:lineRule="auto"/>
        <w:rPr>
          <w:szCs w:val="20"/>
        </w:rPr>
      </w:pPr>
      <w:r w:rsidRPr="00E00B35">
        <w:rPr>
          <w:szCs w:val="20"/>
        </w:rPr>
        <w:t xml:space="preserve">LOKALNE IMPREZY, ZAJĘCIA i SZKOLENIE SPORTOWE Zadanie było realizowane </w:t>
      </w:r>
      <w:r w:rsidRPr="00E00B35">
        <w:rPr>
          <w:szCs w:val="20"/>
        </w:rPr>
        <w:br/>
        <w:t>w formie wsparcia organizacji pozarządowych w trybie bezkonkursowym 19a. Dofinansowaniem objęto 46 zadań publicznych. Jednocześnie każdego roku notowany jest wzrost zainteresowania tą formą wsparcia, która przyczynia się do rozwoju najmniejszych organizacji sportowych oraz aktywizacji mieszkańców.</w:t>
      </w:r>
    </w:p>
    <w:p w:rsidR="00CA14AB" w:rsidRPr="00E00B35" w:rsidRDefault="00CA14AB" w:rsidP="00E00B35">
      <w:pPr>
        <w:spacing w:after="0" w:line="312" w:lineRule="auto"/>
        <w:rPr>
          <w:szCs w:val="20"/>
        </w:rPr>
      </w:pPr>
      <w:r w:rsidRPr="00E00B35">
        <w:rPr>
          <w:szCs w:val="20"/>
        </w:rPr>
        <w:t xml:space="preserve">SPORT OSÓB NIEPEŁNOSPRAWNYCH W 2020 r. udzielono wsparcia finansowego </w:t>
      </w:r>
      <w:r w:rsidRPr="00E00B35">
        <w:rPr>
          <w:szCs w:val="20"/>
        </w:rPr>
        <w:br/>
        <w:t xml:space="preserve">9 organizacjom pozarządowym, prowadzącym zajęcia, imprezy i przedsięwzięcia sportowe dla sportowców i osób niepełnosprawnych m.in. Ogólnopolski Turniej Tańca </w:t>
      </w:r>
      <w:r w:rsidRPr="00E00B35">
        <w:rPr>
          <w:szCs w:val="20"/>
        </w:rPr>
        <w:br/>
        <w:t>z udziałem Par Osób Niepełnosprawnych.</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bookmarkStart w:id="588" w:name="_Toc72352503"/>
      <w:bookmarkStart w:id="589" w:name="_Toc72352937"/>
      <w:bookmarkStart w:id="590" w:name="_Toc72357862"/>
      <w:bookmarkStart w:id="591" w:name="_Toc72358016"/>
      <w:r w:rsidRPr="00E00B35">
        <w:rPr>
          <w:sz w:val="20"/>
          <w:szCs w:val="20"/>
        </w:rPr>
        <w:t>MŁODZIEŻOWE CENTRUM SPORTU</w:t>
      </w:r>
      <w:bookmarkEnd w:id="588"/>
      <w:bookmarkEnd w:id="589"/>
      <w:bookmarkEnd w:id="590"/>
      <w:bookmarkEnd w:id="591"/>
    </w:p>
    <w:p w:rsidR="00CA14AB" w:rsidRPr="00E00B35" w:rsidRDefault="00CA14AB" w:rsidP="00E00B35">
      <w:pPr>
        <w:spacing w:after="0" w:line="312" w:lineRule="auto"/>
        <w:rPr>
          <w:szCs w:val="20"/>
        </w:rPr>
      </w:pPr>
      <w:r w:rsidRPr="00E00B35">
        <w:rPr>
          <w:szCs w:val="20"/>
        </w:rPr>
        <w:t xml:space="preserve">Jednostka budżetowa Młodzieżowe Centrum Sportu Wrocław w imieniu Miasta Wrocławia prowadzi działalność w zakresie upowszechniania kultury fizycznej i sportu, zarządza powierzoną bazą sportową, organizuje imprezy sportowe i rekreacyjne, prowadzi szkolenia w różnych dyscyplinach sportowych, wykonuje powierzone przez Miasto zadania promocyjne i inwestycyjne. </w:t>
      </w:r>
    </w:p>
    <w:p w:rsidR="00890136" w:rsidRPr="00E00B35" w:rsidRDefault="00890136"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MCS WROCŁAW PONOSI WYDATKI ZWIĄZANE Z DZIAŁALNOŚCIĄ STATUTOWĄ W NASTĘPUJĄCYCH ROZDZIAŁACH:</w:t>
      </w:r>
    </w:p>
    <w:p w:rsidR="00CA14AB" w:rsidRPr="00E00B35" w:rsidRDefault="00CA14AB" w:rsidP="00E00B35">
      <w:pPr>
        <w:spacing w:after="0" w:line="312" w:lineRule="auto"/>
        <w:rPr>
          <w:szCs w:val="20"/>
        </w:rPr>
      </w:pPr>
      <w:r w:rsidRPr="00E00B35">
        <w:rPr>
          <w:szCs w:val="20"/>
        </w:rPr>
        <w:t xml:space="preserve">Rozdz. 75075 </w:t>
      </w:r>
    </w:p>
    <w:p w:rsidR="00CA14AB" w:rsidRPr="00E00B35" w:rsidRDefault="00CA14AB" w:rsidP="00E00B35">
      <w:pPr>
        <w:spacing w:after="0" w:line="312" w:lineRule="auto"/>
        <w:rPr>
          <w:szCs w:val="20"/>
        </w:rPr>
      </w:pPr>
      <w:r w:rsidRPr="00E00B35">
        <w:rPr>
          <w:szCs w:val="20"/>
        </w:rPr>
        <w:t xml:space="preserve">W ramach rozdziału 75075 MCS Wrocław miał zorganizować 8. PKO Nocny Wrocław Półmaraton, 38. PKO Wrocław Maraton, Wrocławski Bieg Niepodległości oraz prowadził program „I Ty Możesz Zostać Maratończykiem”. </w:t>
      </w:r>
    </w:p>
    <w:p w:rsidR="00CA14AB" w:rsidRPr="00E00B35" w:rsidRDefault="00CA14AB" w:rsidP="00E00B35">
      <w:pPr>
        <w:spacing w:after="0" w:line="312" w:lineRule="auto"/>
        <w:rPr>
          <w:szCs w:val="20"/>
        </w:rPr>
      </w:pPr>
      <w:r w:rsidRPr="00E00B35">
        <w:rPr>
          <w:szCs w:val="20"/>
        </w:rPr>
        <w:t xml:space="preserve">Tabela 1. Plan i wykonanie wydatków w rozdziale 75075 w latach 2016-2020.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3"/>
        <w:gridCol w:w="3803"/>
        <w:gridCol w:w="2343"/>
        <w:gridCol w:w="2339"/>
      </w:tblGrid>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Rok</w:t>
            </w:r>
          </w:p>
        </w:tc>
        <w:tc>
          <w:tcPr>
            <w:tcW w:w="4213" w:type="dxa"/>
            <w:shd w:val="clear" w:color="auto" w:fill="auto"/>
          </w:tcPr>
          <w:p w:rsidR="00CA14AB" w:rsidRPr="00E00B35" w:rsidRDefault="00CA14AB" w:rsidP="00E00B35">
            <w:pPr>
              <w:spacing w:after="0" w:line="312" w:lineRule="auto"/>
              <w:rPr>
                <w:szCs w:val="20"/>
              </w:rPr>
            </w:pPr>
            <w:r w:rsidRPr="00E00B35">
              <w:rPr>
                <w:szCs w:val="20"/>
              </w:rPr>
              <w:t xml:space="preserve">Plan wg uchwały budżetowej (po zmianach) </w:t>
            </w:r>
          </w:p>
        </w:tc>
        <w:tc>
          <w:tcPr>
            <w:tcW w:w="2515" w:type="dxa"/>
            <w:shd w:val="clear" w:color="auto" w:fill="auto"/>
          </w:tcPr>
          <w:p w:rsidR="00CA14AB" w:rsidRPr="00E00B35" w:rsidRDefault="00CA14AB" w:rsidP="00E00B35">
            <w:pPr>
              <w:spacing w:after="0" w:line="312" w:lineRule="auto"/>
              <w:rPr>
                <w:szCs w:val="20"/>
              </w:rPr>
            </w:pPr>
            <w:r w:rsidRPr="00E00B35">
              <w:rPr>
                <w:szCs w:val="20"/>
              </w:rPr>
              <w:t>Wykonanie za rok</w:t>
            </w:r>
          </w:p>
        </w:tc>
        <w:tc>
          <w:tcPr>
            <w:tcW w:w="2516" w:type="dxa"/>
            <w:shd w:val="clear" w:color="auto" w:fill="auto"/>
          </w:tcPr>
          <w:p w:rsidR="00CA14AB" w:rsidRPr="00E00B35" w:rsidRDefault="00CA14AB" w:rsidP="00E00B35">
            <w:pPr>
              <w:spacing w:after="0" w:line="312" w:lineRule="auto"/>
              <w:rPr>
                <w:szCs w:val="20"/>
              </w:rPr>
            </w:pPr>
            <w:r w:rsidRPr="00E00B35">
              <w:rPr>
                <w:szCs w:val="20"/>
              </w:rPr>
              <w:t xml:space="preserve">% wykonania planu </w:t>
            </w:r>
          </w:p>
        </w:tc>
      </w:tr>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2016</w:t>
            </w:r>
          </w:p>
        </w:tc>
        <w:tc>
          <w:tcPr>
            <w:tcW w:w="4213" w:type="dxa"/>
            <w:shd w:val="clear" w:color="auto" w:fill="auto"/>
          </w:tcPr>
          <w:p w:rsidR="00CA14AB" w:rsidRPr="00E00B35" w:rsidRDefault="00CA14AB" w:rsidP="00E00B35">
            <w:pPr>
              <w:spacing w:after="0" w:line="312" w:lineRule="auto"/>
              <w:rPr>
                <w:szCs w:val="20"/>
              </w:rPr>
            </w:pPr>
            <w:r w:rsidRPr="00E00B35">
              <w:rPr>
                <w:szCs w:val="20"/>
              </w:rPr>
              <w:t>2.319.169</w:t>
            </w:r>
          </w:p>
        </w:tc>
        <w:tc>
          <w:tcPr>
            <w:tcW w:w="2515" w:type="dxa"/>
            <w:shd w:val="clear" w:color="auto" w:fill="auto"/>
          </w:tcPr>
          <w:p w:rsidR="00CA14AB" w:rsidRPr="00E00B35" w:rsidRDefault="00CA14AB" w:rsidP="00E00B35">
            <w:pPr>
              <w:spacing w:after="0" w:line="312" w:lineRule="auto"/>
              <w:rPr>
                <w:szCs w:val="20"/>
              </w:rPr>
            </w:pPr>
            <w:r w:rsidRPr="00E00B35">
              <w:rPr>
                <w:szCs w:val="20"/>
              </w:rPr>
              <w:t>2.312.163</w:t>
            </w:r>
          </w:p>
        </w:tc>
        <w:tc>
          <w:tcPr>
            <w:tcW w:w="2516" w:type="dxa"/>
            <w:shd w:val="clear" w:color="auto" w:fill="auto"/>
          </w:tcPr>
          <w:p w:rsidR="00CA14AB" w:rsidRPr="00E00B35" w:rsidRDefault="00CA14AB" w:rsidP="00E00B35">
            <w:pPr>
              <w:spacing w:after="0" w:line="312" w:lineRule="auto"/>
              <w:rPr>
                <w:szCs w:val="20"/>
              </w:rPr>
            </w:pPr>
            <w:r w:rsidRPr="00E00B35">
              <w:rPr>
                <w:szCs w:val="20"/>
              </w:rPr>
              <w:t>99,70</w:t>
            </w:r>
          </w:p>
        </w:tc>
      </w:tr>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2017</w:t>
            </w:r>
          </w:p>
        </w:tc>
        <w:tc>
          <w:tcPr>
            <w:tcW w:w="4213" w:type="dxa"/>
            <w:shd w:val="clear" w:color="auto" w:fill="auto"/>
          </w:tcPr>
          <w:p w:rsidR="00CA14AB" w:rsidRPr="00E00B35" w:rsidRDefault="00CA14AB" w:rsidP="00E00B35">
            <w:pPr>
              <w:spacing w:after="0" w:line="312" w:lineRule="auto"/>
              <w:rPr>
                <w:szCs w:val="20"/>
              </w:rPr>
            </w:pPr>
            <w:r w:rsidRPr="00E00B35">
              <w:rPr>
                <w:szCs w:val="20"/>
              </w:rPr>
              <w:t>2.571.400</w:t>
            </w:r>
          </w:p>
        </w:tc>
        <w:tc>
          <w:tcPr>
            <w:tcW w:w="2515" w:type="dxa"/>
            <w:shd w:val="clear" w:color="auto" w:fill="auto"/>
          </w:tcPr>
          <w:p w:rsidR="00CA14AB" w:rsidRPr="00E00B35" w:rsidRDefault="00CA14AB" w:rsidP="00E00B35">
            <w:pPr>
              <w:spacing w:after="0" w:line="312" w:lineRule="auto"/>
              <w:rPr>
                <w:szCs w:val="20"/>
              </w:rPr>
            </w:pPr>
            <w:r w:rsidRPr="00E00B35">
              <w:rPr>
                <w:szCs w:val="20"/>
              </w:rPr>
              <w:t>2.570.672</w:t>
            </w:r>
          </w:p>
        </w:tc>
        <w:tc>
          <w:tcPr>
            <w:tcW w:w="2516" w:type="dxa"/>
            <w:shd w:val="clear" w:color="auto" w:fill="auto"/>
          </w:tcPr>
          <w:p w:rsidR="00CA14AB" w:rsidRPr="00E00B35" w:rsidRDefault="00CA14AB" w:rsidP="00E00B35">
            <w:pPr>
              <w:spacing w:after="0" w:line="312" w:lineRule="auto"/>
              <w:rPr>
                <w:szCs w:val="20"/>
              </w:rPr>
            </w:pPr>
            <w:r w:rsidRPr="00E00B35">
              <w:rPr>
                <w:szCs w:val="20"/>
              </w:rPr>
              <w:t>99,97</w:t>
            </w:r>
          </w:p>
        </w:tc>
      </w:tr>
      <w:tr w:rsidR="00CA14AB" w:rsidRPr="00E00B35" w:rsidTr="00CA14AB">
        <w:trPr>
          <w:trHeight w:val="255"/>
        </w:trPr>
        <w:tc>
          <w:tcPr>
            <w:tcW w:w="817" w:type="dxa"/>
            <w:shd w:val="clear" w:color="auto" w:fill="auto"/>
          </w:tcPr>
          <w:p w:rsidR="00CA14AB" w:rsidRPr="00E00B35" w:rsidRDefault="00CA14AB" w:rsidP="00E00B35">
            <w:pPr>
              <w:spacing w:after="0" w:line="312" w:lineRule="auto"/>
              <w:rPr>
                <w:szCs w:val="20"/>
              </w:rPr>
            </w:pPr>
            <w:r w:rsidRPr="00E00B35">
              <w:rPr>
                <w:szCs w:val="20"/>
              </w:rPr>
              <w:t>2018</w:t>
            </w:r>
          </w:p>
        </w:tc>
        <w:tc>
          <w:tcPr>
            <w:tcW w:w="4213" w:type="dxa"/>
            <w:shd w:val="clear" w:color="auto" w:fill="auto"/>
          </w:tcPr>
          <w:p w:rsidR="00CA14AB" w:rsidRPr="00E00B35" w:rsidRDefault="00CA14AB" w:rsidP="00E00B35">
            <w:pPr>
              <w:spacing w:after="0" w:line="312" w:lineRule="auto"/>
              <w:rPr>
                <w:szCs w:val="20"/>
              </w:rPr>
            </w:pPr>
            <w:r w:rsidRPr="00E00B35">
              <w:rPr>
                <w:szCs w:val="20"/>
              </w:rPr>
              <w:t>3.064.000</w:t>
            </w:r>
          </w:p>
        </w:tc>
        <w:tc>
          <w:tcPr>
            <w:tcW w:w="2515" w:type="dxa"/>
            <w:shd w:val="clear" w:color="auto" w:fill="auto"/>
          </w:tcPr>
          <w:p w:rsidR="00CA14AB" w:rsidRPr="00E00B35" w:rsidRDefault="00CA14AB" w:rsidP="00E00B35">
            <w:pPr>
              <w:spacing w:after="0" w:line="312" w:lineRule="auto"/>
              <w:rPr>
                <w:szCs w:val="20"/>
              </w:rPr>
            </w:pPr>
            <w:r w:rsidRPr="00E00B35">
              <w:rPr>
                <w:szCs w:val="20"/>
              </w:rPr>
              <w:t>3.057.168</w:t>
            </w:r>
          </w:p>
        </w:tc>
        <w:tc>
          <w:tcPr>
            <w:tcW w:w="2516" w:type="dxa"/>
            <w:shd w:val="clear" w:color="auto" w:fill="auto"/>
          </w:tcPr>
          <w:p w:rsidR="00CA14AB" w:rsidRPr="00E00B35" w:rsidRDefault="00CA14AB" w:rsidP="00E00B35">
            <w:pPr>
              <w:spacing w:after="0" w:line="312" w:lineRule="auto"/>
              <w:rPr>
                <w:szCs w:val="20"/>
              </w:rPr>
            </w:pPr>
            <w:r w:rsidRPr="00E00B35">
              <w:rPr>
                <w:szCs w:val="20"/>
              </w:rPr>
              <w:t>99,78</w:t>
            </w:r>
          </w:p>
        </w:tc>
      </w:tr>
      <w:tr w:rsidR="00CA14AB" w:rsidRPr="00E00B35" w:rsidTr="00CA14AB">
        <w:trPr>
          <w:trHeight w:val="270"/>
        </w:trPr>
        <w:tc>
          <w:tcPr>
            <w:tcW w:w="817" w:type="dxa"/>
            <w:shd w:val="clear" w:color="auto" w:fill="auto"/>
          </w:tcPr>
          <w:p w:rsidR="00CA14AB" w:rsidRPr="00E00B35" w:rsidRDefault="00CA14AB" w:rsidP="00E00B35">
            <w:pPr>
              <w:spacing w:after="0" w:line="312" w:lineRule="auto"/>
              <w:rPr>
                <w:szCs w:val="20"/>
              </w:rPr>
            </w:pPr>
            <w:r w:rsidRPr="00E00B35">
              <w:rPr>
                <w:szCs w:val="20"/>
              </w:rPr>
              <w:t>2019</w:t>
            </w:r>
          </w:p>
        </w:tc>
        <w:tc>
          <w:tcPr>
            <w:tcW w:w="4213" w:type="dxa"/>
            <w:shd w:val="clear" w:color="auto" w:fill="auto"/>
          </w:tcPr>
          <w:p w:rsidR="00CA14AB" w:rsidRPr="00E00B35" w:rsidRDefault="00CA14AB" w:rsidP="00E00B35">
            <w:pPr>
              <w:spacing w:after="0" w:line="312" w:lineRule="auto"/>
              <w:rPr>
                <w:szCs w:val="20"/>
              </w:rPr>
            </w:pPr>
            <w:r w:rsidRPr="00E00B35">
              <w:rPr>
                <w:szCs w:val="20"/>
              </w:rPr>
              <w:t>4.747.000</w:t>
            </w:r>
          </w:p>
        </w:tc>
        <w:tc>
          <w:tcPr>
            <w:tcW w:w="2515" w:type="dxa"/>
            <w:shd w:val="clear" w:color="auto" w:fill="auto"/>
          </w:tcPr>
          <w:p w:rsidR="00CA14AB" w:rsidRPr="00E00B35" w:rsidRDefault="00CA14AB" w:rsidP="00E00B35">
            <w:pPr>
              <w:spacing w:after="0" w:line="312" w:lineRule="auto"/>
              <w:rPr>
                <w:szCs w:val="20"/>
              </w:rPr>
            </w:pPr>
            <w:r w:rsidRPr="00E00B35">
              <w:rPr>
                <w:szCs w:val="20"/>
              </w:rPr>
              <w:t>5.531.717</w:t>
            </w:r>
          </w:p>
        </w:tc>
        <w:tc>
          <w:tcPr>
            <w:tcW w:w="2516" w:type="dxa"/>
            <w:shd w:val="clear" w:color="auto" w:fill="auto"/>
          </w:tcPr>
          <w:p w:rsidR="00CA14AB" w:rsidRPr="00E00B35" w:rsidRDefault="00CA14AB" w:rsidP="00E00B35">
            <w:pPr>
              <w:spacing w:after="0" w:line="312" w:lineRule="auto"/>
              <w:rPr>
                <w:szCs w:val="20"/>
              </w:rPr>
            </w:pPr>
            <w:r w:rsidRPr="00E00B35">
              <w:rPr>
                <w:szCs w:val="20"/>
              </w:rPr>
              <w:t>95,46</w:t>
            </w:r>
          </w:p>
        </w:tc>
      </w:tr>
      <w:tr w:rsidR="00CA14AB" w:rsidRPr="00E00B35" w:rsidTr="00CA14AB">
        <w:trPr>
          <w:trHeight w:val="270"/>
        </w:trPr>
        <w:tc>
          <w:tcPr>
            <w:tcW w:w="817" w:type="dxa"/>
            <w:shd w:val="clear" w:color="auto" w:fill="auto"/>
          </w:tcPr>
          <w:p w:rsidR="00CA14AB" w:rsidRPr="00E00B35" w:rsidRDefault="00CA14AB" w:rsidP="00E00B35">
            <w:pPr>
              <w:spacing w:after="0" w:line="312" w:lineRule="auto"/>
              <w:rPr>
                <w:szCs w:val="20"/>
              </w:rPr>
            </w:pPr>
            <w:r w:rsidRPr="00E00B35">
              <w:rPr>
                <w:szCs w:val="20"/>
              </w:rPr>
              <w:t>2020</w:t>
            </w:r>
          </w:p>
        </w:tc>
        <w:tc>
          <w:tcPr>
            <w:tcW w:w="4213" w:type="dxa"/>
            <w:shd w:val="clear" w:color="auto" w:fill="auto"/>
          </w:tcPr>
          <w:p w:rsidR="00CA14AB" w:rsidRPr="00E00B35" w:rsidRDefault="00CA14AB" w:rsidP="00E00B35">
            <w:pPr>
              <w:spacing w:after="0" w:line="312" w:lineRule="auto"/>
              <w:rPr>
                <w:szCs w:val="20"/>
              </w:rPr>
            </w:pPr>
            <w:r w:rsidRPr="00E00B35">
              <w:rPr>
                <w:szCs w:val="20"/>
              </w:rPr>
              <w:t>952.000</w:t>
            </w:r>
          </w:p>
        </w:tc>
        <w:tc>
          <w:tcPr>
            <w:tcW w:w="2515" w:type="dxa"/>
            <w:shd w:val="clear" w:color="auto" w:fill="auto"/>
          </w:tcPr>
          <w:p w:rsidR="00CA14AB" w:rsidRPr="00E00B35" w:rsidRDefault="00CA14AB" w:rsidP="00E00B35">
            <w:pPr>
              <w:spacing w:after="0" w:line="312" w:lineRule="auto"/>
              <w:rPr>
                <w:szCs w:val="20"/>
              </w:rPr>
            </w:pPr>
            <w:r w:rsidRPr="00E00B35">
              <w:rPr>
                <w:szCs w:val="20"/>
              </w:rPr>
              <w:t>611.365</w:t>
            </w:r>
          </w:p>
        </w:tc>
        <w:tc>
          <w:tcPr>
            <w:tcW w:w="2516" w:type="dxa"/>
            <w:shd w:val="clear" w:color="auto" w:fill="auto"/>
          </w:tcPr>
          <w:p w:rsidR="00CA14AB" w:rsidRPr="00E00B35" w:rsidRDefault="00CA14AB" w:rsidP="00E00B35">
            <w:pPr>
              <w:spacing w:after="0" w:line="312" w:lineRule="auto"/>
              <w:rPr>
                <w:szCs w:val="20"/>
              </w:rPr>
            </w:pPr>
            <w:r w:rsidRPr="00E00B35">
              <w:rPr>
                <w:szCs w:val="20"/>
              </w:rPr>
              <w:t>64,22</w:t>
            </w:r>
          </w:p>
        </w:tc>
      </w:tr>
    </w:tbl>
    <w:p w:rsidR="00CA14AB" w:rsidRPr="00E00B35" w:rsidRDefault="00CA14AB" w:rsidP="00E00B35">
      <w:pPr>
        <w:spacing w:after="0" w:line="312" w:lineRule="auto"/>
        <w:rPr>
          <w:rFonts w:eastAsia="Calibri"/>
          <w:szCs w:val="20"/>
        </w:rPr>
      </w:pPr>
      <w:r w:rsidRPr="00E00B35">
        <w:rPr>
          <w:rFonts w:eastAsia="Calibri"/>
          <w:szCs w:val="20"/>
        </w:rPr>
        <w:lastRenderedPageBreak/>
        <w:t>12. edycja programu „I Ty możesz zostać maratończykiem” w ramach Wroclaw Marathon Team.</w:t>
      </w:r>
    </w:p>
    <w:p w:rsidR="00CA14AB" w:rsidRPr="00E00B35" w:rsidRDefault="00CA14AB" w:rsidP="00E00B35">
      <w:pPr>
        <w:spacing w:after="0" w:line="312" w:lineRule="auto"/>
        <w:rPr>
          <w:szCs w:val="20"/>
        </w:rPr>
      </w:pPr>
      <w:r w:rsidRPr="00E00B35">
        <w:rPr>
          <w:rFonts w:eastAsia="Calibri"/>
          <w:szCs w:val="20"/>
        </w:rPr>
        <w:t xml:space="preserve">Program „I Ty Możesz Zostać Maratończykiem” ma na celu stworzenie szerokiej oferty systemu treningowego dla jak największej grupy wrocławskich biegaczy. Projekt w 2020 roku przewidziany był przede wszystkim jako jedno z rozwiązań w zapobieganiu i zwalczaniu skutków COVID-19. W założeniu program ma funkcjonować na trzech płaszczyznach: treningu biegowego, edukacyjnej i zdrowotnej. Tak rozumiany system obejmował zarówno tych, którzy już biegają, jak i tych, którzy dopiero zamierzają rozpocząć przygodę z bieganiem. </w:t>
      </w:r>
      <w:r w:rsidRPr="00E00B35">
        <w:rPr>
          <w:szCs w:val="20"/>
        </w:rPr>
        <w:t>W 2020 roku na treningi zgłosiło się blisko 100 pełnoletnich osób, które obejmował program.</w:t>
      </w:r>
    </w:p>
    <w:p w:rsidR="00CA14AB" w:rsidRPr="00E00B35" w:rsidRDefault="00CA14AB" w:rsidP="00E00B35">
      <w:pPr>
        <w:spacing w:after="0" w:line="312" w:lineRule="auto"/>
        <w:rPr>
          <w:szCs w:val="20"/>
        </w:rPr>
      </w:pPr>
      <w:r w:rsidRPr="00E00B35">
        <w:rPr>
          <w:szCs w:val="20"/>
        </w:rPr>
        <w:t>W związku z wprowadzeniem stanu epidemii na obszarze Rzeczpospolitej Polskiej zgodnie z Rozporządzeniem Ministra Zdrowia z dnia 20 marca 2020 roku nie odbyły się następujące wydarzenia:</w:t>
      </w:r>
    </w:p>
    <w:p w:rsidR="00CA14AB" w:rsidRPr="00E00B35" w:rsidRDefault="00CA14AB" w:rsidP="00E00B35">
      <w:pPr>
        <w:spacing w:after="0" w:line="312" w:lineRule="auto"/>
        <w:rPr>
          <w:szCs w:val="20"/>
        </w:rPr>
      </w:pPr>
      <w:r w:rsidRPr="00E00B35">
        <w:rPr>
          <w:szCs w:val="20"/>
        </w:rPr>
        <w:t>8. PKO Nocny Wrocław Półmaraton oraz imprezy towarzyszące: Targi Sport EXPO, PKO Wieczorny Bieg Rodzinny, Turniej Koszykówki WROCLOVE BASKETBALL, zaplanowane na 20 czerwca 2020 r.</w:t>
      </w:r>
    </w:p>
    <w:p w:rsidR="00CA14AB" w:rsidRPr="00E00B35" w:rsidRDefault="00CA14AB" w:rsidP="00E00B35">
      <w:pPr>
        <w:spacing w:after="0" w:line="312" w:lineRule="auto"/>
        <w:rPr>
          <w:szCs w:val="20"/>
        </w:rPr>
      </w:pPr>
      <w:r w:rsidRPr="00E00B35">
        <w:rPr>
          <w:szCs w:val="20"/>
        </w:rPr>
        <w:t>38. PKO Wrocław Maraton oraz imprezy towarzyszące: WrocWalk Marathon, PKO Bieg Rodzinny, Targi Sport EXPO, Miasteczko Sportowe, zaplanowane na 20 września 2020 r.</w:t>
      </w:r>
    </w:p>
    <w:p w:rsidR="00CA14AB" w:rsidRPr="00E00B35" w:rsidRDefault="00CA14AB" w:rsidP="00E00B35">
      <w:pPr>
        <w:spacing w:after="0" w:line="312" w:lineRule="auto"/>
        <w:rPr>
          <w:szCs w:val="20"/>
        </w:rPr>
      </w:pPr>
      <w:r w:rsidRPr="00E00B35">
        <w:rPr>
          <w:szCs w:val="20"/>
        </w:rPr>
        <w:t>2. Wrocławski Bieg Niepodległości, zaplanowany na 11 listopada 2020 r.</w:t>
      </w:r>
    </w:p>
    <w:p w:rsidR="00CA14AB" w:rsidRPr="00E00B35" w:rsidRDefault="00CA14AB" w:rsidP="00E00B35">
      <w:pPr>
        <w:spacing w:after="0" w:line="312" w:lineRule="auto"/>
        <w:rPr>
          <w:szCs w:val="20"/>
        </w:rPr>
      </w:pPr>
      <w:r w:rsidRPr="00E00B35">
        <w:rPr>
          <w:szCs w:val="20"/>
        </w:rPr>
        <w:t xml:space="preserve">Rozdz. 85154 </w:t>
      </w:r>
    </w:p>
    <w:p w:rsidR="00CA14AB" w:rsidRPr="00E00B35" w:rsidRDefault="00CA14AB" w:rsidP="00E00B35">
      <w:pPr>
        <w:spacing w:after="0" w:line="312" w:lineRule="auto"/>
        <w:rPr>
          <w:szCs w:val="20"/>
        </w:rPr>
      </w:pPr>
      <w:r w:rsidRPr="00E00B35">
        <w:rPr>
          <w:szCs w:val="20"/>
        </w:rPr>
        <w:t>W ramach rozdziału 85154 MCS realizował program pod nazwą „Trener Miejski”, prowadził szkolenia dzieci i młodzieży w różnych dyscyplinach sportowych, zorganizował Zimowy Turniej Piłkarski oraz Letnie Półkolonie Sportowe.</w:t>
      </w:r>
    </w:p>
    <w:p w:rsidR="00CA14AB" w:rsidRPr="00E00B35" w:rsidRDefault="00CA14AB" w:rsidP="00E00B35">
      <w:pPr>
        <w:spacing w:after="0" w:line="312" w:lineRule="auto"/>
        <w:rPr>
          <w:szCs w:val="20"/>
        </w:rPr>
      </w:pPr>
      <w:r w:rsidRPr="00E00B35">
        <w:rPr>
          <w:szCs w:val="20"/>
        </w:rPr>
        <w:t xml:space="preserve">Tabela 2. Plan i wykonanie wydatków w rozdziale 85154 w latach 2016-2020.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3"/>
        <w:gridCol w:w="3803"/>
        <w:gridCol w:w="2343"/>
        <w:gridCol w:w="2339"/>
      </w:tblGrid>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Rok</w:t>
            </w:r>
          </w:p>
        </w:tc>
        <w:tc>
          <w:tcPr>
            <w:tcW w:w="4213" w:type="dxa"/>
            <w:shd w:val="clear" w:color="auto" w:fill="auto"/>
          </w:tcPr>
          <w:p w:rsidR="00CA14AB" w:rsidRPr="00E00B35" w:rsidRDefault="00CA14AB" w:rsidP="00E00B35">
            <w:pPr>
              <w:spacing w:after="0" w:line="312" w:lineRule="auto"/>
              <w:rPr>
                <w:szCs w:val="20"/>
              </w:rPr>
            </w:pPr>
            <w:r w:rsidRPr="00E00B35">
              <w:rPr>
                <w:szCs w:val="20"/>
              </w:rPr>
              <w:t xml:space="preserve">Plan wg uchwały budżetowej (po zmianach) </w:t>
            </w:r>
          </w:p>
        </w:tc>
        <w:tc>
          <w:tcPr>
            <w:tcW w:w="2515" w:type="dxa"/>
            <w:shd w:val="clear" w:color="auto" w:fill="auto"/>
          </w:tcPr>
          <w:p w:rsidR="00CA14AB" w:rsidRPr="00E00B35" w:rsidRDefault="00CA14AB" w:rsidP="00E00B35">
            <w:pPr>
              <w:spacing w:after="0" w:line="312" w:lineRule="auto"/>
              <w:rPr>
                <w:szCs w:val="20"/>
              </w:rPr>
            </w:pPr>
            <w:r w:rsidRPr="00E00B35">
              <w:rPr>
                <w:szCs w:val="20"/>
              </w:rPr>
              <w:t>Wykonanie za rok</w:t>
            </w:r>
          </w:p>
        </w:tc>
        <w:tc>
          <w:tcPr>
            <w:tcW w:w="2516" w:type="dxa"/>
            <w:shd w:val="clear" w:color="auto" w:fill="auto"/>
          </w:tcPr>
          <w:p w:rsidR="00CA14AB" w:rsidRPr="00E00B35" w:rsidRDefault="00CA14AB" w:rsidP="00E00B35">
            <w:pPr>
              <w:spacing w:after="0" w:line="312" w:lineRule="auto"/>
              <w:rPr>
                <w:szCs w:val="20"/>
              </w:rPr>
            </w:pPr>
            <w:r w:rsidRPr="00E00B35">
              <w:rPr>
                <w:szCs w:val="20"/>
              </w:rPr>
              <w:t xml:space="preserve">% wykonania planu </w:t>
            </w:r>
          </w:p>
        </w:tc>
      </w:tr>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2016</w:t>
            </w:r>
          </w:p>
        </w:tc>
        <w:tc>
          <w:tcPr>
            <w:tcW w:w="4213" w:type="dxa"/>
            <w:shd w:val="clear" w:color="auto" w:fill="auto"/>
          </w:tcPr>
          <w:p w:rsidR="00CA14AB" w:rsidRPr="00E00B35" w:rsidRDefault="00CA14AB" w:rsidP="00E00B35">
            <w:pPr>
              <w:spacing w:after="0" w:line="312" w:lineRule="auto"/>
              <w:rPr>
                <w:szCs w:val="20"/>
              </w:rPr>
            </w:pPr>
            <w:r w:rsidRPr="00E00B35">
              <w:rPr>
                <w:szCs w:val="20"/>
              </w:rPr>
              <w:t>1.500.000</w:t>
            </w:r>
          </w:p>
        </w:tc>
        <w:tc>
          <w:tcPr>
            <w:tcW w:w="2515" w:type="dxa"/>
            <w:shd w:val="clear" w:color="auto" w:fill="auto"/>
          </w:tcPr>
          <w:p w:rsidR="00CA14AB" w:rsidRPr="00E00B35" w:rsidRDefault="00CA14AB" w:rsidP="00E00B35">
            <w:pPr>
              <w:spacing w:after="0" w:line="312" w:lineRule="auto"/>
              <w:rPr>
                <w:szCs w:val="20"/>
              </w:rPr>
            </w:pPr>
            <w:r w:rsidRPr="00E00B35">
              <w:rPr>
                <w:szCs w:val="20"/>
              </w:rPr>
              <w:t>1.448.666</w:t>
            </w:r>
          </w:p>
        </w:tc>
        <w:tc>
          <w:tcPr>
            <w:tcW w:w="2516" w:type="dxa"/>
            <w:shd w:val="clear" w:color="auto" w:fill="auto"/>
          </w:tcPr>
          <w:p w:rsidR="00CA14AB" w:rsidRPr="00E00B35" w:rsidRDefault="00CA14AB" w:rsidP="00E00B35">
            <w:pPr>
              <w:spacing w:after="0" w:line="312" w:lineRule="auto"/>
              <w:rPr>
                <w:szCs w:val="20"/>
              </w:rPr>
            </w:pPr>
            <w:r w:rsidRPr="00E00B35">
              <w:rPr>
                <w:szCs w:val="20"/>
              </w:rPr>
              <w:t>96,58</w:t>
            </w:r>
          </w:p>
        </w:tc>
      </w:tr>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2017</w:t>
            </w:r>
          </w:p>
        </w:tc>
        <w:tc>
          <w:tcPr>
            <w:tcW w:w="4213" w:type="dxa"/>
            <w:shd w:val="clear" w:color="auto" w:fill="auto"/>
          </w:tcPr>
          <w:p w:rsidR="00CA14AB" w:rsidRPr="00E00B35" w:rsidRDefault="00CA14AB" w:rsidP="00E00B35">
            <w:pPr>
              <w:spacing w:after="0" w:line="312" w:lineRule="auto"/>
              <w:rPr>
                <w:szCs w:val="20"/>
              </w:rPr>
            </w:pPr>
            <w:r w:rsidRPr="00E00B35">
              <w:rPr>
                <w:szCs w:val="20"/>
              </w:rPr>
              <w:t>1.540.000</w:t>
            </w:r>
          </w:p>
        </w:tc>
        <w:tc>
          <w:tcPr>
            <w:tcW w:w="2515" w:type="dxa"/>
            <w:shd w:val="clear" w:color="auto" w:fill="auto"/>
          </w:tcPr>
          <w:p w:rsidR="00CA14AB" w:rsidRPr="00E00B35" w:rsidRDefault="00CA14AB" w:rsidP="00E00B35">
            <w:pPr>
              <w:spacing w:after="0" w:line="312" w:lineRule="auto"/>
              <w:rPr>
                <w:szCs w:val="20"/>
              </w:rPr>
            </w:pPr>
            <w:r w:rsidRPr="00E00B35">
              <w:rPr>
                <w:szCs w:val="20"/>
              </w:rPr>
              <w:t>1.523.608</w:t>
            </w:r>
          </w:p>
        </w:tc>
        <w:tc>
          <w:tcPr>
            <w:tcW w:w="2516" w:type="dxa"/>
            <w:shd w:val="clear" w:color="auto" w:fill="auto"/>
          </w:tcPr>
          <w:p w:rsidR="00CA14AB" w:rsidRPr="00E00B35" w:rsidRDefault="00CA14AB" w:rsidP="00E00B35">
            <w:pPr>
              <w:spacing w:after="0" w:line="312" w:lineRule="auto"/>
              <w:rPr>
                <w:szCs w:val="20"/>
              </w:rPr>
            </w:pPr>
            <w:r w:rsidRPr="00E00B35">
              <w:rPr>
                <w:szCs w:val="20"/>
              </w:rPr>
              <w:t>98,84</w:t>
            </w:r>
          </w:p>
        </w:tc>
      </w:tr>
      <w:tr w:rsidR="00CA14AB" w:rsidRPr="00E00B35" w:rsidTr="00CA14AB">
        <w:trPr>
          <w:trHeight w:val="210"/>
        </w:trPr>
        <w:tc>
          <w:tcPr>
            <w:tcW w:w="817" w:type="dxa"/>
            <w:shd w:val="clear" w:color="auto" w:fill="auto"/>
          </w:tcPr>
          <w:p w:rsidR="00CA14AB" w:rsidRPr="00E00B35" w:rsidRDefault="00CA14AB" w:rsidP="00E00B35">
            <w:pPr>
              <w:spacing w:after="0" w:line="312" w:lineRule="auto"/>
              <w:rPr>
                <w:szCs w:val="20"/>
              </w:rPr>
            </w:pPr>
            <w:r w:rsidRPr="00E00B35">
              <w:rPr>
                <w:szCs w:val="20"/>
              </w:rPr>
              <w:t>2018</w:t>
            </w:r>
          </w:p>
        </w:tc>
        <w:tc>
          <w:tcPr>
            <w:tcW w:w="4213" w:type="dxa"/>
            <w:shd w:val="clear" w:color="auto" w:fill="auto"/>
          </w:tcPr>
          <w:p w:rsidR="00CA14AB" w:rsidRPr="00E00B35" w:rsidRDefault="00CA14AB" w:rsidP="00E00B35">
            <w:pPr>
              <w:spacing w:after="0" w:line="312" w:lineRule="auto"/>
              <w:rPr>
                <w:szCs w:val="20"/>
              </w:rPr>
            </w:pPr>
            <w:r w:rsidRPr="00E00B35">
              <w:rPr>
                <w:szCs w:val="20"/>
              </w:rPr>
              <w:t>1.599.350</w:t>
            </w:r>
          </w:p>
        </w:tc>
        <w:tc>
          <w:tcPr>
            <w:tcW w:w="2515" w:type="dxa"/>
            <w:shd w:val="clear" w:color="auto" w:fill="auto"/>
          </w:tcPr>
          <w:p w:rsidR="00CA14AB" w:rsidRPr="00E00B35" w:rsidRDefault="00CA14AB" w:rsidP="00E00B35">
            <w:pPr>
              <w:spacing w:after="0" w:line="312" w:lineRule="auto"/>
              <w:rPr>
                <w:szCs w:val="20"/>
              </w:rPr>
            </w:pPr>
            <w:r w:rsidRPr="00E00B35">
              <w:rPr>
                <w:szCs w:val="20"/>
              </w:rPr>
              <w:t>1.527.071</w:t>
            </w:r>
          </w:p>
        </w:tc>
        <w:tc>
          <w:tcPr>
            <w:tcW w:w="2516" w:type="dxa"/>
            <w:shd w:val="clear" w:color="auto" w:fill="auto"/>
          </w:tcPr>
          <w:p w:rsidR="00CA14AB" w:rsidRPr="00E00B35" w:rsidRDefault="00CA14AB" w:rsidP="00E00B35">
            <w:pPr>
              <w:spacing w:after="0" w:line="312" w:lineRule="auto"/>
              <w:rPr>
                <w:szCs w:val="20"/>
              </w:rPr>
            </w:pPr>
            <w:r w:rsidRPr="00E00B35">
              <w:rPr>
                <w:szCs w:val="20"/>
              </w:rPr>
              <w:t>95,48</w:t>
            </w:r>
          </w:p>
        </w:tc>
      </w:tr>
      <w:tr w:rsidR="00CA14AB" w:rsidRPr="00E00B35" w:rsidTr="00CA14AB">
        <w:trPr>
          <w:trHeight w:val="154"/>
        </w:trPr>
        <w:tc>
          <w:tcPr>
            <w:tcW w:w="817" w:type="dxa"/>
            <w:shd w:val="clear" w:color="auto" w:fill="auto"/>
          </w:tcPr>
          <w:p w:rsidR="00CA14AB" w:rsidRPr="00E00B35" w:rsidRDefault="00CA14AB" w:rsidP="00E00B35">
            <w:pPr>
              <w:spacing w:after="0" w:line="312" w:lineRule="auto"/>
              <w:rPr>
                <w:szCs w:val="20"/>
              </w:rPr>
            </w:pPr>
            <w:r w:rsidRPr="00E00B35">
              <w:rPr>
                <w:szCs w:val="20"/>
              </w:rPr>
              <w:t>2019</w:t>
            </w:r>
          </w:p>
        </w:tc>
        <w:tc>
          <w:tcPr>
            <w:tcW w:w="4213" w:type="dxa"/>
            <w:shd w:val="clear" w:color="auto" w:fill="auto"/>
          </w:tcPr>
          <w:p w:rsidR="00CA14AB" w:rsidRPr="00E00B35" w:rsidRDefault="00CA14AB" w:rsidP="00E00B35">
            <w:pPr>
              <w:spacing w:after="0" w:line="312" w:lineRule="auto"/>
              <w:rPr>
                <w:szCs w:val="20"/>
              </w:rPr>
            </w:pPr>
            <w:r w:rsidRPr="00E00B35">
              <w:rPr>
                <w:szCs w:val="20"/>
              </w:rPr>
              <w:t>1.662.350</w:t>
            </w:r>
          </w:p>
        </w:tc>
        <w:tc>
          <w:tcPr>
            <w:tcW w:w="2515" w:type="dxa"/>
            <w:shd w:val="clear" w:color="auto" w:fill="auto"/>
          </w:tcPr>
          <w:p w:rsidR="00CA14AB" w:rsidRPr="00E00B35" w:rsidRDefault="00CA14AB" w:rsidP="00E00B35">
            <w:pPr>
              <w:spacing w:after="0" w:line="312" w:lineRule="auto"/>
              <w:rPr>
                <w:szCs w:val="20"/>
              </w:rPr>
            </w:pPr>
            <w:r w:rsidRPr="00E00B35">
              <w:rPr>
                <w:szCs w:val="20"/>
              </w:rPr>
              <w:t>1.510.957</w:t>
            </w:r>
          </w:p>
        </w:tc>
        <w:tc>
          <w:tcPr>
            <w:tcW w:w="2516" w:type="dxa"/>
            <w:shd w:val="clear" w:color="auto" w:fill="auto"/>
          </w:tcPr>
          <w:p w:rsidR="00CA14AB" w:rsidRPr="00E00B35" w:rsidRDefault="00CA14AB" w:rsidP="00E00B35">
            <w:pPr>
              <w:spacing w:after="0" w:line="312" w:lineRule="auto"/>
              <w:rPr>
                <w:szCs w:val="20"/>
              </w:rPr>
            </w:pPr>
            <w:r w:rsidRPr="00E00B35">
              <w:rPr>
                <w:szCs w:val="20"/>
              </w:rPr>
              <w:t>90,89</w:t>
            </w:r>
          </w:p>
        </w:tc>
      </w:tr>
      <w:tr w:rsidR="00CA14AB" w:rsidRPr="00E00B35" w:rsidTr="00CA14AB">
        <w:trPr>
          <w:trHeight w:val="154"/>
        </w:trPr>
        <w:tc>
          <w:tcPr>
            <w:tcW w:w="817" w:type="dxa"/>
            <w:shd w:val="clear" w:color="auto" w:fill="auto"/>
          </w:tcPr>
          <w:p w:rsidR="00CA14AB" w:rsidRPr="00E00B35" w:rsidRDefault="00CA14AB" w:rsidP="00E00B35">
            <w:pPr>
              <w:spacing w:after="0" w:line="312" w:lineRule="auto"/>
              <w:rPr>
                <w:szCs w:val="20"/>
              </w:rPr>
            </w:pPr>
            <w:r w:rsidRPr="00E00B35">
              <w:rPr>
                <w:szCs w:val="20"/>
              </w:rPr>
              <w:t>2020</w:t>
            </w:r>
          </w:p>
        </w:tc>
        <w:tc>
          <w:tcPr>
            <w:tcW w:w="4213" w:type="dxa"/>
            <w:shd w:val="clear" w:color="auto" w:fill="auto"/>
          </w:tcPr>
          <w:p w:rsidR="00CA14AB" w:rsidRPr="00E00B35" w:rsidRDefault="00CA14AB" w:rsidP="00E00B35">
            <w:pPr>
              <w:spacing w:after="0" w:line="312" w:lineRule="auto"/>
              <w:rPr>
                <w:szCs w:val="20"/>
              </w:rPr>
            </w:pPr>
            <w:r w:rsidRPr="00E00B35">
              <w:rPr>
                <w:szCs w:val="20"/>
              </w:rPr>
              <w:t>1.802.450</w:t>
            </w:r>
          </w:p>
        </w:tc>
        <w:tc>
          <w:tcPr>
            <w:tcW w:w="2515" w:type="dxa"/>
            <w:shd w:val="clear" w:color="auto" w:fill="auto"/>
          </w:tcPr>
          <w:p w:rsidR="00CA14AB" w:rsidRPr="00E00B35" w:rsidRDefault="00CA14AB" w:rsidP="00E00B35">
            <w:pPr>
              <w:spacing w:after="0" w:line="312" w:lineRule="auto"/>
              <w:rPr>
                <w:szCs w:val="20"/>
              </w:rPr>
            </w:pPr>
            <w:r w:rsidRPr="00E00B35">
              <w:rPr>
                <w:szCs w:val="20"/>
              </w:rPr>
              <w:t>1.580.630</w:t>
            </w:r>
          </w:p>
        </w:tc>
        <w:tc>
          <w:tcPr>
            <w:tcW w:w="2516" w:type="dxa"/>
            <w:shd w:val="clear" w:color="auto" w:fill="auto"/>
          </w:tcPr>
          <w:p w:rsidR="00CA14AB" w:rsidRPr="00E00B35" w:rsidRDefault="00CA14AB" w:rsidP="00E00B35">
            <w:pPr>
              <w:spacing w:after="0" w:line="312" w:lineRule="auto"/>
              <w:rPr>
                <w:szCs w:val="20"/>
              </w:rPr>
            </w:pPr>
            <w:r w:rsidRPr="00E00B35">
              <w:rPr>
                <w:szCs w:val="20"/>
              </w:rPr>
              <w:t>87,70</w:t>
            </w:r>
          </w:p>
        </w:tc>
      </w:tr>
    </w:tbl>
    <w:p w:rsidR="00CA14AB" w:rsidRPr="00E00B35" w:rsidRDefault="00CA14AB" w:rsidP="00E00B35">
      <w:pPr>
        <w:spacing w:after="0" w:line="312" w:lineRule="auto"/>
        <w:rPr>
          <w:rFonts w:eastAsia="Arial Unicode MS"/>
          <w:szCs w:val="20"/>
        </w:rPr>
      </w:pPr>
      <w:r w:rsidRPr="00E00B35">
        <w:rPr>
          <w:szCs w:val="20"/>
        </w:rPr>
        <w:t>Trener Miejski</w:t>
      </w:r>
    </w:p>
    <w:p w:rsidR="00890136" w:rsidRPr="00E00B35" w:rsidRDefault="00CA14AB" w:rsidP="00E00B35">
      <w:pPr>
        <w:spacing w:after="0" w:line="312" w:lineRule="auto"/>
        <w:rPr>
          <w:szCs w:val="20"/>
        </w:rPr>
      </w:pPr>
      <w:r w:rsidRPr="00E00B35">
        <w:rPr>
          <w:szCs w:val="20"/>
        </w:rPr>
        <w:t xml:space="preserve">W programie zatrudnionych było 62 trenerów MCS (55 etatowych do 30 września 2020 r., 7 na podstawie umów cywilno-prawnych do 30 kwietnia 2020 r.), którzy prowadzili zajęcia sportowe w 21 dyscyplinach. Stałym szkoleniem sportowym w 2020 r.  objęto 986 podopiecznych w wieku do lat 19. Dzieci i młodzież szkolona przez trenerów i instruktorów MCS zdobywała punkty dla Wrocławia w Ogólnopolskim Współzawodnictwie Sportowym Dzieci i Młodzieży prowadzonym przez Ministerstwo Sportu i Turystyki. </w:t>
      </w:r>
    </w:p>
    <w:p w:rsidR="00CA14AB" w:rsidRPr="00E00B35" w:rsidRDefault="00CA14AB" w:rsidP="00E00B35">
      <w:pPr>
        <w:spacing w:after="0" w:line="312" w:lineRule="auto"/>
        <w:rPr>
          <w:szCs w:val="20"/>
        </w:rPr>
      </w:pPr>
      <w:r w:rsidRPr="00E00B35">
        <w:rPr>
          <w:szCs w:val="20"/>
        </w:rPr>
        <w:t xml:space="preserve"> </w:t>
      </w:r>
    </w:p>
    <w:p w:rsidR="00CA14AB" w:rsidRPr="00E00B35" w:rsidRDefault="00CA14AB" w:rsidP="00E00B35">
      <w:pPr>
        <w:pStyle w:val="Nagwek5"/>
        <w:rPr>
          <w:szCs w:val="20"/>
        </w:rPr>
      </w:pPr>
      <w:r w:rsidRPr="00E00B35">
        <w:rPr>
          <w:szCs w:val="20"/>
        </w:rPr>
        <w:t>Zimowy Turniej Piłkarski</w:t>
      </w:r>
    </w:p>
    <w:p w:rsidR="00CA14AB" w:rsidRPr="00E00B35" w:rsidRDefault="00CA14AB" w:rsidP="00E00B35">
      <w:pPr>
        <w:spacing w:after="0" w:line="312" w:lineRule="auto"/>
        <w:rPr>
          <w:szCs w:val="20"/>
        </w:rPr>
      </w:pPr>
      <w:r w:rsidRPr="00E00B35">
        <w:rPr>
          <w:szCs w:val="20"/>
        </w:rPr>
        <w:t xml:space="preserve">W tym największym na Dolnym Śląsku turnieju organizowanym w okresie ferii zimowych wzięło udział 26 drużyn (250 zawodników). Co roku w turnieju, który jest znakomitą możliwością spędzenia w aktywny sposób ferii zimowych przez młodych ludzi </w:t>
      </w:r>
      <w:r w:rsidRPr="00E00B35">
        <w:rPr>
          <w:szCs w:val="20"/>
        </w:rPr>
        <w:lastRenderedPageBreak/>
        <w:t>niewyjeżdżających na obozy sportowe, startuje kilkadziesiąt drużyn. Dla organizatorów półkolonii jest to kolejna, bardzo atrakcyjna propozycja do opracowania programu zajęć. Turniej rozgrywany jest w formule „open”: mogą w nim startować zarówno zawodnicy uprawiający piłkę nożną w klubach, jak i amatorzy. Uczestnicy rywalizowali w 5 kategoriach wiekowych. Zwycięzcy oprócz atrakcyjnych medali, pucharów i statuetek otrzymali vouchery na zakup sprzętu sportowego.</w:t>
      </w:r>
    </w:p>
    <w:p w:rsidR="00890136" w:rsidRPr="00E00B35" w:rsidRDefault="00890136" w:rsidP="00E00B35">
      <w:pPr>
        <w:pStyle w:val="Nagwek5"/>
        <w:rPr>
          <w:szCs w:val="20"/>
        </w:rPr>
      </w:pPr>
    </w:p>
    <w:p w:rsidR="00CA14AB" w:rsidRPr="00E00B35" w:rsidRDefault="00CA14AB" w:rsidP="00E00B35">
      <w:pPr>
        <w:pStyle w:val="Nagwek5"/>
        <w:rPr>
          <w:szCs w:val="20"/>
        </w:rPr>
      </w:pPr>
      <w:r w:rsidRPr="00E00B35">
        <w:rPr>
          <w:szCs w:val="20"/>
        </w:rPr>
        <w:t>Letnie Półkolonie Sportowe z MCS Wrocław</w:t>
      </w:r>
    </w:p>
    <w:p w:rsidR="00CA14AB" w:rsidRPr="00E00B35" w:rsidRDefault="00CA14AB" w:rsidP="00E00B35">
      <w:pPr>
        <w:spacing w:after="0" w:line="312" w:lineRule="auto"/>
        <w:rPr>
          <w:szCs w:val="20"/>
        </w:rPr>
      </w:pPr>
      <w:r w:rsidRPr="00E00B35">
        <w:rPr>
          <w:szCs w:val="20"/>
        </w:rPr>
        <w:t>Projekt adresowany jest do wrocławskich rodzin ze szczególnym uwzględnieniem dzieci i młodzieży, które nie mogły skorzystać z zorganizowanych form wypoczynku ze względu na ograniczenia epidemiologiczne i społeczno-ekonomiczne, spowodowane restrykcjami związanymi z COVID-19. We współpracy z Miejskim Ośrodkiem Pomocy Społecznej we Wrocławiu zorganizowano 2 turnusy półkolonii w terminach 20-24 lipca i 3-7 sierpnia 2020 r. Łącznie z oferty wypoczynku skorzystało 116 dzieci z wrocławskich rodzin. Zajęcia odbywały się na terenie obiektów MCS Wrocław: Stadionu Olimpijskiego i Stadionu Sportowego „Oławka”. W ramach wypoczynku dzieci zwiedzały m.in. ZOO Wrocław, Afrykarium, Hydropolis, kompleks Hali Stulecia, Ogród Japoński. Ponadto odbył się rejs statkiem po Odrze i korzystano z kąpieliska „Morskie Oko”.</w:t>
      </w:r>
    </w:p>
    <w:p w:rsidR="00CA14AB" w:rsidRPr="00E00B35" w:rsidRDefault="00CA14AB" w:rsidP="00E00B35">
      <w:pPr>
        <w:spacing w:after="0" w:line="312" w:lineRule="auto"/>
        <w:rPr>
          <w:szCs w:val="20"/>
        </w:rPr>
      </w:pPr>
      <w:r w:rsidRPr="00E00B35">
        <w:rPr>
          <w:szCs w:val="20"/>
        </w:rPr>
        <w:t xml:space="preserve">W związku z wprowadzeniem stanu epidemii na obszarze Rzeczpospolitej Polskiej zgodnie z Rozporządzeniem Ministra Zdrowia z dnia 20 marca 2020 roku nie odbyła się: </w:t>
      </w:r>
    </w:p>
    <w:p w:rsidR="00CA14AB" w:rsidRPr="00E00B35" w:rsidRDefault="00CA14AB" w:rsidP="00E00B35">
      <w:pPr>
        <w:spacing w:after="0" w:line="312" w:lineRule="auto"/>
        <w:rPr>
          <w:szCs w:val="20"/>
        </w:rPr>
      </w:pPr>
      <w:r w:rsidRPr="00E00B35">
        <w:rPr>
          <w:szCs w:val="20"/>
        </w:rPr>
        <w:t xml:space="preserve">3. Wrocławska Olimpiada Młodzieży, zawody organizowane wspólnie z Dolnośląskimi Związkami Sportowymi i wrocławskimi klubami sportowymi. W Olimpiadzie co roku w maju, cyklicznie uczestniczyło blisko 3000 młodych wrocławskich sportowców, rywalizujących w 17 dyscyplinach na arenach sportowych miasta. Większość konkurencji była przeprowadzana na Stadionie Olimpijskim w dniu otwarcia. </w:t>
      </w:r>
    </w:p>
    <w:p w:rsidR="00CA14AB" w:rsidRPr="00E00B35" w:rsidRDefault="00CA14AB" w:rsidP="00E00B35">
      <w:pPr>
        <w:spacing w:after="0" w:line="312" w:lineRule="auto"/>
        <w:rPr>
          <w:szCs w:val="20"/>
        </w:rPr>
      </w:pPr>
      <w:r w:rsidRPr="00E00B35">
        <w:rPr>
          <w:szCs w:val="20"/>
        </w:rPr>
        <w:t xml:space="preserve">Rozdz. 92601 </w:t>
      </w:r>
    </w:p>
    <w:p w:rsidR="00CA14AB" w:rsidRPr="00E00B35" w:rsidRDefault="00CA14AB" w:rsidP="00E00B35">
      <w:pPr>
        <w:spacing w:after="0" w:line="312" w:lineRule="auto"/>
        <w:rPr>
          <w:szCs w:val="20"/>
        </w:rPr>
      </w:pPr>
      <w:r w:rsidRPr="00E00B35">
        <w:rPr>
          <w:szCs w:val="20"/>
        </w:rPr>
        <w:t>W ramach rozdziału 92601 MCS realizował następujące zadania inwestycyjne w 2020 roku:</w:t>
      </w:r>
    </w:p>
    <w:p w:rsidR="00CA14AB" w:rsidRPr="00E00B35" w:rsidRDefault="00CA14AB" w:rsidP="00E00B35">
      <w:pPr>
        <w:spacing w:after="0" w:line="312" w:lineRule="auto"/>
        <w:rPr>
          <w:szCs w:val="20"/>
        </w:rPr>
      </w:pPr>
      <w:r w:rsidRPr="00E00B35">
        <w:rPr>
          <w:szCs w:val="20"/>
        </w:rPr>
        <w:t>Program przebudowy miejskich obiektów sportowych WPI/299- poniesiono wydatki w kwocie 1.157.287,00 zł brutto w tym:</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149.958,51 zł brutto –  instalacja monitoringu na Stadionie Ołtaszyn,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56.580,00 zł brutto </w:t>
      </w:r>
      <w:bookmarkStart w:id="592" w:name="_Hlk62111190"/>
      <w:r w:rsidRPr="00E00B35">
        <w:rPr>
          <w:szCs w:val="20"/>
        </w:rPr>
        <w:t>–</w:t>
      </w:r>
      <w:bookmarkEnd w:id="592"/>
      <w:r w:rsidRPr="00E00B35">
        <w:rPr>
          <w:szCs w:val="20"/>
        </w:rPr>
        <w:t xml:space="preserve"> wykonanie miejsc parkingowych na Stadionie Ołtaszyn,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54.120,00 zł brutto  – wykonanie świetlika na Skateparku przy ul. Legnickiej,</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65.190,00 zł brutto  –  opracowanie dokumentacji kosztorysowo – projektowej Stadion Lotnicza,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110.300,25 zł brutto </w:t>
      </w:r>
      <w:bookmarkStart w:id="593" w:name="_Hlk62111098"/>
      <w:r w:rsidRPr="00E00B35">
        <w:rPr>
          <w:szCs w:val="20"/>
        </w:rPr>
        <w:t>–</w:t>
      </w:r>
      <w:bookmarkEnd w:id="593"/>
      <w:r w:rsidRPr="00E00B35">
        <w:rPr>
          <w:szCs w:val="20"/>
        </w:rPr>
        <w:t xml:space="preserve"> rozbiórka zaplecza socjalnego na terenie Stadionu Leśnica,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199.506,00 zł brutto – modernizacja Stadionu Pawłowice, montaż instalacji nawadniającej </w:t>
      </w:r>
      <w:r w:rsidRPr="00E00B35">
        <w:rPr>
          <w:szCs w:val="20"/>
        </w:rPr>
        <w:br/>
        <w:t>i oświetlenia,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204.886,00 zł brutto – montaż band pneumatycznych na torze żużlowym Stadion Olimpijski,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316.746,24 zł brutto – zwiększenie funkcjonalności Trybuny Wschodniej na Stadionie Olimpijskim.</w:t>
      </w:r>
    </w:p>
    <w:p w:rsidR="00CA14AB" w:rsidRPr="00E00B35" w:rsidRDefault="00CA14AB" w:rsidP="00E00B35">
      <w:pPr>
        <w:spacing w:after="0" w:line="312" w:lineRule="auto"/>
        <w:rPr>
          <w:szCs w:val="20"/>
        </w:rPr>
      </w:pPr>
      <w:r w:rsidRPr="00E00B35">
        <w:rPr>
          <w:szCs w:val="20"/>
        </w:rPr>
        <w:lastRenderedPageBreak/>
        <w:t>Wrocławski Budżet Obywatelski WBO WPI/270 - poniesiono wydatki w kwocie 583.439,41 zł brutto w tym:</w:t>
      </w:r>
    </w:p>
    <w:p w:rsidR="008C1022" w:rsidRPr="00E00B35" w:rsidRDefault="00CA14AB" w:rsidP="00BC64AB">
      <w:pPr>
        <w:pStyle w:val="Akapitzlist"/>
        <w:numPr>
          <w:ilvl w:val="0"/>
          <w:numId w:val="234"/>
        </w:numPr>
        <w:spacing w:after="0" w:line="312" w:lineRule="auto"/>
        <w:ind w:left="426" w:hanging="426"/>
        <w:rPr>
          <w:szCs w:val="20"/>
        </w:rPr>
      </w:pPr>
      <w:r w:rsidRPr="00E00B35">
        <w:rPr>
          <w:szCs w:val="20"/>
        </w:rPr>
        <w:t>583.439,41 zł brutto  - Rozbudowa infrastruktury do Baseballu i Softballu</w:t>
      </w:r>
      <w:r w:rsidR="008C1022" w:rsidRPr="00E00B35">
        <w:rPr>
          <w:szCs w:val="20"/>
        </w:rPr>
        <w:t xml:space="preserve"> </w:t>
      </w:r>
      <w:r w:rsidRPr="00E00B35">
        <w:rPr>
          <w:szCs w:val="20"/>
        </w:rPr>
        <w:t>- Zakrzów Poprawa bezpieczeństwa sportowego terenu na Zakrzowie (budowa oświetlenia na płycie głównej boiska oraz  prace projektowe dla zadania.</w:t>
      </w:r>
      <w:bookmarkStart w:id="594" w:name="_Hlk30664919"/>
    </w:p>
    <w:p w:rsidR="008C1022" w:rsidRPr="00E00B35" w:rsidRDefault="008C1022" w:rsidP="00E00B35">
      <w:pPr>
        <w:pStyle w:val="Akapitzlist"/>
        <w:spacing w:after="0" w:line="312" w:lineRule="auto"/>
        <w:ind w:left="426"/>
        <w:rPr>
          <w:szCs w:val="20"/>
        </w:rPr>
      </w:pPr>
    </w:p>
    <w:p w:rsidR="00CA14AB" w:rsidRPr="00E00B35" w:rsidRDefault="00CA14AB" w:rsidP="00E00B35">
      <w:pPr>
        <w:pStyle w:val="Akapitzlist"/>
        <w:spacing w:after="0" w:line="312" w:lineRule="auto"/>
        <w:ind w:left="426"/>
        <w:rPr>
          <w:szCs w:val="20"/>
        </w:rPr>
      </w:pPr>
      <w:r w:rsidRPr="00E00B35">
        <w:rPr>
          <w:szCs w:val="20"/>
        </w:rPr>
        <w:t>(dach na Kąpielisku Morskie Oko) INW/456</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 kwocie 176.045,39 zł brutt</w:t>
      </w:r>
      <w:bookmarkEnd w:id="594"/>
      <w:r w:rsidRPr="00E00B35">
        <w:rPr>
          <w:szCs w:val="20"/>
        </w:rPr>
        <w:t>o.</w:t>
      </w:r>
    </w:p>
    <w:p w:rsidR="00CA14AB" w:rsidRPr="00E00B35" w:rsidRDefault="00CA14AB" w:rsidP="00E00B35">
      <w:pPr>
        <w:spacing w:after="0" w:line="312" w:lineRule="auto"/>
        <w:rPr>
          <w:szCs w:val="20"/>
        </w:rPr>
      </w:pPr>
      <w:r w:rsidRPr="00E00B35">
        <w:rPr>
          <w:szCs w:val="20"/>
        </w:rPr>
        <w:t xml:space="preserve">Rozdz. 92604 </w:t>
      </w:r>
    </w:p>
    <w:p w:rsidR="00CA14AB" w:rsidRPr="00E00B35" w:rsidRDefault="00CA14AB" w:rsidP="00E00B35">
      <w:pPr>
        <w:spacing w:after="0" w:line="312" w:lineRule="auto"/>
        <w:rPr>
          <w:szCs w:val="20"/>
        </w:rPr>
      </w:pPr>
      <w:r w:rsidRPr="00E00B35">
        <w:rPr>
          <w:szCs w:val="20"/>
        </w:rPr>
        <w:t xml:space="preserve">W ramach rozdziału 92604 ponoszone są wydatki bieżące tj.: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wynagrodzenia osobowe i bezosobowe wraz z pochodnymi,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bieżąca obsługa zarządzanych obiektów tj. utrzymanie, naprawy konserwacje, media, zakup materiałów,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usługi obce, ochrona obiektów, prace porządkowe, itd.,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obsługa projektów sportowych związanych z działalnością statutową MCS Wrocław. </w:t>
      </w:r>
    </w:p>
    <w:p w:rsidR="00CA14AB" w:rsidRPr="00E00B35" w:rsidRDefault="00CA14AB" w:rsidP="00E00B35">
      <w:pPr>
        <w:spacing w:after="0" w:line="312" w:lineRule="auto"/>
        <w:rPr>
          <w:szCs w:val="20"/>
        </w:rPr>
      </w:pPr>
      <w:r w:rsidRPr="00E00B35">
        <w:rPr>
          <w:szCs w:val="20"/>
        </w:rPr>
        <w:t xml:space="preserve">Tabela 3. Plan i wykonanie wydatków w rozdziale 92604 w latach 2016-2020.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4"/>
        <w:gridCol w:w="3799"/>
        <w:gridCol w:w="2349"/>
        <w:gridCol w:w="2336"/>
      </w:tblGrid>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Rok</w:t>
            </w:r>
          </w:p>
        </w:tc>
        <w:tc>
          <w:tcPr>
            <w:tcW w:w="4213" w:type="dxa"/>
            <w:shd w:val="clear" w:color="auto" w:fill="auto"/>
          </w:tcPr>
          <w:p w:rsidR="00CA14AB" w:rsidRPr="00E00B35" w:rsidRDefault="00CA14AB" w:rsidP="00E00B35">
            <w:pPr>
              <w:spacing w:after="0" w:line="312" w:lineRule="auto"/>
              <w:rPr>
                <w:szCs w:val="20"/>
              </w:rPr>
            </w:pPr>
            <w:r w:rsidRPr="00E00B35">
              <w:rPr>
                <w:szCs w:val="20"/>
              </w:rPr>
              <w:t xml:space="preserve">Plan wg uchwały budżetowej (po zmianach) </w:t>
            </w:r>
          </w:p>
        </w:tc>
        <w:tc>
          <w:tcPr>
            <w:tcW w:w="2515" w:type="dxa"/>
            <w:shd w:val="clear" w:color="auto" w:fill="auto"/>
          </w:tcPr>
          <w:p w:rsidR="00CA14AB" w:rsidRPr="00E00B35" w:rsidRDefault="00CA14AB" w:rsidP="00E00B35">
            <w:pPr>
              <w:spacing w:after="0" w:line="312" w:lineRule="auto"/>
              <w:rPr>
                <w:szCs w:val="20"/>
              </w:rPr>
            </w:pPr>
            <w:r w:rsidRPr="00E00B35">
              <w:rPr>
                <w:szCs w:val="20"/>
              </w:rPr>
              <w:t>Wykonanie za rok</w:t>
            </w:r>
          </w:p>
        </w:tc>
        <w:tc>
          <w:tcPr>
            <w:tcW w:w="2516" w:type="dxa"/>
            <w:shd w:val="clear" w:color="auto" w:fill="auto"/>
          </w:tcPr>
          <w:p w:rsidR="00CA14AB" w:rsidRPr="00E00B35" w:rsidRDefault="00CA14AB" w:rsidP="00E00B35">
            <w:pPr>
              <w:spacing w:after="0" w:line="312" w:lineRule="auto"/>
              <w:rPr>
                <w:szCs w:val="20"/>
              </w:rPr>
            </w:pPr>
            <w:r w:rsidRPr="00E00B35">
              <w:rPr>
                <w:szCs w:val="20"/>
              </w:rPr>
              <w:t xml:space="preserve">% wykonania planu </w:t>
            </w:r>
          </w:p>
        </w:tc>
      </w:tr>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2016</w:t>
            </w:r>
          </w:p>
        </w:tc>
        <w:tc>
          <w:tcPr>
            <w:tcW w:w="4213" w:type="dxa"/>
            <w:shd w:val="clear" w:color="auto" w:fill="auto"/>
          </w:tcPr>
          <w:p w:rsidR="00CA14AB" w:rsidRPr="00E00B35" w:rsidRDefault="00CA14AB" w:rsidP="00E00B35">
            <w:pPr>
              <w:spacing w:after="0" w:line="312" w:lineRule="auto"/>
              <w:rPr>
                <w:szCs w:val="20"/>
              </w:rPr>
            </w:pPr>
            <w:r w:rsidRPr="00E00B35">
              <w:rPr>
                <w:szCs w:val="20"/>
              </w:rPr>
              <w:t>12.427.969</w:t>
            </w:r>
          </w:p>
        </w:tc>
        <w:tc>
          <w:tcPr>
            <w:tcW w:w="2515" w:type="dxa"/>
            <w:shd w:val="clear" w:color="auto" w:fill="auto"/>
          </w:tcPr>
          <w:p w:rsidR="00CA14AB" w:rsidRPr="00E00B35" w:rsidRDefault="00CA14AB" w:rsidP="00E00B35">
            <w:pPr>
              <w:spacing w:after="0" w:line="312" w:lineRule="auto"/>
              <w:rPr>
                <w:szCs w:val="20"/>
              </w:rPr>
            </w:pPr>
            <w:r w:rsidRPr="00E00B35">
              <w:rPr>
                <w:szCs w:val="20"/>
              </w:rPr>
              <w:t>12.267.737</w:t>
            </w:r>
          </w:p>
        </w:tc>
        <w:tc>
          <w:tcPr>
            <w:tcW w:w="2516" w:type="dxa"/>
            <w:shd w:val="clear" w:color="auto" w:fill="auto"/>
          </w:tcPr>
          <w:p w:rsidR="00CA14AB" w:rsidRPr="00E00B35" w:rsidRDefault="00CA14AB" w:rsidP="00E00B35">
            <w:pPr>
              <w:spacing w:after="0" w:line="312" w:lineRule="auto"/>
              <w:rPr>
                <w:szCs w:val="20"/>
              </w:rPr>
            </w:pPr>
            <w:r w:rsidRPr="00E00B35">
              <w:rPr>
                <w:szCs w:val="20"/>
              </w:rPr>
              <w:t>98,71</w:t>
            </w:r>
          </w:p>
        </w:tc>
      </w:tr>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2017</w:t>
            </w:r>
          </w:p>
        </w:tc>
        <w:tc>
          <w:tcPr>
            <w:tcW w:w="4213" w:type="dxa"/>
            <w:shd w:val="clear" w:color="auto" w:fill="auto"/>
          </w:tcPr>
          <w:p w:rsidR="00CA14AB" w:rsidRPr="00E00B35" w:rsidRDefault="00CA14AB" w:rsidP="00E00B35">
            <w:pPr>
              <w:spacing w:after="0" w:line="312" w:lineRule="auto"/>
              <w:rPr>
                <w:szCs w:val="20"/>
              </w:rPr>
            </w:pPr>
            <w:r w:rsidRPr="00E00B35">
              <w:rPr>
                <w:szCs w:val="20"/>
              </w:rPr>
              <w:t>13.984.770</w:t>
            </w:r>
          </w:p>
        </w:tc>
        <w:tc>
          <w:tcPr>
            <w:tcW w:w="2515" w:type="dxa"/>
            <w:shd w:val="clear" w:color="auto" w:fill="auto"/>
          </w:tcPr>
          <w:p w:rsidR="00CA14AB" w:rsidRPr="00E00B35" w:rsidRDefault="00CA14AB" w:rsidP="00E00B35">
            <w:pPr>
              <w:spacing w:after="0" w:line="312" w:lineRule="auto"/>
              <w:rPr>
                <w:szCs w:val="20"/>
              </w:rPr>
            </w:pPr>
            <w:r w:rsidRPr="00E00B35">
              <w:rPr>
                <w:szCs w:val="20"/>
              </w:rPr>
              <w:t>13.886.790</w:t>
            </w:r>
          </w:p>
        </w:tc>
        <w:tc>
          <w:tcPr>
            <w:tcW w:w="2516" w:type="dxa"/>
            <w:shd w:val="clear" w:color="auto" w:fill="auto"/>
          </w:tcPr>
          <w:p w:rsidR="00CA14AB" w:rsidRPr="00E00B35" w:rsidRDefault="00CA14AB" w:rsidP="00E00B35">
            <w:pPr>
              <w:spacing w:after="0" w:line="312" w:lineRule="auto"/>
              <w:rPr>
                <w:szCs w:val="20"/>
              </w:rPr>
            </w:pPr>
            <w:r w:rsidRPr="00E00B35">
              <w:rPr>
                <w:szCs w:val="20"/>
              </w:rPr>
              <w:t>99,30</w:t>
            </w:r>
          </w:p>
        </w:tc>
      </w:tr>
      <w:tr w:rsidR="00CA14AB" w:rsidRPr="00E00B35" w:rsidTr="00CA14AB">
        <w:trPr>
          <w:trHeight w:val="255"/>
        </w:trPr>
        <w:tc>
          <w:tcPr>
            <w:tcW w:w="817" w:type="dxa"/>
            <w:shd w:val="clear" w:color="auto" w:fill="auto"/>
          </w:tcPr>
          <w:p w:rsidR="00CA14AB" w:rsidRPr="00E00B35" w:rsidRDefault="00CA14AB" w:rsidP="00E00B35">
            <w:pPr>
              <w:spacing w:after="0" w:line="312" w:lineRule="auto"/>
              <w:rPr>
                <w:szCs w:val="20"/>
              </w:rPr>
            </w:pPr>
            <w:r w:rsidRPr="00E00B35">
              <w:rPr>
                <w:szCs w:val="20"/>
              </w:rPr>
              <w:t>2018</w:t>
            </w:r>
          </w:p>
        </w:tc>
        <w:tc>
          <w:tcPr>
            <w:tcW w:w="4213" w:type="dxa"/>
            <w:shd w:val="clear" w:color="auto" w:fill="auto"/>
          </w:tcPr>
          <w:p w:rsidR="00CA14AB" w:rsidRPr="00E00B35" w:rsidRDefault="00CA14AB" w:rsidP="00E00B35">
            <w:pPr>
              <w:spacing w:after="0" w:line="312" w:lineRule="auto"/>
              <w:rPr>
                <w:szCs w:val="20"/>
              </w:rPr>
            </w:pPr>
            <w:r w:rsidRPr="00E00B35">
              <w:rPr>
                <w:szCs w:val="20"/>
              </w:rPr>
              <w:t>16.440.544</w:t>
            </w:r>
          </w:p>
        </w:tc>
        <w:tc>
          <w:tcPr>
            <w:tcW w:w="2515" w:type="dxa"/>
            <w:shd w:val="clear" w:color="auto" w:fill="auto"/>
          </w:tcPr>
          <w:p w:rsidR="00CA14AB" w:rsidRPr="00E00B35" w:rsidRDefault="00CA14AB" w:rsidP="00E00B35">
            <w:pPr>
              <w:spacing w:after="0" w:line="312" w:lineRule="auto"/>
              <w:rPr>
                <w:szCs w:val="20"/>
              </w:rPr>
            </w:pPr>
            <w:r w:rsidRPr="00E00B35">
              <w:rPr>
                <w:szCs w:val="20"/>
              </w:rPr>
              <w:t>15.874.063</w:t>
            </w:r>
          </w:p>
        </w:tc>
        <w:tc>
          <w:tcPr>
            <w:tcW w:w="2516" w:type="dxa"/>
            <w:shd w:val="clear" w:color="auto" w:fill="auto"/>
          </w:tcPr>
          <w:p w:rsidR="00CA14AB" w:rsidRPr="00E00B35" w:rsidRDefault="00CA14AB" w:rsidP="00E00B35">
            <w:pPr>
              <w:spacing w:after="0" w:line="312" w:lineRule="auto"/>
              <w:rPr>
                <w:szCs w:val="20"/>
              </w:rPr>
            </w:pPr>
            <w:r w:rsidRPr="00E00B35">
              <w:rPr>
                <w:szCs w:val="20"/>
              </w:rPr>
              <w:t>96,55</w:t>
            </w:r>
          </w:p>
        </w:tc>
      </w:tr>
      <w:tr w:rsidR="00CA14AB" w:rsidRPr="00E00B35" w:rsidTr="00CA14AB">
        <w:trPr>
          <w:trHeight w:val="270"/>
        </w:trPr>
        <w:tc>
          <w:tcPr>
            <w:tcW w:w="817" w:type="dxa"/>
            <w:shd w:val="clear" w:color="auto" w:fill="auto"/>
          </w:tcPr>
          <w:p w:rsidR="00CA14AB" w:rsidRPr="00E00B35" w:rsidRDefault="00CA14AB" w:rsidP="00E00B35">
            <w:pPr>
              <w:spacing w:after="0" w:line="312" w:lineRule="auto"/>
              <w:rPr>
                <w:szCs w:val="20"/>
              </w:rPr>
            </w:pPr>
            <w:r w:rsidRPr="00E00B35">
              <w:rPr>
                <w:szCs w:val="20"/>
              </w:rPr>
              <w:t>2019</w:t>
            </w:r>
          </w:p>
        </w:tc>
        <w:tc>
          <w:tcPr>
            <w:tcW w:w="4213" w:type="dxa"/>
            <w:shd w:val="clear" w:color="auto" w:fill="auto"/>
          </w:tcPr>
          <w:p w:rsidR="00CA14AB" w:rsidRPr="00E00B35" w:rsidRDefault="00CA14AB" w:rsidP="00E00B35">
            <w:pPr>
              <w:spacing w:after="0" w:line="312" w:lineRule="auto"/>
              <w:rPr>
                <w:szCs w:val="20"/>
              </w:rPr>
            </w:pPr>
            <w:r w:rsidRPr="00E00B35">
              <w:rPr>
                <w:szCs w:val="20"/>
              </w:rPr>
              <w:t>18.761.950</w:t>
            </w:r>
          </w:p>
        </w:tc>
        <w:tc>
          <w:tcPr>
            <w:tcW w:w="2515" w:type="dxa"/>
            <w:shd w:val="clear" w:color="auto" w:fill="auto"/>
          </w:tcPr>
          <w:p w:rsidR="00CA14AB" w:rsidRPr="00E00B35" w:rsidRDefault="00CA14AB" w:rsidP="00E00B35">
            <w:pPr>
              <w:spacing w:after="0" w:line="312" w:lineRule="auto"/>
              <w:rPr>
                <w:szCs w:val="20"/>
              </w:rPr>
            </w:pPr>
            <w:r w:rsidRPr="00E00B35">
              <w:rPr>
                <w:szCs w:val="20"/>
              </w:rPr>
              <w:t>18.705.123</w:t>
            </w:r>
          </w:p>
        </w:tc>
        <w:tc>
          <w:tcPr>
            <w:tcW w:w="2516" w:type="dxa"/>
            <w:shd w:val="clear" w:color="auto" w:fill="auto"/>
          </w:tcPr>
          <w:p w:rsidR="00CA14AB" w:rsidRPr="00E00B35" w:rsidRDefault="00CA14AB" w:rsidP="00E00B35">
            <w:pPr>
              <w:spacing w:after="0" w:line="312" w:lineRule="auto"/>
              <w:rPr>
                <w:szCs w:val="20"/>
              </w:rPr>
            </w:pPr>
            <w:r w:rsidRPr="00E00B35">
              <w:rPr>
                <w:szCs w:val="20"/>
              </w:rPr>
              <w:t>99,70</w:t>
            </w:r>
          </w:p>
        </w:tc>
      </w:tr>
      <w:tr w:rsidR="00CA14AB" w:rsidRPr="00E00B35" w:rsidTr="00CA14AB">
        <w:trPr>
          <w:trHeight w:val="270"/>
        </w:trPr>
        <w:tc>
          <w:tcPr>
            <w:tcW w:w="817" w:type="dxa"/>
            <w:shd w:val="clear" w:color="auto" w:fill="auto"/>
          </w:tcPr>
          <w:p w:rsidR="00CA14AB" w:rsidRPr="00E00B35" w:rsidRDefault="00CA14AB" w:rsidP="00E00B35">
            <w:pPr>
              <w:spacing w:after="0" w:line="312" w:lineRule="auto"/>
              <w:rPr>
                <w:szCs w:val="20"/>
              </w:rPr>
            </w:pPr>
            <w:r w:rsidRPr="00E00B35">
              <w:rPr>
                <w:szCs w:val="20"/>
              </w:rPr>
              <w:t>2020</w:t>
            </w:r>
          </w:p>
        </w:tc>
        <w:tc>
          <w:tcPr>
            <w:tcW w:w="4213" w:type="dxa"/>
            <w:shd w:val="clear" w:color="auto" w:fill="auto"/>
          </w:tcPr>
          <w:p w:rsidR="00CA14AB" w:rsidRPr="00E00B35" w:rsidRDefault="00CA14AB" w:rsidP="00E00B35">
            <w:pPr>
              <w:spacing w:after="0" w:line="312" w:lineRule="auto"/>
              <w:rPr>
                <w:szCs w:val="20"/>
              </w:rPr>
            </w:pPr>
            <w:r w:rsidRPr="00E00B35">
              <w:rPr>
                <w:szCs w:val="20"/>
              </w:rPr>
              <w:t>20.914.420</w:t>
            </w:r>
          </w:p>
        </w:tc>
        <w:tc>
          <w:tcPr>
            <w:tcW w:w="2515" w:type="dxa"/>
            <w:shd w:val="clear" w:color="auto" w:fill="auto"/>
          </w:tcPr>
          <w:p w:rsidR="00CA14AB" w:rsidRPr="00E00B35" w:rsidRDefault="00CA14AB" w:rsidP="00E00B35">
            <w:pPr>
              <w:spacing w:after="0" w:line="312" w:lineRule="auto"/>
              <w:rPr>
                <w:szCs w:val="20"/>
              </w:rPr>
            </w:pPr>
            <w:r w:rsidRPr="00E00B35">
              <w:rPr>
                <w:szCs w:val="20"/>
              </w:rPr>
              <w:t>20.494.128</w:t>
            </w:r>
          </w:p>
        </w:tc>
        <w:tc>
          <w:tcPr>
            <w:tcW w:w="2516" w:type="dxa"/>
            <w:shd w:val="clear" w:color="auto" w:fill="auto"/>
          </w:tcPr>
          <w:p w:rsidR="00CA14AB" w:rsidRPr="00E00B35" w:rsidRDefault="00CA14AB" w:rsidP="00E00B35">
            <w:pPr>
              <w:spacing w:after="0" w:line="312" w:lineRule="auto"/>
              <w:rPr>
                <w:szCs w:val="20"/>
              </w:rPr>
            </w:pPr>
            <w:r w:rsidRPr="00E00B35">
              <w:rPr>
                <w:szCs w:val="20"/>
              </w:rPr>
              <w:t>97,99</w:t>
            </w:r>
          </w:p>
        </w:tc>
      </w:tr>
    </w:tbl>
    <w:p w:rsidR="00CA14AB" w:rsidRPr="00E00B35" w:rsidRDefault="00CA14AB" w:rsidP="00E00B35">
      <w:pPr>
        <w:spacing w:after="0" w:line="312" w:lineRule="auto"/>
        <w:rPr>
          <w:szCs w:val="20"/>
        </w:rPr>
      </w:pPr>
      <w:r w:rsidRPr="00E00B35">
        <w:rPr>
          <w:szCs w:val="20"/>
        </w:rPr>
        <w:t>Program Animator Sportu</w:t>
      </w:r>
    </w:p>
    <w:p w:rsidR="00CA14AB" w:rsidRPr="00E00B35" w:rsidRDefault="00CA14AB" w:rsidP="00E00B35">
      <w:pPr>
        <w:spacing w:after="0" w:line="312" w:lineRule="auto"/>
        <w:rPr>
          <w:szCs w:val="20"/>
        </w:rPr>
      </w:pPr>
      <w:r w:rsidRPr="00E00B35">
        <w:rPr>
          <w:szCs w:val="20"/>
        </w:rPr>
        <w:t xml:space="preserve">Program realizowany od 8 lat na wrocławskich Boiskach Orlik 2012 przy ul. Wiaduktowej i Terenowej. Każdy animator opiekował się młodzieżą w wymiarze 120 godzin miesięcznie od czerwca do listopada. Z takiej formy opieki, poprzez udział w zorganizowanych zajęciach piłkarskich, koszykarskich, ogólnorozwojowych i turniejach udział wzięło na każdym z Orlików ok. 4 500 młodych wrocławian. Formuła tego programu sprawdza się, </w:t>
      </w:r>
      <w:r w:rsidRPr="00E00B35">
        <w:rPr>
          <w:szCs w:val="20"/>
        </w:rPr>
        <w:br/>
        <w:t xml:space="preserve">gdyż uczestnikami zajęć są wszyscy chętni, niezależnie od wieku i poziomu umiejętności sportowych. </w:t>
      </w:r>
    </w:p>
    <w:p w:rsidR="00CA14AB" w:rsidRPr="00E00B35" w:rsidRDefault="00CA14AB" w:rsidP="00E00B35">
      <w:pPr>
        <w:spacing w:after="0" w:line="312" w:lineRule="auto"/>
        <w:rPr>
          <w:szCs w:val="20"/>
        </w:rPr>
      </w:pPr>
      <w:r w:rsidRPr="00E00B35">
        <w:rPr>
          <w:szCs w:val="20"/>
        </w:rPr>
        <w:t>Rozdz. 92605</w:t>
      </w:r>
    </w:p>
    <w:p w:rsidR="00CA14AB" w:rsidRPr="00E00B35" w:rsidRDefault="00CA14AB" w:rsidP="00E00B35">
      <w:pPr>
        <w:spacing w:after="0" w:line="312" w:lineRule="auto"/>
        <w:rPr>
          <w:szCs w:val="20"/>
        </w:rPr>
      </w:pPr>
      <w:r w:rsidRPr="00E00B35">
        <w:rPr>
          <w:szCs w:val="20"/>
        </w:rPr>
        <w:t xml:space="preserve">W ramach rozdziału 92605 MCS ponosi wydatki związane z zarządzaniem kąpieliskami Glinianki, Morskie Oko i Kłokoczyce, na prowadzenie miejsca do kąpieli przy ul. Królewieckiej, Harcerskiej i Jeziorowej. </w:t>
      </w:r>
    </w:p>
    <w:p w:rsidR="00CA14AB" w:rsidRPr="00E00B35" w:rsidRDefault="00CA14AB" w:rsidP="00E00B35">
      <w:pPr>
        <w:spacing w:after="0" w:line="312" w:lineRule="auto"/>
        <w:rPr>
          <w:szCs w:val="20"/>
        </w:rPr>
      </w:pPr>
      <w:r w:rsidRPr="00E00B35">
        <w:rPr>
          <w:szCs w:val="20"/>
        </w:rPr>
        <w:t xml:space="preserve">Tabela 4. Plan i wykonanie wydatków w rozdziale 92605 w latach 2016-2020.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3"/>
        <w:gridCol w:w="3803"/>
        <w:gridCol w:w="2343"/>
        <w:gridCol w:w="2339"/>
      </w:tblGrid>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Rok</w:t>
            </w:r>
          </w:p>
        </w:tc>
        <w:tc>
          <w:tcPr>
            <w:tcW w:w="4213" w:type="dxa"/>
            <w:shd w:val="clear" w:color="auto" w:fill="auto"/>
          </w:tcPr>
          <w:p w:rsidR="00CA14AB" w:rsidRPr="00E00B35" w:rsidRDefault="00CA14AB" w:rsidP="00E00B35">
            <w:pPr>
              <w:spacing w:after="0" w:line="312" w:lineRule="auto"/>
              <w:rPr>
                <w:szCs w:val="20"/>
              </w:rPr>
            </w:pPr>
            <w:r w:rsidRPr="00E00B35">
              <w:rPr>
                <w:szCs w:val="20"/>
              </w:rPr>
              <w:t xml:space="preserve">Plan wg uchwały budżetowej (po zmianach) </w:t>
            </w:r>
          </w:p>
        </w:tc>
        <w:tc>
          <w:tcPr>
            <w:tcW w:w="2515" w:type="dxa"/>
            <w:shd w:val="clear" w:color="auto" w:fill="auto"/>
          </w:tcPr>
          <w:p w:rsidR="00CA14AB" w:rsidRPr="00E00B35" w:rsidRDefault="00CA14AB" w:rsidP="00E00B35">
            <w:pPr>
              <w:spacing w:after="0" w:line="312" w:lineRule="auto"/>
              <w:rPr>
                <w:szCs w:val="20"/>
              </w:rPr>
            </w:pPr>
            <w:r w:rsidRPr="00E00B35">
              <w:rPr>
                <w:szCs w:val="20"/>
              </w:rPr>
              <w:t>Wykonanie za rok</w:t>
            </w:r>
          </w:p>
        </w:tc>
        <w:tc>
          <w:tcPr>
            <w:tcW w:w="2516" w:type="dxa"/>
            <w:shd w:val="clear" w:color="auto" w:fill="auto"/>
          </w:tcPr>
          <w:p w:rsidR="00CA14AB" w:rsidRPr="00E00B35" w:rsidRDefault="00CA14AB" w:rsidP="00E00B35">
            <w:pPr>
              <w:spacing w:after="0" w:line="312" w:lineRule="auto"/>
              <w:rPr>
                <w:szCs w:val="20"/>
              </w:rPr>
            </w:pPr>
            <w:r w:rsidRPr="00E00B35">
              <w:rPr>
                <w:szCs w:val="20"/>
              </w:rPr>
              <w:t xml:space="preserve">% wykonania planu </w:t>
            </w:r>
          </w:p>
        </w:tc>
      </w:tr>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2016</w:t>
            </w:r>
          </w:p>
        </w:tc>
        <w:tc>
          <w:tcPr>
            <w:tcW w:w="4213" w:type="dxa"/>
            <w:shd w:val="clear" w:color="auto" w:fill="auto"/>
          </w:tcPr>
          <w:p w:rsidR="00CA14AB" w:rsidRPr="00E00B35" w:rsidRDefault="00CA14AB" w:rsidP="00E00B35">
            <w:pPr>
              <w:spacing w:after="0" w:line="312" w:lineRule="auto"/>
              <w:rPr>
                <w:szCs w:val="20"/>
              </w:rPr>
            </w:pPr>
            <w:r w:rsidRPr="00E00B35">
              <w:rPr>
                <w:szCs w:val="20"/>
              </w:rPr>
              <w:t>3.254.300</w:t>
            </w:r>
          </w:p>
        </w:tc>
        <w:tc>
          <w:tcPr>
            <w:tcW w:w="2515" w:type="dxa"/>
            <w:shd w:val="clear" w:color="auto" w:fill="auto"/>
          </w:tcPr>
          <w:p w:rsidR="00CA14AB" w:rsidRPr="00E00B35" w:rsidRDefault="00CA14AB" w:rsidP="00E00B35">
            <w:pPr>
              <w:spacing w:after="0" w:line="312" w:lineRule="auto"/>
              <w:rPr>
                <w:szCs w:val="20"/>
              </w:rPr>
            </w:pPr>
            <w:r w:rsidRPr="00E00B35">
              <w:rPr>
                <w:szCs w:val="20"/>
              </w:rPr>
              <w:t>3.194.357</w:t>
            </w:r>
          </w:p>
        </w:tc>
        <w:tc>
          <w:tcPr>
            <w:tcW w:w="2516" w:type="dxa"/>
            <w:shd w:val="clear" w:color="auto" w:fill="auto"/>
          </w:tcPr>
          <w:p w:rsidR="00CA14AB" w:rsidRPr="00E00B35" w:rsidRDefault="00CA14AB" w:rsidP="00E00B35">
            <w:pPr>
              <w:spacing w:after="0" w:line="312" w:lineRule="auto"/>
              <w:rPr>
                <w:szCs w:val="20"/>
              </w:rPr>
            </w:pPr>
            <w:r w:rsidRPr="00E00B35">
              <w:rPr>
                <w:szCs w:val="20"/>
              </w:rPr>
              <w:t>96,22</w:t>
            </w:r>
          </w:p>
        </w:tc>
      </w:tr>
      <w:tr w:rsidR="00CA14AB" w:rsidRPr="00E00B35" w:rsidTr="00CA14AB">
        <w:tc>
          <w:tcPr>
            <w:tcW w:w="817" w:type="dxa"/>
            <w:shd w:val="clear" w:color="auto" w:fill="auto"/>
          </w:tcPr>
          <w:p w:rsidR="00CA14AB" w:rsidRPr="00E00B35" w:rsidRDefault="00CA14AB" w:rsidP="00E00B35">
            <w:pPr>
              <w:spacing w:after="0" w:line="312" w:lineRule="auto"/>
              <w:rPr>
                <w:szCs w:val="20"/>
              </w:rPr>
            </w:pPr>
            <w:r w:rsidRPr="00E00B35">
              <w:rPr>
                <w:szCs w:val="20"/>
              </w:rPr>
              <w:t>2017</w:t>
            </w:r>
          </w:p>
        </w:tc>
        <w:tc>
          <w:tcPr>
            <w:tcW w:w="4213" w:type="dxa"/>
            <w:shd w:val="clear" w:color="auto" w:fill="auto"/>
          </w:tcPr>
          <w:p w:rsidR="00CA14AB" w:rsidRPr="00E00B35" w:rsidRDefault="00CA14AB" w:rsidP="00E00B35">
            <w:pPr>
              <w:spacing w:after="0" w:line="312" w:lineRule="auto"/>
              <w:rPr>
                <w:szCs w:val="20"/>
              </w:rPr>
            </w:pPr>
            <w:r w:rsidRPr="00E00B35">
              <w:rPr>
                <w:szCs w:val="20"/>
              </w:rPr>
              <w:t>3.302.000</w:t>
            </w:r>
          </w:p>
        </w:tc>
        <w:tc>
          <w:tcPr>
            <w:tcW w:w="2515" w:type="dxa"/>
            <w:shd w:val="clear" w:color="auto" w:fill="auto"/>
          </w:tcPr>
          <w:p w:rsidR="00CA14AB" w:rsidRPr="00E00B35" w:rsidRDefault="00CA14AB" w:rsidP="00E00B35">
            <w:pPr>
              <w:spacing w:after="0" w:line="312" w:lineRule="auto"/>
              <w:rPr>
                <w:szCs w:val="20"/>
              </w:rPr>
            </w:pPr>
            <w:r w:rsidRPr="00E00B35">
              <w:rPr>
                <w:szCs w:val="20"/>
              </w:rPr>
              <w:t>3.297.640</w:t>
            </w:r>
          </w:p>
        </w:tc>
        <w:tc>
          <w:tcPr>
            <w:tcW w:w="2516" w:type="dxa"/>
            <w:shd w:val="clear" w:color="auto" w:fill="auto"/>
          </w:tcPr>
          <w:p w:rsidR="00CA14AB" w:rsidRPr="00E00B35" w:rsidRDefault="00CA14AB" w:rsidP="00E00B35">
            <w:pPr>
              <w:spacing w:after="0" w:line="312" w:lineRule="auto"/>
              <w:rPr>
                <w:szCs w:val="20"/>
              </w:rPr>
            </w:pPr>
            <w:r w:rsidRPr="00E00B35">
              <w:rPr>
                <w:szCs w:val="20"/>
              </w:rPr>
              <w:t>99,87</w:t>
            </w:r>
          </w:p>
        </w:tc>
      </w:tr>
      <w:tr w:rsidR="00CA14AB" w:rsidRPr="00E00B35" w:rsidTr="00CA14AB">
        <w:trPr>
          <w:trHeight w:val="225"/>
        </w:trPr>
        <w:tc>
          <w:tcPr>
            <w:tcW w:w="817" w:type="dxa"/>
            <w:shd w:val="clear" w:color="auto" w:fill="auto"/>
          </w:tcPr>
          <w:p w:rsidR="00CA14AB" w:rsidRPr="00E00B35" w:rsidRDefault="00CA14AB" w:rsidP="00E00B35">
            <w:pPr>
              <w:spacing w:after="0" w:line="312" w:lineRule="auto"/>
              <w:rPr>
                <w:szCs w:val="20"/>
              </w:rPr>
            </w:pPr>
            <w:r w:rsidRPr="00E00B35">
              <w:rPr>
                <w:szCs w:val="20"/>
              </w:rPr>
              <w:t>2018</w:t>
            </w:r>
          </w:p>
        </w:tc>
        <w:tc>
          <w:tcPr>
            <w:tcW w:w="4213" w:type="dxa"/>
            <w:shd w:val="clear" w:color="auto" w:fill="auto"/>
          </w:tcPr>
          <w:p w:rsidR="00CA14AB" w:rsidRPr="00E00B35" w:rsidRDefault="00CA14AB" w:rsidP="00E00B35">
            <w:pPr>
              <w:spacing w:after="0" w:line="312" w:lineRule="auto"/>
              <w:rPr>
                <w:szCs w:val="20"/>
              </w:rPr>
            </w:pPr>
            <w:r w:rsidRPr="00E00B35">
              <w:rPr>
                <w:szCs w:val="20"/>
              </w:rPr>
              <w:t>3.253.400</w:t>
            </w:r>
          </w:p>
        </w:tc>
        <w:tc>
          <w:tcPr>
            <w:tcW w:w="2515" w:type="dxa"/>
            <w:shd w:val="clear" w:color="auto" w:fill="auto"/>
          </w:tcPr>
          <w:p w:rsidR="00CA14AB" w:rsidRPr="00E00B35" w:rsidRDefault="00CA14AB" w:rsidP="00E00B35">
            <w:pPr>
              <w:spacing w:after="0" w:line="312" w:lineRule="auto"/>
              <w:rPr>
                <w:szCs w:val="20"/>
              </w:rPr>
            </w:pPr>
            <w:r w:rsidRPr="00E00B35">
              <w:rPr>
                <w:szCs w:val="20"/>
              </w:rPr>
              <w:t>3.252.687</w:t>
            </w:r>
          </w:p>
        </w:tc>
        <w:tc>
          <w:tcPr>
            <w:tcW w:w="2516" w:type="dxa"/>
            <w:shd w:val="clear" w:color="auto" w:fill="auto"/>
          </w:tcPr>
          <w:p w:rsidR="00CA14AB" w:rsidRPr="00E00B35" w:rsidRDefault="00CA14AB" w:rsidP="00E00B35">
            <w:pPr>
              <w:spacing w:after="0" w:line="312" w:lineRule="auto"/>
              <w:rPr>
                <w:szCs w:val="20"/>
              </w:rPr>
            </w:pPr>
            <w:r w:rsidRPr="00E00B35">
              <w:rPr>
                <w:szCs w:val="20"/>
              </w:rPr>
              <w:t>99,98</w:t>
            </w:r>
          </w:p>
        </w:tc>
      </w:tr>
      <w:tr w:rsidR="00CA14AB" w:rsidRPr="00E00B35" w:rsidTr="00CA14AB">
        <w:trPr>
          <w:trHeight w:val="300"/>
        </w:trPr>
        <w:tc>
          <w:tcPr>
            <w:tcW w:w="817" w:type="dxa"/>
            <w:shd w:val="clear" w:color="auto" w:fill="auto"/>
          </w:tcPr>
          <w:p w:rsidR="00CA14AB" w:rsidRPr="00E00B35" w:rsidRDefault="00CA14AB" w:rsidP="00E00B35">
            <w:pPr>
              <w:spacing w:after="0" w:line="312" w:lineRule="auto"/>
              <w:rPr>
                <w:szCs w:val="20"/>
              </w:rPr>
            </w:pPr>
            <w:r w:rsidRPr="00E00B35">
              <w:rPr>
                <w:szCs w:val="20"/>
              </w:rPr>
              <w:t>2019</w:t>
            </w:r>
          </w:p>
        </w:tc>
        <w:tc>
          <w:tcPr>
            <w:tcW w:w="4213" w:type="dxa"/>
            <w:shd w:val="clear" w:color="auto" w:fill="auto"/>
          </w:tcPr>
          <w:p w:rsidR="00CA14AB" w:rsidRPr="00E00B35" w:rsidRDefault="00CA14AB" w:rsidP="00E00B35">
            <w:pPr>
              <w:spacing w:after="0" w:line="312" w:lineRule="auto"/>
              <w:rPr>
                <w:szCs w:val="20"/>
              </w:rPr>
            </w:pPr>
            <w:r w:rsidRPr="00E00B35">
              <w:rPr>
                <w:szCs w:val="20"/>
              </w:rPr>
              <w:t>3.135.400</w:t>
            </w:r>
          </w:p>
        </w:tc>
        <w:tc>
          <w:tcPr>
            <w:tcW w:w="2515" w:type="dxa"/>
            <w:shd w:val="clear" w:color="auto" w:fill="auto"/>
          </w:tcPr>
          <w:p w:rsidR="00CA14AB" w:rsidRPr="00E00B35" w:rsidRDefault="00CA14AB" w:rsidP="00E00B35">
            <w:pPr>
              <w:spacing w:after="0" w:line="312" w:lineRule="auto"/>
              <w:rPr>
                <w:szCs w:val="20"/>
              </w:rPr>
            </w:pPr>
            <w:r w:rsidRPr="00E00B35">
              <w:rPr>
                <w:szCs w:val="20"/>
              </w:rPr>
              <w:t>3.130.227</w:t>
            </w:r>
          </w:p>
        </w:tc>
        <w:tc>
          <w:tcPr>
            <w:tcW w:w="2516" w:type="dxa"/>
            <w:shd w:val="clear" w:color="auto" w:fill="auto"/>
          </w:tcPr>
          <w:p w:rsidR="00CA14AB" w:rsidRPr="00E00B35" w:rsidRDefault="00CA14AB" w:rsidP="00E00B35">
            <w:pPr>
              <w:spacing w:after="0" w:line="312" w:lineRule="auto"/>
              <w:rPr>
                <w:szCs w:val="20"/>
              </w:rPr>
            </w:pPr>
            <w:r w:rsidRPr="00E00B35">
              <w:rPr>
                <w:szCs w:val="20"/>
              </w:rPr>
              <w:t>99,84</w:t>
            </w:r>
          </w:p>
        </w:tc>
      </w:tr>
      <w:tr w:rsidR="00CA14AB" w:rsidRPr="00E00B35" w:rsidTr="00CA14AB">
        <w:trPr>
          <w:trHeight w:val="144"/>
        </w:trPr>
        <w:tc>
          <w:tcPr>
            <w:tcW w:w="817" w:type="dxa"/>
            <w:shd w:val="clear" w:color="auto" w:fill="auto"/>
          </w:tcPr>
          <w:p w:rsidR="00CA14AB" w:rsidRPr="00E00B35" w:rsidRDefault="00CA14AB" w:rsidP="00E00B35">
            <w:pPr>
              <w:spacing w:after="0" w:line="312" w:lineRule="auto"/>
              <w:rPr>
                <w:szCs w:val="20"/>
              </w:rPr>
            </w:pPr>
            <w:r w:rsidRPr="00E00B35">
              <w:rPr>
                <w:szCs w:val="20"/>
              </w:rPr>
              <w:t>2020</w:t>
            </w:r>
          </w:p>
        </w:tc>
        <w:tc>
          <w:tcPr>
            <w:tcW w:w="4213" w:type="dxa"/>
            <w:shd w:val="clear" w:color="auto" w:fill="auto"/>
          </w:tcPr>
          <w:p w:rsidR="00CA14AB" w:rsidRPr="00E00B35" w:rsidRDefault="00CA14AB" w:rsidP="00E00B35">
            <w:pPr>
              <w:spacing w:after="0" w:line="312" w:lineRule="auto"/>
              <w:rPr>
                <w:szCs w:val="20"/>
              </w:rPr>
            </w:pPr>
            <w:r w:rsidRPr="00E00B35">
              <w:rPr>
                <w:szCs w:val="20"/>
              </w:rPr>
              <w:t>3.253.400</w:t>
            </w:r>
          </w:p>
        </w:tc>
        <w:tc>
          <w:tcPr>
            <w:tcW w:w="2515" w:type="dxa"/>
            <w:shd w:val="clear" w:color="auto" w:fill="auto"/>
          </w:tcPr>
          <w:p w:rsidR="00CA14AB" w:rsidRPr="00E00B35" w:rsidRDefault="00CA14AB" w:rsidP="00E00B35">
            <w:pPr>
              <w:spacing w:after="0" w:line="312" w:lineRule="auto"/>
              <w:rPr>
                <w:szCs w:val="20"/>
              </w:rPr>
            </w:pPr>
            <w:r w:rsidRPr="00E00B35">
              <w:rPr>
                <w:szCs w:val="20"/>
              </w:rPr>
              <w:t>3.245.270</w:t>
            </w:r>
          </w:p>
        </w:tc>
        <w:tc>
          <w:tcPr>
            <w:tcW w:w="2516" w:type="dxa"/>
            <w:shd w:val="clear" w:color="auto" w:fill="auto"/>
          </w:tcPr>
          <w:p w:rsidR="00CA14AB" w:rsidRPr="00E00B35" w:rsidRDefault="00CA14AB" w:rsidP="00E00B35">
            <w:pPr>
              <w:spacing w:after="0" w:line="312" w:lineRule="auto"/>
              <w:rPr>
                <w:szCs w:val="20"/>
              </w:rPr>
            </w:pPr>
            <w:r w:rsidRPr="00E00B35">
              <w:rPr>
                <w:szCs w:val="20"/>
              </w:rPr>
              <w:t>99,75</w:t>
            </w:r>
          </w:p>
        </w:tc>
      </w:tr>
    </w:tbl>
    <w:p w:rsidR="00CA14AB" w:rsidRPr="00E00B35" w:rsidRDefault="00CA14AB" w:rsidP="00E00B35">
      <w:pPr>
        <w:spacing w:after="0" w:line="312" w:lineRule="auto"/>
        <w:rPr>
          <w:szCs w:val="20"/>
        </w:rPr>
      </w:pPr>
      <w:r w:rsidRPr="00E00B35">
        <w:rPr>
          <w:szCs w:val="20"/>
        </w:rPr>
        <w:lastRenderedPageBreak/>
        <w:t>MCS WROCŁAW OSIĄGA DOCHODY W NASTĘPUJĄCYCH ROZDZIAŁACH:</w:t>
      </w:r>
    </w:p>
    <w:p w:rsidR="00CA14AB" w:rsidRPr="00E00B35" w:rsidRDefault="00CA14AB" w:rsidP="00E00B35">
      <w:pPr>
        <w:spacing w:after="0" w:line="312" w:lineRule="auto"/>
        <w:rPr>
          <w:szCs w:val="20"/>
        </w:rPr>
      </w:pPr>
      <w:r w:rsidRPr="00E00B35">
        <w:rPr>
          <w:szCs w:val="20"/>
        </w:rPr>
        <w:t>Rozdz. 75075</w:t>
      </w:r>
    </w:p>
    <w:p w:rsidR="00CA14AB" w:rsidRPr="00E00B35" w:rsidRDefault="00CA14AB" w:rsidP="00E00B35">
      <w:pPr>
        <w:spacing w:after="0" w:line="312" w:lineRule="auto"/>
        <w:rPr>
          <w:szCs w:val="20"/>
        </w:rPr>
      </w:pPr>
      <w:r w:rsidRPr="00E00B35">
        <w:rPr>
          <w:szCs w:val="20"/>
        </w:rPr>
        <w:t xml:space="preserve">§ 0970, program budżetowy A.5.6.10 – wpływy z wpłat startowych na półmaraton i maraton, wpływy od partnerów. </w:t>
      </w:r>
    </w:p>
    <w:p w:rsidR="00CA14AB" w:rsidRPr="00E00B35" w:rsidRDefault="00CA14AB" w:rsidP="00E00B35">
      <w:pPr>
        <w:spacing w:after="0" w:line="312" w:lineRule="auto"/>
        <w:rPr>
          <w:szCs w:val="20"/>
        </w:rPr>
      </w:pPr>
      <w:r w:rsidRPr="00E00B35">
        <w:rPr>
          <w:szCs w:val="20"/>
        </w:rPr>
        <w:t xml:space="preserve">Tabela 5. Plan i wykonanie dochodów w rozdziale 75075 w latach 2016-2020.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6"/>
        <w:gridCol w:w="2350"/>
        <w:gridCol w:w="2343"/>
        <w:gridCol w:w="2339"/>
      </w:tblGrid>
      <w:tr w:rsidR="00CA14AB" w:rsidRPr="00E00B35" w:rsidTr="00CA14AB">
        <w:tc>
          <w:tcPr>
            <w:tcW w:w="2515" w:type="dxa"/>
            <w:shd w:val="clear" w:color="auto" w:fill="auto"/>
          </w:tcPr>
          <w:p w:rsidR="00CA14AB" w:rsidRPr="00E00B35" w:rsidRDefault="00CA14AB" w:rsidP="00E00B35">
            <w:pPr>
              <w:spacing w:after="0" w:line="312" w:lineRule="auto"/>
              <w:rPr>
                <w:szCs w:val="20"/>
              </w:rPr>
            </w:pPr>
            <w:r w:rsidRPr="00E00B35">
              <w:rPr>
                <w:szCs w:val="20"/>
              </w:rPr>
              <w:t>Rok</w:t>
            </w:r>
          </w:p>
        </w:tc>
        <w:tc>
          <w:tcPr>
            <w:tcW w:w="2515" w:type="dxa"/>
            <w:shd w:val="clear" w:color="auto" w:fill="auto"/>
          </w:tcPr>
          <w:p w:rsidR="00CA14AB" w:rsidRPr="00E00B35" w:rsidRDefault="00CA14AB" w:rsidP="00E00B35">
            <w:pPr>
              <w:spacing w:after="0" w:line="312" w:lineRule="auto"/>
              <w:rPr>
                <w:szCs w:val="20"/>
              </w:rPr>
            </w:pPr>
            <w:r w:rsidRPr="00E00B35">
              <w:rPr>
                <w:szCs w:val="20"/>
              </w:rPr>
              <w:t xml:space="preserve">Plan wg uchwały budżetowej (po zmianach) </w:t>
            </w:r>
          </w:p>
        </w:tc>
        <w:tc>
          <w:tcPr>
            <w:tcW w:w="2515" w:type="dxa"/>
            <w:shd w:val="clear" w:color="auto" w:fill="auto"/>
          </w:tcPr>
          <w:p w:rsidR="00CA14AB" w:rsidRPr="00E00B35" w:rsidRDefault="00CA14AB" w:rsidP="00E00B35">
            <w:pPr>
              <w:spacing w:after="0" w:line="312" w:lineRule="auto"/>
              <w:rPr>
                <w:szCs w:val="20"/>
              </w:rPr>
            </w:pPr>
            <w:r w:rsidRPr="00E00B35">
              <w:rPr>
                <w:szCs w:val="20"/>
              </w:rPr>
              <w:t>Wykonanie za rok</w:t>
            </w:r>
          </w:p>
        </w:tc>
        <w:tc>
          <w:tcPr>
            <w:tcW w:w="2516" w:type="dxa"/>
            <w:shd w:val="clear" w:color="auto" w:fill="auto"/>
          </w:tcPr>
          <w:p w:rsidR="00CA14AB" w:rsidRPr="00E00B35" w:rsidRDefault="00CA14AB" w:rsidP="00E00B35">
            <w:pPr>
              <w:spacing w:after="0" w:line="312" w:lineRule="auto"/>
              <w:rPr>
                <w:szCs w:val="20"/>
              </w:rPr>
            </w:pPr>
            <w:r w:rsidRPr="00E00B35">
              <w:rPr>
                <w:szCs w:val="20"/>
              </w:rPr>
              <w:t xml:space="preserve">% wykonania planu </w:t>
            </w:r>
          </w:p>
        </w:tc>
      </w:tr>
      <w:tr w:rsidR="00CA14AB" w:rsidRPr="00E00B35" w:rsidTr="00CA14AB">
        <w:tc>
          <w:tcPr>
            <w:tcW w:w="2515" w:type="dxa"/>
            <w:shd w:val="clear" w:color="auto" w:fill="auto"/>
          </w:tcPr>
          <w:p w:rsidR="00CA14AB" w:rsidRPr="00E00B35" w:rsidRDefault="00CA14AB" w:rsidP="00E00B35">
            <w:pPr>
              <w:spacing w:after="0" w:line="312" w:lineRule="auto"/>
              <w:rPr>
                <w:szCs w:val="20"/>
              </w:rPr>
            </w:pPr>
            <w:r w:rsidRPr="00E00B35">
              <w:rPr>
                <w:szCs w:val="20"/>
              </w:rPr>
              <w:t>2016</w:t>
            </w:r>
          </w:p>
        </w:tc>
        <w:tc>
          <w:tcPr>
            <w:tcW w:w="2515" w:type="dxa"/>
            <w:shd w:val="clear" w:color="auto" w:fill="auto"/>
          </w:tcPr>
          <w:p w:rsidR="00CA14AB" w:rsidRPr="00E00B35" w:rsidRDefault="00CA14AB" w:rsidP="00E00B35">
            <w:pPr>
              <w:spacing w:after="0" w:line="312" w:lineRule="auto"/>
              <w:rPr>
                <w:szCs w:val="20"/>
              </w:rPr>
            </w:pPr>
            <w:r w:rsidRPr="00E00B35">
              <w:rPr>
                <w:szCs w:val="20"/>
              </w:rPr>
              <w:t>1.805.000</w:t>
            </w:r>
          </w:p>
        </w:tc>
        <w:tc>
          <w:tcPr>
            <w:tcW w:w="2515" w:type="dxa"/>
            <w:shd w:val="clear" w:color="auto" w:fill="auto"/>
          </w:tcPr>
          <w:p w:rsidR="00CA14AB" w:rsidRPr="00E00B35" w:rsidRDefault="00CA14AB" w:rsidP="00E00B35">
            <w:pPr>
              <w:spacing w:after="0" w:line="312" w:lineRule="auto"/>
              <w:rPr>
                <w:szCs w:val="20"/>
              </w:rPr>
            </w:pPr>
            <w:r w:rsidRPr="00E00B35">
              <w:rPr>
                <w:szCs w:val="20"/>
              </w:rPr>
              <w:t>1.844.675</w:t>
            </w:r>
          </w:p>
        </w:tc>
        <w:tc>
          <w:tcPr>
            <w:tcW w:w="2516" w:type="dxa"/>
            <w:shd w:val="clear" w:color="auto" w:fill="auto"/>
          </w:tcPr>
          <w:p w:rsidR="00CA14AB" w:rsidRPr="00E00B35" w:rsidRDefault="00CA14AB" w:rsidP="00E00B35">
            <w:pPr>
              <w:spacing w:after="0" w:line="312" w:lineRule="auto"/>
              <w:rPr>
                <w:szCs w:val="20"/>
              </w:rPr>
            </w:pPr>
            <w:r w:rsidRPr="00E00B35">
              <w:rPr>
                <w:szCs w:val="20"/>
              </w:rPr>
              <w:t>102</w:t>
            </w:r>
          </w:p>
        </w:tc>
      </w:tr>
      <w:tr w:rsidR="00CA14AB" w:rsidRPr="00E00B35" w:rsidTr="00CA14AB">
        <w:tc>
          <w:tcPr>
            <w:tcW w:w="2515" w:type="dxa"/>
            <w:shd w:val="clear" w:color="auto" w:fill="auto"/>
          </w:tcPr>
          <w:p w:rsidR="00CA14AB" w:rsidRPr="00E00B35" w:rsidRDefault="00CA14AB" w:rsidP="00E00B35">
            <w:pPr>
              <w:spacing w:after="0" w:line="312" w:lineRule="auto"/>
              <w:rPr>
                <w:szCs w:val="20"/>
              </w:rPr>
            </w:pPr>
            <w:r w:rsidRPr="00E00B35">
              <w:rPr>
                <w:szCs w:val="20"/>
              </w:rPr>
              <w:t>2017</w:t>
            </w:r>
          </w:p>
        </w:tc>
        <w:tc>
          <w:tcPr>
            <w:tcW w:w="2515" w:type="dxa"/>
            <w:shd w:val="clear" w:color="auto" w:fill="auto"/>
          </w:tcPr>
          <w:p w:rsidR="00CA14AB" w:rsidRPr="00E00B35" w:rsidRDefault="00CA14AB" w:rsidP="00E00B35">
            <w:pPr>
              <w:spacing w:after="0" w:line="312" w:lineRule="auto"/>
              <w:rPr>
                <w:szCs w:val="20"/>
              </w:rPr>
            </w:pPr>
            <w:r w:rsidRPr="00E00B35">
              <w:rPr>
                <w:szCs w:val="20"/>
              </w:rPr>
              <w:t>1.876.400</w:t>
            </w:r>
          </w:p>
        </w:tc>
        <w:tc>
          <w:tcPr>
            <w:tcW w:w="2515" w:type="dxa"/>
            <w:shd w:val="clear" w:color="auto" w:fill="auto"/>
          </w:tcPr>
          <w:p w:rsidR="00CA14AB" w:rsidRPr="00E00B35" w:rsidRDefault="00CA14AB" w:rsidP="00E00B35">
            <w:pPr>
              <w:spacing w:after="0" w:line="312" w:lineRule="auto"/>
              <w:rPr>
                <w:szCs w:val="20"/>
              </w:rPr>
            </w:pPr>
            <w:r w:rsidRPr="00E00B35">
              <w:rPr>
                <w:szCs w:val="20"/>
              </w:rPr>
              <w:t>1.707.538</w:t>
            </w:r>
          </w:p>
        </w:tc>
        <w:tc>
          <w:tcPr>
            <w:tcW w:w="2516" w:type="dxa"/>
            <w:shd w:val="clear" w:color="auto" w:fill="auto"/>
          </w:tcPr>
          <w:p w:rsidR="00CA14AB" w:rsidRPr="00E00B35" w:rsidRDefault="00CA14AB" w:rsidP="00E00B35">
            <w:pPr>
              <w:spacing w:after="0" w:line="312" w:lineRule="auto"/>
              <w:rPr>
                <w:szCs w:val="20"/>
              </w:rPr>
            </w:pPr>
            <w:r w:rsidRPr="00E00B35">
              <w:rPr>
                <w:szCs w:val="20"/>
              </w:rPr>
              <w:t>91</w:t>
            </w:r>
          </w:p>
        </w:tc>
      </w:tr>
      <w:tr w:rsidR="00CA14AB" w:rsidRPr="00E00B35" w:rsidTr="00CA14AB">
        <w:trPr>
          <w:trHeight w:val="240"/>
        </w:trPr>
        <w:tc>
          <w:tcPr>
            <w:tcW w:w="2515" w:type="dxa"/>
            <w:shd w:val="clear" w:color="auto" w:fill="auto"/>
          </w:tcPr>
          <w:p w:rsidR="00CA14AB" w:rsidRPr="00E00B35" w:rsidRDefault="00CA14AB" w:rsidP="00E00B35">
            <w:pPr>
              <w:spacing w:after="0" w:line="312" w:lineRule="auto"/>
              <w:rPr>
                <w:szCs w:val="20"/>
              </w:rPr>
            </w:pPr>
            <w:r w:rsidRPr="00E00B35">
              <w:rPr>
                <w:szCs w:val="20"/>
              </w:rPr>
              <w:t>2018</w:t>
            </w:r>
          </w:p>
        </w:tc>
        <w:tc>
          <w:tcPr>
            <w:tcW w:w="2515" w:type="dxa"/>
            <w:shd w:val="clear" w:color="auto" w:fill="auto"/>
          </w:tcPr>
          <w:p w:rsidR="00CA14AB" w:rsidRPr="00E00B35" w:rsidRDefault="00CA14AB" w:rsidP="00E00B35">
            <w:pPr>
              <w:spacing w:after="0" w:line="312" w:lineRule="auto"/>
              <w:rPr>
                <w:szCs w:val="20"/>
              </w:rPr>
            </w:pPr>
            <w:r w:rsidRPr="00E00B35">
              <w:rPr>
                <w:szCs w:val="20"/>
              </w:rPr>
              <w:t>2.005.000</w:t>
            </w:r>
          </w:p>
        </w:tc>
        <w:tc>
          <w:tcPr>
            <w:tcW w:w="2515" w:type="dxa"/>
            <w:shd w:val="clear" w:color="auto" w:fill="auto"/>
          </w:tcPr>
          <w:p w:rsidR="00CA14AB" w:rsidRPr="00E00B35" w:rsidRDefault="00CA14AB" w:rsidP="00E00B35">
            <w:pPr>
              <w:spacing w:after="0" w:line="312" w:lineRule="auto"/>
              <w:rPr>
                <w:szCs w:val="20"/>
              </w:rPr>
            </w:pPr>
            <w:r w:rsidRPr="00E00B35">
              <w:rPr>
                <w:szCs w:val="20"/>
              </w:rPr>
              <w:t>2.075.394</w:t>
            </w:r>
          </w:p>
        </w:tc>
        <w:tc>
          <w:tcPr>
            <w:tcW w:w="2516" w:type="dxa"/>
            <w:shd w:val="clear" w:color="auto" w:fill="auto"/>
          </w:tcPr>
          <w:p w:rsidR="00CA14AB" w:rsidRPr="00E00B35" w:rsidRDefault="00CA14AB" w:rsidP="00E00B35">
            <w:pPr>
              <w:spacing w:after="0" w:line="312" w:lineRule="auto"/>
              <w:rPr>
                <w:szCs w:val="20"/>
              </w:rPr>
            </w:pPr>
            <w:r w:rsidRPr="00E00B35">
              <w:rPr>
                <w:szCs w:val="20"/>
              </w:rPr>
              <w:t>104</w:t>
            </w:r>
          </w:p>
        </w:tc>
      </w:tr>
      <w:tr w:rsidR="00CA14AB" w:rsidRPr="00E00B35" w:rsidTr="00CA14AB">
        <w:trPr>
          <w:trHeight w:val="285"/>
        </w:trPr>
        <w:tc>
          <w:tcPr>
            <w:tcW w:w="2515" w:type="dxa"/>
            <w:shd w:val="clear" w:color="auto" w:fill="auto"/>
          </w:tcPr>
          <w:p w:rsidR="00CA14AB" w:rsidRPr="00E00B35" w:rsidRDefault="00CA14AB" w:rsidP="00E00B35">
            <w:pPr>
              <w:spacing w:after="0" w:line="312" w:lineRule="auto"/>
              <w:rPr>
                <w:szCs w:val="20"/>
              </w:rPr>
            </w:pPr>
            <w:r w:rsidRPr="00E00B35">
              <w:rPr>
                <w:szCs w:val="20"/>
              </w:rPr>
              <w:t>2019</w:t>
            </w:r>
          </w:p>
        </w:tc>
        <w:tc>
          <w:tcPr>
            <w:tcW w:w="2515" w:type="dxa"/>
            <w:shd w:val="clear" w:color="auto" w:fill="auto"/>
          </w:tcPr>
          <w:p w:rsidR="00CA14AB" w:rsidRPr="00E00B35" w:rsidRDefault="00CA14AB" w:rsidP="00E00B35">
            <w:pPr>
              <w:spacing w:after="0" w:line="312" w:lineRule="auto"/>
              <w:rPr>
                <w:szCs w:val="20"/>
              </w:rPr>
            </w:pPr>
            <w:r w:rsidRPr="00E00B35">
              <w:rPr>
                <w:szCs w:val="20"/>
              </w:rPr>
              <w:t>2.820.000</w:t>
            </w:r>
          </w:p>
        </w:tc>
        <w:tc>
          <w:tcPr>
            <w:tcW w:w="2515" w:type="dxa"/>
            <w:shd w:val="clear" w:color="auto" w:fill="auto"/>
          </w:tcPr>
          <w:p w:rsidR="00CA14AB" w:rsidRPr="00E00B35" w:rsidRDefault="00CA14AB" w:rsidP="00E00B35">
            <w:pPr>
              <w:spacing w:after="0" w:line="312" w:lineRule="auto"/>
              <w:rPr>
                <w:szCs w:val="20"/>
              </w:rPr>
            </w:pPr>
            <w:r w:rsidRPr="00E00B35">
              <w:rPr>
                <w:szCs w:val="20"/>
              </w:rPr>
              <w:t>2.642.969</w:t>
            </w:r>
          </w:p>
        </w:tc>
        <w:tc>
          <w:tcPr>
            <w:tcW w:w="2516" w:type="dxa"/>
            <w:shd w:val="clear" w:color="auto" w:fill="auto"/>
          </w:tcPr>
          <w:p w:rsidR="00CA14AB" w:rsidRPr="00E00B35" w:rsidRDefault="00CA14AB" w:rsidP="00E00B35">
            <w:pPr>
              <w:spacing w:after="0" w:line="312" w:lineRule="auto"/>
              <w:rPr>
                <w:szCs w:val="20"/>
              </w:rPr>
            </w:pPr>
            <w:r w:rsidRPr="00E00B35">
              <w:rPr>
                <w:szCs w:val="20"/>
              </w:rPr>
              <w:t>94</w:t>
            </w:r>
          </w:p>
        </w:tc>
      </w:tr>
      <w:tr w:rsidR="00CA14AB" w:rsidRPr="00E00B35" w:rsidTr="00CA14AB">
        <w:trPr>
          <w:trHeight w:val="285"/>
        </w:trPr>
        <w:tc>
          <w:tcPr>
            <w:tcW w:w="2515" w:type="dxa"/>
            <w:shd w:val="clear" w:color="auto" w:fill="auto"/>
          </w:tcPr>
          <w:p w:rsidR="00CA14AB" w:rsidRPr="00E00B35" w:rsidRDefault="00CA14AB" w:rsidP="00E00B35">
            <w:pPr>
              <w:spacing w:after="0" w:line="312" w:lineRule="auto"/>
              <w:rPr>
                <w:szCs w:val="20"/>
              </w:rPr>
            </w:pPr>
            <w:r w:rsidRPr="00E00B35">
              <w:rPr>
                <w:szCs w:val="20"/>
              </w:rPr>
              <w:t>2020</w:t>
            </w:r>
          </w:p>
        </w:tc>
        <w:tc>
          <w:tcPr>
            <w:tcW w:w="2515" w:type="dxa"/>
            <w:shd w:val="clear" w:color="auto" w:fill="auto"/>
          </w:tcPr>
          <w:p w:rsidR="00CA14AB" w:rsidRPr="00E00B35" w:rsidRDefault="00CA14AB" w:rsidP="00E00B35">
            <w:pPr>
              <w:spacing w:after="0" w:line="312" w:lineRule="auto"/>
              <w:rPr>
                <w:szCs w:val="20"/>
              </w:rPr>
            </w:pPr>
            <w:r w:rsidRPr="00E00B35">
              <w:rPr>
                <w:szCs w:val="20"/>
              </w:rPr>
              <w:t>1.120.000</w:t>
            </w:r>
          </w:p>
        </w:tc>
        <w:tc>
          <w:tcPr>
            <w:tcW w:w="2515" w:type="dxa"/>
            <w:shd w:val="clear" w:color="auto" w:fill="auto"/>
          </w:tcPr>
          <w:p w:rsidR="00CA14AB" w:rsidRPr="00E00B35" w:rsidRDefault="00CA14AB" w:rsidP="00E00B35">
            <w:pPr>
              <w:spacing w:after="0" w:line="312" w:lineRule="auto"/>
              <w:rPr>
                <w:szCs w:val="20"/>
              </w:rPr>
            </w:pPr>
            <w:r w:rsidRPr="00E00B35">
              <w:rPr>
                <w:szCs w:val="20"/>
              </w:rPr>
              <w:t>1.115.862</w:t>
            </w:r>
          </w:p>
        </w:tc>
        <w:tc>
          <w:tcPr>
            <w:tcW w:w="2516" w:type="dxa"/>
            <w:shd w:val="clear" w:color="auto" w:fill="auto"/>
          </w:tcPr>
          <w:p w:rsidR="00CA14AB" w:rsidRPr="00E00B35" w:rsidRDefault="00CA14AB" w:rsidP="00E00B35">
            <w:pPr>
              <w:spacing w:after="0" w:line="312" w:lineRule="auto"/>
              <w:rPr>
                <w:szCs w:val="20"/>
              </w:rPr>
            </w:pPr>
            <w:r w:rsidRPr="00E00B35">
              <w:rPr>
                <w:szCs w:val="20"/>
              </w:rPr>
              <w:t>100</w:t>
            </w:r>
          </w:p>
        </w:tc>
      </w:tr>
    </w:tbl>
    <w:p w:rsidR="00CA14AB" w:rsidRPr="00E00B35" w:rsidRDefault="00CA14AB" w:rsidP="00E00B35">
      <w:pPr>
        <w:spacing w:after="0" w:line="312" w:lineRule="auto"/>
        <w:rPr>
          <w:szCs w:val="20"/>
        </w:rPr>
      </w:pPr>
      <w:r w:rsidRPr="00E00B35">
        <w:rPr>
          <w:szCs w:val="20"/>
        </w:rPr>
        <w:t xml:space="preserve">Tabela 6. Liczba osób biorących udział w Półmaratonie i Maratonie w latach 2016-2020.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1"/>
        <w:gridCol w:w="3131"/>
        <w:gridCol w:w="3096"/>
      </w:tblGrid>
      <w:tr w:rsidR="00CA14AB" w:rsidRPr="00E00B35" w:rsidTr="00CA14AB">
        <w:tc>
          <w:tcPr>
            <w:tcW w:w="3343" w:type="dxa"/>
            <w:shd w:val="clear" w:color="auto" w:fill="auto"/>
          </w:tcPr>
          <w:p w:rsidR="00CA14AB" w:rsidRPr="00E00B35" w:rsidRDefault="00CA14AB" w:rsidP="00E00B35">
            <w:pPr>
              <w:spacing w:after="0" w:line="312" w:lineRule="auto"/>
              <w:rPr>
                <w:szCs w:val="20"/>
              </w:rPr>
            </w:pPr>
            <w:r w:rsidRPr="00E00B35">
              <w:rPr>
                <w:szCs w:val="20"/>
              </w:rPr>
              <w:t>Rok</w:t>
            </w:r>
          </w:p>
        </w:tc>
        <w:tc>
          <w:tcPr>
            <w:tcW w:w="3344" w:type="dxa"/>
            <w:shd w:val="clear" w:color="auto" w:fill="auto"/>
          </w:tcPr>
          <w:p w:rsidR="00CA14AB" w:rsidRPr="00E00B35" w:rsidRDefault="00CA14AB" w:rsidP="00E00B35">
            <w:pPr>
              <w:spacing w:after="0" w:line="312" w:lineRule="auto"/>
              <w:rPr>
                <w:szCs w:val="20"/>
              </w:rPr>
            </w:pPr>
            <w:r w:rsidRPr="00E00B35">
              <w:rPr>
                <w:szCs w:val="20"/>
              </w:rPr>
              <w:t xml:space="preserve">Półmaraton  </w:t>
            </w:r>
          </w:p>
        </w:tc>
        <w:tc>
          <w:tcPr>
            <w:tcW w:w="3344" w:type="dxa"/>
            <w:shd w:val="clear" w:color="auto" w:fill="auto"/>
          </w:tcPr>
          <w:p w:rsidR="00CA14AB" w:rsidRPr="00E00B35" w:rsidRDefault="00CA14AB" w:rsidP="00E00B35">
            <w:pPr>
              <w:spacing w:after="0" w:line="312" w:lineRule="auto"/>
              <w:rPr>
                <w:szCs w:val="20"/>
              </w:rPr>
            </w:pPr>
            <w:r w:rsidRPr="00E00B35">
              <w:rPr>
                <w:szCs w:val="20"/>
              </w:rPr>
              <w:t xml:space="preserve">Maraton </w:t>
            </w:r>
          </w:p>
        </w:tc>
      </w:tr>
      <w:tr w:rsidR="00CA14AB" w:rsidRPr="00E00B35" w:rsidTr="00CA14AB">
        <w:tc>
          <w:tcPr>
            <w:tcW w:w="3343" w:type="dxa"/>
            <w:shd w:val="clear" w:color="auto" w:fill="auto"/>
          </w:tcPr>
          <w:p w:rsidR="00CA14AB" w:rsidRPr="00E00B35" w:rsidRDefault="00CA14AB" w:rsidP="00E00B35">
            <w:pPr>
              <w:spacing w:after="0" w:line="312" w:lineRule="auto"/>
              <w:rPr>
                <w:szCs w:val="20"/>
              </w:rPr>
            </w:pPr>
            <w:r w:rsidRPr="00E00B35">
              <w:rPr>
                <w:szCs w:val="20"/>
              </w:rPr>
              <w:t>2016</w:t>
            </w:r>
          </w:p>
        </w:tc>
        <w:tc>
          <w:tcPr>
            <w:tcW w:w="3344" w:type="dxa"/>
            <w:shd w:val="clear" w:color="auto" w:fill="auto"/>
          </w:tcPr>
          <w:p w:rsidR="00CA14AB" w:rsidRPr="00E00B35" w:rsidRDefault="00CA14AB" w:rsidP="00E00B35">
            <w:pPr>
              <w:spacing w:after="0" w:line="312" w:lineRule="auto"/>
              <w:rPr>
                <w:szCs w:val="20"/>
              </w:rPr>
            </w:pPr>
            <w:r w:rsidRPr="00E00B35">
              <w:rPr>
                <w:szCs w:val="20"/>
              </w:rPr>
              <w:t>9.357</w:t>
            </w:r>
          </w:p>
        </w:tc>
        <w:tc>
          <w:tcPr>
            <w:tcW w:w="3344" w:type="dxa"/>
            <w:shd w:val="clear" w:color="auto" w:fill="auto"/>
          </w:tcPr>
          <w:p w:rsidR="00CA14AB" w:rsidRPr="00E00B35" w:rsidRDefault="00CA14AB" w:rsidP="00E00B35">
            <w:pPr>
              <w:spacing w:after="0" w:line="312" w:lineRule="auto"/>
              <w:rPr>
                <w:szCs w:val="20"/>
              </w:rPr>
            </w:pPr>
            <w:r w:rsidRPr="00E00B35">
              <w:rPr>
                <w:szCs w:val="20"/>
              </w:rPr>
              <w:t>4.129</w:t>
            </w:r>
          </w:p>
        </w:tc>
      </w:tr>
      <w:tr w:rsidR="00CA14AB" w:rsidRPr="00E00B35" w:rsidTr="00CA14AB">
        <w:tc>
          <w:tcPr>
            <w:tcW w:w="3343" w:type="dxa"/>
            <w:shd w:val="clear" w:color="auto" w:fill="auto"/>
          </w:tcPr>
          <w:p w:rsidR="00CA14AB" w:rsidRPr="00E00B35" w:rsidRDefault="00CA14AB" w:rsidP="00E00B35">
            <w:pPr>
              <w:spacing w:after="0" w:line="312" w:lineRule="auto"/>
              <w:rPr>
                <w:szCs w:val="20"/>
              </w:rPr>
            </w:pPr>
            <w:r w:rsidRPr="00E00B35">
              <w:rPr>
                <w:szCs w:val="20"/>
              </w:rPr>
              <w:t>2017</w:t>
            </w:r>
          </w:p>
        </w:tc>
        <w:tc>
          <w:tcPr>
            <w:tcW w:w="3344" w:type="dxa"/>
            <w:shd w:val="clear" w:color="auto" w:fill="auto"/>
          </w:tcPr>
          <w:p w:rsidR="00CA14AB" w:rsidRPr="00E00B35" w:rsidRDefault="00CA14AB" w:rsidP="00E00B35">
            <w:pPr>
              <w:spacing w:after="0" w:line="312" w:lineRule="auto"/>
              <w:rPr>
                <w:szCs w:val="20"/>
              </w:rPr>
            </w:pPr>
            <w:r w:rsidRPr="00E00B35">
              <w:rPr>
                <w:szCs w:val="20"/>
              </w:rPr>
              <w:t>9.894</w:t>
            </w:r>
          </w:p>
        </w:tc>
        <w:tc>
          <w:tcPr>
            <w:tcW w:w="3344" w:type="dxa"/>
            <w:shd w:val="clear" w:color="auto" w:fill="auto"/>
          </w:tcPr>
          <w:p w:rsidR="00CA14AB" w:rsidRPr="00E00B35" w:rsidRDefault="00CA14AB" w:rsidP="00E00B35">
            <w:pPr>
              <w:spacing w:after="0" w:line="312" w:lineRule="auto"/>
              <w:rPr>
                <w:szCs w:val="20"/>
              </w:rPr>
            </w:pPr>
            <w:r w:rsidRPr="00E00B35">
              <w:rPr>
                <w:szCs w:val="20"/>
              </w:rPr>
              <w:t>4.631</w:t>
            </w:r>
          </w:p>
        </w:tc>
      </w:tr>
      <w:tr w:rsidR="00CA14AB" w:rsidRPr="00E00B35" w:rsidTr="00CA14AB">
        <w:trPr>
          <w:trHeight w:val="210"/>
        </w:trPr>
        <w:tc>
          <w:tcPr>
            <w:tcW w:w="3343" w:type="dxa"/>
            <w:shd w:val="clear" w:color="auto" w:fill="auto"/>
          </w:tcPr>
          <w:p w:rsidR="00CA14AB" w:rsidRPr="00E00B35" w:rsidRDefault="00CA14AB" w:rsidP="00E00B35">
            <w:pPr>
              <w:spacing w:after="0" w:line="312" w:lineRule="auto"/>
              <w:rPr>
                <w:szCs w:val="20"/>
              </w:rPr>
            </w:pPr>
            <w:r w:rsidRPr="00E00B35">
              <w:rPr>
                <w:szCs w:val="20"/>
              </w:rPr>
              <w:t>2018</w:t>
            </w:r>
          </w:p>
        </w:tc>
        <w:tc>
          <w:tcPr>
            <w:tcW w:w="3344" w:type="dxa"/>
            <w:shd w:val="clear" w:color="auto" w:fill="auto"/>
          </w:tcPr>
          <w:p w:rsidR="00CA14AB" w:rsidRPr="00E00B35" w:rsidRDefault="00CA14AB" w:rsidP="00E00B35">
            <w:pPr>
              <w:spacing w:after="0" w:line="312" w:lineRule="auto"/>
              <w:rPr>
                <w:szCs w:val="20"/>
              </w:rPr>
            </w:pPr>
            <w:r w:rsidRPr="00E00B35">
              <w:rPr>
                <w:szCs w:val="20"/>
              </w:rPr>
              <w:t>10.776</w:t>
            </w:r>
          </w:p>
        </w:tc>
        <w:tc>
          <w:tcPr>
            <w:tcW w:w="3344" w:type="dxa"/>
            <w:shd w:val="clear" w:color="auto" w:fill="auto"/>
          </w:tcPr>
          <w:p w:rsidR="00CA14AB" w:rsidRPr="00E00B35" w:rsidRDefault="00CA14AB" w:rsidP="00E00B35">
            <w:pPr>
              <w:spacing w:after="0" w:line="312" w:lineRule="auto"/>
              <w:rPr>
                <w:szCs w:val="20"/>
              </w:rPr>
            </w:pPr>
            <w:r w:rsidRPr="00E00B35">
              <w:rPr>
                <w:szCs w:val="20"/>
              </w:rPr>
              <w:t>3.560</w:t>
            </w:r>
          </w:p>
        </w:tc>
      </w:tr>
      <w:tr w:rsidR="00CA14AB" w:rsidRPr="00E00B35" w:rsidTr="00CA14AB">
        <w:trPr>
          <w:trHeight w:val="213"/>
        </w:trPr>
        <w:tc>
          <w:tcPr>
            <w:tcW w:w="3343" w:type="dxa"/>
            <w:shd w:val="clear" w:color="auto" w:fill="auto"/>
          </w:tcPr>
          <w:p w:rsidR="00CA14AB" w:rsidRPr="00E00B35" w:rsidRDefault="00CA14AB" w:rsidP="00E00B35">
            <w:pPr>
              <w:spacing w:after="0" w:line="312" w:lineRule="auto"/>
              <w:rPr>
                <w:szCs w:val="20"/>
              </w:rPr>
            </w:pPr>
            <w:r w:rsidRPr="00E00B35">
              <w:rPr>
                <w:szCs w:val="20"/>
              </w:rPr>
              <w:t>2019</w:t>
            </w:r>
          </w:p>
        </w:tc>
        <w:tc>
          <w:tcPr>
            <w:tcW w:w="3344" w:type="dxa"/>
            <w:shd w:val="clear" w:color="auto" w:fill="auto"/>
          </w:tcPr>
          <w:p w:rsidR="00CA14AB" w:rsidRPr="00E00B35" w:rsidRDefault="00CA14AB" w:rsidP="00E00B35">
            <w:pPr>
              <w:spacing w:after="0" w:line="312" w:lineRule="auto"/>
              <w:rPr>
                <w:szCs w:val="20"/>
              </w:rPr>
            </w:pPr>
            <w:r w:rsidRPr="00E00B35">
              <w:rPr>
                <w:szCs w:val="20"/>
              </w:rPr>
              <w:t>10.701</w:t>
            </w:r>
          </w:p>
        </w:tc>
        <w:tc>
          <w:tcPr>
            <w:tcW w:w="3344" w:type="dxa"/>
            <w:shd w:val="clear" w:color="auto" w:fill="auto"/>
          </w:tcPr>
          <w:p w:rsidR="00CA14AB" w:rsidRPr="00E00B35" w:rsidRDefault="00CA14AB" w:rsidP="00E00B35">
            <w:pPr>
              <w:spacing w:after="0" w:line="312" w:lineRule="auto"/>
              <w:rPr>
                <w:szCs w:val="20"/>
              </w:rPr>
            </w:pPr>
            <w:r w:rsidRPr="00E00B35">
              <w:rPr>
                <w:szCs w:val="20"/>
              </w:rPr>
              <w:t>3.216</w:t>
            </w:r>
          </w:p>
        </w:tc>
      </w:tr>
      <w:tr w:rsidR="00CA14AB" w:rsidRPr="00E00B35" w:rsidTr="00CA14AB">
        <w:trPr>
          <w:trHeight w:val="206"/>
        </w:trPr>
        <w:tc>
          <w:tcPr>
            <w:tcW w:w="3343" w:type="dxa"/>
            <w:shd w:val="clear" w:color="auto" w:fill="auto"/>
          </w:tcPr>
          <w:p w:rsidR="00CA14AB" w:rsidRPr="00E00B35" w:rsidRDefault="00CA14AB" w:rsidP="00E00B35">
            <w:pPr>
              <w:spacing w:after="0" w:line="312" w:lineRule="auto"/>
              <w:rPr>
                <w:szCs w:val="20"/>
              </w:rPr>
            </w:pPr>
            <w:r w:rsidRPr="00E00B35">
              <w:rPr>
                <w:szCs w:val="20"/>
              </w:rPr>
              <w:t>2020</w:t>
            </w:r>
          </w:p>
        </w:tc>
        <w:tc>
          <w:tcPr>
            <w:tcW w:w="3344" w:type="dxa"/>
            <w:shd w:val="clear" w:color="auto" w:fill="auto"/>
          </w:tcPr>
          <w:p w:rsidR="00CA14AB" w:rsidRPr="00E00B35" w:rsidRDefault="00CA14AB" w:rsidP="00E00B35">
            <w:pPr>
              <w:spacing w:after="0" w:line="312" w:lineRule="auto"/>
              <w:rPr>
                <w:szCs w:val="20"/>
              </w:rPr>
            </w:pPr>
            <w:r w:rsidRPr="00E00B35">
              <w:rPr>
                <w:szCs w:val="20"/>
              </w:rPr>
              <w:t>-</w:t>
            </w:r>
          </w:p>
        </w:tc>
        <w:tc>
          <w:tcPr>
            <w:tcW w:w="3344" w:type="dxa"/>
            <w:shd w:val="clear" w:color="auto" w:fill="auto"/>
          </w:tcPr>
          <w:p w:rsidR="00CA14AB" w:rsidRPr="00E00B35" w:rsidRDefault="00CA14AB" w:rsidP="00E00B35">
            <w:pPr>
              <w:spacing w:after="0" w:line="312" w:lineRule="auto"/>
              <w:rPr>
                <w:szCs w:val="20"/>
              </w:rPr>
            </w:pPr>
            <w:r w:rsidRPr="00E00B35">
              <w:rPr>
                <w:szCs w:val="20"/>
              </w:rPr>
              <w:t>-</w:t>
            </w:r>
          </w:p>
        </w:tc>
      </w:tr>
    </w:tbl>
    <w:p w:rsidR="00CA14AB" w:rsidRPr="00E00B35" w:rsidRDefault="00CA14AB" w:rsidP="00E00B35">
      <w:pPr>
        <w:spacing w:after="0" w:line="312" w:lineRule="auto"/>
        <w:rPr>
          <w:szCs w:val="20"/>
        </w:rPr>
      </w:pPr>
      <w:r w:rsidRPr="00E00B35">
        <w:rPr>
          <w:szCs w:val="20"/>
        </w:rPr>
        <w:t>Środki pozyskane w rozdziale 75075, w zadaniu A.5.6.10 – „Wpływy z dochodów różnych” w wysokości 1.115.862. zł stanowią dochód 2020 roku. Z uwagi na to, że są to wpływy z tytułu opłat wpisowych dokonanych za uczestnictwo w biegu, który miał odbyć się 20 czerwca 2020 roku, a został odwołany, to należy mieć na uwadze, że w 2021 roku przy planowaniu dochodu wpływy z tytułu opłat za udział w biegu będą o powyższą kwotę mniejsze.</w:t>
      </w:r>
    </w:p>
    <w:p w:rsidR="00CA14AB" w:rsidRPr="00E00B35" w:rsidRDefault="00CA14AB" w:rsidP="00E00B35">
      <w:pPr>
        <w:spacing w:after="0" w:line="312" w:lineRule="auto"/>
        <w:rPr>
          <w:szCs w:val="20"/>
        </w:rPr>
      </w:pPr>
      <w:r w:rsidRPr="00E00B35">
        <w:rPr>
          <w:szCs w:val="20"/>
        </w:rPr>
        <w:t>Rozdz. 92604</w:t>
      </w:r>
    </w:p>
    <w:p w:rsidR="00CA14AB" w:rsidRPr="00E00B35" w:rsidRDefault="00CA14AB" w:rsidP="00E00B35">
      <w:pPr>
        <w:spacing w:after="0" w:line="312" w:lineRule="auto"/>
        <w:rPr>
          <w:szCs w:val="20"/>
        </w:rPr>
      </w:pPr>
      <w:r w:rsidRPr="00E00B35">
        <w:rPr>
          <w:szCs w:val="20"/>
        </w:rPr>
        <w:t xml:space="preserve">§ 0750, program budżetowy A.3.3.13 - wpływy z dzierżawy terenów, pomieszczeń, udostępniania obiektów sportowych w związku z przejęciem Stadionu Olimpijskiego po rewitalizacji, MCS sukcesywnie zawiera z nowymi  podmiotami umowy najmu i udostępniania obiektu. </w:t>
      </w:r>
    </w:p>
    <w:p w:rsidR="00CA14AB" w:rsidRPr="00E00B35" w:rsidRDefault="00CA14AB" w:rsidP="00E00B35">
      <w:pPr>
        <w:spacing w:after="0" w:line="312" w:lineRule="auto"/>
        <w:rPr>
          <w:szCs w:val="20"/>
        </w:rPr>
      </w:pPr>
      <w:r w:rsidRPr="00E00B35">
        <w:rPr>
          <w:szCs w:val="20"/>
        </w:rPr>
        <w:t xml:space="preserve">Tabela 7. Udostępnienie obiektów MCS godziny oraz liczba osób uczestniczących w zajęciach w roku 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89"/>
        <w:gridCol w:w="1886"/>
        <w:gridCol w:w="1913"/>
      </w:tblGrid>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Obiekt</w:t>
            </w:r>
          </w:p>
        </w:tc>
        <w:tc>
          <w:tcPr>
            <w:tcW w:w="1984" w:type="dxa"/>
            <w:shd w:val="clear" w:color="auto" w:fill="auto"/>
          </w:tcPr>
          <w:p w:rsidR="00CA14AB" w:rsidRPr="00E00B35" w:rsidRDefault="00CA14AB" w:rsidP="00E00B35">
            <w:pPr>
              <w:spacing w:after="0" w:line="312" w:lineRule="auto"/>
              <w:rPr>
                <w:szCs w:val="20"/>
              </w:rPr>
            </w:pPr>
            <w:r w:rsidRPr="00E00B35">
              <w:rPr>
                <w:szCs w:val="20"/>
              </w:rPr>
              <w:t xml:space="preserve">Godziny rezerwacji   </w:t>
            </w:r>
          </w:p>
        </w:tc>
        <w:tc>
          <w:tcPr>
            <w:tcW w:w="1985" w:type="dxa"/>
            <w:shd w:val="clear" w:color="auto" w:fill="auto"/>
          </w:tcPr>
          <w:p w:rsidR="00CA14AB" w:rsidRPr="00E00B35" w:rsidRDefault="00CA14AB" w:rsidP="00E00B35">
            <w:pPr>
              <w:spacing w:after="0" w:line="312" w:lineRule="auto"/>
              <w:rPr>
                <w:szCs w:val="20"/>
              </w:rPr>
            </w:pPr>
            <w:r w:rsidRPr="00E00B35">
              <w:rPr>
                <w:szCs w:val="20"/>
              </w:rPr>
              <w:t xml:space="preserve">Liczba uczestników  </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 xml:space="preserve">Pola Marsowe - 4 boiska trawiaste </w:t>
            </w:r>
          </w:p>
        </w:tc>
        <w:tc>
          <w:tcPr>
            <w:tcW w:w="1984" w:type="dxa"/>
            <w:shd w:val="clear" w:color="auto" w:fill="auto"/>
          </w:tcPr>
          <w:p w:rsidR="00CA14AB" w:rsidRPr="00E00B35" w:rsidRDefault="00CA14AB" w:rsidP="00E00B35">
            <w:pPr>
              <w:spacing w:after="0" w:line="312" w:lineRule="auto"/>
              <w:rPr>
                <w:szCs w:val="20"/>
              </w:rPr>
            </w:pPr>
            <w:r w:rsidRPr="00E00B35">
              <w:rPr>
                <w:szCs w:val="20"/>
              </w:rPr>
              <w:t>2173</w:t>
            </w:r>
          </w:p>
        </w:tc>
        <w:tc>
          <w:tcPr>
            <w:tcW w:w="1985" w:type="dxa"/>
            <w:shd w:val="clear" w:color="auto" w:fill="auto"/>
          </w:tcPr>
          <w:p w:rsidR="00CA14AB" w:rsidRPr="00E00B35" w:rsidRDefault="00CA14AB" w:rsidP="00E00B35">
            <w:pPr>
              <w:spacing w:after="0" w:line="312" w:lineRule="auto"/>
              <w:rPr>
                <w:szCs w:val="20"/>
              </w:rPr>
            </w:pPr>
            <w:r w:rsidRPr="00E00B35">
              <w:rPr>
                <w:szCs w:val="20"/>
              </w:rPr>
              <w:t>17298</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 xml:space="preserve">Wielofunkcyjna Hala Sportowa „Parkowa” </w:t>
            </w:r>
          </w:p>
        </w:tc>
        <w:tc>
          <w:tcPr>
            <w:tcW w:w="1984" w:type="dxa"/>
            <w:shd w:val="clear" w:color="auto" w:fill="auto"/>
          </w:tcPr>
          <w:p w:rsidR="00CA14AB" w:rsidRPr="00E00B35" w:rsidRDefault="00CA14AB" w:rsidP="00E00B35">
            <w:pPr>
              <w:spacing w:after="0" w:line="312" w:lineRule="auto"/>
              <w:rPr>
                <w:szCs w:val="20"/>
              </w:rPr>
            </w:pPr>
            <w:r w:rsidRPr="00E00B35">
              <w:rPr>
                <w:szCs w:val="20"/>
              </w:rPr>
              <w:t>859</w:t>
            </w:r>
          </w:p>
        </w:tc>
        <w:tc>
          <w:tcPr>
            <w:tcW w:w="1985" w:type="dxa"/>
            <w:shd w:val="clear" w:color="auto" w:fill="auto"/>
          </w:tcPr>
          <w:p w:rsidR="00CA14AB" w:rsidRPr="00E00B35" w:rsidRDefault="00CA14AB" w:rsidP="00E00B35">
            <w:pPr>
              <w:spacing w:after="0" w:line="312" w:lineRule="auto"/>
              <w:rPr>
                <w:szCs w:val="20"/>
              </w:rPr>
            </w:pPr>
            <w:r w:rsidRPr="00E00B35">
              <w:rPr>
                <w:szCs w:val="20"/>
              </w:rPr>
              <w:t>10088</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Stadion Zakrzów – 3 boiska trawiaste</w:t>
            </w:r>
          </w:p>
        </w:tc>
        <w:tc>
          <w:tcPr>
            <w:tcW w:w="1984" w:type="dxa"/>
            <w:shd w:val="clear" w:color="auto" w:fill="auto"/>
          </w:tcPr>
          <w:p w:rsidR="00CA14AB" w:rsidRPr="00E00B35" w:rsidRDefault="00CA14AB" w:rsidP="00E00B35">
            <w:pPr>
              <w:spacing w:after="0" w:line="312" w:lineRule="auto"/>
              <w:rPr>
                <w:szCs w:val="20"/>
              </w:rPr>
            </w:pPr>
            <w:r w:rsidRPr="00E00B35">
              <w:rPr>
                <w:szCs w:val="20"/>
              </w:rPr>
              <w:t>587</w:t>
            </w:r>
          </w:p>
        </w:tc>
        <w:tc>
          <w:tcPr>
            <w:tcW w:w="1985" w:type="dxa"/>
            <w:shd w:val="clear" w:color="auto" w:fill="auto"/>
          </w:tcPr>
          <w:p w:rsidR="00CA14AB" w:rsidRPr="00E00B35" w:rsidRDefault="00CA14AB" w:rsidP="00E00B35">
            <w:pPr>
              <w:spacing w:after="0" w:line="312" w:lineRule="auto"/>
              <w:rPr>
                <w:szCs w:val="20"/>
              </w:rPr>
            </w:pPr>
            <w:r w:rsidRPr="00E00B35">
              <w:rPr>
                <w:szCs w:val="20"/>
              </w:rPr>
              <w:t>5736</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Stadion Pawłowice – 2 boiska trawiaste</w:t>
            </w:r>
          </w:p>
        </w:tc>
        <w:tc>
          <w:tcPr>
            <w:tcW w:w="1984" w:type="dxa"/>
            <w:shd w:val="clear" w:color="auto" w:fill="auto"/>
          </w:tcPr>
          <w:p w:rsidR="00CA14AB" w:rsidRPr="00E00B35" w:rsidRDefault="00CA14AB" w:rsidP="00E00B35">
            <w:pPr>
              <w:spacing w:after="0" w:line="312" w:lineRule="auto"/>
              <w:rPr>
                <w:szCs w:val="20"/>
              </w:rPr>
            </w:pPr>
            <w:r w:rsidRPr="00E00B35">
              <w:rPr>
                <w:szCs w:val="20"/>
              </w:rPr>
              <w:t>253,5</w:t>
            </w:r>
          </w:p>
        </w:tc>
        <w:tc>
          <w:tcPr>
            <w:tcW w:w="1985" w:type="dxa"/>
            <w:shd w:val="clear" w:color="auto" w:fill="auto"/>
          </w:tcPr>
          <w:p w:rsidR="00CA14AB" w:rsidRPr="00E00B35" w:rsidRDefault="00CA14AB" w:rsidP="00E00B35">
            <w:pPr>
              <w:spacing w:after="0" w:line="312" w:lineRule="auto"/>
              <w:rPr>
                <w:szCs w:val="20"/>
              </w:rPr>
            </w:pPr>
            <w:r w:rsidRPr="00E00B35">
              <w:rPr>
                <w:szCs w:val="20"/>
              </w:rPr>
              <w:t>1836</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Stadion Sołtysowice – boisko trawiaste</w:t>
            </w:r>
          </w:p>
        </w:tc>
        <w:tc>
          <w:tcPr>
            <w:tcW w:w="1984" w:type="dxa"/>
            <w:shd w:val="clear" w:color="auto" w:fill="auto"/>
          </w:tcPr>
          <w:p w:rsidR="00CA14AB" w:rsidRPr="00E00B35" w:rsidRDefault="00CA14AB" w:rsidP="00E00B35">
            <w:pPr>
              <w:spacing w:after="0" w:line="312" w:lineRule="auto"/>
              <w:rPr>
                <w:szCs w:val="20"/>
              </w:rPr>
            </w:pPr>
            <w:r w:rsidRPr="00E00B35">
              <w:rPr>
                <w:szCs w:val="20"/>
              </w:rPr>
              <w:t>263,5</w:t>
            </w:r>
          </w:p>
        </w:tc>
        <w:tc>
          <w:tcPr>
            <w:tcW w:w="1985" w:type="dxa"/>
            <w:shd w:val="clear" w:color="auto" w:fill="auto"/>
          </w:tcPr>
          <w:p w:rsidR="00CA14AB" w:rsidRPr="00E00B35" w:rsidRDefault="00CA14AB" w:rsidP="00E00B35">
            <w:pPr>
              <w:spacing w:after="0" w:line="312" w:lineRule="auto"/>
              <w:rPr>
                <w:szCs w:val="20"/>
              </w:rPr>
            </w:pPr>
            <w:r w:rsidRPr="00E00B35">
              <w:rPr>
                <w:szCs w:val="20"/>
              </w:rPr>
              <w:t>4303</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OSiR Lotnicza – 3 boiska sztuczne, boisko trawiaste,</w:t>
            </w:r>
            <w:r w:rsidRPr="00E00B35">
              <w:rPr>
                <w:szCs w:val="20"/>
              </w:rPr>
              <w:br/>
            </w:r>
            <w:r w:rsidRPr="00E00B35">
              <w:rPr>
                <w:szCs w:val="20"/>
              </w:rPr>
              <w:lastRenderedPageBreak/>
              <w:t xml:space="preserve"> 2 boiska treningowe, bieżnia  </w:t>
            </w:r>
          </w:p>
        </w:tc>
        <w:tc>
          <w:tcPr>
            <w:tcW w:w="1984" w:type="dxa"/>
            <w:shd w:val="clear" w:color="auto" w:fill="auto"/>
          </w:tcPr>
          <w:p w:rsidR="00CA14AB" w:rsidRPr="00E00B35" w:rsidRDefault="00CA14AB" w:rsidP="00E00B35">
            <w:pPr>
              <w:spacing w:after="0" w:line="312" w:lineRule="auto"/>
              <w:rPr>
                <w:szCs w:val="20"/>
              </w:rPr>
            </w:pPr>
            <w:r w:rsidRPr="00E00B35">
              <w:rPr>
                <w:szCs w:val="20"/>
              </w:rPr>
              <w:lastRenderedPageBreak/>
              <w:t>5122</w:t>
            </w:r>
          </w:p>
        </w:tc>
        <w:tc>
          <w:tcPr>
            <w:tcW w:w="1985" w:type="dxa"/>
            <w:shd w:val="clear" w:color="auto" w:fill="auto"/>
          </w:tcPr>
          <w:p w:rsidR="00CA14AB" w:rsidRPr="00E00B35" w:rsidRDefault="00CA14AB" w:rsidP="00E00B35">
            <w:pPr>
              <w:spacing w:after="0" w:line="312" w:lineRule="auto"/>
              <w:rPr>
                <w:szCs w:val="20"/>
              </w:rPr>
            </w:pPr>
            <w:r w:rsidRPr="00E00B35">
              <w:rPr>
                <w:szCs w:val="20"/>
              </w:rPr>
              <w:t>51627</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lastRenderedPageBreak/>
              <w:t>Stadion Sportowy Leśnica – 2 boiska trawiaste</w:t>
            </w:r>
          </w:p>
        </w:tc>
        <w:tc>
          <w:tcPr>
            <w:tcW w:w="1984" w:type="dxa"/>
            <w:shd w:val="clear" w:color="auto" w:fill="auto"/>
          </w:tcPr>
          <w:p w:rsidR="00CA14AB" w:rsidRPr="00E00B35" w:rsidRDefault="00CA14AB" w:rsidP="00E00B35">
            <w:pPr>
              <w:spacing w:after="0" w:line="312" w:lineRule="auto"/>
              <w:rPr>
                <w:szCs w:val="20"/>
              </w:rPr>
            </w:pPr>
            <w:r w:rsidRPr="00E00B35">
              <w:rPr>
                <w:szCs w:val="20"/>
              </w:rPr>
              <w:t>673</w:t>
            </w:r>
          </w:p>
        </w:tc>
        <w:tc>
          <w:tcPr>
            <w:tcW w:w="1985" w:type="dxa"/>
            <w:shd w:val="clear" w:color="auto" w:fill="auto"/>
          </w:tcPr>
          <w:p w:rsidR="00CA14AB" w:rsidRPr="00E00B35" w:rsidRDefault="00CA14AB" w:rsidP="00E00B35">
            <w:pPr>
              <w:spacing w:after="0" w:line="312" w:lineRule="auto"/>
              <w:rPr>
                <w:szCs w:val="20"/>
              </w:rPr>
            </w:pPr>
            <w:r w:rsidRPr="00E00B35">
              <w:rPr>
                <w:szCs w:val="20"/>
              </w:rPr>
              <w:t>9495</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Centrum Sportów Ekstremalnych - Skatepark</w:t>
            </w:r>
          </w:p>
        </w:tc>
        <w:tc>
          <w:tcPr>
            <w:tcW w:w="1984" w:type="dxa"/>
            <w:shd w:val="clear" w:color="auto" w:fill="auto"/>
          </w:tcPr>
          <w:p w:rsidR="00CA14AB" w:rsidRPr="00E00B35" w:rsidRDefault="00CA14AB" w:rsidP="00E00B35">
            <w:pPr>
              <w:spacing w:after="0" w:line="312" w:lineRule="auto"/>
              <w:rPr>
                <w:szCs w:val="20"/>
              </w:rPr>
            </w:pPr>
            <w:r w:rsidRPr="00E00B35">
              <w:rPr>
                <w:szCs w:val="20"/>
              </w:rPr>
              <w:t>2501</w:t>
            </w:r>
          </w:p>
        </w:tc>
        <w:tc>
          <w:tcPr>
            <w:tcW w:w="1985" w:type="dxa"/>
            <w:shd w:val="clear" w:color="auto" w:fill="auto"/>
          </w:tcPr>
          <w:p w:rsidR="00CA14AB" w:rsidRPr="00E00B35" w:rsidRDefault="00CA14AB" w:rsidP="00E00B35">
            <w:pPr>
              <w:spacing w:after="0" w:line="312" w:lineRule="auto"/>
              <w:rPr>
                <w:szCs w:val="20"/>
              </w:rPr>
            </w:pPr>
            <w:r w:rsidRPr="00E00B35">
              <w:rPr>
                <w:szCs w:val="20"/>
              </w:rPr>
              <w:t>30686</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Sala Sportów Walki Poznańska</w:t>
            </w:r>
          </w:p>
        </w:tc>
        <w:tc>
          <w:tcPr>
            <w:tcW w:w="1984" w:type="dxa"/>
            <w:shd w:val="clear" w:color="auto" w:fill="auto"/>
          </w:tcPr>
          <w:p w:rsidR="00CA14AB" w:rsidRPr="00E00B35" w:rsidRDefault="00CA14AB" w:rsidP="00E00B35">
            <w:pPr>
              <w:spacing w:after="0" w:line="312" w:lineRule="auto"/>
              <w:rPr>
                <w:szCs w:val="20"/>
              </w:rPr>
            </w:pPr>
            <w:r w:rsidRPr="00E00B35">
              <w:rPr>
                <w:szCs w:val="20"/>
              </w:rPr>
              <w:t>1860</w:t>
            </w:r>
          </w:p>
        </w:tc>
        <w:tc>
          <w:tcPr>
            <w:tcW w:w="1985" w:type="dxa"/>
            <w:shd w:val="clear" w:color="auto" w:fill="auto"/>
          </w:tcPr>
          <w:p w:rsidR="00CA14AB" w:rsidRPr="00E00B35" w:rsidRDefault="00CA14AB" w:rsidP="00E00B35">
            <w:pPr>
              <w:spacing w:after="0" w:line="312" w:lineRule="auto"/>
              <w:rPr>
                <w:szCs w:val="20"/>
              </w:rPr>
            </w:pPr>
            <w:r w:rsidRPr="00E00B35">
              <w:rPr>
                <w:szCs w:val="20"/>
              </w:rPr>
              <w:t>10449</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Kompleks Piłkarski Oławka – 2 boiska sztuczne, 2 boiska trawiaste, hala piłkarska</w:t>
            </w:r>
          </w:p>
        </w:tc>
        <w:tc>
          <w:tcPr>
            <w:tcW w:w="1984" w:type="dxa"/>
            <w:shd w:val="clear" w:color="auto" w:fill="auto"/>
          </w:tcPr>
          <w:p w:rsidR="00CA14AB" w:rsidRPr="00E00B35" w:rsidRDefault="00CA14AB" w:rsidP="00E00B35">
            <w:pPr>
              <w:spacing w:after="0" w:line="312" w:lineRule="auto"/>
              <w:rPr>
                <w:szCs w:val="20"/>
              </w:rPr>
            </w:pPr>
            <w:r w:rsidRPr="00E00B35">
              <w:rPr>
                <w:szCs w:val="20"/>
              </w:rPr>
              <w:t>5131,5</w:t>
            </w:r>
          </w:p>
        </w:tc>
        <w:tc>
          <w:tcPr>
            <w:tcW w:w="1985" w:type="dxa"/>
            <w:shd w:val="clear" w:color="auto" w:fill="auto"/>
          </w:tcPr>
          <w:p w:rsidR="00CA14AB" w:rsidRPr="00E00B35" w:rsidRDefault="00CA14AB" w:rsidP="00E00B35">
            <w:pPr>
              <w:spacing w:after="0" w:line="312" w:lineRule="auto"/>
              <w:rPr>
                <w:szCs w:val="20"/>
              </w:rPr>
            </w:pPr>
            <w:r w:rsidRPr="00E00B35">
              <w:rPr>
                <w:szCs w:val="20"/>
              </w:rPr>
              <w:t>61439</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Stadion Sportowy Sztabowa – boisko sztuczne, bieżnia</w:t>
            </w:r>
          </w:p>
        </w:tc>
        <w:tc>
          <w:tcPr>
            <w:tcW w:w="1984" w:type="dxa"/>
            <w:shd w:val="clear" w:color="auto" w:fill="auto"/>
          </w:tcPr>
          <w:p w:rsidR="00CA14AB" w:rsidRPr="00E00B35" w:rsidRDefault="00CA14AB" w:rsidP="00E00B35">
            <w:pPr>
              <w:spacing w:after="0" w:line="312" w:lineRule="auto"/>
              <w:rPr>
                <w:szCs w:val="20"/>
              </w:rPr>
            </w:pPr>
            <w:r w:rsidRPr="00E00B35">
              <w:rPr>
                <w:szCs w:val="20"/>
              </w:rPr>
              <w:t>1970,5</w:t>
            </w:r>
          </w:p>
        </w:tc>
        <w:tc>
          <w:tcPr>
            <w:tcW w:w="1985" w:type="dxa"/>
            <w:shd w:val="clear" w:color="auto" w:fill="auto"/>
          </w:tcPr>
          <w:p w:rsidR="00CA14AB" w:rsidRPr="00E00B35" w:rsidRDefault="00CA14AB" w:rsidP="00E00B35">
            <w:pPr>
              <w:spacing w:after="0" w:line="312" w:lineRule="auto"/>
              <w:rPr>
                <w:szCs w:val="20"/>
              </w:rPr>
            </w:pPr>
            <w:r w:rsidRPr="00E00B35">
              <w:rPr>
                <w:szCs w:val="20"/>
              </w:rPr>
              <w:t>30646</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Stadion Sportowy Brochów – boisko naturalne i sztuczne</w:t>
            </w:r>
          </w:p>
        </w:tc>
        <w:tc>
          <w:tcPr>
            <w:tcW w:w="1984" w:type="dxa"/>
            <w:shd w:val="clear" w:color="auto" w:fill="auto"/>
          </w:tcPr>
          <w:p w:rsidR="00CA14AB" w:rsidRPr="00E00B35" w:rsidRDefault="00CA14AB" w:rsidP="00E00B35">
            <w:pPr>
              <w:spacing w:after="0" w:line="312" w:lineRule="auto"/>
              <w:rPr>
                <w:szCs w:val="20"/>
              </w:rPr>
            </w:pPr>
            <w:r w:rsidRPr="00E00B35">
              <w:rPr>
                <w:szCs w:val="20"/>
              </w:rPr>
              <w:t>503</w:t>
            </w:r>
          </w:p>
        </w:tc>
        <w:tc>
          <w:tcPr>
            <w:tcW w:w="1985" w:type="dxa"/>
            <w:shd w:val="clear" w:color="auto" w:fill="auto"/>
          </w:tcPr>
          <w:p w:rsidR="00CA14AB" w:rsidRPr="00E00B35" w:rsidRDefault="00CA14AB" w:rsidP="00E00B35">
            <w:pPr>
              <w:spacing w:after="0" w:line="312" w:lineRule="auto"/>
              <w:rPr>
                <w:szCs w:val="20"/>
              </w:rPr>
            </w:pPr>
            <w:r w:rsidRPr="00E00B35">
              <w:rPr>
                <w:szCs w:val="20"/>
              </w:rPr>
              <w:t>4321</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Stadion Sportowy Ołtaszyn – boisko naturalne</w:t>
            </w:r>
          </w:p>
        </w:tc>
        <w:tc>
          <w:tcPr>
            <w:tcW w:w="1984" w:type="dxa"/>
            <w:shd w:val="clear" w:color="auto" w:fill="auto"/>
          </w:tcPr>
          <w:p w:rsidR="00CA14AB" w:rsidRPr="00E00B35" w:rsidRDefault="00CA14AB" w:rsidP="00E00B35">
            <w:pPr>
              <w:spacing w:after="0" w:line="312" w:lineRule="auto"/>
              <w:rPr>
                <w:szCs w:val="20"/>
              </w:rPr>
            </w:pPr>
            <w:r w:rsidRPr="00E00B35">
              <w:rPr>
                <w:szCs w:val="20"/>
              </w:rPr>
              <w:t>409,5</w:t>
            </w:r>
          </w:p>
        </w:tc>
        <w:tc>
          <w:tcPr>
            <w:tcW w:w="1985" w:type="dxa"/>
            <w:shd w:val="clear" w:color="auto" w:fill="auto"/>
          </w:tcPr>
          <w:p w:rsidR="00CA14AB" w:rsidRPr="00E00B35" w:rsidRDefault="00CA14AB" w:rsidP="00E00B35">
            <w:pPr>
              <w:spacing w:after="0" w:line="312" w:lineRule="auto"/>
              <w:rPr>
                <w:szCs w:val="20"/>
              </w:rPr>
            </w:pPr>
            <w:r w:rsidRPr="00E00B35">
              <w:rPr>
                <w:szCs w:val="20"/>
              </w:rPr>
              <w:t>4953</w:t>
            </w:r>
          </w:p>
        </w:tc>
      </w:tr>
      <w:tr w:rsidR="00CA14AB" w:rsidRPr="00E00B35" w:rsidTr="00CA14AB">
        <w:tc>
          <w:tcPr>
            <w:tcW w:w="6062" w:type="dxa"/>
            <w:shd w:val="clear" w:color="auto" w:fill="auto"/>
          </w:tcPr>
          <w:p w:rsidR="00CA14AB" w:rsidRPr="00E00B35" w:rsidRDefault="00CA14AB" w:rsidP="00E00B35">
            <w:pPr>
              <w:spacing w:after="0" w:line="312" w:lineRule="auto"/>
              <w:rPr>
                <w:szCs w:val="20"/>
              </w:rPr>
            </w:pPr>
            <w:r w:rsidRPr="00E00B35">
              <w:rPr>
                <w:szCs w:val="20"/>
              </w:rPr>
              <w:t>Sala Sportowa Gwarna – 2 sale</w:t>
            </w:r>
          </w:p>
        </w:tc>
        <w:tc>
          <w:tcPr>
            <w:tcW w:w="1984" w:type="dxa"/>
            <w:shd w:val="clear" w:color="auto" w:fill="auto"/>
          </w:tcPr>
          <w:p w:rsidR="00CA14AB" w:rsidRPr="00E00B35" w:rsidRDefault="00CA14AB" w:rsidP="00E00B35">
            <w:pPr>
              <w:spacing w:after="0" w:line="312" w:lineRule="auto"/>
              <w:rPr>
                <w:szCs w:val="20"/>
              </w:rPr>
            </w:pPr>
            <w:r w:rsidRPr="00E00B35">
              <w:rPr>
                <w:szCs w:val="20"/>
              </w:rPr>
              <w:t>1123,5</w:t>
            </w:r>
          </w:p>
        </w:tc>
        <w:tc>
          <w:tcPr>
            <w:tcW w:w="1985" w:type="dxa"/>
            <w:shd w:val="clear" w:color="auto" w:fill="auto"/>
          </w:tcPr>
          <w:p w:rsidR="00CA14AB" w:rsidRPr="00E00B35" w:rsidRDefault="00CA14AB" w:rsidP="00E00B35">
            <w:pPr>
              <w:spacing w:after="0" w:line="312" w:lineRule="auto"/>
              <w:rPr>
                <w:szCs w:val="20"/>
              </w:rPr>
            </w:pPr>
            <w:r w:rsidRPr="00E00B35">
              <w:rPr>
                <w:szCs w:val="20"/>
              </w:rPr>
              <w:t>7598</w:t>
            </w:r>
          </w:p>
        </w:tc>
      </w:tr>
      <w:tr w:rsidR="00CA14AB" w:rsidRPr="00E00B35" w:rsidTr="00CA14AB">
        <w:trPr>
          <w:trHeight w:val="195"/>
        </w:trPr>
        <w:tc>
          <w:tcPr>
            <w:tcW w:w="6062" w:type="dxa"/>
            <w:shd w:val="clear" w:color="auto" w:fill="auto"/>
          </w:tcPr>
          <w:p w:rsidR="00CA14AB" w:rsidRPr="00E00B35" w:rsidRDefault="00CA14AB" w:rsidP="00E00B35">
            <w:pPr>
              <w:spacing w:after="0" w:line="312" w:lineRule="auto"/>
              <w:rPr>
                <w:szCs w:val="20"/>
              </w:rPr>
            </w:pPr>
            <w:r w:rsidRPr="00E00B35">
              <w:rPr>
                <w:szCs w:val="20"/>
              </w:rPr>
              <w:t>GEM</w:t>
            </w:r>
          </w:p>
        </w:tc>
        <w:tc>
          <w:tcPr>
            <w:tcW w:w="1984" w:type="dxa"/>
            <w:shd w:val="clear" w:color="auto" w:fill="auto"/>
          </w:tcPr>
          <w:p w:rsidR="00CA14AB" w:rsidRPr="00E00B35" w:rsidRDefault="00CA14AB" w:rsidP="00E00B35">
            <w:pPr>
              <w:spacing w:after="0" w:line="312" w:lineRule="auto"/>
              <w:rPr>
                <w:szCs w:val="20"/>
              </w:rPr>
            </w:pPr>
            <w:r w:rsidRPr="00E00B35">
              <w:rPr>
                <w:szCs w:val="20"/>
              </w:rPr>
              <w:t>2820,5</w:t>
            </w:r>
          </w:p>
        </w:tc>
        <w:tc>
          <w:tcPr>
            <w:tcW w:w="1985" w:type="dxa"/>
            <w:shd w:val="clear" w:color="auto" w:fill="auto"/>
          </w:tcPr>
          <w:p w:rsidR="00CA14AB" w:rsidRPr="00E00B35" w:rsidRDefault="00CA14AB" w:rsidP="00E00B35">
            <w:pPr>
              <w:spacing w:after="0" w:line="312" w:lineRule="auto"/>
              <w:rPr>
                <w:szCs w:val="20"/>
              </w:rPr>
            </w:pPr>
            <w:r w:rsidRPr="00E00B35">
              <w:rPr>
                <w:szCs w:val="20"/>
              </w:rPr>
              <w:t>22892</w:t>
            </w:r>
          </w:p>
        </w:tc>
      </w:tr>
      <w:tr w:rsidR="00CA14AB" w:rsidRPr="00E00B35" w:rsidTr="00CA14AB">
        <w:trPr>
          <w:trHeight w:val="225"/>
        </w:trPr>
        <w:tc>
          <w:tcPr>
            <w:tcW w:w="6062" w:type="dxa"/>
            <w:shd w:val="clear" w:color="auto" w:fill="auto"/>
          </w:tcPr>
          <w:p w:rsidR="00CA14AB" w:rsidRPr="00E00B35" w:rsidRDefault="00CA14AB" w:rsidP="00E00B35">
            <w:pPr>
              <w:spacing w:after="0" w:line="312" w:lineRule="auto"/>
              <w:rPr>
                <w:szCs w:val="20"/>
              </w:rPr>
            </w:pPr>
            <w:r w:rsidRPr="00E00B35">
              <w:rPr>
                <w:szCs w:val="20"/>
              </w:rPr>
              <w:t>Stadion Olimpijski</w:t>
            </w:r>
          </w:p>
        </w:tc>
        <w:tc>
          <w:tcPr>
            <w:tcW w:w="1984" w:type="dxa"/>
            <w:shd w:val="clear" w:color="auto" w:fill="auto"/>
          </w:tcPr>
          <w:p w:rsidR="00CA14AB" w:rsidRPr="00E00B35" w:rsidRDefault="00CA14AB" w:rsidP="00E00B35">
            <w:pPr>
              <w:spacing w:after="0" w:line="312" w:lineRule="auto"/>
              <w:rPr>
                <w:szCs w:val="20"/>
              </w:rPr>
            </w:pPr>
            <w:r w:rsidRPr="00E00B35">
              <w:rPr>
                <w:szCs w:val="20"/>
              </w:rPr>
              <w:t>2488</w:t>
            </w:r>
          </w:p>
        </w:tc>
        <w:tc>
          <w:tcPr>
            <w:tcW w:w="1985" w:type="dxa"/>
            <w:shd w:val="clear" w:color="auto" w:fill="auto"/>
          </w:tcPr>
          <w:p w:rsidR="00CA14AB" w:rsidRPr="00E00B35" w:rsidRDefault="00CA14AB" w:rsidP="00E00B35">
            <w:pPr>
              <w:spacing w:after="0" w:line="312" w:lineRule="auto"/>
              <w:rPr>
                <w:szCs w:val="20"/>
              </w:rPr>
            </w:pPr>
            <w:r w:rsidRPr="00E00B35">
              <w:rPr>
                <w:szCs w:val="20"/>
              </w:rPr>
              <w:t>44784</w:t>
            </w:r>
          </w:p>
        </w:tc>
      </w:tr>
      <w:tr w:rsidR="00CA14AB" w:rsidRPr="00E00B35" w:rsidTr="00CA14AB">
        <w:trPr>
          <w:trHeight w:val="285"/>
        </w:trPr>
        <w:tc>
          <w:tcPr>
            <w:tcW w:w="6062" w:type="dxa"/>
            <w:shd w:val="clear" w:color="auto" w:fill="auto"/>
          </w:tcPr>
          <w:p w:rsidR="00CA14AB" w:rsidRPr="00E00B35" w:rsidRDefault="00CA14AB" w:rsidP="00E00B35">
            <w:pPr>
              <w:spacing w:after="0" w:line="312" w:lineRule="auto"/>
              <w:rPr>
                <w:szCs w:val="20"/>
              </w:rPr>
            </w:pPr>
            <w:r w:rsidRPr="00E00B35">
              <w:rPr>
                <w:szCs w:val="20"/>
              </w:rPr>
              <w:t>WKK Sport Center</w:t>
            </w:r>
          </w:p>
        </w:tc>
        <w:tc>
          <w:tcPr>
            <w:tcW w:w="1984" w:type="dxa"/>
            <w:shd w:val="clear" w:color="auto" w:fill="auto"/>
          </w:tcPr>
          <w:p w:rsidR="00CA14AB" w:rsidRPr="00E00B35" w:rsidRDefault="00CA14AB" w:rsidP="00E00B35">
            <w:pPr>
              <w:spacing w:after="0" w:line="312" w:lineRule="auto"/>
              <w:rPr>
                <w:szCs w:val="20"/>
              </w:rPr>
            </w:pPr>
            <w:r w:rsidRPr="00E00B35">
              <w:rPr>
                <w:szCs w:val="20"/>
              </w:rPr>
              <w:t>128</w:t>
            </w:r>
          </w:p>
        </w:tc>
        <w:tc>
          <w:tcPr>
            <w:tcW w:w="1985" w:type="dxa"/>
            <w:shd w:val="clear" w:color="auto" w:fill="auto"/>
          </w:tcPr>
          <w:p w:rsidR="00CA14AB" w:rsidRPr="00E00B35" w:rsidRDefault="00CA14AB" w:rsidP="00E00B35">
            <w:pPr>
              <w:spacing w:after="0" w:line="312" w:lineRule="auto"/>
              <w:rPr>
                <w:szCs w:val="20"/>
              </w:rPr>
            </w:pPr>
            <w:r w:rsidRPr="00E00B35">
              <w:rPr>
                <w:szCs w:val="20"/>
              </w:rPr>
              <w:t>1536</w:t>
            </w:r>
          </w:p>
        </w:tc>
      </w:tr>
    </w:tbl>
    <w:p w:rsidR="00CA14AB" w:rsidRPr="00E00B35" w:rsidRDefault="00CA14AB" w:rsidP="00E00B35">
      <w:pPr>
        <w:spacing w:after="0" w:line="312" w:lineRule="auto"/>
        <w:rPr>
          <w:szCs w:val="20"/>
        </w:rPr>
      </w:pPr>
      <w:r w:rsidRPr="00E00B35">
        <w:rPr>
          <w:szCs w:val="20"/>
        </w:rPr>
        <w:t>§ 0830, program budżetowy A.4.16 – wpływy z usług – bilety wstępu na Skatepark,</w:t>
      </w:r>
    </w:p>
    <w:p w:rsidR="00CA14AB" w:rsidRPr="00E00B35" w:rsidRDefault="00CA14AB" w:rsidP="00E00B35">
      <w:pPr>
        <w:spacing w:after="0" w:line="312" w:lineRule="auto"/>
        <w:rPr>
          <w:szCs w:val="20"/>
        </w:rPr>
      </w:pPr>
      <w:r w:rsidRPr="00E00B35">
        <w:rPr>
          <w:szCs w:val="20"/>
        </w:rPr>
        <w:t>§ 0970, program budżetowy A.5.6.10 - wpływy z różnych dochodów - zwrot opłat za zużyte media.</w:t>
      </w:r>
    </w:p>
    <w:p w:rsidR="00CA14AB" w:rsidRPr="00E00B35" w:rsidRDefault="00CA14AB" w:rsidP="00E00B35">
      <w:pPr>
        <w:spacing w:after="0" w:line="312" w:lineRule="auto"/>
        <w:rPr>
          <w:szCs w:val="20"/>
        </w:rPr>
      </w:pPr>
      <w:r w:rsidRPr="00E00B35">
        <w:rPr>
          <w:szCs w:val="20"/>
        </w:rPr>
        <w:t xml:space="preserve">Tabela 8. Plan i wykonanie dochodów w rozdziale 92604 w latach 2016-2020.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5"/>
        <w:gridCol w:w="3836"/>
        <w:gridCol w:w="2188"/>
        <w:gridCol w:w="2339"/>
      </w:tblGrid>
      <w:tr w:rsidR="00CA14AB" w:rsidRPr="00E00B35" w:rsidTr="00CA14AB">
        <w:tc>
          <w:tcPr>
            <w:tcW w:w="959" w:type="dxa"/>
            <w:shd w:val="clear" w:color="auto" w:fill="auto"/>
          </w:tcPr>
          <w:p w:rsidR="00CA14AB" w:rsidRPr="00E00B35" w:rsidRDefault="00CA14AB" w:rsidP="00E00B35">
            <w:pPr>
              <w:spacing w:after="0" w:line="312" w:lineRule="auto"/>
              <w:rPr>
                <w:szCs w:val="20"/>
              </w:rPr>
            </w:pPr>
            <w:r w:rsidRPr="00E00B35">
              <w:rPr>
                <w:szCs w:val="20"/>
              </w:rPr>
              <w:t>Rok</w:t>
            </w:r>
          </w:p>
        </w:tc>
        <w:tc>
          <w:tcPr>
            <w:tcW w:w="4252" w:type="dxa"/>
            <w:shd w:val="clear" w:color="auto" w:fill="auto"/>
          </w:tcPr>
          <w:p w:rsidR="00CA14AB" w:rsidRPr="00E00B35" w:rsidRDefault="00CA14AB" w:rsidP="00E00B35">
            <w:pPr>
              <w:spacing w:after="0" w:line="312" w:lineRule="auto"/>
              <w:rPr>
                <w:szCs w:val="20"/>
              </w:rPr>
            </w:pPr>
            <w:r w:rsidRPr="00E00B35">
              <w:rPr>
                <w:szCs w:val="20"/>
              </w:rPr>
              <w:t xml:space="preserve">Plan wg uchwały budżetowej (po zmianach) </w:t>
            </w:r>
          </w:p>
        </w:tc>
        <w:tc>
          <w:tcPr>
            <w:tcW w:w="2334" w:type="dxa"/>
            <w:shd w:val="clear" w:color="auto" w:fill="auto"/>
          </w:tcPr>
          <w:p w:rsidR="00CA14AB" w:rsidRPr="00E00B35" w:rsidRDefault="00CA14AB" w:rsidP="00E00B35">
            <w:pPr>
              <w:spacing w:after="0" w:line="312" w:lineRule="auto"/>
              <w:rPr>
                <w:szCs w:val="20"/>
              </w:rPr>
            </w:pPr>
            <w:r w:rsidRPr="00E00B35">
              <w:rPr>
                <w:szCs w:val="20"/>
              </w:rPr>
              <w:t>Wykonanie za rok</w:t>
            </w:r>
          </w:p>
        </w:tc>
        <w:tc>
          <w:tcPr>
            <w:tcW w:w="2516" w:type="dxa"/>
            <w:shd w:val="clear" w:color="auto" w:fill="auto"/>
          </w:tcPr>
          <w:p w:rsidR="00CA14AB" w:rsidRPr="00E00B35" w:rsidRDefault="00CA14AB" w:rsidP="00E00B35">
            <w:pPr>
              <w:spacing w:after="0" w:line="312" w:lineRule="auto"/>
              <w:rPr>
                <w:szCs w:val="20"/>
              </w:rPr>
            </w:pPr>
            <w:r w:rsidRPr="00E00B35">
              <w:rPr>
                <w:szCs w:val="20"/>
              </w:rPr>
              <w:t xml:space="preserve">% wykonania planu </w:t>
            </w:r>
          </w:p>
        </w:tc>
      </w:tr>
      <w:tr w:rsidR="00CA14AB" w:rsidRPr="00E00B35" w:rsidTr="00CA14AB">
        <w:tc>
          <w:tcPr>
            <w:tcW w:w="959" w:type="dxa"/>
            <w:shd w:val="clear" w:color="auto" w:fill="auto"/>
          </w:tcPr>
          <w:p w:rsidR="00CA14AB" w:rsidRPr="00E00B35" w:rsidRDefault="00CA14AB" w:rsidP="00E00B35">
            <w:pPr>
              <w:spacing w:after="0" w:line="312" w:lineRule="auto"/>
              <w:rPr>
                <w:szCs w:val="20"/>
              </w:rPr>
            </w:pPr>
            <w:r w:rsidRPr="00E00B35">
              <w:rPr>
                <w:szCs w:val="20"/>
              </w:rPr>
              <w:t>2016</w:t>
            </w:r>
          </w:p>
        </w:tc>
        <w:tc>
          <w:tcPr>
            <w:tcW w:w="4252" w:type="dxa"/>
            <w:shd w:val="clear" w:color="auto" w:fill="auto"/>
          </w:tcPr>
          <w:p w:rsidR="00CA14AB" w:rsidRPr="00E00B35" w:rsidRDefault="00CA14AB" w:rsidP="00E00B35">
            <w:pPr>
              <w:spacing w:after="0" w:line="312" w:lineRule="auto"/>
              <w:rPr>
                <w:szCs w:val="20"/>
              </w:rPr>
            </w:pPr>
            <w:r w:rsidRPr="00E00B35">
              <w:rPr>
                <w:szCs w:val="20"/>
              </w:rPr>
              <w:t>1.890.818</w:t>
            </w:r>
          </w:p>
        </w:tc>
        <w:tc>
          <w:tcPr>
            <w:tcW w:w="2334" w:type="dxa"/>
            <w:shd w:val="clear" w:color="auto" w:fill="auto"/>
          </w:tcPr>
          <w:p w:rsidR="00CA14AB" w:rsidRPr="00E00B35" w:rsidRDefault="00CA14AB" w:rsidP="00E00B35">
            <w:pPr>
              <w:spacing w:after="0" w:line="312" w:lineRule="auto"/>
              <w:rPr>
                <w:szCs w:val="20"/>
              </w:rPr>
            </w:pPr>
            <w:r w:rsidRPr="00E00B35">
              <w:rPr>
                <w:szCs w:val="20"/>
              </w:rPr>
              <w:t>2.528.103</w:t>
            </w:r>
          </w:p>
        </w:tc>
        <w:tc>
          <w:tcPr>
            <w:tcW w:w="2516" w:type="dxa"/>
            <w:shd w:val="clear" w:color="auto" w:fill="auto"/>
          </w:tcPr>
          <w:p w:rsidR="00CA14AB" w:rsidRPr="00E00B35" w:rsidRDefault="00CA14AB" w:rsidP="00E00B35">
            <w:pPr>
              <w:spacing w:after="0" w:line="312" w:lineRule="auto"/>
              <w:rPr>
                <w:szCs w:val="20"/>
              </w:rPr>
            </w:pPr>
            <w:r w:rsidRPr="00E00B35">
              <w:rPr>
                <w:szCs w:val="20"/>
              </w:rPr>
              <w:t>134</w:t>
            </w:r>
          </w:p>
        </w:tc>
      </w:tr>
      <w:tr w:rsidR="00CA14AB" w:rsidRPr="00E00B35" w:rsidTr="00CA14AB">
        <w:tc>
          <w:tcPr>
            <w:tcW w:w="959" w:type="dxa"/>
            <w:shd w:val="clear" w:color="auto" w:fill="auto"/>
          </w:tcPr>
          <w:p w:rsidR="00CA14AB" w:rsidRPr="00E00B35" w:rsidRDefault="00CA14AB" w:rsidP="00E00B35">
            <w:pPr>
              <w:spacing w:after="0" w:line="312" w:lineRule="auto"/>
              <w:rPr>
                <w:szCs w:val="20"/>
              </w:rPr>
            </w:pPr>
            <w:r w:rsidRPr="00E00B35">
              <w:rPr>
                <w:szCs w:val="20"/>
              </w:rPr>
              <w:t>2017</w:t>
            </w:r>
          </w:p>
        </w:tc>
        <w:tc>
          <w:tcPr>
            <w:tcW w:w="4252" w:type="dxa"/>
            <w:shd w:val="clear" w:color="auto" w:fill="auto"/>
          </w:tcPr>
          <w:p w:rsidR="00CA14AB" w:rsidRPr="00E00B35" w:rsidRDefault="00CA14AB" w:rsidP="00E00B35">
            <w:pPr>
              <w:spacing w:after="0" w:line="312" w:lineRule="auto"/>
              <w:rPr>
                <w:szCs w:val="20"/>
              </w:rPr>
            </w:pPr>
            <w:r w:rsidRPr="00E00B35">
              <w:rPr>
                <w:szCs w:val="20"/>
              </w:rPr>
              <w:t>2.304.600</w:t>
            </w:r>
          </w:p>
        </w:tc>
        <w:tc>
          <w:tcPr>
            <w:tcW w:w="2334" w:type="dxa"/>
            <w:shd w:val="clear" w:color="auto" w:fill="auto"/>
          </w:tcPr>
          <w:p w:rsidR="00CA14AB" w:rsidRPr="00E00B35" w:rsidRDefault="00CA14AB" w:rsidP="00E00B35">
            <w:pPr>
              <w:spacing w:after="0" w:line="312" w:lineRule="auto"/>
              <w:rPr>
                <w:szCs w:val="20"/>
              </w:rPr>
            </w:pPr>
            <w:r w:rsidRPr="00E00B35">
              <w:rPr>
                <w:szCs w:val="20"/>
              </w:rPr>
              <w:t>2.421.054</w:t>
            </w:r>
          </w:p>
        </w:tc>
        <w:tc>
          <w:tcPr>
            <w:tcW w:w="2516" w:type="dxa"/>
            <w:shd w:val="clear" w:color="auto" w:fill="auto"/>
          </w:tcPr>
          <w:p w:rsidR="00CA14AB" w:rsidRPr="00E00B35" w:rsidRDefault="00CA14AB" w:rsidP="00E00B35">
            <w:pPr>
              <w:spacing w:after="0" w:line="312" w:lineRule="auto"/>
              <w:rPr>
                <w:szCs w:val="20"/>
              </w:rPr>
            </w:pPr>
            <w:r w:rsidRPr="00E00B35">
              <w:rPr>
                <w:szCs w:val="20"/>
              </w:rPr>
              <w:t>105</w:t>
            </w:r>
          </w:p>
        </w:tc>
      </w:tr>
      <w:tr w:rsidR="00CA14AB" w:rsidRPr="00E00B35" w:rsidTr="00CA14AB">
        <w:trPr>
          <w:trHeight w:val="210"/>
        </w:trPr>
        <w:tc>
          <w:tcPr>
            <w:tcW w:w="959" w:type="dxa"/>
            <w:shd w:val="clear" w:color="auto" w:fill="auto"/>
          </w:tcPr>
          <w:p w:rsidR="00CA14AB" w:rsidRPr="00E00B35" w:rsidRDefault="00CA14AB" w:rsidP="00E00B35">
            <w:pPr>
              <w:spacing w:after="0" w:line="312" w:lineRule="auto"/>
              <w:rPr>
                <w:szCs w:val="20"/>
              </w:rPr>
            </w:pPr>
            <w:r w:rsidRPr="00E00B35">
              <w:rPr>
                <w:szCs w:val="20"/>
              </w:rPr>
              <w:t>2018</w:t>
            </w:r>
          </w:p>
        </w:tc>
        <w:tc>
          <w:tcPr>
            <w:tcW w:w="4252" w:type="dxa"/>
            <w:shd w:val="clear" w:color="auto" w:fill="auto"/>
          </w:tcPr>
          <w:p w:rsidR="00CA14AB" w:rsidRPr="00E00B35" w:rsidRDefault="00CA14AB" w:rsidP="00E00B35">
            <w:pPr>
              <w:spacing w:after="0" w:line="312" w:lineRule="auto"/>
              <w:rPr>
                <w:szCs w:val="20"/>
              </w:rPr>
            </w:pPr>
            <w:r w:rsidRPr="00E00B35">
              <w:rPr>
                <w:szCs w:val="20"/>
              </w:rPr>
              <w:t>2.045.000</w:t>
            </w:r>
          </w:p>
        </w:tc>
        <w:tc>
          <w:tcPr>
            <w:tcW w:w="2334" w:type="dxa"/>
            <w:shd w:val="clear" w:color="auto" w:fill="auto"/>
          </w:tcPr>
          <w:p w:rsidR="00CA14AB" w:rsidRPr="00E00B35" w:rsidRDefault="00CA14AB" w:rsidP="00E00B35">
            <w:pPr>
              <w:spacing w:after="0" w:line="312" w:lineRule="auto"/>
              <w:rPr>
                <w:szCs w:val="20"/>
              </w:rPr>
            </w:pPr>
            <w:r w:rsidRPr="00E00B35">
              <w:rPr>
                <w:szCs w:val="20"/>
              </w:rPr>
              <w:t>2.372.565</w:t>
            </w:r>
          </w:p>
        </w:tc>
        <w:tc>
          <w:tcPr>
            <w:tcW w:w="2516" w:type="dxa"/>
            <w:shd w:val="clear" w:color="auto" w:fill="auto"/>
          </w:tcPr>
          <w:p w:rsidR="00CA14AB" w:rsidRPr="00E00B35" w:rsidRDefault="00CA14AB" w:rsidP="00E00B35">
            <w:pPr>
              <w:spacing w:after="0" w:line="312" w:lineRule="auto"/>
              <w:rPr>
                <w:szCs w:val="20"/>
              </w:rPr>
            </w:pPr>
            <w:r w:rsidRPr="00E00B35">
              <w:rPr>
                <w:szCs w:val="20"/>
              </w:rPr>
              <w:t>116</w:t>
            </w:r>
          </w:p>
        </w:tc>
      </w:tr>
      <w:tr w:rsidR="00CA14AB" w:rsidRPr="00E00B35" w:rsidTr="00CA14AB">
        <w:trPr>
          <w:trHeight w:val="122"/>
        </w:trPr>
        <w:tc>
          <w:tcPr>
            <w:tcW w:w="959" w:type="dxa"/>
            <w:shd w:val="clear" w:color="auto" w:fill="auto"/>
          </w:tcPr>
          <w:p w:rsidR="00CA14AB" w:rsidRPr="00E00B35" w:rsidRDefault="00CA14AB" w:rsidP="00E00B35">
            <w:pPr>
              <w:spacing w:after="0" w:line="312" w:lineRule="auto"/>
              <w:rPr>
                <w:szCs w:val="20"/>
              </w:rPr>
            </w:pPr>
            <w:r w:rsidRPr="00E00B35">
              <w:rPr>
                <w:szCs w:val="20"/>
              </w:rPr>
              <w:t>2019</w:t>
            </w:r>
          </w:p>
        </w:tc>
        <w:tc>
          <w:tcPr>
            <w:tcW w:w="4252" w:type="dxa"/>
            <w:shd w:val="clear" w:color="auto" w:fill="auto"/>
          </w:tcPr>
          <w:p w:rsidR="00CA14AB" w:rsidRPr="00E00B35" w:rsidRDefault="00CA14AB" w:rsidP="00E00B35">
            <w:pPr>
              <w:spacing w:after="0" w:line="312" w:lineRule="auto"/>
              <w:rPr>
                <w:szCs w:val="20"/>
              </w:rPr>
            </w:pPr>
            <w:r w:rsidRPr="00E00B35">
              <w:rPr>
                <w:szCs w:val="20"/>
              </w:rPr>
              <w:t>1.765.000</w:t>
            </w:r>
          </w:p>
        </w:tc>
        <w:tc>
          <w:tcPr>
            <w:tcW w:w="2334" w:type="dxa"/>
            <w:shd w:val="clear" w:color="auto" w:fill="auto"/>
          </w:tcPr>
          <w:p w:rsidR="00CA14AB" w:rsidRPr="00E00B35" w:rsidRDefault="00CA14AB" w:rsidP="00E00B35">
            <w:pPr>
              <w:spacing w:after="0" w:line="312" w:lineRule="auto"/>
              <w:rPr>
                <w:szCs w:val="20"/>
              </w:rPr>
            </w:pPr>
            <w:r w:rsidRPr="00E00B35">
              <w:rPr>
                <w:szCs w:val="20"/>
              </w:rPr>
              <w:t>2.740.596</w:t>
            </w:r>
          </w:p>
        </w:tc>
        <w:tc>
          <w:tcPr>
            <w:tcW w:w="2516" w:type="dxa"/>
            <w:shd w:val="clear" w:color="auto" w:fill="auto"/>
          </w:tcPr>
          <w:p w:rsidR="00CA14AB" w:rsidRPr="00E00B35" w:rsidRDefault="00CA14AB" w:rsidP="00E00B35">
            <w:pPr>
              <w:spacing w:after="0" w:line="312" w:lineRule="auto"/>
              <w:rPr>
                <w:szCs w:val="20"/>
              </w:rPr>
            </w:pPr>
            <w:r w:rsidRPr="00E00B35">
              <w:rPr>
                <w:szCs w:val="20"/>
              </w:rPr>
              <w:t>155</w:t>
            </w:r>
          </w:p>
        </w:tc>
      </w:tr>
      <w:tr w:rsidR="00CA14AB" w:rsidRPr="00E00B35" w:rsidTr="00CA14AB">
        <w:trPr>
          <w:trHeight w:val="122"/>
        </w:trPr>
        <w:tc>
          <w:tcPr>
            <w:tcW w:w="959" w:type="dxa"/>
            <w:shd w:val="clear" w:color="auto" w:fill="auto"/>
          </w:tcPr>
          <w:p w:rsidR="00CA14AB" w:rsidRPr="00E00B35" w:rsidRDefault="00CA14AB" w:rsidP="00E00B35">
            <w:pPr>
              <w:spacing w:after="0" w:line="312" w:lineRule="auto"/>
              <w:rPr>
                <w:szCs w:val="20"/>
              </w:rPr>
            </w:pPr>
            <w:r w:rsidRPr="00E00B35">
              <w:rPr>
                <w:szCs w:val="20"/>
              </w:rPr>
              <w:t>2020</w:t>
            </w:r>
          </w:p>
        </w:tc>
        <w:tc>
          <w:tcPr>
            <w:tcW w:w="4252" w:type="dxa"/>
            <w:shd w:val="clear" w:color="auto" w:fill="auto"/>
          </w:tcPr>
          <w:p w:rsidR="00CA14AB" w:rsidRPr="00E00B35" w:rsidRDefault="00CA14AB" w:rsidP="00E00B35">
            <w:pPr>
              <w:spacing w:after="0" w:line="312" w:lineRule="auto"/>
              <w:rPr>
                <w:szCs w:val="20"/>
              </w:rPr>
            </w:pPr>
            <w:r w:rsidRPr="00E00B35">
              <w:rPr>
                <w:szCs w:val="20"/>
              </w:rPr>
              <w:t>600.000</w:t>
            </w:r>
          </w:p>
        </w:tc>
        <w:tc>
          <w:tcPr>
            <w:tcW w:w="2334" w:type="dxa"/>
            <w:shd w:val="clear" w:color="auto" w:fill="auto"/>
          </w:tcPr>
          <w:p w:rsidR="00CA14AB" w:rsidRPr="00E00B35" w:rsidRDefault="00CA14AB" w:rsidP="00E00B35">
            <w:pPr>
              <w:spacing w:after="0" w:line="312" w:lineRule="auto"/>
              <w:rPr>
                <w:szCs w:val="20"/>
              </w:rPr>
            </w:pPr>
            <w:r w:rsidRPr="00E00B35">
              <w:rPr>
                <w:szCs w:val="20"/>
              </w:rPr>
              <w:t>615.708</w:t>
            </w:r>
          </w:p>
        </w:tc>
        <w:tc>
          <w:tcPr>
            <w:tcW w:w="2516" w:type="dxa"/>
            <w:shd w:val="clear" w:color="auto" w:fill="auto"/>
          </w:tcPr>
          <w:p w:rsidR="00CA14AB" w:rsidRPr="00E00B35" w:rsidRDefault="00CA14AB" w:rsidP="00E00B35">
            <w:pPr>
              <w:spacing w:after="0" w:line="312" w:lineRule="auto"/>
              <w:rPr>
                <w:szCs w:val="20"/>
              </w:rPr>
            </w:pPr>
            <w:r w:rsidRPr="00E00B35">
              <w:rPr>
                <w:szCs w:val="20"/>
              </w:rPr>
              <w:t>103</w:t>
            </w:r>
          </w:p>
        </w:tc>
      </w:tr>
    </w:tbl>
    <w:p w:rsidR="00283205" w:rsidRPr="00E00B35" w:rsidRDefault="00283205"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Udostępnienia Stadionu Olimpijskiego</w:t>
      </w:r>
    </w:p>
    <w:p w:rsidR="00CA14AB" w:rsidRPr="00E00B35" w:rsidRDefault="00CA14AB" w:rsidP="00E00B35">
      <w:pPr>
        <w:spacing w:after="0" w:line="312" w:lineRule="auto"/>
        <w:rPr>
          <w:szCs w:val="20"/>
        </w:rPr>
      </w:pPr>
      <w:r w:rsidRPr="00E00B35">
        <w:rPr>
          <w:szCs w:val="20"/>
        </w:rPr>
        <w:t>W 2020 roku Stadion Olimpijski udostępniany był podmiotom zewnętrznym, które na jego terenie organizowały imprezy masowe o charakterze sportowym, wydarzenia sportowe czy treningi sportowe. Stałymi użytkownikami Stadionu byli: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Panthers Wrocław Sp. z o. o - 4 spotkania ligi LFA1 na płycie Stadionu Olimpijskiego,</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Panthers Wrocław Sp. z o. o - 3 spotkania ligi juniorów na płycie Stadionu Olimpijskiego,</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Betard Sparta Wrocław - 10 meczów ligowych,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Betard Sparta Wrocław – Grand Prix.</w:t>
      </w:r>
    </w:p>
    <w:p w:rsidR="00CA14AB" w:rsidRPr="00E00B35" w:rsidRDefault="00CA14AB" w:rsidP="00E00B35">
      <w:pPr>
        <w:spacing w:after="0" w:line="312" w:lineRule="auto"/>
        <w:rPr>
          <w:szCs w:val="20"/>
        </w:rPr>
      </w:pPr>
      <w:r w:rsidRPr="00E00B35">
        <w:rPr>
          <w:szCs w:val="20"/>
        </w:rPr>
        <w:t>Ponadto z infrastruktury Stadionu Olimpijskiego w 2020 roku korzystały jednorazowo kluby i stowarzyszenia organizujące imprezy sportowe oraz inne wydarzenia o charakterze sportowym:</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Kosynierzy Wrocław – klub lacrosse,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Rugby Wrocław,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Stowarzyszenie Liga Futbolu Amerykańskiego – arena XIII Polish Bowl 2020,</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Turniej Piłki Nożnej Dudek Cup,</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lastRenderedPageBreak/>
        <w:t>tren</w:t>
      </w:r>
      <w:r w:rsidR="00283205" w:rsidRPr="00E00B35">
        <w:rPr>
          <w:szCs w:val="20"/>
        </w:rPr>
        <w:t>ingi piłki nożnej Ślęza Wrocław.</w:t>
      </w:r>
    </w:p>
    <w:p w:rsidR="00CA14AB" w:rsidRPr="00E00B35" w:rsidRDefault="00CA14AB" w:rsidP="00E00B35">
      <w:pPr>
        <w:spacing w:after="0" w:line="312" w:lineRule="auto"/>
        <w:rPr>
          <w:szCs w:val="20"/>
        </w:rPr>
      </w:pPr>
      <w:r w:rsidRPr="00E00B35">
        <w:rPr>
          <w:szCs w:val="20"/>
        </w:rPr>
        <w:t>W salach sportowych Stadionu Olimpijskiego znajdujących się w budynku administracyjnym przez 12 miesięcy w roku trenowali: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szpadziści Klubu Sportowego Szpada Wrocław,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uczestnicy zajęć sportów gimnastycznych Wrocławskiego Centrum Sportów Gimnastycznych.</w:t>
      </w:r>
    </w:p>
    <w:p w:rsidR="00CA14AB" w:rsidRPr="00E00B35" w:rsidRDefault="00CA14AB" w:rsidP="00E00B35">
      <w:pPr>
        <w:spacing w:after="0" w:line="312" w:lineRule="auto"/>
        <w:rPr>
          <w:szCs w:val="20"/>
        </w:rPr>
      </w:pPr>
      <w:r w:rsidRPr="00E00B35">
        <w:rPr>
          <w:szCs w:val="20"/>
        </w:rPr>
        <w:t>W salach sportowych Stadionu Olimpijskiego przez 12 miesięcy w roku obywały się:</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zajęcia taneczne,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zajęcia z samooobrony,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treningi Panthers Wrocław,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treningi Betard Sparty Wrocław,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treningi KS Juventus,</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treningi SMS Junior,</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treningi KS Wratislavia,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treningi crossfitu.</w:t>
      </w:r>
    </w:p>
    <w:p w:rsidR="00CA14AB" w:rsidRPr="00E00B35" w:rsidRDefault="00CA14AB" w:rsidP="00E00B35">
      <w:pPr>
        <w:spacing w:after="0" w:line="312" w:lineRule="auto"/>
        <w:rPr>
          <w:szCs w:val="20"/>
        </w:rPr>
      </w:pPr>
      <w:r w:rsidRPr="00E00B35">
        <w:rPr>
          <w:szCs w:val="20"/>
        </w:rPr>
        <w:t>Na Stadionie Olimpijskim swoje siedziby mają kluby: Panthers Wrocław, Betard Sparta Wrocław, oraz m.in.: Polska Federacja Petanque, Wydawnictwo Słowo Polskie Sp. z o.o., Belgium News Team, Around the Sport, BABYGYM Sp. z o.o., Euro-Sportring, Bianconeri Footbal Academy, Volleyball, KS Kosynierzy Wrocław.</w:t>
      </w:r>
    </w:p>
    <w:p w:rsidR="00CA14AB" w:rsidRPr="00E00B35" w:rsidRDefault="00CA14AB" w:rsidP="00E00B35">
      <w:pPr>
        <w:spacing w:after="0" w:line="312" w:lineRule="auto"/>
        <w:rPr>
          <w:szCs w:val="20"/>
        </w:rPr>
      </w:pPr>
      <w:r w:rsidRPr="00E00B35">
        <w:rPr>
          <w:szCs w:val="20"/>
        </w:rPr>
        <w:t xml:space="preserve">Rozdz. 92605 </w:t>
      </w:r>
    </w:p>
    <w:p w:rsidR="00CA14AB" w:rsidRPr="00E00B35" w:rsidRDefault="00CA14AB" w:rsidP="00E00B35">
      <w:pPr>
        <w:spacing w:after="0" w:line="312" w:lineRule="auto"/>
        <w:rPr>
          <w:szCs w:val="20"/>
        </w:rPr>
      </w:pPr>
      <w:r w:rsidRPr="00E00B35">
        <w:rPr>
          <w:szCs w:val="20"/>
        </w:rPr>
        <w:t>§ 0830, program budżetowy A.4.16 - wpływy z usług - bilety wstępu na kąpieliska, MCS obsługuje na terenie Wrocławia kąpieliska płatne Kłokoczyce, Morskie Oko oraz Glinianki.</w:t>
      </w:r>
    </w:p>
    <w:p w:rsidR="00CA14AB" w:rsidRPr="00E00B35" w:rsidRDefault="00CA14AB" w:rsidP="00E00B35">
      <w:pPr>
        <w:spacing w:after="0" w:line="312" w:lineRule="auto"/>
        <w:rPr>
          <w:szCs w:val="20"/>
        </w:rPr>
      </w:pPr>
      <w:r w:rsidRPr="00E00B35">
        <w:rPr>
          <w:szCs w:val="20"/>
        </w:rPr>
        <w:t xml:space="preserve">Tabela 9. Plan i wykonanie dochodów w rozdziale 92605 w latach 2016-2020.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6"/>
        <w:gridCol w:w="2350"/>
        <w:gridCol w:w="2343"/>
        <w:gridCol w:w="2339"/>
      </w:tblGrid>
      <w:tr w:rsidR="00CA14AB" w:rsidRPr="00E00B35" w:rsidTr="00CA14AB">
        <w:tc>
          <w:tcPr>
            <w:tcW w:w="2515" w:type="dxa"/>
            <w:shd w:val="clear" w:color="auto" w:fill="auto"/>
          </w:tcPr>
          <w:p w:rsidR="00CA14AB" w:rsidRPr="00E00B35" w:rsidRDefault="00CA14AB" w:rsidP="00E00B35">
            <w:pPr>
              <w:spacing w:after="0" w:line="312" w:lineRule="auto"/>
              <w:rPr>
                <w:szCs w:val="20"/>
              </w:rPr>
            </w:pPr>
            <w:r w:rsidRPr="00E00B35">
              <w:rPr>
                <w:szCs w:val="20"/>
              </w:rPr>
              <w:t>ROK</w:t>
            </w:r>
          </w:p>
        </w:tc>
        <w:tc>
          <w:tcPr>
            <w:tcW w:w="2515" w:type="dxa"/>
            <w:shd w:val="clear" w:color="auto" w:fill="auto"/>
          </w:tcPr>
          <w:p w:rsidR="00CA14AB" w:rsidRPr="00E00B35" w:rsidRDefault="00CA14AB" w:rsidP="00E00B35">
            <w:pPr>
              <w:spacing w:after="0" w:line="312" w:lineRule="auto"/>
              <w:rPr>
                <w:szCs w:val="20"/>
              </w:rPr>
            </w:pPr>
            <w:r w:rsidRPr="00E00B35">
              <w:rPr>
                <w:szCs w:val="20"/>
              </w:rPr>
              <w:t xml:space="preserve">Plan wg uchwały budżetowej (po zmianach) </w:t>
            </w:r>
          </w:p>
        </w:tc>
        <w:tc>
          <w:tcPr>
            <w:tcW w:w="2515" w:type="dxa"/>
            <w:shd w:val="clear" w:color="auto" w:fill="auto"/>
          </w:tcPr>
          <w:p w:rsidR="00CA14AB" w:rsidRPr="00E00B35" w:rsidRDefault="00CA14AB" w:rsidP="00E00B35">
            <w:pPr>
              <w:spacing w:after="0" w:line="312" w:lineRule="auto"/>
              <w:rPr>
                <w:szCs w:val="20"/>
              </w:rPr>
            </w:pPr>
            <w:r w:rsidRPr="00E00B35">
              <w:rPr>
                <w:szCs w:val="20"/>
              </w:rPr>
              <w:t>Wykonanie za rok</w:t>
            </w:r>
          </w:p>
        </w:tc>
        <w:tc>
          <w:tcPr>
            <w:tcW w:w="2516" w:type="dxa"/>
            <w:shd w:val="clear" w:color="auto" w:fill="auto"/>
          </w:tcPr>
          <w:p w:rsidR="00CA14AB" w:rsidRPr="00E00B35" w:rsidRDefault="00CA14AB" w:rsidP="00E00B35">
            <w:pPr>
              <w:spacing w:after="0" w:line="312" w:lineRule="auto"/>
              <w:rPr>
                <w:szCs w:val="20"/>
              </w:rPr>
            </w:pPr>
            <w:r w:rsidRPr="00E00B35">
              <w:rPr>
                <w:szCs w:val="20"/>
              </w:rPr>
              <w:t xml:space="preserve">% wykonania planu </w:t>
            </w:r>
          </w:p>
        </w:tc>
      </w:tr>
      <w:tr w:rsidR="00CA14AB" w:rsidRPr="00E00B35" w:rsidTr="00CA14AB">
        <w:tc>
          <w:tcPr>
            <w:tcW w:w="2515" w:type="dxa"/>
            <w:shd w:val="clear" w:color="auto" w:fill="auto"/>
          </w:tcPr>
          <w:p w:rsidR="00CA14AB" w:rsidRPr="00E00B35" w:rsidRDefault="00CA14AB" w:rsidP="00E00B35">
            <w:pPr>
              <w:spacing w:after="0" w:line="312" w:lineRule="auto"/>
              <w:rPr>
                <w:szCs w:val="20"/>
              </w:rPr>
            </w:pPr>
            <w:r w:rsidRPr="00E00B35">
              <w:rPr>
                <w:szCs w:val="20"/>
              </w:rPr>
              <w:t>2016</w:t>
            </w:r>
          </w:p>
        </w:tc>
        <w:tc>
          <w:tcPr>
            <w:tcW w:w="2515" w:type="dxa"/>
            <w:shd w:val="clear" w:color="auto" w:fill="auto"/>
          </w:tcPr>
          <w:p w:rsidR="00CA14AB" w:rsidRPr="00E00B35" w:rsidRDefault="00CA14AB" w:rsidP="00E00B35">
            <w:pPr>
              <w:spacing w:after="0" w:line="312" w:lineRule="auto"/>
              <w:rPr>
                <w:szCs w:val="20"/>
              </w:rPr>
            </w:pPr>
            <w:r w:rsidRPr="00E00B35">
              <w:rPr>
                <w:szCs w:val="20"/>
              </w:rPr>
              <w:t>552.315</w:t>
            </w:r>
          </w:p>
        </w:tc>
        <w:tc>
          <w:tcPr>
            <w:tcW w:w="2515" w:type="dxa"/>
            <w:shd w:val="clear" w:color="auto" w:fill="auto"/>
          </w:tcPr>
          <w:p w:rsidR="00CA14AB" w:rsidRPr="00E00B35" w:rsidRDefault="00CA14AB" w:rsidP="00E00B35">
            <w:pPr>
              <w:spacing w:after="0" w:line="312" w:lineRule="auto"/>
              <w:rPr>
                <w:szCs w:val="20"/>
              </w:rPr>
            </w:pPr>
            <w:r w:rsidRPr="00E00B35">
              <w:rPr>
                <w:szCs w:val="20"/>
              </w:rPr>
              <w:t>552.315</w:t>
            </w:r>
          </w:p>
        </w:tc>
        <w:tc>
          <w:tcPr>
            <w:tcW w:w="2516" w:type="dxa"/>
            <w:shd w:val="clear" w:color="auto" w:fill="auto"/>
          </w:tcPr>
          <w:p w:rsidR="00CA14AB" w:rsidRPr="00E00B35" w:rsidRDefault="00CA14AB" w:rsidP="00E00B35">
            <w:pPr>
              <w:spacing w:after="0" w:line="312" w:lineRule="auto"/>
              <w:rPr>
                <w:szCs w:val="20"/>
              </w:rPr>
            </w:pPr>
            <w:r w:rsidRPr="00E00B35">
              <w:rPr>
                <w:szCs w:val="20"/>
              </w:rPr>
              <w:t>100</w:t>
            </w:r>
          </w:p>
        </w:tc>
      </w:tr>
      <w:tr w:rsidR="00CA14AB" w:rsidRPr="00E00B35" w:rsidTr="00CA14AB">
        <w:tc>
          <w:tcPr>
            <w:tcW w:w="2515" w:type="dxa"/>
            <w:shd w:val="clear" w:color="auto" w:fill="auto"/>
          </w:tcPr>
          <w:p w:rsidR="00CA14AB" w:rsidRPr="00E00B35" w:rsidRDefault="00CA14AB" w:rsidP="00E00B35">
            <w:pPr>
              <w:spacing w:after="0" w:line="312" w:lineRule="auto"/>
              <w:rPr>
                <w:szCs w:val="20"/>
              </w:rPr>
            </w:pPr>
            <w:r w:rsidRPr="00E00B35">
              <w:rPr>
                <w:szCs w:val="20"/>
              </w:rPr>
              <w:t>2017</w:t>
            </w:r>
          </w:p>
        </w:tc>
        <w:tc>
          <w:tcPr>
            <w:tcW w:w="2515" w:type="dxa"/>
            <w:shd w:val="clear" w:color="auto" w:fill="auto"/>
          </w:tcPr>
          <w:p w:rsidR="00CA14AB" w:rsidRPr="00E00B35" w:rsidRDefault="00CA14AB" w:rsidP="00E00B35">
            <w:pPr>
              <w:spacing w:after="0" w:line="312" w:lineRule="auto"/>
              <w:rPr>
                <w:szCs w:val="20"/>
              </w:rPr>
            </w:pPr>
            <w:r w:rsidRPr="00E00B35">
              <w:rPr>
                <w:szCs w:val="20"/>
              </w:rPr>
              <w:t>516.800</w:t>
            </w:r>
          </w:p>
        </w:tc>
        <w:tc>
          <w:tcPr>
            <w:tcW w:w="2515" w:type="dxa"/>
            <w:shd w:val="clear" w:color="auto" w:fill="auto"/>
          </w:tcPr>
          <w:p w:rsidR="00CA14AB" w:rsidRPr="00E00B35" w:rsidRDefault="00CA14AB" w:rsidP="00E00B35">
            <w:pPr>
              <w:spacing w:after="0" w:line="312" w:lineRule="auto"/>
              <w:rPr>
                <w:szCs w:val="20"/>
              </w:rPr>
            </w:pPr>
            <w:r w:rsidRPr="00E00B35">
              <w:rPr>
                <w:szCs w:val="20"/>
              </w:rPr>
              <w:t>517.271</w:t>
            </w:r>
          </w:p>
        </w:tc>
        <w:tc>
          <w:tcPr>
            <w:tcW w:w="2516" w:type="dxa"/>
            <w:shd w:val="clear" w:color="auto" w:fill="auto"/>
          </w:tcPr>
          <w:p w:rsidR="00CA14AB" w:rsidRPr="00E00B35" w:rsidRDefault="00CA14AB" w:rsidP="00E00B35">
            <w:pPr>
              <w:spacing w:after="0" w:line="312" w:lineRule="auto"/>
              <w:rPr>
                <w:szCs w:val="20"/>
              </w:rPr>
            </w:pPr>
            <w:r w:rsidRPr="00E00B35">
              <w:rPr>
                <w:szCs w:val="20"/>
              </w:rPr>
              <w:t>100</w:t>
            </w:r>
          </w:p>
        </w:tc>
      </w:tr>
      <w:tr w:rsidR="00CA14AB" w:rsidRPr="00E00B35" w:rsidTr="00CA14AB">
        <w:trPr>
          <w:trHeight w:val="180"/>
        </w:trPr>
        <w:tc>
          <w:tcPr>
            <w:tcW w:w="2515" w:type="dxa"/>
            <w:shd w:val="clear" w:color="auto" w:fill="auto"/>
          </w:tcPr>
          <w:p w:rsidR="00CA14AB" w:rsidRPr="00E00B35" w:rsidRDefault="00CA14AB" w:rsidP="00E00B35">
            <w:pPr>
              <w:spacing w:after="0" w:line="312" w:lineRule="auto"/>
              <w:rPr>
                <w:szCs w:val="20"/>
              </w:rPr>
            </w:pPr>
            <w:r w:rsidRPr="00E00B35">
              <w:rPr>
                <w:szCs w:val="20"/>
              </w:rPr>
              <w:t>2018</w:t>
            </w:r>
          </w:p>
        </w:tc>
        <w:tc>
          <w:tcPr>
            <w:tcW w:w="2515" w:type="dxa"/>
            <w:shd w:val="clear" w:color="auto" w:fill="auto"/>
          </w:tcPr>
          <w:p w:rsidR="00CA14AB" w:rsidRPr="00E00B35" w:rsidRDefault="00CA14AB" w:rsidP="00E00B35">
            <w:pPr>
              <w:spacing w:after="0" w:line="312" w:lineRule="auto"/>
              <w:rPr>
                <w:szCs w:val="20"/>
              </w:rPr>
            </w:pPr>
            <w:r w:rsidRPr="00E00B35">
              <w:rPr>
                <w:szCs w:val="20"/>
              </w:rPr>
              <w:t>650.000</w:t>
            </w:r>
          </w:p>
        </w:tc>
        <w:tc>
          <w:tcPr>
            <w:tcW w:w="2515" w:type="dxa"/>
            <w:shd w:val="clear" w:color="auto" w:fill="auto"/>
          </w:tcPr>
          <w:p w:rsidR="00CA14AB" w:rsidRPr="00E00B35" w:rsidRDefault="00CA14AB" w:rsidP="00E00B35">
            <w:pPr>
              <w:spacing w:after="0" w:line="312" w:lineRule="auto"/>
              <w:rPr>
                <w:szCs w:val="20"/>
              </w:rPr>
            </w:pPr>
            <w:r w:rsidRPr="00E00B35">
              <w:rPr>
                <w:szCs w:val="20"/>
              </w:rPr>
              <w:t>655.254</w:t>
            </w:r>
          </w:p>
        </w:tc>
        <w:tc>
          <w:tcPr>
            <w:tcW w:w="2516" w:type="dxa"/>
            <w:shd w:val="clear" w:color="auto" w:fill="auto"/>
          </w:tcPr>
          <w:p w:rsidR="00CA14AB" w:rsidRPr="00E00B35" w:rsidRDefault="00CA14AB" w:rsidP="00E00B35">
            <w:pPr>
              <w:spacing w:after="0" w:line="312" w:lineRule="auto"/>
              <w:rPr>
                <w:szCs w:val="20"/>
              </w:rPr>
            </w:pPr>
            <w:r w:rsidRPr="00E00B35">
              <w:rPr>
                <w:szCs w:val="20"/>
              </w:rPr>
              <w:t>101</w:t>
            </w:r>
          </w:p>
        </w:tc>
      </w:tr>
      <w:tr w:rsidR="00CA14AB" w:rsidRPr="00E00B35" w:rsidTr="00CA14AB">
        <w:trPr>
          <w:trHeight w:val="154"/>
        </w:trPr>
        <w:tc>
          <w:tcPr>
            <w:tcW w:w="2515" w:type="dxa"/>
            <w:shd w:val="clear" w:color="auto" w:fill="auto"/>
          </w:tcPr>
          <w:p w:rsidR="00CA14AB" w:rsidRPr="00E00B35" w:rsidRDefault="00CA14AB" w:rsidP="00E00B35">
            <w:pPr>
              <w:spacing w:after="0" w:line="312" w:lineRule="auto"/>
              <w:rPr>
                <w:szCs w:val="20"/>
              </w:rPr>
            </w:pPr>
            <w:r w:rsidRPr="00E00B35">
              <w:rPr>
                <w:szCs w:val="20"/>
              </w:rPr>
              <w:t>2019</w:t>
            </w:r>
          </w:p>
        </w:tc>
        <w:tc>
          <w:tcPr>
            <w:tcW w:w="2515" w:type="dxa"/>
            <w:shd w:val="clear" w:color="auto" w:fill="auto"/>
          </w:tcPr>
          <w:p w:rsidR="00CA14AB" w:rsidRPr="00E00B35" w:rsidRDefault="00CA14AB" w:rsidP="00E00B35">
            <w:pPr>
              <w:spacing w:after="0" w:line="312" w:lineRule="auto"/>
              <w:rPr>
                <w:szCs w:val="20"/>
              </w:rPr>
            </w:pPr>
            <w:r w:rsidRPr="00E00B35">
              <w:rPr>
                <w:szCs w:val="20"/>
              </w:rPr>
              <w:t>650.000</w:t>
            </w:r>
          </w:p>
        </w:tc>
        <w:tc>
          <w:tcPr>
            <w:tcW w:w="2515" w:type="dxa"/>
            <w:shd w:val="clear" w:color="auto" w:fill="auto"/>
          </w:tcPr>
          <w:p w:rsidR="00CA14AB" w:rsidRPr="00E00B35" w:rsidRDefault="00CA14AB" w:rsidP="00E00B35">
            <w:pPr>
              <w:spacing w:after="0" w:line="312" w:lineRule="auto"/>
              <w:rPr>
                <w:szCs w:val="20"/>
              </w:rPr>
            </w:pPr>
            <w:r w:rsidRPr="00E00B35">
              <w:rPr>
                <w:szCs w:val="20"/>
              </w:rPr>
              <w:t>728.640</w:t>
            </w:r>
          </w:p>
        </w:tc>
        <w:tc>
          <w:tcPr>
            <w:tcW w:w="2516" w:type="dxa"/>
            <w:shd w:val="clear" w:color="auto" w:fill="auto"/>
          </w:tcPr>
          <w:p w:rsidR="00CA14AB" w:rsidRPr="00E00B35" w:rsidRDefault="00CA14AB" w:rsidP="00E00B35">
            <w:pPr>
              <w:spacing w:after="0" w:line="312" w:lineRule="auto"/>
              <w:rPr>
                <w:szCs w:val="20"/>
              </w:rPr>
            </w:pPr>
            <w:r w:rsidRPr="00E00B35">
              <w:rPr>
                <w:szCs w:val="20"/>
              </w:rPr>
              <w:t>112</w:t>
            </w:r>
          </w:p>
        </w:tc>
      </w:tr>
      <w:tr w:rsidR="00CA14AB" w:rsidRPr="00E00B35" w:rsidTr="00CA14AB">
        <w:trPr>
          <w:trHeight w:val="154"/>
        </w:trPr>
        <w:tc>
          <w:tcPr>
            <w:tcW w:w="2515" w:type="dxa"/>
            <w:shd w:val="clear" w:color="auto" w:fill="auto"/>
          </w:tcPr>
          <w:p w:rsidR="00CA14AB" w:rsidRPr="00E00B35" w:rsidRDefault="00CA14AB" w:rsidP="00E00B35">
            <w:pPr>
              <w:spacing w:after="0" w:line="312" w:lineRule="auto"/>
              <w:rPr>
                <w:szCs w:val="20"/>
              </w:rPr>
            </w:pPr>
            <w:r w:rsidRPr="00E00B35">
              <w:rPr>
                <w:szCs w:val="20"/>
              </w:rPr>
              <w:t>2020</w:t>
            </w:r>
          </w:p>
        </w:tc>
        <w:tc>
          <w:tcPr>
            <w:tcW w:w="2515" w:type="dxa"/>
            <w:shd w:val="clear" w:color="auto" w:fill="auto"/>
          </w:tcPr>
          <w:p w:rsidR="00CA14AB" w:rsidRPr="00E00B35" w:rsidRDefault="00CA14AB" w:rsidP="00E00B35">
            <w:pPr>
              <w:spacing w:after="0" w:line="312" w:lineRule="auto"/>
              <w:rPr>
                <w:szCs w:val="20"/>
              </w:rPr>
            </w:pPr>
            <w:r w:rsidRPr="00E00B35">
              <w:rPr>
                <w:szCs w:val="20"/>
              </w:rPr>
              <w:t>530.000</w:t>
            </w:r>
          </w:p>
        </w:tc>
        <w:tc>
          <w:tcPr>
            <w:tcW w:w="2515" w:type="dxa"/>
            <w:shd w:val="clear" w:color="auto" w:fill="auto"/>
          </w:tcPr>
          <w:p w:rsidR="00CA14AB" w:rsidRPr="00E00B35" w:rsidRDefault="00CA14AB" w:rsidP="00E00B35">
            <w:pPr>
              <w:spacing w:after="0" w:line="312" w:lineRule="auto"/>
              <w:rPr>
                <w:szCs w:val="20"/>
              </w:rPr>
            </w:pPr>
            <w:r w:rsidRPr="00E00B35">
              <w:rPr>
                <w:szCs w:val="20"/>
              </w:rPr>
              <w:t>529.878</w:t>
            </w:r>
          </w:p>
        </w:tc>
        <w:tc>
          <w:tcPr>
            <w:tcW w:w="2516" w:type="dxa"/>
            <w:shd w:val="clear" w:color="auto" w:fill="auto"/>
          </w:tcPr>
          <w:p w:rsidR="00CA14AB" w:rsidRPr="00E00B35" w:rsidRDefault="00CA14AB" w:rsidP="00E00B35">
            <w:pPr>
              <w:spacing w:after="0" w:line="312" w:lineRule="auto"/>
              <w:rPr>
                <w:szCs w:val="20"/>
              </w:rPr>
            </w:pPr>
            <w:r w:rsidRPr="00E00B35">
              <w:rPr>
                <w:szCs w:val="20"/>
              </w:rPr>
              <w:t>100</w:t>
            </w:r>
          </w:p>
        </w:tc>
      </w:tr>
    </w:tbl>
    <w:p w:rsidR="00283205" w:rsidRPr="00E00B35" w:rsidRDefault="00283205" w:rsidP="00E00B35">
      <w:pPr>
        <w:spacing w:after="0" w:line="312" w:lineRule="auto"/>
        <w:rPr>
          <w:szCs w:val="20"/>
        </w:rPr>
      </w:pPr>
    </w:p>
    <w:p w:rsidR="00CA14AB" w:rsidRPr="00E00B35" w:rsidRDefault="00CA14AB" w:rsidP="00E00B35">
      <w:pPr>
        <w:pStyle w:val="Nagwek4"/>
        <w:spacing w:before="0" w:after="0" w:line="312" w:lineRule="auto"/>
        <w:rPr>
          <w:sz w:val="20"/>
          <w:szCs w:val="20"/>
        </w:rPr>
      </w:pPr>
      <w:r w:rsidRPr="00E00B35">
        <w:rPr>
          <w:sz w:val="20"/>
          <w:szCs w:val="20"/>
        </w:rPr>
        <w:t>DZIAŁANIA ZWIĄZANE Z PANDEMIĄ COVID-19:</w:t>
      </w:r>
    </w:p>
    <w:p w:rsidR="00283205" w:rsidRPr="00E00B35" w:rsidRDefault="00CA14AB" w:rsidP="00BC64AB">
      <w:pPr>
        <w:pStyle w:val="Akapitzlist"/>
        <w:numPr>
          <w:ilvl w:val="0"/>
          <w:numId w:val="234"/>
        </w:numPr>
        <w:spacing w:after="0" w:line="312" w:lineRule="auto"/>
        <w:ind w:left="426" w:hanging="426"/>
        <w:rPr>
          <w:szCs w:val="20"/>
        </w:rPr>
      </w:pPr>
      <w:r w:rsidRPr="00E00B35">
        <w:rPr>
          <w:szCs w:val="20"/>
        </w:rPr>
        <w:t>odwołanie imprez biegowych (8. PKO Nocny Wrocław Półmaraton, 38. PKO Wrocław Maraton, Wrocławski Bieg Niepodległości) oraz WrocWalk Marathon i Wroclove Basketball, 13. Wrocławska Olimpiada Młodzieży;</w:t>
      </w:r>
    </w:p>
    <w:p w:rsidR="00283205" w:rsidRPr="00E00B35" w:rsidRDefault="00CA14AB" w:rsidP="00BC64AB">
      <w:pPr>
        <w:pStyle w:val="Akapitzlist"/>
        <w:numPr>
          <w:ilvl w:val="0"/>
          <w:numId w:val="234"/>
        </w:numPr>
        <w:spacing w:after="0" w:line="312" w:lineRule="auto"/>
        <w:ind w:left="426" w:hanging="426"/>
        <w:rPr>
          <w:szCs w:val="20"/>
        </w:rPr>
      </w:pPr>
      <w:r w:rsidRPr="00E00B35">
        <w:rPr>
          <w:szCs w:val="20"/>
        </w:rPr>
        <w:t>przekazanie hali sportowej przy ul. Parkowej na potrzeby zorganizowania izolatorium dla osób korzystających z pomocy Towarzystwa Pomocy im. św. Brata Alberta (we współpracy z MOPS);</w:t>
      </w:r>
    </w:p>
    <w:p w:rsidR="00283205"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cykl publikacji w mediach społecznościowych dotyczących promocji aktywności fizycznej w czasie pandemii: seria ćwiczeń dla biegaczy do wykonania w domu; cykl publikacji filmów z wrocławskich tras biegowych w parkach oraz wprowadzenie Akademii Biegowej WMT – porad dla osób, które chcą zacząć swoją przygodę z </w:t>
      </w:r>
      <w:r w:rsidRPr="00E00B35">
        <w:rPr>
          <w:szCs w:val="20"/>
        </w:rPr>
        <w:lastRenderedPageBreak/>
        <w:t>bieganiem, ale w indywidualny sposób, w formie darmowych plików .mp3 z gotowymi treningami z głosem trenera (plus rozpiska treningowa);</w:t>
      </w:r>
    </w:p>
    <w:p w:rsidR="00283205" w:rsidRPr="00E00B35" w:rsidRDefault="00CA14AB" w:rsidP="00BC64AB">
      <w:pPr>
        <w:pStyle w:val="Akapitzlist"/>
        <w:numPr>
          <w:ilvl w:val="0"/>
          <w:numId w:val="234"/>
        </w:numPr>
        <w:spacing w:after="0" w:line="312" w:lineRule="auto"/>
        <w:ind w:left="426" w:hanging="426"/>
        <w:rPr>
          <w:szCs w:val="20"/>
        </w:rPr>
      </w:pPr>
      <w:r w:rsidRPr="00E00B35">
        <w:rPr>
          <w:szCs w:val="20"/>
        </w:rPr>
        <w:t>wprowadzenie odpowiedniego reżimu sanitarnego na terenie wszystkich obiektów sportowych (za każdym razem zależnego od aktualnie obowiązujących obostrzeń);</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organizacja półkolonii dla dzieci zagrożonych wykluczeniem społecznym, organizowanych z MOPS. </w:t>
      </w:r>
    </w:p>
    <w:p w:rsidR="00CA14AB" w:rsidRPr="00E00B35" w:rsidRDefault="00CA14AB" w:rsidP="00E00B35">
      <w:pPr>
        <w:pStyle w:val="Nagwek4"/>
        <w:spacing w:before="0" w:after="0" w:line="312" w:lineRule="auto"/>
        <w:rPr>
          <w:rFonts w:eastAsia="Verdana"/>
          <w:sz w:val="20"/>
          <w:szCs w:val="20"/>
        </w:rPr>
      </w:pPr>
      <w:r w:rsidRPr="00E00B35">
        <w:rPr>
          <w:sz w:val="20"/>
          <w:szCs w:val="20"/>
        </w:rPr>
        <w:br/>
      </w:r>
      <w:bookmarkStart w:id="595" w:name="_Toc72352504"/>
      <w:bookmarkStart w:id="596" w:name="_Toc72352938"/>
      <w:bookmarkStart w:id="597" w:name="_Toc72357863"/>
      <w:bookmarkStart w:id="598" w:name="_Toc72358017"/>
      <w:r w:rsidRPr="00E00B35">
        <w:rPr>
          <w:sz w:val="20"/>
          <w:szCs w:val="20"/>
        </w:rPr>
        <w:t>WROCŁAWSKI TOR WYŚCIGÓW KONNYCH PARTYNICE</w:t>
      </w:r>
      <w:bookmarkEnd w:id="595"/>
      <w:bookmarkEnd w:id="596"/>
      <w:bookmarkEnd w:id="597"/>
      <w:bookmarkEnd w:id="598"/>
    </w:p>
    <w:p w:rsidR="00CA14AB" w:rsidRPr="00E00B35" w:rsidRDefault="00CA14AB" w:rsidP="00E00B35">
      <w:pPr>
        <w:spacing w:after="0" w:line="312" w:lineRule="auto"/>
        <w:rPr>
          <w:szCs w:val="20"/>
        </w:rPr>
      </w:pPr>
      <w:r w:rsidRPr="00E00B35">
        <w:rPr>
          <w:szCs w:val="20"/>
        </w:rPr>
        <w:t>Siódmy rok po zmianach w 2013 miał być dla Wrocławskiego Toru Wyścigów Konnych - Partynice skwitowaniem, czasem żniw. Z epidemicznych względów nie był, ale mimo to był udany.</w:t>
      </w:r>
    </w:p>
    <w:p w:rsidR="00CA14AB" w:rsidRPr="00E00B35" w:rsidRDefault="00CA14AB" w:rsidP="00E00B35">
      <w:pPr>
        <w:spacing w:after="0" w:line="312" w:lineRule="auto"/>
        <w:rPr>
          <w:szCs w:val="20"/>
        </w:rPr>
      </w:pPr>
      <w:r w:rsidRPr="00E00B35">
        <w:rPr>
          <w:szCs w:val="20"/>
        </w:rPr>
        <w:t>Tor miał wielki problem z ułożeniem kalendarza imprez 2020, bo zalały nas różnorodne propozycje. Ponieważ wszystkie weekendy mieliśmy wypełnione zdarzeniami, niektóre podmioty decydowały się organizowanie swoich przedsięwzięć w środku tygodnia.</w:t>
      </w:r>
    </w:p>
    <w:p w:rsidR="00CA14AB" w:rsidRPr="00E00B35" w:rsidRDefault="00CA14AB" w:rsidP="00E00B35">
      <w:pPr>
        <w:spacing w:after="0" w:line="312" w:lineRule="auto"/>
        <w:rPr>
          <w:szCs w:val="20"/>
        </w:rPr>
      </w:pPr>
      <w:r w:rsidRPr="00E00B35">
        <w:rPr>
          <w:szCs w:val="20"/>
        </w:rPr>
        <w:t>Nasz sezon zaczyna się w kwietniu. W marcu pojawiły się obostrzenia pandemiczne. Plany poszły w eter. Jednakże od razu zdecydowaliśmy, że wykorzystamy czas ograniczeń na te działania, na które nie mieliśmy zbyt wiele czasu w trakcie klasycznego roku pełnego imprez. Dlatego w dziale rekreacji jeździeckiej odbyły się szkolenia dla zatrudnionych na torze instruktorów jazdy z naturalnych technik pracy z będącymi na stanie jednostki budżetowej końmi.</w:t>
      </w:r>
    </w:p>
    <w:p w:rsidR="00CA14AB" w:rsidRPr="00E00B35" w:rsidRDefault="00CA14AB" w:rsidP="00E00B35">
      <w:pPr>
        <w:spacing w:after="0" w:line="312" w:lineRule="auto"/>
        <w:rPr>
          <w:szCs w:val="20"/>
        </w:rPr>
      </w:pPr>
      <w:r w:rsidRPr="00E00B35">
        <w:rPr>
          <w:szCs w:val="20"/>
        </w:rPr>
        <w:t>W tym czasie zostały zbudowane też estetyczne padoki dla koni rekreacyjnych i wyścigowych. Po raz pierwszy od powstania w roku 2002 zdecydowanemu odświeżeniu poddana została stajnia dla koni rekreacyjnych (40 boksów). W stajni tej zainstalowane zostały nowe automatyczne klapy dymne. Przy niej postawiony został 11- tonowy silos na owies, co zwolniło wewnętrzne pomieszczenia stajni dla ważniejszych potrzeb.</w:t>
      </w:r>
    </w:p>
    <w:p w:rsidR="00CA14AB" w:rsidRPr="00E00B35" w:rsidRDefault="00CA14AB" w:rsidP="00E00B35">
      <w:pPr>
        <w:spacing w:after="0" w:line="312" w:lineRule="auto"/>
        <w:rPr>
          <w:szCs w:val="20"/>
        </w:rPr>
      </w:pPr>
      <w:r w:rsidRPr="00E00B35">
        <w:rPr>
          <w:szCs w:val="20"/>
        </w:rPr>
        <w:t>Zbudowaliśmy także dwie wiaty namiotowe na siano i słomę, które poprawiły ergonomikę pracy załogi i zapewniły większe bezpieczeństwo infrastruktury. Powstał nowy chodnik przy Trybunie Głównej, a ta została poddana impregnacji przeciwpożarowej.</w:t>
      </w:r>
    </w:p>
    <w:p w:rsidR="00CA14AB" w:rsidRPr="00E00B35" w:rsidRDefault="00CA14AB" w:rsidP="00E00B35">
      <w:pPr>
        <w:spacing w:after="0" w:line="312" w:lineRule="auto"/>
        <w:rPr>
          <w:szCs w:val="20"/>
        </w:rPr>
      </w:pPr>
      <w:r w:rsidRPr="00E00B35">
        <w:rPr>
          <w:szCs w:val="20"/>
        </w:rPr>
        <w:t>Przeprowadziliśmy remonty pomieszczeń biurowych.</w:t>
      </w:r>
    </w:p>
    <w:p w:rsidR="00CA14AB" w:rsidRPr="00E00B35" w:rsidRDefault="00CA14AB" w:rsidP="00E00B35">
      <w:pPr>
        <w:spacing w:after="0" w:line="312" w:lineRule="auto"/>
        <w:rPr>
          <w:szCs w:val="20"/>
        </w:rPr>
      </w:pPr>
      <w:r w:rsidRPr="00E00B35">
        <w:rPr>
          <w:szCs w:val="20"/>
        </w:rPr>
        <w:t>Pomiędzy Trybuną Główną, a Boczną inwestor zewnętrzny postawił namiot o powierzchni 200 m kw., który ma świetne walory dla prowadzenia usług gastronomicznych na wysokim poziomie, organizowania imprez artystycznych i organizowania konferencji.</w:t>
      </w:r>
    </w:p>
    <w:p w:rsidR="00CA14AB" w:rsidRPr="00E00B35" w:rsidRDefault="00CA14AB" w:rsidP="00E00B35">
      <w:pPr>
        <w:spacing w:after="0" w:line="312" w:lineRule="auto"/>
        <w:rPr>
          <w:szCs w:val="20"/>
        </w:rPr>
      </w:pPr>
      <w:r w:rsidRPr="00E00B35">
        <w:rPr>
          <w:szCs w:val="20"/>
        </w:rPr>
        <w:t>Zgodnie z założonym planem uruchomiliśmy 100 boksów gościnnych dla koni przyjeżdżających na zawody. Ruszyła budowa dwóch 24-boksowych stajni dla koni wyścigowych, która zakończy się w lutym 2021. To pierwszy etap przebudowy całej, nie spełniającej współczesnych warunków dla bytowania zwierząt, infrastruktury stajennej toru.</w:t>
      </w:r>
    </w:p>
    <w:p w:rsidR="00CA14AB" w:rsidRPr="00E00B35" w:rsidRDefault="00CA14AB" w:rsidP="00E00B35">
      <w:pPr>
        <w:spacing w:after="0" w:line="312" w:lineRule="auto"/>
        <w:rPr>
          <w:szCs w:val="20"/>
        </w:rPr>
      </w:pPr>
      <w:r w:rsidRPr="00E00B35">
        <w:rPr>
          <w:szCs w:val="20"/>
        </w:rPr>
        <w:t xml:space="preserve">Po gruntownym przeorganizowaniu terminów dni wyścigowych zrealizowaliśmy pełny założony program gonitw, dzięki czemu branża wyścigowa przeżyła pandemię. Z zaplanowanych dwunastu dni jedenaście odbyło się bez udziału publiczności. Tylko wrześniowa Wielka Wrocławska była dla niej otwarta i zgromadziła w ciągu dnia siedem tysięcy ludzi. Sytuacja pandemiczna zaowocowała ściślejszą współpracą z warszawskim Służewcem i wspólnym wyścigowym studiem w internecie. Wrocław wyścigi rozgrywał </w:t>
      </w:r>
      <w:r w:rsidRPr="00E00B35">
        <w:rPr>
          <w:szCs w:val="20"/>
        </w:rPr>
        <w:lastRenderedPageBreak/>
        <w:t>w środy więc mógł korzystać z warszawskich dżokejów, którzy tam ścigali się w soboty i niedziele. Ponieważ publiczności i tak nie mogło być, postanowiliśmy w pełni wykorzystać bardzo słaby potencjał polskiego środowiska wyścigowego. To ma swoje dobre konsekwencje, bo plan gonitw na 2021 jest już mocno skolerowany ze Służewcem, po to właśnie, by wzmacniać się nawzajem na nędznym polskim rynku wyścigowym.</w:t>
      </w:r>
    </w:p>
    <w:p w:rsidR="00CA14AB" w:rsidRPr="00E00B35" w:rsidRDefault="00CA14AB" w:rsidP="00E00B35">
      <w:pPr>
        <w:spacing w:after="0" w:line="312" w:lineRule="auto"/>
        <w:rPr>
          <w:szCs w:val="20"/>
        </w:rPr>
      </w:pPr>
      <w:r w:rsidRPr="00E00B35">
        <w:rPr>
          <w:szCs w:val="20"/>
        </w:rPr>
        <w:t xml:space="preserve">Bardzo ciekawym wydarzeniem tego roku była aktywność klubu Vertigo, który nad partynickim stawem zorganizował strefę Babie Lato, otwartą przestrzeń barowo-artystyczną. Przyciągała ona od sierpnia do października tysiące ludzi. </w:t>
      </w:r>
    </w:p>
    <w:p w:rsidR="00CA14AB" w:rsidRPr="00E00B35" w:rsidRDefault="00CA14AB" w:rsidP="00E00B35">
      <w:pPr>
        <w:spacing w:after="0" w:line="312" w:lineRule="auto"/>
        <w:rPr>
          <w:szCs w:val="20"/>
        </w:rPr>
      </w:pPr>
      <w:r w:rsidRPr="00E00B35">
        <w:rPr>
          <w:szCs w:val="20"/>
        </w:rPr>
        <w:t>Za sprawą otwartej rok wcześniej ścieżki Parku Linearnego łącznych wejść na tor było ok. 500 tys., co w roku zarazy jest wynikiem świetnym, bo w 2019 tor odwiedziło 370 tys. ludzi.</w:t>
      </w:r>
    </w:p>
    <w:p w:rsidR="00CA14AB" w:rsidRPr="00E00B35" w:rsidRDefault="00CA14AB" w:rsidP="00E00B35">
      <w:pPr>
        <w:spacing w:after="0" w:line="312" w:lineRule="auto"/>
        <w:rPr>
          <w:szCs w:val="20"/>
        </w:rPr>
      </w:pPr>
      <w:r w:rsidRPr="00E00B35">
        <w:rPr>
          <w:szCs w:val="20"/>
        </w:rPr>
        <w:t>W mieście, na ścianie budynku przy ul. Sądowej pojawił się nasz mural promujący tor. Stylistyką nawiązuje do rzeźby stojącej przy bramie wjazdowej do słynnego toru w Newmarket.</w:t>
      </w:r>
    </w:p>
    <w:p w:rsidR="00CA14AB" w:rsidRPr="00E00B35" w:rsidRDefault="00CA14AB" w:rsidP="00E00B35">
      <w:pPr>
        <w:spacing w:after="0" w:line="312" w:lineRule="auto"/>
        <w:rPr>
          <w:szCs w:val="20"/>
        </w:rPr>
      </w:pPr>
      <w:r w:rsidRPr="00E00B35">
        <w:rPr>
          <w:szCs w:val="20"/>
        </w:rPr>
        <w:t>Browar Profesja wprowadził na rynek dedykowane wrocławskim wyścigom piwo dżokej, co ma też swój wymiar promocyjny.</w:t>
      </w:r>
    </w:p>
    <w:p w:rsidR="00CA14AB" w:rsidRPr="00E00B35" w:rsidRDefault="00CA14AB" w:rsidP="00E00B35">
      <w:pPr>
        <w:spacing w:after="0" w:line="312" w:lineRule="auto"/>
        <w:rPr>
          <w:szCs w:val="20"/>
        </w:rPr>
      </w:pPr>
      <w:r w:rsidRPr="00E00B35">
        <w:rPr>
          <w:szCs w:val="20"/>
        </w:rPr>
        <w:t>Zorganizowaliśmy największe w Polsce zawody w working equitation. To jest stosunkowa młoda dyscyplina jeździecka, ale nawiązująca do historycznych sposobów użytkowania koni i zdobywająca coraz większą popularność w Europie. Stowarzyszenie Working Equitation Polska ma statutowy obowiązek organizowania Mistrzostw Polski na naszym torze, czyli jesteśmy polskim centrum tego sportu.</w:t>
      </w:r>
    </w:p>
    <w:p w:rsidR="00CA14AB" w:rsidRPr="00E00B35" w:rsidRDefault="00CA14AB" w:rsidP="00E00B35">
      <w:pPr>
        <w:spacing w:after="0" w:line="312" w:lineRule="auto"/>
        <w:rPr>
          <w:szCs w:val="20"/>
        </w:rPr>
      </w:pPr>
      <w:r w:rsidRPr="00E00B35">
        <w:rPr>
          <w:szCs w:val="20"/>
        </w:rPr>
        <w:t>Polski Związek Hodowców Koni przeniósł przeniósł do nas z Książa Próbę Dzielności Ogierów Rasy Śląskiej i bardzo zadowolony z efektów będzie ją organizował na torze przez kolejne lata. Będzie to po pandemii wspaniałe widowisko dla ludzi.</w:t>
      </w:r>
    </w:p>
    <w:p w:rsidR="00CA14AB" w:rsidRPr="00E00B35" w:rsidRDefault="00CA14AB" w:rsidP="00E00B35">
      <w:pPr>
        <w:spacing w:after="0" w:line="312" w:lineRule="auto"/>
        <w:rPr>
          <w:szCs w:val="20"/>
        </w:rPr>
      </w:pPr>
      <w:r w:rsidRPr="00E00B35">
        <w:rPr>
          <w:szCs w:val="20"/>
        </w:rPr>
        <w:t>Czas zarazy tę część załogi, która nie mogła wyzbyć się przyzwyczajeń biurowych przekonał do pracy w systemie zadaniowym, tę część, która umie pracować zadaniowo zapalił do poszukiwania nowych rozwiązań, a tę część, która była dotychczas przekonana, że praca to przekleństwo, do tego, że siedzenie w domu to dopiero udręka.</w:t>
      </w:r>
    </w:p>
    <w:p w:rsidR="00CA14AB" w:rsidRPr="00E00B35" w:rsidRDefault="00CA14AB" w:rsidP="00E00B35">
      <w:pPr>
        <w:spacing w:after="0" w:line="312" w:lineRule="auto"/>
        <w:rPr>
          <w:szCs w:val="20"/>
        </w:rPr>
      </w:pPr>
      <w:r w:rsidRPr="00E00B35">
        <w:rPr>
          <w:szCs w:val="20"/>
        </w:rPr>
        <w:t>W tym nieszczęściu są więc istotne pozytywy.</w:t>
      </w:r>
    </w:p>
    <w:p w:rsidR="00CA14AB" w:rsidRPr="00E00B35" w:rsidRDefault="00CA14AB" w:rsidP="00E00B35">
      <w:pPr>
        <w:spacing w:after="0" w:line="312" w:lineRule="auto"/>
        <w:rPr>
          <w:szCs w:val="20"/>
        </w:rPr>
      </w:pPr>
      <w:r w:rsidRPr="00E00B35">
        <w:rPr>
          <w:szCs w:val="20"/>
        </w:rPr>
        <w:t>Plan dochodów na rok 2020 zakładał efekt w postaci 2 949 000 PLN. Mimo przerw w jazdach rekreacyjnych i braku publiczności zarobiliśmy 2 427 500 PLN.</w:t>
      </w:r>
    </w:p>
    <w:p w:rsidR="00CA14AB" w:rsidRPr="00E00B35" w:rsidRDefault="00CA14AB" w:rsidP="00E00B35">
      <w:pPr>
        <w:spacing w:after="0" w:line="312" w:lineRule="auto"/>
        <w:rPr>
          <w:rFonts w:eastAsia="Verdana"/>
          <w:szCs w:val="20"/>
        </w:rPr>
      </w:pPr>
      <w:r w:rsidRPr="00E00B35">
        <w:rPr>
          <w:szCs w:val="20"/>
        </w:rPr>
        <w:t>Jerzy Sawka</w:t>
      </w:r>
    </w:p>
    <w:p w:rsidR="00CA14AB" w:rsidRPr="00E00B35" w:rsidRDefault="00CA14AB" w:rsidP="00E00B35">
      <w:pPr>
        <w:spacing w:after="0" w:line="312" w:lineRule="auto"/>
        <w:rPr>
          <w:rFonts w:eastAsia="Verdana"/>
          <w:szCs w:val="20"/>
        </w:rPr>
      </w:pPr>
      <w:r w:rsidRPr="00E00B35">
        <w:rPr>
          <w:szCs w:val="20"/>
        </w:rPr>
        <w:t>Dyrektor Wrocławskiego Toru Wyścigów Konnych - Partynice</w:t>
      </w:r>
    </w:p>
    <w:p w:rsidR="00CA14AB" w:rsidRPr="00E00B35" w:rsidRDefault="00CA14AB" w:rsidP="00E00B35">
      <w:pPr>
        <w:spacing w:after="0" w:line="312" w:lineRule="auto"/>
        <w:rPr>
          <w:rFonts w:eastAsia="Verdana"/>
          <w:szCs w:val="20"/>
        </w:rPr>
      </w:pPr>
      <w:r w:rsidRPr="00E00B35">
        <w:rPr>
          <w:rFonts w:eastAsia="Verdana"/>
          <w:szCs w:val="20"/>
        </w:rPr>
        <w:br w:type="page"/>
      </w:r>
    </w:p>
    <w:p w:rsidR="00890136" w:rsidRPr="00E00B35" w:rsidRDefault="00890136" w:rsidP="00E00B35">
      <w:pPr>
        <w:pStyle w:val="Nagwek5"/>
        <w:rPr>
          <w:szCs w:val="20"/>
        </w:rPr>
      </w:pPr>
      <w:bookmarkStart w:id="599" w:name="_Toc72352505"/>
      <w:bookmarkStart w:id="600" w:name="_Toc72352939"/>
    </w:p>
    <w:p w:rsidR="00CA14AB" w:rsidRPr="00E00B35" w:rsidRDefault="00CA14AB" w:rsidP="00E00B35">
      <w:pPr>
        <w:pStyle w:val="Nagwek5"/>
        <w:rPr>
          <w:rFonts w:eastAsia="Verdana"/>
          <w:szCs w:val="20"/>
        </w:rPr>
      </w:pPr>
      <w:r w:rsidRPr="00E00B35">
        <w:rPr>
          <w:szCs w:val="20"/>
        </w:rPr>
        <w:t>WYŚCIGI</w:t>
      </w:r>
      <w:bookmarkEnd w:id="599"/>
      <w:bookmarkEnd w:id="600"/>
    </w:p>
    <w:p w:rsidR="00CA14AB" w:rsidRPr="00E00B35" w:rsidRDefault="00CA14AB" w:rsidP="00E00B35">
      <w:pPr>
        <w:spacing w:after="0" w:line="312" w:lineRule="auto"/>
        <w:rPr>
          <w:szCs w:val="20"/>
        </w:rPr>
      </w:pPr>
      <w:r w:rsidRPr="00E00B35">
        <w:rPr>
          <w:szCs w:val="20"/>
        </w:rPr>
        <w:t xml:space="preserve">Największą indywidualnością wśród koni ścigających się w sezonie 2020 na Partynicach była pięcioletnia klacz Cosmic Magic, która we Wrocławiu startowała i zwyciężyła czterokrotnie. Wygrała obie najważniejsze gonitwy – Wielką Wrocławską Nagrodę Prezydenta Wrocławia i Crystal Cup o Nagrodę Portu Lotniczego Wrocław – a także Nagrodę Otwarcia Sezonu Przeszkodowego i Wrocławska Trial. Jej właścicielem w Czechach jest I.K.Art s.r.o., a trenerem – Radim Bodlak. </w:t>
      </w:r>
    </w:p>
    <w:p w:rsidR="00CA14AB" w:rsidRPr="00E00B35" w:rsidRDefault="00CA14AB" w:rsidP="00E00B35">
      <w:pPr>
        <w:spacing w:after="0" w:line="312" w:lineRule="auto"/>
        <w:rPr>
          <w:szCs w:val="20"/>
        </w:rPr>
      </w:pPr>
      <w:r w:rsidRPr="00E00B35">
        <w:rPr>
          <w:szCs w:val="20"/>
        </w:rPr>
        <w:t>Trenowany we Wrocławiu przez Michała Borkowskiego sześcioletni Spasski triumfował w najważniejszej gonitwie z płotami – Wielkiej Partynickiej Nagrodzie Totalizatora Sportowego; jego właścicielem jest Sascha Mladenovic. Ever Soleado, podopieczny innego wrocławskiego trenera Roberta Świątka, został zwycięzcą Nagrody Przewodniczącego Sejmiku Dolnośląskiego, która stanowiła finał rywalizacji trzyletnich koni w gonitwach z płotami; właścicielem tego konia jest Wiesław Jakub Kartus.</w:t>
      </w:r>
    </w:p>
    <w:p w:rsidR="00CA14AB" w:rsidRPr="00E00B35" w:rsidRDefault="00CA14AB" w:rsidP="00E00B35">
      <w:pPr>
        <w:spacing w:after="0" w:line="312" w:lineRule="auto"/>
        <w:rPr>
          <w:szCs w:val="20"/>
        </w:rPr>
      </w:pPr>
      <w:r w:rsidRPr="00E00B35">
        <w:rPr>
          <w:szCs w:val="20"/>
        </w:rPr>
        <w:t>Konie trenowane na Partynicach ścigały się również na stołecznym Służewcu i w Sopocie, a także poza granicami kraju, przywożąc 33 zwycięstwa. Po najcenniejsze sięgnął w Paryżu Fazza Al Khalediah, sześcioletni ogier czystej krwi arabskiej trenera Michała Borkowskiego, wygrywając gonitwę Qatar Cup (Prix Dragon) zaliczaną do najwyższej światowej kategorii G1, zwyciężył także na torze Mons-Glin w Belgii. Cenny zagraniczny sukces osiągnął również Ever Soleado, który zajął drugie miejsce w gonitwie z płotami rangi G2 – Premio Giulio Berlingeri w Mediolanie.</w:t>
      </w:r>
    </w:p>
    <w:p w:rsidR="00CA14AB" w:rsidRPr="00E00B35" w:rsidRDefault="00CA14AB" w:rsidP="00E00B35">
      <w:pPr>
        <w:spacing w:after="0" w:line="312" w:lineRule="auto"/>
        <w:rPr>
          <w:szCs w:val="20"/>
        </w:rPr>
      </w:pPr>
      <w:r w:rsidRPr="00E00B35">
        <w:rPr>
          <w:szCs w:val="20"/>
        </w:rPr>
        <w:t>W Warszawie najwięcej gonitw wygrały konie trenowane przez Michała Borkowskiego, a najbardziej prestiżowe zwycięstwo odniosła sześcioletnia klacz arabska Anood Al Khalediah, która po raz drugi z rzędu wygrała międzynarodową gonitwę Al Khalediah Poland Cup Listed PA najwyższej kategorii A. Trzyletni arab Mayar Al Khalediah tego samego trenera zwyciężył w międzynarodowej Nagrodzie Białki (kat. A), a inny trzyletni koń arabski Echaron trenowany przez Małgorzatę Kryszyłowicz okazał się najlepszy w międzynarodowej Nagrodzie Sambora (kat. A). Swoich zwycięzców w stolicy mieli także Wojciech Chaboski i Wiesław Kryszyłowicz, a koń trenowany przez Justynę Domańską zwyciężył w Sopocie.</w:t>
      </w:r>
    </w:p>
    <w:p w:rsidR="00CA14AB" w:rsidRPr="00E00B35" w:rsidRDefault="00CA14AB" w:rsidP="00E00B35">
      <w:pPr>
        <w:spacing w:after="0" w:line="312" w:lineRule="auto"/>
        <w:rPr>
          <w:szCs w:val="20"/>
        </w:rPr>
      </w:pPr>
      <w:r w:rsidRPr="00E00B35">
        <w:rPr>
          <w:szCs w:val="20"/>
        </w:rPr>
        <w:t>Czempionem trenerów na Partynicach został Michał Borkowski, który także okazał się najlepszy wśród trenerów koni przeszkodowych. Najlepszym jeźdźcem w gonitwach z płotami i z przeszkodami został szwedzki dżokej Niklas Loven, a w gonitwach płaskich – Kamil Grzybowski. Puchar Młodych Jeźdźców rozgrywany pod patronatem Dyrektora WTWK-Partynice zdobył Sanzhar Altynbekov.</w:t>
      </w:r>
    </w:p>
    <w:p w:rsidR="00CA14AB" w:rsidRPr="00E00B35" w:rsidRDefault="00CA14AB" w:rsidP="00E00B35">
      <w:pPr>
        <w:spacing w:after="0" w:line="312" w:lineRule="auto"/>
        <w:rPr>
          <w:szCs w:val="20"/>
        </w:rPr>
      </w:pPr>
      <w:r w:rsidRPr="00E00B35">
        <w:rPr>
          <w:szCs w:val="20"/>
        </w:rPr>
        <w:t>Sezon 2020 na Partynicach obejmował 12 dni wyścigowych, podczas których rozegrano 83 gonitwy. Wielka Wrocławska Nagroda Prezydenta Wrocławia rozegrana została 13 września, Crystal Cup o Nagrodę Portu Lotniczego Wrocław – 18 października.</w:t>
      </w:r>
    </w:p>
    <w:p w:rsidR="00CA14AB" w:rsidRPr="00E00B35" w:rsidRDefault="00CA14AB" w:rsidP="00E00B35">
      <w:pPr>
        <w:spacing w:after="0" w:line="312" w:lineRule="auto"/>
        <w:rPr>
          <w:szCs w:val="20"/>
        </w:rPr>
      </w:pPr>
      <w:r w:rsidRPr="00E00B35">
        <w:rPr>
          <w:szCs w:val="20"/>
        </w:rPr>
        <w:t>W 2020 roku we współpracy z warszawskim Torem Służewiec podczas wyścigów na Partynicach działało studio telewizyjne, które na żywo realizowało w Internecie relację z wrocławskich gonitw, uzupełnianą rozmowami z zaproszonymi gośćmi.</w:t>
      </w:r>
    </w:p>
    <w:p w:rsidR="00CA14AB" w:rsidRPr="00E00B35" w:rsidRDefault="00CA14AB" w:rsidP="00E00B35">
      <w:pPr>
        <w:spacing w:after="0" w:line="312" w:lineRule="auto"/>
        <w:rPr>
          <w:szCs w:val="20"/>
        </w:rPr>
      </w:pPr>
      <w:r w:rsidRPr="00E00B35">
        <w:rPr>
          <w:szCs w:val="20"/>
        </w:rPr>
        <w:br w:type="page"/>
      </w:r>
    </w:p>
    <w:p w:rsidR="00CA14AB" w:rsidRPr="00E00B35" w:rsidRDefault="00CA14AB" w:rsidP="00E00B35">
      <w:pPr>
        <w:spacing w:after="0" w:line="312" w:lineRule="auto"/>
        <w:rPr>
          <w:szCs w:val="20"/>
        </w:rPr>
      </w:pPr>
      <w:r w:rsidRPr="00E00B35">
        <w:rPr>
          <w:szCs w:val="20"/>
        </w:rPr>
        <w:lastRenderedPageBreak/>
        <w:t>Wyścigi</w:t>
      </w:r>
    </w:p>
    <w:tbl>
      <w:tblPr>
        <w:tblW w:w="6390" w:type="dxa"/>
        <w:tblInd w:w="1266"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CellMar>
          <w:left w:w="10" w:type="dxa"/>
          <w:right w:w="10" w:type="dxa"/>
        </w:tblCellMar>
        <w:tblLook w:val="04A0"/>
      </w:tblPr>
      <w:tblGrid>
        <w:gridCol w:w="1710"/>
        <w:gridCol w:w="1560"/>
        <w:gridCol w:w="1560"/>
        <w:gridCol w:w="1560"/>
      </w:tblGrid>
      <w:tr w:rsidR="00CA14AB" w:rsidRPr="00E00B35" w:rsidTr="00CA14AB">
        <w:trPr>
          <w:trHeight w:val="315"/>
        </w:trPr>
        <w:tc>
          <w:tcPr>
            <w:tcW w:w="1710" w:type="dxa"/>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Rodzaj</w:t>
            </w:r>
          </w:p>
        </w:tc>
        <w:tc>
          <w:tcPr>
            <w:tcW w:w="1560" w:type="dxa"/>
            <w:vAlign w:val="center"/>
          </w:tcPr>
          <w:p w:rsidR="00CA14AB" w:rsidRPr="00E00B35" w:rsidRDefault="00CA14AB" w:rsidP="00E00B35">
            <w:pPr>
              <w:spacing w:after="0" w:line="312" w:lineRule="auto"/>
              <w:rPr>
                <w:szCs w:val="20"/>
              </w:rPr>
            </w:pPr>
            <w:r w:rsidRPr="00E00B35">
              <w:rPr>
                <w:szCs w:val="20"/>
              </w:rPr>
              <w:t>2018</w:t>
            </w:r>
          </w:p>
        </w:tc>
        <w:tc>
          <w:tcPr>
            <w:tcW w:w="1560" w:type="dxa"/>
            <w:vAlign w:val="center"/>
          </w:tcPr>
          <w:p w:rsidR="00CA14AB" w:rsidRPr="00E00B35" w:rsidRDefault="00CA14AB" w:rsidP="00E00B35">
            <w:pPr>
              <w:spacing w:after="0" w:line="312" w:lineRule="auto"/>
              <w:rPr>
                <w:szCs w:val="20"/>
              </w:rPr>
            </w:pPr>
            <w:r w:rsidRPr="00E00B35">
              <w:rPr>
                <w:szCs w:val="20"/>
              </w:rPr>
              <w:t>2019</w:t>
            </w:r>
          </w:p>
        </w:tc>
        <w:tc>
          <w:tcPr>
            <w:tcW w:w="1560" w:type="dxa"/>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300"/>
        </w:trPr>
        <w:tc>
          <w:tcPr>
            <w:tcW w:w="1710" w:type="dxa"/>
            <w:tcBorders>
              <w:bottom w:val="single" w:sz="8" w:space="0" w:color="00000A"/>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mityngi</w:t>
            </w:r>
          </w:p>
        </w:tc>
        <w:tc>
          <w:tcPr>
            <w:tcW w:w="1560" w:type="dxa"/>
            <w:tcBorders>
              <w:bottom w:val="single" w:sz="8" w:space="0" w:color="00000A"/>
            </w:tcBorders>
            <w:vAlign w:val="center"/>
          </w:tcPr>
          <w:p w:rsidR="00CA14AB" w:rsidRPr="00E00B35" w:rsidRDefault="00CA14AB" w:rsidP="00E00B35">
            <w:pPr>
              <w:spacing w:after="0" w:line="312" w:lineRule="auto"/>
              <w:rPr>
                <w:szCs w:val="20"/>
              </w:rPr>
            </w:pPr>
            <w:r w:rsidRPr="00E00B35">
              <w:rPr>
                <w:szCs w:val="20"/>
              </w:rPr>
              <w:t>18</w:t>
            </w:r>
          </w:p>
        </w:tc>
        <w:tc>
          <w:tcPr>
            <w:tcW w:w="1560" w:type="dxa"/>
            <w:tcBorders>
              <w:bottom w:val="single" w:sz="8" w:space="0" w:color="00000A"/>
            </w:tcBorders>
            <w:vAlign w:val="center"/>
          </w:tcPr>
          <w:p w:rsidR="00CA14AB" w:rsidRPr="00E00B35" w:rsidRDefault="00CA14AB" w:rsidP="00E00B35">
            <w:pPr>
              <w:spacing w:after="0" w:line="312" w:lineRule="auto"/>
              <w:rPr>
                <w:szCs w:val="20"/>
              </w:rPr>
            </w:pPr>
            <w:r w:rsidRPr="00E00B35">
              <w:rPr>
                <w:szCs w:val="20"/>
              </w:rPr>
              <w:t>12</w:t>
            </w:r>
          </w:p>
        </w:tc>
        <w:tc>
          <w:tcPr>
            <w:tcW w:w="1560" w:type="dxa"/>
            <w:tcBorders>
              <w:bottom w:val="single" w:sz="8" w:space="0" w:color="00000A"/>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12</w:t>
            </w:r>
          </w:p>
        </w:tc>
      </w:tr>
      <w:tr w:rsidR="00CA14AB" w:rsidRPr="00E00B35" w:rsidTr="00CA14AB">
        <w:trPr>
          <w:trHeight w:val="300"/>
        </w:trPr>
        <w:tc>
          <w:tcPr>
            <w:tcW w:w="1710" w:type="dxa"/>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gonitwy</w:t>
            </w:r>
          </w:p>
        </w:tc>
        <w:tc>
          <w:tcPr>
            <w:tcW w:w="1560" w:type="dxa"/>
            <w:vAlign w:val="center"/>
          </w:tcPr>
          <w:p w:rsidR="00CA14AB" w:rsidRPr="00E00B35" w:rsidRDefault="00CA14AB" w:rsidP="00E00B35">
            <w:pPr>
              <w:spacing w:after="0" w:line="312" w:lineRule="auto"/>
              <w:rPr>
                <w:szCs w:val="20"/>
              </w:rPr>
            </w:pPr>
            <w:r w:rsidRPr="00E00B35">
              <w:rPr>
                <w:szCs w:val="20"/>
              </w:rPr>
              <w:t>125</w:t>
            </w:r>
          </w:p>
        </w:tc>
        <w:tc>
          <w:tcPr>
            <w:tcW w:w="1560" w:type="dxa"/>
            <w:vAlign w:val="center"/>
          </w:tcPr>
          <w:p w:rsidR="00CA14AB" w:rsidRPr="00E00B35" w:rsidRDefault="00CA14AB" w:rsidP="00E00B35">
            <w:pPr>
              <w:spacing w:after="0" w:line="312" w:lineRule="auto"/>
              <w:rPr>
                <w:szCs w:val="20"/>
              </w:rPr>
            </w:pPr>
            <w:r w:rsidRPr="00E00B35">
              <w:rPr>
                <w:szCs w:val="20"/>
              </w:rPr>
              <w:t>82</w:t>
            </w:r>
          </w:p>
        </w:tc>
        <w:tc>
          <w:tcPr>
            <w:tcW w:w="1560" w:type="dxa"/>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83</w:t>
            </w:r>
          </w:p>
        </w:tc>
      </w:tr>
    </w:tbl>
    <w:p w:rsidR="00283205" w:rsidRPr="00E00B35" w:rsidRDefault="00283205"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Pula nagród</w:t>
      </w:r>
    </w:p>
    <w:tbl>
      <w:tblPr>
        <w:tblW w:w="6379" w:type="dxa"/>
        <w:tblInd w:w="1266"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CellMar>
          <w:left w:w="10" w:type="dxa"/>
          <w:right w:w="10" w:type="dxa"/>
        </w:tblCellMar>
        <w:tblLook w:val="04A0"/>
      </w:tblPr>
      <w:tblGrid>
        <w:gridCol w:w="2221"/>
        <w:gridCol w:w="2173"/>
        <w:gridCol w:w="1985"/>
      </w:tblGrid>
      <w:tr w:rsidR="00CA14AB" w:rsidRPr="00E00B35" w:rsidTr="00CA14AB">
        <w:trPr>
          <w:trHeight w:val="315"/>
        </w:trPr>
        <w:tc>
          <w:tcPr>
            <w:tcW w:w="2221" w:type="dxa"/>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2018</w:t>
            </w:r>
          </w:p>
        </w:tc>
        <w:tc>
          <w:tcPr>
            <w:tcW w:w="2173" w:type="dxa"/>
            <w:vAlign w:val="center"/>
          </w:tcPr>
          <w:p w:rsidR="00CA14AB" w:rsidRPr="00E00B35" w:rsidRDefault="00CA14AB" w:rsidP="00E00B35">
            <w:pPr>
              <w:spacing w:after="0" w:line="312" w:lineRule="auto"/>
              <w:rPr>
                <w:szCs w:val="20"/>
              </w:rPr>
            </w:pPr>
            <w:r w:rsidRPr="00E00B35">
              <w:rPr>
                <w:szCs w:val="20"/>
              </w:rPr>
              <w:t>2019</w:t>
            </w:r>
          </w:p>
        </w:tc>
        <w:tc>
          <w:tcPr>
            <w:tcW w:w="1985" w:type="dxa"/>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300"/>
        </w:trPr>
        <w:tc>
          <w:tcPr>
            <w:tcW w:w="2221" w:type="dxa"/>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2 022 900 zł</w:t>
            </w:r>
          </w:p>
        </w:tc>
        <w:tc>
          <w:tcPr>
            <w:tcW w:w="2173" w:type="dxa"/>
            <w:vAlign w:val="center"/>
          </w:tcPr>
          <w:p w:rsidR="00CA14AB" w:rsidRPr="00E00B35" w:rsidRDefault="00CA14AB" w:rsidP="00E00B35">
            <w:pPr>
              <w:spacing w:after="0" w:line="312" w:lineRule="auto"/>
              <w:rPr>
                <w:szCs w:val="20"/>
              </w:rPr>
            </w:pPr>
            <w:r w:rsidRPr="00E00B35">
              <w:rPr>
                <w:szCs w:val="20"/>
              </w:rPr>
              <w:t>1 539 800 zł</w:t>
            </w:r>
          </w:p>
        </w:tc>
        <w:tc>
          <w:tcPr>
            <w:tcW w:w="1985" w:type="dxa"/>
            <w:vAlign w:val="center"/>
          </w:tcPr>
          <w:p w:rsidR="00CA14AB" w:rsidRPr="00E00B35" w:rsidRDefault="00CA14AB" w:rsidP="00E00B35">
            <w:pPr>
              <w:spacing w:after="0" w:line="312" w:lineRule="auto"/>
              <w:rPr>
                <w:szCs w:val="20"/>
              </w:rPr>
            </w:pPr>
            <w:r w:rsidRPr="00E00B35">
              <w:rPr>
                <w:szCs w:val="20"/>
              </w:rPr>
              <w:t>1 667 600 zł</w:t>
            </w:r>
          </w:p>
        </w:tc>
      </w:tr>
    </w:tbl>
    <w:p w:rsidR="00283205" w:rsidRPr="00E00B35" w:rsidRDefault="00283205" w:rsidP="00E00B35">
      <w:pPr>
        <w:spacing w:after="0" w:line="312" w:lineRule="auto"/>
        <w:rPr>
          <w:szCs w:val="20"/>
        </w:rPr>
      </w:pPr>
      <w:bookmarkStart w:id="601" w:name="_Toc72352506"/>
      <w:bookmarkStart w:id="602" w:name="_Toc72352940"/>
    </w:p>
    <w:p w:rsidR="00CA14AB" w:rsidRPr="00E00B35" w:rsidRDefault="00CA14AB" w:rsidP="00E00B35">
      <w:pPr>
        <w:spacing w:after="0" w:line="312" w:lineRule="auto"/>
        <w:rPr>
          <w:szCs w:val="20"/>
        </w:rPr>
      </w:pPr>
      <w:r w:rsidRPr="00E00B35">
        <w:rPr>
          <w:szCs w:val="20"/>
        </w:rPr>
        <w:t>Konie</w:t>
      </w:r>
      <w:bookmarkEnd w:id="601"/>
      <w:bookmarkEnd w:id="602"/>
    </w:p>
    <w:p w:rsidR="00CA14AB" w:rsidRPr="00E00B35" w:rsidRDefault="00CA14AB" w:rsidP="00E00B35">
      <w:pPr>
        <w:spacing w:after="0" w:line="312" w:lineRule="auto"/>
        <w:rPr>
          <w:szCs w:val="20"/>
        </w:rPr>
      </w:pPr>
      <w:r w:rsidRPr="00E00B35">
        <w:rPr>
          <w:szCs w:val="20"/>
        </w:rPr>
        <w:t>Podstawą wyścigów na Partynicach są konie pełnej krwi angielskiej; w 2020 r. stacjonowało ich w tutejszych stajniach 110 (2-letnie, 3-letnie oraz 4-letnie i starsze). Stawkę uzupełniały konie arabskie czystej krwi (3-letnie oraz 4-letnie i starsze) w liczbie 66. Łącznie na WTWK Partynice prowadzony był stacjonarny trening 176 koni.</w:t>
      </w:r>
    </w:p>
    <w:p w:rsidR="00CA14AB" w:rsidRPr="00E00B35" w:rsidRDefault="00CA14AB" w:rsidP="00E00B35">
      <w:pPr>
        <w:spacing w:after="0" w:line="312" w:lineRule="auto"/>
        <w:rPr>
          <w:szCs w:val="20"/>
        </w:rPr>
      </w:pPr>
      <w:r w:rsidRPr="00E00B35">
        <w:rPr>
          <w:szCs w:val="20"/>
        </w:rPr>
        <w:t>Konie w treningu na Partynicach</w:t>
      </w:r>
    </w:p>
    <w:tbl>
      <w:tblPr>
        <w:tblW w:w="5957" w:type="dxa"/>
        <w:tblInd w:w="1550" w:type="dxa"/>
        <w:tblLayout w:type="fixed"/>
        <w:tblCellMar>
          <w:left w:w="10" w:type="dxa"/>
          <w:right w:w="10" w:type="dxa"/>
        </w:tblCellMar>
        <w:tblLook w:val="04A0"/>
      </w:tblPr>
      <w:tblGrid>
        <w:gridCol w:w="2993"/>
        <w:gridCol w:w="1050"/>
        <w:gridCol w:w="957"/>
        <w:gridCol w:w="957"/>
      </w:tblGrid>
      <w:tr w:rsidR="00CA14AB" w:rsidRPr="00E00B35" w:rsidTr="00CA14AB">
        <w:trPr>
          <w:trHeight w:val="315"/>
        </w:trPr>
        <w:tc>
          <w:tcPr>
            <w:tcW w:w="2993" w:type="dxa"/>
            <w:tcBorders>
              <w:top w:val="single" w:sz="8" w:space="0" w:color="00000A"/>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Rasa</w:t>
            </w:r>
          </w:p>
        </w:tc>
        <w:tc>
          <w:tcPr>
            <w:tcW w:w="1050" w:type="dxa"/>
            <w:tcBorders>
              <w:top w:val="single" w:sz="8" w:space="0" w:color="00000A"/>
              <w:bottom w:val="single" w:sz="8" w:space="0" w:color="00000A"/>
              <w:right w:val="single" w:sz="8" w:space="0" w:color="00000A"/>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2018</w:t>
            </w:r>
          </w:p>
        </w:tc>
        <w:tc>
          <w:tcPr>
            <w:tcW w:w="957" w:type="dxa"/>
            <w:tcBorders>
              <w:top w:val="single" w:sz="8" w:space="0" w:color="00000A"/>
              <w:bottom w:val="single" w:sz="8" w:space="0" w:color="00000A"/>
              <w:right w:val="single" w:sz="8" w:space="0" w:color="000001"/>
            </w:tcBorders>
            <w:vAlign w:val="center"/>
          </w:tcPr>
          <w:p w:rsidR="00CA14AB" w:rsidRPr="00E00B35" w:rsidRDefault="00CA14AB" w:rsidP="00E00B35">
            <w:pPr>
              <w:spacing w:after="0" w:line="312" w:lineRule="auto"/>
              <w:rPr>
                <w:szCs w:val="20"/>
              </w:rPr>
            </w:pPr>
            <w:r w:rsidRPr="00E00B35">
              <w:rPr>
                <w:szCs w:val="20"/>
              </w:rPr>
              <w:t>2019</w:t>
            </w:r>
          </w:p>
        </w:tc>
        <w:tc>
          <w:tcPr>
            <w:tcW w:w="957" w:type="dxa"/>
            <w:tcBorders>
              <w:top w:val="single" w:sz="8" w:space="0" w:color="00000A"/>
              <w:left w:val="single" w:sz="8" w:space="0" w:color="000001"/>
              <w:bottom w:val="single" w:sz="8" w:space="0" w:color="00000A"/>
              <w:right w:val="single" w:sz="8" w:space="0" w:color="00000A"/>
            </w:tcBorders>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315"/>
        </w:trPr>
        <w:tc>
          <w:tcPr>
            <w:tcW w:w="2993"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łącznie</w:t>
            </w:r>
          </w:p>
        </w:tc>
        <w:tc>
          <w:tcPr>
            <w:tcW w:w="1050" w:type="dxa"/>
            <w:tcBorders>
              <w:bottom w:val="single" w:sz="8" w:space="0" w:color="00000A"/>
              <w:right w:val="single" w:sz="8" w:space="0" w:color="00000A"/>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152</w:t>
            </w:r>
          </w:p>
        </w:tc>
        <w:tc>
          <w:tcPr>
            <w:tcW w:w="957" w:type="dxa"/>
            <w:tcBorders>
              <w:bottom w:val="single" w:sz="8" w:space="0" w:color="00000A"/>
              <w:right w:val="single" w:sz="8" w:space="0" w:color="000001"/>
            </w:tcBorders>
            <w:vAlign w:val="center"/>
          </w:tcPr>
          <w:p w:rsidR="00CA14AB" w:rsidRPr="00E00B35" w:rsidRDefault="00CA14AB" w:rsidP="00E00B35">
            <w:pPr>
              <w:spacing w:after="0" w:line="312" w:lineRule="auto"/>
              <w:rPr>
                <w:szCs w:val="20"/>
              </w:rPr>
            </w:pPr>
            <w:r w:rsidRPr="00E00B35">
              <w:rPr>
                <w:szCs w:val="20"/>
              </w:rPr>
              <w:t>172</w:t>
            </w:r>
          </w:p>
        </w:tc>
        <w:tc>
          <w:tcPr>
            <w:tcW w:w="957" w:type="dxa"/>
            <w:tcBorders>
              <w:top w:val="single" w:sz="8" w:space="0" w:color="00000A"/>
              <w:left w:val="single" w:sz="8" w:space="0" w:color="000001"/>
              <w:bottom w:val="single" w:sz="8" w:space="0" w:color="00000A"/>
              <w:right w:val="single" w:sz="8" w:space="0" w:color="00000A"/>
            </w:tcBorders>
            <w:vAlign w:val="center"/>
          </w:tcPr>
          <w:p w:rsidR="00CA14AB" w:rsidRPr="00E00B35" w:rsidRDefault="00CA14AB" w:rsidP="00E00B35">
            <w:pPr>
              <w:spacing w:after="0" w:line="312" w:lineRule="auto"/>
              <w:rPr>
                <w:szCs w:val="20"/>
              </w:rPr>
            </w:pPr>
            <w:r w:rsidRPr="00E00B35">
              <w:rPr>
                <w:szCs w:val="20"/>
              </w:rPr>
              <w:t>176</w:t>
            </w:r>
          </w:p>
        </w:tc>
      </w:tr>
      <w:tr w:rsidR="00CA14AB" w:rsidRPr="00E00B35" w:rsidTr="00CA14AB">
        <w:trPr>
          <w:trHeight w:val="300"/>
        </w:trPr>
        <w:tc>
          <w:tcPr>
            <w:tcW w:w="2993"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pełna krew angielska</w:t>
            </w:r>
          </w:p>
        </w:tc>
        <w:tc>
          <w:tcPr>
            <w:tcW w:w="1050" w:type="dxa"/>
            <w:tcBorders>
              <w:bottom w:val="single" w:sz="8" w:space="0" w:color="00000A"/>
              <w:right w:val="single" w:sz="8" w:space="0" w:color="00000A"/>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110</w:t>
            </w:r>
          </w:p>
        </w:tc>
        <w:tc>
          <w:tcPr>
            <w:tcW w:w="957" w:type="dxa"/>
            <w:tcBorders>
              <w:bottom w:val="single" w:sz="8" w:space="0" w:color="00000A"/>
              <w:right w:val="single" w:sz="8" w:space="0" w:color="000001"/>
            </w:tcBorders>
            <w:vAlign w:val="center"/>
          </w:tcPr>
          <w:p w:rsidR="00CA14AB" w:rsidRPr="00E00B35" w:rsidRDefault="00CA14AB" w:rsidP="00E00B35">
            <w:pPr>
              <w:spacing w:after="0" w:line="312" w:lineRule="auto"/>
              <w:rPr>
                <w:szCs w:val="20"/>
              </w:rPr>
            </w:pPr>
            <w:r w:rsidRPr="00E00B35">
              <w:rPr>
                <w:szCs w:val="20"/>
              </w:rPr>
              <w:t>129</w:t>
            </w:r>
          </w:p>
        </w:tc>
        <w:tc>
          <w:tcPr>
            <w:tcW w:w="957" w:type="dxa"/>
            <w:tcBorders>
              <w:top w:val="single" w:sz="8" w:space="0" w:color="00000A"/>
              <w:left w:val="single" w:sz="8" w:space="0" w:color="000001"/>
              <w:bottom w:val="single" w:sz="8" w:space="0" w:color="00000A"/>
              <w:right w:val="single" w:sz="8" w:space="0" w:color="00000A"/>
            </w:tcBorders>
            <w:vAlign w:val="center"/>
          </w:tcPr>
          <w:p w:rsidR="00CA14AB" w:rsidRPr="00E00B35" w:rsidRDefault="00CA14AB" w:rsidP="00E00B35">
            <w:pPr>
              <w:spacing w:after="0" w:line="312" w:lineRule="auto"/>
              <w:rPr>
                <w:szCs w:val="20"/>
              </w:rPr>
            </w:pPr>
            <w:r w:rsidRPr="00E00B35">
              <w:rPr>
                <w:szCs w:val="20"/>
              </w:rPr>
              <w:t>110</w:t>
            </w:r>
          </w:p>
        </w:tc>
      </w:tr>
      <w:tr w:rsidR="00CA14AB" w:rsidRPr="00E00B35" w:rsidTr="00CA14AB">
        <w:trPr>
          <w:trHeight w:val="300"/>
        </w:trPr>
        <w:tc>
          <w:tcPr>
            <w:tcW w:w="2993"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czysta krew arabska</w:t>
            </w:r>
          </w:p>
        </w:tc>
        <w:tc>
          <w:tcPr>
            <w:tcW w:w="1050" w:type="dxa"/>
            <w:tcBorders>
              <w:bottom w:val="single" w:sz="8" w:space="0" w:color="00000A"/>
              <w:right w:val="single" w:sz="8" w:space="0" w:color="00000A"/>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42</w:t>
            </w:r>
          </w:p>
        </w:tc>
        <w:tc>
          <w:tcPr>
            <w:tcW w:w="957" w:type="dxa"/>
            <w:tcBorders>
              <w:bottom w:val="single" w:sz="8" w:space="0" w:color="00000A"/>
              <w:right w:val="single" w:sz="8" w:space="0" w:color="000001"/>
            </w:tcBorders>
            <w:vAlign w:val="center"/>
          </w:tcPr>
          <w:p w:rsidR="00CA14AB" w:rsidRPr="00E00B35" w:rsidRDefault="00CA14AB" w:rsidP="00E00B35">
            <w:pPr>
              <w:spacing w:after="0" w:line="312" w:lineRule="auto"/>
              <w:rPr>
                <w:szCs w:val="20"/>
              </w:rPr>
            </w:pPr>
            <w:r w:rsidRPr="00E00B35">
              <w:rPr>
                <w:szCs w:val="20"/>
              </w:rPr>
              <w:t>43</w:t>
            </w:r>
          </w:p>
        </w:tc>
        <w:tc>
          <w:tcPr>
            <w:tcW w:w="957" w:type="dxa"/>
            <w:tcBorders>
              <w:top w:val="single" w:sz="8" w:space="0" w:color="00000A"/>
              <w:left w:val="single" w:sz="8" w:space="0" w:color="000001"/>
              <w:bottom w:val="single" w:sz="8" w:space="0" w:color="00000A"/>
              <w:right w:val="single" w:sz="8" w:space="0" w:color="00000A"/>
            </w:tcBorders>
            <w:vAlign w:val="center"/>
          </w:tcPr>
          <w:p w:rsidR="00CA14AB" w:rsidRPr="00E00B35" w:rsidRDefault="00CA14AB" w:rsidP="00E00B35">
            <w:pPr>
              <w:spacing w:after="0" w:line="312" w:lineRule="auto"/>
              <w:rPr>
                <w:szCs w:val="20"/>
              </w:rPr>
            </w:pPr>
            <w:r w:rsidRPr="00E00B35">
              <w:rPr>
                <w:szCs w:val="20"/>
              </w:rPr>
              <w:t>66</w:t>
            </w:r>
          </w:p>
        </w:tc>
      </w:tr>
    </w:tbl>
    <w:p w:rsidR="00283205" w:rsidRPr="00E00B35" w:rsidRDefault="00283205"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Oprócz koni trenowanych na Partynicach w gonitwach na wrocławskim torze rywalizowały konie wyścigowe z innych ośrodków treningowych w kraju, a także z Czech, Niemiec, Słowacji i Włoch. Łącznie przyjezdnych koni było 169, w tym 98 z kraju i 71 z zagranicy. Większa liczba koni przyjezdnych z ośrodków krajowych mogła być efektem wprowadzenia dodatkowej nagrody dla właścicieli koni, które zostały zarejestrowane na dany sezon w Polskim Klubie Wyścigów Konnych i były trenowane na terenie Polski przez trenerów posiadających licencję udzieloną przez Prezesa PKWK.</w:t>
      </w:r>
    </w:p>
    <w:p w:rsidR="00CA14AB" w:rsidRPr="00E00B35" w:rsidRDefault="00CA14AB" w:rsidP="00E00B35">
      <w:pPr>
        <w:spacing w:after="0" w:line="312" w:lineRule="auto"/>
        <w:rPr>
          <w:szCs w:val="20"/>
        </w:rPr>
      </w:pPr>
      <w:r w:rsidRPr="00E00B35">
        <w:rPr>
          <w:szCs w:val="20"/>
        </w:rPr>
        <w:t>Konie przyjezdne</w:t>
      </w:r>
    </w:p>
    <w:tbl>
      <w:tblPr>
        <w:tblW w:w="5954" w:type="dxa"/>
        <w:tblInd w:w="1550" w:type="dxa"/>
        <w:tblLayout w:type="fixed"/>
        <w:tblCellMar>
          <w:left w:w="10" w:type="dxa"/>
          <w:right w:w="10" w:type="dxa"/>
        </w:tblCellMar>
        <w:tblLook w:val="04A0"/>
      </w:tblPr>
      <w:tblGrid>
        <w:gridCol w:w="2126"/>
        <w:gridCol w:w="1276"/>
        <w:gridCol w:w="1276"/>
        <w:gridCol w:w="1276"/>
      </w:tblGrid>
      <w:tr w:rsidR="00CA14AB" w:rsidRPr="00E00B35" w:rsidTr="00CA14AB">
        <w:trPr>
          <w:trHeight w:val="315"/>
        </w:trPr>
        <w:tc>
          <w:tcPr>
            <w:tcW w:w="2126" w:type="dxa"/>
            <w:tcBorders>
              <w:top w:val="single" w:sz="8" w:space="0" w:color="000001"/>
              <w:left w:val="single" w:sz="8" w:space="0" w:color="000001"/>
              <w:bottom w:val="single" w:sz="8" w:space="0" w:color="000001"/>
              <w:right w:val="single" w:sz="8" w:space="0" w:color="00000A"/>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Źródło</w:t>
            </w:r>
          </w:p>
        </w:tc>
        <w:tc>
          <w:tcPr>
            <w:tcW w:w="1276" w:type="dxa"/>
            <w:tcBorders>
              <w:top w:val="single" w:sz="8" w:space="0" w:color="000001"/>
              <w:bottom w:val="single" w:sz="8" w:space="0" w:color="000001"/>
              <w:right w:val="single" w:sz="8" w:space="0" w:color="000001"/>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2018</w:t>
            </w:r>
          </w:p>
        </w:tc>
        <w:tc>
          <w:tcPr>
            <w:tcW w:w="1276" w:type="dxa"/>
            <w:tcBorders>
              <w:top w:val="single" w:sz="8" w:space="0" w:color="000001"/>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2019</w:t>
            </w:r>
          </w:p>
        </w:tc>
        <w:tc>
          <w:tcPr>
            <w:tcW w:w="1276" w:type="dxa"/>
            <w:tcBorders>
              <w:top w:val="single" w:sz="8" w:space="0" w:color="000001"/>
              <w:left w:val="single" w:sz="8" w:space="0" w:color="000001"/>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300"/>
        </w:trPr>
        <w:tc>
          <w:tcPr>
            <w:tcW w:w="2126" w:type="dxa"/>
            <w:tcBorders>
              <w:left w:val="single" w:sz="8" w:space="0" w:color="000001"/>
              <w:bottom w:val="single" w:sz="8" w:space="0" w:color="000001"/>
              <w:right w:val="single" w:sz="8" w:space="0" w:color="000001"/>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łącznie</w:t>
            </w:r>
          </w:p>
        </w:tc>
        <w:tc>
          <w:tcPr>
            <w:tcW w:w="1276" w:type="dxa"/>
            <w:tcBorders>
              <w:bottom w:val="single" w:sz="8" w:space="0" w:color="000001"/>
              <w:right w:val="single" w:sz="8" w:space="0" w:color="000001"/>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153</w:t>
            </w:r>
          </w:p>
        </w:tc>
        <w:tc>
          <w:tcPr>
            <w:tcW w:w="1276" w:type="dxa"/>
            <w:tcBorders>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110</w:t>
            </w:r>
          </w:p>
        </w:tc>
        <w:tc>
          <w:tcPr>
            <w:tcW w:w="1276" w:type="dxa"/>
            <w:tcBorders>
              <w:left w:val="single" w:sz="8" w:space="0" w:color="000001"/>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169</w:t>
            </w:r>
          </w:p>
        </w:tc>
      </w:tr>
      <w:tr w:rsidR="00CA14AB" w:rsidRPr="00E00B35" w:rsidTr="00CA14AB">
        <w:trPr>
          <w:trHeight w:val="300"/>
        </w:trPr>
        <w:tc>
          <w:tcPr>
            <w:tcW w:w="2126" w:type="dxa"/>
            <w:tcBorders>
              <w:left w:val="single" w:sz="8" w:space="0" w:color="000001"/>
              <w:bottom w:val="single" w:sz="8" w:space="0" w:color="00000A"/>
              <w:right w:val="single" w:sz="8" w:space="0" w:color="000001"/>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z kraju</w:t>
            </w:r>
          </w:p>
        </w:tc>
        <w:tc>
          <w:tcPr>
            <w:tcW w:w="1276" w:type="dxa"/>
            <w:tcBorders>
              <w:bottom w:val="single" w:sz="8" w:space="0" w:color="00000A"/>
              <w:right w:val="single" w:sz="8" w:space="0" w:color="000001"/>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95</w:t>
            </w:r>
          </w:p>
        </w:tc>
        <w:tc>
          <w:tcPr>
            <w:tcW w:w="1276" w:type="dxa"/>
            <w:tcBorders>
              <w:bottom w:val="single" w:sz="8" w:space="0" w:color="00000A"/>
              <w:right w:val="single" w:sz="8" w:space="0" w:color="000001"/>
            </w:tcBorders>
            <w:vAlign w:val="center"/>
          </w:tcPr>
          <w:p w:rsidR="00CA14AB" w:rsidRPr="00E00B35" w:rsidRDefault="00CA14AB" w:rsidP="00E00B35">
            <w:pPr>
              <w:spacing w:after="0" w:line="312" w:lineRule="auto"/>
              <w:rPr>
                <w:szCs w:val="20"/>
              </w:rPr>
            </w:pPr>
            <w:r w:rsidRPr="00E00B35">
              <w:rPr>
                <w:szCs w:val="20"/>
              </w:rPr>
              <w:t>55</w:t>
            </w:r>
          </w:p>
        </w:tc>
        <w:tc>
          <w:tcPr>
            <w:tcW w:w="1276" w:type="dxa"/>
            <w:tcBorders>
              <w:left w:val="single" w:sz="8" w:space="0" w:color="000001"/>
              <w:bottom w:val="single" w:sz="8" w:space="0" w:color="00000A"/>
              <w:right w:val="single" w:sz="8" w:space="0" w:color="000001"/>
            </w:tcBorders>
            <w:vAlign w:val="center"/>
          </w:tcPr>
          <w:p w:rsidR="00CA14AB" w:rsidRPr="00E00B35" w:rsidRDefault="00CA14AB" w:rsidP="00E00B35">
            <w:pPr>
              <w:spacing w:after="0" w:line="312" w:lineRule="auto"/>
              <w:rPr>
                <w:szCs w:val="20"/>
              </w:rPr>
            </w:pPr>
            <w:r w:rsidRPr="00E00B35">
              <w:rPr>
                <w:szCs w:val="20"/>
              </w:rPr>
              <w:t>98</w:t>
            </w:r>
          </w:p>
        </w:tc>
      </w:tr>
      <w:tr w:rsidR="00CA14AB" w:rsidRPr="00E00B35" w:rsidTr="00CA14AB">
        <w:trPr>
          <w:trHeight w:val="300"/>
        </w:trPr>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z zagranicy</w:t>
            </w:r>
          </w:p>
        </w:tc>
        <w:tc>
          <w:tcPr>
            <w:tcW w:w="1276" w:type="dxa"/>
            <w:tcBorders>
              <w:top w:val="single" w:sz="8" w:space="0" w:color="00000A"/>
              <w:left w:val="single" w:sz="8" w:space="0" w:color="00000A"/>
              <w:bottom w:val="single" w:sz="8" w:space="0" w:color="00000A"/>
              <w:right w:val="single" w:sz="8" w:space="0" w:color="00000A"/>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58</w:t>
            </w:r>
          </w:p>
        </w:tc>
        <w:tc>
          <w:tcPr>
            <w:tcW w:w="1276" w:type="dxa"/>
            <w:tcBorders>
              <w:top w:val="single" w:sz="8" w:space="0" w:color="00000A"/>
              <w:left w:val="single" w:sz="8" w:space="0" w:color="00000A"/>
              <w:bottom w:val="single" w:sz="8" w:space="0" w:color="00000A"/>
              <w:right w:val="single" w:sz="8" w:space="0" w:color="00000A"/>
            </w:tcBorders>
            <w:vAlign w:val="center"/>
          </w:tcPr>
          <w:p w:rsidR="00CA14AB" w:rsidRPr="00E00B35" w:rsidRDefault="00CA14AB" w:rsidP="00E00B35">
            <w:pPr>
              <w:spacing w:after="0" w:line="312" w:lineRule="auto"/>
              <w:rPr>
                <w:szCs w:val="20"/>
              </w:rPr>
            </w:pPr>
            <w:r w:rsidRPr="00E00B35">
              <w:rPr>
                <w:szCs w:val="20"/>
              </w:rPr>
              <w:t>55</w:t>
            </w:r>
          </w:p>
        </w:tc>
        <w:tc>
          <w:tcPr>
            <w:tcW w:w="1276" w:type="dxa"/>
            <w:tcBorders>
              <w:top w:val="single" w:sz="8" w:space="0" w:color="00000A"/>
              <w:left w:val="single" w:sz="8" w:space="0" w:color="00000A"/>
              <w:bottom w:val="single" w:sz="8" w:space="0" w:color="00000A"/>
              <w:right w:val="single" w:sz="8" w:space="0" w:color="00000A"/>
            </w:tcBorders>
            <w:vAlign w:val="center"/>
          </w:tcPr>
          <w:p w:rsidR="00CA14AB" w:rsidRPr="00E00B35" w:rsidRDefault="00CA14AB" w:rsidP="00E00B35">
            <w:pPr>
              <w:spacing w:after="0" w:line="312" w:lineRule="auto"/>
              <w:rPr>
                <w:szCs w:val="20"/>
              </w:rPr>
            </w:pPr>
            <w:r w:rsidRPr="00E00B35">
              <w:rPr>
                <w:szCs w:val="20"/>
              </w:rPr>
              <w:t>71</w:t>
            </w:r>
          </w:p>
        </w:tc>
      </w:tr>
    </w:tbl>
    <w:p w:rsidR="00CA14AB" w:rsidRPr="00E00B35" w:rsidRDefault="00CA14AB" w:rsidP="00E00B35">
      <w:pPr>
        <w:spacing w:after="0" w:line="312" w:lineRule="auto"/>
        <w:rPr>
          <w:szCs w:val="20"/>
        </w:rPr>
      </w:pPr>
      <w:r w:rsidRPr="00E00B35">
        <w:rPr>
          <w:szCs w:val="20"/>
        </w:rPr>
        <w:t>Cosmic Magic trenowana w Czechach przez Radima Bodlaka startowała we Wrocławiu cztery razy i cztery razy wygrała – w tym dwie największe gonitwy z przeszkodami: Wielką Wrocławską Nagrodę Prezydenta Wrocławia i Crystal Cup o Nagrodę Portu Lotniczego Wrocław, a suma jej wygrany sięgnęła 200.000 zł. Drugie miejsce przypadło Rekiemu, także z Czech, gdzie jego trenerką jest Hana Kabelkova, który dzięki wysokim miejscom w obu wspomnianych gonitwach zebrał 60.000 zł. Na trzeciej pozycji uplasował się Spasski trenowany na Partynicach przez Michała Borkowskigo, zwycięzca najważniejszej gonitwy z płotami Wielkiej Partynickiej Nagrody Totalizatora Sportowego.</w:t>
      </w:r>
    </w:p>
    <w:p w:rsidR="00CA14AB" w:rsidRPr="00E00B35" w:rsidRDefault="00CA14AB" w:rsidP="00E00B35">
      <w:pPr>
        <w:spacing w:after="0" w:line="312" w:lineRule="auto"/>
        <w:rPr>
          <w:szCs w:val="20"/>
        </w:rPr>
      </w:pPr>
      <w:r w:rsidRPr="00E00B35">
        <w:rPr>
          <w:szCs w:val="20"/>
        </w:rPr>
        <w:t>Konie</w:t>
      </w:r>
    </w:p>
    <w:tbl>
      <w:tblPr>
        <w:tblW w:w="9782" w:type="dxa"/>
        <w:tblInd w:w="-436"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CellMar>
          <w:left w:w="10" w:type="dxa"/>
          <w:right w:w="10" w:type="dxa"/>
        </w:tblCellMar>
        <w:tblLook w:val="04A0"/>
      </w:tblPr>
      <w:tblGrid>
        <w:gridCol w:w="1844"/>
        <w:gridCol w:w="567"/>
        <w:gridCol w:w="709"/>
        <w:gridCol w:w="708"/>
        <w:gridCol w:w="709"/>
        <w:gridCol w:w="992"/>
        <w:gridCol w:w="567"/>
        <w:gridCol w:w="851"/>
        <w:gridCol w:w="1559"/>
        <w:gridCol w:w="1276"/>
      </w:tblGrid>
      <w:tr w:rsidR="00CA14AB" w:rsidRPr="00E00B35" w:rsidTr="00CA14AB">
        <w:trPr>
          <w:trHeight w:val="300"/>
        </w:trPr>
        <w:tc>
          <w:tcPr>
            <w:tcW w:w="1844"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Konie</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 xml:space="preserve">I </w:t>
            </w:r>
            <w:r w:rsidRPr="00E00B35">
              <w:rPr>
                <w:szCs w:val="20"/>
              </w:rPr>
              <w:lastRenderedPageBreak/>
              <w:t>miejsce</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lastRenderedPageBreak/>
              <w:t xml:space="preserve">II </w:t>
            </w:r>
            <w:r w:rsidRPr="00E00B35">
              <w:rPr>
                <w:szCs w:val="20"/>
              </w:rPr>
              <w:lastRenderedPageBreak/>
              <w:t>miejsce</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lastRenderedPageBreak/>
              <w:t xml:space="preserve">III </w:t>
            </w:r>
            <w:r w:rsidRPr="00E00B35">
              <w:rPr>
                <w:szCs w:val="20"/>
              </w:rPr>
              <w:lastRenderedPageBreak/>
              <w:t>miejsce</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lastRenderedPageBreak/>
              <w:t xml:space="preserve">IV </w:t>
            </w:r>
            <w:r w:rsidRPr="00E00B35">
              <w:rPr>
                <w:szCs w:val="20"/>
              </w:rPr>
              <w:lastRenderedPageBreak/>
              <w:t>miejsce</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lastRenderedPageBreak/>
              <w:t xml:space="preserve">V/VI </w:t>
            </w:r>
            <w:r w:rsidRPr="00E00B35">
              <w:rPr>
                <w:szCs w:val="20"/>
              </w:rPr>
              <w:lastRenderedPageBreak/>
              <w:t>miejsce</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lastRenderedPageBreak/>
              <w:t xml:space="preserve">Bez </w:t>
            </w:r>
            <w:r w:rsidRPr="00E00B35">
              <w:rPr>
                <w:szCs w:val="20"/>
              </w:rPr>
              <w:lastRenderedPageBreak/>
              <w:t>miejsca</w:t>
            </w:r>
          </w:p>
        </w:tc>
        <w:tc>
          <w:tcPr>
            <w:tcW w:w="85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lastRenderedPageBreak/>
              <w:t>razem</w:t>
            </w:r>
          </w:p>
        </w:tc>
        <w:tc>
          <w:tcPr>
            <w:tcW w:w="155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 zwycięstw</w:t>
            </w:r>
          </w:p>
        </w:tc>
        <w:tc>
          <w:tcPr>
            <w:tcW w:w="1276"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wygrane</w:t>
            </w:r>
          </w:p>
        </w:tc>
      </w:tr>
      <w:tr w:rsidR="00CA14AB" w:rsidRPr="00E00B35" w:rsidTr="00CA14AB">
        <w:trPr>
          <w:trHeight w:val="300"/>
        </w:trPr>
        <w:tc>
          <w:tcPr>
            <w:tcW w:w="1844"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lastRenderedPageBreak/>
              <w:t>Cosmic Magic</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85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155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100,00%</w:t>
            </w:r>
          </w:p>
        </w:tc>
        <w:tc>
          <w:tcPr>
            <w:tcW w:w="1276"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200000 zł</w:t>
            </w:r>
          </w:p>
        </w:tc>
      </w:tr>
      <w:tr w:rsidR="00CA14AB" w:rsidRPr="00E00B35" w:rsidTr="00CA14AB">
        <w:trPr>
          <w:trHeight w:val="300"/>
        </w:trPr>
        <w:tc>
          <w:tcPr>
            <w:tcW w:w="1844"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Reki</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85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155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0,00%</w:t>
            </w:r>
          </w:p>
        </w:tc>
        <w:tc>
          <w:tcPr>
            <w:tcW w:w="1276"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60000 zł</w:t>
            </w:r>
          </w:p>
        </w:tc>
      </w:tr>
      <w:tr w:rsidR="00CA14AB" w:rsidRPr="00E00B35" w:rsidTr="00CA14AB">
        <w:trPr>
          <w:trHeight w:val="300"/>
        </w:trPr>
        <w:tc>
          <w:tcPr>
            <w:tcW w:w="1844"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Spasski</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85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155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50,00%</w:t>
            </w:r>
          </w:p>
        </w:tc>
        <w:tc>
          <w:tcPr>
            <w:tcW w:w="1276"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50000 zł</w:t>
            </w:r>
          </w:p>
        </w:tc>
      </w:tr>
      <w:tr w:rsidR="00CA14AB" w:rsidRPr="00E00B35" w:rsidTr="00CA14AB">
        <w:trPr>
          <w:trHeight w:val="300"/>
        </w:trPr>
        <w:tc>
          <w:tcPr>
            <w:tcW w:w="1844"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Ever Soleado</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85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w:t>
            </w:r>
          </w:p>
        </w:tc>
        <w:tc>
          <w:tcPr>
            <w:tcW w:w="155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60,00%</w:t>
            </w:r>
          </w:p>
        </w:tc>
        <w:tc>
          <w:tcPr>
            <w:tcW w:w="1276"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44000 zł</w:t>
            </w:r>
          </w:p>
        </w:tc>
      </w:tr>
      <w:tr w:rsidR="00CA14AB" w:rsidRPr="00E00B35" w:rsidTr="00CA14AB">
        <w:trPr>
          <w:trHeight w:val="300"/>
        </w:trPr>
        <w:tc>
          <w:tcPr>
            <w:tcW w:w="1844"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Larizano</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85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155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0,00%</w:t>
            </w:r>
          </w:p>
        </w:tc>
        <w:tc>
          <w:tcPr>
            <w:tcW w:w="1276"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40000 zł</w:t>
            </w:r>
          </w:p>
        </w:tc>
      </w:tr>
      <w:tr w:rsidR="00CA14AB" w:rsidRPr="00E00B35" w:rsidTr="00CA14AB">
        <w:trPr>
          <w:trHeight w:val="300"/>
        </w:trPr>
        <w:tc>
          <w:tcPr>
            <w:tcW w:w="1844"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Avestan</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85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155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25,00%</w:t>
            </w:r>
          </w:p>
        </w:tc>
        <w:tc>
          <w:tcPr>
            <w:tcW w:w="1276"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36000 zł</w:t>
            </w:r>
          </w:p>
        </w:tc>
      </w:tr>
      <w:tr w:rsidR="00CA14AB" w:rsidRPr="00E00B35" w:rsidTr="00CA14AB">
        <w:trPr>
          <w:trHeight w:val="300"/>
        </w:trPr>
        <w:tc>
          <w:tcPr>
            <w:tcW w:w="1844"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Tonerre</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85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w:t>
            </w:r>
          </w:p>
        </w:tc>
        <w:tc>
          <w:tcPr>
            <w:tcW w:w="155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50,00%</w:t>
            </w:r>
          </w:p>
        </w:tc>
        <w:tc>
          <w:tcPr>
            <w:tcW w:w="1276"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33100 zł</w:t>
            </w:r>
          </w:p>
        </w:tc>
      </w:tr>
      <w:tr w:rsidR="00CA14AB" w:rsidRPr="00E00B35" w:rsidTr="00CA14AB">
        <w:trPr>
          <w:trHeight w:val="300"/>
        </w:trPr>
        <w:tc>
          <w:tcPr>
            <w:tcW w:w="1844"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Haad Rin</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85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155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33,33%</w:t>
            </w:r>
          </w:p>
        </w:tc>
        <w:tc>
          <w:tcPr>
            <w:tcW w:w="1276"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32000 zł</w:t>
            </w:r>
          </w:p>
        </w:tc>
      </w:tr>
      <w:tr w:rsidR="00CA14AB" w:rsidRPr="00E00B35" w:rsidTr="00CA14AB">
        <w:trPr>
          <w:trHeight w:val="300"/>
        </w:trPr>
        <w:tc>
          <w:tcPr>
            <w:tcW w:w="1844"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One Way Ticket</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85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w:t>
            </w:r>
          </w:p>
        </w:tc>
        <w:tc>
          <w:tcPr>
            <w:tcW w:w="155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33,33%</w:t>
            </w:r>
          </w:p>
        </w:tc>
        <w:tc>
          <w:tcPr>
            <w:tcW w:w="1276"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31400 zł</w:t>
            </w:r>
          </w:p>
        </w:tc>
      </w:tr>
      <w:tr w:rsidR="00CA14AB" w:rsidRPr="00E00B35" w:rsidTr="00CA14AB">
        <w:trPr>
          <w:trHeight w:val="300"/>
        </w:trPr>
        <w:tc>
          <w:tcPr>
            <w:tcW w:w="1844"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Bailando</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85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w:t>
            </w:r>
          </w:p>
        </w:tc>
        <w:tc>
          <w:tcPr>
            <w:tcW w:w="155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12,50%</w:t>
            </w:r>
          </w:p>
        </w:tc>
        <w:tc>
          <w:tcPr>
            <w:tcW w:w="1276"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30900 zł</w:t>
            </w:r>
          </w:p>
        </w:tc>
      </w:tr>
    </w:tbl>
    <w:p w:rsidR="00CA14AB" w:rsidRPr="00E00B35" w:rsidRDefault="00CA14AB" w:rsidP="00E00B35">
      <w:pPr>
        <w:spacing w:after="0" w:line="312" w:lineRule="auto"/>
        <w:rPr>
          <w:szCs w:val="20"/>
        </w:rPr>
      </w:pPr>
      <w:bookmarkStart w:id="603" w:name="_Toc72352507"/>
      <w:bookmarkStart w:id="604" w:name="_Toc72352941"/>
      <w:r w:rsidRPr="00E00B35">
        <w:rPr>
          <w:szCs w:val="20"/>
        </w:rPr>
        <w:t>Gonitwy</w:t>
      </w:r>
      <w:bookmarkEnd w:id="603"/>
      <w:bookmarkEnd w:id="604"/>
    </w:p>
    <w:p w:rsidR="00CA14AB" w:rsidRPr="00E00B35" w:rsidRDefault="00CA14AB" w:rsidP="00E00B35">
      <w:pPr>
        <w:spacing w:after="0" w:line="312" w:lineRule="auto"/>
        <w:rPr>
          <w:szCs w:val="20"/>
        </w:rPr>
      </w:pPr>
      <w:r w:rsidRPr="00E00B35">
        <w:rPr>
          <w:szCs w:val="20"/>
        </w:rPr>
        <w:t>Na WTWK Partynice organizowane były gonitwy dla koni pełnej krwi angielskiej (płaskie, płotowe i przeszkodowe) i dla koni arabskich czystej krwi. Łącznia liczba gonitw utrzymała się na poziomie zbliżonym do ubiegłorocznego – wzrosła nieco w przypadku koni pełnej krwi angielskiej, kosztem koni arabskich czystej krwi.</w:t>
      </w:r>
    </w:p>
    <w:p w:rsidR="00CA14AB" w:rsidRPr="00E00B35" w:rsidRDefault="00CA14AB" w:rsidP="00E00B35">
      <w:pPr>
        <w:spacing w:after="0" w:line="312" w:lineRule="auto"/>
        <w:rPr>
          <w:szCs w:val="20"/>
        </w:rPr>
      </w:pPr>
      <w:r w:rsidRPr="00E00B35">
        <w:rPr>
          <w:szCs w:val="20"/>
        </w:rPr>
        <w:t>Liczba gonitw wg ras</w:t>
      </w:r>
    </w:p>
    <w:tbl>
      <w:tblPr>
        <w:tblW w:w="6662" w:type="dxa"/>
        <w:tblInd w:w="12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0" w:type="dxa"/>
          <w:right w:w="10" w:type="dxa"/>
        </w:tblCellMar>
        <w:tblLook w:val="04A0"/>
      </w:tblPr>
      <w:tblGrid>
        <w:gridCol w:w="2552"/>
        <w:gridCol w:w="1417"/>
        <w:gridCol w:w="1418"/>
        <w:gridCol w:w="1275"/>
      </w:tblGrid>
      <w:tr w:rsidR="00CA14AB" w:rsidRPr="00E00B35" w:rsidTr="00CA14AB">
        <w:trPr>
          <w:trHeight w:val="315"/>
        </w:trPr>
        <w:tc>
          <w:tcPr>
            <w:tcW w:w="2552" w:type="dxa"/>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Rasa</w:t>
            </w:r>
          </w:p>
        </w:tc>
        <w:tc>
          <w:tcPr>
            <w:tcW w:w="1417" w:type="dxa"/>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2018</w:t>
            </w:r>
          </w:p>
        </w:tc>
        <w:tc>
          <w:tcPr>
            <w:tcW w:w="1418" w:type="dxa"/>
            <w:vAlign w:val="center"/>
          </w:tcPr>
          <w:p w:rsidR="00CA14AB" w:rsidRPr="00E00B35" w:rsidRDefault="00CA14AB" w:rsidP="00E00B35">
            <w:pPr>
              <w:spacing w:after="0" w:line="312" w:lineRule="auto"/>
              <w:rPr>
                <w:szCs w:val="20"/>
              </w:rPr>
            </w:pPr>
            <w:r w:rsidRPr="00E00B35">
              <w:rPr>
                <w:szCs w:val="20"/>
              </w:rPr>
              <w:t>2019</w:t>
            </w:r>
          </w:p>
        </w:tc>
        <w:tc>
          <w:tcPr>
            <w:tcW w:w="1275" w:type="dxa"/>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300"/>
        </w:trPr>
        <w:tc>
          <w:tcPr>
            <w:tcW w:w="2552" w:type="dxa"/>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pełna krew angielska</w:t>
            </w:r>
          </w:p>
        </w:tc>
        <w:tc>
          <w:tcPr>
            <w:tcW w:w="1417" w:type="dxa"/>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68</w:t>
            </w:r>
          </w:p>
        </w:tc>
        <w:tc>
          <w:tcPr>
            <w:tcW w:w="1418" w:type="dxa"/>
            <w:vAlign w:val="center"/>
          </w:tcPr>
          <w:p w:rsidR="00CA14AB" w:rsidRPr="00E00B35" w:rsidRDefault="00CA14AB" w:rsidP="00E00B35">
            <w:pPr>
              <w:spacing w:after="0" w:line="312" w:lineRule="auto"/>
              <w:rPr>
                <w:szCs w:val="20"/>
              </w:rPr>
            </w:pPr>
            <w:r w:rsidRPr="00E00B35">
              <w:rPr>
                <w:szCs w:val="20"/>
              </w:rPr>
              <w:t>56</w:t>
            </w:r>
          </w:p>
        </w:tc>
        <w:tc>
          <w:tcPr>
            <w:tcW w:w="1275" w:type="dxa"/>
            <w:vAlign w:val="center"/>
          </w:tcPr>
          <w:p w:rsidR="00CA14AB" w:rsidRPr="00E00B35" w:rsidRDefault="00CA14AB" w:rsidP="00E00B35">
            <w:pPr>
              <w:spacing w:after="0" w:line="312" w:lineRule="auto"/>
              <w:rPr>
                <w:szCs w:val="20"/>
              </w:rPr>
            </w:pPr>
            <w:r w:rsidRPr="00E00B35">
              <w:rPr>
                <w:szCs w:val="20"/>
              </w:rPr>
              <w:t>64</w:t>
            </w:r>
          </w:p>
        </w:tc>
      </w:tr>
      <w:tr w:rsidR="00CA14AB" w:rsidRPr="00E00B35" w:rsidTr="00CA14AB">
        <w:trPr>
          <w:trHeight w:val="300"/>
        </w:trPr>
        <w:tc>
          <w:tcPr>
            <w:tcW w:w="2552" w:type="dxa"/>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czysta krew arabska</w:t>
            </w:r>
          </w:p>
        </w:tc>
        <w:tc>
          <w:tcPr>
            <w:tcW w:w="1417" w:type="dxa"/>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29</w:t>
            </w:r>
          </w:p>
        </w:tc>
        <w:tc>
          <w:tcPr>
            <w:tcW w:w="1418" w:type="dxa"/>
            <w:vAlign w:val="center"/>
          </w:tcPr>
          <w:p w:rsidR="00CA14AB" w:rsidRPr="00E00B35" w:rsidRDefault="00CA14AB" w:rsidP="00E00B35">
            <w:pPr>
              <w:spacing w:after="0" w:line="312" w:lineRule="auto"/>
              <w:rPr>
                <w:szCs w:val="20"/>
              </w:rPr>
            </w:pPr>
            <w:r w:rsidRPr="00E00B35">
              <w:rPr>
                <w:szCs w:val="20"/>
              </w:rPr>
              <w:t>24</w:t>
            </w:r>
          </w:p>
        </w:tc>
        <w:tc>
          <w:tcPr>
            <w:tcW w:w="1275" w:type="dxa"/>
            <w:vAlign w:val="center"/>
          </w:tcPr>
          <w:p w:rsidR="00CA14AB" w:rsidRPr="00E00B35" w:rsidRDefault="00CA14AB" w:rsidP="00E00B35">
            <w:pPr>
              <w:spacing w:after="0" w:line="312" w:lineRule="auto"/>
              <w:rPr>
                <w:szCs w:val="20"/>
              </w:rPr>
            </w:pPr>
            <w:r w:rsidRPr="00E00B35">
              <w:rPr>
                <w:szCs w:val="20"/>
              </w:rPr>
              <w:t>19</w:t>
            </w:r>
          </w:p>
        </w:tc>
      </w:tr>
    </w:tbl>
    <w:p w:rsidR="00CA14AB" w:rsidRPr="00E00B35" w:rsidRDefault="00CA14AB" w:rsidP="00E00B35">
      <w:pPr>
        <w:spacing w:after="0" w:line="312" w:lineRule="auto"/>
        <w:rPr>
          <w:szCs w:val="20"/>
        </w:rPr>
      </w:pPr>
      <w:bookmarkStart w:id="605" w:name="_Toc72352508"/>
      <w:bookmarkStart w:id="606" w:name="_Toc72352942"/>
      <w:r w:rsidRPr="00E00B35">
        <w:rPr>
          <w:szCs w:val="20"/>
        </w:rPr>
        <w:t>Rodzaje gonitw</w:t>
      </w:r>
      <w:bookmarkEnd w:id="605"/>
      <w:bookmarkEnd w:id="606"/>
    </w:p>
    <w:p w:rsidR="00CA14AB" w:rsidRPr="00E00B35" w:rsidRDefault="00CA14AB" w:rsidP="00E00B35">
      <w:pPr>
        <w:spacing w:after="0" w:line="312" w:lineRule="auto"/>
        <w:rPr>
          <w:szCs w:val="20"/>
        </w:rPr>
      </w:pPr>
      <w:r w:rsidRPr="00E00B35">
        <w:rPr>
          <w:szCs w:val="20"/>
        </w:rPr>
        <w:t>Sezon wyścigowy 2020 rozpoczął się 17 czerwca, a zakończył 11 listopada. Obejmował 12 dni wyścigowych, podczas których rozegrano 83 gonitwy, z tego:</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52 płaskie dla koni pełnej krwi angielskiej i czystej krwi arabskiej</w:t>
      </w:r>
      <w:r w:rsidR="00283205"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17 międzynarodowych gonitw z płotami</w:t>
      </w:r>
      <w:r w:rsidR="00283205"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14 międzynarodowych gonitw z przeszkodami</w:t>
      </w:r>
      <w:r w:rsidR="00283205" w:rsidRPr="00E00B35">
        <w:rPr>
          <w:szCs w:val="20"/>
        </w:rPr>
        <w:t>,</w:t>
      </w:r>
    </w:p>
    <w:p w:rsidR="00CA14AB" w:rsidRPr="00E00B35" w:rsidRDefault="00CA14AB" w:rsidP="00E00B35">
      <w:pPr>
        <w:spacing w:after="0" w:line="312" w:lineRule="auto"/>
        <w:rPr>
          <w:szCs w:val="20"/>
        </w:rPr>
      </w:pPr>
      <w:r w:rsidRPr="00E00B35">
        <w:rPr>
          <w:szCs w:val="20"/>
        </w:rPr>
        <w:t>z łączną pulą nagród 1.667.600 zł, w tym:</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175.000 zł Wielka Wrocławska Nagroda Prezydenta Wrocławia</w:t>
      </w:r>
      <w:r w:rsidR="00283205"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172.000 zł Crystal Cup o Nagrodę Portu Lotniczego Wrocław</w:t>
      </w:r>
      <w:r w:rsidR="00283205"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70.000 zł Wielka Partynicka Nagroda Totalizatora Sportowego</w:t>
      </w:r>
      <w:r w:rsidR="00283205"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50.000 zł Nagroda Marszałka Województwa Dolnośląskiego</w:t>
      </w:r>
      <w:r w:rsidR="00283205"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40.000 zł Nagroda Przewodniczącego Sejmiku Dolnośląskiego</w:t>
      </w:r>
      <w:r w:rsidR="00283205" w:rsidRPr="00E00B35">
        <w:rPr>
          <w:szCs w:val="20"/>
        </w:rPr>
        <w:t>.</w:t>
      </w:r>
    </w:p>
    <w:p w:rsidR="00CA14AB" w:rsidRPr="00E00B35" w:rsidRDefault="00CA14AB" w:rsidP="00E00B35">
      <w:pPr>
        <w:spacing w:after="0" w:line="312" w:lineRule="auto"/>
        <w:rPr>
          <w:szCs w:val="20"/>
        </w:rPr>
      </w:pPr>
      <w:r w:rsidRPr="00E00B35">
        <w:rPr>
          <w:szCs w:val="20"/>
        </w:rPr>
        <w:t>Liczba gonitw wg rodzaju</w:t>
      </w:r>
    </w:p>
    <w:tbl>
      <w:tblPr>
        <w:tblW w:w="6519" w:type="dxa"/>
        <w:tblInd w:w="1408" w:type="dxa"/>
        <w:tblLayout w:type="fixed"/>
        <w:tblCellMar>
          <w:left w:w="10" w:type="dxa"/>
          <w:right w:w="10" w:type="dxa"/>
        </w:tblCellMar>
        <w:tblLook w:val="04A0"/>
      </w:tblPr>
      <w:tblGrid>
        <w:gridCol w:w="2410"/>
        <w:gridCol w:w="1417"/>
        <w:gridCol w:w="1418"/>
        <w:gridCol w:w="1274"/>
      </w:tblGrid>
      <w:tr w:rsidR="00CA14AB" w:rsidRPr="00E00B35" w:rsidTr="00CA14AB">
        <w:trPr>
          <w:trHeight w:val="315"/>
        </w:trPr>
        <w:tc>
          <w:tcPr>
            <w:tcW w:w="2410" w:type="dxa"/>
            <w:tcBorders>
              <w:top w:val="single" w:sz="8" w:space="0" w:color="000001"/>
              <w:left w:val="single" w:sz="8" w:space="0" w:color="000001"/>
              <w:bottom w:val="single" w:sz="8" w:space="0" w:color="000001"/>
              <w:right w:val="single" w:sz="8" w:space="0" w:color="00000A"/>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Rodzaj gonitwy</w:t>
            </w:r>
          </w:p>
        </w:tc>
        <w:tc>
          <w:tcPr>
            <w:tcW w:w="1417" w:type="dxa"/>
            <w:tcBorders>
              <w:top w:val="single" w:sz="8" w:space="0" w:color="000001"/>
              <w:bottom w:val="single" w:sz="8" w:space="0" w:color="000001"/>
              <w:right w:val="single" w:sz="8" w:space="0" w:color="000001"/>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2018</w:t>
            </w:r>
          </w:p>
        </w:tc>
        <w:tc>
          <w:tcPr>
            <w:tcW w:w="1418" w:type="dxa"/>
            <w:tcBorders>
              <w:top w:val="single" w:sz="8" w:space="0" w:color="000001"/>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2019</w:t>
            </w:r>
          </w:p>
        </w:tc>
        <w:tc>
          <w:tcPr>
            <w:tcW w:w="1274" w:type="dxa"/>
            <w:tcBorders>
              <w:top w:val="single" w:sz="8" w:space="0" w:color="000001"/>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315"/>
        </w:trPr>
        <w:tc>
          <w:tcPr>
            <w:tcW w:w="2410" w:type="dxa"/>
            <w:tcBorders>
              <w:left w:val="single" w:sz="8" w:space="0" w:color="000001"/>
              <w:bottom w:val="single" w:sz="8" w:space="0" w:color="000001"/>
              <w:right w:val="single" w:sz="8" w:space="0" w:color="00000A"/>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płaskie</w:t>
            </w:r>
          </w:p>
        </w:tc>
        <w:tc>
          <w:tcPr>
            <w:tcW w:w="1417" w:type="dxa"/>
            <w:tcBorders>
              <w:bottom w:val="single" w:sz="8" w:space="0" w:color="000001"/>
              <w:right w:val="single" w:sz="8" w:space="0" w:color="000001"/>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74</w:t>
            </w:r>
          </w:p>
        </w:tc>
        <w:tc>
          <w:tcPr>
            <w:tcW w:w="1418" w:type="dxa"/>
            <w:tcBorders>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63</w:t>
            </w:r>
          </w:p>
        </w:tc>
        <w:tc>
          <w:tcPr>
            <w:tcW w:w="1274" w:type="dxa"/>
            <w:tcBorders>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52</w:t>
            </w:r>
          </w:p>
        </w:tc>
      </w:tr>
      <w:tr w:rsidR="00CA14AB" w:rsidRPr="00E00B35" w:rsidTr="00CA14AB">
        <w:trPr>
          <w:trHeight w:val="315"/>
        </w:trPr>
        <w:tc>
          <w:tcPr>
            <w:tcW w:w="2410" w:type="dxa"/>
            <w:tcBorders>
              <w:left w:val="single" w:sz="8" w:space="0" w:color="000001"/>
              <w:bottom w:val="single" w:sz="8" w:space="0" w:color="000001"/>
              <w:right w:val="single" w:sz="8" w:space="0" w:color="00000A"/>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płotowe</w:t>
            </w:r>
          </w:p>
        </w:tc>
        <w:tc>
          <w:tcPr>
            <w:tcW w:w="1417" w:type="dxa"/>
            <w:tcBorders>
              <w:bottom w:val="single" w:sz="8" w:space="0" w:color="000001"/>
              <w:right w:val="single" w:sz="8" w:space="0" w:color="000001"/>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9</w:t>
            </w:r>
          </w:p>
        </w:tc>
        <w:tc>
          <w:tcPr>
            <w:tcW w:w="1418" w:type="dxa"/>
            <w:tcBorders>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7</w:t>
            </w:r>
          </w:p>
        </w:tc>
        <w:tc>
          <w:tcPr>
            <w:tcW w:w="1274" w:type="dxa"/>
            <w:tcBorders>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17</w:t>
            </w:r>
          </w:p>
        </w:tc>
      </w:tr>
      <w:tr w:rsidR="00CA14AB" w:rsidRPr="00E00B35" w:rsidTr="00CA14AB">
        <w:trPr>
          <w:trHeight w:val="315"/>
        </w:trPr>
        <w:tc>
          <w:tcPr>
            <w:tcW w:w="2410" w:type="dxa"/>
            <w:tcBorders>
              <w:left w:val="single" w:sz="8" w:space="0" w:color="000001"/>
              <w:bottom w:val="single" w:sz="8" w:space="0" w:color="000001"/>
              <w:right w:val="single" w:sz="8" w:space="0" w:color="00000A"/>
            </w:tcBorders>
            <w:shd w:val="clear" w:color="auto" w:fill="FFFFFF"/>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przeszkodowe</w:t>
            </w:r>
          </w:p>
        </w:tc>
        <w:tc>
          <w:tcPr>
            <w:tcW w:w="1417" w:type="dxa"/>
            <w:tcBorders>
              <w:bottom w:val="single" w:sz="8" w:space="0" w:color="000001"/>
              <w:right w:val="single" w:sz="8" w:space="0" w:color="000001"/>
            </w:tcBorders>
            <w:tcMar>
              <w:top w:w="0" w:type="dxa"/>
              <w:left w:w="70" w:type="dxa"/>
              <w:bottom w:w="0" w:type="dxa"/>
              <w:right w:w="70" w:type="dxa"/>
            </w:tcMar>
            <w:vAlign w:val="center"/>
          </w:tcPr>
          <w:p w:rsidR="00CA14AB" w:rsidRPr="00E00B35" w:rsidRDefault="00CA14AB" w:rsidP="00E00B35">
            <w:pPr>
              <w:spacing w:after="0" w:line="312" w:lineRule="auto"/>
              <w:rPr>
                <w:szCs w:val="20"/>
              </w:rPr>
            </w:pPr>
            <w:r w:rsidRPr="00E00B35">
              <w:rPr>
                <w:szCs w:val="20"/>
              </w:rPr>
              <w:t>15</w:t>
            </w:r>
          </w:p>
        </w:tc>
        <w:tc>
          <w:tcPr>
            <w:tcW w:w="1418" w:type="dxa"/>
            <w:tcBorders>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10</w:t>
            </w:r>
          </w:p>
        </w:tc>
        <w:tc>
          <w:tcPr>
            <w:tcW w:w="1274" w:type="dxa"/>
            <w:tcBorders>
              <w:bottom w:val="single" w:sz="8" w:space="0" w:color="000001"/>
              <w:right w:val="single" w:sz="8" w:space="0" w:color="000001"/>
            </w:tcBorders>
            <w:vAlign w:val="center"/>
          </w:tcPr>
          <w:p w:rsidR="00CA14AB" w:rsidRPr="00E00B35" w:rsidRDefault="00CA14AB" w:rsidP="00E00B35">
            <w:pPr>
              <w:spacing w:after="0" w:line="312" w:lineRule="auto"/>
              <w:rPr>
                <w:szCs w:val="20"/>
              </w:rPr>
            </w:pPr>
            <w:r w:rsidRPr="00E00B35">
              <w:rPr>
                <w:szCs w:val="20"/>
              </w:rPr>
              <w:t>14</w:t>
            </w:r>
          </w:p>
        </w:tc>
      </w:tr>
    </w:tbl>
    <w:p w:rsidR="00283205" w:rsidRPr="00E00B35" w:rsidRDefault="00283205" w:rsidP="00E00B35">
      <w:pPr>
        <w:spacing w:after="0" w:line="312" w:lineRule="auto"/>
        <w:rPr>
          <w:szCs w:val="20"/>
        </w:rPr>
      </w:pPr>
      <w:bookmarkStart w:id="607" w:name="_Toc72352509"/>
      <w:bookmarkStart w:id="608" w:name="_Toc72352943"/>
    </w:p>
    <w:p w:rsidR="00CA14AB" w:rsidRPr="00E00B35" w:rsidRDefault="00CA14AB" w:rsidP="00E00B35">
      <w:pPr>
        <w:spacing w:after="0" w:line="312" w:lineRule="auto"/>
        <w:rPr>
          <w:szCs w:val="20"/>
        </w:rPr>
      </w:pPr>
      <w:r w:rsidRPr="00E00B35">
        <w:rPr>
          <w:szCs w:val="20"/>
        </w:rPr>
        <w:t>Hodowcy i właściciele koni</w:t>
      </w:r>
      <w:bookmarkEnd w:id="607"/>
      <w:bookmarkEnd w:id="608"/>
    </w:p>
    <w:p w:rsidR="00CA14AB" w:rsidRPr="00E00B35" w:rsidRDefault="00CA14AB" w:rsidP="00E00B35">
      <w:pPr>
        <w:spacing w:after="0" w:line="312" w:lineRule="auto"/>
        <w:rPr>
          <w:szCs w:val="20"/>
        </w:rPr>
      </w:pPr>
      <w:r w:rsidRPr="00E00B35">
        <w:rPr>
          <w:szCs w:val="20"/>
        </w:rPr>
        <w:t xml:space="preserve">Dzięki niepokonanej Cosmic Magic, która wygrała m.in. Wielką Wrocławską Nagrodę Prezydenta Wrocławia i Crystal Cup o Nagrodę Portu Lotniczego Wrocław, po prymat </w:t>
      </w:r>
      <w:r w:rsidRPr="00E00B35">
        <w:rPr>
          <w:szCs w:val="20"/>
        </w:rPr>
        <w:lastRenderedPageBreak/>
        <w:t>wśród hodowców sięgnęła niemiecka stadnina Gestut Karlshof. Dwie kolejne pozycje zajęły mające liczne stawki polskie stadniny koni pełnej krwi angielskiej SK Iwno i SK Krasne.</w:t>
      </w:r>
    </w:p>
    <w:p w:rsidR="00CA14AB" w:rsidRPr="00E00B35" w:rsidRDefault="00CA14AB" w:rsidP="00E00B35">
      <w:pPr>
        <w:spacing w:after="0" w:line="312" w:lineRule="auto"/>
        <w:rPr>
          <w:szCs w:val="20"/>
        </w:rPr>
      </w:pPr>
      <w:r w:rsidRPr="00E00B35">
        <w:rPr>
          <w:szCs w:val="20"/>
        </w:rPr>
        <w:t>Wygrane w podziale na Hodowców</w:t>
      </w:r>
    </w:p>
    <w:tbl>
      <w:tblPr>
        <w:tblW w:w="6662" w:type="dxa"/>
        <w:tblInd w:w="1266"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CellMar>
          <w:left w:w="10" w:type="dxa"/>
          <w:right w:w="10" w:type="dxa"/>
        </w:tblCellMar>
        <w:tblLook w:val="04A0"/>
      </w:tblPr>
      <w:tblGrid>
        <w:gridCol w:w="4541"/>
        <w:gridCol w:w="2121"/>
      </w:tblGrid>
      <w:tr w:rsidR="00CA14AB" w:rsidRPr="00E00B35" w:rsidTr="00CA14AB">
        <w:trPr>
          <w:trHeight w:val="300"/>
        </w:trPr>
        <w:tc>
          <w:tcPr>
            <w:tcW w:w="454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 Hodowcy</w:t>
            </w:r>
          </w:p>
        </w:tc>
        <w:tc>
          <w:tcPr>
            <w:tcW w:w="212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wygrane</w:t>
            </w:r>
          </w:p>
        </w:tc>
      </w:tr>
      <w:tr w:rsidR="00CA14AB" w:rsidRPr="00E00B35" w:rsidTr="00CA14AB">
        <w:trPr>
          <w:trHeight w:val="300"/>
        </w:trPr>
        <w:tc>
          <w:tcPr>
            <w:tcW w:w="454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Gestut Karlshof</w:t>
            </w:r>
          </w:p>
        </w:tc>
        <w:tc>
          <w:tcPr>
            <w:tcW w:w="212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200000 zł</w:t>
            </w:r>
          </w:p>
        </w:tc>
      </w:tr>
      <w:tr w:rsidR="00CA14AB" w:rsidRPr="00E00B35" w:rsidTr="00CA14AB">
        <w:trPr>
          <w:trHeight w:val="300"/>
        </w:trPr>
        <w:tc>
          <w:tcPr>
            <w:tcW w:w="454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SK Iwno</w:t>
            </w:r>
          </w:p>
        </w:tc>
        <w:tc>
          <w:tcPr>
            <w:tcW w:w="212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110400 zł</w:t>
            </w:r>
          </w:p>
        </w:tc>
      </w:tr>
      <w:tr w:rsidR="00CA14AB" w:rsidRPr="00E00B35" w:rsidTr="00CA14AB">
        <w:trPr>
          <w:trHeight w:val="300"/>
        </w:trPr>
        <w:tc>
          <w:tcPr>
            <w:tcW w:w="454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SK Krasne</w:t>
            </w:r>
          </w:p>
        </w:tc>
        <w:tc>
          <w:tcPr>
            <w:tcW w:w="212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91900 zł</w:t>
            </w:r>
          </w:p>
        </w:tc>
      </w:tr>
      <w:tr w:rsidR="00CA14AB" w:rsidRPr="00E00B35" w:rsidTr="00CA14AB">
        <w:trPr>
          <w:trHeight w:val="300"/>
        </w:trPr>
        <w:tc>
          <w:tcPr>
            <w:tcW w:w="454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SK Michałów</w:t>
            </w:r>
          </w:p>
        </w:tc>
        <w:tc>
          <w:tcPr>
            <w:tcW w:w="212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77600 zł</w:t>
            </w:r>
          </w:p>
        </w:tc>
      </w:tr>
      <w:tr w:rsidR="00CA14AB" w:rsidRPr="00E00B35" w:rsidTr="00CA14AB">
        <w:trPr>
          <w:trHeight w:val="300"/>
        </w:trPr>
        <w:tc>
          <w:tcPr>
            <w:tcW w:w="454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Fortum Michał Romanowski</w:t>
            </w:r>
          </w:p>
        </w:tc>
        <w:tc>
          <w:tcPr>
            <w:tcW w:w="212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69900 zł</w:t>
            </w:r>
          </w:p>
        </w:tc>
      </w:tr>
      <w:tr w:rsidR="00CA14AB" w:rsidRPr="00E00B35" w:rsidTr="00CA14AB">
        <w:trPr>
          <w:trHeight w:val="300"/>
        </w:trPr>
        <w:tc>
          <w:tcPr>
            <w:tcW w:w="454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Wrbna Racing</w:t>
            </w:r>
          </w:p>
        </w:tc>
        <w:tc>
          <w:tcPr>
            <w:tcW w:w="212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62000 zł</w:t>
            </w:r>
          </w:p>
        </w:tc>
      </w:tr>
      <w:tr w:rsidR="00CA14AB" w:rsidRPr="00E00B35" w:rsidTr="00CA14AB">
        <w:trPr>
          <w:trHeight w:val="300"/>
        </w:trPr>
        <w:tc>
          <w:tcPr>
            <w:tcW w:w="454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SK Golejewko</w:t>
            </w:r>
          </w:p>
        </w:tc>
        <w:tc>
          <w:tcPr>
            <w:tcW w:w="212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53500 zł</w:t>
            </w:r>
          </w:p>
        </w:tc>
      </w:tr>
      <w:tr w:rsidR="00CA14AB" w:rsidRPr="00E00B35" w:rsidTr="00CA14AB">
        <w:trPr>
          <w:trHeight w:val="300"/>
        </w:trPr>
        <w:tc>
          <w:tcPr>
            <w:tcW w:w="454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Sascha Mladenovic</w:t>
            </w:r>
          </w:p>
        </w:tc>
        <w:tc>
          <w:tcPr>
            <w:tcW w:w="212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53000 zł</w:t>
            </w:r>
          </w:p>
        </w:tc>
      </w:tr>
      <w:tr w:rsidR="00CA14AB" w:rsidRPr="00E00B35" w:rsidTr="00CA14AB">
        <w:trPr>
          <w:trHeight w:val="300"/>
        </w:trPr>
        <w:tc>
          <w:tcPr>
            <w:tcW w:w="454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SK Moszna</w:t>
            </w:r>
          </w:p>
        </w:tc>
        <w:tc>
          <w:tcPr>
            <w:tcW w:w="212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45500 zł</w:t>
            </w:r>
          </w:p>
        </w:tc>
      </w:tr>
      <w:tr w:rsidR="00CA14AB" w:rsidRPr="00E00B35" w:rsidTr="00CA14AB">
        <w:trPr>
          <w:trHeight w:val="300"/>
        </w:trPr>
        <w:tc>
          <w:tcPr>
            <w:tcW w:w="454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P. i S. Lamy, L. Christy, C. Lemerre</w:t>
            </w:r>
          </w:p>
        </w:tc>
        <w:tc>
          <w:tcPr>
            <w:tcW w:w="212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44000 zł</w:t>
            </w:r>
          </w:p>
        </w:tc>
      </w:tr>
    </w:tbl>
    <w:p w:rsidR="00283205" w:rsidRPr="00E00B35" w:rsidRDefault="00283205"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Klasyfikację właścicieli, również dzięki Cosmic Magic, wygrał I.K.Art s.r.o. z Czech. Drugie miejsce zajął Wiesław Jakub Kartus, który miał konie w treningu zarówno w Polsce, jak i w Czechach, a po największe sukcesy sięgnęły Avestan (wygrał Nagrodę Marszałka Województwa Dolnośląskiego) i Ever Soleado (wygrał Nagrodę Przewodniczącego Sejmiku Dolnośląskiego). Na trzecim miejscu uplasował się Adam Łabędzki, dla którego najwięcej zarobił Bailando.</w:t>
      </w:r>
    </w:p>
    <w:p w:rsidR="00CA14AB" w:rsidRPr="00E00B35" w:rsidRDefault="00CA14AB" w:rsidP="00E00B35">
      <w:pPr>
        <w:spacing w:after="0" w:line="312" w:lineRule="auto"/>
        <w:rPr>
          <w:szCs w:val="20"/>
        </w:rPr>
      </w:pPr>
      <w:r w:rsidRPr="00E00B35">
        <w:rPr>
          <w:szCs w:val="20"/>
        </w:rPr>
        <w:br w:type="page"/>
      </w:r>
    </w:p>
    <w:p w:rsidR="00CA14AB" w:rsidRPr="00E00B35" w:rsidRDefault="00CA14AB" w:rsidP="00E00B35">
      <w:pPr>
        <w:spacing w:after="0" w:line="312" w:lineRule="auto"/>
        <w:rPr>
          <w:szCs w:val="20"/>
        </w:rPr>
      </w:pPr>
      <w:r w:rsidRPr="00E00B35">
        <w:rPr>
          <w:szCs w:val="20"/>
        </w:rPr>
        <w:lastRenderedPageBreak/>
        <w:t>Wygrane w podziale na Właścicieli</w:t>
      </w:r>
    </w:p>
    <w:tbl>
      <w:tblPr>
        <w:tblW w:w="6662" w:type="dxa"/>
        <w:tblInd w:w="1266"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CellMar>
          <w:left w:w="10" w:type="dxa"/>
          <w:right w:w="10" w:type="dxa"/>
        </w:tblCellMar>
        <w:tblLook w:val="04A0"/>
      </w:tblPr>
      <w:tblGrid>
        <w:gridCol w:w="4399"/>
        <w:gridCol w:w="2263"/>
      </w:tblGrid>
      <w:tr w:rsidR="00CA14AB" w:rsidRPr="00E00B35" w:rsidTr="00CA14AB">
        <w:trPr>
          <w:trHeight w:val="300"/>
        </w:trPr>
        <w:tc>
          <w:tcPr>
            <w:tcW w:w="439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Właściciele</w:t>
            </w:r>
          </w:p>
        </w:tc>
        <w:tc>
          <w:tcPr>
            <w:tcW w:w="2263"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wygrane</w:t>
            </w:r>
          </w:p>
        </w:tc>
      </w:tr>
      <w:tr w:rsidR="00CA14AB" w:rsidRPr="00E00B35" w:rsidTr="00CA14AB">
        <w:trPr>
          <w:trHeight w:val="300"/>
        </w:trPr>
        <w:tc>
          <w:tcPr>
            <w:tcW w:w="439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I.K.Art s.r.o.</w:t>
            </w:r>
          </w:p>
        </w:tc>
        <w:tc>
          <w:tcPr>
            <w:tcW w:w="2263"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200000 zł</w:t>
            </w:r>
          </w:p>
        </w:tc>
      </w:tr>
      <w:tr w:rsidR="00CA14AB" w:rsidRPr="00E00B35" w:rsidTr="00CA14AB">
        <w:trPr>
          <w:trHeight w:val="300"/>
        </w:trPr>
        <w:tc>
          <w:tcPr>
            <w:tcW w:w="439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Wiesław Jakub Kartus</w:t>
            </w:r>
          </w:p>
        </w:tc>
        <w:tc>
          <w:tcPr>
            <w:tcW w:w="2263"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103200 zł</w:t>
            </w:r>
          </w:p>
        </w:tc>
      </w:tr>
      <w:tr w:rsidR="00CA14AB" w:rsidRPr="00E00B35" w:rsidTr="00CA14AB">
        <w:trPr>
          <w:trHeight w:val="300"/>
        </w:trPr>
        <w:tc>
          <w:tcPr>
            <w:tcW w:w="439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Adam Łabędzki</w:t>
            </w:r>
          </w:p>
        </w:tc>
        <w:tc>
          <w:tcPr>
            <w:tcW w:w="2263"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 xml:space="preserve">87400 zł </w:t>
            </w:r>
          </w:p>
        </w:tc>
      </w:tr>
      <w:tr w:rsidR="00CA14AB" w:rsidRPr="00E00B35" w:rsidTr="00CA14AB">
        <w:trPr>
          <w:trHeight w:val="300"/>
        </w:trPr>
        <w:tc>
          <w:tcPr>
            <w:tcW w:w="439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Tadeusz Sieradzki</w:t>
            </w:r>
          </w:p>
        </w:tc>
        <w:tc>
          <w:tcPr>
            <w:tcW w:w="2263"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78800 zł</w:t>
            </w:r>
          </w:p>
        </w:tc>
      </w:tr>
      <w:tr w:rsidR="00CA14AB" w:rsidRPr="00E00B35" w:rsidTr="00CA14AB">
        <w:trPr>
          <w:trHeight w:val="300"/>
        </w:trPr>
        <w:tc>
          <w:tcPr>
            <w:tcW w:w="439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Aero Pegasus i Polski Klub Wiejski</w:t>
            </w:r>
          </w:p>
        </w:tc>
        <w:tc>
          <w:tcPr>
            <w:tcW w:w="2263"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73600 zł</w:t>
            </w:r>
          </w:p>
        </w:tc>
      </w:tr>
      <w:tr w:rsidR="00CA14AB" w:rsidRPr="00E00B35" w:rsidTr="00CA14AB">
        <w:trPr>
          <w:trHeight w:val="300"/>
        </w:trPr>
        <w:tc>
          <w:tcPr>
            <w:tcW w:w="439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Rafał Suchecki</w:t>
            </w:r>
          </w:p>
        </w:tc>
        <w:tc>
          <w:tcPr>
            <w:tcW w:w="2263"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62700 zł</w:t>
            </w:r>
          </w:p>
        </w:tc>
      </w:tr>
      <w:tr w:rsidR="00CA14AB" w:rsidRPr="00E00B35" w:rsidTr="00CA14AB">
        <w:trPr>
          <w:trHeight w:val="300"/>
        </w:trPr>
        <w:tc>
          <w:tcPr>
            <w:tcW w:w="439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Wrbna Racing</w:t>
            </w:r>
          </w:p>
        </w:tc>
        <w:tc>
          <w:tcPr>
            <w:tcW w:w="2263"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61000 zł</w:t>
            </w:r>
          </w:p>
        </w:tc>
      </w:tr>
      <w:tr w:rsidR="00CA14AB" w:rsidRPr="00E00B35" w:rsidTr="00CA14AB">
        <w:trPr>
          <w:trHeight w:val="300"/>
        </w:trPr>
        <w:tc>
          <w:tcPr>
            <w:tcW w:w="439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Sascha Mladenovic</w:t>
            </w:r>
          </w:p>
        </w:tc>
        <w:tc>
          <w:tcPr>
            <w:tcW w:w="2263"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53000 zł</w:t>
            </w:r>
          </w:p>
        </w:tc>
      </w:tr>
      <w:tr w:rsidR="00CA14AB" w:rsidRPr="00E00B35" w:rsidTr="00CA14AB">
        <w:trPr>
          <w:trHeight w:val="300"/>
        </w:trPr>
        <w:tc>
          <w:tcPr>
            <w:tcW w:w="439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SK Michałów</w:t>
            </w:r>
          </w:p>
        </w:tc>
        <w:tc>
          <w:tcPr>
            <w:tcW w:w="2263"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45800 zł</w:t>
            </w:r>
          </w:p>
        </w:tc>
      </w:tr>
      <w:tr w:rsidR="00CA14AB" w:rsidRPr="00E00B35" w:rsidTr="00CA14AB">
        <w:trPr>
          <w:trHeight w:val="300"/>
        </w:trPr>
        <w:tc>
          <w:tcPr>
            <w:tcW w:w="439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Karel Zatloukal</w:t>
            </w:r>
          </w:p>
        </w:tc>
        <w:tc>
          <w:tcPr>
            <w:tcW w:w="2263"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44000 zł</w:t>
            </w:r>
          </w:p>
        </w:tc>
      </w:tr>
    </w:tbl>
    <w:p w:rsidR="00283205" w:rsidRPr="00E00B35" w:rsidRDefault="00283205"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Od 2013 r., kiedy konie pełnej krwi angielskiej zastąpiły konie półkrwi, radykalnie – z państwowej na prywatną – zmieniła się struktura właścicieli koni wyścigowych na Partynicach. O ile w początkowym okresie przeważały konie będące własnością państwowych stadnin, to w 2017 r. państwowego właściciela miał już tylko jeden (sic!) koń pełnej krwi angielskiej. Z roku na rok powiększa się krąg zagranicznych właścicieli koni, które są oddawane do treningu na Partynicach, już nie tylko z Czech, ale także z innych krajów, takich jak Niemcy, Serbia, Szwajcaria czy nawet Iran.</w:t>
      </w:r>
    </w:p>
    <w:p w:rsidR="00CA14AB" w:rsidRPr="00E00B35" w:rsidRDefault="00CA14AB" w:rsidP="00E00B35">
      <w:pPr>
        <w:spacing w:after="0" w:line="312" w:lineRule="auto"/>
        <w:rPr>
          <w:szCs w:val="20"/>
        </w:rPr>
      </w:pPr>
      <w:r w:rsidRPr="00E00B35">
        <w:rPr>
          <w:szCs w:val="20"/>
        </w:rPr>
        <w:t>Struktura właścicielska</w:t>
      </w:r>
    </w:p>
    <w:p w:rsidR="00CA14AB" w:rsidRPr="00E00B35" w:rsidRDefault="00CA14AB" w:rsidP="00E00B35">
      <w:pPr>
        <w:spacing w:after="0" w:line="312" w:lineRule="auto"/>
        <w:rPr>
          <w:szCs w:val="20"/>
        </w:rPr>
      </w:pPr>
      <w:r w:rsidRPr="00E00B35">
        <w:rPr>
          <w:szCs w:val="20"/>
        </w:rPr>
        <w:t>xx – pełna krew angielska, oo – czysta krew arabska</w:t>
      </w:r>
    </w:p>
    <w:tbl>
      <w:tblPr>
        <w:tblW w:w="9351" w:type="dxa"/>
        <w:tblInd w:w="-1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1334"/>
        <w:gridCol w:w="499"/>
        <w:gridCol w:w="379"/>
        <w:gridCol w:w="727"/>
        <w:gridCol w:w="499"/>
        <w:gridCol w:w="379"/>
        <w:gridCol w:w="727"/>
        <w:gridCol w:w="499"/>
        <w:gridCol w:w="379"/>
        <w:gridCol w:w="727"/>
        <w:gridCol w:w="499"/>
        <w:gridCol w:w="379"/>
        <w:gridCol w:w="727"/>
        <w:gridCol w:w="499"/>
        <w:gridCol w:w="379"/>
        <w:gridCol w:w="727"/>
      </w:tblGrid>
      <w:tr w:rsidR="00CA14AB" w:rsidRPr="00E00B35" w:rsidTr="00CA14AB">
        <w:trPr>
          <w:trHeight w:val="288"/>
        </w:trPr>
        <w:tc>
          <w:tcPr>
            <w:tcW w:w="1413" w:type="dxa"/>
            <w:shd w:val="clear" w:color="auto" w:fill="auto"/>
            <w:noWrap/>
            <w:vAlign w:val="bottom"/>
            <w:hideMark/>
          </w:tcPr>
          <w:p w:rsidR="00CA14AB" w:rsidRPr="00E00B35" w:rsidRDefault="00CA14AB" w:rsidP="00E00B35">
            <w:pPr>
              <w:spacing w:after="0" w:line="312" w:lineRule="auto"/>
              <w:rPr>
                <w:szCs w:val="20"/>
              </w:rPr>
            </w:pPr>
            <w:r w:rsidRPr="00E00B35">
              <w:rPr>
                <w:szCs w:val="20"/>
              </w:rPr>
              <w:t> </w:t>
            </w:r>
          </w:p>
        </w:tc>
        <w:tc>
          <w:tcPr>
            <w:tcW w:w="1597" w:type="dxa"/>
            <w:gridSpan w:val="3"/>
            <w:shd w:val="clear" w:color="auto" w:fill="auto"/>
            <w:noWrap/>
            <w:vAlign w:val="bottom"/>
            <w:hideMark/>
          </w:tcPr>
          <w:p w:rsidR="00CA14AB" w:rsidRPr="00E00B35" w:rsidRDefault="00CA14AB" w:rsidP="00E00B35">
            <w:pPr>
              <w:spacing w:after="0" w:line="312" w:lineRule="auto"/>
              <w:rPr>
                <w:szCs w:val="20"/>
              </w:rPr>
            </w:pPr>
            <w:r w:rsidRPr="00E00B35">
              <w:rPr>
                <w:szCs w:val="20"/>
              </w:rPr>
              <w:t>2016</w:t>
            </w:r>
          </w:p>
        </w:tc>
        <w:tc>
          <w:tcPr>
            <w:tcW w:w="1597" w:type="dxa"/>
            <w:gridSpan w:val="3"/>
            <w:shd w:val="clear" w:color="auto" w:fill="auto"/>
            <w:noWrap/>
            <w:vAlign w:val="bottom"/>
            <w:hideMark/>
          </w:tcPr>
          <w:p w:rsidR="00CA14AB" w:rsidRPr="00E00B35" w:rsidRDefault="00CA14AB" w:rsidP="00E00B35">
            <w:pPr>
              <w:spacing w:after="0" w:line="312" w:lineRule="auto"/>
              <w:rPr>
                <w:szCs w:val="20"/>
              </w:rPr>
            </w:pPr>
            <w:r w:rsidRPr="00E00B35">
              <w:rPr>
                <w:szCs w:val="20"/>
              </w:rPr>
              <w:t>2017</w:t>
            </w:r>
          </w:p>
        </w:tc>
        <w:tc>
          <w:tcPr>
            <w:tcW w:w="1597" w:type="dxa"/>
            <w:gridSpan w:val="3"/>
            <w:shd w:val="clear" w:color="auto" w:fill="auto"/>
            <w:noWrap/>
            <w:vAlign w:val="bottom"/>
            <w:hideMark/>
          </w:tcPr>
          <w:p w:rsidR="00CA14AB" w:rsidRPr="00E00B35" w:rsidRDefault="00CA14AB" w:rsidP="00E00B35">
            <w:pPr>
              <w:spacing w:after="0" w:line="312" w:lineRule="auto"/>
              <w:rPr>
                <w:szCs w:val="20"/>
              </w:rPr>
            </w:pPr>
            <w:r w:rsidRPr="00E00B35">
              <w:rPr>
                <w:szCs w:val="20"/>
              </w:rPr>
              <w:t>2018</w:t>
            </w:r>
          </w:p>
        </w:tc>
        <w:tc>
          <w:tcPr>
            <w:tcW w:w="1597" w:type="dxa"/>
            <w:gridSpan w:val="3"/>
            <w:tcBorders>
              <w:right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2019</w:t>
            </w:r>
          </w:p>
        </w:tc>
        <w:tc>
          <w:tcPr>
            <w:tcW w:w="155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288"/>
        </w:trPr>
        <w:tc>
          <w:tcPr>
            <w:tcW w:w="1413" w:type="dxa"/>
            <w:shd w:val="clear" w:color="auto" w:fill="auto"/>
            <w:noWrap/>
            <w:vAlign w:val="bottom"/>
            <w:hideMark/>
          </w:tcPr>
          <w:p w:rsidR="00CA14AB" w:rsidRPr="00E00B35" w:rsidRDefault="00CA14AB" w:rsidP="00E00B35">
            <w:pPr>
              <w:spacing w:after="0" w:line="312" w:lineRule="auto"/>
              <w:rPr>
                <w:szCs w:val="20"/>
              </w:rPr>
            </w:pPr>
            <w:r w:rsidRPr="00E00B35">
              <w:rPr>
                <w:szCs w:val="20"/>
              </w:rPr>
              <w:t>konie</w:t>
            </w:r>
          </w:p>
        </w:tc>
        <w:tc>
          <w:tcPr>
            <w:tcW w:w="48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xx</w:t>
            </w:r>
          </w:p>
        </w:tc>
        <w:tc>
          <w:tcPr>
            <w:tcW w:w="369" w:type="dxa"/>
            <w:shd w:val="clear" w:color="auto" w:fill="auto"/>
            <w:noWrap/>
            <w:vAlign w:val="bottom"/>
            <w:hideMark/>
          </w:tcPr>
          <w:p w:rsidR="00CA14AB" w:rsidRPr="00E00B35" w:rsidRDefault="00CA14AB" w:rsidP="00E00B35">
            <w:pPr>
              <w:spacing w:after="0" w:line="312" w:lineRule="auto"/>
              <w:rPr>
                <w:szCs w:val="20"/>
              </w:rPr>
            </w:pPr>
            <w:r w:rsidRPr="00E00B35">
              <w:rPr>
                <w:szCs w:val="20"/>
              </w:rPr>
              <w:t>oo</w:t>
            </w:r>
          </w:p>
        </w:tc>
        <w:tc>
          <w:tcPr>
            <w:tcW w:w="74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razem</w:t>
            </w:r>
          </w:p>
        </w:tc>
        <w:tc>
          <w:tcPr>
            <w:tcW w:w="48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xx</w:t>
            </w:r>
          </w:p>
        </w:tc>
        <w:tc>
          <w:tcPr>
            <w:tcW w:w="369" w:type="dxa"/>
            <w:shd w:val="clear" w:color="auto" w:fill="auto"/>
            <w:noWrap/>
            <w:vAlign w:val="bottom"/>
            <w:hideMark/>
          </w:tcPr>
          <w:p w:rsidR="00CA14AB" w:rsidRPr="00E00B35" w:rsidRDefault="00CA14AB" w:rsidP="00E00B35">
            <w:pPr>
              <w:spacing w:after="0" w:line="312" w:lineRule="auto"/>
              <w:rPr>
                <w:szCs w:val="20"/>
              </w:rPr>
            </w:pPr>
            <w:r w:rsidRPr="00E00B35">
              <w:rPr>
                <w:szCs w:val="20"/>
              </w:rPr>
              <w:t>oo</w:t>
            </w:r>
          </w:p>
        </w:tc>
        <w:tc>
          <w:tcPr>
            <w:tcW w:w="74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razem</w:t>
            </w:r>
          </w:p>
        </w:tc>
        <w:tc>
          <w:tcPr>
            <w:tcW w:w="48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xx</w:t>
            </w:r>
          </w:p>
        </w:tc>
        <w:tc>
          <w:tcPr>
            <w:tcW w:w="369" w:type="dxa"/>
            <w:shd w:val="clear" w:color="auto" w:fill="auto"/>
            <w:noWrap/>
            <w:vAlign w:val="bottom"/>
            <w:hideMark/>
          </w:tcPr>
          <w:p w:rsidR="00CA14AB" w:rsidRPr="00E00B35" w:rsidRDefault="00CA14AB" w:rsidP="00E00B35">
            <w:pPr>
              <w:spacing w:after="0" w:line="312" w:lineRule="auto"/>
              <w:rPr>
                <w:szCs w:val="20"/>
              </w:rPr>
            </w:pPr>
            <w:r w:rsidRPr="00E00B35">
              <w:rPr>
                <w:szCs w:val="20"/>
              </w:rPr>
              <w:t>oo</w:t>
            </w:r>
          </w:p>
        </w:tc>
        <w:tc>
          <w:tcPr>
            <w:tcW w:w="74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razem</w:t>
            </w:r>
          </w:p>
        </w:tc>
        <w:tc>
          <w:tcPr>
            <w:tcW w:w="48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xx</w:t>
            </w:r>
          </w:p>
        </w:tc>
        <w:tc>
          <w:tcPr>
            <w:tcW w:w="369" w:type="dxa"/>
            <w:shd w:val="clear" w:color="auto" w:fill="auto"/>
            <w:noWrap/>
            <w:vAlign w:val="bottom"/>
            <w:hideMark/>
          </w:tcPr>
          <w:p w:rsidR="00CA14AB" w:rsidRPr="00E00B35" w:rsidRDefault="00CA14AB" w:rsidP="00E00B35">
            <w:pPr>
              <w:spacing w:after="0" w:line="312" w:lineRule="auto"/>
              <w:rPr>
                <w:szCs w:val="20"/>
              </w:rPr>
            </w:pPr>
            <w:r w:rsidRPr="00E00B35">
              <w:rPr>
                <w:szCs w:val="20"/>
              </w:rPr>
              <w:t>oo</w:t>
            </w:r>
          </w:p>
        </w:tc>
        <w:tc>
          <w:tcPr>
            <w:tcW w:w="744" w:type="dxa"/>
            <w:tcBorders>
              <w:right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razem</w:t>
            </w:r>
          </w:p>
        </w:tc>
        <w:tc>
          <w:tcPr>
            <w:tcW w:w="415"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xx</w:t>
            </w:r>
          </w:p>
        </w:tc>
        <w:tc>
          <w:tcPr>
            <w:tcW w:w="371"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oo</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razem</w:t>
            </w:r>
          </w:p>
        </w:tc>
      </w:tr>
      <w:tr w:rsidR="00CA14AB" w:rsidRPr="00E00B35" w:rsidTr="00CA14AB">
        <w:trPr>
          <w:trHeight w:val="288"/>
        </w:trPr>
        <w:tc>
          <w:tcPr>
            <w:tcW w:w="1413" w:type="dxa"/>
            <w:shd w:val="clear" w:color="auto" w:fill="auto"/>
            <w:noWrap/>
            <w:vAlign w:val="bottom"/>
            <w:hideMark/>
          </w:tcPr>
          <w:p w:rsidR="00CA14AB" w:rsidRPr="00E00B35" w:rsidRDefault="00CA14AB" w:rsidP="00E00B35">
            <w:pPr>
              <w:spacing w:after="0" w:line="312" w:lineRule="auto"/>
              <w:rPr>
                <w:szCs w:val="20"/>
              </w:rPr>
            </w:pPr>
            <w:r w:rsidRPr="00E00B35">
              <w:rPr>
                <w:szCs w:val="20"/>
              </w:rPr>
              <w:t>prywatne</w:t>
            </w:r>
          </w:p>
        </w:tc>
        <w:tc>
          <w:tcPr>
            <w:tcW w:w="48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113</w:t>
            </w:r>
          </w:p>
        </w:tc>
        <w:tc>
          <w:tcPr>
            <w:tcW w:w="369" w:type="dxa"/>
            <w:shd w:val="clear" w:color="auto" w:fill="auto"/>
            <w:noWrap/>
            <w:vAlign w:val="bottom"/>
            <w:hideMark/>
          </w:tcPr>
          <w:p w:rsidR="00CA14AB" w:rsidRPr="00E00B35" w:rsidRDefault="00CA14AB" w:rsidP="00E00B35">
            <w:pPr>
              <w:spacing w:after="0" w:line="312" w:lineRule="auto"/>
              <w:rPr>
                <w:szCs w:val="20"/>
              </w:rPr>
            </w:pPr>
            <w:r w:rsidRPr="00E00B35">
              <w:rPr>
                <w:szCs w:val="20"/>
              </w:rPr>
              <w:t>27</w:t>
            </w:r>
          </w:p>
        </w:tc>
        <w:tc>
          <w:tcPr>
            <w:tcW w:w="74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140</w:t>
            </w:r>
          </w:p>
        </w:tc>
        <w:tc>
          <w:tcPr>
            <w:tcW w:w="48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153</w:t>
            </w:r>
          </w:p>
        </w:tc>
        <w:tc>
          <w:tcPr>
            <w:tcW w:w="369" w:type="dxa"/>
            <w:shd w:val="clear" w:color="auto" w:fill="auto"/>
            <w:noWrap/>
            <w:vAlign w:val="bottom"/>
            <w:hideMark/>
          </w:tcPr>
          <w:p w:rsidR="00CA14AB" w:rsidRPr="00E00B35" w:rsidRDefault="00CA14AB" w:rsidP="00E00B35">
            <w:pPr>
              <w:spacing w:after="0" w:line="312" w:lineRule="auto"/>
              <w:rPr>
                <w:szCs w:val="20"/>
              </w:rPr>
            </w:pPr>
            <w:r w:rsidRPr="00E00B35">
              <w:rPr>
                <w:szCs w:val="20"/>
              </w:rPr>
              <w:t>33</w:t>
            </w:r>
          </w:p>
        </w:tc>
        <w:tc>
          <w:tcPr>
            <w:tcW w:w="74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186</w:t>
            </w:r>
          </w:p>
        </w:tc>
        <w:tc>
          <w:tcPr>
            <w:tcW w:w="48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136</w:t>
            </w:r>
          </w:p>
        </w:tc>
        <w:tc>
          <w:tcPr>
            <w:tcW w:w="369" w:type="dxa"/>
            <w:shd w:val="clear" w:color="auto" w:fill="auto"/>
            <w:noWrap/>
            <w:vAlign w:val="bottom"/>
            <w:hideMark/>
          </w:tcPr>
          <w:p w:rsidR="00CA14AB" w:rsidRPr="00E00B35" w:rsidRDefault="00CA14AB" w:rsidP="00E00B35">
            <w:pPr>
              <w:spacing w:after="0" w:line="312" w:lineRule="auto"/>
              <w:rPr>
                <w:szCs w:val="20"/>
              </w:rPr>
            </w:pPr>
            <w:r w:rsidRPr="00E00B35">
              <w:rPr>
                <w:szCs w:val="20"/>
              </w:rPr>
              <w:t>53</w:t>
            </w:r>
          </w:p>
        </w:tc>
        <w:tc>
          <w:tcPr>
            <w:tcW w:w="74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189</w:t>
            </w:r>
          </w:p>
        </w:tc>
        <w:tc>
          <w:tcPr>
            <w:tcW w:w="484" w:type="dxa"/>
            <w:shd w:val="clear" w:color="auto" w:fill="auto"/>
            <w:noWrap/>
            <w:vAlign w:val="bottom"/>
            <w:hideMark/>
          </w:tcPr>
          <w:p w:rsidR="00CA14AB" w:rsidRPr="00E00B35" w:rsidRDefault="00CA14AB" w:rsidP="00E00B35">
            <w:pPr>
              <w:spacing w:after="0" w:line="312" w:lineRule="auto"/>
              <w:rPr>
                <w:szCs w:val="20"/>
              </w:rPr>
            </w:pPr>
            <w:r w:rsidRPr="00E00B35">
              <w:rPr>
                <w:szCs w:val="20"/>
              </w:rPr>
              <w:t>134</w:t>
            </w:r>
          </w:p>
        </w:tc>
        <w:tc>
          <w:tcPr>
            <w:tcW w:w="369" w:type="dxa"/>
            <w:shd w:val="clear" w:color="auto" w:fill="auto"/>
            <w:noWrap/>
            <w:vAlign w:val="bottom"/>
            <w:hideMark/>
          </w:tcPr>
          <w:p w:rsidR="00CA14AB" w:rsidRPr="00E00B35" w:rsidRDefault="00CA14AB" w:rsidP="00E00B35">
            <w:pPr>
              <w:spacing w:after="0" w:line="312" w:lineRule="auto"/>
              <w:rPr>
                <w:szCs w:val="20"/>
              </w:rPr>
            </w:pPr>
            <w:r w:rsidRPr="00E00B35">
              <w:rPr>
                <w:szCs w:val="20"/>
              </w:rPr>
              <w:t>45</w:t>
            </w:r>
          </w:p>
        </w:tc>
        <w:tc>
          <w:tcPr>
            <w:tcW w:w="744" w:type="dxa"/>
            <w:tcBorders>
              <w:bottom w:val="single" w:sz="4" w:space="0" w:color="auto"/>
              <w:right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179</w:t>
            </w:r>
          </w:p>
        </w:tc>
        <w:tc>
          <w:tcPr>
            <w:tcW w:w="415"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132</w:t>
            </w:r>
          </w:p>
        </w:tc>
        <w:tc>
          <w:tcPr>
            <w:tcW w:w="371"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50</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182</w:t>
            </w:r>
          </w:p>
        </w:tc>
      </w:tr>
      <w:tr w:rsidR="00CA14AB" w:rsidRPr="00E00B35" w:rsidTr="00CA14AB">
        <w:trPr>
          <w:trHeight w:val="288"/>
        </w:trPr>
        <w:tc>
          <w:tcPr>
            <w:tcW w:w="1413"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państwowe</w:t>
            </w:r>
          </w:p>
        </w:tc>
        <w:tc>
          <w:tcPr>
            <w:tcW w:w="48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7</w:t>
            </w:r>
          </w:p>
        </w:tc>
        <w:tc>
          <w:tcPr>
            <w:tcW w:w="369"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24</w:t>
            </w:r>
          </w:p>
        </w:tc>
        <w:tc>
          <w:tcPr>
            <w:tcW w:w="74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31</w:t>
            </w:r>
          </w:p>
        </w:tc>
        <w:tc>
          <w:tcPr>
            <w:tcW w:w="48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1</w:t>
            </w:r>
          </w:p>
        </w:tc>
        <w:tc>
          <w:tcPr>
            <w:tcW w:w="369"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15</w:t>
            </w:r>
          </w:p>
        </w:tc>
        <w:tc>
          <w:tcPr>
            <w:tcW w:w="74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16</w:t>
            </w:r>
          </w:p>
        </w:tc>
        <w:tc>
          <w:tcPr>
            <w:tcW w:w="48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3</w:t>
            </w:r>
          </w:p>
        </w:tc>
        <w:tc>
          <w:tcPr>
            <w:tcW w:w="369"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15</w:t>
            </w:r>
          </w:p>
        </w:tc>
        <w:tc>
          <w:tcPr>
            <w:tcW w:w="74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18</w:t>
            </w:r>
          </w:p>
        </w:tc>
        <w:tc>
          <w:tcPr>
            <w:tcW w:w="48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2</w:t>
            </w:r>
          </w:p>
        </w:tc>
        <w:tc>
          <w:tcPr>
            <w:tcW w:w="369"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22</w:t>
            </w:r>
          </w:p>
        </w:tc>
        <w:tc>
          <w:tcPr>
            <w:tcW w:w="744" w:type="dxa"/>
            <w:tcBorders>
              <w:top w:val="single" w:sz="4" w:space="0" w:color="auto"/>
              <w:right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24</w:t>
            </w:r>
          </w:p>
        </w:tc>
        <w:tc>
          <w:tcPr>
            <w:tcW w:w="415"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1</w:t>
            </w:r>
          </w:p>
        </w:tc>
        <w:tc>
          <w:tcPr>
            <w:tcW w:w="371"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24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25</w:t>
            </w:r>
          </w:p>
        </w:tc>
      </w:tr>
      <w:tr w:rsidR="00CA14AB" w:rsidRPr="00E00B35" w:rsidTr="00CA14AB">
        <w:trPr>
          <w:trHeight w:val="288"/>
        </w:trPr>
        <w:tc>
          <w:tcPr>
            <w:tcW w:w="1413"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Suma</w:t>
            </w:r>
          </w:p>
        </w:tc>
        <w:tc>
          <w:tcPr>
            <w:tcW w:w="48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120</w:t>
            </w:r>
          </w:p>
        </w:tc>
        <w:tc>
          <w:tcPr>
            <w:tcW w:w="369"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51</w:t>
            </w:r>
          </w:p>
        </w:tc>
        <w:tc>
          <w:tcPr>
            <w:tcW w:w="74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171</w:t>
            </w:r>
          </w:p>
        </w:tc>
        <w:tc>
          <w:tcPr>
            <w:tcW w:w="48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154</w:t>
            </w:r>
          </w:p>
        </w:tc>
        <w:tc>
          <w:tcPr>
            <w:tcW w:w="369"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48</w:t>
            </w:r>
          </w:p>
        </w:tc>
        <w:tc>
          <w:tcPr>
            <w:tcW w:w="74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202</w:t>
            </w:r>
          </w:p>
        </w:tc>
        <w:tc>
          <w:tcPr>
            <w:tcW w:w="48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139</w:t>
            </w:r>
          </w:p>
        </w:tc>
        <w:tc>
          <w:tcPr>
            <w:tcW w:w="369"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68</w:t>
            </w:r>
          </w:p>
        </w:tc>
        <w:tc>
          <w:tcPr>
            <w:tcW w:w="74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207</w:t>
            </w:r>
          </w:p>
        </w:tc>
        <w:tc>
          <w:tcPr>
            <w:tcW w:w="484"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136</w:t>
            </w:r>
          </w:p>
        </w:tc>
        <w:tc>
          <w:tcPr>
            <w:tcW w:w="369" w:type="dxa"/>
            <w:tcBorders>
              <w:top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67</w:t>
            </w:r>
          </w:p>
        </w:tc>
        <w:tc>
          <w:tcPr>
            <w:tcW w:w="744" w:type="dxa"/>
            <w:tcBorders>
              <w:top w:val="single" w:sz="4" w:space="0" w:color="auto"/>
              <w:right w:val="single" w:sz="4" w:space="0" w:color="auto"/>
            </w:tcBorders>
            <w:shd w:val="clear" w:color="auto" w:fill="auto"/>
            <w:noWrap/>
            <w:vAlign w:val="bottom"/>
            <w:hideMark/>
          </w:tcPr>
          <w:p w:rsidR="00CA14AB" w:rsidRPr="00E00B35" w:rsidRDefault="00CA14AB" w:rsidP="00E00B35">
            <w:pPr>
              <w:spacing w:after="0" w:line="312" w:lineRule="auto"/>
              <w:rPr>
                <w:szCs w:val="20"/>
              </w:rPr>
            </w:pPr>
            <w:r w:rsidRPr="00E00B35">
              <w:rPr>
                <w:szCs w:val="20"/>
              </w:rPr>
              <w:t>203</w:t>
            </w:r>
          </w:p>
        </w:tc>
        <w:tc>
          <w:tcPr>
            <w:tcW w:w="415"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133</w:t>
            </w:r>
          </w:p>
        </w:tc>
        <w:tc>
          <w:tcPr>
            <w:tcW w:w="371"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74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CA14AB" w:rsidRPr="00E00B35" w:rsidRDefault="00CA14AB" w:rsidP="00E00B35">
            <w:pPr>
              <w:spacing w:after="0" w:line="312" w:lineRule="auto"/>
              <w:rPr>
                <w:szCs w:val="20"/>
              </w:rPr>
            </w:pPr>
            <w:r w:rsidRPr="00E00B35">
              <w:rPr>
                <w:szCs w:val="20"/>
              </w:rPr>
              <w:t>207</w:t>
            </w:r>
          </w:p>
        </w:tc>
      </w:tr>
    </w:tbl>
    <w:p w:rsidR="00CA14AB" w:rsidRPr="00E00B35" w:rsidRDefault="00CA14AB" w:rsidP="00E00B35">
      <w:pPr>
        <w:spacing w:after="0" w:line="312" w:lineRule="auto"/>
        <w:rPr>
          <w:szCs w:val="20"/>
        </w:rPr>
      </w:pPr>
      <w:bookmarkStart w:id="609" w:name="_Toc72352510"/>
      <w:bookmarkStart w:id="610" w:name="_Toc72352944"/>
      <w:r w:rsidRPr="00E00B35">
        <w:rPr>
          <w:szCs w:val="20"/>
        </w:rPr>
        <w:t>Sponsorzy i fundatorzy nagród</w:t>
      </w:r>
      <w:bookmarkEnd w:id="609"/>
      <w:bookmarkEnd w:id="610"/>
    </w:p>
    <w:p w:rsidR="00CA14AB" w:rsidRPr="00E00B35" w:rsidRDefault="00CA14AB" w:rsidP="00E00B35">
      <w:pPr>
        <w:spacing w:after="0" w:line="312" w:lineRule="auto"/>
        <w:rPr>
          <w:szCs w:val="20"/>
        </w:rPr>
      </w:pPr>
      <w:r w:rsidRPr="00E00B35">
        <w:rPr>
          <w:szCs w:val="20"/>
        </w:rPr>
        <w:t>Pula nagród w sezonie 2020 wyniosła 1.667.600 zł. Sponsorami wrocławskich wyścigów były: Prezydent Wrocławia, Port Lotniczy Wrocław, Totalizator Sportowy, Urząd Marszałkowski Województwa Dolnośląskiego, Sejmik Województwa Dolnośląskiego. Ponadto fundatorami nagród w gonitwach byli: Marszałek Województwa Dolnośląskiego, Przewodniczący Sejmiku Dolnośląskiego, Tor Wyścigowy w Pardubicach (Czechy), Stajnia Wyścigowa Kolesa (Czechy), Stadnina Koni Wiśnicz, Unico Logistics.</w:t>
      </w:r>
    </w:p>
    <w:p w:rsidR="00CA14AB" w:rsidRPr="00E00B35" w:rsidRDefault="00CA14AB" w:rsidP="00E00B35">
      <w:pPr>
        <w:spacing w:after="0" w:line="312" w:lineRule="auto"/>
        <w:rPr>
          <w:szCs w:val="20"/>
        </w:rPr>
      </w:pPr>
      <w:bookmarkStart w:id="611" w:name="_Toc72352511"/>
      <w:bookmarkStart w:id="612" w:name="_Toc72352945"/>
      <w:r w:rsidRPr="00E00B35">
        <w:rPr>
          <w:szCs w:val="20"/>
        </w:rPr>
        <w:t>Jeźdźcy</w:t>
      </w:r>
      <w:bookmarkEnd w:id="611"/>
      <w:bookmarkEnd w:id="612"/>
    </w:p>
    <w:p w:rsidR="00CA14AB" w:rsidRPr="00E00B35" w:rsidRDefault="00CA14AB" w:rsidP="00E00B35">
      <w:pPr>
        <w:spacing w:after="0" w:line="312" w:lineRule="auto"/>
        <w:rPr>
          <w:szCs w:val="20"/>
        </w:rPr>
      </w:pPr>
      <w:r w:rsidRPr="00E00B35">
        <w:rPr>
          <w:szCs w:val="20"/>
        </w:rPr>
        <w:t xml:space="preserve">Najlepszym jeźdźcem w gonitwach z płotami i z przeszkodami został szwedzki dżokej Niklas Loven. Wygrał na Partynicach dziewięć gonitw, osiągając ten wynik w 26 startach, co daje bardzo wysoką skuteczność 34,6%. Jego największy sukces, to zwycięstwo </w:t>
      </w:r>
      <w:r w:rsidRPr="00E00B35">
        <w:rPr>
          <w:szCs w:val="20"/>
        </w:rPr>
        <w:lastRenderedPageBreak/>
        <w:t xml:space="preserve">na klaczy Cosmic Magic w najważniejszym wyścigu sezonu – Wielkiej Wrocławskiej Nagrodzie Prezydenta Wrocławia. Konie, których dosiadał, łącznie wygrały 240.000 zł. W gonitwach płaskich także dziewięć zwycięstw osiągnął Kamil Grzybowski, a dokonał tego w 36 startach, co daje 25-procentową skuteczność. Wygrywał na koniach pełnej krwi angielskiej i czystej krwi arabskiej, poprowadził do zwycięstwa m.in. ogiera Ever Soleado, późniejszego czempiona trzylatków w gonitwach z płotami. </w:t>
      </w:r>
    </w:p>
    <w:p w:rsidR="00CA14AB" w:rsidRPr="00E00B35" w:rsidRDefault="00CA14AB" w:rsidP="00E00B35">
      <w:pPr>
        <w:spacing w:after="0" w:line="312" w:lineRule="auto"/>
        <w:rPr>
          <w:szCs w:val="20"/>
        </w:rPr>
      </w:pPr>
      <w:r w:rsidRPr="00E00B35">
        <w:rPr>
          <w:szCs w:val="20"/>
        </w:rPr>
        <w:t>m – zajęte miejsce w gonitwach</w:t>
      </w:r>
    </w:p>
    <w:tbl>
      <w:tblPr>
        <w:tblW w:w="10060" w:type="dxa"/>
        <w:tblInd w:w="-431"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CellMar>
          <w:left w:w="10" w:type="dxa"/>
          <w:right w:w="10" w:type="dxa"/>
        </w:tblCellMar>
        <w:tblLook w:val="04A0"/>
      </w:tblPr>
      <w:tblGrid>
        <w:gridCol w:w="2122"/>
        <w:gridCol w:w="567"/>
        <w:gridCol w:w="709"/>
        <w:gridCol w:w="709"/>
        <w:gridCol w:w="709"/>
        <w:gridCol w:w="992"/>
        <w:gridCol w:w="567"/>
        <w:gridCol w:w="850"/>
        <w:gridCol w:w="1560"/>
        <w:gridCol w:w="1275"/>
      </w:tblGrid>
      <w:tr w:rsidR="00CA14AB" w:rsidRPr="00E00B35" w:rsidTr="00CA14AB">
        <w:trPr>
          <w:trHeight w:val="300"/>
        </w:trPr>
        <w:tc>
          <w:tcPr>
            <w:tcW w:w="212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Jeźdźcy</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I miejsce</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II miejsce</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III miejsce</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IV miejsce</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V/VI miejsce</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Bez miejsca</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starty</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 zwycięstw</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wygrane</w:t>
            </w:r>
          </w:p>
        </w:tc>
      </w:tr>
      <w:tr w:rsidR="00CA14AB" w:rsidRPr="00E00B35" w:rsidTr="00CA14AB">
        <w:trPr>
          <w:trHeight w:val="300"/>
        </w:trPr>
        <w:tc>
          <w:tcPr>
            <w:tcW w:w="212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Niklas Loven</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9</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10</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26</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34,6%</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240000 zł</w:t>
            </w:r>
          </w:p>
        </w:tc>
      </w:tr>
      <w:tr w:rsidR="00CA14AB" w:rsidRPr="00E00B35" w:rsidTr="00CA14AB">
        <w:trPr>
          <w:trHeight w:val="300"/>
        </w:trPr>
        <w:tc>
          <w:tcPr>
            <w:tcW w:w="212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Kamil Grzybowski</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9</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36</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25,0%</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76840 zł</w:t>
            </w:r>
          </w:p>
        </w:tc>
      </w:tr>
      <w:tr w:rsidR="00CA14AB" w:rsidRPr="00E00B35" w:rsidTr="00CA14AB">
        <w:trPr>
          <w:trHeight w:val="300"/>
        </w:trPr>
        <w:tc>
          <w:tcPr>
            <w:tcW w:w="212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Pavel Slozil</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23</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30,4%</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180000 zł</w:t>
            </w:r>
          </w:p>
        </w:tc>
      </w:tr>
      <w:tr w:rsidR="00CA14AB" w:rsidRPr="00E00B35" w:rsidTr="00CA14AB">
        <w:trPr>
          <w:trHeight w:val="300"/>
        </w:trPr>
        <w:tc>
          <w:tcPr>
            <w:tcW w:w="212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Konrad Mazur</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10</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30</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20,0%</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68100 zł</w:t>
            </w:r>
          </w:p>
        </w:tc>
      </w:tr>
      <w:tr w:rsidR="00CA14AB" w:rsidRPr="00E00B35" w:rsidTr="00CA14AB">
        <w:trPr>
          <w:trHeight w:val="300"/>
        </w:trPr>
        <w:tc>
          <w:tcPr>
            <w:tcW w:w="212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Anton Turgaev</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20</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25,0%</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45200 zł</w:t>
            </w:r>
          </w:p>
        </w:tc>
      </w:tr>
      <w:tr w:rsidR="00CA14AB" w:rsidRPr="00E00B35" w:rsidTr="00CA14AB">
        <w:trPr>
          <w:trHeight w:val="300"/>
        </w:trPr>
        <w:tc>
          <w:tcPr>
            <w:tcW w:w="212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Sanzhar Abaev</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13</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30,8%</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35000 zł</w:t>
            </w:r>
          </w:p>
        </w:tc>
      </w:tr>
      <w:tr w:rsidR="00CA14AB" w:rsidRPr="00E00B35" w:rsidTr="00CA14AB">
        <w:trPr>
          <w:trHeight w:val="300"/>
        </w:trPr>
        <w:tc>
          <w:tcPr>
            <w:tcW w:w="212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Jan Odlozil</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18</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16,7%</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106000 zł</w:t>
            </w:r>
          </w:p>
        </w:tc>
      </w:tr>
      <w:tr w:rsidR="00CA14AB" w:rsidRPr="00E00B35" w:rsidTr="00CA14AB">
        <w:trPr>
          <w:trHeight w:val="300"/>
        </w:trPr>
        <w:tc>
          <w:tcPr>
            <w:tcW w:w="212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Alexander Reznikov</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21</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14,3%</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40800 zł</w:t>
            </w:r>
          </w:p>
        </w:tc>
      </w:tr>
      <w:tr w:rsidR="00CA14AB" w:rsidRPr="00E00B35" w:rsidTr="00CA14AB">
        <w:trPr>
          <w:trHeight w:val="300"/>
        </w:trPr>
        <w:tc>
          <w:tcPr>
            <w:tcW w:w="212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Victor Popov</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9</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33,3%</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19500 zł</w:t>
            </w:r>
          </w:p>
        </w:tc>
      </w:tr>
      <w:tr w:rsidR="00CA14AB" w:rsidRPr="00E00B35" w:rsidTr="00CA14AB">
        <w:trPr>
          <w:trHeight w:val="300"/>
        </w:trPr>
        <w:tc>
          <w:tcPr>
            <w:tcW w:w="212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Agnieszka Tokarek</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992"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50,0%</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18200 zł</w:t>
            </w:r>
          </w:p>
        </w:tc>
      </w:tr>
    </w:tbl>
    <w:p w:rsidR="00283205" w:rsidRPr="00E00B35" w:rsidRDefault="00283205" w:rsidP="00E00B35">
      <w:pPr>
        <w:spacing w:after="0" w:line="312" w:lineRule="auto"/>
        <w:rPr>
          <w:szCs w:val="20"/>
        </w:rPr>
      </w:pPr>
      <w:bookmarkStart w:id="613" w:name="_Toc72352512"/>
      <w:bookmarkStart w:id="614" w:name="_Toc72352946"/>
    </w:p>
    <w:p w:rsidR="00CA14AB" w:rsidRPr="00E00B35" w:rsidRDefault="00CA14AB" w:rsidP="00E00B35">
      <w:pPr>
        <w:spacing w:after="0" w:line="312" w:lineRule="auto"/>
        <w:rPr>
          <w:szCs w:val="20"/>
        </w:rPr>
      </w:pPr>
      <w:r w:rsidRPr="00E00B35">
        <w:rPr>
          <w:szCs w:val="20"/>
        </w:rPr>
        <w:t>Trenerzy</w:t>
      </w:r>
      <w:bookmarkEnd w:id="613"/>
      <w:bookmarkEnd w:id="614"/>
    </w:p>
    <w:p w:rsidR="00CA14AB" w:rsidRPr="00E00B35" w:rsidRDefault="00CA14AB" w:rsidP="00E00B35">
      <w:pPr>
        <w:spacing w:after="0" w:line="312" w:lineRule="auto"/>
        <w:rPr>
          <w:szCs w:val="20"/>
        </w:rPr>
      </w:pPr>
      <w:r w:rsidRPr="00E00B35">
        <w:rPr>
          <w:szCs w:val="20"/>
        </w:rPr>
        <w:t xml:space="preserve">Wśród trenerów, których konie ścigały się na Partynicach, najwięcej wygranych gonitw zanotował Michał Borkowski, który ma lepszy bilans drugich miejsc i większą sumę nagród niż Cornelia Fraisl, która także osiągnęła 11 zwycięstw. Najlepszy wynik spośród koni trenowanych przez Michała Borkowskiego uzyskał Spasski, który wygrał Wielką Partynicką Nagrodę Totalizatora Sportowego, najważniejszą w sezonie gonitwę z płotami. Trzecie miejsce zajął Robert Świątek z 10 zwycięstwami; trenowany przez niego Ever Soleado wygrał Nagrodę Przewodniczącego Sejmiku Dolnośląskiego, czyli płotowy czempionat trzylatków. </w:t>
      </w:r>
    </w:p>
    <w:tbl>
      <w:tblPr>
        <w:tblW w:w="10065" w:type="dxa"/>
        <w:tblInd w:w="-436"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CellMar>
          <w:left w:w="10" w:type="dxa"/>
          <w:right w:w="10" w:type="dxa"/>
        </w:tblCellMar>
        <w:tblLook w:val="04A0"/>
      </w:tblPr>
      <w:tblGrid>
        <w:gridCol w:w="2411"/>
        <w:gridCol w:w="567"/>
        <w:gridCol w:w="709"/>
        <w:gridCol w:w="708"/>
        <w:gridCol w:w="709"/>
        <w:gridCol w:w="567"/>
        <w:gridCol w:w="709"/>
        <w:gridCol w:w="850"/>
        <w:gridCol w:w="1560"/>
        <w:gridCol w:w="1275"/>
      </w:tblGrid>
      <w:tr w:rsidR="00CA14AB" w:rsidRPr="00E00B35" w:rsidTr="00CA14AB">
        <w:trPr>
          <w:trHeight w:val="300"/>
        </w:trPr>
        <w:tc>
          <w:tcPr>
            <w:tcW w:w="241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Trenerzy</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I miejsce</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II miejsce</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III miejsce</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IV miejsce</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V miejsce</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Bez miejsca</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starty</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 zwycięstw</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wygrane</w:t>
            </w:r>
          </w:p>
        </w:tc>
      </w:tr>
      <w:tr w:rsidR="00CA14AB" w:rsidRPr="00E00B35" w:rsidTr="00CA14AB">
        <w:trPr>
          <w:trHeight w:val="300"/>
        </w:trPr>
        <w:tc>
          <w:tcPr>
            <w:tcW w:w="241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Michał Borkowski</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15</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31</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87</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12,6%</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196520 zł</w:t>
            </w:r>
          </w:p>
        </w:tc>
      </w:tr>
      <w:tr w:rsidR="00CA14AB" w:rsidRPr="00E00B35" w:rsidTr="00CA14AB">
        <w:trPr>
          <w:trHeight w:val="300"/>
        </w:trPr>
        <w:tc>
          <w:tcPr>
            <w:tcW w:w="241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Cornelia Fraisl</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40</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27,5%</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102240 zł</w:t>
            </w:r>
          </w:p>
        </w:tc>
      </w:tr>
      <w:tr w:rsidR="00CA14AB" w:rsidRPr="00E00B35" w:rsidTr="00CA14AB">
        <w:trPr>
          <w:trHeight w:val="300"/>
        </w:trPr>
        <w:tc>
          <w:tcPr>
            <w:tcW w:w="241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Robert Świątek</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46</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88</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11,4%</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166940 zł</w:t>
            </w:r>
          </w:p>
        </w:tc>
      </w:tr>
      <w:tr w:rsidR="00CA14AB" w:rsidRPr="00E00B35" w:rsidTr="00CA14AB">
        <w:trPr>
          <w:trHeight w:val="300"/>
        </w:trPr>
        <w:tc>
          <w:tcPr>
            <w:tcW w:w="241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Wojciech Chaboski</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9</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9</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16</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46</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19,6%</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103600 zł</w:t>
            </w:r>
          </w:p>
        </w:tc>
      </w:tr>
      <w:tr w:rsidR="00CA14AB" w:rsidRPr="00E00B35" w:rsidTr="00CA14AB">
        <w:trPr>
          <w:trHeight w:val="300"/>
        </w:trPr>
        <w:tc>
          <w:tcPr>
            <w:tcW w:w="241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Adam Łabędzki</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18</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45</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11,1%</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87400 zł</w:t>
            </w:r>
          </w:p>
        </w:tc>
      </w:tr>
      <w:tr w:rsidR="00CA14AB" w:rsidRPr="00E00B35" w:rsidTr="00CA14AB">
        <w:trPr>
          <w:trHeight w:val="300"/>
        </w:trPr>
        <w:tc>
          <w:tcPr>
            <w:tcW w:w="241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Radim Bodlak</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80%</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200000 zł</w:t>
            </w:r>
          </w:p>
        </w:tc>
      </w:tr>
      <w:tr w:rsidR="00CA14AB" w:rsidRPr="00E00B35" w:rsidTr="00CA14AB">
        <w:trPr>
          <w:trHeight w:val="300"/>
        </w:trPr>
        <w:tc>
          <w:tcPr>
            <w:tcW w:w="241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Wiesław Kryszyłowicz</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9</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10</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10</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8</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34</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75</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5,33%</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79100 zł</w:t>
            </w:r>
          </w:p>
        </w:tc>
      </w:tr>
      <w:tr w:rsidR="00CA14AB" w:rsidRPr="00E00B35" w:rsidTr="00CA14AB">
        <w:trPr>
          <w:trHeight w:val="300"/>
        </w:trPr>
        <w:tc>
          <w:tcPr>
            <w:tcW w:w="241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Justyna Domańska</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6</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24</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16,7%</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43300 zł</w:t>
            </w:r>
          </w:p>
        </w:tc>
      </w:tr>
      <w:tr w:rsidR="00CA14AB" w:rsidRPr="00E00B35" w:rsidTr="00CA14AB">
        <w:trPr>
          <w:trHeight w:val="300"/>
        </w:trPr>
        <w:tc>
          <w:tcPr>
            <w:tcW w:w="241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Pavel Poles</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20</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15%</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77000 zł</w:t>
            </w:r>
          </w:p>
        </w:tc>
      </w:tr>
      <w:tr w:rsidR="00CA14AB" w:rsidRPr="00E00B35" w:rsidTr="00CA14AB">
        <w:trPr>
          <w:trHeight w:val="300"/>
        </w:trPr>
        <w:tc>
          <w:tcPr>
            <w:tcW w:w="2411"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lastRenderedPageBreak/>
              <w:t>Kazimierz Rogowski</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3</w:t>
            </w:r>
          </w:p>
        </w:tc>
        <w:tc>
          <w:tcPr>
            <w:tcW w:w="708"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w:t>
            </w:r>
          </w:p>
        </w:tc>
        <w:tc>
          <w:tcPr>
            <w:tcW w:w="567"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7</w:t>
            </w:r>
          </w:p>
        </w:tc>
        <w:tc>
          <w:tcPr>
            <w:tcW w:w="709"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25</w:t>
            </w:r>
          </w:p>
        </w:tc>
        <w:tc>
          <w:tcPr>
            <w:tcW w:w="85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46</w:t>
            </w:r>
          </w:p>
        </w:tc>
        <w:tc>
          <w:tcPr>
            <w:tcW w:w="1560"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4,3%</w:t>
            </w:r>
          </w:p>
        </w:tc>
        <w:tc>
          <w:tcPr>
            <w:tcW w:w="1275" w:type="dxa"/>
            <w:shd w:val="clear" w:color="auto" w:fill="FFFFFF"/>
            <w:tcMar>
              <w:top w:w="0" w:type="dxa"/>
              <w:left w:w="70" w:type="dxa"/>
              <w:bottom w:w="0" w:type="dxa"/>
              <w:right w:w="70" w:type="dxa"/>
            </w:tcMar>
            <w:vAlign w:val="bottom"/>
          </w:tcPr>
          <w:p w:rsidR="00CA14AB" w:rsidRPr="00E00B35" w:rsidRDefault="00CA14AB" w:rsidP="00E00B35">
            <w:pPr>
              <w:spacing w:after="0" w:line="312" w:lineRule="auto"/>
              <w:rPr>
                <w:szCs w:val="20"/>
              </w:rPr>
            </w:pPr>
            <w:r w:rsidRPr="00E00B35">
              <w:rPr>
                <w:szCs w:val="20"/>
              </w:rPr>
              <w:t>57900 zł</w:t>
            </w:r>
          </w:p>
        </w:tc>
      </w:tr>
    </w:tbl>
    <w:p w:rsidR="00283205" w:rsidRPr="00E00B35" w:rsidRDefault="00283205" w:rsidP="00E00B35">
      <w:pPr>
        <w:spacing w:after="0" w:line="312" w:lineRule="auto"/>
        <w:rPr>
          <w:szCs w:val="20"/>
        </w:rPr>
      </w:pPr>
      <w:bookmarkStart w:id="615" w:name="_Toc72352513"/>
      <w:bookmarkStart w:id="616" w:name="_Toc72352947"/>
    </w:p>
    <w:p w:rsidR="00890136" w:rsidRPr="00E00B35" w:rsidRDefault="00890136" w:rsidP="00E00B35">
      <w:pPr>
        <w:pStyle w:val="Nagwek5"/>
        <w:rPr>
          <w:szCs w:val="20"/>
        </w:rPr>
      </w:pPr>
    </w:p>
    <w:p w:rsidR="00CA14AB" w:rsidRPr="00E00B35" w:rsidRDefault="00CA14AB" w:rsidP="00E00B35">
      <w:pPr>
        <w:pStyle w:val="Nagwek5"/>
        <w:rPr>
          <w:rFonts w:eastAsia="Verdana"/>
          <w:szCs w:val="20"/>
        </w:rPr>
      </w:pPr>
      <w:r w:rsidRPr="00E00B35">
        <w:rPr>
          <w:szCs w:val="20"/>
        </w:rPr>
        <w:t>REKREACJA</w:t>
      </w:r>
      <w:bookmarkEnd w:id="615"/>
      <w:bookmarkEnd w:id="616"/>
    </w:p>
    <w:p w:rsidR="00CA14AB" w:rsidRPr="00E00B35" w:rsidRDefault="00CA14AB" w:rsidP="00E00B35">
      <w:pPr>
        <w:spacing w:after="0" w:line="312" w:lineRule="auto"/>
        <w:rPr>
          <w:szCs w:val="20"/>
        </w:rPr>
      </w:pPr>
      <w:r w:rsidRPr="00E00B35">
        <w:rPr>
          <w:szCs w:val="20"/>
        </w:rPr>
        <w:t>Wyższa Szkółka Jazdy – Partynice to profesjonalnie działające i największe w regionie centrum rekreacji konnej i sportu, jeden z większych ośrodków jeździeckich. Koncentrujemy się na zapewnieniu naszym uczniom jak najwyższych standardów nauki jazdy konnej oraz bezpieczeństwa.</w:t>
      </w:r>
    </w:p>
    <w:p w:rsidR="00CA14AB" w:rsidRPr="00E00B35" w:rsidRDefault="00CA14AB" w:rsidP="00E00B35">
      <w:pPr>
        <w:spacing w:after="0" w:line="312" w:lineRule="auto"/>
        <w:rPr>
          <w:szCs w:val="20"/>
        </w:rPr>
      </w:pPr>
      <w:r w:rsidRPr="00E00B35">
        <w:rPr>
          <w:szCs w:val="20"/>
        </w:rPr>
        <w:t xml:space="preserve">Kolejny rok z rzędu utrzymaliśmy Certyfikat Polskiego Związku Jeździeckiego Kategorii I. Ze względu na pandemię Covid – 19 większość zaplanowanych szkoleń i wydarzeń jeździeckich musieliśmy odwołać. </w:t>
      </w:r>
    </w:p>
    <w:p w:rsidR="00CA14AB" w:rsidRPr="00E00B35" w:rsidRDefault="00CA14AB" w:rsidP="00E00B35">
      <w:pPr>
        <w:spacing w:after="0" w:line="312" w:lineRule="auto"/>
        <w:rPr>
          <w:rFonts w:eastAsia="Verdana"/>
          <w:szCs w:val="20"/>
        </w:rPr>
      </w:pPr>
      <w:r w:rsidRPr="00E00B35">
        <w:rPr>
          <w:szCs w:val="20"/>
        </w:rPr>
        <w:t>Wychodząc naprzeciw potrzebom lokalnej społeczności jesteśmy częścią wielu programów pro-społecznych. Do takich należą miedzy innymi: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„Karta dużej rodziny” – partynicki program przeznaczony dla rodzin wielodzietnych aktywnie korzystających z naszych usług.</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„Dwa plus trzy i jeszcze więcej” Program Pomocy dla Rodzin Wielodzietnych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Program jazdy konnej dla osób niewidomych i niedowidzących. Kolejny rok kontynuuje go jedna amazonka.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„Nasz Wrocław” Program miejski zachęcający do aktywnego spędzania czasu wolnego. Darmowe – jednorazowe zajęcia dla osób rozliczających swoje podatki we Wrocławiu.</w:t>
      </w:r>
    </w:p>
    <w:p w:rsidR="00CA14AB" w:rsidRPr="00E00B35" w:rsidRDefault="00CA14AB" w:rsidP="00E00B35">
      <w:pPr>
        <w:spacing w:after="0" w:line="312" w:lineRule="auto"/>
        <w:rPr>
          <w:rFonts w:eastAsia="Verdana"/>
          <w:szCs w:val="20"/>
        </w:rPr>
      </w:pPr>
      <w:r w:rsidRPr="00E00B35">
        <w:rPr>
          <w:rFonts w:eastAsia="Verdana"/>
          <w:szCs w:val="20"/>
        </w:rPr>
        <w:t>Tradycyjnie byliśmy także z naszymi końmi na Wrocławskim Rynku podczas Finału Wielkiej Orkiestry Świątecznej Pomocy. W grudniu natomiast razem z MPK Wrocław i fundacją Weź Pomóż przyłączyliśmy się do świątecznej akcji zbierania żywności. Podczas tej akcji miała również premiera kolorowanki stworzonej z myślą o najmłodszych sympatykach Wyższej Szkółki Jazdy oraz Wrocławskiego Toru Wyścigów Konnych.</w:t>
      </w:r>
    </w:p>
    <w:p w:rsidR="00CA14AB" w:rsidRPr="00E00B35" w:rsidRDefault="00CA14AB" w:rsidP="00E00B35">
      <w:pPr>
        <w:spacing w:after="0" w:line="312" w:lineRule="auto"/>
        <w:rPr>
          <w:szCs w:val="20"/>
        </w:rPr>
      </w:pPr>
      <w:r w:rsidRPr="00E00B35">
        <w:rPr>
          <w:szCs w:val="20"/>
        </w:rPr>
        <w:t>W ofercie Wyższej Szkółki Jazdy od lat znajdują się półkolonie jeździeckie. Utrzymaliśmy zmienioną rok temu formułę, która się bardzo dobrze sprawdziła i spotkała z pozytywnym odzewem naszych klientów. Ferie jeździeckie udało się przeprowadzić, natomiast ze względu na pandemię Covid-19 zmuszeni byliśmy do zmiany formuły półkolonii w okresie wakacyjnym. Dostosowaliśmy swoją ofertę do obostrzeń i wprowadziliśmy zajęcia dla dzieci z instruktorami w małych grupach pod hasłem „Przygotowanie do odznaki jeżdżę konno”</w:t>
      </w:r>
    </w:p>
    <w:p w:rsidR="00CA14AB" w:rsidRPr="00E00B35" w:rsidRDefault="00CA14AB" w:rsidP="00E00B35">
      <w:pPr>
        <w:spacing w:after="0" w:line="312" w:lineRule="auto"/>
        <w:rPr>
          <w:szCs w:val="20"/>
        </w:rPr>
      </w:pPr>
      <w:r w:rsidRPr="00E00B35">
        <w:rPr>
          <w:szCs w:val="20"/>
        </w:rPr>
        <w:t>Dzieci należące do grup sportowych regularnie startowały w zawodach jeździeckich odbywających się na terenie WTWK Partynice. Najważniejszymi zawodami był Puchar DZJ, w którym nasi reprezentanci stawali na podium oraz byli najliczniejszą reprezentacją jeździecką. Wprowadziliśmy także nowy rodzaj zajęć – grupy Working Equitation zarówno dla dorosłych jak i dzieci.</w:t>
      </w:r>
    </w:p>
    <w:p w:rsidR="00CA14AB" w:rsidRPr="00E00B35" w:rsidRDefault="00CA14AB" w:rsidP="00E00B35">
      <w:pPr>
        <w:spacing w:after="0" w:line="312" w:lineRule="auto"/>
        <w:rPr>
          <w:szCs w:val="20"/>
        </w:rPr>
      </w:pPr>
      <w:r w:rsidRPr="00E00B35">
        <w:rPr>
          <w:szCs w:val="20"/>
        </w:rPr>
        <w:t xml:space="preserve">Promujemy nową konkurencję jeździecką jaką jest Working Equitation. Dzień otwarty z tą dyscypliną okazał się frekwencyjnie rekordowy. Odwiedziło nas ponad 80 osób. Zaowocowało to treningami Working Equitation z Eweliną Zoń jak również wyjazdem naszej delegacji na szkolenie dla sędziów WEP w EZ Ranch. Głównym punktem promocji tej nowej dyscypliny było Szkolenie z Mistrzami Gonsalo Soaresem i Davidem Oliveirą, </w:t>
      </w:r>
      <w:r w:rsidRPr="00E00B35">
        <w:rPr>
          <w:szCs w:val="20"/>
        </w:rPr>
        <w:lastRenderedPageBreak/>
        <w:t>oraz i Międzynarodowe Zawody Working Equitation w Polsce, które były zarówno świętem rekreacji oraz alternatywą dla odwołanych Mistrzostw w Jeździe Bez Ogłowia. Dla sympatyków tego rodzaju jazdy odbyła się klasa P- bez ogłowia.</w:t>
      </w:r>
    </w:p>
    <w:p w:rsidR="00CA14AB" w:rsidRPr="00E00B35" w:rsidRDefault="00CA14AB" w:rsidP="00E00B35">
      <w:pPr>
        <w:spacing w:after="0" w:line="312" w:lineRule="auto"/>
        <w:rPr>
          <w:szCs w:val="20"/>
        </w:rPr>
      </w:pPr>
      <w:r w:rsidRPr="00E00B35">
        <w:rPr>
          <w:szCs w:val="20"/>
        </w:rPr>
        <w:t>Sekcja woltyżerska prowadzona przez Tomasza Ogonowskiego jest bardzo mocnym punktem naszej rekreacji. Stale rozwijające się grupy i pogłębiające swoje umiejętności podczas zgrupowań sportowych z Adamem Susłowskim a także z trenerką Kadry Narodowej Niemiec - Helmą Schwarzmann Zawodnicy z grup woltyżerskich regularnie startowali w zawodach ogólnopolskich. Drugi rok z rzędu zorganizowano na terenie WTWK Partynice regionalne i ogólnopolskie zawody w woltyżerce sportowej. Co roku przyjeżdża na nie całe środowisko woltyżerskie. Zawody cieszą się świetną renomą wśród uczestników.</w:t>
      </w:r>
    </w:p>
    <w:p w:rsidR="00CA14AB" w:rsidRPr="00E00B35" w:rsidRDefault="00CA14AB" w:rsidP="00E00B35">
      <w:pPr>
        <w:spacing w:after="0" w:line="312" w:lineRule="auto"/>
        <w:rPr>
          <w:rFonts w:eastAsia="Verdana"/>
          <w:szCs w:val="20"/>
        </w:rPr>
      </w:pPr>
      <w:r w:rsidRPr="00E00B35">
        <w:rPr>
          <w:szCs w:val="20"/>
        </w:rPr>
        <w:t>Rekreacja jeździecka to przede wszystkim konie. W tym roku na zasłużoną emeryturę odszedł nasz najbardziej zasłużony Koń Profesor Damar, który od lat robił bardzo wiele dla promocji jeździectwa i Partynic a także był świetnym nauczycielem dla naszych jeźdźców. Niestety w maju tego roku przyszło nam pożegnać naszego przyjaciela co było dla nas wielką stratą.</w:t>
      </w:r>
    </w:p>
    <w:p w:rsidR="00CA14AB" w:rsidRPr="00E00B35" w:rsidRDefault="00CA14AB" w:rsidP="00E00B35">
      <w:pPr>
        <w:spacing w:after="0" w:line="312" w:lineRule="auto"/>
        <w:rPr>
          <w:szCs w:val="20"/>
        </w:rPr>
      </w:pPr>
      <w:r w:rsidRPr="00E00B35">
        <w:rPr>
          <w:szCs w:val="20"/>
        </w:rPr>
        <w:t>Ze względu na pandemię ten rok był zupełnie inny niż poprzednie. Sytuację tą natomiast wykorzystaliśmy do szkoleń instruktorów i koni pod okiem Dyrektora Jerzego Sawki. Doszkalaliśmy kadrę i stawkę koni stawiając nacisk na metody naturalne.</w:t>
      </w:r>
    </w:p>
    <w:p w:rsidR="00CA14AB" w:rsidRPr="00E00B35" w:rsidRDefault="00CA14AB" w:rsidP="00E00B35">
      <w:pPr>
        <w:spacing w:after="0" w:line="312" w:lineRule="auto"/>
        <w:rPr>
          <w:szCs w:val="20"/>
        </w:rPr>
      </w:pPr>
      <w:r w:rsidRPr="00E00B35">
        <w:rPr>
          <w:szCs w:val="20"/>
        </w:rPr>
        <w:t>Razem z Visit Wrocław odbył się także wirtualny spacer po Wrocławskich Partynicach cieszący się bardzo dużym zainteresowaniem.</w:t>
      </w:r>
    </w:p>
    <w:p w:rsidR="00CA14AB" w:rsidRPr="00E00B35" w:rsidRDefault="00CA14AB" w:rsidP="00E00B35">
      <w:pPr>
        <w:spacing w:after="0" w:line="312" w:lineRule="auto"/>
        <w:rPr>
          <w:szCs w:val="20"/>
        </w:rPr>
      </w:pPr>
      <w:r w:rsidRPr="00E00B35">
        <w:rPr>
          <w:szCs w:val="20"/>
        </w:rPr>
        <w:t>Wyzwaniem były także przeprowadzone na terenie Wrocławskiego Toru Wyścigów Konnych imprezy organizowane przez Polski Związek Hodowców Koni: Pokaz Ogierów Rasy Śląskiej, Kwalifikacje Ogierów Rasy Śląskiej oraz Polowa Próba Dzielności Ogierów Rasy Śląskiej. W tym roku odbywały się one w zupełnie innej formule niż do tej pory, a także wzięła w nich udział rekordowa liczba ogierów ponad dwukrotnie większa niż w poprzednich latach.</w:t>
      </w:r>
    </w:p>
    <w:p w:rsidR="00CA14AB" w:rsidRPr="00E00B35" w:rsidRDefault="00CA14AB" w:rsidP="00E00B35">
      <w:pPr>
        <w:spacing w:after="0" w:line="312" w:lineRule="auto"/>
        <w:rPr>
          <w:rFonts w:eastAsia="Verdana"/>
          <w:szCs w:val="20"/>
        </w:rPr>
      </w:pPr>
      <w:bookmarkStart w:id="617" w:name="_Toc72352514"/>
      <w:bookmarkStart w:id="618" w:name="_Toc72352948"/>
      <w:r w:rsidRPr="00E00B35">
        <w:rPr>
          <w:szCs w:val="20"/>
        </w:rPr>
        <w:t>Konie Wyższej Szkółki Jazdy Wrocław - Partynice</w:t>
      </w:r>
      <w:bookmarkEnd w:id="617"/>
      <w:bookmarkEnd w:id="618"/>
    </w:p>
    <w:p w:rsidR="00CA14AB" w:rsidRPr="00E00B35" w:rsidRDefault="00CA14AB" w:rsidP="00E00B35">
      <w:pPr>
        <w:spacing w:after="0" w:line="312" w:lineRule="auto"/>
        <w:rPr>
          <w:rFonts w:eastAsia="Verdana"/>
          <w:szCs w:val="20"/>
        </w:rPr>
      </w:pPr>
      <w:r w:rsidRPr="00E00B35">
        <w:rPr>
          <w:szCs w:val="20"/>
        </w:rPr>
        <w:t xml:space="preserve">Na koniec 2020 r. liczba koni rekreacyjnych wyniosła 51, </w:t>
      </w:r>
    </w:p>
    <w:tbl>
      <w:tblPr>
        <w:tblW w:w="917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402"/>
        <w:gridCol w:w="962"/>
        <w:gridCol w:w="963"/>
        <w:gridCol w:w="963"/>
        <w:gridCol w:w="963"/>
        <w:gridCol w:w="963"/>
        <w:gridCol w:w="963"/>
      </w:tblGrid>
      <w:tr w:rsidR="00CA14AB" w:rsidRPr="00E00B35" w:rsidTr="00CA14AB">
        <w:trPr>
          <w:trHeight w:val="490"/>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Liczba koni na koniec roku</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2015</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2016</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2017</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2018</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2019</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280"/>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Konie małe</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23</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21</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26</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24</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24</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23</w:t>
            </w:r>
          </w:p>
        </w:tc>
      </w:tr>
      <w:tr w:rsidR="00CA14AB" w:rsidRPr="00E00B35" w:rsidTr="00CA14AB">
        <w:trPr>
          <w:trHeight w:val="280"/>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Konie duże</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15</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17</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18</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21</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28</w:t>
            </w:r>
          </w:p>
        </w:tc>
      </w:tr>
      <w:tr w:rsidR="00CA14AB" w:rsidRPr="00E00B35" w:rsidTr="00CA14AB">
        <w:trPr>
          <w:trHeight w:val="280"/>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Łączna liczba koni</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38</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38</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44</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45</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44</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51</w:t>
            </w:r>
          </w:p>
        </w:tc>
      </w:tr>
    </w:tbl>
    <w:p w:rsidR="00CA14AB" w:rsidRPr="00E00B35" w:rsidRDefault="00CA14AB" w:rsidP="00E00B35">
      <w:pPr>
        <w:spacing w:after="0" w:line="312" w:lineRule="auto"/>
        <w:rPr>
          <w:rFonts w:eastAsia="Verdana"/>
          <w:szCs w:val="20"/>
        </w:rPr>
      </w:pPr>
    </w:p>
    <w:tbl>
      <w:tblPr>
        <w:tblW w:w="90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397"/>
        <w:gridCol w:w="944"/>
        <w:gridCol w:w="945"/>
        <w:gridCol w:w="945"/>
        <w:gridCol w:w="945"/>
        <w:gridCol w:w="945"/>
        <w:gridCol w:w="945"/>
      </w:tblGrid>
      <w:tr w:rsidR="00CA14AB" w:rsidRPr="00E00B35" w:rsidTr="00CA14AB">
        <w:trPr>
          <w:trHeight w:val="54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Struktura własności koni na koniec roku</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2015</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2016</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2017</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2018</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2019</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49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Liczba koni stanowiących własność WTWK</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26</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28</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32</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32</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34</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40</w:t>
            </w:r>
          </w:p>
        </w:tc>
      </w:tr>
      <w:tr w:rsidR="00CA14AB" w:rsidRPr="00E00B35" w:rsidTr="00CA14AB">
        <w:trPr>
          <w:trHeight w:val="28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Liczba koni użyczonych WTWK</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12</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12</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13</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11</w:t>
            </w:r>
          </w:p>
        </w:tc>
      </w:tr>
      <w:tr w:rsidR="00CA14AB" w:rsidRPr="00E00B35" w:rsidTr="00CA14AB">
        <w:trPr>
          <w:trHeight w:val="28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lastRenderedPageBreak/>
              <w:t>Łączna liczba koni</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38</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38</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44</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45</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44</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51</w:t>
            </w:r>
          </w:p>
        </w:tc>
      </w:tr>
    </w:tbl>
    <w:p w:rsidR="00283205" w:rsidRPr="00E00B35" w:rsidRDefault="00283205" w:rsidP="00E00B35">
      <w:pPr>
        <w:spacing w:after="0" w:line="312" w:lineRule="auto"/>
        <w:rPr>
          <w:szCs w:val="20"/>
        </w:rPr>
      </w:pPr>
      <w:bookmarkStart w:id="619" w:name="_Toc72352515"/>
      <w:bookmarkStart w:id="620" w:name="_Toc72352949"/>
    </w:p>
    <w:p w:rsidR="00CA14AB" w:rsidRPr="00E00B35" w:rsidRDefault="00CA14AB" w:rsidP="00E00B35">
      <w:pPr>
        <w:spacing w:after="0" w:line="312" w:lineRule="auto"/>
        <w:rPr>
          <w:rFonts w:eastAsia="Verdana"/>
          <w:szCs w:val="20"/>
        </w:rPr>
      </w:pPr>
      <w:r w:rsidRPr="00E00B35">
        <w:rPr>
          <w:szCs w:val="20"/>
        </w:rPr>
        <w:t>Jeźdźcy Wyższej Szkółki Jazdy Wrocław - Partynice</w:t>
      </w:r>
      <w:bookmarkEnd w:id="619"/>
      <w:bookmarkEnd w:id="620"/>
    </w:p>
    <w:p w:rsidR="00CA14AB" w:rsidRPr="00E00B35" w:rsidRDefault="00CA14AB" w:rsidP="00E00B35">
      <w:pPr>
        <w:spacing w:after="0" w:line="312" w:lineRule="auto"/>
        <w:rPr>
          <w:szCs w:val="20"/>
        </w:rPr>
      </w:pPr>
      <w:r w:rsidRPr="00E00B35">
        <w:rPr>
          <w:szCs w:val="20"/>
        </w:rPr>
        <w:t>W roku 2020 wprowadziliśmy zmianę formuły prowadzenia zajęć grupowych dostosowując ją do oczekiwań klientów. Zapewniono zajęcia dla osób we wszystkich przedziałach wiekowych o różnym poziomie zaawansowania jeździeckiego. 1000 miejsc tygodniowo to maksymalna liczba miejsc jaką możemy zaoferować klientom.</w:t>
      </w:r>
    </w:p>
    <w:p w:rsidR="00CA14AB" w:rsidRPr="00E00B35" w:rsidRDefault="00CA14AB" w:rsidP="00E00B35">
      <w:pPr>
        <w:spacing w:after="0" w:line="312" w:lineRule="auto"/>
        <w:rPr>
          <w:rFonts w:eastAsia="Verdana"/>
          <w:szCs w:val="20"/>
        </w:rPr>
      </w:pPr>
      <w:r w:rsidRPr="00E00B35">
        <w:rPr>
          <w:rFonts w:eastAsia="Verdana"/>
          <w:szCs w:val="20"/>
        </w:rPr>
        <w:t>Oferta zajęć została wzbogacona o nowe grupy trenujące dyscyplinę Working Equitation zarówno dla dorosłych jak i dzieci.</w:t>
      </w:r>
    </w:p>
    <w:tbl>
      <w:tblPr>
        <w:tblW w:w="97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4809"/>
        <w:gridCol w:w="1633"/>
        <w:gridCol w:w="1633"/>
        <w:gridCol w:w="1633"/>
      </w:tblGrid>
      <w:tr w:rsidR="00CA14AB" w:rsidRPr="00E00B35" w:rsidTr="00CA14AB">
        <w:trPr>
          <w:trHeight w:val="466"/>
          <w:jc w:val="center"/>
        </w:trPr>
        <w:tc>
          <w:tcPr>
            <w:tcW w:w="4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bookmarkStart w:id="621" w:name="_Hlk62041768"/>
            <w:r w:rsidRPr="00E00B35">
              <w:rPr>
                <w:szCs w:val="20"/>
              </w:rPr>
              <w:t>Liczba jazd na koniec roku</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2018</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2019</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466"/>
          <w:jc w:val="center"/>
        </w:trPr>
        <w:tc>
          <w:tcPr>
            <w:tcW w:w="48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Łączna liczba jazd</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36 490</w:t>
            </w:r>
          </w:p>
        </w:tc>
        <w:tc>
          <w:tcPr>
            <w:tcW w:w="163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31 372</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24 776</w:t>
            </w:r>
          </w:p>
        </w:tc>
      </w:tr>
      <w:tr w:rsidR="00CA14AB" w:rsidRPr="00E00B35" w:rsidTr="00CA14AB">
        <w:trPr>
          <w:trHeight w:val="280"/>
          <w:jc w:val="center"/>
        </w:trPr>
        <w:tc>
          <w:tcPr>
            <w:tcW w:w="4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Jazda konna dla dzieci w wieku 3-6 lat</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4 472</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3 531</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3 246</w:t>
            </w:r>
          </w:p>
        </w:tc>
      </w:tr>
      <w:tr w:rsidR="00CA14AB" w:rsidRPr="00E00B35" w:rsidTr="00CA14AB">
        <w:trPr>
          <w:trHeight w:val="280"/>
          <w:jc w:val="center"/>
        </w:trPr>
        <w:tc>
          <w:tcPr>
            <w:tcW w:w="4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Nauka jazdy konnej</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11 288</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8 677</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6 084</w:t>
            </w:r>
          </w:p>
        </w:tc>
      </w:tr>
      <w:tr w:rsidR="00CA14AB" w:rsidRPr="00E00B35" w:rsidTr="00CA14AB">
        <w:trPr>
          <w:trHeight w:val="280"/>
          <w:jc w:val="center"/>
        </w:trPr>
        <w:tc>
          <w:tcPr>
            <w:tcW w:w="48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Jazda konna w zastępie</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14 280</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13 239</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12 011</w:t>
            </w:r>
          </w:p>
        </w:tc>
      </w:tr>
      <w:tr w:rsidR="00CA14AB" w:rsidRPr="00E00B35" w:rsidTr="00CA14AB">
        <w:trPr>
          <w:trHeight w:val="280"/>
          <w:jc w:val="center"/>
        </w:trPr>
        <w:tc>
          <w:tcPr>
            <w:tcW w:w="4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Jazdy sportowe</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1 698</w:t>
            </w:r>
          </w:p>
        </w:tc>
        <w:tc>
          <w:tcPr>
            <w:tcW w:w="163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1 915</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1 406</w:t>
            </w:r>
          </w:p>
        </w:tc>
      </w:tr>
      <w:tr w:rsidR="00CA14AB" w:rsidRPr="00E00B35" w:rsidTr="00CA14AB">
        <w:trPr>
          <w:trHeight w:val="280"/>
          <w:jc w:val="center"/>
        </w:trPr>
        <w:tc>
          <w:tcPr>
            <w:tcW w:w="4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Woltyżerka</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1 874</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1962</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2 029</w:t>
            </w:r>
          </w:p>
        </w:tc>
      </w:tr>
    </w:tbl>
    <w:bookmarkEnd w:id="621"/>
    <w:p w:rsidR="00CA14AB" w:rsidRPr="00E00B35" w:rsidRDefault="00CA14AB" w:rsidP="00E00B35">
      <w:pPr>
        <w:spacing w:after="0" w:line="312" w:lineRule="auto"/>
        <w:rPr>
          <w:szCs w:val="20"/>
        </w:rPr>
      </w:pPr>
      <w:r w:rsidRPr="00E00B35">
        <w:rPr>
          <w:szCs w:val="20"/>
        </w:rPr>
        <w:t>Ogólna liczba jazd na koniec roku wyniosła 24 776, co stanowi mniejszy wynik w porównaniu do lat ubiegłych. Sytuacja ta była spowodowana ograniczeniem działalności rekreacyjnej w związku z pandemią COVID – 19.</w:t>
      </w:r>
    </w:p>
    <w:p w:rsidR="00CA14AB" w:rsidRPr="00E00B35" w:rsidRDefault="00CA14AB" w:rsidP="00E00B35">
      <w:pPr>
        <w:spacing w:after="0" w:line="312" w:lineRule="auto"/>
        <w:rPr>
          <w:rFonts w:eastAsia="Verdana"/>
          <w:szCs w:val="20"/>
        </w:rPr>
      </w:pPr>
      <w:bookmarkStart w:id="622" w:name="_Toc72352516"/>
      <w:bookmarkStart w:id="623" w:name="_Toc72352950"/>
      <w:r w:rsidRPr="00E00B35">
        <w:rPr>
          <w:szCs w:val="20"/>
        </w:rPr>
        <w:t>Utrzymanie koni pensjonatowych</w:t>
      </w:r>
      <w:bookmarkEnd w:id="622"/>
      <w:bookmarkEnd w:id="623"/>
    </w:p>
    <w:p w:rsidR="00CA14AB" w:rsidRPr="00E00B35" w:rsidRDefault="00CA14AB" w:rsidP="00E00B35">
      <w:pPr>
        <w:spacing w:after="0" w:line="312" w:lineRule="auto"/>
        <w:rPr>
          <w:rFonts w:eastAsia="Verdana"/>
          <w:szCs w:val="20"/>
        </w:rPr>
      </w:pPr>
      <w:r w:rsidRPr="00E00B35">
        <w:rPr>
          <w:szCs w:val="20"/>
        </w:rPr>
        <w:t>W roku 2020 w stajniach partynickich stały konie pensjonatowe i Straży Miejskiej.</w:t>
      </w:r>
    </w:p>
    <w:tbl>
      <w:tblPr>
        <w:tblW w:w="90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4815"/>
        <w:gridCol w:w="850"/>
        <w:gridCol w:w="850"/>
        <w:gridCol w:w="850"/>
        <w:gridCol w:w="850"/>
        <w:gridCol w:w="850"/>
      </w:tblGrid>
      <w:tr w:rsidR="00CA14AB" w:rsidRPr="00E00B35" w:rsidTr="00CA14AB">
        <w:trPr>
          <w:trHeight w:val="49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 xml:space="preserve">Liczba koni w Pensjonacie </w:t>
            </w:r>
            <w:r w:rsidRPr="00E00B35">
              <w:rPr>
                <w:szCs w:val="20"/>
              </w:rPr>
              <w:br/>
              <w:t>wg zawartych umów w roku</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2019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2020</w:t>
            </w:r>
          </w:p>
        </w:tc>
      </w:tr>
      <w:tr w:rsidR="00CA14AB" w:rsidRPr="00E00B35" w:rsidTr="00CA14AB">
        <w:trPr>
          <w:trHeight w:val="28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Konie prywatne</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21</w:t>
            </w:r>
          </w:p>
        </w:tc>
      </w:tr>
      <w:tr w:rsidR="00CA14AB" w:rsidRPr="00E00B35" w:rsidTr="00CA14AB">
        <w:trPr>
          <w:trHeight w:val="28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Straż Miejska</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7</w:t>
            </w:r>
          </w:p>
        </w:tc>
      </w:tr>
      <w:tr w:rsidR="00CA14AB" w:rsidRPr="00E00B35" w:rsidTr="00CA14AB">
        <w:trPr>
          <w:trHeight w:val="28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Łączna liczba koni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28</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br w:type="page"/>
      </w:r>
    </w:p>
    <w:p w:rsidR="00890136" w:rsidRPr="00E00B35" w:rsidRDefault="00890136" w:rsidP="00E00B35">
      <w:pPr>
        <w:pStyle w:val="Nagwek5"/>
        <w:rPr>
          <w:szCs w:val="20"/>
        </w:rPr>
      </w:pPr>
      <w:bookmarkStart w:id="624" w:name="_Toc72352517"/>
      <w:bookmarkStart w:id="625" w:name="_Toc72352951"/>
    </w:p>
    <w:p w:rsidR="00CA14AB" w:rsidRPr="00E00B35" w:rsidRDefault="00CA14AB" w:rsidP="00E00B35">
      <w:pPr>
        <w:pStyle w:val="Nagwek5"/>
        <w:rPr>
          <w:szCs w:val="20"/>
        </w:rPr>
      </w:pPr>
      <w:r w:rsidRPr="00E00B35">
        <w:rPr>
          <w:szCs w:val="20"/>
        </w:rPr>
        <w:t>DZIAŁALNOŚĆ SZKOLENIOWA</w:t>
      </w:r>
      <w:bookmarkEnd w:id="624"/>
      <w:bookmarkEnd w:id="625"/>
    </w:p>
    <w:p w:rsidR="00CA14AB" w:rsidRPr="00E00B35" w:rsidRDefault="00CA14AB" w:rsidP="00E00B35">
      <w:pPr>
        <w:spacing w:after="0" w:line="312" w:lineRule="auto"/>
        <w:rPr>
          <w:rFonts w:eastAsia="Verdana"/>
          <w:szCs w:val="20"/>
        </w:rPr>
      </w:pPr>
      <w:r w:rsidRPr="00E00B35">
        <w:rPr>
          <w:szCs w:val="20"/>
        </w:rPr>
        <w:t>W roku 2020, przez obostrzenia spowodowane pandemią, nie udało nam się zorganizować wszystkich zaplanowanych szkoleń. Odbyły się jedynie: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Szkolenie Working Equitation z Mistrzami Goncalo Soaresem i Davidem Oliveirą</w:t>
      </w:r>
      <w:r w:rsidR="00283205"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Szkolenie z Andreasem Dibowskim – uczestniczyli w nim także zawodnicy kadry Polski WKKW</w:t>
      </w:r>
      <w:r w:rsidR="00283205"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Szkolenie z Diderikiem Wigmansem</w:t>
      </w:r>
      <w:r w:rsidR="00283205" w:rsidRPr="00E00B35">
        <w:rPr>
          <w:szCs w:val="20"/>
        </w:rPr>
        <w: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Szkolenie z Eweliną Zoń</w:t>
      </w:r>
      <w:r w:rsidR="00283205" w:rsidRPr="00E00B35">
        <w:rPr>
          <w:szCs w:val="20"/>
        </w:rPr>
        <w:t>.</w:t>
      </w:r>
    </w:p>
    <w:p w:rsidR="00CA14AB" w:rsidRPr="00E00B35" w:rsidRDefault="00CA14AB" w:rsidP="00E00B35">
      <w:pPr>
        <w:spacing w:after="0" w:line="312" w:lineRule="auto"/>
        <w:rPr>
          <w:szCs w:val="20"/>
        </w:rPr>
      </w:pPr>
      <w:r w:rsidRPr="00E00B35">
        <w:rPr>
          <w:szCs w:val="20"/>
        </w:rPr>
        <w:t>Sylwetki prowadzących szkolenia: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Goncalo Soares - czołowy i wszechstronny jeździec elitarnej Portugalskiej Królewskiej Szkoły Sztuki Jeździeckiej, zawodnik Grand Prix, wybitny trener ujeżdżenia i Working Equitation. Jeden z trzech jeźdźców prezentujących solowe występy w Portugalskiej Królewskiej Szkole Sztuki Jeździeckiej, wykonujący najtrudniejsze elementy również skoki nad ziemią takie jak np. capriola, curbette.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David Oliveira – Mistrz Świata i wielokrotny medalista Working Equitation.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Andreas Dibowski – złoty medalista w 2008 roku na Igrzyskach Olimpijskich w Pekinie. Zoty medalista Mistrzostw Europy w 2011 roku w Luhmuhlen i 2013 roku w Malmo. Wszystkie medale zdobył startując drużynowo. Były trener Polskiej Kadry Narodowej WKKW, obecnie konsultant Polskiej Kadry Narodowej WKKW.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Ewelina Zoń – wielokrotna medalistka Mistrzostw Polski PLWiR w konkurencjach Trail, Western Horsemanship, Western Pleasure, Superhorse oraz Reining. Zawodniczka Working Equitation. W międzynarodowych zawodach Summer Czech Open, Ewelina Zoń oraz Little King Pine zdobyli brązowy medal w klasie Masters.</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Diederik Wigmans - znany holenderski trener ujeżdżenia, mający doświadczenie w pracy zarówno z młodymi końmi , jaki i z końmi na poziomie Grand Prix. Jest jednym z największych w Holandii sprzedawcą koni ujeżdżeniowych , które znajdują dom na całym świecie. Jest także założycielem EQUINE Elite jednej z najpopularniejszej aukcji koni dressażowych w Holandii.</w:t>
      </w:r>
    </w:p>
    <w:p w:rsidR="00CA14AB" w:rsidRPr="00E00B35" w:rsidRDefault="00CA14AB" w:rsidP="00E00B35">
      <w:pPr>
        <w:spacing w:after="0" w:line="312" w:lineRule="auto"/>
        <w:rPr>
          <w:szCs w:val="20"/>
        </w:rPr>
      </w:pPr>
      <w:r w:rsidRPr="00E00B35">
        <w:rPr>
          <w:szCs w:val="20"/>
        </w:rPr>
        <w:t>Przeprowadzone zostały także trzy egzaminy na odznaki jeździeckie Polskiego Związku Jeździeckiego, w których wzięło udział ok 100 jeźdźców. W tym pierwszy raz egzamin na odznaki Jeżdżę Konno.</w:t>
      </w:r>
    </w:p>
    <w:p w:rsidR="00CA14AB" w:rsidRPr="00E00B35" w:rsidRDefault="00CA14AB" w:rsidP="00E00B35">
      <w:pPr>
        <w:spacing w:after="0" w:line="312" w:lineRule="auto"/>
        <w:rPr>
          <w:szCs w:val="20"/>
        </w:rPr>
      </w:pPr>
      <w:r w:rsidRPr="00E00B35">
        <w:rPr>
          <w:szCs w:val="20"/>
        </w:rPr>
        <w:br w:type="page"/>
      </w:r>
    </w:p>
    <w:p w:rsidR="00CA14AB" w:rsidRPr="00E00B35" w:rsidRDefault="00CA14AB" w:rsidP="00E00B35">
      <w:pPr>
        <w:spacing w:after="0" w:line="312" w:lineRule="auto"/>
        <w:rPr>
          <w:rFonts w:eastAsia="Verdana"/>
          <w:szCs w:val="20"/>
        </w:rPr>
      </w:pPr>
      <w:bookmarkStart w:id="626" w:name="_Toc72352518"/>
      <w:bookmarkStart w:id="627" w:name="_Toc72352952"/>
      <w:r w:rsidRPr="00E00B35">
        <w:rPr>
          <w:szCs w:val="20"/>
        </w:rPr>
        <w:lastRenderedPageBreak/>
        <w:t>DZIAŁALNOŚĆ SPORTOWA</w:t>
      </w:r>
      <w:bookmarkEnd w:id="626"/>
      <w:bookmarkEnd w:id="627"/>
    </w:p>
    <w:p w:rsidR="00CA14AB" w:rsidRPr="00E00B35" w:rsidRDefault="00CA14AB" w:rsidP="00E00B35">
      <w:pPr>
        <w:spacing w:after="0" w:line="312" w:lineRule="auto"/>
        <w:rPr>
          <w:szCs w:val="20"/>
        </w:rPr>
      </w:pPr>
      <w:r w:rsidRPr="00E00B35">
        <w:rPr>
          <w:szCs w:val="20"/>
        </w:rPr>
        <w:t>WTWK - Partynice posiada najlepszą bazę treningową na terenie Dolnego Śląska. Dysponujemy pełnowymiarową krytą ujeżdżalnią, wraz z rozprężalnią. Swoją bazę rozbudowano o krytą halę namiotową, która swoją inaugurację miała podczas Europejskiego Festiwalu Konnego. Dzięki tej inwestycji zyskano możliwość równoległego prowadzania działalności rekreacyjnej, sportowej i szkoleniowej.</w:t>
      </w:r>
    </w:p>
    <w:p w:rsidR="00CA14AB" w:rsidRPr="00E00B35" w:rsidRDefault="00CA14AB" w:rsidP="00E00B35">
      <w:pPr>
        <w:spacing w:after="0" w:line="312" w:lineRule="auto"/>
        <w:rPr>
          <w:rFonts w:eastAsia="Verdana"/>
          <w:szCs w:val="20"/>
        </w:rPr>
      </w:pPr>
      <w:r w:rsidRPr="00E00B35">
        <w:rPr>
          <w:szCs w:val="20"/>
        </w:rPr>
        <w:t>Najważniejsze zawody jeździeckie rozgrywane w 2020 roku na terenie WTWK Partynice: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I Międzynarodowe Zawody Working Equitation w Polsce</w:t>
      </w:r>
    </w:p>
    <w:p w:rsidR="00CA14AB" w:rsidRPr="00E00B35" w:rsidRDefault="00CA14AB" w:rsidP="00E00B35">
      <w:pPr>
        <w:spacing w:after="0" w:line="312" w:lineRule="auto"/>
        <w:ind w:left="426"/>
        <w:rPr>
          <w:szCs w:val="20"/>
        </w:rPr>
      </w:pPr>
      <w:r w:rsidRPr="00E00B35">
        <w:rPr>
          <w:szCs w:val="20"/>
        </w:rPr>
        <w:t>Pierwsza tak duża impreza jeździecka dla wielbicieli dyscypliny Working Equitation w Polsce. Rozpoczęła się dwudniowym szkoleniem z jednymi z najlepszych jeźdźców Portugalii. Następnie konkurencje Working Equitation dla zawodników jak również nowa klasa bez ogłowia stworzona specjalnie dla zawodników tej konkurencji, którzy z powodu odwołania zawodów w tym roku nie mogli wziąć w nich udziału. Pierwszy dzień był świętem rekreacji stąd w programie także konkurencje dla najmłodszych oraz jako główny punkt programu pokaz mistrzów Goncalo Soaresa oraz Davida Oliveira. Wystartowało 50 zawodników w tym 10 zawodników w klasie bez ogłowia.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Dwugwiazdkowe zawody CSI Wrocław</w:t>
      </w:r>
    </w:p>
    <w:p w:rsidR="00CA14AB" w:rsidRPr="00E00B35" w:rsidRDefault="00CA14AB" w:rsidP="00E00B35">
      <w:pPr>
        <w:spacing w:after="0" w:line="312" w:lineRule="auto"/>
        <w:ind w:left="426"/>
        <w:rPr>
          <w:szCs w:val="20"/>
        </w:rPr>
      </w:pPr>
      <w:r w:rsidRPr="00E00B35">
        <w:rPr>
          <w:szCs w:val="20"/>
        </w:rPr>
        <w:t>Podczas trzech dni rozegranych zostało 16 konkursów w skokach przez przeszkody. Największym zainteresowaniem zawodników cieszyły się zaliczane do światowego rankingu Grand Prix, z pulą nagród 100 000 złotych. Niemałe premie finansowe organizator przewidział też w innych konkursach, jak chociażby w finałach rund Średniej i Małej, oraz konkursie Dużej Rundy (Speed Cup). Młode konie rywalizowały w CSIYH. Zwieńczeniem Rundy pięcio- i sześciolatków był finał pod nazwą Talent 2020. Łączna pula nagród wyniosła 220 000 PLN.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Ogólnopolskie zawody w Woltyżerce</w:t>
      </w:r>
    </w:p>
    <w:p w:rsidR="00CA14AB" w:rsidRPr="00E00B35" w:rsidRDefault="00CA14AB" w:rsidP="00E00B35">
      <w:pPr>
        <w:spacing w:after="0" w:line="312" w:lineRule="auto"/>
        <w:ind w:left="426"/>
        <w:rPr>
          <w:szCs w:val="20"/>
        </w:rPr>
      </w:pPr>
      <w:r w:rsidRPr="00E00B35">
        <w:rPr>
          <w:szCs w:val="20"/>
        </w:rPr>
        <w:t>Zorganizowane po raz drugi na terenie WTWK - Partynice zawody w woltyżerce sportowej cieszyły się bardzo dużym zainteresowaniem wśród zawodników oraz zebrały liczne pozytywne rekomendacje środowiska woltyżerskiego. W dwudniowych zawodach wzięło udział ok 60 zawodników z 5 klubów z całej Polski</w:t>
      </w:r>
    </w:p>
    <w:p w:rsidR="00CA14AB" w:rsidRPr="00E00B35" w:rsidRDefault="00CA14AB" w:rsidP="00E00B35">
      <w:pPr>
        <w:spacing w:after="0" w:line="312" w:lineRule="auto"/>
        <w:rPr>
          <w:szCs w:val="20"/>
        </w:rPr>
      </w:pPr>
      <w:bookmarkStart w:id="628" w:name="_Toc72352519"/>
      <w:bookmarkStart w:id="629" w:name="_Toc72352953"/>
      <w:r w:rsidRPr="00E00B35">
        <w:rPr>
          <w:szCs w:val="20"/>
        </w:rPr>
        <w:t>Inne imprezy jeździeckie</w:t>
      </w:r>
      <w:bookmarkEnd w:id="628"/>
      <w:bookmarkEnd w:id="629"/>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IV Pokaz Ogierów Hodowlanych</w:t>
      </w:r>
    </w:p>
    <w:p w:rsidR="00CA14AB" w:rsidRPr="00E00B35" w:rsidRDefault="00CA14AB" w:rsidP="00E00B35">
      <w:pPr>
        <w:spacing w:after="0" w:line="312" w:lineRule="auto"/>
        <w:ind w:left="426"/>
        <w:rPr>
          <w:szCs w:val="20"/>
        </w:rPr>
      </w:pPr>
      <w:r w:rsidRPr="00E00B35">
        <w:rPr>
          <w:szCs w:val="20"/>
        </w:rPr>
        <w:t>Zaprezentowanych zostało 45 ogierów. Liczna stawka ogierów rasy śląskiej w tym aktualny Mistrz Świata, medaliści Mistrzostw Świata Młodych Koni, Mistrzostw Polski Młodych Koni czy zwycięzców Zakładów Treningowych. W ujeżdżeniowym pokazie prezentowała swoje ogiery Stacja Cichoń Stallions.Wśród ogierów skokowych wielokrotny Mistrz Polski Grzegorz Kubiak prezentował doskonałego, chodzącego konkursy na poziomie Grand Prix polskiej hodowli ogiera SZULER (Luron-Szaki/Kissovo) Najciekawszym punktem imprezy był dynamiczny i emocjonujący konkurs -,,Dogonić Mistrza Świata”.</w:t>
      </w:r>
    </w:p>
    <w:p w:rsidR="00CA14AB" w:rsidRPr="00E00B35" w:rsidRDefault="00CA14AB" w:rsidP="00E00B35">
      <w:pPr>
        <w:spacing w:after="0" w:line="312" w:lineRule="auto"/>
        <w:rPr>
          <w:szCs w:val="20"/>
        </w:rPr>
      </w:pPr>
      <w:r w:rsidRPr="00E00B35">
        <w:rPr>
          <w:szCs w:val="20"/>
        </w:rPr>
        <w:br w:type="page"/>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lastRenderedPageBreak/>
        <w:t>Kwalifikacja Ogierów Rasy Śląskiej</w:t>
      </w:r>
    </w:p>
    <w:p w:rsidR="00CA14AB" w:rsidRPr="00E00B35" w:rsidRDefault="00CA14AB" w:rsidP="00E00B35">
      <w:pPr>
        <w:spacing w:after="0" w:line="312" w:lineRule="auto"/>
        <w:ind w:left="426"/>
        <w:rPr>
          <w:szCs w:val="20"/>
        </w:rPr>
      </w:pPr>
      <w:r w:rsidRPr="00E00B35">
        <w:rPr>
          <w:szCs w:val="20"/>
        </w:rPr>
        <w:t>Kwalifikacja ogierów rasy śląskiej do polowej próby zaprzęgowej. Jest to najważniejsza impreza hodowlano-selekcyjna dla rasy śląskiej, pozwalająca na wyłonienie najlepszych młodych ogierów, które po 60-dniowym treningu i zaliczeniu próby dzielności uzyskują wpis do księgi stadnej oraz prawo krycia klaczy. Mimo trudnej sytuacji epidemicznej oraz pewnych wątpliwości hodowców i właścicieli ogierów związanych ze zmianą miejsca i formuły treningu, do kwalifikacji zgłoszona została rekordowa liczba 93 ogierów, a impreza została bardzo pozytywnie odebrana przez środowisko hodowców.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Polowa Próba Dzielności Ogierów Rasy Śląskiej</w:t>
      </w:r>
    </w:p>
    <w:p w:rsidR="00CA14AB" w:rsidRPr="00E00B35" w:rsidRDefault="00CA14AB" w:rsidP="00E00B35">
      <w:pPr>
        <w:spacing w:after="0" w:line="312" w:lineRule="auto"/>
        <w:ind w:left="426"/>
        <w:rPr>
          <w:szCs w:val="20"/>
        </w:rPr>
      </w:pPr>
      <w:r w:rsidRPr="00E00B35">
        <w:rPr>
          <w:szCs w:val="20"/>
        </w:rPr>
        <w:t>Pierwsza edycja polowej próby zaprzęgowej, która zastąpiła dotychczasowy stacjonarny trening ogierów organizowany w Zakładzie Treningowym w Książu. Do próby przystąpiło 37 wyselekcjonowanych ogierów rasy śląskiej oraz 6 ogierów pozostałych ras szlachetnych (wielkopolska i polski koń szlachetny półkrwi). Przez 3 dni odbywały się kolejne etapy próby dzielności, w tym m.in. ocena obcego powożącego, próba ujeżdżenia na czworoboku, próby dystansowe w stępie i kłusie oraz ocena eksterieru i ruchu. Również ta impreza znalazła uznanie w oczach hodowców, zarówno ze względu na poziom i zaplecze organizacyjne ośrodka, gościnność i dobre chęci organizatora , jak i udaną współpracę obu stron.</w:t>
      </w:r>
    </w:p>
    <w:p w:rsidR="00890136" w:rsidRPr="00E00B35" w:rsidRDefault="00890136" w:rsidP="00E00B35">
      <w:pPr>
        <w:pStyle w:val="Nagwek5"/>
        <w:rPr>
          <w:szCs w:val="20"/>
        </w:rPr>
      </w:pPr>
      <w:bookmarkStart w:id="630" w:name="_Toc72352520"/>
      <w:bookmarkStart w:id="631" w:name="_Toc72352954"/>
    </w:p>
    <w:p w:rsidR="00CA14AB" w:rsidRPr="00E00B35" w:rsidRDefault="00CA14AB" w:rsidP="00E00B35">
      <w:pPr>
        <w:pStyle w:val="Nagwek5"/>
        <w:rPr>
          <w:rFonts w:eastAsia="Verdana"/>
          <w:szCs w:val="20"/>
        </w:rPr>
      </w:pPr>
      <w:r w:rsidRPr="00E00B35">
        <w:rPr>
          <w:szCs w:val="20"/>
        </w:rPr>
        <w:t>UTRZYMANIE I ROZBUDOWA POSIADANEJ BAZY</w:t>
      </w:r>
      <w:bookmarkEnd w:id="630"/>
      <w:bookmarkEnd w:id="631"/>
    </w:p>
    <w:p w:rsidR="00CA14AB" w:rsidRPr="00E00B35" w:rsidRDefault="00CA14AB" w:rsidP="00E00B35">
      <w:pPr>
        <w:spacing w:after="0" w:line="312" w:lineRule="auto"/>
        <w:rPr>
          <w:rFonts w:eastAsia="Verdana"/>
          <w:szCs w:val="20"/>
        </w:rPr>
      </w:pPr>
      <w:r w:rsidRPr="00E00B35">
        <w:rPr>
          <w:szCs w:val="20"/>
        </w:rPr>
        <w:t>Inwestycje:</w:t>
      </w:r>
    </w:p>
    <w:p w:rsidR="00CA14AB" w:rsidRPr="00E00B35" w:rsidRDefault="00CA14AB" w:rsidP="00E00B35">
      <w:pPr>
        <w:spacing w:after="0" w:line="312" w:lineRule="auto"/>
        <w:rPr>
          <w:szCs w:val="20"/>
        </w:rPr>
      </w:pPr>
      <w:r w:rsidRPr="00E00B35">
        <w:rPr>
          <w:szCs w:val="20"/>
        </w:rPr>
        <w:t>2020 to rok rozbudowy bazy „hotelowej” dla koni, zarówno w strefie wyścigowej jak i rekreacyjnej. W strefie rekreacji postawiono trzy stajnie namiotowe posiadające łącznie sto boksów. Natomiast w strefie wyścigowej kończy się budowa dwóch stajni drewnianych z czterdziestoma ośmioma boksami. Rozwiązano również problem przechowywania słomy i siana, poprzez postawienie dwóch wiat namiotowych chroniących przed opadami atmosferycznymi. Przestał istnieć również problem składowania owsa do karmienia koni, poprzez postawienie jedenastotonowego silosu wraz z osprzętem, pozwalającym na szybki rozładunek, łatwe dozowanie, oraz ochronę przed gryzoniami. Na potrzeby ośrodka zakupiono czteroosobowy pojazd „melex” ułatwiający przemieszczanie się osób, przewóz sprzętu oraz narzędzi do prac konserwatorskich. Przed trybuną główną położono nowy chodnik na bazie betonowych puzli, ułatwiający przejście do kas ośrodka oraz poruszanie się osobom niepełnosprawnym.</w:t>
      </w:r>
    </w:p>
    <w:p w:rsidR="00CA14AB" w:rsidRPr="00E00B35" w:rsidRDefault="00CA14AB" w:rsidP="00E00B35">
      <w:pPr>
        <w:spacing w:after="0" w:line="312" w:lineRule="auto"/>
        <w:rPr>
          <w:rFonts w:eastAsia="Verdana"/>
          <w:szCs w:val="20"/>
        </w:rPr>
      </w:pPr>
      <w:r w:rsidRPr="00E00B35">
        <w:rPr>
          <w:szCs w:val="20"/>
        </w:rPr>
        <w:t>Wykonanie zadań wpływających na poprawę wizerunku obiektu</w:t>
      </w:r>
    </w:p>
    <w:p w:rsidR="00CA14AB" w:rsidRPr="00E00B35" w:rsidRDefault="00CA14AB" w:rsidP="00E00B35">
      <w:pPr>
        <w:spacing w:after="0" w:line="312" w:lineRule="auto"/>
        <w:rPr>
          <w:szCs w:val="20"/>
        </w:rPr>
      </w:pPr>
      <w:r w:rsidRPr="00E00B35">
        <w:rPr>
          <w:szCs w:val="20"/>
        </w:rPr>
        <w:t>W 2020 roku, w celu poprawy wizerunku obiektu, zdemontowano stare zmurszałe ogrodzenie padoku całodobowego i postawiono nowe na bazie stalowych słupków z zamontowanym elektrycznym pastuchem. Odnowiono również impregnatem drewnianą zabudowę Trybuny Głównej. Czterdziestoboksowa stajnia rekreacyjna została w całości odświeżona włącznie z impregnacją drewnianych elementów boksów. Obiekt zyskał na atrakcyjności poprzez przygotowanie trenu (wycinka, równanie, koszenie) dla firmy świadczącej w okresie letnim usługi gastronomiczne i plenerowe.</w:t>
      </w:r>
    </w:p>
    <w:p w:rsidR="00CA14AB" w:rsidRPr="00E00B35" w:rsidRDefault="00CA14AB" w:rsidP="00E00B35">
      <w:pPr>
        <w:spacing w:after="0" w:line="312" w:lineRule="auto"/>
        <w:rPr>
          <w:szCs w:val="20"/>
        </w:rPr>
      </w:pPr>
      <w:r w:rsidRPr="00E00B35">
        <w:rPr>
          <w:szCs w:val="20"/>
        </w:rPr>
        <w:lastRenderedPageBreak/>
        <w:br w:type="page"/>
      </w:r>
    </w:p>
    <w:p w:rsidR="00CA14AB" w:rsidRPr="00E00B35" w:rsidRDefault="00CA14AB" w:rsidP="00E00B35">
      <w:pPr>
        <w:spacing w:after="0" w:line="312" w:lineRule="auto"/>
        <w:rPr>
          <w:rFonts w:eastAsia="Verdana"/>
          <w:szCs w:val="20"/>
        </w:rPr>
      </w:pPr>
      <w:r w:rsidRPr="00E00B35">
        <w:rPr>
          <w:szCs w:val="20"/>
        </w:rPr>
        <w:lastRenderedPageBreak/>
        <w:t>Wykonane zadań poprawiających stan bezpieczeństwa na obiekcie</w:t>
      </w:r>
    </w:p>
    <w:p w:rsidR="00CA14AB" w:rsidRPr="00E00B35" w:rsidRDefault="00CA14AB" w:rsidP="00E00B35">
      <w:pPr>
        <w:spacing w:after="0" w:line="312" w:lineRule="auto"/>
        <w:rPr>
          <w:rFonts w:eastAsia="Verdana"/>
          <w:szCs w:val="20"/>
        </w:rPr>
      </w:pPr>
      <w:r w:rsidRPr="00E00B35">
        <w:rPr>
          <w:szCs w:val="20"/>
        </w:rPr>
        <w:t>2020 rok pozwolił nam na wyeliminowanie wielu zagrożeń, z którymi wzmagano się w poprzednich latach. Zabezpieczono impregnatem ognioodpornym trybunę główną. W okresie pandemii wyposażono wszystkich pracowników w środki ochrony pozwalające na utrzymanie ciągłości prac, oraz organizację zawodów sportowych. Oznakowano tabliczkami informacyjnymi oraz ostrzegawczymi ścieżki spacerowe i konne wokół toru wyścigowego, oraz dokonano wycinki i redukcji koron kilkunastu drzew zagrażających zdrowiu i życiu zarówno ludzi jak i zwierząt. Na torze treningowym „Orbita” wycięto chaszcze, wyrównano teren i uzupełniono nowym podłożem, co spowodowało poszerzenie toru zapewniające bezpieczniejsze warunki jazdy konnej. Stajnia rekreacyjna wyposażona została w nowe automatyczne klapy dymne, oraz w trzy pary drzwi przeciwpożarowych. Wokół torów wyścigowych wszystkie hydranty zostały osłonięte nowymi klapami zabezpieczającymi trenujące konie przed wypadkiem.</w:t>
      </w:r>
    </w:p>
    <w:p w:rsidR="00CA14AB" w:rsidRPr="00E00B35" w:rsidRDefault="00CA14AB" w:rsidP="00E00B35">
      <w:pPr>
        <w:spacing w:after="0" w:line="312" w:lineRule="auto"/>
        <w:rPr>
          <w:rFonts w:eastAsia="Verdana"/>
          <w:szCs w:val="20"/>
        </w:rPr>
      </w:pPr>
      <w:r w:rsidRPr="00E00B35">
        <w:rPr>
          <w:szCs w:val="20"/>
        </w:rPr>
        <w:t>Wykonane zadań ułatwiających funkcjonowanie obiektu</w:t>
      </w:r>
    </w:p>
    <w:p w:rsidR="00CA14AB" w:rsidRPr="00E00B35" w:rsidRDefault="00CA14AB" w:rsidP="00E00B35">
      <w:pPr>
        <w:spacing w:after="0" w:line="312" w:lineRule="auto"/>
        <w:rPr>
          <w:szCs w:val="20"/>
        </w:rPr>
      </w:pPr>
      <w:r w:rsidRPr="00E00B35">
        <w:rPr>
          <w:szCs w:val="20"/>
        </w:rPr>
        <w:t>W 2020 roku wykonano wiele prac pozwalających na łatwiejsze zarządzanie obiektem. Zagospodarowano nowe tereny poprzez postawienie dwóch dużych padoków dla potrzeb stajni wyścigowych. Na torach wyścigowych pojawiło się dwanaście nowych segmentów płotowych, oraz kilkadziesiąt sztuk drewnianych stojaków do znakowania tras podczas wyścigów. Stajnie rekreacyjne wzbogaciły się o  kilkadziesiąt nowych żłobów i poideł. Na potrzeby dni wyścigowych wykonano nowy dojazd na tory, używany w dni zawodów.</w:t>
      </w:r>
    </w:p>
    <w:p w:rsidR="00CA14AB" w:rsidRPr="00E00B35" w:rsidRDefault="00CA14AB" w:rsidP="00E00B35">
      <w:pPr>
        <w:spacing w:after="0" w:line="312" w:lineRule="auto"/>
        <w:rPr>
          <w:szCs w:val="20"/>
        </w:rPr>
      </w:pPr>
      <w:r w:rsidRPr="00E00B35">
        <w:rPr>
          <w:szCs w:val="20"/>
        </w:rPr>
        <w:br w:type="page"/>
      </w:r>
    </w:p>
    <w:p w:rsidR="00890136" w:rsidRPr="00E00B35" w:rsidRDefault="00890136" w:rsidP="00E00B35">
      <w:pPr>
        <w:pStyle w:val="Nagwek5"/>
        <w:rPr>
          <w:szCs w:val="20"/>
        </w:rPr>
      </w:pPr>
      <w:bookmarkStart w:id="632" w:name="_Toc72352521"/>
      <w:bookmarkStart w:id="633" w:name="_Toc72352955"/>
    </w:p>
    <w:p w:rsidR="00CA14AB" w:rsidRPr="00E00B35" w:rsidRDefault="00CA14AB" w:rsidP="00E00B35">
      <w:pPr>
        <w:pStyle w:val="Nagwek5"/>
        <w:rPr>
          <w:rFonts w:eastAsia="Verdana"/>
          <w:szCs w:val="20"/>
        </w:rPr>
      </w:pPr>
      <w:r w:rsidRPr="00E00B35">
        <w:rPr>
          <w:szCs w:val="20"/>
        </w:rPr>
        <w:t>DZIAŁALNOŚĆ MARKETINGOWA</w:t>
      </w:r>
      <w:bookmarkEnd w:id="632"/>
      <w:bookmarkEnd w:id="633"/>
    </w:p>
    <w:p w:rsidR="00CA14AB" w:rsidRPr="00E00B35" w:rsidRDefault="00CA14AB" w:rsidP="00E00B35">
      <w:pPr>
        <w:spacing w:after="0" w:line="312" w:lineRule="auto"/>
        <w:rPr>
          <w:szCs w:val="20"/>
        </w:rPr>
      </w:pPr>
      <w:r w:rsidRPr="00E00B35">
        <w:rPr>
          <w:szCs w:val="20"/>
        </w:rPr>
        <w:t>W związku z wyjątkowym, pandemicznym, rokiem 2020 priorytety działu marketingu wyglądały inaczej niż w latach ubiegłych. Wciąż realizowaliśmy nasze główne cele, takie jak: dotarcie do nowych grup odbiorców, promocja i budowa marki Wyścigi Konne. Wrocław, poprawa jakości i atrakcyjności dni wyścigowych. Ale tym razem środek ciężkości staraliśmy się przenieść do sfery online, stąd np. pojawiły się nowe elementy, np. studio wyścigowe czy spacery wirtualne.</w:t>
      </w:r>
    </w:p>
    <w:p w:rsidR="00CA14AB" w:rsidRPr="00E00B35" w:rsidRDefault="00CA14AB" w:rsidP="00E00B35">
      <w:pPr>
        <w:spacing w:after="0" w:line="312" w:lineRule="auto"/>
        <w:rPr>
          <w:rFonts w:eastAsia="Verdana"/>
          <w:szCs w:val="20"/>
        </w:rPr>
      </w:pPr>
      <w:r w:rsidRPr="00E00B35">
        <w:rPr>
          <w:szCs w:val="20"/>
        </w:rPr>
        <w:t>Niestety planowane imprezy masowe musieliśmy przenieść na 2021r.</w:t>
      </w:r>
    </w:p>
    <w:p w:rsidR="00CA14AB" w:rsidRPr="00E00B35" w:rsidRDefault="00CA14AB" w:rsidP="00E00B35">
      <w:pPr>
        <w:spacing w:after="0" w:line="312" w:lineRule="auto"/>
        <w:rPr>
          <w:szCs w:val="20"/>
        </w:rPr>
      </w:pPr>
      <w:bookmarkStart w:id="634" w:name="_Toc72352522"/>
      <w:bookmarkStart w:id="635" w:name="_Toc72352956"/>
      <w:r w:rsidRPr="00E00B35">
        <w:rPr>
          <w:szCs w:val="20"/>
        </w:rPr>
        <w:t>Imprezy w sezonie 2020</w:t>
      </w:r>
      <w:bookmarkEnd w:id="634"/>
      <w:bookmarkEnd w:id="635"/>
    </w:p>
    <w:p w:rsidR="00CA14AB" w:rsidRPr="00E00B35" w:rsidRDefault="00CA14AB" w:rsidP="00E00B35">
      <w:pPr>
        <w:spacing w:after="0" w:line="312" w:lineRule="auto"/>
        <w:rPr>
          <w:rFonts w:eastAsia="Verdana"/>
          <w:szCs w:val="20"/>
        </w:rPr>
      </w:pPr>
      <w:r w:rsidRPr="00E00B35">
        <w:rPr>
          <w:szCs w:val="20"/>
        </w:rPr>
        <w:t>Wyścigi konne</w:t>
      </w:r>
    </w:p>
    <w:p w:rsidR="00CA14AB" w:rsidRPr="00E00B35" w:rsidRDefault="00CA14AB" w:rsidP="00E00B35">
      <w:pPr>
        <w:spacing w:after="0" w:line="312" w:lineRule="auto"/>
        <w:rPr>
          <w:szCs w:val="20"/>
        </w:rPr>
      </w:pPr>
      <w:r w:rsidRPr="00E00B35">
        <w:rPr>
          <w:szCs w:val="20"/>
        </w:rPr>
        <w:t>W sezonie wyścigowym 2020 r. W okresie od czerwca do listopada rozegranych zostało 12 dni wyścigowych. Część dni wyścigowych odbyła się bez udziału publiczności, część z  ograniczoną liczbą widzów. W związku z tym po raz pierwszy wspólnie z Torem Służewiec uruchomiliśmy studio wyścigowe on-line. W ciągu 12 dni wyścigowych przez studio przewinęło się 75 gości. Transmisja z wyścigów odbywała się za pośrednictwem następujących kanałów: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Torpartynice.pl</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Youtube/torpartynice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Facebook/wyscigikonne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Torsluzewiec.pl</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Facebook/TorWyscigowKonnychSluzewiec</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Facebook/SwiatKoni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Facebook/Traf</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Łączna frekwencja wyniosła 230 tys. widzów.</w:t>
      </w:r>
    </w:p>
    <w:p w:rsidR="00CA14AB" w:rsidRPr="00E00B35" w:rsidRDefault="00CA14AB" w:rsidP="00BC64AB">
      <w:pPr>
        <w:pStyle w:val="Akapitzlist"/>
        <w:numPr>
          <w:ilvl w:val="0"/>
          <w:numId w:val="234"/>
        </w:numPr>
        <w:spacing w:after="0" w:line="312" w:lineRule="auto"/>
        <w:ind w:left="426" w:hanging="426"/>
        <w:rPr>
          <w:szCs w:val="20"/>
        </w:rPr>
      </w:pPr>
      <w:bookmarkStart w:id="636" w:name="_Toc72352523"/>
      <w:bookmarkStart w:id="637" w:name="_Toc72352957"/>
      <w:r w:rsidRPr="00E00B35">
        <w:rPr>
          <w:szCs w:val="20"/>
        </w:rPr>
        <w:t>Zmiany wprowadzone przez dział marketingu w 2020 roku</w:t>
      </w:r>
      <w:bookmarkEnd w:id="636"/>
      <w:bookmarkEnd w:id="637"/>
    </w:p>
    <w:p w:rsidR="00CA14AB" w:rsidRPr="00E00B35" w:rsidRDefault="00CA14AB" w:rsidP="00E00B35">
      <w:pPr>
        <w:spacing w:after="0" w:line="312" w:lineRule="auto"/>
        <w:rPr>
          <w:szCs w:val="20"/>
        </w:rPr>
      </w:pPr>
      <w:r w:rsidRPr="00E00B35">
        <w:rPr>
          <w:szCs w:val="20"/>
        </w:rPr>
        <w:t>Nowe działania marketingowe w sezonie 2020:</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Koński mural – pierwszy koński mural we Wrocławiu. Mural znajduje się na ścianie kamienicy przy ul. Sądowej. Powierzchnia murala – 350 m2. Postać konia – 14 m wysokości. Użyte materiały – 100 litrów farb w 40 kolorach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Piwo Dżokej. Piwo uwarzone we współpracy z lokalnym browarem Profesja. Nazwa piwa oraz elementy graficzne znajdujące się na etykiecie promują Wrocławski Tor Wyścigów Konnych - Partynice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Plaża Babie Lato Partynice. Jedyny w swoim rodzaju picnic chill bar rozpoczął swoją działalność z początkiem sierpnia na terenie wokół partynickiego stawu. Niesamowity klimat, wszechobecna przyroda, aranżacja przestrzeni w kolorze białym oraz wyrafinowana oferta gastronomiczna umożliwiająca odetchnięcie od zgiełku miasta oraz klimat lat 20 minionego wieku. Babie Lato Partynice stało się miejscem pikników osiedlowych, imprez tematycznych oraz koncertów.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Namiot VIP – Całoroczny namiot o powierzchni 200 m2 przygotowany do obsługi gości wyścigowych jak i komercyjnych wynajmów. Stanął na ternie pomiędzy trybunami główną i boczną.</w:t>
      </w:r>
    </w:p>
    <w:p w:rsidR="00CA14AB" w:rsidRPr="00E00B35" w:rsidRDefault="00CA14AB" w:rsidP="00E00B35">
      <w:pPr>
        <w:spacing w:after="0" w:line="312" w:lineRule="auto"/>
        <w:rPr>
          <w:rFonts w:eastAsia="Verdana"/>
          <w:szCs w:val="20"/>
        </w:rPr>
      </w:pPr>
      <w:r w:rsidRPr="00E00B35">
        <w:rPr>
          <w:rFonts w:eastAsia="Verdana"/>
          <w:szCs w:val="20"/>
        </w:rPr>
        <w:lastRenderedPageBreak/>
        <w:t>WTWK – Partynice wspierał projekty zgłoszone przez lokalnych liderów do WBO 2020, których realizacja planowana jest na Partynicach.</w:t>
      </w:r>
      <w:r w:rsidRPr="00E00B35">
        <w:rPr>
          <w:szCs w:val="20"/>
        </w:rPr>
        <w:t xml:space="preserve"> </w:t>
      </w:r>
      <w:r w:rsidRPr="00E00B35">
        <w:rPr>
          <w:szCs w:val="20"/>
        </w:rPr>
        <w:br/>
        <w:t>Projekt ponadosiedlowy - nr 11 „Niech stanie się jasność – oświetlenie ścieżki pieszo-biegowej na Partynicach”</w:t>
      </w:r>
      <w:r w:rsidRPr="00E00B35">
        <w:rPr>
          <w:szCs w:val="20"/>
        </w:rPr>
        <w:br/>
        <w:t>Lider projektu – Marta Żebrowska</w:t>
      </w:r>
      <w:r w:rsidRPr="00E00B35">
        <w:rPr>
          <w:szCs w:val="20"/>
        </w:rPr>
        <w:br/>
        <w:t>7 miejsce (na 76 zgłoszonych projektów) - 3486 głosów</w:t>
      </w:r>
      <w:r w:rsidRPr="00E00B35">
        <w:rPr>
          <w:szCs w:val="20"/>
        </w:rPr>
        <w:br/>
        <w:t>Projekt osiedlowy – nr 272 „PartyNice – strefa rekreacji i zagospodarowanie okolic stawu na terenie WTWK – Partynice” Lider projektu – Andrzej Doktor4 miejsce (na 123 zgłoszone projekty) – 2525 głosów</w:t>
      </w:r>
    </w:p>
    <w:p w:rsidR="00CA14AB" w:rsidRPr="00E00B35" w:rsidRDefault="00CA14AB" w:rsidP="00E00B35">
      <w:pPr>
        <w:spacing w:after="0" w:line="312" w:lineRule="auto"/>
        <w:rPr>
          <w:rFonts w:eastAsia="Verdana"/>
          <w:szCs w:val="20"/>
        </w:rPr>
      </w:pPr>
      <w:r w:rsidRPr="00E00B35">
        <w:rPr>
          <w:rFonts w:eastAsia="Verdana"/>
          <w:szCs w:val="20"/>
        </w:rPr>
        <w:t>System do obsługi biletów. W związku z ograniczeniami związanymi z covid-19 stworzyliśmy elektroniczny system ewidencji uczestników wyścigów</w:t>
      </w:r>
    </w:p>
    <w:p w:rsidR="00CA14AB" w:rsidRPr="00E00B35" w:rsidRDefault="00CA14AB" w:rsidP="00E00B35">
      <w:pPr>
        <w:spacing w:after="0" w:line="312" w:lineRule="auto"/>
        <w:rPr>
          <w:rFonts w:eastAsia="Verdana"/>
          <w:szCs w:val="20"/>
        </w:rPr>
      </w:pPr>
      <w:r w:rsidRPr="00E00B35">
        <w:rPr>
          <w:rFonts w:eastAsia="Verdana"/>
          <w:szCs w:val="20"/>
        </w:rPr>
        <w:t xml:space="preserve">Telebim na padoku wyścigowym. Umożliwia wyświetlanie wyników gonitw, logotypów partnerów, sponsorów oraz transmisji z wyścigów. </w:t>
      </w:r>
      <w:r w:rsidRPr="00E00B35">
        <w:rPr>
          <w:szCs w:val="20"/>
        </w:rPr>
        <w:t>Panoramiczny ekran LED o rozmiarach 4x1 m, rozdzielczość 832x208, liczba diód – 173 000, jasność – 5000 kandeli.</w:t>
      </w:r>
    </w:p>
    <w:p w:rsidR="00CA14AB" w:rsidRPr="00E00B35" w:rsidRDefault="00CA14AB" w:rsidP="00E00B35">
      <w:pPr>
        <w:spacing w:after="0" w:line="312" w:lineRule="auto"/>
        <w:rPr>
          <w:rFonts w:eastAsia="Verdana"/>
          <w:szCs w:val="20"/>
        </w:rPr>
      </w:pPr>
      <w:r w:rsidRPr="00E00B35">
        <w:rPr>
          <w:rFonts w:eastAsia="Verdana"/>
          <w:szCs w:val="20"/>
        </w:rPr>
        <w:t>Udział w Międzynarodowych Targach Turystycznych na przełomie lutego i marca na Stadionie Wrocław.</w:t>
      </w:r>
    </w:p>
    <w:p w:rsidR="00CA14AB" w:rsidRPr="00E00B35" w:rsidRDefault="00CA14AB" w:rsidP="00E00B35">
      <w:pPr>
        <w:spacing w:after="0" w:line="312" w:lineRule="auto"/>
        <w:rPr>
          <w:rFonts w:eastAsia="Verdana"/>
          <w:szCs w:val="20"/>
        </w:rPr>
      </w:pPr>
      <w:r w:rsidRPr="00E00B35">
        <w:rPr>
          <w:rFonts w:eastAsia="Verdana"/>
          <w:szCs w:val="20"/>
        </w:rPr>
        <w:t>Udział w imprezie „Rozmawiając z koniem” w Western City Karpacz, sierpień 2020</w:t>
      </w:r>
    </w:p>
    <w:p w:rsidR="00CA14AB" w:rsidRPr="00E00B35" w:rsidRDefault="00CA14AB" w:rsidP="00E00B35">
      <w:pPr>
        <w:spacing w:after="0" w:line="312" w:lineRule="auto"/>
        <w:rPr>
          <w:rFonts w:eastAsia="Verdana"/>
          <w:szCs w:val="20"/>
        </w:rPr>
      </w:pPr>
      <w:r w:rsidRPr="00E00B35">
        <w:rPr>
          <w:rFonts w:eastAsia="Verdana"/>
          <w:szCs w:val="20"/>
        </w:rPr>
        <w:t>Produkcja dwóch spotów video promujących ścieżkę pieszo-biegową wokół toru wyścigów konnych, filmu promującego współpracę przy warzeniu piwa „Dżokej” oraz filmu świątecznego</w:t>
      </w:r>
    </w:p>
    <w:p w:rsidR="00CA14AB" w:rsidRPr="00E00B35" w:rsidRDefault="00CA14AB" w:rsidP="00E00B35">
      <w:pPr>
        <w:spacing w:after="0" w:line="312" w:lineRule="auto"/>
        <w:rPr>
          <w:rFonts w:eastAsia="Verdana"/>
          <w:szCs w:val="20"/>
        </w:rPr>
      </w:pPr>
      <w:r w:rsidRPr="00E00B35">
        <w:rPr>
          <w:rFonts w:eastAsia="Verdana"/>
          <w:szCs w:val="20"/>
        </w:rPr>
        <w:t>Produkcja oraz ekspozycja na terenie kompleksu 20 średnioformatowych siatek (2x3m) promujących działalność WTWK – Partynice.</w:t>
      </w:r>
    </w:p>
    <w:p w:rsidR="00CA14AB" w:rsidRPr="00E00B35" w:rsidRDefault="00CA14AB" w:rsidP="00E00B35">
      <w:pPr>
        <w:spacing w:after="0" w:line="312" w:lineRule="auto"/>
        <w:rPr>
          <w:rFonts w:eastAsia="Verdana"/>
          <w:szCs w:val="20"/>
        </w:rPr>
      </w:pPr>
      <w:r w:rsidRPr="00E00B35">
        <w:rPr>
          <w:rFonts w:eastAsia="Verdana"/>
          <w:szCs w:val="20"/>
        </w:rPr>
        <w:t>Wydanie (nakład 5 tys egzemplarzy) kolorowanki dla dzieci promującej działalność WTWK - Partynice</w:t>
      </w:r>
    </w:p>
    <w:p w:rsidR="00CA14AB" w:rsidRPr="00E00B35" w:rsidRDefault="00CA14AB" w:rsidP="00E00B35">
      <w:pPr>
        <w:spacing w:after="0" w:line="312" w:lineRule="auto"/>
        <w:rPr>
          <w:rFonts w:eastAsia="Verdana"/>
          <w:szCs w:val="20"/>
        </w:rPr>
      </w:pPr>
      <w:r w:rsidRPr="00E00B35">
        <w:rPr>
          <w:rFonts w:eastAsia="Verdana"/>
          <w:szCs w:val="20"/>
        </w:rPr>
        <w:t>Organizacja koncertu w ramach Vertigo Summer Blues Festival</w:t>
      </w:r>
    </w:p>
    <w:p w:rsidR="00CA14AB" w:rsidRPr="00E00B35" w:rsidRDefault="00CA14AB" w:rsidP="00E00B35">
      <w:pPr>
        <w:spacing w:after="0" w:line="312" w:lineRule="auto"/>
        <w:rPr>
          <w:rFonts w:eastAsia="Verdana"/>
          <w:szCs w:val="20"/>
        </w:rPr>
      </w:pPr>
      <w:r w:rsidRPr="00E00B35">
        <w:rPr>
          <w:rFonts w:eastAsia="Verdana"/>
          <w:szCs w:val="20"/>
        </w:rPr>
        <w:t>Udział w akcji promującej zakup nowych pojazdów wrocławskiego MPK. Ustawienie autobusu na terenie WTWK-Partynice, happening „koński” – wejście konno do autobusu.</w:t>
      </w:r>
    </w:p>
    <w:p w:rsidR="00CA14AB" w:rsidRPr="00E00B35" w:rsidRDefault="00CA14AB" w:rsidP="00E00B35">
      <w:pPr>
        <w:spacing w:after="0" w:line="312" w:lineRule="auto"/>
        <w:rPr>
          <w:rFonts w:eastAsia="Verdana"/>
          <w:szCs w:val="20"/>
        </w:rPr>
      </w:pPr>
      <w:r w:rsidRPr="00E00B35">
        <w:rPr>
          <w:rFonts w:eastAsia="Verdana"/>
          <w:szCs w:val="20"/>
        </w:rPr>
        <w:t>Realizacja cyklu „PoznajPartynice” umożliwiającego internautom dokładne poznanie kompleksu oraz historii obiektu w dobie lockdownu. Realizowany na facebooku w okresie od 14 kwietnia do 12 czerwca. Opracowano 35 wpisów wraz z ilustracjami. Statystyki cyklu:</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łączny zasięg postów – 114818</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Łączna liczba reakcji – 2042</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liczba udostępnień postów – 95</w:t>
      </w:r>
    </w:p>
    <w:p w:rsidR="00CA14AB" w:rsidRPr="00E00B35" w:rsidRDefault="00CA14AB" w:rsidP="00E00B35">
      <w:pPr>
        <w:spacing w:after="0" w:line="312" w:lineRule="auto"/>
        <w:rPr>
          <w:rFonts w:eastAsia="Verdana"/>
          <w:szCs w:val="20"/>
        </w:rPr>
      </w:pPr>
      <w:r w:rsidRPr="00E00B35">
        <w:rPr>
          <w:rFonts w:eastAsia="Verdana"/>
          <w:szCs w:val="20"/>
        </w:rPr>
        <w:br w:type="page"/>
      </w:r>
    </w:p>
    <w:p w:rsidR="00CA14AB" w:rsidRPr="00E00B35" w:rsidRDefault="00CA14AB" w:rsidP="00BC64AB">
      <w:pPr>
        <w:pStyle w:val="Akapitzlist"/>
        <w:numPr>
          <w:ilvl w:val="0"/>
          <w:numId w:val="234"/>
        </w:numPr>
        <w:spacing w:after="0" w:line="312" w:lineRule="auto"/>
        <w:ind w:left="426" w:hanging="426"/>
        <w:rPr>
          <w:szCs w:val="20"/>
        </w:rPr>
      </w:pPr>
      <w:bookmarkStart w:id="638" w:name="_Toc72352524"/>
      <w:bookmarkStart w:id="639" w:name="_Toc72352958"/>
      <w:r w:rsidRPr="00E00B35">
        <w:rPr>
          <w:szCs w:val="20"/>
        </w:rPr>
        <w:lastRenderedPageBreak/>
        <w:t>Działania promocyjne &amp; media relations</w:t>
      </w:r>
      <w:bookmarkEnd w:id="638"/>
      <w:bookmarkEnd w:id="639"/>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Statystyki dla hasła „Wrocławski Tor Wyścigów Konnych – Partynice” </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Liczba informacji – 1 123</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Zasięg informacji – 193,3 mln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Dotarcie informacji – 6,7 mln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AVE szacunkowe – 2,7 mln zł</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AVE zweryfikowane – 20 421 zł</w:t>
      </w: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Wydźwięk</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Negatywny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Neutralny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Pozytywny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Niezdefiniowany</w:t>
            </w:r>
          </w:p>
        </w:tc>
        <w:tc>
          <w:tcPr>
            <w:tcW w:w="2410" w:type="dxa"/>
          </w:tcPr>
          <w:p w:rsidR="00CA14AB" w:rsidRPr="00E00B35" w:rsidRDefault="00CA14AB" w:rsidP="00E00B35">
            <w:pPr>
              <w:spacing w:after="0" w:line="312" w:lineRule="auto"/>
              <w:rPr>
                <w:szCs w:val="20"/>
              </w:rPr>
            </w:pPr>
            <w:r w:rsidRPr="00E00B35">
              <w:rPr>
                <w:szCs w:val="20"/>
              </w:rPr>
              <w:t>100%</w:t>
            </w:r>
          </w:p>
        </w:tc>
      </w:tr>
    </w:tbl>
    <w:p w:rsidR="00CA14AB" w:rsidRPr="00E00B35" w:rsidRDefault="00CA14AB" w:rsidP="00E00B35">
      <w:pPr>
        <w:spacing w:after="0" w:line="312" w:lineRule="auto"/>
        <w:rPr>
          <w:szCs w:val="20"/>
        </w:rPr>
      </w:pP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Rozmiar</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Artykuł</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Notka</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Wzmianka</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Niezdefiniowany</w:t>
            </w:r>
          </w:p>
        </w:tc>
        <w:tc>
          <w:tcPr>
            <w:tcW w:w="2410" w:type="dxa"/>
          </w:tcPr>
          <w:p w:rsidR="00CA14AB" w:rsidRPr="00E00B35" w:rsidRDefault="00CA14AB" w:rsidP="00E00B35">
            <w:pPr>
              <w:spacing w:after="0" w:line="312" w:lineRule="auto"/>
              <w:rPr>
                <w:szCs w:val="20"/>
              </w:rPr>
            </w:pPr>
            <w:r w:rsidRPr="00E00B35">
              <w:rPr>
                <w:szCs w:val="20"/>
              </w:rPr>
              <w:t>100%</w:t>
            </w:r>
          </w:p>
        </w:tc>
      </w:tr>
    </w:tbl>
    <w:p w:rsidR="00CA14AB" w:rsidRPr="00E00B35" w:rsidRDefault="00CA14AB" w:rsidP="00E00B35">
      <w:pPr>
        <w:spacing w:after="0" w:line="312" w:lineRule="auto"/>
        <w:rPr>
          <w:szCs w:val="20"/>
        </w:rPr>
      </w:pP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Medium</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Prasa</w:t>
            </w:r>
          </w:p>
        </w:tc>
        <w:tc>
          <w:tcPr>
            <w:tcW w:w="2410" w:type="dxa"/>
          </w:tcPr>
          <w:p w:rsidR="00CA14AB" w:rsidRPr="00E00B35" w:rsidRDefault="00CA14AB" w:rsidP="00E00B35">
            <w:pPr>
              <w:spacing w:after="0" w:line="312" w:lineRule="auto"/>
              <w:rPr>
                <w:szCs w:val="20"/>
              </w:rPr>
            </w:pPr>
            <w:r w:rsidRPr="00E00B35">
              <w:rPr>
                <w:szCs w:val="20"/>
              </w:rPr>
              <w:t>4,99%</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Radio</w:t>
            </w:r>
          </w:p>
        </w:tc>
        <w:tc>
          <w:tcPr>
            <w:tcW w:w="2410" w:type="dxa"/>
          </w:tcPr>
          <w:p w:rsidR="00CA14AB" w:rsidRPr="00E00B35" w:rsidRDefault="00CA14AB" w:rsidP="00E00B35">
            <w:pPr>
              <w:spacing w:after="0" w:line="312" w:lineRule="auto"/>
              <w:rPr>
                <w:szCs w:val="20"/>
              </w:rPr>
            </w:pPr>
            <w:r w:rsidRPr="00E00B35">
              <w:rPr>
                <w:szCs w:val="20"/>
              </w:rPr>
              <w:t>7,39%</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Telewizja</w:t>
            </w:r>
          </w:p>
        </w:tc>
        <w:tc>
          <w:tcPr>
            <w:tcW w:w="2410" w:type="dxa"/>
          </w:tcPr>
          <w:p w:rsidR="00CA14AB" w:rsidRPr="00E00B35" w:rsidRDefault="00CA14AB" w:rsidP="00E00B35">
            <w:pPr>
              <w:spacing w:after="0" w:line="312" w:lineRule="auto"/>
              <w:rPr>
                <w:szCs w:val="20"/>
              </w:rPr>
            </w:pPr>
            <w:r w:rsidRPr="00E00B35">
              <w:rPr>
                <w:szCs w:val="20"/>
              </w:rPr>
              <w:t>1,07%</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WWW</w:t>
            </w:r>
          </w:p>
        </w:tc>
        <w:tc>
          <w:tcPr>
            <w:tcW w:w="2410" w:type="dxa"/>
          </w:tcPr>
          <w:p w:rsidR="00CA14AB" w:rsidRPr="00E00B35" w:rsidRDefault="00CA14AB" w:rsidP="00E00B35">
            <w:pPr>
              <w:spacing w:after="0" w:line="312" w:lineRule="auto"/>
              <w:rPr>
                <w:szCs w:val="20"/>
              </w:rPr>
            </w:pPr>
            <w:r w:rsidRPr="00E00B35">
              <w:rPr>
                <w:szCs w:val="20"/>
              </w:rPr>
              <w:t>86,55%</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Social media</w:t>
            </w:r>
          </w:p>
        </w:tc>
        <w:tc>
          <w:tcPr>
            <w:tcW w:w="2410" w:type="dxa"/>
          </w:tcPr>
          <w:p w:rsidR="00CA14AB" w:rsidRPr="00E00B35" w:rsidRDefault="00CA14AB" w:rsidP="00E00B35">
            <w:pPr>
              <w:spacing w:after="0" w:line="312" w:lineRule="auto"/>
              <w:rPr>
                <w:szCs w:val="20"/>
              </w:rPr>
            </w:pPr>
            <w:r w:rsidRPr="00E00B35">
              <w:rPr>
                <w:szCs w:val="20"/>
              </w:rPr>
              <w:t>0%</w:t>
            </w:r>
          </w:p>
        </w:tc>
      </w:tr>
    </w:tbl>
    <w:p w:rsidR="003D38EB" w:rsidRPr="00E00B35" w:rsidRDefault="003D38E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Źródła z największą liczbą informacji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1"/>
        <w:gridCol w:w="4531"/>
      </w:tblGrid>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Źródło</w:t>
            </w:r>
          </w:p>
        </w:tc>
        <w:tc>
          <w:tcPr>
            <w:tcW w:w="4531" w:type="dxa"/>
          </w:tcPr>
          <w:p w:rsidR="00CA14AB" w:rsidRPr="00E00B35" w:rsidRDefault="00CA14AB" w:rsidP="00E00B35">
            <w:pPr>
              <w:spacing w:after="0" w:line="312" w:lineRule="auto"/>
              <w:rPr>
                <w:szCs w:val="20"/>
              </w:rPr>
            </w:pPr>
            <w:r w:rsidRPr="00E00B35">
              <w:rPr>
                <w:szCs w:val="20"/>
              </w:rPr>
              <w:t>Liczba informacji</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Wroclaw.pl</w:t>
            </w:r>
          </w:p>
        </w:tc>
        <w:tc>
          <w:tcPr>
            <w:tcW w:w="4531" w:type="dxa"/>
          </w:tcPr>
          <w:p w:rsidR="00CA14AB" w:rsidRPr="00E00B35" w:rsidRDefault="00CA14AB" w:rsidP="00E00B35">
            <w:pPr>
              <w:spacing w:after="0" w:line="312" w:lineRule="auto"/>
              <w:rPr>
                <w:szCs w:val="20"/>
              </w:rPr>
            </w:pPr>
            <w:r w:rsidRPr="00E00B35">
              <w:rPr>
                <w:szCs w:val="20"/>
              </w:rPr>
              <w:t>61</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TuWroclaw.com</w:t>
            </w:r>
          </w:p>
        </w:tc>
        <w:tc>
          <w:tcPr>
            <w:tcW w:w="4531" w:type="dxa"/>
          </w:tcPr>
          <w:p w:rsidR="00CA14AB" w:rsidRPr="00E00B35" w:rsidRDefault="00CA14AB" w:rsidP="00E00B35">
            <w:pPr>
              <w:spacing w:after="0" w:line="312" w:lineRule="auto"/>
              <w:rPr>
                <w:szCs w:val="20"/>
              </w:rPr>
            </w:pPr>
            <w:r w:rsidRPr="00E00B35">
              <w:rPr>
                <w:szCs w:val="20"/>
              </w:rPr>
              <w:t>33</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Wroclawskiefakty.pl</w:t>
            </w:r>
          </w:p>
        </w:tc>
        <w:tc>
          <w:tcPr>
            <w:tcW w:w="4531" w:type="dxa"/>
          </w:tcPr>
          <w:p w:rsidR="00CA14AB" w:rsidRPr="00E00B35" w:rsidRDefault="00CA14AB" w:rsidP="00E00B35">
            <w:pPr>
              <w:spacing w:after="0" w:line="312" w:lineRule="auto"/>
              <w:rPr>
                <w:szCs w:val="20"/>
              </w:rPr>
            </w:pPr>
            <w:r w:rsidRPr="00E00B35">
              <w:rPr>
                <w:szCs w:val="20"/>
              </w:rPr>
              <w:t>30</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Swiatkoni.pl</w:t>
            </w:r>
          </w:p>
        </w:tc>
        <w:tc>
          <w:tcPr>
            <w:tcW w:w="4531" w:type="dxa"/>
          </w:tcPr>
          <w:p w:rsidR="00CA14AB" w:rsidRPr="00E00B35" w:rsidRDefault="00CA14AB" w:rsidP="00E00B35">
            <w:pPr>
              <w:spacing w:after="0" w:line="312" w:lineRule="auto"/>
              <w:rPr>
                <w:szCs w:val="20"/>
              </w:rPr>
            </w:pPr>
            <w:r w:rsidRPr="00E00B35">
              <w:rPr>
                <w:szCs w:val="20"/>
              </w:rPr>
              <w:t>23</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Gazetawroclawska.pl</w:t>
            </w:r>
          </w:p>
        </w:tc>
        <w:tc>
          <w:tcPr>
            <w:tcW w:w="4531" w:type="dxa"/>
          </w:tcPr>
          <w:p w:rsidR="00CA14AB" w:rsidRPr="00E00B35" w:rsidRDefault="00CA14AB" w:rsidP="00E00B35">
            <w:pPr>
              <w:spacing w:after="0" w:line="312" w:lineRule="auto"/>
              <w:rPr>
                <w:szCs w:val="20"/>
              </w:rPr>
            </w:pPr>
            <w:r w:rsidRPr="00E00B35">
              <w:rPr>
                <w:szCs w:val="20"/>
              </w:rPr>
              <w:t>21</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Galop.pl</w:t>
            </w:r>
          </w:p>
        </w:tc>
        <w:tc>
          <w:tcPr>
            <w:tcW w:w="4531" w:type="dxa"/>
          </w:tcPr>
          <w:p w:rsidR="00CA14AB" w:rsidRPr="00E00B35" w:rsidRDefault="00CA14AB" w:rsidP="00E00B35">
            <w:pPr>
              <w:spacing w:after="0" w:line="312" w:lineRule="auto"/>
              <w:rPr>
                <w:szCs w:val="20"/>
              </w:rPr>
            </w:pPr>
            <w:r w:rsidRPr="00E00B35">
              <w:rPr>
                <w:szCs w:val="20"/>
              </w:rPr>
              <w:t>20</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24wroclaw.pl</w:t>
            </w:r>
          </w:p>
        </w:tc>
        <w:tc>
          <w:tcPr>
            <w:tcW w:w="4531" w:type="dxa"/>
          </w:tcPr>
          <w:p w:rsidR="00CA14AB" w:rsidRPr="00E00B35" w:rsidRDefault="00CA14AB" w:rsidP="00E00B35">
            <w:pPr>
              <w:spacing w:after="0" w:line="312" w:lineRule="auto"/>
              <w:rPr>
                <w:szCs w:val="20"/>
              </w:rPr>
            </w:pPr>
            <w:r w:rsidRPr="00E00B35">
              <w:rPr>
                <w:szCs w:val="20"/>
              </w:rPr>
              <w:t>18</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Otowroclaw.com</w:t>
            </w:r>
          </w:p>
        </w:tc>
        <w:tc>
          <w:tcPr>
            <w:tcW w:w="4531" w:type="dxa"/>
          </w:tcPr>
          <w:p w:rsidR="00CA14AB" w:rsidRPr="00E00B35" w:rsidRDefault="00CA14AB" w:rsidP="00E00B35">
            <w:pPr>
              <w:spacing w:after="0" w:line="312" w:lineRule="auto"/>
              <w:rPr>
                <w:szCs w:val="20"/>
              </w:rPr>
            </w:pPr>
            <w:r w:rsidRPr="00E00B35">
              <w:rPr>
                <w:szCs w:val="20"/>
              </w:rPr>
              <w:t>16</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Radio Eska Wrocław</w:t>
            </w:r>
          </w:p>
        </w:tc>
        <w:tc>
          <w:tcPr>
            <w:tcW w:w="4531" w:type="dxa"/>
          </w:tcPr>
          <w:p w:rsidR="00CA14AB" w:rsidRPr="00E00B35" w:rsidRDefault="00CA14AB" w:rsidP="00E00B35">
            <w:pPr>
              <w:spacing w:after="0" w:line="312" w:lineRule="auto"/>
              <w:rPr>
                <w:szCs w:val="20"/>
              </w:rPr>
            </w:pPr>
            <w:r w:rsidRPr="00E00B35">
              <w:rPr>
                <w:szCs w:val="20"/>
              </w:rPr>
              <w:t>15</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Doba.pl</w:t>
            </w:r>
          </w:p>
        </w:tc>
        <w:tc>
          <w:tcPr>
            <w:tcW w:w="4531" w:type="dxa"/>
          </w:tcPr>
          <w:p w:rsidR="00CA14AB" w:rsidRPr="00E00B35" w:rsidRDefault="00CA14AB" w:rsidP="00E00B35">
            <w:pPr>
              <w:spacing w:after="0" w:line="312" w:lineRule="auto"/>
              <w:rPr>
                <w:szCs w:val="20"/>
              </w:rPr>
            </w:pPr>
            <w:r w:rsidRPr="00E00B35">
              <w:rPr>
                <w:szCs w:val="20"/>
              </w:rPr>
              <w:t>15</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Statystyki dla hasła „Wyścigi konne we Wrocławiu”</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Liczba informacji – 1 220</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Zasięg informacji – 194,9 mln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lastRenderedPageBreak/>
        <w:t>Dotarcie informacji – 6,7 mln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AVE szacunkowe – 2,6 mln zł</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AVE zweryfikowane – 3 907 zł</w:t>
      </w: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Wydźwięk</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Negatywny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Neutralny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Pozytywny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Niezdefiniowany</w:t>
            </w:r>
          </w:p>
        </w:tc>
        <w:tc>
          <w:tcPr>
            <w:tcW w:w="2410" w:type="dxa"/>
          </w:tcPr>
          <w:p w:rsidR="00CA14AB" w:rsidRPr="00E00B35" w:rsidRDefault="00CA14AB" w:rsidP="00E00B35">
            <w:pPr>
              <w:spacing w:after="0" w:line="312" w:lineRule="auto"/>
              <w:rPr>
                <w:szCs w:val="20"/>
              </w:rPr>
            </w:pPr>
            <w:r w:rsidRPr="00E00B35">
              <w:rPr>
                <w:szCs w:val="20"/>
              </w:rPr>
              <w:t>100%</w:t>
            </w:r>
          </w:p>
        </w:tc>
      </w:tr>
    </w:tbl>
    <w:p w:rsidR="00CA14AB" w:rsidRPr="00E00B35" w:rsidRDefault="00CA14AB" w:rsidP="00E00B35">
      <w:pPr>
        <w:spacing w:after="0" w:line="312" w:lineRule="auto"/>
        <w:rPr>
          <w:szCs w:val="20"/>
        </w:rPr>
      </w:pP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Rozmiar</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Artykuł</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Notka</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Wzmianka</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Niezdefiniowany</w:t>
            </w:r>
          </w:p>
        </w:tc>
        <w:tc>
          <w:tcPr>
            <w:tcW w:w="2410" w:type="dxa"/>
          </w:tcPr>
          <w:p w:rsidR="00CA14AB" w:rsidRPr="00E00B35" w:rsidRDefault="00CA14AB" w:rsidP="00E00B35">
            <w:pPr>
              <w:spacing w:after="0" w:line="312" w:lineRule="auto"/>
              <w:rPr>
                <w:szCs w:val="20"/>
              </w:rPr>
            </w:pPr>
            <w:r w:rsidRPr="00E00B35">
              <w:rPr>
                <w:szCs w:val="20"/>
              </w:rPr>
              <w:t>100%</w:t>
            </w:r>
          </w:p>
        </w:tc>
      </w:tr>
    </w:tbl>
    <w:p w:rsidR="00CA14AB" w:rsidRPr="00E00B35" w:rsidRDefault="00CA14AB" w:rsidP="00E00B35">
      <w:pPr>
        <w:spacing w:after="0" w:line="312" w:lineRule="auto"/>
        <w:rPr>
          <w:szCs w:val="20"/>
        </w:rPr>
      </w:pPr>
    </w:p>
    <w:tbl>
      <w:tblPr>
        <w:tblpPr w:leftFromText="141" w:rightFromText="141" w:vertAnchor="text" w:tblpY="1"/>
        <w:tblOverlap w:val="neve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Medium</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Prasa</w:t>
            </w:r>
          </w:p>
        </w:tc>
        <w:tc>
          <w:tcPr>
            <w:tcW w:w="2410" w:type="dxa"/>
          </w:tcPr>
          <w:p w:rsidR="00CA14AB" w:rsidRPr="00E00B35" w:rsidRDefault="00CA14AB" w:rsidP="00E00B35">
            <w:pPr>
              <w:spacing w:after="0" w:line="312" w:lineRule="auto"/>
              <w:rPr>
                <w:szCs w:val="20"/>
              </w:rPr>
            </w:pPr>
            <w:r w:rsidRPr="00E00B35">
              <w:rPr>
                <w:szCs w:val="20"/>
              </w:rPr>
              <w:t>4,92%</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Radio</w:t>
            </w:r>
          </w:p>
        </w:tc>
        <w:tc>
          <w:tcPr>
            <w:tcW w:w="2410" w:type="dxa"/>
          </w:tcPr>
          <w:p w:rsidR="00CA14AB" w:rsidRPr="00E00B35" w:rsidRDefault="00CA14AB" w:rsidP="00E00B35">
            <w:pPr>
              <w:spacing w:after="0" w:line="312" w:lineRule="auto"/>
              <w:rPr>
                <w:szCs w:val="20"/>
              </w:rPr>
            </w:pPr>
            <w:r w:rsidRPr="00E00B35">
              <w:rPr>
                <w:szCs w:val="20"/>
              </w:rPr>
              <w:t>6,39%</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Telewizja</w:t>
            </w:r>
          </w:p>
        </w:tc>
        <w:tc>
          <w:tcPr>
            <w:tcW w:w="2410" w:type="dxa"/>
          </w:tcPr>
          <w:p w:rsidR="00CA14AB" w:rsidRPr="00E00B35" w:rsidRDefault="00CA14AB" w:rsidP="00E00B35">
            <w:pPr>
              <w:spacing w:after="0" w:line="312" w:lineRule="auto"/>
              <w:rPr>
                <w:szCs w:val="20"/>
              </w:rPr>
            </w:pPr>
            <w:r w:rsidRPr="00E00B35">
              <w:rPr>
                <w:szCs w:val="20"/>
              </w:rPr>
              <w:t>0,74%</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WWW</w:t>
            </w:r>
          </w:p>
        </w:tc>
        <w:tc>
          <w:tcPr>
            <w:tcW w:w="2410" w:type="dxa"/>
          </w:tcPr>
          <w:p w:rsidR="00CA14AB" w:rsidRPr="00E00B35" w:rsidRDefault="00CA14AB" w:rsidP="00E00B35">
            <w:pPr>
              <w:spacing w:after="0" w:line="312" w:lineRule="auto"/>
              <w:rPr>
                <w:szCs w:val="20"/>
              </w:rPr>
            </w:pPr>
            <w:r w:rsidRPr="00E00B35">
              <w:rPr>
                <w:szCs w:val="20"/>
              </w:rPr>
              <w:t>87,95%</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Social media</w:t>
            </w:r>
          </w:p>
        </w:tc>
        <w:tc>
          <w:tcPr>
            <w:tcW w:w="2410" w:type="dxa"/>
          </w:tcPr>
          <w:p w:rsidR="00CA14AB" w:rsidRPr="00E00B35" w:rsidRDefault="00CA14AB" w:rsidP="00E00B35">
            <w:pPr>
              <w:spacing w:after="0" w:line="312" w:lineRule="auto"/>
              <w:rPr>
                <w:szCs w:val="20"/>
              </w:rPr>
            </w:pPr>
            <w:r w:rsidRPr="00E00B35">
              <w:rPr>
                <w:szCs w:val="20"/>
              </w:rPr>
              <w:t>0%</w:t>
            </w:r>
          </w:p>
        </w:tc>
      </w:tr>
    </w:tbl>
    <w:p w:rsidR="00B1753A" w:rsidRDefault="00B1753A" w:rsidP="00E00B35">
      <w:pPr>
        <w:spacing w:after="0" w:line="312" w:lineRule="auto"/>
        <w:rPr>
          <w:rFonts w:eastAsia="Verdana"/>
          <w:szCs w:val="20"/>
        </w:rPr>
      </w:pPr>
    </w:p>
    <w:p w:rsidR="00B1753A" w:rsidRDefault="00B1753A" w:rsidP="00E00B35">
      <w:pPr>
        <w:spacing w:after="0" w:line="312" w:lineRule="auto"/>
        <w:rPr>
          <w:rFonts w:eastAsia="Verdana"/>
          <w:szCs w:val="20"/>
        </w:rPr>
      </w:pPr>
    </w:p>
    <w:p w:rsidR="00B1753A" w:rsidRDefault="00B1753A" w:rsidP="00E00B35">
      <w:pPr>
        <w:spacing w:after="0" w:line="312" w:lineRule="auto"/>
        <w:rPr>
          <w:rFonts w:eastAsia="Verdana"/>
          <w:szCs w:val="20"/>
        </w:rPr>
      </w:pPr>
    </w:p>
    <w:p w:rsidR="00B1753A" w:rsidRDefault="00B1753A" w:rsidP="00E00B35">
      <w:pPr>
        <w:spacing w:after="0" w:line="312" w:lineRule="auto"/>
        <w:rPr>
          <w:rFonts w:eastAsia="Verdana"/>
          <w:szCs w:val="20"/>
        </w:rPr>
      </w:pPr>
    </w:p>
    <w:p w:rsidR="00B1753A" w:rsidRDefault="00B1753A" w:rsidP="00E00B35">
      <w:pPr>
        <w:spacing w:after="0" w:line="312" w:lineRule="auto"/>
        <w:rPr>
          <w:rFonts w:eastAsia="Verdana"/>
          <w:szCs w:val="20"/>
        </w:rPr>
      </w:pPr>
    </w:p>
    <w:p w:rsidR="00CA14AB" w:rsidRPr="00E00B35" w:rsidRDefault="00CA14AB" w:rsidP="00E00B35">
      <w:pPr>
        <w:spacing w:after="0" w:line="312" w:lineRule="auto"/>
        <w:rPr>
          <w:szCs w:val="20"/>
        </w:rPr>
      </w:pPr>
      <w:r w:rsidRPr="00E00B35">
        <w:rPr>
          <w:rFonts w:eastAsia="Verdana"/>
          <w:szCs w:val="20"/>
        </w:rPr>
        <w:br/>
      </w:r>
    </w:p>
    <w:p w:rsidR="00CA14AB" w:rsidRPr="00E00B35" w:rsidRDefault="00CA14AB" w:rsidP="00E00B35">
      <w:pPr>
        <w:spacing w:after="0" w:line="312" w:lineRule="auto"/>
        <w:rPr>
          <w:szCs w:val="20"/>
        </w:rPr>
      </w:pPr>
      <w:r w:rsidRPr="00E00B35">
        <w:rPr>
          <w:szCs w:val="20"/>
        </w:rPr>
        <w:t>Źródła z największą liczbą informacji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1"/>
        <w:gridCol w:w="4531"/>
      </w:tblGrid>
      <w:tr w:rsidR="008C054F" w:rsidRPr="00E00B35" w:rsidTr="00CA14AB">
        <w:tc>
          <w:tcPr>
            <w:tcW w:w="4531" w:type="dxa"/>
          </w:tcPr>
          <w:p w:rsidR="00CA14AB" w:rsidRPr="00E00B35" w:rsidRDefault="00CA14AB" w:rsidP="00E00B35">
            <w:pPr>
              <w:spacing w:after="0" w:line="312" w:lineRule="auto"/>
              <w:rPr>
                <w:szCs w:val="20"/>
              </w:rPr>
            </w:pPr>
            <w:r w:rsidRPr="00E00B35">
              <w:rPr>
                <w:szCs w:val="20"/>
              </w:rPr>
              <w:t>Źródło</w:t>
            </w:r>
          </w:p>
        </w:tc>
        <w:tc>
          <w:tcPr>
            <w:tcW w:w="4531" w:type="dxa"/>
          </w:tcPr>
          <w:p w:rsidR="00CA14AB" w:rsidRPr="00E00B35" w:rsidRDefault="00CA14AB" w:rsidP="00E00B35">
            <w:pPr>
              <w:spacing w:after="0" w:line="312" w:lineRule="auto"/>
              <w:rPr>
                <w:szCs w:val="20"/>
              </w:rPr>
            </w:pPr>
            <w:r w:rsidRPr="00E00B35">
              <w:rPr>
                <w:szCs w:val="20"/>
              </w:rPr>
              <w:t>Liczba informacji</w:t>
            </w:r>
          </w:p>
        </w:tc>
      </w:tr>
      <w:tr w:rsidR="008C054F" w:rsidRPr="00E00B35" w:rsidTr="00CA14AB">
        <w:tc>
          <w:tcPr>
            <w:tcW w:w="4531" w:type="dxa"/>
          </w:tcPr>
          <w:p w:rsidR="00CA14AB" w:rsidRPr="00E00B35" w:rsidRDefault="00CA14AB" w:rsidP="00E00B35">
            <w:pPr>
              <w:spacing w:after="0" w:line="312" w:lineRule="auto"/>
              <w:rPr>
                <w:szCs w:val="20"/>
              </w:rPr>
            </w:pPr>
            <w:r w:rsidRPr="00E00B35">
              <w:rPr>
                <w:szCs w:val="20"/>
              </w:rPr>
              <w:t>Wroclaw.pl</w:t>
            </w:r>
          </w:p>
        </w:tc>
        <w:tc>
          <w:tcPr>
            <w:tcW w:w="4531" w:type="dxa"/>
          </w:tcPr>
          <w:p w:rsidR="00CA14AB" w:rsidRPr="00E00B35" w:rsidRDefault="00CA14AB" w:rsidP="00E00B35">
            <w:pPr>
              <w:spacing w:after="0" w:line="312" w:lineRule="auto"/>
              <w:rPr>
                <w:szCs w:val="20"/>
              </w:rPr>
            </w:pPr>
            <w:r w:rsidRPr="00E00B35">
              <w:rPr>
                <w:szCs w:val="20"/>
              </w:rPr>
              <w:t>66</w:t>
            </w:r>
          </w:p>
        </w:tc>
      </w:tr>
      <w:tr w:rsidR="008C054F" w:rsidRPr="00E00B35" w:rsidTr="00CA14AB">
        <w:tc>
          <w:tcPr>
            <w:tcW w:w="4531" w:type="dxa"/>
          </w:tcPr>
          <w:p w:rsidR="00CA14AB" w:rsidRPr="00E00B35" w:rsidRDefault="00CA14AB" w:rsidP="00E00B35">
            <w:pPr>
              <w:spacing w:after="0" w:line="312" w:lineRule="auto"/>
              <w:rPr>
                <w:szCs w:val="20"/>
              </w:rPr>
            </w:pPr>
            <w:r w:rsidRPr="00E00B35">
              <w:rPr>
                <w:szCs w:val="20"/>
              </w:rPr>
              <w:t>TuWroclaw.com</w:t>
            </w:r>
          </w:p>
        </w:tc>
        <w:tc>
          <w:tcPr>
            <w:tcW w:w="4531" w:type="dxa"/>
          </w:tcPr>
          <w:p w:rsidR="00CA14AB" w:rsidRPr="00E00B35" w:rsidRDefault="00CA14AB" w:rsidP="00E00B35">
            <w:pPr>
              <w:spacing w:after="0" w:line="312" w:lineRule="auto"/>
              <w:rPr>
                <w:szCs w:val="20"/>
              </w:rPr>
            </w:pPr>
            <w:r w:rsidRPr="00E00B35">
              <w:rPr>
                <w:szCs w:val="20"/>
              </w:rPr>
              <w:t>36</w:t>
            </w:r>
          </w:p>
        </w:tc>
      </w:tr>
      <w:tr w:rsidR="008C054F" w:rsidRPr="00E00B35" w:rsidTr="00CA14AB">
        <w:tc>
          <w:tcPr>
            <w:tcW w:w="4531" w:type="dxa"/>
          </w:tcPr>
          <w:p w:rsidR="00CA14AB" w:rsidRPr="00E00B35" w:rsidRDefault="00CA14AB" w:rsidP="00E00B35">
            <w:pPr>
              <w:spacing w:after="0" w:line="312" w:lineRule="auto"/>
              <w:rPr>
                <w:szCs w:val="20"/>
              </w:rPr>
            </w:pPr>
            <w:r w:rsidRPr="00E00B35">
              <w:rPr>
                <w:szCs w:val="20"/>
              </w:rPr>
              <w:t>Gazetawroclawska.pl</w:t>
            </w:r>
          </w:p>
        </w:tc>
        <w:tc>
          <w:tcPr>
            <w:tcW w:w="4531" w:type="dxa"/>
          </w:tcPr>
          <w:p w:rsidR="00CA14AB" w:rsidRPr="00E00B35" w:rsidRDefault="00CA14AB" w:rsidP="00E00B35">
            <w:pPr>
              <w:spacing w:after="0" w:line="312" w:lineRule="auto"/>
              <w:rPr>
                <w:szCs w:val="20"/>
              </w:rPr>
            </w:pPr>
            <w:r w:rsidRPr="00E00B35">
              <w:rPr>
                <w:szCs w:val="20"/>
              </w:rPr>
              <w:t>29</w:t>
            </w:r>
          </w:p>
        </w:tc>
      </w:tr>
      <w:tr w:rsidR="008C054F" w:rsidRPr="00E00B35" w:rsidTr="00CA14AB">
        <w:tc>
          <w:tcPr>
            <w:tcW w:w="4531" w:type="dxa"/>
          </w:tcPr>
          <w:p w:rsidR="00CA14AB" w:rsidRPr="00E00B35" w:rsidRDefault="00CA14AB" w:rsidP="00E00B35">
            <w:pPr>
              <w:spacing w:after="0" w:line="312" w:lineRule="auto"/>
              <w:rPr>
                <w:szCs w:val="20"/>
              </w:rPr>
            </w:pPr>
            <w:r w:rsidRPr="00E00B35">
              <w:rPr>
                <w:szCs w:val="20"/>
              </w:rPr>
              <w:t>Wroclawskiefakty.pl</w:t>
            </w:r>
          </w:p>
        </w:tc>
        <w:tc>
          <w:tcPr>
            <w:tcW w:w="4531" w:type="dxa"/>
          </w:tcPr>
          <w:p w:rsidR="00CA14AB" w:rsidRPr="00E00B35" w:rsidRDefault="00CA14AB" w:rsidP="00E00B35">
            <w:pPr>
              <w:spacing w:after="0" w:line="312" w:lineRule="auto"/>
              <w:rPr>
                <w:szCs w:val="20"/>
              </w:rPr>
            </w:pPr>
            <w:r w:rsidRPr="00E00B35">
              <w:rPr>
                <w:szCs w:val="20"/>
              </w:rPr>
              <w:t>29</w:t>
            </w:r>
          </w:p>
        </w:tc>
      </w:tr>
      <w:tr w:rsidR="008C054F" w:rsidRPr="00E00B35" w:rsidTr="00CA14AB">
        <w:tc>
          <w:tcPr>
            <w:tcW w:w="4531" w:type="dxa"/>
          </w:tcPr>
          <w:p w:rsidR="00CA14AB" w:rsidRPr="00E00B35" w:rsidRDefault="00CA14AB" w:rsidP="00E00B35">
            <w:pPr>
              <w:spacing w:after="0" w:line="312" w:lineRule="auto"/>
              <w:rPr>
                <w:szCs w:val="20"/>
              </w:rPr>
            </w:pPr>
            <w:r w:rsidRPr="00E00B35">
              <w:rPr>
                <w:szCs w:val="20"/>
              </w:rPr>
              <w:t>Swiatkoni.pl</w:t>
            </w:r>
          </w:p>
        </w:tc>
        <w:tc>
          <w:tcPr>
            <w:tcW w:w="4531" w:type="dxa"/>
          </w:tcPr>
          <w:p w:rsidR="00CA14AB" w:rsidRPr="00E00B35" w:rsidRDefault="00CA14AB" w:rsidP="00E00B35">
            <w:pPr>
              <w:spacing w:after="0" w:line="312" w:lineRule="auto"/>
              <w:rPr>
                <w:szCs w:val="20"/>
              </w:rPr>
            </w:pPr>
            <w:r w:rsidRPr="00E00B35">
              <w:rPr>
                <w:szCs w:val="20"/>
              </w:rPr>
              <w:t>25</w:t>
            </w:r>
          </w:p>
        </w:tc>
      </w:tr>
      <w:tr w:rsidR="008C054F" w:rsidRPr="00E00B35" w:rsidTr="00CA14AB">
        <w:tc>
          <w:tcPr>
            <w:tcW w:w="4531" w:type="dxa"/>
          </w:tcPr>
          <w:p w:rsidR="00CA14AB" w:rsidRPr="00E00B35" w:rsidRDefault="00CA14AB" w:rsidP="00E00B35">
            <w:pPr>
              <w:spacing w:after="0" w:line="312" w:lineRule="auto"/>
              <w:rPr>
                <w:szCs w:val="20"/>
              </w:rPr>
            </w:pPr>
            <w:r w:rsidRPr="00E00B35">
              <w:rPr>
                <w:szCs w:val="20"/>
              </w:rPr>
              <w:t>Galop.pl</w:t>
            </w:r>
          </w:p>
        </w:tc>
        <w:tc>
          <w:tcPr>
            <w:tcW w:w="4531" w:type="dxa"/>
          </w:tcPr>
          <w:p w:rsidR="00CA14AB" w:rsidRPr="00E00B35" w:rsidRDefault="00CA14AB" w:rsidP="00E00B35">
            <w:pPr>
              <w:spacing w:after="0" w:line="312" w:lineRule="auto"/>
              <w:rPr>
                <w:szCs w:val="20"/>
              </w:rPr>
            </w:pPr>
            <w:r w:rsidRPr="00E00B35">
              <w:rPr>
                <w:szCs w:val="20"/>
              </w:rPr>
              <w:t>24</w:t>
            </w:r>
          </w:p>
        </w:tc>
      </w:tr>
      <w:tr w:rsidR="008C054F" w:rsidRPr="00E00B35" w:rsidTr="00CA14AB">
        <w:tc>
          <w:tcPr>
            <w:tcW w:w="4531" w:type="dxa"/>
          </w:tcPr>
          <w:p w:rsidR="00CA14AB" w:rsidRPr="00E00B35" w:rsidRDefault="00CA14AB" w:rsidP="00E00B35">
            <w:pPr>
              <w:spacing w:after="0" w:line="312" w:lineRule="auto"/>
              <w:rPr>
                <w:szCs w:val="20"/>
              </w:rPr>
            </w:pPr>
            <w:r w:rsidRPr="00E00B35">
              <w:rPr>
                <w:szCs w:val="20"/>
              </w:rPr>
              <w:t>24wroclaw.pl</w:t>
            </w:r>
          </w:p>
        </w:tc>
        <w:tc>
          <w:tcPr>
            <w:tcW w:w="4531" w:type="dxa"/>
          </w:tcPr>
          <w:p w:rsidR="00CA14AB" w:rsidRPr="00E00B35" w:rsidRDefault="00CA14AB" w:rsidP="00E00B35">
            <w:pPr>
              <w:spacing w:after="0" w:line="312" w:lineRule="auto"/>
              <w:rPr>
                <w:szCs w:val="20"/>
              </w:rPr>
            </w:pPr>
            <w:r w:rsidRPr="00E00B35">
              <w:rPr>
                <w:szCs w:val="20"/>
              </w:rPr>
              <w:t>18</w:t>
            </w:r>
          </w:p>
        </w:tc>
      </w:tr>
      <w:tr w:rsidR="008C054F" w:rsidRPr="00E00B35" w:rsidTr="00CA14AB">
        <w:tc>
          <w:tcPr>
            <w:tcW w:w="4531" w:type="dxa"/>
          </w:tcPr>
          <w:p w:rsidR="00CA14AB" w:rsidRPr="00E00B35" w:rsidRDefault="00CA14AB" w:rsidP="00E00B35">
            <w:pPr>
              <w:spacing w:after="0" w:line="312" w:lineRule="auto"/>
              <w:rPr>
                <w:szCs w:val="20"/>
              </w:rPr>
            </w:pPr>
            <w:r w:rsidRPr="00E00B35">
              <w:rPr>
                <w:szCs w:val="20"/>
              </w:rPr>
              <w:t>Otowroclaw.com</w:t>
            </w:r>
          </w:p>
        </w:tc>
        <w:tc>
          <w:tcPr>
            <w:tcW w:w="4531" w:type="dxa"/>
          </w:tcPr>
          <w:p w:rsidR="00CA14AB" w:rsidRPr="00E00B35" w:rsidRDefault="00CA14AB" w:rsidP="00E00B35">
            <w:pPr>
              <w:spacing w:after="0" w:line="312" w:lineRule="auto"/>
              <w:rPr>
                <w:szCs w:val="20"/>
              </w:rPr>
            </w:pPr>
            <w:r w:rsidRPr="00E00B35">
              <w:rPr>
                <w:szCs w:val="20"/>
              </w:rPr>
              <w:t>18</w:t>
            </w:r>
          </w:p>
        </w:tc>
      </w:tr>
      <w:tr w:rsidR="008C054F" w:rsidRPr="00E00B35" w:rsidTr="00CA14AB">
        <w:tc>
          <w:tcPr>
            <w:tcW w:w="4531" w:type="dxa"/>
          </w:tcPr>
          <w:p w:rsidR="00CA14AB" w:rsidRPr="00E00B35" w:rsidRDefault="00CA14AB" w:rsidP="00E00B35">
            <w:pPr>
              <w:spacing w:after="0" w:line="312" w:lineRule="auto"/>
              <w:rPr>
                <w:szCs w:val="20"/>
              </w:rPr>
            </w:pPr>
            <w:r w:rsidRPr="00E00B35">
              <w:rPr>
                <w:szCs w:val="20"/>
              </w:rPr>
              <w:t>Otodolnyslask.pl</w:t>
            </w:r>
          </w:p>
        </w:tc>
        <w:tc>
          <w:tcPr>
            <w:tcW w:w="4531" w:type="dxa"/>
          </w:tcPr>
          <w:p w:rsidR="00CA14AB" w:rsidRPr="00E00B35" w:rsidRDefault="00CA14AB" w:rsidP="00E00B35">
            <w:pPr>
              <w:spacing w:after="0" w:line="312" w:lineRule="auto"/>
              <w:rPr>
                <w:szCs w:val="20"/>
              </w:rPr>
            </w:pPr>
            <w:r w:rsidRPr="00E00B35">
              <w:rPr>
                <w:szCs w:val="20"/>
              </w:rPr>
              <w:t>17</w:t>
            </w:r>
          </w:p>
        </w:tc>
      </w:tr>
      <w:tr w:rsidR="008C054F" w:rsidRPr="00E00B35" w:rsidTr="00CA14AB">
        <w:tc>
          <w:tcPr>
            <w:tcW w:w="4531" w:type="dxa"/>
          </w:tcPr>
          <w:p w:rsidR="00CA14AB" w:rsidRPr="00E00B35" w:rsidRDefault="00CA14AB" w:rsidP="00E00B35">
            <w:pPr>
              <w:spacing w:after="0" w:line="312" w:lineRule="auto"/>
              <w:rPr>
                <w:szCs w:val="20"/>
              </w:rPr>
            </w:pPr>
            <w:r w:rsidRPr="00E00B35">
              <w:rPr>
                <w:szCs w:val="20"/>
              </w:rPr>
              <w:t>Otoboleslawiec.pl</w:t>
            </w:r>
          </w:p>
        </w:tc>
        <w:tc>
          <w:tcPr>
            <w:tcW w:w="4531" w:type="dxa"/>
          </w:tcPr>
          <w:p w:rsidR="00CA14AB" w:rsidRPr="00E00B35" w:rsidRDefault="00CA14AB" w:rsidP="00E00B35">
            <w:pPr>
              <w:spacing w:after="0" w:line="312" w:lineRule="auto"/>
              <w:rPr>
                <w:szCs w:val="20"/>
              </w:rPr>
            </w:pPr>
            <w:r w:rsidRPr="00E00B35">
              <w:rPr>
                <w:szCs w:val="20"/>
              </w:rPr>
              <w:t>16</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Statystyki dla hasła „Jerzy Sawka”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Liczba informacji – 445</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Zasięg informacji – 199,7 mln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Dotarcie informacji – 4,6 mln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AVE szacunkowe – 2,9 mln zł</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AVE zweryfikowane – 234 471 zł</w:t>
      </w:r>
    </w:p>
    <w:p w:rsidR="00CA14AB" w:rsidRPr="00E00B35" w:rsidRDefault="00CA14AB" w:rsidP="00E00B35">
      <w:pPr>
        <w:spacing w:after="0" w:line="312" w:lineRule="auto"/>
        <w:rPr>
          <w:szCs w:val="20"/>
        </w:rPr>
      </w:pPr>
    </w:p>
    <w:tbl>
      <w:tblPr>
        <w:tblpPr w:leftFromText="141" w:rightFromText="141" w:vertAnchor="text" w:tblpY="1"/>
        <w:tblOverlap w:val="neve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lastRenderedPageBreak/>
              <w:t>Wydźwięk</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Negatywny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Neutralny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Pozytywny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Niezdefiniowany</w:t>
            </w:r>
          </w:p>
        </w:tc>
        <w:tc>
          <w:tcPr>
            <w:tcW w:w="2410" w:type="dxa"/>
          </w:tcPr>
          <w:p w:rsidR="00CA14AB" w:rsidRPr="00E00B35" w:rsidRDefault="00CA14AB" w:rsidP="00E00B35">
            <w:pPr>
              <w:spacing w:after="0" w:line="312" w:lineRule="auto"/>
              <w:rPr>
                <w:szCs w:val="20"/>
              </w:rPr>
            </w:pPr>
            <w:r w:rsidRPr="00E00B35">
              <w:rPr>
                <w:szCs w:val="20"/>
              </w:rPr>
              <w:t>100%</w:t>
            </w:r>
          </w:p>
        </w:tc>
      </w:tr>
    </w:tbl>
    <w:p w:rsidR="00CA14AB" w:rsidRDefault="00CA14AB" w:rsidP="00E00B35">
      <w:pPr>
        <w:spacing w:after="0" w:line="312" w:lineRule="auto"/>
        <w:rPr>
          <w:szCs w:val="20"/>
        </w:rPr>
      </w:pPr>
      <w:r w:rsidRPr="00E00B35">
        <w:rPr>
          <w:szCs w:val="20"/>
        </w:rPr>
        <w:br/>
      </w:r>
    </w:p>
    <w:p w:rsidR="00B1753A" w:rsidRDefault="00B1753A" w:rsidP="00E00B35">
      <w:pPr>
        <w:spacing w:after="0" w:line="312" w:lineRule="auto"/>
        <w:rPr>
          <w:szCs w:val="20"/>
        </w:rPr>
      </w:pPr>
    </w:p>
    <w:p w:rsidR="00B1753A" w:rsidRDefault="00B1753A" w:rsidP="00E00B35">
      <w:pPr>
        <w:spacing w:after="0" w:line="312" w:lineRule="auto"/>
        <w:rPr>
          <w:szCs w:val="20"/>
        </w:rPr>
      </w:pPr>
    </w:p>
    <w:p w:rsidR="00B1753A" w:rsidRDefault="00B1753A" w:rsidP="00E00B35">
      <w:pPr>
        <w:spacing w:after="0" w:line="312" w:lineRule="auto"/>
        <w:rPr>
          <w:szCs w:val="20"/>
        </w:rPr>
      </w:pPr>
    </w:p>
    <w:p w:rsidR="00B1753A" w:rsidRPr="00E00B35" w:rsidRDefault="00B1753A" w:rsidP="00E00B35">
      <w:pPr>
        <w:spacing w:after="0" w:line="312" w:lineRule="auto"/>
        <w:rPr>
          <w:szCs w:val="20"/>
        </w:rPr>
      </w:pP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Rozmiar</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Artykuł</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Notka</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Wzmianka</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Niezdefiniowany</w:t>
            </w:r>
          </w:p>
        </w:tc>
        <w:tc>
          <w:tcPr>
            <w:tcW w:w="2410" w:type="dxa"/>
          </w:tcPr>
          <w:p w:rsidR="00CA14AB" w:rsidRPr="00E00B35" w:rsidRDefault="00CA14AB" w:rsidP="00E00B35">
            <w:pPr>
              <w:spacing w:after="0" w:line="312" w:lineRule="auto"/>
              <w:rPr>
                <w:szCs w:val="20"/>
              </w:rPr>
            </w:pPr>
            <w:r w:rsidRPr="00E00B35">
              <w:rPr>
                <w:szCs w:val="20"/>
              </w:rPr>
              <w:t>100%</w:t>
            </w:r>
          </w:p>
        </w:tc>
      </w:tr>
    </w:tbl>
    <w:p w:rsidR="00CA14AB" w:rsidRPr="00E00B35" w:rsidRDefault="00CA14AB" w:rsidP="00E00B35">
      <w:pPr>
        <w:spacing w:after="0" w:line="312" w:lineRule="auto"/>
        <w:rPr>
          <w:szCs w:val="20"/>
        </w:rPr>
      </w:pP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Medium</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Prasa</w:t>
            </w:r>
          </w:p>
        </w:tc>
        <w:tc>
          <w:tcPr>
            <w:tcW w:w="2410" w:type="dxa"/>
          </w:tcPr>
          <w:p w:rsidR="00CA14AB" w:rsidRPr="00E00B35" w:rsidRDefault="00CA14AB" w:rsidP="00E00B35">
            <w:pPr>
              <w:spacing w:after="0" w:line="312" w:lineRule="auto"/>
              <w:rPr>
                <w:szCs w:val="20"/>
              </w:rPr>
            </w:pPr>
            <w:r w:rsidRPr="00E00B35">
              <w:rPr>
                <w:szCs w:val="20"/>
              </w:rPr>
              <w:t>8,99%</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Radio</w:t>
            </w:r>
          </w:p>
        </w:tc>
        <w:tc>
          <w:tcPr>
            <w:tcW w:w="2410" w:type="dxa"/>
          </w:tcPr>
          <w:p w:rsidR="00CA14AB" w:rsidRPr="00E00B35" w:rsidRDefault="00CA14AB" w:rsidP="00E00B35">
            <w:pPr>
              <w:spacing w:after="0" w:line="312" w:lineRule="auto"/>
              <w:rPr>
                <w:szCs w:val="20"/>
              </w:rPr>
            </w:pPr>
            <w:r w:rsidRPr="00E00B35">
              <w:rPr>
                <w:szCs w:val="20"/>
              </w:rPr>
              <w:t>5,39%</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Telewizja</w:t>
            </w:r>
          </w:p>
        </w:tc>
        <w:tc>
          <w:tcPr>
            <w:tcW w:w="2410" w:type="dxa"/>
          </w:tcPr>
          <w:p w:rsidR="00CA14AB" w:rsidRPr="00E00B35" w:rsidRDefault="00CA14AB" w:rsidP="00E00B35">
            <w:pPr>
              <w:spacing w:after="0" w:line="312" w:lineRule="auto"/>
              <w:rPr>
                <w:szCs w:val="20"/>
              </w:rPr>
            </w:pPr>
            <w:r w:rsidRPr="00E00B35">
              <w:rPr>
                <w:szCs w:val="20"/>
              </w:rPr>
              <w:t>0,67%</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WWW</w:t>
            </w:r>
          </w:p>
        </w:tc>
        <w:tc>
          <w:tcPr>
            <w:tcW w:w="2410" w:type="dxa"/>
          </w:tcPr>
          <w:p w:rsidR="00CA14AB" w:rsidRPr="00E00B35" w:rsidRDefault="00CA14AB" w:rsidP="00E00B35">
            <w:pPr>
              <w:spacing w:after="0" w:line="312" w:lineRule="auto"/>
              <w:rPr>
                <w:szCs w:val="20"/>
              </w:rPr>
            </w:pPr>
            <w:r w:rsidRPr="00E00B35">
              <w:rPr>
                <w:szCs w:val="20"/>
              </w:rPr>
              <w:t>83,6%</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Social media</w:t>
            </w:r>
          </w:p>
        </w:tc>
        <w:tc>
          <w:tcPr>
            <w:tcW w:w="2410" w:type="dxa"/>
          </w:tcPr>
          <w:p w:rsidR="00CA14AB" w:rsidRPr="00E00B35" w:rsidRDefault="00CA14AB" w:rsidP="00E00B35">
            <w:pPr>
              <w:spacing w:after="0" w:line="312" w:lineRule="auto"/>
              <w:rPr>
                <w:szCs w:val="20"/>
              </w:rPr>
            </w:pPr>
            <w:r w:rsidRPr="00E00B35">
              <w:rPr>
                <w:szCs w:val="20"/>
              </w:rPr>
              <w:t>1,35%</w:t>
            </w:r>
          </w:p>
        </w:tc>
      </w:tr>
    </w:tbl>
    <w:p w:rsidR="00CA14AB" w:rsidRPr="00E00B35" w:rsidRDefault="00CA14AB" w:rsidP="00E00B35">
      <w:pPr>
        <w:spacing w:after="0" w:line="312" w:lineRule="auto"/>
        <w:rPr>
          <w:szCs w:val="20"/>
        </w:rPr>
      </w:pP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Social media</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Facebook</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Twitter</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Instagram</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YouTube</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Wykop</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Fora</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Blogi</w:t>
            </w:r>
          </w:p>
        </w:tc>
        <w:tc>
          <w:tcPr>
            <w:tcW w:w="2410" w:type="dxa"/>
          </w:tcPr>
          <w:p w:rsidR="00CA14AB" w:rsidRPr="00E00B35" w:rsidRDefault="00CA14AB" w:rsidP="00E00B35">
            <w:pPr>
              <w:spacing w:after="0" w:line="312" w:lineRule="auto"/>
              <w:rPr>
                <w:szCs w:val="20"/>
              </w:rPr>
            </w:pPr>
            <w:r w:rsidRPr="00E00B35">
              <w:rPr>
                <w:szCs w:val="20"/>
              </w:rPr>
              <w:t>100%</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Źródła z największą liczbą informacji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1"/>
        <w:gridCol w:w="4531"/>
      </w:tblGrid>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Źródło</w:t>
            </w:r>
          </w:p>
        </w:tc>
        <w:tc>
          <w:tcPr>
            <w:tcW w:w="4531" w:type="dxa"/>
          </w:tcPr>
          <w:p w:rsidR="00CA14AB" w:rsidRPr="00E00B35" w:rsidRDefault="00CA14AB" w:rsidP="00E00B35">
            <w:pPr>
              <w:spacing w:after="0" w:line="312" w:lineRule="auto"/>
              <w:rPr>
                <w:szCs w:val="20"/>
              </w:rPr>
            </w:pPr>
            <w:r w:rsidRPr="00E00B35">
              <w:rPr>
                <w:szCs w:val="20"/>
              </w:rPr>
              <w:t>Liczba informacji</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Wyborcza.pl</w:t>
            </w:r>
          </w:p>
        </w:tc>
        <w:tc>
          <w:tcPr>
            <w:tcW w:w="4531" w:type="dxa"/>
          </w:tcPr>
          <w:p w:rsidR="00CA14AB" w:rsidRPr="00E00B35" w:rsidRDefault="00CA14AB" w:rsidP="00E00B35">
            <w:pPr>
              <w:spacing w:after="0" w:line="312" w:lineRule="auto"/>
              <w:rPr>
                <w:szCs w:val="20"/>
              </w:rPr>
            </w:pPr>
            <w:r w:rsidRPr="00E00B35">
              <w:rPr>
                <w:szCs w:val="20"/>
              </w:rPr>
              <w:t>34</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Wroclaw.pl</w:t>
            </w:r>
          </w:p>
        </w:tc>
        <w:tc>
          <w:tcPr>
            <w:tcW w:w="4531" w:type="dxa"/>
          </w:tcPr>
          <w:p w:rsidR="00CA14AB" w:rsidRPr="00E00B35" w:rsidRDefault="00CA14AB" w:rsidP="00E00B35">
            <w:pPr>
              <w:spacing w:after="0" w:line="312" w:lineRule="auto"/>
              <w:rPr>
                <w:szCs w:val="20"/>
              </w:rPr>
            </w:pPr>
            <w:r w:rsidRPr="00E00B35">
              <w:rPr>
                <w:szCs w:val="20"/>
              </w:rPr>
              <w:t>20</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Natemat.pl</w:t>
            </w:r>
          </w:p>
        </w:tc>
        <w:tc>
          <w:tcPr>
            <w:tcW w:w="4531" w:type="dxa"/>
          </w:tcPr>
          <w:p w:rsidR="00CA14AB" w:rsidRPr="00E00B35" w:rsidRDefault="00CA14AB" w:rsidP="00E00B35">
            <w:pPr>
              <w:spacing w:after="0" w:line="312" w:lineRule="auto"/>
              <w:rPr>
                <w:szCs w:val="20"/>
              </w:rPr>
            </w:pPr>
            <w:r w:rsidRPr="00E00B35">
              <w:rPr>
                <w:szCs w:val="20"/>
              </w:rPr>
              <w:t>9</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Polskie Radio Wrocław</w:t>
            </w:r>
          </w:p>
        </w:tc>
        <w:tc>
          <w:tcPr>
            <w:tcW w:w="4531" w:type="dxa"/>
          </w:tcPr>
          <w:p w:rsidR="00CA14AB" w:rsidRPr="00E00B35" w:rsidRDefault="00CA14AB" w:rsidP="00E00B35">
            <w:pPr>
              <w:spacing w:after="0" w:line="312" w:lineRule="auto"/>
              <w:rPr>
                <w:szCs w:val="20"/>
              </w:rPr>
            </w:pPr>
            <w:r w:rsidRPr="00E00B35">
              <w:rPr>
                <w:szCs w:val="20"/>
              </w:rPr>
              <w:t>8</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Gazeta Wyborcza - Wrocław</w:t>
            </w:r>
          </w:p>
        </w:tc>
        <w:tc>
          <w:tcPr>
            <w:tcW w:w="4531" w:type="dxa"/>
          </w:tcPr>
          <w:p w:rsidR="00CA14AB" w:rsidRPr="00E00B35" w:rsidRDefault="00CA14AB" w:rsidP="00E00B35">
            <w:pPr>
              <w:spacing w:after="0" w:line="312" w:lineRule="auto"/>
              <w:rPr>
                <w:szCs w:val="20"/>
              </w:rPr>
            </w:pPr>
            <w:r w:rsidRPr="00E00B35">
              <w:rPr>
                <w:szCs w:val="20"/>
              </w:rPr>
              <w:t>7</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Radio RAM</w:t>
            </w:r>
          </w:p>
        </w:tc>
        <w:tc>
          <w:tcPr>
            <w:tcW w:w="4531" w:type="dxa"/>
          </w:tcPr>
          <w:p w:rsidR="00CA14AB" w:rsidRPr="00E00B35" w:rsidRDefault="00CA14AB" w:rsidP="00E00B35">
            <w:pPr>
              <w:spacing w:after="0" w:line="312" w:lineRule="auto"/>
              <w:rPr>
                <w:szCs w:val="20"/>
              </w:rPr>
            </w:pPr>
            <w:r w:rsidRPr="00E00B35">
              <w:rPr>
                <w:szCs w:val="20"/>
              </w:rPr>
              <w:t>7</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Galoop.pl</w:t>
            </w:r>
          </w:p>
        </w:tc>
        <w:tc>
          <w:tcPr>
            <w:tcW w:w="4531" w:type="dxa"/>
          </w:tcPr>
          <w:p w:rsidR="00CA14AB" w:rsidRPr="00E00B35" w:rsidRDefault="00CA14AB" w:rsidP="00E00B35">
            <w:pPr>
              <w:spacing w:after="0" w:line="312" w:lineRule="auto"/>
              <w:rPr>
                <w:szCs w:val="20"/>
              </w:rPr>
            </w:pPr>
            <w:r w:rsidRPr="00E00B35">
              <w:rPr>
                <w:szCs w:val="20"/>
              </w:rPr>
              <w:t>6</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Prw.pl</w:t>
            </w:r>
          </w:p>
        </w:tc>
        <w:tc>
          <w:tcPr>
            <w:tcW w:w="4531" w:type="dxa"/>
          </w:tcPr>
          <w:p w:rsidR="00CA14AB" w:rsidRPr="00E00B35" w:rsidRDefault="00CA14AB" w:rsidP="00E00B35">
            <w:pPr>
              <w:spacing w:after="0" w:line="312" w:lineRule="auto"/>
              <w:rPr>
                <w:szCs w:val="20"/>
              </w:rPr>
            </w:pPr>
            <w:r w:rsidRPr="00E00B35">
              <w:rPr>
                <w:szCs w:val="20"/>
              </w:rPr>
              <w:t>6</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Radioram.pl</w:t>
            </w:r>
          </w:p>
        </w:tc>
        <w:tc>
          <w:tcPr>
            <w:tcW w:w="4531" w:type="dxa"/>
          </w:tcPr>
          <w:p w:rsidR="00CA14AB" w:rsidRPr="00E00B35" w:rsidRDefault="00CA14AB" w:rsidP="00E00B35">
            <w:pPr>
              <w:spacing w:after="0" w:line="312" w:lineRule="auto"/>
              <w:rPr>
                <w:szCs w:val="20"/>
              </w:rPr>
            </w:pPr>
            <w:r w:rsidRPr="00E00B35">
              <w:rPr>
                <w:szCs w:val="20"/>
              </w:rPr>
              <w:t>6</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Radiowroclaw.pl</w:t>
            </w:r>
          </w:p>
        </w:tc>
        <w:tc>
          <w:tcPr>
            <w:tcW w:w="4531" w:type="dxa"/>
          </w:tcPr>
          <w:p w:rsidR="00CA14AB" w:rsidRPr="00E00B35" w:rsidRDefault="00CA14AB" w:rsidP="00E00B35">
            <w:pPr>
              <w:spacing w:after="0" w:line="312" w:lineRule="auto"/>
              <w:rPr>
                <w:szCs w:val="20"/>
              </w:rPr>
            </w:pPr>
            <w:r w:rsidRPr="00E00B35">
              <w:rPr>
                <w:szCs w:val="20"/>
              </w:rPr>
              <w:t>6</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Statystyki dla hasła „Fazza Al. Khalediah”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lastRenderedPageBreak/>
        <w:t>Liczba informacji – 52</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Zasięg informacji – 12,4 mln</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Dotarcie informacji – 340 651</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AVE szacunkowe – 388 492 zł</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AVE zweryfikowane – 3 907 zł</w:t>
      </w: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Wydźwięk</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Negatywny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Neutralny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Pozytywny</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Niezdefiniowany</w:t>
            </w:r>
          </w:p>
        </w:tc>
        <w:tc>
          <w:tcPr>
            <w:tcW w:w="2410" w:type="dxa"/>
          </w:tcPr>
          <w:p w:rsidR="00CA14AB" w:rsidRPr="00E00B35" w:rsidRDefault="00CA14AB" w:rsidP="00E00B35">
            <w:pPr>
              <w:spacing w:after="0" w:line="312" w:lineRule="auto"/>
              <w:rPr>
                <w:szCs w:val="20"/>
              </w:rPr>
            </w:pPr>
            <w:r w:rsidRPr="00E00B35">
              <w:rPr>
                <w:szCs w:val="20"/>
              </w:rPr>
              <w:t>100%</w:t>
            </w:r>
          </w:p>
        </w:tc>
      </w:tr>
    </w:tbl>
    <w:p w:rsidR="00CA14AB" w:rsidRPr="00E00B35" w:rsidRDefault="00CA14AB" w:rsidP="00E00B35">
      <w:pPr>
        <w:spacing w:after="0" w:line="312" w:lineRule="auto"/>
        <w:rPr>
          <w:szCs w:val="20"/>
        </w:rPr>
      </w:pP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Rozmiar</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Artykuł</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Notka</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Wzmianka</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Niezdefiniowany</w:t>
            </w:r>
          </w:p>
        </w:tc>
        <w:tc>
          <w:tcPr>
            <w:tcW w:w="2410" w:type="dxa"/>
          </w:tcPr>
          <w:p w:rsidR="00CA14AB" w:rsidRPr="00E00B35" w:rsidRDefault="00CA14AB" w:rsidP="00E00B35">
            <w:pPr>
              <w:spacing w:after="0" w:line="312" w:lineRule="auto"/>
              <w:rPr>
                <w:szCs w:val="20"/>
              </w:rPr>
            </w:pPr>
            <w:r w:rsidRPr="00E00B35">
              <w:rPr>
                <w:szCs w:val="20"/>
              </w:rPr>
              <w:t>100%</w:t>
            </w:r>
          </w:p>
        </w:tc>
      </w:tr>
    </w:tbl>
    <w:p w:rsidR="00CA14AB" w:rsidRPr="00E00B35" w:rsidRDefault="00CA14AB" w:rsidP="00E00B35">
      <w:pPr>
        <w:spacing w:after="0" w:line="312" w:lineRule="auto"/>
        <w:rPr>
          <w:szCs w:val="20"/>
        </w:rPr>
      </w:pP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410"/>
      </w:tblGrid>
      <w:tr w:rsidR="00CA14AB" w:rsidRPr="00E00B35" w:rsidTr="00CA14AB">
        <w:trPr>
          <w:trHeight w:val="315"/>
        </w:trPr>
        <w:tc>
          <w:tcPr>
            <w:tcW w:w="1980" w:type="dxa"/>
          </w:tcPr>
          <w:p w:rsidR="00CA14AB" w:rsidRPr="00E00B35" w:rsidRDefault="00CA14AB" w:rsidP="00E00B35">
            <w:pPr>
              <w:spacing w:after="0" w:line="312" w:lineRule="auto"/>
              <w:rPr>
                <w:szCs w:val="20"/>
              </w:rPr>
            </w:pPr>
            <w:r w:rsidRPr="00E00B35">
              <w:rPr>
                <w:szCs w:val="20"/>
              </w:rPr>
              <w:t>Medium</w:t>
            </w:r>
          </w:p>
        </w:tc>
        <w:tc>
          <w:tcPr>
            <w:tcW w:w="2410" w:type="dxa"/>
          </w:tcPr>
          <w:p w:rsidR="00CA14AB" w:rsidRPr="00E00B35" w:rsidRDefault="00CA14AB" w:rsidP="00E00B35">
            <w:pPr>
              <w:spacing w:after="0" w:line="312" w:lineRule="auto"/>
              <w:rPr>
                <w:szCs w:val="20"/>
              </w:rPr>
            </w:pPr>
            <w:r w:rsidRPr="00E00B35">
              <w:rPr>
                <w:szCs w:val="20"/>
              </w:rPr>
              <w:t>udział procentowy</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Prasa</w:t>
            </w:r>
          </w:p>
        </w:tc>
        <w:tc>
          <w:tcPr>
            <w:tcW w:w="2410" w:type="dxa"/>
          </w:tcPr>
          <w:p w:rsidR="00CA14AB" w:rsidRPr="00E00B35" w:rsidRDefault="00CA14AB" w:rsidP="00E00B35">
            <w:pPr>
              <w:spacing w:after="0" w:line="312" w:lineRule="auto"/>
              <w:rPr>
                <w:szCs w:val="20"/>
              </w:rPr>
            </w:pPr>
            <w:r w:rsidRPr="00E00B35">
              <w:rPr>
                <w:szCs w:val="20"/>
              </w:rPr>
              <w:t>28,85%</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Radio</w:t>
            </w:r>
          </w:p>
        </w:tc>
        <w:tc>
          <w:tcPr>
            <w:tcW w:w="2410" w:type="dxa"/>
          </w:tcPr>
          <w:p w:rsidR="00CA14AB" w:rsidRPr="00E00B35" w:rsidRDefault="00CA14AB" w:rsidP="00E00B35">
            <w:pPr>
              <w:spacing w:after="0" w:line="312" w:lineRule="auto"/>
              <w:rPr>
                <w:szCs w:val="20"/>
              </w:rPr>
            </w:pPr>
            <w:r w:rsidRPr="00E00B35">
              <w:rPr>
                <w:szCs w:val="20"/>
              </w:rPr>
              <w:t>0%</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Telewizja</w:t>
            </w:r>
          </w:p>
        </w:tc>
        <w:tc>
          <w:tcPr>
            <w:tcW w:w="2410" w:type="dxa"/>
          </w:tcPr>
          <w:p w:rsidR="00CA14AB" w:rsidRPr="00E00B35" w:rsidRDefault="00CA14AB" w:rsidP="00E00B35">
            <w:pPr>
              <w:spacing w:after="0" w:line="312" w:lineRule="auto"/>
              <w:rPr>
                <w:szCs w:val="20"/>
              </w:rPr>
            </w:pPr>
            <w:r w:rsidRPr="00E00B35">
              <w:rPr>
                <w:szCs w:val="20"/>
              </w:rPr>
              <w:t>1,92%</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WWW</w:t>
            </w:r>
          </w:p>
        </w:tc>
        <w:tc>
          <w:tcPr>
            <w:tcW w:w="2410" w:type="dxa"/>
          </w:tcPr>
          <w:p w:rsidR="00CA14AB" w:rsidRPr="00E00B35" w:rsidRDefault="00CA14AB" w:rsidP="00E00B35">
            <w:pPr>
              <w:spacing w:after="0" w:line="312" w:lineRule="auto"/>
              <w:rPr>
                <w:szCs w:val="20"/>
              </w:rPr>
            </w:pPr>
            <w:r w:rsidRPr="00E00B35">
              <w:rPr>
                <w:szCs w:val="20"/>
              </w:rPr>
              <w:t>69,23%</w:t>
            </w:r>
          </w:p>
        </w:tc>
      </w:tr>
      <w:tr w:rsidR="00CA14AB" w:rsidRPr="00E00B35" w:rsidTr="00CA14AB">
        <w:trPr>
          <w:trHeight w:val="300"/>
        </w:trPr>
        <w:tc>
          <w:tcPr>
            <w:tcW w:w="1980" w:type="dxa"/>
          </w:tcPr>
          <w:p w:rsidR="00CA14AB" w:rsidRPr="00E00B35" w:rsidRDefault="00CA14AB" w:rsidP="00E00B35">
            <w:pPr>
              <w:spacing w:after="0" w:line="312" w:lineRule="auto"/>
              <w:rPr>
                <w:szCs w:val="20"/>
              </w:rPr>
            </w:pPr>
            <w:r w:rsidRPr="00E00B35">
              <w:rPr>
                <w:szCs w:val="20"/>
              </w:rPr>
              <w:t>Social media</w:t>
            </w:r>
          </w:p>
        </w:tc>
        <w:tc>
          <w:tcPr>
            <w:tcW w:w="2410" w:type="dxa"/>
          </w:tcPr>
          <w:p w:rsidR="00CA14AB" w:rsidRPr="00E00B35" w:rsidRDefault="00CA14AB" w:rsidP="00E00B35">
            <w:pPr>
              <w:spacing w:after="0" w:line="312" w:lineRule="auto"/>
              <w:rPr>
                <w:szCs w:val="20"/>
              </w:rPr>
            </w:pPr>
            <w:r w:rsidRPr="00E00B35">
              <w:rPr>
                <w:szCs w:val="20"/>
              </w:rPr>
              <w:t>0%</w:t>
            </w:r>
          </w:p>
        </w:tc>
      </w:tr>
    </w:tbl>
    <w:p w:rsidR="00CA14AB" w:rsidRPr="00E00B35" w:rsidRDefault="00CA14AB"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Źródła z największą liczbą informacji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1"/>
        <w:gridCol w:w="4531"/>
      </w:tblGrid>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Źródło</w:t>
            </w:r>
          </w:p>
        </w:tc>
        <w:tc>
          <w:tcPr>
            <w:tcW w:w="4531" w:type="dxa"/>
          </w:tcPr>
          <w:p w:rsidR="00CA14AB" w:rsidRPr="00E00B35" w:rsidRDefault="00CA14AB" w:rsidP="00E00B35">
            <w:pPr>
              <w:spacing w:after="0" w:line="312" w:lineRule="auto"/>
              <w:rPr>
                <w:szCs w:val="20"/>
              </w:rPr>
            </w:pPr>
            <w:r w:rsidRPr="00E00B35">
              <w:rPr>
                <w:szCs w:val="20"/>
              </w:rPr>
              <w:t>Liczba informacji</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Galop.pl</w:t>
            </w:r>
          </w:p>
        </w:tc>
        <w:tc>
          <w:tcPr>
            <w:tcW w:w="4531" w:type="dxa"/>
          </w:tcPr>
          <w:p w:rsidR="00CA14AB" w:rsidRPr="00E00B35" w:rsidRDefault="00CA14AB" w:rsidP="00E00B35">
            <w:pPr>
              <w:spacing w:after="0" w:line="312" w:lineRule="auto"/>
              <w:rPr>
                <w:szCs w:val="20"/>
              </w:rPr>
            </w:pPr>
            <w:r w:rsidRPr="00E00B35">
              <w:rPr>
                <w:szCs w:val="20"/>
              </w:rPr>
              <w:t>8</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Swiatkoni.pl</w:t>
            </w:r>
          </w:p>
        </w:tc>
        <w:tc>
          <w:tcPr>
            <w:tcW w:w="4531" w:type="dxa"/>
          </w:tcPr>
          <w:p w:rsidR="00CA14AB" w:rsidRPr="00E00B35" w:rsidRDefault="00CA14AB" w:rsidP="00E00B35">
            <w:pPr>
              <w:spacing w:after="0" w:line="312" w:lineRule="auto"/>
              <w:rPr>
                <w:szCs w:val="20"/>
              </w:rPr>
            </w:pPr>
            <w:r w:rsidRPr="00E00B35">
              <w:rPr>
                <w:szCs w:val="20"/>
              </w:rPr>
              <w:t>8</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Konie i Rumaki</w:t>
            </w:r>
          </w:p>
        </w:tc>
        <w:tc>
          <w:tcPr>
            <w:tcW w:w="4531" w:type="dxa"/>
          </w:tcPr>
          <w:p w:rsidR="00CA14AB" w:rsidRPr="00E00B35" w:rsidRDefault="00CA14AB" w:rsidP="00E00B35">
            <w:pPr>
              <w:spacing w:after="0" w:line="312" w:lineRule="auto"/>
              <w:rPr>
                <w:szCs w:val="20"/>
              </w:rPr>
            </w:pPr>
            <w:r w:rsidRPr="00E00B35">
              <w:rPr>
                <w:szCs w:val="20"/>
              </w:rPr>
              <w:t>3</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Polskieradio.pl</w:t>
            </w:r>
          </w:p>
        </w:tc>
        <w:tc>
          <w:tcPr>
            <w:tcW w:w="4531" w:type="dxa"/>
          </w:tcPr>
          <w:p w:rsidR="00CA14AB" w:rsidRPr="00E00B35" w:rsidRDefault="00CA14AB" w:rsidP="00E00B35">
            <w:pPr>
              <w:spacing w:after="0" w:line="312" w:lineRule="auto"/>
              <w:rPr>
                <w:szCs w:val="20"/>
              </w:rPr>
            </w:pPr>
            <w:r w:rsidRPr="00E00B35">
              <w:rPr>
                <w:szCs w:val="20"/>
              </w:rPr>
              <w:t>3</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24wroclaw.pl</w:t>
            </w:r>
          </w:p>
        </w:tc>
        <w:tc>
          <w:tcPr>
            <w:tcW w:w="4531" w:type="dxa"/>
          </w:tcPr>
          <w:p w:rsidR="00CA14AB" w:rsidRPr="00E00B35" w:rsidRDefault="00CA14AB" w:rsidP="00E00B35">
            <w:pPr>
              <w:spacing w:after="0" w:line="312" w:lineRule="auto"/>
              <w:rPr>
                <w:szCs w:val="20"/>
              </w:rPr>
            </w:pPr>
            <w:r w:rsidRPr="00E00B35">
              <w:rPr>
                <w:szCs w:val="20"/>
              </w:rPr>
              <w:t>2</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Wroclaw.pl</w:t>
            </w:r>
          </w:p>
        </w:tc>
        <w:tc>
          <w:tcPr>
            <w:tcW w:w="4531" w:type="dxa"/>
          </w:tcPr>
          <w:p w:rsidR="00CA14AB" w:rsidRPr="00E00B35" w:rsidRDefault="00CA14AB" w:rsidP="00E00B35">
            <w:pPr>
              <w:spacing w:after="0" w:line="312" w:lineRule="auto"/>
              <w:rPr>
                <w:szCs w:val="20"/>
              </w:rPr>
            </w:pPr>
            <w:r w:rsidRPr="00E00B35">
              <w:rPr>
                <w:szCs w:val="20"/>
              </w:rPr>
              <w:t>2</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Wyborcza.pl</w:t>
            </w:r>
          </w:p>
        </w:tc>
        <w:tc>
          <w:tcPr>
            <w:tcW w:w="4531" w:type="dxa"/>
          </w:tcPr>
          <w:p w:rsidR="00CA14AB" w:rsidRPr="00E00B35" w:rsidRDefault="00CA14AB" w:rsidP="00E00B35">
            <w:pPr>
              <w:spacing w:after="0" w:line="312" w:lineRule="auto"/>
              <w:rPr>
                <w:szCs w:val="20"/>
              </w:rPr>
            </w:pPr>
            <w:r w:rsidRPr="00E00B35">
              <w:rPr>
                <w:szCs w:val="20"/>
              </w:rPr>
              <w:t>2</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Gazeta Polska Codziennie</w:t>
            </w:r>
          </w:p>
        </w:tc>
        <w:tc>
          <w:tcPr>
            <w:tcW w:w="4531" w:type="dxa"/>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Gazeta Polska - Warszawa</w:t>
            </w:r>
          </w:p>
        </w:tc>
        <w:tc>
          <w:tcPr>
            <w:tcW w:w="4531" w:type="dxa"/>
          </w:tcPr>
          <w:p w:rsidR="00CA14AB" w:rsidRPr="00E00B35" w:rsidRDefault="00CA14AB" w:rsidP="00E00B35">
            <w:pPr>
              <w:spacing w:after="0" w:line="312" w:lineRule="auto"/>
              <w:rPr>
                <w:szCs w:val="20"/>
              </w:rPr>
            </w:pPr>
            <w:r w:rsidRPr="00E00B35">
              <w:rPr>
                <w:szCs w:val="20"/>
              </w:rPr>
              <w:t>1</w:t>
            </w:r>
          </w:p>
        </w:tc>
      </w:tr>
      <w:tr w:rsidR="00CA14AB" w:rsidRPr="00E00B35" w:rsidTr="00CA14AB">
        <w:tc>
          <w:tcPr>
            <w:tcW w:w="4531" w:type="dxa"/>
          </w:tcPr>
          <w:p w:rsidR="00CA14AB" w:rsidRPr="00E00B35" w:rsidRDefault="00CA14AB" w:rsidP="00E00B35">
            <w:pPr>
              <w:spacing w:after="0" w:line="312" w:lineRule="auto"/>
              <w:rPr>
                <w:szCs w:val="20"/>
              </w:rPr>
            </w:pPr>
            <w:r w:rsidRPr="00E00B35">
              <w:rPr>
                <w:szCs w:val="20"/>
              </w:rPr>
              <w:t>Gazeta Wyborcza - Katowice</w:t>
            </w:r>
          </w:p>
        </w:tc>
        <w:tc>
          <w:tcPr>
            <w:tcW w:w="4531" w:type="dxa"/>
          </w:tcPr>
          <w:p w:rsidR="00CA14AB" w:rsidRPr="00E00B35" w:rsidRDefault="00CA14AB" w:rsidP="00E00B35">
            <w:pPr>
              <w:spacing w:after="0" w:line="312" w:lineRule="auto"/>
              <w:rPr>
                <w:szCs w:val="20"/>
              </w:rPr>
            </w:pPr>
            <w:r w:rsidRPr="00E00B35">
              <w:rPr>
                <w:szCs w:val="20"/>
              </w:rPr>
              <w:t>1</w:t>
            </w:r>
          </w:p>
        </w:tc>
      </w:tr>
    </w:tbl>
    <w:p w:rsidR="00CA14AB" w:rsidRPr="00E00B35" w:rsidRDefault="00CA14AB" w:rsidP="00E00B35">
      <w:pPr>
        <w:spacing w:after="0" w:line="312" w:lineRule="auto"/>
        <w:rPr>
          <w:szCs w:val="20"/>
        </w:rPr>
      </w:pPr>
    </w:p>
    <w:p w:rsidR="00CA14AB" w:rsidRPr="00E00B35" w:rsidRDefault="00CA14AB" w:rsidP="00E00B35">
      <w:pPr>
        <w:pStyle w:val="Nagwek5"/>
        <w:rPr>
          <w:szCs w:val="20"/>
        </w:rPr>
      </w:pPr>
      <w:bookmarkStart w:id="640" w:name="_Toc72352525"/>
      <w:bookmarkStart w:id="641" w:name="_Toc72352959"/>
      <w:r w:rsidRPr="00E00B35">
        <w:rPr>
          <w:szCs w:val="20"/>
        </w:rPr>
        <w:t>WSPÓŁPRACA ZAGRANICZNA</w:t>
      </w:r>
      <w:bookmarkEnd w:id="640"/>
      <w:bookmarkEnd w:id="641"/>
    </w:p>
    <w:p w:rsidR="00CA14AB" w:rsidRPr="00E00B35" w:rsidRDefault="00CA14AB" w:rsidP="00E00B35">
      <w:pPr>
        <w:spacing w:after="0" w:line="312" w:lineRule="auto"/>
        <w:rPr>
          <w:szCs w:val="20"/>
        </w:rPr>
      </w:pPr>
      <w:r w:rsidRPr="00E00B35">
        <w:rPr>
          <w:szCs w:val="20"/>
        </w:rPr>
        <w:t>Dyrektor Wrocławskiego Toru Wyścigów Konnych – Partynice, Jerzy Sawka został wybrany prezydentem Stowarzyszenia Euro Equus zrzeszającego 5 europejskich promujących sporty jeździeckie.</w:t>
      </w:r>
    </w:p>
    <w:p w:rsidR="00CA14AB" w:rsidRPr="00E00B35" w:rsidRDefault="00CA14AB" w:rsidP="00E00B35">
      <w:pPr>
        <w:spacing w:after="0" w:line="312" w:lineRule="auto"/>
        <w:rPr>
          <w:szCs w:val="20"/>
        </w:rPr>
      </w:pPr>
      <w:r w:rsidRPr="00E00B35">
        <w:rPr>
          <w:szCs w:val="20"/>
        </w:rPr>
        <w:lastRenderedPageBreak/>
        <w:t>Wysłaliśmy pakiet materiałów promujących Wrocławski Tor Wyścigów Konnych – Partynice do Pragi (Dzień Polski w Pradze) oraz do Pardubic, które w 2020 roku były Europejską Stolicą Konia.</w:t>
      </w:r>
    </w:p>
    <w:p w:rsidR="00890136" w:rsidRPr="00E00B35" w:rsidRDefault="00890136" w:rsidP="00E00B35">
      <w:pPr>
        <w:pStyle w:val="Nagwek5"/>
        <w:rPr>
          <w:szCs w:val="20"/>
        </w:rPr>
      </w:pPr>
      <w:bookmarkStart w:id="642" w:name="_Toc72352526"/>
      <w:bookmarkStart w:id="643" w:name="_Toc72352960"/>
    </w:p>
    <w:p w:rsidR="00CA14AB" w:rsidRPr="00E00B35" w:rsidRDefault="00CA14AB" w:rsidP="00E00B35">
      <w:pPr>
        <w:pStyle w:val="Nagwek5"/>
        <w:rPr>
          <w:szCs w:val="20"/>
        </w:rPr>
      </w:pPr>
      <w:r w:rsidRPr="00E00B35">
        <w:rPr>
          <w:szCs w:val="20"/>
        </w:rPr>
        <w:t>FINANSE</w:t>
      </w:r>
      <w:bookmarkEnd w:id="642"/>
      <w:bookmarkEnd w:id="643"/>
    </w:p>
    <w:p w:rsidR="00CA14AB" w:rsidRPr="00E00B35" w:rsidRDefault="00CA14AB" w:rsidP="00E00B35">
      <w:pPr>
        <w:spacing w:after="0" w:line="312" w:lineRule="auto"/>
        <w:rPr>
          <w:szCs w:val="20"/>
        </w:rPr>
      </w:pPr>
      <w:r w:rsidRPr="00E00B35">
        <w:rPr>
          <w:szCs w:val="20"/>
        </w:rPr>
        <w:t>Dochody</w:t>
      </w:r>
    </w:p>
    <w:p w:rsidR="00CA14AB" w:rsidRPr="00E00B35" w:rsidRDefault="00CA14AB" w:rsidP="00E00B35">
      <w:pPr>
        <w:spacing w:after="0" w:line="312" w:lineRule="auto"/>
        <w:rPr>
          <w:szCs w:val="20"/>
        </w:rPr>
      </w:pPr>
      <w:r w:rsidRPr="00E00B35">
        <w:rPr>
          <w:szCs w:val="20"/>
        </w:rPr>
        <w:t>Głównymi źródłami dochodów Wrocławskiego Toru Wyścigów Konnych – Partynice są wpływy: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zadanie A.3.3.13 – ze świadczonych usług najmu i dzierżawy terenów oraz pomieszczeń,</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zadanie A.4.5 – ze świadczonych usług m.in. związanych z chowem i hodowlą zwierząt, wpływy z tytułu opłaty za jazdy rekreacyjne, półkolonie,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zadanie A.5.6.10 – z tytułu zapisu koni wyścigowych do gonitw,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zadanie A.5.4.8 – z tytułu odsetek od nieterminowych wpłat,</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zadanie A.5.6.17 – z tytułu sprzedaży obornika końskiego, złomu itp.,</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zadanie A.5.6.37 – z tytułu wypłaconego odszkodowania.</w:t>
      </w:r>
    </w:p>
    <w:p w:rsidR="00B1753A" w:rsidRDefault="00B1753A" w:rsidP="00E00B35">
      <w:pPr>
        <w:spacing w:after="0" w:line="312" w:lineRule="auto"/>
        <w:rPr>
          <w:szCs w:val="20"/>
        </w:rPr>
      </w:pPr>
    </w:p>
    <w:p w:rsidR="00CA14AB" w:rsidRPr="00E00B35" w:rsidRDefault="00CA14AB" w:rsidP="00E00B35">
      <w:pPr>
        <w:spacing w:after="0" w:line="312" w:lineRule="auto"/>
        <w:rPr>
          <w:szCs w:val="20"/>
        </w:rPr>
      </w:pPr>
      <w:r w:rsidRPr="00E00B35">
        <w:rPr>
          <w:szCs w:val="20"/>
        </w:rPr>
        <w:t>Dział 926 rozdział 92604</w:t>
      </w:r>
    </w:p>
    <w:p w:rsidR="00CA14AB" w:rsidRPr="00E00B35" w:rsidRDefault="00CA14AB" w:rsidP="00E00B35">
      <w:pPr>
        <w:spacing w:after="0" w:line="312" w:lineRule="auto"/>
        <w:rPr>
          <w:szCs w:val="20"/>
        </w:rPr>
      </w:pPr>
      <w:r w:rsidRPr="00E00B35">
        <w:rPr>
          <w:szCs w:val="20"/>
        </w:rPr>
        <w:t xml:space="preserve">Dochody Wrocławskiego Toru Wyścigów Konnych – Partynice w 2020 zostały wykonane </w:t>
      </w:r>
      <w:r w:rsidRPr="00E00B35">
        <w:rPr>
          <w:szCs w:val="20"/>
        </w:rPr>
        <w:br/>
        <w:t>w kwocie 2.427.496,52 zł, w tym dochody planowane w wysokości 2.363.284,51 zł z tytułu świadczonych usług m.in. jazd rekreacyjnych, najmów i opłat za zapisy koni do gonitw, co stanowi 80,14% planu finansowego oraz dochody nie ujęte w planie dochodów w kwocie 64.212,01 zł z tytułu zapłaty odsetek, odsprzedaży obornika końskiego oraz pozostałe.</w:t>
      </w:r>
    </w:p>
    <w:p w:rsidR="00CA14AB" w:rsidRPr="00E00B35" w:rsidRDefault="00CA14AB" w:rsidP="00E00B35">
      <w:pPr>
        <w:spacing w:after="0" w:line="312" w:lineRule="auto"/>
        <w:rPr>
          <w:szCs w:val="20"/>
        </w:rPr>
      </w:pPr>
      <w:bookmarkStart w:id="644" w:name="_Toc72352527"/>
      <w:bookmarkStart w:id="645" w:name="_Toc72352961"/>
      <w:r w:rsidRPr="00E00B35">
        <w:rPr>
          <w:szCs w:val="20"/>
        </w:rPr>
        <w:t>Środki w zadaniu:</w:t>
      </w:r>
      <w:bookmarkEnd w:id="644"/>
      <w:bookmarkEnd w:id="645"/>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A.3.3.13 zostały wykonane w 83,65% - wykonanie poniżej planu spowodowane jest anulowaniem wynajmu terenu pod zaplanowane wcześniej duże eventy (spowodowane pandemią COVID-19).W latach ubiegłych dochody z tego tytułu realizowane były na wysokim poziomie, co pozwalało na podobne zaplanowanie dochodów na bieżący rok,</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A.4.5 zostały wykonane w 71,64% - wykonanie poniżej planu w związku z wprowadzeniem ustawy „COVID-owej” uniemożliwiającej przeprowadzenie zajęć z jazdy konnej na ponad trzy miesiące. Również z powodu wprowadzonych w ww. ustawie obostrzeń, WTWK – Partynice zadecydował o niezorganizowaniu planowanych półkolonii letnich dla dzieci,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A.5.6.10 zostały wykonane w 111,12% - wykonanie powyżej planu wynika z faktu, iż sezon wyścigowy na Partynicach pomimo pandemii COVID-19 został rozegrany w całości i gonitwy cieszyły się dużą frekwencją w śród uczestników – dochody z zapisu do gonitw,</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A.5.6.37 – zostały wykonane w 100,13% - wykonanie wynika z uzyskania odszkodowania od ubezpieczyciela zewnętrznego za powstałą szkodę.</w:t>
      </w:r>
    </w:p>
    <w:p w:rsidR="00CA14AB" w:rsidRPr="00E00B35" w:rsidRDefault="00CA14AB" w:rsidP="00E00B35">
      <w:pPr>
        <w:spacing w:after="0" w:line="312" w:lineRule="auto"/>
        <w:rPr>
          <w:szCs w:val="20"/>
        </w:rPr>
      </w:pPr>
      <w:r w:rsidRPr="00E00B35">
        <w:rPr>
          <w:szCs w:val="20"/>
        </w:rPr>
        <w:t xml:space="preserve">Jednocześnie WTWK – Partynice informuje, iż dochody zaplanowane zostały wykonane w 80,14% tj. W kwocie 2.363.284,51 zł co nieznacznie odbiega od przyjętych wartości </w:t>
      </w:r>
      <w:r w:rsidRPr="00E00B35">
        <w:rPr>
          <w:szCs w:val="20"/>
        </w:rPr>
        <w:lastRenderedPageBreak/>
        <w:t>zapisanych w Planie Finansowym jednostki, a spowodowane jest wprowadzeniem stanu epidemiologicznego w związku z COVID-19. Natomiast dochody ogółem zostały wykonane w 82,32% tj. W kwocie 2.427.496,52 zł.</w:t>
      </w:r>
    </w:p>
    <w:p w:rsidR="00CA14AB" w:rsidRPr="00E00B35" w:rsidRDefault="00CA14AB" w:rsidP="00E00B35">
      <w:pPr>
        <w:spacing w:after="0" w:line="312" w:lineRule="auto"/>
        <w:rPr>
          <w:szCs w:val="20"/>
        </w:rPr>
      </w:pPr>
      <w:r w:rsidRPr="00E00B35">
        <w:rPr>
          <w:szCs w:val="20"/>
        </w:rPr>
        <w:t>WTWK – Partynice dołożył wszelkich starań aby w 2020 roku wykonanie dochodów było jak najwyższe.</w:t>
      </w:r>
    </w:p>
    <w:p w:rsidR="00CA14AB" w:rsidRPr="00E00B35" w:rsidRDefault="00CA14AB" w:rsidP="00E00B35">
      <w:pPr>
        <w:spacing w:after="0" w:line="312" w:lineRule="auto"/>
        <w:rPr>
          <w:szCs w:val="20"/>
        </w:rPr>
      </w:pPr>
      <w:bookmarkStart w:id="646" w:name="_Toc72352528"/>
      <w:bookmarkStart w:id="647" w:name="_Toc72352962"/>
      <w:r w:rsidRPr="00E00B35">
        <w:rPr>
          <w:szCs w:val="20"/>
        </w:rPr>
        <w:t>Wydatki</w:t>
      </w:r>
      <w:bookmarkEnd w:id="646"/>
      <w:bookmarkEnd w:id="647"/>
    </w:p>
    <w:p w:rsidR="00CA14AB" w:rsidRPr="00E00B35" w:rsidRDefault="00CA14AB" w:rsidP="00E00B35">
      <w:pPr>
        <w:spacing w:after="0" w:line="312" w:lineRule="auto"/>
        <w:rPr>
          <w:szCs w:val="20"/>
        </w:rPr>
      </w:pPr>
      <w:r w:rsidRPr="00E00B35">
        <w:rPr>
          <w:szCs w:val="20"/>
        </w:rPr>
        <w:t xml:space="preserve">Plan wydatków WTWK wynosił 12.571.310,00 zł i został zrealizowany w 99,98% na kwotę 12.569.187,10 zł, z czego wydatki bieżące w dziale 926 rozdziale 92604 stanowią kwotę 10.974.233,49 zł, tj. 100,00% planu finansowego, wydatki inwestycyjne kwotę 1.233.381,92 zł, tj. 99,87% planu finansowego (realizacja zgodnie harmonogramem a wydatki remontowe kwotę 361.571,69 zł tj. 99,96% planu finansowego. </w:t>
      </w:r>
    </w:p>
    <w:p w:rsidR="00CA14AB" w:rsidRPr="00E00B35" w:rsidRDefault="00CA14AB" w:rsidP="00E00B35">
      <w:pPr>
        <w:spacing w:after="0" w:line="312" w:lineRule="auto"/>
        <w:rPr>
          <w:szCs w:val="20"/>
        </w:rPr>
      </w:pPr>
      <w:r w:rsidRPr="00E00B35">
        <w:rPr>
          <w:szCs w:val="20"/>
        </w:rPr>
        <w:t>Wydatki bieżące w dziale 926 rozdziale 92604 zostały zrealizowane w 99,98% planu finansowego. Wykonanie planu zgodnie ze specyfiką działalności jednostki tj. niektóre grupy wydatków jednostka realizuje w większym stopniu w pierwszej połowie, a inne grupy wydatków w drugiej połowie roku.</w:t>
      </w:r>
    </w:p>
    <w:p w:rsidR="00CA14AB" w:rsidRPr="00E00B35" w:rsidRDefault="00CA14AB" w:rsidP="00E00B35">
      <w:pPr>
        <w:spacing w:after="0" w:line="312" w:lineRule="auto"/>
        <w:rPr>
          <w:szCs w:val="20"/>
        </w:rPr>
      </w:pPr>
      <w:r w:rsidRPr="00E00B35">
        <w:rPr>
          <w:szCs w:val="20"/>
        </w:rPr>
        <w:t>Wydatki inwestycyjne/majątkowe stanowią 99,87% planu finansowego (realizacja zgodnie z harmonogramem).</w:t>
      </w:r>
    </w:p>
    <w:p w:rsidR="00CA14AB" w:rsidRPr="00E00B35" w:rsidRDefault="00CA14AB" w:rsidP="00E00B35">
      <w:pPr>
        <w:spacing w:after="0" w:line="312" w:lineRule="auto"/>
        <w:rPr>
          <w:szCs w:val="20"/>
        </w:rPr>
      </w:pPr>
      <w:r w:rsidRPr="00E00B35">
        <w:rPr>
          <w:szCs w:val="20"/>
        </w:rPr>
        <w:t>Wydatki remontowe stanowią 99,96% planu finansowego (realizacja zgodnie z założeniami).</w:t>
      </w:r>
    </w:p>
    <w:p w:rsidR="00CA14AB" w:rsidRPr="00E00B35" w:rsidRDefault="00CA14AB" w:rsidP="00E00B35">
      <w:pPr>
        <w:spacing w:after="0" w:line="312" w:lineRule="auto"/>
        <w:rPr>
          <w:szCs w:val="20"/>
        </w:rPr>
      </w:pPr>
      <w:r w:rsidRPr="00E00B35">
        <w:rPr>
          <w:szCs w:val="20"/>
        </w:rPr>
        <w:t>Środki przeznaczone na wydatki w ramach budżetu Wrocławskiego Toru Wyścigów Konnych - Partynice zostały przeznaczone przede wszystkim na:</w:t>
      </w:r>
    </w:p>
    <w:p w:rsidR="00CA14AB" w:rsidRPr="00E00B35" w:rsidRDefault="00CA14AB" w:rsidP="00E00B35">
      <w:pPr>
        <w:spacing w:after="0" w:line="312" w:lineRule="auto"/>
        <w:rPr>
          <w:szCs w:val="20"/>
        </w:rPr>
      </w:pPr>
      <w:r w:rsidRPr="00E00B35">
        <w:rPr>
          <w:szCs w:val="20"/>
        </w:rPr>
        <w:t xml:space="preserve">w zadaniu WTWK/ZP01 Utrzymanie budynków wraz z obsługą – (kwota 2.292.338,75 zł) utrzymanie w należytym stanie obiektów budowlanych, obowiązkowe coroczne przeglądy techniczne budynków. Ponadto ze środków w niniejszym zadaniu płatne są opłaty za energię elektryczną, gaz, wodę, wody opadowe, zakup paliwa, opał, materiały i wyposażenie, części zamienne do maszyn i urządzeń, telefonię, trwały zarząd oraz opłaty na rzecz budżetu. </w:t>
      </w:r>
    </w:p>
    <w:p w:rsidR="00CA14AB" w:rsidRPr="00E00B35" w:rsidRDefault="00CA14AB" w:rsidP="00E00B35">
      <w:pPr>
        <w:spacing w:after="0" w:line="312" w:lineRule="auto"/>
        <w:rPr>
          <w:szCs w:val="20"/>
        </w:rPr>
      </w:pPr>
      <w:r w:rsidRPr="00E00B35">
        <w:rPr>
          <w:szCs w:val="20"/>
        </w:rPr>
        <w:t>w zadaniu WTWK/ZP02 Utrzymanie stanowisk pracy związanych z prowadzoną działalnością – (kwota 5.148.838,49 zł) wydatki związane przede wszystkim z kosztami wynagrodzeń osobowych i bezosobowych wraz z pochodnymi, PFRON oraz ZFŚS.</w:t>
      </w:r>
    </w:p>
    <w:p w:rsidR="00CA14AB" w:rsidRPr="00E00B35" w:rsidRDefault="00CA14AB" w:rsidP="00E00B35">
      <w:pPr>
        <w:spacing w:after="0" w:line="312" w:lineRule="auto"/>
        <w:rPr>
          <w:szCs w:val="20"/>
        </w:rPr>
      </w:pPr>
      <w:r w:rsidRPr="00E00B35">
        <w:rPr>
          <w:szCs w:val="20"/>
        </w:rPr>
        <w:t>w zadaniu WTWK/B/01 Prowadzenie działalności kulturalno–sportowo–rekreacyjnej – (kwota 844.833,57 zł) wydatki związane z utrzymaniem koni będących własnością WTWK i powierzonych do pensjonatu, organizacją rekreacji tj. m. in. prowadzenie nauki jazdy konnej.</w:t>
      </w:r>
    </w:p>
    <w:p w:rsidR="00CA14AB" w:rsidRPr="00E00B35" w:rsidRDefault="00CA14AB" w:rsidP="00E00B35">
      <w:pPr>
        <w:spacing w:after="0" w:line="312" w:lineRule="auto"/>
        <w:rPr>
          <w:szCs w:val="20"/>
        </w:rPr>
      </w:pPr>
      <w:r w:rsidRPr="00E00B35">
        <w:rPr>
          <w:szCs w:val="20"/>
        </w:rPr>
        <w:t>w zadaniu WTWK/B/02 Działalność Wyścigowa - organizowanie wyścigów konnych – (kwota 2.545.478,92 zł) wydatki dotyczące przede wszystkim organizacji 12 dni wyścigowego.</w:t>
      </w:r>
    </w:p>
    <w:p w:rsidR="00CA14AB" w:rsidRPr="00E00B35" w:rsidRDefault="00CA14AB" w:rsidP="00E00B35">
      <w:pPr>
        <w:spacing w:after="0" w:line="312" w:lineRule="auto"/>
        <w:rPr>
          <w:szCs w:val="20"/>
        </w:rPr>
      </w:pPr>
      <w:r w:rsidRPr="00E00B35">
        <w:rPr>
          <w:szCs w:val="20"/>
        </w:rPr>
        <w:t>w zadaniu WTWK/B/03 Organizacja półkolonii – (kwota 28.670,27 zł) wydatki związane z organizacją półkolonii jeździeckich dla dzieci i młodzieży.</w:t>
      </w:r>
    </w:p>
    <w:p w:rsidR="00CA14AB" w:rsidRPr="00E00B35" w:rsidRDefault="00CA14AB" w:rsidP="00E00B35">
      <w:pPr>
        <w:spacing w:after="0" w:line="312" w:lineRule="auto"/>
        <w:rPr>
          <w:szCs w:val="20"/>
        </w:rPr>
      </w:pPr>
      <w:r w:rsidRPr="00E00B35">
        <w:rPr>
          <w:szCs w:val="20"/>
        </w:rPr>
        <w:t>w zadaniu WTWK/B/04 Organizacja imprez różnych – (kwota 90.274,50 zł) wydatki związane z organizacją imprez rekreacyjnych i pikników firmowych oraz organizacją i promocją wyścigów konnych.</w:t>
      </w:r>
    </w:p>
    <w:p w:rsidR="00CA14AB" w:rsidRPr="00E00B35" w:rsidRDefault="00CA14AB" w:rsidP="00E00B35">
      <w:pPr>
        <w:spacing w:after="0" w:line="312" w:lineRule="auto"/>
        <w:rPr>
          <w:szCs w:val="20"/>
        </w:rPr>
      </w:pPr>
      <w:r w:rsidRPr="00E00B35">
        <w:rPr>
          <w:szCs w:val="20"/>
        </w:rPr>
        <w:lastRenderedPageBreak/>
        <w:t>W zadaniu WBZ/B/05 Realizacja zadań związanych z wystąpieniem stanów kryzysowych – (kwota 23.798,99) wydatki poniesione w związku ze zwalczaniem pandemii COVID-19.</w:t>
      </w:r>
    </w:p>
    <w:p w:rsidR="00CA14AB" w:rsidRPr="00E00B35" w:rsidRDefault="00CA14AB" w:rsidP="00E00B35">
      <w:pPr>
        <w:spacing w:after="0" w:line="312" w:lineRule="auto"/>
        <w:rPr>
          <w:szCs w:val="20"/>
        </w:rPr>
      </w:pPr>
      <w:r w:rsidRPr="00E00B35">
        <w:rPr>
          <w:szCs w:val="20"/>
        </w:rPr>
        <w:t>w zadaniu INW/228 Zakupy inwestycyjne – (kwota 251.926,69 zł) zakupiony został system zliczający odwiedzających teren WTWK Partynice, zestaw do monitoringu, bramy i słupki ogrodzeniowe, równiarka do podłoża, Melex oraz Silosy.</w:t>
      </w:r>
    </w:p>
    <w:p w:rsidR="00CA14AB" w:rsidRPr="00E00B35" w:rsidRDefault="00CA14AB" w:rsidP="00E00B35">
      <w:pPr>
        <w:spacing w:after="0" w:line="312" w:lineRule="auto"/>
        <w:rPr>
          <w:szCs w:val="20"/>
        </w:rPr>
      </w:pPr>
      <w:r w:rsidRPr="00E00B35">
        <w:rPr>
          <w:szCs w:val="20"/>
        </w:rPr>
        <w:t>w zadaniu WPI/300 Rozbudowa infrastruktury rekreacyjnej Wrocławskiego Toru Wyścigów Konnych Partynice przyjęta w Wieloletnim Planie Inwes</w:t>
      </w:r>
      <w:r w:rsidR="003D38EB" w:rsidRPr="00E00B35">
        <w:rPr>
          <w:szCs w:val="20"/>
        </w:rPr>
        <w:t>tycyjnym w kwocie 981.455,23 zł:</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wydatki inwestycyjne na kwotę 840.685,17 zł – stajnie gościnne na 100 koni,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wydatki inwestycyjne na kwotę 87.918,43zł – hale na bale,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wydatki inwestycyjne na kwotę 52.851,63 zł – przejścia irlandzkie.</w:t>
      </w:r>
    </w:p>
    <w:p w:rsidR="00CA14AB" w:rsidRPr="00E00B35" w:rsidRDefault="00CA14AB" w:rsidP="00E00B35">
      <w:pPr>
        <w:spacing w:after="0" w:line="312" w:lineRule="auto"/>
        <w:rPr>
          <w:szCs w:val="20"/>
        </w:rPr>
      </w:pPr>
      <w:r w:rsidRPr="00E00B35">
        <w:rPr>
          <w:szCs w:val="20"/>
        </w:rPr>
        <w:t>W zadaniu tym środki wydatkowane są zgodnie z harmonogramem prac dla przebudowy infrastruktury Wrocławskiego Toru Wyścigów Konnych Partynice.</w:t>
      </w:r>
    </w:p>
    <w:p w:rsidR="00CA14AB" w:rsidRPr="00E00B35" w:rsidRDefault="00CA14AB" w:rsidP="00E00B35">
      <w:pPr>
        <w:spacing w:after="0" w:line="312" w:lineRule="auto"/>
        <w:rPr>
          <w:szCs w:val="20"/>
        </w:rPr>
      </w:pPr>
      <w:r w:rsidRPr="00E00B35">
        <w:rPr>
          <w:szCs w:val="20"/>
        </w:rPr>
        <w:t>Wrocławski Tor Wyścigów Konnych Partynice informuje, iż w jednostce nie wystąpiły wydatki w paragrafach 2910, 4560, 4580 oraz 4680. W 2020 roku dokonano umorzeń należności pieniężnych mających charakter cywilnoprawny.</w:t>
      </w:r>
    </w:p>
    <w:p w:rsidR="00890136" w:rsidRPr="00E00B35" w:rsidRDefault="00890136" w:rsidP="00E00B35">
      <w:pPr>
        <w:pStyle w:val="Nagwek5"/>
        <w:rPr>
          <w:szCs w:val="20"/>
        </w:rPr>
      </w:pPr>
      <w:bookmarkStart w:id="648" w:name="_Toc72352529"/>
      <w:bookmarkStart w:id="649" w:name="_Toc72352963"/>
    </w:p>
    <w:p w:rsidR="00CA14AB" w:rsidRPr="00E00B35" w:rsidRDefault="00CA14AB" w:rsidP="00E00B35">
      <w:pPr>
        <w:pStyle w:val="Nagwek5"/>
        <w:rPr>
          <w:rFonts w:eastAsia="Verdana"/>
          <w:szCs w:val="20"/>
        </w:rPr>
      </w:pPr>
      <w:r w:rsidRPr="00E00B35">
        <w:rPr>
          <w:szCs w:val="20"/>
        </w:rPr>
        <w:t>ZAMÓWIENIA PUBLICZNE</w:t>
      </w:r>
      <w:bookmarkEnd w:id="648"/>
      <w:bookmarkEnd w:id="649"/>
    </w:p>
    <w:p w:rsidR="00CA14AB" w:rsidRPr="00E00B35" w:rsidRDefault="00CA14AB" w:rsidP="00E00B35">
      <w:pPr>
        <w:spacing w:after="0" w:line="312" w:lineRule="auto"/>
        <w:rPr>
          <w:szCs w:val="20"/>
        </w:rPr>
      </w:pPr>
      <w:r w:rsidRPr="00E00B35">
        <w:rPr>
          <w:szCs w:val="20"/>
        </w:rPr>
        <w:t>W 2020 roku przeprowadzono 5 (pięć) postępowań w trybie przetargu nieograniczonego. Wszystkie zostały zakończone udzieleniem zamówienia. Wartość umów brutto wyniosła łącznie: 1798231,79 zł, (słownie: jeden milion siedemset dziewięćdziesiąt osiem tysięcy dwieście trzydzieści jeden złotych 79/100). Dodatkowo ogłoszono 3 (trzy) konkursy ofert z czego jeden unieważniono, a dwa zakończyły się podpisaniem umów.</w:t>
      </w:r>
    </w:p>
    <w:p w:rsidR="00CA14AB" w:rsidRPr="00E00B35" w:rsidRDefault="00CA14AB" w:rsidP="00E00B35">
      <w:pPr>
        <w:spacing w:after="0" w:line="312" w:lineRule="auto"/>
        <w:rPr>
          <w:rFonts w:eastAsia="Verdana"/>
          <w:szCs w:val="20"/>
        </w:rPr>
      </w:pPr>
      <w:r w:rsidRPr="00E00B35">
        <w:rPr>
          <w:szCs w:val="20"/>
        </w:rPr>
        <w:t>W okresie od 01.01.2020 r. do 31.12.2021 r. zawarto 40 (czterdzieści) umów cywilno – prawnych dot. funkcjonowania obiektu.</w:t>
      </w:r>
    </w:p>
    <w:p w:rsidR="00890136" w:rsidRPr="00E00B35" w:rsidRDefault="00890136" w:rsidP="00E00B35">
      <w:pPr>
        <w:pStyle w:val="Nagwek5"/>
        <w:rPr>
          <w:szCs w:val="20"/>
        </w:rPr>
      </w:pPr>
      <w:bookmarkStart w:id="650" w:name="_Toc72352530"/>
      <w:bookmarkStart w:id="651" w:name="_Toc72352964"/>
    </w:p>
    <w:p w:rsidR="00CA14AB" w:rsidRPr="00E00B35" w:rsidRDefault="00CA14AB" w:rsidP="00E00B35">
      <w:pPr>
        <w:pStyle w:val="Nagwek5"/>
        <w:rPr>
          <w:szCs w:val="20"/>
        </w:rPr>
      </w:pPr>
      <w:r w:rsidRPr="00E00B35">
        <w:rPr>
          <w:szCs w:val="20"/>
        </w:rPr>
        <w:t>INWESTYCJE</w:t>
      </w:r>
      <w:bookmarkEnd w:id="650"/>
      <w:bookmarkEnd w:id="651"/>
    </w:p>
    <w:p w:rsidR="00CA14AB" w:rsidRPr="00E00B35" w:rsidRDefault="00CA14AB" w:rsidP="00E00B35">
      <w:pPr>
        <w:spacing w:after="0" w:line="312" w:lineRule="auto"/>
        <w:rPr>
          <w:szCs w:val="20"/>
        </w:rPr>
      </w:pPr>
      <w:r w:rsidRPr="00E00B35">
        <w:rPr>
          <w:szCs w:val="20"/>
        </w:rPr>
        <w:t>Rok 2020 r. pomimo ograniczeń spowodowanych pandemią koronawirusa był na wrocławskich Partynicach okresem realizacji wielu zadań infrastrukturalnych i zakupów inwestycyjnych: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 lutym 2020 r. rozstrzygnięto przetarg na dostawę oraz pierwszy montaż 100 boksów dla koni – tzw. „stajni gościnnych”. Przedmiotowa inwestycja pozwala zaspokoić występujący wcześniej niedobór miejsc dla koni, które przyjeżdżają na Partynice na organizowane tutaj zawody jeździeckie.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Montaż boksów poprzedziły prace ziemne związane z koniecznością przygotowania podłoża.</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Realizacja przedmiotowej inwestycji zakończyła się 28 marca 2020 r.</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 lipcu 2020 r. rozstrzygnięto postępowanie ofertowe na dostawę oraz montaż dwóch namiotowych hal na baloty siana o łącznej powierzchni 300m2. Dzięki temu przedsięwzięciu została znacząco zwiększona powierzchnia magazynowania wrażliwych na warunki atmosferyczne balotów siana i słomy.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We wrześniu 2020 r. rozpoczęte zostały długo oczekiwane prace związane z budową 2 stajni dla koni wyścigowych. Budynki o konstrukcji drewniano – stalowej będą </w:t>
      </w:r>
      <w:r w:rsidRPr="00E00B35">
        <w:rPr>
          <w:szCs w:val="20"/>
        </w:rPr>
        <w:lastRenderedPageBreak/>
        <w:t>mieściły w sumie 48 boksów dla koni oraz pomieszczenia socjalne dla trenera oraz pracowników stajni.</w:t>
      </w:r>
    </w:p>
    <w:p w:rsidR="00CA14AB" w:rsidRPr="00E00B35" w:rsidRDefault="00CA14AB" w:rsidP="00E00B35">
      <w:pPr>
        <w:spacing w:after="0" w:line="312" w:lineRule="auto"/>
        <w:rPr>
          <w:szCs w:val="20"/>
        </w:rPr>
      </w:pPr>
      <w:r w:rsidRPr="00E00B35">
        <w:rPr>
          <w:szCs w:val="20"/>
        </w:rPr>
        <w:t>W pierwszym etapie inwestycji toczyły się prace związane z budową kanalizacji sanitarnej i deszczowej. W chwili obecnej trwa budowa konstrukcji obu budynków stajennych.</w:t>
      </w:r>
    </w:p>
    <w:p w:rsidR="00CA14AB" w:rsidRPr="00E00B35" w:rsidRDefault="00CA14AB" w:rsidP="00E00B35">
      <w:pPr>
        <w:spacing w:after="0" w:line="312" w:lineRule="auto"/>
        <w:rPr>
          <w:szCs w:val="20"/>
        </w:rPr>
      </w:pPr>
      <w:r w:rsidRPr="00E00B35">
        <w:rPr>
          <w:szCs w:val="20"/>
        </w:rPr>
        <w:t>Planowane zakończenie inwestycji – 31.01.2021 r.</w:t>
      </w:r>
    </w:p>
    <w:p w:rsidR="00CA14AB" w:rsidRPr="00E00B35" w:rsidRDefault="00CA14AB" w:rsidP="00E00B35">
      <w:pPr>
        <w:spacing w:after="0" w:line="312" w:lineRule="auto"/>
        <w:rPr>
          <w:szCs w:val="20"/>
        </w:rPr>
      </w:pPr>
      <w:r w:rsidRPr="00E00B35">
        <w:rPr>
          <w:szCs w:val="20"/>
        </w:rPr>
        <w:t>Nadzór nad realizacją przedsięwzięcia pełni spółka Wrocławskie Inwestycje Sp. z o.o.</w:t>
      </w:r>
    </w:p>
    <w:p w:rsidR="00CA14AB" w:rsidRPr="00E00B35" w:rsidRDefault="00CA14AB" w:rsidP="00E00B35">
      <w:pPr>
        <w:spacing w:after="0" w:line="312" w:lineRule="auto"/>
        <w:rPr>
          <w:szCs w:val="20"/>
        </w:rPr>
      </w:pPr>
      <w:r w:rsidRPr="00E00B35">
        <w:rPr>
          <w:szCs w:val="20"/>
        </w:rPr>
        <w:t>W IV kwartale 2020 r. rozstrzygnięto również przetarg na budowę 2 karuzel dla koni przy nowych stajniach wyścigowych. Jest to niezbędna infrastruktura towarzysząca w przypadku realizacji działalności związanej z utrzymaniem koni. W chwili obecnej trwa postępowanie zmierzające do wydania pozwolenia na budowę.</w:t>
      </w:r>
    </w:p>
    <w:p w:rsidR="00CA14AB" w:rsidRPr="00E00B35" w:rsidRDefault="00CA14AB" w:rsidP="00E00B35">
      <w:pPr>
        <w:spacing w:after="0" w:line="312" w:lineRule="auto"/>
        <w:rPr>
          <w:szCs w:val="20"/>
        </w:rPr>
      </w:pPr>
      <w:r w:rsidRPr="00E00B35">
        <w:rPr>
          <w:szCs w:val="20"/>
        </w:rPr>
        <w:t>Po uzyskaniu wszelkich niezbędnych pozwoleń budowlanych spółka Wrocławskie Inwestycje rozstrzygnęła przetarg na budowę autorskiego placu zabaw dla dzieci „Konikowo” wraz z podestem dla osób niepełnosprawnych. Inwestycja będzie realizowana ze środków Wrocławskiego Budżetu Obywatelskiego, a jej zakończenie zaplanowano na koniec lutego 2021 r.</w:t>
      </w:r>
    </w:p>
    <w:p w:rsidR="00CA14AB" w:rsidRPr="00E00B35" w:rsidRDefault="00CA14AB" w:rsidP="00E00B35">
      <w:pPr>
        <w:spacing w:after="0" w:line="312" w:lineRule="auto"/>
        <w:rPr>
          <w:szCs w:val="20"/>
        </w:rPr>
      </w:pPr>
      <w:r w:rsidRPr="00E00B35">
        <w:rPr>
          <w:szCs w:val="20"/>
        </w:rPr>
        <w:t>W przypadku zakupów inwestycyjnych w 2020 r. miały miejsce następujące realizacje: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zakup pojazdu elektrycznego typu Melex,</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zakup „przejść irlandzkich” oraz dodatkowych wygrodzeń dla koni,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zakup specjalistycznej maszyny do wyrównywania podłoży jeździeckich,</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 xml:space="preserve">zakup bramy oraz systemu wysuwanych słupków blokujących przejazd. </w:t>
      </w:r>
    </w:p>
    <w:p w:rsidR="00890136" w:rsidRPr="00E00B35" w:rsidRDefault="00890136" w:rsidP="00E00B35">
      <w:pPr>
        <w:pStyle w:val="Nagwek5"/>
        <w:rPr>
          <w:szCs w:val="20"/>
        </w:rPr>
      </w:pPr>
      <w:bookmarkStart w:id="652" w:name="_Toc72352531"/>
      <w:bookmarkStart w:id="653" w:name="_Toc72352965"/>
    </w:p>
    <w:p w:rsidR="00CA14AB" w:rsidRPr="00E00B35" w:rsidRDefault="00CA14AB" w:rsidP="00E00B35">
      <w:pPr>
        <w:pStyle w:val="Nagwek5"/>
        <w:rPr>
          <w:szCs w:val="20"/>
        </w:rPr>
      </w:pPr>
      <w:r w:rsidRPr="00E00B35">
        <w:rPr>
          <w:szCs w:val="20"/>
        </w:rPr>
        <w:t>LUDZIE NA PARTYNICACH (ETATYZACJA)</w:t>
      </w:r>
      <w:bookmarkEnd w:id="652"/>
      <w:bookmarkEnd w:id="653"/>
    </w:p>
    <w:p w:rsidR="00CA14AB" w:rsidRPr="00E00B35" w:rsidRDefault="00CA14AB" w:rsidP="00E00B35">
      <w:pPr>
        <w:spacing w:after="0" w:line="312" w:lineRule="auto"/>
        <w:rPr>
          <w:rFonts w:eastAsia="Verdana"/>
          <w:szCs w:val="20"/>
        </w:rPr>
      </w:pPr>
      <w:r w:rsidRPr="00E00B35">
        <w:rPr>
          <w:szCs w:val="20"/>
        </w:rPr>
        <w:t>Zgodnie z zapisami Regulaminu Organizacyjnego w jednostce jest przewidzianych 60 etatów do obsługi WTWK, w następującym podziale:</w:t>
      </w:r>
    </w:p>
    <w:tbl>
      <w:tblPr>
        <w:tblW w:w="878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683"/>
        <w:gridCol w:w="3425"/>
        <w:gridCol w:w="4678"/>
      </w:tblGrid>
      <w:tr w:rsidR="00CA14AB" w:rsidRPr="00E00B35" w:rsidTr="00CA14AB">
        <w:trPr>
          <w:trHeight w:val="25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lp.</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 xml:space="preserve">nazwa stanowiska </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 xml:space="preserve">liczba etatów </w:t>
            </w:r>
          </w:p>
        </w:tc>
      </w:tr>
      <w:tr w:rsidR="00CA14AB" w:rsidRPr="00E00B35" w:rsidTr="00CA14AB">
        <w:trPr>
          <w:trHeight w:val="25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Dyrektor</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w:t>
            </w:r>
          </w:p>
        </w:tc>
      </w:tr>
      <w:tr w:rsidR="00CA14AB" w:rsidRPr="00E00B35" w:rsidTr="00CA14AB">
        <w:trPr>
          <w:trHeight w:val="25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Zastępca Dyrektora</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w:t>
            </w:r>
          </w:p>
        </w:tc>
      </w:tr>
      <w:tr w:rsidR="00CA14AB" w:rsidRPr="00E00B35" w:rsidTr="00CA14AB">
        <w:trPr>
          <w:trHeight w:val="25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Kierownik działu</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4</w:t>
            </w:r>
          </w:p>
        </w:tc>
      </w:tr>
      <w:tr w:rsidR="00CA14AB" w:rsidRPr="00E00B35" w:rsidTr="00CA14AB">
        <w:trPr>
          <w:trHeight w:val="25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4</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Główny Księgowy</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w:t>
            </w:r>
          </w:p>
        </w:tc>
      </w:tr>
      <w:tr w:rsidR="00CA14AB" w:rsidRPr="00E00B35" w:rsidTr="00CA14AB">
        <w:trPr>
          <w:trHeight w:val="25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5</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Specjalista</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16</w:t>
            </w:r>
          </w:p>
        </w:tc>
      </w:tr>
      <w:tr w:rsidR="00CA14AB" w:rsidRPr="00E00B35" w:rsidTr="00CA14AB">
        <w:trPr>
          <w:trHeight w:val="26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6</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Menedżer sportu</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w:t>
            </w:r>
          </w:p>
        </w:tc>
      </w:tr>
      <w:tr w:rsidR="00CA14AB" w:rsidRPr="00E00B35" w:rsidTr="00CA14AB">
        <w:trPr>
          <w:trHeight w:val="26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7</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Brygadzista</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3</w:t>
            </w:r>
          </w:p>
        </w:tc>
      </w:tr>
      <w:tr w:rsidR="00CA14AB" w:rsidRPr="00E00B35" w:rsidTr="00CA14AB">
        <w:trPr>
          <w:trHeight w:val="25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8</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Obsługa</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17</w:t>
            </w:r>
          </w:p>
        </w:tc>
      </w:tr>
      <w:tr w:rsidR="00CA14AB" w:rsidRPr="00E00B35" w:rsidTr="00CA14AB">
        <w:trPr>
          <w:trHeight w:val="25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9</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Instruktor</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6</w:t>
            </w:r>
          </w:p>
        </w:tc>
      </w:tr>
      <w:tr w:rsidR="00CA14AB" w:rsidRPr="00E00B35" w:rsidTr="00CA14AB">
        <w:trPr>
          <w:trHeight w:val="25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10</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Koniuszy</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2</w:t>
            </w:r>
          </w:p>
        </w:tc>
      </w:tr>
      <w:tr w:rsidR="00CA14AB" w:rsidRPr="00E00B35" w:rsidTr="00CA14AB">
        <w:trPr>
          <w:trHeight w:val="25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11</w:t>
            </w:r>
          </w:p>
        </w:tc>
        <w:tc>
          <w:tcPr>
            <w:tcW w:w="3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Pracownik stajni (stajenny)</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7</w:t>
            </w:r>
          </w:p>
        </w:tc>
      </w:tr>
      <w:tr w:rsidR="00CA14AB" w:rsidRPr="00E00B35" w:rsidTr="00CA14AB">
        <w:trPr>
          <w:trHeight w:val="250"/>
          <w:jc w:val="center"/>
        </w:trPr>
        <w:tc>
          <w:tcPr>
            <w:tcW w:w="4108"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lastRenderedPageBreak/>
              <w:t>Razem Etaty WTWK - Partynice</w:t>
            </w:r>
          </w:p>
        </w:tc>
        <w:tc>
          <w:tcPr>
            <w:tcW w:w="46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A14AB" w:rsidRPr="00E00B35" w:rsidRDefault="00CA14AB" w:rsidP="00E00B35">
            <w:pPr>
              <w:spacing w:after="0" w:line="312" w:lineRule="auto"/>
              <w:rPr>
                <w:szCs w:val="20"/>
              </w:rPr>
            </w:pPr>
            <w:r w:rsidRPr="00E00B35">
              <w:rPr>
                <w:szCs w:val="20"/>
              </w:rPr>
              <w:t xml:space="preserve">60 </w:t>
            </w:r>
          </w:p>
        </w:tc>
      </w:tr>
    </w:tbl>
    <w:p w:rsidR="00CA14AB" w:rsidRPr="00E00B35" w:rsidRDefault="00CA14AB" w:rsidP="00E00B35">
      <w:pPr>
        <w:spacing w:after="0" w:line="312" w:lineRule="auto"/>
        <w:rPr>
          <w:szCs w:val="20"/>
        </w:rPr>
      </w:pPr>
      <w:r w:rsidRPr="00E00B35">
        <w:rPr>
          <w:szCs w:val="20"/>
        </w:rPr>
        <w:t>Na grudzień 2020 roku liczba pracowników etatowych wynosiła 53. Średnia płaca w miesiącu grudniu 2019 roku wynosiła 6.125,74 zł brutto.</w:t>
      </w:r>
    </w:p>
    <w:p w:rsidR="00890136" w:rsidRPr="00E00B35" w:rsidRDefault="00890136" w:rsidP="00E00B35">
      <w:pPr>
        <w:pStyle w:val="Nagwek4"/>
        <w:spacing w:before="0" w:after="0" w:line="312" w:lineRule="auto"/>
        <w:rPr>
          <w:sz w:val="20"/>
          <w:szCs w:val="20"/>
        </w:rPr>
      </w:pPr>
      <w:bookmarkStart w:id="654" w:name="_Toc72352532"/>
      <w:bookmarkStart w:id="655" w:name="_Toc72352966"/>
    </w:p>
    <w:p w:rsidR="00CA14AB" w:rsidRPr="00E00B35" w:rsidRDefault="00CA14AB" w:rsidP="00E00B35">
      <w:pPr>
        <w:pStyle w:val="Nagwek4"/>
        <w:spacing w:before="0" w:after="0" w:line="312" w:lineRule="auto"/>
        <w:rPr>
          <w:sz w:val="20"/>
          <w:szCs w:val="20"/>
        </w:rPr>
      </w:pPr>
      <w:r w:rsidRPr="00E00B35">
        <w:rPr>
          <w:sz w:val="20"/>
          <w:szCs w:val="20"/>
        </w:rPr>
        <w:t>DZIAŁANIA PODJĘTE W ZWIĄZKU PANDEMIĄ KORONAWIRUSA</w:t>
      </w:r>
      <w:bookmarkEnd w:id="654"/>
      <w:bookmarkEnd w:id="655"/>
    </w:p>
    <w:p w:rsidR="00CA14AB" w:rsidRPr="00E00B35" w:rsidRDefault="00CA14AB" w:rsidP="00E00B35">
      <w:pPr>
        <w:spacing w:after="0" w:line="312" w:lineRule="auto"/>
        <w:rPr>
          <w:szCs w:val="20"/>
        </w:rPr>
      </w:pPr>
      <w:r w:rsidRPr="00E00B35">
        <w:rPr>
          <w:szCs w:val="20"/>
        </w:rPr>
        <w:t>Od marca 2020 roku, w związku z przeciwdziałaniem skutkom pandemii, wydatkowano kwotę 23 798,99 zł brutto na zakup środków dezynfekcji, sprzętu ochronnego (maseczki, przyłbice) oraz badania lekarskie pracowników (testy).</w:t>
      </w:r>
    </w:p>
    <w:p w:rsidR="00CA14AB" w:rsidRPr="00E00B35" w:rsidRDefault="00CA14AB" w:rsidP="00E00B35">
      <w:pPr>
        <w:spacing w:after="0" w:line="312" w:lineRule="auto"/>
        <w:rPr>
          <w:szCs w:val="20"/>
        </w:rPr>
      </w:pPr>
      <w:r w:rsidRPr="00E00B35">
        <w:rPr>
          <w:szCs w:val="20"/>
        </w:rPr>
        <w:t>Ponadto na bieżąco analizowano rozporządzenia Rady Ministrów w zakresie ograniczeń działalności gospodarczej i obowiązków pracodawcy w związku z przeciwdziałaniem pandemii. Wydano, a następnie na bieżąco aktualizowano, Zarządzenia Dyrektora WTWK – Partynice: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Zasady korzystania z jazd rekreacyjnych w okresie epidemii we Wrocławskim Torze Wyścigów Konnych – Partynice;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Zarządzenie w sprawie zasad funkcjonowania WTWK – Partynice w okresie stanu epidemii;</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Plan zabezpieczenia mityngów wyścigowych bez udziału publiczności na Wrocławskim Torze Wyścigów Konnych – Partynice.</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Najważniejsze postanowienia w/w Zarządzeń dotyczyły: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Wdrożenia systemu pracy zdalnej oraz podział załogi na wyodrębnione, pozbawione osobistego kontaktu zespoły;</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Zebrania kadry kierowniczej w formie zdalnej; obowiązek zakrywania ust i nosa oraz zachowania dystansu społecznego;</w:t>
      </w:r>
    </w:p>
    <w:p w:rsidR="00CA14AB" w:rsidRPr="00E00B35" w:rsidRDefault="00CA14AB" w:rsidP="00BC64AB">
      <w:pPr>
        <w:pStyle w:val="Akapitzlist"/>
        <w:numPr>
          <w:ilvl w:val="0"/>
          <w:numId w:val="234"/>
        </w:numPr>
        <w:spacing w:after="0" w:line="312" w:lineRule="auto"/>
        <w:ind w:left="426" w:hanging="426"/>
        <w:rPr>
          <w:szCs w:val="20"/>
        </w:rPr>
      </w:pPr>
      <w:r w:rsidRPr="00E00B35">
        <w:rPr>
          <w:szCs w:val="20"/>
        </w:rPr>
        <w:t>Wdrożenia reżimu sanitarnego dla klientów korzystających usług WTWK – Partynice.</w:t>
      </w: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7A4D59" w:rsidRPr="00E00B35" w:rsidRDefault="007A4D59" w:rsidP="00E00B35">
      <w:pPr>
        <w:pStyle w:val="Tytu"/>
        <w:spacing w:after="0" w:line="312" w:lineRule="auto"/>
        <w:jc w:val="left"/>
        <w:rPr>
          <w:b w:val="0"/>
          <w:szCs w:val="20"/>
        </w:rPr>
      </w:pPr>
    </w:p>
    <w:p w:rsidR="007A4D59" w:rsidRPr="00E00B35" w:rsidRDefault="007A4D59" w:rsidP="00E00B35">
      <w:pPr>
        <w:pStyle w:val="Tytu"/>
        <w:spacing w:after="0" w:line="312" w:lineRule="auto"/>
        <w:jc w:val="left"/>
        <w:rPr>
          <w:b w:val="0"/>
          <w:szCs w:val="20"/>
        </w:rPr>
      </w:pPr>
    </w:p>
    <w:p w:rsidR="007A4D59" w:rsidRPr="00E00B35" w:rsidRDefault="007A4D59" w:rsidP="00E00B35">
      <w:pPr>
        <w:pStyle w:val="Tytu"/>
        <w:spacing w:after="0" w:line="312" w:lineRule="auto"/>
        <w:jc w:val="left"/>
        <w:rPr>
          <w:b w:val="0"/>
          <w:szCs w:val="20"/>
        </w:rPr>
      </w:pPr>
    </w:p>
    <w:p w:rsidR="007A4D59" w:rsidRPr="00E00B35" w:rsidRDefault="007A4D59" w:rsidP="00E00B35">
      <w:pPr>
        <w:pStyle w:val="Tytu"/>
        <w:spacing w:after="0" w:line="312" w:lineRule="auto"/>
        <w:jc w:val="left"/>
        <w:rPr>
          <w:b w:val="0"/>
          <w:szCs w:val="20"/>
        </w:rPr>
      </w:pPr>
    </w:p>
    <w:p w:rsidR="007A4D59" w:rsidRPr="00E00B35" w:rsidRDefault="007A4D59" w:rsidP="00E00B35">
      <w:pPr>
        <w:pStyle w:val="Tytu"/>
        <w:spacing w:after="0" w:line="312" w:lineRule="auto"/>
        <w:jc w:val="left"/>
        <w:rPr>
          <w:b w:val="0"/>
          <w:szCs w:val="20"/>
        </w:rPr>
      </w:pPr>
    </w:p>
    <w:p w:rsidR="007A4D59" w:rsidRPr="00E00B35" w:rsidRDefault="007A4D59" w:rsidP="00E00B35">
      <w:pPr>
        <w:pStyle w:val="Tytu"/>
        <w:spacing w:after="0" w:line="312" w:lineRule="auto"/>
        <w:jc w:val="left"/>
        <w:rPr>
          <w:b w:val="0"/>
          <w:szCs w:val="20"/>
        </w:rPr>
      </w:pPr>
    </w:p>
    <w:p w:rsidR="007A4D59" w:rsidRPr="00E00B35" w:rsidRDefault="007A4D59" w:rsidP="00E00B35">
      <w:pPr>
        <w:pStyle w:val="Tytu"/>
        <w:spacing w:after="0" w:line="312" w:lineRule="auto"/>
        <w:jc w:val="left"/>
        <w:rPr>
          <w:b w:val="0"/>
          <w:szCs w:val="20"/>
        </w:rPr>
      </w:pPr>
    </w:p>
    <w:p w:rsidR="007A4D59" w:rsidRPr="00E04D72" w:rsidRDefault="007A4D59" w:rsidP="00E04D72">
      <w:pPr>
        <w:pStyle w:val="Nagwek20"/>
      </w:pPr>
      <w:bookmarkStart w:id="656" w:name="_Toc78189483"/>
      <w:r w:rsidRPr="00E04D72">
        <w:t>DEPARTAMENT ZRÓWNOWAŻONEGO ROZWOJU</w:t>
      </w:r>
      <w:bookmarkEnd w:id="656"/>
    </w:p>
    <w:p w:rsidR="007A4D59" w:rsidRPr="00E00B35" w:rsidRDefault="007A4D59" w:rsidP="00E00B35">
      <w:pPr>
        <w:pStyle w:val="Nagwek3"/>
        <w:spacing w:after="0" w:line="312" w:lineRule="auto"/>
        <w:rPr>
          <w:sz w:val="20"/>
        </w:rPr>
      </w:pPr>
      <w:bookmarkStart w:id="657" w:name="_Toc71032612"/>
      <w:bookmarkStart w:id="658" w:name="_Toc71034594"/>
      <w:r w:rsidRPr="00E00B35">
        <w:rPr>
          <w:sz w:val="20"/>
        </w:rPr>
        <w:lastRenderedPageBreak/>
        <w:t>ZADANIA UJĘTE W ZAŁOŻENIACH POLITYKI SPOŁECZNO-GOSPODARCZEJ WROCŁAWIA NA 2020 r.</w:t>
      </w:r>
      <w:bookmarkEnd w:id="657"/>
      <w:bookmarkEnd w:id="658"/>
      <w:r w:rsidRPr="00E00B35">
        <w:rPr>
          <w:sz w:val="20"/>
        </w:rPr>
        <w:t xml:space="preserve"> </w:t>
      </w:r>
    </w:p>
    <w:p w:rsidR="007A4D59" w:rsidRPr="00E00B35" w:rsidRDefault="007A4D59" w:rsidP="00E00B35">
      <w:pPr>
        <w:pStyle w:val="Nagwek4"/>
        <w:spacing w:before="0" w:after="0" w:line="312" w:lineRule="auto"/>
        <w:rPr>
          <w:sz w:val="20"/>
          <w:szCs w:val="20"/>
        </w:rPr>
      </w:pPr>
      <w:bookmarkStart w:id="659" w:name="_Toc71032613"/>
      <w:bookmarkStart w:id="660" w:name="_Toc71034595"/>
      <w:r w:rsidRPr="00E00B35">
        <w:rPr>
          <w:sz w:val="20"/>
          <w:szCs w:val="20"/>
        </w:rPr>
        <w:t>PRIORYTET I – ZIELONY WROCŁAW</w:t>
      </w:r>
      <w:bookmarkEnd w:id="659"/>
      <w:bookmarkEnd w:id="660"/>
    </w:p>
    <w:p w:rsidR="007A4D59" w:rsidRPr="00E00B35" w:rsidRDefault="007A4D59" w:rsidP="00E00B35">
      <w:pPr>
        <w:pStyle w:val="Nagwek5"/>
        <w:rPr>
          <w:szCs w:val="20"/>
        </w:rPr>
      </w:pPr>
      <w:bookmarkStart w:id="661" w:name="_Toc71032614"/>
      <w:bookmarkStart w:id="662" w:name="_Toc71034596"/>
      <w:r w:rsidRPr="00E00B35">
        <w:rPr>
          <w:szCs w:val="20"/>
        </w:rPr>
        <w:t>ZADANIE NR 1: PROGRAM DOTACJI DO WYMIANY LOKALNYCH WĘGLOWYCH ŹRODEŁ CIEPŁA NA PROEKOLOGICZNE – KONTYNUACJA PROGRAMU KAWKA – REALIZACJA DALSZEGO WSPARCIA FINANSOWEGO DLA OGRANICZANIA NISKIEJ EMISJI</w:t>
      </w:r>
      <w:bookmarkEnd w:id="661"/>
      <w:bookmarkEnd w:id="662"/>
      <w:r w:rsidRPr="00E00B35">
        <w:rPr>
          <w:szCs w:val="20"/>
        </w:rPr>
        <w:t xml:space="preserve"> </w:t>
      </w:r>
    </w:p>
    <w:p w:rsidR="007A4D59" w:rsidRPr="00E00B35" w:rsidRDefault="007A4D59" w:rsidP="00E00B35">
      <w:pPr>
        <w:autoSpaceDE w:val="0"/>
        <w:autoSpaceDN w:val="0"/>
        <w:adjustRightInd w:val="0"/>
        <w:spacing w:after="0" w:line="312" w:lineRule="auto"/>
        <w:rPr>
          <w:b/>
          <w:szCs w:val="20"/>
        </w:rPr>
      </w:pPr>
    </w:p>
    <w:p w:rsidR="007A4D59" w:rsidRPr="00E00B35" w:rsidRDefault="007A4D59" w:rsidP="00E00B35">
      <w:pPr>
        <w:spacing w:after="0" w:line="312" w:lineRule="auto"/>
        <w:rPr>
          <w:szCs w:val="20"/>
        </w:rPr>
      </w:pPr>
      <w:r w:rsidRPr="00E00B35">
        <w:rPr>
          <w:szCs w:val="20"/>
        </w:rPr>
        <w:t>Miejski program wymiany źródeł ogrzewania (KAWKAplus)</w:t>
      </w:r>
    </w:p>
    <w:p w:rsidR="007A4D59" w:rsidRPr="00E00B35" w:rsidRDefault="007A4D59" w:rsidP="00E00B35">
      <w:pPr>
        <w:spacing w:after="0" w:line="312" w:lineRule="auto"/>
        <w:rPr>
          <w:szCs w:val="20"/>
        </w:rPr>
      </w:pPr>
      <w:r w:rsidRPr="00E00B35">
        <w:rPr>
          <w:szCs w:val="20"/>
        </w:rPr>
        <w:t xml:space="preserve">Program dotacji do wymiany </w:t>
      </w:r>
      <w:r w:rsidRPr="00E00B35">
        <w:rPr>
          <w:bCs/>
          <w:szCs w:val="20"/>
        </w:rPr>
        <w:t xml:space="preserve">lokalnych węglowych źródeł ciepła na proekologiczne  (KAWKAplus) realizowany jest od 2014 r. i skierowany jest do właścicieli i najemców lokali mieszkalnych położonych na terenie Wrocławia, którzy zdecydują się na zmianę </w:t>
      </w:r>
      <w:r w:rsidRPr="00E00B35">
        <w:rPr>
          <w:szCs w:val="20"/>
        </w:rPr>
        <w:t xml:space="preserve">urządzeń grzewczych opalanych węglem i zastąpienie ich ogrzewaniem gazowym, elektrycznym, lekkim olejem opalowym, podłączeniem do miejskiej sieci ciepłowniczej lub urządzeniem grzewczym wykorzystującym odnawialne źródła energii. W 2020r. rozpoczęto nabór wniosków do programu w oparciu o zapisy  Uchwały Nr XV/417/19 Rady Miejskiej Wrocławia z dnia 21 listopada 2019r, które zwiększyły pułap i kwotę dofinansowania z dotychczasowych 70% i 12 000 zł do 100% i 15 000 zł. W roku 2020 w ramach programu rozpatrzono 1 232 wniosków o udzielenie dotacji, podpisano 1 110 umów o udzielenie dotacji oraz przeprowadzono 2 500 wizji mających na celu potwierdzenie faktu istnienia w lokalu czynnego ogrzewania opartego na paliwie stałym oraz kontroli powykonawczych z realizacji inwestycji objętych dotacją. </w:t>
      </w:r>
      <w:r w:rsidRPr="00E00B35">
        <w:rPr>
          <w:rFonts w:eastAsia="Calibri"/>
          <w:szCs w:val="20"/>
        </w:rPr>
        <w:t>Zlikwidowano 1 400 źródeł ciepła na paliwo stałe.</w:t>
      </w:r>
      <w:r w:rsidRPr="00E00B35">
        <w:rPr>
          <w:szCs w:val="20"/>
        </w:rPr>
        <w:t xml:space="preserve"> Rozliczono i przygotowano wnioski o płatność w 1 103 sprawach objętych dotacją. Na realizację programu dotacyjnego w okresie od 10 stycznia do 16 października 2020 roku z budżetu miasta wydatkowano </w:t>
      </w:r>
      <w:r w:rsidRPr="00E00B35">
        <w:rPr>
          <w:rStyle w:val="Pogrubienie"/>
          <w:szCs w:val="20"/>
        </w:rPr>
        <w:t>16 178 533,60 </w:t>
      </w:r>
      <w:r w:rsidRPr="00E00B35">
        <w:rPr>
          <w:szCs w:val="20"/>
        </w:rPr>
        <w:t>zł.</w:t>
      </w:r>
    </w:p>
    <w:p w:rsidR="007A4D59" w:rsidRPr="00E00B35" w:rsidRDefault="007A4D59" w:rsidP="00E00B35">
      <w:pPr>
        <w:spacing w:after="0" w:line="312" w:lineRule="auto"/>
        <w:rPr>
          <w:szCs w:val="20"/>
        </w:rPr>
      </w:pPr>
      <w:r w:rsidRPr="00E00B35">
        <w:rPr>
          <w:szCs w:val="20"/>
        </w:rPr>
        <w:t>Mając na względzie oczekiwania mieszkańców opracowano nowe zasady naboru wniosków do programu, umożliwiając składanie wniosków w sposób ciągły tj. bez przerwy przez cały rok. Dodatkowo u</w:t>
      </w:r>
      <w:r w:rsidRPr="00E00B35">
        <w:rPr>
          <w:rFonts w:cs="Verdana"/>
          <w:szCs w:val="20"/>
        </w:rPr>
        <w:t>elastyczniono termin realizacji i rozliczenia inwestycji obejmującej zmianę ogrzewania, pozostawiając wybór w tym zakresie wnioskodawcy.</w:t>
      </w:r>
      <w:r w:rsidRPr="00E00B35">
        <w:rPr>
          <w:szCs w:val="20"/>
        </w:rPr>
        <w:t xml:space="preserve">  Nabór według tych zasad uruchomiony został z dniem 19 października 2020 r. Dzięki takiemu rozwiązaniu tylko w okresie od 19 października do 31 grudnia 2020 r. wpłynęło 351 wniosków o udzielenie dotacji.</w:t>
      </w:r>
      <w:r w:rsidRPr="00E00B35">
        <w:rPr>
          <w:rFonts w:eastAsia="Arial Unicode MS"/>
          <w:szCs w:val="20"/>
        </w:rPr>
        <w:t xml:space="preserve"> </w:t>
      </w:r>
      <w:r w:rsidRPr="00E00B35">
        <w:rPr>
          <w:rFonts w:eastAsia="Calibri"/>
          <w:szCs w:val="20"/>
        </w:rPr>
        <w:t xml:space="preserve">Pozyskanie danych o zlikwidowanych źródłach za okres </w:t>
      </w:r>
      <w:r w:rsidRPr="00E00B35">
        <w:rPr>
          <w:szCs w:val="20"/>
        </w:rPr>
        <w:t>od 19 października do 31 grudnia 2020 r. będzie możliwe w okresie późniejszym, z uwagi na termin rozliczania dotacji, który nastąpi w roku 2021.</w:t>
      </w:r>
    </w:p>
    <w:p w:rsidR="007A4D59" w:rsidRPr="00E00B35" w:rsidRDefault="007A4D59" w:rsidP="00E00B35">
      <w:pPr>
        <w:spacing w:after="0" w:line="312" w:lineRule="auto"/>
        <w:rPr>
          <w:rFonts w:eastAsia="Calibri"/>
          <w:szCs w:val="20"/>
        </w:rPr>
      </w:pPr>
      <w:r w:rsidRPr="00E00B35">
        <w:rPr>
          <w:rFonts w:eastAsia="Calibri"/>
          <w:szCs w:val="20"/>
        </w:rPr>
        <w:t>Dokonując analizy efektywności programu pod kątem liczby złożonych wniosków oraz podpisanych umów dotacyjnych odnotowuje się wyraźną tendencję wzrostową zainteresowania programem ze strony mieszkańców. Porównując dane z roku 2019 i 2020 widoczny jest 32% wzrost liczby złożonych wniosków.</w:t>
      </w:r>
    </w:p>
    <w:p w:rsidR="007A4D59" w:rsidRPr="00E00B35" w:rsidRDefault="007A4D59" w:rsidP="00E00B35">
      <w:pPr>
        <w:spacing w:after="0" w:line="312" w:lineRule="auto"/>
        <w:rPr>
          <w:szCs w:val="20"/>
        </w:rPr>
      </w:pPr>
      <w:r w:rsidRPr="00E00B35">
        <w:rPr>
          <w:szCs w:val="20"/>
        </w:rPr>
        <w:t>Program dotacyjny dotyczący zmiany systemu ogrzewania funkcjonuje w Gminie Wrocław w różnych odsłonach i z różnym montażem finansowym już od 2014 roku. W tym okresie tj. od 2014 roku do dnia 16 października 2020 r. złożono łącznie 7707 wniosków o udzielenie dotacji, podpisano 6997 umów dotacyjnych i zlikwidowano 9530 palenisk.</w:t>
      </w:r>
    </w:p>
    <w:p w:rsidR="007A4D59" w:rsidRPr="00E00B35" w:rsidRDefault="007A4D59" w:rsidP="00E00B35">
      <w:pPr>
        <w:pStyle w:val="Default"/>
        <w:spacing w:after="0" w:line="312" w:lineRule="auto"/>
        <w:rPr>
          <w:rFonts w:ascii="Verdana" w:hAnsi="Verdana"/>
          <w:color w:val="auto"/>
          <w:sz w:val="2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lastRenderedPageBreak/>
        <w:t>Dotacje celowe na zadania służące poprawie efektywności energetycznej polegającej na wymianie okien zewnętrznych (termoKAWKA)</w:t>
      </w:r>
    </w:p>
    <w:p w:rsidR="007A4D59" w:rsidRPr="00E00B35" w:rsidRDefault="007A4D59" w:rsidP="00E00B35">
      <w:pPr>
        <w:pStyle w:val="Default"/>
        <w:spacing w:after="0" w:line="312" w:lineRule="auto"/>
        <w:rPr>
          <w:rFonts w:ascii="Verdana" w:hAnsi="Verdana"/>
          <w:bCs/>
          <w:sz w:val="20"/>
          <w:szCs w:val="20"/>
        </w:rPr>
      </w:pPr>
    </w:p>
    <w:p w:rsidR="007A4D59" w:rsidRPr="00E00B35" w:rsidRDefault="007A4D59" w:rsidP="00E00B35">
      <w:pPr>
        <w:pStyle w:val="Default"/>
        <w:spacing w:after="0" w:line="312" w:lineRule="auto"/>
        <w:rPr>
          <w:rFonts w:ascii="Verdana" w:hAnsi="Verdana"/>
          <w:sz w:val="20"/>
          <w:szCs w:val="20"/>
        </w:rPr>
      </w:pPr>
      <w:r w:rsidRPr="00E00B35">
        <w:rPr>
          <w:rFonts w:ascii="Verdana" w:hAnsi="Verdana"/>
          <w:sz w:val="20"/>
          <w:szCs w:val="20"/>
        </w:rPr>
        <w:t xml:space="preserve">W celu poprawy efektywności energetycznej lokali mieszkalnych i nieruchomości wykorzystywanych na cele mieszkaniowe położonych w granicach administracyjnych Wrocławia oraz ograniczenia emisji zanieczyszczeń powodujących przekroczenie standardów jakości powietrza, realizowany jest dodatkowy program dotacyjny stanowiący uzupełnienie programu KAWKAplus – program termoKAWKA, w ramach którego przyznawane są dotacje celowe osobom fizycznym na dofinansowanie wymiany okien zewnętrznych. </w:t>
      </w:r>
      <w:r w:rsidRPr="00E00B35">
        <w:rPr>
          <w:rFonts w:ascii="Verdana" w:hAnsi="Verdana"/>
          <w:color w:val="auto"/>
          <w:sz w:val="20"/>
          <w:szCs w:val="20"/>
        </w:rPr>
        <w:t xml:space="preserve">Podstawą realizacji programu jest Uchwała </w:t>
      </w:r>
      <w:r w:rsidRPr="00E00B35">
        <w:rPr>
          <w:rFonts w:ascii="Verdana" w:eastAsia="Arial Unicode MS" w:hAnsi="Verdana"/>
          <w:color w:val="auto"/>
          <w:sz w:val="20"/>
          <w:szCs w:val="20"/>
        </w:rPr>
        <w:t xml:space="preserve">Nr </w:t>
      </w:r>
      <w:r w:rsidRPr="00E00B35">
        <w:rPr>
          <w:rFonts w:ascii="Verdana" w:hAnsi="Verdana"/>
          <w:color w:val="auto"/>
          <w:sz w:val="20"/>
          <w:szCs w:val="20"/>
        </w:rPr>
        <w:t>XV</w:t>
      </w:r>
      <w:r w:rsidRPr="00E00B35">
        <w:rPr>
          <w:rFonts w:ascii="Verdana" w:eastAsia="Arial Unicode MS" w:hAnsi="Verdana"/>
          <w:color w:val="auto"/>
          <w:sz w:val="20"/>
          <w:szCs w:val="20"/>
        </w:rPr>
        <w:t>/</w:t>
      </w:r>
      <w:r w:rsidRPr="00E00B35">
        <w:rPr>
          <w:rFonts w:ascii="Verdana" w:hAnsi="Verdana"/>
          <w:color w:val="auto"/>
          <w:sz w:val="20"/>
          <w:szCs w:val="20"/>
        </w:rPr>
        <w:t xml:space="preserve">418/19 Rady Miejskiej Wrocławia </w:t>
      </w:r>
      <w:r w:rsidRPr="00E00B35">
        <w:rPr>
          <w:rFonts w:ascii="Verdana" w:eastAsia="Arial Unicode MS" w:hAnsi="Verdana"/>
          <w:color w:val="auto"/>
          <w:sz w:val="20"/>
          <w:szCs w:val="20"/>
        </w:rPr>
        <w:t xml:space="preserve">z dnia </w:t>
      </w:r>
      <w:r w:rsidRPr="00E00B35">
        <w:rPr>
          <w:rFonts w:ascii="Verdana" w:hAnsi="Verdana"/>
          <w:color w:val="auto"/>
          <w:sz w:val="20"/>
          <w:szCs w:val="20"/>
        </w:rPr>
        <w:t>21 listopada 2019</w:t>
      </w:r>
      <w:r w:rsidRPr="00E00B35">
        <w:rPr>
          <w:rFonts w:ascii="Verdana" w:eastAsia="Arial Unicode MS" w:hAnsi="Verdana"/>
          <w:color w:val="auto"/>
          <w:sz w:val="20"/>
          <w:szCs w:val="20"/>
        </w:rPr>
        <w:t xml:space="preserve"> r. </w:t>
      </w:r>
      <w:r w:rsidRPr="00E00B35">
        <w:rPr>
          <w:rFonts w:ascii="Verdana" w:hAnsi="Verdana" w:cs="Verdana"/>
          <w:color w:val="auto"/>
          <w:sz w:val="20"/>
          <w:szCs w:val="20"/>
        </w:rPr>
        <w:t>w sprawie zasad udzielania dotacji celowej osobom fizycznym na zadania służące poprawie efektywności energetycznej polegającej na wymianie okien zewnętrznych</w:t>
      </w:r>
      <w:r w:rsidRPr="00E00B35">
        <w:rPr>
          <w:rFonts w:ascii="Verdana" w:eastAsia="Arial Unicode MS" w:hAnsi="Verdana"/>
          <w:color w:val="auto"/>
          <w:sz w:val="20"/>
          <w:szCs w:val="20"/>
        </w:rPr>
        <w:t xml:space="preserve">. Dotacja może zostać udzielona na nieruchomości </w:t>
      </w:r>
      <w:r w:rsidRPr="00E00B35">
        <w:rPr>
          <w:rFonts w:ascii="Verdana" w:hAnsi="Verdana" w:cs="Helv"/>
          <w:sz w:val="20"/>
          <w:szCs w:val="20"/>
          <w:lang w:eastAsia="en-US"/>
        </w:rPr>
        <w:t>w których dokonano zmiany systemu ogrzewania opartego na paliwach stałych na niskoemisyjne w ramach miejskich programów dotacyjnych bądź dla których złożono wniosek o udzielenie dotacji na zmianę systemu ogrzewania na podstawie miejskiego programu dotacyjnego.</w:t>
      </w:r>
    </w:p>
    <w:p w:rsidR="007A4D59" w:rsidRPr="00E00B35" w:rsidRDefault="007A4D59" w:rsidP="00E00B35">
      <w:pPr>
        <w:pStyle w:val="Default"/>
        <w:spacing w:after="0" w:line="312" w:lineRule="auto"/>
        <w:rPr>
          <w:rFonts w:ascii="Verdana" w:hAnsi="Verdana"/>
          <w:color w:val="auto"/>
          <w:sz w:val="20"/>
          <w:szCs w:val="20"/>
        </w:rPr>
      </w:pPr>
      <w:r w:rsidRPr="00E00B35">
        <w:rPr>
          <w:rFonts w:ascii="Verdana" w:hAnsi="Verdana"/>
          <w:color w:val="auto"/>
          <w:sz w:val="20"/>
          <w:szCs w:val="20"/>
        </w:rPr>
        <w:t xml:space="preserve">W 2020  roku w ramach realizacji programu w okresie od 10 stycznia do 16 października rozpatrzono 130 wniosków o udzielenie dotacji, podpisano 82 umowy dotacyjne oraz przeprowadzono 260 wizji lokalnych mających na celu potwierdzenie faktu istnienia w lokalu okien kwalifikujących się do dotacji oraz kontroli powykonawczych z realizacji inwestycji objętych dotacją. </w:t>
      </w:r>
    </w:p>
    <w:p w:rsidR="007A4D59" w:rsidRPr="00E00B35" w:rsidRDefault="007A4D59" w:rsidP="00E00B35">
      <w:pPr>
        <w:pStyle w:val="Default"/>
        <w:spacing w:after="0" w:line="312" w:lineRule="auto"/>
        <w:rPr>
          <w:rFonts w:ascii="Verdana" w:hAnsi="Verdana"/>
          <w:sz w:val="20"/>
          <w:szCs w:val="20"/>
        </w:rPr>
      </w:pPr>
      <w:r w:rsidRPr="00E00B35">
        <w:rPr>
          <w:rFonts w:ascii="Verdana" w:hAnsi="Verdana"/>
          <w:sz w:val="20"/>
          <w:szCs w:val="20"/>
        </w:rPr>
        <w:t xml:space="preserve">W 2020 roku opracowano nowe zasady naboru wniosków, umożliwiając ich składanie w systemie ciągłym przez cały rok. Nowy nabór został uruchomiony z dniem 19 października 2020 r. W ramach tego naboru  złożono  42 wnioski o udzielenie dotacji. W 2020 roku rozliczono i przygotowano wnioski o płatność w 74 sprawach objętych dotacją. Na realizację programu dotacyjnego w 2020 roku z budżetu miasta wydatkowano kwotę </w:t>
      </w:r>
      <w:r w:rsidRPr="00E00B35">
        <w:rPr>
          <w:rStyle w:val="Pogrubienie"/>
          <w:rFonts w:ascii="Verdana" w:hAnsi="Verdana"/>
          <w:b w:val="0"/>
          <w:sz w:val="20"/>
          <w:szCs w:val="20"/>
        </w:rPr>
        <w:t>285 391,57 </w:t>
      </w:r>
      <w:r w:rsidRPr="00E00B35">
        <w:rPr>
          <w:rFonts w:ascii="Verdana" w:hAnsi="Verdana"/>
          <w:sz w:val="20"/>
          <w:szCs w:val="20"/>
        </w:rPr>
        <w:t xml:space="preserve">zł. </w:t>
      </w:r>
    </w:p>
    <w:p w:rsidR="007A4D59" w:rsidRPr="00E00B35" w:rsidRDefault="007A4D59" w:rsidP="00E00B35">
      <w:pPr>
        <w:pStyle w:val="Nagwek5"/>
        <w:rPr>
          <w:szCs w:val="20"/>
        </w:rPr>
      </w:pPr>
      <w:bookmarkStart w:id="663" w:name="_Toc71032615"/>
      <w:bookmarkStart w:id="664" w:name="_Toc71034597"/>
      <w:r w:rsidRPr="00E00B35">
        <w:rPr>
          <w:szCs w:val="20"/>
        </w:rPr>
        <w:t>ZADANIE NR 2: KONTYNUACJA PROGRAMU USUWANIA AZBESTU I WYROBÓW ZAWIERAJĄCYCH AZBEST Z TERENU WROCŁAWIA</w:t>
      </w:r>
      <w:bookmarkEnd w:id="663"/>
      <w:bookmarkEnd w:id="664"/>
    </w:p>
    <w:p w:rsidR="007A4D59" w:rsidRPr="00E00B35" w:rsidRDefault="007A4D59" w:rsidP="00E00B35">
      <w:pPr>
        <w:spacing w:after="0" w:line="312" w:lineRule="auto"/>
        <w:rPr>
          <w:iCs/>
          <w:szCs w:val="20"/>
        </w:rPr>
      </w:pPr>
      <w:r w:rsidRPr="00E00B35">
        <w:rPr>
          <w:iCs/>
          <w:szCs w:val="20"/>
        </w:rPr>
        <w:t>Program usuwania azbestu i wyrobów zawierających azbest dla miasta Wrocławia na lata 2012-2032 został przyjęty uchwałą Nr XXIII/528/12 Rady Miejskiej Wrocławia z dnia 15 marca 2012 r. Podstawą opracowania Programu są zadania samorządów powiatowych i gminnych zawarte w Programie Oczyszczania Kraju z Azbestu na lata 2009-2032.</w:t>
      </w:r>
      <w:r w:rsidRPr="00E00B35">
        <w:rPr>
          <w:szCs w:val="20"/>
        </w:rPr>
        <w:t xml:space="preserve"> </w:t>
      </w:r>
      <w:r w:rsidRPr="00E00B35">
        <w:rPr>
          <w:iCs/>
          <w:szCs w:val="20"/>
        </w:rPr>
        <w:t>Cele programu miejskiego są zbieżne z celami przyjętymi w programie krajowym. Zakłada się usunięcie i unieszkodliwienie wyrobów zawierających azbest z terenu Wrocławia i jednocześnie minimalizację negatywnych skutków zdrowotnych spowodowanych obecnością azbestu oraz likwidację szkodliwego oddziaływania azbestu na środowisko. Program usuwania azbestu jest zadaniem ujętym w Polityce społeczno-gospodarczej Wrocławia.</w:t>
      </w:r>
    </w:p>
    <w:p w:rsidR="007A4D59" w:rsidRPr="00E00B35" w:rsidRDefault="007A4D59" w:rsidP="00E00B35">
      <w:pPr>
        <w:spacing w:after="0" w:line="312" w:lineRule="auto"/>
        <w:rPr>
          <w:szCs w:val="20"/>
        </w:rPr>
      </w:pPr>
      <w:r w:rsidRPr="00E00B35">
        <w:rPr>
          <w:szCs w:val="20"/>
        </w:rPr>
        <w:t xml:space="preserve">Program usuwania azbestu i wyrobów zawierających azbest z terenu miasta Wrocławia realizowany jest od 2012 r. W ramach Programu w latach 2012-2020 z terenu Wrocławia usunięto 1,116 tys. ton wyrobów azbestowych z 493 obiektów i nieruchomości. Masa </w:t>
      </w:r>
      <w:r w:rsidRPr="00E00B35">
        <w:rPr>
          <w:szCs w:val="20"/>
        </w:rPr>
        <w:lastRenderedPageBreak/>
        <w:t xml:space="preserve">usuniętych w poszczególnych latach wyrobów azbestowych uzależniona jest od zgłoszeń mieszkańców. </w:t>
      </w:r>
    </w:p>
    <w:p w:rsidR="007A4D59" w:rsidRPr="00E00B35" w:rsidRDefault="007A4D59" w:rsidP="00E00B35">
      <w:pPr>
        <w:spacing w:after="0" w:line="312" w:lineRule="auto"/>
        <w:rPr>
          <w:b/>
          <w:szCs w:val="20"/>
        </w:rPr>
      </w:pPr>
    </w:p>
    <w:p w:rsidR="007A4D59" w:rsidRPr="00E00B35" w:rsidRDefault="007A4D59" w:rsidP="00E00B35">
      <w:pPr>
        <w:spacing w:after="0" w:line="312" w:lineRule="auto"/>
        <w:rPr>
          <w:b/>
          <w:szCs w:val="20"/>
        </w:rPr>
      </w:pPr>
      <w:r w:rsidRPr="00E00B35">
        <w:rPr>
          <w:b/>
          <w:noProof/>
          <w:szCs w:val="20"/>
          <w:lang w:val="pl-PL" w:eastAsia="pl-PL" w:bidi="ar-SA"/>
        </w:rPr>
        <w:drawing>
          <wp:inline distT="0" distB="0" distL="0" distR="0">
            <wp:extent cx="4018280" cy="2117725"/>
            <wp:effectExtent l="0" t="0" r="0" b="0"/>
            <wp:docPr id="156" name="Wykres 3" descr="Wykres słupkowy z masą usunietych wyrobów azbestowych w latach 2012-2010.Najwyższy słupek jest w roku 2014 (260 ton) a najniższy w 2019 (45 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3" descr="Wykres słupkowy z masą usunietych wyrobów azbestowych w latach 2012-2010.Najwyższy słupek jest w roku 2014 (260 ton) a najniższy w 2019 (45 ton)"/>
                    <pic:cNvPicPr>
                      <a:picLocks noChangeArrowheads="1"/>
                    </pic:cNvPicPr>
                  </pic:nvPicPr>
                  <pic:blipFill>
                    <a:blip r:embed="rId144" cstate="print"/>
                    <a:srcRect l="-3931" t="-3645" r="-4614" b="-7436"/>
                    <a:stretch>
                      <a:fillRect/>
                    </a:stretch>
                  </pic:blipFill>
                  <pic:spPr bwMode="auto">
                    <a:xfrm>
                      <a:off x="0" y="0"/>
                      <a:ext cx="4018280" cy="2117725"/>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szCs w:val="20"/>
        </w:rPr>
      </w:pPr>
      <w:r w:rsidRPr="00E00B35">
        <w:rPr>
          <w:szCs w:val="20"/>
        </w:rPr>
        <w:t>Masa wyrobów azbestowych usuniętych w latach 2012-2020</w:t>
      </w:r>
    </w:p>
    <w:p w:rsidR="007A4D59" w:rsidRPr="00E00B35" w:rsidRDefault="007A4D59" w:rsidP="00E00B35">
      <w:pPr>
        <w:spacing w:after="0" w:line="312" w:lineRule="auto"/>
        <w:rPr>
          <w:b/>
          <w:szCs w:val="20"/>
        </w:rPr>
      </w:pPr>
    </w:p>
    <w:p w:rsidR="007A4D59" w:rsidRPr="00E00B35" w:rsidRDefault="007A4D59" w:rsidP="00E00B35">
      <w:pPr>
        <w:spacing w:after="0" w:line="312" w:lineRule="auto"/>
        <w:rPr>
          <w:b/>
          <w:szCs w:val="20"/>
        </w:rPr>
      </w:pPr>
      <w:r w:rsidRPr="00E00B35">
        <w:rPr>
          <w:b/>
          <w:noProof/>
          <w:szCs w:val="20"/>
          <w:lang w:val="pl-PL" w:eastAsia="pl-PL" w:bidi="ar-SA"/>
        </w:rPr>
        <w:drawing>
          <wp:inline distT="0" distB="0" distL="0" distR="0">
            <wp:extent cx="3825875" cy="2117725"/>
            <wp:effectExtent l="0" t="0" r="0" b="0"/>
            <wp:docPr id="155" name="Wykres 1" descr="Wykres słupkowy z liczbą obiektów z których usunieto azbest.Najwyzsza liczba budynków jest w roku 2012 ( 119 obiektów) a najniższa w 2016 ( 30  obiektó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descr="Wykres słupkowy z liczbą obiektów z których usunieto azbest.Najwyzsza liczba budynków jest w roku 2012 ( 119 obiektów) a najniższa w 2016 ( 30  obiektów)"/>
                    <pic:cNvPicPr>
                      <a:picLocks noChangeArrowheads="1"/>
                    </pic:cNvPicPr>
                  </pic:nvPicPr>
                  <pic:blipFill>
                    <a:blip r:embed="rId145" cstate="print"/>
                    <a:srcRect l="-4022" t="-3645" r="-4622" b="-7436"/>
                    <a:stretch>
                      <a:fillRect/>
                    </a:stretch>
                  </pic:blipFill>
                  <pic:spPr bwMode="auto">
                    <a:xfrm>
                      <a:off x="0" y="0"/>
                      <a:ext cx="3825875" cy="2117725"/>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szCs w:val="20"/>
        </w:rPr>
      </w:pPr>
      <w:r w:rsidRPr="00E00B35">
        <w:rPr>
          <w:szCs w:val="20"/>
        </w:rPr>
        <w:t>Liczba obiektów z których zostały usunięte wyroby azbestowe w latach 2012-2020</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W 2020 roku, w części Programu mającej na celu udzielenie wsparcia finansowego na realizację zadania polegającego na usuwaniu wyrobów zawierających azbest osobom fizycznym i prawnym wykorzystującym wyroby zawierające azbest lub posiadającym odpady azbestowe na terenie Wrocławia:</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przygotowano dokumentację i złożono wniosek do Wojewódzkiego Funduszu Ochrony Środowiska we Wrocławiu o dofinansowanie zadania pn.: „Program usuwania azbestu i wyrobów zawierających azbest z terenu miasta Wrocławia w 2020 roku”. Wniosek obejmował nieruchomości z których właściciele zadeklarowali usunięcie wyrobów azbestowych w 2020 roku,</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wykonawca prac został wybrany po rozstrzygnięciu trzeciego ogłoszonego zapytania ofertowego Oferent wybrany w pierwszym zapytaniu ofertowym nie podpisał umowy na realizację zadania. W odpowiedzi na drugie zapytanie została złożona jedna oferta, jednak postępowanie unieważniono z uwagi na zbyt wysoką zaoferowaną cenę.  W wyniku rozstrzygnięcia trzeciego zapytania ofertowego został wybrany </w:t>
      </w:r>
      <w:r w:rsidRPr="00E00B35">
        <w:rPr>
          <w:szCs w:val="20"/>
        </w:rPr>
        <w:lastRenderedPageBreak/>
        <w:t>wykonawca, który zrealizował prace polegające na usuwaniu wyrobów azbestowych z terenu Wrocławia w okresie od 18 czerwca do 15 września 2020 r.,</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wykonawca usunął z terenu miasta łącznie 51,209 ton wyrobów azbestowych. Prace zostały zrealizowane na 33 nieruchomościach, w tym 30 nieruchomościach osób fizycznych, 2 nieruchomościach osób prawnych i 1 nieruchomości gminnej, </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Wojewódzki Fundusz Ochrony Środowiska i Gospodarki Wodnej we Wrocławiu dofinansował zadanie na podstawie umowy dotacji nr 946/D/OZ/WR/2020 z dnia 9 listopada 2020 r. zawartej z Gminą Wrocław. Koszt realizacji Programu wyniósł ogółem 55 250,41 zł. Wartość dotacji z funduszy ochrony środowiska wyniosła 14 338,52 zł, co stanowiło 40 % kosztów kwalifikowanych zadania,</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zostały zebrane Deklaracje osób fizycznych i prawnych dotyczące udziału w Programie w roku 2021.</w:t>
      </w:r>
    </w:p>
    <w:p w:rsidR="007A4D59" w:rsidRPr="00E00B35" w:rsidRDefault="007A4D59" w:rsidP="00E00B35">
      <w:pPr>
        <w:pStyle w:val="Tekstpodstawowy"/>
        <w:spacing w:after="0" w:line="312" w:lineRule="auto"/>
        <w:rPr>
          <w:szCs w:val="20"/>
        </w:rPr>
      </w:pPr>
      <w:r w:rsidRPr="00E00B35">
        <w:rPr>
          <w:szCs w:val="20"/>
        </w:rPr>
        <w:t>Zaktualizowano informacje zamieszczone na stronie internetowej Urzędu Miejskiego o szkodliwości azbestu, zasadach bezpiecznego postępowania z wyrobami azbestowymi, obowiązkach właścicieli nieruchomości związanych z użytkowaniem tych wyrobów oraz możliwościach pozyskania dofinansowania na usuwanie azbestu.</w:t>
      </w:r>
    </w:p>
    <w:p w:rsidR="007A4D59" w:rsidRPr="00E00B35" w:rsidRDefault="007A4D59" w:rsidP="00E00B35">
      <w:pPr>
        <w:pStyle w:val="Tekstpodstawowy"/>
        <w:spacing w:after="0" w:line="312" w:lineRule="auto"/>
        <w:rPr>
          <w:szCs w:val="20"/>
        </w:rPr>
      </w:pPr>
      <w:r w:rsidRPr="00E00B35">
        <w:rPr>
          <w:szCs w:val="20"/>
        </w:rPr>
        <w:t>Na bieżąco przyjmowano „Informacje o wyrobach zawierających azbest” przekazywane przez osoby fizyczne nieprowadzące działalności gospodarczej, zgodnie z przepisami ustawy Prawo ochrony środowiska. Dane o wyrobach zawierających azbest zostały zamieszczone w Bazie Azbestowej.</w:t>
      </w:r>
    </w:p>
    <w:p w:rsidR="007A4D59" w:rsidRPr="00E00B35" w:rsidRDefault="007A4D59" w:rsidP="00E00B35">
      <w:pPr>
        <w:pStyle w:val="Nagwek5"/>
        <w:rPr>
          <w:szCs w:val="20"/>
        </w:rPr>
      </w:pPr>
      <w:bookmarkStart w:id="665" w:name="_Toc71032616"/>
      <w:bookmarkStart w:id="666" w:name="_Toc71034598"/>
      <w:r w:rsidRPr="00E00B35">
        <w:rPr>
          <w:szCs w:val="20"/>
        </w:rPr>
        <w:t>ZADANIE NR 3 - OPRACOWANIE MAPY AKUSTYCZNEJ WROCŁAWIA ORAZ AKTUALIZACJA PROGRAMU OCHRONY ŚRODOWISKA PRZED HAŁASEM DLA MIASTA WROCŁAWIA</w:t>
      </w:r>
      <w:bookmarkEnd w:id="665"/>
      <w:bookmarkEnd w:id="666"/>
    </w:p>
    <w:p w:rsidR="007A4D59" w:rsidRPr="00E00B35" w:rsidRDefault="007A4D59" w:rsidP="00E00B35">
      <w:pPr>
        <w:pStyle w:val="Nagwek4"/>
        <w:spacing w:before="0" w:after="0" w:line="312" w:lineRule="auto"/>
        <w:rPr>
          <w:b w:val="0"/>
          <w:sz w:val="20"/>
          <w:szCs w:val="20"/>
        </w:rPr>
      </w:pPr>
      <w:r w:rsidRPr="00E00B35">
        <w:rPr>
          <w:b w:val="0"/>
          <w:sz w:val="20"/>
          <w:szCs w:val="20"/>
        </w:rPr>
        <w:t>Działania związane z ochroną przed hałasem</w:t>
      </w:r>
    </w:p>
    <w:p w:rsidR="007A4D59" w:rsidRPr="00E00B35" w:rsidRDefault="007A4D59" w:rsidP="00E00B35">
      <w:pPr>
        <w:pStyle w:val="Bezodstpw"/>
        <w:spacing w:line="312" w:lineRule="auto"/>
        <w:rPr>
          <w:rFonts w:ascii="Verdana" w:hAnsi="Verdana"/>
          <w:sz w:val="20"/>
          <w:szCs w:val="20"/>
        </w:rPr>
      </w:pPr>
      <w:r w:rsidRPr="00E00B35">
        <w:rPr>
          <w:rFonts w:ascii="Verdana" w:hAnsi="Verdana"/>
          <w:sz w:val="20"/>
          <w:szCs w:val="20"/>
        </w:rPr>
        <w:t xml:space="preserve">W celu skutecznego prowadzenia prac nad redukcją hałasu w mieście powołany przez Prezydenta Wrocławia w dniu  11 lutego 2019 r. Zespół ds. redukcji hałasu we Wrocławiu nadzorował i prowadził działania na rzecz poprawy jakości klimatu akustycznego we Wrocławiu. W 2020 roku odbyły się 3 posiedzenia Zespołu ds. redukcji hałasu we Wrocławiu. </w:t>
      </w:r>
    </w:p>
    <w:p w:rsidR="007A4D59" w:rsidRPr="00E00B35" w:rsidRDefault="007A4D59" w:rsidP="00E00B35">
      <w:pPr>
        <w:pStyle w:val="Bezodstpw"/>
        <w:spacing w:line="312" w:lineRule="auto"/>
        <w:rPr>
          <w:rFonts w:ascii="Verdana" w:hAnsi="Verdana"/>
          <w:sz w:val="20"/>
          <w:szCs w:val="20"/>
        </w:rPr>
      </w:pPr>
    </w:p>
    <w:p w:rsidR="007A4D59" w:rsidRPr="00E00B35" w:rsidRDefault="007A4D59" w:rsidP="00E00B35">
      <w:pPr>
        <w:pStyle w:val="Bezodstpw"/>
        <w:spacing w:line="312" w:lineRule="auto"/>
        <w:rPr>
          <w:rFonts w:ascii="Verdana" w:hAnsi="Verdana"/>
          <w:sz w:val="20"/>
          <w:szCs w:val="20"/>
        </w:rPr>
      </w:pPr>
      <w:r w:rsidRPr="00E00B35">
        <w:rPr>
          <w:rFonts w:ascii="Verdana" w:hAnsi="Verdana"/>
          <w:sz w:val="20"/>
          <w:szCs w:val="20"/>
        </w:rPr>
        <w:t xml:space="preserve">W trakcie spotkań omawiane były m.in. tematy dotyczące: </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wyboru obszarów cichych na terenie miasta Wrocławia do dalszego procedowania,</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realizacji zadań naprawczych redukcji hałasu komunikacyjnego określonych </w:t>
      </w:r>
      <w:r w:rsidRPr="00E00B35">
        <w:rPr>
          <w:szCs w:val="20"/>
        </w:rPr>
        <w:br/>
        <w:t xml:space="preserve"> w Programie ochrony środowiska przed hałasem dla miasta Wrocławia i ich uwzględnienie w opracowywanym WPI na lata 2020-2024, </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działań możliwych do podjęcia przez poszczególne komórki i jednostki w celu redukcji  hałasu we Wrocławiu, </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współpracy z Politechniką Wrocławską w ramach zawartego porozumienia.</w:t>
      </w:r>
    </w:p>
    <w:p w:rsidR="007A4D59" w:rsidRPr="00E00B35" w:rsidRDefault="007A4D59" w:rsidP="00E00B35">
      <w:pPr>
        <w:pStyle w:val="Bezodstpw"/>
        <w:spacing w:line="312" w:lineRule="auto"/>
        <w:rPr>
          <w:rFonts w:ascii="Verdana" w:hAnsi="Verdana"/>
          <w:sz w:val="20"/>
          <w:szCs w:val="20"/>
        </w:rPr>
      </w:pPr>
      <w:r w:rsidRPr="00E00B35">
        <w:rPr>
          <w:rFonts w:ascii="Verdana" w:hAnsi="Verdana"/>
          <w:sz w:val="20"/>
          <w:szCs w:val="20"/>
        </w:rPr>
        <w:t xml:space="preserve">Pracownicy Wydziału przeprowadzili dobowe pomiary hałasu w 8 lokalizacjach z wykorzystaniem mobilnej przyczepy pomiarowej. Wytypowano cztery punkty pomiarowe na obszarze potencjalnych obszarów cichych. Dwa punkty pomiarowe zlokalizowano w sąsiedztwie Wyspy Słodowej, która jest miejscem licznych interwencji prowadzonych przez Policję i Straż Miejską Wrocławia. W ramach współpracy z MPK sp. z o.o. </w:t>
      </w:r>
      <w:r w:rsidRPr="00E00B35">
        <w:rPr>
          <w:rFonts w:ascii="Verdana" w:hAnsi="Verdana"/>
          <w:sz w:val="20"/>
          <w:szCs w:val="20"/>
        </w:rPr>
        <w:lastRenderedPageBreak/>
        <w:t>przeprowadzono pomiary hałasu tramwajowego w dwóch lokalizacjach, przy ul. Kosmonautów i al. Hallera. Pomiary przeprowadzono w związku z planowanym remontem i przebudową ww. dróg. Powtórne pomiary zostaną przeprowadzone po zrealizowaniu planowanych inwestycji w tych lokalizacjach. Zespół ds. redukcji hałasu we Wrocławiu zarekomendował, po przeprowadzeniu pomiarów hałasu i wnikliwej analizie, Park Biskupiński do dalszego procedowania celem wyznaczenia pierwszego obszaru cichego na terenie Wrocławia.</w:t>
      </w:r>
    </w:p>
    <w:p w:rsidR="007A4D59" w:rsidRPr="00E00B35" w:rsidRDefault="007A4D59" w:rsidP="00E00B35">
      <w:pPr>
        <w:pStyle w:val="NormalnyWeb"/>
        <w:spacing w:before="0" w:beforeAutospacing="0" w:after="0" w:afterAutospacing="0" w:line="312" w:lineRule="auto"/>
        <w:rPr>
          <w:szCs w:val="20"/>
        </w:rPr>
      </w:pPr>
      <w:r w:rsidRPr="00E00B35">
        <w:rPr>
          <w:szCs w:val="20"/>
        </w:rPr>
        <w:t xml:space="preserve">Do zadań Wydziału należało również utrzymywanie w sprawności dwóch stacji monitoringu hałasu, natężenia ruchu pojazdów i warunków atmosferycznych, zlokalizowanych przy ul. Bardzkiej oraz ul. Kowalskiej. Umowa na serwis stacji w latach 2020-2021 została podpisana w styczniu 2020 r. Na podstawie przekazanych w 2020 r. przez Wojewódzki Inspektorat Ochrony Środowiska we Wrocławiu sprawozdań z kontrolnych pomiarów poziomu dźwięku w środowisku, prowadzono </w:t>
      </w:r>
      <w:r w:rsidRPr="00E00B35">
        <w:rPr>
          <w:bCs/>
          <w:szCs w:val="20"/>
        </w:rPr>
        <w:t>2</w:t>
      </w:r>
      <w:r w:rsidRPr="00E00B35">
        <w:rPr>
          <w:szCs w:val="20"/>
        </w:rPr>
        <w:t xml:space="preserve"> postępowania administracyjne w sprawie określenia dopuszczalnych poziomów hałasu w środowisku. W wyniku tych postępowań wydano 2</w:t>
      </w:r>
      <w:r w:rsidRPr="00E00B35">
        <w:rPr>
          <w:bCs/>
          <w:szCs w:val="20"/>
        </w:rPr>
        <w:t xml:space="preserve"> </w:t>
      </w:r>
      <w:r w:rsidRPr="00E00B35">
        <w:rPr>
          <w:szCs w:val="20"/>
        </w:rPr>
        <w:t xml:space="preserve">decyzje administracyjne ustalające dopuszczalne poziomy hałasu w środowisku. </w:t>
      </w:r>
    </w:p>
    <w:p w:rsidR="00E90A4F" w:rsidRPr="00E00B35" w:rsidRDefault="00E90A4F" w:rsidP="00E00B35">
      <w:pPr>
        <w:pStyle w:val="Nagwek4"/>
        <w:spacing w:before="0" w:after="0" w:line="312" w:lineRule="auto"/>
        <w:rPr>
          <w:b w:val="0"/>
          <w:sz w:val="2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W zakresie ochrony środowiska przed hałasem:</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podjęto 42 interwencje w związku ze zgłoszeniami mieszkańców na uciążliwy hałas przemysłowy (pochodzący m.in. od instalacji wentylacyjnych, chłodniczych) oraz drogowy i tramwajowy,</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wydano 8 opinii w ramach wniosków złożonych przez inwestorów, mieszkańców i Rad Osiedli,</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przekazano 5 spraw organom właściwym do rozpatrzenia wniosków,</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sporządzono 183 opinii dotyczących akustycznego oddziaływania planowanych przedsięwzięć na środowisko w ramach prowadzonych postępowań w sprawie wydania decyzji o środowiskowych uwarunkowaniach,</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wydano 30 opinii w zakresie uwarunkowań akustycznych do miejscowych planów zagospodarowania przestrzennego będących w trakcie opracowania.</w:t>
      </w:r>
    </w:p>
    <w:p w:rsidR="007A4D59" w:rsidRPr="00E00B35" w:rsidRDefault="007A4D59" w:rsidP="00E00B35">
      <w:pPr>
        <w:pStyle w:val="Tekstpodstawowy"/>
        <w:spacing w:after="0" w:line="312" w:lineRule="auto"/>
        <w:rPr>
          <w:b/>
          <w:szCs w:val="20"/>
        </w:rPr>
      </w:pPr>
    </w:p>
    <w:p w:rsidR="007A4D59" w:rsidRPr="00E00B35" w:rsidRDefault="007A4D59" w:rsidP="00E00B35">
      <w:pPr>
        <w:pStyle w:val="Nagwek5"/>
        <w:rPr>
          <w:szCs w:val="20"/>
        </w:rPr>
      </w:pPr>
      <w:bookmarkStart w:id="667" w:name="_Toc71032617"/>
      <w:bookmarkStart w:id="668" w:name="_Toc71034599"/>
      <w:r w:rsidRPr="00E00B35">
        <w:rPr>
          <w:szCs w:val="20"/>
        </w:rPr>
        <w:t>ZADANIE NR 4: WROCŁAWSKI PROGRAM ANTYSMOGOWY</w:t>
      </w:r>
      <w:bookmarkEnd w:id="667"/>
      <w:bookmarkEnd w:id="668"/>
    </w:p>
    <w:p w:rsidR="007A4D59" w:rsidRPr="00E00B35" w:rsidRDefault="007A4D59" w:rsidP="00E00B35">
      <w:pPr>
        <w:spacing w:after="0" w:line="312" w:lineRule="auto"/>
        <w:rPr>
          <w:b/>
          <w:szCs w:val="20"/>
        </w:rPr>
      </w:pPr>
    </w:p>
    <w:p w:rsidR="007A4D59" w:rsidRPr="00E00B35" w:rsidRDefault="007A4D59" w:rsidP="00E00B35">
      <w:pPr>
        <w:spacing w:after="0" w:line="312" w:lineRule="auto"/>
        <w:rPr>
          <w:szCs w:val="20"/>
        </w:rPr>
      </w:pPr>
      <w:r w:rsidRPr="00E00B35">
        <w:rPr>
          <w:szCs w:val="20"/>
        </w:rPr>
        <w:t>Wrocław jako pierwsze miasto w Polsce wprowadził „Wrocław bez smogu”- program obejmujący:</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dofinansowanie kosztów wymiany pieców– KAWKA Plus,  </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zwolnienia i ulgi w czynszach dla najemców komunalnych, którzy zdecydowali się na:</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wymianę pieca,  </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dofinansowanie wymiany drewnianych, nieszczelnych okien-Termo KAWKA,  </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dopłaty do rachunków za ogrzewanie dla osób, które zlikwidowały piece na paliwa stałe – Lokalny Program Osłonowy.</w:t>
      </w:r>
    </w:p>
    <w:p w:rsidR="007A4D59" w:rsidRPr="00E00B35" w:rsidRDefault="007A4D59" w:rsidP="00E00B35">
      <w:pPr>
        <w:pStyle w:val="Akapitzlist"/>
        <w:spacing w:after="0" w:line="312" w:lineRule="auto"/>
        <w:ind w:left="0"/>
        <w:rPr>
          <w:rFonts w:cs="Helv"/>
          <w:color w:val="000000"/>
          <w:szCs w:val="20"/>
        </w:rPr>
      </w:pPr>
      <w:r w:rsidRPr="00E00B35">
        <w:rPr>
          <w:rFonts w:cs="Helv"/>
          <w:color w:val="000000"/>
          <w:szCs w:val="20"/>
        </w:rPr>
        <w:t xml:space="preserve">Kluczowym elementem kampanii było rozpoczęcie akcji „Zmień piec” obejmującej wsparcie informacyjne, dotyczące obowiązujących procedur i przepisów, poprzez wskazanie źródeł finansowania takiej wymiany, aż po edukację w zakresie zasad </w:t>
      </w:r>
      <w:r w:rsidRPr="00E00B35">
        <w:rPr>
          <w:rFonts w:cs="Helv"/>
          <w:color w:val="000000"/>
          <w:szCs w:val="20"/>
        </w:rPr>
        <w:lastRenderedPageBreak/>
        <w:t>optymalnej eksploatacji nowych źródeł ciepła. W ramach akcji „Zmień piec” organizowano spotkania z mieszkańcami wrocławskich osiedli, realizowano doradztwo energetyczne, przeprowadzono szeroko zakrojoną kampanię outdoorową, działania medialne oraz internetowe. Głównym założeniem akcji jest bezpośrednie dotarcie do osób tych dzielnic Wrocławia, w których zagęszczenie pieców jest największe, dlatego akcję rozpoczęto od spotkań informacyjnych na dedykowanych osiedlach.</w:t>
      </w:r>
    </w:p>
    <w:p w:rsidR="007A4D59" w:rsidRPr="00E00B35" w:rsidRDefault="007A4D59" w:rsidP="00E00B35">
      <w:pPr>
        <w:pStyle w:val="Akapitzlist"/>
        <w:spacing w:after="0" w:line="312" w:lineRule="auto"/>
        <w:ind w:left="0"/>
        <w:rPr>
          <w:bCs/>
          <w:color w:val="000000"/>
          <w:szCs w:val="20"/>
        </w:rPr>
      </w:pPr>
      <w:r w:rsidRPr="00E00B35">
        <w:rPr>
          <w:bCs/>
          <w:color w:val="000000"/>
          <w:szCs w:val="20"/>
        </w:rPr>
        <w:t>Kluczowym elementem kampanii była współpraca z mediami w celu informowania, rozpowszechniania wiedzy i promocji akcji mającej na celu zwrócenie uwagi na zanieczyszczenie powietrza.</w:t>
      </w:r>
    </w:p>
    <w:p w:rsidR="007A4D59" w:rsidRPr="00E00B35" w:rsidRDefault="007A4D59" w:rsidP="00E00B35">
      <w:pPr>
        <w:pStyle w:val="Akapitzlist"/>
        <w:tabs>
          <w:tab w:val="left" w:pos="142"/>
        </w:tabs>
        <w:spacing w:after="0" w:line="312" w:lineRule="auto"/>
        <w:ind w:left="0"/>
        <w:rPr>
          <w:bCs/>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Artykuły prasowe</w:t>
      </w:r>
    </w:p>
    <w:p w:rsidR="007A4D59" w:rsidRPr="00E00B35" w:rsidRDefault="007A4D59" w:rsidP="00E00B35">
      <w:pPr>
        <w:spacing w:after="0" w:line="312" w:lineRule="auto"/>
        <w:rPr>
          <w:rFonts w:cs="Helv"/>
          <w:color w:val="000000"/>
          <w:szCs w:val="20"/>
        </w:rPr>
      </w:pPr>
      <w:r w:rsidRPr="00E00B35">
        <w:rPr>
          <w:rFonts w:cs="Helv"/>
          <w:color w:val="000000"/>
          <w:szCs w:val="20"/>
        </w:rPr>
        <w:t>Zamieszczano artykuły nawiązujące do akcji „Zmień piec”. Można je było przeczytać m.in. w Gazecie Wyborczej, Fakcie, Wroclife, Gazecie Sąsiedzkiej, Gazecie Południowej, Głosie Mordoru oraz na łamach 12 gazetek osiedlowych.</w:t>
      </w:r>
    </w:p>
    <w:p w:rsidR="007A4D59" w:rsidRPr="00E00B35" w:rsidRDefault="007A4D59" w:rsidP="00E00B35">
      <w:pPr>
        <w:spacing w:after="0" w:line="312" w:lineRule="auto"/>
        <w:rPr>
          <w:rFonts w:cs="Helv"/>
          <w:color w:val="000000"/>
          <w:szCs w:val="20"/>
        </w:rPr>
      </w:pPr>
      <w:r w:rsidRPr="00E00B35">
        <w:rPr>
          <w:rFonts w:cs="Helv"/>
          <w:color w:val="000000"/>
          <w:szCs w:val="20"/>
        </w:rPr>
        <w:t>Zapoczątkowano także cykl „Czwartek z doradcą energetycznym”, w ramach którego, co tydzień wrocławscy doradcy „spotykali się” z czytelnikami na łamach gazety „Fakt”. Artykuły były krótkimi poradnikami na co zwrócić uwagę przy wyborze ogrzewania, czy jak otrzymać 15 000 złotych na nowe źródło ciepła oraz wymianę okien.</w:t>
      </w:r>
    </w:p>
    <w:p w:rsidR="007A4D59" w:rsidRPr="00E00B35" w:rsidRDefault="007A4D59" w:rsidP="00E00B35">
      <w:pPr>
        <w:spacing w:after="0" w:line="312" w:lineRule="auto"/>
        <w:rPr>
          <w:rFonts w:cs="Helv"/>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Internet</w:t>
      </w:r>
    </w:p>
    <w:p w:rsidR="007A4D59" w:rsidRPr="00E00B35" w:rsidRDefault="007A4D59" w:rsidP="00E00B35">
      <w:pPr>
        <w:spacing w:after="0" w:line="312" w:lineRule="auto"/>
        <w:rPr>
          <w:rFonts w:cs="Helv"/>
          <w:color w:val="000000"/>
          <w:szCs w:val="20"/>
        </w:rPr>
      </w:pPr>
      <w:r w:rsidRPr="00E00B35">
        <w:rPr>
          <w:rFonts w:cs="Helv"/>
          <w:color w:val="000000"/>
          <w:szCs w:val="20"/>
        </w:rPr>
        <w:t>Oprócz działań mających na celu bezpośredni kontakt z mieszkańcami, mocny nacisk położono także na szeroko zakrojoną akcję w internecie oraz mediach społecznościowych. Powstała nowa strona internetowa zmienpiec.pl, fanpage akcji, uruchomiony został także „chatbot" - wirtualny asystent miasta Wrocław. Chatbot pomaga m.in. znaleźć  najważniejsze informacje dotyczące wymiany pieców we Wrocławiu, odszukać szczegóły dotyczące programów dofinansowań czy uzyskać odpowiedzi na najczęściej zadawane pytania. W ramach funkcjonowania strony zmienpiec.pl utworzono również zakładkę informującą mieszkańców o prowadzonych działaniach dotyczących projektów unijnych realizowanych w ramach Zintegrowanych Inwestycji Terytorialnych - dofinansowanie wymiany starych źródeł ogrzewania w lokalach komunalnych należących do Gminy Wrocław.</w:t>
      </w:r>
    </w:p>
    <w:p w:rsidR="00E90A4F" w:rsidRPr="00E00B35" w:rsidRDefault="00E90A4F" w:rsidP="00E00B35">
      <w:pPr>
        <w:spacing w:after="0" w:line="312" w:lineRule="auto"/>
        <w:rPr>
          <w:rFonts w:cs="Helv"/>
          <w:color w:val="000000"/>
          <w:szCs w:val="20"/>
        </w:rPr>
      </w:pPr>
    </w:p>
    <w:p w:rsidR="007A4D59" w:rsidRPr="00E00B35" w:rsidRDefault="00573162" w:rsidP="00E00B35">
      <w:pPr>
        <w:spacing w:after="0" w:line="312" w:lineRule="auto"/>
        <w:rPr>
          <w:rFonts w:cs="Helv"/>
          <w:color w:val="000000"/>
          <w:szCs w:val="20"/>
        </w:rPr>
      </w:pPr>
      <w:hyperlink r:id="rId146" w:history="1">
        <w:r w:rsidR="007A4D59" w:rsidRPr="00E00B35">
          <w:rPr>
            <w:rStyle w:val="Hipercze"/>
            <w:rFonts w:cs="Helv"/>
            <w:szCs w:val="20"/>
          </w:rPr>
          <w:t>Zmień piec</w:t>
        </w:r>
      </w:hyperlink>
    </w:p>
    <w:p w:rsidR="007A4D59" w:rsidRPr="00E00B35" w:rsidRDefault="007A4D59" w:rsidP="00E00B35">
      <w:pPr>
        <w:pStyle w:val="Nagwek4"/>
        <w:spacing w:before="0" w:after="0" w:line="312" w:lineRule="auto"/>
        <w:rPr>
          <w:b w:val="0"/>
          <w:sz w:val="2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Cykl nagrań on - line „ Ekspert radzi”</w:t>
      </w:r>
    </w:p>
    <w:p w:rsidR="007A4D59" w:rsidRPr="00E00B35" w:rsidRDefault="007A4D59" w:rsidP="00E00B35">
      <w:pPr>
        <w:spacing w:after="0" w:line="312" w:lineRule="auto"/>
        <w:rPr>
          <w:rFonts w:cs="Helv"/>
          <w:color w:val="000000"/>
          <w:szCs w:val="20"/>
        </w:rPr>
      </w:pPr>
      <w:r w:rsidRPr="00E00B35">
        <w:rPr>
          <w:rFonts w:cs="Helv"/>
          <w:color w:val="000000"/>
          <w:szCs w:val="20"/>
        </w:rPr>
        <w:t xml:space="preserve">W ramach działań internetowych powstał m.in. cykl nagrań „Ekspert radzi”. Były to spotkania online z wrocławskimi doradcami energetycznymi, z kominiarzem, strażnikiem miejskim, radcą prawnym, inżynierem czy lekarzem. Zaproszeni goście poruszali różne aspekty wymiany pieca – od szczegółów dotyczących rodzajów ogrzewania ekologicznego, przybliżenia zasad programów dofinansowań, przez kwestie prawne – na co szczególnie należy zwrócić uwagę podczas procesu wymiany pieca, aż po kwestie zdrowotne – z czego składa się smog oraz w jaki sposób wpływa na nasze zdrowie i </w:t>
      </w:r>
      <w:r w:rsidRPr="00E00B35">
        <w:rPr>
          <w:rFonts w:cs="Helv"/>
          <w:color w:val="000000"/>
          <w:szCs w:val="20"/>
        </w:rPr>
        <w:lastRenderedPageBreak/>
        <w:t xml:space="preserve">życie. Cykl do dnia 20.11.2020 r. zawierał 15 odcinków. Wszystkie filmy dostępne są na stronie:  </w:t>
      </w:r>
      <w:hyperlink r:id="rId147" w:history="1">
        <w:r w:rsidRPr="00E00B35">
          <w:rPr>
            <w:rStyle w:val="Hipercze"/>
            <w:szCs w:val="20"/>
          </w:rPr>
          <w:t>Zmień piec-spotkania z mieszkańcami</w:t>
        </w:r>
      </w:hyperlink>
      <w:r w:rsidRPr="00E00B35">
        <w:rPr>
          <w:rFonts w:cs="Helv"/>
          <w:color w:val="000000"/>
          <w:szCs w:val="20"/>
        </w:rPr>
        <w:t xml:space="preserve">  </w:t>
      </w:r>
    </w:p>
    <w:p w:rsidR="007A4D59" w:rsidRPr="00E00B35" w:rsidRDefault="007A4D59" w:rsidP="00E00B35">
      <w:pPr>
        <w:spacing w:after="0" w:line="312" w:lineRule="auto"/>
        <w:rPr>
          <w:rFonts w:cs="Helv"/>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Program TV „Zmień piec”</w:t>
      </w:r>
    </w:p>
    <w:p w:rsidR="007A4D59" w:rsidRPr="00E00B35" w:rsidRDefault="007A4D59" w:rsidP="00E00B35">
      <w:pPr>
        <w:spacing w:after="0" w:line="312" w:lineRule="auto"/>
        <w:rPr>
          <w:rFonts w:cs="Helv"/>
          <w:color w:val="000000"/>
          <w:szCs w:val="20"/>
        </w:rPr>
      </w:pPr>
      <w:r w:rsidRPr="00E00B35">
        <w:rPr>
          <w:rFonts w:cs="Helv"/>
          <w:color w:val="000000"/>
          <w:szCs w:val="20"/>
        </w:rPr>
        <w:t>Podobna formuła spotkań prezentowana była także w programie telewizyjnym „ZMIEŃ PIEC” w TVP Wrocław, którego celem było zwiększenie świadomości wrocławian na temat smogu i czynników jego powstawania. Prowadzący, przy wsparciu ekspertów, przedstawiał nie tylko najważniejsze zagadnienia dotyczące zanieczyszczenia powietrza, ale przede wszystkim przybliżał miejskie programy dofinansowujące i wspierające wymianę pieców na bardziej ekologiczne. Do dnia 20.11.2020 roku nagrano 12 odcinków programu. Wszystkie odcinki dostępne są na stronie zmienpiec.pl.</w:t>
      </w:r>
    </w:p>
    <w:p w:rsidR="007A4D59" w:rsidRPr="00E00B35" w:rsidRDefault="00573162" w:rsidP="00E00B35">
      <w:pPr>
        <w:spacing w:after="0" w:line="312" w:lineRule="auto"/>
        <w:rPr>
          <w:szCs w:val="20"/>
        </w:rPr>
      </w:pPr>
      <w:hyperlink r:id="rId148" w:history="1">
        <w:r w:rsidR="007A4D59" w:rsidRPr="00E00B35">
          <w:rPr>
            <w:rStyle w:val="Hipercze"/>
            <w:szCs w:val="20"/>
          </w:rPr>
          <w:t>Zmień piec</w:t>
        </w:r>
      </w:hyperlink>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Radio</w:t>
      </w:r>
    </w:p>
    <w:p w:rsidR="007A4D59" w:rsidRPr="00E00B35" w:rsidRDefault="007A4D59" w:rsidP="00E00B35">
      <w:pPr>
        <w:spacing w:after="0" w:line="312" w:lineRule="auto"/>
        <w:rPr>
          <w:szCs w:val="20"/>
        </w:rPr>
      </w:pPr>
      <w:r w:rsidRPr="00E00B35">
        <w:rPr>
          <w:szCs w:val="20"/>
        </w:rPr>
        <w:t>W ramach działań promocyjnych pojawiały się także spoty reklamowe oraz rozmowy przeprowadzane z doradcami energetycznymi w rozgłośniach radiowych. Emisje zrealizowano m.in. w Radiu Rodzina, Meloradiu, Radiu Wrocław, Radiu RAM, Radiu Gra.</w:t>
      </w:r>
    </w:p>
    <w:p w:rsidR="007A4D59" w:rsidRPr="00E00B35" w:rsidRDefault="00573162" w:rsidP="00E00B35">
      <w:pPr>
        <w:spacing w:after="0" w:line="312" w:lineRule="auto"/>
        <w:rPr>
          <w:szCs w:val="20"/>
        </w:rPr>
      </w:pPr>
      <w:hyperlink r:id="rId149" w:history="1">
        <w:r w:rsidR="007A4D59" w:rsidRPr="00E00B35">
          <w:rPr>
            <w:rStyle w:val="Hipercze"/>
            <w:szCs w:val="20"/>
          </w:rPr>
          <w:t>Radio Rodzina-audycja Zmień piec</w:t>
        </w:r>
      </w:hyperlink>
    </w:p>
    <w:p w:rsidR="007A4D59" w:rsidRPr="00E00B35" w:rsidRDefault="007A4D59" w:rsidP="00E00B35">
      <w:pPr>
        <w:pStyle w:val="Akapitzlist"/>
        <w:spacing w:after="0" w:line="312" w:lineRule="auto"/>
        <w:ind w:left="0"/>
        <w:rPr>
          <w:bCs/>
          <w:color w:val="000000"/>
          <w:szCs w:val="20"/>
        </w:rPr>
      </w:pPr>
    </w:p>
    <w:p w:rsidR="007A4D59" w:rsidRPr="00E00B35" w:rsidRDefault="007A4D59" w:rsidP="00E00B35">
      <w:pPr>
        <w:pStyle w:val="Nagwek5"/>
        <w:rPr>
          <w:szCs w:val="20"/>
        </w:rPr>
      </w:pPr>
      <w:bookmarkStart w:id="669" w:name="_Toc71032618"/>
      <w:bookmarkStart w:id="670" w:name="_Toc71034600"/>
      <w:r w:rsidRPr="00E00B35">
        <w:rPr>
          <w:szCs w:val="20"/>
        </w:rPr>
        <w:t>ZADANIE NR 5: DORADZTWO ENERGETYCZNE</w:t>
      </w:r>
      <w:bookmarkEnd w:id="669"/>
      <w:bookmarkEnd w:id="670"/>
    </w:p>
    <w:p w:rsidR="007A4D59" w:rsidRPr="00E00B35" w:rsidRDefault="007A4D59" w:rsidP="00E00B35">
      <w:pPr>
        <w:spacing w:after="0" w:line="312" w:lineRule="auto"/>
        <w:rPr>
          <w:rFonts w:cs="Arial"/>
          <w:bCs/>
          <w:szCs w:val="20"/>
        </w:rPr>
      </w:pPr>
      <w:r w:rsidRPr="00E00B35">
        <w:rPr>
          <w:rFonts w:cs="Helv"/>
          <w:color w:val="000000"/>
          <w:szCs w:val="20"/>
        </w:rPr>
        <w:t xml:space="preserve">Utworzono specjalną infolinię energetyczną czynną od poniedziałku do piątku w godzinach od 8 do 18. Przeznaczona jest dla wszystkich osób zainteresowanych wymianą ogrzewania i otrzymania wsparcia finansowego na ten cel. Od początku 2020 roku odebrano 6974 telefonów oraz udzielono 432 porady za pośrednictwem poczty e-mail. Doradcy energetyczni prowadzili bezpośrednie spotkania z mieszkańcami, na </w:t>
      </w:r>
      <w:r w:rsidRPr="00E00B35">
        <w:rPr>
          <w:rFonts w:cs="Helv"/>
          <w:szCs w:val="20"/>
        </w:rPr>
        <w:t xml:space="preserve">których wrocławianie </w:t>
      </w:r>
      <w:r w:rsidRPr="00E00B35">
        <w:rPr>
          <w:rFonts w:cs="Arial"/>
          <w:szCs w:val="20"/>
        </w:rPr>
        <w:t>uzyskali m.in. informacje o tym, jakie dopłaty można otrzymać, od czego zacząć wymianę pieca i jak prawidłowo złożyć wniosek o dofinansowanie. Doradcy wskazywali również dostępne rodzaje ogrzewania i podpowiadali, na co zwrócić uwagę decydując się na nowy system grzewczy.</w:t>
      </w:r>
      <w:r w:rsidRPr="00E00B35">
        <w:rPr>
          <w:rFonts w:cs="Arial"/>
          <w:color w:val="444444"/>
          <w:szCs w:val="20"/>
        </w:rPr>
        <w:t xml:space="preserve"> </w:t>
      </w:r>
      <w:r w:rsidRPr="00E00B35">
        <w:rPr>
          <w:rFonts w:cs="Arial"/>
          <w:szCs w:val="20"/>
        </w:rPr>
        <w:t xml:space="preserve">Do 24 lutego 2020 roku odbyło się jedenaście zaplanowanych spotkań z mieszkańcami Kleczkowa. Skorzystało z nich ponad 250 osób.  </w:t>
      </w:r>
      <w:r w:rsidRPr="00E00B35">
        <w:rPr>
          <w:rFonts w:cs="Arial"/>
          <w:bCs/>
          <w:szCs w:val="20"/>
        </w:rPr>
        <w:t>Ze względu na sytuację epidemiologiczną związaną  z koronawirusem, Urząd Miejski Wrocławia do odwołania zmuszony był zawiesić spotkania doradców energetycznych z mieszkańcami, lecz zorganizowano alternatywę dla tych działań (współpraca z NGO).</w:t>
      </w:r>
    </w:p>
    <w:p w:rsidR="007A4D59" w:rsidRPr="00E00B35" w:rsidRDefault="007A4D59" w:rsidP="00E00B35">
      <w:pPr>
        <w:spacing w:after="0" w:line="312" w:lineRule="auto"/>
        <w:rPr>
          <w:rFonts w:cs="Arial"/>
          <w:szCs w:val="20"/>
        </w:rPr>
      </w:pPr>
      <w:r w:rsidRPr="00E00B35">
        <w:rPr>
          <w:rFonts w:cs="Arial"/>
          <w:szCs w:val="20"/>
        </w:rPr>
        <w:t>Nieodzownym elementem sprawnej wymiany pieców jest zaangażowanie firm instalacyjnych. W związku z powyższym zorganizowano szkolenia dla firm wykonawczych. Omawiane na nich były programy dofinansowań, a  w szczególności skupiono się na możliwości pozyskania dotacji oraz w jaki sposób firmy mogą zostać pełnomocnikiem inwestora przed Urzędem Miejskim Wrocławia. Tym samym mogą występować w imieniu inwestora o dotację na wymianę źródła ciepła</w:t>
      </w:r>
      <w:r w:rsidRPr="00E00B35">
        <w:rPr>
          <w:rFonts w:cs="Arial"/>
          <w:i/>
          <w:szCs w:val="20"/>
        </w:rPr>
        <w:t xml:space="preserve">. </w:t>
      </w:r>
      <w:hyperlink r:id="rId150" w:tgtFrame="_blank" w:history="1">
        <w:r w:rsidRPr="00E00B35">
          <w:rPr>
            <w:rStyle w:val="Hipercze"/>
            <w:i/>
            <w:szCs w:val="20"/>
          </w:rPr>
          <w:t>Przeszkolone firmy znalazły się  w specjalnej bazie instalatorów. </w:t>
        </w:r>
      </w:hyperlink>
      <w:r w:rsidRPr="00E00B35">
        <w:rPr>
          <w:rFonts w:cs="Arial"/>
          <w:szCs w:val="20"/>
        </w:rPr>
        <w:t>Można na niej porównać usługi i oferty konkretnych podmiotów, sprawdzić, czy dana firma oferuje usługę pełnomocnictwa, pozwala na rozliczenie bezgotówkowe oraz wykonuje usługę wymiany instalacji. Łącznie przeszkolono ponad 50 firm. Do dnia 20.11.2020 r. odbyło się 5 takich szkoleń.</w:t>
      </w:r>
    </w:p>
    <w:p w:rsidR="007A4D59" w:rsidRPr="00E00B35" w:rsidRDefault="00573162" w:rsidP="00E00B35">
      <w:pPr>
        <w:spacing w:after="0" w:line="312" w:lineRule="auto"/>
        <w:rPr>
          <w:szCs w:val="20"/>
        </w:rPr>
      </w:pPr>
      <w:hyperlink r:id="rId151" w:history="1">
        <w:r w:rsidR="007A4D59" w:rsidRPr="00E00B35">
          <w:rPr>
            <w:rStyle w:val="Hipercze"/>
            <w:szCs w:val="20"/>
          </w:rPr>
          <w:t>Baza instalatorów</w:t>
        </w:r>
      </w:hyperlink>
    </w:p>
    <w:p w:rsidR="007A4D59" w:rsidRPr="00E00B35" w:rsidRDefault="007A4D59" w:rsidP="00E00B35">
      <w:pPr>
        <w:spacing w:after="0" w:line="312" w:lineRule="auto"/>
        <w:rPr>
          <w:rFonts w:cs="Helv"/>
          <w:color w:val="000000"/>
          <w:szCs w:val="20"/>
        </w:rPr>
      </w:pPr>
      <w:r w:rsidRPr="00E00B35">
        <w:rPr>
          <w:rFonts w:cs="Helv"/>
          <w:color w:val="000000"/>
          <w:szCs w:val="20"/>
        </w:rPr>
        <w:t>Chcąc szerzej wyjść na przeciw potrzebom wrocławskiej społeczności, wprowadzono również weekendowe akcje informacyjne - w wielu strategicznych punktach Wrocławia, stanęły namioty, w których wolontariusze doradzali mieszkańcom w jaki sposób zamienić piec na paliwo stałe na ekologiczne źródło ciepła. Na zainteresowanych czekały pakiety zawierające informacje o dedykowanych programach.</w:t>
      </w:r>
    </w:p>
    <w:p w:rsidR="007A4D59" w:rsidRPr="00E00B35" w:rsidRDefault="007A4D59" w:rsidP="00E00B35">
      <w:pPr>
        <w:spacing w:after="0" w:line="312" w:lineRule="auto"/>
        <w:rPr>
          <w:rFonts w:cs="Helv"/>
          <w:b/>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Współpraca z NGO w celu rozpowszechniania wiedzy ekologicznej wśród mieszkańców</w:t>
      </w:r>
    </w:p>
    <w:p w:rsidR="007A4D59" w:rsidRPr="00E00B35" w:rsidRDefault="007A4D59" w:rsidP="00E00B35">
      <w:pPr>
        <w:pStyle w:val="Akapitzlist"/>
        <w:spacing w:after="0" w:line="312" w:lineRule="auto"/>
        <w:ind w:left="0"/>
        <w:rPr>
          <w:rFonts w:cs="Helv"/>
          <w:color w:val="000000"/>
          <w:szCs w:val="20"/>
        </w:rPr>
      </w:pPr>
      <w:r w:rsidRPr="00E00B35">
        <w:rPr>
          <w:rFonts w:cs="Helv"/>
          <w:color w:val="000000"/>
          <w:szCs w:val="20"/>
        </w:rPr>
        <w:t xml:space="preserve">W ramach akcji „Zmień piec” Miasto otworzyło możliwości współpracy wrocławian ze stowarzyszeniami i organizacjami pozarządowymi. Zdecydowano, aby do działań propagujących ideę konieczności wymiany starych węglowych źródeł ciepła, włączyć prężnie działające lokalnie organizacje pozarządowe. Cel to zwiększanie świadomości mieszkańców Wrocławia w zakresie korzyści wynikających z eliminacji niskiej emisji poprzez prowadzenie działań informacyjno-edukacyjnych. Działania ukierunkowane są na wsparcie mieszkańców tych osiedli, na których, według raportu opracowanego przez Politechnikę Wrocławską, występuje największe zagęszczenie źródeł ciepła na paliwo stałe. Zadania  jakie zostały postawione przed NGO, to m.in.: bezpośrednie dotarcie </w:t>
      </w:r>
      <w:r w:rsidRPr="00E00B35">
        <w:rPr>
          <w:rFonts w:cs="Helv"/>
          <w:color w:val="000000"/>
          <w:szCs w:val="20"/>
        </w:rPr>
        <w:br/>
        <w:t xml:space="preserve">z informacją o akcji „Zmień Piec” do mieszkańców posiadających stare </w:t>
      </w:r>
      <w:r w:rsidRPr="00E00B35">
        <w:rPr>
          <w:rFonts w:cs="Helv"/>
          <w:color w:val="000000"/>
          <w:szCs w:val="20"/>
        </w:rPr>
        <w:br/>
        <w:t xml:space="preserve">piece i przekonywaniu ich do skorzystania  z finansowego i merytorycznego wsparcia </w:t>
      </w:r>
      <w:r w:rsidRPr="00E00B35">
        <w:rPr>
          <w:rFonts w:cs="Helv"/>
          <w:color w:val="000000"/>
          <w:szCs w:val="20"/>
        </w:rPr>
        <w:br/>
        <w:t xml:space="preserve">przy wymianie pieca oraz udzielanie pełnej informacji na temat instrumentów finansowych oferowanych przez Gminę Wrocław, wsparcie mieszkańców w procesie wymiany nieekologicznych źródeł ogrzewania poprzez asystę na wybranych odcinkach realizacji inwestycji, zaangażowanie interesariuszy akcji wymiany pieców do wspólnych działań skierowanych do m.in. przedsiębiorców i ich stowarzyszeń, innych partnerów instytucjonalnych: np. parafii, środowisk medycznych, uczelni wyższych, organizacji pozarządowych, Centrów Aktywności Lokalnej, zarządców itp. oraz prowadzenie działań informacyjno-promocyjnych wspierających realizację powierzonego zadania publicznego. </w:t>
      </w:r>
      <w:r w:rsidRPr="00E00B35">
        <w:rPr>
          <w:rFonts w:cs="Helv"/>
          <w:color w:val="000000"/>
          <w:szCs w:val="20"/>
        </w:rPr>
        <w:br/>
      </w:r>
    </w:p>
    <w:p w:rsidR="007A4D59" w:rsidRPr="00E00B35" w:rsidRDefault="007A4D59" w:rsidP="00E00B35">
      <w:pPr>
        <w:pStyle w:val="Nagwek4"/>
        <w:spacing w:before="0" w:after="0" w:line="312" w:lineRule="auto"/>
        <w:rPr>
          <w:b w:val="0"/>
          <w:sz w:val="20"/>
          <w:szCs w:val="20"/>
        </w:rPr>
      </w:pPr>
      <w:r w:rsidRPr="00E00B35">
        <w:rPr>
          <w:b w:val="0"/>
          <w:sz w:val="20"/>
          <w:szCs w:val="20"/>
        </w:rPr>
        <w:t>W ramach współpracy z NGO, rozpoczęto następujące działania:</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stałe dyżury Asystentów „Zmień Piec”, którzy po przeszkoleniu przez doradców energetycznych Gminy w zakresie programów Kawka Plus, Termo Kawka, Lokalnego Programu Osłonowego, Zwolnienia z Czynszu oraz innych programów wsparcia, pełnili w stałych miejscach ustalonych z Gminą, w określonych dniach i godzinach dyżury konsultacyjne, na które zapraszani byli mieszkańcy. Od lipca do listopada 2020 roku uruchomiono 5 stałych punktów, w których dyżury pełnili asystenci,</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asystenci ZP informowali także o akcji „Zmień Piec” na wybranych wydarzeniach </w:t>
      </w:r>
      <w:r w:rsidRPr="00E00B35">
        <w:rPr>
          <w:szCs w:val="20"/>
        </w:rPr>
        <w:br/>
        <w:t xml:space="preserve">na swoich osiedlach w ramach tzw. mobilnych punktów informacyjnych, organizowanych w przestrzeni publicznej, w miejscach uczęszczanych przez mieszkańców, z uwzględnieniem miejsc handlu oraz miejsc kultu religijnego. </w:t>
      </w:r>
      <w:r w:rsidRPr="00E00B35">
        <w:rPr>
          <w:szCs w:val="20"/>
        </w:rPr>
        <w:br/>
        <w:t xml:space="preserve">Na osiedlach o zabudowie wielorodzinnej odbyło się 20 mobilnych spotkań </w:t>
      </w:r>
      <w:r w:rsidRPr="00E00B35">
        <w:rPr>
          <w:szCs w:val="20"/>
        </w:rPr>
        <w:br/>
        <w:t>z mieszkańcami, natomiast na osiedlach o zabudowie jednorodzinnej 18,</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oplakatowano bramy i rozdysponowano „pod drzwi” materiały informacyjne, zaproszenia na spotkania/dyżury z Asystentem Zmień Piec, </w:t>
      </w:r>
      <w:r w:rsidRPr="00E00B35">
        <w:rPr>
          <w:szCs w:val="20"/>
        </w:rPr>
        <w:br/>
      </w:r>
      <w:r w:rsidRPr="00E00B35">
        <w:rPr>
          <w:szCs w:val="20"/>
        </w:rPr>
        <w:lastRenderedPageBreak/>
        <w:t>a także przeprowadzono akcje informacyjne za pośrednictwem lokalnych mediów. Łącznie podczas akcji na osiedlach jedno i wielorodzinnych rozdysponowano 14 tysięcy ulotek, 3500 biuletynów oraz rozwieszono 1500 plakatów. Realizacja zadań w ramach akcji ”Zmień Piec” w 2020 roku wyniosła 1 652 150,00 zł, w tym działania przeznaczone na współpracę z NGO łącznie 107 150,00 zł.</w:t>
      </w:r>
    </w:p>
    <w:p w:rsidR="007A4D59" w:rsidRPr="00E00B35" w:rsidRDefault="007A4D59" w:rsidP="00E00B35">
      <w:pPr>
        <w:pStyle w:val="Nagwek5"/>
        <w:rPr>
          <w:szCs w:val="20"/>
        </w:rPr>
      </w:pPr>
      <w:bookmarkStart w:id="671" w:name="_Toc71032619"/>
      <w:bookmarkStart w:id="672" w:name="_Toc71034601"/>
      <w:r w:rsidRPr="00E00B35">
        <w:rPr>
          <w:szCs w:val="20"/>
        </w:rPr>
        <w:t>ZADANIE NR 8: OCHRONA, WZBOGACANIE I KSZTAŁTOWANIE SYSTEMU ZIELENI WROCŁAWIA</w:t>
      </w:r>
      <w:bookmarkEnd w:id="671"/>
      <w:bookmarkEnd w:id="672"/>
    </w:p>
    <w:p w:rsidR="007A4D59" w:rsidRPr="00E00B35" w:rsidRDefault="007A4D59" w:rsidP="00E00B35">
      <w:pPr>
        <w:pStyle w:val="Nagwek4"/>
        <w:spacing w:before="0" w:after="0" w:line="312" w:lineRule="auto"/>
        <w:rPr>
          <w:b w:val="0"/>
          <w:sz w:val="20"/>
          <w:szCs w:val="20"/>
        </w:rPr>
      </w:pPr>
      <w:r w:rsidRPr="00E00B35">
        <w:rPr>
          <w:b w:val="0"/>
          <w:sz w:val="20"/>
          <w:szCs w:val="20"/>
        </w:rPr>
        <w:t>Działania związane ze zwiększeniem powierzchni terenów zieleni dotyczyły m.in.:</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realizacji inwestycji, w tym zagospodarowania terenów niedostępnych </w:t>
      </w:r>
      <w:r w:rsidRPr="00E00B35">
        <w:rPr>
          <w:szCs w:val="20"/>
        </w:rPr>
        <w:br/>
        <w:t>i niedostosowanych do użytkowania; tak powstały m.in. zieleniec przy ul. Kwaśnej, Świętokrzyskiej, Kolistej, Grabskiego, Kosmicznej, Park Maślicki, Park Wojszyce, skwer Wrocławianek przy ul. Bernardyńskiej, teren wokół Jeziora Pawłowickiego,</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realizacji programu Parku Młodego Wrocławianina w ramach akcji Wrośnij we Wrocław, gdzie wspólnie z mieszkańcami  nasadzono drzewa na niezagospodarowanym terenie planowanego do realizacji parku w rejonie ul. Zakopiańskiej oraz kontynuacji tworzenia parku Jedności.</w:t>
      </w:r>
    </w:p>
    <w:p w:rsidR="00E90A4F" w:rsidRPr="00E00B35" w:rsidRDefault="00E90A4F" w:rsidP="00E00B35">
      <w:pPr>
        <w:pStyle w:val="Akapitzlist"/>
        <w:tabs>
          <w:tab w:val="left" w:pos="0"/>
          <w:tab w:val="left" w:pos="426"/>
        </w:tabs>
        <w:spacing w:after="0" w:line="312" w:lineRule="auto"/>
        <w:ind w:left="426"/>
        <w:rPr>
          <w:szCs w:val="20"/>
        </w:rPr>
      </w:pPr>
    </w:p>
    <w:p w:rsidR="007A4D59" w:rsidRPr="00E00B35" w:rsidRDefault="007A4D59" w:rsidP="00E00B35">
      <w:pPr>
        <w:spacing w:after="0" w:line="312" w:lineRule="auto"/>
        <w:rPr>
          <w:szCs w:val="20"/>
        </w:rPr>
      </w:pPr>
      <w:r w:rsidRPr="00E00B35">
        <w:rPr>
          <w:szCs w:val="20"/>
        </w:rPr>
        <w:t xml:space="preserve">Wzbogacanie systemu zieleni miejskiej odbywa się poprzez </w:t>
      </w:r>
      <w:r w:rsidRPr="00E00B35">
        <w:rPr>
          <w:rFonts w:eastAsia="Calibri"/>
          <w:szCs w:val="20"/>
        </w:rPr>
        <w:t xml:space="preserve">nasycanie zielenią istniejących obiektów zieleni miejskiej poprzez nasadzenia zieleni. Nasadzenia są realizowane w parkach i na zieleńcach oraz zieleni przyulicznej, zagospodarowywane są również nowe tereny zieleni. W ramach nasadzeń zieleni przyulicznej, izolacyjnej wykonano nasadzenia m.in. przy ul. Grabiszyńskiej, Hallera, Prusa, zrealizowano nasadzenia pnączy w celu stworzenia „zielonych ścian”, zrealizowano nasadzenia </w:t>
      </w:r>
      <w:r w:rsidRPr="00E00B35">
        <w:rPr>
          <w:rFonts w:eastAsia="Calibri"/>
          <w:szCs w:val="20"/>
        </w:rPr>
        <w:br/>
        <w:t>na niewielkich powierzchniach tzw. parki kieszonkowe m.in. na zieleńcach przy ul. Kurkowej/Składowej, Orzechowej, Krzyckiej/Życzliwej, Kwaśnej, Belwederczyków, zrealizowano nasadzenia drzew o dużych obwodach na Placu Powstańców Wielkopolskich.</w:t>
      </w:r>
    </w:p>
    <w:p w:rsidR="007A4D59" w:rsidRPr="00E00B35" w:rsidRDefault="007A4D59" w:rsidP="00E00B35">
      <w:pPr>
        <w:spacing w:after="0" w:line="312" w:lineRule="auto"/>
        <w:rPr>
          <w:szCs w:val="20"/>
        </w:rPr>
      </w:pPr>
      <w:r w:rsidRPr="00E00B35">
        <w:rPr>
          <w:szCs w:val="20"/>
        </w:rPr>
        <w:t xml:space="preserve">Dodatkowo w związku z ustaleniami z posiedzenia transportowego dotyczącego konieczności fizycznej eliminacji parkowania pojazdów niezgodnie z przepisami na ulicach ścisłego centrum ze szczególnym uwzględnieniem ciągów pieszych ulic Ofiar Oświęcimskich, Kuźniczej, Ruskiej ustawiono donice, które obsadzono zielenią. Tereny zieleni są chronione również poprzez wygrodzenia drewnianymi palikami, które sukcesywnie są ustawiane na terenach zieleni przyulicznej. </w:t>
      </w:r>
    </w:p>
    <w:p w:rsidR="007A4D59" w:rsidRPr="00E00B35" w:rsidRDefault="007A4D59" w:rsidP="00E00B35">
      <w:pPr>
        <w:spacing w:after="0" w:line="312" w:lineRule="auto"/>
        <w:rPr>
          <w:szCs w:val="20"/>
        </w:rPr>
      </w:pPr>
      <w:r w:rsidRPr="00E00B35">
        <w:rPr>
          <w:szCs w:val="20"/>
        </w:rPr>
        <w:t xml:space="preserve">Od czasu wejścia w życie Zarządzenia Prezydenta nr 5081/16 z dnia 11.08.2016 w sprawie ochrony drzew i rozwoju terenów zieleni Wrocławia wraz z jego aktualizacją w 2019, ZZM we współpracy z Biurem Rozwoju Wrocławia buduje Bazę Zasobów Zieleni opartą o System Informacji Przestrzennej Wrocławia. Baza zawiera informacje o drzewach i krzewach wraz z usytuowaniem ich w przestrzeni (na mapie Wrocławia). Dane do bazy przekazywane są przez projektantów opracowań oraz wykonawców wycinek i nasadzeń w ramach inwestycji realizowanych na terenie Gminy, a także wprowadzane do bazy bezpośrednio przez pracowników ZZM. Aktualnie zbieranie danych realizowane jest na podstawie Zarządzenia nr 1217/19 Prezydenta Wrocławia z dnia 28 czerwca 2019 r. Baza  Zasobów Zieleni zawiera 114 914  zinwentaryzowanych drzew oraz 19 250 </w:t>
      </w:r>
      <w:r w:rsidRPr="00E00B35">
        <w:rPr>
          <w:szCs w:val="20"/>
        </w:rPr>
        <w:lastRenderedPageBreak/>
        <w:t xml:space="preserve">obszarów zakrzewionych o powierzchni 70,95 ha. Dane te pochodzą z 1 339 opracowań i z bieżącej działalności ZZM. </w:t>
      </w:r>
    </w:p>
    <w:p w:rsidR="007A4D59" w:rsidRPr="00E00B35" w:rsidRDefault="007A4D59" w:rsidP="00E00B35">
      <w:pPr>
        <w:spacing w:after="0" w:line="312" w:lineRule="auto"/>
        <w:rPr>
          <w:szCs w:val="20"/>
        </w:rPr>
      </w:pPr>
      <w:r w:rsidRPr="00E00B35">
        <w:rPr>
          <w:szCs w:val="20"/>
        </w:rPr>
        <w:t xml:space="preserve">Ponadto kontynuowane jest tworzenie bazy terenów do nasadzeń drzew, gdzie gromadzone są dane dotyczące terenów możliwych pod nowe nasadzenia i terenów, które zostały wskazane do nasadzeń np. zastępczych. Opracowanie to jest narzędziem pomocniczym. W związku z wejściem Zarządzenia Prezydenta 1217/19 z dnia 28.06.2019 jeszcze większy nacisk został położony na ochronę drzew w procesie inwestycyjnym. Najważniejszym elementem nowego zarządzenia, było wprowadzenie załącznika „ Karty informacyjne do standardów ochrony drzew w Inwestycjach Wrocławia”. Załącznik tworzy 12 kart, które obejmują m.in. takie zagadnienia jak: organizacja placu budowy, ogrodzenie strefy ochronnej drzewa, ochrona gleb przed zagęszczeniem </w:t>
      </w:r>
      <w:r w:rsidRPr="00E00B35">
        <w:rPr>
          <w:szCs w:val="20"/>
        </w:rPr>
        <w:br/>
        <w:t xml:space="preserve">i zanieczyszczeniem, ochrona korzeni, pni oraz koron drzew.  Karty są opracowane w sposób przejrzysty i przystępny dla odbiorców, zawierając zdjęcia, schematy oraz najważniejsze wytyczne.  Inwestorzy są zobowiązani do korzystania z kart i wprowadzania stosownych rozwiązań podczas prowadzenia prac (budowlanych). </w:t>
      </w:r>
      <w:r w:rsidRPr="00E00B35">
        <w:rPr>
          <w:szCs w:val="20"/>
        </w:rPr>
        <w:br/>
        <w:t>Od wprowadzenia zarządzenia i kart informacyjnych można zaobserwować większą świadomość u inwestorów i firm realizujących inwestycje w zakresie ochrony drzew na placu budowy.</w:t>
      </w:r>
    </w:p>
    <w:p w:rsidR="007A4D59" w:rsidRPr="00E00B35" w:rsidRDefault="007A4D59" w:rsidP="00E00B35">
      <w:pPr>
        <w:spacing w:after="0" w:line="312" w:lineRule="auto"/>
        <w:rPr>
          <w:szCs w:val="20"/>
        </w:rPr>
      </w:pPr>
      <w:r w:rsidRPr="00E00B35">
        <w:rPr>
          <w:szCs w:val="20"/>
        </w:rPr>
        <w:t>W ramach działań rozwojowych jednostki m in. przygotowano wniosek o dofinansowanie projektu: Budowa systemu do zarządzania zasobem zieleni miejskiej we Wrocławiu: e-platforma Zieleń we Wrocławiu – etap 1, w ramach konkursu w ramach Osi priorytetowej 2 Technologie informacyjno-komunikacyjne, Działanie 2.1. E-usługi publiczne, Poddziałanie 2.1.2 E-usługi publiczne – ZIT WROF, oraz wykonano pierwsze działanie w jego ramach, zakupienie sprzętu do tagowania inwentaryzowanych drzew na kwotę 65 800,00.</w:t>
      </w:r>
    </w:p>
    <w:p w:rsidR="007A4D59" w:rsidRPr="00E00B35" w:rsidRDefault="007A4D59" w:rsidP="00E00B35">
      <w:pPr>
        <w:spacing w:after="0" w:line="312" w:lineRule="auto"/>
        <w:rPr>
          <w:szCs w:val="20"/>
        </w:rPr>
      </w:pPr>
      <w:r w:rsidRPr="00E00B35">
        <w:rPr>
          <w:szCs w:val="20"/>
        </w:rPr>
        <w:t xml:space="preserve">Ponadto ZZM opiniuje mpzp w zakresie zieleni oraz bierze aktywny udział </w:t>
      </w:r>
      <w:r w:rsidRPr="00E00B35">
        <w:rPr>
          <w:szCs w:val="20"/>
        </w:rPr>
        <w:br/>
        <w:t>w obradach Zielonego Stołu i Rady ds. Ekologii, a także organizuje Rady Parku Grabiszyńskiego  RPG.</w:t>
      </w:r>
    </w:p>
    <w:p w:rsidR="007A4D59" w:rsidRPr="00E00B35" w:rsidRDefault="007A4D59" w:rsidP="00E00B35">
      <w:pPr>
        <w:spacing w:after="0" w:line="312" w:lineRule="auto"/>
        <w:rPr>
          <w:b/>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Główne zadania realizowane w 2020 r. w zakresie zieleni miejskiej:</w:t>
      </w:r>
    </w:p>
    <w:p w:rsidR="007A4D59" w:rsidRPr="00E00B35" w:rsidRDefault="007A4D59" w:rsidP="00E00B35">
      <w:pPr>
        <w:spacing w:after="0" w:line="312" w:lineRule="auto"/>
        <w:rPr>
          <w:b/>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Zarządzanie terenami zieleni miejskiej:</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Bieżąca konserwacja posiadanych zasobów zieleni miejskiej o powierzchni 2 737,08 ha w tym:</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parki – 631,41 ha,</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zieleńce – 162,54 ha,</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zieleń przyuliczna – 562,46 ha oraz rowy przydrożne 59,85 ha</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lasy komunalne i tereny związane z gospodarka leśną- 1 191,73 ha,</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zieleń tymczasowa i nieurządzona – 129,09 ha.</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Rewaloryzacja posiadanych zasobów zieleni ze szczególnym uwzględnieniem obiektów wpisanych do rejestru zabytków,</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Nasadzenia uzupełniające drzew i krzewów na terenach zieleni parkowej, przyulicznej i na zieleńcach,</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lastRenderedPageBreak/>
        <w:t>Ukwiecanie terenów zieleni miejskiej,</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Kontrola prawidłowości prowadzonych nasadzeń i jakości dostarczanego materiału roślinnego,</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Prace interwencyjne, </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Przygotowanie dokumentacji projektowo – kosztorysowych niezbędnych do realizacji zadań inwestycyjnych i remontowych w zakresie zieleni. </w:t>
      </w:r>
    </w:p>
    <w:p w:rsidR="007A4D59" w:rsidRPr="00E00B35" w:rsidRDefault="007A4D59" w:rsidP="00E00B35">
      <w:pPr>
        <w:spacing w:after="0" w:line="312" w:lineRule="auto"/>
        <w:rPr>
          <w:b/>
          <w:spacing w:val="-8"/>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Dochody</w:t>
      </w:r>
    </w:p>
    <w:p w:rsidR="007A4D59" w:rsidRPr="00E00B35" w:rsidRDefault="007A4D59" w:rsidP="00E00B35">
      <w:pPr>
        <w:spacing w:after="0" w:line="312" w:lineRule="auto"/>
        <w:rPr>
          <w:szCs w:val="20"/>
        </w:rPr>
      </w:pPr>
      <w:r w:rsidRPr="00E00B35">
        <w:rPr>
          <w:szCs w:val="20"/>
        </w:rPr>
        <w:t>W 2020 roku uzyskano dochody w kwocie 3 434 450,00 zł. Planowane na 2020 rok dochody wykonano ogółem w  92,97 %. Dochody uzyskano z następujących tytułów:</w:t>
      </w:r>
    </w:p>
    <w:p w:rsidR="007A4D59" w:rsidRPr="00E00B35" w:rsidRDefault="007A4D59" w:rsidP="00E00B35">
      <w:pPr>
        <w:pStyle w:val="Nagwek4"/>
        <w:spacing w:before="0" w:after="0" w:line="312" w:lineRule="auto"/>
        <w:rPr>
          <w:b w:val="0"/>
          <w:sz w:val="20"/>
          <w:szCs w:val="20"/>
        </w:rPr>
      </w:pPr>
      <w:r w:rsidRPr="00E00B35">
        <w:rPr>
          <w:b w:val="0"/>
          <w:sz w:val="20"/>
          <w:szCs w:val="20"/>
        </w:rPr>
        <w:t>w  Dz.  900, rozdz. 90004</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sprzedaż biletów wstępu do Ogrodu Japońskiego,</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sprzedaż drewna opałowego,</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zastępstwo procesowe, koszty egzekucji</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kary umowne, </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odsetki,</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wpływy rozliczeń z lat ubiegłych,</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wpływy z otrzymanych darowizn,</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wpływ z otrzymanego wsparcia bezpośredniego z ARiMR </w:t>
      </w:r>
    </w:p>
    <w:p w:rsidR="007A4D59" w:rsidRPr="00E00B35" w:rsidRDefault="007A4D59" w:rsidP="00E00B35">
      <w:pPr>
        <w:spacing w:after="0" w:line="312" w:lineRule="auto"/>
        <w:rPr>
          <w:b/>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w Dz.  900, rozdz. 90017</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dzierżawy gruntów rolnych i czasowe zajęcia terenów oraz wynajem powierzchni użytkowej budynku przy ul. Trzebnickiej 33,</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odsprzedaż - media,</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zastępstwo procesowe, koszty egzekucji</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odsetki,</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bezumowne zajecie gruntów,</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wpływy rozliczeń z lat ubiegłych,</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kary umowne. </w:t>
      </w:r>
    </w:p>
    <w:p w:rsidR="007A4D59" w:rsidRPr="00E00B35" w:rsidRDefault="007A4D59" w:rsidP="00E00B35">
      <w:pPr>
        <w:spacing w:after="0" w:line="312" w:lineRule="auto"/>
        <w:rPr>
          <w:b/>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Dochody zrealizowano na zadaniach:</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sprzedaż biletów wstępu do Ogrodu Japońskiego zostało wykonane w wysokości </w:t>
      </w:r>
      <w:r w:rsidRPr="00E00B35">
        <w:rPr>
          <w:bCs/>
          <w:szCs w:val="20"/>
        </w:rPr>
        <w:t>1 075 979,99 zł</w:t>
      </w:r>
      <w:r w:rsidRPr="00E00B35">
        <w:rPr>
          <w:szCs w:val="20"/>
        </w:rPr>
        <w:t xml:space="preserve"> i stanowi </w:t>
      </w:r>
      <w:r w:rsidRPr="00E00B35">
        <w:rPr>
          <w:bCs/>
          <w:szCs w:val="20"/>
        </w:rPr>
        <w:t>67,25%</w:t>
      </w:r>
      <w:r w:rsidRPr="00E00B35">
        <w:rPr>
          <w:szCs w:val="20"/>
        </w:rPr>
        <w:t xml:space="preserve"> dochodu zaplanowanego na 2020 rok. Niska realizacja planu wynika ze sprzedaży mniejszej ilości biletów w stosunku do planowanej. Czasowe zamknięcie obiektu pomiędzy 1.04-15.05 spowodowane obostrzeniami związanymi ze stanem epidemii Covid-19 oraz inne ograniczenia dotyczące możliwości zwiedzania spowodowały zmniejszone dochody z działalności Ogrodu Japońskiego. </w:t>
      </w:r>
    </w:p>
    <w:p w:rsidR="007A4D59" w:rsidRPr="00E00B35" w:rsidRDefault="007A4D59" w:rsidP="00E00B35">
      <w:pPr>
        <w:spacing w:after="0" w:line="312" w:lineRule="auto"/>
        <w:rPr>
          <w:szCs w:val="20"/>
        </w:rPr>
      </w:pPr>
    </w:p>
    <w:p w:rsidR="007A4D59" w:rsidRPr="00E00B35" w:rsidRDefault="007A4D59" w:rsidP="00E00B35">
      <w:pPr>
        <w:spacing w:after="0" w:line="312" w:lineRule="auto"/>
        <w:ind w:left="426"/>
        <w:rPr>
          <w:szCs w:val="20"/>
        </w:rPr>
      </w:pPr>
      <w:r w:rsidRPr="00E00B35">
        <w:rPr>
          <w:szCs w:val="20"/>
        </w:rPr>
        <w:t xml:space="preserve">W sezonie zwiedzania od 15.05.2020 do 31.10.2020 Ogród Japoński odwiedziło  około 143  400 osób. </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lastRenderedPageBreak/>
        <w:t>Sprzedano następujące ilości biletów:</w:t>
      </w:r>
    </w:p>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2226"/>
        <w:gridCol w:w="2245"/>
        <w:gridCol w:w="2232"/>
      </w:tblGrid>
      <w:tr w:rsidR="007A4D59" w:rsidRPr="00E00B35" w:rsidTr="006D3493">
        <w:tc>
          <w:tcPr>
            <w:tcW w:w="2302" w:type="dxa"/>
            <w:shd w:val="clear" w:color="auto" w:fill="auto"/>
          </w:tcPr>
          <w:p w:rsidR="007A4D59" w:rsidRPr="00E00B35" w:rsidRDefault="007A4D59" w:rsidP="00E00B35">
            <w:pPr>
              <w:spacing w:after="0" w:line="312" w:lineRule="auto"/>
              <w:rPr>
                <w:szCs w:val="20"/>
              </w:rPr>
            </w:pPr>
            <w:r w:rsidRPr="00E00B35">
              <w:rPr>
                <w:szCs w:val="20"/>
              </w:rPr>
              <w:t>Nazwa</w:t>
            </w:r>
          </w:p>
        </w:tc>
        <w:tc>
          <w:tcPr>
            <w:tcW w:w="2302" w:type="dxa"/>
            <w:shd w:val="clear" w:color="auto" w:fill="auto"/>
          </w:tcPr>
          <w:p w:rsidR="007A4D59" w:rsidRPr="00E00B35" w:rsidRDefault="007A4D59" w:rsidP="00E00B35">
            <w:pPr>
              <w:spacing w:after="0" w:line="312" w:lineRule="auto"/>
              <w:rPr>
                <w:szCs w:val="20"/>
              </w:rPr>
            </w:pPr>
            <w:r w:rsidRPr="00E00B35">
              <w:rPr>
                <w:szCs w:val="20"/>
              </w:rPr>
              <w:t>Ilość</w:t>
            </w:r>
          </w:p>
        </w:tc>
        <w:tc>
          <w:tcPr>
            <w:tcW w:w="2303" w:type="dxa"/>
            <w:shd w:val="clear" w:color="auto" w:fill="auto"/>
          </w:tcPr>
          <w:p w:rsidR="007A4D59" w:rsidRPr="00E00B35" w:rsidRDefault="007A4D59" w:rsidP="00E00B35">
            <w:pPr>
              <w:spacing w:after="0" w:line="312" w:lineRule="auto"/>
              <w:rPr>
                <w:szCs w:val="20"/>
              </w:rPr>
            </w:pPr>
            <w:r w:rsidRPr="00E00B35">
              <w:rPr>
                <w:szCs w:val="20"/>
              </w:rPr>
              <w:t>Nasz Wrocław</w:t>
            </w:r>
          </w:p>
        </w:tc>
        <w:tc>
          <w:tcPr>
            <w:tcW w:w="2303" w:type="dxa"/>
            <w:shd w:val="clear" w:color="auto" w:fill="auto"/>
          </w:tcPr>
          <w:p w:rsidR="007A4D59" w:rsidRPr="00E00B35" w:rsidRDefault="007A4D59" w:rsidP="00E00B35">
            <w:pPr>
              <w:spacing w:after="0" w:line="312" w:lineRule="auto"/>
              <w:rPr>
                <w:szCs w:val="20"/>
              </w:rPr>
            </w:pPr>
            <w:r w:rsidRPr="00E00B35">
              <w:rPr>
                <w:szCs w:val="20"/>
              </w:rPr>
              <w:t>Suma</w:t>
            </w:r>
          </w:p>
        </w:tc>
      </w:tr>
      <w:tr w:rsidR="007A4D59" w:rsidRPr="00E00B35" w:rsidTr="006D3493">
        <w:tc>
          <w:tcPr>
            <w:tcW w:w="2302" w:type="dxa"/>
            <w:shd w:val="clear" w:color="auto" w:fill="auto"/>
          </w:tcPr>
          <w:p w:rsidR="007A4D59" w:rsidRPr="00E00B35" w:rsidRDefault="007A4D59" w:rsidP="00E00B35">
            <w:pPr>
              <w:spacing w:after="0" w:line="312" w:lineRule="auto"/>
              <w:rPr>
                <w:szCs w:val="20"/>
              </w:rPr>
            </w:pPr>
            <w:r w:rsidRPr="00E00B35">
              <w:rPr>
                <w:szCs w:val="20"/>
              </w:rPr>
              <w:t>Bilet jednorazowy normalny</w:t>
            </w:r>
          </w:p>
        </w:tc>
        <w:tc>
          <w:tcPr>
            <w:tcW w:w="2302" w:type="dxa"/>
            <w:shd w:val="clear" w:color="auto" w:fill="auto"/>
          </w:tcPr>
          <w:p w:rsidR="007A4D59" w:rsidRPr="00E00B35" w:rsidRDefault="007A4D59" w:rsidP="00E00B35">
            <w:pPr>
              <w:spacing w:after="0" w:line="312" w:lineRule="auto"/>
              <w:rPr>
                <w:szCs w:val="20"/>
              </w:rPr>
            </w:pPr>
            <w:r w:rsidRPr="00E00B35">
              <w:rPr>
                <w:szCs w:val="20"/>
              </w:rPr>
              <w:t>70 310</w:t>
            </w:r>
          </w:p>
        </w:tc>
        <w:tc>
          <w:tcPr>
            <w:tcW w:w="2303" w:type="dxa"/>
            <w:shd w:val="clear" w:color="auto" w:fill="auto"/>
          </w:tcPr>
          <w:p w:rsidR="007A4D59" w:rsidRPr="00E00B35" w:rsidRDefault="007A4D59" w:rsidP="00E00B35">
            <w:pPr>
              <w:spacing w:after="0" w:line="312" w:lineRule="auto"/>
              <w:rPr>
                <w:szCs w:val="20"/>
              </w:rPr>
            </w:pPr>
            <w:r w:rsidRPr="00E00B35">
              <w:rPr>
                <w:szCs w:val="20"/>
              </w:rPr>
              <w:t>672</w:t>
            </w:r>
          </w:p>
        </w:tc>
        <w:tc>
          <w:tcPr>
            <w:tcW w:w="2303" w:type="dxa"/>
            <w:shd w:val="clear" w:color="auto" w:fill="auto"/>
          </w:tcPr>
          <w:p w:rsidR="007A4D59" w:rsidRPr="00E00B35" w:rsidRDefault="007A4D59" w:rsidP="00E00B35">
            <w:pPr>
              <w:spacing w:after="0" w:line="312" w:lineRule="auto"/>
              <w:rPr>
                <w:szCs w:val="20"/>
              </w:rPr>
            </w:pPr>
            <w:r w:rsidRPr="00E00B35">
              <w:rPr>
                <w:szCs w:val="20"/>
              </w:rPr>
              <w:t>70 982</w:t>
            </w:r>
          </w:p>
        </w:tc>
      </w:tr>
      <w:tr w:rsidR="007A4D59" w:rsidRPr="00E00B35" w:rsidTr="006D3493">
        <w:tc>
          <w:tcPr>
            <w:tcW w:w="2302" w:type="dxa"/>
            <w:shd w:val="clear" w:color="auto" w:fill="auto"/>
          </w:tcPr>
          <w:p w:rsidR="007A4D59" w:rsidRPr="00E00B35" w:rsidRDefault="007A4D59" w:rsidP="00E00B35">
            <w:pPr>
              <w:spacing w:after="0" w:line="312" w:lineRule="auto"/>
              <w:rPr>
                <w:szCs w:val="20"/>
              </w:rPr>
            </w:pPr>
            <w:r w:rsidRPr="00E00B35">
              <w:rPr>
                <w:szCs w:val="20"/>
              </w:rPr>
              <w:t>Bilet jednorazowy ulgowy</w:t>
            </w:r>
          </w:p>
        </w:tc>
        <w:tc>
          <w:tcPr>
            <w:tcW w:w="2302" w:type="dxa"/>
            <w:shd w:val="clear" w:color="auto" w:fill="auto"/>
          </w:tcPr>
          <w:p w:rsidR="007A4D59" w:rsidRPr="00E00B35" w:rsidRDefault="007A4D59" w:rsidP="00E00B35">
            <w:pPr>
              <w:spacing w:after="0" w:line="312" w:lineRule="auto"/>
              <w:rPr>
                <w:szCs w:val="20"/>
              </w:rPr>
            </w:pPr>
            <w:r w:rsidRPr="00E00B35">
              <w:rPr>
                <w:szCs w:val="20"/>
              </w:rPr>
              <w:t>45 286</w:t>
            </w:r>
          </w:p>
        </w:tc>
        <w:tc>
          <w:tcPr>
            <w:tcW w:w="2303" w:type="dxa"/>
            <w:shd w:val="clear" w:color="auto" w:fill="auto"/>
          </w:tcPr>
          <w:p w:rsidR="007A4D59" w:rsidRPr="00E00B35" w:rsidRDefault="007A4D59" w:rsidP="00E00B35">
            <w:pPr>
              <w:spacing w:after="0" w:line="312" w:lineRule="auto"/>
              <w:rPr>
                <w:szCs w:val="20"/>
              </w:rPr>
            </w:pPr>
            <w:r w:rsidRPr="00E00B35">
              <w:rPr>
                <w:szCs w:val="20"/>
              </w:rPr>
              <w:t>248</w:t>
            </w:r>
          </w:p>
        </w:tc>
        <w:tc>
          <w:tcPr>
            <w:tcW w:w="2303" w:type="dxa"/>
            <w:shd w:val="clear" w:color="auto" w:fill="auto"/>
          </w:tcPr>
          <w:p w:rsidR="007A4D59" w:rsidRPr="00E00B35" w:rsidRDefault="007A4D59" w:rsidP="00E00B35">
            <w:pPr>
              <w:spacing w:after="0" w:line="312" w:lineRule="auto"/>
              <w:rPr>
                <w:szCs w:val="20"/>
              </w:rPr>
            </w:pPr>
            <w:r w:rsidRPr="00E00B35">
              <w:rPr>
                <w:szCs w:val="20"/>
              </w:rPr>
              <w:t>45 534</w:t>
            </w:r>
          </w:p>
        </w:tc>
      </w:tr>
      <w:tr w:rsidR="007A4D59" w:rsidRPr="00E00B35" w:rsidTr="006D3493">
        <w:tc>
          <w:tcPr>
            <w:tcW w:w="2302" w:type="dxa"/>
            <w:shd w:val="clear" w:color="auto" w:fill="auto"/>
          </w:tcPr>
          <w:p w:rsidR="007A4D59" w:rsidRPr="00E00B35" w:rsidRDefault="007A4D59" w:rsidP="00E00B35">
            <w:pPr>
              <w:spacing w:after="0" w:line="312" w:lineRule="auto"/>
              <w:rPr>
                <w:szCs w:val="20"/>
              </w:rPr>
            </w:pPr>
            <w:r w:rsidRPr="00E00B35">
              <w:rPr>
                <w:szCs w:val="20"/>
              </w:rPr>
              <w:t>Bilet rodzinny</w:t>
            </w:r>
          </w:p>
        </w:tc>
        <w:tc>
          <w:tcPr>
            <w:tcW w:w="2302" w:type="dxa"/>
            <w:shd w:val="clear" w:color="auto" w:fill="auto"/>
          </w:tcPr>
          <w:p w:rsidR="007A4D59" w:rsidRPr="00E00B35" w:rsidRDefault="007A4D59" w:rsidP="00E00B35">
            <w:pPr>
              <w:spacing w:after="0" w:line="312" w:lineRule="auto"/>
              <w:rPr>
                <w:szCs w:val="20"/>
              </w:rPr>
            </w:pPr>
            <w:r w:rsidRPr="00E00B35">
              <w:rPr>
                <w:szCs w:val="20"/>
              </w:rPr>
              <w:t>6 142</w:t>
            </w:r>
          </w:p>
        </w:tc>
        <w:tc>
          <w:tcPr>
            <w:tcW w:w="2303" w:type="dxa"/>
            <w:shd w:val="clear" w:color="auto" w:fill="auto"/>
          </w:tcPr>
          <w:p w:rsidR="007A4D59" w:rsidRPr="00E00B35" w:rsidRDefault="007A4D59" w:rsidP="00E00B35">
            <w:pPr>
              <w:spacing w:after="0" w:line="312" w:lineRule="auto"/>
              <w:rPr>
                <w:szCs w:val="20"/>
              </w:rPr>
            </w:pPr>
            <w:r w:rsidRPr="00E00B35">
              <w:rPr>
                <w:szCs w:val="20"/>
              </w:rPr>
              <w:t>120</w:t>
            </w:r>
          </w:p>
        </w:tc>
        <w:tc>
          <w:tcPr>
            <w:tcW w:w="2303" w:type="dxa"/>
            <w:shd w:val="clear" w:color="auto" w:fill="auto"/>
          </w:tcPr>
          <w:p w:rsidR="007A4D59" w:rsidRPr="00E00B35" w:rsidRDefault="007A4D59" w:rsidP="00E00B35">
            <w:pPr>
              <w:spacing w:after="0" w:line="312" w:lineRule="auto"/>
              <w:rPr>
                <w:szCs w:val="20"/>
              </w:rPr>
            </w:pPr>
            <w:r w:rsidRPr="00E00B35">
              <w:rPr>
                <w:szCs w:val="20"/>
              </w:rPr>
              <w:t>6 262</w:t>
            </w:r>
          </w:p>
        </w:tc>
      </w:tr>
      <w:tr w:rsidR="007A4D59" w:rsidRPr="00E00B35" w:rsidTr="006D3493">
        <w:tc>
          <w:tcPr>
            <w:tcW w:w="2302" w:type="dxa"/>
            <w:shd w:val="clear" w:color="auto" w:fill="auto"/>
          </w:tcPr>
          <w:p w:rsidR="007A4D59" w:rsidRPr="00E00B35" w:rsidRDefault="007A4D59" w:rsidP="00E00B35">
            <w:pPr>
              <w:spacing w:after="0" w:line="312" w:lineRule="auto"/>
              <w:rPr>
                <w:szCs w:val="20"/>
              </w:rPr>
            </w:pPr>
            <w:r w:rsidRPr="00E00B35">
              <w:rPr>
                <w:szCs w:val="20"/>
              </w:rPr>
              <w:t>Bilet specjalny</w:t>
            </w:r>
          </w:p>
        </w:tc>
        <w:tc>
          <w:tcPr>
            <w:tcW w:w="2302" w:type="dxa"/>
            <w:shd w:val="clear" w:color="auto" w:fill="auto"/>
          </w:tcPr>
          <w:p w:rsidR="007A4D59" w:rsidRPr="00E00B35" w:rsidRDefault="007A4D59" w:rsidP="00E00B35">
            <w:pPr>
              <w:spacing w:after="0" w:line="312" w:lineRule="auto"/>
              <w:rPr>
                <w:szCs w:val="20"/>
              </w:rPr>
            </w:pPr>
            <w:r w:rsidRPr="00E00B35">
              <w:rPr>
                <w:szCs w:val="20"/>
              </w:rPr>
              <w:t>68</w:t>
            </w:r>
          </w:p>
        </w:tc>
        <w:tc>
          <w:tcPr>
            <w:tcW w:w="2303" w:type="dxa"/>
            <w:shd w:val="clear" w:color="auto" w:fill="auto"/>
          </w:tcPr>
          <w:p w:rsidR="007A4D59" w:rsidRPr="00E00B35" w:rsidRDefault="007A4D59" w:rsidP="00E00B35">
            <w:pPr>
              <w:spacing w:after="0" w:line="312" w:lineRule="auto"/>
              <w:rPr>
                <w:szCs w:val="20"/>
              </w:rPr>
            </w:pPr>
            <w:r w:rsidRPr="00E00B35">
              <w:rPr>
                <w:szCs w:val="20"/>
              </w:rPr>
              <w:t>4</w:t>
            </w:r>
          </w:p>
        </w:tc>
        <w:tc>
          <w:tcPr>
            <w:tcW w:w="2303" w:type="dxa"/>
            <w:shd w:val="clear" w:color="auto" w:fill="auto"/>
          </w:tcPr>
          <w:p w:rsidR="007A4D59" w:rsidRPr="00E00B35" w:rsidRDefault="007A4D59" w:rsidP="00E00B35">
            <w:pPr>
              <w:spacing w:after="0" w:line="312" w:lineRule="auto"/>
              <w:rPr>
                <w:szCs w:val="20"/>
              </w:rPr>
            </w:pPr>
            <w:r w:rsidRPr="00E00B35">
              <w:rPr>
                <w:szCs w:val="20"/>
              </w:rPr>
              <w:t>72</w:t>
            </w:r>
          </w:p>
        </w:tc>
      </w:tr>
      <w:tr w:rsidR="007A4D59" w:rsidRPr="00E00B35" w:rsidTr="006D3493">
        <w:tc>
          <w:tcPr>
            <w:tcW w:w="2302" w:type="dxa"/>
            <w:shd w:val="clear" w:color="auto" w:fill="auto"/>
          </w:tcPr>
          <w:p w:rsidR="007A4D59" w:rsidRPr="00E00B35" w:rsidRDefault="007A4D59" w:rsidP="00E00B35">
            <w:pPr>
              <w:spacing w:after="0" w:line="312" w:lineRule="auto"/>
              <w:rPr>
                <w:szCs w:val="20"/>
              </w:rPr>
            </w:pPr>
            <w:r w:rsidRPr="00E00B35">
              <w:rPr>
                <w:szCs w:val="20"/>
              </w:rPr>
              <w:t>Bilet wielokrotny 10 wejść normalny</w:t>
            </w:r>
          </w:p>
        </w:tc>
        <w:tc>
          <w:tcPr>
            <w:tcW w:w="2302" w:type="dxa"/>
            <w:shd w:val="clear" w:color="auto" w:fill="auto"/>
          </w:tcPr>
          <w:p w:rsidR="007A4D59" w:rsidRPr="00E00B35" w:rsidRDefault="007A4D59" w:rsidP="00E00B35">
            <w:pPr>
              <w:spacing w:after="0" w:line="312" w:lineRule="auto"/>
              <w:rPr>
                <w:szCs w:val="20"/>
              </w:rPr>
            </w:pPr>
            <w:r w:rsidRPr="00E00B35">
              <w:rPr>
                <w:szCs w:val="20"/>
              </w:rPr>
              <w:t>5</w:t>
            </w:r>
          </w:p>
        </w:tc>
        <w:tc>
          <w:tcPr>
            <w:tcW w:w="2303" w:type="dxa"/>
            <w:shd w:val="clear" w:color="auto" w:fill="auto"/>
          </w:tcPr>
          <w:p w:rsidR="007A4D59" w:rsidRPr="00E00B35" w:rsidRDefault="007A4D59" w:rsidP="00E00B35">
            <w:pPr>
              <w:spacing w:after="0" w:line="312" w:lineRule="auto"/>
              <w:rPr>
                <w:szCs w:val="20"/>
              </w:rPr>
            </w:pPr>
            <w:r w:rsidRPr="00E00B35">
              <w:rPr>
                <w:szCs w:val="20"/>
              </w:rPr>
              <w:t>4</w:t>
            </w:r>
          </w:p>
        </w:tc>
        <w:tc>
          <w:tcPr>
            <w:tcW w:w="2303" w:type="dxa"/>
            <w:shd w:val="clear" w:color="auto" w:fill="auto"/>
          </w:tcPr>
          <w:p w:rsidR="007A4D59" w:rsidRPr="00E00B35" w:rsidRDefault="007A4D59" w:rsidP="00E00B35">
            <w:pPr>
              <w:spacing w:after="0" w:line="312" w:lineRule="auto"/>
              <w:rPr>
                <w:szCs w:val="20"/>
              </w:rPr>
            </w:pPr>
            <w:r w:rsidRPr="00E00B35">
              <w:rPr>
                <w:szCs w:val="20"/>
              </w:rPr>
              <w:t>9</w:t>
            </w:r>
          </w:p>
        </w:tc>
      </w:tr>
      <w:tr w:rsidR="007A4D59" w:rsidRPr="00E00B35" w:rsidTr="006D3493">
        <w:tc>
          <w:tcPr>
            <w:tcW w:w="2302" w:type="dxa"/>
            <w:shd w:val="clear" w:color="auto" w:fill="auto"/>
          </w:tcPr>
          <w:p w:rsidR="007A4D59" w:rsidRPr="00E00B35" w:rsidRDefault="007A4D59" w:rsidP="00E00B35">
            <w:pPr>
              <w:spacing w:after="0" w:line="312" w:lineRule="auto"/>
              <w:rPr>
                <w:szCs w:val="20"/>
              </w:rPr>
            </w:pPr>
            <w:r w:rsidRPr="00E00B35">
              <w:rPr>
                <w:szCs w:val="20"/>
              </w:rPr>
              <w:t>Bilet wielokrotny 10 wejść ulgowy</w:t>
            </w:r>
          </w:p>
        </w:tc>
        <w:tc>
          <w:tcPr>
            <w:tcW w:w="2302" w:type="dxa"/>
            <w:shd w:val="clear" w:color="auto" w:fill="auto"/>
          </w:tcPr>
          <w:p w:rsidR="007A4D59" w:rsidRPr="00E00B35" w:rsidRDefault="007A4D59" w:rsidP="00E00B35">
            <w:pPr>
              <w:spacing w:after="0" w:line="312" w:lineRule="auto"/>
              <w:rPr>
                <w:szCs w:val="20"/>
              </w:rPr>
            </w:pPr>
            <w:r w:rsidRPr="00E00B35">
              <w:rPr>
                <w:szCs w:val="20"/>
              </w:rPr>
              <w:t>8</w:t>
            </w:r>
          </w:p>
        </w:tc>
        <w:tc>
          <w:tcPr>
            <w:tcW w:w="2303" w:type="dxa"/>
            <w:shd w:val="clear" w:color="auto" w:fill="auto"/>
          </w:tcPr>
          <w:p w:rsidR="007A4D59" w:rsidRPr="00E00B35" w:rsidRDefault="007A4D59" w:rsidP="00E00B35">
            <w:pPr>
              <w:spacing w:after="0" w:line="312" w:lineRule="auto"/>
              <w:rPr>
                <w:szCs w:val="20"/>
              </w:rPr>
            </w:pPr>
            <w:r w:rsidRPr="00E00B35">
              <w:rPr>
                <w:szCs w:val="20"/>
              </w:rPr>
              <w:t>3</w:t>
            </w:r>
          </w:p>
        </w:tc>
        <w:tc>
          <w:tcPr>
            <w:tcW w:w="2303" w:type="dxa"/>
            <w:shd w:val="clear" w:color="auto" w:fill="auto"/>
          </w:tcPr>
          <w:p w:rsidR="007A4D59" w:rsidRPr="00E00B35" w:rsidRDefault="007A4D59" w:rsidP="00E00B35">
            <w:pPr>
              <w:spacing w:after="0" w:line="312" w:lineRule="auto"/>
              <w:rPr>
                <w:szCs w:val="20"/>
              </w:rPr>
            </w:pPr>
            <w:r w:rsidRPr="00E00B35">
              <w:rPr>
                <w:szCs w:val="20"/>
              </w:rPr>
              <w:t>11</w:t>
            </w:r>
          </w:p>
        </w:tc>
      </w:tr>
      <w:tr w:rsidR="007A4D59" w:rsidRPr="00E00B35" w:rsidTr="006D3493">
        <w:tc>
          <w:tcPr>
            <w:tcW w:w="2302" w:type="dxa"/>
            <w:shd w:val="clear" w:color="auto" w:fill="auto"/>
          </w:tcPr>
          <w:p w:rsidR="007A4D59" w:rsidRPr="00E00B35" w:rsidRDefault="007A4D59" w:rsidP="00E00B35">
            <w:pPr>
              <w:spacing w:after="0" w:line="312" w:lineRule="auto"/>
              <w:rPr>
                <w:szCs w:val="20"/>
              </w:rPr>
            </w:pPr>
            <w:r w:rsidRPr="00E00B35">
              <w:rPr>
                <w:szCs w:val="20"/>
              </w:rPr>
              <w:t>Razem</w:t>
            </w:r>
          </w:p>
        </w:tc>
        <w:tc>
          <w:tcPr>
            <w:tcW w:w="2302" w:type="dxa"/>
            <w:shd w:val="clear" w:color="auto" w:fill="auto"/>
          </w:tcPr>
          <w:p w:rsidR="007A4D59" w:rsidRPr="00E00B35" w:rsidRDefault="007A4D59" w:rsidP="00E00B35">
            <w:pPr>
              <w:spacing w:after="0" w:line="312" w:lineRule="auto"/>
              <w:rPr>
                <w:szCs w:val="20"/>
              </w:rPr>
            </w:pPr>
            <w:r w:rsidRPr="00E00B35">
              <w:rPr>
                <w:szCs w:val="20"/>
              </w:rPr>
              <w:t>121 819</w:t>
            </w:r>
          </w:p>
        </w:tc>
        <w:tc>
          <w:tcPr>
            <w:tcW w:w="2303" w:type="dxa"/>
            <w:shd w:val="clear" w:color="auto" w:fill="auto"/>
          </w:tcPr>
          <w:p w:rsidR="007A4D59" w:rsidRPr="00E00B35" w:rsidRDefault="007A4D59" w:rsidP="00E00B35">
            <w:pPr>
              <w:spacing w:after="0" w:line="312" w:lineRule="auto"/>
              <w:rPr>
                <w:szCs w:val="20"/>
              </w:rPr>
            </w:pPr>
            <w:r w:rsidRPr="00E00B35">
              <w:rPr>
                <w:szCs w:val="20"/>
              </w:rPr>
              <w:t>1 051</w:t>
            </w:r>
          </w:p>
        </w:tc>
        <w:tc>
          <w:tcPr>
            <w:tcW w:w="2303" w:type="dxa"/>
            <w:shd w:val="clear" w:color="auto" w:fill="auto"/>
          </w:tcPr>
          <w:p w:rsidR="007A4D59" w:rsidRPr="00E00B35" w:rsidRDefault="007A4D59" w:rsidP="00E00B35">
            <w:pPr>
              <w:spacing w:after="0" w:line="312" w:lineRule="auto"/>
              <w:rPr>
                <w:szCs w:val="20"/>
              </w:rPr>
            </w:pPr>
            <w:r w:rsidRPr="00E00B35">
              <w:rPr>
                <w:szCs w:val="20"/>
              </w:rPr>
              <w:t>122 870</w:t>
            </w:r>
          </w:p>
        </w:tc>
      </w:tr>
    </w:tbl>
    <w:p w:rsidR="007A4D59" w:rsidRPr="00E00B35" w:rsidRDefault="007A4D59" w:rsidP="00E00B35">
      <w:pPr>
        <w:spacing w:after="0" w:line="312" w:lineRule="auto"/>
        <w:rPr>
          <w:szCs w:val="20"/>
        </w:rPr>
      </w:pPr>
    </w:p>
    <w:p w:rsidR="007A4D59" w:rsidRPr="00E00B35" w:rsidRDefault="007A4D59" w:rsidP="00E00B35">
      <w:pPr>
        <w:spacing w:after="0" w:line="312" w:lineRule="auto"/>
        <w:ind w:left="708"/>
        <w:rPr>
          <w:szCs w:val="20"/>
        </w:rPr>
      </w:pPr>
      <w:r w:rsidRPr="00E00B35">
        <w:rPr>
          <w:szCs w:val="20"/>
        </w:rPr>
        <w:t>Uzyskane dochody pochodzą również ze sprzedaży materiałów promocyjnych tj. monet pamiątkowych i widokówek.</w:t>
      </w:r>
    </w:p>
    <w:p w:rsidR="007A4D59" w:rsidRPr="00E00B35" w:rsidRDefault="007A4D59" w:rsidP="00E00B35">
      <w:pPr>
        <w:spacing w:after="0" w:line="312" w:lineRule="auto"/>
        <w:rPr>
          <w:szCs w:val="20"/>
        </w:rPr>
      </w:pPr>
    </w:p>
    <w:p w:rsidR="007A4D59" w:rsidRPr="00E00B35" w:rsidRDefault="007A4D59" w:rsidP="00E00B35">
      <w:pPr>
        <w:spacing w:after="0" w:line="312" w:lineRule="auto"/>
        <w:ind w:left="708"/>
        <w:rPr>
          <w:szCs w:val="20"/>
        </w:rPr>
      </w:pPr>
      <w:r w:rsidRPr="00E00B35">
        <w:rPr>
          <w:szCs w:val="20"/>
        </w:rPr>
        <w:t>Zarząd Zieleni Miejskiej przyłączył się w 2020 do miejskiego programu Nasz Wrocław wprowadzając zniżkę min. 20% na bilety wejściowe dla uczestników Programu. Nasz Wrocław to miejski program, którego celem jest zachęcenie mieszkańców do aktywnego spędzania wolnego czasu oraz udziału w życiu miasta. Program jest skierowany do mieszkańców, którzy rozliczają podatek dochodowy we Wrocławiu. Uczestnictwo w Programie upoważnia do otrzymania zniżki na bilety wejścia w ośrodkach kultury, sztuki, obiektach sportowych czy placówkach edukacyjnych.</w:t>
      </w:r>
    </w:p>
    <w:p w:rsidR="007A4D59" w:rsidRPr="00E00B35" w:rsidRDefault="007A4D59" w:rsidP="00E00B35">
      <w:pPr>
        <w:spacing w:after="0" w:line="312" w:lineRule="auto"/>
        <w:rPr>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sprzedaż drewna opałowego na kwotę </w:t>
      </w:r>
      <w:r w:rsidRPr="00E00B35">
        <w:rPr>
          <w:bCs/>
          <w:szCs w:val="20"/>
        </w:rPr>
        <w:t>180 758,03 zł</w:t>
      </w:r>
      <w:r w:rsidRPr="00E00B35">
        <w:rPr>
          <w:szCs w:val="20"/>
        </w:rPr>
        <w:t xml:space="preserve">, co stanowi </w:t>
      </w:r>
      <w:r w:rsidRPr="00E00B35">
        <w:rPr>
          <w:bCs/>
          <w:szCs w:val="20"/>
        </w:rPr>
        <w:t>451,90 %</w:t>
      </w:r>
      <w:r w:rsidRPr="00E00B35">
        <w:rPr>
          <w:szCs w:val="20"/>
        </w:rPr>
        <w:t>. Dochody pochodzą ze sprzedaży drewna z wycinki sanitarnej drzew. W ramach prowadzonych prac  związanych z konserwacją zieleni na terenach parków, zieleńców oraz w pasach drogowych i lasach komunalnych w 2020 pozyskano 879,04 m</w:t>
      </w:r>
      <w:r w:rsidRPr="00E00B35">
        <w:rPr>
          <w:szCs w:val="20"/>
          <w:vertAlign w:val="superscript"/>
        </w:rPr>
        <w:t>3</w:t>
      </w:r>
      <w:r w:rsidRPr="00E00B35">
        <w:rPr>
          <w:szCs w:val="20"/>
        </w:rPr>
        <w:t xml:space="preserve"> drewna opałowego. Plan na zadaniu został przekroczony ze względu na większy zakres koniecznej wycinki sanitarnej niż zakładano,</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dochody nieplanowane na kwotę 303 347,85 zł pochodziły z kar umownych, odsetek bankowych, wpływów rozliczeń z lat ubiegłych, wpływu z otrzymanych darowizn, wpływy z zastępstwa procesowego, kosztów egzekucji, dopłat bezpośrednich, wpływy za bezumowne zajęcia gruntów, wpływy ze sprzedaży składników majątkowych,</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dochody z najmu i dzierżaw na kwotę 1 533 916,90 zł, wykonanie planu 102,26 %,</w:t>
      </w: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wpływy z usług (media) na kwotę 99 157,64 zł, wykonanie planu w 66,11 %, zmniejszone dochody spowodowane stanem epidemii, dochody na sprzedaż mediów pochodzą z działalności siłowni i fitness.  </w:t>
      </w:r>
    </w:p>
    <w:p w:rsidR="007A4D59" w:rsidRPr="00E00B35" w:rsidRDefault="007A4D59" w:rsidP="00E00B35">
      <w:pPr>
        <w:pStyle w:val="Akapitzlist"/>
        <w:tabs>
          <w:tab w:val="left" w:pos="0"/>
          <w:tab w:val="left" w:pos="426"/>
        </w:tabs>
        <w:spacing w:after="0" w:line="312" w:lineRule="auto"/>
        <w:ind w:left="426"/>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lastRenderedPageBreak/>
        <w:t>Wydatki</w:t>
      </w:r>
    </w:p>
    <w:p w:rsidR="007A4D59" w:rsidRPr="00E00B35" w:rsidRDefault="007A4D59" w:rsidP="00E00B35">
      <w:pPr>
        <w:spacing w:after="0" w:line="312" w:lineRule="auto"/>
        <w:rPr>
          <w:szCs w:val="20"/>
        </w:rPr>
      </w:pPr>
      <w:r w:rsidRPr="00E00B35">
        <w:rPr>
          <w:szCs w:val="20"/>
        </w:rPr>
        <w:t>Plan ogółem  35 591 646,00 zł. Wykorzystanie środków  w kwocie 35 497 970,74 na zadaniu Utrzymanie zieleni w miastach i gminach – 99,74%.</w:t>
      </w:r>
    </w:p>
    <w:p w:rsidR="007A4D59" w:rsidRPr="00E00B35" w:rsidRDefault="007A4D59" w:rsidP="00E00B35">
      <w:pPr>
        <w:pStyle w:val="Nagwek4"/>
        <w:spacing w:before="0" w:after="0" w:line="312" w:lineRule="auto"/>
        <w:rPr>
          <w:b w:val="0"/>
          <w:sz w:val="20"/>
          <w:szCs w:val="20"/>
        </w:rPr>
      </w:pPr>
      <w:r w:rsidRPr="00E00B35">
        <w:rPr>
          <w:b w:val="0"/>
          <w:sz w:val="20"/>
          <w:szCs w:val="20"/>
        </w:rPr>
        <w:t>Wydatki poniesione na wykonanie zadań:</w:t>
      </w:r>
    </w:p>
    <w:p w:rsidR="00044CC5" w:rsidRPr="00E00B35" w:rsidRDefault="00044CC5" w:rsidP="00E00B35">
      <w:pPr>
        <w:pStyle w:val="Nagwek4"/>
        <w:spacing w:before="0" w:after="0" w:line="312" w:lineRule="auto"/>
        <w:rPr>
          <w:b w:val="0"/>
          <w:sz w:val="20"/>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podatek leśny – 40 778,00 zł - Zarząd Zieleni Miejskiej odprowadził podatek leśny od zarządzanych powierzchni lasów komunalnych Wrocławia.</w:t>
      </w:r>
    </w:p>
    <w:p w:rsidR="00044CC5" w:rsidRPr="00E00B35" w:rsidRDefault="00044CC5" w:rsidP="00E00B35">
      <w:pPr>
        <w:pStyle w:val="Akapitzlist"/>
        <w:tabs>
          <w:tab w:val="left" w:pos="0"/>
          <w:tab w:val="left" w:pos="426"/>
        </w:tabs>
        <w:spacing w:after="0" w:line="312" w:lineRule="auto"/>
        <w:ind w:left="426"/>
        <w:rPr>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bookmarkStart w:id="673" w:name="_Hlk505157033"/>
      <w:bookmarkStart w:id="674" w:name="_Hlk505159061"/>
      <w:r w:rsidRPr="00E00B35">
        <w:rPr>
          <w:szCs w:val="20"/>
        </w:rPr>
        <w:t>odrolnienie i opłaty za zajęcie pasa drogowego – 115 523,16 zł</w:t>
      </w:r>
      <w:r w:rsidRPr="00E00B35">
        <w:rPr>
          <w:szCs w:val="20"/>
        </w:rPr>
        <w:tab/>
      </w:r>
      <w:r w:rsidRPr="00E00B35">
        <w:rPr>
          <w:szCs w:val="20"/>
        </w:rPr>
        <w:tab/>
      </w:r>
      <w:bookmarkEnd w:id="673"/>
      <w:bookmarkEnd w:id="674"/>
    </w:p>
    <w:p w:rsidR="007A4D59" w:rsidRPr="00E00B35" w:rsidRDefault="007A4D59" w:rsidP="00E00B35">
      <w:pPr>
        <w:spacing w:after="0" w:line="312" w:lineRule="auto"/>
        <w:ind w:left="426"/>
        <w:rPr>
          <w:szCs w:val="20"/>
        </w:rPr>
      </w:pPr>
      <w:r w:rsidRPr="00E00B35">
        <w:rPr>
          <w:rFonts w:cs="Verdana"/>
          <w:szCs w:val="20"/>
        </w:rPr>
        <w:t>W ramach zadania zrealizowano opłaty za zajęcie pasa drogowego. Ponadto uregulowano  opłaty za trwałe wyłączenie gruntów z produkcji rolnej, na których zrealizowano inwestycje Zarządu Zieleni Miejskiej oraz Zarządu Inwestycji Miejskich tj:</w:t>
      </w:r>
      <w:r w:rsidRPr="00E00B35">
        <w:rPr>
          <w:szCs w:val="20"/>
        </w:rPr>
        <w:t xml:space="preserve"> w 2015 roku zadanie pn. „Słoneczny Park na Ołtaszynie – zagospodarowanie terenu parku przy ul. Ułańskiej”, w ramach WBO 2014 – Projekt nr 33, w 2017 roku zadanie pn. „Tor Wrotkarski” na terenie Parku Milenijnego w okolicach ul. Sukielickiej, w 2018 r. zadanie pn. Park Wspólnotowy "Ślężański Mamut" przyjazna przestrzeń dla aktywnego wypoczynku, kultury i edukacji uczestniczącej, współtworzona przez użytkowników”, w ramach WBO 2014 – Projekt nr 301, w 2018 „Budowa terenów sportowych na Osiedlu Rędzin”.</w:t>
      </w:r>
    </w:p>
    <w:p w:rsidR="00044CC5" w:rsidRPr="00E00B35" w:rsidRDefault="00044CC5" w:rsidP="00E00B35">
      <w:pPr>
        <w:spacing w:after="0" w:line="312" w:lineRule="auto"/>
        <w:ind w:left="426"/>
        <w:rPr>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rozliczenie licznikowe eksploatacji oświetlenia i fontann – 501 345,22 zł</w:t>
      </w:r>
      <w:r w:rsidR="002E46F1" w:rsidRPr="00E00B35">
        <w:rPr>
          <w:szCs w:val="20"/>
        </w:rPr>
        <w:t xml:space="preserve">, </w:t>
      </w:r>
      <w:r w:rsidRPr="00E00B35">
        <w:rPr>
          <w:szCs w:val="20"/>
        </w:rPr>
        <w:t>w tym:</w:t>
      </w:r>
    </w:p>
    <w:p w:rsidR="007A4D59" w:rsidRPr="00E00B35" w:rsidRDefault="007A4D59" w:rsidP="00E00B35">
      <w:pPr>
        <w:spacing w:after="0" w:line="312" w:lineRule="auto"/>
        <w:ind w:left="426"/>
        <w:rPr>
          <w:szCs w:val="20"/>
        </w:rPr>
      </w:pPr>
      <w:r w:rsidRPr="00E00B35">
        <w:rPr>
          <w:szCs w:val="20"/>
        </w:rPr>
        <w:t>zakup wody 177 738,39 zł</w:t>
      </w:r>
    </w:p>
    <w:p w:rsidR="007A4D59" w:rsidRPr="00E00B35" w:rsidRDefault="007A4D59" w:rsidP="00E00B35">
      <w:pPr>
        <w:spacing w:after="0" w:line="312" w:lineRule="auto"/>
        <w:ind w:left="426"/>
        <w:rPr>
          <w:szCs w:val="20"/>
        </w:rPr>
      </w:pPr>
      <w:r w:rsidRPr="00E00B35">
        <w:rPr>
          <w:szCs w:val="20"/>
        </w:rPr>
        <w:t>zakup energii 323 606,83 zł</w:t>
      </w:r>
    </w:p>
    <w:p w:rsidR="007A4D59" w:rsidRPr="00E00B35" w:rsidRDefault="007A4D59" w:rsidP="00E00B35">
      <w:pPr>
        <w:spacing w:after="0" w:line="312" w:lineRule="auto"/>
        <w:ind w:left="426"/>
        <w:rPr>
          <w:szCs w:val="20"/>
        </w:rPr>
      </w:pPr>
      <w:r w:rsidRPr="00E00B35">
        <w:rPr>
          <w:szCs w:val="20"/>
        </w:rPr>
        <w:t xml:space="preserve">Zadanie obejmowało zakup wody i energii elektrycznej niezbędnej do eksploatacji fontann, systemów nawadniających i napowietrzających oraz do oświetlenia części terenów zieleni i iluminacji obiektów zabytkowych. Mniejsze zużycie wody wynika z wstrzymania uruchomienia fontann na terenach parków i zieleńców z uwagi na COVID. </w:t>
      </w:r>
    </w:p>
    <w:p w:rsidR="00044CC5" w:rsidRPr="00E00B35" w:rsidRDefault="00044CC5" w:rsidP="00E00B35">
      <w:pPr>
        <w:spacing w:after="0" w:line="312" w:lineRule="auto"/>
        <w:ind w:left="426"/>
        <w:rPr>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bieżąca konserwacja parków i zieleńców - 12 901 346,49 zł  </w:t>
      </w:r>
    </w:p>
    <w:p w:rsidR="002E46F1" w:rsidRPr="00E00B35" w:rsidRDefault="007A4D59" w:rsidP="00E00B35">
      <w:pPr>
        <w:spacing w:after="0" w:line="312" w:lineRule="auto"/>
        <w:ind w:firstLine="426"/>
        <w:rPr>
          <w:szCs w:val="20"/>
        </w:rPr>
      </w:pPr>
      <w:r w:rsidRPr="00E00B35">
        <w:rPr>
          <w:szCs w:val="20"/>
        </w:rPr>
        <w:t>Bieżąca konserwacja parków i zieleńców obejmuje:</w:t>
      </w:r>
    </w:p>
    <w:p w:rsidR="002E46F1" w:rsidRPr="00E00B35" w:rsidRDefault="007A4D59" w:rsidP="00E00B35">
      <w:pPr>
        <w:spacing w:after="0" w:line="312" w:lineRule="auto"/>
        <w:ind w:firstLine="426"/>
        <w:rPr>
          <w:szCs w:val="20"/>
        </w:rPr>
      </w:pPr>
      <w:r w:rsidRPr="00E00B35">
        <w:rPr>
          <w:szCs w:val="20"/>
        </w:rPr>
        <w:t xml:space="preserve">bieżące utrzymanie parków i zieleńców na powierzchni  793,95 ha, w tym:  </w:t>
      </w:r>
    </w:p>
    <w:p w:rsidR="007A4D59" w:rsidRPr="00E00B35" w:rsidRDefault="007A4D59" w:rsidP="00E00B35">
      <w:pPr>
        <w:spacing w:after="0" w:line="312" w:lineRule="auto"/>
        <w:ind w:left="426"/>
        <w:rPr>
          <w:szCs w:val="20"/>
        </w:rPr>
      </w:pPr>
      <w:r w:rsidRPr="00E00B35">
        <w:rPr>
          <w:szCs w:val="20"/>
        </w:rPr>
        <w:t>parki - 56 obiektów o pow. 631,41 ha, zieleńce - 222 obiekty o pow. 162,54 ha,</w:t>
      </w:r>
      <w:r w:rsidR="002E46F1" w:rsidRPr="00E00B35">
        <w:rPr>
          <w:szCs w:val="20"/>
        </w:rPr>
        <w:t xml:space="preserve"> </w:t>
      </w:r>
      <w:r w:rsidRPr="00E00B35">
        <w:rPr>
          <w:szCs w:val="20"/>
        </w:rPr>
        <w:t>prace porządkowe na terenach: zieleni tymczasowej i zieleni nieurządzonej o pow. 129,09 ha.</w:t>
      </w:r>
    </w:p>
    <w:p w:rsidR="007A4D59" w:rsidRPr="00E00B35" w:rsidRDefault="007A4D59" w:rsidP="00E00B35">
      <w:pPr>
        <w:spacing w:after="0" w:line="312" w:lineRule="auto"/>
        <w:ind w:left="426"/>
        <w:rPr>
          <w:szCs w:val="20"/>
        </w:rPr>
      </w:pPr>
      <w:r w:rsidRPr="00E00B35">
        <w:rPr>
          <w:szCs w:val="20"/>
        </w:rPr>
        <w:t xml:space="preserve">Prace w zakresie konserwacji zieleni obejmują m.in.: koszenie trawników, wygrabianie liści, nasadzenia i ukwiecenia terenów zieleni parkowej, pielęgnację kwietników sezonowych, różanek, rabat bylinowych i żywopłotów, pielęgnację młodych i starszych drzew, utrzymanie porządku. </w:t>
      </w:r>
    </w:p>
    <w:p w:rsidR="007A4D59" w:rsidRPr="00E00B35" w:rsidRDefault="007A4D59" w:rsidP="00E00B35">
      <w:pPr>
        <w:spacing w:after="0" w:line="312" w:lineRule="auto"/>
        <w:ind w:left="426"/>
        <w:rPr>
          <w:szCs w:val="20"/>
        </w:rPr>
      </w:pPr>
      <w:r w:rsidRPr="00E00B35">
        <w:rPr>
          <w:szCs w:val="20"/>
        </w:rPr>
        <w:t>Wskazane działania mają na celu poprawę bezpieczeństwa i estetyki miasta, poprawę walorów przyrodniczo-krajobrazowych terenów zieleni miejskiej oraz stworzenie lepszych warunków wypoczynku mieszkańców.</w:t>
      </w:r>
    </w:p>
    <w:p w:rsidR="00044CC5" w:rsidRPr="00E00B35" w:rsidRDefault="00044CC5" w:rsidP="00E00B35">
      <w:pPr>
        <w:spacing w:after="0" w:line="312" w:lineRule="auto"/>
        <w:ind w:left="426"/>
        <w:rPr>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lastRenderedPageBreak/>
        <w:t xml:space="preserve">bieżąca konserwacja zieleni przyulicznej  - 6 012 287,01 zł  </w:t>
      </w:r>
    </w:p>
    <w:p w:rsidR="007A4D59" w:rsidRPr="00E00B35" w:rsidRDefault="007A4D59" w:rsidP="00E00B35">
      <w:pPr>
        <w:spacing w:after="0" w:line="312" w:lineRule="auto"/>
        <w:ind w:left="426"/>
        <w:rPr>
          <w:szCs w:val="20"/>
        </w:rPr>
      </w:pPr>
      <w:r w:rsidRPr="00E00B35">
        <w:rPr>
          <w:szCs w:val="20"/>
        </w:rPr>
        <w:t xml:space="preserve">Bieżącą konserwację prowadzono na terenie zieleni przyulicznej pasów drogowych, pętli tramwajowych i rezerw komunikacyjnych o powierzchni 562,46 ha. Dodatkowo prowadzono konserwację zieleni rowów przydrożnych na powierzchni 59,85 ha. </w:t>
      </w:r>
    </w:p>
    <w:p w:rsidR="007A4D59" w:rsidRPr="00E00B35" w:rsidRDefault="007A4D59" w:rsidP="00E00B35">
      <w:pPr>
        <w:spacing w:after="0" w:line="312" w:lineRule="auto"/>
        <w:ind w:left="426"/>
        <w:rPr>
          <w:szCs w:val="20"/>
        </w:rPr>
      </w:pPr>
      <w:r w:rsidRPr="00E00B35">
        <w:rPr>
          <w:szCs w:val="20"/>
        </w:rPr>
        <w:t xml:space="preserve">Prace w zakresie konserwacji zieleni pasów drogowych obejmują m.in.: koszenie trawników, wygrabianie liści, nasadzenia roślinności trwałej, pielęgnacje nasadzeń okrywowych, cięcie i odchwaszczanie żywopłotów, pielęgnacje młodych i starszych drzew. </w:t>
      </w:r>
    </w:p>
    <w:p w:rsidR="007A4D59" w:rsidRPr="00E00B35" w:rsidRDefault="007A4D59" w:rsidP="00E00B35">
      <w:pPr>
        <w:spacing w:after="0" w:line="312" w:lineRule="auto"/>
        <w:ind w:left="426"/>
        <w:rPr>
          <w:szCs w:val="20"/>
        </w:rPr>
      </w:pPr>
      <w:r w:rsidRPr="00E00B35">
        <w:rPr>
          <w:szCs w:val="20"/>
        </w:rPr>
        <w:t>Wskazane działania mają na celu poprawę bezpieczeństwa i estetyki miasta, poprawę walorów przyrodniczo-krajobrazowych terenów zieleni miejskiej oraz stworzenie lepszych warunków wypoczynku mieszkańców.</w:t>
      </w:r>
    </w:p>
    <w:p w:rsidR="00044CC5" w:rsidRPr="00E00B35" w:rsidRDefault="00044CC5" w:rsidP="00E00B35">
      <w:pPr>
        <w:spacing w:after="0" w:line="312" w:lineRule="auto"/>
        <w:ind w:left="426"/>
        <w:rPr>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 xml:space="preserve">konserwacja, pielęgnacja i zagospodarowanie powierzchni leśnych </w:t>
      </w:r>
      <w:r w:rsidRPr="00E00B35">
        <w:rPr>
          <w:szCs w:val="20"/>
        </w:rPr>
        <w:br/>
        <w:t>w Lasach Komunalnych – 1 410 428,60 zł.</w:t>
      </w:r>
    </w:p>
    <w:p w:rsidR="007A4D59" w:rsidRPr="00E00B35" w:rsidRDefault="007A4D59" w:rsidP="00E00B35">
      <w:pPr>
        <w:autoSpaceDE w:val="0"/>
        <w:autoSpaceDN w:val="0"/>
        <w:adjustRightInd w:val="0"/>
        <w:spacing w:after="0" w:line="312" w:lineRule="auto"/>
        <w:ind w:left="426"/>
        <w:rPr>
          <w:rFonts w:cs="Verdana"/>
          <w:bCs/>
          <w:szCs w:val="20"/>
        </w:rPr>
      </w:pPr>
      <w:r w:rsidRPr="00E00B35">
        <w:rPr>
          <w:rFonts w:cs="Verdana"/>
          <w:bCs/>
          <w:szCs w:val="20"/>
        </w:rPr>
        <w:t>Powierzchnia terenów leśnych objętych konserwacją i pielęgnacją wynosi 1191,73 ha. W ramach prac konserwacyjnych wykonano cięcia sanitarne oraz cięcia hodowlane (trzebieże i czyszczenia późne) pozyskując 414,07m</w:t>
      </w:r>
      <w:r w:rsidRPr="00E00B35">
        <w:rPr>
          <w:rFonts w:cs="Verdana"/>
          <w:bCs/>
          <w:szCs w:val="20"/>
          <w:vertAlign w:val="superscript"/>
        </w:rPr>
        <w:t>3</w:t>
      </w:r>
      <w:r w:rsidRPr="00E00B35">
        <w:rPr>
          <w:rFonts w:cs="Verdana"/>
          <w:bCs/>
          <w:szCs w:val="20"/>
        </w:rPr>
        <w:t xml:space="preserve"> grubizny opałowej.</w:t>
      </w:r>
    </w:p>
    <w:p w:rsidR="007A4D59" w:rsidRPr="00E00B35" w:rsidRDefault="007A4D59" w:rsidP="00E00B35">
      <w:pPr>
        <w:autoSpaceDE w:val="0"/>
        <w:autoSpaceDN w:val="0"/>
        <w:adjustRightInd w:val="0"/>
        <w:spacing w:after="0" w:line="312" w:lineRule="auto"/>
        <w:ind w:left="426"/>
        <w:rPr>
          <w:rFonts w:cs="Verdana"/>
          <w:bCs/>
          <w:szCs w:val="20"/>
        </w:rPr>
      </w:pPr>
      <w:r w:rsidRPr="00E00B35">
        <w:rPr>
          <w:rFonts w:cs="Verdana"/>
          <w:bCs/>
          <w:szCs w:val="20"/>
        </w:rPr>
        <w:t>W ramach wykonanych nasadzeń uzupełniających w istniejących uprawach leśnych w lasach komunalnych wysadzono, na powierzchni ok. 63,90ha, leśny materiał roślinny w ilości ok. 38 340 szt.</w:t>
      </w:r>
    </w:p>
    <w:p w:rsidR="007A4D59" w:rsidRPr="00E00B35" w:rsidRDefault="007A4D59" w:rsidP="00E00B35">
      <w:pPr>
        <w:autoSpaceDE w:val="0"/>
        <w:autoSpaceDN w:val="0"/>
        <w:adjustRightInd w:val="0"/>
        <w:spacing w:after="0" w:line="312" w:lineRule="auto"/>
        <w:ind w:left="426"/>
        <w:rPr>
          <w:rFonts w:cs="Verdana"/>
          <w:bCs/>
          <w:szCs w:val="20"/>
        </w:rPr>
      </w:pPr>
      <w:r w:rsidRPr="00E00B35">
        <w:rPr>
          <w:rFonts w:cs="Verdana"/>
          <w:bCs/>
          <w:szCs w:val="20"/>
        </w:rPr>
        <w:t>W ramach prowadzonych prac zalesieniowych, w drzewostanach starszych klas wieku, wykonano odnowienia sztuczne obsadzając istniejące luki i halizny o łącznej powierzchni 0,90ha wysadzając ok. 5400 szt. sadzonek leśnych. W uprawach leśnych (I klasy wieku) o powierzchni 161,16 ha, wykonano niezbędne zabiegi pielęgnacyjne polegające na: koszeniu upraw leśnych, czyszczeniach wczesnych upraw oraz wykonaniu poprawek.</w:t>
      </w:r>
    </w:p>
    <w:p w:rsidR="007A4D59" w:rsidRPr="00E00B35" w:rsidRDefault="007A4D59" w:rsidP="00E00B35">
      <w:pPr>
        <w:autoSpaceDE w:val="0"/>
        <w:autoSpaceDN w:val="0"/>
        <w:adjustRightInd w:val="0"/>
        <w:spacing w:after="0" w:line="312" w:lineRule="auto"/>
        <w:ind w:left="426"/>
        <w:rPr>
          <w:rFonts w:cs="Verdana"/>
          <w:bCs/>
          <w:szCs w:val="20"/>
        </w:rPr>
      </w:pPr>
      <w:r w:rsidRPr="00E00B35">
        <w:rPr>
          <w:rFonts w:cs="Verdana"/>
          <w:bCs/>
          <w:szCs w:val="20"/>
        </w:rPr>
        <w:t>W drzewostanach młodszych - II klasy wieku, o powierzchni ok. 250,00 ha, przeprowadzono  niezbędne zabiegi pielęgnacyjne polegające na wykonaniu czyszczeń późnych i trzebieży wczesnych w młodnikach.</w:t>
      </w:r>
    </w:p>
    <w:p w:rsidR="007A4D59" w:rsidRPr="00E00B35" w:rsidRDefault="007A4D59" w:rsidP="00E00B35">
      <w:pPr>
        <w:autoSpaceDE w:val="0"/>
        <w:autoSpaceDN w:val="0"/>
        <w:adjustRightInd w:val="0"/>
        <w:spacing w:after="0" w:line="312" w:lineRule="auto"/>
        <w:ind w:left="426"/>
        <w:rPr>
          <w:rFonts w:cs="Arial"/>
          <w:bCs/>
          <w:szCs w:val="20"/>
          <w:shd w:val="clear" w:color="auto" w:fill="FFFFFF"/>
        </w:rPr>
      </w:pPr>
      <w:r w:rsidRPr="00E00B35">
        <w:rPr>
          <w:rFonts w:cs="Verdana"/>
          <w:bCs/>
          <w:szCs w:val="20"/>
        </w:rPr>
        <w:t xml:space="preserve">W drzewostanach starszych klas wieku prowadzono bieżące prace gospodarcze  </w:t>
      </w:r>
      <w:r w:rsidRPr="00E00B35">
        <w:rPr>
          <w:rFonts w:cs="Arial"/>
          <w:bCs/>
          <w:szCs w:val="20"/>
          <w:shd w:val="clear" w:color="auto" w:fill="FFFFFF"/>
        </w:rPr>
        <w:t xml:space="preserve">związane z szeroko pojętym utrzymaniem trwałości drzewostanów w warunkach ich miejskiej eksploatacji: prace z zakresu </w:t>
      </w:r>
      <w:r w:rsidRPr="00E00B35">
        <w:rPr>
          <w:rStyle w:val="apple-converted-space"/>
          <w:rFonts w:eastAsia="Calibri" w:cs="Arial"/>
          <w:bCs/>
          <w:szCs w:val="20"/>
          <w:shd w:val="clear" w:color="auto" w:fill="FFFFFF"/>
        </w:rPr>
        <w:t> </w:t>
      </w:r>
      <w:r w:rsidRPr="00E00B35">
        <w:rPr>
          <w:rFonts w:cs="Arial"/>
          <w:bCs/>
          <w:szCs w:val="20"/>
          <w:shd w:val="clear" w:color="auto" w:fill="FFFFFF"/>
        </w:rPr>
        <w:t xml:space="preserve">hodowli i </w:t>
      </w:r>
      <w:r w:rsidRPr="00E00B35">
        <w:rPr>
          <w:rStyle w:val="apple-converted-space"/>
          <w:rFonts w:eastAsia="Calibri" w:cs="Arial"/>
          <w:bCs/>
          <w:szCs w:val="20"/>
          <w:shd w:val="clear" w:color="auto" w:fill="FFFFFF"/>
        </w:rPr>
        <w:t> </w:t>
      </w:r>
      <w:r w:rsidRPr="00E00B35">
        <w:rPr>
          <w:rFonts w:cs="Arial"/>
          <w:bCs/>
          <w:szCs w:val="20"/>
          <w:shd w:val="clear" w:color="auto" w:fill="FFFFFF"/>
        </w:rPr>
        <w:t xml:space="preserve">ochrony lasu, oraz czynności związane z realizacją pozaprodukcyjnych funkcji </w:t>
      </w:r>
      <w:r w:rsidRPr="00E00B35">
        <w:rPr>
          <w:rStyle w:val="apple-converted-space"/>
          <w:rFonts w:eastAsia="Calibri" w:cs="Arial"/>
          <w:bCs/>
          <w:szCs w:val="20"/>
          <w:shd w:val="clear" w:color="auto" w:fill="FFFFFF"/>
        </w:rPr>
        <w:t> </w:t>
      </w:r>
      <w:r w:rsidRPr="00E00B35">
        <w:rPr>
          <w:rFonts w:cs="Arial"/>
          <w:bCs/>
          <w:szCs w:val="20"/>
          <w:shd w:val="clear" w:color="auto" w:fill="FFFFFF"/>
        </w:rPr>
        <w:t>lasu a także zagospodarowania i utrzymania terenów leśnych pod względem rekreacyjno-turystycznym.</w:t>
      </w:r>
    </w:p>
    <w:p w:rsidR="00044CC5" w:rsidRPr="00E00B35" w:rsidRDefault="00044CC5" w:rsidP="00E00B35">
      <w:pPr>
        <w:autoSpaceDE w:val="0"/>
        <w:autoSpaceDN w:val="0"/>
        <w:adjustRightInd w:val="0"/>
        <w:spacing w:after="0" w:line="312" w:lineRule="auto"/>
        <w:ind w:left="426"/>
        <w:rPr>
          <w:rFonts w:cs="Verdana"/>
          <w:bCs/>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Nasadzenia i ukwiecenia terenów zieleni miejskiej – 4 327 611,37 zł.</w:t>
      </w:r>
    </w:p>
    <w:p w:rsidR="007A4D59" w:rsidRPr="00E00B35" w:rsidRDefault="007A4D59" w:rsidP="00E00B35">
      <w:pPr>
        <w:spacing w:after="0" w:line="312" w:lineRule="auto"/>
        <w:ind w:left="426"/>
        <w:rPr>
          <w:szCs w:val="20"/>
        </w:rPr>
      </w:pPr>
      <w:r w:rsidRPr="00E00B35">
        <w:rPr>
          <w:szCs w:val="20"/>
        </w:rPr>
        <w:t xml:space="preserve">W ramach zadania w 2020 roku na terenie parków i zieleńców oraz zieleni przyulicznej  nasadzono łącznie: </w:t>
      </w:r>
    </w:p>
    <w:p w:rsidR="007A4D59" w:rsidRPr="00E00B35" w:rsidRDefault="007A4D59" w:rsidP="00BC64AB">
      <w:pPr>
        <w:numPr>
          <w:ilvl w:val="0"/>
          <w:numId w:val="256"/>
        </w:numPr>
        <w:tabs>
          <w:tab w:val="left" w:pos="284"/>
        </w:tabs>
        <w:spacing w:after="0" w:line="312" w:lineRule="auto"/>
        <w:ind w:left="426" w:firstLine="0"/>
        <w:rPr>
          <w:szCs w:val="20"/>
        </w:rPr>
      </w:pPr>
      <w:r w:rsidRPr="00E00B35">
        <w:rPr>
          <w:szCs w:val="20"/>
        </w:rPr>
        <w:t>drzew –  2 839 szt.</w:t>
      </w:r>
    </w:p>
    <w:p w:rsidR="007A4D59" w:rsidRPr="00E00B35" w:rsidRDefault="007A4D59" w:rsidP="00BC64AB">
      <w:pPr>
        <w:numPr>
          <w:ilvl w:val="0"/>
          <w:numId w:val="256"/>
        </w:numPr>
        <w:tabs>
          <w:tab w:val="left" w:pos="284"/>
        </w:tabs>
        <w:spacing w:after="0" w:line="312" w:lineRule="auto"/>
        <w:ind w:left="426" w:firstLine="0"/>
        <w:rPr>
          <w:szCs w:val="20"/>
        </w:rPr>
      </w:pPr>
      <w:r w:rsidRPr="00E00B35">
        <w:rPr>
          <w:szCs w:val="20"/>
        </w:rPr>
        <w:t xml:space="preserve">krzewów – 61 145 szt. </w:t>
      </w:r>
    </w:p>
    <w:p w:rsidR="007A4D59" w:rsidRPr="00E00B35" w:rsidRDefault="007A4D59" w:rsidP="00BC64AB">
      <w:pPr>
        <w:numPr>
          <w:ilvl w:val="0"/>
          <w:numId w:val="256"/>
        </w:numPr>
        <w:tabs>
          <w:tab w:val="left" w:pos="284"/>
        </w:tabs>
        <w:spacing w:after="0" w:line="312" w:lineRule="auto"/>
        <w:ind w:left="426" w:firstLine="0"/>
        <w:rPr>
          <w:szCs w:val="20"/>
        </w:rPr>
      </w:pPr>
      <w:r w:rsidRPr="00E00B35">
        <w:rPr>
          <w:szCs w:val="20"/>
        </w:rPr>
        <w:t>pnączy – 10 049 szt.</w:t>
      </w:r>
    </w:p>
    <w:p w:rsidR="007A4D59" w:rsidRPr="00E00B35" w:rsidRDefault="007A4D59" w:rsidP="00BC64AB">
      <w:pPr>
        <w:numPr>
          <w:ilvl w:val="0"/>
          <w:numId w:val="256"/>
        </w:numPr>
        <w:tabs>
          <w:tab w:val="left" w:pos="284"/>
        </w:tabs>
        <w:spacing w:after="0" w:line="312" w:lineRule="auto"/>
        <w:ind w:left="426" w:firstLine="0"/>
        <w:rPr>
          <w:szCs w:val="20"/>
        </w:rPr>
      </w:pPr>
      <w:r w:rsidRPr="00E00B35">
        <w:rPr>
          <w:szCs w:val="20"/>
        </w:rPr>
        <w:t xml:space="preserve">bylin – 44 514 szt. </w:t>
      </w:r>
    </w:p>
    <w:p w:rsidR="007A4D59" w:rsidRPr="00E00B35" w:rsidRDefault="007A4D59" w:rsidP="00BC64AB">
      <w:pPr>
        <w:numPr>
          <w:ilvl w:val="0"/>
          <w:numId w:val="256"/>
        </w:numPr>
        <w:tabs>
          <w:tab w:val="left" w:pos="284"/>
        </w:tabs>
        <w:spacing w:after="0" w:line="312" w:lineRule="auto"/>
        <w:ind w:left="426" w:firstLine="0"/>
        <w:rPr>
          <w:szCs w:val="20"/>
        </w:rPr>
      </w:pPr>
      <w:r w:rsidRPr="00E00B35">
        <w:rPr>
          <w:szCs w:val="20"/>
        </w:rPr>
        <w:t>traw ozdobnych – 14 827 szt.</w:t>
      </w:r>
    </w:p>
    <w:p w:rsidR="007A4D59" w:rsidRPr="00E00B35" w:rsidRDefault="007A4D59" w:rsidP="00E00B35">
      <w:pPr>
        <w:pStyle w:val="Akapitzlist"/>
        <w:tabs>
          <w:tab w:val="left" w:pos="0"/>
          <w:tab w:val="left" w:pos="426"/>
        </w:tabs>
        <w:spacing w:after="0" w:line="312" w:lineRule="auto"/>
        <w:ind w:left="426"/>
        <w:rPr>
          <w:szCs w:val="20"/>
        </w:rPr>
      </w:pPr>
      <w:r w:rsidRPr="00E00B35">
        <w:rPr>
          <w:szCs w:val="20"/>
        </w:rPr>
        <w:lastRenderedPageBreak/>
        <w:t>nasadzenia uzupełniające drzew i krzewów zrealizowano m.in.:</w:t>
      </w:r>
    </w:p>
    <w:p w:rsidR="00044CC5" w:rsidRPr="00E00B35" w:rsidRDefault="007A4D59" w:rsidP="00E00B35">
      <w:pPr>
        <w:pStyle w:val="Akapitzlist"/>
        <w:tabs>
          <w:tab w:val="left" w:pos="0"/>
          <w:tab w:val="left" w:pos="426"/>
        </w:tabs>
        <w:spacing w:after="0" w:line="312" w:lineRule="auto"/>
        <w:ind w:left="426"/>
        <w:rPr>
          <w:rFonts w:cs="Verdana"/>
          <w:bCs/>
          <w:szCs w:val="20"/>
        </w:rPr>
      </w:pPr>
      <w:r w:rsidRPr="00E00B35">
        <w:rPr>
          <w:szCs w:val="20"/>
        </w:rPr>
        <w:t>w park</w:t>
      </w:r>
      <w:r w:rsidRPr="00E00B35">
        <w:rPr>
          <w:rFonts w:cs="Verdana"/>
          <w:bCs/>
          <w:szCs w:val="20"/>
        </w:rPr>
        <w:t>ach: Strachowicki, Pracze Odrzańskie, Jedności, Złotnickim, Polana Popowicka, Zachodnim, Leśnicki, Stabłowicki, Grabiszyński, Na Skraju, Wschodni, Na Niskich Łąkach, Południowy, Kasprowicza, Kamieńskiego, Promenada Staromiejska, Maślickim, Park Sło</w:t>
      </w:r>
      <w:r w:rsidR="00044CC5" w:rsidRPr="00E00B35">
        <w:rPr>
          <w:rFonts w:cs="Verdana"/>
          <w:bCs/>
          <w:szCs w:val="20"/>
        </w:rPr>
        <w:t>neczny na Ułańskiej, Skowronim;</w:t>
      </w:r>
    </w:p>
    <w:p w:rsidR="007A4D59" w:rsidRPr="00E00B35" w:rsidRDefault="007A4D59" w:rsidP="00E00B35">
      <w:pPr>
        <w:pStyle w:val="Akapitzlist"/>
        <w:tabs>
          <w:tab w:val="left" w:pos="0"/>
          <w:tab w:val="left" w:pos="426"/>
        </w:tabs>
        <w:spacing w:after="0" w:line="312" w:lineRule="auto"/>
        <w:ind w:left="426"/>
        <w:rPr>
          <w:bCs/>
          <w:szCs w:val="20"/>
        </w:rPr>
      </w:pPr>
      <w:r w:rsidRPr="00E00B35">
        <w:rPr>
          <w:rFonts w:cs="Verdana"/>
          <w:bCs/>
          <w:szCs w:val="20"/>
        </w:rPr>
        <w:t>na zieleńcach przy ul.: Ełckiej, Łużyckiej, Królewskiej, Elbląskiej, Hermanowska/ Chociebuska, Długosza, Żernickiej, Hermanowkiej/Chociebuskiej, Maślickiej, Głównej, Grapowej, Jesionowa, Zamenhofa, Życzliwa, Stacyjna, Szczytnicki, Czarna Woda, Tołpy , Staszica, Adamowicza, Park Kolumb</w:t>
      </w:r>
      <w:r w:rsidR="00044CC5" w:rsidRPr="00E00B35">
        <w:rPr>
          <w:rFonts w:cs="Verdana"/>
          <w:bCs/>
          <w:szCs w:val="20"/>
        </w:rPr>
        <w:t>a, Orzechowa, Kurkowa/Składowa;</w:t>
      </w:r>
    </w:p>
    <w:p w:rsidR="007A4D59" w:rsidRPr="00E00B35" w:rsidRDefault="007A4D59" w:rsidP="00E00B35">
      <w:pPr>
        <w:pStyle w:val="Stopka"/>
        <w:tabs>
          <w:tab w:val="clear" w:pos="4536"/>
          <w:tab w:val="clear" w:pos="9072"/>
          <w:tab w:val="left" w:pos="142"/>
        </w:tabs>
        <w:spacing w:after="0" w:line="312" w:lineRule="auto"/>
        <w:ind w:left="426"/>
        <w:rPr>
          <w:rFonts w:cs="Verdana"/>
          <w:bCs/>
          <w:szCs w:val="20"/>
        </w:rPr>
      </w:pPr>
      <w:r w:rsidRPr="00E00B35">
        <w:rPr>
          <w:rFonts w:cs="Verdana"/>
          <w:bCs/>
          <w:szCs w:val="20"/>
        </w:rPr>
        <w:t>przy ulicach: Dolnobrzeska, Północna, Legnicka, Lotnicza, Krzywoustego, Przedwiośnie, Piwnika Ponurego, Koszarowa, Bydgoska, Obornicka, Miętowa, Kminkowa, Żmigrodzka, Pełczyńska, Powstańców Śląskich, Sztabowa, Migdałowa, Hallera, Dębicka, Szybowcowa, Horbaczewskiego, Armii Krajowej, Iłłakiewiczówny, Zwycięska, Śliczna, Piękna, Racławicka, Przyjaźni, Karkonoska, Laurowa, Falzmanna, Miechowity, Sikorskiego, Kościuszki, Legnicka, Grabiszyńska, Tęczowa, Rybacka, Kosynierów Gdyńskich, Chopina, Smoluchowskiego, Os Grunwaldzka, Maślicka, Nenckiego, Ułańska, Strączkowa, Kutrzeby, Galla Anonima, Morawska, Bezpieczna, Piskowa, Bogusławskiego, Św. Wincentego, Prusa,  Plac Powstańców Wielkopolskich,</w:t>
      </w:r>
    </w:p>
    <w:p w:rsidR="00044CC5" w:rsidRPr="00E00B35" w:rsidRDefault="00044CC5" w:rsidP="00E00B35">
      <w:pPr>
        <w:pStyle w:val="Stopka"/>
        <w:tabs>
          <w:tab w:val="clear" w:pos="4536"/>
          <w:tab w:val="clear" w:pos="9072"/>
        </w:tabs>
        <w:spacing w:after="0" w:line="312" w:lineRule="auto"/>
        <w:ind w:left="426"/>
        <w:rPr>
          <w:rFonts w:cs="Verdana"/>
          <w:bCs/>
          <w:szCs w:val="20"/>
        </w:rPr>
      </w:pPr>
    </w:p>
    <w:p w:rsidR="007A4D59" w:rsidRPr="00E00B35" w:rsidRDefault="007A4D59" w:rsidP="00E00B35">
      <w:pPr>
        <w:pStyle w:val="Stopka"/>
        <w:tabs>
          <w:tab w:val="clear" w:pos="4536"/>
          <w:tab w:val="clear" w:pos="9072"/>
        </w:tabs>
        <w:spacing w:after="0" w:line="312" w:lineRule="auto"/>
        <w:ind w:left="426"/>
        <w:rPr>
          <w:rFonts w:cs="Verdana"/>
          <w:bCs/>
          <w:szCs w:val="20"/>
        </w:rPr>
      </w:pPr>
      <w:r w:rsidRPr="00E00B35">
        <w:rPr>
          <w:rFonts w:cs="Verdana"/>
          <w:bCs/>
          <w:szCs w:val="20"/>
        </w:rPr>
        <w:t xml:space="preserve">Nasadzenia pnączy zostały zrealizowane m.in. przy ulicach Trawowej, Szybowcowej, Strzegomskiej, Lotniczej, Borowskiej, Armii Krajowej, Hallera, Zaporoskiej, Rondzie Lotników Polskich, Broniewskiego, Legnickiej, Zachodniej, Pasteura, Dubois, zieleńcu przy ul. Wolbromskiej, Armii Krajowej, Żmigrodzkiej, Bałtyckiej. </w:t>
      </w:r>
    </w:p>
    <w:p w:rsidR="007A4D59" w:rsidRPr="00E00B35" w:rsidRDefault="007A4D59" w:rsidP="00E00B35">
      <w:pPr>
        <w:overflowPunct w:val="0"/>
        <w:autoSpaceDE w:val="0"/>
        <w:autoSpaceDN w:val="0"/>
        <w:adjustRightInd w:val="0"/>
        <w:spacing w:after="0" w:line="312" w:lineRule="auto"/>
        <w:rPr>
          <w:rFonts w:cs="Verdana"/>
          <w:szCs w:val="20"/>
        </w:rPr>
      </w:pPr>
    </w:p>
    <w:p w:rsidR="007A4D59" w:rsidRPr="00E00B35" w:rsidRDefault="007A4D59" w:rsidP="00E00B35">
      <w:pPr>
        <w:pStyle w:val="Nagwek4"/>
        <w:spacing w:before="0" w:after="0" w:line="312" w:lineRule="auto"/>
        <w:ind w:firstLine="426"/>
        <w:rPr>
          <w:b w:val="0"/>
          <w:sz w:val="20"/>
          <w:szCs w:val="20"/>
        </w:rPr>
      </w:pPr>
      <w:r w:rsidRPr="00E00B35">
        <w:rPr>
          <w:b w:val="0"/>
          <w:sz w:val="20"/>
          <w:szCs w:val="20"/>
        </w:rPr>
        <w:t>W tym:</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w ramach Wrośnij we Wrocław: 600 szt. drzew i 130 krzewów,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w ramach kontynuacji akcji Stu ulic na 100 lecie niepodległości: 146 szt. drzew,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w ramach nasadzeń z bieżących środków na terenach inwestycji: 73 szt. drzew, 2 139 szt. krzewów, 2 592 szt. Bylin,</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zieleń Avicenny – nasadzono 170 drzew oraz 60 krzewów.</w:t>
      </w:r>
    </w:p>
    <w:p w:rsidR="007A4D59" w:rsidRPr="00E00B35" w:rsidRDefault="007A4D59" w:rsidP="00E00B35">
      <w:pPr>
        <w:overflowPunct w:val="0"/>
        <w:autoSpaceDE w:val="0"/>
        <w:autoSpaceDN w:val="0"/>
        <w:adjustRightInd w:val="0"/>
        <w:spacing w:after="0" w:line="312" w:lineRule="auto"/>
        <w:rPr>
          <w:szCs w:val="20"/>
        </w:rPr>
      </w:pPr>
    </w:p>
    <w:p w:rsidR="007A4D59" w:rsidRPr="00E00B35" w:rsidRDefault="007A4D59" w:rsidP="00E00B35">
      <w:pPr>
        <w:pStyle w:val="Nagwek4"/>
        <w:spacing w:before="0" w:after="0" w:line="312" w:lineRule="auto"/>
        <w:ind w:left="426"/>
        <w:rPr>
          <w:b w:val="0"/>
          <w:sz w:val="20"/>
          <w:szCs w:val="20"/>
        </w:rPr>
      </w:pPr>
      <w:r w:rsidRPr="00E00B35">
        <w:rPr>
          <w:b w:val="0"/>
          <w:sz w:val="20"/>
          <w:szCs w:val="20"/>
        </w:rPr>
        <w:t xml:space="preserve">Opis i płatność poniżej. </w:t>
      </w:r>
    </w:p>
    <w:p w:rsidR="00044CC5" w:rsidRPr="00E00B35" w:rsidRDefault="00044CC5" w:rsidP="00E00B35">
      <w:pPr>
        <w:spacing w:after="0" w:line="312" w:lineRule="auto"/>
        <w:ind w:left="426"/>
        <w:rPr>
          <w:szCs w:val="20"/>
        </w:rPr>
      </w:pPr>
    </w:p>
    <w:p w:rsidR="007A4D59" w:rsidRPr="00E00B35" w:rsidRDefault="007A4D59" w:rsidP="00E00B35">
      <w:pPr>
        <w:spacing w:after="0" w:line="312" w:lineRule="auto"/>
        <w:ind w:left="426"/>
        <w:rPr>
          <w:szCs w:val="20"/>
        </w:rPr>
      </w:pPr>
      <w:r w:rsidRPr="00E00B35">
        <w:rPr>
          <w:szCs w:val="20"/>
        </w:rPr>
        <w:t xml:space="preserve">f) kwiatów sezonowych – 135 837 szt. </w:t>
      </w:r>
    </w:p>
    <w:p w:rsidR="007A4D59" w:rsidRPr="00E00B35" w:rsidRDefault="007A4D59" w:rsidP="00E00B35">
      <w:pPr>
        <w:tabs>
          <w:tab w:val="left" w:pos="284"/>
        </w:tabs>
        <w:spacing w:after="0" w:line="312" w:lineRule="auto"/>
        <w:ind w:left="426"/>
        <w:rPr>
          <w:szCs w:val="20"/>
        </w:rPr>
      </w:pPr>
      <w:r w:rsidRPr="00E00B35">
        <w:rPr>
          <w:szCs w:val="20"/>
        </w:rPr>
        <w:t xml:space="preserve">do letniego i letniego ukwiecenia terenów zieleni miejskiej. </w:t>
      </w:r>
    </w:p>
    <w:p w:rsidR="007A4D59" w:rsidRPr="00E00B35" w:rsidRDefault="007A4D59" w:rsidP="00E00B35">
      <w:pPr>
        <w:spacing w:after="0" w:line="312" w:lineRule="auto"/>
        <w:ind w:left="426"/>
        <w:rPr>
          <w:szCs w:val="20"/>
        </w:rPr>
      </w:pPr>
      <w:r w:rsidRPr="00E00B35">
        <w:rPr>
          <w:szCs w:val="20"/>
        </w:rPr>
        <w:t>W ramach zadania zawieszono ukwiecone donice na latarniach w ścisłym centrum miasta.</w:t>
      </w:r>
    </w:p>
    <w:p w:rsidR="00044CC5" w:rsidRPr="00E00B35" w:rsidRDefault="00044CC5" w:rsidP="00E00B35">
      <w:pPr>
        <w:spacing w:after="0" w:line="312" w:lineRule="auto"/>
        <w:ind w:left="426"/>
        <w:rPr>
          <w:szCs w:val="20"/>
        </w:rPr>
      </w:pPr>
    </w:p>
    <w:p w:rsidR="007A4D59" w:rsidRPr="00E00B35" w:rsidRDefault="007A4D59" w:rsidP="00E00B35">
      <w:pPr>
        <w:spacing w:after="0" w:line="312" w:lineRule="auto"/>
        <w:ind w:left="426"/>
        <w:rPr>
          <w:szCs w:val="20"/>
        </w:rPr>
      </w:pPr>
      <w:r w:rsidRPr="00E00B35">
        <w:rPr>
          <w:szCs w:val="20"/>
        </w:rPr>
        <w:t>g) kwiatów cebulowych – 142 184 szt.</w:t>
      </w:r>
    </w:p>
    <w:p w:rsidR="007A4D59" w:rsidRPr="00E00B35" w:rsidRDefault="007A4D59" w:rsidP="00E00B35">
      <w:pPr>
        <w:tabs>
          <w:tab w:val="left" w:pos="0"/>
          <w:tab w:val="left" w:pos="284"/>
        </w:tabs>
        <w:spacing w:after="0" w:line="312" w:lineRule="auto"/>
        <w:ind w:left="426"/>
        <w:rPr>
          <w:szCs w:val="20"/>
        </w:rPr>
      </w:pPr>
      <w:bookmarkStart w:id="675" w:name="_Hlk30574648"/>
      <w:r w:rsidRPr="00E00B35">
        <w:rPr>
          <w:bCs/>
          <w:szCs w:val="20"/>
        </w:rPr>
        <w:t>akcja zazielenienia 100 ulic na 100-lecie niepodległości – nasadzenia drzew i krzewów – 151 038,54 zł</w:t>
      </w:r>
    </w:p>
    <w:bookmarkEnd w:id="675"/>
    <w:p w:rsidR="007A4D59" w:rsidRPr="00E00B35" w:rsidRDefault="007A4D59" w:rsidP="00E00B35">
      <w:pPr>
        <w:spacing w:after="0" w:line="312" w:lineRule="auto"/>
        <w:ind w:left="426"/>
        <w:rPr>
          <w:rFonts w:cs="Helv;Arial"/>
          <w:bCs/>
          <w:szCs w:val="20"/>
        </w:rPr>
      </w:pPr>
      <w:r w:rsidRPr="00E00B35">
        <w:rPr>
          <w:rFonts w:cs="Helv;Arial"/>
          <w:bCs/>
          <w:szCs w:val="20"/>
        </w:rPr>
        <w:t xml:space="preserve">W ramach uczczenia 100-lecia niepodległości zorganizowano akcję zgłaszania przez mieszkańców lokalizacji  przyulicznych terenów zieleni typowanych do wykonania </w:t>
      </w:r>
      <w:r w:rsidRPr="00E00B35">
        <w:rPr>
          <w:rFonts w:cs="Helv;Arial"/>
          <w:bCs/>
          <w:szCs w:val="20"/>
        </w:rPr>
        <w:lastRenderedPageBreak/>
        <w:t xml:space="preserve">nasadzeń. W akcję zaangażowało się większość wrocławskich osiedli. W ramach kontynuacji akcji w I półroczu 2020 nasadzono 146 szt. drzew. Nowe nasadzenia pojawiły się m.in. na ulicach: Balonowa, Kwiska, Dębicka, Estońska, Klecińska, Rumiankowa, Kołobrzeska, Rakietowa, Stanisławowska, Małopanewska, Gubińska, Stabłowicka, Hutnicza. </w:t>
      </w:r>
    </w:p>
    <w:p w:rsidR="00044CC5" w:rsidRPr="00E00B35" w:rsidRDefault="00044CC5" w:rsidP="00E00B35">
      <w:pPr>
        <w:spacing w:after="0" w:line="312" w:lineRule="auto"/>
        <w:rPr>
          <w:rFonts w:cs="Helv;Arial"/>
          <w:bCs/>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szCs w:val="20"/>
        </w:rPr>
        <w:t>akcja</w:t>
      </w:r>
      <w:r w:rsidRPr="00E00B35">
        <w:rPr>
          <w:bCs/>
          <w:szCs w:val="20"/>
        </w:rPr>
        <w:t xml:space="preserve"> zazielenienia 100 ulic na 100-lecie niepodległości – pielęgnacje gwarancyjne – 568 165,33 zł</w:t>
      </w:r>
    </w:p>
    <w:p w:rsidR="007A4D59" w:rsidRPr="00E00B35" w:rsidRDefault="007A4D59" w:rsidP="00E00B35">
      <w:pPr>
        <w:spacing w:after="0" w:line="312" w:lineRule="auto"/>
        <w:ind w:left="426"/>
        <w:rPr>
          <w:rFonts w:cs="Helv;Arial"/>
          <w:szCs w:val="20"/>
        </w:rPr>
      </w:pPr>
      <w:r w:rsidRPr="00E00B35">
        <w:rPr>
          <w:rFonts w:cs="Helv;Arial"/>
          <w:szCs w:val="20"/>
        </w:rPr>
        <w:t>W ramach zadania zrealizowano pielęgnację gwarancyjną nasadzeń wykonanych w ramach akcji w 2018 i 2019 roku.</w:t>
      </w:r>
    </w:p>
    <w:p w:rsidR="00044CC5" w:rsidRPr="00E00B35" w:rsidRDefault="00044CC5" w:rsidP="00E00B35">
      <w:pPr>
        <w:spacing w:after="0" w:line="312" w:lineRule="auto"/>
        <w:ind w:left="426"/>
        <w:rPr>
          <w:rFonts w:cs="Helv;Arial"/>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bCs/>
          <w:szCs w:val="20"/>
        </w:rPr>
      </w:pPr>
      <w:bookmarkStart w:id="676" w:name="_Hlk61949491"/>
      <w:r w:rsidRPr="00E00B35">
        <w:rPr>
          <w:bCs/>
          <w:szCs w:val="20"/>
        </w:rPr>
        <w:t>Wrośnij we Wrocław – 689 743,48 zł</w:t>
      </w:r>
    </w:p>
    <w:p w:rsidR="007A4D59" w:rsidRPr="00E00B35" w:rsidRDefault="007A4D59" w:rsidP="00E00B35">
      <w:pPr>
        <w:pStyle w:val="Stopka"/>
        <w:tabs>
          <w:tab w:val="clear" w:pos="4536"/>
          <w:tab w:val="clear" w:pos="9072"/>
        </w:tabs>
        <w:spacing w:after="0" w:line="312" w:lineRule="auto"/>
        <w:ind w:left="426"/>
        <w:rPr>
          <w:rFonts w:cs="Verdana"/>
          <w:szCs w:val="20"/>
        </w:rPr>
      </w:pPr>
      <w:r w:rsidRPr="00E00B35">
        <w:rPr>
          <w:szCs w:val="20"/>
        </w:rPr>
        <w:t xml:space="preserve">W ramach akcji Wrośnij we Wrocław powstają Parki Młodego Wrocławianina, zielone miejsca, w których wrocławskie rodziny mogą posadzić drzewa upamiętniając tym </w:t>
      </w:r>
      <w:bookmarkEnd w:id="676"/>
      <w:r w:rsidRPr="00E00B35">
        <w:rPr>
          <w:szCs w:val="20"/>
        </w:rPr>
        <w:t xml:space="preserve">samym jedno z najważniejszych wydarzeń w życiu rodziców, jakim jest pojawienie się nowego członka rodziny. W ramach zadania realizowane są nasadzenia na terenie nowo powstających i istniejących parków. </w:t>
      </w:r>
      <w:r w:rsidRPr="00E00B35">
        <w:rPr>
          <w:rFonts w:cs="Verdana"/>
          <w:szCs w:val="20"/>
        </w:rPr>
        <w:t xml:space="preserve">Wiosną 2020 nasadzenia zostały wykonane na terenie nowo powstającego parku przy ul. Zakopiańskiej, jesienią kontynuowano nasadzenia w parku przy ul. Zakopiańskiej oraz w parku Jedności. Dodatkowo zlecono obsługę geodezyjną związaną z wyznaczeniem drzew do nasadzeń oraz dokumentację powykonawczą. W ramach akcji Wrośnij we Wrocław wspólnie z mieszkańcami posadzono łącznie 600 drzew i 130 krzewów. Nasadzenia zostały objęte 3-letnią pielęgnacją gwarancyjną. </w:t>
      </w:r>
    </w:p>
    <w:p w:rsidR="00044CC5" w:rsidRPr="00E00B35" w:rsidRDefault="00044CC5" w:rsidP="00E00B35">
      <w:pPr>
        <w:pStyle w:val="Stopka"/>
        <w:tabs>
          <w:tab w:val="clear" w:pos="4536"/>
          <w:tab w:val="clear" w:pos="9072"/>
        </w:tabs>
        <w:spacing w:after="0" w:line="312" w:lineRule="auto"/>
        <w:ind w:left="426"/>
        <w:rPr>
          <w:rFonts w:cs="Verdana"/>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bookmarkStart w:id="677" w:name="_Hlk30575125"/>
      <w:r w:rsidRPr="00E00B35">
        <w:rPr>
          <w:bCs/>
          <w:szCs w:val="20"/>
        </w:rPr>
        <w:t>Wrośnij we Wrocław – pielęgnacje gwarancyjne – 124 137,47 zł</w:t>
      </w:r>
    </w:p>
    <w:p w:rsidR="007A4D59" w:rsidRPr="00E00B35" w:rsidRDefault="007A4D59" w:rsidP="00E00B35">
      <w:pPr>
        <w:spacing w:after="0" w:line="312" w:lineRule="auto"/>
        <w:ind w:left="426"/>
        <w:rPr>
          <w:rFonts w:cs="Verdana"/>
          <w:bCs/>
          <w:szCs w:val="20"/>
        </w:rPr>
      </w:pPr>
      <w:r w:rsidRPr="00E00B35">
        <w:rPr>
          <w:rFonts w:cs="Verdana"/>
          <w:bCs/>
          <w:szCs w:val="20"/>
        </w:rPr>
        <w:t xml:space="preserve">W ramach zadania realizowana jest pielęgnacja gwarancyjna nasadzeń wykonanych wiosną 2018 na terenie parku przy ul. Awicenny, jesienią 2018 przy ul. Maślickiej w rejonie rzeki Ługowiny, wiosną 2019 w Parku Mamuta na Oporowie, </w:t>
      </w:r>
      <w:r w:rsidRPr="00E00B35">
        <w:rPr>
          <w:szCs w:val="20"/>
        </w:rPr>
        <w:t>jesienią 2019 na terenie nowo powstającego parku przy ul. Pakosławskiej oraz na Polanie Karłowickiej</w:t>
      </w:r>
      <w:r w:rsidRPr="00E00B35">
        <w:rPr>
          <w:rFonts w:cs="Verdana"/>
          <w:bCs/>
          <w:szCs w:val="20"/>
        </w:rPr>
        <w:t xml:space="preserve">. </w:t>
      </w:r>
      <w:bookmarkEnd w:id="677"/>
    </w:p>
    <w:p w:rsidR="00044CC5" w:rsidRPr="00E00B35" w:rsidRDefault="00044CC5" w:rsidP="00E00B35">
      <w:pPr>
        <w:spacing w:after="0" w:line="312" w:lineRule="auto"/>
        <w:ind w:left="426"/>
        <w:rPr>
          <w:rFonts w:cs="Verdana"/>
          <w:bCs/>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bCs/>
          <w:szCs w:val="20"/>
        </w:rPr>
      </w:pPr>
      <w:r w:rsidRPr="00E00B35">
        <w:rPr>
          <w:bCs/>
          <w:szCs w:val="20"/>
        </w:rPr>
        <w:t>Zieleń Avicenny – 189 376,02 zł</w:t>
      </w:r>
    </w:p>
    <w:p w:rsidR="007A4D59" w:rsidRPr="00E00B35" w:rsidRDefault="007A4D59" w:rsidP="00E00B35">
      <w:pPr>
        <w:pStyle w:val="Stopka"/>
        <w:tabs>
          <w:tab w:val="clear" w:pos="4536"/>
          <w:tab w:val="clear" w:pos="9072"/>
        </w:tabs>
        <w:spacing w:after="0" w:line="312" w:lineRule="auto"/>
        <w:ind w:left="426"/>
        <w:rPr>
          <w:rFonts w:cs="Verdana"/>
          <w:szCs w:val="20"/>
        </w:rPr>
      </w:pPr>
      <w:r w:rsidRPr="00E00B35">
        <w:rPr>
          <w:szCs w:val="20"/>
        </w:rPr>
        <w:t xml:space="preserve">W ramach zadania zrealizowano kontynuację nasadzeń w nowo powstającym parku przy ul. Avicenny. Nasadzono 170 drzew oraz 60 krzewów. </w:t>
      </w:r>
      <w:r w:rsidRPr="00E00B35">
        <w:rPr>
          <w:rFonts w:cs="Verdana"/>
          <w:szCs w:val="20"/>
        </w:rPr>
        <w:t xml:space="preserve">Nasadzenia zostały objęte 3-letnią pielęgnacją gwarancyjną.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Prace związane z zagospodarowaniem zieleni – 1 971 739,76 zł</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W związku z brakiem środków na wykonanie pełnego zakresu zadań realizowanych w ramach Wrocławskiego Budżetu Obywatelskiego 2017 Projekt nr 675  pn. „Zieleń dla Wrocławia - Parki kieszonkowe, nasadzenia, enklawy zieleni w całym mieście!” tj. zakresu dotyczącego nasadzenia drzew, krzewów, bylin i traw ozdobnych, bez których projekt byłby niekompletny i tereny po inwestycji nie pełniłby zakładanej funkcji, Zarząd Zieleni Miejskiej przeznaczył środki bieżące na zwiększenie przedmiotowego zakresu. W ramach środków wykonano nasadzenia na terenie:</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lastRenderedPageBreak/>
        <w:t>Parku kieszonkowego przy ul. Kolistej,</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Zieleńca przy ul. Mrągowskiej,</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Parku kieszonkowego przy ul. Pereca,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Parku kieszonkowego przy ul. Grabskiego,</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Przy ul. Szczytnickiej/Reja/Ładna oraz przy ul. Jana Mikulicza-Radeckiego.</w:t>
      </w:r>
    </w:p>
    <w:p w:rsidR="007A4D59" w:rsidRPr="00E00B35" w:rsidRDefault="007A4D59" w:rsidP="00E00B35">
      <w:pPr>
        <w:autoSpaceDE w:val="0"/>
        <w:autoSpaceDN w:val="0"/>
        <w:adjustRightInd w:val="0"/>
        <w:spacing w:after="0" w:line="312" w:lineRule="auto"/>
        <w:rPr>
          <w:rFonts w:cs="Verdana"/>
          <w:b/>
          <w:szCs w:val="20"/>
        </w:rPr>
      </w:pPr>
    </w:p>
    <w:p w:rsidR="007A4D59" w:rsidRPr="00E00B35" w:rsidRDefault="007A4D59" w:rsidP="00E00B35">
      <w:pPr>
        <w:pStyle w:val="Nagwek4"/>
        <w:spacing w:before="0" w:after="0" w:line="312" w:lineRule="auto"/>
        <w:ind w:firstLine="426"/>
        <w:rPr>
          <w:b w:val="0"/>
          <w:sz w:val="20"/>
          <w:szCs w:val="20"/>
        </w:rPr>
      </w:pPr>
      <w:r w:rsidRPr="00E00B35">
        <w:rPr>
          <w:b w:val="0"/>
          <w:sz w:val="20"/>
          <w:szCs w:val="20"/>
        </w:rPr>
        <w:t>Dodatkowo zrealizowano:</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Budowę ścieżki i montaż małej architektury w nowym Parku Klecińskim,</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Budowę ścieżki oraz siłowni terenowej w EkoParku Stabłowice,</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Budowę oświetlenia na zieleńcu przy ul. Ełckiej,</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Budowę ścieżki w Parku Mamuta,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Budowę punktu poboru energii do imprez w Parku Tołpy,</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Doposażenie placu zabaw w parku na Praczach Odrzańskich.</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Przeprowadzono renowację boiska, wymieniono całą nawierzchnię EPDM na boisku na skwerze ks. Leszka Jabłońskiego.</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Ustawiono i obsadzono zielenią donice przy ulicach Ofiar Oświęcimskich, Kuźniczej, Ruskiej. </w:t>
      </w:r>
    </w:p>
    <w:p w:rsidR="00AA02EB" w:rsidRPr="00E00B35" w:rsidRDefault="00AA02EB" w:rsidP="00E00B35">
      <w:pPr>
        <w:spacing w:after="0" w:line="312" w:lineRule="auto"/>
        <w:rPr>
          <w:rFonts w:cs="Helv;Arial"/>
          <w:szCs w:val="20"/>
        </w:rPr>
      </w:pPr>
    </w:p>
    <w:p w:rsidR="007A4D59" w:rsidRPr="00E00B35" w:rsidRDefault="007A4D59" w:rsidP="00BC64AB">
      <w:pPr>
        <w:pStyle w:val="Akapitzlist"/>
        <w:numPr>
          <w:ilvl w:val="0"/>
          <w:numId w:val="260"/>
        </w:numPr>
        <w:tabs>
          <w:tab w:val="left" w:pos="0"/>
          <w:tab w:val="left" w:pos="426"/>
        </w:tabs>
        <w:spacing w:after="0" w:line="312" w:lineRule="auto"/>
        <w:ind w:left="426" w:hanging="426"/>
        <w:rPr>
          <w:szCs w:val="20"/>
        </w:rPr>
      </w:pPr>
      <w:r w:rsidRPr="00E00B35">
        <w:rPr>
          <w:bCs/>
          <w:szCs w:val="20"/>
        </w:rPr>
        <w:t>Dozór i funkcjonowanie Ogrodu Japońskiego – 631 785,42 zł</w:t>
      </w:r>
    </w:p>
    <w:p w:rsidR="007A4D59" w:rsidRPr="00E00B35" w:rsidRDefault="007A4D59" w:rsidP="00E00B35">
      <w:pPr>
        <w:pStyle w:val="Nagwek4"/>
        <w:spacing w:before="0" w:after="0" w:line="312" w:lineRule="auto"/>
        <w:ind w:firstLine="426"/>
        <w:rPr>
          <w:b w:val="0"/>
          <w:sz w:val="20"/>
          <w:szCs w:val="20"/>
        </w:rPr>
      </w:pPr>
      <w:r w:rsidRPr="00E00B35">
        <w:rPr>
          <w:b w:val="0"/>
          <w:sz w:val="20"/>
          <w:szCs w:val="20"/>
        </w:rPr>
        <w:t>W ramach zadania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zapewniono  funkcjonowanie Ogrodu w okresie zwiedzania tj. 15.05 - 31.10.2020,</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zabezpieczono    ogród   w   okresie   zamknięcia   tj.  1. 01. -  14. 05. 2020   oraz 1.11.- 31.12.2020,</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zakupiono bilety, monety pamiątkowe, materiały promocyjne,</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dozór i monitoring obiektów – 423 879,30 zł</w:t>
      </w:r>
    </w:p>
    <w:p w:rsidR="003779D7" w:rsidRPr="00E00B35" w:rsidRDefault="003779D7" w:rsidP="00E00B35">
      <w:pPr>
        <w:pStyle w:val="Tekstpodstawowy3"/>
        <w:spacing w:after="0" w:line="312" w:lineRule="auto"/>
        <w:rPr>
          <w:bCs/>
          <w:sz w:val="20"/>
          <w:szCs w:val="20"/>
        </w:rPr>
      </w:pPr>
    </w:p>
    <w:p w:rsidR="007A4D59" w:rsidRPr="00E00B35" w:rsidRDefault="007A4D59" w:rsidP="00E00B35">
      <w:pPr>
        <w:pStyle w:val="Tekstpodstawowy3"/>
        <w:spacing w:after="0" w:line="312" w:lineRule="auto"/>
        <w:ind w:firstLine="426"/>
        <w:rPr>
          <w:bCs/>
          <w:sz w:val="20"/>
          <w:szCs w:val="20"/>
        </w:rPr>
      </w:pPr>
      <w:r w:rsidRPr="00E00B35">
        <w:rPr>
          <w:bCs/>
          <w:sz w:val="20"/>
          <w:szCs w:val="20"/>
        </w:rPr>
        <w:t>W ramach zadania zapewniono dozór i ochronę Parku Kopernika i Wyspy Słodowej.</w:t>
      </w:r>
    </w:p>
    <w:p w:rsidR="007A4D59" w:rsidRPr="00E00B35" w:rsidRDefault="007A4D59" w:rsidP="00BC64AB">
      <w:pPr>
        <w:pStyle w:val="Akapitzlist"/>
        <w:numPr>
          <w:ilvl w:val="1"/>
          <w:numId w:val="260"/>
        </w:numPr>
        <w:tabs>
          <w:tab w:val="left" w:pos="0"/>
          <w:tab w:val="left" w:pos="426"/>
        </w:tabs>
        <w:spacing w:after="0" w:line="312" w:lineRule="auto"/>
        <w:ind w:left="851" w:hanging="425"/>
        <w:rPr>
          <w:bCs/>
          <w:szCs w:val="20"/>
        </w:rPr>
      </w:pPr>
      <w:bookmarkStart w:id="678" w:name="_Hlk505160482"/>
      <w:r w:rsidRPr="00E00B35">
        <w:rPr>
          <w:bCs/>
          <w:szCs w:val="20"/>
        </w:rPr>
        <w:t>deratyzacja – 37 964,</w:t>
      </w:r>
      <w:r w:rsidRPr="00E00B35">
        <w:rPr>
          <w:szCs w:val="20"/>
        </w:rPr>
        <w:t>82</w:t>
      </w:r>
      <w:r w:rsidRPr="00E00B35">
        <w:rPr>
          <w:bCs/>
          <w:szCs w:val="20"/>
        </w:rPr>
        <w:t xml:space="preserve"> zł </w:t>
      </w:r>
    </w:p>
    <w:p w:rsidR="007A4D59" w:rsidRPr="00E00B35" w:rsidRDefault="007A4D59" w:rsidP="00E00B35">
      <w:pPr>
        <w:spacing w:after="0" w:line="312" w:lineRule="auto"/>
        <w:ind w:left="426"/>
        <w:rPr>
          <w:szCs w:val="20"/>
        </w:rPr>
      </w:pPr>
      <w:r w:rsidRPr="00E00B35">
        <w:rPr>
          <w:szCs w:val="20"/>
        </w:rPr>
        <w:t>W ramach zadania wykonano monitoring i deratyzację wybranych terenów zieleni miejskiej oraz prace (zabiegi) interwencyjne w zakresie deratyzacji oraz usuwania gniazd owadów.</w:t>
      </w:r>
      <w:bookmarkEnd w:id="678"/>
    </w:p>
    <w:p w:rsidR="003779D7" w:rsidRPr="00E00B35" w:rsidRDefault="003779D7" w:rsidP="00E00B35">
      <w:pPr>
        <w:spacing w:after="0" w:line="312" w:lineRule="auto"/>
        <w:ind w:left="426"/>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bCs/>
          <w:szCs w:val="20"/>
        </w:rPr>
      </w:pPr>
      <w:bookmarkStart w:id="679" w:name="_Hlk61950394"/>
      <w:r w:rsidRPr="00E00B35">
        <w:rPr>
          <w:bCs/>
          <w:szCs w:val="20"/>
        </w:rPr>
        <w:t>pielęgnacje gwarancyjne – 771 682,91 zł</w:t>
      </w:r>
    </w:p>
    <w:bookmarkEnd w:id="679"/>
    <w:p w:rsidR="007A4D59" w:rsidRPr="00E00B35" w:rsidRDefault="007A4D59" w:rsidP="00E00B35">
      <w:pPr>
        <w:spacing w:after="0" w:line="312" w:lineRule="auto"/>
        <w:ind w:left="426"/>
        <w:rPr>
          <w:rFonts w:cs="Verdana"/>
          <w:szCs w:val="20"/>
        </w:rPr>
      </w:pPr>
      <w:r w:rsidRPr="00E00B35">
        <w:rPr>
          <w:rFonts w:cs="Verdana"/>
          <w:szCs w:val="20"/>
        </w:rPr>
        <w:t xml:space="preserve">W ramach zadania wykonano pielęgnacje gwarancyjne zieleni po wykonanych inwestycjach m.in. w Parku Szczytnickim sektor II i w Parku Szczytnickim przy kościółku św. J Nepomucena, na zieleńcu przy ul. Szybowcowej, Parku Strachocińskim, Parku Jedności, na terenie zieleni przy ul. Św. Marcina, na zieleńcu przy ul. Mojęcickiej, przy ul. Horbaczewskiego/Drzewieckiego, przy ul. Drzewieckiego, w parku przy </w:t>
      </w:r>
      <w:r w:rsidRPr="00E00B35">
        <w:rPr>
          <w:rFonts w:cs="Verdana"/>
          <w:szCs w:val="20"/>
        </w:rPr>
        <w:br/>
        <w:t xml:space="preserve">ul. Bacciarellego,  w Parku Południowym, w parku przy ul. Żernickiej, na zieleńcu przy Al. Piastów, na zieleńcu przy ul. Gorlickiej, na Skwerze Skaczącej Gwiazdy, w Parku Klecińskim, na zieleńcu przy ul. Kosynierów Gdyńskich, na Oazie Buczackiej, w </w:t>
      </w:r>
      <w:r w:rsidRPr="00E00B35">
        <w:rPr>
          <w:rFonts w:cs="Verdana"/>
          <w:szCs w:val="20"/>
        </w:rPr>
        <w:lastRenderedPageBreak/>
        <w:t xml:space="preserve">Eko-Parku Stabłowice, na zieleńcu przy ul. Zaziębie, w Żernickim Parku Sportu i Rekreacji, </w:t>
      </w:r>
      <w:r w:rsidRPr="00E00B35">
        <w:rPr>
          <w:rFonts w:cs="Verdana"/>
          <w:szCs w:val="20"/>
        </w:rPr>
        <w:br/>
        <w:t>w Swojczyckim Parku Czarna Woda, w pasie drogowym ul. Oławskiej, w parku Migdałowym, na zieleńcu przy ul. Ełckiej, na Skwerze A.M.Bocheńskiego, w parku Skowronim, na zieleńcu przy ul. Świeradowskiej, na Rondzie Regana, na zieleńcu przy ul. Przyjaźni, na zieleńcu przy ul. Polarnej, w parku Na Niskich Łąkach, na zieleńcu przy ul. Kiełczowskiej, Parku Kopernika oraz pielęgnacje gwarancyjne wykonanych nasadzeń w ramach z</w:t>
      </w:r>
      <w:r w:rsidR="003779D7" w:rsidRPr="00E00B35">
        <w:rPr>
          <w:rFonts w:cs="Verdana"/>
          <w:szCs w:val="20"/>
        </w:rPr>
        <w:t>adań bieżących,</w:t>
      </w:r>
    </w:p>
    <w:p w:rsidR="003779D7" w:rsidRPr="00E00B35" w:rsidRDefault="003779D7" w:rsidP="00E00B35">
      <w:pPr>
        <w:spacing w:after="0" w:line="312" w:lineRule="auto"/>
        <w:ind w:left="426"/>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bCs/>
          <w:szCs w:val="20"/>
        </w:rPr>
      </w:pPr>
      <w:r w:rsidRPr="00E00B35">
        <w:rPr>
          <w:bCs/>
          <w:szCs w:val="20"/>
        </w:rPr>
        <w:t>pielęgnacja starszych drzew – 199 615,20 zł</w:t>
      </w:r>
    </w:p>
    <w:p w:rsidR="007A4D59" w:rsidRPr="00E00B35" w:rsidRDefault="007A4D59" w:rsidP="00E00B35">
      <w:pPr>
        <w:spacing w:after="0" w:line="312" w:lineRule="auto"/>
        <w:ind w:left="426"/>
        <w:rPr>
          <w:szCs w:val="20"/>
        </w:rPr>
      </w:pPr>
      <w:r w:rsidRPr="00E00B35">
        <w:rPr>
          <w:szCs w:val="20"/>
        </w:rPr>
        <w:t xml:space="preserve">Wykonanie oceny stanu zdrowotnego drzewostanu oraz analizy przyrodniczej i wykonanie specjalistycznych prac pielęgnacyjnych. W ramach zleconych ekspertyz został oceniony stan sanitarny drzew, przeprowadzono konsultacje dendrologiczne, pielęgnację drzew oraz inne prace specjalistyczne, przeprowadzono nadzór nad realizowanymi pracami, </w:t>
      </w:r>
    </w:p>
    <w:p w:rsidR="003779D7" w:rsidRPr="00E00B35" w:rsidRDefault="003779D7" w:rsidP="00E00B35">
      <w:pPr>
        <w:spacing w:after="0" w:line="312" w:lineRule="auto"/>
        <w:ind w:left="426"/>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bCs/>
          <w:szCs w:val="20"/>
        </w:rPr>
      </w:pPr>
      <w:r w:rsidRPr="00E00B35">
        <w:rPr>
          <w:bCs/>
          <w:szCs w:val="20"/>
        </w:rPr>
        <w:t>eksploatacja  oświetlenia parkowego – 604 282,45 zł</w:t>
      </w:r>
    </w:p>
    <w:p w:rsidR="003779D7" w:rsidRPr="00E00B35" w:rsidRDefault="003779D7" w:rsidP="00E00B35">
      <w:pPr>
        <w:pStyle w:val="Akapitzlist"/>
        <w:tabs>
          <w:tab w:val="left" w:pos="0"/>
          <w:tab w:val="left" w:pos="426"/>
        </w:tabs>
        <w:spacing w:after="0" w:line="312" w:lineRule="auto"/>
        <w:ind w:left="851"/>
        <w:rPr>
          <w:bCs/>
          <w:szCs w:val="20"/>
        </w:rPr>
      </w:pPr>
    </w:p>
    <w:p w:rsidR="007A4D59" w:rsidRPr="00E00B35" w:rsidRDefault="007A4D59" w:rsidP="00E00B35">
      <w:pPr>
        <w:pStyle w:val="Nagwek4"/>
        <w:spacing w:before="0" w:after="0" w:line="312" w:lineRule="auto"/>
        <w:ind w:left="426"/>
        <w:rPr>
          <w:b w:val="0"/>
          <w:sz w:val="20"/>
          <w:szCs w:val="20"/>
        </w:rPr>
      </w:pPr>
      <w:r w:rsidRPr="00E00B35">
        <w:rPr>
          <w:b w:val="0"/>
          <w:sz w:val="20"/>
          <w:szCs w:val="20"/>
        </w:rPr>
        <w:t>Zadanie obejmowało eksploatację i konserwację: oświetlenia parkowego i iluminacji obiektów zabytkowych, będących pod zarządem ZZM, w tym m.in.:</w:t>
      </w:r>
    </w:p>
    <w:p w:rsidR="007A4D59" w:rsidRPr="00E00B35" w:rsidRDefault="007A4D59" w:rsidP="00BC64AB">
      <w:pPr>
        <w:pStyle w:val="Akapitzlist"/>
        <w:numPr>
          <w:ilvl w:val="1"/>
          <w:numId w:val="260"/>
        </w:numPr>
        <w:tabs>
          <w:tab w:val="left" w:pos="0"/>
          <w:tab w:val="left" w:pos="426"/>
        </w:tabs>
        <w:spacing w:after="0" w:line="312" w:lineRule="auto"/>
        <w:ind w:left="851" w:hanging="425"/>
        <w:rPr>
          <w:bCs/>
          <w:szCs w:val="20"/>
        </w:rPr>
      </w:pPr>
      <w:r w:rsidRPr="00E00B35">
        <w:rPr>
          <w:bCs/>
          <w:szCs w:val="20"/>
        </w:rPr>
        <w:t>iluminację obiektów zabytkowych na Wyspie Piaskowej, pomników: Kardynała      Bolesław Kominka, Europejski Krzyż Pokoju, Króla Bolesława Chrobrego, Pomnika Wspólnej Pamięci w Parku Grabiszyńskim, Wzgórza Polskiego – Bastionu Ceglarskiego, Pomnika Knorra w Parku Słowackiego, namgławiaczy na Promenadzie Staromiejskiej od ul. Krupniczej do ul. Świdnickiej,</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bCs/>
          <w:szCs w:val="20"/>
        </w:rPr>
        <w:t>oświetlenia</w:t>
      </w:r>
      <w:r w:rsidRPr="00E00B35">
        <w:rPr>
          <w:szCs w:val="20"/>
        </w:rPr>
        <w:t xml:space="preserve"> w obrębie Parku Szczytnickiego: terenów zieleni przy Alei Dąbskiej, </w:t>
      </w:r>
      <w:r w:rsidRPr="00E00B35">
        <w:rPr>
          <w:szCs w:val="20"/>
        </w:rPr>
        <w:br/>
        <w:t xml:space="preserve">w sektorze VIII przy ul. Chopina, w sektorze II przy ul. Mickiewicza oraz oświetlenia w Ogrodzie Japońskim,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oświetlenia: parku osiedlowego przy ul. Orzechowej, na pl. Św. Macieja, Parku Południowego, skweru Cybulskiego, skweru pomiędzy ul. Płońską, a ul. Rubczaka, Bulwaru nad Odrą, Bulwaru X.Dunikowskiego, Parku Słowackiego, Parku im.M.Kopernika (Staromiejskiego), Placu Kościuszki, Pl. Wolności, Parku przy ul. Zachodniej, Parku Tołpy, na Wyspie Słodowej, na Wyspie Piasek, na Wyspie Bielarskiej, Parku przy ul. Prackiej,  Parku L. Węgrzynowskiego, Parku E.Stein, zieleńca przy ul. Rękodzielniczej, Parku Skowroniego, Górki Słowiańskiej, Skweru przy ul. Żernickiej, Wzgórza Partyzantów, Wzgórza Andersa, Parku Andersa, Parku Karłowickiego, Skweru Szeli,  Parku Staszica, parku przy ul. Bajana, placów zabaw przy ul. Mikołowskiej i ul. Mrągowskiej, w Parku im. gen. M. Langiewicza, parku przy ul. Strachocińskiej, zieleńca na Placu Westerplatte, ”Parku Jedności” przy ul. Królewskiej, skweru przy ul. Sokolej/Orlej, Parku Tarnogajskiego przy ul. Bogedaina, zieleńca przy ul. Ułańskiej, zieleńca przy ul. Tymiankowej, Wzgórza Gajowickiego przy ul. Kruczej, </w:t>
      </w:r>
      <w:r w:rsidRPr="00E00B35">
        <w:rPr>
          <w:szCs w:val="20"/>
        </w:rPr>
        <w:lastRenderedPageBreak/>
        <w:t xml:space="preserve">Parku Grabiszyńskiego i Parku Górka Skarbowców, Parku Leśnickiego, Parku Tysiąclecia, zieleńca przy ul. Hermanowskiej,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punkty poboru do imprez plenerowych – zlokalizowane w parkach: Staszica, Staromiejskim, Południowym, Langiewicza, Tarnogajskim, Leśnickim, Zachodnim, Grabiszyńskim, Gądów Mały - polana integracyjna,  przy ul. Brzóski, Gajowickiej, przy ul. Strachocińskiej i na osiedlu Gaj.</w:t>
      </w:r>
    </w:p>
    <w:p w:rsidR="003779D7" w:rsidRPr="00E00B35" w:rsidRDefault="003779D7" w:rsidP="00E00B35">
      <w:pPr>
        <w:pStyle w:val="Akapitzlist"/>
        <w:tabs>
          <w:tab w:val="left" w:pos="0"/>
          <w:tab w:val="left" w:pos="426"/>
        </w:tabs>
        <w:spacing w:after="0" w:line="312" w:lineRule="auto"/>
        <w:ind w:left="851"/>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bCs/>
          <w:szCs w:val="20"/>
        </w:rPr>
      </w:pPr>
      <w:r w:rsidRPr="00E00B35">
        <w:rPr>
          <w:bCs/>
          <w:szCs w:val="20"/>
        </w:rPr>
        <w:t xml:space="preserve">Prace </w:t>
      </w:r>
      <w:r w:rsidRPr="00E00B35">
        <w:rPr>
          <w:szCs w:val="20"/>
        </w:rPr>
        <w:t>interwencyjne</w:t>
      </w:r>
      <w:r w:rsidRPr="00E00B35">
        <w:rPr>
          <w:bCs/>
          <w:szCs w:val="20"/>
        </w:rPr>
        <w:t xml:space="preserve"> 498 430,26 zł</w:t>
      </w:r>
    </w:p>
    <w:p w:rsidR="007A4D59" w:rsidRPr="00E00B35" w:rsidRDefault="007A4D59" w:rsidP="00E00B35">
      <w:pPr>
        <w:pStyle w:val="Nagwek4"/>
        <w:spacing w:before="0" w:after="0" w:line="312" w:lineRule="auto"/>
        <w:ind w:firstLine="426"/>
        <w:rPr>
          <w:b w:val="0"/>
          <w:sz w:val="20"/>
          <w:szCs w:val="20"/>
        </w:rPr>
      </w:pPr>
      <w:r w:rsidRPr="00E00B35">
        <w:rPr>
          <w:b w:val="0"/>
          <w:sz w:val="20"/>
          <w:szCs w:val="20"/>
        </w:rPr>
        <w:t xml:space="preserve">W ramach przyznanych środków w 2020 roku zrealizowano m.in.: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bCs/>
          <w:szCs w:val="20"/>
        </w:rPr>
        <w:t xml:space="preserve">zabezpieczenie przed osobami postronnymi budynków mieszkalnych i </w:t>
      </w:r>
      <w:r w:rsidRPr="00E00B35">
        <w:rPr>
          <w:szCs w:val="20"/>
        </w:rPr>
        <w:t xml:space="preserve">gospodarczych przy ul. Wędkarzy i w rejonie ul. Potokowej na podstawie protokołu z okresowej kontroli 5-letniej stanu technicznego obiektu budowlanego,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wykonano projekt rozbiórki i rozbiórkę obiektu budowlanego przy ul. Wędkarzy,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montaż i nadzór tymczasowego ogrodzenia zabudowania przy ul. Śrubowej,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opłaty za przegląd techniczny karuzeli w Parku Kopernika,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wykonano przegląd obiektów budowlanych znajdujących się na terenach będących pod opieką ZZM,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koszty dorobienia kluczy do istniejących obiektów,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dezynfekcje placów zabaw,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wykonano tablice przyrodnicze na zieleniec przy ul. Ełckiej,</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wykonano usługę udźwiękowienia, dostosowania toalet dla osób niewidomych,</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zakupiono chryzantemy,</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zakupiono donice na ul. Kuźniczą,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wydrukowano regulaminy na place zabaw,</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zamontowano ławki, kosze oraz urządzenia zabawowe na terenie Parku Klecińskiego,</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zakupiono worki do podlewania drzew oraz maty słomiane zabezpieczające tereny zieleni przed solą,</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zakup urządzeń zabawowych i małej architektury z planowanym montażem w roku 2021 na placach zabaw w Parku Południowym, przy ul. Jesionowej, na Wyspie Bielarskiej</w:t>
      </w:r>
    </w:p>
    <w:p w:rsidR="003779D7" w:rsidRPr="00E00B35" w:rsidRDefault="003779D7" w:rsidP="00E00B35">
      <w:pPr>
        <w:pStyle w:val="Akapitzlist"/>
        <w:tabs>
          <w:tab w:val="left" w:pos="0"/>
          <w:tab w:val="left" w:pos="426"/>
        </w:tabs>
        <w:spacing w:after="0" w:line="312" w:lineRule="auto"/>
        <w:ind w:left="851"/>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bookmarkStart w:id="680" w:name="_Hlk61949033"/>
      <w:r w:rsidRPr="00E00B35">
        <w:rPr>
          <w:szCs w:val="20"/>
        </w:rPr>
        <w:t xml:space="preserve">Kontenery WC w parkach – </w:t>
      </w:r>
      <w:r w:rsidRPr="00E00B35">
        <w:rPr>
          <w:bCs/>
          <w:szCs w:val="20"/>
        </w:rPr>
        <w:t>409</w:t>
      </w:r>
      <w:r w:rsidRPr="00E00B35">
        <w:rPr>
          <w:szCs w:val="20"/>
        </w:rPr>
        <w:t> 621,11 zł</w:t>
      </w:r>
    </w:p>
    <w:p w:rsidR="007A4D59" w:rsidRPr="00E00B35" w:rsidRDefault="007A4D59" w:rsidP="00E00B35">
      <w:pPr>
        <w:pStyle w:val="Stopka"/>
        <w:tabs>
          <w:tab w:val="clear" w:pos="4536"/>
          <w:tab w:val="clear" w:pos="9072"/>
        </w:tabs>
        <w:spacing w:after="0" w:line="312" w:lineRule="auto"/>
        <w:ind w:left="426"/>
        <w:rPr>
          <w:szCs w:val="20"/>
        </w:rPr>
      </w:pPr>
      <w:r w:rsidRPr="00E00B35">
        <w:rPr>
          <w:szCs w:val="20"/>
        </w:rPr>
        <w:t>W ramach zadania w 2020 roku zlecono wynajem, transport, montaż, demontaż i bieżącą obsługę 2 kontenerów sanitarnych damsko-męskich, kontenera dla matki z dzieckiem oraz kontenera portiera na terenie Wyspy Słodowej we Wrocławiu.</w:t>
      </w:r>
      <w:bookmarkEnd w:id="680"/>
      <w:r w:rsidRPr="00E00B35">
        <w:rPr>
          <w:szCs w:val="20"/>
        </w:rPr>
        <w:t xml:space="preserve"> Zlecono wynajem, transport, montaż, demontaż i serwis zestawów przenośnych kabin sanitarnych na terenach: Parku Tarnogajskiego (wjazd od ulicy Bogedeina), Parku Strachocińskiego, Parku Tołpy, Parku Leśnickiego, Parku Słoneczny Gaj, Parku Południowego, Parku Zachodniego, Parku Grabiszyńskiego, Parku Staszica, Parku Szczytnickiego (przy kościółku pw. św. Nepomucena), Skwer de Veuster na </w:t>
      </w:r>
      <w:r w:rsidRPr="00E00B35">
        <w:rPr>
          <w:szCs w:val="20"/>
        </w:rPr>
        <w:lastRenderedPageBreak/>
        <w:t>Szczepinie, Parku Jedności, Wyspa Słodowa przy kładce słodowej, Parku Wschodniego.</w:t>
      </w:r>
    </w:p>
    <w:p w:rsidR="003779D7" w:rsidRPr="00E00B35" w:rsidRDefault="003779D7" w:rsidP="00E00B35">
      <w:pPr>
        <w:pStyle w:val="Stopka"/>
        <w:tabs>
          <w:tab w:val="clear" w:pos="4536"/>
          <w:tab w:val="clear" w:pos="9072"/>
        </w:tabs>
        <w:spacing w:after="0" w:line="312" w:lineRule="auto"/>
        <w:ind w:left="426"/>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Toalety samoobsługowe – 119 000,16 zł</w:t>
      </w:r>
    </w:p>
    <w:p w:rsidR="007A4D59" w:rsidRPr="00E00B35" w:rsidRDefault="007A4D59" w:rsidP="00E00B35">
      <w:pPr>
        <w:pStyle w:val="Stopka"/>
        <w:tabs>
          <w:tab w:val="clear" w:pos="4536"/>
          <w:tab w:val="clear" w:pos="9072"/>
        </w:tabs>
        <w:spacing w:after="0" w:line="312" w:lineRule="auto"/>
        <w:ind w:left="426"/>
        <w:rPr>
          <w:szCs w:val="20"/>
        </w:rPr>
      </w:pPr>
      <w:r w:rsidRPr="00E00B35">
        <w:rPr>
          <w:szCs w:val="20"/>
        </w:rPr>
        <w:t>W ramach zadania w 2020 roku zlecono utrzymanie w stałej sprawności eksploatacyjnej toalet samoobsługowych na terenie Parku Wschodniego, Polany Karłowickiej, Parku Klecińskiego oraz Górki Skarbowców.</w:t>
      </w:r>
    </w:p>
    <w:p w:rsidR="003779D7" w:rsidRPr="00E00B35" w:rsidRDefault="003779D7" w:rsidP="00E00B35">
      <w:pPr>
        <w:pStyle w:val="Stopka"/>
        <w:tabs>
          <w:tab w:val="clear" w:pos="4536"/>
          <w:tab w:val="clear" w:pos="9072"/>
        </w:tabs>
        <w:spacing w:after="0" w:line="312" w:lineRule="auto"/>
        <w:ind w:left="426"/>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bookmarkStart w:id="681" w:name="_Toc71032620"/>
      <w:bookmarkStart w:id="682" w:name="_Toc71034602"/>
      <w:r w:rsidRPr="00E00B35">
        <w:rPr>
          <w:szCs w:val="20"/>
        </w:rPr>
        <w:t>Konserwacja fontann i nawodnień – 638 944,02 zł</w:t>
      </w:r>
      <w:bookmarkEnd w:id="681"/>
      <w:bookmarkEnd w:id="682"/>
    </w:p>
    <w:p w:rsidR="007A4D59" w:rsidRPr="00E00B35" w:rsidRDefault="007A4D59" w:rsidP="00E00B35">
      <w:pPr>
        <w:pStyle w:val="Tekstpodstawowy3"/>
        <w:spacing w:after="0" w:line="312" w:lineRule="auto"/>
        <w:ind w:left="426"/>
        <w:rPr>
          <w:sz w:val="20"/>
          <w:szCs w:val="20"/>
        </w:rPr>
      </w:pPr>
      <w:r w:rsidRPr="00E00B35">
        <w:rPr>
          <w:sz w:val="20"/>
          <w:szCs w:val="20"/>
        </w:rPr>
        <w:t>Zadanie obejmowało koszt prowadzenia eksploatacji i konserwacji instalacji nawadniających, napowietrzających i fontann, w tym m.in.:</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napowietrzanie stawów w Parku Południowym i Parku Nowowiejskim oraz na terenie zieleńca przy pl. Anielewicza,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deszczowanie trawników: na Pl. Katedralnym i Pl. Kościuszki, w Parku Staszica, Parku Kopernika (Staromiejskim), Parku Południowym, na Osi Grunwaldzkiej –od ul. Norwida do Mostu Szczytnickiego, od ul. Piastowskiej do ul. Bujwida i od Mostu Grunwaldzkiego do Ronda Reagana, w Ogrodzie Japońskim, na Bulwarze ks. Adama Zienkiewicza, na Promenadzie Staromiejskiej od ul. Krupniczej do ul. Świdnickiej, przy ul. Piłsudskiego, na terenie Ossollineum przy ul. Szewskiej, przy ul. Św. Marcina,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nawadnianie kropelkowe zieleni na terenach Promenad Staromiejskich, w Parku Południowym, na zieleńcu przy pl. Strzeleckim i ul. Pomorskiej, przy ul. Ks. Witolda, w Parku im. M. Kopernika (Staromiejskim),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fontann: w Parku Kopernika (Staromiejskim), na terenie Ossollineum przy ul. Szewskiej, w Parku Staszica, „Krasnale” na pl. Teatralnym, przy ul. Przestrzennej, na placu Św. Macieja, na Osi Grunwaldzkiej, na Wzgórzu Słowiańskim, w Parku Brochowskim,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kaskady wodne na terenie Ogrodu Japońskiego,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zdrój na Wzgórzu Partyzantów i przy Pomniku Knorra w Parku Słowackiego,</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punkty poboru wody w Parku Południowym przy polanie hippicznej, w Parku Staszica, na terenie przy ul. Pomorskiej, na pl. Strzeleckim, na Skwerze Skacząca Gwiazda,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kaskadę oraz system nawadniania na terenie Bulwaru Xawerego Dunikowskiego.</w:t>
      </w:r>
    </w:p>
    <w:p w:rsidR="003779D7" w:rsidRPr="00E00B35" w:rsidRDefault="003779D7" w:rsidP="00E00B35">
      <w:pPr>
        <w:pStyle w:val="Akapitzlist"/>
        <w:tabs>
          <w:tab w:val="left" w:pos="0"/>
          <w:tab w:val="left" w:pos="426"/>
        </w:tabs>
        <w:spacing w:after="0" w:line="312" w:lineRule="auto"/>
        <w:ind w:left="851"/>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monitoring przeciwpożarowy zabytkowego kościółka w Parku Szczytnickim – 9 201,63 zł</w:t>
      </w:r>
    </w:p>
    <w:p w:rsidR="007A4D59" w:rsidRPr="00E00B35" w:rsidRDefault="007A4D59" w:rsidP="00E00B35">
      <w:pPr>
        <w:spacing w:after="0" w:line="312" w:lineRule="auto"/>
        <w:ind w:left="426"/>
        <w:rPr>
          <w:szCs w:val="20"/>
        </w:rPr>
      </w:pPr>
      <w:r w:rsidRPr="00E00B35">
        <w:rPr>
          <w:szCs w:val="20"/>
        </w:rPr>
        <w:t>W zabytkowym kościółku Św. Jana Nepomucena w Parku Szczytnickim prowadzono monitoring przeciwpożarowy wraz z bieżącą konserwacją urządzeń monitorujących.</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bookmarkStart w:id="683" w:name="_Hlk30576330"/>
      <w:bookmarkStart w:id="684" w:name="_Hlk509473"/>
      <w:bookmarkStart w:id="685" w:name="_Hlk505161633"/>
      <w:r w:rsidRPr="00E00B35">
        <w:rPr>
          <w:szCs w:val="20"/>
        </w:rPr>
        <w:t>odbiór ścieków – 35 279,19 zł</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Koszt odbioru ścieków powstałych podczas eksploatacji fontann i urządzeń nawadniających.</w:t>
      </w:r>
      <w:bookmarkEnd w:id="683"/>
    </w:p>
    <w:p w:rsidR="003779D7" w:rsidRPr="00E00B35" w:rsidRDefault="003779D7" w:rsidP="00E00B35">
      <w:pPr>
        <w:pStyle w:val="Akapitzlist"/>
        <w:tabs>
          <w:tab w:val="left" w:pos="0"/>
          <w:tab w:val="left" w:pos="426"/>
        </w:tabs>
        <w:spacing w:after="0" w:line="312" w:lineRule="auto"/>
        <w:ind w:left="851"/>
        <w:rPr>
          <w:szCs w:val="20"/>
        </w:rPr>
      </w:pPr>
    </w:p>
    <w:bookmarkEnd w:id="684"/>
    <w:bookmarkEnd w:id="685"/>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zadania w ramach Wrocławskiego Budżetu Obywatelskiego-1 193 517,97 zł</w:t>
      </w:r>
    </w:p>
    <w:p w:rsidR="007A4D59" w:rsidRPr="00E00B35" w:rsidRDefault="007A4D59" w:rsidP="00E00B35">
      <w:pPr>
        <w:pStyle w:val="Nagwek4"/>
        <w:spacing w:before="0" w:after="0" w:line="312" w:lineRule="auto"/>
        <w:ind w:firstLine="426"/>
        <w:rPr>
          <w:b w:val="0"/>
          <w:sz w:val="20"/>
          <w:szCs w:val="20"/>
        </w:rPr>
      </w:pPr>
      <w:r w:rsidRPr="00E00B35">
        <w:rPr>
          <w:b w:val="0"/>
          <w:sz w:val="20"/>
          <w:szCs w:val="20"/>
        </w:rPr>
        <w:lastRenderedPageBreak/>
        <w:t>W ramach przyznanych środków w 2020 roku zrealizowano zadania: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WBO 2018 nr 675 – Zieleń dla Wrocławia – parki kieszonkowe, nasadzenia, enklawy zieleni w całym mieście.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WBO 2018 nr 652 park Grabiszyński – nowe ławki, tablice informacyjne, kosze. </w:t>
      </w:r>
      <w:bookmarkStart w:id="686" w:name="_Hlk12527781"/>
      <w:bookmarkEnd w:id="686"/>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WBO nr 146 Pielęgnacja drzew starszych na terenach zieleni przyulicznej,</w:t>
      </w:r>
      <w:r w:rsidRPr="00E00B35">
        <w:rPr>
          <w:szCs w:val="20"/>
        </w:rPr>
        <w:br/>
        <w:t xml:space="preserve">na skwerach, i w parkach na osiedlach Biskupin, Dąbie, Bartoszowice, Sępolno, Zacisze, Zalesie, Szczytniki. </w:t>
      </w:r>
    </w:p>
    <w:p w:rsidR="00974CAE" w:rsidRPr="00E00B35" w:rsidRDefault="00974CAE" w:rsidP="00E00B35">
      <w:pPr>
        <w:pStyle w:val="Akapitzlist"/>
        <w:tabs>
          <w:tab w:val="left" w:pos="0"/>
          <w:tab w:val="left" w:pos="426"/>
        </w:tabs>
        <w:spacing w:after="0" w:line="312" w:lineRule="auto"/>
        <w:ind w:left="851"/>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bCs/>
          <w:szCs w:val="20"/>
        </w:rPr>
        <w:t xml:space="preserve">pielęgnacja  nasadzeń </w:t>
      </w:r>
      <w:r w:rsidRPr="00E00B35">
        <w:rPr>
          <w:szCs w:val="20"/>
        </w:rPr>
        <w:t>zrealizowanych</w:t>
      </w:r>
      <w:r w:rsidRPr="00E00B35">
        <w:rPr>
          <w:bCs/>
          <w:szCs w:val="20"/>
        </w:rPr>
        <w:t xml:space="preserve"> w ramach WBO – 146 444,22 zł</w:t>
      </w:r>
    </w:p>
    <w:p w:rsidR="007A4D59" w:rsidRPr="00E00B35" w:rsidRDefault="007A4D59" w:rsidP="00E00B35">
      <w:pPr>
        <w:spacing w:after="0" w:line="312" w:lineRule="auto"/>
        <w:ind w:left="426"/>
        <w:rPr>
          <w:rFonts w:cs="Verdana"/>
          <w:bCs/>
          <w:szCs w:val="20"/>
        </w:rPr>
      </w:pPr>
      <w:r w:rsidRPr="00E00B35">
        <w:rPr>
          <w:rFonts w:cs="Verdana"/>
          <w:bCs/>
          <w:szCs w:val="20"/>
        </w:rPr>
        <w:t>W ramach zadania jest prowadzona pielęgnacja gwarancyjna zrealizowanychw ramach WBO nasadzeń zieleni.</w:t>
      </w:r>
    </w:p>
    <w:p w:rsidR="00974CAE" w:rsidRPr="00E00B35" w:rsidRDefault="00974CAE" w:rsidP="00E00B35">
      <w:pPr>
        <w:spacing w:after="0" w:line="312" w:lineRule="auto"/>
        <w:rPr>
          <w:rFonts w:cs="Helv;Arial"/>
          <w:bCs/>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bookmarkStart w:id="687" w:name="_Hlk30576529"/>
      <w:r w:rsidRPr="00E00B35">
        <w:rPr>
          <w:szCs w:val="20"/>
        </w:rPr>
        <w:t xml:space="preserve">obsługa prawna, inspektor - elektryk </w:t>
      </w:r>
      <w:r w:rsidRPr="00E00B35">
        <w:rPr>
          <w:bCs/>
          <w:szCs w:val="20"/>
        </w:rPr>
        <w:t>–</w:t>
      </w:r>
      <w:r w:rsidRPr="00E00B35">
        <w:rPr>
          <w:szCs w:val="20"/>
        </w:rPr>
        <w:t xml:space="preserve"> 95 718,60 zł</w:t>
      </w:r>
    </w:p>
    <w:p w:rsidR="007A4D59" w:rsidRPr="00E00B35" w:rsidRDefault="007A4D59" w:rsidP="00E00B35">
      <w:pPr>
        <w:spacing w:after="0" w:line="312" w:lineRule="auto"/>
        <w:ind w:left="426"/>
        <w:rPr>
          <w:szCs w:val="20"/>
        </w:rPr>
      </w:pPr>
      <w:r w:rsidRPr="00E00B35">
        <w:rPr>
          <w:szCs w:val="20"/>
        </w:rPr>
        <w:t xml:space="preserve">W ramach zadania </w:t>
      </w:r>
      <w:r w:rsidRPr="00E00B35">
        <w:rPr>
          <w:rFonts w:cs="Verdana"/>
          <w:bCs/>
          <w:szCs w:val="20"/>
        </w:rPr>
        <w:t>zapewniono</w:t>
      </w:r>
      <w:r w:rsidRPr="00E00B35">
        <w:rPr>
          <w:szCs w:val="20"/>
        </w:rPr>
        <w:t xml:space="preserve"> obsługę prawną działalności ZZM oraz inspektora - elektryka.</w:t>
      </w:r>
    </w:p>
    <w:p w:rsidR="00974CAE" w:rsidRPr="00E00B35" w:rsidRDefault="00974CAE" w:rsidP="00E00B35">
      <w:pPr>
        <w:spacing w:after="0" w:line="312" w:lineRule="auto"/>
        <w:ind w:left="426"/>
        <w:rPr>
          <w:szCs w:val="20"/>
        </w:rPr>
      </w:pPr>
    </w:p>
    <w:bookmarkEnd w:id="687"/>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najem terenu od Polskich Kolei Państwowych </w:t>
      </w:r>
      <w:r w:rsidRPr="00E00B35">
        <w:rPr>
          <w:bCs/>
          <w:szCs w:val="20"/>
        </w:rPr>
        <w:t>–</w:t>
      </w:r>
      <w:r w:rsidRPr="00E00B35">
        <w:rPr>
          <w:szCs w:val="20"/>
        </w:rPr>
        <w:t xml:space="preserve"> 74 782,02 zł</w:t>
      </w:r>
    </w:p>
    <w:p w:rsidR="007A4D59" w:rsidRPr="00E00B35" w:rsidRDefault="007A4D59" w:rsidP="00E00B35">
      <w:pPr>
        <w:spacing w:after="0" w:line="312" w:lineRule="auto"/>
        <w:ind w:left="426"/>
        <w:rPr>
          <w:szCs w:val="20"/>
        </w:rPr>
      </w:pPr>
      <w:r w:rsidRPr="00E00B35">
        <w:rPr>
          <w:szCs w:val="20"/>
        </w:rPr>
        <w:t>Najem terenu przy ul. Paczkowskiej o pow. 14 600 m</w:t>
      </w:r>
      <w:r w:rsidRPr="00E00B35">
        <w:rPr>
          <w:szCs w:val="20"/>
          <w:vertAlign w:val="superscript"/>
        </w:rPr>
        <w:t>2</w:t>
      </w:r>
      <w:r w:rsidRPr="00E00B35">
        <w:rPr>
          <w:szCs w:val="20"/>
        </w:rPr>
        <w:t xml:space="preserve"> od PKP S.A.  z przeznaczeniem pod budowę Parku Henrykowskiego, realizowanego w ramach środków Wrocławskiego Budżetu Obywatelskiego. </w:t>
      </w:r>
    </w:p>
    <w:p w:rsidR="00974CAE" w:rsidRPr="00E00B35" w:rsidRDefault="00974CAE" w:rsidP="00E00B35">
      <w:pPr>
        <w:spacing w:after="0" w:line="312" w:lineRule="auto"/>
        <w:ind w:left="426"/>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koszty związane z Covid 19 </w:t>
      </w:r>
      <w:r w:rsidRPr="00E00B35">
        <w:rPr>
          <w:bCs/>
          <w:szCs w:val="20"/>
        </w:rPr>
        <w:t>–</w:t>
      </w:r>
      <w:r w:rsidRPr="00E00B35">
        <w:rPr>
          <w:szCs w:val="20"/>
        </w:rPr>
        <w:t xml:space="preserve"> 28 793,04 zł</w:t>
      </w:r>
    </w:p>
    <w:p w:rsidR="007A4D59" w:rsidRPr="00E00B35" w:rsidRDefault="007A4D59" w:rsidP="00E00B35">
      <w:pPr>
        <w:spacing w:after="0" w:line="312" w:lineRule="auto"/>
        <w:ind w:left="426"/>
        <w:rPr>
          <w:szCs w:val="20"/>
        </w:rPr>
      </w:pPr>
      <w:r w:rsidRPr="00E00B35">
        <w:rPr>
          <w:szCs w:val="20"/>
        </w:rPr>
        <w:t>W ramach zadania ustawiono zabezpieczenia w strefach wejściowych w związku z zakazem  wchodzenia na tereny parków wydanym w czasie epidemii. Dodatkowo zakupiono i uzupełniano dozowniki na płyn dezynfekcyjny przy toaletach.</w:t>
      </w:r>
    </w:p>
    <w:p w:rsidR="00974CAE" w:rsidRPr="00E00B35" w:rsidRDefault="00974CAE" w:rsidP="00E00B35">
      <w:pPr>
        <w:spacing w:after="0" w:line="312" w:lineRule="auto"/>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iCs/>
          <w:szCs w:val="20"/>
        </w:rPr>
      </w:pPr>
      <w:r w:rsidRPr="00E00B35">
        <w:rPr>
          <w:szCs w:val="20"/>
        </w:rPr>
        <w:t xml:space="preserve">umowy – zlecenia, umowy o dzieło – </w:t>
      </w:r>
      <w:r w:rsidRPr="00E00B35">
        <w:rPr>
          <w:iCs/>
          <w:szCs w:val="20"/>
        </w:rPr>
        <w:t>64 975,55 zł</w:t>
      </w:r>
    </w:p>
    <w:p w:rsidR="007A4D59" w:rsidRPr="00E00B35" w:rsidRDefault="007A4D59" w:rsidP="00E00B35">
      <w:pPr>
        <w:spacing w:after="0" w:line="312" w:lineRule="auto"/>
        <w:ind w:firstLine="426"/>
        <w:rPr>
          <w:iCs/>
          <w:szCs w:val="20"/>
        </w:rPr>
      </w:pPr>
      <w:r w:rsidRPr="00E00B35">
        <w:rPr>
          <w:szCs w:val="20"/>
        </w:rPr>
        <w:t xml:space="preserve">W 2020 roku w ramach </w:t>
      </w:r>
      <w:r w:rsidRPr="00E00B35">
        <w:rPr>
          <w:iCs/>
          <w:szCs w:val="20"/>
        </w:rPr>
        <w:t>zadania sfinansowano m.in.:</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utrzymywanie woliery wraz z gołębiami ozdobnymi w Parku Mikołaja Kopernika,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przeglądy konserwacyjne i drobne naprawy karuzeli w Parku Mikołaja Kopernika,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obsługę informatyczną Zarządu Zieleni Miejskiej.</w:t>
      </w:r>
    </w:p>
    <w:p w:rsidR="00974CAE" w:rsidRPr="00E00B35" w:rsidRDefault="00974CAE" w:rsidP="00E00B35">
      <w:pPr>
        <w:pStyle w:val="Akapitzlist"/>
        <w:tabs>
          <w:tab w:val="left" w:pos="0"/>
          <w:tab w:val="left" w:pos="426"/>
        </w:tabs>
        <w:spacing w:after="0" w:line="312" w:lineRule="auto"/>
        <w:ind w:left="851"/>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iCs/>
          <w:szCs w:val="20"/>
        </w:rPr>
      </w:pPr>
      <w:r w:rsidRPr="00E00B35">
        <w:rPr>
          <w:szCs w:val="20"/>
        </w:rPr>
        <w:t xml:space="preserve">remonty – </w:t>
      </w:r>
      <w:r w:rsidRPr="00E00B35">
        <w:rPr>
          <w:iCs/>
          <w:szCs w:val="20"/>
        </w:rPr>
        <w:t>151 905,00 zł</w:t>
      </w:r>
    </w:p>
    <w:p w:rsidR="007A4D59" w:rsidRPr="00E00B35" w:rsidRDefault="007A4D59" w:rsidP="00E00B35">
      <w:pPr>
        <w:spacing w:after="0" w:line="312" w:lineRule="auto"/>
        <w:ind w:left="426"/>
        <w:rPr>
          <w:bCs/>
          <w:szCs w:val="20"/>
        </w:rPr>
      </w:pPr>
      <w:r w:rsidRPr="00E00B35">
        <w:rPr>
          <w:bCs/>
          <w:szCs w:val="20"/>
        </w:rPr>
        <w:t xml:space="preserve">W ramach środków realizowano remont łukowego mostku w Parku Leśnickim oraz remont mostku w Parku Złotnickim i ścieżki na Górce Pafawag.  </w:t>
      </w:r>
      <w:bookmarkStart w:id="688" w:name="_Hlk61955388"/>
    </w:p>
    <w:p w:rsidR="00974CAE" w:rsidRPr="00E00B35" w:rsidRDefault="00974CAE" w:rsidP="00E00B35">
      <w:pPr>
        <w:spacing w:after="0" w:line="312" w:lineRule="auto"/>
        <w:ind w:left="426"/>
        <w:rPr>
          <w:iCs/>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iCs/>
          <w:szCs w:val="20"/>
        </w:rPr>
      </w:pPr>
      <w:r w:rsidRPr="00E00B35">
        <w:rPr>
          <w:szCs w:val="20"/>
        </w:rPr>
        <w:t xml:space="preserve">przygotowanie dokumentacji projektowo – kosztorysowej – </w:t>
      </w:r>
      <w:r w:rsidRPr="00E00B35">
        <w:rPr>
          <w:iCs/>
          <w:szCs w:val="20"/>
        </w:rPr>
        <w:t>265 059,39 zł</w:t>
      </w:r>
    </w:p>
    <w:p w:rsidR="007A4D59" w:rsidRPr="00E00B35" w:rsidRDefault="007A4D59" w:rsidP="00E00B35">
      <w:pPr>
        <w:pStyle w:val="Nagwek4"/>
        <w:spacing w:before="0" w:after="0" w:line="312" w:lineRule="auto"/>
        <w:ind w:firstLine="426"/>
        <w:rPr>
          <w:b w:val="0"/>
          <w:sz w:val="20"/>
          <w:szCs w:val="20"/>
        </w:rPr>
      </w:pPr>
      <w:r w:rsidRPr="00E00B35">
        <w:rPr>
          <w:b w:val="0"/>
          <w:sz w:val="20"/>
          <w:szCs w:val="20"/>
        </w:rPr>
        <w:t>W ramach zadania zrealizowano m.in.:</w:t>
      </w:r>
    </w:p>
    <w:bookmarkEnd w:id="688"/>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dokumentację projektową dla zadania pn. „Budowa punku poboru energii dla zasilania imprez plenerowych w Parku Tołpy we Wrocławiu”-etap II,</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koncepcję Parku Kępa Mieszczańska,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koncepcję zagospodarowania terenu zieleni przy ul. Jaworskiej,</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lastRenderedPageBreak/>
        <w:t>dokumentację projektową dla zadania pn. „Program prac konserwatorskich, stanowiący jednocześnie projekt budowlano-wykonawczy wraz z projektem odwodnienia i kosztorysem dla bastei Hioba, zlokalizowanej przy al. J. Słowackiego”,</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dokumentację projektową dla zadania pn. Nasadzenia i przebudowa chodnika w ciągu ul. Oławskiej we Wrocławiu przy budynku OVO,</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dokumentację projektową dla zadania pn. Rekonstrukcja altany parkowej na Wzgórzu im. Georga Bendera w Parku Południowym”,</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dokumentację projektową dla zadania pn. Remont części istniejącej nawierzchni, wykonanie nawierzchni utwardzonej, budowa ogrodzenia oraz doposażenie w elementy małej architektury w parku Mikołaja Kopernika we Wrocławiu – Część I.</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opracowanie tablic edukacyjnych dotyczących flory i fauny na terenie Wrocławia,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dokumentację projektową dla zadania pn. toaleta w Parku Leśnickim</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dokumentację projektową dla zadania pn. Ławki w pasie drogowym,</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aktualizację dokumentacji projektowej dla zadania pn. Odbudowa – remont zbiornika F Fosy Miejskiej we Wrocławiu,</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program prac konserwatorsko-budowlanych, stanowiący jednocześnie projekt budowlano-wykonawczy wraz z kosztorysem prac konserwatorskich dla fragmentu wewnętrznego muru obronnego średniowiecznego miasta zachowanego przy ul. ks. W. Kraińskiego,</w:t>
      </w:r>
    </w:p>
    <w:p w:rsidR="00974CAE" w:rsidRPr="00E00B35" w:rsidRDefault="00974CAE" w:rsidP="00E00B35">
      <w:pPr>
        <w:pStyle w:val="Akapitzlist"/>
        <w:tabs>
          <w:tab w:val="left" w:pos="0"/>
          <w:tab w:val="left" w:pos="426"/>
        </w:tabs>
        <w:spacing w:after="0" w:line="312" w:lineRule="auto"/>
        <w:ind w:left="851"/>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iCs/>
          <w:szCs w:val="20"/>
        </w:rPr>
      </w:pPr>
      <w:bookmarkStart w:id="689" w:name="_Hlk505162208"/>
      <w:r w:rsidRPr="00E00B35">
        <w:rPr>
          <w:szCs w:val="20"/>
        </w:rPr>
        <w:t xml:space="preserve">odszkodowania, franszyza na rzecz osób fizycznych – </w:t>
      </w:r>
      <w:r w:rsidRPr="00E00B35">
        <w:rPr>
          <w:iCs/>
          <w:szCs w:val="20"/>
        </w:rPr>
        <w:t>16 969,66 zł</w:t>
      </w:r>
    </w:p>
    <w:p w:rsidR="007A4D59" w:rsidRPr="00E00B35" w:rsidRDefault="007A4D59" w:rsidP="00E00B35">
      <w:pPr>
        <w:spacing w:after="0" w:line="312" w:lineRule="auto"/>
        <w:ind w:left="426"/>
        <w:rPr>
          <w:szCs w:val="20"/>
        </w:rPr>
      </w:pPr>
      <w:r w:rsidRPr="00E00B35">
        <w:rPr>
          <w:szCs w:val="20"/>
        </w:rPr>
        <w:t xml:space="preserve">W ramach zadania dokonano wypłaty franszyzy redukcyjnej wynikające </w:t>
      </w:r>
      <w:r w:rsidRPr="00E00B35">
        <w:rPr>
          <w:szCs w:val="20"/>
        </w:rPr>
        <w:br/>
        <w:t>z postępowania odszkodowawczego w 2020 roku,</w:t>
      </w:r>
    </w:p>
    <w:p w:rsidR="00974CAE" w:rsidRPr="00E00B35" w:rsidRDefault="00974CAE" w:rsidP="00E00B35">
      <w:pPr>
        <w:spacing w:after="0" w:line="312" w:lineRule="auto"/>
        <w:ind w:left="426"/>
        <w:rPr>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iCs/>
          <w:szCs w:val="20"/>
        </w:rPr>
      </w:pPr>
      <w:bookmarkStart w:id="690" w:name="_Hlk517117"/>
      <w:bookmarkEnd w:id="689"/>
      <w:r w:rsidRPr="00E00B35">
        <w:rPr>
          <w:szCs w:val="20"/>
        </w:rPr>
        <w:t xml:space="preserve">odszkodowania, franszyza na rzecz osób prawnych – </w:t>
      </w:r>
      <w:r w:rsidRPr="00E00B35">
        <w:rPr>
          <w:iCs/>
          <w:szCs w:val="20"/>
        </w:rPr>
        <w:t>1 000,00 zł</w:t>
      </w:r>
    </w:p>
    <w:p w:rsidR="007A4D59" w:rsidRPr="00E00B35" w:rsidRDefault="007A4D59" w:rsidP="00E00B35">
      <w:pPr>
        <w:spacing w:after="0" w:line="312" w:lineRule="auto"/>
        <w:ind w:left="426"/>
        <w:rPr>
          <w:szCs w:val="20"/>
        </w:rPr>
      </w:pPr>
      <w:r w:rsidRPr="00E00B35">
        <w:rPr>
          <w:szCs w:val="20"/>
        </w:rPr>
        <w:t xml:space="preserve">W ramach zadania dokonano wypłaty franszyzy redukcyjnej wynikające </w:t>
      </w:r>
      <w:r w:rsidRPr="00E00B35">
        <w:rPr>
          <w:szCs w:val="20"/>
        </w:rPr>
        <w:br/>
        <w:t>z postępowania odszkodowawczego w 2020 roku.</w:t>
      </w:r>
    </w:p>
    <w:p w:rsidR="00974CAE" w:rsidRPr="00E00B35" w:rsidRDefault="00974CAE" w:rsidP="00E00B35">
      <w:pPr>
        <w:spacing w:after="0" w:line="312" w:lineRule="auto"/>
        <w:ind w:left="426"/>
        <w:rPr>
          <w:szCs w:val="20"/>
        </w:rPr>
      </w:pPr>
    </w:p>
    <w:bookmarkEnd w:id="690"/>
    <w:p w:rsidR="007A4D59" w:rsidRPr="00E00B35" w:rsidRDefault="007A4D59" w:rsidP="00BC64AB">
      <w:pPr>
        <w:pStyle w:val="Akapitzlist"/>
        <w:numPr>
          <w:ilvl w:val="1"/>
          <w:numId w:val="260"/>
        </w:numPr>
        <w:tabs>
          <w:tab w:val="left" w:pos="0"/>
          <w:tab w:val="left" w:pos="426"/>
        </w:tabs>
        <w:spacing w:after="0" w:line="312" w:lineRule="auto"/>
        <w:ind w:left="851" w:hanging="425"/>
        <w:rPr>
          <w:iCs/>
          <w:szCs w:val="20"/>
        </w:rPr>
      </w:pPr>
      <w:r w:rsidRPr="00E00B35">
        <w:rPr>
          <w:szCs w:val="20"/>
        </w:rPr>
        <w:t xml:space="preserve">ekspertyzy – </w:t>
      </w:r>
      <w:r w:rsidRPr="00E00B35">
        <w:rPr>
          <w:iCs/>
          <w:szCs w:val="20"/>
        </w:rPr>
        <w:t>55 522,20 zł</w:t>
      </w:r>
    </w:p>
    <w:p w:rsidR="007A4D59" w:rsidRPr="00E00B35" w:rsidRDefault="00974CAE" w:rsidP="00E00B35">
      <w:pPr>
        <w:pStyle w:val="Stopka"/>
        <w:spacing w:after="0" w:line="312" w:lineRule="auto"/>
        <w:ind w:left="426"/>
        <w:rPr>
          <w:rFonts w:cs="Verdana"/>
          <w:bCs/>
          <w:szCs w:val="20"/>
        </w:rPr>
      </w:pPr>
      <w:r w:rsidRPr="00E00B35">
        <w:rPr>
          <w:rFonts w:cs="Verdana"/>
          <w:bCs/>
          <w:szCs w:val="20"/>
        </w:rPr>
        <w:tab/>
      </w:r>
      <w:r w:rsidR="007A4D59" w:rsidRPr="00E00B35">
        <w:rPr>
          <w:rFonts w:cs="Verdana"/>
          <w:bCs/>
          <w:szCs w:val="20"/>
        </w:rPr>
        <w:t xml:space="preserve">W ramach zadania wykonano ekspertyzy przyrodniczo-dendrologiczne na tereny zieleni przy ul. Studziennej, Olszewskiego, Ćwiczebnej.  </w:t>
      </w:r>
    </w:p>
    <w:p w:rsidR="00974CAE" w:rsidRPr="00E00B35" w:rsidRDefault="00974CAE" w:rsidP="00E00B35">
      <w:pPr>
        <w:pStyle w:val="Stopka"/>
        <w:spacing w:after="0" w:line="312" w:lineRule="auto"/>
        <w:ind w:left="426"/>
        <w:rPr>
          <w:rFonts w:cs="Verdana"/>
          <w:bCs/>
          <w:szCs w:val="20"/>
        </w:rPr>
      </w:pPr>
    </w:p>
    <w:p w:rsidR="007A4D59" w:rsidRPr="00E00B35" w:rsidRDefault="007A4D59" w:rsidP="00BC64AB">
      <w:pPr>
        <w:pStyle w:val="Akapitzlist"/>
        <w:numPr>
          <w:ilvl w:val="1"/>
          <w:numId w:val="260"/>
        </w:numPr>
        <w:tabs>
          <w:tab w:val="left" w:pos="0"/>
          <w:tab w:val="left" w:pos="426"/>
        </w:tabs>
        <w:spacing w:after="0" w:line="312" w:lineRule="auto"/>
        <w:ind w:left="851" w:hanging="425"/>
        <w:rPr>
          <w:iCs/>
          <w:szCs w:val="20"/>
        </w:rPr>
      </w:pPr>
      <w:r w:rsidRPr="00E00B35">
        <w:rPr>
          <w:szCs w:val="20"/>
        </w:rPr>
        <w:t xml:space="preserve">materiały – </w:t>
      </w:r>
      <w:r w:rsidRPr="00E00B35">
        <w:rPr>
          <w:iCs/>
          <w:szCs w:val="20"/>
        </w:rPr>
        <w:t>19 982,58 zł</w:t>
      </w:r>
    </w:p>
    <w:p w:rsidR="007A4D59" w:rsidRPr="00E00B35" w:rsidRDefault="00974CAE" w:rsidP="00E00B35">
      <w:pPr>
        <w:pStyle w:val="Stopka"/>
        <w:spacing w:after="0" w:line="312" w:lineRule="auto"/>
        <w:ind w:left="426"/>
        <w:rPr>
          <w:szCs w:val="20"/>
        </w:rPr>
      </w:pPr>
      <w:r w:rsidRPr="00E00B35">
        <w:rPr>
          <w:rFonts w:cs="Verdana"/>
          <w:bCs/>
          <w:szCs w:val="20"/>
        </w:rPr>
        <w:tab/>
      </w:r>
      <w:r w:rsidR="007A4D59" w:rsidRPr="00E00B35">
        <w:rPr>
          <w:rFonts w:cs="Verdana"/>
          <w:bCs/>
          <w:szCs w:val="20"/>
        </w:rPr>
        <w:t xml:space="preserve">Zlecono wykonanie materiałów promocyjnych, informujących o działalności ZZM tj. taśmy do znakowania drzew. Dodatkowo zakupiono farby do oznaczania drzew, sprzęt ppoż. </w:t>
      </w:r>
    </w:p>
    <w:p w:rsidR="007A4D59" w:rsidRPr="00E00B35" w:rsidRDefault="007A4D59" w:rsidP="00E00B35">
      <w:pPr>
        <w:spacing w:after="0" w:line="312" w:lineRule="auto"/>
        <w:rPr>
          <w:b/>
          <w:szCs w:val="20"/>
        </w:rPr>
      </w:pPr>
    </w:p>
    <w:p w:rsidR="007A4D59" w:rsidRPr="00E00B35" w:rsidRDefault="007A4D59" w:rsidP="00E00B35">
      <w:pPr>
        <w:pStyle w:val="Nagwek4"/>
        <w:spacing w:before="0" w:after="0" w:line="312" w:lineRule="auto"/>
        <w:rPr>
          <w:b w:val="0"/>
          <w:sz w:val="20"/>
          <w:szCs w:val="20"/>
        </w:rPr>
      </w:pPr>
      <w:bookmarkStart w:id="691" w:name="_Hlk2766135"/>
      <w:r w:rsidRPr="00E00B35">
        <w:rPr>
          <w:b w:val="0"/>
          <w:sz w:val="20"/>
          <w:szCs w:val="20"/>
        </w:rPr>
        <w:t xml:space="preserve">Wydatki majątkowe </w:t>
      </w:r>
    </w:p>
    <w:bookmarkEnd w:id="691"/>
    <w:p w:rsidR="007A4D59" w:rsidRPr="00E00B35" w:rsidRDefault="007A4D59" w:rsidP="00E00B35">
      <w:pPr>
        <w:autoSpaceDN w:val="0"/>
        <w:spacing w:after="0" w:line="312" w:lineRule="auto"/>
        <w:rPr>
          <w:iCs/>
          <w:szCs w:val="20"/>
        </w:rPr>
      </w:pPr>
      <w:r w:rsidRPr="00E00B35">
        <w:rPr>
          <w:iCs/>
          <w:szCs w:val="20"/>
        </w:rPr>
        <w:t xml:space="preserve">Plan niewygasających wydatków roku 2019 wykonanych w 2020 wynosi  </w:t>
      </w:r>
      <w:r w:rsidRPr="00E00B35">
        <w:rPr>
          <w:bCs/>
          <w:iCs/>
          <w:szCs w:val="20"/>
        </w:rPr>
        <w:t xml:space="preserve">618 450,00 zł. </w:t>
      </w:r>
      <w:r w:rsidRPr="00E00B35">
        <w:rPr>
          <w:iCs/>
          <w:szCs w:val="20"/>
        </w:rPr>
        <w:t xml:space="preserve">Plan niewygasających wydatków roku 2020 wynosi </w:t>
      </w:r>
      <w:r w:rsidRPr="00E00B35">
        <w:rPr>
          <w:bCs/>
          <w:iCs/>
          <w:szCs w:val="20"/>
        </w:rPr>
        <w:t>500 000,00 zł.</w:t>
      </w:r>
    </w:p>
    <w:p w:rsidR="007A4D59" w:rsidRPr="00E00B35" w:rsidRDefault="007A4D59" w:rsidP="00E00B35">
      <w:pPr>
        <w:shd w:val="clear" w:color="auto" w:fill="FFFFFF"/>
        <w:autoSpaceDN w:val="0"/>
        <w:spacing w:after="0" w:line="312" w:lineRule="auto"/>
        <w:rPr>
          <w:iCs/>
          <w:szCs w:val="20"/>
        </w:rPr>
      </w:pPr>
      <w:r w:rsidRPr="00E00B35">
        <w:rPr>
          <w:iCs/>
          <w:szCs w:val="20"/>
        </w:rPr>
        <w:t xml:space="preserve">Plan wydatków na rok 2020 wynosi </w:t>
      </w:r>
      <w:r w:rsidRPr="00E00B35">
        <w:rPr>
          <w:bCs/>
          <w:iCs/>
          <w:szCs w:val="20"/>
        </w:rPr>
        <w:t>20 885 633,00 zł,</w:t>
      </w:r>
    </w:p>
    <w:p w:rsidR="007A4D59" w:rsidRPr="00E00B35" w:rsidRDefault="007A4D59" w:rsidP="00E00B35">
      <w:pPr>
        <w:shd w:val="clear" w:color="auto" w:fill="FFFFFF"/>
        <w:autoSpaceDN w:val="0"/>
        <w:spacing w:after="0" w:line="312" w:lineRule="auto"/>
        <w:rPr>
          <w:iCs/>
          <w:szCs w:val="20"/>
        </w:rPr>
      </w:pPr>
      <w:r w:rsidRPr="00E00B35">
        <w:rPr>
          <w:iCs/>
          <w:szCs w:val="20"/>
        </w:rPr>
        <w:lastRenderedPageBreak/>
        <w:t xml:space="preserve">Koszty realizacji zadań inwestycyjnych w 2020 wyniósł ogółem </w:t>
      </w:r>
      <w:r w:rsidRPr="00E00B35">
        <w:rPr>
          <w:bCs/>
          <w:iCs/>
          <w:szCs w:val="20"/>
        </w:rPr>
        <w:t>20 380 075,35 zł</w:t>
      </w:r>
      <w:r w:rsidRPr="00E00B35">
        <w:rPr>
          <w:iCs/>
          <w:szCs w:val="20"/>
        </w:rPr>
        <w:t xml:space="preserve">, co stanowi </w:t>
      </w:r>
      <w:r w:rsidRPr="00E00B35">
        <w:rPr>
          <w:bCs/>
          <w:iCs/>
          <w:szCs w:val="20"/>
        </w:rPr>
        <w:t>97,58%</w:t>
      </w:r>
      <w:r w:rsidRPr="00E00B35">
        <w:rPr>
          <w:iCs/>
          <w:szCs w:val="20"/>
        </w:rPr>
        <w:t xml:space="preserve"> wykonania planu. </w:t>
      </w:r>
    </w:p>
    <w:p w:rsidR="007A4D59" w:rsidRPr="00E00B35" w:rsidRDefault="007A4D59" w:rsidP="00E00B35">
      <w:pPr>
        <w:autoSpaceDN w:val="0"/>
        <w:spacing w:after="0" w:line="312" w:lineRule="auto"/>
        <w:rPr>
          <w:iCs/>
          <w:szCs w:val="20"/>
        </w:rPr>
      </w:pPr>
      <w:r w:rsidRPr="00E00B35">
        <w:rPr>
          <w:iCs/>
          <w:szCs w:val="20"/>
        </w:rPr>
        <w:t xml:space="preserve">Koszty realizacji zadań inwestycyjnych w 2020 wyniósł ogółem </w:t>
      </w:r>
      <w:r w:rsidRPr="00E00B35">
        <w:rPr>
          <w:bCs/>
          <w:iCs/>
          <w:szCs w:val="20"/>
        </w:rPr>
        <w:t>20 380 075,35 zł</w:t>
      </w:r>
      <w:r w:rsidRPr="00E00B35">
        <w:rPr>
          <w:iCs/>
          <w:szCs w:val="20"/>
        </w:rPr>
        <w:t xml:space="preserve">, co stanowi </w:t>
      </w:r>
      <w:r w:rsidRPr="00E00B35">
        <w:rPr>
          <w:bCs/>
          <w:iCs/>
          <w:szCs w:val="20"/>
        </w:rPr>
        <w:t>99,97%</w:t>
      </w:r>
      <w:r w:rsidRPr="00E00B35">
        <w:rPr>
          <w:iCs/>
          <w:szCs w:val="20"/>
        </w:rPr>
        <w:t xml:space="preserve"> wykonania planu. </w:t>
      </w:r>
    </w:p>
    <w:p w:rsidR="007A4D59" w:rsidRPr="00E00B35" w:rsidRDefault="007A4D59" w:rsidP="00E00B35">
      <w:pPr>
        <w:autoSpaceDN w:val="0"/>
        <w:spacing w:after="0" w:line="312" w:lineRule="auto"/>
        <w:rPr>
          <w:iCs/>
          <w:szCs w:val="20"/>
        </w:rPr>
      </w:pPr>
    </w:p>
    <w:p w:rsidR="007A4D59" w:rsidRPr="00E00B35" w:rsidRDefault="007A4D59" w:rsidP="00E00B35">
      <w:pPr>
        <w:autoSpaceDN w:val="0"/>
        <w:spacing w:after="0" w:line="312" w:lineRule="auto"/>
        <w:rPr>
          <w:iCs/>
          <w:szCs w:val="20"/>
        </w:rPr>
      </w:pPr>
      <w:r w:rsidRPr="00E00B35">
        <w:rPr>
          <w:iCs/>
          <w:szCs w:val="20"/>
        </w:rPr>
        <w:t xml:space="preserve">W ramach zadań inwestycyjnych w 2020 roku na terenie parków i zieleńców oraz zieleni przyulicznej  nasadzono łącznie: </w:t>
      </w:r>
    </w:p>
    <w:p w:rsidR="007A4D59" w:rsidRPr="00E00B35" w:rsidRDefault="007A4D59" w:rsidP="00BC64AB">
      <w:pPr>
        <w:numPr>
          <w:ilvl w:val="0"/>
          <w:numId w:val="257"/>
        </w:numPr>
        <w:tabs>
          <w:tab w:val="left" w:pos="284"/>
        </w:tabs>
        <w:autoSpaceDN w:val="0"/>
        <w:spacing w:after="0" w:line="312" w:lineRule="auto"/>
        <w:ind w:left="0" w:firstLine="0"/>
        <w:rPr>
          <w:iCs/>
          <w:szCs w:val="20"/>
        </w:rPr>
      </w:pPr>
      <w:r w:rsidRPr="00E00B35">
        <w:rPr>
          <w:iCs/>
          <w:szCs w:val="20"/>
        </w:rPr>
        <w:t>drzew 382 szt.</w:t>
      </w:r>
    </w:p>
    <w:p w:rsidR="007A4D59" w:rsidRPr="00E00B35" w:rsidRDefault="007A4D59" w:rsidP="00BC64AB">
      <w:pPr>
        <w:numPr>
          <w:ilvl w:val="0"/>
          <w:numId w:val="257"/>
        </w:numPr>
        <w:tabs>
          <w:tab w:val="left" w:pos="284"/>
        </w:tabs>
        <w:autoSpaceDN w:val="0"/>
        <w:spacing w:after="0" w:line="312" w:lineRule="auto"/>
        <w:ind w:left="0" w:firstLine="0"/>
        <w:rPr>
          <w:iCs/>
          <w:szCs w:val="20"/>
        </w:rPr>
      </w:pPr>
      <w:r w:rsidRPr="00E00B35">
        <w:rPr>
          <w:iCs/>
          <w:szCs w:val="20"/>
        </w:rPr>
        <w:t xml:space="preserve">krzewów 18 529 szt. </w:t>
      </w:r>
    </w:p>
    <w:p w:rsidR="007A4D59" w:rsidRPr="00E00B35" w:rsidRDefault="007A4D59" w:rsidP="00BC64AB">
      <w:pPr>
        <w:numPr>
          <w:ilvl w:val="0"/>
          <w:numId w:val="257"/>
        </w:numPr>
        <w:tabs>
          <w:tab w:val="left" w:pos="284"/>
        </w:tabs>
        <w:autoSpaceDN w:val="0"/>
        <w:spacing w:after="0" w:line="312" w:lineRule="auto"/>
        <w:ind w:left="0" w:firstLine="0"/>
        <w:rPr>
          <w:iCs/>
          <w:szCs w:val="20"/>
        </w:rPr>
      </w:pPr>
      <w:r w:rsidRPr="00E00B35">
        <w:rPr>
          <w:iCs/>
          <w:szCs w:val="20"/>
        </w:rPr>
        <w:t>pnączy 564 szt.</w:t>
      </w:r>
    </w:p>
    <w:p w:rsidR="007A4D59" w:rsidRPr="00E00B35" w:rsidRDefault="007A4D59" w:rsidP="00BC64AB">
      <w:pPr>
        <w:numPr>
          <w:ilvl w:val="0"/>
          <w:numId w:val="257"/>
        </w:numPr>
        <w:tabs>
          <w:tab w:val="left" w:pos="284"/>
        </w:tabs>
        <w:autoSpaceDN w:val="0"/>
        <w:spacing w:after="0" w:line="312" w:lineRule="auto"/>
        <w:ind w:left="0" w:firstLine="0"/>
        <w:rPr>
          <w:iCs/>
          <w:szCs w:val="20"/>
        </w:rPr>
      </w:pPr>
      <w:r w:rsidRPr="00E00B35">
        <w:rPr>
          <w:iCs/>
          <w:szCs w:val="20"/>
        </w:rPr>
        <w:t>bylin  23 316 szt.</w:t>
      </w:r>
    </w:p>
    <w:p w:rsidR="007A4D59" w:rsidRPr="00E00B35" w:rsidRDefault="007A4D59" w:rsidP="00BC64AB">
      <w:pPr>
        <w:numPr>
          <w:ilvl w:val="0"/>
          <w:numId w:val="257"/>
        </w:numPr>
        <w:tabs>
          <w:tab w:val="left" w:pos="284"/>
        </w:tabs>
        <w:autoSpaceDN w:val="0"/>
        <w:spacing w:after="0" w:line="312" w:lineRule="auto"/>
        <w:ind w:left="0" w:firstLine="0"/>
        <w:rPr>
          <w:iCs/>
          <w:szCs w:val="20"/>
        </w:rPr>
      </w:pPr>
      <w:r w:rsidRPr="00E00B35">
        <w:rPr>
          <w:iCs/>
          <w:szCs w:val="20"/>
        </w:rPr>
        <w:t>traw ozdobnych 5 389 szt.</w:t>
      </w:r>
    </w:p>
    <w:p w:rsidR="007A4D59" w:rsidRPr="00E00B35" w:rsidRDefault="007A4D59" w:rsidP="00BC64AB">
      <w:pPr>
        <w:numPr>
          <w:ilvl w:val="0"/>
          <w:numId w:val="257"/>
        </w:numPr>
        <w:tabs>
          <w:tab w:val="left" w:pos="284"/>
        </w:tabs>
        <w:autoSpaceDN w:val="0"/>
        <w:spacing w:after="0" w:line="312" w:lineRule="auto"/>
        <w:ind w:left="0" w:firstLine="0"/>
        <w:rPr>
          <w:iCs/>
          <w:szCs w:val="20"/>
        </w:rPr>
      </w:pPr>
      <w:r w:rsidRPr="00E00B35">
        <w:rPr>
          <w:iCs/>
          <w:szCs w:val="20"/>
        </w:rPr>
        <w:t xml:space="preserve">cebul 34 247 szt. </w:t>
      </w:r>
    </w:p>
    <w:p w:rsidR="007A4D59" w:rsidRPr="00E00B35" w:rsidRDefault="007A4D59" w:rsidP="00E00B35">
      <w:pPr>
        <w:autoSpaceDN w:val="0"/>
        <w:spacing w:after="0" w:line="312" w:lineRule="auto"/>
        <w:rPr>
          <w:b/>
          <w:iCs/>
          <w:szCs w:val="20"/>
        </w:rPr>
      </w:pPr>
    </w:p>
    <w:p w:rsidR="007A4D59" w:rsidRPr="00E00B35" w:rsidRDefault="007A4D59" w:rsidP="00E00B35">
      <w:pPr>
        <w:pStyle w:val="Nagwek4"/>
        <w:spacing w:before="0" w:after="0" w:line="312" w:lineRule="auto"/>
        <w:rPr>
          <w:rFonts w:eastAsia="Calibri"/>
          <w:b w:val="0"/>
          <w:sz w:val="20"/>
          <w:szCs w:val="20"/>
        </w:rPr>
      </w:pPr>
      <w:r w:rsidRPr="00E00B35">
        <w:rPr>
          <w:rFonts w:eastAsia="Calibri"/>
          <w:b w:val="0"/>
          <w:sz w:val="20"/>
          <w:szCs w:val="20"/>
        </w:rPr>
        <w:t>W ramach powyższych środków wykonano następujące przedsięwzięcia:</w:t>
      </w:r>
    </w:p>
    <w:p w:rsidR="007A4D59" w:rsidRPr="00E00B35" w:rsidRDefault="007A4D59" w:rsidP="00E00B35">
      <w:pPr>
        <w:spacing w:after="0" w:line="312" w:lineRule="auto"/>
        <w:rPr>
          <w:bCs/>
          <w:iCs/>
          <w:szCs w:val="20"/>
        </w:rPr>
      </w:pPr>
      <w:r w:rsidRPr="00E00B35">
        <w:rPr>
          <w:bCs/>
          <w:szCs w:val="20"/>
        </w:rPr>
        <w:t>WPI/248, Program rewitalizacji zieleni, nabrzeży, Wysp Odrzańskich – 6 311 305,43</w:t>
      </w:r>
      <w:r w:rsidRPr="00E00B35">
        <w:rPr>
          <w:bCs/>
          <w:iCs/>
          <w:szCs w:val="20"/>
        </w:rPr>
        <w:t xml:space="preserve"> zł, niewygasające wydatki z 2019 – 600 000,00 zł. </w:t>
      </w:r>
      <w:bookmarkStart w:id="692" w:name="_Hlk30578519"/>
      <w:r w:rsidRPr="00E00B35">
        <w:rPr>
          <w:bCs/>
          <w:szCs w:val="20"/>
        </w:rPr>
        <w:t xml:space="preserve">W 2020 roku w ramach </w:t>
      </w:r>
      <w:r w:rsidRPr="00E00B35">
        <w:rPr>
          <w:bCs/>
          <w:iCs/>
          <w:szCs w:val="20"/>
        </w:rPr>
        <w:t>zadania wykonano:</w:t>
      </w:r>
    </w:p>
    <w:p w:rsidR="007A4D59" w:rsidRPr="00E00B35" w:rsidRDefault="007A4D59" w:rsidP="00BC64AB">
      <w:pPr>
        <w:pStyle w:val="Akapitzlist"/>
        <w:numPr>
          <w:ilvl w:val="0"/>
          <w:numId w:val="261"/>
        </w:numPr>
        <w:spacing w:after="0" w:line="312" w:lineRule="auto"/>
        <w:ind w:left="426" w:hanging="426"/>
        <w:rPr>
          <w:rFonts w:cs="Verdana"/>
          <w:bCs/>
          <w:szCs w:val="20"/>
        </w:rPr>
      </w:pPr>
      <w:bookmarkStart w:id="693" w:name="_Hlk30408825"/>
      <w:r w:rsidRPr="00E00B35">
        <w:rPr>
          <w:rFonts w:cs="Verdana"/>
          <w:bCs/>
          <w:szCs w:val="20"/>
        </w:rPr>
        <w:t>Koncepcję zagospodarowania terenu Zielonego Klina Południa Wrocławia „Klin Wojszycki”,</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Psi wybieg w Parku Klecińskim,</w:t>
      </w:r>
      <w:bookmarkStart w:id="694" w:name="_Hlk14250973"/>
    </w:p>
    <w:bookmarkEnd w:id="694"/>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Ekspozycję zabytkowych reliktów w ramach zadania pn. Zagospodarowanie terenu zieleni przy ul. Św. Marcina we Wrocławiu – etap III (Bulwar ks. A. Zienkiewicza),</w:t>
      </w:r>
    </w:p>
    <w:p w:rsidR="007A4D59" w:rsidRPr="00E00B35" w:rsidRDefault="007A4D59" w:rsidP="00BC64AB">
      <w:pPr>
        <w:pStyle w:val="Akapitzlist"/>
        <w:numPr>
          <w:ilvl w:val="0"/>
          <w:numId w:val="261"/>
        </w:numPr>
        <w:spacing w:after="0" w:line="312" w:lineRule="auto"/>
        <w:ind w:left="426" w:hanging="426"/>
        <w:rPr>
          <w:rFonts w:cs="Verdana"/>
          <w:bCs/>
          <w:szCs w:val="20"/>
        </w:rPr>
      </w:pPr>
      <w:bookmarkStart w:id="695" w:name="_Hlk43187409"/>
      <w:r w:rsidRPr="00E00B35">
        <w:rPr>
          <w:rFonts w:cs="Verdana"/>
          <w:bCs/>
          <w:szCs w:val="20"/>
        </w:rPr>
        <w:t>Zagospodarowanie terenu Parku Wojszyckiego,</w:t>
      </w:r>
    </w:p>
    <w:p w:rsidR="007A4D59" w:rsidRPr="00E00B35" w:rsidRDefault="007A4D59" w:rsidP="00BC64AB">
      <w:pPr>
        <w:pStyle w:val="Akapitzlist"/>
        <w:numPr>
          <w:ilvl w:val="0"/>
          <w:numId w:val="261"/>
        </w:numPr>
        <w:spacing w:after="0" w:line="312" w:lineRule="auto"/>
        <w:ind w:left="426" w:hanging="426"/>
        <w:rPr>
          <w:rFonts w:cs="Verdana"/>
          <w:bCs/>
          <w:szCs w:val="20"/>
        </w:rPr>
      </w:pPr>
      <w:bookmarkStart w:id="696" w:name="_Hlk43187513"/>
      <w:bookmarkEnd w:id="695"/>
      <w:r w:rsidRPr="00E00B35">
        <w:rPr>
          <w:rFonts w:cs="Verdana"/>
          <w:bCs/>
          <w:szCs w:val="20"/>
        </w:rPr>
        <w:t>Dokumentację projektową dla zadania pn. Budowa placu zabaw w Parku Wschodnim we Wrocławiu,</w:t>
      </w:r>
    </w:p>
    <w:p w:rsidR="00974CAE" w:rsidRPr="00E00B35" w:rsidRDefault="007A4D59" w:rsidP="00BC64AB">
      <w:pPr>
        <w:pStyle w:val="Akapitzlist"/>
        <w:numPr>
          <w:ilvl w:val="0"/>
          <w:numId w:val="261"/>
        </w:numPr>
        <w:spacing w:after="0" w:line="312" w:lineRule="auto"/>
        <w:ind w:left="426" w:hanging="426"/>
        <w:rPr>
          <w:rFonts w:cs="Verdana"/>
          <w:bCs/>
          <w:szCs w:val="20"/>
        </w:rPr>
      </w:pPr>
      <w:bookmarkStart w:id="697" w:name="_Hlk43187568"/>
      <w:bookmarkEnd w:id="696"/>
      <w:r w:rsidRPr="00E00B35">
        <w:rPr>
          <w:rFonts w:cs="Verdana"/>
          <w:bCs/>
          <w:szCs w:val="20"/>
        </w:rPr>
        <w:t xml:space="preserve">Dokumentację projektową dla zadania pn. Toalety we Wrocławskich parkach - </w:t>
      </w:r>
      <w:r w:rsidRPr="00E00B35">
        <w:rPr>
          <w:rFonts w:cs="Verdana"/>
          <w:bCs/>
          <w:szCs w:val="20"/>
        </w:rPr>
        <w:br/>
        <w:t xml:space="preserve">w Parku Strachocińskim, w Parku Staszica, w Parku Mamuta, w Parku Leśnickim </w:t>
      </w:r>
      <w:r w:rsidRPr="00E00B35">
        <w:rPr>
          <w:rFonts w:cs="Verdana"/>
          <w:bCs/>
          <w:szCs w:val="20"/>
        </w:rPr>
        <w:br/>
        <w:t xml:space="preserve">i na zieleńcu przy ul. Hermanowskiej, </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Uzupełnienie ławek w pasie drogowym,</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Zagospodarowanie terenu przy ul. Sanockiej - Etap II,</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Dokumentację projektową dla zadania pn. Budowa chodnika na zieleńcu przy ul. Stacyjnej stanowiącego dojście do stacji Mikołajów od ul. Legnickiej,</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Dokumentację projektową dla zadania pn. Rewitalizację Parku Lesława Węgrzynowskiego przy ul. Kolejowej,</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Zagospodarowanie terenu zieleni przy ul. Średzkiej we Wrocławiu - Stawy Leśnickie - prace wstępne,</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Zagospodarowanie terenu zieleni przy ul. Średzkiej we Wrocławiu - Stawy Leśnickie - opracowanie dokumentacji projektowej zagospodarowania terenu – Część I,</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Dokumentację projektową dla zadania pn. Budowy chodnika na zieleńcu przy ul. Jaworskiej/ Bolkowskiej stanowiącego dojście do stacji Mikołajów – Część I,</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Dokumentację projektową dla zadania pn. Skatepark Wielka Wyspa,</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lastRenderedPageBreak/>
        <w:t>Dokumentację projektową dla zadania pn. Zagospodarowanie terenu zieleni przy ul. Kruczej we Wrocławiu – Część I,</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Prace porządkowe dla zadania pn. Zagospodarowanie terenu zieleni przy ul. Średzkiej we Wrocławiu - Stawy Leśnickie,</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Bulodrom w Parku Jedności,</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Przyłącze elektroenergetyczne i punktu poboru energii dla imprez plenerowych przy ul. Lotniczej we Wrocławiu.</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Budowę placu pod toaletę  i osłon typu trejaż w formie zielonej ściany oraz przyłącze energet</w:t>
      </w:r>
      <w:r w:rsidR="00974CAE" w:rsidRPr="00E00B35">
        <w:rPr>
          <w:rFonts w:cs="Verdana"/>
          <w:bCs/>
          <w:szCs w:val="20"/>
        </w:rPr>
        <w:t>yczne na terenie Wyspy Słodowej.</w:t>
      </w:r>
    </w:p>
    <w:p w:rsidR="007A4D59" w:rsidRPr="00E00B35" w:rsidRDefault="007A4D59" w:rsidP="00E00B35">
      <w:pPr>
        <w:spacing w:after="0" w:line="312" w:lineRule="auto"/>
        <w:ind w:left="426"/>
        <w:rPr>
          <w:rFonts w:cs="Verdana"/>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Ponadto:</w:t>
      </w:r>
    </w:p>
    <w:bookmarkEnd w:id="692"/>
    <w:bookmarkEnd w:id="693"/>
    <w:bookmarkEnd w:id="697"/>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Rozpoczęto Rewitalizację Parku Lesława Węgrzynowskiego przy ul. Kolejowej.</w:t>
      </w:r>
    </w:p>
    <w:p w:rsidR="007A4D59" w:rsidRPr="00E00B35" w:rsidRDefault="007A4D59" w:rsidP="00BC64AB">
      <w:pPr>
        <w:pStyle w:val="Akapitzlist"/>
        <w:numPr>
          <w:ilvl w:val="0"/>
          <w:numId w:val="261"/>
        </w:numPr>
        <w:spacing w:after="0" w:line="312" w:lineRule="auto"/>
        <w:ind w:left="426" w:hanging="426"/>
        <w:rPr>
          <w:rFonts w:cs="Verdana"/>
          <w:bCs/>
          <w:szCs w:val="20"/>
        </w:rPr>
      </w:pPr>
      <w:bookmarkStart w:id="698" w:name="_Hlk30579658"/>
      <w:r w:rsidRPr="00E00B35">
        <w:rPr>
          <w:rFonts w:cs="Verdana"/>
          <w:bCs/>
          <w:szCs w:val="20"/>
        </w:rPr>
        <w:t>INW/330 Program Inicjatyw Rad Osiedli – 110 392,50 zł</w:t>
      </w:r>
    </w:p>
    <w:p w:rsidR="007A4D59" w:rsidRPr="00E00B35" w:rsidRDefault="007A4D59" w:rsidP="00BC64AB">
      <w:pPr>
        <w:pStyle w:val="Akapitzlist"/>
        <w:numPr>
          <w:ilvl w:val="0"/>
          <w:numId w:val="261"/>
        </w:numPr>
        <w:spacing w:after="0" w:line="312" w:lineRule="auto"/>
        <w:ind w:left="426" w:hanging="426"/>
        <w:rPr>
          <w:rFonts w:cs="Verdana"/>
          <w:bCs/>
          <w:szCs w:val="20"/>
        </w:rPr>
      </w:pPr>
      <w:r w:rsidRPr="00E00B35">
        <w:rPr>
          <w:rFonts w:cs="Verdana"/>
          <w:bCs/>
          <w:szCs w:val="20"/>
        </w:rPr>
        <w:t>W ramach zadania w 2020 zrealizowano inwestycję pn. „Oświetlenie strefy wejściowej parku Bieńkowickiego wraz z wykonaniem punktu poboru energii do imprez plenerowych – etap I”.</w:t>
      </w:r>
    </w:p>
    <w:p w:rsidR="007A4D59" w:rsidRPr="00E00B35" w:rsidRDefault="007A4D59" w:rsidP="00BC64AB">
      <w:pPr>
        <w:pStyle w:val="Akapitzlist"/>
        <w:numPr>
          <w:ilvl w:val="0"/>
          <w:numId w:val="261"/>
        </w:numPr>
        <w:spacing w:after="0" w:line="312" w:lineRule="auto"/>
        <w:ind w:left="426" w:hanging="426"/>
        <w:rPr>
          <w:rFonts w:cs="Verdana"/>
          <w:bCs/>
          <w:szCs w:val="20"/>
        </w:rPr>
      </w:pPr>
      <w:bookmarkStart w:id="699" w:name="_Toc71032621"/>
      <w:bookmarkStart w:id="700" w:name="_Toc71034603"/>
      <w:bookmarkEnd w:id="698"/>
      <w:r w:rsidRPr="00E00B35">
        <w:rPr>
          <w:rFonts w:cs="Verdana"/>
          <w:bCs/>
          <w:szCs w:val="20"/>
        </w:rPr>
        <w:t>INW/451 Rewitalizacja Wzgórza Polskiego - Bastionu Ceglanego – ekspertyza - 59 040,00 zł</w:t>
      </w:r>
      <w:bookmarkEnd w:id="699"/>
      <w:bookmarkEnd w:id="700"/>
    </w:p>
    <w:p w:rsidR="007A4D59" w:rsidRPr="00E00B35" w:rsidRDefault="007A4D59" w:rsidP="00E00B35">
      <w:pPr>
        <w:spacing w:after="0" w:line="312" w:lineRule="auto"/>
        <w:outlineLvl w:val="0"/>
        <w:rPr>
          <w:b/>
          <w:szCs w:val="20"/>
        </w:rPr>
      </w:pPr>
    </w:p>
    <w:p w:rsidR="007A4D59" w:rsidRPr="00E00B35" w:rsidRDefault="007A4D59" w:rsidP="00E00B35">
      <w:pPr>
        <w:spacing w:after="0" w:line="312" w:lineRule="auto"/>
        <w:rPr>
          <w:szCs w:val="20"/>
        </w:rPr>
      </w:pPr>
      <w:r w:rsidRPr="00E00B35">
        <w:rPr>
          <w:rFonts w:cs="Calibri"/>
          <w:szCs w:val="20"/>
        </w:rPr>
        <w:t>W ramach środków została opracowana ekspertyza techniczna architektoniczno-budowlana Bastionu Ceglarskiego, obecnie Wzgórza Polskiego przy ul. J.E.Purkyniego we Wrocławiu.</w:t>
      </w:r>
    </w:p>
    <w:p w:rsidR="007A4D59" w:rsidRPr="00E00B35" w:rsidRDefault="007A4D59" w:rsidP="00E00B35">
      <w:pPr>
        <w:spacing w:after="0" w:line="312" w:lineRule="auto"/>
        <w:rPr>
          <w:b/>
          <w:szCs w:val="20"/>
        </w:rPr>
      </w:pPr>
    </w:p>
    <w:p w:rsidR="007A4D59" w:rsidRPr="00E00B35" w:rsidRDefault="007A4D59" w:rsidP="00E00B35">
      <w:pPr>
        <w:pStyle w:val="Nagwek4"/>
        <w:spacing w:before="0" w:after="0" w:line="312" w:lineRule="auto"/>
        <w:rPr>
          <w:b w:val="0"/>
          <w:sz w:val="20"/>
          <w:szCs w:val="20"/>
        </w:rPr>
      </w:pPr>
      <w:bookmarkStart w:id="701" w:name="_Hlk505199097"/>
      <w:r w:rsidRPr="00E00B35">
        <w:rPr>
          <w:b w:val="0"/>
          <w:sz w:val="20"/>
          <w:szCs w:val="20"/>
        </w:rPr>
        <w:t>Realizacja innych programów</w:t>
      </w:r>
    </w:p>
    <w:p w:rsidR="007A4D59" w:rsidRPr="00E00B35" w:rsidRDefault="007A4D59" w:rsidP="00BC64AB">
      <w:pPr>
        <w:pStyle w:val="Akapitzlist"/>
        <w:numPr>
          <w:ilvl w:val="0"/>
          <w:numId w:val="261"/>
        </w:numPr>
        <w:spacing w:after="0" w:line="312" w:lineRule="auto"/>
        <w:ind w:left="426" w:hanging="426"/>
        <w:rPr>
          <w:szCs w:val="20"/>
        </w:rPr>
      </w:pPr>
      <w:bookmarkStart w:id="702" w:name="_Hlk30582386"/>
      <w:bookmarkEnd w:id="701"/>
      <w:r w:rsidRPr="00E00B35">
        <w:rPr>
          <w:rFonts w:cs="Verdana"/>
          <w:bCs/>
          <w:szCs w:val="20"/>
        </w:rPr>
        <w:t>Program</w:t>
      </w:r>
      <w:r w:rsidRPr="00E00B35">
        <w:rPr>
          <w:bCs/>
          <w:szCs w:val="20"/>
        </w:rPr>
        <w:t xml:space="preserve"> zieleni rozproszonej – 200 000,00 zł</w:t>
      </w:r>
      <w:r w:rsidRPr="00E00B35">
        <w:rPr>
          <w:szCs w:val="20"/>
        </w:rPr>
        <w:t xml:space="preserve"> </w:t>
      </w:r>
    </w:p>
    <w:p w:rsidR="007A4D59" w:rsidRPr="00E00B35" w:rsidRDefault="007A4D59" w:rsidP="00E00B35">
      <w:pPr>
        <w:spacing w:after="0" w:line="312" w:lineRule="auto"/>
        <w:rPr>
          <w:bCs/>
          <w:szCs w:val="20"/>
        </w:rPr>
      </w:pPr>
      <w:r w:rsidRPr="00E00B35">
        <w:rPr>
          <w:bCs/>
          <w:szCs w:val="20"/>
        </w:rPr>
        <w:t>Środki zostały wykorzystane na dostawę części materiału roślinnego opisanego w ramach zadania nasadzenia i ukwiecenia terenów zieleni miejskiej. Dodatkowo zrealizowano wnioski szkół i innych gminnych podmiotów na dostawę materiału roślinnego.</w:t>
      </w:r>
      <w:bookmarkStart w:id="703" w:name="_Hlk505186950"/>
      <w:bookmarkEnd w:id="702"/>
    </w:p>
    <w:p w:rsidR="00974CAE" w:rsidRPr="00E00B35" w:rsidRDefault="00974CAE" w:rsidP="00E00B35">
      <w:pPr>
        <w:spacing w:after="0" w:line="312" w:lineRule="auto"/>
        <w:rPr>
          <w:bCs/>
          <w:szCs w:val="20"/>
        </w:rPr>
      </w:pPr>
    </w:p>
    <w:bookmarkEnd w:id="703"/>
    <w:p w:rsidR="007A4D59" w:rsidRPr="00E00B35" w:rsidRDefault="007A4D59" w:rsidP="00BC64AB">
      <w:pPr>
        <w:pStyle w:val="Akapitzlist"/>
        <w:numPr>
          <w:ilvl w:val="0"/>
          <w:numId w:val="261"/>
        </w:numPr>
        <w:spacing w:after="0" w:line="312" w:lineRule="auto"/>
        <w:ind w:left="426" w:hanging="426"/>
        <w:rPr>
          <w:bCs/>
          <w:iCs/>
          <w:szCs w:val="20"/>
        </w:rPr>
      </w:pPr>
      <w:r w:rsidRPr="00E00B35">
        <w:rPr>
          <w:bCs/>
          <w:szCs w:val="20"/>
        </w:rPr>
        <w:t xml:space="preserve">Program </w:t>
      </w:r>
      <w:r w:rsidRPr="00E00B35">
        <w:rPr>
          <w:rFonts w:cs="Verdana"/>
          <w:bCs/>
          <w:szCs w:val="20"/>
        </w:rPr>
        <w:t>poprawy</w:t>
      </w:r>
      <w:r w:rsidRPr="00E00B35">
        <w:rPr>
          <w:bCs/>
          <w:szCs w:val="20"/>
        </w:rPr>
        <w:t xml:space="preserve"> estetyki i zagospodarowania rekreacyjnego miasta  - </w:t>
      </w:r>
      <w:r w:rsidRPr="00E00B35">
        <w:rPr>
          <w:bCs/>
          <w:szCs w:val="20"/>
        </w:rPr>
        <w:br/>
      </w:r>
      <w:r w:rsidRPr="00E00B35">
        <w:rPr>
          <w:rFonts w:cs="Verdana"/>
          <w:bCs/>
          <w:szCs w:val="20"/>
        </w:rPr>
        <w:t>945 404,08 zł</w:t>
      </w:r>
    </w:p>
    <w:p w:rsidR="007A4D59" w:rsidRPr="00E00B35" w:rsidRDefault="007A4D59" w:rsidP="00E00B35">
      <w:pPr>
        <w:pStyle w:val="Nagwek4"/>
        <w:spacing w:before="0" w:after="0" w:line="312" w:lineRule="auto"/>
        <w:rPr>
          <w:b w:val="0"/>
          <w:sz w:val="20"/>
          <w:szCs w:val="20"/>
        </w:rPr>
      </w:pPr>
      <w:r w:rsidRPr="00E00B35">
        <w:rPr>
          <w:b w:val="0"/>
          <w:sz w:val="20"/>
          <w:szCs w:val="20"/>
        </w:rPr>
        <w:t xml:space="preserve">W ramach przyznanych środków w 2020 roku wykonano m.in.: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przeglądy  techniczne  wraz z  podstawową konserwacją urządzeń zabawowych na placach zabaw dla dzieci, siłowniach terenowych i obiektach kalisteniki oraz ścieżkach zdrowia w parkach i na zieleńcach, będących pod zarządem ZZM,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fabryczną naprawę urządzeń siłowni zewnętrznej w Parku Staszica,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naprawy urządzeń zabawowych na placach zabaw dla dzieci, siłowniach terenowych oraz ścieżkach zdrowia w parkach i na zieleńcach, będących pod zarządem ZZM,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naprawa urządzeń siłowni zewnętrznej w Parku Staszica,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naprawy interwencyjne związane z aktami wandalizmu i prace konserwacyjne na placach zabaw m.in. dostawę siedzisk do huśtawek w lokalizacjach: Park </w:t>
      </w:r>
      <w:r w:rsidRPr="00E00B35">
        <w:rPr>
          <w:szCs w:val="20"/>
        </w:rPr>
        <w:lastRenderedPageBreak/>
        <w:t>Szczytnicki, Park Brochowski, zieleniec ul. Wędkarzy, zieleniec przy ul. Ołowianej – Kłośnej,</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dostawa tablicy regulaminowej na plac zabaw w Parku Złotnickim,</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montaż urządzeń zabawowych, siłowni terenowych oraz małej architektury zakupionych w ramach umowy z roku 2019 w lokalizacjach: Plac Pereca, Park Staszica, Park M. Dąbrowskiej, Park Tołpy, zieleniec przy ul. Mrągowskiej, Skwer Z. Krasińskiego, zieleniec przy ul. Przedwiośnie Park Kopernika – Ogród Staromiejski, Park Staszica, zieleniec przy ul. Osinieckiej, zieleniec przy ul. Wędkarzy, Osobowickiej 107, zieleniec przy ul. Rubinowej, Park Złotnicki.</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dostawa wraz z montażem urządzeń i małej architektury na place zabaw na zieleńcach przy ul. Gołębiej, przy ul. Sztabowej/Drukarskiej, Kłokoczyckiej, przy ul. Śląskiej – Stadion, na Wyspie Bielarskiej, w Parku Strachowickim, Parku Leśnickim, Parku Południowym, Parku Skowronim, Parku Mamuta, Ekoparku Stabłowice przy ul. Jeleniogórskiej, w Parku Grabiszyńskim, w Parku Szczytnickim, w Parku Złotnickim,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kontrolę pomontażową dla urządzeń zamontowanych w lokalizacjach wskazanych powyżej,</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dostawę i montaż ogrodzenia na placu zabaw NIVEA przy ul. Jesionowej,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wymianę pól amortyzujących wraz z demontażem w lokalizacjach: zieleniec przy ul. Osobowickiej, zieleniec przy ul. Rubinowej, zieleniec przy ul. Sztabowej/Drukarskiej, Park Złotnicki,</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dostawę maty do skakania w urządzeniu trampolina w Parku Tołpy.</w:t>
      </w:r>
    </w:p>
    <w:p w:rsidR="00974CAE" w:rsidRPr="00E00B35" w:rsidRDefault="00974CAE" w:rsidP="00E00B35">
      <w:pPr>
        <w:pStyle w:val="Akapitzlist"/>
        <w:tabs>
          <w:tab w:val="left" w:pos="0"/>
          <w:tab w:val="left" w:pos="426"/>
        </w:tabs>
        <w:spacing w:after="0" w:line="312" w:lineRule="auto"/>
        <w:ind w:left="851"/>
        <w:rPr>
          <w:szCs w:val="20"/>
        </w:rPr>
      </w:pPr>
    </w:p>
    <w:p w:rsidR="007A4D59" w:rsidRPr="00E00B35" w:rsidRDefault="007A4D59" w:rsidP="00BC64AB">
      <w:pPr>
        <w:pStyle w:val="Akapitzlist"/>
        <w:numPr>
          <w:ilvl w:val="0"/>
          <w:numId w:val="261"/>
        </w:numPr>
        <w:spacing w:after="0" w:line="312" w:lineRule="auto"/>
        <w:ind w:left="426" w:hanging="426"/>
        <w:rPr>
          <w:szCs w:val="20"/>
        </w:rPr>
      </w:pPr>
      <w:r w:rsidRPr="00E00B35">
        <w:rPr>
          <w:bCs/>
          <w:szCs w:val="20"/>
        </w:rPr>
        <w:t>Eksploatacja fontanny multimedialnej – 29 642,52 zł</w:t>
      </w:r>
      <w:r w:rsidRPr="00E00B35">
        <w:rPr>
          <w:szCs w:val="20"/>
        </w:rPr>
        <w:t xml:space="preserve"> </w:t>
      </w:r>
    </w:p>
    <w:p w:rsidR="007A4D59" w:rsidRPr="00E00B35" w:rsidRDefault="007A4D59" w:rsidP="00E00B35">
      <w:pPr>
        <w:spacing w:after="0" w:line="312" w:lineRule="auto"/>
        <w:rPr>
          <w:szCs w:val="20"/>
        </w:rPr>
      </w:pPr>
      <w:r w:rsidRPr="00E00B35">
        <w:rPr>
          <w:szCs w:val="20"/>
        </w:rPr>
        <w:t>W 2020 roku środki wykorzystano na pokrycie kosztów za najem pomieszczeń w budynku Wrocławskiego Centrum Kongresowego dla potrzeb zasilania fontanny.</w:t>
      </w:r>
    </w:p>
    <w:p w:rsidR="007A4D59" w:rsidRPr="00E00B35" w:rsidRDefault="007A4D59" w:rsidP="00E00B35">
      <w:pPr>
        <w:spacing w:after="0" w:line="312" w:lineRule="auto"/>
        <w:rPr>
          <w:b/>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Realizacja innych zadań</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Oczyszczanie miast i wsi – 369 </w:t>
      </w:r>
      <w:r w:rsidRPr="00E00B35">
        <w:rPr>
          <w:bCs/>
          <w:szCs w:val="20"/>
        </w:rPr>
        <w:t>944</w:t>
      </w:r>
      <w:r w:rsidRPr="00E00B35">
        <w:rPr>
          <w:szCs w:val="20"/>
        </w:rPr>
        <w:t>,84 zł</w:t>
      </w:r>
    </w:p>
    <w:p w:rsidR="007A4D59" w:rsidRPr="00E00B35" w:rsidRDefault="007A4D59" w:rsidP="00E00B35">
      <w:pPr>
        <w:pStyle w:val="Tekstpodstawowy3"/>
        <w:spacing w:after="0" w:line="312" w:lineRule="auto"/>
        <w:rPr>
          <w:sz w:val="20"/>
          <w:szCs w:val="20"/>
        </w:rPr>
      </w:pPr>
      <w:r w:rsidRPr="00E00B35">
        <w:rPr>
          <w:sz w:val="20"/>
          <w:szCs w:val="20"/>
        </w:rPr>
        <w:t>W ramach zadania zrealizowano:</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usuwanie odpadów z gminnych terenów rolnych: ul. Zakopiańska, Wietrzna, Poranna, Róży Wiatrów, Życzliwa, Czekoladowa, Jutrzenki, Laotańska, Grapowa,  Mościckiego, Bytomska/Głubczycka, Popielskiego, Brochowska, Na Grobli, Krzywa Grobla, Stanów Zjednoczonych, Wilcza, Kamieńskiego, Jerzmanowska, Maślicka, Kosiby, Ignuta,  Chałupnicza, Karpnicka, Główna,  Arbuzowa, Rodzynkowa, Piechowicka, Mieszczańska, Bystrzycka, Buczacka, Prochowicka/Dolnobrzeska, Promenada, Żernicka/Konińska, Starogajowa/Przesiecka, Jaksonowicka, Prężycka, Aleja Architektów, Konińska/Ryżowa, Jeleniogórska, Racławicka, Sarbinowska, Rdestowa, Żwirowa, Mościckiego, Szwajcarska, Popielskiego, Na Niskich Łąkach, Opolska, Wielkopolska, Mrągowska, Kowalska, Strachocińska, Urbanowicza, Kunickiego, Terenowa, Petuniowa, Awicenny, Przednia, Wiaduktowa, Stanisławowska, Ćwiczebna, Sołtysowicka, Kamieńskiego, Paprotna, Żmigrodzka/Pakosławska,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lastRenderedPageBreak/>
        <w:t xml:space="preserve">koszenie terenu: ul. Zakopiańska, Wietrzna, Poranna, Róży Wiatrów, Życzliwa, Czekoladowa, Grapowa, Stanów Zjednocznonych, Serowarska, Przylaszczkowa, Jerzmanowska, Przylaszczkowa, Uciechowska, Główna, Kozanowska/Pałucka, Błotna, Maślicka, Brodzka, Chełmska, Bytomska/Głubczycka, Kruszcowa, Wojanowska, Rodzynkowa, Piechowicka, Mieszczańska, Bystrzycka, Buczacka, Promenada, Żernicka/Konińska, Starogajowa/Przesiecka, Jaksonowicka, Racławicka, Na Grobli, Na Niskich Łąkach, Wielkopolska, Mrągowska, Suwalska, Kowalska, Strachocińska, Urbanowicza, Ceglana, Petuniowa, Stanisławowska, Kamieńskiego, Paprotna, Żmigrodzka/Pakosławska,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likwidacja ogrodzenia, ogrodzenie terenu siatką leśną: ul. Zakopiańska, Wietrzna, Zatorska, Kamieńskiego, Prochowicka/Dolnobrzeska, Kunickiego, Paprotna, Żmigrodzka/Pakosławska,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przycinanie krzewów: ul. Pełczyńska, Róży Wiatrów, Jaksonowicka, Eluarda, Suwalska, Strachocińska,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pielęgnacja drzew, w tym ręczne usuwanie jemioły: ul. Pełczyńska, Rubczaka, Wietrzna, Brochowska, Kowalska, Wilcza, Modlińska, Arbuzowa, Rodzynkowa, Jaksonowicka, Prężycka, Aleja Architektów, Kunickiego,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wycinka drzewa: Kunickiego,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montaż słupka blokującego: ul. Buczacka,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usunięcie wywrotu/złomu drzewa: ul. Kwiska, Wilcza, Rakowa,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rozbiórka altanek: ul. Zakopiańska, Wietrzna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wykonanie i montaż tablicy informacyjnej: ul. Kamieńskiego, Awicenny, Jaksonowicka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plantowanie i wyrównanie gruntu: ul. Pełczyńska,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talerzowanie gruntu: ul. Grapowa, Awicenny,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orka głęboka: ul. Kamieńskiego,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transport i ustawienie barier betonowych: ul. Kamieńskiego,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monitorowanie terenów gminnych: ul. Kamieńskiego, Paprotna, Żmigrodzka /Pakosławska,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usługa saperska: ul. Mieszczańska,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zamieszczenia ogłoszenia w prasie o zamiarze wydzierżawienia gruntu rolnego. </w:t>
      </w:r>
    </w:p>
    <w:p w:rsidR="006219D8" w:rsidRPr="00E00B35" w:rsidRDefault="006219D8" w:rsidP="00E00B35">
      <w:pPr>
        <w:pStyle w:val="Akapitzlist"/>
        <w:tabs>
          <w:tab w:val="left" w:pos="0"/>
          <w:tab w:val="left" w:pos="426"/>
        </w:tabs>
        <w:spacing w:after="0" w:line="312" w:lineRule="auto"/>
        <w:ind w:left="851"/>
        <w:rPr>
          <w:szCs w:val="20"/>
        </w:rPr>
      </w:pPr>
    </w:p>
    <w:p w:rsidR="00974CAE" w:rsidRPr="00E00B35" w:rsidRDefault="00974CAE" w:rsidP="00E00B35">
      <w:pPr>
        <w:pStyle w:val="Akapitzlist"/>
        <w:tabs>
          <w:tab w:val="left" w:pos="0"/>
          <w:tab w:val="left" w:pos="426"/>
        </w:tabs>
        <w:spacing w:after="0" w:line="312" w:lineRule="auto"/>
        <w:ind w:left="851"/>
        <w:rPr>
          <w:szCs w:val="20"/>
        </w:rPr>
      </w:pPr>
    </w:p>
    <w:p w:rsidR="007A4D59" w:rsidRPr="00E00B35" w:rsidRDefault="007A4D59" w:rsidP="00BC64AB">
      <w:pPr>
        <w:pStyle w:val="Akapitzlist"/>
        <w:numPr>
          <w:ilvl w:val="0"/>
          <w:numId w:val="261"/>
        </w:numPr>
        <w:spacing w:after="0" w:line="312" w:lineRule="auto"/>
        <w:ind w:left="426" w:hanging="426"/>
        <w:rPr>
          <w:szCs w:val="20"/>
        </w:rPr>
      </w:pPr>
      <w:bookmarkStart w:id="704" w:name="_Hlk30597218"/>
      <w:bookmarkStart w:id="705" w:name="_Hlk62197836"/>
      <w:r w:rsidRPr="00E00B35">
        <w:rPr>
          <w:szCs w:val="20"/>
        </w:rPr>
        <w:t>uporządkowanie terenów gminnych – 52 374,52 zł</w:t>
      </w:r>
    </w:p>
    <w:p w:rsidR="007A4D59" w:rsidRPr="00E00B35" w:rsidRDefault="007A4D59" w:rsidP="00E00B35">
      <w:pPr>
        <w:pStyle w:val="Tekstpodstawowy3"/>
        <w:spacing w:after="0" w:line="312" w:lineRule="auto"/>
        <w:rPr>
          <w:sz w:val="20"/>
          <w:szCs w:val="20"/>
        </w:rPr>
      </w:pPr>
      <w:r w:rsidRPr="00E00B35">
        <w:rPr>
          <w:sz w:val="20"/>
          <w:szCs w:val="20"/>
        </w:rPr>
        <w:t xml:space="preserve">Przyznane w 2020r. środki zostały przeznaczone na realizację zadań związanych z uporządkowaniem terenów będących własnością Gminy,  nie przekazanych do </w:t>
      </w:r>
      <w:bookmarkEnd w:id="704"/>
      <w:r w:rsidRPr="00E00B35">
        <w:rPr>
          <w:sz w:val="20"/>
          <w:szCs w:val="20"/>
        </w:rPr>
        <w:t xml:space="preserve">bezpośredniego zarządzania, m.in. w zakresie koszenia terenów zieleni, </w:t>
      </w:r>
      <w:bookmarkEnd w:id="705"/>
      <w:r w:rsidRPr="00E00B35">
        <w:rPr>
          <w:sz w:val="20"/>
          <w:szCs w:val="20"/>
        </w:rPr>
        <w:t xml:space="preserve">wycinki i pielęgnacji drzew, likwidacji nielegalnych wysypisk śmieci.  </w:t>
      </w:r>
    </w:p>
    <w:p w:rsidR="006219D8" w:rsidRPr="00E00B35" w:rsidRDefault="006219D8" w:rsidP="00E00B35">
      <w:pPr>
        <w:pStyle w:val="Tekstpodstawowy3"/>
        <w:spacing w:after="0" w:line="312" w:lineRule="auto"/>
        <w:rPr>
          <w:sz w:val="20"/>
          <w:szCs w:val="20"/>
        </w:rPr>
      </w:pPr>
    </w:p>
    <w:p w:rsidR="007A4D59" w:rsidRPr="00E00B35" w:rsidRDefault="007A4D59" w:rsidP="00E00B35">
      <w:pPr>
        <w:spacing w:after="0" w:line="312" w:lineRule="auto"/>
        <w:rPr>
          <w:szCs w:val="20"/>
        </w:rPr>
      </w:pPr>
      <w:r w:rsidRPr="00E00B35">
        <w:rPr>
          <w:szCs w:val="20"/>
        </w:rPr>
        <w:t xml:space="preserve">W ramach przyznanych środków w 2020 roku wykonano m.in.: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bookmarkStart w:id="706" w:name="_Hlk30584483"/>
      <w:bookmarkStart w:id="707" w:name="_Hlk30584403"/>
      <w:r w:rsidRPr="00E00B35">
        <w:rPr>
          <w:szCs w:val="20"/>
        </w:rPr>
        <w:t xml:space="preserve">usuwanie odpadów </w:t>
      </w:r>
      <w:bookmarkEnd w:id="706"/>
      <w:r w:rsidRPr="00E00B35">
        <w:rPr>
          <w:szCs w:val="20"/>
        </w:rPr>
        <w:t xml:space="preserve">z terenów zielonych będących pod zarządem WNK: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Rejon Dworca Nadodrze, ul. Orzechowa, Pałucka/Kozanowska, Sportowa, Dębickiego,  Mielczarskiego, Kromera, Żabia Ścieżka, Krakowska, Koszarowa, </w:t>
      </w:r>
      <w:r w:rsidRPr="00E00B35">
        <w:rPr>
          <w:szCs w:val="20"/>
        </w:rPr>
        <w:lastRenderedPageBreak/>
        <w:t>Pilczycka, Radosna, Świeradowska, 3 Maja, Wyścigowa, Iracka, Bałtycka, Modra/Gołężycka, Rakowa, Mianowskiego,</w:t>
      </w:r>
    </w:p>
    <w:bookmarkEnd w:id="707"/>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koszenie terenu: ul. Rejon Dworca Nadodrze, ul. Orzechowa, Pałucka/Kozanowska, Sportowa, Dębickiego,  Mielczarskiego, Kromera, Żabia Ścieżka, Krakowska, Koszarowa, Pilczycka, Radosna, Świeradowska, 3 Maja, Wyścigowa, Iracka, Bałtycka, Modra/Gołężycka, Rakowa, Mianowskiego,</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pielęgnacja i wycinka drzew i krzewów: ul. Stawowa, Komuny Paryskiej, Kromera, Bystrzycka, Koszykarska, Pałucka, Pilczycka, Orzechowa, Iracka, Bałtycka, rejon Dworca Nadodrze, Koszarowa, Centralna,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przycięcie krzewów: Pałucka, Kozanowska.</w:t>
      </w:r>
    </w:p>
    <w:p w:rsidR="00BD18B3" w:rsidRPr="00E00B35" w:rsidRDefault="00BD18B3" w:rsidP="00E00B35">
      <w:pPr>
        <w:pStyle w:val="Akapitzlist"/>
        <w:tabs>
          <w:tab w:val="left" w:pos="0"/>
          <w:tab w:val="left" w:pos="426"/>
        </w:tabs>
        <w:spacing w:after="0" w:line="312" w:lineRule="auto"/>
        <w:ind w:left="851"/>
        <w:rPr>
          <w:szCs w:val="20"/>
        </w:rPr>
      </w:pP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Zadanie powiatu zlecone – utrzymanie w czystości terenów należących </w:t>
      </w:r>
      <w:r w:rsidRPr="00E00B35">
        <w:rPr>
          <w:szCs w:val="20"/>
        </w:rPr>
        <w:br/>
        <w:t>do Skarbu Państwa – 4 898,05</w:t>
      </w:r>
      <w:r w:rsidRPr="00E00B35">
        <w:rPr>
          <w:rFonts w:cs="Arial"/>
          <w:szCs w:val="20"/>
        </w:rPr>
        <w:t xml:space="preserve"> </w:t>
      </w:r>
      <w:r w:rsidRPr="00E00B35">
        <w:rPr>
          <w:szCs w:val="20"/>
        </w:rPr>
        <w:t>zł</w:t>
      </w:r>
    </w:p>
    <w:p w:rsidR="007A4D59" w:rsidRPr="00E00B35" w:rsidRDefault="007A4D59" w:rsidP="00E00B35">
      <w:pPr>
        <w:spacing w:after="0" w:line="312" w:lineRule="auto"/>
        <w:rPr>
          <w:bCs/>
          <w:szCs w:val="20"/>
        </w:rPr>
      </w:pPr>
      <w:r w:rsidRPr="00E00B35">
        <w:rPr>
          <w:bCs/>
          <w:szCs w:val="20"/>
        </w:rPr>
        <w:t>Przyznane w 2020</w:t>
      </w:r>
      <w:r w:rsidR="00BD18B3" w:rsidRPr="00E00B35">
        <w:rPr>
          <w:bCs/>
          <w:szCs w:val="20"/>
        </w:rPr>
        <w:t xml:space="preserve"> </w:t>
      </w:r>
      <w:r w:rsidRPr="00E00B35">
        <w:rPr>
          <w:bCs/>
          <w:szCs w:val="20"/>
        </w:rPr>
        <w:t>r. środki zostały wykorzystane na realizację prac interwencyjnych przeprowadzonych na terenac</w:t>
      </w:r>
      <w:r w:rsidR="00BD18B3" w:rsidRPr="00E00B35">
        <w:rPr>
          <w:bCs/>
          <w:szCs w:val="20"/>
        </w:rPr>
        <w:t xml:space="preserve">h należących do Skarbu Państwa </w:t>
      </w:r>
    </w:p>
    <w:p w:rsidR="007A4D59" w:rsidRPr="00E00B35" w:rsidRDefault="007A4D59" w:rsidP="00E00B35">
      <w:pPr>
        <w:pStyle w:val="Nagwek4"/>
        <w:spacing w:before="0" w:after="0" w:line="312" w:lineRule="auto"/>
        <w:rPr>
          <w:b w:val="0"/>
          <w:sz w:val="20"/>
          <w:szCs w:val="20"/>
        </w:rPr>
      </w:pPr>
      <w:r w:rsidRPr="00E00B35">
        <w:rPr>
          <w:b w:val="0"/>
          <w:sz w:val="20"/>
          <w:szCs w:val="20"/>
        </w:rPr>
        <w:t>W ramach zadania wykonano:</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usunięcie wywrotu lub złomu drzewa: ul. Popowicka,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porządkowanie terenu, usuwanie dzikich wysypisk, sprzątanie powierzchniowe terenu: ul. Okulickiego, Wyspa Opatowicka, Budziszyńska, Braterska, Fryzjerska,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przycięcie krzewów: ul. Budziszyńska.</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 xml:space="preserve">pielęgnacja drzew: ul. Ignuta, Wyspa Opatowicka, Budziszyńska, </w:t>
      </w:r>
    </w:p>
    <w:p w:rsidR="007A4D59" w:rsidRPr="00E00B35" w:rsidRDefault="007A4D59" w:rsidP="00BC64AB">
      <w:pPr>
        <w:pStyle w:val="Akapitzlist"/>
        <w:numPr>
          <w:ilvl w:val="1"/>
          <w:numId w:val="260"/>
        </w:numPr>
        <w:tabs>
          <w:tab w:val="left" w:pos="0"/>
          <w:tab w:val="left" w:pos="426"/>
        </w:tabs>
        <w:spacing w:after="0" w:line="312" w:lineRule="auto"/>
        <w:ind w:left="851" w:hanging="425"/>
        <w:rPr>
          <w:szCs w:val="20"/>
        </w:rPr>
      </w:pPr>
      <w:r w:rsidRPr="00E00B35">
        <w:rPr>
          <w:szCs w:val="20"/>
        </w:rPr>
        <w:t>wycinka drzew: ul. Polanowicka, Sztabowa,</w:t>
      </w:r>
    </w:p>
    <w:p w:rsidR="007A4D59" w:rsidRPr="00E00B35" w:rsidRDefault="007A4D59" w:rsidP="00E00B35">
      <w:pPr>
        <w:tabs>
          <w:tab w:val="num" w:pos="0"/>
          <w:tab w:val="left" w:pos="284"/>
        </w:tabs>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 xml:space="preserve">Zestawienie analityczne głównych zadań realizowanych w latach 2017-2020: </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Powierzchnia terenów objętych bieżącą konserwacją</w:t>
      </w:r>
    </w:p>
    <w:p w:rsidR="007A4D59" w:rsidRPr="00E00B35" w:rsidRDefault="007A4D59" w:rsidP="00E00B35">
      <w:pPr>
        <w:spacing w:after="0" w:line="312" w:lineRule="auto"/>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gridCol w:w="2704"/>
        <w:gridCol w:w="1538"/>
        <w:gridCol w:w="1539"/>
        <w:gridCol w:w="1539"/>
        <w:gridCol w:w="1410"/>
      </w:tblGrid>
      <w:tr w:rsidR="007A4D59" w:rsidRPr="00E00B35" w:rsidTr="006D3493">
        <w:trPr>
          <w:cantSplit/>
          <w:trHeight w:val="116"/>
        </w:trPr>
        <w:tc>
          <w:tcPr>
            <w:tcW w:w="556" w:type="dxa"/>
            <w:vMerge w:val="restart"/>
          </w:tcPr>
          <w:p w:rsidR="007A4D59" w:rsidRPr="00E00B35" w:rsidRDefault="007A4D59" w:rsidP="00E00B35">
            <w:pPr>
              <w:spacing w:after="0" w:line="312" w:lineRule="auto"/>
              <w:rPr>
                <w:rFonts w:eastAsia="Calibri" w:cs="Arial"/>
                <w:szCs w:val="20"/>
              </w:rPr>
            </w:pPr>
            <w:r w:rsidRPr="00E00B35">
              <w:rPr>
                <w:rFonts w:eastAsia="Calibri" w:cs="Arial"/>
                <w:szCs w:val="20"/>
              </w:rPr>
              <w:t>Lp.</w:t>
            </w:r>
          </w:p>
        </w:tc>
        <w:tc>
          <w:tcPr>
            <w:tcW w:w="2704" w:type="dxa"/>
            <w:vMerge w:val="restart"/>
          </w:tcPr>
          <w:p w:rsidR="007A4D59" w:rsidRPr="00E00B35" w:rsidRDefault="007A4D59" w:rsidP="00E00B35">
            <w:pPr>
              <w:spacing w:after="0" w:line="312" w:lineRule="auto"/>
              <w:rPr>
                <w:rFonts w:eastAsia="Calibri" w:cs="Arial"/>
                <w:szCs w:val="20"/>
              </w:rPr>
            </w:pPr>
            <w:r w:rsidRPr="00E00B35">
              <w:rPr>
                <w:rFonts w:eastAsia="Calibri" w:cs="Arial"/>
                <w:szCs w:val="20"/>
              </w:rPr>
              <w:t>Rodzaj obiektów</w:t>
            </w:r>
          </w:p>
        </w:tc>
        <w:tc>
          <w:tcPr>
            <w:tcW w:w="6026" w:type="dxa"/>
            <w:gridSpan w:val="4"/>
          </w:tcPr>
          <w:p w:rsidR="007A4D59" w:rsidRPr="00E00B35" w:rsidRDefault="007A4D59" w:rsidP="00E00B35">
            <w:pPr>
              <w:spacing w:after="0" w:line="312" w:lineRule="auto"/>
              <w:rPr>
                <w:rFonts w:eastAsia="Calibri" w:cs="Arial"/>
                <w:szCs w:val="20"/>
              </w:rPr>
            </w:pPr>
            <w:r w:rsidRPr="00E00B35">
              <w:rPr>
                <w:rFonts w:eastAsia="Calibri" w:cs="Arial"/>
                <w:szCs w:val="20"/>
              </w:rPr>
              <w:t>Wykaz powierzchni (ha)</w:t>
            </w:r>
          </w:p>
        </w:tc>
      </w:tr>
      <w:tr w:rsidR="007A4D59" w:rsidRPr="00E00B35" w:rsidTr="006D3493">
        <w:trPr>
          <w:cantSplit/>
          <w:trHeight w:val="115"/>
        </w:trPr>
        <w:tc>
          <w:tcPr>
            <w:tcW w:w="556" w:type="dxa"/>
            <w:vMerge/>
          </w:tcPr>
          <w:p w:rsidR="007A4D59" w:rsidRPr="00E00B35" w:rsidRDefault="007A4D59" w:rsidP="00E00B35">
            <w:pPr>
              <w:spacing w:after="0" w:line="312" w:lineRule="auto"/>
              <w:rPr>
                <w:rFonts w:eastAsia="Calibri" w:cs="Arial"/>
                <w:szCs w:val="20"/>
              </w:rPr>
            </w:pPr>
          </w:p>
        </w:tc>
        <w:tc>
          <w:tcPr>
            <w:tcW w:w="2704" w:type="dxa"/>
            <w:vMerge/>
          </w:tcPr>
          <w:p w:rsidR="007A4D59" w:rsidRPr="00E00B35" w:rsidRDefault="007A4D59" w:rsidP="00E00B35">
            <w:pPr>
              <w:spacing w:after="0" w:line="312" w:lineRule="auto"/>
              <w:rPr>
                <w:rFonts w:eastAsia="Calibri" w:cs="Arial"/>
                <w:szCs w:val="20"/>
              </w:rPr>
            </w:pP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2017</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2018</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2019</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2020</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1</w:t>
            </w:r>
          </w:p>
        </w:tc>
        <w:tc>
          <w:tcPr>
            <w:tcW w:w="2704" w:type="dxa"/>
          </w:tcPr>
          <w:p w:rsidR="007A4D59" w:rsidRPr="00E00B35" w:rsidRDefault="007A4D59" w:rsidP="00E00B35">
            <w:pPr>
              <w:spacing w:after="0" w:line="312" w:lineRule="auto"/>
              <w:rPr>
                <w:rFonts w:eastAsia="Calibri" w:cs="Arial"/>
                <w:szCs w:val="20"/>
              </w:rPr>
            </w:pPr>
            <w:r w:rsidRPr="00E00B35">
              <w:rPr>
                <w:rFonts w:eastAsia="Calibri" w:cs="Arial"/>
                <w:szCs w:val="20"/>
              </w:rPr>
              <w:t>Parki</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567,57</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574,48</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623,39</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631,41</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2</w:t>
            </w:r>
          </w:p>
        </w:tc>
        <w:tc>
          <w:tcPr>
            <w:tcW w:w="2704" w:type="dxa"/>
          </w:tcPr>
          <w:p w:rsidR="007A4D59" w:rsidRPr="00E00B35" w:rsidRDefault="007A4D59" w:rsidP="00E00B35">
            <w:pPr>
              <w:spacing w:after="0" w:line="312" w:lineRule="auto"/>
              <w:rPr>
                <w:rFonts w:eastAsia="Calibri" w:cs="Arial"/>
                <w:szCs w:val="20"/>
              </w:rPr>
            </w:pPr>
            <w:r w:rsidRPr="00E00B35">
              <w:rPr>
                <w:rFonts w:eastAsia="Calibri" w:cs="Arial"/>
                <w:szCs w:val="20"/>
              </w:rPr>
              <w:t>Ulice (bez pow. rowów)</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557,72</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557,72</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562,46</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562,46</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3</w:t>
            </w:r>
          </w:p>
        </w:tc>
        <w:tc>
          <w:tcPr>
            <w:tcW w:w="2704" w:type="dxa"/>
          </w:tcPr>
          <w:p w:rsidR="007A4D59" w:rsidRPr="00E00B35" w:rsidRDefault="007A4D59" w:rsidP="00E00B35">
            <w:pPr>
              <w:spacing w:after="0" w:line="312" w:lineRule="auto"/>
              <w:rPr>
                <w:rFonts w:eastAsia="Calibri" w:cs="Arial"/>
                <w:szCs w:val="20"/>
              </w:rPr>
            </w:pPr>
            <w:r w:rsidRPr="00E00B35">
              <w:rPr>
                <w:rFonts w:eastAsia="Calibri" w:cs="Arial"/>
                <w:szCs w:val="20"/>
              </w:rPr>
              <w:t>Lasy, parki leśne, tereny leśne</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1 242,38</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1 242,38</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1 191,73</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1 191,73</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4</w:t>
            </w:r>
          </w:p>
        </w:tc>
        <w:tc>
          <w:tcPr>
            <w:tcW w:w="2704" w:type="dxa"/>
          </w:tcPr>
          <w:p w:rsidR="007A4D59" w:rsidRPr="00E00B35" w:rsidRDefault="007A4D59" w:rsidP="00E00B35">
            <w:pPr>
              <w:spacing w:after="0" w:line="312" w:lineRule="auto"/>
              <w:rPr>
                <w:rFonts w:eastAsia="Calibri" w:cs="Arial"/>
                <w:szCs w:val="20"/>
              </w:rPr>
            </w:pPr>
            <w:r w:rsidRPr="00E00B35">
              <w:rPr>
                <w:rFonts w:eastAsia="Calibri" w:cs="Arial"/>
                <w:szCs w:val="20"/>
              </w:rPr>
              <w:t>Zieleńce</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128,28</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133,19</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151,91</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162,54</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5</w:t>
            </w:r>
          </w:p>
        </w:tc>
        <w:tc>
          <w:tcPr>
            <w:tcW w:w="2704" w:type="dxa"/>
          </w:tcPr>
          <w:p w:rsidR="007A4D59" w:rsidRPr="00E00B35" w:rsidRDefault="007A4D59" w:rsidP="00E00B35">
            <w:pPr>
              <w:spacing w:after="0" w:line="312" w:lineRule="auto"/>
              <w:rPr>
                <w:rFonts w:eastAsia="Calibri" w:cs="Arial"/>
                <w:szCs w:val="20"/>
              </w:rPr>
            </w:pPr>
            <w:r w:rsidRPr="00E00B35">
              <w:rPr>
                <w:rFonts w:eastAsia="Calibri" w:cs="Arial"/>
                <w:szCs w:val="20"/>
              </w:rPr>
              <w:t xml:space="preserve">Zieleń tymczasowa </w:t>
            </w:r>
            <w:r w:rsidRPr="00E00B35">
              <w:rPr>
                <w:rFonts w:eastAsia="Calibri" w:cs="Arial"/>
                <w:szCs w:val="20"/>
              </w:rPr>
              <w:br/>
              <w:t>i nieurządzona</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102,51</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125,42</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125,55</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129,09</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p>
        </w:tc>
        <w:tc>
          <w:tcPr>
            <w:tcW w:w="2704" w:type="dxa"/>
          </w:tcPr>
          <w:p w:rsidR="007A4D59" w:rsidRPr="00E00B35" w:rsidRDefault="007A4D59" w:rsidP="00E00B35">
            <w:pPr>
              <w:spacing w:after="0" w:line="312" w:lineRule="auto"/>
              <w:rPr>
                <w:rFonts w:eastAsia="Calibri" w:cs="Arial"/>
                <w:szCs w:val="20"/>
              </w:rPr>
            </w:pPr>
            <w:r w:rsidRPr="00E00B35">
              <w:rPr>
                <w:rFonts w:eastAsia="Calibri" w:cs="Arial"/>
                <w:szCs w:val="20"/>
              </w:rPr>
              <w:t xml:space="preserve">Ogółem </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2 598,46</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2 633,19</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2 655,04</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2 677,23</w:t>
            </w:r>
          </w:p>
        </w:tc>
      </w:tr>
    </w:tbl>
    <w:p w:rsidR="007A4D59" w:rsidRPr="00E00B35" w:rsidRDefault="007A4D59" w:rsidP="00E00B35">
      <w:pPr>
        <w:pStyle w:val="Nagwek20"/>
        <w:spacing w:after="0" w:line="312" w:lineRule="auto"/>
        <w:rPr>
          <w:b w:val="0"/>
          <w:sz w:val="20"/>
          <w:szCs w:val="20"/>
        </w:rPr>
      </w:pPr>
    </w:p>
    <w:p w:rsidR="007A4D59" w:rsidRPr="00E00B35" w:rsidRDefault="007A4D59" w:rsidP="00E00B35">
      <w:pPr>
        <w:spacing w:after="0" w:line="312" w:lineRule="auto"/>
        <w:rPr>
          <w:szCs w:val="20"/>
        </w:rPr>
      </w:pPr>
      <w:r w:rsidRPr="00E00B35">
        <w:rPr>
          <w:szCs w:val="20"/>
        </w:rPr>
        <w:t>Sprzedaż biletów wstępu do Ogrodu Japońskiego</w:t>
      </w:r>
    </w:p>
    <w:p w:rsidR="007A4D59" w:rsidRPr="00E00B35" w:rsidRDefault="007A4D59" w:rsidP="00E00B35">
      <w:pPr>
        <w:spacing w:after="0" w:line="312" w:lineRule="auto"/>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gridCol w:w="2707"/>
        <w:gridCol w:w="1537"/>
        <w:gridCol w:w="1538"/>
        <w:gridCol w:w="1538"/>
        <w:gridCol w:w="1410"/>
      </w:tblGrid>
      <w:tr w:rsidR="007A4D59" w:rsidRPr="00E00B35" w:rsidTr="006D3493">
        <w:trPr>
          <w:cantSplit/>
          <w:trHeight w:val="116"/>
        </w:trPr>
        <w:tc>
          <w:tcPr>
            <w:tcW w:w="556" w:type="dxa"/>
            <w:vMerge w:val="restart"/>
          </w:tcPr>
          <w:p w:rsidR="007A4D59" w:rsidRPr="00E00B35" w:rsidRDefault="007A4D59" w:rsidP="00E00B35">
            <w:pPr>
              <w:spacing w:after="0" w:line="312" w:lineRule="auto"/>
              <w:rPr>
                <w:rFonts w:eastAsia="Calibri" w:cs="Arial"/>
                <w:szCs w:val="20"/>
              </w:rPr>
            </w:pPr>
            <w:r w:rsidRPr="00E00B35">
              <w:rPr>
                <w:rFonts w:eastAsia="Calibri" w:cs="Arial"/>
                <w:szCs w:val="20"/>
              </w:rPr>
              <w:t>Lp.</w:t>
            </w:r>
          </w:p>
        </w:tc>
        <w:tc>
          <w:tcPr>
            <w:tcW w:w="2707" w:type="dxa"/>
            <w:vMerge w:val="restart"/>
          </w:tcPr>
          <w:p w:rsidR="007A4D59" w:rsidRPr="00E00B35" w:rsidRDefault="007A4D59" w:rsidP="00E00B35">
            <w:pPr>
              <w:spacing w:after="0" w:line="312" w:lineRule="auto"/>
              <w:rPr>
                <w:rFonts w:eastAsia="Calibri" w:cs="Arial"/>
                <w:szCs w:val="20"/>
              </w:rPr>
            </w:pPr>
            <w:r w:rsidRPr="00E00B35">
              <w:rPr>
                <w:rFonts w:eastAsia="Calibri" w:cs="Arial"/>
                <w:szCs w:val="20"/>
              </w:rPr>
              <w:t>Rodzaj biletu</w:t>
            </w:r>
          </w:p>
        </w:tc>
        <w:tc>
          <w:tcPr>
            <w:tcW w:w="6023" w:type="dxa"/>
            <w:gridSpan w:val="4"/>
          </w:tcPr>
          <w:p w:rsidR="007A4D59" w:rsidRPr="00E00B35" w:rsidRDefault="007A4D59" w:rsidP="00E00B35">
            <w:pPr>
              <w:spacing w:after="0" w:line="312" w:lineRule="auto"/>
              <w:rPr>
                <w:rFonts w:eastAsia="Calibri" w:cs="Arial"/>
                <w:szCs w:val="20"/>
              </w:rPr>
            </w:pPr>
            <w:r w:rsidRPr="00E00B35">
              <w:rPr>
                <w:rFonts w:eastAsia="Calibri" w:cs="Arial"/>
                <w:szCs w:val="20"/>
              </w:rPr>
              <w:t>Ilość biletów (szt.)</w:t>
            </w:r>
          </w:p>
        </w:tc>
      </w:tr>
      <w:tr w:rsidR="007A4D59" w:rsidRPr="00E00B35" w:rsidTr="006D3493">
        <w:trPr>
          <w:cantSplit/>
          <w:trHeight w:val="115"/>
        </w:trPr>
        <w:tc>
          <w:tcPr>
            <w:tcW w:w="556" w:type="dxa"/>
            <w:vMerge/>
          </w:tcPr>
          <w:p w:rsidR="007A4D59" w:rsidRPr="00E00B35" w:rsidRDefault="007A4D59" w:rsidP="00E00B35">
            <w:pPr>
              <w:spacing w:after="0" w:line="312" w:lineRule="auto"/>
              <w:rPr>
                <w:rFonts w:eastAsia="Calibri" w:cs="Arial"/>
                <w:szCs w:val="20"/>
              </w:rPr>
            </w:pPr>
          </w:p>
        </w:tc>
        <w:tc>
          <w:tcPr>
            <w:tcW w:w="2707" w:type="dxa"/>
            <w:vMerge/>
          </w:tcPr>
          <w:p w:rsidR="007A4D59" w:rsidRPr="00E00B35" w:rsidRDefault="007A4D59" w:rsidP="00E00B35">
            <w:pPr>
              <w:spacing w:after="0" w:line="312" w:lineRule="auto"/>
              <w:rPr>
                <w:rFonts w:eastAsia="Calibri" w:cs="Arial"/>
                <w:szCs w:val="20"/>
              </w:rPr>
            </w:pP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2017</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2018</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2019</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2020</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1</w:t>
            </w:r>
          </w:p>
        </w:tc>
        <w:tc>
          <w:tcPr>
            <w:tcW w:w="2707" w:type="dxa"/>
          </w:tcPr>
          <w:p w:rsidR="007A4D59" w:rsidRPr="00E00B35" w:rsidRDefault="007A4D59" w:rsidP="00E00B35">
            <w:pPr>
              <w:spacing w:after="0" w:line="312" w:lineRule="auto"/>
              <w:rPr>
                <w:rFonts w:eastAsia="Calibri" w:cs="Arial"/>
                <w:szCs w:val="20"/>
              </w:rPr>
            </w:pPr>
            <w:r w:rsidRPr="00E00B35">
              <w:rPr>
                <w:rFonts w:eastAsia="Calibri" w:cs="Arial"/>
                <w:szCs w:val="20"/>
              </w:rPr>
              <w:t>Normalne</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76 970</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38 421</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113 780</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70 982</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lastRenderedPageBreak/>
              <w:t>2</w:t>
            </w:r>
          </w:p>
        </w:tc>
        <w:tc>
          <w:tcPr>
            <w:tcW w:w="2707" w:type="dxa"/>
          </w:tcPr>
          <w:p w:rsidR="007A4D59" w:rsidRPr="00E00B35" w:rsidRDefault="007A4D59" w:rsidP="00E00B35">
            <w:pPr>
              <w:spacing w:after="0" w:line="312" w:lineRule="auto"/>
              <w:rPr>
                <w:rFonts w:eastAsia="Calibri" w:cs="Arial"/>
                <w:szCs w:val="20"/>
              </w:rPr>
            </w:pPr>
            <w:r w:rsidRPr="00E00B35">
              <w:rPr>
                <w:rFonts w:eastAsia="Calibri" w:cs="Arial"/>
                <w:szCs w:val="20"/>
              </w:rPr>
              <w:t>Ulgowe</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110 642</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100 202</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112 440</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45 534</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3</w:t>
            </w:r>
          </w:p>
        </w:tc>
        <w:tc>
          <w:tcPr>
            <w:tcW w:w="2707" w:type="dxa"/>
          </w:tcPr>
          <w:p w:rsidR="007A4D59" w:rsidRPr="00E00B35" w:rsidRDefault="007A4D59" w:rsidP="00E00B35">
            <w:pPr>
              <w:spacing w:after="0" w:line="312" w:lineRule="auto"/>
              <w:rPr>
                <w:rFonts w:eastAsia="Calibri" w:cs="Arial"/>
                <w:szCs w:val="20"/>
              </w:rPr>
            </w:pPr>
            <w:r w:rsidRPr="00E00B35">
              <w:rPr>
                <w:rFonts w:eastAsia="Calibri" w:cs="Arial"/>
                <w:szCs w:val="20"/>
              </w:rPr>
              <w:t>Rodzinne</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22 880</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6 262</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4</w:t>
            </w:r>
          </w:p>
        </w:tc>
        <w:tc>
          <w:tcPr>
            <w:tcW w:w="2707" w:type="dxa"/>
          </w:tcPr>
          <w:p w:rsidR="007A4D59" w:rsidRPr="00E00B35" w:rsidRDefault="007A4D59" w:rsidP="00E00B35">
            <w:pPr>
              <w:spacing w:after="0" w:line="312" w:lineRule="auto"/>
              <w:rPr>
                <w:rFonts w:eastAsia="Calibri" w:cs="Arial"/>
                <w:szCs w:val="20"/>
              </w:rPr>
            </w:pPr>
            <w:r w:rsidRPr="00E00B35">
              <w:rPr>
                <w:rFonts w:eastAsia="Calibri" w:cs="Arial"/>
                <w:szCs w:val="20"/>
              </w:rPr>
              <w:t>Karnety</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101</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140</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10</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20</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5</w:t>
            </w:r>
          </w:p>
        </w:tc>
        <w:tc>
          <w:tcPr>
            <w:tcW w:w="2707" w:type="dxa"/>
          </w:tcPr>
          <w:p w:rsidR="007A4D59" w:rsidRPr="00E00B35" w:rsidRDefault="007A4D59" w:rsidP="00E00B35">
            <w:pPr>
              <w:spacing w:after="0" w:line="312" w:lineRule="auto"/>
              <w:rPr>
                <w:rFonts w:eastAsia="Calibri" w:cs="Arial"/>
                <w:szCs w:val="20"/>
              </w:rPr>
            </w:pPr>
            <w:r w:rsidRPr="00E00B35">
              <w:rPr>
                <w:rFonts w:eastAsia="Calibri" w:cs="Arial"/>
                <w:szCs w:val="20"/>
              </w:rPr>
              <w:t>Bilety specjalne</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39</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36</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117</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72</w:t>
            </w:r>
          </w:p>
        </w:tc>
      </w:tr>
      <w:tr w:rsidR="007A4D59" w:rsidRPr="00E00B35" w:rsidTr="006D3493">
        <w:trPr>
          <w:trHeight w:val="300"/>
        </w:trPr>
        <w:tc>
          <w:tcPr>
            <w:tcW w:w="556" w:type="dxa"/>
          </w:tcPr>
          <w:p w:rsidR="007A4D59" w:rsidRPr="00E00B35" w:rsidRDefault="007A4D59" w:rsidP="00E00B35">
            <w:pPr>
              <w:spacing w:after="0" w:line="312" w:lineRule="auto"/>
              <w:rPr>
                <w:rFonts w:eastAsia="Calibri" w:cs="Arial"/>
                <w:szCs w:val="20"/>
              </w:rPr>
            </w:pPr>
          </w:p>
        </w:tc>
        <w:tc>
          <w:tcPr>
            <w:tcW w:w="2707" w:type="dxa"/>
          </w:tcPr>
          <w:p w:rsidR="007A4D59" w:rsidRPr="00E00B35" w:rsidRDefault="007A4D59" w:rsidP="00E00B35">
            <w:pPr>
              <w:spacing w:after="0" w:line="312" w:lineRule="auto"/>
              <w:rPr>
                <w:rFonts w:eastAsia="Calibri" w:cs="Arial"/>
                <w:szCs w:val="20"/>
              </w:rPr>
            </w:pPr>
            <w:r w:rsidRPr="00E00B35">
              <w:rPr>
                <w:rFonts w:eastAsia="Calibri" w:cs="Arial"/>
                <w:szCs w:val="20"/>
              </w:rPr>
              <w:t xml:space="preserve">Ogółem </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187 752</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138 799</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249 227</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122 870</w:t>
            </w:r>
          </w:p>
        </w:tc>
      </w:tr>
    </w:tbl>
    <w:p w:rsidR="007A4D59" w:rsidRPr="00E00B35" w:rsidRDefault="007A4D59" w:rsidP="00E00B35">
      <w:pPr>
        <w:spacing w:after="0" w:line="312" w:lineRule="auto"/>
        <w:rPr>
          <w:rFonts w:cs="Arial"/>
          <w:szCs w:val="20"/>
        </w:rPr>
      </w:pPr>
    </w:p>
    <w:p w:rsidR="007A4D59" w:rsidRPr="00E00B35" w:rsidRDefault="007A4D59" w:rsidP="00E00B35">
      <w:pPr>
        <w:spacing w:after="0" w:line="312" w:lineRule="auto"/>
        <w:rPr>
          <w:szCs w:val="20"/>
        </w:rPr>
      </w:pPr>
      <w:r w:rsidRPr="00E00B35">
        <w:rPr>
          <w:szCs w:val="20"/>
        </w:rPr>
        <w:t>Drewno pozyskane w trakcie prowadzonej konserwacji lasów komunalnych</w:t>
      </w:r>
    </w:p>
    <w:p w:rsidR="007A4D59" w:rsidRPr="00E00B35" w:rsidRDefault="007A4D59" w:rsidP="00E00B35">
      <w:pPr>
        <w:spacing w:after="0" w:line="312" w:lineRule="auto"/>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gridCol w:w="2706"/>
        <w:gridCol w:w="1537"/>
        <w:gridCol w:w="1539"/>
        <w:gridCol w:w="1538"/>
        <w:gridCol w:w="1410"/>
      </w:tblGrid>
      <w:tr w:rsidR="007A4D59" w:rsidRPr="00E00B35" w:rsidTr="006D3493">
        <w:trPr>
          <w:cantSplit/>
          <w:trHeight w:val="116"/>
        </w:trPr>
        <w:tc>
          <w:tcPr>
            <w:tcW w:w="556" w:type="dxa"/>
            <w:vMerge w:val="restart"/>
          </w:tcPr>
          <w:p w:rsidR="007A4D59" w:rsidRPr="00E00B35" w:rsidRDefault="007A4D59" w:rsidP="00E00B35">
            <w:pPr>
              <w:spacing w:after="0" w:line="312" w:lineRule="auto"/>
              <w:rPr>
                <w:rFonts w:eastAsia="Calibri" w:cs="Arial"/>
                <w:szCs w:val="20"/>
              </w:rPr>
            </w:pPr>
            <w:r w:rsidRPr="00E00B35">
              <w:rPr>
                <w:rFonts w:eastAsia="Calibri" w:cs="Arial"/>
                <w:szCs w:val="20"/>
              </w:rPr>
              <w:t>Lp.</w:t>
            </w:r>
          </w:p>
        </w:tc>
        <w:tc>
          <w:tcPr>
            <w:tcW w:w="2706" w:type="dxa"/>
            <w:vMerge w:val="restart"/>
          </w:tcPr>
          <w:p w:rsidR="007A4D59" w:rsidRPr="00E00B35" w:rsidRDefault="007A4D59" w:rsidP="00E00B35">
            <w:pPr>
              <w:spacing w:after="0" w:line="312" w:lineRule="auto"/>
              <w:rPr>
                <w:rFonts w:eastAsia="Calibri" w:cs="Arial"/>
                <w:szCs w:val="20"/>
              </w:rPr>
            </w:pPr>
            <w:r w:rsidRPr="00E00B35">
              <w:rPr>
                <w:rFonts w:eastAsia="Calibri" w:cs="Arial"/>
                <w:szCs w:val="20"/>
              </w:rPr>
              <w:t>Grubizna drewna</w:t>
            </w:r>
          </w:p>
        </w:tc>
        <w:tc>
          <w:tcPr>
            <w:tcW w:w="6024" w:type="dxa"/>
            <w:gridSpan w:val="4"/>
          </w:tcPr>
          <w:p w:rsidR="007A4D59" w:rsidRPr="00E00B35" w:rsidRDefault="007A4D59" w:rsidP="00E00B35">
            <w:pPr>
              <w:spacing w:after="0" w:line="312" w:lineRule="auto"/>
              <w:rPr>
                <w:rFonts w:eastAsia="Calibri" w:cs="Arial"/>
                <w:szCs w:val="20"/>
              </w:rPr>
            </w:pPr>
            <w:r w:rsidRPr="00E00B35">
              <w:rPr>
                <w:rFonts w:eastAsia="Calibri" w:cs="Arial"/>
                <w:szCs w:val="20"/>
              </w:rPr>
              <w:t>Miąższość drewna (m</w:t>
            </w:r>
            <w:r w:rsidRPr="00E00B35">
              <w:rPr>
                <w:rFonts w:eastAsia="Calibri" w:cs="Arial"/>
                <w:szCs w:val="20"/>
                <w:vertAlign w:val="superscript"/>
              </w:rPr>
              <w:t>3</w:t>
            </w:r>
            <w:r w:rsidRPr="00E00B35">
              <w:rPr>
                <w:rFonts w:eastAsia="Calibri" w:cs="Arial"/>
                <w:szCs w:val="20"/>
              </w:rPr>
              <w:t>)</w:t>
            </w:r>
          </w:p>
        </w:tc>
      </w:tr>
      <w:tr w:rsidR="007A4D59" w:rsidRPr="00E00B35" w:rsidTr="006D3493">
        <w:trPr>
          <w:cantSplit/>
          <w:trHeight w:val="115"/>
        </w:trPr>
        <w:tc>
          <w:tcPr>
            <w:tcW w:w="556" w:type="dxa"/>
            <w:vMerge/>
          </w:tcPr>
          <w:p w:rsidR="007A4D59" w:rsidRPr="00E00B35" w:rsidRDefault="007A4D59" w:rsidP="00E00B35">
            <w:pPr>
              <w:spacing w:after="0" w:line="312" w:lineRule="auto"/>
              <w:rPr>
                <w:rFonts w:eastAsia="Calibri" w:cs="Arial"/>
                <w:szCs w:val="20"/>
              </w:rPr>
            </w:pPr>
          </w:p>
        </w:tc>
        <w:tc>
          <w:tcPr>
            <w:tcW w:w="2706" w:type="dxa"/>
            <w:vMerge/>
          </w:tcPr>
          <w:p w:rsidR="007A4D59" w:rsidRPr="00E00B35" w:rsidRDefault="007A4D59" w:rsidP="00E00B35">
            <w:pPr>
              <w:spacing w:after="0" w:line="312" w:lineRule="auto"/>
              <w:rPr>
                <w:rFonts w:eastAsia="Calibri" w:cs="Arial"/>
                <w:szCs w:val="20"/>
              </w:rPr>
            </w:pP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2017</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2018</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2019</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2020</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1</w:t>
            </w:r>
          </w:p>
        </w:tc>
        <w:tc>
          <w:tcPr>
            <w:tcW w:w="2706" w:type="dxa"/>
          </w:tcPr>
          <w:p w:rsidR="007A4D59" w:rsidRPr="00E00B35" w:rsidRDefault="007A4D59" w:rsidP="00E00B35">
            <w:pPr>
              <w:spacing w:after="0" w:line="312" w:lineRule="auto"/>
              <w:rPr>
                <w:rFonts w:eastAsia="Calibri" w:cs="Arial"/>
                <w:szCs w:val="20"/>
              </w:rPr>
            </w:pPr>
            <w:r w:rsidRPr="00E00B35">
              <w:rPr>
                <w:rFonts w:eastAsia="Calibri" w:cs="Arial"/>
                <w:szCs w:val="20"/>
              </w:rPr>
              <w:t xml:space="preserve">Drewno opałowe </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408,24</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553,25</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672,54</w:t>
            </w:r>
          </w:p>
        </w:tc>
        <w:tc>
          <w:tcPr>
            <w:tcW w:w="1410" w:type="dxa"/>
          </w:tcPr>
          <w:p w:rsidR="007A4D59" w:rsidRPr="00E00B35" w:rsidRDefault="007A4D59" w:rsidP="00E00B35">
            <w:pPr>
              <w:spacing w:after="0" w:line="312" w:lineRule="auto"/>
              <w:rPr>
                <w:rFonts w:eastAsia="Calibri" w:cs="Arial"/>
                <w:szCs w:val="20"/>
              </w:rPr>
            </w:pPr>
            <w:r w:rsidRPr="00E00B35">
              <w:rPr>
                <w:szCs w:val="20"/>
              </w:rPr>
              <w:t>879,04</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2</w:t>
            </w:r>
          </w:p>
        </w:tc>
        <w:tc>
          <w:tcPr>
            <w:tcW w:w="2706" w:type="dxa"/>
          </w:tcPr>
          <w:p w:rsidR="007A4D59" w:rsidRPr="00E00B35" w:rsidRDefault="007A4D59" w:rsidP="00E00B35">
            <w:pPr>
              <w:spacing w:after="0" w:line="312" w:lineRule="auto"/>
              <w:rPr>
                <w:rFonts w:eastAsia="Calibri" w:cs="Arial"/>
                <w:szCs w:val="20"/>
              </w:rPr>
            </w:pPr>
            <w:r w:rsidRPr="00E00B35">
              <w:rPr>
                <w:rFonts w:eastAsia="Calibri" w:cs="Arial"/>
                <w:szCs w:val="20"/>
              </w:rPr>
              <w:t xml:space="preserve">Papierówka </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74,03</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p>
        </w:tc>
        <w:tc>
          <w:tcPr>
            <w:tcW w:w="2706" w:type="dxa"/>
          </w:tcPr>
          <w:p w:rsidR="007A4D59" w:rsidRPr="00E00B35" w:rsidRDefault="007A4D59" w:rsidP="00E00B35">
            <w:pPr>
              <w:spacing w:after="0" w:line="312" w:lineRule="auto"/>
              <w:rPr>
                <w:rFonts w:eastAsia="Calibri" w:cs="Arial"/>
                <w:szCs w:val="20"/>
              </w:rPr>
            </w:pPr>
            <w:r w:rsidRPr="00E00B35">
              <w:rPr>
                <w:rFonts w:eastAsia="Calibri" w:cs="Arial"/>
                <w:szCs w:val="20"/>
              </w:rPr>
              <w:t xml:space="preserve">Ogółem </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482,27</w:t>
            </w:r>
          </w:p>
        </w:tc>
        <w:tc>
          <w:tcPr>
            <w:tcW w:w="1539" w:type="dxa"/>
          </w:tcPr>
          <w:p w:rsidR="007A4D59" w:rsidRPr="00E00B35" w:rsidRDefault="007A4D59" w:rsidP="00E00B35">
            <w:pPr>
              <w:spacing w:after="0" w:line="312" w:lineRule="auto"/>
              <w:rPr>
                <w:rFonts w:eastAsia="Calibri" w:cs="Arial"/>
                <w:szCs w:val="20"/>
              </w:rPr>
            </w:pPr>
            <w:r w:rsidRPr="00E00B35">
              <w:rPr>
                <w:rFonts w:eastAsia="Calibri" w:cs="Arial"/>
                <w:szCs w:val="20"/>
              </w:rPr>
              <w:t>553,25</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672,54</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879,04</w:t>
            </w:r>
          </w:p>
        </w:tc>
      </w:tr>
    </w:tbl>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Nasadzenia i ukwiecenia terenów zieleni miejskiej</w:t>
      </w:r>
    </w:p>
    <w:p w:rsidR="007A4D59" w:rsidRPr="00E00B35" w:rsidRDefault="007A4D59" w:rsidP="00E00B35">
      <w:pPr>
        <w:spacing w:after="0" w:line="312" w:lineRule="auto"/>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gridCol w:w="2552"/>
        <w:gridCol w:w="1456"/>
        <w:gridCol w:w="1457"/>
        <w:gridCol w:w="1317"/>
        <w:gridCol w:w="1948"/>
      </w:tblGrid>
      <w:tr w:rsidR="007A4D59" w:rsidRPr="00E00B35" w:rsidTr="006D3493">
        <w:trPr>
          <w:cantSplit/>
          <w:trHeight w:val="116"/>
        </w:trPr>
        <w:tc>
          <w:tcPr>
            <w:tcW w:w="556" w:type="dxa"/>
            <w:vMerge w:val="restart"/>
          </w:tcPr>
          <w:p w:rsidR="007A4D59" w:rsidRPr="00E00B35" w:rsidRDefault="007A4D59" w:rsidP="00E00B35">
            <w:pPr>
              <w:spacing w:after="0" w:line="312" w:lineRule="auto"/>
              <w:rPr>
                <w:rFonts w:eastAsia="Calibri" w:cs="Arial"/>
                <w:szCs w:val="20"/>
              </w:rPr>
            </w:pPr>
            <w:r w:rsidRPr="00E00B35">
              <w:rPr>
                <w:rFonts w:eastAsia="Calibri" w:cs="Arial"/>
                <w:szCs w:val="20"/>
              </w:rPr>
              <w:t>Lp.</w:t>
            </w:r>
          </w:p>
        </w:tc>
        <w:tc>
          <w:tcPr>
            <w:tcW w:w="2552" w:type="dxa"/>
            <w:vMerge w:val="restart"/>
          </w:tcPr>
          <w:p w:rsidR="007A4D59" w:rsidRPr="00E00B35" w:rsidRDefault="007A4D59" w:rsidP="00E00B35">
            <w:pPr>
              <w:spacing w:after="0" w:line="312" w:lineRule="auto"/>
              <w:rPr>
                <w:rFonts w:eastAsia="Calibri" w:cs="Arial"/>
                <w:szCs w:val="20"/>
              </w:rPr>
            </w:pPr>
            <w:r w:rsidRPr="00E00B35">
              <w:rPr>
                <w:rFonts w:eastAsia="Calibri" w:cs="Arial"/>
                <w:szCs w:val="20"/>
              </w:rPr>
              <w:t>Rodzaj nasadzeń</w:t>
            </w:r>
          </w:p>
        </w:tc>
        <w:tc>
          <w:tcPr>
            <w:tcW w:w="6178" w:type="dxa"/>
            <w:gridSpan w:val="4"/>
          </w:tcPr>
          <w:p w:rsidR="007A4D59" w:rsidRPr="00E00B35" w:rsidRDefault="007A4D59" w:rsidP="00E00B35">
            <w:pPr>
              <w:spacing w:after="0" w:line="312" w:lineRule="auto"/>
              <w:rPr>
                <w:rFonts w:eastAsia="Calibri" w:cs="Arial"/>
                <w:szCs w:val="20"/>
              </w:rPr>
            </w:pPr>
            <w:r w:rsidRPr="00E00B35">
              <w:rPr>
                <w:rFonts w:eastAsia="Calibri" w:cs="Arial"/>
                <w:szCs w:val="20"/>
              </w:rPr>
              <w:t>Ilość roślin (szt.)</w:t>
            </w:r>
          </w:p>
        </w:tc>
      </w:tr>
      <w:tr w:rsidR="007A4D59" w:rsidRPr="00E00B35" w:rsidTr="006D3493">
        <w:trPr>
          <w:cantSplit/>
          <w:trHeight w:val="115"/>
        </w:trPr>
        <w:tc>
          <w:tcPr>
            <w:tcW w:w="556" w:type="dxa"/>
            <w:vMerge/>
          </w:tcPr>
          <w:p w:rsidR="007A4D59" w:rsidRPr="00E00B35" w:rsidRDefault="007A4D59" w:rsidP="00E00B35">
            <w:pPr>
              <w:spacing w:after="0" w:line="312" w:lineRule="auto"/>
              <w:rPr>
                <w:rFonts w:eastAsia="Calibri" w:cs="Arial"/>
                <w:szCs w:val="20"/>
              </w:rPr>
            </w:pPr>
          </w:p>
        </w:tc>
        <w:tc>
          <w:tcPr>
            <w:tcW w:w="2552" w:type="dxa"/>
            <w:vMerge/>
          </w:tcPr>
          <w:p w:rsidR="007A4D59" w:rsidRPr="00E00B35" w:rsidRDefault="007A4D59" w:rsidP="00E00B35">
            <w:pPr>
              <w:spacing w:after="0" w:line="312" w:lineRule="auto"/>
              <w:rPr>
                <w:rFonts w:eastAsia="Calibri" w:cs="Arial"/>
                <w:szCs w:val="20"/>
              </w:rPr>
            </w:pPr>
          </w:p>
        </w:tc>
        <w:tc>
          <w:tcPr>
            <w:tcW w:w="1456" w:type="dxa"/>
          </w:tcPr>
          <w:p w:rsidR="007A4D59" w:rsidRPr="00E00B35" w:rsidRDefault="007A4D59" w:rsidP="00E00B35">
            <w:pPr>
              <w:spacing w:after="0" w:line="312" w:lineRule="auto"/>
              <w:rPr>
                <w:rFonts w:eastAsia="Calibri" w:cs="Arial"/>
                <w:szCs w:val="20"/>
              </w:rPr>
            </w:pPr>
            <w:r w:rsidRPr="00E00B35">
              <w:rPr>
                <w:rFonts w:eastAsia="Calibri" w:cs="Arial"/>
                <w:szCs w:val="20"/>
              </w:rPr>
              <w:t>2017</w:t>
            </w:r>
          </w:p>
        </w:tc>
        <w:tc>
          <w:tcPr>
            <w:tcW w:w="1457" w:type="dxa"/>
          </w:tcPr>
          <w:p w:rsidR="007A4D59" w:rsidRPr="00E00B35" w:rsidRDefault="007A4D59" w:rsidP="00E00B35">
            <w:pPr>
              <w:spacing w:after="0" w:line="312" w:lineRule="auto"/>
              <w:rPr>
                <w:rFonts w:eastAsia="Calibri" w:cs="Arial"/>
                <w:szCs w:val="20"/>
              </w:rPr>
            </w:pPr>
            <w:r w:rsidRPr="00E00B35">
              <w:rPr>
                <w:rFonts w:eastAsia="Calibri" w:cs="Arial"/>
                <w:szCs w:val="20"/>
              </w:rPr>
              <w:t>2018</w:t>
            </w:r>
          </w:p>
        </w:tc>
        <w:tc>
          <w:tcPr>
            <w:tcW w:w="1317" w:type="dxa"/>
          </w:tcPr>
          <w:p w:rsidR="007A4D59" w:rsidRPr="00E00B35" w:rsidRDefault="007A4D59" w:rsidP="00E00B35">
            <w:pPr>
              <w:spacing w:after="0" w:line="312" w:lineRule="auto"/>
              <w:rPr>
                <w:rFonts w:eastAsia="Calibri" w:cs="Arial"/>
                <w:szCs w:val="20"/>
              </w:rPr>
            </w:pPr>
            <w:r w:rsidRPr="00E00B35">
              <w:rPr>
                <w:rFonts w:eastAsia="Calibri" w:cs="Arial"/>
                <w:szCs w:val="20"/>
              </w:rPr>
              <w:t>2019</w:t>
            </w:r>
          </w:p>
        </w:tc>
        <w:tc>
          <w:tcPr>
            <w:tcW w:w="1948" w:type="dxa"/>
          </w:tcPr>
          <w:p w:rsidR="007A4D59" w:rsidRPr="00E00B35" w:rsidRDefault="007A4D59" w:rsidP="00E00B35">
            <w:pPr>
              <w:spacing w:after="0" w:line="312" w:lineRule="auto"/>
              <w:rPr>
                <w:rFonts w:eastAsia="Calibri" w:cs="Arial"/>
                <w:szCs w:val="20"/>
              </w:rPr>
            </w:pPr>
            <w:r w:rsidRPr="00E00B35">
              <w:rPr>
                <w:rFonts w:eastAsia="Calibri" w:cs="Arial"/>
                <w:szCs w:val="20"/>
              </w:rPr>
              <w:t>2020</w:t>
            </w:r>
          </w:p>
          <w:p w:rsidR="007A4D59" w:rsidRPr="00E00B35" w:rsidRDefault="007A4D59" w:rsidP="00E00B35">
            <w:pPr>
              <w:spacing w:after="0" w:line="312" w:lineRule="auto"/>
              <w:rPr>
                <w:rFonts w:eastAsia="Calibri" w:cs="Arial"/>
                <w:szCs w:val="20"/>
              </w:rPr>
            </w:pPr>
            <w:r w:rsidRPr="00E00B35">
              <w:rPr>
                <w:rFonts w:eastAsia="Calibri" w:cs="Arial"/>
                <w:szCs w:val="20"/>
              </w:rPr>
              <w:t>szt.(w tym inwestycyjne)</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1</w:t>
            </w:r>
          </w:p>
        </w:tc>
        <w:tc>
          <w:tcPr>
            <w:tcW w:w="2552" w:type="dxa"/>
          </w:tcPr>
          <w:p w:rsidR="007A4D59" w:rsidRPr="00E00B35" w:rsidRDefault="007A4D59" w:rsidP="00E00B35">
            <w:pPr>
              <w:spacing w:after="0" w:line="312" w:lineRule="auto"/>
              <w:rPr>
                <w:rFonts w:eastAsia="Calibri" w:cs="Arial"/>
                <w:szCs w:val="20"/>
              </w:rPr>
            </w:pPr>
            <w:r w:rsidRPr="00E00B35">
              <w:rPr>
                <w:rFonts w:eastAsia="Calibri" w:cs="Arial"/>
                <w:szCs w:val="20"/>
              </w:rPr>
              <w:t>Drzewa</w:t>
            </w:r>
          </w:p>
        </w:tc>
        <w:tc>
          <w:tcPr>
            <w:tcW w:w="1456" w:type="dxa"/>
          </w:tcPr>
          <w:p w:rsidR="007A4D59" w:rsidRPr="00E00B35" w:rsidRDefault="007A4D59" w:rsidP="00E00B35">
            <w:pPr>
              <w:spacing w:after="0" w:line="312" w:lineRule="auto"/>
              <w:rPr>
                <w:rFonts w:eastAsia="Calibri" w:cs="Arial"/>
                <w:szCs w:val="20"/>
              </w:rPr>
            </w:pPr>
            <w:r w:rsidRPr="00E00B35">
              <w:rPr>
                <w:rFonts w:eastAsia="Calibri" w:cs="Arial"/>
                <w:szCs w:val="20"/>
              </w:rPr>
              <w:t>2 324</w:t>
            </w:r>
          </w:p>
        </w:tc>
        <w:tc>
          <w:tcPr>
            <w:tcW w:w="1457" w:type="dxa"/>
          </w:tcPr>
          <w:p w:rsidR="007A4D59" w:rsidRPr="00E00B35" w:rsidRDefault="007A4D59" w:rsidP="00E00B35">
            <w:pPr>
              <w:spacing w:after="0" w:line="312" w:lineRule="auto"/>
              <w:rPr>
                <w:rFonts w:eastAsia="Calibri" w:cs="Arial"/>
                <w:szCs w:val="20"/>
              </w:rPr>
            </w:pPr>
            <w:r w:rsidRPr="00E00B35">
              <w:rPr>
                <w:rFonts w:eastAsia="Calibri" w:cs="Arial"/>
                <w:szCs w:val="20"/>
              </w:rPr>
              <w:t>2 687</w:t>
            </w:r>
          </w:p>
        </w:tc>
        <w:tc>
          <w:tcPr>
            <w:tcW w:w="1317" w:type="dxa"/>
          </w:tcPr>
          <w:p w:rsidR="007A4D59" w:rsidRPr="00E00B35" w:rsidRDefault="007A4D59" w:rsidP="00E00B35">
            <w:pPr>
              <w:spacing w:after="0" w:line="312" w:lineRule="auto"/>
              <w:rPr>
                <w:rFonts w:eastAsia="Calibri" w:cs="Arial"/>
                <w:szCs w:val="20"/>
              </w:rPr>
            </w:pPr>
            <w:r w:rsidRPr="00E00B35">
              <w:rPr>
                <w:rFonts w:eastAsia="Calibri" w:cs="Arial"/>
                <w:szCs w:val="20"/>
              </w:rPr>
              <w:t>2 125</w:t>
            </w:r>
          </w:p>
        </w:tc>
        <w:tc>
          <w:tcPr>
            <w:tcW w:w="1948" w:type="dxa"/>
          </w:tcPr>
          <w:p w:rsidR="007A4D59" w:rsidRPr="00E00B35" w:rsidRDefault="007A4D59" w:rsidP="00E00B35">
            <w:pPr>
              <w:spacing w:after="0" w:line="312" w:lineRule="auto"/>
              <w:rPr>
                <w:rFonts w:eastAsia="Calibri" w:cs="Arial"/>
                <w:szCs w:val="20"/>
              </w:rPr>
            </w:pPr>
            <w:r w:rsidRPr="00E00B35">
              <w:rPr>
                <w:rFonts w:eastAsia="Calibri" w:cs="Arial"/>
                <w:szCs w:val="20"/>
              </w:rPr>
              <w:t>3 221 (382)</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2</w:t>
            </w:r>
          </w:p>
        </w:tc>
        <w:tc>
          <w:tcPr>
            <w:tcW w:w="2552" w:type="dxa"/>
          </w:tcPr>
          <w:p w:rsidR="007A4D59" w:rsidRPr="00E00B35" w:rsidRDefault="007A4D59" w:rsidP="00E00B35">
            <w:pPr>
              <w:spacing w:after="0" w:line="312" w:lineRule="auto"/>
              <w:rPr>
                <w:rFonts w:eastAsia="Calibri" w:cs="Arial"/>
                <w:szCs w:val="20"/>
              </w:rPr>
            </w:pPr>
            <w:r w:rsidRPr="00E00B35">
              <w:rPr>
                <w:rFonts w:eastAsia="Calibri" w:cs="Arial"/>
                <w:szCs w:val="20"/>
              </w:rPr>
              <w:t>Krzewy</w:t>
            </w:r>
          </w:p>
        </w:tc>
        <w:tc>
          <w:tcPr>
            <w:tcW w:w="1456" w:type="dxa"/>
          </w:tcPr>
          <w:p w:rsidR="007A4D59" w:rsidRPr="00E00B35" w:rsidRDefault="007A4D59" w:rsidP="00E00B35">
            <w:pPr>
              <w:spacing w:after="0" w:line="312" w:lineRule="auto"/>
              <w:rPr>
                <w:rFonts w:eastAsia="Calibri" w:cs="Arial"/>
                <w:szCs w:val="20"/>
              </w:rPr>
            </w:pPr>
            <w:r w:rsidRPr="00E00B35">
              <w:rPr>
                <w:rFonts w:eastAsia="Calibri" w:cs="Arial"/>
                <w:szCs w:val="20"/>
              </w:rPr>
              <w:t>36 895</w:t>
            </w:r>
          </w:p>
        </w:tc>
        <w:tc>
          <w:tcPr>
            <w:tcW w:w="1457" w:type="dxa"/>
          </w:tcPr>
          <w:p w:rsidR="007A4D59" w:rsidRPr="00E00B35" w:rsidRDefault="007A4D59" w:rsidP="00E00B35">
            <w:pPr>
              <w:spacing w:after="0" w:line="312" w:lineRule="auto"/>
              <w:rPr>
                <w:rFonts w:eastAsia="Calibri" w:cs="Arial"/>
                <w:szCs w:val="20"/>
              </w:rPr>
            </w:pPr>
            <w:r w:rsidRPr="00E00B35">
              <w:rPr>
                <w:rFonts w:eastAsia="Calibri" w:cs="Arial"/>
                <w:szCs w:val="20"/>
              </w:rPr>
              <w:t>58 087</w:t>
            </w:r>
          </w:p>
        </w:tc>
        <w:tc>
          <w:tcPr>
            <w:tcW w:w="1317" w:type="dxa"/>
          </w:tcPr>
          <w:p w:rsidR="007A4D59" w:rsidRPr="00E00B35" w:rsidRDefault="007A4D59" w:rsidP="00E00B35">
            <w:pPr>
              <w:spacing w:after="0" w:line="312" w:lineRule="auto"/>
              <w:rPr>
                <w:rFonts w:eastAsia="Calibri" w:cs="Arial"/>
                <w:szCs w:val="20"/>
              </w:rPr>
            </w:pPr>
            <w:r w:rsidRPr="00E00B35">
              <w:rPr>
                <w:rFonts w:eastAsia="Calibri" w:cs="Arial"/>
                <w:szCs w:val="20"/>
              </w:rPr>
              <w:t>59 733</w:t>
            </w:r>
          </w:p>
        </w:tc>
        <w:tc>
          <w:tcPr>
            <w:tcW w:w="1948" w:type="dxa"/>
          </w:tcPr>
          <w:p w:rsidR="007A4D59" w:rsidRPr="00E00B35" w:rsidRDefault="007A4D59" w:rsidP="00E00B35">
            <w:pPr>
              <w:spacing w:after="0" w:line="312" w:lineRule="auto"/>
              <w:rPr>
                <w:rFonts w:eastAsia="Calibri" w:cs="Arial"/>
                <w:szCs w:val="20"/>
              </w:rPr>
            </w:pPr>
            <w:r w:rsidRPr="00E00B35">
              <w:rPr>
                <w:rFonts w:eastAsia="Calibri" w:cs="Arial"/>
                <w:szCs w:val="20"/>
              </w:rPr>
              <w:t>79 674 (18529)</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3</w:t>
            </w:r>
          </w:p>
        </w:tc>
        <w:tc>
          <w:tcPr>
            <w:tcW w:w="2552" w:type="dxa"/>
          </w:tcPr>
          <w:p w:rsidR="007A4D59" w:rsidRPr="00E00B35" w:rsidRDefault="007A4D59" w:rsidP="00E00B35">
            <w:pPr>
              <w:spacing w:after="0" w:line="312" w:lineRule="auto"/>
              <w:rPr>
                <w:rFonts w:eastAsia="Calibri" w:cs="Arial"/>
                <w:szCs w:val="20"/>
              </w:rPr>
            </w:pPr>
            <w:r w:rsidRPr="00E00B35">
              <w:rPr>
                <w:rFonts w:eastAsia="Calibri" w:cs="Arial"/>
                <w:szCs w:val="20"/>
              </w:rPr>
              <w:t>Sadzonki leśne</w:t>
            </w:r>
          </w:p>
        </w:tc>
        <w:tc>
          <w:tcPr>
            <w:tcW w:w="1456" w:type="dxa"/>
          </w:tcPr>
          <w:p w:rsidR="007A4D59" w:rsidRPr="00E00B35" w:rsidRDefault="007A4D59" w:rsidP="00E00B35">
            <w:pPr>
              <w:spacing w:after="0" w:line="312" w:lineRule="auto"/>
              <w:rPr>
                <w:rFonts w:eastAsia="Calibri" w:cs="Arial"/>
                <w:szCs w:val="20"/>
              </w:rPr>
            </w:pPr>
            <w:r w:rsidRPr="00E00B35">
              <w:rPr>
                <w:rFonts w:eastAsia="Calibri" w:cs="Arial"/>
                <w:szCs w:val="20"/>
              </w:rPr>
              <w:t>118 300</w:t>
            </w:r>
          </w:p>
        </w:tc>
        <w:tc>
          <w:tcPr>
            <w:tcW w:w="1457" w:type="dxa"/>
          </w:tcPr>
          <w:p w:rsidR="007A4D59" w:rsidRPr="00E00B35" w:rsidRDefault="007A4D59" w:rsidP="00E00B35">
            <w:pPr>
              <w:spacing w:after="0" w:line="312" w:lineRule="auto"/>
              <w:rPr>
                <w:rFonts w:eastAsia="Calibri" w:cs="Arial"/>
                <w:szCs w:val="20"/>
              </w:rPr>
            </w:pPr>
            <w:r w:rsidRPr="00E00B35">
              <w:rPr>
                <w:rFonts w:eastAsia="Calibri" w:cs="Arial"/>
                <w:szCs w:val="20"/>
              </w:rPr>
              <w:t>67 000</w:t>
            </w:r>
          </w:p>
        </w:tc>
        <w:tc>
          <w:tcPr>
            <w:tcW w:w="1317" w:type="dxa"/>
          </w:tcPr>
          <w:p w:rsidR="007A4D59" w:rsidRPr="00E00B35" w:rsidRDefault="007A4D59" w:rsidP="00E00B35">
            <w:pPr>
              <w:spacing w:after="0" w:line="312" w:lineRule="auto"/>
              <w:rPr>
                <w:rFonts w:eastAsia="Calibri" w:cs="Arial"/>
                <w:szCs w:val="20"/>
              </w:rPr>
            </w:pPr>
            <w:r w:rsidRPr="00E00B35">
              <w:rPr>
                <w:rFonts w:eastAsia="Calibri" w:cs="Arial"/>
                <w:szCs w:val="20"/>
              </w:rPr>
              <w:t>84 900</w:t>
            </w:r>
          </w:p>
        </w:tc>
        <w:tc>
          <w:tcPr>
            <w:tcW w:w="1948" w:type="dxa"/>
          </w:tcPr>
          <w:p w:rsidR="007A4D59" w:rsidRPr="00E00B35" w:rsidRDefault="007A4D59" w:rsidP="00E00B35">
            <w:pPr>
              <w:spacing w:after="0" w:line="312" w:lineRule="auto"/>
              <w:rPr>
                <w:rFonts w:eastAsia="Calibri" w:cs="Arial"/>
                <w:szCs w:val="20"/>
              </w:rPr>
            </w:pPr>
            <w:r w:rsidRPr="00E00B35">
              <w:rPr>
                <w:rFonts w:eastAsia="Calibri" w:cs="Arial"/>
                <w:szCs w:val="20"/>
              </w:rPr>
              <w:t>73 740</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4</w:t>
            </w:r>
          </w:p>
        </w:tc>
        <w:tc>
          <w:tcPr>
            <w:tcW w:w="2552" w:type="dxa"/>
          </w:tcPr>
          <w:p w:rsidR="007A4D59" w:rsidRPr="00E00B35" w:rsidRDefault="007A4D59" w:rsidP="00E00B35">
            <w:pPr>
              <w:spacing w:after="0" w:line="312" w:lineRule="auto"/>
              <w:rPr>
                <w:rFonts w:eastAsia="Calibri" w:cs="Arial"/>
                <w:szCs w:val="20"/>
              </w:rPr>
            </w:pPr>
            <w:r w:rsidRPr="00E00B35">
              <w:rPr>
                <w:rFonts w:eastAsia="Calibri" w:cs="Arial"/>
                <w:szCs w:val="20"/>
              </w:rPr>
              <w:t>Rabatowe</w:t>
            </w:r>
          </w:p>
        </w:tc>
        <w:tc>
          <w:tcPr>
            <w:tcW w:w="1456" w:type="dxa"/>
          </w:tcPr>
          <w:p w:rsidR="007A4D59" w:rsidRPr="00E00B35" w:rsidRDefault="007A4D59" w:rsidP="00E00B35">
            <w:pPr>
              <w:spacing w:after="0" w:line="312" w:lineRule="auto"/>
              <w:rPr>
                <w:rFonts w:eastAsia="Calibri" w:cs="Arial"/>
                <w:szCs w:val="20"/>
              </w:rPr>
            </w:pPr>
            <w:r w:rsidRPr="00E00B35">
              <w:rPr>
                <w:rFonts w:eastAsia="Calibri" w:cs="Arial"/>
                <w:szCs w:val="20"/>
              </w:rPr>
              <w:t>195 598</w:t>
            </w:r>
          </w:p>
        </w:tc>
        <w:tc>
          <w:tcPr>
            <w:tcW w:w="1457" w:type="dxa"/>
          </w:tcPr>
          <w:p w:rsidR="007A4D59" w:rsidRPr="00E00B35" w:rsidRDefault="007A4D59" w:rsidP="00E00B35">
            <w:pPr>
              <w:spacing w:after="0" w:line="312" w:lineRule="auto"/>
              <w:rPr>
                <w:rFonts w:eastAsia="Calibri" w:cs="Arial"/>
                <w:szCs w:val="20"/>
              </w:rPr>
            </w:pPr>
            <w:r w:rsidRPr="00E00B35">
              <w:rPr>
                <w:rFonts w:eastAsia="Calibri" w:cs="Arial"/>
                <w:szCs w:val="20"/>
              </w:rPr>
              <w:t>244 220</w:t>
            </w:r>
          </w:p>
        </w:tc>
        <w:tc>
          <w:tcPr>
            <w:tcW w:w="1317" w:type="dxa"/>
          </w:tcPr>
          <w:p w:rsidR="007A4D59" w:rsidRPr="00E00B35" w:rsidRDefault="007A4D59" w:rsidP="00E00B35">
            <w:pPr>
              <w:spacing w:after="0" w:line="312" w:lineRule="auto"/>
              <w:rPr>
                <w:rFonts w:eastAsia="Calibri" w:cs="Arial"/>
                <w:szCs w:val="20"/>
              </w:rPr>
            </w:pPr>
            <w:r w:rsidRPr="00E00B35">
              <w:rPr>
                <w:rFonts w:eastAsia="Calibri" w:cs="Arial"/>
                <w:szCs w:val="20"/>
              </w:rPr>
              <w:t>121 818</w:t>
            </w:r>
          </w:p>
        </w:tc>
        <w:tc>
          <w:tcPr>
            <w:tcW w:w="1948" w:type="dxa"/>
          </w:tcPr>
          <w:p w:rsidR="007A4D59" w:rsidRPr="00E00B35" w:rsidRDefault="007A4D59" w:rsidP="00E00B35">
            <w:pPr>
              <w:spacing w:after="0" w:line="312" w:lineRule="auto"/>
              <w:rPr>
                <w:rFonts w:eastAsia="Calibri" w:cs="Arial"/>
                <w:szCs w:val="20"/>
              </w:rPr>
            </w:pPr>
            <w:r w:rsidRPr="00E00B35">
              <w:rPr>
                <w:rFonts w:eastAsia="Calibri" w:cs="Arial"/>
                <w:szCs w:val="20"/>
              </w:rPr>
              <w:t>135 837</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5</w:t>
            </w:r>
          </w:p>
        </w:tc>
        <w:tc>
          <w:tcPr>
            <w:tcW w:w="2552" w:type="dxa"/>
          </w:tcPr>
          <w:p w:rsidR="007A4D59" w:rsidRPr="00E00B35" w:rsidRDefault="007A4D59" w:rsidP="00E00B35">
            <w:pPr>
              <w:spacing w:after="0" w:line="312" w:lineRule="auto"/>
              <w:rPr>
                <w:rFonts w:eastAsia="Calibri" w:cs="Arial"/>
                <w:szCs w:val="20"/>
              </w:rPr>
            </w:pPr>
            <w:r w:rsidRPr="00E00B35">
              <w:rPr>
                <w:rFonts w:eastAsia="Calibri" w:cs="Arial"/>
                <w:szCs w:val="20"/>
              </w:rPr>
              <w:t>Cebulowe</w:t>
            </w:r>
          </w:p>
        </w:tc>
        <w:tc>
          <w:tcPr>
            <w:tcW w:w="1456" w:type="dxa"/>
          </w:tcPr>
          <w:p w:rsidR="007A4D59" w:rsidRPr="00E00B35" w:rsidRDefault="007A4D59" w:rsidP="00E00B35">
            <w:pPr>
              <w:spacing w:after="0" w:line="312" w:lineRule="auto"/>
              <w:rPr>
                <w:rFonts w:eastAsia="Calibri" w:cs="Arial"/>
                <w:szCs w:val="20"/>
              </w:rPr>
            </w:pPr>
            <w:r w:rsidRPr="00E00B35">
              <w:rPr>
                <w:rFonts w:eastAsia="Calibri" w:cs="Arial"/>
                <w:szCs w:val="20"/>
              </w:rPr>
              <w:t>83 900</w:t>
            </w:r>
          </w:p>
        </w:tc>
        <w:tc>
          <w:tcPr>
            <w:tcW w:w="1457" w:type="dxa"/>
          </w:tcPr>
          <w:p w:rsidR="007A4D59" w:rsidRPr="00E00B35" w:rsidRDefault="007A4D59" w:rsidP="00E00B35">
            <w:pPr>
              <w:spacing w:after="0" w:line="312" w:lineRule="auto"/>
              <w:rPr>
                <w:rFonts w:eastAsia="Calibri" w:cs="Arial"/>
                <w:szCs w:val="20"/>
              </w:rPr>
            </w:pPr>
            <w:r w:rsidRPr="00E00B35">
              <w:rPr>
                <w:rFonts w:eastAsia="Calibri" w:cs="Arial"/>
                <w:szCs w:val="20"/>
              </w:rPr>
              <w:t>105 450</w:t>
            </w:r>
          </w:p>
        </w:tc>
        <w:tc>
          <w:tcPr>
            <w:tcW w:w="1317" w:type="dxa"/>
          </w:tcPr>
          <w:p w:rsidR="007A4D59" w:rsidRPr="00E00B35" w:rsidRDefault="007A4D59" w:rsidP="00E00B35">
            <w:pPr>
              <w:spacing w:after="0" w:line="312" w:lineRule="auto"/>
              <w:rPr>
                <w:rFonts w:eastAsia="Calibri" w:cs="Arial"/>
                <w:szCs w:val="20"/>
              </w:rPr>
            </w:pPr>
            <w:r w:rsidRPr="00E00B35">
              <w:rPr>
                <w:rFonts w:eastAsia="Calibri" w:cs="Arial"/>
                <w:szCs w:val="20"/>
              </w:rPr>
              <w:t>225 585</w:t>
            </w:r>
          </w:p>
        </w:tc>
        <w:tc>
          <w:tcPr>
            <w:tcW w:w="1948" w:type="dxa"/>
          </w:tcPr>
          <w:p w:rsidR="007A4D59" w:rsidRPr="00E00B35" w:rsidRDefault="007A4D59" w:rsidP="00E00B35">
            <w:pPr>
              <w:spacing w:after="0" w:line="312" w:lineRule="auto"/>
              <w:rPr>
                <w:rFonts w:eastAsia="Calibri" w:cs="Arial"/>
                <w:szCs w:val="20"/>
              </w:rPr>
            </w:pPr>
            <w:r w:rsidRPr="00E00B35">
              <w:rPr>
                <w:rFonts w:eastAsia="Calibri" w:cs="Arial"/>
                <w:szCs w:val="20"/>
              </w:rPr>
              <w:t>176 431 (34 247)</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6</w:t>
            </w:r>
          </w:p>
        </w:tc>
        <w:tc>
          <w:tcPr>
            <w:tcW w:w="2552" w:type="dxa"/>
          </w:tcPr>
          <w:p w:rsidR="007A4D59" w:rsidRPr="00E00B35" w:rsidRDefault="007A4D59" w:rsidP="00E00B35">
            <w:pPr>
              <w:spacing w:after="0" w:line="312" w:lineRule="auto"/>
              <w:rPr>
                <w:rFonts w:eastAsia="Calibri" w:cs="Arial"/>
                <w:szCs w:val="20"/>
              </w:rPr>
            </w:pPr>
            <w:r w:rsidRPr="00E00B35">
              <w:rPr>
                <w:rFonts w:eastAsia="Calibri" w:cs="Arial"/>
                <w:szCs w:val="20"/>
              </w:rPr>
              <w:t>Byliny</w:t>
            </w:r>
          </w:p>
        </w:tc>
        <w:tc>
          <w:tcPr>
            <w:tcW w:w="1456" w:type="dxa"/>
          </w:tcPr>
          <w:p w:rsidR="007A4D59" w:rsidRPr="00E00B35" w:rsidRDefault="007A4D59" w:rsidP="00E00B35">
            <w:pPr>
              <w:spacing w:after="0" w:line="312" w:lineRule="auto"/>
              <w:rPr>
                <w:rFonts w:eastAsia="Calibri" w:cs="Arial"/>
                <w:szCs w:val="20"/>
              </w:rPr>
            </w:pPr>
            <w:r w:rsidRPr="00E00B35">
              <w:rPr>
                <w:rFonts w:eastAsia="Calibri" w:cs="Arial"/>
                <w:szCs w:val="20"/>
              </w:rPr>
              <w:t>135</w:t>
            </w:r>
          </w:p>
        </w:tc>
        <w:tc>
          <w:tcPr>
            <w:tcW w:w="1457" w:type="dxa"/>
          </w:tcPr>
          <w:p w:rsidR="007A4D59" w:rsidRPr="00E00B35" w:rsidRDefault="007A4D59" w:rsidP="00E00B35">
            <w:pPr>
              <w:spacing w:after="0" w:line="312" w:lineRule="auto"/>
              <w:rPr>
                <w:rFonts w:eastAsia="Calibri" w:cs="Arial"/>
                <w:szCs w:val="20"/>
              </w:rPr>
            </w:pPr>
            <w:r w:rsidRPr="00E00B35">
              <w:rPr>
                <w:rFonts w:eastAsia="Calibri" w:cs="Arial"/>
                <w:szCs w:val="20"/>
              </w:rPr>
              <w:t>-</w:t>
            </w:r>
          </w:p>
        </w:tc>
        <w:tc>
          <w:tcPr>
            <w:tcW w:w="1317" w:type="dxa"/>
          </w:tcPr>
          <w:p w:rsidR="007A4D59" w:rsidRPr="00E00B35" w:rsidRDefault="007A4D59" w:rsidP="00E00B35">
            <w:pPr>
              <w:spacing w:after="0" w:line="312" w:lineRule="auto"/>
              <w:rPr>
                <w:rFonts w:eastAsia="Calibri" w:cs="Arial"/>
                <w:szCs w:val="20"/>
              </w:rPr>
            </w:pPr>
            <w:r w:rsidRPr="00E00B35">
              <w:rPr>
                <w:rFonts w:eastAsia="Calibri" w:cs="Arial"/>
                <w:szCs w:val="20"/>
              </w:rPr>
              <w:t>33 114</w:t>
            </w:r>
          </w:p>
        </w:tc>
        <w:tc>
          <w:tcPr>
            <w:tcW w:w="1948" w:type="dxa"/>
          </w:tcPr>
          <w:p w:rsidR="007A4D59" w:rsidRPr="00E00B35" w:rsidRDefault="007A4D59" w:rsidP="00E00B35">
            <w:pPr>
              <w:spacing w:after="0" w:line="312" w:lineRule="auto"/>
              <w:rPr>
                <w:rFonts w:eastAsia="Calibri" w:cs="Arial"/>
                <w:szCs w:val="20"/>
              </w:rPr>
            </w:pPr>
            <w:r w:rsidRPr="00E00B35">
              <w:rPr>
                <w:rFonts w:eastAsia="Calibri" w:cs="Arial"/>
                <w:szCs w:val="20"/>
              </w:rPr>
              <w:t>67 830 (23 316)</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7</w:t>
            </w:r>
          </w:p>
        </w:tc>
        <w:tc>
          <w:tcPr>
            <w:tcW w:w="2552" w:type="dxa"/>
          </w:tcPr>
          <w:p w:rsidR="007A4D59" w:rsidRPr="00E00B35" w:rsidRDefault="007A4D59" w:rsidP="00E00B35">
            <w:pPr>
              <w:spacing w:after="0" w:line="312" w:lineRule="auto"/>
              <w:rPr>
                <w:rFonts w:eastAsia="Calibri" w:cs="Arial"/>
                <w:szCs w:val="20"/>
              </w:rPr>
            </w:pPr>
            <w:r w:rsidRPr="00E00B35">
              <w:rPr>
                <w:rFonts w:eastAsia="Calibri" w:cs="Arial"/>
                <w:szCs w:val="20"/>
              </w:rPr>
              <w:t>Pnącza</w:t>
            </w:r>
          </w:p>
        </w:tc>
        <w:tc>
          <w:tcPr>
            <w:tcW w:w="1456" w:type="dxa"/>
          </w:tcPr>
          <w:p w:rsidR="007A4D59" w:rsidRPr="00E00B35" w:rsidRDefault="007A4D59" w:rsidP="00E00B35">
            <w:pPr>
              <w:spacing w:after="0" w:line="312" w:lineRule="auto"/>
              <w:rPr>
                <w:rFonts w:eastAsia="Calibri" w:cs="Arial"/>
                <w:szCs w:val="20"/>
              </w:rPr>
            </w:pPr>
            <w:r w:rsidRPr="00E00B35">
              <w:rPr>
                <w:rFonts w:eastAsia="Calibri" w:cs="Arial"/>
                <w:szCs w:val="20"/>
              </w:rPr>
              <w:t>1 050</w:t>
            </w:r>
          </w:p>
        </w:tc>
        <w:tc>
          <w:tcPr>
            <w:tcW w:w="1457" w:type="dxa"/>
          </w:tcPr>
          <w:p w:rsidR="007A4D59" w:rsidRPr="00E00B35" w:rsidRDefault="007A4D59" w:rsidP="00E00B35">
            <w:pPr>
              <w:spacing w:after="0" w:line="312" w:lineRule="auto"/>
              <w:rPr>
                <w:rFonts w:eastAsia="Calibri" w:cs="Arial"/>
                <w:szCs w:val="20"/>
              </w:rPr>
            </w:pPr>
            <w:r w:rsidRPr="00E00B35">
              <w:rPr>
                <w:rFonts w:eastAsia="Calibri" w:cs="Arial"/>
                <w:szCs w:val="20"/>
              </w:rPr>
              <w:t>-</w:t>
            </w:r>
          </w:p>
        </w:tc>
        <w:tc>
          <w:tcPr>
            <w:tcW w:w="1317" w:type="dxa"/>
          </w:tcPr>
          <w:p w:rsidR="007A4D59" w:rsidRPr="00E00B35" w:rsidRDefault="007A4D59" w:rsidP="00E00B35">
            <w:pPr>
              <w:spacing w:after="0" w:line="312" w:lineRule="auto"/>
              <w:rPr>
                <w:rFonts w:eastAsia="Calibri" w:cs="Arial"/>
                <w:szCs w:val="20"/>
              </w:rPr>
            </w:pPr>
            <w:r w:rsidRPr="00E00B35">
              <w:rPr>
                <w:rFonts w:eastAsia="Calibri" w:cs="Arial"/>
                <w:szCs w:val="20"/>
              </w:rPr>
              <w:t>1 081</w:t>
            </w:r>
          </w:p>
        </w:tc>
        <w:tc>
          <w:tcPr>
            <w:tcW w:w="1948" w:type="dxa"/>
          </w:tcPr>
          <w:p w:rsidR="007A4D59" w:rsidRPr="00E00B35" w:rsidRDefault="007A4D59" w:rsidP="00E00B35">
            <w:pPr>
              <w:spacing w:after="0" w:line="312" w:lineRule="auto"/>
              <w:rPr>
                <w:rFonts w:eastAsia="Calibri" w:cs="Arial"/>
                <w:szCs w:val="20"/>
              </w:rPr>
            </w:pPr>
            <w:r w:rsidRPr="00E00B35">
              <w:rPr>
                <w:rFonts w:eastAsia="Calibri" w:cs="Arial"/>
                <w:szCs w:val="20"/>
              </w:rPr>
              <w:t>10 613 (564)</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p>
        </w:tc>
        <w:tc>
          <w:tcPr>
            <w:tcW w:w="2552" w:type="dxa"/>
          </w:tcPr>
          <w:p w:rsidR="007A4D59" w:rsidRPr="00E00B35" w:rsidRDefault="007A4D59" w:rsidP="00E00B35">
            <w:pPr>
              <w:spacing w:after="0" w:line="312" w:lineRule="auto"/>
              <w:rPr>
                <w:rFonts w:eastAsia="Calibri" w:cs="Arial"/>
                <w:szCs w:val="20"/>
              </w:rPr>
            </w:pPr>
            <w:r w:rsidRPr="00E00B35">
              <w:rPr>
                <w:rFonts w:eastAsia="Calibri" w:cs="Arial"/>
                <w:szCs w:val="20"/>
              </w:rPr>
              <w:t>Ogółem</w:t>
            </w:r>
          </w:p>
        </w:tc>
        <w:tc>
          <w:tcPr>
            <w:tcW w:w="1456" w:type="dxa"/>
          </w:tcPr>
          <w:p w:rsidR="007A4D59" w:rsidRPr="00E00B35" w:rsidRDefault="007A4D59" w:rsidP="00E00B35">
            <w:pPr>
              <w:spacing w:after="0" w:line="312" w:lineRule="auto"/>
              <w:rPr>
                <w:rFonts w:eastAsia="Calibri" w:cs="Arial"/>
                <w:szCs w:val="20"/>
              </w:rPr>
            </w:pPr>
            <w:r w:rsidRPr="00E00B35">
              <w:rPr>
                <w:rFonts w:eastAsia="Calibri" w:cs="Arial"/>
                <w:szCs w:val="20"/>
              </w:rPr>
              <w:t>438 202</w:t>
            </w:r>
          </w:p>
        </w:tc>
        <w:tc>
          <w:tcPr>
            <w:tcW w:w="1457" w:type="dxa"/>
          </w:tcPr>
          <w:p w:rsidR="007A4D59" w:rsidRPr="00E00B35" w:rsidRDefault="007A4D59" w:rsidP="00E00B35">
            <w:pPr>
              <w:spacing w:after="0" w:line="312" w:lineRule="auto"/>
              <w:rPr>
                <w:rFonts w:eastAsia="Calibri" w:cs="Arial"/>
                <w:szCs w:val="20"/>
              </w:rPr>
            </w:pPr>
            <w:r w:rsidRPr="00E00B35">
              <w:rPr>
                <w:rFonts w:eastAsia="Calibri" w:cs="Arial"/>
                <w:szCs w:val="20"/>
              </w:rPr>
              <w:t>477 444</w:t>
            </w:r>
          </w:p>
        </w:tc>
        <w:tc>
          <w:tcPr>
            <w:tcW w:w="1317" w:type="dxa"/>
          </w:tcPr>
          <w:p w:rsidR="007A4D59" w:rsidRPr="00E00B35" w:rsidRDefault="007A4D59" w:rsidP="00E00B35">
            <w:pPr>
              <w:spacing w:after="0" w:line="312" w:lineRule="auto"/>
              <w:rPr>
                <w:rFonts w:eastAsia="Calibri" w:cs="Arial"/>
                <w:szCs w:val="20"/>
              </w:rPr>
            </w:pPr>
            <w:r w:rsidRPr="00E00B35">
              <w:rPr>
                <w:rFonts w:eastAsia="Calibri" w:cs="Arial"/>
                <w:szCs w:val="20"/>
              </w:rPr>
              <w:t>528 356</w:t>
            </w:r>
          </w:p>
        </w:tc>
        <w:tc>
          <w:tcPr>
            <w:tcW w:w="1948" w:type="dxa"/>
          </w:tcPr>
          <w:p w:rsidR="007A4D59" w:rsidRPr="00E00B35" w:rsidRDefault="007A4D59" w:rsidP="00E00B35">
            <w:pPr>
              <w:spacing w:after="0" w:line="312" w:lineRule="auto"/>
              <w:rPr>
                <w:rFonts w:eastAsia="Calibri" w:cs="Arial"/>
                <w:szCs w:val="20"/>
              </w:rPr>
            </w:pPr>
            <w:r w:rsidRPr="00E00B35">
              <w:rPr>
                <w:rFonts w:eastAsia="Calibri" w:cs="Arial"/>
                <w:szCs w:val="20"/>
              </w:rPr>
              <w:t xml:space="preserve">547 346      </w:t>
            </w:r>
            <w:r w:rsidRPr="00E00B35">
              <w:rPr>
                <w:rFonts w:eastAsia="Calibri" w:cs="Arial"/>
                <w:szCs w:val="20"/>
              </w:rPr>
              <w:br/>
              <w:t xml:space="preserve"> </w:t>
            </w:r>
            <w:r w:rsidRPr="00E00B35">
              <w:rPr>
                <w:rFonts w:eastAsia="Calibri" w:cs="Arial"/>
                <w:bCs/>
                <w:szCs w:val="20"/>
              </w:rPr>
              <w:t>(77 038)</w:t>
            </w:r>
          </w:p>
        </w:tc>
      </w:tr>
    </w:tbl>
    <w:p w:rsidR="007A4D59" w:rsidRPr="00E00B35" w:rsidRDefault="007A4D59" w:rsidP="00E00B35">
      <w:pPr>
        <w:spacing w:after="0" w:line="312" w:lineRule="auto"/>
        <w:rPr>
          <w:rFonts w:cs="Arial"/>
          <w:bCs/>
          <w:szCs w:val="20"/>
        </w:rPr>
      </w:pPr>
    </w:p>
    <w:p w:rsidR="007A4D59" w:rsidRPr="00E00B35" w:rsidRDefault="007A4D59" w:rsidP="00E00B35">
      <w:pPr>
        <w:spacing w:after="0" w:line="312" w:lineRule="auto"/>
        <w:rPr>
          <w:rFonts w:cs="Arial"/>
          <w:bCs/>
          <w:szCs w:val="20"/>
        </w:rPr>
      </w:pPr>
      <w:r w:rsidRPr="00E00B35">
        <w:rPr>
          <w:rFonts w:cs="Arial"/>
          <w:bCs/>
          <w:szCs w:val="20"/>
        </w:rPr>
        <w:t>Zadania w zakresie placów zabaw, oświetlenia oraz urządzeń wodnych</w:t>
      </w:r>
    </w:p>
    <w:p w:rsidR="007A4D59" w:rsidRPr="00E00B35" w:rsidRDefault="007A4D59" w:rsidP="00E00B35">
      <w:pPr>
        <w:spacing w:after="0" w:line="312" w:lineRule="auto"/>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gridCol w:w="2707"/>
        <w:gridCol w:w="1537"/>
        <w:gridCol w:w="1538"/>
        <w:gridCol w:w="1538"/>
        <w:gridCol w:w="1410"/>
      </w:tblGrid>
      <w:tr w:rsidR="007A4D59" w:rsidRPr="00E00B35" w:rsidTr="006D3493">
        <w:trPr>
          <w:cantSplit/>
          <w:trHeight w:val="116"/>
        </w:trPr>
        <w:tc>
          <w:tcPr>
            <w:tcW w:w="556" w:type="dxa"/>
            <w:vMerge w:val="restart"/>
          </w:tcPr>
          <w:p w:rsidR="007A4D59" w:rsidRPr="00E00B35" w:rsidRDefault="007A4D59" w:rsidP="00E00B35">
            <w:pPr>
              <w:spacing w:after="0" w:line="312" w:lineRule="auto"/>
              <w:rPr>
                <w:rFonts w:eastAsia="Calibri" w:cs="Arial"/>
                <w:szCs w:val="20"/>
              </w:rPr>
            </w:pPr>
            <w:r w:rsidRPr="00E00B35">
              <w:rPr>
                <w:rFonts w:eastAsia="Calibri" w:cs="Arial"/>
                <w:szCs w:val="20"/>
              </w:rPr>
              <w:t>Lp.</w:t>
            </w:r>
          </w:p>
        </w:tc>
        <w:tc>
          <w:tcPr>
            <w:tcW w:w="2707" w:type="dxa"/>
            <w:vMerge w:val="restart"/>
          </w:tcPr>
          <w:p w:rsidR="007A4D59" w:rsidRPr="00E00B35" w:rsidRDefault="007A4D59" w:rsidP="00E00B35">
            <w:pPr>
              <w:spacing w:after="0" w:line="312" w:lineRule="auto"/>
              <w:rPr>
                <w:rFonts w:eastAsia="Calibri" w:cs="Arial"/>
                <w:szCs w:val="20"/>
              </w:rPr>
            </w:pPr>
            <w:r w:rsidRPr="00E00B35">
              <w:rPr>
                <w:rFonts w:eastAsia="Calibri" w:cs="Arial"/>
                <w:szCs w:val="20"/>
              </w:rPr>
              <w:t>Nazwa czynności</w:t>
            </w:r>
          </w:p>
        </w:tc>
        <w:tc>
          <w:tcPr>
            <w:tcW w:w="6023" w:type="dxa"/>
            <w:gridSpan w:val="4"/>
          </w:tcPr>
          <w:p w:rsidR="007A4D59" w:rsidRPr="00E00B35" w:rsidRDefault="007A4D59" w:rsidP="00E00B35">
            <w:pPr>
              <w:spacing w:after="0" w:line="312" w:lineRule="auto"/>
              <w:rPr>
                <w:rFonts w:eastAsia="Calibri" w:cs="Arial"/>
                <w:szCs w:val="20"/>
              </w:rPr>
            </w:pPr>
            <w:r w:rsidRPr="00E00B35">
              <w:rPr>
                <w:rFonts w:eastAsia="Calibri" w:cs="Arial"/>
                <w:szCs w:val="20"/>
              </w:rPr>
              <w:t>Ilość obiektów (szt.)</w:t>
            </w:r>
          </w:p>
        </w:tc>
      </w:tr>
      <w:tr w:rsidR="007A4D59" w:rsidRPr="00E00B35" w:rsidTr="006D3493">
        <w:trPr>
          <w:cantSplit/>
          <w:trHeight w:val="115"/>
        </w:trPr>
        <w:tc>
          <w:tcPr>
            <w:tcW w:w="556" w:type="dxa"/>
            <w:vMerge/>
          </w:tcPr>
          <w:p w:rsidR="007A4D59" w:rsidRPr="00E00B35" w:rsidRDefault="007A4D59" w:rsidP="00E00B35">
            <w:pPr>
              <w:spacing w:after="0" w:line="312" w:lineRule="auto"/>
              <w:rPr>
                <w:rFonts w:eastAsia="Calibri" w:cs="Arial"/>
                <w:szCs w:val="20"/>
              </w:rPr>
            </w:pPr>
          </w:p>
        </w:tc>
        <w:tc>
          <w:tcPr>
            <w:tcW w:w="2707" w:type="dxa"/>
            <w:vMerge/>
          </w:tcPr>
          <w:p w:rsidR="007A4D59" w:rsidRPr="00E00B35" w:rsidRDefault="007A4D59" w:rsidP="00E00B35">
            <w:pPr>
              <w:spacing w:after="0" w:line="312" w:lineRule="auto"/>
              <w:rPr>
                <w:rFonts w:eastAsia="Calibri" w:cs="Arial"/>
                <w:szCs w:val="20"/>
              </w:rPr>
            </w:pP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2017</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2018</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2019</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2020</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1</w:t>
            </w:r>
          </w:p>
        </w:tc>
        <w:tc>
          <w:tcPr>
            <w:tcW w:w="8730" w:type="dxa"/>
            <w:gridSpan w:val="5"/>
          </w:tcPr>
          <w:p w:rsidR="007A4D59" w:rsidRPr="00E00B35" w:rsidRDefault="007A4D59" w:rsidP="00E00B35">
            <w:pPr>
              <w:spacing w:after="0" w:line="312" w:lineRule="auto"/>
              <w:rPr>
                <w:rFonts w:eastAsia="Calibri" w:cs="Arial"/>
                <w:szCs w:val="20"/>
              </w:rPr>
            </w:pPr>
            <w:r w:rsidRPr="00E00B35">
              <w:rPr>
                <w:rFonts w:eastAsia="Calibri" w:cs="Arial"/>
                <w:szCs w:val="20"/>
              </w:rPr>
              <w:t>Przeglądy, konserwacja i naprawy:</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p>
        </w:tc>
        <w:tc>
          <w:tcPr>
            <w:tcW w:w="2707" w:type="dxa"/>
          </w:tcPr>
          <w:p w:rsidR="007A4D59" w:rsidRPr="00E00B35" w:rsidRDefault="007A4D59" w:rsidP="00E00B35">
            <w:pPr>
              <w:spacing w:after="0" w:line="312" w:lineRule="auto"/>
              <w:rPr>
                <w:rFonts w:eastAsia="Calibri" w:cs="Arial"/>
                <w:szCs w:val="20"/>
              </w:rPr>
            </w:pPr>
            <w:r w:rsidRPr="00E00B35">
              <w:rPr>
                <w:rFonts w:eastAsia="Calibri" w:cs="Arial"/>
                <w:szCs w:val="20"/>
              </w:rPr>
              <w:t>- place zabaw</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95</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104</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122</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127</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p>
        </w:tc>
        <w:tc>
          <w:tcPr>
            <w:tcW w:w="2707" w:type="dxa"/>
          </w:tcPr>
          <w:p w:rsidR="007A4D59" w:rsidRPr="00E00B35" w:rsidRDefault="007A4D59" w:rsidP="00E00B35">
            <w:pPr>
              <w:spacing w:after="0" w:line="312" w:lineRule="auto"/>
              <w:rPr>
                <w:rFonts w:eastAsia="Calibri" w:cs="Arial"/>
                <w:szCs w:val="20"/>
              </w:rPr>
            </w:pPr>
            <w:r w:rsidRPr="00E00B35">
              <w:rPr>
                <w:rFonts w:eastAsia="Calibri" w:cs="Arial"/>
                <w:szCs w:val="20"/>
              </w:rPr>
              <w:t>- siłownie terenowe</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34</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41</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53</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59</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p>
        </w:tc>
        <w:tc>
          <w:tcPr>
            <w:tcW w:w="2707" w:type="dxa"/>
          </w:tcPr>
          <w:p w:rsidR="007A4D59" w:rsidRPr="00E00B35" w:rsidRDefault="007A4D59" w:rsidP="00E00B35">
            <w:pPr>
              <w:spacing w:after="0" w:line="312" w:lineRule="auto"/>
              <w:rPr>
                <w:rFonts w:eastAsia="Calibri" w:cs="Arial"/>
                <w:szCs w:val="20"/>
              </w:rPr>
            </w:pPr>
            <w:r w:rsidRPr="00E00B35">
              <w:rPr>
                <w:rFonts w:eastAsia="Calibri" w:cs="Arial"/>
                <w:szCs w:val="20"/>
              </w:rPr>
              <w:t>- ścieżki zdrowia</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7</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6</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8</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11</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t>3</w:t>
            </w:r>
          </w:p>
        </w:tc>
        <w:tc>
          <w:tcPr>
            <w:tcW w:w="8730" w:type="dxa"/>
            <w:gridSpan w:val="5"/>
          </w:tcPr>
          <w:p w:rsidR="007A4D59" w:rsidRPr="00E00B35" w:rsidRDefault="007A4D59" w:rsidP="00E00B35">
            <w:pPr>
              <w:spacing w:after="0" w:line="312" w:lineRule="auto"/>
              <w:rPr>
                <w:rFonts w:eastAsia="Calibri" w:cs="Arial"/>
                <w:szCs w:val="20"/>
              </w:rPr>
            </w:pPr>
            <w:r w:rsidRPr="00E00B35">
              <w:rPr>
                <w:rFonts w:eastAsia="Calibri" w:cs="Arial"/>
                <w:szCs w:val="20"/>
              </w:rPr>
              <w:t xml:space="preserve">Eksploatacja i konserwacja oświetlenia: </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p>
        </w:tc>
        <w:tc>
          <w:tcPr>
            <w:tcW w:w="2707" w:type="dxa"/>
          </w:tcPr>
          <w:p w:rsidR="007A4D59" w:rsidRPr="00E00B35" w:rsidRDefault="007A4D59" w:rsidP="00E00B35">
            <w:pPr>
              <w:spacing w:after="0" w:line="312" w:lineRule="auto"/>
              <w:rPr>
                <w:rFonts w:eastAsia="Calibri" w:cs="Arial"/>
                <w:szCs w:val="20"/>
              </w:rPr>
            </w:pPr>
            <w:r w:rsidRPr="00E00B35">
              <w:rPr>
                <w:rFonts w:eastAsia="Calibri" w:cs="Arial"/>
                <w:szCs w:val="20"/>
              </w:rPr>
              <w:t xml:space="preserve">- lampy oświetlenia typu parkowego i iluminacje </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2 325</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2 350</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2 594</w:t>
            </w:r>
          </w:p>
        </w:tc>
        <w:tc>
          <w:tcPr>
            <w:tcW w:w="1410" w:type="dxa"/>
          </w:tcPr>
          <w:p w:rsidR="007A4D59" w:rsidRPr="00E00B35" w:rsidRDefault="007A4D59" w:rsidP="00E00B35">
            <w:pPr>
              <w:spacing w:after="0" w:line="312" w:lineRule="auto"/>
              <w:rPr>
                <w:rFonts w:eastAsia="Calibri" w:cs="Arial"/>
                <w:szCs w:val="20"/>
              </w:rPr>
            </w:pPr>
            <w:r w:rsidRPr="00E00B35">
              <w:rPr>
                <w:rFonts w:cs="Helv"/>
                <w:szCs w:val="20"/>
              </w:rPr>
              <w:t>2 887</w:t>
            </w:r>
          </w:p>
        </w:tc>
      </w:tr>
      <w:tr w:rsidR="007A4D59" w:rsidRPr="00E00B35" w:rsidTr="006D3493">
        <w:tc>
          <w:tcPr>
            <w:tcW w:w="556" w:type="dxa"/>
          </w:tcPr>
          <w:p w:rsidR="007A4D59" w:rsidRPr="00E00B35" w:rsidRDefault="007A4D59" w:rsidP="00E00B35">
            <w:pPr>
              <w:spacing w:after="0" w:line="312" w:lineRule="auto"/>
              <w:rPr>
                <w:rFonts w:eastAsia="Calibri" w:cs="Arial"/>
                <w:szCs w:val="20"/>
              </w:rPr>
            </w:pPr>
            <w:r w:rsidRPr="00E00B35">
              <w:rPr>
                <w:rFonts w:eastAsia="Calibri" w:cs="Arial"/>
                <w:szCs w:val="20"/>
              </w:rPr>
              <w:lastRenderedPageBreak/>
              <w:t>4</w:t>
            </w:r>
          </w:p>
        </w:tc>
        <w:tc>
          <w:tcPr>
            <w:tcW w:w="8730" w:type="dxa"/>
            <w:gridSpan w:val="5"/>
          </w:tcPr>
          <w:p w:rsidR="007A4D59" w:rsidRPr="00E00B35" w:rsidRDefault="007A4D59" w:rsidP="00E00B35">
            <w:pPr>
              <w:spacing w:after="0" w:line="312" w:lineRule="auto"/>
              <w:rPr>
                <w:rFonts w:eastAsia="Calibri" w:cs="Arial"/>
                <w:szCs w:val="20"/>
              </w:rPr>
            </w:pPr>
            <w:r w:rsidRPr="00E00B35">
              <w:rPr>
                <w:rFonts w:eastAsia="Calibri" w:cs="Arial"/>
                <w:szCs w:val="20"/>
              </w:rPr>
              <w:t>Eksploatacja i konserwacja urządzeń wodnych:</w:t>
            </w:r>
          </w:p>
        </w:tc>
      </w:tr>
      <w:tr w:rsidR="007A4D59" w:rsidRPr="00E00B35" w:rsidTr="006D3493">
        <w:trPr>
          <w:trHeight w:val="119"/>
        </w:trPr>
        <w:tc>
          <w:tcPr>
            <w:tcW w:w="556" w:type="dxa"/>
          </w:tcPr>
          <w:p w:rsidR="007A4D59" w:rsidRPr="00E00B35" w:rsidRDefault="007A4D59" w:rsidP="00E00B35">
            <w:pPr>
              <w:spacing w:after="0" w:line="312" w:lineRule="auto"/>
              <w:rPr>
                <w:rFonts w:eastAsia="Calibri" w:cs="Arial"/>
                <w:szCs w:val="20"/>
              </w:rPr>
            </w:pPr>
          </w:p>
        </w:tc>
        <w:tc>
          <w:tcPr>
            <w:tcW w:w="2707" w:type="dxa"/>
          </w:tcPr>
          <w:p w:rsidR="007A4D59" w:rsidRPr="00E00B35" w:rsidRDefault="007A4D59" w:rsidP="00E00B35">
            <w:pPr>
              <w:spacing w:after="0" w:line="312" w:lineRule="auto"/>
              <w:rPr>
                <w:rFonts w:eastAsia="Calibri" w:cs="Arial"/>
                <w:szCs w:val="20"/>
              </w:rPr>
            </w:pPr>
            <w:r w:rsidRPr="00E00B35">
              <w:rPr>
                <w:rFonts w:eastAsia="Calibri" w:cs="Arial"/>
                <w:szCs w:val="20"/>
              </w:rPr>
              <w:t xml:space="preserve">- fontanny i systemy nawadniania </w:t>
            </w:r>
          </w:p>
        </w:tc>
        <w:tc>
          <w:tcPr>
            <w:tcW w:w="1537" w:type="dxa"/>
          </w:tcPr>
          <w:p w:rsidR="007A4D59" w:rsidRPr="00E00B35" w:rsidRDefault="007A4D59" w:rsidP="00E00B35">
            <w:pPr>
              <w:spacing w:after="0" w:line="312" w:lineRule="auto"/>
              <w:rPr>
                <w:rFonts w:eastAsia="Calibri" w:cs="Arial"/>
                <w:szCs w:val="20"/>
              </w:rPr>
            </w:pPr>
            <w:r w:rsidRPr="00E00B35">
              <w:rPr>
                <w:rFonts w:eastAsia="Calibri" w:cs="Arial"/>
                <w:szCs w:val="20"/>
              </w:rPr>
              <w:t>39</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35</w:t>
            </w:r>
          </w:p>
        </w:tc>
        <w:tc>
          <w:tcPr>
            <w:tcW w:w="1538" w:type="dxa"/>
          </w:tcPr>
          <w:p w:rsidR="007A4D59" w:rsidRPr="00E00B35" w:rsidRDefault="007A4D59" w:rsidP="00E00B35">
            <w:pPr>
              <w:spacing w:after="0" w:line="312" w:lineRule="auto"/>
              <w:rPr>
                <w:rFonts w:eastAsia="Calibri" w:cs="Arial"/>
                <w:szCs w:val="20"/>
              </w:rPr>
            </w:pPr>
            <w:r w:rsidRPr="00E00B35">
              <w:rPr>
                <w:rFonts w:eastAsia="Calibri" w:cs="Arial"/>
                <w:szCs w:val="20"/>
              </w:rPr>
              <w:t>35</w:t>
            </w:r>
          </w:p>
        </w:tc>
        <w:tc>
          <w:tcPr>
            <w:tcW w:w="1410" w:type="dxa"/>
          </w:tcPr>
          <w:p w:rsidR="007A4D59" w:rsidRPr="00E00B35" w:rsidRDefault="007A4D59" w:rsidP="00E00B35">
            <w:pPr>
              <w:spacing w:after="0" w:line="312" w:lineRule="auto"/>
              <w:rPr>
                <w:rFonts w:eastAsia="Calibri" w:cs="Arial"/>
                <w:szCs w:val="20"/>
              </w:rPr>
            </w:pPr>
            <w:r w:rsidRPr="00E00B35">
              <w:rPr>
                <w:rFonts w:eastAsia="Calibri" w:cs="Arial"/>
                <w:szCs w:val="20"/>
              </w:rPr>
              <w:t>39</w:t>
            </w:r>
          </w:p>
        </w:tc>
      </w:tr>
    </w:tbl>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bookmarkStart w:id="708" w:name="_Hlk61957648"/>
      <w:r w:rsidRPr="00E00B35">
        <w:rPr>
          <w:b w:val="0"/>
          <w:sz w:val="20"/>
          <w:szCs w:val="20"/>
        </w:rPr>
        <w:t>Podsumowanie</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bCs/>
          <w:szCs w:val="20"/>
        </w:rPr>
      </w:pPr>
      <w:r w:rsidRPr="00E00B35">
        <w:rPr>
          <w:bCs/>
          <w:szCs w:val="20"/>
        </w:rPr>
        <w:t>Działania Zarządu Zieleni Miejskiej związane z realizacją zadań inwestycyjnych, bieżącą konserwacją terenów zieleni miejskiej są spójne z programem Prezydenta oraz Strategią Wrocławia 2030. Obywa się to poprzez:</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Zwiększanie powierzchni terenów zieleni miejskiej-zmiany powierzchni parków i zieleńców są wynikiem przeprowadzonych inwestycji, zagospodarowania terenów niedostępnych i niedostosowanych do użytkowania oraz kontynuacją działań związanych z weryfikacją przyjętej klasyfikacji i zadań bieżących, w tym realizacji planu nasadzeń na nowych terenach.</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Modernizacja terenów zieleni pod względem rekreacyjnym - Powstało 8 nowych placów zabaw, 26 doposażono poprzez zamontowanie nowych urządzeń. Powstało 5 nowych siłowni terenowych, 2 zestawy kalisteniki, 2 ścieżki zdrowia, 2 bulodromy, pumptrack i skatepark. Doposażono tereny zieleni w elementy małej architektury tj. ławki i kosze na odpady, tablice informacyjne i edukacyjne. W ramach ww. działań stworzono miejsca, które umożliwiają aktywny wypoczynek mieszkańcom. Ponadto podniesiono standard i atrakcyjność terenów pod względem aktywności sportowej wśród zieleni.</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Podnoszenie standardów bieżącego utrzymania istniejących terenów zieleni miejskiej; </w:t>
      </w:r>
      <w:bookmarkStart w:id="709" w:name="_Hlk62126029"/>
      <w:r w:rsidRPr="00E00B35">
        <w:rPr>
          <w:szCs w:val="20"/>
        </w:rPr>
        <w:t>nasycanie zielenią istniejących obiektów zieleni miejskiej poprzez nasadzenia zieleni</w:t>
      </w:r>
      <w:bookmarkEnd w:id="709"/>
      <w:r w:rsidRPr="00E00B35">
        <w:rPr>
          <w:szCs w:val="20"/>
        </w:rPr>
        <w:t xml:space="preserve">.  W 2020 nasadzono 3 221 drzew, ponad 90 000 krzewów i pnączy, ok. 90 000 bylin i traw ozdobnych, ponad 300 000 kwiatów rabatowych i cebulowych. Dodatkowo na terenach zieleni miejskiej zrealizowano nasadzenia ponad 1690 drzew wykonane przez jednostki gminne i inwestorów prywatnych.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Konsekwentna rewaloryzacja i rewitalizacja istniejących założeń zieleni m.in. zagospodarowanie zieleńca przy ul. Wolbromskiej, Pereca, Mrągowskiej, Środkowej/Szczepińskiej, Hynka, Szybowcowej, Średzkiej, Sanockiej a także Polany Popowickiej, Słonecznego Parku na Ołtaszynie,  Górce Pafawag, Skweru Ludzi ze znakiem P, Skweru Bełzy, terenu zieleni przy ul. Św.Marcina, przy ul. Średzkiej.</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Budowa toalet samoobsługowych we wrocławskich parkach dostosowanych dla potrzeb osób niepełnosprawnych w parku Szczytnickim, Skowronim, Zachodnim oraz zieleńcu przy ul. Bernardyńskiej,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Budowa oświetlenia na zieleńcach przy ul. Wolbromskiej, Bernardyńskiej, Ełckiej, Hermanowskiej, Kolumba, Parku Wojszyce, Park Brochowski. </w:t>
      </w:r>
    </w:p>
    <w:p w:rsidR="00F11E03" w:rsidRPr="00E00B35" w:rsidRDefault="00F11E03" w:rsidP="00E00B35">
      <w:pPr>
        <w:pStyle w:val="Akapitzlist"/>
        <w:spacing w:after="0" w:line="312" w:lineRule="auto"/>
        <w:ind w:left="426"/>
        <w:rPr>
          <w:szCs w:val="20"/>
        </w:rPr>
      </w:pPr>
    </w:p>
    <w:p w:rsidR="007A4D59" w:rsidRPr="00E00B35" w:rsidRDefault="007A4D59" w:rsidP="00E00B35">
      <w:pPr>
        <w:pStyle w:val="Nagwek4"/>
        <w:spacing w:before="0" w:after="0" w:line="312" w:lineRule="auto"/>
        <w:rPr>
          <w:rFonts w:eastAsia="Calibri"/>
          <w:b w:val="0"/>
          <w:sz w:val="20"/>
          <w:szCs w:val="20"/>
        </w:rPr>
      </w:pPr>
      <w:r w:rsidRPr="00E00B35">
        <w:rPr>
          <w:rFonts w:eastAsia="Calibri"/>
          <w:b w:val="0"/>
          <w:sz w:val="20"/>
          <w:szCs w:val="20"/>
        </w:rPr>
        <w:t>Wykaz inwestycji zrealizowanych w 2020r.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3"/>
        <w:gridCol w:w="6078"/>
      </w:tblGrid>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Lp.</w:t>
            </w:r>
          </w:p>
        </w:tc>
        <w:tc>
          <w:tcPr>
            <w:tcW w:w="6078" w:type="dxa"/>
            <w:shd w:val="clear" w:color="auto" w:fill="auto"/>
          </w:tcPr>
          <w:p w:rsidR="007A4D59" w:rsidRPr="00E00B35" w:rsidRDefault="007A4D59" w:rsidP="00E00B35">
            <w:pPr>
              <w:spacing w:after="0" w:line="312" w:lineRule="auto"/>
              <w:rPr>
                <w:rFonts w:eastAsia="Calibri"/>
                <w:bCs/>
                <w:szCs w:val="20"/>
              </w:rPr>
            </w:pP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szCs w:val="20"/>
              </w:rPr>
            </w:pPr>
            <w:r w:rsidRPr="00E00B35">
              <w:rPr>
                <w:rFonts w:eastAsia="Calibri"/>
                <w:szCs w:val="20"/>
              </w:rPr>
              <w:t>1.</w:t>
            </w:r>
          </w:p>
        </w:tc>
        <w:tc>
          <w:tcPr>
            <w:tcW w:w="6078" w:type="dxa"/>
            <w:shd w:val="clear" w:color="auto" w:fill="auto"/>
          </w:tcPr>
          <w:p w:rsidR="007A4D59" w:rsidRPr="00E00B35" w:rsidRDefault="007A4D59" w:rsidP="00E00B35">
            <w:pPr>
              <w:spacing w:after="0" w:line="312" w:lineRule="auto"/>
              <w:rPr>
                <w:rFonts w:eastAsia="Calibri"/>
                <w:szCs w:val="20"/>
              </w:rPr>
            </w:pPr>
            <w:r w:rsidRPr="00E00B35">
              <w:rPr>
                <w:rFonts w:eastAsia="Calibri"/>
                <w:szCs w:val="20"/>
              </w:rPr>
              <w:t>Nowe tereny</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1.1</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Zieleniec przy ul. Kwaśnej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lastRenderedPageBreak/>
              <w:t>1.2</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kładce Pawłowickiej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1.3</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ul. Świętokrzyskiej 45A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1.4</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Park kieszonkowy przy ul. Kolistej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1.5</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ul. Grabskiego</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1.6</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ul. Kosmicznej, ul. Chlebowej i ul. Spokojnej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1.7</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Park Maślicki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1.8</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Park przy ul. Maślickiej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1.9</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Park Wojszyce</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1.10</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Skwer Wrocławianek przy ul. Bernardyńskiej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1.11</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Jezioro Pawłowickie</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1.12</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ul. Wojanowskiej (ZIM)</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1.13</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ul. Orzechowej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1.14</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 xml:space="preserve">Skwer przy Belwederczyków </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szCs w:val="20"/>
              </w:rPr>
            </w:pPr>
            <w:r w:rsidRPr="00E00B35">
              <w:rPr>
                <w:rFonts w:eastAsia="Calibri"/>
                <w:szCs w:val="20"/>
              </w:rPr>
              <w:t>2.</w:t>
            </w:r>
          </w:p>
        </w:tc>
        <w:tc>
          <w:tcPr>
            <w:tcW w:w="6078" w:type="dxa"/>
            <w:shd w:val="clear" w:color="auto" w:fill="auto"/>
          </w:tcPr>
          <w:p w:rsidR="007A4D59" w:rsidRPr="00E00B35" w:rsidRDefault="007A4D59" w:rsidP="00E00B35">
            <w:pPr>
              <w:spacing w:after="0" w:line="312" w:lineRule="auto"/>
              <w:rPr>
                <w:rFonts w:eastAsia="Calibri"/>
                <w:szCs w:val="20"/>
              </w:rPr>
            </w:pPr>
            <w:r w:rsidRPr="00E00B35">
              <w:rPr>
                <w:rFonts w:eastAsia="Calibri"/>
                <w:szCs w:val="20"/>
              </w:rPr>
              <w:t>Rewitalizacja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2.1</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cs="Calibri"/>
                <w:bCs/>
                <w:szCs w:val="20"/>
              </w:rPr>
              <w:t>Zieleniec przy ul. Pereca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2.2</w:t>
            </w:r>
          </w:p>
        </w:tc>
        <w:tc>
          <w:tcPr>
            <w:tcW w:w="6078" w:type="dxa"/>
            <w:shd w:val="clear" w:color="auto" w:fill="auto"/>
            <w:vAlign w:val="center"/>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ul. Mrągowskiej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2.3</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ul. Wolbrobskiej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2.4</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ul. Środkowej/Szczepińskiej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2.5</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Górka Pafawag – etap III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2.6</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Skwer Ludzi ze znakiem „P” – etap 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2.7</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Skwer Bełzy – etap 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2.8</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ul. Hynka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2.9</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ul. Szybowcowej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2.10</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Zagospodarowanie terenu zieleni przy ul.Św.Marcina -   III etap</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2.11</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Zagospodarowanie terenu zieleni przy ul. Średzkiej – etap 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2.12</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Zagospodarowanie terenu przy ul. Sanockiej – etap II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2.13</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Polana Popowicka etap 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2.14</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Słoneczny Park na Ołtaszynie – etap III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szCs w:val="20"/>
              </w:rPr>
            </w:pPr>
            <w:r w:rsidRPr="00E00B35">
              <w:rPr>
                <w:rFonts w:eastAsia="Calibri"/>
                <w:szCs w:val="20"/>
              </w:rPr>
              <w:t>3.</w:t>
            </w:r>
          </w:p>
        </w:tc>
        <w:tc>
          <w:tcPr>
            <w:tcW w:w="6078" w:type="dxa"/>
            <w:shd w:val="clear" w:color="auto" w:fill="auto"/>
          </w:tcPr>
          <w:p w:rsidR="007A4D59" w:rsidRPr="00E00B35" w:rsidRDefault="007A4D59" w:rsidP="00E00B35">
            <w:pPr>
              <w:spacing w:after="0" w:line="312" w:lineRule="auto"/>
              <w:rPr>
                <w:rFonts w:eastAsia="Calibri" w:cs="Calibri"/>
                <w:szCs w:val="20"/>
              </w:rPr>
            </w:pPr>
            <w:r w:rsidRPr="00E00B35">
              <w:rPr>
                <w:rFonts w:eastAsia="Calibri" w:cs="Calibri"/>
                <w:szCs w:val="20"/>
              </w:rPr>
              <w:t>Sport i Turystyka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3.1</w:t>
            </w:r>
          </w:p>
        </w:tc>
        <w:tc>
          <w:tcPr>
            <w:tcW w:w="6078" w:type="dxa"/>
            <w:shd w:val="clear" w:color="auto" w:fill="auto"/>
          </w:tcPr>
          <w:p w:rsidR="007A4D59" w:rsidRPr="00E00B35" w:rsidRDefault="007A4D59" w:rsidP="00E00B35">
            <w:pPr>
              <w:spacing w:after="0" w:line="312" w:lineRule="auto"/>
              <w:rPr>
                <w:rFonts w:eastAsia="Calibri"/>
                <w:szCs w:val="20"/>
              </w:rPr>
            </w:pPr>
            <w:r w:rsidRPr="00E00B35">
              <w:rPr>
                <w:rFonts w:eastAsia="Calibri"/>
                <w:szCs w:val="20"/>
              </w:rPr>
              <w:t>Place zabaw</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3.1.1</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Przy ul. Wolbromskiej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3.1.2</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Park Wojszycki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3.1.3</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cs="Calibri"/>
                <w:bCs/>
                <w:szCs w:val="20"/>
              </w:rPr>
              <w:t>Zieleniec przy ul. Hynka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3.1.4</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Park Grabiszyński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3.1.5</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Park Maślicki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3.1.6</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Park Złotnicki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3.1.7</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Zieleniec przy ul. Kwaśnej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3.1.8</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Zieleniec przy ul. Wojanowskiej (ZIM)</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3.2</w:t>
            </w:r>
          </w:p>
        </w:tc>
        <w:tc>
          <w:tcPr>
            <w:tcW w:w="6078" w:type="dxa"/>
            <w:shd w:val="clear" w:color="auto" w:fill="auto"/>
          </w:tcPr>
          <w:p w:rsidR="007A4D59" w:rsidRPr="00E00B35" w:rsidRDefault="007A4D59" w:rsidP="00E00B35">
            <w:pPr>
              <w:spacing w:after="0" w:line="312" w:lineRule="auto"/>
              <w:rPr>
                <w:rFonts w:eastAsia="Calibri"/>
                <w:szCs w:val="20"/>
              </w:rPr>
            </w:pPr>
            <w:r w:rsidRPr="00E00B35">
              <w:rPr>
                <w:rFonts w:eastAsia="Calibri"/>
                <w:szCs w:val="20"/>
              </w:rPr>
              <w:t>Siłownie/Kalisteniki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lastRenderedPageBreak/>
              <w:t>3.2.1</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cs="Calibri"/>
                <w:bCs/>
                <w:szCs w:val="20"/>
              </w:rPr>
              <w:t>Skwer Ludzi ze znakiem „P” – etap I - siłownia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3.2.2</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cs="Calibri"/>
                <w:bCs/>
                <w:szCs w:val="20"/>
              </w:rPr>
              <w:t>Skwer Bełzy siłownia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3.2.3</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cs="Calibri"/>
                <w:bCs/>
                <w:szCs w:val="20"/>
              </w:rPr>
              <w:t>Zieleniec przy ul. Szybowcowej - siłownia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3.2.4</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Park Maślicki- ścieżka zdrowia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3.2.5</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Park EkoPark Stabłowice - siłownia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3.2.6</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Wolbromska - siłownia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3.2.7</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Zieleniec przy ul.Wojanowskiej (ZIM) - kalistenika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3.2.8</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Górka PaFaWag - kalistenika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3.2.9</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Park Kasprowicza – ścieżka zdrowia (ZIM)</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3.3</w:t>
            </w:r>
          </w:p>
        </w:tc>
        <w:tc>
          <w:tcPr>
            <w:tcW w:w="6078" w:type="dxa"/>
            <w:shd w:val="clear" w:color="auto" w:fill="auto"/>
          </w:tcPr>
          <w:p w:rsidR="007A4D59" w:rsidRPr="00E00B35" w:rsidRDefault="007A4D59" w:rsidP="00E00B35">
            <w:pPr>
              <w:spacing w:after="0" w:line="312" w:lineRule="auto"/>
              <w:rPr>
                <w:rFonts w:eastAsia="Calibri" w:cs="Calibri"/>
                <w:szCs w:val="20"/>
              </w:rPr>
            </w:pPr>
            <w:r w:rsidRPr="00E00B35">
              <w:rPr>
                <w:rFonts w:eastAsia="Calibri" w:cs="Calibri"/>
                <w:szCs w:val="20"/>
              </w:rPr>
              <w:t>Pumptrack</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3.3.1</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Hermanowska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3.4</w:t>
            </w:r>
          </w:p>
        </w:tc>
        <w:tc>
          <w:tcPr>
            <w:tcW w:w="6078" w:type="dxa"/>
            <w:shd w:val="clear" w:color="auto" w:fill="auto"/>
          </w:tcPr>
          <w:p w:rsidR="007A4D59" w:rsidRPr="00E00B35" w:rsidRDefault="007A4D59" w:rsidP="00E00B35">
            <w:pPr>
              <w:spacing w:after="0" w:line="312" w:lineRule="auto"/>
              <w:rPr>
                <w:rFonts w:eastAsia="Calibri" w:cs="Calibri"/>
                <w:szCs w:val="20"/>
              </w:rPr>
            </w:pPr>
            <w:r w:rsidRPr="00E00B35">
              <w:rPr>
                <w:rFonts w:eastAsia="Calibri" w:cs="Calibri"/>
                <w:szCs w:val="20"/>
              </w:rPr>
              <w:t>Skatepark</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3.4.1</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cs="Calibri"/>
                <w:bCs/>
                <w:szCs w:val="20"/>
              </w:rPr>
              <w:t>Park Jedności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3.5</w:t>
            </w:r>
          </w:p>
        </w:tc>
        <w:tc>
          <w:tcPr>
            <w:tcW w:w="6078" w:type="dxa"/>
            <w:shd w:val="clear" w:color="auto" w:fill="auto"/>
          </w:tcPr>
          <w:p w:rsidR="007A4D59" w:rsidRPr="00E00B35" w:rsidRDefault="007A4D59" w:rsidP="00E00B35">
            <w:pPr>
              <w:spacing w:after="0" w:line="312" w:lineRule="auto"/>
              <w:rPr>
                <w:rFonts w:eastAsia="Calibri" w:cs="Calibri"/>
                <w:szCs w:val="20"/>
              </w:rPr>
            </w:pPr>
            <w:r w:rsidRPr="00E00B35">
              <w:rPr>
                <w:rFonts w:eastAsia="Calibri" w:cs="Calibri"/>
                <w:szCs w:val="20"/>
              </w:rPr>
              <w:t>Bulodrom</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3.5.1</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bCs/>
                <w:szCs w:val="20"/>
              </w:rPr>
              <w:t>Park Jedności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3.5.2</w:t>
            </w:r>
          </w:p>
        </w:tc>
        <w:tc>
          <w:tcPr>
            <w:tcW w:w="6078" w:type="dxa"/>
            <w:shd w:val="clear" w:color="auto" w:fill="auto"/>
          </w:tcPr>
          <w:p w:rsidR="007A4D59" w:rsidRPr="00E00B35" w:rsidRDefault="007A4D59" w:rsidP="00E00B35">
            <w:pPr>
              <w:spacing w:after="0" w:line="312" w:lineRule="auto"/>
              <w:rPr>
                <w:rFonts w:eastAsia="Calibri" w:cs="Calibri"/>
                <w:bCs/>
                <w:szCs w:val="20"/>
              </w:rPr>
            </w:pPr>
            <w:r w:rsidRPr="00E00B35">
              <w:rPr>
                <w:rFonts w:eastAsia="Calibri"/>
                <w:bCs/>
                <w:szCs w:val="20"/>
              </w:rPr>
              <w:t>Polana Popowicka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4.</w:t>
            </w:r>
          </w:p>
        </w:tc>
        <w:tc>
          <w:tcPr>
            <w:tcW w:w="6078" w:type="dxa"/>
            <w:shd w:val="clear" w:color="auto" w:fill="auto"/>
          </w:tcPr>
          <w:p w:rsidR="007A4D59" w:rsidRPr="00E00B35" w:rsidRDefault="007A4D59" w:rsidP="00E00B35">
            <w:pPr>
              <w:spacing w:after="0" w:line="312" w:lineRule="auto"/>
              <w:rPr>
                <w:rFonts w:eastAsia="Calibri"/>
                <w:szCs w:val="20"/>
              </w:rPr>
            </w:pPr>
            <w:r w:rsidRPr="00E00B35">
              <w:rPr>
                <w:rFonts w:eastAsia="Calibri"/>
                <w:szCs w:val="20"/>
              </w:rPr>
              <w:t>Psie Wybiegi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4.1</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W Parku Klecińskim</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4.2</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cs="Calibri"/>
                <w:bCs/>
                <w:szCs w:val="20"/>
              </w:rPr>
              <w:t>Na Zieleńcu przy ul. Środkowej/Szczepińskiej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w:t>
            </w:r>
          </w:p>
        </w:tc>
        <w:tc>
          <w:tcPr>
            <w:tcW w:w="6078" w:type="dxa"/>
            <w:shd w:val="clear" w:color="auto" w:fill="auto"/>
          </w:tcPr>
          <w:p w:rsidR="007A4D59" w:rsidRPr="00E00B35" w:rsidRDefault="007A4D59" w:rsidP="00E00B35">
            <w:pPr>
              <w:spacing w:after="0" w:line="312" w:lineRule="auto"/>
              <w:rPr>
                <w:rFonts w:eastAsia="Calibri"/>
                <w:szCs w:val="20"/>
              </w:rPr>
            </w:pPr>
            <w:r w:rsidRPr="00E00B35">
              <w:rPr>
                <w:rFonts w:eastAsia="Calibri"/>
                <w:szCs w:val="20"/>
              </w:rPr>
              <w:t>Bezpieczeństwo</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5.1</w:t>
            </w:r>
          </w:p>
        </w:tc>
        <w:tc>
          <w:tcPr>
            <w:tcW w:w="6078" w:type="dxa"/>
            <w:shd w:val="clear" w:color="auto" w:fill="auto"/>
          </w:tcPr>
          <w:p w:rsidR="007A4D59" w:rsidRPr="00E00B35" w:rsidRDefault="007A4D59" w:rsidP="00E00B35">
            <w:pPr>
              <w:spacing w:after="0" w:line="312" w:lineRule="auto"/>
              <w:rPr>
                <w:rFonts w:eastAsia="Calibri"/>
                <w:szCs w:val="20"/>
              </w:rPr>
            </w:pPr>
            <w:r w:rsidRPr="00E00B35">
              <w:rPr>
                <w:rFonts w:eastAsia="Calibri"/>
                <w:szCs w:val="20"/>
              </w:rPr>
              <w:t>Toalety</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5.1.1</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Toaleta w parku Szczytnickim</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5.1.2</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Toaleta w Parku Skowronim</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5.1.3</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Toaleta w parku Zachodnim</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5.1.4</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Toaleta przy ul. Bernardyńskiej</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5.2</w:t>
            </w:r>
          </w:p>
        </w:tc>
        <w:tc>
          <w:tcPr>
            <w:tcW w:w="6078" w:type="dxa"/>
            <w:shd w:val="clear" w:color="auto" w:fill="auto"/>
          </w:tcPr>
          <w:p w:rsidR="007A4D59" w:rsidRPr="00E00B35" w:rsidRDefault="007A4D59" w:rsidP="00E00B35">
            <w:pPr>
              <w:spacing w:after="0" w:line="312" w:lineRule="auto"/>
              <w:rPr>
                <w:rFonts w:eastAsia="Calibri"/>
                <w:szCs w:val="20"/>
              </w:rPr>
            </w:pPr>
            <w:r w:rsidRPr="00E00B35">
              <w:rPr>
                <w:rFonts w:eastAsia="Calibri"/>
                <w:szCs w:val="20"/>
              </w:rPr>
              <w:t>Oświetlenie</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5.2.1</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Wolbromska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5.2.2</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Bernardyńska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5.2.3</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Park Brochowski – etap I</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5.2.4</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Ełcka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5.2.5</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Park Wojszyce</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5.2.6</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Hermanowska</w:t>
            </w:r>
          </w:p>
        </w:tc>
      </w:tr>
      <w:tr w:rsidR="007A4D59" w:rsidRPr="00E00B35" w:rsidTr="006D3493">
        <w:tc>
          <w:tcPr>
            <w:tcW w:w="691"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5.2.7</w:t>
            </w:r>
          </w:p>
        </w:tc>
        <w:tc>
          <w:tcPr>
            <w:tcW w:w="6078" w:type="dxa"/>
            <w:shd w:val="clear" w:color="auto" w:fill="auto"/>
          </w:tcPr>
          <w:p w:rsidR="007A4D59" w:rsidRPr="00E00B35" w:rsidRDefault="007A4D59" w:rsidP="00E00B35">
            <w:pPr>
              <w:spacing w:after="0" w:line="312" w:lineRule="auto"/>
              <w:rPr>
                <w:rFonts w:eastAsia="Calibri"/>
                <w:bCs/>
                <w:szCs w:val="20"/>
              </w:rPr>
            </w:pPr>
            <w:r w:rsidRPr="00E00B35">
              <w:rPr>
                <w:rFonts w:eastAsia="Calibri"/>
                <w:bCs/>
                <w:szCs w:val="20"/>
              </w:rPr>
              <w:t>Zieleniec przy ul. Kolumba</w:t>
            </w:r>
          </w:p>
        </w:tc>
      </w:tr>
      <w:bookmarkEnd w:id="708"/>
    </w:tbl>
    <w:p w:rsidR="007A4D59" w:rsidRPr="00E00B35" w:rsidRDefault="007A4D59" w:rsidP="00E00B35">
      <w:pPr>
        <w:pStyle w:val="Stopka"/>
        <w:spacing w:after="0" w:line="312" w:lineRule="auto"/>
        <w:rPr>
          <w:b/>
          <w:szCs w:val="20"/>
        </w:rPr>
      </w:pPr>
    </w:p>
    <w:p w:rsidR="007A4D59" w:rsidRPr="00E00B35" w:rsidRDefault="007A4D59" w:rsidP="00E00B35">
      <w:pPr>
        <w:pStyle w:val="Nagwek4"/>
        <w:spacing w:before="0" w:after="0" w:line="312" w:lineRule="auto"/>
        <w:rPr>
          <w:b w:val="0"/>
          <w:sz w:val="20"/>
          <w:szCs w:val="20"/>
        </w:rPr>
      </w:pPr>
      <w:bookmarkStart w:id="710" w:name="_Hlk62197799"/>
      <w:r w:rsidRPr="00E00B35">
        <w:rPr>
          <w:b w:val="0"/>
          <w:sz w:val="20"/>
          <w:szCs w:val="20"/>
        </w:rPr>
        <w:t>Działania promocyjne</w:t>
      </w:r>
    </w:p>
    <w:p w:rsidR="007A4D59" w:rsidRPr="00E00B35" w:rsidRDefault="007A4D59" w:rsidP="00E00B35">
      <w:pPr>
        <w:pStyle w:val="Tekstpodstawowy"/>
        <w:spacing w:after="0" w:line="312" w:lineRule="auto"/>
        <w:rPr>
          <w:rFonts w:cs="Verdana"/>
          <w:szCs w:val="20"/>
        </w:rPr>
      </w:pPr>
      <w:r w:rsidRPr="00E00B35">
        <w:rPr>
          <w:rFonts w:cs="Verdana"/>
          <w:szCs w:val="20"/>
        </w:rPr>
        <w:t xml:space="preserve">Prowadzono działalność promującą działania ZZM na rzecz rozwoju zieleni i ochrony przyrody w mediach tradycyjnych i społecznościowych. W 2020 roku przygotowane zostały 194 posty dotyczące działań ZZM na profilach miejskich m. in. Zielony Wrocław, które miały jednorazowo od kilku do kilkudziesięciu tysięcy odbiorców (Wrośnij we Wrocław, wymiana choinek). Przygotowano filmy dotyczące inwestycji realizowanych przez Zarząd oraz jego bieżącej działalności np. sadzenia drzew. W ramach działań promocyjnych wprowadzono również program Zielony Mecenat za sprawą którego, każdy </w:t>
      </w:r>
      <w:r w:rsidRPr="00E00B35">
        <w:rPr>
          <w:rFonts w:cs="Verdana"/>
          <w:szCs w:val="20"/>
        </w:rPr>
        <w:lastRenderedPageBreak/>
        <w:t xml:space="preserve">może zostać sponsorem zielonego projektu. W ramach programu można zasponsorować np.: nasadzenie roślin, założenie łąki kwietnej czy doposażyć teren zieleni w elementy małej architektury. </w:t>
      </w:r>
    </w:p>
    <w:p w:rsidR="00B1753A" w:rsidRDefault="00B1753A" w:rsidP="00E00B35">
      <w:pPr>
        <w:pStyle w:val="Nagwek5"/>
        <w:rPr>
          <w:szCs w:val="20"/>
        </w:rPr>
      </w:pPr>
      <w:bookmarkStart w:id="711" w:name="_Toc71032622"/>
      <w:bookmarkStart w:id="712" w:name="_Toc71034604"/>
      <w:bookmarkEnd w:id="710"/>
    </w:p>
    <w:p w:rsidR="007A4D59" w:rsidRPr="00E00B35" w:rsidRDefault="007A4D59" w:rsidP="00E00B35">
      <w:pPr>
        <w:pStyle w:val="Nagwek5"/>
        <w:rPr>
          <w:szCs w:val="20"/>
        </w:rPr>
      </w:pPr>
      <w:r w:rsidRPr="00E00B35">
        <w:rPr>
          <w:szCs w:val="20"/>
        </w:rPr>
        <w:t>ZADANIE NR 9: SZARE NA ZIELONE</w:t>
      </w:r>
      <w:bookmarkEnd w:id="711"/>
      <w:bookmarkEnd w:id="712"/>
    </w:p>
    <w:p w:rsidR="007A4D59" w:rsidRPr="00E00B35" w:rsidRDefault="007A4D59" w:rsidP="00E00B35">
      <w:pPr>
        <w:spacing w:after="0" w:line="312" w:lineRule="auto"/>
        <w:rPr>
          <w:rFonts w:cs="Verdana"/>
          <w:szCs w:val="20"/>
        </w:rPr>
      </w:pPr>
      <w:r w:rsidRPr="00E00B35">
        <w:rPr>
          <w:rFonts w:cs="Verdana"/>
          <w:szCs w:val="20"/>
        </w:rPr>
        <w:t>Program „Szare na Zielone” ma na celu przekształcanie terenów zewnętrznych szkół i przedszkoli w obszary zieleni bezpiecznej i przyjaznej dla uczniów z zachowaniem funkcji zwiększania odporności na zmiany klimatu, ochrony przed hałasem, zachowania bioróżnorodności oraz małej retencji wód opadowych wraz z towarzyszącym zadaniem edukacyjnym dla uczniów. Zieleń z wykorzystaniem zielonej infrastruktury na terenie placówek oświatowych powinna być zaadaptowana do warunków lokalnych, efektywna środowiskowo jednocześnie dostarczając korzyści natury ekologicznej, ekonomicznej i społecznej. Przy założeniach projektowych zieleni należy uwzględnić możliwość zagospodarowania wód opadowych (np. gromadzenie deszczówki do podlewania roślinności) czy zwiększania zacienienia (np. trejaże). Zalecane są rozwiązania zwiększające udział powierzchni przepuszczalnych. W ramach przedmiotowego zadania ujmowane są również prace wycinkowe i realizacja nasadzeń zastępczych, wynikające z decyzji wydanych przez Marszałka Województwa Dolnośląskiego.</w:t>
      </w:r>
    </w:p>
    <w:p w:rsidR="007A4D59" w:rsidRPr="00E00B35" w:rsidRDefault="007A4D59" w:rsidP="00E00B35">
      <w:pPr>
        <w:spacing w:after="0" w:line="312" w:lineRule="auto"/>
        <w:rPr>
          <w:rFonts w:cs="Verdana"/>
          <w:szCs w:val="20"/>
        </w:rPr>
      </w:pPr>
    </w:p>
    <w:p w:rsidR="007A4D59" w:rsidRPr="00E00B35" w:rsidRDefault="007A4D59" w:rsidP="00E00B35">
      <w:pPr>
        <w:spacing w:after="0" w:line="312" w:lineRule="auto"/>
        <w:rPr>
          <w:rFonts w:cs="Verdana"/>
          <w:szCs w:val="20"/>
        </w:rPr>
      </w:pPr>
      <w:r w:rsidRPr="00E00B35">
        <w:rPr>
          <w:rFonts w:cs="Verdana"/>
          <w:szCs w:val="20"/>
        </w:rPr>
        <w:t xml:space="preserve">W programie w  2017 r. uczestniczyły 33 placówki oświatowe, w tym: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Przedszkola nr: 47, 52, 66, 80, 91, 96, 99, 106, 109, 110, 111, 113, 121, 122, 123, 124, 126;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Szkoły Podstawowe nr: 1, 3, 30, 36, 96, 107;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Gimnazja nr: 2, 15, 28, 29 ;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Licea nr: I, III;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Zespół Szkolno-Przedszkolny nr: 19;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Zespół Szkół nr: 9;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Młodzieżowy Ośrodek Specjalny nr 2;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Poradnia Pe</w:t>
      </w:r>
      <w:r w:rsidR="00F11E03" w:rsidRPr="00E00B35">
        <w:rPr>
          <w:szCs w:val="20"/>
        </w:rPr>
        <w:t>dagogiczno-Psychologiczna nr 9.</w:t>
      </w:r>
    </w:p>
    <w:p w:rsidR="00F11E03" w:rsidRPr="00E00B35" w:rsidRDefault="00F11E03"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Środki finansowe wykorzystane w  2017 r. na realizację programu to 700 000,00 zł, w tym w okresie IV-XII 2017 r. wydatkowano 72 170,00 zł.</w:t>
      </w:r>
    </w:p>
    <w:p w:rsidR="007A4D59" w:rsidRPr="00E00B35" w:rsidRDefault="007A4D59" w:rsidP="00E00B35">
      <w:pPr>
        <w:spacing w:after="0" w:line="312" w:lineRule="auto"/>
        <w:rPr>
          <w:szCs w:val="20"/>
        </w:rPr>
      </w:pPr>
      <w:r w:rsidRPr="00E00B35">
        <w:rPr>
          <w:szCs w:val="20"/>
        </w:rPr>
        <w:t xml:space="preserve">W programie w 2018 r. uczestniczyły 34 placówki oświatowe, w tym: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Przedszkola nr 4, 12, 21, 25, 41, 68, 71, 82, 89, 93, 99, 108, 109, 110, 141,</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Szkoły Podstawowe nr 2, 5, 36, 46, 64, 68, 74, 78, 90, 98, 118,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Zespoły Szkolno-Przedszkolne nr 9, 10, 11, 13, 14, 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Młodzieżowy Ośrodek Specjalny nr 2,</w:t>
      </w:r>
    </w:p>
    <w:p w:rsidR="007A4D59" w:rsidRPr="00E00B35" w:rsidRDefault="00F11E03" w:rsidP="00BC64AB">
      <w:pPr>
        <w:pStyle w:val="Akapitzlist"/>
        <w:numPr>
          <w:ilvl w:val="0"/>
          <w:numId w:val="261"/>
        </w:numPr>
        <w:spacing w:after="0" w:line="312" w:lineRule="auto"/>
        <w:ind w:left="426" w:hanging="426"/>
        <w:rPr>
          <w:szCs w:val="20"/>
        </w:rPr>
      </w:pPr>
      <w:r w:rsidRPr="00E00B35">
        <w:rPr>
          <w:szCs w:val="20"/>
        </w:rPr>
        <w:t>Zespól Szkół nr 3.</w:t>
      </w:r>
    </w:p>
    <w:p w:rsidR="007A4D59" w:rsidRPr="00E00B35" w:rsidRDefault="007A4D59" w:rsidP="00E00B35">
      <w:pPr>
        <w:spacing w:after="0" w:line="312" w:lineRule="auto"/>
        <w:rPr>
          <w:szCs w:val="20"/>
        </w:rPr>
      </w:pPr>
      <w:r w:rsidRPr="00E00B35">
        <w:rPr>
          <w:szCs w:val="20"/>
        </w:rPr>
        <w:t>Środki finansowe przeznaczone na realizacje programu w 2018 r. to 800 000,00 zł, wykorzystano 786 073,00 zł (98,2%)</w:t>
      </w:r>
    </w:p>
    <w:p w:rsidR="007A4D59" w:rsidRPr="00E00B35" w:rsidRDefault="007A4D59" w:rsidP="00E00B35">
      <w:pPr>
        <w:spacing w:after="0" w:line="312" w:lineRule="auto"/>
        <w:rPr>
          <w:rFonts w:cs="Verdana"/>
          <w:b/>
          <w:szCs w:val="20"/>
        </w:rPr>
      </w:pPr>
    </w:p>
    <w:p w:rsidR="007A4D59" w:rsidRPr="00E00B35" w:rsidRDefault="007A4D59" w:rsidP="00E00B35">
      <w:pPr>
        <w:spacing w:after="0" w:line="312" w:lineRule="auto"/>
        <w:rPr>
          <w:rFonts w:cs="Verdana"/>
          <w:szCs w:val="20"/>
        </w:rPr>
      </w:pPr>
      <w:r w:rsidRPr="00E00B35">
        <w:rPr>
          <w:rFonts w:cs="Verdana"/>
          <w:szCs w:val="20"/>
        </w:rPr>
        <w:t>W programie w 2019 r. uczestniczyło 30 placówek oświatowych, w tym</w:t>
      </w:r>
      <w:r w:rsidR="00F11E03" w:rsidRPr="00E00B35">
        <w:rPr>
          <w:rFonts w:cs="Verdana"/>
          <w:szCs w:val="20"/>
        </w:rPr>
        <w:t>:</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Przedszkola nr 5, 25, 28, 41, 56, 94, 108, 109, 119, 122,</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lastRenderedPageBreak/>
        <w:t>Szkoły Podstawowe nr 6, 36, 37, 63, 71, 72, 78, 98,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Zespoły Szkolno-Przedszkolne nr 4, 11, 2, 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Zespól Szkół nr 2, 3, 20, 21,</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Zespół Szkół Gastronomicznych,</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Centrum Kształcenia Ustawicznego,</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Lotnicze Zakłady Naukowe,</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Liceum Ogólnokształcące nr V.</w:t>
      </w:r>
    </w:p>
    <w:p w:rsidR="007A4D59" w:rsidRPr="00E00B35" w:rsidRDefault="007A4D59" w:rsidP="00E00B35">
      <w:pPr>
        <w:spacing w:after="0" w:line="312" w:lineRule="auto"/>
        <w:rPr>
          <w:rFonts w:cs="Verdana"/>
          <w:szCs w:val="20"/>
        </w:rPr>
      </w:pPr>
      <w:r w:rsidRPr="00E00B35">
        <w:rPr>
          <w:rFonts w:cs="Verdana"/>
          <w:szCs w:val="20"/>
        </w:rPr>
        <w:t>Łączna kwota dofinansowania przyznanego placówkom oświatowym w 2019 r. to 815 000,00 zł.</w:t>
      </w:r>
    </w:p>
    <w:p w:rsidR="007A4D59" w:rsidRPr="00E00B35" w:rsidRDefault="007A4D59" w:rsidP="00E00B35">
      <w:pPr>
        <w:spacing w:after="0" w:line="312" w:lineRule="auto"/>
        <w:rPr>
          <w:rFonts w:cs="Verdana"/>
          <w:b/>
          <w:szCs w:val="20"/>
        </w:rPr>
      </w:pPr>
    </w:p>
    <w:p w:rsidR="007A4D59" w:rsidRPr="00E00B35" w:rsidRDefault="007A4D59" w:rsidP="00E00B35">
      <w:pPr>
        <w:spacing w:after="0" w:line="312" w:lineRule="auto"/>
        <w:rPr>
          <w:rFonts w:cs="Verdana"/>
          <w:szCs w:val="20"/>
        </w:rPr>
      </w:pPr>
      <w:r w:rsidRPr="00E00B35">
        <w:rPr>
          <w:rFonts w:cs="Verdana"/>
          <w:szCs w:val="20"/>
        </w:rPr>
        <w:t>W programie w 2020 r. uczestniczyło 20 placówek oświatowych, w tym</w:t>
      </w:r>
      <w:r w:rsidR="00F11E03" w:rsidRPr="00E00B35">
        <w:rPr>
          <w:rFonts w:cs="Verdana"/>
          <w:szCs w:val="20"/>
        </w:rPr>
        <w:t>:</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Przedszkola nr 4, 25, 54, 61, 80, 94, 99, 108, 122,</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Szkoły Podstawowe nr 8, 23, 28, 77, 107,</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Zespoły Szkolno-Przedszkolne nr 4, 10, 11, 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Lotnicze Zakłady Naukowe,</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Liceum Ogólnokształcące nr II.</w:t>
      </w:r>
    </w:p>
    <w:p w:rsidR="007A4D59" w:rsidRPr="00E00B35" w:rsidRDefault="007A4D59" w:rsidP="00E00B35">
      <w:pPr>
        <w:spacing w:after="0" w:line="312" w:lineRule="auto"/>
        <w:rPr>
          <w:rFonts w:cs="Verdana"/>
          <w:szCs w:val="20"/>
        </w:rPr>
      </w:pPr>
      <w:r w:rsidRPr="00E00B35">
        <w:rPr>
          <w:rFonts w:cs="Verdana"/>
          <w:szCs w:val="20"/>
        </w:rPr>
        <w:t>Łączna kwota dofinansowania przyznanego placówkom oświatowym w 2020 r. to 699 658,00 zł</w:t>
      </w:r>
    </w:p>
    <w:p w:rsidR="007A4D59" w:rsidRPr="00E00B35" w:rsidRDefault="007A4D59" w:rsidP="00E00B35">
      <w:pPr>
        <w:spacing w:after="0" w:line="312" w:lineRule="auto"/>
        <w:rPr>
          <w:b/>
          <w:szCs w:val="20"/>
        </w:rPr>
      </w:pPr>
    </w:p>
    <w:p w:rsidR="007A4D59" w:rsidRPr="00E00B35" w:rsidRDefault="007A4D59" w:rsidP="00E00B35">
      <w:pPr>
        <w:pStyle w:val="Legenda"/>
        <w:spacing w:before="0" w:after="0" w:line="312" w:lineRule="auto"/>
        <w:rPr>
          <w:i w:val="0"/>
          <w:sz w:val="20"/>
          <w:szCs w:val="20"/>
        </w:rPr>
      </w:pPr>
      <w:r w:rsidRPr="00E00B35">
        <w:rPr>
          <w:i w:val="0"/>
          <w:sz w:val="20"/>
          <w:szCs w:val="20"/>
        </w:rPr>
        <w:t>Analiza placówek uczestniczących w programie „Szare na Zielone”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8"/>
        <w:gridCol w:w="757"/>
        <w:gridCol w:w="1395"/>
        <w:gridCol w:w="1454"/>
        <w:gridCol w:w="1521"/>
        <w:gridCol w:w="1162"/>
        <w:gridCol w:w="760"/>
        <w:gridCol w:w="716"/>
        <w:gridCol w:w="925"/>
      </w:tblGrid>
      <w:tr w:rsidR="007A4D59" w:rsidRPr="00E00B35" w:rsidTr="006D3493">
        <w:tc>
          <w:tcPr>
            <w:tcW w:w="576" w:type="dxa"/>
            <w:shd w:val="clear" w:color="auto" w:fill="FFFFFF"/>
            <w:vAlign w:val="center"/>
          </w:tcPr>
          <w:p w:rsidR="007A4D59" w:rsidRPr="00E00B35" w:rsidRDefault="007A4D59" w:rsidP="00E00B35">
            <w:pPr>
              <w:spacing w:after="0" w:line="312" w:lineRule="auto"/>
              <w:rPr>
                <w:szCs w:val="20"/>
              </w:rPr>
            </w:pPr>
            <w:r w:rsidRPr="00E00B35">
              <w:rPr>
                <w:szCs w:val="20"/>
              </w:rPr>
              <w:t>L.p.</w:t>
            </w:r>
          </w:p>
        </w:tc>
        <w:tc>
          <w:tcPr>
            <w:tcW w:w="810" w:type="dxa"/>
            <w:shd w:val="clear" w:color="auto" w:fill="FFFFFF"/>
            <w:vAlign w:val="center"/>
          </w:tcPr>
          <w:p w:rsidR="007A4D59" w:rsidRPr="00E00B35" w:rsidRDefault="007A4D59" w:rsidP="00E00B35">
            <w:pPr>
              <w:spacing w:after="0" w:line="312" w:lineRule="auto"/>
              <w:rPr>
                <w:szCs w:val="20"/>
              </w:rPr>
            </w:pPr>
            <w:r w:rsidRPr="00E00B35">
              <w:rPr>
                <w:szCs w:val="20"/>
              </w:rPr>
              <w:t>ROK</w:t>
            </w:r>
          </w:p>
        </w:tc>
        <w:tc>
          <w:tcPr>
            <w:tcW w:w="1296" w:type="dxa"/>
            <w:shd w:val="clear" w:color="auto" w:fill="FFFFFF"/>
            <w:vAlign w:val="center"/>
          </w:tcPr>
          <w:p w:rsidR="007A4D59" w:rsidRPr="00E00B35" w:rsidRDefault="007A4D59" w:rsidP="00E00B35">
            <w:pPr>
              <w:spacing w:after="0" w:line="312" w:lineRule="auto"/>
              <w:rPr>
                <w:szCs w:val="20"/>
              </w:rPr>
            </w:pPr>
            <w:r w:rsidRPr="00E00B35">
              <w:rPr>
                <w:szCs w:val="20"/>
              </w:rPr>
              <w:t>Przedszkola</w:t>
            </w:r>
          </w:p>
        </w:tc>
        <w:tc>
          <w:tcPr>
            <w:tcW w:w="1360" w:type="dxa"/>
            <w:shd w:val="clear" w:color="auto" w:fill="FFFFFF"/>
            <w:vAlign w:val="center"/>
          </w:tcPr>
          <w:p w:rsidR="007A4D59" w:rsidRPr="00E00B35" w:rsidRDefault="007A4D59" w:rsidP="00E00B35">
            <w:pPr>
              <w:spacing w:after="0" w:line="312" w:lineRule="auto"/>
              <w:rPr>
                <w:szCs w:val="20"/>
              </w:rPr>
            </w:pPr>
            <w:r w:rsidRPr="00E00B35">
              <w:rPr>
                <w:szCs w:val="20"/>
              </w:rPr>
              <w:t>Szkoły Podstawowe</w:t>
            </w:r>
          </w:p>
        </w:tc>
        <w:tc>
          <w:tcPr>
            <w:tcW w:w="1409" w:type="dxa"/>
            <w:shd w:val="clear" w:color="auto" w:fill="FFFFFF"/>
            <w:vAlign w:val="center"/>
          </w:tcPr>
          <w:p w:rsidR="007A4D59" w:rsidRPr="00E00B35" w:rsidRDefault="007A4D59" w:rsidP="00E00B35">
            <w:pPr>
              <w:spacing w:after="0" w:line="312" w:lineRule="auto"/>
              <w:rPr>
                <w:szCs w:val="20"/>
              </w:rPr>
            </w:pPr>
            <w:r w:rsidRPr="00E00B35">
              <w:rPr>
                <w:szCs w:val="20"/>
              </w:rPr>
              <w:t>Zespoły Szkolno Przedszkolne</w:t>
            </w:r>
          </w:p>
        </w:tc>
        <w:tc>
          <w:tcPr>
            <w:tcW w:w="1080" w:type="dxa"/>
            <w:shd w:val="clear" w:color="auto" w:fill="FFFFFF"/>
            <w:vAlign w:val="center"/>
          </w:tcPr>
          <w:p w:rsidR="007A4D59" w:rsidRPr="00E00B35" w:rsidRDefault="007A4D59" w:rsidP="00E00B35">
            <w:pPr>
              <w:spacing w:after="0" w:line="312" w:lineRule="auto"/>
              <w:rPr>
                <w:szCs w:val="20"/>
              </w:rPr>
            </w:pPr>
            <w:r w:rsidRPr="00E00B35">
              <w:rPr>
                <w:szCs w:val="20"/>
              </w:rPr>
              <w:t>Gimnazja</w:t>
            </w:r>
          </w:p>
        </w:tc>
        <w:tc>
          <w:tcPr>
            <w:tcW w:w="817" w:type="dxa"/>
            <w:shd w:val="clear" w:color="auto" w:fill="FFFFFF"/>
            <w:vAlign w:val="center"/>
          </w:tcPr>
          <w:p w:rsidR="007A4D59" w:rsidRPr="00E00B35" w:rsidRDefault="007A4D59" w:rsidP="00E00B35">
            <w:pPr>
              <w:spacing w:after="0" w:line="312" w:lineRule="auto"/>
              <w:rPr>
                <w:szCs w:val="20"/>
              </w:rPr>
            </w:pPr>
            <w:r w:rsidRPr="00E00B35">
              <w:rPr>
                <w:szCs w:val="20"/>
              </w:rPr>
              <w:t>Licea</w:t>
            </w:r>
          </w:p>
        </w:tc>
        <w:tc>
          <w:tcPr>
            <w:tcW w:w="787" w:type="dxa"/>
            <w:shd w:val="clear" w:color="auto" w:fill="FFFFFF"/>
            <w:vAlign w:val="center"/>
          </w:tcPr>
          <w:p w:rsidR="007A4D59" w:rsidRPr="00E00B35" w:rsidRDefault="007A4D59" w:rsidP="00E00B35">
            <w:pPr>
              <w:spacing w:after="0" w:line="312" w:lineRule="auto"/>
              <w:rPr>
                <w:szCs w:val="20"/>
              </w:rPr>
            </w:pPr>
            <w:r w:rsidRPr="00E00B35">
              <w:rPr>
                <w:szCs w:val="20"/>
              </w:rPr>
              <w:t>Inne</w:t>
            </w:r>
          </w:p>
        </w:tc>
        <w:tc>
          <w:tcPr>
            <w:tcW w:w="927" w:type="dxa"/>
            <w:shd w:val="clear" w:color="auto" w:fill="FFFFFF"/>
            <w:vAlign w:val="center"/>
          </w:tcPr>
          <w:p w:rsidR="007A4D59" w:rsidRPr="00E00B35" w:rsidRDefault="007A4D59" w:rsidP="00E00B35">
            <w:pPr>
              <w:spacing w:after="0" w:line="312" w:lineRule="auto"/>
              <w:rPr>
                <w:szCs w:val="20"/>
              </w:rPr>
            </w:pPr>
            <w:r w:rsidRPr="00E00B35">
              <w:rPr>
                <w:szCs w:val="20"/>
              </w:rPr>
              <w:t>RAZEM</w:t>
            </w:r>
          </w:p>
        </w:tc>
      </w:tr>
      <w:tr w:rsidR="007A4D59" w:rsidRPr="00E00B35" w:rsidTr="006D3493">
        <w:trPr>
          <w:trHeight w:val="364"/>
        </w:trPr>
        <w:tc>
          <w:tcPr>
            <w:tcW w:w="576" w:type="dxa"/>
            <w:shd w:val="clear" w:color="auto" w:fill="FFFFFF"/>
            <w:vAlign w:val="center"/>
          </w:tcPr>
          <w:p w:rsidR="007A4D59" w:rsidRPr="00E00B35" w:rsidRDefault="007A4D59" w:rsidP="00E00B35">
            <w:pPr>
              <w:spacing w:after="0" w:line="312" w:lineRule="auto"/>
              <w:rPr>
                <w:szCs w:val="20"/>
              </w:rPr>
            </w:pPr>
            <w:r w:rsidRPr="00E00B35">
              <w:rPr>
                <w:szCs w:val="20"/>
              </w:rPr>
              <w:t>1</w:t>
            </w:r>
          </w:p>
        </w:tc>
        <w:tc>
          <w:tcPr>
            <w:tcW w:w="810" w:type="dxa"/>
            <w:vAlign w:val="center"/>
          </w:tcPr>
          <w:p w:rsidR="007A4D59" w:rsidRPr="00E00B35" w:rsidRDefault="007A4D59" w:rsidP="00E00B35">
            <w:pPr>
              <w:spacing w:after="0" w:line="312" w:lineRule="auto"/>
              <w:rPr>
                <w:szCs w:val="20"/>
              </w:rPr>
            </w:pPr>
            <w:r w:rsidRPr="00E00B35">
              <w:rPr>
                <w:szCs w:val="20"/>
              </w:rPr>
              <w:t>2017</w:t>
            </w:r>
          </w:p>
        </w:tc>
        <w:tc>
          <w:tcPr>
            <w:tcW w:w="1296" w:type="dxa"/>
            <w:vAlign w:val="center"/>
          </w:tcPr>
          <w:p w:rsidR="007A4D59" w:rsidRPr="00E00B35" w:rsidRDefault="007A4D59" w:rsidP="00E00B35">
            <w:pPr>
              <w:spacing w:after="0" w:line="312" w:lineRule="auto"/>
              <w:rPr>
                <w:szCs w:val="20"/>
              </w:rPr>
            </w:pPr>
            <w:r w:rsidRPr="00E00B35">
              <w:rPr>
                <w:szCs w:val="20"/>
              </w:rPr>
              <w:t>17</w:t>
            </w:r>
          </w:p>
        </w:tc>
        <w:tc>
          <w:tcPr>
            <w:tcW w:w="1360" w:type="dxa"/>
            <w:vAlign w:val="center"/>
          </w:tcPr>
          <w:p w:rsidR="007A4D59" w:rsidRPr="00E00B35" w:rsidRDefault="007A4D59" w:rsidP="00E00B35">
            <w:pPr>
              <w:spacing w:after="0" w:line="312" w:lineRule="auto"/>
              <w:rPr>
                <w:szCs w:val="20"/>
              </w:rPr>
            </w:pPr>
            <w:r w:rsidRPr="00E00B35">
              <w:rPr>
                <w:szCs w:val="20"/>
              </w:rPr>
              <w:t>6</w:t>
            </w:r>
          </w:p>
        </w:tc>
        <w:tc>
          <w:tcPr>
            <w:tcW w:w="1409" w:type="dxa"/>
            <w:vAlign w:val="center"/>
          </w:tcPr>
          <w:p w:rsidR="007A4D59" w:rsidRPr="00E00B35" w:rsidRDefault="007A4D59" w:rsidP="00E00B35">
            <w:pPr>
              <w:spacing w:after="0" w:line="312" w:lineRule="auto"/>
              <w:rPr>
                <w:szCs w:val="20"/>
              </w:rPr>
            </w:pPr>
            <w:r w:rsidRPr="00E00B35">
              <w:rPr>
                <w:szCs w:val="20"/>
              </w:rPr>
              <w:t>1</w:t>
            </w:r>
          </w:p>
        </w:tc>
        <w:tc>
          <w:tcPr>
            <w:tcW w:w="1080" w:type="dxa"/>
            <w:vAlign w:val="center"/>
          </w:tcPr>
          <w:p w:rsidR="007A4D59" w:rsidRPr="00E00B35" w:rsidRDefault="007A4D59" w:rsidP="00E00B35">
            <w:pPr>
              <w:spacing w:after="0" w:line="312" w:lineRule="auto"/>
              <w:rPr>
                <w:szCs w:val="20"/>
              </w:rPr>
            </w:pPr>
            <w:r w:rsidRPr="00E00B35">
              <w:rPr>
                <w:szCs w:val="20"/>
              </w:rPr>
              <w:t>4</w:t>
            </w:r>
          </w:p>
        </w:tc>
        <w:tc>
          <w:tcPr>
            <w:tcW w:w="817" w:type="dxa"/>
            <w:vAlign w:val="center"/>
          </w:tcPr>
          <w:p w:rsidR="007A4D59" w:rsidRPr="00E00B35" w:rsidRDefault="007A4D59" w:rsidP="00E00B35">
            <w:pPr>
              <w:spacing w:after="0" w:line="312" w:lineRule="auto"/>
              <w:rPr>
                <w:szCs w:val="20"/>
              </w:rPr>
            </w:pPr>
            <w:r w:rsidRPr="00E00B35">
              <w:rPr>
                <w:szCs w:val="20"/>
              </w:rPr>
              <w:t>2</w:t>
            </w:r>
          </w:p>
        </w:tc>
        <w:tc>
          <w:tcPr>
            <w:tcW w:w="787" w:type="dxa"/>
            <w:vAlign w:val="center"/>
          </w:tcPr>
          <w:p w:rsidR="007A4D59" w:rsidRPr="00E00B35" w:rsidRDefault="007A4D59" w:rsidP="00E00B35">
            <w:pPr>
              <w:spacing w:after="0" w:line="312" w:lineRule="auto"/>
              <w:rPr>
                <w:szCs w:val="20"/>
              </w:rPr>
            </w:pPr>
            <w:r w:rsidRPr="00E00B35">
              <w:rPr>
                <w:szCs w:val="20"/>
              </w:rPr>
              <w:t>3</w:t>
            </w:r>
          </w:p>
        </w:tc>
        <w:tc>
          <w:tcPr>
            <w:tcW w:w="927" w:type="dxa"/>
            <w:vAlign w:val="center"/>
          </w:tcPr>
          <w:p w:rsidR="007A4D59" w:rsidRPr="00E00B35" w:rsidRDefault="007A4D59" w:rsidP="00E00B35">
            <w:pPr>
              <w:spacing w:after="0" w:line="312" w:lineRule="auto"/>
              <w:rPr>
                <w:szCs w:val="20"/>
              </w:rPr>
            </w:pPr>
            <w:r w:rsidRPr="00E00B35">
              <w:rPr>
                <w:szCs w:val="20"/>
              </w:rPr>
              <w:t>33</w:t>
            </w:r>
          </w:p>
        </w:tc>
      </w:tr>
      <w:tr w:rsidR="007A4D59" w:rsidRPr="00E00B35" w:rsidTr="006D3493">
        <w:trPr>
          <w:trHeight w:val="397"/>
        </w:trPr>
        <w:tc>
          <w:tcPr>
            <w:tcW w:w="576" w:type="dxa"/>
            <w:shd w:val="clear" w:color="auto" w:fill="FFFFFF"/>
            <w:vAlign w:val="center"/>
          </w:tcPr>
          <w:p w:rsidR="007A4D59" w:rsidRPr="00E00B35" w:rsidRDefault="007A4D59" w:rsidP="00E00B35">
            <w:pPr>
              <w:spacing w:after="0" w:line="312" w:lineRule="auto"/>
              <w:rPr>
                <w:szCs w:val="20"/>
              </w:rPr>
            </w:pPr>
            <w:r w:rsidRPr="00E00B35">
              <w:rPr>
                <w:szCs w:val="20"/>
              </w:rPr>
              <w:t>2</w:t>
            </w:r>
          </w:p>
        </w:tc>
        <w:tc>
          <w:tcPr>
            <w:tcW w:w="810" w:type="dxa"/>
            <w:vAlign w:val="center"/>
          </w:tcPr>
          <w:p w:rsidR="007A4D59" w:rsidRPr="00E00B35" w:rsidRDefault="007A4D59" w:rsidP="00E00B35">
            <w:pPr>
              <w:spacing w:after="0" w:line="312" w:lineRule="auto"/>
              <w:rPr>
                <w:szCs w:val="20"/>
              </w:rPr>
            </w:pPr>
            <w:r w:rsidRPr="00E00B35">
              <w:rPr>
                <w:szCs w:val="20"/>
              </w:rPr>
              <w:t>2018</w:t>
            </w:r>
          </w:p>
        </w:tc>
        <w:tc>
          <w:tcPr>
            <w:tcW w:w="1296" w:type="dxa"/>
            <w:vAlign w:val="center"/>
          </w:tcPr>
          <w:p w:rsidR="007A4D59" w:rsidRPr="00E00B35" w:rsidRDefault="007A4D59" w:rsidP="00E00B35">
            <w:pPr>
              <w:spacing w:after="0" w:line="312" w:lineRule="auto"/>
              <w:rPr>
                <w:szCs w:val="20"/>
              </w:rPr>
            </w:pPr>
            <w:r w:rsidRPr="00E00B35">
              <w:rPr>
                <w:szCs w:val="20"/>
              </w:rPr>
              <w:t>15</w:t>
            </w:r>
          </w:p>
        </w:tc>
        <w:tc>
          <w:tcPr>
            <w:tcW w:w="1360" w:type="dxa"/>
            <w:vAlign w:val="center"/>
          </w:tcPr>
          <w:p w:rsidR="007A4D59" w:rsidRPr="00E00B35" w:rsidRDefault="007A4D59" w:rsidP="00E00B35">
            <w:pPr>
              <w:spacing w:after="0" w:line="312" w:lineRule="auto"/>
              <w:rPr>
                <w:szCs w:val="20"/>
              </w:rPr>
            </w:pPr>
            <w:r w:rsidRPr="00E00B35">
              <w:rPr>
                <w:szCs w:val="20"/>
              </w:rPr>
              <w:t>11</w:t>
            </w:r>
          </w:p>
        </w:tc>
        <w:tc>
          <w:tcPr>
            <w:tcW w:w="1409" w:type="dxa"/>
            <w:vAlign w:val="center"/>
          </w:tcPr>
          <w:p w:rsidR="007A4D59" w:rsidRPr="00E00B35" w:rsidRDefault="007A4D59" w:rsidP="00E00B35">
            <w:pPr>
              <w:spacing w:after="0" w:line="312" w:lineRule="auto"/>
              <w:rPr>
                <w:szCs w:val="20"/>
              </w:rPr>
            </w:pPr>
            <w:r w:rsidRPr="00E00B35">
              <w:rPr>
                <w:szCs w:val="20"/>
              </w:rPr>
              <w:t>6</w:t>
            </w:r>
          </w:p>
        </w:tc>
        <w:tc>
          <w:tcPr>
            <w:tcW w:w="1080" w:type="dxa"/>
            <w:vAlign w:val="center"/>
          </w:tcPr>
          <w:p w:rsidR="007A4D59" w:rsidRPr="00E00B35" w:rsidRDefault="007A4D59" w:rsidP="00E00B35">
            <w:pPr>
              <w:spacing w:after="0" w:line="312" w:lineRule="auto"/>
              <w:rPr>
                <w:szCs w:val="20"/>
              </w:rPr>
            </w:pPr>
            <w:r w:rsidRPr="00E00B35">
              <w:rPr>
                <w:szCs w:val="20"/>
              </w:rPr>
              <w:t>0</w:t>
            </w:r>
          </w:p>
        </w:tc>
        <w:tc>
          <w:tcPr>
            <w:tcW w:w="817" w:type="dxa"/>
            <w:vAlign w:val="center"/>
          </w:tcPr>
          <w:p w:rsidR="007A4D59" w:rsidRPr="00E00B35" w:rsidRDefault="007A4D59" w:rsidP="00E00B35">
            <w:pPr>
              <w:spacing w:after="0" w:line="312" w:lineRule="auto"/>
              <w:rPr>
                <w:szCs w:val="20"/>
              </w:rPr>
            </w:pPr>
            <w:r w:rsidRPr="00E00B35">
              <w:rPr>
                <w:szCs w:val="20"/>
              </w:rPr>
              <w:t>0</w:t>
            </w:r>
          </w:p>
        </w:tc>
        <w:tc>
          <w:tcPr>
            <w:tcW w:w="787" w:type="dxa"/>
            <w:vAlign w:val="center"/>
          </w:tcPr>
          <w:p w:rsidR="007A4D59" w:rsidRPr="00E00B35" w:rsidRDefault="007A4D59" w:rsidP="00E00B35">
            <w:pPr>
              <w:spacing w:after="0" w:line="312" w:lineRule="auto"/>
              <w:rPr>
                <w:szCs w:val="20"/>
              </w:rPr>
            </w:pPr>
            <w:r w:rsidRPr="00E00B35">
              <w:rPr>
                <w:szCs w:val="20"/>
              </w:rPr>
              <w:t>2</w:t>
            </w:r>
          </w:p>
        </w:tc>
        <w:tc>
          <w:tcPr>
            <w:tcW w:w="927" w:type="dxa"/>
            <w:vAlign w:val="center"/>
          </w:tcPr>
          <w:p w:rsidR="007A4D59" w:rsidRPr="00E00B35" w:rsidRDefault="007A4D59" w:rsidP="00E00B35">
            <w:pPr>
              <w:spacing w:after="0" w:line="312" w:lineRule="auto"/>
              <w:rPr>
                <w:szCs w:val="20"/>
              </w:rPr>
            </w:pPr>
            <w:r w:rsidRPr="00E00B35">
              <w:rPr>
                <w:szCs w:val="20"/>
              </w:rPr>
              <w:t>34</w:t>
            </w:r>
          </w:p>
        </w:tc>
      </w:tr>
      <w:tr w:rsidR="007A4D59" w:rsidRPr="00E00B35" w:rsidTr="006D3493">
        <w:trPr>
          <w:trHeight w:val="397"/>
        </w:trPr>
        <w:tc>
          <w:tcPr>
            <w:tcW w:w="576" w:type="dxa"/>
            <w:shd w:val="clear" w:color="auto" w:fill="FFFFFF"/>
            <w:vAlign w:val="center"/>
          </w:tcPr>
          <w:p w:rsidR="007A4D59" w:rsidRPr="00E00B35" w:rsidRDefault="007A4D59" w:rsidP="00E00B35">
            <w:pPr>
              <w:spacing w:after="0" w:line="312" w:lineRule="auto"/>
              <w:rPr>
                <w:szCs w:val="20"/>
              </w:rPr>
            </w:pPr>
            <w:r w:rsidRPr="00E00B35">
              <w:rPr>
                <w:szCs w:val="20"/>
              </w:rPr>
              <w:t>3</w:t>
            </w:r>
          </w:p>
        </w:tc>
        <w:tc>
          <w:tcPr>
            <w:tcW w:w="810" w:type="dxa"/>
            <w:vAlign w:val="center"/>
          </w:tcPr>
          <w:p w:rsidR="007A4D59" w:rsidRPr="00E00B35" w:rsidRDefault="007A4D59" w:rsidP="00E00B35">
            <w:pPr>
              <w:spacing w:after="0" w:line="312" w:lineRule="auto"/>
              <w:rPr>
                <w:szCs w:val="20"/>
              </w:rPr>
            </w:pPr>
            <w:r w:rsidRPr="00E00B35">
              <w:rPr>
                <w:szCs w:val="20"/>
              </w:rPr>
              <w:t>2019</w:t>
            </w:r>
          </w:p>
        </w:tc>
        <w:tc>
          <w:tcPr>
            <w:tcW w:w="1296" w:type="dxa"/>
            <w:vAlign w:val="center"/>
          </w:tcPr>
          <w:p w:rsidR="007A4D59" w:rsidRPr="00E00B35" w:rsidRDefault="007A4D59" w:rsidP="00E00B35">
            <w:pPr>
              <w:spacing w:after="0" w:line="312" w:lineRule="auto"/>
              <w:rPr>
                <w:szCs w:val="20"/>
              </w:rPr>
            </w:pPr>
            <w:r w:rsidRPr="00E00B35">
              <w:rPr>
                <w:szCs w:val="20"/>
              </w:rPr>
              <w:t>10</w:t>
            </w:r>
          </w:p>
        </w:tc>
        <w:tc>
          <w:tcPr>
            <w:tcW w:w="1360" w:type="dxa"/>
            <w:vAlign w:val="center"/>
          </w:tcPr>
          <w:p w:rsidR="007A4D59" w:rsidRPr="00E00B35" w:rsidRDefault="007A4D59" w:rsidP="00E00B35">
            <w:pPr>
              <w:spacing w:after="0" w:line="312" w:lineRule="auto"/>
              <w:rPr>
                <w:szCs w:val="20"/>
              </w:rPr>
            </w:pPr>
            <w:r w:rsidRPr="00E00B35">
              <w:rPr>
                <w:szCs w:val="20"/>
              </w:rPr>
              <w:t>9</w:t>
            </w:r>
          </w:p>
        </w:tc>
        <w:tc>
          <w:tcPr>
            <w:tcW w:w="1409" w:type="dxa"/>
            <w:vAlign w:val="center"/>
          </w:tcPr>
          <w:p w:rsidR="007A4D59" w:rsidRPr="00E00B35" w:rsidRDefault="007A4D59" w:rsidP="00E00B35">
            <w:pPr>
              <w:spacing w:after="0" w:line="312" w:lineRule="auto"/>
              <w:rPr>
                <w:szCs w:val="20"/>
              </w:rPr>
            </w:pPr>
            <w:r w:rsidRPr="00E00B35">
              <w:rPr>
                <w:szCs w:val="20"/>
              </w:rPr>
              <w:t>2</w:t>
            </w:r>
          </w:p>
        </w:tc>
        <w:tc>
          <w:tcPr>
            <w:tcW w:w="1080" w:type="dxa"/>
            <w:vAlign w:val="center"/>
          </w:tcPr>
          <w:p w:rsidR="007A4D59" w:rsidRPr="00E00B35" w:rsidRDefault="007A4D59" w:rsidP="00E00B35">
            <w:pPr>
              <w:spacing w:after="0" w:line="312" w:lineRule="auto"/>
              <w:rPr>
                <w:szCs w:val="20"/>
              </w:rPr>
            </w:pPr>
            <w:r w:rsidRPr="00E00B35">
              <w:rPr>
                <w:szCs w:val="20"/>
              </w:rPr>
              <w:t>-</w:t>
            </w:r>
          </w:p>
        </w:tc>
        <w:tc>
          <w:tcPr>
            <w:tcW w:w="817" w:type="dxa"/>
            <w:vAlign w:val="center"/>
          </w:tcPr>
          <w:p w:rsidR="007A4D59" w:rsidRPr="00E00B35" w:rsidRDefault="007A4D59" w:rsidP="00E00B35">
            <w:pPr>
              <w:spacing w:after="0" w:line="312" w:lineRule="auto"/>
              <w:rPr>
                <w:szCs w:val="20"/>
              </w:rPr>
            </w:pPr>
            <w:r w:rsidRPr="00E00B35">
              <w:rPr>
                <w:szCs w:val="20"/>
              </w:rPr>
              <w:t>1</w:t>
            </w:r>
          </w:p>
        </w:tc>
        <w:tc>
          <w:tcPr>
            <w:tcW w:w="787" w:type="dxa"/>
            <w:vAlign w:val="center"/>
          </w:tcPr>
          <w:p w:rsidR="007A4D59" w:rsidRPr="00E00B35" w:rsidRDefault="007A4D59" w:rsidP="00E00B35">
            <w:pPr>
              <w:spacing w:after="0" w:line="312" w:lineRule="auto"/>
              <w:rPr>
                <w:szCs w:val="20"/>
              </w:rPr>
            </w:pPr>
            <w:r w:rsidRPr="00E00B35">
              <w:rPr>
                <w:szCs w:val="20"/>
              </w:rPr>
              <w:t>8</w:t>
            </w:r>
          </w:p>
        </w:tc>
        <w:tc>
          <w:tcPr>
            <w:tcW w:w="927" w:type="dxa"/>
            <w:vAlign w:val="center"/>
          </w:tcPr>
          <w:p w:rsidR="007A4D59" w:rsidRPr="00E00B35" w:rsidRDefault="007A4D59" w:rsidP="00E00B35">
            <w:pPr>
              <w:spacing w:after="0" w:line="312" w:lineRule="auto"/>
              <w:rPr>
                <w:szCs w:val="20"/>
              </w:rPr>
            </w:pPr>
            <w:r w:rsidRPr="00E00B35">
              <w:rPr>
                <w:szCs w:val="20"/>
              </w:rPr>
              <w:t>30</w:t>
            </w:r>
          </w:p>
        </w:tc>
      </w:tr>
      <w:tr w:rsidR="007A4D59" w:rsidRPr="00E00B35" w:rsidTr="006D3493">
        <w:trPr>
          <w:trHeight w:val="397"/>
        </w:trPr>
        <w:tc>
          <w:tcPr>
            <w:tcW w:w="576" w:type="dxa"/>
            <w:shd w:val="clear" w:color="auto" w:fill="FFFFFF"/>
            <w:vAlign w:val="center"/>
          </w:tcPr>
          <w:p w:rsidR="007A4D59" w:rsidRPr="00E00B35" w:rsidRDefault="007A4D59" w:rsidP="00E00B35">
            <w:pPr>
              <w:spacing w:after="0" w:line="312" w:lineRule="auto"/>
              <w:rPr>
                <w:szCs w:val="20"/>
              </w:rPr>
            </w:pPr>
            <w:r w:rsidRPr="00E00B35">
              <w:rPr>
                <w:szCs w:val="20"/>
              </w:rPr>
              <w:t>4</w:t>
            </w:r>
          </w:p>
        </w:tc>
        <w:tc>
          <w:tcPr>
            <w:tcW w:w="810" w:type="dxa"/>
            <w:vAlign w:val="center"/>
          </w:tcPr>
          <w:p w:rsidR="007A4D59" w:rsidRPr="00E00B35" w:rsidRDefault="007A4D59" w:rsidP="00E00B35">
            <w:pPr>
              <w:spacing w:after="0" w:line="312" w:lineRule="auto"/>
              <w:rPr>
                <w:szCs w:val="20"/>
              </w:rPr>
            </w:pPr>
            <w:r w:rsidRPr="00E00B35">
              <w:rPr>
                <w:szCs w:val="20"/>
              </w:rPr>
              <w:t>2020</w:t>
            </w:r>
          </w:p>
        </w:tc>
        <w:tc>
          <w:tcPr>
            <w:tcW w:w="1296" w:type="dxa"/>
            <w:vAlign w:val="center"/>
          </w:tcPr>
          <w:p w:rsidR="007A4D59" w:rsidRPr="00E00B35" w:rsidRDefault="007A4D59" w:rsidP="00E00B35">
            <w:pPr>
              <w:spacing w:after="0" w:line="312" w:lineRule="auto"/>
              <w:rPr>
                <w:szCs w:val="20"/>
              </w:rPr>
            </w:pPr>
            <w:r w:rsidRPr="00E00B35">
              <w:rPr>
                <w:szCs w:val="20"/>
              </w:rPr>
              <w:t>9</w:t>
            </w:r>
          </w:p>
        </w:tc>
        <w:tc>
          <w:tcPr>
            <w:tcW w:w="1360" w:type="dxa"/>
            <w:vAlign w:val="center"/>
          </w:tcPr>
          <w:p w:rsidR="007A4D59" w:rsidRPr="00E00B35" w:rsidRDefault="007A4D59" w:rsidP="00E00B35">
            <w:pPr>
              <w:spacing w:after="0" w:line="312" w:lineRule="auto"/>
              <w:rPr>
                <w:szCs w:val="20"/>
              </w:rPr>
            </w:pPr>
            <w:r w:rsidRPr="00E00B35">
              <w:rPr>
                <w:szCs w:val="20"/>
              </w:rPr>
              <w:t>5</w:t>
            </w:r>
          </w:p>
        </w:tc>
        <w:tc>
          <w:tcPr>
            <w:tcW w:w="1409" w:type="dxa"/>
            <w:vAlign w:val="center"/>
          </w:tcPr>
          <w:p w:rsidR="007A4D59" w:rsidRPr="00E00B35" w:rsidRDefault="007A4D59" w:rsidP="00E00B35">
            <w:pPr>
              <w:spacing w:after="0" w:line="312" w:lineRule="auto"/>
              <w:rPr>
                <w:szCs w:val="20"/>
              </w:rPr>
            </w:pPr>
            <w:r w:rsidRPr="00E00B35">
              <w:rPr>
                <w:szCs w:val="20"/>
              </w:rPr>
              <w:t>4</w:t>
            </w:r>
          </w:p>
        </w:tc>
        <w:tc>
          <w:tcPr>
            <w:tcW w:w="1080" w:type="dxa"/>
            <w:vAlign w:val="center"/>
          </w:tcPr>
          <w:p w:rsidR="007A4D59" w:rsidRPr="00E00B35" w:rsidRDefault="007A4D59" w:rsidP="00E00B35">
            <w:pPr>
              <w:spacing w:after="0" w:line="312" w:lineRule="auto"/>
              <w:rPr>
                <w:szCs w:val="20"/>
              </w:rPr>
            </w:pPr>
            <w:r w:rsidRPr="00E00B35">
              <w:rPr>
                <w:szCs w:val="20"/>
              </w:rPr>
              <w:t>-</w:t>
            </w:r>
          </w:p>
        </w:tc>
        <w:tc>
          <w:tcPr>
            <w:tcW w:w="817" w:type="dxa"/>
            <w:vAlign w:val="center"/>
          </w:tcPr>
          <w:p w:rsidR="007A4D59" w:rsidRPr="00E00B35" w:rsidRDefault="007A4D59" w:rsidP="00E00B35">
            <w:pPr>
              <w:spacing w:after="0" w:line="312" w:lineRule="auto"/>
              <w:rPr>
                <w:szCs w:val="20"/>
              </w:rPr>
            </w:pPr>
            <w:r w:rsidRPr="00E00B35">
              <w:rPr>
                <w:szCs w:val="20"/>
              </w:rPr>
              <w:t>1</w:t>
            </w:r>
          </w:p>
        </w:tc>
        <w:tc>
          <w:tcPr>
            <w:tcW w:w="787" w:type="dxa"/>
            <w:vAlign w:val="center"/>
          </w:tcPr>
          <w:p w:rsidR="007A4D59" w:rsidRPr="00E00B35" w:rsidRDefault="007A4D59" w:rsidP="00E00B35">
            <w:pPr>
              <w:spacing w:after="0" w:line="312" w:lineRule="auto"/>
              <w:rPr>
                <w:szCs w:val="20"/>
              </w:rPr>
            </w:pPr>
            <w:r w:rsidRPr="00E00B35">
              <w:rPr>
                <w:szCs w:val="20"/>
              </w:rPr>
              <w:t>1</w:t>
            </w:r>
          </w:p>
        </w:tc>
        <w:tc>
          <w:tcPr>
            <w:tcW w:w="927" w:type="dxa"/>
            <w:vAlign w:val="center"/>
          </w:tcPr>
          <w:p w:rsidR="007A4D59" w:rsidRPr="00E00B35" w:rsidRDefault="007A4D59" w:rsidP="00E00B35">
            <w:pPr>
              <w:spacing w:after="0" w:line="312" w:lineRule="auto"/>
              <w:rPr>
                <w:szCs w:val="20"/>
              </w:rPr>
            </w:pPr>
            <w:r w:rsidRPr="00E00B35">
              <w:rPr>
                <w:szCs w:val="20"/>
              </w:rPr>
              <w:t>20</w:t>
            </w:r>
          </w:p>
        </w:tc>
      </w:tr>
    </w:tbl>
    <w:p w:rsidR="007A4D59" w:rsidRPr="00E00B35" w:rsidRDefault="007A4D59" w:rsidP="00E00B35">
      <w:pPr>
        <w:pStyle w:val="Akapitzlist1"/>
        <w:spacing w:after="0" w:line="312" w:lineRule="auto"/>
        <w:ind w:left="0"/>
        <w:rPr>
          <w:szCs w:val="20"/>
        </w:rPr>
      </w:pPr>
      <w:r w:rsidRPr="00E00B35">
        <w:rPr>
          <w:szCs w:val="20"/>
        </w:rPr>
        <w:t>Źródło: Opracowanie własne</w:t>
      </w:r>
    </w:p>
    <w:p w:rsidR="007A4D59" w:rsidRPr="00E00B35" w:rsidRDefault="007A4D59" w:rsidP="00E00B35">
      <w:pPr>
        <w:pStyle w:val="Nagwek20"/>
        <w:spacing w:after="0" w:line="312" w:lineRule="auto"/>
        <w:rPr>
          <w:sz w:val="20"/>
          <w:szCs w:val="20"/>
        </w:rPr>
      </w:pPr>
      <w:r w:rsidRPr="00E00B35">
        <w:rPr>
          <w:noProof/>
          <w:sz w:val="20"/>
          <w:szCs w:val="20"/>
          <w:lang w:val="pl-PL" w:bidi="ar-SA"/>
        </w:rPr>
        <w:drawing>
          <wp:inline distT="0" distB="0" distL="0" distR="0">
            <wp:extent cx="3681730" cy="1852930"/>
            <wp:effectExtent l="19050" t="0" r="0" b="0"/>
            <wp:docPr id="154" name="Obraz 4" descr="zdjęcie terenu wokół szkoł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zdjęcie terenu wokół szkoły"/>
                    <pic:cNvPicPr>
                      <a:picLocks noChangeAspect="1" noChangeArrowheads="1"/>
                    </pic:cNvPicPr>
                  </pic:nvPicPr>
                  <pic:blipFill>
                    <a:blip r:embed="rId152" cstate="print"/>
                    <a:srcRect t="15125" b="17850"/>
                    <a:stretch>
                      <a:fillRect/>
                    </a:stretch>
                  </pic:blipFill>
                  <pic:spPr bwMode="auto">
                    <a:xfrm>
                      <a:off x="0" y="0"/>
                      <a:ext cx="3681730" cy="1852930"/>
                    </a:xfrm>
                    <a:prstGeom prst="rect">
                      <a:avLst/>
                    </a:prstGeom>
                    <a:noFill/>
                    <a:ln w="9525">
                      <a:noFill/>
                      <a:miter lim="800000"/>
                      <a:headEnd/>
                      <a:tailEnd/>
                    </a:ln>
                  </pic:spPr>
                </pic:pic>
              </a:graphicData>
            </a:graphic>
          </wp:inline>
        </w:drawing>
      </w:r>
    </w:p>
    <w:p w:rsidR="007A4D59" w:rsidRPr="00E00B35" w:rsidRDefault="007A4D59" w:rsidP="00E00B35">
      <w:pPr>
        <w:pStyle w:val="Akapitzlist"/>
        <w:spacing w:after="0" w:line="312" w:lineRule="auto"/>
        <w:ind w:left="0"/>
        <w:rPr>
          <w:b/>
          <w:szCs w:val="20"/>
        </w:rPr>
      </w:pPr>
      <w:r w:rsidRPr="00E00B35">
        <w:rPr>
          <w:noProof/>
          <w:szCs w:val="20"/>
          <w:lang w:val="pl-PL" w:eastAsia="pl-PL" w:bidi="ar-SA"/>
        </w:rPr>
        <w:lastRenderedPageBreak/>
        <w:drawing>
          <wp:inline distT="0" distB="0" distL="0" distR="0">
            <wp:extent cx="2310130" cy="1636395"/>
            <wp:effectExtent l="19050" t="0" r="0" b="0"/>
            <wp:docPr id="153" name="Obraz 5" descr="zdjęcie osiedla z zieleni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zdjęcie osiedla z zielenią"/>
                    <pic:cNvPicPr>
                      <a:picLocks noChangeAspect="1" noChangeArrowheads="1"/>
                    </pic:cNvPicPr>
                  </pic:nvPicPr>
                  <pic:blipFill>
                    <a:blip r:embed="rId153" cstate="print"/>
                    <a:srcRect/>
                    <a:stretch>
                      <a:fillRect/>
                    </a:stretch>
                  </pic:blipFill>
                  <pic:spPr bwMode="auto">
                    <a:xfrm>
                      <a:off x="0" y="0"/>
                      <a:ext cx="2310130" cy="1636395"/>
                    </a:xfrm>
                    <a:prstGeom prst="rect">
                      <a:avLst/>
                    </a:prstGeom>
                    <a:noFill/>
                    <a:ln w="9525">
                      <a:noFill/>
                      <a:miter lim="800000"/>
                      <a:headEnd/>
                      <a:tailEnd/>
                    </a:ln>
                  </pic:spPr>
                </pic:pic>
              </a:graphicData>
            </a:graphic>
          </wp:inline>
        </w:drawing>
      </w:r>
      <w:r w:rsidRPr="00E00B35">
        <w:rPr>
          <w:noProof/>
          <w:szCs w:val="20"/>
          <w:lang w:val="pl-PL" w:eastAsia="pl-PL" w:bidi="ar-SA"/>
        </w:rPr>
        <w:drawing>
          <wp:inline distT="0" distB="0" distL="0" distR="0">
            <wp:extent cx="2286000" cy="1636395"/>
            <wp:effectExtent l="19050" t="0" r="0" b="0"/>
            <wp:docPr id="152" name="Obraz 6" descr="zdjęcie osiedla z zieleni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zdjęcie osiedla z zielenią"/>
                    <pic:cNvPicPr>
                      <a:picLocks noChangeAspect="1" noChangeArrowheads="1"/>
                    </pic:cNvPicPr>
                  </pic:nvPicPr>
                  <pic:blipFill>
                    <a:blip r:embed="rId154" cstate="print"/>
                    <a:srcRect/>
                    <a:stretch>
                      <a:fillRect/>
                    </a:stretch>
                  </pic:blipFill>
                  <pic:spPr bwMode="auto">
                    <a:xfrm>
                      <a:off x="0" y="0"/>
                      <a:ext cx="2286000" cy="1636395"/>
                    </a:xfrm>
                    <a:prstGeom prst="rect">
                      <a:avLst/>
                    </a:prstGeom>
                    <a:noFill/>
                    <a:ln w="9525">
                      <a:noFill/>
                      <a:miter lim="800000"/>
                      <a:headEnd/>
                      <a:tailEnd/>
                    </a:ln>
                  </pic:spPr>
                </pic:pic>
              </a:graphicData>
            </a:graphic>
          </wp:inline>
        </w:drawing>
      </w:r>
    </w:p>
    <w:p w:rsidR="007A4D59" w:rsidRPr="00E00B35" w:rsidRDefault="007A4D59" w:rsidP="00E00B35">
      <w:pPr>
        <w:pStyle w:val="Akapitzlist"/>
        <w:spacing w:after="0" w:line="312" w:lineRule="auto"/>
        <w:ind w:left="0"/>
        <w:rPr>
          <w:szCs w:val="20"/>
        </w:rPr>
      </w:pPr>
      <w:r w:rsidRPr="00E00B35">
        <w:rPr>
          <w:szCs w:val="20"/>
        </w:rPr>
        <w:t>Przykładowe realizacje projektów zagospodarowania terenów wokół szkoły. Fot. M. Bartyna-Zielińska</w:t>
      </w:r>
    </w:p>
    <w:p w:rsidR="00B1753A" w:rsidRDefault="00B1753A" w:rsidP="00E00B35">
      <w:pPr>
        <w:pStyle w:val="Nagwek5"/>
        <w:rPr>
          <w:szCs w:val="20"/>
        </w:rPr>
      </w:pPr>
      <w:bookmarkStart w:id="713" w:name="_Toc71032623"/>
      <w:bookmarkStart w:id="714" w:name="_Toc71034605"/>
    </w:p>
    <w:p w:rsidR="007A4D59" w:rsidRPr="00E00B35" w:rsidRDefault="007A4D59" w:rsidP="00E00B35">
      <w:pPr>
        <w:pStyle w:val="Nagwek5"/>
        <w:rPr>
          <w:szCs w:val="20"/>
        </w:rPr>
      </w:pPr>
      <w:r w:rsidRPr="00E00B35">
        <w:rPr>
          <w:szCs w:val="20"/>
        </w:rPr>
        <w:t>ZADANIE NR 10: OPRACOWANIE STRATEGII ROZWOJU TERENÓW ZIELENI DLA OBSZARÓW WROCŁAWSKICH OSIEDLI</w:t>
      </w:r>
      <w:bookmarkEnd w:id="713"/>
      <w:bookmarkEnd w:id="714"/>
    </w:p>
    <w:p w:rsidR="007A4D59" w:rsidRPr="00E00B35" w:rsidRDefault="007A4D59" w:rsidP="00E00B35">
      <w:pPr>
        <w:spacing w:after="0" w:line="312" w:lineRule="auto"/>
        <w:textAlignment w:val="baseline"/>
        <w:rPr>
          <w:rFonts w:cs="Calibri"/>
          <w:szCs w:val="20"/>
        </w:rPr>
      </w:pPr>
      <w:r w:rsidRPr="00E00B35">
        <w:rPr>
          <w:rFonts w:cs="Calibri"/>
          <w:szCs w:val="20"/>
        </w:rPr>
        <w:t>Celem projektu „Karty zieleni dla osiedli wrocławskich” jest wypracowanie strategii rozwoju terenów zieleni dla każdego osiedla indywidualnie. Projekt ma charakter społeczny, zakłada udział mieszkańców i Rad Osiedli na każdym etapie tworzenia dokumentu. Efektem projektu będzie 48 mini strategii rozwoju zieleni, zgodnej z oczekiwaniami mieszkańców. Podczas konsultacji mieszkańcy przekazują spostrzeżenia dotyczące zieleni na swoich osiedlach, wizualizując w ten sposób jej rozwój oraz wskazując najważniejsze funkcje. Dzięki temu razem z mieszkańcami tworzona jest i planowana zieleń, z którą społeczność osiedlowa jest ściśle związana. Wypracowane wytyczne przyczynią się do poprawy jakości i walorów kompozycyjnych przestrzeni osiedlowej, a także wpłyną na poziom atrakcyjności miejsc spotkań mieszkańców.</w:t>
      </w:r>
    </w:p>
    <w:p w:rsidR="007A4D59" w:rsidRPr="00E00B35" w:rsidRDefault="007A4D59" w:rsidP="00E00B35">
      <w:pPr>
        <w:spacing w:after="0" w:line="312" w:lineRule="auto"/>
        <w:textAlignment w:val="baseline"/>
        <w:rPr>
          <w:rFonts w:cs="Calibri"/>
          <w:szCs w:val="20"/>
        </w:rPr>
      </w:pPr>
      <w:r w:rsidRPr="00E00B35">
        <w:rPr>
          <w:rFonts w:cs="Calibri"/>
          <w:szCs w:val="20"/>
        </w:rPr>
        <w:t xml:space="preserve">Karty Zieleni - są projektem prowadzonym w ramach powołanego przez Prezydenta Wrocławia zespołu pn. „Zielony Stół”, </w:t>
      </w:r>
      <w:r w:rsidRPr="00E00B35">
        <w:rPr>
          <w:rFonts w:cs="Calibri"/>
          <w:bCs/>
          <w:szCs w:val="20"/>
        </w:rPr>
        <w:t>którego celem jest koordynacja zadań w zakresie rozwoju zieleni oraz jej ochrony na terenie miasta</w:t>
      </w:r>
      <w:r w:rsidRPr="00E00B35">
        <w:rPr>
          <w:rFonts w:cs="Calibri"/>
          <w:szCs w:val="20"/>
        </w:rPr>
        <w:t>. Karty Zieleni mają być uszczegółowieniem polityki środowiska i zieleni „Zieleń bez granic”, zawartej w Studium uwarunkowań i kierunków zagospodarowanie przestrzennego Wrocławia.</w:t>
      </w:r>
    </w:p>
    <w:p w:rsidR="007A4D59" w:rsidRPr="00E00B35" w:rsidRDefault="007A4D59" w:rsidP="00E00B35">
      <w:pPr>
        <w:spacing w:after="0" w:line="312" w:lineRule="auto"/>
        <w:textAlignment w:val="baseline"/>
        <w:rPr>
          <w:rFonts w:cs="Calibri"/>
          <w:szCs w:val="20"/>
        </w:rPr>
      </w:pPr>
      <w:r w:rsidRPr="00E00B35">
        <w:rPr>
          <w:rFonts w:cs="Calibri"/>
          <w:szCs w:val="20"/>
        </w:rPr>
        <w:t>Pilotażowy program „Karty Zieleni” został zapoczątkowany w 2019 r. i jest w trakcie realizacji na wrocławskim osiedlu Maślice.</w:t>
      </w:r>
    </w:p>
    <w:p w:rsidR="007A4D59" w:rsidRPr="00E00B35" w:rsidRDefault="007A4D59" w:rsidP="00E00B35">
      <w:pPr>
        <w:spacing w:after="0" w:line="312" w:lineRule="auto"/>
        <w:textAlignment w:val="baseline"/>
        <w:rPr>
          <w:rFonts w:cs="Calibri"/>
          <w:szCs w:val="20"/>
        </w:rPr>
      </w:pPr>
      <w:r w:rsidRPr="00E00B35">
        <w:rPr>
          <w:rFonts w:cs="Calibri"/>
          <w:szCs w:val="20"/>
        </w:rPr>
        <w:t>Ze względu na sytuację epidemiologiczną w 2020 r. i ograniczone możliwości konsultacji społecznych czasowo zawieszono realizację projektu.</w:t>
      </w:r>
    </w:p>
    <w:p w:rsidR="007A4D59" w:rsidRPr="00E00B35" w:rsidRDefault="007A4D59" w:rsidP="00E00B35">
      <w:pPr>
        <w:spacing w:after="0" w:line="312" w:lineRule="auto"/>
        <w:textAlignment w:val="baseline"/>
        <w:rPr>
          <w:rFonts w:cs="Calibri"/>
          <w:b/>
          <w:szCs w:val="20"/>
        </w:rPr>
      </w:pPr>
    </w:p>
    <w:p w:rsidR="007A4D59" w:rsidRPr="00E00B35" w:rsidRDefault="007A4D59" w:rsidP="00E00B35">
      <w:pPr>
        <w:pStyle w:val="Nagwek3"/>
        <w:spacing w:after="0" w:line="312" w:lineRule="auto"/>
        <w:rPr>
          <w:b w:val="0"/>
          <w:sz w:val="20"/>
        </w:rPr>
      </w:pPr>
      <w:bookmarkStart w:id="715" w:name="_Toc71032624"/>
      <w:bookmarkStart w:id="716" w:name="_Toc71034606"/>
      <w:r w:rsidRPr="00E00B35">
        <w:rPr>
          <w:b w:val="0"/>
          <w:sz w:val="20"/>
        </w:rPr>
        <w:t>Spotkania zespołu „ZIELONY STÓŁ”</w:t>
      </w:r>
      <w:bookmarkEnd w:id="715"/>
      <w:bookmarkEnd w:id="716"/>
    </w:p>
    <w:p w:rsidR="007A4D59" w:rsidRPr="00E00B35" w:rsidRDefault="007A4D59" w:rsidP="00E00B35">
      <w:pPr>
        <w:spacing w:after="0" w:line="312" w:lineRule="auto"/>
        <w:rPr>
          <w:rFonts w:cs="Calibri"/>
          <w:szCs w:val="20"/>
        </w:rPr>
      </w:pPr>
      <w:r w:rsidRPr="00E00B35">
        <w:rPr>
          <w:rFonts w:cs="Calibri"/>
          <w:szCs w:val="20"/>
        </w:rPr>
        <w:t>W 2020 r. ze względu na sytuację epidemiczną nie odbywały się posiedzenia zespołu w formie stacjonarnej. Natomiast w formie online odbyło się 5 spotkań „Zielonego Stołu”. Poruszane tematy dotyczyły: stanu prac nad kartą zieleni dla osiedla Maślice, propozycji kolejnych osiedli do objęcia opracowaniem oraz przede wszystkim „Planu zazieleniania Wrocławia.” W maju 2020 r. Komisja Europejska ogłosiła Europejską Strategię Bioróżnorodności (</w:t>
      </w:r>
      <w:r w:rsidRPr="00E00B35">
        <w:rPr>
          <w:rFonts w:cs="Calibri"/>
          <w:i/>
          <w:szCs w:val="20"/>
        </w:rPr>
        <w:t>Unijna strategia na rzecz bioróżnorodności 2030. Przywracanie przyrody do naszego życia</w:t>
      </w:r>
      <w:r w:rsidRPr="00E00B35">
        <w:rPr>
          <w:rFonts w:cs="Calibri"/>
          <w:szCs w:val="20"/>
        </w:rPr>
        <w:t xml:space="preserve">). Jednym z elementów strategii jest punkt </w:t>
      </w:r>
      <w:r w:rsidRPr="00E00B35">
        <w:rPr>
          <w:rFonts w:cs="Calibri"/>
          <w:i/>
          <w:iCs/>
          <w:szCs w:val="20"/>
        </w:rPr>
        <w:t xml:space="preserve">2.2.8. pt. „Zazielenianie obszarów miejskich i podmiejskich”. </w:t>
      </w:r>
      <w:r w:rsidRPr="00E00B35">
        <w:rPr>
          <w:rFonts w:cs="Calibri"/>
          <w:iCs/>
          <w:szCs w:val="20"/>
        </w:rPr>
        <w:t xml:space="preserve">W punkcie tym Komisja Europejska </w:t>
      </w:r>
      <w:r w:rsidRPr="00E00B35">
        <w:rPr>
          <w:rFonts w:cs="Calibri"/>
          <w:szCs w:val="20"/>
        </w:rPr>
        <w:t xml:space="preserve">wzywa „europejskie miasta liczące co najmniej 20 000 mieszkańców do opracowania </w:t>
      </w:r>
      <w:r w:rsidRPr="00E00B35">
        <w:rPr>
          <w:rFonts w:cs="Calibri"/>
          <w:szCs w:val="20"/>
        </w:rPr>
        <w:lastRenderedPageBreak/>
        <w:t xml:space="preserve">ambitnych </w:t>
      </w:r>
      <w:r w:rsidRPr="00E00B35">
        <w:rPr>
          <w:rFonts w:cs="Calibri"/>
          <w:bCs/>
          <w:szCs w:val="20"/>
        </w:rPr>
        <w:t xml:space="preserve">planów zazieleniania obszarów miejskich </w:t>
      </w:r>
      <w:r w:rsidRPr="00E00B35">
        <w:rPr>
          <w:rFonts w:cs="Calibri"/>
          <w:szCs w:val="20"/>
        </w:rPr>
        <w:t>do końca 2021 r. Plany te powinny obejmować środki służące tworzeniu różnorodnych biologicznie i dostępnych lasów miejskich, parków i ogrodów; miejskich gospodarstw rolnych; zielonych dachów i ścian; ulic obsadzonych drzewami; łąk miejskich; oraz żywopłotów miejskich. Realizacja takich planów powinna przyczynić się również do poprawy połączeń między terenami zielonymi, wyeliminowania stosowania pestycydów i ograniczenia nadmiernego koszenia zielonych przestrzeni miejskich, a także stosowania innych praktyk szkodliwych dla różnorodności biologicznej. Plany te mogłyby doprowadzić do uruchomienia instrumentów politycznych, regulacyjnych i finansowych.”Ponadto z pismem o przygotowanie planu zazieleniania do miasta zwrócili się przedstawiciele organizacji pozarządowej „Stowarzyszenie Akcja Miasto”. Wrocław odpowiadając na apel Komisji Europejskiej i mieszkańców podjął prace nad przygotowaniem Planu. W ramach Zielonego Stołu przedstawiono i szczegółowo przedyskutowano wstępny zakres tematyczny Planu zazieleniania, omówiono udział poszczególnych jednostek miejskich w jego opracowaniu oraz wstępny harmonogram wykonania. Ustalenia te posłużą to ustalenia dalszych działań w kierunku przygotowania Planu zazieleniania.</w:t>
      </w:r>
    </w:p>
    <w:p w:rsidR="007A4D59" w:rsidRPr="00E00B35" w:rsidRDefault="007A4D59" w:rsidP="00E00B35">
      <w:pPr>
        <w:pStyle w:val="Akapitzlist"/>
        <w:spacing w:after="0" w:line="312" w:lineRule="auto"/>
        <w:ind w:left="0"/>
        <w:rPr>
          <w:b/>
          <w:szCs w:val="20"/>
        </w:rPr>
      </w:pPr>
    </w:p>
    <w:p w:rsidR="007A4D59" w:rsidRPr="00E00B35" w:rsidRDefault="007A4D59" w:rsidP="00E00B35">
      <w:pPr>
        <w:pStyle w:val="Nagwek5"/>
        <w:rPr>
          <w:szCs w:val="20"/>
        </w:rPr>
      </w:pPr>
      <w:bookmarkStart w:id="717" w:name="_Toc71032625"/>
      <w:bookmarkStart w:id="718" w:name="_Toc71034607"/>
      <w:r w:rsidRPr="00E00B35">
        <w:rPr>
          <w:szCs w:val="20"/>
        </w:rPr>
        <w:t>ZADANIE NR 11: MONITORING WDRAŻANIA PLANU GOSPODARKI NISKOEMISYJNEJ</w:t>
      </w:r>
      <w:bookmarkEnd w:id="717"/>
      <w:bookmarkEnd w:id="718"/>
    </w:p>
    <w:p w:rsidR="007A4D59" w:rsidRPr="00E00B35" w:rsidRDefault="007A4D59" w:rsidP="00E00B35">
      <w:pPr>
        <w:pStyle w:val="Akapitzlist"/>
        <w:spacing w:after="0" w:line="312" w:lineRule="auto"/>
        <w:ind w:left="0"/>
        <w:rPr>
          <w:rFonts w:cs="Arial"/>
          <w:bCs/>
          <w:szCs w:val="20"/>
        </w:rPr>
      </w:pPr>
      <w:r w:rsidRPr="00E00B35">
        <w:rPr>
          <w:rFonts w:cs="Arial"/>
          <w:bCs/>
          <w:szCs w:val="20"/>
        </w:rPr>
        <w:t>Zgodnie z założeniami Planu Gospodarki Niskoemisyjnej (PGN) w roku 2020 przeprowadzono inwentaryzację emisji gazów cieplarnianych w wyniku której uzyskano następujące wyniki:</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całkowita wielkość emisji GHG w 2019 roku wyniosła 4 912 919 Mg CO2e i była o 89 034 Mg CO2e wyższa (1,85%) od emisji w roku bazowym oszacowanej na poziomie 4 823 885 Mg CO2e (1990 rok),</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pomiędzy rokiem 1990 a 2014 nastąpił bardzo duży spadek wielkości emisji (13,7%), od 2015 roku obserwowany jest powolny wzrost wielkości emisji,</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głównym czynnikiem wzrostu wielkości emisji GHG we Wrocławiu jest transport – w celu osiągnięcia znaczących redukcji emisji (założonych w PGN) konieczna jest realizacja działań prowadzących do zmniejszenia wykorzystania indywidualnych pojazdów samochodowych do poruszania się po terenie miasta,</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zużycie energii elektrycznej wykazuje stałą, dużą tendencję wzrostową, która pomimo stałego zmniejszania się emisyjności energii elektrycznej w Polsce, jest po transporcie drugim z kolei czynnikiem wzrostu emisji we Wrocławiu. Jest to jednak nierozłącznie związane z rozwojem gospodarczym miasta,</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zużycie węgla stale maleje, co związane jest w ostatnich latach głównie z realizacją polityki ochrony powietrza (m.in. realizacja programów Kawka i Kawka 2) oraz postępującym uciepłownieniem miasta,</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nastąpił bardzo duży spadek emisji z sektora gospodarki odpadami, co związane jest w zdrożeniem nowoczesnych metod gospodarki odpadami – znaczącym ograniczeniem ilości składowanych odpadów oraz wprowadzeniem odzysku gazu wysypiskowego,</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lastRenderedPageBreak/>
        <w:t>po roku 1990 wystąpiły na terenie Wrocławia emisje z transportu lotniczego, które wcześniej były pomijalne i nie uwzględniono ich w inwentaryzacji bazowej. Emisje z transportu lotniczego wykazują dużą tendencję wzrostową (wzrost o ponad 87% w ciągu 6 lat),</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 ostatnich dwóch latach (2018 – 2019) zaznaczył się intensywny wzrost emisji z sektora przemysłowego – wzrost emisji o ponad 160 tys. ton w ciągu 2 lat (od roku 2016).</w:t>
      </w:r>
    </w:p>
    <w:p w:rsidR="007A4D59" w:rsidRPr="00E00B35" w:rsidRDefault="007A4D59" w:rsidP="00E00B35">
      <w:pPr>
        <w:pStyle w:val="Akapitzlist"/>
        <w:spacing w:after="0" w:line="312" w:lineRule="auto"/>
        <w:ind w:left="0"/>
        <w:rPr>
          <w:rFonts w:cs="Arial"/>
          <w:b/>
          <w:bCs/>
          <w:szCs w:val="20"/>
        </w:rPr>
      </w:pPr>
    </w:p>
    <w:p w:rsidR="007A4D59" w:rsidRPr="00E00B35" w:rsidRDefault="007A4D59" w:rsidP="00E00B35">
      <w:pPr>
        <w:pStyle w:val="Nagwek5"/>
        <w:rPr>
          <w:szCs w:val="20"/>
        </w:rPr>
      </w:pPr>
      <w:bookmarkStart w:id="719" w:name="_Toc71032626"/>
      <w:bookmarkStart w:id="720" w:name="_Toc71034608"/>
      <w:r w:rsidRPr="00E00B35">
        <w:rPr>
          <w:szCs w:val="20"/>
        </w:rPr>
        <w:t>ZADANIE NR 12: KALENDARZ EDUKACYJNY</w:t>
      </w:r>
      <w:bookmarkEnd w:id="719"/>
      <w:bookmarkEnd w:id="720"/>
    </w:p>
    <w:p w:rsidR="007A4D59" w:rsidRPr="00E00B35" w:rsidRDefault="007A4D59" w:rsidP="00E00B35">
      <w:pPr>
        <w:pStyle w:val="Nagwek4"/>
        <w:spacing w:before="0" w:after="0" w:line="312" w:lineRule="auto"/>
        <w:rPr>
          <w:b w:val="0"/>
          <w:sz w:val="20"/>
          <w:szCs w:val="20"/>
        </w:rPr>
      </w:pPr>
      <w:r w:rsidRPr="00E00B35">
        <w:rPr>
          <w:b w:val="0"/>
          <w:sz w:val="20"/>
          <w:szCs w:val="20"/>
        </w:rPr>
        <w:t>Programy ekologiczne i wyjazdy edukacyjne</w:t>
      </w:r>
    </w:p>
    <w:p w:rsidR="007A4D59" w:rsidRPr="00E00B35" w:rsidRDefault="007A4D59" w:rsidP="00E00B35">
      <w:pPr>
        <w:spacing w:after="0" w:line="312" w:lineRule="auto"/>
        <w:rPr>
          <w:szCs w:val="20"/>
        </w:rPr>
      </w:pPr>
      <w:r w:rsidRPr="00E00B35">
        <w:rPr>
          <w:szCs w:val="20"/>
        </w:rPr>
        <w:t>Zasady starania się o dofinansowanie, terminy naborów, kalendarz zielony i wzory dokumentów dofinansowań programów i wyjazdów ekologicznych zostały zaktualizowane w 2020 roku. O udzielenie dofinansowania programów i wyjazdów ekologicznych mogą ubiegać się placówki oświatowe, dla których organem prowadzącym jest Gmina Wrocław. Podstawą uzyskania dofinansowania jest złożenie wniosku, wraz z krótkim opisem zajęć dla uczniów dotyczących zrównoważonego rozwoju. Szkołom i placówkom oświatowym, prowadzonym przez Gminę Wrocław, udzielono dofinansowania na programy ekologiczne i wyjazdy edukacyjne do Ośrodków Edukacji Ekologicznej, realizowane w 2020 r. Podstawą udzielania dofinansowania na realizację wyjazdu lub programu było wpisywanie się działań w założenia tematyczne Zielonego Kalendarza Edukacyjnego.</w:t>
      </w:r>
    </w:p>
    <w:p w:rsidR="007A4D59" w:rsidRPr="00E00B35" w:rsidRDefault="007A4D59" w:rsidP="00E00B35">
      <w:pPr>
        <w:pStyle w:val="Legenda"/>
        <w:spacing w:before="0" w:after="0" w:line="312" w:lineRule="auto"/>
        <w:rPr>
          <w:b/>
          <w:sz w:val="20"/>
          <w:szCs w:val="20"/>
        </w:rPr>
      </w:pPr>
    </w:p>
    <w:p w:rsidR="007A4D59" w:rsidRPr="00E00B35" w:rsidRDefault="007A4D59" w:rsidP="00E00B35">
      <w:pPr>
        <w:pStyle w:val="Legenda"/>
        <w:spacing w:before="0" w:after="0" w:line="312" w:lineRule="auto"/>
        <w:rPr>
          <w:i w:val="0"/>
          <w:sz w:val="20"/>
          <w:szCs w:val="20"/>
        </w:rPr>
      </w:pPr>
      <w:r w:rsidRPr="00E00B35">
        <w:rPr>
          <w:i w:val="0"/>
          <w:sz w:val="20"/>
          <w:szCs w:val="20"/>
        </w:rPr>
        <w:t>Zielony Kalendarz Edukacyjny</w:t>
      </w:r>
    </w:p>
    <w:tbl>
      <w:tblPr>
        <w:tblW w:w="9086" w:type="dxa"/>
        <w:tblInd w:w="56" w:type="dxa"/>
        <w:tblCellMar>
          <w:left w:w="70" w:type="dxa"/>
          <w:right w:w="70" w:type="dxa"/>
        </w:tblCellMar>
        <w:tblLook w:val="04A0"/>
      </w:tblPr>
      <w:tblGrid>
        <w:gridCol w:w="2130"/>
        <w:gridCol w:w="2220"/>
        <w:gridCol w:w="4736"/>
      </w:tblGrid>
      <w:tr w:rsidR="007A4D59" w:rsidRPr="00E00B35" w:rsidTr="006D3493">
        <w:trPr>
          <w:trHeight w:val="300"/>
        </w:trPr>
        <w:tc>
          <w:tcPr>
            <w:tcW w:w="9086" w:type="dxa"/>
            <w:gridSpan w:val="3"/>
            <w:tcBorders>
              <w:top w:val="single" w:sz="4" w:space="0" w:color="auto"/>
              <w:left w:val="single" w:sz="4" w:space="0" w:color="auto"/>
              <w:bottom w:val="single" w:sz="4" w:space="0" w:color="auto"/>
              <w:right w:val="single" w:sz="4" w:space="0" w:color="000000"/>
            </w:tcBorders>
            <w:shd w:val="clear" w:color="auto" w:fill="FFFFFF"/>
            <w:noWrap/>
            <w:vAlign w:val="center"/>
            <w:hideMark/>
          </w:tcPr>
          <w:p w:rsidR="007A4D59" w:rsidRPr="00E00B35" w:rsidRDefault="007A4D59" w:rsidP="00E00B35">
            <w:pPr>
              <w:spacing w:after="0" w:line="312" w:lineRule="auto"/>
              <w:rPr>
                <w:bCs/>
                <w:color w:val="000000"/>
                <w:szCs w:val="20"/>
              </w:rPr>
            </w:pPr>
            <w:r w:rsidRPr="00E00B35">
              <w:rPr>
                <w:bCs/>
                <w:color w:val="000000"/>
                <w:szCs w:val="20"/>
              </w:rPr>
              <w:t>ZIELONY KALENDARZ EDUKACYJNY</w:t>
            </w:r>
          </w:p>
        </w:tc>
      </w:tr>
      <w:tr w:rsidR="007A4D59" w:rsidRPr="00E00B35" w:rsidTr="006D3493">
        <w:trPr>
          <w:trHeight w:val="300"/>
        </w:trPr>
        <w:tc>
          <w:tcPr>
            <w:tcW w:w="2130" w:type="dxa"/>
            <w:tcBorders>
              <w:top w:val="nil"/>
              <w:left w:val="single" w:sz="4" w:space="0" w:color="auto"/>
              <w:bottom w:val="single" w:sz="4" w:space="0" w:color="auto"/>
              <w:right w:val="single" w:sz="4" w:space="0" w:color="auto"/>
            </w:tcBorders>
            <w:shd w:val="clear" w:color="auto" w:fill="FFFFFF"/>
            <w:noWrap/>
            <w:vAlign w:val="center"/>
            <w:hideMark/>
          </w:tcPr>
          <w:p w:rsidR="007A4D59" w:rsidRPr="00E00B35" w:rsidRDefault="007A4D59" w:rsidP="00E00B35">
            <w:pPr>
              <w:spacing w:after="0" w:line="312" w:lineRule="auto"/>
              <w:rPr>
                <w:bCs/>
                <w:color w:val="000000"/>
                <w:szCs w:val="20"/>
              </w:rPr>
            </w:pPr>
            <w:r w:rsidRPr="00E00B35">
              <w:rPr>
                <w:bCs/>
                <w:color w:val="000000"/>
                <w:szCs w:val="20"/>
              </w:rPr>
              <w:t>TEMAT MIESIĄCA</w:t>
            </w:r>
          </w:p>
        </w:tc>
        <w:tc>
          <w:tcPr>
            <w:tcW w:w="2220" w:type="dxa"/>
            <w:tcBorders>
              <w:top w:val="nil"/>
              <w:left w:val="nil"/>
              <w:bottom w:val="single" w:sz="4" w:space="0" w:color="auto"/>
              <w:right w:val="single" w:sz="4" w:space="0" w:color="auto"/>
            </w:tcBorders>
            <w:shd w:val="clear" w:color="auto" w:fill="FFFFFF"/>
            <w:noWrap/>
            <w:vAlign w:val="center"/>
            <w:hideMark/>
          </w:tcPr>
          <w:p w:rsidR="007A4D59" w:rsidRPr="00E00B35" w:rsidRDefault="007A4D59" w:rsidP="00E00B35">
            <w:pPr>
              <w:spacing w:after="0" w:line="312" w:lineRule="auto"/>
              <w:rPr>
                <w:bCs/>
                <w:color w:val="000000"/>
                <w:szCs w:val="20"/>
              </w:rPr>
            </w:pPr>
            <w:r w:rsidRPr="00E00B35">
              <w:rPr>
                <w:bCs/>
                <w:color w:val="000000"/>
                <w:szCs w:val="20"/>
              </w:rPr>
              <w:t>DATA</w:t>
            </w:r>
          </w:p>
        </w:tc>
        <w:tc>
          <w:tcPr>
            <w:tcW w:w="4736" w:type="dxa"/>
            <w:tcBorders>
              <w:top w:val="nil"/>
              <w:left w:val="nil"/>
              <w:bottom w:val="nil"/>
              <w:right w:val="single" w:sz="4" w:space="0" w:color="auto"/>
            </w:tcBorders>
            <w:shd w:val="clear" w:color="auto" w:fill="FFFFFF"/>
            <w:noWrap/>
            <w:vAlign w:val="center"/>
            <w:hideMark/>
          </w:tcPr>
          <w:p w:rsidR="007A4D59" w:rsidRPr="00E00B35" w:rsidRDefault="007A4D59" w:rsidP="00E00B35">
            <w:pPr>
              <w:spacing w:after="0" w:line="312" w:lineRule="auto"/>
              <w:rPr>
                <w:bCs/>
                <w:color w:val="000000"/>
                <w:szCs w:val="20"/>
              </w:rPr>
            </w:pPr>
            <w:r w:rsidRPr="00E00B35">
              <w:rPr>
                <w:bCs/>
                <w:color w:val="000000"/>
                <w:szCs w:val="20"/>
              </w:rPr>
              <w:t>ŚWIĘTO</w:t>
            </w:r>
          </w:p>
        </w:tc>
      </w:tr>
      <w:tr w:rsidR="007A4D59" w:rsidRPr="00E00B35" w:rsidTr="006D3493">
        <w:trPr>
          <w:trHeight w:val="435"/>
        </w:trPr>
        <w:tc>
          <w:tcPr>
            <w:tcW w:w="2130" w:type="dxa"/>
            <w:vMerge w:val="restart"/>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r w:rsidRPr="00E00B35">
              <w:rPr>
                <w:bCs/>
                <w:szCs w:val="20"/>
              </w:rPr>
              <w:t>Styczeń - Miesiąc Gospodarki Obiegowej</w:t>
            </w: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10 stycznia</w:t>
            </w:r>
          </w:p>
        </w:tc>
        <w:tc>
          <w:tcPr>
            <w:tcW w:w="4736" w:type="dxa"/>
            <w:tcBorders>
              <w:top w:val="single" w:sz="4" w:space="0" w:color="auto"/>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Dzień Obniżania Kosztów Energii</w:t>
            </w:r>
          </w:p>
        </w:tc>
      </w:tr>
      <w:tr w:rsidR="007A4D59" w:rsidRPr="00E00B35" w:rsidTr="006D3493">
        <w:trPr>
          <w:trHeight w:val="42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23 stycznia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Dzień bez opakowań foliowych</w:t>
            </w:r>
          </w:p>
        </w:tc>
      </w:tr>
      <w:tr w:rsidR="007A4D59" w:rsidRPr="00E00B35" w:rsidTr="006D3493">
        <w:trPr>
          <w:trHeight w:val="600"/>
        </w:trPr>
        <w:tc>
          <w:tcPr>
            <w:tcW w:w="2130" w:type="dxa"/>
            <w:tcBorders>
              <w:top w:val="nil"/>
              <w:left w:val="single" w:sz="4" w:space="0" w:color="auto"/>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bCs/>
                <w:szCs w:val="20"/>
              </w:rPr>
            </w:pPr>
            <w:r w:rsidRPr="00E00B35">
              <w:rPr>
                <w:bCs/>
                <w:szCs w:val="20"/>
              </w:rPr>
              <w:t>Luty - Miesiąc Zwierząt</w:t>
            </w: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11 lutego</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Ogólnopolski Dzień Dogarmiania Zwierzyny Leśnej</w:t>
            </w:r>
          </w:p>
        </w:tc>
      </w:tr>
      <w:tr w:rsidR="007A4D59" w:rsidRPr="00E00B35" w:rsidTr="006D3493">
        <w:trPr>
          <w:trHeight w:val="300"/>
        </w:trPr>
        <w:tc>
          <w:tcPr>
            <w:tcW w:w="2130" w:type="dxa"/>
            <w:vMerge w:val="restart"/>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r w:rsidRPr="00E00B35">
              <w:rPr>
                <w:bCs/>
                <w:szCs w:val="20"/>
              </w:rPr>
              <w:t xml:space="preserve">Marzec - </w:t>
            </w:r>
            <w:r w:rsidRPr="00E00B35">
              <w:rPr>
                <w:bCs/>
                <w:szCs w:val="20"/>
              </w:rPr>
              <w:br/>
              <w:t>Miesiąc Wody</w:t>
            </w:r>
          </w:p>
        </w:tc>
        <w:tc>
          <w:tcPr>
            <w:tcW w:w="2220" w:type="dxa"/>
            <w:tcBorders>
              <w:top w:val="nil"/>
              <w:left w:val="nil"/>
              <w:bottom w:val="single" w:sz="4" w:space="0" w:color="auto"/>
              <w:right w:val="single" w:sz="4" w:space="0" w:color="auto"/>
            </w:tcBorders>
            <w:shd w:val="clear" w:color="auto" w:fill="FFFFFF"/>
            <w:noWrap/>
            <w:vAlign w:val="center"/>
            <w:hideMark/>
          </w:tcPr>
          <w:p w:rsidR="007A4D59" w:rsidRPr="00E00B35" w:rsidRDefault="007A4D59" w:rsidP="00E00B35">
            <w:pPr>
              <w:spacing w:after="0" w:line="312" w:lineRule="auto"/>
              <w:rPr>
                <w:szCs w:val="20"/>
              </w:rPr>
            </w:pPr>
            <w:r w:rsidRPr="00E00B35">
              <w:rPr>
                <w:szCs w:val="20"/>
              </w:rPr>
              <w:t>3 marca</w:t>
            </w:r>
          </w:p>
        </w:tc>
        <w:tc>
          <w:tcPr>
            <w:tcW w:w="4736" w:type="dxa"/>
            <w:tcBorders>
              <w:top w:val="nil"/>
              <w:left w:val="nil"/>
              <w:bottom w:val="single" w:sz="4" w:space="0" w:color="auto"/>
              <w:right w:val="single" w:sz="4" w:space="0" w:color="auto"/>
            </w:tcBorders>
            <w:shd w:val="clear" w:color="auto" w:fill="FFFFFF"/>
            <w:noWrap/>
            <w:vAlign w:val="bottom"/>
            <w:hideMark/>
          </w:tcPr>
          <w:p w:rsidR="007A4D59" w:rsidRPr="00E00B35" w:rsidRDefault="007A4D59" w:rsidP="00E00B35">
            <w:pPr>
              <w:spacing w:after="0" w:line="312" w:lineRule="auto"/>
              <w:rPr>
                <w:szCs w:val="20"/>
              </w:rPr>
            </w:pPr>
            <w:r w:rsidRPr="00E00B35">
              <w:rPr>
                <w:szCs w:val="20"/>
              </w:rPr>
              <w:t>Dzień Dzikiej Przyrody</w:t>
            </w:r>
          </w:p>
        </w:tc>
      </w:tr>
      <w:tr w:rsidR="007A4D59" w:rsidRPr="00E00B35" w:rsidTr="006D3493">
        <w:trPr>
          <w:trHeight w:val="30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noWrap/>
            <w:vAlign w:val="center"/>
            <w:hideMark/>
          </w:tcPr>
          <w:p w:rsidR="007A4D59" w:rsidRPr="00E00B35" w:rsidRDefault="007A4D59" w:rsidP="00E00B35">
            <w:pPr>
              <w:spacing w:after="0" w:line="312" w:lineRule="auto"/>
              <w:rPr>
                <w:szCs w:val="20"/>
              </w:rPr>
            </w:pPr>
            <w:r w:rsidRPr="00E00B35">
              <w:rPr>
                <w:szCs w:val="20"/>
              </w:rPr>
              <w:t>21 marca</w:t>
            </w:r>
          </w:p>
        </w:tc>
        <w:tc>
          <w:tcPr>
            <w:tcW w:w="4736" w:type="dxa"/>
            <w:tcBorders>
              <w:top w:val="nil"/>
              <w:left w:val="nil"/>
              <w:bottom w:val="single" w:sz="4" w:space="0" w:color="auto"/>
              <w:right w:val="single" w:sz="4" w:space="0" w:color="auto"/>
            </w:tcBorders>
            <w:shd w:val="clear" w:color="auto" w:fill="FFFFFF"/>
            <w:noWrap/>
            <w:vAlign w:val="bottom"/>
            <w:hideMark/>
          </w:tcPr>
          <w:p w:rsidR="007A4D59" w:rsidRPr="00E00B35" w:rsidRDefault="007A4D59" w:rsidP="00E00B35">
            <w:pPr>
              <w:spacing w:after="0" w:line="312" w:lineRule="auto"/>
              <w:rPr>
                <w:szCs w:val="20"/>
              </w:rPr>
            </w:pPr>
            <w:r w:rsidRPr="00E00B35">
              <w:rPr>
                <w:szCs w:val="20"/>
              </w:rPr>
              <w:t>Pierwszy Dzień Wiosny</w:t>
            </w:r>
          </w:p>
        </w:tc>
      </w:tr>
      <w:tr w:rsidR="007A4D59" w:rsidRPr="00E00B35" w:rsidTr="006D3493">
        <w:trPr>
          <w:trHeight w:val="30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noWrap/>
            <w:vAlign w:val="center"/>
            <w:hideMark/>
          </w:tcPr>
          <w:p w:rsidR="007A4D59" w:rsidRPr="00E00B35" w:rsidRDefault="007A4D59" w:rsidP="00E00B35">
            <w:pPr>
              <w:spacing w:after="0" w:line="312" w:lineRule="auto"/>
              <w:rPr>
                <w:szCs w:val="20"/>
              </w:rPr>
            </w:pPr>
            <w:r w:rsidRPr="00E00B35">
              <w:rPr>
                <w:szCs w:val="20"/>
              </w:rPr>
              <w:t>21 marca</w:t>
            </w:r>
          </w:p>
        </w:tc>
        <w:tc>
          <w:tcPr>
            <w:tcW w:w="4736" w:type="dxa"/>
            <w:tcBorders>
              <w:top w:val="nil"/>
              <w:left w:val="nil"/>
              <w:bottom w:val="single" w:sz="4" w:space="0" w:color="auto"/>
              <w:right w:val="single" w:sz="4" w:space="0" w:color="auto"/>
            </w:tcBorders>
            <w:shd w:val="clear" w:color="auto" w:fill="FFFFFF"/>
            <w:noWrap/>
            <w:vAlign w:val="bottom"/>
            <w:hideMark/>
          </w:tcPr>
          <w:p w:rsidR="007A4D59" w:rsidRPr="00E00B35" w:rsidRDefault="007A4D59" w:rsidP="00E00B35">
            <w:pPr>
              <w:spacing w:after="0" w:line="312" w:lineRule="auto"/>
              <w:rPr>
                <w:szCs w:val="20"/>
              </w:rPr>
            </w:pPr>
            <w:r w:rsidRPr="00E00B35">
              <w:rPr>
                <w:szCs w:val="20"/>
              </w:rPr>
              <w:t>Dzień Lasów</w:t>
            </w:r>
          </w:p>
        </w:tc>
      </w:tr>
      <w:tr w:rsidR="007A4D59" w:rsidRPr="00E00B35" w:rsidTr="006D3493">
        <w:trPr>
          <w:trHeight w:val="30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noWrap/>
            <w:vAlign w:val="center"/>
            <w:hideMark/>
          </w:tcPr>
          <w:p w:rsidR="007A4D59" w:rsidRPr="00E00B35" w:rsidRDefault="007A4D59" w:rsidP="00E00B35">
            <w:pPr>
              <w:spacing w:after="0" w:line="312" w:lineRule="auto"/>
              <w:rPr>
                <w:szCs w:val="20"/>
              </w:rPr>
            </w:pPr>
            <w:r w:rsidRPr="00E00B35">
              <w:rPr>
                <w:szCs w:val="20"/>
              </w:rPr>
              <w:t>22 marca</w:t>
            </w:r>
          </w:p>
        </w:tc>
        <w:tc>
          <w:tcPr>
            <w:tcW w:w="4736" w:type="dxa"/>
            <w:tcBorders>
              <w:top w:val="nil"/>
              <w:left w:val="nil"/>
              <w:bottom w:val="single" w:sz="4" w:space="0" w:color="auto"/>
              <w:right w:val="single" w:sz="4" w:space="0" w:color="auto"/>
            </w:tcBorders>
            <w:shd w:val="clear" w:color="auto" w:fill="FFFFFF"/>
            <w:noWrap/>
            <w:vAlign w:val="bottom"/>
            <w:hideMark/>
          </w:tcPr>
          <w:p w:rsidR="007A4D59" w:rsidRPr="00E00B35" w:rsidRDefault="007A4D59" w:rsidP="00E00B35">
            <w:pPr>
              <w:spacing w:after="0" w:line="312" w:lineRule="auto"/>
              <w:rPr>
                <w:szCs w:val="20"/>
              </w:rPr>
            </w:pPr>
            <w:r w:rsidRPr="00E00B35">
              <w:rPr>
                <w:szCs w:val="20"/>
              </w:rPr>
              <w:t>Światowy Dzień Wody</w:t>
            </w:r>
          </w:p>
        </w:tc>
      </w:tr>
      <w:tr w:rsidR="007A4D59" w:rsidRPr="00E00B35" w:rsidTr="006D3493">
        <w:trPr>
          <w:trHeight w:val="30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noWrap/>
            <w:vAlign w:val="center"/>
            <w:hideMark/>
          </w:tcPr>
          <w:p w:rsidR="007A4D59" w:rsidRPr="00E00B35" w:rsidRDefault="007A4D59" w:rsidP="00E00B35">
            <w:pPr>
              <w:spacing w:after="0" w:line="312" w:lineRule="auto"/>
              <w:rPr>
                <w:szCs w:val="20"/>
              </w:rPr>
            </w:pPr>
            <w:r w:rsidRPr="00E00B35">
              <w:rPr>
                <w:szCs w:val="20"/>
              </w:rPr>
              <w:t>28 marca</w:t>
            </w:r>
          </w:p>
        </w:tc>
        <w:tc>
          <w:tcPr>
            <w:tcW w:w="4736" w:type="dxa"/>
            <w:tcBorders>
              <w:top w:val="nil"/>
              <w:left w:val="nil"/>
              <w:bottom w:val="single" w:sz="4" w:space="0" w:color="auto"/>
              <w:right w:val="single" w:sz="4" w:space="0" w:color="auto"/>
            </w:tcBorders>
            <w:shd w:val="clear" w:color="auto" w:fill="FFFFFF"/>
            <w:noWrap/>
            <w:vAlign w:val="bottom"/>
            <w:hideMark/>
          </w:tcPr>
          <w:p w:rsidR="007A4D59" w:rsidRPr="00E00B35" w:rsidRDefault="007A4D59" w:rsidP="00E00B35">
            <w:pPr>
              <w:spacing w:after="0" w:line="312" w:lineRule="auto"/>
              <w:rPr>
                <w:szCs w:val="20"/>
              </w:rPr>
            </w:pPr>
            <w:r w:rsidRPr="00E00B35">
              <w:rPr>
                <w:szCs w:val="20"/>
              </w:rPr>
              <w:t>Godzina dla Ziemi</w:t>
            </w:r>
          </w:p>
        </w:tc>
      </w:tr>
      <w:tr w:rsidR="007A4D59" w:rsidRPr="00E00B35" w:rsidTr="006D3493">
        <w:trPr>
          <w:trHeight w:val="360"/>
        </w:trPr>
        <w:tc>
          <w:tcPr>
            <w:tcW w:w="2130" w:type="dxa"/>
            <w:vMerge w:val="restart"/>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r w:rsidRPr="00E00B35">
              <w:rPr>
                <w:bCs/>
                <w:szCs w:val="20"/>
              </w:rPr>
              <w:t>Kwiecień - Miesiąc ochrony przed hałasem</w:t>
            </w: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 kwietnia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Ptaków</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22 kwietnia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Ziemi</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25 kwietnia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Dzień Świadomości Zagrożenia Hałasem</w:t>
            </w:r>
          </w:p>
        </w:tc>
      </w:tr>
      <w:tr w:rsidR="007A4D59" w:rsidRPr="00E00B35" w:rsidTr="006D3493">
        <w:trPr>
          <w:trHeight w:val="360"/>
        </w:trPr>
        <w:tc>
          <w:tcPr>
            <w:tcW w:w="2130" w:type="dxa"/>
            <w:vMerge w:val="restart"/>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r w:rsidRPr="00E00B35">
              <w:rPr>
                <w:bCs/>
                <w:szCs w:val="20"/>
              </w:rPr>
              <w:t>Maj - Miesiąc Zrównoważonego Rozwoju</w:t>
            </w: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9 maja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Dzień Europy</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 xml:space="preserve">11 maja </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Dzień Bez Śmiecenia</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 xml:space="preserve">10 maja </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Ptaków Wędrownych</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15 maja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Dzień Ogrodów</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20 maja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Pszczół</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22 maja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Dzień Praw Zwierząt</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22 maja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Dzień Różnorodności Biologicznej</w:t>
            </w:r>
          </w:p>
        </w:tc>
      </w:tr>
      <w:tr w:rsidR="007A4D59" w:rsidRPr="00E00B35" w:rsidTr="006D3493">
        <w:trPr>
          <w:trHeight w:val="60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30 maja - 5 czerwca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Europejski Tydzień Zrównoważonego Rozwoju</w:t>
            </w:r>
          </w:p>
        </w:tc>
      </w:tr>
      <w:tr w:rsidR="007A4D59" w:rsidRPr="00E00B35" w:rsidTr="006D3493">
        <w:trPr>
          <w:trHeight w:val="360"/>
        </w:trPr>
        <w:tc>
          <w:tcPr>
            <w:tcW w:w="2130" w:type="dxa"/>
            <w:vMerge w:val="restart"/>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r w:rsidRPr="00E00B35">
              <w:rPr>
                <w:bCs/>
                <w:szCs w:val="20"/>
              </w:rPr>
              <w:t>Czerwiec - Zielony Miesiąc</w:t>
            </w: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5 czerwca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Ochrony Środowiska</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8 czerwca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Oceanów</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15 czerwca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Wiatru</w:t>
            </w:r>
          </w:p>
        </w:tc>
      </w:tr>
      <w:tr w:rsidR="007A4D59" w:rsidRPr="00E00B35" w:rsidTr="006D3493">
        <w:trPr>
          <w:trHeight w:val="60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17 czerwca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Walki z Pustynnieniem i Suszą</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14-16 czerwca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Akcja Sprzątanie Świata</w:t>
            </w:r>
          </w:p>
        </w:tc>
      </w:tr>
      <w:tr w:rsidR="007A4D59" w:rsidRPr="00E00B35" w:rsidTr="006D3493">
        <w:trPr>
          <w:trHeight w:val="600"/>
        </w:trPr>
        <w:tc>
          <w:tcPr>
            <w:tcW w:w="2130" w:type="dxa"/>
            <w:vMerge w:val="restart"/>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r w:rsidRPr="00E00B35">
              <w:rPr>
                <w:bCs/>
                <w:szCs w:val="20"/>
              </w:rPr>
              <w:t>Wrzesień - Miesiąc Mobilności</w:t>
            </w: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 xml:space="preserve">19 września </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Dzień Dzikiej Flory, Fauny i Naturalnych Siedlisk</w:t>
            </w:r>
          </w:p>
        </w:tc>
      </w:tr>
      <w:tr w:rsidR="007A4D59" w:rsidRPr="00E00B35" w:rsidTr="006D3493">
        <w:trPr>
          <w:trHeight w:val="84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16-22 września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 xml:space="preserve">Europejski Tydzień Zrównoważonej Mobilności  </w:t>
            </w:r>
            <w:r w:rsidRPr="00E00B35">
              <w:rPr>
                <w:szCs w:val="20"/>
              </w:rPr>
              <w:br/>
              <w:t>i Europejski Dzień Bez Samochodu</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 </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Morza</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 xml:space="preserve">27 września </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Rzek</w:t>
            </w:r>
          </w:p>
        </w:tc>
      </w:tr>
      <w:tr w:rsidR="007A4D59" w:rsidRPr="00E00B35" w:rsidTr="006D3493">
        <w:trPr>
          <w:trHeight w:val="360"/>
        </w:trPr>
        <w:tc>
          <w:tcPr>
            <w:tcW w:w="2130" w:type="dxa"/>
            <w:vMerge w:val="restart"/>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r w:rsidRPr="00E00B35">
              <w:rPr>
                <w:bCs/>
                <w:szCs w:val="20"/>
              </w:rPr>
              <w:t>Październik - Miesiąc Drzew</w:t>
            </w: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 października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Międzynarodowy Dzień Wegetarianizmu</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 października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Ptaków</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4 października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Zwierząt</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10 października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Drzewa</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16 października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Żywności</w:t>
            </w:r>
          </w:p>
        </w:tc>
      </w:tr>
      <w:tr w:rsidR="007A4D59" w:rsidRPr="00E00B35" w:rsidTr="006D3493">
        <w:trPr>
          <w:trHeight w:val="840"/>
        </w:trPr>
        <w:tc>
          <w:tcPr>
            <w:tcW w:w="2130" w:type="dxa"/>
            <w:tcBorders>
              <w:top w:val="nil"/>
              <w:left w:val="single" w:sz="4" w:space="0" w:color="auto"/>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bCs/>
                <w:szCs w:val="20"/>
              </w:rPr>
            </w:pPr>
            <w:r w:rsidRPr="00E00B35">
              <w:rPr>
                <w:bCs/>
                <w:szCs w:val="20"/>
              </w:rPr>
              <w:t>Listopad - Miesiąc Czystego Powietrza</w:t>
            </w: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14 listopada</w:t>
            </w:r>
          </w:p>
        </w:tc>
        <w:tc>
          <w:tcPr>
            <w:tcW w:w="4736"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Dzień Czystego Powietrza</w:t>
            </w:r>
          </w:p>
        </w:tc>
      </w:tr>
      <w:tr w:rsidR="007A4D59" w:rsidRPr="00E00B35" w:rsidTr="006D3493">
        <w:trPr>
          <w:trHeight w:val="360"/>
        </w:trPr>
        <w:tc>
          <w:tcPr>
            <w:tcW w:w="2130" w:type="dxa"/>
            <w:vMerge w:val="restart"/>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r w:rsidRPr="00E00B35">
              <w:rPr>
                <w:bCs/>
                <w:szCs w:val="20"/>
              </w:rPr>
              <w:t>Grudzień - Miesiąc Klimatu</w:t>
            </w: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5 grudnia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Światowy Dzień Gleb</w:t>
            </w:r>
          </w:p>
        </w:tc>
      </w:tr>
      <w:tr w:rsidR="007A4D59" w:rsidRPr="00E00B35" w:rsidTr="006D3493">
        <w:trPr>
          <w:trHeight w:val="360"/>
        </w:trPr>
        <w:tc>
          <w:tcPr>
            <w:tcW w:w="2130" w:type="dxa"/>
            <w:vMerge/>
            <w:tcBorders>
              <w:top w:val="nil"/>
              <w:left w:val="single" w:sz="4" w:space="0" w:color="auto"/>
              <w:bottom w:val="single" w:sz="4" w:space="0" w:color="000000"/>
              <w:right w:val="single" w:sz="4" w:space="0" w:color="auto"/>
            </w:tcBorders>
            <w:shd w:val="clear" w:color="auto" w:fill="FFFFFF"/>
            <w:vAlign w:val="center"/>
            <w:hideMark/>
          </w:tcPr>
          <w:p w:rsidR="007A4D59" w:rsidRPr="00E00B35" w:rsidRDefault="007A4D59" w:rsidP="00E00B35">
            <w:pPr>
              <w:spacing w:after="0" w:line="312" w:lineRule="auto"/>
              <w:rPr>
                <w:bCs/>
                <w:szCs w:val="20"/>
              </w:rPr>
            </w:pPr>
          </w:p>
        </w:tc>
        <w:tc>
          <w:tcPr>
            <w:tcW w:w="2220" w:type="dxa"/>
            <w:tcBorders>
              <w:top w:val="nil"/>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szCs w:val="20"/>
              </w:rPr>
            </w:pPr>
            <w:r w:rsidRPr="00E00B35">
              <w:rPr>
                <w:szCs w:val="20"/>
              </w:rPr>
              <w:t>21 grudnia</w:t>
            </w:r>
          </w:p>
        </w:tc>
        <w:tc>
          <w:tcPr>
            <w:tcW w:w="4736" w:type="dxa"/>
            <w:tcBorders>
              <w:top w:val="nil"/>
              <w:left w:val="nil"/>
              <w:bottom w:val="single" w:sz="4" w:space="0" w:color="auto"/>
              <w:right w:val="single" w:sz="4" w:space="0" w:color="auto"/>
            </w:tcBorders>
            <w:shd w:val="clear" w:color="auto" w:fill="FFFFFF"/>
            <w:vAlign w:val="bottom"/>
            <w:hideMark/>
          </w:tcPr>
          <w:p w:rsidR="007A4D59" w:rsidRPr="00E00B35" w:rsidRDefault="007A4D59" w:rsidP="00E00B35">
            <w:pPr>
              <w:spacing w:after="0" w:line="312" w:lineRule="auto"/>
              <w:rPr>
                <w:szCs w:val="20"/>
              </w:rPr>
            </w:pPr>
            <w:r w:rsidRPr="00E00B35">
              <w:rPr>
                <w:szCs w:val="20"/>
              </w:rPr>
              <w:t>Przesilenie zimowe</w:t>
            </w:r>
          </w:p>
        </w:tc>
      </w:tr>
    </w:tbl>
    <w:p w:rsidR="007A4D59" w:rsidRPr="00E00B35" w:rsidRDefault="007A4D59" w:rsidP="00E00B35">
      <w:pPr>
        <w:spacing w:after="0" w:line="312" w:lineRule="auto"/>
        <w:rPr>
          <w:b/>
          <w:szCs w:val="20"/>
        </w:rPr>
      </w:pPr>
    </w:p>
    <w:p w:rsidR="007A4D59" w:rsidRPr="00E00B35" w:rsidRDefault="007A4D59" w:rsidP="00E00B35">
      <w:pPr>
        <w:pStyle w:val="Akapitzlist1"/>
        <w:spacing w:after="0" w:line="312" w:lineRule="auto"/>
        <w:ind w:left="0"/>
        <w:rPr>
          <w:szCs w:val="20"/>
        </w:rPr>
      </w:pPr>
      <w:r w:rsidRPr="00E00B35">
        <w:rPr>
          <w:szCs w:val="20"/>
        </w:rPr>
        <w:t>Źródło: Opracowanie własne</w:t>
      </w:r>
    </w:p>
    <w:p w:rsidR="007A4D59" w:rsidRPr="00E00B35" w:rsidRDefault="007A4D59" w:rsidP="00E00B35">
      <w:pPr>
        <w:pStyle w:val="Akapitzlist1"/>
        <w:spacing w:after="0" w:line="312" w:lineRule="auto"/>
        <w:ind w:left="0"/>
        <w:rPr>
          <w:szCs w:val="20"/>
        </w:rPr>
      </w:pPr>
    </w:p>
    <w:p w:rsidR="007A4D59" w:rsidRPr="00E00B35" w:rsidRDefault="007A4D59" w:rsidP="00E00B35">
      <w:pPr>
        <w:spacing w:after="0" w:line="312" w:lineRule="auto"/>
        <w:rPr>
          <w:szCs w:val="20"/>
        </w:rPr>
      </w:pPr>
      <w:r w:rsidRPr="00E00B35">
        <w:rPr>
          <w:szCs w:val="20"/>
        </w:rPr>
        <w:t>Łączna kwota dofinansowań udzielonych placówkom w okresie I-XII.2020 r. wyniosła 105 206,00,00 zł.</w:t>
      </w:r>
    </w:p>
    <w:p w:rsidR="007A4D59" w:rsidRPr="00E00B35" w:rsidRDefault="007A4D59" w:rsidP="00E00B35">
      <w:pPr>
        <w:pStyle w:val="Sprawozdanie"/>
        <w:spacing w:after="0" w:line="312" w:lineRule="auto"/>
        <w:jc w:val="left"/>
        <w:rPr>
          <w:szCs w:val="20"/>
        </w:rPr>
      </w:pPr>
    </w:p>
    <w:p w:rsidR="007A4D59" w:rsidRPr="00E00B35" w:rsidRDefault="007A4D59" w:rsidP="00E00B35">
      <w:pPr>
        <w:pStyle w:val="Legenda"/>
        <w:spacing w:before="0" w:after="0" w:line="312" w:lineRule="auto"/>
        <w:rPr>
          <w:i w:val="0"/>
          <w:sz w:val="20"/>
          <w:szCs w:val="20"/>
        </w:rPr>
      </w:pPr>
      <w:r w:rsidRPr="00E00B35">
        <w:rPr>
          <w:i w:val="0"/>
          <w:sz w:val="20"/>
          <w:szCs w:val="20"/>
        </w:rPr>
        <w:t>Programy ekologiczne i wyjazdy do ośrodków edukacji ekologicznej we wrocławskich placówkach oświatowych w latach 2017 - 2020</w:t>
      </w:r>
    </w:p>
    <w:tbl>
      <w:tblPr>
        <w:tblW w:w="0" w:type="auto"/>
        <w:jc w:val="center"/>
        <w:shd w:val="clear" w:color="auto" w:fill="FFFFFF"/>
        <w:tblLayout w:type="fixed"/>
        <w:tblCellMar>
          <w:left w:w="70" w:type="dxa"/>
          <w:right w:w="70" w:type="dxa"/>
        </w:tblCellMar>
        <w:tblLook w:val="0000"/>
      </w:tblPr>
      <w:tblGrid>
        <w:gridCol w:w="2338"/>
        <w:gridCol w:w="3686"/>
        <w:gridCol w:w="1417"/>
        <w:gridCol w:w="1771"/>
      </w:tblGrid>
      <w:tr w:rsidR="007A4D59" w:rsidRPr="00E00B35" w:rsidTr="006D3493">
        <w:trPr>
          <w:trHeight w:val="252"/>
          <w:jc w:val="center"/>
        </w:trPr>
        <w:tc>
          <w:tcPr>
            <w:tcW w:w="2338" w:type="dxa"/>
            <w:tcBorders>
              <w:top w:val="single" w:sz="4" w:space="0" w:color="auto"/>
              <w:left w:val="single" w:sz="4" w:space="0" w:color="auto"/>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bCs/>
                <w:szCs w:val="20"/>
              </w:rPr>
            </w:pPr>
            <w:r w:rsidRPr="00E00B35">
              <w:rPr>
                <w:rFonts w:cs="Verdana"/>
                <w:bCs/>
                <w:szCs w:val="20"/>
              </w:rPr>
              <w:t xml:space="preserve">Okres realizacji zadania </w:t>
            </w:r>
            <w:r w:rsidRPr="00E00B35">
              <w:rPr>
                <w:rFonts w:cs="Verdana"/>
                <w:bCs/>
                <w:szCs w:val="20"/>
              </w:rPr>
              <w:br/>
              <w:t>przez placówki</w:t>
            </w:r>
          </w:p>
        </w:tc>
        <w:tc>
          <w:tcPr>
            <w:tcW w:w="3686"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bCs/>
                <w:szCs w:val="20"/>
              </w:rPr>
            </w:pPr>
            <w:r w:rsidRPr="00E00B35">
              <w:rPr>
                <w:rFonts w:cs="Verdana"/>
                <w:bCs/>
                <w:szCs w:val="20"/>
              </w:rPr>
              <w:t xml:space="preserve">Liczba placówek, które skorzystały </w:t>
            </w:r>
            <w:r w:rsidRPr="00E00B35">
              <w:rPr>
                <w:rFonts w:cs="Verdana"/>
                <w:bCs/>
                <w:szCs w:val="20"/>
              </w:rPr>
              <w:br/>
              <w:t>z dofinansowania na wyjazd</w:t>
            </w:r>
          </w:p>
        </w:tc>
        <w:tc>
          <w:tcPr>
            <w:tcW w:w="1417"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bCs/>
                <w:szCs w:val="20"/>
              </w:rPr>
            </w:pPr>
            <w:r w:rsidRPr="00E00B35">
              <w:rPr>
                <w:rFonts w:cs="Verdana"/>
                <w:bCs/>
                <w:szCs w:val="20"/>
              </w:rPr>
              <w:t>Liczba uczestników</w:t>
            </w:r>
          </w:p>
        </w:tc>
        <w:tc>
          <w:tcPr>
            <w:tcW w:w="1771"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bCs/>
                <w:szCs w:val="20"/>
              </w:rPr>
            </w:pPr>
            <w:r w:rsidRPr="00E00B35">
              <w:rPr>
                <w:rFonts w:cs="Verdana"/>
                <w:bCs/>
                <w:szCs w:val="20"/>
              </w:rPr>
              <w:t>Kwota dofinansowania</w:t>
            </w:r>
          </w:p>
        </w:tc>
      </w:tr>
      <w:tr w:rsidR="007A4D59" w:rsidRPr="00E00B35" w:rsidTr="006D3493">
        <w:trPr>
          <w:trHeight w:val="95"/>
          <w:jc w:val="center"/>
        </w:trPr>
        <w:tc>
          <w:tcPr>
            <w:tcW w:w="2338" w:type="dxa"/>
            <w:tcBorders>
              <w:top w:val="nil"/>
              <w:left w:val="single" w:sz="4" w:space="0" w:color="auto"/>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I-XII.2020 r.</w:t>
            </w:r>
          </w:p>
        </w:tc>
        <w:tc>
          <w:tcPr>
            <w:tcW w:w="3686" w:type="dxa"/>
            <w:tcBorders>
              <w:top w:val="nil"/>
              <w:left w:val="nil"/>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color w:val="000000"/>
                <w:szCs w:val="20"/>
              </w:rPr>
            </w:pPr>
            <w:r w:rsidRPr="00E00B35">
              <w:rPr>
                <w:rFonts w:cs="Verdana"/>
                <w:color w:val="000000"/>
                <w:szCs w:val="20"/>
              </w:rPr>
              <w:t>20</w:t>
            </w:r>
          </w:p>
        </w:tc>
        <w:tc>
          <w:tcPr>
            <w:tcW w:w="1417" w:type="dxa"/>
            <w:tcBorders>
              <w:top w:val="nil"/>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1597</w:t>
            </w:r>
          </w:p>
        </w:tc>
        <w:tc>
          <w:tcPr>
            <w:tcW w:w="1771"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33 749,00 zł</w:t>
            </w:r>
          </w:p>
        </w:tc>
      </w:tr>
      <w:tr w:rsidR="007A4D59" w:rsidRPr="00E00B35" w:rsidTr="006D3493">
        <w:trPr>
          <w:trHeight w:val="95"/>
          <w:jc w:val="center"/>
        </w:trPr>
        <w:tc>
          <w:tcPr>
            <w:tcW w:w="2338" w:type="dxa"/>
            <w:tcBorders>
              <w:top w:val="nil"/>
              <w:left w:val="single" w:sz="4" w:space="0" w:color="auto"/>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lastRenderedPageBreak/>
              <w:t>III-XII.2019 r.</w:t>
            </w:r>
          </w:p>
        </w:tc>
        <w:tc>
          <w:tcPr>
            <w:tcW w:w="3686" w:type="dxa"/>
            <w:tcBorders>
              <w:top w:val="nil"/>
              <w:left w:val="nil"/>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106</w:t>
            </w:r>
          </w:p>
        </w:tc>
        <w:tc>
          <w:tcPr>
            <w:tcW w:w="1417" w:type="dxa"/>
            <w:tcBorders>
              <w:top w:val="nil"/>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8 837</w:t>
            </w:r>
          </w:p>
        </w:tc>
        <w:tc>
          <w:tcPr>
            <w:tcW w:w="1771"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129 539,00 zł</w:t>
            </w:r>
          </w:p>
        </w:tc>
      </w:tr>
      <w:tr w:rsidR="007A4D59" w:rsidRPr="00E00B35" w:rsidTr="006D3493">
        <w:trPr>
          <w:trHeight w:val="95"/>
          <w:jc w:val="center"/>
        </w:trPr>
        <w:tc>
          <w:tcPr>
            <w:tcW w:w="2338" w:type="dxa"/>
            <w:tcBorders>
              <w:top w:val="nil"/>
              <w:left w:val="single" w:sz="4" w:space="0" w:color="auto"/>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III-XII.2018 r.</w:t>
            </w:r>
          </w:p>
        </w:tc>
        <w:tc>
          <w:tcPr>
            <w:tcW w:w="3686" w:type="dxa"/>
            <w:tcBorders>
              <w:top w:val="nil"/>
              <w:left w:val="nil"/>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91</w:t>
            </w:r>
          </w:p>
        </w:tc>
        <w:tc>
          <w:tcPr>
            <w:tcW w:w="1417" w:type="dxa"/>
            <w:tcBorders>
              <w:top w:val="nil"/>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6 445</w:t>
            </w:r>
          </w:p>
        </w:tc>
        <w:tc>
          <w:tcPr>
            <w:tcW w:w="1771"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color w:val="FF0000"/>
                <w:szCs w:val="20"/>
              </w:rPr>
            </w:pPr>
            <w:r w:rsidRPr="00E00B35">
              <w:rPr>
                <w:rFonts w:cs="Verdana"/>
                <w:szCs w:val="20"/>
              </w:rPr>
              <w:t>162 970,00 zł</w:t>
            </w:r>
          </w:p>
        </w:tc>
      </w:tr>
      <w:tr w:rsidR="007A4D59" w:rsidRPr="00E00B35" w:rsidTr="006D3493">
        <w:trPr>
          <w:trHeight w:val="95"/>
          <w:jc w:val="center"/>
        </w:trPr>
        <w:tc>
          <w:tcPr>
            <w:tcW w:w="2338" w:type="dxa"/>
            <w:tcBorders>
              <w:top w:val="nil"/>
              <w:left w:val="single" w:sz="4" w:space="0" w:color="auto"/>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IX-XII.2017 r.</w:t>
            </w:r>
          </w:p>
        </w:tc>
        <w:tc>
          <w:tcPr>
            <w:tcW w:w="3686" w:type="dxa"/>
            <w:tcBorders>
              <w:top w:val="nil"/>
              <w:left w:val="nil"/>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31</w:t>
            </w:r>
          </w:p>
        </w:tc>
        <w:tc>
          <w:tcPr>
            <w:tcW w:w="1417" w:type="dxa"/>
            <w:tcBorders>
              <w:top w:val="nil"/>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930</w:t>
            </w:r>
          </w:p>
        </w:tc>
        <w:tc>
          <w:tcPr>
            <w:tcW w:w="1771"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27 589,00 zł</w:t>
            </w:r>
          </w:p>
        </w:tc>
      </w:tr>
      <w:tr w:rsidR="007A4D59" w:rsidRPr="00E00B35" w:rsidTr="006D3493">
        <w:trPr>
          <w:trHeight w:val="237"/>
          <w:jc w:val="center"/>
        </w:trPr>
        <w:tc>
          <w:tcPr>
            <w:tcW w:w="233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p>
        </w:tc>
        <w:tc>
          <w:tcPr>
            <w:tcW w:w="3686" w:type="dxa"/>
            <w:tcBorders>
              <w:top w:val="single" w:sz="4" w:space="0" w:color="auto"/>
              <w:left w:val="nil"/>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bCs/>
                <w:szCs w:val="20"/>
              </w:rPr>
            </w:pPr>
            <w:r w:rsidRPr="00E00B35">
              <w:rPr>
                <w:rFonts w:cs="Verdana"/>
                <w:bCs/>
                <w:szCs w:val="20"/>
              </w:rPr>
              <w:t xml:space="preserve">Liczba placówek, które skorzystały </w:t>
            </w:r>
            <w:r w:rsidRPr="00E00B35">
              <w:rPr>
                <w:rFonts w:cs="Verdana"/>
                <w:bCs/>
                <w:szCs w:val="20"/>
              </w:rPr>
              <w:br/>
              <w:t>z dofinansowania na program</w:t>
            </w:r>
          </w:p>
        </w:tc>
        <w:tc>
          <w:tcPr>
            <w:tcW w:w="1417"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bCs/>
                <w:szCs w:val="20"/>
              </w:rPr>
            </w:pPr>
            <w:r w:rsidRPr="00E00B35">
              <w:rPr>
                <w:rFonts w:cs="Verdana"/>
                <w:bCs/>
                <w:szCs w:val="20"/>
              </w:rPr>
              <w:t>Liczba uczestników</w:t>
            </w:r>
          </w:p>
        </w:tc>
        <w:tc>
          <w:tcPr>
            <w:tcW w:w="1771"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bCs/>
                <w:szCs w:val="20"/>
              </w:rPr>
            </w:pPr>
            <w:r w:rsidRPr="00E00B35">
              <w:rPr>
                <w:rFonts w:cs="Verdana"/>
                <w:bCs/>
                <w:szCs w:val="20"/>
              </w:rPr>
              <w:t>Kwota dofinansowania</w:t>
            </w:r>
          </w:p>
        </w:tc>
      </w:tr>
      <w:tr w:rsidR="007A4D59" w:rsidRPr="00E00B35" w:rsidTr="006D3493">
        <w:trPr>
          <w:trHeight w:val="94"/>
          <w:jc w:val="center"/>
        </w:trPr>
        <w:tc>
          <w:tcPr>
            <w:tcW w:w="233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I-XII.2020 r.</w:t>
            </w:r>
          </w:p>
        </w:tc>
        <w:tc>
          <w:tcPr>
            <w:tcW w:w="3686" w:type="dxa"/>
            <w:tcBorders>
              <w:top w:val="single" w:sz="4" w:space="0" w:color="auto"/>
              <w:left w:val="nil"/>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42</w:t>
            </w:r>
          </w:p>
        </w:tc>
        <w:tc>
          <w:tcPr>
            <w:tcW w:w="1417"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9 434</w:t>
            </w:r>
          </w:p>
        </w:tc>
        <w:tc>
          <w:tcPr>
            <w:tcW w:w="1771"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71 457,00 zł</w:t>
            </w:r>
          </w:p>
        </w:tc>
      </w:tr>
      <w:tr w:rsidR="007A4D59" w:rsidRPr="00E00B35" w:rsidTr="006D3493">
        <w:trPr>
          <w:trHeight w:val="94"/>
          <w:jc w:val="center"/>
        </w:trPr>
        <w:tc>
          <w:tcPr>
            <w:tcW w:w="233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III-XII. 2019 r.</w:t>
            </w:r>
          </w:p>
        </w:tc>
        <w:tc>
          <w:tcPr>
            <w:tcW w:w="3686" w:type="dxa"/>
            <w:tcBorders>
              <w:top w:val="single" w:sz="4" w:space="0" w:color="auto"/>
              <w:left w:val="nil"/>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79</w:t>
            </w:r>
          </w:p>
        </w:tc>
        <w:tc>
          <w:tcPr>
            <w:tcW w:w="1417"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13 140</w:t>
            </w:r>
          </w:p>
        </w:tc>
        <w:tc>
          <w:tcPr>
            <w:tcW w:w="1771"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98 850,00 zł</w:t>
            </w:r>
          </w:p>
        </w:tc>
      </w:tr>
      <w:tr w:rsidR="007A4D59" w:rsidRPr="00E00B35" w:rsidTr="006D3493">
        <w:trPr>
          <w:trHeight w:val="94"/>
          <w:jc w:val="center"/>
        </w:trPr>
        <w:tc>
          <w:tcPr>
            <w:tcW w:w="233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III-XII. 2018 r.</w:t>
            </w:r>
          </w:p>
        </w:tc>
        <w:tc>
          <w:tcPr>
            <w:tcW w:w="3686" w:type="dxa"/>
            <w:tcBorders>
              <w:top w:val="single" w:sz="4" w:space="0" w:color="auto"/>
              <w:left w:val="nil"/>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34</w:t>
            </w:r>
          </w:p>
        </w:tc>
        <w:tc>
          <w:tcPr>
            <w:tcW w:w="1417"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9 685</w:t>
            </w:r>
          </w:p>
        </w:tc>
        <w:tc>
          <w:tcPr>
            <w:tcW w:w="1771"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color w:val="FF0000"/>
                <w:szCs w:val="20"/>
              </w:rPr>
            </w:pPr>
            <w:r w:rsidRPr="00E00B35">
              <w:rPr>
                <w:rFonts w:cs="Verdana"/>
                <w:szCs w:val="20"/>
              </w:rPr>
              <w:t>49 642,00 zł</w:t>
            </w:r>
          </w:p>
        </w:tc>
      </w:tr>
      <w:tr w:rsidR="007A4D59" w:rsidRPr="00E00B35" w:rsidTr="006D3493">
        <w:trPr>
          <w:trHeight w:val="94"/>
          <w:jc w:val="center"/>
        </w:trPr>
        <w:tc>
          <w:tcPr>
            <w:tcW w:w="233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IX-XII. 2017 r.</w:t>
            </w:r>
          </w:p>
        </w:tc>
        <w:tc>
          <w:tcPr>
            <w:tcW w:w="3686" w:type="dxa"/>
            <w:tcBorders>
              <w:top w:val="single" w:sz="4" w:space="0" w:color="auto"/>
              <w:left w:val="nil"/>
              <w:bottom w:val="single" w:sz="4" w:space="0" w:color="auto"/>
              <w:right w:val="single" w:sz="4" w:space="0" w:color="auto"/>
            </w:tcBorders>
            <w:shd w:val="clear" w:color="auto" w:fill="FFFFFF"/>
            <w:noWrap/>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18</w:t>
            </w:r>
          </w:p>
        </w:tc>
        <w:tc>
          <w:tcPr>
            <w:tcW w:w="1417"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1 441</w:t>
            </w:r>
          </w:p>
        </w:tc>
        <w:tc>
          <w:tcPr>
            <w:tcW w:w="1771" w:type="dxa"/>
            <w:tcBorders>
              <w:top w:val="single" w:sz="4" w:space="0" w:color="auto"/>
              <w:left w:val="nil"/>
              <w:bottom w:val="single" w:sz="4" w:space="0" w:color="auto"/>
              <w:right w:val="single" w:sz="4" w:space="0" w:color="auto"/>
            </w:tcBorders>
            <w:shd w:val="clear" w:color="auto" w:fill="FFFFFF"/>
            <w:vAlign w:val="center"/>
          </w:tcPr>
          <w:p w:rsidR="007A4D59" w:rsidRPr="00E00B35" w:rsidRDefault="007A4D59" w:rsidP="00E00B35">
            <w:pPr>
              <w:shd w:val="clear" w:color="auto" w:fill="FFFFFF"/>
              <w:spacing w:after="0" w:line="312" w:lineRule="auto"/>
              <w:rPr>
                <w:rFonts w:cs="Verdana"/>
                <w:szCs w:val="20"/>
              </w:rPr>
            </w:pPr>
            <w:r w:rsidRPr="00E00B35">
              <w:rPr>
                <w:rFonts w:cs="Verdana"/>
                <w:szCs w:val="20"/>
              </w:rPr>
              <w:t>45 514,00 zł</w:t>
            </w:r>
          </w:p>
        </w:tc>
      </w:tr>
    </w:tbl>
    <w:p w:rsidR="007A4D59" w:rsidRPr="00E00B35" w:rsidRDefault="007A4D59" w:rsidP="00E00B35">
      <w:pPr>
        <w:pStyle w:val="Akapitzlist1"/>
        <w:shd w:val="clear" w:color="auto" w:fill="FFFFFF"/>
        <w:spacing w:after="0" w:line="312" w:lineRule="auto"/>
        <w:ind w:left="0"/>
        <w:rPr>
          <w:szCs w:val="20"/>
        </w:rPr>
      </w:pPr>
      <w:r w:rsidRPr="00E00B35">
        <w:rPr>
          <w:szCs w:val="20"/>
        </w:rPr>
        <w:t xml:space="preserve">     </w:t>
      </w:r>
    </w:p>
    <w:p w:rsidR="007A4D59" w:rsidRPr="00E00B35" w:rsidRDefault="007A4D59" w:rsidP="00E00B35">
      <w:pPr>
        <w:pStyle w:val="Akapitzlist1"/>
        <w:shd w:val="clear" w:color="auto" w:fill="FFFFFF"/>
        <w:spacing w:after="0" w:line="312" w:lineRule="auto"/>
        <w:ind w:left="0"/>
        <w:rPr>
          <w:szCs w:val="20"/>
        </w:rPr>
      </w:pPr>
      <w:r w:rsidRPr="00E00B35">
        <w:rPr>
          <w:szCs w:val="20"/>
        </w:rPr>
        <w:t>Źródło: Opracowanie własne</w:t>
      </w:r>
    </w:p>
    <w:p w:rsidR="007A4D59" w:rsidRPr="00E00B35" w:rsidRDefault="007A4D59" w:rsidP="00E00B35">
      <w:pPr>
        <w:pStyle w:val="Akapitzlist1"/>
        <w:spacing w:after="0" w:line="312" w:lineRule="auto"/>
        <w:ind w:left="0"/>
        <w:rPr>
          <w:szCs w:val="20"/>
        </w:rPr>
      </w:pPr>
    </w:p>
    <w:p w:rsidR="007A4D59" w:rsidRPr="00E00B35" w:rsidRDefault="007A4D59" w:rsidP="00E00B35">
      <w:pPr>
        <w:pStyle w:val="Akapitzlist1"/>
        <w:spacing w:after="0" w:line="312" w:lineRule="auto"/>
        <w:ind w:left="0"/>
        <w:rPr>
          <w:szCs w:val="20"/>
        </w:rPr>
      </w:pPr>
      <w:r w:rsidRPr="00E00B35">
        <w:rPr>
          <w:szCs w:val="20"/>
        </w:rPr>
        <w:t>Informacje na temat dofinansowania działań ekologicznych realizowanych w placówkach oświatowych dostępne są na stronie:</w:t>
      </w:r>
    </w:p>
    <w:p w:rsidR="007A4D59" w:rsidRPr="00E00B35" w:rsidRDefault="00573162" w:rsidP="00BC64AB">
      <w:pPr>
        <w:pStyle w:val="Akapitzlist"/>
        <w:numPr>
          <w:ilvl w:val="0"/>
          <w:numId w:val="261"/>
        </w:numPr>
        <w:spacing w:after="0" w:line="312" w:lineRule="auto"/>
        <w:ind w:left="426" w:hanging="426"/>
        <w:rPr>
          <w:szCs w:val="20"/>
        </w:rPr>
      </w:pPr>
      <w:hyperlink r:id="rId155" w:history="1">
        <w:r w:rsidR="007A4D59" w:rsidRPr="00E00B35">
          <w:rPr>
            <w:szCs w:val="20"/>
          </w:rPr>
          <w:t>Programy ekologiczne</w:t>
        </w:r>
      </w:hyperlink>
    </w:p>
    <w:p w:rsidR="007A4D59" w:rsidRPr="00E00B35" w:rsidRDefault="00573162" w:rsidP="00BC64AB">
      <w:pPr>
        <w:pStyle w:val="Akapitzlist"/>
        <w:numPr>
          <w:ilvl w:val="0"/>
          <w:numId w:val="261"/>
        </w:numPr>
        <w:spacing w:after="0" w:line="312" w:lineRule="auto"/>
        <w:ind w:left="426" w:hanging="426"/>
        <w:rPr>
          <w:szCs w:val="20"/>
        </w:rPr>
      </w:pPr>
      <w:hyperlink r:id="rId156" w:history="1">
        <w:r w:rsidR="007A4D59" w:rsidRPr="00E00B35">
          <w:rPr>
            <w:szCs w:val="20"/>
          </w:rPr>
          <w:t>Wyjazdy ekologiczne</w:t>
        </w:r>
      </w:hyperlink>
    </w:p>
    <w:p w:rsidR="007A4D59" w:rsidRPr="00E00B35" w:rsidRDefault="007A4D59" w:rsidP="00E00B35">
      <w:pPr>
        <w:spacing w:after="0" w:line="312" w:lineRule="auto"/>
        <w:rPr>
          <w:b/>
          <w:szCs w:val="20"/>
        </w:rPr>
      </w:pPr>
    </w:p>
    <w:p w:rsidR="007A4D59" w:rsidRPr="00E00B35" w:rsidRDefault="007A4D59" w:rsidP="00E00B35">
      <w:pPr>
        <w:pStyle w:val="Nagwek5"/>
        <w:rPr>
          <w:szCs w:val="20"/>
        </w:rPr>
      </w:pPr>
      <w:bookmarkStart w:id="721" w:name="_Toc71032627"/>
      <w:bookmarkStart w:id="722" w:name="_Toc71034609"/>
      <w:r w:rsidRPr="00E00B35">
        <w:rPr>
          <w:szCs w:val="20"/>
        </w:rPr>
        <w:t>ZADANIE NR 13: REALIZACJA PROGRAMU ZAGOSPODAROWANIA ZIELENI MIEJSKIEJ</w:t>
      </w:r>
      <w:bookmarkEnd w:id="721"/>
      <w:bookmarkEnd w:id="722"/>
    </w:p>
    <w:p w:rsidR="007A4D59" w:rsidRPr="00E00B35" w:rsidRDefault="007A4D59" w:rsidP="00E00B35">
      <w:pPr>
        <w:spacing w:after="0" w:line="312" w:lineRule="auto"/>
        <w:rPr>
          <w:iCs/>
          <w:szCs w:val="20"/>
        </w:rPr>
      </w:pPr>
      <w:r w:rsidRPr="00E00B35">
        <w:rPr>
          <w:szCs w:val="20"/>
        </w:rPr>
        <w:t xml:space="preserve">W ramach inwestycji zrealizowano zagospodarowanie </w:t>
      </w:r>
      <w:r w:rsidRPr="00E00B35">
        <w:rPr>
          <w:iCs/>
          <w:szCs w:val="20"/>
        </w:rPr>
        <w:t>terenu zieleni przy ul. Wolbromskiej i Bernardyńskiej we Wrocławiu.</w:t>
      </w:r>
    </w:p>
    <w:p w:rsidR="007A4D59" w:rsidRPr="00E00B35" w:rsidRDefault="007A4D59" w:rsidP="00E00B35">
      <w:pPr>
        <w:spacing w:after="0" w:line="312" w:lineRule="auto"/>
        <w:rPr>
          <w:iCs/>
          <w:szCs w:val="20"/>
        </w:rPr>
      </w:pPr>
      <w:r w:rsidRPr="00E00B35">
        <w:rPr>
          <w:iCs/>
          <w:szCs w:val="20"/>
        </w:rPr>
        <w:t>Ponadto działania w tym zakresie są spójne z działaniami opisanymi w Zadaniu nr 8.</w:t>
      </w:r>
    </w:p>
    <w:p w:rsidR="007A4D59" w:rsidRPr="00E00B35" w:rsidRDefault="007A4D59" w:rsidP="00E00B35">
      <w:pPr>
        <w:pStyle w:val="Nagwek5"/>
        <w:rPr>
          <w:szCs w:val="20"/>
        </w:rPr>
      </w:pPr>
      <w:bookmarkStart w:id="723" w:name="_Toc71032628"/>
      <w:bookmarkStart w:id="724" w:name="_Toc71034610"/>
      <w:r w:rsidRPr="00E00B35">
        <w:rPr>
          <w:szCs w:val="20"/>
        </w:rPr>
        <w:t>ZADANIE NR 14: ZAGOSPODAROWANIE TERENÓW ZIELENI-REALIZACJA ZADAŃ Z BUDŻETU OBYWATELSKIEGO (WBO) 2017 ORAZ 2018</w:t>
      </w:r>
      <w:bookmarkEnd w:id="723"/>
      <w:bookmarkEnd w:id="724"/>
    </w:p>
    <w:p w:rsidR="007A4D59" w:rsidRPr="00E00B35" w:rsidRDefault="007A4D59" w:rsidP="00E00B35">
      <w:pPr>
        <w:spacing w:after="0" w:line="312" w:lineRule="auto"/>
        <w:rPr>
          <w:bCs/>
          <w:iCs/>
          <w:color w:val="000000"/>
          <w:szCs w:val="20"/>
        </w:rPr>
      </w:pPr>
      <w:bookmarkStart w:id="725" w:name="_Hlk62122353"/>
      <w:r w:rsidRPr="00E00B35">
        <w:rPr>
          <w:bCs/>
          <w:color w:val="000000"/>
          <w:szCs w:val="20"/>
        </w:rPr>
        <w:t xml:space="preserve">Zagospodarowanie terenów zieleni – realizacja zadań z Budżetu Obywatelskiego WBO 2017 oraz 2018: </w:t>
      </w:r>
    </w:p>
    <w:bookmarkEnd w:id="725"/>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Uporządkowanie terenu wokół Jeziora Pawłowickiego – Projekt nr 637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Kuźniki na rolkach - mały park rekreacji przy górce - przy ul. Hermanowskiej – Projekt nr 425, WBO 2017,</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Zagospodarowanie terenu przy ul. Maślickiej – Projekt nr 558 – ZIELONE WBO 2017,</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Złotnicki Gródek dla dzieci - Etap 2: Złotnicki ogród umiejętności – Projekt nr 315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Sieć parków we Wrocławiu – Zawidawie - Park Jedności - etap 2 – Projekt nr 555 – ZIELONE WBO 2017 oraz Projekt nr 335 -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Kwiaty na Rondzie i ulicy Powstańców - ogród miejski w centrum miasta– Projekt nr 103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Słoneczny park na Ołtaszynie przy ul. Ułańskiej – etap III – Projekt nr 320 – WBO 2018</w:t>
      </w:r>
      <w:bookmarkStart w:id="726" w:name="_Hlk45109827"/>
      <w:r w:rsidRPr="00E00B35">
        <w:rPr>
          <w:szCs w:val="20"/>
        </w:rPr>
        <w:t>,</w:t>
      </w:r>
      <w:bookmarkEnd w:id="726"/>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Park Maślicki – zagospodarowanie terenu położonego przy ul. Królewieckiej – Projekt nr 784 – WBO 2016,</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Toalety we Wrocławskich Parkach i na terenach rekreacyjnych – Projekt nr 28 – WBO 2018,</w:t>
      </w:r>
    </w:p>
    <w:p w:rsidR="007A4D59" w:rsidRPr="00E00B35" w:rsidRDefault="007A4D59" w:rsidP="00BC64AB">
      <w:pPr>
        <w:pStyle w:val="Akapitzlist"/>
        <w:numPr>
          <w:ilvl w:val="0"/>
          <w:numId w:val="261"/>
        </w:numPr>
        <w:spacing w:after="0" w:line="312" w:lineRule="auto"/>
        <w:ind w:left="426" w:hanging="426"/>
        <w:rPr>
          <w:szCs w:val="20"/>
        </w:rPr>
      </w:pPr>
      <w:bookmarkStart w:id="727" w:name="_Hlk43191953"/>
      <w:r w:rsidRPr="00E00B35">
        <w:rPr>
          <w:szCs w:val="20"/>
        </w:rPr>
        <w:lastRenderedPageBreak/>
        <w:t>Park Wojszyce – Etap I i II – Projekt nr 409 – WBO 2017 oraz Projekt nr 91 - WBO 2018,</w:t>
      </w:r>
    </w:p>
    <w:bookmarkEnd w:id="727"/>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Park Karłowice - edukacyjna instalacja z piaskiem i wodą oraz siłownia na wolnym powietrzu na skwerze przy WSO – Projekt nr 22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Lipa i Widawa - ulice, mini park przy pętli i Park Widawski - Park kieszonkowy przy ul. Kminkowej – Projekt nr 31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Mokrzański Plac zabaw – Etap II – Projekt nr 105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Zielone Płuca Popowic– Projekt nr 136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Skwer dla seniora i juniora - rewitalizacja części Skweru Ludzi ze znakiem "P" - m.in. budowa stolików szachowych, siłowni dla osób starszych i młodzieży, uzupełnienie ławek– Projekt nr 206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Górka Pafawag, Etap 3 – Projekt nr 227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Sportowo na Szybowcowej i Zabawnie na Hynka – Projekt nr 354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Dokumentację projektową dla zadania pn. Powiększmy Park Kleciński – Projekt </w:t>
      </w:r>
      <w:r w:rsidRPr="00E00B35">
        <w:rPr>
          <w:szCs w:val="20"/>
        </w:rPr>
        <w:br/>
        <w:t>nr 406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Psi wybieg w Sercu Szczepina, przy ul. Środkowej– Projekt nr 201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Zieleń to życie – parki kieszonkowe, nasadzenia i zielone zakątki w całym mieście – zieleniec przy ul. Kwaśnej, zieleniec przy ul. Prusa i zieleniec przy Kładce Pawłowickiej – Projekt nr 416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Zielone Wojszyce. Rewitalizacja skweru przy ul. Kosmicznej, Chlebowej </w:t>
      </w:r>
      <w:r w:rsidRPr="00E00B35">
        <w:rPr>
          <w:szCs w:val="20"/>
        </w:rPr>
        <w:br/>
        <w:t>i Spokojnej – Projekt nr 419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Park Kolumba – Projekt nr 460 – WBO 2018,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Drzewa dla Wrocławia – nasadzenia na terenach zabytkowych i w śródmieściu – Projekt nr 616 – WBO 2018,</w:t>
      </w:r>
    </w:p>
    <w:p w:rsidR="007A4D59" w:rsidRPr="00E00B35" w:rsidRDefault="007A4D59" w:rsidP="00BC64AB">
      <w:pPr>
        <w:pStyle w:val="Akapitzlist"/>
        <w:numPr>
          <w:ilvl w:val="0"/>
          <w:numId w:val="261"/>
        </w:numPr>
        <w:spacing w:after="0" w:line="312" w:lineRule="auto"/>
        <w:ind w:left="426" w:hanging="426"/>
        <w:rPr>
          <w:szCs w:val="20"/>
        </w:rPr>
      </w:pPr>
      <w:bookmarkStart w:id="728" w:name="_Hlk60996947"/>
      <w:bookmarkStart w:id="729" w:name="_Hlk43190334"/>
      <w:r w:rsidRPr="00E00B35">
        <w:rPr>
          <w:szCs w:val="20"/>
        </w:rPr>
        <w:t xml:space="preserve">Dokumentację projektową </w:t>
      </w:r>
      <w:bookmarkEnd w:id="728"/>
      <w:r w:rsidRPr="00E00B35">
        <w:rPr>
          <w:szCs w:val="20"/>
        </w:rPr>
        <w:t>dla zadania pn. „Tarnogaj dla dzieci! 2 place zabaw - w Parku Tarnogajskim i na ul. Henrykowskiej” – Projekt nr 4 – WBO 2019,</w:t>
      </w:r>
    </w:p>
    <w:bookmarkEnd w:id="729"/>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Dokumentację projektową dla zadania pn. „ZIELONO MI! Parki, stawy, tereny zielone i sportowe”–dla siłowni w Lesie Sołtysowickim, zieleńca przy ul. Melioranckiej, parku przy ul. pakosławskiej Projekt nr 8 – WBO 2019,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Dokumentację projektową dla zadania pn. „Strefa Rekreacji Tymiankowa (etap IV) – oświetlenie, toaleta, zieleń” – Projekt nr 11 – WBO 2019,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Dokumentację projektową dla zadania pn. „Zieleń to życie, ruch to zdrowie – nasadzenia, rekreacja i zielone zakątki w całym mieście - Park leśny przy ul. Rędzińskiej” – Projekt nr 11 – WBO 2019,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Dokumentację projektową dla zadania pn. „Rewitalizacja Skweru Św. o. Damiana de Veuster” – Projekt nr 215 – WBO 2019,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"Serce Szczepina dla Juniora - etap II" Doposażenie placu zabaw na Skwerze Św. o. Damiana de Veuster – Projekt nr 215 – WBO 2019,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Dokumentację projektową dla zadania pn. „Plac zabaw w Parku Tysiąclecia - Średniowieczny Wrocław” – Projekt nr 250 – WBO 2019 – Część I i II,</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Dokumentację projektową dla zadania pn. „Brochowskie Skwery - zadbane i odnowione [ETAP 1]” – Projekt nr 250 – WBO 2019,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lastRenderedPageBreak/>
        <w:t>Koncepcję dla zadania pn. Rewitalizacja Jeziora na Osiedlu Pawłowice – Projekt nr 320 – WBO 2019.</w:t>
      </w:r>
      <w:bookmarkStart w:id="730" w:name="_Toc505691917"/>
      <w:bookmarkStart w:id="731" w:name="_Toc505692003"/>
      <w:bookmarkStart w:id="732" w:name="_Toc505692083"/>
      <w:bookmarkStart w:id="733" w:name="_Toc505776932"/>
    </w:p>
    <w:p w:rsidR="00B1753A" w:rsidRDefault="00B1753A" w:rsidP="00E00B35">
      <w:pPr>
        <w:pStyle w:val="Nagwek5"/>
        <w:rPr>
          <w:szCs w:val="20"/>
        </w:rPr>
      </w:pPr>
      <w:bookmarkStart w:id="734" w:name="_Toc71032629"/>
      <w:bookmarkStart w:id="735" w:name="_Toc71034611"/>
      <w:bookmarkEnd w:id="730"/>
      <w:bookmarkEnd w:id="731"/>
      <w:bookmarkEnd w:id="732"/>
      <w:bookmarkEnd w:id="733"/>
    </w:p>
    <w:p w:rsidR="007A4D59" w:rsidRPr="00E00B35" w:rsidRDefault="007A4D59" w:rsidP="00E00B35">
      <w:pPr>
        <w:pStyle w:val="Nagwek5"/>
        <w:rPr>
          <w:szCs w:val="20"/>
        </w:rPr>
      </w:pPr>
      <w:r w:rsidRPr="00E00B35">
        <w:rPr>
          <w:szCs w:val="20"/>
        </w:rPr>
        <w:t>ZADANIE NR 15: TWORZENIE NOWYCH FORM PRZYRODY NA PODSTAWIE UWARUNKOWAŃ MERYTORYCZNYCH FORMALNO-PRAWNYCH, FINANSOWYCH I WŁASNOŚCIOWYCH</w:t>
      </w:r>
      <w:bookmarkEnd w:id="734"/>
      <w:bookmarkEnd w:id="735"/>
      <w:r w:rsidRPr="00E00B35">
        <w:rPr>
          <w:szCs w:val="20"/>
        </w:rPr>
        <w:t xml:space="preserve"> </w:t>
      </w:r>
    </w:p>
    <w:p w:rsidR="007A4D59" w:rsidRPr="00E00B35" w:rsidRDefault="007A4D59" w:rsidP="00E00B35">
      <w:pPr>
        <w:pStyle w:val="12Zwyrazamiszacunku"/>
        <w:suppressAutoHyphens/>
        <w:spacing w:before="0" w:after="0" w:line="312" w:lineRule="auto"/>
        <w:rPr>
          <w:rFonts w:cs="Helv"/>
          <w:color w:val="000000"/>
        </w:rPr>
      </w:pPr>
      <w:r w:rsidRPr="00E00B35">
        <w:t xml:space="preserve">Na sesji Rady Miejskiej Wrocławia, w dniu 23.01.2020 r. przyjęto </w:t>
      </w:r>
      <w:r w:rsidRPr="00E00B35">
        <w:rPr>
          <w:rFonts w:cs="Helv"/>
          <w:color w:val="000000"/>
        </w:rPr>
        <w:t xml:space="preserve">Uchwałę Nr XVIII/488/20 Rady Miejskiej Wrocławia </w:t>
      </w:r>
      <w:r w:rsidRPr="00E00B35">
        <w:rPr>
          <w:rFonts w:cs="Helv"/>
          <w:i/>
          <w:color w:val="000000"/>
        </w:rPr>
        <w:t>w sprawie ustanowienia pomnikiem przyrody platana klonolistnego rosnącego przy pl. Jana Pawła II we Wrocławiu</w:t>
      </w:r>
      <w:r w:rsidRPr="00E00B35">
        <w:rPr>
          <w:rFonts w:cs="Helv"/>
          <w:color w:val="000000"/>
        </w:rPr>
        <w:t>. Miejsce ogłoszenia: Dziennik Urzędowy Województwa Dolnośląskiego z dnia 4 lutego 2020 r. poz. 962. Projekt uchwały został przygotowany w 2019 r. Wprowadzono nowa formę ochrony przyrody do CRFOP.</w:t>
      </w:r>
    </w:p>
    <w:p w:rsidR="007A4D59" w:rsidRPr="00E00B35" w:rsidRDefault="007A4D59" w:rsidP="00E00B35">
      <w:pPr>
        <w:pStyle w:val="11Trescpisma"/>
        <w:spacing w:before="0" w:after="0" w:line="312" w:lineRule="auto"/>
        <w:jc w:val="left"/>
        <w:rPr>
          <w:color w:val="FF0000"/>
          <w:szCs w:val="20"/>
        </w:rPr>
      </w:pPr>
    </w:p>
    <w:p w:rsidR="007A4D59" w:rsidRPr="00E00B35" w:rsidRDefault="007A4D59" w:rsidP="00E00B35">
      <w:pPr>
        <w:pStyle w:val="11Trescpisma"/>
        <w:spacing w:before="0" w:after="0" w:line="312" w:lineRule="auto"/>
        <w:jc w:val="left"/>
        <w:rPr>
          <w:color w:val="FF0000"/>
          <w:szCs w:val="20"/>
        </w:rPr>
      </w:pPr>
      <w:r w:rsidRPr="00E00B35">
        <w:rPr>
          <w:noProof/>
          <w:color w:val="FF0000"/>
          <w:szCs w:val="20"/>
          <w:lang w:val="pl-PL" w:eastAsia="pl-PL" w:bidi="ar-SA"/>
        </w:rPr>
        <w:drawing>
          <wp:inline distT="0" distB="0" distL="0" distR="0">
            <wp:extent cx="1491615" cy="1997075"/>
            <wp:effectExtent l="19050" t="0" r="0" b="0"/>
            <wp:docPr id="151" name="Obraz 26" descr="D:\OCHRONA PRZYRODY 2019\ustanawianie pomników przyrody\platan pl. Jana Pawła\platan klonolistny pl. Jana Pawła II fo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descr="D:\OCHRONA PRZYRODY 2019\ustanawianie pomników przyrody\platan pl. Jana Pawła\platan klonolistny pl. Jana Pawła II fot. 2.jpg"/>
                    <pic:cNvPicPr>
                      <a:picLocks noChangeAspect="1" noChangeArrowheads="1"/>
                    </pic:cNvPicPr>
                  </pic:nvPicPr>
                  <pic:blipFill>
                    <a:blip r:embed="rId157" cstate="print"/>
                    <a:srcRect/>
                    <a:stretch>
                      <a:fillRect/>
                    </a:stretch>
                  </pic:blipFill>
                  <pic:spPr bwMode="auto">
                    <a:xfrm>
                      <a:off x="0" y="0"/>
                      <a:ext cx="1491615" cy="1997075"/>
                    </a:xfrm>
                    <a:prstGeom prst="rect">
                      <a:avLst/>
                    </a:prstGeom>
                    <a:noFill/>
                    <a:ln w="9525">
                      <a:noFill/>
                      <a:miter lim="800000"/>
                      <a:headEnd/>
                      <a:tailEnd/>
                    </a:ln>
                  </pic:spPr>
                </pic:pic>
              </a:graphicData>
            </a:graphic>
          </wp:inline>
        </w:drawing>
      </w:r>
      <w:r w:rsidRPr="00E00B35">
        <w:rPr>
          <w:noProof/>
          <w:color w:val="FF0000"/>
          <w:szCs w:val="20"/>
          <w:lang w:val="pl-PL" w:eastAsia="pl-PL" w:bidi="ar-SA"/>
        </w:rPr>
        <w:drawing>
          <wp:inline distT="0" distB="0" distL="0" distR="0">
            <wp:extent cx="1491615" cy="1997075"/>
            <wp:effectExtent l="19050" t="0" r="0" b="0"/>
            <wp:docPr id="150" name="Obraz 2" descr="D:\OCHRONA PRZYRODY 2019\ustanawianie pomników przyrody\platan pl. Jana Pawła\platan klonolistny pl. Jana Pawła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D:\OCHRONA PRZYRODY 2019\ustanawianie pomników przyrody\platan pl. Jana Pawła\platan klonolistny pl. Jana Pawła II.jpg"/>
                    <pic:cNvPicPr>
                      <a:picLocks noChangeAspect="1" noChangeArrowheads="1"/>
                    </pic:cNvPicPr>
                  </pic:nvPicPr>
                  <pic:blipFill>
                    <a:blip r:embed="rId158" cstate="print"/>
                    <a:srcRect/>
                    <a:stretch>
                      <a:fillRect/>
                    </a:stretch>
                  </pic:blipFill>
                  <pic:spPr bwMode="auto">
                    <a:xfrm>
                      <a:off x="0" y="0"/>
                      <a:ext cx="1491615" cy="1997075"/>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textAlignment w:val="baseline"/>
        <w:rPr>
          <w:szCs w:val="20"/>
        </w:rPr>
      </w:pPr>
      <w:r w:rsidRPr="00E00B35">
        <w:rPr>
          <w:szCs w:val="20"/>
        </w:rPr>
        <w:t>Platan klonolistny przy pl. Jana Pawła II Fot. Olga Znamirowska</w:t>
      </w:r>
    </w:p>
    <w:p w:rsidR="007A4D59" w:rsidRPr="00E00B35" w:rsidRDefault="007A4D59" w:rsidP="00E00B35">
      <w:pPr>
        <w:spacing w:after="0" w:line="312" w:lineRule="auto"/>
        <w:textAlignment w:val="baseline"/>
        <w:rPr>
          <w:b/>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 xml:space="preserve">W 2020 r. wpłynęło 10 wniosków w sprawie ustanowienia form ochrony przyrody (pomników przyrody i użytków ekologicznych).  </w:t>
      </w:r>
    </w:p>
    <w:p w:rsidR="007A4D59" w:rsidRPr="00E00B35" w:rsidRDefault="007A4D59" w:rsidP="00E00B35">
      <w:pPr>
        <w:pStyle w:val="11Trescpisma"/>
        <w:spacing w:before="0" w:after="0" w:line="312" w:lineRule="auto"/>
        <w:jc w:val="left"/>
        <w:rPr>
          <w:szCs w:val="20"/>
        </w:rPr>
      </w:pP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Wniosek o ustanowienie pomnikiem przyrody dębu szypułkowego w Lesie Kuźnickim. Drzewo nie spełnia kryteriów uznawania tworów przyrody żywej za pomniki przyrody,</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Wniosek o ustanowienie pomnikami przyrody lip rosnących przy ul. Mikołaja Reja. Drzewa nie spełniają kryteriów uznawania tworów przyrody żywej za pomniki przyrody,</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Wniosek o ustanowienie pomnikiem przyrody wierzby rosnącej w rejonie ul. Sołtysowickiej. Drzewo o obniżonej kondycji zdrowotnej,</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Wniosek o ustanowienie pomnikami przyrody miłorzębów dwuklapowych rosnących przy ul. Parkowej. Drzewa nie spełniają kryteriów uznawania tworów przyrody żywej za pomniki przyrody ze względu na zagospodarowanie terenu. Prace budowlane wykonano w obrębie strefy nienaruszalnej systemów korzeniowych drzew,</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Wniosek o utworzenie użytku ekologicznego na terenie Lasku Oporowskiego – sprawa w toku,</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lastRenderedPageBreak/>
        <w:t>Wniosek o ustanowienie pomnikiem przyrody tulipanowca amerykańskiego na terenie Rodzinnych Ogrodów Działkowych. Drzewo nie spełnia kryteriów uznawania tworów przyrody żywej za pomniki przyrody,</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Wniosek w sprawie utworzenia użytku ekologicznego w obrębie Lasu Prackiego i 83 pomników przyrody na Maślicach – sprawa w toku,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Wniosek w sprawie utworzenia formy ochrony przyrody na terenie łąki przy Parku Leśnickim. Ze względu na brak elementów formalnych – bez rozpoznania,</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Wniosek o ustanowienie pomnikiem przyrody dębu szypułkowego przy ul. Olszewskiego. Drzewo nie spełnia kryteriów uznawania tworów przyrody żywej za pomniki przyrody,</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Wniosek w sprawie utworzenia formy ochrony przyrody na terenie łąki przy Parku Leśnickim. Opinia negatywna, obszar nie spełnia kryteriów.</w:t>
      </w:r>
    </w:p>
    <w:p w:rsidR="00B1753A" w:rsidRDefault="00B1753A" w:rsidP="00E00B35">
      <w:pPr>
        <w:pStyle w:val="Nagwek5"/>
        <w:rPr>
          <w:szCs w:val="20"/>
        </w:rPr>
      </w:pPr>
      <w:bookmarkStart w:id="736" w:name="_Toc71032630"/>
      <w:bookmarkStart w:id="737" w:name="_Toc71034612"/>
    </w:p>
    <w:p w:rsidR="007A4D59" w:rsidRPr="00E00B35" w:rsidRDefault="007A4D59" w:rsidP="00E00B35">
      <w:pPr>
        <w:pStyle w:val="Nagwek5"/>
        <w:rPr>
          <w:szCs w:val="20"/>
        </w:rPr>
      </w:pPr>
      <w:r w:rsidRPr="00E00B35">
        <w:rPr>
          <w:szCs w:val="20"/>
        </w:rPr>
        <w:t>ZADANIE NR 16: NADZÓR NAD ISTNIEJĄCYMI FORMAMI OCHRONY PRZYRODY-UŻYTKAMI EKOLOGICZNYMI, ZESPOŁAMI PRZYRODNICZO-KRAJOBRAZOWYMI, POMNIKAMI PRZYRODY</w:t>
      </w:r>
      <w:bookmarkEnd w:id="736"/>
      <w:bookmarkEnd w:id="737"/>
    </w:p>
    <w:p w:rsidR="007A4D59" w:rsidRPr="00E00B35" w:rsidRDefault="007A4D59" w:rsidP="00E00B35">
      <w:pPr>
        <w:spacing w:after="0" w:line="312" w:lineRule="auto"/>
        <w:contextualSpacing/>
        <w:rPr>
          <w:rFonts w:cs="Verdana"/>
          <w:szCs w:val="20"/>
        </w:rPr>
      </w:pPr>
      <w:r w:rsidRPr="00E00B35">
        <w:rPr>
          <w:rFonts w:cs="Verdana"/>
          <w:szCs w:val="20"/>
        </w:rPr>
        <w:t xml:space="preserve">W ramach ochrony czynnej pomników przyrody przeprowadzono kilkadziesiąt wizji terenowych i zawarto 8 umów na prace pielęgnacyjne, interwencyjne i badania specjalistyczne oraz zagospodarowanie terenu, w obrębie następujących pomników przyrody: </w:t>
      </w:r>
    </w:p>
    <w:p w:rsidR="007A4D59" w:rsidRPr="00E00B35" w:rsidRDefault="007A4D59" w:rsidP="00E00B35">
      <w:pPr>
        <w:pStyle w:val="Akapitzlist"/>
        <w:spacing w:after="0" w:line="312" w:lineRule="auto"/>
        <w:ind w:left="0"/>
        <w:rPr>
          <w:rFonts w:cs="Verdana"/>
          <w:szCs w:val="20"/>
        </w:rPr>
      </w:pPr>
      <w:r w:rsidRPr="00E00B35">
        <w:rPr>
          <w:rFonts w:cs="Verdana"/>
          <w:szCs w:val="20"/>
        </w:rPr>
        <w:t xml:space="preserve">Badania statyki drzewa zintegrowaną metodą tensometryczną i/lub badanie stanu zdrowotnego wnętrza pnia tomografem sonicznym (4 drzewa).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szypułkowy w Ogrodzie Botanicznym – nr ew. 24B;</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platan klonolistny w Parku Strachowickim – nr ew. 36;</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Mieszko ul. Osobowicka – nr ew. 109;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szypułkowy al. Matejki – nr ew. 65.</w:t>
      </w:r>
    </w:p>
    <w:p w:rsidR="007A4D59" w:rsidRPr="00E00B35" w:rsidRDefault="007A4D59" w:rsidP="00E00B35">
      <w:pPr>
        <w:pStyle w:val="11Trescpisma"/>
        <w:spacing w:before="0" w:after="0" w:line="312" w:lineRule="auto"/>
        <w:jc w:val="left"/>
        <w:rPr>
          <w:szCs w:val="20"/>
        </w:rPr>
      </w:pPr>
    </w:p>
    <w:p w:rsidR="007A4D59" w:rsidRPr="00E00B35" w:rsidRDefault="007A4D59" w:rsidP="00E00B35">
      <w:pPr>
        <w:pStyle w:val="11Trescpisma"/>
        <w:spacing w:before="0" w:after="0" w:line="312" w:lineRule="auto"/>
        <w:jc w:val="left"/>
        <w:rPr>
          <w:szCs w:val="20"/>
        </w:rPr>
      </w:pPr>
      <w:r w:rsidRPr="00E00B35">
        <w:rPr>
          <w:szCs w:val="20"/>
        </w:rPr>
        <w:t xml:space="preserve">Prace pielęgnacyjne i interwencyjne (55 drzew), głównie: inspekcje stanu zdrowotnego; usuwanie suszu i zagrażających elementów korony; kontrola, regulacja i montaż mechanicznych wzmocnień korony; zabezpieczanie ubytków; redukcja obwodowa korony; poprawa warunków stanowiskowych,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dęby szypułkowe przy ul. Różyckiego – nr ew. 2B, 2J, 2O, 2P, 2R;</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kasztan jadalny w Parku Szczytnickim – nr ew. 5</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Jana Stanki w Parku Szczytnickim – nr ew. 7;</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Dziadek ul. M. Kopernika – nr ew. 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Piotra Włosta ul. Wróblewskiego – nr ew. 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szypułkowy przy ul. Wejherowskiej – nr ew. 12;</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dęby szypułkowe w Lesie Rędzińskim – nr ew. 14B, 14C, 14D, 14E, 14G, 14H;</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szypułkowy przy ul. Parkowej – nr ew. 27;</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Jana Dzierżonia przy Kanale Odry – nr ew. 28;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grupa dębów w Parku Złotnickim – nr ew. 30F, 30G;</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szypułkowy w Parku Strachowickim – nr ew. 39;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lipa Maksimowicza w Parku Brochowskim – nr ew. 42;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lastRenderedPageBreak/>
        <w:t>lipa szerokolistna w Parku Leśnickim – nr ew. 48;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tulipanowiec amerykański w Parku Leśnickim – nr ew. 49;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szypułkowy w Parku Leśnickim – nr ew. 55;</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miłorząb dwuklapowy w Ogrodzie Staromiejskim – nr ew. 56;</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miłorząb dwuklapowy w Ogrodzie Staromiejskim – nr ew. 57;</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wiązowiec zachodni w Ogrodzie Staromiejskim – nr ew. 58;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grupa 10 platanów w Parku Słowackiego – nr ew. 60B, 60C, 60G, 60J;</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platan klonolistny na Wzgórzu Partyzantów – nr ew. 61;</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szypułkowy ul. Łączności – nr ew. 63;</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„Przewodnik” u zbiegu ulic Suchej i Borowskiej – nr ew. 68;</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lipa drobnolistna ul. Krucza 49 – nr ew. 73;</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platan klonolistny Lasu u ujścia Ślęzy – nr ew. 89;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miłorząb dwuklapowy Wybrzeże Pasteura – nr ew. 97;</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sofory japońskie Perełkowce nad Grudziądzką – 99A, 99B, 99C, 99D, 99E, 99F, 99G, 99H;</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Nestor ul. Czeska – nr ew. 102;</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lipa srebrzysta w Ogrodzie Roślin Leczniczych – nr ew. 103;</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wiązowiec zachodni w Ogrodzie Roślin Leczniczych – nr ew. 106;</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Mieszko ul. Osobowicka – nr ew. 109;</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grupa leszczyn tureckich w Parku Zachodnim – nr ew. 110A i 110B;</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platan klonolistny ul. Sołtysowicka – nr ew. 113;</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dąb Drzewiec ul. Miejska – nr ew. 116;</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platan Świadek pl. Jana Pawła II – nr ew. 117.</w:t>
      </w:r>
    </w:p>
    <w:p w:rsidR="00F11E03" w:rsidRPr="00E00B35" w:rsidRDefault="00F11E03" w:rsidP="00E00B35">
      <w:pPr>
        <w:pStyle w:val="Akapitzlist"/>
        <w:spacing w:after="0" w:line="312" w:lineRule="auto"/>
        <w:ind w:left="426"/>
        <w:rPr>
          <w:szCs w:val="20"/>
        </w:rPr>
      </w:pPr>
    </w:p>
    <w:p w:rsidR="007A4D59" w:rsidRPr="00E00B35" w:rsidRDefault="007A4D59" w:rsidP="00E00B35">
      <w:pPr>
        <w:pStyle w:val="Akapitzlist"/>
        <w:suppressAutoHyphens/>
        <w:spacing w:after="0" w:line="312" w:lineRule="auto"/>
        <w:ind w:left="0"/>
        <w:rPr>
          <w:szCs w:val="20"/>
        </w:rPr>
      </w:pPr>
      <w:r w:rsidRPr="00E00B35">
        <w:rPr>
          <w:szCs w:val="20"/>
        </w:rPr>
        <w:t>Zagospodarowanie stanowisk pomników przyrody, posiadających nazwy własne, poprzez:</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wykonanie i posadowienie głazu z wyrytą nazwą „PLATAN ŚWIADEK” przy platanie klonolistnym nr ew. 117;</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odświeżenie starych napisów na istniejących głazach przy pomnikach przyrody: dąb Piotr Włost; dąb Jan Dzierżoń. </w:t>
      </w:r>
    </w:p>
    <w:p w:rsidR="007A4D59" w:rsidRPr="00E00B35" w:rsidRDefault="007A4D59" w:rsidP="00E00B35">
      <w:pPr>
        <w:pStyle w:val="Zwykytekst"/>
        <w:spacing w:after="0" w:line="312" w:lineRule="auto"/>
        <w:rPr>
          <w:rFonts w:ascii="Verdana" w:hAnsi="Verdana"/>
          <w:bCs/>
          <w:highlight w:val="yellow"/>
        </w:rPr>
      </w:pPr>
      <w:r w:rsidRPr="00E00B35">
        <w:rPr>
          <w:rFonts w:ascii="Verdana" w:hAnsi="Verdana"/>
        </w:rPr>
        <w:t xml:space="preserve">Kwota wydatkowana na ten cel ze środków miasta to </w:t>
      </w:r>
      <w:r w:rsidRPr="00E00B35">
        <w:rPr>
          <w:rFonts w:ascii="Verdana" w:hAnsi="Verdana"/>
          <w:bCs/>
        </w:rPr>
        <w:t>112 753,80 zł.</w:t>
      </w:r>
    </w:p>
    <w:p w:rsidR="007A4D59" w:rsidRPr="00E00B35" w:rsidRDefault="007A4D59" w:rsidP="00E00B35">
      <w:pPr>
        <w:pStyle w:val="11Trescpisma"/>
        <w:spacing w:before="0" w:after="0" w:line="312" w:lineRule="auto"/>
        <w:jc w:val="left"/>
        <w:rPr>
          <w:szCs w:val="20"/>
        </w:rPr>
      </w:pPr>
      <w:r w:rsidRPr="00E00B35">
        <w:rPr>
          <w:szCs w:val="20"/>
        </w:rPr>
        <w:t>Wystąpiono do Regionalnego Dyrektora Ochrony Środowiska o wydanie zezwolenia na realizację prac pielęgnacyjnych dębów szypułkowych rosnących w Lesie Rędzińskim (nr. ew. 14), ze względu na prawdopodobieństwo ich zasiedlenia przez gatunek podlegający ochronie prawnej – kozioroga dębosza.</w:t>
      </w:r>
    </w:p>
    <w:p w:rsidR="007A4D59" w:rsidRPr="00E00B35" w:rsidRDefault="007A4D59" w:rsidP="00E00B35">
      <w:pPr>
        <w:pStyle w:val="Akapitzlist"/>
        <w:spacing w:after="0" w:line="312" w:lineRule="auto"/>
        <w:ind w:left="0"/>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Inne sprawy dotyczące form ochrony przyrody</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Interwencja w sprawie zmiany zagospodarowania terenu wokół pomnika przyrody nr ew. 112 – platana klonolistnego rosnącego przy ul. Powstańców Śl. we Wrocławiu,</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Korespondencja w sprawie objęcia pomnika przyrody nr ew. 28 – dębu Jana Dzierżonia systemem monitoringu prewencyjnego,</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Opinia w zakresie możliwości naruszenia zakazów uchwały ustanawiającej pomnik przyrody – dąb Mieszko, poprzez realizację zbiornika retencyjno – rozsączającego i rurociągu drenarskiego dla wód opadowych,</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lastRenderedPageBreak/>
        <w:t>Wyjaśnienia do pytań ubezpieczyciela w sprawie szkody nr U/111927/2020 UC OC (Uniqa) uszkodzenie pojazdu VW Golf III - pomnik przyrody nr ew. 99B – sofora japońska,</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Wyjaśnienia do pytań ubezpieczyciela w sprawie szkody nr U/113985/2020 UC OC Uniqa – pomnik przyrody nr ew. 63 – dąb szypułkowy,</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Korespondencja w sprawie stanu zdrowotnego pomnika przyrody nr ew. 65 – dębu szypułkowego, rosnącego przy al. Matejki,</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Uzgodnienie projektu pn. „Budowa kanalizacji sanitarnej wraz z tłocznią ścieków i rurociągiem tłocznym w ulicach: Władysława Skoczylasa, Promenada, Kącka, Stroma, Ślepa oraz Alojzego Majchra na dz. nr 56, AM-3, obręb Złotniki we Wrocławiu” w zakresie pomników przyrody nr ew. 72A-72B,</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Wniosek Stowarzyszenia Nasze Maślice w sprawie działań na rzecz La</w:t>
      </w:r>
      <w:r w:rsidR="00F11E03" w:rsidRPr="00E00B35">
        <w:rPr>
          <w:szCs w:val="20"/>
        </w:rPr>
        <w:t>su Pilczyckiego – sprawa w toku.</w:t>
      </w:r>
    </w:p>
    <w:p w:rsidR="007A4D59" w:rsidRPr="00E00B35" w:rsidRDefault="007A4D59" w:rsidP="00E00B35">
      <w:pPr>
        <w:spacing w:after="0" w:line="312" w:lineRule="auto"/>
        <w:rPr>
          <w:b/>
          <w:szCs w:val="20"/>
        </w:rPr>
      </w:pPr>
    </w:p>
    <w:p w:rsidR="007A4D59" w:rsidRPr="00E00B35" w:rsidRDefault="007A4D59" w:rsidP="00E00B35">
      <w:pPr>
        <w:spacing w:after="0" w:line="312" w:lineRule="auto"/>
        <w:rPr>
          <w:szCs w:val="20"/>
        </w:rPr>
      </w:pPr>
      <w:r w:rsidRPr="00E00B35">
        <w:rPr>
          <w:szCs w:val="20"/>
        </w:rPr>
        <w:t>Uzgodnienia/opinie do projektów inwestycji w zakresie pomników przyrody, po wcześniejszej negatywnej opinii, bądź wezwaniu do zmiany projektu:</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Zaopiniowano pozytywnie inwestycję pn. „Przebudowa z rozbudową i zmianą sposobu użytkowania nieczynnej biblioteki przy ul. Parkowej 1-3 we Wrocławiu na obiekt kształcenia zawodowego z funkcją zamieszkania zbiorowego, w strefie ochrony pomnika przyrody – cyprysika groszkowego” (nr ew. 33). Projekt zmieniony w stosunku do pierwotnego w zakresie: rezygnacji z realizacji nowej nawierzchni w sąsiedztwie pnia pomnika przyrody; przeprojektowania przebiegu głównej ścieżki poza zasięg korony pomnika przyrody,</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Zaopiniowano pozytywnie inwestycję pn. „Budowa oświetlenia oraz linii kablowej dla punktu poboru energii do zasilania imprez plenerowych w Parku Brochowskim”. Uzyskano zmianę przebiegu instalacji elektrycznej wraz z montażem latarni oświetleniowej. Minimalna odległość linii energetycznej od pnia pomnika przyrody – lipy szerokolistnej (nr ew. 43) około 24 m,</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Zaopiniowano pozytywnie inwestycję pn. „Budowa osiedlowej sieci ciepłowniczej wraz z przyłączami w rejonie ulic: al. Jana Kochanowskiego/Różyckiego we Wrocławiu”, w strefie ochrony pomnika przyrody – grujecznika japońskiego (nr ew. 111). Pierwotny projekt zmieniono w zakresie lokalizacji komory nadawczej, tak aby skrajnia komory nadawczej znajdowała się nie bliżej niż 5 m od rzutu poziomego korony pomnika przyrody,</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Uzgodniono projekt rozbudowy szkoły podstawowej we Wrocławiu na działkach nr 18/1, 18/2, 18/3, AM-19, obręb Osobowice.  Zmieniono przebieg projektowanego ciągu pieszego z kostki betonowej oraz lokalizację placu zabaw, w taki sposób aby maksymalnie oddalić prace budowlane od pomnika przyrody nr ew. 109. Nie dopuszczono do realizacji wykopów ziemnych w rzucie korony pomnika przyrody. </w:t>
      </w:r>
    </w:p>
    <w:p w:rsidR="007A4D59" w:rsidRPr="00E00B35" w:rsidRDefault="007A4D59" w:rsidP="00E00B35">
      <w:pPr>
        <w:pStyle w:val="Akapitzlist"/>
        <w:tabs>
          <w:tab w:val="left" w:pos="284"/>
        </w:tabs>
        <w:suppressAutoHyphens/>
        <w:spacing w:after="0" w:line="312" w:lineRule="auto"/>
        <w:ind w:left="0"/>
        <w:rPr>
          <w:szCs w:val="20"/>
        </w:rPr>
      </w:pPr>
      <w:r w:rsidRPr="00E00B35">
        <w:rPr>
          <w:szCs w:val="20"/>
        </w:rPr>
        <w:t xml:space="preserve">Przygotowano projekt uchwały Rady Miejskiej Wrocławia </w:t>
      </w:r>
      <w:r w:rsidRPr="00E00B35">
        <w:rPr>
          <w:i/>
          <w:szCs w:val="20"/>
        </w:rPr>
        <w:t xml:space="preserve">w sprawie zgody na prowadzenie prac budowlanych w bliskim sąsiedztwie dębu „Mieszko”, </w:t>
      </w:r>
      <w:r w:rsidRPr="00E00B35">
        <w:rPr>
          <w:szCs w:val="20"/>
        </w:rPr>
        <w:t xml:space="preserve">w związku z otrzymanym wnioskiem o uzgodnienie inwestycji celu publicznego pod nazwą: </w:t>
      </w:r>
      <w:r w:rsidRPr="00E00B35">
        <w:rPr>
          <w:szCs w:val="20"/>
        </w:rPr>
        <w:lastRenderedPageBreak/>
        <w:t>„Rozbudowa ul. Osobowickiej na odcinku od obwodnicy śródmiejskiej do ul. Lipskiej we Wrocławiu”.</w:t>
      </w:r>
    </w:p>
    <w:p w:rsidR="007A4D59" w:rsidRPr="00E00B35" w:rsidRDefault="007A4D59" w:rsidP="00E00B35">
      <w:pPr>
        <w:pStyle w:val="Akapitzlist"/>
        <w:tabs>
          <w:tab w:val="left" w:pos="284"/>
        </w:tabs>
        <w:suppressAutoHyphens/>
        <w:spacing w:after="0" w:line="312" w:lineRule="auto"/>
        <w:ind w:left="0"/>
        <w:rPr>
          <w:b/>
          <w:szCs w:val="20"/>
        </w:rPr>
      </w:pPr>
    </w:p>
    <w:p w:rsidR="007A4D59" w:rsidRPr="00E00B35" w:rsidRDefault="007A4D59" w:rsidP="00E00B35">
      <w:pPr>
        <w:pStyle w:val="Nagwek4"/>
        <w:spacing w:before="0" w:after="0" w:line="312" w:lineRule="auto"/>
        <w:rPr>
          <w:sz w:val="20"/>
          <w:szCs w:val="20"/>
        </w:rPr>
      </w:pPr>
      <w:bookmarkStart w:id="738" w:name="_Toc71032631"/>
      <w:bookmarkStart w:id="739" w:name="_Toc71034613"/>
      <w:r w:rsidRPr="00E00B35">
        <w:rPr>
          <w:sz w:val="20"/>
          <w:szCs w:val="20"/>
        </w:rPr>
        <w:t>PIORYTET III – ROZWÓJ PARTYCYPACJI, BUDOWA KAPITAŁU SPOŁECZNEGO I POPRAWA JAKOŚCI ŻYCIA</w:t>
      </w:r>
      <w:bookmarkEnd w:id="738"/>
      <w:bookmarkEnd w:id="739"/>
    </w:p>
    <w:p w:rsidR="007A4D59" w:rsidRPr="00E00B35" w:rsidRDefault="007A4D59" w:rsidP="00E00B35">
      <w:pPr>
        <w:pStyle w:val="Nagwek5"/>
        <w:rPr>
          <w:szCs w:val="20"/>
        </w:rPr>
      </w:pPr>
      <w:bookmarkStart w:id="740" w:name="_Toc71032632"/>
      <w:bookmarkStart w:id="741" w:name="_Toc71034614"/>
      <w:r w:rsidRPr="00E00B35">
        <w:rPr>
          <w:szCs w:val="20"/>
        </w:rPr>
        <w:t>ZADANIE NR 117: WDRAŻANIE POWIATOWEGO PROGRAMU ZWIĘKSZENIA LESISTOŚCI WROCŁAWIA</w:t>
      </w:r>
      <w:bookmarkEnd w:id="740"/>
      <w:bookmarkEnd w:id="741"/>
    </w:p>
    <w:p w:rsidR="007A4D59" w:rsidRPr="00E00B35" w:rsidRDefault="007A4D59" w:rsidP="00E00B35">
      <w:pPr>
        <w:spacing w:after="0" w:line="312" w:lineRule="auto"/>
        <w:rPr>
          <w:bCs/>
          <w:szCs w:val="20"/>
        </w:rPr>
      </w:pPr>
      <w:r w:rsidRPr="00E00B35">
        <w:rPr>
          <w:bCs/>
          <w:szCs w:val="20"/>
        </w:rPr>
        <w:t>W 2020, w okresie wiosennym, zalesiono ok. 1,00 ha gruntów nieleśnych (porolnych) na Ratyniu, znajdujących się we władaniu ZZM, przeznaczonych w mpzp pod zalesienie</w:t>
      </w:r>
      <w:r w:rsidRPr="00E00B35">
        <w:rPr>
          <w:rFonts w:cs="Verdana"/>
          <w:bCs/>
          <w:szCs w:val="20"/>
        </w:rPr>
        <w:t>, wysadzając ok. 6 000 szt. sadzonek leśnego materiału roślinnego</w:t>
      </w:r>
      <w:r w:rsidRPr="00E00B35">
        <w:rPr>
          <w:bCs/>
          <w:szCs w:val="20"/>
        </w:rPr>
        <w:t xml:space="preserve">. Przygotowano dokumentację projektową (Plan Zalesień) umożliwiającą wykonanie nasadzeń na pozostałych terenach przeznaczonych do zalesień, położonych w rejonie Osobowic, którymi zarządza ZZM. Na podstawie przedmiotowego Planu Zalesień w okresie jesiennym br. zalesiono ok. 4 ha gruntów nieleśnych (tereny porolne) wysadzając ok. 24 000 szt. sadzonek materiału leśnego. </w:t>
      </w:r>
    </w:p>
    <w:p w:rsidR="007A4D59" w:rsidRPr="00E00B35" w:rsidRDefault="007A4D59" w:rsidP="00E00B35">
      <w:pPr>
        <w:spacing w:after="0" w:line="312" w:lineRule="auto"/>
        <w:rPr>
          <w:szCs w:val="20"/>
        </w:rPr>
      </w:pPr>
    </w:p>
    <w:p w:rsidR="007A4D59" w:rsidRPr="00E00B35" w:rsidRDefault="007A4D59" w:rsidP="00E00B35">
      <w:pPr>
        <w:pStyle w:val="Nagwek5"/>
        <w:rPr>
          <w:szCs w:val="20"/>
        </w:rPr>
      </w:pPr>
      <w:bookmarkStart w:id="742" w:name="_Toc71032633"/>
      <w:bookmarkStart w:id="743" w:name="_Toc71034615"/>
      <w:r w:rsidRPr="00E00B35">
        <w:rPr>
          <w:szCs w:val="20"/>
        </w:rPr>
        <w:t>ZADANIE NR 118: REALIZACJA PROGRAMU OGRANICZENIA UCIĄŻLIWOŚCI ZWIĄZANYCH Z DZIKIMI ZWIERZĘTAMI BYTUJĄCYMI NA TERENIE WROCŁAWIA</w:t>
      </w:r>
      <w:bookmarkEnd w:id="742"/>
      <w:bookmarkEnd w:id="743"/>
    </w:p>
    <w:p w:rsidR="007A4D59" w:rsidRPr="00E00B35" w:rsidRDefault="007A4D59" w:rsidP="00E00B35">
      <w:pPr>
        <w:pStyle w:val="Zwykytekst"/>
        <w:tabs>
          <w:tab w:val="left" w:pos="284"/>
        </w:tabs>
        <w:spacing w:after="0" w:line="312" w:lineRule="auto"/>
        <w:rPr>
          <w:rFonts w:ascii="Verdana" w:hAnsi="Verdana"/>
          <w:bCs/>
          <w:iCs/>
        </w:rPr>
      </w:pPr>
      <w:r w:rsidRPr="00E00B35">
        <w:rPr>
          <w:rFonts w:ascii="Verdana" w:hAnsi="Verdana"/>
          <w:bCs/>
          <w:iCs/>
        </w:rPr>
        <w:t>Realizacja zadań z zakresu łowiectwa - zgodnie z ustawą Prawo łowieckie z dnia 13 października 1995 r.</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Zaopiniowano roczne plany łowieckie na rok gospodarczy 2020/2021 dla obwodów łowieckich położonych w granicach Wrocławia. Naliczono i rozliczono czynsz dzierżawny za obwody łowieckie polne na terenie Wrocławia za sezon 2020/2021. Dochód netto Gminy Wrocław z tytułu dzierżawy obwodów nr 165 i 195 (po rozliczeniu) oraz wpływów z sąsiednich starostw powiatowych wynikających z rozliczenia czynszów za obwody położone częściowo w granicach Wrocławia wyniósł w 2020 r. – 5.474,57 zł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Kontynuowano Program ograniczania uciążliwości powodowanych przez dzikie zwierzęta bytujące na terenie m. Wrocławia. Program realizowany w latach 2019-2021 przez wykonawców wyłonionych w trybie przetargowym w roku 2018 oraz w 2019 na wszystkie działania wynikające z ww. programu. Wykonawcy zostali wyłonieni zgodnie z ustawą z dnia 29 stycznia 2004 r. Prawo zamówień publicznych.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 roku 2020 wydano łącznie 5 decyzji administracyjnych w oparciu o przepisy ustawy prawo łowieckie.</w:t>
      </w:r>
    </w:p>
    <w:p w:rsidR="007A4D59" w:rsidRPr="00E00B35" w:rsidRDefault="007A4D59" w:rsidP="00E00B35">
      <w:pPr>
        <w:spacing w:after="0" w:line="312" w:lineRule="auto"/>
        <w:rPr>
          <w:szCs w:val="20"/>
        </w:rPr>
      </w:pPr>
      <w:r w:rsidRPr="00E00B35">
        <w:rPr>
          <w:szCs w:val="20"/>
        </w:rPr>
        <w:t>Zadanie nr I:  w ramach realizacji zadania kontynuowano redukcję populacji dzików występujących w granicach miasta w 6 stałych odłowniach. Łącznie z pułapek tych w roku 2020 odłowiono 222 szt. dzików. Zwierzęta te zostały przekazane do OBŚL w Złotówku.</w:t>
      </w:r>
    </w:p>
    <w:p w:rsidR="007A4D59" w:rsidRPr="00E00B35" w:rsidRDefault="007A4D59" w:rsidP="00E00B35">
      <w:pPr>
        <w:spacing w:after="0" w:line="312" w:lineRule="auto"/>
        <w:rPr>
          <w:szCs w:val="20"/>
        </w:rPr>
      </w:pPr>
      <w:r w:rsidRPr="00E00B35">
        <w:rPr>
          <w:szCs w:val="20"/>
        </w:rPr>
        <w:t xml:space="preserve">Zadanie nr II: w roku 2020 firma Biokontrola przy udziale lekarza weterynarii prowadziła całodobowe pogotowie interwencyjne ds. dzikich zwierząt oraz zapewniła na potrzeby miasta ośrodek rehabilitacji dzikich zwierząt. Łącznie w ramach realizacji przedmiotowych zadań Wykonawca dokonał 991 interwencji związanych z dzikimi zwierzętami, w wyniku których z terenu miasta trafiło do ośrodka rehabilitacji dzikich zwierząt 111 szt. zwierząt, </w:t>
      </w:r>
      <w:r w:rsidRPr="00E00B35">
        <w:rPr>
          <w:szCs w:val="20"/>
        </w:rPr>
        <w:lastRenderedPageBreak/>
        <w:t>które po wstępnej ocenie i obserwacji kwalifikowano dalej do wypuszczenia na wolność, bądź leczenia i rehabilitacji.</w:t>
      </w:r>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Kampania informacyjna</w:t>
      </w:r>
    </w:p>
    <w:p w:rsidR="007A4D59" w:rsidRPr="00E00B35" w:rsidRDefault="007A4D59" w:rsidP="00E00B35">
      <w:pPr>
        <w:spacing w:after="0" w:line="312" w:lineRule="auto"/>
        <w:rPr>
          <w:szCs w:val="20"/>
        </w:rPr>
      </w:pPr>
      <w:r w:rsidRPr="00E00B35">
        <w:rPr>
          <w:szCs w:val="20"/>
        </w:rPr>
        <w:t>Kontynuowano kampanię informacyjną nt. dzikich zwierząt, z wykorzystaniem ulotek celem szerokiego wykorzystania wśród mieszkańców – w zakresie postępowania ze zwierzyną dziką przebywającą na terenach zabudowanych. Ponadto rozszerzono zakres informacyjno-dydaktyczny przy współpracy z Ogrodem Zoologicznym we Wrocławiu.</w:t>
      </w:r>
    </w:p>
    <w:p w:rsidR="007A4D59" w:rsidRPr="00E00B35" w:rsidRDefault="007A4D59" w:rsidP="00E00B35">
      <w:pPr>
        <w:spacing w:after="0" w:line="312" w:lineRule="auto"/>
        <w:rPr>
          <w:b/>
          <w:szCs w:val="20"/>
        </w:rPr>
      </w:pPr>
    </w:p>
    <w:p w:rsidR="007A4D59" w:rsidRPr="00E00B35" w:rsidRDefault="007A4D59" w:rsidP="00E00B35">
      <w:pPr>
        <w:pStyle w:val="Nagwek5"/>
        <w:rPr>
          <w:szCs w:val="20"/>
        </w:rPr>
      </w:pPr>
      <w:bookmarkStart w:id="744" w:name="_Toc71032634"/>
      <w:bookmarkStart w:id="745" w:name="_Toc71034616"/>
      <w:r w:rsidRPr="00E00B35">
        <w:rPr>
          <w:szCs w:val="20"/>
        </w:rPr>
        <w:t>ZADANIE NR 119: REALIZACJA WROCŁAWSKIEGO PROGRAMU KONTROLI LICZEBNOŚCI KOMARÓW</w:t>
      </w:r>
      <w:bookmarkEnd w:id="744"/>
      <w:bookmarkEnd w:id="745"/>
      <w:r w:rsidRPr="00E00B35">
        <w:rPr>
          <w:szCs w:val="20"/>
        </w:rPr>
        <w:t xml:space="preserve"> </w:t>
      </w:r>
    </w:p>
    <w:p w:rsidR="007A4D59" w:rsidRPr="00E00B35" w:rsidRDefault="007A4D59" w:rsidP="00E00B35">
      <w:pPr>
        <w:pStyle w:val="Tekstpodstawowy"/>
        <w:spacing w:after="0" w:line="312" w:lineRule="auto"/>
        <w:rPr>
          <w:szCs w:val="20"/>
        </w:rPr>
      </w:pPr>
      <w:r w:rsidRPr="00E00B35">
        <w:rPr>
          <w:szCs w:val="20"/>
        </w:rPr>
        <w:t>Wrocławski program kontroli liczebności komarów jest jednym z zadań polityki społeczno-gospodarczej Wrocławia. W 2020 roku prowadzone były standardowe działania na które składa się: monitorowanie terenu przez Zespół ds. monitoringu wraz z wykonywaniem oprysków w miejscach rozwoju komarów o powierzchni do 0,1 ha; wykonywanie zabiegów preparatem biologicznym VectoBac 12 AS oraz preparatami chemicznymi metodą agrolotniczą i metodą naziemną; kompleksowe monitorowanie doliny rzeki Bystrzycy z jednoczesnym wykonywaniem oprysków; zarybianie zbiorników wodnych. Wykonano łącznie 149</w:t>
      </w:r>
      <w:r w:rsidRPr="00E00B35">
        <w:rPr>
          <w:bCs/>
          <w:szCs w:val="20"/>
        </w:rPr>
        <w:t xml:space="preserve"> </w:t>
      </w:r>
      <w:r w:rsidRPr="00E00B35">
        <w:rPr>
          <w:szCs w:val="20"/>
        </w:rPr>
        <w:t xml:space="preserve">zabiegów ograniczających rozwój komarów na powierzchni </w:t>
      </w:r>
      <w:r w:rsidRPr="00E00B35">
        <w:rPr>
          <w:bCs/>
          <w:szCs w:val="20"/>
        </w:rPr>
        <w:t>2 904,63 ha</w:t>
      </w:r>
      <w:r w:rsidRPr="00E00B35">
        <w:rPr>
          <w:szCs w:val="20"/>
        </w:rPr>
        <w:t xml:space="preserve"> (z czego 99 zabiegów preparatem biologicznym na powierzchni 230,0 ha i 50 zabiegów preparatem chemicznym na powierzchni 2 575,33 ha).Ponadto Zespół ds. monitoringu w ramach swoich zobowiązań wykonał 9</w:t>
      </w:r>
      <w:r w:rsidRPr="00E00B35">
        <w:rPr>
          <w:bCs/>
          <w:szCs w:val="20"/>
        </w:rPr>
        <w:t xml:space="preserve"> </w:t>
      </w:r>
      <w:r w:rsidRPr="00E00B35">
        <w:rPr>
          <w:szCs w:val="20"/>
        </w:rPr>
        <w:t xml:space="preserve">oprysków preparatem biologicznym na powierzchni 1,9 ha. W bieżącym roku warunki atmosferyczne były bardzo sprzyjające do rozwoju populacji komarów. Częstotliwość wykonywania działań w celu ograniczania populacji komarów w danym sezonie zależy w dużej mierze od panujących warunków atmosferycznych i hydrologicznych, które wpływają na powstawanie potencjalnych miejsc rozwoju komarów. Z racji predyspozycji niektórych gatunków, komary mają duże zdolności migracyjne co w przypadku podwyższonych poziomów wód czy wystąpienia powodzi rodzi problem znacznej uciążliwości w zasięgu wielkoobszarowym. W bieżącym roku po kilku dniach z intensywnymi opadami deszczy, doszło do podniesienia wód gruntowych oraz wód w rzekach, co skutkowało powstaniem fali wezbraniowej na rzece Odrze, rzece Widawie i rzece Bystrzycy. Efektem tego było zalanie terenów niżej położonych w obszarze zalewowym rzeki Odry i rzeki Widawy, znajdujących się w gminach ościennych w górnym biegu rzeki. Zaistniała sytuacja spowodowała powstanie wielu hektarów obszarów – miejsc - odpowiednich dla rozwoju larw komarów gatunków popowodziowych, na terenie oraz poza granicami miasta Wrocławia. Stagnująca woda utrzymywała się przez bardzo długi okres. Zalane zostały również niektóre parki ja Park Brochowski, Park Wschodni. Systematyczny monitoring potwierdził, że na tych terenach w wielu miejscach nastąpił rozwój bardzo dużej populacji komarów. Bezzwłocznie zostały podjęte działania w postaci przeprowadzenia zabiegów preparatem mikrobiologicznym, zarówno przy wykorzystaniu metody agrolotniczej jak i metody naziemnej, na całych obszarach, tak jak zakładają to normy zintegrowanych programów prowadzonych na świecie. Niestety mimo szybkiej reakcji i przeprowadzeniu działań po kilku dniach w </w:t>
      </w:r>
      <w:r w:rsidRPr="00E00B35">
        <w:rPr>
          <w:szCs w:val="20"/>
        </w:rPr>
        <w:lastRenderedPageBreak/>
        <w:t xml:space="preserve">południowo-wschodniej części Wrocławia pojawiły się duże ilości komarów, co zostało stwierdzone przez Zespół ds. monitoringu jak również przez mieszkańców. Zgodnie z wypracowanym schematem zostały przeprowadzone kolejne opryski, tym razem preparatem chemicznym zwalczającym osobniki dorosłe. Sytuacja nieco się poprawiła, ale tylko na krótki okres. Brak natychmiastowych działań ze strony innych gmin ościennych (za wyjątkiem Gminy Czernica) na ich zalanych terenach spowodował, że rozwijające się tam komary w ilościach plagowych, zaczęły nalatywać na obszary sąsiednie, w tym Wrocław. Rozwój wydarzeń spowodował konieczność przeprowadzania wielokrotnie zabiegów preparatami chemicznymi w celu ograniczenia populacji komarów, co przełożyło się na ilość oraz dużo większy obszar działań preparatami chemicznymi w stosunku do preparatów biologicznych. Utrzymująca się woda w wielu miejscach stała się dogodnym miejscem do rozwoju gatunków letnich, które poszukują żywicieli w bliskim otoczeniu od miejsca wylęgu. Dlatego też mieszkańcy w wielu miejscach sąsiadujących z zalanymi terenami czy też Rodzinnymi Ogródkami Działkowymi, zgłaszali dużą uciążliwość ze strony komarów. </w:t>
      </w:r>
    </w:p>
    <w:p w:rsidR="007A4D59" w:rsidRPr="00E00B35" w:rsidRDefault="007A4D59" w:rsidP="00E00B35">
      <w:pPr>
        <w:pStyle w:val="Tekstpodstawowy"/>
        <w:spacing w:after="0" w:line="312" w:lineRule="auto"/>
        <w:rPr>
          <w:szCs w:val="20"/>
        </w:rPr>
      </w:pPr>
    </w:p>
    <w:p w:rsidR="007A4D59" w:rsidRPr="00E00B35" w:rsidRDefault="007A4D59" w:rsidP="00E00B35">
      <w:pPr>
        <w:pStyle w:val="Tekstpodstawowy"/>
        <w:spacing w:after="0" w:line="312" w:lineRule="auto"/>
        <w:rPr>
          <w:szCs w:val="20"/>
        </w:rPr>
      </w:pPr>
      <w:r w:rsidRPr="00E00B35">
        <w:rPr>
          <w:noProof/>
          <w:szCs w:val="20"/>
          <w:lang w:val="pl-PL" w:eastAsia="pl-PL" w:bidi="ar-SA"/>
        </w:rPr>
        <w:drawing>
          <wp:inline distT="0" distB="0" distL="0" distR="0">
            <wp:extent cx="2767330" cy="1612265"/>
            <wp:effectExtent l="19050" t="0" r="0" b="0"/>
            <wp:docPr id="149" name="Obraz 1" descr="zdjecie Parku Brochow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djecie Parku Brochowskiego"/>
                    <pic:cNvPicPr>
                      <a:picLocks noChangeAspect="1" noChangeArrowheads="1"/>
                    </pic:cNvPicPr>
                  </pic:nvPicPr>
                  <pic:blipFill>
                    <a:blip r:embed="rId159" cstate="print"/>
                    <a:srcRect/>
                    <a:stretch>
                      <a:fillRect/>
                    </a:stretch>
                  </pic:blipFill>
                  <pic:spPr bwMode="auto">
                    <a:xfrm>
                      <a:off x="0" y="0"/>
                      <a:ext cx="2767330" cy="1612265"/>
                    </a:xfrm>
                    <a:prstGeom prst="rect">
                      <a:avLst/>
                    </a:prstGeom>
                    <a:noFill/>
                    <a:ln w="9525">
                      <a:noFill/>
                      <a:miter lim="800000"/>
                      <a:headEnd/>
                      <a:tailEnd/>
                    </a:ln>
                  </pic:spPr>
                </pic:pic>
              </a:graphicData>
            </a:graphic>
          </wp:inline>
        </w:drawing>
      </w:r>
      <w:r w:rsidRPr="00E00B35">
        <w:rPr>
          <w:noProof/>
          <w:szCs w:val="20"/>
          <w:lang w:val="pl-PL" w:eastAsia="pl-PL" w:bidi="ar-SA"/>
        </w:rPr>
        <w:drawing>
          <wp:inline distT="0" distB="0" distL="0" distR="0">
            <wp:extent cx="2839720" cy="1588135"/>
            <wp:effectExtent l="19050" t="0" r="0" b="0"/>
            <wp:docPr id="148" name="Obraz 2" descr="zdjęcie Parku Wscho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djęcie Parku Wschodniego"/>
                    <pic:cNvPicPr>
                      <a:picLocks noChangeAspect="1" noChangeArrowheads="1"/>
                    </pic:cNvPicPr>
                  </pic:nvPicPr>
                  <pic:blipFill>
                    <a:blip r:embed="rId160" cstate="print"/>
                    <a:srcRect/>
                    <a:stretch>
                      <a:fillRect/>
                    </a:stretch>
                  </pic:blipFill>
                  <pic:spPr bwMode="auto">
                    <a:xfrm>
                      <a:off x="0" y="0"/>
                      <a:ext cx="2839720" cy="1588135"/>
                    </a:xfrm>
                    <a:prstGeom prst="rect">
                      <a:avLst/>
                    </a:prstGeom>
                    <a:noFill/>
                    <a:ln w="9525">
                      <a:noFill/>
                      <a:miter lim="800000"/>
                      <a:headEnd/>
                      <a:tailEnd/>
                    </a:ln>
                  </pic:spPr>
                </pic:pic>
              </a:graphicData>
            </a:graphic>
          </wp:inline>
        </w:drawing>
      </w:r>
      <w:r w:rsidRPr="00E00B35">
        <w:rPr>
          <w:szCs w:val="20"/>
        </w:rPr>
        <w:t xml:space="preserve">  Zalany Park Brochowski, rozlewisko w Parku Wschodnim. Fot.M.Kaliwoda</w:t>
      </w:r>
    </w:p>
    <w:p w:rsidR="007A4D59" w:rsidRPr="00E00B35" w:rsidRDefault="007A4D59" w:rsidP="00E00B35">
      <w:pPr>
        <w:pStyle w:val="Tekstpodstawowy"/>
        <w:spacing w:after="0" w:line="312" w:lineRule="auto"/>
        <w:rPr>
          <w:szCs w:val="20"/>
        </w:rPr>
      </w:pPr>
    </w:p>
    <w:p w:rsidR="007A4D59" w:rsidRPr="00E00B35" w:rsidRDefault="007A4D59" w:rsidP="00E00B35">
      <w:pPr>
        <w:pStyle w:val="Tekstpodstawowy"/>
        <w:spacing w:after="0" w:line="312" w:lineRule="auto"/>
        <w:rPr>
          <w:szCs w:val="20"/>
        </w:rPr>
      </w:pPr>
      <w:r w:rsidRPr="00E00B35">
        <w:rPr>
          <w:szCs w:val="20"/>
        </w:rPr>
        <w:t xml:space="preserve">Warunki atmosferyczne i hydrologiczne w całym sezonie 2020 były bardzo trudne i sprzyjające rozwojowi larw komarów na terenie miasta. W czasie trwania działań średnia temperatura dobowa nie spadała poniżej 15 </w:t>
      </w:r>
      <w:r w:rsidRPr="00E00B35">
        <w:rPr>
          <w:szCs w:val="20"/>
          <w:vertAlign w:val="superscript"/>
        </w:rPr>
        <w:t>o</w:t>
      </w:r>
      <w:r w:rsidRPr="00E00B35">
        <w:rPr>
          <w:szCs w:val="20"/>
        </w:rPr>
        <w:t>C, co stanowiło idealne warunki dla rozwoju komarów. Intensywne opady deszczu wystąpiły również we wrześniu i październiku. Ponownie w wielu miejscach zalegała woda, panujące  niskie temperatury mocno ograniczyły rozwój kolejnych populacji komarów i nie było potrzeby wykonywania zabiegów.</w:t>
      </w:r>
    </w:p>
    <w:p w:rsidR="007A4D59" w:rsidRPr="00E00B35" w:rsidRDefault="007A4D59" w:rsidP="00E00B35">
      <w:pPr>
        <w:pStyle w:val="Tekstpodstawowy"/>
        <w:spacing w:after="0" w:line="312" w:lineRule="auto"/>
        <w:rPr>
          <w:szCs w:val="20"/>
        </w:rPr>
      </w:pPr>
    </w:p>
    <w:p w:rsidR="007A4D59" w:rsidRPr="00E00B35" w:rsidRDefault="007A4D59" w:rsidP="00E00B35">
      <w:pPr>
        <w:pStyle w:val="Tekstpodstawowy"/>
        <w:spacing w:after="0" w:line="312" w:lineRule="auto"/>
        <w:rPr>
          <w:szCs w:val="20"/>
        </w:rPr>
      </w:pPr>
      <w:r w:rsidRPr="00E00B35">
        <w:rPr>
          <w:noProof/>
          <w:szCs w:val="20"/>
          <w:lang w:val="pl-PL" w:eastAsia="pl-PL" w:bidi="ar-SA"/>
        </w:rPr>
        <w:lastRenderedPageBreak/>
        <w:drawing>
          <wp:inline distT="0" distB="0" distL="0" distR="0">
            <wp:extent cx="4258945" cy="2165985"/>
            <wp:effectExtent l="19050" t="0" r="8255" b="0"/>
            <wp:docPr id="147" name="Obraz 3" descr="miejsce rozwoju komar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miejsce rozwoju komarów"/>
                    <pic:cNvPicPr>
                      <a:picLocks noChangeAspect="1" noChangeArrowheads="1"/>
                    </pic:cNvPicPr>
                  </pic:nvPicPr>
                  <pic:blipFill>
                    <a:blip r:embed="rId161" cstate="print"/>
                    <a:srcRect/>
                    <a:stretch>
                      <a:fillRect/>
                    </a:stretch>
                  </pic:blipFill>
                  <pic:spPr bwMode="auto">
                    <a:xfrm>
                      <a:off x="0" y="0"/>
                      <a:ext cx="4258945" cy="2165985"/>
                    </a:xfrm>
                    <a:prstGeom prst="rect">
                      <a:avLst/>
                    </a:prstGeom>
                    <a:noFill/>
                    <a:ln w="9525">
                      <a:noFill/>
                      <a:miter lim="800000"/>
                      <a:headEnd/>
                      <a:tailEnd/>
                    </a:ln>
                  </pic:spPr>
                </pic:pic>
              </a:graphicData>
            </a:graphic>
          </wp:inline>
        </w:drawing>
      </w:r>
    </w:p>
    <w:p w:rsidR="007A4D59" w:rsidRPr="00E00B35" w:rsidRDefault="007A4D59" w:rsidP="00E00B35">
      <w:pPr>
        <w:pStyle w:val="Tekstpodstawowy"/>
        <w:spacing w:after="0" w:line="312" w:lineRule="auto"/>
        <w:rPr>
          <w:szCs w:val="20"/>
        </w:rPr>
      </w:pPr>
      <w:r w:rsidRPr="00E00B35">
        <w:rPr>
          <w:szCs w:val="20"/>
        </w:rPr>
        <w:t xml:space="preserve"> Nowe miejsca rozwojowe po przebudowie ul. Buforowej. Fot. M.Kaliwoda</w:t>
      </w:r>
    </w:p>
    <w:p w:rsidR="007A4D59" w:rsidRPr="00E00B35" w:rsidRDefault="007A4D59" w:rsidP="00E00B35">
      <w:pPr>
        <w:pStyle w:val="Tekstpodstawowy"/>
        <w:spacing w:after="0" w:line="312" w:lineRule="auto"/>
        <w:rPr>
          <w:szCs w:val="20"/>
        </w:rPr>
      </w:pPr>
    </w:p>
    <w:p w:rsidR="007A4D59" w:rsidRPr="00E00B35" w:rsidRDefault="007A4D59" w:rsidP="00E00B35">
      <w:pPr>
        <w:pStyle w:val="Tekstpodstawowy"/>
        <w:spacing w:after="0" w:line="312" w:lineRule="auto"/>
        <w:rPr>
          <w:szCs w:val="20"/>
        </w:rPr>
      </w:pPr>
      <w:r w:rsidRPr="00E00B35">
        <w:rPr>
          <w:szCs w:val="20"/>
        </w:rPr>
        <w:t>Po raz pierwszy od maja do końca września, prowadzono systematyczną aplikację preparatu mikrobiologicznego do kręgów przy punktach poboru wody na terenie Cmentarza Grabiszyńskiego. Ubiegłoroczne badania wykazały, że jest to obszar który bez względu na warunki atmosferyczne przez cały sezon stanowi dogodne miejsce rozwoju komarów i tym samym wpływa na uciążliwość na pobliskie tereny.</w:t>
      </w:r>
    </w:p>
    <w:p w:rsidR="007A4D59" w:rsidRPr="00E00B35" w:rsidRDefault="007A4D59" w:rsidP="00E00B35">
      <w:pPr>
        <w:pStyle w:val="Tekstpodstawowy"/>
        <w:spacing w:after="0" w:line="312" w:lineRule="auto"/>
        <w:rPr>
          <w:szCs w:val="20"/>
        </w:rPr>
      </w:pPr>
      <w:r w:rsidRPr="00E00B35">
        <w:rPr>
          <w:szCs w:val="20"/>
        </w:rPr>
        <w:t xml:space="preserve">Pomimo trudnych warunków spowodowanych pandemią koronawirusa  od miesiąca  lipca kontynuowano badania składu </w:t>
      </w:r>
      <w:r w:rsidRPr="00E00B35">
        <w:rPr>
          <w:bCs/>
          <w:szCs w:val="20"/>
        </w:rPr>
        <w:t>gatunkowego fauny komarów występujących na terenie  Wrocławia z uwzględnieniem występowania gatunków inwazyjnych. Miarodajność podjętych badań ma znaczenie, jeśli są one prowadzone systematycznie na przestrzeni kilku lat</w:t>
      </w:r>
      <w:r w:rsidRPr="00E00B35">
        <w:rPr>
          <w:szCs w:val="20"/>
        </w:rPr>
        <w:t>. Takie działania pozwalają na określenie składu fauny pod względem ilości i jakości względem różnych warunków występujących w czasie badań. Znajomość składu gatunkowego jest jednym z podstawowych elementów skutecznie działającego programu zintegrowanych metod, w szczególności ze względu na zdolności migracyjne tych owadów. Działania polegały na odłowie larw komarów i osobników dorosłych przy wykorzystaniu odpowiednich urządzeń.</w:t>
      </w:r>
    </w:p>
    <w:p w:rsidR="007A4D59" w:rsidRPr="00E00B35" w:rsidRDefault="007A4D59" w:rsidP="00E00B35">
      <w:pPr>
        <w:pStyle w:val="Tekstpodstawowy"/>
        <w:spacing w:after="0" w:line="312" w:lineRule="auto"/>
        <w:rPr>
          <w:szCs w:val="20"/>
        </w:rPr>
      </w:pPr>
    </w:p>
    <w:p w:rsidR="007A4D59" w:rsidRPr="00E00B35" w:rsidRDefault="007A4D59" w:rsidP="00E00B35">
      <w:pPr>
        <w:pStyle w:val="Tekstpodstawowy"/>
        <w:spacing w:after="0" w:line="312" w:lineRule="auto"/>
        <w:rPr>
          <w:noProof/>
          <w:szCs w:val="20"/>
        </w:rPr>
      </w:pPr>
      <w:r w:rsidRPr="00E00B35">
        <w:rPr>
          <w:noProof/>
          <w:szCs w:val="20"/>
          <w:lang w:val="pl-PL" w:eastAsia="pl-PL" w:bidi="ar-SA"/>
        </w:rPr>
        <w:drawing>
          <wp:inline distT="0" distB="0" distL="0" distR="0">
            <wp:extent cx="1948815" cy="2599055"/>
            <wp:effectExtent l="19050" t="0" r="0" b="0"/>
            <wp:docPr id="146" name="Obraz 16" descr="odłów komar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odłów komarów"/>
                    <pic:cNvPicPr>
                      <a:picLocks noChangeAspect="1" noChangeArrowheads="1"/>
                    </pic:cNvPicPr>
                  </pic:nvPicPr>
                  <pic:blipFill>
                    <a:blip r:embed="rId162" cstate="print"/>
                    <a:srcRect/>
                    <a:stretch>
                      <a:fillRect/>
                    </a:stretch>
                  </pic:blipFill>
                  <pic:spPr bwMode="auto">
                    <a:xfrm>
                      <a:off x="0" y="0"/>
                      <a:ext cx="1948815" cy="2599055"/>
                    </a:xfrm>
                    <a:prstGeom prst="rect">
                      <a:avLst/>
                    </a:prstGeom>
                    <a:noFill/>
                    <a:ln w="9525">
                      <a:noFill/>
                      <a:miter lim="800000"/>
                      <a:headEnd/>
                      <a:tailEnd/>
                    </a:ln>
                  </pic:spPr>
                </pic:pic>
              </a:graphicData>
            </a:graphic>
          </wp:inline>
        </w:drawing>
      </w:r>
    </w:p>
    <w:p w:rsidR="007A4D59" w:rsidRPr="00E00B35" w:rsidRDefault="007A4D59" w:rsidP="00E00B35">
      <w:pPr>
        <w:pStyle w:val="Tekstpodstawowy"/>
        <w:spacing w:after="0" w:line="312" w:lineRule="auto"/>
        <w:rPr>
          <w:noProof/>
          <w:szCs w:val="20"/>
        </w:rPr>
      </w:pPr>
      <w:r w:rsidRPr="00E00B35">
        <w:rPr>
          <w:noProof/>
          <w:szCs w:val="20"/>
        </w:rPr>
        <w:t>Pułapka CDC – odłów osobików dorosłych</w:t>
      </w:r>
    </w:p>
    <w:p w:rsidR="007A4D59" w:rsidRPr="00E00B35" w:rsidRDefault="007A4D59" w:rsidP="00E00B35">
      <w:pPr>
        <w:pStyle w:val="Tekstpodstawowy"/>
        <w:spacing w:after="0" w:line="312" w:lineRule="auto"/>
        <w:rPr>
          <w:noProof/>
          <w:szCs w:val="20"/>
        </w:rPr>
      </w:pPr>
    </w:p>
    <w:p w:rsidR="007A4D59" w:rsidRPr="00E00B35" w:rsidRDefault="007A4D59" w:rsidP="00E00B35">
      <w:pPr>
        <w:pStyle w:val="Tekstpodstawowy"/>
        <w:spacing w:after="0" w:line="312" w:lineRule="auto"/>
        <w:rPr>
          <w:noProof/>
          <w:szCs w:val="20"/>
        </w:rPr>
      </w:pPr>
      <w:r w:rsidRPr="00E00B35">
        <w:rPr>
          <w:noProof/>
          <w:szCs w:val="20"/>
        </w:rPr>
        <w:t xml:space="preserve"> </w:t>
      </w:r>
      <w:r w:rsidRPr="00E00B35">
        <w:rPr>
          <w:noProof/>
          <w:szCs w:val="20"/>
          <w:lang w:val="pl-PL" w:eastAsia="pl-PL" w:bidi="ar-SA"/>
        </w:rPr>
        <w:drawing>
          <wp:inline distT="0" distB="0" distL="0" distR="0">
            <wp:extent cx="1925320" cy="2550795"/>
            <wp:effectExtent l="19050" t="0" r="0" b="0"/>
            <wp:docPr id="145" name="Obraz 17" descr="odłów larw komar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descr="odłów larw komarów"/>
                    <pic:cNvPicPr>
                      <a:picLocks noChangeAspect="1" noChangeArrowheads="1"/>
                    </pic:cNvPicPr>
                  </pic:nvPicPr>
                  <pic:blipFill>
                    <a:blip r:embed="rId163" cstate="print"/>
                    <a:srcRect/>
                    <a:stretch>
                      <a:fillRect/>
                    </a:stretch>
                  </pic:blipFill>
                  <pic:spPr bwMode="auto">
                    <a:xfrm>
                      <a:off x="0" y="0"/>
                      <a:ext cx="1925320" cy="2550795"/>
                    </a:xfrm>
                    <a:prstGeom prst="rect">
                      <a:avLst/>
                    </a:prstGeom>
                    <a:noFill/>
                    <a:ln w="9525">
                      <a:noFill/>
                      <a:miter lim="800000"/>
                      <a:headEnd/>
                      <a:tailEnd/>
                    </a:ln>
                  </pic:spPr>
                </pic:pic>
              </a:graphicData>
            </a:graphic>
          </wp:inline>
        </w:drawing>
      </w:r>
    </w:p>
    <w:p w:rsidR="007A4D59" w:rsidRPr="00E00B35" w:rsidRDefault="007A4D59" w:rsidP="00E00B35">
      <w:pPr>
        <w:pStyle w:val="Tekstpodstawowy"/>
        <w:spacing w:after="0" w:line="312" w:lineRule="auto"/>
        <w:rPr>
          <w:noProof/>
          <w:szCs w:val="20"/>
        </w:rPr>
      </w:pPr>
      <w:r w:rsidRPr="00E00B35">
        <w:rPr>
          <w:noProof/>
          <w:szCs w:val="20"/>
        </w:rPr>
        <w:t>Pułapka „ovitraps” odłów larw Fot.M.Kaliwoda</w:t>
      </w:r>
    </w:p>
    <w:p w:rsidR="007A4D59" w:rsidRPr="00E00B35" w:rsidRDefault="007A4D59" w:rsidP="00E00B35">
      <w:pPr>
        <w:pStyle w:val="Tekstpodstawowy"/>
        <w:spacing w:after="0" w:line="312" w:lineRule="auto"/>
        <w:rPr>
          <w:szCs w:val="20"/>
        </w:rPr>
      </w:pPr>
      <w:r w:rsidRPr="00E00B35">
        <w:rPr>
          <w:noProof/>
          <w:szCs w:val="20"/>
        </w:rPr>
        <w:t xml:space="preserve"> </w:t>
      </w:r>
    </w:p>
    <w:p w:rsidR="007A4D59" w:rsidRPr="00E00B35" w:rsidRDefault="007A4D59" w:rsidP="00E00B35">
      <w:pPr>
        <w:pStyle w:val="Tekstpodstawowy"/>
        <w:spacing w:after="0" w:line="312" w:lineRule="auto"/>
        <w:rPr>
          <w:szCs w:val="20"/>
        </w:rPr>
      </w:pPr>
      <w:r w:rsidRPr="00E00B35">
        <w:rPr>
          <w:szCs w:val="20"/>
        </w:rPr>
        <w:t>Mimo krótszego okresu prowadzenia działań odłowiono ogółem 23 848 okazów komarów. Wielkość pozyskanej próby świadczy o trudnej sytuacji jaka panowała w sezonie pod względem rozwoju komarów. Część pozyskanego materiału w celu potwierdzenia gatunków została przesłana do badań do jednej z niemieckich jednostek naukowych.</w:t>
      </w:r>
    </w:p>
    <w:p w:rsidR="007A4D59" w:rsidRPr="00E00B35" w:rsidRDefault="007A4D59" w:rsidP="00E00B35">
      <w:pPr>
        <w:pStyle w:val="Tekstpodstawowy"/>
        <w:spacing w:after="0" w:line="312" w:lineRule="auto"/>
        <w:rPr>
          <w:szCs w:val="20"/>
        </w:rPr>
      </w:pPr>
      <w:r w:rsidRPr="00E00B35">
        <w:rPr>
          <w:szCs w:val="20"/>
        </w:rPr>
        <w:t xml:space="preserve">Porównanie liczby odłowionych osobników dorosłych w latach 2015 - 2020 jednoznacznie wskazuje na znaczny udział pól wodonośnych w kształtowaniu uciążliwości komarów dla południowo-wschodniej części Wrocławia. Na tym terenie stwierdzono najwyższą różnorodność. Sytuacja jest analogiczna do terenu Pól Irygowanych, które w latach działalności zgodnie z przeznaczeniem, stanowiły obszar znaczący pod względem rozwoju komarów i tym samym uciążliwości dla zachodniej części miasta. </w:t>
      </w:r>
    </w:p>
    <w:p w:rsidR="007A4D59" w:rsidRPr="00E00B35" w:rsidRDefault="007A4D59" w:rsidP="00E00B35">
      <w:pPr>
        <w:pStyle w:val="Tekstpodstawowy"/>
        <w:spacing w:after="0" w:line="312" w:lineRule="auto"/>
        <w:rPr>
          <w:szCs w:val="20"/>
        </w:rPr>
      </w:pPr>
      <w:r w:rsidRPr="00E00B35">
        <w:rPr>
          <w:szCs w:val="20"/>
        </w:rPr>
        <w:t xml:space="preserve">Zarówno liczebność jak i różnorodność gatunków występujących na tym terenie sugeruje konieczność realizacji szczegółowych badań terenowych w tym rejonie, szczególnie w kontekście określenia miejsc rozwojowych, a tym samym przyczyn zwiększonej uciążliwości komarów we wschodniej części miasta. Z racji, że jest to miejsce poboru wody dla całego miasta, nie można tam prowadzić jakichkolwiek działań związanych z wykonywaniem zabiegów przeciw ograniczaniu populacji komarów. </w:t>
      </w:r>
    </w:p>
    <w:p w:rsidR="007A4D59" w:rsidRPr="00E00B35" w:rsidRDefault="007A4D59" w:rsidP="00E00B35">
      <w:pPr>
        <w:pStyle w:val="Tekstpodstawowy"/>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Zarybianie</w:t>
      </w:r>
    </w:p>
    <w:p w:rsidR="007A4D59" w:rsidRPr="00E00B35" w:rsidRDefault="007A4D59" w:rsidP="00E00B35">
      <w:pPr>
        <w:spacing w:after="0" w:line="312" w:lineRule="auto"/>
        <w:rPr>
          <w:szCs w:val="20"/>
        </w:rPr>
      </w:pPr>
      <w:r w:rsidRPr="00E00B35">
        <w:rPr>
          <w:szCs w:val="20"/>
        </w:rPr>
        <w:t xml:space="preserve">Biologiczna walka z komarami w 2020 roku jak i w latach ubiegłych miała podobny charakter, natomiast zmienne były ilości wpuszczanych ryb. Zarybiono </w:t>
      </w:r>
      <w:r w:rsidRPr="00E00B35">
        <w:rPr>
          <w:bCs/>
          <w:szCs w:val="20"/>
        </w:rPr>
        <w:t xml:space="preserve">50 </w:t>
      </w:r>
      <w:r w:rsidRPr="00E00B35">
        <w:rPr>
          <w:szCs w:val="20"/>
        </w:rPr>
        <w:t xml:space="preserve">zbiorników wodnych narybkiem zjadającym larwy komarów. Wpuszczono do akwenów na terenie Wrocławia w sezonie wiosna-jesień; </w:t>
      </w:r>
      <w:r w:rsidRPr="00E00B35">
        <w:rPr>
          <w:bCs/>
          <w:szCs w:val="20"/>
        </w:rPr>
        <w:t xml:space="preserve">9,0 </w:t>
      </w:r>
      <w:r w:rsidRPr="00E00B35">
        <w:rPr>
          <w:szCs w:val="20"/>
        </w:rPr>
        <w:t xml:space="preserve">kg lina,  </w:t>
      </w:r>
      <w:r w:rsidRPr="00E00B35">
        <w:rPr>
          <w:bCs/>
          <w:szCs w:val="20"/>
        </w:rPr>
        <w:t xml:space="preserve">3 351 </w:t>
      </w:r>
      <w:r w:rsidRPr="00E00B35">
        <w:rPr>
          <w:szCs w:val="20"/>
        </w:rPr>
        <w:t xml:space="preserve">sztuki   jazia( narybek jesienny),  2 000 szt. karpia koi ( narybek letni), 600 szt. </w:t>
      </w:r>
      <w:r w:rsidRPr="00E00B35">
        <w:rPr>
          <w:bCs/>
          <w:szCs w:val="20"/>
        </w:rPr>
        <w:t xml:space="preserve">karpia koi (narybek jesienny), </w:t>
      </w:r>
      <w:r w:rsidRPr="00E00B35">
        <w:rPr>
          <w:szCs w:val="20"/>
        </w:rPr>
        <w:t>19 kg płoci oraz 17 kg karasia pospolitego.</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Gatunkowe oraz ilościowe zestawienie  w latach 2016-2019 obrazuje poniższa tabela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1"/>
        <w:gridCol w:w="1159"/>
        <w:gridCol w:w="1276"/>
        <w:gridCol w:w="992"/>
        <w:gridCol w:w="1276"/>
        <w:gridCol w:w="852"/>
        <w:gridCol w:w="1276"/>
        <w:gridCol w:w="992"/>
      </w:tblGrid>
      <w:tr w:rsidR="007A4D59" w:rsidRPr="00E00B35" w:rsidTr="006D3493">
        <w:tc>
          <w:tcPr>
            <w:tcW w:w="2410" w:type="dxa"/>
            <w:gridSpan w:val="2"/>
          </w:tcPr>
          <w:p w:rsidR="007A4D59" w:rsidRPr="00E00B35" w:rsidRDefault="007A4D59" w:rsidP="00E00B35">
            <w:pPr>
              <w:spacing w:after="0" w:line="312" w:lineRule="auto"/>
              <w:rPr>
                <w:bCs/>
                <w:szCs w:val="20"/>
              </w:rPr>
            </w:pPr>
          </w:p>
          <w:p w:rsidR="007A4D59" w:rsidRPr="00E00B35" w:rsidRDefault="007A4D59" w:rsidP="00E00B35">
            <w:pPr>
              <w:spacing w:after="0" w:line="312" w:lineRule="auto"/>
              <w:rPr>
                <w:bCs/>
                <w:szCs w:val="20"/>
              </w:rPr>
            </w:pPr>
            <w:r w:rsidRPr="00E00B35">
              <w:rPr>
                <w:bCs/>
                <w:szCs w:val="20"/>
              </w:rPr>
              <w:lastRenderedPageBreak/>
              <w:t>2019 r.</w:t>
            </w:r>
          </w:p>
          <w:p w:rsidR="007A4D59" w:rsidRPr="00E00B35" w:rsidRDefault="007A4D59" w:rsidP="00E00B35">
            <w:pPr>
              <w:spacing w:after="0" w:line="312" w:lineRule="auto"/>
              <w:rPr>
                <w:bCs/>
                <w:szCs w:val="20"/>
              </w:rPr>
            </w:pPr>
          </w:p>
        </w:tc>
        <w:tc>
          <w:tcPr>
            <w:tcW w:w="2268" w:type="dxa"/>
            <w:gridSpan w:val="2"/>
            <w:vAlign w:val="center"/>
          </w:tcPr>
          <w:p w:rsidR="007A4D59" w:rsidRPr="00E00B35" w:rsidRDefault="007A4D59" w:rsidP="00E00B35">
            <w:pPr>
              <w:spacing w:after="0" w:line="312" w:lineRule="auto"/>
              <w:rPr>
                <w:bCs/>
                <w:szCs w:val="20"/>
              </w:rPr>
            </w:pPr>
          </w:p>
          <w:p w:rsidR="007A4D59" w:rsidRPr="00E00B35" w:rsidRDefault="007A4D59" w:rsidP="00E00B35">
            <w:pPr>
              <w:spacing w:after="0" w:line="312" w:lineRule="auto"/>
              <w:rPr>
                <w:bCs/>
                <w:szCs w:val="20"/>
              </w:rPr>
            </w:pPr>
            <w:r w:rsidRPr="00E00B35">
              <w:rPr>
                <w:bCs/>
                <w:szCs w:val="20"/>
              </w:rPr>
              <w:lastRenderedPageBreak/>
              <w:t>2018 r.</w:t>
            </w:r>
          </w:p>
          <w:p w:rsidR="007A4D59" w:rsidRPr="00E00B35" w:rsidRDefault="007A4D59" w:rsidP="00E00B35">
            <w:pPr>
              <w:spacing w:after="0" w:line="312" w:lineRule="auto"/>
              <w:rPr>
                <w:bCs/>
                <w:szCs w:val="20"/>
              </w:rPr>
            </w:pPr>
          </w:p>
        </w:tc>
        <w:tc>
          <w:tcPr>
            <w:tcW w:w="2126" w:type="dxa"/>
            <w:gridSpan w:val="2"/>
            <w:vAlign w:val="center"/>
          </w:tcPr>
          <w:p w:rsidR="007A4D59" w:rsidRPr="00E00B35" w:rsidRDefault="007A4D59" w:rsidP="00E00B35">
            <w:pPr>
              <w:spacing w:after="0" w:line="312" w:lineRule="auto"/>
              <w:rPr>
                <w:bCs/>
                <w:szCs w:val="20"/>
              </w:rPr>
            </w:pPr>
          </w:p>
          <w:p w:rsidR="007A4D59" w:rsidRPr="00E00B35" w:rsidRDefault="007A4D59" w:rsidP="00E00B35">
            <w:pPr>
              <w:spacing w:after="0" w:line="312" w:lineRule="auto"/>
              <w:rPr>
                <w:bCs/>
                <w:szCs w:val="20"/>
              </w:rPr>
            </w:pPr>
            <w:r w:rsidRPr="00E00B35">
              <w:rPr>
                <w:bCs/>
                <w:szCs w:val="20"/>
              </w:rPr>
              <w:lastRenderedPageBreak/>
              <w:t>2017 r.</w:t>
            </w:r>
          </w:p>
          <w:p w:rsidR="007A4D59" w:rsidRPr="00E00B35" w:rsidRDefault="007A4D59" w:rsidP="00E00B35">
            <w:pPr>
              <w:spacing w:after="0" w:line="312" w:lineRule="auto"/>
              <w:rPr>
                <w:bCs/>
                <w:szCs w:val="20"/>
              </w:rPr>
            </w:pPr>
          </w:p>
        </w:tc>
        <w:tc>
          <w:tcPr>
            <w:tcW w:w="2268" w:type="dxa"/>
            <w:gridSpan w:val="2"/>
            <w:vAlign w:val="center"/>
          </w:tcPr>
          <w:p w:rsidR="007A4D59" w:rsidRPr="00E00B35" w:rsidRDefault="007A4D59" w:rsidP="00E00B35">
            <w:pPr>
              <w:spacing w:after="0" w:line="312" w:lineRule="auto"/>
              <w:rPr>
                <w:bCs/>
                <w:szCs w:val="20"/>
              </w:rPr>
            </w:pPr>
          </w:p>
          <w:p w:rsidR="007A4D59" w:rsidRPr="00E00B35" w:rsidRDefault="007A4D59" w:rsidP="00E00B35">
            <w:pPr>
              <w:spacing w:after="0" w:line="312" w:lineRule="auto"/>
              <w:rPr>
                <w:bCs/>
                <w:szCs w:val="20"/>
              </w:rPr>
            </w:pPr>
            <w:r w:rsidRPr="00E00B35">
              <w:rPr>
                <w:bCs/>
                <w:szCs w:val="20"/>
              </w:rPr>
              <w:lastRenderedPageBreak/>
              <w:t>2016 r.</w:t>
            </w:r>
          </w:p>
          <w:p w:rsidR="007A4D59" w:rsidRPr="00E00B35" w:rsidRDefault="007A4D59" w:rsidP="00E00B35">
            <w:pPr>
              <w:spacing w:after="0" w:line="312" w:lineRule="auto"/>
              <w:rPr>
                <w:bCs/>
                <w:szCs w:val="20"/>
              </w:rPr>
            </w:pPr>
          </w:p>
        </w:tc>
      </w:tr>
      <w:tr w:rsidR="007A4D59" w:rsidRPr="00E00B35" w:rsidTr="006D3493">
        <w:tc>
          <w:tcPr>
            <w:tcW w:w="1251" w:type="dxa"/>
          </w:tcPr>
          <w:p w:rsidR="007A4D59" w:rsidRPr="00E00B35" w:rsidRDefault="007A4D59" w:rsidP="00E00B35">
            <w:pPr>
              <w:spacing w:after="0" w:line="312" w:lineRule="auto"/>
              <w:rPr>
                <w:bCs/>
                <w:szCs w:val="20"/>
              </w:rPr>
            </w:pPr>
            <w:r w:rsidRPr="00E00B35">
              <w:rPr>
                <w:bCs/>
                <w:szCs w:val="20"/>
              </w:rPr>
              <w:lastRenderedPageBreak/>
              <w:t>Gatunek ryb</w:t>
            </w:r>
          </w:p>
        </w:tc>
        <w:tc>
          <w:tcPr>
            <w:tcW w:w="1159" w:type="dxa"/>
          </w:tcPr>
          <w:p w:rsidR="007A4D59" w:rsidRPr="00E00B35" w:rsidRDefault="007A4D59" w:rsidP="00E00B35">
            <w:pPr>
              <w:spacing w:after="0" w:line="312" w:lineRule="auto"/>
              <w:rPr>
                <w:bCs/>
                <w:szCs w:val="20"/>
              </w:rPr>
            </w:pPr>
            <w:r w:rsidRPr="00E00B35">
              <w:rPr>
                <w:bCs/>
                <w:szCs w:val="20"/>
              </w:rPr>
              <w:t>Ilość</w:t>
            </w:r>
          </w:p>
        </w:tc>
        <w:tc>
          <w:tcPr>
            <w:tcW w:w="1276" w:type="dxa"/>
          </w:tcPr>
          <w:p w:rsidR="007A4D59" w:rsidRPr="00E00B35" w:rsidRDefault="007A4D59" w:rsidP="00E00B35">
            <w:pPr>
              <w:spacing w:after="0" w:line="312" w:lineRule="auto"/>
              <w:rPr>
                <w:bCs/>
                <w:szCs w:val="20"/>
              </w:rPr>
            </w:pPr>
            <w:r w:rsidRPr="00E00B35">
              <w:rPr>
                <w:bCs/>
                <w:szCs w:val="20"/>
              </w:rPr>
              <w:t>Gatunek ryb</w:t>
            </w:r>
          </w:p>
        </w:tc>
        <w:tc>
          <w:tcPr>
            <w:tcW w:w="992" w:type="dxa"/>
          </w:tcPr>
          <w:p w:rsidR="007A4D59" w:rsidRPr="00E00B35" w:rsidRDefault="007A4D59" w:rsidP="00E00B35">
            <w:pPr>
              <w:spacing w:after="0" w:line="312" w:lineRule="auto"/>
              <w:rPr>
                <w:bCs/>
                <w:szCs w:val="20"/>
              </w:rPr>
            </w:pPr>
            <w:r w:rsidRPr="00E00B35">
              <w:rPr>
                <w:bCs/>
                <w:szCs w:val="20"/>
              </w:rPr>
              <w:t>Ilość</w:t>
            </w:r>
          </w:p>
        </w:tc>
        <w:tc>
          <w:tcPr>
            <w:tcW w:w="1276" w:type="dxa"/>
          </w:tcPr>
          <w:p w:rsidR="007A4D59" w:rsidRPr="00E00B35" w:rsidRDefault="007A4D59" w:rsidP="00E00B35">
            <w:pPr>
              <w:spacing w:after="0" w:line="312" w:lineRule="auto"/>
              <w:rPr>
                <w:bCs/>
                <w:szCs w:val="20"/>
              </w:rPr>
            </w:pPr>
            <w:r w:rsidRPr="00E00B35">
              <w:rPr>
                <w:bCs/>
                <w:szCs w:val="20"/>
              </w:rPr>
              <w:t>Gatunek ryb</w:t>
            </w:r>
          </w:p>
        </w:tc>
        <w:tc>
          <w:tcPr>
            <w:tcW w:w="850" w:type="dxa"/>
          </w:tcPr>
          <w:p w:rsidR="007A4D59" w:rsidRPr="00E00B35" w:rsidRDefault="007A4D59" w:rsidP="00E00B35">
            <w:pPr>
              <w:spacing w:after="0" w:line="312" w:lineRule="auto"/>
              <w:rPr>
                <w:bCs/>
                <w:szCs w:val="20"/>
              </w:rPr>
            </w:pPr>
            <w:r w:rsidRPr="00E00B35">
              <w:rPr>
                <w:bCs/>
                <w:szCs w:val="20"/>
              </w:rPr>
              <w:t>Ilość</w:t>
            </w:r>
          </w:p>
        </w:tc>
        <w:tc>
          <w:tcPr>
            <w:tcW w:w="1276" w:type="dxa"/>
          </w:tcPr>
          <w:p w:rsidR="007A4D59" w:rsidRPr="00E00B35" w:rsidRDefault="007A4D59" w:rsidP="00E00B35">
            <w:pPr>
              <w:spacing w:after="0" w:line="312" w:lineRule="auto"/>
              <w:rPr>
                <w:bCs/>
                <w:szCs w:val="20"/>
              </w:rPr>
            </w:pPr>
            <w:r w:rsidRPr="00E00B35">
              <w:rPr>
                <w:bCs/>
                <w:szCs w:val="20"/>
              </w:rPr>
              <w:t>Gatunek ryb</w:t>
            </w:r>
          </w:p>
        </w:tc>
        <w:tc>
          <w:tcPr>
            <w:tcW w:w="992" w:type="dxa"/>
          </w:tcPr>
          <w:p w:rsidR="007A4D59" w:rsidRPr="00E00B35" w:rsidRDefault="007A4D59" w:rsidP="00E00B35">
            <w:pPr>
              <w:spacing w:after="0" w:line="312" w:lineRule="auto"/>
              <w:rPr>
                <w:bCs/>
                <w:szCs w:val="20"/>
              </w:rPr>
            </w:pPr>
            <w:r w:rsidRPr="00E00B35">
              <w:rPr>
                <w:bCs/>
                <w:szCs w:val="20"/>
              </w:rPr>
              <w:t>Ilość</w:t>
            </w:r>
          </w:p>
        </w:tc>
      </w:tr>
      <w:tr w:rsidR="007A4D59" w:rsidRPr="00E00B35" w:rsidTr="006D3493">
        <w:tc>
          <w:tcPr>
            <w:tcW w:w="1251" w:type="dxa"/>
          </w:tcPr>
          <w:p w:rsidR="007A4D59" w:rsidRPr="00E00B35" w:rsidRDefault="007A4D59" w:rsidP="00E00B35">
            <w:pPr>
              <w:spacing w:after="0" w:line="312" w:lineRule="auto"/>
              <w:rPr>
                <w:bCs/>
                <w:szCs w:val="20"/>
              </w:rPr>
            </w:pPr>
            <w:r w:rsidRPr="00E00B35">
              <w:rPr>
                <w:bCs/>
                <w:szCs w:val="20"/>
              </w:rPr>
              <w:t>lin</w:t>
            </w:r>
          </w:p>
        </w:tc>
        <w:tc>
          <w:tcPr>
            <w:tcW w:w="1159" w:type="dxa"/>
          </w:tcPr>
          <w:p w:rsidR="007A4D59" w:rsidRPr="00E00B35" w:rsidRDefault="007A4D59" w:rsidP="00E00B35">
            <w:pPr>
              <w:spacing w:after="0" w:line="312" w:lineRule="auto"/>
              <w:rPr>
                <w:bCs/>
                <w:szCs w:val="20"/>
              </w:rPr>
            </w:pPr>
            <w:r w:rsidRPr="00E00B35">
              <w:rPr>
                <w:bCs/>
                <w:szCs w:val="20"/>
              </w:rPr>
              <w:t>4.7 kg</w:t>
            </w:r>
          </w:p>
        </w:tc>
        <w:tc>
          <w:tcPr>
            <w:tcW w:w="1276" w:type="dxa"/>
          </w:tcPr>
          <w:p w:rsidR="007A4D59" w:rsidRPr="00E00B35" w:rsidRDefault="007A4D59" w:rsidP="00E00B35">
            <w:pPr>
              <w:spacing w:after="0" w:line="312" w:lineRule="auto"/>
              <w:rPr>
                <w:bCs/>
                <w:szCs w:val="20"/>
              </w:rPr>
            </w:pPr>
            <w:r w:rsidRPr="00E00B35">
              <w:rPr>
                <w:bCs/>
                <w:szCs w:val="20"/>
              </w:rPr>
              <w:t>płoć</w:t>
            </w:r>
          </w:p>
        </w:tc>
        <w:tc>
          <w:tcPr>
            <w:tcW w:w="992" w:type="dxa"/>
          </w:tcPr>
          <w:p w:rsidR="007A4D59" w:rsidRPr="00E00B35" w:rsidRDefault="007A4D59" w:rsidP="00E00B35">
            <w:pPr>
              <w:spacing w:after="0" w:line="312" w:lineRule="auto"/>
              <w:rPr>
                <w:bCs/>
                <w:szCs w:val="20"/>
              </w:rPr>
            </w:pPr>
            <w:r w:rsidRPr="00E00B35">
              <w:rPr>
                <w:bCs/>
                <w:szCs w:val="20"/>
              </w:rPr>
              <w:t>10 kg</w:t>
            </w:r>
          </w:p>
        </w:tc>
        <w:tc>
          <w:tcPr>
            <w:tcW w:w="1276" w:type="dxa"/>
          </w:tcPr>
          <w:p w:rsidR="007A4D59" w:rsidRPr="00E00B35" w:rsidRDefault="007A4D59" w:rsidP="00E00B35">
            <w:pPr>
              <w:spacing w:after="0" w:line="312" w:lineRule="auto"/>
              <w:rPr>
                <w:bCs/>
                <w:szCs w:val="20"/>
              </w:rPr>
            </w:pPr>
            <w:r w:rsidRPr="00E00B35">
              <w:rPr>
                <w:bCs/>
                <w:szCs w:val="20"/>
              </w:rPr>
              <w:t>lin</w:t>
            </w:r>
          </w:p>
        </w:tc>
        <w:tc>
          <w:tcPr>
            <w:tcW w:w="850" w:type="dxa"/>
          </w:tcPr>
          <w:p w:rsidR="007A4D59" w:rsidRPr="00E00B35" w:rsidRDefault="007A4D59" w:rsidP="00E00B35">
            <w:pPr>
              <w:spacing w:after="0" w:line="312" w:lineRule="auto"/>
              <w:rPr>
                <w:bCs/>
                <w:szCs w:val="20"/>
              </w:rPr>
            </w:pPr>
            <w:r w:rsidRPr="00E00B35">
              <w:rPr>
                <w:bCs/>
                <w:szCs w:val="20"/>
              </w:rPr>
              <w:t>60 kg</w:t>
            </w:r>
          </w:p>
        </w:tc>
        <w:tc>
          <w:tcPr>
            <w:tcW w:w="1276" w:type="dxa"/>
          </w:tcPr>
          <w:p w:rsidR="007A4D59" w:rsidRPr="00E00B35" w:rsidRDefault="007A4D59" w:rsidP="00E00B35">
            <w:pPr>
              <w:spacing w:after="0" w:line="312" w:lineRule="auto"/>
              <w:rPr>
                <w:bCs/>
                <w:szCs w:val="20"/>
              </w:rPr>
            </w:pPr>
            <w:r w:rsidRPr="00E00B35">
              <w:rPr>
                <w:bCs/>
                <w:szCs w:val="20"/>
              </w:rPr>
              <w:t>lin</w:t>
            </w:r>
          </w:p>
        </w:tc>
        <w:tc>
          <w:tcPr>
            <w:tcW w:w="992" w:type="dxa"/>
          </w:tcPr>
          <w:p w:rsidR="007A4D59" w:rsidRPr="00E00B35" w:rsidRDefault="007A4D59" w:rsidP="00E00B35">
            <w:pPr>
              <w:spacing w:after="0" w:line="312" w:lineRule="auto"/>
              <w:rPr>
                <w:bCs/>
                <w:szCs w:val="20"/>
              </w:rPr>
            </w:pPr>
            <w:r w:rsidRPr="00E00B35">
              <w:rPr>
                <w:bCs/>
                <w:szCs w:val="20"/>
              </w:rPr>
              <w:t>20 kg</w:t>
            </w:r>
          </w:p>
        </w:tc>
      </w:tr>
      <w:tr w:rsidR="007A4D59" w:rsidRPr="00E00B35" w:rsidTr="006D3493">
        <w:tc>
          <w:tcPr>
            <w:tcW w:w="1251" w:type="dxa"/>
          </w:tcPr>
          <w:p w:rsidR="007A4D59" w:rsidRPr="00E00B35" w:rsidRDefault="007A4D59" w:rsidP="00E00B35">
            <w:pPr>
              <w:spacing w:after="0" w:line="312" w:lineRule="auto"/>
              <w:rPr>
                <w:bCs/>
                <w:szCs w:val="20"/>
              </w:rPr>
            </w:pPr>
            <w:r w:rsidRPr="00E00B35">
              <w:rPr>
                <w:bCs/>
                <w:szCs w:val="20"/>
              </w:rPr>
              <w:t>jaź</w:t>
            </w:r>
          </w:p>
        </w:tc>
        <w:tc>
          <w:tcPr>
            <w:tcW w:w="1159" w:type="dxa"/>
          </w:tcPr>
          <w:p w:rsidR="007A4D59" w:rsidRPr="00E00B35" w:rsidRDefault="007A4D59" w:rsidP="00E00B35">
            <w:pPr>
              <w:spacing w:after="0" w:line="312" w:lineRule="auto"/>
              <w:rPr>
                <w:bCs/>
                <w:szCs w:val="20"/>
              </w:rPr>
            </w:pPr>
            <w:r w:rsidRPr="00E00B35">
              <w:rPr>
                <w:bCs/>
                <w:szCs w:val="20"/>
              </w:rPr>
              <w:t>892 szt.</w:t>
            </w:r>
          </w:p>
        </w:tc>
        <w:tc>
          <w:tcPr>
            <w:tcW w:w="1276" w:type="dxa"/>
          </w:tcPr>
          <w:p w:rsidR="007A4D59" w:rsidRPr="00E00B35" w:rsidRDefault="007A4D59" w:rsidP="00E00B35">
            <w:pPr>
              <w:spacing w:after="0" w:line="312" w:lineRule="auto"/>
              <w:rPr>
                <w:bCs/>
                <w:szCs w:val="20"/>
              </w:rPr>
            </w:pPr>
            <w:r w:rsidRPr="00E00B35">
              <w:rPr>
                <w:bCs/>
                <w:szCs w:val="20"/>
              </w:rPr>
              <w:t>jaź</w:t>
            </w:r>
          </w:p>
        </w:tc>
        <w:tc>
          <w:tcPr>
            <w:tcW w:w="992" w:type="dxa"/>
          </w:tcPr>
          <w:p w:rsidR="007A4D59" w:rsidRPr="00E00B35" w:rsidRDefault="007A4D59" w:rsidP="00E00B35">
            <w:pPr>
              <w:spacing w:after="0" w:line="312" w:lineRule="auto"/>
              <w:rPr>
                <w:bCs/>
                <w:szCs w:val="20"/>
              </w:rPr>
            </w:pPr>
            <w:r w:rsidRPr="00E00B35">
              <w:rPr>
                <w:bCs/>
                <w:szCs w:val="20"/>
              </w:rPr>
              <w:t>3293 szt.</w:t>
            </w:r>
          </w:p>
        </w:tc>
        <w:tc>
          <w:tcPr>
            <w:tcW w:w="1276" w:type="dxa"/>
          </w:tcPr>
          <w:p w:rsidR="007A4D59" w:rsidRPr="00E00B35" w:rsidRDefault="007A4D59" w:rsidP="00E00B35">
            <w:pPr>
              <w:spacing w:after="0" w:line="312" w:lineRule="auto"/>
              <w:rPr>
                <w:bCs/>
                <w:szCs w:val="20"/>
              </w:rPr>
            </w:pPr>
            <w:r w:rsidRPr="00E00B35">
              <w:rPr>
                <w:bCs/>
                <w:szCs w:val="20"/>
              </w:rPr>
              <w:t>jaź</w:t>
            </w:r>
          </w:p>
        </w:tc>
        <w:tc>
          <w:tcPr>
            <w:tcW w:w="850" w:type="dxa"/>
          </w:tcPr>
          <w:p w:rsidR="007A4D59" w:rsidRPr="00E00B35" w:rsidRDefault="007A4D59" w:rsidP="00E00B35">
            <w:pPr>
              <w:spacing w:after="0" w:line="312" w:lineRule="auto"/>
              <w:rPr>
                <w:bCs/>
                <w:szCs w:val="20"/>
              </w:rPr>
            </w:pPr>
            <w:r w:rsidRPr="00E00B35">
              <w:rPr>
                <w:bCs/>
                <w:szCs w:val="20"/>
              </w:rPr>
              <w:t>15854 szt.</w:t>
            </w:r>
          </w:p>
        </w:tc>
        <w:tc>
          <w:tcPr>
            <w:tcW w:w="1276" w:type="dxa"/>
          </w:tcPr>
          <w:p w:rsidR="007A4D59" w:rsidRPr="00E00B35" w:rsidRDefault="007A4D59" w:rsidP="00E00B35">
            <w:pPr>
              <w:spacing w:after="0" w:line="312" w:lineRule="auto"/>
              <w:rPr>
                <w:bCs/>
                <w:szCs w:val="20"/>
              </w:rPr>
            </w:pPr>
            <w:r w:rsidRPr="00E00B35">
              <w:rPr>
                <w:bCs/>
                <w:szCs w:val="20"/>
              </w:rPr>
              <w:t>jaź</w:t>
            </w:r>
          </w:p>
        </w:tc>
        <w:tc>
          <w:tcPr>
            <w:tcW w:w="992" w:type="dxa"/>
          </w:tcPr>
          <w:p w:rsidR="007A4D59" w:rsidRPr="00E00B35" w:rsidRDefault="007A4D59" w:rsidP="00E00B35">
            <w:pPr>
              <w:spacing w:after="0" w:line="312" w:lineRule="auto"/>
              <w:rPr>
                <w:bCs/>
                <w:szCs w:val="20"/>
              </w:rPr>
            </w:pPr>
            <w:r w:rsidRPr="00E00B35">
              <w:rPr>
                <w:bCs/>
                <w:szCs w:val="20"/>
              </w:rPr>
              <w:t>964 szt.</w:t>
            </w:r>
          </w:p>
        </w:tc>
      </w:tr>
      <w:tr w:rsidR="007A4D59" w:rsidRPr="00E00B35" w:rsidTr="006D3493">
        <w:tc>
          <w:tcPr>
            <w:tcW w:w="1251" w:type="dxa"/>
          </w:tcPr>
          <w:p w:rsidR="007A4D59" w:rsidRPr="00E00B35" w:rsidRDefault="007A4D59" w:rsidP="00E00B35">
            <w:pPr>
              <w:spacing w:after="0" w:line="312" w:lineRule="auto"/>
              <w:rPr>
                <w:bCs/>
                <w:szCs w:val="20"/>
              </w:rPr>
            </w:pPr>
            <w:r w:rsidRPr="00E00B35">
              <w:rPr>
                <w:bCs/>
                <w:szCs w:val="20"/>
              </w:rPr>
              <w:t>karp koi</w:t>
            </w:r>
          </w:p>
        </w:tc>
        <w:tc>
          <w:tcPr>
            <w:tcW w:w="1159" w:type="dxa"/>
          </w:tcPr>
          <w:p w:rsidR="007A4D59" w:rsidRPr="00E00B35" w:rsidRDefault="007A4D59" w:rsidP="00E00B35">
            <w:pPr>
              <w:spacing w:after="0" w:line="312" w:lineRule="auto"/>
              <w:rPr>
                <w:bCs/>
                <w:szCs w:val="20"/>
              </w:rPr>
            </w:pPr>
            <w:r w:rsidRPr="00E00B35">
              <w:rPr>
                <w:bCs/>
                <w:szCs w:val="20"/>
              </w:rPr>
              <w:t>2000 szt.</w:t>
            </w:r>
          </w:p>
        </w:tc>
        <w:tc>
          <w:tcPr>
            <w:tcW w:w="1276" w:type="dxa"/>
          </w:tcPr>
          <w:p w:rsidR="007A4D59" w:rsidRPr="00E00B35" w:rsidRDefault="007A4D59" w:rsidP="00E00B35">
            <w:pPr>
              <w:spacing w:after="0" w:line="312" w:lineRule="auto"/>
              <w:rPr>
                <w:bCs/>
                <w:szCs w:val="20"/>
              </w:rPr>
            </w:pPr>
            <w:r w:rsidRPr="00E00B35">
              <w:rPr>
                <w:bCs/>
                <w:szCs w:val="20"/>
              </w:rPr>
              <w:t>karp</w:t>
            </w:r>
          </w:p>
        </w:tc>
        <w:tc>
          <w:tcPr>
            <w:tcW w:w="992" w:type="dxa"/>
          </w:tcPr>
          <w:p w:rsidR="007A4D59" w:rsidRPr="00E00B35" w:rsidRDefault="007A4D59" w:rsidP="00E00B35">
            <w:pPr>
              <w:spacing w:after="0" w:line="312" w:lineRule="auto"/>
              <w:rPr>
                <w:bCs/>
                <w:szCs w:val="20"/>
              </w:rPr>
            </w:pPr>
            <w:r w:rsidRPr="00E00B35">
              <w:rPr>
                <w:bCs/>
                <w:szCs w:val="20"/>
              </w:rPr>
              <w:t>76 kg</w:t>
            </w:r>
          </w:p>
        </w:tc>
        <w:tc>
          <w:tcPr>
            <w:tcW w:w="1276" w:type="dxa"/>
          </w:tcPr>
          <w:p w:rsidR="007A4D59" w:rsidRPr="00E00B35" w:rsidRDefault="007A4D59" w:rsidP="00E00B35">
            <w:pPr>
              <w:spacing w:after="0" w:line="312" w:lineRule="auto"/>
              <w:rPr>
                <w:bCs/>
                <w:szCs w:val="20"/>
              </w:rPr>
            </w:pPr>
            <w:r w:rsidRPr="00E00B35">
              <w:rPr>
                <w:bCs/>
                <w:szCs w:val="20"/>
              </w:rPr>
              <w:t>jaź (dwuletni)</w:t>
            </w:r>
          </w:p>
        </w:tc>
        <w:tc>
          <w:tcPr>
            <w:tcW w:w="850" w:type="dxa"/>
          </w:tcPr>
          <w:p w:rsidR="007A4D59" w:rsidRPr="00E00B35" w:rsidRDefault="007A4D59" w:rsidP="00E00B35">
            <w:pPr>
              <w:spacing w:after="0" w:line="312" w:lineRule="auto"/>
              <w:rPr>
                <w:bCs/>
                <w:szCs w:val="20"/>
              </w:rPr>
            </w:pPr>
            <w:r w:rsidRPr="00E00B35">
              <w:rPr>
                <w:bCs/>
                <w:szCs w:val="20"/>
              </w:rPr>
              <w:t>35 kg</w:t>
            </w:r>
          </w:p>
        </w:tc>
        <w:tc>
          <w:tcPr>
            <w:tcW w:w="1276" w:type="dxa"/>
          </w:tcPr>
          <w:p w:rsidR="007A4D59" w:rsidRPr="00E00B35" w:rsidRDefault="007A4D59" w:rsidP="00E00B35">
            <w:pPr>
              <w:spacing w:after="0" w:line="312" w:lineRule="auto"/>
              <w:rPr>
                <w:bCs/>
                <w:szCs w:val="20"/>
              </w:rPr>
            </w:pPr>
            <w:r w:rsidRPr="00E00B35">
              <w:rPr>
                <w:bCs/>
                <w:szCs w:val="20"/>
              </w:rPr>
              <w:t>karp koi</w:t>
            </w:r>
          </w:p>
        </w:tc>
        <w:tc>
          <w:tcPr>
            <w:tcW w:w="992" w:type="dxa"/>
          </w:tcPr>
          <w:p w:rsidR="007A4D59" w:rsidRPr="00E00B35" w:rsidRDefault="007A4D59" w:rsidP="00E00B35">
            <w:pPr>
              <w:spacing w:after="0" w:line="312" w:lineRule="auto"/>
              <w:rPr>
                <w:bCs/>
                <w:szCs w:val="20"/>
              </w:rPr>
            </w:pPr>
            <w:r w:rsidRPr="00E00B35">
              <w:rPr>
                <w:bCs/>
                <w:szCs w:val="20"/>
              </w:rPr>
              <w:t>1400 szt.</w:t>
            </w:r>
          </w:p>
        </w:tc>
      </w:tr>
      <w:tr w:rsidR="007A4D59" w:rsidRPr="00E00B35" w:rsidTr="006D3493">
        <w:tc>
          <w:tcPr>
            <w:tcW w:w="1251" w:type="dxa"/>
          </w:tcPr>
          <w:p w:rsidR="007A4D59" w:rsidRPr="00E00B35" w:rsidRDefault="007A4D59" w:rsidP="00E00B35">
            <w:pPr>
              <w:spacing w:after="0" w:line="312" w:lineRule="auto"/>
              <w:rPr>
                <w:bCs/>
                <w:szCs w:val="20"/>
              </w:rPr>
            </w:pPr>
            <w:r w:rsidRPr="00E00B35">
              <w:rPr>
                <w:bCs/>
                <w:szCs w:val="20"/>
              </w:rPr>
              <w:t>karp</w:t>
            </w:r>
          </w:p>
        </w:tc>
        <w:tc>
          <w:tcPr>
            <w:tcW w:w="1159" w:type="dxa"/>
          </w:tcPr>
          <w:p w:rsidR="007A4D59" w:rsidRPr="00E00B35" w:rsidRDefault="007A4D59" w:rsidP="00E00B35">
            <w:pPr>
              <w:spacing w:after="0" w:line="312" w:lineRule="auto"/>
              <w:rPr>
                <w:bCs/>
                <w:szCs w:val="20"/>
              </w:rPr>
            </w:pPr>
            <w:r w:rsidRPr="00E00B35">
              <w:rPr>
                <w:bCs/>
                <w:szCs w:val="20"/>
              </w:rPr>
              <w:t>60 kg</w:t>
            </w:r>
          </w:p>
        </w:tc>
        <w:tc>
          <w:tcPr>
            <w:tcW w:w="1276" w:type="dxa"/>
          </w:tcPr>
          <w:p w:rsidR="007A4D59" w:rsidRPr="00E00B35" w:rsidRDefault="007A4D59" w:rsidP="00E00B35">
            <w:pPr>
              <w:spacing w:after="0" w:line="312" w:lineRule="auto"/>
              <w:rPr>
                <w:bCs/>
                <w:szCs w:val="20"/>
              </w:rPr>
            </w:pPr>
            <w:r w:rsidRPr="00E00B35">
              <w:rPr>
                <w:bCs/>
                <w:szCs w:val="20"/>
              </w:rPr>
              <w:t>karp koi</w:t>
            </w:r>
          </w:p>
        </w:tc>
        <w:tc>
          <w:tcPr>
            <w:tcW w:w="992" w:type="dxa"/>
          </w:tcPr>
          <w:p w:rsidR="007A4D59" w:rsidRPr="00E00B35" w:rsidRDefault="007A4D59" w:rsidP="00E00B35">
            <w:pPr>
              <w:spacing w:after="0" w:line="312" w:lineRule="auto"/>
              <w:rPr>
                <w:bCs/>
                <w:szCs w:val="20"/>
              </w:rPr>
            </w:pPr>
            <w:r w:rsidRPr="00E00B35">
              <w:rPr>
                <w:bCs/>
                <w:szCs w:val="20"/>
              </w:rPr>
              <w:t>2000 szt.</w:t>
            </w:r>
          </w:p>
        </w:tc>
        <w:tc>
          <w:tcPr>
            <w:tcW w:w="1276" w:type="dxa"/>
          </w:tcPr>
          <w:p w:rsidR="007A4D59" w:rsidRPr="00E00B35" w:rsidRDefault="007A4D59" w:rsidP="00E00B35">
            <w:pPr>
              <w:spacing w:after="0" w:line="312" w:lineRule="auto"/>
              <w:rPr>
                <w:bCs/>
                <w:szCs w:val="20"/>
              </w:rPr>
            </w:pPr>
            <w:r w:rsidRPr="00E00B35">
              <w:rPr>
                <w:bCs/>
                <w:szCs w:val="20"/>
              </w:rPr>
              <w:t>karaś</w:t>
            </w:r>
          </w:p>
        </w:tc>
        <w:tc>
          <w:tcPr>
            <w:tcW w:w="850" w:type="dxa"/>
          </w:tcPr>
          <w:p w:rsidR="007A4D59" w:rsidRPr="00E00B35" w:rsidRDefault="007A4D59" w:rsidP="00E00B35">
            <w:pPr>
              <w:spacing w:after="0" w:line="312" w:lineRule="auto"/>
              <w:rPr>
                <w:bCs/>
                <w:szCs w:val="20"/>
              </w:rPr>
            </w:pPr>
            <w:r w:rsidRPr="00E00B35">
              <w:rPr>
                <w:bCs/>
                <w:szCs w:val="20"/>
              </w:rPr>
              <w:t>350 kg</w:t>
            </w:r>
          </w:p>
        </w:tc>
        <w:tc>
          <w:tcPr>
            <w:tcW w:w="1276" w:type="dxa"/>
          </w:tcPr>
          <w:p w:rsidR="007A4D59" w:rsidRPr="00E00B35" w:rsidRDefault="007A4D59" w:rsidP="00E00B35">
            <w:pPr>
              <w:spacing w:after="0" w:line="312" w:lineRule="auto"/>
              <w:rPr>
                <w:bCs/>
                <w:szCs w:val="20"/>
              </w:rPr>
            </w:pPr>
            <w:r w:rsidRPr="00E00B35">
              <w:rPr>
                <w:bCs/>
                <w:szCs w:val="20"/>
              </w:rPr>
              <w:t>karaś</w:t>
            </w:r>
          </w:p>
        </w:tc>
        <w:tc>
          <w:tcPr>
            <w:tcW w:w="992" w:type="dxa"/>
          </w:tcPr>
          <w:p w:rsidR="007A4D59" w:rsidRPr="00E00B35" w:rsidRDefault="007A4D59" w:rsidP="00E00B35">
            <w:pPr>
              <w:spacing w:after="0" w:line="312" w:lineRule="auto"/>
              <w:rPr>
                <w:bCs/>
                <w:szCs w:val="20"/>
              </w:rPr>
            </w:pPr>
            <w:r w:rsidRPr="00E00B35">
              <w:rPr>
                <w:bCs/>
                <w:szCs w:val="20"/>
              </w:rPr>
              <w:t>100 kg</w:t>
            </w:r>
          </w:p>
        </w:tc>
      </w:tr>
      <w:tr w:rsidR="007A4D59" w:rsidRPr="00E00B35" w:rsidTr="006D3493">
        <w:tc>
          <w:tcPr>
            <w:tcW w:w="1251" w:type="dxa"/>
          </w:tcPr>
          <w:p w:rsidR="007A4D59" w:rsidRPr="00E00B35" w:rsidRDefault="007A4D59" w:rsidP="00E00B35">
            <w:pPr>
              <w:spacing w:after="0" w:line="312" w:lineRule="auto"/>
              <w:rPr>
                <w:bCs/>
                <w:szCs w:val="20"/>
              </w:rPr>
            </w:pPr>
            <w:r w:rsidRPr="00E00B35">
              <w:rPr>
                <w:bCs/>
                <w:szCs w:val="20"/>
              </w:rPr>
              <w:t>szczupak</w:t>
            </w:r>
          </w:p>
        </w:tc>
        <w:tc>
          <w:tcPr>
            <w:tcW w:w="1159" w:type="dxa"/>
          </w:tcPr>
          <w:p w:rsidR="007A4D59" w:rsidRPr="00E00B35" w:rsidRDefault="007A4D59" w:rsidP="00E00B35">
            <w:pPr>
              <w:spacing w:after="0" w:line="312" w:lineRule="auto"/>
              <w:rPr>
                <w:bCs/>
                <w:szCs w:val="20"/>
              </w:rPr>
            </w:pPr>
            <w:r w:rsidRPr="00E00B35">
              <w:rPr>
                <w:bCs/>
                <w:szCs w:val="20"/>
              </w:rPr>
              <w:t>40 kg</w:t>
            </w:r>
          </w:p>
        </w:tc>
        <w:tc>
          <w:tcPr>
            <w:tcW w:w="1276" w:type="dxa"/>
          </w:tcPr>
          <w:p w:rsidR="007A4D59" w:rsidRPr="00E00B35" w:rsidRDefault="007A4D59" w:rsidP="00E00B35">
            <w:pPr>
              <w:spacing w:after="0" w:line="312" w:lineRule="auto"/>
              <w:rPr>
                <w:bCs/>
                <w:szCs w:val="20"/>
              </w:rPr>
            </w:pPr>
            <w:r w:rsidRPr="00E00B35">
              <w:rPr>
                <w:bCs/>
                <w:szCs w:val="20"/>
              </w:rPr>
              <w:t>okoń</w:t>
            </w:r>
          </w:p>
        </w:tc>
        <w:tc>
          <w:tcPr>
            <w:tcW w:w="992" w:type="dxa"/>
          </w:tcPr>
          <w:p w:rsidR="007A4D59" w:rsidRPr="00E00B35" w:rsidRDefault="007A4D59" w:rsidP="00E00B35">
            <w:pPr>
              <w:spacing w:after="0" w:line="312" w:lineRule="auto"/>
              <w:rPr>
                <w:bCs/>
                <w:szCs w:val="20"/>
              </w:rPr>
            </w:pPr>
            <w:r w:rsidRPr="00E00B35">
              <w:rPr>
                <w:bCs/>
                <w:szCs w:val="20"/>
              </w:rPr>
              <w:t>7 kg</w:t>
            </w:r>
          </w:p>
        </w:tc>
        <w:tc>
          <w:tcPr>
            <w:tcW w:w="1276" w:type="dxa"/>
          </w:tcPr>
          <w:p w:rsidR="007A4D59" w:rsidRPr="00E00B35" w:rsidRDefault="007A4D59" w:rsidP="00E00B35">
            <w:pPr>
              <w:spacing w:after="0" w:line="312" w:lineRule="auto"/>
              <w:rPr>
                <w:bCs/>
                <w:szCs w:val="20"/>
              </w:rPr>
            </w:pPr>
            <w:r w:rsidRPr="00E00B35">
              <w:rPr>
                <w:bCs/>
                <w:szCs w:val="20"/>
              </w:rPr>
              <w:t>wzdręga</w:t>
            </w:r>
          </w:p>
        </w:tc>
        <w:tc>
          <w:tcPr>
            <w:tcW w:w="850" w:type="dxa"/>
          </w:tcPr>
          <w:p w:rsidR="007A4D59" w:rsidRPr="00E00B35" w:rsidRDefault="007A4D59" w:rsidP="00E00B35">
            <w:pPr>
              <w:spacing w:after="0" w:line="312" w:lineRule="auto"/>
              <w:rPr>
                <w:bCs/>
                <w:szCs w:val="20"/>
              </w:rPr>
            </w:pPr>
            <w:r w:rsidRPr="00E00B35">
              <w:rPr>
                <w:bCs/>
                <w:szCs w:val="20"/>
              </w:rPr>
              <w:t>10 kg</w:t>
            </w:r>
          </w:p>
        </w:tc>
        <w:tc>
          <w:tcPr>
            <w:tcW w:w="1276" w:type="dxa"/>
          </w:tcPr>
          <w:p w:rsidR="007A4D59" w:rsidRPr="00E00B35" w:rsidRDefault="007A4D59" w:rsidP="00E00B35">
            <w:pPr>
              <w:spacing w:after="0" w:line="312" w:lineRule="auto"/>
              <w:rPr>
                <w:bCs/>
                <w:szCs w:val="20"/>
              </w:rPr>
            </w:pPr>
            <w:r w:rsidRPr="00E00B35">
              <w:rPr>
                <w:bCs/>
                <w:szCs w:val="20"/>
              </w:rPr>
              <w:t>-</w:t>
            </w:r>
          </w:p>
        </w:tc>
        <w:tc>
          <w:tcPr>
            <w:tcW w:w="992" w:type="dxa"/>
          </w:tcPr>
          <w:p w:rsidR="007A4D59" w:rsidRPr="00E00B35" w:rsidRDefault="007A4D59" w:rsidP="00E00B35">
            <w:pPr>
              <w:spacing w:after="0" w:line="312" w:lineRule="auto"/>
              <w:rPr>
                <w:bCs/>
                <w:szCs w:val="20"/>
              </w:rPr>
            </w:pPr>
            <w:r w:rsidRPr="00E00B35">
              <w:rPr>
                <w:bCs/>
                <w:szCs w:val="20"/>
              </w:rPr>
              <w:t>-</w:t>
            </w:r>
          </w:p>
        </w:tc>
      </w:tr>
      <w:tr w:rsidR="007A4D59" w:rsidRPr="00E00B35" w:rsidTr="006D3493">
        <w:tc>
          <w:tcPr>
            <w:tcW w:w="1251" w:type="dxa"/>
          </w:tcPr>
          <w:p w:rsidR="007A4D59" w:rsidRPr="00E00B35" w:rsidRDefault="007A4D59" w:rsidP="00E00B35">
            <w:pPr>
              <w:spacing w:after="0" w:line="312" w:lineRule="auto"/>
              <w:rPr>
                <w:bCs/>
                <w:szCs w:val="20"/>
              </w:rPr>
            </w:pPr>
            <w:r w:rsidRPr="00E00B35">
              <w:rPr>
                <w:bCs/>
                <w:szCs w:val="20"/>
              </w:rPr>
              <w:t>karaś</w:t>
            </w:r>
          </w:p>
        </w:tc>
        <w:tc>
          <w:tcPr>
            <w:tcW w:w="1159" w:type="dxa"/>
          </w:tcPr>
          <w:p w:rsidR="007A4D59" w:rsidRPr="00E00B35" w:rsidRDefault="007A4D59" w:rsidP="00E00B35">
            <w:pPr>
              <w:spacing w:after="0" w:line="312" w:lineRule="auto"/>
              <w:rPr>
                <w:bCs/>
                <w:szCs w:val="20"/>
              </w:rPr>
            </w:pPr>
            <w:r w:rsidRPr="00E00B35">
              <w:rPr>
                <w:bCs/>
                <w:szCs w:val="20"/>
              </w:rPr>
              <w:t>80 kg</w:t>
            </w:r>
          </w:p>
        </w:tc>
        <w:tc>
          <w:tcPr>
            <w:tcW w:w="1276" w:type="dxa"/>
          </w:tcPr>
          <w:p w:rsidR="007A4D59" w:rsidRPr="00E00B35" w:rsidRDefault="007A4D59" w:rsidP="00E00B35">
            <w:pPr>
              <w:spacing w:after="0" w:line="312" w:lineRule="auto"/>
              <w:rPr>
                <w:bCs/>
                <w:szCs w:val="20"/>
              </w:rPr>
            </w:pPr>
            <w:r w:rsidRPr="00E00B35">
              <w:rPr>
                <w:bCs/>
                <w:szCs w:val="20"/>
              </w:rPr>
              <w:t>wzdręga</w:t>
            </w:r>
          </w:p>
        </w:tc>
        <w:tc>
          <w:tcPr>
            <w:tcW w:w="992" w:type="dxa"/>
          </w:tcPr>
          <w:p w:rsidR="007A4D59" w:rsidRPr="00E00B35" w:rsidRDefault="007A4D59" w:rsidP="00E00B35">
            <w:pPr>
              <w:spacing w:after="0" w:line="312" w:lineRule="auto"/>
              <w:rPr>
                <w:bCs/>
                <w:szCs w:val="20"/>
              </w:rPr>
            </w:pPr>
            <w:r w:rsidRPr="00E00B35">
              <w:rPr>
                <w:bCs/>
                <w:szCs w:val="20"/>
              </w:rPr>
              <w:t>12 kg</w:t>
            </w:r>
          </w:p>
        </w:tc>
        <w:tc>
          <w:tcPr>
            <w:tcW w:w="1276" w:type="dxa"/>
          </w:tcPr>
          <w:p w:rsidR="007A4D59" w:rsidRPr="00E00B35" w:rsidRDefault="007A4D59" w:rsidP="00E00B35">
            <w:pPr>
              <w:spacing w:after="0" w:line="312" w:lineRule="auto"/>
              <w:rPr>
                <w:bCs/>
                <w:szCs w:val="20"/>
              </w:rPr>
            </w:pPr>
            <w:r w:rsidRPr="00E00B35">
              <w:rPr>
                <w:bCs/>
                <w:szCs w:val="20"/>
              </w:rPr>
              <w:t>-</w:t>
            </w:r>
          </w:p>
        </w:tc>
        <w:tc>
          <w:tcPr>
            <w:tcW w:w="850" w:type="dxa"/>
          </w:tcPr>
          <w:p w:rsidR="007A4D59" w:rsidRPr="00E00B35" w:rsidRDefault="007A4D59" w:rsidP="00E00B35">
            <w:pPr>
              <w:spacing w:after="0" w:line="312" w:lineRule="auto"/>
              <w:rPr>
                <w:bCs/>
                <w:szCs w:val="20"/>
              </w:rPr>
            </w:pPr>
            <w:r w:rsidRPr="00E00B35">
              <w:rPr>
                <w:bCs/>
                <w:szCs w:val="20"/>
              </w:rPr>
              <w:t>-</w:t>
            </w:r>
          </w:p>
        </w:tc>
        <w:tc>
          <w:tcPr>
            <w:tcW w:w="1276" w:type="dxa"/>
          </w:tcPr>
          <w:p w:rsidR="007A4D59" w:rsidRPr="00E00B35" w:rsidRDefault="007A4D59" w:rsidP="00E00B35">
            <w:pPr>
              <w:spacing w:after="0" w:line="312" w:lineRule="auto"/>
              <w:rPr>
                <w:bCs/>
                <w:szCs w:val="20"/>
              </w:rPr>
            </w:pPr>
            <w:r w:rsidRPr="00E00B35">
              <w:rPr>
                <w:bCs/>
                <w:szCs w:val="20"/>
              </w:rPr>
              <w:t>-</w:t>
            </w:r>
          </w:p>
        </w:tc>
        <w:tc>
          <w:tcPr>
            <w:tcW w:w="992" w:type="dxa"/>
          </w:tcPr>
          <w:p w:rsidR="007A4D59" w:rsidRPr="00E00B35" w:rsidRDefault="007A4D59" w:rsidP="00E00B35">
            <w:pPr>
              <w:spacing w:after="0" w:line="312" w:lineRule="auto"/>
              <w:rPr>
                <w:bCs/>
                <w:szCs w:val="20"/>
              </w:rPr>
            </w:pPr>
            <w:r w:rsidRPr="00E00B35">
              <w:rPr>
                <w:bCs/>
                <w:szCs w:val="20"/>
              </w:rPr>
              <w:t>-</w:t>
            </w:r>
          </w:p>
        </w:tc>
      </w:tr>
    </w:tbl>
    <w:p w:rsidR="007A4D59" w:rsidRPr="00E00B35" w:rsidRDefault="007A4D59" w:rsidP="00E00B35">
      <w:pPr>
        <w:spacing w:after="0" w:line="312" w:lineRule="auto"/>
        <w:rPr>
          <w:b/>
          <w:szCs w:val="20"/>
        </w:rPr>
      </w:pPr>
    </w:p>
    <w:p w:rsidR="007A4D59" w:rsidRPr="00E00B35" w:rsidRDefault="007A4D59" w:rsidP="00E00B35">
      <w:pPr>
        <w:spacing w:after="0" w:line="312" w:lineRule="auto"/>
        <w:rPr>
          <w:szCs w:val="20"/>
        </w:rPr>
      </w:pPr>
      <w:r w:rsidRPr="00E00B35">
        <w:rPr>
          <w:szCs w:val="20"/>
        </w:rPr>
        <w:t>Ponadto  dokonano odłowów kontrolnych w zakresie zbadania stanu liczebności ryb w dotychczas zarybionych zbiornikach. Odłowy przeprowadzono w zbiorniku wodnym przy ul. Karczemnej, w zbiorniku odwadniającym przy ulicy Jerzmanowskiej oraz w stawie w Parku Leśnickim.  Natomiast w 2019 r. odłowy kontrolne przeprowadzono w zbiorniku wodnym przy skwerze Anielewicza, w stawie w Parku Południowym oraz w zbiornik w  Parku Brochowskim. W 2018r. w zbiorniku wodnym przy ul. Maślickiej, w stawie w Parku Leśnickim oraz w zbiorniku przy ul. Jeleniogórskiej. W 2017 sprawdzono zbiornik wodnym przy ul. Chałupniczej, staw przy ul. Dembowskiego oraz w zbiornik przelewowym Odra – Widawa. A w 2016 roku zbadano stan liczebności ryb w zarybianych zbiornikach tj. w zbiorniku wodnym na terenie parku im. Tołpy oraz stawie przy ul. Celtyckiej.</w:t>
      </w:r>
    </w:p>
    <w:p w:rsidR="007A4D59" w:rsidRPr="00E00B35" w:rsidRDefault="007A4D59" w:rsidP="00E00B35">
      <w:pPr>
        <w:spacing w:after="0" w:line="312" w:lineRule="auto"/>
        <w:rPr>
          <w:szCs w:val="20"/>
        </w:rPr>
      </w:pPr>
      <w:r w:rsidRPr="00E00B35">
        <w:rPr>
          <w:szCs w:val="20"/>
        </w:rPr>
        <w:t xml:space="preserve">W kontrolowanych stawach w latach 2016-2020 stwierdzono pojawienie się młodego narybku żywiącego się larwami komarów. Zbiorniki te wykazywały dużą różnorodnością gatunkową (od 6 do 8 gatunków ryb). Przeważała płoć jaź, karaś i wzdręga. </w:t>
      </w:r>
    </w:p>
    <w:p w:rsidR="007A4D59" w:rsidRPr="00E00B35" w:rsidRDefault="007A4D59" w:rsidP="00E00B35">
      <w:pPr>
        <w:spacing w:after="0" w:line="312" w:lineRule="auto"/>
        <w:rPr>
          <w:szCs w:val="20"/>
        </w:rPr>
      </w:pPr>
      <w:r w:rsidRPr="00E00B35">
        <w:rPr>
          <w:szCs w:val="20"/>
        </w:rPr>
        <w:t xml:space="preserve">Analiza składu gatunkowego wskazuje na bardzo dużo skuteczność ryb w walce z larwami komarów. Bezpośrednie otoczenie tych akwenów wolne jest od obecności osobników dorosłych tych owadów. </w:t>
      </w:r>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sz w:val="20"/>
          <w:szCs w:val="20"/>
        </w:rPr>
      </w:pPr>
      <w:bookmarkStart w:id="746" w:name="_Toc71032635"/>
      <w:bookmarkStart w:id="747" w:name="_Toc71034617"/>
      <w:r w:rsidRPr="00E00B35">
        <w:rPr>
          <w:sz w:val="20"/>
          <w:szCs w:val="20"/>
        </w:rPr>
        <w:t>ZADANIA PRIORYTETOWE DEPARTMENTU NIE UJĘTE BEZPOŚREDNIO W ZAŁOŻENIACH POLITYKI SPOŁECZNO-GOSPODARCZEJ WROCŁAWIA NA 2020 r.</w:t>
      </w:r>
      <w:bookmarkEnd w:id="746"/>
      <w:bookmarkEnd w:id="747"/>
      <w:r w:rsidRPr="00E00B35">
        <w:rPr>
          <w:sz w:val="20"/>
          <w:szCs w:val="20"/>
        </w:rPr>
        <w:t xml:space="preserve"> </w:t>
      </w:r>
    </w:p>
    <w:p w:rsidR="007A4D59" w:rsidRPr="00E00B35" w:rsidRDefault="007A4D59" w:rsidP="00E00B35">
      <w:pPr>
        <w:pStyle w:val="Nagwek5"/>
        <w:rPr>
          <w:szCs w:val="20"/>
        </w:rPr>
      </w:pPr>
      <w:bookmarkStart w:id="748" w:name="_Toc71032636"/>
      <w:bookmarkStart w:id="749" w:name="_Toc71034618"/>
      <w:r w:rsidRPr="00E00B35">
        <w:rPr>
          <w:szCs w:val="20"/>
        </w:rPr>
        <w:t>POLITYKA KLIMATYCZNA MIASTA</w:t>
      </w:r>
      <w:bookmarkEnd w:id="748"/>
      <w:bookmarkEnd w:id="749"/>
    </w:p>
    <w:p w:rsidR="007A4D59" w:rsidRPr="00E00B35" w:rsidRDefault="007A4D59" w:rsidP="00E00B35">
      <w:pPr>
        <w:pStyle w:val="Nagwek4"/>
        <w:spacing w:before="0" w:after="0" w:line="312" w:lineRule="auto"/>
        <w:rPr>
          <w:b w:val="0"/>
          <w:sz w:val="20"/>
          <w:szCs w:val="20"/>
        </w:rPr>
      </w:pPr>
      <w:r w:rsidRPr="00E00B35">
        <w:rPr>
          <w:b w:val="0"/>
          <w:sz w:val="20"/>
          <w:szCs w:val="20"/>
        </w:rPr>
        <w:t>OPRACOWANIE WSKAŹNIKÓW MONITORINGU MIEJSKIEGO PLANU ADAPTACJI DO ZMIAN KLIMATU (MPA)</w:t>
      </w:r>
    </w:p>
    <w:p w:rsidR="007A4D59" w:rsidRPr="00E00B35" w:rsidRDefault="007A4D59" w:rsidP="00E00B35">
      <w:pPr>
        <w:spacing w:after="0" w:line="312" w:lineRule="auto"/>
        <w:rPr>
          <w:rFonts w:cs="Courier New"/>
          <w:bCs/>
          <w:szCs w:val="20"/>
        </w:rPr>
      </w:pPr>
      <w:r w:rsidRPr="00E00B35">
        <w:rPr>
          <w:rFonts w:cs="Courier New"/>
          <w:bCs/>
          <w:szCs w:val="20"/>
        </w:rPr>
        <w:t xml:space="preserve">Na potrzeby monitoringu Miejskiego Planu Adaptacji (MPA) opracowany został </w:t>
      </w:r>
      <w:r w:rsidRPr="00E00B35">
        <w:rPr>
          <w:rFonts w:cs="Courier New"/>
          <w:bCs/>
          <w:i/>
          <w:szCs w:val="20"/>
        </w:rPr>
        <w:t>Raport z wdrażania Miejskiego Planu Adaptacji do zmian klimatu - monitoring po 1 roku – stan na 31/12/2019r</w:t>
      </w:r>
      <w:r w:rsidRPr="00E00B35">
        <w:rPr>
          <w:rFonts w:cs="Courier New"/>
          <w:bCs/>
          <w:szCs w:val="20"/>
        </w:rPr>
        <w:t xml:space="preserve">. Jest to pierwsze tego typu opracowanie mające na celu ocenę wdrażania MPA we Wrocławiu. </w:t>
      </w:r>
    </w:p>
    <w:p w:rsidR="007A4D59" w:rsidRPr="00E00B35" w:rsidRDefault="007A4D59" w:rsidP="00E00B35">
      <w:pPr>
        <w:spacing w:after="0" w:line="312" w:lineRule="auto"/>
        <w:rPr>
          <w:rFonts w:cs="Courier New"/>
          <w:bCs/>
          <w:szCs w:val="20"/>
        </w:rPr>
      </w:pPr>
      <w:r w:rsidRPr="00E00B35">
        <w:rPr>
          <w:rFonts w:cs="Courier New"/>
          <w:bCs/>
          <w:szCs w:val="20"/>
        </w:rPr>
        <w:t xml:space="preserve">Miejski Plan Adaptacji do zmian klimatu do roku 2030 został uchwalony Przez Radę Miejską Wrocławia 5 września 2019 r. i  jest lokalnym dokumentem strategicznym wyznaczającym ramy zrównoważonej polityki przestrzennej, właściwej gospodarki </w:t>
      </w:r>
      <w:r w:rsidRPr="00E00B35">
        <w:rPr>
          <w:rFonts w:cs="Courier New"/>
          <w:bCs/>
          <w:szCs w:val="20"/>
        </w:rPr>
        <w:lastRenderedPageBreak/>
        <w:t xml:space="preserve">wodami opadowymi, rozwoju infrastruktury przystosowanej do zmieniających się warunków klimatycznych, a także racjonalnego zarządzania zielenią na terenie miasta. Wdrażanie MPA oznacza z jednej strony poprawę jakości życia i zwiększenie komfortu w sytuacji wystąpienia ekstremalnych warunków pogodowych takich jak, np. fale upałów m.in. poprzez szereg rozwiązań technicznych, organizacyjnych oraz edukacyjno-informacyjnych. Rozwiązania te ujęte są w ramach 21 kart działań adaptacyjnych, które wskazują kierunki niezbędnych działań. W uchwalonym przez Radę Miejską Planie Adaptacji wskazano zestaw 11 wskaźników monitorowania realizacji działań. </w:t>
      </w:r>
    </w:p>
    <w:p w:rsidR="007A4D59" w:rsidRPr="00E00B35" w:rsidRDefault="007A4D59" w:rsidP="00E00B35">
      <w:pPr>
        <w:spacing w:after="0" w:line="312" w:lineRule="auto"/>
        <w:rPr>
          <w:rFonts w:cs="Courier New"/>
          <w:bCs/>
          <w:szCs w:val="20"/>
        </w:rPr>
      </w:pPr>
      <w:r w:rsidRPr="00E00B35">
        <w:rPr>
          <w:rFonts w:cs="Courier New"/>
          <w:bCs/>
          <w:szCs w:val="20"/>
        </w:rPr>
        <w:t xml:space="preserve">Zgodnie z założeniami MPA za monitorowanie stanu realizacji działań określonych w Planie Adaptacji stanowiących źródło informacji na temat postępu realizacji zaplanowanych działań odpowiada samorząd gminny we współpracy z komórkami organizacyjnymi Urzędu Miejskiego i jednostkami miejskimi. Na podstawie prawidłowo prowadzonego monitoringu i ewaluacji miasto może dokonać oceny procesu adaptacji pod kątem jego rozwoju i efektywności w dalszych latach. </w:t>
      </w:r>
    </w:p>
    <w:p w:rsidR="007A4D59" w:rsidRPr="00E00B35" w:rsidRDefault="007A4D59" w:rsidP="00E00B35">
      <w:pPr>
        <w:spacing w:after="0" w:line="312" w:lineRule="auto"/>
        <w:rPr>
          <w:rFonts w:cs="Courier New"/>
          <w:bCs/>
          <w:szCs w:val="20"/>
        </w:rPr>
      </w:pPr>
      <w:r w:rsidRPr="00E00B35">
        <w:rPr>
          <w:rFonts w:cs="Courier New"/>
          <w:bCs/>
          <w:szCs w:val="20"/>
        </w:rPr>
        <w:t>W roku 2020 zaproponowane pierwotnie wskaźniki MPA zostały uszczegółowione z uwzględnieniem specyfiki miasta, zwłaszcza w obszarach tj. zieleń czy rozwiązania błękitno – zielonej infrastruktury (BZI) oraz zweryfikowane pod kątem dostępności danych. Przeprowadzono konsultacje dotyczące wskaźników z udziałem wydziałów Urzędu Miejskiego, jednostek miejskich oraz Rady ds. Ekologii i Zieleni funkcjonującej przy Prezydencie Wrocławia. W wyniku tych prac opracowano nową listę wskaźników, która w sposób bardziej kompleksowy obejmuje istotne dla miasta kierunki działań adaptacyjnych. Składa się ona z 6 obszarów działań nawiązujących do działań MPA, przedstawionych na poniższym rysunku, w ramach których łącznie wyznaczono 24 wskaźniki.</w:t>
      </w:r>
    </w:p>
    <w:p w:rsidR="007A4D59" w:rsidRPr="00E00B35" w:rsidRDefault="00573162" w:rsidP="00E00B35">
      <w:pPr>
        <w:spacing w:after="0" w:line="312" w:lineRule="auto"/>
        <w:rPr>
          <w:szCs w:val="20"/>
        </w:rPr>
      </w:pPr>
      <w:bookmarkStart w:id="750" w:name="_GoBack"/>
      <w:bookmarkEnd w:id="750"/>
      <w:r w:rsidRPr="00E00B35">
        <w:rPr>
          <w:noProof/>
          <w:szCs w:val="20"/>
        </w:rPr>
        <w:pict>
          <v:group id="_x0000_s1026" style="position:absolute;margin-left:12.9pt;margin-top:59.35pt;width:421.75pt;height:16.6pt;z-index:251660288" coordorigin="1723,5957" coordsize="8435,332">
            <v:shapetype id="_x0000_t202" coordsize="21600,21600" o:spt="202" path="m,l,21600r21600,l21600,xe">
              <v:stroke joinstyle="miter"/>
              <v:path gradientshapeok="t" o:connecttype="rect"/>
            </v:shapetype>
            <v:shape id="_x0000_s1027" type="#_x0000_t202" style="position:absolute;left:1723;top:5957;width:1292;height:332" filled="f" stroked="f">
              <v:textbox style="mso-next-textbox:#_x0000_s1027">
                <w:txbxContent>
                  <w:p w:rsidR="00B1753A" w:rsidRPr="00B66693" w:rsidRDefault="00B1753A" w:rsidP="007A4D59">
                    <w:pPr>
                      <w:jc w:val="center"/>
                      <w:rPr>
                        <w:b/>
                        <w:color w:val="FFFFFF"/>
                      </w:rPr>
                    </w:pPr>
                    <w:r w:rsidRPr="00B66693">
                      <w:rPr>
                        <w:color w:val="FFFFFF"/>
                      </w:rPr>
                      <w:t>EDUKACJA</w:t>
                    </w:r>
                  </w:p>
                </w:txbxContent>
              </v:textbox>
            </v:shape>
            <v:shape id="_x0000_s1028" type="#_x0000_t202" style="position:absolute;left:3174;top:5957;width:1292;height:332" filled="f" stroked="f">
              <v:textbox style="mso-next-textbox:#_x0000_s1028">
                <w:txbxContent>
                  <w:p w:rsidR="00B1753A" w:rsidRPr="00B66693" w:rsidRDefault="00B1753A" w:rsidP="007A4D59">
                    <w:pPr>
                      <w:jc w:val="center"/>
                      <w:rPr>
                        <w:b/>
                        <w:color w:val="FFFFFF"/>
                      </w:rPr>
                    </w:pPr>
                    <w:r w:rsidRPr="00B66693">
                      <w:rPr>
                        <w:color w:val="FFFFFF"/>
                      </w:rPr>
                      <w:t>GWO</w:t>
                    </w:r>
                  </w:p>
                </w:txbxContent>
              </v:textbox>
            </v:shape>
            <v:shape id="_x0000_s1029" type="#_x0000_t202" style="position:absolute;left:4536;top:5957;width:1292;height:332" filled="f" stroked="f">
              <v:textbox style="mso-next-textbox:#_x0000_s1029">
                <w:txbxContent>
                  <w:p w:rsidR="00B1753A" w:rsidRPr="00B66693" w:rsidRDefault="00B1753A" w:rsidP="007A4D59">
                    <w:pPr>
                      <w:jc w:val="center"/>
                      <w:rPr>
                        <w:b/>
                        <w:color w:val="FFFFFF"/>
                      </w:rPr>
                    </w:pPr>
                    <w:r w:rsidRPr="00B66693">
                      <w:rPr>
                        <w:color w:val="FFFFFF"/>
                      </w:rPr>
                      <w:t>ZIELEŃ</w:t>
                    </w:r>
                  </w:p>
                </w:txbxContent>
              </v:textbox>
            </v:shape>
            <v:shape id="_x0000_s1030" type="#_x0000_t202" style="position:absolute;left:5828;top:5957;width:1292;height:332" filled="f" stroked="f">
              <v:textbox style="mso-next-textbox:#_x0000_s1030">
                <w:txbxContent>
                  <w:p w:rsidR="00B1753A" w:rsidRPr="00B66693" w:rsidRDefault="00B1753A" w:rsidP="007A4D59">
                    <w:pPr>
                      <w:jc w:val="center"/>
                      <w:rPr>
                        <w:b/>
                        <w:color w:val="FFFFFF"/>
                      </w:rPr>
                    </w:pPr>
                    <w:r w:rsidRPr="00B66693">
                      <w:rPr>
                        <w:color w:val="FFFFFF"/>
                      </w:rPr>
                      <w:t>BZI</w:t>
                    </w:r>
                  </w:p>
                </w:txbxContent>
              </v:textbox>
            </v:shape>
            <v:shape id="_x0000_s1031" type="#_x0000_t202" style="position:absolute;left:7219;top:5957;width:1292;height:332" filled="f" stroked="f">
              <v:textbox style="mso-next-textbox:#_x0000_s1031">
                <w:txbxContent>
                  <w:p w:rsidR="00B1753A" w:rsidRPr="00B66693" w:rsidRDefault="00B1753A" w:rsidP="007A4D59">
                    <w:pPr>
                      <w:rPr>
                        <w:b/>
                        <w:color w:val="FFFFFF"/>
                      </w:rPr>
                    </w:pPr>
                    <w:r w:rsidRPr="00B66693">
                      <w:rPr>
                        <w:color w:val="FFFFFF"/>
                      </w:rPr>
                      <w:t>MITYGACJA</w:t>
                    </w:r>
                  </w:p>
                </w:txbxContent>
              </v:textbox>
            </v:shape>
            <v:shape id="_x0000_s1032" type="#_x0000_t202" style="position:absolute;left:8719;top:5957;width:1439;height:332" filled="f" stroked="f">
              <v:textbox style="mso-next-textbox:#_x0000_s1032">
                <w:txbxContent>
                  <w:p w:rsidR="00B1753A" w:rsidRPr="00B66693" w:rsidRDefault="00B1753A" w:rsidP="007A4D59">
                    <w:pPr>
                      <w:rPr>
                        <w:b/>
                        <w:color w:val="FFFFFF"/>
                      </w:rPr>
                    </w:pPr>
                    <w:r w:rsidRPr="00B66693">
                      <w:rPr>
                        <w:color w:val="FFFFFF"/>
                      </w:rPr>
                      <w:t>ORGANIZACJA</w:t>
                    </w:r>
                  </w:p>
                </w:txbxContent>
              </v:textbox>
            </v:shape>
          </v:group>
        </w:pict>
      </w:r>
      <w:r w:rsidR="007A4D59" w:rsidRPr="00E00B35">
        <w:rPr>
          <w:noProof/>
          <w:szCs w:val="20"/>
          <w:lang w:val="pl-PL" w:eastAsia="pl-PL" w:bidi="ar-SA"/>
        </w:rPr>
        <w:drawing>
          <wp:inline distT="0" distB="0" distL="0" distR="0">
            <wp:extent cx="5318125" cy="2599055"/>
            <wp:effectExtent l="0" t="0" r="0" b="0"/>
            <wp:docPr id="144" name="Diagram 1" descr="grafiki  obszarów tematycznych zawartych w MP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descr="grafiki  obszarów tematycznych zawartych w MPA"/>
                    <pic:cNvPicPr>
                      <a:picLocks noChangeArrowheads="1"/>
                    </pic:cNvPicPr>
                  </pic:nvPicPr>
                  <pic:blipFill>
                    <a:blip r:embed="rId164" cstate="print"/>
                    <a:srcRect l="-1413" t="-2846" r="-1413"/>
                    <a:stretch>
                      <a:fillRect/>
                    </a:stretch>
                  </pic:blipFill>
                  <pic:spPr bwMode="auto">
                    <a:xfrm>
                      <a:off x="0" y="0"/>
                      <a:ext cx="5318125" cy="2599055"/>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rFonts w:cs="Courier New"/>
          <w:bCs/>
          <w:szCs w:val="20"/>
        </w:rPr>
      </w:pPr>
      <w:r w:rsidRPr="00E00B35">
        <w:rPr>
          <w:rFonts w:cs="Courier New"/>
          <w:bCs/>
          <w:szCs w:val="20"/>
        </w:rPr>
        <w:t>Dane do raportu zostały zebrane od większości komórek i jednostek odpowiedzialnych za poszczególne tematy wskazane w MPA. W wyniku analizy danych, dokonano niezbędnych modyfikacji we wskaźnikach, celem dopasowania ich do specyfiki i możliwości sprawozdawczych Miasta. Dodatkowo w raporcie wskazano szczegółowe rodzaje działań, które powinny przyczynić się do zwiększenia adaptacji miasta do zmian klimatu.</w:t>
      </w:r>
    </w:p>
    <w:p w:rsidR="007A4D59" w:rsidRPr="00E00B35" w:rsidRDefault="007A4D59" w:rsidP="00E00B35">
      <w:pPr>
        <w:spacing w:after="0" w:line="312" w:lineRule="auto"/>
        <w:rPr>
          <w:rFonts w:cs="Courier New"/>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lastRenderedPageBreak/>
        <w:t>Rada ds. Ekologii i Zieleni</w:t>
      </w:r>
    </w:p>
    <w:p w:rsidR="007A4D59" w:rsidRPr="00E00B35" w:rsidRDefault="007A4D59" w:rsidP="00E00B35">
      <w:pPr>
        <w:spacing w:after="0" w:line="312" w:lineRule="auto"/>
        <w:rPr>
          <w:rFonts w:cs="Calibri"/>
          <w:szCs w:val="20"/>
        </w:rPr>
      </w:pPr>
      <w:r w:rsidRPr="00E00B35">
        <w:rPr>
          <w:rFonts w:cs="Calibri"/>
          <w:szCs w:val="20"/>
        </w:rPr>
        <w:t>Rada ds. Ekologii i Zieleni - pełni funkcję organu opiniodawczo-doradczego Prezydenta Wrocławia w sprawach dotyczących współuczestnictwa mieszkańców w zarządzaniu miastem w zakresie kierunków rozwoju, kształtowania i utrzymania terenów zielonych w mieście oraz wprowadzania rozwiązań proekologicznych w funkcjonowaniu miasta. W skład Rady ds. Ekologii i Zieleni wchodzą przedstawiciele organizacji pozarządowych, spółek miejskich, naukowcy, urzędnicy i radni miejscy. W 2020 r. Rada zebrała się dwa razy. W trakcie posiedzeń poruszono tematy związane ze wskaźnikami monitorowania Miejskiego Planu Adaptacji do Zmian Klimatu. Członkowie Rady zaopiniowali zaproponowane wskaźniki oraz przedstawili swoje rekomendacje odnośnie monitorowania planu adaptacji. Efektem tych prac było przygotowanie skonsultowanych i zaakceptowanych przez Radę wskaźników.</w:t>
      </w:r>
    </w:p>
    <w:p w:rsidR="007A4D59" w:rsidRPr="00E00B35" w:rsidRDefault="007A4D59" w:rsidP="00E00B35">
      <w:pPr>
        <w:autoSpaceDE w:val="0"/>
        <w:autoSpaceDN w:val="0"/>
        <w:adjustRightInd w:val="0"/>
        <w:spacing w:after="0" w:line="312" w:lineRule="auto"/>
        <w:rPr>
          <w:rFonts w:cs="Verdana"/>
          <w:b/>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 xml:space="preserve">OPRACOWANIA ŚRODOWISKOWE ZWIĄZANE Z PROCEDURĄ PLANISTYCZNĄ ORAZ INNYMI PRACAMI PLANISTYCZNYMI, DECYZJE ADMINISTRACYJNE, OPINIE </w:t>
      </w:r>
    </w:p>
    <w:p w:rsidR="007A4D59" w:rsidRPr="00E00B35" w:rsidRDefault="007A4D59" w:rsidP="00E00B35">
      <w:pPr>
        <w:spacing w:after="0" w:line="312" w:lineRule="auto"/>
        <w:rPr>
          <w:rFonts w:cs="Calibri"/>
          <w:bCs/>
          <w:color w:val="000000"/>
          <w:szCs w:val="20"/>
        </w:rPr>
      </w:pPr>
      <w:r w:rsidRPr="00E00B35">
        <w:rPr>
          <w:rFonts w:cs="Calibri"/>
          <w:szCs w:val="20"/>
        </w:rPr>
        <w:t>W Departamencie Zrównoważonego Rozwoju działa zespół specjalistów zajmujących się analizą uwarunkowań przyrodniczych i środowiskowych do planów miejscowych oraz innych tematów związanych z gospodarką przestrzenną. W ramach prace tego zespołu analizowane były m. in. granice przystąpień do planów przygotowywanych przez inne działy, oczekiwania i zamierzenia inwestycyjne, w tym dotyczące wód opadowych w związku z przystąpieniem do sporządzania 25 miejscowych planów zagospodarowania przestrzennego, analizy środowiskowe na potrzeby 14 projektów miejscowych planów zagospodarowania przestrzennego, opracowania ekofizjograficzne do 20 projektów miejscowych planów zagospodarowania przestrzennego oraz prognozy oddziaływania na środowisko do 34 projektów miejscowych planów zagospodarowania przestrzennego. Ponadto sporządzano o</w:t>
      </w:r>
      <w:r w:rsidRPr="00E00B35">
        <w:rPr>
          <w:rFonts w:cs="Calibri"/>
          <w:bCs/>
          <w:color w:val="000000"/>
          <w:szCs w:val="20"/>
        </w:rPr>
        <w:t>pinie i uwagi do dokumentów planistycznych gmin sąsiednich. Zespół brał także udział, we współpracy z Działem Infrastruktury Zielono – Niebieskiej, w pracach w ramach opracowania tzw. „Osiedli kompletnych”, przygotowywanego przez Biuro Rozwoju Wrocławia. W 2020 r. wykonano analizy środowiskowe w zakresie zieleni i gospodarowania wodami opadowymi dla 3 jednostek urbanistycznych objętych opracowaniem: Nowy Dwór, Zakrzów Centrum i Krzyki Zachód.</w:t>
      </w:r>
    </w:p>
    <w:p w:rsidR="007A4D59" w:rsidRPr="00E00B35" w:rsidRDefault="007A4D59" w:rsidP="00E00B35">
      <w:pPr>
        <w:spacing w:after="0" w:line="312" w:lineRule="auto"/>
        <w:rPr>
          <w:rFonts w:cs="Calibri"/>
          <w:noProof/>
          <w:color w:val="000000"/>
          <w:szCs w:val="20"/>
        </w:rPr>
      </w:pPr>
      <w:r w:rsidRPr="00E00B35">
        <w:rPr>
          <w:rFonts w:cs="Calibri"/>
          <w:noProof/>
          <w:color w:val="000000"/>
          <w:szCs w:val="20"/>
          <w:lang w:val="pl-PL" w:eastAsia="pl-PL" w:bidi="ar-SA"/>
        </w:rPr>
        <w:lastRenderedPageBreak/>
        <w:drawing>
          <wp:inline distT="0" distB="0" distL="0" distR="0">
            <wp:extent cx="3754120" cy="2670810"/>
            <wp:effectExtent l="19050" t="0" r="0" b="0"/>
            <wp:docPr id="143" name="Obraz 11" descr="przykładowa map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przykładowa mapa "/>
                    <pic:cNvPicPr>
                      <a:picLocks noChangeAspect="1" noChangeArrowheads="1"/>
                    </pic:cNvPicPr>
                  </pic:nvPicPr>
                  <pic:blipFill>
                    <a:blip r:embed="rId165" cstate="print"/>
                    <a:srcRect/>
                    <a:stretch>
                      <a:fillRect/>
                    </a:stretch>
                  </pic:blipFill>
                  <pic:spPr bwMode="auto">
                    <a:xfrm>
                      <a:off x="0" y="0"/>
                      <a:ext cx="3754120" cy="2670810"/>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rFonts w:cs="Calibri"/>
          <w:noProof/>
          <w:color w:val="000000"/>
          <w:szCs w:val="20"/>
        </w:rPr>
      </w:pPr>
      <w:r w:rsidRPr="00E00B35">
        <w:rPr>
          <w:rFonts w:cs="Calibri"/>
          <w:noProof/>
          <w:color w:val="000000"/>
          <w:szCs w:val="20"/>
        </w:rPr>
        <w:t>Przykładowa mapa wykonana w ramach opracowania Fot. UM Wrocław</w:t>
      </w:r>
    </w:p>
    <w:p w:rsidR="007A4D59" w:rsidRPr="00E00B35" w:rsidRDefault="007A4D59" w:rsidP="00E00B35">
      <w:pPr>
        <w:spacing w:after="0" w:line="312" w:lineRule="auto"/>
        <w:rPr>
          <w:rFonts w:cs="Calibri"/>
          <w:b/>
          <w:bCs/>
          <w:color w:val="000000"/>
          <w:szCs w:val="20"/>
        </w:rPr>
      </w:pPr>
    </w:p>
    <w:p w:rsidR="007A4D59" w:rsidRPr="00E00B35" w:rsidRDefault="007A4D59" w:rsidP="00E00B35">
      <w:pPr>
        <w:pStyle w:val="Nagwek5"/>
        <w:tabs>
          <w:tab w:val="left" w:pos="0"/>
        </w:tabs>
        <w:rPr>
          <w:b w:val="0"/>
          <w:color w:val="000000"/>
          <w:szCs w:val="20"/>
        </w:rPr>
      </w:pPr>
      <w:r w:rsidRPr="00E00B35">
        <w:rPr>
          <w:b w:val="0"/>
          <w:color w:val="000000"/>
          <w:szCs w:val="20"/>
        </w:rPr>
        <w:t>Informacje o środowisku i jego ochronie (604)</w:t>
      </w:r>
    </w:p>
    <w:p w:rsidR="007A4D59" w:rsidRPr="00E00B35" w:rsidRDefault="007A4D59" w:rsidP="00E00B35">
      <w:pPr>
        <w:tabs>
          <w:tab w:val="left" w:pos="0"/>
        </w:tabs>
        <w:spacing w:after="0" w:line="312" w:lineRule="auto"/>
        <w:rPr>
          <w:rFonts w:cs="Verdana"/>
          <w:szCs w:val="20"/>
        </w:rPr>
      </w:pPr>
      <w:r w:rsidRPr="00E00B35">
        <w:rPr>
          <w:rFonts w:cs="Verdana"/>
          <w:szCs w:val="20"/>
        </w:rPr>
        <w:t>Udzielono 13 odpowiedzi na wnioski o udostępnienie informacji o środowisku w zakresie ochrony przyrody (w tym 1 decyzję odmawiającą udostępnienia informacji) i wydano 6 zaświadczeń dotyczących położenia nieruchomości w granicach form ochrony przyrody. Jedna sprawa pozostaje w toku.</w:t>
      </w:r>
    </w:p>
    <w:p w:rsidR="007A4D59" w:rsidRPr="00E00B35" w:rsidRDefault="007A4D59" w:rsidP="00E00B35">
      <w:pPr>
        <w:spacing w:after="0" w:line="312" w:lineRule="auto"/>
        <w:rPr>
          <w:rFonts w:cs="Verdana"/>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 xml:space="preserve">Opinie w zakresie oczekiwań i zamierzeń inwestycyjnych w związku </w:t>
      </w:r>
      <w:r w:rsidRPr="00E00B35">
        <w:rPr>
          <w:b w:val="0"/>
          <w:sz w:val="20"/>
          <w:szCs w:val="20"/>
        </w:rPr>
        <w:br/>
        <w:t>z przystąpieniem do sporządzenia miejscowych planów zagospodarowania przestrzennego</w:t>
      </w:r>
    </w:p>
    <w:p w:rsidR="007A4D59" w:rsidRPr="00E00B35" w:rsidRDefault="007A4D59" w:rsidP="00E00B35">
      <w:pPr>
        <w:spacing w:after="0" w:line="312" w:lineRule="auto"/>
        <w:rPr>
          <w:szCs w:val="20"/>
        </w:rPr>
      </w:pPr>
      <w:r w:rsidRPr="00E00B35">
        <w:rPr>
          <w:szCs w:val="20"/>
        </w:rPr>
        <w:t>W 2020 r. sporządzono 8 opinii w zakresie ochrony przyrody, dotyczących miejscowych planów zagospodarowania przestrzennego.</w:t>
      </w:r>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Postępowania w sprawie wydania decyzji o środowiskowych uwarunkowaniach zgody na realizację przedsięwzięcia</w:t>
      </w:r>
    </w:p>
    <w:p w:rsidR="007A4D59" w:rsidRPr="00E00B35" w:rsidRDefault="007A4D59" w:rsidP="00E00B35">
      <w:pPr>
        <w:spacing w:after="0" w:line="312" w:lineRule="auto"/>
        <w:rPr>
          <w:rFonts w:cs="Verdana"/>
          <w:szCs w:val="20"/>
        </w:rPr>
      </w:pPr>
      <w:r w:rsidRPr="00E00B35">
        <w:rPr>
          <w:rFonts w:cs="Verdana"/>
          <w:szCs w:val="20"/>
        </w:rPr>
        <w:t xml:space="preserve">Zaopiniowano 53 postępowania o wydanie decyzji ooś (opinie przyrodnicze </w:t>
      </w:r>
      <w:r w:rsidRPr="00E00B35">
        <w:rPr>
          <w:rFonts w:cs="Verdana"/>
          <w:szCs w:val="20"/>
        </w:rPr>
        <w:br/>
        <w:t xml:space="preserve">w zakresie kompletności KIP/raportów oraz kwalifikacji do sporządzenia raportu o oddziaływaniu przedsięwzięcia na środowisko; określenie warunków do decyzji. </w:t>
      </w:r>
    </w:p>
    <w:p w:rsidR="007A4D59" w:rsidRPr="00E00B35" w:rsidRDefault="007A4D59" w:rsidP="00E00B35">
      <w:pPr>
        <w:autoSpaceDE w:val="0"/>
        <w:autoSpaceDN w:val="0"/>
        <w:adjustRightInd w:val="0"/>
        <w:spacing w:after="0" w:line="312" w:lineRule="auto"/>
        <w:rPr>
          <w:rFonts w:cs="Verdana"/>
          <w:bCs/>
          <w:szCs w:val="20"/>
        </w:rPr>
      </w:pPr>
    </w:p>
    <w:p w:rsidR="007A4D59" w:rsidRPr="00E00B35" w:rsidRDefault="007A4D59" w:rsidP="00E00B35">
      <w:pPr>
        <w:pStyle w:val="Nagwek5"/>
        <w:rPr>
          <w:szCs w:val="20"/>
        </w:rPr>
      </w:pPr>
      <w:bookmarkStart w:id="751" w:name="_Toc71032637"/>
      <w:bookmarkStart w:id="752" w:name="_Toc71034619"/>
      <w:r w:rsidRPr="00E00B35">
        <w:rPr>
          <w:szCs w:val="20"/>
        </w:rPr>
        <w:t>ZRÓWNOWAŻONE GOSPODAROWANIE WODAMI OPADOWYMI</w:t>
      </w:r>
      <w:bookmarkEnd w:id="751"/>
      <w:bookmarkEnd w:id="752"/>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Dokumenty strategiczne</w:t>
      </w:r>
    </w:p>
    <w:p w:rsidR="007A4D59" w:rsidRPr="00E00B35" w:rsidRDefault="007A4D59" w:rsidP="00E00B35">
      <w:pPr>
        <w:pStyle w:val="11Trescpisma"/>
        <w:spacing w:before="0" w:after="0" w:line="312" w:lineRule="auto"/>
        <w:ind w:right="45"/>
        <w:jc w:val="left"/>
        <w:rPr>
          <w:rFonts w:cs="Verdana"/>
          <w:color w:val="000000"/>
          <w:szCs w:val="20"/>
        </w:rPr>
      </w:pPr>
      <w:r w:rsidRPr="00E00B35">
        <w:rPr>
          <w:color w:val="000000"/>
          <w:szCs w:val="20"/>
        </w:rPr>
        <w:t xml:space="preserve">Zarządzenie Nr 2785/20 Prezydenta Wrocławia z dnia 20 marca 2020 r. </w:t>
      </w:r>
      <w:r w:rsidRPr="00E00B35">
        <w:rPr>
          <w:color w:val="000000"/>
          <w:szCs w:val="20"/>
        </w:rPr>
        <w:br/>
        <w:t xml:space="preserve">w sprawie </w:t>
      </w:r>
      <w:r w:rsidRPr="00E00B35">
        <w:rPr>
          <w:rFonts w:eastAsia="Calibri"/>
          <w:szCs w:val="20"/>
        </w:rPr>
        <w:t>Standardów  planowania i projektowania ulic z uwzględnieniem zielono-niebieskiej infrastruktury</w:t>
      </w:r>
      <w:r w:rsidRPr="00E00B35">
        <w:rPr>
          <w:szCs w:val="20"/>
        </w:rPr>
        <w:t xml:space="preserve">. </w:t>
      </w:r>
      <w:r w:rsidRPr="00E00B35">
        <w:rPr>
          <w:rFonts w:cs="Verdana"/>
          <w:color w:val="000000"/>
          <w:szCs w:val="20"/>
        </w:rPr>
        <w:t xml:space="preserve">Standardy składają się z dwóch części: tekstowej i graficznej. Część tekstowa zawiera informacje na temat planowania i projektowania ulicy z uwzględnieniem zielono-niebieskiej infrastruktury.  Część graficzna to katalog modeli ulic, w którym pokazano różne warianty ulic klasy dojazdowej i lokalnej z propozycją rozmieszczenia poszczególnych elementów składowych pasa drogowego z </w:t>
      </w:r>
      <w:r w:rsidRPr="00E00B35">
        <w:rPr>
          <w:rFonts w:cs="Verdana"/>
          <w:color w:val="000000"/>
          <w:szCs w:val="20"/>
        </w:rPr>
        <w:lastRenderedPageBreak/>
        <w:t>uwzględnieniem infrastruktury technicznej i infrastruktury zielono-niebieskiej. Zawarte w opracowaniu informacje i rozwiązania stanowią materiał do wykorzystania zarówno przez praktyków (planistów, projektantów i wykonawców), jak również jednostki administracji publicznej, w tym Biuro Wody i Energii, Biuro Zrównoważonej Mobilności, Biuro Rozwoju Wrocławia, Wydział Inżynierii Miejskiej, Wydział Transportu, Wydział Nabywania i Sprzedaży Nieruchomości, Zarząd Dróg i Utrzymania Miasta, Zarząd Zieleni Miejskiej oraz właścicieli i gestorów sieci infrastruktury technicznej: Miejskie Przedsiębiorstwo Wodociągów i Kanalizacji, Polskie Górnictwo Naftowe i Gazownictwo S.A, Zespół Elektrociepłowni Wrocławskich Kogeneracja S.A, Tauron Polska Energia S.A. Standardy mogą być także źródłem informacji dla mieszkańców i inwestorów zainteresowanych tematyką projektowania przestrzeni z zastosowaniem rozwiązań pro środowiskowych.</w:t>
      </w:r>
    </w:p>
    <w:p w:rsidR="007A4D59" w:rsidRPr="00E00B35" w:rsidRDefault="007A4D59" w:rsidP="00E00B35">
      <w:pPr>
        <w:pStyle w:val="11Trescpisma"/>
        <w:spacing w:before="0" w:after="0" w:line="312" w:lineRule="auto"/>
        <w:ind w:right="45"/>
        <w:jc w:val="left"/>
        <w:rPr>
          <w:rFonts w:cs="Verdana"/>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Program dotacyjny Złap deszcz</w:t>
      </w:r>
    </w:p>
    <w:p w:rsidR="007A4D59" w:rsidRPr="00E00B35" w:rsidRDefault="007A4D59" w:rsidP="00E00B35">
      <w:pPr>
        <w:spacing w:after="0" w:line="312" w:lineRule="auto"/>
        <w:rPr>
          <w:rFonts w:cs="Verdana"/>
          <w:szCs w:val="20"/>
        </w:rPr>
      </w:pPr>
      <w:r w:rsidRPr="00E00B35">
        <w:rPr>
          <w:rFonts w:cs="Verdana"/>
          <w:szCs w:val="20"/>
        </w:rPr>
        <w:t xml:space="preserve">Kontynuacja programu rozpoczętego w 2019 roku, celem którego jest pomoc mieszkańcom Wrocławia w efektywnym gospodarowaniu wodą opadową na własnej posesji. </w:t>
      </w:r>
    </w:p>
    <w:p w:rsidR="007A4D59" w:rsidRPr="00E00B35" w:rsidRDefault="007A4D59" w:rsidP="00E00B35">
      <w:pPr>
        <w:spacing w:after="0" w:line="312" w:lineRule="auto"/>
        <w:rPr>
          <w:rFonts w:cs="Verdana"/>
          <w:szCs w:val="20"/>
        </w:rPr>
      </w:pPr>
      <w:r w:rsidRPr="00E00B35">
        <w:rPr>
          <w:rFonts w:cs="Verdana"/>
          <w:szCs w:val="20"/>
        </w:rPr>
        <w:t>W ramach Programu w 2020 roku zawarto 218 umów na kwotę ok. 694.000 zł. W ramach programu mieszkańcy wykonali mi.in. zbiorniki podziemne (84 umowy), naziemne zbiorniki przyrynnowe (132 umowy), ogrody deszczowe i studnie chłonne.</w:t>
      </w:r>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Montaż źródełek wody pitnej w placówkach oświatowych</w:t>
      </w:r>
    </w:p>
    <w:p w:rsidR="007A4D59" w:rsidRPr="00E00B35" w:rsidRDefault="007A4D59" w:rsidP="00E00B35">
      <w:pPr>
        <w:spacing w:after="0" w:line="312" w:lineRule="auto"/>
        <w:rPr>
          <w:rFonts w:cs="Verdana"/>
          <w:szCs w:val="20"/>
        </w:rPr>
      </w:pPr>
      <w:r w:rsidRPr="00E00B35">
        <w:rPr>
          <w:szCs w:val="20"/>
        </w:rPr>
        <w:t>Kontynuacja rozpoczętego w 2019 roku programu „Wrocławska kranówka”</w:t>
      </w:r>
      <w:r w:rsidRPr="00E00B35">
        <w:rPr>
          <w:rFonts w:cs="Verdana"/>
          <w:szCs w:val="20"/>
        </w:rPr>
        <w:t xml:space="preserve">, realizowanego we współpracy Wydziału Wody i Energii z Zarządem Inwestycji Miejskich, polegającego na wyposażeniu placówek oświatowych Miasta w zdroje wody pitnej. W roku 2020 zamontowano urządzenia w 11 szkołach na łączną kwotę  </w:t>
      </w:r>
      <w:r w:rsidRPr="00E00B35">
        <w:rPr>
          <w:rFonts w:cs="Verdana"/>
          <w:bCs/>
          <w:color w:val="000000"/>
          <w:szCs w:val="20"/>
        </w:rPr>
        <w:t>95 318.85 zł</w:t>
      </w:r>
      <w:r w:rsidRPr="00E00B35">
        <w:rPr>
          <w:rFonts w:cs="Verdana"/>
          <w:szCs w:val="20"/>
        </w:rPr>
        <w:t>.</w:t>
      </w:r>
    </w:p>
    <w:p w:rsidR="007A4D59" w:rsidRPr="00E00B35" w:rsidRDefault="007A4D59" w:rsidP="00E00B35">
      <w:pPr>
        <w:spacing w:after="0" w:line="312" w:lineRule="auto"/>
        <w:rPr>
          <w:rFonts w:cs="Verdana"/>
          <w:b/>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Zastosowanie infrastruktury zielono – niebieskiej do nawadniania skweru przy ul. Bogusławskiego - demonstrator</w:t>
      </w:r>
    </w:p>
    <w:p w:rsidR="007A4D59" w:rsidRPr="00E00B35" w:rsidRDefault="007A4D59" w:rsidP="00E00B35">
      <w:pPr>
        <w:spacing w:after="0" w:line="312" w:lineRule="auto"/>
        <w:rPr>
          <w:rFonts w:cs="Verdana"/>
          <w:b/>
          <w:i/>
          <w:color w:val="000000"/>
          <w:szCs w:val="20"/>
        </w:rPr>
      </w:pPr>
    </w:p>
    <w:p w:rsidR="007A4D59" w:rsidRPr="00E00B35" w:rsidRDefault="007A4D59" w:rsidP="00E00B35">
      <w:pPr>
        <w:spacing w:after="0" w:line="312" w:lineRule="auto"/>
        <w:rPr>
          <w:szCs w:val="20"/>
        </w:rPr>
      </w:pPr>
      <w:r w:rsidRPr="00E00B35">
        <w:rPr>
          <w:szCs w:val="20"/>
        </w:rPr>
        <w:t>W ramach popularyzacji rozwiązań w zakresie zagospodarowania wód opadowych na terenie skweru pomiędzy budynkami Urzędu Miejskiego przy ul. Bogusławskiego, Zapolskiej i Świdnickiej, przedstawiono przykładowe zastosowanie infrastruktury zielono-niebieskiej w postaci demonstratora. Na skwerze zamontowano 3 zbiorniki na deszczówkę z podłączeniem do istniejącej rynny oraz wykonano linię kroplującą, która równomiernie rozprowadzaną zebraną wodę deszczową po terenie zielonego skweru. Obok skweru postawiono tablicę obrazującą sposób wykorzystania zebranej wody deszczowej.</w:t>
      </w:r>
    </w:p>
    <w:p w:rsidR="007A4D59" w:rsidRPr="00E00B35" w:rsidRDefault="007A4D59" w:rsidP="00E00B35">
      <w:pPr>
        <w:spacing w:after="0" w:line="312" w:lineRule="auto"/>
        <w:rPr>
          <w:szCs w:val="20"/>
        </w:rPr>
      </w:pPr>
      <w:r w:rsidRPr="00E00B35">
        <w:rPr>
          <w:noProof/>
          <w:szCs w:val="20"/>
          <w:lang w:val="pl-PL" w:eastAsia="pl-PL" w:bidi="ar-SA"/>
        </w:rPr>
        <w:lastRenderedPageBreak/>
        <w:drawing>
          <wp:inline distT="0" distB="0" distL="0" distR="0">
            <wp:extent cx="2261870" cy="1925320"/>
            <wp:effectExtent l="19050" t="0" r="5080" b="0"/>
            <wp:docPr id="142" name="Obraz 119" descr="zdjecie ulot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zdjecie ulotki"/>
                    <pic:cNvPicPr>
                      <a:picLocks noChangeAspect="1" noChangeArrowheads="1"/>
                    </pic:cNvPicPr>
                  </pic:nvPicPr>
                  <pic:blipFill>
                    <a:blip r:embed="rId166" cstate="print"/>
                    <a:srcRect/>
                    <a:stretch>
                      <a:fillRect/>
                    </a:stretch>
                  </pic:blipFill>
                  <pic:spPr bwMode="auto">
                    <a:xfrm>
                      <a:off x="0" y="0"/>
                      <a:ext cx="2261870" cy="1925320"/>
                    </a:xfrm>
                    <a:prstGeom prst="rect">
                      <a:avLst/>
                    </a:prstGeom>
                    <a:noFill/>
                    <a:ln w="9525">
                      <a:noFill/>
                      <a:miter lim="800000"/>
                      <a:headEnd/>
                      <a:tailEnd/>
                    </a:ln>
                  </pic:spPr>
                </pic:pic>
              </a:graphicData>
            </a:graphic>
          </wp:inline>
        </w:drawing>
      </w:r>
      <w:r w:rsidRPr="00E00B35">
        <w:rPr>
          <w:noProof/>
          <w:szCs w:val="20"/>
          <w:lang w:val="pl-PL" w:eastAsia="pl-PL" w:bidi="ar-SA"/>
        </w:rPr>
        <w:drawing>
          <wp:inline distT="0" distB="0" distL="0" distR="0">
            <wp:extent cx="1852930" cy="2478405"/>
            <wp:effectExtent l="19050" t="0" r="0" b="0"/>
            <wp:docPr id="141" name="Obraz 120" descr="zdjecie tablicy informacyjnej nt. zielono-błekitnej infrastrukt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zdjecie tablicy informacyjnej nt. zielono-błekitnej infrastruktury"/>
                    <pic:cNvPicPr>
                      <a:picLocks noChangeAspect="1" noChangeArrowheads="1"/>
                    </pic:cNvPicPr>
                  </pic:nvPicPr>
                  <pic:blipFill>
                    <a:blip r:embed="rId167" cstate="print"/>
                    <a:srcRect/>
                    <a:stretch>
                      <a:fillRect/>
                    </a:stretch>
                  </pic:blipFill>
                  <pic:spPr bwMode="auto">
                    <a:xfrm>
                      <a:off x="0" y="0"/>
                      <a:ext cx="1852930" cy="2478405"/>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rFonts w:cs="Verdana"/>
          <w:szCs w:val="20"/>
        </w:rPr>
      </w:pP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Opracowanie własne</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Standardy planowania i projektowania ulic z uwzględnieniem zielono-niebieskiej infrastruktury</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Tekstpodstawowy2"/>
        <w:spacing w:after="0" w:line="312" w:lineRule="auto"/>
        <w:rPr>
          <w:b w:val="0"/>
          <w:color w:val="auto"/>
          <w:sz w:val="20"/>
          <w:szCs w:val="20"/>
        </w:rPr>
      </w:pPr>
      <w:r w:rsidRPr="00E00B35">
        <w:rPr>
          <w:rFonts w:cs="Verdana"/>
          <w:b w:val="0"/>
          <w:color w:val="auto"/>
          <w:sz w:val="20"/>
          <w:szCs w:val="20"/>
        </w:rPr>
        <w:t>Na zlecenie WWE Uniwersytet Przyrodniczy we Wrocławiu wydał w formie monografii „Standardy  planowania i projektowania ulic z uwzględnieniem zielono-niebieskiej infrastruktury”, stanowiące kompendium wiedzy na temat proekologicznego kształtowania i planowania przestrzeni ulic, z uwzględnieniem zieleni i rozwiązań służących retencji, filtracji i infiltracji wody opadowej i roztopowej oraz elementów zagospodarowania pasa drogowego, jakimi są jezdnie, chodniki, ścieżki rowerowe i parkingi, a także sieci infrastruktury technicznej. Książka została opatrzona numerem ISBN, ISSN oraz numerem DOI Wykonawcy. Wersja elektroniczna książki w postaci PDF zostanie umieszczona w bazach, na platformach i stronach popularyzujących wiedzę.</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Tekstpodstawowy2"/>
        <w:spacing w:after="0" w:line="312" w:lineRule="auto"/>
        <w:rPr>
          <w:b w:val="0"/>
          <w:color w:val="auto"/>
          <w:sz w:val="20"/>
          <w:szCs w:val="20"/>
        </w:rPr>
      </w:pPr>
      <w:r w:rsidRPr="00E00B35">
        <w:rPr>
          <w:b w:val="0"/>
          <w:noProof/>
          <w:color w:val="auto"/>
          <w:sz w:val="20"/>
          <w:szCs w:val="20"/>
          <w:lang w:val="pl-PL" w:eastAsia="pl-PL" w:bidi="ar-SA"/>
        </w:rPr>
        <w:drawing>
          <wp:inline distT="0" distB="0" distL="0" distR="0">
            <wp:extent cx="1972945" cy="2911475"/>
            <wp:effectExtent l="19050" t="0" r="8255" b="0"/>
            <wp:docPr id="140" name="Obraz 121" descr="zdjecie okładki ze standardami planowania i zagospodarowania u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zdjecie okładki ze standardami planowania i zagospodarowania ulic"/>
                    <pic:cNvPicPr>
                      <a:picLocks noChangeAspect="1" noChangeArrowheads="1"/>
                    </pic:cNvPicPr>
                  </pic:nvPicPr>
                  <pic:blipFill>
                    <a:blip r:embed="rId168" cstate="print"/>
                    <a:srcRect/>
                    <a:stretch>
                      <a:fillRect/>
                    </a:stretch>
                  </pic:blipFill>
                  <pic:spPr bwMode="auto">
                    <a:xfrm>
                      <a:off x="0" y="0"/>
                      <a:ext cx="1972945" cy="2911475"/>
                    </a:xfrm>
                    <a:prstGeom prst="rect">
                      <a:avLst/>
                    </a:prstGeom>
                    <a:noFill/>
                    <a:ln w="9525">
                      <a:noFill/>
                      <a:miter lim="800000"/>
                      <a:headEnd/>
                      <a:tailEnd/>
                    </a:ln>
                  </pic:spPr>
                </pic:pic>
              </a:graphicData>
            </a:graphic>
          </wp:inline>
        </w:drawing>
      </w:r>
      <w:r w:rsidRPr="00E00B35">
        <w:rPr>
          <w:b w:val="0"/>
          <w:bCs w:val="0"/>
          <w:color w:val="auto"/>
          <w:sz w:val="20"/>
          <w:szCs w:val="20"/>
        </w:rPr>
        <w:t xml:space="preserve"> </w:t>
      </w:r>
      <w:r w:rsidRPr="00E00B35">
        <w:rPr>
          <w:b w:val="0"/>
          <w:noProof/>
          <w:color w:val="auto"/>
          <w:sz w:val="20"/>
          <w:szCs w:val="20"/>
          <w:lang w:val="pl-PL" w:eastAsia="pl-PL" w:bidi="ar-SA"/>
        </w:rPr>
        <w:drawing>
          <wp:inline distT="0" distB="0" distL="0" distR="0">
            <wp:extent cx="2045335" cy="2911475"/>
            <wp:effectExtent l="19050" t="0" r="0" b="0"/>
            <wp:docPr id="139" name="Obraz 122" descr="zdjęcie z przekrojem u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zdjęcie z przekrojem ulicy"/>
                    <pic:cNvPicPr>
                      <a:picLocks noChangeAspect="1" noChangeArrowheads="1"/>
                    </pic:cNvPicPr>
                  </pic:nvPicPr>
                  <pic:blipFill>
                    <a:blip r:embed="rId169" cstate="print"/>
                    <a:srcRect/>
                    <a:stretch>
                      <a:fillRect/>
                    </a:stretch>
                  </pic:blipFill>
                  <pic:spPr bwMode="auto">
                    <a:xfrm>
                      <a:off x="0" y="0"/>
                      <a:ext cx="2045335" cy="2911475"/>
                    </a:xfrm>
                    <a:prstGeom prst="rect">
                      <a:avLst/>
                    </a:prstGeom>
                    <a:noFill/>
                    <a:ln w="9525">
                      <a:noFill/>
                      <a:miter lim="800000"/>
                      <a:headEnd/>
                      <a:tailEnd/>
                    </a:ln>
                  </pic:spPr>
                </pic:pic>
              </a:graphicData>
            </a:graphic>
          </wp:inline>
        </w:drawing>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Miejski system gospodarowania wodami opadowymi i roztopowymi</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spacing w:after="0" w:line="312" w:lineRule="auto"/>
        <w:rPr>
          <w:szCs w:val="20"/>
        </w:rPr>
      </w:pPr>
      <w:r w:rsidRPr="00E00B35">
        <w:rPr>
          <w:szCs w:val="20"/>
        </w:rPr>
        <w:t>Z dniem 9 kwietnia 2019 r. Zarządzeniem Prezydenta nr 753/19 (z późn. zm.) został powołany Zespół ds. opracowania procedur miejskiego systemu gospodarowania wodami opadowymi i roztopowymi. Celem działania Zespołu jest ustalenie procedur przyjęcia w zasób mienia Urzędu Miejskiego Wrocławia elementów tworzących miejski system gospodarowania wodami opadowymi i roztopowymi oraz warunków ich przekazania do Miejskiego Przedsiębiorstwa Wodociągów i Kanalizacji S.A., jako końcowego operatora i właściciela. Z uwagi na fakt, że sieć kanalizacji deszczowej podlegająca przekazaniu do MPWiK S.A. jest w zdecydowanej większości niezinwentaryzowana, właściwe opracowanie procedur, sposobu współpracy i koordynacji działań jest niezbędne. Członkowie Zespołu oraz przedstawiciele komórek organizacyjnych Urzędu w 2020 r. omawiali zagadnienia i problemy, w tym aspekty prawne, ekonomiczne i techniczne, które w istotnym zakresie wpływają na kształt opracowywanych procedur.  Otrzymano dwie interpretacje podatkowe z Krajowej Informacji Skarbowej w kwestii podatku VAT od sprzedaży/aportu do MPWiK sieci kanalizacji deszczowej. Zawarto Aneks nr 3 do Porozumienia z dnia 07 września 2010 r. między Gminą Wrocław a MPWiK S.A. w sprawie zarządzania infrastrukturą systemu gospodarowania wodami opadowymi w mieście. Aneks uporządkował zakres Porozumienia, finansowania zadań eksploatacyjnych i inwestycyjnych oraz ponoszenie opłat za usługi wodne (stałe i zmienne) na podstawie wydanych zgód/pozwoleń wodnoprawnych, wprowadził również zmiany w zakresie obowiązków MPWiK.</w:t>
      </w:r>
    </w:p>
    <w:p w:rsidR="007A4D59" w:rsidRPr="00E00B35" w:rsidRDefault="007A4D59" w:rsidP="00E00B35">
      <w:pPr>
        <w:spacing w:after="0" w:line="312" w:lineRule="auto"/>
        <w:rPr>
          <w:b/>
          <w:szCs w:val="20"/>
        </w:rPr>
      </w:pPr>
    </w:p>
    <w:p w:rsidR="007A4D59" w:rsidRPr="00E00B35" w:rsidRDefault="007A4D59" w:rsidP="00E00B35">
      <w:pPr>
        <w:pStyle w:val="Nagwek5"/>
        <w:rPr>
          <w:szCs w:val="20"/>
        </w:rPr>
      </w:pPr>
      <w:bookmarkStart w:id="753" w:name="_Toc71032638"/>
      <w:bookmarkStart w:id="754" w:name="_Toc71034620"/>
      <w:r w:rsidRPr="00E00B35">
        <w:rPr>
          <w:szCs w:val="20"/>
        </w:rPr>
        <w:t>REALIZOWANE PROJEKTY W TEMACIE ADAPTACJI MIASTA DO ZACHODZĄCYCH ZMIAN KLIMATYCZNYCH</w:t>
      </w:r>
      <w:bookmarkEnd w:id="753"/>
      <w:bookmarkEnd w:id="754"/>
    </w:p>
    <w:p w:rsidR="007A4D59" w:rsidRPr="00E00B35" w:rsidRDefault="007A4D59" w:rsidP="00E00B35">
      <w:pPr>
        <w:pStyle w:val="Nagwek4"/>
        <w:spacing w:before="0" w:after="0" w:line="312" w:lineRule="auto"/>
        <w:rPr>
          <w:b w:val="0"/>
          <w:sz w:val="20"/>
          <w:szCs w:val="20"/>
        </w:rPr>
      </w:pPr>
      <w:r w:rsidRPr="00E00B35">
        <w:rPr>
          <w:b w:val="0"/>
          <w:sz w:val="20"/>
          <w:szCs w:val="20"/>
        </w:rPr>
        <w:t>Projekt GROW GREEN</w:t>
      </w:r>
    </w:p>
    <w:p w:rsidR="007A4D59" w:rsidRPr="00E00B35" w:rsidRDefault="007A4D59" w:rsidP="00E00B35">
      <w:pPr>
        <w:tabs>
          <w:tab w:val="num" w:pos="284"/>
        </w:tabs>
        <w:spacing w:after="0" w:line="312" w:lineRule="auto"/>
        <w:rPr>
          <w:rFonts w:cs="Verdana"/>
          <w:szCs w:val="20"/>
        </w:rPr>
      </w:pPr>
      <w:r w:rsidRPr="00E00B35">
        <w:rPr>
          <w:rFonts w:cs="Verdana"/>
          <w:szCs w:val="20"/>
        </w:rPr>
        <w:t>To projekt, który uzyskał finansowanie z ramowego programu UE Horyzont2020.W ramach projektu GrowGreen w 2020 r.  zrealizowano następujące zadania:</w:t>
      </w:r>
    </w:p>
    <w:p w:rsidR="007A4D59" w:rsidRPr="00E00B35" w:rsidRDefault="007A4D59" w:rsidP="00E00B35">
      <w:pPr>
        <w:spacing w:after="0" w:line="312" w:lineRule="auto"/>
        <w:rPr>
          <w:rFonts w:cs="Verdana"/>
          <w:szCs w:val="20"/>
        </w:rPr>
      </w:pPr>
      <w:r w:rsidRPr="00E00B35">
        <w:rPr>
          <w:rFonts w:cs="Verdana"/>
          <w:szCs w:val="20"/>
        </w:rPr>
        <w:t>opracowanie raportu „Ocena realizacji programu naukowo-badawczego GrowGreen dla obszaru  nr 5 (skrzyżowanie ul. Nowowiejskiej i ul. B. Prusa we Wrocławiu” który obejmuje:</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inwentaryzację i ocenę stanu realizacji projektu w zakresie zieleni wraz z oceną udatności nasadzeń oraz realizację celów projektu,</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ocenę przyczyn stwierdzonych problemów w oparciu o analizę projektu, jego realizacji i pielęgnacji gwarancyjnej,</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propozycje programu naprawczego – zalecenia i proponowane kierunki, zakres, rodzaj ora technologia działań naprawczych,</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wnioski i wytyczne do realizacji dalszych projektów, w zakresie celów stawianych GrowGreen,</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opracowanie „Raportu podsumowującego rozwiązania oparte na naturze zastosowane podczas realizacji projektu GrowGreen w demonstratorach nr 1, 2, 3, 4, 5, 6, 7, oraz na zielonej ulicy” który stanowi podsumowanie dotychczasowych działań w projekcie, </w:t>
      </w:r>
      <w:r w:rsidRPr="00E00B35">
        <w:rPr>
          <w:szCs w:val="20"/>
        </w:rPr>
        <w:lastRenderedPageBreak/>
        <w:t xml:space="preserve">opisuje rozwiązania zastosowane na zrealizowanych wnętrzach podwórzowych oraz zielonej ulicy wraz z wnioskami, </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przeprowadzenie czterech warsztatów z udziałem mieszkańców pn. „GrowGreen sadzimy rośliny. </w:t>
      </w:r>
    </w:p>
    <w:p w:rsidR="007A4D59" w:rsidRPr="00E00B35" w:rsidRDefault="007A4D59" w:rsidP="00E00B35">
      <w:pPr>
        <w:tabs>
          <w:tab w:val="num" w:pos="284"/>
        </w:tabs>
        <w:spacing w:after="0" w:line="312" w:lineRule="auto"/>
        <w:rPr>
          <w:rFonts w:cs="Verdana"/>
          <w:szCs w:val="20"/>
        </w:rPr>
      </w:pPr>
      <w:r w:rsidRPr="00E00B35">
        <w:rPr>
          <w:rFonts w:cs="Verdana"/>
          <w:szCs w:val="20"/>
        </w:rPr>
        <w:t>Podczas warsztatów wykonano wraz z mieszkańcami nasadzenia roślin w beczkach, a także w gruncie. Ponadto na wybranych obszarach zamontowane zostały beczki na deszczówkę, a także tabliczki informacyjne.</w:t>
      </w:r>
    </w:p>
    <w:p w:rsidR="007A4D59" w:rsidRPr="00E00B35" w:rsidRDefault="007A4D59" w:rsidP="00E00B35">
      <w:pPr>
        <w:tabs>
          <w:tab w:val="num" w:pos="284"/>
        </w:tabs>
        <w:spacing w:after="0" w:line="312" w:lineRule="auto"/>
        <w:rPr>
          <w:rFonts w:cs="Verdana"/>
          <w:szCs w:val="20"/>
        </w:rPr>
      </w:pPr>
    </w:p>
    <w:p w:rsidR="007A4D59" w:rsidRPr="00E00B35" w:rsidRDefault="007A4D59" w:rsidP="00E00B35">
      <w:pPr>
        <w:tabs>
          <w:tab w:val="num" w:pos="284"/>
        </w:tabs>
        <w:spacing w:after="0" w:line="312" w:lineRule="auto"/>
        <w:rPr>
          <w:rFonts w:cs="Verdana"/>
          <w:b/>
          <w:szCs w:val="20"/>
        </w:rPr>
      </w:pPr>
      <w:r w:rsidRPr="00E00B35">
        <w:rPr>
          <w:noProof/>
          <w:szCs w:val="20"/>
          <w:lang w:val="pl-PL" w:eastAsia="pl-PL" w:bidi="ar-SA"/>
        </w:rPr>
        <w:drawing>
          <wp:inline distT="0" distB="0" distL="0" distR="0">
            <wp:extent cx="2382520" cy="1684655"/>
            <wp:effectExtent l="19050" t="0" r="0" b="0"/>
            <wp:docPr id="138" name="Obraz 8" descr="sadzenie ros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sadzenie roslin"/>
                    <pic:cNvPicPr>
                      <a:picLocks noChangeAspect="1" noChangeArrowheads="1"/>
                    </pic:cNvPicPr>
                  </pic:nvPicPr>
                  <pic:blipFill>
                    <a:blip r:embed="rId170" cstate="print"/>
                    <a:srcRect/>
                    <a:stretch>
                      <a:fillRect/>
                    </a:stretch>
                  </pic:blipFill>
                  <pic:spPr bwMode="auto">
                    <a:xfrm>
                      <a:off x="0" y="0"/>
                      <a:ext cx="2382520" cy="1684655"/>
                    </a:xfrm>
                    <a:prstGeom prst="rect">
                      <a:avLst/>
                    </a:prstGeom>
                    <a:noFill/>
                    <a:ln w="9525">
                      <a:noFill/>
                      <a:miter lim="800000"/>
                      <a:headEnd/>
                      <a:tailEnd/>
                    </a:ln>
                  </pic:spPr>
                </pic:pic>
              </a:graphicData>
            </a:graphic>
          </wp:inline>
        </w:drawing>
      </w:r>
      <w:r w:rsidRPr="00E00B35">
        <w:rPr>
          <w:b/>
          <w:noProof/>
          <w:szCs w:val="20"/>
          <w:lang w:val="pl-PL" w:eastAsia="pl-PL" w:bidi="ar-SA"/>
        </w:rPr>
        <w:drawing>
          <wp:inline distT="0" distB="0" distL="0" distR="0">
            <wp:extent cx="2526665" cy="1684655"/>
            <wp:effectExtent l="19050" t="0" r="6985" b="0"/>
            <wp:docPr id="137" name="Obraz 9" descr="sadzenie ros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sadzenie roslin"/>
                    <pic:cNvPicPr>
                      <a:picLocks noChangeAspect="1" noChangeArrowheads="1"/>
                    </pic:cNvPicPr>
                  </pic:nvPicPr>
                  <pic:blipFill>
                    <a:blip r:embed="rId171" cstate="print"/>
                    <a:srcRect/>
                    <a:stretch>
                      <a:fillRect/>
                    </a:stretch>
                  </pic:blipFill>
                  <pic:spPr bwMode="auto">
                    <a:xfrm>
                      <a:off x="0" y="0"/>
                      <a:ext cx="2526665" cy="1684655"/>
                    </a:xfrm>
                    <a:prstGeom prst="rect">
                      <a:avLst/>
                    </a:prstGeom>
                    <a:noFill/>
                    <a:ln w="9525">
                      <a:noFill/>
                      <a:miter lim="800000"/>
                      <a:headEnd/>
                      <a:tailEnd/>
                    </a:ln>
                  </pic:spPr>
                </pic:pic>
              </a:graphicData>
            </a:graphic>
          </wp:inline>
        </w:drawing>
      </w:r>
    </w:p>
    <w:p w:rsidR="007A4D59" w:rsidRPr="00E00B35" w:rsidRDefault="007A4D59" w:rsidP="00E00B35">
      <w:pPr>
        <w:tabs>
          <w:tab w:val="num" w:pos="284"/>
        </w:tabs>
        <w:spacing w:after="0" w:line="312" w:lineRule="auto"/>
        <w:rPr>
          <w:rFonts w:cs="Verdana"/>
          <w:b/>
          <w:szCs w:val="20"/>
        </w:rPr>
      </w:pPr>
    </w:p>
    <w:p w:rsidR="007A4D59" w:rsidRPr="00E00B35" w:rsidRDefault="007A4D59" w:rsidP="00E00B35">
      <w:pPr>
        <w:spacing w:after="0" w:line="312" w:lineRule="auto"/>
        <w:rPr>
          <w:rFonts w:cs="Verdana"/>
          <w:szCs w:val="20"/>
        </w:rPr>
      </w:pPr>
      <w:r w:rsidRPr="00E00B35">
        <w:rPr>
          <w:rFonts w:cs="Verdana"/>
          <w:szCs w:val="20"/>
        </w:rPr>
        <w:t>Warsztaty z mieszkańcami „GrowGreen – Sadzimy rośliny” Fot. Grzegorz Rajter</w:t>
      </w:r>
    </w:p>
    <w:p w:rsidR="007A4D59" w:rsidRPr="00E00B35" w:rsidRDefault="007A4D59" w:rsidP="00E00B35">
      <w:pPr>
        <w:spacing w:after="0" w:line="312" w:lineRule="auto"/>
        <w:rPr>
          <w:rFonts w:cs="Calibri"/>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Projekt FoodSHIFT2030</w:t>
      </w:r>
    </w:p>
    <w:p w:rsidR="007A4D59" w:rsidRPr="00E00B35" w:rsidRDefault="007A4D59" w:rsidP="00E00B35">
      <w:pPr>
        <w:pStyle w:val="Tekstpodstawowy"/>
        <w:tabs>
          <w:tab w:val="num" w:pos="0"/>
        </w:tabs>
        <w:spacing w:after="0" w:line="312" w:lineRule="auto"/>
        <w:rPr>
          <w:szCs w:val="20"/>
        </w:rPr>
      </w:pPr>
    </w:p>
    <w:p w:rsidR="007A4D59" w:rsidRPr="00E00B35" w:rsidRDefault="007A4D59" w:rsidP="00E00B35">
      <w:pPr>
        <w:pStyle w:val="Tekstpodstawowy"/>
        <w:tabs>
          <w:tab w:val="num" w:pos="0"/>
        </w:tabs>
        <w:spacing w:after="0" w:line="312" w:lineRule="auto"/>
        <w:rPr>
          <w:rFonts w:cs="Verdana"/>
          <w:szCs w:val="20"/>
        </w:rPr>
      </w:pPr>
      <w:r w:rsidRPr="00E00B35">
        <w:rPr>
          <w:rFonts w:cs="Verdana"/>
          <w:szCs w:val="20"/>
        </w:rPr>
        <w:t xml:space="preserve">FoodSHIFT2030 to projekt, który uzyskał finansowanie z ramowego programu UE Horyzont2020 i poświęcony jest transformacji europejskiego systemu żywności w </w:t>
      </w:r>
      <w:r w:rsidRPr="00E00B35">
        <w:rPr>
          <w:rFonts w:cs="Verdana"/>
          <w:bCs/>
          <w:szCs w:val="20"/>
        </w:rPr>
        <w:t>niskoemisyjny model gospodarki o obiegu zamkniętym, promujący lokalne rolnictwo ekologiczną i zdrową żywność oraz skrócenie dystansu pomiędzy producentami i konsumentami</w:t>
      </w:r>
      <w:r w:rsidRPr="00E00B35">
        <w:rPr>
          <w:rFonts w:cs="Verdana"/>
          <w:szCs w:val="20"/>
        </w:rPr>
        <w:t xml:space="preserve">. Ma on na celu m. in. zachęcanie mieszkańców do tworzenia ogrodów społecznych. Miasto i partnerzy projektu mają za zadanie wspieranie mieszkańców podczas procesu tworzenia ogrodów. Rozpoczęły się spotkania z mieszkańcami dotyczące procedury tworzenia ogrodów społecznych. Spotkania odbywały się on-line. </w:t>
      </w:r>
    </w:p>
    <w:p w:rsidR="007A4D59" w:rsidRPr="00E00B35" w:rsidRDefault="007A4D59" w:rsidP="00E00B35">
      <w:pPr>
        <w:pStyle w:val="Tekstpodstawowy"/>
        <w:tabs>
          <w:tab w:val="num" w:pos="0"/>
        </w:tabs>
        <w:spacing w:after="0" w:line="312" w:lineRule="auto"/>
        <w:rPr>
          <w:rFonts w:cs="Verdana"/>
          <w:szCs w:val="20"/>
        </w:rPr>
      </w:pPr>
      <w:r w:rsidRPr="00E00B35">
        <w:rPr>
          <w:rFonts w:cs="Verdana"/>
          <w:szCs w:val="20"/>
        </w:rPr>
        <w:t>Kolejne zadanie to budowa ogrodów warzywnych we wrocławskich placówkach oświatowych z wykorzystaniem innowacyjnych rozwiązań, materiałów z recyklingu. W ramach projektu w roku 2020 wykonane zostały ogrody warzywne na terenie trzech wybranych placówek oświatowych: Szkoła Podstawowa nr 28, Zespól Szkól nr 16, Zespól Szkolno-Przedszkolny nr 11.</w:t>
      </w:r>
    </w:p>
    <w:p w:rsidR="007A4D59" w:rsidRPr="00E00B35" w:rsidRDefault="007A4D59" w:rsidP="00E00B35">
      <w:pPr>
        <w:tabs>
          <w:tab w:val="num" w:pos="284"/>
        </w:tabs>
        <w:spacing w:after="0" w:line="312" w:lineRule="auto"/>
        <w:rPr>
          <w:rFonts w:cs="Verdana"/>
          <w:szCs w:val="20"/>
        </w:rPr>
      </w:pPr>
      <w:r w:rsidRPr="00E00B35">
        <w:rPr>
          <w:noProof/>
          <w:szCs w:val="20"/>
          <w:lang w:val="pl-PL" w:eastAsia="pl-PL" w:bidi="ar-SA"/>
        </w:rPr>
        <w:drawing>
          <wp:inline distT="0" distB="0" distL="0" distR="0">
            <wp:extent cx="2454275" cy="1636395"/>
            <wp:effectExtent l="19050" t="0" r="3175" b="0"/>
            <wp:docPr id="136" name="Obraz 6" descr="ogródek warzywny na terenie szkoł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ogródek warzywny na terenie szkoły"/>
                    <pic:cNvPicPr>
                      <a:picLocks noChangeAspect="1" noChangeArrowheads="1"/>
                    </pic:cNvPicPr>
                  </pic:nvPicPr>
                  <pic:blipFill>
                    <a:blip r:embed="rId172" cstate="print"/>
                    <a:srcRect/>
                    <a:stretch>
                      <a:fillRect/>
                    </a:stretch>
                  </pic:blipFill>
                  <pic:spPr bwMode="auto">
                    <a:xfrm>
                      <a:off x="0" y="0"/>
                      <a:ext cx="2454275" cy="1636395"/>
                    </a:xfrm>
                    <a:prstGeom prst="rect">
                      <a:avLst/>
                    </a:prstGeom>
                    <a:noFill/>
                    <a:ln w="9525">
                      <a:noFill/>
                      <a:miter lim="800000"/>
                      <a:headEnd/>
                      <a:tailEnd/>
                    </a:ln>
                  </pic:spPr>
                </pic:pic>
              </a:graphicData>
            </a:graphic>
          </wp:inline>
        </w:drawing>
      </w:r>
      <w:r w:rsidRPr="00E00B35">
        <w:rPr>
          <w:noProof/>
          <w:szCs w:val="20"/>
          <w:lang w:val="pl-PL" w:eastAsia="pl-PL" w:bidi="ar-SA"/>
        </w:rPr>
        <w:drawing>
          <wp:inline distT="0" distB="0" distL="0" distR="0">
            <wp:extent cx="2478405" cy="1660525"/>
            <wp:effectExtent l="19050" t="0" r="0" b="0"/>
            <wp:docPr id="126" name="Obraz 10" descr="ogródek warzywny na terenie szkoł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ogródek warzywny na terenie szkoły"/>
                    <pic:cNvPicPr>
                      <a:picLocks noChangeAspect="1" noChangeArrowheads="1"/>
                    </pic:cNvPicPr>
                  </pic:nvPicPr>
                  <pic:blipFill>
                    <a:blip r:embed="rId173" cstate="print"/>
                    <a:srcRect/>
                    <a:stretch>
                      <a:fillRect/>
                    </a:stretch>
                  </pic:blipFill>
                  <pic:spPr bwMode="auto">
                    <a:xfrm>
                      <a:off x="0" y="0"/>
                      <a:ext cx="2478405" cy="1660525"/>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noProof/>
          <w:szCs w:val="20"/>
          <w:lang w:val="pl-PL" w:eastAsia="pl-PL" w:bidi="ar-SA"/>
        </w:rPr>
        <w:drawing>
          <wp:inline distT="0" distB="0" distL="0" distR="0">
            <wp:extent cx="2526665" cy="1684655"/>
            <wp:effectExtent l="19050" t="0" r="6985" b="0"/>
            <wp:docPr id="127" name="Obraz 7" descr="ogródek warzywny na terenie szkoł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ogródek warzywny na terenie szkoły"/>
                    <pic:cNvPicPr>
                      <a:picLocks noChangeAspect="1" noChangeArrowheads="1"/>
                    </pic:cNvPicPr>
                  </pic:nvPicPr>
                  <pic:blipFill>
                    <a:blip r:embed="rId174" cstate="print"/>
                    <a:srcRect/>
                    <a:stretch>
                      <a:fillRect/>
                    </a:stretch>
                  </pic:blipFill>
                  <pic:spPr bwMode="auto">
                    <a:xfrm>
                      <a:off x="0" y="0"/>
                      <a:ext cx="2526665" cy="1684655"/>
                    </a:xfrm>
                    <a:prstGeom prst="rect">
                      <a:avLst/>
                    </a:prstGeom>
                    <a:noFill/>
                    <a:ln w="9525">
                      <a:noFill/>
                      <a:miter lim="800000"/>
                      <a:headEnd/>
                      <a:tailEnd/>
                    </a:ln>
                  </pic:spPr>
                </pic:pic>
              </a:graphicData>
            </a:graphic>
          </wp:inline>
        </w:drawing>
      </w:r>
      <w:r w:rsidRPr="00E00B35">
        <w:rPr>
          <w:noProof/>
          <w:szCs w:val="20"/>
          <w:lang w:val="pl-PL" w:eastAsia="pl-PL" w:bidi="ar-SA"/>
        </w:rPr>
        <w:drawing>
          <wp:inline distT="0" distB="0" distL="0" distR="0">
            <wp:extent cx="2502535" cy="1684655"/>
            <wp:effectExtent l="19050" t="0" r="0" b="0"/>
            <wp:docPr id="128" name="Obraz 5" descr="instalacja do nawadniania ogrodu warzyw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instalacja do nawadniania ogrodu warzywnego"/>
                    <pic:cNvPicPr>
                      <a:picLocks noChangeAspect="1" noChangeArrowheads="1"/>
                    </pic:cNvPicPr>
                  </pic:nvPicPr>
                  <pic:blipFill>
                    <a:blip r:embed="rId175" cstate="print"/>
                    <a:srcRect/>
                    <a:stretch>
                      <a:fillRect/>
                    </a:stretch>
                  </pic:blipFill>
                  <pic:spPr bwMode="auto">
                    <a:xfrm>
                      <a:off x="0" y="0"/>
                      <a:ext cx="2502535" cy="1684655"/>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Przykładowe realizacje ogrodów warzywnych Fot. G.Rajter</w:t>
      </w:r>
    </w:p>
    <w:p w:rsidR="00F11E03" w:rsidRPr="00E00B35" w:rsidRDefault="00F11E03"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Projekt C-CHANGE „Kultura i sztuka w walce ze zmianami klimatu”-II ETAP</w:t>
      </w:r>
    </w:p>
    <w:p w:rsidR="007A4D59" w:rsidRPr="00E00B35" w:rsidRDefault="007A4D59" w:rsidP="00E00B35">
      <w:pPr>
        <w:spacing w:after="0" w:line="312" w:lineRule="auto"/>
        <w:rPr>
          <w:rFonts w:cs="Calibri"/>
          <w:bCs/>
          <w:szCs w:val="20"/>
        </w:rPr>
      </w:pPr>
    </w:p>
    <w:p w:rsidR="007A4D59" w:rsidRPr="00E00B35" w:rsidRDefault="007A4D59" w:rsidP="00E00B35">
      <w:pPr>
        <w:spacing w:after="0" w:line="312" w:lineRule="auto"/>
        <w:rPr>
          <w:rFonts w:cs="Arial"/>
          <w:bCs/>
          <w:color w:val="000000"/>
          <w:szCs w:val="20"/>
        </w:rPr>
      </w:pPr>
      <w:r w:rsidRPr="00E00B35">
        <w:rPr>
          <w:szCs w:val="20"/>
        </w:rPr>
        <w:t xml:space="preserve">Pomimo szerzącej się pandemii COVID-19, wszystkie zaplanowane działania na rok 2020 przeprowadzane były na bieżąco z wykorzystaniem kanałów on-line. </w:t>
      </w:r>
      <w:r w:rsidRPr="00E00B35">
        <w:rPr>
          <w:rFonts w:cs="Arial"/>
          <w:bCs/>
          <w:color w:val="000000"/>
          <w:szCs w:val="20"/>
        </w:rPr>
        <w:t>Miasto Wrocław zorganizowało i przeprowadziło w dniach 19 sierpnia, 26 sierpnia, 9 września, 16 września, 23 września 2020 roku szkolenia z zakresu badania i metod redukcji śladu węglowego (Carbon Literacy Training) dedykowane przedstawicielom miejskich Instytucji Kultury. Szkolenia  prowadzone były przez reprezentantów czterech wrocławskich Instytucji Kultury tj.; Strefę Kultury Wrocław, Miejską Bibliotekę Publiczną, Ośrodek Działań Twórczych Światowid oraz BWA Wrocław Galerie Sztuki Współczesnej.</w:t>
      </w:r>
    </w:p>
    <w:p w:rsidR="007A4D59" w:rsidRPr="00E00B35" w:rsidRDefault="007A4D59" w:rsidP="00E00B35">
      <w:pPr>
        <w:spacing w:after="0" w:line="312" w:lineRule="auto"/>
        <w:rPr>
          <w:rFonts w:cs="Arial"/>
          <w:b/>
          <w:bCs/>
          <w:color w:val="000000"/>
          <w:szCs w:val="20"/>
        </w:rPr>
      </w:pPr>
    </w:p>
    <w:p w:rsidR="007A4D59" w:rsidRPr="00E00B35" w:rsidRDefault="007A4D59" w:rsidP="00E00B35">
      <w:pPr>
        <w:spacing w:after="0" w:line="312" w:lineRule="auto"/>
        <w:rPr>
          <w:rFonts w:cs="Calibri"/>
          <w:b/>
          <w:szCs w:val="20"/>
        </w:rPr>
      </w:pPr>
      <w:r w:rsidRPr="00E00B35">
        <w:rPr>
          <w:rFonts w:cs="Arial"/>
          <w:b/>
          <w:noProof/>
          <w:color w:val="000000"/>
          <w:szCs w:val="20"/>
          <w:lang w:val="pl-PL" w:eastAsia="pl-PL" w:bidi="ar-SA"/>
        </w:rPr>
        <w:drawing>
          <wp:inline distT="0" distB="0" distL="0" distR="0">
            <wp:extent cx="3874135" cy="2021205"/>
            <wp:effectExtent l="19050" t="0" r="0" b="0"/>
            <wp:docPr id="129" name="Obraz 3" descr="zdjęcie ze szkolenia dla Instytucji Kult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djęcie ze szkolenia dla Instytucji Kultury"/>
                    <pic:cNvPicPr>
                      <a:picLocks noChangeAspect="1" noChangeArrowheads="1"/>
                    </pic:cNvPicPr>
                  </pic:nvPicPr>
                  <pic:blipFill>
                    <a:blip r:embed="rId176" cstate="print"/>
                    <a:srcRect/>
                    <a:stretch>
                      <a:fillRect/>
                    </a:stretch>
                  </pic:blipFill>
                  <pic:spPr bwMode="auto">
                    <a:xfrm>
                      <a:off x="0" y="0"/>
                      <a:ext cx="3874135" cy="2021205"/>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rFonts w:cs="Arial"/>
          <w:bCs/>
          <w:color w:val="000000"/>
          <w:szCs w:val="20"/>
        </w:rPr>
      </w:pPr>
      <w:r w:rsidRPr="00E00B35">
        <w:rPr>
          <w:rFonts w:cs="Arial"/>
          <w:bCs/>
          <w:color w:val="000000"/>
          <w:szCs w:val="20"/>
        </w:rPr>
        <w:t>Szkolenie z mierzenia śladu węglowego Fot. M.Skroban</w:t>
      </w:r>
    </w:p>
    <w:p w:rsidR="007A4D59" w:rsidRPr="00E00B35" w:rsidRDefault="007A4D59" w:rsidP="00E00B35">
      <w:pPr>
        <w:spacing w:after="0" w:line="312" w:lineRule="auto"/>
        <w:rPr>
          <w:rFonts w:cs="Calibri"/>
          <w:szCs w:val="20"/>
        </w:rPr>
      </w:pPr>
    </w:p>
    <w:p w:rsidR="007A4D59" w:rsidRPr="00E00B35" w:rsidRDefault="007A4D59" w:rsidP="00E00B35">
      <w:pPr>
        <w:spacing w:after="0" w:line="312" w:lineRule="auto"/>
        <w:rPr>
          <w:rFonts w:cs="Arial"/>
          <w:bCs/>
          <w:color w:val="000000"/>
          <w:szCs w:val="20"/>
        </w:rPr>
      </w:pPr>
      <w:r w:rsidRPr="00E00B35">
        <w:rPr>
          <w:rFonts w:cs="Arial"/>
          <w:bCs/>
          <w:color w:val="000000"/>
          <w:szCs w:val="20"/>
        </w:rPr>
        <w:t>Szkoleniowcy w oparciu o wiedzę zdobytą podczas wizyty studyjnej w Manchesterze w połączeniu z własnym doświadczeniem praktycznym opracowali autorski program szkolenia dedykowany pracownikom pionów administracyjno–technicznych i merytorycznych wrocławskich Instytucji Kultury. Łącznie przeprowadzono cztery szkolenia, po dwa dla każdego z pionów, w których wzięło udział 48 pracowników wszystkich 27 miejskich Instytucji Kultury. Szkolenia miały formę mieszaną, wykładu połączonego z duża liczbą zadań i ćwiczeń warsztatowych.</w:t>
      </w:r>
    </w:p>
    <w:p w:rsidR="007A4D59" w:rsidRPr="00E00B35" w:rsidRDefault="007A4D59" w:rsidP="00E00B35">
      <w:pPr>
        <w:spacing w:after="0" w:line="312" w:lineRule="auto"/>
        <w:rPr>
          <w:rFonts w:cs="Arial"/>
          <w:bCs/>
          <w:color w:val="000000"/>
          <w:szCs w:val="20"/>
        </w:rPr>
      </w:pPr>
      <w:r w:rsidRPr="00E00B35">
        <w:rPr>
          <w:rFonts w:cs="Arial"/>
          <w:bCs/>
          <w:color w:val="000000"/>
          <w:szCs w:val="20"/>
        </w:rPr>
        <w:lastRenderedPageBreak/>
        <w:t>Uczestnicy szkolenia mieli okazję podnieść i poszerzyć swoją wiedzę z zakresu badania i redukcji śladu węglowego oraz dzięki praktycznej wiedzy i doświadczeniu szkoleniowców, zapoznali się z dobrymi praktykami z zakresu ograniczania negatywnego wpływu CO2 na środowisko przy jednoczesnym zmniejszaniu kosztów funkcjonowania Instytucji Kultury i eksploatacji swoich obiektów.</w:t>
      </w:r>
    </w:p>
    <w:p w:rsidR="007A4D59" w:rsidRPr="00E00B35" w:rsidRDefault="007A4D59" w:rsidP="00E00B35">
      <w:pPr>
        <w:spacing w:after="0" w:line="312" w:lineRule="auto"/>
        <w:rPr>
          <w:rFonts w:cs="Calibri"/>
          <w:szCs w:val="20"/>
        </w:rPr>
      </w:pPr>
      <w:r w:rsidRPr="00E00B35">
        <w:rPr>
          <w:rFonts w:cs="Arial"/>
          <w:bCs/>
          <w:color w:val="000000"/>
          <w:szCs w:val="20"/>
        </w:rPr>
        <w:t>Istotnym elementem była dyskusja i wymiana zdań pomiędzy uczestnikami, edukatorami i przedstawicielami Urzędu Miejskiego Wrocławia. Celem wypracowania konstruktywnych wniosków, posłużono się metodą ankiet ewaluacyjnych, których analiza pozwoliła na wyodrębnienie pakietu rekomendacji. Uczestnicy zostali poproszeni o wskazanie podstawowych i kluczowych dla nich kwestii oraz zagadnień wpływających na sposób funkcjonowania ich instytucji, a także realizacji działań na rzecz ochrony klimatu i szeroko pojętej ekologii oraz zielonej edukacji. W roku 2020 przystąpiono do prac nad opracowaniem zamówienia publicznego na utworzenie narzędzia, tzw. kalkulatora śladu węglowego. Aktualizowano SIWZ oraz konsultowano jego zapisy z przedstawicielami Instytucji Kultury. Przygotowanie i wdrożenie narzędzia do badania śladu węglowego oparte jest na modelu licencyjnym. Jest to najkorzystniejsze i najbardziej popularne rozwiązanie w sektorach gospodarki mierzących ślad węglowy od kilkudziesięciu lat. Zatem na etapie realizacji umowy z wykonawcą, przeprowadzone zostaną szczegółowe konsultacje odnośnie narzędzia celem jego dostosowania do potrzeb Instytucji Kultury. Zgodnie z ogólną wiedzą na temat metodologii pomiaru śladu węglowego zakłada się, że w znacznej większości korzystanie z narzędzia wiąże się ze zbieraniem danych, które są pozyskiwane w trakcie bieżącej działalności każdego badanego podmiotu</w:t>
      </w:r>
      <w:r w:rsidRPr="00E00B35">
        <w:rPr>
          <w:rFonts w:cs="Verdana"/>
          <w:szCs w:val="20"/>
        </w:rPr>
        <w:t xml:space="preserve"> </w:t>
      </w:r>
      <w:r w:rsidRPr="00E00B35">
        <w:rPr>
          <w:szCs w:val="20"/>
        </w:rPr>
        <w:t xml:space="preserve">Rozstrzygnięto także </w:t>
      </w:r>
      <w:r w:rsidRPr="00E00B35">
        <w:rPr>
          <w:rFonts w:cs="Arial"/>
          <w:bCs/>
          <w:color w:val="000000"/>
          <w:szCs w:val="20"/>
        </w:rPr>
        <w:t>konkurs na realizację projektów pilotażowych w ramach trwającego projektu C-Change Kultura i sztuka w walce ze zmianami klimatu. Konkurs dedykowany był miejskim Instytucjom Kultury, które poprzez różnego rodzaju działania kulturalne (wystawy, warsztaty, koncerty, przedstawienia, etc.) mogły przysłużyć się podnoszeniu świadomości ekologicznej mieszkańców w zakresie zachodzących zmian klimatycznych oraz zrównoważonego rozwoju. Do udziału w konkursie zostało zgłoszonych 10 projektów. Całkowita pula środków dostępnych na dofinansowanie projektów zgłoszonych w konkursie wynosiła 21 452 PLN. Maksymalna kwota dofinansowania na realizację jednego projektu sięgała 5 000 PLN. Jury, w skład którego weszli pracownicy Wydziału Wody i Energii, po uwzględnieniu wszystkich kryteriów opisanych w Regulaminie konkursu wybrali następujące prace:</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Muzeum Współczesne Wrocław - Postępownik. Przewodnik po naturze i sztuce. </w:t>
      </w:r>
    </w:p>
    <w:p w:rsidR="007A4D59" w:rsidRPr="00E00B35" w:rsidRDefault="007A4D59" w:rsidP="00E00B35">
      <w:pPr>
        <w:spacing w:after="0" w:line="312" w:lineRule="auto"/>
        <w:ind w:left="426"/>
        <w:rPr>
          <w:szCs w:val="20"/>
        </w:rPr>
      </w:pPr>
      <w:r w:rsidRPr="00E00B35">
        <w:rPr>
          <w:szCs w:val="20"/>
        </w:rPr>
        <w:t>Projekt polega na organizacji warsztatów dla dzieci i ich rodziców z specjalistą ds. ekologii. W wyniku warsztatów powstanie publikacja, będącą wynikiem tematyki ekologii i zmian klimatu, poruszanej na warsztatach,</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 xml:space="preserve">Wrocławski Teatr Współczesny - Gramy w zielone !!! </w:t>
      </w:r>
    </w:p>
    <w:p w:rsidR="007A4D59" w:rsidRPr="00E00B35" w:rsidRDefault="007A4D59" w:rsidP="00E00B35">
      <w:pPr>
        <w:spacing w:after="0" w:line="312" w:lineRule="auto"/>
        <w:ind w:left="426"/>
        <w:rPr>
          <w:szCs w:val="20"/>
        </w:rPr>
      </w:pPr>
      <w:r w:rsidRPr="00E00B35">
        <w:rPr>
          <w:szCs w:val="20"/>
        </w:rPr>
        <w:t>Projekt polega na tworzeniu zielonych przestrzeni – oaz relaksu w teatrze, dostępnych dla aktorów i widza. Ponadto założeniem projektu jest proklamowanie idei zieleni wokół ludzi, dlatego w teatrze rozdawane są sadzonki, których rozsianiem mają zamiar zajmować się sami pracownicy teatru,</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Centrum Kultury Zamek - Roślinodzielnia w Leśnicy</w:t>
      </w:r>
    </w:p>
    <w:p w:rsidR="007A4D59" w:rsidRPr="00E00B35" w:rsidRDefault="007A4D59" w:rsidP="00E00B35">
      <w:pPr>
        <w:spacing w:after="0" w:line="312" w:lineRule="auto"/>
        <w:ind w:left="426"/>
        <w:rPr>
          <w:szCs w:val="20"/>
        </w:rPr>
      </w:pPr>
      <w:r w:rsidRPr="00E00B35">
        <w:rPr>
          <w:szCs w:val="20"/>
        </w:rPr>
        <w:lastRenderedPageBreak/>
        <w:t>Projekt polega na skonstruowaniu roślino-dzielni w CK Zamek - będzie to drewniana instalacja na ścianie, w holu CK Zamek, służąca wymianie sadzonek. Drugim elementem projektowym jest przygotowanie muralu, nawiązującego do lokalnej roślinności, który następnie razem z mieszkańcami będzie kolorowany. Zakłada się, że ww. wydarzeniom będą towarzyszyć działania promocyjne wokół roślino dzielni,</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Galeria Entropia - Ścieżka dźwiękowa do filmu "Wieloryb ratunkowy"</w:t>
      </w:r>
    </w:p>
    <w:p w:rsidR="007A4D59" w:rsidRPr="00E00B35" w:rsidRDefault="007A4D59" w:rsidP="00E00B35">
      <w:pPr>
        <w:spacing w:after="0" w:line="312" w:lineRule="auto"/>
        <w:ind w:left="426"/>
        <w:rPr>
          <w:szCs w:val="20"/>
        </w:rPr>
      </w:pPr>
      <w:r w:rsidRPr="00E00B35">
        <w:rPr>
          <w:szCs w:val="20"/>
        </w:rPr>
        <w:t>W ramach projektu powstała ścieżka dźwiękowa do filmu animowanego pn. wieloryb ratunkowy. Animacja skupia uwagę tematyce zanieczyszczeń na oceanie i sposobów walki z niekorzystnym zjawiskiem,</w:t>
      </w:r>
    </w:p>
    <w:p w:rsidR="007A4D59" w:rsidRPr="00E00B35" w:rsidRDefault="007A4D59" w:rsidP="00BC64AB">
      <w:pPr>
        <w:pStyle w:val="Akapitzlist"/>
        <w:numPr>
          <w:ilvl w:val="0"/>
          <w:numId w:val="261"/>
        </w:numPr>
        <w:spacing w:after="0" w:line="312" w:lineRule="auto"/>
        <w:ind w:left="426" w:hanging="426"/>
        <w:rPr>
          <w:szCs w:val="20"/>
        </w:rPr>
      </w:pPr>
      <w:r w:rsidRPr="00E00B35">
        <w:rPr>
          <w:szCs w:val="20"/>
        </w:rPr>
        <w:t>Miejska Biblioteka Publiczna we Wrocławiu - Eko-budowanie - czyli zrób to sam.</w:t>
      </w:r>
    </w:p>
    <w:p w:rsidR="007A4D59" w:rsidRPr="00E00B35" w:rsidRDefault="007A4D59" w:rsidP="00E00B35">
      <w:pPr>
        <w:spacing w:after="0" w:line="312" w:lineRule="auto"/>
        <w:ind w:left="426"/>
        <w:rPr>
          <w:szCs w:val="20"/>
        </w:rPr>
      </w:pPr>
      <w:r w:rsidRPr="00E00B35">
        <w:rPr>
          <w:szCs w:val="20"/>
        </w:rPr>
        <w:t xml:space="preserve">Projekt polega na tworzeniu przez pracowników instytucji różnych schronów dla małych zwierząt typu karmniki dla ptaków, domy dla jeży itd., które są instalowane w przestrzeni publicznej, a mieszkańcy mogą instalować w przestrzeniach przydomowych. Materiały, z których budowane są konstrukcje pochodzą z recyklingu. Dotacja została natomiast przeznaczone na zakup narzędzi pilarskich. </w:t>
      </w:r>
    </w:p>
    <w:p w:rsidR="007A4D59" w:rsidRPr="00E00B35" w:rsidRDefault="007A4D59" w:rsidP="00E00B35">
      <w:pPr>
        <w:pStyle w:val="Tekstpodstawowy"/>
        <w:tabs>
          <w:tab w:val="num" w:pos="0"/>
        </w:tabs>
        <w:spacing w:after="0" w:line="312" w:lineRule="auto"/>
        <w:rPr>
          <w:szCs w:val="20"/>
        </w:rPr>
      </w:pPr>
    </w:p>
    <w:p w:rsidR="007A4D59" w:rsidRPr="00E00B35" w:rsidRDefault="007A4D59" w:rsidP="00E00B35">
      <w:pPr>
        <w:pStyle w:val="Nagwek4"/>
        <w:spacing w:before="0" w:after="0" w:line="312" w:lineRule="auto"/>
        <w:rPr>
          <w:b w:val="0"/>
          <w:sz w:val="20"/>
          <w:szCs w:val="20"/>
        </w:rPr>
      </w:pPr>
      <w:bookmarkStart w:id="755" w:name="_Toc71032639"/>
      <w:r w:rsidRPr="00E00B35">
        <w:rPr>
          <w:b w:val="0"/>
          <w:sz w:val="20"/>
          <w:szCs w:val="20"/>
        </w:rPr>
        <w:t>Kampania informacyjno – edukacyjna WROCŁAW NIE MARNUJE</w:t>
      </w:r>
      <w:bookmarkEnd w:id="755"/>
    </w:p>
    <w:p w:rsidR="007A4D59" w:rsidRPr="00E00B35" w:rsidRDefault="007A4D59" w:rsidP="00E00B35">
      <w:pPr>
        <w:pStyle w:val="Tekstpodstawowy"/>
        <w:tabs>
          <w:tab w:val="num" w:pos="0"/>
        </w:tabs>
        <w:spacing w:after="0" w:line="312" w:lineRule="auto"/>
        <w:rPr>
          <w:b/>
          <w:szCs w:val="20"/>
        </w:rPr>
      </w:pPr>
    </w:p>
    <w:p w:rsidR="007A4D59" w:rsidRPr="00E00B35" w:rsidRDefault="007A4D59" w:rsidP="00E00B35">
      <w:pPr>
        <w:pStyle w:val="Tekstpodstawowy"/>
        <w:tabs>
          <w:tab w:val="num" w:pos="0"/>
        </w:tabs>
        <w:spacing w:after="0" w:line="312" w:lineRule="auto"/>
        <w:rPr>
          <w:b/>
          <w:szCs w:val="20"/>
        </w:rPr>
      </w:pPr>
      <w:r w:rsidRPr="00E00B35">
        <w:rPr>
          <w:b/>
          <w:noProof/>
          <w:szCs w:val="20"/>
          <w:lang w:val="pl-PL" w:eastAsia="pl-PL" w:bidi="ar-SA"/>
        </w:rPr>
        <w:drawing>
          <wp:inline distT="0" distB="0" distL="0" distR="0">
            <wp:extent cx="3200400" cy="1780540"/>
            <wp:effectExtent l="19050" t="0" r="0" b="0"/>
            <wp:docPr id="130" name="Obraz 130" descr="logo kampan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logo kampanii"/>
                    <pic:cNvPicPr>
                      <a:picLocks noChangeAspect="1" noChangeArrowheads="1"/>
                    </pic:cNvPicPr>
                  </pic:nvPicPr>
                  <pic:blipFill>
                    <a:blip r:embed="rId177" cstate="print"/>
                    <a:srcRect/>
                    <a:stretch>
                      <a:fillRect/>
                    </a:stretch>
                  </pic:blipFill>
                  <pic:spPr bwMode="auto">
                    <a:xfrm>
                      <a:off x="0" y="0"/>
                      <a:ext cx="3200400" cy="1780540"/>
                    </a:xfrm>
                    <a:prstGeom prst="rect">
                      <a:avLst/>
                    </a:prstGeom>
                    <a:noFill/>
                    <a:ln w="9525">
                      <a:noFill/>
                      <a:miter lim="800000"/>
                      <a:headEnd/>
                      <a:tailEnd/>
                    </a:ln>
                  </pic:spPr>
                </pic:pic>
              </a:graphicData>
            </a:graphic>
          </wp:inline>
        </w:drawing>
      </w:r>
    </w:p>
    <w:p w:rsidR="007A4D59" w:rsidRPr="00E00B35" w:rsidRDefault="007A4D59" w:rsidP="00E00B35">
      <w:pPr>
        <w:pStyle w:val="Tekstpodstawowy"/>
        <w:tabs>
          <w:tab w:val="num" w:pos="0"/>
        </w:tabs>
        <w:spacing w:after="0" w:line="312" w:lineRule="auto"/>
        <w:rPr>
          <w:szCs w:val="20"/>
        </w:rPr>
      </w:pPr>
      <w:r w:rsidRPr="00E00B35">
        <w:rPr>
          <w:szCs w:val="20"/>
        </w:rPr>
        <w:t>Logotyp kampanii</w:t>
      </w:r>
    </w:p>
    <w:p w:rsidR="007A4D59" w:rsidRPr="00E00B35" w:rsidRDefault="007A4D59" w:rsidP="00E00B35">
      <w:pPr>
        <w:pStyle w:val="Tekstpodstawowy"/>
        <w:tabs>
          <w:tab w:val="num" w:pos="0"/>
        </w:tabs>
        <w:spacing w:after="0" w:line="312" w:lineRule="auto"/>
        <w:rPr>
          <w:szCs w:val="20"/>
        </w:rPr>
      </w:pPr>
    </w:p>
    <w:p w:rsidR="007A4D59" w:rsidRPr="00E00B35" w:rsidRDefault="007A4D59" w:rsidP="00E00B35">
      <w:pPr>
        <w:pStyle w:val="Tekstpodstawowy"/>
        <w:tabs>
          <w:tab w:val="num" w:pos="0"/>
        </w:tabs>
        <w:spacing w:after="0" w:line="312" w:lineRule="auto"/>
        <w:rPr>
          <w:szCs w:val="20"/>
        </w:rPr>
      </w:pPr>
      <w:r w:rsidRPr="00E00B35">
        <w:rPr>
          <w:szCs w:val="20"/>
        </w:rPr>
        <w:t>Kontynuowano kampanię rozpoczętą w 2019 roku. Kampania bazuje na koncepcji gospodarki obiegu zamkniętego i dotyczy ponownego wykorzystywania, naprawiania, odnawiania oraz recyklingu materiałów i produktów, celem redukcji ilości powstających odpadów i zamiany ich w zasoby. Poszerzona została mapa Wrocław Nie Marnuje o rzemieślników oraz lokale zero wastowe. Na mapie obecnie jest 168 punktów wpisujących się w idee niemarnowania. Lokale less i zero wastowe otrzymały naklejki partnera kampanii. Napisano  9  postów opublikowanych za pośrednictwem profilu Zielonego Wrocławia. Stworzono plakat „10 kroków do niemarnowania”, który został przekazany w wersji papierowej do Osiedli i Centrów Aktywności Lokalnych, jak również przesłany w wersji elektronicznej. Wyemitowano trzy spoty za pośrednictwem komunikacji miejskiej w tematach: opakowania jednorazowe, zakupy zero waste, marnowanie żywności.</w:t>
      </w:r>
    </w:p>
    <w:p w:rsidR="007A4D59" w:rsidRPr="00E00B35" w:rsidRDefault="007A4D59" w:rsidP="00E00B35">
      <w:pPr>
        <w:pStyle w:val="Tekstpodstawowy"/>
        <w:tabs>
          <w:tab w:val="num" w:pos="0"/>
        </w:tabs>
        <w:spacing w:after="0" w:line="312" w:lineRule="auto"/>
        <w:rPr>
          <w:szCs w:val="20"/>
        </w:rPr>
      </w:pPr>
      <w:r w:rsidRPr="00E00B35">
        <w:rPr>
          <w:szCs w:val="20"/>
        </w:rPr>
        <w:t xml:space="preserve">Dyrektorzy Szkół Podstawowych otrzymali 10 konspektów lekcji z zakresu niemarnowania. Treści scenariuszy zostały pozytywnie zaopiniowane przez metodyka </w:t>
      </w:r>
      <w:r w:rsidRPr="00E00B35">
        <w:rPr>
          <w:szCs w:val="20"/>
        </w:rPr>
        <w:lastRenderedPageBreak/>
        <w:t>Wrocławskiego Centrum Doskonalenia Nauczycieli i są dedykowane uczniom klas III i IV. Konspekty zostały umieszczone również na stronie internetowej www.wroclaw.pl, aby rodzice i opiekunowie prawni mogli wedle potrzeb korzystać z materiałów. Rozesłano do wszystkich szkół i placówek oświatowych ankietę dotyczącą „Zmiany ekologicznych nawyków w placówkach oświatowych”. Na ankietę odpowiedziało 175 placówek. Pytania miały charakter otwarty i zamknięty i dotyczyły zarówno działań antyplastikowych, jak również podejmowanych przedsięwzięć w temacie segregacji odpadów i edukacji ekologicznej.</w:t>
      </w:r>
    </w:p>
    <w:p w:rsidR="007A4D59" w:rsidRPr="00E00B35" w:rsidRDefault="007A4D59" w:rsidP="00E00B35">
      <w:pPr>
        <w:pStyle w:val="Tekstpodstawowy"/>
        <w:tabs>
          <w:tab w:val="num" w:pos="0"/>
        </w:tabs>
        <w:spacing w:after="0" w:line="312" w:lineRule="auto"/>
        <w:rPr>
          <w:szCs w:val="20"/>
        </w:rPr>
      </w:pPr>
      <w:r w:rsidRPr="00E00B35">
        <w:rPr>
          <w:szCs w:val="20"/>
        </w:rPr>
        <w:t>Nawiązano współpracę z Miejską Biblioteką Publiczną, dzięki czemu do regałów i skrzynek bookcrossingowych rozdysponowano 1073 książki. Powstały dodatkowe regały giveboxy w budynkach Urzędu Miejskiego. Obecnie regały na książki znajdują się przy ul. Zapolskiej, Świdnickiej, Bogusławskiego, Sukiennicach 9 i 10, Nowym Targu, Hubskiej i Kromera. W 4 lokalizacjach Urzędu Miejskiego Wrocławia w dniach 21-24.09.2020 r. została zorganizowana zbiórka elektroodpadów i słoików dla Jadłodzielni Foodsharingu.  Zebrano 394 kg elektroodpadów, 135 kg baterii i 55 kg słoików. Przygotowano propozycje 6 warsztatów „Godzina dla niemarnowania” dla mieszkańców Wrocławia. Propozycje warsztatów zostały rozesłane do Osiedli. W dniu 28.02.2020 r. odbyły się pierwsze warsztaty w Centrum Aktywności Lokalnej na Tarnogaju.</w:t>
      </w:r>
    </w:p>
    <w:p w:rsidR="007A4D59" w:rsidRPr="00E00B35" w:rsidRDefault="007A4D59" w:rsidP="00E00B35">
      <w:pPr>
        <w:pStyle w:val="Tekstpodstawowy"/>
        <w:tabs>
          <w:tab w:val="num" w:pos="0"/>
        </w:tabs>
        <w:spacing w:after="0" w:line="312" w:lineRule="auto"/>
        <w:rPr>
          <w:szCs w:val="20"/>
        </w:rPr>
      </w:pPr>
      <w:r w:rsidRPr="00E00B35">
        <w:rPr>
          <w:szCs w:val="20"/>
        </w:rPr>
        <w:t>Opracowany został kurs e-learningowy dla pracowników Urzędu Miejskiego Wrocławia „Szkolenie z segregacji odpadów i gospodarki obiegu zamkniętego w Urzędzie Miejskim Wrocławia”. Pilotaż szkolenia został przeprowadzony wśród pracowników Departamentu Zrównoważonego Rozwoju (szkolenie przeszło 79 pracowników).</w:t>
      </w:r>
    </w:p>
    <w:p w:rsidR="007A4D59" w:rsidRPr="00E00B35" w:rsidRDefault="007A4D59" w:rsidP="00E00B35">
      <w:pPr>
        <w:pStyle w:val="Tekstpodstawowy"/>
        <w:tabs>
          <w:tab w:val="num" w:pos="0"/>
        </w:tabs>
        <w:spacing w:after="0" w:line="312" w:lineRule="auto"/>
        <w:rPr>
          <w:szCs w:val="20"/>
        </w:rPr>
      </w:pPr>
      <w:r w:rsidRPr="00E00B35">
        <w:rPr>
          <w:szCs w:val="20"/>
        </w:rPr>
        <w:t>Zakupione zostały gadżety ekologiczne i wielorazowe, które zostaną rozdysponowane wśród mieszkańców i uczniów. Kwota poniesiona na zakup gadżetów i gier ekologicznych to 33 210,00 zł.</w:t>
      </w:r>
    </w:p>
    <w:p w:rsidR="007A4D59" w:rsidRPr="00E00B35" w:rsidRDefault="007A4D59" w:rsidP="00E00B35">
      <w:pPr>
        <w:pStyle w:val="Tekstpodstawowy"/>
        <w:tabs>
          <w:tab w:val="num" w:pos="0"/>
        </w:tabs>
        <w:spacing w:after="0" w:line="312" w:lineRule="auto"/>
        <w:rPr>
          <w:szCs w:val="20"/>
        </w:rPr>
      </w:pPr>
      <w:r w:rsidRPr="00E00B35">
        <w:rPr>
          <w:szCs w:val="20"/>
        </w:rPr>
        <w:t>W grudniu 2020 r. zorganizowany został konkurs za pośrednictwem profilu Zielony Wrocław, gdzie 5 pakietów wielorazowych gadżetów kampanii Wrocław Nie Marnuje otrzymały osoby, które zamieściły zdjęcie prezentujące przygotowania do Świąt Bożego Narodzenia w myśli idei zero waste. Dodatkowo przekazanych zostało 50 lunchboxów pracownikom Foodsharingu, celem rozdysponowania ich w lodówkach społecznych i poprzez konkurs na nowatorski przepis przy wykorzystaniu produktów z lodówki społecznej.W grudniu 2020 r. przesłano zapytanie ofertowe do firm, celem przygotowania obudowy na lodówkę społeczną Jadłodzielni Foodsharing, która ma zostać zainstalowana w pierwszym kwartale 2021 roku przy budynku Urzędu Miejskiego przy ulicy Hubskiej.</w:t>
      </w:r>
    </w:p>
    <w:p w:rsidR="007A4D59" w:rsidRPr="00E00B35" w:rsidRDefault="007A4D59" w:rsidP="00E00B35">
      <w:pPr>
        <w:spacing w:after="0" w:line="312" w:lineRule="auto"/>
        <w:rPr>
          <w:rFonts w:cs="Calibri"/>
          <w:bCs/>
          <w:szCs w:val="20"/>
        </w:rPr>
      </w:pPr>
    </w:p>
    <w:p w:rsidR="007A4D59" w:rsidRPr="00E00B35" w:rsidRDefault="007A4D59" w:rsidP="00E00B35">
      <w:pPr>
        <w:pStyle w:val="Nagwek4"/>
        <w:spacing w:before="0" w:after="0" w:line="312" w:lineRule="auto"/>
        <w:rPr>
          <w:b w:val="0"/>
          <w:sz w:val="20"/>
          <w:szCs w:val="20"/>
        </w:rPr>
      </w:pPr>
      <w:bookmarkStart w:id="756" w:name="_Toc71032640"/>
      <w:r w:rsidRPr="00E00B35">
        <w:rPr>
          <w:b w:val="0"/>
          <w:sz w:val="20"/>
          <w:szCs w:val="20"/>
        </w:rPr>
        <w:t>Projekt GRAD - „Zielone dachy jako narzędzie adaptacji do zmiany klimatu dla obszarów miejskich”</w:t>
      </w:r>
      <w:bookmarkEnd w:id="756"/>
    </w:p>
    <w:p w:rsidR="007A4D59" w:rsidRPr="00E00B35" w:rsidRDefault="007A4D59" w:rsidP="00E00B35">
      <w:pPr>
        <w:spacing w:after="0" w:line="312" w:lineRule="auto"/>
        <w:rPr>
          <w:rFonts w:cs="Verdana"/>
          <w:szCs w:val="20"/>
        </w:rPr>
      </w:pPr>
    </w:p>
    <w:p w:rsidR="007A4D59" w:rsidRPr="00E00B35" w:rsidRDefault="007A4D59" w:rsidP="00E00B35">
      <w:pPr>
        <w:spacing w:after="0" w:line="312" w:lineRule="auto"/>
        <w:rPr>
          <w:rFonts w:cs="Calibri"/>
          <w:szCs w:val="20"/>
        </w:rPr>
      </w:pPr>
      <w:r w:rsidRPr="00E00B35">
        <w:rPr>
          <w:rFonts w:cs="Calibri"/>
          <w:szCs w:val="20"/>
        </w:rPr>
        <w:t xml:space="preserve">„Zielone dachy jako narzędzie adaptacji do zmian klimatu dla obszarów miejskich.” jest projektem ogólnopolskim, w którym oprócz Wrocławia uczestniczy siedem innych miast - Bielsko-Biała, Bydgoszcz, Gdynia, Kalisz, Kraków, Lublin, Warszawa. Partnerami projektu są: Stowarzyszenie Gmin Polska Sieć „Energie Cités” oraz Wolne i Hanzeatyckie Miasto Hamburg, Wydział Planowania Krajobrazu i Zieleni Miejskiej. Projekt jest finansowany w </w:t>
      </w:r>
      <w:r w:rsidRPr="00E00B35">
        <w:rPr>
          <w:rFonts w:cs="Calibri"/>
          <w:szCs w:val="20"/>
        </w:rPr>
        <w:lastRenderedPageBreak/>
        <w:t>ramach Europejskiej Inicjatywy na rzecz Klimatu (EUKI), stanowiącej nowy instrument finansowy niemieckiego Federalnego Ministerstwa Środowiska, Ochrony Przyrody i Bezpieczeństwa Jądrowego (BMU). Wdrażanie inicjatywy wspiera Niemieckie Towarzystwo Współpracy Międzynarodowej (GIZ). Czas trwania projektu to lipiec 2019 r. – grudzień 2020 r.</w:t>
      </w:r>
    </w:p>
    <w:p w:rsidR="007A4D59" w:rsidRPr="00E00B35" w:rsidRDefault="007A4D59" w:rsidP="00E00B35">
      <w:pPr>
        <w:spacing w:after="0" w:line="312" w:lineRule="auto"/>
        <w:rPr>
          <w:rFonts w:cs="Calibri"/>
          <w:szCs w:val="20"/>
        </w:rPr>
      </w:pPr>
      <w:r w:rsidRPr="00E00B35">
        <w:rPr>
          <w:rFonts w:cs="Calibri"/>
          <w:szCs w:val="20"/>
        </w:rPr>
        <w:t>Celem projektu GRAD jest promowanie zielonych dachów i żyjących ścian jako narzędzia adaptacji do zmian klimatu dla obszarów miejskich. W tym celu powstanie wzorcowa strategia rozwoju zielonych dachów. Projekt zakłada transfer niemieckich praktyk w tym zakresie, w tym przede wszystkim doświadczeń Miasta Hamburg. Strategia rozwoju zielonych dachów przyczyni się do wzrostu świadomości mieszkańców w zakresie korzystnego wpływu tego typu rozwiązań w walce ze zmianami klimatu, ograniczenia miejskiej wyspy ciepła, retencji wód opadowych, a także m.in. poprawy izolacyjności budynków.</w:t>
      </w:r>
    </w:p>
    <w:p w:rsidR="007A4D59" w:rsidRPr="00E00B35" w:rsidRDefault="007A4D59" w:rsidP="00E00B35">
      <w:pPr>
        <w:spacing w:after="0" w:line="312" w:lineRule="auto"/>
        <w:rPr>
          <w:rFonts w:cs="Calibri"/>
          <w:bCs/>
          <w:szCs w:val="20"/>
        </w:rPr>
      </w:pPr>
      <w:r w:rsidRPr="00E00B35">
        <w:rPr>
          <w:rFonts w:cs="Calibri"/>
          <w:szCs w:val="20"/>
        </w:rPr>
        <w:t>W 2020 r. obyły się konsultacje online w zakresie zakresu i treści strategii (kwiecień), przygotowano wstępną wersję materiałów do strategii (wrzesień), przygotowano broszurę informacyjną zawierającą dobre praktyki w zakresie adaptacji do zmian klimatu i założeń strategii zielonych dachów (październik). W grudniu 2020 r. odbyła się online konferencja podsumowująca projekt GRAD pt. „</w:t>
      </w:r>
      <w:r w:rsidRPr="00E00B35">
        <w:rPr>
          <w:rFonts w:cs="Calibri"/>
          <w:i/>
          <w:szCs w:val="20"/>
        </w:rPr>
        <w:t>Zielone dachy jako narzędzie adaptacji do zmian klimatu dla obszarów miejskich</w:t>
      </w:r>
      <w:r w:rsidRPr="00E00B35">
        <w:rPr>
          <w:rFonts w:cs="Calibri"/>
          <w:szCs w:val="20"/>
        </w:rPr>
        <w:t>”, w której przedstawiciel miasta uczestniczył w dyskusji panelowej „</w:t>
      </w:r>
      <w:r w:rsidRPr="00E00B35">
        <w:rPr>
          <w:rFonts w:cs="Calibri"/>
          <w:bCs/>
          <w:i/>
          <w:szCs w:val="20"/>
        </w:rPr>
        <w:t>Wpływ zielonych dachów na jakość życia w mieście. Jak zachęcać do ich zakładania mieszkańców, deweloperów i inne podmioty</w:t>
      </w:r>
      <w:r w:rsidRPr="00E00B35">
        <w:rPr>
          <w:rFonts w:cs="Calibri"/>
          <w:bCs/>
          <w:szCs w:val="20"/>
        </w:rPr>
        <w:t>. Projekt strategii zostanie przekazany miastu do konsultacji na początku 2021 r.</w:t>
      </w:r>
    </w:p>
    <w:p w:rsidR="007A4D59" w:rsidRPr="00E00B35" w:rsidRDefault="007A4D59" w:rsidP="00E00B35">
      <w:pPr>
        <w:spacing w:after="0" w:line="312" w:lineRule="auto"/>
        <w:rPr>
          <w:rFonts w:cs="Calibri"/>
          <w:bCs/>
          <w:szCs w:val="20"/>
        </w:rPr>
      </w:pPr>
    </w:p>
    <w:p w:rsidR="007A4D59" w:rsidRPr="00E00B35" w:rsidRDefault="007A4D59" w:rsidP="00E00B35">
      <w:pPr>
        <w:spacing w:after="0" w:line="312" w:lineRule="auto"/>
        <w:rPr>
          <w:rFonts w:cs="Calibri"/>
          <w:bCs/>
          <w:szCs w:val="20"/>
        </w:rPr>
      </w:pPr>
      <w:r w:rsidRPr="00E00B35">
        <w:rPr>
          <w:rFonts w:cs="Calibri"/>
          <w:bCs/>
          <w:noProof/>
          <w:szCs w:val="20"/>
          <w:lang w:val="pl-PL" w:eastAsia="pl-PL" w:bidi="ar-SA"/>
        </w:rPr>
        <w:drawing>
          <wp:inline distT="0" distB="0" distL="0" distR="0">
            <wp:extent cx="2502535" cy="3561080"/>
            <wp:effectExtent l="19050" t="0" r="0" b="0"/>
            <wp:docPr id="131" name="Obraz 131" descr="broszura nt. zielonych dach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broszura nt. zielonych dachów"/>
                    <pic:cNvPicPr>
                      <a:picLocks noChangeAspect="1" noChangeArrowheads="1"/>
                    </pic:cNvPicPr>
                  </pic:nvPicPr>
                  <pic:blipFill>
                    <a:blip r:embed="rId178" cstate="print"/>
                    <a:srcRect/>
                    <a:stretch>
                      <a:fillRect/>
                    </a:stretch>
                  </pic:blipFill>
                  <pic:spPr bwMode="auto">
                    <a:xfrm>
                      <a:off x="0" y="0"/>
                      <a:ext cx="2502535" cy="3561080"/>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rFonts w:cs="Tahoma"/>
          <w:szCs w:val="20"/>
        </w:rPr>
      </w:pPr>
    </w:p>
    <w:p w:rsidR="007A4D59" w:rsidRPr="00E00B35" w:rsidRDefault="007A4D59" w:rsidP="00E00B35">
      <w:pPr>
        <w:pStyle w:val="Nagwek5"/>
        <w:rPr>
          <w:szCs w:val="20"/>
        </w:rPr>
      </w:pPr>
      <w:bookmarkStart w:id="757" w:name="_Toc71032641"/>
      <w:bookmarkStart w:id="758" w:name="_Toc71034621"/>
      <w:r w:rsidRPr="00E00B35">
        <w:rPr>
          <w:szCs w:val="20"/>
        </w:rPr>
        <w:lastRenderedPageBreak/>
        <w:t>ENERGIA - PLANOWANIE ENERGETYCZNE W GMINIE WROCŁAW</w:t>
      </w:r>
      <w:bookmarkEnd w:id="757"/>
      <w:bookmarkEnd w:id="758"/>
    </w:p>
    <w:p w:rsidR="007A4D59" w:rsidRPr="00E00B35" w:rsidRDefault="007A4D59" w:rsidP="00E00B35">
      <w:pPr>
        <w:pStyle w:val="Nagwek3"/>
        <w:spacing w:after="0" w:line="312" w:lineRule="auto"/>
        <w:rPr>
          <w:b w:val="0"/>
          <w:sz w:val="20"/>
        </w:rPr>
      </w:pPr>
      <w:bookmarkStart w:id="759" w:name="_Toc71032642"/>
      <w:bookmarkStart w:id="760" w:name="_Toc71034622"/>
      <w:r w:rsidRPr="00E00B35">
        <w:rPr>
          <w:b w:val="0"/>
          <w:sz w:val="20"/>
        </w:rPr>
        <w:t xml:space="preserve"> „Założenia do planu zaopatrzenia w ciepło, energię elektryczną i paliwa gazowe dla obszaru Gminy Wrocław„ na lata 2020-2035”</w:t>
      </w:r>
      <w:bookmarkEnd w:id="759"/>
      <w:bookmarkEnd w:id="760"/>
    </w:p>
    <w:p w:rsidR="007A4D59" w:rsidRPr="00E00B35" w:rsidRDefault="007A4D59" w:rsidP="00E00B35">
      <w:pPr>
        <w:spacing w:after="0" w:line="312" w:lineRule="auto"/>
        <w:rPr>
          <w:szCs w:val="20"/>
        </w:rPr>
      </w:pPr>
    </w:p>
    <w:p w:rsidR="007A4D59" w:rsidRPr="00E00B35" w:rsidRDefault="007A4D59" w:rsidP="00E00B35">
      <w:pPr>
        <w:pStyle w:val="11Trescpisma"/>
        <w:spacing w:before="0" w:after="0" w:line="312" w:lineRule="auto"/>
        <w:jc w:val="left"/>
        <w:rPr>
          <w:szCs w:val="20"/>
        </w:rPr>
      </w:pPr>
      <w:r w:rsidRPr="00E00B35">
        <w:rPr>
          <w:szCs w:val="20"/>
        </w:rPr>
        <w:t xml:space="preserve">Gmina Wrocław planując przedsięwzięcia energetyczne na podstawie Prawa Energetycznego (art.19 ust.2 ustawy z dnia 10 kwietnia 1997r.) sporządziła dokument pn. ” Założenia do planu zaopatrzenia w ciepło, energię elektryczną i paliwa gazowe dla obszaru Gminy Wrocław” na lata 2020-2035, który został przyjęty uchwałą Nr XV/421/19 Rady Miejskiej Wrocławia w dniu 21 listopada 2019 r. Dokument taki sporządza się co 15 lat, a aktualizuje się go co 3 lata. </w:t>
      </w:r>
    </w:p>
    <w:p w:rsidR="007A4D59" w:rsidRPr="00E00B35" w:rsidRDefault="007A4D59" w:rsidP="00E00B35">
      <w:pPr>
        <w:spacing w:after="0" w:line="312" w:lineRule="auto"/>
        <w:rPr>
          <w:rFonts w:cs="Tahoma"/>
          <w:szCs w:val="20"/>
        </w:rPr>
      </w:pPr>
      <w:r w:rsidRPr="00E00B35">
        <w:rPr>
          <w:rFonts w:cs="Tahoma"/>
          <w:szCs w:val="20"/>
        </w:rPr>
        <w:t xml:space="preserve">Powyższy dokument jest strategiczny w aspekcie bezpieczeństwa energetycznego gwarantującego ciągłość zaspokajania aktualnych i perspektywicznych potrzeb Gminy Wrocław. Opracowanie to jest zgodne z innymi ustaleniami Gminy Wrocław oraz planami rozwojowymi przedsiębiorstw energetycznych działającymi na terenie Wrocławia. </w:t>
      </w:r>
    </w:p>
    <w:p w:rsidR="007A4D59" w:rsidRPr="00E00B35" w:rsidRDefault="007A4D59" w:rsidP="00E00B35">
      <w:pPr>
        <w:spacing w:after="0" w:line="312" w:lineRule="auto"/>
        <w:rPr>
          <w:rFonts w:cs="Tahoma"/>
          <w:szCs w:val="20"/>
        </w:rPr>
      </w:pPr>
    </w:p>
    <w:p w:rsidR="007A4D59" w:rsidRPr="00E00B35" w:rsidRDefault="007A4D59" w:rsidP="00E00B35">
      <w:pPr>
        <w:pStyle w:val="Nagwek4"/>
        <w:spacing w:before="0" w:after="0" w:line="312" w:lineRule="auto"/>
        <w:rPr>
          <w:b w:val="0"/>
          <w:sz w:val="20"/>
          <w:szCs w:val="20"/>
        </w:rPr>
      </w:pPr>
      <w:bookmarkStart w:id="761" w:name="_Toc71032643"/>
      <w:r w:rsidRPr="00E00B35">
        <w:rPr>
          <w:b w:val="0"/>
          <w:sz w:val="20"/>
          <w:szCs w:val="20"/>
        </w:rPr>
        <w:t>Grupa zakupowa energii elektrycznej</w:t>
      </w:r>
      <w:bookmarkEnd w:id="761"/>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Od 2012 r. Gmina Wrocław kupuje energię w ramach tak zwanych grup zakupowych. W 2020 r. przeprowadzono przetarg dla VII Grupy Zakupowej, którego przedmiotem była „Dostawa energii elektrycznej dla jednostek organizacyjnych Gminy Wrocław i innych podmiotów w okresie od 1 stycznia 2021 r. do 31 grudnia 2021 r.” na podstawie art. 16 ust. 1 ustawy Prawo zamówień publicznych. W jej skład weszło łącznie 267 podmiotów, w tym:</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231 jednostek organizacyjnych Gminy Wrocław nieposiadających osobowości prawnej (szkoły, przedszkola, Urząd Miejski  i inne),</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36 jednostek posiadających osobowość prawną (spółki, jednostki kultury, centra zdrowia).</w:t>
      </w:r>
    </w:p>
    <w:p w:rsidR="007A4D59" w:rsidRPr="00E00B35" w:rsidRDefault="007A4D59" w:rsidP="00E00B35">
      <w:pPr>
        <w:spacing w:after="0" w:line="312" w:lineRule="auto"/>
        <w:rPr>
          <w:szCs w:val="20"/>
        </w:rPr>
      </w:pPr>
      <w:r w:rsidRPr="00E00B35">
        <w:rPr>
          <w:szCs w:val="20"/>
        </w:rPr>
        <w:t>Łączny wolumen zamówionej energii dla VII Grupy Zakupowej: 169 193 MWh. Łączny szacowany koszt energii dla całej Grupy Zakupowej wyniósł około 48 mln zł +VAT. Zamówienie zostało podzielone na dwie części: oświetlenie przestrzeni publicznej oraz zaopatrzenie w energie elektryczna obiektów.</w:t>
      </w:r>
      <w:r w:rsidRPr="00E00B35">
        <w:rPr>
          <w:rFonts w:cs="Verdana"/>
          <w:color w:val="000000"/>
          <w:szCs w:val="20"/>
        </w:rPr>
        <w:t xml:space="preserve"> </w:t>
      </w:r>
      <w:r w:rsidRPr="00E00B35">
        <w:rPr>
          <w:szCs w:val="20"/>
        </w:rPr>
        <w:t xml:space="preserve">Uzyskane ceny są niższe od ceny za 2020 r. o około 12% dla każdej części zamówienia. </w:t>
      </w:r>
    </w:p>
    <w:p w:rsidR="007A4D59" w:rsidRPr="00E00B35" w:rsidRDefault="007A4D59" w:rsidP="00E00B35">
      <w:pPr>
        <w:pStyle w:val="04StanowiskoAdresata"/>
        <w:spacing w:after="0" w:line="312" w:lineRule="auto"/>
        <w:jc w:val="left"/>
        <w:rPr>
          <w:bCs w:val="0"/>
        </w:rPr>
      </w:pPr>
    </w:p>
    <w:p w:rsidR="007A4D59" w:rsidRPr="00E00B35" w:rsidRDefault="007A4D59" w:rsidP="00E00B35">
      <w:pPr>
        <w:pStyle w:val="Nagwek4"/>
        <w:spacing w:before="0" w:after="0" w:line="312" w:lineRule="auto"/>
        <w:rPr>
          <w:b w:val="0"/>
          <w:sz w:val="20"/>
          <w:szCs w:val="20"/>
        </w:rPr>
      </w:pPr>
      <w:bookmarkStart w:id="762" w:name="_Toc71032644"/>
      <w:r w:rsidRPr="00E00B35">
        <w:rPr>
          <w:b w:val="0"/>
          <w:sz w:val="20"/>
          <w:szCs w:val="20"/>
        </w:rPr>
        <w:t>Grupa zakupowa paliwa gazowego</w:t>
      </w:r>
      <w:bookmarkEnd w:id="762"/>
    </w:p>
    <w:p w:rsidR="007A4D59" w:rsidRPr="00E00B35" w:rsidRDefault="007A4D59" w:rsidP="00E00B35">
      <w:pPr>
        <w:spacing w:after="0" w:line="312" w:lineRule="auto"/>
        <w:rPr>
          <w:szCs w:val="20"/>
        </w:rPr>
      </w:pPr>
    </w:p>
    <w:p w:rsidR="007A4D59" w:rsidRPr="00E00B35" w:rsidRDefault="007A4D59" w:rsidP="00E00B35">
      <w:pPr>
        <w:pStyle w:val="04StanowiskoAdresata"/>
        <w:spacing w:after="0" w:line="312" w:lineRule="auto"/>
        <w:jc w:val="left"/>
        <w:rPr>
          <w:bCs w:val="0"/>
        </w:rPr>
      </w:pPr>
      <w:r w:rsidRPr="00E00B35">
        <w:rPr>
          <w:bCs w:val="0"/>
        </w:rPr>
        <w:t>W 2020r. gmina Wrocław dokonała po raz pierwszy zakupu paliwa gazowego w ramach tzw. I Grupy Zakupowej.</w:t>
      </w:r>
    </w:p>
    <w:p w:rsidR="007A4D59" w:rsidRPr="00E00B35" w:rsidRDefault="007A4D59" w:rsidP="00E00B35">
      <w:pPr>
        <w:pStyle w:val="04StanowiskoAdresata"/>
        <w:spacing w:after="0" w:line="312" w:lineRule="auto"/>
        <w:jc w:val="left"/>
        <w:rPr>
          <w:bCs w:val="0"/>
        </w:rPr>
      </w:pPr>
      <w:r w:rsidRPr="00E00B35">
        <w:rPr>
          <w:bCs w:val="0"/>
        </w:rPr>
        <w:t>Przeprowadzono przetarg (tryb - przetarg nieograniczony) dla I Grupy zakupowej paliwa gazowego, którego przedmiotem był „Zakup w ramach umowy kompleksowej paliwa gazowego i jego dystrybucji na potrzeby jednostek organizacyjnych Gminy Wrocław i innych podmiotów w okresie od 1 stycznia  do 31 grudnia 2021r.” na podstawie art.16 ust.1 ustawy Prawo zamówień publicznych. W jej skład weszło łącznie 157 podmiotów, w tym:</w:t>
      </w:r>
    </w:p>
    <w:p w:rsidR="007A4D59" w:rsidRPr="00E00B35" w:rsidRDefault="007A4D59" w:rsidP="00BC64AB">
      <w:pPr>
        <w:pStyle w:val="Akapitzlist"/>
        <w:numPr>
          <w:ilvl w:val="0"/>
          <w:numId w:val="262"/>
        </w:numPr>
        <w:spacing w:after="0" w:line="312" w:lineRule="auto"/>
        <w:ind w:left="426" w:hanging="426"/>
        <w:rPr>
          <w:szCs w:val="20"/>
        </w:rPr>
      </w:pPr>
      <w:r w:rsidRPr="00E00B35">
        <w:rPr>
          <w:bCs/>
          <w:szCs w:val="20"/>
        </w:rPr>
        <w:lastRenderedPageBreak/>
        <w:t xml:space="preserve">146 </w:t>
      </w:r>
      <w:r w:rsidRPr="00E00B35">
        <w:rPr>
          <w:szCs w:val="20"/>
        </w:rPr>
        <w:t>jednostki organizacyjne gminy Wrocław nieposiadające osobowości prawnej (szkoły, przedszkola, jednostki oświaty i inne),</w:t>
      </w:r>
    </w:p>
    <w:p w:rsidR="007A4D59" w:rsidRPr="00E00B35" w:rsidRDefault="007A4D59" w:rsidP="00BC64AB">
      <w:pPr>
        <w:pStyle w:val="Akapitzlist"/>
        <w:numPr>
          <w:ilvl w:val="0"/>
          <w:numId w:val="262"/>
        </w:numPr>
        <w:spacing w:after="0" w:line="312" w:lineRule="auto"/>
        <w:ind w:left="426" w:hanging="426"/>
        <w:rPr>
          <w:bCs/>
          <w:szCs w:val="20"/>
        </w:rPr>
      </w:pPr>
      <w:r w:rsidRPr="00E00B35">
        <w:rPr>
          <w:szCs w:val="20"/>
        </w:rPr>
        <w:t>11 jednostek organizacyjnych gminy Wrocław posiadających osobowość prawną  (spółki, jednostki kultury, centra zdrowia).</w:t>
      </w:r>
    </w:p>
    <w:p w:rsidR="007A4D59" w:rsidRPr="00E00B35" w:rsidRDefault="007A4D59" w:rsidP="00E00B35">
      <w:pPr>
        <w:pStyle w:val="04StanowiskoAdresata"/>
        <w:spacing w:after="0" w:line="312" w:lineRule="auto"/>
        <w:jc w:val="left"/>
        <w:rPr>
          <w:bCs w:val="0"/>
        </w:rPr>
      </w:pPr>
      <w:r w:rsidRPr="00E00B35">
        <w:rPr>
          <w:bCs w:val="0"/>
        </w:rPr>
        <w:t>Łącznie w I Grupie zakupowej znalazło się 390 punktów poboru gazu (ppg). Wybrano najkorzystniejszą ofertę złożoną przez PGNiG Obrót Detaliczny sp. z o.o. z ceną jednostkową w wysokości 0,081 zł/kWh.</w:t>
      </w:r>
    </w:p>
    <w:p w:rsidR="007A4D59" w:rsidRPr="00E00B35" w:rsidRDefault="007A4D59" w:rsidP="00E00B35">
      <w:pPr>
        <w:pStyle w:val="04StanowiskoAdresata"/>
        <w:spacing w:after="0" w:line="312" w:lineRule="auto"/>
        <w:jc w:val="left"/>
        <w:rPr>
          <w:bCs w:val="0"/>
        </w:rPr>
      </w:pPr>
      <w:r w:rsidRPr="00E00B35">
        <w:rPr>
          <w:bCs w:val="0"/>
        </w:rPr>
        <w:t>Łączny wolumen I Grupy Zakupowej : 48 579 MWh. Łączny szacowany koszt zakupu paliwa gazowego dla I Grupy zakupowej na 2021r. wyniesie ok. 6,2 mln zł + VAT.</w:t>
      </w:r>
    </w:p>
    <w:p w:rsidR="007A4D59" w:rsidRPr="00E00B35" w:rsidRDefault="007A4D59" w:rsidP="00E00B35">
      <w:pPr>
        <w:pStyle w:val="04StanowiskoAdresata"/>
        <w:spacing w:after="0" w:line="312" w:lineRule="auto"/>
        <w:jc w:val="left"/>
        <w:rPr>
          <w:bCs w:val="0"/>
        </w:rPr>
      </w:pPr>
    </w:p>
    <w:p w:rsidR="007A4D59" w:rsidRPr="00E00B35" w:rsidRDefault="007A4D59" w:rsidP="00E00B35">
      <w:pPr>
        <w:pStyle w:val="Nagwek4"/>
        <w:spacing w:before="0" w:after="0" w:line="312" w:lineRule="auto"/>
        <w:rPr>
          <w:b w:val="0"/>
          <w:sz w:val="20"/>
          <w:szCs w:val="20"/>
        </w:rPr>
      </w:pPr>
      <w:bookmarkStart w:id="763" w:name="_Toc71032645"/>
      <w:r w:rsidRPr="00E00B35">
        <w:rPr>
          <w:b w:val="0"/>
          <w:sz w:val="20"/>
          <w:szCs w:val="20"/>
        </w:rPr>
        <w:t>Odnawialne źródła energii (OZE) – PGN</w:t>
      </w:r>
      <w:bookmarkEnd w:id="763"/>
    </w:p>
    <w:p w:rsidR="007A4D59" w:rsidRPr="00E00B35" w:rsidRDefault="007A4D59" w:rsidP="00E00B35">
      <w:pPr>
        <w:spacing w:after="0" w:line="312" w:lineRule="auto"/>
        <w:rPr>
          <w:b/>
          <w:szCs w:val="20"/>
        </w:rPr>
      </w:pP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We Wrocławiu możliwe jest zwolnienie od podatku od nieruchomości budynków lub ich części podłączonych do instalacji fotowoltaicznych po spełnieniu określonych warunków. Inwestycja między innymi musi być wpisana do Planu Gospodarki Niskoemisyjnej.</w:t>
      </w: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 xml:space="preserve">W związku z zapisami paragrafu 4 Uchwały Nr XIII/316/19 Rady Miejskiej Wrocławia z dnia 5 września 2019r. </w:t>
      </w:r>
      <w:r w:rsidRPr="00E00B35">
        <w:rPr>
          <w:rFonts w:cs="Verdana"/>
          <w:i/>
          <w:iCs/>
          <w:color w:val="000000"/>
          <w:szCs w:val="20"/>
        </w:rPr>
        <w:t xml:space="preserve">w sprawie zwolnień od podatku od nieruchomości budynków lub ich części podłączonych do instalacji fotowoltaicznej, kolektora słonecznego, pompy ciepła, rekuperatora lub gruntowego wymiennika ciepła </w:t>
      </w:r>
      <w:r w:rsidRPr="00E00B35">
        <w:rPr>
          <w:rFonts w:cs="Verdana"/>
          <w:color w:val="000000"/>
          <w:szCs w:val="20"/>
        </w:rPr>
        <w:t xml:space="preserve">w 2020 roku do Planu Gospodarki Niskoemisyjnej na podstawie nadesłanych formularzy zgłoszeniowych wpisano 679 inwestycji. Wpisanie inwestycji do PGN jest jednym z warunków uzyskania i korzystania ze zwolnienia od podatku od nieruchomości budynku lub jego części na terenie Wrocławia. </w:t>
      </w:r>
    </w:p>
    <w:p w:rsidR="007A4D59" w:rsidRPr="00E00B35" w:rsidRDefault="007A4D59" w:rsidP="00E00B35">
      <w:pPr>
        <w:spacing w:after="0" w:line="312" w:lineRule="auto"/>
        <w:rPr>
          <w:rFonts w:cs="Verdana"/>
          <w:szCs w:val="20"/>
        </w:rPr>
      </w:pPr>
    </w:p>
    <w:p w:rsidR="007A4D59" w:rsidRPr="00E00B35" w:rsidRDefault="007A4D59" w:rsidP="00E00B35">
      <w:pPr>
        <w:pStyle w:val="Nagwek4"/>
        <w:spacing w:before="0" w:after="0" w:line="312" w:lineRule="auto"/>
        <w:rPr>
          <w:sz w:val="20"/>
          <w:szCs w:val="20"/>
        </w:rPr>
      </w:pPr>
      <w:bookmarkStart w:id="764" w:name="_Toc71032646"/>
      <w:bookmarkStart w:id="765" w:name="_Toc71034623"/>
      <w:r w:rsidRPr="00E00B35">
        <w:rPr>
          <w:sz w:val="20"/>
          <w:szCs w:val="20"/>
        </w:rPr>
        <w:t>PROJEKTY EDUKACYJNE W TEMACIE ZRÓWNOWAŻONEGO ROZWOJU</w:t>
      </w:r>
      <w:bookmarkEnd w:id="764"/>
      <w:bookmarkEnd w:id="765"/>
      <w:r w:rsidRPr="00E00B35">
        <w:rPr>
          <w:sz w:val="20"/>
          <w:szCs w:val="20"/>
        </w:rPr>
        <w:t xml:space="preserve"> </w:t>
      </w:r>
    </w:p>
    <w:p w:rsidR="007A4D59" w:rsidRPr="00E00B35" w:rsidRDefault="007A4D59" w:rsidP="00E00B35">
      <w:pPr>
        <w:pStyle w:val="Nagwek4"/>
        <w:spacing w:before="0" w:after="0" w:line="312" w:lineRule="auto"/>
        <w:rPr>
          <w:b w:val="0"/>
          <w:sz w:val="20"/>
          <w:szCs w:val="20"/>
        </w:rPr>
      </w:pPr>
      <w:bookmarkStart w:id="766" w:name="_Toc71032647"/>
      <w:r w:rsidRPr="00E00B35">
        <w:rPr>
          <w:b w:val="0"/>
          <w:sz w:val="20"/>
          <w:szCs w:val="20"/>
        </w:rPr>
        <w:t>Program badawczo-naukowy EKO-SZKOŁA</w:t>
      </w:r>
      <w:bookmarkEnd w:id="766"/>
    </w:p>
    <w:p w:rsidR="007A4D59" w:rsidRPr="00E00B35" w:rsidRDefault="007A4D59" w:rsidP="00E00B35">
      <w:pPr>
        <w:pStyle w:val="Tekstpodstawowy"/>
        <w:tabs>
          <w:tab w:val="num" w:pos="0"/>
        </w:tabs>
        <w:spacing w:after="0" w:line="312" w:lineRule="auto"/>
        <w:rPr>
          <w:b/>
          <w:szCs w:val="20"/>
        </w:rPr>
      </w:pPr>
    </w:p>
    <w:p w:rsidR="007A4D59" w:rsidRPr="00E00B35" w:rsidRDefault="007A4D59" w:rsidP="00E00B35">
      <w:pPr>
        <w:pStyle w:val="Tekstpodstawowy"/>
        <w:tabs>
          <w:tab w:val="num" w:pos="0"/>
        </w:tabs>
        <w:spacing w:after="0" w:line="312" w:lineRule="auto"/>
        <w:rPr>
          <w:szCs w:val="20"/>
        </w:rPr>
      </w:pPr>
      <w:r w:rsidRPr="00E00B35">
        <w:rPr>
          <w:szCs w:val="20"/>
        </w:rPr>
        <w:t>Program powstał w styczniu 2020 r. i dedykowany był uczniom, celem zachęcenia ich do angażowania się w ochronę środowiska. Wyłonionych zostało 10 placówek, a  łączna kwota dofinansowania wyniosła 92 780 zł. Przez czas trwania pandemii koordynatorzy programów po stronie placówek oświatowych przesyłali zmiany harmonogramu prac. Pracownik wspierał koordynatorów w realizacji zadań, doborze sprzętu do realizacji określonych zadań. Ze względu na pandemię finalizacja zadań w ramach programów została przesunięta na pierwszy kwartał 2021 roku.</w:t>
      </w:r>
    </w:p>
    <w:p w:rsidR="007A4D59" w:rsidRPr="00E00B35" w:rsidRDefault="007A4D59" w:rsidP="00E00B35">
      <w:pPr>
        <w:pStyle w:val="Tekstpodstawowy"/>
        <w:tabs>
          <w:tab w:val="num" w:pos="0"/>
        </w:tabs>
        <w:spacing w:after="0" w:line="312" w:lineRule="auto"/>
        <w:rPr>
          <w:b/>
          <w:szCs w:val="20"/>
        </w:rPr>
      </w:pPr>
    </w:p>
    <w:p w:rsidR="007A4D59" w:rsidRPr="00E00B35" w:rsidRDefault="007A4D59" w:rsidP="00E00B35">
      <w:pPr>
        <w:pStyle w:val="Nagwek4"/>
        <w:spacing w:before="0" w:after="0" w:line="312" w:lineRule="auto"/>
        <w:rPr>
          <w:b w:val="0"/>
          <w:sz w:val="20"/>
          <w:szCs w:val="20"/>
        </w:rPr>
      </w:pPr>
      <w:bookmarkStart w:id="767" w:name="_Toc71032648"/>
      <w:r w:rsidRPr="00E00B35">
        <w:rPr>
          <w:b w:val="0"/>
          <w:sz w:val="20"/>
          <w:szCs w:val="20"/>
        </w:rPr>
        <w:t>Eko-Eksperyment</w:t>
      </w:r>
      <w:bookmarkEnd w:id="767"/>
    </w:p>
    <w:p w:rsidR="007A4D59" w:rsidRPr="00E00B35" w:rsidRDefault="007A4D59" w:rsidP="00E00B35">
      <w:pPr>
        <w:pStyle w:val="Tekstpodstawowy"/>
        <w:tabs>
          <w:tab w:val="num" w:pos="0"/>
        </w:tabs>
        <w:spacing w:after="0" w:line="312" w:lineRule="auto"/>
        <w:rPr>
          <w:b/>
          <w:szCs w:val="20"/>
        </w:rPr>
      </w:pPr>
    </w:p>
    <w:p w:rsidR="007A4D59" w:rsidRPr="00E00B35" w:rsidRDefault="007A4D59" w:rsidP="00E00B35">
      <w:pPr>
        <w:pStyle w:val="Tekstpodstawowy"/>
        <w:tabs>
          <w:tab w:val="num" w:pos="0"/>
        </w:tabs>
        <w:spacing w:after="0" w:line="312" w:lineRule="auto"/>
        <w:rPr>
          <w:szCs w:val="20"/>
        </w:rPr>
      </w:pPr>
      <w:r w:rsidRPr="00E00B35">
        <w:rPr>
          <w:szCs w:val="20"/>
        </w:rPr>
        <w:t xml:space="preserve">W partnerstwie z Fundacją Open Mind złożony został wniosek o dofinansowanie projektu pn.: „Eko-eksperyment! Nowe technologie w nauczaniu przedmiotów matematyczno-przyrodniczych z  elementami przedsiębiorczości i  ekorozwiązań”. Jego celem było podniesienie kompetencji kluczowych w zakresie nauk matematyczno-przyrodniczych w  szkołach ponadgimnazjalnych oraz podniesienie kompetencji nauczycieli w zakresie nauczania eksperymentalnego w Gminie Wrocław. W projekcie brało udział 5 szkół </w:t>
      </w:r>
      <w:r w:rsidRPr="00E00B35">
        <w:rPr>
          <w:szCs w:val="20"/>
        </w:rPr>
        <w:lastRenderedPageBreak/>
        <w:t>ponadgimnazjalnych: Liceum Ogólnokształcące nr 15, Technikum nr 15, Zespoły Szkół nr 3 i 19; Zespół Szkół Logistycznych. W ramach projektu realizowane są następujące zadania:</w:t>
      </w:r>
    </w:p>
    <w:p w:rsidR="007A4D59" w:rsidRPr="00E00B35" w:rsidRDefault="007A4D59" w:rsidP="00BC64AB">
      <w:pPr>
        <w:pStyle w:val="Akapitzlist"/>
        <w:numPr>
          <w:ilvl w:val="0"/>
          <w:numId w:val="262"/>
        </w:numPr>
        <w:spacing w:after="0" w:line="312" w:lineRule="auto"/>
        <w:ind w:left="426" w:hanging="426"/>
        <w:rPr>
          <w:bCs/>
          <w:szCs w:val="20"/>
        </w:rPr>
      </w:pPr>
      <w:r w:rsidRPr="00E00B35">
        <w:rPr>
          <w:bCs/>
          <w:szCs w:val="20"/>
        </w:rPr>
        <w:t>wyposażenie szkół uczestniczących w projekcie w sprzęt TIK – drukarki 3D, tablice interaktywne, mikroskopy,</w:t>
      </w:r>
    </w:p>
    <w:p w:rsidR="007A4D59" w:rsidRPr="00E00B35" w:rsidRDefault="007A4D59" w:rsidP="00BC64AB">
      <w:pPr>
        <w:pStyle w:val="Akapitzlist"/>
        <w:numPr>
          <w:ilvl w:val="0"/>
          <w:numId w:val="262"/>
        </w:numPr>
        <w:spacing w:after="0" w:line="312" w:lineRule="auto"/>
        <w:ind w:left="426" w:hanging="426"/>
        <w:rPr>
          <w:bCs/>
          <w:szCs w:val="20"/>
        </w:rPr>
      </w:pPr>
      <w:r w:rsidRPr="00E00B35">
        <w:rPr>
          <w:bCs/>
          <w:szCs w:val="20"/>
        </w:rPr>
        <w:t>opracowanie konspektów i skryptów na zajęcia pozalekcyjne oraz pozaszkolne,</w:t>
      </w:r>
    </w:p>
    <w:p w:rsidR="007A4D59" w:rsidRPr="00E00B35" w:rsidRDefault="007A4D59" w:rsidP="00BC64AB">
      <w:pPr>
        <w:pStyle w:val="Akapitzlist"/>
        <w:numPr>
          <w:ilvl w:val="0"/>
          <w:numId w:val="262"/>
        </w:numPr>
        <w:spacing w:after="0" w:line="312" w:lineRule="auto"/>
        <w:ind w:left="426" w:hanging="426"/>
        <w:rPr>
          <w:bCs/>
          <w:szCs w:val="20"/>
        </w:rPr>
      </w:pPr>
      <w:r w:rsidRPr="00E00B35">
        <w:rPr>
          <w:bCs/>
          <w:szCs w:val="20"/>
        </w:rPr>
        <w:t>przeszkolenie nauczycieli z wykorzystywania opracowanych konspektów, skryptów oraz narzędzi TIK,</w:t>
      </w:r>
    </w:p>
    <w:p w:rsidR="007A4D59" w:rsidRPr="00E00B35" w:rsidRDefault="007A4D59" w:rsidP="00BC64AB">
      <w:pPr>
        <w:pStyle w:val="Akapitzlist"/>
        <w:numPr>
          <w:ilvl w:val="0"/>
          <w:numId w:val="262"/>
        </w:numPr>
        <w:spacing w:after="0" w:line="312" w:lineRule="auto"/>
        <w:ind w:left="426" w:hanging="426"/>
        <w:rPr>
          <w:bCs/>
          <w:szCs w:val="20"/>
        </w:rPr>
      </w:pPr>
      <w:r w:rsidRPr="00E00B35">
        <w:rPr>
          <w:bCs/>
          <w:szCs w:val="20"/>
        </w:rPr>
        <w:t>przeprowadzanie zajęć pozalekcyjnych oraz pozaszkolnych.</w:t>
      </w:r>
    </w:p>
    <w:p w:rsidR="00A11E45" w:rsidRPr="00E00B35" w:rsidRDefault="00A11E45" w:rsidP="00E00B35">
      <w:pPr>
        <w:pStyle w:val="Akapitzlist"/>
        <w:spacing w:after="0" w:line="312" w:lineRule="auto"/>
        <w:ind w:left="426"/>
        <w:rPr>
          <w:bCs/>
          <w:szCs w:val="20"/>
        </w:rPr>
      </w:pPr>
    </w:p>
    <w:p w:rsidR="007A4D59" w:rsidRPr="00E00B35" w:rsidRDefault="007A4D59" w:rsidP="00E00B35">
      <w:pPr>
        <w:pStyle w:val="Tekstpodstawowy"/>
        <w:tabs>
          <w:tab w:val="num" w:pos="0"/>
        </w:tabs>
        <w:spacing w:after="0" w:line="312" w:lineRule="auto"/>
        <w:rPr>
          <w:szCs w:val="20"/>
        </w:rPr>
      </w:pPr>
      <w:r w:rsidRPr="00E00B35">
        <w:rPr>
          <w:szCs w:val="20"/>
        </w:rPr>
        <w:t>W projekcie wzięło udział 934 uczniów oraz 32 nauczycieli. Całkowita wartość projektu: 856 877,62 zł, kwota dofinansowania: 813 950,62 zł. W 2020 roku projekt został rozliczony i zakończony.</w:t>
      </w:r>
    </w:p>
    <w:p w:rsidR="007A4D59" w:rsidRPr="00E00B35" w:rsidRDefault="007A4D59" w:rsidP="00E00B35">
      <w:pPr>
        <w:pStyle w:val="Tekstpodstawowy"/>
        <w:tabs>
          <w:tab w:val="num" w:pos="0"/>
        </w:tabs>
        <w:spacing w:after="0" w:line="312" w:lineRule="auto"/>
        <w:rPr>
          <w:b/>
          <w:szCs w:val="20"/>
        </w:rPr>
      </w:pPr>
    </w:p>
    <w:p w:rsidR="007A4D59" w:rsidRPr="00E00B35" w:rsidRDefault="007A4D59" w:rsidP="00E00B35">
      <w:pPr>
        <w:pStyle w:val="Nagwek4"/>
        <w:spacing w:before="0" w:after="0" w:line="312" w:lineRule="auto"/>
        <w:rPr>
          <w:b w:val="0"/>
          <w:sz w:val="20"/>
          <w:szCs w:val="20"/>
        </w:rPr>
      </w:pPr>
      <w:bookmarkStart w:id="768" w:name="_Toc71032649"/>
      <w:r w:rsidRPr="00E00B35">
        <w:rPr>
          <w:b w:val="0"/>
          <w:sz w:val="20"/>
          <w:szCs w:val="20"/>
        </w:rPr>
        <w:t>Kampania „Małe kroki, wielkie zmiany”</w:t>
      </w:r>
      <w:bookmarkEnd w:id="768"/>
    </w:p>
    <w:p w:rsidR="007A4D59" w:rsidRPr="00E00B35" w:rsidRDefault="007A4D59" w:rsidP="00E00B35">
      <w:pPr>
        <w:pStyle w:val="Tekstpodstawowy"/>
        <w:tabs>
          <w:tab w:val="num" w:pos="0"/>
        </w:tabs>
        <w:spacing w:after="0" w:line="312" w:lineRule="auto"/>
        <w:rPr>
          <w:b/>
          <w:szCs w:val="20"/>
        </w:rPr>
      </w:pPr>
    </w:p>
    <w:p w:rsidR="007A4D59" w:rsidRPr="00E00B35" w:rsidRDefault="007A4D59" w:rsidP="00E00B35">
      <w:pPr>
        <w:pStyle w:val="Tekstpodstawowy"/>
        <w:tabs>
          <w:tab w:val="num" w:pos="0"/>
        </w:tabs>
        <w:spacing w:after="0" w:line="312" w:lineRule="auto"/>
        <w:rPr>
          <w:szCs w:val="20"/>
        </w:rPr>
      </w:pPr>
      <w:r w:rsidRPr="00E00B35">
        <w:rPr>
          <w:szCs w:val="20"/>
        </w:rPr>
        <w:t>Kampania „Małe kroki, wielkie zmiany” to kampania edukacyjno-informacyjna z zakresu ochrony bioróżnorodności oraz ochrony jakości powietrza we Wrocławiu i 10 gminach Dolnego Śląska, do której celów należą:</w:t>
      </w:r>
    </w:p>
    <w:p w:rsidR="007A4D59" w:rsidRPr="00E00B35" w:rsidRDefault="007A4D59" w:rsidP="00BC64AB">
      <w:pPr>
        <w:pStyle w:val="Akapitzlist"/>
        <w:numPr>
          <w:ilvl w:val="0"/>
          <w:numId w:val="262"/>
        </w:numPr>
        <w:spacing w:after="0" w:line="312" w:lineRule="auto"/>
        <w:ind w:left="426" w:hanging="426"/>
        <w:rPr>
          <w:bCs/>
          <w:szCs w:val="20"/>
        </w:rPr>
      </w:pPr>
      <w:r w:rsidRPr="00E00B35">
        <w:rPr>
          <w:bCs/>
          <w:szCs w:val="20"/>
        </w:rPr>
        <w:t>upowszechnienie wiedzy z  zakresu ochrony środowiska i  zrównoważonego rozwoju;</w:t>
      </w:r>
    </w:p>
    <w:p w:rsidR="007A4D59" w:rsidRPr="00E00B35" w:rsidRDefault="007A4D59" w:rsidP="00BC64AB">
      <w:pPr>
        <w:pStyle w:val="Akapitzlist"/>
        <w:numPr>
          <w:ilvl w:val="0"/>
          <w:numId w:val="262"/>
        </w:numPr>
        <w:spacing w:after="0" w:line="312" w:lineRule="auto"/>
        <w:ind w:left="426" w:hanging="426"/>
        <w:rPr>
          <w:bCs/>
          <w:szCs w:val="20"/>
        </w:rPr>
      </w:pPr>
      <w:r w:rsidRPr="00E00B35">
        <w:rPr>
          <w:bCs/>
          <w:szCs w:val="20"/>
        </w:rPr>
        <w:t>kształtowanie zachowań pro środowiskowych ogółu społeczeństwa, w tym wśród rodzin oraz osób starszych;</w:t>
      </w:r>
    </w:p>
    <w:p w:rsidR="007A4D59" w:rsidRPr="00E00B35" w:rsidRDefault="007A4D59" w:rsidP="00BC64AB">
      <w:pPr>
        <w:pStyle w:val="Akapitzlist"/>
        <w:numPr>
          <w:ilvl w:val="0"/>
          <w:numId w:val="262"/>
        </w:numPr>
        <w:spacing w:after="0" w:line="312" w:lineRule="auto"/>
        <w:ind w:left="426" w:hanging="426"/>
        <w:rPr>
          <w:bCs/>
          <w:szCs w:val="20"/>
        </w:rPr>
      </w:pPr>
      <w:r w:rsidRPr="00E00B35">
        <w:rPr>
          <w:bCs/>
          <w:szCs w:val="20"/>
        </w:rPr>
        <w:t>aktywizacja społeczna – budowanie społeczeństwa obywatelskiego w obszarze ochrony środowiska i zrównoważonego rozwoju;</w:t>
      </w:r>
    </w:p>
    <w:p w:rsidR="007A4D59" w:rsidRPr="00E00B35" w:rsidRDefault="007A4D59" w:rsidP="00BC64AB">
      <w:pPr>
        <w:pStyle w:val="Akapitzlist"/>
        <w:numPr>
          <w:ilvl w:val="0"/>
          <w:numId w:val="262"/>
        </w:numPr>
        <w:spacing w:after="0" w:line="312" w:lineRule="auto"/>
        <w:ind w:left="426" w:hanging="426"/>
        <w:rPr>
          <w:bCs/>
          <w:szCs w:val="20"/>
        </w:rPr>
      </w:pPr>
      <w:r w:rsidRPr="00E00B35">
        <w:rPr>
          <w:bCs/>
          <w:szCs w:val="20"/>
        </w:rPr>
        <w:t>ograniczenie liczby zjawisk patologicznych w zakresie niszczenia siedlisk oraz gatunków chronionych, w tym ptaków, związanym z ogrzewaniem mieszkań za pomocą substancji zakazanych - silnie trujących, a także propagowania rozwiązań proekologicznych dotyczących ogrzewania mieszkań.</w:t>
      </w:r>
    </w:p>
    <w:p w:rsidR="007A4D59" w:rsidRPr="00E00B35" w:rsidRDefault="007A4D59" w:rsidP="00E00B35">
      <w:pPr>
        <w:pStyle w:val="Tekstpodstawowy"/>
        <w:tabs>
          <w:tab w:val="num" w:pos="0"/>
        </w:tabs>
        <w:spacing w:after="0" w:line="312" w:lineRule="auto"/>
        <w:rPr>
          <w:szCs w:val="20"/>
        </w:rPr>
      </w:pPr>
      <w:r w:rsidRPr="00E00B35">
        <w:rPr>
          <w:szCs w:val="20"/>
        </w:rPr>
        <w:t>Gmina Wrocław była liderem projektu, a partnerami Wyższa Szkoła Bankowa we Wrocławiu, Fundacja Centrum Aktywnego Wsparcia z Brzegu oraz Wojewódzki Inspektorat Ochrony Środowiska we Wrocławiu.</w:t>
      </w:r>
    </w:p>
    <w:p w:rsidR="007A4D59" w:rsidRPr="00E00B35" w:rsidRDefault="007A4D59" w:rsidP="00E00B35">
      <w:pPr>
        <w:pStyle w:val="Tekstpodstawowy"/>
        <w:tabs>
          <w:tab w:val="num" w:pos="0"/>
        </w:tabs>
        <w:spacing w:after="0" w:line="312" w:lineRule="auto"/>
        <w:rPr>
          <w:szCs w:val="20"/>
        </w:rPr>
      </w:pPr>
      <w:r w:rsidRPr="00E00B35">
        <w:rPr>
          <w:szCs w:val="20"/>
        </w:rPr>
        <w:t>Całkowita wartość projektu wyniosła: 592 561,40 zł, kwota dofinansowania: 503 677,19 zł. W 2020 roku kampania została rozliczona i zakończona.</w:t>
      </w:r>
    </w:p>
    <w:p w:rsidR="007A4D59" w:rsidRPr="00E00B35" w:rsidRDefault="007A4D59" w:rsidP="00E00B35">
      <w:pPr>
        <w:pStyle w:val="Tekstpodstawowy"/>
        <w:tabs>
          <w:tab w:val="num" w:pos="0"/>
        </w:tabs>
        <w:spacing w:after="0" w:line="312" w:lineRule="auto"/>
        <w:rPr>
          <w:szCs w:val="20"/>
        </w:rPr>
      </w:pPr>
    </w:p>
    <w:p w:rsidR="007A4D59" w:rsidRPr="00E00B35" w:rsidRDefault="007A4D59" w:rsidP="00E00B35">
      <w:pPr>
        <w:pStyle w:val="Tekstpodstawowy"/>
        <w:tabs>
          <w:tab w:val="num" w:pos="0"/>
        </w:tabs>
        <w:spacing w:after="0" w:line="312" w:lineRule="auto"/>
        <w:rPr>
          <w:szCs w:val="20"/>
        </w:rPr>
      </w:pPr>
      <w:r w:rsidRPr="00E00B35">
        <w:rPr>
          <w:szCs w:val="20"/>
        </w:rPr>
        <w:t>Zasięg kampanii na podstawie danych przekazanych przez media przestawia poniższa tabela.</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44"/>
        <w:gridCol w:w="6437"/>
        <w:gridCol w:w="1750"/>
      </w:tblGrid>
      <w:tr w:rsidR="007A4D59" w:rsidRPr="00E00B35" w:rsidTr="006D3493">
        <w:trPr>
          <w:trHeight w:val="539"/>
        </w:trPr>
        <w:tc>
          <w:tcPr>
            <w:tcW w:w="744"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bCs/>
                <w:color w:val="000000"/>
                <w:szCs w:val="20"/>
              </w:rPr>
            </w:pPr>
            <w:r w:rsidRPr="00E00B35">
              <w:rPr>
                <w:bCs/>
                <w:color w:val="000000"/>
                <w:szCs w:val="20"/>
              </w:rPr>
              <w:t>L.p.</w:t>
            </w:r>
          </w:p>
        </w:tc>
        <w:tc>
          <w:tcPr>
            <w:tcW w:w="6437"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bCs/>
                <w:color w:val="000000"/>
                <w:szCs w:val="20"/>
              </w:rPr>
            </w:pPr>
            <w:r w:rsidRPr="00E00B35">
              <w:rPr>
                <w:bCs/>
                <w:color w:val="000000"/>
                <w:szCs w:val="20"/>
              </w:rPr>
              <w:t>Szczegółowe miejsce realizacji wskaźnika</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bCs/>
                <w:color w:val="000000"/>
                <w:szCs w:val="20"/>
              </w:rPr>
            </w:pPr>
            <w:r w:rsidRPr="00E00B35">
              <w:rPr>
                <w:bCs/>
                <w:color w:val="000000"/>
                <w:szCs w:val="20"/>
              </w:rPr>
              <w:t>Zasięg</w:t>
            </w:r>
          </w:p>
          <w:p w:rsidR="007A4D59" w:rsidRPr="00E00B35" w:rsidRDefault="007A4D59" w:rsidP="00E00B35">
            <w:pPr>
              <w:spacing w:after="0" w:line="312" w:lineRule="auto"/>
              <w:rPr>
                <w:bCs/>
                <w:color w:val="000000"/>
                <w:szCs w:val="20"/>
              </w:rPr>
            </w:pPr>
            <w:r w:rsidRPr="00E00B35">
              <w:rPr>
                <w:bCs/>
                <w:color w:val="000000"/>
                <w:szCs w:val="20"/>
              </w:rPr>
              <w:t>(liczba odbiorców)</w:t>
            </w:r>
          </w:p>
        </w:tc>
      </w:tr>
      <w:tr w:rsidR="007A4D59" w:rsidRPr="00E00B35" w:rsidTr="006D3493">
        <w:trPr>
          <w:trHeight w:val="219"/>
        </w:trPr>
        <w:tc>
          <w:tcPr>
            <w:tcW w:w="744"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color w:val="000000"/>
                <w:szCs w:val="20"/>
              </w:rPr>
            </w:pPr>
            <w:r w:rsidRPr="00E00B35">
              <w:rPr>
                <w:color w:val="000000"/>
                <w:szCs w:val="20"/>
              </w:rPr>
              <w:t>1</w:t>
            </w:r>
          </w:p>
        </w:tc>
        <w:tc>
          <w:tcPr>
            <w:tcW w:w="6437"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Facebook</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320 324</w:t>
            </w:r>
          </w:p>
        </w:tc>
      </w:tr>
      <w:tr w:rsidR="007A4D59" w:rsidRPr="00E00B35" w:rsidTr="006D3493">
        <w:trPr>
          <w:trHeight w:val="219"/>
        </w:trPr>
        <w:tc>
          <w:tcPr>
            <w:tcW w:w="744"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color w:val="000000"/>
                <w:szCs w:val="20"/>
              </w:rPr>
            </w:pPr>
            <w:r w:rsidRPr="00E00B35">
              <w:rPr>
                <w:color w:val="000000"/>
                <w:szCs w:val="20"/>
              </w:rPr>
              <w:t>2</w:t>
            </w:r>
          </w:p>
        </w:tc>
        <w:tc>
          <w:tcPr>
            <w:tcW w:w="6437"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YouTube</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325</w:t>
            </w:r>
          </w:p>
        </w:tc>
      </w:tr>
      <w:tr w:rsidR="007A4D59" w:rsidRPr="00E00B35" w:rsidTr="006D3493">
        <w:trPr>
          <w:trHeight w:val="219"/>
        </w:trPr>
        <w:tc>
          <w:tcPr>
            <w:tcW w:w="744"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color w:val="000000"/>
                <w:szCs w:val="20"/>
              </w:rPr>
            </w:pPr>
            <w:r w:rsidRPr="00E00B35">
              <w:rPr>
                <w:color w:val="000000"/>
                <w:szCs w:val="20"/>
              </w:rPr>
              <w:t>3</w:t>
            </w:r>
          </w:p>
        </w:tc>
        <w:tc>
          <w:tcPr>
            <w:tcW w:w="6437"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Twitter</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44 000</w:t>
            </w:r>
          </w:p>
        </w:tc>
      </w:tr>
      <w:tr w:rsidR="007A4D59" w:rsidRPr="00E00B35" w:rsidTr="006D3493">
        <w:trPr>
          <w:trHeight w:val="219"/>
        </w:trPr>
        <w:tc>
          <w:tcPr>
            <w:tcW w:w="744"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color w:val="000000"/>
                <w:szCs w:val="20"/>
              </w:rPr>
            </w:pPr>
            <w:r w:rsidRPr="00E00B35">
              <w:rPr>
                <w:color w:val="000000"/>
                <w:szCs w:val="20"/>
              </w:rPr>
              <w:t>4</w:t>
            </w:r>
          </w:p>
        </w:tc>
        <w:tc>
          <w:tcPr>
            <w:tcW w:w="6437"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Instagram</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1 429</w:t>
            </w:r>
          </w:p>
        </w:tc>
      </w:tr>
      <w:tr w:rsidR="007A4D59" w:rsidRPr="00E00B35" w:rsidTr="006D3493">
        <w:trPr>
          <w:trHeight w:val="219"/>
        </w:trPr>
        <w:tc>
          <w:tcPr>
            <w:tcW w:w="744"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color w:val="000000"/>
                <w:szCs w:val="20"/>
              </w:rPr>
            </w:pPr>
            <w:r w:rsidRPr="00E00B35">
              <w:rPr>
                <w:color w:val="000000"/>
                <w:szCs w:val="20"/>
              </w:rPr>
              <w:lastRenderedPageBreak/>
              <w:t>5</w:t>
            </w:r>
          </w:p>
        </w:tc>
        <w:tc>
          <w:tcPr>
            <w:tcW w:w="6437"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www.wroclaw.pl</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7 415</w:t>
            </w:r>
          </w:p>
        </w:tc>
      </w:tr>
      <w:tr w:rsidR="007A4D59" w:rsidRPr="00E00B35" w:rsidTr="006D3493">
        <w:trPr>
          <w:trHeight w:val="219"/>
        </w:trPr>
        <w:tc>
          <w:tcPr>
            <w:tcW w:w="744"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color w:val="000000"/>
                <w:szCs w:val="20"/>
              </w:rPr>
            </w:pPr>
            <w:r w:rsidRPr="00E00B35">
              <w:rPr>
                <w:color w:val="000000"/>
                <w:szCs w:val="20"/>
              </w:rPr>
              <w:t>6</w:t>
            </w:r>
          </w:p>
        </w:tc>
        <w:tc>
          <w:tcPr>
            <w:tcW w:w="6437"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Gazeta Nasze Miasto</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189 800</w:t>
            </w:r>
          </w:p>
        </w:tc>
      </w:tr>
      <w:tr w:rsidR="007A4D59" w:rsidRPr="00E00B35" w:rsidTr="006D3493">
        <w:trPr>
          <w:trHeight w:val="219"/>
        </w:trPr>
        <w:tc>
          <w:tcPr>
            <w:tcW w:w="744"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color w:val="000000"/>
                <w:szCs w:val="20"/>
              </w:rPr>
            </w:pPr>
            <w:r w:rsidRPr="00E00B35">
              <w:rPr>
                <w:color w:val="000000"/>
                <w:szCs w:val="20"/>
              </w:rPr>
              <w:t>7</w:t>
            </w:r>
          </w:p>
        </w:tc>
        <w:tc>
          <w:tcPr>
            <w:tcW w:w="6437"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Gazeta Wrocławska</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140 500</w:t>
            </w:r>
          </w:p>
        </w:tc>
      </w:tr>
      <w:tr w:rsidR="007A4D59" w:rsidRPr="00E00B35" w:rsidTr="006D3493">
        <w:trPr>
          <w:trHeight w:val="219"/>
        </w:trPr>
        <w:tc>
          <w:tcPr>
            <w:tcW w:w="744"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color w:val="000000"/>
                <w:szCs w:val="20"/>
              </w:rPr>
            </w:pPr>
            <w:r w:rsidRPr="00E00B35">
              <w:rPr>
                <w:color w:val="000000"/>
                <w:szCs w:val="20"/>
              </w:rPr>
              <w:t>8</w:t>
            </w:r>
          </w:p>
        </w:tc>
        <w:tc>
          <w:tcPr>
            <w:tcW w:w="6437"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Radio Rodzina</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205 000</w:t>
            </w:r>
          </w:p>
        </w:tc>
      </w:tr>
      <w:tr w:rsidR="007A4D59" w:rsidRPr="00E00B35" w:rsidTr="006D3493">
        <w:trPr>
          <w:trHeight w:val="219"/>
        </w:trPr>
        <w:tc>
          <w:tcPr>
            <w:tcW w:w="744"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color w:val="000000"/>
                <w:szCs w:val="20"/>
              </w:rPr>
            </w:pPr>
            <w:r w:rsidRPr="00E00B35">
              <w:rPr>
                <w:color w:val="000000"/>
                <w:szCs w:val="20"/>
              </w:rPr>
              <w:t>9</w:t>
            </w:r>
          </w:p>
        </w:tc>
        <w:tc>
          <w:tcPr>
            <w:tcW w:w="6437"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TVP3 Wrocław</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1 521 000</w:t>
            </w:r>
          </w:p>
        </w:tc>
      </w:tr>
      <w:tr w:rsidR="007A4D59" w:rsidRPr="00E00B35" w:rsidTr="006D3493">
        <w:trPr>
          <w:trHeight w:val="201"/>
        </w:trPr>
        <w:tc>
          <w:tcPr>
            <w:tcW w:w="744"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color w:val="000000"/>
                <w:szCs w:val="20"/>
              </w:rPr>
            </w:pPr>
            <w:r w:rsidRPr="00E00B35">
              <w:rPr>
                <w:color w:val="000000"/>
                <w:szCs w:val="20"/>
              </w:rPr>
              <w:t>10</w:t>
            </w:r>
          </w:p>
        </w:tc>
        <w:tc>
          <w:tcPr>
            <w:tcW w:w="6437" w:type="dxa"/>
            <w:tcBorders>
              <w:top w:val="single" w:sz="4" w:space="0" w:color="auto"/>
              <w:left w:val="single" w:sz="4" w:space="0" w:color="auto"/>
              <w:bottom w:val="single" w:sz="4" w:space="0" w:color="auto"/>
              <w:right w:val="single" w:sz="4" w:space="0" w:color="auto"/>
            </w:tcBorders>
            <w:vAlign w:val="center"/>
            <w:hideMark/>
          </w:tcPr>
          <w:p w:rsidR="007A4D59" w:rsidRPr="00E00B35" w:rsidRDefault="007A4D59" w:rsidP="00E00B35">
            <w:pPr>
              <w:spacing w:after="0" w:line="312" w:lineRule="auto"/>
              <w:rPr>
                <w:color w:val="000000"/>
                <w:szCs w:val="20"/>
              </w:rPr>
            </w:pPr>
            <w:r w:rsidRPr="00E00B35">
              <w:rPr>
                <w:color w:val="000000"/>
                <w:szCs w:val="20"/>
              </w:rPr>
              <w:t>warsztaty i spotkania z mieszkańcami</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color w:val="000000"/>
                <w:szCs w:val="20"/>
              </w:rPr>
            </w:pPr>
            <w:r w:rsidRPr="00E00B35">
              <w:rPr>
                <w:color w:val="000000"/>
                <w:szCs w:val="20"/>
              </w:rPr>
              <w:t>1 921</w:t>
            </w:r>
          </w:p>
        </w:tc>
      </w:tr>
      <w:tr w:rsidR="007A4D59" w:rsidRPr="00E00B35" w:rsidTr="006D3493">
        <w:trPr>
          <w:trHeight w:val="219"/>
        </w:trPr>
        <w:tc>
          <w:tcPr>
            <w:tcW w:w="744" w:type="dxa"/>
            <w:tcBorders>
              <w:top w:val="single" w:sz="4" w:space="0" w:color="auto"/>
              <w:left w:val="single" w:sz="4" w:space="0" w:color="auto"/>
              <w:bottom w:val="single" w:sz="4" w:space="0" w:color="auto"/>
              <w:right w:val="nil"/>
            </w:tcBorders>
            <w:vAlign w:val="center"/>
          </w:tcPr>
          <w:p w:rsidR="007A4D59" w:rsidRPr="00E00B35" w:rsidRDefault="007A4D59" w:rsidP="00E00B35">
            <w:pPr>
              <w:spacing w:after="0" w:line="312" w:lineRule="auto"/>
              <w:rPr>
                <w:bCs/>
                <w:color w:val="000000"/>
                <w:szCs w:val="20"/>
              </w:rPr>
            </w:pPr>
          </w:p>
        </w:tc>
        <w:tc>
          <w:tcPr>
            <w:tcW w:w="6437" w:type="dxa"/>
            <w:tcBorders>
              <w:top w:val="single" w:sz="4" w:space="0" w:color="auto"/>
              <w:left w:val="nil"/>
              <w:bottom w:val="single" w:sz="4" w:space="0" w:color="auto"/>
              <w:right w:val="single" w:sz="4" w:space="0" w:color="auto"/>
            </w:tcBorders>
            <w:noWrap/>
            <w:vAlign w:val="center"/>
            <w:hideMark/>
          </w:tcPr>
          <w:p w:rsidR="007A4D59" w:rsidRPr="00E00B35" w:rsidRDefault="007A4D59" w:rsidP="00E00B35">
            <w:pPr>
              <w:spacing w:after="0" w:line="312" w:lineRule="auto"/>
              <w:rPr>
                <w:bCs/>
                <w:color w:val="000000"/>
                <w:szCs w:val="20"/>
              </w:rPr>
            </w:pPr>
            <w:r w:rsidRPr="00E00B35">
              <w:rPr>
                <w:bCs/>
                <w:color w:val="000000"/>
                <w:szCs w:val="20"/>
              </w:rPr>
              <w:t>suma</w:t>
            </w:r>
          </w:p>
        </w:tc>
        <w:tc>
          <w:tcPr>
            <w:tcW w:w="1750" w:type="dxa"/>
            <w:tcBorders>
              <w:top w:val="single" w:sz="4" w:space="0" w:color="auto"/>
              <w:left w:val="single" w:sz="4" w:space="0" w:color="auto"/>
              <w:bottom w:val="single" w:sz="4" w:space="0" w:color="auto"/>
              <w:right w:val="single" w:sz="4" w:space="0" w:color="auto"/>
            </w:tcBorders>
            <w:noWrap/>
            <w:vAlign w:val="center"/>
            <w:hideMark/>
          </w:tcPr>
          <w:p w:rsidR="007A4D59" w:rsidRPr="00E00B35" w:rsidRDefault="007A4D59" w:rsidP="00E00B35">
            <w:pPr>
              <w:spacing w:after="0" w:line="312" w:lineRule="auto"/>
              <w:rPr>
                <w:bCs/>
                <w:color w:val="000000"/>
                <w:szCs w:val="20"/>
              </w:rPr>
            </w:pPr>
            <w:r w:rsidRPr="00E00B35">
              <w:rPr>
                <w:bCs/>
                <w:color w:val="000000"/>
                <w:szCs w:val="20"/>
              </w:rPr>
              <w:t>2 431 714</w:t>
            </w:r>
          </w:p>
        </w:tc>
      </w:tr>
    </w:tbl>
    <w:p w:rsidR="007A4D59" w:rsidRPr="00E00B35" w:rsidRDefault="007A4D59" w:rsidP="00E00B35">
      <w:pPr>
        <w:pStyle w:val="Tekstpodstawowy"/>
        <w:tabs>
          <w:tab w:val="num" w:pos="0"/>
        </w:tabs>
        <w:spacing w:after="0" w:line="312" w:lineRule="auto"/>
        <w:rPr>
          <w:szCs w:val="20"/>
        </w:rPr>
      </w:pPr>
    </w:p>
    <w:p w:rsidR="007A4D59" w:rsidRPr="00E00B35" w:rsidRDefault="007A4D59" w:rsidP="00E00B35">
      <w:pPr>
        <w:spacing w:after="0" w:line="312" w:lineRule="auto"/>
        <w:rPr>
          <w:rFonts w:cs="Calibri"/>
          <w:szCs w:val="20"/>
        </w:rPr>
      </w:pPr>
      <w:r w:rsidRPr="00E00B35">
        <w:rPr>
          <w:rFonts w:cs="Calibri"/>
          <w:szCs w:val="20"/>
        </w:rPr>
        <w:t>Realizacja zadań publicznych w trybie 19a w zakresie nauki, szkolnictwa wyższego, edukacji i oświaty</w:t>
      </w:r>
    </w:p>
    <w:p w:rsidR="007A4D59" w:rsidRPr="00E00B35" w:rsidRDefault="007A4D59" w:rsidP="00E00B35">
      <w:pPr>
        <w:pStyle w:val="Nagwek4"/>
        <w:spacing w:before="0" w:after="0" w:line="312" w:lineRule="auto"/>
        <w:rPr>
          <w:b w:val="0"/>
          <w:sz w:val="20"/>
          <w:szCs w:val="20"/>
        </w:rPr>
      </w:pPr>
      <w:r w:rsidRPr="00E00B35">
        <w:rPr>
          <w:b w:val="0"/>
          <w:sz w:val="20"/>
          <w:szCs w:val="20"/>
        </w:rPr>
        <w:t>W roku 2020 zrealizowano dwie oferty na zadanie publiczne w trybie 19a:</w:t>
      </w:r>
    </w:p>
    <w:p w:rsidR="007A4D59" w:rsidRPr="00E00B35" w:rsidRDefault="007A4D59" w:rsidP="00BC64AB">
      <w:pPr>
        <w:pStyle w:val="Akapitzlist"/>
        <w:numPr>
          <w:ilvl w:val="0"/>
          <w:numId w:val="262"/>
        </w:numPr>
        <w:spacing w:after="0" w:line="312" w:lineRule="auto"/>
        <w:ind w:left="426" w:hanging="426"/>
        <w:rPr>
          <w:rFonts w:cs="Verdana"/>
          <w:color w:val="000000"/>
          <w:szCs w:val="20"/>
        </w:rPr>
      </w:pPr>
      <w:r w:rsidRPr="00E00B35">
        <w:rPr>
          <w:bCs/>
          <w:szCs w:val="20"/>
        </w:rPr>
        <w:t>umowa</w:t>
      </w:r>
      <w:r w:rsidRPr="00E00B35">
        <w:rPr>
          <w:rFonts w:cs="Verdana"/>
          <w:szCs w:val="20"/>
        </w:rPr>
        <w:t xml:space="preserve"> na kwotę</w:t>
      </w:r>
      <w:r w:rsidRPr="00E00B35">
        <w:rPr>
          <w:rFonts w:cs="Verdana"/>
          <w:color w:val="000000"/>
          <w:szCs w:val="20"/>
        </w:rPr>
        <w:t xml:space="preserve"> </w:t>
      </w:r>
      <w:r w:rsidRPr="00E00B35">
        <w:rPr>
          <w:rFonts w:cs="Verdana"/>
          <w:szCs w:val="20"/>
        </w:rPr>
        <w:t>9 524,40 PLN z Dolnośląskim Klubem Ekologicznym na realizację zadania publicznego pod tytułem” Biuletyn ekologiczny „Zielona Planeta” nr 5(152)/2020 – druk i dystrybucja. Celem zadania jest dofinansowanie na przygotowanie, wydanie i dystrybucję „Zielonej Planety”.</w:t>
      </w:r>
      <w:r w:rsidRPr="00E00B35">
        <w:rPr>
          <w:rFonts w:cs="Verdana"/>
          <w:color w:val="000000"/>
          <w:szCs w:val="20"/>
        </w:rPr>
        <w:t xml:space="preserve"> Biuletyn jest dwumiesięcznikiem wydawanym od 1995r w którym przybliża się zagadnienia z zakresu polityki klimatycznej i ekologicznej ale także prezentuje się artykuły dotyczące walorów środowiska przyrodniczego naszego rejonu. Jest formą edukacji o szerokim zasięgu, docierając zarówno do mieszkańców Wrocławia jak i Dolnego Śląska.</w:t>
      </w:r>
    </w:p>
    <w:p w:rsidR="007A4D59" w:rsidRPr="00E00B35" w:rsidRDefault="007A4D59" w:rsidP="00BC64AB">
      <w:pPr>
        <w:pStyle w:val="Akapitzlist"/>
        <w:numPr>
          <w:ilvl w:val="0"/>
          <w:numId w:val="262"/>
        </w:numPr>
        <w:spacing w:after="0" w:line="312" w:lineRule="auto"/>
        <w:ind w:left="426" w:hanging="426"/>
        <w:rPr>
          <w:color w:val="000000"/>
          <w:szCs w:val="20"/>
        </w:rPr>
      </w:pPr>
      <w:r w:rsidRPr="00E00B35">
        <w:rPr>
          <w:rFonts w:cs="Verdana"/>
          <w:szCs w:val="20"/>
        </w:rPr>
        <w:t xml:space="preserve">umowa na kwotę 10 000,00 PLN ze Stowarzyszeniem Społeczno-Kulturalnym DW Działamy Wspólnie na realizację zadania publicznego pt. „Zaginiona kropla wody”- tydzień inspiracji do działań proekologicznych w przedszkolu i domu. </w:t>
      </w:r>
      <w:r w:rsidRPr="00E00B35">
        <w:rPr>
          <w:rFonts w:cs="Verdana"/>
          <w:color w:val="000000"/>
          <w:szCs w:val="20"/>
        </w:rPr>
        <w:t>Celem projektu była realizacja działań warsztatowych, teatralnych oraz lekcji w 15 przedszkolach na terenie Wrocławia w temacie funkcjonowania i znaczenia ekosystemu wodnego. Podczas warsztatów dzieci zdobyły wiedzę z zakresu oszczędzania i  racjonalnego korzystania z wody. W czasie trwania zajęć została wykonana scenografia, która została wykorzystana podczas etiudy teatralnej nawiązującej do wszystkich aspektów poruszanych w projekcie.</w:t>
      </w:r>
    </w:p>
    <w:p w:rsidR="00B1753A" w:rsidRDefault="00B1753A" w:rsidP="00E00B35">
      <w:pPr>
        <w:pStyle w:val="Nagwek5"/>
        <w:rPr>
          <w:szCs w:val="20"/>
        </w:rPr>
      </w:pPr>
      <w:bookmarkStart w:id="769" w:name="_Toc71032650"/>
      <w:bookmarkStart w:id="770" w:name="_Toc71034624"/>
    </w:p>
    <w:p w:rsidR="007A4D59" w:rsidRPr="00E00B35" w:rsidRDefault="007A4D59" w:rsidP="00E00B35">
      <w:pPr>
        <w:pStyle w:val="Nagwek5"/>
        <w:rPr>
          <w:szCs w:val="20"/>
        </w:rPr>
      </w:pPr>
      <w:r w:rsidRPr="00E00B35">
        <w:rPr>
          <w:szCs w:val="20"/>
        </w:rPr>
        <w:t>OCHRONA PRZYRODY I BIORÓŻNORODNOŚCI</w:t>
      </w:r>
      <w:bookmarkEnd w:id="769"/>
      <w:bookmarkEnd w:id="770"/>
    </w:p>
    <w:p w:rsidR="007A4D59" w:rsidRPr="00E00B35" w:rsidRDefault="007A4D59" w:rsidP="00E00B35">
      <w:pPr>
        <w:pStyle w:val="NormalnyWeb"/>
        <w:spacing w:before="0" w:beforeAutospacing="0" w:after="0" w:afterAutospacing="0" w:line="312" w:lineRule="auto"/>
        <w:rPr>
          <w:szCs w:val="20"/>
        </w:rPr>
      </w:pPr>
      <w:r w:rsidRPr="00E00B35">
        <w:rPr>
          <w:szCs w:val="20"/>
        </w:rPr>
        <w:t>W 2020 r. kontynuowano prowadzenie Rejestru zwierząt gatunków wymienionych w załącznikach A i B rozporządzenia Rady (WE) nr 338/97 z dnia 9 grudnia 1996r. w sprawie ochrony dzikiej fauny i flory w drodze regulacji handlu nimi, zaliczonych do płazów, gadów, ptaków lub ssaków (6141).</w:t>
      </w:r>
    </w:p>
    <w:p w:rsidR="007A4D59" w:rsidRPr="00E00B35" w:rsidRDefault="007A4D59" w:rsidP="00E00B35">
      <w:pPr>
        <w:pStyle w:val="NormalnyWeb"/>
        <w:spacing w:before="0" w:beforeAutospacing="0" w:after="0" w:afterAutospacing="0" w:line="312" w:lineRule="auto"/>
        <w:rPr>
          <w:rFonts w:cs="Verdana"/>
          <w:szCs w:val="20"/>
        </w:rPr>
      </w:pPr>
      <w:r w:rsidRPr="00E00B35">
        <w:rPr>
          <w:rFonts w:cs="Verdana"/>
          <w:szCs w:val="20"/>
        </w:rPr>
        <w:t>Na podstawie złożonych wniosków wydano 99 zaświadczeń o wpisie do rejestru zwierząt zagrożonych wyginięciem, 15 informacji o skreśleniu z rejestru, 3 informacje o zmianie danych.</w:t>
      </w:r>
    </w:p>
    <w:p w:rsidR="007A4D59" w:rsidRPr="00E00B35" w:rsidRDefault="007A4D59" w:rsidP="00E00B35">
      <w:pPr>
        <w:pStyle w:val="NormalnyWeb"/>
        <w:spacing w:before="0" w:beforeAutospacing="0" w:after="0" w:afterAutospacing="0" w:line="312" w:lineRule="auto"/>
        <w:rPr>
          <w:rFonts w:cs="Verdana"/>
          <w:bCs/>
          <w:szCs w:val="20"/>
        </w:rPr>
      </w:pPr>
      <w:r w:rsidRPr="00E00B35">
        <w:rPr>
          <w:szCs w:val="20"/>
        </w:rPr>
        <w:t>Do najliczniej wpisanych do rejestru zwierząt należą przedstawiciele gromady gadów - 130 osobników i płazów – 81 osobników, poza tym do rejestru wpisano 27 osobników ptaków. Udział ilościowy poszczególnych gatunków w randze gromad przedstawia się następująco:</w:t>
      </w:r>
    </w:p>
    <w:p w:rsidR="007A4D59" w:rsidRPr="00E00B35" w:rsidRDefault="007A4D59" w:rsidP="00E00B35">
      <w:pPr>
        <w:spacing w:after="0" w:line="312" w:lineRule="auto"/>
        <w:rPr>
          <w:rFonts w:cs="Verdana"/>
          <w:b/>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lastRenderedPageBreak/>
        <w:t>Płazy (</w:t>
      </w:r>
      <w:r w:rsidRPr="00E00B35">
        <w:rPr>
          <w:b w:val="0"/>
          <w:iCs w:val="0"/>
          <w:sz w:val="20"/>
          <w:szCs w:val="20"/>
        </w:rPr>
        <w:t>AMPHIBIA</w:t>
      </w:r>
      <w:r w:rsidRPr="00E00B35">
        <w:rPr>
          <w:b w:val="0"/>
          <w:sz w:val="20"/>
          <w:szCs w:val="20"/>
        </w:rPr>
        <w:t>)</w:t>
      </w:r>
    </w:p>
    <w:p w:rsidR="007A4D59" w:rsidRPr="00E00B35" w:rsidRDefault="007A4D59" w:rsidP="00E00B35">
      <w:pPr>
        <w:spacing w:after="0" w:line="312" w:lineRule="auto"/>
        <w:rPr>
          <w:rFonts w:cs="Verdana"/>
          <w:bCs/>
          <w:szCs w:val="20"/>
        </w:rPr>
      </w:pPr>
    </w:p>
    <w:tbl>
      <w:tblPr>
        <w:tblW w:w="0" w:type="auto"/>
        <w:tblInd w:w="70" w:type="dxa"/>
        <w:tblLayout w:type="fixed"/>
        <w:tblCellMar>
          <w:left w:w="70" w:type="dxa"/>
          <w:right w:w="70" w:type="dxa"/>
        </w:tblCellMar>
        <w:tblLook w:val="04A0"/>
      </w:tblPr>
      <w:tblGrid>
        <w:gridCol w:w="1418"/>
        <w:gridCol w:w="4819"/>
        <w:gridCol w:w="2552"/>
      </w:tblGrid>
      <w:tr w:rsidR="007A4D59" w:rsidRPr="00E00B35" w:rsidTr="006D3493">
        <w:trPr>
          <w:trHeight w:val="503"/>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bCs/>
                <w:szCs w:val="20"/>
              </w:rPr>
            </w:pPr>
            <w:r w:rsidRPr="00E00B35">
              <w:rPr>
                <w:rFonts w:cs="Arial"/>
                <w:bCs/>
                <w:szCs w:val="20"/>
              </w:rPr>
              <w:t>L.p.</w:t>
            </w:r>
          </w:p>
        </w:tc>
        <w:tc>
          <w:tcPr>
            <w:tcW w:w="4819" w:type="dxa"/>
            <w:tcBorders>
              <w:top w:val="single" w:sz="4" w:space="0" w:color="000000"/>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bCs/>
                <w:szCs w:val="20"/>
              </w:rPr>
            </w:pPr>
            <w:r w:rsidRPr="00E00B35">
              <w:rPr>
                <w:rFonts w:cs="Arial"/>
                <w:bCs/>
                <w:szCs w:val="20"/>
              </w:rPr>
              <w:t>Takson</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bCs/>
                <w:szCs w:val="20"/>
              </w:rPr>
            </w:pPr>
            <w:r w:rsidRPr="00E00B35">
              <w:rPr>
                <w:rFonts w:cs="Arial"/>
                <w:bCs/>
                <w:szCs w:val="20"/>
              </w:rPr>
              <w:t>Liczba zarejestrowanych</w:t>
            </w:r>
          </w:p>
          <w:p w:rsidR="007A4D59" w:rsidRPr="00E00B35" w:rsidRDefault="007A4D59" w:rsidP="00E00B35">
            <w:pPr>
              <w:spacing w:after="0" w:line="312" w:lineRule="auto"/>
              <w:rPr>
                <w:rFonts w:cs="Arial"/>
                <w:bCs/>
                <w:szCs w:val="20"/>
              </w:rPr>
            </w:pPr>
            <w:r w:rsidRPr="00E00B35">
              <w:rPr>
                <w:rFonts w:cs="Arial"/>
                <w:bCs/>
                <w:szCs w:val="20"/>
              </w:rPr>
              <w:t>okazów</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i/>
                <w:szCs w:val="20"/>
              </w:rPr>
            </w:pPr>
            <w:r w:rsidRPr="00E00B35">
              <w:rPr>
                <w:i/>
                <w:szCs w:val="20"/>
              </w:rPr>
              <w:t>Ranitomeya imitator</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18</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szCs w:val="20"/>
              </w:rPr>
            </w:pPr>
            <w:r w:rsidRPr="00E00B35">
              <w:rPr>
                <w:i/>
                <w:szCs w:val="20"/>
              </w:rPr>
              <w:t xml:space="preserve">Dendrobates leucomelas </w:t>
            </w:r>
            <w:r w:rsidRPr="00E00B35">
              <w:rPr>
                <w:szCs w:val="20"/>
              </w:rPr>
              <w:t>drzewołaz żółtopasy</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18</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3</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szCs w:val="20"/>
              </w:rPr>
            </w:pPr>
            <w:r w:rsidRPr="00E00B35">
              <w:rPr>
                <w:i/>
                <w:szCs w:val="20"/>
              </w:rPr>
              <w:t>Dendrobates auratus</w:t>
            </w:r>
            <w:r w:rsidRPr="00E00B35">
              <w:rPr>
                <w:szCs w:val="20"/>
              </w:rPr>
              <w:t xml:space="preserve"> drzewołaz złocisty</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11</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4</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szCs w:val="20"/>
              </w:rPr>
            </w:pPr>
            <w:r w:rsidRPr="00E00B35">
              <w:rPr>
                <w:i/>
                <w:szCs w:val="20"/>
              </w:rPr>
              <w:t xml:space="preserve">Oophaga pumilio </w:t>
            </w:r>
            <w:r w:rsidRPr="00E00B35">
              <w:rPr>
                <w:szCs w:val="20"/>
              </w:rPr>
              <w:t>drzewołaz karłowaty</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7</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5</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i/>
                <w:szCs w:val="20"/>
                <w:highlight w:val="yellow"/>
              </w:rPr>
            </w:pPr>
            <w:r w:rsidRPr="00E00B35">
              <w:rPr>
                <w:i/>
                <w:szCs w:val="20"/>
              </w:rPr>
              <w:t>Ranitomeya benedicta</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5</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6</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szCs w:val="20"/>
              </w:rPr>
            </w:pPr>
            <w:r w:rsidRPr="00E00B35">
              <w:rPr>
                <w:i/>
                <w:szCs w:val="20"/>
              </w:rPr>
              <w:t xml:space="preserve">Phyllobates vittatus </w:t>
            </w:r>
            <w:r w:rsidRPr="00E00B35">
              <w:rPr>
                <w:szCs w:val="20"/>
              </w:rPr>
              <w:t>liściołaz paskowany</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5</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7</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i/>
                <w:szCs w:val="20"/>
              </w:rPr>
            </w:pPr>
            <w:r w:rsidRPr="00E00B35">
              <w:rPr>
                <w:i/>
                <w:szCs w:val="20"/>
              </w:rPr>
              <w:t>Ranitomeya fantastica</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4</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8</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i/>
                <w:szCs w:val="20"/>
              </w:rPr>
            </w:pPr>
            <w:r w:rsidRPr="00E00B35">
              <w:rPr>
                <w:i/>
                <w:szCs w:val="20"/>
              </w:rPr>
              <w:t>Ranitomeya vanzolini</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3</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9</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szCs w:val="20"/>
              </w:rPr>
            </w:pPr>
            <w:r w:rsidRPr="00E00B35">
              <w:rPr>
                <w:i/>
                <w:szCs w:val="20"/>
              </w:rPr>
              <w:t xml:space="preserve">Phyllobates terribilis </w:t>
            </w:r>
            <w:r w:rsidRPr="00E00B35">
              <w:rPr>
                <w:szCs w:val="20"/>
              </w:rPr>
              <w:t>liściołaz żółty</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3</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10</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szCs w:val="20"/>
              </w:rPr>
            </w:pPr>
            <w:r w:rsidRPr="00E00B35">
              <w:rPr>
                <w:i/>
                <w:szCs w:val="20"/>
              </w:rPr>
              <w:t>Epipedobates tricolor</w:t>
            </w:r>
            <w:r w:rsidRPr="00E00B35">
              <w:rPr>
                <w:szCs w:val="20"/>
              </w:rPr>
              <w:t xml:space="preserve">  drzewołaz trójbarwny</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11</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szCs w:val="20"/>
              </w:rPr>
            </w:pPr>
            <w:r w:rsidRPr="00E00B35">
              <w:rPr>
                <w:i/>
                <w:szCs w:val="20"/>
              </w:rPr>
              <w:t xml:space="preserve">Dendrobates tinctorius </w:t>
            </w:r>
            <w:r w:rsidRPr="00E00B35">
              <w:rPr>
                <w:szCs w:val="20"/>
              </w:rPr>
              <w:t>drzewołaz niebieski</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12</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szCs w:val="20"/>
              </w:rPr>
            </w:pPr>
            <w:r w:rsidRPr="00E00B35">
              <w:rPr>
                <w:i/>
                <w:szCs w:val="20"/>
              </w:rPr>
              <w:t>Ranitomeya reticulata</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r>
      <w:tr w:rsidR="007A4D59" w:rsidRPr="00E00B35" w:rsidTr="006D3493">
        <w:trPr>
          <w:trHeight w:val="415"/>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13</w:t>
            </w:r>
          </w:p>
        </w:tc>
        <w:tc>
          <w:tcPr>
            <w:tcW w:w="4819"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szCs w:val="20"/>
              </w:rPr>
            </w:pPr>
            <w:r w:rsidRPr="00E00B35">
              <w:rPr>
                <w:i/>
                <w:szCs w:val="20"/>
              </w:rPr>
              <w:t>Ameerega trivittata</w:t>
            </w:r>
            <w:r w:rsidRPr="00E00B35">
              <w:rPr>
                <w:szCs w:val="20"/>
              </w:rPr>
              <w:t xml:space="preserve"> drzewołaz trójpaskowy</w:t>
            </w:r>
          </w:p>
        </w:tc>
        <w:tc>
          <w:tcPr>
            <w:tcW w:w="2552"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w:t>
            </w:r>
          </w:p>
        </w:tc>
      </w:tr>
      <w:tr w:rsidR="007A4D59" w:rsidRPr="00E00B35" w:rsidTr="006D3493">
        <w:trPr>
          <w:trHeight w:val="419"/>
        </w:trPr>
        <w:tc>
          <w:tcPr>
            <w:tcW w:w="1418" w:type="dxa"/>
            <w:tcBorders>
              <w:top w:val="nil"/>
              <w:left w:val="nil"/>
              <w:bottom w:val="nil"/>
              <w:right w:val="nil"/>
            </w:tcBorders>
            <w:shd w:val="clear" w:color="auto" w:fill="auto"/>
            <w:vAlign w:val="center"/>
            <w:hideMark/>
          </w:tcPr>
          <w:p w:rsidR="007A4D59" w:rsidRPr="00E00B35" w:rsidRDefault="007A4D59" w:rsidP="00E00B35">
            <w:pPr>
              <w:spacing w:after="0" w:line="312" w:lineRule="auto"/>
              <w:rPr>
                <w:rFonts w:cs="Arial"/>
                <w:szCs w:val="20"/>
                <w:highlight w:val="yellow"/>
              </w:rPr>
            </w:pPr>
          </w:p>
        </w:tc>
        <w:tc>
          <w:tcPr>
            <w:tcW w:w="4819" w:type="dxa"/>
            <w:tcBorders>
              <w:top w:val="nil"/>
              <w:left w:val="nil"/>
              <w:bottom w:val="nil"/>
              <w:right w:val="nil"/>
            </w:tcBorders>
            <w:shd w:val="clear" w:color="auto" w:fill="auto"/>
            <w:vAlign w:val="center"/>
            <w:hideMark/>
          </w:tcPr>
          <w:p w:rsidR="007A4D59" w:rsidRPr="00E00B35" w:rsidRDefault="007A4D59" w:rsidP="00E00B35">
            <w:pPr>
              <w:spacing w:after="0" w:line="312" w:lineRule="auto"/>
              <w:rPr>
                <w:rFonts w:cs="Arial"/>
                <w:szCs w:val="20"/>
                <w:highlight w:val="yellow"/>
              </w:rPr>
            </w:pPr>
          </w:p>
        </w:tc>
        <w:tc>
          <w:tcPr>
            <w:tcW w:w="2552"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bCs/>
                <w:szCs w:val="20"/>
                <w:highlight w:val="yellow"/>
              </w:rPr>
            </w:pPr>
            <w:r w:rsidRPr="00E00B35">
              <w:rPr>
                <w:rFonts w:cs="Arial"/>
                <w:bCs/>
                <w:szCs w:val="20"/>
              </w:rPr>
              <w:t>81</w:t>
            </w:r>
          </w:p>
        </w:tc>
      </w:tr>
    </w:tbl>
    <w:p w:rsidR="007A4D59" w:rsidRPr="00E00B35" w:rsidRDefault="007A4D59" w:rsidP="00E00B35">
      <w:pPr>
        <w:spacing w:after="0" w:line="312" w:lineRule="auto"/>
        <w:rPr>
          <w:rFonts w:cs="Verdana"/>
          <w:bCs/>
          <w:szCs w:val="20"/>
          <w:highlight w:val="yellow"/>
        </w:rPr>
      </w:pPr>
    </w:p>
    <w:p w:rsidR="007A4D59" w:rsidRPr="00E00B35" w:rsidRDefault="007A4D59" w:rsidP="00E00B35">
      <w:pPr>
        <w:pStyle w:val="Nagwek4"/>
        <w:spacing w:before="0" w:after="0" w:line="312" w:lineRule="auto"/>
        <w:rPr>
          <w:b w:val="0"/>
          <w:sz w:val="20"/>
          <w:szCs w:val="20"/>
        </w:rPr>
      </w:pPr>
      <w:r w:rsidRPr="00E00B35">
        <w:rPr>
          <w:b w:val="0"/>
          <w:sz w:val="20"/>
          <w:szCs w:val="20"/>
        </w:rPr>
        <w:t>Gady (REPTILIA)</w:t>
      </w:r>
    </w:p>
    <w:p w:rsidR="007A4D59" w:rsidRPr="00E00B35" w:rsidRDefault="007A4D59" w:rsidP="00E00B35">
      <w:pPr>
        <w:spacing w:after="0" w:line="312" w:lineRule="auto"/>
        <w:rPr>
          <w:rFonts w:cs="Verdana"/>
          <w:iCs/>
          <w:szCs w:val="20"/>
        </w:rPr>
      </w:pPr>
    </w:p>
    <w:tbl>
      <w:tblPr>
        <w:tblW w:w="0" w:type="auto"/>
        <w:tblInd w:w="70" w:type="dxa"/>
        <w:tblLayout w:type="fixed"/>
        <w:tblCellMar>
          <w:left w:w="70" w:type="dxa"/>
          <w:right w:w="70" w:type="dxa"/>
        </w:tblCellMar>
        <w:tblLook w:val="04A0"/>
      </w:tblPr>
      <w:tblGrid>
        <w:gridCol w:w="1418"/>
        <w:gridCol w:w="4536"/>
        <w:gridCol w:w="2835"/>
      </w:tblGrid>
      <w:tr w:rsidR="007A4D59" w:rsidRPr="00E00B35" w:rsidTr="006D3493">
        <w:trPr>
          <w:trHeight w:val="709"/>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bCs/>
                <w:szCs w:val="20"/>
              </w:rPr>
            </w:pPr>
            <w:r w:rsidRPr="00E00B35">
              <w:rPr>
                <w:rFonts w:cs="Arial"/>
                <w:bCs/>
                <w:szCs w:val="20"/>
              </w:rPr>
              <w:t>L.p.</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bCs/>
                <w:szCs w:val="20"/>
              </w:rPr>
            </w:pPr>
            <w:r w:rsidRPr="00E00B35">
              <w:rPr>
                <w:rFonts w:cs="Arial"/>
                <w:bCs/>
                <w:szCs w:val="20"/>
              </w:rPr>
              <w:t>Takson</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bCs/>
                <w:szCs w:val="20"/>
              </w:rPr>
            </w:pPr>
            <w:r w:rsidRPr="00E00B35">
              <w:rPr>
                <w:rFonts w:cs="Arial"/>
                <w:bCs/>
                <w:szCs w:val="20"/>
              </w:rPr>
              <w:t>Liczba zarejestrowanych</w:t>
            </w:r>
          </w:p>
          <w:p w:rsidR="007A4D59" w:rsidRPr="00E00B35" w:rsidRDefault="007A4D59" w:rsidP="00E00B35">
            <w:pPr>
              <w:spacing w:after="0" w:line="312" w:lineRule="auto"/>
              <w:rPr>
                <w:rFonts w:cs="Arial"/>
                <w:bCs/>
                <w:szCs w:val="20"/>
              </w:rPr>
            </w:pPr>
            <w:r w:rsidRPr="00E00B35">
              <w:rPr>
                <w:rFonts w:cs="Arial"/>
                <w:bCs/>
                <w:szCs w:val="20"/>
              </w:rPr>
              <w:t>okazów</w:t>
            </w:r>
          </w:p>
        </w:tc>
      </w:tr>
      <w:tr w:rsidR="007A4D59" w:rsidRPr="00E00B35" w:rsidTr="006D3493">
        <w:trPr>
          <w:trHeight w:val="279"/>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Python regius</w:t>
            </w:r>
            <w:r w:rsidRPr="00E00B35">
              <w:rPr>
                <w:rFonts w:cs="Arial"/>
                <w:szCs w:val="20"/>
              </w:rPr>
              <w:t xml:space="preserve">  pyton królewski</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52</w:t>
            </w:r>
          </w:p>
        </w:tc>
      </w:tr>
      <w:tr w:rsidR="007A4D59" w:rsidRPr="00E00B35" w:rsidTr="006D3493">
        <w:trPr>
          <w:trHeight w:val="296"/>
        </w:trPr>
        <w:tc>
          <w:tcPr>
            <w:tcW w:w="1418" w:type="dxa"/>
            <w:tcBorders>
              <w:top w:val="nil"/>
              <w:left w:val="single" w:sz="4" w:space="0" w:color="000000"/>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2</w:t>
            </w:r>
          </w:p>
        </w:tc>
        <w:tc>
          <w:tcPr>
            <w:tcW w:w="4536"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i/>
                <w:szCs w:val="20"/>
              </w:rPr>
            </w:pPr>
            <w:r w:rsidRPr="00E00B35">
              <w:rPr>
                <w:rFonts w:cs="Arial"/>
                <w:i/>
                <w:szCs w:val="20"/>
              </w:rPr>
              <w:t>Paroedura androyensis gekon ziemny</w:t>
            </w:r>
          </w:p>
        </w:tc>
        <w:tc>
          <w:tcPr>
            <w:tcW w:w="2835"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22</w:t>
            </w:r>
          </w:p>
        </w:tc>
      </w:tr>
      <w:tr w:rsidR="007A4D59" w:rsidRPr="00E00B35" w:rsidTr="006D3493">
        <w:trPr>
          <w:trHeight w:val="276"/>
        </w:trPr>
        <w:tc>
          <w:tcPr>
            <w:tcW w:w="1418" w:type="dxa"/>
            <w:tcBorders>
              <w:top w:val="nil"/>
              <w:left w:val="single" w:sz="4" w:space="0" w:color="000000"/>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3</w:t>
            </w:r>
          </w:p>
        </w:tc>
        <w:tc>
          <w:tcPr>
            <w:tcW w:w="4536"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i/>
                <w:szCs w:val="20"/>
              </w:rPr>
            </w:pPr>
            <w:r w:rsidRPr="00E00B35">
              <w:rPr>
                <w:rFonts w:cs="Arial"/>
                <w:i/>
                <w:szCs w:val="20"/>
              </w:rPr>
              <w:t>Uroplatus ebenaui</w:t>
            </w:r>
          </w:p>
        </w:tc>
        <w:tc>
          <w:tcPr>
            <w:tcW w:w="2835"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14</w:t>
            </w:r>
          </w:p>
        </w:tc>
      </w:tr>
      <w:tr w:rsidR="007A4D59" w:rsidRPr="00E00B35" w:rsidTr="006D3493">
        <w:trPr>
          <w:trHeight w:val="266"/>
        </w:trPr>
        <w:tc>
          <w:tcPr>
            <w:tcW w:w="1418" w:type="dxa"/>
            <w:tcBorders>
              <w:top w:val="nil"/>
              <w:left w:val="single" w:sz="4" w:space="0" w:color="000000"/>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4</w:t>
            </w:r>
          </w:p>
        </w:tc>
        <w:tc>
          <w:tcPr>
            <w:tcW w:w="4536"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i/>
                <w:szCs w:val="20"/>
              </w:rPr>
            </w:pPr>
            <w:r w:rsidRPr="00E00B35">
              <w:rPr>
                <w:rFonts w:cs="Arial"/>
                <w:i/>
                <w:szCs w:val="20"/>
              </w:rPr>
              <w:t>Uroplatus henkeli</w:t>
            </w:r>
          </w:p>
        </w:tc>
        <w:tc>
          <w:tcPr>
            <w:tcW w:w="2835"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10</w:t>
            </w:r>
          </w:p>
        </w:tc>
      </w:tr>
      <w:tr w:rsidR="007A4D59" w:rsidRPr="00E00B35" w:rsidTr="006D3493">
        <w:trPr>
          <w:trHeight w:val="284"/>
        </w:trPr>
        <w:tc>
          <w:tcPr>
            <w:tcW w:w="1418" w:type="dxa"/>
            <w:tcBorders>
              <w:top w:val="nil"/>
              <w:left w:val="single" w:sz="4" w:space="0" w:color="000000"/>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5</w:t>
            </w:r>
          </w:p>
        </w:tc>
        <w:tc>
          <w:tcPr>
            <w:tcW w:w="4536"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i/>
                <w:szCs w:val="20"/>
              </w:rPr>
            </w:pPr>
            <w:r w:rsidRPr="00E00B35">
              <w:rPr>
                <w:rFonts w:cs="Arial"/>
                <w:i/>
                <w:szCs w:val="20"/>
              </w:rPr>
              <w:t>Boa constrictor</w:t>
            </w:r>
            <w:r w:rsidRPr="00E00B35">
              <w:rPr>
                <w:rFonts w:cs="Arial"/>
                <w:szCs w:val="20"/>
              </w:rPr>
              <w:t xml:space="preserve"> boa dusiciel</w:t>
            </w:r>
          </w:p>
        </w:tc>
        <w:tc>
          <w:tcPr>
            <w:tcW w:w="2835"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7</w:t>
            </w:r>
          </w:p>
        </w:tc>
      </w:tr>
      <w:tr w:rsidR="007A4D59" w:rsidRPr="00E00B35" w:rsidTr="006D3493">
        <w:trPr>
          <w:trHeight w:val="260"/>
        </w:trPr>
        <w:tc>
          <w:tcPr>
            <w:tcW w:w="1418" w:type="dxa"/>
            <w:tcBorders>
              <w:top w:val="nil"/>
              <w:left w:val="single" w:sz="4" w:space="0" w:color="000000"/>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6</w:t>
            </w:r>
          </w:p>
        </w:tc>
        <w:tc>
          <w:tcPr>
            <w:tcW w:w="4536"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i/>
                <w:szCs w:val="20"/>
              </w:rPr>
            </w:pPr>
            <w:r w:rsidRPr="00E00B35">
              <w:rPr>
                <w:rFonts w:cs="Arial"/>
                <w:i/>
                <w:szCs w:val="20"/>
              </w:rPr>
              <w:t>Testudo horsfieldii</w:t>
            </w:r>
            <w:r w:rsidRPr="00E00B35">
              <w:rPr>
                <w:rFonts w:cs="Arial"/>
                <w:szCs w:val="20"/>
              </w:rPr>
              <w:t xml:space="preserve"> żółw stepowy</w:t>
            </w:r>
          </w:p>
        </w:tc>
        <w:tc>
          <w:tcPr>
            <w:tcW w:w="2835"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4</w:t>
            </w:r>
          </w:p>
        </w:tc>
      </w:tr>
      <w:tr w:rsidR="007A4D59" w:rsidRPr="00E00B35" w:rsidTr="006D3493">
        <w:trPr>
          <w:trHeight w:val="278"/>
        </w:trPr>
        <w:tc>
          <w:tcPr>
            <w:tcW w:w="1418" w:type="dxa"/>
            <w:tcBorders>
              <w:top w:val="nil"/>
              <w:left w:val="single" w:sz="4" w:space="0" w:color="000000"/>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7</w:t>
            </w:r>
          </w:p>
        </w:tc>
        <w:tc>
          <w:tcPr>
            <w:tcW w:w="4536"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i/>
                <w:szCs w:val="20"/>
              </w:rPr>
            </w:pPr>
            <w:r w:rsidRPr="00E00B35">
              <w:rPr>
                <w:rFonts w:cs="Arial"/>
                <w:i/>
                <w:szCs w:val="20"/>
              </w:rPr>
              <w:t>Uroplatus guentheri</w:t>
            </w:r>
          </w:p>
        </w:tc>
        <w:tc>
          <w:tcPr>
            <w:tcW w:w="2835"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3</w:t>
            </w:r>
          </w:p>
        </w:tc>
      </w:tr>
      <w:tr w:rsidR="007A4D59" w:rsidRPr="00E00B35" w:rsidTr="006D3493">
        <w:trPr>
          <w:trHeight w:val="282"/>
        </w:trPr>
        <w:tc>
          <w:tcPr>
            <w:tcW w:w="1418" w:type="dxa"/>
            <w:tcBorders>
              <w:top w:val="nil"/>
              <w:left w:val="single" w:sz="4" w:space="0" w:color="000000"/>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8</w:t>
            </w:r>
          </w:p>
        </w:tc>
        <w:tc>
          <w:tcPr>
            <w:tcW w:w="4536"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i/>
                <w:szCs w:val="20"/>
              </w:rPr>
              <w:t xml:space="preserve">Python reticulatus </w:t>
            </w:r>
            <w:r w:rsidRPr="00E00B35">
              <w:rPr>
                <w:rFonts w:cs="Arial"/>
                <w:szCs w:val="20"/>
              </w:rPr>
              <w:t>pyton siatkowy</w:t>
            </w:r>
          </w:p>
        </w:tc>
        <w:tc>
          <w:tcPr>
            <w:tcW w:w="2835"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3</w:t>
            </w:r>
          </w:p>
        </w:tc>
      </w:tr>
      <w:tr w:rsidR="007A4D59" w:rsidRPr="00E00B35" w:rsidTr="006D3493">
        <w:trPr>
          <w:trHeight w:val="272"/>
        </w:trPr>
        <w:tc>
          <w:tcPr>
            <w:tcW w:w="1418" w:type="dxa"/>
            <w:tcBorders>
              <w:top w:val="nil"/>
              <w:left w:val="single" w:sz="4" w:space="0" w:color="000000"/>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9</w:t>
            </w:r>
          </w:p>
        </w:tc>
        <w:tc>
          <w:tcPr>
            <w:tcW w:w="4536"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i/>
                <w:szCs w:val="20"/>
              </w:rPr>
            </w:pPr>
            <w:r w:rsidRPr="00E00B35">
              <w:rPr>
                <w:rFonts w:cs="Arial"/>
                <w:i/>
                <w:szCs w:val="20"/>
              </w:rPr>
              <w:t xml:space="preserve">Morelia spilota </w:t>
            </w:r>
            <w:r w:rsidRPr="00E00B35">
              <w:rPr>
                <w:rFonts w:cs="Arial"/>
                <w:szCs w:val="20"/>
              </w:rPr>
              <w:t>pyton dywanowy</w:t>
            </w:r>
          </w:p>
        </w:tc>
        <w:tc>
          <w:tcPr>
            <w:tcW w:w="2835" w:type="dxa"/>
            <w:tcBorders>
              <w:top w:val="nil"/>
              <w:left w:val="nil"/>
              <w:bottom w:val="single" w:sz="4" w:space="0" w:color="000000"/>
              <w:right w:val="single" w:sz="4" w:space="0" w:color="000000"/>
            </w:tcBorders>
            <w:shd w:val="clear" w:color="000000" w:fill="FFFFFF"/>
            <w:vAlign w:val="center"/>
            <w:hideMark/>
          </w:tcPr>
          <w:p w:rsidR="007A4D59" w:rsidRPr="00E00B35" w:rsidRDefault="007A4D59" w:rsidP="00E00B35">
            <w:pPr>
              <w:spacing w:after="0" w:line="312" w:lineRule="auto"/>
              <w:rPr>
                <w:rFonts w:cs="Arial"/>
                <w:szCs w:val="20"/>
              </w:rPr>
            </w:pPr>
            <w:r w:rsidRPr="00E00B35">
              <w:rPr>
                <w:rFonts w:cs="Arial"/>
                <w:szCs w:val="20"/>
              </w:rPr>
              <w:t>3</w:t>
            </w:r>
          </w:p>
        </w:tc>
      </w:tr>
      <w:tr w:rsidR="007A4D59" w:rsidRPr="00E00B35" w:rsidTr="006D3493">
        <w:trPr>
          <w:trHeight w:val="302"/>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10</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Epicrates cenchria cenchria</w:t>
            </w:r>
            <w:r w:rsidRPr="00E00B35">
              <w:rPr>
                <w:rFonts w:cs="Arial"/>
                <w:szCs w:val="20"/>
              </w:rPr>
              <w:t xml:space="preserve"> </w:t>
            </w:r>
            <w:r w:rsidRPr="00E00B35">
              <w:rPr>
                <w:rFonts w:cs="Arial"/>
                <w:szCs w:val="20"/>
              </w:rPr>
              <w:br/>
              <w:t>boa tęczowy brazylijski</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r>
      <w:tr w:rsidR="007A4D59" w:rsidRPr="00E00B35" w:rsidTr="006D3493">
        <w:trPr>
          <w:trHeight w:val="194"/>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11</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Testudo hermanii</w:t>
            </w:r>
            <w:r w:rsidRPr="00E00B35">
              <w:rPr>
                <w:rFonts w:cs="Arial"/>
                <w:szCs w:val="20"/>
              </w:rPr>
              <w:t xml:space="preserve"> żółw grecki</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r>
      <w:tr w:rsidR="007A4D59" w:rsidRPr="00E00B35" w:rsidTr="006D3493">
        <w:trPr>
          <w:trHeight w:val="268"/>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12</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Phelsuma standingi</w:t>
            </w:r>
            <w:r w:rsidRPr="00E00B35">
              <w:rPr>
                <w:rFonts w:cs="Arial"/>
                <w:szCs w:val="20"/>
              </w:rPr>
              <w:t xml:space="preserve"> gekon Standinga</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r>
      <w:tr w:rsidR="007A4D59" w:rsidRPr="00E00B35" w:rsidTr="006D3493">
        <w:trPr>
          <w:trHeight w:val="262"/>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lastRenderedPageBreak/>
              <w:t>13</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Gekko gecko</w:t>
            </w:r>
            <w:r w:rsidRPr="00E00B35">
              <w:rPr>
                <w:rFonts w:cs="Arial"/>
                <w:szCs w:val="20"/>
              </w:rPr>
              <w:t xml:space="preserve"> gekon toke</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r>
      <w:tr w:rsidR="007A4D59" w:rsidRPr="00E00B35" w:rsidTr="006D3493">
        <w:trPr>
          <w:trHeight w:val="282"/>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14</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Lygodactylus williamsi</w:t>
            </w:r>
            <w:r w:rsidRPr="00E00B35">
              <w:rPr>
                <w:rFonts w:cs="Arial"/>
                <w:szCs w:val="20"/>
              </w:rPr>
              <w:t xml:space="preserve"> gekon Williamsa</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r>
      <w:tr w:rsidR="007A4D59" w:rsidRPr="00E00B35" w:rsidTr="006D3493">
        <w:trPr>
          <w:trHeight w:val="280"/>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15</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Phelsuma madagascariensis grande</w:t>
            </w:r>
            <w:r w:rsidRPr="00E00B35">
              <w:rPr>
                <w:rFonts w:cs="Arial"/>
                <w:szCs w:val="20"/>
              </w:rPr>
              <w:t xml:space="preserve"> felsuma madagaskarska</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w:t>
            </w:r>
          </w:p>
        </w:tc>
      </w:tr>
      <w:tr w:rsidR="007A4D59" w:rsidRPr="00E00B35" w:rsidTr="006D3493">
        <w:trPr>
          <w:trHeight w:val="220"/>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16</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i/>
                <w:szCs w:val="20"/>
              </w:rPr>
            </w:pPr>
            <w:r w:rsidRPr="00E00B35">
              <w:rPr>
                <w:rFonts w:cs="Arial"/>
                <w:i/>
                <w:szCs w:val="20"/>
              </w:rPr>
              <w:t>Varanus panoptes</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w:t>
            </w:r>
          </w:p>
        </w:tc>
      </w:tr>
      <w:tr w:rsidR="007A4D59" w:rsidRPr="00E00B35" w:rsidTr="006D3493">
        <w:trPr>
          <w:trHeight w:val="433"/>
        </w:trPr>
        <w:tc>
          <w:tcPr>
            <w:tcW w:w="1418" w:type="dxa"/>
            <w:tcBorders>
              <w:top w:val="nil"/>
              <w:left w:val="nil"/>
              <w:bottom w:val="nil"/>
              <w:right w:val="nil"/>
            </w:tcBorders>
            <w:shd w:val="clear" w:color="auto" w:fill="auto"/>
            <w:noWrap/>
            <w:vAlign w:val="bottom"/>
            <w:hideMark/>
          </w:tcPr>
          <w:p w:rsidR="007A4D59" w:rsidRPr="00E00B35" w:rsidRDefault="007A4D59" w:rsidP="00E00B35">
            <w:pPr>
              <w:spacing w:after="0" w:line="312" w:lineRule="auto"/>
              <w:rPr>
                <w:rFonts w:cs="Arial"/>
                <w:szCs w:val="20"/>
              </w:rPr>
            </w:pPr>
          </w:p>
        </w:tc>
        <w:tc>
          <w:tcPr>
            <w:tcW w:w="4536" w:type="dxa"/>
            <w:tcBorders>
              <w:top w:val="nil"/>
              <w:left w:val="nil"/>
              <w:bottom w:val="nil"/>
              <w:right w:val="nil"/>
            </w:tcBorders>
            <w:shd w:val="clear" w:color="auto" w:fill="auto"/>
            <w:noWrap/>
            <w:vAlign w:val="bottom"/>
            <w:hideMark/>
          </w:tcPr>
          <w:p w:rsidR="007A4D59" w:rsidRPr="00E00B35" w:rsidRDefault="007A4D59" w:rsidP="00E00B35">
            <w:pPr>
              <w:spacing w:after="0" w:line="312" w:lineRule="auto"/>
              <w:rPr>
                <w:rFonts w:cs="Arial"/>
                <w:szCs w:val="20"/>
              </w:rPr>
            </w:pP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7A4D59" w:rsidRPr="00E00B35" w:rsidRDefault="007A4D59" w:rsidP="00E00B35">
            <w:pPr>
              <w:spacing w:after="0" w:line="312" w:lineRule="auto"/>
              <w:rPr>
                <w:rFonts w:cs="Arial"/>
                <w:bCs/>
                <w:szCs w:val="20"/>
              </w:rPr>
            </w:pPr>
            <w:r w:rsidRPr="00E00B35">
              <w:rPr>
                <w:rFonts w:cs="Arial"/>
                <w:bCs/>
                <w:szCs w:val="20"/>
              </w:rPr>
              <w:t>130</w:t>
            </w:r>
          </w:p>
        </w:tc>
      </w:tr>
    </w:tbl>
    <w:p w:rsidR="007A4D59" w:rsidRPr="00E00B35" w:rsidRDefault="007A4D59" w:rsidP="00E00B35">
      <w:pPr>
        <w:spacing w:after="0" w:line="312" w:lineRule="auto"/>
        <w:rPr>
          <w:rFonts w:cs="Verdana"/>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Ptaki (AVES)</w:t>
      </w:r>
    </w:p>
    <w:p w:rsidR="007A4D59" w:rsidRPr="00E00B35" w:rsidRDefault="007A4D59" w:rsidP="00E00B35">
      <w:pPr>
        <w:spacing w:after="0" w:line="312" w:lineRule="auto"/>
        <w:rPr>
          <w:rFonts w:cs="Verdana"/>
          <w:bCs/>
          <w:iCs/>
          <w:szCs w:val="20"/>
        </w:rPr>
      </w:pPr>
    </w:p>
    <w:tbl>
      <w:tblPr>
        <w:tblW w:w="0" w:type="auto"/>
        <w:tblInd w:w="70" w:type="dxa"/>
        <w:tblLayout w:type="fixed"/>
        <w:tblCellMar>
          <w:left w:w="70" w:type="dxa"/>
          <w:right w:w="70" w:type="dxa"/>
        </w:tblCellMar>
        <w:tblLook w:val="04A0"/>
      </w:tblPr>
      <w:tblGrid>
        <w:gridCol w:w="1418"/>
        <w:gridCol w:w="4536"/>
        <w:gridCol w:w="2835"/>
      </w:tblGrid>
      <w:tr w:rsidR="007A4D59" w:rsidRPr="00E00B35" w:rsidTr="006D3493">
        <w:trPr>
          <w:trHeight w:val="255"/>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bCs/>
                <w:szCs w:val="20"/>
              </w:rPr>
            </w:pPr>
            <w:r w:rsidRPr="00E00B35">
              <w:rPr>
                <w:rFonts w:cs="Arial"/>
                <w:bCs/>
                <w:szCs w:val="20"/>
              </w:rPr>
              <w:t>L.p.</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bCs/>
                <w:szCs w:val="20"/>
              </w:rPr>
            </w:pPr>
            <w:r w:rsidRPr="00E00B35">
              <w:rPr>
                <w:rFonts w:cs="Arial"/>
                <w:bCs/>
                <w:szCs w:val="20"/>
              </w:rPr>
              <w:t>Takson</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bCs/>
                <w:szCs w:val="20"/>
              </w:rPr>
            </w:pPr>
            <w:r w:rsidRPr="00E00B35">
              <w:rPr>
                <w:rFonts w:cs="Arial"/>
                <w:bCs/>
                <w:szCs w:val="20"/>
              </w:rPr>
              <w:t>Liczba zarejestrowanych</w:t>
            </w:r>
          </w:p>
          <w:p w:rsidR="007A4D59" w:rsidRPr="00E00B35" w:rsidRDefault="007A4D59" w:rsidP="00E00B35">
            <w:pPr>
              <w:spacing w:after="0" w:line="312" w:lineRule="auto"/>
              <w:rPr>
                <w:rFonts w:cs="Arial"/>
                <w:bCs/>
                <w:szCs w:val="20"/>
              </w:rPr>
            </w:pPr>
            <w:r w:rsidRPr="00E00B35">
              <w:rPr>
                <w:rFonts w:cs="Arial"/>
                <w:bCs/>
                <w:szCs w:val="20"/>
              </w:rPr>
              <w:t>okazów</w:t>
            </w:r>
          </w:p>
        </w:tc>
      </w:tr>
      <w:tr w:rsidR="007A4D59" w:rsidRPr="00E00B35" w:rsidTr="006D3493">
        <w:trPr>
          <w:trHeight w:val="338"/>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i/>
                <w:szCs w:val="20"/>
              </w:rPr>
            </w:pPr>
            <w:r w:rsidRPr="00E00B35">
              <w:rPr>
                <w:rFonts w:cs="Arial"/>
                <w:i/>
                <w:szCs w:val="20"/>
              </w:rPr>
              <w:t xml:space="preserve">Falco cherrug </w:t>
            </w:r>
            <w:r w:rsidRPr="00E00B35">
              <w:rPr>
                <w:rFonts w:cs="Arial"/>
                <w:szCs w:val="20"/>
              </w:rPr>
              <w:t>raróg stepowy</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8</w:t>
            </w:r>
          </w:p>
        </w:tc>
      </w:tr>
      <w:tr w:rsidR="007A4D59" w:rsidRPr="00E00B35" w:rsidTr="006D3493">
        <w:trPr>
          <w:trHeight w:val="272"/>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i/>
                <w:szCs w:val="20"/>
              </w:rPr>
            </w:pPr>
            <w:r w:rsidRPr="00E00B35">
              <w:rPr>
                <w:rFonts w:cs="Arial"/>
                <w:i/>
                <w:szCs w:val="20"/>
              </w:rPr>
              <w:t xml:space="preserve">Neophema bourkii </w:t>
            </w:r>
            <w:r w:rsidRPr="00E00B35">
              <w:rPr>
                <w:rFonts w:cs="Arial"/>
                <w:szCs w:val="20"/>
              </w:rPr>
              <w:t>łąkówka liliowa</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4</w:t>
            </w:r>
          </w:p>
        </w:tc>
      </w:tr>
      <w:tr w:rsidR="007A4D59" w:rsidRPr="00E00B35" w:rsidTr="006D3493">
        <w:trPr>
          <w:trHeight w:val="278"/>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3</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Myiopsitta monachus</w:t>
            </w:r>
            <w:r w:rsidRPr="00E00B35">
              <w:rPr>
                <w:rFonts w:cs="Arial"/>
                <w:szCs w:val="20"/>
              </w:rPr>
              <w:t xml:space="preserve"> mnicha nizinna</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4</w:t>
            </w:r>
          </w:p>
        </w:tc>
      </w:tr>
      <w:tr w:rsidR="007A4D59" w:rsidRPr="00E00B35" w:rsidTr="006D3493">
        <w:trPr>
          <w:trHeight w:val="266"/>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4</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Alisterus scapularis</w:t>
            </w:r>
            <w:r w:rsidRPr="00E00B35">
              <w:rPr>
                <w:rFonts w:cs="Arial"/>
                <w:szCs w:val="20"/>
              </w:rPr>
              <w:t xml:space="preserve"> szkarłatka królewska</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r>
      <w:tr w:rsidR="007A4D59" w:rsidRPr="00E00B35" w:rsidTr="006D3493">
        <w:trPr>
          <w:trHeight w:val="270"/>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5</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Parabuteo unicinctus</w:t>
            </w:r>
            <w:r w:rsidRPr="00E00B35">
              <w:rPr>
                <w:rFonts w:cs="Arial"/>
                <w:szCs w:val="20"/>
              </w:rPr>
              <w:t xml:space="preserve"> myszołowiec towarzyski</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r>
      <w:tr w:rsidR="007A4D59" w:rsidRPr="00E00B35" w:rsidTr="006D3493">
        <w:trPr>
          <w:trHeight w:val="287"/>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6</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Cyanoramphus novazelandiae</w:t>
            </w:r>
            <w:r w:rsidRPr="00E00B35">
              <w:rPr>
                <w:rFonts w:cs="Arial"/>
                <w:szCs w:val="20"/>
              </w:rPr>
              <w:t xml:space="preserve"> modrolotka czerwonoczelna</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2</w:t>
            </w:r>
          </w:p>
        </w:tc>
      </w:tr>
      <w:tr w:rsidR="007A4D59" w:rsidRPr="00E00B35" w:rsidTr="006D3493">
        <w:trPr>
          <w:trHeight w:val="252"/>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7</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Pionus menstruus</w:t>
            </w:r>
            <w:r w:rsidRPr="00E00B35">
              <w:rPr>
                <w:rFonts w:cs="Arial"/>
                <w:szCs w:val="20"/>
              </w:rPr>
              <w:t xml:space="preserve"> piona niebieskogłowa</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w:t>
            </w:r>
          </w:p>
        </w:tc>
      </w:tr>
      <w:tr w:rsidR="007A4D59" w:rsidRPr="00E00B35" w:rsidTr="006D3493">
        <w:trPr>
          <w:trHeight w:val="270"/>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8</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Psittacula eupatria</w:t>
            </w:r>
            <w:r w:rsidRPr="00E00B35">
              <w:rPr>
                <w:rFonts w:cs="Arial"/>
                <w:szCs w:val="20"/>
              </w:rPr>
              <w:t xml:space="preserve"> aleksandretta większa</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w:t>
            </w:r>
          </w:p>
        </w:tc>
      </w:tr>
      <w:tr w:rsidR="007A4D59" w:rsidRPr="00E00B35" w:rsidTr="006D3493">
        <w:trPr>
          <w:trHeight w:val="288"/>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9</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Amazona oratrix</w:t>
            </w:r>
            <w:r w:rsidRPr="00E00B35">
              <w:rPr>
                <w:rFonts w:cs="Arial"/>
                <w:szCs w:val="20"/>
              </w:rPr>
              <w:t xml:space="preserve"> amazonka żółtogardła</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w:t>
            </w:r>
          </w:p>
        </w:tc>
      </w:tr>
      <w:tr w:rsidR="007A4D59" w:rsidRPr="00E00B35" w:rsidTr="006D3493">
        <w:trPr>
          <w:trHeight w:val="264"/>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10</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Falco peregrinus</w:t>
            </w:r>
            <w:r w:rsidRPr="00E00B35">
              <w:rPr>
                <w:rFonts w:cs="Arial"/>
                <w:szCs w:val="20"/>
              </w:rPr>
              <w:t xml:space="preserve"> sokół wędrowny</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w:t>
            </w:r>
          </w:p>
        </w:tc>
      </w:tr>
      <w:tr w:rsidR="007A4D59" w:rsidRPr="00E00B35" w:rsidTr="006D3493">
        <w:trPr>
          <w:trHeight w:val="282"/>
        </w:trPr>
        <w:tc>
          <w:tcPr>
            <w:tcW w:w="1418" w:type="dxa"/>
            <w:tcBorders>
              <w:top w:val="nil"/>
              <w:left w:val="single" w:sz="4" w:space="0" w:color="000000"/>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11</w:t>
            </w:r>
          </w:p>
        </w:tc>
        <w:tc>
          <w:tcPr>
            <w:tcW w:w="4536"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i/>
                <w:szCs w:val="20"/>
              </w:rPr>
              <w:t xml:space="preserve">Amazona leucocephala </w:t>
            </w:r>
            <w:r w:rsidRPr="00E00B35">
              <w:rPr>
                <w:rFonts w:cs="Arial"/>
                <w:szCs w:val="20"/>
              </w:rPr>
              <w:t>amazonka kubańska</w:t>
            </w:r>
          </w:p>
        </w:tc>
        <w:tc>
          <w:tcPr>
            <w:tcW w:w="2835" w:type="dxa"/>
            <w:tcBorders>
              <w:top w:val="nil"/>
              <w:left w:val="nil"/>
              <w:bottom w:val="single" w:sz="4" w:space="0" w:color="000000"/>
              <w:right w:val="single" w:sz="4" w:space="0" w:color="000000"/>
            </w:tcBorders>
            <w:shd w:val="clear" w:color="auto" w:fill="auto"/>
            <w:vAlign w:val="center"/>
            <w:hideMark/>
          </w:tcPr>
          <w:p w:rsidR="007A4D59" w:rsidRPr="00E00B35" w:rsidRDefault="007A4D59" w:rsidP="00E00B35">
            <w:pPr>
              <w:spacing w:after="0" w:line="312" w:lineRule="auto"/>
              <w:rPr>
                <w:rFonts w:cs="Arial"/>
                <w:szCs w:val="20"/>
              </w:rPr>
            </w:pPr>
            <w:r w:rsidRPr="00E00B35">
              <w:rPr>
                <w:rFonts w:cs="Arial"/>
                <w:szCs w:val="20"/>
              </w:rPr>
              <w:t>1</w:t>
            </w:r>
          </w:p>
        </w:tc>
      </w:tr>
      <w:tr w:rsidR="007A4D59" w:rsidRPr="00E00B35" w:rsidTr="006D3493">
        <w:trPr>
          <w:trHeight w:val="258"/>
        </w:trPr>
        <w:tc>
          <w:tcPr>
            <w:tcW w:w="1418" w:type="dxa"/>
            <w:tcBorders>
              <w:top w:val="nil"/>
              <w:left w:val="nil"/>
              <w:bottom w:val="nil"/>
              <w:right w:val="nil"/>
            </w:tcBorders>
            <w:shd w:val="clear" w:color="auto" w:fill="auto"/>
            <w:noWrap/>
            <w:vAlign w:val="bottom"/>
            <w:hideMark/>
          </w:tcPr>
          <w:p w:rsidR="007A4D59" w:rsidRPr="00E00B35" w:rsidRDefault="007A4D59" w:rsidP="00E00B35">
            <w:pPr>
              <w:spacing w:after="0" w:line="312" w:lineRule="auto"/>
              <w:rPr>
                <w:rFonts w:cs="Arial"/>
                <w:szCs w:val="20"/>
                <w:highlight w:val="yellow"/>
              </w:rPr>
            </w:pPr>
          </w:p>
        </w:tc>
        <w:tc>
          <w:tcPr>
            <w:tcW w:w="4536" w:type="dxa"/>
            <w:tcBorders>
              <w:top w:val="nil"/>
              <w:left w:val="nil"/>
              <w:bottom w:val="nil"/>
              <w:right w:val="nil"/>
            </w:tcBorders>
            <w:shd w:val="clear" w:color="auto" w:fill="auto"/>
            <w:noWrap/>
            <w:vAlign w:val="bottom"/>
            <w:hideMark/>
          </w:tcPr>
          <w:p w:rsidR="007A4D59" w:rsidRPr="00E00B35" w:rsidRDefault="007A4D59" w:rsidP="00E00B35">
            <w:pPr>
              <w:spacing w:after="0" w:line="312" w:lineRule="auto"/>
              <w:rPr>
                <w:rFonts w:cs="Arial"/>
                <w:szCs w:val="20"/>
                <w:highlight w:val="yellow"/>
              </w:rPr>
            </w:pP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7A4D59" w:rsidRPr="00E00B35" w:rsidRDefault="007A4D59" w:rsidP="00E00B35">
            <w:pPr>
              <w:spacing w:after="0" w:line="312" w:lineRule="auto"/>
              <w:rPr>
                <w:rFonts w:cs="Arial"/>
                <w:bCs/>
                <w:szCs w:val="20"/>
                <w:highlight w:val="yellow"/>
              </w:rPr>
            </w:pPr>
            <w:r w:rsidRPr="00E00B35">
              <w:rPr>
                <w:rFonts w:cs="Arial"/>
                <w:bCs/>
                <w:szCs w:val="20"/>
              </w:rPr>
              <w:t>27</w:t>
            </w:r>
          </w:p>
        </w:tc>
      </w:tr>
    </w:tbl>
    <w:p w:rsidR="007A4D59" w:rsidRPr="00E00B35" w:rsidRDefault="007A4D59" w:rsidP="00E00B35">
      <w:pPr>
        <w:spacing w:after="0" w:line="312" w:lineRule="auto"/>
        <w:rPr>
          <w:color w:val="FF0000"/>
          <w:szCs w:val="20"/>
        </w:rPr>
      </w:pPr>
    </w:p>
    <w:p w:rsidR="007A4D59" w:rsidRPr="00E00B35" w:rsidRDefault="007A4D59" w:rsidP="00E00B35">
      <w:pPr>
        <w:pStyle w:val="11Trescpisma"/>
        <w:spacing w:before="0" w:after="0" w:line="312" w:lineRule="auto"/>
        <w:jc w:val="left"/>
        <w:rPr>
          <w:szCs w:val="20"/>
        </w:rPr>
      </w:pPr>
      <w:r w:rsidRPr="00E00B35">
        <w:rPr>
          <w:szCs w:val="20"/>
        </w:rPr>
        <w:t>W 2020 r., na podstawie 1 wniosku z 2019 r. i 14 wniosków z 2020 r. wykreślono z rejestru: 15 okazów z gromady ptaków; 16 okazów z gromady gadów; 6 okazów z gromady płazów. W 3 przypadkach dokonano zmiany danych. 4 sprawy przekazano zgodnie z właściwością.</w:t>
      </w:r>
    </w:p>
    <w:p w:rsidR="007A4D59" w:rsidRPr="00E00B35" w:rsidRDefault="007A4D59" w:rsidP="00E00B35">
      <w:pPr>
        <w:pStyle w:val="11Trescpisma"/>
        <w:spacing w:before="0" w:after="0" w:line="312" w:lineRule="auto"/>
        <w:jc w:val="left"/>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Rejestracja psów agresywnych i chartów</w:t>
      </w:r>
    </w:p>
    <w:p w:rsidR="007A4D59" w:rsidRPr="00E00B35" w:rsidRDefault="007A4D59" w:rsidP="00E00B35">
      <w:pPr>
        <w:spacing w:after="0" w:line="312" w:lineRule="auto"/>
        <w:rPr>
          <w:bCs/>
          <w:szCs w:val="20"/>
        </w:rPr>
      </w:pPr>
    </w:p>
    <w:p w:rsidR="007A4D59" w:rsidRPr="00E00B35" w:rsidRDefault="007A4D59" w:rsidP="00E00B35">
      <w:pPr>
        <w:spacing w:after="0" w:line="312" w:lineRule="auto"/>
        <w:rPr>
          <w:szCs w:val="20"/>
          <w:u w:val="single"/>
        </w:rPr>
      </w:pPr>
      <w:r w:rsidRPr="00E00B35">
        <w:rPr>
          <w:szCs w:val="20"/>
        </w:rPr>
        <w:t xml:space="preserve">Realizując zadania związane z wydawaniem zezwoleń na utrzymywanie psów ras uznanych za agresywne oraz chartów, wydano </w:t>
      </w:r>
      <w:r w:rsidRPr="00E00B35">
        <w:rPr>
          <w:bCs/>
          <w:szCs w:val="20"/>
        </w:rPr>
        <w:t>7</w:t>
      </w:r>
      <w:r w:rsidRPr="00E00B35">
        <w:rPr>
          <w:szCs w:val="20"/>
        </w:rPr>
        <w:t xml:space="preserve"> decyzji na utrzymywanie psów rasy uznanych za agresywne (2 rottweilery, 1 american pit bull terier, 3 dogi argentyńskie, 1 moskiewski stróżujący) oraz </w:t>
      </w:r>
      <w:r w:rsidRPr="00E00B35">
        <w:rPr>
          <w:bCs/>
          <w:szCs w:val="20"/>
        </w:rPr>
        <w:t>28</w:t>
      </w:r>
      <w:r w:rsidRPr="00E00B35">
        <w:rPr>
          <w:szCs w:val="20"/>
        </w:rPr>
        <w:t xml:space="preserve"> decyzji na utrzymywanie chartów i ich mieszańców (w tym 16 chartów angielskich - Whippetów, 1 Greyhound, 2 charty afgańskie, 4 charcików włoskich, 1 chart rosyjski Borzoj, 4 mieszańce charta). Ze względu na panującą od marca 2020 r. pandemię wirusa  Covid 19 i brakiem możliwości wstępu na prywatne posesje, </w:t>
      </w:r>
      <w:r w:rsidRPr="00E00B35">
        <w:rPr>
          <w:szCs w:val="20"/>
        </w:rPr>
        <w:lastRenderedPageBreak/>
        <w:t xml:space="preserve">wykonano przed tym terminem 1 rekontrole warunków utrzymywania psów ras uznawanych za agresywne oraz chartów i ich mieszańców. </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Ilość wydanych zezwoleń na ww. rasy psów w latach 2016-2019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418"/>
        <w:gridCol w:w="1559"/>
        <w:gridCol w:w="1701"/>
        <w:gridCol w:w="1843"/>
      </w:tblGrid>
      <w:tr w:rsidR="007A4D59" w:rsidRPr="00E00B35" w:rsidTr="006D3493">
        <w:tc>
          <w:tcPr>
            <w:tcW w:w="2376" w:type="dxa"/>
          </w:tcPr>
          <w:p w:rsidR="007A4D59" w:rsidRPr="00E00B35" w:rsidRDefault="007A4D59" w:rsidP="00E00B35">
            <w:pPr>
              <w:spacing w:after="0" w:line="312" w:lineRule="auto"/>
              <w:rPr>
                <w:szCs w:val="20"/>
              </w:rPr>
            </w:pPr>
            <w:r w:rsidRPr="00E00B35">
              <w:rPr>
                <w:szCs w:val="20"/>
              </w:rPr>
              <w:t>Lata</w:t>
            </w:r>
          </w:p>
        </w:tc>
        <w:tc>
          <w:tcPr>
            <w:tcW w:w="1418" w:type="dxa"/>
          </w:tcPr>
          <w:p w:rsidR="007A4D59" w:rsidRPr="00E00B35" w:rsidRDefault="007A4D59" w:rsidP="00E00B35">
            <w:pPr>
              <w:spacing w:after="0" w:line="312" w:lineRule="auto"/>
              <w:rPr>
                <w:szCs w:val="20"/>
              </w:rPr>
            </w:pPr>
            <w:r w:rsidRPr="00E00B35">
              <w:rPr>
                <w:szCs w:val="20"/>
              </w:rPr>
              <w:t>2016</w:t>
            </w:r>
          </w:p>
        </w:tc>
        <w:tc>
          <w:tcPr>
            <w:tcW w:w="1559" w:type="dxa"/>
          </w:tcPr>
          <w:p w:rsidR="007A4D59" w:rsidRPr="00E00B35" w:rsidRDefault="007A4D59" w:rsidP="00E00B35">
            <w:pPr>
              <w:spacing w:after="0" w:line="312" w:lineRule="auto"/>
              <w:rPr>
                <w:szCs w:val="20"/>
              </w:rPr>
            </w:pPr>
            <w:r w:rsidRPr="00E00B35">
              <w:rPr>
                <w:szCs w:val="20"/>
              </w:rPr>
              <w:t>2017</w:t>
            </w:r>
          </w:p>
        </w:tc>
        <w:tc>
          <w:tcPr>
            <w:tcW w:w="1701" w:type="dxa"/>
          </w:tcPr>
          <w:p w:rsidR="007A4D59" w:rsidRPr="00E00B35" w:rsidRDefault="007A4D59" w:rsidP="00E00B35">
            <w:pPr>
              <w:spacing w:after="0" w:line="312" w:lineRule="auto"/>
              <w:rPr>
                <w:szCs w:val="20"/>
              </w:rPr>
            </w:pPr>
            <w:r w:rsidRPr="00E00B35">
              <w:rPr>
                <w:szCs w:val="20"/>
              </w:rPr>
              <w:t>2018</w:t>
            </w:r>
          </w:p>
        </w:tc>
        <w:tc>
          <w:tcPr>
            <w:tcW w:w="1843" w:type="dxa"/>
          </w:tcPr>
          <w:p w:rsidR="007A4D59" w:rsidRPr="00E00B35" w:rsidRDefault="007A4D59" w:rsidP="00E00B35">
            <w:pPr>
              <w:spacing w:after="0" w:line="312" w:lineRule="auto"/>
              <w:rPr>
                <w:szCs w:val="20"/>
              </w:rPr>
            </w:pPr>
            <w:r w:rsidRPr="00E00B35">
              <w:rPr>
                <w:szCs w:val="20"/>
              </w:rPr>
              <w:t>2019</w:t>
            </w:r>
          </w:p>
        </w:tc>
      </w:tr>
      <w:tr w:rsidR="007A4D59" w:rsidRPr="00E00B35" w:rsidTr="006D3493">
        <w:tc>
          <w:tcPr>
            <w:tcW w:w="2376" w:type="dxa"/>
          </w:tcPr>
          <w:p w:rsidR="007A4D59" w:rsidRPr="00E00B35" w:rsidRDefault="007A4D59" w:rsidP="00E00B35">
            <w:pPr>
              <w:spacing w:after="0" w:line="312" w:lineRule="auto"/>
              <w:rPr>
                <w:szCs w:val="20"/>
              </w:rPr>
            </w:pPr>
            <w:r w:rsidRPr="00E00B35">
              <w:rPr>
                <w:szCs w:val="20"/>
              </w:rPr>
              <w:t>Decyzje na charty</w:t>
            </w:r>
          </w:p>
        </w:tc>
        <w:tc>
          <w:tcPr>
            <w:tcW w:w="1418" w:type="dxa"/>
          </w:tcPr>
          <w:p w:rsidR="007A4D59" w:rsidRPr="00E00B35" w:rsidRDefault="007A4D59" w:rsidP="00E00B35">
            <w:pPr>
              <w:spacing w:after="0" w:line="312" w:lineRule="auto"/>
              <w:rPr>
                <w:szCs w:val="20"/>
              </w:rPr>
            </w:pPr>
            <w:r w:rsidRPr="00E00B35">
              <w:rPr>
                <w:szCs w:val="20"/>
              </w:rPr>
              <w:t>2</w:t>
            </w:r>
          </w:p>
        </w:tc>
        <w:tc>
          <w:tcPr>
            <w:tcW w:w="1559" w:type="dxa"/>
          </w:tcPr>
          <w:p w:rsidR="007A4D59" w:rsidRPr="00E00B35" w:rsidRDefault="007A4D59" w:rsidP="00E00B35">
            <w:pPr>
              <w:spacing w:after="0" w:line="312" w:lineRule="auto"/>
              <w:rPr>
                <w:szCs w:val="20"/>
              </w:rPr>
            </w:pPr>
            <w:r w:rsidRPr="00E00B35">
              <w:rPr>
                <w:szCs w:val="20"/>
              </w:rPr>
              <w:t>12</w:t>
            </w:r>
          </w:p>
        </w:tc>
        <w:tc>
          <w:tcPr>
            <w:tcW w:w="1701" w:type="dxa"/>
          </w:tcPr>
          <w:p w:rsidR="007A4D59" w:rsidRPr="00E00B35" w:rsidRDefault="007A4D59" w:rsidP="00E00B35">
            <w:pPr>
              <w:spacing w:after="0" w:line="312" w:lineRule="auto"/>
              <w:rPr>
                <w:szCs w:val="20"/>
              </w:rPr>
            </w:pPr>
            <w:r w:rsidRPr="00E00B35">
              <w:rPr>
                <w:szCs w:val="20"/>
              </w:rPr>
              <w:t>14</w:t>
            </w:r>
          </w:p>
        </w:tc>
        <w:tc>
          <w:tcPr>
            <w:tcW w:w="1843" w:type="dxa"/>
          </w:tcPr>
          <w:p w:rsidR="007A4D59" w:rsidRPr="00E00B35" w:rsidRDefault="007A4D59" w:rsidP="00E00B35">
            <w:pPr>
              <w:spacing w:after="0" w:line="312" w:lineRule="auto"/>
              <w:rPr>
                <w:szCs w:val="20"/>
              </w:rPr>
            </w:pPr>
            <w:r w:rsidRPr="00E00B35">
              <w:rPr>
                <w:szCs w:val="20"/>
              </w:rPr>
              <w:t>12</w:t>
            </w:r>
          </w:p>
        </w:tc>
      </w:tr>
      <w:tr w:rsidR="007A4D59" w:rsidRPr="00E00B35" w:rsidTr="006D3493">
        <w:trPr>
          <w:trHeight w:val="577"/>
        </w:trPr>
        <w:tc>
          <w:tcPr>
            <w:tcW w:w="2376" w:type="dxa"/>
          </w:tcPr>
          <w:p w:rsidR="007A4D59" w:rsidRPr="00E00B35" w:rsidRDefault="007A4D59" w:rsidP="00E00B35">
            <w:pPr>
              <w:spacing w:after="0" w:line="312" w:lineRule="auto"/>
              <w:rPr>
                <w:szCs w:val="20"/>
              </w:rPr>
            </w:pPr>
            <w:r w:rsidRPr="00E00B35">
              <w:rPr>
                <w:szCs w:val="20"/>
              </w:rPr>
              <w:t>Decyzje na psy ras  agresywnych</w:t>
            </w:r>
          </w:p>
        </w:tc>
        <w:tc>
          <w:tcPr>
            <w:tcW w:w="1418" w:type="dxa"/>
          </w:tcPr>
          <w:p w:rsidR="007A4D59" w:rsidRPr="00E00B35" w:rsidRDefault="007A4D59" w:rsidP="00E00B35">
            <w:pPr>
              <w:spacing w:after="0" w:line="312" w:lineRule="auto"/>
              <w:rPr>
                <w:szCs w:val="20"/>
              </w:rPr>
            </w:pPr>
            <w:r w:rsidRPr="00E00B35">
              <w:rPr>
                <w:szCs w:val="20"/>
              </w:rPr>
              <w:t>3</w:t>
            </w:r>
          </w:p>
        </w:tc>
        <w:tc>
          <w:tcPr>
            <w:tcW w:w="1559" w:type="dxa"/>
          </w:tcPr>
          <w:p w:rsidR="007A4D59" w:rsidRPr="00E00B35" w:rsidRDefault="007A4D59" w:rsidP="00E00B35">
            <w:pPr>
              <w:spacing w:after="0" w:line="312" w:lineRule="auto"/>
              <w:rPr>
                <w:szCs w:val="20"/>
              </w:rPr>
            </w:pPr>
            <w:r w:rsidRPr="00E00B35">
              <w:rPr>
                <w:szCs w:val="20"/>
              </w:rPr>
              <w:t>2</w:t>
            </w:r>
          </w:p>
        </w:tc>
        <w:tc>
          <w:tcPr>
            <w:tcW w:w="1701" w:type="dxa"/>
          </w:tcPr>
          <w:p w:rsidR="007A4D59" w:rsidRPr="00E00B35" w:rsidRDefault="007A4D59" w:rsidP="00E00B35">
            <w:pPr>
              <w:spacing w:after="0" w:line="312" w:lineRule="auto"/>
              <w:rPr>
                <w:szCs w:val="20"/>
              </w:rPr>
            </w:pPr>
            <w:r w:rsidRPr="00E00B35">
              <w:rPr>
                <w:szCs w:val="20"/>
              </w:rPr>
              <w:t>7</w:t>
            </w:r>
          </w:p>
        </w:tc>
        <w:tc>
          <w:tcPr>
            <w:tcW w:w="1843" w:type="dxa"/>
          </w:tcPr>
          <w:p w:rsidR="007A4D59" w:rsidRPr="00E00B35" w:rsidRDefault="007A4D59" w:rsidP="00E00B35">
            <w:pPr>
              <w:spacing w:after="0" w:line="312" w:lineRule="auto"/>
              <w:rPr>
                <w:szCs w:val="20"/>
              </w:rPr>
            </w:pPr>
            <w:r w:rsidRPr="00E00B35">
              <w:rPr>
                <w:szCs w:val="20"/>
              </w:rPr>
              <w:t>5</w:t>
            </w:r>
          </w:p>
        </w:tc>
      </w:tr>
    </w:tbl>
    <w:p w:rsidR="007A4D59" w:rsidRPr="00E00B35" w:rsidRDefault="007A4D59" w:rsidP="00E00B35">
      <w:pPr>
        <w:pStyle w:val="11Trescpisma"/>
        <w:spacing w:before="0" w:after="0" w:line="312" w:lineRule="auto"/>
        <w:jc w:val="left"/>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Inwentaryzacja przyrodnicza Pól Irygacyjnych we Wrocławiu</w:t>
      </w:r>
    </w:p>
    <w:p w:rsidR="007A4D59" w:rsidRPr="00E00B35" w:rsidRDefault="007A4D59" w:rsidP="00E00B35">
      <w:pPr>
        <w:spacing w:after="0" w:line="312" w:lineRule="auto"/>
        <w:rPr>
          <w:rFonts w:cs="Verdana"/>
          <w:szCs w:val="20"/>
        </w:rPr>
      </w:pPr>
    </w:p>
    <w:p w:rsidR="007A4D59" w:rsidRPr="00E00B35" w:rsidRDefault="007A4D59" w:rsidP="00E00B35">
      <w:pPr>
        <w:spacing w:after="0" w:line="312" w:lineRule="auto"/>
        <w:rPr>
          <w:rFonts w:cs="Calibri"/>
          <w:szCs w:val="20"/>
        </w:rPr>
      </w:pPr>
      <w:r w:rsidRPr="00E00B35">
        <w:rPr>
          <w:rFonts w:cs="Calibri"/>
          <w:szCs w:val="20"/>
        </w:rPr>
        <w:t>W celu aktualizacji stanu wiedzy na temat przyrody pól irygacyjnych (poprzednią inwentaryzacja wykonano w 2009 r.) zdecydowano o powtórzeniu inwentaryzacji przyrodniczej. W maju 2020 r. podpisano umowę z przedsiębiorstwem AVEN Michał Górski. Zlecenie wykonywane jest przez zespół ekspertów z dziedzin przyrodniczych. Inwentaryzacja pozwoli na porównanie zmian, jakie zaszły w ekosystemie pól irygacyjnych. W ramach zadania zostanie wykonana waloryzacja przyrodnicza polegająca na wskazaniu obszarów szczególnie istotnych ze względu na występowanie flory i fauny. Prowadzona obecnie inwentaryzacja trwać będzie rok. Prace terenowe potrwają do końca czerwca 2021 r.</w:t>
      </w:r>
    </w:p>
    <w:p w:rsidR="007A4D59" w:rsidRPr="00E00B35" w:rsidRDefault="007A4D59" w:rsidP="00E00B35">
      <w:pPr>
        <w:spacing w:after="0" w:line="312" w:lineRule="auto"/>
        <w:rPr>
          <w:rFonts w:cs="Calibri"/>
          <w:szCs w:val="20"/>
        </w:rPr>
      </w:pPr>
      <w:r w:rsidRPr="00E00B35">
        <w:rPr>
          <w:rFonts w:cs="Calibri"/>
          <w:szCs w:val="20"/>
        </w:rPr>
        <w:t>W listopadzie 2020 r. wykonawca przedstawił raport z I etapy inwentaryzacji za okres czerwiec – październik 2020 r.</w:t>
      </w:r>
    </w:p>
    <w:p w:rsidR="007A4D59" w:rsidRPr="00E00B35" w:rsidRDefault="007A4D59" w:rsidP="00E00B35">
      <w:pPr>
        <w:spacing w:after="0" w:line="312" w:lineRule="auto"/>
        <w:rPr>
          <w:rFonts w:cs="Calibri"/>
          <w:noProof/>
          <w:szCs w:val="20"/>
        </w:rPr>
      </w:pPr>
      <w:r w:rsidRPr="00E00B35">
        <w:rPr>
          <w:rFonts w:cs="Calibri"/>
          <w:noProof/>
          <w:szCs w:val="20"/>
          <w:lang w:val="pl-PL" w:eastAsia="pl-PL" w:bidi="ar-SA"/>
        </w:rPr>
        <w:drawing>
          <wp:inline distT="0" distB="0" distL="0" distR="0">
            <wp:extent cx="3152140" cy="2358390"/>
            <wp:effectExtent l="19050" t="0" r="0" b="0"/>
            <wp:docPr id="132" name="Obraz 9" descr="zdjęcie pól iryga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zdjęcie pól irygacyjnych"/>
                    <pic:cNvPicPr>
                      <a:picLocks noChangeAspect="1" noChangeArrowheads="1"/>
                    </pic:cNvPicPr>
                  </pic:nvPicPr>
                  <pic:blipFill>
                    <a:blip r:embed="rId179" cstate="print"/>
                    <a:srcRect/>
                    <a:stretch>
                      <a:fillRect/>
                    </a:stretch>
                  </pic:blipFill>
                  <pic:spPr bwMode="auto">
                    <a:xfrm>
                      <a:off x="0" y="0"/>
                      <a:ext cx="3152140" cy="2358390"/>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rFonts w:cs="Calibri"/>
          <w:bCs/>
          <w:szCs w:val="20"/>
        </w:rPr>
      </w:pPr>
      <w:r w:rsidRPr="00E00B35">
        <w:rPr>
          <w:rFonts w:cs="Calibri"/>
          <w:bCs/>
          <w:szCs w:val="20"/>
        </w:rPr>
        <w:t xml:space="preserve"> Zbiornik w północnej części pól irygacyjnych Fot. Anna Wójcicka-Rosińska</w:t>
      </w:r>
    </w:p>
    <w:p w:rsidR="007A4D59" w:rsidRPr="00E00B35" w:rsidRDefault="007A4D59" w:rsidP="00E00B35">
      <w:pPr>
        <w:spacing w:after="0" w:line="312" w:lineRule="auto"/>
        <w:rPr>
          <w:rFonts w:cs="Calibri"/>
          <w:b/>
          <w:bCs/>
          <w:szCs w:val="20"/>
        </w:rPr>
      </w:pPr>
    </w:p>
    <w:p w:rsidR="007A4D59" w:rsidRPr="00E00B35" w:rsidRDefault="007A4D59" w:rsidP="00E00B35">
      <w:pPr>
        <w:spacing w:after="0" w:line="312" w:lineRule="auto"/>
        <w:rPr>
          <w:rFonts w:cs="Calibri"/>
          <w:b/>
          <w:noProof/>
          <w:szCs w:val="20"/>
        </w:rPr>
      </w:pPr>
      <w:r w:rsidRPr="00E00B35">
        <w:rPr>
          <w:rFonts w:cs="Calibri"/>
          <w:b/>
          <w:noProof/>
          <w:szCs w:val="20"/>
          <w:lang w:val="pl-PL" w:eastAsia="pl-PL" w:bidi="ar-SA"/>
        </w:rPr>
        <w:lastRenderedPageBreak/>
        <w:drawing>
          <wp:inline distT="0" distB="0" distL="0" distR="0">
            <wp:extent cx="3272790" cy="2454275"/>
            <wp:effectExtent l="19050" t="0" r="3810" b="0"/>
            <wp:docPr id="133" name="Obraz 10" descr="zdjecie ptaka Potrzeszc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djecie ptaka Potrzeszcza"/>
                    <pic:cNvPicPr>
                      <a:picLocks noChangeAspect="1" noChangeArrowheads="1"/>
                    </pic:cNvPicPr>
                  </pic:nvPicPr>
                  <pic:blipFill>
                    <a:blip r:embed="rId180" cstate="print"/>
                    <a:srcRect/>
                    <a:stretch>
                      <a:fillRect/>
                    </a:stretch>
                  </pic:blipFill>
                  <pic:spPr bwMode="auto">
                    <a:xfrm>
                      <a:off x="0" y="0"/>
                      <a:ext cx="3272790" cy="2454275"/>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rFonts w:cs="Calibri"/>
          <w:bCs/>
          <w:szCs w:val="20"/>
        </w:rPr>
      </w:pPr>
      <w:r w:rsidRPr="00E00B35">
        <w:rPr>
          <w:rFonts w:cs="Calibri"/>
          <w:bCs/>
          <w:szCs w:val="20"/>
        </w:rPr>
        <w:t>Potrzeszcz na polach irygacyjnych Fot. Hanna Sztwiertnia</w:t>
      </w:r>
    </w:p>
    <w:p w:rsidR="007A4D59" w:rsidRPr="00E00B35" w:rsidRDefault="007A4D59" w:rsidP="00E00B35">
      <w:pPr>
        <w:spacing w:after="0" w:line="312" w:lineRule="auto"/>
        <w:rPr>
          <w:rFonts w:cs="Calibri"/>
          <w:b/>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Książka „PTAKI WROCŁAWIA W OKRESIE 200 LAT”</w:t>
      </w:r>
    </w:p>
    <w:p w:rsidR="007A4D59" w:rsidRPr="00E00B35" w:rsidRDefault="007A4D59" w:rsidP="00E00B35">
      <w:pPr>
        <w:spacing w:after="0" w:line="312" w:lineRule="auto"/>
        <w:rPr>
          <w:rFonts w:cs="Calibri"/>
          <w:b/>
          <w:szCs w:val="20"/>
        </w:rPr>
      </w:pPr>
    </w:p>
    <w:p w:rsidR="007A4D59" w:rsidRPr="00E00B35" w:rsidRDefault="007A4D59" w:rsidP="00E00B35">
      <w:pPr>
        <w:spacing w:after="0" w:line="312" w:lineRule="auto"/>
        <w:rPr>
          <w:rFonts w:cs="Calibri"/>
          <w:color w:val="1B1B1B"/>
          <w:szCs w:val="20"/>
        </w:rPr>
      </w:pPr>
      <w:r w:rsidRPr="00E00B35">
        <w:rPr>
          <w:rFonts w:cs="Calibri"/>
          <w:szCs w:val="20"/>
        </w:rPr>
        <w:t>Celem działania było dofinansowanie w kwocie 9 840,00 tys. zł wydania przez Polskie Towarzystwo Przyjaciół Przyrody „pro natura” publikacji pt. „</w:t>
      </w:r>
      <w:r w:rsidRPr="00E00B35">
        <w:rPr>
          <w:rFonts w:cs="Calibri"/>
          <w:i/>
          <w:szCs w:val="20"/>
        </w:rPr>
        <w:t xml:space="preserve">Ptaki Wrocławia w okresie 200 lat. </w:t>
      </w:r>
      <w:r w:rsidRPr="00E00B35">
        <w:rPr>
          <w:rFonts w:cs="Calibri"/>
          <w:i/>
          <w:color w:val="1B1B1B"/>
          <w:szCs w:val="20"/>
          <w:shd w:val="clear" w:color="auto" w:fill="FFFFFF"/>
        </w:rPr>
        <w:t>Występowanie, liczebność i zmiany w dzisiejszych granicach administracyjnych miasta</w:t>
      </w:r>
      <w:r w:rsidRPr="00E00B35">
        <w:rPr>
          <w:rFonts w:cs="Calibri"/>
          <w:szCs w:val="20"/>
        </w:rPr>
        <w:t xml:space="preserve">”. Książka przedstawia bogaty skład awifauny miasta, zmian składu gatunków zachodzących w ciągu 200 lat oraz adaptację do warunków miejskich. Ma duże walory poznawcze i edukacyjne. Książka pozwolą lepiej zrozumieć ekologię miasta, funkcjonowanie jego urbicenoz oraz możliwości zarządzania terenami miast zgodnymi z wymogami zarówno ludzi jak i ptaków. Autorem książki jest zmarły niedawno </w:t>
      </w:r>
      <w:r w:rsidRPr="00E00B35">
        <w:rPr>
          <w:rFonts w:cs="Calibri"/>
          <w:color w:val="1B1B1B"/>
          <w:szCs w:val="20"/>
        </w:rPr>
        <w:t xml:space="preserve">prof. Ludwik Tomiałojć, który pracował nad nią od 2009 r. Współautorami książki są także: Grzegorz Orłowski, Andrzej Czapula i Zbigniew Jakubiec – ornitolodzy, zoolodzy od lat związani z Wrocławiem, a recenzentem prof. dr hab. Andrzej Dyrcz – ornitolog. </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noProof/>
          <w:szCs w:val="20"/>
          <w:lang w:val="pl-PL" w:eastAsia="pl-PL" w:bidi="ar-SA"/>
        </w:rPr>
        <w:drawing>
          <wp:inline distT="0" distB="0" distL="0" distR="0">
            <wp:extent cx="1539875" cy="2189480"/>
            <wp:effectExtent l="19050" t="0" r="3175" b="0"/>
            <wp:docPr id="134" name="Obraz 3" descr="zdjecie ksia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djecie ksiazki"/>
                    <pic:cNvPicPr>
                      <a:picLocks noChangeAspect="1" noChangeArrowheads="1"/>
                    </pic:cNvPicPr>
                  </pic:nvPicPr>
                  <pic:blipFill>
                    <a:blip r:embed="rId181" cstate="print"/>
                    <a:srcRect/>
                    <a:stretch>
                      <a:fillRect/>
                    </a:stretch>
                  </pic:blipFill>
                  <pic:spPr bwMode="auto">
                    <a:xfrm>
                      <a:off x="0" y="0"/>
                      <a:ext cx="1539875" cy="2189480"/>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rFonts w:cs="Calibri"/>
          <w:color w:val="1B1B1B"/>
          <w:szCs w:val="20"/>
        </w:rPr>
      </w:pPr>
    </w:p>
    <w:p w:rsidR="007A4D59" w:rsidRPr="00E00B35" w:rsidRDefault="007A4D59" w:rsidP="00E00B35">
      <w:pPr>
        <w:spacing w:after="0" w:line="312" w:lineRule="auto"/>
        <w:rPr>
          <w:szCs w:val="20"/>
        </w:rPr>
      </w:pPr>
      <w:bookmarkStart w:id="771" w:name="_Toc71032651"/>
      <w:bookmarkStart w:id="772" w:name="_Toc71034625"/>
      <w:r w:rsidRPr="00E00B35">
        <w:rPr>
          <w:szCs w:val="20"/>
        </w:rPr>
        <w:t>Okładka książki „Ptaki Wrocławia w okresie 200 lat”</w:t>
      </w:r>
      <w:bookmarkEnd w:id="771"/>
      <w:bookmarkEnd w:id="772"/>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lastRenderedPageBreak/>
        <w:t>Konsultacje dendrologiczne</w:t>
      </w:r>
    </w:p>
    <w:p w:rsidR="007A4D59" w:rsidRPr="00E00B35" w:rsidRDefault="007A4D59" w:rsidP="00E00B35">
      <w:pPr>
        <w:spacing w:after="0" w:line="312" w:lineRule="auto"/>
        <w:rPr>
          <w:rFonts w:cs="Calibri"/>
          <w:bCs/>
          <w:szCs w:val="20"/>
        </w:rPr>
      </w:pPr>
      <w:r w:rsidRPr="00E00B35">
        <w:rPr>
          <w:rFonts w:cs="Verdana"/>
          <w:szCs w:val="20"/>
        </w:rPr>
        <w:t>W 2020r wrocławskie placówki oświatowe mogły skorzystać z konsultacji dendrologicznych w zakresie oceny zadrzewienia. W zakres konsultacji wchodziła ocena stanu zdrowotnego drzew i zagrożeń w odniesieniu do planowanych inwestycji, wskazywanie zabiegów pielęgnacyjnych drzew mających na celu poprawę ich żywotności, statyki oraz bezpieczeństwa w ich otoczeniu, a także sporządzanie opinii eksperckich dotyczące planowanych inwestycji na terenach placówek oświatowych. W okresie od lipca do listopada z usługi skorzystało 28 placówek oświatowych w tym:</w:t>
      </w:r>
    </w:p>
    <w:p w:rsidR="007A4D59" w:rsidRPr="00E00B35" w:rsidRDefault="007A4D59" w:rsidP="00BC64AB">
      <w:pPr>
        <w:pStyle w:val="Akapitzlist"/>
        <w:numPr>
          <w:ilvl w:val="0"/>
          <w:numId w:val="262"/>
        </w:numPr>
        <w:spacing w:after="0" w:line="312" w:lineRule="auto"/>
        <w:ind w:left="426" w:hanging="426"/>
        <w:rPr>
          <w:rFonts w:cs="Verdana"/>
          <w:szCs w:val="20"/>
        </w:rPr>
      </w:pPr>
      <w:r w:rsidRPr="00E00B35">
        <w:rPr>
          <w:rFonts w:cs="Verdana"/>
          <w:szCs w:val="20"/>
        </w:rPr>
        <w:t>Przedszkola nr: 2, 10, 18, 25, 28, 43, 54, 74, 93, 150,</w:t>
      </w:r>
    </w:p>
    <w:p w:rsidR="007A4D59" w:rsidRPr="00E00B35" w:rsidRDefault="007A4D59" w:rsidP="00BC64AB">
      <w:pPr>
        <w:pStyle w:val="Akapitzlist"/>
        <w:numPr>
          <w:ilvl w:val="0"/>
          <w:numId w:val="262"/>
        </w:numPr>
        <w:spacing w:after="0" w:line="312" w:lineRule="auto"/>
        <w:ind w:left="426" w:hanging="426"/>
        <w:rPr>
          <w:rFonts w:cs="Verdana"/>
          <w:szCs w:val="20"/>
        </w:rPr>
      </w:pPr>
      <w:r w:rsidRPr="00E00B35">
        <w:rPr>
          <w:rFonts w:cs="Verdana"/>
          <w:szCs w:val="20"/>
        </w:rPr>
        <w:t>Szkoły Podstawowe nr: 7, 28, 36, 64, 81, 83, 84,</w:t>
      </w:r>
    </w:p>
    <w:p w:rsidR="007A4D59" w:rsidRPr="00E00B35" w:rsidRDefault="007A4D59" w:rsidP="00BC64AB">
      <w:pPr>
        <w:pStyle w:val="Akapitzlist"/>
        <w:numPr>
          <w:ilvl w:val="0"/>
          <w:numId w:val="262"/>
        </w:numPr>
        <w:spacing w:after="0" w:line="312" w:lineRule="auto"/>
        <w:ind w:left="426" w:hanging="426"/>
        <w:rPr>
          <w:rFonts w:cs="Verdana"/>
          <w:szCs w:val="20"/>
        </w:rPr>
      </w:pPr>
      <w:r w:rsidRPr="00E00B35">
        <w:rPr>
          <w:rFonts w:cs="Verdana"/>
          <w:szCs w:val="20"/>
        </w:rPr>
        <w:t>Zespoły Szkolno-Przedszkolne nr: 1, 4, 7, 8, 17, 23,</w:t>
      </w:r>
    </w:p>
    <w:p w:rsidR="007A4D59" w:rsidRPr="00E00B35" w:rsidRDefault="007A4D59" w:rsidP="00BC64AB">
      <w:pPr>
        <w:pStyle w:val="Akapitzlist"/>
        <w:numPr>
          <w:ilvl w:val="0"/>
          <w:numId w:val="262"/>
        </w:numPr>
        <w:spacing w:after="0" w:line="312" w:lineRule="auto"/>
        <w:ind w:left="426" w:hanging="426"/>
        <w:rPr>
          <w:rFonts w:cs="Verdana"/>
          <w:szCs w:val="20"/>
        </w:rPr>
      </w:pPr>
      <w:r w:rsidRPr="00E00B35">
        <w:rPr>
          <w:rFonts w:cs="Verdana"/>
          <w:szCs w:val="20"/>
        </w:rPr>
        <w:t>Zespól Szkół nr 16,</w:t>
      </w:r>
    </w:p>
    <w:p w:rsidR="007A4D59" w:rsidRPr="00E00B35" w:rsidRDefault="007A4D59" w:rsidP="00BC64AB">
      <w:pPr>
        <w:pStyle w:val="Akapitzlist"/>
        <w:numPr>
          <w:ilvl w:val="0"/>
          <w:numId w:val="262"/>
        </w:numPr>
        <w:spacing w:after="0" w:line="312" w:lineRule="auto"/>
        <w:ind w:left="426" w:hanging="426"/>
        <w:rPr>
          <w:rFonts w:cs="Verdana"/>
          <w:szCs w:val="20"/>
        </w:rPr>
      </w:pPr>
      <w:r w:rsidRPr="00E00B35">
        <w:rPr>
          <w:rFonts w:cs="Verdana"/>
          <w:szCs w:val="20"/>
        </w:rPr>
        <w:t>Centrum Kształcenia Ustawicznego,</w:t>
      </w:r>
    </w:p>
    <w:p w:rsidR="007A4D59" w:rsidRPr="00E00B35" w:rsidRDefault="007A4D59" w:rsidP="00BC64AB">
      <w:pPr>
        <w:pStyle w:val="Akapitzlist"/>
        <w:numPr>
          <w:ilvl w:val="0"/>
          <w:numId w:val="262"/>
        </w:numPr>
        <w:spacing w:after="0" w:line="312" w:lineRule="auto"/>
        <w:ind w:left="426" w:hanging="426"/>
        <w:rPr>
          <w:rFonts w:cs="Verdana"/>
          <w:szCs w:val="20"/>
        </w:rPr>
      </w:pPr>
      <w:r w:rsidRPr="00E00B35">
        <w:rPr>
          <w:rFonts w:cs="Verdana"/>
          <w:szCs w:val="20"/>
        </w:rPr>
        <w:t>Liceum Ogólnokształcące nr V,</w:t>
      </w:r>
    </w:p>
    <w:p w:rsidR="007A4D59" w:rsidRPr="00E00B35" w:rsidRDefault="007A4D59" w:rsidP="00BC64AB">
      <w:pPr>
        <w:pStyle w:val="Akapitzlist"/>
        <w:numPr>
          <w:ilvl w:val="0"/>
          <w:numId w:val="262"/>
        </w:numPr>
        <w:spacing w:after="0" w:line="312" w:lineRule="auto"/>
        <w:ind w:left="426" w:hanging="426"/>
        <w:rPr>
          <w:rFonts w:cs="Verdana"/>
          <w:szCs w:val="20"/>
        </w:rPr>
      </w:pPr>
      <w:r w:rsidRPr="00E00B35">
        <w:rPr>
          <w:rFonts w:cs="Verdana"/>
          <w:szCs w:val="20"/>
        </w:rPr>
        <w:t>Zespól Szkół Ekonomiczno-Administracyjnych.</w:t>
      </w:r>
    </w:p>
    <w:p w:rsidR="007A4D59" w:rsidRPr="00E00B35" w:rsidRDefault="007A4D59" w:rsidP="00E00B35">
      <w:pPr>
        <w:pStyle w:val="Legenda"/>
        <w:spacing w:before="0" w:after="0" w:line="312" w:lineRule="auto"/>
        <w:rPr>
          <w:sz w:val="20"/>
          <w:szCs w:val="20"/>
        </w:rPr>
      </w:pPr>
    </w:p>
    <w:p w:rsidR="007A4D59" w:rsidRPr="00E00B35" w:rsidRDefault="007A4D59" w:rsidP="00E00B35">
      <w:pPr>
        <w:pStyle w:val="Legenda"/>
        <w:spacing w:before="0" w:after="0" w:line="312" w:lineRule="auto"/>
        <w:rPr>
          <w:i w:val="0"/>
          <w:sz w:val="20"/>
          <w:szCs w:val="20"/>
        </w:rPr>
      </w:pPr>
      <w:r w:rsidRPr="00E00B35">
        <w:rPr>
          <w:i w:val="0"/>
          <w:sz w:val="20"/>
          <w:szCs w:val="20"/>
        </w:rPr>
        <w:t>Zestawienie wyników konsultacji dendrologicznych</w:t>
      </w:r>
    </w:p>
    <w:tbl>
      <w:tblPr>
        <w:tblW w:w="7938" w:type="dxa"/>
        <w:tblCellMar>
          <w:left w:w="70" w:type="dxa"/>
          <w:right w:w="70" w:type="dxa"/>
        </w:tblCellMar>
        <w:tblLook w:val="04A0"/>
      </w:tblPr>
      <w:tblGrid>
        <w:gridCol w:w="848"/>
        <w:gridCol w:w="1080"/>
        <w:gridCol w:w="1180"/>
        <w:gridCol w:w="861"/>
        <w:gridCol w:w="738"/>
        <w:gridCol w:w="1005"/>
        <w:gridCol w:w="1077"/>
        <w:gridCol w:w="1233"/>
      </w:tblGrid>
      <w:tr w:rsidR="007A4D59" w:rsidRPr="00E00B35" w:rsidTr="006D3493">
        <w:trPr>
          <w:trHeight w:val="374"/>
        </w:trPr>
        <w:tc>
          <w:tcPr>
            <w:tcW w:w="3969" w:type="dxa"/>
            <w:gridSpan w:val="4"/>
            <w:tcBorders>
              <w:top w:val="single" w:sz="8" w:space="0" w:color="auto"/>
              <w:left w:val="single" w:sz="8" w:space="0" w:color="auto"/>
              <w:bottom w:val="nil"/>
              <w:right w:val="single" w:sz="4" w:space="0" w:color="auto"/>
            </w:tcBorders>
            <w:shd w:val="clear" w:color="auto" w:fill="auto"/>
            <w:noWrap/>
            <w:vAlign w:val="center"/>
            <w:hideMark/>
          </w:tcPr>
          <w:p w:rsidR="007A4D59" w:rsidRPr="00E00B35" w:rsidRDefault="007A4D59" w:rsidP="00E00B35">
            <w:pPr>
              <w:spacing w:after="0" w:line="312" w:lineRule="auto"/>
              <w:rPr>
                <w:color w:val="000000"/>
                <w:szCs w:val="20"/>
              </w:rPr>
            </w:pPr>
            <w:r w:rsidRPr="00E00B35">
              <w:rPr>
                <w:color w:val="000000"/>
                <w:szCs w:val="20"/>
              </w:rPr>
              <w:t>Ocena stanu zdrowotnego drzew</w:t>
            </w:r>
          </w:p>
        </w:tc>
        <w:tc>
          <w:tcPr>
            <w:tcW w:w="3969" w:type="dxa"/>
            <w:gridSpan w:val="4"/>
            <w:tcBorders>
              <w:top w:val="single" w:sz="8" w:space="0" w:color="auto"/>
              <w:left w:val="single" w:sz="8" w:space="0" w:color="auto"/>
              <w:bottom w:val="nil"/>
              <w:right w:val="single" w:sz="8" w:space="0" w:color="000000"/>
            </w:tcBorders>
            <w:shd w:val="clear" w:color="auto" w:fill="auto"/>
            <w:noWrap/>
            <w:vAlign w:val="center"/>
            <w:hideMark/>
          </w:tcPr>
          <w:p w:rsidR="007A4D59" w:rsidRPr="00E00B35" w:rsidRDefault="007A4D59" w:rsidP="00E00B35">
            <w:pPr>
              <w:spacing w:after="0" w:line="312" w:lineRule="auto"/>
              <w:rPr>
                <w:color w:val="000000"/>
                <w:szCs w:val="20"/>
              </w:rPr>
            </w:pPr>
            <w:r w:rsidRPr="00E00B35">
              <w:rPr>
                <w:color w:val="000000"/>
                <w:szCs w:val="20"/>
              </w:rPr>
              <w:t>Zabiegi pielęgnacyjne</w:t>
            </w:r>
          </w:p>
        </w:tc>
      </w:tr>
      <w:tr w:rsidR="007A4D59" w:rsidRPr="00E00B35" w:rsidTr="006D3493">
        <w:trPr>
          <w:trHeight w:val="340"/>
        </w:trPr>
        <w:tc>
          <w:tcPr>
            <w:tcW w:w="84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A4D59" w:rsidRPr="00E00B35" w:rsidRDefault="007A4D59" w:rsidP="00E00B35">
            <w:pPr>
              <w:spacing w:after="0" w:line="312" w:lineRule="auto"/>
              <w:rPr>
                <w:color w:val="000000"/>
                <w:szCs w:val="20"/>
              </w:rPr>
            </w:pPr>
            <w:r w:rsidRPr="00E00B35">
              <w:rPr>
                <w:color w:val="000000"/>
                <w:szCs w:val="20"/>
              </w:rPr>
              <w:t>liczba drzew</w:t>
            </w:r>
          </w:p>
        </w:tc>
        <w:tc>
          <w:tcPr>
            <w:tcW w:w="3121" w:type="dxa"/>
            <w:gridSpan w:val="3"/>
            <w:tcBorders>
              <w:top w:val="single" w:sz="8" w:space="0" w:color="auto"/>
              <w:left w:val="nil"/>
              <w:bottom w:val="single" w:sz="8" w:space="0" w:color="auto"/>
              <w:right w:val="single" w:sz="8" w:space="0" w:color="000000"/>
            </w:tcBorders>
            <w:shd w:val="clear" w:color="auto" w:fill="auto"/>
            <w:vAlign w:val="center"/>
            <w:hideMark/>
          </w:tcPr>
          <w:p w:rsidR="007A4D59" w:rsidRPr="00E00B35" w:rsidRDefault="007A4D59" w:rsidP="00E00B35">
            <w:pPr>
              <w:spacing w:after="0" w:line="312" w:lineRule="auto"/>
              <w:rPr>
                <w:color w:val="000000"/>
                <w:szCs w:val="20"/>
              </w:rPr>
            </w:pPr>
            <w:r w:rsidRPr="00E00B35">
              <w:rPr>
                <w:color w:val="000000"/>
                <w:szCs w:val="20"/>
              </w:rPr>
              <w:t>kondycja drzew</w:t>
            </w:r>
          </w:p>
        </w:tc>
        <w:tc>
          <w:tcPr>
            <w:tcW w:w="8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A4D59" w:rsidRPr="00E00B35" w:rsidRDefault="007A4D59" w:rsidP="00E00B35">
            <w:pPr>
              <w:spacing w:after="0" w:line="312" w:lineRule="auto"/>
              <w:rPr>
                <w:color w:val="000000"/>
                <w:szCs w:val="20"/>
              </w:rPr>
            </w:pPr>
            <w:r w:rsidRPr="00E00B35">
              <w:rPr>
                <w:color w:val="000000"/>
                <w:szCs w:val="20"/>
              </w:rPr>
              <w:t>liczba drzew</w:t>
            </w:r>
          </w:p>
        </w:tc>
        <w:tc>
          <w:tcPr>
            <w:tcW w:w="91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A4D59" w:rsidRPr="00E00B35" w:rsidRDefault="007A4D59" w:rsidP="00E00B35">
            <w:pPr>
              <w:spacing w:after="0" w:line="312" w:lineRule="auto"/>
              <w:rPr>
                <w:color w:val="000000"/>
                <w:szCs w:val="20"/>
              </w:rPr>
            </w:pPr>
            <w:r w:rsidRPr="00E00B35">
              <w:rPr>
                <w:color w:val="000000"/>
                <w:szCs w:val="20"/>
              </w:rPr>
              <w:t>wiązanie</w:t>
            </w:r>
          </w:p>
        </w:tc>
        <w:tc>
          <w:tcPr>
            <w:tcW w:w="110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A4D59" w:rsidRPr="00E00B35" w:rsidRDefault="007A4D59" w:rsidP="00E00B35">
            <w:pPr>
              <w:spacing w:after="0" w:line="312" w:lineRule="auto"/>
              <w:rPr>
                <w:color w:val="000000"/>
                <w:szCs w:val="20"/>
              </w:rPr>
            </w:pPr>
            <w:r w:rsidRPr="00E00B35">
              <w:rPr>
                <w:color w:val="000000"/>
                <w:szCs w:val="20"/>
              </w:rPr>
              <w:t>usuniecie</w:t>
            </w:r>
          </w:p>
        </w:tc>
        <w:tc>
          <w:tcPr>
            <w:tcW w:w="113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7A4D59" w:rsidRPr="00E00B35" w:rsidRDefault="007A4D59" w:rsidP="00E00B35">
            <w:pPr>
              <w:spacing w:after="0" w:line="312" w:lineRule="auto"/>
              <w:rPr>
                <w:color w:val="000000"/>
                <w:szCs w:val="20"/>
              </w:rPr>
            </w:pPr>
            <w:r w:rsidRPr="00E00B35">
              <w:rPr>
                <w:color w:val="000000"/>
                <w:szCs w:val="20"/>
              </w:rPr>
              <w:t>dodatkowe badania</w:t>
            </w:r>
          </w:p>
        </w:tc>
      </w:tr>
      <w:tr w:rsidR="007A4D59" w:rsidRPr="00E00B35" w:rsidTr="006D3493">
        <w:trPr>
          <w:trHeight w:val="401"/>
        </w:trPr>
        <w:tc>
          <w:tcPr>
            <w:tcW w:w="848" w:type="dxa"/>
            <w:vMerge/>
            <w:tcBorders>
              <w:top w:val="single" w:sz="8" w:space="0" w:color="auto"/>
              <w:left w:val="single" w:sz="8" w:space="0" w:color="auto"/>
              <w:bottom w:val="single" w:sz="8" w:space="0" w:color="000000"/>
              <w:right w:val="single" w:sz="8" w:space="0" w:color="auto"/>
            </w:tcBorders>
            <w:vAlign w:val="center"/>
            <w:hideMark/>
          </w:tcPr>
          <w:p w:rsidR="007A4D59" w:rsidRPr="00E00B35" w:rsidRDefault="007A4D59" w:rsidP="00E00B35">
            <w:pPr>
              <w:spacing w:after="0" w:line="312" w:lineRule="auto"/>
              <w:rPr>
                <w:color w:val="000000"/>
                <w:szCs w:val="20"/>
              </w:rPr>
            </w:pPr>
          </w:p>
        </w:tc>
        <w:tc>
          <w:tcPr>
            <w:tcW w:w="1080" w:type="dxa"/>
            <w:tcBorders>
              <w:top w:val="nil"/>
              <w:left w:val="nil"/>
              <w:bottom w:val="single" w:sz="8" w:space="0" w:color="auto"/>
              <w:right w:val="nil"/>
            </w:tcBorders>
            <w:shd w:val="clear" w:color="auto" w:fill="auto"/>
            <w:vAlign w:val="center"/>
            <w:hideMark/>
          </w:tcPr>
          <w:p w:rsidR="007A4D59" w:rsidRPr="00E00B35" w:rsidRDefault="007A4D59" w:rsidP="00E00B35">
            <w:pPr>
              <w:spacing w:after="0" w:line="312" w:lineRule="auto"/>
              <w:rPr>
                <w:color w:val="000000"/>
                <w:szCs w:val="20"/>
              </w:rPr>
            </w:pPr>
            <w:r w:rsidRPr="00E00B35">
              <w:rPr>
                <w:color w:val="000000"/>
                <w:szCs w:val="20"/>
              </w:rPr>
              <w:t>Dobra</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7A4D59" w:rsidRPr="00E00B35" w:rsidRDefault="007A4D59" w:rsidP="00E00B35">
            <w:pPr>
              <w:spacing w:after="0" w:line="312" w:lineRule="auto"/>
              <w:rPr>
                <w:color w:val="000000"/>
                <w:szCs w:val="20"/>
              </w:rPr>
            </w:pPr>
            <w:r w:rsidRPr="00E00B35">
              <w:rPr>
                <w:color w:val="000000"/>
                <w:szCs w:val="20"/>
              </w:rPr>
              <w:t>Średnia</w:t>
            </w:r>
          </w:p>
        </w:tc>
        <w:tc>
          <w:tcPr>
            <w:tcW w:w="861" w:type="dxa"/>
            <w:tcBorders>
              <w:top w:val="nil"/>
              <w:left w:val="nil"/>
              <w:bottom w:val="single" w:sz="8" w:space="0" w:color="auto"/>
              <w:right w:val="single" w:sz="8" w:space="0" w:color="auto"/>
            </w:tcBorders>
            <w:shd w:val="clear" w:color="auto" w:fill="auto"/>
            <w:vAlign w:val="center"/>
            <w:hideMark/>
          </w:tcPr>
          <w:p w:rsidR="007A4D59" w:rsidRPr="00E00B35" w:rsidRDefault="007A4D59" w:rsidP="00E00B35">
            <w:pPr>
              <w:spacing w:after="0" w:line="312" w:lineRule="auto"/>
              <w:rPr>
                <w:color w:val="000000"/>
                <w:szCs w:val="20"/>
              </w:rPr>
            </w:pPr>
            <w:r w:rsidRPr="00E00B35">
              <w:rPr>
                <w:color w:val="000000"/>
                <w:szCs w:val="20"/>
              </w:rPr>
              <w:t>Zła</w:t>
            </w:r>
          </w:p>
        </w:tc>
        <w:tc>
          <w:tcPr>
            <w:tcW w:w="815" w:type="dxa"/>
            <w:vMerge/>
            <w:tcBorders>
              <w:top w:val="single" w:sz="8" w:space="0" w:color="auto"/>
              <w:left w:val="single" w:sz="8" w:space="0" w:color="auto"/>
              <w:bottom w:val="single" w:sz="8" w:space="0" w:color="000000"/>
              <w:right w:val="single" w:sz="8" w:space="0" w:color="auto"/>
            </w:tcBorders>
            <w:vAlign w:val="center"/>
            <w:hideMark/>
          </w:tcPr>
          <w:p w:rsidR="007A4D59" w:rsidRPr="00E00B35" w:rsidRDefault="007A4D59" w:rsidP="00E00B35">
            <w:pPr>
              <w:spacing w:after="0" w:line="312" w:lineRule="auto"/>
              <w:rPr>
                <w:color w:val="000000"/>
                <w:szCs w:val="20"/>
              </w:rPr>
            </w:pPr>
          </w:p>
        </w:tc>
        <w:tc>
          <w:tcPr>
            <w:tcW w:w="919" w:type="dxa"/>
            <w:vMerge/>
            <w:tcBorders>
              <w:top w:val="single" w:sz="8" w:space="0" w:color="auto"/>
              <w:left w:val="single" w:sz="4" w:space="0" w:color="auto"/>
              <w:bottom w:val="single" w:sz="8" w:space="0" w:color="000000"/>
              <w:right w:val="single" w:sz="4" w:space="0" w:color="auto"/>
            </w:tcBorders>
            <w:vAlign w:val="center"/>
            <w:hideMark/>
          </w:tcPr>
          <w:p w:rsidR="007A4D59" w:rsidRPr="00E00B35" w:rsidRDefault="007A4D59" w:rsidP="00E00B35">
            <w:pPr>
              <w:spacing w:after="0" w:line="312" w:lineRule="auto"/>
              <w:rPr>
                <w:color w:val="000000"/>
                <w:szCs w:val="20"/>
              </w:rPr>
            </w:pPr>
          </w:p>
        </w:tc>
        <w:tc>
          <w:tcPr>
            <w:tcW w:w="1103" w:type="dxa"/>
            <w:vMerge/>
            <w:tcBorders>
              <w:top w:val="single" w:sz="8" w:space="0" w:color="auto"/>
              <w:left w:val="single" w:sz="4" w:space="0" w:color="auto"/>
              <w:bottom w:val="single" w:sz="8" w:space="0" w:color="000000"/>
              <w:right w:val="single" w:sz="4" w:space="0" w:color="auto"/>
            </w:tcBorders>
            <w:vAlign w:val="center"/>
            <w:hideMark/>
          </w:tcPr>
          <w:p w:rsidR="007A4D59" w:rsidRPr="00E00B35" w:rsidRDefault="007A4D59" w:rsidP="00E00B35">
            <w:pPr>
              <w:spacing w:after="0" w:line="312" w:lineRule="auto"/>
              <w:rPr>
                <w:color w:val="000000"/>
                <w:szCs w:val="20"/>
              </w:rPr>
            </w:pPr>
          </w:p>
        </w:tc>
        <w:tc>
          <w:tcPr>
            <w:tcW w:w="1132" w:type="dxa"/>
            <w:vMerge/>
            <w:tcBorders>
              <w:top w:val="single" w:sz="8" w:space="0" w:color="auto"/>
              <w:left w:val="single" w:sz="4" w:space="0" w:color="auto"/>
              <w:bottom w:val="single" w:sz="8" w:space="0" w:color="000000"/>
              <w:right w:val="single" w:sz="8" w:space="0" w:color="auto"/>
            </w:tcBorders>
            <w:vAlign w:val="center"/>
            <w:hideMark/>
          </w:tcPr>
          <w:p w:rsidR="007A4D59" w:rsidRPr="00E00B35" w:rsidRDefault="007A4D59" w:rsidP="00E00B35">
            <w:pPr>
              <w:spacing w:after="0" w:line="312" w:lineRule="auto"/>
              <w:rPr>
                <w:color w:val="000000"/>
                <w:szCs w:val="20"/>
              </w:rPr>
            </w:pPr>
          </w:p>
        </w:tc>
      </w:tr>
      <w:tr w:rsidR="007A4D59" w:rsidRPr="00E00B35" w:rsidTr="006D3493">
        <w:trPr>
          <w:trHeight w:val="664"/>
        </w:trPr>
        <w:tc>
          <w:tcPr>
            <w:tcW w:w="848" w:type="dxa"/>
            <w:tcBorders>
              <w:top w:val="nil"/>
              <w:left w:val="single" w:sz="8" w:space="0" w:color="auto"/>
              <w:bottom w:val="single" w:sz="8" w:space="0" w:color="auto"/>
              <w:right w:val="single" w:sz="8" w:space="0" w:color="auto"/>
            </w:tcBorders>
            <w:shd w:val="clear" w:color="auto" w:fill="auto"/>
            <w:noWrap/>
            <w:vAlign w:val="center"/>
            <w:hideMark/>
          </w:tcPr>
          <w:p w:rsidR="007A4D59" w:rsidRPr="00E00B35" w:rsidRDefault="007A4D59" w:rsidP="00E00B35">
            <w:pPr>
              <w:spacing w:after="0" w:line="312" w:lineRule="auto"/>
              <w:rPr>
                <w:bCs/>
                <w:color w:val="000000"/>
                <w:szCs w:val="20"/>
              </w:rPr>
            </w:pPr>
            <w:r w:rsidRPr="00E00B35">
              <w:rPr>
                <w:bCs/>
                <w:color w:val="000000"/>
                <w:szCs w:val="20"/>
              </w:rPr>
              <w:t>159</w:t>
            </w:r>
          </w:p>
        </w:tc>
        <w:tc>
          <w:tcPr>
            <w:tcW w:w="1080" w:type="dxa"/>
            <w:tcBorders>
              <w:top w:val="nil"/>
              <w:left w:val="nil"/>
              <w:bottom w:val="single" w:sz="8" w:space="0" w:color="auto"/>
              <w:right w:val="nil"/>
            </w:tcBorders>
            <w:shd w:val="clear" w:color="auto" w:fill="auto"/>
            <w:noWrap/>
            <w:vAlign w:val="center"/>
            <w:hideMark/>
          </w:tcPr>
          <w:p w:rsidR="007A4D59" w:rsidRPr="00E00B35" w:rsidRDefault="007A4D59" w:rsidP="00E00B35">
            <w:pPr>
              <w:spacing w:after="0" w:line="312" w:lineRule="auto"/>
              <w:rPr>
                <w:bCs/>
                <w:color w:val="000000"/>
                <w:szCs w:val="20"/>
              </w:rPr>
            </w:pPr>
            <w:r w:rsidRPr="00E00B35">
              <w:rPr>
                <w:bCs/>
                <w:color w:val="000000"/>
                <w:szCs w:val="20"/>
              </w:rPr>
              <w:t>83</w:t>
            </w:r>
          </w:p>
        </w:tc>
        <w:tc>
          <w:tcPr>
            <w:tcW w:w="1180" w:type="dxa"/>
            <w:tcBorders>
              <w:top w:val="nil"/>
              <w:left w:val="single" w:sz="8" w:space="0" w:color="auto"/>
              <w:bottom w:val="single" w:sz="8" w:space="0" w:color="auto"/>
              <w:right w:val="single" w:sz="8" w:space="0" w:color="auto"/>
            </w:tcBorders>
            <w:shd w:val="clear" w:color="auto" w:fill="auto"/>
            <w:noWrap/>
            <w:vAlign w:val="center"/>
            <w:hideMark/>
          </w:tcPr>
          <w:p w:rsidR="007A4D59" w:rsidRPr="00E00B35" w:rsidRDefault="007A4D59" w:rsidP="00E00B35">
            <w:pPr>
              <w:spacing w:after="0" w:line="312" w:lineRule="auto"/>
              <w:rPr>
                <w:bCs/>
                <w:color w:val="000000"/>
                <w:szCs w:val="20"/>
              </w:rPr>
            </w:pPr>
            <w:r w:rsidRPr="00E00B35">
              <w:rPr>
                <w:bCs/>
                <w:color w:val="000000"/>
                <w:szCs w:val="20"/>
              </w:rPr>
              <w:t>38</w:t>
            </w:r>
          </w:p>
        </w:tc>
        <w:tc>
          <w:tcPr>
            <w:tcW w:w="861" w:type="dxa"/>
            <w:tcBorders>
              <w:top w:val="nil"/>
              <w:left w:val="nil"/>
              <w:bottom w:val="single" w:sz="8" w:space="0" w:color="auto"/>
              <w:right w:val="single" w:sz="4" w:space="0" w:color="auto"/>
            </w:tcBorders>
            <w:shd w:val="clear" w:color="auto" w:fill="auto"/>
            <w:noWrap/>
            <w:vAlign w:val="center"/>
            <w:hideMark/>
          </w:tcPr>
          <w:p w:rsidR="007A4D59" w:rsidRPr="00E00B35" w:rsidRDefault="007A4D59" w:rsidP="00E00B35">
            <w:pPr>
              <w:spacing w:after="0" w:line="312" w:lineRule="auto"/>
              <w:rPr>
                <w:bCs/>
                <w:color w:val="000000"/>
                <w:szCs w:val="20"/>
              </w:rPr>
            </w:pPr>
            <w:r w:rsidRPr="00E00B35">
              <w:rPr>
                <w:bCs/>
                <w:color w:val="000000"/>
                <w:szCs w:val="20"/>
              </w:rPr>
              <w:t>38</w:t>
            </w:r>
          </w:p>
        </w:tc>
        <w:tc>
          <w:tcPr>
            <w:tcW w:w="815" w:type="dxa"/>
            <w:tcBorders>
              <w:top w:val="nil"/>
              <w:left w:val="single" w:sz="8" w:space="0" w:color="auto"/>
              <w:bottom w:val="single" w:sz="8" w:space="0" w:color="auto"/>
              <w:right w:val="single" w:sz="8" w:space="0" w:color="auto"/>
            </w:tcBorders>
            <w:shd w:val="clear" w:color="auto" w:fill="auto"/>
            <w:vAlign w:val="center"/>
            <w:hideMark/>
          </w:tcPr>
          <w:p w:rsidR="007A4D59" w:rsidRPr="00E00B35" w:rsidRDefault="007A4D59" w:rsidP="00E00B35">
            <w:pPr>
              <w:spacing w:after="0" w:line="312" w:lineRule="auto"/>
              <w:rPr>
                <w:bCs/>
                <w:color w:val="000000"/>
                <w:szCs w:val="20"/>
              </w:rPr>
            </w:pPr>
            <w:r w:rsidRPr="00E00B35">
              <w:rPr>
                <w:bCs/>
                <w:color w:val="000000"/>
                <w:szCs w:val="20"/>
              </w:rPr>
              <w:t>77</w:t>
            </w:r>
          </w:p>
        </w:tc>
        <w:tc>
          <w:tcPr>
            <w:tcW w:w="919" w:type="dxa"/>
            <w:tcBorders>
              <w:top w:val="nil"/>
              <w:left w:val="single" w:sz="4" w:space="0" w:color="auto"/>
              <w:bottom w:val="single" w:sz="8" w:space="0" w:color="auto"/>
              <w:right w:val="single" w:sz="4" w:space="0" w:color="auto"/>
            </w:tcBorders>
            <w:shd w:val="clear" w:color="auto" w:fill="auto"/>
            <w:vAlign w:val="center"/>
            <w:hideMark/>
          </w:tcPr>
          <w:p w:rsidR="007A4D59" w:rsidRPr="00E00B35" w:rsidRDefault="007A4D59" w:rsidP="00E00B35">
            <w:pPr>
              <w:spacing w:after="0" w:line="312" w:lineRule="auto"/>
              <w:rPr>
                <w:bCs/>
                <w:color w:val="000000"/>
                <w:szCs w:val="20"/>
              </w:rPr>
            </w:pPr>
            <w:r w:rsidRPr="00E00B35">
              <w:rPr>
                <w:bCs/>
                <w:color w:val="000000"/>
                <w:szCs w:val="20"/>
              </w:rPr>
              <w:t>18</w:t>
            </w:r>
          </w:p>
        </w:tc>
        <w:tc>
          <w:tcPr>
            <w:tcW w:w="1103" w:type="dxa"/>
            <w:tcBorders>
              <w:top w:val="nil"/>
              <w:left w:val="nil"/>
              <w:bottom w:val="single" w:sz="8" w:space="0" w:color="auto"/>
              <w:right w:val="single" w:sz="4" w:space="0" w:color="auto"/>
            </w:tcBorders>
            <w:shd w:val="clear" w:color="auto" w:fill="auto"/>
            <w:vAlign w:val="center"/>
            <w:hideMark/>
          </w:tcPr>
          <w:p w:rsidR="007A4D59" w:rsidRPr="00E00B35" w:rsidRDefault="007A4D59" w:rsidP="00E00B35">
            <w:pPr>
              <w:spacing w:after="0" w:line="312" w:lineRule="auto"/>
              <w:rPr>
                <w:bCs/>
                <w:color w:val="000000"/>
                <w:szCs w:val="20"/>
              </w:rPr>
            </w:pPr>
            <w:r w:rsidRPr="00E00B35">
              <w:rPr>
                <w:bCs/>
                <w:color w:val="000000"/>
                <w:szCs w:val="20"/>
              </w:rPr>
              <w:t>31</w:t>
            </w:r>
          </w:p>
        </w:tc>
        <w:tc>
          <w:tcPr>
            <w:tcW w:w="1132" w:type="dxa"/>
            <w:tcBorders>
              <w:top w:val="nil"/>
              <w:left w:val="nil"/>
              <w:bottom w:val="single" w:sz="8" w:space="0" w:color="auto"/>
              <w:right w:val="single" w:sz="8" w:space="0" w:color="auto"/>
            </w:tcBorders>
            <w:shd w:val="clear" w:color="auto" w:fill="auto"/>
            <w:vAlign w:val="center"/>
            <w:hideMark/>
          </w:tcPr>
          <w:p w:rsidR="007A4D59" w:rsidRPr="00E00B35" w:rsidRDefault="007A4D59" w:rsidP="00E00B35">
            <w:pPr>
              <w:spacing w:after="0" w:line="312" w:lineRule="auto"/>
              <w:rPr>
                <w:bCs/>
                <w:color w:val="000000"/>
                <w:szCs w:val="20"/>
              </w:rPr>
            </w:pPr>
            <w:r w:rsidRPr="00E00B35">
              <w:rPr>
                <w:bCs/>
                <w:color w:val="000000"/>
                <w:szCs w:val="20"/>
              </w:rPr>
              <w:t>14</w:t>
            </w:r>
          </w:p>
        </w:tc>
      </w:tr>
    </w:tbl>
    <w:p w:rsidR="007A4D59" w:rsidRPr="00E00B35" w:rsidRDefault="007A4D59" w:rsidP="00E00B35">
      <w:pPr>
        <w:spacing w:after="0" w:line="312" w:lineRule="auto"/>
        <w:rPr>
          <w:b/>
          <w:szCs w:val="20"/>
        </w:rPr>
      </w:pPr>
    </w:p>
    <w:p w:rsidR="007A4D59" w:rsidRPr="00E00B35" w:rsidRDefault="007A4D59" w:rsidP="00E00B35">
      <w:pPr>
        <w:pStyle w:val="Nagwek5"/>
        <w:rPr>
          <w:szCs w:val="20"/>
        </w:rPr>
      </w:pPr>
      <w:r w:rsidRPr="00E00B35">
        <w:rPr>
          <w:szCs w:val="20"/>
        </w:rPr>
        <w:t>PANEL OBYWATELSKI</w:t>
      </w:r>
    </w:p>
    <w:p w:rsidR="007A4D59" w:rsidRPr="00E00B35" w:rsidRDefault="007A4D59" w:rsidP="00E00B35">
      <w:pPr>
        <w:spacing w:after="0" w:line="312" w:lineRule="auto"/>
        <w:rPr>
          <w:rFonts w:cs="Calibri"/>
          <w:szCs w:val="20"/>
        </w:rPr>
      </w:pPr>
      <w:r w:rsidRPr="00E00B35">
        <w:rPr>
          <w:szCs w:val="20"/>
        </w:rPr>
        <w:t xml:space="preserve">Pierwszy wrocławski Panel Obywatelski został zorganizowany, by odpowiedzieć na pytanie „Jak usprawnić przemieszczanie się po Wrocławiu, mając na względzie poprawę jakości życia i ochronę klimatu?”. Temu zagadnieniu ogólnemu towarzyszyły dwa pytania szczegółowe: 1) Jaki środek transportu publicznego powinien połączyć centrum miasta z osiedlami: Jagodno, Maślice, Muchobór Wielki, Ołtaszyn, Psie Pole – autobus czy tramwaj? oraz 2) Czy – dla podniesienia jakości życia i w trosce o środowisko – wprowadzić w mieście strefy o szczególnych zasadach poruszania się, np. ograniczenia wjazdu pojazdów o określonym typie silników, opłaty za wjazd, strefy ruchu pieszego, rozwój strefy płatnego </w:t>
      </w:r>
      <w:r w:rsidRPr="00E00B35">
        <w:rPr>
          <w:rFonts w:cs="Calibri"/>
          <w:szCs w:val="20"/>
        </w:rPr>
        <w:t>parkowania. Ostateczna tematyka panelu została ustalona z udziałem strony społecznej m. in. organizacji pozarządowych, które apelowały, by uwzględnić w tematyce kontekst katastrofy klimatycznej.</w:t>
      </w:r>
    </w:p>
    <w:p w:rsidR="007A4D59" w:rsidRPr="00E00B35" w:rsidRDefault="007A4D59" w:rsidP="00E00B35">
      <w:pPr>
        <w:spacing w:after="0" w:line="312" w:lineRule="auto"/>
        <w:rPr>
          <w:rFonts w:cs="Calibri"/>
          <w:szCs w:val="20"/>
        </w:rPr>
      </w:pPr>
    </w:p>
    <w:p w:rsidR="007A4D59" w:rsidRPr="00E00B35" w:rsidRDefault="007A4D59" w:rsidP="00E00B35">
      <w:pPr>
        <w:spacing w:after="0" w:line="312" w:lineRule="auto"/>
        <w:rPr>
          <w:rFonts w:cs="Calibri"/>
          <w:szCs w:val="20"/>
        </w:rPr>
      </w:pPr>
      <w:r w:rsidRPr="00E00B35">
        <w:rPr>
          <w:rFonts w:cs="Calibri"/>
          <w:noProof/>
          <w:szCs w:val="20"/>
          <w:lang w:val="pl-PL" w:eastAsia="pl-PL" w:bidi="ar-SA"/>
        </w:rPr>
        <w:lastRenderedPageBreak/>
        <w:drawing>
          <wp:inline distT="0" distB="0" distL="0" distR="0">
            <wp:extent cx="2574925" cy="1828800"/>
            <wp:effectExtent l="19050" t="0" r="0" b="0"/>
            <wp:docPr id="135" name="Obraz 9" descr="https://www.wroclaw.pl/rozmawia/files/news/35476/5-1-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https://www.wroclaw.pl/rozmawia/files/news/35476/5-1-800.png"/>
                    <pic:cNvPicPr>
                      <a:picLocks noChangeAspect="1" noChangeArrowheads="1"/>
                    </pic:cNvPicPr>
                  </pic:nvPicPr>
                  <pic:blipFill>
                    <a:blip r:embed="rId182" cstate="print"/>
                    <a:srcRect/>
                    <a:stretch>
                      <a:fillRect/>
                    </a:stretch>
                  </pic:blipFill>
                  <pic:spPr bwMode="auto">
                    <a:xfrm>
                      <a:off x="0" y="0"/>
                      <a:ext cx="2574925" cy="1828800"/>
                    </a:xfrm>
                    <a:prstGeom prst="rect">
                      <a:avLst/>
                    </a:prstGeom>
                    <a:noFill/>
                    <a:ln w="9525">
                      <a:noFill/>
                      <a:miter lim="800000"/>
                      <a:headEnd/>
                      <a:tailEnd/>
                    </a:ln>
                  </pic:spPr>
                </pic:pic>
              </a:graphicData>
            </a:graphic>
          </wp:inline>
        </w:drawing>
      </w:r>
    </w:p>
    <w:p w:rsidR="007A4D59" w:rsidRPr="00E00B35" w:rsidRDefault="007A4D59" w:rsidP="00E00B35">
      <w:pPr>
        <w:spacing w:after="0" w:line="312" w:lineRule="auto"/>
        <w:rPr>
          <w:rFonts w:cs="Calibri"/>
          <w:szCs w:val="20"/>
        </w:rPr>
      </w:pPr>
      <w:r w:rsidRPr="00E00B35">
        <w:rPr>
          <w:rFonts w:cs="Calibri"/>
          <w:szCs w:val="20"/>
        </w:rPr>
        <w:t>Przedstawiciele Departamentu Zrównoważonego Rozwoju brali udział w panelu reprezentując miasto, które było stroną. Zagadnienia związane w zakresem działań Departamentu znalazły swoje odzwierciedlenie w rekomendacjach. Rekomendacje zostały podzielone tematycznie i utworzyły tzw. pudełka. Działania Departamentu znalazły się w następujących pudełkach:</w:t>
      </w:r>
    </w:p>
    <w:p w:rsidR="007A4D59" w:rsidRPr="00E00B35" w:rsidRDefault="007A4D59" w:rsidP="00BC64AB">
      <w:pPr>
        <w:pStyle w:val="Akapitzlist"/>
        <w:numPr>
          <w:ilvl w:val="0"/>
          <w:numId w:val="259"/>
        </w:numPr>
        <w:tabs>
          <w:tab w:val="left" w:pos="284"/>
        </w:tabs>
        <w:spacing w:after="0" w:line="312" w:lineRule="auto"/>
        <w:ind w:left="0" w:firstLine="0"/>
        <w:rPr>
          <w:rFonts w:eastAsia="Quicksand" w:cs="Calibri"/>
          <w:szCs w:val="20"/>
        </w:rPr>
      </w:pPr>
      <w:r w:rsidRPr="00E00B35">
        <w:rPr>
          <w:rFonts w:cs="Calibri"/>
          <w:szCs w:val="20"/>
          <w:shd w:val="clear" w:color="auto" w:fill="FFFFFF"/>
        </w:rPr>
        <w:t>Pudełko 3–Odnawialne Źródła Energii – rekomendacje– „</w:t>
      </w:r>
      <w:r w:rsidRPr="00E00B35">
        <w:rPr>
          <w:rFonts w:cs="Calibri"/>
          <w:szCs w:val="20"/>
        </w:rPr>
        <w:t>Rozpoczęcie przeprowadzenia nie później niż 2022 r. stosownych  analiz technicznych, ekonomicznych i środowiskowych dotyczących. zasilania komunikacji zbiorowej z OZE. Zasilanie komunikacji zbiorowej z OZE do 2035 roku” – planowane działania – „</w:t>
      </w:r>
      <w:r w:rsidRPr="00E00B35">
        <w:rPr>
          <w:rFonts w:cs="Calibri"/>
          <w:bCs/>
          <w:szCs w:val="20"/>
        </w:rPr>
        <w:t>Przeprowadzenie w roku 2021 analizy w zakresie zapotrzebowania na energię dla transportu publicznego oraz zlecenie analizy kosztów i korzyści wykorzystania autobusów zeroemisyjnych w komunikacji miejskiej, w tym zasilania z odnawialnych źródeł energii”.</w:t>
      </w:r>
    </w:p>
    <w:p w:rsidR="007A4D59" w:rsidRPr="00E00B35" w:rsidRDefault="007A4D59" w:rsidP="00E00B35">
      <w:pPr>
        <w:spacing w:after="0" w:line="312" w:lineRule="auto"/>
        <w:rPr>
          <w:rFonts w:cs="Calibri"/>
          <w:szCs w:val="20"/>
        </w:rPr>
      </w:pPr>
      <w:r w:rsidRPr="00E00B35">
        <w:rPr>
          <w:rFonts w:cs="Calibri"/>
          <w:szCs w:val="20"/>
        </w:rPr>
        <w:t>Przejście na zasilanie komunikacji zbiorowej z OZE jest zgodne z Planem adaptacji do zmian klimatu oraz alarmem klimatycznym, przyjętym przez Radę Miejską Wrocławia w 2019 r., zakładającym dążenie do zeroemisyjności Wrocławia w 2050 roku.</w:t>
      </w:r>
    </w:p>
    <w:p w:rsidR="007A4D59" w:rsidRPr="00E00B35" w:rsidRDefault="007A4D59" w:rsidP="00E00B35">
      <w:pPr>
        <w:spacing w:after="0" w:line="312" w:lineRule="auto"/>
        <w:rPr>
          <w:rFonts w:cs="Calibri"/>
          <w:szCs w:val="20"/>
        </w:rPr>
      </w:pPr>
      <w:r w:rsidRPr="00E00B35">
        <w:rPr>
          <w:rFonts w:cs="Calibri"/>
          <w:szCs w:val="20"/>
        </w:rPr>
        <w:t>Zasilanie taboru komunikacji publicznej w tym kontekście powinno być realizowane, w miarę możliwości technicznych, środowiskowych i finansowych, z odnawialnych źródeł energii (OZE).</w:t>
      </w:r>
    </w:p>
    <w:p w:rsidR="007A4D59" w:rsidRPr="00E00B35" w:rsidRDefault="007A4D59" w:rsidP="00E00B35">
      <w:pPr>
        <w:spacing w:after="0" w:line="312" w:lineRule="auto"/>
        <w:rPr>
          <w:rFonts w:cs="Calibri"/>
          <w:szCs w:val="20"/>
        </w:rPr>
      </w:pPr>
      <w:r w:rsidRPr="00E00B35">
        <w:rPr>
          <w:rFonts w:cs="Calibri"/>
          <w:szCs w:val="20"/>
        </w:rPr>
        <w:t xml:space="preserve">W pierwszej kolejności wykonana zostanie analiza w zakresie zapotrzebowania na energię dla transportu publicznego z uwzględnieniem planów jego rozwoju oraz technicznych możliwości zasilania z OZE (parametry sieci trakcyjnej, funkcjonowanie zajezdni, ładowanie baterii pojazdów). Analiza będzie miała na celu zidentyfikowanie możliwości i ograniczeń takiego rozwiązania. Na jej podstawie zostanie przygotowana analiza ekonomiczna i prawna, mająca na celu ustalenie kosztów realizacji przedsięwzięcia. Analizy pozwolą opracować koncepcję przechodzenia na zasilanie komunikacji zbiorowej z OZE. Dla tego scenariusza działań zostanie przeprowadzona analiza środowiskowa inwestycji w zakresie identyfikacji zagrożeń środowiskowych, analizy kosztów – korzyści, określenia długookresowych kosztów środowiskowych, w aspekcie m.in. zmniejszenia emisji gazów cieplarnianych. Analizy techniczna, ekonomiczna i środowiskowa będą podstawą do opracowania harmonogramu rzeczowo-finansowego wdrażania działań, oraz opracowanie wytycznych środowiskowo-technicznych do realizacji inwestycji.Na planowane analizy niezbędne będzie zabezpieczenie finansowania. Przeprowadzone analizy pozwolą na określenie czy istnieje możliwość zasilania całości czy tylko części </w:t>
      </w:r>
      <w:r w:rsidRPr="00E00B35">
        <w:rPr>
          <w:rFonts w:cs="Calibri"/>
          <w:szCs w:val="20"/>
        </w:rPr>
        <w:lastRenderedPageBreak/>
        <w:t>komunikacji zbiorowej z OZE. Na tej podstawie będą podejmowane decyzje co do dalszych działań i etapów wdrażania rekomendacji.</w:t>
      </w:r>
    </w:p>
    <w:p w:rsidR="007A4D59" w:rsidRPr="00E00B35" w:rsidRDefault="007A4D59" w:rsidP="00BC64AB">
      <w:pPr>
        <w:pStyle w:val="Akapitzlist"/>
        <w:numPr>
          <w:ilvl w:val="0"/>
          <w:numId w:val="259"/>
        </w:numPr>
        <w:tabs>
          <w:tab w:val="left" w:pos="284"/>
        </w:tabs>
        <w:spacing w:after="0" w:line="312" w:lineRule="auto"/>
        <w:ind w:left="0" w:firstLine="0"/>
        <w:rPr>
          <w:rFonts w:cs="Calibri"/>
          <w:szCs w:val="20"/>
        </w:rPr>
      </w:pPr>
      <w:r w:rsidRPr="00E00B35">
        <w:rPr>
          <w:rFonts w:cs="Calibri"/>
          <w:szCs w:val="20"/>
        </w:rPr>
        <w:t>Pudełko 5 – Plan dla centrum – rekomendacja – „Polityka inwestycyjna powinna uwzględniać corocznie zadania polegające na tworzeniu w obszarze centrum i śródmieścia atrakcyjnych przestrzeni wyposażonych w zieleń, małą architekturę oraz elementy małej/zielonej retencji, przyjaznych dla ruchu pieszego i rowerowego, transportu publicznego oraz uspokojonego ruchu kołowego z uporządkowanym parkowaniem. Ograniczanie obecności samochodów powinno być wzmocnione poprawą jakości otoczenia” – planowane działania – „</w:t>
      </w:r>
      <w:r w:rsidRPr="00E00B35">
        <w:rPr>
          <w:rFonts w:cs="Calibri"/>
          <w:bCs/>
          <w:szCs w:val="20"/>
        </w:rPr>
        <w:t>Przygotowanie Planu Zazieleniania Miasta Wrocławia, zawierającego m.in. zapisy o r</w:t>
      </w:r>
      <w:r w:rsidRPr="00E00B35">
        <w:rPr>
          <w:rFonts w:cs="Calibri"/>
          <w:szCs w:val="20"/>
        </w:rPr>
        <w:t>ealizacji w cyklu rocznym co najmniej jednego zadania, którego celem będzie rearanżacja przestrzeni pod hasłem „zazielenianie ulicy”.</w:t>
      </w:r>
    </w:p>
    <w:p w:rsidR="007A4D59" w:rsidRPr="00E00B35" w:rsidRDefault="007A4D59" w:rsidP="00E00B35">
      <w:pPr>
        <w:spacing w:after="0" w:line="312" w:lineRule="auto"/>
        <w:rPr>
          <w:rFonts w:eastAsia="Quicksand" w:cs="Calibri"/>
          <w:szCs w:val="20"/>
        </w:rPr>
      </w:pPr>
      <w:r w:rsidRPr="00E00B35">
        <w:rPr>
          <w:rFonts w:eastAsia="Quicksand" w:cs="Calibri"/>
          <w:szCs w:val="20"/>
        </w:rPr>
        <w:t xml:space="preserve">Zgodnie z wytycznymi Komisji Europejskiej w zakresie ochrony bioróżnorodności przygotowany zostanie „Plan Zazieleniania Miasta Wrocławia”, którego elementem będzie realizacja zieleni oraz błękitno – zielonej infrastruktury. Planowany czas realizacji opracowania to 2021 rok. Zaproponowany zostanie katalog najskuteczniejszych działań adaptacyjnych dla mniejszych, silnie zurbanizowanych obszarów w śródmieściu (np. Stare Miasto, Śródmieście Nadodrzańskie, Przedmieście Świdnickie i Oławskie, Śródmieście Południowe). Opracowane zostaną wytyczne dla inwestycji w błękitno – zieloną infrastrukturę, które posłużą do wytypowania ulic i przestrzeni publicznych do zmiany zagospodarowania w celu minimalizowania efektu miejskiej wyspy ciepła.  Zadanie realizowane będzie w trybie ciągłym, tak by każdego roku możliwa była rearanżacja przynajmniej jednej nowej lokalizacji. </w:t>
      </w:r>
      <w:r w:rsidRPr="00E00B35">
        <w:rPr>
          <w:rFonts w:cs="Calibri"/>
          <w:szCs w:val="20"/>
        </w:rPr>
        <w:t>W ten sposób na podstawie wskazań celów strategicznych z Miejskiego Planu Adaptacji oraz Planu Zazieleniania realizowane będą zadania inwestycyjne w zakresie małej błękitno – zielonej infrastruktury w centrum miasta, zarówno w obrębie ulic jak i innych przestrzeni publicznych. Działania te będą skupiać się na: ochronie drzew przyulicznych, rozszczelnianiu nawierzchni i lokalnym gospodarowaniu wodami opadowymi, wprowadzaniu ciągów zieleni, w tym drzew w ulicach, mających na celu łączenie terenów zieleni w system, wprowadzaniu zielonych dachów, ścian i pnączy czy rekultywacji i zabezpieczeniu terenów po dzikim parkowaniu. W ramach ochrony istniejących drzew zostanie wykonana mapa stanu zdrowotnego drzew w śródmieściu i plan ich pielęgnacji, ochrony i uzupełniania. M</w:t>
      </w:r>
      <w:r w:rsidRPr="00E00B35">
        <w:rPr>
          <w:rFonts w:eastAsia="Quicksand" w:cs="Calibri"/>
          <w:szCs w:val="20"/>
        </w:rPr>
        <w:t>apowanie i ochrona istniejących drzew (ochrona starodrzewu) będzie miało charakter ciągły</w:t>
      </w:r>
      <w:r w:rsidRPr="00E00B35">
        <w:rPr>
          <w:rFonts w:cs="Calibri"/>
          <w:szCs w:val="20"/>
        </w:rPr>
        <w:t>.</w:t>
      </w:r>
    </w:p>
    <w:p w:rsidR="007A4D59" w:rsidRPr="00E00B35" w:rsidRDefault="007A4D59" w:rsidP="00E00B35">
      <w:pPr>
        <w:spacing w:after="0" w:line="312" w:lineRule="auto"/>
        <w:rPr>
          <w:rFonts w:cs="Calibri"/>
          <w:bCs/>
          <w:szCs w:val="20"/>
        </w:rPr>
      </w:pPr>
      <w:r w:rsidRPr="00E00B35">
        <w:rPr>
          <w:rFonts w:cs="Calibri"/>
          <w:bCs/>
          <w:szCs w:val="20"/>
        </w:rPr>
        <w:t>W zakresie śródmieścia podjęte zostaną działania we współpracy z Zarządem Zieleni Miejskiej oraz w porozumieniu z Zarządem Dróg i Utrzymania Miasta lub innymi podmiotami zarządzającym działającym w imieniu miasta (Zarząd Zasobu Komunalnego lub Spółka Wrocławskie Mieszkania) mające na celu poprawę jakości przestrzeni miejskich, w tym w pasach drogowych lub innych przestrzeniach publicznych lub półprywatnych jak podwórka:</w:t>
      </w:r>
      <w:r w:rsidRPr="00E00B35">
        <w:rPr>
          <w:rFonts w:cs="Calibri"/>
          <w:szCs w:val="20"/>
        </w:rPr>
        <w:t xml:space="preserve"> </w:t>
      </w:r>
      <w:r w:rsidRPr="00E00B35">
        <w:rPr>
          <w:rFonts w:cs="Calibri"/>
          <w:bCs/>
          <w:szCs w:val="20"/>
        </w:rPr>
        <w:t>przy zadaniach związanych „stricte” z porządkowaniem parkowania</w:t>
      </w:r>
      <w:r w:rsidRPr="00E00B35">
        <w:rPr>
          <w:rStyle w:val="apple-tab-span"/>
          <w:rFonts w:cs="Calibri"/>
          <w:szCs w:val="20"/>
        </w:rPr>
        <w:t xml:space="preserve">, </w:t>
      </w:r>
      <w:r w:rsidRPr="00E00B35">
        <w:rPr>
          <w:rFonts w:cs="Calibri"/>
          <w:bCs/>
          <w:szCs w:val="20"/>
        </w:rPr>
        <w:t xml:space="preserve">niezależnymi działaniami, których celem jest kompleksowe przekształcenie przestrzeni ulicznych w obszarach gęsto zabudowanych. </w:t>
      </w:r>
    </w:p>
    <w:p w:rsidR="007A4D59" w:rsidRPr="00E00B35" w:rsidRDefault="007A4D59" w:rsidP="00BC64AB">
      <w:pPr>
        <w:numPr>
          <w:ilvl w:val="0"/>
          <w:numId w:val="259"/>
        </w:numPr>
        <w:tabs>
          <w:tab w:val="left" w:pos="284"/>
        </w:tabs>
        <w:spacing w:after="0" w:line="312" w:lineRule="auto"/>
        <w:ind w:left="0" w:firstLine="0"/>
        <w:rPr>
          <w:rFonts w:cs="Calibri"/>
          <w:szCs w:val="20"/>
        </w:rPr>
      </w:pPr>
      <w:r w:rsidRPr="00E00B35">
        <w:rPr>
          <w:rFonts w:cs="Calibri"/>
          <w:szCs w:val="20"/>
        </w:rPr>
        <w:t xml:space="preserve">Pudełko 6 – Porządkowanie parkowania – rekomendacja – „Należy tworzyć strefy ochrony chodników przed parkowaniem (m.in. słupkowanie, ławki, drzewa , zieleń, woonerfy) na terenie całego Wrocławia , preferowane powinno być wykorzystywanie </w:t>
      </w:r>
      <w:r w:rsidRPr="00E00B35">
        <w:rPr>
          <w:rFonts w:cs="Calibri"/>
          <w:szCs w:val="20"/>
        </w:rPr>
        <w:lastRenderedPageBreak/>
        <w:t>zieleni, w tym urządzeń bioretencyjnych do fizycznej ochrony chodników przed parkowaniem” – planowane działania – „</w:t>
      </w:r>
      <w:r w:rsidRPr="00E00B35">
        <w:rPr>
          <w:rFonts w:cs="Calibri"/>
          <w:bCs/>
          <w:szCs w:val="20"/>
        </w:rPr>
        <w:t>Kontynuowanie zadań z zakresu porządkowania parkowania z udziałem Zarządu Zieleni Miejskiej oraz Wydziału Wody i Energii. Realizacja w cyklu rocznym co najmniej jednego zadania, którego celem będzie rearanżacja przestrzeni – pod hasłem „zazielenianie ulicy”. Uruchomienie projektów pilotażowych z udziałem społecznym „Zgłoś chodnik!” i „Zgłoś klepisko!” – w podobnej formule jak „Zgłoś ławkę!”. Przygotowanie katalogu rozwiązań chroniących chodnik przed nielegalnym parkowaniem.”</w:t>
      </w:r>
    </w:p>
    <w:p w:rsidR="007A4D59" w:rsidRPr="00E00B35" w:rsidRDefault="007A4D59" w:rsidP="00E00B35">
      <w:pPr>
        <w:pStyle w:val="NormalnyWeb"/>
        <w:spacing w:before="0" w:beforeAutospacing="0" w:after="0" w:afterAutospacing="0" w:line="312" w:lineRule="auto"/>
        <w:rPr>
          <w:rFonts w:cs="Calibri"/>
          <w:szCs w:val="20"/>
        </w:rPr>
      </w:pPr>
      <w:r w:rsidRPr="00E00B35">
        <w:rPr>
          <w:rFonts w:eastAsia="Quicksand" w:cs="Calibri"/>
          <w:szCs w:val="20"/>
        </w:rPr>
        <w:t xml:space="preserve">Problem nielegalnego parkowania czego skutkiem jest degradacja przestrzeni publicznej (rozjeżdżanie zieleni, niszczenie chodników, stwarzanie niebezpieczeństwa w ruchu drogowym) jest bardzo poważny i występuje w każdej części Wrocławia, zarówno w śródmieściu jak i na osiedlach mieszkaniowych na obrzeżach. Dlatego istnieje konieczność systemowego uregulowania tego zjawiska. </w:t>
      </w:r>
      <w:r w:rsidRPr="00E00B35">
        <w:rPr>
          <w:rFonts w:cs="Calibri"/>
          <w:szCs w:val="20"/>
        </w:rPr>
        <w:t>Obecnie prowadzone są corocznie działania z zakresu porządkowania parkowania w różnych formułach. Jak wynika z monitoringu prowadzonego dla PZMM zadania te co roku obejmują około 5 km ulic.</w:t>
      </w:r>
    </w:p>
    <w:p w:rsidR="007A4D59" w:rsidRPr="00E00B35" w:rsidRDefault="007A4D59" w:rsidP="00E00B35">
      <w:pPr>
        <w:pStyle w:val="NormalnyWeb"/>
        <w:spacing w:before="0" w:beforeAutospacing="0" w:after="0" w:afterAutospacing="0" w:line="312" w:lineRule="auto"/>
        <w:rPr>
          <w:rFonts w:cs="Calibri"/>
          <w:szCs w:val="20"/>
        </w:rPr>
      </w:pPr>
      <w:r w:rsidRPr="00E00B35">
        <w:rPr>
          <w:rFonts w:cs="Calibri"/>
          <w:szCs w:val="20"/>
        </w:rPr>
        <w:t>Działania te mogą i będą kontynuowane z rozszerzeniem katalogu rozwiązań, w tym obejmującym urządzenia bioretencji i zieleń wysoką, co z kolei sprzyjało będzie realizacji Planu adaptacji do zmian klimatu. Należy jednak mieć na uwadze, że wprowadzenie urządzeń bioretencyjnych w istniejące przestrzenie uliczne jest utrudnione ze względu na sieci infrastruktury podziemnej, dlatego każdorazowo będzie wymagało odrębnej analizy technicznej i finansowej. Jednocześnie takie trudności nie występują w nowych korytarzach ulic. Przyjęte w roku 2020 nowe Standardy planowania i projektowania ulic uwzględniają w nowych ulicach potrzebę usytuowania urządzeń bioretencji, co pozwala na stosowanie tych rozwiązań w praktyce zarówno na etapie projektowym, jak i przy ustalaniu rezerw komunikacyjnych w miejscowych planach zagospodarowania przestrzennego.</w:t>
      </w:r>
    </w:p>
    <w:p w:rsidR="007A4D59" w:rsidRPr="00E00B35" w:rsidRDefault="007A4D59" w:rsidP="00E00B35">
      <w:pPr>
        <w:pStyle w:val="NormalnyWeb"/>
        <w:spacing w:before="0" w:beforeAutospacing="0" w:after="0" w:afterAutospacing="0" w:line="312" w:lineRule="auto"/>
        <w:rPr>
          <w:rFonts w:cs="Calibri"/>
          <w:szCs w:val="20"/>
        </w:rPr>
      </w:pPr>
      <w:r w:rsidRPr="00E00B35">
        <w:rPr>
          <w:rFonts w:cs="Calibri"/>
          <w:szCs w:val="20"/>
        </w:rPr>
        <w:t xml:space="preserve">Podstawowym zadaniem jest zidentyfikowanie obszarów najbardziej narażonych na rozjeżdżanie i nielegalne parkowanie. Zadanie to będzie realizowane we współpracy z mieszkańcami i organizacjami społecznymi. Planowany czas rozpoczęcia realizacji zadania to 2021 rok. Proponowana formuła to „Zgłoś chodnik!” w trybie formularza internetowego podobnie jak obecnie dostępny dla stojaka czy ławki w ramach </w:t>
      </w:r>
      <w:hyperlink r:id="rId183" w:history="1">
        <w:r w:rsidRPr="00E00B35">
          <w:rPr>
            <w:rStyle w:val="Hipercze"/>
            <w:rFonts w:cs="Calibri"/>
            <w:szCs w:val="20"/>
          </w:rPr>
          <w:t>Formularze</w:t>
        </w:r>
      </w:hyperlink>
      <w:r w:rsidRPr="00E00B35">
        <w:rPr>
          <w:rFonts w:cs="Calibri"/>
          <w:szCs w:val="20"/>
        </w:rPr>
        <w:t>. Ponadto w tej samej formule będzie zaproponowana akcja „Zgłoś klepisko!” w celu identyfikacji miejsc zdegradowanej zieleni w wyniku niedozwolonego parkowania oraz możliwości ich ponownego zazielenienia z udziałem mieszkańców. Niezbędne będzie zabezpieczenie finansowania.</w:t>
      </w:r>
    </w:p>
    <w:p w:rsidR="007A4D59" w:rsidRPr="00E00B35" w:rsidRDefault="007A4D59" w:rsidP="00E00B35">
      <w:pPr>
        <w:pStyle w:val="NormalnyWeb"/>
        <w:spacing w:before="0" w:beforeAutospacing="0" w:after="0" w:afterAutospacing="0" w:line="312" w:lineRule="auto"/>
        <w:rPr>
          <w:rFonts w:cs="Calibri"/>
          <w:szCs w:val="20"/>
        </w:rPr>
      </w:pPr>
      <w:r w:rsidRPr="00E00B35">
        <w:rPr>
          <w:rFonts w:cs="Calibri"/>
          <w:szCs w:val="20"/>
        </w:rPr>
        <w:t>Jednocześnie przygotowany zostanie katalog rozwiązań inwestycyjnych mogących chronić chodniki przed nielegalnym parkowaniem, ze szczególnym uwzględnieniem rozwiązań z wykorzystywaniem zieleni, w tym urządzeń bioretencyjnych oraz szacowanym kosztem poszczególnych rozwiązań. Zastosowanie poszczególnych rozwiązań technicznych w zidentyfikowanych obszarach będzie uzależnione od lokalnych uwarunkowań (np. rodzaj przestrzeni publicznej, kwestie własnościowe, bezpieczeństwo ruchu, obecność sieci infrastrukturalnych). Planowany czas realizacji zadania to 2021 rok.</w:t>
      </w:r>
    </w:p>
    <w:p w:rsidR="007A4D59" w:rsidRPr="00E00B35" w:rsidRDefault="007A4D59" w:rsidP="00BC64AB">
      <w:pPr>
        <w:pStyle w:val="Akapitzlist"/>
        <w:numPr>
          <w:ilvl w:val="0"/>
          <w:numId w:val="259"/>
        </w:numPr>
        <w:tabs>
          <w:tab w:val="left" w:pos="284"/>
        </w:tabs>
        <w:spacing w:after="0" w:line="312" w:lineRule="auto"/>
        <w:ind w:left="0" w:firstLine="0"/>
        <w:rPr>
          <w:rFonts w:cs="Calibri"/>
          <w:szCs w:val="20"/>
        </w:rPr>
      </w:pPr>
      <w:r w:rsidRPr="00E00B35">
        <w:rPr>
          <w:rFonts w:eastAsia="Quicksand" w:cs="Calibri"/>
          <w:szCs w:val="20"/>
        </w:rPr>
        <w:lastRenderedPageBreak/>
        <w:t>Pudełko 9 – Inicjatywa ustawodawcza – rekomendacje – „</w:t>
      </w:r>
      <w:r w:rsidRPr="00E00B35">
        <w:rPr>
          <w:rFonts w:cs="Calibri"/>
          <w:szCs w:val="20"/>
        </w:rPr>
        <w:t>Zobowiązanie Prezydenta i UM do lobbowania na szczeblu państwowym wprowadzenia ustawodawstwa i prawa umożliwiającego tworzenie w miastach stref ograniczonego wjazdu pojazdów o określonym typie silnika. Wprowadzenie takiej strefy we Wrocławiu, w pierwszym możliwym terminie po wprowadzeniu odpowiednich ogólnopolskich regulacji. Granice strefy oraz określenie norm dla typów silników musi być przedmiotem dalszych konsultacji społecznych.” – planowane działania – „</w:t>
      </w:r>
      <w:r w:rsidRPr="00E00B35">
        <w:rPr>
          <w:rFonts w:cs="Calibri"/>
          <w:bCs/>
          <w:szCs w:val="20"/>
        </w:rPr>
        <w:t>Przygotowanie stanowiska przez Prezydenta w sprawie potrzeby regulacji ustawowych pozwalających na organizację w miastach stref ograniczonego wjazdu w odniesieniu do typu silnika – propozycje zmian ustawowych. Podjęcie w roku 2021 starań o pozyskanie zewnętrznych środków na przeprowadzenie badań realnych emisji spalin. Po przeprowadzeniu badań, podjęcie szerokiej dyskusji społecznej nad granicami strefy niskiej emisji we Wrocławiu.”</w:t>
      </w:r>
    </w:p>
    <w:p w:rsidR="007A4D59" w:rsidRPr="00E00B35" w:rsidRDefault="007A4D59" w:rsidP="00E00B35">
      <w:pPr>
        <w:spacing w:after="0" w:line="312" w:lineRule="auto"/>
        <w:rPr>
          <w:rFonts w:cs="Calibri"/>
          <w:szCs w:val="20"/>
        </w:rPr>
      </w:pPr>
      <w:r w:rsidRPr="00E00B35">
        <w:rPr>
          <w:rFonts w:cs="Calibri"/>
          <w:szCs w:val="20"/>
        </w:rPr>
        <w:t xml:space="preserve">Obowiązująca ustawa o elektromobilności i paliwach alternatywnych umożliwia tworzenie stref czystego transportu w miastach powyżej 100 tysięcy mieszkańców, jednak w praktyce jest ona niemożliwa w zastosowaniu, dlatego istnieje potrzeba zmian legislacyjnych. Wrocław będzie aktywnie uczestniczył, we współpracy z samorządowcami, organizacjami pozarządowymi i mieszkańcami w procesie ustawodawczym w celu przygotowania propozycji zmian umożliwiających tworzenie w miastach stref ograniczonego wjazdu pojazdów o określonym typie silnika. Zmiany w obowiązującej ustawie zostały zapowiedziane na początek 2021 roku przez Ministerstwo Klimatu i Wrocław włączy się aktywnie w prace nad ustawą. Zmiany legislacyjne w obowiązującej ustawie i w zapowiadanych zmianach pozostawiają pewną swobodę decydowania, w jakim zakresie strefa będzie ograniczać wjazd konkretnych typów pojazdów. Aby dyskusja na ten temat prowadzona była w sposób merytoryczny, podejmiemy starania o pozyskanie zewnętrznych środków na przeprowadzenie badań realnych emisji spalin, aby wiarygodnie ocenić, które pojazdy w największym stopniu przyczyniają się do zanieczyszczeń komunikacyjnych. Z badań przeprowadzonych w Krakowie wynika, że za blisko połowę zanieczyszczeń komunikacyjnych odpowiada zaledwie kilka procent pojazdów o najgorszych parametrach emisji. Chcemy wiedzieć, jak ta sytuacja wygląda we Wrocławiu, aby w kolejnym kroku na poziomie krajowym lobbować o przepisy prawa umożliwiające procedowanie stref ograniczonej emisji, o które postulowali Paneliści i Panelistki. Planowany czas pozyskania środków na badania i ich realizację to lata 2021–2022. Po wykonaniu pomiarów i opracowaniu wyników przeprowadzimy szerokie konsultacje społeczne dotyczące granic strefy niskiej emisji oraz zasad w niej obowiązujących (np. określenie norm dla typów silników). Oparte będą one na wiedzy uzyskanej z badań realnych emisji spalin. W ramach konsultacji powiążemy granice strefy z innymi regulacjami obowiązującymi w mieście np. dotyczącymi stref płatnego parkowania. Planowany czas realizacji konsultacji to 2022 rok. Konsultacje społeczne i wypracowane tam rozwiązania staną się podstawą do przygotowania harmonogramu wprowadzania strefy niskiej emisji (etapowanie) w powiązaniu z </w:t>
      </w:r>
      <w:r w:rsidRPr="00E00B35">
        <w:rPr>
          <w:rFonts w:cs="Calibri"/>
          <w:iCs/>
          <w:szCs w:val="20"/>
        </w:rPr>
        <w:t xml:space="preserve">Planem dla centrum </w:t>
      </w:r>
      <w:r w:rsidRPr="00E00B35">
        <w:rPr>
          <w:rFonts w:cs="Calibri"/>
          <w:szCs w:val="20"/>
        </w:rPr>
        <w:t>. Planowany czas realizacji zadania to 2022 rok.</w:t>
      </w:r>
    </w:p>
    <w:p w:rsidR="007A4D59" w:rsidRPr="00E00B35" w:rsidRDefault="007A4D59" w:rsidP="00E00B35">
      <w:pPr>
        <w:spacing w:after="0" w:line="312" w:lineRule="auto"/>
        <w:rPr>
          <w:b/>
          <w:szCs w:val="20"/>
        </w:rPr>
      </w:pPr>
    </w:p>
    <w:p w:rsidR="007A4D59" w:rsidRPr="00E00B35" w:rsidRDefault="007A4D59" w:rsidP="00E00B35">
      <w:pPr>
        <w:pStyle w:val="Nagwek5"/>
        <w:rPr>
          <w:szCs w:val="20"/>
        </w:rPr>
      </w:pPr>
      <w:bookmarkStart w:id="773" w:name="_Toc71032652"/>
      <w:bookmarkStart w:id="774" w:name="_Toc71034626"/>
      <w:r w:rsidRPr="00E00B35">
        <w:rPr>
          <w:szCs w:val="20"/>
        </w:rPr>
        <w:lastRenderedPageBreak/>
        <w:t>REALIZACJA ZADAŃ ZWIĄZANYCH Z ZAMYKANIEM PROJEKTÓW 018 i 019 – FUNDUSZ SPÓJNOŚCI/ISPA</w:t>
      </w:r>
      <w:bookmarkEnd w:id="773"/>
      <w:bookmarkEnd w:id="774"/>
    </w:p>
    <w:p w:rsidR="007A4D59" w:rsidRPr="00E00B35" w:rsidRDefault="007A4D59" w:rsidP="00E00B35">
      <w:pPr>
        <w:pStyle w:val="Nagwek4"/>
        <w:spacing w:before="0" w:after="0" w:line="312" w:lineRule="auto"/>
        <w:rPr>
          <w:b w:val="0"/>
          <w:sz w:val="20"/>
          <w:szCs w:val="20"/>
        </w:rPr>
      </w:pPr>
      <w:r w:rsidRPr="00E00B35">
        <w:rPr>
          <w:b w:val="0"/>
          <w:sz w:val="20"/>
          <w:szCs w:val="20"/>
        </w:rPr>
        <w:t>Projekt 018 „Gospodarka odpadami stałymi we Wrocławiu, etap I”</w:t>
      </w:r>
    </w:p>
    <w:p w:rsidR="007A4D59" w:rsidRPr="00E00B35" w:rsidRDefault="007A4D59" w:rsidP="00E00B35">
      <w:pPr>
        <w:pStyle w:val="Tekstpodstawowy2"/>
        <w:spacing w:after="0" w:line="312" w:lineRule="auto"/>
        <w:rPr>
          <w:sz w:val="20"/>
          <w:szCs w:val="20"/>
        </w:rPr>
      </w:pP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W ramach Projektu zrealizowano zadania:</w:t>
      </w:r>
    </w:p>
    <w:p w:rsidR="007A4D59" w:rsidRPr="00E00B35" w:rsidRDefault="007A4D59" w:rsidP="00BC64AB">
      <w:pPr>
        <w:pStyle w:val="Akapitzlist"/>
        <w:numPr>
          <w:ilvl w:val="0"/>
          <w:numId w:val="262"/>
        </w:numPr>
        <w:spacing w:after="0" w:line="312" w:lineRule="auto"/>
        <w:ind w:left="426" w:hanging="426"/>
        <w:rPr>
          <w:rFonts w:cs="Verdana"/>
          <w:szCs w:val="20"/>
        </w:rPr>
      </w:pPr>
      <w:r w:rsidRPr="00E00B35">
        <w:rPr>
          <w:rFonts w:cs="Verdana"/>
          <w:szCs w:val="20"/>
        </w:rPr>
        <w:t>Rekultywacja składowiska odpadów Maślice;</w:t>
      </w:r>
    </w:p>
    <w:p w:rsidR="007A4D59" w:rsidRPr="00E00B35" w:rsidRDefault="007A4D59" w:rsidP="00BC64AB">
      <w:pPr>
        <w:pStyle w:val="Akapitzlist"/>
        <w:numPr>
          <w:ilvl w:val="0"/>
          <w:numId w:val="262"/>
        </w:numPr>
        <w:spacing w:after="0" w:line="312" w:lineRule="auto"/>
        <w:ind w:left="426" w:hanging="426"/>
        <w:rPr>
          <w:bCs/>
          <w:szCs w:val="20"/>
        </w:rPr>
      </w:pPr>
      <w:r w:rsidRPr="00E00B35">
        <w:rPr>
          <w:rFonts w:cs="Verdana"/>
          <w:szCs w:val="20"/>
        </w:rPr>
        <w:t>Budowa komp</w:t>
      </w:r>
      <w:r w:rsidRPr="00E00B35">
        <w:rPr>
          <w:bCs/>
          <w:szCs w:val="20"/>
        </w:rPr>
        <w:t>ostowni odpadów zielonych przy ul. Janowskiej.</w:t>
      </w: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Osiągnięty został efekt ekologiczny Projektu przewidziany w „Porozumieniu o realizacji Projektu” zawartym pomiędzy Narodowym Funduszem Ochrony Środowiska i Gospodarki Wodnej w Warszawie a Gminą Wrocław.</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W okresie sprawozdawczym prowadzono monitoring związany z wypełnieniem wymogów Umowy dotacji.</w:t>
      </w: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Zakończono funkcjonowanie Porozumienia o realizacji Projektu 018. Narodowy Fundusz Ochrony Środowiska i Gospodarki Wodnej w Warszawie zwrócił anulowane zabezpieczenia dla tego Porozumienia tj.: weksel własny in blanco i deklarację wekslową.</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Nagwek4"/>
        <w:spacing w:before="0" w:after="0" w:line="312" w:lineRule="auto"/>
        <w:rPr>
          <w:b w:val="0"/>
          <w:sz w:val="20"/>
          <w:szCs w:val="20"/>
        </w:rPr>
      </w:pPr>
      <w:bookmarkStart w:id="775" w:name="_Toc505776922"/>
      <w:r w:rsidRPr="00E00B35">
        <w:rPr>
          <w:b w:val="0"/>
          <w:sz w:val="20"/>
          <w:szCs w:val="20"/>
        </w:rPr>
        <w:t>Projekt 019 „Poprawa jakości wody we Wrocławiu”</w:t>
      </w:r>
      <w:bookmarkEnd w:id="775"/>
    </w:p>
    <w:p w:rsidR="007A4D59" w:rsidRPr="00E00B35" w:rsidRDefault="007A4D59" w:rsidP="00E00B35">
      <w:pPr>
        <w:pStyle w:val="Tekstpodstawowy2"/>
        <w:spacing w:after="0" w:line="312" w:lineRule="auto"/>
        <w:rPr>
          <w:b w:val="0"/>
          <w:bCs w:val="0"/>
          <w:color w:val="auto"/>
          <w:sz w:val="20"/>
          <w:szCs w:val="20"/>
        </w:rPr>
      </w:pPr>
    </w:p>
    <w:p w:rsidR="007A4D59" w:rsidRPr="00E00B35" w:rsidRDefault="007A4D59" w:rsidP="00E00B35">
      <w:pPr>
        <w:pStyle w:val="Tekstpodstawowy2"/>
        <w:tabs>
          <w:tab w:val="left" w:pos="284"/>
        </w:tabs>
        <w:spacing w:after="0" w:line="312" w:lineRule="auto"/>
        <w:rPr>
          <w:b w:val="0"/>
          <w:color w:val="auto"/>
          <w:sz w:val="20"/>
          <w:szCs w:val="20"/>
        </w:rPr>
      </w:pPr>
      <w:r w:rsidRPr="00E00B35">
        <w:rPr>
          <w:b w:val="0"/>
          <w:color w:val="auto"/>
          <w:sz w:val="20"/>
          <w:szCs w:val="20"/>
        </w:rPr>
        <w:t>Zakres Projektu obejmował:</w:t>
      </w:r>
    </w:p>
    <w:p w:rsidR="007A4D59" w:rsidRPr="00E00B35" w:rsidRDefault="007A4D59" w:rsidP="00BC64AB">
      <w:pPr>
        <w:pStyle w:val="Akapitzlist"/>
        <w:numPr>
          <w:ilvl w:val="0"/>
          <w:numId w:val="262"/>
        </w:numPr>
        <w:spacing w:after="0" w:line="312" w:lineRule="auto"/>
        <w:ind w:left="426" w:hanging="426"/>
        <w:rPr>
          <w:rFonts w:cs="Verdana"/>
          <w:szCs w:val="20"/>
        </w:rPr>
      </w:pPr>
      <w:r w:rsidRPr="00E00B35">
        <w:rPr>
          <w:szCs w:val="20"/>
        </w:rPr>
        <w:t xml:space="preserve">budowę </w:t>
      </w:r>
      <w:r w:rsidRPr="00E00B35">
        <w:rPr>
          <w:rFonts w:cs="Verdana"/>
          <w:szCs w:val="20"/>
        </w:rPr>
        <w:t>głównych kolektorów ściekowych,</w:t>
      </w:r>
    </w:p>
    <w:p w:rsidR="007A4D59" w:rsidRPr="00E00B35" w:rsidRDefault="007A4D59" w:rsidP="00BC64AB">
      <w:pPr>
        <w:pStyle w:val="Akapitzlist"/>
        <w:numPr>
          <w:ilvl w:val="0"/>
          <w:numId w:val="262"/>
        </w:numPr>
        <w:spacing w:after="0" w:line="312" w:lineRule="auto"/>
        <w:ind w:left="426" w:hanging="426"/>
        <w:rPr>
          <w:szCs w:val="20"/>
        </w:rPr>
      </w:pPr>
      <w:r w:rsidRPr="00E00B35">
        <w:rPr>
          <w:rFonts w:cs="Verdana"/>
          <w:szCs w:val="20"/>
        </w:rPr>
        <w:t>moderniza</w:t>
      </w:r>
      <w:r w:rsidRPr="00E00B35">
        <w:rPr>
          <w:szCs w:val="20"/>
        </w:rPr>
        <w:t>cję Zakładu Produkcji Wody „Na Grobli”,</w:t>
      </w:r>
    </w:p>
    <w:p w:rsidR="007A4D59" w:rsidRPr="00E00B35" w:rsidRDefault="007A4D59" w:rsidP="00BC64AB">
      <w:pPr>
        <w:pStyle w:val="Akapitzlist"/>
        <w:numPr>
          <w:ilvl w:val="0"/>
          <w:numId w:val="262"/>
        </w:numPr>
        <w:spacing w:after="0" w:line="312" w:lineRule="auto"/>
        <w:ind w:left="426" w:hanging="426"/>
        <w:rPr>
          <w:szCs w:val="20"/>
        </w:rPr>
      </w:pPr>
      <w:r w:rsidRPr="00E00B35">
        <w:rPr>
          <w:rFonts w:cs="Verdana"/>
          <w:bCs/>
          <w:szCs w:val="20"/>
        </w:rPr>
        <w:t>rozbudowę i modernizację</w:t>
      </w:r>
      <w:r w:rsidRPr="00E00B35">
        <w:rPr>
          <w:szCs w:val="20"/>
        </w:rPr>
        <w:t xml:space="preserve"> sieci kanalizacji sanitarnej, deszczowej i wodociągowej wraz z odbudową nawierzchni dróg i chodników oraz instalację oświetlenia na 11 osiedlach: Stabłowice, Złotniki, Muchobór Wielki, Oporów, Klecina, Partynice, Krzyki Południe, Wojszyce, Ołtaszyn, Brochów i Jagodno.</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Wraz z wykonaniem zadań na osiedlach objętych Projektem, osiągnięty został efekt ekologiczny Projektu przewidywany w „Porozumieniu o realizacji Projektu” zawartym pomiędzy Narodowym Funduszem Ochrony Środowiska i Gospodarki Wodnej a Gminą Wrocław. W okresie sprawozdawczym prowadzono monitoring związany z wypełnieniem wymogów Umowy dotacji. Zakończono funkcjonowanie Porozumienia o realizacji Projektu 019. Narodowy Fundusz Ochrony Śrogowiska i Gospodarki Wodnej w Warszawie zwrócił anulowane zabezpieczenia dla tego Porozumienia tj.: weksel własny in blanco i deklarację wekslową.</w:t>
      </w:r>
    </w:p>
    <w:p w:rsidR="007A4D59" w:rsidRPr="00E00B35" w:rsidRDefault="007A4D59" w:rsidP="00E00B35">
      <w:pPr>
        <w:pStyle w:val="Tekstpodstawowy2"/>
        <w:spacing w:after="0" w:line="312" w:lineRule="auto"/>
        <w:rPr>
          <w:b w:val="0"/>
          <w:color w:val="auto"/>
          <w:sz w:val="20"/>
          <w:szCs w:val="20"/>
        </w:rPr>
      </w:pPr>
      <w:bookmarkStart w:id="776" w:name="_Toc505776923"/>
      <w:r w:rsidRPr="00E00B35">
        <w:rPr>
          <w:b w:val="0"/>
          <w:color w:val="auto"/>
          <w:sz w:val="20"/>
          <w:szCs w:val="20"/>
        </w:rPr>
        <w:t>Przygotowywano dokumenty, analizy do zgłaszanych roszczeń, postępowań sądowych i arbitrażowych.</w:t>
      </w:r>
      <w:bookmarkEnd w:id="776"/>
      <w:r w:rsidRPr="00E00B35">
        <w:rPr>
          <w:b w:val="0"/>
          <w:color w:val="auto"/>
          <w:sz w:val="20"/>
          <w:szCs w:val="20"/>
        </w:rPr>
        <w:t xml:space="preserve"> Współpracowano z radcami prawnymi przy prowadzonych procesach sądowych.</w:t>
      </w: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 xml:space="preserve">Na tle realizacji zadań trwały spory sądowe związane z Kontraktem </w:t>
      </w:r>
      <w:r w:rsidRPr="00E00B35">
        <w:rPr>
          <w:b w:val="0"/>
          <w:color w:val="auto"/>
          <w:sz w:val="20"/>
          <w:szCs w:val="20"/>
        </w:rPr>
        <w:br/>
        <w:t xml:space="preserve">nr 2000/PL/16/P/PE/019-03.2 „Rozbudowa osiedlowej sieci kanalizacyjnej Złotniki”, Kontraktem nr 2000/PL/16/P/PE/019-03.2.2 „Rozbudowa osiedlowej sieci kanalizacyjnej Złotniki” II, Kontraktem nr 2000PL16PPE019-03.5 „Rozbudowa kanalizacji  osiedla Ołtaszyn”, Kontraktem nr 2000PL16PPE019-03.7 „Rozbudowa kanalizacji osiedlowej – </w:t>
      </w:r>
      <w:r w:rsidRPr="00E00B35">
        <w:rPr>
          <w:b w:val="0"/>
          <w:color w:val="auto"/>
          <w:sz w:val="20"/>
          <w:szCs w:val="20"/>
        </w:rPr>
        <w:lastRenderedPageBreak/>
        <w:t xml:space="preserve">etap III (Brochów, Jagodno)”.W okresie sprawozdawczym przeprowadzono przegląd robót budowlanych w piątym roku gwarancji jakości. Przegląd z uwagi na obostrzenia związane ze stanem epidemii, przeprowadzono bez wizji w terenie. Sprawdzenie gwarancyjne dotyczyło robót naprawczych, wykonywanych metodą bezwykopową na kanałach deszczowych, naprawianych w ramach umowy nr 5/03.5/15 „Usunięcie usterek na sieci kanalizacji deszczowej, sanitarnej i wodociągowej oraz branży drogowej na osiedlu Ołtaszyn i Wojszyce we Wrocławiu – wykonanie zastępcze”. W ramach przeglądu współpracowano </w:t>
      </w:r>
      <w:bookmarkStart w:id="777" w:name="_Toc505776927"/>
      <w:r w:rsidRPr="00E00B35">
        <w:rPr>
          <w:b w:val="0"/>
          <w:color w:val="auto"/>
          <w:sz w:val="20"/>
          <w:szCs w:val="20"/>
        </w:rPr>
        <w:t>z MPWiK S.A. we Wrocławiu.</w:t>
      </w:r>
    </w:p>
    <w:bookmarkEnd w:id="777"/>
    <w:p w:rsidR="007A4D59" w:rsidRPr="00E00B35" w:rsidRDefault="007A4D59" w:rsidP="00E00B35">
      <w:pPr>
        <w:pStyle w:val="Tekstpodstawowy2"/>
        <w:spacing w:after="0" w:line="312" w:lineRule="auto"/>
        <w:rPr>
          <w:b w:val="0"/>
          <w:bCs w:val="0"/>
          <w:color w:val="auto"/>
          <w:sz w:val="20"/>
          <w:szCs w:val="20"/>
        </w:rPr>
      </w:pPr>
      <w:r w:rsidRPr="00E00B35">
        <w:rPr>
          <w:b w:val="0"/>
          <w:bCs w:val="0"/>
          <w:color w:val="auto"/>
          <w:sz w:val="20"/>
          <w:szCs w:val="20"/>
        </w:rPr>
        <w:t xml:space="preserve">W związku z wydzierżawieniem MPWiK S.A. </w:t>
      </w:r>
      <w:r w:rsidRPr="00E00B35">
        <w:rPr>
          <w:b w:val="0"/>
          <w:color w:val="auto"/>
          <w:sz w:val="20"/>
          <w:szCs w:val="20"/>
        </w:rPr>
        <w:t>we Wrocławiu</w:t>
      </w:r>
      <w:r w:rsidRPr="00E00B35">
        <w:rPr>
          <w:b w:val="0"/>
          <w:bCs w:val="0"/>
          <w:color w:val="auto"/>
          <w:sz w:val="20"/>
          <w:szCs w:val="20"/>
        </w:rPr>
        <w:t xml:space="preserve"> kanalizacji sanitarnej, sieci wodociągowej i kanalizacji deszczowej wytworzonej w ramach Projektu „Poprawa jakości wody we Wrocławiu”, Gminie Wrocław przysługuje prawo do odliczenia podatku VAT dotyczącego nabycia ww. środków trwałych. W okresie sprawozdawczym zostały sporządzone rejestry zakupów obejmujące zestawienia faktur z wyszczególnionymi kwotami podatku VAT do odliczenia. Wartość odliczonego podatku VAT w 2020 roku wyniosła 6 806 442,96 zł.</w:t>
      </w:r>
    </w:p>
    <w:p w:rsidR="007A4D59" w:rsidRPr="00E00B35" w:rsidRDefault="007A4D59" w:rsidP="00E00B35">
      <w:pPr>
        <w:pStyle w:val="Tekstpodstawowy2"/>
        <w:spacing w:after="0" w:line="312" w:lineRule="auto"/>
        <w:rPr>
          <w:b w:val="0"/>
          <w:bCs w:val="0"/>
          <w:color w:val="auto"/>
          <w:sz w:val="20"/>
          <w:szCs w:val="20"/>
        </w:rPr>
      </w:pPr>
      <w:r w:rsidRPr="00E00B35">
        <w:rPr>
          <w:b w:val="0"/>
          <w:bCs w:val="0"/>
          <w:color w:val="auto"/>
          <w:sz w:val="20"/>
          <w:szCs w:val="20"/>
        </w:rPr>
        <w:t>Dochody z najmu i dzierżawy składników majątkowych jednostek samorządu terytorialnego wynikają z umów zawartych z MPWiK S.A. we Wrocławiu a dotyczą dzierżawy sieci i urządzeń wodociągowych, kanalizacji sanitarnej oraz kanalizacji deszczowej wybudowanych w ramach projektu „Poprawa jakości wody we Wrocławiu”.</w:t>
      </w:r>
    </w:p>
    <w:p w:rsidR="007A4D59" w:rsidRPr="00E00B35" w:rsidRDefault="007A4D59" w:rsidP="00E00B35">
      <w:pPr>
        <w:pStyle w:val="Tekstpodstawowy2"/>
        <w:spacing w:after="0" w:line="312" w:lineRule="auto"/>
        <w:rPr>
          <w:b w:val="0"/>
          <w:bCs w:val="0"/>
          <w:color w:val="auto"/>
          <w:sz w:val="20"/>
          <w:szCs w:val="20"/>
        </w:rPr>
      </w:pPr>
      <w:r w:rsidRPr="00E00B35">
        <w:rPr>
          <w:b w:val="0"/>
          <w:bCs w:val="0"/>
          <w:color w:val="auto"/>
          <w:sz w:val="20"/>
          <w:szCs w:val="20"/>
        </w:rPr>
        <w:t>W okresie sprawozdawczym zostały wystawione faktury z tytułu dzierżawy majątku (zgodnie z umowami zawartymi z MPWiK S.A. we Wrocławiu) na łączną kwotę 11 688 592,20 zł brutto. W roku 2020, w okresie sprawozdawczym, poniesiono wydatki w wysokości 61 500,00 zł.</w:t>
      </w:r>
    </w:p>
    <w:p w:rsidR="007A4D59" w:rsidRPr="00E00B35" w:rsidRDefault="007A4D59" w:rsidP="00E00B35">
      <w:pPr>
        <w:spacing w:after="0" w:line="312" w:lineRule="auto"/>
        <w:rPr>
          <w:rFonts w:cs="Calibri"/>
          <w:bCs/>
          <w:szCs w:val="20"/>
        </w:rPr>
      </w:pPr>
    </w:p>
    <w:p w:rsidR="007A4D59" w:rsidRPr="00E00B35" w:rsidRDefault="007A4D59" w:rsidP="00E00B35">
      <w:pPr>
        <w:pStyle w:val="Nagwek4"/>
        <w:spacing w:before="0" w:after="0" w:line="312" w:lineRule="auto"/>
        <w:rPr>
          <w:sz w:val="20"/>
          <w:szCs w:val="20"/>
        </w:rPr>
      </w:pPr>
      <w:bookmarkStart w:id="778" w:name="_Toc71032653"/>
      <w:bookmarkStart w:id="779" w:name="_Toc71034627"/>
      <w:r w:rsidRPr="00E00B35">
        <w:rPr>
          <w:sz w:val="20"/>
          <w:szCs w:val="20"/>
        </w:rPr>
        <w:t>DZIAŁANIA W ZAKRESIE OCHRONY ŚRODOWISKA I ROLNICTWA ORAZ GOSPODARKI ODPADAMI</w:t>
      </w:r>
      <w:bookmarkEnd w:id="778"/>
      <w:bookmarkEnd w:id="779"/>
    </w:p>
    <w:p w:rsidR="007A4D59" w:rsidRPr="00E00B35" w:rsidRDefault="007A4D59" w:rsidP="00E00B35">
      <w:pPr>
        <w:spacing w:after="0" w:line="312" w:lineRule="auto"/>
        <w:rPr>
          <w:color w:val="FF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Emisja energii i zanieczyszczeń</w:t>
      </w:r>
    </w:p>
    <w:p w:rsidR="007A4D59" w:rsidRPr="00E00B35" w:rsidRDefault="007A4D59" w:rsidP="00E00B35">
      <w:pPr>
        <w:pStyle w:val="Tekstpodstawowy3"/>
        <w:spacing w:after="0" w:line="312" w:lineRule="auto"/>
        <w:rPr>
          <w:bCs/>
          <w:color w:val="000000"/>
          <w:sz w:val="20"/>
          <w:szCs w:val="20"/>
        </w:rPr>
      </w:pPr>
    </w:p>
    <w:p w:rsidR="007A4D59" w:rsidRPr="00E00B35" w:rsidRDefault="007A4D59" w:rsidP="00E00B35">
      <w:pPr>
        <w:spacing w:after="0" w:line="312" w:lineRule="auto"/>
        <w:rPr>
          <w:szCs w:val="20"/>
        </w:rPr>
      </w:pPr>
      <w:r w:rsidRPr="00E00B35">
        <w:rPr>
          <w:rFonts w:cs="Arial"/>
          <w:szCs w:val="20"/>
        </w:rPr>
        <w:t>W 2020 roku r</w:t>
      </w:r>
      <w:r w:rsidRPr="00E00B35">
        <w:rPr>
          <w:szCs w:val="20"/>
        </w:rPr>
        <w:t xml:space="preserve">ealizowano zadania administracyjne z zakresu ochrony środowiska przed hałasem, polami elektromagnetycznymi, zanieczyszczeniem powietrza oraz z zakresu gospodarki wodnej i ochrony wód przed zanieczyszczeniem. W okresie sprawozdawczym w ww. zakresie wpłynęło łącznie </w:t>
      </w:r>
      <w:r w:rsidRPr="00E00B35">
        <w:rPr>
          <w:bCs/>
          <w:szCs w:val="20"/>
        </w:rPr>
        <w:t>1465</w:t>
      </w:r>
      <w:r w:rsidRPr="00E00B35">
        <w:rPr>
          <w:szCs w:val="20"/>
        </w:rPr>
        <w:t xml:space="preserve"> pism, zgłoszeń i wniosków. Wydano 40 decyzji administracyjnych, w tym 17 decyzji z zakresu gospodarki wodno-ściekowej i ochrony wód, 20</w:t>
      </w:r>
      <w:r w:rsidRPr="00E00B35">
        <w:rPr>
          <w:bCs/>
          <w:szCs w:val="20"/>
        </w:rPr>
        <w:t xml:space="preserve"> </w:t>
      </w:r>
      <w:r w:rsidRPr="00E00B35">
        <w:rPr>
          <w:szCs w:val="20"/>
        </w:rPr>
        <w:t>decyzji z zakresu ochrony powietrza atmosferycznego, 2</w:t>
      </w:r>
      <w:r w:rsidRPr="00E00B35">
        <w:rPr>
          <w:bCs/>
          <w:szCs w:val="20"/>
        </w:rPr>
        <w:t xml:space="preserve"> </w:t>
      </w:r>
      <w:r w:rsidRPr="00E00B35">
        <w:rPr>
          <w:szCs w:val="20"/>
        </w:rPr>
        <w:t xml:space="preserve">decyzje ustalające dopuszczalny poziom hałasu, 1 decyzję umarzającą postępowanie w całości w sprawie wydania decyzji nakładającej na podmiot korzystający ze środowiska obowiązku ograniczenia oddziaływania na środowisko i jego zagrożenia. Wpłynęło 236 wniosków dotyczących zgłoszeń dla instalacji niepodlegających obowiązkowi uzyskania pozwolenia,  w tym 23 zgłoszenia instalacji emitującej substancje do powietrza, 4 zgłoszenia instalacji przydomowych oczyszczalni ścieków oraz 39 zgłoszeń instalacji emitującej promieniowanie elektromagnetyczne wraz z 170 informacjami o zmianach danych ujętych we wcześniej przyjętych zgłoszeniach. Wydano również 13 zaświadczeń dotyczących </w:t>
      </w:r>
      <w:r w:rsidRPr="00E00B35">
        <w:rPr>
          <w:szCs w:val="20"/>
        </w:rPr>
        <w:lastRenderedPageBreak/>
        <w:t>potwierdzenia ostateczności decyzji lub przyjęcia zgłoszenia. Ponadto  opiniowano i uzgadniano warunki środowiskowe w zakresie ochrony powietrza, ochrony przed hałasem, gospodarki wodno-ściekowej i promieniowania elektromagnetycznego, a także  w ramach prowadzonych postępowań dotyczących procedur wydawania decyzji środowiskowych oraz na wnioski podmiotów zewnętrznych (łącznie 434</w:t>
      </w:r>
      <w:r w:rsidRPr="00E00B35">
        <w:rPr>
          <w:bCs/>
          <w:szCs w:val="20"/>
        </w:rPr>
        <w:t xml:space="preserve"> </w:t>
      </w:r>
      <w:r w:rsidRPr="00E00B35">
        <w:rPr>
          <w:szCs w:val="20"/>
        </w:rPr>
        <w:t>opinii). Udzielono odpowiedzi na 28</w:t>
      </w:r>
      <w:r w:rsidRPr="00E00B35">
        <w:rPr>
          <w:bCs/>
          <w:szCs w:val="20"/>
        </w:rPr>
        <w:t xml:space="preserve"> </w:t>
      </w:r>
      <w:r w:rsidRPr="00E00B35">
        <w:rPr>
          <w:szCs w:val="20"/>
        </w:rPr>
        <w:t>wniosków dotyczących informacji o środowisku. Zgodnie z art. 65 kpa 22</w:t>
      </w:r>
      <w:r w:rsidRPr="00E00B35">
        <w:rPr>
          <w:bCs/>
          <w:szCs w:val="20"/>
        </w:rPr>
        <w:t xml:space="preserve"> </w:t>
      </w:r>
      <w:r w:rsidRPr="00E00B35">
        <w:rPr>
          <w:szCs w:val="20"/>
        </w:rPr>
        <w:t>wnioski przekazano do innych organów zgodnie z ich kompetencjami.</w:t>
      </w:r>
    </w:p>
    <w:p w:rsidR="007A4D59" w:rsidRPr="00E00B35" w:rsidRDefault="007A4D59" w:rsidP="00E00B35">
      <w:pPr>
        <w:spacing w:after="0" w:line="312" w:lineRule="auto"/>
        <w:rPr>
          <w:szCs w:val="20"/>
        </w:rPr>
      </w:pPr>
      <w:r w:rsidRPr="00E00B35">
        <w:rPr>
          <w:szCs w:val="20"/>
        </w:rPr>
        <w:t>Wydano 127</w:t>
      </w:r>
      <w:r w:rsidRPr="00E00B35">
        <w:rPr>
          <w:bCs/>
          <w:szCs w:val="20"/>
        </w:rPr>
        <w:t xml:space="preserve"> </w:t>
      </w:r>
      <w:r w:rsidRPr="00E00B35">
        <w:rPr>
          <w:szCs w:val="20"/>
        </w:rPr>
        <w:t xml:space="preserve">opinii dotyczących wymagań w zakresie ochrony środowiska dla </w:t>
      </w:r>
      <w:r w:rsidRPr="00E00B35">
        <w:rPr>
          <w:bCs/>
          <w:szCs w:val="20"/>
        </w:rPr>
        <w:t>32</w:t>
      </w:r>
      <w:r w:rsidRPr="00E00B35">
        <w:rPr>
          <w:szCs w:val="20"/>
        </w:rPr>
        <w:t xml:space="preserve"> opracowywanych przez Biuro Rozwoju Wrocławia projektów miejscowych planów zagospodarowania przestrzennego.</w:t>
      </w:r>
    </w:p>
    <w:p w:rsidR="007A4D59" w:rsidRPr="00E00B35" w:rsidRDefault="007A4D59" w:rsidP="00E00B35">
      <w:pPr>
        <w:spacing w:after="0" w:line="312" w:lineRule="auto"/>
        <w:rPr>
          <w:szCs w:val="20"/>
        </w:rPr>
      </w:pPr>
      <w:r w:rsidRPr="00E00B35">
        <w:rPr>
          <w:szCs w:val="20"/>
        </w:rPr>
        <w:t xml:space="preserve">Zakres działalności, poza ww. działalnością czysto administracyjną, obejmuje również działalność kontrolną i interwencyjną w zakresie ustaw: </w:t>
      </w:r>
      <w:r w:rsidRPr="00E00B35">
        <w:rPr>
          <w:iCs/>
          <w:szCs w:val="20"/>
        </w:rPr>
        <w:t xml:space="preserve">Prawo ochrony środowiska, Prawo wodne, </w:t>
      </w:r>
      <w:r w:rsidRPr="00E00B35">
        <w:rPr>
          <w:szCs w:val="20"/>
        </w:rPr>
        <w:t>ustawy o utrzymaniu czystości i porządku w gminach</w:t>
      </w:r>
      <w:r w:rsidRPr="00E00B35">
        <w:rPr>
          <w:iCs/>
          <w:szCs w:val="20"/>
        </w:rPr>
        <w:t>, ustawy o systemie handlu uprawnieniami do emisji gazów cieplarnianych, ustawy o udostępnianiu informacji o środowisku i jego ochronie, udziale społeczeństwa w ochronie środowiska oraz o ocenach oddziaływania na środowisko</w:t>
      </w:r>
      <w:r w:rsidRPr="00E00B35">
        <w:rPr>
          <w:szCs w:val="20"/>
        </w:rPr>
        <w:t>. W ramach podejmowanych działań przeprowadzono łącznie 79 interwencji. Część działań interwencyjnych prowadzona była we współpracy ze Strażą Miejską Wrocławia.</w:t>
      </w:r>
    </w:p>
    <w:p w:rsidR="007A4D59" w:rsidRPr="00E00B35" w:rsidRDefault="007A4D59" w:rsidP="00E00B35">
      <w:pPr>
        <w:spacing w:after="0" w:line="312" w:lineRule="auto"/>
        <w:rPr>
          <w:szCs w:val="20"/>
        </w:rPr>
      </w:pPr>
      <w:r w:rsidRPr="00E00B35">
        <w:rPr>
          <w:szCs w:val="20"/>
        </w:rPr>
        <w:t xml:space="preserve">Uczestniczono w procesach nadzorowania i monitoringu aspektów środowiskowych dotyczących gospodarki wodno-ściekowej, ochrony powietrza atmosferycznego oraz ochrony przed hałasem, związanych z aktualizacją Systemu Ekozarządzania i Audytu – EMAS oraz brano aktywny udział w audytach środowiskowych związanych z aktualizacją systemu. </w:t>
      </w:r>
      <w:bookmarkStart w:id="780" w:name="_Toc283927170"/>
      <w:r w:rsidRPr="00E00B35">
        <w:rPr>
          <w:szCs w:val="20"/>
        </w:rPr>
        <w:t xml:space="preserve"> </w:t>
      </w:r>
    </w:p>
    <w:p w:rsidR="007A4D59" w:rsidRPr="00E00B35" w:rsidRDefault="007A4D59" w:rsidP="00E00B35">
      <w:pPr>
        <w:spacing w:after="0" w:line="312" w:lineRule="auto"/>
        <w:rPr>
          <w:szCs w:val="20"/>
        </w:rPr>
      </w:pPr>
    </w:p>
    <w:bookmarkEnd w:id="780"/>
    <w:p w:rsidR="007A4D59" w:rsidRPr="00E00B35" w:rsidRDefault="007A4D59" w:rsidP="00E00B35">
      <w:pPr>
        <w:pStyle w:val="Nagwek4"/>
        <w:spacing w:before="0" w:after="0" w:line="312" w:lineRule="auto"/>
        <w:rPr>
          <w:b w:val="0"/>
          <w:sz w:val="20"/>
          <w:szCs w:val="20"/>
        </w:rPr>
      </w:pPr>
      <w:r w:rsidRPr="00E00B35">
        <w:rPr>
          <w:b w:val="0"/>
          <w:sz w:val="20"/>
          <w:szCs w:val="20"/>
        </w:rPr>
        <w:t>Ochrona powietrza atmosferycznego</w:t>
      </w:r>
    </w:p>
    <w:p w:rsidR="007A4D59" w:rsidRPr="00E00B35" w:rsidRDefault="007A4D59" w:rsidP="00E00B35">
      <w:pPr>
        <w:spacing w:after="0" w:line="312" w:lineRule="auto"/>
        <w:rPr>
          <w:bCs/>
          <w:szCs w:val="20"/>
        </w:rPr>
      </w:pPr>
    </w:p>
    <w:p w:rsidR="007A4D59" w:rsidRPr="00E00B35" w:rsidRDefault="007A4D59" w:rsidP="00E00B35">
      <w:pPr>
        <w:spacing w:after="0" w:line="312" w:lineRule="auto"/>
        <w:rPr>
          <w:szCs w:val="20"/>
        </w:rPr>
      </w:pPr>
      <w:r w:rsidRPr="00E00B35">
        <w:rPr>
          <w:szCs w:val="20"/>
        </w:rPr>
        <w:t xml:space="preserve">Wydawano pozwolenia na wprowadzanie gazów lub pyłów do powietrza zgodnie z art.181 ustawy </w:t>
      </w:r>
      <w:r w:rsidRPr="00E00B35">
        <w:rPr>
          <w:iCs/>
          <w:szCs w:val="20"/>
        </w:rPr>
        <w:t>Prawo ochrony środowiska</w:t>
      </w:r>
      <w:r w:rsidRPr="00E00B35">
        <w:rPr>
          <w:szCs w:val="20"/>
        </w:rPr>
        <w:t>. W 2020 r. wydano 20</w:t>
      </w:r>
      <w:r w:rsidRPr="00E00B35">
        <w:rPr>
          <w:bCs/>
          <w:szCs w:val="20"/>
        </w:rPr>
        <w:t xml:space="preserve"> </w:t>
      </w:r>
      <w:r w:rsidRPr="00E00B35">
        <w:rPr>
          <w:szCs w:val="20"/>
        </w:rPr>
        <w:t>decyzji dla podmiotów gospodarczych emitujących w sposób zorganizowany substancje gazowe i pyły z instalacji energetycznego spalania paliw oraz instalacji technologicznych, w których prowadzone są procesy: powlekania, klejenia, suszenia i czyszczenia powierzchni, lutowania, śrutowania, szlifowania, drukowania, energetycznego spalania paliw, i innych,</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przyjmowano zgłoszenia instalacji niepodlegających obowiązkowi uzyskania pozwolenia na emisję, zgodnie z art. 152 ustawy POŚ . Przyjęto 23 zgłoszenia, które dotyczyły m.in. instalacji energetycznego spalania paliw, przeładunku i magazynowania paliw, instalacji do powlekania, instalacji spawania i lutowania, dygestorium,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przyjmowano sprawozdania z okresowych pomiarów kontrolnych emisji zanieczyszczeń do powietrza z instalacji energetycznego spalania paliw oraz instalacji technologicznych (23 sprawozdania). Złożone sprawozdania nie wykazały przekroczeń dopuszczalnych emisji substancji do powietrza,</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podejmowano interwencje w zakresie ochrony powietrza atmosferycznego przed zanieczyszczeniami. W okresie sprawozdawczym przeprowadzono 24 postępowania </w:t>
      </w:r>
      <w:r w:rsidRPr="00E00B35">
        <w:rPr>
          <w:szCs w:val="20"/>
        </w:rPr>
        <w:lastRenderedPageBreak/>
        <w:t>w sprawach interwencji, które dotyczyły głównie emisji z niewielkich instalacji spalania paliw oraz niskiej emisji z palenisk gospodarstw indywidualnych opalanych paliwem stałym, uciążliwości robót drogowo-chodnikowych, prac budowlanych, chemicznego zapachu w mieszkaniu. Ponadto interwencje dotyczące podejrzenia spalania odpadów w kotłach grzewczych przekazywane były do Straży Miejskiej Wrocławia,</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sporządzano opinie i uzgodnienia w zakresie ochrony powietrza atmosferycznego w ramach prowadzonych postępowań w sprawie wydania decyzji o środowiskowych uwarunkowaniach (94 opinii),</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opiniowano plany zagospodarowania przestrzennego (32 opinie),</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uczestniczono w spotkaniach Zespołu ds. jakości powietrza i efektywności energetycznej powołanego Zarządzeniem Prezydenta Wrocławia nr 396/19 z dnia 11 lutego 2019 r. (zmienionym zarządzeniem nr 582/19 z dnia 14 marca 2019 r., 1184/19 z dnia 21 czerwca 2019 r., 2079/19 z dnia 22 listopada 2029 r., 2834/20 z dnia 2 kwietnia 2020 r.) pełniącego funkcję doradczą Prezydenta Wrocławia w zakresie udoskonalenia oraz wprowadzania nowych działań związanych z poprawą jakości powietrza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opracowano oraz przesłano do Marszałka Województwa Dolnośląskiego sprawozdania z realizacji działań naprawczych określonych w Programie ochrony powietrza dla Miasta Wrocławia, przyjętego uchwałą nr XLVI/1544/14 Sejmiku Województwa Dolnośląskiego z dnia 12 lutego 2014 r. (Dz. Urz. Woj. Doln. z dnia 25 lutego 2014 r., poz. 985),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opiniowano Program ochrony powietrza przyjęty uchwałą nr XXI/505/20 z dnia 16 lipca 2020 r. (Dz. Urz. Woj. Doln. z dnia 21 lipca 2020 r., poz. 4389) pod kątem zapisów dotyczących Miasta Wrocław oraz opracowano Instrukcję postępowania w przypadku wystąpienia zagrożenia w związku z narażeniem ludności na ponadnormatywne stężenia zanieczyszczenia powietrza,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sporządzano raporty na Kolegium Prezydenta z danymi dotyczącymi jakości powietrza, na podstawie informacji udostępnionych przez GIOŚ na stronie internetowej </w:t>
      </w:r>
      <w:hyperlink r:id="rId184" w:history="1">
        <w:r w:rsidRPr="00E00B35">
          <w:rPr>
            <w:szCs w:val="20"/>
          </w:rPr>
          <w:t>http://air.wroclaw.pios.gov.pl</w:t>
        </w:r>
      </w:hyperlink>
      <w:r w:rsidRPr="00E00B35">
        <w:rPr>
          <w:szCs w:val="20"/>
        </w:rPr>
        <w:t>. – raporty tygodniowe, dotyczące przekroczeń normy dobowej pyłu zawieszonego PM10 oraz ozonu,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w dniu 2 stycznia 2020 r. podpisano umowę nr BPK-DPP.272.1.2020 na prezentację i utrzymanie funkcjonalności instalacji „Cyjanometr” autorstwa Martina Bricelj Baragi. Cyjanometr, zlokalizowany w przestrzeni publicznej przy ul. Fryderyka Joliot-Curie 12 to pomnik, a zarazem oprogramowanie open source, które regularnie gromadzi obrazy nieba. Zdjęcia trafiają na stronę internetową, gdzie przyporządkowywane są odpowiednim odcieniom niebieskiego na kolistej skali. Internetowa strona Cyjanometru gromadzi również dane na temat jakości powietrza, tworząc w ten sposób archiwum, które służy do pomiaru i dokumentowania zmian zachodzących w środowisku.</w:t>
      </w:r>
    </w:p>
    <w:p w:rsidR="007A4D59" w:rsidRPr="00E00B35" w:rsidRDefault="007A4D59" w:rsidP="00E00B35">
      <w:pPr>
        <w:spacing w:after="0" w:line="312" w:lineRule="auto"/>
        <w:rPr>
          <w:b/>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Gospodarka wodno-ściekowa</w:t>
      </w:r>
    </w:p>
    <w:p w:rsidR="007A4D59" w:rsidRPr="00E00B35" w:rsidRDefault="007A4D59" w:rsidP="00E00B35">
      <w:pPr>
        <w:spacing w:after="0" w:line="312" w:lineRule="auto"/>
        <w:rPr>
          <w:b/>
          <w:bCs/>
          <w:szCs w:val="20"/>
        </w:rPr>
      </w:pPr>
    </w:p>
    <w:p w:rsidR="007A4D59" w:rsidRPr="00E00B35" w:rsidRDefault="007A4D59" w:rsidP="00E00B35">
      <w:pPr>
        <w:spacing w:after="0" w:line="312" w:lineRule="auto"/>
        <w:rPr>
          <w:szCs w:val="20"/>
        </w:rPr>
      </w:pPr>
      <w:r w:rsidRPr="00E00B35">
        <w:rPr>
          <w:szCs w:val="20"/>
        </w:rPr>
        <w:lastRenderedPageBreak/>
        <w:t>W zakresie gospodarki wodno-ściekowej realizowano zadania administracyjne na podstawie ustawy Prawo wodne, ustawy o utrzymaniu czystości i porządku w gminach oraz ustawy Prawo ochrony środowiska:</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wydawano decyzje nakazujące przywrócenie stanu pierwotnego lub wykonanie urządzeń zapobiegającym szkodom na podstawie art. 234 ustawy Prawo wodne  - wydano 1 decyzję o odmowie wydania decyzji nakazującej przywrócenie do stanu pierwotnego i 4 decyzje o umorzeniu postępowania w sprawie wydania decyzji nakazującej przywrócenie do stanu poprzedniego lub wykonanie urządzeń zapobiegających szkodom, w tym 1 decyzję od której się odwołano, a SKO utrzymało w mocy tę decyzję oraz odwołano się od 1 decyzji, która jest w postępowaniu SKO,</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prowadzono postępowania w zakresie kontroli wypełnienia obowiązku przyłączenia nieruchomości do miejskiej sieci kanalizacji sanitarnej – wydano  11 decyzji w tym 6 nakazujących przyłączenie się do sieci kanalizacyjnej, oraz 5 umarzających z uwagi na przyłączenie nieruchomości do kanalizacji, 1 postępowanie w toku,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wydawano zaświadczenia o ostateczności decyzji –2 zaświadczenia,</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przyjmowano zgłoszenia przydomowych oczyszczalni ścieków na podstawie art. 152 POŚ – 4 zgłoszenia,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udostępniano informację o środowisku i informacji publicznej – 7 wniosków oraz 15 informacji cząstkowych o wydanych pozwoleniach wodnoprawnych i prowadzonych postępowaniach,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podejmowano interwencje dotyczące zanieczyszczenia ściekami wód i gruntów - rozpoznano 8 spraw , w tym 1 sprawa nadal w toku,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podejmowano interwencje dotyczące zalewania wodami opadowymi sąsiednich działek - rozpoznano 5 spraw,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przeprowadzono 20 wizji terenowych,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opiniowano miejscowe plany zagospodarowania przestrzennego w zakresie zagospodarowania wód opadowych i gospodarki wodno-ściekowej - wydano 65 opinii,</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opiniowano karty informacyjne i raporty w zakresie gospodarki wodno-ściekowej planowanych przedsięwzięć - wydano 131 opinii,</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wydawano opinie pomocnicze w zakresie środowiskowym dotyczące lokalizacji przystani oraz zagospodarowania nabrzeży - zaopiniowano 3 lokalizacje dla obiektów pływających,</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wydano  2 opinie w zakresie gospodarki wodno-ściekowej w odpowiedzi na złożone zapytanie,</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brano udział  w  2 odbiorach robót .Wspólnie z przedstawicielami PGW Wody Polskie, Urzędu Marszałkowskiego oraz Wojewody Dolnośląskiego uczestniczono w odbiorach wykonanych prac konserwacyjnych na rowach, finansowanych środkami z dotacji celowych dla Miejskiej Spółki Wodnej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przekazano sprawy do innych organów na podstawie art. 65 Kpa; o przekazaniu sprawy każdorazowo zawiadamiano wnoszącego podanie – przekazano 8 wniosków,</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prowadzono nadzór i kontrolę nad działalnością Miejskiej Spółki Wodnej we Wrocławiu w zakresie prawidłowości podjętych uchwał – udział w walnym zgromadzeniu Miejskiej Spółki Wodnej,</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lastRenderedPageBreak/>
        <w:t>podejmowano działania przygotowawcze i informacyjne dotyczące aktualizacji aglomeracji Wrocław na potrzeby KPOŚK w tym przygotowanie porozumienia międzygminnego oraz projektu uchwał,</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przygotowano i przekazano do Biura Rady Miejskiej projektów uchwał w sprawie zawarcia porozumienia międzygminnego i wyznaczenia aglomeracji Wrocław na potrzeby Krajowego Programu Oczyszczania Ścieków Komunalnych,</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sporządzono sprawozdania z realizacji Krajowego Programu Oczyszczania Ścieków Komunalnych w 2019 r. w Aglomeracji Wrocław,</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podano do publicznej wiadomości informacje i obwieszczeń innych organów – 31.</w:t>
      </w:r>
    </w:p>
    <w:p w:rsidR="007A4D59" w:rsidRPr="00E00B35" w:rsidRDefault="007A4D59" w:rsidP="00E00B35">
      <w:pPr>
        <w:tabs>
          <w:tab w:val="left" w:pos="284"/>
        </w:tabs>
        <w:spacing w:after="0" w:line="312" w:lineRule="auto"/>
        <w:rPr>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Dotacje na wykonanie przyłączy kanalizacyjnych</w:t>
      </w:r>
    </w:p>
    <w:p w:rsidR="007A4D59" w:rsidRPr="00E00B35" w:rsidRDefault="007A4D59" w:rsidP="00E00B35">
      <w:pPr>
        <w:spacing w:after="0" w:line="312" w:lineRule="auto"/>
        <w:rPr>
          <w:szCs w:val="20"/>
        </w:rPr>
      </w:pPr>
      <w:r w:rsidRPr="00E00B35">
        <w:rPr>
          <w:rFonts w:eastAsia="Calibri"/>
          <w:bCs/>
          <w:szCs w:val="20"/>
        </w:rPr>
        <w:t>Aby wesprzeć mieszkańców Wrocławia w zadaniu polegającym na podłączeniu swojej nieruchomości do miejskiej sieci kanalizacyjnej, Gmina Wrocław od 2008 roku przyznaje dotacje na realizację ww. inwestycji.</w:t>
      </w:r>
      <w:r w:rsidRPr="00E00B35">
        <w:rPr>
          <w:rFonts w:eastAsia="Calibri"/>
          <w:szCs w:val="20"/>
        </w:rPr>
        <w:t xml:space="preserve"> Właściciele domów jednorodzinnych mogą otrzymać dofinansowanie w wysokości </w:t>
      </w:r>
      <w:r w:rsidRPr="00E00B35">
        <w:rPr>
          <w:rFonts w:eastAsia="Calibri" w:cs="Verdana"/>
          <w:szCs w:val="20"/>
        </w:rPr>
        <w:t>50% poniesionych kosztów (udokumentowanych na podstawie faktur i/lub rachunków), nie więcej jednak niż 2 000,00 zł.</w:t>
      </w:r>
      <w:r w:rsidRPr="00E00B35">
        <w:rPr>
          <w:szCs w:val="20"/>
        </w:rPr>
        <w:t xml:space="preserve"> </w:t>
      </w:r>
      <w:r w:rsidRPr="00E00B35">
        <w:rPr>
          <w:rFonts w:eastAsia="Calibri" w:cs="Verdana"/>
          <w:szCs w:val="20"/>
        </w:rPr>
        <w:t>Z dotacji skorzystać mogą osoby fizyczne posiadające tytuł prawny do nieruchomości, które posiadają:</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protokół przeglądu technicznego przyłącza kanalizacyjnego z MPWiK,</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umowę zawartą z MPWiK o zaopatrzenie w wodę i odprowadzenie ścieków,</w:t>
      </w:r>
    </w:p>
    <w:p w:rsidR="007A4D59" w:rsidRPr="00E00B35" w:rsidRDefault="007A4D59" w:rsidP="00BC64AB">
      <w:pPr>
        <w:pStyle w:val="Akapitzlist"/>
        <w:numPr>
          <w:ilvl w:val="0"/>
          <w:numId w:val="262"/>
        </w:numPr>
        <w:spacing w:after="0" w:line="312" w:lineRule="auto"/>
        <w:ind w:left="426" w:hanging="426"/>
        <w:rPr>
          <w:rFonts w:eastAsia="Calibri"/>
          <w:szCs w:val="20"/>
        </w:rPr>
      </w:pPr>
      <w:r w:rsidRPr="00E00B35">
        <w:rPr>
          <w:szCs w:val="20"/>
        </w:rPr>
        <w:t>faktury</w:t>
      </w:r>
      <w:r w:rsidRPr="00E00B35">
        <w:rPr>
          <w:rFonts w:eastAsia="Calibri" w:cs="Verdana"/>
          <w:szCs w:val="20"/>
        </w:rPr>
        <w:t xml:space="preserve"> lub rachunki za wykonane prace związane z podłączeniem do kanalizacji.</w:t>
      </w:r>
    </w:p>
    <w:p w:rsidR="007A4D59" w:rsidRPr="00E00B35" w:rsidRDefault="007A4D59" w:rsidP="00E00B35">
      <w:pPr>
        <w:pStyle w:val="NormalnyWeb"/>
        <w:spacing w:before="0" w:beforeAutospacing="0" w:after="0" w:afterAutospacing="0" w:line="312" w:lineRule="auto"/>
        <w:rPr>
          <w:szCs w:val="20"/>
        </w:rPr>
      </w:pPr>
    </w:p>
    <w:p w:rsidR="007A4D59" w:rsidRPr="00E00B35" w:rsidRDefault="007A4D59" w:rsidP="00E00B35">
      <w:pPr>
        <w:pStyle w:val="NormalnyWeb"/>
        <w:spacing w:before="0" w:beforeAutospacing="0" w:after="0" w:afterAutospacing="0" w:line="312" w:lineRule="auto"/>
        <w:rPr>
          <w:szCs w:val="20"/>
        </w:rPr>
      </w:pPr>
      <w:r w:rsidRPr="00E00B35">
        <w:rPr>
          <w:szCs w:val="20"/>
        </w:rPr>
        <w:t>Po zrealizowanej inwestycji właściciele zgłaszają się do Wydziału celem podpisania umowy dotacyjnej, na podstawie której w ciągu 30 dni zostaje wypłacona dotacja.</w:t>
      </w:r>
    </w:p>
    <w:p w:rsidR="007A4D59" w:rsidRPr="00E00B35" w:rsidRDefault="007A4D59" w:rsidP="00E00B35">
      <w:pPr>
        <w:autoSpaceDE w:val="0"/>
        <w:autoSpaceDN w:val="0"/>
        <w:adjustRightInd w:val="0"/>
        <w:spacing w:after="0" w:line="312" w:lineRule="auto"/>
        <w:rPr>
          <w:rFonts w:eastAsia="Calibri" w:cs="Verdana"/>
          <w:szCs w:val="20"/>
        </w:rPr>
      </w:pPr>
      <w:r w:rsidRPr="00E00B35">
        <w:rPr>
          <w:rFonts w:eastAsia="Calibri" w:cs="Verdana"/>
          <w:szCs w:val="20"/>
        </w:rPr>
        <w:t xml:space="preserve">W 2020 roku w ramach realizacji tego zadania rozpatrzono 43 wnioski </w:t>
      </w:r>
      <w:r w:rsidRPr="00E00B35">
        <w:rPr>
          <w:rFonts w:eastAsia="Calibri" w:cs="Verdana"/>
          <w:szCs w:val="20"/>
        </w:rPr>
        <w:br/>
        <w:t>o udzielenie dotacji, podpisano 37 umów dotacyjnych i przygotowano 37 wniosków o wypłatę dotacji.</w:t>
      </w:r>
    </w:p>
    <w:p w:rsidR="007A4D59" w:rsidRPr="00E00B35" w:rsidRDefault="007A4D59" w:rsidP="00E00B35">
      <w:pPr>
        <w:autoSpaceDE w:val="0"/>
        <w:autoSpaceDN w:val="0"/>
        <w:adjustRightInd w:val="0"/>
        <w:spacing w:after="0" w:line="312" w:lineRule="auto"/>
        <w:rPr>
          <w:rFonts w:eastAsia="Calibri" w:cs="Verdana"/>
          <w:szCs w:val="20"/>
        </w:rPr>
      </w:pPr>
    </w:p>
    <w:p w:rsidR="007A4D59" w:rsidRPr="00E00B35" w:rsidRDefault="007A4D59" w:rsidP="00E00B35">
      <w:pPr>
        <w:spacing w:after="0" w:line="312" w:lineRule="auto"/>
        <w:rPr>
          <w:szCs w:val="20"/>
        </w:rPr>
      </w:pPr>
      <w:r w:rsidRPr="00E00B35">
        <w:rPr>
          <w:szCs w:val="20"/>
        </w:rPr>
        <w:t>Gospodarka ściekowa i ochrona wód – 960 000,00 zł</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bookmarkStart w:id="781" w:name="_Hlk30600639"/>
      <w:r w:rsidRPr="00E00B35">
        <w:rPr>
          <w:szCs w:val="20"/>
        </w:rPr>
        <w:t>Wydatki bieżące – 914 315,94 zł</w:t>
      </w:r>
    </w:p>
    <w:bookmarkEnd w:id="781"/>
    <w:p w:rsidR="007A4D59" w:rsidRPr="00E00B35" w:rsidRDefault="007A4D59" w:rsidP="00E00B35">
      <w:pPr>
        <w:pStyle w:val="Nagwek4"/>
        <w:spacing w:before="0" w:after="0" w:line="312" w:lineRule="auto"/>
        <w:rPr>
          <w:b w:val="0"/>
          <w:sz w:val="20"/>
          <w:szCs w:val="20"/>
        </w:rPr>
      </w:pPr>
      <w:r w:rsidRPr="00E00B35">
        <w:rPr>
          <w:b w:val="0"/>
          <w:sz w:val="20"/>
          <w:szCs w:val="20"/>
        </w:rPr>
        <w:t>W ramach środków  wykonano:</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opłaty za umieszczenie w pasie drogowym urządzeń infrastruktury technicznej (przyłączy i sieci kanalizacji deszczowej) nie związanych z funkcją odwodnienia drogi -6 358,48 zł,</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usługi remontowe, gospodarka ściekowa, wykonano wymianę uszczelnień zasuw przepompowni przeciwpowodziowej jazu Małgorzata przy ul. Żabia Ścieżka oraz wymianę pokrycia dachowego wraz z odnowieniem ścian i sufitu budynku </w:t>
      </w:r>
      <w:r w:rsidRPr="00E00B35">
        <w:rPr>
          <w:szCs w:val="20"/>
        </w:rPr>
        <w:br/>
        <w:t xml:space="preserve">ww. przepompowni – 179 580 zł,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awarie, dokumentacje - wykonano naprawę oraz uzupełnienie uszkodzonych elementów studni przy ul. Tęczowej, Mińskiej, Maślickiej, Wiosennej, Jeździeckiej Południowej, Stabłowickiej, Kościelnej, Sądowej, Teatralnej/Wierzbowej, Łące Mazurskiej, Nowowiejskiej, Ziemowita/Braniborskiej, Eluarda, Prusa, Dolnobrzeskiej, Partynickiej, Wiosennej. Dodatkowo wykonano prace w obrębie zbiornika w Parku </w:t>
      </w:r>
      <w:r w:rsidRPr="00E00B35">
        <w:rPr>
          <w:szCs w:val="20"/>
        </w:rPr>
        <w:lastRenderedPageBreak/>
        <w:t xml:space="preserve">Czarna Woda polegające na wykoszeniu porostów, hakowaniu trzcin na części zbiornika, oczyszczenia zbiornika z odpadów w celu poprawienia przepływu wody. Zrealizowano opłatę na rzecz MPWiK S.A. w związku z wykonanymi remontami systemu sterowanych pompowni drenażowych, będących w eksploatacji ww. spółki - 264 857,07 zł,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zakupiono energię elektryczną do zasilania przepompowni wód deszczowych i drenażowych na osiedlach Kowale, Nowy Dwór, Stabłowice, Książe Małe, Biskupin pompowni wód przy ul. Dróżniczej, a także pompowni wód powodziowych „Małgorzata” przy ul. Żabia Ścieżka – 71 005,53 zł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usługi pozostałe, koszty eksploatacji i utrzymania drenaży i pompowni drenażowych w okresach miesięcznych oraz obsługa fosy miejskiej, jazów i przepompowni. Realizowano bieżącą konserwację i przeglądy regulacji urządzeń hydrotechnicznych. W Parku Tołpy oraz na terenie zieleni przy ul. Chopina realizowano naprawę płyty nastudziennej. W ramach prac wykonano rozbiórkę zapory zbudowanej przez bobry przy ul. Zakopiańskiej oraz usunięto zatory na rowach w Parku Złotnickim. W Parku Leśnickim zrealizowano naprawę trzech zastawek oraz konserwację rowu. Zrealizowano również czyszczenie stawu przy ul. Kazimierskiej wraz z naprawą skarp. W lasku Kuźnickim usunięto część trzcin z przerośniętego zbiornika oraz wyhakowano jego dno – 340 356,77 zł,</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różne opłaty i składki, opłaty z tytułu korzystania ze środowiska za odprowadzanie wód opadowych i roztopowych systemami kanalizacji deszczowej oraz opłaty za użytkowanie gruntów pokrytych wodami za rok 2020 – 52 258,09 zł.</w:t>
      </w:r>
    </w:p>
    <w:p w:rsidR="007A4D59" w:rsidRPr="00E00B35" w:rsidRDefault="007A4D59" w:rsidP="00E00B35">
      <w:pPr>
        <w:pStyle w:val="Tekstpodstawowy"/>
        <w:spacing w:after="0" w:line="312" w:lineRule="auto"/>
        <w:rPr>
          <w:b/>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Ochrona środowiska przed polami elektromagnetycznymi</w:t>
      </w:r>
    </w:p>
    <w:p w:rsidR="007A4D59" w:rsidRPr="00E00B35" w:rsidRDefault="007A4D59" w:rsidP="00E00B35">
      <w:pPr>
        <w:spacing w:after="0" w:line="312" w:lineRule="auto"/>
        <w:rPr>
          <w:b/>
          <w:bCs/>
          <w:szCs w:val="20"/>
        </w:rPr>
      </w:pPr>
    </w:p>
    <w:p w:rsidR="007A4D59" w:rsidRPr="00E00B35" w:rsidRDefault="007A4D59" w:rsidP="00E00B35">
      <w:pPr>
        <w:pStyle w:val="Tekstpodstawowy"/>
        <w:spacing w:after="0" w:line="312" w:lineRule="auto"/>
        <w:rPr>
          <w:szCs w:val="20"/>
        </w:rPr>
      </w:pPr>
      <w:r w:rsidRPr="00E00B35">
        <w:rPr>
          <w:szCs w:val="20"/>
        </w:rPr>
        <w:t>Zgodnie z rozporządzeniem Ministra Środowiska z dnia 02.07.2010 r. w sprawie rodzajów instalacji, których eksploatacja wymaga zgłoszenia, instalacje wytwarzające promieniowanie elektromagnetyczne podlegają obowiązkowi</w:t>
      </w:r>
      <w:r w:rsidRPr="00E00B35">
        <w:rPr>
          <w:b/>
          <w:szCs w:val="20"/>
        </w:rPr>
        <w:t xml:space="preserve"> </w:t>
      </w:r>
      <w:r w:rsidRPr="00E00B35">
        <w:rPr>
          <w:szCs w:val="20"/>
        </w:rPr>
        <w:t xml:space="preserve">zgłoszenia do organu ochrony środowiska. W 2020 roku wpłynęło 39 zgłoszeń instalacji wytwarzających pola elektromagnetyczne (przyjęto bez zastrzeżeń 30) oraz 170 informacji o zmianach danych ujętych we wcześniej przyjętych zgłoszeniach (przyjęto bez zastrzeżeń 118). Pozostałe wnioski pozostawiono bez rozpoznania bądź są w trakcie uzupełnień.Wydano 7 zaświadczeń dotyczących przyjęcia zgłoszenia oraz opiniowano i uzgadniano warunki środowiskowe w zakresie promieniowania elektromagnetycznego w ramach prowadzonych postępowań dotyczących procedur wydawania decyzji środowiskowych oraz na wnioski podmiotów zewnętrznych (łącznie 18 opinii). Udzielono również odpowiedzi na 12 wniosków dotyczących informacji o środowisku. Zgodnie z art. 65 kpa 7 wniosków przekazano do innych organów zgodnie z ich kompetencjami. </w:t>
      </w:r>
    </w:p>
    <w:p w:rsidR="007A4D59" w:rsidRPr="00E00B35" w:rsidRDefault="007A4D59" w:rsidP="00E00B35">
      <w:pPr>
        <w:spacing w:after="0" w:line="312" w:lineRule="auto"/>
        <w:rPr>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Program ochrony środowiska</w:t>
      </w:r>
    </w:p>
    <w:p w:rsidR="007A4D59" w:rsidRPr="00E00B35" w:rsidRDefault="007A4D59" w:rsidP="00E00B35">
      <w:pPr>
        <w:spacing w:after="0" w:line="312" w:lineRule="auto"/>
        <w:rPr>
          <w:bCs/>
          <w:szCs w:val="20"/>
        </w:rPr>
      </w:pPr>
    </w:p>
    <w:p w:rsidR="007A4D59" w:rsidRPr="00E00B35" w:rsidRDefault="007A4D59" w:rsidP="00E00B35">
      <w:pPr>
        <w:suppressAutoHyphens/>
        <w:spacing w:after="0" w:line="312" w:lineRule="auto"/>
        <w:rPr>
          <w:szCs w:val="20"/>
        </w:rPr>
      </w:pPr>
      <w:r w:rsidRPr="00E00B35">
        <w:rPr>
          <w:szCs w:val="20"/>
        </w:rPr>
        <w:t>W dniu 20 maja 2020 r. została podpisana umowa nr WSR-E/2/2020 na opracowanie Raportu z wykonania „Programu ochrony środowiska dla miasta Wrocławia na lata 2016-</w:t>
      </w:r>
      <w:r w:rsidRPr="00E00B35">
        <w:rPr>
          <w:szCs w:val="20"/>
        </w:rPr>
        <w:lastRenderedPageBreak/>
        <w:t>2020 z perspektywą do roku 2025” - za lata 2018 i 2019. Odbiór przedmiotu umowy odbył się terminowo w dniu 1 września 2020 r. W dniu 1 października 2020 r. została podpisana umowa nr WSR-E/4/2020 na opracowanie „Programu ochrony środowiska dla miasta Wrocławia na lata 2021-2025 z perspektywą do roku 2030”.</w:t>
      </w:r>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Gospodarka odpadami</w:t>
      </w:r>
    </w:p>
    <w:p w:rsidR="007A4D59" w:rsidRPr="00E00B35" w:rsidRDefault="007A4D59" w:rsidP="00E00B35">
      <w:pPr>
        <w:spacing w:after="0" w:line="312" w:lineRule="auto"/>
        <w:rPr>
          <w:szCs w:val="20"/>
        </w:rPr>
      </w:pPr>
    </w:p>
    <w:p w:rsidR="007A4D59" w:rsidRPr="00E00B35" w:rsidRDefault="007A4D59" w:rsidP="00E00B35">
      <w:pPr>
        <w:pStyle w:val="Tekstpodstawowywcity"/>
        <w:spacing w:after="0" w:line="312" w:lineRule="auto"/>
        <w:ind w:left="0"/>
        <w:rPr>
          <w:bCs/>
          <w:color w:val="000000"/>
          <w:szCs w:val="20"/>
        </w:rPr>
      </w:pPr>
      <w:r w:rsidRPr="00E00B35">
        <w:rPr>
          <w:szCs w:val="20"/>
        </w:rPr>
        <w:t>Realizowano zadania w zakresie wydawania decyzji na podstawie ustawy o odpadach, ustawy o utrzymaniu czystości i porządku w gminach oraz ustawy Prawo ochrony środowiska.</w:t>
      </w:r>
      <w:r w:rsidRPr="00E00B35">
        <w:rPr>
          <w:bCs/>
          <w:color w:val="000000"/>
          <w:szCs w:val="20"/>
        </w:rPr>
        <w:t xml:space="preserve"> Podejmowano działania interwencyjne wobec właścicieli nieruchomości i przedsiębiorców dotyczące nieprawidłowości w gospodarowaniu odpadami i utrzymaniu czystości. Zajmowano się udzielaniem informacji o środowisku. Kontynuowano realizację programu udostępniania mieszkańcom przydomowych kompostowników oraz programu usuwania azbestu i wyrobów zawierających azbest z terenu miasta Wrocławia. W celu podniesienia świadomości ekologicznej mieszkańców realizowano działania edukacyjne. </w:t>
      </w:r>
      <w:r w:rsidRPr="00E00B35">
        <w:rPr>
          <w:szCs w:val="20"/>
        </w:rPr>
        <w:t xml:space="preserve"> Wydane zostały łącznie 203 decyzje administracyjne.</w:t>
      </w:r>
      <w:r w:rsidRPr="00E00B35">
        <w:rPr>
          <w:bCs/>
          <w:color w:val="000000"/>
          <w:szCs w:val="20"/>
        </w:rPr>
        <w:t xml:space="preserve"> oraz 41 postanowień. W trybie art. 65 k.p.a. przekazano 9 spraw do rozpatrzenia właściwym organom. </w:t>
      </w:r>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Decyzje administracyjne</w:t>
      </w:r>
    </w:p>
    <w:p w:rsidR="007A4D59" w:rsidRPr="00E00B35" w:rsidRDefault="007A4D59" w:rsidP="00E00B35">
      <w:pPr>
        <w:pStyle w:val="Tekstpodstawowywcity"/>
        <w:spacing w:after="0" w:line="312" w:lineRule="auto"/>
        <w:rPr>
          <w:bCs/>
          <w:color w:val="000000"/>
          <w:szCs w:val="20"/>
        </w:rPr>
      </w:pPr>
    </w:p>
    <w:p w:rsidR="007A4D59" w:rsidRPr="00E00B35" w:rsidRDefault="007A4D59" w:rsidP="00E00B35">
      <w:pPr>
        <w:pStyle w:val="Tekstpodstawowywcity"/>
        <w:spacing w:after="0" w:line="312" w:lineRule="auto"/>
        <w:ind w:left="0"/>
        <w:rPr>
          <w:bCs/>
          <w:color w:val="000000"/>
          <w:szCs w:val="20"/>
        </w:rPr>
      </w:pPr>
      <w:r w:rsidRPr="00E00B35">
        <w:rPr>
          <w:bCs/>
          <w:color w:val="000000"/>
          <w:szCs w:val="20"/>
        </w:rPr>
        <w:t>Ustawa z dnia 20 lipca 2018 r. o zmianie ustawy o odpadach oraz niektórych innych ustaw wprowadziła nowe obowiązki dla podmiotów posiadających decyzje uwzględniające zbieranie lub przetwarzanie odpadów. W terminie do dnia 5 marca 2020 r., podmioty posiadające zezwolenie na zbieranie odpadów, zezwolenie na przetwarzanie odpadów, zezwolenie na zbieranie i przetwarzanie odpadów albo pozwolenie na wytwarzanie odpadów uwzględniające zbieranie lub przetwarzanie odpadów, były obowiązane złożyć wnioski o zmianę posiadanych decyzji. Jeżeli podmiot nie złożył wniosku w tym terminie, zezwolenie na zbieranie odpadów, zezwolenie na przetwarzanie odpadów, zezwolenie na zbieranie i przetwarzanie odpadów albo pozwolenie na wytwarzanie odpadów wygasało w zakresie określenia wymagań dotyczących zbierania lub przetwarzania odpadów.</w:t>
      </w:r>
    </w:p>
    <w:p w:rsidR="007A4D59" w:rsidRPr="00E00B35" w:rsidRDefault="007A4D59" w:rsidP="00E00B35">
      <w:pPr>
        <w:pStyle w:val="Tekstpodstawowywcity"/>
        <w:spacing w:after="0" w:line="312" w:lineRule="auto"/>
        <w:ind w:left="0"/>
        <w:rPr>
          <w:bCs/>
          <w:color w:val="000000"/>
          <w:szCs w:val="20"/>
        </w:rPr>
      </w:pPr>
      <w:r w:rsidRPr="00E00B35">
        <w:rPr>
          <w:bCs/>
          <w:color w:val="000000"/>
          <w:szCs w:val="20"/>
        </w:rPr>
        <w:t>W okresie sprawozdawczym udzielono 8 zezwoleń na zbieranie i przetwarzanie odpadów. Zostało wydanych 13 decyzji zmieniających zezwolenia, jedna decyzja uchylająca zezwolenie oraz 53 wygaszające zezwolenia. Zostało wydanych 6 pozwoleń na wytwarzanie odpadów, 5 decyzji zmieniających pozwolenia i 3 decyzje wygaszające pozwolenia.</w:t>
      </w:r>
    </w:p>
    <w:p w:rsidR="007A4D59" w:rsidRPr="00E00B35" w:rsidRDefault="007A4D59" w:rsidP="00E00B35">
      <w:pPr>
        <w:pStyle w:val="Tekstpodstawowywcity"/>
        <w:spacing w:after="0" w:line="312" w:lineRule="auto"/>
        <w:ind w:left="0"/>
        <w:rPr>
          <w:bCs/>
          <w:color w:val="000000"/>
          <w:szCs w:val="20"/>
        </w:rPr>
      </w:pPr>
      <w:r w:rsidRPr="00E00B35">
        <w:rPr>
          <w:bCs/>
          <w:color w:val="000000"/>
          <w:szCs w:val="20"/>
        </w:rPr>
        <w:t>Zgodnie z przyjętymi procedurami, przed wydaniem zezwolenia na zbieranie lub przetwarzanie odpadów lub pozwolenia na wytwarzanie odpadów przeprowadzane były oględziny na terenie planowanego prowadzenia działalności.</w:t>
      </w:r>
    </w:p>
    <w:p w:rsidR="007A4D59" w:rsidRPr="00E00B35" w:rsidRDefault="007A4D59" w:rsidP="00E00B35">
      <w:pPr>
        <w:pStyle w:val="Tekstpodstawowywcity"/>
        <w:spacing w:after="0" w:line="312" w:lineRule="auto"/>
        <w:rPr>
          <w:bCs/>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Postępowania egzekucyjne dotyczące obowiązków o charakterze niepieniężnym</w:t>
      </w:r>
    </w:p>
    <w:p w:rsidR="007A4D59" w:rsidRPr="00E00B35" w:rsidRDefault="007A4D59" w:rsidP="00E00B35">
      <w:pPr>
        <w:pStyle w:val="Tekstpodstawowywcity"/>
        <w:spacing w:after="0" w:line="312" w:lineRule="auto"/>
        <w:rPr>
          <w:bCs/>
          <w:color w:val="000000"/>
          <w:szCs w:val="20"/>
        </w:rPr>
      </w:pPr>
    </w:p>
    <w:p w:rsidR="007A4D59" w:rsidRPr="00E00B35" w:rsidRDefault="007A4D59" w:rsidP="00E00B35">
      <w:pPr>
        <w:pStyle w:val="Tekstpodstawowywcity"/>
        <w:spacing w:after="0" w:line="312" w:lineRule="auto"/>
        <w:ind w:left="0"/>
        <w:rPr>
          <w:bCs/>
          <w:color w:val="000000"/>
          <w:szCs w:val="20"/>
        </w:rPr>
      </w:pPr>
      <w:r w:rsidRPr="00E00B35">
        <w:rPr>
          <w:bCs/>
          <w:color w:val="000000"/>
          <w:szCs w:val="20"/>
        </w:rPr>
        <w:t>W okresie sprawozdawczym wydano 21 decyzji nakazujących usunięcie odpadów z miejsc nieprzeznaczonych do ich magazynowania lub składowania.</w:t>
      </w:r>
    </w:p>
    <w:p w:rsidR="007A4D59" w:rsidRPr="00E00B35" w:rsidRDefault="007A4D59" w:rsidP="00E00B35">
      <w:pPr>
        <w:pStyle w:val="Tekstpodstawowywcity"/>
        <w:spacing w:after="0" w:line="312" w:lineRule="auto"/>
        <w:ind w:left="0"/>
        <w:rPr>
          <w:bCs/>
          <w:color w:val="000000"/>
          <w:szCs w:val="20"/>
        </w:rPr>
      </w:pPr>
      <w:r w:rsidRPr="00E00B35">
        <w:rPr>
          <w:bCs/>
          <w:color w:val="000000"/>
          <w:szCs w:val="20"/>
        </w:rPr>
        <w:lastRenderedPageBreak/>
        <w:t>Działania egzekucyjne były podejmowane na podstawie przepisów ustawy o postępowaniu egzekucyjnym w administracji. W 14 przypadkach niewywiązania się przez zobowiązanych z obowiązków określonych w wydanych decyzjach nakazujących posiadaczom odpadów usunięcie odpadów z miejsc nieprzeznaczonych do ich składowania lub magazynowania, wystosowano upomnienia. Wystawiono 15 tytułów wykonawczych oraz  wydano 5 postanowień o nałożeniu grzywny w celu przymuszenia na kwotę łącznie 45 000 zł. 12 postępowań zakończono wykonaniem zastępczym obowiązków nałożonych na zobowiązanych w decyzjach nakazowych.</w:t>
      </w:r>
    </w:p>
    <w:p w:rsidR="007A4D59" w:rsidRPr="00E00B35" w:rsidRDefault="007A4D59" w:rsidP="00E00B35">
      <w:pPr>
        <w:pStyle w:val="Tekstpodstawowywcity"/>
        <w:spacing w:after="0" w:line="312" w:lineRule="auto"/>
        <w:rPr>
          <w:bCs/>
          <w:color w:val="000000"/>
          <w:szCs w:val="20"/>
          <w:highlight w:val="yellow"/>
        </w:rPr>
      </w:pPr>
    </w:p>
    <w:p w:rsidR="007A4D59" w:rsidRPr="00E00B35" w:rsidRDefault="007A4D59" w:rsidP="00E00B35">
      <w:pPr>
        <w:pStyle w:val="Nagwek4"/>
        <w:spacing w:before="0" w:after="0" w:line="312" w:lineRule="auto"/>
        <w:rPr>
          <w:b w:val="0"/>
          <w:sz w:val="20"/>
          <w:szCs w:val="20"/>
        </w:rPr>
      </w:pPr>
      <w:r w:rsidRPr="00E00B35">
        <w:rPr>
          <w:b w:val="0"/>
          <w:sz w:val="20"/>
          <w:szCs w:val="20"/>
        </w:rPr>
        <w:t>Nakazy usunięcia odpadów - wraków pojazdów</w:t>
      </w:r>
    </w:p>
    <w:p w:rsidR="007A4D59" w:rsidRPr="00E00B35" w:rsidRDefault="007A4D59" w:rsidP="00E00B35">
      <w:pPr>
        <w:pStyle w:val="Tekstpodstawowywcity2"/>
        <w:spacing w:after="0" w:line="312" w:lineRule="auto"/>
        <w:ind w:left="0"/>
        <w:rPr>
          <w:szCs w:val="20"/>
        </w:rPr>
      </w:pPr>
    </w:p>
    <w:p w:rsidR="007A4D59" w:rsidRPr="00E00B35" w:rsidRDefault="007A4D59" w:rsidP="00E00B35">
      <w:pPr>
        <w:pStyle w:val="Tekstpodstawowywcity"/>
        <w:spacing w:after="0" w:line="312" w:lineRule="auto"/>
        <w:ind w:left="0"/>
        <w:rPr>
          <w:rFonts w:eastAsia="Calibri"/>
          <w:szCs w:val="20"/>
        </w:rPr>
      </w:pPr>
      <w:r w:rsidRPr="00E00B35">
        <w:rPr>
          <w:rFonts w:eastAsia="Calibri"/>
          <w:szCs w:val="20"/>
        </w:rPr>
        <w:t>Wspólnie ze Strażą Miejską Wrocławia kontynuowano rozpoczęte w 2016 r. działania mające na celu usunięcie pojazdów nieużytkowanych pozostawionych na terenie Wrocławia poza drogą, w oparciu o przepisy ustawy z dnia 14 grudnia 2012 r. o odpadach.</w:t>
      </w:r>
    </w:p>
    <w:p w:rsidR="007A4D59" w:rsidRPr="00E00B35" w:rsidRDefault="007A4D59" w:rsidP="00E00B35">
      <w:pPr>
        <w:pStyle w:val="Tekstpodstawowywcity"/>
        <w:spacing w:after="0" w:line="312" w:lineRule="auto"/>
        <w:ind w:left="0"/>
        <w:rPr>
          <w:rFonts w:eastAsia="Calibri"/>
          <w:szCs w:val="20"/>
        </w:rPr>
      </w:pPr>
      <w:r w:rsidRPr="00E00B35">
        <w:rPr>
          <w:rFonts w:eastAsia="Calibri"/>
          <w:szCs w:val="20"/>
        </w:rPr>
        <w:t>W dniu 7 stycznia 2020 r. została podpisana umowa nr WSR-GO/1/2020 z rzeczoznawcami samochodowymi na realizację usługi w zakresie określenia, czy pojazd stanowi odpad o kodzie 16 01 04* (zużyte lub nienadające się do użytkowania pojazdy). W ramach zawartej umowy przekazano rzeczoznawcom zlecenia na wykonanie ekspertyz 20 pojazdów. Wszystkie pojazdy zostały uznane za odpady. Koszt wykonanych ekspertyz wyniósł 6 396,00 zł brutto.</w:t>
      </w:r>
    </w:p>
    <w:p w:rsidR="007A4D59" w:rsidRPr="00E00B35" w:rsidRDefault="007A4D59" w:rsidP="00E00B35">
      <w:pPr>
        <w:pStyle w:val="Tekstpodstawowywcity"/>
        <w:spacing w:after="0" w:line="312" w:lineRule="auto"/>
        <w:ind w:left="0"/>
        <w:rPr>
          <w:rFonts w:eastAsia="Calibri"/>
          <w:szCs w:val="20"/>
        </w:rPr>
      </w:pPr>
      <w:r w:rsidRPr="00E00B35">
        <w:rPr>
          <w:rFonts w:eastAsia="Calibri"/>
          <w:szCs w:val="20"/>
        </w:rPr>
        <w:t xml:space="preserve">Ponadto, nieprzerwanie od 23 czerwca 2016 r. obowiązuje umowa nr WSR-GO/6/2016 ze stacją demontażu pojazdów na wykonanie usługi usunięcia, transportu i demontażu pojazdów pozostawionych na terenie Wrocławia poza drogą, które zostały zakwalifikowane przez biegłego rzeczoznawcę jako odpad. Usługa wykonywana jest bezpłatnie. W 2020 roku stacja demontażu usunęła 21 wraków pojazdów znajdujących się na terenie Gminy Wrocław. </w:t>
      </w:r>
    </w:p>
    <w:p w:rsidR="007A4D59" w:rsidRPr="00E00B35" w:rsidRDefault="007A4D59" w:rsidP="00E00B35">
      <w:pPr>
        <w:pStyle w:val="Tekstpodstawowywcity"/>
        <w:spacing w:after="0" w:line="312" w:lineRule="auto"/>
        <w:ind w:left="0"/>
        <w:rPr>
          <w:rFonts w:eastAsia="Calibri"/>
          <w:szCs w:val="20"/>
        </w:rPr>
      </w:pPr>
      <w:r w:rsidRPr="00E00B35">
        <w:rPr>
          <w:rFonts w:eastAsia="Calibri"/>
          <w:szCs w:val="20"/>
        </w:rPr>
        <w:t>Łącznie w 2020 roku podjęto działania w sprawie 110 pojazdów, mające na celu uznanie ich za wraki (odpady), 36 pojazdów zostało usuniętych w wyniku prowadzonych działań, a w sprawie 44 pojazdów prowadzone są w dalszym ciągu czynności wyjaśniające. W sprawie 1 pojazdu wysłano do właściciela nieruchomości pismo dotyczące procedury usuwania wraków pojazdów, a 21 spraw przekazano do Straży Miejskiej Wrocławia. W przypadku 8 pojazdów stwierdzono brak podstaw do podjęcia działań mających na celu zakwalifikowanie pojazdów jako odpady i ich usunięcie.</w:t>
      </w:r>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Rejestr przedsiębiorców</w:t>
      </w:r>
    </w:p>
    <w:p w:rsidR="007A4D59" w:rsidRPr="00E00B35" w:rsidRDefault="007A4D59" w:rsidP="00E00B35">
      <w:pPr>
        <w:pStyle w:val="Tekstpodstawowywcity"/>
        <w:spacing w:after="0" w:line="312" w:lineRule="auto"/>
        <w:rPr>
          <w:bCs/>
          <w:i/>
          <w:color w:val="000000"/>
          <w:szCs w:val="20"/>
          <w:u w:val="single"/>
        </w:rPr>
      </w:pPr>
    </w:p>
    <w:p w:rsidR="007A4D59" w:rsidRPr="00E00B35" w:rsidRDefault="007A4D59" w:rsidP="00E00B35">
      <w:pPr>
        <w:pStyle w:val="Tekstpodstawowywcity"/>
        <w:spacing w:after="0" w:line="312" w:lineRule="auto"/>
        <w:ind w:left="0"/>
        <w:rPr>
          <w:rFonts w:cs="Verdana"/>
          <w:color w:val="000000"/>
          <w:szCs w:val="20"/>
        </w:rPr>
      </w:pPr>
      <w:r w:rsidRPr="00E00B35">
        <w:rPr>
          <w:rFonts w:cs="Verdana"/>
          <w:color w:val="000000"/>
          <w:szCs w:val="20"/>
        </w:rPr>
        <w:t>W 2020 r. do rejestru wpisano dziewięciu przedsiębiorców oraz dokonano wykreślenia dziewięciu przedsiębiorców. Dwa wpisy zostały zmienione. Odmówiono zmiany czterech wpisów. Wg stanu na koniec 2020 r. do rejestru wpisanych było 27 przedsiębiorców.</w:t>
      </w:r>
    </w:p>
    <w:p w:rsidR="007A4D59" w:rsidRPr="00E00B35" w:rsidRDefault="007A4D59" w:rsidP="00E00B35">
      <w:pPr>
        <w:pStyle w:val="Tekstpodstawowywcity"/>
        <w:spacing w:after="0" w:line="312" w:lineRule="auto"/>
        <w:rPr>
          <w:bCs/>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Regulamin utrzymania czystości i porządku na terenie Wrocławia</w:t>
      </w:r>
    </w:p>
    <w:p w:rsidR="007A4D59" w:rsidRPr="00E00B35" w:rsidRDefault="007A4D59" w:rsidP="00E00B35">
      <w:pPr>
        <w:pStyle w:val="Tekstpodstawowy3"/>
        <w:spacing w:after="0" w:line="312" w:lineRule="auto"/>
        <w:rPr>
          <w:rFonts w:cs="Tahoma"/>
          <w:iCs/>
          <w:sz w:val="20"/>
          <w:szCs w:val="20"/>
        </w:rPr>
      </w:pP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lastRenderedPageBreak/>
        <w:t>W związku z ustawą z dnia 19 lipca 2019 r. o zmianie ustawy o utrzymaniu czystości i porządku w gminach oraz niektórych innych ustaw, zobowiązującą radę gminy do dostosowania uchwał wydanych przed dniem wejścia tej ustawy do zmienionych przepisów, przygotowano projekt nowej uchwały w sprawie regulaminu utrzymania czystości i porządku na terenie Wrocławia, zastępującej uchwałę nr XXVIII/567/16 Rady Miejskiej Wrocławia z dnia 7 lipca 2016 r. w sprawie regulaminu utrzymania czystości i porządku na terenie Wrocławia. Prace nad projektem regulaminu obejmowały między innymi konsultacje z mieszkańcami Wrocławia w dniach 4-19 czerwca 2020 r. (ogłoszone na BIP oraz na portalu www.wroclaw.pl) oraz z jednostkami miejskimi i wydziałami Urzędu Miejskiego. Nowy regulamin został przyjęty uchwałą nr XXV/672/20 Rady Miejskiej Wrocławia z dnia 23 lipca 2020 r. ogłoszoną w Dz. Urz. Woj. Doln. z 2020 r. poz. 4465. Nowy regulamin obowiązuje od 12 sierpnia 2020 r.</w:t>
      </w: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Wprowadzone w regulaminie zmiany poszerzyły zakres selektywnej zbiórki odpadów o frakcję bioodpadów oraz dodatkowo określiły zasady utrzymania czystości i porządku na terenie gminy w zakresie selektywnego zbierania i odbierania odpadów komunalnych obejmujących:</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odpady z papieru, w tym odpady: z tektury, opakowaniowe z papieru i opakowaniowe z tektury,</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odpady ze szkła, w tym odpady opakowaniowe ze szkła,</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odpady metali, w tym odpady opakowaniowe z metali, odpady tworzyw sztucznych, w tym odpady opakowaniowe tworzyw sztucznych oraz odpady opakowaniowe wielomateriałowe,</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bioodpady, z wyłączeniem odpadów pochodzenia zwierzęcego.</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Ponadto w regulaminie określone zostały warunki uznania, że odpady zbierane są w sposób selektywny, zasady selektywnego zbierania odpadów komunalnych prowadzonego przez PSZOK-i, sposoby i częstotliwość pozbywania się odpadów, wymagania w zakresie utrzymania w odpowiednim stanie sanitarnym i porządkowym miejsc gromadzenia odpadów, zasady kompostowania bioodpadów na terenie nieruchomości zabudowanych budynkami mieszkalnymi jednorodzinnymi. Uwzględniono również wymagania wynikające z wojewódzkiego planu gospodarki odpadami w zakresie podejmowania przez mieszkańców działań zmierzających do ograniczenia ilości i objętości powstających odpadów.</w:t>
      </w: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Jednocześnie zmodyfikowane zostały wymagania dotyczące uprzątania błota, śniegu i lodu oraz innych zanieczyszczeń z części nieruchomości służących do użytku publicznego oraz mycia i napraw pojazdów samochodowych. Mycie pojazdów samochodowych poza myjniami może odbywać się tylko przy użyciu środków ulegających biodegradacji. Do katalogu zakazanych napraw pojazdów poza warsztatami samochodowymi dodano naprawy lakiernicze.</w:t>
      </w: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W związku z utrzymującą się na znacznym poziomie populacją szczurów poszerzono, w stosunku do poprzedniego regulaminu, obszary podlegające obowiązkowej deratyzacji oraz zmodyfikowano terminy jej przeprowadzania wydłużając okresy deratyzacji   z 14 dni do 1 miesiąca. Zapisy uzupełniono o obowiązek przeprowadzania deratyzacji każdorazowo w przypadku wystąpienia populacji gryzoni na terenie nieruchomości.</w:t>
      </w: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lastRenderedPageBreak/>
        <w:t xml:space="preserve">Wprowadzono obowiązek usuwania przez osoby wykorzystujące zwierzęta do celów usługowo – rekreacyjnych, zanieczyszczeń pozostawionych przez te zwierzęta. W zakresie pozbywania się nieczystości ciekłych wprowadzono zakaz nielegalnego odprowadzania nieczystości ciekłych i pompowania ich na tereny zewnętrzne. </w:t>
      </w:r>
    </w:p>
    <w:p w:rsidR="007A4D59" w:rsidRPr="00E00B35" w:rsidRDefault="007A4D59" w:rsidP="00E00B35">
      <w:pPr>
        <w:pStyle w:val="Tekstpodstawowywcity"/>
        <w:tabs>
          <w:tab w:val="num" w:pos="0"/>
        </w:tabs>
        <w:spacing w:after="0" w:line="312" w:lineRule="auto"/>
        <w:rPr>
          <w:rFonts w:cs="Verdana"/>
          <w:color w:val="000000"/>
          <w:szCs w:val="20"/>
          <w:highlight w:val="yellow"/>
        </w:rPr>
      </w:pPr>
    </w:p>
    <w:p w:rsidR="007A4D59" w:rsidRPr="00E00B35" w:rsidRDefault="007A4D59" w:rsidP="00E00B35">
      <w:pPr>
        <w:pStyle w:val="Nagwek4"/>
        <w:spacing w:before="0" w:after="0" w:line="312" w:lineRule="auto"/>
        <w:rPr>
          <w:b w:val="0"/>
          <w:sz w:val="20"/>
          <w:szCs w:val="20"/>
        </w:rPr>
      </w:pPr>
      <w:r w:rsidRPr="00E00B35">
        <w:rPr>
          <w:b w:val="0"/>
          <w:sz w:val="20"/>
          <w:szCs w:val="20"/>
        </w:rPr>
        <w:t>Sprawozdanie z realizacji zadań z zakresu gospodarowania odpadami komunalnymi</w:t>
      </w:r>
    </w:p>
    <w:p w:rsidR="007A4D59" w:rsidRPr="00E00B35" w:rsidRDefault="007A4D59" w:rsidP="00E00B35">
      <w:pPr>
        <w:pStyle w:val="Tekstpodstawowy3"/>
        <w:spacing w:after="0" w:line="312" w:lineRule="auto"/>
        <w:rPr>
          <w:rFonts w:cs="Tahoma"/>
          <w:iCs/>
          <w:sz w:val="20"/>
          <w:szCs w:val="20"/>
        </w:rPr>
      </w:pPr>
    </w:p>
    <w:p w:rsidR="007A4D59" w:rsidRPr="00E00B35" w:rsidRDefault="007A4D59" w:rsidP="00E00B35">
      <w:pPr>
        <w:spacing w:after="0" w:line="312" w:lineRule="auto"/>
        <w:rPr>
          <w:iCs/>
          <w:szCs w:val="20"/>
        </w:rPr>
      </w:pPr>
      <w:r w:rsidRPr="00E00B35">
        <w:rPr>
          <w:iCs/>
          <w:szCs w:val="20"/>
        </w:rPr>
        <w:t>Opracowano roczne sprawozdanie Prezydenta Wrocławia z realizacji zadań z zakresu gospodarowania odpadami komunalnymi za 2019 rok. Sprawozdanie zostało przekazane  Marszałkowi Województwa Dolnośląskiego i Dolnośląskiemu Wojewódzkiemu Inspektorowi Ochrony Środowiska za pośrednictwem danych o produktach i opakowaniach oraz o gospodarce odpadami – dalej BDO.</w:t>
      </w:r>
    </w:p>
    <w:p w:rsidR="007A4D59" w:rsidRPr="00E00B35" w:rsidRDefault="007A4D59" w:rsidP="00E00B35">
      <w:pPr>
        <w:spacing w:after="0" w:line="312" w:lineRule="auto"/>
        <w:rPr>
          <w:iCs/>
          <w:szCs w:val="20"/>
          <w:highlight w:val="yellow"/>
        </w:rPr>
      </w:pPr>
      <w:r w:rsidRPr="00E00B35">
        <w:rPr>
          <w:iCs/>
          <w:szCs w:val="20"/>
        </w:rPr>
        <w:t>Podstawą sporządzenia przedmiotowego dokumentu były informacje z rocznych sprawozdań za 2019 r. przekazanych przez podmioty odbierające odpady komunalne od właścicieli nieruchomości (30 podmiotów), a także sprawozdań podmiotu prowadzącego 2 punkty selektywnego zbierania odpadów komunalnych (PSZOK) oraz rocznych sprawozdań przedsiębiorców zbierających odpady stanowiące frakcje papieru, tworzyw sztucznych, szkła i metali pochodzące z sektora komunalnego (36 podmiotów). Sprawozdania po raz pierwszy były przekazywane Prezydentowi Wrocławia za pośrednictwem BDO. Łącznie przeanalizowano 259 sprawozdań złożonych w ww. systemie.</w:t>
      </w:r>
    </w:p>
    <w:p w:rsidR="007A4D59" w:rsidRPr="00E00B35" w:rsidRDefault="007A4D59" w:rsidP="00E00B35">
      <w:pPr>
        <w:spacing w:after="0" w:line="312" w:lineRule="auto"/>
        <w:rPr>
          <w:iCs/>
          <w:szCs w:val="20"/>
        </w:rPr>
      </w:pPr>
      <w:r w:rsidRPr="00E00B35">
        <w:rPr>
          <w:iCs/>
          <w:szCs w:val="20"/>
        </w:rPr>
        <w:t>W 2019 roku odebrano i zebrano łącznie na terenie Wrocławia 324 102,9788 tys. ton odpadów komunalnych. W przeliczeniu na mieszkańca (LMk = 611 581), to ok. 530 kg/Mk odpadów komunalnych, w tym 335 kg/Mk odpadów</w:t>
      </w:r>
      <w:r w:rsidRPr="00E00B35">
        <w:rPr>
          <w:b/>
          <w:iCs/>
          <w:szCs w:val="20"/>
        </w:rPr>
        <w:t xml:space="preserve"> </w:t>
      </w:r>
      <w:r w:rsidRPr="00E00B35">
        <w:rPr>
          <w:iCs/>
          <w:szCs w:val="20"/>
        </w:rPr>
        <w:t xml:space="preserve">zmieszanych. Wszystkie poziomy zagospodarowania odpadów komunalnych, określone w przepisach ustawy </w:t>
      </w:r>
      <w:r w:rsidRPr="00E00B35">
        <w:rPr>
          <w:iCs/>
          <w:szCs w:val="20"/>
        </w:rPr>
        <w:br/>
        <w:t>o utrzymaniu czystości i porządku w gminach i aktach wykonawczych do ustawy zostały w Gminie Wrocław osiągnięte.</w:t>
      </w:r>
    </w:p>
    <w:p w:rsidR="007A4D59" w:rsidRPr="00E00B35" w:rsidRDefault="007A4D59" w:rsidP="00E00B35">
      <w:pPr>
        <w:spacing w:after="0" w:line="312" w:lineRule="auto"/>
        <w:rPr>
          <w:i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Zezwolenia na prowadzenie działalności w zakresie opróżniania zbiorników bezodpływowych i transportu nieczystości ciekłych</w:t>
      </w:r>
    </w:p>
    <w:p w:rsidR="007A4D59" w:rsidRPr="00E00B35" w:rsidRDefault="007A4D59" w:rsidP="00E00B35">
      <w:pPr>
        <w:pStyle w:val="Tekstpodstawowywcity"/>
        <w:spacing w:after="0" w:line="312" w:lineRule="auto"/>
        <w:rPr>
          <w:bCs/>
          <w:color w:val="000000"/>
          <w:szCs w:val="20"/>
        </w:rPr>
      </w:pP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 xml:space="preserve">Wydano 6 decyzji zezwalających na prowadzenie działalności w zakresie opróżniania zbiorników bezodpływowych i transportu nieczystości ciekłych i 3 decyzje zmieniające zezwolenia. </w:t>
      </w: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Wg stanu na koniec 2020 roku, na terenie Wrocławia zezwolenie w zakresie opróżniania zbiorników bezodpływowych i transportu nieczystości ciekłych posiadało 46 przedsiębiorców.</w:t>
      </w:r>
    </w:p>
    <w:p w:rsidR="007A4D59" w:rsidRPr="00E00B35" w:rsidRDefault="007A4D59" w:rsidP="00E00B35">
      <w:pPr>
        <w:autoSpaceDE w:val="0"/>
        <w:autoSpaceDN w:val="0"/>
        <w:adjustRightInd w:val="0"/>
        <w:spacing w:after="0" w:line="312" w:lineRule="auto"/>
        <w:rPr>
          <w:rFonts w:cs="Verdana"/>
          <w:szCs w:val="20"/>
        </w:rPr>
      </w:pPr>
      <w:r w:rsidRPr="00E00B35">
        <w:rPr>
          <w:rFonts w:cs="Verdana"/>
          <w:szCs w:val="20"/>
        </w:rPr>
        <w:t>W trzech pierwszych kwartałach 2020 r. przedsiębiorcy posiadający zezwolenia na opróżnianie zbiorników bezodpływowych i transport nieczystości ciekłych przekazali na stacje zlewne nieczystości ciekłe bytowe w ilości 177,14 tys. m</w:t>
      </w:r>
      <w:r w:rsidRPr="00E00B35">
        <w:rPr>
          <w:rFonts w:cs="Verdana"/>
          <w:szCs w:val="20"/>
          <w:vertAlign w:val="superscript"/>
        </w:rPr>
        <w:t>3</w:t>
      </w:r>
      <w:r w:rsidRPr="00E00B35">
        <w:rPr>
          <w:rFonts w:cs="Verdana"/>
          <w:szCs w:val="20"/>
        </w:rPr>
        <w:t xml:space="preserve"> oraz nieczystości ciekłe przemysłowe w ilości 628,09 m</w:t>
      </w:r>
      <w:r w:rsidRPr="00E00B35">
        <w:rPr>
          <w:rFonts w:cs="Verdana"/>
          <w:szCs w:val="20"/>
          <w:vertAlign w:val="superscript"/>
        </w:rPr>
        <w:t>3</w:t>
      </w:r>
      <w:r w:rsidRPr="00E00B35">
        <w:rPr>
          <w:rFonts w:cs="Verdana"/>
          <w:szCs w:val="20"/>
        </w:rPr>
        <w:t>.</w:t>
      </w:r>
    </w:p>
    <w:p w:rsidR="007A4D59" w:rsidRPr="00E00B35" w:rsidRDefault="007A4D59" w:rsidP="00E00B35">
      <w:pPr>
        <w:pStyle w:val="Tekstpodstawowy"/>
        <w:spacing w:after="0" w:line="312" w:lineRule="auto"/>
        <w:rPr>
          <w:bCs/>
          <w:szCs w:val="20"/>
          <w:highlight w:val="yellow"/>
        </w:rPr>
      </w:pPr>
    </w:p>
    <w:p w:rsidR="007A4D59" w:rsidRPr="00E00B35" w:rsidRDefault="007A4D59" w:rsidP="00E00B35">
      <w:pPr>
        <w:pStyle w:val="Nagwek4"/>
        <w:spacing w:before="0" w:after="0" w:line="312" w:lineRule="auto"/>
        <w:rPr>
          <w:b w:val="0"/>
          <w:sz w:val="20"/>
          <w:szCs w:val="20"/>
        </w:rPr>
      </w:pPr>
      <w:r w:rsidRPr="00E00B35">
        <w:rPr>
          <w:b w:val="0"/>
          <w:sz w:val="20"/>
          <w:szCs w:val="20"/>
        </w:rPr>
        <w:lastRenderedPageBreak/>
        <w:t>Sprawozdawczość w zakresie gospodarowania nieczystościami ciekłymi</w:t>
      </w:r>
    </w:p>
    <w:p w:rsidR="007A4D59" w:rsidRPr="00E00B35" w:rsidRDefault="007A4D59" w:rsidP="00E00B35">
      <w:pPr>
        <w:pStyle w:val="Tekstpodstawowy3"/>
        <w:spacing w:after="0" w:line="312" w:lineRule="auto"/>
        <w:rPr>
          <w:rFonts w:cs="Tahoma"/>
          <w:sz w:val="20"/>
          <w:szCs w:val="20"/>
        </w:rPr>
      </w:pP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Przedsiębiorcy są obowiązani do sporządzania kwartalnych sprawozdań o ilości i rodzaju nieczystości ciekłych, a także o sposobach ich zagospodarowania oraz do przekazania sprawozdania prezydentowi miasta w terminie do końca miesiąca następującego po kwartale, którego dotyczy.</w:t>
      </w:r>
      <w:r w:rsidRPr="00E00B35">
        <w:rPr>
          <w:rFonts w:cs="Verdana"/>
          <w:szCs w:val="20"/>
        </w:rPr>
        <w:t>W związku z powyższym przyjęto 44 sprawozdania za IV kwartał 2019 r. i I kwartał 2020 r. oraz 45 sprawozdań za II kwartał 2020 r. i III kwartał 2020 r. Ze złożonych sprawozdań wynika, że w IV kwartale 2019 r.,</w:t>
      </w:r>
      <w:r w:rsidRPr="00E00B35">
        <w:rPr>
          <w:rFonts w:cs="Verdana"/>
          <w:color w:val="FF0000"/>
          <w:szCs w:val="20"/>
        </w:rPr>
        <w:t xml:space="preserve"> </w:t>
      </w:r>
      <w:r w:rsidRPr="00E00B35">
        <w:rPr>
          <w:rFonts w:cs="Verdana"/>
          <w:szCs w:val="20"/>
        </w:rPr>
        <w:t>oraz I i II kwartale 2020 r. nieczystości ciekłe odbierało 32 przedsiębiorców posiadających zezwolenie, natomiast w III kwartale 2020 r. – 33 przedsiębiorców. Pozostali przedsiębiorcy posiadający zezwolenie nie świadczyli usług na terenie Wrocławia.</w:t>
      </w:r>
    </w:p>
    <w:p w:rsidR="007A4D59" w:rsidRPr="00E00B35" w:rsidRDefault="007A4D59" w:rsidP="00E00B35">
      <w:pPr>
        <w:autoSpaceDE w:val="0"/>
        <w:autoSpaceDN w:val="0"/>
        <w:adjustRightInd w:val="0"/>
        <w:spacing w:after="0" w:line="312" w:lineRule="auto"/>
        <w:rPr>
          <w:rFonts w:cs="Verdana"/>
          <w:szCs w:val="20"/>
        </w:rPr>
      </w:pPr>
      <w:r w:rsidRPr="00E00B35">
        <w:rPr>
          <w:rFonts w:cs="Verdana"/>
          <w:szCs w:val="20"/>
        </w:rPr>
        <w:t xml:space="preserve">W sprawach związanych z przedmiotowymi sprawozdaniami kwartalnymi zostało wysłanych do przedsiębiorców 19 pism. </w:t>
      </w: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 xml:space="preserve">Zgodnie z </w:t>
      </w:r>
      <w:r w:rsidRPr="00E00B35">
        <w:rPr>
          <w:rFonts w:cs="Verdana"/>
          <w:color w:val="000000"/>
          <w:szCs w:val="20"/>
        </w:rPr>
        <w:pgNum/>
      </w:r>
      <w:r w:rsidRPr="00E00B35">
        <w:rPr>
          <w:rFonts w:cs="Verdana"/>
          <w:color w:val="000000"/>
          <w:szCs w:val="20"/>
        </w:rPr>
        <w:t xml:space="preserve"> art. 9xb ust. 2 ustawy o utrzymaniu czystości i porządku w gminach, w sytuacji złożenia po terminie wymaganego sprawozdania, przedsiębiorca podlega karze pieniężnej w wysokości 100 zł za każdy dzień opóźnienia.Za I kwartał 2020 r. sprawozdanie kwartalne złożył po terminie jeden przedsiębiorca, któremu naliczono karę w kwocie 1000 zł. </w:t>
      </w: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 xml:space="preserve">Za  III kwartał 2020 r. jeden przedsiębiorca złożył sprawozdanie po terminie i dlatego została wydana decyzja naliczająca karę w kwocie 200 zł. Przedsiębiorca złożył odwołanie od decyzji do Samorządowego Kolegium Odwoławczego. Po rozpatrzeniu odwołania SKO utrzymało w mocy decyzję naliczającą karę. Zgodnie z </w:t>
      </w:r>
      <w:r w:rsidRPr="00E00B35">
        <w:rPr>
          <w:szCs w:val="20"/>
        </w:rPr>
        <w:pgNum/>
      </w:r>
      <w:r w:rsidRPr="00E00B35">
        <w:rPr>
          <w:szCs w:val="20"/>
        </w:rPr>
        <w:t xml:space="preserve"> art. 9xb pkt 1 ustawy</w:t>
      </w:r>
      <w:r w:rsidRPr="00E00B35">
        <w:rPr>
          <w:rFonts w:cs="Verdana"/>
          <w:color w:val="000000"/>
          <w:szCs w:val="20"/>
        </w:rPr>
        <w:t xml:space="preserve"> o utrzymaniu czystości i porządku w gminach, w sytuacji złożenia nierzetelnego sprawozdania, przedsiębiorca podlega karze pieniężnej w wysokości </w:t>
      </w:r>
      <w:r w:rsidRPr="00E00B35">
        <w:rPr>
          <w:rFonts w:cs="Arial"/>
          <w:szCs w:val="20"/>
        </w:rPr>
        <w:t xml:space="preserve">od 200 zł do 500 zł, jeżeli sprawozdanie zostanie uzupełnione lub poprawione w terminie 14 dni od dnia doręczenia wezwania, o którym mowa w </w:t>
      </w:r>
      <w:r w:rsidRPr="00E00B35">
        <w:rPr>
          <w:rFonts w:cs="Arial"/>
          <w:szCs w:val="20"/>
        </w:rPr>
        <w:pgNum/>
      </w:r>
      <w:r w:rsidRPr="00E00B35">
        <w:rPr>
          <w:rFonts w:cs="Arial"/>
          <w:szCs w:val="20"/>
        </w:rPr>
        <w:t>rt. 9p ust. 2, a w przypadku niezastosowania się do wezwania od 500 zł do 5000 zł.</w:t>
      </w:r>
      <w:r w:rsidRPr="00E00B35">
        <w:rPr>
          <w:rFonts w:cs="Verdana"/>
          <w:color w:val="000000"/>
          <w:szCs w:val="20"/>
        </w:rPr>
        <w:t xml:space="preserve">Za I kwartał 2020 r. nierzetelne sprawozdanie kwartalne złożył jeden przedsiębiorca, któremu naliczono karę w kwocie 500 zł. Przedsiębiorca złożył odwołanie do Samorządowego Kolegium Odwoławczego. Decyzją SKO postępowanie zostało przekazane do ponownego rozpatrzenia, sprawa jest w toku. </w:t>
      </w:r>
    </w:p>
    <w:p w:rsidR="007A4D59" w:rsidRPr="00E00B35" w:rsidRDefault="007A4D59" w:rsidP="00E00B35">
      <w:pPr>
        <w:pStyle w:val="Tekstpodstawowywcity2"/>
        <w:spacing w:after="0" w:line="312" w:lineRule="auto"/>
        <w:ind w:left="0"/>
        <w:rPr>
          <w:bCs w:val="0"/>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Obowiązek przyłączenia nieruchomości do miejskiej sieci kanalizacji sanitarnej</w:t>
      </w:r>
    </w:p>
    <w:p w:rsidR="007A4D59" w:rsidRPr="00E00B35" w:rsidRDefault="007A4D59" w:rsidP="00E00B35">
      <w:pPr>
        <w:pStyle w:val="Tekstpodstawowywcity2"/>
        <w:spacing w:after="0" w:line="312" w:lineRule="auto"/>
        <w:ind w:left="0"/>
        <w:rPr>
          <w:szCs w:val="20"/>
        </w:rPr>
      </w:pP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 xml:space="preserve">Wszczęto 39 postępowań administracyjnych w związku z niewykonaniem obowiązku przyłączenia nieruchomości do sieci kanalizacyjnej, wydano 64 decyzje nakazujące przyłączenie nieruchomości do miejskiej sieci kanalizacyjnej i umorzono 6 postępowań. </w:t>
      </w:r>
    </w:p>
    <w:p w:rsidR="007A4D59" w:rsidRPr="00E00B35" w:rsidRDefault="007A4D59" w:rsidP="00E00B35">
      <w:pPr>
        <w:spacing w:after="0" w:line="312" w:lineRule="auto"/>
        <w:rPr>
          <w:rFonts w:cs="Verdana"/>
          <w:color w:val="000000"/>
          <w:szCs w:val="20"/>
        </w:rPr>
      </w:pPr>
      <w:r w:rsidRPr="00E00B35">
        <w:rPr>
          <w:rFonts w:cs="Verdana"/>
          <w:color w:val="000000"/>
          <w:szCs w:val="20"/>
        </w:rPr>
        <w:t>W okresie sprawozdawczym wystosowano 93 upomnienia do osób zobowiązanych do przyłączenia nieruchomości do miejskiej sieci kanalizacyjnej.</w:t>
      </w:r>
    </w:p>
    <w:p w:rsidR="007A4D59" w:rsidRPr="00E00B35" w:rsidRDefault="007A4D59" w:rsidP="00E00B35">
      <w:pPr>
        <w:pStyle w:val="Tekstpodstawowywcity2"/>
        <w:spacing w:after="0" w:line="312" w:lineRule="auto"/>
        <w:ind w:left="0" w:firstLine="0"/>
        <w:rPr>
          <w:szCs w:val="20"/>
        </w:rPr>
      </w:pPr>
      <w:r w:rsidRPr="00E00B35">
        <w:rPr>
          <w:rFonts w:cs="Verdana"/>
          <w:color w:val="000000"/>
          <w:szCs w:val="20"/>
        </w:rPr>
        <w:t>Z uwagi na zagrożenie epidemiczne w 2020 r. odstąpiono od przeprowadzania planowych kontroli wypełniania obowiązku przyłączenia nieruchomości do miejskiej sieci kanalizacyjnej oraz pozbywania się nieczystości ciekłych ze zbiorników bezodpływowych</w:t>
      </w:r>
    </w:p>
    <w:p w:rsidR="007A4D59" w:rsidRPr="00E00B35" w:rsidRDefault="007A4D59" w:rsidP="00E00B35">
      <w:pPr>
        <w:pStyle w:val="Tekstpodstawowywcity2"/>
        <w:spacing w:after="0" w:line="312" w:lineRule="auto"/>
        <w:ind w:left="0"/>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lastRenderedPageBreak/>
        <w:t>Deratyzacja</w:t>
      </w:r>
    </w:p>
    <w:p w:rsidR="007A4D59" w:rsidRPr="00E00B35" w:rsidRDefault="007A4D59" w:rsidP="00E00B35">
      <w:pPr>
        <w:pStyle w:val="Tekstpodstawowy3"/>
        <w:spacing w:after="0" w:line="312" w:lineRule="auto"/>
        <w:rPr>
          <w:rFonts w:cs="Tahoma"/>
          <w:iCs/>
          <w:sz w:val="20"/>
          <w:szCs w:val="20"/>
        </w:rPr>
      </w:pP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Kontynuowano rozpoczęte w 2014 roku kontrole właścicieli, zarządców oraz użytkowników nieruchomości w zakresie prowadzenia zabiegów deratyzacji na obszarach podlegających temu obowiązkowi zgodnie z Regulaminem utrzymania czystości i porządku na terenie Wrocławia. Niniejsze działania polegały na przeprowadzeniu wizji lokalnej, w trakcie której ustalane były obszary, które w związku z występowaniem szczurów winny zostać objęte deratyzacją. W dalszej kolejności zwracano się do właścicieli, zarządców oraz użytkowników przedmiotowych nieruchomości o przeprowadzenie deratyzacji oraz udokumentowanie wyżej wymienionego faktu. Ponadto, w wyniku podjętych kontroli jednostki gminne zarządzające nieruchomościami należącymi do Gminy Wrocław, tj.: Zarząd Zasobu Komunalnego, Zarząd Dróg i Utrzymania Miasta, Zarząd Zieleni Miejskiej oraz Wrocławskie Mieszkania Sp. z o.o., prowadziły zabiegi doraźnej deratyzacji na terenach na których zaobserwowano miejsca gniazdowania szczurów.</w:t>
      </w: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W związku z obserwowaniem populacji szczurów na terenie centrum Wrocławia, w dniu 6 kwietnia 2020 r. zawarto trzy umowy na świadczenie usług obejmujących kompleksową deratyzację gminnych terenów zewnętrznych, tj. umowy:</w:t>
      </w:r>
    </w:p>
    <w:p w:rsidR="007A4D59" w:rsidRPr="00E00B35" w:rsidRDefault="007A4D59" w:rsidP="00BC64AB">
      <w:pPr>
        <w:pStyle w:val="Akapitzlist"/>
        <w:numPr>
          <w:ilvl w:val="0"/>
          <w:numId w:val="262"/>
        </w:numPr>
        <w:spacing w:after="0" w:line="312" w:lineRule="auto"/>
        <w:ind w:left="426" w:hanging="426"/>
        <w:rPr>
          <w:szCs w:val="20"/>
        </w:rPr>
      </w:pPr>
      <w:r w:rsidRPr="00E00B35">
        <w:rPr>
          <w:rFonts w:cs="Verdana"/>
          <w:color w:val="000000"/>
          <w:szCs w:val="20"/>
        </w:rPr>
        <w:t>nr WSR-GO</w:t>
      </w:r>
      <w:r w:rsidRPr="00E00B35">
        <w:rPr>
          <w:szCs w:val="20"/>
        </w:rPr>
        <w:t>/3/2020, która obejmowała realizację wyżej wymienionych usług na obszarze osiedla Stare Miasto (obszar ograniczony rzeką Odrą, ul. Nowy Świat, ul. Białoskórniczą, ul. Kazimierza Wielkiego, ul. Oławską, ul. Świętej Katarzyny, pl. Nowy Targ oraz ul. Piaskową),</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nr WSR-GO/4/2020, która obejmowała realizację wyżej wymienionych usług na terenie osiedli Przedmieście Świdnickie i Oławskie (obszar ograniczony ul. Piłsudskiego, ul. Świdnicką, ul. Podwale, ul. Dworcową, ul. Komuny Paryskiej, ul. Dąbrowskiego, ul. Małachowskiego),</w:t>
      </w:r>
    </w:p>
    <w:p w:rsidR="007A4D59" w:rsidRPr="00E00B35" w:rsidRDefault="007A4D59" w:rsidP="00BC64AB">
      <w:pPr>
        <w:pStyle w:val="Akapitzlist"/>
        <w:numPr>
          <w:ilvl w:val="0"/>
          <w:numId w:val="262"/>
        </w:numPr>
        <w:spacing w:after="0" w:line="312" w:lineRule="auto"/>
        <w:ind w:left="426" w:hanging="426"/>
        <w:rPr>
          <w:rFonts w:cs="Helv"/>
          <w:szCs w:val="20"/>
        </w:rPr>
      </w:pPr>
      <w:r w:rsidRPr="00E00B35">
        <w:rPr>
          <w:szCs w:val="20"/>
        </w:rPr>
        <w:t>nr WSR-GO/</w:t>
      </w:r>
      <w:r w:rsidRPr="00E00B35">
        <w:rPr>
          <w:rFonts w:cs="Verdana"/>
          <w:color w:val="000000"/>
          <w:szCs w:val="20"/>
        </w:rPr>
        <w:t xml:space="preserve">5/2020, która obejmowała realizację wyżej wymienionych usług na obszarze osiedla </w:t>
      </w:r>
      <w:r w:rsidRPr="00E00B35">
        <w:rPr>
          <w:rFonts w:cs="Helv"/>
          <w:bCs/>
          <w:szCs w:val="20"/>
        </w:rPr>
        <w:t xml:space="preserve">Nadodrze </w:t>
      </w:r>
      <w:r w:rsidRPr="00E00B35">
        <w:rPr>
          <w:rFonts w:cs="Helv"/>
          <w:szCs w:val="20"/>
        </w:rPr>
        <w:t>(obszar ograniczony ul. Drobnera, ul. Pomorską, pl. Staszica, pl. Powstańców Wielkopolskich, ul. Ołbińską, ul. Krętą, ul. Słowiańską, ul. Jedności Narodowej, ul. Poniatowskiego, ul. Bema).</w:t>
      </w: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 xml:space="preserve">Usługi realizowano nieprzerwanie od dnia 6 kwietnia 2020 r. do dnia 30 listopada 2020 r., a ich łączny koszt wyniósł 186 253,52 zł. W ramach umów zabiegami objęto obszar o łącznej powierzchni </w:t>
      </w:r>
      <w:r w:rsidRPr="00E00B35">
        <w:rPr>
          <w:szCs w:val="20"/>
        </w:rPr>
        <w:t>45,887 ha</w:t>
      </w:r>
      <w:r w:rsidRPr="00E00B35">
        <w:rPr>
          <w:rFonts w:cs="Verdana"/>
          <w:color w:val="000000"/>
          <w:szCs w:val="20"/>
        </w:rPr>
        <w:t>.</w:t>
      </w:r>
    </w:p>
    <w:p w:rsidR="007A4D59" w:rsidRPr="00E00B35" w:rsidRDefault="007A4D59" w:rsidP="00E00B35">
      <w:pPr>
        <w:spacing w:after="0" w:line="312" w:lineRule="auto"/>
        <w:rPr>
          <w:bCs/>
          <w:szCs w:val="20"/>
        </w:rPr>
      </w:pPr>
      <w:r w:rsidRPr="00E00B35">
        <w:rPr>
          <w:szCs w:val="20"/>
        </w:rPr>
        <w:t xml:space="preserve">W ramach działań dotyczących szerszej skali, w 2020 roku zmieniono Regulamin </w:t>
      </w:r>
      <w:r w:rsidRPr="00E00B35">
        <w:rPr>
          <w:bCs/>
          <w:szCs w:val="20"/>
        </w:rPr>
        <w:t xml:space="preserve">utrzymania czystości i porządku na terenie Wrocławia w zakresie dotyczącym obowiązkowej deratyzacji. Zmiana Regulaminu w przedmiotowym zakresie była szeroko konsultowana. W niniejszych konsultacjach udział wzięli przedstawiciele jednostek i spółek zarządzających zasobami gminnymi, a także przedstawiciele </w:t>
      </w:r>
      <w:r w:rsidRPr="00E00B35">
        <w:rPr>
          <w:szCs w:val="20"/>
        </w:rPr>
        <w:t xml:space="preserve">Straży Miejskiej Wrocławia, </w:t>
      </w:r>
      <w:r w:rsidRPr="00E00B35">
        <w:rPr>
          <w:rFonts w:cs="Verdana"/>
          <w:szCs w:val="20"/>
        </w:rPr>
        <w:t xml:space="preserve">Powiatowej Stacji Sanitarno-Epidemiologicznej we Wrocławiu oraz </w:t>
      </w:r>
      <w:r w:rsidRPr="00E00B35">
        <w:rPr>
          <w:rFonts w:cs="Trebuchet MS"/>
          <w:szCs w:val="20"/>
        </w:rPr>
        <w:t>Polskiego Stowarzyszenia Pracowników Dezynfekcji, Dezynsekcji i Deratyzacji.</w:t>
      </w:r>
    </w:p>
    <w:p w:rsidR="007A4D59" w:rsidRPr="00E00B35" w:rsidRDefault="007A4D59" w:rsidP="00E00B35">
      <w:pPr>
        <w:spacing w:after="0" w:line="312" w:lineRule="auto"/>
        <w:rPr>
          <w:bCs/>
          <w:szCs w:val="20"/>
        </w:rPr>
      </w:pPr>
      <w:r w:rsidRPr="00E00B35">
        <w:rPr>
          <w:szCs w:val="20"/>
        </w:rPr>
        <w:t xml:space="preserve">Efektem przedmiotowych prac jest Uchwała nr XXV/672/20 Rady Miejskiej Wrocławia z dnia 23 lipca 2020 r. w sprawie regulaminu utrzymania czystości i porządku na terenie </w:t>
      </w:r>
      <w:r w:rsidRPr="00E00B35">
        <w:rPr>
          <w:szCs w:val="20"/>
        </w:rPr>
        <w:lastRenderedPageBreak/>
        <w:t xml:space="preserve">Wrocławia, która </w:t>
      </w:r>
      <w:r w:rsidRPr="00E00B35">
        <w:rPr>
          <w:bCs/>
          <w:szCs w:val="20"/>
        </w:rPr>
        <w:t>wprowadziła zmiany w zakresie przeprowadzania obowiązkowej deratyzacji obejmujące</w:t>
      </w:r>
      <w:r w:rsidRPr="00E00B35">
        <w:rPr>
          <w:szCs w:val="20"/>
        </w:rPr>
        <w:t>:</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powiększenie obszaru i wydłużenie okresów trwania obowiązkowych deratyzacji,</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wprowadzenie obowiązku prowadzenia deratyzacji każdorazowo w przypadku występowania gryzoni.</w:t>
      </w:r>
    </w:p>
    <w:p w:rsidR="007A4D59" w:rsidRPr="00E00B35" w:rsidRDefault="007A4D59" w:rsidP="00E00B35">
      <w:pPr>
        <w:spacing w:after="0" w:line="312" w:lineRule="auto"/>
        <w:rPr>
          <w:szCs w:val="20"/>
        </w:rPr>
      </w:pPr>
      <w:r w:rsidRPr="00E00B35">
        <w:rPr>
          <w:rFonts w:cs="Verdana"/>
          <w:color w:val="000000"/>
          <w:szCs w:val="20"/>
        </w:rPr>
        <w:t xml:space="preserve">Dodatkowo, w Biuletynie Informacji Publicznej Urzędu Miejskiego Wrocławia oraz na stronie internetowej www.wrocław.pl publikowano komunikaty informujące o zbliżających się terminach obowiązkowych deratyzacji oraz o zasadach postępowania z resztkami jedzenia w celu uniknięcia dokarmiania oraz ograniczenia populacji szczurów. Ponadto, w ramach działań edukacyjnych, w bieżącym roku rozdysponowano ponad </w:t>
      </w:r>
      <w:r w:rsidRPr="00E00B35">
        <w:rPr>
          <w:szCs w:val="20"/>
        </w:rPr>
        <w:t>7000 materiałów (plakatów i ulotek) dotyczących przeciwdziałania występowaniu szczurów.</w:t>
      </w:r>
    </w:p>
    <w:p w:rsidR="007A4D59" w:rsidRPr="00E00B35" w:rsidRDefault="007A4D59" w:rsidP="00E00B35">
      <w:pPr>
        <w:pStyle w:val="Tekstpodstawowy"/>
        <w:tabs>
          <w:tab w:val="num" w:pos="0"/>
        </w:tabs>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Historyczne zanieczyszczenia powierzchni ziemi</w:t>
      </w:r>
    </w:p>
    <w:p w:rsidR="007A4D59" w:rsidRPr="00E00B35" w:rsidRDefault="007A4D59" w:rsidP="00E00B35">
      <w:pPr>
        <w:pStyle w:val="Tekstpodstawowy"/>
        <w:tabs>
          <w:tab w:val="num" w:pos="0"/>
        </w:tabs>
        <w:spacing w:after="0" w:line="312" w:lineRule="auto"/>
        <w:rPr>
          <w:szCs w:val="20"/>
        </w:rPr>
      </w:pPr>
    </w:p>
    <w:p w:rsidR="007A4D59" w:rsidRPr="00E00B35" w:rsidRDefault="007A4D59" w:rsidP="00E00B35">
      <w:pPr>
        <w:pStyle w:val="Tekstpodstawowy"/>
        <w:tabs>
          <w:tab w:val="num" w:pos="0"/>
        </w:tabs>
        <w:spacing w:after="0" w:line="312" w:lineRule="auto"/>
        <w:rPr>
          <w:szCs w:val="20"/>
        </w:rPr>
      </w:pPr>
      <w:r w:rsidRPr="00E00B35">
        <w:rPr>
          <w:szCs w:val="20"/>
        </w:rPr>
        <w:t>Zgodnie z art. 101d ustawy z dnia 27 kwietnia 2001 r. Prawo ochrony środowiska zadaniem starosty było dokonanie identyfikacji potencjalnych historycznych zanieczyszczeń powierzchni ziemi, sporządzenie ich wykazu oraz przekazanie go do regionalnego dyrektora ochrony środowiska w terminie do dnia 5 października 2018 r. Starosta został również zobowiązany do aktualizacji tego wykazu raz na dwa lata.</w:t>
      </w:r>
    </w:p>
    <w:p w:rsidR="007A4D59" w:rsidRPr="00E00B35" w:rsidRDefault="007A4D59" w:rsidP="00E00B35">
      <w:pPr>
        <w:pStyle w:val="Tekstpodstawowy"/>
        <w:tabs>
          <w:tab w:val="num" w:pos="0"/>
        </w:tabs>
        <w:spacing w:after="0" w:line="312" w:lineRule="auto"/>
        <w:rPr>
          <w:szCs w:val="20"/>
        </w:rPr>
      </w:pPr>
      <w:r w:rsidRPr="00E00B35">
        <w:rPr>
          <w:szCs w:val="20"/>
        </w:rPr>
        <w:t>Pierwszy termin aktualizacji wykazu przypadł na 2020 rok. Przygotowano aktualizację sporządzonego w roku 2018 wykazu potencjalnych historycznych zanieczyszczeń powierzchni ziemi na terenie Wrocławia. Aktualizację wykazu przekazano Regionalnemu Dyrektorowi Ochrony Środowiska we Wrocławiu, w wyznaczonym terminie do dnia 5 października 2020 r.</w:t>
      </w:r>
    </w:p>
    <w:p w:rsidR="007A4D59" w:rsidRPr="00E00B35" w:rsidRDefault="007A4D59" w:rsidP="00E00B35">
      <w:pPr>
        <w:pStyle w:val="Tekstpodstawowy"/>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Program udostępniania kompostowników mieszkańcom</w:t>
      </w:r>
    </w:p>
    <w:p w:rsidR="007A4D59" w:rsidRPr="00E00B35" w:rsidRDefault="007A4D59" w:rsidP="00E00B35">
      <w:pPr>
        <w:pStyle w:val="Tekstpodstawowy"/>
        <w:spacing w:after="0" w:line="312" w:lineRule="auto"/>
        <w:rPr>
          <w:i/>
          <w:szCs w:val="20"/>
          <w:u w:val="single"/>
        </w:rPr>
      </w:pPr>
    </w:p>
    <w:p w:rsidR="007A4D59" w:rsidRPr="00E00B35" w:rsidRDefault="007A4D59" w:rsidP="00E00B35">
      <w:pPr>
        <w:tabs>
          <w:tab w:val="left" w:pos="0"/>
        </w:tabs>
        <w:autoSpaceDE w:val="0"/>
        <w:autoSpaceDN w:val="0"/>
        <w:adjustRightInd w:val="0"/>
        <w:spacing w:after="0" w:line="312" w:lineRule="auto"/>
        <w:rPr>
          <w:rFonts w:cs="Verdana"/>
          <w:color w:val="000000"/>
          <w:szCs w:val="20"/>
        </w:rPr>
      </w:pPr>
      <w:r w:rsidRPr="00E00B35">
        <w:rPr>
          <w:rFonts w:cs="Verdana"/>
          <w:color w:val="000000"/>
          <w:szCs w:val="20"/>
        </w:rPr>
        <w:t>Kontynuowano rozpoczęty w 2012 roku program udostępniania kompostowników mieszkańcom. Celem programu jest edukacja mieszkańców w zakresie prawidłowego kompostowania odpadów, promocja kompostowania odpadów na własne potrzeby oraz zwiększenie ilości odpadów ulegających biodegradacji poddawanych odzyskowi, a tym samym ograniczenie ilości kierowanych do składowania odpadów komunalnych wytworzonych na terenie Wrocławia. Kompostowniki są użyczane mieszkańcom posiadającym przydomowe ogródki oraz placówkom oświatowym. Urządzenia są użyczane na trzy lata, na podstawie umowy zawieranej z Gminą Wrocław. Po upływie trzech lat kompostowniki przechodzą na własność użytkownika.</w:t>
      </w:r>
    </w:p>
    <w:p w:rsidR="007A4D59" w:rsidRPr="00E00B35" w:rsidRDefault="007A4D59" w:rsidP="00E00B35">
      <w:pPr>
        <w:tabs>
          <w:tab w:val="left" w:pos="0"/>
        </w:tabs>
        <w:autoSpaceDE w:val="0"/>
        <w:autoSpaceDN w:val="0"/>
        <w:adjustRightInd w:val="0"/>
        <w:spacing w:after="0" w:line="312" w:lineRule="auto"/>
        <w:rPr>
          <w:rFonts w:cs="Verdana"/>
          <w:color w:val="000000"/>
          <w:szCs w:val="20"/>
        </w:rPr>
      </w:pPr>
      <w:r w:rsidRPr="00E00B35">
        <w:rPr>
          <w:rFonts w:cs="Verdana"/>
          <w:color w:val="000000"/>
          <w:szCs w:val="20"/>
        </w:rPr>
        <w:t xml:space="preserve">W 2020 roku zakupiono łącznie 793 sztuki kompostowników przydomowych typu Termo-700 o pojemności 720 l, o łącznej wartości </w:t>
      </w:r>
      <w:r w:rsidRPr="00E00B35">
        <w:rPr>
          <w:rFonts w:cs="Verdana"/>
          <w:szCs w:val="20"/>
        </w:rPr>
        <w:t xml:space="preserve">221 525,46 </w:t>
      </w:r>
      <w:r w:rsidRPr="00E00B35">
        <w:rPr>
          <w:rFonts w:cs="Verdana"/>
          <w:color w:val="000000"/>
          <w:szCs w:val="20"/>
        </w:rPr>
        <w:t xml:space="preserve">zł brutto. Zakupu dokonano na podstawie trzech umów – z dnia  12 lutego 2020 r. nr WSR-GO/2/2020, z dnia 20 lipca 2020 r. nr WSR-GO/8/2020 oraz z dnia 19 listopada 2020 r. nr WSR-GO/11/2020. W przypadku dwóch pierwszych umów, dostawca kompostowników został wybrany w trybie zapytania ofertowego, a w trzecim przypadku w trybie przetargu nieograniczonego. Łącznie w latach 2012-2020 udostępniono mieszkańcom 1 907 kompostowników. W roku </w:t>
      </w:r>
      <w:r w:rsidRPr="00E00B35">
        <w:rPr>
          <w:rFonts w:cs="Verdana"/>
          <w:color w:val="000000"/>
          <w:szCs w:val="20"/>
        </w:rPr>
        <w:lastRenderedPageBreak/>
        <w:t>2020 udostępniono łącznie 342 kompostowniki zarówno mieszkańcom, jak i placówkom oświatowym.</w:t>
      </w:r>
    </w:p>
    <w:p w:rsidR="007A4D59" w:rsidRPr="00E00B35" w:rsidRDefault="007A4D59" w:rsidP="00E00B35">
      <w:pPr>
        <w:pStyle w:val="Tekstpodstawowywcity"/>
        <w:spacing w:after="0" w:line="312" w:lineRule="auto"/>
        <w:rPr>
          <w:bCs/>
          <w:color w:val="000000"/>
          <w:szCs w:val="20"/>
          <w:highlight w:val="yellow"/>
        </w:rPr>
      </w:pPr>
    </w:p>
    <w:p w:rsidR="007A4D59" w:rsidRPr="00E00B35" w:rsidRDefault="007A4D59" w:rsidP="00E00B35">
      <w:pPr>
        <w:pStyle w:val="Nagwek4"/>
        <w:spacing w:before="0" w:after="0" w:line="312" w:lineRule="auto"/>
        <w:rPr>
          <w:b w:val="0"/>
          <w:sz w:val="20"/>
          <w:szCs w:val="20"/>
        </w:rPr>
      </w:pPr>
      <w:r w:rsidRPr="00E00B35">
        <w:rPr>
          <w:b w:val="0"/>
          <w:sz w:val="20"/>
          <w:szCs w:val="20"/>
        </w:rPr>
        <w:t>Pojemniki na nakrętki w kształcie serca</w:t>
      </w:r>
    </w:p>
    <w:p w:rsidR="007A4D59" w:rsidRPr="00E00B35" w:rsidRDefault="007A4D59" w:rsidP="00E00B35">
      <w:pPr>
        <w:spacing w:after="0" w:line="312" w:lineRule="auto"/>
        <w:rPr>
          <w:rFonts w:cs="Verdana"/>
          <w:i/>
          <w:color w:val="000000"/>
          <w:szCs w:val="20"/>
          <w:u w:val="single"/>
        </w:rPr>
      </w:pP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W ramach umowy nr WSR-GO/10/2020 z dnia 13 listopada 2020 r. zakupiono i zamontowano na terenie Wrocławia pojemniki na plastikowe nakrętki w kształcie serca w ilości 10 szt. Umowa realizowana była w terminie od 8 grudnia 2020 r. do 10 grudnia 2020 r, a koszt zadania wyniósł 19 680 zł.Pojemniki zostały zamontowane w 10 lokalizacjach, tj. na terenie: LO nr XIV - al. Brucknera 10, SP nr 84 - ul. Łukasza Górnickiego 20, Zespołu Szkolno-Przedszkolnego nr 4 - ul. Sołtysowicka 34, Centrum Kultury Zamek - Plac Świętojański 9, SP nr 83 - ul. Boya Żeleńskiego 32, Przedszkola nr 56 Niezapominajka -  ul. Dożynkowa 6a, LO nr XI - ul. Spółdzielcza 2a, Wrocławskiego Park Wodnego S.A. - ul. Borowska 99, Przedszkola nr 77 Tęczowe Siódemki - ul. Niemcewicza 4, na terenie miejskim przy Barze Barbara - ul. Świdnicka.</w:t>
      </w:r>
    </w:p>
    <w:p w:rsidR="007A4D59" w:rsidRPr="00E00B35" w:rsidRDefault="007A4D59" w:rsidP="00E00B35">
      <w:pPr>
        <w:pStyle w:val="Tytu"/>
        <w:spacing w:after="0" w:line="312" w:lineRule="auto"/>
        <w:jc w:val="left"/>
        <w:rPr>
          <w:rFonts w:cs="Verdana"/>
          <w:b w:val="0"/>
          <w:color w:val="000000"/>
          <w:szCs w:val="20"/>
        </w:rPr>
      </w:pPr>
      <w:r w:rsidRPr="00E00B35">
        <w:rPr>
          <w:rFonts w:cs="Verdana"/>
          <w:b w:val="0"/>
          <w:color w:val="000000"/>
          <w:szCs w:val="20"/>
        </w:rPr>
        <w:t>Miasto Wrocław na podstawie umowy użyczenia nr WSR-GO/13/2020 z dnia 11 grudnia 2020 r. przekazało pojemniki do użytkowania Fundacji „Wrocławskie Hospicjum dla Dzieci”, która nadzorować będzie proces regularnego odbioru nakrętek i przekazania ich do recyklingu. Po okresie użyczenia pojemniki staną się własnością Hospicjum. W okresie użytkowania Fundacja zobowiązana będzie zapewnić należyte użytkowanie i zabezpieczenie oraz wszystkie naprawy niepodlegające gwarancji.</w:t>
      </w:r>
    </w:p>
    <w:p w:rsidR="007A4D59" w:rsidRPr="00E00B35" w:rsidRDefault="007A4D59" w:rsidP="00E00B35">
      <w:pPr>
        <w:autoSpaceDE w:val="0"/>
        <w:autoSpaceDN w:val="0"/>
        <w:adjustRightInd w:val="0"/>
        <w:spacing w:after="0" w:line="312" w:lineRule="auto"/>
        <w:rPr>
          <w:rFonts w:cs="Verdana"/>
          <w:color w:val="000000"/>
          <w:szCs w:val="20"/>
        </w:rPr>
      </w:pPr>
      <w:r w:rsidRPr="00E00B35">
        <w:rPr>
          <w:rFonts w:cs="Verdana"/>
          <w:color w:val="000000"/>
          <w:szCs w:val="20"/>
        </w:rPr>
        <w:t xml:space="preserve">Zebrane w pojemnikach plastikowe nakrętki będą odpłatnie przekazywane do recyklingu, a środki finansowe uzyskane ze sprzedaży nakrętek przeznaczone zostaną na leczenie i rehabilitację podopiecznych Fundacji. </w:t>
      </w:r>
    </w:p>
    <w:p w:rsidR="007A4D59" w:rsidRPr="00E00B35" w:rsidRDefault="007A4D59" w:rsidP="00E00B35">
      <w:pPr>
        <w:autoSpaceDE w:val="0"/>
        <w:autoSpaceDN w:val="0"/>
        <w:adjustRightInd w:val="0"/>
        <w:spacing w:after="0" w:line="312" w:lineRule="auto"/>
        <w:rPr>
          <w:rFonts w:cs="Verdana"/>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Udostępnianie informacji o środowisku i informacji publicznej</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W okresie sprawozdawczym wpłynęły i zostały rozpatrzone 82 wnioski o udostępnienie informacji o środowisku. Za udostępnienie informacji uiszczone zostały opłaty w kwocie łącznie 89,70 zł. W trybie udostępnienia informacji publicznej rozpatrzono 2 wnioski.</w:t>
      </w:r>
    </w:p>
    <w:p w:rsidR="007A4D59" w:rsidRPr="00E00B35" w:rsidRDefault="007A4D59" w:rsidP="00E00B35">
      <w:pPr>
        <w:pStyle w:val="Tekstpodstawowywcity"/>
        <w:spacing w:after="0" w:line="312" w:lineRule="auto"/>
        <w:rPr>
          <w:bCs/>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Opinie i uzgodnienia</w:t>
      </w:r>
    </w:p>
    <w:p w:rsidR="007A4D59" w:rsidRPr="00E00B35" w:rsidRDefault="007A4D59" w:rsidP="00E00B35">
      <w:pPr>
        <w:pStyle w:val="Tekstpodstawowywcity"/>
        <w:spacing w:after="0" w:line="312" w:lineRule="auto"/>
        <w:rPr>
          <w:b/>
          <w:bCs/>
          <w:color w:val="000000"/>
          <w:szCs w:val="20"/>
        </w:rPr>
      </w:pPr>
    </w:p>
    <w:p w:rsidR="007A4D59" w:rsidRPr="00E00B35" w:rsidRDefault="007A4D59" w:rsidP="00E00B35">
      <w:pPr>
        <w:pStyle w:val="Tekstpodstawowywcity"/>
        <w:spacing w:after="0" w:line="312" w:lineRule="auto"/>
        <w:ind w:left="0"/>
        <w:rPr>
          <w:bCs/>
          <w:color w:val="000000"/>
          <w:szCs w:val="20"/>
        </w:rPr>
      </w:pPr>
      <w:r w:rsidRPr="00E00B35">
        <w:rPr>
          <w:bCs/>
          <w:color w:val="000000"/>
          <w:szCs w:val="20"/>
        </w:rPr>
        <w:t xml:space="preserve">W okresie sprawozdawczym sporządzono ogółem 186 opinii i uzgodnień w zakresie gospodarki odpadami, w tym 31 opinii dotyczących opracowywanych miejscowych planów zagospodarowania przestrzennego oraz 135 uzgodnień warunków realizacji inwestycji na etapie wydawania decyzji o środowiskowych uwarunkowaniach. </w:t>
      </w:r>
    </w:p>
    <w:p w:rsidR="007A4D59" w:rsidRPr="00E00B35" w:rsidRDefault="007A4D59" w:rsidP="00E00B35">
      <w:pPr>
        <w:pStyle w:val="Tekstpodstawowywcity2"/>
        <w:spacing w:after="0" w:line="312" w:lineRule="auto"/>
        <w:ind w:left="0"/>
        <w:rPr>
          <w:szCs w:val="20"/>
          <w:highlight w:val="yellow"/>
        </w:rPr>
      </w:pPr>
    </w:p>
    <w:p w:rsidR="007A4D59" w:rsidRPr="00E00B35" w:rsidRDefault="007A4D59" w:rsidP="00E00B35">
      <w:pPr>
        <w:pStyle w:val="Nagwek4"/>
        <w:spacing w:before="0" w:after="0" w:line="312" w:lineRule="auto"/>
        <w:rPr>
          <w:b w:val="0"/>
          <w:sz w:val="20"/>
          <w:szCs w:val="20"/>
        </w:rPr>
      </w:pPr>
      <w:r w:rsidRPr="00E00B35">
        <w:rPr>
          <w:b w:val="0"/>
          <w:sz w:val="20"/>
          <w:szCs w:val="20"/>
        </w:rPr>
        <w:t>System Ekozarządzania i Audytu EMAS</w:t>
      </w:r>
    </w:p>
    <w:p w:rsidR="007A4D59" w:rsidRPr="00E00B35" w:rsidRDefault="007A4D59" w:rsidP="00E00B35">
      <w:pPr>
        <w:pStyle w:val="Tekstpodstawowywcity2"/>
        <w:spacing w:after="0" w:line="312" w:lineRule="auto"/>
        <w:ind w:left="0"/>
        <w:rPr>
          <w:szCs w:val="20"/>
        </w:rPr>
      </w:pPr>
    </w:p>
    <w:p w:rsidR="007A4D59" w:rsidRPr="00E00B35" w:rsidRDefault="007A4D59" w:rsidP="00E00B35">
      <w:pPr>
        <w:pStyle w:val="Tekstpodstawowy"/>
        <w:spacing w:after="0" w:line="312" w:lineRule="auto"/>
        <w:rPr>
          <w:rFonts w:cs="Verdana"/>
          <w:color w:val="000000"/>
          <w:szCs w:val="20"/>
        </w:rPr>
      </w:pPr>
      <w:r w:rsidRPr="00E00B35">
        <w:rPr>
          <w:rFonts w:cs="Verdana"/>
          <w:color w:val="000000"/>
          <w:szCs w:val="20"/>
        </w:rPr>
        <w:t xml:space="preserve">Uczestniczono w nadzorowaniu i monitoringu aspektu środowiskowego dotyczącego wytwarzania odpadów przez mieszkańców oraz procedury postępowania z odpadami wytwarzanymi na terenie Urzędu oraz brali aktywny udział w audytach środowiskowych </w:t>
      </w:r>
      <w:r w:rsidRPr="00E00B35">
        <w:rPr>
          <w:rFonts w:cs="Verdana"/>
          <w:color w:val="000000"/>
          <w:szCs w:val="20"/>
        </w:rPr>
        <w:lastRenderedPageBreak/>
        <w:t>związanych z wdrażaniem systemu. W ramach kontroli spełniania przez Urząd Miejski wymagań EMAS, obejmujących również gospodarkę odpadami, w dniach od 24 września 2020 r. do 25 września 2020 r. odbył się audyt zewnętrzny w zakresie Systemu Ekozarządzania i Audytu EMAS, który miał na celu potwierdzenie stałej zgodności systemu z normami odniesienia, jego skuteczności w osiąganiu celów i możliwości udzielenia rekomendacji do utrzymania rejestracji w EMAS; walidacja Deklaracji Środowiskowej. Firmą audytującą była Bureau Veritas Certification Polska. W podsumowaniu wyników audytu nie stwierdzono niezgodności. Urząd Miejski Wrocławia przeszedł pozytywną weryfikację w przedmiotowym zakresie</w:t>
      </w:r>
    </w:p>
    <w:p w:rsidR="007A4D59" w:rsidRPr="00E00B35" w:rsidRDefault="007A4D59" w:rsidP="00E00B35">
      <w:pPr>
        <w:pStyle w:val="Nagwek4"/>
        <w:spacing w:before="0" w:after="0" w:line="312" w:lineRule="auto"/>
        <w:rPr>
          <w:b w:val="0"/>
          <w:sz w:val="20"/>
          <w:szCs w:val="20"/>
          <w:highlight w:val="yellow"/>
        </w:rPr>
      </w:pPr>
    </w:p>
    <w:p w:rsidR="007A4D59" w:rsidRPr="00E00B35" w:rsidRDefault="007A4D59" w:rsidP="00E00B35">
      <w:pPr>
        <w:pStyle w:val="Nagwek4"/>
        <w:spacing w:before="0" w:after="0" w:line="312" w:lineRule="auto"/>
        <w:rPr>
          <w:b w:val="0"/>
          <w:sz w:val="20"/>
          <w:szCs w:val="20"/>
        </w:rPr>
      </w:pPr>
      <w:r w:rsidRPr="00E00B35">
        <w:rPr>
          <w:b w:val="0"/>
          <w:sz w:val="20"/>
          <w:szCs w:val="20"/>
        </w:rPr>
        <w:t>Informacje dla prasy i na stronie internetowej Urzędu Miejskiego</w:t>
      </w:r>
    </w:p>
    <w:p w:rsidR="007A4D59" w:rsidRPr="00E00B35" w:rsidRDefault="007A4D59" w:rsidP="00E00B35">
      <w:pPr>
        <w:pStyle w:val="Tekstpodstawowy"/>
        <w:spacing w:after="0" w:line="312" w:lineRule="auto"/>
        <w:rPr>
          <w:b/>
          <w:szCs w:val="20"/>
        </w:rPr>
      </w:pPr>
    </w:p>
    <w:p w:rsidR="007A4D59" w:rsidRPr="00E00B35" w:rsidRDefault="007A4D59" w:rsidP="00E00B35">
      <w:pPr>
        <w:pStyle w:val="Tekstpodstawowy"/>
        <w:spacing w:after="0" w:line="312" w:lineRule="auto"/>
        <w:rPr>
          <w:szCs w:val="20"/>
        </w:rPr>
      </w:pPr>
      <w:r w:rsidRPr="00E00B35">
        <w:rPr>
          <w:szCs w:val="20"/>
        </w:rPr>
        <w:t>W okresie sprawozdawczym przekazywano za pośrednictwem Działu Prasowego informacje do mediów na temat prowadzonych postępowań i czynności. Na stronie internetowej Urzędu Miejskiego i w Biuletynie Informacji Publicznej zamieszczano i uaktualniano informacje związane z realizowanymi zadaniami, w tym o charakterze edukacyjnym.</w:t>
      </w:r>
    </w:p>
    <w:p w:rsidR="007A4D59" w:rsidRPr="00E00B35" w:rsidRDefault="007A4D59" w:rsidP="00E00B35">
      <w:pPr>
        <w:pStyle w:val="Tekstpodstawowy"/>
        <w:spacing w:after="0" w:line="312" w:lineRule="auto"/>
        <w:rPr>
          <w:szCs w:val="20"/>
        </w:rPr>
      </w:pPr>
      <w:r w:rsidRPr="00E00B35">
        <w:rPr>
          <w:szCs w:val="20"/>
        </w:rPr>
        <w:t>W Biuletynie Informacji Publicznej w zakładce pn. „Utrzymanie czystości i porządku we Wrocławiu”, zaktualizowano informacje o podmiotach odbierających odpady komunalne i opróżniających zbiorniki bezodpływowe, miejscach zagospodarowania odebranych odpadów komunalnych, osiągniętych poziomach zagospodarowania odpadów komunalnych. Zamieszczona została Analiza stanu gospodarki odpadami komunalnymi za 2019 rok.</w:t>
      </w:r>
    </w:p>
    <w:p w:rsidR="007A4D59" w:rsidRPr="00E00B35" w:rsidRDefault="007A4D59" w:rsidP="00E00B35">
      <w:pPr>
        <w:pStyle w:val="Tekstpodstawowy"/>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Kontrole zewnętrzne</w:t>
      </w:r>
    </w:p>
    <w:p w:rsidR="007A4D59" w:rsidRPr="00E00B35" w:rsidRDefault="007A4D59" w:rsidP="00E00B35">
      <w:pPr>
        <w:pStyle w:val="Tekstpodstawowywcity2"/>
        <w:spacing w:after="0" w:line="312" w:lineRule="auto"/>
        <w:ind w:left="0"/>
        <w:rPr>
          <w:szCs w:val="20"/>
        </w:rPr>
      </w:pPr>
    </w:p>
    <w:p w:rsidR="007A4D59" w:rsidRPr="00E00B35" w:rsidRDefault="007A4D59" w:rsidP="00E00B35">
      <w:pPr>
        <w:pStyle w:val="Tekstpodstawowywcity2"/>
        <w:spacing w:after="0" w:line="312" w:lineRule="auto"/>
        <w:ind w:left="0" w:firstLine="0"/>
        <w:rPr>
          <w:szCs w:val="20"/>
        </w:rPr>
      </w:pPr>
      <w:r w:rsidRPr="00E00B35">
        <w:rPr>
          <w:szCs w:val="20"/>
        </w:rPr>
        <w:t xml:space="preserve">W 2020 r. przeprowadzona została w Urzędzie Miejskim Wrocławia kontrola P/19/079 Najwyższej Izby Kontroli w przedmiocie działań na rzecz ograniczenia powstawania odpadów z tworzyw sztucznych i ich skutecznego zagospodarowania, w okresie od stycznia 2017 r. do grudnia 2019 r. Dla potrzeb kontrolerów sporządzano zestawienia dotyczące realizowanych działań oraz udzielano informacji i wyjaśnień. W Wystąpieniu pokontrolnym znak: LWR.410.003.02.2020 z dnia 4 maja 2020 r. Najwyższa Izba Kontroli oceniła pozytywnie realizowane działania tj. prowadzenie za lata 2017-2018 sprawozdawczości z realizacji zadań z zakresu gospodarowania odpadami komunalnymi, osiągniecie przez Gminę Wrocław wymaganych przepisami prawa wskaźników poziomu recyklingu frakcji odpadów komunalnych oraz prowadzone działania informacyjne i edukacyjne. W wystąpieniu stwierdzono, że Urząd wykonywał za pośrednictwem spółki komunalnej Ekosystem Sp. z o.o. zadania wynikające m.in. z Wojewódzkiego Planu Gospodarki Odpadami dla Województwa Dolnośląskiego z zastrzeżeniem, że nie zostały zrealizowane inwestycje ujęte w Planie Inwestycyjnym stanowiącym załącznik do WPGO. Wobec powyższego zostały zgłoszone zastrzeżenia do wniosków zawartych w wystąpieniu dotyczących nieprawidłowości polegającej na tym, że w latach 2016-2020 Urząd nie zrealizował inwestycji wynikających z Planu Inwestycyjnego stanowiącego załącznik do </w:t>
      </w:r>
      <w:r w:rsidRPr="00E00B35">
        <w:rPr>
          <w:szCs w:val="20"/>
        </w:rPr>
        <w:lastRenderedPageBreak/>
        <w:t xml:space="preserve">WPGO. W uchwale z dnia 22 czerwca 2020 r. Zespół Orzekający Komisji Rozstrzygającej w Najwyższej Izbie Kontroli oddalił zgłoszone zastrzeżenie. </w:t>
      </w:r>
    </w:p>
    <w:p w:rsidR="007A4D59" w:rsidRPr="00E00B35" w:rsidRDefault="007A4D59" w:rsidP="00E00B35">
      <w:pPr>
        <w:pStyle w:val="Tekstpodstawowywcity2"/>
        <w:spacing w:after="0" w:line="312" w:lineRule="auto"/>
        <w:ind w:left="0" w:firstLine="0"/>
        <w:rPr>
          <w:szCs w:val="20"/>
        </w:rPr>
      </w:pPr>
      <w:r w:rsidRPr="00E00B35">
        <w:rPr>
          <w:szCs w:val="20"/>
        </w:rPr>
        <w:t>W październiku 2020 r. rozpoczęła się w Urzędzie Miejskim Wrocławia kontrola P/20/046 Najwyższej Izby Kontroli – Zbieranie i oczyszczanie ścieków komunalnych. Kontrola obejmuje okres od 1 stycznia 2018 r. do 30 września 2020 r. dla jej potrzeb sporządzono zestawienia dotyczące realizowanych działań oraz udzielali informacji i wyjaśnień. Kontrola nie została zakończona .</w:t>
      </w:r>
    </w:p>
    <w:p w:rsidR="007A4D59" w:rsidRPr="00E00B35" w:rsidRDefault="007A4D59" w:rsidP="00E00B35">
      <w:pPr>
        <w:pStyle w:val="Tekstpodstawowywcity"/>
        <w:spacing w:after="0" w:line="312" w:lineRule="auto"/>
        <w:rPr>
          <w:bCs/>
          <w:color w:val="000000"/>
          <w:szCs w:val="20"/>
        </w:rPr>
      </w:pPr>
    </w:p>
    <w:p w:rsidR="007A4D59" w:rsidRPr="00E00B35" w:rsidRDefault="007A4D59" w:rsidP="00E00B35">
      <w:pPr>
        <w:pStyle w:val="Nagwek3"/>
        <w:spacing w:after="0" w:line="312" w:lineRule="auto"/>
        <w:rPr>
          <w:b w:val="0"/>
          <w:sz w:val="20"/>
        </w:rPr>
      </w:pPr>
      <w:bookmarkStart w:id="782" w:name="_Toc71034628"/>
      <w:r w:rsidRPr="00E00B35">
        <w:rPr>
          <w:b w:val="0"/>
          <w:sz w:val="20"/>
        </w:rPr>
        <w:t>OCENY ODDZIAŁYWANIA NA ŚRODOWISKO</w:t>
      </w:r>
      <w:bookmarkEnd w:id="782"/>
    </w:p>
    <w:p w:rsidR="007A4D59" w:rsidRPr="00E00B35" w:rsidRDefault="007A4D59" w:rsidP="00E00B35">
      <w:pPr>
        <w:tabs>
          <w:tab w:val="left" w:pos="0"/>
          <w:tab w:val="left" w:pos="360"/>
        </w:tabs>
        <w:spacing w:after="0" w:line="312" w:lineRule="auto"/>
        <w:rPr>
          <w:bCs/>
          <w:color w:val="000000"/>
          <w:szCs w:val="20"/>
        </w:rPr>
      </w:pPr>
    </w:p>
    <w:p w:rsidR="007A4D59" w:rsidRPr="00E00B35" w:rsidRDefault="007A4D59" w:rsidP="00E00B35">
      <w:pPr>
        <w:tabs>
          <w:tab w:val="left" w:pos="0"/>
          <w:tab w:val="left" w:pos="360"/>
        </w:tabs>
        <w:spacing w:after="0" w:line="312" w:lineRule="auto"/>
        <w:rPr>
          <w:szCs w:val="20"/>
        </w:rPr>
      </w:pPr>
      <w:r w:rsidRPr="00E00B35">
        <w:rPr>
          <w:szCs w:val="20"/>
        </w:rPr>
        <w:t>W okresie sprawozdawczym prowadzono 183 postępowania dotyczące decyzji o środowiskowych uwarunkowaniach, zwane dalej „</w:t>
      </w:r>
      <w:r w:rsidRPr="00E00B35">
        <w:rPr>
          <w:i/>
          <w:szCs w:val="20"/>
        </w:rPr>
        <w:t>decyzjami środowiskowymi”.</w:t>
      </w:r>
      <w:r w:rsidRPr="00E00B35">
        <w:rPr>
          <w:szCs w:val="20"/>
        </w:rPr>
        <w:t xml:space="preserve"> Łącznie wydano 94 decyzje, w tym </w:t>
      </w:r>
      <w:r w:rsidRPr="00E00B35">
        <w:rPr>
          <w:bCs/>
          <w:szCs w:val="20"/>
        </w:rPr>
        <w:t>72</w:t>
      </w:r>
      <w:r w:rsidRPr="00E00B35">
        <w:rPr>
          <w:szCs w:val="20"/>
        </w:rPr>
        <w:t xml:space="preserve"> decyzje środowiskowe dla planowanych przedsięwzięć mogących potencjalnie znacząco oddziaływać na środowisko, 1 decyzję odmawiającą zgodę na realizację przedsięwzięcia. Ponadto wydano: 12 decyzji  umarzających postępowania ws. wydania decyzji środowiskowej, 8 decyzji przenoszących decyzje na inny podmiot, 1 duplikat decyzji. Dla 13 wniosków ws. wydania decyzji środowiskowej wydano postanowienia odmawiające wszczęcia postępowania administracyjnego. Ponadto wydano 76</w:t>
      </w:r>
      <w:r w:rsidRPr="00E00B35">
        <w:rPr>
          <w:bCs/>
          <w:szCs w:val="20"/>
        </w:rPr>
        <w:t xml:space="preserve"> </w:t>
      </w:r>
      <w:r w:rsidRPr="00E00B35">
        <w:rPr>
          <w:szCs w:val="20"/>
        </w:rPr>
        <w:t>opinii dotyczących kwalifikacji planowanych przedsięwzięć do przeprowadzenia postępowania ws. wydania decyzji środowiskowej.</w:t>
      </w:r>
    </w:p>
    <w:p w:rsidR="007A4D59" w:rsidRPr="00E00B35" w:rsidRDefault="007A4D59" w:rsidP="00E00B35">
      <w:pPr>
        <w:tabs>
          <w:tab w:val="left" w:pos="0"/>
          <w:tab w:val="left" w:pos="360"/>
        </w:tabs>
        <w:spacing w:after="0" w:line="312" w:lineRule="auto"/>
        <w:rPr>
          <w:bCs/>
          <w:szCs w:val="20"/>
        </w:rPr>
      </w:pPr>
      <w:r w:rsidRPr="00E00B35">
        <w:rPr>
          <w:bCs/>
          <w:szCs w:val="20"/>
        </w:rPr>
        <w:t>Przeanalizowano 91 wniosków o udostępnienie informacji o środowisku.</w:t>
      </w:r>
    </w:p>
    <w:p w:rsidR="007A4D59" w:rsidRPr="00E00B35" w:rsidRDefault="007A4D59" w:rsidP="00E00B35">
      <w:pPr>
        <w:tabs>
          <w:tab w:val="left" w:pos="0"/>
          <w:tab w:val="left" w:pos="360"/>
        </w:tabs>
        <w:spacing w:after="0" w:line="312" w:lineRule="auto"/>
        <w:rPr>
          <w:bCs/>
          <w:szCs w:val="20"/>
        </w:rPr>
      </w:pPr>
      <w:r w:rsidRPr="00E00B35">
        <w:rPr>
          <w:bCs/>
          <w:szCs w:val="20"/>
        </w:rPr>
        <w:t>W ramach wydawanych decyzji środowiskowych wydano 38 zaświadczeń o ostateczności decyzji.Wszystkie decyzje zostały wydane dla planowanych przedsięwzięć mogących potencjalnie znacząco oddziaływać na środowisko, w tym dla inwestycji dotyczących zabudowy mieszkaniowej, hotelowej i usługowej wraz z niezbędną infrastrukturą techniczną (w tym parkingami i garażami), budowy/przebudowy sieci wodociągowych, kanalizacyjnych, ciepłowniczych i gazowych oraz inwestycji związanych z budową i przebudową  obiektów/instalacji w tym:</w:t>
      </w:r>
    </w:p>
    <w:p w:rsidR="007A4D59" w:rsidRPr="00E00B35" w:rsidRDefault="007A4D59" w:rsidP="00BC64AB">
      <w:pPr>
        <w:numPr>
          <w:ilvl w:val="0"/>
          <w:numId w:val="258"/>
        </w:numPr>
        <w:tabs>
          <w:tab w:val="left" w:pos="142"/>
          <w:tab w:val="left" w:pos="284"/>
        </w:tabs>
        <w:spacing w:after="0" w:line="312" w:lineRule="auto"/>
        <w:ind w:left="0" w:firstLine="0"/>
        <w:rPr>
          <w:szCs w:val="20"/>
        </w:rPr>
      </w:pPr>
      <w:r w:rsidRPr="00E00B35">
        <w:rPr>
          <w:szCs w:val="20"/>
        </w:rPr>
        <w:t>inwestycje związane z budową osiedli mieszkaniowych, zabudową hotelową i usługową m.in.:</w:t>
      </w:r>
    </w:p>
    <w:p w:rsidR="007A4D59" w:rsidRPr="00E00B35" w:rsidRDefault="007A4D59" w:rsidP="00BC64AB">
      <w:pPr>
        <w:pStyle w:val="Akapitzlist"/>
        <w:numPr>
          <w:ilvl w:val="0"/>
          <w:numId w:val="262"/>
        </w:numPr>
        <w:spacing w:after="0" w:line="312" w:lineRule="auto"/>
        <w:ind w:left="426" w:hanging="426"/>
        <w:rPr>
          <w:rFonts w:cs="Arial"/>
          <w:szCs w:val="20"/>
        </w:rPr>
      </w:pPr>
      <w:r w:rsidRPr="00E00B35">
        <w:rPr>
          <w:rFonts w:cs="Arial"/>
          <w:szCs w:val="20"/>
        </w:rPr>
        <w:t xml:space="preserve">kolejne </w:t>
      </w:r>
      <w:r w:rsidRPr="00E00B35">
        <w:rPr>
          <w:szCs w:val="20"/>
        </w:rPr>
        <w:t>etapy</w:t>
      </w:r>
      <w:r w:rsidRPr="00E00B35">
        <w:rPr>
          <w:rFonts w:cs="Arial"/>
          <w:szCs w:val="20"/>
        </w:rPr>
        <w:t xml:space="preserve"> zabudowy mieszkaniowej – Osiedla Port Popowice, w tym: </w:t>
      </w:r>
    </w:p>
    <w:p w:rsidR="007A4D59" w:rsidRPr="00E00B35" w:rsidRDefault="00236534" w:rsidP="00E00B35">
      <w:pPr>
        <w:spacing w:after="0" w:line="312" w:lineRule="auto"/>
        <w:rPr>
          <w:rFonts w:cs="Arial"/>
          <w:color w:val="000000"/>
          <w:szCs w:val="20"/>
        </w:rPr>
      </w:pPr>
      <w:r w:rsidRPr="00E00B35">
        <w:rPr>
          <w:rFonts w:cs="Arial"/>
          <w:color w:val="000000"/>
          <w:szCs w:val="20"/>
        </w:rPr>
        <w:t>2</w:t>
      </w:r>
      <w:r w:rsidR="007A4D59" w:rsidRPr="00E00B35">
        <w:rPr>
          <w:rFonts w:cs="Arial"/>
          <w:color w:val="000000"/>
          <w:szCs w:val="20"/>
        </w:rPr>
        <w:t>. Port Popowice - etap III Budowa budynku mieszkalnego wielorodzinnego z lokalami usługowymi w parterze, garażem podziemnym oraz zagospodarowaniem terenu wraz z elementami małej architektury i zielenią przy zbiegu ulic Białowieskiej i Popowickiej we Wrocławiu,</w:t>
      </w:r>
    </w:p>
    <w:p w:rsidR="007A4D59" w:rsidRPr="00E00B35" w:rsidRDefault="00236534" w:rsidP="00E00B35">
      <w:pPr>
        <w:spacing w:after="0" w:line="312" w:lineRule="auto"/>
        <w:rPr>
          <w:rFonts w:cs="Arial"/>
          <w:color w:val="000000"/>
          <w:szCs w:val="20"/>
        </w:rPr>
      </w:pPr>
      <w:r w:rsidRPr="00E00B35">
        <w:rPr>
          <w:rFonts w:cs="Arial"/>
          <w:color w:val="000000"/>
          <w:szCs w:val="20"/>
        </w:rPr>
        <w:t>3</w:t>
      </w:r>
      <w:r w:rsidR="007A4D59" w:rsidRPr="00E00B35">
        <w:rPr>
          <w:rFonts w:cs="Arial"/>
          <w:color w:val="000000"/>
          <w:szCs w:val="20"/>
        </w:rPr>
        <w:t>. Budowa zespołu budynków mieszkalnych wielorodzinnych wraz z usługami, garażami podziemnymi oraz zagospodarowaniem terenu i niezbędną infrastrukturą techniczną na terenie dz. 3/15, i 7 AM-5 obręb Popowice,</w:t>
      </w:r>
    </w:p>
    <w:p w:rsidR="007A4D59" w:rsidRPr="00E00B35" w:rsidRDefault="00236534" w:rsidP="00E00B35">
      <w:pPr>
        <w:spacing w:after="0" w:line="312" w:lineRule="auto"/>
        <w:rPr>
          <w:rFonts w:cs="Arial"/>
          <w:color w:val="000000"/>
          <w:szCs w:val="20"/>
        </w:rPr>
      </w:pPr>
      <w:r w:rsidRPr="00E00B35">
        <w:rPr>
          <w:rFonts w:cs="Arial"/>
          <w:color w:val="000000"/>
          <w:szCs w:val="20"/>
        </w:rPr>
        <w:t>4</w:t>
      </w:r>
      <w:r w:rsidR="007A4D59" w:rsidRPr="00E00B35">
        <w:rPr>
          <w:rFonts w:cs="Arial"/>
          <w:color w:val="000000"/>
          <w:szCs w:val="20"/>
        </w:rPr>
        <w:t>. Budowa budynku mieszkalnego wielorodzinnego z usługami wbudowanymi wraz  z garażami podziemnymi oraz niezbędną infrastrukturą techniczną realizowaną na terenie dz. nr 3/15 i 5/13 AM 5 obręb Popowice,</w:t>
      </w:r>
    </w:p>
    <w:p w:rsidR="007A4D59" w:rsidRPr="00E00B35" w:rsidRDefault="00236534" w:rsidP="00E00B35">
      <w:pPr>
        <w:spacing w:after="0" w:line="312" w:lineRule="auto"/>
        <w:rPr>
          <w:rFonts w:cs="Arial"/>
          <w:color w:val="000000"/>
          <w:szCs w:val="20"/>
        </w:rPr>
      </w:pPr>
      <w:r w:rsidRPr="00E00B35">
        <w:rPr>
          <w:rFonts w:cs="Arial"/>
          <w:color w:val="000000"/>
          <w:szCs w:val="20"/>
        </w:rPr>
        <w:lastRenderedPageBreak/>
        <w:t>5</w:t>
      </w:r>
      <w:r w:rsidR="007A4D59" w:rsidRPr="00E00B35">
        <w:rPr>
          <w:rFonts w:cs="Arial"/>
          <w:color w:val="000000"/>
          <w:szCs w:val="20"/>
        </w:rPr>
        <w:t>. Zagospodarowanie obszaru basenu portowego wraz z towarzyszącą infrastrukturą techniczną na terenie realizacji inwestycji Port Popowice we Wrocławiu przy ul. Popowickiej i Białowieskiej,</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Zespół zabudowy mieszkaniowej wielorodzinnej z garażami podziemnymi dz. nr 9/3, AM-9, obręb Jagodno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Budowa zespołu budynków mieszkalnych, wielorodzinnych z usługami w parterze (w częściach niektórych budynków) wraz z garażami podziemnymi, z parkingami naziemnymi, wewnętrznym układem komunikacyjnym, instalacjami wewnętrznymi, infrastrukturą techniczną oraz zagospodarowaniem terenu „A” na części dz. nr 18/1 obręb Stare Miasto wraz ze zjazdami na części działek 30/2 oraz 9/1 obręb Stare Miasto, przy ul. Kolejowej i Prostej we Wrocławiu,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Budowa zespołu ośmiu budynków hotelowych wraz z budynkiem handlowo-usługowym i niezbędną infrastrukturą techniczną realizowanych na działkach nr: 5/35, 5/36, 5/37 AM 20 obręb Oporów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Zespół mieszkaniowy z usługami wbudowanymi przy ul. Aptekarskiej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Zespół budynków mieszkalnych wielorodzinnych wraz z niezbędnymi urządzeniami infrastruktury technicznej przy ul. Herbsta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Zespół budynków biurowo-usługowych z garażami podziemnymi, projektowanym zagospodarowaniem terenu oraz elementami infrastruktury technicznej przy ul. Przyjaźni/Karkonoskiej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Budowa zespołu dwóch budynków mieszkalnych - wielorodzinnych z zagospodarowaniem terenu, drogami wewnętrznymi, chodnikami, ciągami pieszo-jezdnymi i miejscami postojowymi, trenami zielonymi, placem zabaw i instalacjami podziemnymi ul. Grodzieńska/ Nowogródzka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Budynki mieszkalne wielorodzinne L5, L6, L7, L8 z garażami wbudowanymi, lokalami usługowymi w parterze budynku L5 i zagospodarowaniem terenu oraz infrastrukturą techniczną przy ul. Awicenny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Budowa zespołu budynków jednorodzinnych wraz z zagospodarowaniem terenu i infrastrukturą techniczną przy ul. Asfaltowej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Budowa budynku zamieszkania zbiorowego wraz z lokalami usługowymi w poziomie przyziemia oraz garażem podziemnym i infrastrukturą techniczną dz. nr 1/8 AM 9 obręb Zalesie,</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Budowa zespołu pięciu budynków mieszkalnych wielorodzinnych z garażami podziemnymi i niezbędną infrastrukturą techniczną przy ul. Asfaltowej we Wrocławiu,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Budowa dwóch budynków hotelowo - usługowych wraz z zagospodarowaniem terenu oraz infrastrukturą techniczną przy ul. Lotniczej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Zespół trzech budynków mieszkalnych wielorodzinnych wraz z garażami podziemnymi i niezbędną infrastrukturą techniczną we Wrocławiu na dz. nr 44/2, 44/3, 44/4, 46/1, 48/1, 53/1, AM-26 obręb Brochów.</w:t>
      </w:r>
    </w:p>
    <w:p w:rsidR="007A4D59" w:rsidRPr="00E00B35" w:rsidRDefault="007A4D59" w:rsidP="00E00B35">
      <w:pPr>
        <w:tabs>
          <w:tab w:val="left" w:pos="284"/>
        </w:tabs>
        <w:spacing w:after="0" w:line="312" w:lineRule="auto"/>
        <w:rPr>
          <w:rFonts w:cs="Arial"/>
          <w:b/>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lastRenderedPageBreak/>
        <w:t>Inwestycje związane z budową i przebudową instalacji/obiektów m.in.:</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Instalacja do wtórnego wytopu cyny i ołowiu oraz ich stopów w postaci spoiw lutowniczych  i stopów odlewniczych wraz z przetwarzaniem odpadów - MBO Solder  Polska Sp. z o.o. na dz. nr 2/100 AM 22 obręb Grabiszyn,</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Rozbudowa i modernizacja instalacji do produkcji siarczanu magnezu i azotanu magnezu oraz budowa dodatkowego zbiornika magazynowego kwasu azotowego  na terenie Zakładów Chemicznych "Złotniki" S.A. we Wrocławiu przy ul. Żwirowej 73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Rozbudowa i modernizacja instalacji do produkcji siarczanu magnezu i azotanu magnezu oraz budowa dodatkowego zbiornika magazynowego kw. azotowego na terenie Zakładów Chemicznych "Złotniki" S.A. we Wrocławiu przy ul. Żwirowej 73 we Wrocławiu</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Budowa instalacji do dystrybucji produktów naftowych, na projektowanej stacji paliw LOTOS przy ul. Bystrzyckiej we Wrocławiu.</w:t>
      </w:r>
    </w:p>
    <w:p w:rsidR="00236534" w:rsidRPr="00E00B35" w:rsidRDefault="00236534" w:rsidP="00E00B35">
      <w:pPr>
        <w:spacing w:after="0" w:line="312" w:lineRule="auto"/>
        <w:rPr>
          <w:rFonts w:cs="Verdana"/>
          <w:b/>
          <w:color w:val="000000"/>
          <w:szCs w:val="20"/>
        </w:rPr>
      </w:pPr>
    </w:p>
    <w:p w:rsidR="007A4D59" w:rsidRPr="00E00B35" w:rsidRDefault="00236534" w:rsidP="00E00B35">
      <w:pPr>
        <w:spacing w:after="0" w:line="312" w:lineRule="auto"/>
        <w:rPr>
          <w:rFonts w:cs="Arial"/>
          <w:szCs w:val="20"/>
        </w:rPr>
      </w:pPr>
      <w:r w:rsidRPr="00E00B35">
        <w:rPr>
          <w:rFonts w:cs="Arial"/>
          <w:szCs w:val="20"/>
        </w:rPr>
        <w:t>S</w:t>
      </w:r>
      <w:r w:rsidR="007A4D59" w:rsidRPr="00E00B35">
        <w:rPr>
          <w:rFonts w:cs="Arial"/>
          <w:szCs w:val="20"/>
        </w:rPr>
        <w:t xml:space="preserve">ieci wodociągowe, kanalizacyjne, ciepłownicze i gazowe m.in.: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Budowa sieci kanalizacji sanitarnej na osiedlu Kłokoczyce etap I we Wrocławiu,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Budowa sieci ciepłowniczej Sołtysowice/Karłowice,</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 xml:space="preserve">Rozbiórka istniejącej stacji gazowej podwyższonego  średniego ciśnienia oraz budowa stacji gazowej redukcyjno - pomiarowej podwyższonego średniego ciśnienia o przepustowości Q 5000 Nm3/h wraz z zasilaniem elektroenergetycznym, instalacją elektroenergetyczną, oświetleniową, AKPiA, uziemienia, odgromową, zagospodarowaniem terenu oraz niezbędną infrastrukturą techniczną we Wrocławiu na dz. nr 22/2, 66/6, 66/7, 66/8, 66/9, 66/10, 66/11, AM-6, dz. nr 1, AM-7 obręb Ratyń,  </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Budowa sieci ciepłowniczej w technologii preizolowanej o średnicy 2x323,3/450mm-2x219,1/315 o długości ok.2800 m (od wpięcia do komory w rejonie ul. Klecińskiej wzdłuż torów kolejowych, w kierunku ul. Awicenny).</w:t>
      </w:r>
    </w:p>
    <w:p w:rsidR="00236534" w:rsidRPr="00E00B35" w:rsidRDefault="00236534" w:rsidP="00E00B35">
      <w:pPr>
        <w:spacing w:after="0" w:line="312" w:lineRule="auto"/>
        <w:rPr>
          <w:szCs w:val="20"/>
        </w:rPr>
      </w:pPr>
    </w:p>
    <w:p w:rsidR="007A4D59" w:rsidRPr="00E00B35" w:rsidRDefault="00236534" w:rsidP="00E00B35">
      <w:pPr>
        <w:spacing w:after="0" w:line="312" w:lineRule="auto"/>
        <w:rPr>
          <w:color w:val="000000"/>
          <w:szCs w:val="20"/>
        </w:rPr>
      </w:pPr>
      <w:r w:rsidRPr="00E00B35">
        <w:rPr>
          <w:color w:val="000000"/>
          <w:szCs w:val="20"/>
        </w:rPr>
        <w:t>W</w:t>
      </w:r>
      <w:r w:rsidR="007A4D59" w:rsidRPr="00E00B35">
        <w:rPr>
          <w:color w:val="000000"/>
          <w:szCs w:val="20"/>
        </w:rPr>
        <w:t xml:space="preserve"> zakresie gospodarki odpadami m.in.:</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Organizacja punktu zbierania odpadów przy ul. Gazowej,</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Uruchomienie zakładu zbierania odpadów we Wrocławiu przy ul. Ołbińskiej 27, dz. nr 14/3 AM-3 obręb Kleczków,</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Przetwórstwo odpadów z tworzyw sztucznych na dz. nr 2/24, 2/46, 2/19 AM 18 obręb Kowale,</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Organizacja punktu zbierania odpadów wymagających uzyskania zezwolenia na zbieranie odpadów na terenie działki 65/2, AM-11, obręb Zakrzów,</w:t>
      </w:r>
    </w:p>
    <w:p w:rsidR="007A4D59" w:rsidRPr="00E00B35" w:rsidRDefault="007A4D59" w:rsidP="00BC64AB">
      <w:pPr>
        <w:pStyle w:val="Akapitzlist"/>
        <w:numPr>
          <w:ilvl w:val="0"/>
          <w:numId w:val="262"/>
        </w:numPr>
        <w:spacing w:after="0" w:line="312" w:lineRule="auto"/>
        <w:ind w:left="426" w:hanging="426"/>
        <w:rPr>
          <w:szCs w:val="20"/>
        </w:rPr>
      </w:pPr>
      <w:r w:rsidRPr="00E00B35">
        <w:rPr>
          <w:szCs w:val="20"/>
        </w:rPr>
        <w:t>Uruchomienie zakładu zbierania odpadów "EKOPLANET" Paweł Przybylski we Wrocławiu przy ul. Szczecińskiej 15-16.</w:t>
      </w:r>
    </w:p>
    <w:p w:rsidR="007A4D59" w:rsidRPr="00E00B35" w:rsidRDefault="007A4D59" w:rsidP="00E00B35">
      <w:pPr>
        <w:tabs>
          <w:tab w:val="left" w:pos="284"/>
        </w:tabs>
        <w:spacing w:after="0" w:line="312" w:lineRule="auto"/>
        <w:rPr>
          <w:rFonts w:cs="Arial"/>
          <w:color w:val="FF0000"/>
          <w:szCs w:val="20"/>
        </w:rPr>
      </w:pPr>
    </w:p>
    <w:p w:rsidR="007A4D59" w:rsidRPr="00E00B35" w:rsidRDefault="007A4D59" w:rsidP="00E00B35">
      <w:pPr>
        <w:spacing w:after="0" w:line="312" w:lineRule="auto"/>
        <w:rPr>
          <w:bCs/>
          <w:szCs w:val="20"/>
        </w:rPr>
      </w:pPr>
      <w:r w:rsidRPr="00E00B35">
        <w:rPr>
          <w:bCs/>
          <w:szCs w:val="20"/>
        </w:rPr>
        <w:t xml:space="preserve">W 2020 r. wpłynęły 2 odwołania od decyzji środowiskowych, w tym 1 decyzja została utrzymana w mocy, 1 decyzja uchylona i zmieniona przez SKO, Ponadto wpłynęły 2 </w:t>
      </w:r>
      <w:r w:rsidRPr="00E00B35">
        <w:rPr>
          <w:bCs/>
          <w:szCs w:val="20"/>
        </w:rPr>
        <w:lastRenderedPageBreak/>
        <w:t xml:space="preserve">zażalenia od postanowień, w tym 1 postanowienie zostało utrzymane w mocy, jedno uchylone i przekazane do ponownego rozpatrzenia. </w:t>
      </w:r>
    </w:p>
    <w:p w:rsidR="007A4D59" w:rsidRPr="00E00B35" w:rsidRDefault="007A4D59" w:rsidP="00E00B35">
      <w:pPr>
        <w:spacing w:after="0" w:line="312" w:lineRule="auto"/>
        <w:rPr>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Wypisy z miejscowych planów zagospodarowania przestrzennego</w:t>
      </w:r>
    </w:p>
    <w:p w:rsidR="007A4D59" w:rsidRPr="00E00B35" w:rsidRDefault="007A4D59" w:rsidP="00E00B35">
      <w:pPr>
        <w:spacing w:after="0" w:line="312" w:lineRule="auto"/>
        <w:rPr>
          <w:bCs/>
          <w:szCs w:val="20"/>
        </w:rPr>
      </w:pPr>
    </w:p>
    <w:p w:rsidR="007A4D59" w:rsidRPr="00E00B35" w:rsidRDefault="007A4D59" w:rsidP="00E00B35">
      <w:pPr>
        <w:spacing w:after="0" w:line="312" w:lineRule="auto"/>
        <w:rPr>
          <w:bCs/>
          <w:szCs w:val="20"/>
        </w:rPr>
      </w:pPr>
      <w:r w:rsidRPr="00E00B35">
        <w:rPr>
          <w:bCs/>
          <w:szCs w:val="20"/>
        </w:rPr>
        <w:t>W ramach postępowań o wydanie decyzji środowiskowych w celu stwierdzenia zgodności z miejscowymi planami zagospodarowania przestrzennego wydano:</w:t>
      </w:r>
    </w:p>
    <w:p w:rsidR="007A4D59" w:rsidRPr="00E00B35" w:rsidRDefault="007A4D59" w:rsidP="00E00B35">
      <w:pPr>
        <w:tabs>
          <w:tab w:val="left" w:pos="0"/>
        </w:tabs>
        <w:spacing w:after="0" w:line="312" w:lineRule="auto"/>
        <w:rPr>
          <w:szCs w:val="20"/>
        </w:rPr>
      </w:pPr>
      <w:r w:rsidRPr="00E00B35">
        <w:rPr>
          <w:szCs w:val="20"/>
        </w:rPr>
        <w:t xml:space="preserve">1. Wypisy i wyrysy z mpzp  w ilości 59   szt.   </w:t>
      </w:r>
    </w:p>
    <w:p w:rsidR="007A4D59" w:rsidRPr="00E00B35" w:rsidRDefault="007A4D59" w:rsidP="00E00B35">
      <w:pPr>
        <w:tabs>
          <w:tab w:val="left" w:pos="0"/>
        </w:tabs>
        <w:spacing w:after="0" w:line="312" w:lineRule="auto"/>
        <w:rPr>
          <w:szCs w:val="20"/>
        </w:rPr>
      </w:pPr>
      <w:r w:rsidRPr="00E00B35">
        <w:rPr>
          <w:szCs w:val="20"/>
        </w:rPr>
        <w:t>2. Zaświadczenia o braku mpzp w ilości 25   szt.</w:t>
      </w:r>
    </w:p>
    <w:p w:rsidR="007A4D59" w:rsidRPr="00E00B35" w:rsidRDefault="007A4D59" w:rsidP="00E00B35">
      <w:pPr>
        <w:spacing w:after="0" w:line="312" w:lineRule="auto"/>
        <w:rPr>
          <w:szCs w:val="20"/>
        </w:rPr>
      </w:pPr>
      <w:r w:rsidRPr="00E00B35">
        <w:rPr>
          <w:szCs w:val="20"/>
        </w:rPr>
        <w:t xml:space="preserve">Ponadto, na wnioski Biura Rozwoju Wrocławia,  udzielono  32 informacje do projektów mpzp. </w:t>
      </w:r>
    </w:p>
    <w:p w:rsidR="007A4D59" w:rsidRPr="00E00B35" w:rsidRDefault="007A4D59" w:rsidP="00E00B35">
      <w:pPr>
        <w:spacing w:after="0" w:line="312" w:lineRule="auto"/>
        <w:rPr>
          <w:b/>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Zestawienie analityczne z danych obejmujących wcześniejsze okresy sprawozdawcze odnośnie decyzji środowiskowych</w:t>
      </w:r>
    </w:p>
    <w:p w:rsidR="007A4D59" w:rsidRPr="00E00B35" w:rsidRDefault="007A4D59" w:rsidP="00E00B35">
      <w:pPr>
        <w:spacing w:after="0" w:line="312" w:lineRule="auto"/>
        <w:rPr>
          <w:b/>
          <w:bCs/>
          <w:szCs w:val="20"/>
        </w:rPr>
      </w:pPr>
    </w:p>
    <w:p w:rsidR="007A4D59" w:rsidRPr="00E00B35" w:rsidRDefault="007A4D59" w:rsidP="00E00B35">
      <w:pPr>
        <w:spacing w:after="0" w:line="312" w:lineRule="auto"/>
        <w:rPr>
          <w:bCs/>
          <w:szCs w:val="20"/>
        </w:rPr>
      </w:pPr>
      <w:r w:rsidRPr="00E00B35">
        <w:rPr>
          <w:bCs/>
          <w:szCs w:val="20"/>
        </w:rPr>
        <w:t>W roku 2016 przeprowadzono 277 postępowań dotyczących decyzji środowiskowych, wydano 73 decyzje środowiskowe oraz 96 postanowień o odmowie wszczęcia postępowania.W roku 2017 przeprowadzono 166 postępowań, wydano 74</w:t>
      </w:r>
      <w:r w:rsidRPr="00E00B35">
        <w:rPr>
          <w:szCs w:val="20"/>
        </w:rPr>
        <w:t xml:space="preserve"> decyzje środowiskowe, 17 postanowień o  odmowie wszczęcia postępowania. </w:t>
      </w:r>
      <w:r w:rsidRPr="00E00B35">
        <w:rPr>
          <w:bCs/>
          <w:szCs w:val="20"/>
        </w:rPr>
        <w:t>W roku 2018 przeprowadzono 194 postępowania, wydano 57 decyzji środowiskowych, 11 postanowień o odmowie wszczęcia postępowania.</w:t>
      </w:r>
    </w:p>
    <w:p w:rsidR="007A4D59" w:rsidRPr="00E00B35" w:rsidRDefault="007A4D59" w:rsidP="00E00B35">
      <w:pPr>
        <w:spacing w:after="0" w:line="312" w:lineRule="auto"/>
        <w:rPr>
          <w:szCs w:val="20"/>
        </w:rPr>
      </w:pPr>
      <w:r w:rsidRPr="00E00B35">
        <w:rPr>
          <w:szCs w:val="20"/>
        </w:rPr>
        <w:t xml:space="preserve">W roku 2019 przeprowadzono 181 postępowań dotyczących decyzji środowiskowych Łącznie wydano </w:t>
      </w:r>
      <w:r w:rsidRPr="00E00B35">
        <w:rPr>
          <w:bCs/>
          <w:szCs w:val="20"/>
        </w:rPr>
        <w:t>67</w:t>
      </w:r>
      <w:r w:rsidRPr="00E00B35">
        <w:rPr>
          <w:szCs w:val="20"/>
        </w:rPr>
        <w:t xml:space="preserve"> decyzji środowiskowych, 3 postanowienia o odmowie wszczęcia postępowania.</w:t>
      </w:r>
    </w:p>
    <w:p w:rsidR="007A4D59" w:rsidRPr="00E00B35" w:rsidRDefault="007A4D59" w:rsidP="00E00B35">
      <w:pPr>
        <w:spacing w:after="0" w:line="312" w:lineRule="auto"/>
        <w:rPr>
          <w:szCs w:val="20"/>
        </w:rPr>
      </w:pPr>
      <w:r w:rsidRPr="00E00B35">
        <w:rPr>
          <w:szCs w:val="20"/>
        </w:rPr>
        <w:t xml:space="preserve">W roku 2020 przeprowadzono 183 postępowania dotyczące decyzji środowiskowych, wydano 72 decyzje środowiskowe, 13 postanowień o odmowie wszczęcia postępowaniaW okresie do 1.01.2017 r.  dla postępowań, których wnioskodawcą była jednostka samorządu terytorialnego, dla której organem wykonawczym jest organ właściwy do wydania ww. decyzji, lub podmiot od niej zależny w rozumieniu art. 24m ust. 2 ustawy z dnia 8 marca 1990 o samorządzie gminnym (Dz. U. z 2018 r. poz. 994, 1000, 1349 i 1432), zwana dalej </w:t>
      </w:r>
      <w:r w:rsidRPr="00E00B35">
        <w:rPr>
          <w:i/>
          <w:szCs w:val="20"/>
        </w:rPr>
        <w:t>„jednostką samorządu</w:t>
      </w:r>
      <w:r w:rsidRPr="00E00B35">
        <w:rPr>
          <w:szCs w:val="20"/>
        </w:rPr>
        <w:t>” był wójt, burmistrz, prezydent.</w:t>
      </w:r>
    </w:p>
    <w:p w:rsidR="007A4D59" w:rsidRPr="00E00B35" w:rsidRDefault="007A4D59" w:rsidP="00E00B35">
      <w:pPr>
        <w:spacing w:after="0" w:line="312" w:lineRule="auto"/>
        <w:rPr>
          <w:szCs w:val="20"/>
        </w:rPr>
      </w:pPr>
      <w:r w:rsidRPr="00E00B35">
        <w:rPr>
          <w:szCs w:val="20"/>
        </w:rPr>
        <w:t>Na podstawie art. 75 ust. 1 pkt 1 lit. b i l ustawy  z dnia 9 października 2015 r. o zmianie ustawy ooś oraz niektórych innych ustaw, Dz. U. z 2015 r. poz. 1936, 2171), od</w:t>
      </w:r>
      <w:r w:rsidRPr="00E00B35">
        <w:rPr>
          <w:szCs w:val="20"/>
          <w:u w:val="single"/>
        </w:rPr>
        <w:t xml:space="preserve"> </w:t>
      </w:r>
      <w:r w:rsidRPr="00E00B35">
        <w:rPr>
          <w:szCs w:val="20"/>
        </w:rPr>
        <w:t>1.01.2017r. dla postępowań, których wnioskodawcą była jednostka samorządu oraz przedsięwzięć znajdujących się na terenach zamkniętych właściwym był Regionalny Dyrektor Ochrony Środowiska.</w:t>
      </w:r>
    </w:p>
    <w:p w:rsidR="007A4D59" w:rsidRPr="00E00B35" w:rsidRDefault="007A4D59" w:rsidP="00E00B35">
      <w:pPr>
        <w:spacing w:after="0" w:line="312" w:lineRule="auto"/>
        <w:rPr>
          <w:szCs w:val="20"/>
        </w:rPr>
      </w:pPr>
      <w:r w:rsidRPr="00E00B35">
        <w:rPr>
          <w:szCs w:val="20"/>
        </w:rPr>
        <w:t xml:space="preserve">W związku z wejściem w życie z dniem 24 września 2019r. ustawy z dnia 19 lipca 2019 r. o zmianie ustawy o udostępnianiu informacji o środowisku i jego ochronie, udziale społeczeństwa w ochronie środowiska oraz o ocenach oddziaływania na środowisko oraz niektórych innych ustaw (Dz. U. z 2019r. poz. 1712), zwanej dalej: „ustawą zmieniającą” ponownie zmieniły się kompetencje wójtów, burmistrzów, prezydentów w sprawie wydawania decyzji środowiskowych. </w:t>
      </w:r>
    </w:p>
    <w:p w:rsidR="007A4D59" w:rsidRPr="00E00B35" w:rsidRDefault="007A4D59" w:rsidP="00E00B35">
      <w:pPr>
        <w:spacing w:after="0" w:line="312" w:lineRule="auto"/>
        <w:rPr>
          <w:szCs w:val="20"/>
        </w:rPr>
      </w:pPr>
      <w:r w:rsidRPr="00E00B35">
        <w:rPr>
          <w:szCs w:val="20"/>
        </w:rPr>
        <w:lastRenderedPageBreak/>
        <w:t>Zgodnie z art. 1 pkt 19 ustawy zmieniającej, wójt, burmistrz, prezydent jest właściwy dla:  przedsięwzięć zlokalizowanych na terenach zamkniętych (z wyłączeniem inwestycji w zakresie linii kolejowych i ustalonych przez MON),- postępowań, których wnioskodawcą jest jednostka samorządu.W związku z powyższym, występują rozbieżności w ilości prowadzonych postępowań oraz wydanych decyzji środowiskowych. Rozbieżności te najbardziej są widoczne w latach 2016 i 2018. W roku 2016 przeprowadzono</w:t>
      </w:r>
      <w:r w:rsidRPr="00E00B35">
        <w:rPr>
          <w:bCs/>
          <w:szCs w:val="20"/>
        </w:rPr>
        <w:t xml:space="preserve"> 277 postępowań dotyczących decyzji środowiskowych, wydano 73 decyzje środowiskowe oraz 96 postanowień o odmowie wszczęcia postępowania. </w:t>
      </w:r>
    </w:p>
    <w:p w:rsidR="007A4D59" w:rsidRPr="00E00B35" w:rsidRDefault="007A4D59" w:rsidP="00E00B35">
      <w:pPr>
        <w:spacing w:after="0" w:line="312" w:lineRule="auto"/>
        <w:rPr>
          <w:bCs/>
          <w:szCs w:val="20"/>
        </w:rPr>
      </w:pPr>
      <w:r w:rsidRPr="00E00B35">
        <w:rPr>
          <w:bCs/>
          <w:szCs w:val="20"/>
        </w:rPr>
        <w:t>Natomiast w roku 2018 przeprowadzono 194 postępowania, wydano 57 decyzji środowiskowych, 11 postanowień o odmowie wszczęcia postępowania.W związku z powyższą zmianą przepisów, w kolejnych latach przewiduje się wzrost ilości postępowań oraz decyzji środowiskowych wydawanych w imieniu Prezydenta Wrocławia.</w:t>
      </w:r>
    </w:p>
    <w:p w:rsidR="007A4D59" w:rsidRPr="00E00B35" w:rsidRDefault="007A4D59" w:rsidP="00E00B35">
      <w:pPr>
        <w:spacing w:after="0" w:line="312" w:lineRule="auto"/>
        <w:rPr>
          <w:bCs/>
          <w:szCs w:val="20"/>
        </w:rPr>
      </w:pPr>
      <w:r w:rsidRPr="00E00B35">
        <w:rPr>
          <w:bCs/>
          <w:szCs w:val="20"/>
        </w:rPr>
        <w:t>W roku 2020 przeprowadzono podobną ilość postępowań jak w roku 2019. W tym okresie nie zmieniły się przepisy związane z kompetencjami organów odnośnie wydawania decyzji środowiskowych.</w:t>
      </w:r>
    </w:p>
    <w:p w:rsidR="007A4D59" w:rsidRPr="00E00B35" w:rsidRDefault="007A4D59" w:rsidP="00E00B35">
      <w:pPr>
        <w:spacing w:after="0" w:line="312" w:lineRule="auto"/>
        <w:rPr>
          <w:bCs/>
          <w:szCs w:val="20"/>
        </w:rPr>
      </w:pPr>
    </w:p>
    <w:p w:rsidR="007A4D59" w:rsidRPr="00E00B35" w:rsidRDefault="007A4D59" w:rsidP="00E00B35">
      <w:pPr>
        <w:pStyle w:val="Nagwek3"/>
        <w:spacing w:after="0" w:line="312" w:lineRule="auto"/>
        <w:rPr>
          <w:b w:val="0"/>
          <w:sz w:val="20"/>
        </w:rPr>
      </w:pPr>
      <w:bookmarkStart w:id="783" w:name="_Toc71032654"/>
      <w:bookmarkStart w:id="784" w:name="_Toc71034629"/>
      <w:r w:rsidRPr="00E00B35">
        <w:rPr>
          <w:b w:val="0"/>
          <w:sz w:val="20"/>
        </w:rPr>
        <w:t>OCHRONA TERENÓW ZIELENI I ZADRZEWIEŃ</w:t>
      </w:r>
      <w:bookmarkEnd w:id="783"/>
      <w:bookmarkEnd w:id="784"/>
    </w:p>
    <w:p w:rsidR="007A4D59" w:rsidRPr="00E00B35" w:rsidRDefault="007A4D59" w:rsidP="00E00B35">
      <w:pPr>
        <w:pStyle w:val="Zwykytekst"/>
        <w:spacing w:after="0" w:line="312" w:lineRule="auto"/>
        <w:rPr>
          <w:rFonts w:ascii="Verdana" w:hAnsi="Verdana"/>
          <w:bCs/>
        </w:rPr>
      </w:pPr>
    </w:p>
    <w:p w:rsidR="007A4D59" w:rsidRPr="00E00B35" w:rsidRDefault="007A4D59" w:rsidP="00E00B35">
      <w:pPr>
        <w:pStyle w:val="Nagwek4"/>
        <w:spacing w:before="0" w:after="0" w:line="312" w:lineRule="auto"/>
        <w:rPr>
          <w:b w:val="0"/>
          <w:sz w:val="20"/>
          <w:szCs w:val="20"/>
        </w:rPr>
      </w:pPr>
      <w:r w:rsidRPr="00E00B35">
        <w:rPr>
          <w:b w:val="0"/>
          <w:sz w:val="20"/>
          <w:szCs w:val="20"/>
        </w:rPr>
        <w:t>Sumaryczne zestawienie danych ilościowych w zakresie czynności zrealizowanych w Dziale w 2020r.</w:t>
      </w:r>
    </w:p>
    <w:tbl>
      <w:tblPr>
        <w:tblW w:w="49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4"/>
        <w:gridCol w:w="2550"/>
      </w:tblGrid>
      <w:tr w:rsidR="007A4D59" w:rsidRPr="00E00B35" w:rsidTr="006D3493">
        <w:tc>
          <w:tcPr>
            <w:tcW w:w="3616" w:type="pct"/>
            <w:vAlign w:val="center"/>
          </w:tcPr>
          <w:p w:rsidR="007A4D59" w:rsidRPr="00E00B35" w:rsidRDefault="007A4D59" w:rsidP="00E00B35">
            <w:pPr>
              <w:spacing w:after="0" w:line="312" w:lineRule="auto"/>
              <w:rPr>
                <w:szCs w:val="20"/>
              </w:rPr>
            </w:pPr>
            <w:r w:rsidRPr="00E00B35">
              <w:rPr>
                <w:szCs w:val="20"/>
              </w:rPr>
              <w:t xml:space="preserve">przydzielonych pism wg EOD </w:t>
            </w:r>
          </w:p>
        </w:tc>
        <w:tc>
          <w:tcPr>
            <w:tcW w:w="1384" w:type="pct"/>
            <w:vAlign w:val="center"/>
          </w:tcPr>
          <w:p w:rsidR="007A4D59" w:rsidRPr="00E00B35" w:rsidRDefault="007A4D59" w:rsidP="00E00B35">
            <w:pPr>
              <w:spacing w:after="0" w:line="312" w:lineRule="auto"/>
              <w:rPr>
                <w:szCs w:val="20"/>
              </w:rPr>
            </w:pPr>
            <w:r w:rsidRPr="00E00B35">
              <w:rPr>
                <w:szCs w:val="20"/>
              </w:rPr>
              <w:t>4 462</w:t>
            </w:r>
          </w:p>
        </w:tc>
      </w:tr>
      <w:tr w:rsidR="007A4D59" w:rsidRPr="00E00B35" w:rsidTr="006D3493">
        <w:tc>
          <w:tcPr>
            <w:tcW w:w="3616" w:type="pct"/>
            <w:vAlign w:val="center"/>
          </w:tcPr>
          <w:p w:rsidR="007A4D59" w:rsidRPr="00E00B35" w:rsidRDefault="007A4D59" w:rsidP="00E00B35">
            <w:pPr>
              <w:spacing w:after="0" w:line="312" w:lineRule="auto"/>
              <w:rPr>
                <w:szCs w:val="20"/>
              </w:rPr>
            </w:pPr>
            <w:r w:rsidRPr="00E00B35">
              <w:rPr>
                <w:szCs w:val="20"/>
              </w:rPr>
              <w:t>wszczętych postępowań administracyjnych</w:t>
            </w:r>
          </w:p>
        </w:tc>
        <w:tc>
          <w:tcPr>
            <w:tcW w:w="1384" w:type="pct"/>
            <w:vAlign w:val="center"/>
          </w:tcPr>
          <w:p w:rsidR="007A4D59" w:rsidRPr="00E00B35" w:rsidRDefault="007A4D59" w:rsidP="00E00B35">
            <w:pPr>
              <w:spacing w:after="0" w:line="312" w:lineRule="auto"/>
              <w:rPr>
                <w:szCs w:val="20"/>
                <w:highlight w:val="yellow"/>
              </w:rPr>
            </w:pPr>
            <w:r w:rsidRPr="00E00B35">
              <w:rPr>
                <w:szCs w:val="20"/>
              </w:rPr>
              <w:t>3 079</w:t>
            </w:r>
          </w:p>
        </w:tc>
      </w:tr>
      <w:tr w:rsidR="007A4D59" w:rsidRPr="00E00B35" w:rsidTr="006D3493">
        <w:tc>
          <w:tcPr>
            <w:tcW w:w="3616" w:type="pct"/>
            <w:vAlign w:val="center"/>
          </w:tcPr>
          <w:p w:rsidR="007A4D59" w:rsidRPr="00E00B35" w:rsidRDefault="007A4D59" w:rsidP="00E00B35">
            <w:pPr>
              <w:spacing w:after="0" w:line="312" w:lineRule="auto"/>
              <w:rPr>
                <w:szCs w:val="20"/>
              </w:rPr>
            </w:pPr>
            <w:r w:rsidRPr="00E00B35">
              <w:rPr>
                <w:szCs w:val="20"/>
              </w:rPr>
              <w:t xml:space="preserve">wydanych decyzji administracyjnych </w:t>
            </w:r>
          </w:p>
        </w:tc>
        <w:tc>
          <w:tcPr>
            <w:tcW w:w="1384" w:type="pct"/>
            <w:vAlign w:val="center"/>
          </w:tcPr>
          <w:p w:rsidR="007A4D59" w:rsidRPr="00E00B35" w:rsidRDefault="007A4D59" w:rsidP="00E00B35">
            <w:pPr>
              <w:spacing w:after="0" w:line="312" w:lineRule="auto"/>
              <w:rPr>
                <w:szCs w:val="20"/>
              </w:rPr>
            </w:pPr>
            <w:r w:rsidRPr="00E00B35">
              <w:rPr>
                <w:szCs w:val="20"/>
              </w:rPr>
              <w:t>843</w:t>
            </w:r>
          </w:p>
        </w:tc>
      </w:tr>
      <w:tr w:rsidR="007A4D59" w:rsidRPr="00E00B35" w:rsidTr="006D3493">
        <w:tc>
          <w:tcPr>
            <w:tcW w:w="3616" w:type="pct"/>
            <w:vAlign w:val="center"/>
          </w:tcPr>
          <w:p w:rsidR="007A4D59" w:rsidRPr="00E00B35" w:rsidRDefault="007A4D59" w:rsidP="00E00B35">
            <w:pPr>
              <w:spacing w:after="0" w:line="312" w:lineRule="auto"/>
              <w:rPr>
                <w:szCs w:val="20"/>
              </w:rPr>
            </w:pPr>
            <w:r w:rsidRPr="00E00B35">
              <w:rPr>
                <w:szCs w:val="20"/>
              </w:rPr>
              <w:t>pism przychodzących w uzupełnieniu wniosków</w:t>
            </w:r>
          </w:p>
        </w:tc>
        <w:tc>
          <w:tcPr>
            <w:tcW w:w="1384" w:type="pct"/>
            <w:vAlign w:val="center"/>
          </w:tcPr>
          <w:p w:rsidR="007A4D59" w:rsidRPr="00E00B35" w:rsidRDefault="007A4D59" w:rsidP="00E00B35">
            <w:pPr>
              <w:spacing w:after="0" w:line="312" w:lineRule="auto"/>
              <w:rPr>
                <w:szCs w:val="20"/>
              </w:rPr>
            </w:pPr>
            <w:r w:rsidRPr="00E00B35">
              <w:rPr>
                <w:szCs w:val="20"/>
              </w:rPr>
              <w:t>794</w:t>
            </w:r>
          </w:p>
        </w:tc>
      </w:tr>
      <w:tr w:rsidR="007A4D59" w:rsidRPr="00E00B35" w:rsidTr="006D3493">
        <w:trPr>
          <w:trHeight w:val="376"/>
        </w:trPr>
        <w:tc>
          <w:tcPr>
            <w:tcW w:w="3616" w:type="pct"/>
            <w:vAlign w:val="center"/>
          </w:tcPr>
          <w:p w:rsidR="007A4D59" w:rsidRPr="00E00B35" w:rsidRDefault="007A4D59" w:rsidP="00E00B35">
            <w:pPr>
              <w:spacing w:after="0" w:line="312" w:lineRule="auto"/>
              <w:rPr>
                <w:szCs w:val="20"/>
              </w:rPr>
            </w:pPr>
            <w:r w:rsidRPr="00E00B35">
              <w:rPr>
                <w:szCs w:val="20"/>
              </w:rPr>
              <w:t xml:space="preserve">pism pośrednich wychodzących w sprawach </w:t>
            </w:r>
          </w:p>
        </w:tc>
        <w:tc>
          <w:tcPr>
            <w:tcW w:w="1384" w:type="pct"/>
            <w:vAlign w:val="center"/>
          </w:tcPr>
          <w:p w:rsidR="007A4D59" w:rsidRPr="00E00B35" w:rsidRDefault="007A4D59" w:rsidP="00E00B35">
            <w:pPr>
              <w:spacing w:after="0" w:line="312" w:lineRule="auto"/>
              <w:rPr>
                <w:szCs w:val="20"/>
              </w:rPr>
            </w:pPr>
            <w:r w:rsidRPr="00E00B35">
              <w:rPr>
                <w:szCs w:val="20"/>
              </w:rPr>
              <w:t>944</w:t>
            </w:r>
          </w:p>
        </w:tc>
      </w:tr>
      <w:tr w:rsidR="007A4D59" w:rsidRPr="00E00B35" w:rsidTr="006D3493">
        <w:trPr>
          <w:trHeight w:val="266"/>
        </w:trPr>
        <w:tc>
          <w:tcPr>
            <w:tcW w:w="3616" w:type="pct"/>
            <w:vAlign w:val="center"/>
          </w:tcPr>
          <w:p w:rsidR="007A4D59" w:rsidRPr="00E00B35" w:rsidRDefault="007A4D59" w:rsidP="00E00B35">
            <w:pPr>
              <w:spacing w:after="0" w:line="312" w:lineRule="auto"/>
              <w:rPr>
                <w:szCs w:val="20"/>
              </w:rPr>
            </w:pPr>
            <w:r w:rsidRPr="00E00B35">
              <w:rPr>
                <w:szCs w:val="20"/>
              </w:rPr>
              <w:t>wydanych opinii</w:t>
            </w:r>
          </w:p>
        </w:tc>
        <w:tc>
          <w:tcPr>
            <w:tcW w:w="1384" w:type="pct"/>
            <w:vAlign w:val="center"/>
          </w:tcPr>
          <w:p w:rsidR="007A4D59" w:rsidRPr="00E00B35" w:rsidRDefault="007A4D59" w:rsidP="00E00B35">
            <w:pPr>
              <w:spacing w:after="0" w:line="312" w:lineRule="auto"/>
              <w:rPr>
                <w:szCs w:val="20"/>
              </w:rPr>
            </w:pPr>
            <w:r w:rsidRPr="00E00B35">
              <w:rPr>
                <w:szCs w:val="20"/>
              </w:rPr>
              <w:t>89</w:t>
            </w:r>
          </w:p>
        </w:tc>
      </w:tr>
      <w:tr w:rsidR="007A4D59" w:rsidRPr="00E00B35" w:rsidTr="006D3493">
        <w:tc>
          <w:tcPr>
            <w:tcW w:w="3616" w:type="pct"/>
            <w:vAlign w:val="center"/>
          </w:tcPr>
          <w:p w:rsidR="007A4D59" w:rsidRPr="00E00B35" w:rsidRDefault="007A4D59" w:rsidP="00E00B35">
            <w:pPr>
              <w:spacing w:after="0" w:line="312" w:lineRule="auto"/>
              <w:rPr>
                <w:szCs w:val="20"/>
              </w:rPr>
            </w:pPr>
            <w:r w:rsidRPr="00E00B35">
              <w:rPr>
                <w:szCs w:val="20"/>
              </w:rPr>
              <w:t>wydanych zaświadczeń</w:t>
            </w:r>
          </w:p>
        </w:tc>
        <w:tc>
          <w:tcPr>
            <w:tcW w:w="1384" w:type="pct"/>
            <w:vAlign w:val="center"/>
          </w:tcPr>
          <w:p w:rsidR="007A4D59" w:rsidRPr="00E00B35" w:rsidRDefault="007A4D59" w:rsidP="00E00B35">
            <w:pPr>
              <w:spacing w:after="0" w:line="312" w:lineRule="auto"/>
              <w:rPr>
                <w:szCs w:val="20"/>
              </w:rPr>
            </w:pPr>
            <w:r w:rsidRPr="00E00B35">
              <w:rPr>
                <w:szCs w:val="20"/>
              </w:rPr>
              <w:t>1 581</w:t>
            </w:r>
          </w:p>
        </w:tc>
      </w:tr>
      <w:tr w:rsidR="007A4D59" w:rsidRPr="00E00B35" w:rsidTr="006D3493">
        <w:tc>
          <w:tcPr>
            <w:tcW w:w="3616" w:type="pct"/>
            <w:vAlign w:val="center"/>
          </w:tcPr>
          <w:p w:rsidR="007A4D59" w:rsidRPr="00E00B35" w:rsidRDefault="007A4D59" w:rsidP="00E00B35">
            <w:pPr>
              <w:spacing w:after="0" w:line="312" w:lineRule="auto"/>
              <w:rPr>
                <w:szCs w:val="20"/>
              </w:rPr>
            </w:pPr>
            <w:r w:rsidRPr="00E00B35">
              <w:rPr>
                <w:szCs w:val="20"/>
              </w:rPr>
              <w:t xml:space="preserve">wydanych postanowień </w:t>
            </w:r>
          </w:p>
        </w:tc>
        <w:tc>
          <w:tcPr>
            <w:tcW w:w="1384" w:type="pct"/>
            <w:vAlign w:val="center"/>
          </w:tcPr>
          <w:p w:rsidR="007A4D59" w:rsidRPr="00E00B35" w:rsidRDefault="007A4D59" w:rsidP="00E00B35">
            <w:pPr>
              <w:spacing w:after="0" w:line="312" w:lineRule="auto"/>
              <w:rPr>
                <w:szCs w:val="20"/>
              </w:rPr>
            </w:pPr>
            <w:r w:rsidRPr="00E00B35">
              <w:rPr>
                <w:szCs w:val="20"/>
              </w:rPr>
              <w:t>81</w:t>
            </w:r>
          </w:p>
        </w:tc>
      </w:tr>
      <w:tr w:rsidR="007A4D59" w:rsidRPr="00E00B35" w:rsidTr="006D3493">
        <w:tc>
          <w:tcPr>
            <w:tcW w:w="3616" w:type="pct"/>
            <w:vAlign w:val="center"/>
          </w:tcPr>
          <w:p w:rsidR="007A4D59" w:rsidRPr="00E00B35" w:rsidRDefault="007A4D59" w:rsidP="00E00B35">
            <w:pPr>
              <w:spacing w:after="0" w:line="312" w:lineRule="auto"/>
              <w:rPr>
                <w:szCs w:val="20"/>
              </w:rPr>
            </w:pPr>
            <w:r w:rsidRPr="00E00B35">
              <w:rPr>
                <w:szCs w:val="20"/>
              </w:rPr>
              <w:t>otrzymanych wiadomości e-mail (skrzynka Kierownika)</w:t>
            </w:r>
          </w:p>
        </w:tc>
        <w:tc>
          <w:tcPr>
            <w:tcW w:w="1384" w:type="pct"/>
            <w:vAlign w:val="center"/>
          </w:tcPr>
          <w:p w:rsidR="007A4D59" w:rsidRPr="00E00B35" w:rsidRDefault="007A4D59" w:rsidP="00E00B35">
            <w:pPr>
              <w:spacing w:after="0" w:line="312" w:lineRule="auto"/>
              <w:rPr>
                <w:szCs w:val="20"/>
              </w:rPr>
            </w:pPr>
            <w:r w:rsidRPr="00E00B35">
              <w:rPr>
                <w:szCs w:val="20"/>
              </w:rPr>
              <w:t>5 288</w:t>
            </w:r>
          </w:p>
        </w:tc>
      </w:tr>
      <w:tr w:rsidR="007A4D59" w:rsidRPr="00E00B35" w:rsidTr="006D3493">
        <w:tc>
          <w:tcPr>
            <w:tcW w:w="3616" w:type="pct"/>
            <w:vAlign w:val="center"/>
          </w:tcPr>
          <w:p w:rsidR="007A4D59" w:rsidRPr="00E00B35" w:rsidRDefault="007A4D59" w:rsidP="00E00B35">
            <w:pPr>
              <w:spacing w:after="0" w:line="312" w:lineRule="auto"/>
              <w:rPr>
                <w:szCs w:val="20"/>
              </w:rPr>
            </w:pPr>
            <w:r w:rsidRPr="00E00B35">
              <w:rPr>
                <w:szCs w:val="20"/>
              </w:rPr>
              <w:t>Interwencje</w:t>
            </w:r>
          </w:p>
        </w:tc>
        <w:tc>
          <w:tcPr>
            <w:tcW w:w="1384" w:type="pct"/>
            <w:vAlign w:val="center"/>
          </w:tcPr>
          <w:p w:rsidR="007A4D59" w:rsidRPr="00E00B35" w:rsidRDefault="007A4D59" w:rsidP="00E00B35">
            <w:pPr>
              <w:spacing w:after="0" w:line="312" w:lineRule="auto"/>
              <w:rPr>
                <w:szCs w:val="20"/>
              </w:rPr>
            </w:pPr>
            <w:r w:rsidRPr="00E00B35">
              <w:rPr>
                <w:szCs w:val="20"/>
              </w:rPr>
              <w:t>1 058</w:t>
            </w:r>
          </w:p>
        </w:tc>
      </w:tr>
      <w:tr w:rsidR="007A4D59" w:rsidRPr="00E00B35" w:rsidTr="006D3493">
        <w:tc>
          <w:tcPr>
            <w:tcW w:w="3616" w:type="pct"/>
            <w:vAlign w:val="center"/>
          </w:tcPr>
          <w:p w:rsidR="007A4D59" w:rsidRPr="00E00B35" w:rsidRDefault="007A4D59" w:rsidP="00E00B35">
            <w:pPr>
              <w:spacing w:after="0" w:line="312" w:lineRule="auto"/>
              <w:rPr>
                <w:szCs w:val="20"/>
              </w:rPr>
            </w:pPr>
            <w:r w:rsidRPr="00E00B35">
              <w:rPr>
                <w:rFonts w:cs="Arial"/>
                <w:szCs w:val="20"/>
              </w:rPr>
              <w:t>Kontrole realizacji postanowień decyzji</w:t>
            </w:r>
          </w:p>
        </w:tc>
        <w:tc>
          <w:tcPr>
            <w:tcW w:w="1384" w:type="pct"/>
            <w:vAlign w:val="center"/>
          </w:tcPr>
          <w:p w:rsidR="007A4D59" w:rsidRPr="00E00B35" w:rsidRDefault="007A4D59" w:rsidP="00E00B35">
            <w:pPr>
              <w:spacing w:after="0" w:line="312" w:lineRule="auto"/>
              <w:rPr>
                <w:szCs w:val="20"/>
                <w:highlight w:val="yellow"/>
              </w:rPr>
            </w:pPr>
            <w:r w:rsidRPr="00E00B35">
              <w:rPr>
                <w:szCs w:val="20"/>
              </w:rPr>
              <w:t>32</w:t>
            </w:r>
          </w:p>
        </w:tc>
      </w:tr>
      <w:tr w:rsidR="007A4D59" w:rsidRPr="00E00B35" w:rsidTr="006D3493">
        <w:tc>
          <w:tcPr>
            <w:tcW w:w="3616" w:type="pct"/>
            <w:vAlign w:val="center"/>
          </w:tcPr>
          <w:p w:rsidR="007A4D59" w:rsidRPr="00E00B35" w:rsidRDefault="007A4D59" w:rsidP="00E00B35">
            <w:pPr>
              <w:spacing w:after="0" w:line="312" w:lineRule="auto"/>
              <w:rPr>
                <w:rFonts w:cs="Arial"/>
                <w:szCs w:val="20"/>
              </w:rPr>
            </w:pPr>
            <w:r w:rsidRPr="00E00B35">
              <w:rPr>
                <w:rFonts w:cs="Arial"/>
                <w:szCs w:val="20"/>
              </w:rPr>
              <w:t>Kontrole w terenie – gospodarka i leśna</w:t>
            </w:r>
          </w:p>
        </w:tc>
        <w:tc>
          <w:tcPr>
            <w:tcW w:w="1384" w:type="pct"/>
            <w:vAlign w:val="center"/>
          </w:tcPr>
          <w:p w:rsidR="007A4D59" w:rsidRPr="00E00B35" w:rsidRDefault="007A4D59" w:rsidP="00E00B35">
            <w:pPr>
              <w:spacing w:after="0" w:line="312" w:lineRule="auto"/>
              <w:rPr>
                <w:szCs w:val="20"/>
              </w:rPr>
            </w:pPr>
            <w:r w:rsidRPr="00E00B35">
              <w:rPr>
                <w:szCs w:val="20"/>
              </w:rPr>
              <w:t>4</w:t>
            </w:r>
          </w:p>
        </w:tc>
      </w:tr>
      <w:tr w:rsidR="007A4D59" w:rsidRPr="00E00B35" w:rsidTr="006D3493">
        <w:tc>
          <w:tcPr>
            <w:tcW w:w="3616" w:type="pct"/>
            <w:vAlign w:val="center"/>
          </w:tcPr>
          <w:p w:rsidR="007A4D59" w:rsidRPr="00E00B35" w:rsidRDefault="007A4D59" w:rsidP="00E00B35">
            <w:pPr>
              <w:spacing w:after="0" w:line="312" w:lineRule="auto"/>
              <w:rPr>
                <w:rFonts w:cs="Arial"/>
                <w:szCs w:val="20"/>
              </w:rPr>
            </w:pPr>
            <w:r w:rsidRPr="00E00B35">
              <w:rPr>
                <w:rFonts w:cs="Arial"/>
                <w:szCs w:val="20"/>
              </w:rPr>
              <w:t>Liczba wydanych świadectw legalności pozyskania drewna</w:t>
            </w:r>
          </w:p>
        </w:tc>
        <w:tc>
          <w:tcPr>
            <w:tcW w:w="1384" w:type="pct"/>
            <w:vAlign w:val="center"/>
          </w:tcPr>
          <w:p w:rsidR="007A4D59" w:rsidRPr="00E00B35" w:rsidRDefault="007A4D59" w:rsidP="00E00B35">
            <w:pPr>
              <w:spacing w:after="0" w:line="312" w:lineRule="auto"/>
              <w:rPr>
                <w:szCs w:val="20"/>
              </w:rPr>
            </w:pPr>
            <w:r w:rsidRPr="00E00B35">
              <w:rPr>
                <w:szCs w:val="20"/>
              </w:rPr>
              <w:t>9</w:t>
            </w:r>
          </w:p>
        </w:tc>
      </w:tr>
      <w:tr w:rsidR="007A4D59" w:rsidRPr="00E00B35" w:rsidTr="006D3493">
        <w:trPr>
          <w:trHeight w:val="539"/>
        </w:trPr>
        <w:tc>
          <w:tcPr>
            <w:tcW w:w="3616" w:type="pct"/>
            <w:vAlign w:val="center"/>
          </w:tcPr>
          <w:p w:rsidR="007A4D59" w:rsidRPr="00E00B35" w:rsidRDefault="007A4D59" w:rsidP="00E00B35">
            <w:pPr>
              <w:spacing w:after="0" w:line="312" w:lineRule="auto"/>
              <w:rPr>
                <w:rFonts w:cs="Arial"/>
                <w:szCs w:val="20"/>
              </w:rPr>
            </w:pPr>
            <w:r w:rsidRPr="00E00B35">
              <w:rPr>
                <w:rFonts w:cs="Arial"/>
                <w:szCs w:val="20"/>
              </w:rPr>
              <w:t>Liczba rozpatrzonych wniosków w kontekście udzielenia pomocy de minimis</w:t>
            </w:r>
          </w:p>
        </w:tc>
        <w:tc>
          <w:tcPr>
            <w:tcW w:w="1384" w:type="pct"/>
            <w:vAlign w:val="center"/>
          </w:tcPr>
          <w:p w:rsidR="007A4D59" w:rsidRPr="00E00B35" w:rsidRDefault="007A4D59" w:rsidP="00E00B35">
            <w:pPr>
              <w:spacing w:after="0" w:line="312" w:lineRule="auto"/>
              <w:rPr>
                <w:szCs w:val="20"/>
                <w:highlight w:val="yellow"/>
              </w:rPr>
            </w:pPr>
            <w:r w:rsidRPr="00E00B35">
              <w:rPr>
                <w:szCs w:val="20"/>
              </w:rPr>
              <w:t>0</w:t>
            </w:r>
          </w:p>
        </w:tc>
      </w:tr>
      <w:tr w:rsidR="007A4D59" w:rsidRPr="00E00B35" w:rsidTr="006D3493">
        <w:tc>
          <w:tcPr>
            <w:tcW w:w="3616" w:type="pct"/>
            <w:vAlign w:val="center"/>
          </w:tcPr>
          <w:p w:rsidR="007A4D59" w:rsidRPr="00E00B35" w:rsidRDefault="007A4D59" w:rsidP="00E00B35">
            <w:pPr>
              <w:spacing w:after="0" w:line="312" w:lineRule="auto"/>
              <w:rPr>
                <w:rFonts w:cs="Arial"/>
                <w:szCs w:val="20"/>
              </w:rPr>
            </w:pPr>
            <w:r w:rsidRPr="00E00B35">
              <w:rPr>
                <w:rFonts w:cs="Arial"/>
                <w:szCs w:val="20"/>
              </w:rPr>
              <w:t>Dostęp do informacji o środowisku</w:t>
            </w:r>
          </w:p>
        </w:tc>
        <w:tc>
          <w:tcPr>
            <w:tcW w:w="1384" w:type="pct"/>
            <w:vAlign w:val="center"/>
          </w:tcPr>
          <w:p w:rsidR="007A4D59" w:rsidRPr="00E00B35" w:rsidRDefault="007A4D59" w:rsidP="00E00B35">
            <w:pPr>
              <w:spacing w:after="0" w:line="312" w:lineRule="auto"/>
              <w:rPr>
                <w:szCs w:val="20"/>
                <w:highlight w:val="yellow"/>
              </w:rPr>
            </w:pPr>
            <w:r w:rsidRPr="00E00B35">
              <w:rPr>
                <w:szCs w:val="20"/>
              </w:rPr>
              <w:t>206</w:t>
            </w:r>
          </w:p>
        </w:tc>
      </w:tr>
    </w:tbl>
    <w:p w:rsidR="007A4D59" w:rsidRPr="00E00B35" w:rsidRDefault="007A4D59" w:rsidP="00E00B35">
      <w:pPr>
        <w:pStyle w:val="Zwykytekst"/>
        <w:tabs>
          <w:tab w:val="num" w:pos="426"/>
        </w:tabs>
        <w:spacing w:after="0" w:line="312" w:lineRule="auto"/>
        <w:rPr>
          <w:rFonts w:ascii="Verdana" w:hAnsi="Verdana"/>
          <w:bCs/>
          <w:i/>
          <w:iCs/>
        </w:rPr>
      </w:pPr>
    </w:p>
    <w:p w:rsidR="007A4D59" w:rsidRPr="00E00B35" w:rsidRDefault="007A4D59" w:rsidP="00E00B35">
      <w:pPr>
        <w:pStyle w:val="Zwykytekst"/>
        <w:tabs>
          <w:tab w:val="num" w:pos="426"/>
        </w:tabs>
        <w:spacing w:after="0" w:line="312" w:lineRule="auto"/>
        <w:rPr>
          <w:rFonts w:ascii="Verdana" w:hAnsi="Verdana"/>
        </w:rPr>
      </w:pPr>
      <w:r w:rsidRPr="00E00B35">
        <w:rPr>
          <w:rFonts w:ascii="Verdana" w:hAnsi="Verdana"/>
          <w:bCs/>
          <w:iCs/>
        </w:rPr>
        <w:t>W</w:t>
      </w:r>
      <w:r w:rsidRPr="00E00B35">
        <w:rPr>
          <w:rFonts w:ascii="Verdana" w:hAnsi="Verdana"/>
        </w:rPr>
        <w:t xml:space="preserve"> 2020 r. w zakresie ochrony zadrzewień wpłynęło 1 592 sprawy. W wyniku prowadzonych postępowań administracyjnych wydano łącznie 843 decyzje. Strony odwołały się od 18 decyzji, z czego Samorządowe Kolegium Odwoławcze utrzymało w mocy 3 decyzje, 2 decyzje uchyliło i zmieniło we własnym zakresie. </w:t>
      </w:r>
      <w:r w:rsidRPr="00E00B35">
        <w:rPr>
          <w:rFonts w:ascii="Verdana" w:hAnsi="Verdana"/>
        </w:rPr>
        <w:br/>
        <w:t xml:space="preserve">W stosunku do 5 uchyliło i przekazało do ponownego rozpatrzenia, a względem jednego odwołania wydało postanowienie o niedopuszczalności odwołania. Stanowi to 2,14 % </w:t>
      </w:r>
      <w:r w:rsidRPr="00E00B35">
        <w:rPr>
          <w:rFonts w:ascii="Verdana" w:hAnsi="Verdana"/>
        </w:rPr>
        <w:lastRenderedPageBreak/>
        <w:t xml:space="preserve">wszystkich, wydanych w 2020 r. decyzji (w procedurze Zintegrowanego Systemu Zarządzania dopuszcza się do 5% ilości uchyleń w stosunku do ilości wydanych decyzji). Ponadto zaskarżono 2 postanowienia. Na podstawie ustawy o ochronie przyrody oraz na podstawie ustawy o transporcie kolejowym wydano łącznie 791 decyzji administracyjnych (w tym 4 z ustawy o transporcie kolejowym). Spośród nich 493 decyzji zezwalających na usunięcie drzew i krzewów oraz 226 innych decyzji (np. umorzenia, zmiany terminów, wygaszenia, kary). W 72 decyzjach (32 decyzje negatywne bez naliczenia, 2 decyzje negatywne </w:t>
      </w:r>
      <w:r w:rsidRPr="00E00B35">
        <w:rPr>
          <w:rFonts w:ascii="Verdana" w:hAnsi="Verdana"/>
        </w:rPr>
        <w:br/>
        <w:t xml:space="preserve">z naliczeniem opłat oraz 38 decyzji o sprzeciwie usunięcia) nie zezwolono na usunięcie zadrzewień. </w:t>
      </w:r>
    </w:p>
    <w:p w:rsidR="007A4D59" w:rsidRPr="00E00B35" w:rsidRDefault="007A4D59" w:rsidP="00E00B35">
      <w:pPr>
        <w:pStyle w:val="Zwykytekst"/>
        <w:tabs>
          <w:tab w:val="num" w:pos="426"/>
        </w:tabs>
        <w:spacing w:after="0" w:line="312" w:lineRule="auto"/>
        <w:rPr>
          <w:rFonts w:ascii="Verdana" w:hAnsi="Verdana"/>
        </w:rPr>
      </w:pPr>
      <w:r w:rsidRPr="00E00B35">
        <w:rPr>
          <w:rFonts w:ascii="Verdana" w:hAnsi="Verdana"/>
        </w:rPr>
        <w:t xml:space="preserve">W wydanych decyzjach zezwolono łącznie na usunięcie 3 145 szt. drzew oraz </w:t>
      </w:r>
      <w:r w:rsidRPr="00E00B35">
        <w:rPr>
          <w:rFonts w:ascii="Verdana" w:hAnsi="Verdana" w:cs="Arial"/>
        </w:rPr>
        <w:t xml:space="preserve">709,7  </w:t>
      </w:r>
      <w:r w:rsidRPr="00E00B35">
        <w:rPr>
          <w:rFonts w:ascii="Verdana" w:hAnsi="Verdana"/>
        </w:rPr>
        <w:t>m</w:t>
      </w:r>
      <w:r w:rsidRPr="00E00B35">
        <w:rPr>
          <w:rFonts w:ascii="Verdana" w:hAnsi="Verdana"/>
          <w:vertAlign w:val="superscript"/>
        </w:rPr>
        <w:t>2</w:t>
      </w:r>
      <w:r w:rsidRPr="00E00B35">
        <w:rPr>
          <w:rFonts w:ascii="Verdana" w:hAnsi="Verdana"/>
        </w:rPr>
        <w:t xml:space="preserve"> krzewów. Zobowiązano natomiast do posadzenia łącznie 2 522 szt. drzew i </w:t>
      </w:r>
      <w:r w:rsidRPr="00E00B35">
        <w:rPr>
          <w:rFonts w:ascii="Verdana" w:hAnsi="Verdana" w:cs="Arial"/>
        </w:rPr>
        <w:t>255</w:t>
      </w:r>
      <w:r w:rsidRPr="00E00B35">
        <w:rPr>
          <w:rFonts w:ascii="Verdana" w:hAnsi="Verdana"/>
        </w:rPr>
        <w:t xml:space="preserve"> m</w:t>
      </w:r>
      <w:r w:rsidRPr="00E00B35">
        <w:rPr>
          <w:rFonts w:ascii="Verdana" w:hAnsi="Verdana"/>
          <w:vertAlign w:val="superscript"/>
        </w:rPr>
        <w:t>2</w:t>
      </w:r>
      <w:r w:rsidRPr="00E00B35">
        <w:rPr>
          <w:rFonts w:ascii="Verdana" w:hAnsi="Verdana"/>
        </w:rPr>
        <w:t xml:space="preserve"> krzewów. </w:t>
      </w:r>
      <w:r w:rsidRPr="00E00B35">
        <w:rPr>
          <w:rFonts w:ascii="Verdana" w:hAnsi="Verdana" w:cs="Arial"/>
        </w:rPr>
        <w:t>W 73 decyzjach nie zezwolono na usunięcie 472 szt. drzew. W 538 decyzjach dot. postępowań o wydanie zezwolenia na usunięcie zadrzewień zagrażających bezpieczeństwu osób i mieniu zezwolono na usunięcie 1 150 szt. drzew. oraz na usunięcie 55 m</w:t>
      </w:r>
      <w:r w:rsidRPr="00E00B35">
        <w:rPr>
          <w:rFonts w:ascii="Verdana" w:hAnsi="Verdana" w:cs="Arial"/>
          <w:vertAlign w:val="superscript"/>
        </w:rPr>
        <w:t>2</w:t>
      </w:r>
      <w:r w:rsidRPr="00E00B35">
        <w:rPr>
          <w:rFonts w:ascii="Verdana" w:hAnsi="Verdana" w:cs="Arial"/>
        </w:rPr>
        <w:t xml:space="preserve"> krzewów. W wydanych decyzjach bez opłat zobowiązano do nasadzeń mających na celu skompensowanie powstałych ubytków w zieleni w ilości </w:t>
      </w:r>
      <w:r w:rsidRPr="00E00B35">
        <w:rPr>
          <w:rFonts w:ascii="Verdana" w:hAnsi="Verdana" w:cs="Arial"/>
        </w:rPr>
        <w:br/>
        <w:t>1 215 szt. drzew. W 208 decyzjach dot. postępowań o wydanie zezwolenia na usunięcie zadrzewień kolidujących z przedsięwzięciami budowlanymi zezwolono na usunięcie 1 995 szt. drzew oraz 654,7 m</w:t>
      </w:r>
      <w:r w:rsidRPr="00E00B35">
        <w:rPr>
          <w:rFonts w:ascii="Verdana" w:hAnsi="Verdana" w:cs="Arial"/>
          <w:vertAlign w:val="superscript"/>
        </w:rPr>
        <w:t>2</w:t>
      </w:r>
      <w:r w:rsidRPr="00E00B35">
        <w:rPr>
          <w:rFonts w:ascii="Verdana" w:hAnsi="Verdana" w:cs="Arial"/>
        </w:rPr>
        <w:t xml:space="preserve"> krzewów. Uzależniono wydanie zezwolenia od nasadzeń zastępczych w ilości 172 szt. drzew i 130 m</w:t>
      </w:r>
      <w:r w:rsidRPr="00E00B35">
        <w:rPr>
          <w:rFonts w:ascii="Verdana" w:hAnsi="Verdana" w:cs="Arial"/>
          <w:vertAlign w:val="superscript"/>
        </w:rPr>
        <w:t>2</w:t>
      </w:r>
      <w:r w:rsidRPr="00E00B35">
        <w:rPr>
          <w:rFonts w:ascii="Verdana" w:hAnsi="Verdana" w:cs="Arial"/>
        </w:rPr>
        <w:t xml:space="preserve"> krzewów. Zobowiązano do nasadzeń kompensacyjnych za drzewa zwolnione z naliczenia opłat w ilości 1 135 szt. drzew – oraz 70 m</w:t>
      </w:r>
      <w:r w:rsidRPr="00E00B35">
        <w:rPr>
          <w:rFonts w:ascii="Verdana" w:hAnsi="Verdana" w:cs="Arial"/>
          <w:vertAlign w:val="superscript"/>
        </w:rPr>
        <w:t>2</w:t>
      </w:r>
      <w:r w:rsidRPr="00E00B35">
        <w:rPr>
          <w:rFonts w:ascii="Verdana" w:hAnsi="Verdana" w:cs="Arial"/>
        </w:rPr>
        <w:t xml:space="preserve"> krzewów. </w:t>
      </w:r>
      <w:r w:rsidRPr="00E00B35">
        <w:rPr>
          <w:rFonts w:ascii="Verdana" w:hAnsi="Verdana"/>
        </w:rPr>
        <w:t xml:space="preserve">Wydano 3 decyzje dotyczące wymierzenia administracyjnych kar pieniężnych oraz 1 decyzję umarzającą postępowanie w sprawie nałożenia kary. </w:t>
      </w:r>
      <w:r w:rsidRPr="00E00B35">
        <w:rPr>
          <w:rFonts w:ascii="Verdana" w:hAnsi="Verdana" w:cs="Arial"/>
        </w:rPr>
        <w:t>Wydano 3 decyzje o usunięciu drzew w oparciu o przepisy art. 56 ustawy o transporcie kolejowym – w sumie na 843 szt. drzew. W stosunku do jednego drzewa postępowanie umorzono.</w:t>
      </w:r>
    </w:p>
    <w:p w:rsidR="007A4D59" w:rsidRPr="00E00B35" w:rsidRDefault="007A4D59" w:rsidP="00E00B35">
      <w:pPr>
        <w:pStyle w:val="Zwykytekst"/>
        <w:tabs>
          <w:tab w:val="num" w:pos="426"/>
        </w:tabs>
        <w:spacing w:after="0" w:line="312" w:lineRule="auto"/>
        <w:rPr>
          <w:rFonts w:ascii="Verdana" w:hAnsi="Verdana" w:cs="Arial"/>
        </w:rPr>
      </w:pPr>
      <w:r w:rsidRPr="00E00B35">
        <w:rPr>
          <w:rFonts w:ascii="Verdana" w:hAnsi="Verdana" w:cs="Arial"/>
        </w:rPr>
        <w:t>Bilans ilości drzew, na które wydano zezwolenie w 2020 r., w stosunku do ilości zobowiązań do nasadzeń drzew jest ujemny. Wynika to z różnych czynników. Ponoszenie opłat za usuwanie drzew lub krzewów jest formą pieniężnej rekompensaty za straty w środowisku, co zwalnia inwestorów z obowiązku wykonywania nasadzeń zastępczych.</w:t>
      </w:r>
    </w:p>
    <w:p w:rsidR="007A4D59" w:rsidRPr="00E00B35" w:rsidRDefault="007A4D59" w:rsidP="00E00B35">
      <w:pPr>
        <w:pStyle w:val="Zwykytekst"/>
        <w:spacing w:after="0" w:line="312" w:lineRule="auto"/>
        <w:rPr>
          <w:rFonts w:ascii="Verdana" w:hAnsi="Verdana" w:cs="Verdana"/>
          <w:highlight w:val="yellow"/>
        </w:rPr>
      </w:pPr>
      <w:r w:rsidRPr="00E00B35">
        <w:rPr>
          <w:rFonts w:ascii="Verdana" w:hAnsi="Verdana" w:cs="Arial"/>
        </w:rPr>
        <w:t xml:space="preserve">Ponadto prowadzenie postępowań administracyjnych </w:t>
      </w:r>
      <w:r w:rsidRPr="00E00B35">
        <w:rPr>
          <w:rFonts w:ascii="Verdana" w:hAnsi="Verdana"/>
        </w:rPr>
        <w:t xml:space="preserve">w oparciu o przepisy </w:t>
      </w:r>
      <w:r w:rsidRPr="00E00B35">
        <w:rPr>
          <w:rFonts w:ascii="Verdana" w:hAnsi="Verdana" w:cs="Verdana"/>
        </w:rPr>
        <w:t xml:space="preserve">art. 56 ustawy z dnia 28 marca 2003 r. o transporcie kolejowym w związku § 1a </w:t>
      </w:r>
      <w:r w:rsidRPr="00E00B35">
        <w:rPr>
          <w:rFonts w:ascii="Verdana" w:hAnsi="Verdana" w:cs="Verdana"/>
          <w:i/>
        </w:rPr>
        <w:t xml:space="preserve">Rozporządzenia Ministra Infrastruktury z dnia 7 sierpnia 2008 r., w sprawie wymagań w zakresie odległości i warunków dopuszczających usytuowanie drzew i krzewów, elementów ochrony akustycznej i wykonywania robót ziemnych w sąsiedztwie linii kolejowej, a także sposobu urządzania i utrzymywania zasłon odśnieżnych oraz pasów przeciwpożarowych – </w:t>
      </w:r>
      <w:r w:rsidRPr="00E00B35">
        <w:rPr>
          <w:rFonts w:ascii="Verdana" w:hAnsi="Verdana" w:cs="Verdana"/>
        </w:rPr>
        <w:t xml:space="preserve">nie daje organowi możliwości prawnej do uzależnienia wydania decyzji o usunięciu od nasadzeń zastępczych. Sytuacja ta sprawia brak możliwości zbilansowania strat </w:t>
      </w:r>
      <w:r w:rsidRPr="00E00B35">
        <w:rPr>
          <w:rFonts w:ascii="Verdana" w:hAnsi="Verdana" w:cs="Verdana"/>
        </w:rPr>
        <w:br/>
        <w:t xml:space="preserve">w drzewostanie. </w:t>
      </w:r>
    </w:p>
    <w:p w:rsidR="007A4D59" w:rsidRPr="00E00B35" w:rsidRDefault="007A4D59" w:rsidP="00E00B35">
      <w:pPr>
        <w:pStyle w:val="Zwykytekst"/>
        <w:spacing w:after="0" w:line="312" w:lineRule="auto"/>
        <w:rPr>
          <w:rFonts w:ascii="Verdana" w:hAnsi="Verdana" w:cs="Verdana"/>
        </w:rPr>
      </w:pPr>
    </w:p>
    <w:p w:rsidR="007A4D59" w:rsidRPr="00E00B35" w:rsidRDefault="007A4D59" w:rsidP="00E00B35">
      <w:pPr>
        <w:pStyle w:val="Nagwek4"/>
        <w:spacing w:before="0" w:after="0" w:line="312" w:lineRule="auto"/>
        <w:rPr>
          <w:rFonts w:cs="Arial"/>
          <w:b w:val="0"/>
          <w:sz w:val="20"/>
          <w:szCs w:val="20"/>
        </w:rPr>
      </w:pPr>
      <w:r w:rsidRPr="00E00B35">
        <w:rPr>
          <w:b w:val="0"/>
          <w:sz w:val="20"/>
          <w:szCs w:val="20"/>
        </w:rPr>
        <w:lastRenderedPageBreak/>
        <w:t>Zestawienia tabelaryczne ilustrują realizację ww. zadań w zakresie postępowań administracyjnych zakończonych w 2020 r:</w:t>
      </w:r>
    </w:p>
    <w:p w:rsidR="007A4D59" w:rsidRPr="00E00B35" w:rsidRDefault="007A4D59" w:rsidP="00E00B35">
      <w:pPr>
        <w:pStyle w:val="Nagwek4"/>
        <w:spacing w:before="0" w:after="0" w:line="312" w:lineRule="auto"/>
        <w:rPr>
          <w:rFonts w:cs="Arial"/>
          <w:b w:val="0"/>
          <w:sz w:val="20"/>
          <w:szCs w:val="20"/>
        </w:rPr>
      </w:pPr>
    </w:p>
    <w:p w:rsidR="007A4D59" w:rsidRPr="00E00B35" w:rsidRDefault="007A4D59" w:rsidP="00E00B35">
      <w:pPr>
        <w:spacing w:after="0" w:line="312" w:lineRule="auto"/>
        <w:rPr>
          <w:color w:val="000000"/>
          <w:szCs w:val="20"/>
        </w:rPr>
      </w:pPr>
      <w:r w:rsidRPr="00E00B35">
        <w:rPr>
          <w:color w:val="000000"/>
          <w:szCs w:val="20"/>
        </w:rPr>
        <w:t>Łączna liczba drzew/krzewów dla których wydano zezwolenie względem zachowanych oraz zobowiązanie do nasadzeń</w:t>
      </w:r>
    </w:p>
    <w:p w:rsidR="007A4D59" w:rsidRPr="00E00B35" w:rsidRDefault="007A4D59" w:rsidP="00E00B35">
      <w:pPr>
        <w:spacing w:after="0" w:line="312" w:lineRule="auto"/>
        <w:rPr>
          <w:color w:val="00000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3"/>
        <w:gridCol w:w="1615"/>
        <w:gridCol w:w="1480"/>
        <w:gridCol w:w="1615"/>
        <w:gridCol w:w="1481"/>
        <w:gridCol w:w="1616"/>
      </w:tblGrid>
      <w:tr w:rsidR="007A4D59" w:rsidRPr="00E00B35" w:rsidTr="006D3493">
        <w:tc>
          <w:tcPr>
            <w:tcW w:w="2988" w:type="dxa"/>
            <w:gridSpan w:val="2"/>
          </w:tcPr>
          <w:p w:rsidR="007A4D59" w:rsidRPr="00E00B35" w:rsidRDefault="007A4D59" w:rsidP="00E00B35">
            <w:pPr>
              <w:spacing w:after="0" w:line="312" w:lineRule="auto"/>
              <w:rPr>
                <w:szCs w:val="20"/>
              </w:rPr>
            </w:pPr>
            <w:r w:rsidRPr="00E00B35">
              <w:rPr>
                <w:szCs w:val="20"/>
              </w:rPr>
              <w:t>Zezwolono na usunięcie</w:t>
            </w:r>
          </w:p>
        </w:tc>
        <w:tc>
          <w:tcPr>
            <w:tcW w:w="3095" w:type="dxa"/>
            <w:gridSpan w:val="2"/>
          </w:tcPr>
          <w:p w:rsidR="007A4D59" w:rsidRPr="00E00B35" w:rsidRDefault="007A4D59" w:rsidP="00E00B35">
            <w:pPr>
              <w:spacing w:after="0" w:line="312" w:lineRule="auto"/>
              <w:rPr>
                <w:szCs w:val="20"/>
              </w:rPr>
            </w:pPr>
            <w:r w:rsidRPr="00E00B35">
              <w:rPr>
                <w:szCs w:val="20"/>
              </w:rPr>
              <w:t>Zobowiązano do nasadzeń</w:t>
            </w:r>
          </w:p>
        </w:tc>
        <w:tc>
          <w:tcPr>
            <w:tcW w:w="3097" w:type="dxa"/>
            <w:gridSpan w:val="2"/>
          </w:tcPr>
          <w:p w:rsidR="007A4D59" w:rsidRPr="00E00B35" w:rsidRDefault="007A4D59" w:rsidP="00E00B35">
            <w:pPr>
              <w:spacing w:after="0" w:line="312" w:lineRule="auto"/>
              <w:rPr>
                <w:szCs w:val="20"/>
              </w:rPr>
            </w:pPr>
            <w:r w:rsidRPr="00E00B35">
              <w:rPr>
                <w:szCs w:val="20"/>
              </w:rPr>
              <w:t>Nie zezwolono na usunięcie</w:t>
            </w:r>
          </w:p>
        </w:tc>
      </w:tr>
      <w:tr w:rsidR="007A4D59" w:rsidRPr="00E00B35" w:rsidTr="006D3493">
        <w:tc>
          <w:tcPr>
            <w:tcW w:w="1373" w:type="dxa"/>
          </w:tcPr>
          <w:p w:rsidR="007A4D59" w:rsidRPr="00E00B35" w:rsidRDefault="007A4D59" w:rsidP="00E00B35">
            <w:pPr>
              <w:spacing w:after="0" w:line="312" w:lineRule="auto"/>
              <w:rPr>
                <w:rFonts w:cs="Arial"/>
                <w:bCs/>
                <w:color w:val="000000"/>
                <w:szCs w:val="20"/>
              </w:rPr>
            </w:pPr>
            <w:r w:rsidRPr="00E00B35">
              <w:rPr>
                <w:rFonts w:cs="Arial"/>
                <w:bCs/>
                <w:color w:val="000000"/>
                <w:szCs w:val="20"/>
              </w:rPr>
              <w:t>Drzew</w:t>
            </w:r>
          </w:p>
          <w:p w:rsidR="007A4D59" w:rsidRPr="00E00B35" w:rsidRDefault="007A4D59" w:rsidP="00E00B35">
            <w:pPr>
              <w:spacing w:after="0" w:line="312" w:lineRule="auto"/>
              <w:rPr>
                <w:rFonts w:cs="Arial"/>
                <w:bCs/>
                <w:color w:val="000000"/>
                <w:szCs w:val="20"/>
              </w:rPr>
            </w:pPr>
            <w:r w:rsidRPr="00E00B35">
              <w:rPr>
                <w:rFonts w:cs="Arial"/>
                <w:bCs/>
                <w:color w:val="000000"/>
                <w:szCs w:val="20"/>
              </w:rPr>
              <w:t>(szt.)</w:t>
            </w:r>
          </w:p>
        </w:tc>
        <w:tc>
          <w:tcPr>
            <w:tcW w:w="1615" w:type="dxa"/>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p>
          <w:p w:rsidR="007A4D59" w:rsidRPr="00E00B35" w:rsidRDefault="007A4D59" w:rsidP="00E00B35">
            <w:pPr>
              <w:spacing w:after="0" w:line="312" w:lineRule="auto"/>
              <w:rPr>
                <w:rFonts w:cs="Arial"/>
                <w:color w:val="000000"/>
                <w:szCs w:val="20"/>
              </w:rPr>
            </w:pPr>
            <w:r w:rsidRPr="00E00B35">
              <w:rPr>
                <w:rFonts w:cs="Arial"/>
                <w:color w:val="000000"/>
                <w:szCs w:val="20"/>
              </w:rPr>
              <w:t>[m</w:t>
            </w:r>
            <w:r w:rsidRPr="00E00B35">
              <w:rPr>
                <w:rFonts w:cs="Arial"/>
                <w:color w:val="000000"/>
                <w:szCs w:val="20"/>
                <w:vertAlign w:val="superscript"/>
              </w:rPr>
              <w:t>2</w:t>
            </w:r>
            <w:r w:rsidRPr="00E00B35">
              <w:rPr>
                <w:rFonts w:cs="Arial"/>
                <w:color w:val="000000"/>
                <w:szCs w:val="20"/>
              </w:rPr>
              <w:t>]</w:t>
            </w:r>
          </w:p>
        </w:tc>
        <w:tc>
          <w:tcPr>
            <w:tcW w:w="1480" w:type="dxa"/>
          </w:tcPr>
          <w:p w:rsidR="007A4D59" w:rsidRPr="00E00B35" w:rsidRDefault="007A4D59" w:rsidP="00E00B35">
            <w:pPr>
              <w:spacing w:after="0" w:line="312" w:lineRule="auto"/>
              <w:rPr>
                <w:rFonts w:cs="Arial"/>
                <w:color w:val="000000"/>
                <w:szCs w:val="20"/>
              </w:rPr>
            </w:pPr>
            <w:r w:rsidRPr="00E00B35">
              <w:rPr>
                <w:rFonts w:cs="Arial"/>
                <w:color w:val="000000"/>
                <w:szCs w:val="20"/>
              </w:rPr>
              <w:t>Drzew</w:t>
            </w:r>
          </w:p>
          <w:p w:rsidR="007A4D59" w:rsidRPr="00E00B35" w:rsidRDefault="007A4D59" w:rsidP="00E00B35">
            <w:pPr>
              <w:spacing w:after="0" w:line="312" w:lineRule="auto"/>
              <w:rPr>
                <w:rFonts w:cs="Arial"/>
                <w:color w:val="000000"/>
                <w:szCs w:val="20"/>
              </w:rPr>
            </w:pPr>
            <w:r w:rsidRPr="00E00B35">
              <w:rPr>
                <w:rFonts w:cs="Arial"/>
                <w:color w:val="000000"/>
                <w:szCs w:val="20"/>
              </w:rPr>
              <w:t>(szt.)</w:t>
            </w:r>
          </w:p>
        </w:tc>
        <w:tc>
          <w:tcPr>
            <w:tcW w:w="1615" w:type="dxa"/>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p>
          <w:p w:rsidR="007A4D59" w:rsidRPr="00E00B35" w:rsidRDefault="007A4D59" w:rsidP="00E00B35">
            <w:pPr>
              <w:spacing w:after="0" w:line="312" w:lineRule="auto"/>
              <w:rPr>
                <w:rFonts w:cs="Arial"/>
                <w:color w:val="000000"/>
                <w:szCs w:val="20"/>
              </w:rPr>
            </w:pPr>
            <w:r w:rsidRPr="00E00B35">
              <w:rPr>
                <w:rFonts w:cs="Arial"/>
                <w:color w:val="000000"/>
                <w:szCs w:val="20"/>
              </w:rPr>
              <w:t>[m</w:t>
            </w:r>
            <w:r w:rsidRPr="00E00B35">
              <w:rPr>
                <w:rFonts w:cs="Arial"/>
                <w:color w:val="000000"/>
                <w:szCs w:val="20"/>
                <w:vertAlign w:val="superscript"/>
              </w:rPr>
              <w:t>2</w:t>
            </w:r>
            <w:r w:rsidRPr="00E00B35">
              <w:rPr>
                <w:rFonts w:cs="Arial"/>
                <w:color w:val="000000"/>
                <w:szCs w:val="20"/>
              </w:rPr>
              <w:t>]</w:t>
            </w:r>
          </w:p>
        </w:tc>
        <w:tc>
          <w:tcPr>
            <w:tcW w:w="1481" w:type="dxa"/>
          </w:tcPr>
          <w:p w:rsidR="007A4D59" w:rsidRPr="00E00B35" w:rsidRDefault="007A4D59" w:rsidP="00E00B35">
            <w:pPr>
              <w:spacing w:after="0" w:line="312" w:lineRule="auto"/>
              <w:rPr>
                <w:rFonts w:cs="Arial"/>
                <w:color w:val="000000"/>
                <w:szCs w:val="20"/>
              </w:rPr>
            </w:pPr>
            <w:r w:rsidRPr="00E00B35">
              <w:rPr>
                <w:rFonts w:cs="Arial"/>
                <w:color w:val="000000"/>
                <w:szCs w:val="20"/>
              </w:rPr>
              <w:t>Drzew</w:t>
            </w:r>
          </w:p>
          <w:p w:rsidR="007A4D59" w:rsidRPr="00E00B35" w:rsidRDefault="007A4D59" w:rsidP="00E00B35">
            <w:pPr>
              <w:spacing w:after="0" w:line="312" w:lineRule="auto"/>
              <w:rPr>
                <w:rFonts w:cs="Arial"/>
                <w:color w:val="000000"/>
                <w:szCs w:val="20"/>
              </w:rPr>
            </w:pPr>
            <w:r w:rsidRPr="00E00B35">
              <w:rPr>
                <w:rFonts w:cs="Arial"/>
                <w:color w:val="000000"/>
                <w:szCs w:val="20"/>
              </w:rPr>
              <w:t>(szt.)</w:t>
            </w:r>
          </w:p>
        </w:tc>
        <w:tc>
          <w:tcPr>
            <w:tcW w:w="1616" w:type="dxa"/>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p>
          <w:p w:rsidR="007A4D59" w:rsidRPr="00E00B35" w:rsidRDefault="007A4D59" w:rsidP="00E00B35">
            <w:pPr>
              <w:spacing w:after="0" w:line="312" w:lineRule="auto"/>
              <w:rPr>
                <w:rFonts w:cs="Arial"/>
                <w:color w:val="000000"/>
                <w:szCs w:val="20"/>
              </w:rPr>
            </w:pPr>
            <w:r w:rsidRPr="00E00B35">
              <w:rPr>
                <w:rFonts w:cs="Arial"/>
                <w:color w:val="000000"/>
                <w:szCs w:val="20"/>
              </w:rPr>
              <w:t>[m</w:t>
            </w:r>
            <w:r w:rsidRPr="00E00B35">
              <w:rPr>
                <w:rFonts w:cs="Arial"/>
                <w:color w:val="000000"/>
                <w:szCs w:val="20"/>
                <w:vertAlign w:val="superscript"/>
              </w:rPr>
              <w:t>2</w:t>
            </w:r>
            <w:r w:rsidRPr="00E00B35">
              <w:rPr>
                <w:rFonts w:cs="Arial"/>
                <w:color w:val="000000"/>
                <w:szCs w:val="20"/>
              </w:rPr>
              <w:t>]</w:t>
            </w:r>
          </w:p>
        </w:tc>
      </w:tr>
      <w:tr w:rsidR="007A4D59" w:rsidRPr="00E00B35" w:rsidTr="006D3493">
        <w:tc>
          <w:tcPr>
            <w:tcW w:w="1373" w:type="dxa"/>
          </w:tcPr>
          <w:p w:rsidR="007A4D59" w:rsidRPr="00E00B35" w:rsidRDefault="007A4D59" w:rsidP="00E00B35">
            <w:pPr>
              <w:spacing w:after="0" w:line="312" w:lineRule="auto"/>
              <w:rPr>
                <w:rFonts w:cs="Arial"/>
                <w:bCs/>
                <w:color w:val="000000"/>
                <w:szCs w:val="20"/>
                <w:highlight w:val="yellow"/>
              </w:rPr>
            </w:pPr>
            <w:r w:rsidRPr="00E00B35">
              <w:rPr>
                <w:color w:val="000000"/>
                <w:szCs w:val="20"/>
              </w:rPr>
              <w:t>3 145</w:t>
            </w:r>
          </w:p>
        </w:tc>
        <w:tc>
          <w:tcPr>
            <w:tcW w:w="1615" w:type="dxa"/>
          </w:tcPr>
          <w:p w:rsidR="007A4D59" w:rsidRPr="00E00B35" w:rsidRDefault="007A4D59" w:rsidP="00E00B35">
            <w:pPr>
              <w:spacing w:after="0" w:line="312" w:lineRule="auto"/>
              <w:rPr>
                <w:rFonts w:cs="Arial"/>
                <w:color w:val="000000"/>
                <w:szCs w:val="20"/>
                <w:highlight w:val="yellow"/>
              </w:rPr>
            </w:pPr>
            <w:r w:rsidRPr="00E00B35">
              <w:rPr>
                <w:rFonts w:cs="Arial"/>
                <w:color w:val="000000"/>
                <w:szCs w:val="20"/>
              </w:rPr>
              <w:t>709,7</w:t>
            </w:r>
          </w:p>
        </w:tc>
        <w:tc>
          <w:tcPr>
            <w:tcW w:w="1480" w:type="dxa"/>
          </w:tcPr>
          <w:p w:rsidR="007A4D59" w:rsidRPr="00E00B35" w:rsidRDefault="007A4D59" w:rsidP="00E00B35">
            <w:pPr>
              <w:spacing w:after="0" w:line="312" w:lineRule="auto"/>
              <w:rPr>
                <w:rFonts w:cs="Arial"/>
                <w:color w:val="000000"/>
                <w:szCs w:val="20"/>
                <w:highlight w:val="yellow"/>
              </w:rPr>
            </w:pPr>
            <w:r w:rsidRPr="00E00B35">
              <w:rPr>
                <w:color w:val="000000"/>
                <w:szCs w:val="20"/>
              </w:rPr>
              <w:t>2 522</w:t>
            </w:r>
          </w:p>
        </w:tc>
        <w:tc>
          <w:tcPr>
            <w:tcW w:w="1615" w:type="dxa"/>
          </w:tcPr>
          <w:p w:rsidR="007A4D59" w:rsidRPr="00E00B35" w:rsidRDefault="007A4D59" w:rsidP="00E00B35">
            <w:pPr>
              <w:spacing w:after="0" w:line="312" w:lineRule="auto"/>
              <w:rPr>
                <w:rFonts w:cs="Arial"/>
                <w:color w:val="000000"/>
                <w:szCs w:val="20"/>
                <w:highlight w:val="yellow"/>
              </w:rPr>
            </w:pPr>
            <w:r w:rsidRPr="00E00B35">
              <w:rPr>
                <w:rFonts w:cs="Arial"/>
                <w:color w:val="000000"/>
                <w:szCs w:val="20"/>
              </w:rPr>
              <w:t>255</w:t>
            </w:r>
          </w:p>
        </w:tc>
        <w:tc>
          <w:tcPr>
            <w:tcW w:w="1481" w:type="dxa"/>
          </w:tcPr>
          <w:p w:rsidR="007A4D59" w:rsidRPr="00E00B35" w:rsidRDefault="007A4D59" w:rsidP="00E00B35">
            <w:pPr>
              <w:spacing w:after="0" w:line="312" w:lineRule="auto"/>
              <w:rPr>
                <w:rFonts w:cs="Arial"/>
                <w:color w:val="000000"/>
                <w:szCs w:val="20"/>
                <w:highlight w:val="yellow"/>
              </w:rPr>
            </w:pPr>
            <w:r w:rsidRPr="00E00B35">
              <w:rPr>
                <w:rFonts w:cs="Arial"/>
                <w:color w:val="000000"/>
                <w:szCs w:val="20"/>
              </w:rPr>
              <w:t>472</w:t>
            </w:r>
          </w:p>
        </w:tc>
        <w:tc>
          <w:tcPr>
            <w:tcW w:w="1616" w:type="dxa"/>
          </w:tcPr>
          <w:p w:rsidR="007A4D59" w:rsidRPr="00E00B35" w:rsidRDefault="007A4D59" w:rsidP="00E00B35">
            <w:pPr>
              <w:spacing w:after="0" w:line="312" w:lineRule="auto"/>
              <w:rPr>
                <w:rFonts w:cs="Arial"/>
                <w:color w:val="000000"/>
                <w:szCs w:val="20"/>
                <w:highlight w:val="yellow"/>
              </w:rPr>
            </w:pPr>
            <w:r w:rsidRPr="00E00B35">
              <w:rPr>
                <w:rFonts w:cs="Arial"/>
                <w:color w:val="000000"/>
                <w:szCs w:val="20"/>
              </w:rPr>
              <w:t>0</w:t>
            </w:r>
          </w:p>
        </w:tc>
      </w:tr>
    </w:tbl>
    <w:p w:rsidR="007A4D59" w:rsidRPr="00E00B35" w:rsidRDefault="007A4D59" w:rsidP="00E00B35">
      <w:pPr>
        <w:pStyle w:val="Tekstpodstawowywcity"/>
        <w:tabs>
          <w:tab w:val="num" w:pos="2496"/>
        </w:tabs>
        <w:spacing w:after="0" w:line="312" w:lineRule="auto"/>
        <w:rPr>
          <w:color w:val="000000"/>
          <w:szCs w:val="20"/>
        </w:rPr>
      </w:pPr>
    </w:p>
    <w:p w:rsidR="007A4D59" w:rsidRPr="00E00B35" w:rsidRDefault="007A4D59" w:rsidP="00E00B35">
      <w:pPr>
        <w:pStyle w:val="Tekstpodstawowywcity"/>
        <w:tabs>
          <w:tab w:val="num" w:pos="2496"/>
        </w:tabs>
        <w:spacing w:after="0" w:line="312" w:lineRule="auto"/>
        <w:ind w:left="0"/>
        <w:rPr>
          <w:bCs/>
          <w:color w:val="000000"/>
          <w:szCs w:val="20"/>
        </w:rPr>
      </w:pPr>
      <w:r w:rsidRPr="00E00B35">
        <w:rPr>
          <w:bCs/>
          <w:color w:val="000000"/>
          <w:szCs w:val="20"/>
        </w:rPr>
        <w:t>Ilość usuniętych drzew/krzewów w sprawie zagrożenia bezpieczeństwa osób i mienia</w:t>
      </w:r>
    </w:p>
    <w:p w:rsidR="007A4D59" w:rsidRPr="00E00B35" w:rsidRDefault="007A4D59" w:rsidP="00E00B35">
      <w:pPr>
        <w:pStyle w:val="Tekstpodstawowywcity"/>
        <w:tabs>
          <w:tab w:val="num" w:pos="2496"/>
        </w:tabs>
        <w:spacing w:after="0" w:line="312" w:lineRule="auto"/>
        <w:rPr>
          <w:bCs/>
          <w:color w:val="00000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1"/>
        <w:gridCol w:w="2353"/>
        <w:gridCol w:w="2293"/>
        <w:gridCol w:w="2403"/>
      </w:tblGrid>
      <w:tr w:rsidR="007A4D59" w:rsidRPr="00E00B35" w:rsidTr="006D3493">
        <w:tc>
          <w:tcPr>
            <w:tcW w:w="4484" w:type="dxa"/>
            <w:gridSpan w:val="2"/>
          </w:tcPr>
          <w:p w:rsidR="007A4D59" w:rsidRPr="00E00B35" w:rsidRDefault="007A4D59" w:rsidP="00E00B35">
            <w:pPr>
              <w:spacing w:after="0" w:line="312" w:lineRule="auto"/>
              <w:rPr>
                <w:szCs w:val="20"/>
              </w:rPr>
            </w:pPr>
            <w:r w:rsidRPr="00E00B35">
              <w:rPr>
                <w:szCs w:val="20"/>
              </w:rPr>
              <w:t>Zezwolono na usunięcie bez naliczenia opłaty</w:t>
            </w:r>
          </w:p>
        </w:tc>
        <w:tc>
          <w:tcPr>
            <w:tcW w:w="4696" w:type="dxa"/>
            <w:gridSpan w:val="2"/>
          </w:tcPr>
          <w:p w:rsidR="007A4D59" w:rsidRPr="00E00B35" w:rsidRDefault="007A4D59" w:rsidP="00E00B35">
            <w:pPr>
              <w:spacing w:after="0" w:line="312" w:lineRule="auto"/>
              <w:rPr>
                <w:szCs w:val="20"/>
              </w:rPr>
            </w:pPr>
            <w:r w:rsidRPr="00E00B35">
              <w:rPr>
                <w:szCs w:val="20"/>
              </w:rPr>
              <w:t>Zobowiązano do nasadzeń kompensacyjnych</w:t>
            </w:r>
          </w:p>
        </w:tc>
      </w:tr>
      <w:tr w:rsidR="007A4D59" w:rsidRPr="00E00B35" w:rsidTr="006D3493">
        <w:tc>
          <w:tcPr>
            <w:tcW w:w="2131" w:type="dxa"/>
          </w:tcPr>
          <w:p w:rsidR="007A4D59" w:rsidRPr="00E00B35" w:rsidRDefault="007A4D59" w:rsidP="00E00B35">
            <w:pPr>
              <w:spacing w:after="0" w:line="312" w:lineRule="auto"/>
              <w:rPr>
                <w:rFonts w:cs="Arial"/>
                <w:bCs/>
                <w:color w:val="000000"/>
                <w:szCs w:val="20"/>
              </w:rPr>
            </w:pPr>
            <w:r w:rsidRPr="00E00B35">
              <w:rPr>
                <w:rFonts w:cs="Arial"/>
                <w:bCs/>
                <w:color w:val="000000"/>
                <w:szCs w:val="20"/>
              </w:rPr>
              <w:t>Drzew</w:t>
            </w:r>
          </w:p>
          <w:p w:rsidR="007A4D59" w:rsidRPr="00E00B35" w:rsidRDefault="007A4D59" w:rsidP="00E00B35">
            <w:pPr>
              <w:spacing w:after="0" w:line="312" w:lineRule="auto"/>
              <w:rPr>
                <w:rFonts w:cs="Arial"/>
                <w:bCs/>
                <w:color w:val="000000"/>
                <w:szCs w:val="20"/>
              </w:rPr>
            </w:pPr>
            <w:r w:rsidRPr="00E00B35">
              <w:rPr>
                <w:rFonts w:cs="Arial"/>
                <w:bCs/>
                <w:color w:val="000000"/>
                <w:szCs w:val="20"/>
              </w:rPr>
              <w:t>(szt.)</w:t>
            </w:r>
          </w:p>
        </w:tc>
        <w:tc>
          <w:tcPr>
            <w:tcW w:w="2353" w:type="dxa"/>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p>
          <w:p w:rsidR="007A4D59" w:rsidRPr="00E00B35" w:rsidRDefault="007A4D59" w:rsidP="00E00B35">
            <w:pPr>
              <w:spacing w:after="0" w:line="312" w:lineRule="auto"/>
              <w:rPr>
                <w:rFonts w:cs="Arial"/>
                <w:color w:val="000000"/>
                <w:szCs w:val="20"/>
              </w:rPr>
            </w:pPr>
            <w:r w:rsidRPr="00E00B35">
              <w:rPr>
                <w:rFonts w:cs="Arial"/>
                <w:color w:val="000000"/>
                <w:szCs w:val="20"/>
              </w:rPr>
              <w:t>[m</w:t>
            </w:r>
            <w:r w:rsidRPr="00E00B35">
              <w:rPr>
                <w:rFonts w:cs="Arial"/>
                <w:color w:val="000000"/>
                <w:szCs w:val="20"/>
                <w:vertAlign w:val="superscript"/>
              </w:rPr>
              <w:t>2</w:t>
            </w:r>
            <w:r w:rsidRPr="00E00B35">
              <w:rPr>
                <w:rFonts w:cs="Arial"/>
                <w:color w:val="000000"/>
                <w:szCs w:val="20"/>
              </w:rPr>
              <w:t>]</w:t>
            </w:r>
          </w:p>
        </w:tc>
        <w:tc>
          <w:tcPr>
            <w:tcW w:w="2293" w:type="dxa"/>
          </w:tcPr>
          <w:p w:rsidR="007A4D59" w:rsidRPr="00E00B35" w:rsidRDefault="007A4D59" w:rsidP="00E00B35">
            <w:pPr>
              <w:spacing w:after="0" w:line="312" w:lineRule="auto"/>
              <w:rPr>
                <w:rFonts w:cs="Arial"/>
                <w:color w:val="000000"/>
                <w:szCs w:val="20"/>
              </w:rPr>
            </w:pPr>
            <w:r w:rsidRPr="00E00B35">
              <w:rPr>
                <w:rFonts w:cs="Arial"/>
                <w:color w:val="000000"/>
                <w:szCs w:val="20"/>
              </w:rPr>
              <w:t>Drzew</w:t>
            </w:r>
          </w:p>
          <w:p w:rsidR="007A4D59" w:rsidRPr="00E00B35" w:rsidRDefault="007A4D59" w:rsidP="00E00B35">
            <w:pPr>
              <w:spacing w:after="0" w:line="312" w:lineRule="auto"/>
              <w:rPr>
                <w:rFonts w:cs="Arial"/>
                <w:color w:val="000000"/>
                <w:szCs w:val="20"/>
              </w:rPr>
            </w:pPr>
            <w:r w:rsidRPr="00E00B35">
              <w:rPr>
                <w:rFonts w:cs="Arial"/>
                <w:color w:val="000000"/>
                <w:szCs w:val="20"/>
              </w:rPr>
              <w:t>(szt.)</w:t>
            </w:r>
          </w:p>
        </w:tc>
        <w:tc>
          <w:tcPr>
            <w:tcW w:w="2403" w:type="dxa"/>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p>
          <w:p w:rsidR="007A4D59" w:rsidRPr="00E00B35" w:rsidRDefault="007A4D59" w:rsidP="00E00B35">
            <w:pPr>
              <w:spacing w:after="0" w:line="312" w:lineRule="auto"/>
              <w:rPr>
                <w:rFonts w:cs="Arial"/>
                <w:color w:val="000000"/>
                <w:szCs w:val="20"/>
              </w:rPr>
            </w:pPr>
            <w:r w:rsidRPr="00E00B35">
              <w:rPr>
                <w:rFonts w:cs="Arial"/>
                <w:color w:val="000000"/>
                <w:szCs w:val="20"/>
              </w:rPr>
              <w:t>[m</w:t>
            </w:r>
            <w:r w:rsidRPr="00E00B35">
              <w:rPr>
                <w:rFonts w:cs="Arial"/>
                <w:color w:val="000000"/>
                <w:szCs w:val="20"/>
                <w:vertAlign w:val="superscript"/>
              </w:rPr>
              <w:t>2</w:t>
            </w:r>
            <w:r w:rsidRPr="00E00B35">
              <w:rPr>
                <w:rFonts w:cs="Arial"/>
                <w:color w:val="000000"/>
                <w:szCs w:val="20"/>
              </w:rPr>
              <w:t>]</w:t>
            </w:r>
          </w:p>
        </w:tc>
      </w:tr>
      <w:tr w:rsidR="007A4D59" w:rsidRPr="00E00B35" w:rsidTr="006D3493">
        <w:tc>
          <w:tcPr>
            <w:tcW w:w="2131" w:type="dxa"/>
          </w:tcPr>
          <w:p w:rsidR="007A4D59" w:rsidRPr="00E00B35" w:rsidRDefault="007A4D59" w:rsidP="00E00B35">
            <w:pPr>
              <w:spacing w:after="0" w:line="312" w:lineRule="auto"/>
              <w:rPr>
                <w:rFonts w:cs="Arial"/>
                <w:bCs/>
                <w:szCs w:val="20"/>
                <w:highlight w:val="yellow"/>
              </w:rPr>
            </w:pPr>
            <w:r w:rsidRPr="00E00B35">
              <w:rPr>
                <w:rFonts w:cs="Arial"/>
                <w:szCs w:val="20"/>
              </w:rPr>
              <w:t>1 150</w:t>
            </w:r>
          </w:p>
        </w:tc>
        <w:tc>
          <w:tcPr>
            <w:tcW w:w="2353" w:type="dxa"/>
          </w:tcPr>
          <w:p w:rsidR="007A4D59" w:rsidRPr="00E00B35" w:rsidRDefault="007A4D59" w:rsidP="00E00B35">
            <w:pPr>
              <w:spacing w:after="0" w:line="312" w:lineRule="auto"/>
              <w:rPr>
                <w:rFonts w:cs="Arial"/>
                <w:szCs w:val="20"/>
                <w:highlight w:val="yellow"/>
              </w:rPr>
            </w:pPr>
            <w:r w:rsidRPr="00E00B35">
              <w:rPr>
                <w:rFonts w:cs="Arial"/>
                <w:szCs w:val="20"/>
              </w:rPr>
              <w:t>55</w:t>
            </w:r>
          </w:p>
        </w:tc>
        <w:tc>
          <w:tcPr>
            <w:tcW w:w="2293" w:type="dxa"/>
          </w:tcPr>
          <w:p w:rsidR="007A4D59" w:rsidRPr="00E00B35" w:rsidRDefault="007A4D59" w:rsidP="00E00B35">
            <w:pPr>
              <w:spacing w:after="0" w:line="312" w:lineRule="auto"/>
              <w:rPr>
                <w:rFonts w:cs="Arial"/>
                <w:szCs w:val="20"/>
                <w:highlight w:val="yellow"/>
              </w:rPr>
            </w:pPr>
            <w:r w:rsidRPr="00E00B35">
              <w:rPr>
                <w:rFonts w:cs="Arial"/>
                <w:szCs w:val="20"/>
              </w:rPr>
              <w:t>1 215</w:t>
            </w:r>
          </w:p>
        </w:tc>
        <w:tc>
          <w:tcPr>
            <w:tcW w:w="2403" w:type="dxa"/>
          </w:tcPr>
          <w:p w:rsidR="007A4D59" w:rsidRPr="00E00B35" w:rsidRDefault="007A4D59" w:rsidP="00E00B35">
            <w:pPr>
              <w:spacing w:after="0" w:line="312" w:lineRule="auto"/>
              <w:rPr>
                <w:rFonts w:cs="Arial"/>
                <w:szCs w:val="20"/>
                <w:highlight w:val="yellow"/>
              </w:rPr>
            </w:pPr>
            <w:r w:rsidRPr="00E00B35">
              <w:rPr>
                <w:rFonts w:cs="Arial"/>
                <w:szCs w:val="20"/>
              </w:rPr>
              <w:t>0</w:t>
            </w:r>
          </w:p>
        </w:tc>
      </w:tr>
    </w:tbl>
    <w:p w:rsidR="007A4D59" w:rsidRPr="00E00B35" w:rsidRDefault="007A4D59" w:rsidP="00E00B35">
      <w:pPr>
        <w:spacing w:after="0" w:line="312" w:lineRule="auto"/>
        <w:rPr>
          <w:szCs w:val="20"/>
        </w:rPr>
      </w:pPr>
    </w:p>
    <w:p w:rsidR="007A4D59" w:rsidRPr="00E00B35" w:rsidRDefault="007A4D59" w:rsidP="00E00B35">
      <w:pPr>
        <w:pStyle w:val="Tekstpodstawowywcity"/>
        <w:tabs>
          <w:tab w:val="num" w:pos="2496"/>
        </w:tabs>
        <w:spacing w:after="0" w:line="312" w:lineRule="auto"/>
        <w:ind w:left="0"/>
        <w:rPr>
          <w:bCs/>
          <w:color w:val="000000"/>
          <w:szCs w:val="20"/>
          <w:highlight w:val="yellow"/>
        </w:rPr>
      </w:pPr>
      <w:r w:rsidRPr="00E00B35">
        <w:rPr>
          <w:bCs/>
          <w:color w:val="000000"/>
          <w:szCs w:val="20"/>
        </w:rPr>
        <w:t>Ilość usuniętych drzew/krzewów w sprawie zamierzeń inwestycyjnych</w:t>
      </w:r>
    </w:p>
    <w:p w:rsidR="007A4D59" w:rsidRPr="00E00B35" w:rsidRDefault="007A4D59" w:rsidP="00E00B35">
      <w:pPr>
        <w:spacing w:after="0" w:line="312" w:lineRule="auto"/>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5"/>
        <w:gridCol w:w="1229"/>
        <w:gridCol w:w="1053"/>
        <w:gridCol w:w="1229"/>
        <w:gridCol w:w="1053"/>
        <w:gridCol w:w="1229"/>
        <w:gridCol w:w="1194"/>
        <w:gridCol w:w="1248"/>
      </w:tblGrid>
      <w:tr w:rsidR="007A4D59" w:rsidRPr="00E00B35" w:rsidTr="006D3493">
        <w:tc>
          <w:tcPr>
            <w:tcW w:w="2174" w:type="dxa"/>
            <w:gridSpan w:val="2"/>
          </w:tcPr>
          <w:p w:rsidR="007A4D59" w:rsidRPr="00E00B35" w:rsidRDefault="007A4D59" w:rsidP="00E00B35">
            <w:pPr>
              <w:spacing w:after="0" w:line="312" w:lineRule="auto"/>
              <w:rPr>
                <w:szCs w:val="20"/>
              </w:rPr>
            </w:pPr>
            <w:r w:rsidRPr="00E00B35">
              <w:rPr>
                <w:szCs w:val="20"/>
              </w:rPr>
              <w:t>Zezwolono na usunięcie</w:t>
            </w:r>
          </w:p>
        </w:tc>
        <w:tc>
          <w:tcPr>
            <w:tcW w:w="2282" w:type="dxa"/>
            <w:gridSpan w:val="2"/>
          </w:tcPr>
          <w:p w:rsidR="007A4D59" w:rsidRPr="00E00B35" w:rsidRDefault="007A4D59" w:rsidP="00E00B35">
            <w:pPr>
              <w:spacing w:after="0" w:line="312" w:lineRule="auto"/>
              <w:rPr>
                <w:szCs w:val="20"/>
              </w:rPr>
            </w:pPr>
            <w:r w:rsidRPr="00E00B35">
              <w:rPr>
                <w:szCs w:val="20"/>
              </w:rPr>
              <w:t>Zezwolono na przesadzenie</w:t>
            </w:r>
          </w:p>
        </w:tc>
        <w:tc>
          <w:tcPr>
            <w:tcW w:w="2282" w:type="dxa"/>
            <w:gridSpan w:val="2"/>
          </w:tcPr>
          <w:p w:rsidR="007A4D59" w:rsidRPr="00E00B35" w:rsidRDefault="007A4D59" w:rsidP="00E00B35">
            <w:pPr>
              <w:spacing w:after="0" w:line="312" w:lineRule="auto"/>
              <w:rPr>
                <w:szCs w:val="20"/>
              </w:rPr>
            </w:pPr>
            <w:r w:rsidRPr="00E00B35">
              <w:rPr>
                <w:szCs w:val="20"/>
              </w:rPr>
              <w:t>Zobowiązano do nasadzeń zastępczych</w:t>
            </w:r>
          </w:p>
        </w:tc>
        <w:tc>
          <w:tcPr>
            <w:tcW w:w="2442" w:type="dxa"/>
            <w:gridSpan w:val="2"/>
          </w:tcPr>
          <w:p w:rsidR="007A4D59" w:rsidRPr="00E00B35" w:rsidRDefault="007A4D59" w:rsidP="00E00B35">
            <w:pPr>
              <w:spacing w:after="0" w:line="312" w:lineRule="auto"/>
              <w:rPr>
                <w:szCs w:val="20"/>
              </w:rPr>
            </w:pPr>
            <w:r w:rsidRPr="00E00B35">
              <w:rPr>
                <w:szCs w:val="20"/>
              </w:rPr>
              <w:t>Zobowiązano do nasadzeń kompensacyjnych</w:t>
            </w:r>
          </w:p>
        </w:tc>
      </w:tr>
      <w:tr w:rsidR="007A4D59" w:rsidRPr="00E00B35" w:rsidTr="006D3493">
        <w:tc>
          <w:tcPr>
            <w:tcW w:w="945" w:type="dxa"/>
          </w:tcPr>
          <w:p w:rsidR="007A4D59" w:rsidRPr="00E00B35" w:rsidRDefault="007A4D59" w:rsidP="00E00B35">
            <w:pPr>
              <w:spacing w:after="0" w:line="312" w:lineRule="auto"/>
              <w:rPr>
                <w:rFonts w:cs="Arial"/>
                <w:bCs/>
                <w:color w:val="000000"/>
                <w:szCs w:val="20"/>
              </w:rPr>
            </w:pPr>
            <w:r w:rsidRPr="00E00B35">
              <w:rPr>
                <w:rFonts w:cs="Arial"/>
                <w:bCs/>
                <w:color w:val="000000"/>
                <w:szCs w:val="20"/>
              </w:rPr>
              <w:t>Drzew</w:t>
            </w:r>
          </w:p>
          <w:p w:rsidR="007A4D59" w:rsidRPr="00E00B35" w:rsidRDefault="007A4D59" w:rsidP="00E00B35">
            <w:pPr>
              <w:spacing w:after="0" w:line="312" w:lineRule="auto"/>
              <w:rPr>
                <w:rFonts w:cs="Arial"/>
                <w:bCs/>
                <w:color w:val="000000"/>
                <w:szCs w:val="20"/>
              </w:rPr>
            </w:pPr>
            <w:r w:rsidRPr="00E00B35">
              <w:rPr>
                <w:rFonts w:cs="Arial"/>
                <w:bCs/>
                <w:color w:val="000000"/>
                <w:szCs w:val="20"/>
              </w:rPr>
              <w:t>(szt.)</w:t>
            </w:r>
          </w:p>
        </w:tc>
        <w:tc>
          <w:tcPr>
            <w:tcW w:w="1229" w:type="dxa"/>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p>
          <w:p w:rsidR="007A4D59" w:rsidRPr="00E00B35" w:rsidRDefault="007A4D59" w:rsidP="00E00B35">
            <w:pPr>
              <w:spacing w:after="0" w:line="312" w:lineRule="auto"/>
              <w:rPr>
                <w:rFonts w:cs="Arial"/>
                <w:color w:val="000000"/>
                <w:szCs w:val="20"/>
              </w:rPr>
            </w:pPr>
            <w:r w:rsidRPr="00E00B35">
              <w:rPr>
                <w:rFonts w:cs="Arial"/>
                <w:color w:val="000000"/>
                <w:szCs w:val="20"/>
              </w:rPr>
              <w:t>[m</w:t>
            </w:r>
            <w:r w:rsidRPr="00E00B35">
              <w:rPr>
                <w:rFonts w:cs="Arial"/>
                <w:color w:val="000000"/>
                <w:szCs w:val="20"/>
                <w:vertAlign w:val="superscript"/>
              </w:rPr>
              <w:t>2</w:t>
            </w:r>
            <w:r w:rsidRPr="00E00B35">
              <w:rPr>
                <w:rFonts w:cs="Arial"/>
                <w:color w:val="000000"/>
                <w:szCs w:val="20"/>
              </w:rPr>
              <w:t>]</w:t>
            </w:r>
          </w:p>
        </w:tc>
        <w:tc>
          <w:tcPr>
            <w:tcW w:w="1053" w:type="dxa"/>
          </w:tcPr>
          <w:p w:rsidR="007A4D59" w:rsidRPr="00E00B35" w:rsidRDefault="007A4D59" w:rsidP="00E00B35">
            <w:pPr>
              <w:spacing w:after="0" w:line="312" w:lineRule="auto"/>
              <w:rPr>
                <w:rFonts w:cs="Arial"/>
                <w:color w:val="000000"/>
                <w:szCs w:val="20"/>
              </w:rPr>
            </w:pPr>
            <w:r w:rsidRPr="00E00B35">
              <w:rPr>
                <w:rFonts w:cs="Arial"/>
                <w:color w:val="000000"/>
                <w:szCs w:val="20"/>
              </w:rPr>
              <w:t>Drzew</w:t>
            </w:r>
          </w:p>
          <w:p w:rsidR="007A4D59" w:rsidRPr="00E00B35" w:rsidRDefault="007A4D59" w:rsidP="00E00B35">
            <w:pPr>
              <w:spacing w:after="0" w:line="312" w:lineRule="auto"/>
              <w:rPr>
                <w:rFonts w:cs="Arial"/>
                <w:color w:val="000000"/>
                <w:szCs w:val="20"/>
              </w:rPr>
            </w:pPr>
            <w:r w:rsidRPr="00E00B35">
              <w:rPr>
                <w:rFonts w:cs="Arial"/>
                <w:color w:val="000000"/>
                <w:szCs w:val="20"/>
              </w:rPr>
              <w:t>(szt.)</w:t>
            </w:r>
          </w:p>
        </w:tc>
        <w:tc>
          <w:tcPr>
            <w:tcW w:w="1229" w:type="dxa"/>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p>
          <w:p w:rsidR="007A4D59" w:rsidRPr="00E00B35" w:rsidRDefault="007A4D59" w:rsidP="00E00B35">
            <w:pPr>
              <w:spacing w:after="0" w:line="312" w:lineRule="auto"/>
              <w:rPr>
                <w:rFonts w:cs="Arial"/>
                <w:color w:val="000000"/>
                <w:szCs w:val="20"/>
              </w:rPr>
            </w:pPr>
            <w:r w:rsidRPr="00E00B35">
              <w:rPr>
                <w:rFonts w:cs="Arial"/>
                <w:color w:val="000000"/>
                <w:szCs w:val="20"/>
              </w:rPr>
              <w:t>[m</w:t>
            </w:r>
            <w:r w:rsidRPr="00E00B35">
              <w:rPr>
                <w:rFonts w:cs="Arial"/>
                <w:color w:val="000000"/>
                <w:szCs w:val="20"/>
                <w:vertAlign w:val="superscript"/>
              </w:rPr>
              <w:t>2</w:t>
            </w:r>
            <w:r w:rsidRPr="00E00B35">
              <w:rPr>
                <w:rFonts w:cs="Arial"/>
                <w:color w:val="000000"/>
                <w:szCs w:val="20"/>
              </w:rPr>
              <w:t>]</w:t>
            </w:r>
          </w:p>
        </w:tc>
        <w:tc>
          <w:tcPr>
            <w:tcW w:w="1053" w:type="dxa"/>
          </w:tcPr>
          <w:p w:rsidR="007A4D59" w:rsidRPr="00E00B35" w:rsidRDefault="007A4D59" w:rsidP="00E00B35">
            <w:pPr>
              <w:spacing w:after="0" w:line="312" w:lineRule="auto"/>
              <w:rPr>
                <w:rFonts w:cs="Arial"/>
                <w:color w:val="000000"/>
                <w:szCs w:val="20"/>
              </w:rPr>
            </w:pPr>
            <w:r w:rsidRPr="00E00B35">
              <w:rPr>
                <w:rFonts w:cs="Arial"/>
                <w:color w:val="000000"/>
                <w:szCs w:val="20"/>
              </w:rPr>
              <w:t>Drzew</w:t>
            </w:r>
          </w:p>
          <w:p w:rsidR="007A4D59" w:rsidRPr="00E00B35" w:rsidRDefault="007A4D59" w:rsidP="00E00B35">
            <w:pPr>
              <w:spacing w:after="0" w:line="312" w:lineRule="auto"/>
              <w:rPr>
                <w:rFonts w:cs="Arial"/>
                <w:color w:val="000000"/>
                <w:szCs w:val="20"/>
              </w:rPr>
            </w:pPr>
            <w:r w:rsidRPr="00E00B35">
              <w:rPr>
                <w:rFonts w:cs="Arial"/>
                <w:color w:val="000000"/>
                <w:szCs w:val="20"/>
              </w:rPr>
              <w:t>(szt.)</w:t>
            </w:r>
          </w:p>
        </w:tc>
        <w:tc>
          <w:tcPr>
            <w:tcW w:w="1229" w:type="dxa"/>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p>
          <w:p w:rsidR="007A4D59" w:rsidRPr="00E00B35" w:rsidRDefault="007A4D59" w:rsidP="00E00B35">
            <w:pPr>
              <w:spacing w:after="0" w:line="312" w:lineRule="auto"/>
              <w:rPr>
                <w:rFonts w:cs="Arial"/>
                <w:color w:val="000000"/>
                <w:szCs w:val="20"/>
              </w:rPr>
            </w:pPr>
            <w:r w:rsidRPr="00E00B35">
              <w:rPr>
                <w:rFonts w:cs="Arial"/>
                <w:color w:val="000000"/>
                <w:szCs w:val="20"/>
              </w:rPr>
              <w:t>[m</w:t>
            </w:r>
            <w:r w:rsidRPr="00E00B35">
              <w:rPr>
                <w:rFonts w:cs="Arial"/>
                <w:color w:val="000000"/>
                <w:szCs w:val="20"/>
                <w:vertAlign w:val="superscript"/>
              </w:rPr>
              <w:t>2</w:t>
            </w:r>
            <w:r w:rsidRPr="00E00B35">
              <w:rPr>
                <w:rFonts w:cs="Arial"/>
                <w:color w:val="000000"/>
                <w:szCs w:val="20"/>
              </w:rPr>
              <w:t>]</w:t>
            </w:r>
          </w:p>
        </w:tc>
        <w:tc>
          <w:tcPr>
            <w:tcW w:w="1194" w:type="dxa"/>
          </w:tcPr>
          <w:p w:rsidR="007A4D59" w:rsidRPr="00E00B35" w:rsidRDefault="007A4D59" w:rsidP="00E00B35">
            <w:pPr>
              <w:spacing w:after="0" w:line="312" w:lineRule="auto"/>
              <w:rPr>
                <w:rFonts w:cs="Arial"/>
                <w:color w:val="000000"/>
                <w:szCs w:val="20"/>
              </w:rPr>
            </w:pPr>
            <w:r w:rsidRPr="00E00B35">
              <w:rPr>
                <w:rFonts w:cs="Arial"/>
                <w:color w:val="000000"/>
                <w:szCs w:val="20"/>
              </w:rPr>
              <w:t>Drzew</w:t>
            </w:r>
          </w:p>
          <w:p w:rsidR="007A4D59" w:rsidRPr="00E00B35" w:rsidRDefault="007A4D59" w:rsidP="00E00B35">
            <w:pPr>
              <w:spacing w:after="0" w:line="312" w:lineRule="auto"/>
              <w:rPr>
                <w:rFonts w:cs="Arial"/>
                <w:color w:val="000000"/>
                <w:szCs w:val="20"/>
              </w:rPr>
            </w:pPr>
            <w:r w:rsidRPr="00E00B35">
              <w:rPr>
                <w:rFonts w:cs="Arial"/>
                <w:color w:val="000000"/>
                <w:szCs w:val="20"/>
              </w:rPr>
              <w:t>(szt.)</w:t>
            </w:r>
          </w:p>
        </w:tc>
        <w:tc>
          <w:tcPr>
            <w:tcW w:w="1248" w:type="dxa"/>
          </w:tcPr>
          <w:p w:rsidR="007A4D59" w:rsidRPr="00E00B35" w:rsidRDefault="007A4D59" w:rsidP="00E00B35">
            <w:pPr>
              <w:spacing w:after="0" w:line="312" w:lineRule="auto"/>
              <w:rPr>
                <w:rFonts w:cs="Arial"/>
                <w:color w:val="000000"/>
                <w:szCs w:val="20"/>
              </w:rPr>
            </w:pPr>
            <w:r w:rsidRPr="00E00B35">
              <w:rPr>
                <w:rFonts w:cs="Arial"/>
                <w:color w:val="000000"/>
                <w:szCs w:val="20"/>
              </w:rPr>
              <w:t>Krzewy</w:t>
            </w:r>
          </w:p>
          <w:p w:rsidR="007A4D59" w:rsidRPr="00E00B35" w:rsidRDefault="007A4D59" w:rsidP="00E00B35">
            <w:pPr>
              <w:spacing w:after="0" w:line="312" w:lineRule="auto"/>
              <w:rPr>
                <w:rFonts w:cs="Arial"/>
                <w:color w:val="000000"/>
                <w:szCs w:val="20"/>
              </w:rPr>
            </w:pPr>
            <w:r w:rsidRPr="00E00B35">
              <w:rPr>
                <w:rFonts w:cs="Arial"/>
                <w:color w:val="000000"/>
                <w:szCs w:val="20"/>
              </w:rPr>
              <w:t>[m</w:t>
            </w:r>
            <w:r w:rsidRPr="00E00B35">
              <w:rPr>
                <w:rFonts w:cs="Arial"/>
                <w:color w:val="000000"/>
                <w:szCs w:val="20"/>
                <w:vertAlign w:val="superscript"/>
              </w:rPr>
              <w:t>2</w:t>
            </w:r>
            <w:r w:rsidRPr="00E00B35">
              <w:rPr>
                <w:rFonts w:cs="Arial"/>
                <w:color w:val="000000"/>
                <w:szCs w:val="20"/>
              </w:rPr>
              <w:t>]</w:t>
            </w:r>
          </w:p>
        </w:tc>
      </w:tr>
      <w:tr w:rsidR="007A4D59" w:rsidRPr="00E00B35" w:rsidTr="006D3493">
        <w:tc>
          <w:tcPr>
            <w:tcW w:w="945" w:type="dxa"/>
            <w:vAlign w:val="center"/>
          </w:tcPr>
          <w:p w:rsidR="007A4D59" w:rsidRPr="00E00B35" w:rsidRDefault="007A4D59" w:rsidP="00E00B35">
            <w:pPr>
              <w:spacing w:after="0" w:line="312" w:lineRule="auto"/>
              <w:rPr>
                <w:rFonts w:cs="Arial"/>
                <w:bCs/>
                <w:color w:val="000000"/>
                <w:szCs w:val="20"/>
              </w:rPr>
            </w:pPr>
            <w:r w:rsidRPr="00E00B35">
              <w:rPr>
                <w:rFonts w:cs="Arial"/>
                <w:color w:val="000000"/>
                <w:szCs w:val="20"/>
              </w:rPr>
              <w:t>1 995</w:t>
            </w:r>
          </w:p>
        </w:tc>
        <w:tc>
          <w:tcPr>
            <w:tcW w:w="1229"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654,7</w:t>
            </w:r>
          </w:p>
        </w:tc>
        <w:tc>
          <w:tcPr>
            <w:tcW w:w="1053"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229"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053"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172</w:t>
            </w:r>
          </w:p>
        </w:tc>
        <w:tc>
          <w:tcPr>
            <w:tcW w:w="1229"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130</w:t>
            </w:r>
          </w:p>
        </w:tc>
        <w:tc>
          <w:tcPr>
            <w:tcW w:w="1194"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1 135</w:t>
            </w:r>
          </w:p>
        </w:tc>
        <w:tc>
          <w:tcPr>
            <w:tcW w:w="1248"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70</w:t>
            </w:r>
          </w:p>
        </w:tc>
      </w:tr>
    </w:tbl>
    <w:p w:rsidR="007A4D59" w:rsidRPr="00E00B35" w:rsidRDefault="007A4D59" w:rsidP="00E00B35">
      <w:pPr>
        <w:pStyle w:val="Tekstpodstawowywcity"/>
        <w:tabs>
          <w:tab w:val="num" w:pos="2496"/>
        </w:tabs>
        <w:spacing w:after="0" w:line="312" w:lineRule="auto"/>
        <w:ind w:left="0"/>
        <w:rPr>
          <w:bCs/>
          <w:color w:val="000000"/>
          <w:szCs w:val="20"/>
        </w:rPr>
      </w:pPr>
    </w:p>
    <w:p w:rsidR="007A4D59" w:rsidRPr="00E00B35" w:rsidRDefault="007A4D59" w:rsidP="00E00B35">
      <w:pPr>
        <w:pStyle w:val="Tekstpodstawowywcity"/>
        <w:tabs>
          <w:tab w:val="num" w:pos="2496"/>
        </w:tabs>
        <w:spacing w:after="0" w:line="312" w:lineRule="auto"/>
        <w:ind w:left="0"/>
        <w:rPr>
          <w:bCs/>
          <w:color w:val="000000"/>
          <w:szCs w:val="20"/>
        </w:rPr>
      </w:pPr>
      <w:r w:rsidRPr="00E00B35">
        <w:rPr>
          <w:bCs/>
          <w:color w:val="000000"/>
          <w:szCs w:val="20"/>
        </w:rPr>
        <w:t>Liczba drzew/krzewów, dla których wydano decyzje o usunięciu w sprawie zagrożenia bezpieczeństwa linii kolejowych</w:t>
      </w:r>
    </w:p>
    <w:p w:rsidR="007A4D59" w:rsidRPr="00E00B35" w:rsidRDefault="007A4D59" w:rsidP="00E00B35">
      <w:pPr>
        <w:pStyle w:val="Tekstpodstawowywcity"/>
        <w:tabs>
          <w:tab w:val="num" w:pos="2496"/>
        </w:tabs>
        <w:spacing w:after="0" w:line="312" w:lineRule="auto"/>
        <w:rPr>
          <w:bCs/>
          <w:color w:val="000000"/>
          <w:szCs w:val="20"/>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6"/>
        <w:gridCol w:w="1899"/>
        <w:gridCol w:w="1755"/>
        <w:gridCol w:w="1882"/>
        <w:gridCol w:w="1978"/>
      </w:tblGrid>
      <w:tr w:rsidR="007A4D59" w:rsidRPr="00E00B35" w:rsidTr="006D3493">
        <w:tc>
          <w:tcPr>
            <w:tcW w:w="3565" w:type="dxa"/>
            <w:gridSpan w:val="2"/>
          </w:tcPr>
          <w:p w:rsidR="007A4D59" w:rsidRPr="00E00B35" w:rsidRDefault="007A4D59" w:rsidP="00E00B35">
            <w:pPr>
              <w:spacing w:after="0" w:line="312" w:lineRule="auto"/>
              <w:rPr>
                <w:szCs w:val="20"/>
              </w:rPr>
            </w:pPr>
            <w:r w:rsidRPr="00E00B35">
              <w:rPr>
                <w:szCs w:val="20"/>
              </w:rPr>
              <w:t>Liczba drzew/krzewów rosnącą niezgodnie z warunkiem odległości</w:t>
            </w:r>
          </w:p>
        </w:tc>
        <w:tc>
          <w:tcPr>
            <w:tcW w:w="3637" w:type="dxa"/>
            <w:gridSpan w:val="2"/>
          </w:tcPr>
          <w:p w:rsidR="007A4D59" w:rsidRPr="00E00B35" w:rsidRDefault="007A4D59" w:rsidP="00E00B35">
            <w:pPr>
              <w:spacing w:after="0" w:line="312" w:lineRule="auto"/>
              <w:rPr>
                <w:szCs w:val="20"/>
              </w:rPr>
            </w:pPr>
            <w:r w:rsidRPr="00E00B35">
              <w:rPr>
                <w:szCs w:val="20"/>
              </w:rPr>
              <w:t>Odmowa usunięcia</w:t>
            </w:r>
          </w:p>
        </w:tc>
        <w:tc>
          <w:tcPr>
            <w:tcW w:w="1978" w:type="dxa"/>
          </w:tcPr>
          <w:p w:rsidR="007A4D59" w:rsidRPr="00E00B35" w:rsidRDefault="007A4D59" w:rsidP="00E00B35">
            <w:pPr>
              <w:spacing w:after="0" w:line="312" w:lineRule="auto"/>
              <w:rPr>
                <w:szCs w:val="20"/>
              </w:rPr>
            </w:pPr>
            <w:r w:rsidRPr="00E00B35">
              <w:rPr>
                <w:szCs w:val="20"/>
              </w:rPr>
              <w:t>Nr linii kolejowej</w:t>
            </w:r>
          </w:p>
        </w:tc>
      </w:tr>
      <w:tr w:rsidR="007A4D59" w:rsidRPr="00E00B35" w:rsidTr="006D3493">
        <w:tc>
          <w:tcPr>
            <w:tcW w:w="1666" w:type="dxa"/>
          </w:tcPr>
          <w:p w:rsidR="007A4D59" w:rsidRPr="00E00B35" w:rsidRDefault="007A4D59" w:rsidP="00E00B35">
            <w:pPr>
              <w:spacing w:after="0" w:line="312" w:lineRule="auto"/>
              <w:rPr>
                <w:rFonts w:cs="Arial"/>
                <w:bCs/>
                <w:color w:val="000000"/>
                <w:szCs w:val="20"/>
              </w:rPr>
            </w:pPr>
            <w:r w:rsidRPr="00E00B35">
              <w:rPr>
                <w:rFonts w:cs="Arial"/>
                <w:bCs/>
                <w:color w:val="000000"/>
                <w:szCs w:val="20"/>
              </w:rPr>
              <w:t>Drzew</w:t>
            </w:r>
          </w:p>
          <w:p w:rsidR="007A4D59" w:rsidRPr="00E00B35" w:rsidRDefault="007A4D59" w:rsidP="00E00B35">
            <w:pPr>
              <w:spacing w:after="0" w:line="312" w:lineRule="auto"/>
              <w:rPr>
                <w:rFonts w:cs="Arial"/>
                <w:bCs/>
                <w:color w:val="000000"/>
                <w:szCs w:val="20"/>
              </w:rPr>
            </w:pPr>
            <w:r w:rsidRPr="00E00B35">
              <w:rPr>
                <w:rFonts w:cs="Arial"/>
                <w:bCs/>
                <w:color w:val="000000"/>
                <w:szCs w:val="20"/>
              </w:rPr>
              <w:t>(szt.)</w:t>
            </w:r>
          </w:p>
        </w:tc>
        <w:tc>
          <w:tcPr>
            <w:tcW w:w="1899" w:type="dxa"/>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p>
          <w:p w:rsidR="007A4D59" w:rsidRPr="00E00B35" w:rsidRDefault="007A4D59" w:rsidP="00E00B35">
            <w:pPr>
              <w:spacing w:after="0" w:line="312" w:lineRule="auto"/>
              <w:rPr>
                <w:rFonts w:cs="Arial"/>
                <w:color w:val="000000"/>
                <w:szCs w:val="20"/>
              </w:rPr>
            </w:pPr>
            <w:r w:rsidRPr="00E00B35">
              <w:rPr>
                <w:rFonts w:cs="Arial"/>
                <w:color w:val="000000"/>
                <w:szCs w:val="20"/>
              </w:rPr>
              <w:t>[m</w:t>
            </w:r>
            <w:r w:rsidRPr="00E00B35">
              <w:rPr>
                <w:rFonts w:cs="Arial"/>
                <w:color w:val="000000"/>
                <w:szCs w:val="20"/>
                <w:vertAlign w:val="superscript"/>
              </w:rPr>
              <w:t>2</w:t>
            </w:r>
            <w:r w:rsidRPr="00E00B35">
              <w:rPr>
                <w:rFonts w:cs="Arial"/>
                <w:color w:val="000000"/>
                <w:szCs w:val="20"/>
              </w:rPr>
              <w:t>]</w:t>
            </w:r>
          </w:p>
        </w:tc>
        <w:tc>
          <w:tcPr>
            <w:tcW w:w="1755" w:type="dxa"/>
          </w:tcPr>
          <w:p w:rsidR="007A4D59" w:rsidRPr="00E00B35" w:rsidRDefault="007A4D59" w:rsidP="00E00B35">
            <w:pPr>
              <w:spacing w:after="0" w:line="312" w:lineRule="auto"/>
              <w:rPr>
                <w:rFonts w:cs="Arial"/>
                <w:bCs/>
                <w:color w:val="000000"/>
                <w:szCs w:val="20"/>
              </w:rPr>
            </w:pPr>
            <w:r w:rsidRPr="00E00B35">
              <w:rPr>
                <w:rFonts w:cs="Arial"/>
                <w:bCs/>
                <w:color w:val="000000"/>
                <w:szCs w:val="20"/>
              </w:rPr>
              <w:t>Drzew</w:t>
            </w:r>
          </w:p>
          <w:p w:rsidR="007A4D59" w:rsidRPr="00E00B35" w:rsidRDefault="007A4D59" w:rsidP="00E00B35">
            <w:pPr>
              <w:spacing w:after="0" w:line="312" w:lineRule="auto"/>
              <w:rPr>
                <w:rFonts w:cs="Arial"/>
                <w:bCs/>
                <w:color w:val="000000"/>
                <w:szCs w:val="20"/>
              </w:rPr>
            </w:pPr>
            <w:r w:rsidRPr="00E00B35">
              <w:rPr>
                <w:rFonts w:cs="Arial"/>
                <w:bCs/>
                <w:color w:val="000000"/>
                <w:szCs w:val="20"/>
              </w:rPr>
              <w:t>(szt.)</w:t>
            </w:r>
          </w:p>
        </w:tc>
        <w:tc>
          <w:tcPr>
            <w:tcW w:w="1882" w:type="dxa"/>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p>
          <w:p w:rsidR="007A4D59" w:rsidRPr="00E00B35" w:rsidRDefault="007A4D59" w:rsidP="00E00B35">
            <w:pPr>
              <w:spacing w:after="0" w:line="312" w:lineRule="auto"/>
              <w:rPr>
                <w:rFonts w:cs="Arial"/>
                <w:color w:val="000000"/>
                <w:szCs w:val="20"/>
              </w:rPr>
            </w:pPr>
            <w:r w:rsidRPr="00E00B35">
              <w:rPr>
                <w:rFonts w:cs="Arial"/>
                <w:color w:val="000000"/>
                <w:szCs w:val="20"/>
              </w:rPr>
              <w:t>[m</w:t>
            </w:r>
            <w:r w:rsidRPr="00E00B35">
              <w:rPr>
                <w:rFonts w:cs="Arial"/>
                <w:color w:val="000000"/>
                <w:szCs w:val="20"/>
                <w:vertAlign w:val="superscript"/>
              </w:rPr>
              <w:t>2</w:t>
            </w:r>
            <w:r w:rsidRPr="00E00B35">
              <w:rPr>
                <w:rFonts w:cs="Arial"/>
                <w:color w:val="000000"/>
                <w:szCs w:val="20"/>
              </w:rPr>
              <w:t>]</w:t>
            </w:r>
          </w:p>
        </w:tc>
        <w:tc>
          <w:tcPr>
            <w:tcW w:w="1978" w:type="dxa"/>
          </w:tcPr>
          <w:p w:rsidR="007A4D59" w:rsidRPr="00E00B35" w:rsidRDefault="007A4D59" w:rsidP="00E00B35">
            <w:pPr>
              <w:spacing w:after="0" w:line="312" w:lineRule="auto"/>
              <w:rPr>
                <w:rFonts w:cs="Arial"/>
                <w:color w:val="000000"/>
                <w:szCs w:val="20"/>
              </w:rPr>
            </w:pPr>
          </w:p>
        </w:tc>
      </w:tr>
      <w:tr w:rsidR="007A4D59" w:rsidRPr="00E00B35" w:rsidTr="006D3493">
        <w:tc>
          <w:tcPr>
            <w:tcW w:w="1666" w:type="dxa"/>
          </w:tcPr>
          <w:p w:rsidR="007A4D59" w:rsidRPr="00E00B35" w:rsidRDefault="007A4D59" w:rsidP="00E00B35">
            <w:pPr>
              <w:spacing w:after="0" w:line="312" w:lineRule="auto"/>
              <w:rPr>
                <w:rFonts w:cs="Arial"/>
                <w:bCs/>
                <w:color w:val="000000"/>
                <w:szCs w:val="20"/>
              </w:rPr>
            </w:pPr>
            <w:r w:rsidRPr="00E00B35">
              <w:rPr>
                <w:rFonts w:cs="Arial"/>
                <w:bCs/>
                <w:color w:val="000000"/>
                <w:szCs w:val="20"/>
              </w:rPr>
              <w:t>774</w:t>
            </w:r>
          </w:p>
        </w:tc>
        <w:tc>
          <w:tcPr>
            <w:tcW w:w="1899" w:type="dxa"/>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755" w:type="dxa"/>
          </w:tcPr>
          <w:p w:rsidR="007A4D59" w:rsidRPr="00E00B35" w:rsidRDefault="007A4D59" w:rsidP="00E00B35">
            <w:pPr>
              <w:spacing w:after="0" w:line="312" w:lineRule="auto"/>
              <w:rPr>
                <w:rFonts w:cs="Arial"/>
                <w:color w:val="000000"/>
                <w:szCs w:val="20"/>
              </w:rPr>
            </w:pPr>
            <w:r w:rsidRPr="00E00B35">
              <w:rPr>
                <w:rFonts w:cs="Arial"/>
                <w:color w:val="000000"/>
                <w:szCs w:val="20"/>
              </w:rPr>
              <w:t>69</w:t>
            </w:r>
          </w:p>
        </w:tc>
        <w:tc>
          <w:tcPr>
            <w:tcW w:w="1882" w:type="dxa"/>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978" w:type="dxa"/>
          </w:tcPr>
          <w:p w:rsidR="007A4D59" w:rsidRPr="00E00B35" w:rsidRDefault="007A4D59" w:rsidP="00E00B35">
            <w:pPr>
              <w:spacing w:after="0" w:line="312" w:lineRule="auto"/>
              <w:rPr>
                <w:rFonts w:cs="Arial"/>
                <w:color w:val="000000"/>
                <w:szCs w:val="20"/>
              </w:rPr>
            </w:pPr>
            <w:r w:rsidRPr="00E00B35">
              <w:rPr>
                <w:rFonts w:cs="Arial"/>
                <w:color w:val="000000"/>
                <w:szCs w:val="20"/>
              </w:rPr>
              <w:t>285</w:t>
            </w:r>
          </w:p>
        </w:tc>
      </w:tr>
      <w:tr w:rsidR="007A4D59" w:rsidRPr="00E00B35" w:rsidTr="006D3493">
        <w:tc>
          <w:tcPr>
            <w:tcW w:w="1666" w:type="dxa"/>
          </w:tcPr>
          <w:p w:rsidR="007A4D59" w:rsidRPr="00E00B35" w:rsidRDefault="007A4D59" w:rsidP="00E00B35">
            <w:pPr>
              <w:spacing w:after="0" w:line="312" w:lineRule="auto"/>
              <w:rPr>
                <w:rFonts w:cs="Arial"/>
                <w:bCs/>
                <w:color w:val="000000"/>
                <w:szCs w:val="20"/>
              </w:rPr>
            </w:pPr>
            <w:r w:rsidRPr="00E00B35">
              <w:rPr>
                <w:rFonts w:cs="Arial"/>
                <w:bCs/>
                <w:color w:val="000000"/>
                <w:szCs w:val="20"/>
              </w:rPr>
              <w:t>68</w:t>
            </w:r>
          </w:p>
        </w:tc>
        <w:tc>
          <w:tcPr>
            <w:tcW w:w="1899" w:type="dxa"/>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755" w:type="dxa"/>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882" w:type="dxa"/>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978" w:type="dxa"/>
          </w:tcPr>
          <w:p w:rsidR="007A4D59" w:rsidRPr="00E00B35" w:rsidRDefault="007A4D59" w:rsidP="00E00B35">
            <w:pPr>
              <w:spacing w:after="0" w:line="312" w:lineRule="auto"/>
              <w:rPr>
                <w:rFonts w:cs="Arial"/>
                <w:color w:val="000000"/>
                <w:szCs w:val="20"/>
              </w:rPr>
            </w:pPr>
            <w:r w:rsidRPr="00E00B35">
              <w:rPr>
                <w:rFonts w:cs="Arial"/>
                <w:color w:val="000000"/>
                <w:szCs w:val="20"/>
              </w:rPr>
              <w:t>763</w:t>
            </w:r>
          </w:p>
        </w:tc>
      </w:tr>
      <w:tr w:rsidR="007A4D59" w:rsidRPr="00E00B35" w:rsidTr="006D3493">
        <w:tc>
          <w:tcPr>
            <w:tcW w:w="1666" w:type="dxa"/>
          </w:tcPr>
          <w:p w:rsidR="007A4D59" w:rsidRPr="00E00B35" w:rsidRDefault="007A4D59" w:rsidP="00E00B35">
            <w:pPr>
              <w:spacing w:after="0" w:line="312" w:lineRule="auto"/>
              <w:rPr>
                <w:rFonts w:cs="Arial"/>
                <w:bCs/>
                <w:color w:val="000000"/>
                <w:szCs w:val="20"/>
                <w:highlight w:val="yellow"/>
              </w:rPr>
            </w:pPr>
            <w:r w:rsidRPr="00E00B35">
              <w:rPr>
                <w:rFonts w:cs="Arial"/>
                <w:bCs/>
                <w:color w:val="000000"/>
                <w:szCs w:val="20"/>
              </w:rPr>
              <w:t>1</w:t>
            </w:r>
          </w:p>
        </w:tc>
        <w:tc>
          <w:tcPr>
            <w:tcW w:w="1899" w:type="dxa"/>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755" w:type="dxa"/>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882" w:type="dxa"/>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978" w:type="dxa"/>
          </w:tcPr>
          <w:p w:rsidR="007A4D59" w:rsidRPr="00E00B35" w:rsidRDefault="007A4D59" w:rsidP="00E00B35">
            <w:pPr>
              <w:spacing w:after="0" w:line="312" w:lineRule="auto"/>
              <w:rPr>
                <w:rFonts w:cs="Arial"/>
                <w:color w:val="000000"/>
                <w:szCs w:val="20"/>
                <w:highlight w:val="yellow"/>
              </w:rPr>
            </w:pPr>
            <w:r w:rsidRPr="00E00B35">
              <w:rPr>
                <w:rFonts w:cs="Arial"/>
                <w:color w:val="000000"/>
                <w:szCs w:val="20"/>
              </w:rPr>
              <w:t>143</w:t>
            </w:r>
          </w:p>
        </w:tc>
      </w:tr>
      <w:tr w:rsidR="007A4D59" w:rsidRPr="00E00B35" w:rsidTr="006D3493">
        <w:tc>
          <w:tcPr>
            <w:tcW w:w="1666" w:type="dxa"/>
            <w:vAlign w:val="bottom"/>
          </w:tcPr>
          <w:p w:rsidR="007A4D59" w:rsidRPr="00E00B35" w:rsidRDefault="007A4D59" w:rsidP="00E00B35">
            <w:pPr>
              <w:spacing w:after="0" w:line="312" w:lineRule="auto"/>
              <w:rPr>
                <w:rFonts w:cs="Arial"/>
                <w:bCs/>
                <w:color w:val="000000"/>
                <w:szCs w:val="20"/>
              </w:rPr>
            </w:pPr>
            <w:r w:rsidRPr="00E00B35">
              <w:rPr>
                <w:rFonts w:cs="Arial"/>
                <w:bCs/>
                <w:color w:val="000000"/>
                <w:szCs w:val="20"/>
              </w:rPr>
              <w:t>843</w:t>
            </w:r>
          </w:p>
        </w:tc>
        <w:tc>
          <w:tcPr>
            <w:tcW w:w="1899" w:type="dxa"/>
            <w:vAlign w:val="bottom"/>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755" w:type="dxa"/>
            <w:vAlign w:val="bottom"/>
          </w:tcPr>
          <w:p w:rsidR="007A4D59" w:rsidRPr="00E00B35" w:rsidRDefault="007A4D59" w:rsidP="00E00B35">
            <w:pPr>
              <w:spacing w:after="0" w:line="312" w:lineRule="auto"/>
              <w:rPr>
                <w:rFonts w:cs="Arial"/>
                <w:color w:val="000000"/>
                <w:szCs w:val="20"/>
              </w:rPr>
            </w:pPr>
            <w:r w:rsidRPr="00E00B35">
              <w:rPr>
                <w:rFonts w:cs="Arial"/>
                <w:color w:val="000000"/>
                <w:szCs w:val="20"/>
              </w:rPr>
              <w:t>69</w:t>
            </w:r>
          </w:p>
        </w:tc>
        <w:tc>
          <w:tcPr>
            <w:tcW w:w="1882" w:type="dxa"/>
            <w:vAlign w:val="bottom"/>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978" w:type="dxa"/>
            <w:vAlign w:val="center"/>
          </w:tcPr>
          <w:p w:rsidR="007A4D59" w:rsidRPr="00E00B35" w:rsidRDefault="007A4D59" w:rsidP="00E00B35">
            <w:pPr>
              <w:spacing w:after="0" w:line="312" w:lineRule="auto"/>
              <w:rPr>
                <w:rFonts w:cs="Arial"/>
                <w:color w:val="000000"/>
                <w:szCs w:val="20"/>
                <w:highlight w:val="yellow"/>
              </w:rPr>
            </w:pPr>
          </w:p>
        </w:tc>
      </w:tr>
    </w:tbl>
    <w:p w:rsidR="007A4D59" w:rsidRPr="00E00B35" w:rsidRDefault="007A4D59" w:rsidP="00E00B35">
      <w:pPr>
        <w:spacing w:after="0" w:line="312" w:lineRule="auto"/>
        <w:rPr>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Złomy i wywroty</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rFonts w:cs="Arial"/>
          <w:szCs w:val="20"/>
        </w:rPr>
      </w:pPr>
      <w:r w:rsidRPr="00E00B35">
        <w:rPr>
          <w:rFonts w:cs="Arial"/>
          <w:szCs w:val="20"/>
        </w:rPr>
        <w:lastRenderedPageBreak/>
        <w:t xml:space="preserve">W wyniku wszczętych 92 postępowań administracyjnych na wniosek posiadaczy nieruchomości zakwalifikowano, jako złom 81 szt. drzew oraz 61 szt. drzew uznano, jako wywrot. W </w:t>
      </w:r>
      <w:r w:rsidRPr="00E00B35">
        <w:rPr>
          <w:szCs w:val="20"/>
        </w:rPr>
        <w:t xml:space="preserve">myśl art. 83f ust. 1 pkt 13 i pkt 14 lit. a, ustawy o ochronie przyrody podmioty określone w tych przepisach, (m.in. jednostki ochrony przeciwpożarowej, jednostki Sił Zbrojnych Rzeczypospolitej Polskiej, zarządcy dróg, lub infrastruktury kolejowej) zgłosiły podjęcie 6 interwencji w zakresie usunięcia drzew, które zostały uszkodzone w wyniku działania czynników naturalnych. Zgłoszono usunięcie łącznie 65 szt. drzew – w tym 27 szt. to złomy, 15 szt. wywroty i 23 szt. inne kategorie drzew. </w:t>
      </w:r>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Zgłoszenia zamiaru usunięcia drzew</w:t>
      </w:r>
    </w:p>
    <w:p w:rsidR="007A4D59" w:rsidRPr="00E00B35" w:rsidRDefault="007A4D59" w:rsidP="00E00B35">
      <w:pPr>
        <w:autoSpaceDE w:val="0"/>
        <w:autoSpaceDN w:val="0"/>
        <w:adjustRightInd w:val="0"/>
        <w:spacing w:after="0" w:line="312" w:lineRule="auto"/>
        <w:rPr>
          <w:rFonts w:cs="Arial"/>
          <w:color w:val="000000"/>
          <w:szCs w:val="20"/>
        </w:rPr>
      </w:pPr>
    </w:p>
    <w:p w:rsidR="007A4D59" w:rsidRPr="00E00B35" w:rsidRDefault="007A4D59" w:rsidP="00E00B35">
      <w:pPr>
        <w:spacing w:after="0" w:line="312" w:lineRule="auto"/>
        <w:rPr>
          <w:color w:val="000000"/>
          <w:szCs w:val="20"/>
        </w:rPr>
      </w:pPr>
      <w:r w:rsidRPr="00E00B35">
        <w:rPr>
          <w:color w:val="000000"/>
          <w:szCs w:val="20"/>
        </w:rPr>
        <w:t xml:space="preserve">Na podstawie art. 83f ust. 4 ustawy z dnia 16 kwietnia 2004 r. o ochronie przyrody, właściciele nieruchomości dokonali 575 zgłoszeń zamiaru usunięcia drzew na cele niezwiązane z prowadzeniem działalności gospodarczej. </w:t>
      </w:r>
    </w:p>
    <w:p w:rsidR="007A4D59" w:rsidRPr="00E00B35" w:rsidRDefault="007A4D59" w:rsidP="00E00B35">
      <w:pPr>
        <w:spacing w:after="0" w:line="312" w:lineRule="auto"/>
        <w:rPr>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9"/>
        <w:gridCol w:w="2304"/>
        <w:gridCol w:w="2197"/>
        <w:gridCol w:w="2268"/>
      </w:tblGrid>
      <w:tr w:rsidR="007A4D59" w:rsidRPr="00E00B35" w:rsidTr="006D3493">
        <w:tc>
          <w:tcPr>
            <w:tcW w:w="2519" w:type="dxa"/>
          </w:tcPr>
          <w:p w:rsidR="007A4D59" w:rsidRPr="00E00B35" w:rsidRDefault="007A4D59" w:rsidP="00E00B35">
            <w:pPr>
              <w:spacing w:after="0" w:line="312" w:lineRule="auto"/>
              <w:rPr>
                <w:rFonts w:cs="Arial"/>
                <w:bCs/>
                <w:color w:val="000000"/>
                <w:szCs w:val="20"/>
              </w:rPr>
            </w:pPr>
            <w:r w:rsidRPr="00E00B35">
              <w:rPr>
                <w:rFonts w:cs="Arial"/>
                <w:bCs/>
                <w:color w:val="000000"/>
                <w:szCs w:val="20"/>
              </w:rPr>
              <w:t>Liczba drzew objętych zaświadczeniami o braku podstaw do wniesienia sprzeciwu</w:t>
            </w:r>
          </w:p>
        </w:tc>
        <w:tc>
          <w:tcPr>
            <w:tcW w:w="2304" w:type="dxa"/>
          </w:tcPr>
          <w:p w:rsidR="007A4D59" w:rsidRPr="00E00B35" w:rsidRDefault="007A4D59" w:rsidP="00E00B35">
            <w:pPr>
              <w:spacing w:after="0" w:line="312" w:lineRule="auto"/>
              <w:rPr>
                <w:rFonts w:cs="Arial"/>
                <w:bCs/>
                <w:color w:val="000000"/>
                <w:szCs w:val="20"/>
              </w:rPr>
            </w:pPr>
            <w:r w:rsidRPr="00E00B35">
              <w:rPr>
                <w:rFonts w:cs="Arial"/>
                <w:bCs/>
                <w:color w:val="000000"/>
                <w:szCs w:val="20"/>
              </w:rPr>
              <w:t>Liczba wydanych zaświadczeń o braku podstaw do wniesienia sprzeciwu</w:t>
            </w:r>
          </w:p>
        </w:tc>
        <w:tc>
          <w:tcPr>
            <w:tcW w:w="2197" w:type="dxa"/>
          </w:tcPr>
          <w:p w:rsidR="007A4D59" w:rsidRPr="00E00B35" w:rsidRDefault="007A4D59" w:rsidP="00E00B35">
            <w:pPr>
              <w:spacing w:after="0" w:line="312" w:lineRule="auto"/>
              <w:rPr>
                <w:rFonts w:cs="Arial"/>
                <w:bCs/>
                <w:color w:val="000000"/>
                <w:szCs w:val="20"/>
              </w:rPr>
            </w:pPr>
            <w:r w:rsidRPr="00E00B35">
              <w:rPr>
                <w:rFonts w:cs="Arial"/>
                <w:bCs/>
                <w:color w:val="000000"/>
                <w:szCs w:val="20"/>
              </w:rPr>
              <w:t>Liczba wydanych decyzji o sprzeciwie usunięcia drzewa</w:t>
            </w:r>
          </w:p>
        </w:tc>
        <w:tc>
          <w:tcPr>
            <w:tcW w:w="2268" w:type="dxa"/>
          </w:tcPr>
          <w:p w:rsidR="007A4D59" w:rsidRPr="00E00B35" w:rsidRDefault="007A4D59" w:rsidP="00E00B35">
            <w:pPr>
              <w:spacing w:after="0" w:line="312" w:lineRule="auto"/>
              <w:rPr>
                <w:rFonts w:cs="Arial"/>
                <w:bCs/>
                <w:color w:val="000000"/>
                <w:szCs w:val="20"/>
              </w:rPr>
            </w:pPr>
            <w:r w:rsidRPr="00E00B35">
              <w:rPr>
                <w:rFonts w:cs="Arial"/>
                <w:bCs/>
                <w:color w:val="000000"/>
                <w:szCs w:val="20"/>
              </w:rPr>
              <w:t>Liczba drzew objętych sprzeciwem</w:t>
            </w:r>
          </w:p>
        </w:tc>
      </w:tr>
      <w:tr w:rsidR="007A4D59" w:rsidRPr="00E00B35" w:rsidTr="006D3493">
        <w:tc>
          <w:tcPr>
            <w:tcW w:w="2519" w:type="dxa"/>
          </w:tcPr>
          <w:p w:rsidR="007A4D59" w:rsidRPr="00E00B35" w:rsidRDefault="007A4D59" w:rsidP="00E00B35">
            <w:pPr>
              <w:spacing w:after="0" w:line="312" w:lineRule="auto"/>
              <w:rPr>
                <w:rFonts w:cs="Arial"/>
                <w:bCs/>
                <w:color w:val="000000"/>
                <w:szCs w:val="20"/>
                <w:highlight w:val="yellow"/>
              </w:rPr>
            </w:pPr>
            <w:r w:rsidRPr="00E00B35">
              <w:rPr>
                <w:bCs/>
                <w:color w:val="000000"/>
                <w:szCs w:val="20"/>
              </w:rPr>
              <w:t>1 707</w:t>
            </w:r>
          </w:p>
        </w:tc>
        <w:tc>
          <w:tcPr>
            <w:tcW w:w="2304" w:type="dxa"/>
          </w:tcPr>
          <w:p w:rsidR="007A4D59" w:rsidRPr="00E00B35" w:rsidRDefault="007A4D59" w:rsidP="00E00B35">
            <w:pPr>
              <w:spacing w:after="0" w:line="312" w:lineRule="auto"/>
              <w:rPr>
                <w:rFonts w:cs="Arial"/>
                <w:color w:val="000000"/>
                <w:szCs w:val="20"/>
                <w:highlight w:val="yellow"/>
              </w:rPr>
            </w:pPr>
            <w:r w:rsidRPr="00E00B35">
              <w:rPr>
                <w:color w:val="000000"/>
                <w:szCs w:val="20"/>
              </w:rPr>
              <w:t>527</w:t>
            </w:r>
          </w:p>
        </w:tc>
        <w:tc>
          <w:tcPr>
            <w:tcW w:w="2197" w:type="dxa"/>
          </w:tcPr>
          <w:p w:rsidR="007A4D59" w:rsidRPr="00E00B35" w:rsidRDefault="007A4D59" w:rsidP="00E00B35">
            <w:pPr>
              <w:tabs>
                <w:tab w:val="left" w:pos="823"/>
                <w:tab w:val="center" w:pos="985"/>
              </w:tabs>
              <w:spacing w:after="0" w:line="312" w:lineRule="auto"/>
              <w:rPr>
                <w:rFonts w:cs="Arial"/>
                <w:color w:val="000000"/>
                <w:szCs w:val="20"/>
              </w:rPr>
            </w:pPr>
            <w:r w:rsidRPr="00E00B35">
              <w:rPr>
                <w:color w:val="000000"/>
                <w:szCs w:val="20"/>
              </w:rPr>
              <w:t>38</w:t>
            </w:r>
          </w:p>
        </w:tc>
        <w:tc>
          <w:tcPr>
            <w:tcW w:w="2268" w:type="dxa"/>
          </w:tcPr>
          <w:p w:rsidR="007A4D59" w:rsidRPr="00E00B35" w:rsidRDefault="007A4D59" w:rsidP="00E00B35">
            <w:pPr>
              <w:spacing w:after="0" w:line="312" w:lineRule="auto"/>
              <w:rPr>
                <w:color w:val="000000"/>
                <w:szCs w:val="20"/>
              </w:rPr>
            </w:pPr>
            <w:r w:rsidRPr="00E00B35">
              <w:rPr>
                <w:color w:val="000000"/>
                <w:szCs w:val="20"/>
              </w:rPr>
              <w:t>103</w:t>
            </w:r>
          </w:p>
        </w:tc>
      </w:tr>
    </w:tbl>
    <w:p w:rsidR="007A4D59" w:rsidRPr="00E00B35" w:rsidRDefault="007A4D59" w:rsidP="00E00B35">
      <w:pPr>
        <w:spacing w:after="0" w:line="312" w:lineRule="auto"/>
        <w:rPr>
          <w:color w:val="00000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Opinie w zakresie ochrony zieleni</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 xml:space="preserve">W 2020 r. zwrócono się z 71 wnioskami o wydanie opinii w zakresie ochrony terenów zieleni i zadrzewień. Wydano 31 opinii pozytywnych, 10 opinii negatywnych a 30 wniosków rozpatrzono w inny sposób. </w:t>
      </w:r>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Zestawienie kadencyjne spraw za okres 2016-2020 (wycinki zadrzewień)</w:t>
      </w:r>
    </w:p>
    <w:p w:rsidR="007A4D59" w:rsidRPr="00E00B35" w:rsidRDefault="007A4D59" w:rsidP="00E00B35">
      <w:pPr>
        <w:pStyle w:val="Zwykytekst"/>
        <w:spacing w:after="0" w:line="312" w:lineRule="auto"/>
        <w:rPr>
          <w:rFonts w:ascii="Verdana" w:hAnsi="Verdana"/>
          <w:color w:val="000000"/>
        </w:rPr>
      </w:pPr>
    </w:p>
    <w:p w:rsidR="007A4D59" w:rsidRPr="00E00B35" w:rsidRDefault="007A4D59" w:rsidP="00E00B35">
      <w:pPr>
        <w:pStyle w:val="Zwykytekst"/>
        <w:spacing w:after="0" w:line="312" w:lineRule="auto"/>
        <w:rPr>
          <w:rFonts w:ascii="Verdana" w:hAnsi="Verdana"/>
        </w:rPr>
      </w:pPr>
      <w:r w:rsidRPr="00E00B35">
        <w:rPr>
          <w:rFonts w:ascii="Verdana" w:hAnsi="Verdana"/>
        </w:rPr>
        <w:t>W 2016 r. w zakresie ochrony zadrzewień wpłynęło 2 380 wniosków. W wyniku prowadzonych postępowań administracyjnych wydano łącznie 1 768 decyzji administracyjnych. Spośród 1 768 decyzji administracyjnych wydano 1 530 decyzji zezwalających na usunięcie drzew i krzewów. W 2017 r. w zakresie ochrony zadrzewień wpłynęło 1 681 wniosków.</w:t>
      </w:r>
    </w:p>
    <w:p w:rsidR="007A4D59" w:rsidRPr="00E00B35" w:rsidRDefault="007A4D59" w:rsidP="00E00B35">
      <w:pPr>
        <w:pStyle w:val="Zwykytekst"/>
        <w:spacing w:after="0" w:line="312" w:lineRule="auto"/>
        <w:rPr>
          <w:rFonts w:ascii="Verdana" w:hAnsi="Verdana"/>
        </w:rPr>
      </w:pPr>
      <w:r w:rsidRPr="00E00B35">
        <w:rPr>
          <w:rFonts w:ascii="Verdana" w:hAnsi="Verdana"/>
        </w:rPr>
        <w:t>W wyniku prowadzonych postępowań administracyjnych wydano łącznie 1 103 decyzji. Spośród 1 103 decyzji administracyjnych wydano: 609 decyzji zezwalających na usunięcie drzew i krzewów.</w:t>
      </w:r>
    </w:p>
    <w:p w:rsidR="007A4D59" w:rsidRPr="00E00B35" w:rsidRDefault="007A4D59" w:rsidP="00E00B35">
      <w:pPr>
        <w:pStyle w:val="Zwykytekst"/>
        <w:spacing w:after="0" w:line="312" w:lineRule="auto"/>
        <w:rPr>
          <w:rFonts w:ascii="Verdana" w:hAnsi="Verdana"/>
          <w:bCs/>
        </w:rPr>
      </w:pPr>
      <w:r w:rsidRPr="00E00B35">
        <w:rPr>
          <w:rFonts w:ascii="Verdana" w:hAnsi="Verdana"/>
        </w:rPr>
        <w:t>W</w:t>
      </w:r>
      <w:r w:rsidRPr="00E00B35">
        <w:rPr>
          <w:rFonts w:ascii="Verdana" w:hAnsi="Verdana"/>
          <w:bCs/>
        </w:rPr>
        <w:t xml:space="preserve"> okresie od 17 czerwca 2017 do 31 grudnia 2017 r. na podstawie art. 83f ust. 4 ustawy z dnia 16 kwietnia 2004 r. o ochronie przyrody, właściciele nieruchomości dokonali 211 zgłoszeń zamiaru usunięcia drzew na cele niezwiązane z prowadzeniem działalności gospodarczej.</w:t>
      </w:r>
    </w:p>
    <w:p w:rsidR="007A4D59" w:rsidRPr="00E00B35" w:rsidRDefault="007A4D59" w:rsidP="00E00B35">
      <w:pPr>
        <w:pStyle w:val="Zwykytekst"/>
        <w:spacing w:after="0" w:line="312" w:lineRule="auto"/>
        <w:rPr>
          <w:rFonts w:ascii="Verdana" w:hAnsi="Verdana"/>
        </w:rPr>
      </w:pPr>
      <w:r w:rsidRPr="00E00B35">
        <w:rPr>
          <w:rFonts w:ascii="Verdana" w:hAnsi="Verdana"/>
          <w:bCs/>
          <w:iCs/>
        </w:rPr>
        <w:lastRenderedPageBreak/>
        <w:t>W</w:t>
      </w:r>
      <w:r w:rsidRPr="00E00B35">
        <w:rPr>
          <w:rFonts w:ascii="Verdana" w:hAnsi="Verdana"/>
        </w:rPr>
        <w:t xml:space="preserve"> 2018 r. w zakresie ochrony zadrzewień do organu wpłynęło 1 695 spraw.  W wyniku prowadzonych postępowań administracyjnych wydano łącznie 798 decyzji. Spośród 798 decyzji administracyjnych wydano 578 decyzji zezwalających na usunięcie drzew i krzewów oraz 220 innych decyzji (np. umorzenia, zmiany terminów, wygaszenia). Wydano 5 decyzji dot. wymierzenia administracyjnych kar pieniężnych.</w:t>
      </w:r>
    </w:p>
    <w:p w:rsidR="007A4D59" w:rsidRPr="00E00B35" w:rsidRDefault="007A4D59" w:rsidP="00E00B35">
      <w:pPr>
        <w:pStyle w:val="Zwykytekst"/>
        <w:spacing w:after="0" w:line="312" w:lineRule="auto"/>
        <w:rPr>
          <w:rFonts w:ascii="Verdana" w:hAnsi="Verdana"/>
          <w:bCs/>
        </w:rPr>
      </w:pPr>
      <w:r w:rsidRPr="00E00B35">
        <w:rPr>
          <w:rFonts w:ascii="Verdana" w:hAnsi="Verdana"/>
          <w:bCs/>
        </w:rPr>
        <w:t xml:space="preserve">Na podstawie art. 83f ust. 4 ustawy o ochronie przyrody, właściciele nieruchomości dokonali w 2018 r. 497 zgłoszeń zamiaru usunięcia drzew na cele niezwiązane z prowadzeniem działalności gospodarczej. </w:t>
      </w:r>
    </w:p>
    <w:p w:rsidR="007A4D59" w:rsidRPr="00E00B35" w:rsidRDefault="007A4D59" w:rsidP="00E00B35">
      <w:pPr>
        <w:pStyle w:val="Zwykytekst"/>
        <w:spacing w:after="0" w:line="312" w:lineRule="auto"/>
        <w:rPr>
          <w:rFonts w:ascii="Verdana" w:hAnsi="Verdana"/>
        </w:rPr>
      </w:pPr>
      <w:r w:rsidRPr="00E00B35">
        <w:rPr>
          <w:rFonts w:ascii="Verdana" w:hAnsi="Verdana"/>
          <w:bCs/>
        </w:rPr>
        <w:t xml:space="preserve">W </w:t>
      </w:r>
      <w:r w:rsidRPr="00E00B35">
        <w:rPr>
          <w:rFonts w:ascii="Verdana" w:hAnsi="Verdana"/>
        </w:rPr>
        <w:t>2019 r. w zakresie ochrony zadrzewień wpłynęło 1 733 wniosków. W wyniku prowadzonych postępowań administracyjnych wydano łącznie 828</w:t>
      </w:r>
      <w:r w:rsidRPr="00E00B35">
        <w:rPr>
          <w:rFonts w:ascii="Verdana" w:hAnsi="Verdana"/>
          <w:color w:val="FF0000"/>
        </w:rPr>
        <w:t xml:space="preserve"> </w:t>
      </w:r>
      <w:r w:rsidRPr="00E00B35">
        <w:rPr>
          <w:rFonts w:ascii="Verdana" w:hAnsi="Verdana"/>
        </w:rPr>
        <w:t>decyzji. Spośród 828 decyzji administracyjnych wydano 561 decyzji zezwalających na usunięcie drzew i krzewów.</w:t>
      </w:r>
    </w:p>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 xml:space="preserve">Na podstawie art. 83f ust. 4 ustawy o ochronie przyrody, właściciele nieruchomości dokonali w 2019 r. 565 zgłoszeń zamiaru usunięcia drzew na cele niezwiązane z prowadzeniem działalności gospodarczej. </w:t>
      </w:r>
    </w:p>
    <w:p w:rsidR="007A4D59" w:rsidRPr="00E00B35" w:rsidRDefault="007A4D59" w:rsidP="00E00B35">
      <w:pPr>
        <w:pStyle w:val="19Dowiadomosci"/>
        <w:suppressAutoHyphens/>
        <w:spacing w:before="0" w:after="0" w:line="312" w:lineRule="auto"/>
        <w:jc w:val="left"/>
        <w:rPr>
          <w:sz w:val="20"/>
          <w:szCs w:val="20"/>
        </w:rPr>
      </w:pPr>
      <w:r w:rsidRPr="00E00B35">
        <w:rPr>
          <w:sz w:val="20"/>
          <w:szCs w:val="20"/>
        </w:rPr>
        <w:t>W 2020 r. w zakresie ochrony zadrzewień wpłynęło 1 656 wniosków. W wyniku prowadzonych postępowań administracyjnych wydano łącznie 791</w:t>
      </w:r>
      <w:r w:rsidRPr="00E00B35">
        <w:rPr>
          <w:color w:val="FF0000"/>
          <w:sz w:val="20"/>
          <w:szCs w:val="20"/>
        </w:rPr>
        <w:t xml:space="preserve"> </w:t>
      </w:r>
      <w:r w:rsidRPr="00E00B35">
        <w:rPr>
          <w:sz w:val="20"/>
          <w:szCs w:val="20"/>
        </w:rPr>
        <w:t>decyzji. Spośród 791 decyzji administracyjnych wydano 493 decyzji zezwalających na usunięcie drzew i krzewów.</w:t>
      </w:r>
    </w:p>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 xml:space="preserve">Na podstawie art. 83f ust. 4 ustawy o ochronie przyrody, właściciele nieruchomości dokonali w 2020 r. 575 zgłoszeń zamiaru usunięcia drzew na cele niezwiązane z prowadzeniem działalności gospodarczej. </w:t>
      </w:r>
    </w:p>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Dane ilościowe nt. wydanych zezwoleń na usunięcie drzew i krzewów nie dotyczą nieruchomości, których właścicielem jest Gmina Wrocław (poza oddanymi w użytkowanie wieczyste) oraz terenów wpisanych do rejestru zabytków. Od 1 stycznia 2016 r. Marszałek Województwa otrzymał uprawnienia do wydawania zezwoleń na usunięcie drzew i krzewów.</w:t>
      </w:r>
    </w:p>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Dla zobrazowania różnic w ilości spraw i ich typów prowadzonych na podstawie ustawy o ochronie przyrody przedstawiono zestawienie tabelaryczne w latach 2016-2020.</w:t>
      </w:r>
    </w:p>
    <w:p w:rsidR="007A4D59" w:rsidRPr="00E00B35" w:rsidRDefault="007A4D59" w:rsidP="00E00B35">
      <w:pPr>
        <w:pStyle w:val="19Dowiadomosci"/>
        <w:suppressAutoHyphens/>
        <w:spacing w:before="0" w:after="0" w:line="312" w:lineRule="auto"/>
        <w:jc w:val="left"/>
        <w:rPr>
          <w:bCs/>
          <w:sz w:val="20"/>
          <w:szCs w:val="20"/>
        </w:rPr>
      </w:pPr>
    </w:p>
    <w:tbl>
      <w:tblPr>
        <w:tblW w:w="0" w:type="auto"/>
        <w:jc w:val="center"/>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7"/>
        <w:gridCol w:w="834"/>
        <w:gridCol w:w="838"/>
        <w:gridCol w:w="886"/>
        <w:gridCol w:w="837"/>
        <w:gridCol w:w="837"/>
      </w:tblGrid>
      <w:tr w:rsidR="007A4D59" w:rsidRPr="00E00B35" w:rsidTr="006D3493">
        <w:trPr>
          <w:trHeight w:val="439"/>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KATEGORIA</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2016</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2017</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2018</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2019</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2020</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przydzielonych pism wg Elektronicznego Obiegu Dokumentów</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5 648</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4 450</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4 087</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4 357</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4 462</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wszczętych postępowań w sprawie zadrzewień</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2 380</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1 681</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1 695</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1 733</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1 657</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 xml:space="preserve">wydanych decyzji administracyjnych dot. zadrzewień </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1 768</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1 103</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798</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831</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791</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zgłoszenia zamiaru usunięcia drzew</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211</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497</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565</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575</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pism przychodzących w uzupełnieniu wniosków</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1 458</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1 240</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797</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783</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794</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 xml:space="preserve">pism pośrednich wychodzących w sprawach </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1 193</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805</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927</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896</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944</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 xml:space="preserve">wydanych opinii w zakresie ochrony zieleni </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287</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70</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123</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132</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89</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 xml:space="preserve">wydanych zaświadczeń o braku sprzeciwu </w:t>
            </w:r>
            <w:r w:rsidRPr="00E00B35">
              <w:rPr>
                <w:bCs/>
                <w:sz w:val="20"/>
                <w:szCs w:val="20"/>
              </w:rPr>
              <w:lastRenderedPageBreak/>
              <w:t>usunięcia drzew</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lastRenderedPageBreak/>
              <w:t>-</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211</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421</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527</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527</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lastRenderedPageBreak/>
              <w:t xml:space="preserve">wydanych postanowień </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12</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17</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36</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48</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81</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liczba interwencji w sprawie zadrzewień</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81</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49</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48</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95</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65</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liczba odwołań do SKO</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19</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31</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14</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29</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18</w:t>
            </w:r>
          </w:p>
        </w:tc>
      </w:tr>
      <w:tr w:rsidR="007A4D59" w:rsidRPr="00E00B35" w:rsidTr="006D3493">
        <w:trPr>
          <w:jc w:val="center"/>
        </w:trPr>
        <w:tc>
          <w:tcPr>
            <w:tcW w:w="4897"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otrzymanych wiadomości e-mail (skrzynka Kierownika)</w:t>
            </w:r>
          </w:p>
        </w:tc>
        <w:tc>
          <w:tcPr>
            <w:tcW w:w="834"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4 438</w:t>
            </w:r>
          </w:p>
        </w:tc>
        <w:tc>
          <w:tcPr>
            <w:tcW w:w="838"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4 120</w:t>
            </w:r>
          </w:p>
        </w:tc>
        <w:tc>
          <w:tcPr>
            <w:tcW w:w="886" w:type="dxa"/>
            <w:vAlign w:val="center"/>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4 769</w:t>
            </w:r>
          </w:p>
        </w:tc>
        <w:tc>
          <w:tcPr>
            <w:tcW w:w="837" w:type="dxa"/>
            <w:vAlign w:val="center"/>
          </w:tcPr>
          <w:p w:rsidR="007A4D59" w:rsidRPr="00E00B35" w:rsidRDefault="007A4D59" w:rsidP="00E00B35">
            <w:pPr>
              <w:pStyle w:val="19Dowiadomosci"/>
              <w:suppressAutoHyphens/>
              <w:spacing w:before="0" w:after="0" w:line="312" w:lineRule="auto"/>
              <w:jc w:val="left"/>
              <w:rPr>
                <w:bCs/>
                <w:sz w:val="20"/>
                <w:szCs w:val="20"/>
                <w:highlight w:val="yellow"/>
              </w:rPr>
            </w:pPr>
            <w:r w:rsidRPr="00E00B35">
              <w:rPr>
                <w:bCs/>
                <w:sz w:val="20"/>
                <w:szCs w:val="20"/>
              </w:rPr>
              <w:t>5 619</w:t>
            </w:r>
          </w:p>
        </w:tc>
        <w:tc>
          <w:tcPr>
            <w:tcW w:w="837" w:type="dxa"/>
          </w:tcPr>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5 288</w:t>
            </w:r>
          </w:p>
        </w:tc>
      </w:tr>
    </w:tbl>
    <w:p w:rsidR="007A4D59" w:rsidRPr="00E00B35" w:rsidRDefault="007A4D59" w:rsidP="00E00B35">
      <w:pPr>
        <w:pStyle w:val="19Dowiadomosci"/>
        <w:suppressAutoHyphens/>
        <w:spacing w:before="0" w:after="0" w:line="312" w:lineRule="auto"/>
        <w:jc w:val="left"/>
        <w:rPr>
          <w:bCs/>
          <w:sz w:val="20"/>
          <w:szCs w:val="20"/>
        </w:rPr>
      </w:pPr>
    </w:p>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 xml:space="preserve">W przedstawionym okresie czasu widać wyraźny spadek ilości wszczętych na wniosek stron postępowań zmierzających do wydania zezwolenia na usunięcie zadrzewień. Na ten stan rzeczy wpływ miała wcześniej zapoczątkowana zmiana przepisów dot. powierzenia kompetencji marszałkowi województwa, jeżeli prezydent miasta na prawach powiatu sprawuje funkcję starosty – jak to ma miejsce w przypadku gminy Wrocław. Istotny wpływ wywarła również zmiana dot. odstąpienia od potrzeby uzyskiwania zezwolenia na usunięcie drzew i krzewów rosnących na nieruchomościach osób fizycznych. W tym jednak obszarze ochrona prawna odbywa się na zasadzie Zgłoszenia zamiaru usunięcia drzew. </w:t>
      </w:r>
    </w:p>
    <w:p w:rsidR="007A4D59" w:rsidRPr="00E00B35" w:rsidRDefault="007A4D59" w:rsidP="00E00B35">
      <w:pPr>
        <w:pStyle w:val="19Dowiadomosci"/>
        <w:suppressAutoHyphens/>
        <w:spacing w:before="0" w:after="0" w:line="312" w:lineRule="auto"/>
        <w:jc w:val="left"/>
        <w:rPr>
          <w:bCs/>
          <w:sz w:val="20"/>
          <w:szCs w:val="20"/>
        </w:rPr>
      </w:pPr>
      <w:r w:rsidRPr="00E00B35">
        <w:rPr>
          <w:bCs/>
          <w:sz w:val="20"/>
          <w:szCs w:val="20"/>
        </w:rPr>
        <w:t>Wprowadzone na przestrzeni ostatnich lat zmiany przepisów prawa znajdują odzwierciedlenie w sumarycznej liczbie drzew/krzewów objętych zezwoleniami. Na podstawie prowadzonych rejestrów zestawienie ilościowe drzew i krzewów, dla których wydano stosowne zezwolenia przedstawia poniższa tabela za lata 2016 – 2020.</w:t>
      </w:r>
    </w:p>
    <w:tbl>
      <w:tblPr>
        <w:tblW w:w="8020" w:type="dxa"/>
        <w:jc w:val="center"/>
        <w:tblInd w:w="57" w:type="dxa"/>
        <w:tblCellMar>
          <w:left w:w="70" w:type="dxa"/>
          <w:right w:w="70" w:type="dxa"/>
        </w:tblCellMar>
        <w:tblLook w:val="04A0"/>
      </w:tblPr>
      <w:tblGrid>
        <w:gridCol w:w="1194"/>
        <w:gridCol w:w="1813"/>
        <w:gridCol w:w="1388"/>
        <w:gridCol w:w="1513"/>
        <w:gridCol w:w="2112"/>
      </w:tblGrid>
      <w:tr w:rsidR="007A4D59" w:rsidRPr="00E00B35" w:rsidTr="006D3493">
        <w:trPr>
          <w:trHeight w:val="1320"/>
          <w:jc w:val="center"/>
        </w:trPr>
        <w:tc>
          <w:tcPr>
            <w:tcW w:w="8020" w:type="dxa"/>
            <w:gridSpan w:val="5"/>
            <w:tcBorders>
              <w:top w:val="nil"/>
              <w:left w:val="nil"/>
              <w:bottom w:val="nil"/>
              <w:right w:val="nil"/>
            </w:tcBorders>
            <w:shd w:val="clear" w:color="auto" w:fill="auto"/>
            <w:vAlign w:val="center"/>
            <w:hideMark/>
          </w:tcPr>
          <w:p w:rsidR="007A4D59" w:rsidRPr="00E00B35" w:rsidRDefault="007A4D59" w:rsidP="00E00B35">
            <w:pPr>
              <w:spacing w:after="0" w:line="312" w:lineRule="auto"/>
              <w:rPr>
                <w:rFonts w:cs="Arial"/>
                <w:color w:val="000000"/>
                <w:szCs w:val="20"/>
              </w:rPr>
            </w:pPr>
          </w:p>
          <w:p w:rsidR="007A4D59" w:rsidRPr="00E00B35" w:rsidRDefault="007A4D59" w:rsidP="00E00B35">
            <w:pPr>
              <w:spacing w:after="0" w:line="312" w:lineRule="auto"/>
              <w:rPr>
                <w:rFonts w:cs="Arial"/>
                <w:color w:val="000000"/>
                <w:szCs w:val="20"/>
              </w:rPr>
            </w:pPr>
            <w:r w:rsidRPr="00E00B35">
              <w:rPr>
                <w:rFonts w:cs="Arial"/>
                <w:color w:val="000000"/>
                <w:szCs w:val="20"/>
              </w:rPr>
              <w:t>Zestawienie ilościowe drzew w sprawie</w:t>
            </w:r>
          </w:p>
          <w:p w:rsidR="007A4D59" w:rsidRPr="00E00B35" w:rsidRDefault="007A4D59" w:rsidP="00E00B35">
            <w:pPr>
              <w:spacing w:after="0" w:line="312" w:lineRule="auto"/>
              <w:rPr>
                <w:rFonts w:cs="Arial"/>
                <w:color w:val="000000"/>
                <w:szCs w:val="20"/>
              </w:rPr>
            </w:pPr>
            <w:r w:rsidRPr="00E00B35">
              <w:rPr>
                <w:rFonts w:cs="Arial"/>
                <w:i/>
                <w:color w:val="000000"/>
                <w:szCs w:val="20"/>
              </w:rPr>
              <w:t>Zgłoszenia zamiaru usunięcia drzew</w:t>
            </w:r>
            <w:r w:rsidRPr="00E00B35">
              <w:rPr>
                <w:rFonts w:cs="Arial"/>
                <w:color w:val="000000"/>
                <w:szCs w:val="20"/>
              </w:rPr>
              <w:t xml:space="preserve"> w trybie art. 83f ust. 4 ustawy o ochronie przyrody</w:t>
            </w:r>
          </w:p>
        </w:tc>
      </w:tr>
      <w:tr w:rsidR="007A4D59" w:rsidRPr="00E00B35" w:rsidTr="006D3493">
        <w:trPr>
          <w:trHeight w:val="1860"/>
          <w:jc w:val="center"/>
        </w:trPr>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bCs/>
                <w:szCs w:val="20"/>
              </w:rPr>
            </w:pPr>
            <w:r w:rsidRPr="00E00B35">
              <w:rPr>
                <w:rFonts w:cs="Arial"/>
                <w:bCs/>
                <w:szCs w:val="20"/>
              </w:rPr>
              <w:t>Lata</w:t>
            </w:r>
          </w:p>
        </w:tc>
        <w:tc>
          <w:tcPr>
            <w:tcW w:w="1645"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bCs/>
                <w:szCs w:val="20"/>
              </w:rPr>
            </w:pPr>
            <w:r w:rsidRPr="00E00B35">
              <w:rPr>
                <w:rFonts w:cs="Arial"/>
                <w:bCs/>
                <w:szCs w:val="20"/>
              </w:rPr>
              <w:t>Liczba drzew objętych zaświadczeniami o braku podstaw do wniesienia sprzeciwu</w:t>
            </w:r>
          </w:p>
        </w:tc>
        <w:tc>
          <w:tcPr>
            <w:tcW w:w="1348"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bCs/>
                <w:szCs w:val="20"/>
              </w:rPr>
            </w:pPr>
            <w:r w:rsidRPr="00E00B35">
              <w:rPr>
                <w:rFonts w:cs="Arial"/>
                <w:bCs/>
                <w:szCs w:val="20"/>
              </w:rPr>
              <w:t xml:space="preserve">Liczba wydanych zaświadczeń </w:t>
            </w:r>
            <w:r w:rsidRPr="00E00B35">
              <w:rPr>
                <w:rFonts w:cs="Arial"/>
                <w:bCs/>
                <w:szCs w:val="20"/>
              </w:rPr>
              <w:br/>
              <w:t>o braku podstaw do wniesienia sprzeciwu</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bCs/>
                <w:szCs w:val="20"/>
              </w:rPr>
            </w:pPr>
            <w:r w:rsidRPr="00E00B35">
              <w:rPr>
                <w:rFonts w:cs="Arial"/>
                <w:bCs/>
                <w:szCs w:val="20"/>
              </w:rPr>
              <w:t xml:space="preserve">Liczba wydanych decyzji </w:t>
            </w:r>
            <w:r w:rsidRPr="00E00B35">
              <w:rPr>
                <w:rFonts w:cs="Arial"/>
                <w:bCs/>
                <w:szCs w:val="20"/>
              </w:rPr>
              <w:br/>
              <w:t>o sprzeciwie usunięcia drzew</w:t>
            </w:r>
          </w:p>
        </w:tc>
        <w:tc>
          <w:tcPr>
            <w:tcW w:w="2222"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bCs/>
                <w:color w:val="000000"/>
                <w:szCs w:val="20"/>
              </w:rPr>
            </w:pPr>
            <w:r w:rsidRPr="00E00B35">
              <w:rPr>
                <w:rFonts w:cs="Arial"/>
                <w:bCs/>
                <w:color w:val="000000"/>
                <w:szCs w:val="20"/>
              </w:rPr>
              <w:t>Liczba drzew objętych sprzeciwem</w:t>
            </w:r>
          </w:p>
        </w:tc>
      </w:tr>
      <w:tr w:rsidR="007A4D59" w:rsidRPr="00E00B35" w:rsidTr="006D3493">
        <w:trPr>
          <w:trHeight w:val="480"/>
          <w:jc w:val="center"/>
        </w:trPr>
        <w:tc>
          <w:tcPr>
            <w:tcW w:w="1246" w:type="dxa"/>
            <w:tcBorders>
              <w:top w:val="nil"/>
              <w:left w:val="single" w:sz="4" w:space="0" w:color="auto"/>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2017*</w:t>
            </w:r>
          </w:p>
        </w:tc>
        <w:tc>
          <w:tcPr>
            <w:tcW w:w="1645"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513</w:t>
            </w:r>
          </w:p>
        </w:tc>
        <w:tc>
          <w:tcPr>
            <w:tcW w:w="1348"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211</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0</w:t>
            </w:r>
          </w:p>
        </w:tc>
        <w:tc>
          <w:tcPr>
            <w:tcW w:w="2222"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0</w:t>
            </w:r>
          </w:p>
        </w:tc>
      </w:tr>
      <w:tr w:rsidR="007A4D59" w:rsidRPr="00E00B35" w:rsidTr="006D3493">
        <w:trPr>
          <w:trHeight w:val="480"/>
          <w:jc w:val="center"/>
        </w:trPr>
        <w:tc>
          <w:tcPr>
            <w:tcW w:w="1246" w:type="dxa"/>
            <w:tcBorders>
              <w:top w:val="nil"/>
              <w:left w:val="single" w:sz="4" w:space="0" w:color="auto"/>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color w:val="000000"/>
                <w:szCs w:val="20"/>
              </w:rPr>
            </w:pPr>
            <w:r w:rsidRPr="00E00B35">
              <w:rPr>
                <w:rFonts w:cs="Arial"/>
                <w:color w:val="000000"/>
                <w:szCs w:val="20"/>
              </w:rPr>
              <w:t>2018</w:t>
            </w:r>
          </w:p>
        </w:tc>
        <w:tc>
          <w:tcPr>
            <w:tcW w:w="1645"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1 243</w:t>
            </w:r>
          </w:p>
        </w:tc>
        <w:tc>
          <w:tcPr>
            <w:tcW w:w="1348"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421</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23</w:t>
            </w:r>
          </w:p>
        </w:tc>
        <w:tc>
          <w:tcPr>
            <w:tcW w:w="2222"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78</w:t>
            </w:r>
          </w:p>
        </w:tc>
      </w:tr>
      <w:tr w:rsidR="007A4D59" w:rsidRPr="00E00B35" w:rsidTr="006D3493">
        <w:trPr>
          <w:trHeight w:val="480"/>
          <w:jc w:val="center"/>
        </w:trPr>
        <w:tc>
          <w:tcPr>
            <w:tcW w:w="1246" w:type="dxa"/>
            <w:tcBorders>
              <w:top w:val="nil"/>
              <w:left w:val="single" w:sz="4" w:space="0" w:color="auto"/>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color w:val="000000"/>
                <w:szCs w:val="20"/>
              </w:rPr>
            </w:pPr>
            <w:r w:rsidRPr="00E00B35">
              <w:rPr>
                <w:rFonts w:cs="Arial"/>
                <w:color w:val="000000"/>
                <w:szCs w:val="20"/>
              </w:rPr>
              <w:t>2019</w:t>
            </w:r>
          </w:p>
        </w:tc>
        <w:tc>
          <w:tcPr>
            <w:tcW w:w="1645"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1 509</w:t>
            </w:r>
          </w:p>
        </w:tc>
        <w:tc>
          <w:tcPr>
            <w:tcW w:w="1348"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492</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29</w:t>
            </w:r>
          </w:p>
        </w:tc>
        <w:tc>
          <w:tcPr>
            <w:tcW w:w="2222"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63</w:t>
            </w:r>
          </w:p>
        </w:tc>
      </w:tr>
      <w:tr w:rsidR="007A4D59" w:rsidRPr="00E00B35" w:rsidTr="006D3493">
        <w:trPr>
          <w:trHeight w:val="480"/>
          <w:jc w:val="center"/>
        </w:trPr>
        <w:tc>
          <w:tcPr>
            <w:tcW w:w="1246" w:type="dxa"/>
            <w:tcBorders>
              <w:top w:val="nil"/>
              <w:left w:val="single" w:sz="4" w:space="0" w:color="auto"/>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color w:val="000000"/>
                <w:szCs w:val="20"/>
              </w:rPr>
            </w:pPr>
            <w:r w:rsidRPr="00E00B35">
              <w:rPr>
                <w:rFonts w:cs="Arial"/>
                <w:color w:val="000000"/>
                <w:szCs w:val="20"/>
              </w:rPr>
              <w:t>2020</w:t>
            </w:r>
          </w:p>
        </w:tc>
        <w:tc>
          <w:tcPr>
            <w:tcW w:w="1645"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1 707</w:t>
            </w:r>
          </w:p>
        </w:tc>
        <w:tc>
          <w:tcPr>
            <w:tcW w:w="1348"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527</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38</w:t>
            </w:r>
          </w:p>
        </w:tc>
        <w:tc>
          <w:tcPr>
            <w:tcW w:w="2222"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szCs w:val="20"/>
              </w:rPr>
            </w:pPr>
            <w:r w:rsidRPr="00E00B35">
              <w:rPr>
                <w:rFonts w:cs="Arial"/>
                <w:szCs w:val="20"/>
              </w:rPr>
              <w:t>63</w:t>
            </w:r>
          </w:p>
        </w:tc>
      </w:tr>
      <w:tr w:rsidR="007A4D59" w:rsidRPr="00E00B35" w:rsidTr="006D3493">
        <w:trPr>
          <w:trHeight w:val="510"/>
          <w:jc w:val="center"/>
        </w:trPr>
        <w:tc>
          <w:tcPr>
            <w:tcW w:w="1246" w:type="dxa"/>
            <w:tcBorders>
              <w:top w:val="nil"/>
              <w:left w:val="single" w:sz="4" w:space="0" w:color="auto"/>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bCs/>
                <w:szCs w:val="20"/>
              </w:rPr>
            </w:pPr>
            <w:r w:rsidRPr="00E00B35">
              <w:rPr>
                <w:rFonts w:cs="Arial"/>
                <w:bCs/>
                <w:color w:val="000000"/>
                <w:szCs w:val="20"/>
              </w:rPr>
              <w:t>Razem</w:t>
            </w:r>
          </w:p>
        </w:tc>
        <w:tc>
          <w:tcPr>
            <w:tcW w:w="1645" w:type="dxa"/>
            <w:tcBorders>
              <w:top w:val="single" w:sz="4" w:space="0" w:color="auto"/>
              <w:left w:val="nil"/>
              <w:bottom w:val="single" w:sz="4" w:space="0" w:color="auto"/>
              <w:right w:val="single" w:sz="4" w:space="0" w:color="000000"/>
            </w:tcBorders>
            <w:shd w:val="clear" w:color="auto" w:fill="FFFFFF"/>
            <w:vAlign w:val="center"/>
            <w:hideMark/>
          </w:tcPr>
          <w:p w:rsidR="007A4D59" w:rsidRPr="00E00B35" w:rsidRDefault="007A4D59" w:rsidP="00E00B35">
            <w:pPr>
              <w:spacing w:after="0" w:line="312" w:lineRule="auto"/>
              <w:rPr>
                <w:rFonts w:cs="Arial"/>
                <w:bCs/>
                <w:szCs w:val="20"/>
              </w:rPr>
            </w:pPr>
            <w:r w:rsidRPr="00E00B35">
              <w:rPr>
                <w:rFonts w:cs="Arial"/>
                <w:bCs/>
                <w:szCs w:val="20"/>
              </w:rPr>
              <w:t>4 972</w:t>
            </w:r>
          </w:p>
        </w:tc>
        <w:tc>
          <w:tcPr>
            <w:tcW w:w="1348"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bCs/>
                <w:szCs w:val="20"/>
              </w:rPr>
            </w:pPr>
            <w:r w:rsidRPr="00E00B35">
              <w:rPr>
                <w:rFonts w:cs="Arial"/>
                <w:bCs/>
                <w:szCs w:val="20"/>
              </w:rPr>
              <w:t>1 651</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bCs/>
                <w:szCs w:val="20"/>
              </w:rPr>
            </w:pPr>
            <w:r w:rsidRPr="00E00B35">
              <w:rPr>
                <w:rFonts w:cs="Arial"/>
                <w:bCs/>
                <w:szCs w:val="20"/>
              </w:rPr>
              <w:t>90</w:t>
            </w:r>
          </w:p>
        </w:tc>
        <w:tc>
          <w:tcPr>
            <w:tcW w:w="2222" w:type="dxa"/>
            <w:tcBorders>
              <w:top w:val="single" w:sz="4" w:space="0" w:color="auto"/>
              <w:left w:val="nil"/>
              <w:bottom w:val="single" w:sz="4" w:space="0" w:color="auto"/>
              <w:right w:val="single" w:sz="4" w:space="0" w:color="auto"/>
            </w:tcBorders>
            <w:shd w:val="clear" w:color="auto" w:fill="FFFFFF"/>
            <w:vAlign w:val="center"/>
            <w:hideMark/>
          </w:tcPr>
          <w:p w:rsidR="007A4D59" w:rsidRPr="00E00B35" w:rsidRDefault="007A4D59" w:rsidP="00E00B35">
            <w:pPr>
              <w:spacing w:after="0" w:line="312" w:lineRule="auto"/>
              <w:rPr>
                <w:rFonts w:cs="Arial"/>
                <w:bCs/>
                <w:szCs w:val="20"/>
              </w:rPr>
            </w:pPr>
            <w:r w:rsidRPr="00E00B35">
              <w:rPr>
                <w:rFonts w:cs="Arial"/>
                <w:bCs/>
                <w:szCs w:val="20"/>
              </w:rPr>
              <w:t>204</w:t>
            </w:r>
          </w:p>
        </w:tc>
      </w:tr>
    </w:tbl>
    <w:p w:rsidR="007A4D59" w:rsidRPr="00E00B35" w:rsidRDefault="007A4D59" w:rsidP="00E00B35">
      <w:pPr>
        <w:spacing w:after="0" w:line="312" w:lineRule="auto"/>
        <w:rPr>
          <w:szCs w:val="20"/>
        </w:rPr>
      </w:pPr>
      <w:r w:rsidRPr="00E00B35">
        <w:rPr>
          <w:color w:val="000000"/>
          <w:szCs w:val="20"/>
        </w:rPr>
        <w:t>*od 17 czerwca 2017 r.</w:t>
      </w:r>
    </w:p>
    <w:p w:rsidR="007A4D59" w:rsidRPr="00E00B35" w:rsidRDefault="007A4D59" w:rsidP="00E00B35">
      <w:pPr>
        <w:pStyle w:val="Zwykytekst"/>
        <w:spacing w:after="0" w:line="312" w:lineRule="auto"/>
        <w:rPr>
          <w:rFonts w:ascii="Verdana" w:hAnsi="Verdana"/>
          <w:color w:val="000000"/>
        </w:rPr>
        <w:sectPr w:rsidR="007A4D59" w:rsidRPr="00E00B35" w:rsidSect="006D3493">
          <w:footerReference w:type="even" r:id="rId185"/>
          <w:footerReference w:type="default" r:id="rId186"/>
          <w:footerReference w:type="first" r:id="rId187"/>
          <w:pgSz w:w="11906" w:h="16838" w:code="9"/>
          <w:pgMar w:top="1417" w:right="1417" w:bottom="1417" w:left="1417" w:header="709" w:footer="709" w:gutter="0"/>
          <w:cols w:space="708"/>
          <w:titlePg/>
          <w:docGrid w:linePitch="360"/>
        </w:sectPr>
      </w:pPr>
    </w:p>
    <w:p w:rsidR="007A4D59" w:rsidRPr="00E00B35" w:rsidRDefault="007A4D59" w:rsidP="00E00B35">
      <w:pPr>
        <w:pStyle w:val="Zwykytekst"/>
        <w:spacing w:after="0" w:line="312" w:lineRule="auto"/>
        <w:rPr>
          <w:rFonts w:ascii="Verdana" w:hAnsi="Verdana"/>
          <w:color w:val="000000"/>
        </w:rPr>
      </w:pPr>
    </w:p>
    <w:p w:rsidR="007A4D59" w:rsidRPr="00E00B35" w:rsidRDefault="007A4D59" w:rsidP="00E00B35">
      <w:pPr>
        <w:pStyle w:val="Zwykytekst"/>
        <w:spacing w:after="0" w:line="312" w:lineRule="auto"/>
        <w:rPr>
          <w:rFonts w:ascii="Verdana" w:hAnsi="Verdana"/>
          <w:color w:val="000000"/>
        </w:rPr>
      </w:pPr>
      <w:r w:rsidRPr="00E00B35">
        <w:rPr>
          <w:rFonts w:ascii="Verdana" w:hAnsi="Verdana"/>
          <w:color w:val="000000"/>
        </w:rPr>
        <w:t xml:space="preserve">Zestawienie ilościowe drzew i krzewów objętych decyzjami </w:t>
      </w:r>
      <w:r w:rsidRPr="00E00B35">
        <w:rPr>
          <w:rFonts w:ascii="Verdana" w:hAnsi="Verdana" w:cs="Arial"/>
          <w:color w:val="000000"/>
        </w:rPr>
        <w:t>administracyjnymi w trybie art. 83a ust. 1 ustawy o ochronie przyrody</w:t>
      </w:r>
    </w:p>
    <w:p w:rsidR="007A4D59" w:rsidRPr="00E00B35" w:rsidRDefault="007A4D59" w:rsidP="00E00B35">
      <w:pPr>
        <w:pStyle w:val="Zwykytekst"/>
        <w:spacing w:after="0" w:line="312" w:lineRule="auto"/>
        <w:rPr>
          <w:rFonts w:ascii="Verdana" w:hAnsi="Verdana"/>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5"/>
        <w:gridCol w:w="1285"/>
        <w:gridCol w:w="1286"/>
        <w:gridCol w:w="1286"/>
        <w:gridCol w:w="1286"/>
        <w:gridCol w:w="1286"/>
        <w:gridCol w:w="1286"/>
        <w:gridCol w:w="1286"/>
        <w:gridCol w:w="1286"/>
        <w:gridCol w:w="1286"/>
        <w:gridCol w:w="1286"/>
      </w:tblGrid>
      <w:tr w:rsidR="007A4D59" w:rsidRPr="00E00B35" w:rsidTr="006D3493">
        <w:tc>
          <w:tcPr>
            <w:tcW w:w="1285" w:type="dxa"/>
            <w:vMerge w:val="restart"/>
          </w:tcPr>
          <w:p w:rsidR="007A4D59" w:rsidRPr="00E00B35" w:rsidRDefault="007A4D59" w:rsidP="00E00B35">
            <w:pPr>
              <w:spacing w:after="0" w:line="312" w:lineRule="auto"/>
              <w:rPr>
                <w:szCs w:val="20"/>
              </w:rPr>
            </w:pPr>
            <w:r w:rsidRPr="00E00B35">
              <w:rPr>
                <w:szCs w:val="20"/>
              </w:rPr>
              <w:t>Lata</w:t>
            </w:r>
          </w:p>
        </w:tc>
        <w:tc>
          <w:tcPr>
            <w:tcW w:w="2571" w:type="dxa"/>
            <w:gridSpan w:val="2"/>
          </w:tcPr>
          <w:p w:rsidR="007A4D59" w:rsidRPr="00E00B35" w:rsidRDefault="007A4D59" w:rsidP="00E00B35">
            <w:pPr>
              <w:spacing w:after="0" w:line="312" w:lineRule="auto"/>
              <w:rPr>
                <w:szCs w:val="20"/>
              </w:rPr>
            </w:pPr>
            <w:r w:rsidRPr="00E00B35">
              <w:rPr>
                <w:szCs w:val="20"/>
              </w:rPr>
              <w:t>Zezwolono na usunięcie</w:t>
            </w:r>
          </w:p>
        </w:tc>
        <w:tc>
          <w:tcPr>
            <w:tcW w:w="2572" w:type="dxa"/>
            <w:gridSpan w:val="2"/>
          </w:tcPr>
          <w:p w:rsidR="007A4D59" w:rsidRPr="00E00B35" w:rsidRDefault="007A4D59" w:rsidP="00E00B35">
            <w:pPr>
              <w:spacing w:after="0" w:line="312" w:lineRule="auto"/>
              <w:rPr>
                <w:szCs w:val="20"/>
              </w:rPr>
            </w:pPr>
            <w:r w:rsidRPr="00E00B35">
              <w:rPr>
                <w:szCs w:val="20"/>
              </w:rPr>
              <w:t>Nie zezwolono na usunięcie</w:t>
            </w:r>
          </w:p>
        </w:tc>
        <w:tc>
          <w:tcPr>
            <w:tcW w:w="2572" w:type="dxa"/>
            <w:gridSpan w:val="2"/>
          </w:tcPr>
          <w:p w:rsidR="007A4D59" w:rsidRPr="00E00B35" w:rsidRDefault="007A4D59" w:rsidP="00E00B35">
            <w:pPr>
              <w:spacing w:after="0" w:line="312" w:lineRule="auto"/>
              <w:rPr>
                <w:szCs w:val="20"/>
              </w:rPr>
            </w:pPr>
            <w:r w:rsidRPr="00E00B35">
              <w:rPr>
                <w:szCs w:val="20"/>
              </w:rPr>
              <w:t>Zobowiązania do nasadzeń (łącznie)</w:t>
            </w:r>
          </w:p>
        </w:tc>
        <w:tc>
          <w:tcPr>
            <w:tcW w:w="2572" w:type="dxa"/>
            <w:gridSpan w:val="2"/>
          </w:tcPr>
          <w:p w:rsidR="007A4D59" w:rsidRPr="00E00B35" w:rsidRDefault="007A4D59" w:rsidP="00E00B35">
            <w:pPr>
              <w:spacing w:after="0" w:line="312" w:lineRule="auto"/>
              <w:rPr>
                <w:szCs w:val="20"/>
              </w:rPr>
            </w:pPr>
            <w:r w:rsidRPr="00E00B35">
              <w:rPr>
                <w:szCs w:val="20"/>
              </w:rPr>
              <w:t>Zobowiązania do nasadzeń kom pens.</w:t>
            </w:r>
          </w:p>
        </w:tc>
        <w:tc>
          <w:tcPr>
            <w:tcW w:w="2572" w:type="dxa"/>
            <w:gridSpan w:val="2"/>
          </w:tcPr>
          <w:p w:rsidR="007A4D59" w:rsidRPr="00E00B35" w:rsidRDefault="007A4D59" w:rsidP="00E00B35">
            <w:pPr>
              <w:spacing w:after="0" w:line="312" w:lineRule="auto"/>
              <w:rPr>
                <w:szCs w:val="20"/>
              </w:rPr>
            </w:pPr>
            <w:r w:rsidRPr="00E00B35">
              <w:rPr>
                <w:szCs w:val="20"/>
              </w:rPr>
              <w:t>Zobowiązania do nasadzeń zastępczych</w:t>
            </w:r>
          </w:p>
        </w:tc>
      </w:tr>
      <w:tr w:rsidR="007A4D59" w:rsidRPr="00E00B35" w:rsidTr="006D3493">
        <w:tc>
          <w:tcPr>
            <w:tcW w:w="1285" w:type="dxa"/>
            <w:vMerge/>
          </w:tcPr>
          <w:p w:rsidR="007A4D59" w:rsidRPr="00E00B35" w:rsidRDefault="007A4D59" w:rsidP="00E00B35">
            <w:pPr>
              <w:spacing w:after="0" w:line="312" w:lineRule="auto"/>
              <w:rPr>
                <w:szCs w:val="20"/>
              </w:rPr>
            </w:pPr>
          </w:p>
        </w:tc>
        <w:tc>
          <w:tcPr>
            <w:tcW w:w="1285"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Drzew</w:t>
            </w:r>
            <w:r w:rsidRPr="00E00B35">
              <w:rPr>
                <w:rFonts w:cs="Arial"/>
                <w:color w:val="000000"/>
                <w:szCs w:val="20"/>
              </w:rPr>
              <w:br/>
              <w:t>(szt.)</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r w:rsidRPr="00E00B35">
              <w:rPr>
                <w:rFonts w:cs="Arial"/>
                <w:color w:val="000000"/>
                <w:szCs w:val="20"/>
              </w:rPr>
              <w:br/>
              <w:t>[m</w:t>
            </w:r>
            <w:r w:rsidRPr="00E00B35">
              <w:rPr>
                <w:rFonts w:cs="Arial"/>
                <w:color w:val="000000"/>
                <w:szCs w:val="20"/>
                <w:vertAlign w:val="superscript"/>
              </w:rPr>
              <w:t>2</w:t>
            </w:r>
            <w:r w:rsidRPr="00E00B35">
              <w:rPr>
                <w:rFonts w:cs="Arial"/>
                <w:color w:val="000000"/>
                <w:szCs w:val="20"/>
              </w:rPr>
              <w:t>]</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Drzew</w:t>
            </w:r>
            <w:r w:rsidRPr="00E00B35">
              <w:rPr>
                <w:rFonts w:cs="Arial"/>
                <w:color w:val="000000"/>
                <w:szCs w:val="20"/>
              </w:rPr>
              <w:br/>
              <w:t>(szt.)</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r w:rsidRPr="00E00B35">
              <w:rPr>
                <w:rFonts w:cs="Arial"/>
                <w:color w:val="000000"/>
                <w:szCs w:val="20"/>
              </w:rPr>
              <w:br/>
              <w:t>[m</w:t>
            </w:r>
            <w:r w:rsidRPr="00E00B35">
              <w:rPr>
                <w:rFonts w:cs="Arial"/>
                <w:color w:val="000000"/>
                <w:szCs w:val="20"/>
                <w:vertAlign w:val="superscript"/>
              </w:rPr>
              <w:t>2</w:t>
            </w:r>
            <w:r w:rsidRPr="00E00B35">
              <w:rPr>
                <w:rFonts w:cs="Arial"/>
                <w:color w:val="000000"/>
                <w:szCs w:val="20"/>
              </w:rPr>
              <w:t>]</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Drzew</w:t>
            </w:r>
            <w:r w:rsidRPr="00E00B35">
              <w:rPr>
                <w:rFonts w:cs="Arial"/>
                <w:color w:val="000000"/>
                <w:szCs w:val="20"/>
              </w:rPr>
              <w:br/>
              <w:t>(szt.)</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r w:rsidRPr="00E00B35">
              <w:rPr>
                <w:rFonts w:cs="Arial"/>
                <w:color w:val="000000"/>
                <w:szCs w:val="20"/>
              </w:rPr>
              <w:br/>
              <w:t>[m</w:t>
            </w:r>
            <w:r w:rsidRPr="00E00B35">
              <w:rPr>
                <w:rFonts w:cs="Arial"/>
                <w:color w:val="000000"/>
                <w:szCs w:val="20"/>
                <w:vertAlign w:val="superscript"/>
              </w:rPr>
              <w:t>2</w:t>
            </w:r>
            <w:r w:rsidRPr="00E00B35">
              <w:rPr>
                <w:rFonts w:cs="Arial"/>
                <w:color w:val="000000"/>
                <w:szCs w:val="20"/>
              </w:rPr>
              <w:t>]</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Drzew</w:t>
            </w:r>
            <w:r w:rsidRPr="00E00B35">
              <w:rPr>
                <w:rFonts w:cs="Arial"/>
                <w:color w:val="000000"/>
                <w:szCs w:val="20"/>
              </w:rPr>
              <w:br/>
              <w:t>(szt.)</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r w:rsidRPr="00E00B35">
              <w:rPr>
                <w:rFonts w:cs="Arial"/>
                <w:color w:val="000000"/>
                <w:szCs w:val="20"/>
              </w:rPr>
              <w:br/>
              <w:t>[m</w:t>
            </w:r>
            <w:r w:rsidRPr="00E00B35">
              <w:rPr>
                <w:rFonts w:cs="Arial"/>
                <w:color w:val="000000"/>
                <w:szCs w:val="20"/>
                <w:vertAlign w:val="superscript"/>
              </w:rPr>
              <w:t>2</w:t>
            </w:r>
            <w:r w:rsidRPr="00E00B35">
              <w:rPr>
                <w:rFonts w:cs="Arial"/>
                <w:color w:val="000000"/>
                <w:szCs w:val="20"/>
              </w:rPr>
              <w:t>]</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Drzew</w:t>
            </w:r>
            <w:r w:rsidRPr="00E00B35">
              <w:rPr>
                <w:rFonts w:cs="Arial"/>
                <w:color w:val="000000"/>
                <w:szCs w:val="20"/>
              </w:rPr>
              <w:br/>
              <w:t>(szt.)</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Krzewów</w:t>
            </w:r>
            <w:r w:rsidRPr="00E00B35">
              <w:rPr>
                <w:rFonts w:cs="Arial"/>
                <w:color w:val="000000"/>
                <w:szCs w:val="20"/>
              </w:rPr>
              <w:br/>
              <w:t>[m</w:t>
            </w:r>
            <w:r w:rsidRPr="00E00B35">
              <w:rPr>
                <w:rFonts w:cs="Arial"/>
                <w:color w:val="000000"/>
                <w:szCs w:val="20"/>
                <w:vertAlign w:val="superscript"/>
              </w:rPr>
              <w:t>2</w:t>
            </w:r>
            <w:r w:rsidRPr="00E00B35">
              <w:rPr>
                <w:rFonts w:cs="Arial"/>
                <w:color w:val="000000"/>
                <w:szCs w:val="20"/>
              </w:rPr>
              <w:t>]</w:t>
            </w:r>
          </w:p>
        </w:tc>
      </w:tr>
      <w:tr w:rsidR="007A4D59" w:rsidRPr="00E00B35" w:rsidTr="006D3493">
        <w:tc>
          <w:tcPr>
            <w:tcW w:w="1285" w:type="dxa"/>
          </w:tcPr>
          <w:p w:rsidR="007A4D59" w:rsidRPr="00E00B35" w:rsidRDefault="007A4D59" w:rsidP="00E00B35">
            <w:pPr>
              <w:spacing w:after="0" w:line="312" w:lineRule="auto"/>
              <w:rPr>
                <w:szCs w:val="20"/>
              </w:rPr>
            </w:pPr>
            <w:r w:rsidRPr="00E00B35">
              <w:rPr>
                <w:szCs w:val="20"/>
              </w:rPr>
              <w:t>2016</w:t>
            </w:r>
          </w:p>
        </w:tc>
        <w:tc>
          <w:tcPr>
            <w:tcW w:w="1285"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9 091</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6 838</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417</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81</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8 318</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3 233</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6 749</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2 689</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1 569</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544</w:t>
            </w:r>
          </w:p>
        </w:tc>
      </w:tr>
      <w:tr w:rsidR="007A4D59" w:rsidRPr="00E00B35" w:rsidTr="006D3493">
        <w:tc>
          <w:tcPr>
            <w:tcW w:w="1285" w:type="dxa"/>
          </w:tcPr>
          <w:p w:rsidR="007A4D59" w:rsidRPr="00E00B35" w:rsidRDefault="007A4D59" w:rsidP="00E00B35">
            <w:pPr>
              <w:spacing w:after="0" w:line="312" w:lineRule="auto"/>
              <w:rPr>
                <w:szCs w:val="20"/>
              </w:rPr>
            </w:pPr>
            <w:r w:rsidRPr="00E00B35">
              <w:rPr>
                <w:szCs w:val="20"/>
              </w:rPr>
              <w:t>2017</w:t>
            </w:r>
          </w:p>
        </w:tc>
        <w:tc>
          <w:tcPr>
            <w:tcW w:w="1285"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5 148</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11 560</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317</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3 138</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317</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2 917</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584</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221</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r>
      <w:tr w:rsidR="007A4D59" w:rsidRPr="00E00B35" w:rsidTr="006D3493">
        <w:tc>
          <w:tcPr>
            <w:tcW w:w="1285" w:type="dxa"/>
          </w:tcPr>
          <w:p w:rsidR="007A4D59" w:rsidRPr="00E00B35" w:rsidRDefault="007A4D59" w:rsidP="00E00B35">
            <w:pPr>
              <w:spacing w:after="0" w:line="312" w:lineRule="auto"/>
              <w:rPr>
                <w:szCs w:val="20"/>
              </w:rPr>
            </w:pPr>
            <w:r w:rsidRPr="00E00B35">
              <w:rPr>
                <w:szCs w:val="20"/>
              </w:rPr>
              <w:t>2018</w:t>
            </w:r>
          </w:p>
        </w:tc>
        <w:tc>
          <w:tcPr>
            <w:tcW w:w="1285"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4 649</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15 968</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271</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3 745</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767</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3 722</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767</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23</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r>
      <w:tr w:rsidR="007A4D59" w:rsidRPr="00E00B35" w:rsidTr="006D3493">
        <w:tc>
          <w:tcPr>
            <w:tcW w:w="1285" w:type="dxa"/>
          </w:tcPr>
          <w:p w:rsidR="007A4D59" w:rsidRPr="00E00B35" w:rsidRDefault="007A4D59" w:rsidP="00E00B35">
            <w:pPr>
              <w:spacing w:after="0" w:line="312" w:lineRule="auto"/>
              <w:rPr>
                <w:szCs w:val="20"/>
              </w:rPr>
            </w:pPr>
            <w:r w:rsidRPr="00E00B35">
              <w:rPr>
                <w:szCs w:val="20"/>
              </w:rPr>
              <w:t>2019</w:t>
            </w:r>
          </w:p>
        </w:tc>
        <w:tc>
          <w:tcPr>
            <w:tcW w:w="1285"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4 280</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15 577</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202</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53</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2 741</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210</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2 734</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7</w:t>
            </w:r>
          </w:p>
        </w:tc>
        <w:tc>
          <w:tcPr>
            <w:tcW w:w="1286" w:type="dxa"/>
            <w:vAlign w:val="center"/>
          </w:tcPr>
          <w:p w:rsidR="007A4D59" w:rsidRPr="00E00B35" w:rsidRDefault="007A4D59" w:rsidP="00E00B35">
            <w:pPr>
              <w:spacing w:after="0" w:line="312" w:lineRule="auto"/>
              <w:rPr>
                <w:rFonts w:cs="Arial"/>
                <w:color w:val="000000"/>
                <w:szCs w:val="20"/>
              </w:rPr>
            </w:pPr>
            <w:r w:rsidRPr="00E00B35">
              <w:rPr>
                <w:rFonts w:cs="Arial"/>
                <w:color w:val="000000"/>
                <w:szCs w:val="20"/>
              </w:rPr>
              <w:t>0</w:t>
            </w:r>
          </w:p>
        </w:tc>
      </w:tr>
      <w:tr w:rsidR="007A4D59" w:rsidRPr="00E00B35" w:rsidTr="006D3493">
        <w:tc>
          <w:tcPr>
            <w:tcW w:w="1285" w:type="dxa"/>
          </w:tcPr>
          <w:p w:rsidR="007A4D59" w:rsidRPr="00E00B35" w:rsidRDefault="007A4D59" w:rsidP="00E00B35">
            <w:pPr>
              <w:spacing w:after="0" w:line="312" w:lineRule="auto"/>
              <w:rPr>
                <w:szCs w:val="20"/>
              </w:rPr>
            </w:pPr>
            <w:r w:rsidRPr="00E00B35">
              <w:rPr>
                <w:szCs w:val="20"/>
              </w:rPr>
              <w:t>2020</w:t>
            </w:r>
          </w:p>
        </w:tc>
        <w:tc>
          <w:tcPr>
            <w:tcW w:w="1285" w:type="dxa"/>
            <w:vAlign w:val="center"/>
          </w:tcPr>
          <w:p w:rsidR="007A4D59" w:rsidRPr="00E00B35" w:rsidRDefault="007A4D59" w:rsidP="00E00B35">
            <w:pPr>
              <w:spacing w:after="0" w:line="312" w:lineRule="auto"/>
              <w:rPr>
                <w:color w:val="000000"/>
                <w:szCs w:val="20"/>
              </w:rPr>
            </w:pPr>
            <w:r w:rsidRPr="00E00B35">
              <w:rPr>
                <w:color w:val="000000"/>
                <w:szCs w:val="20"/>
              </w:rPr>
              <w:t>3 145</w:t>
            </w:r>
          </w:p>
        </w:tc>
        <w:tc>
          <w:tcPr>
            <w:tcW w:w="1286" w:type="dxa"/>
            <w:vAlign w:val="center"/>
          </w:tcPr>
          <w:p w:rsidR="007A4D59" w:rsidRPr="00E00B35" w:rsidRDefault="007A4D59" w:rsidP="00E00B35">
            <w:pPr>
              <w:spacing w:after="0" w:line="312" w:lineRule="auto"/>
              <w:rPr>
                <w:color w:val="000000"/>
                <w:szCs w:val="20"/>
              </w:rPr>
            </w:pPr>
            <w:r w:rsidRPr="00E00B35">
              <w:rPr>
                <w:color w:val="000000"/>
                <w:szCs w:val="20"/>
              </w:rPr>
              <w:t>710</w:t>
            </w:r>
          </w:p>
        </w:tc>
        <w:tc>
          <w:tcPr>
            <w:tcW w:w="1286" w:type="dxa"/>
            <w:vAlign w:val="center"/>
          </w:tcPr>
          <w:p w:rsidR="007A4D59" w:rsidRPr="00E00B35" w:rsidRDefault="007A4D59" w:rsidP="00E00B35">
            <w:pPr>
              <w:spacing w:after="0" w:line="312" w:lineRule="auto"/>
              <w:rPr>
                <w:color w:val="000000"/>
                <w:szCs w:val="20"/>
              </w:rPr>
            </w:pPr>
            <w:r w:rsidRPr="00E00B35">
              <w:rPr>
                <w:color w:val="000000"/>
                <w:szCs w:val="20"/>
              </w:rPr>
              <w:t>472</w:t>
            </w:r>
          </w:p>
        </w:tc>
        <w:tc>
          <w:tcPr>
            <w:tcW w:w="1286" w:type="dxa"/>
            <w:vAlign w:val="center"/>
          </w:tcPr>
          <w:p w:rsidR="007A4D59" w:rsidRPr="00E00B35" w:rsidRDefault="007A4D59" w:rsidP="00E00B35">
            <w:pPr>
              <w:spacing w:after="0" w:line="312" w:lineRule="auto"/>
              <w:rPr>
                <w:color w:val="000000"/>
                <w:szCs w:val="20"/>
              </w:rPr>
            </w:pPr>
            <w:r w:rsidRPr="00E00B35">
              <w:rPr>
                <w:color w:val="000000"/>
                <w:szCs w:val="20"/>
              </w:rPr>
              <w:t>0</w:t>
            </w:r>
          </w:p>
        </w:tc>
        <w:tc>
          <w:tcPr>
            <w:tcW w:w="1286" w:type="dxa"/>
            <w:vAlign w:val="center"/>
          </w:tcPr>
          <w:p w:rsidR="007A4D59" w:rsidRPr="00E00B35" w:rsidRDefault="007A4D59" w:rsidP="00E00B35">
            <w:pPr>
              <w:spacing w:after="0" w:line="312" w:lineRule="auto"/>
              <w:rPr>
                <w:color w:val="000000"/>
                <w:szCs w:val="20"/>
              </w:rPr>
            </w:pPr>
            <w:r w:rsidRPr="00E00B35">
              <w:rPr>
                <w:color w:val="000000"/>
                <w:szCs w:val="20"/>
              </w:rPr>
              <w:t>2 522</w:t>
            </w:r>
          </w:p>
        </w:tc>
        <w:tc>
          <w:tcPr>
            <w:tcW w:w="1286" w:type="dxa"/>
            <w:vAlign w:val="center"/>
          </w:tcPr>
          <w:p w:rsidR="007A4D59" w:rsidRPr="00E00B35" w:rsidRDefault="007A4D59" w:rsidP="00E00B35">
            <w:pPr>
              <w:spacing w:after="0" w:line="312" w:lineRule="auto"/>
              <w:rPr>
                <w:color w:val="000000"/>
                <w:szCs w:val="20"/>
              </w:rPr>
            </w:pPr>
            <w:r w:rsidRPr="00E00B35">
              <w:rPr>
                <w:color w:val="000000"/>
                <w:szCs w:val="20"/>
              </w:rPr>
              <w:t>255</w:t>
            </w:r>
          </w:p>
        </w:tc>
        <w:tc>
          <w:tcPr>
            <w:tcW w:w="1286" w:type="dxa"/>
            <w:vAlign w:val="center"/>
          </w:tcPr>
          <w:p w:rsidR="007A4D59" w:rsidRPr="00E00B35" w:rsidRDefault="007A4D59" w:rsidP="00E00B35">
            <w:pPr>
              <w:spacing w:after="0" w:line="312" w:lineRule="auto"/>
              <w:rPr>
                <w:color w:val="000000"/>
                <w:szCs w:val="20"/>
              </w:rPr>
            </w:pPr>
            <w:r w:rsidRPr="00E00B35">
              <w:rPr>
                <w:color w:val="000000"/>
                <w:szCs w:val="20"/>
              </w:rPr>
              <w:t>3 565</w:t>
            </w:r>
          </w:p>
        </w:tc>
        <w:tc>
          <w:tcPr>
            <w:tcW w:w="1286" w:type="dxa"/>
            <w:vAlign w:val="center"/>
          </w:tcPr>
          <w:p w:rsidR="007A4D59" w:rsidRPr="00E00B35" w:rsidRDefault="007A4D59" w:rsidP="00E00B35">
            <w:pPr>
              <w:spacing w:after="0" w:line="312" w:lineRule="auto"/>
              <w:rPr>
                <w:color w:val="000000"/>
                <w:szCs w:val="20"/>
              </w:rPr>
            </w:pPr>
            <w:r w:rsidRPr="00E00B35">
              <w:rPr>
                <w:color w:val="000000"/>
                <w:szCs w:val="20"/>
              </w:rPr>
              <w:t>0</w:t>
            </w:r>
          </w:p>
        </w:tc>
        <w:tc>
          <w:tcPr>
            <w:tcW w:w="1286" w:type="dxa"/>
            <w:vAlign w:val="center"/>
          </w:tcPr>
          <w:p w:rsidR="007A4D59" w:rsidRPr="00E00B35" w:rsidRDefault="007A4D59" w:rsidP="00E00B35">
            <w:pPr>
              <w:spacing w:after="0" w:line="312" w:lineRule="auto"/>
              <w:rPr>
                <w:color w:val="000000"/>
                <w:szCs w:val="20"/>
              </w:rPr>
            </w:pPr>
            <w:r w:rsidRPr="00E00B35">
              <w:rPr>
                <w:color w:val="000000"/>
                <w:szCs w:val="20"/>
              </w:rPr>
              <w:t>67</w:t>
            </w:r>
          </w:p>
        </w:tc>
        <w:tc>
          <w:tcPr>
            <w:tcW w:w="1286" w:type="dxa"/>
            <w:vAlign w:val="center"/>
          </w:tcPr>
          <w:p w:rsidR="007A4D59" w:rsidRPr="00E00B35" w:rsidRDefault="007A4D59" w:rsidP="00E00B35">
            <w:pPr>
              <w:spacing w:after="0" w:line="312" w:lineRule="auto"/>
              <w:rPr>
                <w:color w:val="000000"/>
                <w:szCs w:val="20"/>
              </w:rPr>
            </w:pPr>
            <w:r w:rsidRPr="00E00B35">
              <w:rPr>
                <w:color w:val="000000"/>
                <w:szCs w:val="20"/>
              </w:rPr>
              <w:t>70</w:t>
            </w:r>
          </w:p>
        </w:tc>
      </w:tr>
      <w:tr w:rsidR="007A4D59" w:rsidRPr="00E00B35" w:rsidTr="006D3493">
        <w:tc>
          <w:tcPr>
            <w:tcW w:w="1285" w:type="dxa"/>
          </w:tcPr>
          <w:p w:rsidR="007A4D59" w:rsidRPr="00E00B35" w:rsidRDefault="007A4D59" w:rsidP="00E00B35">
            <w:pPr>
              <w:spacing w:after="0" w:line="312" w:lineRule="auto"/>
              <w:rPr>
                <w:szCs w:val="20"/>
              </w:rPr>
            </w:pPr>
            <w:r w:rsidRPr="00E00B35">
              <w:rPr>
                <w:szCs w:val="20"/>
              </w:rPr>
              <w:t>Razem</w:t>
            </w:r>
          </w:p>
        </w:tc>
        <w:tc>
          <w:tcPr>
            <w:tcW w:w="1285" w:type="dxa"/>
            <w:vAlign w:val="center"/>
          </w:tcPr>
          <w:p w:rsidR="007A4D59" w:rsidRPr="00E00B35" w:rsidRDefault="007A4D59" w:rsidP="00E00B35">
            <w:pPr>
              <w:spacing w:after="0" w:line="312" w:lineRule="auto"/>
              <w:rPr>
                <w:color w:val="000000"/>
                <w:szCs w:val="20"/>
              </w:rPr>
            </w:pPr>
            <w:r w:rsidRPr="00E00B35">
              <w:rPr>
                <w:color w:val="000000"/>
                <w:szCs w:val="20"/>
              </w:rPr>
              <w:t>26 313</w:t>
            </w:r>
          </w:p>
        </w:tc>
        <w:tc>
          <w:tcPr>
            <w:tcW w:w="1286" w:type="dxa"/>
            <w:vAlign w:val="center"/>
          </w:tcPr>
          <w:p w:rsidR="007A4D59" w:rsidRPr="00E00B35" w:rsidRDefault="007A4D59" w:rsidP="00E00B35">
            <w:pPr>
              <w:spacing w:after="0" w:line="312" w:lineRule="auto"/>
              <w:rPr>
                <w:bCs/>
                <w:color w:val="000000"/>
                <w:szCs w:val="20"/>
              </w:rPr>
            </w:pPr>
            <w:r w:rsidRPr="00E00B35">
              <w:rPr>
                <w:bCs/>
                <w:color w:val="000000"/>
                <w:szCs w:val="20"/>
              </w:rPr>
              <w:t>50 653</w:t>
            </w:r>
          </w:p>
        </w:tc>
        <w:tc>
          <w:tcPr>
            <w:tcW w:w="1286" w:type="dxa"/>
            <w:vAlign w:val="center"/>
          </w:tcPr>
          <w:p w:rsidR="007A4D59" w:rsidRPr="00E00B35" w:rsidRDefault="007A4D59" w:rsidP="00E00B35">
            <w:pPr>
              <w:spacing w:after="0" w:line="312" w:lineRule="auto"/>
              <w:rPr>
                <w:bCs/>
                <w:color w:val="000000"/>
                <w:szCs w:val="20"/>
              </w:rPr>
            </w:pPr>
            <w:r w:rsidRPr="00E00B35">
              <w:rPr>
                <w:bCs/>
                <w:color w:val="000000"/>
                <w:szCs w:val="20"/>
              </w:rPr>
              <w:t>1 679</w:t>
            </w:r>
          </w:p>
        </w:tc>
        <w:tc>
          <w:tcPr>
            <w:tcW w:w="1286" w:type="dxa"/>
            <w:vAlign w:val="center"/>
          </w:tcPr>
          <w:p w:rsidR="007A4D59" w:rsidRPr="00E00B35" w:rsidRDefault="007A4D59" w:rsidP="00E00B35">
            <w:pPr>
              <w:spacing w:after="0" w:line="312" w:lineRule="auto"/>
              <w:rPr>
                <w:bCs/>
                <w:color w:val="000000"/>
                <w:szCs w:val="20"/>
              </w:rPr>
            </w:pPr>
            <w:r w:rsidRPr="00E00B35">
              <w:rPr>
                <w:bCs/>
                <w:color w:val="000000"/>
                <w:szCs w:val="20"/>
              </w:rPr>
              <w:t>134</w:t>
            </w:r>
          </w:p>
        </w:tc>
        <w:tc>
          <w:tcPr>
            <w:tcW w:w="1286" w:type="dxa"/>
            <w:vAlign w:val="center"/>
          </w:tcPr>
          <w:p w:rsidR="007A4D59" w:rsidRPr="00E00B35" w:rsidRDefault="007A4D59" w:rsidP="00E00B35">
            <w:pPr>
              <w:spacing w:after="0" w:line="312" w:lineRule="auto"/>
              <w:rPr>
                <w:bCs/>
                <w:color w:val="000000"/>
                <w:szCs w:val="20"/>
              </w:rPr>
            </w:pPr>
            <w:r w:rsidRPr="00E00B35">
              <w:rPr>
                <w:bCs/>
                <w:color w:val="000000"/>
                <w:szCs w:val="20"/>
              </w:rPr>
              <w:t>20 464</w:t>
            </w:r>
          </w:p>
        </w:tc>
        <w:tc>
          <w:tcPr>
            <w:tcW w:w="1286" w:type="dxa"/>
            <w:vAlign w:val="center"/>
          </w:tcPr>
          <w:p w:rsidR="007A4D59" w:rsidRPr="00E00B35" w:rsidRDefault="007A4D59" w:rsidP="00E00B35">
            <w:pPr>
              <w:spacing w:after="0" w:line="312" w:lineRule="auto"/>
              <w:rPr>
                <w:bCs/>
                <w:color w:val="000000"/>
                <w:szCs w:val="20"/>
              </w:rPr>
            </w:pPr>
            <w:r w:rsidRPr="00E00B35">
              <w:rPr>
                <w:bCs/>
                <w:color w:val="000000"/>
                <w:szCs w:val="20"/>
              </w:rPr>
              <w:t>4 782</w:t>
            </w:r>
          </w:p>
        </w:tc>
        <w:tc>
          <w:tcPr>
            <w:tcW w:w="1286" w:type="dxa"/>
            <w:vAlign w:val="center"/>
          </w:tcPr>
          <w:p w:rsidR="007A4D59" w:rsidRPr="00E00B35" w:rsidRDefault="007A4D59" w:rsidP="00E00B35">
            <w:pPr>
              <w:spacing w:after="0" w:line="312" w:lineRule="auto"/>
              <w:rPr>
                <w:bCs/>
                <w:color w:val="000000"/>
                <w:szCs w:val="20"/>
              </w:rPr>
            </w:pPr>
            <w:r w:rsidRPr="00E00B35">
              <w:rPr>
                <w:bCs/>
                <w:color w:val="000000"/>
                <w:szCs w:val="20"/>
              </w:rPr>
              <w:t>18 472</w:t>
            </w:r>
          </w:p>
        </w:tc>
        <w:tc>
          <w:tcPr>
            <w:tcW w:w="1286" w:type="dxa"/>
            <w:vAlign w:val="center"/>
          </w:tcPr>
          <w:p w:rsidR="007A4D59" w:rsidRPr="00E00B35" w:rsidRDefault="007A4D59" w:rsidP="00E00B35">
            <w:pPr>
              <w:spacing w:after="0" w:line="312" w:lineRule="auto"/>
              <w:rPr>
                <w:bCs/>
                <w:color w:val="000000"/>
                <w:szCs w:val="20"/>
              </w:rPr>
            </w:pPr>
            <w:r w:rsidRPr="00E00B35">
              <w:rPr>
                <w:bCs/>
                <w:color w:val="000000"/>
                <w:szCs w:val="20"/>
              </w:rPr>
              <w:t>4 040</w:t>
            </w:r>
          </w:p>
        </w:tc>
        <w:tc>
          <w:tcPr>
            <w:tcW w:w="1286" w:type="dxa"/>
            <w:vAlign w:val="center"/>
          </w:tcPr>
          <w:p w:rsidR="007A4D59" w:rsidRPr="00E00B35" w:rsidRDefault="007A4D59" w:rsidP="00E00B35">
            <w:pPr>
              <w:spacing w:after="0" w:line="312" w:lineRule="auto"/>
              <w:rPr>
                <w:bCs/>
                <w:color w:val="000000"/>
                <w:szCs w:val="20"/>
              </w:rPr>
            </w:pPr>
            <w:r w:rsidRPr="00E00B35">
              <w:rPr>
                <w:bCs/>
                <w:color w:val="000000"/>
                <w:szCs w:val="20"/>
              </w:rPr>
              <w:t>1 992</w:t>
            </w:r>
          </w:p>
        </w:tc>
        <w:tc>
          <w:tcPr>
            <w:tcW w:w="1286" w:type="dxa"/>
            <w:vAlign w:val="center"/>
          </w:tcPr>
          <w:p w:rsidR="007A4D59" w:rsidRPr="00E00B35" w:rsidRDefault="007A4D59" w:rsidP="00E00B35">
            <w:pPr>
              <w:spacing w:after="0" w:line="312" w:lineRule="auto"/>
              <w:rPr>
                <w:bCs/>
                <w:color w:val="000000"/>
                <w:szCs w:val="20"/>
              </w:rPr>
            </w:pPr>
            <w:r w:rsidRPr="00E00B35">
              <w:rPr>
                <w:bCs/>
                <w:color w:val="000000"/>
                <w:szCs w:val="20"/>
              </w:rPr>
              <w:t>614</w:t>
            </w:r>
          </w:p>
        </w:tc>
      </w:tr>
    </w:tbl>
    <w:p w:rsidR="007A4D59" w:rsidRPr="00E00B35" w:rsidRDefault="007A4D59" w:rsidP="00E00B35">
      <w:pPr>
        <w:pStyle w:val="Zwykytekst"/>
        <w:spacing w:after="0" w:line="312" w:lineRule="auto"/>
        <w:rPr>
          <w:rFonts w:ascii="Verdana" w:hAnsi="Verdana"/>
          <w:color w:val="000000"/>
        </w:rPr>
      </w:pPr>
    </w:p>
    <w:p w:rsidR="007A4D59" w:rsidRPr="00E00B35" w:rsidRDefault="007A4D59" w:rsidP="00E00B35">
      <w:pPr>
        <w:pStyle w:val="Zwykytekst"/>
        <w:spacing w:after="0" w:line="312" w:lineRule="auto"/>
        <w:rPr>
          <w:rFonts w:ascii="Verdana" w:hAnsi="Verdana"/>
          <w:color w:val="000000"/>
        </w:rPr>
        <w:sectPr w:rsidR="007A4D59" w:rsidRPr="00E00B35" w:rsidSect="006D3493">
          <w:pgSz w:w="16838" w:h="11906" w:orient="landscape" w:code="9"/>
          <w:pgMar w:top="1418" w:right="1418" w:bottom="1418" w:left="1418" w:header="709" w:footer="709" w:gutter="0"/>
          <w:cols w:space="708"/>
          <w:titlePg/>
          <w:docGrid w:linePitch="360"/>
        </w:sectPr>
      </w:pPr>
    </w:p>
    <w:p w:rsidR="007A4D59" w:rsidRPr="00E00B35" w:rsidRDefault="007A4D59" w:rsidP="00E00B35">
      <w:pPr>
        <w:spacing w:after="0" w:line="312" w:lineRule="auto"/>
        <w:rPr>
          <w:szCs w:val="20"/>
        </w:rPr>
      </w:pPr>
    </w:p>
    <w:p w:rsidR="007A4D59" w:rsidRPr="00E00B35" w:rsidRDefault="007A4D59" w:rsidP="00E00B35">
      <w:pPr>
        <w:pStyle w:val="Nagwek5"/>
        <w:rPr>
          <w:szCs w:val="20"/>
        </w:rPr>
      </w:pPr>
      <w:bookmarkStart w:id="785" w:name="_Toc71032655"/>
      <w:bookmarkStart w:id="786" w:name="_Toc71034630"/>
      <w:r w:rsidRPr="00E00B35">
        <w:rPr>
          <w:szCs w:val="20"/>
        </w:rPr>
        <w:t>LEŚNICTWO</w:t>
      </w:r>
      <w:bookmarkEnd w:id="785"/>
      <w:bookmarkEnd w:id="786"/>
    </w:p>
    <w:p w:rsidR="007A4D59" w:rsidRPr="00E00B35" w:rsidRDefault="007A4D59" w:rsidP="00E00B35">
      <w:pPr>
        <w:spacing w:after="0" w:line="312" w:lineRule="auto"/>
        <w:rPr>
          <w:bCs/>
          <w:szCs w:val="20"/>
        </w:rPr>
      </w:pPr>
    </w:p>
    <w:p w:rsidR="007A4D59" w:rsidRPr="00E00B35" w:rsidRDefault="007A4D59" w:rsidP="00E00B35">
      <w:pPr>
        <w:spacing w:after="0" w:line="312" w:lineRule="auto"/>
        <w:rPr>
          <w:bCs/>
          <w:iCs/>
          <w:szCs w:val="20"/>
        </w:rPr>
      </w:pPr>
      <w:r w:rsidRPr="00E00B35">
        <w:rPr>
          <w:bCs/>
          <w:iCs/>
          <w:szCs w:val="20"/>
        </w:rPr>
        <w:t xml:space="preserve">Realizacja zadań z zakresu leśnictwa - zgodnie z ustawą z dnia 28 września 1991 r. o lasach. </w:t>
      </w:r>
      <w:r w:rsidRPr="00E00B35">
        <w:rPr>
          <w:szCs w:val="20"/>
        </w:rPr>
        <w:t>W ramach nadzoru przeprowadzono oceny stanu lasów pod kątem realizacji zadań wynikających ze wskazań gospodarczych ujętych w inwentaryzacji stanu lasu i uproszczonych planach urządzenia lasu. W czasie wizji terenowych zwracano uwagę na kwestie dotyczące pielęgnowania i ochrony lasów tj. ochrony przeciwpożarowej, likwidacji drzew opanowanych przez organizmów szkodliwe, ochrony gleb oraz hodowli lasu, a także użytkowania lasu. W 2020 r. wydano 9 świadectw legalności pozyskania drewna w lasach niepaństwowych położonych na terenie Wrocławia, dla grubizny pozyskanego drewna liściastego 352,49 m</w:t>
      </w:r>
      <w:r w:rsidRPr="00E00B35">
        <w:rPr>
          <w:szCs w:val="20"/>
          <w:vertAlign w:val="superscript"/>
        </w:rPr>
        <w:t xml:space="preserve">3 </w:t>
      </w:r>
      <w:r w:rsidRPr="00E00B35">
        <w:rPr>
          <w:szCs w:val="20"/>
        </w:rPr>
        <w:t>oraz iglastego 232,62 m</w:t>
      </w:r>
      <w:r w:rsidRPr="00E00B35">
        <w:rPr>
          <w:szCs w:val="20"/>
          <w:vertAlign w:val="superscript"/>
        </w:rPr>
        <w:t>3</w:t>
      </w:r>
      <w:r w:rsidRPr="00E00B35">
        <w:rPr>
          <w:szCs w:val="20"/>
        </w:rPr>
        <w:t xml:space="preserve"> (razem 585,11 m</w:t>
      </w:r>
      <w:r w:rsidRPr="00E00B35">
        <w:rPr>
          <w:szCs w:val="20"/>
          <w:vertAlign w:val="superscript"/>
        </w:rPr>
        <w:t>3</w:t>
      </w:r>
      <w:r w:rsidRPr="00E00B35">
        <w:rPr>
          <w:szCs w:val="20"/>
        </w:rPr>
        <w:t xml:space="preserve">). </w:t>
      </w:r>
    </w:p>
    <w:p w:rsidR="007A4D59" w:rsidRPr="00E00B35" w:rsidRDefault="007A4D59" w:rsidP="00E00B35">
      <w:pPr>
        <w:spacing w:after="0" w:line="312" w:lineRule="auto"/>
        <w:rPr>
          <w:color w:val="000000"/>
          <w:szCs w:val="20"/>
        </w:rPr>
      </w:pPr>
    </w:p>
    <w:p w:rsidR="007A4D59" w:rsidRPr="00E00B35" w:rsidRDefault="007A4D59" w:rsidP="00E00B35">
      <w:pPr>
        <w:spacing w:after="0" w:line="312" w:lineRule="auto"/>
        <w:rPr>
          <w:color w:val="000000"/>
          <w:szCs w:val="20"/>
        </w:rPr>
      </w:pPr>
      <w:r w:rsidRPr="00E00B35">
        <w:rPr>
          <w:color w:val="000000"/>
          <w:szCs w:val="20"/>
        </w:rPr>
        <w:t xml:space="preserve"> Zestawienie ilości pozyskanego drewna w latach 2016-2020</w:t>
      </w:r>
    </w:p>
    <w:p w:rsidR="007A4D59" w:rsidRPr="00E00B35" w:rsidRDefault="007A4D59" w:rsidP="00E00B35">
      <w:pPr>
        <w:spacing w:after="0" w:line="312" w:lineRule="auto"/>
        <w:rPr>
          <w:color w:val="00000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5"/>
        <w:gridCol w:w="2303"/>
        <w:gridCol w:w="2303"/>
        <w:gridCol w:w="2303"/>
      </w:tblGrid>
      <w:tr w:rsidR="007A4D59" w:rsidRPr="00E00B35" w:rsidTr="006D3493">
        <w:tc>
          <w:tcPr>
            <w:tcW w:w="2195" w:type="dxa"/>
            <w:vMerge w:val="restart"/>
          </w:tcPr>
          <w:p w:rsidR="007A4D59" w:rsidRPr="00E00B35" w:rsidRDefault="007A4D59" w:rsidP="00E00B35">
            <w:pPr>
              <w:spacing w:after="0" w:line="312" w:lineRule="auto"/>
              <w:rPr>
                <w:szCs w:val="20"/>
              </w:rPr>
            </w:pPr>
            <w:r w:rsidRPr="00E00B35">
              <w:rPr>
                <w:szCs w:val="20"/>
              </w:rPr>
              <w:t>Rok</w:t>
            </w:r>
          </w:p>
        </w:tc>
        <w:tc>
          <w:tcPr>
            <w:tcW w:w="2303" w:type="dxa"/>
            <w:vMerge w:val="restart"/>
          </w:tcPr>
          <w:p w:rsidR="007A4D59" w:rsidRPr="00E00B35" w:rsidRDefault="007A4D59" w:rsidP="00E00B35">
            <w:pPr>
              <w:spacing w:after="0" w:line="312" w:lineRule="auto"/>
              <w:rPr>
                <w:szCs w:val="20"/>
              </w:rPr>
            </w:pPr>
            <w:r w:rsidRPr="00E00B35">
              <w:rPr>
                <w:color w:val="000000"/>
                <w:szCs w:val="20"/>
              </w:rPr>
              <w:t>Liczba wydanych świadectw legalności</w:t>
            </w:r>
          </w:p>
        </w:tc>
        <w:tc>
          <w:tcPr>
            <w:tcW w:w="4606" w:type="dxa"/>
            <w:gridSpan w:val="2"/>
          </w:tcPr>
          <w:p w:rsidR="007A4D59" w:rsidRPr="00E00B35" w:rsidRDefault="007A4D59" w:rsidP="00E00B35">
            <w:pPr>
              <w:spacing w:after="0" w:line="312" w:lineRule="auto"/>
              <w:rPr>
                <w:szCs w:val="20"/>
              </w:rPr>
            </w:pPr>
            <w:r w:rsidRPr="00E00B35">
              <w:rPr>
                <w:color w:val="000000"/>
                <w:szCs w:val="20"/>
              </w:rPr>
              <w:t>Ilość pozyskanego drewna</w:t>
            </w:r>
          </w:p>
        </w:tc>
      </w:tr>
      <w:tr w:rsidR="007A4D59" w:rsidRPr="00E00B35" w:rsidTr="006D3493">
        <w:tc>
          <w:tcPr>
            <w:tcW w:w="2195" w:type="dxa"/>
            <w:vMerge/>
          </w:tcPr>
          <w:p w:rsidR="007A4D59" w:rsidRPr="00E00B35" w:rsidRDefault="007A4D59" w:rsidP="00E00B35">
            <w:pPr>
              <w:spacing w:after="0" w:line="312" w:lineRule="auto"/>
              <w:rPr>
                <w:color w:val="000000"/>
                <w:szCs w:val="20"/>
              </w:rPr>
            </w:pPr>
          </w:p>
        </w:tc>
        <w:tc>
          <w:tcPr>
            <w:tcW w:w="2303" w:type="dxa"/>
            <w:vMerge/>
            <w:vAlign w:val="center"/>
          </w:tcPr>
          <w:p w:rsidR="007A4D59" w:rsidRPr="00E00B35" w:rsidRDefault="007A4D59" w:rsidP="00E00B35">
            <w:pPr>
              <w:spacing w:after="0" w:line="312" w:lineRule="auto"/>
              <w:rPr>
                <w:color w:val="000000"/>
                <w:szCs w:val="20"/>
              </w:rPr>
            </w:pPr>
          </w:p>
        </w:tc>
        <w:tc>
          <w:tcPr>
            <w:tcW w:w="2303" w:type="dxa"/>
            <w:vAlign w:val="center"/>
          </w:tcPr>
          <w:p w:rsidR="007A4D59" w:rsidRPr="00E00B35" w:rsidRDefault="007A4D59" w:rsidP="00E00B35">
            <w:pPr>
              <w:spacing w:after="0" w:line="312" w:lineRule="auto"/>
              <w:rPr>
                <w:color w:val="000000"/>
                <w:szCs w:val="20"/>
              </w:rPr>
            </w:pPr>
            <w:r w:rsidRPr="00E00B35">
              <w:rPr>
                <w:color w:val="000000"/>
                <w:szCs w:val="20"/>
              </w:rPr>
              <w:t>liściastego [m</w:t>
            </w:r>
            <w:r w:rsidRPr="00E00B35">
              <w:rPr>
                <w:color w:val="000000"/>
                <w:szCs w:val="20"/>
                <w:vertAlign w:val="superscript"/>
              </w:rPr>
              <w:t>3</w:t>
            </w:r>
            <w:r w:rsidRPr="00E00B35">
              <w:rPr>
                <w:color w:val="000000"/>
                <w:szCs w:val="20"/>
              </w:rPr>
              <w:t>]</w:t>
            </w:r>
          </w:p>
        </w:tc>
        <w:tc>
          <w:tcPr>
            <w:tcW w:w="2303" w:type="dxa"/>
            <w:vAlign w:val="center"/>
          </w:tcPr>
          <w:p w:rsidR="007A4D59" w:rsidRPr="00E00B35" w:rsidRDefault="007A4D59" w:rsidP="00E00B35">
            <w:pPr>
              <w:spacing w:after="0" w:line="312" w:lineRule="auto"/>
              <w:rPr>
                <w:color w:val="000000"/>
                <w:szCs w:val="20"/>
              </w:rPr>
            </w:pPr>
            <w:r w:rsidRPr="00E00B35">
              <w:rPr>
                <w:color w:val="000000"/>
                <w:szCs w:val="20"/>
              </w:rPr>
              <w:t>iglastego[m</w:t>
            </w:r>
            <w:r w:rsidRPr="00E00B35">
              <w:rPr>
                <w:color w:val="000000"/>
                <w:szCs w:val="20"/>
                <w:vertAlign w:val="superscript"/>
              </w:rPr>
              <w:t>3</w:t>
            </w:r>
            <w:r w:rsidRPr="00E00B35">
              <w:rPr>
                <w:color w:val="000000"/>
                <w:szCs w:val="20"/>
              </w:rPr>
              <w:t>]</w:t>
            </w:r>
          </w:p>
        </w:tc>
      </w:tr>
      <w:tr w:rsidR="007A4D59" w:rsidRPr="00E00B35" w:rsidTr="006D3493">
        <w:tc>
          <w:tcPr>
            <w:tcW w:w="2195" w:type="dxa"/>
          </w:tcPr>
          <w:p w:rsidR="007A4D59" w:rsidRPr="00E00B35" w:rsidRDefault="007A4D59" w:rsidP="00E00B35">
            <w:pPr>
              <w:spacing w:after="0" w:line="312" w:lineRule="auto"/>
              <w:rPr>
                <w:color w:val="000000"/>
                <w:szCs w:val="20"/>
              </w:rPr>
            </w:pPr>
            <w:r w:rsidRPr="00E00B35">
              <w:rPr>
                <w:color w:val="000000"/>
                <w:szCs w:val="20"/>
              </w:rPr>
              <w:t>2016</w:t>
            </w:r>
          </w:p>
        </w:tc>
        <w:tc>
          <w:tcPr>
            <w:tcW w:w="2303" w:type="dxa"/>
            <w:vAlign w:val="center"/>
          </w:tcPr>
          <w:p w:rsidR="007A4D59" w:rsidRPr="00E00B35" w:rsidRDefault="007A4D59" w:rsidP="00E00B35">
            <w:pPr>
              <w:spacing w:after="0" w:line="312" w:lineRule="auto"/>
              <w:rPr>
                <w:color w:val="000000"/>
                <w:szCs w:val="20"/>
              </w:rPr>
            </w:pPr>
            <w:r w:rsidRPr="00E00B35">
              <w:rPr>
                <w:color w:val="000000"/>
                <w:szCs w:val="20"/>
              </w:rPr>
              <w:t>8</w:t>
            </w:r>
          </w:p>
        </w:tc>
        <w:tc>
          <w:tcPr>
            <w:tcW w:w="2303" w:type="dxa"/>
            <w:vAlign w:val="center"/>
          </w:tcPr>
          <w:p w:rsidR="007A4D59" w:rsidRPr="00E00B35" w:rsidRDefault="007A4D59" w:rsidP="00E00B35">
            <w:pPr>
              <w:spacing w:after="0" w:line="312" w:lineRule="auto"/>
              <w:rPr>
                <w:color w:val="000000"/>
                <w:szCs w:val="20"/>
              </w:rPr>
            </w:pPr>
            <w:r w:rsidRPr="00E00B35">
              <w:rPr>
                <w:color w:val="000000"/>
                <w:szCs w:val="20"/>
              </w:rPr>
              <w:t>1066,76</w:t>
            </w:r>
          </w:p>
        </w:tc>
        <w:tc>
          <w:tcPr>
            <w:tcW w:w="2303" w:type="dxa"/>
          </w:tcPr>
          <w:p w:rsidR="007A4D59" w:rsidRPr="00E00B35" w:rsidRDefault="007A4D59" w:rsidP="00E00B35">
            <w:pPr>
              <w:spacing w:after="0" w:line="312" w:lineRule="auto"/>
              <w:rPr>
                <w:color w:val="000000"/>
                <w:szCs w:val="20"/>
              </w:rPr>
            </w:pPr>
            <w:r w:rsidRPr="00E00B35">
              <w:rPr>
                <w:color w:val="000000"/>
                <w:szCs w:val="20"/>
              </w:rPr>
              <w:t>223,55</w:t>
            </w:r>
          </w:p>
        </w:tc>
      </w:tr>
      <w:tr w:rsidR="007A4D59" w:rsidRPr="00E00B35" w:rsidTr="006D3493">
        <w:tc>
          <w:tcPr>
            <w:tcW w:w="2195" w:type="dxa"/>
          </w:tcPr>
          <w:p w:rsidR="007A4D59" w:rsidRPr="00E00B35" w:rsidRDefault="007A4D59" w:rsidP="00E00B35">
            <w:pPr>
              <w:spacing w:after="0" w:line="312" w:lineRule="auto"/>
              <w:rPr>
                <w:color w:val="000000"/>
                <w:szCs w:val="20"/>
              </w:rPr>
            </w:pPr>
            <w:r w:rsidRPr="00E00B35">
              <w:rPr>
                <w:color w:val="000000"/>
                <w:szCs w:val="20"/>
              </w:rPr>
              <w:t>2017</w:t>
            </w:r>
          </w:p>
        </w:tc>
        <w:tc>
          <w:tcPr>
            <w:tcW w:w="2303" w:type="dxa"/>
            <w:vAlign w:val="center"/>
          </w:tcPr>
          <w:p w:rsidR="007A4D59" w:rsidRPr="00E00B35" w:rsidRDefault="007A4D59" w:rsidP="00E00B35">
            <w:pPr>
              <w:spacing w:after="0" w:line="312" w:lineRule="auto"/>
              <w:rPr>
                <w:color w:val="000000"/>
                <w:szCs w:val="20"/>
              </w:rPr>
            </w:pPr>
            <w:r w:rsidRPr="00E00B35">
              <w:rPr>
                <w:color w:val="000000"/>
                <w:szCs w:val="20"/>
              </w:rPr>
              <w:t>5</w:t>
            </w:r>
          </w:p>
        </w:tc>
        <w:tc>
          <w:tcPr>
            <w:tcW w:w="2303" w:type="dxa"/>
            <w:vAlign w:val="center"/>
          </w:tcPr>
          <w:p w:rsidR="007A4D59" w:rsidRPr="00E00B35" w:rsidRDefault="007A4D59" w:rsidP="00E00B35">
            <w:pPr>
              <w:spacing w:after="0" w:line="312" w:lineRule="auto"/>
              <w:rPr>
                <w:color w:val="000000"/>
                <w:szCs w:val="20"/>
              </w:rPr>
            </w:pPr>
            <w:r w:rsidRPr="00E00B35">
              <w:rPr>
                <w:szCs w:val="20"/>
              </w:rPr>
              <w:t>221,68</w:t>
            </w:r>
          </w:p>
        </w:tc>
        <w:tc>
          <w:tcPr>
            <w:tcW w:w="2303" w:type="dxa"/>
          </w:tcPr>
          <w:p w:rsidR="007A4D59" w:rsidRPr="00E00B35" w:rsidRDefault="007A4D59" w:rsidP="00E00B35">
            <w:pPr>
              <w:spacing w:after="0" w:line="312" w:lineRule="auto"/>
              <w:rPr>
                <w:color w:val="000000"/>
                <w:szCs w:val="20"/>
              </w:rPr>
            </w:pPr>
            <w:r w:rsidRPr="00E00B35">
              <w:rPr>
                <w:szCs w:val="20"/>
              </w:rPr>
              <w:t>42,99</w:t>
            </w:r>
          </w:p>
        </w:tc>
      </w:tr>
      <w:tr w:rsidR="007A4D59" w:rsidRPr="00E00B35" w:rsidTr="006D3493">
        <w:tc>
          <w:tcPr>
            <w:tcW w:w="2195" w:type="dxa"/>
          </w:tcPr>
          <w:p w:rsidR="007A4D59" w:rsidRPr="00E00B35" w:rsidRDefault="007A4D59" w:rsidP="00E00B35">
            <w:pPr>
              <w:spacing w:after="0" w:line="312" w:lineRule="auto"/>
              <w:rPr>
                <w:color w:val="000000"/>
                <w:szCs w:val="20"/>
              </w:rPr>
            </w:pPr>
            <w:r w:rsidRPr="00E00B35">
              <w:rPr>
                <w:color w:val="000000"/>
                <w:szCs w:val="20"/>
              </w:rPr>
              <w:t>2018</w:t>
            </w:r>
          </w:p>
        </w:tc>
        <w:tc>
          <w:tcPr>
            <w:tcW w:w="2303" w:type="dxa"/>
            <w:vAlign w:val="center"/>
          </w:tcPr>
          <w:p w:rsidR="007A4D59" w:rsidRPr="00E00B35" w:rsidRDefault="007A4D59" w:rsidP="00E00B35">
            <w:pPr>
              <w:spacing w:after="0" w:line="312" w:lineRule="auto"/>
              <w:rPr>
                <w:color w:val="000000"/>
                <w:szCs w:val="20"/>
              </w:rPr>
            </w:pPr>
            <w:r w:rsidRPr="00E00B35">
              <w:rPr>
                <w:color w:val="000000"/>
                <w:szCs w:val="20"/>
              </w:rPr>
              <w:t>1</w:t>
            </w:r>
          </w:p>
        </w:tc>
        <w:tc>
          <w:tcPr>
            <w:tcW w:w="2303" w:type="dxa"/>
            <w:vAlign w:val="center"/>
          </w:tcPr>
          <w:p w:rsidR="007A4D59" w:rsidRPr="00E00B35" w:rsidRDefault="007A4D59" w:rsidP="00E00B35">
            <w:pPr>
              <w:spacing w:after="0" w:line="312" w:lineRule="auto"/>
              <w:rPr>
                <w:color w:val="000000"/>
                <w:szCs w:val="20"/>
              </w:rPr>
            </w:pPr>
            <w:r w:rsidRPr="00E00B35">
              <w:rPr>
                <w:color w:val="000000"/>
                <w:szCs w:val="20"/>
              </w:rPr>
              <w:t>28,55</w:t>
            </w:r>
          </w:p>
        </w:tc>
        <w:tc>
          <w:tcPr>
            <w:tcW w:w="2303" w:type="dxa"/>
          </w:tcPr>
          <w:p w:rsidR="007A4D59" w:rsidRPr="00E00B35" w:rsidRDefault="007A4D59" w:rsidP="00E00B35">
            <w:pPr>
              <w:spacing w:after="0" w:line="312" w:lineRule="auto"/>
              <w:rPr>
                <w:color w:val="000000"/>
                <w:szCs w:val="20"/>
              </w:rPr>
            </w:pPr>
            <w:r w:rsidRPr="00E00B35">
              <w:rPr>
                <w:color w:val="000000"/>
                <w:szCs w:val="20"/>
              </w:rPr>
              <w:t>-</w:t>
            </w:r>
          </w:p>
        </w:tc>
      </w:tr>
      <w:tr w:rsidR="007A4D59" w:rsidRPr="00E00B35" w:rsidTr="006D3493">
        <w:tc>
          <w:tcPr>
            <w:tcW w:w="2195" w:type="dxa"/>
          </w:tcPr>
          <w:p w:rsidR="007A4D59" w:rsidRPr="00E00B35" w:rsidRDefault="007A4D59" w:rsidP="00E00B35">
            <w:pPr>
              <w:spacing w:after="0" w:line="312" w:lineRule="auto"/>
              <w:rPr>
                <w:color w:val="000000"/>
                <w:szCs w:val="20"/>
              </w:rPr>
            </w:pPr>
            <w:r w:rsidRPr="00E00B35">
              <w:rPr>
                <w:color w:val="000000"/>
                <w:szCs w:val="20"/>
              </w:rPr>
              <w:t>2019</w:t>
            </w:r>
          </w:p>
        </w:tc>
        <w:tc>
          <w:tcPr>
            <w:tcW w:w="2303" w:type="dxa"/>
            <w:vAlign w:val="center"/>
          </w:tcPr>
          <w:p w:rsidR="007A4D59" w:rsidRPr="00E00B35" w:rsidRDefault="007A4D59" w:rsidP="00E00B35">
            <w:pPr>
              <w:spacing w:after="0" w:line="312" w:lineRule="auto"/>
              <w:rPr>
                <w:color w:val="000000"/>
                <w:szCs w:val="20"/>
              </w:rPr>
            </w:pPr>
            <w:r w:rsidRPr="00E00B35">
              <w:rPr>
                <w:color w:val="000000"/>
                <w:szCs w:val="20"/>
              </w:rPr>
              <w:t>3</w:t>
            </w:r>
          </w:p>
        </w:tc>
        <w:tc>
          <w:tcPr>
            <w:tcW w:w="2303" w:type="dxa"/>
            <w:vAlign w:val="center"/>
          </w:tcPr>
          <w:p w:rsidR="007A4D59" w:rsidRPr="00E00B35" w:rsidRDefault="007A4D59" w:rsidP="00E00B35">
            <w:pPr>
              <w:spacing w:after="0" w:line="312" w:lineRule="auto"/>
              <w:rPr>
                <w:color w:val="000000"/>
                <w:szCs w:val="20"/>
              </w:rPr>
            </w:pPr>
            <w:r w:rsidRPr="00E00B35">
              <w:rPr>
                <w:color w:val="000000"/>
                <w:szCs w:val="20"/>
              </w:rPr>
              <w:t>218,71</w:t>
            </w:r>
          </w:p>
        </w:tc>
        <w:tc>
          <w:tcPr>
            <w:tcW w:w="2303" w:type="dxa"/>
          </w:tcPr>
          <w:p w:rsidR="007A4D59" w:rsidRPr="00E00B35" w:rsidRDefault="007A4D59" w:rsidP="00E00B35">
            <w:pPr>
              <w:spacing w:after="0" w:line="312" w:lineRule="auto"/>
              <w:rPr>
                <w:color w:val="000000"/>
                <w:szCs w:val="20"/>
              </w:rPr>
            </w:pPr>
            <w:r w:rsidRPr="00E00B35">
              <w:rPr>
                <w:color w:val="000000"/>
                <w:szCs w:val="20"/>
              </w:rPr>
              <w:t>12,36</w:t>
            </w:r>
          </w:p>
        </w:tc>
      </w:tr>
      <w:tr w:rsidR="007A4D59" w:rsidRPr="00E00B35" w:rsidTr="006D3493">
        <w:tc>
          <w:tcPr>
            <w:tcW w:w="2195" w:type="dxa"/>
          </w:tcPr>
          <w:p w:rsidR="007A4D59" w:rsidRPr="00E00B35" w:rsidRDefault="007A4D59" w:rsidP="00E00B35">
            <w:pPr>
              <w:spacing w:after="0" w:line="312" w:lineRule="auto"/>
              <w:ind w:right="-250"/>
              <w:rPr>
                <w:color w:val="000000"/>
                <w:szCs w:val="20"/>
              </w:rPr>
            </w:pPr>
            <w:r w:rsidRPr="00E00B35">
              <w:rPr>
                <w:color w:val="000000"/>
                <w:szCs w:val="20"/>
              </w:rPr>
              <w:t xml:space="preserve">            2020</w:t>
            </w:r>
          </w:p>
        </w:tc>
        <w:tc>
          <w:tcPr>
            <w:tcW w:w="2303" w:type="dxa"/>
            <w:vAlign w:val="center"/>
          </w:tcPr>
          <w:p w:rsidR="007A4D59" w:rsidRPr="00E00B35" w:rsidRDefault="007A4D59" w:rsidP="00E00B35">
            <w:pPr>
              <w:spacing w:after="0" w:line="312" w:lineRule="auto"/>
              <w:rPr>
                <w:szCs w:val="20"/>
              </w:rPr>
            </w:pPr>
            <w:r w:rsidRPr="00E00B35">
              <w:rPr>
                <w:szCs w:val="20"/>
              </w:rPr>
              <w:t>9</w:t>
            </w:r>
          </w:p>
        </w:tc>
        <w:tc>
          <w:tcPr>
            <w:tcW w:w="2303" w:type="dxa"/>
            <w:vAlign w:val="center"/>
          </w:tcPr>
          <w:p w:rsidR="007A4D59" w:rsidRPr="00E00B35" w:rsidRDefault="007A4D59" w:rsidP="00E00B35">
            <w:pPr>
              <w:spacing w:after="0" w:line="312" w:lineRule="auto"/>
              <w:rPr>
                <w:szCs w:val="20"/>
              </w:rPr>
            </w:pPr>
            <w:r w:rsidRPr="00E00B35">
              <w:rPr>
                <w:szCs w:val="20"/>
              </w:rPr>
              <w:t>352,49</w:t>
            </w:r>
          </w:p>
        </w:tc>
        <w:tc>
          <w:tcPr>
            <w:tcW w:w="2303" w:type="dxa"/>
          </w:tcPr>
          <w:p w:rsidR="007A4D59" w:rsidRPr="00E00B35" w:rsidRDefault="007A4D59" w:rsidP="00E00B35">
            <w:pPr>
              <w:spacing w:after="0" w:line="312" w:lineRule="auto"/>
              <w:rPr>
                <w:szCs w:val="20"/>
              </w:rPr>
            </w:pPr>
            <w:r w:rsidRPr="00E00B35">
              <w:rPr>
                <w:szCs w:val="20"/>
              </w:rPr>
              <w:t>232,62</w:t>
            </w:r>
          </w:p>
        </w:tc>
      </w:tr>
      <w:tr w:rsidR="007A4D59" w:rsidRPr="00E00B35" w:rsidTr="006D3493">
        <w:tc>
          <w:tcPr>
            <w:tcW w:w="4498" w:type="dxa"/>
            <w:gridSpan w:val="2"/>
            <w:vMerge w:val="restart"/>
          </w:tcPr>
          <w:p w:rsidR="007A4D59" w:rsidRPr="00E00B35" w:rsidRDefault="007A4D59" w:rsidP="00E00B35">
            <w:pPr>
              <w:spacing w:after="0" w:line="312" w:lineRule="auto"/>
              <w:rPr>
                <w:szCs w:val="20"/>
              </w:rPr>
            </w:pPr>
            <w:r w:rsidRPr="00E00B35">
              <w:rPr>
                <w:szCs w:val="20"/>
              </w:rPr>
              <w:t>Suma</w:t>
            </w:r>
          </w:p>
          <w:p w:rsidR="007A4D59" w:rsidRPr="00E00B35" w:rsidRDefault="007A4D59" w:rsidP="00E00B35">
            <w:pPr>
              <w:spacing w:after="0" w:line="312" w:lineRule="auto"/>
              <w:rPr>
                <w:szCs w:val="20"/>
              </w:rPr>
            </w:pPr>
            <w:r w:rsidRPr="00E00B35">
              <w:rPr>
                <w:szCs w:val="20"/>
              </w:rPr>
              <w:t>Suma łącznie</w:t>
            </w:r>
          </w:p>
        </w:tc>
        <w:tc>
          <w:tcPr>
            <w:tcW w:w="2303" w:type="dxa"/>
            <w:vAlign w:val="center"/>
          </w:tcPr>
          <w:p w:rsidR="007A4D59" w:rsidRPr="00E00B35" w:rsidRDefault="007A4D59" w:rsidP="00E00B35">
            <w:pPr>
              <w:spacing w:after="0" w:line="312" w:lineRule="auto"/>
              <w:rPr>
                <w:szCs w:val="20"/>
              </w:rPr>
            </w:pPr>
            <w:r w:rsidRPr="00E00B35">
              <w:rPr>
                <w:szCs w:val="20"/>
              </w:rPr>
              <w:t>1888,19</w:t>
            </w:r>
          </w:p>
        </w:tc>
        <w:tc>
          <w:tcPr>
            <w:tcW w:w="2303" w:type="dxa"/>
          </w:tcPr>
          <w:p w:rsidR="007A4D59" w:rsidRPr="00E00B35" w:rsidRDefault="007A4D59" w:rsidP="00E00B35">
            <w:pPr>
              <w:spacing w:after="0" w:line="312" w:lineRule="auto"/>
              <w:rPr>
                <w:szCs w:val="20"/>
              </w:rPr>
            </w:pPr>
            <w:r w:rsidRPr="00E00B35">
              <w:rPr>
                <w:szCs w:val="20"/>
              </w:rPr>
              <w:t>511,52</w:t>
            </w:r>
          </w:p>
        </w:tc>
      </w:tr>
      <w:tr w:rsidR="007A4D59" w:rsidRPr="00E00B35" w:rsidTr="006D3493">
        <w:tc>
          <w:tcPr>
            <w:tcW w:w="4498" w:type="dxa"/>
            <w:gridSpan w:val="2"/>
            <w:vMerge/>
          </w:tcPr>
          <w:p w:rsidR="007A4D59" w:rsidRPr="00E00B35" w:rsidRDefault="007A4D59" w:rsidP="00E00B35">
            <w:pPr>
              <w:spacing w:after="0" w:line="312" w:lineRule="auto"/>
              <w:rPr>
                <w:szCs w:val="20"/>
              </w:rPr>
            </w:pPr>
          </w:p>
        </w:tc>
        <w:tc>
          <w:tcPr>
            <w:tcW w:w="2303" w:type="dxa"/>
            <w:vAlign w:val="center"/>
          </w:tcPr>
          <w:p w:rsidR="007A4D59" w:rsidRPr="00E00B35" w:rsidRDefault="007A4D59" w:rsidP="00E00B35">
            <w:pPr>
              <w:spacing w:after="0" w:line="312" w:lineRule="auto"/>
              <w:rPr>
                <w:szCs w:val="20"/>
              </w:rPr>
            </w:pPr>
            <w:r w:rsidRPr="00E00B35">
              <w:rPr>
                <w:szCs w:val="20"/>
              </w:rPr>
              <w:t>2 399,71</w:t>
            </w:r>
          </w:p>
        </w:tc>
        <w:tc>
          <w:tcPr>
            <w:tcW w:w="2303" w:type="dxa"/>
          </w:tcPr>
          <w:p w:rsidR="007A4D59" w:rsidRPr="00E00B35" w:rsidRDefault="007A4D59" w:rsidP="00E00B35">
            <w:pPr>
              <w:spacing w:after="0" w:line="312" w:lineRule="auto"/>
              <w:rPr>
                <w:szCs w:val="20"/>
              </w:rPr>
            </w:pPr>
          </w:p>
        </w:tc>
      </w:tr>
    </w:tbl>
    <w:p w:rsidR="007A4D59" w:rsidRPr="00E00B35" w:rsidRDefault="007A4D59" w:rsidP="00E00B35">
      <w:pPr>
        <w:spacing w:after="0" w:line="312" w:lineRule="auto"/>
        <w:rPr>
          <w:color w:val="000000"/>
          <w:szCs w:val="20"/>
        </w:rPr>
      </w:pPr>
    </w:p>
    <w:p w:rsidR="007A4D59" w:rsidRPr="00E00B35" w:rsidRDefault="007A4D59" w:rsidP="00E00B35">
      <w:pPr>
        <w:spacing w:after="0" w:line="312" w:lineRule="auto"/>
        <w:rPr>
          <w:bCs/>
          <w:szCs w:val="20"/>
          <w:highlight w:val="yellow"/>
        </w:rPr>
      </w:pPr>
      <w:r w:rsidRPr="00E00B35">
        <w:rPr>
          <w:szCs w:val="20"/>
        </w:rPr>
        <w:t xml:space="preserve">W 2020 r. wszczęto z urzędu 46 postępowań administracyjnych w sprawie wydania decyzji w związku z art. 19 ust. 3 ustawy o lasach oraz 1 postępowanie w związku z art. 23 ust. 4 tej ustawy. Wydano w sumie 45 decyzji administracyjnych. </w:t>
      </w:r>
      <w:r w:rsidRPr="00E00B35">
        <w:rPr>
          <w:rFonts w:cs="Arial"/>
          <w:color w:val="000000"/>
          <w:szCs w:val="20"/>
        </w:rPr>
        <w:t>W ramach prowadzonego nadzoru nad lasami przeprowadzono kontrole zalesień założonych w obrębach Świniary, Pracze Odrzańskie i Ratyń. Po kontroli wydano zarządcy terenów - ZZM - zalecenia, co do koniecznych do wykonania poprawek i zabiegów.</w:t>
      </w:r>
    </w:p>
    <w:p w:rsidR="007A4D59" w:rsidRPr="00E00B35" w:rsidRDefault="007A4D59" w:rsidP="00E00B35">
      <w:pPr>
        <w:pStyle w:val="Zwykytekst"/>
        <w:spacing w:after="0" w:line="312" w:lineRule="auto"/>
        <w:rPr>
          <w:rFonts w:ascii="Verdana" w:hAnsi="Verdana"/>
          <w:bCs/>
          <w:highlight w:val="yellow"/>
        </w:rPr>
      </w:pPr>
    </w:p>
    <w:p w:rsidR="007A4D59" w:rsidRPr="00E00B35" w:rsidRDefault="007A4D59" w:rsidP="00E00B35">
      <w:pPr>
        <w:pStyle w:val="Nagwek5"/>
        <w:rPr>
          <w:szCs w:val="20"/>
        </w:rPr>
      </w:pPr>
      <w:bookmarkStart w:id="787" w:name="_Toc71032656"/>
      <w:bookmarkStart w:id="788" w:name="_Toc71034631"/>
      <w:r w:rsidRPr="00E00B35">
        <w:rPr>
          <w:szCs w:val="20"/>
        </w:rPr>
        <w:t>DZIAŁANIA W ZAKRESIE ROLNICTWA</w:t>
      </w:r>
      <w:bookmarkEnd w:id="787"/>
      <w:bookmarkEnd w:id="788"/>
    </w:p>
    <w:p w:rsidR="007A4D59" w:rsidRPr="00E00B35" w:rsidRDefault="007A4D59" w:rsidP="00E00B35">
      <w:pPr>
        <w:pStyle w:val="Tytu"/>
        <w:spacing w:after="0" w:line="312" w:lineRule="auto"/>
        <w:jc w:val="left"/>
        <w:rPr>
          <w:b w:val="0"/>
          <w:bCs/>
          <w:szCs w:val="20"/>
        </w:rPr>
      </w:pPr>
    </w:p>
    <w:p w:rsidR="007A4D59" w:rsidRPr="00E00B35" w:rsidRDefault="007A4D59" w:rsidP="00E00B35">
      <w:pPr>
        <w:pStyle w:val="Tytu"/>
        <w:spacing w:after="0" w:line="312" w:lineRule="auto"/>
        <w:jc w:val="left"/>
        <w:rPr>
          <w:b w:val="0"/>
          <w:bCs/>
          <w:szCs w:val="20"/>
        </w:rPr>
      </w:pPr>
      <w:r w:rsidRPr="00E00B35">
        <w:rPr>
          <w:b w:val="0"/>
          <w:szCs w:val="20"/>
        </w:rPr>
        <w:t xml:space="preserve">Realizacja zadań z zakresu rolnictwa związana jest z  wykonywaniem różnorodnych działań dotyczących działalności rolniczej prowadzonej w rodzinnych gospodarstwach  rolnych w obszarze  Wrocławia, ochrony gruntów rolnych, amatorskiego połowu ryb, zmniejszania uciążliwości związanych z obecnością komarów w środowisku, oraz rejestracją psów agresywnych i chartów. Wymaga  ona współpracy z różnymi instytucjami pracującymi na rzecz rolnictwa i ochrony zwierząt w zakresie dobrej kultury rolnej i dobrostanu zwierząt m.in. z Powiatowym Inspektoratem Weterynarii, Powiatowym Inspektorem Sanitarnym, Inspektoratem Ochrony Roślin, Ośrodkiem </w:t>
      </w:r>
      <w:r w:rsidRPr="00E00B35">
        <w:rPr>
          <w:b w:val="0"/>
          <w:szCs w:val="20"/>
        </w:rPr>
        <w:lastRenderedPageBreak/>
        <w:t>Doradztwa Rolniczego, Izbą Rolniczą, Agencją Restrukturyzacji i Modernizacji Rolnictwa, Krajowym Ośrodkiem Wsparcia Rolnictwa, Uniwersytetem Wrocławskim,  Strażą Rybacką, Urzędem Marszałkowskim Województwa Dolnośląskiego a także z Dolnośląskim Biurem Geodezji i Terenów Rolnych, Instytutem Uprawy, Nawożenia i Gleboznawstwa – Państwowym Instytutem Badawczym (IUNG-PIB).</w:t>
      </w:r>
    </w:p>
    <w:p w:rsidR="007A4D59" w:rsidRPr="00E00B35" w:rsidRDefault="007A4D59" w:rsidP="00E00B35">
      <w:pPr>
        <w:pStyle w:val="Tytu"/>
        <w:spacing w:after="0" w:line="312" w:lineRule="auto"/>
        <w:jc w:val="left"/>
        <w:rPr>
          <w:b w:val="0"/>
          <w:bCs/>
          <w:szCs w:val="20"/>
        </w:rPr>
      </w:pPr>
      <w:r w:rsidRPr="00E00B35">
        <w:rPr>
          <w:b w:val="0"/>
          <w:szCs w:val="20"/>
        </w:rPr>
        <w:t xml:space="preserve">W ramach  zadań związanych z działalnością rolniczą  wykonywano zadania kontrolno - ochronne w zakresie produkcji roślinnej i zwierzęcej.  Działalność ta w 2020 roku prowadzona była na terenie Wrocławia przez 1 645 rolników, w rodzinnych gospodarstwach  rolnych o powierzchni powyżej  1 ha użytków rolnych  oraz  przez 6 360  posiadaczy  nieruchomości rolnych o powierzchni od 0,10 ha do 1 ha. Do jej  prowadzenia  wykorzystywane były użytki rolne o łącznym obszarze 7 508,19 ha . </w:t>
      </w:r>
    </w:p>
    <w:p w:rsidR="007A4D59" w:rsidRPr="00E00B35" w:rsidRDefault="007A4D59" w:rsidP="00E00B35">
      <w:pPr>
        <w:pStyle w:val="Tytu"/>
        <w:spacing w:after="0" w:line="312" w:lineRule="auto"/>
        <w:jc w:val="left"/>
        <w:rPr>
          <w:b w:val="0"/>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Produkcja roślinna</w:t>
      </w:r>
    </w:p>
    <w:p w:rsidR="007A4D59" w:rsidRPr="00E00B35" w:rsidRDefault="007A4D59" w:rsidP="00E00B35">
      <w:pPr>
        <w:pStyle w:val="Tytu"/>
        <w:spacing w:after="0" w:line="312" w:lineRule="auto"/>
        <w:jc w:val="left"/>
        <w:rPr>
          <w:b w:val="0"/>
          <w:szCs w:val="20"/>
        </w:rPr>
      </w:pPr>
    </w:p>
    <w:p w:rsidR="007A4D59" w:rsidRPr="00E00B35" w:rsidRDefault="007A4D59" w:rsidP="00E00B35">
      <w:pPr>
        <w:pStyle w:val="Tytu"/>
        <w:spacing w:after="0" w:line="312" w:lineRule="auto"/>
        <w:jc w:val="left"/>
        <w:rPr>
          <w:b w:val="0"/>
          <w:bCs/>
          <w:szCs w:val="20"/>
        </w:rPr>
      </w:pPr>
      <w:r w:rsidRPr="00E00B35">
        <w:rPr>
          <w:b w:val="0"/>
          <w:szCs w:val="20"/>
        </w:rPr>
        <w:t xml:space="preserve">Realizując zapisy ustawy o kształtowaniu ustroju rolnego   wydano 2 zaświadczenia umożliwiające rolnikom zakup lub dzierżawę nowych gruntów na powiększenie już istniejących gospodarstw, a na podstawie przepisów ustawy o wliczaniu pracy w indywidualnym gospodarstwie rolnym do pracowniczego stażu pracy wydano 8 zaświadczeń  potwierdzających istnienie gospodarstwa rolnego. </w:t>
      </w:r>
    </w:p>
    <w:p w:rsidR="007A4D59" w:rsidRPr="00E00B35" w:rsidRDefault="007A4D59" w:rsidP="00E00B35">
      <w:pPr>
        <w:pStyle w:val="Tekstpodstawowy"/>
        <w:suppressAutoHyphens/>
        <w:spacing w:after="0" w:line="312" w:lineRule="auto"/>
        <w:rPr>
          <w:rFonts w:cs="Tahoma"/>
          <w:bCs/>
          <w:color w:val="333333"/>
          <w:szCs w:val="20"/>
        </w:rPr>
      </w:pPr>
      <w:r w:rsidRPr="00E00B35">
        <w:rPr>
          <w:rFonts w:cs="Tahoma"/>
          <w:color w:val="333333"/>
          <w:szCs w:val="20"/>
        </w:rPr>
        <w:t>Zgodnie z ustawą o przeciwdziałaniu narkomanii, zaplanowano i zgłoszono do Dolnośląskiego Urzędu Marszałkowskiego  chęć uprawy  konopi włóknistych we Wrocławiu na powierzchni 45.62 ha.  Ze względu na konieczność   podjęcia uchwały przez  Sejmik Województwa Dolnośląskiego w zakresie rejonizacji,  które nastąpiło  dopiero w miesiącu maju (na co wpływ miała sytuacja pandemiczna) , nie można było dotrzymać terminu wysiewu tej rośliny,  a  tym samym doprowadziło do rezygnacji większości rolników z jej uprawy w 2020 r.  Ryzyko wysiewu konopi włóknistych odmiany Białobrzeska  podjął    rolnik z terenu osiedla Psie Pole na powierzchni  0.50 ha  na co otrzymał stosowne zezwolenie. Uprawa była prowadzona pod nadzorem i wielokrotnie lustrowana przez pracowników Wydziału . Zbiory nasion konopi odnotowano na poziomie 0.15 t.</w:t>
      </w:r>
      <w:r w:rsidRPr="00E00B35">
        <w:rPr>
          <w:rFonts w:cs="Tahoma"/>
          <w:bCs/>
          <w:color w:val="333333"/>
          <w:szCs w:val="20"/>
        </w:rPr>
        <w:t xml:space="preserve"> </w:t>
      </w:r>
    </w:p>
    <w:p w:rsidR="007A4D59" w:rsidRPr="00E00B35" w:rsidRDefault="007A4D59" w:rsidP="00E00B35">
      <w:pPr>
        <w:pStyle w:val="Tekstpodstawowy"/>
        <w:suppressAutoHyphens/>
        <w:spacing w:after="0" w:line="312" w:lineRule="auto"/>
        <w:rPr>
          <w:rFonts w:cs="Tahoma"/>
          <w:bCs/>
          <w:color w:val="333333"/>
          <w:szCs w:val="20"/>
        </w:rPr>
      </w:pPr>
      <w:r w:rsidRPr="00E00B35">
        <w:rPr>
          <w:szCs w:val="20"/>
        </w:rPr>
        <w:t>W miesiącu sierpniu przeprowadzono lustrację upraw ziemniaków zgłoszonych przez rolnika w związku ze zjawiskiem  deszczu nawalnego. Lustracją objęto 3.8 ha upraw.</w:t>
      </w:r>
      <w:r w:rsidRPr="00E00B35">
        <w:rPr>
          <w:rFonts w:cs="Arial"/>
          <w:bCs/>
          <w:szCs w:val="20"/>
        </w:rPr>
        <w:t xml:space="preserve"> W </w:t>
      </w:r>
      <w:r w:rsidRPr="00E00B35">
        <w:rPr>
          <w:szCs w:val="20"/>
        </w:rPr>
        <w:t xml:space="preserve"> ramach współpracy z Biurem Rozwoju Wrocławia wydano 13 opinii do miejscowego planu zagospodarowania przestrzennego o zachowanie w obszarze planowanym istniejących gospodarstw rolnych i działów specjalnych produkcji rolnej oraz w  ramach  współpracy z Wydziałem Nabywania i Sprzedaży Nieruchomości w związku z ustawą o szczególnych zasadach przygotowywania i realizacji inwestycji w zakresie dróg publicznych wydano 6 opinii dot. gruntów stanowiących nieruchomości rolne w rozumieniu ustawy o kształtowaniu ustroju rolnego</w:t>
      </w:r>
      <w:r w:rsidRPr="00E00B35">
        <w:rPr>
          <w:rFonts w:cs="Tahoma"/>
          <w:color w:val="333333"/>
          <w:szCs w:val="20"/>
        </w:rPr>
        <w:t xml:space="preserve">. </w:t>
      </w:r>
      <w:r w:rsidRPr="00E00B35">
        <w:rPr>
          <w:szCs w:val="20"/>
        </w:rPr>
        <w:t xml:space="preserve"> </w:t>
      </w:r>
    </w:p>
    <w:p w:rsidR="007A4D59" w:rsidRPr="00E00B35" w:rsidRDefault="007A4D59" w:rsidP="00E00B35">
      <w:pPr>
        <w:pStyle w:val="Tytu"/>
        <w:spacing w:after="0" w:line="312" w:lineRule="auto"/>
        <w:jc w:val="left"/>
        <w:rPr>
          <w:b w:val="0"/>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Produkcja zwierzęca</w:t>
      </w:r>
    </w:p>
    <w:p w:rsidR="007A4D59" w:rsidRPr="00E00B35" w:rsidRDefault="007A4D59" w:rsidP="00E00B35">
      <w:pPr>
        <w:pStyle w:val="Tytu"/>
        <w:spacing w:after="0" w:line="312" w:lineRule="auto"/>
        <w:jc w:val="left"/>
        <w:rPr>
          <w:b w:val="0"/>
          <w:szCs w:val="20"/>
        </w:rPr>
      </w:pPr>
    </w:p>
    <w:p w:rsidR="007A4D59" w:rsidRPr="00E00B35" w:rsidRDefault="007A4D59" w:rsidP="00E00B35">
      <w:pPr>
        <w:pStyle w:val="Tytu"/>
        <w:spacing w:after="0" w:line="312" w:lineRule="auto"/>
        <w:jc w:val="left"/>
        <w:rPr>
          <w:b w:val="0"/>
          <w:bCs/>
          <w:szCs w:val="20"/>
        </w:rPr>
      </w:pPr>
      <w:r w:rsidRPr="00E00B35">
        <w:rPr>
          <w:b w:val="0"/>
          <w:szCs w:val="20"/>
        </w:rPr>
        <w:t xml:space="preserve">W ramach  realizacji zadań związanych z produkcją zwierzęcą  w 2020 roku   w związku z panująca sytuacją ograniczono wizje terenowe mające na celu kontrolę warunków </w:t>
      </w:r>
      <w:r w:rsidRPr="00E00B35">
        <w:rPr>
          <w:b w:val="0"/>
          <w:szCs w:val="20"/>
        </w:rPr>
        <w:lastRenderedPageBreak/>
        <w:t>utrzymywania zwierząt gospodarskich oraz stanu ich pogłowia na terenie miasta Wrocławia.</w:t>
      </w:r>
    </w:p>
    <w:p w:rsidR="007A4D59" w:rsidRPr="00E00B35" w:rsidRDefault="007A4D59" w:rsidP="00E00B35">
      <w:pPr>
        <w:pStyle w:val="Tytu"/>
        <w:spacing w:after="0" w:line="312" w:lineRule="auto"/>
        <w:jc w:val="left"/>
        <w:rPr>
          <w:b w:val="0"/>
          <w:bCs/>
          <w:szCs w:val="20"/>
        </w:rPr>
      </w:pPr>
    </w:p>
    <w:p w:rsidR="007A4D59" w:rsidRPr="00E00B35" w:rsidRDefault="007A4D59" w:rsidP="00E00B35">
      <w:pPr>
        <w:pStyle w:val="Tytu"/>
        <w:spacing w:after="0" w:line="312" w:lineRule="auto"/>
        <w:jc w:val="left"/>
        <w:rPr>
          <w:b w:val="0"/>
          <w:bCs/>
          <w:szCs w:val="20"/>
        </w:rPr>
      </w:pPr>
      <w:r w:rsidRPr="00E00B35">
        <w:rPr>
          <w:b w:val="0"/>
          <w:szCs w:val="20"/>
        </w:rPr>
        <w:t>Stany pogłowia zwierząt na dzień 31.12.2020 r.-na podstawie danych z Powiatowego  Inspektoratu Weterynarii we Wrocławiu</w:t>
      </w:r>
    </w:p>
    <w:p w:rsidR="007A4D59" w:rsidRPr="00E00B35" w:rsidRDefault="007A4D59" w:rsidP="00E00B35">
      <w:pPr>
        <w:pStyle w:val="Tytu"/>
        <w:spacing w:after="0" w:line="312" w:lineRule="auto"/>
        <w:jc w:val="left"/>
        <w:rPr>
          <w:b w:val="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00"/>
        <w:gridCol w:w="2954"/>
        <w:gridCol w:w="3118"/>
      </w:tblGrid>
      <w:tr w:rsidR="007A4D59" w:rsidRPr="00E00B35" w:rsidTr="006D3493">
        <w:tc>
          <w:tcPr>
            <w:tcW w:w="3000" w:type="dxa"/>
          </w:tcPr>
          <w:p w:rsidR="007A4D59" w:rsidRPr="00E00B35" w:rsidRDefault="007A4D59" w:rsidP="00E00B35">
            <w:pPr>
              <w:pStyle w:val="Tytu"/>
              <w:spacing w:after="0" w:line="312" w:lineRule="auto"/>
              <w:jc w:val="left"/>
              <w:rPr>
                <w:b w:val="0"/>
                <w:szCs w:val="20"/>
              </w:rPr>
            </w:pPr>
            <w:r w:rsidRPr="00E00B35">
              <w:rPr>
                <w:b w:val="0"/>
                <w:szCs w:val="20"/>
              </w:rPr>
              <w:t>Zwierzęta gospodarskie</w:t>
            </w:r>
          </w:p>
        </w:tc>
        <w:tc>
          <w:tcPr>
            <w:tcW w:w="2954" w:type="dxa"/>
          </w:tcPr>
          <w:p w:rsidR="007A4D59" w:rsidRPr="00E00B35" w:rsidRDefault="007A4D59" w:rsidP="00E00B35">
            <w:pPr>
              <w:pStyle w:val="Tytu"/>
              <w:spacing w:after="0" w:line="312" w:lineRule="auto"/>
              <w:jc w:val="left"/>
              <w:rPr>
                <w:b w:val="0"/>
                <w:szCs w:val="20"/>
              </w:rPr>
            </w:pPr>
            <w:r w:rsidRPr="00E00B35">
              <w:rPr>
                <w:b w:val="0"/>
                <w:szCs w:val="20"/>
              </w:rPr>
              <w:t>Stan pogłowia</w:t>
            </w:r>
          </w:p>
        </w:tc>
        <w:tc>
          <w:tcPr>
            <w:tcW w:w="3118" w:type="dxa"/>
          </w:tcPr>
          <w:p w:rsidR="007A4D59" w:rsidRPr="00E00B35" w:rsidRDefault="007A4D59" w:rsidP="00E00B35">
            <w:pPr>
              <w:pStyle w:val="Tytu"/>
              <w:spacing w:after="0" w:line="312" w:lineRule="auto"/>
              <w:jc w:val="left"/>
              <w:rPr>
                <w:b w:val="0"/>
                <w:szCs w:val="20"/>
              </w:rPr>
            </w:pPr>
            <w:r w:rsidRPr="00E00B35">
              <w:rPr>
                <w:b w:val="0"/>
                <w:szCs w:val="20"/>
              </w:rPr>
              <w:t>Gospodarstwa hodowlane</w:t>
            </w:r>
          </w:p>
        </w:tc>
      </w:tr>
      <w:tr w:rsidR="007A4D59" w:rsidRPr="00E00B35" w:rsidTr="006D3493">
        <w:tc>
          <w:tcPr>
            <w:tcW w:w="3000" w:type="dxa"/>
          </w:tcPr>
          <w:p w:rsidR="007A4D59" w:rsidRPr="00E00B35" w:rsidRDefault="007A4D59" w:rsidP="00E00B35">
            <w:pPr>
              <w:pStyle w:val="Tytu"/>
              <w:spacing w:after="0" w:line="312" w:lineRule="auto"/>
              <w:jc w:val="left"/>
              <w:rPr>
                <w:b w:val="0"/>
                <w:bCs/>
                <w:szCs w:val="20"/>
              </w:rPr>
            </w:pPr>
            <w:r w:rsidRPr="00E00B35">
              <w:rPr>
                <w:b w:val="0"/>
                <w:szCs w:val="20"/>
              </w:rPr>
              <w:t>bydło</w:t>
            </w:r>
          </w:p>
        </w:tc>
        <w:tc>
          <w:tcPr>
            <w:tcW w:w="2954" w:type="dxa"/>
          </w:tcPr>
          <w:p w:rsidR="007A4D59" w:rsidRPr="00E00B35" w:rsidRDefault="007A4D59" w:rsidP="00E00B35">
            <w:pPr>
              <w:pStyle w:val="Tytu"/>
              <w:spacing w:after="0" w:line="312" w:lineRule="auto"/>
              <w:jc w:val="left"/>
              <w:rPr>
                <w:b w:val="0"/>
                <w:bCs/>
                <w:szCs w:val="20"/>
              </w:rPr>
            </w:pPr>
            <w:r w:rsidRPr="00E00B35">
              <w:rPr>
                <w:b w:val="0"/>
                <w:szCs w:val="20"/>
              </w:rPr>
              <w:t>129 szt.</w:t>
            </w:r>
          </w:p>
        </w:tc>
        <w:tc>
          <w:tcPr>
            <w:tcW w:w="3118" w:type="dxa"/>
          </w:tcPr>
          <w:p w:rsidR="007A4D59" w:rsidRPr="00E00B35" w:rsidRDefault="007A4D59" w:rsidP="00E00B35">
            <w:pPr>
              <w:pStyle w:val="Tytu"/>
              <w:spacing w:after="0" w:line="312" w:lineRule="auto"/>
              <w:jc w:val="left"/>
              <w:rPr>
                <w:b w:val="0"/>
                <w:bCs/>
                <w:szCs w:val="20"/>
              </w:rPr>
            </w:pPr>
            <w:r w:rsidRPr="00E00B35">
              <w:rPr>
                <w:b w:val="0"/>
                <w:szCs w:val="20"/>
              </w:rPr>
              <w:t>21</w:t>
            </w:r>
          </w:p>
        </w:tc>
      </w:tr>
      <w:tr w:rsidR="007A4D59" w:rsidRPr="00E00B35" w:rsidTr="006D3493">
        <w:tc>
          <w:tcPr>
            <w:tcW w:w="3000" w:type="dxa"/>
          </w:tcPr>
          <w:p w:rsidR="007A4D59" w:rsidRPr="00E00B35" w:rsidRDefault="007A4D59" w:rsidP="00E00B35">
            <w:pPr>
              <w:pStyle w:val="Tytu"/>
              <w:spacing w:after="0" w:line="312" w:lineRule="auto"/>
              <w:jc w:val="left"/>
              <w:rPr>
                <w:b w:val="0"/>
                <w:bCs/>
                <w:szCs w:val="20"/>
              </w:rPr>
            </w:pPr>
            <w:r w:rsidRPr="00E00B35">
              <w:rPr>
                <w:b w:val="0"/>
                <w:szCs w:val="20"/>
              </w:rPr>
              <w:t>trzoda chlewna</w:t>
            </w:r>
          </w:p>
        </w:tc>
        <w:tc>
          <w:tcPr>
            <w:tcW w:w="2954" w:type="dxa"/>
          </w:tcPr>
          <w:p w:rsidR="007A4D59" w:rsidRPr="00E00B35" w:rsidRDefault="007A4D59" w:rsidP="00E00B35">
            <w:pPr>
              <w:pStyle w:val="Tytu"/>
              <w:spacing w:after="0" w:line="312" w:lineRule="auto"/>
              <w:jc w:val="left"/>
              <w:rPr>
                <w:b w:val="0"/>
                <w:bCs/>
                <w:szCs w:val="20"/>
              </w:rPr>
            </w:pPr>
            <w:r w:rsidRPr="00E00B35">
              <w:rPr>
                <w:b w:val="0"/>
                <w:szCs w:val="20"/>
              </w:rPr>
              <w:t>101 szt.</w:t>
            </w:r>
          </w:p>
        </w:tc>
        <w:tc>
          <w:tcPr>
            <w:tcW w:w="3118" w:type="dxa"/>
          </w:tcPr>
          <w:p w:rsidR="007A4D59" w:rsidRPr="00E00B35" w:rsidRDefault="007A4D59" w:rsidP="00E00B35">
            <w:pPr>
              <w:pStyle w:val="Tytu"/>
              <w:spacing w:after="0" w:line="312" w:lineRule="auto"/>
              <w:jc w:val="left"/>
              <w:rPr>
                <w:b w:val="0"/>
                <w:bCs/>
                <w:szCs w:val="20"/>
              </w:rPr>
            </w:pPr>
            <w:r w:rsidRPr="00E00B35">
              <w:rPr>
                <w:b w:val="0"/>
                <w:szCs w:val="20"/>
              </w:rPr>
              <w:t>4</w:t>
            </w:r>
          </w:p>
        </w:tc>
      </w:tr>
      <w:tr w:rsidR="007A4D59" w:rsidRPr="00E00B35" w:rsidTr="006D3493">
        <w:tc>
          <w:tcPr>
            <w:tcW w:w="3000" w:type="dxa"/>
          </w:tcPr>
          <w:p w:rsidR="007A4D59" w:rsidRPr="00E00B35" w:rsidRDefault="007A4D59" w:rsidP="00E00B35">
            <w:pPr>
              <w:pStyle w:val="Tytu"/>
              <w:spacing w:after="0" w:line="312" w:lineRule="auto"/>
              <w:jc w:val="left"/>
              <w:rPr>
                <w:b w:val="0"/>
                <w:bCs/>
                <w:szCs w:val="20"/>
              </w:rPr>
            </w:pPr>
            <w:r w:rsidRPr="00E00B35">
              <w:rPr>
                <w:b w:val="0"/>
                <w:szCs w:val="20"/>
              </w:rPr>
              <w:t>owce</w:t>
            </w:r>
          </w:p>
        </w:tc>
        <w:tc>
          <w:tcPr>
            <w:tcW w:w="2954" w:type="dxa"/>
          </w:tcPr>
          <w:p w:rsidR="007A4D59" w:rsidRPr="00E00B35" w:rsidRDefault="007A4D59" w:rsidP="00E00B35">
            <w:pPr>
              <w:pStyle w:val="Tytu"/>
              <w:spacing w:after="0" w:line="312" w:lineRule="auto"/>
              <w:jc w:val="left"/>
              <w:rPr>
                <w:b w:val="0"/>
                <w:bCs/>
                <w:szCs w:val="20"/>
              </w:rPr>
            </w:pPr>
            <w:r w:rsidRPr="00E00B35">
              <w:rPr>
                <w:b w:val="0"/>
                <w:szCs w:val="20"/>
              </w:rPr>
              <w:t>274 szt.</w:t>
            </w:r>
          </w:p>
        </w:tc>
        <w:tc>
          <w:tcPr>
            <w:tcW w:w="3118" w:type="dxa"/>
          </w:tcPr>
          <w:p w:rsidR="007A4D59" w:rsidRPr="00E00B35" w:rsidRDefault="007A4D59" w:rsidP="00E00B35">
            <w:pPr>
              <w:pStyle w:val="Tytu"/>
              <w:spacing w:after="0" w:line="312" w:lineRule="auto"/>
              <w:jc w:val="left"/>
              <w:rPr>
                <w:b w:val="0"/>
                <w:bCs/>
                <w:szCs w:val="20"/>
              </w:rPr>
            </w:pPr>
            <w:r w:rsidRPr="00E00B35">
              <w:rPr>
                <w:b w:val="0"/>
                <w:szCs w:val="20"/>
              </w:rPr>
              <w:t>11</w:t>
            </w:r>
          </w:p>
        </w:tc>
      </w:tr>
      <w:tr w:rsidR="007A4D59" w:rsidRPr="00E00B35" w:rsidTr="006D3493">
        <w:tc>
          <w:tcPr>
            <w:tcW w:w="3000" w:type="dxa"/>
          </w:tcPr>
          <w:p w:rsidR="007A4D59" w:rsidRPr="00E00B35" w:rsidRDefault="007A4D59" w:rsidP="00E00B35">
            <w:pPr>
              <w:pStyle w:val="Tytu"/>
              <w:spacing w:after="0" w:line="312" w:lineRule="auto"/>
              <w:jc w:val="left"/>
              <w:rPr>
                <w:b w:val="0"/>
                <w:bCs/>
                <w:szCs w:val="20"/>
              </w:rPr>
            </w:pPr>
            <w:r w:rsidRPr="00E00B35">
              <w:rPr>
                <w:b w:val="0"/>
                <w:szCs w:val="20"/>
              </w:rPr>
              <w:t>kozy</w:t>
            </w:r>
          </w:p>
        </w:tc>
        <w:tc>
          <w:tcPr>
            <w:tcW w:w="2954" w:type="dxa"/>
          </w:tcPr>
          <w:p w:rsidR="007A4D59" w:rsidRPr="00E00B35" w:rsidRDefault="007A4D59" w:rsidP="00E00B35">
            <w:pPr>
              <w:pStyle w:val="Tytu"/>
              <w:spacing w:after="0" w:line="312" w:lineRule="auto"/>
              <w:jc w:val="left"/>
              <w:rPr>
                <w:b w:val="0"/>
                <w:bCs/>
                <w:szCs w:val="20"/>
              </w:rPr>
            </w:pPr>
            <w:r w:rsidRPr="00E00B35">
              <w:rPr>
                <w:b w:val="0"/>
                <w:szCs w:val="20"/>
              </w:rPr>
              <w:t>196 szt.</w:t>
            </w:r>
          </w:p>
        </w:tc>
        <w:tc>
          <w:tcPr>
            <w:tcW w:w="3118" w:type="dxa"/>
          </w:tcPr>
          <w:p w:rsidR="007A4D59" w:rsidRPr="00E00B35" w:rsidRDefault="007A4D59" w:rsidP="00E00B35">
            <w:pPr>
              <w:pStyle w:val="Tytu"/>
              <w:spacing w:after="0" w:line="312" w:lineRule="auto"/>
              <w:jc w:val="left"/>
              <w:rPr>
                <w:b w:val="0"/>
                <w:bCs/>
                <w:szCs w:val="20"/>
              </w:rPr>
            </w:pPr>
            <w:r w:rsidRPr="00E00B35">
              <w:rPr>
                <w:b w:val="0"/>
                <w:szCs w:val="20"/>
              </w:rPr>
              <w:t>11</w:t>
            </w:r>
          </w:p>
        </w:tc>
      </w:tr>
      <w:tr w:rsidR="007A4D59" w:rsidRPr="00E00B35" w:rsidTr="006D3493">
        <w:tc>
          <w:tcPr>
            <w:tcW w:w="3000" w:type="dxa"/>
          </w:tcPr>
          <w:p w:rsidR="007A4D59" w:rsidRPr="00E00B35" w:rsidRDefault="007A4D59" w:rsidP="00E00B35">
            <w:pPr>
              <w:pStyle w:val="Tytu"/>
              <w:spacing w:after="0" w:line="312" w:lineRule="auto"/>
              <w:jc w:val="left"/>
              <w:rPr>
                <w:b w:val="0"/>
                <w:bCs/>
                <w:szCs w:val="20"/>
              </w:rPr>
            </w:pPr>
            <w:r w:rsidRPr="00E00B35">
              <w:rPr>
                <w:b w:val="0"/>
                <w:szCs w:val="20"/>
              </w:rPr>
              <w:t>konie</w:t>
            </w:r>
          </w:p>
        </w:tc>
        <w:tc>
          <w:tcPr>
            <w:tcW w:w="2954" w:type="dxa"/>
          </w:tcPr>
          <w:p w:rsidR="007A4D59" w:rsidRPr="00E00B35" w:rsidRDefault="007A4D59" w:rsidP="00E00B35">
            <w:pPr>
              <w:pStyle w:val="Tytu"/>
              <w:spacing w:after="0" w:line="312" w:lineRule="auto"/>
              <w:jc w:val="left"/>
              <w:rPr>
                <w:b w:val="0"/>
                <w:bCs/>
                <w:szCs w:val="20"/>
              </w:rPr>
            </w:pPr>
            <w:r w:rsidRPr="00E00B35">
              <w:rPr>
                <w:b w:val="0"/>
                <w:szCs w:val="20"/>
              </w:rPr>
              <w:t>135 szt.</w:t>
            </w:r>
          </w:p>
        </w:tc>
        <w:tc>
          <w:tcPr>
            <w:tcW w:w="3118" w:type="dxa"/>
          </w:tcPr>
          <w:p w:rsidR="007A4D59" w:rsidRPr="00E00B35" w:rsidRDefault="007A4D59" w:rsidP="00E00B35">
            <w:pPr>
              <w:pStyle w:val="Tytu"/>
              <w:spacing w:after="0" w:line="312" w:lineRule="auto"/>
              <w:jc w:val="left"/>
              <w:rPr>
                <w:b w:val="0"/>
                <w:bCs/>
                <w:szCs w:val="20"/>
              </w:rPr>
            </w:pPr>
            <w:r w:rsidRPr="00E00B35">
              <w:rPr>
                <w:b w:val="0"/>
                <w:szCs w:val="20"/>
              </w:rPr>
              <w:t>10</w:t>
            </w:r>
          </w:p>
        </w:tc>
      </w:tr>
      <w:tr w:rsidR="007A4D59" w:rsidRPr="00E00B35" w:rsidTr="006D3493">
        <w:tc>
          <w:tcPr>
            <w:tcW w:w="3000" w:type="dxa"/>
          </w:tcPr>
          <w:p w:rsidR="007A4D59" w:rsidRPr="00E00B35" w:rsidRDefault="007A4D59" w:rsidP="00E00B35">
            <w:pPr>
              <w:pStyle w:val="Tytu"/>
              <w:spacing w:after="0" w:line="312" w:lineRule="auto"/>
              <w:jc w:val="left"/>
              <w:rPr>
                <w:b w:val="0"/>
                <w:bCs/>
                <w:szCs w:val="20"/>
              </w:rPr>
            </w:pPr>
            <w:r w:rsidRPr="00E00B35">
              <w:rPr>
                <w:b w:val="0"/>
                <w:szCs w:val="20"/>
              </w:rPr>
              <w:t>drób</w:t>
            </w:r>
          </w:p>
        </w:tc>
        <w:tc>
          <w:tcPr>
            <w:tcW w:w="2954" w:type="dxa"/>
          </w:tcPr>
          <w:p w:rsidR="007A4D59" w:rsidRPr="00E00B35" w:rsidRDefault="007A4D59" w:rsidP="00E00B35">
            <w:pPr>
              <w:pStyle w:val="Tytu"/>
              <w:spacing w:after="0" w:line="312" w:lineRule="auto"/>
              <w:jc w:val="left"/>
              <w:rPr>
                <w:b w:val="0"/>
                <w:bCs/>
                <w:szCs w:val="20"/>
              </w:rPr>
            </w:pPr>
            <w:r w:rsidRPr="00E00B35">
              <w:rPr>
                <w:b w:val="0"/>
                <w:szCs w:val="20"/>
              </w:rPr>
              <w:t>320 szt.</w:t>
            </w:r>
          </w:p>
        </w:tc>
        <w:tc>
          <w:tcPr>
            <w:tcW w:w="3118" w:type="dxa"/>
          </w:tcPr>
          <w:p w:rsidR="007A4D59" w:rsidRPr="00E00B35" w:rsidRDefault="007A4D59" w:rsidP="00E00B35">
            <w:pPr>
              <w:pStyle w:val="Tytu"/>
              <w:spacing w:after="0" w:line="312" w:lineRule="auto"/>
              <w:jc w:val="left"/>
              <w:rPr>
                <w:b w:val="0"/>
                <w:bCs/>
                <w:szCs w:val="20"/>
              </w:rPr>
            </w:pPr>
            <w:r w:rsidRPr="00E00B35">
              <w:rPr>
                <w:b w:val="0"/>
                <w:szCs w:val="20"/>
              </w:rPr>
              <w:t>2</w:t>
            </w:r>
          </w:p>
        </w:tc>
      </w:tr>
      <w:tr w:rsidR="007A4D59" w:rsidRPr="00E00B35" w:rsidTr="006D3493">
        <w:tc>
          <w:tcPr>
            <w:tcW w:w="3000" w:type="dxa"/>
          </w:tcPr>
          <w:p w:rsidR="007A4D59" w:rsidRPr="00E00B35" w:rsidRDefault="007A4D59" w:rsidP="00E00B35">
            <w:pPr>
              <w:pStyle w:val="Tytu"/>
              <w:spacing w:after="0" w:line="312" w:lineRule="auto"/>
              <w:jc w:val="left"/>
              <w:rPr>
                <w:b w:val="0"/>
                <w:bCs/>
                <w:szCs w:val="20"/>
              </w:rPr>
            </w:pPr>
            <w:r w:rsidRPr="00E00B35">
              <w:rPr>
                <w:b w:val="0"/>
                <w:szCs w:val="20"/>
              </w:rPr>
              <w:t>zwierzęta futerkowe</w:t>
            </w:r>
          </w:p>
        </w:tc>
        <w:tc>
          <w:tcPr>
            <w:tcW w:w="2954" w:type="dxa"/>
          </w:tcPr>
          <w:p w:rsidR="007A4D59" w:rsidRPr="00E00B35" w:rsidRDefault="007A4D59" w:rsidP="00E00B35">
            <w:pPr>
              <w:pStyle w:val="Tytu"/>
              <w:spacing w:after="0" w:line="312" w:lineRule="auto"/>
              <w:jc w:val="left"/>
              <w:rPr>
                <w:b w:val="0"/>
                <w:bCs/>
                <w:szCs w:val="20"/>
              </w:rPr>
            </w:pPr>
            <w:r w:rsidRPr="00E00B35">
              <w:rPr>
                <w:b w:val="0"/>
                <w:szCs w:val="20"/>
              </w:rPr>
              <w:t>-</w:t>
            </w:r>
          </w:p>
        </w:tc>
        <w:tc>
          <w:tcPr>
            <w:tcW w:w="3118" w:type="dxa"/>
          </w:tcPr>
          <w:p w:rsidR="007A4D59" w:rsidRPr="00E00B35" w:rsidRDefault="007A4D59" w:rsidP="00E00B35">
            <w:pPr>
              <w:pStyle w:val="Tytu"/>
              <w:spacing w:after="0" w:line="312" w:lineRule="auto"/>
              <w:jc w:val="left"/>
              <w:rPr>
                <w:b w:val="0"/>
                <w:bCs/>
                <w:szCs w:val="20"/>
              </w:rPr>
            </w:pPr>
            <w:r w:rsidRPr="00E00B35">
              <w:rPr>
                <w:b w:val="0"/>
                <w:szCs w:val="20"/>
              </w:rPr>
              <w:t>-</w:t>
            </w:r>
          </w:p>
        </w:tc>
      </w:tr>
      <w:tr w:rsidR="007A4D59" w:rsidRPr="00E00B35" w:rsidTr="006D3493">
        <w:tc>
          <w:tcPr>
            <w:tcW w:w="3000" w:type="dxa"/>
          </w:tcPr>
          <w:p w:rsidR="007A4D59" w:rsidRPr="00E00B35" w:rsidRDefault="007A4D59" w:rsidP="00E00B35">
            <w:pPr>
              <w:pStyle w:val="Tytu"/>
              <w:spacing w:after="0" w:line="312" w:lineRule="auto"/>
              <w:jc w:val="left"/>
              <w:rPr>
                <w:b w:val="0"/>
                <w:bCs/>
                <w:szCs w:val="20"/>
              </w:rPr>
            </w:pPr>
            <w:r w:rsidRPr="00E00B35">
              <w:rPr>
                <w:b w:val="0"/>
                <w:szCs w:val="20"/>
              </w:rPr>
              <w:t>pasieki pszczele</w:t>
            </w:r>
          </w:p>
        </w:tc>
        <w:tc>
          <w:tcPr>
            <w:tcW w:w="2954" w:type="dxa"/>
          </w:tcPr>
          <w:p w:rsidR="007A4D59" w:rsidRPr="00E00B35" w:rsidRDefault="007A4D59" w:rsidP="00E00B35">
            <w:pPr>
              <w:pStyle w:val="Tytu"/>
              <w:spacing w:after="0" w:line="312" w:lineRule="auto"/>
              <w:jc w:val="left"/>
              <w:rPr>
                <w:b w:val="0"/>
                <w:bCs/>
                <w:szCs w:val="20"/>
              </w:rPr>
            </w:pPr>
            <w:r w:rsidRPr="00E00B35">
              <w:rPr>
                <w:b w:val="0"/>
                <w:szCs w:val="20"/>
              </w:rPr>
              <w:t>3796 pnie</w:t>
            </w:r>
          </w:p>
        </w:tc>
        <w:tc>
          <w:tcPr>
            <w:tcW w:w="3118" w:type="dxa"/>
          </w:tcPr>
          <w:p w:rsidR="007A4D59" w:rsidRPr="00E00B35" w:rsidRDefault="007A4D59" w:rsidP="00E00B35">
            <w:pPr>
              <w:pStyle w:val="Tytu"/>
              <w:spacing w:after="0" w:line="312" w:lineRule="auto"/>
              <w:jc w:val="left"/>
              <w:rPr>
                <w:b w:val="0"/>
                <w:bCs/>
                <w:szCs w:val="20"/>
              </w:rPr>
            </w:pPr>
            <w:r w:rsidRPr="00E00B35">
              <w:rPr>
                <w:b w:val="0"/>
                <w:szCs w:val="20"/>
              </w:rPr>
              <w:t>219</w:t>
            </w:r>
          </w:p>
        </w:tc>
      </w:tr>
    </w:tbl>
    <w:p w:rsidR="007A4D59" w:rsidRPr="00E00B35" w:rsidRDefault="007A4D59" w:rsidP="00E00B35">
      <w:pPr>
        <w:pStyle w:val="Tytu"/>
        <w:spacing w:after="0" w:line="312" w:lineRule="auto"/>
        <w:jc w:val="left"/>
        <w:rPr>
          <w:b w:val="0"/>
          <w:bCs/>
          <w:szCs w:val="20"/>
        </w:rPr>
      </w:pPr>
    </w:p>
    <w:p w:rsidR="007A4D59" w:rsidRPr="00E00B35" w:rsidRDefault="007A4D59" w:rsidP="00E00B35">
      <w:pPr>
        <w:pStyle w:val="Tytu"/>
        <w:spacing w:after="0" w:line="312" w:lineRule="auto"/>
        <w:jc w:val="left"/>
        <w:rPr>
          <w:b w:val="0"/>
          <w:bCs/>
          <w:szCs w:val="20"/>
        </w:rPr>
      </w:pPr>
      <w:r w:rsidRPr="00E00B35">
        <w:rPr>
          <w:b w:val="0"/>
          <w:szCs w:val="20"/>
        </w:rPr>
        <w:t>Stan pogłowia zwierzą w latach 2016-2019 obrazuje poniższa tabela:</w:t>
      </w:r>
    </w:p>
    <w:p w:rsidR="007A4D59" w:rsidRPr="00E00B35" w:rsidRDefault="007A4D59" w:rsidP="00E00B35">
      <w:pPr>
        <w:pStyle w:val="Tytu"/>
        <w:spacing w:after="0" w:line="312" w:lineRule="auto"/>
        <w:jc w:val="left"/>
        <w:rPr>
          <w:b w:val="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134"/>
        <w:gridCol w:w="851"/>
        <w:gridCol w:w="1134"/>
        <w:gridCol w:w="850"/>
        <w:gridCol w:w="1134"/>
        <w:gridCol w:w="851"/>
        <w:gridCol w:w="1134"/>
        <w:gridCol w:w="850"/>
      </w:tblGrid>
      <w:tr w:rsidR="007A4D59" w:rsidRPr="00E00B35" w:rsidTr="006D3493">
        <w:tc>
          <w:tcPr>
            <w:tcW w:w="1134" w:type="dxa"/>
          </w:tcPr>
          <w:p w:rsidR="007A4D59" w:rsidRPr="00E00B35" w:rsidRDefault="007A4D59" w:rsidP="00E00B35">
            <w:pPr>
              <w:spacing w:after="0" w:line="312" w:lineRule="auto"/>
              <w:rPr>
                <w:bCs/>
                <w:szCs w:val="20"/>
              </w:rPr>
            </w:pPr>
            <w:r w:rsidRPr="00E00B35">
              <w:rPr>
                <w:bCs/>
                <w:szCs w:val="20"/>
              </w:rPr>
              <w:t>Lp.</w:t>
            </w:r>
          </w:p>
        </w:tc>
        <w:tc>
          <w:tcPr>
            <w:tcW w:w="1985" w:type="dxa"/>
            <w:gridSpan w:val="2"/>
          </w:tcPr>
          <w:p w:rsidR="007A4D59" w:rsidRPr="00E00B35" w:rsidRDefault="007A4D59" w:rsidP="00E00B35">
            <w:pPr>
              <w:spacing w:after="0" w:line="312" w:lineRule="auto"/>
              <w:rPr>
                <w:bCs/>
                <w:szCs w:val="20"/>
              </w:rPr>
            </w:pPr>
            <w:r w:rsidRPr="00E00B35">
              <w:rPr>
                <w:bCs/>
                <w:szCs w:val="20"/>
              </w:rPr>
              <w:t>2019</w:t>
            </w:r>
          </w:p>
        </w:tc>
        <w:tc>
          <w:tcPr>
            <w:tcW w:w="1984" w:type="dxa"/>
            <w:gridSpan w:val="2"/>
          </w:tcPr>
          <w:p w:rsidR="007A4D59" w:rsidRPr="00E00B35" w:rsidRDefault="007A4D59" w:rsidP="00E00B35">
            <w:pPr>
              <w:spacing w:after="0" w:line="312" w:lineRule="auto"/>
              <w:rPr>
                <w:bCs/>
                <w:szCs w:val="20"/>
              </w:rPr>
            </w:pPr>
            <w:r w:rsidRPr="00E00B35">
              <w:rPr>
                <w:bCs/>
                <w:szCs w:val="20"/>
              </w:rPr>
              <w:t>2018</w:t>
            </w:r>
          </w:p>
        </w:tc>
        <w:tc>
          <w:tcPr>
            <w:tcW w:w="1985" w:type="dxa"/>
            <w:gridSpan w:val="2"/>
          </w:tcPr>
          <w:p w:rsidR="007A4D59" w:rsidRPr="00E00B35" w:rsidRDefault="007A4D59" w:rsidP="00E00B35">
            <w:pPr>
              <w:spacing w:after="0" w:line="312" w:lineRule="auto"/>
              <w:rPr>
                <w:bCs/>
                <w:szCs w:val="20"/>
              </w:rPr>
            </w:pPr>
            <w:r w:rsidRPr="00E00B35">
              <w:rPr>
                <w:bCs/>
                <w:szCs w:val="20"/>
              </w:rPr>
              <w:t>2017</w:t>
            </w:r>
          </w:p>
        </w:tc>
        <w:tc>
          <w:tcPr>
            <w:tcW w:w="1984" w:type="dxa"/>
            <w:gridSpan w:val="2"/>
          </w:tcPr>
          <w:p w:rsidR="007A4D59" w:rsidRPr="00E00B35" w:rsidRDefault="007A4D59" w:rsidP="00E00B35">
            <w:pPr>
              <w:spacing w:after="0" w:line="312" w:lineRule="auto"/>
              <w:rPr>
                <w:bCs/>
                <w:szCs w:val="20"/>
              </w:rPr>
            </w:pPr>
            <w:r w:rsidRPr="00E00B35">
              <w:rPr>
                <w:bCs/>
                <w:szCs w:val="20"/>
              </w:rPr>
              <w:t>2016</w:t>
            </w:r>
          </w:p>
        </w:tc>
      </w:tr>
      <w:tr w:rsidR="007A4D59" w:rsidRPr="00E00B35" w:rsidTr="006D3493">
        <w:tc>
          <w:tcPr>
            <w:tcW w:w="1134" w:type="dxa"/>
          </w:tcPr>
          <w:p w:rsidR="007A4D59" w:rsidRPr="00E00B35" w:rsidRDefault="007A4D59" w:rsidP="00E00B35">
            <w:pPr>
              <w:spacing w:after="0" w:line="312" w:lineRule="auto"/>
              <w:rPr>
                <w:bCs/>
                <w:szCs w:val="20"/>
              </w:rPr>
            </w:pPr>
            <w:r w:rsidRPr="00E00B35">
              <w:rPr>
                <w:bCs/>
                <w:szCs w:val="20"/>
              </w:rPr>
              <w:t>Zwierzęta gosp.</w:t>
            </w:r>
          </w:p>
        </w:tc>
        <w:tc>
          <w:tcPr>
            <w:tcW w:w="1134" w:type="dxa"/>
          </w:tcPr>
          <w:p w:rsidR="007A4D59" w:rsidRPr="00E00B35" w:rsidRDefault="007A4D59" w:rsidP="00E00B35">
            <w:pPr>
              <w:spacing w:after="0" w:line="312" w:lineRule="auto"/>
              <w:rPr>
                <w:bCs/>
                <w:szCs w:val="20"/>
              </w:rPr>
            </w:pPr>
            <w:r w:rsidRPr="00E00B35">
              <w:rPr>
                <w:bCs/>
                <w:szCs w:val="20"/>
              </w:rPr>
              <w:t>Stan pogłowia</w:t>
            </w:r>
          </w:p>
        </w:tc>
        <w:tc>
          <w:tcPr>
            <w:tcW w:w="851" w:type="dxa"/>
          </w:tcPr>
          <w:p w:rsidR="007A4D59" w:rsidRPr="00E00B35" w:rsidRDefault="007A4D59" w:rsidP="00E00B35">
            <w:pPr>
              <w:spacing w:after="0" w:line="312" w:lineRule="auto"/>
              <w:rPr>
                <w:bCs/>
                <w:szCs w:val="20"/>
              </w:rPr>
            </w:pPr>
            <w:r w:rsidRPr="00E00B35">
              <w:rPr>
                <w:bCs/>
                <w:szCs w:val="20"/>
              </w:rPr>
              <w:t>Liczba gosp.</w:t>
            </w:r>
          </w:p>
        </w:tc>
        <w:tc>
          <w:tcPr>
            <w:tcW w:w="1134" w:type="dxa"/>
          </w:tcPr>
          <w:p w:rsidR="007A4D59" w:rsidRPr="00E00B35" w:rsidRDefault="007A4D59" w:rsidP="00E00B35">
            <w:pPr>
              <w:spacing w:after="0" w:line="312" w:lineRule="auto"/>
              <w:rPr>
                <w:bCs/>
                <w:szCs w:val="20"/>
              </w:rPr>
            </w:pPr>
            <w:r w:rsidRPr="00E00B35">
              <w:rPr>
                <w:bCs/>
                <w:szCs w:val="20"/>
              </w:rPr>
              <w:t>Stan pogłowia</w:t>
            </w:r>
          </w:p>
        </w:tc>
        <w:tc>
          <w:tcPr>
            <w:tcW w:w="850" w:type="dxa"/>
          </w:tcPr>
          <w:p w:rsidR="007A4D59" w:rsidRPr="00E00B35" w:rsidRDefault="007A4D59" w:rsidP="00E00B35">
            <w:pPr>
              <w:spacing w:after="0" w:line="312" w:lineRule="auto"/>
              <w:rPr>
                <w:bCs/>
                <w:szCs w:val="20"/>
              </w:rPr>
            </w:pPr>
            <w:r w:rsidRPr="00E00B35">
              <w:rPr>
                <w:bCs/>
                <w:szCs w:val="20"/>
              </w:rPr>
              <w:t>Liczba gosp.</w:t>
            </w:r>
          </w:p>
        </w:tc>
        <w:tc>
          <w:tcPr>
            <w:tcW w:w="1134" w:type="dxa"/>
          </w:tcPr>
          <w:p w:rsidR="007A4D59" w:rsidRPr="00E00B35" w:rsidRDefault="007A4D59" w:rsidP="00E00B35">
            <w:pPr>
              <w:spacing w:after="0" w:line="312" w:lineRule="auto"/>
              <w:rPr>
                <w:bCs/>
                <w:szCs w:val="20"/>
              </w:rPr>
            </w:pPr>
            <w:r w:rsidRPr="00E00B35">
              <w:rPr>
                <w:bCs/>
                <w:szCs w:val="20"/>
              </w:rPr>
              <w:t>Stan pogłowia</w:t>
            </w:r>
          </w:p>
        </w:tc>
        <w:tc>
          <w:tcPr>
            <w:tcW w:w="851" w:type="dxa"/>
          </w:tcPr>
          <w:p w:rsidR="007A4D59" w:rsidRPr="00E00B35" w:rsidRDefault="007A4D59" w:rsidP="00E00B35">
            <w:pPr>
              <w:spacing w:after="0" w:line="312" w:lineRule="auto"/>
              <w:rPr>
                <w:bCs/>
                <w:szCs w:val="20"/>
              </w:rPr>
            </w:pPr>
            <w:r w:rsidRPr="00E00B35">
              <w:rPr>
                <w:bCs/>
                <w:szCs w:val="20"/>
              </w:rPr>
              <w:t>Liczba gosp.</w:t>
            </w:r>
          </w:p>
        </w:tc>
        <w:tc>
          <w:tcPr>
            <w:tcW w:w="1134" w:type="dxa"/>
          </w:tcPr>
          <w:p w:rsidR="007A4D59" w:rsidRPr="00E00B35" w:rsidRDefault="007A4D59" w:rsidP="00E00B35">
            <w:pPr>
              <w:spacing w:after="0" w:line="312" w:lineRule="auto"/>
              <w:rPr>
                <w:bCs/>
                <w:szCs w:val="20"/>
              </w:rPr>
            </w:pPr>
            <w:r w:rsidRPr="00E00B35">
              <w:rPr>
                <w:bCs/>
                <w:szCs w:val="20"/>
              </w:rPr>
              <w:t>Stan pogłowia</w:t>
            </w:r>
          </w:p>
        </w:tc>
        <w:tc>
          <w:tcPr>
            <w:tcW w:w="850" w:type="dxa"/>
          </w:tcPr>
          <w:p w:rsidR="007A4D59" w:rsidRPr="00E00B35" w:rsidRDefault="007A4D59" w:rsidP="00E00B35">
            <w:pPr>
              <w:spacing w:after="0" w:line="312" w:lineRule="auto"/>
              <w:rPr>
                <w:bCs/>
                <w:szCs w:val="20"/>
              </w:rPr>
            </w:pPr>
            <w:r w:rsidRPr="00E00B35">
              <w:rPr>
                <w:bCs/>
                <w:szCs w:val="20"/>
              </w:rPr>
              <w:t>Liczba gosp.</w:t>
            </w:r>
          </w:p>
        </w:tc>
      </w:tr>
      <w:tr w:rsidR="007A4D59" w:rsidRPr="00E00B35" w:rsidTr="006D3493">
        <w:tc>
          <w:tcPr>
            <w:tcW w:w="1134" w:type="dxa"/>
          </w:tcPr>
          <w:p w:rsidR="007A4D59" w:rsidRPr="00E00B35" w:rsidRDefault="007A4D59" w:rsidP="00E00B35">
            <w:pPr>
              <w:spacing w:after="0" w:line="312" w:lineRule="auto"/>
              <w:rPr>
                <w:bCs/>
                <w:szCs w:val="20"/>
              </w:rPr>
            </w:pPr>
            <w:r w:rsidRPr="00E00B35">
              <w:rPr>
                <w:bCs/>
                <w:szCs w:val="20"/>
              </w:rPr>
              <w:t>Bydło</w:t>
            </w:r>
          </w:p>
        </w:tc>
        <w:tc>
          <w:tcPr>
            <w:tcW w:w="1134" w:type="dxa"/>
          </w:tcPr>
          <w:p w:rsidR="007A4D59" w:rsidRPr="00E00B35" w:rsidRDefault="007A4D59" w:rsidP="00E00B35">
            <w:pPr>
              <w:spacing w:after="0" w:line="312" w:lineRule="auto"/>
              <w:rPr>
                <w:bCs/>
                <w:szCs w:val="20"/>
              </w:rPr>
            </w:pPr>
            <w:r w:rsidRPr="00E00B35">
              <w:rPr>
                <w:bCs/>
                <w:szCs w:val="20"/>
              </w:rPr>
              <w:t>121 szt.</w:t>
            </w:r>
          </w:p>
        </w:tc>
        <w:tc>
          <w:tcPr>
            <w:tcW w:w="851" w:type="dxa"/>
          </w:tcPr>
          <w:p w:rsidR="007A4D59" w:rsidRPr="00E00B35" w:rsidRDefault="007A4D59" w:rsidP="00E00B35">
            <w:pPr>
              <w:spacing w:after="0" w:line="312" w:lineRule="auto"/>
              <w:rPr>
                <w:bCs/>
                <w:szCs w:val="20"/>
              </w:rPr>
            </w:pPr>
            <w:r w:rsidRPr="00E00B35">
              <w:rPr>
                <w:bCs/>
                <w:szCs w:val="20"/>
              </w:rPr>
              <w:t>23</w:t>
            </w:r>
          </w:p>
        </w:tc>
        <w:tc>
          <w:tcPr>
            <w:tcW w:w="1134" w:type="dxa"/>
          </w:tcPr>
          <w:p w:rsidR="007A4D59" w:rsidRPr="00E00B35" w:rsidRDefault="007A4D59" w:rsidP="00E00B35">
            <w:pPr>
              <w:spacing w:after="0" w:line="312" w:lineRule="auto"/>
              <w:rPr>
                <w:bCs/>
                <w:szCs w:val="20"/>
              </w:rPr>
            </w:pPr>
            <w:r w:rsidRPr="00E00B35">
              <w:rPr>
                <w:bCs/>
                <w:szCs w:val="20"/>
              </w:rPr>
              <w:t>306 szt.</w:t>
            </w:r>
          </w:p>
        </w:tc>
        <w:tc>
          <w:tcPr>
            <w:tcW w:w="850" w:type="dxa"/>
          </w:tcPr>
          <w:p w:rsidR="007A4D59" w:rsidRPr="00E00B35" w:rsidRDefault="007A4D59" w:rsidP="00E00B35">
            <w:pPr>
              <w:spacing w:after="0" w:line="312" w:lineRule="auto"/>
              <w:rPr>
                <w:bCs/>
                <w:szCs w:val="20"/>
              </w:rPr>
            </w:pPr>
            <w:r w:rsidRPr="00E00B35">
              <w:rPr>
                <w:bCs/>
                <w:szCs w:val="20"/>
              </w:rPr>
              <w:t>20</w:t>
            </w:r>
          </w:p>
        </w:tc>
        <w:tc>
          <w:tcPr>
            <w:tcW w:w="1134" w:type="dxa"/>
          </w:tcPr>
          <w:p w:rsidR="007A4D59" w:rsidRPr="00E00B35" w:rsidRDefault="007A4D59" w:rsidP="00E00B35">
            <w:pPr>
              <w:spacing w:after="0" w:line="312" w:lineRule="auto"/>
              <w:rPr>
                <w:bCs/>
                <w:szCs w:val="20"/>
              </w:rPr>
            </w:pPr>
            <w:r w:rsidRPr="00E00B35">
              <w:rPr>
                <w:bCs/>
                <w:szCs w:val="20"/>
              </w:rPr>
              <w:t>319 szt.</w:t>
            </w:r>
          </w:p>
        </w:tc>
        <w:tc>
          <w:tcPr>
            <w:tcW w:w="851" w:type="dxa"/>
          </w:tcPr>
          <w:p w:rsidR="007A4D59" w:rsidRPr="00E00B35" w:rsidRDefault="007A4D59" w:rsidP="00E00B35">
            <w:pPr>
              <w:spacing w:after="0" w:line="312" w:lineRule="auto"/>
              <w:rPr>
                <w:bCs/>
                <w:szCs w:val="20"/>
              </w:rPr>
            </w:pPr>
            <w:r w:rsidRPr="00E00B35">
              <w:rPr>
                <w:bCs/>
                <w:szCs w:val="20"/>
              </w:rPr>
              <w:t>32</w:t>
            </w:r>
          </w:p>
        </w:tc>
        <w:tc>
          <w:tcPr>
            <w:tcW w:w="1134" w:type="dxa"/>
          </w:tcPr>
          <w:p w:rsidR="007A4D59" w:rsidRPr="00E00B35" w:rsidRDefault="007A4D59" w:rsidP="00E00B35">
            <w:pPr>
              <w:spacing w:after="0" w:line="312" w:lineRule="auto"/>
              <w:rPr>
                <w:bCs/>
                <w:szCs w:val="20"/>
              </w:rPr>
            </w:pPr>
            <w:r w:rsidRPr="00E00B35">
              <w:rPr>
                <w:bCs/>
                <w:szCs w:val="20"/>
              </w:rPr>
              <w:t>309 szt.</w:t>
            </w:r>
          </w:p>
        </w:tc>
        <w:tc>
          <w:tcPr>
            <w:tcW w:w="850" w:type="dxa"/>
          </w:tcPr>
          <w:p w:rsidR="007A4D59" w:rsidRPr="00E00B35" w:rsidRDefault="007A4D59" w:rsidP="00E00B35">
            <w:pPr>
              <w:spacing w:after="0" w:line="312" w:lineRule="auto"/>
              <w:rPr>
                <w:bCs/>
                <w:szCs w:val="20"/>
              </w:rPr>
            </w:pPr>
            <w:r w:rsidRPr="00E00B35">
              <w:rPr>
                <w:bCs/>
                <w:szCs w:val="20"/>
              </w:rPr>
              <w:t>31</w:t>
            </w:r>
          </w:p>
        </w:tc>
      </w:tr>
      <w:tr w:rsidR="007A4D59" w:rsidRPr="00E00B35" w:rsidTr="006D3493">
        <w:tc>
          <w:tcPr>
            <w:tcW w:w="1134" w:type="dxa"/>
          </w:tcPr>
          <w:p w:rsidR="007A4D59" w:rsidRPr="00E00B35" w:rsidRDefault="007A4D59" w:rsidP="00E00B35">
            <w:pPr>
              <w:spacing w:after="0" w:line="312" w:lineRule="auto"/>
              <w:rPr>
                <w:bCs/>
                <w:szCs w:val="20"/>
              </w:rPr>
            </w:pPr>
            <w:r w:rsidRPr="00E00B35">
              <w:rPr>
                <w:bCs/>
                <w:szCs w:val="20"/>
              </w:rPr>
              <w:t>trzoda chlewna</w:t>
            </w:r>
          </w:p>
        </w:tc>
        <w:tc>
          <w:tcPr>
            <w:tcW w:w="1134" w:type="dxa"/>
          </w:tcPr>
          <w:p w:rsidR="007A4D59" w:rsidRPr="00E00B35" w:rsidRDefault="007A4D59" w:rsidP="00E00B35">
            <w:pPr>
              <w:spacing w:after="0" w:line="312" w:lineRule="auto"/>
              <w:rPr>
                <w:bCs/>
                <w:szCs w:val="20"/>
              </w:rPr>
            </w:pPr>
            <w:r w:rsidRPr="00E00B35">
              <w:rPr>
                <w:bCs/>
                <w:szCs w:val="20"/>
              </w:rPr>
              <w:t>140 szt.</w:t>
            </w:r>
          </w:p>
        </w:tc>
        <w:tc>
          <w:tcPr>
            <w:tcW w:w="851" w:type="dxa"/>
          </w:tcPr>
          <w:p w:rsidR="007A4D59" w:rsidRPr="00E00B35" w:rsidRDefault="007A4D59" w:rsidP="00E00B35">
            <w:pPr>
              <w:spacing w:after="0" w:line="312" w:lineRule="auto"/>
              <w:rPr>
                <w:bCs/>
                <w:szCs w:val="20"/>
              </w:rPr>
            </w:pPr>
            <w:r w:rsidRPr="00E00B35">
              <w:rPr>
                <w:bCs/>
                <w:szCs w:val="20"/>
              </w:rPr>
              <w:t>10</w:t>
            </w:r>
          </w:p>
        </w:tc>
        <w:tc>
          <w:tcPr>
            <w:tcW w:w="1134" w:type="dxa"/>
          </w:tcPr>
          <w:p w:rsidR="007A4D59" w:rsidRPr="00E00B35" w:rsidRDefault="007A4D59" w:rsidP="00E00B35">
            <w:pPr>
              <w:spacing w:after="0" w:line="312" w:lineRule="auto"/>
              <w:rPr>
                <w:bCs/>
                <w:szCs w:val="20"/>
              </w:rPr>
            </w:pPr>
            <w:r w:rsidRPr="00E00B35">
              <w:rPr>
                <w:bCs/>
                <w:szCs w:val="20"/>
              </w:rPr>
              <w:t>210 szt.</w:t>
            </w:r>
          </w:p>
        </w:tc>
        <w:tc>
          <w:tcPr>
            <w:tcW w:w="850" w:type="dxa"/>
          </w:tcPr>
          <w:p w:rsidR="007A4D59" w:rsidRPr="00E00B35" w:rsidRDefault="007A4D59" w:rsidP="00E00B35">
            <w:pPr>
              <w:spacing w:after="0" w:line="312" w:lineRule="auto"/>
              <w:rPr>
                <w:bCs/>
                <w:szCs w:val="20"/>
              </w:rPr>
            </w:pPr>
            <w:r w:rsidRPr="00E00B35">
              <w:rPr>
                <w:bCs/>
                <w:szCs w:val="20"/>
              </w:rPr>
              <w:t>23</w:t>
            </w:r>
          </w:p>
        </w:tc>
        <w:tc>
          <w:tcPr>
            <w:tcW w:w="1134" w:type="dxa"/>
          </w:tcPr>
          <w:p w:rsidR="007A4D59" w:rsidRPr="00E00B35" w:rsidRDefault="007A4D59" w:rsidP="00E00B35">
            <w:pPr>
              <w:spacing w:after="0" w:line="312" w:lineRule="auto"/>
              <w:rPr>
                <w:bCs/>
                <w:szCs w:val="20"/>
              </w:rPr>
            </w:pPr>
            <w:r w:rsidRPr="00E00B35">
              <w:rPr>
                <w:bCs/>
                <w:szCs w:val="20"/>
              </w:rPr>
              <w:t>247 szt.</w:t>
            </w:r>
          </w:p>
        </w:tc>
        <w:tc>
          <w:tcPr>
            <w:tcW w:w="851" w:type="dxa"/>
          </w:tcPr>
          <w:p w:rsidR="007A4D59" w:rsidRPr="00E00B35" w:rsidRDefault="007A4D59" w:rsidP="00E00B35">
            <w:pPr>
              <w:spacing w:after="0" w:line="312" w:lineRule="auto"/>
              <w:rPr>
                <w:bCs/>
                <w:szCs w:val="20"/>
              </w:rPr>
            </w:pPr>
            <w:r w:rsidRPr="00E00B35">
              <w:rPr>
                <w:bCs/>
                <w:szCs w:val="20"/>
              </w:rPr>
              <w:t>16</w:t>
            </w:r>
          </w:p>
        </w:tc>
        <w:tc>
          <w:tcPr>
            <w:tcW w:w="1134" w:type="dxa"/>
          </w:tcPr>
          <w:p w:rsidR="007A4D59" w:rsidRPr="00E00B35" w:rsidRDefault="007A4D59" w:rsidP="00E00B35">
            <w:pPr>
              <w:spacing w:after="0" w:line="312" w:lineRule="auto"/>
              <w:rPr>
                <w:bCs/>
                <w:szCs w:val="20"/>
              </w:rPr>
            </w:pPr>
            <w:r w:rsidRPr="00E00B35">
              <w:rPr>
                <w:bCs/>
                <w:szCs w:val="20"/>
              </w:rPr>
              <w:t>233 szt.</w:t>
            </w:r>
          </w:p>
        </w:tc>
        <w:tc>
          <w:tcPr>
            <w:tcW w:w="850" w:type="dxa"/>
          </w:tcPr>
          <w:p w:rsidR="007A4D59" w:rsidRPr="00E00B35" w:rsidRDefault="007A4D59" w:rsidP="00E00B35">
            <w:pPr>
              <w:spacing w:after="0" w:line="312" w:lineRule="auto"/>
              <w:rPr>
                <w:bCs/>
                <w:szCs w:val="20"/>
              </w:rPr>
            </w:pPr>
            <w:r w:rsidRPr="00E00B35">
              <w:rPr>
                <w:bCs/>
                <w:szCs w:val="20"/>
              </w:rPr>
              <w:t>15</w:t>
            </w:r>
          </w:p>
        </w:tc>
      </w:tr>
      <w:tr w:rsidR="007A4D59" w:rsidRPr="00E00B35" w:rsidTr="006D3493">
        <w:tc>
          <w:tcPr>
            <w:tcW w:w="1134" w:type="dxa"/>
          </w:tcPr>
          <w:p w:rsidR="007A4D59" w:rsidRPr="00E00B35" w:rsidRDefault="007A4D59" w:rsidP="00E00B35">
            <w:pPr>
              <w:spacing w:after="0" w:line="312" w:lineRule="auto"/>
              <w:rPr>
                <w:bCs/>
                <w:szCs w:val="20"/>
              </w:rPr>
            </w:pPr>
            <w:r w:rsidRPr="00E00B35">
              <w:rPr>
                <w:bCs/>
                <w:szCs w:val="20"/>
              </w:rPr>
              <w:t>owce</w:t>
            </w:r>
          </w:p>
        </w:tc>
        <w:tc>
          <w:tcPr>
            <w:tcW w:w="1134" w:type="dxa"/>
          </w:tcPr>
          <w:p w:rsidR="007A4D59" w:rsidRPr="00E00B35" w:rsidRDefault="007A4D59" w:rsidP="00E00B35">
            <w:pPr>
              <w:spacing w:after="0" w:line="312" w:lineRule="auto"/>
              <w:rPr>
                <w:bCs/>
                <w:szCs w:val="20"/>
              </w:rPr>
            </w:pPr>
            <w:r w:rsidRPr="00E00B35">
              <w:rPr>
                <w:bCs/>
                <w:szCs w:val="20"/>
              </w:rPr>
              <w:t>260 szt.</w:t>
            </w:r>
          </w:p>
        </w:tc>
        <w:tc>
          <w:tcPr>
            <w:tcW w:w="851" w:type="dxa"/>
          </w:tcPr>
          <w:p w:rsidR="007A4D59" w:rsidRPr="00E00B35" w:rsidRDefault="007A4D59" w:rsidP="00E00B35">
            <w:pPr>
              <w:spacing w:after="0" w:line="312" w:lineRule="auto"/>
              <w:rPr>
                <w:bCs/>
                <w:szCs w:val="20"/>
              </w:rPr>
            </w:pPr>
            <w:r w:rsidRPr="00E00B35">
              <w:rPr>
                <w:bCs/>
                <w:szCs w:val="20"/>
              </w:rPr>
              <w:t>11</w:t>
            </w:r>
          </w:p>
        </w:tc>
        <w:tc>
          <w:tcPr>
            <w:tcW w:w="1134" w:type="dxa"/>
          </w:tcPr>
          <w:p w:rsidR="007A4D59" w:rsidRPr="00E00B35" w:rsidRDefault="007A4D59" w:rsidP="00E00B35">
            <w:pPr>
              <w:spacing w:after="0" w:line="312" w:lineRule="auto"/>
              <w:rPr>
                <w:bCs/>
                <w:szCs w:val="20"/>
              </w:rPr>
            </w:pPr>
            <w:r w:rsidRPr="00E00B35">
              <w:rPr>
                <w:bCs/>
                <w:szCs w:val="20"/>
              </w:rPr>
              <w:t>378 szt.</w:t>
            </w:r>
          </w:p>
        </w:tc>
        <w:tc>
          <w:tcPr>
            <w:tcW w:w="850" w:type="dxa"/>
          </w:tcPr>
          <w:p w:rsidR="007A4D59" w:rsidRPr="00E00B35" w:rsidRDefault="007A4D59" w:rsidP="00E00B35">
            <w:pPr>
              <w:spacing w:after="0" w:line="312" w:lineRule="auto"/>
              <w:rPr>
                <w:bCs/>
                <w:szCs w:val="20"/>
              </w:rPr>
            </w:pPr>
            <w:r w:rsidRPr="00E00B35">
              <w:rPr>
                <w:bCs/>
                <w:szCs w:val="20"/>
              </w:rPr>
              <w:t>16</w:t>
            </w:r>
          </w:p>
        </w:tc>
        <w:tc>
          <w:tcPr>
            <w:tcW w:w="1134" w:type="dxa"/>
          </w:tcPr>
          <w:p w:rsidR="007A4D59" w:rsidRPr="00E00B35" w:rsidRDefault="007A4D59" w:rsidP="00E00B35">
            <w:pPr>
              <w:spacing w:after="0" w:line="312" w:lineRule="auto"/>
              <w:rPr>
                <w:bCs/>
                <w:szCs w:val="20"/>
              </w:rPr>
            </w:pPr>
            <w:r w:rsidRPr="00E00B35">
              <w:rPr>
                <w:bCs/>
                <w:szCs w:val="20"/>
              </w:rPr>
              <w:t>403 szt.</w:t>
            </w:r>
          </w:p>
        </w:tc>
        <w:tc>
          <w:tcPr>
            <w:tcW w:w="851" w:type="dxa"/>
          </w:tcPr>
          <w:p w:rsidR="007A4D59" w:rsidRPr="00E00B35" w:rsidRDefault="007A4D59" w:rsidP="00E00B35">
            <w:pPr>
              <w:spacing w:after="0" w:line="312" w:lineRule="auto"/>
              <w:rPr>
                <w:bCs/>
                <w:szCs w:val="20"/>
              </w:rPr>
            </w:pPr>
            <w:r w:rsidRPr="00E00B35">
              <w:rPr>
                <w:bCs/>
                <w:szCs w:val="20"/>
              </w:rPr>
              <w:t>24</w:t>
            </w:r>
          </w:p>
        </w:tc>
        <w:tc>
          <w:tcPr>
            <w:tcW w:w="1134" w:type="dxa"/>
          </w:tcPr>
          <w:p w:rsidR="007A4D59" w:rsidRPr="00E00B35" w:rsidRDefault="007A4D59" w:rsidP="00E00B35">
            <w:pPr>
              <w:spacing w:after="0" w:line="312" w:lineRule="auto"/>
              <w:rPr>
                <w:bCs/>
                <w:szCs w:val="20"/>
              </w:rPr>
            </w:pPr>
            <w:r w:rsidRPr="00E00B35">
              <w:rPr>
                <w:bCs/>
                <w:szCs w:val="20"/>
              </w:rPr>
              <w:t>367 szt.</w:t>
            </w:r>
          </w:p>
        </w:tc>
        <w:tc>
          <w:tcPr>
            <w:tcW w:w="850" w:type="dxa"/>
          </w:tcPr>
          <w:p w:rsidR="007A4D59" w:rsidRPr="00E00B35" w:rsidRDefault="007A4D59" w:rsidP="00E00B35">
            <w:pPr>
              <w:spacing w:after="0" w:line="312" w:lineRule="auto"/>
              <w:rPr>
                <w:bCs/>
                <w:szCs w:val="20"/>
              </w:rPr>
            </w:pPr>
            <w:r w:rsidRPr="00E00B35">
              <w:rPr>
                <w:bCs/>
                <w:szCs w:val="20"/>
              </w:rPr>
              <w:t>22</w:t>
            </w:r>
          </w:p>
        </w:tc>
      </w:tr>
      <w:tr w:rsidR="007A4D59" w:rsidRPr="00E00B35" w:rsidTr="006D3493">
        <w:tc>
          <w:tcPr>
            <w:tcW w:w="1134" w:type="dxa"/>
          </w:tcPr>
          <w:p w:rsidR="007A4D59" w:rsidRPr="00E00B35" w:rsidRDefault="007A4D59" w:rsidP="00E00B35">
            <w:pPr>
              <w:spacing w:after="0" w:line="312" w:lineRule="auto"/>
              <w:rPr>
                <w:bCs/>
                <w:szCs w:val="20"/>
              </w:rPr>
            </w:pPr>
            <w:r w:rsidRPr="00E00B35">
              <w:rPr>
                <w:bCs/>
                <w:szCs w:val="20"/>
              </w:rPr>
              <w:t>kozy</w:t>
            </w:r>
          </w:p>
        </w:tc>
        <w:tc>
          <w:tcPr>
            <w:tcW w:w="1134" w:type="dxa"/>
          </w:tcPr>
          <w:p w:rsidR="007A4D59" w:rsidRPr="00E00B35" w:rsidRDefault="007A4D59" w:rsidP="00E00B35">
            <w:pPr>
              <w:spacing w:after="0" w:line="312" w:lineRule="auto"/>
              <w:rPr>
                <w:bCs/>
                <w:szCs w:val="20"/>
              </w:rPr>
            </w:pPr>
            <w:r w:rsidRPr="00E00B35">
              <w:rPr>
                <w:bCs/>
                <w:szCs w:val="20"/>
              </w:rPr>
              <w:t>189 szt.</w:t>
            </w:r>
          </w:p>
        </w:tc>
        <w:tc>
          <w:tcPr>
            <w:tcW w:w="851" w:type="dxa"/>
          </w:tcPr>
          <w:p w:rsidR="007A4D59" w:rsidRPr="00E00B35" w:rsidRDefault="007A4D59" w:rsidP="00E00B35">
            <w:pPr>
              <w:spacing w:after="0" w:line="312" w:lineRule="auto"/>
              <w:rPr>
                <w:bCs/>
                <w:szCs w:val="20"/>
              </w:rPr>
            </w:pPr>
            <w:r w:rsidRPr="00E00B35">
              <w:rPr>
                <w:bCs/>
                <w:szCs w:val="20"/>
              </w:rPr>
              <w:t>11</w:t>
            </w:r>
          </w:p>
        </w:tc>
        <w:tc>
          <w:tcPr>
            <w:tcW w:w="1134" w:type="dxa"/>
          </w:tcPr>
          <w:p w:rsidR="007A4D59" w:rsidRPr="00E00B35" w:rsidRDefault="007A4D59" w:rsidP="00E00B35">
            <w:pPr>
              <w:spacing w:after="0" w:line="312" w:lineRule="auto"/>
              <w:rPr>
                <w:bCs/>
                <w:szCs w:val="20"/>
              </w:rPr>
            </w:pPr>
            <w:r w:rsidRPr="00E00B35">
              <w:rPr>
                <w:bCs/>
                <w:szCs w:val="20"/>
              </w:rPr>
              <w:t>173 szt.</w:t>
            </w:r>
          </w:p>
        </w:tc>
        <w:tc>
          <w:tcPr>
            <w:tcW w:w="850" w:type="dxa"/>
          </w:tcPr>
          <w:p w:rsidR="007A4D59" w:rsidRPr="00E00B35" w:rsidRDefault="007A4D59" w:rsidP="00E00B35">
            <w:pPr>
              <w:spacing w:after="0" w:line="312" w:lineRule="auto"/>
              <w:rPr>
                <w:bCs/>
                <w:szCs w:val="20"/>
              </w:rPr>
            </w:pPr>
            <w:r w:rsidRPr="00E00B35">
              <w:rPr>
                <w:bCs/>
                <w:szCs w:val="20"/>
              </w:rPr>
              <w:t>13</w:t>
            </w:r>
          </w:p>
        </w:tc>
        <w:tc>
          <w:tcPr>
            <w:tcW w:w="1134" w:type="dxa"/>
          </w:tcPr>
          <w:p w:rsidR="007A4D59" w:rsidRPr="00E00B35" w:rsidRDefault="007A4D59" w:rsidP="00E00B35">
            <w:pPr>
              <w:spacing w:after="0" w:line="312" w:lineRule="auto"/>
              <w:rPr>
                <w:bCs/>
                <w:szCs w:val="20"/>
              </w:rPr>
            </w:pPr>
            <w:r w:rsidRPr="00E00B35">
              <w:rPr>
                <w:bCs/>
                <w:szCs w:val="20"/>
              </w:rPr>
              <w:t>168 szt.</w:t>
            </w:r>
          </w:p>
        </w:tc>
        <w:tc>
          <w:tcPr>
            <w:tcW w:w="851" w:type="dxa"/>
          </w:tcPr>
          <w:p w:rsidR="007A4D59" w:rsidRPr="00E00B35" w:rsidRDefault="007A4D59" w:rsidP="00E00B35">
            <w:pPr>
              <w:spacing w:after="0" w:line="312" w:lineRule="auto"/>
              <w:rPr>
                <w:bCs/>
                <w:szCs w:val="20"/>
              </w:rPr>
            </w:pPr>
            <w:r w:rsidRPr="00E00B35">
              <w:rPr>
                <w:bCs/>
                <w:szCs w:val="20"/>
              </w:rPr>
              <w:t>9</w:t>
            </w:r>
          </w:p>
        </w:tc>
        <w:tc>
          <w:tcPr>
            <w:tcW w:w="1134" w:type="dxa"/>
          </w:tcPr>
          <w:p w:rsidR="007A4D59" w:rsidRPr="00E00B35" w:rsidRDefault="007A4D59" w:rsidP="00E00B35">
            <w:pPr>
              <w:spacing w:after="0" w:line="312" w:lineRule="auto"/>
              <w:rPr>
                <w:bCs/>
                <w:szCs w:val="20"/>
              </w:rPr>
            </w:pPr>
            <w:r w:rsidRPr="00E00B35">
              <w:rPr>
                <w:bCs/>
                <w:szCs w:val="20"/>
              </w:rPr>
              <w:t>180 szt.</w:t>
            </w:r>
          </w:p>
        </w:tc>
        <w:tc>
          <w:tcPr>
            <w:tcW w:w="850" w:type="dxa"/>
          </w:tcPr>
          <w:p w:rsidR="007A4D59" w:rsidRPr="00E00B35" w:rsidRDefault="007A4D59" w:rsidP="00E00B35">
            <w:pPr>
              <w:spacing w:after="0" w:line="312" w:lineRule="auto"/>
              <w:rPr>
                <w:bCs/>
                <w:szCs w:val="20"/>
              </w:rPr>
            </w:pPr>
            <w:r w:rsidRPr="00E00B35">
              <w:rPr>
                <w:bCs/>
                <w:szCs w:val="20"/>
              </w:rPr>
              <w:t>11</w:t>
            </w:r>
          </w:p>
        </w:tc>
      </w:tr>
      <w:tr w:rsidR="007A4D59" w:rsidRPr="00E00B35" w:rsidTr="006D3493">
        <w:tc>
          <w:tcPr>
            <w:tcW w:w="1134" w:type="dxa"/>
          </w:tcPr>
          <w:p w:rsidR="007A4D59" w:rsidRPr="00E00B35" w:rsidRDefault="007A4D59" w:rsidP="00E00B35">
            <w:pPr>
              <w:spacing w:after="0" w:line="312" w:lineRule="auto"/>
              <w:rPr>
                <w:bCs/>
                <w:szCs w:val="20"/>
              </w:rPr>
            </w:pPr>
            <w:r w:rsidRPr="00E00B35">
              <w:rPr>
                <w:bCs/>
                <w:szCs w:val="20"/>
              </w:rPr>
              <w:t>konie</w:t>
            </w:r>
          </w:p>
        </w:tc>
        <w:tc>
          <w:tcPr>
            <w:tcW w:w="1134" w:type="dxa"/>
          </w:tcPr>
          <w:p w:rsidR="007A4D59" w:rsidRPr="00E00B35" w:rsidRDefault="007A4D59" w:rsidP="00E00B35">
            <w:pPr>
              <w:spacing w:after="0" w:line="312" w:lineRule="auto"/>
              <w:rPr>
                <w:bCs/>
                <w:szCs w:val="20"/>
              </w:rPr>
            </w:pPr>
            <w:r w:rsidRPr="00E00B35">
              <w:rPr>
                <w:bCs/>
                <w:szCs w:val="20"/>
              </w:rPr>
              <w:t>145 szt.</w:t>
            </w:r>
          </w:p>
        </w:tc>
        <w:tc>
          <w:tcPr>
            <w:tcW w:w="851" w:type="dxa"/>
          </w:tcPr>
          <w:p w:rsidR="007A4D59" w:rsidRPr="00E00B35" w:rsidRDefault="007A4D59" w:rsidP="00E00B35">
            <w:pPr>
              <w:spacing w:after="0" w:line="312" w:lineRule="auto"/>
              <w:rPr>
                <w:bCs/>
                <w:szCs w:val="20"/>
              </w:rPr>
            </w:pPr>
            <w:r w:rsidRPr="00E00B35">
              <w:rPr>
                <w:bCs/>
                <w:szCs w:val="20"/>
              </w:rPr>
              <w:t>11</w:t>
            </w:r>
          </w:p>
        </w:tc>
        <w:tc>
          <w:tcPr>
            <w:tcW w:w="1134" w:type="dxa"/>
          </w:tcPr>
          <w:p w:rsidR="007A4D59" w:rsidRPr="00E00B35" w:rsidRDefault="007A4D59" w:rsidP="00E00B35">
            <w:pPr>
              <w:spacing w:after="0" w:line="312" w:lineRule="auto"/>
              <w:rPr>
                <w:bCs/>
                <w:szCs w:val="20"/>
              </w:rPr>
            </w:pPr>
            <w:r w:rsidRPr="00E00B35">
              <w:rPr>
                <w:bCs/>
                <w:szCs w:val="20"/>
              </w:rPr>
              <w:t>158 szt.</w:t>
            </w:r>
          </w:p>
        </w:tc>
        <w:tc>
          <w:tcPr>
            <w:tcW w:w="850" w:type="dxa"/>
          </w:tcPr>
          <w:p w:rsidR="007A4D59" w:rsidRPr="00E00B35" w:rsidRDefault="007A4D59" w:rsidP="00E00B35">
            <w:pPr>
              <w:spacing w:after="0" w:line="312" w:lineRule="auto"/>
              <w:rPr>
                <w:bCs/>
                <w:szCs w:val="20"/>
              </w:rPr>
            </w:pPr>
            <w:r w:rsidRPr="00E00B35">
              <w:rPr>
                <w:bCs/>
                <w:szCs w:val="20"/>
              </w:rPr>
              <w:t>13</w:t>
            </w:r>
          </w:p>
        </w:tc>
        <w:tc>
          <w:tcPr>
            <w:tcW w:w="1134" w:type="dxa"/>
          </w:tcPr>
          <w:p w:rsidR="007A4D59" w:rsidRPr="00E00B35" w:rsidRDefault="007A4D59" w:rsidP="00E00B35">
            <w:pPr>
              <w:spacing w:after="0" w:line="312" w:lineRule="auto"/>
              <w:rPr>
                <w:bCs/>
                <w:szCs w:val="20"/>
              </w:rPr>
            </w:pPr>
            <w:r w:rsidRPr="00E00B35">
              <w:rPr>
                <w:bCs/>
                <w:szCs w:val="20"/>
              </w:rPr>
              <w:t>165 szt.</w:t>
            </w:r>
          </w:p>
        </w:tc>
        <w:tc>
          <w:tcPr>
            <w:tcW w:w="851" w:type="dxa"/>
          </w:tcPr>
          <w:p w:rsidR="007A4D59" w:rsidRPr="00E00B35" w:rsidRDefault="007A4D59" w:rsidP="00E00B35">
            <w:pPr>
              <w:spacing w:after="0" w:line="312" w:lineRule="auto"/>
              <w:rPr>
                <w:bCs/>
                <w:szCs w:val="20"/>
              </w:rPr>
            </w:pPr>
            <w:r w:rsidRPr="00E00B35">
              <w:rPr>
                <w:bCs/>
                <w:szCs w:val="20"/>
              </w:rPr>
              <w:t>13</w:t>
            </w:r>
          </w:p>
        </w:tc>
        <w:tc>
          <w:tcPr>
            <w:tcW w:w="1134" w:type="dxa"/>
          </w:tcPr>
          <w:p w:rsidR="007A4D59" w:rsidRPr="00E00B35" w:rsidRDefault="007A4D59" w:rsidP="00E00B35">
            <w:pPr>
              <w:spacing w:after="0" w:line="312" w:lineRule="auto"/>
              <w:rPr>
                <w:bCs/>
                <w:szCs w:val="20"/>
              </w:rPr>
            </w:pPr>
            <w:r w:rsidRPr="00E00B35">
              <w:rPr>
                <w:bCs/>
                <w:szCs w:val="20"/>
              </w:rPr>
              <w:t>158 szt.</w:t>
            </w:r>
          </w:p>
        </w:tc>
        <w:tc>
          <w:tcPr>
            <w:tcW w:w="850" w:type="dxa"/>
          </w:tcPr>
          <w:p w:rsidR="007A4D59" w:rsidRPr="00E00B35" w:rsidRDefault="007A4D59" w:rsidP="00E00B35">
            <w:pPr>
              <w:spacing w:after="0" w:line="312" w:lineRule="auto"/>
              <w:rPr>
                <w:bCs/>
                <w:szCs w:val="20"/>
              </w:rPr>
            </w:pPr>
            <w:r w:rsidRPr="00E00B35">
              <w:rPr>
                <w:bCs/>
                <w:szCs w:val="20"/>
              </w:rPr>
              <w:t>13</w:t>
            </w:r>
          </w:p>
        </w:tc>
      </w:tr>
      <w:tr w:rsidR="007A4D59" w:rsidRPr="00E00B35" w:rsidTr="006D3493">
        <w:tc>
          <w:tcPr>
            <w:tcW w:w="1134" w:type="dxa"/>
          </w:tcPr>
          <w:p w:rsidR="007A4D59" w:rsidRPr="00E00B35" w:rsidRDefault="007A4D59" w:rsidP="00E00B35">
            <w:pPr>
              <w:spacing w:after="0" w:line="312" w:lineRule="auto"/>
              <w:rPr>
                <w:bCs/>
                <w:szCs w:val="20"/>
              </w:rPr>
            </w:pPr>
            <w:r w:rsidRPr="00E00B35">
              <w:rPr>
                <w:bCs/>
                <w:szCs w:val="20"/>
              </w:rPr>
              <w:t>drób</w:t>
            </w:r>
          </w:p>
        </w:tc>
        <w:tc>
          <w:tcPr>
            <w:tcW w:w="1134" w:type="dxa"/>
          </w:tcPr>
          <w:p w:rsidR="007A4D59" w:rsidRPr="00E00B35" w:rsidRDefault="007A4D59" w:rsidP="00E00B35">
            <w:pPr>
              <w:spacing w:after="0" w:line="312" w:lineRule="auto"/>
              <w:rPr>
                <w:bCs/>
                <w:szCs w:val="20"/>
              </w:rPr>
            </w:pPr>
            <w:r w:rsidRPr="00E00B35">
              <w:rPr>
                <w:bCs/>
                <w:szCs w:val="20"/>
              </w:rPr>
              <w:t>23 080 szt.</w:t>
            </w:r>
          </w:p>
        </w:tc>
        <w:tc>
          <w:tcPr>
            <w:tcW w:w="851" w:type="dxa"/>
          </w:tcPr>
          <w:p w:rsidR="007A4D59" w:rsidRPr="00E00B35" w:rsidRDefault="007A4D59" w:rsidP="00E00B35">
            <w:pPr>
              <w:spacing w:after="0" w:line="312" w:lineRule="auto"/>
              <w:rPr>
                <w:bCs/>
                <w:szCs w:val="20"/>
              </w:rPr>
            </w:pPr>
            <w:r w:rsidRPr="00E00B35">
              <w:rPr>
                <w:bCs/>
                <w:szCs w:val="20"/>
              </w:rPr>
              <w:t>2</w:t>
            </w:r>
          </w:p>
        </w:tc>
        <w:tc>
          <w:tcPr>
            <w:tcW w:w="1134" w:type="dxa"/>
          </w:tcPr>
          <w:p w:rsidR="007A4D59" w:rsidRPr="00E00B35" w:rsidRDefault="007A4D59" w:rsidP="00E00B35">
            <w:pPr>
              <w:spacing w:after="0" w:line="312" w:lineRule="auto"/>
              <w:rPr>
                <w:bCs/>
                <w:szCs w:val="20"/>
              </w:rPr>
            </w:pPr>
            <w:r w:rsidRPr="00E00B35">
              <w:rPr>
                <w:bCs/>
                <w:szCs w:val="20"/>
              </w:rPr>
              <w:t>66 150 szt.</w:t>
            </w:r>
          </w:p>
        </w:tc>
        <w:tc>
          <w:tcPr>
            <w:tcW w:w="850" w:type="dxa"/>
          </w:tcPr>
          <w:p w:rsidR="007A4D59" w:rsidRPr="00E00B35" w:rsidRDefault="007A4D59" w:rsidP="00E00B35">
            <w:pPr>
              <w:spacing w:after="0" w:line="312" w:lineRule="auto"/>
              <w:rPr>
                <w:bCs/>
                <w:szCs w:val="20"/>
              </w:rPr>
            </w:pPr>
            <w:r w:rsidRPr="00E00B35">
              <w:rPr>
                <w:bCs/>
                <w:szCs w:val="20"/>
              </w:rPr>
              <w:t>5</w:t>
            </w:r>
          </w:p>
        </w:tc>
        <w:tc>
          <w:tcPr>
            <w:tcW w:w="1134" w:type="dxa"/>
          </w:tcPr>
          <w:p w:rsidR="007A4D59" w:rsidRPr="00E00B35" w:rsidRDefault="007A4D59" w:rsidP="00E00B35">
            <w:pPr>
              <w:spacing w:after="0" w:line="312" w:lineRule="auto"/>
              <w:rPr>
                <w:bCs/>
                <w:szCs w:val="20"/>
              </w:rPr>
            </w:pPr>
            <w:r w:rsidRPr="00E00B35">
              <w:rPr>
                <w:bCs/>
                <w:szCs w:val="20"/>
              </w:rPr>
              <w:t>66 150 szt.</w:t>
            </w:r>
          </w:p>
        </w:tc>
        <w:tc>
          <w:tcPr>
            <w:tcW w:w="851" w:type="dxa"/>
          </w:tcPr>
          <w:p w:rsidR="007A4D59" w:rsidRPr="00E00B35" w:rsidRDefault="007A4D59" w:rsidP="00E00B35">
            <w:pPr>
              <w:spacing w:after="0" w:line="312" w:lineRule="auto"/>
              <w:rPr>
                <w:bCs/>
                <w:szCs w:val="20"/>
              </w:rPr>
            </w:pPr>
            <w:r w:rsidRPr="00E00B35">
              <w:rPr>
                <w:bCs/>
                <w:szCs w:val="20"/>
              </w:rPr>
              <w:t>5</w:t>
            </w:r>
          </w:p>
        </w:tc>
        <w:tc>
          <w:tcPr>
            <w:tcW w:w="1134" w:type="dxa"/>
          </w:tcPr>
          <w:p w:rsidR="007A4D59" w:rsidRPr="00E00B35" w:rsidRDefault="007A4D59" w:rsidP="00E00B35">
            <w:pPr>
              <w:spacing w:after="0" w:line="312" w:lineRule="auto"/>
              <w:rPr>
                <w:bCs/>
                <w:szCs w:val="20"/>
              </w:rPr>
            </w:pPr>
            <w:r w:rsidRPr="00E00B35">
              <w:rPr>
                <w:bCs/>
                <w:szCs w:val="20"/>
              </w:rPr>
              <w:t>66 150 szt.</w:t>
            </w:r>
          </w:p>
        </w:tc>
        <w:tc>
          <w:tcPr>
            <w:tcW w:w="850" w:type="dxa"/>
          </w:tcPr>
          <w:p w:rsidR="007A4D59" w:rsidRPr="00E00B35" w:rsidRDefault="007A4D59" w:rsidP="00E00B35">
            <w:pPr>
              <w:spacing w:after="0" w:line="312" w:lineRule="auto"/>
              <w:rPr>
                <w:bCs/>
                <w:szCs w:val="20"/>
              </w:rPr>
            </w:pPr>
            <w:r w:rsidRPr="00E00B35">
              <w:rPr>
                <w:bCs/>
                <w:szCs w:val="20"/>
              </w:rPr>
              <w:t>5</w:t>
            </w:r>
          </w:p>
        </w:tc>
      </w:tr>
      <w:tr w:rsidR="007A4D59" w:rsidRPr="00E00B35" w:rsidTr="006D3493">
        <w:tc>
          <w:tcPr>
            <w:tcW w:w="1134" w:type="dxa"/>
          </w:tcPr>
          <w:p w:rsidR="007A4D59" w:rsidRPr="00E00B35" w:rsidRDefault="007A4D59" w:rsidP="00E00B35">
            <w:pPr>
              <w:spacing w:after="0" w:line="312" w:lineRule="auto"/>
              <w:rPr>
                <w:bCs/>
                <w:szCs w:val="20"/>
              </w:rPr>
            </w:pPr>
            <w:r w:rsidRPr="00E00B35">
              <w:rPr>
                <w:bCs/>
                <w:szCs w:val="20"/>
              </w:rPr>
              <w:t>futerkowe</w:t>
            </w:r>
          </w:p>
        </w:tc>
        <w:tc>
          <w:tcPr>
            <w:tcW w:w="1134" w:type="dxa"/>
          </w:tcPr>
          <w:p w:rsidR="007A4D59" w:rsidRPr="00E00B35" w:rsidRDefault="007A4D59" w:rsidP="00E00B35">
            <w:pPr>
              <w:spacing w:after="0" w:line="312" w:lineRule="auto"/>
              <w:rPr>
                <w:bCs/>
                <w:szCs w:val="20"/>
              </w:rPr>
            </w:pPr>
            <w:r w:rsidRPr="00E00B35">
              <w:rPr>
                <w:bCs/>
                <w:szCs w:val="20"/>
              </w:rPr>
              <w:t>-</w:t>
            </w:r>
          </w:p>
        </w:tc>
        <w:tc>
          <w:tcPr>
            <w:tcW w:w="851" w:type="dxa"/>
          </w:tcPr>
          <w:p w:rsidR="007A4D59" w:rsidRPr="00E00B35" w:rsidRDefault="007A4D59" w:rsidP="00E00B35">
            <w:pPr>
              <w:spacing w:after="0" w:line="312" w:lineRule="auto"/>
              <w:rPr>
                <w:bCs/>
                <w:szCs w:val="20"/>
              </w:rPr>
            </w:pPr>
            <w:r w:rsidRPr="00E00B35">
              <w:rPr>
                <w:bCs/>
                <w:szCs w:val="20"/>
              </w:rPr>
              <w:t>-</w:t>
            </w:r>
          </w:p>
        </w:tc>
        <w:tc>
          <w:tcPr>
            <w:tcW w:w="1134" w:type="dxa"/>
          </w:tcPr>
          <w:p w:rsidR="007A4D59" w:rsidRPr="00E00B35" w:rsidRDefault="007A4D59" w:rsidP="00E00B35">
            <w:pPr>
              <w:spacing w:after="0" w:line="312" w:lineRule="auto"/>
              <w:rPr>
                <w:bCs/>
                <w:szCs w:val="20"/>
              </w:rPr>
            </w:pPr>
            <w:r w:rsidRPr="00E00B35">
              <w:rPr>
                <w:bCs/>
                <w:szCs w:val="20"/>
              </w:rPr>
              <w:t>540 szt.</w:t>
            </w:r>
          </w:p>
        </w:tc>
        <w:tc>
          <w:tcPr>
            <w:tcW w:w="850" w:type="dxa"/>
          </w:tcPr>
          <w:p w:rsidR="007A4D59" w:rsidRPr="00E00B35" w:rsidRDefault="007A4D59" w:rsidP="00E00B35">
            <w:pPr>
              <w:spacing w:after="0" w:line="312" w:lineRule="auto"/>
              <w:rPr>
                <w:bCs/>
                <w:szCs w:val="20"/>
              </w:rPr>
            </w:pPr>
            <w:r w:rsidRPr="00E00B35">
              <w:rPr>
                <w:bCs/>
                <w:szCs w:val="20"/>
              </w:rPr>
              <w:t>3</w:t>
            </w:r>
          </w:p>
        </w:tc>
        <w:tc>
          <w:tcPr>
            <w:tcW w:w="1134" w:type="dxa"/>
          </w:tcPr>
          <w:p w:rsidR="007A4D59" w:rsidRPr="00E00B35" w:rsidRDefault="007A4D59" w:rsidP="00E00B35">
            <w:pPr>
              <w:spacing w:after="0" w:line="312" w:lineRule="auto"/>
              <w:rPr>
                <w:bCs/>
                <w:szCs w:val="20"/>
              </w:rPr>
            </w:pPr>
            <w:r w:rsidRPr="00E00B35">
              <w:rPr>
                <w:bCs/>
                <w:szCs w:val="20"/>
              </w:rPr>
              <w:t>540 szt.</w:t>
            </w:r>
          </w:p>
        </w:tc>
        <w:tc>
          <w:tcPr>
            <w:tcW w:w="851" w:type="dxa"/>
          </w:tcPr>
          <w:p w:rsidR="007A4D59" w:rsidRPr="00E00B35" w:rsidRDefault="007A4D59" w:rsidP="00E00B35">
            <w:pPr>
              <w:spacing w:after="0" w:line="312" w:lineRule="auto"/>
              <w:rPr>
                <w:bCs/>
                <w:szCs w:val="20"/>
              </w:rPr>
            </w:pPr>
            <w:r w:rsidRPr="00E00B35">
              <w:rPr>
                <w:bCs/>
                <w:szCs w:val="20"/>
              </w:rPr>
              <w:t>3</w:t>
            </w:r>
          </w:p>
        </w:tc>
        <w:tc>
          <w:tcPr>
            <w:tcW w:w="1134" w:type="dxa"/>
          </w:tcPr>
          <w:p w:rsidR="007A4D59" w:rsidRPr="00E00B35" w:rsidRDefault="007A4D59" w:rsidP="00E00B35">
            <w:pPr>
              <w:spacing w:after="0" w:line="312" w:lineRule="auto"/>
              <w:rPr>
                <w:bCs/>
                <w:szCs w:val="20"/>
              </w:rPr>
            </w:pPr>
            <w:r w:rsidRPr="00E00B35">
              <w:rPr>
                <w:bCs/>
                <w:szCs w:val="20"/>
              </w:rPr>
              <w:t>540 szt.</w:t>
            </w:r>
          </w:p>
        </w:tc>
        <w:tc>
          <w:tcPr>
            <w:tcW w:w="850" w:type="dxa"/>
          </w:tcPr>
          <w:p w:rsidR="007A4D59" w:rsidRPr="00E00B35" w:rsidRDefault="007A4D59" w:rsidP="00E00B35">
            <w:pPr>
              <w:spacing w:after="0" w:line="312" w:lineRule="auto"/>
              <w:rPr>
                <w:bCs/>
                <w:szCs w:val="20"/>
              </w:rPr>
            </w:pPr>
            <w:r w:rsidRPr="00E00B35">
              <w:rPr>
                <w:bCs/>
                <w:szCs w:val="20"/>
              </w:rPr>
              <w:t>3</w:t>
            </w:r>
          </w:p>
        </w:tc>
      </w:tr>
      <w:tr w:rsidR="007A4D59" w:rsidRPr="00E00B35" w:rsidTr="006D3493">
        <w:tc>
          <w:tcPr>
            <w:tcW w:w="1134" w:type="dxa"/>
            <w:tcBorders>
              <w:bottom w:val="single" w:sz="4" w:space="0" w:color="000000"/>
            </w:tcBorders>
          </w:tcPr>
          <w:p w:rsidR="007A4D59" w:rsidRPr="00E00B35" w:rsidRDefault="007A4D59" w:rsidP="00E00B35">
            <w:pPr>
              <w:spacing w:after="0" w:line="312" w:lineRule="auto"/>
              <w:rPr>
                <w:bCs/>
                <w:szCs w:val="20"/>
              </w:rPr>
            </w:pPr>
            <w:r w:rsidRPr="00E00B35">
              <w:rPr>
                <w:bCs/>
                <w:szCs w:val="20"/>
              </w:rPr>
              <w:t>pasieki pszczele</w:t>
            </w:r>
          </w:p>
        </w:tc>
        <w:tc>
          <w:tcPr>
            <w:tcW w:w="1134" w:type="dxa"/>
            <w:tcBorders>
              <w:bottom w:val="single" w:sz="4" w:space="0" w:color="000000"/>
            </w:tcBorders>
          </w:tcPr>
          <w:p w:rsidR="007A4D59" w:rsidRPr="00E00B35" w:rsidRDefault="007A4D59" w:rsidP="00E00B35">
            <w:pPr>
              <w:spacing w:after="0" w:line="312" w:lineRule="auto"/>
              <w:rPr>
                <w:bCs/>
                <w:szCs w:val="20"/>
              </w:rPr>
            </w:pPr>
            <w:r w:rsidRPr="00E00B35">
              <w:rPr>
                <w:bCs/>
                <w:szCs w:val="20"/>
              </w:rPr>
              <w:t>3147 pnie</w:t>
            </w:r>
          </w:p>
        </w:tc>
        <w:tc>
          <w:tcPr>
            <w:tcW w:w="851" w:type="dxa"/>
            <w:tcBorders>
              <w:bottom w:val="single" w:sz="4" w:space="0" w:color="000000"/>
            </w:tcBorders>
          </w:tcPr>
          <w:p w:rsidR="007A4D59" w:rsidRPr="00E00B35" w:rsidRDefault="007A4D59" w:rsidP="00E00B35">
            <w:pPr>
              <w:spacing w:after="0" w:line="312" w:lineRule="auto"/>
              <w:rPr>
                <w:bCs/>
                <w:szCs w:val="20"/>
              </w:rPr>
            </w:pPr>
            <w:r w:rsidRPr="00E00B35">
              <w:rPr>
                <w:bCs/>
                <w:szCs w:val="20"/>
              </w:rPr>
              <w:t>178</w:t>
            </w:r>
          </w:p>
        </w:tc>
        <w:tc>
          <w:tcPr>
            <w:tcW w:w="1134" w:type="dxa"/>
            <w:tcBorders>
              <w:bottom w:val="single" w:sz="4" w:space="0" w:color="000000"/>
            </w:tcBorders>
          </w:tcPr>
          <w:p w:rsidR="007A4D59" w:rsidRPr="00E00B35" w:rsidRDefault="007A4D59" w:rsidP="00E00B35">
            <w:pPr>
              <w:spacing w:after="0" w:line="312" w:lineRule="auto"/>
              <w:rPr>
                <w:bCs/>
                <w:szCs w:val="20"/>
              </w:rPr>
            </w:pPr>
            <w:r w:rsidRPr="00E00B35">
              <w:rPr>
                <w:bCs/>
                <w:szCs w:val="20"/>
              </w:rPr>
              <w:t xml:space="preserve">6364 pnie </w:t>
            </w:r>
          </w:p>
        </w:tc>
        <w:tc>
          <w:tcPr>
            <w:tcW w:w="850" w:type="dxa"/>
            <w:tcBorders>
              <w:bottom w:val="single" w:sz="4" w:space="0" w:color="000000"/>
            </w:tcBorders>
          </w:tcPr>
          <w:p w:rsidR="007A4D59" w:rsidRPr="00E00B35" w:rsidRDefault="007A4D59" w:rsidP="00E00B35">
            <w:pPr>
              <w:spacing w:after="0" w:line="312" w:lineRule="auto"/>
              <w:rPr>
                <w:bCs/>
                <w:szCs w:val="20"/>
              </w:rPr>
            </w:pPr>
            <w:r w:rsidRPr="00E00B35">
              <w:rPr>
                <w:bCs/>
                <w:szCs w:val="20"/>
              </w:rPr>
              <w:t>271</w:t>
            </w:r>
          </w:p>
        </w:tc>
        <w:tc>
          <w:tcPr>
            <w:tcW w:w="1134" w:type="dxa"/>
            <w:tcBorders>
              <w:bottom w:val="single" w:sz="4" w:space="0" w:color="000000"/>
            </w:tcBorders>
          </w:tcPr>
          <w:p w:rsidR="007A4D59" w:rsidRPr="00E00B35" w:rsidRDefault="007A4D59" w:rsidP="00E00B35">
            <w:pPr>
              <w:spacing w:after="0" w:line="312" w:lineRule="auto"/>
              <w:rPr>
                <w:bCs/>
                <w:szCs w:val="20"/>
              </w:rPr>
            </w:pPr>
            <w:r w:rsidRPr="00E00B35">
              <w:rPr>
                <w:bCs/>
                <w:szCs w:val="20"/>
              </w:rPr>
              <w:t>5624 pnie</w:t>
            </w:r>
          </w:p>
        </w:tc>
        <w:tc>
          <w:tcPr>
            <w:tcW w:w="851" w:type="dxa"/>
            <w:tcBorders>
              <w:bottom w:val="single" w:sz="4" w:space="0" w:color="000000"/>
            </w:tcBorders>
          </w:tcPr>
          <w:p w:rsidR="007A4D59" w:rsidRPr="00E00B35" w:rsidRDefault="007A4D59" w:rsidP="00E00B35">
            <w:pPr>
              <w:spacing w:after="0" w:line="312" w:lineRule="auto"/>
              <w:rPr>
                <w:bCs/>
                <w:szCs w:val="20"/>
              </w:rPr>
            </w:pPr>
            <w:r w:rsidRPr="00E00B35">
              <w:rPr>
                <w:bCs/>
                <w:szCs w:val="20"/>
              </w:rPr>
              <w:t>239</w:t>
            </w:r>
          </w:p>
        </w:tc>
        <w:tc>
          <w:tcPr>
            <w:tcW w:w="1134" w:type="dxa"/>
            <w:tcBorders>
              <w:bottom w:val="single" w:sz="4" w:space="0" w:color="000000"/>
            </w:tcBorders>
          </w:tcPr>
          <w:p w:rsidR="007A4D59" w:rsidRPr="00E00B35" w:rsidRDefault="007A4D59" w:rsidP="00E00B35">
            <w:pPr>
              <w:spacing w:after="0" w:line="312" w:lineRule="auto"/>
              <w:rPr>
                <w:bCs/>
                <w:szCs w:val="20"/>
              </w:rPr>
            </w:pPr>
            <w:r w:rsidRPr="00E00B35">
              <w:rPr>
                <w:bCs/>
                <w:szCs w:val="20"/>
              </w:rPr>
              <w:t>5519 pnie</w:t>
            </w:r>
          </w:p>
        </w:tc>
        <w:tc>
          <w:tcPr>
            <w:tcW w:w="850" w:type="dxa"/>
            <w:tcBorders>
              <w:bottom w:val="single" w:sz="4" w:space="0" w:color="000000"/>
            </w:tcBorders>
          </w:tcPr>
          <w:p w:rsidR="007A4D59" w:rsidRPr="00E00B35" w:rsidRDefault="007A4D59" w:rsidP="00E00B35">
            <w:pPr>
              <w:spacing w:after="0" w:line="312" w:lineRule="auto"/>
              <w:rPr>
                <w:bCs/>
                <w:szCs w:val="20"/>
              </w:rPr>
            </w:pPr>
            <w:r w:rsidRPr="00E00B35">
              <w:rPr>
                <w:bCs/>
                <w:szCs w:val="20"/>
              </w:rPr>
              <w:t>231</w:t>
            </w:r>
          </w:p>
        </w:tc>
      </w:tr>
    </w:tbl>
    <w:p w:rsidR="007A4D59" w:rsidRPr="00E00B35" w:rsidRDefault="007A4D59" w:rsidP="00E00B35">
      <w:pPr>
        <w:spacing w:after="0" w:line="312" w:lineRule="auto"/>
        <w:rPr>
          <w:szCs w:val="20"/>
        </w:rPr>
      </w:pPr>
      <w:r w:rsidRPr="00E00B35">
        <w:rPr>
          <w:szCs w:val="20"/>
        </w:rPr>
        <w:t>( źródło; liczba uzgodniona z Powiatowym Lekarzem Weterynarii we Wrocławiu- stan na 31.12.2019r.)</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W porównaniu do lat  ubiegłych  obserwuje się  tendencje spadkowe w liczbie zwierząt gospodarskich we Wrocławiu. W dużej mierze związane jest to z rygorystycznymi przepisami w zakresie wymogów hodowlanych oraz koniecznością  zapewnienia dobrostanu zwierząt  co na terenie aglomeracji miejskiej nie jest łatwe.</w:t>
      </w:r>
    </w:p>
    <w:p w:rsidR="007A4D59" w:rsidRPr="00E00B35" w:rsidRDefault="007A4D59" w:rsidP="00E00B35">
      <w:pPr>
        <w:spacing w:after="0" w:line="312" w:lineRule="auto"/>
        <w:rPr>
          <w:szCs w:val="20"/>
        </w:rPr>
      </w:pPr>
      <w:r w:rsidRPr="00E00B35">
        <w:rPr>
          <w:rFonts w:cs="Arial"/>
          <w:szCs w:val="20"/>
        </w:rPr>
        <w:t xml:space="preserve">Rozpatrzono </w:t>
      </w:r>
      <w:r w:rsidRPr="00E00B35">
        <w:rPr>
          <w:rFonts w:cs="Arial"/>
          <w:bCs/>
          <w:szCs w:val="20"/>
        </w:rPr>
        <w:t xml:space="preserve">4 </w:t>
      </w:r>
      <w:r w:rsidRPr="00E00B35">
        <w:rPr>
          <w:rFonts w:cs="Arial"/>
          <w:szCs w:val="20"/>
        </w:rPr>
        <w:t xml:space="preserve">sprawy dot. zakazu utrzymywania zwierząt gospodarskich na terenach wyłączonych z produkcji rolniczej w oparciu o  uchwałę Rady Miejskiej Wrocławia w sprawie ustalenia regulaminu utrzymywania czystości i porządku na terenie miasta </w:t>
      </w:r>
      <w:r w:rsidRPr="00E00B35">
        <w:rPr>
          <w:rFonts w:cs="Arial"/>
          <w:szCs w:val="20"/>
        </w:rPr>
        <w:lastRenderedPageBreak/>
        <w:t xml:space="preserve">Wrocławia. </w:t>
      </w:r>
      <w:r w:rsidRPr="00E00B35">
        <w:rPr>
          <w:szCs w:val="20"/>
        </w:rPr>
        <w:t xml:space="preserve">W wyniku wizji terenowych wydano </w:t>
      </w:r>
      <w:r w:rsidRPr="00E00B35">
        <w:rPr>
          <w:bCs/>
          <w:szCs w:val="20"/>
        </w:rPr>
        <w:t xml:space="preserve">4 </w:t>
      </w:r>
      <w:r w:rsidRPr="00E00B35">
        <w:rPr>
          <w:szCs w:val="20"/>
        </w:rPr>
        <w:t xml:space="preserve">zalecenia odnośnie dobrostanu zwierząt (bydło, kury, pszczoły). </w:t>
      </w:r>
    </w:p>
    <w:p w:rsidR="007A4D59" w:rsidRPr="00E00B35" w:rsidRDefault="007A4D59" w:rsidP="00E00B35">
      <w:pPr>
        <w:spacing w:after="0" w:line="312" w:lineRule="auto"/>
        <w:rPr>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Ochrona gruntów rolnych</w:t>
      </w:r>
    </w:p>
    <w:p w:rsidR="007A4D59" w:rsidRPr="00E00B35" w:rsidRDefault="007A4D59" w:rsidP="00E00B35">
      <w:pPr>
        <w:pStyle w:val="Tytu"/>
        <w:spacing w:after="0" w:line="312" w:lineRule="auto"/>
        <w:jc w:val="left"/>
        <w:rPr>
          <w:rFonts w:cs="Tahoma"/>
          <w:b w:val="0"/>
          <w:szCs w:val="20"/>
        </w:rPr>
      </w:pPr>
    </w:p>
    <w:p w:rsidR="007A4D59" w:rsidRPr="00E00B35" w:rsidRDefault="007A4D59" w:rsidP="00E00B35">
      <w:pPr>
        <w:pStyle w:val="Tytu"/>
        <w:spacing w:after="0" w:line="312" w:lineRule="auto"/>
        <w:jc w:val="left"/>
        <w:rPr>
          <w:b w:val="0"/>
          <w:bCs/>
          <w:szCs w:val="20"/>
        </w:rPr>
      </w:pPr>
      <w:r w:rsidRPr="00E00B35">
        <w:rPr>
          <w:b w:val="0"/>
          <w:szCs w:val="20"/>
        </w:rPr>
        <w:t xml:space="preserve">Zagadnienia związane z ochroną gruntów rolnych i leśnych mają istotny wpływ na stan i środowisko Wrocławia. Uzyskanie decyzji zezwalającej na wyłączenie gruntów rolnych z produkcji przed realizacją inwestycji wymaga spełnienia wymogów określonych ustawą z dnia 3 lutego 1995 r. o ochronie gruntów rolnych i leśnych   – grunt rolny musi być przeznaczony na inne cele niż rolne w planie zagospodarowania przestrzennego, bądź w przypadku braku planu inwestor zobowiązany jest do uzyskania decyzji o warunkach zabudowy. Wydane decyzje w oparciu o ustawę o ochronie gruntów rolnych i leśnych zapobiegają zajęciu gruntu rolnego w sposób niekontrolowany i zobowiązują inwestora do zagospodarowania takiej powierzchni która jest określona w decyzji administracyjnej. W trakcie postępowania administracyjnego przed wydaniem decyzji inwestor zobowiązany jest do przedłożenia projektu zagospodarowania terenu przygotowanego w porozumieniu z projektantem-architektem wraz z wyliczeniem, bilansem gruntu niezbędnego do realizacji inwestycji. Ustawa zobowiązuje inwestorów do niezwłocznego przywrócenia wartości użytkowych nietrwale wyłączonych gruntów z produkcji po zakończeniu prac oraz pozwala działać zapobiegawczo przed wyłączaniem gruntu bez decyzji, niezgodnym z ustawa, umożliwiając nakładanie wysokich opłat administracyjnych. </w:t>
      </w:r>
    </w:p>
    <w:p w:rsidR="007A4D59" w:rsidRPr="00E00B35" w:rsidRDefault="007A4D59" w:rsidP="00E00B35">
      <w:pPr>
        <w:pStyle w:val="Tytu"/>
        <w:tabs>
          <w:tab w:val="left" w:pos="284"/>
        </w:tabs>
        <w:spacing w:after="0" w:line="312" w:lineRule="auto"/>
        <w:jc w:val="left"/>
        <w:rPr>
          <w:b w:val="0"/>
          <w:szCs w:val="20"/>
        </w:rPr>
      </w:pPr>
      <w:r w:rsidRPr="00E00B35">
        <w:rPr>
          <w:b w:val="0"/>
          <w:szCs w:val="20"/>
        </w:rPr>
        <w:t xml:space="preserve">W roku 2020 realizowano sprawy zgodnie z podziałem na następujące kategorie:  </w:t>
      </w:r>
    </w:p>
    <w:p w:rsidR="007A4D59" w:rsidRPr="00E00B35" w:rsidRDefault="007A4D59" w:rsidP="00BC64AB">
      <w:pPr>
        <w:pStyle w:val="Tytu"/>
        <w:numPr>
          <w:ilvl w:val="0"/>
          <w:numId w:val="263"/>
        </w:numPr>
        <w:tabs>
          <w:tab w:val="left" w:pos="426"/>
        </w:tabs>
        <w:spacing w:after="0" w:line="312" w:lineRule="auto"/>
        <w:ind w:left="426" w:hanging="426"/>
        <w:jc w:val="left"/>
        <w:rPr>
          <w:b w:val="0"/>
          <w:szCs w:val="20"/>
        </w:rPr>
      </w:pPr>
      <w:r w:rsidRPr="00E00B35">
        <w:rPr>
          <w:b w:val="0"/>
          <w:szCs w:val="20"/>
        </w:rPr>
        <w:t>decyzje  bez opłat – 78 , w tym ; zakończone decyzjami zwykłymi – 75   - dotyczące wyłączenia z produkcji użytków rolnych klas I-IIIb, wytworzonych z gleb pochodzenia mineralnego i organicznego z przeznaczeniem pod budownictwo mieszkaniowe jednorodzinne i wielorodzinne,  zakończone decyzjami wygaszającymi  - 2  ;  zakończone decyzjami umarzającymi   - 1,</w:t>
      </w:r>
    </w:p>
    <w:p w:rsidR="007A4D59" w:rsidRPr="00E00B35" w:rsidRDefault="007A4D59" w:rsidP="00BC64AB">
      <w:pPr>
        <w:pStyle w:val="Tytu"/>
        <w:numPr>
          <w:ilvl w:val="0"/>
          <w:numId w:val="263"/>
        </w:numPr>
        <w:tabs>
          <w:tab w:val="left" w:pos="426"/>
        </w:tabs>
        <w:spacing w:after="0" w:line="312" w:lineRule="auto"/>
        <w:ind w:left="426" w:hanging="426"/>
        <w:jc w:val="left"/>
        <w:rPr>
          <w:b w:val="0"/>
          <w:szCs w:val="20"/>
        </w:rPr>
      </w:pPr>
      <w:r w:rsidRPr="00E00B35">
        <w:rPr>
          <w:b w:val="0"/>
          <w:szCs w:val="20"/>
        </w:rPr>
        <w:t>decyzje  z opłatami – 120, w tym</w:t>
      </w:r>
      <w:r w:rsidRPr="00E00B35">
        <w:rPr>
          <w:b w:val="0"/>
          <w:i/>
          <w:szCs w:val="20"/>
        </w:rPr>
        <w:t xml:space="preserve">; </w:t>
      </w:r>
      <w:r w:rsidRPr="00E00B35">
        <w:rPr>
          <w:b w:val="0"/>
          <w:szCs w:val="20"/>
        </w:rPr>
        <w:t>zakończone decyzjami z naliczeniem opłaty – 116,  dotyczące wyłączenia z produkcji użytków rolnych klas I-IIIb, wytworzonych z gleb pochodzenia mineralnego i organicznego z przeznaczeniem pod inwestycje inne niż budownictwo mieszkaniowe jednorodzinne i wielorodzinne oraz inwestycje mieszkaniowe przekraczające powierzchnię podlegającą zwolnieniu z opłaty – ds. 12a ust. 1 i 2 ustawy; zakończone decyzjami wygaszającymi – 2;  zakończone decyzjami odmawiającymi stwierdzenia wygaśnięcia – 2,</w:t>
      </w:r>
    </w:p>
    <w:p w:rsidR="007A4D59" w:rsidRPr="00E00B35" w:rsidRDefault="007A4D59" w:rsidP="00BC64AB">
      <w:pPr>
        <w:pStyle w:val="Tytu"/>
        <w:numPr>
          <w:ilvl w:val="0"/>
          <w:numId w:val="263"/>
        </w:numPr>
        <w:tabs>
          <w:tab w:val="left" w:pos="426"/>
        </w:tabs>
        <w:spacing w:after="0" w:line="312" w:lineRule="auto"/>
        <w:ind w:left="426" w:hanging="426"/>
        <w:jc w:val="left"/>
        <w:rPr>
          <w:b w:val="0"/>
          <w:szCs w:val="20"/>
        </w:rPr>
      </w:pPr>
      <w:r w:rsidRPr="00E00B35">
        <w:rPr>
          <w:b w:val="0"/>
          <w:szCs w:val="20"/>
        </w:rPr>
        <w:t xml:space="preserve">Przekazano do </w:t>
      </w:r>
      <w:r w:rsidRPr="00E00B35">
        <w:rPr>
          <w:b w:val="0"/>
          <w:bCs/>
          <w:szCs w:val="20"/>
        </w:rPr>
        <w:t>Urzędu Marszałkowskiego Województwa Dolnośląskiego, Wydziału Geodezji i Kartografii ul. Dobrzyńska 21/23, 50-403 Wrocław</w:t>
      </w:r>
      <w:r w:rsidRPr="00E00B35">
        <w:rPr>
          <w:b w:val="0"/>
          <w:szCs w:val="20"/>
        </w:rPr>
        <w:t xml:space="preserve"> wraz z 5 pismami   przewodnimi – 59 decyzje administracyjne wydane po zgłoszeniu faktycznego wyłączenia gruntów rolnych z produkcji, zobowiązując strony do uiszczania opłat przez okres 10 lat. </w:t>
      </w:r>
    </w:p>
    <w:p w:rsidR="007A4D59" w:rsidRPr="00E00B35" w:rsidRDefault="007A4D59" w:rsidP="00BC64AB">
      <w:pPr>
        <w:pStyle w:val="Tytu"/>
        <w:numPr>
          <w:ilvl w:val="0"/>
          <w:numId w:val="263"/>
        </w:numPr>
        <w:tabs>
          <w:tab w:val="left" w:pos="426"/>
        </w:tabs>
        <w:spacing w:after="0" w:line="312" w:lineRule="auto"/>
        <w:ind w:left="426" w:hanging="426"/>
        <w:jc w:val="left"/>
        <w:rPr>
          <w:b w:val="0"/>
          <w:szCs w:val="20"/>
        </w:rPr>
      </w:pPr>
      <w:r w:rsidRPr="00E00B35">
        <w:rPr>
          <w:b w:val="0"/>
          <w:bCs/>
          <w:szCs w:val="20"/>
        </w:rPr>
        <w:t xml:space="preserve">decyzje </w:t>
      </w:r>
      <w:r w:rsidRPr="00E00B35">
        <w:rPr>
          <w:b w:val="0"/>
          <w:szCs w:val="20"/>
        </w:rPr>
        <w:t>umarzające – 157,</w:t>
      </w:r>
      <w:r w:rsidRPr="00E00B35">
        <w:rPr>
          <w:b w:val="0"/>
          <w:i/>
          <w:szCs w:val="20"/>
        </w:rPr>
        <w:t xml:space="preserve"> w tym:</w:t>
      </w:r>
      <w:r w:rsidRPr="00E00B35">
        <w:rPr>
          <w:b w:val="0"/>
          <w:bCs/>
          <w:i/>
          <w:szCs w:val="20"/>
        </w:rPr>
        <w:t xml:space="preserve"> </w:t>
      </w:r>
      <w:r w:rsidRPr="00E00B35">
        <w:rPr>
          <w:b w:val="0"/>
          <w:szCs w:val="20"/>
        </w:rPr>
        <w:t xml:space="preserve"> zakończone decyzjami umarzającymi postępowanie, –154 , dotyczące użytków rolnych klas IV, Iva, Ivb, V i VI wytworzonych z gleb pochodzenia mineralnego, nie wymagających wydania decyzji zezwalających na wyłączenie tych gruntów, zakończone decyzjami umarzającymi – 3  - dotyczące gruntów nie będących użytkami rolnymi i oznaczonych symbolami B, Bp, </w:t>
      </w:r>
      <w:r w:rsidRPr="00E00B35">
        <w:rPr>
          <w:b w:val="0"/>
          <w:szCs w:val="20"/>
        </w:rPr>
        <w:lastRenderedPageBreak/>
        <w:t xml:space="preserve">Tp, Bi, Bz, dr, inne lub dotyczące gruntów ujętych we wcześniejszych postępowaniach. </w:t>
      </w:r>
    </w:p>
    <w:p w:rsidR="007A4D59" w:rsidRPr="00E00B35" w:rsidRDefault="007A4D59" w:rsidP="00E00B35">
      <w:pPr>
        <w:spacing w:after="0" w:line="312" w:lineRule="auto"/>
        <w:rPr>
          <w:szCs w:val="20"/>
        </w:rPr>
      </w:pPr>
      <w:r w:rsidRPr="00E00B35">
        <w:rPr>
          <w:szCs w:val="20"/>
        </w:rPr>
        <w:t xml:space="preserve">Łącznie wydano 414 decyzji administracyjnych, a w stosunku do pozostałych spraw zarejestrowanych i nie zakończonych decyzjami toczy się postępowanie. Opracowano i wystosowano  w oparciu o art. 50 § 1, art. 54 § 1 i art. 64 § 2 ustawy z dnia 14 czerwca 1960 r. Kodeks postępowania administracyjnego   – 114 pism w sprawie uzupełnienia dokumentacji. </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Liczba decyzji wydanych w latach 2016-2019</w:t>
      </w:r>
    </w:p>
    <w:p w:rsidR="007A4D59" w:rsidRPr="00E00B35" w:rsidRDefault="007A4D59" w:rsidP="00E00B35">
      <w:pPr>
        <w:spacing w:after="0" w:line="312" w:lineRule="auto"/>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4"/>
        <w:gridCol w:w="1842"/>
        <w:gridCol w:w="1842"/>
        <w:gridCol w:w="1843"/>
        <w:gridCol w:w="1843"/>
      </w:tblGrid>
      <w:tr w:rsidR="007A4D59" w:rsidRPr="00E00B35" w:rsidTr="006D3493">
        <w:tc>
          <w:tcPr>
            <w:tcW w:w="1734" w:type="dxa"/>
            <w:vMerge w:val="restart"/>
          </w:tcPr>
          <w:p w:rsidR="007A4D59" w:rsidRPr="00E00B35" w:rsidRDefault="007A4D59" w:rsidP="00E00B35">
            <w:pPr>
              <w:spacing w:after="0" w:line="312" w:lineRule="auto"/>
              <w:rPr>
                <w:szCs w:val="20"/>
              </w:rPr>
            </w:pPr>
            <w:r w:rsidRPr="00E00B35">
              <w:rPr>
                <w:szCs w:val="20"/>
              </w:rPr>
              <w:t>Liczba decyzji</w:t>
            </w:r>
          </w:p>
        </w:tc>
        <w:tc>
          <w:tcPr>
            <w:tcW w:w="1842" w:type="dxa"/>
          </w:tcPr>
          <w:p w:rsidR="007A4D59" w:rsidRPr="00E00B35" w:rsidRDefault="007A4D59" w:rsidP="00E00B35">
            <w:pPr>
              <w:spacing w:after="0" w:line="312" w:lineRule="auto"/>
              <w:rPr>
                <w:szCs w:val="20"/>
              </w:rPr>
            </w:pPr>
            <w:r w:rsidRPr="00E00B35">
              <w:rPr>
                <w:szCs w:val="20"/>
              </w:rPr>
              <w:t>2016</w:t>
            </w:r>
          </w:p>
        </w:tc>
        <w:tc>
          <w:tcPr>
            <w:tcW w:w="1842" w:type="dxa"/>
          </w:tcPr>
          <w:p w:rsidR="007A4D59" w:rsidRPr="00E00B35" w:rsidRDefault="007A4D59" w:rsidP="00E00B35">
            <w:pPr>
              <w:spacing w:after="0" w:line="312" w:lineRule="auto"/>
              <w:rPr>
                <w:szCs w:val="20"/>
              </w:rPr>
            </w:pPr>
            <w:r w:rsidRPr="00E00B35">
              <w:rPr>
                <w:szCs w:val="20"/>
              </w:rPr>
              <w:t>2017</w:t>
            </w:r>
          </w:p>
        </w:tc>
        <w:tc>
          <w:tcPr>
            <w:tcW w:w="1843" w:type="dxa"/>
          </w:tcPr>
          <w:p w:rsidR="007A4D59" w:rsidRPr="00E00B35" w:rsidRDefault="007A4D59" w:rsidP="00E00B35">
            <w:pPr>
              <w:spacing w:after="0" w:line="312" w:lineRule="auto"/>
              <w:rPr>
                <w:szCs w:val="20"/>
              </w:rPr>
            </w:pPr>
            <w:r w:rsidRPr="00E00B35">
              <w:rPr>
                <w:szCs w:val="20"/>
              </w:rPr>
              <w:t>2018</w:t>
            </w:r>
          </w:p>
        </w:tc>
        <w:tc>
          <w:tcPr>
            <w:tcW w:w="1843" w:type="dxa"/>
          </w:tcPr>
          <w:p w:rsidR="007A4D59" w:rsidRPr="00E00B35" w:rsidRDefault="007A4D59" w:rsidP="00E00B35">
            <w:pPr>
              <w:spacing w:after="0" w:line="312" w:lineRule="auto"/>
              <w:rPr>
                <w:szCs w:val="20"/>
              </w:rPr>
            </w:pPr>
            <w:r w:rsidRPr="00E00B35">
              <w:rPr>
                <w:szCs w:val="20"/>
              </w:rPr>
              <w:t>2019</w:t>
            </w:r>
          </w:p>
        </w:tc>
      </w:tr>
      <w:tr w:rsidR="007A4D59" w:rsidRPr="00E00B35" w:rsidTr="006D3493">
        <w:tc>
          <w:tcPr>
            <w:tcW w:w="1734" w:type="dxa"/>
            <w:vMerge/>
          </w:tcPr>
          <w:p w:rsidR="007A4D59" w:rsidRPr="00E00B35" w:rsidRDefault="007A4D59" w:rsidP="00E00B35">
            <w:pPr>
              <w:spacing w:after="0" w:line="312" w:lineRule="auto"/>
              <w:rPr>
                <w:szCs w:val="20"/>
              </w:rPr>
            </w:pPr>
          </w:p>
        </w:tc>
        <w:tc>
          <w:tcPr>
            <w:tcW w:w="1842" w:type="dxa"/>
          </w:tcPr>
          <w:p w:rsidR="007A4D59" w:rsidRPr="00E00B35" w:rsidRDefault="007A4D59" w:rsidP="00E00B35">
            <w:pPr>
              <w:spacing w:after="0" w:line="312" w:lineRule="auto"/>
              <w:rPr>
                <w:szCs w:val="20"/>
              </w:rPr>
            </w:pPr>
            <w:r w:rsidRPr="00E00B35">
              <w:rPr>
                <w:szCs w:val="20"/>
              </w:rPr>
              <w:t>339</w:t>
            </w:r>
          </w:p>
        </w:tc>
        <w:tc>
          <w:tcPr>
            <w:tcW w:w="1842" w:type="dxa"/>
          </w:tcPr>
          <w:p w:rsidR="007A4D59" w:rsidRPr="00E00B35" w:rsidRDefault="007A4D59" w:rsidP="00E00B35">
            <w:pPr>
              <w:spacing w:after="0" w:line="312" w:lineRule="auto"/>
              <w:rPr>
                <w:szCs w:val="20"/>
              </w:rPr>
            </w:pPr>
            <w:r w:rsidRPr="00E00B35">
              <w:rPr>
                <w:szCs w:val="20"/>
              </w:rPr>
              <w:t>409</w:t>
            </w:r>
          </w:p>
        </w:tc>
        <w:tc>
          <w:tcPr>
            <w:tcW w:w="1843" w:type="dxa"/>
          </w:tcPr>
          <w:p w:rsidR="007A4D59" w:rsidRPr="00E00B35" w:rsidRDefault="007A4D59" w:rsidP="00E00B35">
            <w:pPr>
              <w:spacing w:after="0" w:line="312" w:lineRule="auto"/>
              <w:rPr>
                <w:szCs w:val="20"/>
              </w:rPr>
            </w:pPr>
            <w:r w:rsidRPr="00E00B35">
              <w:rPr>
                <w:szCs w:val="20"/>
              </w:rPr>
              <w:t>447</w:t>
            </w:r>
          </w:p>
        </w:tc>
        <w:tc>
          <w:tcPr>
            <w:tcW w:w="1843" w:type="dxa"/>
          </w:tcPr>
          <w:p w:rsidR="007A4D59" w:rsidRPr="00E00B35" w:rsidRDefault="007A4D59" w:rsidP="00E00B35">
            <w:pPr>
              <w:spacing w:after="0" w:line="312" w:lineRule="auto"/>
              <w:rPr>
                <w:szCs w:val="20"/>
              </w:rPr>
            </w:pPr>
            <w:r w:rsidRPr="00E00B35">
              <w:rPr>
                <w:szCs w:val="20"/>
              </w:rPr>
              <w:t>429</w:t>
            </w:r>
          </w:p>
        </w:tc>
      </w:tr>
    </w:tbl>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bCs/>
          <w:szCs w:val="20"/>
        </w:rPr>
        <w:t>W</w:t>
      </w:r>
      <w:r w:rsidRPr="00E00B35">
        <w:rPr>
          <w:bCs/>
          <w:i/>
          <w:szCs w:val="20"/>
        </w:rPr>
        <w:t xml:space="preserve"> </w:t>
      </w:r>
      <w:r w:rsidRPr="00E00B35">
        <w:rPr>
          <w:szCs w:val="20"/>
        </w:rPr>
        <w:t xml:space="preserve">związku z brakiem informacji o realizacji inwestycji opisanych w decyzjach naliczających opłaty z tytułu wyłączenia gruntów rolnych z produkcji rolnej, wydanych od roku 2014  wystosowano 65 wzywających pism  do adresatów tych decyzji celem określenia stopnia realizacji  inwestycji. Przeprowadzono  5 kontroli  weryfikujących zobowiązania ujęte w przedmiotowych decyzjach zezwalających na wyłączenie gruntów z produkcji rolnej.  W trakcie kontroli stwierdzono rozbieżności i brak przestrzegania zapisów i ustaleń określonych w wydanych decyzjach administracyjnych, między innymi brak pisemnego zawiadomienia   o rozpoczęciu innego niż rolnicze użytkowanie gruntów rolnych wyłączonych z produkcji rolniczej. </w:t>
      </w:r>
    </w:p>
    <w:p w:rsidR="007A4D59" w:rsidRPr="00E00B35" w:rsidRDefault="007A4D59" w:rsidP="00E00B35">
      <w:pPr>
        <w:pStyle w:val="11Trescpisma"/>
        <w:spacing w:before="0" w:after="0" w:line="312" w:lineRule="auto"/>
        <w:jc w:val="left"/>
        <w:rPr>
          <w:szCs w:val="20"/>
        </w:rPr>
      </w:pPr>
    </w:p>
    <w:p w:rsidR="007A4D59" w:rsidRPr="00E00B35" w:rsidRDefault="007A4D59" w:rsidP="00E00B35">
      <w:pPr>
        <w:spacing w:after="0" w:line="312" w:lineRule="auto"/>
        <w:rPr>
          <w:szCs w:val="20"/>
        </w:rPr>
      </w:pPr>
      <w:r w:rsidRPr="00E00B35">
        <w:rPr>
          <w:szCs w:val="20"/>
        </w:rPr>
        <w:t>Powierzchnię i naliczone opłaty z tytułu wyłączenia gruntów rolnych z produkcji rolniczej w 2020 roku przedstawia się następująco</w:t>
      </w:r>
    </w:p>
    <w:p w:rsidR="007A4D59" w:rsidRPr="00E00B35" w:rsidRDefault="007A4D59" w:rsidP="00E00B35">
      <w:pPr>
        <w:spacing w:after="0" w:line="312" w:lineRule="auto"/>
        <w:rPr>
          <w:szCs w:val="20"/>
        </w:rPr>
      </w:pPr>
      <w:r w:rsidRPr="00E00B35">
        <w:rPr>
          <w:szCs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90"/>
        <w:gridCol w:w="1729"/>
        <w:gridCol w:w="1134"/>
        <w:gridCol w:w="1559"/>
        <w:gridCol w:w="1306"/>
        <w:gridCol w:w="1954"/>
      </w:tblGrid>
      <w:tr w:rsidR="007A4D59" w:rsidRPr="00E00B35" w:rsidTr="006D3493">
        <w:tc>
          <w:tcPr>
            <w:tcW w:w="3119" w:type="dxa"/>
            <w:gridSpan w:val="2"/>
          </w:tcPr>
          <w:p w:rsidR="007A4D59" w:rsidRPr="00E00B35" w:rsidRDefault="007A4D59" w:rsidP="00E00B35">
            <w:pPr>
              <w:spacing w:after="0" w:line="312" w:lineRule="auto"/>
              <w:rPr>
                <w:szCs w:val="20"/>
              </w:rPr>
            </w:pPr>
            <w:r w:rsidRPr="00E00B35">
              <w:rPr>
                <w:szCs w:val="20"/>
              </w:rPr>
              <w:t>Trwałe</w:t>
            </w:r>
          </w:p>
          <w:p w:rsidR="007A4D59" w:rsidRPr="00E00B35" w:rsidRDefault="007A4D59" w:rsidP="00E00B35">
            <w:pPr>
              <w:spacing w:after="0" w:line="312" w:lineRule="auto"/>
              <w:rPr>
                <w:szCs w:val="20"/>
              </w:rPr>
            </w:pPr>
            <w:r w:rsidRPr="00E00B35">
              <w:rPr>
                <w:szCs w:val="20"/>
              </w:rPr>
              <w:t>wyłączenie</w:t>
            </w:r>
          </w:p>
        </w:tc>
        <w:tc>
          <w:tcPr>
            <w:tcW w:w="2693" w:type="dxa"/>
            <w:gridSpan w:val="2"/>
          </w:tcPr>
          <w:p w:rsidR="007A4D59" w:rsidRPr="00E00B35" w:rsidRDefault="007A4D59" w:rsidP="00E00B35">
            <w:pPr>
              <w:spacing w:after="0" w:line="312" w:lineRule="auto"/>
              <w:rPr>
                <w:szCs w:val="20"/>
              </w:rPr>
            </w:pPr>
            <w:r w:rsidRPr="00E00B35">
              <w:rPr>
                <w:szCs w:val="20"/>
              </w:rPr>
              <w:t>Nietrwałe</w:t>
            </w:r>
          </w:p>
          <w:p w:rsidR="007A4D59" w:rsidRPr="00E00B35" w:rsidRDefault="007A4D59" w:rsidP="00E00B35">
            <w:pPr>
              <w:spacing w:after="0" w:line="312" w:lineRule="auto"/>
              <w:rPr>
                <w:szCs w:val="20"/>
              </w:rPr>
            </w:pPr>
            <w:r w:rsidRPr="00E00B35">
              <w:rPr>
                <w:szCs w:val="20"/>
              </w:rPr>
              <w:t>wyłączenie</w:t>
            </w:r>
          </w:p>
        </w:tc>
        <w:tc>
          <w:tcPr>
            <w:tcW w:w="3260" w:type="dxa"/>
            <w:gridSpan w:val="2"/>
          </w:tcPr>
          <w:p w:rsidR="007A4D59" w:rsidRPr="00E00B35" w:rsidRDefault="007A4D59" w:rsidP="00E00B35">
            <w:pPr>
              <w:spacing w:after="0" w:line="312" w:lineRule="auto"/>
              <w:rPr>
                <w:szCs w:val="20"/>
              </w:rPr>
            </w:pPr>
            <w:r w:rsidRPr="00E00B35">
              <w:rPr>
                <w:szCs w:val="20"/>
              </w:rPr>
              <w:t>Opłaty</w:t>
            </w:r>
          </w:p>
        </w:tc>
      </w:tr>
      <w:tr w:rsidR="007A4D59" w:rsidRPr="00E00B35" w:rsidTr="006D3493">
        <w:tc>
          <w:tcPr>
            <w:tcW w:w="1390" w:type="dxa"/>
          </w:tcPr>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Łączna powierzchnia</w:t>
            </w:r>
          </w:p>
          <w:p w:rsidR="007A4D59" w:rsidRPr="00E00B35" w:rsidRDefault="007A4D59" w:rsidP="00E00B35">
            <w:pPr>
              <w:spacing w:after="0" w:line="312" w:lineRule="auto"/>
              <w:rPr>
                <w:szCs w:val="20"/>
              </w:rPr>
            </w:pPr>
            <w:r w:rsidRPr="00E00B35">
              <w:rPr>
                <w:szCs w:val="20"/>
              </w:rPr>
              <w:t>(m</w:t>
            </w:r>
            <w:r w:rsidRPr="00E00B35">
              <w:rPr>
                <w:szCs w:val="20"/>
                <w:vertAlign w:val="superscript"/>
              </w:rPr>
              <w:t>2</w:t>
            </w:r>
            <w:r w:rsidRPr="00E00B35">
              <w:rPr>
                <w:szCs w:val="20"/>
              </w:rPr>
              <w:t>, ha)</w:t>
            </w:r>
          </w:p>
        </w:tc>
        <w:tc>
          <w:tcPr>
            <w:tcW w:w="1729" w:type="dxa"/>
          </w:tcPr>
          <w:p w:rsidR="007A4D59" w:rsidRPr="00E00B35" w:rsidRDefault="007A4D59" w:rsidP="00E00B35">
            <w:pPr>
              <w:spacing w:after="0" w:line="312" w:lineRule="auto"/>
              <w:rPr>
                <w:szCs w:val="20"/>
              </w:rPr>
            </w:pPr>
            <w:r w:rsidRPr="00E00B35">
              <w:rPr>
                <w:szCs w:val="20"/>
              </w:rPr>
              <w:t>W tym powierzchnia podlegająca naliczeniu (m</w:t>
            </w:r>
            <w:r w:rsidRPr="00E00B35">
              <w:rPr>
                <w:szCs w:val="20"/>
                <w:vertAlign w:val="superscript"/>
              </w:rPr>
              <w:t>2</w:t>
            </w:r>
            <w:r w:rsidRPr="00E00B35">
              <w:rPr>
                <w:szCs w:val="20"/>
              </w:rPr>
              <w:t>, ha)</w:t>
            </w:r>
          </w:p>
        </w:tc>
        <w:tc>
          <w:tcPr>
            <w:tcW w:w="1134" w:type="dxa"/>
          </w:tcPr>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Łączna powierzchnia</w:t>
            </w:r>
          </w:p>
          <w:p w:rsidR="007A4D59" w:rsidRPr="00E00B35" w:rsidRDefault="007A4D59" w:rsidP="00E00B35">
            <w:pPr>
              <w:spacing w:after="0" w:line="312" w:lineRule="auto"/>
              <w:rPr>
                <w:szCs w:val="20"/>
              </w:rPr>
            </w:pPr>
            <w:r w:rsidRPr="00E00B35">
              <w:rPr>
                <w:szCs w:val="20"/>
              </w:rPr>
              <w:t>(m</w:t>
            </w:r>
            <w:r w:rsidRPr="00E00B35">
              <w:rPr>
                <w:szCs w:val="20"/>
                <w:vertAlign w:val="superscript"/>
              </w:rPr>
              <w:t>2</w:t>
            </w:r>
            <w:r w:rsidRPr="00E00B35">
              <w:rPr>
                <w:szCs w:val="20"/>
              </w:rPr>
              <w:t>, ha)</w:t>
            </w:r>
          </w:p>
        </w:tc>
        <w:tc>
          <w:tcPr>
            <w:tcW w:w="1559" w:type="dxa"/>
          </w:tcPr>
          <w:p w:rsidR="007A4D59" w:rsidRPr="00E00B35" w:rsidRDefault="007A4D59" w:rsidP="00E00B35">
            <w:pPr>
              <w:spacing w:after="0" w:line="312" w:lineRule="auto"/>
              <w:rPr>
                <w:szCs w:val="20"/>
              </w:rPr>
            </w:pPr>
            <w:r w:rsidRPr="00E00B35">
              <w:rPr>
                <w:szCs w:val="20"/>
              </w:rPr>
              <w:t>W tym powierzchnia podlegająca naliczeniu (m</w:t>
            </w:r>
            <w:r w:rsidRPr="00E00B35">
              <w:rPr>
                <w:szCs w:val="20"/>
                <w:vertAlign w:val="superscript"/>
              </w:rPr>
              <w:t>2</w:t>
            </w:r>
            <w:r w:rsidRPr="00E00B35">
              <w:rPr>
                <w:szCs w:val="20"/>
              </w:rPr>
              <w:t>, ha)</w:t>
            </w:r>
          </w:p>
        </w:tc>
        <w:tc>
          <w:tcPr>
            <w:tcW w:w="1306" w:type="dxa"/>
          </w:tcPr>
          <w:p w:rsidR="007A4D59" w:rsidRPr="00E00B35" w:rsidRDefault="007A4D59" w:rsidP="00E00B35">
            <w:pPr>
              <w:spacing w:after="0" w:line="312" w:lineRule="auto"/>
              <w:rPr>
                <w:szCs w:val="20"/>
              </w:rPr>
            </w:pPr>
            <w:r w:rsidRPr="00E00B35">
              <w:rPr>
                <w:szCs w:val="20"/>
              </w:rPr>
              <w:t>Opłaty</w:t>
            </w:r>
          </w:p>
          <w:p w:rsidR="007A4D59" w:rsidRPr="00E00B35" w:rsidRDefault="007A4D59" w:rsidP="00E00B35">
            <w:pPr>
              <w:spacing w:after="0" w:line="312" w:lineRule="auto"/>
              <w:rPr>
                <w:szCs w:val="20"/>
              </w:rPr>
            </w:pPr>
            <w:r w:rsidRPr="00E00B35">
              <w:rPr>
                <w:szCs w:val="20"/>
              </w:rPr>
              <w:t>jednorazowe naliczone</w:t>
            </w:r>
          </w:p>
          <w:p w:rsidR="007A4D59" w:rsidRPr="00E00B35" w:rsidRDefault="007A4D59" w:rsidP="00E00B35">
            <w:pPr>
              <w:spacing w:after="0" w:line="312" w:lineRule="auto"/>
              <w:rPr>
                <w:szCs w:val="20"/>
              </w:rPr>
            </w:pPr>
            <w:r w:rsidRPr="00E00B35">
              <w:rPr>
                <w:szCs w:val="20"/>
              </w:rPr>
              <w:t xml:space="preserve"> (zł)</w:t>
            </w:r>
          </w:p>
        </w:tc>
        <w:tc>
          <w:tcPr>
            <w:tcW w:w="1954" w:type="dxa"/>
          </w:tcPr>
          <w:p w:rsidR="007A4D59" w:rsidRPr="00E00B35" w:rsidRDefault="007A4D59" w:rsidP="00E00B35">
            <w:pPr>
              <w:spacing w:after="0" w:line="312" w:lineRule="auto"/>
              <w:rPr>
                <w:szCs w:val="20"/>
              </w:rPr>
            </w:pPr>
            <w:r w:rsidRPr="00E00B35">
              <w:rPr>
                <w:szCs w:val="20"/>
              </w:rPr>
              <w:t>Opłaty</w:t>
            </w:r>
          </w:p>
          <w:p w:rsidR="007A4D59" w:rsidRPr="00E00B35" w:rsidRDefault="007A4D59" w:rsidP="00E00B35">
            <w:pPr>
              <w:spacing w:after="0" w:line="312" w:lineRule="auto"/>
              <w:rPr>
                <w:szCs w:val="20"/>
              </w:rPr>
            </w:pPr>
            <w:r w:rsidRPr="00E00B35">
              <w:rPr>
                <w:szCs w:val="20"/>
              </w:rPr>
              <w:t>roczne naliczone</w:t>
            </w:r>
          </w:p>
          <w:p w:rsidR="007A4D59" w:rsidRPr="00E00B35" w:rsidRDefault="007A4D59" w:rsidP="00E00B35">
            <w:pPr>
              <w:spacing w:after="0" w:line="312" w:lineRule="auto"/>
              <w:rPr>
                <w:szCs w:val="20"/>
              </w:rPr>
            </w:pPr>
            <w:r w:rsidRPr="00E00B35">
              <w:rPr>
                <w:szCs w:val="20"/>
              </w:rPr>
              <w:t>(zł)</w:t>
            </w:r>
          </w:p>
        </w:tc>
      </w:tr>
      <w:tr w:rsidR="007A4D59" w:rsidRPr="00E00B35" w:rsidTr="006D3493">
        <w:tc>
          <w:tcPr>
            <w:tcW w:w="1390" w:type="dxa"/>
          </w:tcPr>
          <w:p w:rsidR="007A4D59" w:rsidRPr="00E00B35" w:rsidRDefault="007A4D59" w:rsidP="00E00B35">
            <w:pPr>
              <w:spacing w:after="0" w:line="312" w:lineRule="auto"/>
              <w:rPr>
                <w:szCs w:val="20"/>
              </w:rPr>
            </w:pPr>
            <w:r w:rsidRPr="00E00B35">
              <w:rPr>
                <w:szCs w:val="20"/>
              </w:rPr>
              <w:t>376108m2</w:t>
            </w:r>
          </w:p>
          <w:p w:rsidR="007A4D59" w:rsidRPr="00E00B35" w:rsidRDefault="007A4D59" w:rsidP="00E00B35">
            <w:pPr>
              <w:spacing w:after="0" w:line="312" w:lineRule="auto"/>
              <w:rPr>
                <w:szCs w:val="20"/>
              </w:rPr>
            </w:pPr>
            <w:r w:rsidRPr="00E00B35">
              <w:rPr>
                <w:szCs w:val="20"/>
              </w:rPr>
              <w:t>37,61ha</w:t>
            </w:r>
          </w:p>
        </w:tc>
        <w:tc>
          <w:tcPr>
            <w:tcW w:w="1729" w:type="dxa"/>
          </w:tcPr>
          <w:p w:rsidR="007A4D59" w:rsidRPr="00E00B35" w:rsidRDefault="007A4D59" w:rsidP="00E00B35">
            <w:pPr>
              <w:spacing w:after="0" w:line="312" w:lineRule="auto"/>
              <w:rPr>
                <w:szCs w:val="20"/>
              </w:rPr>
            </w:pPr>
            <w:r w:rsidRPr="00E00B35">
              <w:rPr>
                <w:szCs w:val="20"/>
              </w:rPr>
              <w:t>140516m2</w:t>
            </w:r>
          </w:p>
          <w:p w:rsidR="007A4D59" w:rsidRPr="00E00B35" w:rsidRDefault="007A4D59" w:rsidP="00E00B35">
            <w:pPr>
              <w:spacing w:after="0" w:line="312" w:lineRule="auto"/>
              <w:rPr>
                <w:szCs w:val="20"/>
              </w:rPr>
            </w:pPr>
            <w:r w:rsidRPr="00E00B35">
              <w:rPr>
                <w:szCs w:val="20"/>
              </w:rPr>
              <w:t>14,05ha</w:t>
            </w:r>
          </w:p>
        </w:tc>
        <w:tc>
          <w:tcPr>
            <w:tcW w:w="1134" w:type="dxa"/>
          </w:tcPr>
          <w:p w:rsidR="007A4D59" w:rsidRPr="00E00B35" w:rsidRDefault="007A4D59" w:rsidP="00E00B35">
            <w:pPr>
              <w:spacing w:after="0" w:line="312" w:lineRule="auto"/>
              <w:rPr>
                <w:szCs w:val="20"/>
              </w:rPr>
            </w:pPr>
            <w:r w:rsidRPr="00E00B35">
              <w:rPr>
                <w:szCs w:val="20"/>
              </w:rPr>
              <w:t>3193m2</w:t>
            </w:r>
          </w:p>
          <w:p w:rsidR="007A4D59" w:rsidRPr="00E00B35" w:rsidRDefault="007A4D59" w:rsidP="00E00B35">
            <w:pPr>
              <w:spacing w:after="0" w:line="312" w:lineRule="auto"/>
              <w:rPr>
                <w:szCs w:val="20"/>
              </w:rPr>
            </w:pPr>
            <w:r w:rsidRPr="00E00B35">
              <w:rPr>
                <w:szCs w:val="20"/>
              </w:rPr>
              <w:t>032ha</w:t>
            </w:r>
          </w:p>
        </w:tc>
        <w:tc>
          <w:tcPr>
            <w:tcW w:w="1559" w:type="dxa"/>
          </w:tcPr>
          <w:p w:rsidR="007A4D59" w:rsidRPr="00E00B35" w:rsidRDefault="007A4D59" w:rsidP="00E00B35">
            <w:pPr>
              <w:spacing w:after="0" w:line="312" w:lineRule="auto"/>
              <w:rPr>
                <w:szCs w:val="20"/>
              </w:rPr>
            </w:pPr>
            <w:r w:rsidRPr="00E00B35">
              <w:rPr>
                <w:szCs w:val="20"/>
              </w:rPr>
              <w:t>2625m2</w:t>
            </w:r>
          </w:p>
          <w:p w:rsidR="007A4D59" w:rsidRPr="00E00B35" w:rsidRDefault="007A4D59" w:rsidP="00E00B35">
            <w:pPr>
              <w:spacing w:after="0" w:line="312" w:lineRule="auto"/>
              <w:rPr>
                <w:szCs w:val="20"/>
              </w:rPr>
            </w:pPr>
            <w:r w:rsidRPr="00E00B35">
              <w:rPr>
                <w:szCs w:val="20"/>
              </w:rPr>
              <w:t>0,26ha</w:t>
            </w:r>
          </w:p>
        </w:tc>
        <w:tc>
          <w:tcPr>
            <w:tcW w:w="1306" w:type="dxa"/>
          </w:tcPr>
          <w:p w:rsidR="007A4D59" w:rsidRPr="00E00B35" w:rsidRDefault="007A4D59" w:rsidP="00E00B35">
            <w:pPr>
              <w:spacing w:after="0" w:line="312" w:lineRule="auto"/>
              <w:rPr>
                <w:szCs w:val="20"/>
              </w:rPr>
            </w:pPr>
            <w:r w:rsidRPr="00E00B35">
              <w:rPr>
                <w:szCs w:val="20"/>
              </w:rPr>
              <w:t>7 316625,28</w:t>
            </w:r>
          </w:p>
        </w:tc>
        <w:tc>
          <w:tcPr>
            <w:tcW w:w="1954" w:type="dxa"/>
          </w:tcPr>
          <w:p w:rsidR="007A4D59" w:rsidRPr="00E00B35" w:rsidRDefault="007A4D59" w:rsidP="00E00B35">
            <w:pPr>
              <w:spacing w:after="0" w:line="312" w:lineRule="auto"/>
              <w:rPr>
                <w:szCs w:val="20"/>
              </w:rPr>
            </w:pPr>
            <w:r w:rsidRPr="00E00B35">
              <w:rPr>
                <w:szCs w:val="20"/>
              </w:rPr>
              <w:t>731616,98</w:t>
            </w:r>
          </w:p>
        </w:tc>
      </w:tr>
    </w:tbl>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Powierzchnię i naliczone opłaty z tytułu wyłączenia gruntów rolnych z produkcji rolniczej w oparciu o ustawę o ochronie gruntów rolnych i leśnych w latach 2016</w:t>
      </w:r>
      <w:r w:rsidRPr="00E00B35">
        <w:rPr>
          <w:szCs w:val="20"/>
        </w:rPr>
        <w:noBreakHyphen/>
        <w:t>2019</w:t>
      </w:r>
    </w:p>
    <w:p w:rsidR="007A4D59" w:rsidRPr="00E00B35" w:rsidRDefault="007A4D59" w:rsidP="00E00B35">
      <w:pPr>
        <w:spacing w:after="0" w:line="312" w:lineRule="auto"/>
        <w:rPr>
          <w:b/>
          <w:szCs w:val="20"/>
        </w:rPr>
      </w:pPr>
    </w:p>
    <w:tbl>
      <w:tblPr>
        <w:tblW w:w="92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5"/>
        <w:gridCol w:w="1523"/>
        <w:gridCol w:w="1523"/>
        <w:gridCol w:w="1523"/>
        <w:gridCol w:w="1523"/>
        <w:gridCol w:w="1701"/>
        <w:gridCol w:w="1574"/>
      </w:tblGrid>
      <w:tr w:rsidR="007A4D59" w:rsidRPr="00E00B35" w:rsidTr="006D3493">
        <w:tc>
          <w:tcPr>
            <w:tcW w:w="728" w:type="dxa"/>
            <w:vMerge w:val="restart"/>
          </w:tcPr>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Lata</w:t>
            </w:r>
          </w:p>
        </w:tc>
        <w:tc>
          <w:tcPr>
            <w:tcW w:w="2784" w:type="dxa"/>
            <w:gridSpan w:val="2"/>
          </w:tcPr>
          <w:p w:rsidR="007A4D59" w:rsidRPr="00E00B35" w:rsidRDefault="007A4D59" w:rsidP="00E00B35">
            <w:pPr>
              <w:spacing w:after="0" w:line="312" w:lineRule="auto"/>
              <w:rPr>
                <w:szCs w:val="20"/>
              </w:rPr>
            </w:pPr>
            <w:r w:rsidRPr="00E00B35">
              <w:rPr>
                <w:szCs w:val="20"/>
              </w:rPr>
              <w:t>Trwałe</w:t>
            </w:r>
          </w:p>
          <w:p w:rsidR="007A4D59" w:rsidRPr="00E00B35" w:rsidRDefault="007A4D59" w:rsidP="00E00B35">
            <w:pPr>
              <w:spacing w:after="0" w:line="312" w:lineRule="auto"/>
              <w:rPr>
                <w:szCs w:val="20"/>
              </w:rPr>
            </w:pPr>
            <w:r w:rsidRPr="00E00B35">
              <w:rPr>
                <w:szCs w:val="20"/>
              </w:rPr>
              <w:t>wyłączenie</w:t>
            </w:r>
          </w:p>
        </w:tc>
        <w:tc>
          <w:tcPr>
            <w:tcW w:w="2784" w:type="dxa"/>
            <w:gridSpan w:val="2"/>
          </w:tcPr>
          <w:p w:rsidR="007A4D59" w:rsidRPr="00E00B35" w:rsidRDefault="007A4D59" w:rsidP="00E00B35">
            <w:pPr>
              <w:spacing w:after="0" w:line="312" w:lineRule="auto"/>
              <w:rPr>
                <w:szCs w:val="20"/>
              </w:rPr>
            </w:pPr>
            <w:r w:rsidRPr="00E00B35">
              <w:rPr>
                <w:szCs w:val="20"/>
              </w:rPr>
              <w:t>Nietrwałe</w:t>
            </w:r>
          </w:p>
          <w:p w:rsidR="007A4D59" w:rsidRPr="00E00B35" w:rsidRDefault="007A4D59" w:rsidP="00E00B35">
            <w:pPr>
              <w:spacing w:after="0" w:line="312" w:lineRule="auto"/>
              <w:rPr>
                <w:szCs w:val="20"/>
              </w:rPr>
            </w:pPr>
            <w:r w:rsidRPr="00E00B35">
              <w:rPr>
                <w:szCs w:val="20"/>
              </w:rPr>
              <w:t>wyłączenie</w:t>
            </w:r>
          </w:p>
        </w:tc>
        <w:tc>
          <w:tcPr>
            <w:tcW w:w="2991" w:type="dxa"/>
            <w:gridSpan w:val="2"/>
          </w:tcPr>
          <w:p w:rsidR="007A4D59" w:rsidRPr="00E00B35" w:rsidRDefault="007A4D59" w:rsidP="00E00B35">
            <w:pPr>
              <w:spacing w:after="0" w:line="312" w:lineRule="auto"/>
              <w:rPr>
                <w:szCs w:val="20"/>
              </w:rPr>
            </w:pPr>
            <w:r w:rsidRPr="00E00B35">
              <w:rPr>
                <w:szCs w:val="20"/>
              </w:rPr>
              <w:t>Opłaty</w:t>
            </w:r>
          </w:p>
        </w:tc>
      </w:tr>
      <w:tr w:rsidR="007A4D59" w:rsidRPr="00E00B35" w:rsidTr="006D3493">
        <w:tc>
          <w:tcPr>
            <w:tcW w:w="728" w:type="dxa"/>
            <w:vMerge/>
          </w:tcPr>
          <w:p w:rsidR="007A4D59" w:rsidRPr="00E00B35" w:rsidRDefault="007A4D59" w:rsidP="00E00B35">
            <w:pPr>
              <w:spacing w:after="0" w:line="312" w:lineRule="auto"/>
              <w:rPr>
                <w:szCs w:val="20"/>
              </w:rPr>
            </w:pPr>
          </w:p>
        </w:tc>
        <w:tc>
          <w:tcPr>
            <w:tcW w:w="1392" w:type="dxa"/>
          </w:tcPr>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Łączna powierzchnia</w:t>
            </w:r>
          </w:p>
          <w:p w:rsidR="007A4D59" w:rsidRPr="00E00B35" w:rsidRDefault="007A4D59" w:rsidP="00E00B35">
            <w:pPr>
              <w:spacing w:after="0" w:line="312" w:lineRule="auto"/>
              <w:rPr>
                <w:szCs w:val="20"/>
              </w:rPr>
            </w:pPr>
            <w:r w:rsidRPr="00E00B35">
              <w:rPr>
                <w:szCs w:val="20"/>
              </w:rPr>
              <w:lastRenderedPageBreak/>
              <w:t>(m</w:t>
            </w:r>
            <w:r w:rsidRPr="00E00B35">
              <w:rPr>
                <w:szCs w:val="20"/>
                <w:vertAlign w:val="superscript"/>
              </w:rPr>
              <w:t>2</w:t>
            </w:r>
            <w:r w:rsidRPr="00E00B35">
              <w:rPr>
                <w:szCs w:val="20"/>
              </w:rPr>
              <w:t>, ha)</w:t>
            </w:r>
          </w:p>
        </w:tc>
        <w:tc>
          <w:tcPr>
            <w:tcW w:w="1392" w:type="dxa"/>
          </w:tcPr>
          <w:p w:rsidR="007A4D59" w:rsidRPr="00E00B35" w:rsidRDefault="007A4D59" w:rsidP="00E00B35">
            <w:pPr>
              <w:spacing w:after="0" w:line="312" w:lineRule="auto"/>
              <w:rPr>
                <w:szCs w:val="20"/>
              </w:rPr>
            </w:pPr>
            <w:r w:rsidRPr="00E00B35">
              <w:rPr>
                <w:szCs w:val="20"/>
              </w:rPr>
              <w:lastRenderedPageBreak/>
              <w:t xml:space="preserve">W tym powierzchnia podlegająca </w:t>
            </w:r>
            <w:r w:rsidRPr="00E00B35">
              <w:rPr>
                <w:szCs w:val="20"/>
              </w:rPr>
              <w:lastRenderedPageBreak/>
              <w:t>naliczeniu (m</w:t>
            </w:r>
            <w:r w:rsidRPr="00E00B35">
              <w:rPr>
                <w:szCs w:val="20"/>
                <w:vertAlign w:val="superscript"/>
              </w:rPr>
              <w:t>2</w:t>
            </w:r>
            <w:r w:rsidRPr="00E00B35">
              <w:rPr>
                <w:szCs w:val="20"/>
              </w:rPr>
              <w:t>, ha)</w:t>
            </w:r>
          </w:p>
        </w:tc>
        <w:tc>
          <w:tcPr>
            <w:tcW w:w="1392" w:type="dxa"/>
          </w:tcPr>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Łączna powierzchnia</w:t>
            </w:r>
          </w:p>
          <w:p w:rsidR="007A4D59" w:rsidRPr="00E00B35" w:rsidRDefault="007A4D59" w:rsidP="00E00B35">
            <w:pPr>
              <w:spacing w:after="0" w:line="312" w:lineRule="auto"/>
              <w:rPr>
                <w:szCs w:val="20"/>
              </w:rPr>
            </w:pPr>
            <w:r w:rsidRPr="00E00B35">
              <w:rPr>
                <w:szCs w:val="20"/>
              </w:rPr>
              <w:lastRenderedPageBreak/>
              <w:t>(m</w:t>
            </w:r>
            <w:r w:rsidRPr="00E00B35">
              <w:rPr>
                <w:szCs w:val="20"/>
                <w:vertAlign w:val="superscript"/>
              </w:rPr>
              <w:t>2</w:t>
            </w:r>
            <w:r w:rsidRPr="00E00B35">
              <w:rPr>
                <w:szCs w:val="20"/>
              </w:rPr>
              <w:t>, ha)</w:t>
            </w:r>
          </w:p>
        </w:tc>
        <w:tc>
          <w:tcPr>
            <w:tcW w:w="1392" w:type="dxa"/>
          </w:tcPr>
          <w:p w:rsidR="007A4D59" w:rsidRPr="00E00B35" w:rsidRDefault="007A4D59" w:rsidP="00E00B35">
            <w:pPr>
              <w:spacing w:after="0" w:line="312" w:lineRule="auto"/>
              <w:rPr>
                <w:szCs w:val="20"/>
              </w:rPr>
            </w:pPr>
            <w:r w:rsidRPr="00E00B35">
              <w:rPr>
                <w:szCs w:val="20"/>
              </w:rPr>
              <w:lastRenderedPageBreak/>
              <w:t xml:space="preserve">W tym powierzchnia podlegająca </w:t>
            </w:r>
            <w:r w:rsidRPr="00E00B35">
              <w:rPr>
                <w:szCs w:val="20"/>
              </w:rPr>
              <w:lastRenderedPageBreak/>
              <w:t>naliczeniu (m</w:t>
            </w:r>
            <w:r w:rsidRPr="00E00B35">
              <w:rPr>
                <w:szCs w:val="20"/>
                <w:vertAlign w:val="superscript"/>
              </w:rPr>
              <w:t>2</w:t>
            </w:r>
            <w:r w:rsidRPr="00E00B35">
              <w:rPr>
                <w:szCs w:val="20"/>
              </w:rPr>
              <w:t>, ha)</w:t>
            </w:r>
          </w:p>
        </w:tc>
        <w:tc>
          <w:tcPr>
            <w:tcW w:w="1553" w:type="dxa"/>
          </w:tcPr>
          <w:p w:rsidR="007A4D59" w:rsidRPr="00E00B35" w:rsidRDefault="007A4D59" w:rsidP="00E00B35">
            <w:pPr>
              <w:spacing w:after="0" w:line="312" w:lineRule="auto"/>
              <w:rPr>
                <w:szCs w:val="20"/>
              </w:rPr>
            </w:pPr>
            <w:r w:rsidRPr="00E00B35">
              <w:rPr>
                <w:szCs w:val="20"/>
              </w:rPr>
              <w:lastRenderedPageBreak/>
              <w:t>Opłaty</w:t>
            </w:r>
          </w:p>
          <w:p w:rsidR="007A4D59" w:rsidRPr="00E00B35" w:rsidRDefault="007A4D59" w:rsidP="00E00B35">
            <w:pPr>
              <w:spacing w:after="0" w:line="312" w:lineRule="auto"/>
              <w:rPr>
                <w:szCs w:val="20"/>
              </w:rPr>
            </w:pPr>
            <w:r w:rsidRPr="00E00B35">
              <w:rPr>
                <w:szCs w:val="20"/>
              </w:rPr>
              <w:t>jednorazowe naliczone</w:t>
            </w:r>
          </w:p>
          <w:p w:rsidR="007A4D59" w:rsidRPr="00E00B35" w:rsidRDefault="007A4D59" w:rsidP="00E00B35">
            <w:pPr>
              <w:spacing w:after="0" w:line="312" w:lineRule="auto"/>
              <w:rPr>
                <w:szCs w:val="20"/>
              </w:rPr>
            </w:pPr>
            <w:r w:rsidRPr="00E00B35">
              <w:rPr>
                <w:szCs w:val="20"/>
              </w:rPr>
              <w:lastRenderedPageBreak/>
              <w:t xml:space="preserve"> (zł)</w:t>
            </w:r>
          </w:p>
        </w:tc>
        <w:tc>
          <w:tcPr>
            <w:tcW w:w="1438" w:type="dxa"/>
          </w:tcPr>
          <w:p w:rsidR="007A4D59" w:rsidRPr="00E00B35" w:rsidRDefault="007A4D59" w:rsidP="00E00B35">
            <w:pPr>
              <w:spacing w:after="0" w:line="312" w:lineRule="auto"/>
              <w:rPr>
                <w:szCs w:val="20"/>
              </w:rPr>
            </w:pPr>
            <w:r w:rsidRPr="00E00B35">
              <w:rPr>
                <w:szCs w:val="20"/>
              </w:rPr>
              <w:lastRenderedPageBreak/>
              <w:t>Opłaty</w:t>
            </w:r>
          </w:p>
          <w:p w:rsidR="007A4D59" w:rsidRPr="00E00B35" w:rsidRDefault="007A4D59" w:rsidP="00E00B35">
            <w:pPr>
              <w:spacing w:after="0" w:line="312" w:lineRule="auto"/>
              <w:rPr>
                <w:szCs w:val="20"/>
              </w:rPr>
            </w:pPr>
            <w:r w:rsidRPr="00E00B35">
              <w:rPr>
                <w:szCs w:val="20"/>
              </w:rPr>
              <w:t>roczne naliczone</w:t>
            </w:r>
          </w:p>
          <w:p w:rsidR="007A4D59" w:rsidRPr="00E00B35" w:rsidRDefault="007A4D59" w:rsidP="00E00B35">
            <w:pPr>
              <w:spacing w:after="0" w:line="312" w:lineRule="auto"/>
              <w:rPr>
                <w:szCs w:val="20"/>
              </w:rPr>
            </w:pPr>
            <w:r w:rsidRPr="00E00B35">
              <w:rPr>
                <w:szCs w:val="20"/>
              </w:rPr>
              <w:lastRenderedPageBreak/>
              <w:t>(zł)</w:t>
            </w:r>
          </w:p>
        </w:tc>
      </w:tr>
      <w:tr w:rsidR="007A4D59" w:rsidRPr="00E00B35" w:rsidTr="006D3493">
        <w:tc>
          <w:tcPr>
            <w:tcW w:w="728" w:type="dxa"/>
          </w:tcPr>
          <w:p w:rsidR="007A4D59" w:rsidRPr="00E00B35" w:rsidRDefault="007A4D59" w:rsidP="00E00B35">
            <w:pPr>
              <w:spacing w:after="0" w:line="312" w:lineRule="auto"/>
              <w:rPr>
                <w:szCs w:val="20"/>
              </w:rPr>
            </w:pPr>
            <w:r w:rsidRPr="00E00B35">
              <w:rPr>
                <w:szCs w:val="20"/>
              </w:rPr>
              <w:lastRenderedPageBreak/>
              <w:t>2016</w:t>
            </w:r>
          </w:p>
        </w:tc>
        <w:tc>
          <w:tcPr>
            <w:tcW w:w="1392" w:type="dxa"/>
          </w:tcPr>
          <w:p w:rsidR="007A4D59" w:rsidRPr="00E00B35" w:rsidRDefault="007A4D59" w:rsidP="00E00B35">
            <w:pPr>
              <w:spacing w:after="0" w:line="312" w:lineRule="auto"/>
              <w:rPr>
                <w:szCs w:val="20"/>
              </w:rPr>
            </w:pPr>
            <w:r w:rsidRPr="00E00B35">
              <w:rPr>
                <w:szCs w:val="20"/>
              </w:rPr>
              <w:t>1 042 932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104,3 ha</w:t>
            </w:r>
          </w:p>
        </w:tc>
        <w:tc>
          <w:tcPr>
            <w:tcW w:w="1392" w:type="dxa"/>
          </w:tcPr>
          <w:p w:rsidR="007A4D59" w:rsidRPr="00E00B35" w:rsidRDefault="007A4D59" w:rsidP="00E00B35">
            <w:pPr>
              <w:spacing w:after="0" w:line="312" w:lineRule="auto"/>
              <w:rPr>
                <w:szCs w:val="20"/>
              </w:rPr>
            </w:pPr>
            <w:r w:rsidRPr="00E00B35">
              <w:rPr>
                <w:szCs w:val="20"/>
              </w:rPr>
              <w:t>166 339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16,6 ha</w:t>
            </w:r>
          </w:p>
        </w:tc>
        <w:tc>
          <w:tcPr>
            <w:tcW w:w="1392" w:type="dxa"/>
          </w:tcPr>
          <w:p w:rsidR="007A4D59" w:rsidRPr="00E00B35" w:rsidRDefault="007A4D59" w:rsidP="00E00B35">
            <w:pPr>
              <w:spacing w:after="0" w:line="312" w:lineRule="auto"/>
              <w:rPr>
                <w:szCs w:val="20"/>
              </w:rPr>
            </w:pPr>
            <w:r w:rsidRPr="00E00B35">
              <w:rPr>
                <w:szCs w:val="20"/>
              </w:rPr>
              <w:t>1 615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0,16 ha</w:t>
            </w:r>
          </w:p>
        </w:tc>
        <w:tc>
          <w:tcPr>
            <w:tcW w:w="1392" w:type="dxa"/>
          </w:tcPr>
          <w:p w:rsidR="007A4D59" w:rsidRPr="00E00B35" w:rsidRDefault="007A4D59" w:rsidP="00E00B35">
            <w:pPr>
              <w:spacing w:after="0" w:line="312" w:lineRule="auto"/>
              <w:rPr>
                <w:szCs w:val="20"/>
              </w:rPr>
            </w:pPr>
            <w:r w:rsidRPr="00E00B35">
              <w:rPr>
                <w:szCs w:val="20"/>
              </w:rPr>
              <w:t>274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0,03 ha</w:t>
            </w:r>
          </w:p>
        </w:tc>
        <w:tc>
          <w:tcPr>
            <w:tcW w:w="1553" w:type="dxa"/>
          </w:tcPr>
          <w:p w:rsidR="007A4D59" w:rsidRPr="00E00B35" w:rsidRDefault="007A4D59" w:rsidP="00E00B35">
            <w:pPr>
              <w:spacing w:after="0" w:line="312" w:lineRule="auto"/>
              <w:rPr>
                <w:szCs w:val="20"/>
              </w:rPr>
            </w:pPr>
            <w:r w:rsidRPr="00E00B35">
              <w:rPr>
                <w:szCs w:val="20"/>
              </w:rPr>
              <w:t>13 266 934,73</w:t>
            </w:r>
          </w:p>
        </w:tc>
        <w:tc>
          <w:tcPr>
            <w:tcW w:w="1438" w:type="dxa"/>
          </w:tcPr>
          <w:p w:rsidR="007A4D59" w:rsidRPr="00E00B35" w:rsidRDefault="007A4D59" w:rsidP="00E00B35">
            <w:pPr>
              <w:spacing w:after="0" w:line="312" w:lineRule="auto"/>
              <w:rPr>
                <w:szCs w:val="20"/>
              </w:rPr>
            </w:pPr>
            <w:r w:rsidRPr="00E00B35">
              <w:rPr>
                <w:szCs w:val="20"/>
              </w:rPr>
              <w:t xml:space="preserve">1 326 693,10 </w:t>
            </w:r>
          </w:p>
        </w:tc>
      </w:tr>
      <w:tr w:rsidR="007A4D59" w:rsidRPr="00E00B35" w:rsidTr="006D3493">
        <w:tc>
          <w:tcPr>
            <w:tcW w:w="728" w:type="dxa"/>
            <w:vAlign w:val="center"/>
          </w:tcPr>
          <w:p w:rsidR="007A4D59" w:rsidRPr="00E00B35" w:rsidRDefault="007A4D59" w:rsidP="00E00B35">
            <w:pPr>
              <w:spacing w:after="0" w:line="312" w:lineRule="auto"/>
              <w:rPr>
                <w:szCs w:val="20"/>
              </w:rPr>
            </w:pPr>
            <w:r w:rsidRPr="00E00B35">
              <w:rPr>
                <w:szCs w:val="20"/>
              </w:rPr>
              <w:t>2017</w:t>
            </w:r>
          </w:p>
        </w:tc>
        <w:tc>
          <w:tcPr>
            <w:tcW w:w="1392" w:type="dxa"/>
          </w:tcPr>
          <w:p w:rsidR="007A4D59" w:rsidRPr="00E00B35" w:rsidRDefault="007A4D59" w:rsidP="00E00B35">
            <w:pPr>
              <w:spacing w:after="0" w:line="312" w:lineRule="auto"/>
              <w:rPr>
                <w:szCs w:val="20"/>
              </w:rPr>
            </w:pPr>
            <w:r w:rsidRPr="00E00B35">
              <w:rPr>
                <w:szCs w:val="20"/>
              </w:rPr>
              <w:t>913 570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91,36 ha</w:t>
            </w:r>
          </w:p>
        </w:tc>
        <w:tc>
          <w:tcPr>
            <w:tcW w:w="1392" w:type="dxa"/>
          </w:tcPr>
          <w:p w:rsidR="007A4D59" w:rsidRPr="00E00B35" w:rsidRDefault="007A4D59" w:rsidP="00E00B35">
            <w:pPr>
              <w:spacing w:after="0" w:line="312" w:lineRule="auto"/>
              <w:rPr>
                <w:szCs w:val="20"/>
              </w:rPr>
            </w:pPr>
            <w:r w:rsidRPr="00E00B35">
              <w:rPr>
                <w:szCs w:val="20"/>
              </w:rPr>
              <w:t>358 179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35,82 ha</w:t>
            </w:r>
          </w:p>
        </w:tc>
        <w:tc>
          <w:tcPr>
            <w:tcW w:w="1392" w:type="dxa"/>
          </w:tcPr>
          <w:p w:rsidR="007A4D59" w:rsidRPr="00E00B35" w:rsidRDefault="007A4D59" w:rsidP="00E00B35">
            <w:pPr>
              <w:spacing w:after="0" w:line="312" w:lineRule="auto"/>
              <w:rPr>
                <w:szCs w:val="20"/>
              </w:rPr>
            </w:pPr>
            <w:r w:rsidRPr="00E00B35">
              <w:rPr>
                <w:szCs w:val="20"/>
              </w:rPr>
              <w:t>22 431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2,24 ha</w:t>
            </w:r>
          </w:p>
        </w:tc>
        <w:tc>
          <w:tcPr>
            <w:tcW w:w="1392" w:type="dxa"/>
          </w:tcPr>
          <w:p w:rsidR="007A4D59" w:rsidRPr="00E00B35" w:rsidRDefault="007A4D59" w:rsidP="00E00B35">
            <w:pPr>
              <w:spacing w:after="0" w:line="312" w:lineRule="auto"/>
              <w:rPr>
                <w:szCs w:val="20"/>
              </w:rPr>
            </w:pPr>
            <w:r w:rsidRPr="00E00B35">
              <w:rPr>
                <w:szCs w:val="20"/>
              </w:rPr>
              <w:t>1 326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0,13 ha</w:t>
            </w:r>
          </w:p>
        </w:tc>
        <w:tc>
          <w:tcPr>
            <w:tcW w:w="1553" w:type="dxa"/>
          </w:tcPr>
          <w:p w:rsidR="007A4D59" w:rsidRPr="00E00B35" w:rsidRDefault="007A4D59" w:rsidP="00E00B35">
            <w:pPr>
              <w:spacing w:after="0" w:line="312" w:lineRule="auto"/>
              <w:rPr>
                <w:szCs w:val="20"/>
              </w:rPr>
            </w:pPr>
            <w:r w:rsidRPr="00E00B35">
              <w:rPr>
                <w:szCs w:val="20"/>
              </w:rPr>
              <w:t xml:space="preserve">3 439 396,90 </w:t>
            </w:r>
          </w:p>
        </w:tc>
        <w:tc>
          <w:tcPr>
            <w:tcW w:w="1438" w:type="dxa"/>
          </w:tcPr>
          <w:p w:rsidR="007A4D59" w:rsidRPr="00E00B35" w:rsidRDefault="007A4D59" w:rsidP="00E00B35">
            <w:pPr>
              <w:spacing w:after="0" w:line="312" w:lineRule="auto"/>
              <w:rPr>
                <w:szCs w:val="20"/>
              </w:rPr>
            </w:pPr>
            <w:r w:rsidRPr="00E00B35">
              <w:rPr>
                <w:szCs w:val="20"/>
              </w:rPr>
              <w:t xml:space="preserve">343 933,56 </w:t>
            </w:r>
          </w:p>
        </w:tc>
      </w:tr>
      <w:tr w:rsidR="007A4D59" w:rsidRPr="00E00B35" w:rsidTr="006D3493">
        <w:tc>
          <w:tcPr>
            <w:tcW w:w="728" w:type="dxa"/>
            <w:vAlign w:val="center"/>
          </w:tcPr>
          <w:p w:rsidR="007A4D59" w:rsidRPr="00E00B35" w:rsidRDefault="007A4D59" w:rsidP="00E00B35">
            <w:pPr>
              <w:spacing w:after="0" w:line="312" w:lineRule="auto"/>
              <w:rPr>
                <w:szCs w:val="20"/>
              </w:rPr>
            </w:pPr>
            <w:r w:rsidRPr="00E00B35">
              <w:rPr>
                <w:szCs w:val="20"/>
              </w:rPr>
              <w:t>2018</w:t>
            </w:r>
          </w:p>
        </w:tc>
        <w:tc>
          <w:tcPr>
            <w:tcW w:w="1392" w:type="dxa"/>
          </w:tcPr>
          <w:p w:rsidR="007A4D59" w:rsidRPr="00E00B35" w:rsidRDefault="007A4D59" w:rsidP="00E00B35">
            <w:pPr>
              <w:spacing w:after="0" w:line="312" w:lineRule="auto"/>
              <w:rPr>
                <w:szCs w:val="20"/>
              </w:rPr>
            </w:pPr>
            <w:r w:rsidRPr="00E00B35">
              <w:rPr>
                <w:szCs w:val="20"/>
              </w:rPr>
              <w:t>1 206 537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120,65 ha</w:t>
            </w:r>
          </w:p>
        </w:tc>
        <w:tc>
          <w:tcPr>
            <w:tcW w:w="1392" w:type="dxa"/>
          </w:tcPr>
          <w:p w:rsidR="007A4D59" w:rsidRPr="00E00B35" w:rsidRDefault="007A4D59" w:rsidP="00E00B35">
            <w:pPr>
              <w:spacing w:after="0" w:line="312" w:lineRule="auto"/>
              <w:rPr>
                <w:szCs w:val="20"/>
              </w:rPr>
            </w:pPr>
            <w:r w:rsidRPr="00E00B35">
              <w:rPr>
                <w:szCs w:val="20"/>
              </w:rPr>
              <w:t>461 717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46,17 ha</w:t>
            </w:r>
          </w:p>
        </w:tc>
        <w:tc>
          <w:tcPr>
            <w:tcW w:w="1392" w:type="dxa"/>
          </w:tcPr>
          <w:p w:rsidR="007A4D59" w:rsidRPr="00E00B35" w:rsidRDefault="007A4D59" w:rsidP="00E00B35">
            <w:pPr>
              <w:spacing w:after="0" w:line="312" w:lineRule="auto"/>
              <w:rPr>
                <w:szCs w:val="20"/>
              </w:rPr>
            </w:pPr>
            <w:r w:rsidRPr="00E00B35">
              <w:rPr>
                <w:szCs w:val="20"/>
              </w:rPr>
              <w:t>3 642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0,36 ha</w:t>
            </w:r>
          </w:p>
        </w:tc>
        <w:tc>
          <w:tcPr>
            <w:tcW w:w="1392" w:type="dxa"/>
          </w:tcPr>
          <w:p w:rsidR="007A4D59" w:rsidRPr="00E00B35" w:rsidRDefault="007A4D59" w:rsidP="00E00B35">
            <w:pPr>
              <w:spacing w:after="0" w:line="312" w:lineRule="auto"/>
              <w:rPr>
                <w:szCs w:val="20"/>
              </w:rPr>
            </w:pPr>
            <w:r w:rsidRPr="00E00B35">
              <w:rPr>
                <w:szCs w:val="20"/>
              </w:rPr>
              <w:t>3 642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0,36 ha</w:t>
            </w:r>
          </w:p>
        </w:tc>
        <w:tc>
          <w:tcPr>
            <w:tcW w:w="1553" w:type="dxa"/>
          </w:tcPr>
          <w:p w:rsidR="007A4D59" w:rsidRPr="00E00B35" w:rsidRDefault="007A4D59" w:rsidP="00E00B35">
            <w:pPr>
              <w:spacing w:after="0" w:line="312" w:lineRule="auto"/>
              <w:rPr>
                <w:szCs w:val="20"/>
              </w:rPr>
            </w:pPr>
            <w:r w:rsidRPr="00E00B35">
              <w:rPr>
                <w:szCs w:val="20"/>
              </w:rPr>
              <w:t xml:space="preserve">6 845 158,57 </w:t>
            </w:r>
          </w:p>
        </w:tc>
        <w:tc>
          <w:tcPr>
            <w:tcW w:w="1438" w:type="dxa"/>
          </w:tcPr>
          <w:p w:rsidR="007A4D59" w:rsidRPr="00E00B35" w:rsidRDefault="007A4D59" w:rsidP="00E00B35">
            <w:pPr>
              <w:spacing w:after="0" w:line="312" w:lineRule="auto"/>
              <w:rPr>
                <w:szCs w:val="20"/>
              </w:rPr>
            </w:pPr>
            <w:r w:rsidRPr="00E00B35">
              <w:rPr>
                <w:szCs w:val="20"/>
              </w:rPr>
              <w:t xml:space="preserve">684 516,40 </w:t>
            </w:r>
          </w:p>
        </w:tc>
      </w:tr>
      <w:tr w:rsidR="007A4D59" w:rsidRPr="00E00B35" w:rsidTr="006D3493">
        <w:tc>
          <w:tcPr>
            <w:tcW w:w="728" w:type="dxa"/>
            <w:vAlign w:val="center"/>
          </w:tcPr>
          <w:p w:rsidR="007A4D59" w:rsidRPr="00E00B35" w:rsidRDefault="007A4D59" w:rsidP="00E00B35">
            <w:pPr>
              <w:spacing w:after="0" w:line="312" w:lineRule="auto"/>
              <w:rPr>
                <w:szCs w:val="20"/>
              </w:rPr>
            </w:pPr>
            <w:r w:rsidRPr="00E00B35">
              <w:rPr>
                <w:szCs w:val="20"/>
              </w:rPr>
              <w:t>2019</w:t>
            </w:r>
          </w:p>
        </w:tc>
        <w:tc>
          <w:tcPr>
            <w:tcW w:w="1392" w:type="dxa"/>
          </w:tcPr>
          <w:p w:rsidR="007A4D59" w:rsidRPr="00E00B35" w:rsidRDefault="007A4D59" w:rsidP="00E00B35">
            <w:pPr>
              <w:spacing w:after="0" w:line="312" w:lineRule="auto"/>
              <w:rPr>
                <w:szCs w:val="20"/>
              </w:rPr>
            </w:pPr>
            <w:r w:rsidRPr="00E00B35">
              <w:rPr>
                <w:szCs w:val="20"/>
              </w:rPr>
              <w:t>564 250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56,43 ha</w:t>
            </w:r>
          </w:p>
        </w:tc>
        <w:tc>
          <w:tcPr>
            <w:tcW w:w="1392" w:type="dxa"/>
          </w:tcPr>
          <w:p w:rsidR="007A4D59" w:rsidRPr="00E00B35" w:rsidRDefault="007A4D59" w:rsidP="00E00B35">
            <w:pPr>
              <w:spacing w:after="0" w:line="312" w:lineRule="auto"/>
              <w:rPr>
                <w:szCs w:val="20"/>
              </w:rPr>
            </w:pPr>
            <w:r w:rsidRPr="00E00B35">
              <w:rPr>
                <w:szCs w:val="20"/>
              </w:rPr>
              <w:t>126 979 m</w:t>
            </w:r>
            <w:r w:rsidRPr="00E00B35">
              <w:rPr>
                <w:szCs w:val="20"/>
                <w:vertAlign w:val="superscript"/>
              </w:rPr>
              <w:t>2</w:t>
            </w:r>
          </w:p>
          <w:p w:rsidR="007A4D59" w:rsidRPr="00E00B35" w:rsidRDefault="007A4D59" w:rsidP="00E00B35">
            <w:pPr>
              <w:spacing w:after="0" w:line="312" w:lineRule="auto"/>
              <w:rPr>
                <w:szCs w:val="20"/>
              </w:rPr>
            </w:pPr>
            <w:r w:rsidRPr="00E00B35">
              <w:rPr>
                <w:szCs w:val="20"/>
              </w:rPr>
              <w:t>12,70 ha</w:t>
            </w:r>
          </w:p>
        </w:tc>
        <w:tc>
          <w:tcPr>
            <w:tcW w:w="1392" w:type="dxa"/>
          </w:tcPr>
          <w:p w:rsidR="007A4D59" w:rsidRPr="00E00B35" w:rsidRDefault="007A4D59" w:rsidP="00E00B35">
            <w:pPr>
              <w:spacing w:after="0" w:line="312" w:lineRule="auto"/>
              <w:rPr>
                <w:szCs w:val="20"/>
              </w:rPr>
            </w:pPr>
            <w:r w:rsidRPr="00E00B35">
              <w:rPr>
                <w:szCs w:val="20"/>
              </w:rPr>
              <w:t>10 601 m</w:t>
            </w:r>
            <w:r w:rsidRPr="00E00B35">
              <w:rPr>
                <w:szCs w:val="20"/>
                <w:vertAlign w:val="superscript"/>
              </w:rPr>
              <w:t xml:space="preserve">2 </w:t>
            </w:r>
          </w:p>
          <w:p w:rsidR="007A4D59" w:rsidRPr="00E00B35" w:rsidRDefault="007A4D59" w:rsidP="00E00B35">
            <w:pPr>
              <w:spacing w:after="0" w:line="312" w:lineRule="auto"/>
              <w:rPr>
                <w:szCs w:val="20"/>
              </w:rPr>
            </w:pPr>
            <w:r w:rsidRPr="00E00B35">
              <w:rPr>
                <w:szCs w:val="20"/>
              </w:rPr>
              <w:t>1,06 ha</w:t>
            </w:r>
          </w:p>
        </w:tc>
        <w:tc>
          <w:tcPr>
            <w:tcW w:w="1392" w:type="dxa"/>
          </w:tcPr>
          <w:p w:rsidR="007A4D59" w:rsidRPr="00E00B35" w:rsidRDefault="007A4D59" w:rsidP="00E00B35">
            <w:pPr>
              <w:spacing w:after="0" w:line="312" w:lineRule="auto"/>
              <w:rPr>
                <w:szCs w:val="20"/>
              </w:rPr>
            </w:pPr>
            <w:r w:rsidRPr="00E00B35">
              <w:rPr>
                <w:szCs w:val="20"/>
              </w:rPr>
              <w:t>10 601 m</w:t>
            </w:r>
            <w:r w:rsidRPr="00E00B35">
              <w:rPr>
                <w:szCs w:val="20"/>
                <w:vertAlign w:val="superscript"/>
              </w:rPr>
              <w:t xml:space="preserve">2 </w:t>
            </w:r>
          </w:p>
          <w:p w:rsidR="007A4D59" w:rsidRPr="00E00B35" w:rsidRDefault="007A4D59" w:rsidP="00E00B35">
            <w:pPr>
              <w:spacing w:after="0" w:line="312" w:lineRule="auto"/>
              <w:rPr>
                <w:szCs w:val="20"/>
              </w:rPr>
            </w:pPr>
            <w:r w:rsidRPr="00E00B35">
              <w:rPr>
                <w:szCs w:val="20"/>
              </w:rPr>
              <w:t>1,06 ha</w:t>
            </w:r>
          </w:p>
        </w:tc>
        <w:tc>
          <w:tcPr>
            <w:tcW w:w="1553" w:type="dxa"/>
          </w:tcPr>
          <w:p w:rsidR="007A4D59" w:rsidRPr="00E00B35" w:rsidRDefault="007A4D59" w:rsidP="00E00B35">
            <w:pPr>
              <w:spacing w:after="0" w:line="312" w:lineRule="auto"/>
              <w:rPr>
                <w:szCs w:val="20"/>
              </w:rPr>
            </w:pPr>
            <w:r w:rsidRPr="00E00B35">
              <w:rPr>
                <w:szCs w:val="20"/>
              </w:rPr>
              <w:t>4 404 203,25</w:t>
            </w:r>
          </w:p>
        </w:tc>
        <w:tc>
          <w:tcPr>
            <w:tcW w:w="1438" w:type="dxa"/>
          </w:tcPr>
          <w:p w:rsidR="007A4D59" w:rsidRPr="00E00B35" w:rsidRDefault="007A4D59" w:rsidP="00E00B35">
            <w:pPr>
              <w:spacing w:after="0" w:line="312" w:lineRule="auto"/>
              <w:rPr>
                <w:szCs w:val="20"/>
              </w:rPr>
            </w:pPr>
            <w:r w:rsidRPr="00E00B35">
              <w:rPr>
                <w:szCs w:val="20"/>
              </w:rPr>
              <w:t>440 419,89</w:t>
            </w:r>
          </w:p>
        </w:tc>
      </w:tr>
    </w:tbl>
    <w:p w:rsidR="007A4D59" w:rsidRPr="00E00B35" w:rsidRDefault="007A4D59" w:rsidP="00E00B35">
      <w:pPr>
        <w:spacing w:after="0" w:line="312" w:lineRule="auto"/>
        <w:rPr>
          <w:b/>
          <w:szCs w:val="20"/>
        </w:rPr>
      </w:pPr>
    </w:p>
    <w:p w:rsidR="007A4D59" w:rsidRPr="00E00B35" w:rsidRDefault="007A4D59" w:rsidP="00E00B35">
      <w:pPr>
        <w:spacing w:after="0" w:line="312" w:lineRule="auto"/>
        <w:rPr>
          <w:bCs/>
          <w:szCs w:val="20"/>
        </w:rPr>
      </w:pPr>
      <w:r w:rsidRPr="00E00B35">
        <w:rPr>
          <w:szCs w:val="20"/>
        </w:rPr>
        <w:t xml:space="preserve">Dla opracowywania rocznych sprawozdań przekazywanych do </w:t>
      </w:r>
      <w:r w:rsidRPr="00E00B35">
        <w:rPr>
          <w:bCs/>
          <w:szCs w:val="20"/>
        </w:rPr>
        <w:t>Urzędu Marszałkowskiego Województwa Dolnośląskiego Wydziału Geodezji i Kartografii ul. Dobrzyńska 21/23, 50-403 Wrocław</w:t>
      </w:r>
      <w:r w:rsidRPr="00E00B35">
        <w:rPr>
          <w:szCs w:val="20"/>
        </w:rPr>
        <w:t xml:space="preserve"> (RRW-11) i do </w:t>
      </w:r>
      <w:r w:rsidRPr="00E00B35">
        <w:rPr>
          <w:bCs/>
          <w:szCs w:val="20"/>
        </w:rPr>
        <w:t xml:space="preserve">Dolnośląskiego Biura Geodezji i Terenów Rolnych (RRW- 12) prowadzony jest szczegółowy rejestr powierzchni wyłączonych gruntów uwzględniający datę wniosku, numer sprawy, dane geodezyjne działek, informacje o planie zagospodarowania przestrzennego, pochodzenie gruntów, podział na klasy bonitacyjne, cel wyłączenia, ilość lokali mieszkalnych, wyliczoną należność oraz opłaty roczne. </w:t>
      </w:r>
    </w:p>
    <w:p w:rsidR="007A4D59" w:rsidRPr="00E00B35" w:rsidRDefault="007A4D59" w:rsidP="00E00B35">
      <w:pPr>
        <w:spacing w:after="0" w:line="312" w:lineRule="auto"/>
        <w:rPr>
          <w:bCs/>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Amatorski połów ryb</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Tekstpodstawowy2"/>
        <w:spacing w:after="0" w:line="312" w:lineRule="auto"/>
        <w:rPr>
          <w:b w:val="0"/>
          <w:bCs w:val="0"/>
          <w:color w:val="auto"/>
          <w:sz w:val="20"/>
          <w:szCs w:val="20"/>
        </w:rPr>
      </w:pPr>
      <w:r w:rsidRPr="00E00B35">
        <w:rPr>
          <w:b w:val="0"/>
          <w:color w:val="auto"/>
          <w:sz w:val="20"/>
          <w:szCs w:val="20"/>
        </w:rPr>
        <w:t>Wędkowanie jest bardzo popularnym sposobem spędzania wolnego czasu i cieszy się niesłabnącym zainteresowaniem wśród mieszkańców Wrocławia. W bazie danych pn. Wędkarstwo” figuruje 39 215 wędkarzy.</w:t>
      </w: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W 2020 roku wydano 749 nowe karty wędkarskie oraz 116 szt. ich duplikatów, a także 1 kartę łowiectwa podwodnego. Przedłużono termin ważności 61 dokumentów  Społecznym Strażnikom Rybackim.</w:t>
      </w: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Do 31 lipca 2020 r. na podstawie przepisów  ustawy z dnia 18 kwietnia 1985 r. o rybactwie śródlądowym, zarejestrowano  85 jednostek pływających służących do amatorskiego połowu ryb.  Wydano 3 duplikaty  zaświadczeń dla osób którym ten dokument zaginął lub uległ całkowitemu zniszczeniu. Ilość zarejestrowanego urządzeń służących do amatorskiego połowu ryb (łodzie/pontony) na dzień 30.06.2020 roku wynosiła  3 297  jednostek.</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Rejestracja jachtów i innych jednostek pływających o długości do 24 m</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W dniu 01.08.2020 roku weszła w życie  ustawa z dnia 12 kwietnia 2018 r.  o rejestracji jachtów i innych jednostek pływających o długości do 24 m (Dz.U.2018,poz.1137), której to  przepisy całkowicie zmieniły sposób rejestracji urządzeń pływających służących do amatorskiego połowu ryb.</w:t>
      </w: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 xml:space="preserve">Zgodnie z zapisami ww. ustawy rejestracji jednostki pływającej dokonuje organ rejestrujący (starosta) bez względu na miejsce zamieszkania jej posiadacza, wpisując </w:t>
      </w:r>
      <w:r w:rsidRPr="00E00B35">
        <w:rPr>
          <w:b w:val="0"/>
          <w:color w:val="auto"/>
          <w:sz w:val="20"/>
          <w:szCs w:val="20"/>
        </w:rPr>
        <w:lastRenderedPageBreak/>
        <w:t xml:space="preserve">jednostkę do ogólnokrajowego  systemu teleinformatycznego  jachtów i innych jednostek pływających o długości do 24 m, zwanego REJA24 stworzonego przez Urząd Morski w Szczecinie. Obowiązkowi rejestracji podlegają: jachty oraz jednostki pływające używane do amatorskiego połowu ryb, o długości większej niż 7,5 m lub napędzie mechanicznym o mocy większej niż 15 kW; jednostki pływające używane do połowów rybackich, jednostki pływające uprawiająca żeglugę poza terytorium Rzeczypospolitej Polskiej o ile nie posiada innej niż polska przynależności. W okresie 01.08.2020 - 31.12.2020 r. zarejestrowano we Wrocławia 21 jednostek(jachty morskie, jachty żaglowe, motorówki, skutery, łodzie). Wydano 21 zaświadczeń rejestracyjnych, oraz 21 dokumentów rejestracyjnych. Zarezerwowano jeden nr rejestracyjny oraz wydano jeden wyciąg z rejestru jachtów i innych jednostek pływających o długości do 24 m. </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Społeczna Straż Rybacka</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Tekstpodstawowy2"/>
        <w:spacing w:after="0" w:line="312" w:lineRule="auto"/>
        <w:rPr>
          <w:b w:val="0"/>
          <w:color w:val="auto"/>
          <w:sz w:val="20"/>
          <w:szCs w:val="20"/>
        </w:rPr>
      </w:pPr>
      <w:r w:rsidRPr="00E00B35">
        <w:rPr>
          <w:b w:val="0"/>
          <w:color w:val="auto"/>
          <w:sz w:val="20"/>
          <w:szCs w:val="20"/>
        </w:rPr>
        <w:t xml:space="preserve">Głównym zadaniem Społecznej Straży Rybackiej jest współdziałanie z Państwową Strażą Rybacką w zakresie kontroli przestrzegania przepisów ustawy o rybactwie śródlądowym oraz przepisów wydanych na jej podstawie. Nadzór specjalistyczny nad SSR sprawuje Wojewoda Dolnośląski poprzez Komendanta Wojewódzkiej Państwowej Straży Rybackiej we Wrocławiu. Koszt związane z funkcjonowaniem SSR ponosi Polski Związek Wędkarski. W 2020 roku SSR przeprowadziła 186 akcji kontrolnych. Skontrolowano 1 986 osób. Stwierdzono 32 przypadków naruszeń ustawy, nałożono 2 mandaty, a 30 spraw skierowano   do Sądów Koleżeńskich. Przedłużono termin ważności  legitymacji SSR  w 61 przypadkach. </w:t>
      </w:r>
    </w:p>
    <w:p w:rsidR="007A4D59" w:rsidRPr="00E00B35" w:rsidRDefault="007A4D59" w:rsidP="00E00B35">
      <w:pPr>
        <w:pStyle w:val="Tekstpodstawowy2"/>
        <w:spacing w:after="0" w:line="312" w:lineRule="auto"/>
        <w:rPr>
          <w:b w:val="0"/>
          <w:color w:val="auto"/>
          <w:sz w:val="20"/>
          <w:szCs w:val="20"/>
        </w:rPr>
      </w:pPr>
    </w:p>
    <w:p w:rsidR="007A4D59" w:rsidRPr="00E00B35" w:rsidRDefault="007A4D59" w:rsidP="00E00B35">
      <w:pPr>
        <w:pStyle w:val="Nagwek4"/>
        <w:spacing w:before="0" w:after="0" w:line="312" w:lineRule="auto"/>
        <w:rPr>
          <w:b w:val="0"/>
          <w:sz w:val="20"/>
          <w:szCs w:val="20"/>
        </w:rPr>
      </w:pPr>
      <w:r w:rsidRPr="00E00B35">
        <w:rPr>
          <w:b w:val="0"/>
          <w:sz w:val="20"/>
          <w:szCs w:val="20"/>
        </w:rPr>
        <w:t>Kontrole</w:t>
      </w:r>
    </w:p>
    <w:p w:rsidR="007A4D59" w:rsidRPr="00E00B35" w:rsidRDefault="007A4D59" w:rsidP="00E00B35">
      <w:pPr>
        <w:pStyle w:val="11Trescpisma"/>
        <w:suppressAutoHyphens/>
        <w:spacing w:before="0" w:after="0" w:line="312" w:lineRule="auto"/>
        <w:jc w:val="left"/>
        <w:rPr>
          <w:szCs w:val="20"/>
        </w:rPr>
      </w:pPr>
      <w:r w:rsidRPr="00E00B35">
        <w:rPr>
          <w:szCs w:val="20"/>
        </w:rPr>
        <w:t xml:space="preserve">Zgodnie z § 46 i §49 Zarządzenia Nr K/23/15 Prezydenta Wrocławia z dnia 16 października 2015 r. ws. Regulaminu zamówień publicznych udzielanych w UMW, we wrześniu 2020 r. została przeprowadzona kontrola Rejestru udzielonych zamówień w 2019 r. z wyłączeniem stosowania przepisów ustawy o zamówieniach publicznych w  WSR. </w:t>
      </w:r>
    </w:p>
    <w:p w:rsidR="007A4D59" w:rsidRPr="00E00B35" w:rsidRDefault="007A4D59" w:rsidP="00E00B35">
      <w:pPr>
        <w:suppressAutoHyphens/>
        <w:autoSpaceDE w:val="0"/>
        <w:autoSpaceDN w:val="0"/>
        <w:adjustRightInd w:val="0"/>
        <w:spacing w:after="0" w:line="312" w:lineRule="auto"/>
        <w:rPr>
          <w:szCs w:val="20"/>
        </w:rPr>
      </w:pPr>
      <w:r w:rsidRPr="00E00B35">
        <w:rPr>
          <w:rFonts w:eastAsia="Calibri" w:cs="Verdana"/>
          <w:szCs w:val="20"/>
        </w:rPr>
        <w:t xml:space="preserve">Kontrole z WZP w zakresie zamówień wyłączonych ze stosowania ustawy prawo zamówień publicznych, obejmują zawsze cały wcześniejszy rok. </w:t>
      </w:r>
      <w:r w:rsidRPr="00E00B35">
        <w:rPr>
          <w:szCs w:val="20"/>
        </w:rPr>
        <w:t>W protokole kontroli w oparciu o analizę dokumentacji stwierdzono , że zamówienia udzielone z wyłączeniem obowiązku stosowania ustawy PZP przez WSR w 2019 roku zostały przeprowadzone prawidłowo.</w:t>
      </w:r>
    </w:p>
    <w:p w:rsidR="007A4D59" w:rsidRPr="00E00B35" w:rsidRDefault="007A4D59" w:rsidP="00E00B35">
      <w:pPr>
        <w:suppressAutoHyphens/>
        <w:autoSpaceDE w:val="0"/>
        <w:autoSpaceDN w:val="0"/>
        <w:adjustRightInd w:val="0"/>
        <w:spacing w:after="0" w:line="312" w:lineRule="auto"/>
        <w:rPr>
          <w:b/>
          <w:szCs w:val="20"/>
        </w:rPr>
      </w:pPr>
    </w:p>
    <w:p w:rsidR="007A4D59" w:rsidRPr="00E00B35" w:rsidRDefault="007A4D59" w:rsidP="00E00B35">
      <w:pPr>
        <w:pStyle w:val="Nagwek5"/>
        <w:rPr>
          <w:szCs w:val="20"/>
        </w:rPr>
      </w:pPr>
      <w:r w:rsidRPr="00E00B35">
        <w:rPr>
          <w:szCs w:val="20"/>
        </w:rPr>
        <w:t>DZIAŁANIA W ZAKRESIE GEOLOGII</w:t>
      </w:r>
    </w:p>
    <w:p w:rsidR="007A4D59" w:rsidRPr="00E00B35" w:rsidRDefault="007A4D59" w:rsidP="00E00B35">
      <w:pPr>
        <w:spacing w:after="0" w:line="312" w:lineRule="auto"/>
        <w:rPr>
          <w:szCs w:val="20"/>
        </w:rPr>
      </w:pPr>
      <w:r w:rsidRPr="00E00B35">
        <w:rPr>
          <w:szCs w:val="20"/>
        </w:rPr>
        <w:t xml:space="preserve">W ramach realizacji zadań, należących do kompetencji starostów, w tym prezydentów miast na prawach powiatu, działających jako organ administracji geologicznej pierwszej instancji, w 2020 roku przeprowadzono 137 postępowania administracyjne kończące się wydaniem decyzji. </w:t>
      </w:r>
    </w:p>
    <w:p w:rsidR="007A4D59" w:rsidRPr="00E00B35" w:rsidRDefault="007A4D59" w:rsidP="00E00B35">
      <w:pPr>
        <w:spacing w:after="0" w:line="312" w:lineRule="auto"/>
        <w:rPr>
          <w:szCs w:val="20"/>
        </w:rPr>
      </w:pPr>
      <w:r w:rsidRPr="00E00B35">
        <w:rPr>
          <w:szCs w:val="20"/>
        </w:rPr>
        <w:t>Zgodnie z ustawą Prawo geologiczne i górnicze przeprowadzono m.in. postępowania w zakresie:</w:t>
      </w:r>
    </w:p>
    <w:p w:rsidR="007A4D59" w:rsidRPr="00E00B35" w:rsidRDefault="007A4D59" w:rsidP="00BC64AB">
      <w:pPr>
        <w:numPr>
          <w:ilvl w:val="0"/>
          <w:numId w:val="264"/>
        </w:numPr>
        <w:tabs>
          <w:tab w:val="left" w:pos="426"/>
        </w:tabs>
        <w:spacing w:after="0" w:line="312" w:lineRule="auto"/>
        <w:ind w:left="426" w:hanging="426"/>
        <w:rPr>
          <w:szCs w:val="20"/>
        </w:rPr>
      </w:pPr>
      <w:r w:rsidRPr="00E00B35">
        <w:rPr>
          <w:szCs w:val="20"/>
        </w:rPr>
        <w:lastRenderedPageBreak/>
        <w:t xml:space="preserve">zatwierdzania projektów prac geologiczno-inżynierskich oraz hydrogeologicznych (64 decyzje), </w:t>
      </w:r>
    </w:p>
    <w:p w:rsidR="007A4D59" w:rsidRPr="00E00B35" w:rsidRDefault="007A4D59" w:rsidP="00BC64AB">
      <w:pPr>
        <w:numPr>
          <w:ilvl w:val="0"/>
          <w:numId w:val="264"/>
        </w:numPr>
        <w:tabs>
          <w:tab w:val="left" w:pos="426"/>
        </w:tabs>
        <w:spacing w:after="0" w:line="312" w:lineRule="auto"/>
        <w:ind w:left="426" w:hanging="426"/>
        <w:rPr>
          <w:szCs w:val="20"/>
        </w:rPr>
      </w:pPr>
      <w:r w:rsidRPr="00E00B35">
        <w:rPr>
          <w:szCs w:val="20"/>
        </w:rPr>
        <w:t>zatwierdzania dokumentacji geologiczno-inżynierskich i hydrogeologicznych sporządzanych dla odwodnień wykopów budowlanych lub ujęć wód podziemnych o wydajności mniejszej niż 50 m</w:t>
      </w:r>
      <w:r w:rsidRPr="00E00B35">
        <w:rPr>
          <w:szCs w:val="20"/>
          <w:vertAlign w:val="superscript"/>
        </w:rPr>
        <w:t>3</w:t>
      </w:r>
      <w:r w:rsidRPr="00E00B35">
        <w:rPr>
          <w:szCs w:val="20"/>
        </w:rPr>
        <w:t>/h oraz inwestycji mogących negatywnie oddziaływać na wody podziemne (73 decyzje),</w:t>
      </w:r>
    </w:p>
    <w:p w:rsidR="007A4D59" w:rsidRPr="00E00B35" w:rsidRDefault="007A4D59" w:rsidP="00BC64AB">
      <w:pPr>
        <w:numPr>
          <w:ilvl w:val="0"/>
          <w:numId w:val="264"/>
        </w:numPr>
        <w:tabs>
          <w:tab w:val="left" w:pos="426"/>
        </w:tabs>
        <w:spacing w:after="0" w:line="312" w:lineRule="auto"/>
        <w:ind w:left="426" w:hanging="426"/>
        <w:rPr>
          <w:szCs w:val="20"/>
        </w:rPr>
      </w:pPr>
      <w:r w:rsidRPr="00E00B35">
        <w:rPr>
          <w:szCs w:val="20"/>
        </w:rPr>
        <w:t>przyjmowania zgłoszeń projektów i przekazanie dokumentacji geologicznych na wykorzystanie ciepła ziemi (13 zgłoszeń projektów i przekazanie 3 dokumentacji),</w:t>
      </w:r>
    </w:p>
    <w:p w:rsidR="007A4D59" w:rsidRPr="00E00B35" w:rsidRDefault="007A4D59" w:rsidP="00BC64AB">
      <w:pPr>
        <w:numPr>
          <w:ilvl w:val="0"/>
          <w:numId w:val="264"/>
        </w:numPr>
        <w:tabs>
          <w:tab w:val="left" w:pos="426"/>
        </w:tabs>
        <w:spacing w:after="0" w:line="312" w:lineRule="auto"/>
        <w:ind w:left="426" w:hanging="426"/>
        <w:rPr>
          <w:szCs w:val="20"/>
        </w:rPr>
      </w:pPr>
      <w:r w:rsidRPr="00E00B35">
        <w:rPr>
          <w:szCs w:val="20"/>
        </w:rPr>
        <w:t>opiniowania planów ruchu zakładów górniczych (1 opinia),</w:t>
      </w:r>
    </w:p>
    <w:p w:rsidR="007A4D59" w:rsidRPr="00E00B35" w:rsidRDefault="007A4D59" w:rsidP="00BC64AB">
      <w:pPr>
        <w:numPr>
          <w:ilvl w:val="0"/>
          <w:numId w:val="264"/>
        </w:numPr>
        <w:tabs>
          <w:tab w:val="left" w:pos="426"/>
        </w:tabs>
        <w:spacing w:after="0" w:line="312" w:lineRule="auto"/>
        <w:ind w:left="426" w:hanging="426"/>
        <w:rPr>
          <w:szCs w:val="20"/>
        </w:rPr>
      </w:pPr>
      <w:r w:rsidRPr="00E00B35">
        <w:rPr>
          <w:szCs w:val="20"/>
        </w:rPr>
        <w:t>opiniowania projektów robót geologicznych dla inwestycji na terenie miasta należących do kompetencji Marszałka Województwa (3 opinie),</w:t>
      </w:r>
    </w:p>
    <w:p w:rsidR="007A4D59" w:rsidRPr="00E00B35" w:rsidRDefault="007A4D59" w:rsidP="00BC64AB">
      <w:pPr>
        <w:numPr>
          <w:ilvl w:val="0"/>
          <w:numId w:val="264"/>
        </w:numPr>
        <w:tabs>
          <w:tab w:val="left" w:pos="426"/>
        </w:tabs>
        <w:spacing w:after="0" w:line="312" w:lineRule="auto"/>
        <w:ind w:left="426" w:hanging="426"/>
        <w:rPr>
          <w:szCs w:val="20"/>
        </w:rPr>
      </w:pPr>
      <w:r w:rsidRPr="00E00B35">
        <w:rPr>
          <w:szCs w:val="20"/>
        </w:rPr>
        <w:t>opiniowania w ramach realizacji postępowań o wydanie decyzji o środowiskowych uwarunkowaniach (4 opinie),</w:t>
      </w:r>
    </w:p>
    <w:p w:rsidR="007A4D59" w:rsidRPr="00E00B35" w:rsidRDefault="007A4D59" w:rsidP="00BC64AB">
      <w:pPr>
        <w:numPr>
          <w:ilvl w:val="0"/>
          <w:numId w:val="264"/>
        </w:numPr>
        <w:tabs>
          <w:tab w:val="left" w:pos="426"/>
        </w:tabs>
        <w:spacing w:after="0" w:line="312" w:lineRule="auto"/>
        <w:ind w:left="426" w:hanging="426"/>
        <w:rPr>
          <w:szCs w:val="20"/>
        </w:rPr>
      </w:pPr>
      <w:r w:rsidRPr="00E00B35">
        <w:rPr>
          <w:szCs w:val="20"/>
        </w:rPr>
        <w:t>gromadzenia i archiwizacji przekazywanych przez inwestorów opracowań geologicznych (projektów i dokumentacji geologicznych) (160 opracowań),</w:t>
      </w:r>
    </w:p>
    <w:p w:rsidR="007A4D59" w:rsidRPr="00E00B35" w:rsidRDefault="007A4D59" w:rsidP="00BC64AB">
      <w:pPr>
        <w:numPr>
          <w:ilvl w:val="0"/>
          <w:numId w:val="264"/>
        </w:numPr>
        <w:tabs>
          <w:tab w:val="left" w:pos="426"/>
        </w:tabs>
        <w:spacing w:after="0" w:line="312" w:lineRule="auto"/>
        <w:ind w:left="426" w:hanging="426"/>
        <w:rPr>
          <w:szCs w:val="20"/>
        </w:rPr>
      </w:pPr>
      <w:r w:rsidRPr="00E00B35">
        <w:rPr>
          <w:szCs w:val="20"/>
        </w:rPr>
        <w:t>udostępnienia informacji o środowisku i jego ochronie (30 udostępnień),</w:t>
      </w:r>
    </w:p>
    <w:p w:rsidR="007A4D59" w:rsidRPr="00E00B35" w:rsidRDefault="007A4D59" w:rsidP="00BC64AB">
      <w:pPr>
        <w:numPr>
          <w:ilvl w:val="0"/>
          <w:numId w:val="264"/>
        </w:numPr>
        <w:tabs>
          <w:tab w:val="left" w:pos="426"/>
        </w:tabs>
        <w:spacing w:after="0" w:line="312" w:lineRule="auto"/>
        <w:ind w:left="426" w:hanging="426"/>
        <w:rPr>
          <w:szCs w:val="20"/>
        </w:rPr>
      </w:pPr>
      <w:r w:rsidRPr="00E00B35">
        <w:rPr>
          <w:szCs w:val="20"/>
        </w:rPr>
        <w:t>kontroli i nadzoru (2 kontrole),</w:t>
      </w:r>
    </w:p>
    <w:p w:rsidR="007A4D59" w:rsidRPr="00E00B35" w:rsidRDefault="007A4D59" w:rsidP="00BC64AB">
      <w:pPr>
        <w:numPr>
          <w:ilvl w:val="0"/>
          <w:numId w:val="264"/>
        </w:numPr>
        <w:tabs>
          <w:tab w:val="left" w:pos="426"/>
        </w:tabs>
        <w:spacing w:after="0" w:line="312" w:lineRule="auto"/>
        <w:ind w:left="426" w:hanging="426"/>
        <w:rPr>
          <w:szCs w:val="20"/>
        </w:rPr>
      </w:pPr>
      <w:r w:rsidRPr="00E00B35">
        <w:rPr>
          <w:szCs w:val="20"/>
        </w:rPr>
        <w:t>przekazania do Państwowego Instytutu Geologicznego – Państwowego Instytutu Badawczego sprawozdania przedstawiającego zestawienie udokumentowanych zasobów wód podziemnych i wyników prac hydrogeologicznych za rok 2019 (1 sprawozdanie).</w:t>
      </w:r>
    </w:p>
    <w:p w:rsidR="007A4D59" w:rsidRPr="00E00B35" w:rsidRDefault="007A4D59" w:rsidP="00BC64AB">
      <w:pPr>
        <w:numPr>
          <w:ilvl w:val="0"/>
          <w:numId w:val="264"/>
        </w:numPr>
        <w:tabs>
          <w:tab w:val="left" w:pos="426"/>
        </w:tabs>
        <w:spacing w:after="0" w:line="312" w:lineRule="auto"/>
        <w:ind w:left="426" w:hanging="426"/>
        <w:rPr>
          <w:szCs w:val="20"/>
        </w:rPr>
      </w:pPr>
      <w:r w:rsidRPr="00E00B35">
        <w:rPr>
          <w:szCs w:val="20"/>
        </w:rPr>
        <w:t>Zatwierdzone zostały m.in. opracowania dla następujących inwestycji na terenie miasta Wrocławia:</w:t>
      </w:r>
    </w:p>
    <w:p w:rsidR="007A4D59" w:rsidRPr="00E00B35" w:rsidRDefault="007A4D59" w:rsidP="00BC64AB">
      <w:pPr>
        <w:pStyle w:val="Akapitzlist"/>
        <w:numPr>
          <w:ilvl w:val="0"/>
          <w:numId w:val="264"/>
        </w:numPr>
        <w:tabs>
          <w:tab w:val="left" w:pos="426"/>
        </w:tabs>
        <w:spacing w:after="0" w:line="312" w:lineRule="auto"/>
        <w:ind w:left="426" w:hanging="426"/>
        <w:contextualSpacing w:val="0"/>
        <w:rPr>
          <w:szCs w:val="20"/>
        </w:rPr>
      </w:pPr>
      <w:r w:rsidRPr="00E00B35">
        <w:rPr>
          <w:szCs w:val="20"/>
        </w:rPr>
        <w:t>Dodatek nr 1 do dokumentacji hydrogeologicznej zasobów wód podziemnych z utworów czwartorzędowych w kat. B dla Ogrodu Botanicznego we Wrocławiu,</w:t>
      </w:r>
    </w:p>
    <w:p w:rsidR="007A4D59" w:rsidRPr="00E00B35" w:rsidRDefault="007A4D59" w:rsidP="00BC64AB">
      <w:pPr>
        <w:pStyle w:val="Akapitzlist"/>
        <w:numPr>
          <w:ilvl w:val="0"/>
          <w:numId w:val="264"/>
        </w:numPr>
        <w:tabs>
          <w:tab w:val="left" w:pos="426"/>
        </w:tabs>
        <w:spacing w:after="0" w:line="312" w:lineRule="auto"/>
        <w:ind w:left="426" w:hanging="426"/>
        <w:contextualSpacing w:val="0"/>
        <w:rPr>
          <w:szCs w:val="20"/>
        </w:rPr>
      </w:pPr>
      <w:r w:rsidRPr="00E00B35">
        <w:rPr>
          <w:szCs w:val="20"/>
        </w:rPr>
        <w:t>Dokumentacja geologiczno-inżynierska dla potrzeb ustalenia warunków geologiczno-inżynierskich dla zadania: Rozbudowa stacji elektroenergetycznej 110/20/12 kV GPZ R-105 Swojec,</w:t>
      </w:r>
    </w:p>
    <w:p w:rsidR="007A4D59" w:rsidRPr="00E00B35" w:rsidRDefault="007A4D59" w:rsidP="00BC64AB">
      <w:pPr>
        <w:pStyle w:val="Akapitzlist"/>
        <w:numPr>
          <w:ilvl w:val="0"/>
          <w:numId w:val="264"/>
        </w:numPr>
        <w:tabs>
          <w:tab w:val="left" w:pos="426"/>
        </w:tabs>
        <w:spacing w:after="0" w:line="312" w:lineRule="auto"/>
        <w:ind w:left="426" w:hanging="426"/>
        <w:contextualSpacing w:val="0"/>
        <w:rPr>
          <w:szCs w:val="20"/>
        </w:rPr>
      </w:pPr>
      <w:r w:rsidRPr="00E00B35">
        <w:rPr>
          <w:szCs w:val="20"/>
        </w:rPr>
        <w:t>Dokumentacja geologiczno-inżynierska dla określenia warunków geologiczno-inżynierskich dla potrzeb wykonania „Projektu budowlanego i projektu wykonawczego dla zadania pn.: „Marszowice – modernizacja wałów rz. Bystrzycy, m. Wrocław”,</w:t>
      </w:r>
    </w:p>
    <w:p w:rsidR="007A4D59" w:rsidRPr="00E00B35" w:rsidRDefault="007A4D59" w:rsidP="00BC64AB">
      <w:pPr>
        <w:pStyle w:val="Akapitzlist"/>
        <w:numPr>
          <w:ilvl w:val="0"/>
          <w:numId w:val="264"/>
        </w:numPr>
        <w:tabs>
          <w:tab w:val="left" w:pos="426"/>
        </w:tabs>
        <w:spacing w:after="0" w:line="312" w:lineRule="auto"/>
        <w:ind w:left="426" w:hanging="426"/>
        <w:contextualSpacing w:val="0"/>
        <w:rPr>
          <w:szCs w:val="20"/>
        </w:rPr>
      </w:pPr>
      <w:r w:rsidRPr="00E00B35">
        <w:rPr>
          <w:szCs w:val="20"/>
        </w:rPr>
        <w:t>Dokumentacja geologiczno-inżynierska określającą warunki geologiczno-inżynierskie w rejonie projektowanej inwestycji p.n.: „Budowa torowiska tramwajowego i pętli tramwajowo-autobusowej oraz parkingu typu P+R wraz z infrastrukturą w ul. Rogowskiej, w ramach zadania p.n. „Budowa wydzielonej trasy autobusowo-tramwajowej łączącej osiedle Nowy Dwór z centrum Wrocławia”,</w:t>
      </w:r>
    </w:p>
    <w:p w:rsidR="007A4D59" w:rsidRPr="00E00B35" w:rsidRDefault="007A4D59" w:rsidP="00BC64AB">
      <w:pPr>
        <w:pStyle w:val="Akapitzlist"/>
        <w:numPr>
          <w:ilvl w:val="0"/>
          <w:numId w:val="264"/>
        </w:numPr>
        <w:tabs>
          <w:tab w:val="left" w:pos="426"/>
        </w:tabs>
        <w:spacing w:after="0" w:line="312" w:lineRule="auto"/>
        <w:ind w:left="426" w:hanging="426"/>
        <w:contextualSpacing w:val="0"/>
        <w:rPr>
          <w:szCs w:val="20"/>
        </w:rPr>
      </w:pPr>
      <w:r w:rsidRPr="00E00B35">
        <w:rPr>
          <w:szCs w:val="20"/>
        </w:rPr>
        <w:t>Dokumentacja geologiczno-inżynierska dla przebudowy ulicy Pomorskiej we Wrocławiu,</w:t>
      </w:r>
    </w:p>
    <w:p w:rsidR="007A4D59" w:rsidRPr="00E00B35" w:rsidRDefault="007A4D59" w:rsidP="00BC64AB">
      <w:pPr>
        <w:pStyle w:val="Akapitzlist"/>
        <w:numPr>
          <w:ilvl w:val="0"/>
          <w:numId w:val="264"/>
        </w:numPr>
        <w:tabs>
          <w:tab w:val="left" w:pos="426"/>
        </w:tabs>
        <w:spacing w:after="0" w:line="312" w:lineRule="auto"/>
        <w:ind w:left="426" w:hanging="426"/>
        <w:contextualSpacing w:val="0"/>
        <w:rPr>
          <w:szCs w:val="20"/>
        </w:rPr>
      </w:pPr>
      <w:r w:rsidRPr="00E00B35">
        <w:rPr>
          <w:szCs w:val="20"/>
        </w:rPr>
        <w:t>Dokumentacja geologiczno-inżynierska z rozpoznania warunków geologiczno-inżynierskich w podłożu działki nr 23/3 (AM-10, obręb Ratyń) przy ul. Augustyna Kośnego we Wrocławiu dla tematu „Budowa pompowni ścieków sanitarnych P2 na osiedlu Ratyń we Wrocławiu”,</w:t>
      </w:r>
    </w:p>
    <w:p w:rsidR="007A4D59" w:rsidRPr="00E00B35" w:rsidRDefault="007A4D59" w:rsidP="00BC64AB">
      <w:pPr>
        <w:pStyle w:val="Akapitzlist"/>
        <w:numPr>
          <w:ilvl w:val="0"/>
          <w:numId w:val="264"/>
        </w:numPr>
        <w:tabs>
          <w:tab w:val="left" w:pos="426"/>
        </w:tabs>
        <w:spacing w:after="0" w:line="312" w:lineRule="auto"/>
        <w:ind w:left="426" w:hanging="426"/>
        <w:contextualSpacing w:val="0"/>
        <w:rPr>
          <w:szCs w:val="20"/>
        </w:rPr>
      </w:pPr>
      <w:r w:rsidRPr="00E00B35">
        <w:rPr>
          <w:szCs w:val="20"/>
        </w:rPr>
        <w:lastRenderedPageBreak/>
        <w:t>Dokumentacja geologiczno-inżynierska dla budowy zbiornika retencyjnego o zwiększonej pojemności oraz niezbędnych elementów kanalizacji deszczowej w rejonie projektowanej pętli tramwajowo-autobusowej przy ulicy Kajdasza we Wrocławiu,</w:t>
      </w:r>
    </w:p>
    <w:p w:rsidR="007A4D59" w:rsidRPr="00E00B35" w:rsidRDefault="007A4D59" w:rsidP="00BC64AB">
      <w:pPr>
        <w:pStyle w:val="Akapitzlist"/>
        <w:numPr>
          <w:ilvl w:val="0"/>
          <w:numId w:val="264"/>
        </w:numPr>
        <w:tabs>
          <w:tab w:val="left" w:pos="426"/>
        </w:tabs>
        <w:spacing w:after="0" w:line="312" w:lineRule="auto"/>
        <w:ind w:left="426" w:hanging="426"/>
        <w:contextualSpacing w:val="0"/>
        <w:rPr>
          <w:szCs w:val="20"/>
        </w:rPr>
      </w:pPr>
      <w:r w:rsidRPr="00E00B35">
        <w:rPr>
          <w:szCs w:val="20"/>
        </w:rPr>
        <w:t>Dokumentacja geologiczno-inżynierska dla rozpoznania warunków geologiczno-inżynierskich w podłożu działki ewidencyjnej nr 21 (AM-32, obręb 05 Plac Grunwaldzki), położonej przy pl. Grunwaldzkim we Wrocławiu, w związku z rozbudową Kliniki Weterynaryjnej Chorób Zakaźnych BUNDYNEK B-1 UPWR o Centrum Eksperymentalnych Zakażeń Zwierząt.</w:t>
      </w:r>
    </w:p>
    <w:p w:rsidR="007A4D59" w:rsidRPr="00E00B35" w:rsidRDefault="007A4D59" w:rsidP="00E00B35">
      <w:pPr>
        <w:spacing w:after="0" w:line="312" w:lineRule="auto"/>
        <w:rPr>
          <w:b/>
          <w:szCs w:val="20"/>
        </w:rPr>
      </w:pPr>
    </w:p>
    <w:p w:rsidR="007A4D59" w:rsidRPr="00E00B35" w:rsidRDefault="007A4D59" w:rsidP="00E00B35">
      <w:pPr>
        <w:pStyle w:val="Nagwek4"/>
        <w:spacing w:before="0" w:after="0" w:line="312" w:lineRule="auto"/>
        <w:rPr>
          <w:sz w:val="20"/>
          <w:szCs w:val="20"/>
        </w:rPr>
      </w:pPr>
      <w:bookmarkStart w:id="789" w:name="_Toc71032657"/>
      <w:bookmarkStart w:id="790" w:name="_Toc71034632"/>
      <w:r w:rsidRPr="00E00B35">
        <w:rPr>
          <w:sz w:val="20"/>
          <w:szCs w:val="20"/>
        </w:rPr>
        <w:t>DZIAŁANIA WYNIKAJĄCE Z NADZORU DEPARTAMENTU NAD ZARZĄDEM CMENATRZY KOMUNLANYCH</w:t>
      </w:r>
      <w:bookmarkEnd w:id="789"/>
      <w:bookmarkEnd w:id="790"/>
    </w:p>
    <w:p w:rsidR="007A4D59" w:rsidRPr="00E00B35" w:rsidRDefault="007A4D59" w:rsidP="00E00B35">
      <w:pPr>
        <w:pStyle w:val="Nagwek5"/>
        <w:rPr>
          <w:szCs w:val="20"/>
        </w:rPr>
      </w:pPr>
      <w:r w:rsidRPr="00E00B35">
        <w:rPr>
          <w:szCs w:val="20"/>
        </w:rPr>
        <w:t>CMENTARZE KOMUNALNE</w:t>
      </w:r>
    </w:p>
    <w:p w:rsidR="007A4D59" w:rsidRPr="00E00B35" w:rsidRDefault="007A4D59" w:rsidP="00E00B35">
      <w:pPr>
        <w:spacing w:after="0" w:line="312" w:lineRule="auto"/>
        <w:rPr>
          <w:szCs w:val="20"/>
        </w:rPr>
      </w:pPr>
      <w:r w:rsidRPr="00E00B35">
        <w:rPr>
          <w:szCs w:val="20"/>
        </w:rPr>
        <w:t>Zarząd Cmentarzy Komunalnych zrealizował w 2020 r. w ramach zadań powierzonych Gminy prace w zakresie utrzymania cmentarzy i kwater wojennych położonych na terenie Wrocławia zgodnie z porozumieniem zawartym między Wojewodą Dolnośląskim a Gminą. W zakres w/w zadania wchodziły prace pielęgnacyjno – porządkowe oraz naprawcze na terenie cmentarzy i kwater wojennych oraz przygotowanie cmentarzy do uroczystości. Ich wartość w 2020 r. wyniosła 119 287,13 zł brutto. Powyższe zadanie jest finansowane z dotacji celowej otrzymywanej z budżetu państwa. Zestawienie ogólnej ilości dostępnych miejsc grzebalnych na cmentarzach komunalnych z liczbą pochówków wykonywanych w ciągu roku  (bez uwzględnienia zagrożenia nagłą nieprzewidywalną tendencją wzrostową spowodowaną stanem pandemii COVID-19) wykazuje, iż za około 9 lat wyczerpie się liczba miejsc na cmentarzach komunalnych, stanowiąc tym samym istotne wyzwanie inwestycyjne dla Wrocławia.</w:t>
      </w:r>
    </w:p>
    <w:p w:rsidR="007A4D59" w:rsidRPr="00E00B35" w:rsidRDefault="007A4D59" w:rsidP="00E00B35">
      <w:pPr>
        <w:spacing w:after="0" w:line="312" w:lineRule="auto"/>
        <w:rPr>
          <w:szCs w:val="20"/>
        </w:rPr>
      </w:pPr>
      <w:r w:rsidRPr="00E00B35">
        <w:rPr>
          <w:szCs w:val="20"/>
        </w:rPr>
        <w:t>W 2020 r. Zarząd Cmentarzy Komunalnych nie realizował żadnych zadań inwestycyjnych o charakterze ogólnogminnym.</w:t>
      </w:r>
    </w:p>
    <w:p w:rsidR="007A4D59" w:rsidRPr="00E00B35" w:rsidRDefault="007A4D59" w:rsidP="00E00B35">
      <w:pPr>
        <w:spacing w:after="0" w:line="312" w:lineRule="auto"/>
        <w:rPr>
          <w:szCs w:val="20"/>
        </w:rPr>
      </w:pPr>
    </w:p>
    <w:p w:rsidR="007A4D59" w:rsidRPr="00E00B35" w:rsidRDefault="007A4D59" w:rsidP="00E00B35">
      <w:pPr>
        <w:spacing w:after="0" w:line="312" w:lineRule="auto"/>
        <w:rPr>
          <w:szCs w:val="20"/>
        </w:rPr>
      </w:pPr>
      <w:r w:rsidRPr="00E00B35">
        <w:rPr>
          <w:szCs w:val="20"/>
        </w:rPr>
        <w:t>Zestawienie ilości miejsc na cmentarzach komunalnych we Wrocławiu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7"/>
        <w:gridCol w:w="1972"/>
        <w:gridCol w:w="1720"/>
        <w:gridCol w:w="1975"/>
        <w:gridCol w:w="1766"/>
      </w:tblGrid>
      <w:tr w:rsidR="007A4D59" w:rsidRPr="00E00B35" w:rsidTr="006D3493">
        <w:trPr>
          <w:trHeight w:val="468"/>
        </w:trPr>
        <w:tc>
          <w:tcPr>
            <w:tcW w:w="2268" w:type="dxa"/>
            <w:vMerge w:val="restart"/>
            <w:shd w:val="clear" w:color="auto" w:fill="auto"/>
            <w:vAlign w:val="center"/>
          </w:tcPr>
          <w:p w:rsidR="007A4D59" w:rsidRPr="00E00B35" w:rsidRDefault="007A4D59" w:rsidP="00E00B35">
            <w:pPr>
              <w:spacing w:after="0" w:line="312" w:lineRule="auto"/>
              <w:rPr>
                <w:szCs w:val="20"/>
              </w:rPr>
            </w:pPr>
            <w:r w:rsidRPr="00E00B35">
              <w:rPr>
                <w:szCs w:val="20"/>
              </w:rPr>
              <w:t>Cmentarz</w:t>
            </w:r>
          </w:p>
        </w:tc>
        <w:tc>
          <w:tcPr>
            <w:tcW w:w="2977" w:type="dxa"/>
            <w:vMerge w:val="restart"/>
            <w:shd w:val="clear" w:color="auto" w:fill="auto"/>
            <w:vAlign w:val="center"/>
          </w:tcPr>
          <w:p w:rsidR="007A4D59" w:rsidRPr="00E00B35" w:rsidRDefault="007A4D59" w:rsidP="00E00B35">
            <w:pPr>
              <w:spacing w:after="0" w:line="312" w:lineRule="auto"/>
              <w:rPr>
                <w:szCs w:val="20"/>
              </w:rPr>
            </w:pPr>
            <w:r w:rsidRPr="00E00B35">
              <w:rPr>
                <w:szCs w:val="20"/>
              </w:rPr>
              <w:t>Ilość miejsc grzebalnych ogółem</w:t>
            </w:r>
          </w:p>
        </w:tc>
        <w:tc>
          <w:tcPr>
            <w:tcW w:w="8789" w:type="dxa"/>
            <w:gridSpan w:val="3"/>
            <w:shd w:val="clear" w:color="auto" w:fill="auto"/>
            <w:vAlign w:val="center"/>
          </w:tcPr>
          <w:p w:rsidR="007A4D59" w:rsidRPr="00E00B35" w:rsidRDefault="007A4D59" w:rsidP="00E00B35">
            <w:pPr>
              <w:spacing w:after="0" w:line="312" w:lineRule="auto"/>
              <w:rPr>
                <w:szCs w:val="20"/>
              </w:rPr>
            </w:pPr>
            <w:r w:rsidRPr="00E00B35">
              <w:rPr>
                <w:szCs w:val="20"/>
              </w:rPr>
              <w:t>Ilość dostępnych miejsc grzebalnych</w:t>
            </w:r>
          </w:p>
        </w:tc>
      </w:tr>
      <w:tr w:rsidR="007A4D59" w:rsidRPr="00E00B35" w:rsidTr="006D3493">
        <w:tc>
          <w:tcPr>
            <w:tcW w:w="2268" w:type="dxa"/>
            <w:vMerge/>
            <w:shd w:val="clear" w:color="auto" w:fill="auto"/>
            <w:vAlign w:val="center"/>
          </w:tcPr>
          <w:p w:rsidR="007A4D59" w:rsidRPr="00E00B35" w:rsidRDefault="007A4D59" w:rsidP="00E00B35">
            <w:pPr>
              <w:spacing w:after="0" w:line="312" w:lineRule="auto"/>
              <w:rPr>
                <w:szCs w:val="20"/>
              </w:rPr>
            </w:pPr>
          </w:p>
        </w:tc>
        <w:tc>
          <w:tcPr>
            <w:tcW w:w="2977" w:type="dxa"/>
            <w:vMerge/>
            <w:shd w:val="clear" w:color="auto" w:fill="auto"/>
            <w:vAlign w:val="center"/>
          </w:tcPr>
          <w:p w:rsidR="007A4D59" w:rsidRPr="00E00B35" w:rsidRDefault="007A4D59" w:rsidP="00E00B35">
            <w:pPr>
              <w:spacing w:after="0" w:line="312" w:lineRule="auto"/>
              <w:rPr>
                <w:szCs w:val="20"/>
              </w:rPr>
            </w:pPr>
          </w:p>
        </w:tc>
        <w:tc>
          <w:tcPr>
            <w:tcW w:w="3131" w:type="dxa"/>
            <w:shd w:val="clear" w:color="auto" w:fill="auto"/>
            <w:vAlign w:val="center"/>
          </w:tcPr>
          <w:p w:rsidR="007A4D59" w:rsidRPr="00E00B35" w:rsidRDefault="007A4D59" w:rsidP="00E00B35">
            <w:pPr>
              <w:spacing w:after="0" w:line="312" w:lineRule="auto"/>
              <w:rPr>
                <w:szCs w:val="20"/>
              </w:rPr>
            </w:pPr>
            <w:r w:rsidRPr="00E00B35">
              <w:rPr>
                <w:szCs w:val="20"/>
              </w:rPr>
              <w:t>ogółem</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tradycyjnych</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urnowych</w:t>
            </w:r>
          </w:p>
        </w:tc>
      </w:tr>
      <w:tr w:rsidR="007A4D59" w:rsidRPr="00E00B35" w:rsidTr="006D3493">
        <w:tc>
          <w:tcPr>
            <w:tcW w:w="2268" w:type="dxa"/>
            <w:shd w:val="clear" w:color="auto" w:fill="auto"/>
            <w:vAlign w:val="center"/>
          </w:tcPr>
          <w:p w:rsidR="007A4D59" w:rsidRPr="00E00B35" w:rsidRDefault="007A4D59" w:rsidP="00E00B35">
            <w:pPr>
              <w:spacing w:after="0" w:line="312" w:lineRule="auto"/>
              <w:rPr>
                <w:szCs w:val="20"/>
              </w:rPr>
            </w:pPr>
            <w:r w:rsidRPr="00E00B35">
              <w:rPr>
                <w:szCs w:val="20"/>
              </w:rPr>
              <w:t>Osobowice</w:t>
            </w:r>
          </w:p>
        </w:tc>
        <w:tc>
          <w:tcPr>
            <w:tcW w:w="2977" w:type="dxa"/>
            <w:shd w:val="clear" w:color="auto" w:fill="auto"/>
            <w:vAlign w:val="center"/>
          </w:tcPr>
          <w:p w:rsidR="007A4D59" w:rsidRPr="00E00B35" w:rsidRDefault="007A4D59" w:rsidP="00E00B35">
            <w:pPr>
              <w:spacing w:after="0" w:line="312" w:lineRule="auto"/>
              <w:rPr>
                <w:szCs w:val="20"/>
              </w:rPr>
            </w:pPr>
            <w:r w:rsidRPr="00E00B35">
              <w:rPr>
                <w:szCs w:val="20"/>
              </w:rPr>
              <w:t>122940</w:t>
            </w:r>
          </w:p>
        </w:tc>
        <w:tc>
          <w:tcPr>
            <w:tcW w:w="3131" w:type="dxa"/>
            <w:shd w:val="clear" w:color="auto" w:fill="auto"/>
            <w:vAlign w:val="center"/>
          </w:tcPr>
          <w:p w:rsidR="007A4D59" w:rsidRPr="00E00B35" w:rsidRDefault="007A4D59" w:rsidP="00E00B35">
            <w:pPr>
              <w:spacing w:after="0" w:line="312" w:lineRule="auto"/>
              <w:rPr>
                <w:szCs w:val="20"/>
              </w:rPr>
            </w:pPr>
            <w:r w:rsidRPr="00E00B35">
              <w:rPr>
                <w:szCs w:val="20"/>
              </w:rPr>
              <w:t>130</w:t>
            </w:r>
          </w:p>
        </w:tc>
        <w:tc>
          <w:tcPr>
            <w:tcW w:w="2829" w:type="dxa"/>
            <w:shd w:val="clear" w:color="auto" w:fill="auto"/>
            <w:vAlign w:val="center"/>
          </w:tcPr>
          <w:p w:rsidR="007A4D59" w:rsidRPr="00E00B35" w:rsidRDefault="007A4D59" w:rsidP="00E00B35">
            <w:pPr>
              <w:tabs>
                <w:tab w:val="left" w:pos="1581"/>
              </w:tabs>
              <w:spacing w:after="0" w:line="312" w:lineRule="auto"/>
              <w:rPr>
                <w:szCs w:val="20"/>
              </w:rPr>
            </w:pPr>
            <w:r w:rsidRPr="00E00B35">
              <w:rPr>
                <w:szCs w:val="20"/>
              </w:rPr>
              <w:t>50</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80</w:t>
            </w:r>
          </w:p>
        </w:tc>
      </w:tr>
      <w:tr w:rsidR="007A4D59" w:rsidRPr="00E00B35" w:rsidTr="006D3493">
        <w:tc>
          <w:tcPr>
            <w:tcW w:w="2268" w:type="dxa"/>
            <w:shd w:val="clear" w:color="auto" w:fill="auto"/>
            <w:vAlign w:val="center"/>
          </w:tcPr>
          <w:p w:rsidR="007A4D59" w:rsidRPr="00E00B35" w:rsidRDefault="007A4D59" w:rsidP="00E00B35">
            <w:pPr>
              <w:spacing w:after="0" w:line="312" w:lineRule="auto"/>
              <w:rPr>
                <w:szCs w:val="20"/>
              </w:rPr>
            </w:pPr>
            <w:r w:rsidRPr="00E00B35">
              <w:rPr>
                <w:szCs w:val="20"/>
              </w:rPr>
              <w:t>Grabiszyn</w:t>
            </w:r>
          </w:p>
        </w:tc>
        <w:tc>
          <w:tcPr>
            <w:tcW w:w="2977" w:type="dxa"/>
            <w:shd w:val="clear" w:color="auto" w:fill="auto"/>
            <w:vAlign w:val="center"/>
          </w:tcPr>
          <w:p w:rsidR="007A4D59" w:rsidRPr="00E00B35" w:rsidRDefault="007A4D59" w:rsidP="00E00B35">
            <w:pPr>
              <w:spacing w:after="0" w:line="312" w:lineRule="auto"/>
              <w:rPr>
                <w:szCs w:val="20"/>
              </w:rPr>
            </w:pPr>
            <w:r w:rsidRPr="00E00B35">
              <w:rPr>
                <w:szCs w:val="20"/>
              </w:rPr>
              <w:t>58500</w:t>
            </w:r>
          </w:p>
        </w:tc>
        <w:tc>
          <w:tcPr>
            <w:tcW w:w="3131" w:type="dxa"/>
            <w:shd w:val="clear" w:color="auto" w:fill="auto"/>
            <w:vAlign w:val="center"/>
          </w:tcPr>
          <w:p w:rsidR="007A4D59" w:rsidRPr="00E00B35" w:rsidRDefault="007A4D59" w:rsidP="00E00B35">
            <w:pPr>
              <w:spacing w:after="0" w:line="312" w:lineRule="auto"/>
              <w:rPr>
                <w:szCs w:val="20"/>
              </w:rPr>
            </w:pPr>
            <w:r w:rsidRPr="00E00B35">
              <w:rPr>
                <w:szCs w:val="20"/>
              </w:rPr>
              <w:t>200</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200</w:t>
            </w:r>
          </w:p>
        </w:tc>
      </w:tr>
      <w:tr w:rsidR="007A4D59" w:rsidRPr="00E00B35" w:rsidTr="006D3493">
        <w:tc>
          <w:tcPr>
            <w:tcW w:w="2268" w:type="dxa"/>
            <w:shd w:val="clear" w:color="auto" w:fill="auto"/>
            <w:vAlign w:val="center"/>
          </w:tcPr>
          <w:p w:rsidR="007A4D59" w:rsidRPr="00E00B35" w:rsidRDefault="007A4D59" w:rsidP="00E00B35">
            <w:pPr>
              <w:spacing w:after="0" w:line="312" w:lineRule="auto"/>
              <w:rPr>
                <w:szCs w:val="20"/>
              </w:rPr>
            </w:pPr>
            <w:r w:rsidRPr="00E00B35">
              <w:rPr>
                <w:szCs w:val="20"/>
              </w:rPr>
              <w:t xml:space="preserve">Psie Pole </w:t>
            </w:r>
          </w:p>
        </w:tc>
        <w:tc>
          <w:tcPr>
            <w:tcW w:w="2977" w:type="dxa"/>
            <w:shd w:val="clear" w:color="auto" w:fill="auto"/>
            <w:vAlign w:val="center"/>
          </w:tcPr>
          <w:p w:rsidR="007A4D59" w:rsidRPr="00E00B35" w:rsidRDefault="007A4D59" w:rsidP="00E00B35">
            <w:pPr>
              <w:spacing w:after="0" w:line="312" w:lineRule="auto"/>
              <w:rPr>
                <w:szCs w:val="20"/>
              </w:rPr>
            </w:pPr>
            <w:r w:rsidRPr="00E00B35">
              <w:rPr>
                <w:szCs w:val="20"/>
              </w:rPr>
              <w:t>26000</w:t>
            </w:r>
          </w:p>
        </w:tc>
        <w:tc>
          <w:tcPr>
            <w:tcW w:w="3131" w:type="dxa"/>
            <w:shd w:val="clear" w:color="auto" w:fill="auto"/>
            <w:vAlign w:val="center"/>
          </w:tcPr>
          <w:p w:rsidR="007A4D59" w:rsidRPr="00E00B35" w:rsidRDefault="007A4D59" w:rsidP="00E00B35">
            <w:pPr>
              <w:spacing w:after="0" w:line="312" w:lineRule="auto"/>
              <w:rPr>
                <w:szCs w:val="20"/>
              </w:rPr>
            </w:pPr>
            <w:r w:rsidRPr="00E00B35">
              <w:rPr>
                <w:szCs w:val="20"/>
              </w:rPr>
              <w:t>13590</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11090</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2500</w:t>
            </w:r>
          </w:p>
        </w:tc>
      </w:tr>
      <w:tr w:rsidR="007A4D59" w:rsidRPr="00E00B35" w:rsidTr="006D3493">
        <w:tc>
          <w:tcPr>
            <w:tcW w:w="2268" w:type="dxa"/>
            <w:shd w:val="clear" w:color="auto" w:fill="auto"/>
            <w:vAlign w:val="center"/>
          </w:tcPr>
          <w:p w:rsidR="007A4D59" w:rsidRPr="00E00B35" w:rsidRDefault="007A4D59" w:rsidP="00E00B35">
            <w:pPr>
              <w:spacing w:after="0" w:line="312" w:lineRule="auto"/>
              <w:rPr>
                <w:szCs w:val="20"/>
              </w:rPr>
            </w:pPr>
            <w:r w:rsidRPr="00E00B35">
              <w:rPr>
                <w:szCs w:val="20"/>
              </w:rPr>
              <w:t>Jerzmanowo</w:t>
            </w:r>
          </w:p>
        </w:tc>
        <w:tc>
          <w:tcPr>
            <w:tcW w:w="2977" w:type="dxa"/>
            <w:shd w:val="clear" w:color="auto" w:fill="auto"/>
            <w:vAlign w:val="center"/>
          </w:tcPr>
          <w:p w:rsidR="007A4D59" w:rsidRPr="00E00B35" w:rsidRDefault="007A4D59" w:rsidP="00E00B35">
            <w:pPr>
              <w:spacing w:after="0" w:line="312" w:lineRule="auto"/>
              <w:rPr>
                <w:szCs w:val="20"/>
              </w:rPr>
            </w:pPr>
            <w:r w:rsidRPr="00E00B35">
              <w:rPr>
                <w:szCs w:val="20"/>
              </w:rPr>
              <w:t>3700</w:t>
            </w:r>
          </w:p>
        </w:tc>
        <w:tc>
          <w:tcPr>
            <w:tcW w:w="3131" w:type="dxa"/>
            <w:shd w:val="clear" w:color="auto" w:fill="auto"/>
            <w:vAlign w:val="center"/>
          </w:tcPr>
          <w:p w:rsidR="007A4D59" w:rsidRPr="00E00B35" w:rsidRDefault="007A4D59" w:rsidP="00E00B35">
            <w:pPr>
              <w:spacing w:after="0" w:line="312" w:lineRule="auto"/>
              <w:rPr>
                <w:szCs w:val="20"/>
              </w:rPr>
            </w:pPr>
            <w:r w:rsidRPr="00E00B35">
              <w:rPr>
                <w:szCs w:val="20"/>
              </w:rPr>
              <w:t>110</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110</w:t>
            </w:r>
          </w:p>
        </w:tc>
      </w:tr>
      <w:tr w:rsidR="007A4D59" w:rsidRPr="00E00B35" w:rsidTr="006D3493">
        <w:tc>
          <w:tcPr>
            <w:tcW w:w="2268" w:type="dxa"/>
            <w:shd w:val="clear" w:color="auto" w:fill="auto"/>
            <w:vAlign w:val="center"/>
          </w:tcPr>
          <w:p w:rsidR="007A4D59" w:rsidRPr="00E00B35" w:rsidRDefault="007A4D59" w:rsidP="00E00B35">
            <w:pPr>
              <w:spacing w:after="0" w:line="312" w:lineRule="auto"/>
              <w:rPr>
                <w:szCs w:val="20"/>
              </w:rPr>
            </w:pPr>
            <w:r w:rsidRPr="00E00B35">
              <w:rPr>
                <w:szCs w:val="20"/>
              </w:rPr>
              <w:t xml:space="preserve">Pawłowice </w:t>
            </w:r>
          </w:p>
        </w:tc>
        <w:tc>
          <w:tcPr>
            <w:tcW w:w="2977" w:type="dxa"/>
            <w:shd w:val="clear" w:color="auto" w:fill="auto"/>
            <w:vAlign w:val="center"/>
          </w:tcPr>
          <w:p w:rsidR="007A4D59" w:rsidRPr="00E00B35" w:rsidRDefault="007A4D59" w:rsidP="00E00B35">
            <w:pPr>
              <w:spacing w:after="0" w:line="312" w:lineRule="auto"/>
              <w:rPr>
                <w:szCs w:val="20"/>
              </w:rPr>
            </w:pPr>
            <w:r w:rsidRPr="00E00B35">
              <w:rPr>
                <w:szCs w:val="20"/>
              </w:rPr>
              <w:t>3900</w:t>
            </w:r>
          </w:p>
        </w:tc>
        <w:tc>
          <w:tcPr>
            <w:tcW w:w="3131" w:type="dxa"/>
            <w:shd w:val="clear" w:color="auto" w:fill="auto"/>
            <w:vAlign w:val="center"/>
          </w:tcPr>
          <w:p w:rsidR="007A4D59" w:rsidRPr="00E00B35" w:rsidRDefault="007A4D59" w:rsidP="00E00B35">
            <w:pPr>
              <w:spacing w:after="0" w:line="312" w:lineRule="auto"/>
              <w:rPr>
                <w:szCs w:val="20"/>
              </w:rPr>
            </w:pPr>
            <w:r w:rsidRPr="00E00B35">
              <w:rPr>
                <w:szCs w:val="20"/>
              </w:rPr>
              <w:t>290</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140</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150</w:t>
            </w:r>
          </w:p>
        </w:tc>
      </w:tr>
      <w:tr w:rsidR="007A4D59" w:rsidRPr="00E00B35" w:rsidTr="006D3493">
        <w:tc>
          <w:tcPr>
            <w:tcW w:w="2268" w:type="dxa"/>
            <w:shd w:val="clear" w:color="auto" w:fill="auto"/>
            <w:vAlign w:val="center"/>
          </w:tcPr>
          <w:p w:rsidR="007A4D59" w:rsidRPr="00E00B35" w:rsidRDefault="007A4D59" w:rsidP="00E00B35">
            <w:pPr>
              <w:spacing w:after="0" w:line="312" w:lineRule="auto"/>
              <w:rPr>
                <w:szCs w:val="20"/>
              </w:rPr>
            </w:pPr>
            <w:r w:rsidRPr="00E00B35">
              <w:rPr>
                <w:szCs w:val="20"/>
              </w:rPr>
              <w:t>Leśnica</w:t>
            </w:r>
          </w:p>
        </w:tc>
        <w:tc>
          <w:tcPr>
            <w:tcW w:w="2977" w:type="dxa"/>
            <w:shd w:val="clear" w:color="auto" w:fill="auto"/>
            <w:vAlign w:val="center"/>
          </w:tcPr>
          <w:p w:rsidR="007A4D59" w:rsidRPr="00E00B35" w:rsidRDefault="007A4D59" w:rsidP="00E00B35">
            <w:pPr>
              <w:spacing w:after="0" w:line="312" w:lineRule="auto"/>
              <w:rPr>
                <w:szCs w:val="20"/>
              </w:rPr>
            </w:pPr>
            <w:r w:rsidRPr="00E00B35">
              <w:rPr>
                <w:szCs w:val="20"/>
              </w:rPr>
              <w:t>2800</w:t>
            </w:r>
          </w:p>
        </w:tc>
        <w:tc>
          <w:tcPr>
            <w:tcW w:w="3131" w:type="dxa"/>
            <w:shd w:val="clear" w:color="auto" w:fill="auto"/>
            <w:vAlign w:val="center"/>
          </w:tcPr>
          <w:p w:rsidR="007A4D59" w:rsidRPr="00E00B35" w:rsidRDefault="007A4D59" w:rsidP="00E00B35">
            <w:pPr>
              <w:spacing w:after="0" w:line="312" w:lineRule="auto"/>
              <w:rPr>
                <w:szCs w:val="20"/>
              </w:rPr>
            </w:pPr>
            <w:r w:rsidRPr="00E00B35">
              <w:rPr>
                <w:szCs w:val="20"/>
              </w:rPr>
              <w:t>30</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w:t>
            </w:r>
          </w:p>
        </w:tc>
        <w:tc>
          <w:tcPr>
            <w:tcW w:w="2829" w:type="dxa"/>
            <w:shd w:val="clear" w:color="auto" w:fill="auto"/>
            <w:vAlign w:val="center"/>
          </w:tcPr>
          <w:p w:rsidR="007A4D59" w:rsidRPr="00E00B35" w:rsidRDefault="007A4D59" w:rsidP="00E00B35">
            <w:pPr>
              <w:tabs>
                <w:tab w:val="left" w:pos="1584"/>
              </w:tabs>
              <w:spacing w:after="0" w:line="312" w:lineRule="auto"/>
              <w:rPr>
                <w:szCs w:val="20"/>
              </w:rPr>
            </w:pPr>
            <w:r w:rsidRPr="00E00B35">
              <w:rPr>
                <w:szCs w:val="20"/>
              </w:rPr>
              <w:t>30</w:t>
            </w:r>
          </w:p>
        </w:tc>
      </w:tr>
      <w:tr w:rsidR="007A4D59" w:rsidRPr="00E00B35" w:rsidTr="006D3493">
        <w:tc>
          <w:tcPr>
            <w:tcW w:w="2268" w:type="dxa"/>
            <w:shd w:val="clear" w:color="auto" w:fill="auto"/>
            <w:vAlign w:val="center"/>
          </w:tcPr>
          <w:p w:rsidR="007A4D59" w:rsidRPr="00E00B35" w:rsidRDefault="007A4D59" w:rsidP="00E00B35">
            <w:pPr>
              <w:spacing w:after="0" w:line="312" w:lineRule="auto"/>
              <w:rPr>
                <w:szCs w:val="20"/>
              </w:rPr>
            </w:pPr>
            <w:r w:rsidRPr="00E00B35">
              <w:rPr>
                <w:szCs w:val="20"/>
              </w:rPr>
              <w:t>RAZEM</w:t>
            </w:r>
          </w:p>
        </w:tc>
        <w:tc>
          <w:tcPr>
            <w:tcW w:w="2977" w:type="dxa"/>
            <w:shd w:val="clear" w:color="auto" w:fill="auto"/>
            <w:vAlign w:val="center"/>
          </w:tcPr>
          <w:p w:rsidR="007A4D59" w:rsidRPr="00E00B35" w:rsidRDefault="007A4D59" w:rsidP="00E00B35">
            <w:pPr>
              <w:spacing w:after="0" w:line="312" w:lineRule="auto"/>
              <w:rPr>
                <w:szCs w:val="20"/>
              </w:rPr>
            </w:pPr>
            <w:r w:rsidRPr="00E00B35">
              <w:rPr>
                <w:szCs w:val="20"/>
              </w:rPr>
              <w:t>217840</w:t>
            </w:r>
          </w:p>
        </w:tc>
        <w:tc>
          <w:tcPr>
            <w:tcW w:w="3131" w:type="dxa"/>
            <w:shd w:val="clear" w:color="auto" w:fill="auto"/>
            <w:vAlign w:val="center"/>
          </w:tcPr>
          <w:p w:rsidR="007A4D59" w:rsidRPr="00E00B35" w:rsidRDefault="007A4D59" w:rsidP="00E00B35">
            <w:pPr>
              <w:spacing w:after="0" w:line="312" w:lineRule="auto"/>
              <w:rPr>
                <w:szCs w:val="20"/>
              </w:rPr>
            </w:pPr>
            <w:r w:rsidRPr="00E00B35">
              <w:rPr>
                <w:szCs w:val="20"/>
              </w:rPr>
              <w:t>14350</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11280</w:t>
            </w:r>
          </w:p>
        </w:tc>
        <w:tc>
          <w:tcPr>
            <w:tcW w:w="2829" w:type="dxa"/>
            <w:shd w:val="clear" w:color="auto" w:fill="auto"/>
            <w:vAlign w:val="center"/>
          </w:tcPr>
          <w:p w:rsidR="007A4D59" w:rsidRPr="00E00B35" w:rsidRDefault="007A4D59" w:rsidP="00E00B35">
            <w:pPr>
              <w:spacing w:after="0" w:line="312" w:lineRule="auto"/>
              <w:rPr>
                <w:szCs w:val="20"/>
              </w:rPr>
            </w:pPr>
            <w:r w:rsidRPr="00E00B35">
              <w:rPr>
                <w:szCs w:val="20"/>
              </w:rPr>
              <w:t>3070</w:t>
            </w:r>
          </w:p>
        </w:tc>
      </w:tr>
    </w:tbl>
    <w:p w:rsidR="007A4D59" w:rsidRPr="00E00B35" w:rsidRDefault="007A4D59" w:rsidP="00E00B35">
      <w:pPr>
        <w:pStyle w:val="Stopka"/>
        <w:spacing w:after="0" w:line="312" w:lineRule="auto"/>
        <w:rPr>
          <w:szCs w:val="20"/>
        </w:rPr>
      </w:pPr>
    </w:p>
    <w:p w:rsidR="007A4D59" w:rsidRPr="00E00B35" w:rsidRDefault="007A4D59" w:rsidP="00E00B35">
      <w:pPr>
        <w:pStyle w:val="Stopka"/>
        <w:spacing w:after="0" w:line="312" w:lineRule="auto"/>
        <w:rPr>
          <w:szCs w:val="20"/>
        </w:rPr>
      </w:pPr>
      <w:r w:rsidRPr="00E00B35">
        <w:rPr>
          <w:szCs w:val="20"/>
        </w:rPr>
        <w:t>Zestawienie ilości pochówków na terenie cmentarzy komunalnych we Wrocławiu oraz wykonanych kremacji w 2020r.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9"/>
        <w:gridCol w:w="831"/>
        <w:gridCol w:w="2596"/>
        <w:gridCol w:w="792"/>
        <w:gridCol w:w="745"/>
        <w:gridCol w:w="756"/>
        <w:gridCol w:w="756"/>
        <w:gridCol w:w="725"/>
      </w:tblGrid>
      <w:tr w:rsidR="007A4D59" w:rsidRPr="00E00B35" w:rsidTr="006D3493">
        <w:tc>
          <w:tcPr>
            <w:tcW w:w="9932" w:type="dxa"/>
            <w:gridSpan w:val="3"/>
            <w:vMerge w:val="restart"/>
            <w:vAlign w:val="center"/>
          </w:tcPr>
          <w:p w:rsidR="007A4D59" w:rsidRPr="00E00B35" w:rsidRDefault="007A4D59" w:rsidP="00E00B35">
            <w:pPr>
              <w:spacing w:after="0" w:line="312" w:lineRule="auto"/>
              <w:rPr>
                <w:szCs w:val="20"/>
              </w:rPr>
            </w:pPr>
            <w:r w:rsidRPr="00E00B35">
              <w:rPr>
                <w:szCs w:val="20"/>
              </w:rPr>
              <w:t>Informacja o wykonaniu zadań</w:t>
            </w:r>
          </w:p>
        </w:tc>
        <w:tc>
          <w:tcPr>
            <w:tcW w:w="4180" w:type="dxa"/>
            <w:gridSpan w:val="5"/>
          </w:tcPr>
          <w:p w:rsidR="007A4D59" w:rsidRPr="00E00B35" w:rsidRDefault="007A4D59" w:rsidP="00E00B35">
            <w:pPr>
              <w:spacing w:after="0" w:line="312" w:lineRule="auto"/>
              <w:rPr>
                <w:szCs w:val="20"/>
              </w:rPr>
            </w:pPr>
            <w:r w:rsidRPr="00E00B35">
              <w:rPr>
                <w:szCs w:val="20"/>
              </w:rPr>
              <w:t>Rok</w:t>
            </w:r>
          </w:p>
        </w:tc>
      </w:tr>
      <w:tr w:rsidR="007A4D59" w:rsidRPr="00E00B35" w:rsidTr="006D3493">
        <w:tc>
          <w:tcPr>
            <w:tcW w:w="9932" w:type="dxa"/>
            <w:gridSpan w:val="3"/>
            <w:vMerge/>
          </w:tcPr>
          <w:p w:rsidR="007A4D59" w:rsidRPr="00E00B35" w:rsidRDefault="007A4D59" w:rsidP="00E00B35">
            <w:pPr>
              <w:spacing w:after="0" w:line="312" w:lineRule="auto"/>
              <w:rPr>
                <w:szCs w:val="20"/>
              </w:rPr>
            </w:pPr>
          </w:p>
        </w:tc>
        <w:tc>
          <w:tcPr>
            <w:tcW w:w="975" w:type="dxa"/>
            <w:shd w:val="clear" w:color="auto" w:fill="auto"/>
            <w:vAlign w:val="center"/>
          </w:tcPr>
          <w:p w:rsidR="007A4D59" w:rsidRPr="00E00B35" w:rsidRDefault="007A4D59" w:rsidP="00E00B35">
            <w:pPr>
              <w:spacing w:after="0" w:line="312" w:lineRule="auto"/>
              <w:rPr>
                <w:szCs w:val="20"/>
              </w:rPr>
            </w:pPr>
            <w:r w:rsidRPr="00E00B35">
              <w:rPr>
                <w:szCs w:val="20"/>
              </w:rPr>
              <w:t>2020</w:t>
            </w:r>
          </w:p>
        </w:tc>
        <w:tc>
          <w:tcPr>
            <w:tcW w:w="799" w:type="dxa"/>
          </w:tcPr>
          <w:p w:rsidR="007A4D59" w:rsidRPr="00E00B35" w:rsidRDefault="007A4D59" w:rsidP="00E00B35">
            <w:pPr>
              <w:spacing w:after="0" w:line="312" w:lineRule="auto"/>
              <w:rPr>
                <w:bCs/>
                <w:szCs w:val="20"/>
              </w:rPr>
            </w:pPr>
            <w:r w:rsidRPr="00E00B35">
              <w:rPr>
                <w:bCs/>
                <w:szCs w:val="20"/>
              </w:rPr>
              <w:t>2019</w:t>
            </w:r>
          </w:p>
        </w:tc>
        <w:tc>
          <w:tcPr>
            <w:tcW w:w="841" w:type="dxa"/>
            <w:shd w:val="clear" w:color="auto" w:fill="auto"/>
            <w:vAlign w:val="center"/>
          </w:tcPr>
          <w:p w:rsidR="007A4D59" w:rsidRPr="00E00B35" w:rsidRDefault="007A4D59" w:rsidP="00E00B35">
            <w:pPr>
              <w:spacing w:after="0" w:line="312" w:lineRule="auto"/>
              <w:rPr>
                <w:bCs/>
                <w:szCs w:val="20"/>
              </w:rPr>
            </w:pPr>
            <w:r w:rsidRPr="00E00B35">
              <w:rPr>
                <w:bCs/>
                <w:szCs w:val="20"/>
              </w:rPr>
              <w:t>2018</w:t>
            </w:r>
          </w:p>
        </w:tc>
        <w:tc>
          <w:tcPr>
            <w:tcW w:w="840" w:type="dxa"/>
            <w:shd w:val="clear" w:color="auto" w:fill="auto"/>
            <w:vAlign w:val="center"/>
          </w:tcPr>
          <w:p w:rsidR="007A4D59" w:rsidRPr="00E00B35" w:rsidRDefault="007A4D59" w:rsidP="00E00B35">
            <w:pPr>
              <w:spacing w:after="0" w:line="312" w:lineRule="auto"/>
              <w:rPr>
                <w:szCs w:val="20"/>
              </w:rPr>
            </w:pPr>
            <w:r w:rsidRPr="00E00B35">
              <w:rPr>
                <w:szCs w:val="20"/>
              </w:rPr>
              <w:t>2017</w:t>
            </w:r>
          </w:p>
        </w:tc>
        <w:tc>
          <w:tcPr>
            <w:tcW w:w="725" w:type="dxa"/>
            <w:shd w:val="clear" w:color="auto" w:fill="auto"/>
            <w:vAlign w:val="center"/>
          </w:tcPr>
          <w:p w:rsidR="007A4D59" w:rsidRPr="00E00B35" w:rsidRDefault="007A4D59" w:rsidP="00E00B35">
            <w:pPr>
              <w:spacing w:after="0" w:line="312" w:lineRule="auto"/>
              <w:rPr>
                <w:szCs w:val="20"/>
              </w:rPr>
            </w:pPr>
            <w:r w:rsidRPr="00E00B35">
              <w:rPr>
                <w:szCs w:val="20"/>
              </w:rPr>
              <w:t>2016</w:t>
            </w:r>
          </w:p>
        </w:tc>
      </w:tr>
      <w:tr w:rsidR="007A4D59" w:rsidRPr="00E00B35" w:rsidTr="006D3493">
        <w:tc>
          <w:tcPr>
            <w:tcW w:w="3152" w:type="dxa"/>
            <w:vMerge w:val="restart"/>
          </w:tcPr>
          <w:p w:rsidR="007A4D59" w:rsidRPr="00E00B35" w:rsidRDefault="007A4D59" w:rsidP="00E00B35">
            <w:pPr>
              <w:spacing w:after="0" w:line="312" w:lineRule="auto"/>
              <w:rPr>
                <w:szCs w:val="20"/>
              </w:rPr>
            </w:pPr>
            <w:r w:rsidRPr="00E00B35">
              <w:rPr>
                <w:szCs w:val="20"/>
              </w:rPr>
              <w:t>Ilość pochówków na cmentarzach komunalnych we Wrocławiu</w:t>
            </w:r>
          </w:p>
        </w:tc>
        <w:tc>
          <w:tcPr>
            <w:tcW w:w="6780" w:type="dxa"/>
            <w:gridSpan w:val="2"/>
          </w:tcPr>
          <w:p w:rsidR="007A4D59" w:rsidRPr="00E00B35" w:rsidRDefault="007A4D59" w:rsidP="00E00B35">
            <w:pPr>
              <w:spacing w:after="0" w:line="312" w:lineRule="auto"/>
              <w:rPr>
                <w:szCs w:val="20"/>
              </w:rPr>
            </w:pPr>
            <w:r w:rsidRPr="00E00B35">
              <w:rPr>
                <w:szCs w:val="20"/>
              </w:rPr>
              <w:t xml:space="preserve">Ogółem </w:t>
            </w:r>
          </w:p>
        </w:tc>
        <w:tc>
          <w:tcPr>
            <w:tcW w:w="975" w:type="dxa"/>
            <w:shd w:val="clear" w:color="auto" w:fill="auto"/>
            <w:vAlign w:val="center"/>
          </w:tcPr>
          <w:p w:rsidR="007A4D59" w:rsidRPr="00E00B35" w:rsidRDefault="007A4D59" w:rsidP="00E00B35">
            <w:pPr>
              <w:spacing w:after="0" w:line="312" w:lineRule="auto"/>
              <w:rPr>
                <w:szCs w:val="20"/>
              </w:rPr>
            </w:pPr>
            <w:r w:rsidRPr="00E00B35">
              <w:rPr>
                <w:szCs w:val="20"/>
              </w:rPr>
              <w:t>5504</w:t>
            </w:r>
          </w:p>
        </w:tc>
        <w:tc>
          <w:tcPr>
            <w:tcW w:w="799" w:type="dxa"/>
          </w:tcPr>
          <w:p w:rsidR="007A4D59" w:rsidRPr="00E00B35" w:rsidRDefault="007A4D59" w:rsidP="00E00B35">
            <w:pPr>
              <w:spacing w:after="0" w:line="312" w:lineRule="auto"/>
              <w:rPr>
                <w:bCs/>
                <w:szCs w:val="20"/>
              </w:rPr>
            </w:pPr>
            <w:r w:rsidRPr="00E00B35">
              <w:rPr>
                <w:bCs/>
                <w:szCs w:val="20"/>
              </w:rPr>
              <w:t>4898</w:t>
            </w:r>
          </w:p>
        </w:tc>
        <w:tc>
          <w:tcPr>
            <w:tcW w:w="841" w:type="dxa"/>
            <w:shd w:val="clear" w:color="auto" w:fill="auto"/>
            <w:vAlign w:val="center"/>
          </w:tcPr>
          <w:p w:rsidR="007A4D59" w:rsidRPr="00E00B35" w:rsidRDefault="007A4D59" w:rsidP="00E00B35">
            <w:pPr>
              <w:spacing w:after="0" w:line="312" w:lineRule="auto"/>
              <w:rPr>
                <w:bCs/>
                <w:szCs w:val="20"/>
              </w:rPr>
            </w:pPr>
            <w:r w:rsidRPr="00E00B35">
              <w:rPr>
                <w:bCs/>
                <w:szCs w:val="20"/>
              </w:rPr>
              <w:t>4837</w:t>
            </w:r>
          </w:p>
        </w:tc>
        <w:tc>
          <w:tcPr>
            <w:tcW w:w="840" w:type="dxa"/>
            <w:shd w:val="clear" w:color="auto" w:fill="auto"/>
            <w:vAlign w:val="center"/>
          </w:tcPr>
          <w:p w:rsidR="007A4D59" w:rsidRPr="00E00B35" w:rsidRDefault="007A4D59" w:rsidP="00E00B35">
            <w:pPr>
              <w:spacing w:after="0" w:line="312" w:lineRule="auto"/>
              <w:rPr>
                <w:szCs w:val="20"/>
              </w:rPr>
            </w:pPr>
            <w:r w:rsidRPr="00E00B35">
              <w:rPr>
                <w:szCs w:val="20"/>
              </w:rPr>
              <w:t>4949</w:t>
            </w:r>
          </w:p>
        </w:tc>
        <w:tc>
          <w:tcPr>
            <w:tcW w:w="725" w:type="dxa"/>
            <w:shd w:val="clear" w:color="auto" w:fill="auto"/>
            <w:vAlign w:val="center"/>
          </w:tcPr>
          <w:p w:rsidR="007A4D59" w:rsidRPr="00E00B35" w:rsidRDefault="007A4D59" w:rsidP="00E00B35">
            <w:pPr>
              <w:spacing w:after="0" w:line="312" w:lineRule="auto"/>
              <w:rPr>
                <w:szCs w:val="20"/>
              </w:rPr>
            </w:pPr>
            <w:r w:rsidRPr="00E00B35">
              <w:rPr>
                <w:szCs w:val="20"/>
              </w:rPr>
              <w:t>4680</w:t>
            </w:r>
          </w:p>
        </w:tc>
      </w:tr>
      <w:tr w:rsidR="007A4D59" w:rsidRPr="00E00B35" w:rsidTr="006D3493">
        <w:tc>
          <w:tcPr>
            <w:tcW w:w="3152" w:type="dxa"/>
            <w:vMerge/>
          </w:tcPr>
          <w:p w:rsidR="007A4D59" w:rsidRPr="00E00B35" w:rsidRDefault="007A4D59" w:rsidP="00E00B35">
            <w:pPr>
              <w:spacing w:after="0" w:line="312" w:lineRule="auto"/>
              <w:rPr>
                <w:szCs w:val="20"/>
              </w:rPr>
            </w:pPr>
          </w:p>
        </w:tc>
        <w:tc>
          <w:tcPr>
            <w:tcW w:w="1194" w:type="dxa"/>
            <w:vMerge w:val="restart"/>
            <w:vAlign w:val="center"/>
          </w:tcPr>
          <w:p w:rsidR="007A4D59" w:rsidRPr="00E00B35" w:rsidRDefault="007A4D59" w:rsidP="00E00B35">
            <w:pPr>
              <w:spacing w:after="0" w:line="312" w:lineRule="auto"/>
              <w:rPr>
                <w:szCs w:val="20"/>
              </w:rPr>
            </w:pPr>
            <w:r w:rsidRPr="00E00B35">
              <w:rPr>
                <w:szCs w:val="20"/>
              </w:rPr>
              <w:t>W tym:</w:t>
            </w:r>
          </w:p>
        </w:tc>
        <w:tc>
          <w:tcPr>
            <w:tcW w:w="5586" w:type="dxa"/>
            <w:shd w:val="clear" w:color="auto" w:fill="auto"/>
            <w:vAlign w:val="center"/>
          </w:tcPr>
          <w:p w:rsidR="007A4D59" w:rsidRPr="00E00B35" w:rsidRDefault="007A4D59" w:rsidP="00E00B35">
            <w:pPr>
              <w:spacing w:after="0" w:line="312" w:lineRule="auto"/>
              <w:rPr>
                <w:szCs w:val="20"/>
              </w:rPr>
            </w:pPr>
            <w:r w:rsidRPr="00E00B35">
              <w:rPr>
                <w:szCs w:val="20"/>
              </w:rPr>
              <w:t>tradycyjnych</w:t>
            </w:r>
          </w:p>
        </w:tc>
        <w:tc>
          <w:tcPr>
            <w:tcW w:w="975" w:type="dxa"/>
            <w:shd w:val="clear" w:color="auto" w:fill="auto"/>
            <w:vAlign w:val="center"/>
          </w:tcPr>
          <w:p w:rsidR="007A4D59" w:rsidRPr="00E00B35" w:rsidRDefault="007A4D59" w:rsidP="00E00B35">
            <w:pPr>
              <w:spacing w:after="0" w:line="312" w:lineRule="auto"/>
              <w:rPr>
                <w:szCs w:val="20"/>
              </w:rPr>
            </w:pPr>
            <w:r w:rsidRPr="00E00B35">
              <w:rPr>
                <w:szCs w:val="20"/>
              </w:rPr>
              <w:t>1385</w:t>
            </w:r>
          </w:p>
        </w:tc>
        <w:tc>
          <w:tcPr>
            <w:tcW w:w="799" w:type="dxa"/>
          </w:tcPr>
          <w:p w:rsidR="007A4D59" w:rsidRPr="00E00B35" w:rsidRDefault="007A4D59" w:rsidP="00E00B35">
            <w:pPr>
              <w:spacing w:after="0" w:line="312" w:lineRule="auto"/>
              <w:rPr>
                <w:bCs/>
                <w:szCs w:val="20"/>
              </w:rPr>
            </w:pPr>
            <w:r w:rsidRPr="00E00B35">
              <w:rPr>
                <w:bCs/>
                <w:szCs w:val="20"/>
              </w:rPr>
              <w:t>1253</w:t>
            </w:r>
          </w:p>
        </w:tc>
        <w:tc>
          <w:tcPr>
            <w:tcW w:w="841" w:type="dxa"/>
            <w:shd w:val="clear" w:color="auto" w:fill="auto"/>
            <w:vAlign w:val="center"/>
          </w:tcPr>
          <w:p w:rsidR="007A4D59" w:rsidRPr="00E00B35" w:rsidRDefault="007A4D59" w:rsidP="00E00B35">
            <w:pPr>
              <w:spacing w:after="0" w:line="312" w:lineRule="auto"/>
              <w:rPr>
                <w:bCs/>
                <w:szCs w:val="20"/>
              </w:rPr>
            </w:pPr>
            <w:r w:rsidRPr="00E00B35">
              <w:rPr>
                <w:bCs/>
                <w:szCs w:val="20"/>
              </w:rPr>
              <w:t>1343</w:t>
            </w:r>
          </w:p>
        </w:tc>
        <w:tc>
          <w:tcPr>
            <w:tcW w:w="840" w:type="dxa"/>
            <w:shd w:val="clear" w:color="auto" w:fill="auto"/>
            <w:vAlign w:val="center"/>
          </w:tcPr>
          <w:p w:rsidR="007A4D59" w:rsidRPr="00E00B35" w:rsidRDefault="007A4D59" w:rsidP="00E00B35">
            <w:pPr>
              <w:spacing w:after="0" w:line="312" w:lineRule="auto"/>
              <w:rPr>
                <w:szCs w:val="20"/>
              </w:rPr>
            </w:pPr>
            <w:r w:rsidRPr="00E00B35">
              <w:rPr>
                <w:szCs w:val="20"/>
              </w:rPr>
              <w:t>1413</w:t>
            </w:r>
          </w:p>
        </w:tc>
        <w:tc>
          <w:tcPr>
            <w:tcW w:w="725" w:type="dxa"/>
            <w:shd w:val="clear" w:color="auto" w:fill="auto"/>
            <w:vAlign w:val="center"/>
          </w:tcPr>
          <w:p w:rsidR="007A4D59" w:rsidRPr="00E00B35" w:rsidRDefault="007A4D59" w:rsidP="00E00B35">
            <w:pPr>
              <w:spacing w:after="0" w:line="312" w:lineRule="auto"/>
              <w:rPr>
                <w:szCs w:val="20"/>
              </w:rPr>
            </w:pPr>
            <w:r w:rsidRPr="00E00B35">
              <w:rPr>
                <w:szCs w:val="20"/>
              </w:rPr>
              <w:t>1557</w:t>
            </w:r>
          </w:p>
        </w:tc>
      </w:tr>
      <w:tr w:rsidR="007A4D59" w:rsidRPr="00E00B35" w:rsidTr="006D3493">
        <w:tc>
          <w:tcPr>
            <w:tcW w:w="3152" w:type="dxa"/>
            <w:vMerge/>
          </w:tcPr>
          <w:p w:rsidR="007A4D59" w:rsidRPr="00E00B35" w:rsidRDefault="007A4D59" w:rsidP="00E00B35">
            <w:pPr>
              <w:spacing w:after="0" w:line="312" w:lineRule="auto"/>
              <w:rPr>
                <w:szCs w:val="20"/>
              </w:rPr>
            </w:pPr>
          </w:p>
        </w:tc>
        <w:tc>
          <w:tcPr>
            <w:tcW w:w="1194" w:type="dxa"/>
            <w:vMerge/>
          </w:tcPr>
          <w:p w:rsidR="007A4D59" w:rsidRPr="00E00B35" w:rsidRDefault="007A4D59" w:rsidP="00E00B35">
            <w:pPr>
              <w:spacing w:after="0" w:line="312" w:lineRule="auto"/>
              <w:rPr>
                <w:szCs w:val="20"/>
              </w:rPr>
            </w:pPr>
          </w:p>
        </w:tc>
        <w:tc>
          <w:tcPr>
            <w:tcW w:w="5586" w:type="dxa"/>
            <w:shd w:val="clear" w:color="auto" w:fill="auto"/>
            <w:vAlign w:val="center"/>
          </w:tcPr>
          <w:p w:rsidR="007A4D59" w:rsidRPr="00E00B35" w:rsidRDefault="007A4D59" w:rsidP="00E00B35">
            <w:pPr>
              <w:spacing w:after="0" w:line="312" w:lineRule="auto"/>
              <w:rPr>
                <w:szCs w:val="20"/>
              </w:rPr>
            </w:pPr>
            <w:r w:rsidRPr="00E00B35">
              <w:rPr>
                <w:szCs w:val="20"/>
              </w:rPr>
              <w:t>urnowych</w:t>
            </w:r>
          </w:p>
        </w:tc>
        <w:tc>
          <w:tcPr>
            <w:tcW w:w="975" w:type="dxa"/>
            <w:shd w:val="clear" w:color="auto" w:fill="auto"/>
            <w:vAlign w:val="center"/>
          </w:tcPr>
          <w:p w:rsidR="007A4D59" w:rsidRPr="00E00B35" w:rsidRDefault="007A4D59" w:rsidP="00E00B35">
            <w:pPr>
              <w:spacing w:after="0" w:line="312" w:lineRule="auto"/>
              <w:rPr>
                <w:szCs w:val="20"/>
              </w:rPr>
            </w:pPr>
            <w:r w:rsidRPr="00E00B35">
              <w:rPr>
                <w:szCs w:val="20"/>
              </w:rPr>
              <w:t>4119</w:t>
            </w:r>
          </w:p>
        </w:tc>
        <w:tc>
          <w:tcPr>
            <w:tcW w:w="799" w:type="dxa"/>
          </w:tcPr>
          <w:p w:rsidR="007A4D59" w:rsidRPr="00E00B35" w:rsidRDefault="007A4D59" w:rsidP="00E00B35">
            <w:pPr>
              <w:spacing w:after="0" w:line="312" w:lineRule="auto"/>
              <w:rPr>
                <w:bCs/>
                <w:szCs w:val="20"/>
              </w:rPr>
            </w:pPr>
            <w:r w:rsidRPr="00E00B35">
              <w:rPr>
                <w:bCs/>
                <w:szCs w:val="20"/>
              </w:rPr>
              <w:t>3645</w:t>
            </w:r>
          </w:p>
        </w:tc>
        <w:tc>
          <w:tcPr>
            <w:tcW w:w="841" w:type="dxa"/>
            <w:shd w:val="clear" w:color="auto" w:fill="auto"/>
            <w:vAlign w:val="center"/>
          </w:tcPr>
          <w:p w:rsidR="007A4D59" w:rsidRPr="00E00B35" w:rsidRDefault="007A4D59" w:rsidP="00E00B35">
            <w:pPr>
              <w:spacing w:after="0" w:line="312" w:lineRule="auto"/>
              <w:rPr>
                <w:bCs/>
                <w:szCs w:val="20"/>
              </w:rPr>
            </w:pPr>
            <w:r w:rsidRPr="00E00B35">
              <w:rPr>
                <w:bCs/>
                <w:szCs w:val="20"/>
              </w:rPr>
              <w:t>3494</w:t>
            </w:r>
          </w:p>
        </w:tc>
        <w:tc>
          <w:tcPr>
            <w:tcW w:w="840" w:type="dxa"/>
            <w:shd w:val="clear" w:color="auto" w:fill="auto"/>
            <w:vAlign w:val="center"/>
          </w:tcPr>
          <w:p w:rsidR="007A4D59" w:rsidRPr="00E00B35" w:rsidRDefault="007A4D59" w:rsidP="00E00B35">
            <w:pPr>
              <w:spacing w:after="0" w:line="312" w:lineRule="auto"/>
              <w:rPr>
                <w:szCs w:val="20"/>
              </w:rPr>
            </w:pPr>
            <w:r w:rsidRPr="00E00B35">
              <w:rPr>
                <w:szCs w:val="20"/>
              </w:rPr>
              <w:t>3536</w:t>
            </w:r>
          </w:p>
        </w:tc>
        <w:tc>
          <w:tcPr>
            <w:tcW w:w="725" w:type="dxa"/>
            <w:shd w:val="clear" w:color="auto" w:fill="auto"/>
            <w:vAlign w:val="center"/>
          </w:tcPr>
          <w:p w:rsidR="007A4D59" w:rsidRPr="00E00B35" w:rsidRDefault="007A4D59" w:rsidP="00E00B35">
            <w:pPr>
              <w:spacing w:after="0" w:line="312" w:lineRule="auto"/>
              <w:rPr>
                <w:szCs w:val="20"/>
              </w:rPr>
            </w:pPr>
            <w:r w:rsidRPr="00E00B35">
              <w:rPr>
                <w:szCs w:val="20"/>
              </w:rPr>
              <w:t>3123</w:t>
            </w:r>
          </w:p>
        </w:tc>
      </w:tr>
      <w:tr w:rsidR="007A4D59" w:rsidRPr="00E00B35" w:rsidTr="006D3493">
        <w:tc>
          <w:tcPr>
            <w:tcW w:w="3152" w:type="dxa"/>
            <w:vMerge/>
          </w:tcPr>
          <w:p w:rsidR="007A4D59" w:rsidRPr="00E00B35" w:rsidRDefault="007A4D59" w:rsidP="00E00B35">
            <w:pPr>
              <w:spacing w:after="0" w:line="312" w:lineRule="auto"/>
              <w:rPr>
                <w:szCs w:val="20"/>
              </w:rPr>
            </w:pPr>
          </w:p>
        </w:tc>
        <w:tc>
          <w:tcPr>
            <w:tcW w:w="1194" w:type="dxa"/>
            <w:vMerge/>
          </w:tcPr>
          <w:p w:rsidR="007A4D59" w:rsidRPr="00E00B35" w:rsidRDefault="007A4D59" w:rsidP="00E00B35">
            <w:pPr>
              <w:spacing w:after="0" w:line="312" w:lineRule="auto"/>
              <w:rPr>
                <w:szCs w:val="20"/>
              </w:rPr>
            </w:pPr>
          </w:p>
        </w:tc>
        <w:tc>
          <w:tcPr>
            <w:tcW w:w="5586" w:type="dxa"/>
            <w:shd w:val="clear" w:color="auto" w:fill="auto"/>
            <w:vAlign w:val="center"/>
          </w:tcPr>
          <w:p w:rsidR="007A4D59" w:rsidRPr="00E00B35" w:rsidRDefault="007A4D59" w:rsidP="00E00B35">
            <w:pPr>
              <w:spacing w:after="0" w:line="312" w:lineRule="auto"/>
              <w:rPr>
                <w:szCs w:val="20"/>
              </w:rPr>
            </w:pPr>
            <w:r w:rsidRPr="00E00B35">
              <w:rPr>
                <w:szCs w:val="20"/>
              </w:rPr>
              <w:t>w nowych miejscach grzebalnych</w:t>
            </w:r>
          </w:p>
        </w:tc>
        <w:tc>
          <w:tcPr>
            <w:tcW w:w="975" w:type="dxa"/>
            <w:shd w:val="clear" w:color="auto" w:fill="auto"/>
            <w:vAlign w:val="center"/>
          </w:tcPr>
          <w:p w:rsidR="007A4D59" w:rsidRPr="00E00B35" w:rsidRDefault="007A4D59" w:rsidP="00E00B35">
            <w:pPr>
              <w:spacing w:after="0" w:line="312" w:lineRule="auto"/>
              <w:rPr>
                <w:szCs w:val="20"/>
              </w:rPr>
            </w:pPr>
            <w:r w:rsidRPr="00E00B35">
              <w:rPr>
                <w:szCs w:val="20"/>
              </w:rPr>
              <w:t>1530</w:t>
            </w:r>
          </w:p>
        </w:tc>
        <w:tc>
          <w:tcPr>
            <w:tcW w:w="799" w:type="dxa"/>
          </w:tcPr>
          <w:p w:rsidR="007A4D59" w:rsidRPr="00E00B35" w:rsidRDefault="007A4D59" w:rsidP="00E00B35">
            <w:pPr>
              <w:spacing w:after="0" w:line="312" w:lineRule="auto"/>
              <w:rPr>
                <w:bCs/>
                <w:szCs w:val="20"/>
              </w:rPr>
            </w:pPr>
            <w:r w:rsidRPr="00E00B35">
              <w:rPr>
                <w:bCs/>
                <w:szCs w:val="20"/>
              </w:rPr>
              <w:t>1412</w:t>
            </w:r>
          </w:p>
        </w:tc>
        <w:tc>
          <w:tcPr>
            <w:tcW w:w="841" w:type="dxa"/>
            <w:shd w:val="clear" w:color="auto" w:fill="auto"/>
            <w:vAlign w:val="center"/>
          </w:tcPr>
          <w:p w:rsidR="007A4D59" w:rsidRPr="00E00B35" w:rsidRDefault="007A4D59" w:rsidP="00E00B35">
            <w:pPr>
              <w:spacing w:after="0" w:line="312" w:lineRule="auto"/>
              <w:rPr>
                <w:bCs/>
                <w:szCs w:val="20"/>
              </w:rPr>
            </w:pPr>
            <w:r w:rsidRPr="00E00B35">
              <w:rPr>
                <w:bCs/>
                <w:szCs w:val="20"/>
              </w:rPr>
              <w:t>1439</w:t>
            </w:r>
          </w:p>
        </w:tc>
        <w:tc>
          <w:tcPr>
            <w:tcW w:w="840" w:type="dxa"/>
            <w:shd w:val="clear" w:color="auto" w:fill="auto"/>
            <w:vAlign w:val="center"/>
          </w:tcPr>
          <w:p w:rsidR="007A4D59" w:rsidRPr="00E00B35" w:rsidRDefault="007A4D59" w:rsidP="00E00B35">
            <w:pPr>
              <w:spacing w:after="0" w:line="312" w:lineRule="auto"/>
              <w:rPr>
                <w:szCs w:val="20"/>
              </w:rPr>
            </w:pPr>
            <w:r w:rsidRPr="00E00B35">
              <w:rPr>
                <w:szCs w:val="20"/>
              </w:rPr>
              <w:t>1450</w:t>
            </w:r>
          </w:p>
        </w:tc>
        <w:tc>
          <w:tcPr>
            <w:tcW w:w="725" w:type="dxa"/>
            <w:shd w:val="clear" w:color="auto" w:fill="auto"/>
            <w:vAlign w:val="center"/>
          </w:tcPr>
          <w:p w:rsidR="007A4D59" w:rsidRPr="00E00B35" w:rsidRDefault="007A4D59" w:rsidP="00E00B35">
            <w:pPr>
              <w:spacing w:after="0" w:line="312" w:lineRule="auto"/>
              <w:rPr>
                <w:szCs w:val="20"/>
              </w:rPr>
            </w:pPr>
            <w:r w:rsidRPr="00E00B35">
              <w:rPr>
                <w:szCs w:val="20"/>
              </w:rPr>
              <w:t>1508</w:t>
            </w:r>
          </w:p>
        </w:tc>
      </w:tr>
      <w:tr w:rsidR="007A4D59" w:rsidRPr="00E00B35" w:rsidTr="006D3493">
        <w:tc>
          <w:tcPr>
            <w:tcW w:w="9932" w:type="dxa"/>
            <w:gridSpan w:val="3"/>
          </w:tcPr>
          <w:p w:rsidR="007A4D59" w:rsidRPr="00E00B35" w:rsidRDefault="007A4D59" w:rsidP="00E00B35">
            <w:pPr>
              <w:spacing w:after="0" w:line="312" w:lineRule="auto"/>
              <w:rPr>
                <w:szCs w:val="20"/>
              </w:rPr>
            </w:pPr>
            <w:r w:rsidRPr="00E00B35">
              <w:rPr>
                <w:szCs w:val="20"/>
              </w:rPr>
              <w:t>Ilość zgonów wg rocznika demograficznego GUS dla m. Wrocławia</w:t>
            </w:r>
          </w:p>
        </w:tc>
        <w:tc>
          <w:tcPr>
            <w:tcW w:w="975" w:type="dxa"/>
            <w:shd w:val="clear" w:color="auto" w:fill="auto"/>
            <w:vAlign w:val="center"/>
          </w:tcPr>
          <w:p w:rsidR="007A4D59" w:rsidRPr="00E00B35" w:rsidRDefault="007A4D59" w:rsidP="00E00B35">
            <w:pPr>
              <w:spacing w:after="0" w:line="312" w:lineRule="auto"/>
              <w:rPr>
                <w:szCs w:val="20"/>
              </w:rPr>
            </w:pPr>
            <w:r w:rsidRPr="00E00B35">
              <w:rPr>
                <w:szCs w:val="20"/>
              </w:rPr>
              <w:t>-</w:t>
            </w:r>
          </w:p>
        </w:tc>
        <w:tc>
          <w:tcPr>
            <w:tcW w:w="799" w:type="dxa"/>
          </w:tcPr>
          <w:p w:rsidR="007A4D59" w:rsidRPr="00E00B35" w:rsidRDefault="007A4D59" w:rsidP="00E00B35">
            <w:pPr>
              <w:spacing w:after="0" w:line="312" w:lineRule="auto"/>
              <w:rPr>
                <w:bCs/>
                <w:szCs w:val="20"/>
              </w:rPr>
            </w:pPr>
            <w:r w:rsidRPr="00E00B35">
              <w:rPr>
                <w:bCs/>
                <w:szCs w:val="20"/>
              </w:rPr>
              <w:t>6926</w:t>
            </w:r>
          </w:p>
        </w:tc>
        <w:tc>
          <w:tcPr>
            <w:tcW w:w="841" w:type="dxa"/>
            <w:shd w:val="clear" w:color="auto" w:fill="auto"/>
            <w:vAlign w:val="center"/>
          </w:tcPr>
          <w:p w:rsidR="007A4D59" w:rsidRPr="00E00B35" w:rsidRDefault="007A4D59" w:rsidP="00E00B35">
            <w:pPr>
              <w:spacing w:after="0" w:line="312" w:lineRule="auto"/>
              <w:rPr>
                <w:bCs/>
                <w:szCs w:val="20"/>
              </w:rPr>
            </w:pPr>
            <w:r w:rsidRPr="00E00B35">
              <w:rPr>
                <w:bCs/>
                <w:szCs w:val="20"/>
              </w:rPr>
              <w:t>7084</w:t>
            </w:r>
          </w:p>
        </w:tc>
        <w:tc>
          <w:tcPr>
            <w:tcW w:w="840" w:type="dxa"/>
            <w:shd w:val="clear" w:color="auto" w:fill="auto"/>
            <w:vAlign w:val="center"/>
          </w:tcPr>
          <w:p w:rsidR="007A4D59" w:rsidRPr="00E00B35" w:rsidRDefault="007A4D59" w:rsidP="00E00B35">
            <w:pPr>
              <w:spacing w:after="0" w:line="312" w:lineRule="auto"/>
              <w:rPr>
                <w:szCs w:val="20"/>
              </w:rPr>
            </w:pPr>
            <w:r w:rsidRPr="00E00B35">
              <w:rPr>
                <w:szCs w:val="20"/>
              </w:rPr>
              <w:t>6892</w:t>
            </w:r>
          </w:p>
        </w:tc>
        <w:tc>
          <w:tcPr>
            <w:tcW w:w="725" w:type="dxa"/>
            <w:shd w:val="clear" w:color="auto" w:fill="auto"/>
            <w:vAlign w:val="center"/>
          </w:tcPr>
          <w:p w:rsidR="007A4D59" w:rsidRPr="00E00B35" w:rsidRDefault="007A4D59" w:rsidP="00E00B35">
            <w:pPr>
              <w:spacing w:after="0" w:line="312" w:lineRule="auto"/>
              <w:rPr>
                <w:szCs w:val="20"/>
              </w:rPr>
            </w:pPr>
            <w:r w:rsidRPr="00E00B35">
              <w:rPr>
                <w:szCs w:val="20"/>
              </w:rPr>
              <w:t>6460</w:t>
            </w:r>
          </w:p>
        </w:tc>
      </w:tr>
      <w:tr w:rsidR="007A4D59" w:rsidRPr="00E00B35" w:rsidTr="006D3493">
        <w:tc>
          <w:tcPr>
            <w:tcW w:w="9932" w:type="dxa"/>
            <w:gridSpan w:val="3"/>
          </w:tcPr>
          <w:p w:rsidR="007A4D59" w:rsidRPr="00E00B35" w:rsidRDefault="007A4D59" w:rsidP="00E00B35">
            <w:pPr>
              <w:spacing w:after="0" w:line="312" w:lineRule="auto"/>
              <w:rPr>
                <w:szCs w:val="20"/>
              </w:rPr>
            </w:pPr>
            <w:r w:rsidRPr="00E00B35">
              <w:rPr>
                <w:szCs w:val="20"/>
              </w:rPr>
              <w:t>Ilość kremacji wykonanych przez ZCK</w:t>
            </w:r>
          </w:p>
        </w:tc>
        <w:tc>
          <w:tcPr>
            <w:tcW w:w="975" w:type="dxa"/>
            <w:shd w:val="clear" w:color="auto" w:fill="auto"/>
            <w:vAlign w:val="center"/>
          </w:tcPr>
          <w:p w:rsidR="007A4D59" w:rsidRPr="00E00B35" w:rsidRDefault="007A4D59" w:rsidP="00E00B35">
            <w:pPr>
              <w:spacing w:after="0" w:line="312" w:lineRule="auto"/>
              <w:rPr>
                <w:szCs w:val="20"/>
              </w:rPr>
            </w:pPr>
            <w:r w:rsidRPr="00E00B35">
              <w:rPr>
                <w:szCs w:val="20"/>
              </w:rPr>
              <w:t>2562</w:t>
            </w:r>
          </w:p>
        </w:tc>
        <w:tc>
          <w:tcPr>
            <w:tcW w:w="799" w:type="dxa"/>
          </w:tcPr>
          <w:p w:rsidR="007A4D59" w:rsidRPr="00E00B35" w:rsidRDefault="007A4D59" w:rsidP="00E00B35">
            <w:pPr>
              <w:spacing w:after="0" w:line="312" w:lineRule="auto"/>
              <w:rPr>
                <w:bCs/>
                <w:szCs w:val="20"/>
              </w:rPr>
            </w:pPr>
            <w:r w:rsidRPr="00E00B35">
              <w:rPr>
                <w:bCs/>
                <w:szCs w:val="20"/>
              </w:rPr>
              <w:t>2348</w:t>
            </w:r>
          </w:p>
        </w:tc>
        <w:tc>
          <w:tcPr>
            <w:tcW w:w="841" w:type="dxa"/>
            <w:shd w:val="clear" w:color="auto" w:fill="auto"/>
            <w:vAlign w:val="center"/>
          </w:tcPr>
          <w:p w:rsidR="007A4D59" w:rsidRPr="00E00B35" w:rsidRDefault="007A4D59" w:rsidP="00E00B35">
            <w:pPr>
              <w:spacing w:after="0" w:line="312" w:lineRule="auto"/>
              <w:rPr>
                <w:bCs/>
                <w:szCs w:val="20"/>
              </w:rPr>
            </w:pPr>
            <w:r w:rsidRPr="00E00B35">
              <w:rPr>
                <w:bCs/>
                <w:szCs w:val="20"/>
              </w:rPr>
              <w:t>2334</w:t>
            </w:r>
          </w:p>
        </w:tc>
        <w:tc>
          <w:tcPr>
            <w:tcW w:w="840" w:type="dxa"/>
            <w:shd w:val="clear" w:color="auto" w:fill="auto"/>
            <w:vAlign w:val="center"/>
          </w:tcPr>
          <w:p w:rsidR="007A4D59" w:rsidRPr="00E00B35" w:rsidRDefault="007A4D59" w:rsidP="00E00B35">
            <w:pPr>
              <w:spacing w:after="0" w:line="312" w:lineRule="auto"/>
              <w:rPr>
                <w:szCs w:val="20"/>
              </w:rPr>
            </w:pPr>
            <w:r w:rsidRPr="00E00B35">
              <w:rPr>
                <w:szCs w:val="20"/>
              </w:rPr>
              <w:t>2269</w:t>
            </w:r>
          </w:p>
        </w:tc>
        <w:tc>
          <w:tcPr>
            <w:tcW w:w="725" w:type="dxa"/>
            <w:shd w:val="clear" w:color="auto" w:fill="auto"/>
            <w:vAlign w:val="center"/>
          </w:tcPr>
          <w:p w:rsidR="007A4D59" w:rsidRPr="00E00B35" w:rsidRDefault="007A4D59" w:rsidP="00E00B35">
            <w:pPr>
              <w:spacing w:after="0" w:line="312" w:lineRule="auto"/>
              <w:rPr>
                <w:szCs w:val="20"/>
              </w:rPr>
            </w:pPr>
            <w:r w:rsidRPr="00E00B35">
              <w:rPr>
                <w:szCs w:val="20"/>
              </w:rPr>
              <w:t>2151</w:t>
            </w:r>
          </w:p>
        </w:tc>
      </w:tr>
    </w:tbl>
    <w:p w:rsidR="007A4D59" w:rsidRPr="00E00B35" w:rsidRDefault="007A4D59" w:rsidP="00E00B35">
      <w:pPr>
        <w:spacing w:after="0" w:line="312" w:lineRule="auto"/>
        <w:rPr>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4A7F1B" w:rsidRPr="00E00B35" w:rsidRDefault="004A7F1B" w:rsidP="00E00B35">
      <w:pPr>
        <w:spacing w:after="0" w:line="312" w:lineRule="auto"/>
        <w:rPr>
          <w:b/>
          <w:bCs/>
          <w:szCs w:val="20"/>
        </w:rPr>
      </w:pPr>
    </w:p>
    <w:p w:rsidR="004A7F1B" w:rsidRPr="00E00B35" w:rsidRDefault="004A7F1B" w:rsidP="00E00B35">
      <w:pPr>
        <w:spacing w:after="0" w:line="312" w:lineRule="auto"/>
        <w:rPr>
          <w:b/>
          <w:bCs/>
          <w:szCs w:val="20"/>
        </w:rPr>
      </w:pPr>
    </w:p>
    <w:p w:rsidR="004A7F1B" w:rsidRDefault="004A7F1B" w:rsidP="00E00B35">
      <w:pPr>
        <w:spacing w:after="0" w:line="312" w:lineRule="auto"/>
        <w:rPr>
          <w:b/>
          <w:bCs/>
          <w:szCs w:val="20"/>
        </w:rPr>
      </w:pPr>
    </w:p>
    <w:p w:rsidR="00E04D72" w:rsidRDefault="00E04D72" w:rsidP="00E00B35">
      <w:pPr>
        <w:spacing w:after="0" w:line="312" w:lineRule="auto"/>
        <w:rPr>
          <w:b/>
          <w:bCs/>
          <w:szCs w:val="20"/>
        </w:rPr>
      </w:pPr>
    </w:p>
    <w:p w:rsidR="00E04D72" w:rsidRDefault="00E04D72" w:rsidP="00E00B35">
      <w:pPr>
        <w:spacing w:after="0" w:line="312" w:lineRule="auto"/>
        <w:rPr>
          <w:b/>
          <w:bCs/>
          <w:szCs w:val="20"/>
        </w:rPr>
      </w:pPr>
    </w:p>
    <w:p w:rsidR="00E04D72" w:rsidRDefault="00E04D72" w:rsidP="00E00B35">
      <w:pPr>
        <w:spacing w:after="0" w:line="312" w:lineRule="auto"/>
        <w:rPr>
          <w:b/>
          <w:bCs/>
          <w:szCs w:val="20"/>
        </w:rPr>
      </w:pPr>
    </w:p>
    <w:p w:rsidR="00E04D72" w:rsidRDefault="00E04D72" w:rsidP="00E00B35">
      <w:pPr>
        <w:spacing w:after="0" w:line="312" w:lineRule="auto"/>
        <w:rPr>
          <w:b/>
          <w:bCs/>
          <w:szCs w:val="20"/>
        </w:rPr>
      </w:pPr>
    </w:p>
    <w:p w:rsidR="00E04D72" w:rsidRDefault="00E04D72" w:rsidP="00E00B35">
      <w:pPr>
        <w:spacing w:after="0" w:line="312" w:lineRule="auto"/>
        <w:rPr>
          <w:b/>
          <w:bCs/>
          <w:szCs w:val="20"/>
        </w:rPr>
      </w:pPr>
    </w:p>
    <w:p w:rsidR="00E04D72" w:rsidRDefault="00E04D72" w:rsidP="00E00B35">
      <w:pPr>
        <w:spacing w:after="0" w:line="312" w:lineRule="auto"/>
        <w:rPr>
          <w:b/>
          <w:bCs/>
          <w:szCs w:val="20"/>
        </w:rPr>
      </w:pPr>
    </w:p>
    <w:p w:rsidR="00E04D72" w:rsidRDefault="00E04D72" w:rsidP="00E00B35">
      <w:pPr>
        <w:spacing w:after="0" w:line="312" w:lineRule="auto"/>
        <w:rPr>
          <w:b/>
          <w:bCs/>
          <w:szCs w:val="20"/>
        </w:rPr>
      </w:pPr>
    </w:p>
    <w:p w:rsidR="00E04D72" w:rsidRDefault="00E04D72" w:rsidP="00E00B35">
      <w:pPr>
        <w:spacing w:after="0" w:line="312" w:lineRule="auto"/>
        <w:rPr>
          <w:b/>
          <w:bCs/>
          <w:szCs w:val="20"/>
        </w:rPr>
      </w:pPr>
    </w:p>
    <w:p w:rsidR="00E04D72" w:rsidRDefault="00E04D72" w:rsidP="00E00B35">
      <w:pPr>
        <w:spacing w:after="0" w:line="312" w:lineRule="auto"/>
        <w:rPr>
          <w:b/>
          <w:bCs/>
          <w:szCs w:val="20"/>
        </w:rPr>
      </w:pPr>
    </w:p>
    <w:p w:rsidR="00E04D72" w:rsidRPr="00E00B35" w:rsidRDefault="00E04D72" w:rsidP="00E00B35">
      <w:pPr>
        <w:spacing w:after="0" w:line="312" w:lineRule="auto"/>
        <w:rPr>
          <w:b/>
          <w:bCs/>
          <w:szCs w:val="20"/>
        </w:rPr>
      </w:pPr>
    </w:p>
    <w:p w:rsidR="004A7F1B" w:rsidRPr="00E00B35" w:rsidRDefault="004A7F1B" w:rsidP="00E00B35">
      <w:pPr>
        <w:spacing w:after="0" w:line="312" w:lineRule="auto"/>
        <w:rPr>
          <w:b/>
          <w:bCs/>
          <w:szCs w:val="20"/>
        </w:rPr>
      </w:pPr>
    </w:p>
    <w:p w:rsidR="004A7F1B" w:rsidRPr="00E00B35" w:rsidRDefault="004A7F1B" w:rsidP="00E00B35">
      <w:pPr>
        <w:spacing w:after="0" w:line="312" w:lineRule="auto"/>
        <w:rPr>
          <w:b/>
          <w:bCs/>
          <w:szCs w:val="20"/>
        </w:rPr>
      </w:pPr>
    </w:p>
    <w:p w:rsidR="004A7F1B" w:rsidRPr="00E00B35" w:rsidRDefault="004A7F1B" w:rsidP="00E00B35">
      <w:pPr>
        <w:spacing w:after="0" w:line="312" w:lineRule="auto"/>
        <w:rPr>
          <w:b/>
          <w:bCs/>
          <w:szCs w:val="20"/>
        </w:rPr>
      </w:pPr>
    </w:p>
    <w:p w:rsidR="004A7F1B" w:rsidRPr="00E00B35" w:rsidRDefault="004A7F1B" w:rsidP="00E00B35">
      <w:pPr>
        <w:spacing w:after="0" w:line="312" w:lineRule="auto"/>
        <w:rPr>
          <w:b/>
          <w:bCs/>
          <w:szCs w:val="20"/>
        </w:rPr>
      </w:pPr>
    </w:p>
    <w:p w:rsidR="004A7F1B" w:rsidRPr="00E00B35" w:rsidRDefault="004A7F1B" w:rsidP="00E00B35">
      <w:pPr>
        <w:spacing w:after="0" w:line="312" w:lineRule="auto"/>
        <w:rPr>
          <w:b/>
          <w:bCs/>
          <w:szCs w:val="20"/>
        </w:rPr>
      </w:pPr>
    </w:p>
    <w:p w:rsidR="004A7F1B" w:rsidRPr="00E00B35" w:rsidRDefault="004A7F1B" w:rsidP="00E00B35">
      <w:pPr>
        <w:spacing w:after="0" w:line="312" w:lineRule="auto"/>
        <w:rPr>
          <w:b/>
          <w:bCs/>
          <w:szCs w:val="20"/>
        </w:rPr>
      </w:pPr>
    </w:p>
    <w:p w:rsidR="004A7F1B" w:rsidRPr="00E00B35" w:rsidRDefault="004A7F1B" w:rsidP="00E00B35">
      <w:pPr>
        <w:spacing w:after="0" w:line="312" w:lineRule="auto"/>
        <w:rPr>
          <w:b/>
          <w:bCs/>
          <w:szCs w:val="20"/>
        </w:rPr>
      </w:pPr>
    </w:p>
    <w:p w:rsidR="004A7F1B" w:rsidRPr="00E00B35" w:rsidRDefault="004A7F1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3D38EB" w:rsidRPr="00E00B35" w:rsidRDefault="003D38EB" w:rsidP="00E00B35">
      <w:pPr>
        <w:spacing w:after="0" w:line="312" w:lineRule="auto"/>
        <w:rPr>
          <w:b/>
          <w:bCs/>
          <w:szCs w:val="20"/>
        </w:rPr>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B1753A" w:rsidRDefault="00B1753A" w:rsidP="00E04D72">
      <w:pPr>
        <w:pStyle w:val="Nagwek20"/>
      </w:pPr>
    </w:p>
    <w:p w:rsidR="008C7751" w:rsidRPr="00E04D72" w:rsidRDefault="008C7751" w:rsidP="00E04D72">
      <w:pPr>
        <w:pStyle w:val="Nagwek20"/>
        <w:sectPr w:rsidR="008C7751" w:rsidRPr="00E04D72" w:rsidSect="008C7751">
          <w:footerReference w:type="default" r:id="rId188"/>
          <w:pgSz w:w="11906" w:h="16838"/>
          <w:pgMar w:top="1417" w:right="1417" w:bottom="1417" w:left="1417" w:header="567" w:footer="708" w:gutter="0"/>
          <w:cols w:space="708"/>
          <w:titlePg/>
          <w:docGrid w:linePitch="600" w:charSpace="40960"/>
        </w:sectPr>
      </w:pPr>
      <w:bookmarkStart w:id="791" w:name="_Toc78189484"/>
      <w:r w:rsidRPr="00E04D72">
        <w:t>DEPARTAMENT INFRASTRUKTURY I TRANSPORTU</w:t>
      </w:r>
      <w:bookmarkEnd w:id="791"/>
      <w:r w:rsidRPr="00E04D72">
        <w:t xml:space="preserve"> </w:t>
      </w:r>
    </w:p>
    <w:p w:rsidR="008C7751" w:rsidRPr="00E00B35" w:rsidRDefault="008C7751" w:rsidP="00E00B35">
      <w:pPr>
        <w:pStyle w:val="Nagwek3"/>
        <w:spacing w:after="0" w:line="312" w:lineRule="auto"/>
        <w:rPr>
          <w:sz w:val="20"/>
        </w:rPr>
      </w:pPr>
      <w:bookmarkStart w:id="792" w:name="_Toc32318612"/>
      <w:bookmarkStart w:id="793" w:name="_Ref63162200"/>
      <w:bookmarkStart w:id="794" w:name="_Ref63162201"/>
      <w:bookmarkStart w:id="795" w:name="_Toc66358308"/>
      <w:r w:rsidRPr="00E00B35">
        <w:rPr>
          <w:sz w:val="20"/>
        </w:rPr>
        <w:lastRenderedPageBreak/>
        <w:t>WSTĘP</w:t>
      </w:r>
      <w:bookmarkEnd w:id="792"/>
      <w:bookmarkEnd w:id="793"/>
      <w:bookmarkEnd w:id="794"/>
      <w:bookmarkEnd w:id="795"/>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Departament Infrastruktury i Transportu odpowiada m.in. za realizację zadań z zakresu:</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Zarządzania ruchem drogowym na drogach publicznych Wrocławia;</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Transportu miejskiego;</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Budowy i utrzymania infrastruktury drogowej;</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Rozwoju zrównoważonej mobilności;</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Rozwoju ruchu pieszego;</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Rozwoju ruchu rowerowego;</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Transportu publicznego;</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Planowania inwestycyjnego;</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Wspierania rozwoju elektromobilności we Wrocławiu;</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Koordynacji i monitorowania zadań w zakresie infrastruktury drogowej;</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Przygotowywania projektu wydatków inwestycyjnych do budżetu Miasta na dany rok oraz Wieloletniej Prognozy Finansowej;</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Udziału w opracowywaniu projektu „Założeń polityki społeczno-gospodarczej Miasta Wrocławia”;</w:t>
      </w:r>
    </w:p>
    <w:p w:rsidR="008C7751" w:rsidRPr="00E00B35" w:rsidRDefault="008C7751" w:rsidP="00E00B35">
      <w:pPr>
        <w:pStyle w:val="Akapitzlist"/>
        <w:numPr>
          <w:ilvl w:val="0"/>
          <w:numId w:val="126"/>
        </w:numPr>
        <w:spacing w:after="0" w:line="312" w:lineRule="auto"/>
        <w:ind w:left="567" w:hanging="567"/>
        <w:contextualSpacing w:val="0"/>
        <w:rPr>
          <w:color w:val="000000" w:themeColor="text1"/>
          <w:szCs w:val="20"/>
        </w:rPr>
      </w:pPr>
      <w:r w:rsidRPr="00E00B35">
        <w:rPr>
          <w:color w:val="000000" w:themeColor="text1"/>
          <w:szCs w:val="20"/>
        </w:rPr>
        <w:t xml:space="preserve">Monitorowania inwestycji realizowanych przez miejskie jednostki organizacyjne. </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Zgodnie z Zarządzeniem nr 3189/20 Prezydenta Wrocławia z dnia 15 czerwca 2020 r. w sprawie udziału jednostek organizacyjnych Urzędu Miejskiego Wrocławia w realizacji przedsięwzięć przyjętych w dokumencie „Założenia polityki społeczno - gospodarczej Wrocławia na rok budżetowy 2020” - monitorowano, koordynowane przez Departament Infrastruktury i Transportu, przedsięwzięcia, m.in.:</w:t>
      </w:r>
    </w:p>
    <w:p w:rsidR="008C7751" w:rsidRPr="00E00B35" w:rsidRDefault="008C7751" w:rsidP="00E00B35">
      <w:pPr>
        <w:spacing w:after="0" w:line="312" w:lineRule="auto"/>
        <w:rPr>
          <w:color w:val="000000" w:themeColor="text1"/>
          <w:szCs w:val="20"/>
        </w:rPr>
      </w:pPr>
    </w:p>
    <w:p w:rsidR="008C7751" w:rsidRPr="00E00B35" w:rsidRDefault="008C7751" w:rsidP="00E00B35">
      <w:pPr>
        <w:pStyle w:val="Nagwek3"/>
        <w:spacing w:after="0" w:line="312" w:lineRule="auto"/>
        <w:rPr>
          <w:sz w:val="20"/>
        </w:rPr>
      </w:pPr>
      <w:r w:rsidRPr="00E00B35">
        <w:rPr>
          <w:sz w:val="20"/>
        </w:rPr>
        <w:t>Priorytet nr II: Mobilność Wrocławian</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Budowa Osi Zachodniej we Wrocławiu w ciągu drogi krajowej nr 94;</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Rozbudowa ul. Osobowickiej od Obwodnicy Śródmiejskiej Wrocławia do ul. Lipskiej;</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Budowa Systemu P&amp;R we Wrocławiu – etap II;</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Nowa zajezdnia tramwajowa;</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Rozbudowa Systemu Zarządzania Ruchem we Wrocławiu, w tym o nowe sygnalizacje świetlne, wyświetlacze pomocnicze ITS oraz aplikację mobilną;</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Budowa Alei Wielkiej Wyspy we Wrocławiu;</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Przebudowa ulic w ciągu drogi wojewódzkiej nr 342 (Obornicka, Pęgowska, Zajączkowska, Pełczyńska);</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 xml:space="preserve">Realizacja programu inicjatyw lokalnych; </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Zintegrowany System Transportu Szynowego w Aglomeracji we Wrocławiu – etap III;</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Zintegrowany System Transportu Szynowego w Aglomeracji we Wrocławiu – etap IV;</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Budowa wydzielonej trasy tramwajowo-autobusowej łączącej osiedle Nowy Dwór z Centrum Wrocławia;</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 xml:space="preserve">Wrocławski Program Tramwajowy; </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 xml:space="preserve">Nowy tabor dla Wrocławia; </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lastRenderedPageBreak/>
        <w:t>Realizacja Programu Rowerowego;</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Stworzenie zielonych korytarzy pieszo – rowerowych;</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Zielone ulice;</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Monitoring Wrocławskiej Polityki Mobilności oraz Planu Zrównoważonej Mobilności Miejskiej;</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Promocja do wewnątrz czyli promowanie mobilności, komunikacji miejskiej, polityki transportowej miasta;</w:t>
      </w:r>
    </w:p>
    <w:p w:rsidR="008C7751" w:rsidRPr="00E00B35" w:rsidRDefault="008C7751" w:rsidP="00E00B35">
      <w:pPr>
        <w:pStyle w:val="Tekstpodstawowy"/>
        <w:numPr>
          <w:ilvl w:val="0"/>
          <w:numId w:val="19"/>
        </w:numPr>
        <w:suppressAutoHyphens/>
        <w:spacing w:after="0" w:line="312" w:lineRule="auto"/>
        <w:ind w:left="567" w:hanging="567"/>
        <w:rPr>
          <w:szCs w:val="20"/>
        </w:rPr>
      </w:pPr>
      <w:r w:rsidRPr="00E00B35">
        <w:rPr>
          <w:szCs w:val="20"/>
        </w:rPr>
        <w:t>Parkingi rowerowe w miejscu zamieszkania.</w:t>
      </w:r>
    </w:p>
    <w:p w:rsidR="008C7751" w:rsidRPr="00E00B35" w:rsidRDefault="008C7751" w:rsidP="00E00B35">
      <w:pPr>
        <w:pStyle w:val="Tekstpodstawowy"/>
        <w:suppressAutoHyphens/>
        <w:spacing w:after="0" w:line="312" w:lineRule="auto"/>
        <w:ind w:left="709"/>
        <w:rPr>
          <w:szCs w:val="20"/>
        </w:rPr>
      </w:pPr>
    </w:p>
    <w:p w:rsidR="008C7751" w:rsidRPr="00E00B35" w:rsidRDefault="008C7751" w:rsidP="00E00B35">
      <w:pPr>
        <w:pStyle w:val="Nagwek3"/>
        <w:spacing w:after="0" w:line="312" w:lineRule="auto"/>
        <w:rPr>
          <w:sz w:val="20"/>
        </w:rPr>
      </w:pPr>
      <w:r w:rsidRPr="00E00B35">
        <w:rPr>
          <w:sz w:val="20"/>
        </w:rPr>
        <w:t>Priorytet nr III: Rozwój partycypacji, budowa kapitału społecznego i poprawa jakości życia</w:t>
      </w:r>
    </w:p>
    <w:p w:rsidR="008C7751" w:rsidRPr="00E00B35" w:rsidRDefault="008C7751" w:rsidP="00E00B35">
      <w:pPr>
        <w:pStyle w:val="Tekstpodstawowy"/>
        <w:numPr>
          <w:ilvl w:val="0"/>
          <w:numId w:val="70"/>
        </w:numPr>
        <w:suppressAutoHyphens/>
        <w:spacing w:after="0" w:line="312" w:lineRule="auto"/>
        <w:ind w:left="567" w:hanging="567"/>
        <w:rPr>
          <w:szCs w:val="20"/>
        </w:rPr>
      </w:pPr>
      <w:r w:rsidRPr="00E00B35">
        <w:rPr>
          <w:szCs w:val="20"/>
        </w:rPr>
        <w:t>Realizacja programu poprawy stanu technicznego nawierzchni ulic;</w:t>
      </w:r>
    </w:p>
    <w:p w:rsidR="008C7751" w:rsidRPr="00E00B35" w:rsidRDefault="008C7751" w:rsidP="00E00B35">
      <w:pPr>
        <w:pStyle w:val="Tekstpodstawowy"/>
        <w:numPr>
          <w:ilvl w:val="0"/>
          <w:numId w:val="70"/>
        </w:numPr>
        <w:suppressAutoHyphens/>
        <w:spacing w:after="0" w:line="312" w:lineRule="auto"/>
        <w:ind w:left="567" w:hanging="567"/>
        <w:rPr>
          <w:szCs w:val="20"/>
        </w:rPr>
      </w:pPr>
      <w:r w:rsidRPr="00E00B35">
        <w:rPr>
          <w:szCs w:val="20"/>
        </w:rPr>
        <w:t xml:space="preserve">Realizacja programu poprawy stanu technicznego obiektów inżynierskich; </w:t>
      </w:r>
    </w:p>
    <w:p w:rsidR="008C7751" w:rsidRPr="00E00B35" w:rsidRDefault="008C7751" w:rsidP="00E00B35">
      <w:pPr>
        <w:pStyle w:val="Tekstpodstawowy"/>
        <w:numPr>
          <w:ilvl w:val="0"/>
          <w:numId w:val="70"/>
        </w:numPr>
        <w:suppressAutoHyphens/>
        <w:spacing w:after="0" w:line="312" w:lineRule="auto"/>
        <w:ind w:left="567" w:hanging="567"/>
        <w:rPr>
          <w:szCs w:val="20"/>
        </w:rPr>
      </w:pPr>
      <w:r w:rsidRPr="00E00B35">
        <w:rPr>
          <w:szCs w:val="20"/>
        </w:rPr>
        <w:t>Realizacja programu inicjatyw Rad Osiedli;</w:t>
      </w:r>
    </w:p>
    <w:p w:rsidR="008C7751" w:rsidRPr="00E00B35" w:rsidRDefault="008C7751" w:rsidP="00E00B35">
      <w:pPr>
        <w:pStyle w:val="Tekstpodstawowy"/>
        <w:numPr>
          <w:ilvl w:val="0"/>
          <w:numId w:val="70"/>
        </w:numPr>
        <w:suppressAutoHyphens/>
        <w:spacing w:after="0" w:line="312" w:lineRule="auto"/>
        <w:ind w:left="567" w:hanging="567"/>
        <w:rPr>
          <w:szCs w:val="20"/>
        </w:rPr>
      </w:pPr>
      <w:r w:rsidRPr="00E00B35">
        <w:rPr>
          <w:szCs w:val="20"/>
        </w:rPr>
        <w:t>Realizacja programu przebudowy gminnego zasobu mieszkaniowego;</w:t>
      </w:r>
    </w:p>
    <w:p w:rsidR="008C7751" w:rsidRPr="00E00B35" w:rsidRDefault="008C7751" w:rsidP="00E00B35">
      <w:pPr>
        <w:pStyle w:val="Tekstpodstawowy"/>
        <w:numPr>
          <w:ilvl w:val="0"/>
          <w:numId w:val="70"/>
        </w:numPr>
        <w:suppressAutoHyphens/>
        <w:spacing w:after="0" w:line="312" w:lineRule="auto"/>
        <w:ind w:left="567" w:hanging="567"/>
        <w:rPr>
          <w:szCs w:val="20"/>
        </w:rPr>
      </w:pPr>
      <w:r w:rsidRPr="00E00B35">
        <w:rPr>
          <w:szCs w:val="20"/>
        </w:rPr>
        <w:t>Wrocławski Budżet Obywatelski;</w:t>
      </w:r>
    </w:p>
    <w:p w:rsidR="008C7751" w:rsidRPr="00E00B35" w:rsidRDefault="008C7751" w:rsidP="00E00B35">
      <w:pPr>
        <w:pStyle w:val="Tekstpodstawowy"/>
        <w:numPr>
          <w:ilvl w:val="0"/>
          <w:numId w:val="70"/>
        </w:numPr>
        <w:suppressAutoHyphens/>
        <w:spacing w:after="0" w:line="312" w:lineRule="auto"/>
        <w:ind w:left="567" w:hanging="567"/>
        <w:rPr>
          <w:szCs w:val="20"/>
        </w:rPr>
      </w:pPr>
      <w:r w:rsidRPr="00E00B35">
        <w:rPr>
          <w:szCs w:val="20"/>
        </w:rPr>
        <w:t>Budowa żłobków.</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Nagwek3"/>
        <w:spacing w:after="0" w:line="312" w:lineRule="auto"/>
        <w:rPr>
          <w:sz w:val="20"/>
        </w:rPr>
      </w:pPr>
      <w:r w:rsidRPr="00E00B35">
        <w:rPr>
          <w:sz w:val="20"/>
        </w:rPr>
        <w:t>Priorytet nr IV: Edukacja, innowacje, gospodarka, rozwój</w:t>
      </w:r>
    </w:p>
    <w:p w:rsidR="008C7751" w:rsidRPr="00E00B35" w:rsidRDefault="008C7751" w:rsidP="00E00B35">
      <w:pPr>
        <w:pStyle w:val="Tekstpodstawowy"/>
        <w:numPr>
          <w:ilvl w:val="0"/>
          <w:numId w:val="127"/>
        </w:numPr>
        <w:suppressAutoHyphens/>
        <w:spacing w:after="0" w:line="312" w:lineRule="auto"/>
        <w:ind w:left="567" w:hanging="567"/>
        <w:rPr>
          <w:szCs w:val="20"/>
        </w:rPr>
      </w:pPr>
      <w:r w:rsidRPr="00E00B35">
        <w:rPr>
          <w:szCs w:val="20"/>
        </w:rPr>
        <w:t>Blisko, bezpiecznie, nowocześnie;</w:t>
      </w:r>
    </w:p>
    <w:p w:rsidR="008C7751" w:rsidRPr="00E00B35" w:rsidRDefault="008C7751" w:rsidP="00E00B35">
      <w:pPr>
        <w:pStyle w:val="Tekstpodstawowy"/>
        <w:numPr>
          <w:ilvl w:val="0"/>
          <w:numId w:val="127"/>
        </w:numPr>
        <w:suppressAutoHyphens/>
        <w:spacing w:after="0" w:line="312" w:lineRule="auto"/>
        <w:ind w:left="567" w:hanging="567"/>
        <w:rPr>
          <w:szCs w:val="20"/>
        </w:rPr>
      </w:pPr>
      <w:r w:rsidRPr="00E00B35">
        <w:rPr>
          <w:szCs w:val="20"/>
        </w:rPr>
        <w:t>Zdrowo i sportowo.</w:t>
      </w:r>
    </w:p>
    <w:p w:rsidR="008C7751" w:rsidRPr="00E00B35" w:rsidRDefault="008C7751" w:rsidP="00E00B35">
      <w:pPr>
        <w:spacing w:after="0" w:line="312" w:lineRule="auto"/>
        <w:rPr>
          <w:szCs w:val="20"/>
        </w:rPr>
      </w:pPr>
      <w:r w:rsidRPr="00E00B35">
        <w:rPr>
          <w:szCs w:val="20"/>
        </w:rPr>
        <w:t>Realizacją największych, strategicznych zadań inwestycyjnych, nad którymi nadzór merytoryczny i finansowy sprawuje Departament Infrastruktury i Transportu, zajmuje się spółka Wrocławskie Inwestycje, która będzie ujmowała realizację zadań w ramach swojego, odrębnego sprawozdania.</w:t>
      </w:r>
    </w:p>
    <w:p w:rsidR="008C7751" w:rsidRPr="00E00B35" w:rsidRDefault="008C7751" w:rsidP="00E00B35">
      <w:pPr>
        <w:spacing w:after="0" w:line="312" w:lineRule="auto"/>
        <w:rPr>
          <w:szCs w:val="20"/>
        </w:rPr>
      </w:pPr>
      <w:r w:rsidRPr="00E00B35">
        <w:rPr>
          <w:szCs w:val="20"/>
        </w:rPr>
        <w:t>W sprawozdaniu ujęto zadania realizowane przez komórki organizacyjne Departamentu Infrastruktury i Transportu oraz przez jednostki organizacyjne, nad którymi Departament sprawuje nadzór, tj. Zarząd Inwestycji Miejskich oraz Zarząd Dróg i Utrzymania Miasta.</w:t>
      </w:r>
    </w:p>
    <w:p w:rsidR="008C7751" w:rsidRPr="00E00B35" w:rsidRDefault="008C7751" w:rsidP="00E00B35">
      <w:pPr>
        <w:pStyle w:val="BZM1"/>
        <w:spacing w:after="0" w:line="312" w:lineRule="auto"/>
        <w:ind w:left="714" w:hanging="357"/>
        <w:rPr>
          <w:b w:val="0"/>
          <w:sz w:val="20"/>
          <w:szCs w:val="20"/>
        </w:rPr>
        <w:sectPr w:rsidR="008C7751" w:rsidRPr="00E00B35" w:rsidSect="008C7751">
          <w:pgSz w:w="11906" w:h="16838"/>
          <w:pgMar w:top="1417" w:right="1417" w:bottom="1417" w:left="1417" w:header="567" w:footer="708" w:gutter="0"/>
          <w:cols w:space="708"/>
          <w:docGrid w:linePitch="600" w:charSpace="40960"/>
        </w:sectPr>
      </w:pPr>
    </w:p>
    <w:p w:rsidR="008C7751" w:rsidRPr="00E00B35" w:rsidRDefault="00573162" w:rsidP="00BC64AB">
      <w:pPr>
        <w:pStyle w:val="Nagwek3"/>
        <w:numPr>
          <w:ilvl w:val="0"/>
          <w:numId w:val="235"/>
        </w:numPr>
        <w:spacing w:after="0" w:line="312" w:lineRule="auto"/>
        <w:rPr>
          <w:sz w:val="20"/>
        </w:rPr>
      </w:pPr>
      <w:hyperlink w:anchor="_Toc32318613" w:history="1">
        <w:bookmarkStart w:id="796" w:name="_Toc66358309"/>
        <w:r w:rsidR="008C7751" w:rsidRPr="00E00B35">
          <w:rPr>
            <w:sz w:val="20"/>
          </w:rPr>
          <w:t>INWESTYCJE I REMONTY</w:t>
        </w:r>
        <w:bookmarkEnd w:id="796"/>
      </w:hyperlink>
    </w:p>
    <w:p w:rsidR="008C7751" w:rsidRPr="00E00B35" w:rsidRDefault="008C7751" w:rsidP="00E00B35">
      <w:pPr>
        <w:pStyle w:val="Styl1NagwkiGwne"/>
        <w:spacing w:line="312" w:lineRule="auto"/>
        <w:jc w:val="left"/>
        <w:rPr>
          <w:b w:val="0"/>
        </w:rPr>
      </w:pPr>
    </w:p>
    <w:p w:rsidR="008C7751" w:rsidRPr="00E00B35" w:rsidRDefault="008C7751" w:rsidP="00E00B35">
      <w:pPr>
        <w:pStyle w:val="Nagwek4"/>
        <w:spacing w:before="0" w:after="0" w:line="312" w:lineRule="auto"/>
        <w:rPr>
          <w:sz w:val="20"/>
          <w:szCs w:val="20"/>
        </w:rPr>
      </w:pPr>
      <w:bookmarkStart w:id="797" w:name="_Toc66358310"/>
      <w:bookmarkStart w:id="798" w:name="_Toc62120182"/>
      <w:r w:rsidRPr="00E00B35">
        <w:rPr>
          <w:sz w:val="20"/>
          <w:szCs w:val="20"/>
        </w:rPr>
        <w:t>Rozbudowa Systemu Zarządzania Ruchem we Wrocławiu</w:t>
      </w:r>
      <w:bookmarkEnd w:id="797"/>
    </w:p>
    <w:p w:rsidR="008C7751" w:rsidRPr="00E00B35" w:rsidRDefault="008C7751" w:rsidP="00E00B35">
      <w:pPr>
        <w:pStyle w:val="Tekstpodstawowy"/>
        <w:suppressAutoHyphens/>
        <w:spacing w:after="0" w:line="312" w:lineRule="auto"/>
        <w:contextualSpacing/>
        <w:rPr>
          <w:szCs w:val="20"/>
        </w:rPr>
      </w:pPr>
      <w:r w:rsidRPr="00E00B35">
        <w:rPr>
          <w:szCs w:val="20"/>
        </w:rPr>
        <w:t>Cel zadania:</w:t>
      </w:r>
    </w:p>
    <w:p w:rsidR="008C7751" w:rsidRPr="00E00B35" w:rsidRDefault="008C7751" w:rsidP="00E00B35">
      <w:pPr>
        <w:pStyle w:val="Tekstpodstawowy"/>
        <w:suppressAutoHyphens/>
        <w:spacing w:after="0" w:line="312" w:lineRule="auto"/>
        <w:contextualSpacing/>
        <w:rPr>
          <w:szCs w:val="20"/>
        </w:rPr>
      </w:pPr>
      <w:r w:rsidRPr="00E00B35">
        <w:rPr>
          <w:szCs w:val="20"/>
        </w:rPr>
        <w:t xml:space="preserve">Podwyższenie standardu i warunków przejazdu komunikacją zbiorową. </w:t>
      </w:r>
    </w:p>
    <w:p w:rsidR="008C7751" w:rsidRPr="00E00B35" w:rsidRDefault="008C7751" w:rsidP="00E00B35">
      <w:pPr>
        <w:spacing w:after="0" w:line="312" w:lineRule="auto"/>
        <w:rPr>
          <w:rFonts w:cs="Verdana"/>
          <w:szCs w:val="20"/>
        </w:rPr>
      </w:pPr>
      <w:r w:rsidRPr="00E00B35">
        <w:rPr>
          <w:rStyle w:val="pogrubienieZnak"/>
          <w:szCs w:val="20"/>
        </w:rPr>
        <w:t>Poniesione w 2020 roku nakłady: 73,25 tys. zł</w:t>
      </w:r>
    </w:p>
    <w:p w:rsidR="008C7751" w:rsidRPr="00E00B35" w:rsidRDefault="008C7751" w:rsidP="00E00B35">
      <w:pPr>
        <w:pStyle w:val="Tekstpodstawowy"/>
        <w:suppressAutoHyphens/>
        <w:spacing w:after="0" w:line="312" w:lineRule="auto"/>
        <w:rPr>
          <w:szCs w:val="20"/>
        </w:rPr>
      </w:pPr>
      <w:r w:rsidRPr="00E00B35">
        <w:rPr>
          <w:szCs w:val="20"/>
        </w:rPr>
        <w:t xml:space="preserve">Realizacja zadania wpisuje się w działania w ramach Smart City Wrocław oraz ochrony środowiska w ramach gospodarki niskoemisyjnej. 29 czerwca 2020 roku podpisano umowę o dofinansowanie w ramach RPO Województwa Dolnośląskiego, jako wdrażanie strategii niskoemisyjnych. </w:t>
      </w:r>
    </w:p>
    <w:p w:rsidR="008C7751" w:rsidRPr="00E00B35" w:rsidRDefault="008C7751" w:rsidP="00E00B35">
      <w:pPr>
        <w:pStyle w:val="Tekstpodstawowy"/>
        <w:suppressAutoHyphens/>
        <w:spacing w:after="0" w:line="312" w:lineRule="auto"/>
        <w:rPr>
          <w:szCs w:val="20"/>
        </w:rPr>
      </w:pPr>
      <w:r w:rsidRPr="00E00B35">
        <w:rPr>
          <w:szCs w:val="20"/>
        </w:rPr>
        <w:t>W ramach zadania prowadzone są działania zarówno infrastrukturalne - na wszystkich ważnych dla transportu tramwajowego skrzyżowaniach wprowadzane są specjalne sygnalizatory wspomagające płynną jazdę, jak i działania typowo informatyczne, polegające na integracji miejskich systemów zgłoszeniowych związanych z transportem.</w:t>
      </w:r>
    </w:p>
    <w:p w:rsidR="008C7751" w:rsidRPr="00E00B35" w:rsidRDefault="008C7751" w:rsidP="00E00B35">
      <w:pPr>
        <w:pStyle w:val="Tekstpodstawowy"/>
        <w:suppressAutoHyphens/>
        <w:spacing w:after="0" w:line="312" w:lineRule="auto"/>
        <w:rPr>
          <w:szCs w:val="20"/>
        </w:rPr>
      </w:pPr>
      <w:r w:rsidRPr="00E00B35">
        <w:rPr>
          <w:szCs w:val="20"/>
        </w:rPr>
        <w:t>Realizacja projektu zapewni:</w:t>
      </w:r>
    </w:p>
    <w:p w:rsidR="008C7751" w:rsidRPr="00E00B35" w:rsidRDefault="008C7751" w:rsidP="00E00B35">
      <w:pPr>
        <w:pStyle w:val="Tekstpodstawowy"/>
        <w:numPr>
          <w:ilvl w:val="0"/>
          <w:numId w:val="27"/>
        </w:numPr>
        <w:tabs>
          <w:tab w:val="left" w:pos="567"/>
        </w:tabs>
        <w:suppressAutoHyphens/>
        <w:spacing w:after="0" w:line="312" w:lineRule="auto"/>
        <w:ind w:left="567" w:hanging="567"/>
        <w:rPr>
          <w:szCs w:val="20"/>
        </w:rPr>
      </w:pPr>
      <w:r w:rsidRPr="00E00B35">
        <w:rPr>
          <w:szCs w:val="20"/>
        </w:rPr>
        <w:t>Usprawnienie płynności ruchu transportu zbiorowego, zwiększenie bezpieczeństwa i punktualności pojazdów MPK;</w:t>
      </w:r>
    </w:p>
    <w:p w:rsidR="008C7751" w:rsidRPr="00E00B35" w:rsidRDefault="008C7751" w:rsidP="00E00B35">
      <w:pPr>
        <w:pStyle w:val="Tekstpodstawowy"/>
        <w:numPr>
          <w:ilvl w:val="0"/>
          <w:numId w:val="27"/>
        </w:numPr>
        <w:tabs>
          <w:tab w:val="left" w:pos="567"/>
        </w:tabs>
        <w:suppressAutoHyphens/>
        <w:spacing w:after="0" w:line="312" w:lineRule="auto"/>
        <w:ind w:left="567" w:hanging="567"/>
        <w:rPr>
          <w:szCs w:val="20"/>
        </w:rPr>
      </w:pPr>
      <w:r w:rsidRPr="00E00B35">
        <w:rPr>
          <w:szCs w:val="20"/>
        </w:rPr>
        <w:t>Przepływ informacji w jednostkach miejskich o utrudnieniach transportowych, które są powiązane z obsługiwanymi zgłoszeniami (dotyczącymi awarii, nieprawidłowości, utrudnień w celu dalszej analizy zgodnie z posiadanymi kompetencjami). Integracja systemów i procesów dotyczyć ma SupportCenter ZDiUM, HelpDesk Ekosystem, HelpDesk ITS, DART CZK UM, SWPGDR MPK, ServiceDeskPlus CUI. Integracja zapewni dostęp do wiedzy na temat aktualnie występujących problemów wymagających obsługi, a dyspozytorom jednostek udostępni wiedzę na temat zgłoszeń już zarejestrowanych, ich statusie, sposobie rozwiązania, terminie usunięcia.</w:t>
      </w:r>
    </w:p>
    <w:p w:rsidR="008C7751" w:rsidRPr="00E00B35" w:rsidRDefault="008C7751" w:rsidP="00E00B35">
      <w:pPr>
        <w:pStyle w:val="Tekstpodstawowy"/>
        <w:numPr>
          <w:ilvl w:val="0"/>
          <w:numId w:val="27"/>
        </w:numPr>
        <w:tabs>
          <w:tab w:val="left" w:pos="567"/>
        </w:tabs>
        <w:suppressAutoHyphens/>
        <w:spacing w:after="0" w:line="312" w:lineRule="auto"/>
        <w:ind w:left="567" w:hanging="567"/>
        <w:rPr>
          <w:szCs w:val="20"/>
        </w:rPr>
      </w:pPr>
      <w:r w:rsidRPr="00E00B35">
        <w:rPr>
          <w:szCs w:val="20"/>
        </w:rPr>
        <w:t>Optymalizację procesu rozpatrywania zgłoszeń i usuwania ich negatywnych skutków dla transportu i mieszkańców.</w:t>
      </w:r>
    </w:p>
    <w:p w:rsidR="008C7751" w:rsidRPr="00E00B35" w:rsidRDefault="008C7751" w:rsidP="00E00B35">
      <w:pPr>
        <w:pStyle w:val="Tekstpodstawowy"/>
        <w:suppressAutoHyphens/>
        <w:spacing w:after="0" w:line="312" w:lineRule="auto"/>
        <w:ind w:left="284"/>
        <w:rPr>
          <w:szCs w:val="20"/>
        </w:rPr>
      </w:pPr>
    </w:p>
    <w:p w:rsidR="008C7751" w:rsidRPr="00E00B35" w:rsidRDefault="008C7751" w:rsidP="00E00B35">
      <w:pPr>
        <w:pStyle w:val="Tekstpodstawowy"/>
        <w:suppressAutoHyphens/>
        <w:spacing w:after="0" w:line="312" w:lineRule="auto"/>
        <w:rPr>
          <w:szCs w:val="20"/>
        </w:rPr>
      </w:pPr>
      <w:r w:rsidRPr="00E00B35">
        <w:rPr>
          <w:szCs w:val="20"/>
        </w:rPr>
        <w:t>W ramach zadania w 2020 roku zrealizowano część dotyczącą rozbudowy systemu sterowania ruchem:</w:t>
      </w:r>
    </w:p>
    <w:p w:rsidR="008C7751" w:rsidRPr="00E00B35" w:rsidRDefault="008C7751" w:rsidP="00E00B35">
      <w:pPr>
        <w:pStyle w:val="Tekstpodstawowy"/>
        <w:numPr>
          <w:ilvl w:val="0"/>
          <w:numId w:val="105"/>
        </w:numPr>
        <w:tabs>
          <w:tab w:val="left" w:pos="567"/>
        </w:tabs>
        <w:suppressAutoHyphens/>
        <w:spacing w:after="0" w:line="312" w:lineRule="auto"/>
        <w:ind w:left="567" w:hanging="567"/>
        <w:rPr>
          <w:szCs w:val="20"/>
        </w:rPr>
      </w:pPr>
      <w:r w:rsidRPr="00E00B35">
        <w:rPr>
          <w:szCs w:val="20"/>
        </w:rPr>
        <w:t>Opracowano dokumentację techniczną 12 modułów informatycznych;</w:t>
      </w:r>
    </w:p>
    <w:p w:rsidR="008C7751" w:rsidRPr="00E00B35" w:rsidRDefault="008C7751" w:rsidP="00E00B35">
      <w:pPr>
        <w:pStyle w:val="Tekstpodstawowy"/>
        <w:numPr>
          <w:ilvl w:val="0"/>
          <w:numId w:val="105"/>
        </w:numPr>
        <w:tabs>
          <w:tab w:val="left" w:pos="567"/>
        </w:tabs>
        <w:suppressAutoHyphens/>
        <w:spacing w:after="0" w:line="312" w:lineRule="auto"/>
        <w:ind w:left="567" w:hanging="567"/>
        <w:rPr>
          <w:szCs w:val="20"/>
        </w:rPr>
      </w:pPr>
      <w:r w:rsidRPr="00E00B35">
        <w:rPr>
          <w:szCs w:val="20"/>
        </w:rPr>
        <w:t>Opracowano dokumentację wykonawczą oraz projekty organizacji ruchu dla skrzyżowań objętych modernizacją;</w:t>
      </w:r>
    </w:p>
    <w:p w:rsidR="008C7751" w:rsidRPr="00E00B35" w:rsidRDefault="008C7751" w:rsidP="00E00B35">
      <w:pPr>
        <w:pStyle w:val="Tekstpodstawowy"/>
        <w:numPr>
          <w:ilvl w:val="0"/>
          <w:numId w:val="105"/>
        </w:numPr>
        <w:tabs>
          <w:tab w:val="left" w:pos="567"/>
        </w:tabs>
        <w:suppressAutoHyphens/>
        <w:spacing w:after="0" w:line="312" w:lineRule="auto"/>
        <w:ind w:left="567" w:hanging="567"/>
        <w:rPr>
          <w:szCs w:val="20"/>
        </w:rPr>
      </w:pPr>
      <w:r w:rsidRPr="00E00B35">
        <w:rPr>
          <w:szCs w:val="20"/>
        </w:rPr>
        <w:t>Rozpoczęto montowanie urządzeń wyświetlających dla motorniczych oraz wykonywanie niezbędnych połączeń kablowych na skrzyżowaniach;</w:t>
      </w:r>
    </w:p>
    <w:p w:rsidR="008C7751" w:rsidRPr="00E00B35" w:rsidRDefault="008C7751" w:rsidP="00E00B35">
      <w:pPr>
        <w:pStyle w:val="Tekstpodstawowy"/>
        <w:numPr>
          <w:ilvl w:val="0"/>
          <w:numId w:val="105"/>
        </w:numPr>
        <w:tabs>
          <w:tab w:val="left" w:pos="567"/>
        </w:tabs>
        <w:suppressAutoHyphens/>
        <w:spacing w:after="0" w:line="312" w:lineRule="auto"/>
        <w:ind w:left="567" w:hanging="567"/>
        <w:rPr>
          <w:szCs w:val="20"/>
        </w:rPr>
      </w:pPr>
      <w:r w:rsidRPr="00E00B35">
        <w:rPr>
          <w:szCs w:val="20"/>
        </w:rPr>
        <w:t>Opracowano i uzgodniono dokumentację scenariuszy testów funkcjonalnych i integracyjnych;</w:t>
      </w:r>
    </w:p>
    <w:p w:rsidR="008C7751" w:rsidRPr="00E00B35" w:rsidRDefault="008C7751" w:rsidP="00E00B35">
      <w:pPr>
        <w:pStyle w:val="Tekstpodstawowy"/>
        <w:numPr>
          <w:ilvl w:val="0"/>
          <w:numId w:val="105"/>
        </w:numPr>
        <w:tabs>
          <w:tab w:val="left" w:pos="567"/>
        </w:tabs>
        <w:suppressAutoHyphens/>
        <w:spacing w:after="0" w:line="312" w:lineRule="auto"/>
        <w:ind w:left="567" w:hanging="567"/>
        <w:rPr>
          <w:szCs w:val="20"/>
        </w:rPr>
      </w:pPr>
      <w:r w:rsidRPr="00E00B35">
        <w:rPr>
          <w:szCs w:val="20"/>
        </w:rPr>
        <w:t>Opracowano zakres integracji GIS i zaktualizowano warstwę torowisk na miejskim geoportalu dla potrzeb ITS.</w:t>
      </w:r>
    </w:p>
    <w:p w:rsidR="008C7751" w:rsidRPr="00E00B35" w:rsidRDefault="008C7751" w:rsidP="00E00B35">
      <w:pPr>
        <w:pStyle w:val="Tekstpodstawowy"/>
        <w:tabs>
          <w:tab w:val="left" w:pos="567"/>
        </w:tabs>
        <w:suppressAutoHyphens/>
        <w:spacing w:after="0" w:line="312" w:lineRule="auto"/>
        <w:ind w:left="567"/>
        <w:rPr>
          <w:szCs w:val="20"/>
        </w:rPr>
      </w:pPr>
    </w:p>
    <w:p w:rsidR="008C7751" w:rsidRPr="00E00B35" w:rsidRDefault="008C7751" w:rsidP="00E00B35">
      <w:pPr>
        <w:pStyle w:val="Nagwek4"/>
        <w:spacing w:before="0" w:after="0" w:line="312" w:lineRule="auto"/>
        <w:rPr>
          <w:sz w:val="20"/>
          <w:szCs w:val="20"/>
        </w:rPr>
      </w:pPr>
      <w:bookmarkStart w:id="799" w:name="_Toc3979844"/>
      <w:bookmarkStart w:id="800" w:name="_Toc3981095"/>
      <w:bookmarkStart w:id="801" w:name="_Toc3981194"/>
      <w:bookmarkStart w:id="802" w:name="_Toc32318652"/>
      <w:bookmarkStart w:id="803" w:name="_Toc66358311"/>
      <w:r w:rsidRPr="00E00B35">
        <w:rPr>
          <w:sz w:val="20"/>
          <w:szCs w:val="20"/>
        </w:rPr>
        <w:t>Program inicjatyw lokalnych</w:t>
      </w:r>
      <w:bookmarkEnd w:id="799"/>
      <w:bookmarkEnd w:id="800"/>
      <w:bookmarkEnd w:id="801"/>
      <w:bookmarkEnd w:id="802"/>
      <w:bookmarkEnd w:id="803"/>
    </w:p>
    <w:p w:rsidR="008C7751" w:rsidRPr="00E00B35" w:rsidRDefault="008C7751" w:rsidP="00E00B35">
      <w:pPr>
        <w:pStyle w:val="pogrubienie0"/>
        <w:spacing w:before="0" w:line="312" w:lineRule="auto"/>
        <w:jc w:val="left"/>
        <w:rPr>
          <w:b w:val="0"/>
          <w:color w:val="000000" w:themeColor="text1"/>
        </w:rPr>
      </w:pPr>
      <w:r w:rsidRPr="00E00B35">
        <w:rPr>
          <w:b w:val="0"/>
          <w:color w:val="000000" w:themeColor="text1"/>
        </w:rPr>
        <w:t>Cel programu:</w:t>
      </w:r>
    </w:p>
    <w:p w:rsidR="008C7751" w:rsidRPr="00E00B35" w:rsidRDefault="008C7751" w:rsidP="00E00B35">
      <w:pPr>
        <w:spacing w:after="0" w:line="312" w:lineRule="auto"/>
        <w:rPr>
          <w:szCs w:val="20"/>
          <w:lang w:eastAsia="pl-PL"/>
        </w:rPr>
      </w:pPr>
      <w:r w:rsidRPr="00E00B35">
        <w:rPr>
          <w:szCs w:val="20"/>
          <w:lang w:eastAsia="pl-PL"/>
        </w:rPr>
        <w:t>Poprawa jakości życia mieszkańców i poprawy stanu środowiska naturalnego.</w:t>
      </w:r>
    </w:p>
    <w:p w:rsidR="008C7751" w:rsidRPr="00E00B35" w:rsidRDefault="008C7751" w:rsidP="00E00B35">
      <w:pPr>
        <w:spacing w:after="0" w:line="312" w:lineRule="auto"/>
        <w:rPr>
          <w:szCs w:val="20"/>
          <w:lang w:eastAsia="pl-PL"/>
        </w:rPr>
      </w:pPr>
    </w:p>
    <w:p w:rsidR="008C7751" w:rsidRPr="00E00B35" w:rsidRDefault="008C7751" w:rsidP="00E00B35">
      <w:pPr>
        <w:spacing w:after="0" w:line="312" w:lineRule="auto"/>
        <w:rPr>
          <w:szCs w:val="20"/>
          <w:lang w:eastAsia="pl-PL"/>
        </w:rPr>
      </w:pPr>
      <w:r w:rsidRPr="00E00B35">
        <w:rPr>
          <w:rStyle w:val="pogrubienieZnak"/>
          <w:color w:val="000000" w:themeColor="text1"/>
          <w:szCs w:val="20"/>
        </w:rPr>
        <w:t>Poniesione w 2020 roku nakłady:</w:t>
      </w:r>
      <w:r w:rsidRPr="00E00B35">
        <w:rPr>
          <w:color w:val="000000" w:themeColor="text1"/>
          <w:szCs w:val="20"/>
        </w:rPr>
        <w:t xml:space="preserve"> </w:t>
      </w:r>
      <w:r w:rsidRPr="00E00B35">
        <w:rPr>
          <w:szCs w:val="20"/>
          <w:lang w:eastAsia="pl-PL"/>
        </w:rPr>
        <w:t>4 688,51 tys. zł</w:t>
      </w:r>
    </w:p>
    <w:p w:rsidR="008C7751" w:rsidRPr="00E00B35" w:rsidRDefault="008C7751" w:rsidP="00E00B35">
      <w:pPr>
        <w:spacing w:after="0" w:line="312" w:lineRule="auto"/>
        <w:rPr>
          <w:szCs w:val="20"/>
          <w:lang w:eastAsia="pl-PL"/>
        </w:rPr>
      </w:pPr>
    </w:p>
    <w:p w:rsidR="008C7751" w:rsidRPr="00E00B35" w:rsidRDefault="008C7751" w:rsidP="00E00B35">
      <w:pPr>
        <w:spacing w:after="0" w:line="312" w:lineRule="auto"/>
        <w:rPr>
          <w:rStyle w:val="pogrubienieZnak"/>
          <w:b w:val="0"/>
          <w:color w:val="000000" w:themeColor="text1"/>
          <w:szCs w:val="20"/>
        </w:rPr>
      </w:pPr>
      <w:r w:rsidRPr="00E00B35">
        <w:rPr>
          <w:rStyle w:val="pogrubienieZnak"/>
          <w:szCs w:val="20"/>
        </w:rPr>
        <w:t>Podstawa prawna:</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Na podstawie uchwały nr XVII/465/19 Rady Miejskiej Wrocławia z dnia 18.12.2019 r. w sprawie budżetu Miasta na 2020 rok na zadania realizowane w ramach inicjatyw lokalnych w roku 2020 przeznaczono środki finansowe w wysokości: 6 435 tys. zł. Ostatecznie kwotę tę zmniejszono w ciągu roku do kwoty: 4 692,97 tys. zł.</w:t>
      </w:r>
    </w:p>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 xml:space="preserve">Do rozdysponowania tych środków upoważniony był Zespół do oceny wniosków inwestycyjnych o realizację zadania publicznego w ramach inicjatywy lokalnej z zakresu budowy, rozbudowy i przebudowy sieci wodociągowych, kanalizacji sanitarnych oraz dróg wraz z infrastrukturą towarzyszącą, </w:t>
      </w:r>
      <w:bookmarkStart w:id="804" w:name="OLE_LINK1"/>
      <w:r w:rsidRPr="00E00B35">
        <w:rPr>
          <w:color w:val="000000" w:themeColor="text1"/>
          <w:szCs w:val="20"/>
        </w:rPr>
        <w:t xml:space="preserve">powołany Zarządzeniem nr 10816/10 Prezydenta Wrocławia z dnia 26 października 2010 r. wraz z późniejszymi zmianami (Zarządzenie nr 117/10 Prezydenta Wrocławia z dnia 30.12.2011 r., Zarządzenie nr 3113 Prezydenta Wrocławia z dnia 23.11.2011 r. oraz Zarządzenie nr 6064/16 Prezydenta Wrocławia z dnia 29.12.2016 </w:t>
      </w:r>
      <w:bookmarkEnd w:id="804"/>
      <w:r w:rsidRPr="00E00B35">
        <w:rPr>
          <w:color w:val="000000" w:themeColor="text1"/>
          <w:szCs w:val="20"/>
        </w:rPr>
        <w:t xml:space="preserve">r.). Zasadą prowadzenia działalności w zakresie inicjatyw lokalnych jest deklaracja, a następnie dobrowolna wpłata, w wysokości ustalonej przez Zespół, udziału własnego wnioskodawców w kosztach realizacji zadania. </w:t>
      </w:r>
    </w:p>
    <w:p w:rsidR="008C7751" w:rsidRPr="00E00B35" w:rsidRDefault="008C7751" w:rsidP="00E00B35">
      <w:pPr>
        <w:pStyle w:val="NormalnyWeb"/>
        <w:spacing w:before="0" w:beforeAutospacing="0" w:after="0" w:afterAutospacing="0" w:line="312" w:lineRule="auto"/>
        <w:rPr>
          <w:color w:val="000000" w:themeColor="text1"/>
          <w:szCs w:val="20"/>
        </w:rPr>
      </w:pPr>
    </w:p>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Ogółem w roku 2020 wpłaty te wyniosły – 167,44 tys. zł, co stanowi 67% założonego planu dochodów. Wnioski do Programu inicjatyw lokalnych dotyczyły głównie budowy dróg wraz z odwodnieniem i oświetleniem oraz budowy sieci wodociągowych i kanalizacyjnych. Wydatkowanie środków następowało w oparciu o procedury określone w Ustawie o zamówieniach publicznych.</w:t>
      </w:r>
    </w:p>
    <w:p w:rsidR="008C7751" w:rsidRPr="00E00B35" w:rsidRDefault="008C7751" w:rsidP="00E00B35">
      <w:pPr>
        <w:pStyle w:val="Tekstpodstawowy"/>
        <w:suppressAutoHyphens/>
        <w:spacing w:after="0" w:line="312" w:lineRule="auto"/>
        <w:contextualSpacing/>
        <w:rPr>
          <w:szCs w:val="20"/>
        </w:rPr>
      </w:pPr>
    </w:p>
    <w:p w:rsidR="008C7751" w:rsidRPr="00E00B35" w:rsidRDefault="008C7751" w:rsidP="00E00B35">
      <w:pPr>
        <w:pStyle w:val="Tekstpodstawowy"/>
        <w:suppressAutoHyphens/>
        <w:spacing w:after="0" w:line="312" w:lineRule="auto"/>
        <w:contextualSpacing/>
        <w:rPr>
          <w:szCs w:val="20"/>
        </w:rPr>
      </w:pPr>
      <w:r w:rsidRPr="00E00B35">
        <w:rPr>
          <w:color w:val="000000" w:themeColor="text1"/>
          <w:szCs w:val="20"/>
        </w:rPr>
        <w:t>Plan inicjatyw lokalnych obejmował 18 zadań, w tym:</w:t>
      </w:r>
    </w:p>
    <w:p w:rsidR="008C7751" w:rsidRPr="00E00B35" w:rsidRDefault="008C7751" w:rsidP="00E00B35">
      <w:pPr>
        <w:pStyle w:val="Tekstpodstawowy"/>
        <w:numPr>
          <w:ilvl w:val="0"/>
          <w:numId w:val="24"/>
        </w:numPr>
        <w:suppressAutoHyphens/>
        <w:spacing w:after="0" w:line="312" w:lineRule="auto"/>
        <w:rPr>
          <w:szCs w:val="20"/>
        </w:rPr>
      </w:pPr>
      <w:r w:rsidRPr="00E00B35">
        <w:rPr>
          <w:szCs w:val="20"/>
        </w:rPr>
        <w:t>2 zadania z zakresu infrastruktury technicznej;</w:t>
      </w:r>
    </w:p>
    <w:p w:rsidR="008C7751" w:rsidRPr="00E00B35" w:rsidRDefault="008C7751" w:rsidP="00E00B35">
      <w:pPr>
        <w:pStyle w:val="Tekstpodstawowy"/>
        <w:numPr>
          <w:ilvl w:val="0"/>
          <w:numId w:val="24"/>
        </w:numPr>
        <w:suppressAutoHyphens/>
        <w:spacing w:after="0" w:line="312" w:lineRule="auto"/>
        <w:rPr>
          <w:szCs w:val="20"/>
        </w:rPr>
      </w:pPr>
      <w:r w:rsidRPr="00E00B35">
        <w:rPr>
          <w:szCs w:val="20"/>
        </w:rPr>
        <w:t>16 zadań z zakresu drogowego.</w:t>
      </w:r>
    </w:p>
    <w:p w:rsidR="00604CD2" w:rsidRPr="00E00B35" w:rsidRDefault="00604CD2" w:rsidP="00E00B35">
      <w:pPr>
        <w:pStyle w:val="HTML-wstpniesformatowany"/>
        <w:spacing w:after="0" w:line="312" w:lineRule="auto"/>
        <w:rPr>
          <w:rFonts w:ascii="Verdana" w:eastAsia="Times New Roman" w:hAnsi="Verdana"/>
          <w:color w:val="000000" w:themeColor="text1"/>
        </w:rPr>
      </w:pP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Zespół odbył 1 posiedzenie, na które opracowane zostały materiały robocze poprzedzone wizjami w terenie, jak i protokół końcowy z posiedzenia. Na posiedzeniu zostało omówionych i przeanalizowanych 5 nowych wniosków</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Wstępnie Zespół zaakceptował 4 nowe zadania do ujęcia w planie inicjatyw lokalnych na 2020 rok. Ostatecznie przyznano dofinansowanie i w planie ujęto 4 zadania drogowe.</w:t>
      </w:r>
      <w:bookmarkStart w:id="805" w:name="OLE_LINK10"/>
      <w:r w:rsidRPr="00E00B35">
        <w:rPr>
          <w:rFonts w:ascii="Verdana" w:eastAsia="Times New Roman" w:hAnsi="Verdana"/>
          <w:color w:val="000000" w:themeColor="text1"/>
        </w:rPr>
        <w:t xml:space="preserve"> W trakcie realizacji było 7 inwestycji, a w opracowaniu 8 dokumentacji projektowych. Zakończono realizację 7 zadań i opracowano 3 dokumentacje projektow</w:t>
      </w:r>
      <w:bookmarkEnd w:id="805"/>
      <w:r w:rsidRPr="00E00B35">
        <w:rPr>
          <w:rFonts w:ascii="Verdana" w:eastAsia="Times New Roman" w:hAnsi="Verdana"/>
          <w:color w:val="000000" w:themeColor="text1"/>
        </w:rPr>
        <w:t>e.</w:t>
      </w:r>
    </w:p>
    <w:p w:rsidR="008C7751" w:rsidRPr="00E00B35" w:rsidRDefault="008C7751" w:rsidP="00E00B35">
      <w:pPr>
        <w:pStyle w:val="Legenda"/>
        <w:keepNext/>
        <w:spacing w:before="0" w:after="0" w:line="312" w:lineRule="auto"/>
        <w:rPr>
          <w:b/>
          <w:sz w:val="20"/>
          <w:szCs w:val="20"/>
        </w:rPr>
      </w:pPr>
      <w:r w:rsidRPr="00E00B35">
        <w:rPr>
          <w:sz w:val="20"/>
          <w:szCs w:val="20"/>
        </w:rPr>
        <w:t xml:space="preserve">Tabela </w:t>
      </w:r>
      <w:r w:rsidR="00573162" w:rsidRPr="00E00B35">
        <w:rPr>
          <w:b/>
          <w:sz w:val="20"/>
          <w:szCs w:val="20"/>
        </w:rPr>
        <w:fldChar w:fldCharType="begin"/>
      </w:r>
      <w:r w:rsidRPr="00E00B35">
        <w:rPr>
          <w:sz w:val="20"/>
          <w:szCs w:val="20"/>
        </w:rPr>
        <w:instrText xml:space="preserve"> SEQ Tabela \* ARABIC </w:instrText>
      </w:r>
      <w:r w:rsidR="00573162" w:rsidRPr="00E00B35">
        <w:rPr>
          <w:b/>
          <w:sz w:val="20"/>
          <w:szCs w:val="20"/>
        </w:rPr>
        <w:fldChar w:fldCharType="separate"/>
      </w:r>
      <w:r w:rsidR="008C054F">
        <w:rPr>
          <w:noProof/>
          <w:sz w:val="20"/>
          <w:szCs w:val="20"/>
        </w:rPr>
        <w:t>3</w:t>
      </w:r>
      <w:r w:rsidR="00573162" w:rsidRPr="00E00B35">
        <w:rPr>
          <w:b/>
          <w:sz w:val="20"/>
          <w:szCs w:val="20"/>
        </w:rPr>
        <w:fldChar w:fldCharType="end"/>
      </w:r>
      <w:r w:rsidRPr="00E00B35">
        <w:rPr>
          <w:sz w:val="20"/>
          <w:szCs w:val="20"/>
        </w:rPr>
        <w:t>. Rozliczenie środków finansowych przyznawanych na wspieranie inicjatyw lokalnych w 2020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7"/>
        <w:gridCol w:w="2149"/>
        <w:gridCol w:w="2008"/>
        <w:gridCol w:w="2008"/>
      </w:tblGrid>
      <w:tr w:rsidR="008C7751" w:rsidRPr="00E00B35" w:rsidTr="008C7751">
        <w:trPr>
          <w:trHeight w:val="500"/>
        </w:trPr>
        <w:tc>
          <w:tcPr>
            <w:tcW w:w="3047"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Nazwa zadania</w:t>
            </w:r>
          </w:p>
        </w:tc>
        <w:tc>
          <w:tcPr>
            <w:tcW w:w="2149"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Plan po zmianach /(przed zmianami) w zł</w:t>
            </w:r>
          </w:p>
        </w:tc>
        <w:tc>
          <w:tcPr>
            <w:tcW w:w="2008"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Wykonanie w zł</w:t>
            </w:r>
          </w:p>
        </w:tc>
        <w:tc>
          <w:tcPr>
            <w:tcW w:w="2008"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 wykonania</w:t>
            </w:r>
          </w:p>
        </w:tc>
      </w:tr>
      <w:tr w:rsidR="008C7751" w:rsidRPr="00E00B35" w:rsidTr="008C7751">
        <w:trPr>
          <w:trHeight w:val="690"/>
        </w:trPr>
        <w:tc>
          <w:tcPr>
            <w:tcW w:w="3047"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Program inicjatyw lokalnych</w:t>
            </w:r>
          </w:p>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 Dz.600 Rozdz.60016/</w:t>
            </w:r>
          </w:p>
        </w:tc>
        <w:tc>
          <w:tcPr>
            <w:tcW w:w="2149"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 xml:space="preserve">4 692 967 </w:t>
            </w:r>
          </w:p>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(6 435 000)</w:t>
            </w:r>
          </w:p>
        </w:tc>
        <w:tc>
          <w:tcPr>
            <w:tcW w:w="2008"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4 688 508,35</w:t>
            </w:r>
          </w:p>
        </w:tc>
        <w:tc>
          <w:tcPr>
            <w:tcW w:w="2008"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99,90%</w:t>
            </w:r>
          </w:p>
        </w:tc>
      </w:tr>
      <w:tr w:rsidR="008C7751" w:rsidRPr="00E00B35" w:rsidTr="008C7751">
        <w:trPr>
          <w:trHeight w:val="650"/>
        </w:trPr>
        <w:tc>
          <w:tcPr>
            <w:tcW w:w="3047"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lastRenderedPageBreak/>
              <w:t>Realizowane przez ZDiUM</w:t>
            </w:r>
          </w:p>
        </w:tc>
        <w:tc>
          <w:tcPr>
            <w:tcW w:w="2149"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13 284</w:t>
            </w:r>
          </w:p>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(150 000)</w:t>
            </w:r>
          </w:p>
        </w:tc>
        <w:tc>
          <w:tcPr>
            <w:tcW w:w="2008"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13 284</w:t>
            </w:r>
          </w:p>
        </w:tc>
        <w:tc>
          <w:tcPr>
            <w:tcW w:w="2008"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100%</w:t>
            </w:r>
          </w:p>
        </w:tc>
      </w:tr>
      <w:tr w:rsidR="008C7751" w:rsidRPr="00E00B35" w:rsidTr="008C7751">
        <w:trPr>
          <w:trHeight w:val="693"/>
        </w:trPr>
        <w:tc>
          <w:tcPr>
            <w:tcW w:w="3047"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Realizowane przez ZIM</w:t>
            </w:r>
          </w:p>
        </w:tc>
        <w:tc>
          <w:tcPr>
            <w:tcW w:w="2149"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4 679 683</w:t>
            </w:r>
          </w:p>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(6 285 000)</w:t>
            </w:r>
          </w:p>
        </w:tc>
        <w:tc>
          <w:tcPr>
            <w:tcW w:w="2008"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4 675 224,35</w:t>
            </w:r>
          </w:p>
        </w:tc>
        <w:tc>
          <w:tcPr>
            <w:tcW w:w="2008" w:type="dxa"/>
          </w:tcPr>
          <w:p w:rsidR="008C7751" w:rsidRPr="00E00B35" w:rsidRDefault="008C7751" w:rsidP="00E00B35">
            <w:pPr>
              <w:pStyle w:val="NormalnyWeb"/>
              <w:spacing w:before="0" w:beforeAutospacing="0" w:after="0" w:afterAutospacing="0" w:line="312" w:lineRule="auto"/>
              <w:rPr>
                <w:color w:val="000000" w:themeColor="text1"/>
                <w:szCs w:val="20"/>
              </w:rPr>
            </w:pPr>
            <w:r w:rsidRPr="00E00B35">
              <w:rPr>
                <w:color w:val="000000" w:themeColor="text1"/>
                <w:szCs w:val="20"/>
              </w:rPr>
              <w:t>99,90%</w:t>
            </w:r>
          </w:p>
        </w:tc>
      </w:tr>
    </w:tbl>
    <w:p w:rsidR="008C7751" w:rsidRPr="00E00B35" w:rsidRDefault="008C7751" w:rsidP="00E00B35">
      <w:pPr>
        <w:pStyle w:val="Nagwek1"/>
        <w:keepNext w:val="0"/>
        <w:spacing w:before="0" w:after="0" w:line="312" w:lineRule="auto"/>
        <w:rPr>
          <w:b w:val="0"/>
          <w:bCs w:val="0"/>
          <w:sz w:val="20"/>
          <w:szCs w:val="20"/>
          <w:highlight w:val="green"/>
        </w:rPr>
      </w:pPr>
    </w:p>
    <w:p w:rsidR="008C7751" w:rsidRPr="00E00B35" w:rsidRDefault="008C7751" w:rsidP="00E00B35">
      <w:pPr>
        <w:pStyle w:val="Styl1NagwkiGwne"/>
        <w:spacing w:line="312" w:lineRule="auto"/>
        <w:jc w:val="left"/>
        <w:rPr>
          <w:b w:val="0"/>
        </w:rPr>
      </w:pPr>
      <w:r w:rsidRPr="00E00B35">
        <w:rPr>
          <w:b w:val="0"/>
        </w:rPr>
        <w:t>W roku 2020 realizowano:</w:t>
      </w: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Dokumentacje projektowe dla zadań:</w:t>
      </w:r>
    </w:p>
    <w:p w:rsidR="008C7751" w:rsidRPr="00E00B35" w:rsidRDefault="008C7751" w:rsidP="00E00B35">
      <w:pPr>
        <w:pStyle w:val="Styl1NagwkiGwne"/>
        <w:numPr>
          <w:ilvl w:val="0"/>
          <w:numId w:val="77"/>
        </w:numPr>
        <w:spacing w:line="312" w:lineRule="auto"/>
        <w:ind w:left="567" w:hanging="567"/>
        <w:jc w:val="left"/>
        <w:rPr>
          <w:b w:val="0"/>
        </w:rPr>
      </w:pPr>
      <w:r w:rsidRPr="00E00B35">
        <w:rPr>
          <w:b w:val="0"/>
        </w:rPr>
        <w:t>Budowa nawierzchni docelowej wraz z odwodnieniem w sięgaczu ul. Wróblewskiego 6-6b we Wrocławiu – zakończono opracowanie dokumentacji projektowej;</w:t>
      </w:r>
    </w:p>
    <w:p w:rsidR="008C7751" w:rsidRPr="00E00B35" w:rsidRDefault="008C7751" w:rsidP="00E00B35">
      <w:pPr>
        <w:pStyle w:val="Styl1NagwkiGwne"/>
        <w:numPr>
          <w:ilvl w:val="0"/>
          <w:numId w:val="77"/>
        </w:numPr>
        <w:spacing w:line="312" w:lineRule="auto"/>
        <w:ind w:left="567" w:hanging="567"/>
        <w:jc w:val="left"/>
        <w:rPr>
          <w:b w:val="0"/>
        </w:rPr>
      </w:pPr>
      <w:r w:rsidRPr="00E00B35">
        <w:rPr>
          <w:b w:val="0"/>
        </w:rPr>
        <w:t>Budowa oświetlenia w ul. Owczarskiej (na odcinku od ul. Junackiej do ul. Mokrzańskiej) we Wrocławiu – zakończono opracowanie dokumentacji projektowej;</w:t>
      </w:r>
    </w:p>
    <w:p w:rsidR="008C7751" w:rsidRPr="00E00B35" w:rsidRDefault="008C7751" w:rsidP="00E00B35">
      <w:pPr>
        <w:pStyle w:val="Styl1NagwkiGwne"/>
        <w:numPr>
          <w:ilvl w:val="0"/>
          <w:numId w:val="77"/>
        </w:numPr>
        <w:spacing w:line="312" w:lineRule="auto"/>
        <w:ind w:left="567" w:hanging="567"/>
        <w:jc w:val="left"/>
        <w:rPr>
          <w:b w:val="0"/>
        </w:rPr>
      </w:pPr>
      <w:r w:rsidRPr="00E00B35">
        <w:rPr>
          <w:b w:val="0"/>
        </w:rPr>
        <w:t>Budowa drogi w ul. gen Marii Wittek od ul. Ułańskiej do ul. Kontradm. Stefana Frankowskiego we Wrocławiu;</w:t>
      </w:r>
    </w:p>
    <w:p w:rsidR="008C7751" w:rsidRPr="00E00B35" w:rsidRDefault="008C7751" w:rsidP="00E00B35">
      <w:pPr>
        <w:pStyle w:val="Styl1NagwkiGwne"/>
        <w:numPr>
          <w:ilvl w:val="0"/>
          <w:numId w:val="77"/>
        </w:numPr>
        <w:spacing w:line="312" w:lineRule="auto"/>
        <w:ind w:left="567" w:hanging="567"/>
        <w:jc w:val="left"/>
        <w:rPr>
          <w:b w:val="0"/>
        </w:rPr>
      </w:pPr>
      <w:r w:rsidRPr="00E00B35">
        <w:rPr>
          <w:b w:val="0"/>
        </w:rPr>
        <w:t>Przebudowa drogi w ul. Motylkowej;</w:t>
      </w:r>
    </w:p>
    <w:p w:rsidR="008C7751" w:rsidRPr="00E00B35" w:rsidRDefault="008C7751" w:rsidP="00E00B35">
      <w:pPr>
        <w:pStyle w:val="Styl1NagwkiGwne"/>
        <w:numPr>
          <w:ilvl w:val="0"/>
          <w:numId w:val="77"/>
        </w:numPr>
        <w:spacing w:line="312" w:lineRule="auto"/>
        <w:ind w:left="567" w:hanging="567"/>
        <w:jc w:val="left"/>
        <w:rPr>
          <w:b w:val="0"/>
        </w:rPr>
      </w:pPr>
      <w:r w:rsidRPr="00E00B35">
        <w:rPr>
          <w:b w:val="0"/>
        </w:rPr>
        <w:t>Budowa nawierzchni docelowej wraz z odwodnieniem i oświetleniem w ul. Stoszowskiej na odcinku od ul. Piotrkowskiej do dz. Nr 5/10, AM-19, obręb Stabłowice oraz do końca posesji nr 7 i 15.</w:t>
      </w:r>
    </w:p>
    <w:p w:rsidR="008C7751" w:rsidRPr="00E00B35" w:rsidRDefault="008C7751" w:rsidP="00E00B35">
      <w:pPr>
        <w:pStyle w:val="Styl1NagwkiGwne"/>
        <w:spacing w:line="312" w:lineRule="auto"/>
        <w:ind w:left="567" w:hanging="567"/>
        <w:jc w:val="left"/>
        <w:rPr>
          <w:b w:val="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Roboty budowlane dla zadań:</w:t>
      </w: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Zakończono:</w:t>
      </w:r>
    </w:p>
    <w:p w:rsidR="008C7751" w:rsidRPr="00E00B35" w:rsidRDefault="008C7751" w:rsidP="00E00B35">
      <w:pPr>
        <w:pStyle w:val="Styl1NagwkiGwne"/>
        <w:numPr>
          <w:ilvl w:val="0"/>
          <w:numId w:val="78"/>
        </w:numPr>
        <w:spacing w:line="312" w:lineRule="auto"/>
        <w:ind w:left="567" w:hanging="567"/>
        <w:jc w:val="left"/>
        <w:rPr>
          <w:b w:val="0"/>
        </w:rPr>
      </w:pPr>
      <w:r w:rsidRPr="00E00B35">
        <w:rPr>
          <w:b w:val="0"/>
        </w:rPr>
        <w:t>Budowę nawierzchni docelowej wraz z odwodnieniem i oświetleniem w ul. Lubelskiej na odcinku od ul. Łukowskiej do ul. Siedleckiej we Wrocławiu;</w:t>
      </w:r>
    </w:p>
    <w:p w:rsidR="008C7751" w:rsidRPr="00E00B35" w:rsidRDefault="008C7751" w:rsidP="00E00B35">
      <w:pPr>
        <w:pStyle w:val="Styl1NagwkiGwne"/>
        <w:numPr>
          <w:ilvl w:val="0"/>
          <w:numId w:val="78"/>
        </w:numPr>
        <w:spacing w:line="312" w:lineRule="auto"/>
        <w:ind w:left="567" w:hanging="567"/>
        <w:jc w:val="left"/>
        <w:rPr>
          <w:b w:val="0"/>
        </w:rPr>
      </w:pPr>
      <w:r w:rsidRPr="00E00B35">
        <w:rPr>
          <w:b w:val="0"/>
        </w:rPr>
        <w:t>Wykonanie robót budowlanych w ul. Maleczyńskich (podłączenie oświetlenia sięgacza) i w ul. Kupieckiej (droga z płyt betonowych) we Wrocławiu;</w:t>
      </w:r>
    </w:p>
    <w:p w:rsidR="008C7751" w:rsidRPr="00E00B35" w:rsidRDefault="008C7751" w:rsidP="00E00B35">
      <w:pPr>
        <w:pStyle w:val="Styl1NagwkiGwne"/>
        <w:numPr>
          <w:ilvl w:val="0"/>
          <w:numId w:val="78"/>
        </w:numPr>
        <w:spacing w:line="312" w:lineRule="auto"/>
        <w:ind w:left="567" w:hanging="567"/>
        <w:jc w:val="left"/>
        <w:rPr>
          <w:b w:val="0"/>
        </w:rPr>
      </w:pPr>
      <w:r w:rsidRPr="00E00B35">
        <w:rPr>
          <w:b w:val="0"/>
        </w:rPr>
        <w:t>Budowę nawierzchni docelowej wraz z odwodnieniem i oświetleniem w ul. Wieruszowskiej na odcinku od ul. Ostrzeszowskiej do działki nr 55, AM-22, obręb Osobowice we Wrocławiu;</w:t>
      </w:r>
    </w:p>
    <w:p w:rsidR="008C7751" w:rsidRPr="00E00B35" w:rsidRDefault="008C7751" w:rsidP="00E00B35">
      <w:pPr>
        <w:pStyle w:val="Styl1NagwkiGwne"/>
        <w:numPr>
          <w:ilvl w:val="0"/>
          <w:numId w:val="78"/>
        </w:numPr>
        <w:spacing w:line="312" w:lineRule="auto"/>
        <w:ind w:left="567" w:hanging="567"/>
        <w:jc w:val="left"/>
        <w:rPr>
          <w:b w:val="0"/>
        </w:rPr>
      </w:pPr>
      <w:r w:rsidRPr="00E00B35">
        <w:rPr>
          <w:b w:val="0"/>
        </w:rPr>
        <w:t>Budowę kanalizacji sanitarnej oraz nawierzchni docelowej wraz z odwodnieniem i oświetleniem w ul. Pakosławskiej (na odcinku od ul. Rudawskiej do dz. nr 1/3, AM-1, obręb Karłowice) we Wrocławiu;</w:t>
      </w:r>
    </w:p>
    <w:p w:rsidR="008C7751" w:rsidRPr="00E00B35" w:rsidRDefault="008C7751" w:rsidP="00E00B35">
      <w:pPr>
        <w:pStyle w:val="Styl1NagwkiGwne"/>
        <w:numPr>
          <w:ilvl w:val="0"/>
          <w:numId w:val="78"/>
        </w:numPr>
        <w:spacing w:line="312" w:lineRule="auto"/>
        <w:ind w:left="567" w:hanging="567"/>
        <w:jc w:val="left"/>
        <w:rPr>
          <w:b w:val="0"/>
        </w:rPr>
      </w:pPr>
      <w:r w:rsidRPr="00E00B35">
        <w:rPr>
          <w:b w:val="0"/>
        </w:rPr>
        <w:t>Budowę nawierzchni docelowej wraz z odwodnieniem i oświetleniem w ul. H. Steinhausa we Wrocławiu;</w:t>
      </w:r>
    </w:p>
    <w:p w:rsidR="008C7751" w:rsidRPr="00E00B35" w:rsidRDefault="008C7751" w:rsidP="00E00B35">
      <w:pPr>
        <w:pStyle w:val="Styl1NagwkiGwne"/>
        <w:numPr>
          <w:ilvl w:val="0"/>
          <w:numId w:val="78"/>
        </w:numPr>
        <w:spacing w:line="312" w:lineRule="auto"/>
        <w:ind w:left="567" w:hanging="567"/>
        <w:jc w:val="left"/>
        <w:rPr>
          <w:b w:val="0"/>
        </w:rPr>
      </w:pPr>
      <w:r w:rsidRPr="00E00B35">
        <w:rPr>
          <w:b w:val="0"/>
        </w:rPr>
        <w:t>Budowę nawierzchni docelowej wraz z odwodnieniem w ul. Zarembowicza na odcinku od ul. Rdestowej do dz. nr 28/3 AM 6 obręb Strachowice we Wrocławiu;</w:t>
      </w:r>
    </w:p>
    <w:p w:rsidR="008C7751" w:rsidRPr="00E00B35" w:rsidRDefault="008C7751" w:rsidP="00E00B35">
      <w:pPr>
        <w:pStyle w:val="Styl1NagwkiGwne"/>
        <w:numPr>
          <w:ilvl w:val="0"/>
          <w:numId w:val="78"/>
        </w:numPr>
        <w:spacing w:line="312" w:lineRule="auto"/>
        <w:ind w:left="567" w:hanging="567"/>
        <w:jc w:val="left"/>
        <w:rPr>
          <w:b w:val="0"/>
        </w:rPr>
      </w:pPr>
      <w:r w:rsidRPr="00E00B35">
        <w:rPr>
          <w:b w:val="0"/>
        </w:rPr>
        <w:t>Budowę oświetlenia w ul. Owczarskiej (na odcinku od ul. Junackiej do ul. Mokrzańskiej) we Wrocławiu;</w:t>
      </w:r>
    </w:p>
    <w:p w:rsidR="008C7751" w:rsidRPr="00E00B35" w:rsidRDefault="008C7751" w:rsidP="00E00B35">
      <w:pPr>
        <w:pStyle w:val="Styl1NagwkiGwne"/>
        <w:numPr>
          <w:ilvl w:val="0"/>
          <w:numId w:val="78"/>
        </w:numPr>
        <w:spacing w:line="312" w:lineRule="auto"/>
        <w:ind w:left="567" w:hanging="567"/>
        <w:jc w:val="left"/>
        <w:rPr>
          <w:b w:val="0"/>
        </w:rPr>
      </w:pPr>
      <w:r w:rsidRPr="00E00B35">
        <w:rPr>
          <w:b w:val="0"/>
        </w:rPr>
        <w:t>Budowę nawierzchni docelowej wraz z odwodnieniem w sięgaczu ul. Wróblewskiego 6-6b we Wrocławiu.</w:t>
      </w:r>
    </w:p>
    <w:p w:rsidR="008C7751" w:rsidRPr="00E00B35" w:rsidRDefault="008C7751" w:rsidP="00E00B35">
      <w:pPr>
        <w:pStyle w:val="Styl1NagwkiGwne"/>
        <w:spacing w:line="312" w:lineRule="auto"/>
        <w:ind w:left="567"/>
        <w:jc w:val="left"/>
        <w:rPr>
          <w:b w:val="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Rozpoczęto:</w:t>
      </w:r>
    </w:p>
    <w:p w:rsidR="008C7751" w:rsidRPr="00E00B35" w:rsidRDefault="008C7751" w:rsidP="00E00B35">
      <w:pPr>
        <w:pStyle w:val="Styl1NagwkiGwne"/>
        <w:numPr>
          <w:ilvl w:val="0"/>
          <w:numId w:val="107"/>
        </w:numPr>
        <w:spacing w:line="312" w:lineRule="auto"/>
        <w:ind w:left="567" w:hanging="567"/>
        <w:jc w:val="left"/>
        <w:rPr>
          <w:b w:val="0"/>
        </w:rPr>
      </w:pPr>
      <w:r w:rsidRPr="00E00B35">
        <w:rPr>
          <w:b w:val="0"/>
        </w:rPr>
        <w:t>Odwodnienie nawierzchni wjazdu do garażu przy ul. Motylkowej 4-4a we Wrocławiu – w trybie „zaprojektuj i wybuduj”;</w:t>
      </w:r>
    </w:p>
    <w:p w:rsidR="008C7751" w:rsidRPr="00E00B35" w:rsidRDefault="008C7751" w:rsidP="00E00B35">
      <w:pPr>
        <w:pStyle w:val="Styl1NagwkiGwne"/>
        <w:numPr>
          <w:ilvl w:val="0"/>
          <w:numId w:val="107"/>
        </w:numPr>
        <w:spacing w:line="312" w:lineRule="auto"/>
        <w:ind w:left="567" w:hanging="567"/>
        <w:jc w:val="left"/>
        <w:rPr>
          <w:b w:val="0"/>
          <w:color w:val="000000" w:themeColor="text1"/>
        </w:rPr>
      </w:pPr>
      <w:r w:rsidRPr="00E00B35">
        <w:rPr>
          <w:b w:val="0"/>
        </w:rPr>
        <w:lastRenderedPageBreak/>
        <w:t>Odwodnienie nawierzchni jezdni ul. Blacharskiej we Wrocławiu w miejscu zastoiny wodnej w rejonie szkoły podstawowej i pętli autobusowej – w trybie „zaprojektuj i wybuduj”.</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color w:val="000000" w:themeColor="text1"/>
        </w:rPr>
      </w:pPr>
      <w:r w:rsidRPr="00E00B35">
        <w:rPr>
          <w:b w:val="0"/>
          <w:color w:val="000000" w:themeColor="text1"/>
        </w:rPr>
        <w:t>Osiągnięto następujące efekty:</w:t>
      </w:r>
    </w:p>
    <w:p w:rsidR="008C7751" w:rsidRPr="00E00B35" w:rsidRDefault="008C7751" w:rsidP="00E00B35">
      <w:pPr>
        <w:pStyle w:val="Tekstpodstawowy"/>
        <w:numPr>
          <w:ilvl w:val="0"/>
          <w:numId w:val="64"/>
        </w:numPr>
        <w:suppressAutoHyphens/>
        <w:spacing w:after="0" w:line="312" w:lineRule="auto"/>
        <w:ind w:left="567" w:hanging="567"/>
        <w:rPr>
          <w:szCs w:val="20"/>
        </w:rPr>
      </w:pPr>
      <w:r w:rsidRPr="00E00B35">
        <w:rPr>
          <w:szCs w:val="20"/>
        </w:rPr>
        <w:t>kanalizacja sanitarna:</w:t>
      </w:r>
      <w:r w:rsidRPr="00E00B35">
        <w:rPr>
          <w:szCs w:val="20"/>
        </w:rPr>
        <w:tab/>
      </w:r>
      <w:r w:rsidRPr="00E00B35">
        <w:rPr>
          <w:szCs w:val="20"/>
        </w:rPr>
        <w:tab/>
        <w:t>L = 280,10 mb;</w:t>
      </w:r>
    </w:p>
    <w:p w:rsidR="008C7751" w:rsidRPr="00E00B35" w:rsidRDefault="008C7751" w:rsidP="00E00B35">
      <w:pPr>
        <w:pStyle w:val="Tekstpodstawowy"/>
        <w:numPr>
          <w:ilvl w:val="0"/>
          <w:numId w:val="64"/>
        </w:numPr>
        <w:suppressAutoHyphens/>
        <w:spacing w:after="0" w:line="312" w:lineRule="auto"/>
        <w:ind w:left="567" w:hanging="567"/>
        <w:rPr>
          <w:szCs w:val="20"/>
        </w:rPr>
      </w:pPr>
      <w:r w:rsidRPr="00E00B35">
        <w:rPr>
          <w:szCs w:val="20"/>
        </w:rPr>
        <w:t>kanalizacja deszczowa:</w:t>
      </w:r>
      <w:r w:rsidRPr="00E00B35">
        <w:rPr>
          <w:szCs w:val="20"/>
        </w:rPr>
        <w:tab/>
      </w:r>
      <w:r w:rsidRPr="00E00B35">
        <w:rPr>
          <w:szCs w:val="20"/>
        </w:rPr>
        <w:tab/>
        <w:t>L = 566,22 mb;</w:t>
      </w:r>
    </w:p>
    <w:p w:rsidR="008C7751" w:rsidRPr="00E00B35" w:rsidRDefault="008C7751" w:rsidP="00E00B35">
      <w:pPr>
        <w:pStyle w:val="Tekstpodstawowy"/>
        <w:numPr>
          <w:ilvl w:val="0"/>
          <w:numId w:val="64"/>
        </w:numPr>
        <w:suppressAutoHyphens/>
        <w:spacing w:after="0" w:line="312" w:lineRule="auto"/>
        <w:ind w:left="567" w:hanging="567"/>
        <w:rPr>
          <w:szCs w:val="20"/>
        </w:rPr>
      </w:pPr>
      <w:r w:rsidRPr="00E00B35">
        <w:rPr>
          <w:szCs w:val="20"/>
        </w:rPr>
        <w:t xml:space="preserve">nawierzchnia docelowa: </w:t>
      </w:r>
      <w:r w:rsidRPr="00E00B35">
        <w:rPr>
          <w:szCs w:val="20"/>
        </w:rPr>
        <w:tab/>
      </w:r>
      <w:r w:rsidRPr="00E00B35">
        <w:rPr>
          <w:szCs w:val="20"/>
        </w:rPr>
        <w:tab/>
        <w:t>L = 1.019 mb.</w:t>
      </w:r>
    </w:p>
    <w:p w:rsidR="008C7751" w:rsidRPr="00E00B35" w:rsidRDefault="008C7751" w:rsidP="00E00B35">
      <w:pPr>
        <w:pStyle w:val="Tekstpodstawowy"/>
        <w:suppressAutoHyphens/>
        <w:spacing w:after="0" w:line="312" w:lineRule="auto"/>
        <w:ind w:left="720"/>
        <w:rPr>
          <w:szCs w:val="20"/>
        </w:rPr>
      </w:pPr>
    </w:p>
    <w:p w:rsidR="008C7751" w:rsidRPr="00E00B35" w:rsidRDefault="008C7751" w:rsidP="00E00B35">
      <w:pPr>
        <w:pStyle w:val="Tekstpodstawowy"/>
        <w:suppressAutoHyphens/>
        <w:spacing w:after="0" w:line="312" w:lineRule="auto"/>
        <w:ind w:left="720"/>
        <w:rPr>
          <w:szCs w:val="20"/>
        </w:rPr>
        <w:sectPr w:rsidR="008C7751" w:rsidRPr="00E00B35" w:rsidSect="008C7751">
          <w:pgSz w:w="11906" w:h="16838"/>
          <w:pgMar w:top="1417" w:right="1417" w:bottom="1417" w:left="1417" w:header="567" w:footer="708" w:gutter="0"/>
          <w:cols w:space="708"/>
          <w:docGrid w:linePitch="600" w:charSpace="409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1</w:t>
      </w:r>
      <w:r w:rsidR="00573162" w:rsidRPr="00E00B35">
        <w:rPr>
          <w:b/>
          <w:sz w:val="20"/>
          <w:szCs w:val="20"/>
        </w:rPr>
        <w:fldChar w:fldCharType="end"/>
      </w:r>
      <w:r w:rsidRPr="00E00B35">
        <w:rPr>
          <w:sz w:val="20"/>
          <w:szCs w:val="20"/>
        </w:rPr>
        <w:t>. ul. Lubelska przed inwestycją</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2984500" cy="2238375"/>
            <wp:effectExtent l="19050" t="0" r="6350" b="0"/>
            <wp:docPr id="40" name="Obraz 39" descr="Droga na osiedlu domków jednorodzinnych przed inwestycją. Nawierzchnia nieutwardzona, wyboista, kałuże, brak oświetlenia ulicznego, brak chodni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_Lublelska_przed_02.jpg"/>
                    <pic:cNvPicPr/>
                  </pic:nvPicPr>
                  <pic:blipFill>
                    <a:blip r:embed="rId189" cstate="print"/>
                    <a:stretch>
                      <a:fillRect/>
                    </a:stretch>
                  </pic:blipFill>
                  <pic:spPr>
                    <a:xfrm flipH="1">
                      <a:off x="0" y="0"/>
                      <a:ext cx="2986485" cy="2239864"/>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2</w:t>
      </w:r>
      <w:r w:rsidR="00573162" w:rsidRPr="00E00B35">
        <w:rPr>
          <w:b/>
          <w:sz w:val="20"/>
          <w:szCs w:val="20"/>
        </w:rPr>
        <w:fldChar w:fldCharType="end"/>
      </w:r>
      <w:r w:rsidRPr="00E00B35">
        <w:rPr>
          <w:sz w:val="20"/>
          <w:szCs w:val="20"/>
        </w:rPr>
        <w:t>. ul. Lubelska po realizacji inwestycji</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2476500" cy="2238375"/>
            <wp:effectExtent l="19050" t="0" r="0" b="0"/>
            <wp:docPr id="41" name="Obraz 40" descr="Ulica na osiedlu domków jednorodzinnych, stan po inwestycji. Nawierzchnia utwardzona, chodnik wzdłuż zabudowań, wykonane wjazdy do posesji, nasadzenia wzdłuż chodnika, &#10;widoczne latarnie ulicz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_Lublelska_po_02.jpg"/>
                    <pic:cNvPicPr/>
                  </pic:nvPicPr>
                  <pic:blipFill>
                    <a:blip r:embed="rId190" cstate="print"/>
                    <a:srcRect l="17021"/>
                    <a:stretch>
                      <a:fillRect/>
                    </a:stretch>
                  </pic:blipFill>
                  <pic:spPr>
                    <a:xfrm flipH="1">
                      <a:off x="0" y="0"/>
                      <a:ext cx="2476500" cy="2238375"/>
                    </a:xfrm>
                    <a:prstGeom prst="rect">
                      <a:avLst/>
                    </a:prstGeom>
                  </pic:spPr>
                </pic:pic>
              </a:graphicData>
            </a:graphic>
          </wp:inline>
        </w:drawing>
      </w:r>
    </w:p>
    <w:p w:rsidR="008C7751" w:rsidRPr="00E00B35" w:rsidRDefault="008C7751" w:rsidP="00E00B35">
      <w:pPr>
        <w:pStyle w:val="Styl1NagwkiGwne"/>
        <w:spacing w:line="312" w:lineRule="auto"/>
        <w:ind w:left="567"/>
        <w:jc w:val="left"/>
        <w:rPr>
          <w:b w:val="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spacing w:after="0" w:line="312" w:lineRule="auto"/>
        <w:rPr>
          <w:szCs w:val="20"/>
        </w:rPr>
      </w:pPr>
      <w:r w:rsidRPr="00E00B35">
        <w:rPr>
          <w:szCs w:val="20"/>
        </w:rPr>
        <w:lastRenderedPageBreak/>
        <w:t xml:space="preserve">Fot. </w:t>
      </w:r>
      <w:r w:rsidR="00573162" w:rsidRPr="00E00B35">
        <w:rPr>
          <w:szCs w:val="20"/>
        </w:rPr>
        <w:fldChar w:fldCharType="begin"/>
      </w:r>
      <w:r w:rsidRPr="00E00B35">
        <w:rPr>
          <w:szCs w:val="20"/>
        </w:rPr>
        <w:instrText xml:space="preserve"> SEQ Fot. \* ARABIC </w:instrText>
      </w:r>
      <w:r w:rsidR="00573162" w:rsidRPr="00E00B35">
        <w:rPr>
          <w:szCs w:val="20"/>
        </w:rPr>
        <w:fldChar w:fldCharType="separate"/>
      </w:r>
      <w:r w:rsidR="008C054F">
        <w:rPr>
          <w:noProof/>
          <w:szCs w:val="20"/>
        </w:rPr>
        <w:t>3</w:t>
      </w:r>
      <w:r w:rsidR="00573162" w:rsidRPr="00E00B35">
        <w:rPr>
          <w:szCs w:val="20"/>
        </w:rPr>
        <w:fldChar w:fldCharType="end"/>
      </w:r>
      <w:r w:rsidRPr="00E00B35">
        <w:rPr>
          <w:szCs w:val="20"/>
        </w:rPr>
        <w:t>. ul. Pakosławska przed inwestycją</w:t>
      </w:r>
      <w:r w:rsidRPr="00E00B35">
        <w:rPr>
          <w:noProof/>
          <w:szCs w:val="20"/>
          <w:lang w:val="pl-PL" w:eastAsia="pl-PL" w:bidi="ar-SA"/>
        </w:rPr>
        <w:drawing>
          <wp:inline distT="0" distB="0" distL="0" distR="0">
            <wp:extent cx="2563215" cy="1922411"/>
            <wp:effectExtent l="19050" t="0" r="8535" b="0"/>
            <wp:docPr id="48" name="Obraz 6" descr="Droga na osiedlu domków jednorodzinnych przed inwestycją. Nawierzchnia nieutwardzona, wyboista, brak oświetlenia ulicznego, brak chodników. Samochód parkuje na niezabudowanej dział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osławska przed.JPG"/>
                    <pic:cNvPicPr/>
                  </pic:nvPicPr>
                  <pic:blipFill>
                    <a:blip r:embed="rId191" cstate="print"/>
                    <a:stretch>
                      <a:fillRect/>
                    </a:stretch>
                  </pic:blipFill>
                  <pic:spPr>
                    <a:xfrm>
                      <a:off x="0" y="0"/>
                      <a:ext cx="2563555" cy="1922666"/>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4</w:t>
      </w:r>
      <w:r w:rsidR="00573162" w:rsidRPr="00E00B35">
        <w:rPr>
          <w:b/>
          <w:sz w:val="20"/>
          <w:szCs w:val="20"/>
        </w:rPr>
        <w:fldChar w:fldCharType="end"/>
      </w:r>
      <w:r w:rsidRPr="00E00B35">
        <w:rPr>
          <w:sz w:val="20"/>
          <w:szCs w:val="20"/>
        </w:rPr>
        <w:t>. ul. Pakosławska po inwestycji</w:t>
      </w:r>
      <w:r w:rsidRPr="00E00B35">
        <w:rPr>
          <w:b/>
          <w:noProof/>
          <w:sz w:val="20"/>
          <w:szCs w:val="20"/>
          <w:lang w:val="pl-PL" w:eastAsia="pl-PL" w:bidi="ar-SA"/>
        </w:rPr>
        <w:drawing>
          <wp:inline distT="0" distB="0" distL="0" distR="0">
            <wp:extent cx="2563215" cy="1922411"/>
            <wp:effectExtent l="19050" t="0" r="8535" b="0"/>
            <wp:docPr id="24" name="Obraz 3" descr="Droga na osiedlu domków jednorodzinnych przed inwestycją. Nawierzchnia nieutwardzona, wyboista, brak oświetlenia ulicznego, brak chodników. Samochód parkuje na niezabudowanej dział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osławska po2.JPG"/>
                    <pic:cNvPicPr/>
                  </pic:nvPicPr>
                  <pic:blipFill>
                    <a:blip r:embed="rId192" cstate="print"/>
                    <a:stretch>
                      <a:fillRect/>
                    </a:stretch>
                  </pic:blipFill>
                  <pic:spPr>
                    <a:xfrm>
                      <a:off x="0" y="0"/>
                      <a:ext cx="2563554" cy="1922665"/>
                    </a:xfrm>
                    <a:prstGeom prst="rect">
                      <a:avLst/>
                    </a:prstGeom>
                  </pic:spPr>
                </pic:pic>
              </a:graphicData>
            </a:graphic>
          </wp:inline>
        </w:drawing>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pStyle w:val="Nagwek4"/>
        <w:spacing w:before="0" w:after="0" w:line="312" w:lineRule="auto"/>
        <w:rPr>
          <w:sz w:val="20"/>
          <w:szCs w:val="20"/>
        </w:rPr>
      </w:pPr>
      <w:bookmarkStart w:id="806" w:name="_Toc66358312"/>
      <w:r w:rsidRPr="00E00B35">
        <w:rPr>
          <w:sz w:val="20"/>
          <w:szCs w:val="20"/>
        </w:rPr>
        <w:lastRenderedPageBreak/>
        <w:t>Realizacja polityki rowerowej</w:t>
      </w:r>
      <w:bookmarkEnd w:id="806"/>
    </w:p>
    <w:p w:rsidR="008C7751" w:rsidRPr="00E00B35" w:rsidRDefault="008C7751" w:rsidP="00E00B35">
      <w:pPr>
        <w:pStyle w:val="Styl1NagwkiGwne"/>
        <w:spacing w:line="312" w:lineRule="auto"/>
        <w:jc w:val="left"/>
        <w:rPr>
          <w:b w:val="0"/>
        </w:rPr>
      </w:pPr>
      <w:r w:rsidRPr="00E00B35">
        <w:rPr>
          <w:b w:val="0"/>
        </w:rPr>
        <w:t>Cel programu:</w:t>
      </w:r>
    </w:p>
    <w:p w:rsidR="008C7751" w:rsidRPr="00E00B35" w:rsidRDefault="008C7751" w:rsidP="00E00B35">
      <w:pPr>
        <w:pStyle w:val="Styl1NagwkiGwne"/>
        <w:spacing w:line="312" w:lineRule="auto"/>
        <w:jc w:val="left"/>
        <w:rPr>
          <w:b w:val="0"/>
        </w:rPr>
      </w:pPr>
      <w:r w:rsidRPr="00E00B35">
        <w:rPr>
          <w:b w:val="0"/>
        </w:rPr>
        <w:t>Rozwój komunikacji rowerowej we Wrocławiu poprzez zapewnienie możliwości bezpiecznego i wygodnego poruszania się rowerem po mieście.</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Poniesione w 2020 roku nakłady: 21 353 tys. zł</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W roku 2020 w ramach polityki rowerowej zrealizowano zadania:</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Budowa ulicy Fabrycznej i ulicy Otyńskiej we Wrocławiu, czas realizacji 2019 - 2020, całkowity koszt realizacji 647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lastRenderedPageBreak/>
        <w:t>Budowa chodników i przejść dla pieszych w ciągu ul. Swojczyckiej i Ludowej we Wrocławiu, czas realizacji 2019 - 2020, całkowity koszt realizacji 347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Budowa ul. Berenta we Wrocławiu, czas realizacji 2019 - 2020, całkowity koszt realizacji 73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Przebudowa ul. Dworcowej w celu wydzielenia dróg rowerowych we Wrocławiu, Przebudowa dróg w celu wyznaczenia dróg rowerowych w ulicach: Podwale, Komuny Paryskiej i Krasińskiego we Wrocławiu, czas realizacji 2019 - 2020, całkowity koszt realizacji 1 984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Budowa ścieżek rowerowych i ciągów pieszych na Gądowie Małym we Wrocławiu, czas realizacji 2019 - 2020, całkowity koszt realizacji 623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Przebudowa ulic w ciągu drogi wojewódzkiej 342, czas realizacji 2019 - 2020, całkowity koszt realizacji 895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Budowa ciągu pieszo – rowerowego wzdłuż ul. Królewskiej we Wrocławiu, czas realizacji 2019 - 2020, całkowity koszt realizacji 989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Przebudowa Promenady Krzyckiej w celu wydzielenia dróg rowerowych (Borowska – Spiska), czas realizacji 2019 - 2020, całkowity koszt realizacji 581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Strzegomska w rejonie skrzyżowania z ul. Stacyjną, czas realizacji 2019 - 2020, całkowity koszt realizacji 220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Budowa Bike&amp;Ride przy pętli Leśnica wraz z opracowaniem dokumentacji projektowej, czas realizacji 2020, całkowity koszt realizacji 82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Budowa trasy autobusowo - tramwajowej łączącej Nowy Dwór z Centrum Wrocławia, czas realizacji 2019 - 2021, całkowity koszt realizacji 500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Przebudowa al. Karkonoskiej i ul. Powstańców Śląskich w celu wyznaczenia dróg i pasów rowerowych, czas realizacji 2020 – 2022, całkowity koszt realizacji 6 048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Budowa ciągu pieszo-rowerowego w ciągu ulicy Żagańskiej na odcinku Żagańska - Ścinawska, czas realizacji 2020, całkowity koszt realizacji 852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Budowa ciągu pieszo-rowerowego na Krzywej Grobli, czas realizacji 2020, całkowity koszt realizacji 708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Opracowanie dokumentacji projektowej dla budowy kładki w ciągu ulic Trawowa – Francuska we Wrocławiu, czas realizacji 2019 - 2020, całkowity koszt realizacji 198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Wprowadzenie kontraruchu rowerowego na wybranych ulicach Wrocławia, czas realizacji 2020, całkowity koszt realizacji 234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Remont kładki Siedleckiej, czas realizacji 2020, całkowity koszt realizacji 648 tys. zł;</w:t>
      </w:r>
    </w:p>
    <w:p w:rsidR="008C7751" w:rsidRPr="00E00B35" w:rsidRDefault="008C7751" w:rsidP="00E00B35">
      <w:pPr>
        <w:pStyle w:val="Tekstpodstawowy"/>
        <w:numPr>
          <w:ilvl w:val="0"/>
          <w:numId w:val="106"/>
        </w:numPr>
        <w:tabs>
          <w:tab w:val="left" w:pos="567"/>
        </w:tabs>
        <w:suppressAutoHyphens/>
        <w:spacing w:after="0" w:line="312" w:lineRule="auto"/>
        <w:ind w:left="567" w:hanging="567"/>
        <w:rPr>
          <w:szCs w:val="20"/>
        </w:rPr>
      </w:pPr>
      <w:r w:rsidRPr="00E00B35">
        <w:rPr>
          <w:szCs w:val="20"/>
        </w:rPr>
        <w:t>Utrzymanie roweru miejskiego WRM, czas realizacji 2021, całkowity koszt realizacji 5 724 tys. zł.</w:t>
      </w:r>
    </w:p>
    <w:p w:rsidR="008C7751" w:rsidRPr="00E00B35" w:rsidRDefault="008C7751" w:rsidP="00E00B35">
      <w:pPr>
        <w:pStyle w:val="Tekstpodstawowy"/>
        <w:suppressAutoHyphens/>
        <w:spacing w:after="0" w:line="312" w:lineRule="auto"/>
        <w:ind w:left="284"/>
        <w:rPr>
          <w:szCs w:val="20"/>
        </w:rPr>
      </w:pPr>
    </w:p>
    <w:p w:rsidR="008C7751" w:rsidRPr="00E00B35" w:rsidRDefault="008C7751" w:rsidP="00E00B35">
      <w:pPr>
        <w:pStyle w:val="Tekstpodstawowy"/>
        <w:suppressAutoHyphens/>
        <w:spacing w:after="0" w:line="312" w:lineRule="auto"/>
        <w:rPr>
          <w:szCs w:val="20"/>
        </w:rPr>
      </w:pPr>
      <w:r w:rsidRPr="00E00B35">
        <w:rPr>
          <w:szCs w:val="20"/>
        </w:rPr>
        <w:t xml:space="preserve">Osiągnięto następujące efekty: </w:t>
      </w:r>
    </w:p>
    <w:p w:rsidR="008C7751" w:rsidRPr="00E00B35" w:rsidRDefault="008C7751" w:rsidP="00E00B35">
      <w:pPr>
        <w:pStyle w:val="Tekstpodstawowy"/>
        <w:suppressAutoHyphens/>
        <w:spacing w:after="0" w:line="312" w:lineRule="auto"/>
        <w:rPr>
          <w:szCs w:val="20"/>
        </w:rPr>
      </w:pPr>
      <w:r w:rsidRPr="00E00B35">
        <w:rPr>
          <w:szCs w:val="20"/>
        </w:rPr>
        <w:t>W wyniku podjętych działań osiągnięto poprawę komfortu i bezpieczeństwa jazdy rowerem po Wrocławiu. Uspójniono sieć tras rowerowych, zwiększając pozytywne oddziaływanie sieci tras rowerowych na Wrocławian.</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5</w:t>
      </w:r>
      <w:r w:rsidR="00573162" w:rsidRPr="00E00B35">
        <w:rPr>
          <w:b/>
          <w:sz w:val="20"/>
          <w:szCs w:val="20"/>
        </w:rPr>
        <w:fldChar w:fldCharType="end"/>
      </w:r>
      <w:r w:rsidRPr="00E00B35">
        <w:rPr>
          <w:sz w:val="20"/>
          <w:szCs w:val="20"/>
        </w:rPr>
        <w:t>. Nowa droga rowerowa w al. Karkonoskiej</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5298999" cy="2574951"/>
            <wp:effectExtent l="19050" t="0" r="0" b="0"/>
            <wp:docPr id="53" name="Obraz 52" descr="Walec drogowy utwardza nawierzchnię nowej drogi rowerow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_rower_Karkonoska.jpg"/>
                    <pic:cNvPicPr/>
                  </pic:nvPicPr>
                  <pic:blipFill>
                    <a:blip r:embed="rId193" cstate="print"/>
                    <a:stretch>
                      <a:fillRect/>
                    </a:stretch>
                  </pic:blipFill>
                  <pic:spPr>
                    <a:xfrm>
                      <a:off x="0" y="0"/>
                      <a:ext cx="5305251" cy="2577989"/>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6</w:t>
      </w:r>
      <w:r w:rsidR="00573162" w:rsidRPr="00E00B35">
        <w:rPr>
          <w:b/>
          <w:sz w:val="20"/>
          <w:szCs w:val="20"/>
        </w:rPr>
        <w:fldChar w:fldCharType="end"/>
      </w:r>
      <w:r w:rsidRPr="00E00B35">
        <w:rPr>
          <w:sz w:val="20"/>
          <w:szCs w:val="20"/>
        </w:rPr>
        <w:t>. Kładka w al. Karkonoskiej</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5295570" cy="3436233"/>
            <wp:effectExtent l="19050" t="0" r="330" b="0"/>
            <wp:docPr id="11" name="Obraz 2" descr="Dźwig opuszcza i montuje kładkę (mostek) do przeprawy rowerowo- pieszej nad rzeką Ślęz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_rower_Karkonoska_kladka.jpg"/>
                    <pic:cNvPicPr/>
                  </pic:nvPicPr>
                  <pic:blipFill>
                    <a:blip r:embed="rId194" cstate="print"/>
                    <a:stretch>
                      <a:fillRect/>
                    </a:stretch>
                  </pic:blipFill>
                  <pic:spPr>
                    <a:xfrm>
                      <a:off x="0" y="0"/>
                      <a:ext cx="5295030" cy="3435883"/>
                    </a:xfrm>
                    <a:prstGeom prst="rect">
                      <a:avLst/>
                    </a:prstGeom>
                  </pic:spPr>
                </pic:pic>
              </a:graphicData>
            </a:graphic>
          </wp:inline>
        </w:drawing>
      </w:r>
      <w:r w:rsidRPr="00E00B35">
        <w:rPr>
          <w:szCs w:val="20"/>
        </w:rPr>
        <w:br w:type="page"/>
      </w:r>
    </w:p>
    <w:p w:rsidR="008C7751" w:rsidRPr="00E00B35" w:rsidRDefault="008C7751" w:rsidP="00E00B35">
      <w:pPr>
        <w:pStyle w:val="Nagwek4"/>
        <w:spacing w:before="0" w:after="0" w:line="312" w:lineRule="auto"/>
        <w:rPr>
          <w:sz w:val="20"/>
          <w:szCs w:val="20"/>
        </w:rPr>
      </w:pPr>
      <w:bookmarkStart w:id="807" w:name="_Toc66358313"/>
      <w:r w:rsidRPr="00E00B35">
        <w:rPr>
          <w:sz w:val="20"/>
          <w:szCs w:val="20"/>
        </w:rPr>
        <w:lastRenderedPageBreak/>
        <w:t>Program ruchu pieszego</w:t>
      </w:r>
      <w:bookmarkEnd w:id="807"/>
    </w:p>
    <w:p w:rsidR="008C7751" w:rsidRPr="00E00B35" w:rsidRDefault="008C7751" w:rsidP="00E00B35">
      <w:pPr>
        <w:pStyle w:val="Tekstpodstawowy"/>
        <w:suppressAutoHyphens/>
        <w:spacing w:after="0" w:line="312" w:lineRule="auto"/>
        <w:rPr>
          <w:szCs w:val="20"/>
        </w:rPr>
      </w:pPr>
      <w:r w:rsidRPr="00E00B35">
        <w:rPr>
          <w:rFonts w:eastAsiaTheme="minorHAnsi" w:cstheme="minorBidi"/>
          <w:szCs w:val="20"/>
        </w:rPr>
        <w:t>Cel programu:</w:t>
      </w:r>
      <w:r w:rsidRPr="00E00B35">
        <w:rPr>
          <w:szCs w:val="20"/>
        </w:rPr>
        <w:t xml:space="preserve"> </w:t>
      </w:r>
    </w:p>
    <w:p w:rsidR="008C7751" w:rsidRPr="00E00B35" w:rsidRDefault="008C7751" w:rsidP="00E00B35">
      <w:pPr>
        <w:pStyle w:val="Tekstpodstawowy"/>
        <w:suppressAutoHyphens/>
        <w:spacing w:after="0" w:line="312" w:lineRule="auto"/>
        <w:rPr>
          <w:szCs w:val="20"/>
        </w:rPr>
      </w:pPr>
      <w:r w:rsidRPr="00E00B35">
        <w:rPr>
          <w:szCs w:val="20"/>
        </w:rPr>
        <w:t>Poprawa bezpieczeństwa ruchu pieszych, przez budowę i rozbudowę odpowiedniej infrastruktury wraz z wprowadzeniem elementów bezpieczeństwa ruchu.</w:t>
      </w:r>
    </w:p>
    <w:p w:rsidR="008C7751" w:rsidRPr="00E00B35" w:rsidRDefault="008C7751" w:rsidP="00E00B35">
      <w:pPr>
        <w:pStyle w:val="Tekstpodstawowy"/>
        <w:suppressAutoHyphens/>
        <w:spacing w:after="0" w:line="312" w:lineRule="auto"/>
        <w:rPr>
          <w:szCs w:val="20"/>
        </w:rPr>
      </w:pPr>
      <w:r w:rsidRPr="00E00B35">
        <w:rPr>
          <w:szCs w:val="20"/>
        </w:rPr>
        <w:t>Poniesione w 2020 roku nakłady: 3 907 tys. zł</w:t>
      </w:r>
    </w:p>
    <w:p w:rsidR="008C7751" w:rsidRPr="00E00B35" w:rsidRDefault="008C7751" w:rsidP="00E00B35">
      <w:pPr>
        <w:pStyle w:val="Tekstpodstawowy"/>
        <w:suppressAutoHyphens/>
        <w:spacing w:after="0" w:line="312" w:lineRule="auto"/>
        <w:rPr>
          <w:szCs w:val="20"/>
        </w:rPr>
      </w:pPr>
      <w:r w:rsidRPr="00E00B35">
        <w:rPr>
          <w:szCs w:val="20"/>
        </w:rPr>
        <w:t>W roku 2020 zrealizowano 33 zadania:</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Dostawa i montaż 24 ławek w 9 lokalizacjach zgłoszonych przez mieszkańców w 2019 r., czas realizacji 2020, całkowity koszt realizacji 50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Budowa przejścia dla pieszych przy zajezdni Dąbie przez ul. Wróblewskiego, czas realizacji 2020, całkowity koszt realizacji 221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Zmiana organizacji ruchu przy ul. Olszewskiego/Norblina wraz z towarzyszącymi robotami drogowymi, czas realizacji 2019 - 2020, całkowity koszt realizacji 227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Budowa chodnika i przystanku autobusowego wraz z jego doświetleniem w ul. Bierutowskiej, czas realizacji 2020, całkowity koszt realizacji 166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Budowa chodnika w ul. Żmichowskiej, czas realizacji 2020, całkowity koszt realizacji 117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Uporządkowanie parkowania na Przedmieściu Świdnickim (obszar w kwartale ulic: Grabiszyńskiej, Piłsudskiego, Zielińskiego i nasypu kolejowego) – realizacja etapu II, czas realizacji 2020, całkowity koszt realizacji 187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Przebudowa ul. Dubrownickiej od ul. Lublańskiej do ul. Wilczkowskiej w zakresie budowy chodnika, czas realizacji 2019 - 2020, całkowity koszt realizacji 86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Przebudowa ul. Kazimierza Wielkiego w celu wyznaczenia przejść dla pieszych na skrzyżowaniu z ul. Ruską, czas realizacji 2020, całkowity koszt realizacji 472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Wykonanie obniżeń krawężników na przejściach dla pieszych w rejonie wybranych skrzyżowań, czas realizacji 2020, całkowity koszt realizacji 157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Zmiana organizacji ruchu w ul. Jemiołowej – Żelaznej, czas realizacji 2020, całkowity koszt realizacji 204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Poprawa bezpieczeństwa ruchu drogowego na ul. Wyszyńskiego, czas realizacji 2020, całkowity koszt realizacji 61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Przełożenie chodnika i wyznaczenie miejsc postojowych na ul. Niedźwiedziej na odcinku od ul. Żubrzej do ul. Popowickiej: etap I – od ul. Żubrzej do ul. Jeleniej oraz etap II – od ul. Jeleniej do ul. Popowickiej, czas realizacji 2020, całkowity koszt realizacji 611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Zakup elementów prefabrykowanych urządzeń Bezpieczeństwa Ruchu Drogowego – zakup azyli drogowych oraz pylonów podatnych U-5b, czas realizacji 2020, całkowity koszt realizacji 70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Poprawa stanu chodnika przy ul. Jesionowej od nr 26 do skrzyżowania z ul. Nyską, czas realizacji 2020, całkowity koszt realizacji 98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Poprawa stanu chodnika w ul. Grabiszyńskiej od ul. Fiołkowej w kierunku cmentarza, czas realizacji 2020, całkowity koszt realizacji 76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Poprawa stanu chodnika w ul. Głogowskiej od nr 2 do skrzyżowania z ul. Zachodnią, czas realizacji 2020, całkowity koszt realizacji 103,5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lastRenderedPageBreak/>
        <w:t>Poprawa stanu chodników polegająca na wymianie nawierzchni na dwóch odcinkach ul. Kruczej (od nr 84 do nr 100b oraz od nr 53 do nr 57), czas realizacji 2020, całkowity koszt realizacji 168,5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Poprawa stanu chodników polegająca na wymianie nawierzchni na ul. Poświęckiej od nr 55 do nr 29, czas realizacji 2020, całkowity koszt realizacji 76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Poprawa stanu chodników polegająca na wymianie nawierzchni na fragmencie ul. Sołtysowickiej (od nr 17 do nr 24/26)”, czas realizacji 2020, całkowity koszt realizacji 110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Remont chodnika polegający na wymianie nawierzchni przy ul. Studziennej, czas realizacji 2020, całkowity koszt realizacji 76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Poprawa stanu technicznego chodników polegająca na wymianie nawierzchni przy ul. Daszyńskiego i ul. Miarki, czas realizacji 2020, całkowity koszt realizacji 160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Wykonanie zmiany organizacji ruchu z drogowymi robotami towarzyszącymi w zakresie budowy mini ronda na skrzyżowaniu ul. Sztabowej i ul. Pocztowej, czas realizacji 2020, całkowity koszt realizacji 108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Projekt przebudowy ul. Średzkiej w zakresie budowy azylu na istniejącym przejściu dla pieszych przy skrzyżowaniu z ul. Mokrzańską, czas realizacji 2020, całkowity koszt realizacji 34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Projekt remontu peronów tramwajowych w rejonie skrzyżowania ul. Olszewskiego - ul. Chełmońskiego, czas realizacji 2019 - 2020, całkowity koszt realizacji 34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Projekt uporządkowania miejsc parkingowych na chodnikach ul. Mielecka, czas realizacji 2020, całkowity koszt realizacji 15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Projekt uporządkowania miejsc parkingowych na chodnikach ul. Ołbińska i Kręta, czas realizacji 2020, całkowity koszt realizacji 16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Projekt organizacji ruchu wyznaczenia płatnych miejsc postojowych na ul. Sienkiewicza na odcinku pomiędzy skrzyżowaniami z ul. Piastowską i ul. Grunwaldzką, czas realizacji 2020, całkowity koszt realizacji 20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Projekt budowy chodnika przy ul. Kurpiów na odc. od ul. Brylantowej do ul. Grota Roweckiego i przejścia dla pieszych wraz z oświetleniem w obszarze skrzyżowania z ul. Strączkową, czas realizacji 2020, całkowity koszt realizacji 45,5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Projekt organizacji ruchu wyznaczenia płatnych miejsc postojowych w obszarze ograniczonym ulicami: Grunwaldzka – Piastowska – Sienkiewicza, czas realizacji 2020, całkowity koszt realizacji 31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Projekt organizacji ruchu wyznaczenia płatnych miejsc postojowych w obszarze ograniczonym ulicami: Piłsudskiego – Tęczowa – Wysoka – Grabiszyńska, czas realizacji 2020, całkowity koszt realizacji 80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Projekt organizacji ruchu wyznaczenia płatnych miejsc postojowych na ul. Zaolziańskiej, czas realizacji 2020, całkowity koszt realizacji 8,5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Projekt organizacji ruchu wyznaczenia płatnych miejsc postojowych na ul. Wrońskiego, czas realizacji 2020, całkowity koszt realizacji 9 tys. zł;</w:t>
      </w:r>
    </w:p>
    <w:p w:rsidR="008C7751" w:rsidRPr="00E00B35" w:rsidRDefault="008C7751" w:rsidP="00E00B35">
      <w:pPr>
        <w:pStyle w:val="Tekstpodstawowy"/>
        <w:numPr>
          <w:ilvl w:val="0"/>
          <w:numId w:val="20"/>
        </w:numPr>
        <w:tabs>
          <w:tab w:val="left" w:pos="567"/>
        </w:tabs>
        <w:suppressAutoHyphens/>
        <w:spacing w:after="0" w:line="312" w:lineRule="auto"/>
        <w:ind w:left="567" w:hanging="567"/>
        <w:rPr>
          <w:szCs w:val="20"/>
        </w:rPr>
      </w:pPr>
      <w:r w:rsidRPr="00E00B35">
        <w:rPr>
          <w:szCs w:val="20"/>
        </w:rPr>
        <w:t>Projekt organizacji ruchu wyznaczenia płatnych miejsc postojowych na ul. Ziemowita, czas realizacji 2020, całkowity koszt realizacji 9 tys. zł.</w:t>
      </w:r>
    </w:p>
    <w:p w:rsidR="008C7751" w:rsidRPr="00E00B35" w:rsidRDefault="008C7751" w:rsidP="00E00B35">
      <w:pPr>
        <w:pStyle w:val="Tekstpodstawowy"/>
        <w:tabs>
          <w:tab w:val="left" w:pos="567"/>
        </w:tabs>
        <w:suppressAutoHyphens/>
        <w:spacing w:after="0" w:line="312" w:lineRule="auto"/>
        <w:ind w:left="567" w:hanging="567"/>
        <w:rPr>
          <w:szCs w:val="20"/>
        </w:rPr>
      </w:pPr>
    </w:p>
    <w:p w:rsidR="008C7751" w:rsidRPr="00E00B35" w:rsidRDefault="008C7751" w:rsidP="00E00B35">
      <w:pPr>
        <w:pStyle w:val="Tekstpodstawowy"/>
        <w:suppressAutoHyphens/>
        <w:spacing w:after="0" w:line="312" w:lineRule="auto"/>
        <w:rPr>
          <w:szCs w:val="20"/>
        </w:rPr>
      </w:pPr>
      <w:r w:rsidRPr="00E00B35">
        <w:rPr>
          <w:szCs w:val="20"/>
        </w:rPr>
        <w:lastRenderedPageBreak/>
        <w:t>Osiągnięto następujące efekty:</w:t>
      </w:r>
    </w:p>
    <w:p w:rsidR="008C7751" w:rsidRPr="00E00B35" w:rsidRDefault="008C7751" w:rsidP="00E00B35">
      <w:pPr>
        <w:pStyle w:val="Tekstpodstawowy"/>
        <w:suppressAutoHyphens/>
        <w:spacing w:after="0" w:line="312" w:lineRule="auto"/>
        <w:rPr>
          <w:szCs w:val="20"/>
        </w:rPr>
      </w:pPr>
      <w:r w:rsidRPr="00E00B35">
        <w:rPr>
          <w:szCs w:val="20"/>
        </w:rPr>
        <w:t>Realizacja zadań znacząco wpłynęła na poprawę bezpieczeństwa pieszych oraz na zwiększenie dostępności przestrzeni miejskich.</w:t>
      </w:r>
    </w:p>
    <w:p w:rsidR="008C7751" w:rsidRPr="00E00B35" w:rsidRDefault="008C7751" w:rsidP="00E00B35">
      <w:pPr>
        <w:pStyle w:val="Tekstpodstawowy"/>
        <w:suppressAutoHyphens/>
        <w:spacing w:after="0" w:line="312" w:lineRule="auto"/>
        <w:rPr>
          <w:szCs w:val="2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7</w:t>
      </w:r>
      <w:r w:rsidR="00573162" w:rsidRPr="00E00B35">
        <w:rPr>
          <w:b/>
          <w:sz w:val="20"/>
          <w:szCs w:val="20"/>
        </w:rPr>
        <w:fldChar w:fldCharType="end"/>
      </w:r>
      <w:r w:rsidRPr="00E00B35">
        <w:rPr>
          <w:sz w:val="20"/>
          <w:szCs w:val="20"/>
        </w:rPr>
        <w:t>. Chodnik w ul. Niedźwiedziej przed inwestycją</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3023614" cy="2267712"/>
            <wp:effectExtent l="19050" t="0" r="5336" b="0"/>
            <wp:docPr id="12" name="Obraz 3" descr="Chodnik na osiedlu wielorodzinnym, nierówny. Parkują na nim samoch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_pieszy_Niedźwiedzia_przed.jpg"/>
                    <pic:cNvPicPr/>
                  </pic:nvPicPr>
                  <pic:blipFill>
                    <a:blip r:embed="rId195" cstate="print"/>
                    <a:stretch>
                      <a:fillRect/>
                    </a:stretch>
                  </pic:blipFill>
                  <pic:spPr>
                    <a:xfrm>
                      <a:off x="0" y="0"/>
                      <a:ext cx="3027416" cy="2270563"/>
                    </a:xfrm>
                    <a:prstGeom prst="rect">
                      <a:avLst/>
                    </a:prstGeom>
                  </pic:spPr>
                </pic:pic>
              </a:graphicData>
            </a:graphic>
          </wp:inline>
        </w:drawing>
      </w:r>
      <w:r w:rsidRPr="00E00B35">
        <w:rPr>
          <w:szCs w:val="20"/>
        </w:rPr>
        <w:t xml:space="preserve"> </w:t>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8</w:t>
      </w:r>
      <w:r w:rsidR="00573162" w:rsidRPr="00E00B35">
        <w:rPr>
          <w:b/>
          <w:sz w:val="20"/>
          <w:szCs w:val="20"/>
        </w:rPr>
        <w:fldChar w:fldCharType="end"/>
      </w:r>
      <w:r w:rsidRPr="00E00B35">
        <w:rPr>
          <w:sz w:val="20"/>
          <w:szCs w:val="20"/>
        </w:rPr>
        <w:t>. Chodnik w ul. Niedźwiedziej po inwestycji</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3002127" cy="2251596"/>
            <wp:effectExtent l="19050" t="0" r="7773" b="0"/>
            <wp:docPr id="13" name="Obraz 6" descr="Chodnik z nową nawierzchnią z płytek betonowych. Uporządkowane miejsca do parkowania (samochody zaparkowane na prostopadłych lub równoległych do krawędzi drogi miejscach postoj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_pieszy_Niedźwiedzia_po.jpg"/>
                    <pic:cNvPicPr/>
                  </pic:nvPicPr>
                  <pic:blipFill>
                    <a:blip r:embed="rId196" cstate="print"/>
                    <a:stretch>
                      <a:fillRect/>
                    </a:stretch>
                  </pic:blipFill>
                  <pic:spPr>
                    <a:xfrm>
                      <a:off x="0" y="0"/>
                      <a:ext cx="3002893" cy="2252171"/>
                    </a:xfrm>
                    <a:prstGeom prst="rect">
                      <a:avLst/>
                    </a:prstGeom>
                  </pic:spPr>
                </pic:pic>
              </a:graphicData>
            </a:graphic>
          </wp:inline>
        </w:drawing>
      </w:r>
    </w:p>
    <w:p w:rsidR="008C7751" w:rsidRPr="00E00B35" w:rsidRDefault="008C7751" w:rsidP="00E00B35">
      <w:pPr>
        <w:pStyle w:val="Tekstpodstawowy"/>
        <w:suppressAutoHyphens/>
        <w:spacing w:after="0" w:line="312" w:lineRule="auto"/>
        <w:rPr>
          <w:szCs w:val="2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pStyle w:val="Legenda"/>
        <w:keepNext/>
        <w:spacing w:before="0" w:after="0" w:line="312" w:lineRule="auto"/>
        <w:rPr>
          <w:b/>
          <w:sz w:val="20"/>
          <w:szCs w:val="20"/>
        </w:rPr>
      </w:pPr>
      <w:bookmarkStart w:id="808" w:name="_Toc62120184"/>
      <w:bookmarkEnd w:id="798"/>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9</w:t>
      </w:r>
      <w:r w:rsidR="00573162" w:rsidRPr="00E00B35">
        <w:rPr>
          <w:b/>
          <w:sz w:val="20"/>
          <w:szCs w:val="20"/>
        </w:rPr>
        <w:fldChar w:fldCharType="end"/>
      </w:r>
      <w:r w:rsidRPr="00E00B35">
        <w:rPr>
          <w:sz w:val="20"/>
          <w:szCs w:val="20"/>
        </w:rPr>
        <w:t>. Przejście dla pieszych przy zajezdni Dąbie</w:t>
      </w:r>
      <w:r w:rsidRPr="00E00B35">
        <w:rPr>
          <w:b/>
          <w:noProof/>
          <w:sz w:val="20"/>
          <w:szCs w:val="20"/>
          <w:lang w:val="pl-PL" w:eastAsia="pl-PL" w:bidi="ar-SA"/>
        </w:rPr>
        <w:drawing>
          <wp:inline distT="0" distB="0" distL="0" distR="0">
            <wp:extent cx="5760720" cy="4320540"/>
            <wp:effectExtent l="19050" t="0" r="0" b="0"/>
            <wp:docPr id="54" name="Obraz 53" descr="Szerokie przejście dla pieszych przebiegające przez torowisko tramwajowe wraz z szerokim, wymalowanym na czerwono przejazdem dla rowerów, wyposażone w azyle. Oświetlone latarniami. Wyposażone w dodatkowe barierki, zapobiegające przypadkowemu wtargnięciu pieszego na tor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_pieszy_Dąbie_przejście_po.jpg"/>
                    <pic:cNvPicPr/>
                  </pic:nvPicPr>
                  <pic:blipFill>
                    <a:blip r:embed="rId197" cstate="print"/>
                    <a:stretch>
                      <a:fillRect/>
                    </a:stretch>
                  </pic:blipFill>
                  <pic:spPr>
                    <a:xfrm>
                      <a:off x="0" y="0"/>
                      <a:ext cx="5760720" cy="4320540"/>
                    </a:xfrm>
                    <a:prstGeom prst="rect">
                      <a:avLst/>
                    </a:prstGeom>
                  </pic:spPr>
                </pic:pic>
              </a:graphicData>
            </a:graphic>
          </wp:inline>
        </w:drawing>
      </w:r>
    </w:p>
    <w:p w:rsidR="008C7751" w:rsidRPr="00E00B35" w:rsidRDefault="008C7751" w:rsidP="00E00B35">
      <w:pPr>
        <w:spacing w:after="0" w:line="312" w:lineRule="auto"/>
        <w:rPr>
          <w:szCs w:val="20"/>
        </w:rPr>
      </w:pPr>
      <w:r w:rsidRPr="00E00B35">
        <w:rPr>
          <w:szCs w:val="20"/>
        </w:rPr>
        <w:br w:type="page"/>
      </w:r>
    </w:p>
    <w:p w:rsidR="008C7751" w:rsidRPr="00E00B35" w:rsidRDefault="008C7751" w:rsidP="00E00B35">
      <w:pPr>
        <w:pStyle w:val="Nagwek4"/>
        <w:spacing w:before="0" w:after="0" w:line="312" w:lineRule="auto"/>
        <w:rPr>
          <w:sz w:val="20"/>
          <w:szCs w:val="20"/>
        </w:rPr>
      </w:pPr>
      <w:bookmarkStart w:id="809" w:name="_Toc66358314"/>
      <w:r w:rsidRPr="00E00B35">
        <w:rPr>
          <w:sz w:val="20"/>
          <w:szCs w:val="20"/>
        </w:rPr>
        <w:lastRenderedPageBreak/>
        <w:t>Program poprawy stanu technicznego infrastruktury drogowej</w:t>
      </w:r>
      <w:bookmarkEnd w:id="809"/>
    </w:p>
    <w:p w:rsidR="008C7751" w:rsidRPr="00E00B35" w:rsidRDefault="008C7751" w:rsidP="00E00B35">
      <w:pPr>
        <w:pStyle w:val="Tekstpodstawowy"/>
        <w:suppressAutoHyphens/>
        <w:spacing w:after="0" w:line="312" w:lineRule="auto"/>
        <w:rPr>
          <w:szCs w:val="20"/>
        </w:rPr>
      </w:pPr>
      <w:r w:rsidRPr="00E00B35">
        <w:rPr>
          <w:szCs w:val="20"/>
        </w:rPr>
        <w:t xml:space="preserve">Cele programu: </w:t>
      </w:r>
    </w:p>
    <w:p w:rsidR="008C7751" w:rsidRPr="00E00B35" w:rsidRDefault="008C7751" w:rsidP="00E00B35">
      <w:pPr>
        <w:pStyle w:val="Tekstpodstawowy"/>
        <w:suppressAutoHyphens/>
        <w:spacing w:after="0" w:line="312" w:lineRule="auto"/>
        <w:rPr>
          <w:szCs w:val="20"/>
        </w:rPr>
      </w:pPr>
      <w:r w:rsidRPr="00E00B35">
        <w:rPr>
          <w:szCs w:val="20"/>
        </w:rPr>
        <w:t>Poprawa stanu dróg, obiektów inżynierskich oraz polepszenie warunków dla zrównoważonego rozwoju Wrocławia, dzięki zapewnieniu na jego obszarze odpowiedniej infrastruktury.</w:t>
      </w:r>
    </w:p>
    <w:p w:rsidR="008C7751" w:rsidRPr="00E00B35" w:rsidRDefault="008C7751" w:rsidP="00E00B35">
      <w:pPr>
        <w:pStyle w:val="Tekstpodstawowy"/>
        <w:suppressAutoHyphens/>
        <w:spacing w:after="0" w:line="312" w:lineRule="auto"/>
        <w:rPr>
          <w:szCs w:val="20"/>
        </w:rPr>
      </w:pPr>
      <w:r w:rsidRPr="00E00B35">
        <w:rPr>
          <w:rFonts w:eastAsiaTheme="majorEastAsia" w:cstheme="majorBidi"/>
          <w:bCs/>
          <w:szCs w:val="20"/>
        </w:rPr>
        <w:t>Poniesione w 2020 roku nakłady:</w:t>
      </w:r>
      <w:r w:rsidRPr="00E00B35">
        <w:rPr>
          <w:szCs w:val="20"/>
        </w:rPr>
        <w:t xml:space="preserve"> 20 946 tys. zł</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Tekstpodstawowy"/>
        <w:suppressAutoHyphens/>
        <w:spacing w:after="0" w:line="312" w:lineRule="auto"/>
        <w:rPr>
          <w:color w:val="4F81BD" w:themeColor="accent1"/>
          <w:szCs w:val="20"/>
        </w:rPr>
      </w:pPr>
      <w:r w:rsidRPr="00E00B35">
        <w:rPr>
          <w:szCs w:val="20"/>
        </w:rPr>
        <w:t>W 2020 roku zrealizowano:</w:t>
      </w:r>
      <w:r w:rsidRPr="00E00B35">
        <w:rPr>
          <w:color w:val="4F81BD" w:themeColor="accent1"/>
          <w:szCs w:val="20"/>
        </w:rPr>
        <w:t xml:space="preserve"> </w:t>
      </w:r>
    </w:p>
    <w:p w:rsidR="008C7751" w:rsidRPr="00E00B35" w:rsidRDefault="008C7751" w:rsidP="00E00B35">
      <w:pPr>
        <w:pStyle w:val="Tekstpodstawowy"/>
        <w:numPr>
          <w:ilvl w:val="0"/>
          <w:numId w:val="21"/>
        </w:numPr>
        <w:suppressAutoHyphens/>
        <w:spacing w:after="0" w:line="312" w:lineRule="auto"/>
        <w:ind w:left="567" w:hanging="567"/>
        <w:rPr>
          <w:szCs w:val="20"/>
        </w:rPr>
      </w:pPr>
      <w:r w:rsidRPr="00E00B35">
        <w:rPr>
          <w:szCs w:val="20"/>
        </w:rPr>
        <w:t>Budowę progów zwalniających w ulicach: Czajcza, Starzyńskiego, Piechoty, Boguszowska. Zadanie zakończone i rozliczone kwotą 176 tys. zł;</w:t>
      </w:r>
    </w:p>
    <w:p w:rsidR="008C7751" w:rsidRPr="00E00B35" w:rsidRDefault="008C7751" w:rsidP="00E00B35">
      <w:pPr>
        <w:pStyle w:val="Tekstpodstawowy"/>
        <w:numPr>
          <w:ilvl w:val="0"/>
          <w:numId w:val="21"/>
        </w:numPr>
        <w:suppressAutoHyphens/>
        <w:spacing w:after="0" w:line="312" w:lineRule="auto"/>
        <w:ind w:left="567" w:hanging="567"/>
        <w:rPr>
          <w:szCs w:val="20"/>
        </w:rPr>
      </w:pPr>
      <w:r w:rsidRPr="00E00B35">
        <w:rPr>
          <w:szCs w:val="20"/>
        </w:rPr>
        <w:t>Budowę sygnalizacji świetlnej w ul. Kiełczowskiej w rejonie cmentarza. Zadanie zakończone i rozliczone kwotą 378 tys. zł;</w:t>
      </w:r>
    </w:p>
    <w:p w:rsidR="008C7751" w:rsidRPr="00E00B35" w:rsidRDefault="008C7751" w:rsidP="00E00B35">
      <w:pPr>
        <w:pStyle w:val="Tekstpodstawowy"/>
        <w:numPr>
          <w:ilvl w:val="0"/>
          <w:numId w:val="21"/>
        </w:numPr>
        <w:suppressAutoHyphens/>
        <w:spacing w:after="0" w:line="312" w:lineRule="auto"/>
        <w:ind w:left="567" w:hanging="567"/>
        <w:rPr>
          <w:szCs w:val="20"/>
        </w:rPr>
      </w:pPr>
      <w:r w:rsidRPr="00E00B35">
        <w:rPr>
          <w:szCs w:val="20"/>
        </w:rPr>
        <w:t>Przebudowę sygnalizacji świetlnej SK065 Plac Kromera we Wrocławiu w zakresie doposażenia o dodatkowy sygnalizator tramwajowy oraz pętlę detekcji. Zadanie zakończone i rozliczone kwotą 44 tys. zł;</w:t>
      </w:r>
    </w:p>
    <w:p w:rsidR="008C7751" w:rsidRPr="00E00B35" w:rsidRDefault="008C7751" w:rsidP="00E00B35">
      <w:pPr>
        <w:pStyle w:val="Tekstpodstawowy"/>
        <w:numPr>
          <w:ilvl w:val="0"/>
          <w:numId w:val="21"/>
        </w:numPr>
        <w:suppressAutoHyphens/>
        <w:spacing w:after="0" w:line="312" w:lineRule="auto"/>
        <w:ind w:left="567" w:hanging="567"/>
        <w:rPr>
          <w:szCs w:val="20"/>
        </w:rPr>
      </w:pPr>
      <w:r w:rsidRPr="00E00B35">
        <w:rPr>
          <w:szCs w:val="20"/>
        </w:rPr>
        <w:t>Poprawę stanu technicznego ul. Grochowej poprzez remont cząstkowy nawierzchni kamiennej. Zadanie zakończone i rozliczone kwotą 103 tys. zł.</w:t>
      </w:r>
    </w:p>
    <w:p w:rsidR="008C7751" w:rsidRPr="00E00B35" w:rsidRDefault="008C7751" w:rsidP="00E00B35">
      <w:pPr>
        <w:pStyle w:val="Tekstpodstawowy"/>
        <w:tabs>
          <w:tab w:val="num" w:pos="567"/>
          <w:tab w:val="left" w:pos="720"/>
        </w:tabs>
        <w:spacing w:after="0" w:line="312" w:lineRule="auto"/>
        <w:ind w:left="567" w:hanging="283"/>
        <w:rPr>
          <w:szCs w:val="20"/>
        </w:rPr>
      </w:pPr>
    </w:p>
    <w:p w:rsidR="008C7751" w:rsidRPr="00E00B35" w:rsidRDefault="008C7751" w:rsidP="00E00B35">
      <w:pPr>
        <w:pStyle w:val="Tekstpodstawowy"/>
        <w:spacing w:after="0" w:line="312" w:lineRule="auto"/>
        <w:rPr>
          <w:szCs w:val="20"/>
        </w:rPr>
      </w:pPr>
      <w:r w:rsidRPr="00E00B35">
        <w:rPr>
          <w:szCs w:val="20"/>
        </w:rPr>
        <w:t>W ramach zadań związanych z poprawą stanu technicznego obiektów inżynierskich zakończono i rozliczono realizowaną w latach 2019-2020 budowę nowej kładki nad al. Jana III Sobieskiego wydatkiem w kwocie 4 525 tys. zł. Zakończono i rozliczono realizację przebudowy mostu Tumskiego, której koszty poniesione w roku 2020 wyniosły 2 378 tys. zł.</w:t>
      </w:r>
    </w:p>
    <w:p w:rsidR="008C7751" w:rsidRPr="00E00B35" w:rsidRDefault="008C7751" w:rsidP="00E00B35">
      <w:pPr>
        <w:pStyle w:val="Tekstpodstawowy"/>
        <w:spacing w:after="0" w:line="312" w:lineRule="auto"/>
        <w:rPr>
          <w:szCs w:val="20"/>
        </w:rPr>
      </w:pPr>
      <w:r w:rsidRPr="00E00B35">
        <w:rPr>
          <w:szCs w:val="20"/>
        </w:rPr>
        <w:t>W ramach zadań torowych zakupiono drugą transzę rozjazdów tramwajowych planowanych do wbudowania przez MPK Sp. z o. o., w roku 2020 wydatkowano na ten cel kwotę 4 633 tys. zł oraz sfinansowano umowę zawartą z MPK Sp. z o. o. jako inwestorem zastępczym na remonty i modernizację sieci trakcyjnej. Na remonty sieci trakcyjnej w 2020 roku wydatkowano 8 709 tys. zł.</w:t>
      </w:r>
    </w:p>
    <w:p w:rsidR="008C7751" w:rsidRPr="00E00B35" w:rsidRDefault="008C7751" w:rsidP="00E00B35">
      <w:pPr>
        <w:pStyle w:val="Tekstpodstawowy"/>
        <w:spacing w:after="0" w:line="312" w:lineRule="auto"/>
        <w:rPr>
          <w:szCs w:val="20"/>
        </w:rPr>
      </w:pPr>
      <w:r w:rsidRPr="00E00B35">
        <w:rPr>
          <w:szCs w:val="20"/>
        </w:rPr>
        <w:t>W ramach remontów sieci trakcyjnej wykonano:</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Remont sieci trakcyjnej w ul. Ślężnej etap 1 (odcinek od ul. Weigla do ul. Sztabowej - od izolatora sekcyjnego nr 102 do izolatora sekcyjnego nr 103), w obu kierunkach;</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Wymianę przewodu jezdnego na węźle ul. Powstańców Śląskich/Hallera we Wrocławiu dla wszystkich kierunków torów wraz z łukami;</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Wymianę przewodu jezdnego na węźle Rondo Reagana we Wrocławiu dla wszystkich kierunków torów wraz z łukami;</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Ochronę przeciwporażeniową dla wiaduktu kolejowego przebiegającego nad trakcją tramwajową w ciągu ulicy Trzebnickiej we Wrocławiu;</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Ochronę przeciwporażeniową dla wiaduktu kolejowego przebiegającego nad trakcją tramwajową w ciągu ulicy Powstańców Śląskich/Świdnicka we Wrocławiu;</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Zabezpieczenia przeciwporażeniowe wiaduktu kolejowego nad ul. Stawową;</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Zabezpieczenia przeciwporażeniowe wiaduktu kolejowego nad ul. Legnicką;</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Zabezpieczenia przeciwporażeniowe wiaduktu kolejowego nad ul. Grabiszyńską;</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lastRenderedPageBreak/>
        <w:t>Remont sieci trakcyjnej w ul. Olszewskiego (odcinek od izolatora 166 do izolatora sekcyjnego 1B7; Rejon B-9; B-4; B-1; B7) w obu kierunkach i remont kabli trakcyjnych obszaru zasilania stacji Biskupin - zasilacze B-9; B-4; B-1; B-7;</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Dokumentację projektową na remont sieci trakcyjnej w ul. Olszewskiego (odcinek od izolatora 166 do izolatora sekcyjnego 1B7; Rejon B-9; B-4; B-1; B7) w obu kierunkach i remont kabli trakcyjnych obszaru zasilania stacji Biskupin - zasilacze B-9; B-4; B-1; B-7;</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Dokumentację projektową na remont sieci trakcyjnej w ul. Hallera (odcinek od izolatora 29 do izolatora 7AV, rejon A-7) wraz z pętlą;</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Remont sieci trakcyjnej w ul. Hallera etap 2 (odcinek od izolatora 29 do izolatora 7AV, rejon A-7) wraz z pętlą;</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Dokumentację projektową na remont sieci trakcyjnej w ul. Żmigrodzka - (odcinek od ul. Broniewskiego do ul. Bałtyckiej) w obu kierunkach;</w:t>
      </w:r>
    </w:p>
    <w:p w:rsidR="008C7751" w:rsidRPr="00E00B35" w:rsidRDefault="008C7751" w:rsidP="00E00B35">
      <w:pPr>
        <w:pStyle w:val="Tekstpodstawowy"/>
        <w:numPr>
          <w:ilvl w:val="0"/>
          <w:numId w:val="22"/>
        </w:numPr>
        <w:suppressAutoHyphens/>
        <w:spacing w:after="0" w:line="312" w:lineRule="auto"/>
        <w:ind w:left="567" w:hanging="567"/>
        <w:rPr>
          <w:szCs w:val="20"/>
        </w:rPr>
      </w:pPr>
      <w:r w:rsidRPr="00E00B35">
        <w:rPr>
          <w:szCs w:val="20"/>
        </w:rPr>
        <w:t xml:space="preserve">Remont sieci trakcyjnej w ul. Żmigrodzka (odcinek od ul. Broniewskiego do ul. Bałtyckiej) w obu kierunkach. </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Osiągnięto następujące efekty:</w:t>
      </w:r>
    </w:p>
    <w:p w:rsidR="008C7751" w:rsidRPr="00E00B35" w:rsidRDefault="008C7751" w:rsidP="00E00B35">
      <w:pPr>
        <w:pStyle w:val="Tekstpodstawowy"/>
        <w:spacing w:after="0" w:line="312" w:lineRule="auto"/>
        <w:rPr>
          <w:szCs w:val="20"/>
        </w:rPr>
      </w:pPr>
      <w:r w:rsidRPr="00E00B35">
        <w:rPr>
          <w:szCs w:val="20"/>
        </w:rPr>
        <w:t xml:space="preserve">Realizacja ww. zadań przyczyniła się znacząco do poprawy bezpieczeństwa wszystkich użytkowników ruchu, ze szczególnym uwzględnieniem bezpieczeństwa ruchu tramwajów, zachowania stanu infrastruktury w odpowiednim standardzie, a także podniesienia komfortu przejazdu dla pasażerów. </w:t>
      </w:r>
    </w:p>
    <w:p w:rsidR="008C7751" w:rsidRPr="00E00B35" w:rsidRDefault="008C7751" w:rsidP="00E00B35">
      <w:pPr>
        <w:pStyle w:val="Tekstpodstawowy"/>
        <w:suppressAutoHyphens/>
        <w:spacing w:after="0" w:line="312" w:lineRule="auto"/>
        <w:ind w:left="567"/>
        <w:rPr>
          <w:szCs w:val="20"/>
        </w:rPr>
      </w:pPr>
    </w:p>
    <w:p w:rsidR="008C7751" w:rsidRPr="00E00B35" w:rsidRDefault="008C7751" w:rsidP="00E00B35">
      <w:pPr>
        <w:pStyle w:val="Tekstpodstawowy"/>
        <w:suppressAutoHyphens/>
        <w:spacing w:after="0" w:line="312" w:lineRule="auto"/>
        <w:rPr>
          <w:szCs w:val="2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10</w:t>
      </w:r>
      <w:r w:rsidR="00573162" w:rsidRPr="00E00B35">
        <w:rPr>
          <w:b/>
          <w:sz w:val="20"/>
          <w:szCs w:val="20"/>
        </w:rPr>
        <w:fldChar w:fldCharType="end"/>
      </w:r>
      <w:r w:rsidRPr="00E00B35">
        <w:rPr>
          <w:sz w:val="20"/>
          <w:szCs w:val="20"/>
        </w:rPr>
        <w:t>. ul. Kiełczowska - bez sygnalizacji</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2971800" cy="2228850"/>
            <wp:effectExtent l="19050" t="0" r="0" b="0"/>
            <wp:docPr id="46" name="Obraz 45" descr="Fragment ulicy głównej z widocznym skrzyżowaniem z lewej strony, bez sygnalizacji świetlnej. Po prawej stronie jezdni znak Systemu Informacji Miejskiej (Cmentarz Kiełczowski w lewo).&#10;Stan przed inwestycją.&#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r_infr_drog_sygnalizacja_Kiełczowska_przed.jpg"/>
                    <pic:cNvPicPr/>
                  </pic:nvPicPr>
                  <pic:blipFill>
                    <a:blip r:embed="rId198" cstate="print"/>
                    <a:stretch>
                      <a:fillRect/>
                    </a:stretch>
                  </pic:blipFill>
                  <pic:spPr>
                    <a:xfrm>
                      <a:off x="0" y="0"/>
                      <a:ext cx="2970818" cy="2228113"/>
                    </a:xfrm>
                    <a:prstGeom prst="rect">
                      <a:avLst/>
                    </a:prstGeom>
                  </pic:spPr>
                </pic:pic>
              </a:graphicData>
            </a:graphic>
          </wp:inline>
        </w:drawing>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11</w:t>
      </w:r>
      <w:r w:rsidR="00573162" w:rsidRPr="00E00B35">
        <w:rPr>
          <w:b/>
          <w:sz w:val="20"/>
          <w:szCs w:val="20"/>
        </w:rPr>
        <w:fldChar w:fldCharType="end"/>
      </w:r>
      <w:r w:rsidRPr="00E00B35">
        <w:rPr>
          <w:sz w:val="20"/>
          <w:szCs w:val="20"/>
        </w:rPr>
        <w:t>. Sygnalizacja na ul. Kiełczowskiej</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2762250" cy="2228850"/>
            <wp:effectExtent l="19050" t="0" r="0" b="0"/>
            <wp:docPr id="47" name="Obraz 46" descr="Skrzyżowanie z sygnalizacją świetlną i oznakowaniem poziomym. Stan po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r_infr_drog_sygnalizacja_Kiełczowska_po.jpg"/>
                    <pic:cNvPicPr/>
                  </pic:nvPicPr>
                  <pic:blipFill>
                    <a:blip r:embed="rId199" cstate="print"/>
                    <a:stretch>
                      <a:fillRect/>
                    </a:stretch>
                  </pic:blipFill>
                  <pic:spPr>
                    <a:xfrm>
                      <a:off x="0" y="0"/>
                      <a:ext cx="2765553" cy="2231515"/>
                    </a:xfrm>
                    <a:prstGeom prst="rect">
                      <a:avLst/>
                    </a:prstGeom>
                  </pic:spPr>
                </pic:pic>
              </a:graphicData>
            </a:graphic>
          </wp:inline>
        </w:drawing>
      </w:r>
    </w:p>
    <w:p w:rsidR="008C7751" w:rsidRPr="00E00B35" w:rsidRDefault="008C7751" w:rsidP="00E00B35">
      <w:pPr>
        <w:pStyle w:val="Tekstpodstawowy"/>
        <w:suppressAutoHyphens/>
        <w:spacing w:after="0" w:line="312" w:lineRule="auto"/>
        <w:rPr>
          <w:szCs w:val="2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pStyle w:val="Tekstpodstawowy"/>
        <w:spacing w:after="0" w:line="312" w:lineRule="auto"/>
        <w:rPr>
          <w:szCs w:val="20"/>
        </w:rPr>
      </w:pPr>
    </w:p>
    <w:p w:rsidR="008C7751" w:rsidRPr="00E00B35" w:rsidRDefault="008C7751" w:rsidP="00E00B35">
      <w:pPr>
        <w:pStyle w:val="Nagwek4"/>
        <w:spacing w:before="0" w:after="0" w:line="312" w:lineRule="auto"/>
        <w:rPr>
          <w:sz w:val="20"/>
          <w:szCs w:val="20"/>
        </w:rPr>
      </w:pPr>
      <w:bookmarkStart w:id="810" w:name="_Toc66358315"/>
      <w:r w:rsidRPr="00E00B35">
        <w:rPr>
          <w:sz w:val="20"/>
          <w:szCs w:val="20"/>
        </w:rPr>
        <w:t>Realizacja programu inicjatyw Rad Osiedli</w:t>
      </w:r>
      <w:bookmarkEnd w:id="808"/>
      <w:bookmarkEnd w:id="810"/>
    </w:p>
    <w:p w:rsidR="008C7751" w:rsidRPr="00E00B35" w:rsidRDefault="008C7751" w:rsidP="00E00B35">
      <w:pPr>
        <w:pStyle w:val="Styl1NagwkiGwne"/>
        <w:spacing w:line="312" w:lineRule="auto"/>
        <w:jc w:val="left"/>
        <w:rPr>
          <w:b w:val="0"/>
        </w:rPr>
      </w:pPr>
      <w:r w:rsidRPr="00E00B35">
        <w:rPr>
          <w:b w:val="0"/>
        </w:rPr>
        <w:t>Cel zadania:</w:t>
      </w:r>
    </w:p>
    <w:p w:rsidR="008C7751" w:rsidRPr="00E00B35" w:rsidRDefault="008C7751" w:rsidP="00E00B35">
      <w:pPr>
        <w:pStyle w:val="Tekstpodstawowy"/>
        <w:suppressAutoHyphens/>
        <w:spacing w:after="0" w:line="312" w:lineRule="auto"/>
        <w:rPr>
          <w:szCs w:val="20"/>
        </w:rPr>
      </w:pPr>
      <w:r w:rsidRPr="00E00B35">
        <w:rPr>
          <w:szCs w:val="20"/>
        </w:rPr>
        <w:t>Umożliwienie mieszkańcom wpływu na rozwój Wrocławia oraz wzmocnienie roli mieszkańców w procesie zarządzania zasobami miejskimi. Program realizowano w zakresie remontów oraz budowy/przebudowy dróg i infrastruktury drogowej wpływających na poprawę bezpieczeństwa i warunków ruchu poprzez realizację drobnych inwestycji na terenie miasta.</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Styl1NagwkiGwne"/>
        <w:spacing w:line="312" w:lineRule="auto"/>
        <w:jc w:val="left"/>
        <w:rPr>
          <w:b w:val="0"/>
        </w:rPr>
      </w:pPr>
      <w:r w:rsidRPr="00E00B35">
        <w:rPr>
          <w:b w:val="0"/>
        </w:rPr>
        <w:lastRenderedPageBreak/>
        <w:t>Poniesione w 2020 roku nakłady: 9 715,52 tys. zł</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W roku 2020, w zakresie działań Zarządu Inwestycji Miejskich, realizowano:</w:t>
      </w:r>
    </w:p>
    <w:p w:rsidR="008C7751" w:rsidRPr="00E00B35" w:rsidRDefault="008C7751" w:rsidP="00E00B35">
      <w:pPr>
        <w:pStyle w:val="Styl1NagwkiGwne"/>
        <w:numPr>
          <w:ilvl w:val="0"/>
          <w:numId w:val="79"/>
        </w:numPr>
        <w:spacing w:line="312" w:lineRule="auto"/>
        <w:ind w:left="567" w:hanging="567"/>
        <w:jc w:val="left"/>
        <w:rPr>
          <w:b w:val="0"/>
        </w:rPr>
      </w:pPr>
      <w:r w:rsidRPr="00E00B35">
        <w:rPr>
          <w:b w:val="0"/>
        </w:rPr>
        <w:t>Rozbudowę, przebudowę i remont budynku przy ul. Bałtyckiej 8 dla potrzeb Centrum Aktywności Lokalnej i siedziby Rady Osiedla, w tym m.in.: rozbudowę budynku o strefę wejściową (nowa klatka schodowa, winda osobowa dla osób niepełnosprawnych), przebudowę budynku ze zmianą układu funkcjonalnego poprzez wydzielenie nowych pomieszczeń oraz dostosowano budynek do obowiązujących przepisów, norm i wymogów technicznych, dostosowano obiekt do wymogów ppoż., dostosowano obiekt dla osób z niepełnosprawnościami, zagospodarowano teren z miejscami parkingowymi, drogą pożarową, chodnikami, przyłączami i zielenią;</w:t>
      </w:r>
    </w:p>
    <w:p w:rsidR="008C7751" w:rsidRPr="00E00B35" w:rsidRDefault="008C7751" w:rsidP="00E00B35">
      <w:pPr>
        <w:pStyle w:val="Styl1NagwkiGwne"/>
        <w:numPr>
          <w:ilvl w:val="0"/>
          <w:numId w:val="79"/>
        </w:numPr>
        <w:spacing w:line="312" w:lineRule="auto"/>
        <w:ind w:left="567" w:hanging="567"/>
        <w:jc w:val="left"/>
        <w:rPr>
          <w:b w:val="0"/>
        </w:rPr>
      </w:pPr>
      <w:r w:rsidRPr="00E00B35">
        <w:rPr>
          <w:b w:val="0"/>
        </w:rPr>
        <w:t>Budowę Centrum Aktywności Lokalnej wraz z zagospodarowaniem terenu przy ul. Rybnickiej 39-41 we Wrocławiu, w tym m. in.: rozbiórkę istniejącego budynku przy ul. Rybnickiej, budowę parterowego budynku CAL, wykonanie instalacji sanitarnych, elektrycznych i teletechnicznych, dostawę i montaż wyposażenia aneksu socjalnego, sanitariatów, dostawę i montaż projektora i ekranu oraz rozprowadzenie okablowania dla potrzeb nagłośnienia, dostawę i montaż ściany mobilnej w sali wielofunkcyjnej, oraz zagospodarowanie terenu;</w:t>
      </w:r>
    </w:p>
    <w:p w:rsidR="008C7751" w:rsidRPr="00E00B35" w:rsidRDefault="008C7751" w:rsidP="00E00B35">
      <w:pPr>
        <w:pStyle w:val="Styl1NagwkiGwne"/>
        <w:numPr>
          <w:ilvl w:val="0"/>
          <w:numId w:val="79"/>
        </w:numPr>
        <w:spacing w:line="312" w:lineRule="auto"/>
        <w:ind w:left="567" w:hanging="567"/>
        <w:jc w:val="left"/>
        <w:rPr>
          <w:b w:val="0"/>
        </w:rPr>
      </w:pPr>
      <w:r w:rsidRPr="00E00B35">
        <w:rPr>
          <w:b w:val="0"/>
        </w:rPr>
        <w:t>Opracowanie dokumentacji projektowej oraz budowę Centrum Aktywności Lokalnej z siedzibą Rady Osiedla Kowale przy ul. Ełckiej wraz z zagospodarowaniem terenu i infrastrukturą techniczną;</w:t>
      </w:r>
    </w:p>
    <w:p w:rsidR="008C7751" w:rsidRPr="00E00B35" w:rsidRDefault="008C7751" w:rsidP="00E00B35">
      <w:pPr>
        <w:pStyle w:val="Styl1NagwkiGwne"/>
        <w:numPr>
          <w:ilvl w:val="0"/>
          <w:numId w:val="79"/>
        </w:numPr>
        <w:spacing w:line="312" w:lineRule="auto"/>
        <w:ind w:left="567" w:hanging="567"/>
        <w:jc w:val="left"/>
        <w:rPr>
          <w:b w:val="0"/>
        </w:rPr>
      </w:pPr>
      <w:r w:rsidRPr="00E00B35">
        <w:rPr>
          <w:b w:val="0"/>
        </w:rPr>
        <w:t>Budowę Centrum Aktywności Lokalnej przy ul. Suwalskiej we Wrocławiu wraz z zagospodarowaniem terenu;</w:t>
      </w:r>
    </w:p>
    <w:p w:rsidR="008C7751" w:rsidRPr="00E00B35" w:rsidRDefault="008C7751" w:rsidP="00E00B35">
      <w:pPr>
        <w:pStyle w:val="Styl1NagwkiGwne"/>
        <w:numPr>
          <w:ilvl w:val="0"/>
          <w:numId w:val="79"/>
        </w:numPr>
        <w:spacing w:line="312" w:lineRule="auto"/>
        <w:ind w:left="567" w:hanging="567"/>
        <w:jc w:val="left"/>
        <w:rPr>
          <w:b w:val="0"/>
        </w:rPr>
      </w:pPr>
      <w:r w:rsidRPr="00E00B35">
        <w:rPr>
          <w:b w:val="0"/>
        </w:rPr>
        <w:t>Remont i przebudowę pomieszczeń w budynku Centrum Kultury ZAMEK przy pl. Świętojańskim 1, celem dostosowania obiektu do wymogów przepisów przeciwpożarowych, w tym m.in.: wykonanie robót budowlanych w piwnicy, na parterze, I i II piętrze, poddaszu, dachu, wykonanie robót instalacyjnych sanitarnych, elektrycznych oraz robót wykończeniowych. Opracowano ekspertyzy stanu piwnic i tarasu;</w:t>
      </w:r>
    </w:p>
    <w:p w:rsidR="008C7751" w:rsidRPr="00E00B35" w:rsidRDefault="008C7751" w:rsidP="00E00B35">
      <w:pPr>
        <w:pStyle w:val="Styl1NagwkiGwne"/>
        <w:numPr>
          <w:ilvl w:val="0"/>
          <w:numId w:val="79"/>
        </w:numPr>
        <w:spacing w:line="312" w:lineRule="auto"/>
        <w:ind w:left="567" w:hanging="567"/>
        <w:jc w:val="left"/>
        <w:rPr>
          <w:b w:val="0"/>
        </w:rPr>
      </w:pPr>
      <w:r w:rsidRPr="00E00B35">
        <w:rPr>
          <w:b w:val="0"/>
        </w:rPr>
        <w:t>Przebudowę budynku Ośrodka Działań Społeczno-Kulturalnych PIAST przy ul. Rękodzielniczej we Wrocławiu:</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w prawym skrzydle budynku przebudowano i wyremontowano salę klubową, salę stylową oraz korytarz, wyburzono i wybudowano na nowo przybudówkę, w której zlokalizowane będzie pomieszczenie dla Rady Osiedla, pomieszczenie socjalne, toaleta dla niepełnosprawnych, wykonano wentylację mechaniczną we wszystkich pomieszczeniach, wzmocniono konstrukcję budynku,</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w środkowej części budynku przebudowano i wyremontowano pomieszczenia biurowe, sanitariaty, szatnie, korytarz i hol wejściowy, wykonano wentylację mechaniczną we wszystkich pomieszczeniach,</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zagospodarowano teren, wyburzono istniejącą muszlę koncertową, przebudowano chodniki, wykonano nowe ogrodzenia, naprawiono stoły do ping ponga i szachów, wykonano siłownię plenerową, oświetlenie terenu, małą </w:t>
      </w:r>
      <w:r w:rsidRPr="00E00B35">
        <w:rPr>
          <w:b w:val="0"/>
        </w:rPr>
        <w:lastRenderedPageBreak/>
        <w:t>architekturę (ławki, kosze stojaki na rowery), hydroizolację i izolację termiczną ścian fundamentowych oraz opaskę żwirową wokół budynku,</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wykonano termomodernizację dachu, ścian i elewacji, prace tynkarskie i malarskie,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przebudowano rury spustowe i instalację odgromową,</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wykonano nowe wejście oraz instalację fotowoltaiczną na dachu.</w:t>
      </w:r>
    </w:p>
    <w:p w:rsidR="008C7751" w:rsidRPr="00E00B35" w:rsidRDefault="008C7751" w:rsidP="00E00B35">
      <w:pPr>
        <w:pStyle w:val="Styl1NagwkiGwne"/>
        <w:numPr>
          <w:ilvl w:val="0"/>
          <w:numId w:val="79"/>
        </w:numPr>
        <w:spacing w:line="312" w:lineRule="auto"/>
        <w:ind w:left="567" w:hanging="567"/>
        <w:jc w:val="left"/>
        <w:rPr>
          <w:b w:val="0"/>
        </w:rPr>
      </w:pPr>
      <w:r w:rsidRPr="00E00B35">
        <w:rPr>
          <w:b w:val="0"/>
        </w:rPr>
        <w:t>Przebudowę i remont budynku Rady Osiedla Biskupin przy ul. Potebni, w tym m.in. wykonanie remontu elewacji od strony ulicy i od podwórka, zakup i montaż wyposażenia, w tym ekranu projekcyjnego, zagospodarowanie terenu;</w:t>
      </w:r>
    </w:p>
    <w:p w:rsidR="008C7751" w:rsidRPr="00E00B35" w:rsidRDefault="008C7751" w:rsidP="00E00B35">
      <w:pPr>
        <w:pStyle w:val="Styl1NagwkiGwne"/>
        <w:numPr>
          <w:ilvl w:val="0"/>
          <w:numId w:val="79"/>
        </w:numPr>
        <w:spacing w:line="312" w:lineRule="auto"/>
        <w:ind w:left="567" w:hanging="567"/>
        <w:jc w:val="left"/>
        <w:rPr>
          <w:b w:val="0"/>
        </w:rPr>
      </w:pPr>
      <w:r w:rsidRPr="00E00B35">
        <w:rPr>
          <w:b w:val="0"/>
        </w:rPr>
        <w:t>Przebudowę pomieszczeń budynku Rady Osiedla Borek ul. Powstańców Śląskich na potrzeby wydzielenia pomieszczenia dla Rady, w tym roboty murowo-tynkarskie, wykonanie nowych posadzek, wykonanie sufitów podwieszanych, przebudowa wewnętrznej instalacji wodno - kanalizacyjnej, przebudowa wewnętrznej instalacji centralnego ogrzewania, wykonanie instalacji wentylacji mechanicznej, przebudowa zasilania i rozdziału energii elektrycznej, wymiana tablic elektrycznych, przebudowa instalacji elektrycznej oświetlenia, gniazd wtykowych i siłowych, ochrony przeciwporażeniowej, instalacji uziemiającej, wyrównawczej, wykonanie instalacji teletechnicznych, wymiana części ocieplenia zewnętrznego na wełnę mineralną, przebudowa nawierzchni przed wejściem bocznym, dostawa i montaż wyposażenia;</w:t>
      </w:r>
    </w:p>
    <w:p w:rsidR="008C7751" w:rsidRPr="00E00B35" w:rsidRDefault="008C7751" w:rsidP="00E00B35">
      <w:pPr>
        <w:pStyle w:val="Styl1NagwkiGwne"/>
        <w:numPr>
          <w:ilvl w:val="0"/>
          <w:numId w:val="79"/>
        </w:numPr>
        <w:spacing w:line="312" w:lineRule="auto"/>
        <w:ind w:left="567" w:hanging="567"/>
        <w:jc w:val="left"/>
        <w:rPr>
          <w:b w:val="0"/>
        </w:rPr>
      </w:pPr>
      <w:r w:rsidRPr="00E00B35">
        <w:rPr>
          <w:b w:val="0"/>
        </w:rPr>
        <w:t>Wykonanie robót budowlanych w pomieszczeniach budynku przy ul. Stanisławowskiej 43 na potrzeby Rady Osiedla Muchobór Wielki;</w:t>
      </w:r>
    </w:p>
    <w:p w:rsidR="008C7751" w:rsidRPr="00E00B35" w:rsidRDefault="008C7751" w:rsidP="00E00B35">
      <w:pPr>
        <w:pStyle w:val="Styl1NagwkiGwne"/>
        <w:numPr>
          <w:ilvl w:val="0"/>
          <w:numId w:val="79"/>
        </w:numPr>
        <w:spacing w:line="312" w:lineRule="auto"/>
        <w:ind w:left="567" w:hanging="567"/>
        <w:jc w:val="left"/>
        <w:rPr>
          <w:b w:val="0"/>
        </w:rPr>
      </w:pPr>
      <w:r w:rsidRPr="00E00B35">
        <w:rPr>
          <w:b w:val="0"/>
        </w:rPr>
        <w:t>Budowę przyłącza wodociągowego i energii elektrycznej oraz dojścia i zjazdu z ul. Wilhelma Grapowa do działki nr 1/7 obręb Brochów.</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12</w:t>
      </w:r>
      <w:r w:rsidR="00573162" w:rsidRPr="00E00B35">
        <w:rPr>
          <w:b/>
          <w:sz w:val="20"/>
          <w:szCs w:val="20"/>
        </w:rPr>
        <w:fldChar w:fldCharType="end"/>
      </w:r>
      <w:r w:rsidRPr="00E00B35">
        <w:rPr>
          <w:sz w:val="20"/>
          <w:szCs w:val="20"/>
        </w:rPr>
        <w:t>. Budynek przy ul. Bałtyckiej przed inwestycją</w:t>
      </w:r>
    </w:p>
    <w:p w:rsidR="008C7751" w:rsidRPr="00E00B35" w:rsidRDefault="008C7751" w:rsidP="00E00B35">
      <w:pPr>
        <w:pStyle w:val="Styl1NagwkiGwne"/>
        <w:spacing w:line="312" w:lineRule="auto"/>
        <w:jc w:val="left"/>
        <w:rPr>
          <w:b w:val="0"/>
        </w:rPr>
      </w:pPr>
      <w:r w:rsidRPr="00E00B35">
        <w:rPr>
          <w:b w:val="0"/>
          <w:noProof/>
          <w:lang w:eastAsia="pl-PL"/>
        </w:rPr>
        <w:drawing>
          <wp:inline distT="0" distB="0" distL="0" distR="0">
            <wp:extent cx="2705100" cy="2028825"/>
            <wp:effectExtent l="19050" t="0" r="0" b="0"/>
            <wp:docPr id="42" name="Obraz 41" descr="Wnętrze pomieszczenia, zielone ściany, zakratowane okno, podłoga pokryta wykładziną. Stan przed inwestycj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_Baltycka_przed_01.JPG"/>
                    <pic:cNvPicPr/>
                  </pic:nvPicPr>
                  <pic:blipFill>
                    <a:blip r:embed="rId200" cstate="print"/>
                    <a:stretch>
                      <a:fillRect/>
                    </a:stretch>
                  </pic:blipFill>
                  <pic:spPr>
                    <a:xfrm>
                      <a:off x="0" y="0"/>
                      <a:ext cx="2705100" cy="2028825"/>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13</w:t>
      </w:r>
      <w:r w:rsidR="00573162" w:rsidRPr="00E00B35">
        <w:rPr>
          <w:b/>
          <w:sz w:val="20"/>
          <w:szCs w:val="20"/>
        </w:rPr>
        <w:fldChar w:fldCharType="end"/>
      </w:r>
      <w:r w:rsidRPr="00E00B35">
        <w:rPr>
          <w:sz w:val="20"/>
          <w:szCs w:val="20"/>
        </w:rPr>
        <w:t>. Budynek przy ul. Bałtyckiej po inwestycji</w:t>
      </w:r>
    </w:p>
    <w:p w:rsidR="008C7751" w:rsidRPr="00E00B35" w:rsidRDefault="008C7751" w:rsidP="00E00B35">
      <w:pPr>
        <w:pStyle w:val="Styl1NagwkiGwne"/>
        <w:spacing w:line="312" w:lineRule="auto"/>
        <w:jc w:val="left"/>
        <w:rPr>
          <w:b w:val="0"/>
        </w:rPr>
      </w:pPr>
      <w:r w:rsidRPr="00E00B35">
        <w:rPr>
          <w:b w:val="0"/>
          <w:noProof/>
          <w:lang w:eastAsia="pl-PL"/>
        </w:rPr>
        <w:drawing>
          <wp:inline distT="0" distB="0" distL="0" distR="0">
            <wp:extent cx="2655570" cy="2103618"/>
            <wp:effectExtent l="19050" t="0" r="0" b="0"/>
            <wp:docPr id="50" name="Obraz 42" descr="Wnętrze pomieszczenia po remoncie. Sala wielofunkcyjna z rozkładaną ścianką działową, gładkie szare ściany, nowoczesne oświetlenie sufitowe, nowe drzwi wewnętr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_Baltycka_po_03.jpg"/>
                    <pic:cNvPicPr/>
                  </pic:nvPicPr>
                  <pic:blipFill>
                    <a:blip r:embed="rId201" cstate="print"/>
                    <a:stretch>
                      <a:fillRect/>
                    </a:stretch>
                  </pic:blipFill>
                  <pic:spPr>
                    <a:xfrm>
                      <a:off x="0" y="0"/>
                      <a:ext cx="2655570" cy="2103618"/>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pStyle w:val="Legenda"/>
        <w:keepNext/>
        <w:spacing w:before="0" w:after="0" w:line="312" w:lineRule="auto"/>
        <w:rPr>
          <w:b/>
          <w:sz w:val="20"/>
          <w:szCs w:val="20"/>
        </w:rPr>
      </w:pPr>
    </w:p>
    <w:p w:rsidR="008C7751" w:rsidRPr="00E00B35" w:rsidRDefault="008C7751" w:rsidP="00E00B35">
      <w:pPr>
        <w:pStyle w:val="Legenda"/>
        <w:keepNext/>
        <w:spacing w:before="0" w:after="0" w:line="312" w:lineRule="auto"/>
        <w:rPr>
          <w:b/>
          <w:sz w:val="20"/>
          <w:szCs w:val="2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14</w:t>
      </w:r>
      <w:r w:rsidR="00573162" w:rsidRPr="00E00B35">
        <w:rPr>
          <w:b/>
          <w:sz w:val="20"/>
          <w:szCs w:val="20"/>
        </w:rPr>
        <w:fldChar w:fldCharType="end"/>
      </w:r>
      <w:r w:rsidRPr="00E00B35">
        <w:rPr>
          <w:sz w:val="20"/>
          <w:szCs w:val="20"/>
        </w:rPr>
        <w:t>. Rozbiórka budynku przy ul. Rybnickiej</w:t>
      </w:r>
    </w:p>
    <w:p w:rsidR="008C7751" w:rsidRPr="00E00B35" w:rsidRDefault="008C7751" w:rsidP="00E00B35">
      <w:pPr>
        <w:pStyle w:val="Styl1NagwkiGwne"/>
        <w:spacing w:line="312" w:lineRule="auto"/>
        <w:jc w:val="left"/>
        <w:rPr>
          <w:b w:val="0"/>
        </w:rPr>
      </w:pPr>
      <w:r w:rsidRPr="00E00B35">
        <w:rPr>
          <w:b w:val="0"/>
          <w:noProof/>
          <w:lang w:eastAsia="pl-PL"/>
        </w:rPr>
        <w:drawing>
          <wp:inline distT="0" distB="0" distL="0" distR="0">
            <wp:extent cx="2652302" cy="2070202"/>
            <wp:effectExtent l="19050" t="0" r="0" b="0"/>
            <wp:docPr id="49" name="Obraz 44" descr="Ogrodzony teren wokół tzw. dziury w ziemi, miejsce po wyburzeniu budy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_Rybnicka_przed_01.jpg"/>
                    <pic:cNvPicPr/>
                  </pic:nvPicPr>
                  <pic:blipFill>
                    <a:blip r:embed="rId202" cstate="print"/>
                    <a:stretch>
                      <a:fillRect/>
                    </a:stretch>
                  </pic:blipFill>
                  <pic:spPr>
                    <a:xfrm>
                      <a:off x="0" y="0"/>
                      <a:ext cx="2660685" cy="2076745"/>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15</w:t>
      </w:r>
      <w:r w:rsidR="00573162" w:rsidRPr="00E00B35">
        <w:rPr>
          <w:b/>
          <w:sz w:val="20"/>
          <w:szCs w:val="20"/>
        </w:rPr>
        <w:fldChar w:fldCharType="end"/>
      </w:r>
      <w:r w:rsidRPr="00E00B35">
        <w:rPr>
          <w:sz w:val="20"/>
          <w:szCs w:val="20"/>
        </w:rPr>
        <w:t>. CAL przy ul. Rybnickiej</w:t>
      </w:r>
    </w:p>
    <w:p w:rsidR="008C7751" w:rsidRPr="00E00B35" w:rsidRDefault="008C7751" w:rsidP="00E00B35">
      <w:pPr>
        <w:pStyle w:val="Styl1NagwkiGwne"/>
        <w:spacing w:line="312" w:lineRule="auto"/>
        <w:jc w:val="left"/>
        <w:rPr>
          <w:b w:val="0"/>
        </w:rPr>
        <w:sectPr w:rsidR="008C7751" w:rsidRPr="00E00B35" w:rsidSect="008C7751">
          <w:type w:val="continuous"/>
          <w:pgSz w:w="11906" w:h="16838"/>
          <w:pgMar w:top="1417" w:right="1417" w:bottom="1417" w:left="1417" w:header="567" w:footer="708" w:gutter="0"/>
          <w:cols w:num="2" w:space="708"/>
          <w:docGrid w:linePitch="600" w:charSpace="40960"/>
        </w:sectPr>
      </w:pPr>
      <w:r w:rsidRPr="00E00B35">
        <w:rPr>
          <w:b w:val="0"/>
          <w:noProof/>
          <w:lang w:eastAsia="pl-PL"/>
        </w:rPr>
        <w:drawing>
          <wp:inline distT="0" distB="0" distL="0" distR="0">
            <wp:extent cx="2657475" cy="2162175"/>
            <wp:effectExtent l="19050" t="0" r="9525" b="0"/>
            <wp:docPr id="51" name="Obraz 50" descr="Wyremontowane pomieszczenie, nowe okna, nowe przeszklone drzwi. Jedna ściana wyłożona panelami imitującymi drew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_Rybnicka_po_05.jpg"/>
                    <pic:cNvPicPr/>
                  </pic:nvPicPr>
                  <pic:blipFill>
                    <a:blip r:embed="rId203" cstate="print"/>
                    <a:stretch>
                      <a:fillRect/>
                    </a:stretch>
                  </pic:blipFill>
                  <pic:spPr>
                    <a:xfrm>
                      <a:off x="0" y="0"/>
                      <a:ext cx="2655570" cy="2160625"/>
                    </a:xfrm>
                    <a:prstGeom prst="rect">
                      <a:avLst/>
                    </a:prstGeom>
                  </pic:spPr>
                </pic:pic>
              </a:graphicData>
            </a:graphic>
          </wp:inline>
        </w:drawing>
      </w:r>
    </w:p>
    <w:p w:rsidR="008C7751" w:rsidRPr="00E00B35" w:rsidRDefault="008C7751" w:rsidP="00E00B35">
      <w:pPr>
        <w:pStyle w:val="Styl1NagwkiGwne"/>
        <w:spacing w:line="312" w:lineRule="auto"/>
        <w:jc w:val="left"/>
        <w:rPr>
          <w:b w:val="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Styl1NagwkiGwne"/>
        <w:spacing w:line="312" w:lineRule="auto"/>
        <w:jc w:val="left"/>
        <w:rPr>
          <w:b w:val="0"/>
        </w:rPr>
      </w:pPr>
      <w:r w:rsidRPr="00E00B35">
        <w:rPr>
          <w:b w:val="0"/>
        </w:rPr>
        <w:lastRenderedPageBreak/>
        <w:t>W roku 2020, w zakresie działań Zarządu Dróg i Utrzymania Miasta, realizowano:</w:t>
      </w:r>
    </w:p>
    <w:p w:rsidR="008C7751" w:rsidRPr="00E00B35" w:rsidRDefault="008C7751" w:rsidP="00E00B35">
      <w:pPr>
        <w:pStyle w:val="Styl1NagwkiGwne"/>
        <w:numPr>
          <w:ilvl w:val="0"/>
          <w:numId w:val="108"/>
        </w:numPr>
        <w:spacing w:line="312" w:lineRule="auto"/>
        <w:ind w:left="567" w:hanging="567"/>
        <w:jc w:val="left"/>
        <w:rPr>
          <w:b w:val="0"/>
        </w:rPr>
      </w:pPr>
      <w:r w:rsidRPr="00E00B35">
        <w:rPr>
          <w:b w:val="0"/>
        </w:rPr>
        <w:t>Przebudowę ul. Poznańskiej w celu wykonania budowy miejsc postojowych i doświetlenia przejść dla pieszych wraz z remontem chodnika i budową pochylni dla osób z niepełnosprawnościami przy ul. Zachodniej 1. Realizacja w latach 2019-2020.;</w:t>
      </w:r>
    </w:p>
    <w:p w:rsidR="008C7751" w:rsidRPr="00E00B35" w:rsidRDefault="008C7751" w:rsidP="00E00B35">
      <w:pPr>
        <w:pStyle w:val="Styl1NagwkiGwne"/>
        <w:numPr>
          <w:ilvl w:val="0"/>
          <w:numId w:val="108"/>
        </w:numPr>
        <w:spacing w:line="312" w:lineRule="auto"/>
        <w:ind w:left="567" w:hanging="567"/>
        <w:jc w:val="left"/>
        <w:rPr>
          <w:b w:val="0"/>
        </w:rPr>
      </w:pPr>
      <w:r w:rsidRPr="00E00B35">
        <w:rPr>
          <w:b w:val="0"/>
        </w:rPr>
        <w:t>Przebudowę ul. Henryka Probusa we Wrocławiu. Realizacja w latach 2019-2020;</w:t>
      </w:r>
    </w:p>
    <w:p w:rsidR="008C7751" w:rsidRPr="00E00B35" w:rsidRDefault="008C7751" w:rsidP="00E00B35">
      <w:pPr>
        <w:pStyle w:val="Styl1NagwkiGwne"/>
        <w:numPr>
          <w:ilvl w:val="0"/>
          <w:numId w:val="108"/>
        </w:numPr>
        <w:spacing w:line="312" w:lineRule="auto"/>
        <w:ind w:left="567" w:hanging="567"/>
        <w:jc w:val="left"/>
        <w:rPr>
          <w:b w:val="0"/>
        </w:rPr>
      </w:pPr>
      <w:r w:rsidRPr="00E00B35">
        <w:rPr>
          <w:b w:val="0"/>
        </w:rPr>
        <w:t>Przebudowę przejść dla pieszych na skrzyżowaniu ulic Racławickiej i Sokolej oraz uporządkowanie parkowania na ul. Racławickiej na odcinku od ul. Sokolej do ul. Jastrzębiej;</w:t>
      </w:r>
    </w:p>
    <w:p w:rsidR="008C7751" w:rsidRPr="00E00B35" w:rsidRDefault="008C7751" w:rsidP="00E00B35">
      <w:pPr>
        <w:pStyle w:val="Styl1NagwkiGwne"/>
        <w:numPr>
          <w:ilvl w:val="0"/>
          <w:numId w:val="108"/>
        </w:numPr>
        <w:spacing w:line="312" w:lineRule="auto"/>
        <w:ind w:left="567" w:hanging="567"/>
        <w:jc w:val="left"/>
        <w:rPr>
          <w:b w:val="0"/>
        </w:rPr>
      </w:pPr>
      <w:r w:rsidRPr="00E00B35">
        <w:rPr>
          <w:b w:val="0"/>
        </w:rPr>
        <w:t>Zagospodarowanie skweru pomiędzy ul Parafialną i ul. Pszczelarską we Wrocławiu;</w:t>
      </w:r>
    </w:p>
    <w:p w:rsidR="008C7751" w:rsidRPr="00E00B35" w:rsidRDefault="008C7751" w:rsidP="00E00B35">
      <w:pPr>
        <w:pStyle w:val="Styl1NagwkiGwne"/>
        <w:numPr>
          <w:ilvl w:val="0"/>
          <w:numId w:val="108"/>
        </w:numPr>
        <w:spacing w:line="312" w:lineRule="auto"/>
        <w:ind w:left="567" w:hanging="567"/>
        <w:jc w:val="left"/>
        <w:rPr>
          <w:b w:val="0"/>
        </w:rPr>
      </w:pPr>
      <w:r w:rsidRPr="00E00B35">
        <w:rPr>
          <w:b w:val="0"/>
        </w:rPr>
        <w:t>Poprawę stanu nawierzchni ciągu pieszego przez wykonanie remontu wraz z wykonaniem oświetlenia ul. Olgi Boznańskiej na odc. od ul.</w:t>
      </w:r>
      <w:r w:rsidRPr="00E00B35">
        <w:t> </w:t>
      </w:r>
      <w:r w:rsidRPr="00E00B35">
        <w:rPr>
          <w:b w:val="0"/>
        </w:rPr>
        <w:t>Pautscha do ul. Orłowskiego we Wrocławiu oraz poprawiono stan nawierzchni ciągu pieszego przez wykonanie remontu ul. Pautscha (przy szkole) we Wrocławiu;</w:t>
      </w:r>
    </w:p>
    <w:p w:rsidR="008C7751" w:rsidRPr="00E00B35" w:rsidRDefault="008C7751" w:rsidP="00E00B35">
      <w:pPr>
        <w:pStyle w:val="Styl1NagwkiGwne"/>
        <w:numPr>
          <w:ilvl w:val="0"/>
          <w:numId w:val="108"/>
        </w:numPr>
        <w:spacing w:line="312" w:lineRule="auto"/>
        <w:ind w:left="567" w:hanging="567"/>
        <w:jc w:val="left"/>
        <w:rPr>
          <w:b w:val="0"/>
        </w:rPr>
      </w:pPr>
      <w:r w:rsidRPr="00E00B35">
        <w:rPr>
          <w:b w:val="0"/>
        </w:rPr>
        <w:t>Poprawę stanu chodników i odwodnienia w ciągu ul Serowarskiej od nr 1a do 31 (strona północna) oraz od nr 34 do 20 (strona południowa);</w:t>
      </w:r>
    </w:p>
    <w:p w:rsidR="008C7751" w:rsidRPr="00E00B35" w:rsidRDefault="008C7751" w:rsidP="00E00B35">
      <w:pPr>
        <w:pStyle w:val="Styl1NagwkiGwne"/>
        <w:numPr>
          <w:ilvl w:val="0"/>
          <w:numId w:val="108"/>
        </w:numPr>
        <w:spacing w:line="312" w:lineRule="auto"/>
        <w:ind w:left="567" w:hanging="567"/>
        <w:jc w:val="left"/>
        <w:rPr>
          <w:b w:val="0"/>
        </w:rPr>
      </w:pPr>
      <w:r w:rsidRPr="00E00B35">
        <w:rPr>
          <w:b w:val="0"/>
        </w:rPr>
        <w:t>Budowę oświetlenia drogowego w ciągu ulic Kłokoczyckiej i Złotej Lilii wraz z opracowaniem dokumentacji projektowej. Realizacja w latach 2018-2020;</w:t>
      </w:r>
    </w:p>
    <w:p w:rsidR="008C7751" w:rsidRPr="00E00B35" w:rsidRDefault="008C7751" w:rsidP="00E00B35">
      <w:pPr>
        <w:pStyle w:val="Styl1NagwkiGwne"/>
        <w:numPr>
          <w:ilvl w:val="0"/>
          <w:numId w:val="108"/>
        </w:numPr>
        <w:spacing w:line="312" w:lineRule="auto"/>
        <w:ind w:left="567" w:hanging="567"/>
        <w:jc w:val="left"/>
        <w:rPr>
          <w:b w:val="0"/>
        </w:rPr>
      </w:pPr>
      <w:r w:rsidRPr="00E00B35">
        <w:rPr>
          <w:b w:val="0"/>
        </w:rPr>
        <w:t>Przebudowę ulic Piłkarzy, Łyżwiarzy i Hokeistów w zakresie budowy oświetlenia drogowego wraz z opracowaniem dokumentacji projektowej;</w:t>
      </w:r>
    </w:p>
    <w:p w:rsidR="008C7751" w:rsidRPr="00E00B35" w:rsidRDefault="008C7751" w:rsidP="00E00B35">
      <w:pPr>
        <w:pStyle w:val="Styl1NagwkiGwne"/>
        <w:numPr>
          <w:ilvl w:val="0"/>
          <w:numId w:val="108"/>
        </w:numPr>
        <w:spacing w:line="312" w:lineRule="auto"/>
        <w:ind w:left="567" w:hanging="567"/>
        <w:jc w:val="left"/>
        <w:rPr>
          <w:b w:val="0"/>
        </w:rPr>
      </w:pPr>
      <w:r w:rsidRPr="00E00B35">
        <w:rPr>
          <w:b w:val="0"/>
        </w:rPr>
        <w:t>Budowę oświetlenia w ul. Wędkarzy i Szachistów we Wrocławiu. Realizacja w latach 2019-2020.</w:t>
      </w:r>
    </w:p>
    <w:p w:rsidR="00E00DA1" w:rsidRPr="00E00B35" w:rsidRDefault="00E00DA1" w:rsidP="00E00B35">
      <w:pPr>
        <w:pStyle w:val="Styl1NagwkiGwne"/>
        <w:spacing w:line="312" w:lineRule="auto"/>
        <w:ind w:left="567"/>
        <w:jc w:val="left"/>
        <w:rPr>
          <w:b w:val="0"/>
        </w:rPr>
      </w:pPr>
    </w:p>
    <w:p w:rsidR="008C7751" w:rsidRPr="00E00B35" w:rsidRDefault="008C7751" w:rsidP="00E00B35">
      <w:pPr>
        <w:pStyle w:val="Styl1NagwkiGwne"/>
        <w:spacing w:line="312" w:lineRule="auto"/>
        <w:jc w:val="left"/>
        <w:rPr>
          <w:b w:val="0"/>
        </w:rPr>
      </w:pPr>
      <w:r w:rsidRPr="00E00B35">
        <w:rPr>
          <w:b w:val="0"/>
        </w:rPr>
        <w:t>Osiągnięto następujące efekty:</w:t>
      </w:r>
    </w:p>
    <w:p w:rsidR="008C7751" w:rsidRPr="00E00B35" w:rsidRDefault="008C7751" w:rsidP="00E00B35">
      <w:pPr>
        <w:pStyle w:val="Tekstpodstawowy"/>
        <w:suppressAutoHyphens/>
        <w:spacing w:after="0" w:line="312" w:lineRule="auto"/>
        <w:rPr>
          <w:szCs w:val="20"/>
        </w:rPr>
      </w:pPr>
      <w:r w:rsidRPr="00E00B35">
        <w:rPr>
          <w:szCs w:val="20"/>
        </w:rPr>
        <w:t>W wyniku realizacji ww. zadań, w odpowiedzi na potrzeby mieszkańców Wrocławia poprawie uległ stan istniejącej infrastruktury, którą rady Osiedla wskazały jako priorytetowa na swoich terenach.</w:t>
      </w:r>
    </w:p>
    <w:p w:rsidR="008C7751" w:rsidRPr="00E00B35" w:rsidRDefault="008C7751" w:rsidP="00E00B35">
      <w:pPr>
        <w:pStyle w:val="Legenda"/>
        <w:keepNext/>
        <w:spacing w:before="0" w:after="0" w:line="312" w:lineRule="auto"/>
        <w:rPr>
          <w:b/>
          <w:sz w:val="20"/>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16</w:t>
      </w:r>
      <w:r w:rsidR="00573162" w:rsidRPr="00E00B35">
        <w:rPr>
          <w:b/>
          <w:sz w:val="20"/>
          <w:szCs w:val="20"/>
        </w:rPr>
        <w:fldChar w:fldCharType="end"/>
      </w:r>
      <w:r w:rsidRPr="00E00B35">
        <w:rPr>
          <w:sz w:val="20"/>
          <w:szCs w:val="20"/>
        </w:rPr>
        <w:t>. Zagospodarowanie skweru przy ul. Pszczelarskiej</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5267325" cy="3950494"/>
            <wp:effectExtent l="19050" t="0" r="9525" b="0"/>
            <wp:docPr id="84" name="Obraz 83" descr="Rondo na skwerku, wokół ławeczki, na środku nowe drzewko, zabezpieczone podporą, odbiegające od ronda alej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RO_Parafialna_Pszczelarska_po.jpg"/>
                    <pic:cNvPicPr/>
                  </pic:nvPicPr>
                  <pic:blipFill>
                    <a:blip r:embed="rId204" cstate="print"/>
                    <a:stretch>
                      <a:fillRect/>
                    </a:stretch>
                  </pic:blipFill>
                  <pic:spPr>
                    <a:xfrm>
                      <a:off x="0" y="0"/>
                      <a:ext cx="5265584" cy="3949188"/>
                    </a:xfrm>
                    <a:prstGeom prst="rect">
                      <a:avLst/>
                    </a:prstGeom>
                  </pic:spPr>
                </pic:pic>
              </a:graphicData>
            </a:graphic>
          </wp:inline>
        </w:drawing>
      </w:r>
    </w:p>
    <w:p w:rsidR="00B1753A" w:rsidRDefault="00B1753A" w:rsidP="00B1753A">
      <w:pPr>
        <w:spacing w:after="0" w:line="312" w:lineRule="auto"/>
        <w:rPr>
          <w:szCs w:val="20"/>
        </w:rPr>
      </w:pPr>
      <w:bookmarkStart w:id="811" w:name="_Toc505075526"/>
      <w:bookmarkStart w:id="812" w:name="_Toc505075825"/>
      <w:bookmarkStart w:id="813" w:name="_Toc505076180"/>
      <w:bookmarkStart w:id="814" w:name="_Toc66358316"/>
      <w:bookmarkStart w:id="815" w:name="_Toc62120185"/>
      <w:bookmarkEnd w:id="811"/>
      <w:bookmarkEnd w:id="812"/>
      <w:bookmarkEnd w:id="813"/>
    </w:p>
    <w:p w:rsidR="008C7751" w:rsidRPr="00E00B35" w:rsidRDefault="008C7751" w:rsidP="00B1753A">
      <w:pPr>
        <w:pStyle w:val="Nagwek4"/>
        <w:rPr>
          <w:lang w:eastAsia="pl-PL"/>
        </w:rPr>
      </w:pPr>
      <w:r w:rsidRPr="00E00B35">
        <w:t>Program rewitalizacji zieleni, nabrzeży i wysp odrzańskich</w:t>
      </w:r>
      <w:bookmarkEnd w:id="814"/>
    </w:p>
    <w:p w:rsidR="008C7751" w:rsidRPr="00E00B35" w:rsidRDefault="008C7751" w:rsidP="00E00B35">
      <w:pPr>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W ramach programu wykonano remont nawierzchni alejki na terenie ROD „Gajowice”. Lata realizacji: 2019–2020. Całkowity koszt robót wyniósł 370 tys. zł, w tym w roku 2020 wydatkowano ze środków niewygasających roku 2019 - 185 tys. zł.</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17</w:t>
      </w:r>
      <w:r w:rsidR="00573162" w:rsidRPr="00E00B35">
        <w:rPr>
          <w:b/>
          <w:sz w:val="20"/>
          <w:szCs w:val="20"/>
        </w:rPr>
        <w:fldChar w:fldCharType="end"/>
      </w:r>
      <w:r w:rsidRPr="00E00B35">
        <w:rPr>
          <w:sz w:val="20"/>
          <w:szCs w:val="20"/>
        </w:rPr>
        <w:t>. Alejka na terenie ROD Gajowice przed inwestycją</w:t>
      </w:r>
    </w:p>
    <w:p w:rsidR="008C7751" w:rsidRPr="00E00B35" w:rsidRDefault="008C7751" w:rsidP="00E00B35">
      <w:pPr>
        <w:pStyle w:val="Styl1NagwkiGwne"/>
        <w:tabs>
          <w:tab w:val="clear" w:pos="567"/>
          <w:tab w:val="left" w:pos="0"/>
        </w:tabs>
        <w:spacing w:line="312" w:lineRule="auto"/>
        <w:jc w:val="left"/>
        <w:rPr>
          <w:b w:val="0"/>
        </w:rPr>
      </w:pPr>
      <w:r w:rsidRPr="00E00B35">
        <w:rPr>
          <w:b w:val="0"/>
          <w:noProof/>
          <w:lang w:eastAsia="pl-PL"/>
        </w:rPr>
        <w:drawing>
          <wp:inline distT="0" distB="0" distL="0" distR="0">
            <wp:extent cx="2914650" cy="2185986"/>
            <wp:effectExtent l="19050" t="0" r="0" b="0"/>
            <wp:docPr id="76" name="Obraz 73" descr="Alejka na terenie ROD przed inwestycją, spękana, nierówna nawierzch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_rewit_zieleni_ROD_Gajowice_przed.jpg"/>
                    <pic:cNvPicPr/>
                  </pic:nvPicPr>
                  <pic:blipFill>
                    <a:blip r:embed="rId205" cstate="print"/>
                    <a:stretch>
                      <a:fillRect/>
                    </a:stretch>
                  </pic:blipFill>
                  <pic:spPr>
                    <a:xfrm>
                      <a:off x="0" y="0"/>
                      <a:ext cx="2913686" cy="2185263"/>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18</w:t>
      </w:r>
      <w:r w:rsidR="00573162" w:rsidRPr="00E00B35">
        <w:rPr>
          <w:b/>
          <w:sz w:val="20"/>
          <w:szCs w:val="20"/>
        </w:rPr>
        <w:fldChar w:fldCharType="end"/>
      </w:r>
      <w:r w:rsidRPr="00E00B35">
        <w:rPr>
          <w:sz w:val="20"/>
          <w:szCs w:val="20"/>
        </w:rPr>
        <w:t>. Alejka na terenie ROD Gajowice po inwestycji</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2647950" cy="2209800"/>
            <wp:effectExtent l="19050" t="0" r="0" b="0"/>
            <wp:docPr id="75" name="Obraz 74" descr="Alejka na terenie ROD po inwestycji, wyłożona czerwoną kostką, wzdłuż ogrodzenia nowe drewniane ław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_rewit_zieleni_ROD_Gajowice_po.jpg"/>
                    <pic:cNvPicPr/>
                  </pic:nvPicPr>
                  <pic:blipFill>
                    <a:blip r:embed="rId206" cstate="print"/>
                    <a:srcRect l="14887"/>
                    <a:stretch>
                      <a:fillRect/>
                    </a:stretch>
                  </pic:blipFill>
                  <pic:spPr>
                    <a:xfrm>
                      <a:off x="0" y="0"/>
                      <a:ext cx="2647950" cy="2209800"/>
                    </a:xfrm>
                    <a:prstGeom prst="rect">
                      <a:avLst/>
                    </a:prstGeom>
                  </pic:spPr>
                </pic:pic>
              </a:graphicData>
            </a:graphic>
          </wp:inline>
        </w:drawing>
      </w:r>
    </w:p>
    <w:p w:rsidR="008C7751" w:rsidRPr="00E00B35" w:rsidRDefault="008C7751" w:rsidP="00E00B35">
      <w:pPr>
        <w:pStyle w:val="Styl1NagwkiGwne"/>
        <w:tabs>
          <w:tab w:val="clear" w:pos="567"/>
          <w:tab w:val="left" w:pos="0"/>
        </w:tabs>
        <w:spacing w:line="312" w:lineRule="auto"/>
        <w:jc w:val="left"/>
        <w:rPr>
          <w:b w:val="0"/>
        </w:rPr>
      </w:pPr>
    </w:p>
    <w:p w:rsidR="008C7751" w:rsidRPr="00E00B35" w:rsidRDefault="008C7751" w:rsidP="00E00B35">
      <w:pPr>
        <w:pStyle w:val="Styl1NagwkiGwne"/>
        <w:tabs>
          <w:tab w:val="clear" w:pos="567"/>
          <w:tab w:val="left" w:pos="0"/>
        </w:tabs>
        <w:spacing w:line="312" w:lineRule="auto"/>
        <w:jc w:val="left"/>
        <w:rPr>
          <w:b w:val="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pStyle w:val="Nagwek4"/>
        <w:spacing w:before="0" w:after="0" w:line="312" w:lineRule="auto"/>
        <w:rPr>
          <w:sz w:val="20"/>
          <w:szCs w:val="20"/>
        </w:rPr>
      </w:pPr>
      <w:bookmarkStart w:id="816" w:name="_Toc66358317"/>
      <w:r w:rsidRPr="00E00B35">
        <w:rPr>
          <w:sz w:val="20"/>
          <w:szCs w:val="20"/>
        </w:rPr>
        <w:lastRenderedPageBreak/>
        <w:t>Realizacja programu przebudowy gminnego zasobu mieszkaniowego</w:t>
      </w:r>
      <w:bookmarkEnd w:id="815"/>
      <w:bookmarkEnd w:id="816"/>
    </w:p>
    <w:p w:rsidR="008C7751" w:rsidRPr="00E00B35" w:rsidRDefault="008C7751" w:rsidP="00E00B35">
      <w:pPr>
        <w:pStyle w:val="Styl1NagwkiGwne"/>
        <w:spacing w:line="312" w:lineRule="auto"/>
        <w:jc w:val="left"/>
        <w:rPr>
          <w:b w:val="0"/>
        </w:rPr>
      </w:pPr>
      <w:r w:rsidRPr="00E00B35">
        <w:rPr>
          <w:b w:val="0"/>
        </w:rPr>
        <w:t>Cel zadania:</w:t>
      </w:r>
    </w:p>
    <w:p w:rsidR="008C7751" w:rsidRPr="00E00B35" w:rsidRDefault="008C7751" w:rsidP="00E00B35">
      <w:pPr>
        <w:pStyle w:val="Styl1NagwkiGwne"/>
        <w:spacing w:line="312" w:lineRule="auto"/>
        <w:jc w:val="left"/>
        <w:rPr>
          <w:b w:val="0"/>
          <w:i/>
        </w:rPr>
      </w:pPr>
      <w:r w:rsidRPr="00E00B35">
        <w:rPr>
          <w:b w:val="0"/>
        </w:rPr>
        <w:t>Rewitalizacja obszarów zabudowy mieszkaniowej.</w:t>
      </w:r>
    </w:p>
    <w:p w:rsidR="008C7751" w:rsidRPr="00E00B35" w:rsidRDefault="008C7751" w:rsidP="00E00B35">
      <w:pPr>
        <w:pStyle w:val="Styl1NagwkiGwne"/>
        <w:spacing w:line="312" w:lineRule="auto"/>
        <w:jc w:val="left"/>
        <w:rPr>
          <w:b w:val="0"/>
        </w:rPr>
      </w:pPr>
      <w:r w:rsidRPr="00E00B35">
        <w:rPr>
          <w:b w:val="0"/>
        </w:rPr>
        <w:t>Poniesione w 2020 roku nakłady: 156,42 tys. zł</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W roku 2020 realizowano:</w:t>
      </w:r>
    </w:p>
    <w:p w:rsidR="008C7751" w:rsidRPr="00E00B35" w:rsidRDefault="008C7751" w:rsidP="00E00B35">
      <w:pPr>
        <w:pStyle w:val="Styl1NagwkiGwne"/>
        <w:spacing w:line="312" w:lineRule="auto"/>
        <w:jc w:val="left"/>
        <w:rPr>
          <w:b w:val="0"/>
        </w:rPr>
      </w:pPr>
      <w:r w:rsidRPr="00E00B35">
        <w:rPr>
          <w:b w:val="0"/>
        </w:rPr>
        <w:t>Roboty budowlane dla zadania:</w:t>
      </w:r>
    </w:p>
    <w:p w:rsidR="008C7751" w:rsidRPr="00E00B35" w:rsidRDefault="008C7751" w:rsidP="00E00B35">
      <w:pPr>
        <w:pStyle w:val="Styl1NagwkiGwne"/>
        <w:spacing w:line="312" w:lineRule="auto"/>
        <w:jc w:val="left"/>
        <w:rPr>
          <w:b w:val="0"/>
        </w:rPr>
      </w:pPr>
      <w:r w:rsidRPr="00E00B35">
        <w:rPr>
          <w:b w:val="0"/>
        </w:rPr>
        <w:t>Rewitalizacja budynku kawiarenki przy fosie ul. Podwale-Kołłątaja.</w:t>
      </w:r>
    </w:p>
    <w:p w:rsidR="008C7751" w:rsidRPr="00E00B35" w:rsidRDefault="008C7751" w:rsidP="00E00B35">
      <w:pPr>
        <w:pStyle w:val="Styl1NagwkiGwne"/>
        <w:tabs>
          <w:tab w:val="clear" w:pos="567"/>
          <w:tab w:val="left" w:pos="0"/>
        </w:tabs>
        <w:spacing w:line="312" w:lineRule="auto"/>
        <w:jc w:val="left"/>
        <w:rPr>
          <w:b w:val="0"/>
        </w:rPr>
      </w:pPr>
      <w:r w:rsidRPr="00E00B35">
        <w:rPr>
          <w:b w:val="0"/>
        </w:rPr>
        <w:t>Zakończono roboty budowlane związane z rewitalizacją budynku kawiarenki nad fosą przy skrzyżowaniu ul. Podwala i ul. Kołłątaja – Etap I, w szczególności: przebudowę i rewaloryzację budynku wraz ze schodami zewnętrznymi do pomieszczeń dawnej stacji redukcji gazu, odbudowę i przebudowę budynku pawilonu mającego pomieścić w przyziemiu kawiarnię z zapleczem sanitarnym, z instalacjami sanitarnymi, elektrycznymi i niskoprądowymi, remont piwnicy budynku w zakresie robót naprawczych, zabezpieczających konstrukcję i szczelność ścian oraz wykonania zaplecza gospodarczego i technicznego kawiarenki, przebudowę strefy chodnika, budowę przyłączy instalacji elektrycznej, budowę złącza kablowego, wykonanie przyłączy wody i kanalizacji sanitarnej z połączeniem z siecią miejską oraz instalację zewnętrznej klimatyzacji.</w:t>
      </w:r>
    </w:p>
    <w:p w:rsidR="008C7751" w:rsidRPr="00E00B35" w:rsidRDefault="008C7751" w:rsidP="00E00B35">
      <w:pPr>
        <w:pStyle w:val="Bezodstpw"/>
        <w:spacing w:line="312" w:lineRule="auto"/>
        <w:rPr>
          <w:rFonts w:ascii="Verdana" w:hAnsi="Verdana"/>
          <w:sz w:val="20"/>
          <w:szCs w:val="20"/>
        </w:rPr>
      </w:pPr>
      <w:bookmarkStart w:id="817" w:name="_Toc472491813"/>
      <w:bookmarkStart w:id="818" w:name="_Toc504632367"/>
      <w:bookmarkStart w:id="819" w:name="_Toc504632389"/>
      <w:bookmarkStart w:id="820" w:name="_Toc504632431"/>
      <w:bookmarkStart w:id="821" w:name="_Toc504632469"/>
    </w:p>
    <w:p w:rsidR="008C7751" w:rsidRPr="00E00B35" w:rsidRDefault="008C7751" w:rsidP="00E00B35">
      <w:pPr>
        <w:pStyle w:val="Nagwek4"/>
        <w:spacing w:before="0" w:after="0" w:line="312" w:lineRule="auto"/>
        <w:rPr>
          <w:sz w:val="20"/>
          <w:szCs w:val="20"/>
        </w:rPr>
      </w:pPr>
      <w:bookmarkStart w:id="822" w:name="_Toc62120186"/>
      <w:bookmarkStart w:id="823" w:name="_Toc66358318"/>
      <w:bookmarkEnd w:id="817"/>
      <w:bookmarkEnd w:id="818"/>
      <w:bookmarkEnd w:id="819"/>
      <w:bookmarkEnd w:id="820"/>
      <w:bookmarkEnd w:id="821"/>
      <w:r w:rsidRPr="00E00B35">
        <w:rPr>
          <w:sz w:val="20"/>
          <w:szCs w:val="20"/>
        </w:rPr>
        <w:t>Wrocławski Budżet Obywatelski (WBO)</w:t>
      </w:r>
      <w:bookmarkEnd w:id="822"/>
      <w:bookmarkEnd w:id="823"/>
    </w:p>
    <w:p w:rsidR="008C7751" w:rsidRPr="00E00B35" w:rsidRDefault="008C7751" w:rsidP="00E00B35">
      <w:pPr>
        <w:spacing w:after="0" w:line="312" w:lineRule="auto"/>
        <w:contextualSpacing/>
        <w:rPr>
          <w:szCs w:val="20"/>
        </w:rPr>
      </w:pPr>
      <w:r w:rsidRPr="00E00B35">
        <w:rPr>
          <w:szCs w:val="20"/>
        </w:rPr>
        <w:t>Budżet obywatelski ma za zadanie aktywizację i mobilizację obywatelską mieszkańców, integrację mieszkańców, budowanie postaw obywatelskich i wzajemnego zaufania, przełamanie barier w kontaktach pomiędzy mieszkańcami, umożliwienie wymiany informacji pomiędzy mieszkańcami, edukację mieszkańców, w szczególności poprzez dostarczanie informacji i podnoszenie wiedzy o funkcjonowaniu budżetu Miasta Wrocławia. Mieszkańcy Wrocławia mogą zaplanować i zgłaszać inwestycje zgodnie z zasadami WBO.</w:t>
      </w:r>
    </w:p>
    <w:p w:rsidR="008C7751" w:rsidRPr="00E00B35" w:rsidRDefault="008C7751" w:rsidP="00E00B35">
      <w:pPr>
        <w:spacing w:after="0" w:line="312" w:lineRule="auto"/>
        <w:contextualSpacing/>
        <w:rPr>
          <w:szCs w:val="20"/>
        </w:rPr>
      </w:pPr>
    </w:p>
    <w:p w:rsidR="008C7751" w:rsidRPr="00E00B35" w:rsidRDefault="008C7751" w:rsidP="00E00B35">
      <w:pPr>
        <w:pStyle w:val="Styl1NagwkiGwne"/>
        <w:spacing w:line="312" w:lineRule="auto"/>
        <w:contextualSpacing/>
        <w:jc w:val="left"/>
        <w:rPr>
          <w:b w:val="0"/>
        </w:rPr>
      </w:pPr>
      <w:r w:rsidRPr="00E00B35">
        <w:rPr>
          <w:b w:val="0"/>
        </w:rPr>
        <w:t>Cel zadania:</w:t>
      </w:r>
    </w:p>
    <w:p w:rsidR="008C7751" w:rsidRPr="00E00B35" w:rsidRDefault="008C7751" w:rsidP="00E00B35">
      <w:pPr>
        <w:pStyle w:val="Tekstpodstawowy"/>
        <w:suppressAutoHyphens/>
        <w:spacing w:after="0" w:line="312" w:lineRule="auto"/>
        <w:rPr>
          <w:szCs w:val="20"/>
        </w:rPr>
      </w:pPr>
      <w:r w:rsidRPr="00E00B35">
        <w:rPr>
          <w:szCs w:val="20"/>
        </w:rPr>
        <w:t xml:space="preserve">Polepszenie współpracy gminy Wrocław z mieszkańcami poprzez aktywizację i integrację mieszkańców oraz budowanie postaw obywatelskich i wzajemnego zaufania. </w:t>
      </w:r>
    </w:p>
    <w:p w:rsidR="008C7751" w:rsidRPr="00E00B35" w:rsidRDefault="008C7751" w:rsidP="00E00B35">
      <w:pPr>
        <w:pStyle w:val="Styl1NagwkiGwne"/>
        <w:spacing w:line="312" w:lineRule="auto"/>
        <w:jc w:val="left"/>
        <w:rPr>
          <w:b w:val="0"/>
        </w:rPr>
      </w:pPr>
      <w:r w:rsidRPr="00E00B35">
        <w:rPr>
          <w:b w:val="0"/>
        </w:rPr>
        <w:t>Poniesione w 2020 roku nakłady: 5 274,23 tys. zł</w:t>
      </w:r>
    </w:p>
    <w:p w:rsidR="008C7751" w:rsidRPr="00E00B35" w:rsidRDefault="008C7751" w:rsidP="00E00B35">
      <w:pPr>
        <w:spacing w:after="0" w:line="312" w:lineRule="auto"/>
        <w:contextualSpacing/>
        <w:rPr>
          <w:szCs w:val="20"/>
        </w:rPr>
      </w:pPr>
    </w:p>
    <w:p w:rsidR="008C7751" w:rsidRPr="00E00B35" w:rsidRDefault="008C7751" w:rsidP="00E00B35">
      <w:pPr>
        <w:pStyle w:val="Styl1NagwkiGwne"/>
        <w:spacing w:line="312" w:lineRule="auto"/>
        <w:jc w:val="left"/>
        <w:rPr>
          <w:b w:val="0"/>
        </w:rPr>
      </w:pPr>
      <w:r w:rsidRPr="00E00B35">
        <w:rPr>
          <w:b w:val="0"/>
        </w:rPr>
        <w:t>W roku 2020, w zakresie działań Zarządu Inwestycji Miejskich, realizowano projekty:</w:t>
      </w:r>
    </w:p>
    <w:p w:rsidR="008C7751" w:rsidRPr="00E00B35" w:rsidRDefault="008C7751" w:rsidP="00E00B35">
      <w:pPr>
        <w:pStyle w:val="Styl1NagwkiGwne"/>
        <w:numPr>
          <w:ilvl w:val="0"/>
          <w:numId w:val="81"/>
        </w:numPr>
        <w:spacing w:line="312" w:lineRule="auto"/>
        <w:ind w:left="567" w:hanging="567"/>
        <w:jc w:val="left"/>
        <w:rPr>
          <w:b w:val="0"/>
        </w:rPr>
      </w:pPr>
      <w:r w:rsidRPr="00E00B35">
        <w:rPr>
          <w:b w:val="0"/>
        </w:rPr>
        <w:t>Szczęśliwa łączy pokolenia - Etap II (Projekt WBO 2020 nr 260):</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2020 - 2021: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2021: opracowanie dokumentacji projektowej oraz realizacja robót budowlanych.</w:t>
      </w:r>
    </w:p>
    <w:p w:rsidR="008C7751" w:rsidRPr="00E00B35" w:rsidRDefault="008C7751" w:rsidP="00E00B35">
      <w:pPr>
        <w:pStyle w:val="Styl1NagwkiGwne"/>
        <w:numPr>
          <w:ilvl w:val="0"/>
          <w:numId w:val="81"/>
        </w:numPr>
        <w:spacing w:line="312" w:lineRule="auto"/>
        <w:ind w:left="567" w:hanging="567"/>
        <w:jc w:val="left"/>
        <w:rPr>
          <w:b w:val="0"/>
        </w:rPr>
      </w:pPr>
      <w:r w:rsidRPr="00E00B35">
        <w:rPr>
          <w:b w:val="0"/>
        </w:rPr>
        <w:t>EDUFUN – ETAP I „Kozanowska Osada Przygody" (Projekt WBO 2020 nr 193):</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2020 - 2021: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2021: opracowanie dokumentacji projektowej,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2021 – 2022: realizacja robót budowlanych.</w:t>
      </w:r>
    </w:p>
    <w:p w:rsidR="008C7751" w:rsidRPr="00E00B35" w:rsidRDefault="008C7751" w:rsidP="00E00B35">
      <w:pPr>
        <w:pStyle w:val="Styl1NagwkiGwne"/>
        <w:numPr>
          <w:ilvl w:val="0"/>
          <w:numId w:val="81"/>
        </w:numPr>
        <w:spacing w:line="312" w:lineRule="auto"/>
        <w:ind w:left="567" w:hanging="567"/>
        <w:jc w:val="left"/>
        <w:rPr>
          <w:b w:val="0"/>
        </w:rPr>
      </w:pPr>
      <w:r w:rsidRPr="00E00B35">
        <w:rPr>
          <w:b w:val="0"/>
        </w:rPr>
        <w:lastRenderedPageBreak/>
        <w:t>ZIELONO MI - Etap II Parki, tereny zielone i rekreacyjne. Lipa Piotrowska, Pawłowice, Widawa, Sołtysowice, Polanowice – Poświętne – Ligota (Projekt WBO 2020 nr 7):</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2020 - 2021: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2021: opracowanie dokumentacji projektowej oraz realizacja robót budowlanych.</w:t>
      </w:r>
    </w:p>
    <w:p w:rsidR="00E00DA1" w:rsidRPr="00E00B35" w:rsidRDefault="00E00DA1" w:rsidP="00E00B35">
      <w:pPr>
        <w:pStyle w:val="Styl1NagwkiGwne"/>
        <w:tabs>
          <w:tab w:val="clear" w:pos="567"/>
          <w:tab w:val="left" w:pos="993"/>
        </w:tabs>
        <w:spacing w:line="312" w:lineRule="auto"/>
        <w:ind w:left="993"/>
        <w:jc w:val="left"/>
        <w:rPr>
          <w:b w:val="0"/>
        </w:rPr>
      </w:pPr>
    </w:p>
    <w:p w:rsidR="008C7751" w:rsidRPr="00E00B35" w:rsidRDefault="008C7751" w:rsidP="00E00B35">
      <w:pPr>
        <w:spacing w:after="0" w:line="312" w:lineRule="auto"/>
        <w:contextualSpacing/>
        <w:rPr>
          <w:szCs w:val="20"/>
        </w:rPr>
      </w:pPr>
      <w:r w:rsidRPr="00E00B35">
        <w:rPr>
          <w:szCs w:val="20"/>
        </w:rPr>
        <w:t>Ponadto, w roku 2020 kontynuowano realizację wcześniej przekazanych do realizacji czterech zadań z edycji WBO 2018 oraz sześciu z edycji WBO 2019:</w:t>
      </w:r>
    </w:p>
    <w:p w:rsidR="008C7751" w:rsidRPr="00E00B35" w:rsidRDefault="008C7751" w:rsidP="00E00B35">
      <w:pPr>
        <w:pStyle w:val="Styl1NagwkiGwne"/>
        <w:numPr>
          <w:ilvl w:val="0"/>
          <w:numId w:val="80"/>
        </w:numPr>
        <w:spacing w:line="312" w:lineRule="auto"/>
        <w:ind w:left="567" w:hanging="567"/>
        <w:jc w:val="left"/>
        <w:rPr>
          <w:b w:val="0"/>
        </w:rPr>
      </w:pPr>
      <w:r w:rsidRPr="00E00B35">
        <w:rPr>
          <w:b w:val="0"/>
        </w:rPr>
        <w:t>Budowa integracyjnego placu zabaw przy Zespole Szkół nr 21 we Wrocławiu, ul. P. Ignuta 28 (Projekt WBO 2019 nr 255):</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2019 - 2020: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2020: opracowanie dokumentacji projektowej,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2021: realizacja robót budowlanych.</w:t>
      </w:r>
    </w:p>
    <w:p w:rsidR="008C7751" w:rsidRPr="00E00B35" w:rsidRDefault="008C7751" w:rsidP="00E00B35">
      <w:pPr>
        <w:pStyle w:val="Styl1NagwkiGwne"/>
        <w:numPr>
          <w:ilvl w:val="0"/>
          <w:numId w:val="80"/>
        </w:numPr>
        <w:spacing w:line="312" w:lineRule="auto"/>
        <w:ind w:left="567" w:hanging="567"/>
        <w:jc w:val="left"/>
        <w:rPr>
          <w:b w:val="0"/>
        </w:rPr>
      </w:pPr>
      <w:r w:rsidRPr="00E00B35">
        <w:rPr>
          <w:b w:val="0"/>
        </w:rPr>
        <w:t>Karłowicki BRODZIK odNOWA (Projekt WBO 2019 nr 282):</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2019 - 2020: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2020: opracowanie dokumentacji projektowej,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2021: realizacja robót budowlanych.</w:t>
      </w:r>
    </w:p>
    <w:p w:rsidR="008C7751" w:rsidRPr="00E00B35" w:rsidRDefault="008C7751" w:rsidP="00E00B35">
      <w:pPr>
        <w:pStyle w:val="Styl1NagwkiGwne"/>
        <w:numPr>
          <w:ilvl w:val="0"/>
          <w:numId w:val="80"/>
        </w:numPr>
        <w:spacing w:line="312" w:lineRule="auto"/>
        <w:ind w:left="567" w:hanging="567"/>
        <w:jc w:val="left"/>
        <w:rPr>
          <w:b w:val="0"/>
        </w:rPr>
      </w:pPr>
      <w:r w:rsidRPr="00E00B35">
        <w:rPr>
          <w:b w:val="0"/>
        </w:rPr>
        <w:t>Skatepark, czyli aktywnie na Pilczycach (Projekt WBO 2019 nr 323):</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2019 - 2021: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2020 - 2021: opracowanie dokumentacji projektowej (w 2020 r. rozwiązano umowę z projektantem, który zrealizował część materiałów przygotowawczych, w 2021 r. zostanie zawarta kolejna umowa na opracowanie pozostałej części dokumentacji projektowej),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2021: realizacja robót budowlanych.</w:t>
      </w:r>
    </w:p>
    <w:p w:rsidR="008C7751" w:rsidRPr="00E00B35" w:rsidRDefault="008C7751" w:rsidP="00E00B35">
      <w:pPr>
        <w:pStyle w:val="Styl1NagwkiGwne"/>
        <w:numPr>
          <w:ilvl w:val="0"/>
          <w:numId w:val="80"/>
        </w:numPr>
        <w:spacing w:line="312" w:lineRule="auto"/>
        <w:ind w:left="567" w:hanging="567"/>
        <w:jc w:val="left"/>
        <w:rPr>
          <w:b w:val="0"/>
        </w:rPr>
      </w:pPr>
      <w:r w:rsidRPr="00E00B35">
        <w:rPr>
          <w:b w:val="0"/>
        </w:rPr>
        <w:t>Szczęśliwa łączy pokolenia - Etap I (Projekt WBO 2019 nr 269):</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2019 - 2020: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2020: opracowanie dokumentacji projektowej,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2020 – 2021: realizacja robót budowlanych.</w:t>
      </w:r>
    </w:p>
    <w:p w:rsidR="008C7751" w:rsidRPr="00E00B35" w:rsidRDefault="008C7751" w:rsidP="00E00B35">
      <w:pPr>
        <w:pStyle w:val="Styl1NagwkiGwne"/>
        <w:numPr>
          <w:ilvl w:val="0"/>
          <w:numId w:val="80"/>
        </w:numPr>
        <w:spacing w:line="312" w:lineRule="auto"/>
        <w:ind w:left="567" w:hanging="567"/>
        <w:jc w:val="left"/>
        <w:rPr>
          <w:b w:val="0"/>
        </w:rPr>
      </w:pPr>
      <w:r w:rsidRPr="00E00B35">
        <w:rPr>
          <w:b w:val="0"/>
        </w:rPr>
        <w:t>Rowerowe Maślice – Etap I Pumptrack na Maślicach Wielkich (Projekt WBO 2019 nr 256):</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2019 - 2020: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2020: opracowanie dokumentacji projektowej,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2021: realizacja robót budowlanych.</w:t>
      </w:r>
    </w:p>
    <w:p w:rsidR="008C7751" w:rsidRPr="00E00B35" w:rsidRDefault="008C7751" w:rsidP="00E00B35">
      <w:pPr>
        <w:pStyle w:val="Styl1NagwkiGwne"/>
        <w:numPr>
          <w:ilvl w:val="0"/>
          <w:numId w:val="80"/>
        </w:numPr>
        <w:spacing w:line="312" w:lineRule="auto"/>
        <w:ind w:left="567" w:hanging="567"/>
        <w:jc w:val="left"/>
        <w:rPr>
          <w:b w:val="0"/>
        </w:rPr>
      </w:pPr>
      <w:r w:rsidRPr="00E00B35">
        <w:rPr>
          <w:b w:val="0"/>
        </w:rPr>
        <w:t>Sportowe Stabłowice (Projekt WBO 2019 nr 225):</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2019 - 2020: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2020: opracowanie dokumentacji projektowej,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2020: realizacja robót budowlanych.</w:t>
      </w:r>
    </w:p>
    <w:p w:rsidR="008C7751" w:rsidRPr="00E00B35" w:rsidRDefault="008C7751" w:rsidP="00E00B35">
      <w:pPr>
        <w:pStyle w:val="Styl1NagwkiGwne"/>
        <w:numPr>
          <w:ilvl w:val="0"/>
          <w:numId w:val="80"/>
        </w:numPr>
        <w:spacing w:line="312" w:lineRule="auto"/>
        <w:ind w:left="567" w:hanging="567"/>
        <w:jc w:val="left"/>
        <w:rPr>
          <w:b w:val="0"/>
        </w:rPr>
      </w:pPr>
      <w:r w:rsidRPr="00E00B35">
        <w:rPr>
          <w:b w:val="0"/>
        </w:rPr>
        <w:t>Wymarzony plac zabaw i rekreacji przy SP nr 107 ul. B. Prusa 64 (Projekt WBO 2018 nr 204):</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2018 - 2019: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2019: opracowanie dokumentacji projektowej,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2019 – 2020: realizacja robót budowlanych.</w:t>
      </w:r>
    </w:p>
    <w:p w:rsidR="008C7751" w:rsidRPr="00E00B35" w:rsidRDefault="008C7751" w:rsidP="00E00B35">
      <w:pPr>
        <w:pStyle w:val="Styl1NagwkiGwne"/>
        <w:numPr>
          <w:ilvl w:val="0"/>
          <w:numId w:val="80"/>
        </w:numPr>
        <w:spacing w:line="312" w:lineRule="auto"/>
        <w:ind w:left="567" w:hanging="567"/>
        <w:jc w:val="left"/>
        <w:rPr>
          <w:b w:val="0"/>
        </w:rPr>
      </w:pPr>
      <w:r w:rsidRPr="00E00B35">
        <w:rPr>
          <w:b w:val="0"/>
        </w:rPr>
        <w:lastRenderedPageBreak/>
        <w:t>Historyczna ścieżka zdrowia w Parku im. Jana Kasprowicza na Karłowicach - etap I (Projekt WBO 2018 nr 239):</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2018 - 2019: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2019: opracowanie dokumentacji projektowej,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2020: realizacja robót budowlanych.</w:t>
      </w:r>
    </w:p>
    <w:p w:rsidR="008C7751" w:rsidRPr="00E00B35" w:rsidRDefault="008C7751" w:rsidP="00E00B35">
      <w:pPr>
        <w:pStyle w:val="Styl1NagwkiGwne"/>
        <w:numPr>
          <w:ilvl w:val="0"/>
          <w:numId w:val="80"/>
        </w:numPr>
        <w:spacing w:line="312" w:lineRule="auto"/>
        <w:ind w:left="567" w:hanging="567"/>
        <w:jc w:val="left"/>
        <w:rPr>
          <w:b w:val="0"/>
        </w:rPr>
      </w:pPr>
      <w:r w:rsidRPr="00E00B35">
        <w:rPr>
          <w:b w:val="0"/>
        </w:rPr>
        <w:t>Boisko wielofunkcyjne - ul. Maślicka i ul. Lidzbarska (Projekt WBO 2018 nr 294):</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2018 - 2019: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2019: opracowanie dokumentacji projektowej boiska,</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2020: opracowanie dokumentacji projektowej ścieżki pieszo-rowerowej,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2020: realizacja robót budowlanych,</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2021: rozliczenie zrealizowanych robót budowlanych.</w:t>
      </w:r>
    </w:p>
    <w:p w:rsidR="008C7751" w:rsidRPr="00E00B35" w:rsidRDefault="008C7751" w:rsidP="00E00B35">
      <w:pPr>
        <w:pStyle w:val="Styl1NagwkiGwne"/>
        <w:numPr>
          <w:ilvl w:val="0"/>
          <w:numId w:val="80"/>
        </w:numPr>
        <w:spacing w:line="312" w:lineRule="auto"/>
        <w:ind w:left="567" w:hanging="567"/>
        <w:jc w:val="left"/>
        <w:rPr>
          <w:b w:val="0"/>
        </w:rPr>
      </w:pPr>
      <w:r w:rsidRPr="00E00B35">
        <w:rPr>
          <w:b w:val="0"/>
        </w:rPr>
        <w:t>Szlakiem herbów Wrocławia - renowacja zabytkowych herbów miasta na wrocławskich elewacjach (Projekt WBO 2018 nr 413):</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lata 2018 - 2019: konsultacje z liderem projektu, prace przygotowawcze,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2019: opracowanie dokumentacji konserwatorskiej,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rok 2020: realizacja robót budowlanych (do realizacji pozostają nasadzenia zieleni oraz oświetlenie ścieżek).</w:t>
      </w:r>
    </w:p>
    <w:p w:rsidR="008C7751" w:rsidRPr="00E00B35" w:rsidRDefault="008C7751" w:rsidP="00E00B35">
      <w:pPr>
        <w:pStyle w:val="Legenda"/>
        <w:keepNext/>
        <w:spacing w:before="0" w:after="0" w:line="312" w:lineRule="auto"/>
        <w:rPr>
          <w:b/>
          <w:sz w:val="20"/>
          <w:szCs w:val="20"/>
        </w:rPr>
      </w:pPr>
    </w:p>
    <w:p w:rsidR="008C7751" w:rsidRPr="00E00B35" w:rsidRDefault="008C7751" w:rsidP="00E00B35">
      <w:pPr>
        <w:pStyle w:val="Legenda"/>
        <w:keepNext/>
        <w:spacing w:before="0" w:after="0" w:line="312" w:lineRule="auto"/>
        <w:rPr>
          <w:b/>
          <w:sz w:val="20"/>
          <w:szCs w:val="2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19</w:t>
      </w:r>
      <w:r w:rsidR="00573162" w:rsidRPr="00E00B35">
        <w:rPr>
          <w:b/>
          <w:sz w:val="20"/>
          <w:szCs w:val="20"/>
        </w:rPr>
        <w:fldChar w:fldCharType="end"/>
      </w:r>
      <w:r w:rsidRPr="00E00B35">
        <w:rPr>
          <w:sz w:val="20"/>
          <w:szCs w:val="20"/>
        </w:rPr>
        <w:t>. Teren przy ul. Maślickiej przed inwestycją</w:t>
      </w:r>
    </w:p>
    <w:p w:rsidR="008C7751" w:rsidRPr="00E00B35" w:rsidRDefault="008C7751" w:rsidP="00E00B35">
      <w:pPr>
        <w:pStyle w:val="Styl1NagwkiGwne"/>
        <w:keepNext/>
        <w:tabs>
          <w:tab w:val="clear" w:pos="567"/>
          <w:tab w:val="left" w:pos="0"/>
        </w:tabs>
        <w:spacing w:line="312" w:lineRule="auto"/>
        <w:jc w:val="left"/>
        <w:rPr>
          <w:b w:val="0"/>
        </w:rPr>
      </w:pPr>
      <w:r w:rsidRPr="00E00B35">
        <w:rPr>
          <w:b w:val="0"/>
          <w:noProof/>
          <w:lang w:eastAsia="pl-PL"/>
        </w:rPr>
        <w:drawing>
          <wp:inline distT="0" distB="0" distL="0" distR="0">
            <wp:extent cx="2710800" cy="2371725"/>
            <wp:effectExtent l="19050" t="0" r="0" b="0"/>
            <wp:docPr id="14" name="Obraz 4" descr="Teren zielony, nierówny, zarośnięty trawą, krzewy. W oddali widać ekran akustyczny na obwodnicy autostradowej Wrocław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BO_Boisko_Maslicka_przed_01.jpg"/>
                    <pic:cNvPicPr/>
                  </pic:nvPicPr>
                  <pic:blipFill>
                    <a:blip r:embed="rId207" cstate="print"/>
                    <a:stretch>
                      <a:fillRect/>
                    </a:stretch>
                  </pic:blipFill>
                  <pic:spPr>
                    <a:xfrm>
                      <a:off x="0" y="0"/>
                      <a:ext cx="2710800" cy="2371725"/>
                    </a:xfrm>
                    <a:prstGeom prst="rect">
                      <a:avLst/>
                    </a:prstGeom>
                  </pic:spPr>
                </pic:pic>
              </a:graphicData>
            </a:graphic>
          </wp:inline>
        </w:drawing>
      </w:r>
    </w:p>
    <w:p w:rsidR="008C7751" w:rsidRPr="00E00B35" w:rsidRDefault="008C7751" w:rsidP="00E00B35">
      <w:pPr>
        <w:pStyle w:val="Legenda"/>
        <w:spacing w:before="0" w:after="0" w:line="312" w:lineRule="auto"/>
        <w:rPr>
          <w:b/>
          <w:sz w:val="20"/>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20</w:t>
      </w:r>
      <w:r w:rsidR="00573162" w:rsidRPr="00E00B35">
        <w:rPr>
          <w:b/>
          <w:sz w:val="20"/>
          <w:szCs w:val="20"/>
        </w:rPr>
        <w:fldChar w:fldCharType="end"/>
      </w:r>
      <w:r w:rsidRPr="00E00B35">
        <w:rPr>
          <w:sz w:val="20"/>
          <w:szCs w:val="20"/>
        </w:rPr>
        <w:t>. Boisko przy ul. Maślickiej po inwestycji</w:t>
      </w:r>
    </w:p>
    <w:p w:rsidR="008C7751" w:rsidRPr="00E00B35" w:rsidRDefault="008C7751" w:rsidP="00E00B35">
      <w:pPr>
        <w:pStyle w:val="Styl1NagwkiGwne"/>
        <w:tabs>
          <w:tab w:val="clear" w:pos="567"/>
          <w:tab w:val="left" w:pos="0"/>
        </w:tabs>
        <w:spacing w:line="312" w:lineRule="auto"/>
        <w:jc w:val="left"/>
        <w:rPr>
          <w:b w:val="0"/>
        </w:rPr>
      </w:pPr>
      <w:r w:rsidRPr="00E00B35">
        <w:rPr>
          <w:b w:val="0"/>
          <w:noProof/>
          <w:lang w:eastAsia="pl-PL"/>
        </w:rPr>
        <w:drawing>
          <wp:inline distT="0" distB="0" distL="0" distR="0">
            <wp:extent cx="2708963" cy="2376000"/>
            <wp:effectExtent l="19050" t="0" r="0" b="0"/>
            <wp:docPr id="15" name="Obraz 6" descr="Boisko trawiaste, ogrodzone wysoką siatką. W oddali widać drzewa oraz ekrany akustyczne Autostradowej Obwodnicy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BO_Boisko_Maslicka_po_02.jpg"/>
                    <pic:cNvPicPr/>
                  </pic:nvPicPr>
                  <pic:blipFill>
                    <a:blip r:embed="rId208" cstate="print"/>
                    <a:stretch>
                      <a:fillRect/>
                    </a:stretch>
                  </pic:blipFill>
                  <pic:spPr>
                    <a:xfrm>
                      <a:off x="0" y="0"/>
                      <a:ext cx="2708963" cy="2376000"/>
                    </a:xfrm>
                    <a:prstGeom prst="rect">
                      <a:avLst/>
                    </a:prstGeom>
                  </pic:spPr>
                </pic:pic>
              </a:graphicData>
            </a:graphic>
          </wp:inline>
        </w:drawing>
      </w:r>
    </w:p>
    <w:p w:rsidR="008C7751" w:rsidRPr="00E00B35" w:rsidRDefault="008C7751" w:rsidP="00E00B35">
      <w:pPr>
        <w:pStyle w:val="Styl1NagwkiGwne"/>
        <w:spacing w:line="312" w:lineRule="auto"/>
        <w:jc w:val="left"/>
        <w:rPr>
          <w:b w:val="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pStyle w:val="Styl1NagwkiGwne"/>
        <w:spacing w:line="312" w:lineRule="auto"/>
        <w:jc w:val="left"/>
        <w:rPr>
          <w:b w:val="0"/>
        </w:rPr>
      </w:pPr>
      <w:r w:rsidRPr="00E00B35">
        <w:rPr>
          <w:b w:val="0"/>
        </w:rPr>
        <w:lastRenderedPageBreak/>
        <w:t>W roku 2020, w zakresie działań Zarządu Dróg i Utrzymania Miasta, realizowano projekty:</w:t>
      </w:r>
    </w:p>
    <w:p w:rsidR="008C7751" w:rsidRPr="00E00B35" w:rsidRDefault="008C7751" w:rsidP="00E00B35">
      <w:pPr>
        <w:pStyle w:val="Tekstpodstawowy"/>
        <w:numPr>
          <w:ilvl w:val="0"/>
          <w:numId w:val="23"/>
        </w:numPr>
        <w:suppressAutoHyphens/>
        <w:spacing w:after="0" w:line="312" w:lineRule="auto"/>
        <w:ind w:left="567" w:hanging="567"/>
        <w:rPr>
          <w:szCs w:val="20"/>
        </w:rPr>
      </w:pPr>
      <w:r w:rsidRPr="00E00B35">
        <w:rPr>
          <w:szCs w:val="20"/>
        </w:rPr>
        <w:t>Budowę drogi rowerowej na odcinku od ul. Spiskiej do ul. Borowskiej oraz rozbudowę ciągu pieszo-rowerowego w ul. Borowskiej. Lata realizacji: 2019-2020;</w:t>
      </w:r>
    </w:p>
    <w:p w:rsidR="008C7751" w:rsidRPr="00E00B35" w:rsidRDefault="008C7751" w:rsidP="00E00B35">
      <w:pPr>
        <w:pStyle w:val="Tekstpodstawowy"/>
        <w:numPr>
          <w:ilvl w:val="0"/>
          <w:numId w:val="23"/>
        </w:numPr>
        <w:suppressAutoHyphens/>
        <w:spacing w:after="0" w:line="312" w:lineRule="auto"/>
        <w:ind w:left="567" w:hanging="567"/>
        <w:rPr>
          <w:szCs w:val="20"/>
        </w:rPr>
      </w:pPr>
      <w:r w:rsidRPr="00E00B35">
        <w:rPr>
          <w:szCs w:val="20"/>
        </w:rPr>
        <w:t>Przebudowę ul. Krzywa Grobla we Wrocławiu w celu wyznaczenia drogi rowerowej na odcinku od ul. Na Niskich Łąkach do Kładki Siedleckiej;</w:t>
      </w:r>
    </w:p>
    <w:p w:rsidR="008C7751" w:rsidRPr="00E00B35" w:rsidRDefault="008C7751" w:rsidP="00E00B35">
      <w:pPr>
        <w:pStyle w:val="Tekstpodstawowy"/>
        <w:numPr>
          <w:ilvl w:val="0"/>
          <w:numId w:val="23"/>
        </w:numPr>
        <w:suppressAutoHyphens/>
        <w:spacing w:after="0" w:line="312" w:lineRule="auto"/>
        <w:ind w:left="567" w:hanging="567"/>
        <w:rPr>
          <w:szCs w:val="20"/>
        </w:rPr>
      </w:pPr>
      <w:r w:rsidRPr="00E00B35">
        <w:rPr>
          <w:szCs w:val="20"/>
        </w:rPr>
        <w:t>Budowę drogi rowerowej na odcinku ul. Borowska - ul. Srebrnogórska oraz na odcinku ul. Srebrnogórska - ul. Bardzka (wzdłuż torów kolejowych). Lata realizacji: 2020 – 2021;</w:t>
      </w:r>
    </w:p>
    <w:p w:rsidR="008C7751" w:rsidRPr="00E00B35" w:rsidRDefault="008C7751" w:rsidP="00E00B35">
      <w:pPr>
        <w:pStyle w:val="Tekstpodstawowy"/>
        <w:numPr>
          <w:ilvl w:val="0"/>
          <w:numId w:val="23"/>
        </w:numPr>
        <w:suppressAutoHyphens/>
        <w:spacing w:after="0" w:line="312" w:lineRule="auto"/>
        <w:ind w:left="567" w:hanging="567"/>
        <w:rPr>
          <w:szCs w:val="20"/>
        </w:rPr>
      </w:pPr>
      <w:r w:rsidRPr="00E00B35">
        <w:rPr>
          <w:szCs w:val="20"/>
        </w:rPr>
        <w:lastRenderedPageBreak/>
        <w:t>Budowę wiat przystankowych wraz z infrastrukturą techniczną na przystanku tramwajowym nr 10004 przy ul. Kazimierza Wielkiego (tzw. Zielony przystanek);</w:t>
      </w:r>
    </w:p>
    <w:p w:rsidR="008C7751" w:rsidRPr="00E00B35" w:rsidRDefault="008C7751" w:rsidP="00E00B35">
      <w:pPr>
        <w:pStyle w:val="Tekstpodstawowy"/>
        <w:numPr>
          <w:ilvl w:val="0"/>
          <w:numId w:val="23"/>
        </w:numPr>
        <w:suppressAutoHyphens/>
        <w:spacing w:after="0" w:line="312" w:lineRule="auto"/>
        <w:ind w:left="567" w:hanging="567"/>
        <w:rPr>
          <w:szCs w:val="20"/>
        </w:rPr>
      </w:pPr>
      <w:r w:rsidRPr="00E00B35">
        <w:rPr>
          <w:szCs w:val="20"/>
        </w:rPr>
        <w:t>Budowę oświetlenia ulicznego traktu pieszo-rowerowego pomiędzy ulicami Jana Ostroroga a Marcina Bukowskiego wraz z opracowaniem dokumentacji projektowej. Lata realizacji: 2019-2020;</w:t>
      </w:r>
    </w:p>
    <w:p w:rsidR="008C7751" w:rsidRPr="00E00B35" w:rsidRDefault="008C7751" w:rsidP="00E00B35">
      <w:pPr>
        <w:pStyle w:val="Tekstpodstawowy"/>
        <w:numPr>
          <w:ilvl w:val="0"/>
          <w:numId w:val="23"/>
        </w:numPr>
        <w:suppressAutoHyphens/>
        <w:spacing w:after="0" w:line="312" w:lineRule="auto"/>
        <w:ind w:left="567" w:hanging="567"/>
        <w:rPr>
          <w:szCs w:val="20"/>
        </w:rPr>
      </w:pPr>
      <w:r w:rsidRPr="00E00B35">
        <w:rPr>
          <w:szCs w:val="20"/>
        </w:rPr>
        <w:t>Budowę chodnika w ul. Tymiankowej we Wrocławiu wraz z budową miejskich kanałów technologicznych;</w:t>
      </w:r>
    </w:p>
    <w:p w:rsidR="008C7751" w:rsidRPr="00E00B35" w:rsidRDefault="008C7751" w:rsidP="00E00B35">
      <w:pPr>
        <w:pStyle w:val="Tekstpodstawowy"/>
        <w:numPr>
          <w:ilvl w:val="0"/>
          <w:numId w:val="23"/>
        </w:numPr>
        <w:suppressAutoHyphens/>
        <w:spacing w:after="0" w:line="312" w:lineRule="auto"/>
        <w:ind w:left="567" w:hanging="567"/>
        <w:rPr>
          <w:szCs w:val="20"/>
        </w:rPr>
      </w:pPr>
      <w:r w:rsidRPr="00E00B35">
        <w:rPr>
          <w:szCs w:val="20"/>
        </w:rPr>
        <w:t>Przebudowę ul. Kasprowicza w zakresie budowy przejścia dla pieszych i przejazdu dla rowerzystów na wysokości Brodzika na Karłowicach;</w:t>
      </w:r>
    </w:p>
    <w:p w:rsidR="008C7751" w:rsidRPr="00E00B35" w:rsidRDefault="008C7751" w:rsidP="00E00B35">
      <w:pPr>
        <w:pStyle w:val="Tekstpodstawowy"/>
        <w:numPr>
          <w:ilvl w:val="0"/>
          <w:numId w:val="23"/>
        </w:numPr>
        <w:suppressAutoHyphens/>
        <w:spacing w:after="0" w:line="312" w:lineRule="auto"/>
        <w:ind w:left="567" w:hanging="567"/>
        <w:rPr>
          <w:szCs w:val="20"/>
        </w:rPr>
      </w:pPr>
      <w:r w:rsidRPr="00E00B35">
        <w:rPr>
          <w:szCs w:val="20"/>
        </w:rPr>
        <w:t>Budowę ciągu pieszo-rowerowego w ul. Żagańskiej we Wrocławiu na odcinku od ul. Zgorzeleckiej do ul. Ścinawskiej.</w:t>
      </w:r>
    </w:p>
    <w:p w:rsidR="008C7751" w:rsidRPr="00E00B35" w:rsidRDefault="008C7751" w:rsidP="00B1753A">
      <w:pPr>
        <w:spacing w:after="0" w:line="312" w:lineRule="auto"/>
        <w:rPr>
          <w:szCs w:val="20"/>
          <w:lang w:eastAsia="pl-PL"/>
        </w:rPr>
      </w:pPr>
      <w:r w:rsidRPr="00E00B35">
        <w:rPr>
          <w:szCs w:val="20"/>
        </w:rPr>
        <w:t>Osiągnięto następujące efekty:</w:t>
      </w:r>
    </w:p>
    <w:p w:rsidR="008C7751" w:rsidRPr="00E00B35" w:rsidRDefault="008C7751" w:rsidP="00E00B35">
      <w:pPr>
        <w:pStyle w:val="Tekstpodstawowy"/>
        <w:suppressAutoHyphens/>
        <w:spacing w:after="0" w:line="312" w:lineRule="auto"/>
        <w:rPr>
          <w:szCs w:val="20"/>
        </w:rPr>
      </w:pPr>
      <w:r w:rsidRPr="00E00B35">
        <w:rPr>
          <w:szCs w:val="20"/>
        </w:rPr>
        <w:t xml:space="preserve">Zaspokojenie oczekiwań i wymagań społeczności lokalnych na wrocławskich osiedlach, zmierzających w kierunku podniesienia jakości życia. </w:t>
      </w:r>
    </w:p>
    <w:p w:rsidR="008C7751" w:rsidRPr="00E00B35" w:rsidRDefault="008C7751" w:rsidP="00E00B35">
      <w:pPr>
        <w:pStyle w:val="Styl1NagwkiGwne"/>
        <w:spacing w:line="312" w:lineRule="auto"/>
        <w:jc w:val="left"/>
        <w:rPr>
          <w:b w:val="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21</w:t>
      </w:r>
      <w:r w:rsidR="00573162" w:rsidRPr="00E00B35">
        <w:rPr>
          <w:b/>
          <w:sz w:val="20"/>
          <w:szCs w:val="20"/>
        </w:rPr>
        <w:fldChar w:fldCharType="end"/>
      </w:r>
      <w:r w:rsidRPr="00E00B35">
        <w:rPr>
          <w:sz w:val="20"/>
          <w:szCs w:val="20"/>
        </w:rPr>
        <w:t>. Zielony Przystanek przy ul. Kazimierza Wielkiego</w:t>
      </w:r>
    </w:p>
    <w:p w:rsidR="008C7751" w:rsidRPr="00E00B35" w:rsidRDefault="008C7751" w:rsidP="00E00B35">
      <w:pPr>
        <w:pStyle w:val="Styl1NagwkiGwne"/>
        <w:spacing w:line="312" w:lineRule="auto"/>
        <w:jc w:val="left"/>
        <w:rPr>
          <w:b w:val="0"/>
        </w:rPr>
      </w:pPr>
      <w:r w:rsidRPr="00E00B35">
        <w:rPr>
          <w:b w:val="0"/>
          <w:noProof/>
          <w:lang w:eastAsia="pl-PL"/>
        </w:rPr>
        <w:drawing>
          <wp:inline distT="0" distB="0" distL="0" distR="0">
            <wp:extent cx="5760720" cy="4320540"/>
            <wp:effectExtent l="19050" t="0" r="0" b="0"/>
            <wp:docPr id="77" name="Obraz 76" descr="Peron przystanku tramwajowego, czteroprzęsłowa wiata. Drewniane siedziska z donicami, a w nich rośliny zielone (narcyzy, rozplenice, kocimiętka, powojniki, bluszcz i winoblusz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BO_zielony_przsytanek_po.jpg"/>
                    <pic:cNvPicPr/>
                  </pic:nvPicPr>
                  <pic:blipFill>
                    <a:blip r:embed="rId209" cstate="print"/>
                    <a:stretch>
                      <a:fillRect/>
                    </a:stretch>
                  </pic:blipFill>
                  <pic:spPr>
                    <a:xfrm>
                      <a:off x="0" y="0"/>
                      <a:ext cx="5760720" cy="4320540"/>
                    </a:xfrm>
                    <a:prstGeom prst="rect">
                      <a:avLst/>
                    </a:prstGeom>
                  </pic:spPr>
                </pic:pic>
              </a:graphicData>
            </a:graphic>
          </wp:inline>
        </w:drawing>
      </w:r>
    </w:p>
    <w:p w:rsidR="008C7751" w:rsidRPr="00E00B35" w:rsidRDefault="008C7751" w:rsidP="00E00B35">
      <w:pPr>
        <w:pStyle w:val="Styl1NagwkiGwne"/>
        <w:spacing w:line="312" w:lineRule="auto"/>
        <w:jc w:val="left"/>
        <w:rPr>
          <w:b w:val="0"/>
        </w:rPr>
      </w:pPr>
    </w:p>
    <w:p w:rsidR="008C7751" w:rsidRPr="00E00B35" w:rsidRDefault="008C7751" w:rsidP="00E00B35">
      <w:pPr>
        <w:pStyle w:val="Nagwek5"/>
      </w:pPr>
      <w:bookmarkStart w:id="824" w:name="_Toc66358319"/>
      <w:r w:rsidRPr="00E00B35">
        <w:t>Program budowy i przebudowy żłobków</w:t>
      </w:r>
      <w:bookmarkEnd w:id="824"/>
    </w:p>
    <w:p w:rsidR="008C7751" w:rsidRPr="00E00B35" w:rsidRDefault="008C7751" w:rsidP="00E00B35">
      <w:pPr>
        <w:pStyle w:val="Styl1NagwkiGwne"/>
        <w:spacing w:line="312" w:lineRule="auto"/>
        <w:contextualSpacing/>
        <w:jc w:val="left"/>
        <w:rPr>
          <w:b w:val="0"/>
        </w:rPr>
      </w:pPr>
      <w:r w:rsidRPr="00E00B35">
        <w:rPr>
          <w:b w:val="0"/>
        </w:rPr>
        <w:t>Cel zadania:</w:t>
      </w:r>
    </w:p>
    <w:p w:rsidR="008C7751" w:rsidRPr="00E00B35" w:rsidRDefault="008C7751" w:rsidP="00E00B35">
      <w:pPr>
        <w:pStyle w:val="Styl1NagwkiGwne"/>
        <w:spacing w:line="312" w:lineRule="auto"/>
        <w:contextualSpacing/>
        <w:jc w:val="left"/>
        <w:rPr>
          <w:b w:val="0"/>
        </w:rPr>
      </w:pPr>
      <w:r w:rsidRPr="00E00B35">
        <w:rPr>
          <w:b w:val="0"/>
        </w:rPr>
        <w:t>Zwiększenie bazy opiekuńczo - wychowawczej dla dzieci w wieku od 6 tygodni do około trzech lat oraz poprawy stanu technicznego żłobków, polepszenia ich warunków użytkowania i prawidłowego funkcjonowania.</w:t>
      </w:r>
    </w:p>
    <w:p w:rsidR="008C7751" w:rsidRPr="00E00B35" w:rsidRDefault="008C7751" w:rsidP="00E00B35">
      <w:pPr>
        <w:pStyle w:val="Styl1NagwkiGwne"/>
        <w:spacing w:line="312" w:lineRule="auto"/>
        <w:jc w:val="left"/>
        <w:rPr>
          <w:b w:val="0"/>
        </w:rPr>
      </w:pPr>
      <w:r w:rsidRPr="00E00B35">
        <w:rPr>
          <w:b w:val="0"/>
        </w:rPr>
        <w:lastRenderedPageBreak/>
        <w:t>Poniesione w 2020 roku nakłady: 5 468,84 tys. zł</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W roku 2020 realizowano:</w:t>
      </w:r>
    </w:p>
    <w:p w:rsidR="008C7751" w:rsidRPr="00E00B35" w:rsidRDefault="008C7751" w:rsidP="00E00B35">
      <w:pPr>
        <w:spacing w:after="0" w:line="312" w:lineRule="auto"/>
        <w:rPr>
          <w:szCs w:val="20"/>
        </w:rPr>
      </w:pPr>
      <w:r w:rsidRPr="00E00B35">
        <w:rPr>
          <w:szCs w:val="20"/>
        </w:rPr>
        <w:t>w zakresie prac projektowych:</w:t>
      </w:r>
    </w:p>
    <w:p w:rsidR="008C7751" w:rsidRPr="00E00B35" w:rsidRDefault="008C7751" w:rsidP="00E00B35">
      <w:pPr>
        <w:pStyle w:val="Tekstpodstawowy"/>
        <w:numPr>
          <w:ilvl w:val="0"/>
          <w:numId w:val="109"/>
        </w:numPr>
        <w:suppressAutoHyphens/>
        <w:spacing w:after="0" w:line="312" w:lineRule="auto"/>
        <w:ind w:left="567" w:hanging="567"/>
        <w:rPr>
          <w:szCs w:val="20"/>
        </w:rPr>
      </w:pPr>
      <w:bookmarkStart w:id="825" w:name="_Hlk61869091"/>
      <w:r w:rsidRPr="00E00B35">
        <w:rPr>
          <w:szCs w:val="20"/>
        </w:rPr>
        <w:t>Opracowano aktualizację dokumentacji przygotowawczej oraz dokumentację budowy żłobka przy ul. Sołtysowickiej, w ramach zawartej umowy w trybie „zaprojektuj i wybuduj”;</w:t>
      </w:r>
    </w:p>
    <w:p w:rsidR="008C7751" w:rsidRPr="00E00B35" w:rsidRDefault="008C7751" w:rsidP="00E00B35">
      <w:pPr>
        <w:pStyle w:val="Tekstpodstawowy"/>
        <w:numPr>
          <w:ilvl w:val="0"/>
          <w:numId w:val="109"/>
        </w:numPr>
        <w:suppressAutoHyphens/>
        <w:spacing w:after="0" w:line="312" w:lineRule="auto"/>
        <w:ind w:left="567" w:hanging="567"/>
        <w:rPr>
          <w:szCs w:val="20"/>
        </w:rPr>
      </w:pPr>
      <w:r w:rsidRPr="00E00B35">
        <w:rPr>
          <w:szCs w:val="20"/>
        </w:rPr>
        <w:t>Opracowano aktualizację dokumentacji projektowej przebudowy Żłobka nr 6 przy ul. Krowiej oraz przebudowy zjazdu na teren żłobka;</w:t>
      </w:r>
    </w:p>
    <w:p w:rsidR="008C7751" w:rsidRPr="00E00B35" w:rsidRDefault="008C7751" w:rsidP="00E00B35">
      <w:pPr>
        <w:pStyle w:val="Tekstpodstawowy"/>
        <w:numPr>
          <w:ilvl w:val="0"/>
          <w:numId w:val="109"/>
        </w:numPr>
        <w:suppressAutoHyphens/>
        <w:spacing w:after="0" w:line="312" w:lineRule="auto"/>
        <w:ind w:left="567" w:hanging="567"/>
        <w:rPr>
          <w:szCs w:val="20"/>
        </w:rPr>
      </w:pPr>
      <w:r w:rsidRPr="00E00B35">
        <w:rPr>
          <w:szCs w:val="20"/>
        </w:rPr>
        <w:t>Opracowywano aktualizację dokumentacji projektowej przebudowy Żłobka nr 5 przy ul. Dokerskiej.</w:t>
      </w:r>
    </w:p>
    <w:bookmarkEnd w:id="825"/>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 xml:space="preserve">W zakresie robót budowlanych: </w:t>
      </w:r>
    </w:p>
    <w:p w:rsidR="008C7751" w:rsidRPr="00E00B35" w:rsidRDefault="008C7751" w:rsidP="00E00B35">
      <w:pPr>
        <w:pStyle w:val="Tekstpodstawowy"/>
        <w:numPr>
          <w:ilvl w:val="0"/>
          <w:numId w:val="110"/>
        </w:numPr>
        <w:suppressAutoHyphens/>
        <w:spacing w:after="0" w:line="312" w:lineRule="auto"/>
        <w:ind w:left="567" w:hanging="567"/>
        <w:rPr>
          <w:szCs w:val="20"/>
        </w:rPr>
      </w:pPr>
      <w:r w:rsidRPr="00E00B35">
        <w:rPr>
          <w:szCs w:val="20"/>
        </w:rPr>
        <w:t>Zrealizowano roboty budowlane dot. budowy Żłobka przy ul. Sygnałowej w ramach zawartej umowy w trybie „zaprojektuj i wybuduj”;</w:t>
      </w:r>
    </w:p>
    <w:p w:rsidR="008C7751" w:rsidRPr="00E00B35" w:rsidRDefault="008C7751" w:rsidP="00E00B35">
      <w:pPr>
        <w:pStyle w:val="Tekstpodstawowy"/>
        <w:numPr>
          <w:ilvl w:val="0"/>
          <w:numId w:val="110"/>
        </w:numPr>
        <w:suppressAutoHyphens/>
        <w:spacing w:after="0" w:line="312" w:lineRule="auto"/>
        <w:ind w:left="567" w:hanging="567"/>
        <w:rPr>
          <w:szCs w:val="20"/>
        </w:rPr>
      </w:pPr>
      <w:r w:rsidRPr="00E00B35">
        <w:rPr>
          <w:szCs w:val="20"/>
        </w:rPr>
        <w:t>Realizowano roboty budowlane dot. przebudowy Żłobka nr 6 przy ul. Krowiej;</w:t>
      </w:r>
    </w:p>
    <w:p w:rsidR="008C7751" w:rsidRPr="00E00B35" w:rsidRDefault="008C7751" w:rsidP="00E00B35">
      <w:pPr>
        <w:pStyle w:val="Tekstpodstawowy"/>
        <w:numPr>
          <w:ilvl w:val="0"/>
          <w:numId w:val="110"/>
        </w:numPr>
        <w:suppressAutoHyphens/>
        <w:spacing w:after="0" w:line="312" w:lineRule="auto"/>
        <w:ind w:left="567" w:hanging="567"/>
        <w:rPr>
          <w:szCs w:val="20"/>
        </w:rPr>
      </w:pPr>
      <w:r w:rsidRPr="00E00B35">
        <w:rPr>
          <w:szCs w:val="20"/>
        </w:rPr>
        <w:t>Realizowano roboty budowlane dot. demontażu i wykonania nowego ogrodzenia placu zabaw na terenie Żłobka nr 5 przy ul. Dokerskiej.</w:t>
      </w:r>
    </w:p>
    <w:p w:rsidR="008C7751" w:rsidRPr="00E00B35" w:rsidRDefault="008C7751" w:rsidP="00E00B35">
      <w:pPr>
        <w:pStyle w:val="Tekstpodstawowy"/>
        <w:suppressAutoHyphens/>
        <w:spacing w:after="0" w:line="312" w:lineRule="auto"/>
        <w:ind w:left="567"/>
        <w:rPr>
          <w:szCs w:val="20"/>
        </w:rPr>
      </w:pPr>
    </w:p>
    <w:p w:rsidR="008C7751" w:rsidRPr="00E00B35" w:rsidRDefault="008C7751" w:rsidP="00E00B35">
      <w:pPr>
        <w:pStyle w:val="Tekstpodstawowy"/>
        <w:suppressAutoHyphens/>
        <w:spacing w:after="0" w:line="312" w:lineRule="auto"/>
        <w:rPr>
          <w:szCs w:val="2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22</w:t>
      </w:r>
      <w:r w:rsidR="00573162" w:rsidRPr="00E00B35">
        <w:rPr>
          <w:b/>
          <w:sz w:val="20"/>
          <w:szCs w:val="20"/>
        </w:rPr>
        <w:fldChar w:fldCharType="end"/>
      </w:r>
      <w:r w:rsidRPr="00E00B35">
        <w:rPr>
          <w:sz w:val="20"/>
          <w:szCs w:val="20"/>
        </w:rPr>
        <w:t>. Teren pod żłobek przy ul. Sygnałowej</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2609850" cy="2153973"/>
            <wp:effectExtent l="19050" t="0" r="0" b="0"/>
            <wp:docPr id="60" name="Obraz 59" descr="Teren niezabudowany, zarośnięty trawą, pokryty śniegiem. W oddali widać osiedle domków jednorodzinnych. Zdjęcie wykonane w zi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lobek_Sygnalowa_przed_03.jpg"/>
                    <pic:cNvPicPr/>
                  </pic:nvPicPr>
                  <pic:blipFill>
                    <a:blip r:embed="rId210" cstate="print"/>
                    <a:srcRect r="31849"/>
                    <a:stretch>
                      <a:fillRect/>
                    </a:stretch>
                  </pic:blipFill>
                  <pic:spPr>
                    <a:xfrm>
                      <a:off x="0" y="0"/>
                      <a:ext cx="2610079" cy="2154162"/>
                    </a:xfrm>
                    <a:prstGeom prst="rect">
                      <a:avLst/>
                    </a:prstGeom>
                  </pic:spPr>
                </pic:pic>
              </a:graphicData>
            </a:graphic>
          </wp:inline>
        </w:drawing>
      </w:r>
    </w:p>
    <w:p w:rsidR="008C7751" w:rsidRPr="00E00B35" w:rsidRDefault="008C7751" w:rsidP="00E00B35">
      <w:pPr>
        <w:pStyle w:val="Tekstpodstawowy"/>
        <w:suppressAutoHyphens/>
        <w:spacing w:after="0" w:line="312" w:lineRule="auto"/>
        <w:ind w:left="567"/>
        <w:rPr>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23</w:t>
      </w:r>
      <w:r w:rsidR="00573162" w:rsidRPr="00E00B35">
        <w:rPr>
          <w:b/>
          <w:sz w:val="20"/>
          <w:szCs w:val="20"/>
        </w:rPr>
        <w:fldChar w:fldCharType="end"/>
      </w:r>
      <w:r w:rsidRPr="00E00B35">
        <w:rPr>
          <w:sz w:val="20"/>
          <w:szCs w:val="20"/>
        </w:rPr>
        <w:t>. Nowy budynek żłobka przy ul. Sygnałowej</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2701576" cy="2152650"/>
            <wp:effectExtent l="19050" t="0" r="3524" b="0"/>
            <wp:docPr id="62" name="Obraz 61" descr="Nowoczesny szary budynek żłobka, liczne klomby, ławki, oświetlenie, miejsca postojowe dla samochod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lobek_Sygnalowa_po_02.jpg"/>
                    <pic:cNvPicPr/>
                  </pic:nvPicPr>
                  <pic:blipFill>
                    <a:blip r:embed="rId211" cstate="print"/>
                    <a:srcRect t="7409" r="12847" b="-15"/>
                    <a:stretch>
                      <a:fillRect/>
                    </a:stretch>
                  </pic:blipFill>
                  <pic:spPr>
                    <a:xfrm>
                      <a:off x="0" y="0"/>
                      <a:ext cx="2701576" cy="2152650"/>
                    </a:xfrm>
                    <a:prstGeom prst="rect">
                      <a:avLst/>
                    </a:prstGeom>
                  </pic:spPr>
                </pic:pic>
              </a:graphicData>
            </a:graphic>
          </wp:inline>
        </w:drawing>
      </w:r>
    </w:p>
    <w:p w:rsidR="008C7751" w:rsidRPr="00E00B35" w:rsidRDefault="008C7751" w:rsidP="00E00B35">
      <w:pPr>
        <w:spacing w:after="0" w:line="312" w:lineRule="auto"/>
        <w:contextualSpacing/>
        <w:rPr>
          <w:rFonts w:eastAsia="Calibri"/>
          <w:szCs w:val="20"/>
        </w:rPr>
      </w:pPr>
    </w:p>
    <w:p w:rsidR="008C7751" w:rsidRPr="00E00B35" w:rsidRDefault="008C7751" w:rsidP="00E00B35">
      <w:pPr>
        <w:pStyle w:val="Nagwek20"/>
        <w:tabs>
          <w:tab w:val="left" w:pos="567"/>
          <w:tab w:val="right" w:leader="dot" w:pos="9062"/>
        </w:tabs>
        <w:suppressAutoHyphens/>
        <w:spacing w:after="0" w:line="312" w:lineRule="auto"/>
        <w:ind w:left="570" w:hanging="570"/>
        <w:rPr>
          <w:b w:val="0"/>
          <w:sz w:val="20"/>
          <w:szCs w:val="20"/>
        </w:rPr>
        <w:sectPr w:rsidR="008C7751" w:rsidRPr="00E00B35" w:rsidSect="008C7751">
          <w:type w:val="continuous"/>
          <w:pgSz w:w="11906" w:h="16838"/>
          <w:pgMar w:top="1417" w:right="1417" w:bottom="1417" w:left="1417" w:header="567" w:footer="708" w:gutter="0"/>
          <w:cols w:num="2" w:space="708"/>
          <w:docGrid w:linePitch="600" w:charSpace="40960"/>
        </w:sectPr>
      </w:pPr>
      <w:bookmarkStart w:id="826" w:name="_Hlk504632896"/>
    </w:p>
    <w:p w:rsidR="008C7751" w:rsidRPr="00E00B35" w:rsidRDefault="00573162" w:rsidP="00E00B35">
      <w:pPr>
        <w:pStyle w:val="Nagwek4"/>
        <w:spacing w:before="0" w:after="0" w:line="312" w:lineRule="auto"/>
        <w:rPr>
          <w:sz w:val="20"/>
          <w:szCs w:val="20"/>
        </w:rPr>
      </w:pPr>
      <w:hyperlink w:anchor="_Toc32318614" w:history="1">
        <w:bookmarkStart w:id="827" w:name="_Toc66358320"/>
        <w:r w:rsidR="008C7751" w:rsidRPr="00E00B35">
          <w:rPr>
            <w:sz w:val="20"/>
            <w:szCs w:val="20"/>
          </w:rPr>
          <w:t>Budowa, przebudowa oraz remont obiektów oświatowych</w:t>
        </w:r>
        <w:bookmarkEnd w:id="827"/>
      </w:hyperlink>
    </w:p>
    <w:p w:rsidR="00890136" w:rsidRPr="00E00B35" w:rsidRDefault="00890136" w:rsidP="00E00B35">
      <w:pPr>
        <w:pStyle w:val="Nagwek4"/>
        <w:spacing w:before="0" w:after="0" w:line="312" w:lineRule="auto"/>
        <w:rPr>
          <w:sz w:val="20"/>
          <w:szCs w:val="20"/>
        </w:rPr>
      </w:pPr>
    </w:p>
    <w:p w:rsidR="008C7751" w:rsidRPr="00E00B35" w:rsidRDefault="008C7751" w:rsidP="00E00B35">
      <w:pPr>
        <w:pStyle w:val="Akapitzlist"/>
        <w:numPr>
          <w:ilvl w:val="0"/>
          <w:numId w:val="33"/>
        </w:numPr>
        <w:tabs>
          <w:tab w:val="left" w:pos="567"/>
          <w:tab w:val="right" w:leader="dot" w:pos="9062"/>
        </w:tabs>
        <w:suppressAutoHyphens/>
        <w:spacing w:after="0" w:line="312" w:lineRule="auto"/>
        <w:contextualSpacing w:val="0"/>
        <w:rPr>
          <w:b/>
          <w:vanish/>
          <w:szCs w:val="20"/>
        </w:rPr>
      </w:pPr>
    </w:p>
    <w:p w:rsidR="008C7751" w:rsidRPr="00E00B35" w:rsidRDefault="008C7751" w:rsidP="00E00B35">
      <w:pPr>
        <w:pStyle w:val="Akapitzlist"/>
        <w:numPr>
          <w:ilvl w:val="0"/>
          <w:numId w:val="33"/>
        </w:numPr>
        <w:tabs>
          <w:tab w:val="left" w:pos="567"/>
          <w:tab w:val="right" w:leader="dot" w:pos="9062"/>
        </w:tabs>
        <w:suppressAutoHyphens/>
        <w:spacing w:after="0" w:line="312" w:lineRule="auto"/>
        <w:contextualSpacing w:val="0"/>
        <w:rPr>
          <w:b/>
          <w:vanish/>
          <w:szCs w:val="20"/>
        </w:rPr>
      </w:pPr>
    </w:p>
    <w:p w:rsidR="008C7751" w:rsidRPr="00E00B35" w:rsidRDefault="008C7751" w:rsidP="00E00B35">
      <w:pPr>
        <w:pStyle w:val="Akapitzlist"/>
        <w:numPr>
          <w:ilvl w:val="0"/>
          <w:numId w:val="33"/>
        </w:numPr>
        <w:tabs>
          <w:tab w:val="left" w:pos="567"/>
          <w:tab w:val="right" w:leader="dot" w:pos="9062"/>
        </w:tabs>
        <w:suppressAutoHyphens/>
        <w:spacing w:after="0" w:line="312" w:lineRule="auto"/>
        <w:contextualSpacing w:val="0"/>
        <w:rPr>
          <w:b/>
          <w:vanish/>
          <w:szCs w:val="20"/>
        </w:rPr>
      </w:pPr>
    </w:p>
    <w:p w:rsidR="008C7751" w:rsidRPr="00E00B35" w:rsidRDefault="008C7751" w:rsidP="00E00B35">
      <w:pPr>
        <w:pStyle w:val="Akapitzlist"/>
        <w:numPr>
          <w:ilvl w:val="0"/>
          <w:numId w:val="33"/>
        </w:numPr>
        <w:tabs>
          <w:tab w:val="left" w:pos="567"/>
          <w:tab w:val="right" w:leader="dot" w:pos="9062"/>
        </w:tabs>
        <w:suppressAutoHyphens/>
        <w:spacing w:after="0" w:line="312" w:lineRule="auto"/>
        <w:contextualSpacing w:val="0"/>
        <w:rPr>
          <w:b/>
          <w:vanish/>
          <w:szCs w:val="20"/>
        </w:rPr>
      </w:pPr>
    </w:p>
    <w:p w:rsidR="008C7751" w:rsidRPr="00E00B35" w:rsidRDefault="008C7751" w:rsidP="00E00B35">
      <w:pPr>
        <w:pStyle w:val="Akapitzlist"/>
        <w:numPr>
          <w:ilvl w:val="0"/>
          <w:numId w:val="33"/>
        </w:numPr>
        <w:tabs>
          <w:tab w:val="left" w:pos="567"/>
          <w:tab w:val="right" w:leader="dot" w:pos="9062"/>
        </w:tabs>
        <w:suppressAutoHyphens/>
        <w:spacing w:after="0" w:line="312" w:lineRule="auto"/>
        <w:contextualSpacing w:val="0"/>
        <w:rPr>
          <w:b/>
          <w:vanish/>
          <w:szCs w:val="20"/>
        </w:rPr>
      </w:pPr>
    </w:p>
    <w:p w:rsidR="008C7751" w:rsidRPr="00E00B35" w:rsidRDefault="008C7751" w:rsidP="00E00B35">
      <w:pPr>
        <w:pStyle w:val="Akapitzlist"/>
        <w:numPr>
          <w:ilvl w:val="0"/>
          <w:numId w:val="33"/>
        </w:numPr>
        <w:tabs>
          <w:tab w:val="left" w:pos="567"/>
          <w:tab w:val="right" w:leader="dot" w:pos="9062"/>
        </w:tabs>
        <w:suppressAutoHyphens/>
        <w:spacing w:after="0" w:line="312" w:lineRule="auto"/>
        <w:contextualSpacing w:val="0"/>
        <w:rPr>
          <w:b/>
          <w:vanish/>
          <w:szCs w:val="20"/>
        </w:rPr>
      </w:pPr>
    </w:p>
    <w:p w:rsidR="008C7751" w:rsidRPr="00E00B35" w:rsidRDefault="008C7751" w:rsidP="00E00B35">
      <w:pPr>
        <w:pStyle w:val="Akapitzlist"/>
        <w:numPr>
          <w:ilvl w:val="0"/>
          <w:numId w:val="33"/>
        </w:numPr>
        <w:tabs>
          <w:tab w:val="left" w:pos="567"/>
          <w:tab w:val="right" w:leader="dot" w:pos="9062"/>
        </w:tabs>
        <w:suppressAutoHyphens/>
        <w:spacing w:after="0" w:line="312" w:lineRule="auto"/>
        <w:contextualSpacing w:val="0"/>
        <w:rPr>
          <w:b/>
          <w:vanish/>
          <w:szCs w:val="20"/>
        </w:rPr>
      </w:pPr>
    </w:p>
    <w:p w:rsidR="008C7751" w:rsidRPr="00E00B35" w:rsidRDefault="008C7751" w:rsidP="00E00B35">
      <w:pPr>
        <w:pStyle w:val="Akapitzlist"/>
        <w:numPr>
          <w:ilvl w:val="0"/>
          <w:numId w:val="33"/>
        </w:numPr>
        <w:tabs>
          <w:tab w:val="left" w:pos="567"/>
          <w:tab w:val="right" w:leader="dot" w:pos="9062"/>
        </w:tabs>
        <w:suppressAutoHyphens/>
        <w:spacing w:after="0" w:line="312" w:lineRule="auto"/>
        <w:contextualSpacing w:val="0"/>
        <w:rPr>
          <w:b/>
          <w:vanish/>
          <w:szCs w:val="20"/>
        </w:rPr>
      </w:pPr>
    </w:p>
    <w:p w:rsidR="008C7751" w:rsidRPr="00E00B35" w:rsidRDefault="008C7751" w:rsidP="00E00B35">
      <w:pPr>
        <w:pStyle w:val="Akapitzlist"/>
        <w:numPr>
          <w:ilvl w:val="0"/>
          <w:numId w:val="33"/>
        </w:numPr>
        <w:tabs>
          <w:tab w:val="left" w:pos="567"/>
          <w:tab w:val="right" w:leader="dot" w:pos="9062"/>
        </w:tabs>
        <w:suppressAutoHyphens/>
        <w:spacing w:after="0" w:line="312" w:lineRule="auto"/>
        <w:contextualSpacing w:val="0"/>
        <w:rPr>
          <w:b/>
          <w:vanish/>
          <w:szCs w:val="20"/>
        </w:rPr>
      </w:pPr>
    </w:p>
    <w:p w:rsidR="008C7751" w:rsidRPr="00E00B35" w:rsidRDefault="008C7751" w:rsidP="00E00B35">
      <w:pPr>
        <w:pStyle w:val="Akapitzlist"/>
        <w:numPr>
          <w:ilvl w:val="0"/>
          <w:numId w:val="33"/>
        </w:numPr>
        <w:tabs>
          <w:tab w:val="left" w:pos="567"/>
          <w:tab w:val="right" w:leader="dot" w:pos="9062"/>
        </w:tabs>
        <w:suppressAutoHyphens/>
        <w:spacing w:after="0" w:line="312" w:lineRule="auto"/>
        <w:contextualSpacing w:val="0"/>
        <w:rPr>
          <w:b/>
          <w:vanish/>
          <w:szCs w:val="20"/>
        </w:rPr>
      </w:pPr>
    </w:p>
    <w:p w:rsidR="008C7751" w:rsidRPr="00E00B35" w:rsidRDefault="008C7751" w:rsidP="00E00B35">
      <w:pPr>
        <w:pStyle w:val="Akapitzlist"/>
        <w:numPr>
          <w:ilvl w:val="0"/>
          <w:numId w:val="33"/>
        </w:numPr>
        <w:tabs>
          <w:tab w:val="left" w:pos="567"/>
          <w:tab w:val="right" w:leader="dot" w:pos="9062"/>
        </w:tabs>
        <w:suppressAutoHyphens/>
        <w:spacing w:after="0" w:line="312" w:lineRule="auto"/>
        <w:contextualSpacing w:val="0"/>
        <w:rPr>
          <w:b/>
          <w:vanish/>
          <w:szCs w:val="20"/>
        </w:rPr>
      </w:pPr>
    </w:p>
    <w:p w:rsidR="008C7751" w:rsidRPr="00E00B35" w:rsidRDefault="008C7751" w:rsidP="00E00B35">
      <w:pPr>
        <w:pStyle w:val="Styl1NagwkiGwne"/>
        <w:numPr>
          <w:ilvl w:val="1"/>
          <w:numId w:val="33"/>
        </w:numPr>
        <w:spacing w:line="312" w:lineRule="auto"/>
        <w:ind w:left="720"/>
        <w:jc w:val="left"/>
      </w:pPr>
      <w:r w:rsidRPr="00E00B35">
        <w:t>Budowa i kompleksowa przebudowa szkół podstawowych</w:t>
      </w:r>
    </w:p>
    <w:p w:rsidR="008C7751" w:rsidRPr="00E00B35" w:rsidRDefault="008C7751" w:rsidP="00E00B35">
      <w:pPr>
        <w:pStyle w:val="Styl1NagwkiGwne"/>
        <w:spacing w:line="312" w:lineRule="auto"/>
        <w:jc w:val="left"/>
        <w:rPr>
          <w:b w:val="0"/>
        </w:rPr>
      </w:pPr>
      <w:r w:rsidRPr="00E00B35">
        <w:rPr>
          <w:b w:val="0"/>
        </w:rPr>
        <w:t xml:space="preserve">Cel zadania: </w:t>
      </w:r>
    </w:p>
    <w:p w:rsidR="008C7751" w:rsidRPr="00E00B35" w:rsidRDefault="008C7751" w:rsidP="00E00B35">
      <w:pPr>
        <w:spacing w:after="0" w:line="312" w:lineRule="auto"/>
        <w:rPr>
          <w:iCs/>
          <w:szCs w:val="20"/>
        </w:rPr>
      </w:pPr>
      <w:r w:rsidRPr="00E00B35">
        <w:rPr>
          <w:iCs/>
          <w:szCs w:val="20"/>
        </w:rPr>
        <w:t>Szkoła i przedszkole na każdym osiedlu: zwiększenie liczby miejsc w przedszkolnej edukacji publicznej poprzez budowę nowych obiektów oraz rozbudowę istniejących budynków szkolnych i przedszkolnych na potrzeby utworzenia przedszkoli i zespołów szkolno-przedszkolnych; dostosowanie infrastruktury oraz sieci szkół i placówek do założeń reformy systemu oświaty; miejsce dla rowerów przy każdej szkole ponadpodstawowej; dostosowanie bazy oświatowej do potrzeb uczniów z niepełnosprawnościami.</w:t>
      </w:r>
    </w:p>
    <w:p w:rsidR="008C7751" w:rsidRPr="00B1753A" w:rsidRDefault="008C7751" w:rsidP="00B1753A">
      <w:pPr>
        <w:spacing w:after="0" w:line="312" w:lineRule="auto"/>
        <w:rPr>
          <w:szCs w:val="20"/>
        </w:rPr>
      </w:pPr>
      <w:r w:rsidRPr="00E00B35">
        <w:rPr>
          <w:b/>
          <w:szCs w:val="20"/>
        </w:rPr>
        <w:br w:type="page"/>
      </w:r>
      <w:r w:rsidRPr="00B1753A">
        <w:lastRenderedPageBreak/>
        <w:t>Poniesione w 2020 roku nakłady: 29 800,76 tys. zł</w:t>
      </w:r>
    </w:p>
    <w:p w:rsidR="008C7751" w:rsidRPr="00E00B35" w:rsidRDefault="008C7751" w:rsidP="00E00B35">
      <w:pPr>
        <w:pStyle w:val="Styl1NagwkiGwne"/>
        <w:spacing w:line="312" w:lineRule="auto"/>
        <w:contextualSpacing/>
        <w:jc w:val="left"/>
        <w:rPr>
          <w:b w:val="0"/>
        </w:rPr>
      </w:pPr>
    </w:p>
    <w:p w:rsidR="008C7751" w:rsidRPr="00E00B35" w:rsidRDefault="008C7751" w:rsidP="00E00B35">
      <w:pPr>
        <w:spacing w:after="0" w:line="312" w:lineRule="auto"/>
        <w:rPr>
          <w:szCs w:val="20"/>
        </w:rPr>
      </w:pPr>
      <w:r w:rsidRPr="00E00B35">
        <w:rPr>
          <w:szCs w:val="20"/>
        </w:rPr>
        <w:t>W roku 2020 realizowano:</w:t>
      </w: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Dokumentacje projektowe w zakresie:</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Adaptacji pomieszczeń na gabinety stomatologiczne w budynkach:</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4 przy ul. Powstańców Śląskich,</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44 przy ul. Wilanowskiej,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46 przy ul. Ścinawskiej (2020).</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Dostosowania do potrzeb osób niepełnosprawnych budynków:</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61 przy ul. Skarbowców,</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91 przy ul. Sempołowskiej (2020).</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Przebudowy i remontu budynku Szkoły Podstawowej nr 1 przy ul. Nowowiejskiej obejmujących węzeł żywienia, kotłownię gazową na węzeł cieplny, instalacje centralnego ogrzewania, ciepłej wody użytkowej i wodno-kanalizacyjnej (2020-2021);</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Koncepcji i programu funkcjonalno-użytkowego rozbudowy Szkoły Podstawowej nr 6 przy ul. Gorlickiej (2020);</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Przebudowy węzła żywienia wraz z remontem wybranych pomieszczeń i wykonaniem poidełek w Szkole Podstawowej nr 43 przy ul. Grochowej (2020-2021);</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Adaptacji budynku po Dolnośląskim Ośrodku Doskonalenia Nauczycieli na potrzeby Szkoły Podstawowej nr 61 przy ul. Skarbowców (2020-2021);</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Przebudowy i remontu toalet oraz dostosowania do wymogów przepisów przeciwpożarowych budynku Szkoły Podstawowej nr 61 przy ul. Skarbowców (2020);</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Przebudowy i remontu toalet, instalacji sanitarnych, elektrycznych i teletechnicznych, wybranych pomieszczeń oraz wykonania instalacji fotowoltaicznej w Szkole Podstawowej nr 73 przy ul. Glinianej (2020-2021);</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Dostosowania budynku Szkoły Podstawowej nr 78 przy ul. Jedności Narodowej do obowiązujących przepisów przeciwpożarowych (2019-2020);</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 xml:space="preserve">Przebudowy i remontu dachu Szkoły Podstawowej nr 109 przy Al. Pracy (2020-2021); </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Przebudowy i remontu sanitariatów w Szkole Podstawowej nr 118 przy ul. Bulwar Ikara (2019-2020);</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Przebudowy i remontu instalacji ciepła technologicznego oraz wentylacji mechanicznej w Zespole Szkolno-Przedszkolnym nr 6 przy ul. Gałczyńskiego (2020);</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Przebudowy i remontu strefy wejściowej do budynku Zespołu Szkolno-Przedszkolnego nr 18 przy ul. Poznańskiej, placu przed budynkiem oraz wykonania części ogrodzenia i zjazdu od ul. Poznańskiej (2019-2020);</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Dostosowania pomieszczeń i wykonania instalacji wentylacji w gabinecie chemicznym Zespołu Szkolno-Przedszkolnego nr 18 przy ul. Poznańskiej (2020);</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Budowy drogi w ul. Asfaltowej do Zespołu Szkolno-Przedszkolnego na osiedlu Jagodno (202-2021);</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Budowy Zespołu Szkolno-Przedszkolnego przy ul. Asfaltowej na osiedlu Jagodno (2020);</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lastRenderedPageBreak/>
        <w:t>Budowy Zespołu Szkolno-Przedszkolnego przy ul. Cynamonowej na osiedlu Lipa Piotrowska i Widawa (2020-2021);</w:t>
      </w:r>
    </w:p>
    <w:p w:rsidR="008C7751" w:rsidRPr="00E00B35" w:rsidRDefault="008C7751" w:rsidP="00E00B35">
      <w:pPr>
        <w:pStyle w:val="Styl1NagwkiGwne"/>
        <w:numPr>
          <w:ilvl w:val="0"/>
          <w:numId w:val="82"/>
        </w:numPr>
        <w:tabs>
          <w:tab w:val="clear" w:pos="567"/>
          <w:tab w:val="left" w:pos="709"/>
        </w:tabs>
        <w:spacing w:line="312" w:lineRule="auto"/>
        <w:ind w:left="426" w:hanging="426"/>
        <w:jc w:val="left"/>
        <w:rPr>
          <w:b w:val="0"/>
        </w:rPr>
      </w:pPr>
      <w:r w:rsidRPr="00E00B35">
        <w:rPr>
          <w:b w:val="0"/>
        </w:rPr>
        <w:t>Rozbiórek obiektów budowlanych na terenie Zespołu Szkolno-Przedszkolnego przy ul. Zwycięskiej (2020-2021).</w:t>
      </w:r>
    </w:p>
    <w:p w:rsidR="008C7751" w:rsidRPr="00E00B35" w:rsidRDefault="008C7751" w:rsidP="00E00B35">
      <w:pPr>
        <w:pStyle w:val="Styl1NagwkiGwne"/>
        <w:tabs>
          <w:tab w:val="clear" w:pos="567"/>
          <w:tab w:val="left" w:pos="426"/>
        </w:tabs>
        <w:spacing w:line="312" w:lineRule="auto"/>
        <w:ind w:left="644"/>
        <w:jc w:val="left"/>
        <w:rPr>
          <w:b w:val="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Roboty budowlane dla zadań:</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Adaptacja pomieszczeń na gabinety stomatologiczne w budynkach:</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4 przy ul. Powstańców Śląskich,</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44 przy ul. Wilanowskiej,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46 przy ul. Ścinawskiej (2020).</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Dostosowanie do potrzeb osób z niepełnosprawnościami budynków:</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61 przy ul. Skarbowców,</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91 przy ul. Sempołowskiej (2020-2021).</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 xml:space="preserve">Dostosowanie Szkoły Podstawowej nr 4 przy ul. Powstańców Śląskich do wymogów przepisów przeciwpożarowych (2020); </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 xml:space="preserve">Wymiana ogrodzenia terenu Szkoły Podstawowej nr 6 przy ul. Gorlickiej (2020); </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Przebudowa pomieszczeń w Szkole Podstawowej nr 6 przy ul. Gorlickiej na potrzeby wydzielenia bloku żywienia w formie cateringu wraz z przebudową pozostałych pomieszczeń piwnic, wykonaniem izolacji przeciwwodnej fundamentów i dostosowaniem obiektu do wymogów przepisów przeciwpożarowych (2020);</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Dostosowanie Szkoły Podstawowej nr 14 przy ul. Zachodniej do wymogów przeciwpożarowych w zakresie wydzielenia klatek schodowych i oddymiania (2020);</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Przebudowa i remont sanitariatów w segmencie B Szkoły Podstawowej nr 37 przy ul. Sarbinowskiej (2019-2020);</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Przebudowa posadzki korytarza parteru i schodów zewnętrznych w Szkole Podstawowej nr 37 przy ul. Sarbinowskiej (2020);</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Przebudowa strefy wejściowej wraz z zagospodarowaniem części terenu Szkoły Podstawowej nr 44 przy ul. Wilanowskiej (2019-2020);</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Dostosowanie Szkoły Podstawowej nr 50 przy ul. Czeskiej do wymogów ochrony przeciwpożarowej (2020-2021);</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Dostosowanie Szkoły Podstawowej nr 66 przy ul. Dembowskiego do wymogów przepisów przeciwpożarowych wraz z dokończeniem remontu instalacji elektrycznej (2020);</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Dostosowanie Szkoły Podstawowej nr 65 (Zespół Szkół nr 20) przy ul. Kłodnickiej do wymogów przepisów przeciwpożarowych, termomodernizacja bloku sportowego (2020-2021);</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Przebudowa zaplecza sanitarno-szatniowego bloku sportowego oraz małej i dużej sali gimnastycznej w Szkole Podstawowej nr 77 przy ul. Św. Jerzego (2020);</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Wykonanie ogrodzenia i miejsca składowania odpadów dla Szkoły Podstawowej nr 78 przy ul. Jedności Narodowej (2019-2020);</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 xml:space="preserve">Przebudowa i remont dachu oraz strefy wejściowej Szkoły Podstawowej nr 95 przy ul. Starogajowej (2020); </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Remont dachu Szkoły Podstawowej nr 107 przy ul. Prusa wraz z dociepleniem (2020-2021);</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lastRenderedPageBreak/>
        <w:t>Przebudowa i remont sanitariatów w segmentach D i A Szkoły Podstawowej nr 118 przy ul. Bulwar Ikara (2020-2021);</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Przebudowa i remont sanitariatów w budynkach B, C i E Zespołu Szkół nr 21 przy ul. Ignuta (2020);</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Pokrycie dachów płaskich materiałem spełniającym kryterium nierozprzestrzeniania ognia wraz z ociepleniem dachów budynku Zespołu Szkolno-Przedszkolnego nr 9 przy ul. Solskiego (2020);</w:t>
      </w:r>
    </w:p>
    <w:p w:rsidR="008C7751" w:rsidRPr="00E00B35" w:rsidRDefault="008C7751" w:rsidP="00E00B35">
      <w:pPr>
        <w:pStyle w:val="Styl1NagwkiGwne"/>
        <w:numPr>
          <w:ilvl w:val="0"/>
          <w:numId w:val="83"/>
        </w:numPr>
        <w:spacing w:line="312" w:lineRule="auto"/>
        <w:ind w:left="567" w:hanging="567"/>
        <w:jc w:val="left"/>
        <w:rPr>
          <w:b w:val="0"/>
        </w:rPr>
      </w:pPr>
      <w:r w:rsidRPr="00E00B35">
        <w:rPr>
          <w:b w:val="0"/>
        </w:rPr>
        <w:t>Termomodernizacja i wykonanie dachu zielonego oraz ściany w Zespole Szkolno-Przedszkolnym nr 13 przy pl. Muzealnym (2020).</w:t>
      </w:r>
    </w:p>
    <w:p w:rsidR="008C7751" w:rsidRPr="00E00B35" w:rsidRDefault="008C7751" w:rsidP="00E00B35">
      <w:pPr>
        <w:pStyle w:val="Styl1NagwkiGwne"/>
        <w:spacing w:line="312" w:lineRule="auto"/>
        <w:ind w:left="567"/>
        <w:jc w:val="left"/>
        <w:rPr>
          <w:b w:val="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Realizacje w systemie „zaprojektuj i wybuduj”:</w:t>
      </w:r>
    </w:p>
    <w:p w:rsidR="008C7751" w:rsidRPr="00E00B35" w:rsidRDefault="008C7751" w:rsidP="00E00B35">
      <w:pPr>
        <w:pStyle w:val="Styl1NagwkiGwne"/>
        <w:spacing w:line="312" w:lineRule="auto"/>
        <w:jc w:val="left"/>
        <w:rPr>
          <w:b w:val="0"/>
        </w:rPr>
      </w:pPr>
      <w:r w:rsidRPr="00E00B35">
        <w:rPr>
          <w:b w:val="0"/>
        </w:rPr>
        <w:t>Rozbudowa Szkoły Podstawowej nr 99 przy ul. Głubczyckiej o nowy budynek dydaktyczny, o powierzchni użytkowej ~2 114 m² na 11 sal lekcyjnych, pozbawiony barier architektonicznych oraz obsługiwany przez dźwig osobowy, z 2 świetlicami, pełnym blokiem żywienia z jadalnią, salką do gimnastyki korekcyjnej z zapleczem szatniowym oraz zagospodarowaniem terenu, w tym przeniesienie placu zabaw, zapewnienie obsługi komunikacyjnej i pożarowej, miejsca postojowe, ciągi piesze, mała architektura, infrastruktura towarzysząca, rozwiązania proekologiczne (zielona ściana tj. nasadzenia wertykalne, zielony dach wspomagający retencjonowanie wody, ogrody deszczowe zagospodarowujące wodę deszczową). Jednocześnie realizowano przebudowę istniejącego obiektu Szkoły Podstawowej nr 99 na styku z nowoprojektowanym, przebudową piwnic, zmianą systemu ogrzewania na ciepło sieciowe, dostosowanie do wymogów przepisów przeciwpożarowych, remont elewacji wraz z termomodernizacją, remont dachu budynku głównego.</w:t>
      </w:r>
    </w:p>
    <w:p w:rsidR="008C7751" w:rsidRPr="00E00B35" w:rsidRDefault="008C7751" w:rsidP="00E00B35">
      <w:pPr>
        <w:pStyle w:val="Styl1NagwkiGwne"/>
        <w:spacing w:line="312" w:lineRule="auto"/>
        <w:jc w:val="left"/>
        <w:rPr>
          <w:b w:val="0"/>
        </w:rPr>
      </w:pPr>
      <w:r w:rsidRPr="00E00B35">
        <w:rPr>
          <w:b w:val="0"/>
        </w:rPr>
        <w:t>Rozbudowa Zespołu Szkolno-przedszkolnego nr 5 przy ul. Osobowickiej o nowy, połączony funkcjonalnie z istniejącym i dostosowany do potrzeb osób niepełnosprawnych obiekt o powierzchni użytkowej ~3 324,65 m² z rozwiązaniami ekologicznymi (instalacja fotowoltaiczna, zagospodarowanie wód opadowych na terenie działki poprzez skrzynki rozsączające i zbiornik na wodę opadową) na 6</w:t>
      </w:r>
      <w:r w:rsidRPr="00E00B35">
        <w:rPr>
          <w:b w:val="0"/>
        </w:rPr>
        <w:noBreakHyphen/>
        <w:t>oddziałowe przedszkole i 10 sal lekcyjnych, pracownie, pełną kuchnię z jadalnią szkolną, węzły sanitarne, szatnie, pomieszczenia magazynowe; rozbiórki istniejącego i budowy nowego bloku sportowego z salą gimnastyczną o powierzchni ~538,55 m², WC dla niepełnosprawnych; zagospodarowanie terenu, w tym place zabaw, niepełnowymiarowe boisko wielofunkcyjne, ciągi pieszo-jezdne, droga pożarowa. Jednocześnie realizowano termomodernizację elewacji istniejącego obiektu Szkoły Podstawowej w ramach zespołu Szkolno-Przedszkolnego nr 5.</w:t>
      </w:r>
    </w:p>
    <w:p w:rsidR="008C7751" w:rsidRPr="00E00B35" w:rsidRDefault="008C7751" w:rsidP="00E00B35">
      <w:pPr>
        <w:pStyle w:val="Akapitzlist"/>
        <w:tabs>
          <w:tab w:val="left" w:pos="709"/>
        </w:tabs>
        <w:spacing w:after="0" w:line="312" w:lineRule="auto"/>
        <w:ind w:left="567" w:hanging="567"/>
        <w:rPr>
          <w:szCs w:val="2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Zakończono opracowanie dokumentacji projektowej dla zadań:</w:t>
      </w:r>
    </w:p>
    <w:p w:rsidR="008C7751" w:rsidRPr="00E00B35" w:rsidRDefault="008C7751" w:rsidP="00E00B35">
      <w:pPr>
        <w:pStyle w:val="Styl1NagwkiGwne"/>
        <w:numPr>
          <w:ilvl w:val="0"/>
          <w:numId w:val="85"/>
        </w:numPr>
        <w:spacing w:line="312" w:lineRule="auto"/>
        <w:ind w:left="567" w:hanging="567"/>
        <w:jc w:val="left"/>
        <w:rPr>
          <w:b w:val="0"/>
        </w:rPr>
      </w:pPr>
      <w:r w:rsidRPr="00E00B35">
        <w:rPr>
          <w:b w:val="0"/>
        </w:rPr>
        <w:t>Adaptacja pomieszczeń na gabinety stomatologiczne w budynkach:</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4 przy ul. Powstańców Śląskich poprzez przebudowę i remont w zakresie ogólnobudowlanym, instalacji elektrycznych i sanitarnych oraz wyposażenia wnętrz,</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lastRenderedPageBreak/>
        <w:t>Szkoły Podstawowej nr 44 przy ul. Wilanowskiej poprzez przebudowę i remont w zakresie ogólnobudowlanym, instalacji elektrycznych i sanitarnych oraz wyposażenia wnętrz,</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46 przy ul. Ścinawskiej poprzez przebudowę i remont w zakresie ogólnobudowlanym, instalacji elektrycznych i sanitarnych oraz wyposażenia wnętrz;</w:t>
      </w:r>
    </w:p>
    <w:p w:rsidR="008C7751" w:rsidRPr="00E00B35" w:rsidRDefault="008C7751" w:rsidP="00E00B35">
      <w:pPr>
        <w:pStyle w:val="Styl1NagwkiGwne"/>
        <w:numPr>
          <w:ilvl w:val="0"/>
          <w:numId w:val="85"/>
        </w:numPr>
        <w:spacing w:line="312" w:lineRule="auto"/>
        <w:ind w:left="567" w:hanging="567"/>
        <w:jc w:val="left"/>
        <w:rPr>
          <w:b w:val="0"/>
        </w:rPr>
      </w:pPr>
      <w:r w:rsidRPr="00E00B35">
        <w:rPr>
          <w:b w:val="0"/>
        </w:rPr>
        <w:t>Dostosowanie budynków do potrzeb osób z niepełnosprawnościami:</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61 przy ul. Skarbowców w zakresie budowy zewnętrznej windy osobowej z przedsionkiem o powierzchni użytkowej ~5,24 m², przebudowy placu utwardzonego o powierzchni ~54,5 m² oraz części parteru i korytarzy na wszystkich piętrach przy windzie o łącznej powierzchni 65 m² celem utworzenia toalety dla niepełnosprawnych toalety dla niepełnosprawnych i likwidacji barier architektonicznych;</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91 przy ul. Sempołowskiej w zakresie przebudowy i remontu toalet o łącznej powierzchni ~28,32 m² na poziomie parteru wraz z poprawą ich funkcjonalności i utworzeniem toalety dla niepełnosprawnych, montażu wewnętrznej platformy przyściennej przy schodach łączących parter z poziomem bloku sportowego oraz platformy przyschodowej przy wejściu głównym do budynku;</w:t>
      </w:r>
    </w:p>
    <w:p w:rsidR="008C7751" w:rsidRPr="00E00B35" w:rsidRDefault="008C7751" w:rsidP="00E00B35">
      <w:pPr>
        <w:pStyle w:val="Styl1NagwkiGwne"/>
        <w:numPr>
          <w:ilvl w:val="0"/>
          <w:numId w:val="85"/>
        </w:numPr>
        <w:tabs>
          <w:tab w:val="clear" w:pos="567"/>
          <w:tab w:val="left" w:pos="426"/>
        </w:tabs>
        <w:spacing w:line="312" w:lineRule="auto"/>
        <w:jc w:val="left"/>
        <w:rPr>
          <w:b w:val="0"/>
        </w:rPr>
      </w:pPr>
      <w:r w:rsidRPr="00E00B35">
        <w:rPr>
          <w:b w:val="0"/>
        </w:rPr>
        <w:t>Koncepcja i program funkcjonalno-użytkowego rozbudowy Szkoły Podstawowej nr 6 przy ul. Gorlickiej o nowy, dostosowany dla osób niepełnosprawnych, połączony funkcjonalnie z istniejącym, obiekt o funkcji dydaktyczno-sportowej, pow. użytkowej ~2 200 m², z windą dostępną z poziomu terenu na styku zabudowy istniejącej i projektowanej. W obiekcie planowane są sale edukacji wczesnoszkolnej, sanitariaty na każdej kondygnacji, sala sportowa ~672 m² z trybunami na antresoli wzdłuż I piętra sali, magazynem na sprzęt sportowy, zapleczem sanitarno-szatniowym, pokojem nauczycielskim nauczycieli wychowania fizycznego z zapleczem sanitarnym, salką do gimnastyki korekcyjnej, biblioteka, komunikacja, zagospodarowanie terenu: bieżnia do skoku w dal, place zabaw, zieleń rekreacyjna, mała architektura, parkingi;</w:t>
      </w:r>
    </w:p>
    <w:p w:rsidR="008C7751" w:rsidRPr="00E00B35" w:rsidRDefault="008C7751" w:rsidP="00E00B35">
      <w:pPr>
        <w:pStyle w:val="Styl1NagwkiGwne"/>
        <w:numPr>
          <w:ilvl w:val="0"/>
          <w:numId w:val="85"/>
        </w:numPr>
        <w:tabs>
          <w:tab w:val="clear" w:pos="567"/>
          <w:tab w:val="left" w:pos="426"/>
        </w:tabs>
        <w:spacing w:line="312" w:lineRule="auto"/>
        <w:jc w:val="left"/>
        <w:rPr>
          <w:b w:val="0"/>
        </w:rPr>
      </w:pPr>
      <w:r w:rsidRPr="00E00B35">
        <w:rPr>
          <w:b w:val="0"/>
        </w:rPr>
        <w:t>Przebudowa i remont toalet w zakresie ogólnobudowlanym i instalacyjnym wraz z utworzeniem toalet dla niepełnosprawnych na pozostałych kondygnacjach obiektu oraz dostosowania do wymogów przepisów przeciwpożarowych budynku Szkoły Podstawowej nr 61 o powierzchni użytkowej ~2 008 m² przy ul. Skarbowców, w tym: wydzielenie klatek schodowych i korytarzy, wyposażenie w urządzenia zapobiegające zadymieniu i oświetlenie ewakuacyjne, wymiana zestawu hydroforowego oraz wydzielenie pomieszczenia hydroforni jako oddzielnej strefy, wydzieleni piwnicy od pozostałej części budynku stropami i ścianami o odporności ogniowej i zamknięcie drzwiami o odporności ogniowej EI 30;</w:t>
      </w:r>
    </w:p>
    <w:p w:rsidR="008C7751" w:rsidRPr="00E00B35" w:rsidRDefault="008C7751" w:rsidP="00E00B35">
      <w:pPr>
        <w:pStyle w:val="Styl1NagwkiGwne"/>
        <w:numPr>
          <w:ilvl w:val="0"/>
          <w:numId w:val="85"/>
        </w:numPr>
        <w:spacing w:line="312" w:lineRule="auto"/>
        <w:ind w:left="567" w:hanging="644"/>
        <w:jc w:val="left"/>
        <w:rPr>
          <w:b w:val="0"/>
        </w:rPr>
      </w:pPr>
      <w:r w:rsidRPr="00E00B35">
        <w:rPr>
          <w:b w:val="0"/>
        </w:rPr>
        <w:t xml:space="preserve">Dostosowanie budynku Szkoły Podstawowej nr 78 o powierzchni użytkowej ~2 749 m² przy ul. Jedności Narodowej do obowiązujących przepisów przeciwpożarowych, w tym: zapewnienie przepisowej długości dojść ewakuacyjnych, wydzielenie i zabezpieczenie przeciwpożarowe klatek schodowych, stref pożarowych, instalacji oddymiania, wyposażenie w oświetlenie ewakuacyjne, </w:t>
      </w:r>
      <w:r w:rsidRPr="00E00B35">
        <w:rPr>
          <w:b w:val="0"/>
        </w:rPr>
        <w:lastRenderedPageBreak/>
        <w:t>wykonanie instalacji hydrantowej wewnętrznej, wyłącznika przeciwpożarowego prądu, likwidacja stopni zabiegowych na drodze ewakuacyjnej, dostosowanie zewnętrznej instalacji hydrantowej do wymogów zaopatrzenia w wodę do gaszenia pożaru;</w:t>
      </w:r>
    </w:p>
    <w:p w:rsidR="008C7751" w:rsidRPr="00E00B35" w:rsidRDefault="008C7751" w:rsidP="00E00B35">
      <w:pPr>
        <w:pStyle w:val="Styl1NagwkiGwne"/>
        <w:numPr>
          <w:ilvl w:val="0"/>
          <w:numId w:val="85"/>
        </w:numPr>
        <w:spacing w:line="312" w:lineRule="auto"/>
        <w:ind w:left="567" w:hanging="644"/>
        <w:jc w:val="left"/>
        <w:rPr>
          <w:b w:val="0"/>
        </w:rPr>
      </w:pPr>
      <w:r w:rsidRPr="00E00B35">
        <w:rPr>
          <w:b w:val="0"/>
        </w:rPr>
        <w:t>Przebudowa i remont sanitariatów w segmentach D i A o łącznej powierzchni użytkowej ~65,81m² w Szkole Podstawowej nr 118 przy ul. Bulwar Ikara;</w:t>
      </w:r>
    </w:p>
    <w:p w:rsidR="008C7751" w:rsidRPr="00E00B35" w:rsidRDefault="008C7751" w:rsidP="00E00B35">
      <w:pPr>
        <w:pStyle w:val="Styl1NagwkiGwne"/>
        <w:numPr>
          <w:ilvl w:val="0"/>
          <w:numId w:val="85"/>
        </w:numPr>
        <w:spacing w:line="312" w:lineRule="auto"/>
        <w:ind w:left="567" w:hanging="644"/>
        <w:jc w:val="left"/>
        <w:rPr>
          <w:b w:val="0"/>
        </w:rPr>
      </w:pPr>
      <w:r w:rsidRPr="00E00B35">
        <w:rPr>
          <w:b w:val="0"/>
        </w:rPr>
        <w:t>Przebudowa i remont instalacji ciepła technologicznego z układu wodnego na układ woda/glikol oraz wentylacji mechanicznej w Zespole Szkolno-Przedszkolnym nr 6 przy ul. Gałczyńskiego;</w:t>
      </w:r>
    </w:p>
    <w:p w:rsidR="008C7751" w:rsidRPr="00E00B35" w:rsidRDefault="008C7751" w:rsidP="00E00B35">
      <w:pPr>
        <w:pStyle w:val="Styl1NagwkiGwne"/>
        <w:numPr>
          <w:ilvl w:val="0"/>
          <w:numId w:val="85"/>
        </w:numPr>
        <w:spacing w:line="312" w:lineRule="auto"/>
        <w:ind w:left="567" w:hanging="644"/>
        <w:jc w:val="left"/>
        <w:rPr>
          <w:b w:val="0"/>
        </w:rPr>
      </w:pPr>
      <w:r w:rsidRPr="00E00B35">
        <w:rPr>
          <w:b w:val="0"/>
        </w:rPr>
        <w:t>Przebudowa i remont strefy wejściowej i placu przed budynkiem o łącznej powierzchni 640 m² do budynku Zespołu Szkolno-Przedszkolnego nr 18 przy ul. Poznańskiej oraz wykonania części ogrodzenia i zjazdu od ul. Poznańskiej;</w:t>
      </w:r>
    </w:p>
    <w:p w:rsidR="008C7751" w:rsidRPr="00E00B35" w:rsidRDefault="008C7751" w:rsidP="00E00B35">
      <w:pPr>
        <w:pStyle w:val="Styl1NagwkiGwne"/>
        <w:numPr>
          <w:ilvl w:val="0"/>
          <w:numId w:val="85"/>
        </w:numPr>
        <w:spacing w:line="312" w:lineRule="auto"/>
        <w:ind w:left="567" w:hanging="644"/>
        <w:jc w:val="left"/>
        <w:rPr>
          <w:b w:val="0"/>
        </w:rPr>
      </w:pPr>
      <w:r w:rsidRPr="00E00B35">
        <w:rPr>
          <w:b w:val="0"/>
        </w:rPr>
        <w:t>Dostosowania 3 pomieszczeń o łącznej powierzchni 82,40 m² na gabinet chemiczny wraz z wykonaniem modernizacji instalacji wentylacji gabinetu na potrzeby Zespołu Szkolno-Przedszkolnego nr 18 przy ul. Poznańskiej.</w:t>
      </w:r>
    </w:p>
    <w:p w:rsidR="008C7751" w:rsidRPr="00E00B35" w:rsidRDefault="008C7751" w:rsidP="00E00B35">
      <w:pPr>
        <w:tabs>
          <w:tab w:val="left" w:pos="709"/>
        </w:tabs>
        <w:spacing w:after="0" w:line="312" w:lineRule="auto"/>
        <w:rPr>
          <w:szCs w:val="20"/>
        </w:rPr>
      </w:pPr>
    </w:p>
    <w:p w:rsidR="008C7751" w:rsidRPr="00E00B35" w:rsidRDefault="008C7751" w:rsidP="00E00B35">
      <w:pPr>
        <w:tabs>
          <w:tab w:val="left" w:pos="709"/>
        </w:tabs>
        <w:spacing w:after="0" w:line="312" w:lineRule="auto"/>
        <w:rPr>
          <w:szCs w:val="20"/>
        </w:rPr>
      </w:pPr>
      <w:r w:rsidRPr="00E00B35">
        <w:rPr>
          <w:szCs w:val="20"/>
        </w:rPr>
        <w:t>Zakończono zadania inwestycyjne polegające na:</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Adaptacji pomieszczeń na gabinety stomatologiczne w budynkach:</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4 przy ul. Powstańców Śląskich, powierzchnia objęta przebudową 52,82 m²,</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44 przy ul. Wilanowskiej, powierzchnia objęta przebudową 16,42 m²,</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Szkoły Podstawowej nr 46 przy ul. Ścinawskiej, powierzchnia objęta przebudową 25,04 m², w zakresie robót budowlanych i instalacyjnych;</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Dostosowaniu Szkoły Podstawowej nr 4 przy ul. Powstańców Śląskich do wymogów przepisów przeciwpożarowych;</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Wymianie ogrodzenia terenu Szkoły Podstawowej nr 6 przy ul. Gorlickiej;</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Przebudowie pomieszczeń w Szkole Podstawowej nr 6 przy ul. Gorlickiej na potrzeby wydzielenia bloku żywienia w formie cateringu wraz z przebudową pozostałych pomieszczeń piwnic, wykonaniem izolacji przeciwwodnej fundamentów i dostosowaniem obiektu do wymogów przepisów przeciwpożarowych;</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 xml:space="preserve">Dostosowaniu Szkoły Podstawowej nr 14 przy ul. Zachodniej do wymogów przeciwpożarowych w zakresie wydzielenia klatek schodowych i oddymiania; </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Przebudowie i remoncie sanitariatów w segmencie B Szkoły Podstawowej nr 37 przy ul. Sarbinowskiej;</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Przebudowie posadzki korytarza parteru i schodów zewnętrznych w Szkole Podstawowej nr 37 przy ul. Sarbinowskiej;</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Przebudowie strefy wejściowej wraz z zagospodarowaniem części terenu Szkoły Podstawowej nr 44 przy ul. Wilanowskiej;</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Dostosowaniu Szkoły Podstawowej nr 66 przy ul. Dembowskiego do wymogów przepisów przeciwpożarowych wraz z dokończeniem remontu instalacji elektrycznej;</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Przebudowie zaplecza sanitarno-szatniowego bloku sportowego oraz małej i dużej sali gimnastycznej w Szkole Podstawowej nr 77 przy ul. Św. Jerzego;</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lastRenderedPageBreak/>
        <w:t>Wykonaniu ogrodzenia i miejsca składowania odpadów dla Szkoły Podstawowej nr 78 przy ul. Jedności Narodowej;</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Przebudowie i remontu dachu oraz strefy wejściowej Szkoły Podstawowej nr 95 przy ul. Starogajowej;</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Przebudowie i remoncie sanitariatów w budynkach B, C i E Zespołu Szkół nr 21 przy ul. Ignuta;</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Pokryciu dachów płaskich materiałem spełniającym kryterium nierozprzestrzeniania ognia wraz z ociepleniem dachów budynku Zespołu Szkolno-Przedszkolnego nr 9 przy ul. Solskiego;</w:t>
      </w:r>
    </w:p>
    <w:p w:rsidR="008C7751" w:rsidRPr="00E00B35" w:rsidRDefault="008C7751" w:rsidP="00E00B35">
      <w:pPr>
        <w:pStyle w:val="Styl1NagwkiGwne"/>
        <w:numPr>
          <w:ilvl w:val="0"/>
          <w:numId w:val="96"/>
        </w:numPr>
        <w:spacing w:line="312" w:lineRule="auto"/>
        <w:ind w:left="567" w:hanging="567"/>
        <w:jc w:val="left"/>
        <w:rPr>
          <w:b w:val="0"/>
        </w:rPr>
      </w:pPr>
      <w:r w:rsidRPr="00E00B35">
        <w:rPr>
          <w:b w:val="0"/>
        </w:rPr>
        <w:t>Termomodernizacji elewacji i wykonaniu dachu zielonego oraz zielonej ściany w Zespole Szkolno-Przedszkolnym nr 13 przy pl. Muzealnym.</w:t>
      </w:r>
    </w:p>
    <w:p w:rsidR="008C7751" w:rsidRPr="00E00B35" w:rsidRDefault="008C7751" w:rsidP="00E00B35">
      <w:pPr>
        <w:pStyle w:val="Styl1NagwkiGwne"/>
        <w:spacing w:line="312" w:lineRule="auto"/>
        <w:ind w:left="567" w:hanging="567"/>
        <w:jc w:val="left"/>
        <w:rPr>
          <w:b w:val="0"/>
        </w:rPr>
      </w:pPr>
    </w:p>
    <w:p w:rsidR="008C7751" w:rsidRPr="00E00B35" w:rsidRDefault="008C7751" w:rsidP="00E00B35">
      <w:pPr>
        <w:spacing w:after="0" w:line="312" w:lineRule="auto"/>
        <w:rPr>
          <w:iCs/>
          <w:szCs w:val="20"/>
        </w:rPr>
      </w:pPr>
      <w:r w:rsidRPr="00E00B35">
        <w:rPr>
          <w:iCs/>
          <w:szCs w:val="20"/>
        </w:rPr>
        <w:t xml:space="preserve">Rozstrzygnięto konkurs na opracowanie koncepcji budowy Zespołu Szkolno-Przedszkolnego przy ul. Cynamonowej wraz z zagospodarowaniem terenu i infrastrukturą towarzyszącą. </w:t>
      </w:r>
    </w:p>
    <w:p w:rsidR="008C7751" w:rsidRPr="00E00B35" w:rsidRDefault="008C7751" w:rsidP="00E00B35">
      <w:pPr>
        <w:spacing w:after="0" w:line="312" w:lineRule="auto"/>
        <w:rPr>
          <w:iCs/>
          <w:szCs w:val="20"/>
        </w:rPr>
      </w:pPr>
    </w:p>
    <w:p w:rsidR="008C7751" w:rsidRPr="00E00B35" w:rsidRDefault="008C7751" w:rsidP="00E00B35">
      <w:pPr>
        <w:spacing w:after="0" w:line="312" w:lineRule="auto"/>
        <w:rPr>
          <w:iCs/>
          <w:szCs w:val="2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24</w:t>
      </w:r>
      <w:r w:rsidR="00573162" w:rsidRPr="00E00B35">
        <w:rPr>
          <w:b/>
          <w:sz w:val="20"/>
          <w:szCs w:val="20"/>
        </w:rPr>
        <w:fldChar w:fldCharType="end"/>
      </w:r>
      <w:r w:rsidRPr="00E00B35">
        <w:rPr>
          <w:sz w:val="20"/>
          <w:szCs w:val="20"/>
        </w:rPr>
        <w:t>. ZSP nr 13 przed inwestycją</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2752691" cy="2505075"/>
            <wp:effectExtent l="19050" t="0" r="0" b="0"/>
            <wp:docPr id="52" name="Obraz 51" descr="Trzykondygnacyjny budynek szkoły, zniszczona, odrapana elew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P13_Muzealny_przed_02.jpg"/>
                    <pic:cNvPicPr/>
                  </pic:nvPicPr>
                  <pic:blipFill>
                    <a:blip r:embed="rId212" cstate="print"/>
                    <a:stretch>
                      <a:fillRect/>
                    </a:stretch>
                  </pic:blipFill>
                  <pic:spPr>
                    <a:xfrm>
                      <a:off x="0" y="0"/>
                      <a:ext cx="2758849" cy="2510679"/>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25</w:t>
      </w:r>
      <w:r w:rsidR="00573162" w:rsidRPr="00E00B35">
        <w:rPr>
          <w:b/>
          <w:sz w:val="20"/>
          <w:szCs w:val="20"/>
        </w:rPr>
        <w:fldChar w:fldCharType="end"/>
      </w:r>
      <w:r w:rsidRPr="00E00B35">
        <w:rPr>
          <w:sz w:val="20"/>
          <w:szCs w:val="20"/>
        </w:rPr>
        <w:t>. ZSP nr 13 po inwestycji</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2753347" cy="2732567"/>
            <wp:effectExtent l="19050" t="0" r="8903" b="0"/>
            <wp:docPr id="59" name="Obraz 58" descr="Odnowiony budynek szkoły, kolorowa elew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P13_Muzealny_po_01.jpg"/>
                    <pic:cNvPicPr/>
                  </pic:nvPicPr>
                  <pic:blipFill>
                    <a:blip r:embed="rId213" cstate="print"/>
                    <a:srcRect b="16508"/>
                    <a:stretch>
                      <a:fillRect/>
                    </a:stretch>
                  </pic:blipFill>
                  <pic:spPr>
                    <a:xfrm>
                      <a:off x="0" y="0"/>
                      <a:ext cx="2754314" cy="2733527"/>
                    </a:xfrm>
                    <a:prstGeom prst="rect">
                      <a:avLst/>
                    </a:prstGeom>
                  </pic:spPr>
                </pic:pic>
              </a:graphicData>
            </a:graphic>
          </wp:inline>
        </w:drawing>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pStyle w:val="Styl1NagwkiGwne"/>
        <w:spacing w:line="312" w:lineRule="auto"/>
        <w:jc w:val="left"/>
        <w:rPr>
          <w:b w:val="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26</w:t>
      </w:r>
      <w:r w:rsidR="00573162" w:rsidRPr="00E00B35">
        <w:rPr>
          <w:b/>
          <w:sz w:val="20"/>
          <w:szCs w:val="20"/>
        </w:rPr>
        <w:fldChar w:fldCharType="end"/>
      </w:r>
      <w:r w:rsidRPr="00E00B35">
        <w:rPr>
          <w:sz w:val="20"/>
          <w:szCs w:val="20"/>
        </w:rPr>
        <w:t>. Teren przed SP przy ul. Wilanowskiej przed zagospodarowaniem</w:t>
      </w:r>
    </w:p>
    <w:p w:rsidR="008C7751" w:rsidRPr="00E00B35" w:rsidRDefault="008C7751" w:rsidP="00E00B35">
      <w:pPr>
        <w:pStyle w:val="Styl1NagwkiGwne"/>
        <w:spacing w:line="312" w:lineRule="auto"/>
        <w:jc w:val="left"/>
        <w:rPr>
          <w:b w:val="0"/>
        </w:rPr>
      </w:pPr>
      <w:r w:rsidRPr="00E00B35">
        <w:rPr>
          <w:b w:val="0"/>
          <w:noProof/>
          <w:lang w:eastAsia="pl-PL"/>
        </w:rPr>
        <w:drawing>
          <wp:inline distT="0" distB="0" distL="0" distR="0">
            <wp:extent cx="2857500" cy="1952625"/>
            <wp:effectExtent l="19050" t="0" r="0" b="0"/>
            <wp:docPr id="63" name="Obraz 62" descr="Strefa wejściowa przed szkołą podstawową, teren przeznaczony pod inwestycję, ogrodzony barierkami. Nawierzchnia z nierównych płytek chodnik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44_Wilanowska_teren_przed_02.jpg"/>
                    <pic:cNvPicPr/>
                  </pic:nvPicPr>
                  <pic:blipFill>
                    <a:blip r:embed="rId214" cstate="print"/>
                    <a:stretch>
                      <a:fillRect/>
                    </a:stretch>
                  </pic:blipFill>
                  <pic:spPr>
                    <a:xfrm>
                      <a:off x="0" y="0"/>
                      <a:ext cx="2863417" cy="1956668"/>
                    </a:xfrm>
                    <a:prstGeom prst="rect">
                      <a:avLst/>
                    </a:prstGeom>
                  </pic:spPr>
                </pic:pic>
              </a:graphicData>
            </a:graphic>
          </wp:inline>
        </w:drawing>
      </w:r>
    </w:p>
    <w:p w:rsidR="008C7751" w:rsidRPr="00E00B35" w:rsidRDefault="008C7751" w:rsidP="00E00B35">
      <w:pPr>
        <w:pStyle w:val="Styl1NagwkiGwne"/>
        <w:spacing w:line="312" w:lineRule="auto"/>
        <w:jc w:val="left"/>
        <w:rPr>
          <w:b w:val="0"/>
        </w:r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27</w:t>
      </w:r>
      <w:r w:rsidR="00573162" w:rsidRPr="00E00B35">
        <w:rPr>
          <w:b/>
          <w:sz w:val="20"/>
          <w:szCs w:val="20"/>
        </w:rPr>
        <w:fldChar w:fldCharType="end"/>
      </w:r>
      <w:r w:rsidRPr="00E00B35">
        <w:rPr>
          <w:sz w:val="20"/>
          <w:szCs w:val="20"/>
        </w:rPr>
        <w:t>. Teren SP przy ul. Wilanowskiej po zagospodarowaniu</w:t>
      </w:r>
    </w:p>
    <w:p w:rsidR="008C7751" w:rsidRPr="00E00B35" w:rsidRDefault="008C7751" w:rsidP="00E00B35">
      <w:pPr>
        <w:pStyle w:val="Styl1NagwkiGwne"/>
        <w:spacing w:line="312" w:lineRule="auto"/>
        <w:jc w:val="left"/>
        <w:rPr>
          <w:b w:val="0"/>
        </w:rPr>
        <w:sectPr w:rsidR="008C7751" w:rsidRPr="00E00B35" w:rsidSect="008C7751">
          <w:type w:val="continuous"/>
          <w:pgSz w:w="11906" w:h="16838"/>
          <w:pgMar w:top="1417" w:right="1417" w:bottom="1417" w:left="1417" w:header="567" w:footer="708" w:gutter="0"/>
          <w:cols w:num="2" w:space="708"/>
          <w:docGrid w:linePitch="600" w:charSpace="40960"/>
        </w:sectPr>
      </w:pPr>
      <w:r w:rsidRPr="00E00B35">
        <w:rPr>
          <w:b w:val="0"/>
          <w:noProof/>
          <w:lang w:eastAsia="pl-PL"/>
        </w:rPr>
        <w:drawing>
          <wp:inline distT="0" distB="0" distL="0" distR="0">
            <wp:extent cx="2657475" cy="1952625"/>
            <wp:effectExtent l="19050" t="0" r="9525" b="0"/>
            <wp:docPr id="66" name="Obraz 63" descr="Siedziska, nasadzenia, kosze na śmieci, nowa, równa nawierzchnia w strefie wejściowej do szkoł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44_Wilanowska_teren_po_03.jpg"/>
                    <pic:cNvPicPr/>
                  </pic:nvPicPr>
                  <pic:blipFill>
                    <a:blip r:embed="rId215" cstate="print"/>
                    <a:stretch>
                      <a:fillRect/>
                    </a:stretch>
                  </pic:blipFill>
                  <pic:spPr>
                    <a:xfrm>
                      <a:off x="0" y="0"/>
                      <a:ext cx="2655570" cy="1951225"/>
                    </a:xfrm>
                    <a:prstGeom prst="rect">
                      <a:avLst/>
                    </a:prstGeom>
                  </pic:spPr>
                </pic:pic>
              </a:graphicData>
            </a:graphic>
          </wp:inline>
        </w:drawing>
      </w:r>
    </w:p>
    <w:p w:rsidR="008C7751" w:rsidRPr="00E00B35" w:rsidRDefault="008C7751" w:rsidP="00E00B35">
      <w:pPr>
        <w:pStyle w:val="Styl1NagwkiGwne"/>
        <w:spacing w:line="312" w:lineRule="auto"/>
        <w:jc w:val="left"/>
        <w:rPr>
          <w:b w:val="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pStyle w:val="Styl1NagwkiGwne"/>
        <w:numPr>
          <w:ilvl w:val="1"/>
          <w:numId w:val="33"/>
        </w:numPr>
        <w:spacing w:line="312" w:lineRule="auto"/>
        <w:ind w:left="720"/>
        <w:jc w:val="left"/>
      </w:pPr>
      <w:r w:rsidRPr="00E00B35">
        <w:lastRenderedPageBreak/>
        <w:t>Budowa i kompleksowa przebudowa przedszkoli</w:t>
      </w:r>
    </w:p>
    <w:p w:rsidR="008C7751" w:rsidRPr="00E00B35" w:rsidRDefault="008C7751" w:rsidP="00E00B35">
      <w:pPr>
        <w:pStyle w:val="Styl1NagwkiGwne"/>
        <w:spacing w:line="312" w:lineRule="auto"/>
        <w:contextualSpacing/>
        <w:jc w:val="left"/>
        <w:rPr>
          <w:b w:val="0"/>
        </w:rPr>
      </w:pPr>
      <w:r w:rsidRPr="00E00B35">
        <w:rPr>
          <w:b w:val="0"/>
        </w:rPr>
        <w:t xml:space="preserve">Cel zadania: </w:t>
      </w:r>
    </w:p>
    <w:p w:rsidR="008C7751" w:rsidRPr="00E00B35" w:rsidRDefault="008C7751" w:rsidP="00E00B35">
      <w:pPr>
        <w:spacing w:after="0" w:line="312" w:lineRule="auto"/>
        <w:rPr>
          <w:iCs/>
          <w:szCs w:val="20"/>
        </w:rPr>
      </w:pPr>
      <w:r w:rsidRPr="00E00B35">
        <w:rPr>
          <w:iCs/>
          <w:szCs w:val="20"/>
        </w:rPr>
        <w:t>Szkoła i przedszkole na każdym osiedlu: zwiększenie liczby miejsc w przedszkolnej edukacji publicznej poprzez budowę nowych obiektów oraz rozbudowę istniejących budynków szkolnych i przedszkolnych na potrzeby utworzenia przedszkoli i zespołów szkolno-przedszkolnych; dostosowanie infrastruktury oraz sieci szkół i placówek do założeń reformy systemu oświaty; miejsce dla rowerów przy każdej szkole ponadpodstawowej; dostosowanie bazy oświatowej do potrzeb uczniów z niepełnosprawnościami.</w:t>
      </w:r>
    </w:p>
    <w:p w:rsidR="008C7751" w:rsidRPr="00E00B35" w:rsidRDefault="008C7751" w:rsidP="00E00B35">
      <w:pPr>
        <w:pStyle w:val="Styl1NagwkiGwne"/>
        <w:spacing w:line="312" w:lineRule="auto"/>
        <w:jc w:val="left"/>
        <w:rPr>
          <w:b w:val="0"/>
        </w:rPr>
      </w:pPr>
      <w:r w:rsidRPr="00E00B35">
        <w:rPr>
          <w:b w:val="0"/>
        </w:rPr>
        <w:t>Poniesione w 2020 roku nakłady: 11 727,74 tys. zł</w:t>
      </w:r>
    </w:p>
    <w:p w:rsidR="008C7751" w:rsidRPr="00E00B35" w:rsidRDefault="008C7751" w:rsidP="00E00B35">
      <w:pPr>
        <w:pStyle w:val="Akapitzlist"/>
        <w:tabs>
          <w:tab w:val="left" w:pos="709"/>
        </w:tabs>
        <w:spacing w:after="0" w:line="312" w:lineRule="auto"/>
        <w:ind w:left="567" w:hanging="567"/>
        <w:contextualSpacing w:val="0"/>
        <w:rPr>
          <w:szCs w:val="2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W roku 2020 realizowano:</w:t>
      </w: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Dokumentacje projektowe w zakresie:</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Przebudowy i remontu Przedszkola nr 5 przy ul. Dźwirzyńskiej (2019-2020);</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Dostosowania do wymogów przepisów przeciwpożarowych budynku Przedszkola nr 33 przy ul. Łąkowej (2019-2020);</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Budowy przyłącza kanalizacji sanitarnej do budynku Przedszkola nr 43 przy ul. Kościuszki (2019-2020);</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Przebudowy i remontu węzłów sanitarnych i sal dziecięcych z doprowadzeniem do normatywnego natężenia światła sztucznego w salach Przedszkola nr 50 przy ul. Dyrekcyjnej (2019-2020);</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Przebudowy i remontu dachu wraz z wykonaniem fotowoltaiki, remontu elewacji i wymiany stolarki okiennej oraz dostosowania Przedszkola nr 54 przy ul. Wittiga do wymogów przepisów przeciwpożarowych (2020-2021);</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Opracowania ekspertyzy przeciwpożarowej budynku Przedszkola nr 66 przy ul. Łącznej (2020-2021);</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Remontu i docieplenia dachu, elewacji oraz przebudowy stref wejścia do budynku Przedszkola nr 91 przy ul. Zaporoskiej (2020);</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Wykonania zewnętrznego separatora tłuszczu na terenie Przedszkola nr 92 przy ul. Bardzkiej (2020);</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lastRenderedPageBreak/>
        <w:t>Opracowania koncepcji i Programu Funkcjonalno-Użytkowego rozbudowy, przebudowy i remontu Przedszkola nr 93 przy ul. Grochowej (2020);</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Remontu elewacji wraz z dociepleniem, dostosowaniem obiektu do wymogów przeciwpożarowych oraz instalacją fotowoltaiczną na dachu Przedszkola nr 94 przy ul. Grabiszyńskiej (2020-2021);</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Remontu elewacji i dachów wraz z ich dociepleniem w obu budynkach Przedszkola nr 104 przy ul. Niedźwiedziej (2020-2021);</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Przebudowy i remontu Przedszkola nr 107 przy ul. Stysia wraz z dostosowaniem obiektu do wymogów przepisów przeciwpożarowych, termomodernizacją elewacji i dachu oraz instalacją fotowoltaiczną (2020-2021);</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 xml:space="preserve">Dostosowania do wymogów przepisów przeciwpożarowych budynku Przedszkola nr 109 przy ul. Nowowiejskiej wraz ze zmianą systemu grzewczego w Przedszkolu nr 3 zlokalizowanym na sąsiedniej działce i Przedszkola nr 109 (2019-2020); </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Opracowania koncepcji obsługi komunikacyjnej w wariantach uwzględniającym i nieuwzględniającym rozbudowę Przedszkola nr 149 przy ul. Obornickiej (2020-2021);</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Przebudowy i remontu Przedszkola nr 150 przy ul. Ignuta w podziale na etapy wraz z wariantowymi koncepcjami funkcjonalno-kosztowymi i analizą uwarunkowań i możliwości utworzenia „centra żywieniowego” dla Przedszkola nr 150 i Zespołu Szkół nr 21 przy ul. Ignuta (2019-2021);</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Przebudowy i remontu węzła żywienia w Zespole Szkolno-Przedszkolnym nr 3 przy ul. Inflanckiej wraz z budowa windy osobowej (2019-2021);</w:t>
      </w:r>
    </w:p>
    <w:p w:rsidR="008C7751" w:rsidRPr="00E00B35" w:rsidRDefault="008C7751" w:rsidP="00E00B35">
      <w:pPr>
        <w:pStyle w:val="Styl1NagwkiGwne"/>
        <w:numPr>
          <w:ilvl w:val="0"/>
          <w:numId w:val="84"/>
        </w:numPr>
        <w:spacing w:line="312" w:lineRule="auto"/>
        <w:ind w:left="567" w:hanging="567"/>
        <w:jc w:val="left"/>
        <w:rPr>
          <w:b w:val="0"/>
        </w:rPr>
      </w:pPr>
      <w:r w:rsidRPr="00E00B35">
        <w:rPr>
          <w:b w:val="0"/>
        </w:rPr>
        <w:t>Przebudowy i remontu węzła żywienia w Zespole Szkolno-Przedszkolnym nr 4 przy ul. Sołtysowickiej (2019-2020).</w:t>
      </w:r>
    </w:p>
    <w:p w:rsidR="00B1753A" w:rsidRDefault="00B1753A" w:rsidP="00B1753A">
      <w:pPr>
        <w:spacing w:after="0" w:line="312" w:lineRule="auto"/>
        <w:rPr>
          <w:b/>
          <w:szCs w:val="20"/>
        </w:rPr>
      </w:pPr>
    </w:p>
    <w:p w:rsidR="008C7751" w:rsidRPr="00B1753A" w:rsidRDefault="008C7751" w:rsidP="00B1753A">
      <w:pPr>
        <w:spacing w:after="0" w:line="312" w:lineRule="auto"/>
        <w:rPr>
          <w:szCs w:val="20"/>
        </w:rPr>
      </w:pPr>
      <w:r w:rsidRPr="00B1753A">
        <w:rPr>
          <w:szCs w:val="20"/>
        </w:rPr>
        <w:t>Roboty budowlane dla zadań:</w:t>
      </w:r>
    </w:p>
    <w:p w:rsidR="008C7751" w:rsidRPr="00E00B35" w:rsidRDefault="008C7751" w:rsidP="00E00B35">
      <w:pPr>
        <w:pStyle w:val="Styl1NagwkiGwne"/>
        <w:numPr>
          <w:ilvl w:val="0"/>
          <w:numId w:val="111"/>
        </w:numPr>
        <w:spacing w:line="312" w:lineRule="auto"/>
        <w:ind w:left="567" w:hanging="567"/>
        <w:jc w:val="left"/>
        <w:rPr>
          <w:b w:val="0"/>
        </w:rPr>
      </w:pPr>
      <w:r w:rsidRPr="00E00B35">
        <w:rPr>
          <w:b w:val="0"/>
        </w:rPr>
        <w:t>Remont i docieplenie elewacji i dachu wraz z zagospodarowaniem terenu i infrastrukturą towarzyszącą Przedszkola nr 5 przy ul. Dźwirzyńskiej (2020-2021);</w:t>
      </w:r>
    </w:p>
    <w:p w:rsidR="008C7751" w:rsidRPr="00E00B35" w:rsidRDefault="008C7751" w:rsidP="00E00B35">
      <w:pPr>
        <w:pStyle w:val="Styl1NagwkiGwne"/>
        <w:numPr>
          <w:ilvl w:val="0"/>
          <w:numId w:val="111"/>
        </w:numPr>
        <w:spacing w:line="312" w:lineRule="auto"/>
        <w:ind w:left="567" w:hanging="567"/>
        <w:jc w:val="left"/>
        <w:rPr>
          <w:b w:val="0"/>
        </w:rPr>
      </w:pPr>
      <w:r w:rsidRPr="00E00B35">
        <w:rPr>
          <w:b w:val="0"/>
        </w:rPr>
        <w:t>Montaż urządzeń i instalacji klimatyzacji w salach dziecięcych i pomieszczeniach biurowych w Przedszkolu nr 15 przy ul. Prochowickiej (2020);</w:t>
      </w:r>
    </w:p>
    <w:p w:rsidR="008C7751" w:rsidRPr="00E00B35" w:rsidRDefault="008C7751" w:rsidP="00E00B35">
      <w:pPr>
        <w:pStyle w:val="Styl1NagwkiGwne"/>
        <w:numPr>
          <w:ilvl w:val="0"/>
          <w:numId w:val="111"/>
        </w:numPr>
        <w:spacing w:line="312" w:lineRule="auto"/>
        <w:ind w:left="567" w:hanging="567"/>
        <w:jc w:val="left"/>
        <w:rPr>
          <w:b w:val="0"/>
        </w:rPr>
      </w:pPr>
      <w:r w:rsidRPr="00E00B35">
        <w:rPr>
          <w:b w:val="0"/>
        </w:rPr>
        <w:t>Dostosowanie wyjść ewakuacyjnych z sal zajęć dla dzieci w przyziemiu Przedszkola nr 80 przy ul. Zielińskiego do wymogów przepisów przeciwpożarowych (2020);</w:t>
      </w:r>
    </w:p>
    <w:p w:rsidR="008C7751" w:rsidRPr="00E00B35" w:rsidRDefault="008C7751" w:rsidP="00E00B35">
      <w:pPr>
        <w:pStyle w:val="Styl1NagwkiGwne"/>
        <w:numPr>
          <w:ilvl w:val="0"/>
          <w:numId w:val="111"/>
        </w:numPr>
        <w:spacing w:line="312" w:lineRule="auto"/>
        <w:ind w:left="567" w:hanging="567"/>
        <w:jc w:val="left"/>
        <w:rPr>
          <w:b w:val="0"/>
        </w:rPr>
      </w:pPr>
      <w:r w:rsidRPr="00E00B35">
        <w:rPr>
          <w:b w:val="0"/>
        </w:rPr>
        <w:t>Montaż urządzeń i instalacji klimatyzacji w wybranych pomieszczeniach Przedszkola nr 96 przy al. Pracy (2020);</w:t>
      </w:r>
    </w:p>
    <w:p w:rsidR="008C7751" w:rsidRPr="00E00B35" w:rsidRDefault="008C7751" w:rsidP="00E00B35">
      <w:pPr>
        <w:pStyle w:val="Styl1NagwkiGwne"/>
        <w:numPr>
          <w:ilvl w:val="0"/>
          <w:numId w:val="111"/>
        </w:numPr>
        <w:spacing w:line="312" w:lineRule="auto"/>
        <w:ind w:left="567" w:hanging="567"/>
        <w:jc w:val="left"/>
        <w:rPr>
          <w:b w:val="0"/>
        </w:rPr>
      </w:pPr>
      <w:r w:rsidRPr="00E00B35">
        <w:rPr>
          <w:b w:val="0"/>
        </w:rPr>
        <w:t>Dostosowanie do wymogów przepisów przeciwpożarowych budynku B Przedszkola nr 104 przy ul. Niedźwiedziej (2020);</w:t>
      </w:r>
    </w:p>
    <w:p w:rsidR="008C7751" w:rsidRPr="00E00B35" w:rsidRDefault="008C7751" w:rsidP="00E00B35">
      <w:pPr>
        <w:pStyle w:val="Styl1NagwkiGwne"/>
        <w:numPr>
          <w:ilvl w:val="0"/>
          <w:numId w:val="111"/>
        </w:numPr>
        <w:spacing w:line="312" w:lineRule="auto"/>
        <w:ind w:left="567" w:hanging="567"/>
        <w:jc w:val="left"/>
        <w:rPr>
          <w:b w:val="0"/>
        </w:rPr>
      </w:pPr>
      <w:r w:rsidRPr="00E00B35">
        <w:rPr>
          <w:b w:val="0"/>
        </w:rPr>
        <w:t>Wykonanie ścianki lekkiej konstrukcji z naświetlami i otworem z drzwiami wydzielającej salę wielofunkcyjną nr 2/04 z powierzchni holu i korytarza w poziomie 1 piętra budynku Przedszkola nr 133 w Zespole Szkolno-Przedszkolnym nr 1 przy ul. Zemskiej (2020);</w:t>
      </w:r>
    </w:p>
    <w:p w:rsidR="008C7751" w:rsidRPr="00E00B35" w:rsidRDefault="008C7751" w:rsidP="00E00B35">
      <w:pPr>
        <w:pStyle w:val="Styl1NagwkiGwne"/>
        <w:numPr>
          <w:ilvl w:val="0"/>
          <w:numId w:val="111"/>
        </w:numPr>
        <w:spacing w:line="312" w:lineRule="auto"/>
        <w:ind w:left="567" w:hanging="567"/>
        <w:jc w:val="left"/>
        <w:rPr>
          <w:b w:val="0"/>
        </w:rPr>
      </w:pPr>
      <w:r w:rsidRPr="00E00B35">
        <w:rPr>
          <w:b w:val="0"/>
        </w:rPr>
        <w:t>Przebudowa systemu odprowadzania ścieków sanitarnych z budynku dydaktycznego i przedszkola w Zespole Szkolno-Przedszkolnym nr 4 przy ul. Sołtysowickiej (2020).</w:t>
      </w:r>
    </w:p>
    <w:p w:rsidR="008C7751" w:rsidRPr="00E00B35" w:rsidRDefault="008C7751" w:rsidP="00E00B35">
      <w:pPr>
        <w:tabs>
          <w:tab w:val="left" w:pos="709"/>
        </w:tabs>
        <w:spacing w:after="0" w:line="312" w:lineRule="auto"/>
        <w:rPr>
          <w:szCs w:val="2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Realizacje w systemie „zaprojektuj i wybuduj”:</w:t>
      </w:r>
    </w:p>
    <w:p w:rsidR="008C7751" w:rsidRPr="00E00B35" w:rsidRDefault="008C7751" w:rsidP="00E00B35">
      <w:pPr>
        <w:pStyle w:val="Styl1NagwkiGwne"/>
        <w:numPr>
          <w:ilvl w:val="0"/>
          <w:numId w:val="86"/>
        </w:numPr>
        <w:spacing w:line="312" w:lineRule="auto"/>
        <w:ind w:left="567" w:hanging="567"/>
        <w:jc w:val="left"/>
        <w:rPr>
          <w:b w:val="0"/>
        </w:rPr>
      </w:pPr>
      <w:r w:rsidRPr="00E00B35">
        <w:rPr>
          <w:b w:val="0"/>
        </w:rPr>
        <w:lastRenderedPageBreak/>
        <w:t>Budowa Przedszkola przy ul. Dębickiej dla 200 dzieci (8 oddziałów) z pomieszczeniami sanitarno-szatniowymi, pełnym węzłem żywienia, salą wielofunkcyjną, zagospodarowaniem terenu i infrastrukturą techniczną. Powierzchnia budynku (2019-2021);</w:t>
      </w:r>
    </w:p>
    <w:p w:rsidR="008C7751" w:rsidRPr="00E00B35" w:rsidRDefault="008C7751" w:rsidP="00E00B35">
      <w:pPr>
        <w:pStyle w:val="Styl1NagwkiGwne"/>
        <w:numPr>
          <w:ilvl w:val="0"/>
          <w:numId w:val="86"/>
        </w:numPr>
        <w:spacing w:line="312" w:lineRule="auto"/>
        <w:ind w:left="567" w:hanging="567"/>
        <w:jc w:val="left"/>
        <w:rPr>
          <w:b w:val="0"/>
        </w:rPr>
      </w:pPr>
      <w:r w:rsidRPr="00E00B35">
        <w:rPr>
          <w:b w:val="0"/>
        </w:rPr>
        <w:t>Budowa Przedszkola na terenie Szkoły Podstawowej nr 91 przy ul. M. Jackowskiego dla 200 dzieci (8 oddziałów) z pomieszczeniami sanitarnymi, węzłem żywienia, salą wielofunkcyjną, szatnią dla dzieci przedszkolnych, zagospodarowaniem terenu i infrastrukturą techniczną. Powierzchnia netto budynku ~1 500 m² (2018-2020).</w:t>
      </w:r>
    </w:p>
    <w:p w:rsidR="008C7751" w:rsidRPr="00E00B35" w:rsidRDefault="008C7751" w:rsidP="00E00B35">
      <w:pPr>
        <w:pStyle w:val="Styl1NagwkiGwne"/>
        <w:spacing w:line="312" w:lineRule="auto"/>
        <w:ind w:left="567"/>
        <w:jc w:val="left"/>
        <w:rPr>
          <w:b w:val="0"/>
        </w:rPr>
      </w:pPr>
    </w:p>
    <w:p w:rsidR="008C7751" w:rsidRPr="00E00B35" w:rsidRDefault="008C7751" w:rsidP="00E00B35">
      <w:pPr>
        <w:spacing w:after="0" w:line="312" w:lineRule="auto"/>
        <w:rPr>
          <w:szCs w:val="2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28</w:t>
      </w:r>
      <w:r w:rsidR="00573162" w:rsidRPr="00E00B35">
        <w:rPr>
          <w:b/>
          <w:sz w:val="20"/>
          <w:szCs w:val="20"/>
        </w:rPr>
        <w:fldChar w:fldCharType="end"/>
      </w:r>
      <w:r w:rsidRPr="00E00B35">
        <w:rPr>
          <w:sz w:val="20"/>
          <w:szCs w:val="20"/>
        </w:rPr>
        <w:t>. Teren budowy przedszkola przy ul. M. Jackowskiego</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2724150" cy="1866900"/>
            <wp:effectExtent l="19050" t="0" r="0" b="0"/>
            <wp:docPr id="16" name="Obraz 9" descr="Teren przeznaczony pod budowę przedszkola, stan w trakcie budowy. Roboty ziemne (fundament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Jackowskiego_przed_02.jpg"/>
                    <pic:cNvPicPr/>
                  </pic:nvPicPr>
                  <pic:blipFill>
                    <a:blip r:embed="rId216" cstate="print"/>
                    <a:stretch>
                      <a:fillRect/>
                    </a:stretch>
                  </pic:blipFill>
                  <pic:spPr>
                    <a:xfrm>
                      <a:off x="0" y="0"/>
                      <a:ext cx="2723250" cy="1866283"/>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29</w:t>
      </w:r>
      <w:r w:rsidR="00573162" w:rsidRPr="00E00B35">
        <w:rPr>
          <w:b/>
          <w:sz w:val="20"/>
          <w:szCs w:val="20"/>
        </w:rPr>
        <w:fldChar w:fldCharType="end"/>
      </w:r>
      <w:r w:rsidRPr="00E00B35">
        <w:rPr>
          <w:sz w:val="20"/>
          <w:szCs w:val="20"/>
        </w:rPr>
        <w:t>. Przedszkole przy ul. M. Jackowskiego</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2724150" cy="1990725"/>
            <wp:effectExtent l="19050" t="0" r="0" b="0"/>
            <wp:docPr id="38" name="Obraz 21" descr="Sala zabaw w nowym przedszkolu, zielona podłoga, czarne tablice na ścianie, stoliki, krzesełka, kolorowy dywan i półki z zabawkami. Nowoczesne oświetlenie sufit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Jackowskiego_po_09.jpg"/>
                    <pic:cNvPicPr/>
                  </pic:nvPicPr>
                  <pic:blipFill>
                    <a:blip r:embed="rId217" cstate="print"/>
                    <a:stretch>
                      <a:fillRect/>
                    </a:stretch>
                  </pic:blipFill>
                  <pic:spPr>
                    <a:xfrm>
                      <a:off x="0" y="0"/>
                      <a:ext cx="2725888" cy="1991995"/>
                    </a:xfrm>
                    <a:prstGeom prst="rect">
                      <a:avLst/>
                    </a:prstGeom>
                  </pic:spPr>
                </pic:pic>
              </a:graphicData>
            </a:graphic>
          </wp:inline>
        </w:drawing>
      </w:r>
    </w:p>
    <w:p w:rsidR="008C7751" w:rsidRPr="00E00B35" w:rsidRDefault="008C7751" w:rsidP="00E00B35">
      <w:pPr>
        <w:spacing w:after="0" w:line="312" w:lineRule="auto"/>
        <w:rPr>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30</w:t>
      </w:r>
      <w:r w:rsidR="00573162" w:rsidRPr="00E00B35">
        <w:rPr>
          <w:b/>
          <w:sz w:val="20"/>
          <w:szCs w:val="20"/>
        </w:rPr>
        <w:fldChar w:fldCharType="end"/>
      </w:r>
      <w:r w:rsidRPr="00E00B35">
        <w:rPr>
          <w:sz w:val="20"/>
          <w:szCs w:val="20"/>
        </w:rPr>
        <w:t>. Przedszkole przy ul. M. Jackowskiego</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2657475" cy="1871663"/>
            <wp:effectExtent l="19050" t="0" r="9525" b="0"/>
            <wp:docPr id="37" name="Obraz 14" descr="Budynek nowego przedszkola, biały z kolorowymi wstawkami przy oknach. Trawa przy budynku. chodnik i wjazd wybrukowany kost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Jackowskiego_po_01.jpg"/>
                    <pic:cNvPicPr/>
                  </pic:nvPicPr>
                  <pic:blipFill>
                    <a:blip r:embed="rId218" cstate="print"/>
                    <a:stretch>
                      <a:fillRect/>
                    </a:stretch>
                  </pic:blipFill>
                  <pic:spPr>
                    <a:xfrm>
                      <a:off x="0" y="0"/>
                      <a:ext cx="2656596" cy="1871044"/>
                    </a:xfrm>
                    <a:prstGeom prst="rect">
                      <a:avLst/>
                    </a:prstGeom>
                  </pic:spPr>
                </pic:pic>
              </a:graphicData>
            </a:graphic>
          </wp:inline>
        </w:drawing>
      </w:r>
    </w:p>
    <w:p w:rsidR="008C7751" w:rsidRPr="00E00B35" w:rsidRDefault="008C7751" w:rsidP="00E00B35">
      <w:pPr>
        <w:spacing w:after="0" w:line="312" w:lineRule="auto"/>
        <w:rPr>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31</w:t>
      </w:r>
      <w:r w:rsidR="00573162" w:rsidRPr="00E00B35">
        <w:rPr>
          <w:b/>
          <w:sz w:val="20"/>
          <w:szCs w:val="20"/>
        </w:rPr>
        <w:fldChar w:fldCharType="end"/>
      </w:r>
      <w:r w:rsidRPr="00E00B35">
        <w:rPr>
          <w:sz w:val="20"/>
          <w:szCs w:val="20"/>
        </w:rPr>
        <w:t>. Przedszkole przy ul. M. Jackowskiego</w:t>
      </w:r>
    </w:p>
    <w:p w:rsidR="008C7751" w:rsidRPr="00E00B35" w:rsidRDefault="008C7751" w:rsidP="00E00B35">
      <w:pPr>
        <w:spacing w:after="0" w:line="312" w:lineRule="auto"/>
        <w:rPr>
          <w:szCs w:val="20"/>
        </w:rPr>
        <w:sectPr w:rsidR="008C7751" w:rsidRPr="00E00B35" w:rsidSect="008C7751">
          <w:type w:val="continuous"/>
          <w:pgSz w:w="11906" w:h="16838"/>
          <w:pgMar w:top="1417" w:right="1417" w:bottom="1417" w:left="1417" w:header="567" w:footer="708" w:gutter="0"/>
          <w:cols w:num="2" w:space="708"/>
          <w:docGrid w:linePitch="600" w:charSpace="40960"/>
        </w:sectPr>
      </w:pPr>
      <w:r w:rsidRPr="00E00B35">
        <w:rPr>
          <w:noProof/>
          <w:szCs w:val="20"/>
          <w:lang w:val="pl-PL" w:eastAsia="pl-PL" w:bidi="ar-SA"/>
        </w:rPr>
        <w:drawing>
          <wp:inline distT="0" distB="0" distL="0" distR="0">
            <wp:extent cx="2653877" cy="1990725"/>
            <wp:effectExtent l="19050" t="0" r="0" b="0"/>
            <wp:docPr id="39" name="Obraz 38" descr="Plac zabaw przy przedszkolu. Kolorowa gumowa nawierzchnia, huśtawki, zjeżdżalnie, bujaki, ławka, kosz na śmie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Jackowskiego_po_06.jpg"/>
                    <pic:cNvPicPr/>
                  </pic:nvPicPr>
                  <pic:blipFill>
                    <a:blip r:embed="rId219" cstate="print"/>
                    <a:stretch>
                      <a:fillRect/>
                    </a:stretch>
                  </pic:blipFill>
                  <pic:spPr>
                    <a:xfrm>
                      <a:off x="0" y="0"/>
                      <a:ext cx="2655994" cy="1992313"/>
                    </a:xfrm>
                    <a:prstGeom prst="rect">
                      <a:avLst/>
                    </a:prstGeom>
                  </pic:spPr>
                </pic:pic>
              </a:graphicData>
            </a:graphic>
          </wp:inline>
        </w:drawing>
      </w:r>
    </w:p>
    <w:p w:rsidR="008C7751" w:rsidRPr="00E00B35" w:rsidRDefault="008C7751" w:rsidP="00E00B35">
      <w:pPr>
        <w:spacing w:after="0" w:line="312" w:lineRule="auto"/>
        <w:rPr>
          <w:szCs w:val="20"/>
        </w:rPr>
      </w:pPr>
      <w:r w:rsidRPr="00E00B35">
        <w:rPr>
          <w:szCs w:val="20"/>
        </w:rPr>
        <w:lastRenderedPageBreak/>
        <w:t>Ponadto sporządzono materiały przygotowawcze do opracowania dokumentacji projektowych i ekspertyzy konstrukcyjne obiektów Przedszkoli nr 111 przy ul. Skwerowej oraz nr 148 przy ul. Rogowskiej. Ze względu na stan konstrukcji zawarto porozumienia o odstąpieniu od umów na opracowanie dokumentacji projektowych przebudowy i remontu tych obiektów.</w:t>
      </w:r>
    </w:p>
    <w:p w:rsidR="008C7751" w:rsidRPr="00E00B35" w:rsidRDefault="008C7751" w:rsidP="00E00B35">
      <w:pPr>
        <w:spacing w:after="0" w:line="312" w:lineRule="auto"/>
        <w:rPr>
          <w:szCs w:val="20"/>
        </w:rPr>
      </w:pPr>
    </w:p>
    <w:p w:rsidR="008C7751" w:rsidRPr="00E00B35" w:rsidRDefault="008C7751" w:rsidP="00E00B35">
      <w:pPr>
        <w:tabs>
          <w:tab w:val="left" w:pos="709"/>
        </w:tabs>
        <w:spacing w:after="0" w:line="312" w:lineRule="auto"/>
        <w:rPr>
          <w:szCs w:val="20"/>
        </w:rPr>
      </w:pPr>
      <w:r w:rsidRPr="00E00B35">
        <w:rPr>
          <w:szCs w:val="20"/>
        </w:rPr>
        <w:t>Zakończono opracowanie dokumentacji projektowej dla zadań:</w:t>
      </w:r>
    </w:p>
    <w:p w:rsidR="008C7751" w:rsidRPr="00E00B35" w:rsidRDefault="008C7751" w:rsidP="00E00B35">
      <w:pPr>
        <w:pStyle w:val="Styl1NagwkiGwne"/>
        <w:numPr>
          <w:ilvl w:val="0"/>
          <w:numId w:val="94"/>
        </w:numPr>
        <w:spacing w:line="312" w:lineRule="auto"/>
        <w:ind w:left="567" w:hanging="567"/>
        <w:jc w:val="left"/>
        <w:rPr>
          <w:b w:val="0"/>
        </w:rPr>
      </w:pPr>
      <w:r w:rsidRPr="00E00B35">
        <w:rPr>
          <w:b w:val="0"/>
        </w:rPr>
        <w:lastRenderedPageBreak/>
        <w:t>Budowa 8-oddziałowego Przedszkola na terenie Szkoły Podstawowej nr 91 przy ul. M. Jackowskiego wraz z zagospodarowaniem terenu i infrastrukturą towarzyszącą;</w:t>
      </w:r>
    </w:p>
    <w:p w:rsidR="008C7751" w:rsidRPr="00E00B35" w:rsidRDefault="008C7751" w:rsidP="00E00B35">
      <w:pPr>
        <w:pStyle w:val="Styl1NagwkiGwne"/>
        <w:numPr>
          <w:ilvl w:val="0"/>
          <w:numId w:val="94"/>
        </w:numPr>
        <w:spacing w:line="312" w:lineRule="auto"/>
        <w:ind w:left="567" w:hanging="567"/>
        <w:jc w:val="left"/>
        <w:rPr>
          <w:b w:val="0"/>
        </w:rPr>
      </w:pPr>
      <w:r w:rsidRPr="00E00B35">
        <w:rPr>
          <w:b w:val="0"/>
        </w:rPr>
        <w:t>Montaż urządzeń i instalacji klimatyzacji w salach dziecięcych i pomieszczeniach biurowych w Przedszkolu nr 15 przy ul. Prochowickiej;</w:t>
      </w:r>
    </w:p>
    <w:p w:rsidR="008C7751" w:rsidRPr="00E00B35" w:rsidRDefault="008C7751" w:rsidP="00E00B35">
      <w:pPr>
        <w:pStyle w:val="Styl1NagwkiGwne"/>
        <w:numPr>
          <w:ilvl w:val="0"/>
          <w:numId w:val="94"/>
        </w:numPr>
        <w:spacing w:line="312" w:lineRule="auto"/>
        <w:ind w:left="567" w:hanging="567"/>
        <w:jc w:val="left"/>
        <w:rPr>
          <w:b w:val="0"/>
        </w:rPr>
      </w:pPr>
      <w:r w:rsidRPr="00E00B35">
        <w:rPr>
          <w:b w:val="0"/>
        </w:rPr>
        <w:t>Dostosowanie wyjść ewakuacyjnych z sal zajęć dla dzieci w przyziemiu Przedszkola nr 80 przy ul. Zielińskiego do wymogów przepisów przeciwpożarowych;</w:t>
      </w:r>
    </w:p>
    <w:p w:rsidR="008C7751" w:rsidRPr="00E00B35" w:rsidRDefault="008C7751" w:rsidP="00E00B35">
      <w:pPr>
        <w:pStyle w:val="Styl1NagwkiGwne"/>
        <w:numPr>
          <w:ilvl w:val="0"/>
          <w:numId w:val="94"/>
        </w:numPr>
        <w:spacing w:line="312" w:lineRule="auto"/>
        <w:ind w:left="567" w:hanging="567"/>
        <w:jc w:val="left"/>
        <w:rPr>
          <w:b w:val="0"/>
        </w:rPr>
      </w:pPr>
      <w:r w:rsidRPr="00E00B35">
        <w:rPr>
          <w:b w:val="0"/>
        </w:rPr>
        <w:t>Montaż urządzeń i instalacji klimatyzacji w wybranych pomieszczeniach Przedszkola nr 96 przy al. Pracy;</w:t>
      </w:r>
    </w:p>
    <w:p w:rsidR="008C7751" w:rsidRPr="00E00B35" w:rsidRDefault="008C7751" w:rsidP="00E00B35">
      <w:pPr>
        <w:pStyle w:val="Styl1NagwkiGwne"/>
        <w:numPr>
          <w:ilvl w:val="0"/>
          <w:numId w:val="94"/>
        </w:numPr>
        <w:spacing w:line="312" w:lineRule="auto"/>
        <w:ind w:left="567" w:hanging="567"/>
        <w:jc w:val="left"/>
        <w:rPr>
          <w:b w:val="0"/>
        </w:rPr>
      </w:pPr>
      <w:r w:rsidRPr="00E00B35">
        <w:rPr>
          <w:b w:val="0"/>
        </w:rPr>
        <w:t>Dostosowanie do wymogów przepisów przeciwpożarowych budynku B wraz z przebudową zewnętrznych stref wejściowych do obu budynków Przedszkola nr 104 przy ul. Niedźwiedziej;</w:t>
      </w:r>
    </w:p>
    <w:p w:rsidR="008C7751" w:rsidRPr="00E00B35" w:rsidRDefault="008C7751" w:rsidP="00E00B35">
      <w:pPr>
        <w:pStyle w:val="Styl1NagwkiGwne"/>
        <w:numPr>
          <w:ilvl w:val="0"/>
          <w:numId w:val="94"/>
        </w:numPr>
        <w:spacing w:line="312" w:lineRule="auto"/>
        <w:ind w:left="567" w:hanging="567"/>
        <w:jc w:val="left"/>
        <w:rPr>
          <w:b w:val="0"/>
        </w:rPr>
      </w:pPr>
      <w:r w:rsidRPr="00E00B35">
        <w:rPr>
          <w:b w:val="0"/>
        </w:rPr>
        <w:t>Wykonanie ścianki lekkiej konstrukcji z naświetlami i otworem z drzwiami wydzielającej salę wielofunkcyjną nr 2/04 z powierzchni holu i korytarza w poziomie 1 piętra budynku Przedszkola nr 133 w Zespole Szkolno-Przedszkolnym nr 1 przy ul. Zemskiej;</w:t>
      </w:r>
    </w:p>
    <w:p w:rsidR="008C7751" w:rsidRPr="00E00B35" w:rsidRDefault="008C7751" w:rsidP="00E00B35">
      <w:pPr>
        <w:pStyle w:val="Styl1NagwkiGwne"/>
        <w:numPr>
          <w:ilvl w:val="0"/>
          <w:numId w:val="94"/>
        </w:numPr>
        <w:spacing w:line="312" w:lineRule="auto"/>
        <w:ind w:left="567" w:hanging="567"/>
        <w:jc w:val="left"/>
        <w:rPr>
          <w:b w:val="0"/>
        </w:rPr>
      </w:pPr>
      <w:r w:rsidRPr="00E00B35">
        <w:rPr>
          <w:b w:val="0"/>
        </w:rPr>
        <w:t>Przebudowa systemu odprowadzania ścieków sanitarnych z budynku dydaktycznego i przedszkola w Zespole Szkolno-Przedszkolnym nr 4 przy ul. Sołtysowickiej.</w:t>
      </w:r>
    </w:p>
    <w:p w:rsidR="008C7751" w:rsidRPr="00E00B35" w:rsidRDefault="008C7751" w:rsidP="00E00B35">
      <w:pPr>
        <w:pStyle w:val="Podtytu"/>
        <w:tabs>
          <w:tab w:val="left" w:pos="-284"/>
        </w:tabs>
        <w:spacing w:after="0" w:line="312" w:lineRule="auto"/>
        <w:rPr>
          <w:b w:val="0"/>
        </w:rPr>
      </w:pPr>
    </w:p>
    <w:p w:rsidR="008C7751" w:rsidRPr="00E00B35" w:rsidRDefault="008C7751" w:rsidP="00E00B35">
      <w:pPr>
        <w:pStyle w:val="Styl1NagwkiGwne"/>
        <w:numPr>
          <w:ilvl w:val="1"/>
          <w:numId w:val="33"/>
        </w:numPr>
        <w:spacing w:line="312" w:lineRule="auto"/>
        <w:ind w:left="720"/>
        <w:jc w:val="left"/>
      </w:pPr>
      <w:r w:rsidRPr="00E00B35">
        <w:t>Budowa i kompleksowa przebudowa szkół ponadpodstawowych</w:t>
      </w:r>
    </w:p>
    <w:p w:rsidR="008C7751" w:rsidRPr="00E00B35" w:rsidRDefault="008C7751" w:rsidP="00E00B35">
      <w:pPr>
        <w:pStyle w:val="Styl1NagwkiGwne"/>
        <w:spacing w:line="312" w:lineRule="auto"/>
        <w:contextualSpacing/>
        <w:jc w:val="left"/>
        <w:rPr>
          <w:b w:val="0"/>
        </w:rPr>
      </w:pPr>
      <w:r w:rsidRPr="00E00B35">
        <w:rPr>
          <w:b w:val="0"/>
        </w:rPr>
        <w:t xml:space="preserve">Cel zadania: </w:t>
      </w:r>
    </w:p>
    <w:p w:rsidR="008C7751" w:rsidRPr="00E00B35" w:rsidRDefault="008C7751" w:rsidP="00E00B35">
      <w:pPr>
        <w:spacing w:after="0" w:line="312" w:lineRule="auto"/>
        <w:rPr>
          <w:iCs/>
          <w:szCs w:val="20"/>
        </w:rPr>
      </w:pPr>
      <w:r w:rsidRPr="00E00B35">
        <w:rPr>
          <w:iCs/>
          <w:szCs w:val="20"/>
        </w:rPr>
        <w:t>Rewitalizacja budynków szkolnych i otoczenia, budowa i rozbudowa budynków szkół ponadpodstawowych w celu zwiększenia bazy dydaktycznej w mieście oraz poprawy stanu technicznego istniejących budynków, w celu polepszenia warunków użytkowania i prawidłowego funkcjonowania placówek. Dostosowanie infrastruktury oraz sieci szkół i placówek do założeń reformy systemu oświaty. Miejsce dla rowerów przy każdej szkole ponadpodstawowej. Dostosowanie bazy oświatowej do potrzeb uczniów z niepełnosprawnościami.</w:t>
      </w:r>
    </w:p>
    <w:p w:rsidR="008C7751" w:rsidRPr="00E00B35" w:rsidRDefault="008C7751" w:rsidP="00E00B35">
      <w:pPr>
        <w:spacing w:after="0" w:line="312" w:lineRule="auto"/>
        <w:rPr>
          <w:iCs/>
          <w:szCs w:val="20"/>
        </w:rPr>
      </w:pPr>
    </w:p>
    <w:p w:rsidR="008C7751" w:rsidRPr="00E00B35" w:rsidRDefault="008C7751" w:rsidP="00E00B35">
      <w:pPr>
        <w:pStyle w:val="Styl1NagwkiGwne"/>
        <w:spacing w:line="312" w:lineRule="auto"/>
        <w:jc w:val="left"/>
        <w:rPr>
          <w:b w:val="0"/>
        </w:rPr>
      </w:pPr>
      <w:r w:rsidRPr="00E00B35">
        <w:rPr>
          <w:b w:val="0"/>
        </w:rPr>
        <w:t>Poniesione w 2020 roku nakłady: 3 402,05 tys. zł</w:t>
      </w:r>
    </w:p>
    <w:p w:rsidR="008C7751" w:rsidRPr="00E00B35" w:rsidRDefault="008C7751" w:rsidP="00E00B35">
      <w:pPr>
        <w:pStyle w:val="Akapitzlist"/>
        <w:tabs>
          <w:tab w:val="left" w:pos="709"/>
        </w:tabs>
        <w:spacing w:after="0" w:line="312" w:lineRule="auto"/>
        <w:ind w:left="567" w:hanging="567"/>
        <w:contextualSpacing w:val="0"/>
        <w:rPr>
          <w:szCs w:val="2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W roku 2020 realizowano:</w:t>
      </w:r>
    </w:p>
    <w:p w:rsidR="008C7751" w:rsidRPr="00E00B35" w:rsidRDefault="008C7751" w:rsidP="00E00B35">
      <w:pPr>
        <w:pStyle w:val="Akapitzlist"/>
        <w:tabs>
          <w:tab w:val="left" w:pos="709"/>
        </w:tabs>
        <w:spacing w:after="0" w:line="312" w:lineRule="auto"/>
        <w:ind w:left="567" w:hanging="567"/>
        <w:rPr>
          <w:szCs w:val="20"/>
        </w:rPr>
      </w:pPr>
      <w:r w:rsidRPr="00E00B35">
        <w:rPr>
          <w:szCs w:val="20"/>
        </w:rPr>
        <w:t>Dokumentacje projektowe w zakresie:</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Dostosowania do wymogów przepisów przeciwpożarowych budynku Centrum Kreatywności TALENT (dawne Gimnazjum nr 15) przy ul. Jedności Narodowej (2019-2021);</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Przebudowy instalacji sanitarnej wraz z montażem klimatyzacji w Centrum Kształcenia Ustawicznego przy ul. Swobodnej (2020-2021);</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Remontu auli w zakresie nakazu Dolnośląskiej Wojewódzkiej Stacji Sanitarno-Epidemiologicznej w Liceum Ogólnokształcącym nr I przy ul. Poniatowskiego (2020-2021);</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Remontu elewacji Liceum Ogólnokształcącego nr IV przy ul. Świstackiego wraz z dociepleniem (2020-2021);</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lastRenderedPageBreak/>
        <w:t>Termomodernizacji elewacji i dachu oraz przebudowy strefy wejściowej do budynku Liceum Ogólnokształcącego nr VI przy ul. Hutniczej wraz z opracowaniem wielobranżowej koncepcji rozbudowy bloku sportowego i przebudową istniejącej sali gimnastycznej (2019-2020);</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Termomodernizacji elewacji i dachu, przebudowy instalacji centralnego ogrzewania oraz dostosowania budynku Liceum Ogólnokształcącego nr VIII przy ul. Jantarowej do potrzeb osób niepełnosprawnych (2020-2021);</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Budowy windy do budynku Specjalnego Ośrodka Szkolno-Wychowawczego nr 10 przy ul. Parkowej (2019-2020);</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Rozbudowy Specjalnego Ośrodka Szkolno-Wychowawczego nr 10 przy ul. Parkowej o dodatkowe skrzydło wraz z zagospodarowaniem terenu i infrastrukturą towarzyszącą (2020-2021);</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Termomodernizacji dachu i elewacji, przebudowy węzła żywienia oraz wymiany instalacji elektrycznych w Specjalnym Ośrodku Szkolno-Wychowawczym nr 10 przy ul. Parkowej (2020-2021);</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Przebudowy i remontu Technikum nr 18 przy ul. Ślężnej w podziale na etapy (2020-2021);</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Dostosowania budynku Zespołu Centrum Edukacji Dzieci i Młodzieży przy ul. Kołłątaja do wymogów przepisów przeciwpożarowych (2020-2021);</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Dostosowania do wymogów przepisów przeciwpożarowych Zespołu Szkół nr 1 przy ul. Słubickiej (2019-2020);</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Przebudowy i remontu budynku Zespołu Szkół nr 3 przy ul. Szkockiej w podziale na etapy (2019-2020);</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Przebudowy i remontu toalet wraz z wymianą instalacji elektrycznej w Zespole Szkół nr 6 przy ul. Nowodworskiej (2019-2020):</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Przebudowy i remontu Zespołu Szkół Ekonomiczno-Ogólnokształcących przy ul. Drukarskiej w podziale na etapy (2020-2021);</w:t>
      </w:r>
    </w:p>
    <w:p w:rsidR="008C7751" w:rsidRPr="00E00B35" w:rsidRDefault="008C7751" w:rsidP="00E00B35">
      <w:pPr>
        <w:pStyle w:val="Styl1NagwkiGwne"/>
        <w:numPr>
          <w:ilvl w:val="0"/>
          <w:numId w:val="87"/>
        </w:numPr>
        <w:spacing w:line="312" w:lineRule="auto"/>
        <w:ind w:left="567" w:hanging="567"/>
        <w:jc w:val="left"/>
        <w:rPr>
          <w:b w:val="0"/>
        </w:rPr>
      </w:pPr>
      <w:r w:rsidRPr="00E00B35">
        <w:rPr>
          <w:b w:val="0"/>
        </w:rPr>
        <w:t>Przebudowy i remontu Zespołu Szkól Logistycznych przy ul. Dawida (2019-2020).</w:t>
      </w:r>
    </w:p>
    <w:p w:rsidR="00B1753A" w:rsidRDefault="00B1753A" w:rsidP="00B1753A">
      <w:pPr>
        <w:spacing w:after="0" w:line="312" w:lineRule="auto"/>
        <w:rPr>
          <w:szCs w:val="20"/>
        </w:rPr>
      </w:pPr>
    </w:p>
    <w:p w:rsidR="008C7751" w:rsidRPr="00B1753A" w:rsidRDefault="008C7751" w:rsidP="00B1753A">
      <w:pPr>
        <w:spacing w:after="0" w:line="312" w:lineRule="auto"/>
        <w:rPr>
          <w:szCs w:val="20"/>
        </w:rPr>
      </w:pPr>
      <w:r w:rsidRPr="00B1753A">
        <w:rPr>
          <w:szCs w:val="20"/>
        </w:rPr>
        <w:t xml:space="preserve">Koncepcje w zakresie: </w:t>
      </w:r>
    </w:p>
    <w:p w:rsidR="008C7751" w:rsidRPr="00E00B35" w:rsidRDefault="008C7751" w:rsidP="00E00B35">
      <w:pPr>
        <w:pStyle w:val="Styl1NagwkiGwne"/>
        <w:numPr>
          <w:ilvl w:val="0"/>
          <w:numId w:val="88"/>
        </w:numPr>
        <w:spacing w:line="312" w:lineRule="auto"/>
        <w:ind w:left="567" w:hanging="567"/>
        <w:jc w:val="left"/>
        <w:rPr>
          <w:b w:val="0"/>
        </w:rPr>
      </w:pPr>
      <w:r w:rsidRPr="00E00B35">
        <w:rPr>
          <w:b w:val="0"/>
        </w:rPr>
        <w:t>Rozbudowy Specjalnego Ośrodka Szkolno-Wychowawczego nr 10 przy ul. Parkowej wraz z programem funkcjonalno-użytkowym (2019-2020);</w:t>
      </w:r>
    </w:p>
    <w:p w:rsidR="008C7751" w:rsidRPr="00E00B35" w:rsidRDefault="008C7751" w:rsidP="00E00B35">
      <w:pPr>
        <w:pStyle w:val="Styl1NagwkiGwne"/>
        <w:numPr>
          <w:ilvl w:val="0"/>
          <w:numId w:val="88"/>
        </w:numPr>
        <w:spacing w:line="312" w:lineRule="auto"/>
        <w:ind w:left="567" w:hanging="567"/>
        <w:jc w:val="left"/>
        <w:rPr>
          <w:b w:val="0"/>
        </w:rPr>
      </w:pPr>
      <w:r w:rsidRPr="00E00B35">
        <w:rPr>
          <w:b w:val="0"/>
        </w:rPr>
        <w:t>Rozbudowy Specjalnego Ośrodka Szkolno-Wychowawczego nr 11 przy ul. Kamiennej wraz z opracowaniem projektu budowlanego i uzyskaniem pozwolenia na budowę (2019-2020).</w:t>
      </w:r>
    </w:p>
    <w:p w:rsidR="008C7751" w:rsidRPr="00E00B35" w:rsidRDefault="008C7751" w:rsidP="00E00B35">
      <w:pPr>
        <w:pStyle w:val="Akapitzlist"/>
        <w:tabs>
          <w:tab w:val="left" w:pos="709"/>
        </w:tabs>
        <w:spacing w:after="0" w:line="312" w:lineRule="auto"/>
        <w:ind w:left="567" w:hanging="567"/>
        <w:rPr>
          <w:szCs w:val="20"/>
        </w:rPr>
      </w:pPr>
    </w:p>
    <w:p w:rsidR="008C7751" w:rsidRPr="00E00B35" w:rsidRDefault="008C7751" w:rsidP="00E00B35">
      <w:pPr>
        <w:pStyle w:val="Akapitzlist"/>
        <w:tabs>
          <w:tab w:val="left" w:pos="709"/>
        </w:tabs>
        <w:spacing w:after="0" w:line="312" w:lineRule="auto"/>
        <w:ind w:left="567" w:hanging="567"/>
        <w:rPr>
          <w:szCs w:val="20"/>
        </w:rPr>
      </w:pPr>
      <w:r w:rsidRPr="00E00B35">
        <w:rPr>
          <w:szCs w:val="20"/>
        </w:rPr>
        <w:t>Roboty budowlane dla zadań:</w:t>
      </w:r>
    </w:p>
    <w:p w:rsidR="008C7751" w:rsidRPr="00E00B35" w:rsidRDefault="008C7751" w:rsidP="00E00B35">
      <w:pPr>
        <w:pStyle w:val="Styl1NagwkiGwne"/>
        <w:numPr>
          <w:ilvl w:val="0"/>
          <w:numId w:val="89"/>
        </w:numPr>
        <w:spacing w:line="312" w:lineRule="auto"/>
        <w:ind w:left="567" w:hanging="567"/>
        <w:jc w:val="left"/>
        <w:rPr>
          <w:b w:val="0"/>
        </w:rPr>
      </w:pPr>
      <w:r w:rsidRPr="00E00B35">
        <w:rPr>
          <w:b w:val="0"/>
        </w:rPr>
        <w:t>Dostosowanie budynku C Liceum Ogólnokształcącego nr II przy ul. Parkowej do wymogów przepisów przeciwpożarowych (2020-2021);</w:t>
      </w:r>
    </w:p>
    <w:p w:rsidR="008C7751" w:rsidRPr="00E00B35" w:rsidRDefault="008C7751" w:rsidP="00E00B35">
      <w:pPr>
        <w:pStyle w:val="Styl1NagwkiGwne"/>
        <w:numPr>
          <w:ilvl w:val="0"/>
          <w:numId w:val="89"/>
        </w:numPr>
        <w:spacing w:line="312" w:lineRule="auto"/>
        <w:ind w:left="567" w:hanging="567"/>
        <w:jc w:val="left"/>
        <w:rPr>
          <w:b w:val="0"/>
        </w:rPr>
      </w:pPr>
      <w:r w:rsidRPr="00E00B35">
        <w:rPr>
          <w:b w:val="0"/>
        </w:rPr>
        <w:t>Wymiana nawierzchni posadzek na korytarzach szkolnych, przebudowa i remont węzłów sanitarnych w Liceum Ogólnokształcącym nr X przy ul. Pieszej (2020);</w:t>
      </w:r>
    </w:p>
    <w:p w:rsidR="008C7751" w:rsidRPr="00E00B35" w:rsidRDefault="008C7751" w:rsidP="00E00B35">
      <w:pPr>
        <w:pStyle w:val="Styl1NagwkiGwne"/>
        <w:numPr>
          <w:ilvl w:val="0"/>
          <w:numId w:val="89"/>
        </w:numPr>
        <w:spacing w:line="312" w:lineRule="auto"/>
        <w:ind w:left="567" w:hanging="567"/>
        <w:jc w:val="left"/>
        <w:rPr>
          <w:b w:val="0"/>
        </w:rPr>
      </w:pPr>
      <w:r w:rsidRPr="00E00B35">
        <w:rPr>
          <w:b w:val="0"/>
        </w:rPr>
        <w:t xml:space="preserve">Przebudowa i remont Specjalnego Ośrodka Szkolno-Wychowawczego nr 10 przy ul. Parkowej w zakresie dostosowania obiektu do wymogów przepisów przeciwpożarowych, wymiany rozdzielnicy elektrycznej w kuchni oraz budowa </w:t>
      </w:r>
      <w:r w:rsidRPr="00E00B35">
        <w:rPr>
          <w:b w:val="0"/>
        </w:rPr>
        <w:lastRenderedPageBreak/>
        <w:t>dźwigu osobowego celem dostosowania obiektu do potrzeb osób z niepełnosprawnościami (2020);</w:t>
      </w:r>
    </w:p>
    <w:p w:rsidR="008C7751" w:rsidRPr="00E00B35" w:rsidRDefault="008C7751" w:rsidP="00E00B35">
      <w:pPr>
        <w:pStyle w:val="Styl1NagwkiGwne"/>
        <w:numPr>
          <w:ilvl w:val="0"/>
          <w:numId w:val="89"/>
        </w:numPr>
        <w:spacing w:line="312" w:lineRule="auto"/>
        <w:ind w:left="567" w:hanging="567"/>
        <w:jc w:val="left"/>
        <w:rPr>
          <w:b w:val="0"/>
        </w:rPr>
      </w:pPr>
      <w:r w:rsidRPr="00E00B35">
        <w:rPr>
          <w:b w:val="0"/>
        </w:rPr>
        <w:t>Przebudowa i remont dachu Technikum nr 15 przy ul. Skwierzyńskiej (2019-2020);</w:t>
      </w:r>
    </w:p>
    <w:p w:rsidR="008C7751" w:rsidRPr="00E00B35" w:rsidRDefault="008C7751" w:rsidP="00E00B35">
      <w:pPr>
        <w:pStyle w:val="Styl1NagwkiGwne"/>
        <w:numPr>
          <w:ilvl w:val="0"/>
          <w:numId w:val="89"/>
        </w:numPr>
        <w:spacing w:line="312" w:lineRule="auto"/>
        <w:ind w:left="567" w:hanging="567"/>
        <w:jc w:val="left"/>
        <w:rPr>
          <w:b w:val="0"/>
        </w:rPr>
      </w:pPr>
      <w:r w:rsidRPr="00E00B35">
        <w:rPr>
          <w:b w:val="0"/>
        </w:rPr>
        <w:t>Wykonanie przeciwpożarowej instalacji hydrantowej w Zespole Szkół Teletechnicznych i Elektronicznych przy ul. Haukego Bosaka (2020).</w:t>
      </w:r>
    </w:p>
    <w:p w:rsidR="008C7751" w:rsidRPr="00E00B35" w:rsidRDefault="008C7751" w:rsidP="00E00B35">
      <w:pPr>
        <w:pStyle w:val="Akapitzlist"/>
        <w:tabs>
          <w:tab w:val="left" w:pos="709"/>
        </w:tabs>
        <w:spacing w:after="0" w:line="312" w:lineRule="auto"/>
        <w:ind w:left="567" w:hanging="567"/>
        <w:contextualSpacing w:val="0"/>
        <w:rPr>
          <w:szCs w:val="2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Zakończono opracowanie dokumentacji projektowej dla zadań:</w:t>
      </w:r>
    </w:p>
    <w:p w:rsidR="008C7751" w:rsidRPr="00E00B35" w:rsidRDefault="008C7751" w:rsidP="00E00B35">
      <w:pPr>
        <w:pStyle w:val="Styl1NagwkiGwne"/>
        <w:numPr>
          <w:ilvl w:val="0"/>
          <w:numId w:val="112"/>
        </w:numPr>
        <w:spacing w:line="312" w:lineRule="auto"/>
        <w:ind w:left="567" w:hanging="567"/>
        <w:jc w:val="left"/>
        <w:rPr>
          <w:b w:val="0"/>
        </w:rPr>
      </w:pPr>
      <w:r w:rsidRPr="00E00B35">
        <w:rPr>
          <w:b w:val="0"/>
        </w:rPr>
        <w:t>Termomodernizacja elewacji o powierzchni ~1 750 m² i dachu o powierzchni ~1 092 m² oraz przebudowa strefy wejściowej do budynku Liceum Ogólnokształcącego nr VI przy ul. Hutniczej wraz z opracowaniem wielobranżowej koncepcji rozbudowy o blok sportowy o powierzchni netto ~2274 m² z salą sportową, salą fitness/siłownię, zespołem sanitarno-szatniowym, magazynem sprzętu, pomieszczeniem nauczycieli wychowania fizycznego, toaletą dla niepełnosprawnych i 4 salami dydaktycznymi oraz połączeniem z istniejącym budynkiem dydaktycznym, zawierającym dźwig osobowy, zagospodarowaniem terenu (miejsca postojowe, droga przeciwpożarowa, mała architektura);</w:t>
      </w:r>
    </w:p>
    <w:p w:rsidR="008C7751" w:rsidRPr="00E00B35" w:rsidRDefault="008C7751" w:rsidP="00E00B35">
      <w:pPr>
        <w:pStyle w:val="Styl1NagwkiGwne"/>
        <w:numPr>
          <w:ilvl w:val="0"/>
          <w:numId w:val="112"/>
        </w:numPr>
        <w:spacing w:line="312" w:lineRule="auto"/>
        <w:ind w:left="567" w:hanging="567"/>
        <w:jc w:val="left"/>
        <w:rPr>
          <w:b w:val="0"/>
        </w:rPr>
      </w:pPr>
      <w:r w:rsidRPr="00E00B35">
        <w:rPr>
          <w:b w:val="0"/>
        </w:rPr>
        <w:t>Budowa dźwigu osobowego w budynku Specjalnego Ośrodka Szkolno-Wychowawczego nr 10 przy ul. Parkowej;</w:t>
      </w:r>
    </w:p>
    <w:p w:rsidR="008C7751" w:rsidRPr="00E00B35" w:rsidRDefault="008C7751" w:rsidP="00E00B35">
      <w:pPr>
        <w:pStyle w:val="Styl1NagwkiGwne"/>
        <w:numPr>
          <w:ilvl w:val="0"/>
          <w:numId w:val="112"/>
        </w:numPr>
        <w:spacing w:line="312" w:lineRule="auto"/>
        <w:ind w:left="567" w:hanging="567"/>
        <w:jc w:val="left"/>
        <w:rPr>
          <w:b w:val="0"/>
        </w:rPr>
      </w:pPr>
      <w:r w:rsidRPr="00E00B35">
        <w:rPr>
          <w:b w:val="0"/>
        </w:rPr>
        <w:t>Rozbudowa Specjalnego Ośrodka Szkolno-Wychowawczego nr 11 przy ul. Kamiennej o część dydaktyczno-administracyjną o powierzchni użytkowej 938 m² zawierającą 6 sal lekcyjnych, 3 gabinety specjalistyczne, duży pokój nauczycielski, 2 świetlice, sale wielofunkcyjną i sensoryczną, szatnie, toalety, dźwig osobowy oraz zapewnienie dostępności do istniejącego obiektu osobom ze szczególnymi potrzebami (z niepełnosprawnościami). Możliwość montażu instalacji fotowoltaicznej w obiekcie. Zagospodarowanie terenu poprzez rozbudowę dróg wewnętrznych, parking na 26 miejsc, w tym 1 dla osób niepełnosprawnych, rozbudowa miejsca gromadzenia odpadów, przeniesienie w nową lokalizację stojaków rowerowych, zieleń urządzona;</w:t>
      </w:r>
    </w:p>
    <w:p w:rsidR="008C7751" w:rsidRPr="00E00B35" w:rsidRDefault="008C7751" w:rsidP="00E00B35">
      <w:pPr>
        <w:pStyle w:val="Styl1NagwkiGwne"/>
        <w:numPr>
          <w:ilvl w:val="0"/>
          <w:numId w:val="112"/>
        </w:numPr>
        <w:spacing w:line="312" w:lineRule="auto"/>
        <w:ind w:left="567" w:hanging="567"/>
        <w:jc w:val="left"/>
        <w:rPr>
          <w:b w:val="0"/>
        </w:rPr>
      </w:pPr>
      <w:r w:rsidRPr="00E00B35">
        <w:rPr>
          <w:b w:val="0"/>
        </w:rPr>
        <w:t>Dostosowanie do wymogów przepisów przeciwpożarowych Zespołu Szkół nr 1 o powierzchni użytkowej ~9 498 m² przy ul. Słubickiej z zachowaniem charakteru zabytkowego obiektu;</w:t>
      </w:r>
    </w:p>
    <w:p w:rsidR="008C7751" w:rsidRPr="00E00B35" w:rsidRDefault="008C7751" w:rsidP="00E00B35">
      <w:pPr>
        <w:pStyle w:val="Styl1NagwkiGwne"/>
        <w:numPr>
          <w:ilvl w:val="0"/>
          <w:numId w:val="112"/>
        </w:numPr>
        <w:spacing w:line="312" w:lineRule="auto"/>
        <w:ind w:left="567" w:hanging="567"/>
        <w:jc w:val="left"/>
        <w:rPr>
          <w:b w:val="0"/>
        </w:rPr>
      </w:pPr>
      <w:r w:rsidRPr="00E00B35">
        <w:rPr>
          <w:b w:val="0"/>
        </w:rPr>
        <w:t>Przebudowa i remont budynku o powierzchni użytkowej ~13 622,15 m² Zespołu Szkół nr 3 przy ul. Szkockiej w podziale na etapy: przebudowa i remont sanitariatów, bloków sportowych z uwzględnieniem pomieszczeń siłowni i zastosowaniem fotowoltaiki, przebudowa i remont innych pomieszczeń, dostosowanie obiektu do wymogów przepisów przeciwpożarowych, budowa windy z przedsionkiem o powierzchni ~13,11 m² wraz z nadbudową łączników segmentu budynku (zwiększenie powierzchni użytkowej o 199,33 m²);</w:t>
      </w:r>
    </w:p>
    <w:p w:rsidR="008C7751" w:rsidRPr="00E00B35" w:rsidRDefault="008C7751" w:rsidP="00E00B35">
      <w:pPr>
        <w:pStyle w:val="Styl1NagwkiGwne"/>
        <w:numPr>
          <w:ilvl w:val="0"/>
          <w:numId w:val="112"/>
        </w:numPr>
        <w:spacing w:line="312" w:lineRule="auto"/>
        <w:ind w:left="567" w:hanging="567"/>
        <w:jc w:val="left"/>
        <w:rPr>
          <w:b w:val="0"/>
        </w:rPr>
      </w:pPr>
      <w:r w:rsidRPr="00E00B35">
        <w:rPr>
          <w:b w:val="0"/>
        </w:rPr>
        <w:t>Przebudowa i remont toalet o łącznej powierzchni ~87 m² na parterze i I piętrze wraz z wymianą instalacji elektrycznej w Zespole Szkół nr 6 o powierzchni użytkowej ~4 720 m² przy ul. Nowodworskiej;</w:t>
      </w:r>
    </w:p>
    <w:p w:rsidR="008C7751" w:rsidRPr="00E00B35" w:rsidRDefault="008C7751" w:rsidP="00E00B35">
      <w:pPr>
        <w:pStyle w:val="Styl1NagwkiGwne"/>
        <w:numPr>
          <w:ilvl w:val="0"/>
          <w:numId w:val="112"/>
        </w:numPr>
        <w:spacing w:line="312" w:lineRule="auto"/>
        <w:ind w:left="567" w:hanging="567"/>
        <w:jc w:val="left"/>
        <w:rPr>
          <w:b w:val="0"/>
        </w:rPr>
      </w:pPr>
      <w:r w:rsidRPr="00E00B35">
        <w:rPr>
          <w:b w:val="0"/>
        </w:rPr>
        <w:t xml:space="preserve">Przebudowa i remont toalet o powierzchni ~253m² oraz szatni szkolnej wraz z wymianą instalacji elektrycznej, hydrantowej i dostosowaniem obiektu Zespołu </w:t>
      </w:r>
      <w:r w:rsidRPr="00E00B35">
        <w:rPr>
          <w:b w:val="0"/>
        </w:rPr>
        <w:lastRenderedPageBreak/>
        <w:t>Szkół Logistycznych o powierzchni użytkowej ~5 674 m² przy ul. Dawida do wymogów przepisów przeciwpożarowych</w:t>
      </w:r>
    </w:p>
    <w:p w:rsidR="008C7751" w:rsidRPr="00E00B35" w:rsidRDefault="008C7751" w:rsidP="00E00B35">
      <w:pPr>
        <w:pStyle w:val="Styl1NagwkiGwne"/>
        <w:spacing w:line="312" w:lineRule="auto"/>
        <w:ind w:left="567"/>
        <w:jc w:val="left"/>
        <w:rPr>
          <w:b w:val="0"/>
        </w:rPr>
      </w:pPr>
    </w:p>
    <w:p w:rsidR="008C7751" w:rsidRPr="00E00B35" w:rsidRDefault="008C7751" w:rsidP="00E00B35">
      <w:pPr>
        <w:spacing w:after="0" w:line="312" w:lineRule="auto"/>
        <w:rPr>
          <w:iCs/>
          <w:szCs w:val="20"/>
        </w:rPr>
      </w:pPr>
      <w:r w:rsidRPr="00E00B35">
        <w:rPr>
          <w:iCs/>
          <w:szCs w:val="20"/>
        </w:rPr>
        <w:t xml:space="preserve">Opracowano koncepcję rozbudowy Specjalnego Ośrodka Szkolno-Wychowawczego nr 10 przy ul. Parkowej wraz z programem funkcjonalno-użytkowym zakładającym rozbudowę o nowe skrzydło o powierzchni ~1 167,15 m² zawierające 7 sal lekcyjnych, 2 świetlice, sale do muzykoterapii, małą gimnastyczną z zapleczem sanitarno-szatniowym, pokój nauczycielski i pomocy nauczycieli, gabinety psychologa, logopedy, specjalistyczny, pokój nadzoru pedagogicznego, pomieszczenia sanitarne, gospodarcze, techniczne, szatnie i wózkownię. </w:t>
      </w: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Zakończono zadania inwestycyjne polegające na:</w:t>
      </w:r>
    </w:p>
    <w:p w:rsidR="008C7751" w:rsidRPr="00E00B35" w:rsidRDefault="008C7751" w:rsidP="00E00B35">
      <w:pPr>
        <w:pStyle w:val="Styl1NagwkiGwne"/>
        <w:numPr>
          <w:ilvl w:val="0"/>
          <w:numId w:val="91"/>
        </w:numPr>
        <w:spacing w:line="312" w:lineRule="auto"/>
        <w:ind w:left="567" w:hanging="567"/>
        <w:jc w:val="left"/>
        <w:rPr>
          <w:b w:val="0"/>
        </w:rPr>
      </w:pPr>
      <w:r w:rsidRPr="00E00B35">
        <w:rPr>
          <w:b w:val="0"/>
        </w:rPr>
        <w:t>Wymianie nawierzchni posadzek na korytarzach szkolnych, przebudowie i remoncie węzłów sanitarnych w Liceum Ogólnokształcącym nr X przy ul. Pieszej;</w:t>
      </w:r>
    </w:p>
    <w:p w:rsidR="008C7751" w:rsidRPr="00E00B35" w:rsidRDefault="008C7751" w:rsidP="00E00B35">
      <w:pPr>
        <w:pStyle w:val="Styl1NagwkiGwne"/>
        <w:numPr>
          <w:ilvl w:val="0"/>
          <w:numId w:val="91"/>
        </w:numPr>
        <w:spacing w:line="312" w:lineRule="auto"/>
        <w:ind w:left="567" w:hanging="567"/>
        <w:jc w:val="left"/>
        <w:rPr>
          <w:b w:val="0"/>
        </w:rPr>
      </w:pPr>
      <w:r w:rsidRPr="00E00B35">
        <w:rPr>
          <w:b w:val="0"/>
        </w:rPr>
        <w:t>Przebudowie i remoncie Specjalnego Ośrodka Szkolno-Wychowawczego nr 10 przy ul. Parkowej w zakresie dostosowania obiektu do wymogów przepisów przeciwpożarowych, wymiany rozdzielnicy elektrycznej w kuchni oraz budowie dźwigu osobowego celem dostosowania obiektu do potrzeb osób niepełnosprawnych;</w:t>
      </w:r>
    </w:p>
    <w:p w:rsidR="008C7751" w:rsidRPr="00E00B35" w:rsidRDefault="008C7751" w:rsidP="00E00B35">
      <w:pPr>
        <w:pStyle w:val="Styl1NagwkiGwne"/>
        <w:numPr>
          <w:ilvl w:val="0"/>
          <w:numId w:val="91"/>
        </w:numPr>
        <w:spacing w:line="312" w:lineRule="auto"/>
        <w:ind w:left="567" w:hanging="567"/>
        <w:jc w:val="left"/>
        <w:rPr>
          <w:b w:val="0"/>
        </w:rPr>
      </w:pPr>
      <w:r w:rsidRPr="00E00B35">
        <w:rPr>
          <w:b w:val="0"/>
        </w:rPr>
        <w:t>Przebudowie i remoncie dachu Technikum nr 15 przy ul. Skwierzyńskiej;</w:t>
      </w:r>
    </w:p>
    <w:p w:rsidR="008C7751" w:rsidRPr="00E00B35" w:rsidRDefault="008C7751" w:rsidP="00E00B35">
      <w:pPr>
        <w:pStyle w:val="Styl1NagwkiGwne"/>
        <w:numPr>
          <w:ilvl w:val="0"/>
          <w:numId w:val="91"/>
        </w:numPr>
        <w:spacing w:line="312" w:lineRule="auto"/>
        <w:ind w:left="567" w:hanging="567"/>
        <w:jc w:val="left"/>
        <w:rPr>
          <w:b w:val="0"/>
        </w:rPr>
      </w:pPr>
      <w:r w:rsidRPr="00E00B35">
        <w:rPr>
          <w:b w:val="0"/>
        </w:rPr>
        <w:t>Wykonaniu przeciwpożarowej instalacji hydrantowej w Zespole Szkół Teletechnicznych i Elektronicznych przy ul. Haukego Bosaka.</w:t>
      </w:r>
    </w:p>
    <w:p w:rsidR="008C7751" w:rsidRPr="00E00B35" w:rsidRDefault="008C7751" w:rsidP="00E00B35">
      <w:pPr>
        <w:tabs>
          <w:tab w:val="left" w:pos="709"/>
        </w:tabs>
        <w:spacing w:after="0" w:line="312" w:lineRule="auto"/>
        <w:rPr>
          <w:szCs w:val="20"/>
        </w:rPr>
      </w:pPr>
    </w:p>
    <w:p w:rsidR="008C7751" w:rsidRPr="00E00B35" w:rsidRDefault="008C7751" w:rsidP="00E00B35">
      <w:pPr>
        <w:tabs>
          <w:tab w:val="left" w:pos="709"/>
        </w:tabs>
        <w:spacing w:after="0" w:line="312" w:lineRule="auto"/>
        <w:rPr>
          <w:szCs w:val="20"/>
        </w:rPr>
      </w:pPr>
      <w:r w:rsidRPr="00E00B35">
        <w:rPr>
          <w:szCs w:val="20"/>
        </w:rPr>
        <w:t>Osiągnięto następujące efekty:</w:t>
      </w:r>
    </w:p>
    <w:p w:rsidR="008C7751" w:rsidRPr="00E00B35" w:rsidRDefault="008C7751" w:rsidP="00E00B35">
      <w:pPr>
        <w:spacing w:after="0" w:line="312" w:lineRule="auto"/>
        <w:rPr>
          <w:szCs w:val="20"/>
        </w:rPr>
      </w:pPr>
      <w:r w:rsidRPr="00E00B35">
        <w:rPr>
          <w:szCs w:val="20"/>
        </w:rPr>
        <w:t>W ramach zadania:</w:t>
      </w:r>
    </w:p>
    <w:p w:rsidR="008C7751" w:rsidRPr="00E00B35" w:rsidRDefault="008C7751" w:rsidP="00E00B35">
      <w:pPr>
        <w:pStyle w:val="Styl1NagwkiGwne"/>
        <w:numPr>
          <w:ilvl w:val="0"/>
          <w:numId w:val="113"/>
        </w:numPr>
        <w:spacing w:line="312" w:lineRule="auto"/>
        <w:ind w:left="567" w:hanging="567"/>
        <w:jc w:val="left"/>
        <w:rPr>
          <w:b w:val="0"/>
        </w:rPr>
      </w:pPr>
      <w:r w:rsidRPr="00E00B35">
        <w:rPr>
          <w:b w:val="0"/>
        </w:rPr>
        <w:t>Poprawiono bezpieczeństwo pożarowe 2 placówek (SOSW-10, ZSTiE);</w:t>
      </w:r>
    </w:p>
    <w:p w:rsidR="008C7751" w:rsidRPr="00E00B35" w:rsidRDefault="008C7751" w:rsidP="00E00B35">
      <w:pPr>
        <w:pStyle w:val="Styl1NagwkiGwne"/>
        <w:numPr>
          <w:ilvl w:val="0"/>
          <w:numId w:val="113"/>
        </w:numPr>
        <w:spacing w:line="312" w:lineRule="auto"/>
        <w:ind w:left="567" w:hanging="567"/>
        <w:jc w:val="left"/>
        <w:rPr>
          <w:b w:val="0"/>
        </w:rPr>
      </w:pPr>
      <w:r w:rsidRPr="00E00B35">
        <w:rPr>
          <w:b w:val="0"/>
        </w:rPr>
        <w:t xml:space="preserve">Udostępniono budynek osobom </w:t>
      </w:r>
      <w:r w:rsidRPr="00E00B35">
        <w:rPr>
          <w:b w:val="0"/>
          <w:iCs/>
        </w:rPr>
        <w:t>z niepełnosprawnościami</w:t>
      </w:r>
      <w:r w:rsidRPr="00E00B35">
        <w:rPr>
          <w:b w:val="0"/>
        </w:rPr>
        <w:t xml:space="preserve"> poprzez budowę dźwigu osobowego (SOSW-10);</w:t>
      </w:r>
    </w:p>
    <w:p w:rsidR="008C7751" w:rsidRPr="00E00B35" w:rsidRDefault="008C7751" w:rsidP="00E00B35">
      <w:pPr>
        <w:pStyle w:val="Styl1NagwkiGwne"/>
        <w:numPr>
          <w:ilvl w:val="0"/>
          <w:numId w:val="113"/>
        </w:numPr>
        <w:spacing w:line="312" w:lineRule="auto"/>
        <w:ind w:left="567" w:hanging="567"/>
        <w:jc w:val="left"/>
        <w:rPr>
          <w:b w:val="0"/>
        </w:rPr>
      </w:pPr>
      <w:r w:rsidRPr="00E00B35">
        <w:rPr>
          <w:b w:val="0"/>
        </w:rPr>
        <w:t>Poprawiono efektywność energetyczną obiektu, docieplając i remontując dach (T -15);</w:t>
      </w:r>
    </w:p>
    <w:p w:rsidR="008C7751" w:rsidRPr="00E00B35" w:rsidRDefault="008C7751" w:rsidP="00E00B35">
      <w:pPr>
        <w:pStyle w:val="Styl1NagwkiGwne"/>
        <w:numPr>
          <w:ilvl w:val="0"/>
          <w:numId w:val="113"/>
        </w:numPr>
        <w:spacing w:line="312" w:lineRule="auto"/>
        <w:ind w:left="567" w:hanging="567"/>
        <w:jc w:val="left"/>
        <w:rPr>
          <w:b w:val="0"/>
        </w:rPr>
      </w:pPr>
      <w:r w:rsidRPr="00E00B35">
        <w:rPr>
          <w:b w:val="0"/>
        </w:rPr>
        <w:t>Przebudowano węzły sanitarne, dostosowując do wymogów przepisów sanitarnych (LO-X);</w:t>
      </w:r>
    </w:p>
    <w:p w:rsidR="008C7751" w:rsidRPr="00E00B35" w:rsidRDefault="008C7751" w:rsidP="00E00B35">
      <w:pPr>
        <w:pStyle w:val="Styl1NagwkiGwne"/>
        <w:numPr>
          <w:ilvl w:val="0"/>
          <w:numId w:val="113"/>
        </w:numPr>
        <w:spacing w:line="312" w:lineRule="auto"/>
        <w:ind w:left="567" w:hanging="567"/>
        <w:jc w:val="left"/>
        <w:rPr>
          <w:b w:val="0"/>
        </w:rPr>
      </w:pPr>
      <w:r w:rsidRPr="00E00B35">
        <w:rPr>
          <w:b w:val="0"/>
        </w:rPr>
        <w:t>Poprawiono bezpieczeństwo użytkowników, wymieniając nawierzchnię posadzek na korytarzach szkolnych (LO-X);</w:t>
      </w:r>
    </w:p>
    <w:p w:rsidR="008C7751" w:rsidRPr="00E00B35" w:rsidRDefault="008C7751" w:rsidP="00E00B35">
      <w:pPr>
        <w:pStyle w:val="Styl1NagwkiGwne"/>
        <w:numPr>
          <w:ilvl w:val="0"/>
          <w:numId w:val="113"/>
        </w:numPr>
        <w:spacing w:line="312" w:lineRule="auto"/>
        <w:ind w:left="567" w:hanging="567"/>
        <w:jc w:val="left"/>
        <w:rPr>
          <w:b w:val="0"/>
        </w:rPr>
      </w:pPr>
      <w:r w:rsidRPr="00E00B35">
        <w:rPr>
          <w:b w:val="0"/>
        </w:rPr>
        <w:t>Wyrównano nawierzchnię części placów na terenie placówki (LO-X).</w:t>
      </w:r>
    </w:p>
    <w:p w:rsidR="008C7751" w:rsidRPr="00E00B35" w:rsidRDefault="008C7751" w:rsidP="00E00B35">
      <w:pPr>
        <w:pStyle w:val="Styl1NagwkiGwne"/>
        <w:tabs>
          <w:tab w:val="clear" w:pos="567"/>
          <w:tab w:val="left" w:pos="426"/>
        </w:tabs>
        <w:spacing w:line="312" w:lineRule="auto"/>
        <w:ind w:left="644"/>
        <w:jc w:val="left"/>
        <w:rPr>
          <w:b w:val="0"/>
        </w:rPr>
      </w:pPr>
    </w:p>
    <w:bookmarkEnd w:id="826"/>
    <w:p w:rsidR="008C7751" w:rsidRPr="00E00B35" w:rsidRDefault="008C7751" w:rsidP="00E00B35">
      <w:pPr>
        <w:pStyle w:val="Styl1NagwkiGwne"/>
        <w:numPr>
          <w:ilvl w:val="1"/>
          <w:numId w:val="33"/>
        </w:numPr>
        <w:spacing w:line="312" w:lineRule="auto"/>
        <w:ind w:left="720"/>
        <w:jc w:val="left"/>
      </w:pPr>
      <w:r w:rsidRPr="00E00B35">
        <w:t>Budowa basenów i przebudowa infrastruktury sportowej w obiektach oświatowych</w:t>
      </w:r>
    </w:p>
    <w:p w:rsidR="008C7751" w:rsidRPr="00E00B35" w:rsidRDefault="008C7751" w:rsidP="00E00B35">
      <w:pPr>
        <w:pStyle w:val="Styl1NagwkiGwne"/>
        <w:spacing w:line="312" w:lineRule="auto"/>
        <w:jc w:val="left"/>
        <w:rPr>
          <w:b w:val="0"/>
        </w:rPr>
      </w:pPr>
      <w:r w:rsidRPr="00E00B35">
        <w:rPr>
          <w:b w:val="0"/>
        </w:rPr>
        <w:t xml:space="preserve">Cel zadania: </w:t>
      </w:r>
    </w:p>
    <w:p w:rsidR="008C7751" w:rsidRPr="00E00B35" w:rsidRDefault="008C7751" w:rsidP="00E00B35">
      <w:pPr>
        <w:spacing w:after="0" w:line="312" w:lineRule="auto"/>
        <w:rPr>
          <w:iCs/>
          <w:szCs w:val="20"/>
        </w:rPr>
      </w:pPr>
      <w:r w:rsidRPr="00E00B35">
        <w:rPr>
          <w:iCs/>
          <w:szCs w:val="20"/>
        </w:rPr>
        <w:t>Zwiększenie bazy sportowej w mieście oraz poprawa stanu technicznego istniejących bloków sportowych i basenów; polepszenie warunków użytkowania i prawidłowego funkcjonowania obiektów.</w:t>
      </w:r>
    </w:p>
    <w:p w:rsidR="008C7751" w:rsidRPr="00E00B35" w:rsidRDefault="008C7751" w:rsidP="00E00B35">
      <w:pPr>
        <w:spacing w:after="0" w:line="312" w:lineRule="auto"/>
        <w:rPr>
          <w:iCs/>
          <w:szCs w:val="20"/>
        </w:rPr>
      </w:pPr>
    </w:p>
    <w:p w:rsidR="008C7751" w:rsidRPr="00E00B35" w:rsidRDefault="008C7751" w:rsidP="00E00B35">
      <w:pPr>
        <w:pStyle w:val="Styl1NagwkiGwne"/>
        <w:spacing w:line="312" w:lineRule="auto"/>
        <w:jc w:val="left"/>
        <w:rPr>
          <w:b w:val="0"/>
        </w:rPr>
      </w:pPr>
      <w:r w:rsidRPr="00E00B35">
        <w:rPr>
          <w:b w:val="0"/>
        </w:rPr>
        <w:t>Poniesione w 2020 roku nakłady: 7 424,37 tys. zł</w:t>
      </w:r>
    </w:p>
    <w:p w:rsidR="008C7751" w:rsidRPr="00E00B35" w:rsidRDefault="008C7751" w:rsidP="00E00B35">
      <w:pPr>
        <w:spacing w:after="0" w:line="312" w:lineRule="auto"/>
        <w:rPr>
          <w:szCs w:val="2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lastRenderedPageBreak/>
        <w:t>W roku 2020 realizowano:</w:t>
      </w: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Dokumentacje projektowe w zakresie:</w:t>
      </w:r>
    </w:p>
    <w:p w:rsidR="008C7751" w:rsidRPr="00E00B35" w:rsidRDefault="008C7751" w:rsidP="00E00B35">
      <w:pPr>
        <w:pStyle w:val="Styl1NagwkiGwne"/>
        <w:numPr>
          <w:ilvl w:val="0"/>
          <w:numId w:val="90"/>
        </w:numPr>
        <w:spacing w:line="312" w:lineRule="auto"/>
        <w:ind w:left="567" w:hanging="567"/>
        <w:jc w:val="left"/>
        <w:rPr>
          <w:b w:val="0"/>
        </w:rPr>
      </w:pPr>
      <w:r w:rsidRPr="00E00B35">
        <w:rPr>
          <w:b w:val="0"/>
        </w:rPr>
        <w:t>Budowy hali do tenisa i terenowych kortów tenisowych przy Szkole Podstawowej nr 72 ul. Trwała (2020-2021);</w:t>
      </w:r>
    </w:p>
    <w:p w:rsidR="008C7751" w:rsidRPr="00E00B35" w:rsidRDefault="008C7751" w:rsidP="00E00B35">
      <w:pPr>
        <w:pStyle w:val="Styl1NagwkiGwne"/>
        <w:numPr>
          <w:ilvl w:val="0"/>
          <w:numId w:val="90"/>
        </w:numPr>
        <w:spacing w:line="312" w:lineRule="auto"/>
        <w:ind w:left="567" w:hanging="567"/>
        <w:jc w:val="left"/>
        <w:rPr>
          <w:b w:val="0"/>
        </w:rPr>
      </w:pPr>
      <w:r w:rsidRPr="00E00B35">
        <w:rPr>
          <w:b w:val="0"/>
        </w:rPr>
        <w:t>Przebudowy i remontu bloku sportowego przy Zespole Szkół Ekonomiczno-Administracyjnych ul. Worcella w podziale na etapy (2019-2020).</w:t>
      </w:r>
    </w:p>
    <w:p w:rsidR="008C7751" w:rsidRPr="00E00B35" w:rsidRDefault="008C7751" w:rsidP="00E00B35">
      <w:pPr>
        <w:tabs>
          <w:tab w:val="left" w:pos="709"/>
        </w:tabs>
        <w:spacing w:after="0" w:line="312" w:lineRule="auto"/>
        <w:rPr>
          <w:szCs w:val="2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Realizacja w systemie „zaprojektuj i wybuduj”:</w:t>
      </w:r>
    </w:p>
    <w:p w:rsidR="008C7751" w:rsidRPr="00E00B35" w:rsidRDefault="008C7751" w:rsidP="00E00B35">
      <w:pPr>
        <w:pStyle w:val="Styl1NagwkiGwne"/>
        <w:spacing w:line="312" w:lineRule="auto"/>
        <w:jc w:val="left"/>
        <w:rPr>
          <w:b w:val="0"/>
        </w:rPr>
      </w:pPr>
      <w:r w:rsidRPr="00E00B35">
        <w:rPr>
          <w:b w:val="0"/>
        </w:rPr>
        <w:t>Budowa nowego bloku sportowego o powierzchni netto ~3 040,60 m² z salą do szermierki przy Liceum Ogólnokształcącym nr XIII ul. Haukego-Bosaka – projekty wykonawcze (2019-2022).</w:t>
      </w:r>
    </w:p>
    <w:p w:rsidR="008C7751" w:rsidRPr="00E00B35" w:rsidRDefault="008C7751" w:rsidP="00E00B35">
      <w:pPr>
        <w:pStyle w:val="Styl1NagwkiGwne"/>
        <w:tabs>
          <w:tab w:val="clear" w:pos="567"/>
          <w:tab w:val="left" w:pos="426"/>
        </w:tabs>
        <w:spacing w:line="312" w:lineRule="auto"/>
        <w:ind w:left="644"/>
        <w:jc w:val="left"/>
        <w:rPr>
          <w:b w:val="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Roboty budowlane dla zadań:</w:t>
      </w:r>
    </w:p>
    <w:p w:rsidR="008C7751" w:rsidRPr="00E00B35" w:rsidRDefault="008C7751" w:rsidP="00E00B35">
      <w:pPr>
        <w:pStyle w:val="Styl1NagwkiGwne"/>
        <w:numPr>
          <w:ilvl w:val="0"/>
          <w:numId w:val="114"/>
        </w:numPr>
        <w:spacing w:line="312" w:lineRule="auto"/>
        <w:ind w:left="567" w:hanging="567"/>
        <w:jc w:val="left"/>
        <w:rPr>
          <w:b w:val="0"/>
        </w:rPr>
      </w:pPr>
      <w:r w:rsidRPr="00E00B35">
        <w:rPr>
          <w:b w:val="0"/>
        </w:rPr>
        <w:t>Modernizacja bloku sportowego przy Zespole Szkół nr 20 ul. Kłodnicka (2019-2020);</w:t>
      </w:r>
    </w:p>
    <w:p w:rsidR="008C7751" w:rsidRPr="00E00B35" w:rsidRDefault="008C7751" w:rsidP="00E00B35">
      <w:pPr>
        <w:pStyle w:val="Styl1NagwkiGwne"/>
        <w:numPr>
          <w:ilvl w:val="0"/>
          <w:numId w:val="114"/>
        </w:numPr>
        <w:spacing w:line="312" w:lineRule="auto"/>
        <w:ind w:left="567" w:hanging="567"/>
        <w:jc w:val="left"/>
        <w:rPr>
          <w:b w:val="0"/>
        </w:rPr>
      </w:pPr>
      <w:r w:rsidRPr="00E00B35">
        <w:rPr>
          <w:b w:val="0"/>
        </w:rPr>
        <w:t>Przebudowa i remont sali gimnastycznej wraz z zapleczem szatniowym oraz zabudową części korytarza parteru i I piętra na gabinety i sale dydaktyczne w Technikum nr 15 przy ul. Skwierzyńskiej (2019-2020).</w:t>
      </w:r>
    </w:p>
    <w:p w:rsidR="008C7751" w:rsidRPr="00E00B35" w:rsidRDefault="008C7751" w:rsidP="00E00B35">
      <w:pPr>
        <w:spacing w:after="0" w:line="312" w:lineRule="auto"/>
        <w:rPr>
          <w:iCs/>
          <w:szCs w:val="20"/>
        </w:rPr>
      </w:pPr>
    </w:p>
    <w:p w:rsidR="008C7751" w:rsidRPr="00E00B35" w:rsidRDefault="008C7751" w:rsidP="00E00B35">
      <w:pPr>
        <w:spacing w:after="0" w:line="312" w:lineRule="auto"/>
        <w:rPr>
          <w:iCs/>
          <w:szCs w:val="20"/>
        </w:rPr>
      </w:pPr>
      <w:r w:rsidRPr="00E00B35">
        <w:rPr>
          <w:iCs/>
          <w:szCs w:val="20"/>
        </w:rPr>
        <w:t xml:space="preserve">Opracowano dokumentację projektową przebudowy i remontu bloku sportowego z salą sportową o powierzchni ~295 m² przy Zespole Szkół Ekonomiczno-Administracyjnych ul. Worcella wraz z termomodernizacją elewacji i dachu w zakresie dopuszczonym przez Miejskiego Konserwatora Zabytków oraz dostosowaniem do wymogów ochrony przeciwpożarowej, w tym montaż klap dymowych, wymiana instalacji hydrantowej, wykonanie wydzielenia klatki schodowej. </w:t>
      </w:r>
    </w:p>
    <w:p w:rsidR="008C7751" w:rsidRPr="00E00B35" w:rsidRDefault="008C7751" w:rsidP="00E00B35">
      <w:pPr>
        <w:tabs>
          <w:tab w:val="left" w:pos="709"/>
        </w:tabs>
        <w:spacing w:after="0" w:line="312" w:lineRule="auto"/>
        <w:rPr>
          <w:szCs w:val="20"/>
        </w:rPr>
      </w:pPr>
    </w:p>
    <w:p w:rsidR="008C7751" w:rsidRPr="00E00B35" w:rsidRDefault="008C7751" w:rsidP="00E00B35">
      <w:pPr>
        <w:tabs>
          <w:tab w:val="left" w:pos="709"/>
        </w:tabs>
        <w:spacing w:after="0" w:line="312" w:lineRule="auto"/>
        <w:rPr>
          <w:szCs w:val="20"/>
        </w:rPr>
      </w:pPr>
      <w:r w:rsidRPr="00E00B35">
        <w:rPr>
          <w:szCs w:val="20"/>
        </w:rPr>
        <w:t>Osiągnięto następujące efekty:</w:t>
      </w:r>
    </w:p>
    <w:p w:rsidR="008C7751" w:rsidRPr="00E00B35" w:rsidRDefault="008C7751" w:rsidP="00E00B35">
      <w:pPr>
        <w:pStyle w:val="Styl1NagwkiGwne"/>
        <w:numPr>
          <w:ilvl w:val="0"/>
          <w:numId w:val="95"/>
        </w:numPr>
        <w:spacing w:line="312" w:lineRule="auto"/>
        <w:ind w:left="567" w:hanging="567"/>
        <w:jc w:val="left"/>
        <w:rPr>
          <w:b w:val="0"/>
        </w:rPr>
      </w:pPr>
      <w:r w:rsidRPr="00E00B35">
        <w:rPr>
          <w:b w:val="0"/>
        </w:rPr>
        <w:t>Przebudowano i wyremontowano 2 sale gimnastyczne (T-15, ZS-20);</w:t>
      </w:r>
    </w:p>
    <w:p w:rsidR="008C7751" w:rsidRPr="00E00B35" w:rsidRDefault="008C7751" w:rsidP="00E00B35">
      <w:pPr>
        <w:pStyle w:val="Styl1NagwkiGwne"/>
        <w:numPr>
          <w:ilvl w:val="0"/>
          <w:numId w:val="95"/>
        </w:numPr>
        <w:spacing w:line="312" w:lineRule="auto"/>
        <w:ind w:left="567" w:hanging="567"/>
        <w:jc w:val="left"/>
        <w:rPr>
          <w:b w:val="0"/>
        </w:rPr>
      </w:pPr>
      <w:r w:rsidRPr="00E00B35">
        <w:rPr>
          <w:b w:val="0"/>
        </w:rPr>
        <w:t>Poprawiono komfort korzystania z zapleczy sanitarno-szatniowych, poprzez wykonanie przebudowy i remontu zapleczy sanitarno-szatniowych (T-15, ZS-20).</w:t>
      </w:r>
    </w:p>
    <w:p w:rsidR="008C7751" w:rsidRPr="00E00B35" w:rsidRDefault="008C7751" w:rsidP="00E00B35">
      <w:pPr>
        <w:pStyle w:val="Styl1NagwkiGwne"/>
        <w:numPr>
          <w:ilvl w:val="0"/>
          <w:numId w:val="95"/>
        </w:numPr>
        <w:spacing w:line="312" w:lineRule="auto"/>
        <w:ind w:left="567" w:hanging="567"/>
        <w:jc w:val="left"/>
        <w:rPr>
          <w:b w:val="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Podtytu"/>
        <w:keepNext/>
        <w:tabs>
          <w:tab w:val="left" w:pos="-284"/>
        </w:tabs>
        <w:spacing w:after="0" w:line="312" w:lineRule="auto"/>
        <w:rPr>
          <w:b w:val="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32</w:t>
      </w:r>
      <w:r w:rsidR="00573162" w:rsidRPr="00E00B35">
        <w:rPr>
          <w:b/>
          <w:sz w:val="20"/>
          <w:szCs w:val="20"/>
        </w:rPr>
        <w:fldChar w:fldCharType="end"/>
      </w:r>
      <w:r w:rsidRPr="00E00B35">
        <w:rPr>
          <w:sz w:val="20"/>
          <w:szCs w:val="20"/>
        </w:rPr>
        <w:t>. Sala gimnastyczna T-15 przy ul. Skwierzyńskiej przed inwestycją</w:t>
      </w:r>
    </w:p>
    <w:p w:rsidR="008C7751" w:rsidRPr="00E00B35" w:rsidRDefault="008C7751" w:rsidP="00E00B35">
      <w:pPr>
        <w:pStyle w:val="Podtytu"/>
        <w:keepNext/>
        <w:tabs>
          <w:tab w:val="left" w:pos="-284"/>
        </w:tabs>
        <w:spacing w:after="0" w:line="312" w:lineRule="auto"/>
        <w:rPr>
          <w:b w:val="0"/>
          <w:highlight w:val="yellow"/>
        </w:rPr>
      </w:pPr>
      <w:r w:rsidRPr="00E00B35">
        <w:rPr>
          <w:b w:val="0"/>
          <w:noProof/>
          <w:lang w:val="pl-PL" w:bidi="ar-SA"/>
        </w:rPr>
        <w:drawing>
          <wp:inline distT="0" distB="0" distL="0" distR="0">
            <wp:extent cx="2656114" cy="2394857"/>
            <wp:effectExtent l="0" t="133350" r="0" b="119743"/>
            <wp:docPr id="71" name="Obraz 67" descr="Sala gimnastyczna przed remontem. Na podłodze drewniana klepka, ściany w różnych odcieniach żółtego, widać łatane dziury. Starodawny kosz do koszyków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5_Skwierzynska_przed_03.jpg"/>
                    <pic:cNvPicPr/>
                  </pic:nvPicPr>
                  <pic:blipFill>
                    <a:blip r:embed="rId220" cstate="print"/>
                    <a:stretch>
                      <a:fillRect/>
                    </a:stretch>
                  </pic:blipFill>
                  <pic:spPr>
                    <a:xfrm rot="5400000">
                      <a:off x="0" y="0"/>
                      <a:ext cx="2655570" cy="2394367"/>
                    </a:xfrm>
                    <a:prstGeom prst="rect">
                      <a:avLst/>
                    </a:prstGeom>
                  </pic:spPr>
                </pic:pic>
              </a:graphicData>
            </a:graphic>
          </wp:inline>
        </w:drawing>
      </w:r>
    </w:p>
    <w:p w:rsidR="008C7751" w:rsidRPr="00E00B35" w:rsidRDefault="008C7751" w:rsidP="00E00B35">
      <w:pPr>
        <w:spacing w:after="0" w:line="312" w:lineRule="auto"/>
        <w:rPr>
          <w:szCs w:val="20"/>
          <w:highlight w:val="yellow"/>
        </w:rPr>
      </w:pPr>
    </w:p>
    <w:p w:rsidR="008C7751" w:rsidRPr="00E00B35" w:rsidRDefault="008C7751" w:rsidP="00E00B35">
      <w:pPr>
        <w:pStyle w:val="Legenda"/>
        <w:keepNext/>
        <w:spacing w:before="0" w:after="0" w:line="312" w:lineRule="auto"/>
        <w:rPr>
          <w:b/>
          <w:sz w:val="20"/>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33</w:t>
      </w:r>
      <w:r w:rsidR="00573162" w:rsidRPr="00E00B35">
        <w:rPr>
          <w:b/>
          <w:sz w:val="20"/>
          <w:szCs w:val="20"/>
        </w:rPr>
        <w:fldChar w:fldCharType="end"/>
      </w:r>
      <w:r w:rsidRPr="00E00B35">
        <w:rPr>
          <w:sz w:val="20"/>
          <w:szCs w:val="20"/>
        </w:rPr>
        <w:t>. Sala gimnastyczna T-15 przy ul. Skwierzyńskiej po inwestycji</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2607945" cy="2590800"/>
            <wp:effectExtent l="19050" t="0" r="1905" b="0"/>
            <wp:docPr id="69" name="Obraz 68" descr="Wyremontowana sala sportowa, nowoczesna nawierzchnia, wymalowane linie boiska, nowowczesne kosze do koszykówki, drabinki do ćwiczeń wzdłuż jednej ze śc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5_Skwierzynska_po_01.jpg"/>
                    <pic:cNvPicPr/>
                  </pic:nvPicPr>
                  <pic:blipFill>
                    <a:blip r:embed="rId221" cstate="print"/>
                    <a:srcRect t="6007"/>
                    <a:stretch>
                      <a:fillRect/>
                    </a:stretch>
                  </pic:blipFill>
                  <pic:spPr>
                    <a:xfrm>
                      <a:off x="0" y="0"/>
                      <a:ext cx="2607945" cy="2590800"/>
                    </a:xfrm>
                    <a:prstGeom prst="rect">
                      <a:avLst/>
                    </a:prstGeom>
                  </pic:spPr>
                </pic:pic>
              </a:graphicData>
            </a:graphic>
          </wp:inline>
        </w:drawing>
      </w:r>
    </w:p>
    <w:p w:rsidR="008C7751" w:rsidRPr="00E00B35" w:rsidRDefault="008C7751" w:rsidP="00E00B35">
      <w:pPr>
        <w:pStyle w:val="Styl1NagwkiGwne"/>
        <w:numPr>
          <w:ilvl w:val="1"/>
          <w:numId w:val="33"/>
        </w:numPr>
        <w:spacing w:line="312" w:lineRule="auto"/>
        <w:ind w:left="567" w:hanging="567"/>
        <w:jc w:val="left"/>
        <w:rPr>
          <w:b w:val="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pStyle w:val="Styl1NagwkiGwne"/>
        <w:numPr>
          <w:ilvl w:val="1"/>
          <w:numId w:val="33"/>
        </w:numPr>
        <w:spacing w:line="312" w:lineRule="auto"/>
        <w:ind w:left="720"/>
        <w:jc w:val="left"/>
      </w:pPr>
      <w:r w:rsidRPr="00E00B35">
        <w:lastRenderedPageBreak/>
        <w:t>Budowa boisk piłkarskich o sztucznych nawierzchniach</w:t>
      </w:r>
    </w:p>
    <w:p w:rsidR="008C7751" w:rsidRPr="00E00B35" w:rsidRDefault="008C7751" w:rsidP="00E00B35">
      <w:pPr>
        <w:pStyle w:val="Styl1NagwkiGwne"/>
        <w:spacing w:line="312" w:lineRule="auto"/>
        <w:jc w:val="left"/>
        <w:rPr>
          <w:b w:val="0"/>
        </w:rPr>
      </w:pPr>
      <w:r w:rsidRPr="00E00B35">
        <w:rPr>
          <w:b w:val="0"/>
        </w:rPr>
        <w:t>Cel zadania:</w:t>
      </w:r>
    </w:p>
    <w:p w:rsidR="008C7751" w:rsidRPr="00E00B35" w:rsidRDefault="008C7751" w:rsidP="00E00B35">
      <w:pPr>
        <w:pStyle w:val="Styl1NagwkiGwne"/>
        <w:spacing w:line="312" w:lineRule="auto"/>
        <w:jc w:val="left"/>
        <w:rPr>
          <w:b w:val="0"/>
        </w:rPr>
      </w:pPr>
      <w:r w:rsidRPr="00E00B35">
        <w:rPr>
          <w:b w:val="0"/>
        </w:rPr>
        <w:t>Rozwój sportu i rekreacji.</w:t>
      </w:r>
    </w:p>
    <w:p w:rsidR="008C7751" w:rsidRPr="00E00B35" w:rsidRDefault="008C7751" w:rsidP="00E00B35">
      <w:pPr>
        <w:pStyle w:val="Styl1NagwkiGwne"/>
        <w:spacing w:line="312" w:lineRule="auto"/>
        <w:jc w:val="left"/>
        <w:rPr>
          <w:b w:val="0"/>
        </w:rPr>
      </w:pPr>
      <w:r w:rsidRPr="00E00B35">
        <w:rPr>
          <w:b w:val="0"/>
        </w:rPr>
        <w:t xml:space="preserve">Poprawa stanu technicznego terenowej infrastruktury sportowej w placówkach oświatowych. </w:t>
      </w:r>
    </w:p>
    <w:p w:rsidR="008C7751" w:rsidRPr="00E00B35" w:rsidRDefault="008C7751" w:rsidP="00E00B35">
      <w:pPr>
        <w:spacing w:after="0" w:line="312" w:lineRule="auto"/>
        <w:rPr>
          <w:iCs/>
          <w:szCs w:val="20"/>
        </w:rPr>
      </w:pPr>
      <w:r w:rsidRPr="00E00B35">
        <w:rPr>
          <w:iCs/>
          <w:szCs w:val="20"/>
        </w:rPr>
        <w:t>Poniesione w 2020 roku nakłady: 2 271,10 tys zł.</w:t>
      </w:r>
    </w:p>
    <w:p w:rsidR="008C7751" w:rsidRPr="00E00B35" w:rsidRDefault="008C7751" w:rsidP="00E00B35">
      <w:pPr>
        <w:spacing w:after="0" w:line="312" w:lineRule="auto"/>
        <w:rPr>
          <w:iCs/>
          <w:szCs w:val="2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W roku 2020 realizowano:</w:t>
      </w: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Dokumentacje projektowe w zakresie:</w:t>
      </w:r>
      <w:bookmarkStart w:id="828" w:name="_Hlk61854804"/>
    </w:p>
    <w:p w:rsidR="008C7751" w:rsidRPr="00E00B35" w:rsidRDefault="008C7751" w:rsidP="00E00B35">
      <w:pPr>
        <w:pStyle w:val="Styl1NagwkiGwne"/>
        <w:numPr>
          <w:ilvl w:val="0"/>
          <w:numId w:val="92"/>
        </w:numPr>
        <w:spacing w:line="312" w:lineRule="auto"/>
        <w:ind w:left="567" w:hanging="567"/>
        <w:jc w:val="left"/>
        <w:rPr>
          <w:b w:val="0"/>
        </w:rPr>
      </w:pPr>
      <w:r w:rsidRPr="00E00B35">
        <w:rPr>
          <w:b w:val="0"/>
        </w:rPr>
        <w:t>Opracowanie dokumentacji projektowej w zakresie budowy boisk dla potrzeb Liceum Ogólnokształcącego nr I przy ul. Poniatowskiego;</w:t>
      </w:r>
    </w:p>
    <w:p w:rsidR="008C7751" w:rsidRPr="00E00B35" w:rsidRDefault="008C7751" w:rsidP="00E00B35">
      <w:pPr>
        <w:pStyle w:val="Styl1NagwkiGwne"/>
        <w:numPr>
          <w:ilvl w:val="0"/>
          <w:numId w:val="92"/>
        </w:numPr>
        <w:spacing w:line="312" w:lineRule="auto"/>
        <w:ind w:left="567" w:hanging="567"/>
        <w:jc w:val="left"/>
        <w:rPr>
          <w:b w:val="0"/>
        </w:rPr>
      </w:pPr>
      <w:r w:rsidRPr="00E00B35">
        <w:rPr>
          <w:b w:val="0"/>
        </w:rPr>
        <w:t>Opracowanie dokumentacji projektowej w trybie „zaprojektuj i wybuduj” w zakresie przebudowy i remontu boiska do koszykówki na terenie Zespołu Szkolno-Przedszkolnego nr 17 przy ul. Wieczystej we Wrocławiu.</w:t>
      </w:r>
    </w:p>
    <w:bookmarkEnd w:id="828"/>
    <w:p w:rsidR="008C7751" w:rsidRPr="00E00B35" w:rsidRDefault="008C7751" w:rsidP="00E00B35">
      <w:pPr>
        <w:pStyle w:val="Akapitzlist"/>
        <w:tabs>
          <w:tab w:val="left" w:pos="709"/>
        </w:tabs>
        <w:spacing w:after="0" w:line="312" w:lineRule="auto"/>
        <w:ind w:left="567" w:hanging="567"/>
        <w:contextualSpacing w:val="0"/>
        <w:rPr>
          <w:szCs w:val="2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Roboty budowlane dla zadań:</w:t>
      </w:r>
    </w:p>
    <w:p w:rsidR="008C7751" w:rsidRPr="00E00B35" w:rsidRDefault="008C7751" w:rsidP="00E00B35">
      <w:pPr>
        <w:pStyle w:val="Styl1NagwkiGwne"/>
        <w:numPr>
          <w:ilvl w:val="0"/>
          <w:numId w:val="93"/>
        </w:numPr>
        <w:spacing w:line="312" w:lineRule="auto"/>
        <w:ind w:left="567" w:hanging="567"/>
        <w:jc w:val="left"/>
        <w:rPr>
          <w:b w:val="0"/>
        </w:rPr>
      </w:pPr>
      <w:r w:rsidRPr="00E00B35">
        <w:rPr>
          <w:b w:val="0"/>
        </w:rPr>
        <w:t>Realizacja robót budowlanych w trybie „zaprojektuj i wybuduj” w zakresie przebudowy i remontu boiska do koszykówki na terenie Zespołu Szkolno-Przedszkolnego nr 17 przy ul. Wieczystej we Wrocławiu;</w:t>
      </w:r>
    </w:p>
    <w:p w:rsidR="008C7751" w:rsidRPr="00E00B35" w:rsidRDefault="008C7751" w:rsidP="00E00B35">
      <w:pPr>
        <w:pStyle w:val="Styl1NagwkiGwne"/>
        <w:numPr>
          <w:ilvl w:val="0"/>
          <w:numId w:val="93"/>
        </w:numPr>
        <w:spacing w:line="312" w:lineRule="auto"/>
        <w:ind w:left="567" w:hanging="567"/>
        <w:jc w:val="left"/>
        <w:rPr>
          <w:b w:val="0"/>
        </w:rPr>
      </w:pPr>
      <w:r w:rsidRPr="00E00B35">
        <w:rPr>
          <w:b w:val="0"/>
        </w:rPr>
        <w:t>Realizacja robót budowlanych w zakresie przebudowy boisk na terenie Liceum Ogólnokształcącego nr I przy ul. Poniatowskiego we Wrocławiu;</w:t>
      </w:r>
    </w:p>
    <w:p w:rsidR="008C7751" w:rsidRPr="00E00B35" w:rsidRDefault="008C7751" w:rsidP="00E00B35">
      <w:pPr>
        <w:pStyle w:val="Styl1NagwkiGwne"/>
        <w:numPr>
          <w:ilvl w:val="0"/>
          <w:numId w:val="93"/>
        </w:numPr>
        <w:spacing w:line="312" w:lineRule="auto"/>
        <w:ind w:left="567" w:hanging="567"/>
        <w:jc w:val="left"/>
        <w:rPr>
          <w:b w:val="0"/>
        </w:rPr>
      </w:pPr>
      <w:r w:rsidRPr="00E00B35">
        <w:rPr>
          <w:b w:val="0"/>
        </w:rPr>
        <w:t>Realizacja robót budowlanych w zakresie renowacji boiska na terenie Zespołu Szkół nr 3 przy ul. Szkockiej we Wrocławiu;</w:t>
      </w:r>
    </w:p>
    <w:p w:rsidR="008C7751" w:rsidRPr="00E00B35" w:rsidRDefault="008C7751" w:rsidP="00E00B35">
      <w:pPr>
        <w:pStyle w:val="Styl1NagwkiGwne"/>
        <w:numPr>
          <w:ilvl w:val="0"/>
          <w:numId w:val="93"/>
        </w:numPr>
        <w:spacing w:line="312" w:lineRule="auto"/>
        <w:ind w:left="567" w:hanging="567"/>
        <w:jc w:val="left"/>
        <w:rPr>
          <w:b w:val="0"/>
        </w:rPr>
      </w:pPr>
      <w:r w:rsidRPr="00E00B35">
        <w:rPr>
          <w:b w:val="0"/>
        </w:rPr>
        <w:t>Realizacja robót budowlanych w zakresie renowacji boiska na terenie Szkoły Podstawowej nr 28 przy ul. Greckiej we Wrocławiu;</w:t>
      </w:r>
    </w:p>
    <w:p w:rsidR="008C7751" w:rsidRPr="00E00B35" w:rsidRDefault="008C7751" w:rsidP="00E00B35">
      <w:pPr>
        <w:pStyle w:val="Styl1NagwkiGwne"/>
        <w:numPr>
          <w:ilvl w:val="0"/>
          <w:numId w:val="93"/>
        </w:numPr>
        <w:spacing w:line="312" w:lineRule="auto"/>
        <w:ind w:left="567" w:hanging="567"/>
        <w:jc w:val="left"/>
        <w:rPr>
          <w:b w:val="0"/>
        </w:rPr>
      </w:pPr>
      <w:r w:rsidRPr="00E00B35">
        <w:rPr>
          <w:b w:val="0"/>
        </w:rPr>
        <w:t>Realizacja robót budowlanych w zakresie renowacji boiska na terenie Szkoły Podstawowej nr 14 przy ul. Zachodniej we Wrocławiu;</w:t>
      </w:r>
    </w:p>
    <w:p w:rsidR="008C7751" w:rsidRPr="00E00B35" w:rsidRDefault="008C7751" w:rsidP="00E00B35">
      <w:pPr>
        <w:pStyle w:val="Styl1NagwkiGwne"/>
        <w:numPr>
          <w:ilvl w:val="0"/>
          <w:numId w:val="93"/>
        </w:numPr>
        <w:spacing w:line="312" w:lineRule="auto"/>
        <w:ind w:left="567" w:hanging="567"/>
        <w:jc w:val="left"/>
        <w:rPr>
          <w:b w:val="0"/>
        </w:rPr>
      </w:pPr>
      <w:r w:rsidRPr="00E00B35">
        <w:rPr>
          <w:b w:val="0"/>
        </w:rPr>
        <w:lastRenderedPageBreak/>
        <w:t>Realizacja robót budowlanych w zakresie renowacji boiska na terenie Szkoły Podstawowej nr 80 przy ul. Polnej we Wrocławiu;</w:t>
      </w:r>
    </w:p>
    <w:p w:rsidR="008C7751" w:rsidRPr="00E00B35" w:rsidRDefault="008C7751" w:rsidP="00E00B35">
      <w:pPr>
        <w:pStyle w:val="Styl1NagwkiGwne"/>
        <w:numPr>
          <w:ilvl w:val="0"/>
          <w:numId w:val="93"/>
        </w:numPr>
        <w:spacing w:line="312" w:lineRule="auto"/>
        <w:ind w:left="567" w:hanging="567"/>
        <w:jc w:val="left"/>
        <w:rPr>
          <w:b w:val="0"/>
        </w:rPr>
      </w:pPr>
      <w:r w:rsidRPr="00E00B35">
        <w:rPr>
          <w:b w:val="0"/>
        </w:rPr>
        <w:t xml:space="preserve">Realizacja robót budowlanych w zakresie </w:t>
      </w:r>
      <w:bookmarkStart w:id="829" w:name="_Hlk61855927"/>
      <w:r w:rsidRPr="00E00B35">
        <w:rPr>
          <w:b w:val="0"/>
        </w:rPr>
        <w:t>naprawy piłkochwytów i wykonania fragmentu nowego piłkochwytu przy boisku na terenie Zespołu Szkolno-Przedszkolnego nr 6 przy ul. Gałczyńskiego we Wrocławiu</w:t>
      </w:r>
      <w:bookmarkEnd w:id="829"/>
      <w:r w:rsidRPr="00E00B35">
        <w:rPr>
          <w:b w:val="0"/>
        </w:rPr>
        <w:t>;</w:t>
      </w:r>
    </w:p>
    <w:p w:rsidR="008C7751" w:rsidRPr="00E00B35" w:rsidRDefault="008C7751" w:rsidP="00E00B35">
      <w:pPr>
        <w:pStyle w:val="Styl1NagwkiGwne"/>
        <w:numPr>
          <w:ilvl w:val="0"/>
          <w:numId w:val="93"/>
        </w:numPr>
        <w:spacing w:line="312" w:lineRule="auto"/>
        <w:ind w:left="567" w:hanging="567"/>
        <w:jc w:val="left"/>
        <w:rPr>
          <w:b w:val="0"/>
        </w:rPr>
      </w:pPr>
      <w:r w:rsidRPr="00E00B35">
        <w:rPr>
          <w:b w:val="0"/>
        </w:rPr>
        <w:t>Realizacja robót budowlanych w zakresie budowy boisk na terenie Specjalnego Ośrodka Szkolno-Wychowawczego nr 10 przy ul. Parkowej;</w:t>
      </w:r>
    </w:p>
    <w:p w:rsidR="008C7751" w:rsidRPr="00E00B35" w:rsidRDefault="008C7751" w:rsidP="00E00B35">
      <w:pPr>
        <w:pStyle w:val="Styl1NagwkiGwne"/>
        <w:numPr>
          <w:ilvl w:val="0"/>
          <w:numId w:val="93"/>
        </w:numPr>
        <w:spacing w:line="312" w:lineRule="auto"/>
        <w:ind w:left="567" w:hanging="567"/>
        <w:jc w:val="left"/>
        <w:rPr>
          <w:b w:val="0"/>
        </w:rPr>
      </w:pPr>
      <w:r w:rsidRPr="00E00B35">
        <w:rPr>
          <w:b w:val="0"/>
        </w:rPr>
        <w:t>Realizacja robót budowlanych w zakresie wykonania nawierzchni bezpiecznej placu zabaw na terenie Szkoły Podstawowej nr 42 przy ul. Wałbrzyskiej.</w:t>
      </w:r>
    </w:p>
    <w:p w:rsidR="008C7751" w:rsidRPr="00E00B35" w:rsidRDefault="008C7751" w:rsidP="00E00B35">
      <w:pPr>
        <w:spacing w:after="0" w:line="312" w:lineRule="auto"/>
        <w:rPr>
          <w:iCs/>
          <w:szCs w:val="20"/>
        </w:rPr>
      </w:pPr>
    </w:p>
    <w:p w:rsidR="008C7751" w:rsidRPr="00E00B35" w:rsidRDefault="008C7751" w:rsidP="00E00B35">
      <w:pPr>
        <w:spacing w:after="0" w:line="312" w:lineRule="auto"/>
        <w:rPr>
          <w:iCs/>
          <w:szCs w:val="20"/>
        </w:rPr>
      </w:pPr>
      <w:r w:rsidRPr="00E00B35">
        <w:rPr>
          <w:iCs/>
          <w:szCs w:val="20"/>
        </w:rPr>
        <w:t>W 2020 roku rozliczono opracowaną dokumentację projektową dla zadania Budowa boiska piłkarskiego o sztucznej nawierzchni dla LO XII przy pl. Orląt Lwowskich (środki finansowe na realizację robót budowlanych zapisane w 2022 r.).</w:t>
      </w:r>
    </w:p>
    <w:p w:rsidR="008C7751" w:rsidRPr="00E00B35" w:rsidRDefault="008C7751" w:rsidP="00E00B35">
      <w:pPr>
        <w:spacing w:after="0" w:line="312" w:lineRule="auto"/>
        <w:rPr>
          <w:iCs/>
          <w:szCs w:val="20"/>
        </w:rPr>
      </w:pPr>
    </w:p>
    <w:p w:rsidR="008C7751" w:rsidRPr="00E00B35" w:rsidRDefault="008C7751" w:rsidP="00E00B35">
      <w:pPr>
        <w:spacing w:after="0" w:line="312" w:lineRule="auto"/>
        <w:rPr>
          <w:iCs/>
          <w:szCs w:val="20"/>
        </w:rPr>
        <w:sectPr w:rsidR="008C7751" w:rsidRPr="00E00B35" w:rsidSect="008C7751">
          <w:type w:val="continuous"/>
          <w:pgSz w:w="11906" w:h="16838"/>
          <w:pgMar w:top="1417" w:right="1417" w:bottom="1417" w:left="1417" w:header="567" w:footer="708" w:gutter="0"/>
          <w:cols w:space="708"/>
          <w:docGrid w:linePitch="600" w:charSpace="409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34</w:t>
      </w:r>
      <w:r w:rsidR="00573162" w:rsidRPr="00E00B35">
        <w:rPr>
          <w:b/>
          <w:sz w:val="20"/>
          <w:szCs w:val="20"/>
        </w:rPr>
        <w:fldChar w:fldCharType="end"/>
      </w:r>
      <w:r w:rsidRPr="00E00B35">
        <w:rPr>
          <w:sz w:val="20"/>
          <w:szCs w:val="20"/>
        </w:rPr>
        <w:t>. Boisko ZS nr 3 przy ul. Szkockiej przed inwestycją</w:t>
      </w:r>
    </w:p>
    <w:p w:rsidR="008C7751" w:rsidRPr="00E00B35" w:rsidRDefault="008C7751" w:rsidP="00E00B35">
      <w:pPr>
        <w:spacing w:after="0" w:line="312" w:lineRule="auto"/>
        <w:rPr>
          <w:iCs/>
          <w:szCs w:val="20"/>
        </w:rPr>
      </w:pPr>
      <w:r w:rsidRPr="00E00B35">
        <w:rPr>
          <w:iCs/>
          <w:noProof/>
          <w:szCs w:val="20"/>
          <w:lang w:val="pl-PL" w:eastAsia="pl-PL" w:bidi="ar-SA"/>
        </w:rPr>
        <w:drawing>
          <wp:inline distT="0" distB="0" distL="0" distR="0">
            <wp:extent cx="2832099" cy="2095500"/>
            <wp:effectExtent l="19050" t="0" r="6351" b="0"/>
            <wp:docPr id="72" name="Obraz 71" descr="Stara, zużyta nawierzchnia boiska sportowego, braki w oznaczeniach poziomych boi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3_Szkocka_boisko_przed_01.jpg"/>
                    <pic:cNvPicPr/>
                  </pic:nvPicPr>
                  <pic:blipFill>
                    <a:blip r:embed="rId222" cstate="print"/>
                    <a:stretch>
                      <a:fillRect/>
                    </a:stretch>
                  </pic:blipFill>
                  <pic:spPr>
                    <a:xfrm>
                      <a:off x="0" y="0"/>
                      <a:ext cx="2837088" cy="2099191"/>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35</w:t>
      </w:r>
      <w:r w:rsidR="00573162" w:rsidRPr="00E00B35">
        <w:rPr>
          <w:b/>
          <w:sz w:val="20"/>
          <w:szCs w:val="20"/>
        </w:rPr>
        <w:fldChar w:fldCharType="end"/>
      </w:r>
      <w:r w:rsidRPr="00E00B35">
        <w:rPr>
          <w:sz w:val="20"/>
          <w:szCs w:val="20"/>
        </w:rPr>
        <w:t>. Boisko ZS nr 3 przy ul. Szkockiej po inwestycji</w:t>
      </w:r>
    </w:p>
    <w:p w:rsidR="008C7751" w:rsidRPr="00E00B35" w:rsidRDefault="008C7751" w:rsidP="00E00B35">
      <w:pPr>
        <w:spacing w:after="0" w:line="312" w:lineRule="auto"/>
        <w:rPr>
          <w:iCs/>
          <w:szCs w:val="20"/>
        </w:rPr>
      </w:pPr>
      <w:r w:rsidRPr="00E00B35">
        <w:rPr>
          <w:iCs/>
          <w:noProof/>
          <w:szCs w:val="20"/>
          <w:lang w:val="pl-PL" w:eastAsia="pl-PL" w:bidi="ar-SA"/>
        </w:rPr>
        <w:drawing>
          <wp:inline distT="0" distB="0" distL="0" distR="0">
            <wp:extent cx="2686050" cy="2095500"/>
            <wp:effectExtent l="19050" t="0" r="0" b="0"/>
            <wp:docPr id="73" name="Obraz 72" descr="Pomarańczowa, gumowa nawierzchnia boiska sportowego, kolorowe oznakowanie poziome. Nowa bramka i kosz do koszyków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3_Szkocka_boisko_po_01.jpg"/>
                    <pic:cNvPicPr/>
                  </pic:nvPicPr>
                  <pic:blipFill>
                    <a:blip r:embed="rId223" cstate="print"/>
                    <a:stretch>
                      <a:fillRect/>
                    </a:stretch>
                  </pic:blipFill>
                  <pic:spPr>
                    <a:xfrm>
                      <a:off x="0" y="0"/>
                      <a:ext cx="2685162" cy="2094807"/>
                    </a:xfrm>
                    <a:prstGeom prst="rect">
                      <a:avLst/>
                    </a:prstGeom>
                  </pic:spPr>
                </pic:pic>
              </a:graphicData>
            </a:graphic>
          </wp:inline>
        </w:drawing>
      </w:r>
    </w:p>
    <w:p w:rsidR="008C7751" w:rsidRPr="00E00B35" w:rsidRDefault="008C7751" w:rsidP="00E00B35">
      <w:pPr>
        <w:pStyle w:val="Akapitzlist"/>
        <w:tabs>
          <w:tab w:val="left" w:pos="567"/>
          <w:tab w:val="right" w:leader="dot" w:pos="9072"/>
        </w:tabs>
        <w:suppressAutoHyphens/>
        <w:spacing w:after="0" w:line="312" w:lineRule="auto"/>
        <w:ind w:right="283"/>
        <w:rPr>
          <w:szCs w:val="20"/>
        </w:rPr>
        <w:sectPr w:rsidR="008C7751" w:rsidRPr="00E00B35" w:rsidSect="008C7751">
          <w:type w:val="continuous"/>
          <w:pgSz w:w="11906" w:h="16838"/>
          <w:pgMar w:top="1417" w:right="1417" w:bottom="1417" w:left="1417" w:header="567" w:footer="708" w:gutter="0"/>
          <w:cols w:num="2" w:space="708"/>
          <w:docGrid w:linePitch="600" w:charSpace="40960"/>
        </w:sectPr>
      </w:pPr>
    </w:p>
    <w:p w:rsidR="008C7751" w:rsidRPr="00E00B35" w:rsidRDefault="008C7751" w:rsidP="00E00B35">
      <w:pPr>
        <w:pStyle w:val="Akapitzlist"/>
        <w:tabs>
          <w:tab w:val="left" w:pos="567"/>
          <w:tab w:val="right" w:leader="dot" w:pos="9072"/>
        </w:tabs>
        <w:suppressAutoHyphens/>
        <w:spacing w:after="0" w:line="312" w:lineRule="auto"/>
        <w:ind w:right="283"/>
        <w:rPr>
          <w:szCs w:val="20"/>
        </w:rPr>
      </w:pPr>
    </w:p>
    <w:p w:rsidR="008C7751" w:rsidRPr="00E00B35" w:rsidRDefault="00573162" w:rsidP="00E00B35">
      <w:pPr>
        <w:pStyle w:val="Nagwek5"/>
      </w:pPr>
      <w:hyperlink w:anchor="_Toc32318614" w:history="1"/>
      <w:hyperlink w:anchor="_Toc32318623" w:history="1">
        <w:bookmarkStart w:id="830" w:name="_Toc66358321"/>
        <w:r w:rsidR="008C7751" w:rsidRPr="00E00B35">
          <w:t>Przebudowa i remonty siedzib Rad Osiedli</w:t>
        </w:r>
        <w:bookmarkEnd w:id="830"/>
      </w:hyperlink>
    </w:p>
    <w:p w:rsidR="008C7751" w:rsidRPr="00E00B35" w:rsidRDefault="008C7751" w:rsidP="00E00B35">
      <w:pPr>
        <w:pStyle w:val="Styl1NagwkiGwne"/>
        <w:spacing w:line="312" w:lineRule="auto"/>
        <w:jc w:val="left"/>
        <w:rPr>
          <w:b w:val="0"/>
        </w:rPr>
      </w:pPr>
      <w:r w:rsidRPr="00E00B35">
        <w:rPr>
          <w:b w:val="0"/>
        </w:rPr>
        <w:t>Cel zadania:</w:t>
      </w:r>
    </w:p>
    <w:p w:rsidR="008C7751" w:rsidRPr="00E00B35" w:rsidRDefault="008C7751" w:rsidP="00E00B35">
      <w:pPr>
        <w:spacing w:after="0" w:line="312" w:lineRule="auto"/>
        <w:rPr>
          <w:iCs/>
          <w:szCs w:val="20"/>
        </w:rPr>
      </w:pPr>
      <w:r w:rsidRPr="00E00B35">
        <w:rPr>
          <w:iCs/>
          <w:szCs w:val="20"/>
        </w:rPr>
        <w:t>Poprawa stanu technicznego budynków Rad Osiedli.</w:t>
      </w:r>
    </w:p>
    <w:p w:rsidR="008C7751" w:rsidRPr="00E00B35" w:rsidRDefault="008C7751" w:rsidP="00E00B35">
      <w:pPr>
        <w:pStyle w:val="Styl1NagwkiGwne"/>
        <w:spacing w:line="312" w:lineRule="auto"/>
        <w:jc w:val="left"/>
        <w:rPr>
          <w:b w:val="0"/>
        </w:rPr>
      </w:pPr>
      <w:r w:rsidRPr="00E00B35">
        <w:rPr>
          <w:b w:val="0"/>
        </w:rPr>
        <w:t>Poniesione w 2020 roku nakłady: 373,95 tys. zł</w:t>
      </w:r>
    </w:p>
    <w:p w:rsidR="008C7751" w:rsidRPr="00E00B35" w:rsidRDefault="008C7751" w:rsidP="00E00B35">
      <w:pPr>
        <w:pStyle w:val="Styl1NagwkiGwne"/>
        <w:spacing w:line="312" w:lineRule="auto"/>
        <w:jc w:val="left"/>
        <w:rPr>
          <w:b w:val="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W roku 2020 realizowano:</w:t>
      </w:r>
    </w:p>
    <w:p w:rsidR="008C7751" w:rsidRPr="00E00B35" w:rsidRDefault="008C7751" w:rsidP="00E00B35">
      <w:pPr>
        <w:pStyle w:val="Tekstpodstawowy"/>
        <w:suppressAutoHyphens/>
        <w:spacing w:after="0" w:line="312" w:lineRule="auto"/>
        <w:rPr>
          <w:szCs w:val="20"/>
        </w:rPr>
      </w:pPr>
      <w:r w:rsidRPr="00E00B35">
        <w:rPr>
          <w:szCs w:val="20"/>
        </w:rPr>
        <w:t>Roboty budowlane w zakresie remontu i przebudowy budynku mieszkalno-usługowego, o powierzchni użytkowej 137,40 m</w:t>
      </w:r>
      <w:r w:rsidRPr="00E00B35">
        <w:rPr>
          <w:szCs w:val="20"/>
          <w:vertAlign w:val="superscript"/>
        </w:rPr>
        <w:t>2</w:t>
      </w:r>
      <w:r w:rsidRPr="00E00B35">
        <w:rPr>
          <w:szCs w:val="20"/>
        </w:rPr>
        <w:t>, na potrzeby siedziby Rady Osiedla Żerniki przy ul. Żernickiej 219 we Wrocławiu, w tym:</w:t>
      </w:r>
    </w:p>
    <w:p w:rsidR="008C7751" w:rsidRPr="00E00B35" w:rsidRDefault="008C7751" w:rsidP="00E00B35">
      <w:pPr>
        <w:pStyle w:val="Tekstpodstawowy"/>
        <w:numPr>
          <w:ilvl w:val="0"/>
          <w:numId w:val="97"/>
        </w:numPr>
        <w:suppressAutoHyphens/>
        <w:spacing w:after="0" w:line="312" w:lineRule="auto"/>
        <w:ind w:left="567" w:hanging="567"/>
        <w:rPr>
          <w:szCs w:val="20"/>
        </w:rPr>
      </w:pPr>
      <w:r w:rsidRPr="00E00B35">
        <w:rPr>
          <w:szCs w:val="20"/>
        </w:rPr>
        <w:t xml:space="preserve">Roboty konstrukcyjno – budowlane i montażowe: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prace remontowe i budowlane w zakresie podłogi i posadzki,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prace remontowe i budowlane w zakresie ścian, w tym wykonanie nowych, naprawa starych, wykonanie okładzin ścian oraz gładzi i malowania,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prace remontowe i budowlane w zakresie sufitów, w tym wykonanie nowych systemowych,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prace remontowe i budowlane w zakresie stolarki okiennej i drzwiowej, w  tym wymiana na nowe oraz likwidacja starych,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zakup, dostawa i montaż mebli,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zakup, dostawa i instalacja białego montażu.</w:t>
      </w:r>
    </w:p>
    <w:p w:rsidR="008C7751" w:rsidRPr="00E00B35" w:rsidRDefault="008C7751" w:rsidP="00E00B35">
      <w:pPr>
        <w:pStyle w:val="Tekstpodstawowy"/>
        <w:numPr>
          <w:ilvl w:val="0"/>
          <w:numId w:val="97"/>
        </w:numPr>
        <w:suppressAutoHyphens/>
        <w:spacing w:after="0" w:line="312" w:lineRule="auto"/>
        <w:ind w:left="567" w:hanging="567"/>
        <w:rPr>
          <w:szCs w:val="20"/>
        </w:rPr>
      </w:pPr>
      <w:r w:rsidRPr="00E00B35">
        <w:rPr>
          <w:szCs w:val="20"/>
        </w:rPr>
        <w:t xml:space="preserve">Roboty w zakresie instalacji sanitarnych, w tym: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instalacji wodociągowej wody zimnej i ciepłej wody użytkowej,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instalacji kanalizacyjnej sanitarnej,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instalacji wentylacyjnej i klimatyzacyjnej,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instalacji klimatyzacji,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instalacji centralnego ogrzewania,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wykonanie instalacji gazowej.</w:t>
      </w:r>
    </w:p>
    <w:p w:rsidR="008C7751" w:rsidRPr="00E00B35" w:rsidRDefault="008C7751" w:rsidP="00E00B35">
      <w:pPr>
        <w:pStyle w:val="Tekstpodstawowy"/>
        <w:numPr>
          <w:ilvl w:val="0"/>
          <w:numId w:val="97"/>
        </w:numPr>
        <w:suppressAutoHyphens/>
        <w:spacing w:after="0" w:line="312" w:lineRule="auto"/>
        <w:ind w:left="567" w:hanging="567"/>
        <w:rPr>
          <w:szCs w:val="20"/>
        </w:rPr>
      </w:pPr>
      <w:r w:rsidRPr="00E00B35">
        <w:rPr>
          <w:szCs w:val="20"/>
        </w:rPr>
        <w:t xml:space="preserve">Roboty w zakresie instalacji elektrycznych i teletechnicznych, w tym: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instalacji zasilania,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rozdzielnic,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instalacji tras kabli i przewodów,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zainstalowanie osprzętu,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instalacja zasilania urządzeń sanitarnych,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oświetlenia podstawowego,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oświetlenia awaryjnego,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instalacji połączeń wyrównawczych,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instalacji ochrony przeciwprzepięciowej,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instalacji ochrony przeciwporażeniowej,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instalacje niskoprądowej – okablowanie strukturalne IT. </w:t>
      </w:r>
    </w:p>
    <w:p w:rsidR="008C7751" w:rsidRPr="00E00B35" w:rsidRDefault="008C7751" w:rsidP="00E00B35">
      <w:pPr>
        <w:pStyle w:val="Styl1NagwkiGwne"/>
        <w:spacing w:line="312" w:lineRule="auto"/>
        <w:ind w:left="1276"/>
        <w:jc w:val="left"/>
        <w:rPr>
          <w:b w:val="0"/>
        </w:rPr>
      </w:pPr>
    </w:p>
    <w:p w:rsidR="008C7751" w:rsidRPr="00E00B35" w:rsidRDefault="008C7751" w:rsidP="00E00B35">
      <w:pPr>
        <w:pStyle w:val="Nagwek5"/>
      </w:pPr>
      <w:bookmarkStart w:id="831" w:name="_Toc66358322"/>
      <w:bookmarkStart w:id="832" w:name="_Toc62120192"/>
      <w:r w:rsidRPr="00E00B35">
        <w:t>Program przebudowy miejskich obiektów sportowych</w:t>
      </w:r>
      <w:bookmarkEnd w:id="831"/>
      <w:r w:rsidRPr="00E00B35">
        <w:t xml:space="preserve"> </w:t>
      </w:r>
      <w:bookmarkEnd w:id="832"/>
    </w:p>
    <w:p w:rsidR="008C7751" w:rsidRPr="00E00B35" w:rsidRDefault="008C7751" w:rsidP="00E00B35">
      <w:pPr>
        <w:pStyle w:val="Styl1NagwkiGwne"/>
        <w:spacing w:line="312" w:lineRule="auto"/>
        <w:jc w:val="left"/>
        <w:rPr>
          <w:b w:val="0"/>
        </w:rPr>
      </w:pPr>
      <w:r w:rsidRPr="00E00B35">
        <w:rPr>
          <w:b w:val="0"/>
        </w:rPr>
        <w:t>Cel zadania:</w:t>
      </w:r>
    </w:p>
    <w:p w:rsidR="008C7751" w:rsidRPr="00E00B35" w:rsidRDefault="008C7751" w:rsidP="00E00B35">
      <w:pPr>
        <w:spacing w:after="0" w:line="312" w:lineRule="auto"/>
        <w:rPr>
          <w:iCs/>
          <w:szCs w:val="20"/>
        </w:rPr>
      </w:pPr>
      <w:r w:rsidRPr="00E00B35">
        <w:rPr>
          <w:iCs/>
          <w:szCs w:val="20"/>
        </w:rPr>
        <w:lastRenderedPageBreak/>
        <w:t>Rozwój sportu i rekreacji. Poprawa warunków korzystania przez lokalną społeczność z obiektów sportowych zlokalizowanych na terenie zarządzanym przez Młodzieżowe Centrum Sportu we Wrocławiu poprzez modernizację infrastruktury sportowej.</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Poniesione w 2020 roku nakłady: 4 876,65 tys. zł</w:t>
      </w:r>
    </w:p>
    <w:p w:rsidR="008C7751" w:rsidRPr="00E00B35" w:rsidRDefault="008C7751" w:rsidP="00E00B35">
      <w:pPr>
        <w:pStyle w:val="Styl1NagwkiGwne"/>
        <w:spacing w:line="312" w:lineRule="auto"/>
        <w:jc w:val="left"/>
        <w:rPr>
          <w:b w:val="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W roku 2020 realizowano:</w:t>
      </w:r>
    </w:p>
    <w:p w:rsidR="008C7751" w:rsidRPr="00E00B35" w:rsidRDefault="008C7751" w:rsidP="00E00B35">
      <w:pPr>
        <w:pStyle w:val="Tekstpodstawowy"/>
        <w:suppressAutoHyphens/>
        <w:spacing w:after="0" w:line="312" w:lineRule="auto"/>
        <w:rPr>
          <w:szCs w:val="20"/>
        </w:rPr>
      </w:pPr>
      <w:r w:rsidRPr="00E00B35">
        <w:rPr>
          <w:szCs w:val="20"/>
        </w:rPr>
        <w:t xml:space="preserve">Roboty budowlane polegające na przebudowie i remoncie basenu przy ul. Racławickiej 62 we Wrocławiu, w zakresie </w:t>
      </w:r>
      <w:bookmarkStart w:id="833" w:name="_Hlk62114187"/>
      <w:r w:rsidRPr="00E00B35">
        <w:rPr>
          <w:szCs w:val="20"/>
        </w:rPr>
        <w:t>remontu i przebudowy placu przed wejściem głównym, izolacji ścian basenu 50 m</w:t>
      </w:r>
      <w:bookmarkStart w:id="834" w:name="_Hlk62114353"/>
      <w:bookmarkEnd w:id="833"/>
      <w:r w:rsidRPr="00E00B35">
        <w:rPr>
          <w:szCs w:val="20"/>
        </w:rPr>
        <w:t>, w zakresie modernizacji stacji uzdatniania wody, remontu i przebudowy basenu 50 m, remontu i przebudowy basenu 25 m oraz zabudowy patio</w:t>
      </w:r>
      <w:bookmarkEnd w:id="834"/>
      <w:r w:rsidRPr="00E00B35">
        <w:rPr>
          <w:szCs w:val="20"/>
        </w:rPr>
        <w:t>, a także polegające na rozbiórce budynku starej stacji uzdatniania wody wraz ze zmianą przebiegu sieci ciepłowniczej.</w:t>
      </w:r>
    </w:p>
    <w:p w:rsidR="008C7751" w:rsidRPr="00E00B35" w:rsidRDefault="008C7751" w:rsidP="00E00B35">
      <w:pPr>
        <w:pStyle w:val="Akapitzlist"/>
        <w:tabs>
          <w:tab w:val="left" w:pos="709"/>
        </w:tabs>
        <w:spacing w:after="0" w:line="312" w:lineRule="auto"/>
        <w:ind w:left="567" w:hanging="567"/>
        <w:contextualSpacing w:val="0"/>
        <w:rPr>
          <w:szCs w:val="20"/>
        </w:rPr>
      </w:pPr>
    </w:p>
    <w:p w:rsidR="008C7751" w:rsidRPr="00E00B35" w:rsidRDefault="008C7751" w:rsidP="00E00B35">
      <w:pPr>
        <w:pStyle w:val="Akapitzlist"/>
        <w:tabs>
          <w:tab w:val="left" w:pos="709"/>
        </w:tabs>
        <w:spacing w:after="0" w:line="312" w:lineRule="auto"/>
        <w:ind w:left="567" w:hanging="567"/>
        <w:contextualSpacing w:val="0"/>
        <w:rPr>
          <w:szCs w:val="20"/>
        </w:rPr>
      </w:pPr>
      <w:r w:rsidRPr="00E00B35">
        <w:rPr>
          <w:szCs w:val="20"/>
        </w:rPr>
        <w:t>Osiągnięto następujące efekty:</w:t>
      </w:r>
    </w:p>
    <w:p w:rsidR="008C7751" w:rsidRPr="00E00B35" w:rsidRDefault="008C7751" w:rsidP="00E00B35">
      <w:pPr>
        <w:pStyle w:val="Tekstpodstawowy"/>
        <w:suppressAutoHyphens/>
        <w:spacing w:after="0" w:line="312" w:lineRule="auto"/>
        <w:rPr>
          <w:szCs w:val="20"/>
        </w:rPr>
      </w:pPr>
      <w:r w:rsidRPr="00E00B35">
        <w:rPr>
          <w:szCs w:val="20"/>
        </w:rPr>
        <w:t>Zakończono roboty w zakresie prac związanych z remontem i przebudową placu przed wejściem głównym, izolacją ścian basenu 50 m oraz wymianą części drzwi i okien w zakresie planowanej zabudowy patio oraz prac związanych z rozbiórką budynku starej stacji uzdatniania wody wraz ze zmianą przebiegu sieci ciepłowniczej kompleksu basenowego przy ul. Racławickiej 62 we Wrocławiu.</w:t>
      </w:r>
    </w:p>
    <w:p w:rsidR="00E00DA1" w:rsidRPr="00E00B35" w:rsidRDefault="00E00DA1" w:rsidP="00E00B35">
      <w:pPr>
        <w:pStyle w:val="Nagwek4"/>
        <w:spacing w:before="0" w:after="0" w:line="312" w:lineRule="auto"/>
        <w:rPr>
          <w:sz w:val="20"/>
          <w:szCs w:val="20"/>
        </w:rPr>
      </w:pPr>
      <w:bookmarkStart w:id="835" w:name="_Toc66358323"/>
      <w:bookmarkStart w:id="836" w:name="_Toc62120193"/>
    </w:p>
    <w:p w:rsidR="008C7751" w:rsidRPr="00E00B35" w:rsidRDefault="008C7751" w:rsidP="00E00B35">
      <w:pPr>
        <w:pStyle w:val="Nagwek5"/>
      </w:pPr>
      <w:r w:rsidRPr="00E00B35">
        <w:t>Program przebudowy obiektów na potrzeby MOPS</w:t>
      </w:r>
      <w:bookmarkEnd w:id="835"/>
      <w:r w:rsidRPr="00E00B35">
        <w:rPr>
          <w:color w:val="FF0000"/>
        </w:rPr>
        <w:t xml:space="preserve"> </w:t>
      </w:r>
      <w:bookmarkEnd w:id="836"/>
    </w:p>
    <w:p w:rsidR="008C7751" w:rsidRPr="00E00B35" w:rsidRDefault="008C7751" w:rsidP="00E00B35">
      <w:pPr>
        <w:pStyle w:val="Styl1NagwkiGwne"/>
        <w:spacing w:line="312" w:lineRule="auto"/>
        <w:jc w:val="left"/>
        <w:rPr>
          <w:b w:val="0"/>
        </w:rPr>
      </w:pPr>
      <w:r w:rsidRPr="00E00B35">
        <w:rPr>
          <w:b w:val="0"/>
        </w:rPr>
        <w:t>Cel zadania:</w:t>
      </w:r>
    </w:p>
    <w:p w:rsidR="008C7751" w:rsidRPr="00E00B35" w:rsidRDefault="008C7751" w:rsidP="00E00B35">
      <w:pPr>
        <w:spacing w:after="0" w:line="312" w:lineRule="auto"/>
        <w:rPr>
          <w:szCs w:val="20"/>
          <w:lang w:eastAsia="pl-PL"/>
        </w:rPr>
      </w:pPr>
      <w:r w:rsidRPr="00E00B35">
        <w:rPr>
          <w:szCs w:val="20"/>
          <w:lang w:eastAsia="pl-PL"/>
        </w:rPr>
        <w:t>Poprawa stanu technicznego i podwyższenie standardu użytkowania obiektów użytkowanych przez MOPS.</w:t>
      </w:r>
    </w:p>
    <w:p w:rsidR="008C7751" w:rsidRPr="00E00B35" w:rsidRDefault="008C7751" w:rsidP="00E00B35">
      <w:pPr>
        <w:spacing w:after="0" w:line="312" w:lineRule="auto"/>
        <w:contextualSpacing/>
        <w:rPr>
          <w:szCs w:val="20"/>
          <w:lang w:eastAsia="pl-PL"/>
        </w:rPr>
      </w:pPr>
    </w:p>
    <w:p w:rsidR="008C7751" w:rsidRPr="00E00B35" w:rsidRDefault="008C7751" w:rsidP="00E00B35">
      <w:pPr>
        <w:spacing w:after="0" w:line="312" w:lineRule="auto"/>
        <w:contextualSpacing/>
        <w:rPr>
          <w:szCs w:val="20"/>
        </w:rPr>
      </w:pPr>
      <w:r w:rsidRPr="00E00B35">
        <w:rPr>
          <w:szCs w:val="20"/>
        </w:rPr>
        <w:t>Poniesione w 2020 roku nakłady: 0 zł</w:t>
      </w:r>
    </w:p>
    <w:p w:rsidR="008C7751" w:rsidRPr="00E00B35" w:rsidRDefault="008C7751" w:rsidP="00E00B35">
      <w:pPr>
        <w:pStyle w:val="Tekstpodstawowy"/>
        <w:suppressAutoHyphens/>
        <w:spacing w:after="0" w:line="312" w:lineRule="auto"/>
        <w:rPr>
          <w:szCs w:val="20"/>
        </w:rPr>
      </w:pPr>
      <w:r w:rsidRPr="00E00B35">
        <w:rPr>
          <w:szCs w:val="20"/>
        </w:rPr>
        <w:t>W roku 2020 realizowano:</w:t>
      </w:r>
    </w:p>
    <w:p w:rsidR="008C7751" w:rsidRPr="00E00B35" w:rsidRDefault="008C7751" w:rsidP="00E00B35">
      <w:pPr>
        <w:pStyle w:val="Tekstpodstawowy"/>
        <w:suppressAutoHyphens/>
        <w:spacing w:after="0" w:line="312" w:lineRule="auto"/>
        <w:rPr>
          <w:szCs w:val="20"/>
        </w:rPr>
      </w:pPr>
      <w:r w:rsidRPr="00E00B35">
        <w:rPr>
          <w:szCs w:val="20"/>
        </w:rPr>
        <w:t>Opracowanie materiałów przygotowawczych, PFU, koncepcji oraz Projektu Budowlanego budowy Centrum Opiekuńczo Mieszkalnego przy ul. Morawskiej.</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Nagwek5"/>
      </w:pPr>
      <w:bookmarkStart w:id="837" w:name="_Toc60133229"/>
      <w:bookmarkStart w:id="838" w:name="_Toc62120194"/>
      <w:bookmarkStart w:id="839" w:name="_Toc66358324"/>
      <w:r w:rsidRPr="00E00B35">
        <w:t>Program Przebudowy Centrów Usług Socjalnych</w:t>
      </w:r>
      <w:bookmarkEnd w:id="837"/>
      <w:bookmarkEnd w:id="838"/>
      <w:bookmarkEnd w:id="839"/>
    </w:p>
    <w:p w:rsidR="008C7751" w:rsidRPr="00E00B35" w:rsidRDefault="008C7751" w:rsidP="00E00B35">
      <w:pPr>
        <w:pStyle w:val="Styl1NagwkiGwne"/>
        <w:spacing w:line="312" w:lineRule="auto"/>
        <w:jc w:val="left"/>
        <w:rPr>
          <w:b w:val="0"/>
        </w:rPr>
      </w:pPr>
      <w:r w:rsidRPr="00E00B35">
        <w:rPr>
          <w:b w:val="0"/>
        </w:rPr>
        <w:t>Cel zadania:</w:t>
      </w:r>
    </w:p>
    <w:p w:rsidR="008C7751" w:rsidRPr="00E00B35" w:rsidRDefault="008C7751" w:rsidP="00E00B35">
      <w:pPr>
        <w:pStyle w:val="Styl1NagwkiGwne"/>
        <w:spacing w:line="312" w:lineRule="auto"/>
        <w:jc w:val="left"/>
        <w:rPr>
          <w:b w:val="0"/>
        </w:rPr>
      </w:pPr>
      <w:r w:rsidRPr="00E00B35">
        <w:rPr>
          <w:b w:val="0"/>
        </w:rPr>
        <w:t>Poprawa stanu technicznego i podwyższenie standardu użytkowania obiektów użytkowanych przez Miejskie Centrum Usług Socjalnych.</w:t>
      </w:r>
    </w:p>
    <w:p w:rsidR="008C7751" w:rsidRPr="00E00B35" w:rsidRDefault="008C7751" w:rsidP="00E00B35">
      <w:pPr>
        <w:spacing w:after="0" w:line="312" w:lineRule="auto"/>
        <w:contextualSpacing/>
        <w:rPr>
          <w:rFonts w:eastAsia="Calibri"/>
          <w:szCs w:val="20"/>
        </w:rPr>
      </w:pPr>
    </w:p>
    <w:p w:rsidR="008C7751" w:rsidRPr="00E00B35" w:rsidRDefault="008C7751" w:rsidP="00E00B35">
      <w:pPr>
        <w:spacing w:after="0" w:line="312" w:lineRule="auto"/>
        <w:contextualSpacing/>
        <w:rPr>
          <w:szCs w:val="20"/>
        </w:rPr>
      </w:pPr>
      <w:r w:rsidRPr="00E00B35">
        <w:rPr>
          <w:rFonts w:eastAsia="Calibri"/>
          <w:szCs w:val="20"/>
        </w:rPr>
        <w:t>Poniesione w 2020 roku nakłady: 3 893,76 tys. zł.</w:t>
      </w:r>
    </w:p>
    <w:p w:rsidR="008C7751" w:rsidRPr="00E00B35" w:rsidRDefault="008C7751" w:rsidP="00E00B35">
      <w:pPr>
        <w:pStyle w:val="Styl1NagwkiGwne"/>
        <w:spacing w:line="312" w:lineRule="auto"/>
        <w:jc w:val="left"/>
        <w:rPr>
          <w:b w:val="0"/>
        </w:rPr>
      </w:pPr>
      <w:r w:rsidRPr="00E00B35">
        <w:rPr>
          <w:b w:val="0"/>
        </w:rPr>
        <w:t>W roku 2020 realizowano:</w:t>
      </w:r>
    </w:p>
    <w:p w:rsidR="008C7751" w:rsidRPr="00E00B35" w:rsidRDefault="008C7751" w:rsidP="00E00B35">
      <w:pPr>
        <w:pStyle w:val="Tekstpodstawowy"/>
        <w:numPr>
          <w:ilvl w:val="0"/>
          <w:numId w:val="98"/>
        </w:numPr>
        <w:suppressAutoHyphens/>
        <w:spacing w:after="0" w:line="312" w:lineRule="auto"/>
        <w:ind w:left="567" w:hanging="567"/>
        <w:rPr>
          <w:szCs w:val="20"/>
        </w:rPr>
      </w:pPr>
      <w:bookmarkStart w:id="840" w:name="_Hlk61866511"/>
      <w:r w:rsidRPr="00E00B35">
        <w:rPr>
          <w:szCs w:val="20"/>
        </w:rPr>
        <w:t xml:space="preserve">Przebudowa węzła żywienia w DPS przy ul. Mącznej: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przebudowa i kompleksowy remont części pomieszczeń budynku „A”, tj. węzła żywienia na kuchnię cateringową wraz z wydzieleniem z części istniejących pomieszczeń jadalni i 2 pokoi dla mieszkańców ze wspólną łazienką,</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pow. użytkowa przebudowywanych pomieszczeń: 302,53 m2,</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wymiana/remont instalacji w piwnicach budynku „A”,</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lastRenderedPageBreak/>
        <w:t>wykonanie kanalizacji sanitarnej wraz z separatorem tłuszczu.</w:t>
      </w:r>
    </w:p>
    <w:p w:rsidR="008C7751" w:rsidRPr="00E00B35" w:rsidRDefault="008C7751" w:rsidP="00E00B35">
      <w:pPr>
        <w:pStyle w:val="Tekstpodstawowy"/>
        <w:numPr>
          <w:ilvl w:val="0"/>
          <w:numId w:val="98"/>
        </w:numPr>
        <w:suppressAutoHyphens/>
        <w:spacing w:after="0" w:line="312" w:lineRule="auto"/>
        <w:rPr>
          <w:szCs w:val="20"/>
        </w:rPr>
      </w:pPr>
      <w:r w:rsidRPr="00E00B35">
        <w:rPr>
          <w:szCs w:val="20"/>
        </w:rPr>
        <w:t>Przebudowa węzła żywienia (kuchni centralnej) w DPS przy ul. Karmelkowej:</w:t>
      </w:r>
    </w:p>
    <w:bookmarkEnd w:id="840"/>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przebudowa i kompleksowy remont pomieszczeń istniejącego węzła żywienia (na parterze i w piwnicy segmentu „D” dwukondygnacyjnego budynku kuchni); w tym wykonanie robót budowlanych, wykonanie instalacji sanitarnych i wykonanie instalacji elektrycznych,</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pow. użytkowa części przebudowywanej 830,53 m2,</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wymiana/remont instalacji sterowania istniejącej bramy wjazdowej na teren DPS.</w:t>
      </w:r>
    </w:p>
    <w:p w:rsidR="008C7751" w:rsidRPr="00E00B35" w:rsidRDefault="008C7751" w:rsidP="00E00B35">
      <w:pPr>
        <w:pStyle w:val="Styl1NagwkiGwne"/>
        <w:tabs>
          <w:tab w:val="clear" w:pos="567"/>
          <w:tab w:val="left" w:pos="426"/>
        </w:tabs>
        <w:spacing w:line="312" w:lineRule="auto"/>
        <w:ind w:left="1070"/>
        <w:jc w:val="left"/>
        <w:rPr>
          <w:b w:val="0"/>
        </w:rPr>
      </w:pPr>
    </w:p>
    <w:p w:rsidR="008C7751" w:rsidRPr="00E00B35" w:rsidRDefault="008C7751" w:rsidP="00E00B35">
      <w:pPr>
        <w:pStyle w:val="Nagwek4"/>
        <w:spacing w:before="0" w:after="0" w:line="312" w:lineRule="auto"/>
        <w:rPr>
          <w:sz w:val="20"/>
          <w:szCs w:val="20"/>
        </w:rPr>
      </w:pPr>
      <w:bookmarkStart w:id="841" w:name="_Toc66358325"/>
      <w:bookmarkStart w:id="842" w:name="_Toc62120195"/>
      <w:r w:rsidRPr="00E00B35">
        <w:rPr>
          <w:sz w:val="20"/>
          <w:szCs w:val="20"/>
        </w:rPr>
        <w:t>Prace przygotowawcze i zadania towarzyszące inwestycjom infrastrukturalnym</w:t>
      </w:r>
      <w:bookmarkEnd w:id="841"/>
      <w:r w:rsidRPr="00E00B35">
        <w:rPr>
          <w:sz w:val="20"/>
          <w:szCs w:val="20"/>
        </w:rPr>
        <w:t xml:space="preserve"> </w:t>
      </w:r>
      <w:bookmarkEnd w:id="842"/>
    </w:p>
    <w:p w:rsidR="008C7751" w:rsidRPr="00E00B35" w:rsidRDefault="008C7751" w:rsidP="00E00B35">
      <w:pPr>
        <w:pStyle w:val="Styl1NagwkiGwne"/>
        <w:spacing w:line="312" w:lineRule="auto"/>
        <w:jc w:val="left"/>
        <w:rPr>
          <w:b w:val="0"/>
        </w:rPr>
      </w:pPr>
      <w:r w:rsidRPr="00E00B35">
        <w:rPr>
          <w:b w:val="0"/>
        </w:rPr>
        <w:t>Cel zadania:</w:t>
      </w:r>
    </w:p>
    <w:p w:rsidR="008C7751" w:rsidRPr="00E00B35" w:rsidRDefault="008C7751" w:rsidP="00E00B35">
      <w:pPr>
        <w:spacing w:after="0" w:line="312" w:lineRule="auto"/>
        <w:rPr>
          <w:iCs/>
          <w:szCs w:val="20"/>
        </w:rPr>
      </w:pPr>
      <w:r w:rsidRPr="00E00B35">
        <w:rPr>
          <w:iCs/>
          <w:szCs w:val="20"/>
        </w:rPr>
        <w:t xml:space="preserve">Wykonanie prac przygotowawczych i projektowych dla noworozpoczynanych zadań. </w:t>
      </w:r>
    </w:p>
    <w:p w:rsidR="008C7751" w:rsidRPr="00E00B35" w:rsidRDefault="008C7751" w:rsidP="00E00B35">
      <w:pPr>
        <w:spacing w:after="0" w:line="312" w:lineRule="auto"/>
        <w:rPr>
          <w:iCs/>
          <w:szCs w:val="20"/>
        </w:rPr>
      </w:pPr>
    </w:p>
    <w:p w:rsidR="008C7751" w:rsidRPr="00E00B35" w:rsidRDefault="008C7751" w:rsidP="00E00B35">
      <w:pPr>
        <w:spacing w:after="0" w:line="312" w:lineRule="auto"/>
        <w:rPr>
          <w:iCs/>
          <w:szCs w:val="20"/>
        </w:rPr>
      </w:pPr>
      <w:r w:rsidRPr="00E00B35">
        <w:rPr>
          <w:szCs w:val="20"/>
        </w:rPr>
        <w:t xml:space="preserve">Poniesione w 2020 roku nakłady:  </w:t>
      </w:r>
      <w:r w:rsidRPr="00E00B35">
        <w:rPr>
          <w:iCs/>
          <w:szCs w:val="20"/>
        </w:rPr>
        <w:t>1 811,72 tys. zł</w:t>
      </w:r>
    </w:p>
    <w:p w:rsidR="008C7751" w:rsidRPr="00E00B35" w:rsidRDefault="008C7751" w:rsidP="00E00B35">
      <w:pPr>
        <w:pStyle w:val="Styl1NagwkiGwne"/>
        <w:spacing w:line="312" w:lineRule="auto"/>
        <w:jc w:val="left"/>
        <w:rPr>
          <w:b w:val="0"/>
        </w:rPr>
      </w:pPr>
      <w:r w:rsidRPr="00E00B35">
        <w:rPr>
          <w:b w:val="0"/>
        </w:rPr>
        <w:t>W roku 2020 realizowano:</w:t>
      </w:r>
    </w:p>
    <w:p w:rsidR="008C7751" w:rsidRPr="00E00B35" w:rsidRDefault="008C7751" w:rsidP="00E00B35">
      <w:pPr>
        <w:pStyle w:val="Styl1NagwkiGwne"/>
        <w:spacing w:line="312" w:lineRule="auto"/>
        <w:jc w:val="left"/>
        <w:rPr>
          <w:b w:val="0"/>
        </w:rPr>
      </w:pPr>
      <w:r w:rsidRPr="00E00B35">
        <w:rPr>
          <w:b w:val="0"/>
        </w:rPr>
        <w:t>Dokumentacje projektowe, ekspertyzy i prace budowlane m. in. dla zadań:</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Pełnienie nadzoru inwestorskiego w zakresie pielęgnacji zieleni, wykonanej w ramach inwestycji pn.: „Nasadzenia drzew i krzewów w parku przy ul. Awicenny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Nadzór autorski w ramach wykonania nasadzeń na terenie Szkoły Podstawowej nr 81, Szkoły Podstawowej nr 90 i Zespołu Szkół nr 14;</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Pełnienie nadzoru inwestorskiego w zakresie zieleni, w okresie wykonywania nasadzenia drzew i krzewów oraz założenia trawników na osiedlu Gaj w rejonie ul. Kłodzkiej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Opracowanie dokumentacji projektowej remontu i przebudowy 2 i 3 piętra budynku przy ul. Semaforowej 5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Opracowanie ekspertyzy budowlano-konstrukcyjnej oraz dokumentacji geotechnicznej budynku Ośrodka Działań Społeczno-Kulturalnych PIAST przy ul. Rękodzielniczej 1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Opracowanie inwentaryzacji budowlanej, ekspertyzy technicznej oraz ekspertyzy dotyczącej stanu ochrony przeciwpożarowej budynku Strefy Kultury Wrocław IMPART przy ul. Mazowieckiej 17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Opracowanie dokumentacji projektowej remontu i przebudowy siedziby Straży Miejskiej Wrocławia przy ul. Na Grobli 14/16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Nadzór inwestorski pielęgnacji zieleni nasadzonej w ramach zagospodarowania terenów nabrzeży rzeki Oławy na odcinku od mostu Oławskiego do mostu Rakowieckiego;</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Opracowanie aktualizacji inwentaryzacji dendrologicznej dla potrzeb Liceum Ogólnokształcącego nr XIII przy ul. Haukego Bosaka 33-37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Opracowanie wniosku aplikacyjnego o dofinansowanie dla projektu o roboczym tytule „Rewaloryzacja Bastionu Sakwowego przy ul. Piotra Skargi we Wrocławiu na potrzeby prezentacji dziedzictwa kulturowego”;</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lastRenderedPageBreak/>
        <w:t>Opracowanie dokumentacji projektowej uzupełniającej dla potrzeb przebudowy budynku Ośródka Działań Społeczno - Kulturalnych PIAST przy ul. Rękodzielniczej 1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Opracowanie dokumentacji projektowej zamiennej przebudowy budynku Ośrodka Działań Społeczno - Kulturalnych PIAST wraz z zagospodarowaniem terenu przy ul. Rękodzielniczej 1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Opracowanie ekspertyzy w zakresie przeglądu stanu technicznego obiektu schroniska dla kobiet bezdomnych przy ul. Strzegomskiej 9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Opracowanie opinii technicznej warstw wykończeniowych w niecce basenu 50m przy ul. Racławickiej 62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Wykonanie robót budowlanych polegających na przebudowie istniejącej kotłowni na paliwo stałe na kotłownię gazową wraz ze wszystkimi niezbędnymi instalacjami w budynku przy ul. Tymiankowej 3 we Wrocławiu;</w:t>
      </w:r>
    </w:p>
    <w:p w:rsidR="008C7751" w:rsidRPr="00E00B35" w:rsidRDefault="008C7751" w:rsidP="00E00B35">
      <w:pPr>
        <w:pStyle w:val="Styl1NagwkiGwne"/>
        <w:numPr>
          <w:ilvl w:val="0"/>
          <w:numId w:val="99"/>
        </w:numPr>
        <w:spacing w:line="312" w:lineRule="auto"/>
        <w:ind w:left="567" w:hanging="567"/>
        <w:jc w:val="left"/>
        <w:rPr>
          <w:b w:val="0"/>
        </w:rPr>
      </w:pPr>
      <w:r w:rsidRPr="00E00B35">
        <w:rPr>
          <w:b w:val="0"/>
        </w:rPr>
        <w:t>Opłaty na podstawie decyzji – wycinka drzew w ramach prowadzonych inwestycji.</w:t>
      </w:r>
    </w:p>
    <w:p w:rsidR="008C7751" w:rsidRPr="00E00B35" w:rsidRDefault="008C7751" w:rsidP="00E00B35">
      <w:pPr>
        <w:pStyle w:val="Styl1NagwkiGwne"/>
        <w:spacing w:line="312" w:lineRule="auto"/>
        <w:ind w:left="567"/>
        <w:jc w:val="left"/>
        <w:rPr>
          <w:b w:val="0"/>
        </w:rPr>
      </w:pPr>
    </w:p>
    <w:p w:rsidR="008C7751" w:rsidRPr="00E00B35" w:rsidRDefault="008C7751" w:rsidP="00E00B35">
      <w:pPr>
        <w:pStyle w:val="Nagwek4"/>
        <w:spacing w:before="0" w:after="0" w:line="312" w:lineRule="auto"/>
        <w:rPr>
          <w:sz w:val="20"/>
          <w:szCs w:val="20"/>
        </w:rPr>
      </w:pPr>
      <w:bookmarkStart w:id="843" w:name="_Toc66358326"/>
      <w:bookmarkStart w:id="844" w:name="_Toc62120196"/>
      <w:r w:rsidRPr="00E00B35">
        <w:rPr>
          <w:sz w:val="20"/>
          <w:szCs w:val="20"/>
        </w:rPr>
        <w:t>Realizacja zadań związanych z utrzymaniem zieleni miejskiej w ramach prowadzonych inwestycji</w:t>
      </w:r>
      <w:bookmarkEnd w:id="843"/>
      <w:r w:rsidRPr="00E00B35">
        <w:rPr>
          <w:sz w:val="20"/>
          <w:szCs w:val="20"/>
        </w:rPr>
        <w:t xml:space="preserve"> </w:t>
      </w:r>
      <w:bookmarkEnd w:id="844"/>
    </w:p>
    <w:p w:rsidR="008C7751" w:rsidRPr="00E00B35" w:rsidRDefault="008C7751" w:rsidP="00E00B35">
      <w:pPr>
        <w:pStyle w:val="Styl1NagwkiGwne"/>
        <w:spacing w:line="312" w:lineRule="auto"/>
        <w:jc w:val="left"/>
        <w:rPr>
          <w:b w:val="0"/>
        </w:rPr>
      </w:pPr>
      <w:r w:rsidRPr="00E00B35">
        <w:rPr>
          <w:b w:val="0"/>
        </w:rPr>
        <w:t xml:space="preserve">Cel zadania: </w:t>
      </w:r>
    </w:p>
    <w:p w:rsidR="008C7751" w:rsidRPr="00E00B35" w:rsidRDefault="008C7751" w:rsidP="00E00B35">
      <w:pPr>
        <w:spacing w:after="0" w:line="312" w:lineRule="auto"/>
        <w:rPr>
          <w:szCs w:val="20"/>
        </w:rPr>
      </w:pPr>
      <w:r w:rsidRPr="00E00B35">
        <w:rPr>
          <w:iCs/>
          <w:szCs w:val="20"/>
        </w:rPr>
        <w:t>Realizacja zadań związanych z pielęgnacją zieleni dla inwestycji, które zostały zrealizowane w poprzednich latach przez Zarząd Inwestycji Miejskich</w:t>
      </w:r>
    </w:p>
    <w:p w:rsidR="008C7751" w:rsidRPr="00E00B35" w:rsidRDefault="008C7751" w:rsidP="00E00B35">
      <w:pPr>
        <w:spacing w:after="0" w:line="312" w:lineRule="auto"/>
        <w:rPr>
          <w:szCs w:val="20"/>
        </w:rPr>
      </w:pPr>
      <w:r w:rsidRPr="00E00B35">
        <w:rPr>
          <w:szCs w:val="20"/>
        </w:rPr>
        <w:t>Poniesione w 2020 roku nakłady: 600 tys. zł</w:t>
      </w:r>
    </w:p>
    <w:p w:rsidR="008C7751" w:rsidRPr="00E00B35" w:rsidRDefault="008C7751" w:rsidP="00E00B35">
      <w:pPr>
        <w:spacing w:after="0" w:line="312" w:lineRule="auto"/>
        <w:rPr>
          <w:szCs w:val="20"/>
        </w:rPr>
      </w:pPr>
      <w:r w:rsidRPr="00E00B35">
        <w:rPr>
          <w:szCs w:val="20"/>
        </w:rPr>
        <w:t>W roku 2020 zrealizowano:</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 parku przy ul. Awicenny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Zespołu Szkolno – Przedszkolnego wraz z zagospodarowaniem terenu przy ul. Kłodzkiej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Zespołu Szkolno – Przedszkolnego na osiedlu Stabłowice w rejonie ulic Głównej i Towarowej;</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drogi dojazdowej wraz z infrastrukturą towarzyszącą do Zespołu Szkolno – Przedszkolnego na osiedlu Stabłowice;</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i remontu budynku przy ul. Zwycięskiej 8a we Wrocławiu na potrzeby placówki przedszkolnej wraz z zagospodarowaniem terenu oraz infrastrukturą techniczną;</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chodnika w ul. Gorlickiej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drogi w ul. Jana Nikliborca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drogi w ul. M. Suskiego od ul. Jutrzenki do ul. E. i K. Maleczyńskich;</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rozbudowy, przebudowy i remontu Szkoły Podstawowej nr 9 wraz z infrastrukturą towarzyszącą przy ul. Nyskiej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drogi wraz z infrastrukturą ul. Rdestowej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lastRenderedPageBreak/>
        <w:t>Nasadzenia drzew oraz ich pielęgnacja w ul. Osobowickiej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boiska wielofunkcyjnego wraz ze skocznią w dal na terenie Szkoły Podstawowej nr 83 przy al. Boya-Żeleńskiego 32-38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zagospodarowania terenu rekreacyjnego przy ul. Pszczelarskiej 7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zagospodarowania terenu sportowo-rekreacyjnego przy ul. Cynamonowej/Tymiankowej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zagospodarowania terenu na osiedlu Gaj w rejonie ul. Kłodzkiej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remontu i przebudowy budynku przy ul. Skoczylasa 8 we Wrocławiu dla potrzeb utworzenia Dziennego Domu Pomocy oraz Klubu Integracji Społecznej;</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i rozbudowy Żłobka nr 12 wraz z infrastrukturą towarzyszącą przy ul. Jugosłowiańskiej 85a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budynku V LO wraz z kompleksem rekreacyjno - sportowym oraz zagospodarowaniem terenu przy ul. J. Kuronia 14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 xml:space="preserve">Pielęgnację zieleni wykonanej w ramach budowy hali pod samochód ciężarowy na potrzeby kształcenia praktycznego w Zespole Szkół nr 2 przy ul. Borowskiej 105 we Wrocławiu; </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drogi wraz z infrastrukturą ul. Gałczyńskiego na odcinku od ul. Grota Roweckiego do ul. Lechonia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rozbudowy i remontu budynku przy ul. Semaforowej 5 we Wrocławiu wraz z zagospodarowaniem terenu dla potrzeb utworzenia Dziennych Domów Pomocy;</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Przedszkola wraz z infrastrukturą towarzyszącą i zagospodarowaniem terenu przy ul. M. Jackowskiego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Przedszkola wraz z infrastrukturą techniczną i zagospodarowaniem terenu przy ul. gen. Leopolda Okulickiego 2a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terenu rekreacyjno-sportowego pomiędzy ul. Wacława Berenta i al. Jana Kasprowicza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rozbudowy i remontu oficyny przy ul. gen. I. Prądzyńskiego 39a we Wrocławiu wraz z zagospodarowaniem terenu oraz zagospodarowanie wnętrza podwórzowego pomiędzy ul. gen. I. Prądzyńskiego a ul. T. Kościuszki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7 – oddziałowego żłobka i Miejskiej Biblioteki Publicznej przy ul. Sygnałowej we Wrocławiu wraz z zagospodarowaniem terenu i infrastrukturą techniczną oraz wykonaniem niezbędnej infrastruktury drogowej;</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zagospodarowania terenów nabrzeży rzeki Oławy we Wrocławiu - od mostu Oławskiego do mostu Rakowieckiego;</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lastRenderedPageBreak/>
        <w:t>Pielęgnację zieleni wykonanej w ramach przebudowy drogi w ul. M. Suskiego od ul. Jutrzenki do ul. E. i K. Maleczyńskich;</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zagospodarowania terenu sportowo-rekreacyjnego przy ul. Gałowskiej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boiska wielofunkcyjnego na terenie Szkoły Podstawowej 23 przy ul. Przystankowej 32 we Wrocławiu wraz z zagospodarowaniem terenu;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drogi w ul. Blacharskiej we Wrocławiu na odcinku od pętli autobusowej do ogródków działkowych;</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Centrum Aktywności Lokalnej KSIĘŻE przy ul. Rybnickiej 39-41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drogi w ul. Kruszcowej we Wrocławiu na odcinku od ul. Jeleniogórskiej do posesji nr 36;</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placu zabaw na terenie Przedszkola 65 przy ul. Nożowniczej 35a we Wrocławiu wraz z remontem ogrodzenia i nawierzchni sięgacza;</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przebudowy drogi w ul. Wieruszowskiej we Wrocławiu na odcinku od działki KEA (nr 55 AM-22 obręb Osobowice) do ul. Ostrzeszowskiej;</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obiektów małej architektury - historycznej ścieżki zdrowia w Parku im. Jana Kasprowicza we Wrocławiu;</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Pielęgnację zieleni wykonanej w ramach budowy boisk w rejonie ul. Maślickiej i Autostradowej Obwodnicy Wrocławia;</w:t>
      </w:r>
    </w:p>
    <w:p w:rsidR="008C7751" w:rsidRPr="00E00B35" w:rsidRDefault="008C7751" w:rsidP="00E00B35">
      <w:pPr>
        <w:pStyle w:val="Styl1NagwkiGwne"/>
        <w:numPr>
          <w:ilvl w:val="0"/>
          <w:numId w:val="100"/>
        </w:numPr>
        <w:spacing w:line="312" w:lineRule="auto"/>
        <w:ind w:left="567" w:hanging="567"/>
        <w:jc w:val="left"/>
        <w:rPr>
          <w:b w:val="0"/>
        </w:rPr>
      </w:pPr>
      <w:r w:rsidRPr="00E00B35">
        <w:rPr>
          <w:b w:val="0"/>
        </w:rPr>
        <w:t>Skoszenie chwastów i samosiejek drzew na terenie parku przy ul. Awicenny we Wrocławiu.</w:t>
      </w:r>
    </w:p>
    <w:p w:rsidR="00B1753A" w:rsidRDefault="00B1753A" w:rsidP="00B1753A">
      <w:pPr>
        <w:spacing w:after="0" w:line="312" w:lineRule="auto"/>
        <w:rPr>
          <w:szCs w:val="20"/>
        </w:rPr>
      </w:pPr>
      <w:bookmarkStart w:id="845" w:name="_Toc62120197"/>
      <w:bookmarkStart w:id="846" w:name="_Toc66358327"/>
    </w:p>
    <w:p w:rsidR="008C7751" w:rsidRPr="00B1753A" w:rsidRDefault="008C7751" w:rsidP="00B1753A">
      <w:pPr>
        <w:pStyle w:val="Nagwek4"/>
        <w:spacing w:before="0" w:after="0" w:line="312" w:lineRule="auto"/>
        <w:rPr>
          <w:sz w:val="20"/>
          <w:szCs w:val="20"/>
        </w:rPr>
      </w:pPr>
      <w:r w:rsidRPr="00B1753A">
        <w:rPr>
          <w:sz w:val="20"/>
          <w:szCs w:val="20"/>
        </w:rPr>
        <w:t>Przebudowa i remont budynku przy ul. Na Grobli 14/16 na potrzeby Straży Miejskiej</w:t>
      </w:r>
      <w:bookmarkEnd w:id="845"/>
      <w:bookmarkEnd w:id="846"/>
    </w:p>
    <w:p w:rsidR="008C7751" w:rsidRPr="00E00B35" w:rsidRDefault="008C7751" w:rsidP="00E00B35">
      <w:pPr>
        <w:pStyle w:val="Styl1NagwkiGwne"/>
        <w:spacing w:line="312" w:lineRule="auto"/>
        <w:jc w:val="left"/>
        <w:rPr>
          <w:b w:val="0"/>
        </w:rPr>
      </w:pPr>
      <w:r w:rsidRPr="00E00B35">
        <w:rPr>
          <w:b w:val="0"/>
        </w:rPr>
        <w:t xml:space="preserve">Cel zadania: </w:t>
      </w:r>
    </w:p>
    <w:p w:rsidR="008C7751" w:rsidRPr="00E00B35" w:rsidRDefault="008C7751" w:rsidP="00E00B35">
      <w:pPr>
        <w:pStyle w:val="Styl1NagwkiGwne"/>
        <w:spacing w:line="312" w:lineRule="auto"/>
        <w:jc w:val="left"/>
        <w:rPr>
          <w:b w:val="0"/>
        </w:rPr>
      </w:pPr>
      <w:r w:rsidRPr="00E00B35">
        <w:rPr>
          <w:b w:val="0"/>
        </w:rPr>
        <w:t>Poprawa stanu technicznego obiektu.</w:t>
      </w:r>
    </w:p>
    <w:p w:rsidR="008C7751" w:rsidRPr="00E00B35" w:rsidRDefault="008C7751" w:rsidP="00E00B35">
      <w:pPr>
        <w:pStyle w:val="Styl1NagwkiGwne"/>
        <w:spacing w:line="312" w:lineRule="auto"/>
        <w:jc w:val="left"/>
        <w:rPr>
          <w:b w:val="0"/>
        </w:rPr>
      </w:pPr>
      <w:r w:rsidRPr="00E00B35">
        <w:rPr>
          <w:b w:val="0"/>
        </w:rPr>
        <w:t>Poniesione w 2020 roku nakłady: 500 tys. zł</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W roku 2020 realizowano:</w:t>
      </w:r>
    </w:p>
    <w:p w:rsidR="008C7751" w:rsidRPr="00E00B35" w:rsidRDefault="008C7751" w:rsidP="00E00B35">
      <w:pPr>
        <w:pStyle w:val="Styl1NagwkiGwne"/>
        <w:spacing w:line="312" w:lineRule="auto"/>
        <w:jc w:val="left"/>
        <w:rPr>
          <w:b w:val="0"/>
        </w:rPr>
      </w:pPr>
      <w:r w:rsidRPr="00E00B35">
        <w:rPr>
          <w:b w:val="0"/>
        </w:rPr>
        <w:t>Rozpoczęto przebudowę i remont budynku przy ul. Na Grobli 14/16 na potrzeby Straży Miejskiej w szczególności:</w:t>
      </w:r>
    </w:p>
    <w:p w:rsidR="008C7751" w:rsidRPr="00E00B35" w:rsidRDefault="008C7751" w:rsidP="00E00B35">
      <w:pPr>
        <w:pStyle w:val="Styl1NagwkiGwne"/>
        <w:numPr>
          <w:ilvl w:val="0"/>
          <w:numId w:val="101"/>
        </w:numPr>
        <w:spacing w:line="312" w:lineRule="auto"/>
        <w:ind w:left="567" w:hanging="567"/>
        <w:jc w:val="left"/>
        <w:rPr>
          <w:b w:val="0"/>
        </w:rPr>
      </w:pPr>
      <w:r w:rsidRPr="00E00B35">
        <w:rPr>
          <w:b w:val="0"/>
        </w:rPr>
        <w:t>Kompleksową przebudowę budynku na kondygnacji: przyziemie, +1 i +4;</w:t>
      </w:r>
    </w:p>
    <w:p w:rsidR="008C7751" w:rsidRPr="00E00B35" w:rsidRDefault="008C7751" w:rsidP="00E00B35">
      <w:pPr>
        <w:pStyle w:val="Styl1NagwkiGwne"/>
        <w:numPr>
          <w:ilvl w:val="0"/>
          <w:numId w:val="101"/>
        </w:numPr>
        <w:spacing w:line="312" w:lineRule="auto"/>
        <w:ind w:left="567" w:hanging="567"/>
        <w:jc w:val="left"/>
        <w:rPr>
          <w:b w:val="0"/>
        </w:rPr>
      </w:pPr>
      <w:r w:rsidRPr="00E00B35">
        <w:rPr>
          <w:b w:val="0"/>
        </w:rPr>
        <w:t>Częściowy remont na kondygnacjach +2 i +3, w zakresie:</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wykonania wentylacji mechanicznej,</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wykonania sieci komputerowej LAN kat. 7,</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wykonania toalet dla niepełnosprawnych,</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remontu istniejących toalet,</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wymiany posadzek,</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dostosowania do przepisów ppoż., w tym zabezpieczenie ognioochronne konstrukcji,</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lastRenderedPageBreak/>
        <w:t>wykonania sufitów podwieszanych, malowania pomieszczeń,</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dostosowanie pomieszczeń na kondygnacji +5 do potrzeb technicznych (rozbiórki, roboty konstrukcyjne, nowe ściany, stolarka drzwiowa),</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zagospodarowanie terenu z sieciami i przyłączami.</w:t>
      </w:r>
    </w:p>
    <w:p w:rsidR="008C7751" w:rsidRPr="00E00B35" w:rsidRDefault="008C7751" w:rsidP="00E00B35">
      <w:pPr>
        <w:pStyle w:val="Styl1NagwkiGwne"/>
        <w:tabs>
          <w:tab w:val="clear" w:pos="567"/>
          <w:tab w:val="left" w:pos="426"/>
        </w:tabs>
        <w:spacing w:line="312" w:lineRule="auto"/>
        <w:ind w:left="1070"/>
        <w:jc w:val="left"/>
        <w:rPr>
          <w:b w:val="0"/>
        </w:rPr>
      </w:pPr>
    </w:p>
    <w:p w:rsidR="008C7751" w:rsidRPr="00E00B35" w:rsidRDefault="008C7751" w:rsidP="00E00B35">
      <w:pPr>
        <w:pStyle w:val="Nagwek4"/>
        <w:spacing w:before="0" w:after="0" w:line="312" w:lineRule="auto"/>
        <w:rPr>
          <w:sz w:val="20"/>
          <w:szCs w:val="20"/>
        </w:rPr>
      </w:pPr>
      <w:bookmarkStart w:id="847" w:name="_Toc62120198"/>
      <w:bookmarkStart w:id="848" w:name="_Toc66358328"/>
      <w:r w:rsidRPr="00E00B35">
        <w:rPr>
          <w:sz w:val="20"/>
          <w:szCs w:val="20"/>
        </w:rPr>
        <w:t>Rozbudowa, przebudowa i remont willi przy ul. Krzyckiej 29 we Wrocławiu z zagospodarowaniem terenu i infrastrukturą techniczną</w:t>
      </w:r>
      <w:bookmarkEnd w:id="847"/>
      <w:bookmarkEnd w:id="848"/>
    </w:p>
    <w:p w:rsidR="008C7751" w:rsidRPr="00E00B35" w:rsidRDefault="008C7751" w:rsidP="00E00B35">
      <w:pPr>
        <w:pStyle w:val="Styl1NagwkiGwne"/>
        <w:spacing w:line="312" w:lineRule="auto"/>
        <w:jc w:val="left"/>
        <w:rPr>
          <w:b w:val="0"/>
        </w:rPr>
      </w:pPr>
      <w:r w:rsidRPr="00E00B35">
        <w:rPr>
          <w:b w:val="0"/>
        </w:rPr>
        <w:t>Cel zadania:</w:t>
      </w:r>
    </w:p>
    <w:p w:rsidR="008C7751" w:rsidRPr="00E00B35" w:rsidRDefault="008C7751" w:rsidP="00E00B35">
      <w:pPr>
        <w:pStyle w:val="Styl1NagwkiGwne"/>
        <w:spacing w:line="312" w:lineRule="auto"/>
        <w:jc w:val="left"/>
        <w:rPr>
          <w:b w:val="0"/>
        </w:rPr>
      </w:pPr>
      <w:r w:rsidRPr="00E00B35">
        <w:rPr>
          <w:b w:val="0"/>
        </w:rPr>
        <w:t>Poprawa stanu technicznego lokalu</w:t>
      </w:r>
    </w:p>
    <w:p w:rsidR="008C7751" w:rsidRPr="00E00B35" w:rsidRDefault="008C7751" w:rsidP="00E00B35">
      <w:pPr>
        <w:pStyle w:val="Styl1NagwkiGwne"/>
        <w:spacing w:line="312" w:lineRule="auto"/>
        <w:jc w:val="left"/>
        <w:rPr>
          <w:b w:val="0"/>
        </w:rPr>
      </w:pPr>
      <w:r w:rsidRPr="00E00B35">
        <w:rPr>
          <w:b w:val="0"/>
        </w:rPr>
        <w:t>Poniesione w 2020 roku nakłady: 151,29 tys. zł</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W roku 2020 realizowano:</w:t>
      </w:r>
    </w:p>
    <w:p w:rsidR="008C7751" w:rsidRPr="00E00B35" w:rsidRDefault="008C7751" w:rsidP="00E00B35">
      <w:pPr>
        <w:pStyle w:val="Styl1NagwkiGwne"/>
        <w:spacing w:line="312" w:lineRule="auto"/>
        <w:jc w:val="left"/>
        <w:rPr>
          <w:b w:val="0"/>
        </w:rPr>
      </w:pPr>
      <w:r w:rsidRPr="00E00B35">
        <w:rPr>
          <w:b w:val="0"/>
        </w:rPr>
        <w:t>Rozpoczęto rozbudowę, przebudowę i remont willi przy ul. Krzyckiej 29 we Wrocławiu dla potrzeb nowych funkcji z dostosowaniem budynku i przyległego terenu dla potrzeb osób z niepełnosprawnościami, w szczególności:</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 xml:space="preserve">Wyburzenie istniejącego tarasu i pomieszczeń pod nim na kond.-1; </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Rozbudowę o „oranżerię” w miejscu wyburzonego tarasu;</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Przebudowę piwnicy na kawiarnię-restaurację obejmująca 2 sale konsumpcyjne w tym „oranżerię” oraz kuchnię ze zmywalnią;</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Przebudowę parteru na sekretariat, sala spotkań i aneks kuchenny;</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Przebudowę I piętra na gabinet oraz 2 pokoje gościnne;</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Przebudowę II piętra na pomieszczenie biurowe z antresolą;</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 xml:space="preserve">Budowę windy obsługującej wszystkie kondygnacje, dostępnej z poziomu terenu, </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Wykonanie toalet na każdej kondygnacji;</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Wykonanie dojścia dla osób poruszających się na wózkach oraz miejsce postojowe dla osoby niepełnosprawnej;</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 xml:space="preserve">Remont istniejącego garażu w zakresie niezbędnym do dalszej adaptacji przez użytkownika, w tym: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renowacja elewacji budynku, w tym osuszenie ścian, obróbki blacharskie, orynnowanie oraz ślusarka i stolarka okienna i drzwiowa,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więźby dachowej i pokrycie dachów z blachy i papy,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izolacji przeciwwodnej, przeciwwilgociowej, cieplnej, wiatroizolacji oraz paroizolacji,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posadzki betonowej na gruncie, sufitów oraz tynków wewnętrznych,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doprowadzenie instalacji.</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Wyburzenie altany i szklarni;</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Zagospodarowanie terenu wraz z infrastrukturą techniczną, w tym:</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budowa zewnętrznych przyłączy i instalacji dla potrzeb funkcjonowania obiektu,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wjazdu, ciągu pieszo-jezdnego, chodników, ścieżek, placyków, parkingu dla rowerów, miejsca parkingowego dla osób z niepełnosprawnościami, podjazdu dla osób z niepełnosprawnościami i tarasów,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schodów terenowych, murków oporowych z koszy gabionowych wypełnionych odpadowym granitem i dachówkami z rozbiórki,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lastRenderedPageBreak/>
        <w:t xml:space="preserve">wykonanie konstrukcji pod osłonę z pnączy z furtką (śmietnik),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remont istniejącego ogrodzenia wraz z częściową wymianą na nowe z bramą składaną otwieraną automatycznie (w miejscu istniejącej) i furtką wraz z panelem ze skrzynką na listy, wideofon i numer porządkowy,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wykonanie elementów małej architektury oraz wyposażenia, w tym stojaki na rowery, ławki, wolnostojące zbiorniki na deszczówkę oraz wycieraczka żeliwna zlicowana z powierzchnia płyt tarasowych, </w:t>
      </w:r>
    </w:p>
    <w:p w:rsidR="008C7751" w:rsidRPr="00E00B35" w:rsidRDefault="008C7751" w:rsidP="00BC64AB">
      <w:pPr>
        <w:pStyle w:val="Styl1NagwkiGwne"/>
        <w:numPr>
          <w:ilvl w:val="0"/>
          <w:numId w:val="236"/>
        </w:numPr>
        <w:tabs>
          <w:tab w:val="clear" w:pos="567"/>
          <w:tab w:val="left" w:pos="993"/>
        </w:tabs>
        <w:spacing w:line="312" w:lineRule="auto"/>
        <w:ind w:left="993" w:hanging="426"/>
        <w:jc w:val="left"/>
        <w:rPr>
          <w:b w:val="0"/>
        </w:rPr>
      </w:pPr>
      <w:r w:rsidRPr="00E00B35">
        <w:rPr>
          <w:b w:val="0"/>
        </w:rPr>
        <w:t xml:space="preserve">uzupełnienie ziemi urodzajnej pod trawniki i trawniki wzmocnione. </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 xml:space="preserve">Zakup i montaż wyposażenia obiektu; </w:t>
      </w:r>
    </w:p>
    <w:p w:rsidR="008C7751" w:rsidRPr="00E00B35" w:rsidRDefault="008C7751" w:rsidP="00E00B35">
      <w:pPr>
        <w:pStyle w:val="Styl1NagwkiGwne"/>
        <w:numPr>
          <w:ilvl w:val="0"/>
          <w:numId w:val="102"/>
        </w:numPr>
        <w:spacing w:line="312" w:lineRule="auto"/>
        <w:ind w:left="567" w:hanging="567"/>
        <w:jc w:val="left"/>
        <w:rPr>
          <w:b w:val="0"/>
        </w:rPr>
      </w:pPr>
      <w:r w:rsidRPr="00E00B35">
        <w:rPr>
          <w:b w:val="0"/>
        </w:rPr>
        <w:t>Renowację mebli istniejących w obiekcie.</w:t>
      </w:r>
    </w:p>
    <w:p w:rsidR="008C7751" w:rsidRPr="00E00B35" w:rsidRDefault="008C7751" w:rsidP="00E00B35">
      <w:pPr>
        <w:pStyle w:val="Styl1NagwkiGwne"/>
        <w:spacing w:line="312" w:lineRule="auto"/>
        <w:ind w:left="567"/>
        <w:jc w:val="left"/>
        <w:rPr>
          <w:b w:val="0"/>
        </w:rPr>
      </w:pPr>
    </w:p>
    <w:p w:rsidR="008C7751" w:rsidRPr="00E00B35" w:rsidRDefault="008C7751" w:rsidP="00E00B35">
      <w:pPr>
        <w:pStyle w:val="Nagwek4"/>
        <w:spacing w:before="0" w:after="0" w:line="312" w:lineRule="auto"/>
        <w:rPr>
          <w:sz w:val="20"/>
          <w:szCs w:val="20"/>
        </w:rPr>
      </w:pPr>
      <w:bookmarkStart w:id="849" w:name="_Toc62120199"/>
      <w:bookmarkStart w:id="850" w:name="_Toc66358329"/>
      <w:r w:rsidRPr="00E00B35">
        <w:rPr>
          <w:sz w:val="20"/>
          <w:szCs w:val="20"/>
        </w:rPr>
        <w:t>Budowa skateparku na skwerze pomiędzy ul. Ślężną a ul. Borowską wraz z zagospodarowaniem terenu</w:t>
      </w:r>
      <w:bookmarkEnd w:id="849"/>
      <w:bookmarkEnd w:id="850"/>
    </w:p>
    <w:p w:rsidR="008C7751" w:rsidRPr="00E00B35" w:rsidRDefault="008C7751" w:rsidP="00E00B35">
      <w:pPr>
        <w:pStyle w:val="Styl1NagwkiGwne"/>
        <w:spacing w:line="312" w:lineRule="auto"/>
        <w:jc w:val="left"/>
        <w:rPr>
          <w:b w:val="0"/>
        </w:rPr>
      </w:pPr>
      <w:r w:rsidRPr="00E00B35">
        <w:rPr>
          <w:b w:val="0"/>
        </w:rPr>
        <w:t>Cel zadania:</w:t>
      </w:r>
    </w:p>
    <w:p w:rsidR="008C7751" w:rsidRPr="00E00B35" w:rsidRDefault="008C7751" w:rsidP="00E00B35">
      <w:pPr>
        <w:pStyle w:val="Styl1NagwkiGwne"/>
        <w:spacing w:line="312" w:lineRule="auto"/>
        <w:jc w:val="left"/>
        <w:rPr>
          <w:b w:val="0"/>
        </w:rPr>
      </w:pPr>
      <w:r w:rsidRPr="00E00B35">
        <w:rPr>
          <w:b w:val="0"/>
        </w:rPr>
        <w:t>Rozwój sportu i rekreacji.</w:t>
      </w:r>
    </w:p>
    <w:p w:rsidR="008C7751" w:rsidRPr="00E00B35" w:rsidRDefault="008C7751" w:rsidP="00E00B35">
      <w:pPr>
        <w:pStyle w:val="Styl1NagwkiGwne"/>
        <w:spacing w:line="312" w:lineRule="auto"/>
        <w:jc w:val="left"/>
        <w:rPr>
          <w:b w:val="0"/>
        </w:rPr>
      </w:pPr>
      <w:r w:rsidRPr="00E00B35">
        <w:rPr>
          <w:b w:val="0"/>
        </w:rPr>
        <w:t>Poniesione w 2020 roku nakłady: 48,62 tys. zł</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W roku 2020 realizowano:</w:t>
      </w:r>
    </w:p>
    <w:p w:rsidR="008C7751" w:rsidRPr="00E00B35" w:rsidRDefault="008C7751" w:rsidP="00E00B35">
      <w:pPr>
        <w:pStyle w:val="Styl1NagwkiGwne"/>
        <w:numPr>
          <w:ilvl w:val="0"/>
          <w:numId w:val="103"/>
        </w:numPr>
        <w:spacing w:line="312" w:lineRule="auto"/>
        <w:ind w:left="567" w:hanging="567"/>
        <w:jc w:val="left"/>
        <w:rPr>
          <w:b w:val="0"/>
        </w:rPr>
      </w:pPr>
      <w:r w:rsidRPr="00E00B35">
        <w:rPr>
          <w:b w:val="0"/>
        </w:rPr>
        <w:t>Opracowano Program Funkcjonalno – Użytkowy oraz koncepcję zagospodarowania terenu i wód opadowych dla realizacji budowy skateparku i boiska na terenie zielonym u zbiegu ulic Ślężnej i Borowskiej we Wrocławiu, wraz z infrastrukturą towarzyszącą;</w:t>
      </w:r>
    </w:p>
    <w:p w:rsidR="008C7751" w:rsidRPr="00E00B35" w:rsidRDefault="008C7751" w:rsidP="00E00B35">
      <w:pPr>
        <w:pStyle w:val="Styl1NagwkiGwne"/>
        <w:numPr>
          <w:ilvl w:val="0"/>
          <w:numId w:val="103"/>
        </w:numPr>
        <w:spacing w:line="312" w:lineRule="auto"/>
        <w:ind w:left="567" w:hanging="567"/>
        <w:jc w:val="left"/>
        <w:rPr>
          <w:b w:val="0"/>
        </w:rPr>
      </w:pPr>
      <w:r w:rsidRPr="00E00B35">
        <w:rPr>
          <w:b w:val="0"/>
        </w:rPr>
        <w:t>Przeprowadzono procedurę przetargową na wybór wykonawcy budowy skateparku i boiska u zbiegu ulic Ślężnej i Borowskiej we Wrocławiu (zaprojektowanie i wykonanie robót budowlanych).</w:t>
      </w:r>
    </w:p>
    <w:p w:rsidR="008C7751" w:rsidRPr="00E00B35" w:rsidRDefault="008C7751" w:rsidP="00E00B35">
      <w:pPr>
        <w:pStyle w:val="Styl1NagwkiGwne"/>
        <w:spacing w:line="312" w:lineRule="auto"/>
        <w:ind w:left="567"/>
        <w:jc w:val="left"/>
        <w:rPr>
          <w:b w:val="0"/>
        </w:rPr>
      </w:pPr>
    </w:p>
    <w:p w:rsidR="008C7751" w:rsidRPr="00E00B35" w:rsidRDefault="008C7751" w:rsidP="00E00B35">
      <w:pPr>
        <w:pStyle w:val="Nagwek4"/>
        <w:spacing w:before="0" w:after="0" w:line="312" w:lineRule="auto"/>
        <w:rPr>
          <w:sz w:val="20"/>
          <w:szCs w:val="20"/>
        </w:rPr>
      </w:pPr>
      <w:bookmarkStart w:id="851" w:name="_Toc62120200"/>
      <w:bookmarkStart w:id="852" w:name="_Toc66358330"/>
      <w:r w:rsidRPr="00E00B35">
        <w:rPr>
          <w:sz w:val="20"/>
          <w:szCs w:val="20"/>
        </w:rPr>
        <w:t>Dostawa i montaż stacji wody pitnej w placówkach oświatowych we Wrocławiu</w:t>
      </w:r>
      <w:bookmarkEnd w:id="851"/>
      <w:bookmarkEnd w:id="852"/>
    </w:p>
    <w:p w:rsidR="008C7751" w:rsidRPr="00E00B35" w:rsidRDefault="008C7751" w:rsidP="00E00B35">
      <w:pPr>
        <w:pStyle w:val="Styl1NagwkiGwne"/>
        <w:spacing w:line="312" w:lineRule="auto"/>
        <w:jc w:val="left"/>
        <w:rPr>
          <w:b w:val="0"/>
        </w:rPr>
      </w:pPr>
      <w:r w:rsidRPr="00E00B35">
        <w:rPr>
          <w:b w:val="0"/>
        </w:rPr>
        <w:t xml:space="preserve">Cel zadania: </w:t>
      </w:r>
    </w:p>
    <w:p w:rsidR="008C7751" w:rsidRPr="00E00B35" w:rsidRDefault="008C7751" w:rsidP="00E00B35">
      <w:pPr>
        <w:pStyle w:val="Styl1NagwkiGwne"/>
        <w:spacing w:line="312" w:lineRule="auto"/>
        <w:jc w:val="left"/>
        <w:rPr>
          <w:b w:val="0"/>
        </w:rPr>
      </w:pPr>
      <w:r w:rsidRPr="00E00B35">
        <w:rPr>
          <w:b w:val="0"/>
        </w:rPr>
        <w:t>Zmniejszenie uciążliwości środowiskowych</w:t>
      </w:r>
    </w:p>
    <w:p w:rsidR="008C7751" w:rsidRPr="00E00B35" w:rsidRDefault="008C7751" w:rsidP="00E00B35">
      <w:pPr>
        <w:pStyle w:val="Styl1NagwkiGwne"/>
        <w:spacing w:line="312" w:lineRule="auto"/>
        <w:jc w:val="left"/>
        <w:rPr>
          <w:b w:val="0"/>
        </w:rPr>
      </w:pPr>
      <w:r w:rsidRPr="00E00B35">
        <w:rPr>
          <w:b w:val="0"/>
        </w:rPr>
        <w:t>Poniesione w 2020 roku nakłady: 95,32 tys. zł</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W roku 2020 zrealizowano:</w:t>
      </w:r>
    </w:p>
    <w:p w:rsidR="008C7751" w:rsidRPr="00E00B35" w:rsidRDefault="008C7751" w:rsidP="00E00B35">
      <w:pPr>
        <w:pStyle w:val="Styl1NagwkiGwne"/>
        <w:spacing w:line="312" w:lineRule="auto"/>
        <w:jc w:val="left"/>
        <w:rPr>
          <w:b w:val="0"/>
        </w:rPr>
      </w:pPr>
      <w:r w:rsidRPr="00E00B35">
        <w:rPr>
          <w:b w:val="0"/>
        </w:rPr>
        <w:t>Zadanie polegające na dostawie i montażu stacji wody pitnej, tzw. poidełek, zdrojów, w jedenastu placówkach oświatowych:</w:t>
      </w:r>
    </w:p>
    <w:p w:rsidR="008C7751" w:rsidRPr="00E00B35" w:rsidRDefault="008C7751" w:rsidP="00E00B35">
      <w:pPr>
        <w:pStyle w:val="Styl1NagwkiGwne"/>
        <w:numPr>
          <w:ilvl w:val="0"/>
          <w:numId w:val="104"/>
        </w:numPr>
        <w:spacing w:line="312" w:lineRule="auto"/>
        <w:ind w:left="567" w:hanging="567"/>
        <w:jc w:val="left"/>
        <w:rPr>
          <w:b w:val="0"/>
        </w:rPr>
      </w:pPr>
      <w:r w:rsidRPr="00E00B35">
        <w:rPr>
          <w:b w:val="0"/>
        </w:rPr>
        <w:t>Centrum Kształcenia Ustawicznego przy ul. Strzegomskiej;</w:t>
      </w:r>
    </w:p>
    <w:p w:rsidR="008C7751" w:rsidRPr="00E00B35" w:rsidRDefault="008C7751" w:rsidP="00E00B35">
      <w:pPr>
        <w:pStyle w:val="Styl1NagwkiGwne"/>
        <w:numPr>
          <w:ilvl w:val="0"/>
          <w:numId w:val="104"/>
        </w:numPr>
        <w:spacing w:line="312" w:lineRule="auto"/>
        <w:ind w:left="567" w:hanging="567"/>
        <w:jc w:val="left"/>
        <w:rPr>
          <w:b w:val="0"/>
        </w:rPr>
      </w:pPr>
      <w:r w:rsidRPr="00E00B35">
        <w:rPr>
          <w:b w:val="0"/>
        </w:rPr>
        <w:t>Liceum Ogólnokształcące nr X przy ul. Pieszej;</w:t>
      </w:r>
    </w:p>
    <w:p w:rsidR="008C7751" w:rsidRPr="00E00B35" w:rsidRDefault="008C7751" w:rsidP="00E00B35">
      <w:pPr>
        <w:pStyle w:val="Styl1NagwkiGwne"/>
        <w:numPr>
          <w:ilvl w:val="0"/>
          <w:numId w:val="104"/>
        </w:numPr>
        <w:spacing w:line="312" w:lineRule="auto"/>
        <w:ind w:left="567" w:hanging="567"/>
        <w:jc w:val="left"/>
        <w:rPr>
          <w:b w:val="0"/>
        </w:rPr>
      </w:pPr>
      <w:r w:rsidRPr="00E00B35">
        <w:rPr>
          <w:b w:val="0"/>
        </w:rPr>
        <w:t>Szkoła Podstawowa nr 22 (ZSP-20) przy ul. Karpnickiej;</w:t>
      </w:r>
    </w:p>
    <w:p w:rsidR="008C7751" w:rsidRPr="00E00B35" w:rsidRDefault="008C7751" w:rsidP="00E00B35">
      <w:pPr>
        <w:pStyle w:val="Styl1NagwkiGwne"/>
        <w:numPr>
          <w:ilvl w:val="0"/>
          <w:numId w:val="104"/>
        </w:numPr>
        <w:spacing w:line="312" w:lineRule="auto"/>
        <w:ind w:left="567" w:hanging="567"/>
        <w:jc w:val="left"/>
        <w:rPr>
          <w:b w:val="0"/>
        </w:rPr>
      </w:pPr>
      <w:r w:rsidRPr="00E00B35">
        <w:rPr>
          <w:b w:val="0"/>
        </w:rPr>
        <w:t xml:space="preserve">Szkoła Podstawowa nr 34 (ZSP-6) przy ul. Gałczyńskiego; </w:t>
      </w:r>
    </w:p>
    <w:p w:rsidR="008C7751" w:rsidRPr="00E00B35" w:rsidRDefault="008C7751" w:rsidP="00E00B35">
      <w:pPr>
        <w:pStyle w:val="Styl1NagwkiGwne"/>
        <w:numPr>
          <w:ilvl w:val="0"/>
          <w:numId w:val="104"/>
        </w:numPr>
        <w:spacing w:line="312" w:lineRule="auto"/>
        <w:ind w:left="567" w:hanging="567"/>
        <w:jc w:val="left"/>
        <w:rPr>
          <w:b w:val="0"/>
        </w:rPr>
      </w:pPr>
      <w:r w:rsidRPr="00E00B35">
        <w:rPr>
          <w:b w:val="0"/>
        </w:rPr>
        <w:t>Szkoła Podstawowa nr 72 przy ul. Trwałej;</w:t>
      </w:r>
    </w:p>
    <w:p w:rsidR="008C7751" w:rsidRPr="00E00B35" w:rsidRDefault="008C7751" w:rsidP="00E00B35">
      <w:pPr>
        <w:pStyle w:val="Styl1NagwkiGwne"/>
        <w:numPr>
          <w:ilvl w:val="0"/>
          <w:numId w:val="104"/>
        </w:numPr>
        <w:spacing w:line="312" w:lineRule="auto"/>
        <w:ind w:left="567" w:hanging="567"/>
        <w:jc w:val="left"/>
        <w:rPr>
          <w:b w:val="0"/>
        </w:rPr>
      </w:pPr>
      <w:r w:rsidRPr="00E00B35">
        <w:rPr>
          <w:b w:val="0"/>
        </w:rPr>
        <w:t>Szkoła Podstawowa nr 76 przy ul. Wandy;</w:t>
      </w:r>
    </w:p>
    <w:p w:rsidR="008C7751" w:rsidRPr="00E00B35" w:rsidRDefault="008C7751" w:rsidP="00E00B35">
      <w:pPr>
        <w:pStyle w:val="Styl1NagwkiGwne"/>
        <w:numPr>
          <w:ilvl w:val="0"/>
          <w:numId w:val="104"/>
        </w:numPr>
        <w:spacing w:line="312" w:lineRule="auto"/>
        <w:ind w:left="567" w:hanging="567"/>
        <w:jc w:val="left"/>
        <w:rPr>
          <w:b w:val="0"/>
        </w:rPr>
      </w:pPr>
      <w:r w:rsidRPr="00E00B35">
        <w:rPr>
          <w:b w:val="0"/>
        </w:rPr>
        <w:t>Szkoła Podstawowa nr 83 przy ul. Boya-Żeleńskiego;</w:t>
      </w:r>
    </w:p>
    <w:p w:rsidR="008C7751" w:rsidRPr="00E00B35" w:rsidRDefault="008C7751" w:rsidP="00E00B35">
      <w:pPr>
        <w:pStyle w:val="Styl1NagwkiGwne"/>
        <w:numPr>
          <w:ilvl w:val="0"/>
          <w:numId w:val="104"/>
        </w:numPr>
        <w:spacing w:line="312" w:lineRule="auto"/>
        <w:ind w:left="567" w:hanging="567"/>
        <w:jc w:val="left"/>
        <w:rPr>
          <w:b w:val="0"/>
        </w:rPr>
      </w:pPr>
      <w:r w:rsidRPr="00E00B35">
        <w:rPr>
          <w:b w:val="0"/>
        </w:rPr>
        <w:t>Technikum nr 7 (ZSTiE) przy ul. Haukego-Bosaka;</w:t>
      </w:r>
    </w:p>
    <w:p w:rsidR="008C7751" w:rsidRPr="00E00B35" w:rsidRDefault="008C7751" w:rsidP="00E00B35">
      <w:pPr>
        <w:pStyle w:val="Styl1NagwkiGwne"/>
        <w:numPr>
          <w:ilvl w:val="0"/>
          <w:numId w:val="104"/>
        </w:numPr>
        <w:spacing w:line="312" w:lineRule="auto"/>
        <w:ind w:left="567" w:hanging="567"/>
        <w:jc w:val="left"/>
        <w:rPr>
          <w:b w:val="0"/>
        </w:rPr>
      </w:pPr>
      <w:r w:rsidRPr="00E00B35">
        <w:rPr>
          <w:b w:val="0"/>
        </w:rPr>
        <w:t>Technikum nr 9 (ZSG) przy ul. Kamiennej;</w:t>
      </w:r>
    </w:p>
    <w:p w:rsidR="008C7751" w:rsidRPr="00E00B35" w:rsidRDefault="008C7751" w:rsidP="00E00B35">
      <w:pPr>
        <w:pStyle w:val="Styl1NagwkiGwne"/>
        <w:numPr>
          <w:ilvl w:val="0"/>
          <w:numId w:val="104"/>
        </w:numPr>
        <w:spacing w:line="312" w:lineRule="auto"/>
        <w:ind w:left="567" w:hanging="567"/>
        <w:jc w:val="left"/>
        <w:rPr>
          <w:b w:val="0"/>
        </w:rPr>
      </w:pPr>
      <w:r w:rsidRPr="00E00B35">
        <w:rPr>
          <w:b w:val="0"/>
        </w:rPr>
        <w:t>Technikum nr 10 (EZN) przy ul. Braniborskiej;</w:t>
      </w:r>
    </w:p>
    <w:p w:rsidR="008C7751" w:rsidRPr="00E00B35" w:rsidRDefault="008C7751" w:rsidP="00E00B35">
      <w:pPr>
        <w:pStyle w:val="Styl1NagwkiGwne"/>
        <w:numPr>
          <w:ilvl w:val="0"/>
          <w:numId w:val="104"/>
        </w:numPr>
        <w:spacing w:line="312" w:lineRule="auto"/>
        <w:ind w:left="567" w:hanging="567"/>
        <w:jc w:val="left"/>
        <w:rPr>
          <w:b w:val="0"/>
        </w:rPr>
      </w:pPr>
      <w:r w:rsidRPr="00E00B35">
        <w:rPr>
          <w:b w:val="0"/>
        </w:rPr>
        <w:lastRenderedPageBreak/>
        <w:t>Zespół Szkół Zawodowych nr 5 przy ul. Dawida.</w:t>
      </w:r>
    </w:p>
    <w:p w:rsidR="008C7751" w:rsidRPr="00E00B35" w:rsidRDefault="008C7751" w:rsidP="00E00B35">
      <w:pPr>
        <w:pStyle w:val="Styl1NagwkiGwne"/>
        <w:spacing w:line="312" w:lineRule="auto"/>
        <w:ind w:left="567"/>
        <w:jc w:val="left"/>
        <w:rPr>
          <w:b w:val="0"/>
        </w:rPr>
      </w:pPr>
    </w:p>
    <w:p w:rsidR="008C7751" w:rsidRPr="00E00B35" w:rsidRDefault="008C7751" w:rsidP="00E00B35">
      <w:pPr>
        <w:pStyle w:val="Nagwek4"/>
        <w:spacing w:before="0" w:after="0" w:line="312" w:lineRule="auto"/>
        <w:rPr>
          <w:sz w:val="20"/>
          <w:szCs w:val="20"/>
        </w:rPr>
      </w:pPr>
      <w:bookmarkStart w:id="853" w:name="_Toc66358331"/>
      <w:r w:rsidRPr="00E00B35">
        <w:rPr>
          <w:sz w:val="20"/>
          <w:szCs w:val="20"/>
        </w:rPr>
        <w:t>Budowa i przebudowa oświetlenia ulic oraz miejsc niebezpiecznych</w:t>
      </w:r>
      <w:bookmarkEnd w:id="853"/>
    </w:p>
    <w:p w:rsidR="008C7751" w:rsidRPr="00E00B35" w:rsidRDefault="008C7751" w:rsidP="00E00B35">
      <w:pPr>
        <w:pStyle w:val="Tekstpodstawowy"/>
        <w:suppressAutoHyphens/>
        <w:spacing w:after="0" w:line="312" w:lineRule="auto"/>
        <w:rPr>
          <w:szCs w:val="20"/>
        </w:rPr>
      </w:pPr>
      <w:r w:rsidRPr="00E00B35">
        <w:rPr>
          <w:szCs w:val="20"/>
        </w:rPr>
        <w:t>Cel programu:</w:t>
      </w:r>
    </w:p>
    <w:p w:rsidR="008C7751" w:rsidRPr="00E00B35" w:rsidRDefault="008C7751" w:rsidP="00E00B35">
      <w:pPr>
        <w:pStyle w:val="Tekstpodstawowy"/>
        <w:suppressAutoHyphens/>
        <w:spacing w:after="0" w:line="312" w:lineRule="auto"/>
        <w:rPr>
          <w:szCs w:val="20"/>
        </w:rPr>
      </w:pPr>
      <w:r w:rsidRPr="00E00B35">
        <w:rPr>
          <w:szCs w:val="20"/>
        </w:rPr>
        <w:t>Zapewnienie bezpieczeństwa wszystkich użytkowników ruchu, ze szczególnym uwzględnieniem pieszych.</w:t>
      </w:r>
    </w:p>
    <w:p w:rsidR="008C7751" w:rsidRPr="00E00B35" w:rsidRDefault="008C7751" w:rsidP="00E00B35">
      <w:pPr>
        <w:pStyle w:val="Tekstpodstawowy"/>
        <w:suppressAutoHyphens/>
        <w:spacing w:after="0" w:line="312" w:lineRule="auto"/>
        <w:rPr>
          <w:szCs w:val="20"/>
        </w:rPr>
      </w:pPr>
      <w:r w:rsidRPr="00E00B35">
        <w:rPr>
          <w:rFonts w:eastAsiaTheme="majorEastAsia" w:cstheme="majorBidi"/>
          <w:bCs/>
          <w:szCs w:val="20"/>
        </w:rPr>
        <w:t>Poniesione w 2020 roku nakłady:</w:t>
      </w:r>
      <w:r w:rsidRPr="00E00B35">
        <w:rPr>
          <w:szCs w:val="20"/>
        </w:rPr>
        <w:t xml:space="preserve"> 1 422 tys. zł</w:t>
      </w:r>
    </w:p>
    <w:p w:rsidR="008C7751" w:rsidRPr="00E00B35" w:rsidRDefault="008C7751" w:rsidP="00E00B35">
      <w:pPr>
        <w:pStyle w:val="Tekstpodstawowy"/>
        <w:suppressAutoHyphens/>
        <w:spacing w:after="0" w:line="312" w:lineRule="auto"/>
        <w:contextualSpacing/>
        <w:rPr>
          <w:color w:val="4F81BD" w:themeColor="accent1"/>
          <w:szCs w:val="20"/>
        </w:rPr>
      </w:pPr>
      <w:r w:rsidRPr="00E00B35">
        <w:rPr>
          <w:szCs w:val="20"/>
        </w:rPr>
        <w:t>W 2020 roku zrealizowano:</w:t>
      </w:r>
      <w:r w:rsidRPr="00E00B35">
        <w:rPr>
          <w:color w:val="4F81BD" w:themeColor="accent1"/>
          <w:szCs w:val="20"/>
        </w:rPr>
        <w:t xml:space="preserve"> </w:t>
      </w:r>
    </w:p>
    <w:p w:rsidR="008C7751" w:rsidRPr="00E00B35" w:rsidRDefault="008C7751" w:rsidP="00E00B35">
      <w:pPr>
        <w:pStyle w:val="Tekstpodstawowy"/>
        <w:numPr>
          <w:ilvl w:val="0"/>
          <w:numId w:val="25"/>
        </w:numPr>
        <w:suppressAutoHyphens/>
        <w:spacing w:after="0" w:line="312" w:lineRule="auto"/>
        <w:rPr>
          <w:szCs w:val="20"/>
        </w:rPr>
      </w:pPr>
      <w:r w:rsidRPr="00E00B35">
        <w:rPr>
          <w:szCs w:val="20"/>
        </w:rPr>
        <w:t>Budowę oświetlenia odcinka drogowego ul. Odolanowskiej od skrzyżowania z al. Jana III Sobieskiego do granicy zabudowy na wysokości posesji nr 42 we Wrocławiu wraz z opracowaniem dokumentacji projektowej. Lata realizacji: 2019-2020. Całkowity koszt realizacji zadania wyniósł 242 tys. zł, w całości poniesiony w roku 2020;</w:t>
      </w:r>
    </w:p>
    <w:p w:rsidR="008C7751" w:rsidRPr="00E00B35" w:rsidRDefault="008C7751" w:rsidP="00E00B35">
      <w:pPr>
        <w:pStyle w:val="Tekstpodstawowy"/>
        <w:numPr>
          <w:ilvl w:val="0"/>
          <w:numId w:val="25"/>
        </w:numPr>
        <w:suppressAutoHyphens/>
        <w:spacing w:after="0" w:line="312" w:lineRule="auto"/>
        <w:rPr>
          <w:szCs w:val="20"/>
        </w:rPr>
      </w:pPr>
      <w:r w:rsidRPr="00E00B35">
        <w:rPr>
          <w:szCs w:val="20"/>
        </w:rPr>
        <w:t>Przebudowę ul. Kasprowicza w zakresie budowy przejścia dla pieszych i przejazdu dla rowerzystów na wysokości Brodzika na Karłowicach - projekt nr 27 WBO 2018. Koszt realizacji zadania w zakresie doświetlenia przejścia wyniósł 23 tys. zł, w całości poniesiony w roku 2020;</w:t>
      </w:r>
    </w:p>
    <w:p w:rsidR="008C7751" w:rsidRPr="00E00B35" w:rsidRDefault="008C7751" w:rsidP="00E00B35">
      <w:pPr>
        <w:pStyle w:val="Tekstpodstawowy"/>
        <w:numPr>
          <w:ilvl w:val="0"/>
          <w:numId w:val="25"/>
        </w:numPr>
        <w:suppressAutoHyphens/>
        <w:spacing w:after="0" w:line="312" w:lineRule="auto"/>
        <w:rPr>
          <w:szCs w:val="20"/>
        </w:rPr>
      </w:pPr>
      <w:r w:rsidRPr="00E00B35">
        <w:rPr>
          <w:szCs w:val="20"/>
        </w:rPr>
        <w:t>Budowę doświetlenia przejść dla pieszych przy skrzyżowaniu ul. Racławickiej z ul. Lakierniczą we Wrocławiu. Całkowity koszt realizacji zadania wyniósł 22 tys. zł, w całości poniesiony w roku 2020;</w:t>
      </w:r>
    </w:p>
    <w:p w:rsidR="008C7751" w:rsidRPr="00E00B35" w:rsidRDefault="008C7751" w:rsidP="00E00B35">
      <w:pPr>
        <w:pStyle w:val="Tekstpodstawowy"/>
        <w:numPr>
          <w:ilvl w:val="0"/>
          <w:numId w:val="25"/>
        </w:numPr>
        <w:suppressAutoHyphens/>
        <w:spacing w:after="0" w:line="312" w:lineRule="auto"/>
        <w:rPr>
          <w:szCs w:val="20"/>
        </w:rPr>
      </w:pPr>
      <w:r w:rsidRPr="00E00B35">
        <w:rPr>
          <w:szCs w:val="20"/>
        </w:rPr>
        <w:t>Budowę doświetlenia przejścia dla pieszych przez ul. Nowodworską na wysokości ul. Wojrowickiej we Wrocławiu wraz z opracowaniem dokumentacji projektowej. Całkowity koszt realizacji zadania wyniósł 15 tys. zł, w całości poniesiony w roku 2020;</w:t>
      </w:r>
    </w:p>
    <w:p w:rsidR="008C7751" w:rsidRPr="00E00B35" w:rsidRDefault="008C7751" w:rsidP="00E00B35">
      <w:pPr>
        <w:pStyle w:val="Tekstpodstawowy"/>
        <w:numPr>
          <w:ilvl w:val="0"/>
          <w:numId w:val="25"/>
        </w:numPr>
        <w:suppressAutoHyphens/>
        <w:spacing w:after="0" w:line="312" w:lineRule="auto"/>
        <w:rPr>
          <w:szCs w:val="20"/>
        </w:rPr>
      </w:pPr>
      <w:r w:rsidRPr="00E00B35">
        <w:rPr>
          <w:szCs w:val="20"/>
        </w:rPr>
        <w:t>Budowę oświetlenia drogowego wzdłuż ul. Gen. Stanisława Kopańskiego i ul. Konrada Wallenroda. Całkowity koszt realizacji zadania wyniósł 165 tys. zł, w całości poniesiony w roku 2020;</w:t>
      </w:r>
    </w:p>
    <w:p w:rsidR="008C7751" w:rsidRPr="00E00B35" w:rsidRDefault="008C7751" w:rsidP="00E00B35">
      <w:pPr>
        <w:pStyle w:val="Tekstpodstawowy"/>
        <w:numPr>
          <w:ilvl w:val="0"/>
          <w:numId w:val="25"/>
        </w:numPr>
        <w:suppressAutoHyphens/>
        <w:spacing w:after="0" w:line="312" w:lineRule="auto"/>
        <w:rPr>
          <w:szCs w:val="20"/>
        </w:rPr>
      </w:pPr>
      <w:r w:rsidRPr="00E00B35">
        <w:rPr>
          <w:szCs w:val="20"/>
        </w:rPr>
        <w:t>Budowę doświetlenia przejść dla pieszych przez ul. Redycką i al. Poprzeczną przy skrzyżowaniu z ul. Sołtysowicką. Całkowity koszt realizacji zadania wyniósł 46 tys. zł, w całości poniesiony w roku 2020;</w:t>
      </w:r>
    </w:p>
    <w:p w:rsidR="008C7751" w:rsidRPr="00E00B35" w:rsidRDefault="008C7751" w:rsidP="00E00B35">
      <w:pPr>
        <w:pStyle w:val="Tekstpodstawowy"/>
        <w:numPr>
          <w:ilvl w:val="0"/>
          <w:numId w:val="25"/>
        </w:numPr>
        <w:suppressAutoHyphens/>
        <w:spacing w:after="0" w:line="312" w:lineRule="auto"/>
        <w:rPr>
          <w:szCs w:val="20"/>
        </w:rPr>
      </w:pPr>
      <w:r w:rsidRPr="00E00B35">
        <w:rPr>
          <w:szCs w:val="20"/>
        </w:rPr>
        <w:t>Budowę doświetlenia miejsc niebezpiecznych w 5 lokalizacjach wraz z opracowaniem dokumentacji projektowej (ul. Gliniana, ul. Strachocińska). Lata realizacji: 2019-2020. Całkowity koszt realizacji zadania wyniósł 219 tys. zł, w tym w roku 2020 wydano 167 tys. zł. Rozliczenie finansowe w styczniu 2021 r.</w:t>
      </w:r>
    </w:p>
    <w:p w:rsidR="008C7751" w:rsidRPr="00E00B35" w:rsidRDefault="008C7751" w:rsidP="00E00B35">
      <w:pPr>
        <w:pStyle w:val="Tekstpodstawowy"/>
        <w:numPr>
          <w:ilvl w:val="0"/>
          <w:numId w:val="25"/>
        </w:numPr>
        <w:suppressAutoHyphens/>
        <w:spacing w:after="0" w:line="312" w:lineRule="auto"/>
        <w:rPr>
          <w:szCs w:val="20"/>
        </w:rPr>
      </w:pPr>
      <w:r w:rsidRPr="00E00B35">
        <w:rPr>
          <w:szCs w:val="20"/>
        </w:rPr>
        <w:t>Budowę doświetlenia miejsc niebezpiecznych w 2 lokalizacjach (ul. Krupnicza, ul. Sucha) oraz budowę oświetlenia ulicy pl. Muzealny wraz z opracowaniem dokumentacji projektowej. Lata realizacji: 2019-2020. Całkowity koszt realizacji zadania wyniósł 184 tys. zł, w całości poniesiony w roku 2020;</w:t>
      </w:r>
    </w:p>
    <w:p w:rsidR="008C7751" w:rsidRPr="00E00B35" w:rsidRDefault="008C7751" w:rsidP="00E00B35">
      <w:pPr>
        <w:pStyle w:val="Tekstpodstawowy"/>
        <w:numPr>
          <w:ilvl w:val="0"/>
          <w:numId w:val="25"/>
        </w:numPr>
        <w:suppressAutoHyphens/>
        <w:spacing w:after="0" w:line="312" w:lineRule="auto"/>
        <w:rPr>
          <w:szCs w:val="20"/>
        </w:rPr>
      </w:pPr>
      <w:r w:rsidRPr="00E00B35">
        <w:rPr>
          <w:szCs w:val="20"/>
        </w:rPr>
        <w:t>Budowę doświetlenia miejsc niebezpiecznych w 6 lokalizacjach wraz z opracowaniem dokumentacji projektowej (ul. Wałbrzyska). Lata realizacji: 2019-2020. Całkowity koszt realizacji zadania wyniósł 189 tys. zł, w całości poniesiony w roku 2020;</w:t>
      </w:r>
    </w:p>
    <w:p w:rsidR="008C7751" w:rsidRPr="00E00B35" w:rsidRDefault="008C7751" w:rsidP="00E00B35">
      <w:pPr>
        <w:pStyle w:val="Tekstpodstawowy"/>
        <w:numPr>
          <w:ilvl w:val="0"/>
          <w:numId w:val="25"/>
        </w:numPr>
        <w:suppressAutoHyphens/>
        <w:spacing w:after="0" w:line="312" w:lineRule="auto"/>
        <w:rPr>
          <w:szCs w:val="20"/>
        </w:rPr>
      </w:pPr>
      <w:r w:rsidRPr="00E00B35">
        <w:rPr>
          <w:szCs w:val="20"/>
        </w:rPr>
        <w:t xml:space="preserve">Budowę doświetlenia miejsc niebezpiecznych w 5 lokalizacjach wraz z opracowaniem dokumentacji projektowej (ul. Chociebuska, ul. Swojczycka, </w:t>
      </w:r>
      <w:r w:rsidRPr="00E00B35">
        <w:rPr>
          <w:szCs w:val="20"/>
        </w:rPr>
        <w:lastRenderedPageBreak/>
        <w:t>ul. Okulickiego, ul. Zatorska, ul. Francuska). Lata realizacji: 2019-2020. Całkowity koszt realizacji zadania wyniósł 179 tys. zł, w tym w roku 2020 – 49 tys. zł;</w:t>
      </w:r>
    </w:p>
    <w:p w:rsidR="008C7751" w:rsidRPr="00E00B35" w:rsidRDefault="008C7751" w:rsidP="00E00B35">
      <w:pPr>
        <w:pStyle w:val="Tekstpodstawowy"/>
        <w:numPr>
          <w:ilvl w:val="0"/>
          <w:numId w:val="25"/>
        </w:numPr>
        <w:suppressAutoHyphens/>
        <w:spacing w:after="0" w:line="312" w:lineRule="auto"/>
        <w:rPr>
          <w:szCs w:val="20"/>
        </w:rPr>
      </w:pPr>
      <w:r w:rsidRPr="00E00B35">
        <w:rPr>
          <w:szCs w:val="20"/>
        </w:rPr>
        <w:t>Budowę doświetlenia miejsc niebezpiecznych w 5 lokalizacjach oraz budowę oświetlenia ulicy Marszowickiej wraz z opracowaniem dokumentacji projektowej. Lata realizacji: 2019-2020. Całkowity koszt realizacji zadania wyniósł 363 tys. zł, w tym w roku 2020 – 320 tys. zł.</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Osiągnięto następujące efekty:</w:t>
      </w:r>
    </w:p>
    <w:p w:rsidR="008C7751" w:rsidRPr="00E00B35" w:rsidRDefault="008C7751" w:rsidP="00E00B35">
      <w:pPr>
        <w:pStyle w:val="Tekstpodstawowy"/>
        <w:suppressAutoHyphens/>
        <w:spacing w:after="0" w:line="312" w:lineRule="auto"/>
        <w:rPr>
          <w:szCs w:val="20"/>
        </w:rPr>
      </w:pPr>
      <w:r w:rsidRPr="00E00B35">
        <w:rPr>
          <w:szCs w:val="20"/>
        </w:rPr>
        <w:t>Podniesiono poziom bezpieczeństwa użytkowników ruchu ze szczególnym uwzględnieniem pieszych na przejściach przez jezdnię.</w:t>
      </w:r>
    </w:p>
    <w:p w:rsidR="008C7751" w:rsidRPr="00E00B35" w:rsidRDefault="008C7751" w:rsidP="00E00B35">
      <w:pPr>
        <w:pStyle w:val="Styl1NagwkiGwne"/>
        <w:spacing w:line="312" w:lineRule="auto"/>
        <w:ind w:left="567"/>
        <w:jc w:val="left"/>
        <w:rPr>
          <w:b w:val="0"/>
        </w:rPr>
      </w:pPr>
    </w:p>
    <w:p w:rsidR="008C7751" w:rsidRPr="00E00B35" w:rsidRDefault="008C7751" w:rsidP="00E00B35">
      <w:pPr>
        <w:pStyle w:val="Nagwek4"/>
        <w:spacing w:before="0" w:after="0" w:line="312" w:lineRule="auto"/>
        <w:rPr>
          <w:sz w:val="20"/>
          <w:szCs w:val="20"/>
        </w:rPr>
      </w:pPr>
      <w:bookmarkStart w:id="854" w:name="_Toc4159959"/>
      <w:bookmarkStart w:id="855" w:name="_Toc32318653"/>
      <w:bookmarkStart w:id="856" w:name="_Toc66358332"/>
      <w:r w:rsidRPr="00E00B35">
        <w:rPr>
          <w:sz w:val="20"/>
          <w:szCs w:val="20"/>
        </w:rPr>
        <w:t>Program rozwoju terenów pod mieszkalnictwo</w:t>
      </w:r>
      <w:bookmarkEnd w:id="854"/>
      <w:bookmarkEnd w:id="855"/>
      <w:bookmarkEnd w:id="856"/>
      <w:r w:rsidRPr="00E00B35">
        <w:rPr>
          <w:sz w:val="20"/>
          <w:szCs w:val="20"/>
        </w:rPr>
        <w:t xml:space="preserve"> </w:t>
      </w:r>
    </w:p>
    <w:p w:rsidR="008C7751" w:rsidRPr="00E00B35" w:rsidRDefault="008C7751" w:rsidP="00E00B35">
      <w:pPr>
        <w:pStyle w:val="pogrubienie0"/>
        <w:spacing w:before="0" w:line="312" w:lineRule="auto"/>
        <w:jc w:val="left"/>
        <w:rPr>
          <w:b w:val="0"/>
          <w:color w:val="000000" w:themeColor="text1"/>
        </w:rPr>
      </w:pPr>
      <w:r w:rsidRPr="00E00B35">
        <w:rPr>
          <w:b w:val="0"/>
          <w:color w:val="000000" w:themeColor="text1"/>
        </w:rPr>
        <w:t>Cel programu:</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 xml:space="preserve">Poprawa dostępności komunikacyjnej terenów mieszkaniowych oraz przebudowa </w:t>
      </w:r>
      <w:r w:rsidRPr="00E00B35">
        <w:rPr>
          <w:rFonts w:ascii="Verdana" w:eastAsia="Times New Roman" w:hAnsi="Verdana"/>
          <w:color w:val="000000" w:themeColor="text1"/>
        </w:rPr>
        <w:br/>
        <w:t xml:space="preserve">i dostosowanie istniejących układów komunikacyjnych, w związku z dynamicznym rozwojem budownictwa mieszkaniowego wielorodzinnego. </w:t>
      </w:r>
    </w:p>
    <w:p w:rsidR="008C7751" w:rsidRPr="00E00B35" w:rsidRDefault="008C7751" w:rsidP="00E00B35">
      <w:pPr>
        <w:pStyle w:val="pogrubienie0"/>
        <w:spacing w:before="0" w:line="312" w:lineRule="auto"/>
        <w:jc w:val="left"/>
        <w:rPr>
          <w:b w:val="0"/>
          <w:color w:val="000000" w:themeColor="text1"/>
        </w:rPr>
      </w:pPr>
      <w:r w:rsidRPr="00E00B35">
        <w:rPr>
          <w:b w:val="0"/>
          <w:color w:val="000000" w:themeColor="text1"/>
        </w:rPr>
        <w:t>Poniesione w 2020 roku nakłady: 129,69 tys. zł</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 xml:space="preserve">Z budżetu roku 2020 wydatkowano kwotę 129,69 tys. zł. Pozostałe koszty zostały pokryte bezpośrednio przez inwestora zewnętrznego. </w:t>
      </w:r>
    </w:p>
    <w:p w:rsidR="008C7751" w:rsidRPr="00E00B35" w:rsidRDefault="008C7751" w:rsidP="00E00B35">
      <w:pPr>
        <w:pStyle w:val="pogrubienie0"/>
        <w:spacing w:before="0" w:line="312" w:lineRule="auto"/>
        <w:jc w:val="left"/>
        <w:rPr>
          <w:b w:val="0"/>
          <w:color w:val="000000" w:themeColor="text1"/>
        </w:rPr>
      </w:pPr>
      <w:r w:rsidRPr="00E00B35">
        <w:rPr>
          <w:b w:val="0"/>
          <w:color w:val="000000" w:themeColor="text1"/>
        </w:rPr>
        <w:t>Rozpatrzone wnioski:</w:t>
      </w:r>
    </w:p>
    <w:p w:rsidR="008C7751" w:rsidRPr="00E00B35" w:rsidRDefault="008C7751" w:rsidP="00E00B35">
      <w:pPr>
        <w:pStyle w:val="HTML-wstpniesformatowany"/>
        <w:spacing w:after="0" w:line="312" w:lineRule="auto"/>
        <w:rPr>
          <w:rFonts w:ascii="Verdana" w:hAnsi="Verdana"/>
          <w:color w:val="000000" w:themeColor="text1"/>
        </w:rPr>
      </w:pPr>
      <w:r w:rsidRPr="00E00B35">
        <w:rPr>
          <w:rFonts w:ascii="Verdana" w:eastAsia="Times New Roman" w:hAnsi="Verdana"/>
          <w:color w:val="000000" w:themeColor="text1"/>
        </w:rPr>
        <w:t>W 2020 r. p</w:t>
      </w:r>
      <w:r w:rsidRPr="00E00B35">
        <w:rPr>
          <w:rFonts w:ascii="Verdana" w:eastAsia="Times New Roman" w:hAnsi="Verdana"/>
        </w:rPr>
        <w:t xml:space="preserve">lan </w:t>
      </w:r>
      <w:r w:rsidRPr="00E00B35">
        <w:rPr>
          <w:rFonts w:ascii="Verdana" w:eastAsia="Times New Roman" w:hAnsi="Verdana"/>
          <w:color w:val="000000" w:themeColor="text1"/>
        </w:rPr>
        <w:t>obejmował 22 inwestycje. Rozpatrzono 1 wniosek Podmiotu Zewnętrznego o przyjęcie do planu inwestycyjnego gminy Wrocław realizacji inwestycji drogowych przy udziale gminy i Podmiotu Zewnętrznego, składanych zgodnie z Zarządzeniem nr 4862/08 Prezydenta Wrocławia z dnia 26 listopada 2008 r.: „B</w:t>
      </w:r>
      <w:r w:rsidRPr="00E00B35">
        <w:rPr>
          <w:rFonts w:ascii="Verdana" w:hAnsi="Verdana"/>
          <w:color w:val="000000" w:themeColor="text1"/>
        </w:rPr>
        <w:t>udowa bocznej drogi ul. Strachocińskiej – 2KDD/3 oraz dookoła placu 6KDPL” - Dom.Developer Wrocław Sp. z o.o. Gamma sp. komandytowa.</w:t>
      </w:r>
    </w:p>
    <w:p w:rsidR="008C7751" w:rsidRPr="00E00B35" w:rsidRDefault="008C7751" w:rsidP="00E00B35">
      <w:pPr>
        <w:pStyle w:val="pogrubienie0"/>
        <w:spacing w:before="0" w:line="312" w:lineRule="auto"/>
        <w:jc w:val="left"/>
        <w:rPr>
          <w:b w:val="0"/>
          <w:color w:val="000000" w:themeColor="text1"/>
        </w:rPr>
      </w:pPr>
      <w:r w:rsidRPr="00E00B35">
        <w:rPr>
          <w:b w:val="0"/>
          <w:color w:val="000000" w:themeColor="text1"/>
        </w:rPr>
        <w:t>Osiągnięto następujące efekty:</w:t>
      </w:r>
    </w:p>
    <w:p w:rsidR="008C7751"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Realizacja zadania spowodowała przyspieszenie przygotowania terenów przeznaczonych pod mieszkalnictwo w wybranych obszarach Wrocławia, co umożliwiło szybszą realizację infrastruktury drogowej i sieci niezbędnych dla zabudowy mieszkaniowej.</w:t>
      </w:r>
    </w:p>
    <w:p w:rsidR="00B1753A" w:rsidRPr="00E00B35" w:rsidRDefault="00B1753A" w:rsidP="00E00B35">
      <w:pPr>
        <w:pStyle w:val="HTML-wstpniesformatowany"/>
        <w:spacing w:after="0" w:line="312" w:lineRule="auto"/>
        <w:rPr>
          <w:rFonts w:ascii="Verdana" w:eastAsia="Times New Roman" w:hAnsi="Verdana"/>
          <w:color w:val="000000" w:themeColor="text1"/>
        </w:rPr>
      </w:pPr>
    </w:p>
    <w:p w:rsidR="008C7751" w:rsidRPr="00E00B35" w:rsidRDefault="008C7751" w:rsidP="00BC64AB">
      <w:pPr>
        <w:pStyle w:val="Nagwek3"/>
        <w:numPr>
          <w:ilvl w:val="0"/>
          <w:numId w:val="235"/>
        </w:numPr>
        <w:spacing w:after="0" w:line="312" w:lineRule="auto"/>
        <w:rPr>
          <w:sz w:val="20"/>
        </w:rPr>
      </w:pPr>
      <w:bookmarkStart w:id="857" w:name="_Toc32318660"/>
      <w:bookmarkStart w:id="858" w:name="_Toc66358333"/>
      <w:r w:rsidRPr="00E00B35">
        <w:rPr>
          <w:sz w:val="20"/>
        </w:rPr>
        <w:t>TRANSPORT I KOMUNIKACJA</w:t>
      </w:r>
      <w:bookmarkEnd w:id="858"/>
      <w:r w:rsidRPr="00E00B35">
        <w:rPr>
          <w:sz w:val="20"/>
        </w:rPr>
        <w:t xml:space="preserve"> </w:t>
      </w:r>
      <w:bookmarkEnd w:id="857"/>
    </w:p>
    <w:p w:rsidR="008C7751" w:rsidRPr="00E00B35" w:rsidRDefault="008C7751" w:rsidP="00E00B35">
      <w:pPr>
        <w:pStyle w:val="Nagwek4"/>
        <w:spacing w:before="0" w:after="0" w:line="312" w:lineRule="auto"/>
        <w:rPr>
          <w:sz w:val="20"/>
          <w:szCs w:val="20"/>
        </w:rPr>
      </w:pPr>
      <w:bookmarkStart w:id="859" w:name="_Toc66358334"/>
      <w:bookmarkStart w:id="860" w:name="_Toc3978231"/>
      <w:bookmarkStart w:id="861" w:name="_Toc3978826"/>
      <w:bookmarkStart w:id="862" w:name="_Toc3979821"/>
      <w:bookmarkStart w:id="863" w:name="_Toc3981072"/>
      <w:bookmarkStart w:id="864" w:name="_Toc3981177"/>
      <w:bookmarkStart w:id="865" w:name="_Toc32318673"/>
      <w:r w:rsidRPr="00E00B35">
        <w:rPr>
          <w:sz w:val="20"/>
          <w:szCs w:val="20"/>
        </w:rPr>
        <w:t>Zlecanie pracy przewozowej w komunikacji autobusowej i tramwajowej</w:t>
      </w:r>
      <w:bookmarkEnd w:id="859"/>
    </w:p>
    <w:p w:rsidR="008C7751" w:rsidRPr="00E00B35" w:rsidRDefault="008C7751" w:rsidP="00E00B35">
      <w:pPr>
        <w:spacing w:after="0" w:line="312" w:lineRule="auto"/>
        <w:rPr>
          <w:color w:val="000000" w:themeColor="text1"/>
          <w:szCs w:val="20"/>
        </w:rPr>
      </w:pPr>
      <w:r w:rsidRPr="00E00B35">
        <w:rPr>
          <w:szCs w:val="20"/>
        </w:rPr>
        <w:t>W  ra</w:t>
      </w:r>
      <w:r w:rsidRPr="00E00B35">
        <w:rPr>
          <w:color w:val="000000" w:themeColor="text1"/>
          <w:szCs w:val="20"/>
        </w:rPr>
        <w:t xml:space="preserve">mach zadań z zakresu funkcjonowania komunikacji zbiorowej zlecono do realizacji: </w:t>
      </w:r>
    </w:p>
    <w:p w:rsidR="008C7751" w:rsidRPr="00E00B35" w:rsidRDefault="008C7751" w:rsidP="00E00B35">
      <w:pPr>
        <w:pStyle w:val="Styl1NagwkiGwne"/>
        <w:spacing w:line="312" w:lineRule="auto"/>
        <w:jc w:val="left"/>
        <w:rPr>
          <w:b w:val="0"/>
        </w:rPr>
      </w:pPr>
      <w:r w:rsidRPr="00E00B35">
        <w:rPr>
          <w:b w:val="0"/>
        </w:rPr>
        <w:t>Miejskiemu Przedsiębiorstwu Komunikacyjnemu Sp. z o. o. w miejskiej komunikacji tramwajowej i autobusowej</w:t>
      </w:r>
    </w:p>
    <w:p w:rsidR="008C7751" w:rsidRPr="00E00B35" w:rsidRDefault="008C7751" w:rsidP="00BC64AB">
      <w:pPr>
        <w:pStyle w:val="Akapitzlist"/>
        <w:numPr>
          <w:ilvl w:val="0"/>
          <w:numId w:val="253"/>
        </w:numPr>
        <w:spacing w:after="0" w:line="312" w:lineRule="auto"/>
        <w:ind w:left="426" w:hanging="426"/>
        <w:rPr>
          <w:szCs w:val="20"/>
        </w:rPr>
      </w:pPr>
      <w:r w:rsidRPr="00E00B35">
        <w:rPr>
          <w:szCs w:val="20"/>
        </w:rPr>
        <w:t>liczba pociągokilometrów w komunikacji tramwajowej - 13 709 676,03;</w:t>
      </w:r>
    </w:p>
    <w:p w:rsidR="008C7751" w:rsidRPr="00E00B35" w:rsidRDefault="008C7751" w:rsidP="00BC64AB">
      <w:pPr>
        <w:pStyle w:val="Akapitzlist"/>
        <w:numPr>
          <w:ilvl w:val="0"/>
          <w:numId w:val="253"/>
        </w:numPr>
        <w:spacing w:after="0" w:line="312" w:lineRule="auto"/>
        <w:ind w:left="426" w:hanging="426"/>
        <w:rPr>
          <w:szCs w:val="20"/>
        </w:rPr>
      </w:pPr>
      <w:r w:rsidRPr="00E00B35">
        <w:rPr>
          <w:szCs w:val="20"/>
        </w:rPr>
        <w:t>liczba wozokilometrów w komunikacji autobusowej – 28 986 323,54.</w:t>
      </w:r>
    </w:p>
    <w:p w:rsidR="008C7751" w:rsidRPr="00E00B35" w:rsidRDefault="008C7751" w:rsidP="00E00B35">
      <w:pPr>
        <w:pStyle w:val="Akapitzlist"/>
        <w:spacing w:after="0" w:line="312" w:lineRule="auto"/>
        <w:rPr>
          <w:szCs w:val="20"/>
        </w:rPr>
      </w:pPr>
    </w:p>
    <w:p w:rsidR="008C7751" w:rsidRPr="00E00B35" w:rsidRDefault="008C7751" w:rsidP="00E00B35">
      <w:pPr>
        <w:pStyle w:val="Akapitzlist"/>
        <w:spacing w:after="0" w:line="312" w:lineRule="auto"/>
        <w:ind w:left="0"/>
        <w:rPr>
          <w:szCs w:val="20"/>
        </w:rPr>
      </w:pPr>
      <w:r w:rsidRPr="00E00B35">
        <w:rPr>
          <w:szCs w:val="20"/>
        </w:rPr>
        <w:t xml:space="preserve">Wykres </w:t>
      </w:r>
      <w:r w:rsidR="00573162" w:rsidRPr="00E00B35">
        <w:rPr>
          <w:szCs w:val="20"/>
        </w:rPr>
        <w:fldChar w:fldCharType="begin"/>
      </w:r>
      <w:r w:rsidRPr="00E00B35">
        <w:rPr>
          <w:szCs w:val="20"/>
        </w:rPr>
        <w:instrText xml:space="preserve"> SEQ Wykres \* ARABIC </w:instrText>
      </w:r>
      <w:r w:rsidR="00573162" w:rsidRPr="00E00B35">
        <w:rPr>
          <w:szCs w:val="20"/>
        </w:rPr>
        <w:fldChar w:fldCharType="separate"/>
      </w:r>
      <w:r w:rsidR="008C054F">
        <w:rPr>
          <w:noProof/>
          <w:szCs w:val="20"/>
        </w:rPr>
        <w:t>1</w:t>
      </w:r>
      <w:r w:rsidR="00573162" w:rsidRPr="00E00B35">
        <w:rPr>
          <w:szCs w:val="20"/>
        </w:rPr>
        <w:fldChar w:fldCharType="end"/>
      </w:r>
      <w:r w:rsidRPr="00E00B35">
        <w:rPr>
          <w:szCs w:val="20"/>
        </w:rPr>
        <w:t>. Tramwaje MPK - praca przewozowa</w:t>
      </w:r>
    </w:p>
    <w:p w:rsidR="008C7751" w:rsidRPr="00E00B35" w:rsidRDefault="008C7751" w:rsidP="00E00B35">
      <w:pPr>
        <w:pStyle w:val="standardowaczcionkaRaportu"/>
        <w:keepNext/>
        <w:spacing w:after="0" w:line="312" w:lineRule="auto"/>
      </w:pPr>
      <w:r w:rsidRPr="00E00B35">
        <w:rPr>
          <w:noProof/>
          <w:lang w:val="pl-PL" w:eastAsia="pl-PL" w:bidi="ar-SA"/>
        </w:rPr>
        <w:lastRenderedPageBreak/>
        <w:drawing>
          <wp:inline distT="0" distB="0" distL="0" distR="0">
            <wp:extent cx="4581733" cy="2575188"/>
            <wp:effectExtent l="19050" t="0" r="28367" b="0"/>
            <wp:docPr id="33" name="Wykres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p w:rsidR="008C7751" w:rsidRPr="00E00B35" w:rsidRDefault="008C7751" w:rsidP="00E00B35">
      <w:pPr>
        <w:pStyle w:val="Legenda"/>
        <w:keepNext/>
        <w:spacing w:before="0" w:after="0" w:line="312" w:lineRule="auto"/>
        <w:rPr>
          <w:b/>
          <w:sz w:val="20"/>
          <w:szCs w:val="20"/>
        </w:rPr>
      </w:pPr>
      <w:bookmarkStart w:id="866" w:name="_Toc63162283"/>
      <w:bookmarkStart w:id="867" w:name="_Toc63162323"/>
    </w:p>
    <w:bookmarkEnd w:id="866"/>
    <w:bookmarkEnd w:id="867"/>
    <w:p w:rsidR="008C7751" w:rsidRPr="00E00B35" w:rsidRDefault="008C7751" w:rsidP="00E00B35">
      <w:pPr>
        <w:pStyle w:val="Legenda"/>
        <w:keepNext/>
        <w:spacing w:before="0" w:after="0" w:line="312" w:lineRule="auto"/>
        <w:rPr>
          <w:b/>
          <w:sz w:val="20"/>
          <w:szCs w:val="20"/>
        </w:rPr>
      </w:pPr>
      <w:r w:rsidRPr="00E00B35">
        <w:rPr>
          <w:sz w:val="20"/>
          <w:szCs w:val="20"/>
        </w:rPr>
        <w:t xml:space="preserve">Wykres </w:t>
      </w:r>
      <w:r w:rsidR="00573162" w:rsidRPr="00E00B35">
        <w:rPr>
          <w:b/>
          <w:sz w:val="20"/>
          <w:szCs w:val="20"/>
        </w:rPr>
        <w:fldChar w:fldCharType="begin"/>
      </w:r>
      <w:r w:rsidRPr="00E00B35">
        <w:rPr>
          <w:sz w:val="20"/>
          <w:szCs w:val="20"/>
        </w:rPr>
        <w:instrText xml:space="preserve"> SEQ Wykres \* ARABIC </w:instrText>
      </w:r>
      <w:r w:rsidR="00573162" w:rsidRPr="00E00B35">
        <w:rPr>
          <w:b/>
          <w:sz w:val="20"/>
          <w:szCs w:val="20"/>
        </w:rPr>
        <w:fldChar w:fldCharType="separate"/>
      </w:r>
      <w:r w:rsidR="008C054F">
        <w:rPr>
          <w:noProof/>
          <w:sz w:val="20"/>
          <w:szCs w:val="20"/>
        </w:rPr>
        <w:t>2</w:t>
      </w:r>
      <w:r w:rsidR="00573162" w:rsidRPr="00E00B35">
        <w:rPr>
          <w:b/>
          <w:sz w:val="20"/>
          <w:szCs w:val="20"/>
        </w:rPr>
        <w:fldChar w:fldCharType="end"/>
      </w:r>
      <w:r w:rsidRPr="00E00B35">
        <w:rPr>
          <w:sz w:val="20"/>
          <w:szCs w:val="20"/>
        </w:rPr>
        <w:t>. Autobusy MPK - praca przewozowa</w:t>
      </w:r>
    </w:p>
    <w:p w:rsidR="008C7751" w:rsidRPr="00E00B35" w:rsidRDefault="008C7751" w:rsidP="00E00B35">
      <w:pPr>
        <w:spacing w:after="0" w:line="312" w:lineRule="auto"/>
        <w:rPr>
          <w:noProof/>
          <w:szCs w:val="20"/>
          <w:lang w:eastAsia="pl-PL"/>
        </w:rPr>
      </w:pPr>
      <w:r w:rsidRPr="00E00B35">
        <w:rPr>
          <w:noProof/>
          <w:szCs w:val="20"/>
          <w:lang w:val="pl-PL" w:eastAsia="pl-PL" w:bidi="ar-SA"/>
        </w:rPr>
        <w:drawing>
          <wp:inline distT="0" distB="0" distL="0" distR="0">
            <wp:extent cx="4600588" cy="2543587"/>
            <wp:effectExtent l="19050" t="0" r="28562" b="9113"/>
            <wp:docPr id="26" name="Wykres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rsidR="008C7751" w:rsidRPr="00E00B35" w:rsidRDefault="008C7751" w:rsidP="00E00B35">
      <w:pPr>
        <w:spacing w:after="0" w:line="312" w:lineRule="auto"/>
        <w:rPr>
          <w:szCs w:val="20"/>
        </w:rPr>
      </w:pPr>
      <w:r w:rsidRPr="00E00B35">
        <w:rPr>
          <w:szCs w:val="20"/>
        </w:rPr>
        <w:br w:type="page"/>
      </w:r>
    </w:p>
    <w:p w:rsidR="008C7751" w:rsidRPr="00E00B35" w:rsidRDefault="008C7751" w:rsidP="00E00B35">
      <w:pPr>
        <w:pStyle w:val="Styl1NagwkiGwne"/>
        <w:spacing w:line="312" w:lineRule="auto"/>
        <w:jc w:val="left"/>
        <w:rPr>
          <w:b w:val="0"/>
        </w:rPr>
      </w:pPr>
      <w:r w:rsidRPr="00E00B35">
        <w:rPr>
          <w:b w:val="0"/>
        </w:rPr>
        <w:lastRenderedPageBreak/>
        <w:t>Innym przewoźnikom w komunikacji miejskiej i podmiejskiej komunikacji autobusowej:</w:t>
      </w:r>
    </w:p>
    <w:p w:rsidR="008C7751" w:rsidRPr="00E00B35" w:rsidRDefault="008C7751" w:rsidP="00E00B35">
      <w:pPr>
        <w:pStyle w:val="Bezodstpw"/>
        <w:spacing w:line="312" w:lineRule="auto"/>
        <w:rPr>
          <w:rFonts w:ascii="Verdana" w:hAnsi="Verdana"/>
          <w:sz w:val="20"/>
          <w:szCs w:val="20"/>
        </w:rPr>
      </w:pPr>
    </w:p>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 xml:space="preserve">Tabela </w:t>
      </w:r>
      <w:r w:rsidR="00573162" w:rsidRPr="00E00B35">
        <w:rPr>
          <w:rFonts w:ascii="Verdana" w:hAnsi="Verdana"/>
          <w:sz w:val="20"/>
          <w:szCs w:val="20"/>
        </w:rPr>
        <w:fldChar w:fldCharType="begin"/>
      </w:r>
      <w:r w:rsidRPr="00E00B35">
        <w:rPr>
          <w:rFonts w:ascii="Verdana" w:hAnsi="Verdana"/>
          <w:sz w:val="20"/>
          <w:szCs w:val="20"/>
        </w:rPr>
        <w:instrText xml:space="preserve"> SEQ Tabela \* ARABIC </w:instrText>
      </w:r>
      <w:r w:rsidR="00573162" w:rsidRPr="00E00B35">
        <w:rPr>
          <w:rFonts w:ascii="Verdana" w:hAnsi="Verdana"/>
          <w:sz w:val="20"/>
          <w:szCs w:val="20"/>
        </w:rPr>
        <w:fldChar w:fldCharType="separate"/>
      </w:r>
      <w:r w:rsidR="008C054F">
        <w:rPr>
          <w:rFonts w:ascii="Verdana" w:hAnsi="Verdana"/>
          <w:noProof/>
          <w:sz w:val="20"/>
          <w:szCs w:val="20"/>
        </w:rPr>
        <w:t>4</w:t>
      </w:r>
      <w:r w:rsidR="00573162" w:rsidRPr="00E00B35">
        <w:rPr>
          <w:rFonts w:ascii="Verdana" w:hAnsi="Verdana"/>
          <w:sz w:val="20"/>
          <w:szCs w:val="20"/>
        </w:rPr>
        <w:fldChar w:fldCharType="end"/>
      </w:r>
      <w:r w:rsidRPr="00E00B35">
        <w:rPr>
          <w:rFonts w:ascii="Verdana" w:hAnsi="Verdana"/>
          <w:sz w:val="20"/>
          <w:szCs w:val="20"/>
        </w:rPr>
        <w:t>. Inni przewoźnicy - praca przewozowa</w:t>
      </w:r>
    </w:p>
    <w:tbl>
      <w:tblPr>
        <w:tblW w:w="0" w:type="auto"/>
        <w:jc w:val="center"/>
        <w:tblLayout w:type="fixed"/>
        <w:tblCellMar>
          <w:left w:w="70" w:type="dxa"/>
          <w:right w:w="70" w:type="dxa"/>
        </w:tblCellMar>
        <w:tblLook w:val="0000"/>
      </w:tblPr>
      <w:tblGrid>
        <w:gridCol w:w="1871"/>
        <w:gridCol w:w="1985"/>
        <w:gridCol w:w="2126"/>
        <w:gridCol w:w="2012"/>
      </w:tblGrid>
      <w:tr w:rsidR="008C7751" w:rsidRPr="00E00B35" w:rsidTr="008C7751">
        <w:trPr>
          <w:cantSplit/>
          <w:trHeight w:val="61"/>
          <w:jc w:val="center"/>
        </w:trPr>
        <w:tc>
          <w:tcPr>
            <w:tcW w:w="7994" w:type="dxa"/>
            <w:gridSpan w:val="4"/>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liczba wozokilometrów</w:t>
            </w:r>
          </w:p>
        </w:tc>
      </w:tr>
      <w:tr w:rsidR="008C7751" w:rsidRPr="00E00B35" w:rsidTr="008C7751">
        <w:trPr>
          <w:cantSplit/>
          <w:jc w:val="center"/>
        </w:trPr>
        <w:tc>
          <w:tcPr>
            <w:tcW w:w="1871" w:type="dxa"/>
            <w:tcBorders>
              <w:top w:val="single" w:sz="4" w:space="0" w:color="000000"/>
              <w:left w:val="single" w:sz="4" w:space="0" w:color="000000"/>
              <w:bottom w:val="single" w:sz="4" w:space="0" w:color="000000"/>
            </w:tcBorders>
            <w:shd w:val="clear" w:color="auto" w:fill="auto"/>
          </w:tcPr>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SEVIBUS</w:t>
            </w:r>
          </w:p>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S.A.</w:t>
            </w:r>
          </w:p>
        </w:tc>
        <w:tc>
          <w:tcPr>
            <w:tcW w:w="1985" w:type="dxa"/>
            <w:tcBorders>
              <w:top w:val="single" w:sz="4" w:space="0" w:color="000000"/>
              <w:left w:val="single" w:sz="4" w:space="0" w:color="000000"/>
              <w:bottom w:val="single" w:sz="4" w:space="0" w:color="000000"/>
            </w:tcBorders>
            <w:shd w:val="clear" w:color="auto" w:fill="auto"/>
          </w:tcPr>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DLA*</w:t>
            </w:r>
          </w:p>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Sp. z o. o.</w:t>
            </w:r>
          </w:p>
        </w:tc>
        <w:tc>
          <w:tcPr>
            <w:tcW w:w="2126" w:type="dxa"/>
            <w:tcBorders>
              <w:top w:val="single" w:sz="4" w:space="0" w:color="000000"/>
              <w:left w:val="single" w:sz="4" w:space="0" w:color="000000"/>
              <w:bottom w:val="single" w:sz="4" w:space="0" w:color="000000"/>
            </w:tcBorders>
            <w:shd w:val="clear" w:color="auto" w:fill="auto"/>
          </w:tcPr>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A21</w:t>
            </w:r>
          </w:p>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Sp. z o. o.</w:t>
            </w:r>
          </w:p>
        </w:tc>
        <w:tc>
          <w:tcPr>
            <w:tcW w:w="2012"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RAZEM</w:t>
            </w:r>
          </w:p>
        </w:tc>
      </w:tr>
      <w:tr w:rsidR="008C7751" w:rsidRPr="00E00B35" w:rsidTr="008C7751">
        <w:trPr>
          <w:cantSplit/>
          <w:jc w:val="center"/>
        </w:trPr>
        <w:tc>
          <w:tcPr>
            <w:tcW w:w="1871" w:type="dxa"/>
            <w:tcBorders>
              <w:top w:val="single" w:sz="4" w:space="0" w:color="000000"/>
              <w:left w:val="single" w:sz="4" w:space="0" w:color="000000"/>
              <w:bottom w:val="single" w:sz="4" w:space="0" w:color="000000"/>
            </w:tcBorders>
            <w:shd w:val="clear" w:color="auto" w:fill="auto"/>
          </w:tcPr>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186 334,50</w:t>
            </w:r>
          </w:p>
        </w:tc>
        <w:tc>
          <w:tcPr>
            <w:tcW w:w="1985" w:type="dxa"/>
            <w:tcBorders>
              <w:top w:val="single" w:sz="4" w:space="0" w:color="000000"/>
              <w:left w:val="single" w:sz="4" w:space="0" w:color="000000"/>
              <w:bottom w:val="single" w:sz="4" w:space="0" w:color="000000"/>
            </w:tcBorders>
            <w:shd w:val="clear" w:color="auto" w:fill="auto"/>
          </w:tcPr>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1 237 783,35</w:t>
            </w:r>
          </w:p>
        </w:tc>
        <w:tc>
          <w:tcPr>
            <w:tcW w:w="2126" w:type="dxa"/>
            <w:tcBorders>
              <w:top w:val="single" w:sz="4" w:space="0" w:color="000000"/>
              <w:left w:val="single" w:sz="4" w:space="0" w:color="000000"/>
              <w:bottom w:val="single" w:sz="4" w:space="0" w:color="000000"/>
            </w:tcBorders>
            <w:shd w:val="clear" w:color="auto" w:fill="auto"/>
          </w:tcPr>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1 525 343,59</w:t>
            </w:r>
          </w:p>
        </w:tc>
        <w:tc>
          <w:tcPr>
            <w:tcW w:w="2012" w:type="dxa"/>
            <w:tcBorders>
              <w:top w:val="single" w:sz="4" w:space="0" w:color="000000"/>
              <w:left w:val="single" w:sz="4" w:space="0" w:color="000000"/>
              <w:bottom w:val="single" w:sz="4" w:space="0" w:color="000000"/>
              <w:right w:val="single" w:sz="4" w:space="0" w:color="000000"/>
            </w:tcBorders>
            <w:shd w:val="clear" w:color="auto" w:fill="auto"/>
          </w:tcPr>
          <w:p w:rsidR="008C7751" w:rsidRPr="00E00B35" w:rsidRDefault="008C7751" w:rsidP="00E00B35">
            <w:pPr>
              <w:pStyle w:val="Bezodstpw"/>
              <w:spacing w:line="312" w:lineRule="auto"/>
              <w:rPr>
                <w:rFonts w:ascii="Verdana" w:hAnsi="Verdana"/>
                <w:sz w:val="20"/>
                <w:szCs w:val="20"/>
              </w:rPr>
            </w:pPr>
            <w:r w:rsidRPr="00E00B35">
              <w:rPr>
                <w:rFonts w:ascii="Verdana" w:hAnsi="Verdana"/>
                <w:sz w:val="20"/>
                <w:szCs w:val="20"/>
              </w:rPr>
              <w:t>2 949 461,44</w:t>
            </w:r>
          </w:p>
        </w:tc>
      </w:tr>
    </w:tbl>
    <w:p w:rsidR="008C7751" w:rsidRPr="00E00B35" w:rsidRDefault="008C7751" w:rsidP="00E00B35">
      <w:pPr>
        <w:pStyle w:val="Bezodstpw"/>
        <w:spacing w:line="312" w:lineRule="auto"/>
        <w:ind w:firstLine="708"/>
        <w:rPr>
          <w:rStyle w:val="Pogrubienie"/>
          <w:rFonts w:ascii="Verdana" w:hAnsi="Verdana"/>
          <w:sz w:val="20"/>
          <w:szCs w:val="20"/>
        </w:rPr>
      </w:pPr>
      <w:bookmarkStart w:id="868" w:name="_Toc63162284"/>
      <w:bookmarkStart w:id="869" w:name="_Toc63162324"/>
      <w:r w:rsidRPr="00E00B35">
        <w:rPr>
          <w:rFonts w:ascii="Verdana" w:hAnsi="Verdana"/>
          <w:sz w:val="20"/>
          <w:szCs w:val="20"/>
        </w:rPr>
        <w:t>*</w:t>
      </w:r>
      <w:r w:rsidRPr="00E00B35">
        <w:rPr>
          <w:rStyle w:val="Pogrubienie"/>
          <w:rFonts w:ascii="Verdana" w:hAnsi="Verdana"/>
          <w:sz w:val="20"/>
          <w:szCs w:val="20"/>
        </w:rPr>
        <w:t>w tym linie 117, 123, 137, 138</w:t>
      </w:r>
      <w:bookmarkEnd w:id="868"/>
      <w:bookmarkEnd w:id="869"/>
    </w:p>
    <w:p w:rsidR="008C7751" w:rsidRPr="00E00B35" w:rsidRDefault="008C7751" w:rsidP="00E00B35">
      <w:pPr>
        <w:pStyle w:val="standardowaczcionkaRaportu"/>
        <w:spacing w:after="0" w:line="312" w:lineRule="auto"/>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Wykres </w:t>
      </w:r>
      <w:r w:rsidR="00573162" w:rsidRPr="00E00B35">
        <w:rPr>
          <w:b/>
          <w:sz w:val="20"/>
          <w:szCs w:val="20"/>
        </w:rPr>
        <w:fldChar w:fldCharType="begin"/>
      </w:r>
      <w:r w:rsidRPr="00E00B35">
        <w:rPr>
          <w:sz w:val="20"/>
          <w:szCs w:val="20"/>
        </w:rPr>
        <w:instrText xml:space="preserve"> SEQ Wykres \* ARABIC </w:instrText>
      </w:r>
      <w:r w:rsidR="00573162" w:rsidRPr="00E00B35">
        <w:rPr>
          <w:b/>
          <w:sz w:val="20"/>
          <w:szCs w:val="20"/>
        </w:rPr>
        <w:fldChar w:fldCharType="separate"/>
      </w:r>
      <w:r w:rsidR="008C054F">
        <w:rPr>
          <w:noProof/>
          <w:sz w:val="20"/>
          <w:szCs w:val="20"/>
        </w:rPr>
        <w:t>3</w:t>
      </w:r>
      <w:r w:rsidR="00573162" w:rsidRPr="00E00B35">
        <w:rPr>
          <w:b/>
          <w:sz w:val="20"/>
          <w:szCs w:val="20"/>
        </w:rPr>
        <w:fldChar w:fldCharType="end"/>
      </w:r>
      <w:r w:rsidRPr="00E00B35">
        <w:rPr>
          <w:sz w:val="20"/>
          <w:szCs w:val="20"/>
        </w:rPr>
        <w:t>. Komunikacja miejska i podmiejska - praca przewozowa</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5104765" cy="3003816"/>
            <wp:effectExtent l="19050" t="0" r="19685" b="6084"/>
            <wp:docPr id="25"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rsidR="008C7751" w:rsidRPr="00E00B35" w:rsidRDefault="008C7751" w:rsidP="00E00B35">
      <w:pPr>
        <w:pStyle w:val="Nagwek4"/>
        <w:spacing w:before="0" w:after="0" w:line="312" w:lineRule="auto"/>
        <w:rPr>
          <w:sz w:val="20"/>
          <w:szCs w:val="20"/>
        </w:rPr>
      </w:pPr>
      <w:bookmarkStart w:id="870" w:name="_Toc66358335"/>
      <w:r w:rsidRPr="00E00B35">
        <w:rPr>
          <w:sz w:val="20"/>
          <w:szCs w:val="20"/>
        </w:rPr>
        <w:t>Kontrola operatorów komunikacji miejskiej i podmiejskiej</w:t>
      </w:r>
      <w:bookmarkEnd w:id="870"/>
    </w:p>
    <w:p w:rsidR="008C7751" w:rsidRPr="00E00B35" w:rsidRDefault="008C7751" w:rsidP="00E00B35">
      <w:pPr>
        <w:spacing w:after="0" w:line="312" w:lineRule="auto"/>
        <w:rPr>
          <w:szCs w:val="20"/>
        </w:rPr>
      </w:pPr>
      <w:r w:rsidRPr="00E00B35">
        <w:rPr>
          <w:szCs w:val="20"/>
        </w:rPr>
        <w:t>Na podstawie obowiązujących umów zawartych między Przewoźnikami a gminą Wrocław, zarejestrowano łącznie 4 232 251 kontroli punktualności i jakości usług przewozowych komunikacji zbiorowej, w tym 12 637 pomiarów jakości usług przewozowych i 4 219 614 zarejestrowanych kontroli automatycznych.</w:t>
      </w:r>
    </w:p>
    <w:p w:rsidR="008C7751" w:rsidRPr="00E00B35" w:rsidRDefault="008C7751" w:rsidP="00E00B35">
      <w:pPr>
        <w:pStyle w:val="Nagwek4"/>
        <w:spacing w:before="0" w:after="0" w:line="312" w:lineRule="auto"/>
        <w:rPr>
          <w:sz w:val="20"/>
          <w:szCs w:val="20"/>
        </w:rPr>
      </w:pPr>
      <w:bookmarkStart w:id="871" w:name="_Toc66358336"/>
      <w:r w:rsidRPr="00E00B35">
        <w:rPr>
          <w:sz w:val="20"/>
          <w:szCs w:val="20"/>
        </w:rPr>
        <w:t>Przetargi publiczne związane z komunikacją zbiorową</w:t>
      </w:r>
      <w:bookmarkEnd w:id="871"/>
    </w:p>
    <w:p w:rsidR="008C7751" w:rsidRPr="00E00B35" w:rsidRDefault="008C7751" w:rsidP="00E00B35">
      <w:pPr>
        <w:spacing w:after="0" w:line="312" w:lineRule="auto"/>
        <w:rPr>
          <w:szCs w:val="20"/>
        </w:rPr>
      </w:pPr>
      <w:r w:rsidRPr="00E00B35">
        <w:rPr>
          <w:szCs w:val="20"/>
        </w:rPr>
        <w:t>Zgodnie z ustawą z dnia 29 stycznia 2004 r. Prawo Zamówień Publicznych (Dz. U. z 2018 r. poz. 1986, ze zm.) przygotowano specyfikację istotnych warunków zamówienia, projekty umów oraz uczestniczono w pracach komisji przetargowych:</w:t>
      </w:r>
    </w:p>
    <w:p w:rsidR="008C7751" w:rsidRPr="00E00B35" w:rsidRDefault="008C7751" w:rsidP="00BC64AB">
      <w:pPr>
        <w:pStyle w:val="Akapitzlist"/>
        <w:numPr>
          <w:ilvl w:val="0"/>
          <w:numId w:val="253"/>
        </w:numPr>
        <w:spacing w:after="0" w:line="312" w:lineRule="auto"/>
        <w:ind w:left="426" w:hanging="426"/>
        <w:rPr>
          <w:szCs w:val="20"/>
        </w:rPr>
      </w:pPr>
      <w:r w:rsidRPr="00E00B35">
        <w:rPr>
          <w:szCs w:val="20"/>
        </w:rPr>
        <w:t>Świadczenie usług w zakresie publicznego transportu zbiorowego organizowanego przez gminę Wrocław na terenie Wrocławia oraz gmin: Czernica, Kąty Wrocławski, Kobierzyce, Siechnice, Żórawina – 1 postępowanie,</w:t>
      </w:r>
    </w:p>
    <w:p w:rsidR="008C7751" w:rsidRPr="00E00B35" w:rsidRDefault="008C7751" w:rsidP="00BC64AB">
      <w:pPr>
        <w:pStyle w:val="Akapitzlist"/>
        <w:numPr>
          <w:ilvl w:val="0"/>
          <w:numId w:val="253"/>
        </w:numPr>
        <w:spacing w:after="0" w:line="312" w:lineRule="auto"/>
        <w:ind w:left="426" w:hanging="426"/>
        <w:rPr>
          <w:szCs w:val="20"/>
        </w:rPr>
      </w:pPr>
      <w:r w:rsidRPr="00E00B35">
        <w:rPr>
          <w:szCs w:val="20"/>
        </w:rPr>
        <w:t>Świadczenie usług w zakresie publicznego transportu zbiorowego organizowanego przez gminę Wrocław na terenie Wrocławia oraz gminy Wisznia Mała – 1 postępowanie.</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 xml:space="preserve">Zgodnie z art. 22 ust.1 ustawy z dnia 16 grudnia 2010 o publicznym transporcie drogowym (Dz. U. z 2020 r. poz. 1944 z późn. zm.) przygotowano specyfikację istotnych </w:t>
      </w:r>
      <w:r w:rsidRPr="00E00B35">
        <w:rPr>
          <w:szCs w:val="20"/>
        </w:rPr>
        <w:lastRenderedPageBreak/>
        <w:t>warunków zamówienia, projekt umowy oraz uczestniczono w pracach komisji przetargowej:</w:t>
      </w:r>
    </w:p>
    <w:p w:rsidR="008C7751" w:rsidRPr="00E00B35" w:rsidRDefault="008C7751" w:rsidP="00BC64AB">
      <w:pPr>
        <w:pStyle w:val="Akapitzlist"/>
        <w:numPr>
          <w:ilvl w:val="0"/>
          <w:numId w:val="253"/>
        </w:numPr>
        <w:spacing w:after="0" w:line="312" w:lineRule="auto"/>
        <w:ind w:left="426" w:hanging="426"/>
        <w:rPr>
          <w:szCs w:val="20"/>
        </w:rPr>
      </w:pPr>
      <w:r w:rsidRPr="00E00B35">
        <w:rPr>
          <w:szCs w:val="20"/>
        </w:rPr>
        <w:t>Świadczenie usług przewozowych na wybranych zadaniach w zakresie publicznego transportu zbiorowego organizowanego przez gminę Wrocław na terenie Wrocławia oraz gminy Długołęka – 1 postępowanie.</w:t>
      </w:r>
    </w:p>
    <w:p w:rsidR="008C7751" w:rsidRPr="00E00B35" w:rsidRDefault="008C7751" w:rsidP="00E00B35">
      <w:pPr>
        <w:pStyle w:val="Tekstpodstawowy"/>
        <w:tabs>
          <w:tab w:val="left" w:pos="567"/>
        </w:tabs>
        <w:suppressAutoHyphens/>
        <w:spacing w:after="0" w:line="312" w:lineRule="auto"/>
        <w:ind w:left="1276"/>
        <w:rPr>
          <w:szCs w:val="20"/>
        </w:rPr>
      </w:pPr>
    </w:p>
    <w:p w:rsidR="008C7751" w:rsidRPr="00E00B35" w:rsidRDefault="008C7751" w:rsidP="00E00B35">
      <w:pPr>
        <w:pStyle w:val="Nagwek4"/>
        <w:spacing w:before="0" w:after="0" w:line="312" w:lineRule="auto"/>
        <w:rPr>
          <w:sz w:val="20"/>
          <w:szCs w:val="20"/>
        </w:rPr>
      </w:pPr>
      <w:bookmarkStart w:id="872" w:name="_Toc66358337"/>
      <w:r w:rsidRPr="00E00B35">
        <w:rPr>
          <w:sz w:val="20"/>
          <w:szCs w:val="20"/>
        </w:rPr>
        <w:t>Zarządzanie transportem publicznym</w:t>
      </w:r>
      <w:bookmarkEnd w:id="872"/>
    </w:p>
    <w:p w:rsidR="008C7751" w:rsidRPr="00E00B35" w:rsidRDefault="008C7751" w:rsidP="00E00B35">
      <w:pPr>
        <w:spacing w:after="0" w:line="312" w:lineRule="auto"/>
        <w:rPr>
          <w:szCs w:val="20"/>
        </w:rPr>
      </w:pPr>
      <w:r w:rsidRPr="00E00B35">
        <w:rPr>
          <w:szCs w:val="20"/>
        </w:rPr>
        <w:t xml:space="preserve">W ramach działań w zakresie zarządzania transportem publicznym wprowadzono nowe rozwiązania komunikacyjne służące zwiększeniu dostępności komunikacyjnej wrocławskich osiedli oraz podniesienie standardów obsługi poszczególnych rejonów Wrocławia i podwrocławskich gmin komunikacją zbiorową. </w:t>
      </w:r>
    </w:p>
    <w:p w:rsidR="008C7751" w:rsidRPr="00E00B35" w:rsidRDefault="008C7751" w:rsidP="00E00B35">
      <w:pPr>
        <w:spacing w:after="0" w:line="312" w:lineRule="auto"/>
        <w:rPr>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Tabela </w:t>
      </w:r>
      <w:r w:rsidR="00573162" w:rsidRPr="00E00B35">
        <w:rPr>
          <w:b/>
          <w:sz w:val="20"/>
          <w:szCs w:val="20"/>
        </w:rPr>
        <w:fldChar w:fldCharType="begin"/>
      </w:r>
      <w:r w:rsidRPr="00E00B35">
        <w:rPr>
          <w:sz w:val="20"/>
          <w:szCs w:val="20"/>
        </w:rPr>
        <w:instrText xml:space="preserve"> SEQ Tabela \* ARABIC </w:instrText>
      </w:r>
      <w:r w:rsidR="00573162" w:rsidRPr="00E00B35">
        <w:rPr>
          <w:b/>
          <w:sz w:val="20"/>
          <w:szCs w:val="20"/>
        </w:rPr>
        <w:fldChar w:fldCharType="separate"/>
      </w:r>
      <w:r w:rsidR="008C054F">
        <w:rPr>
          <w:noProof/>
          <w:sz w:val="20"/>
          <w:szCs w:val="20"/>
        </w:rPr>
        <w:t>5</w:t>
      </w:r>
      <w:r w:rsidR="00573162" w:rsidRPr="00E00B35">
        <w:rPr>
          <w:b/>
          <w:sz w:val="20"/>
          <w:szCs w:val="20"/>
        </w:rPr>
        <w:fldChar w:fldCharType="end"/>
      </w:r>
      <w:r w:rsidRPr="00E00B35">
        <w:rPr>
          <w:sz w:val="20"/>
          <w:szCs w:val="20"/>
        </w:rPr>
        <w:t>. Wykaz zmian wprowadzonych na liniach miejskich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2835"/>
        <w:gridCol w:w="5276"/>
      </w:tblGrid>
      <w:tr w:rsidR="008C7751" w:rsidRPr="00E00B35" w:rsidTr="008C7751">
        <w:trPr>
          <w:trHeight w:val="554"/>
        </w:trPr>
        <w:tc>
          <w:tcPr>
            <w:tcW w:w="993" w:type="dxa"/>
          </w:tcPr>
          <w:p w:rsidR="008C7751" w:rsidRPr="00E00B35" w:rsidRDefault="008C7751" w:rsidP="00E00B35">
            <w:pPr>
              <w:spacing w:after="0" w:line="312" w:lineRule="auto"/>
              <w:rPr>
                <w:szCs w:val="20"/>
              </w:rPr>
            </w:pPr>
            <w:r w:rsidRPr="00E00B35">
              <w:rPr>
                <w:szCs w:val="20"/>
              </w:rPr>
              <w:t>Numer linii</w:t>
            </w:r>
          </w:p>
        </w:tc>
        <w:tc>
          <w:tcPr>
            <w:tcW w:w="2835" w:type="dxa"/>
          </w:tcPr>
          <w:p w:rsidR="008C7751" w:rsidRPr="00E00B35" w:rsidRDefault="008C7751" w:rsidP="00E00B35">
            <w:pPr>
              <w:spacing w:after="0" w:line="312" w:lineRule="auto"/>
              <w:rPr>
                <w:szCs w:val="20"/>
              </w:rPr>
            </w:pPr>
            <w:r w:rsidRPr="00E00B35">
              <w:rPr>
                <w:szCs w:val="20"/>
              </w:rPr>
              <w:t>Forma zmian</w:t>
            </w:r>
          </w:p>
        </w:tc>
        <w:tc>
          <w:tcPr>
            <w:tcW w:w="5276" w:type="dxa"/>
          </w:tcPr>
          <w:p w:rsidR="008C7751" w:rsidRPr="00E00B35" w:rsidRDefault="008C7751" w:rsidP="00E00B35">
            <w:pPr>
              <w:spacing w:after="0" w:line="312" w:lineRule="auto"/>
              <w:rPr>
                <w:szCs w:val="20"/>
              </w:rPr>
            </w:pPr>
            <w:r w:rsidRPr="00E00B35">
              <w:rPr>
                <w:szCs w:val="20"/>
              </w:rPr>
              <w:t>Opis zmiany</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127</w:t>
            </w:r>
          </w:p>
        </w:tc>
        <w:tc>
          <w:tcPr>
            <w:tcW w:w="2835" w:type="dxa"/>
          </w:tcPr>
          <w:p w:rsidR="008C7751" w:rsidRPr="00E00B35" w:rsidRDefault="008C7751" w:rsidP="00E00B35">
            <w:pPr>
              <w:spacing w:after="0" w:line="312" w:lineRule="auto"/>
              <w:rPr>
                <w:szCs w:val="20"/>
              </w:rPr>
            </w:pPr>
            <w:r w:rsidRPr="00E00B35">
              <w:rPr>
                <w:szCs w:val="20"/>
              </w:rPr>
              <w:t>Zmiana trasy przejazdu</w:t>
            </w:r>
          </w:p>
        </w:tc>
        <w:tc>
          <w:tcPr>
            <w:tcW w:w="5276" w:type="dxa"/>
          </w:tcPr>
          <w:p w:rsidR="008C7751" w:rsidRPr="00E00B35" w:rsidRDefault="008C7751" w:rsidP="00E00B35">
            <w:pPr>
              <w:spacing w:after="0" w:line="312" w:lineRule="auto"/>
              <w:rPr>
                <w:szCs w:val="20"/>
              </w:rPr>
            </w:pPr>
            <w:r w:rsidRPr="00E00B35">
              <w:rPr>
                <w:szCs w:val="20"/>
              </w:rPr>
              <w:t>Zmiana trasy linii 127 polegająca na wydłużeniu linii z Kozanowa do pętli przy ulicy Koziej, zapewniające osiedla Maślice przez kolejną linię autobusową.</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111, 246</w:t>
            </w:r>
          </w:p>
        </w:tc>
        <w:tc>
          <w:tcPr>
            <w:tcW w:w="2835" w:type="dxa"/>
          </w:tcPr>
          <w:p w:rsidR="008C7751" w:rsidRPr="00E00B35" w:rsidRDefault="008C7751" w:rsidP="00E00B35">
            <w:pPr>
              <w:spacing w:after="0" w:line="312" w:lineRule="auto"/>
              <w:rPr>
                <w:szCs w:val="20"/>
              </w:rPr>
            </w:pPr>
            <w:r w:rsidRPr="00E00B35">
              <w:rPr>
                <w:szCs w:val="20"/>
              </w:rPr>
              <w:t>Zmiana rozkładu jazdy</w:t>
            </w:r>
          </w:p>
        </w:tc>
        <w:tc>
          <w:tcPr>
            <w:tcW w:w="5276" w:type="dxa"/>
          </w:tcPr>
          <w:p w:rsidR="008C7751" w:rsidRPr="00E00B35" w:rsidRDefault="008C7751" w:rsidP="00E00B35">
            <w:pPr>
              <w:spacing w:after="0" w:line="312" w:lineRule="auto"/>
              <w:rPr>
                <w:szCs w:val="20"/>
              </w:rPr>
            </w:pPr>
            <w:r w:rsidRPr="00E00B35">
              <w:rPr>
                <w:szCs w:val="20"/>
              </w:rPr>
              <w:t>Korekta godzin odjazdu autobusów według próśb mieszkańców osiedla Lipa Piotrowska.</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121</w:t>
            </w:r>
          </w:p>
        </w:tc>
        <w:tc>
          <w:tcPr>
            <w:tcW w:w="2835" w:type="dxa"/>
          </w:tcPr>
          <w:p w:rsidR="008C7751" w:rsidRPr="00E00B35" w:rsidRDefault="008C7751" w:rsidP="00E00B35">
            <w:pPr>
              <w:spacing w:after="0" w:line="312" w:lineRule="auto"/>
              <w:rPr>
                <w:szCs w:val="20"/>
              </w:rPr>
            </w:pPr>
            <w:r w:rsidRPr="00E00B35">
              <w:rPr>
                <w:szCs w:val="20"/>
              </w:rPr>
              <w:t>Zmiana typu taboru</w:t>
            </w:r>
          </w:p>
        </w:tc>
        <w:tc>
          <w:tcPr>
            <w:tcW w:w="5276" w:type="dxa"/>
          </w:tcPr>
          <w:p w:rsidR="008C7751" w:rsidRPr="00E00B35" w:rsidRDefault="008C7751" w:rsidP="00E00B35">
            <w:pPr>
              <w:spacing w:after="0" w:line="312" w:lineRule="auto"/>
              <w:rPr>
                <w:szCs w:val="20"/>
              </w:rPr>
            </w:pPr>
            <w:r w:rsidRPr="00E00B35">
              <w:rPr>
                <w:szCs w:val="20"/>
              </w:rPr>
              <w:t>Skierowanie do obsługi linii 121 autobusów przegubowych poprawiające dostępność miejsc dla pasażerów na odcinku Litewska – Psie Pole - Plac Grunwaldzki</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150</w:t>
            </w:r>
          </w:p>
        </w:tc>
        <w:tc>
          <w:tcPr>
            <w:tcW w:w="2835" w:type="dxa"/>
          </w:tcPr>
          <w:p w:rsidR="008C7751" w:rsidRPr="00E00B35" w:rsidRDefault="008C7751" w:rsidP="00E00B35">
            <w:pPr>
              <w:spacing w:after="0" w:line="312" w:lineRule="auto"/>
              <w:rPr>
                <w:szCs w:val="20"/>
              </w:rPr>
            </w:pPr>
            <w:r w:rsidRPr="00E00B35">
              <w:rPr>
                <w:szCs w:val="20"/>
              </w:rPr>
              <w:t>Zmiana rozkładu jazdy</w:t>
            </w:r>
          </w:p>
        </w:tc>
        <w:tc>
          <w:tcPr>
            <w:tcW w:w="5276" w:type="dxa"/>
          </w:tcPr>
          <w:p w:rsidR="008C7751" w:rsidRPr="00E00B35" w:rsidRDefault="008C7751" w:rsidP="00E00B35">
            <w:pPr>
              <w:spacing w:after="0" w:line="312" w:lineRule="auto"/>
              <w:rPr>
                <w:szCs w:val="20"/>
              </w:rPr>
            </w:pPr>
            <w:r w:rsidRPr="00E00B35">
              <w:rPr>
                <w:szCs w:val="20"/>
              </w:rPr>
              <w:t>Rozkład linii 150 został dostosowany do rozkładu jazdy pociągów Kolei Dolnośląskich w celu umożliwienia dogodnej przesiadki z autobusu do pociągu na stacji kolejowej Psie Pole.</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715</w:t>
            </w:r>
          </w:p>
        </w:tc>
        <w:tc>
          <w:tcPr>
            <w:tcW w:w="2835" w:type="dxa"/>
          </w:tcPr>
          <w:p w:rsidR="008C7751" w:rsidRPr="00E00B35" w:rsidRDefault="008C7751" w:rsidP="00E00B35">
            <w:pPr>
              <w:spacing w:after="0" w:line="312" w:lineRule="auto"/>
              <w:rPr>
                <w:szCs w:val="20"/>
              </w:rPr>
            </w:pPr>
            <w:r w:rsidRPr="00E00B35">
              <w:rPr>
                <w:szCs w:val="20"/>
              </w:rPr>
              <w:t>Zmiana trasy przejazdu</w:t>
            </w:r>
          </w:p>
        </w:tc>
        <w:tc>
          <w:tcPr>
            <w:tcW w:w="5276" w:type="dxa"/>
          </w:tcPr>
          <w:p w:rsidR="008C7751" w:rsidRPr="00E00B35" w:rsidRDefault="008C7751" w:rsidP="00E00B35">
            <w:pPr>
              <w:spacing w:after="0" w:line="312" w:lineRule="auto"/>
              <w:rPr>
                <w:szCs w:val="20"/>
              </w:rPr>
            </w:pPr>
            <w:r w:rsidRPr="00E00B35">
              <w:rPr>
                <w:szCs w:val="20"/>
              </w:rPr>
              <w:t>Na wniosek Rady Osiedla Biskupin – Sępolno – Dąbię – Bartoszowice zmieniona została trasa przejazdu linii 715 w celu obsługi ulicy Dembowskiego i pętli tramwajowej Sępolno.</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130</w:t>
            </w:r>
          </w:p>
        </w:tc>
        <w:tc>
          <w:tcPr>
            <w:tcW w:w="2835" w:type="dxa"/>
          </w:tcPr>
          <w:p w:rsidR="008C7751" w:rsidRPr="00E00B35" w:rsidRDefault="008C7751" w:rsidP="00E00B35">
            <w:pPr>
              <w:spacing w:after="0" w:line="312" w:lineRule="auto"/>
              <w:rPr>
                <w:szCs w:val="20"/>
              </w:rPr>
            </w:pPr>
            <w:r w:rsidRPr="00E00B35">
              <w:rPr>
                <w:szCs w:val="20"/>
              </w:rPr>
              <w:t>Zmiana trasy przejazdu</w:t>
            </w:r>
          </w:p>
        </w:tc>
        <w:tc>
          <w:tcPr>
            <w:tcW w:w="5276" w:type="dxa"/>
          </w:tcPr>
          <w:p w:rsidR="008C7751" w:rsidRPr="00E00B35" w:rsidRDefault="008C7751" w:rsidP="00E00B35">
            <w:pPr>
              <w:spacing w:after="0" w:line="312" w:lineRule="auto"/>
              <w:rPr>
                <w:szCs w:val="20"/>
              </w:rPr>
            </w:pPr>
            <w:r w:rsidRPr="00E00B35">
              <w:rPr>
                <w:szCs w:val="20"/>
              </w:rPr>
              <w:t>Skierowanie linii 130 do Osiedla Sobieskiego umożliwi mieszkańcom tegoż osiedla bezpośrednie połączenie z Kromera i szpitalem przy ul. Kamieńskiego będąc alternatywą dla już istniejących połączeń autobusowych zapewniających bezpośredni dojazd do Placu Grunwaldzkiego.</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151</w:t>
            </w:r>
          </w:p>
        </w:tc>
        <w:tc>
          <w:tcPr>
            <w:tcW w:w="2835" w:type="dxa"/>
          </w:tcPr>
          <w:p w:rsidR="008C7751" w:rsidRPr="00E00B35" w:rsidRDefault="008C7751" w:rsidP="00E00B35">
            <w:pPr>
              <w:spacing w:after="0" w:line="312" w:lineRule="auto"/>
              <w:rPr>
                <w:szCs w:val="20"/>
              </w:rPr>
            </w:pPr>
            <w:r w:rsidRPr="00E00B35">
              <w:rPr>
                <w:szCs w:val="20"/>
              </w:rPr>
              <w:t>Utworzenie nowej linii autobusowej</w:t>
            </w:r>
          </w:p>
        </w:tc>
        <w:tc>
          <w:tcPr>
            <w:tcW w:w="5276" w:type="dxa"/>
          </w:tcPr>
          <w:p w:rsidR="008C7751" w:rsidRPr="00E00B35" w:rsidRDefault="008C7751" w:rsidP="00E00B35">
            <w:pPr>
              <w:spacing w:after="0" w:line="312" w:lineRule="auto"/>
              <w:rPr>
                <w:szCs w:val="20"/>
              </w:rPr>
            </w:pPr>
            <w:r w:rsidRPr="00E00B35">
              <w:rPr>
                <w:szCs w:val="20"/>
              </w:rPr>
              <w:t xml:space="preserve">Nowa linia autobusowa połączyła bezpośrednio Osiedle Pawłowice z Placem Grunwaldzkim spełniając oczekiwania mieszkańców osiedla </w:t>
            </w:r>
            <w:r w:rsidRPr="00E00B35">
              <w:rPr>
                <w:szCs w:val="20"/>
              </w:rPr>
              <w:lastRenderedPageBreak/>
              <w:t>i poprawiając dostępność miejsc dla pasażerów na odcinku Psie Pole – Plac Grunwaldzki.</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lastRenderedPageBreak/>
              <w:t>146</w:t>
            </w:r>
          </w:p>
        </w:tc>
        <w:tc>
          <w:tcPr>
            <w:tcW w:w="2835" w:type="dxa"/>
          </w:tcPr>
          <w:p w:rsidR="008C7751" w:rsidRPr="00E00B35" w:rsidRDefault="008C7751" w:rsidP="00E00B35">
            <w:pPr>
              <w:spacing w:after="0" w:line="312" w:lineRule="auto"/>
              <w:rPr>
                <w:szCs w:val="20"/>
              </w:rPr>
            </w:pPr>
            <w:r w:rsidRPr="00E00B35">
              <w:rPr>
                <w:szCs w:val="20"/>
              </w:rPr>
              <w:t>Zmiana trasy przejazdu</w:t>
            </w:r>
          </w:p>
        </w:tc>
        <w:tc>
          <w:tcPr>
            <w:tcW w:w="5276" w:type="dxa"/>
          </w:tcPr>
          <w:p w:rsidR="008C7751" w:rsidRPr="00E00B35" w:rsidRDefault="008C7751" w:rsidP="00E00B35">
            <w:pPr>
              <w:spacing w:after="0" w:line="312" w:lineRule="auto"/>
              <w:rPr>
                <w:szCs w:val="20"/>
              </w:rPr>
            </w:pPr>
            <w:r w:rsidRPr="00E00B35">
              <w:rPr>
                <w:szCs w:val="20"/>
              </w:rPr>
              <w:t>Zmiana trasy autobusu linii 146 mająca na celu poprawę obsługi al. Armii Krajowej i zapewnienie bezpośredniego dojazdu mieszkańcom z obszaru ulicy Orzechowej Dworcem Autobusowym i Dworcem Głównym oraz przychodni na ul. Dobrzyńskiej.</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126</w:t>
            </w:r>
          </w:p>
        </w:tc>
        <w:tc>
          <w:tcPr>
            <w:tcW w:w="2835" w:type="dxa"/>
          </w:tcPr>
          <w:p w:rsidR="008C7751" w:rsidRPr="00E00B35" w:rsidRDefault="008C7751" w:rsidP="00E00B35">
            <w:pPr>
              <w:spacing w:after="0" w:line="312" w:lineRule="auto"/>
              <w:rPr>
                <w:szCs w:val="20"/>
              </w:rPr>
            </w:pPr>
            <w:r w:rsidRPr="00E00B35">
              <w:rPr>
                <w:szCs w:val="20"/>
              </w:rPr>
              <w:t>Zmiana typu taboru</w:t>
            </w:r>
          </w:p>
        </w:tc>
        <w:tc>
          <w:tcPr>
            <w:tcW w:w="5276" w:type="dxa"/>
          </w:tcPr>
          <w:p w:rsidR="008C7751" w:rsidRPr="00E00B35" w:rsidRDefault="008C7751" w:rsidP="00E00B35">
            <w:pPr>
              <w:spacing w:after="0" w:line="312" w:lineRule="auto"/>
              <w:rPr>
                <w:szCs w:val="20"/>
              </w:rPr>
            </w:pPr>
            <w:r w:rsidRPr="00E00B35">
              <w:rPr>
                <w:szCs w:val="20"/>
              </w:rPr>
              <w:t>Wprowadzenie do obsługi linii 126 autobusów przegubowych na wybranych kursach, na których stwierdzono zwiększoną ilość pasażerów.</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133</w:t>
            </w:r>
          </w:p>
        </w:tc>
        <w:tc>
          <w:tcPr>
            <w:tcW w:w="2835" w:type="dxa"/>
          </w:tcPr>
          <w:p w:rsidR="008C7751" w:rsidRPr="00E00B35" w:rsidRDefault="008C7751" w:rsidP="00E00B35">
            <w:pPr>
              <w:spacing w:after="0" w:line="312" w:lineRule="auto"/>
              <w:rPr>
                <w:szCs w:val="20"/>
              </w:rPr>
            </w:pPr>
            <w:r w:rsidRPr="00E00B35">
              <w:rPr>
                <w:szCs w:val="20"/>
              </w:rPr>
              <w:t>Zmiana trasy przejazdu</w:t>
            </w:r>
          </w:p>
        </w:tc>
        <w:tc>
          <w:tcPr>
            <w:tcW w:w="5276" w:type="dxa"/>
          </w:tcPr>
          <w:p w:rsidR="008C7751" w:rsidRPr="00E00B35" w:rsidRDefault="008C7751" w:rsidP="00E00B35">
            <w:pPr>
              <w:spacing w:after="0" w:line="312" w:lineRule="auto"/>
              <w:rPr>
                <w:szCs w:val="20"/>
              </w:rPr>
            </w:pPr>
            <w:r w:rsidRPr="00E00B35">
              <w:rPr>
                <w:szCs w:val="20"/>
              </w:rPr>
              <w:t>Na mocy umowy z Centrum Handlowym Aleja Bielany wybrane kursy linii 133 zostały skierowane do centrum handlowego.</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701</w:t>
            </w:r>
          </w:p>
        </w:tc>
        <w:tc>
          <w:tcPr>
            <w:tcW w:w="2835" w:type="dxa"/>
          </w:tcPr>
          <w:p w:rsidR="008C7751" w:rsidRPr="00E00B35" w:rsidRDefault="008C7751" w:rsidP="00E00B35">
            <w:pPr>
              <w:spacing w:after="0" w:line="312" w:lineRule="auto"/>
              <w:rPr>
                <w:szCs w:val="20"/>
              </w:rPr>
            </w:pPr>
            <w:r w:rsidRPr="00E00B35">
              <w:rPr>
                <w:szCs w:val="20"/>
              </w:rPr>
              <w:t>Zmiana trasy przejazdu</w:t>
            </w:r>
          </w:p>
        </w:tc>
        <w:tc>
          <w:tcPr>
            <w:tcW w:w="5276" w:type="dxa"/>
          </w:tcPr>
          <w:p w:rsidR="008C7751" w:rsidRPr="00E00B35" w:rsidRDefault="008C7751" w:rsidP="00E00B35">
            <w:pPr>
              <w:spacing w:after="0" w:line="312" w:lineRule="auto"/>
              <w:rPr>
                <w:szCs w:val="20"/>
              </w:rPr>
            </w:pPr>
            <w:r w:rsidRPr="00E00B35">
              <w:rPr>
                <w:szCs w:val="20"/>
              </w:rPr>
              <w:t>Skierowanie dodatkowej linii specjalnej 701 kursującej w relacji Bartoszowice – Hala Stulecia do placu Grunwaldzkiego, w celu poprawy możliwości przesiadki do linii tramwajowych w związku z remontem pętli tramwajowej Biskupin.</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144</w:t>
            </w:r>
          </w:p>
        </w:tc>
        <w:tc>
          <w:tcPr>
            <w:tcW w:w="2835" w:type="dxa"/>
          </w:tcPr>
          <w:p w:rsidR="008C7751" w:rsidRPr="00E00B35" w:rsidRDefault="008C7751" w:rsidP="00E00B35">
            <w:pPr>
              <w:spacing w:after="0" w:line="312" w:lineRule="auto"/>
              <w:rPr>
                <w:szCs w:val="20"/>
              </w:rPr>
            </w:pPr>
            <w:r w:rsidRPr="00E00B35">
              <w:rPr>
                <w:szCs w:val="20"/>
              </w:rPr>
              <w:t>Zmiana trasy przejazdu</w:t>
            </w:r>
          </w:p>
        </w:tc>
        <w:tc>
          <w:tcPr>
            <w:tcW w:w="5276" w:type="dxa"/>
          </w:tcPr>
          <w:p w:rsidR="008C7751" w:rsidRPr="00E00B35" w:rsidRDefault="008C7751" w:rsidP="00E00B35">
            <w:pPr>
              <w:spacing w:after="0" w:line="312" w:lineRule="auto"/>
              <w:rPr>
                <w:szCs w:val="20"/>
              </w:rPr>
            </w:pPr>
            <w:r w:rsidRPr="00E00B35">
              <w:rPr>
                <w:szCs w:val="20"/>
              </w:rPr>
              <w:t>W celu poprawy obsługi komunikacyjnej osiedla Partynice i Ołtaszyn linia 144 została skierowana do pętli przy ulicy Zwycięskiej poprawiając dostępność miejsc dla mieszkańców ul. Zwycięskiej i Ołtaszyńskiej.</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744</w:t>
            </w:r>
          </w:p>
        </w:tc>
        <w:tc>
          <w:tcPr>
            <w:tcW w:w="2835" w:type="dxa"/>
          </w:tcPr>
          <w:p w:rsidR="008C7751" w:rsidRPr="00E00B35" w:rsidRDefault="008C7751" w:rsidP="00E00B35">
            <w:pPr>
              <w:spacing w:after="0" w:line="312" w:lineRule="auto"/>
              <w:rPr>
                <w:szCs w:val="20"/>
              </w:rPr>
            </w:pPr>
            <w:r w:rsidRPr="00E00B35">
              <w:rPr>
                <w:szCs w:val="20"/>
              </w:rPr>
              <w:t>Utworzenie nowej linii autobusowej</w:t>
            </w:r>
          </w:p>
        </w:tc>
        <w:tc>
          <w:tcPr>
            <w:tcW w:w="5276" w:type="dxa"/>
          </w:tcPr>
          <w:p w:rsidR="008C7751" w:rsidRPr="00E00B35" w:rsidRDefault="008C7751" w:rsidP="00E00B35">
            <w:pPr>
              <w:spacing w:after="0" w:line="312" w:lineRule="auto"/>
              <w:rPr>
                <w:szCs w:val="20"/>
              </w:rPr>
            </w:pPr>
            <w:r w:rsidRPr="00E00B35">
              <w:rPr>
                <w:szCs w:val="20"/>
              </w:rPr>
              <w:t>W związku ze zmianą trasy linii 144 w celu zapewnienia obsługi komunikacyjnej Osiedla Alina na wniosek mieszkańców została skierowana dodatkowa linia specjalna 744 kursująca w relacji Wojszycka – Krzyki.</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A, 116, 119</w:t>
            </w:r>
          </w:p>
        </w:tc>
        <w:tc>
          <w:tcPr>
            <w:tcW w:w="2835" w:type="dxa"/>
          </w:tcPr>
          <w:p w:rsidR="008C7751" w:rsidRPr="00E00B35" w:rsidRDefault="008C7751" w:rsidP="00E00B35">
            <w:pPr>
              <w:spacing w:after="0" w:line="312" w:lineRule="auto"/>
              <w:rPr>
                <w:szCs w:val="20"/>
              </w:rPr>
            </w:pPr>
            <w:r w:rsidRPr="00E00B35">
              <w:rPr>
                <w:szCs w:val="20"/>
              </w:rPr>
              <w:t>Zmiana rozkładu jazdy</w:t>
            </w:r>
          </w:p>
        </w:tc>
        <w:tc>
          <w:tcPr>
            <w:tcW w:w="5276" w:type="dxa"/>
          </w:tcPr>
          <w:p w:rsidR="008C7751" w:rsidRPr="00E00B35" w:rsidRDefault="008C7751" w:rsidP="00E00B35">
            <w:pPr>
              <w:spacing w:after="0" w:line="312" w:lineRule="auto"/>
              <w:rPr>
                <w:szCs w:val="20"/>
              </w:rPr>
            </w:pPr>
            <w:r w:rsidRPr="00E00B35">
              <w:rPr>
                <w:szCs w:val="20"/>
              </w:rPr>
              <w:t>Uruchomienie dodatkowych kursów linii A, 116 i 119 w celu poprawy obsługi komunikacyjnej Osiedla Sołtysowice.</w:t>
            </w:r>
          </w:p>
        </w:tc>
      </w:tr>
    </w:tbl>
    <w:p w:rsidR="008C7751" w:rsidRPr="00E00B35" w:rsidRDefault="008C7751" w:rsidP="00E00B35">
      <w:pPr>
        <w:pStyle w:val="Bezodstpw"/>
        <w:spacing w:line="312" w:lineRule="auto"/>
        <w:rPr>
          <w:rFonts w:ascii="Verdana" w:hAnsi="Verdana"/>
          <w:sz w:val="20"/>
          <w:szCs w:val="20"/>
        </w:rPr>
      </w:pPr>
    </w:p>
    <w:p w:rsidR="008C7751" w:rsidRPr="00E00B35" w:rsidRDefault="008C7751" w:rsidP="00E00B35">
      <w:pPr>
        <w:spacing w:after="0" w:line="312" w:lineRule="auto"/>
        <w:rPr>
          <w:szCs w:val="20"/>
        </w:rPr>
      </w:pPr>
      <w:r w:rsidRPr="00E00B35">
        <w:rPr>
          <w:szCs w:val="20"/>
        </w:rPr>
        <w:t xml:space="preserve">Tabela </w:t>
      </w:r>
      <w:r w:rsidR="00573162" w:rsidRPr="00E00B35">
        <w:rPr>
          <w:szCs w:val="20"/>
        </w:rPr>
        <w:fldChar w:fldCharType="begin"/>
      </w:r>
      <w:r w:rsidRPr="00E00B35">
        <w:rPr>
          <w:szCs w:val="20"/>
        </w:rPr>
        <w:instrText xml:space="preserve"> SEQ Tabela \* ARABIC </w:instrText>
      </w:r>
      <w:r w:rsidR="00573162" w:rsidRPr="00E00B35">
        <w:rPr>
          <w:szCs w:val="20"/>
        </w:rPr>
        <w:fldChar w:fldCharType="separate"/>
      </w:r>
      <w:r w:rsidR="008C054F">
        <w:rPr>
          <w:noProof/>
          <w:szCs w:val="20"/>
        </w:rPr>
        <w:t>6</w:t>
      </w:r>
      <w:r w:rsidR="00573162" w:rsidRPr="00E00B35">
        <w:rPr>
          <w:szCs w:val="20"/>
        </w:rPr>
        <w:fldChar w:fldCharType="end"/>
      </w:r>
      <w:r w:rsidRPr="00E00B35">
        <w:rPr>
          <w:szCs w:val="20"/>
        </w:rPr>
        <w:t>. Wykaz zmian wprowadzonych na liniach podmiejskich strefowych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2835"/>
        <w:gridCol w:w="5276"/>
      </w:tblGrid>
      <w:tr w:rsidR="008C7751" w:rsidRPr="00E00B35" w:rsidTr="008C7751">
        <w:tc>
          <w:tcPr>
            <w:tcW w:w="993" w:type="dxa"/>
          </w:tcPr>
          <w:p w:rsidR="008C7751" w:rsidRPr="00E00B35" w:rsidRDefault="008C7751" w:rsidP="00E00B35">
            <w:pPr>
              <w:spacing w:after="0" w:line="312" w:lineRule="auto"/>
              <w:rPr>
                <w:szCs w:val="20"/>
              </w:rPr>
            </w:pPr>
            <w:r w:rsidRPr="00E00B35">
              <w:rPr>
                <w:szCs w:val="20"/>
              </w:rPr>
              <w:t>Numer linii</w:t>
            </w:r>
          </w:p>
        </w:tc>
        <w:tc>
          <w:tcPr>
            <w:tcW w:w="2835" w:type="dxa"/>
          </w:tcPr>
          <w:p w:rsidR="008C7751" w:rsidRPr="00E00B35" w:rsidRDefault="008C7751" w:rsidP="00E00B35">
            <w:pPr>
              <w:spacing w:after="0" w:line="312" w:lineRule="auto"/>
              <w:rPr>
                <w:szCs w:val="20"/>
              </w:rPr>
            </w:pPr>
            <w:r w:rsidRPr="00E00B35">
              <w:rPr>
                <w:szCs w:val="20"/>
              </w:rPr>
              <w:t>Forma zmian</w:t>
            </w:r>
          </w:p>
        </w:tc>
        <w:tc>
          <w:tcPr>
            <w:tcW w:w="5276" w:type="dxa"/>
          </w:tcPr>
          <w:p w:rsidR="008C7751" w:rsidRPr="00E00B35" w:rsidRDefault="008C7751" w:rsidP="00E00B35">
            <w:pPr>
              <w:spacing w:after="0" w:line="312" w:lineRule="auto"/>
              <w:rPr>
                <w:szCs w:val="20"/>
              </w:rPr>
            </w:pPr>
            <w:r w:rsidRPr="00E00B35">
              <w:rPr>
                <w:szCs w:val="20"/>
              </w:rPr>
              <w:t>Opis zmiany</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908</w:t>
            </w:r>
          </w:p>
        </w:tc>
        <w:tc>
          <w:tcPr>
            <w:tcW w:w="2835" w:type="dxa"/>
          </w:tcPr>
          <w:p w:rsidR="008C7751" w:rsidRPr="00E00B35" w:rsidRDefault="008C7751" w:rsidP="00E00B35">
            <w:pPr>
              <w:spacing w:after="0" w:line="312" w:lineRule="auto"/>
              <w:rPr>
                <w:szCs w:val="20"/>
              </w:rPr>
            </w:pPr>
            <w:r w:rsidRPr="00E00B35">
              <w:rPr>
                <w:szCs w:val="20"/>
              </w:rPr>
              <w:t>Zmiana rozkładu jazdy</w:t>
            </w:r>
          </w:p>
        </w:tc>
        <w:tc>
          <w:tcPr>
            <w:tcW w:w="5276" w:type="dxa"/>
          </w:tcPr>
          <w:p w:rsidR="008C7751" w:rsidRPr="00E00B35" w:rsidRDefault="008C7751" w:rsidP="00E00B35">
            <w:pPr>
              <w:spacing w:after="0" w:line="312" w:lineRule="auto"/>
              <w:rPr>
                <w:szCs w:val="20"/>
              </w:rPr>
            </w:pPr>
            <w:r w:rsidRPr="00E00B35">
              <w:rPr>
                <w:szCs w:val="20"/>
              </w:rPr>
              <w:t>W celu poprawy obsługi komunikacyjnej osiedla Widawa w godzinach porannego i popołudniowego szczytu komunikacyjnego zwiększona została częstotliwość kursowania linii 908 z 30 do 15 minut.</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936</w:t>
            </w:r>
          </w:p>
        </w:tc>
        <w:tc>
          <w:tcPr>
            <w:tcW w:w="2835" w:type="dxa"/>
          </w:tcPr>
          <w:p w:rsidR="008C7751" w:rsidRPr="00E00B35" w:rsidRDefault="008C7751" w:rsidP="00E00B35">
            <w:pPr>
              <w:spacing w:after="0" w:line="312" w:lineRule="auto"/>
              <w:rPr>
                <w:szCs w:val="20"/>
              </w:rPr>
            </w:pPr>
            <w:r w:rsidRPr="00E00B35">
              <w:rPr>
                <w:szCs w:val="20"/>
              </w:rPr>
              <w:t>Zmiana trasy przejazdu</w:t>
            </w:r>
          </w:p>
        </w:tc>
        <w:tc>
          <w:tcPr>
            <w:tcW w:w="5276" w:type="dxa"/>
          </w:tcPr>
          <w:p w:rsidR="008C7751" w:rsidRPr="00E00B35" w:rsidRDefault="008C7751" w:rsidP="00E00B35">
            <w:pPr>
              <w:spacing w:after="0" w:line="312" w:lineRule="auto"/>
              <w:rPr>
                <w:szCs w:val="20"/>
              </w:rPr>
            </w:pPr>
            <w:r w:rsidRPr="00E00B35">
              <w:rPr>
                <w:szCs w:val="20"/>
              </w:rPr>
              <w:t xml:space="preserve">W celu obsługi obecnie nieobsługiwanych </w:t>
            </w:r>
            <w:r w:rsidRPr="00E00B35">
              <w:rPr>
                <w:szCs w:val="20"/>
              </w:rPr>
              <w:lastRenderedPageBreak/>
              <w:t>obszarów miejscowości Mirków, tzw. „Stary Mirków” oraz zwiększenia dostępności miejsc na ul. Bierutowskiej do powyższej miejscowości skierowane zostały wybrane kursy linii 936.</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lastRenderedPageBreak/>
              <w:t>941</w:t>
            </w:r>
          </w:p>
        </w:tc>
        <w:tc>
          <w:tcPr>
            <w:tcW w:w="2835" w:type="dxa"/>
          </w:tcPr>
          <w:p w:rsidR="008C7751" w:rsidRPr="00E00B35" w:rsidRDefault="008C7751" w:rsidP="00E00B35">
            <w:pPr>
              <w:spacing w:after="0" w:line="312" w:lineRule="auto"/>
              <w:rPr>
                <w:szCs w:val="20"/>
              </w:rPr>
            </w:pPr>
            <w:r w:rsidRPr="00E00B35">
              <w:rPr>
                <w:szCs w:val="20"/>
              </w:rPr>
              <w:t>Utworzenie nowej linii autobusowej</w:t>
            </w:r>
          </w:p>
        </w:tc>
        <w:tc>
          <w:tcPr>
            <w:tcW w:w="5276" w:type="dxa"/>
          </w:tcPr>
          <w:p w:rsidR="008C7751" w:rsidRPr="00E00B35" w:rsidRDefault="008C7751" w:rsidP="00E00B35">
            <w:pPr>
              <w:spacing w:after="0" w:line="312" w:lineRule="auto"/>
              <w:rPr>
                <w:szCs w:val="20"/>
              </w:rPr>
            </w:pPr>
            <w:r w:rsidRPr="00E00B35">
              <w:rPr>
                <w:szCs w:val="20"/>
              </w:rPr>
              <w:t>W wyniku rozwoju siatki połączeń autobusowych na terenie gminy Długołęka oraz połączeń miejscowości na terenie gminy Długołęka z Wrocławiem utworzona została nowa linia autobusowa 941. Połączyła ona Szczodre, Długołękę, Kamień, Piecowice, Kiełczów i Kiełczówek z pętlami tramwajowymi Sępolno i Stadion Olimpijski łącząc również dwie największe miejscowości, które dotychczas nie posiadały bezpośredniego połączenia tj. Kiełczów i Długołękę.</w:t>
            </w:r>
          </w:p>
        </w:tc>
      </w:tr>
    </w:tbl>
    <w:p w:rsidR="008C7751" w:rsidRPr="00E00B35" w:rsidRDefault="008C7751" w:rsidP="00E00B35">
      <w:pPr>
        <w:pStyle w:val="Styl1NagwkiGwne"/>
        <w:spacing w:line="312" w:lineRule="auto"/>
        <w:jc w:val="left"/>
        <w:rPr>
          <w:b w:val="0"/>
        </w:rPr>
      </w:pPr>
    </w:p>
    <w:p w:rsidR="008C7751" w:rsidRPr="00E00B35" w:rsidRDefault="008C7751" w:rsidP="00E00B35">
      <w:pPr>
        <w:spacing w:after="0" w:line="312" w:lineRule="auto"/>
        <w:rPr>
          <w:szCs w:val="20"/>
        </w:rPr>
      </w:pPr>
      <w:r w:rsidRPr="00E00B35">
        <w:rPr>
          <w:szCs w:val="20"/>
        </w:rPr>
        <w:t xml:space="preserve">Tabela </w:t>
      </w:r>
      <w:r w:rsidR="00573162" w:rsidRPr="00E00B35">
        <w:rPr>
          <w:szCs w:val="20"/>
        </w:rPr>
        <w:fldChar w:fldCharType="begin"/>
      </w:r>
      <w:r w:rsidRPr="00E00B35">
        <w:rPr>
          <w:szCs w:val="20"/>
        </w:rPr>
        <w:instrText xml:space="preserve"> SEQ Tabela \* ARABIC </w:instrText>
      </w:r>
      <w:r w:rsidR="00573162" w:rsidRPr="00E00B35">
        <w:rPr>
          <w:szCs w:val="20"/>
        </w:rPr>
        <w:fldChar w:fldCharType="separate"/>
      </w:r>
      <w:r w:rsidR="008C054F">
        <w:rPr>
          <w:noProof/>
          <w:szCs w:val="20"/>
        </w:rPr>
        <w:t>7</w:t>
      </w:r>
      <w:r w:rsidR="00573162" w:rsidRPr="00E00B35">
        <w:rPr>
          <w:szCs w:val="20"/>
        </w:rPr>
        <w:fldChar w:fldCharType="end"/>
      </w:r>
      <w:r w:rsidRPr="00E00B35">
        <w:rPr>
          <w:szCs w:val="20"/>
        </w:rPr>
        <w:t>. Wykaz zmian w infrastrukturze przystankowej</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2835"/>
        <w:gridCol w:w="5276"/>
      </w:tblGrid>
      <w:tr w:rsidR="008C7751" w:rsidRPr="00E00B35" w:rsidTr="008C7751">
        <w:tc>
          <w:tcPr>
            <w:tcW w:w="993" w:type="dxa"/>
          </w:tcPr>
          <w:p w:rsidR="008C7751" w:rsidRPr="00E00B35" w:rsidRDefault="008C7751" w:rsidP="00E00B35">
            <w:pPr>
              <w:spacing w:after="0" w:line="312" w:lineRule="auto"/>
              <w:rPr>
                <w:szCs w:val="20"/>
              </w:rPr>
            </w:pPr>
            <w:r w:rsidRPr="00E00B35">
              <w:rPr>
                <w:szCs w:val="20"/>
              </w:rPr>
              <w:t>Numer linii</w:t>
            </w:r>
          </w:p>
        </w:tc>
        <w:tc>
          <w:tcPr>
            <w:tcW w:w="2835" w:type="dxa"/>
          </w:tcPr>
          <w:p w:rsidR="008C7751" w:rsidRPr="00E00B35" w:rsidRDefault="008C7751" w:rsidP="00E00B35">
            <w:pPr>
              <w:spacing w:after="0" w:line="312" w:lineRule="auto"/>
              <w:rPr>
                <w:szCs w:val="20"/>
              </w:rPr>
            </w:pPr>
            <w:r w:rsidRPr="00E00B35">
              <w:rPr>
                <w:szCs w:val="20"/>
              </w:rPr>
              <w:t>Forma zmian</w:t>
            </w:r>
          </w:p>
        </w:tc>
        <w:tc>
          <w:tcPr>
            <w:tcW w:w="5276" w:type="dxa"/>
          </w:tcPr>
          <w:p w:rsidR="008C7751" w:rsidRPr="00E00B35" w:rsidRDefault="008C7751" w:rsidP="00E00B35">
            <w:pPr>
              <w:spacing w:after="0" w:line="312" w:lineRule="auto"/>
              <w:rPr>
                <w:szCs w:val="20"/>
              </w:rPr>
            </w:pPr>
            <w:r w:rsidRPr="00E00B35">
              <w:rPr>
                <w:szCs w:val="20"/>
              </w:rPr>
              <w:t>Opis zmiany</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111</w:t>
            </w:r>
          </w:p>
        </w:tc>
        <w:tc>
          <w:tcPr>
            <w:tcW w:w="2835" w:type="dxa"/>
          </w:tcPr>
          <w:p w:rsidR="008C7751" w:rsidRPr="00E00B35" w:rsidRDefault="008C7751" w:rsidP="00E00B35">
            <w:pPr>
              <w:spacing w:after="0" w:line="312" w:lineRule="auto"/>
              <w:rPr>
                <w:szCs w:val="20"/>
              </w:rPr>
            </w:pPr>
            <w:r w:rsidRPr="00E00B35">
              <w:rPr>
                <w:szCs w:val="20"/>
              </w:rPr>
              <w:t>Nowy przystanek</w:t>
            </w:r>
          </w:p>
        </w:tc>
        <w:tc>
          <w:tcPr>
            <w:tcW w:w="5276" w:type="dxa"/>
          </w:tcPr>
          <w:p w:rsidR="008C7751" w:rsidRPr="00E00B35" w:rsidRDefault="008C7751" w:rsidP="00E00B35">
            <w:pPr>
              <w:spacing w:after="0" w:line="312" w:lineRule="auto"/>
              <w:rPr>
                <w:szCs w:val="20"/>
              </w:rPr>
            </w:pPr>
            <w:r w:rsidRPr="00E00B35">
              <w:rPr>
                <w:szCs w:val="20"/>
              </w:rPr>
              <w:t>Linia autobusowa 111 obsługuje nowy przystanek zlokalizowany na torowisku tramwajowym przy skrzyżowaniu ulic Wyszyńskiego i Sienkiewicza w pobliżu Ogrodu Botanicznego o nazwie „Ogród Botaniczny”, dzięki czemu możliwa jest przesiadka do innych linii autobusowych takich jak A, N, 904, 914 i 924.</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132, 142</w:t>
            </w:r>
          </w:p>
        </w:tc>
        <w:tc>
          <w:tcPr>
            <w:tcW w:w="2835" w:type="dxa"/>
          </w:tcPr>
          <w:p w:rsidR="008C7751" w:rsidRPr="00E00B35" w:rsidRDefault="008C7751" w:rsidP="00E00B35">
            <w:pPr>
              <w:spacing w:after="0" w:line="312" w:lineRule="auto"/>
              <w:rPr>
                <w:szCs w:val="20"/>
              </w:rPr>
            </w:pPr>
            <w:r w:rsidRPr="00E00B35">
              <w:rPr>
                <w:szCs w:val="20"/>
              </w:rPr>
              <w:t>Nowy przystanek</w:t>
            </w:r>
          </w:p>
        </w:tc>
        <w:tc>
          <w:tcPr>
            <w:tcW w:w="5276" w:type="dxa"/>
          </w:tcPr>
          <w:p w:rsidR="008C7751" w:rsidRPr="00E00B35" w:rsidRDefault="008C7751" w:rsidP="00E00B35">
            <w:pPr>
              <w:spacing w:after="0" w:line="312" w:lineRule="auto"/>
              <w:rPr>
                <w:szCs w:val="20"/>
              </w:rPr>
            </w:pPr>
            <w:r w:rsidRPr="00E00B35">
              <w:rPr>
                <w:szCs w:val="20"/>
              </w:rPr>
              <w:t>Na trasie przejazdu autobusów linii 132 i 142 w kierunku Nowego Dworu powstał nowy przystanek autobusowy zapewniający możliwość korzystania przez pasażerów z komunikacji autobusowej w obu kierunkach.</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106, 107, 109, 132, 142, 148, 149, 609</w:t>
            </w:r>
          </w:p>
        </w:tc>
        <w:tc>
          <w:tcPr>
            <w:tcW w:w="2835" w:type="dxa"/>
          </w:tcPr>
          <w:p w:rsidR="008C7751" w:rsidRPr="00E00B35" w:rsidRDefault="008C7751" w:rsidP="00E00B35">
            <w:pPr>
              <w:spacing w:after="0" w:line="312" w:lineRule="auto"/>
              <w:rPr>
                <w:szCs w:val="20"/>
              </w:rPr>
            </w:pPr>
            <w:r w:rsidRPr="00E00B35">
              <w:rPr>
                <w:szCs w:val="20"/>
              </w:rPr>
              <w:t>Zmiana statusu przystanku</w:t>
            </w:r>
          </w:p>
        </w:tc>
        <w:tc>
          <w:tcPr>
            <w:tcW w:w="5276" w:type="dxa"/>
          </w:tcPr>
          <w:p w:rsidR="008C7751" w:rsidRPr="00E00B35" w:rsidRDefault="008C7751" w:rsidP="00E00B35">
            <w:pPr>
              <w:spacing w:after="0" w:line="312" w:lineRule="auto"/>
              <w:rPr>
                <w:szCs w:val="20"/>
              </w:rPr>
            </w:pPr>
            <w:r w:rsidRPr="00E00B35">
              <w:rPr>
                <w:szCs w:val="20"/>
              </w:rPr>
              <w:t>W związku ze wzrostem liczby pasażerów korzystających z przystanku „Wrocławski Park Przemysłowy” zmianie uległ jego status z przystanku „Na żądanie” na przystanek stały.</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A, N</w:t>
            </w:r>
          </w:p>
        </w:tc>
        <w:tc>
          <w:tcPr>
            <w:tcW w:w="2835" w:type="dxa"/>
          </w:tcPr>
          <w:p w:rsidR="008C7751" w:rsidRPr="00E00B35" w:rsidRDefault="008C7751" w:rsidP="00E00B35">
            <w:pPr>
              <w:spacing w:after="0" w:line="312" w:lineRule="auto"/>
              <w:rPr>
                <w:szCs w:val="20"/>
              </w:rPr>
            </w:pPr>
            <w:r w:rsidRPr="00E00B35">
              <w:rPr>
                <w:szCs w:val="20"/>
              </w:rPr>
              <w:t>Nowy przystanek</w:t>
            </w:r>
          </w:p>
        </w:tc>
        <w:tc>
          <w:tcPr>
            <w:tcW w:w="5276" w:type="dxa"/>
          </w:tcPr>
          <w:p w:rsidR="008C7751" w:rsidRPr="00E00B35" w:rsidRDefault="008C7751" w:rsidP="00E00B35">
            <w:pPr>
              <w:spacing w:after="0" w:line="312" w:lineRule="auto"/>
              <w:rPr>
                <w:szCs w:val="20"/>
              </w:rPr>
            </w:pPr>
            <w:r w:rsidRPr="00E00B35">
              <w:rPr>
                <w:szCs w:val="20"/>
              </w:rPr>
              <w:t xml:space="preserve">W celu poprawy obsługi komunikacyjnej okolic ulicy Wyszyńskiego i Szczytnickiej do trasy linii autobusowych A i N wprowadzony został przystanek „Katedra” zlokalizowany w pobliżu powyższych ulic. Przystanek uzyskał status </w:t>
            </w:r>
            <w:r w:rsidRPr="00E00B35">
              <w:rPr>
                <w:szCs w:val="20"/>
              </w:rPr>
              <w:lastRenderedPageBreak/>
              <w:t>przystanku „Na żądanie”.</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lastRenderedPageBreak/>
              <w:t>A, 106, 114, 120, 148, 149</w:t>
            </w:r>
          </w:p>
        </w:tc>
        <w:tc>
          <w:tcPr>
            <w:tcW w:w="2835" w:type="dxa"/>
          </w:tcPr>
          <w:p w:rsidR="008C7751" w:rsidRPr="00E00B35" w:rsidRDefault="008C7751" w:rsidP="00E00B35">
            <w:pPr>
              <w:spacing w:after="0" w:line="312" w:lineRule="auto"/>
              <w:rPr>
                <w:szCs w:val="20"/>
              </w:rPr>
            </w:pPr>
            <w:r w:rsidRPr="00E00B35">
              <w:rPr>
                <w:szCs w:val="20"/>
              </w:rPr>
              <w:t>Zmiana nazwy przystanku</w:t>
            </w:r>
          </w:p>
        </w:tc>
        <w:tc>
          <w:tcPr>
            <w:tcW w:w="5276" w:type="dxa"/>
          </w:tcPr>
          <w:p w:rsidR="008C7751" w:rsidRPr="00E00B35" w:rsidRDefault="008C7751" w:rsidP="00E00B35">
            <w:pPr>
              <w:spacing w:after="0" w:line="312" w:lineRule="auto"/>
              <w:rPr>
                <w:szCs w:val="20"/>
              </w:rPr>
            </w:pPr>
            <w:r w:rsidRPr="00E00B35">
              <w:rPr>
                <w:szCs w:val="20"/>
              </w:rPr>
              <w:t>W celu lepszej identyfikacji przystanków zlokalizowanych w pobliżu głównego dworca kolejowego we Wrocławiu przystanek „Dworcowa” zyskał nazwę „ Dworzec Główny – Dworcowa”.</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602, 607</w:t>
            </w:r>
          </w:p>
        </w:tc>
        <w:tc>
          <w:tcPr>
            <w:tcW w:w="2835" w:type="dxa"/>
          </w:tcPr>
          <w:p w:rsidR="008C7751" w:rsidRPr="00E00B35" w:rsidRDefault="008C7751" w:rsidP="00E00B35">
            <w:pPr>
              <w:spacing w:after="0" w:line="312" w:lineRule="auto"/>
              <w:rPr>
                <w:szCs w:val="20"/>
              </w:rPr>
            </w:pPr>
            <w:r w:rsidRPr="00E00B35">
              <w:rPr>
                <w:szCs w:val="20"/>
              </w:rPr>
              <w:t>Zmiana nazwy przystanku</w:t>
            </w:r>
          </w:p>
        </w:tc>
        <w:tc>
          <w:tcPr>
            <w:tcW w:w="5276" w:type="dxa"/>
          </w:tcPr>
          <w:p w:rsidR="008C7751" w:rsidRPr="00E00B35" w:rsidRDefault="008C7751" w:rsidP="00E00B35">
            <w:pPr>
              <w:spacing w:after="0" w:line="312" w:lineRule="auto"/>
              <w:rPr>
                <w:szCs w:val="20"/>
              </w:rPr>
            </w:pPr>
            <w:r w:rsidRPr="00E00B35">
              <w:rPr>
                <w:szCs w:val="20"/>
              </w:rPr>
              <w:t>W celu lepszej identyfikacji przystanków zlokalizowanych w miejscowości Biskupice w obszarze klastra LG nazwy przystanków zostały dostosowane do aktualnej nazwy zakładów zlokalizowanych w powyższej lokalizacji.</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908</w:t>
            </w:r>
          </w:p>
        </w:tc>
        <w:tc>
          <w:tcPr>
            <w:tcW w:w="2835" w:type="dxa"/>
          </w:tcPr>
          <w:p w:rsidR="008C7751" w:rsidRPr="00E00B35" w:rsidRDefault="008C7751" w:rsidP="00E00B35">
            <w:pPr>
              <w:spacing w:after="0" w:line="312" w:lineRule="auto"/>
              <w:rPr>
                <w:szCs w:val="20"/>
              </w:rPr>
            </w:pPr>
            <w:r w:rsidRPr="00E00B35">
              <w:rPr>
                <w:szCs w:val="20"/>
              </w:rPr>
              <w:t>Nowy przystanek</w:t>
            </w:r>
          </w:p>
        </w:tc>
        <w:tc>
          <w:tcPr>
            <w:tcW w:w="5276" w:type="dxa"/>
          </w:tcPr>
          <w:p w:rsidR="008C7751" w:rsidRPr="00E00B35" w:rsidRDefault="008C7751" w:rsidP="00E00B35">
            <w:pPr>
              <w:spacing w:after="0" w:line="312" w:lineRule="auto"/>
              <w:rPr>
                <w:szCs w:val="20"/>
              </w:rPr>
            </w:pPr>
            <w:r w:rsidRPr="00E00B35">
              <w:rPr>
                <w:szCs w:val="20"/>
              </w:rPr>
              <w:t>Uruchomienie nowego przystanku w miejscowości Szymanów poprawiającego obsługę komunikacyjną większego obszaru powyższej miejscowości zlokalizowanej w gminie Wisznia Mała.</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904, 914, 924, 936</w:t>
            </w:r>
          </w:p>
        </w:tc>
        <w:tc>
          <w:tcPr>
            <w:tcW w:w="2835" w:type="dxa"/>
          </w:tcPr>
          <w:p w:rsidR="008C7751" w:rsidRPr="00E00B35" w:rsidRDefault="008C7751" w:rsidP="00E00B35">
            <w:pPr>
              <w:spacing w:after="0" w:line="312" w:lineRule="auto"/>
              <w:rPr>
                <w:szCs w:val="20"/>
              </w:rPr>
            </w:pPr>
            <w:r w:rsidRPr="00E00B35">
              <w:rPr>
                <w:szCs w:val="20"/>
              </w:rPr>
              <w:t>Nowy przystanek</w:t>
            </w:r>
          </w:p>
        </w:tc>
        <w:tc>
          <w:tcPr>
            <w:tcW w:w="5276" w:type="dxa"/>
          </w:tcPr>
          <w:p w:rsidR="008C7751" w:rsidRPr="00E00B35" w:rsidRDefault="008C7751" w:rsidP="00E00B35">
            <w:pPr>
              <w:spacing w:after="0" w:line="312" w:lineRule="auto"/>
              <w:rPr>
                <w:szCs w:val="20"/>
              </w:rPr>
            </w:pPr>
            <w:r w:rsidRPr="00E00B35">
              <w:rPr>
                <w:szCs w:val="20"/>
              </w:rPr>
              <w:t>Do trasy linii strefowych obsługujących połączenia między miejscowościami w gminie Długołęka a Wrocławiem włączony został nowo utworzony przystanek o nazwie „Bierutowska 65” zlokalizowany w obrębie zakładów pracy występujących w obszarze ul. Bierutowskiej.</w:t>
            </w:r>
          </w:p>
        </w:tc>
      </w:tr>
      <w:tr w:rsidR="008C7751" w:rsidRPr="00E00B35" w:rsidTr="008C7751">
        <w:tc>
          <w:tcPr>
            <w:tcW w:w="993" w:type="dxa"/>
          </w:tcPr>
          <w:p w:rsidR="008C7751" w:rsidRPr="00E00B35" w:rsidRDefault="008C7751" w:rsidP="00E00B35">
            <w:pPr>
              <w:spacing w:after="0" w:line="312" w:lineRule="auto"/>
              <w:rPr>
                <w:szCs w:val="20"/>
              </w:rPr>
            </w:pPr>
            <w:r w:rsidRPr="00E00B35">
              <w:rPr>
                <w:szCs w:val="20"/>
              </w:rPr>
              <w:t>923, 937</w:t>
            </w:r>
          </w:p>
        </w:tc>
        <w:tc>
          <w:tcPr>
            <w:tcW w:w="2835" w:type="dxa"/>
          </w:tcPr>
          <w:p w:rsidR="008C7751" w:rsidRPr="00E00B35" w:rsidRDefault="008C7751" w:rsidP="00E00B35">
            <w:pPr>
              <w:spacing w:after="0" w:line="312" w:lineRule="auto"/>
              <w:rPr>
                <w:szCs w:val="20"/>
              </w:rPr>
            </w:pPr>
            <w:r w:rsidRPr="00E00B35">
              <w:rPr>
                <w:szCs w:val="20"/>
              </w:rPr>
              <w:t>Nowy przystanek</w:t>
            </w:r>
          </w:p>
        </w:tc>
        <w:tc>
          <w:tcPr>
            <w:tcW w:w="5276" w:type="dxa"/>
          </w:tcPr>
          <w:p w:rsidR="008C7751" w:rsidRPr="00E00B35" w:rsidRDefault="008C7751" w:rsidP="00E00B35">
            <w:pPr>
              <w:spacing w:after="0" w:line="312" w:lineRule="auto"/>
              <w:rPr>
                <w:szCs w:val="20"/>
              </w:rPr>
            </w:pPr>
            <w:r w:rsidRPr="00E00B35">
              <w:rPr>
                <w:szCs w:val="20"/>
              </w:rPr>
              <w:t>Uruchomienie nowego przystanku autobusowego w miejscowości Brzezina w gminie Miękinia w celu poprawy dostępności komunikacyjnej dla mieszkańców korzystających z linii strefowych.</w:t>
            </w:r>
          </w:p>
        </w:tc>
      </w:tr>
    </w:tbl>
    <w:p w:rsidR="008C7751" w:rsidRPr="00E00B35" w:rsidRDefault="008C7751" w:rsidP="00E00B35">
      <w:pPr>
        <w:pStyle w:val="Styl1NagwkiGwne"/>
        <w:spacing w:line="312" w:lineRule="auto"/>
        <w:jc w:val="left"/>
        <w:rPr>
          <w:b w:val="0"/>
        </w:rPr>
      </w:pPr>
    </w:p>
    <w:p w:rsidR="008C7751" w:rsidRPr="00E00B35" w:rsidRDefault="008C7751" w:rsidP="00E00B35">
      <w:pPr>
        <w:spacing w:after="0" w:line="312" w:lineRule="auto"/>
        <w:rPr>
          <w:szCs w:val="20"/>
        </w:rPr>
      </w:pPr>
      <w:r w:rsidRPr="00E00B35">
        <w:rPr>
          <w:szCs w:val="20"/>
        </w:rPr>
        <w:br w:type="page"/>
      </w:r>
    </w:p>
    <w:p w:rsidR="008C7751" w:rsidRPr="00E00B35" w:rsidRDefault="008C7751" w:rsidP="00E00B35">
      <w:pPr>
        <w:pStyle w:val="Nagwek4"/>
        <w:spacing w:before="0" w:after="0" w:line="312" w:lineRule="auto"/>
        <w:rPr>
          <w:sz w:val="20"/>
          <w:szCs w:val="20"/>
        </w:rPr>
      </w:pPr>
      <w:bookmarkStart w:id="873" w:name="_Toc66358338"/>
      <w:r w:rsidRPr="00E00B35">
        <w:rPr>
          <w:sz w:val="20"/>
          <w:szCs w:val="20"/>
        </w:rPr>
        <w:lastRenderedPageBreak/>
        <w:t>Wprowadzenie przystanków „na życzenie”</w:t>
      </w:r>
      <w:bookmarkEnd w:id="873"/>
    </w:p>
    <w:p w:rsidR="008C7751" w:rsidRPr="00E00B35" w:rsidRDefault="008C7751" w:rsidP="00E00B35">
      <w:pPr>
        <w:spacing w:after="0" w:line="312" w:lineRule="auto"/>
        <w:rPr>
          <w:szCs w:val="20"/>
        </w:rPr>
      </w:pPr>
      <w:r w:rsidRPr="00E00B35">
        <w:rPr>
          <w:szCs w:val="20"/>
        </w:rPr>
        <w:t>W związku z kampanią „Dobre słowo we Wrocławiu” zmieniono nazwy dotychczasowych przystanków „na żądanie”, które stały się przystankami "na życzenie”.</w:t>
      </w:r>
    </w:p>
    <w:p w:rsidR="008C7751" w:rsidRPr="00E00B35" w:rsidRDefault="008C7751" w:rsidP="00E00B35">
      <w:pPr>
        <w:spacing w:after="0" w:line="312" w:lineRule="auto"/>
        <w:rPr>
          <w:rFonts w:cs="Helv"/>
          <w:noProof/>
          <w:color w:val="000000"/>
          <w:szCs w:val="20"/>
          <w:lang w:eastAsia="pl-PL"/>
        </w:rPr>
      </w:pPr>
      <w:r w:rsidRPr="00E00B35">
        <w:rPr>
          <w:szCs w:val="20"/>
        </w:rPr>
        <w:t>W ramach prac przeprowadzono analizę założeń projektu oraz przygotowano zakresy odpowiedzialności poszczególnych jednostek. W projekt zaangażowanych było kilka podmiotów: Wydział Transportu UM, Biuro Promocji i Turystyki, Zarząd Dróg i Utrzymania Miasta, Wrocławskie Centrum Rozwoju Społecznego, Spółka MPK. W dniu 21 listopada w Dzień Życzliwości odsłonięto pierwszy przystanek "na życzenie", którym był przystanek autobusowy „Centrum Zarządzania Kryzysowego” na ul. Strzegomskiej. Łącznie 924 przystanki zmieniły status z "na żądanie" na "na życzenie": 344 przystanki "dzienne", 521 przystanków "nocnych" i 59 pozostałych. Wymiana oznaczeń odbywała się sukcesywnie, do końca grudnia 2020 r. i była realizowana przez ZDiUM. Zmianie uległy również zapowiedzi głosowe w pojazdach, regulaminy przewozu etc. Przeprowadzono kampanię informacyjną w mediach społecznościowych, na stronach www, w biuletynie Wrocław.pl, na przystankach umieszczono w gablotach specjalne plakaty, a w wiatach naklejki informacyjne.</w:t>
      </w:r>
      <w:r w:rsidRPr="00E00B35">
        <w:rPr>
          <w:rFonts w:cs="Helv"/>
          <w:noProof/>
          <w:color w:val="000000"/>
          <w:szCs w:val="20"/>
          <w:lang w:eastAsia="pl-PL"/>
        </w:rPr>
        <w:t xml:space="preserve"> </w:t>
      </w:r>
    </w:p>
    <w:p w:rsidR="008C7751" w:rsidRPr="00E00B35" w:rsidRDefault="008C7751" w:rsidP="00E00B35">
      <w:pPr>
        <w:spacing w:after="0" w:line="312" w:lineRule="auto"/>
        <w:rPr>
          <w:rFonts w:cs="Helv"/>
          <w:noProof/>
          <w:color w:val="000000"/>
          <w:szCs w:val="20"/>
          <w:lang w:eastAsia="pl-PL"/>
        </w:rPr>
      </w:pPr>
    </w:p>
    <w:p w:rsidR="008C7751" w:rsidRPr="00E00B35" w:rsidRDefault="008C7751" w:rsidP="00E00B35">
      <w:pPr>
        <w:spacing w:after="0" w:line="312" w:lineRule="auto"/>
        <w:rPr>
          <w:rFonts w:cs="Helv"/>
          <w:noProof/>
          <w:color w:val="000000"/>
          <w:szCs w:val="20"/>
          <w:lang w:eastAsia="pl-PL"/>
        </w:rPr>
      </w:pPr>
    </w:p>
    <w:p w:rsidR="008C7751" w:rsidRPr="00E00B35" w:rsidRDefault="008C7751" w:rsidP="00E00B35">
      <w:pPr>
        <w:pStyle w:val="Legenda"/>
        <w:keepNext/>
        <w:spacing w:before="0" w:after="0" w:line="312" w:lineRule="auto"/>
        <w:rPr>
          <w:b/>
          <w:sz w:val="20"/>
          <w:szCs w:val="20"/>
        </w:rPr>
        <w:sectPr w:rsidR="008C7751" w:rsidRPr="00E00B35" w:rsidSect="008C7751">
          <w:pgSz w:w="11906" w:h="16838"/>
          <w:pgMar w:top="1417" w:right="1417" w:bottom="1417" w:left="1417" w:header="567" w:footer="708" w:gutter="0"/>
          <w:cols w:space="708"/>
          <w:docGrid w:linePitch="600" w:charSpace="40960"/>
        </w:sectPr>
      </w:pPr>
    </w:p>
    <w:p w:rsidR="008C7751" w:rsidRPr="00E00B35" w:rsidRDefault="008C7751" w:rsidP="00E00B35">
      <w:pPr>
        <w:spacing w:after="0" w:line="312" w:lineRule="auto"/>
        <w:rPr>
          <w:szCs w:val="20"/>
        </w:rPr>
      </w:pPr>
      <w:r w:rsidRPr="00E00B35">
        <w:rPr>
          <w:szCs w:val="20"/>
        </w:rPr>
        <w:lastRenderedPageBreak/>
        <w:t xml:space="preserve">Fot. </w:t>
      </w:r>
      <w:r w:rsidR="00573162" w:rsidRPr="00E00B35">
        <w:rPr>
          <w:szCs w:val="20"/>
        </w:rPr>
        <w:fldChar w:fldCharType="begin"/>
      </w:r>
      <w:r w:rsidRPr="00E00B35">
        <w:rPr>
          <w:szCs w:val="20"/>
        </w:rPr>
        <w:instrText xml:space="preserve"> SEQ Fot. \* ARABIC </w:instrText>
      </w:r>
      <w:r w:rsidR="00573162" w:rsidRPr="00E00B35">
        <w:rPr>
          <w:szCs w:val="20"/>
        </w:rPr>
        <w:fldChar w:fldCharType="separate"/>
      </w:r>
      <w:r w:rsidR="008C054F">
        <w:rPr>
          <w:noProof/>
          <w:szCs w:val="20"/>
        </w:rPr>
        <w:t>36</w:t>
      </w:r>
      <w:r w:rsidR="00573162" w:rsidRPr="00E00B35">
        <w:rPr>
          <w:szCs w:val="20"/>
        </w:rPr>
        <w:fldChar w:fldCharType="end"/>
      </w:r>
      <w:r w:rsidRPr="00E00B35">
        <w:rPr>
          <w:szCs w:val="20"/>
        </w:rPr>
        <w:t>. Plakat reklamujący akcję przystanek „na życzenie"</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2171700" cy="2876550"/>
            <wp:effectExtent l="19050" t="0" r="0" b="0"/>
            <wp:docPr id="22" name="Obraz 4" descr="Kłaniający się mężczyzna, unoszący kapelusz w geście powitania, z kieszeni wystaje mu kwiatek. W lewym górnym rogu znak D-15 oznaczający przystanek autobusowy z dopiskiem NA ŻYCZENIE. Na dole napis BO WSZYSTKO ZACZYNA SIĘ OD SŁÓW.&#10;Pod spodem logotypy: Wrocław Miasto spotkań, WCRS, MPK Wrocław, ZDiUM.&#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20210127_113653"/>
                    <pic:cNvPicPr preferRelativeResize="0">
                      <a:picLocks noChangeAspect="1" noChangeArrowheads="1"/>
                    </pic:cNvPicPr>
                  </pic:nvPicPr>
                  <pic:blipFill>
                    <a:blip r:embed="rId227" cstate="print"/>
                    <a:srcRect/>
                    <a:stretch>
                      <a:fillRect/>
                    </a:stretch>
                  </pic:blipFill>
                  <pic:spPr bwMode="auto">
                    <a:xfrm>
                      <a:off x="0" y="0"/>
                      <a:ext cx="2172170" cy="2877173"/>
                    </a:xfrm>
                    <a:prstGeom prst="rect">
                      <a:avLst/>
                    </a:prstGeom>
                    <a:noFill/>
                    <a:ln w="9525">
                      <a:noFill/>
                      <a:miter lim="800000"/>
                      <a:headEnd/>
                      <a:tailEnd/>
                    </a:ln>
                  </pic:spPr>
                </pic:pic>
              </a:graphicData>
            </a:graphic>
          </wp:inline>
        </w:drawing>
      </w:r>
      <w:r w:rsidRPr="00E00B35">
        <w:rPr>
          <w:rFonts w:cs="Helv"/>
          <w:noProof/>
          <w:color w:val="000000"/>
          <w:szCs w:val="20"/>
          <w:lang w:eastAsia="pl-PL"/>
        </w:rPr>
        <w:t xml:space="preserve"> </w:t>
      </w:r>
    </w:p>
    <w:p w:rsidR="008C7751" w:rsidRPr="00E00B35" w:rsidRDefault="008C7751" w:rsidP="00E00B35">
      <w:pPr>
        <w:spacing w:after="0" w:line="312" w:lineRule="auto"/>
        <w:rPr>
          <w:szCs w:val="20"/>
        </w:rPr>
        <w:sectPr w:rsidR="008C7751" w:rsidRPr="00E00B35" w:rsidSect="008C7751">
          <w:type w:val="continuous"/>
          <w:pgSz w:w="11906" w:h="16838"/>
          <w:pgMar w:top="1417" w:right="1417" w:bottom="1417" w:left="1417" w:header="567" w:footer="708" w:gutter="0"/>
          <w:cols w:num="2" w:space="708"/>
          <w:docGrid w:linePitch="600" w:charSpace="40960"/>
        </w:sectPr>
      </w:pPr>
      <w:r w:rsidRPr="00E00B35">
        <w:rPr>
          <w:szCs w:val="20"/>
        </w:rPr>
        <w:lastRenderedPageBreak/>
        <w:t xml:space="preserve">Fot. </w:t>
      </w:r>
      <w:r w:rsidR="00573162" w:rsidRPr="00E00B35">
        <w:rPr>
          <w:szCs w:val="20"/>
        </w:rPr>
        <w:fldChar w:fldCharType="begin"/>
      </w:r>
      <w:r w:rsidRPr="00E00B35">
        <w:rPr>
          <w:szCs w:val="20"/>
        </w:rPr>
        <w:instrText xml:space="preserve"> SEQ Fot. \* ARABIC </w:instrText>
      </w:r>
      <w:r w:rsidR="00573162" w:rsidRPr="00E00B35">
        <w:rPr>
          <w:szCs w:val="20"/>
        </w:rPr>
        <w:fldChar w:fldCharType="separate"/>
      </w:r>
      <w:r w:rsidR="008C054F">
        <w:rPr>
          <w:noProof/>
          <w:szCs w:val="20"/>
        </w:rPr>
        <w:t>37</w:t>
      </w:r>
      <w:r w:rsidR="00573162" w:rsidRPr="00E00B35">
        <w:rPr>
          <w:szCs w:val="20"/>
        </w:rPr>
        <w:fldChar w:fldCharType="end"/>
      </w:r>
      <w:r w:rsidRPr="00E00B35">
        <w:rPr>
          <w:szCs w:val="20"/>
        </w:rPr>
        <w:t>. Odsłonięcie pierwszego przystanku „na życzenie"</w:t>
      </w:r>
      <w:r w:rsidRPr="00E00B35">
        <w:rPr>
          <w:noProof/>
          <w:szCs w:val="20"/>
          <w:lang w:val="pl-PL" w:eastAsia="pl-PL" w:bidi="ar-SA"/>
        </w:rPr>
        <w:drawing>
          <wp:inline distT="0" distB="0" distL="0" distR="0">
            <wp:extent cx="2181225" cy="2809875"/>
            <wp:effectExtent l="19050" t="0" r="0" b="0"/>
            <wp:docPr id="44" name="Obraz 5" descr="Przystanek autobusowy CENTRUM ZARZĄDZANIA KRYZYSOWEGO na życzenie, pod znakiem stoją z lewej strony mężczyzna- Prezydent Wrocławia Jacek Sutryk, w czarnej kurtce, czerwonej czapce, maseczce. Z prawej strony stoi kobieta- Dyrektor Wydziału Transportu Urzędu Miejskiego we Wrocławiu Paulina Tyniec- Piszcz, w szaro- niebieskim płaszczu, czerwonej maseczce oraz czteroletnia dziewczynka w różowej kurtce. Patrzą w stronę obiektyw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G_5558"/>
                    <pic:cNvPicPr preferRelativeResize="0">
                      <a:picLocks noChangeAspect="1" noChangeArrowheads="1"/>
                    </pic:cNvPicPr>
                  </pic:nvPicPr>
                  <pic:blipFill>
                    <a:blip r:embed="rId228" cstate="print"/>
                    <a:srcRect/>
                    <a:stretch>
                      <a:fillRect/>
                    </a:stretch>
                  </pic:blipFill>
                  <pic:spPr bwMode="auto">
                    <a:xfrm>
                      <a:off x="0" y="0"/>
                      <a:ext cx="2178429" cy="2806274"/>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rFonts w:cs="Helv"/>
          <w:color w:val="000000"/>
          <w:szCs w:val="20"/>
          <w:lang w:eastAsia="pl-PL"/>
        </w:rPr>
      </w:pPr>
      <w:r w:rsidRPr="00E00B35">
        <w:rPr>
          <w:rFonts w:cs="Helv"/>
          <w:color w:val="000000"/>
          <w:szCs w:val="20"/>
          <w:lang w:eastAsia="pl-PL"/>
        </w:rPr>
        <w:lastRenderedPageBreak/>
        <w:t xml:space="preserve">  </w:t>
      </w:r>
      <w:r w:rsidRPr="00E00B35">
        <w:rPr>
          <w:rFonts w:cs="Helv"/>
          <w:color w:val="000000"/>
          <w:szCs w:val="20"/>
          <w:lang w:eastAsia="pl-PL"/>
        </w:rPr>
        <w:br w:type="page"/>
      </w:r>
    </w:p>
    <w:p w:rsidR="008C7751" w:rsidRPr="00E00B35" w:rsidRDefault="008C7751" w:rsidP="00E00B35">
      <w:pPr>
        <w:spacing w:after="0" w:line="312" w:lineRule="auto"/>
        <w:rPr>
          <w:rFonts w:cs="Helv"/>
          <w:color w:val="000000"/>
          <w:szCs w:val="20"/>
          <w:lang w:eastAsia="pl-PL"/>
        </w:rPr>
        <w:sectPr w:rsidR="008C7751" w:rsidRPr="00E00B35" w:rsidSect="008C7751">
          <w:type w:val="continuous"/>
          <w:pgSz w:w="11906" w:h="16838"/>
          <w:pgMar w:top="1417" w:right="1417" w:bottom="1417" w:left="1417" w:header="708" w:footer="708" w:gutter="0"/>
          <w:cols w:num="2" w:space="708"/>
          <w:docGrid w:linePitch="360"/>
        </w:sectPr>
      </w:pPr>
    </w:p>
    <w:p w:rsidR="008C7751" w:rsidRPr="00E00B35" w:rsidRDefault="008C7751" w:rsidP="00E00B35">
      <w:pPr>
        <w:pStyle w:val="Nagwek4"/>
        <w:spacing w:before="0" w:after="0" w:line="312" w:lineRule="auto"/>
        <w:rPr>
          <w:sz w:val="20"/>
          <w:szCs w:val="20"/>
        </w:rPr>
      </w:pPr>
      <w:bookmarkStart w:id="874" w:name="_Toc66358339"/>
      <w:r w:rsidRPr="00E00B35">
        <w:rPr>
          <w:sz w:val="20"/>
          <w:szCs w:val="20"/>
        </w:rPr>
        <w:lastRenderedPageBreak/>
        <w:t>Współpraca międzygminna</w:t>
      </w:r>
      <w:bookmarkEnd w:id="874"/>
    </w:p>
    <w:p w:rsidR="008C7751" w:rsidRPr="00E00B35" w:rsidRDefault="008C7751" w:rsidP="00E00B35">
      <w:pPr>
        <w:pStyle w:val="Styl1NagwkiGwne"/>
        <w:numPr>
          <w:ilvl w:val="1"/>
          <w:numId w:val="113"/>
        </w:numPr>
        <w:spacing w:line="312" w:lineRule="auto"/>
        <w:ind w:left="567" w:hanging="567"/>
        <w:jc w:val="left"/>
      </w:pPr>
      <w:r w:rsidRPr="00E00B35">
        <w:t>Współpraca z gminą Długołęka w celu rozszerzenia obsługi linii strefowych o autobusy przegubowe</w:t>
      </w:r>
    </w:p>
    <w:p w:rsidR="008C7751" w:rsidRPr="00E00B35" w:rsidRDefault="008C7751" w:rsidP="00E00B35">
      <w:pPr>
        <w:spacing w:after="0" w:line="312" w:lineRule="auto"/>
        <w:rPr>
          <w:szCs w:val="20"/>
        </w:rPr>
      </w:pPr>
      <w:r w:rsidRPr="00E00B35">
        <w:rPr>
          <w:szCs w:val="20"/>
        </w:rPr>
        <w:t xml:space="preserve">W wyniku analizy przeprowadzonej wraz z gminą Długołęka oraz obostrzeń w liczbie pasażerów mogących podróżować środkami komunikacji zbiorowej stwierdzono niewystarczającą dostępność miejsc na wybranych kursach linii strefowych łączących miejscowości na terenie gminy Długołęka z Wrocławiem. Wskazane okazało się wprowadzenie do obsługi wybranych brygad linii strefowych 904, 911, 914, 921 i 924 autobusów przegubowych. </w:t>
      </w:r>
    </w:p>
    <w:p w:rsidR="008C7751" w:rsidRPr="00E00B35" w:rsidRDefault="008C7751" w:rsidP="00E00B35">
      <w:pPr>
        <w:pStyle w:val="Akapitzlist"/>
        <w:spacing w:after="0" w:line="312" w:lineRule="auto"/>
        <w:ind w:left="0"/>
        <w:rPr>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Rysunek </w:t>
      </w:r>
      <w:r w:rsidR="00573162" w:rsidRPr="00E00B35">
        <w:rPr>
          <w:b/>
          <w:sz w:val="20"/>
          <w:szCs w:val="20"/>
        </w:rPr>
        <w:fldChar w:fldCharType="begin"/>
      </w:r>
      <w:r w:rsidRPr="00E00B35">
        <w:rPr>
          <w:sz w:val="20"/>
          <w:szCs w:val="20"/>
        </w:rPr>
        <w:instrText xml:space="preserve"> SEQ Rysunek \* ARABIC </w:instrText>
      </w:r>
      <w:r w:rsidR="00573162" w:rsidRPr="00E00B35">
        <w:rPr>
          <w:b/>
          <w:sz w:val="20"/>
          <w:szCs w:val="20"/>
        </w:rPr>
        <w:fldChar w:fldCharType="separate"/>
      </w:r>
      <w:r w:rsidR="008C054F">
        <w:rPr>
          <w:noProof/>
          <w:sz w:val="20"/>
          <w:szCs w:val="20"/>
        </w:rPr>
        <w:t>11</w:t>
      </w:r>
      <w:r w:rsidR="00573162" w:rsidRPr="00E00B35">
        <w:rPr>
          <w:b/>
          <w:sz w:val="20"/>
          <w:szCs w:val="20"/>
        </w:rPr>
        <w:fldChar w:fldCharType="end"/>
      </w:r>
      <w:r w:rsidRPr="00E00B35">
        <w:rPr>
          <w:sz w:val="20"/>
          <w:szCs w:val="20"/>
        </w:rPr>
        <w:t>. Wizualizacja zamawianych pojazdów</w:t>
      </w:r>
    </w:p>
    <w:p w:rsidR="008C7751" w:rsidRPr="00E00B35" w:rsidRDefault="008C7751" w:rsidP="00E00B35">
      <w:pPr>
        <w:pStyle w:val="Akapitzlist"/>
        <w:spacing w:after="0" w:line="312" w:lineRule="auto"/>
        <w:ind w:left="0"/>
        <w:rPr>
          <w:szCs w:val="20"/>
        </w:rPr>
      </w:pPr>
      <w:r w:rsidRPr="00E00B35">
        <w:rPr>
          <w:noProof/>
          <w:szCs w:val="20"/>
          <w:lang w:val="pl-PL" w:eastAsia="pl-PL" w:bidi="ar-SA"/>
        </w:rPr>
        <w:drawing>
          <wp:inline distT="0" distB="0" distL="0" distR="0">
            <wp:extent cx="5753100" cy="2305050"/>
            <wp:effectExtent l="19050" t="0" r="0" b="0"/>
            <wp:docPr id="21" name="Obraz 6" descr="Dwa nowe przegubowe autobusy marki Solaris Urbino 18, podane są wymiary ich drzwi: każde mają 1350 cm.&#10;Pierwszy z nich, znajdujący się na górze, jest trzydrzwiowy.&#10;Drugi, pod nim, jest czterodrzwi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raz1"/>
                    <pic:cNvPicPr>
                      <a:picLocks noChangeAspect="1" noChangeArrowheads="1"/>
                    </pic:cNvPicPr>
                  </pic:nvPicPr>
                  <pic:blipFill>
                    <a:blip r:embed="rId229" cstate="print"/>
                    <a:srcRect/>
                    <a:stretch>
                      <a:fillRect/>
                    </a:stretch>
                  </pic:blipFill>
                  <pic:spPr bwMode="auto">
                    <a:xfrm>
                      <a:off x="0" y="0"/>
                      <a:ext cx="5753100" cy="2305050"/>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szCs w:val="20"/>
        </w:rPr>
      </w:pPr>
      <w:r w:rsidRPr="00E00B35">
        <w:rPr>
          <w:szCs w:val="20"/>
        </w:rPr>
        <w:t xml:space="preserve">W związku z brakiem porozumienia z Wykonawcą realizującym na zlecenie gminy Wrocław powyższe połączenia przeprowadzone zostało osobne postępowanie, mające na celu wyłonienie w wyniku negocjacji nowego operatora. Postępowanie cieszyło się dużym zainteresowaniem przewoźników autobusowych, a finalnie umożliwiło wprowadzanie do obsługi wymienionych wyżej linii strefowych czterech w pełni niskopodłogowych i klimatyzowanych autobusów przegubowych marki Solaris Urbino 18. </w:t>
      </w:r>
    </w:p>
    <w:p w:rsidR="008C7751" w:rsidRPr="00E00B35" w:rsidRDefault="008C7751" w:rsidP="00E00B35">
      <w:pPr>
        <w:spacing w:after="0" w:line="312" w:lineRule="auto"/>
        <w:rPr>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38</w:t>
      </w:r>
      <w:r w:rsidR="00573162" w:rsidRPr="00E00B35">
        <w:rPr>
          <w:b/>
          <w:sz w:val="20"/>
          <w:szCs w:val="20"/>
        </w:rPr>
        <w:fldChar w:fldCharType="end"/>
      </w:r>
      <w:r w:rsidRPr="00E00B35">
        <w:rPr>
          <w:sz w:val="20"/>
          <w:szCs w:val="20"/>
        </w:rPr>
        <w:t>. Prezentacja pojazdów Solaris Urbino 18</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3566449" cy="2684678"/>
            <wp:effectExtent l="19050" t="0" r="0" b="0"/>
            <wp:docPr id="20" name="Obraz 7" descr="Cztery, nowe, czerwono- żółte autobusy marki Solaris Urbino 18. Pojazdy stoją obok sieb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ized_20201230_114933"/>
                    <pic:cNvPicPr>
                      <a:picLocks noChangeAspect="1" noChangeArrowheads="1"/>
                    </pic:cNvPicPr>
                  </pic:nvPicPr>
                  <pic:blipFill>
                    <a:blip r:embed="rId230" cstate="print"/>
                    <a:srcRect/>
                    <a:stretch>
                      <a:fillRect/>
                    </a:stretch>
                  </pic:blipFill>
                  <pic:spPr bwMode="auto">
                    <a:xfrm>
                      <a:off x="0" y="0"/>
                      <a:ext cx="3566532" cy="2684741"/>
                    </a:xfrm>
                    <a:prstGeom prst="rect">
                      <a:avLst/>
                    </a:prstGeom>
                    <a:noFill/>
                    <a:ln w="9525">
                      <a:noFill/>
                      <a:miter lim="800000"/>
                      <a:headEnd/>
                      <a:tailEnd/>
                    </a:ln>
                  </pic:spPr>
                </pic:pic>
              </a:graphicData>
            </a:graphic>
          </wp:inline>
        </w:drawing>
      </w:r>
      <w:r w:rsidRPr="00E00B35">
        <w:rPr>
          <w:szCs w:val="20"/>
        </w:rPr>
        <w:br w:type="page"/>
      </w:r>
    </w:p>
    <w:p w:rsidR="008C7751" w:rsidRPr="00E00B35" w:rsidRDefault="008C7751" w:rsidP="00E00B35">
      <w:pPr>
        <w:pStyle w:val="Styl1NagwkiGwne"/>
        <w:numPr>
          <w:ilvl w:val="1"/>
          <w:numId w:val="113"/>
        </w:numPr>
        <w:spacing w:line="312" w:lineRule="auto"/>
        <w:ind w:left="567" w:hanging="567"/>
        <w:jc w:val="left"/>
      </w:pPr>
      <w:r w:rsidRPr="00E00B35">
        <w:lastRenderedPageBreak/>
        <w:t>Współpraca z gminami: Kąty Wrocławskie, Kobierzyce, Żórawina, Siechnice, Czernica w celu uruchomienia nowych linii komunikacji podmiejskiej na terenie ww. gmin.</w:t>
      </w:r>
    </w:p>
    <w:p w:rsidR="008C7751" w:rsidRPr="00E00B35" w:rsidRDefault="008C7751" w:rsidP="00E00B35">
      <w:pPr>
        <w:spacing w:after="0" w:line="312" w:lineRule="auto"/>
        <w:rPr>
          <w:szCs w:val="20"/>
        </w:rPr>
      </w:pPr>
      <w:r w:rsidRPr="00E00B35">
        <w:rPr>
          <w:szCs w:val="20"/>
        </w:rPr>
        <w:t xml:space="preserve">Działając na rzecz rozwoju komunikacji zbiorowej w obrębie Aglomeracji Wrocławskiej a w szczególności gmin Czernica, Kąty Wrocławskie, Kobierzyce, Siechnice i Żórawina podjęte zostały rozmowy z wymienionymi gminami mające na celu uruchomienie nowych linii strefowych łączących kolejne gminy z Wrocławiem. W przypadku gminy Kąty Wrocławskie linie strefowe zaczynające się cyfrą 9 rozwiną już istniejącą sieć komunikacyjną na terenie gminy dostosowując ją do wrocławskich standardów oraz poprawiając jej dostępność również dla mieszkańców Wrocławia. </w:t>
      </w:r>
    </w:p>
    <w:p w:rsidR="008C7751" w:rsidRPr="00E00B35" w:rsidRDefault="008C7751" w:rsidP="00E00B35">
      <w:pPr>
        <w:pStyle w:val="Legenda"/>
        <w:keepNext/>
        <w:spacing w:before="0" w:after="0" w:line="312" w:lineRule="auto"/>
        <w:rPr>
          <w:b/>
          <w:sz w:val="20"/>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Rysunek </w:t>
      </w:r>
      <w:r w:rsidR="00573162" w:rsidRPr="00E00B35">
        <w:rPr>
          <w:b/>
          <w:sz w:val="20"/>
          <w:szCs w:val="20"/>
        </w:rPr>
        <w:fldChar w:fldCharType="begin"/>
      </w:r>
      <w:r w:rsidRPr="00E00B35">
        <w:rPr>
          <w:sz w:val="20"/>
          <w:szCs w:val="20"/>
        </w:rPr>
        <w:instrText xml:space="preserve"> SEQ Rysunek \* ARABIC </w:instrText>
      </w:r>
      <w:r w:rsidR="00573162" w:rsidRPr="00E00B35">
        <w:rPr>
          <w:b/>
          <w:sz w:val="20"/>
          <w:szCs w:val="20"/>
        </w:rPr>
        <w:fldChar w:fldCharType="separate"/>
      </w:r>
      <w:r w:rsidR="008C054F">
        <w:rPr>
          <w:noProof/>
          <w:sz w:val="20"/>
          <w:szCs w:val="20"/>
        </w:rPr>
        <w:t>12</w:t>
      </w:r>
      <w:r w:rsidR="00573162" w:rsidRPr="00E00B35">
        <w:rPr>
          <w:b/>
          <w:sz w:val="20"/>
          <w:szCs w:val="20"/>
        </w:rPr>
        <w:fldChar w:fldCharType="end"/>
      </w:r>
      <w:r w:rsidRPr="00E00B35">
        <w:rPr>
          <w:sz w:val="20"/>
          <w:szCs w:val="20"/>
        </w:rPr>
        <w:t>. Plan nowych linii międzygminnych – Kąty Wrocławskie</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5753100" cy="3571875"/>
            <wp:effectExtent l="19050" t="0" r="0" b="0"/>
            <wp:docPr id="19" name="Obraz 8" descr="Fragment mapy południowo- zachodniej części Wrocławia i terenów poza Wrocławiem: Zabrodzie, Pietrzykowice, Smolec, Małkowice, Kębłowice, Bogdaszowice, Samotwór. Na mapie widać planowane trasy nowych linii komunikacji podmi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zetarg mapka Kąty Wrocławskie"/>
                    <pic:cNvPicPr>
                      <a:picLocks noChangeAspect="1" noChangeArrowheads="1"/>
                    </pic:cNvPicPr>
                  </pic:nvPicPr>
                  <pic:blipFill>
                    <a:blip r:embed="rId231" cstate="print"/>
                    <a:srcRect/>
                    <a:stretch>
                      <a:fillRect/>
                    </a:stretch>
                  </pic:blipFill>
                  <pic:spPr bwMode="auto">
                    <a:xfrm>
                      <a:off x="0" y="0"/>
                      <a:ext cx="5753100" cy="3571875"/>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szCs w:val="20"/>
        </w:rPr>
      </w:pPr>
      <w:r w:rsidRPr="00E00B35">
        <w:rPr>
          <w:szCs w:val="20"/>
        </w:rPr>
        <w:t xml:space="preserve">Gmina Kobierzyce otrzyma skorygowaną trasę linii 612 jeszcze bardziej dostosowaną do potrzeb mieszkańców gminy. Dla gminy Żórawina będą to pierwsze w tym dziesięcioleciu połączenia autobusowe tej gminy z Wrocławiem organizowane przez gminę Wrocław. </w:t>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Rysunek </w:t>
      </w:r>
      <w:r w:rsidR="00573162" w:rsidRPr="00E00B35">
        <w:rPr>
          <w:b/>
          <w:sz w:val="20"/>
          <w:szCs w:val="20"/>
        </w:rPr>
        <w:fldChar w:fldCharType="begin"/>
      </w:r>
      <w:r w:rsidRPr="00E00B35">
        <w:rPr>
          <w:sz w:val="20"/>
          <w:szCs w:val="20"/>
        </w:rPr>
        <w:instrText xml:space="preserve"> SEQ Rysunek \* ARABIC </w:instrText>
      </w:r>
      <w:r w:rsidR="00573162" w:rsidRPr="00E00B35">
        <w:rPr>
          <w:b/>
          <w:sz w:val="20"/>
          <w:szCs w:val="20"/>
        </w:rPr>
        <w:fldChar w:fldCharType="separate"/>
      </w:r>
      <w:r w:rsidR="008C054F">
        <w:rPr>
          <w:noProof/>
          <w:sz w:val="20"/>
          <w:szCs w:val="20"/>
        </w:rPr>
        <w:t>13</w:t>
      </w:r>
      <w:r w:rsidR="00573162" w:rsidRPr="00E00B35">
        <w:rPr>
          <w:b/>
          <w:sz w:val="20"/>
          <w:szCs w:val="20"/>
        </w:rPr>
        <w:fldChar w:fldCharType="end"/>
      </w:r>
      <w:r w:rsidRPr="00E00B35">
        <w:rPr>
          <w:sz w:val="20"/>
          <w:szCs w:val="20"/>
        </w:rPr>
        <w:t>. Plan nowych linii międzygminnych – Kobierzyce i Żórawina</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3333750" cy="4356287"/>
            <wp:effectExtent l="19050" t="0" r="0" b="0"/>
            <wp:docPr id="18" name="Obraz 9" descr="Fragment mapy południowej części Wrocławia Oporów, Dworzec Autobusowy, Krzyki, Tarnogaj i terenów poza Wrocławiem: Zabrodzie, Bielany Wrocławskie, Komorowice, Żórawina. Na mapie widać planowane trasy nowych linii komunikacji podmi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zetarg mapka Kobierzyce Żórawina"/>
                    <pic:cNvPicPr>
                      <a:picLocks noChangeAspect="1" noChangeArrowheads="1"/>
                    </pic:cNvPicPr>
                  </pic:nvPicPr>
                  <pic:blipFill>
                    <a:blip r:embed="rId232" cstate="print"/>
                    <a:srcRect/>
                    <a:stretch>
                      <a:fillRect/>
                    </a:stretch>
                  </pic:blipFill>
                  <pic:spPr bwMode="auto">
                    <a:xfrm>
                      <a:off x="0" y="0"/>
                      <a:ext cx="3330300" cy="4351779"/>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szCs w:val="20"/>
        </w:rPr>
      </w:pPr>
      <w:r w:rsidRPr="00E00B35">
        <w:rPr>
          <w:szCs w:val="20"/>
        </w:rPr>
        <w:t xml:space="preserve">Mieszkańcy gmin Czernica i Siechnice zyskają alternatywne, dla istniejących linii miejskich, bezpośrednie połączenie z Galerią Dominikańską i nieobsługiwanym obecnie obszarem ul. Na Grobli. </w:t>
      </w:r>
    </w:p>
    <w:p w:rsidR="008C7751" w:rsidRPr="00E00B35" w:rsidRDefault="008C7751" w:rsidP="00E00B35">
      <w:pPr>
        <w:spacing w:after="0" w:line="312" w:lineRule="auto"/>
        <w:rPr>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Rysunek </w:t>
      </w:r>
      <w:r w:rsidR="00573162" w:rsidRPr="00E00B35">
        <w:rPr>
          <w:b/>
          <w:sz w:val="20"/>
          <w:szCs w:val="20"/>
        </w:rPr>
        <w:fldChar w:fldCharType="begin"/>
      </w:r>
      <w:r w:rsidRPr="00E00B35">
        <w:rPr>
          <w:sz w:val="20"/>
          <w:szCs w:val="20"/>
        </w:rPr>
        <w:instrText xml:space="preserve"> SEQ Rysunek \* ARABIC </w:instrText>
      </w:r>
      <w:r w:rsidR="00573162" w:rsidRPr="00E00B35">
        <w:rPr>
          <w:b/>
          <w:sz w:val="20"/>
          <w:szCs w:val="20"/>
        </w:rPr>
        <w:fldChar w:fldCharType="separate"/>
      </w:r>
      <w:r w:rsidR="008C054F">
        <w:rPr>
          <w:noProof/>
          <w:sz w:val="20"/>
          <w:szCs w:val="20"/>
        </w:rPr>
        <w:t>14</w:t>
      </w:r>
      <w:r w:rsidR="00573162" w:rsidRPr="00E00B35">
        <w:rPr>
          <w:b/>
          <w:sz w:val="20"/>
          <w:szCs w:val="20"/>
        </w:rPr>
        <w:fldChar w:fldCharType="end"/>
      </w:r>
      <w:r w:rsidRPr="00E00B35">
        <w:rPr>
          <w:sz w:val="20"/>
          <w:szCs w:val="20"/>
        </w:rPr>
        <w:t>. Plan nowej linii międzygminnej – Czernica i Siechnice</w:t>
      </w:r>
    </w:p>
    <w:p w:rsidR="008C7751" w:rsidRPr="00E00B35" w:rsidRDefault="008C7751" w:rsidP="00E00B35">
      <w:pPr>
        <w:pStyle w:val="Akapitzlist"/>
        <w:spacing w:after="0" w:line="312" w:lineRule="auto"/>
        <w:ind w:left="0"/>
        <w:rPr>
          <w:szCs w:val="20"/>
        </w:rPr>
      </w:pPr>
      <w:r w:rsidRPr="00E00B35">
        <w:rPr>
          <w:noProof/>
          <w:szCs w:val="20"/>
          <w:lang w:val="pl-PL" w:eastAsia="pl-PL" w:bidi="ar-SA"/>
        </w:rPr>
        <w:drawing>
          <wp:inline distT="0" distB="0" distL="0" distR="0">
            <wp:extent cx="5581650" cy="2505075"/>
            <wp:effectExtent l="19050" t="0" r="0" b="0"/>
            <wp:docPr id="17" name="Obraz 10" descr="Fragment mapy południowo- wschodniej części Wrocławia Galeria Dominikańska, Dworzec Autobusowy, Tarnogaj i terenów poza Wrocławiem: Gmina Siechnice i Gmina Czernica. Na mapie widać planowane trasy nowych linii komunikacji podmi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zetarg mapka Siechnice Czernica"/>
                    <pic:cNvPicPr>
                      <a:picLocks noChangeAspect="1" noChangeArrowheads="1"/>
                    </pic:cNvPicPr>
                  </pic:nvPicPr>
                  <pic:blipFill>
                    <a:blip r:embed="rId233" cstate="print"/>
                    <a:srcRect/>
                    <a:stretch>
                      <a:fillRect/>
                    </a:stretch>
                  </pic:blipFill>
                  <pic:spPr bwMode="auto">
                    <a:xfrm>
                      <a:off x="0" y="0"/>
                      <a:ext cx="5581650" cy="2505075"/>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szCs w:val="20"/>
        </w:rPr>
      </w:pPr>
      <w:r w:rsidRPr="00E00B35">
        <w:rPr>
          <w:szCs w:val="20"/>
        </w:rPr>
        <w:t>W zakresie organizacji transportu publicznego zawarto jedno nowe porozumienie międzygminne (trójstronne) Wrocław - Żórawina – Siechnice oraz 7 aneksów do istniejących porozumień międzygminnych.</w:t>
      </w:r>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bookmarkStart w:id="875" w:name="_Toc66358340"/>
      <w:r w:rsidRPr="00E00B35">
        <w:rPr>
          <w:sz w:val="20"/>
          <w:szCs w:val="20"/>
        </w:rPr>
        <w:t>Rozkłady jazdy</w:t>
      </w:r>
      <w:bookmarkEnd w:id="875"/>
      <w:r w:rsidRPr="00E00B35">
        <w:rPr>
          <w:sz w:val="20"/>
          <w:szCs w:val="20"/>
        </w:rPr>
        <w:t xml:space="preserve"> </w:t>
      </w:r>
    </w:p>
    <w:p w:rsidR="008C7751" w:rsidRPr="00E00B35" w:rsidRDefault="008C7751" w:rsidP="00E00B35">
      <w:pPr>
        <w:pStyle w:val="Tekstpodstawowy"/>
        <w:numPr>
          <w:ilvl w:val="0"/>
          <w:numId w:val="71"/>
        </w:numPr>
        <w:suppressAutoHyphens/>
        <w:spacing w:after="0" w:line="312" w:lineRule="auto"/>
        <w:ind w:left="567" w:hanging="567"/>
        <w:rPr>
          <w:szCs w:val="20"/>
        </w:rPr>
      </w:pPr>
      <w:r w:rsidRPr="00E00B35">
        <w:rPr>
          <w:szCs w:val="20"/>
        </w:rPr>
        <w:t>Na stronie internetowej www.wroclaw.pl/rozklady-jazdy opublikowano około 1 670 kompletów rozkładów jazdy (dni robocze, sobota, niedziela i święta);</w:t>
      </w:r>
    </w:p>
    <w:p w:rsidR="008C7751" w:rsidRPr="00E00B35" w:rsidRDefault="008C7751" w:rsidP="00E00B35">
      <w:pPr>
        <w:pStyle w:val="Tekstpodstawowy"/>
        <w:numPr>
          <w:ilvl w:val="0"/>
          <w:numId w:val="71"/>
        </w:numPr>
        <w:suppressAutoHyphens/>
        <w:spacing w:after="0" w:line="312" w:lineRule="auto"/>
        <w:ind w:left="567" w:hanging="567"/>
        <w:rPr>
          <w:szCs w:val="20"/>
        </w:rPr>
      </w:pPr>
      <w:r w:rsidRPr="00E00B35">
        <w:rPr>
          <w:szCs w:val="20"/>
        </w:rPr>
        <w:t>Dokonano weryfikacji dostarczonych przez przewoźników około 4 455 rozkładów jazdy;</w:t>
      </w:r>
    </w:p>
    <w:p w:rsidR="008C7751" w:rsidRPr="00E00B35" w:rsidRDefault="008C7751" w:rsidP="00E00B35">
      <w:pPr>
        <w:pStyle w:val="Tekstpodstawowy"/>
        <w:numPr>
          <w:ilvl w:val="0"/>
          <w:numId w:val="71"/>
        </w:numPr>
        <w:suppressAutoHyphens/>
        <w:spacing w:after="0" w:line="312" w:lineRule="auto"/>
        <w:ind w:left="567" w:hanging="567"/>
        <w:rPr>
          <w:szCs w:val="20"/>
        </w:rPr>
      </w:pPr>
      <w:r w:rsidRPr="00E00B35">
        <w:rPr>
          <w:szCs w:val="20"/>
        </w:rPr>
        <w:t>Przygotowano do realizacji około 185 rozkładów jazdy dla linii strefowych;</w:t>
      </w:r>
    </w:p>
    <w:p w:rsidR="008C7751" w:rsidRPr="00E00B35" w:rsidRDefault="008C7751" w:rsidP="00E00B35">
      <w:pPr>
        <w:pStyle w:val="Tekstpodstawowy"/>
        <w:numPr>
          <w:ilvl w:val="0"/>
          <w:numId w:val="71"/>
        </w:numPr>
        <w:suppressAutoHyphens/>
        <w:spacing w:after="0" w:line="312" w:lineRule="auto"/>
        <w:ind w:left="567" w:hanging="567"/>
        <w:rPr>
          <w:szCs w:val="20"/>
        </w:rPr>
      </w:pPr>
      <w:r w:rsidRPr="00E00B35">
        <w:rPr>
          <w:szCs w:val="20"/>
        </w:rPr>
        <w:t>Przygotowano 192 protokołów dla zleconych prac wykonywanych w ramach wprowadzanych zmian w komunikacji zbiorowej;</w:t>
      </w:r>
    </w:p>
    <w:p w:rsidR="008C7751" w:rsidRPr="00E00B35" w:rsidRDefault="008C7751" w:rsidP="00E00B35">
      <w:pPr>
        <w:pStyle w:val="Tekstpodstawowy"/>
        <w:numPr>
          <w:ilvl w:val="0"/>
          <w:numId w:val="71"/>
        </w:numPr>
        <w:suppressAutoHyphens/>
        <w:spacing w:after="0" w:line="312" w:lineRule="auto"/>
        <w:ind w:left="567" w:hanging="567"/>
        <w:rPr>
          <w:szCs w:val="20"/>
        </w:rPr>
      </w:pPr>
      <w:r w:rsidRPr="00E00B35">
        <w:rPr>
          <w:szCs w:val="20"/>
        </w:rPr>
        <w:t>Przygotowano, wydrukowano i wydano do wywieszenia na przystankach około 260 000 arkuszy rozkładów jazdy oraz 447 arkuszy informacji pasażerskiej;</w:t>
      </w:r>
    </w:p>
    <w:p w:rsidR="008C7751" w:rsidRPr="00E00B35" w:rsidRDefault="008C7751" w:rsidP="00E00B35">
      <w:pPr>
        <w:pStyle w:val="Tekstpodstawowy"/>
        <w:numPr>
          <w:ilvl w:val="0"/>
          <w:numId w:val="71"/>
        </w:numPr>
        <w:suppressAutoHyphens/>
        <w:spacing w:after="0" w:line="312" w:lineRule="auto"/>
        <w:ind w:left="567" w:hanging="567"/>
        <w:rPr>
          <w:szCs w:val="20"/>
        </w:rPr>
      </w:pPr>
      <w:r w:rsidRPr="00E00B35">
        <w:rPr>
          <w:szCs w:val="20"/>
        </w:rPr>
        <w:t>Przygotowano i zlecano do wykonania wymianę rozkładów jazdy, oznaczenie numerów linii kursujących przez dany przystanek oraz wywieszenie innych informacji dla pasażerów średnio w miesiącu na ponad 1 616 przystankach;</w:t>
      </w:r>
    </w:p>
    <w:p w:rsidR="008C7751" w:rsidRPr="00E00B35" w:rsidRDefault="008C7751" w:rsidP="00E00B35">
      <w:pPr>
        <w:pStyle w:val="Tekstpodstawowy"/>
        <w:numPr>
          <w:ilvl w:val="0"/>
          <w:numId w:val="71"/>
        </w:numPr>
        <w:suppressAutoHyphens/>
        <w:spacing w:after="0" w:line="312" w:lineRule="auto"/>
        <w:ind w:left="567" w:hanging="567"/>
        <w:rPr>
          <w:szCs w:val="20"/>
        </w:rPr>
      </w:pPr>
      <w:r w:rsidRPr="00E00B35">
        <w:rPr>
          <w:szCs w:val="20"/>
        </w:rPr>
        <w:t>Przeprowadzono na przystankach 4 264 kontroli jakości wykonanych prac przy rozwieszaniu rozkładów jazdy i informacji pasażerskich;</w:t>
      </w:r>
    </w:p>
    <w:p w:rsidR="008C7751" w:rsidRPr="00E00B35" w:rsidRDefault="008C7751" w:rsidP="00E00B35">
      <w:pPr>
        <w:pStyle w:val="Tekstpodstawowy"/>
        <w:numPr>
          <w:ilvl w:val="0"/>
          <w:numId w:val="71"/>
        </w:numPr>
        <w:suppressAutoHyphens/>
        <w:spacing w:after="0" w:line="312" w:lineRule="auto"/>
        <w:ind w:left="567" w:hanging="567"/>
        <w:rPr>
          <w:szCs w:val="20"/>
        </w:rPr>
      </w:pPr>
      <w:r w:rsidRPr="00E00B35">
        <w:rPr>
          <w:szCs w:val="20"/>
        </w:rPr>
        <w:t>Uczestniczono w spotkaniach i pracach Komisji Bezpieczeństwa Ruchu Drogowego;</w:t>
      </w:r>
    </w:p>
    <w:p w:rsidR="008C7751" w:rsidRPr="00E00B35" w:rsidRDefault="008C7751" w:rsidP="00E00B35">
      <w:pPr>
        <w:pStyle w:val="Tekstpodstawowy"/>
        <w:numPr>
          <w:ilvl w:val="0"/>
          <w:numId w:val="71"/>
        </w:numPr>
        <w:suppressAutoHyphens/>
        <w:spacing w:after="0" w:line="312" w:lineRule="auto"/>
        <w:ind w:left="567" w:hanging="567"/>
        <w:rPr>
          <w:szCs w:val="20"/>
        </w:rPr>
      </w:pPr>
      <w:r w:rsidRPr="00E00B35">
        <w:rPr>
          <w:szCs w:val="20"/>
        </w:rPr>
        <w:t>Wprowadzono zmiany w funkcjonowaniu systemu informatycznego do kontroli komunikacji zbiorowej oraz przystanków – Transport Quality Center od wersji 2.3.1. do wersji obecnej 2.4.2.;</w:t>
      </w:r>
    </w:p>
    <w:p w:rsidR="008C7751" w:rsidRPr="00E00B35" w:rsidRDefault="008C7751" w:rsidP="00E00B35">
      <w:pPr>
        <w:pStyle w:val="Tekstpodstawowy"/>
        <w:numPr>
          <w:ilvl w:val="0"/>
          <w:numId w:val="71"/>
        </w:numPr>
        <w:suppressAutoHyphens/>
        <w:spacing w:after="0" w:line="312" w:lineRule="auto"/>
        <w:ind w:left="567" w:hanging="567"/>
        <w:rPr>
          <w:szCs w:val="20"/>
        </w:rPr>
      </w:pPr>
      <w:r w:rsidRPr="00E00B35">
        <w:rPr>
          <w:szCs w:val="20"/>
        </w:rPr>
        <w:t xml:space="preserve">Rozwój oprogramowania AGC Busman. Praca na jednej bazie danych WTR, MPK i operatorów linii strefowych. </w:t>
      </w:r>
    </w:p>
    <w:p w:rsidR="008C7751" w:rsidRPr="00E00B35" w:rsidRDefault="008C7751" w:rsidP="00E00B35">
      <w:pPr>
        <w:pStyle w:val="Tekstpodstawowy"/>
        <w:suppressAutoHyphens/>
        <w:spacing w:after="0" w:line="312" w:lineRule="auto"/>
        <w:ind w:left="720"/>
        <w:rPr>
          <w:szCs w:val="20"/>
        </w:rPr>
      </w:pPr>
    </w:p>
    <w:p w:rsidR="008C7751" w:rsidRPr="00E00B35" w:rsidRDefault="008C7751" w:rsidP="00E00B35">
      <w:pPr>
        <w:pStyle w:val="Nagwek4"/>
        <w:spacing w:before="0" w:after="0" w:line="312" w:lineRule="auto"/>
        <w:rPr>
          <w:sz w:val="20"/>
          <w:szCs w:val="20"/>
        </w:rPr>
      </w:pPr>
      <w:bookmarkStart w:id="876" w:name="_Toc66358341"/>
      <w:r w:rsidRPr="00E00B35">
        <w:rPr>
          <w:sz w:val="20"/>
          <w:szCs w:val="20"/>
        </w:rPr>
        <w:t>Emisja i dystrybucja biletów miejskiej komunikacji zbiorowej</w:t>
      </w:r>
      <w:bookmarkEnd w:id="876"/>
    </w:p>
    <w:p w:rsidR="008C7751" w:rsidRPr="00E00B35" w:rsidRDefault="008C7751" w:rsidP="00E00B35">
      <w:pPr>
        <w:pStyle w:val="14StanowiskoPodpisujacego"/>
        <w:spacing w:after="0" w:line="312" w:lineRule="auto"/>
        <w:jc w:val="left"/>
        <w:rPr>
          <w:sz w:val="20"/>
          <w:szCs w:val="20"/>
        </w:rPr>
      </w:pPr>
      <w:r w:rsidRPr="00E00B35">
        <w:rPr>
          <w:sz w:val="20"/>
          <w:szCs w:val="20"/>
        </w:rPr>
        <w:t xml:space="preserve">W roku 2020 na skutek pandemii COVID-19, która spowodowała silny spadek aktywności gospodarczej w kraju, podjęto szereg działań odpowiadających na potrzeby pasażerów, które uległy zmianie w nowych okolicznościach. </w:t>
      </w:r>
    </w:p>
    <w:p w:rsidR="00890136" w:rsidRPr="00E00B35" w:rsidRDefault="00890136" w:rsidP="00E00B35">
      <w:pPr>
        <w:pStyle w:val="14StanowiskoPodpisujacego"/>
        <w:spacing w:after="0" w:line="312" w:lineRule="auto"/>
        <w:jc w:val="left"/>
        <w:rPr>
          <w:sz w:val="20"/>
          <w:szCs w:val="20"/>
        </w:rPr>
      </w:pPr>
    </w:p>
    <w:p w:rsidR="008C7751" w:rsidRPr="00E00B35" w:rsidRDefault="008C7751" w:rsidP="00E00B35">
      <w:pPr>
        <w:pStyle w:val="14StanowiskoPodpisujacego"/>
        <w:numPr>
          <w:ilvl w:val="1"/>
          <w:numId w:val="23"/>
        </w:numPr>
        <w:tabs>
          <w:tab w:val="left" w:pos="567"/>
        </w:tabs>
        <w:suppressAutoHyphens/>
        <w:spacing w:after="0" w:line="312" w:lineRule="auto"/>
        <w:ind w:left="567" w:hanging="578"/>
        <w:jc w:val="left"/>
        <w:rPr>
          <w:b/>
          <w:bCs/>
          <w:sz w:val="20"/>
          <w:szCs w:val="20"/>
        </w:rPr>
      </w:pPr>
      <w:r w:rsidRPr="00E00B35">
        <w:rPr>
          <w:b/>
          <w:bCs/>
          <w:sz w:val="20"/>
          <w:szCs w:val="20"/>
        </w:rPr>
        <w:t>Wpływ pandemii na dystrybucję biletów w systemie URBANCARD</w:t>
      </w:r>
    </w:p>
    <w:p w:rsidR="008C7751" w:rsidRPr="00E00B35" w:rsidRDefault="008C7751" w:rsidP="00E00B35">
      <w:pPr>
        <w:pStyle w:val="14StanowiskoPodpisujacego"/>
        <w:spacing w:after="0" w:line="312" w:lineRule="auto"/>
        <w:jc w:val="left"/>
        <w:rPr>
          <w:sz w:val="20"/>
          <w:szCs w:val="20"/>
        </w:rPr>
      </w:pPr>
      <w:r w:rsidRPr="00E00B35">
        <w:rPr>
          <w:sz w:val="20"/>
          <w:szCs w:val="20"/>
        </w:rPr>
        <w:t>Pierwszym działaniem podjętym w związku z wystąpieniem pandemii było wprowadzenie przez operatora systemu procedury obowiązkowej dezynfekcji urządzeń służących do sprzedaży biletów. Kolejnym krokiem było wdrożenie od 12 marca 2020 r. do 8 maja 2020 r. dwóch rozwiązań, ułatwiających pasażerom znoszenie początkowych skutków pandemii tj.:</w:t>
      </w:r>
    </w:p>
    <w:p w:rsidR="008C7751" w:rsidRPr="00E00B35" w:rsidRDefault="008C7751" w:rsidP="00BC64AB">
      <w:pPr>
        <w:pStyle w:val="14StanowiskoPodpisujacego"/>
        <w:numPr>
          <w:ilvl w:val="0"/>
          <w:numId w:val="237"/>
        </w:numPr>
        <w:suppressAutoHyphens/>
        <w:spacing w:after="0" w:line="312" w:lineRule="auto"/>
        <w:ind w:left="426" w:hanging="426"/>
        <w:jc w:val="left"/>
        <w:rPr>
          <w:sz w:val="20"/>
          <w:szCs w:val="20"/>
        </w:rPr>
      </w:pPr>
      <w:r w:rsidRPr="00E00B35">
        <w:rPr>
          <w:sz w:val="20"/>
          <w:szCs w:val="20"/>
        </w:rPr>
        <w:t>umożliwienie zawieszenia biegu terminu ważności biletów imiennych okresowych (bieg terminu biletu pasażer mógł przywrócić do dnia 31 grudnia 2020 r.),</w:t>
      </w:r>
    </w:p>
    <w:p w:rsidR="00C220F1" w:rsidRPr="00E00B35" w:rsidRDefault="008C7751" w:rsidP="00BC64AB">
      <w:pPr>
        <w:pStyle w:val="14StanowiskoPodpisujacego"/>
        <w:numPr>
          <w:ilvl w:val="0"/>
          <w:numId w:val="237"/>
        </w:numPr>
        <w:suppressAutoHyphens/>
        <w:spacing w:after="0" w:line="312" w:lineRule="auto"/>
        <w:ind w:left="426" w:hanging="426"/>
        <w:jc w:val="left"/>
        <w:rPr>
          <w:sz w:val="20"/>
          <w:szCs w:val="20"/>
        </w:rPr>
      </w:pPr>
      <w:r w:rsidRPr="00E00B35">
        <w:rPr>
          <w:sz w:val="20"/>
          <w:szCs w:val="20"/>
        </w:rPr>
        <w:t>wprowadzenie możliwości anulowania biletów imiennych okresowych bez pobierania opłaty manipulacyjnej (20% wartości biletu).</w:t>
      </w:r>
    </w:p>
    <w:p w:rsidR="008C7751" w:rsidRPr="00E00B35" w:rsidRDefault="008C7751" w:rsidP="00E00B35">
      <w:pPr>
        <w:pStyle w:val="14StanowiskoPodpisujacego"/>
        <w:suppressAutoHyphens/>
        <w:spacing w:after="0" w:line="312" w:lineRule="auto"/>
        <w:ind w:left="426"/>
        <w:jc w:val="left"/>
        <w:rPr>
          <w:sz w:val="20"/>
          <w:szCs w:val="20"/>
        </w:rPr>
      </w:pPr>
      <w:r w:rsidRPr="00E00B35">
        <w:rPr>
          <w:sz w:val="20"/>
          <w:szCs w:val="20"/>
        </w:rPr>
        <w:t xml:space="preserve"> </w:t>
      </w:r>
    </w:p>
    <w:p w:rsidR="008C7751" w:rsidRPr="00E00B35" w:rsidRDefault="008C7751" w:rsidP="00E00B35">
      <w:pPr>
        <w:pStyle w:val="14StanowiskoPodpisujacego"/>
        <w:spacing w:after="0" w:line="312" w:lineRule="auto"/>
        <w:jc w:val="left"/>
        <w:rPr>
          <w:sz w:val="20"/>
          <w:szCs w:val="20"/>
        </w:rPr>
      </w:pPr>
      <w:r w:rsidRPr="00E00B35">
        <w:rPr>
          <w:sz w:val="20"/>
          <w:szCs w:val="20"/>
        </w:rPr>
        <w:t xml:space="preserve">Celem ograniczenia konieczności osobistego załatwiania spraw przez pasażerów w okolicznościach panującej pandemii, podjęto działania mające na celu umożliwienie elektroniczną obsługę klienta. W tym celu wykonano prace informatyczne zmieniające oprogramowanie systemu centralnego URBANCARD w zakresie obsługiwania zwrotów biletów oraz zawieszenia biegu terminu ważności biletów. Z wprowadzonych rozwiązań </w:t>
      </w:r>
      <w:r w:rsidRPr="00E00B35">
        <w:rPr>
          <w:sz w:val="20"/>
          <w:szCs w:val="20"/>
        </w:rPr>
        <w:lastRenderedPageBreak/>
        <w:t xml:space="preserve">skorzystało około 40 tys. pasażerów. Ponadto rozpoczęto prace informatyczne nad obsługą on-line wniosków o anulowanie biletów okresowych, bez konieczności osobistej wizyty w Biurach Obsługi Klienta URBANCARD oraz opracowano nowy formularz anulowania imiennych biletów okresowych, który pobrać można ze strony </w:t>
      </w:r>
      <w:hyperlink r:id="rId234" w:history="1">
        <w:r w:rsidRPr="00E00B35">
          <w:rPr>
            <w:sz w:val="20"/>
            <w:szCs w:val="20"/>
          </w:rPr>
          <w:t>www.urbancard.pl</w:t>
        </w:r>
      </w:hyperlink>
      <w:r w:rsidRPr="00E00B35">
        <w:rPr>
          <w:sz w:val="20"/>
          <w:szCs w:val="20"/>
        </w:rPr>
        <w:t xml:space="preserve"> i złożyć drogą elektroniczną na adres bok@urbancard.pl.</w:t>
      </w:r>
    </w:p>
    <w:p w:rsidR="008C7751" w:rsidRPr="00E00B35" w:rsidRDefault="008C7751" w:rsidP="00E00B35">
      <w:pPr>
        <w:pStyle w:val="14StanowiskoPodpisujacego"/>
        <w:spacing w:after="0" w:line="312" w:lineRule="auto"/>
        <w:jc w:val="left"/>
        <w:rPr>
          <w:sz w:val="20"/>
          <w:szCs w:val="20"/>
        </w:rPr>
      </w:pPr>
      <w:r w:rsidRPr="00E00B35">
        <w:rPr>
          <w:sz w:val="20"/>
          <w:szCs w:val="20"/>
        </w:rPr>
        <w:t xml:space="preserve">Zmiany spowodowane wystąpieniem siły wyższej, tj. COVID-19, znalazły swoje uregulowania w aneksie do umowy o świadczenie usługi dystrybucji biletów komunikacji miejskiej w ramach systemu URBANCARD Wrocławska Karta Miejska. </w:t>
      </w:r>
    </w:p>
    <w:p w:rsidR="008C7751" w:rsidRPr="00E00B35" w:rsidRDefault="008C7751" w:rsidP="00E00B35">
      <w:pPr>
        <w:pStyle w:val="14StanowiskoPodpisujacego"/>
        <w:spacing w:after="0" w:line="312" w:lineRule="auto"/>
        <w:jc w:val="left"/>
        <w:rPr>
          <w:sz w:val="20"/>
          <w:szCs w:val="20"/>
        </w:rPr>
      </w:pPr>
      <w:r w:rsidRPr="00E00B35">
        <w:rPr>
          <w:sz w:val="20"/>
          <w:szCs w:val="20"/>
        </w:rPr>
        <w:t>W wyniku wprowadzenia przez Rząd RP środków bezpieczeństwa takich jak: ograniczenie przemieszczania się, limity pojemności pojazdów komunikacji miejskiej, zamknięcie szkół oraz placówek oświatowych, a także zakazem prowadzenia istotnej części działalności gospodarczej oraz społecznej, nastąpił drastyczny spadek podróży odbywanych komunikacją miejską we Wrocławiu, a co za tym idzie spadek dochodów z biletów. W porównaniu do roku 2019 wartość sprzedaży w systemie URBANCARD spadła o prawie 40%.</w:t>
      </w:r>
    </w:p>
    <w:p w:rsidR="00890136" w:rsidRPr="00E00B35" w:rsidRDefault="00890136" w:rsidP="00E00B35">
      <w:pPr>
        <w:pStyle w:val="14StanowiskoPodpisujacego"/>
        <w:spacing w:after="0" w:line="312" w:lineRule="auto"/>
        <w:jc w:val="left"/>
        <w:rPr>
          <w:sz w:val="20"/>
          <w:szCs w:val="20"/>
        </w:rPr>
      </w:pPr>
    </w:p>
    <w:p w:rsidR="008C7751" w:rsidRPr="00E00B35" w:rsidRDefault="008C7751" w:rsidP="00E00B35">
      <w:pPr>
        <w:pStyle w:val="14StanowiskoPodpisujacego"/>
        <w:numPr>
          <w:ilvl w:val="1"/>
          <w:numId w:val="23"/>
        </w:numPr>
        <w:tabs>
          <w:tab w:val="left" w:pos="567"/>
        </w:tabs>
        <w:suppressAutoHyphens/>
        <w:spacing w:after="0" w:line="312" w:lineRule="auto"/>
        <w:ind w:left="567" w:hanging="578"/>
        <w:jc w:val="left"/>
        <w:rPr>
          <w:b/>
          <w:bCs/>
          <w:sz w:val="20"/>
          <w:szCs w:val="20"/>
        </w:rPr>
      </w:pPr>
      <w:r w:rsidRPr="00E00B35">
        <w:rPr>
          <w:b/>
          <w:bCs/>
          <w:sz w:val="20"/>
          <w:szCs w:val="20"/>
        </w:rPr>
        <w:t>Wpływ pandemii na sprzedaż biletów w ramach porozumień międzygminnych</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Pandemia COVID-19 miała również negatywny wpływ na liczbę pasażerów korzystających z przejazdów w komunikacji międzygminnej organizowanej przez gminę Wrocław dla gmin Miękinia, Wisznia Mała i Długołęka, gdzie odnotowano 35% spadek wartości sprzedaży w porównaniu do roku 2019.</w:t>
      </w:r>
    </w:p>
    <w:p w:rsidR="008C7751" w:rsidRPr="00E00B35" w:rsidRDefault="008C7751" w:rsidP="00E00B35">
      <w:pPr>
        <w:spacing w:after="0" w:line="312" w:lineRule="auto"/>
        <w:rPr>
          <w:rFonts w:eastAsia="Calibri" w:cs="Verdana"/>
          <w:szCs w:val="20"/>
          <w:lang w:eastAsia="ar-SA"/>
        </w:rPr>
      </w:pPr>
    </w:p>
    <w:p w:rsidR="008C7751" w:rsidRPr="00E00B35" w:rsidRDefault="008C7751" w:rsidP="00E00B35">
      <w:pPr>
        <w:pStyle w:val="14StanowiskoPodpisujacego"/>
        <w:numPr>
          <w:ilvl w:val="1"/>
          <w:numId w:val="23"/>
        </w:numPr>
        <w:tabs>
          <w:tab w:val="left" w:pos="567"/>
        </w:tabs>
        <w:suppressAutoHyphens/>
        <w:spacing w:after="0" w:line="312" w:lineRule="auto"/>
        <w:ind w:left="567" w:hanging="578"/>
        <w:jc w:val="left"/>
        <w:rPr>
          <w:b/>
          <w:bCs/>
          <w:sz w:val="20"/>
          <w:szCs w:val="20"/>
        </w:rPr>
      </w:pPr>
      <w:r w:rsidRPr="00E00B35">
        <w:rPr>
          <w:b/>
          <w:bCs/>
          <w:sz w:val="20"/>
          <w:szCs w:val="20"/>
        </w:rPr>
        <w:t>Zmiana uchwały biletowej</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 xml:space="preserve">Z powodu skutków pandemii COVID-19 i wywołanym przez nią znaczącym spadkiem sprzedaży biletów komunikacji miejskiej oraz w związku z prowadzonymi inwestycjami w zakresie rozwoju komunikacji miejskiej, rozpoczęły się prace nad zmianą taryfy opłat za przewóz osób komunikacja miejską. W tym celu został przygotowany projekt uchwały Rady Miejskiej Wrocławia zmieniającej uchwałę nr XLVII/1094/17 z dnia 19 października 2017 r. w sprawie ustalenia cen za usługi przewozowe świadczone środkami lokalnego transportu zbiorowego organizowanego przez gminę Wrocław oraz sposobu ustalenia wysokości opłaty dodatkowej i manipulacyjnej, który w dniu 23 lipca 2020 r. został przyjęty przez Radę Miejską Wrocławia (uchwała nr XXV/670/20, Dz. Urz. Wojew. Doln. poz. 4463). </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 xml:space="preserve">Zgodnie z wprowadzoną zmianą od 1 stycznia 2021 r. zmianie uległy ceny biletów jednorazowych, czasowych, imiennych, grupowych oraz opłata dodatkowa za przejazd bez ważnego biletu. </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 xml:space="preserve">Cena biletu jednorazowego wzrosła o 35%, natomiast ceny pozostałych biletów zostały średnio podwyższone o: czasowe 23%, imienne 29%, grupowe 22%. Ponadto podwyższeniu uległa zmiana opłaty dodatkowej z 50-krotności ceny pełnego biletu czasowego 30-minutowego do 70-krotności ceny pełnego biletu czasowego 30-minutowego, tj. ze 150 zł do 280 zł. </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 xml:space="preserve">Istotnym wprowadzonym rozwiązaniem było wprowadzenie nowej taryfy „Nasz Wrocław” obejmującej ceny biletów imiennych okresowych od 7-dniowych do 365 dniowych </w:t>
      </w:r>
      <w:r w:rsidRPr="00E00B35">
        <w:rPr>
          <w:rFonts w:eastAsia="Calibri" w:cs="Verdana"/>
          <w:szCs w:val="20"/>
          <w:lang w:eastAsia="ar-SA"/>
        </w:rPr>
        <w:lastRenderedPageBreak/>
        <w:t>w niezmiennych cenach, dla tych z mieszkańców, którzy rozliczają podatek dochodowy we Wrocławiu i są zarejestrowani w programie „Nasz Wrocław” (mają przyznany aktywny status).</w:t>
      </w:r>
    </w:p>
    <w:p w:rsidR="008C7751" w:rsidRPr="00E00B35" w:rsidRDefault="008C7751" w:rsidP="00E00B35">
      <w:pPr>
        <w:pStyle w:val="Legenda"/>
        <w:keepNext/>
        <w:spacing w:before="0" w:after="0" w:line="312" w:lineRule="auto"/>
        <w:rPr>
          <w:b/>
          <w:sz w:val="20"/>
          <w:szCs w:val="20"/>
        </w:rPr>
      </w:pPr>
      <w:r w:rsidRPr="00E00B35">
        <w:rPr>
          <w:sz w:val="20"/>
          <w:szCs w:val="20"/>
        </w:rPr>
        <w:t xml:space="preserve">Rysunek </w:t>
      </w:r>
      <w:r w:rsidR="00573162" w:rsidRPr="00E00B35">
        <w:rPr>
          <w:b/>
          <w:sz w:val="20"/>
          <w:szCs w:val="20"/>
        </w:rPr>
        <w:fldChar w:fldCharType="begin"/>
      </w:r>
      <w:r w:rsidRPr="00E00B35">
        <w:rPr>
          <w:sz w:val="20"/>
          <w:szCs w:val="20"/>
        </w:rPr>
        <w:instrText xml:space="preserve"> SEQ Rysunek \* ARABIC </w:instrText>
      </w:r>
      <w:r w:rsidR="00573162" w:rsidRPr="00E00B35">
        <w:rPr>
          <w:b/>
          <w:sz w:val="20"/>
          <w:szCs w:val="20"/>
        </w:rPr>
        <w:fldChar w:fldCharType="separate"/>
      </w:r>
      <w:r w:rsidR="008C054F">
        <w:rPr>
          <w:noProof/>
          <w:sz w:val="20"/>
          <w:szCs w:val="20"/>
        </w:rPr>
        <w:t>15</w:t>
      </w:r>
      <w:r w:rsidR="00573162" w:rsidRPr="00E00B35">
        <w:rPr>
          <w:b/>
          <w:sz w:val="20"/>
          <w:szCs w:val="20"/>
        </w:rPr>
        <w:fldChar w:fldCharType="end"/>
      </w:r>
      <w:r w:rsidRPr="00E00B35">
        <w:rPr>
          <w:sz w:val="20"/>
          <w:szCs w:val="20"/>
        </w:rPr>
        <w:t>. Plakat informacyjny dot. biletów „Nasz Wrocław”</w:t>
      </w:r>
    </w:p>
    <w:p w:rsidR="008C7751" w:rsidRPr="00E00B35" w:rsidRDefault="008C7751" w:rsidP="00E00B35">
      <w:pPr>
        <w:spacing w:after="0" w:line="312" w:lineRule="auto"/>
        <w:rPr>
          <w:rFonts w:eastAsia="Calibri" w:cs="Verdana"/>
          <w:bCs/>
          <w:szCs w:val="20"/>
          <w:lang w:eastAsia="ar-SA"/>
        </w:rPr>
      </w:pPr>
      <w:r w:rsidRPr="00E00B35">
        <w:rPr>
          <w:noProof/>
          <w:szCs w:val="20"/>
          <w:lang w:val="pl-PL" w:eastAsia="pl-PL" w:bidi="ar-SA"/>
        </w:rPr>
        <w:drawing>
          <wp:inline distT="0" distB="0" distL="0" distR="0">
            <wp:extent cx="3505200" cy="2723465"/>
            <wp:effectExtent l="19050" t="0" r="0" b="0"/>
            <wp:docPr id="23" name="Obraz 11" descr="Z programem Nasz Wrocław wyższe ceny biletów okresowych MPK Cię nie dotyczą! Plakat zachęcający do dołączenia do programu &quot;Nasz Wrocław&quot;, aby skorzystać ze zniżki.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4_program_nasz_wroclaw_nizsze_ceny_biletow_mpk_dla_osob_1609405135_1856"/>
                    <pic:cNvPicPr>
                      <a:picLocks noChangeAspect="1" noChangeArrowheads="1"/>
                    </pic:cNvPicPr>
                  </pic:nvPicPr>
                  <pic:blipFill>
                    <a:blip r:embed="rId235" cstate="print"/>
                    <a:srcRect/>
                    <a:stretch>
                      <a:fillRect/>
                    </a:stretch>
                  </pic:blipFill>
                  <pic:spPr bwMode="auto">
                    <a:xfrm>
                      <a:off x="0" y="0"/>
                      <a:ext cx="3506802" cy="2724710"/>
                    </a:xfrm>
                    <a:prstGeom prst="rect">
                      <a:avLst/>
                    </a:prstGeom>
                    <a:noFill/>
                    <a:ln w="9525">
                      <a:noFill/>
                      <a:miter lim="800000"/>
                      <a:headEnd/>
                      <a:tailEnd/>
                    </a:ln>
                  </pic:spPr>
                </pic:pic>
              </a:graphicData>
            </a:graphic>
          </wp:inline>
        </w:drawing>
      </w:r>
    </w:p>
    <w:p w:rsidR="00890136" w:rsidRPr="00E00B35" w:rsidRDefault="00890136" w:rsidP="00E00B35">
      <w:pPr>
        <w:spacing w:after="0" w:line="312" w:lineRule="auto"/>
        <w:rPr>
          <w:rFonts w:eastAsia="Calibri" w:cs="Verdana"/>
          <w:bCs/>
          <w:szCs w:val="20"/>
          <w:lang w:eastAsia="ar-SA"/>
        </w:rPr>
      </w:pPr>
    </w:p>
    <w:p w:rsidR="008C7751" w:rsidRPr="00E00B35" w:rsidRDefault="008C7751" w:rsidP="00E00B35">
      <w:pPr>
        <w:pStyle w:val="14StanowiskoPodpisujacego"/>
        <w:numPr>
          <w:ilvl w:val="1"/>
          <w:numId w:val="23"/>
        </w:numPr>
        <w:tabs>
          <w:tab w:val="left" w:pos="567"/>
        </w:tabs>
        <w:suppressAutoHyphens/>
        <w:spacing w:after="0" w:line="312" w:lineRule="auto"/>
        <w:ind w:left="567" w:hanging="578"/>
        <w:jc w:val="left"/>
        <w:rPr>
          <w:b/>
          <w:bCs/>
          <w:sz w:val="20"/>
          <w:szCs w:val="20"/>
        </w:rPr>
      </w:pPr>
      <w:r w:rsidRPr="00E00B35">
        <w:rPr>
          <w:b/>
          <w:bCs/>
          <w:sz w:val="20"/>
          <w:szCs w:val="20"/>
        </w:rPr>
        <w:t>Integracja systemu URBANCARD z systemem „Nasz Wrocław”</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 xml:space="preserve">Wprowadzenie nowego rozwiązania tj. taryfy „Nasz Wrocław” wymagało podjęcia prac, w szczególności informatycznych, mających na celu integrację systemu URBANCARD Wrocławska Karta Miejska z systemem informatycznym „Nasz Wrocław”. Integracja tych dwóch systemów umożliwia sprzedaż w systemie URBANCARD biletów „Nasz Wrocław” osobom posiadającym aktywny status uczestnika w programie. </w:t>
      </w:r>
    </w:p>
    <w:p w:rsidR="008C7751" w:rsidRPr="00E00B35" w:rsidRDefault="008C7751" w:rsidP="00E00B35">
      <w:pPr>
        <w:spacing w:after="0" w:line="312" w:lineRule="auto"/>
        <w:rPr>
          <w:rFonts w:eastAsia="Calibri" w:cs="Verdana"/>
          <w:szCs w:val="20"/>
          <w:lang w:eastAsia="ar-SA"/>
        </w:rPr>
      </w:pP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 xml:space="preserve">Na tę okoliczność został przygotowany kolejny aneks do umowy z operatorem systemu URBANCARD. Wykonano szereg zadań o charakterze organizacyjnym, przygotowano stosowną dokumentację, przeprowadzono czynności odbiorowe i testy działania systemów. </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 xml:space="preserve">Przygotowano również procedury reklamacyjne, a także podjęto inne działania związane z informacją i promocją tego przedsięwzięcia. </w:t>
      </w:r>
    </w:p>
    <w:p w:rsidR="008C7751" w:rsidRPr="00E00B35" w:rsidRDefault="008C7751" w:rsidP="00E00B35">
      <w:pPr>
        <w:spacing w:after="0" w:line="312" w:lineRule="auto"/>
        <w:rPr>
          <w:rFonts w:eastAsia="Calibri" w:cs="Verdana"/>
          <w:szCs w:val="20"/>
          <w:lang w:eastAsia="ar-SA"/>
        </w:r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39</w:t>
      </w:r>
      <w:r w:rsidR="00573162" w:rsidRPr="00E00B35">
        <w:rPr>
          <w:b/>
          <w:sz w:val="20"/>
          <w:szCs w:val="20"/>
        </w:rPr>
        <w:fldChar w:fldCharType="end"/>
      </w:r>
      <w:r w:rsidRPr="00E00B35">
        <w:rPr>
          <w:sz w:val="20"/>
          <w:szCs w:val="20"/>
        </w:rPr>
        <w:t>. Akcja informacyjna na ekranach kasowników</w:t>
      </w:r>
    </w:p>
    <w:p w:rsidR="008C7751" w:rsidRPr="00E00B35" w:rsidRDefault="008C7751" w:rsidP="00E00B35">
      <w:pPr>
        <w:spacing w:after="0" w:line="312" w:lineRule="auto"/>
        <w:rPr>
          <w:rFonts w:eastAsia="Calibri" w:cs="Verdana"/>
          <w:szCs w:val="20"/>
          <w:lang w:eastAsia="ar-SA"/>
        </w:rPr>
      </w:pPr>
      <w:r w:rsidRPr="00E00B35">
        <w:rPr>
          <w:noProof/>
          <w:szCs w:val="20"/>
          <w:lang w:val="pl-PL" w:eastAsia="pl-PL" w:bidi="ar-SA"/>
        </w:rPr>
        <w:drawing>
          <wp:inline distT="0" distB="0" distL="0" distR="0">
            <wp:extent cx="3338104" cy="2987626"/>
            <wp:effectExtent l="19050" t="0" r="0" b="0"/>
            <wp:docPr id="36" name="Obraz 27" descr="Wyświetlacz kasownika w pojeździe MPK, na którym pojawia się informacja o programie NASZ WROCŁ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_5282"/>
                    <pic:cNvPicPr>
                      <a:picLocks noChangeAspect="1" noChangeArrowheads="1"/>
                    </pic:cNvPicPr>
                  </pic:nvPicPr>
                  <pic:blipFill>
                    <a:blip r:embed="rId236" cstate="print"/>
                    <a:srcRect/>
                    <a:stretch>
                      <a:fillRect/>
                    </a:stretch>
                  </pic:blipFill>
                  <pic:spPr bwMode="auto">
                    <a:xfrm>
                      <a:off x="0" y="0"/>
                      <a:ext cx="3348171" cy="2996636"/>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rFonts w:eastAsia="Calibri" w:cs="Verdana"/>
          <w:szCs w:val="20"/>
          <w:lang w:eastAsia="ar-SA"/>
        </w:rPr>
      </w:pPr>
    </w:p>
    <w:p w:rsidR="008C7751" w:rsidRPr="00E00B35" w:rsidRDefault="008C7751" w:rsidP="00E00B35">
      <w:pPr>
        <w:pStyle w:val="14StanowiskoPodpisujacego"/>
        <w:numPr>
          <w:ilvl w:val="1"/>
          <w:numId w:val="23"/>
        </w:numPr>
        <w:tabs>
          <w:tab w:val="left" w:pos="567"/>
        </w:tabs>
        <w:suppressAutoHyphens/>
        <w:spacing w:after="0" w:line="312" w:lineRule="auto"/>
        <w:ind w:left="567" w:hanging="578"/>
        <w:jc w:val="left"/>
        <w:rPr>
          <w:b/>
          <w:bCs/>
          <w:sz w:val="20"/>
          <w:szCs w:val="20"/>
        </w:rPr>
      </w:pPr>
      <w:r w:rsidRPr="00E00B35">
        <w:rPr>
          <w:b/>
          <w:bCs/>
          <w:sz w:val="20"/>
          <w:szCs w:val="20"/>
        </w:rPr>
        <w:t>Sprzedaż biletów w roku 2020</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W 2020 r. w miejskiej komunikacji zbiorowej poprzez system URBANCARD Wrocławska Karta Miejska razem sprzedano 21 407 323 szt. biletów, w tym:</w:t>
      </w:r>
    </w:p>
    <w:p w:rsidR="008C7751" w:rsidRPr="00E00B35" w:rsidRDefault="008C7751" w:rsidP="00BC64AB">
      <w:pPr>
        <w:pStyle w:val="14StanowiskoPodpisujacego"/>
        <w:numPr>
          <w:ilvl w:val="0"/>
          <w:numId w:val="237"/>
        </w:numPr>
        <w:suppressAutoHyphens/>
        <w:spacing w:after="0" w:line="312" w:lineRule="auto"/>
        <w:ind w:left="426" w:hanging="426"/>
        <w:jc w:val="left"/>
        <w:rPr>
          <w:sz w:val="20"/>
          <w:szCs w:val="20"/>
        </w:rPr>
      </w:pPr>
      <w:r w:rsidRPr="00E00B35">
        <w:rPr>
          <w:sz w:val="20"/>
          <w:szCs w:val="20"/>
        </w:rPr>
        <w:t>14 077 333 szt. biletów czasowych;</w:t>
      </w:r>
    </w:p>
    <w:p w:rsidR="008C7751" w:rsidRPr="00E00B35" w:rsidRDefault="008C7751" w:rsidP="00BC64AB">
      <w:pPr>
        <w:pStyle w:val="14StanowiskoPodpisujacego"/>
        <w:numPr>
          <w:ilvl w:val="0"/>
          <w:numId w:val="237"/>
        </w:numPr>
        <w:suppressAutoHyphens/>
        <w:spacing w:after="0" w:line="312" w:lineRule="auto"/>
        <w:ind w:left="426" w:hanging="426"/>
        <w:jc w:val="left"/>
        <w:rPr>
          <w:sz w:val="20"/>
          <w:szCs w:val="20"/>
        </w:rPr>
      </w:pPr>
      <w:r w:rsidRPr="00E00B35">
        <w:rPr>
          <w:sz w:val="20"/>
          <w:szCs w:val="20"/>
        </w:rPr>
        <w:t>769 196 szt. biletów jednorazowych;</w:t>
      </w:r>
    </w:p>
    <w:p w:rsidR="008C7751" w:rsidRPr="00E00B35" w:rsidRDefault="008C7751" w:rsidP="00BC64AB">
      <w:pPr>
        <w:pStyle w:val="14StanowiskoPodpisujacego"/>
        <w:numPr>
          <w:ilvl w:val="0"/>
          <w:numId w:val="237"/>
        </w:numPr>
        <w:suppressAutoHyphens/>
        <w:spacing w:after="0" w:line="312" w:lineRule="auto"/>
        <w:ind w:left="426" w:hanging="426"/>
        <w:jc w:val="left"/>
        <w:rPr>
          <w:sz w:val="20"/>
          <w:szCs w:val="20"/>
        </w:rPr>
      </w:pPr>
      <w:r w:rsidRPr="00E00B35">
        <w:rPr>
          <w:sz w:val="20"/>
          <w:szCs w:val="20"/>
        </w:rPr>
        <w:t>560 170 szt. imiennych biletów okresowych.</w:t>
      </w:r>
    </w:p>
    <w:p w:rsidR="008C7751" w:rsidRPr="00E00B35" w:rsidRDefault="008C7751" w:rsidP="00E00B35">
      <w:pPr>
        <w:spacing w:after="0" w:line="312" w:lineRule="auto"/>
        <w:rPr>
          <w:rFonts w:eastAsia="Calibri" w:cs="Verdana"/>
          <w:szCs w:val="20"/>
          <w:lang w:eastAsia="ar-SA"/>
        </w:rPr>
      </w:pP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Największą sprzedaż biletów odnotowuje się w kasownikach zamontowanych w pojazdach miejskiej komunikacji zbiorowej. Płatność za przejazd można wnosić w tych urządzeniach przy użyciu zbliżeniowych kart płatniczych, NFC oraz Elektronicznych Portmonetek zaimplementowanych na kartach URBANCARD EP. Przy użyciu kasowników sprzedano w roku 2020 14 366 903 szt. biletów jednorazowych, czasowych i grupowych, co stanowiło 67% wszystkich biletów sprzedanych w sieci dystrybucji systemu URBANCARD w 2020 r.</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 xml:space="preserve">W pozostałych kanałach dystrybucji biletów, tj. automatach biletowych, aplikacjach mobilnych (URBANCARD, SkyCash, Mobill, mPay oraz Multiway), poprzez stronę WWW, w hurtowniach i kioskach sprzedano łącznie 7 040 420 szt. biletów, tj. 33% wszystkich biletów. </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Rozkład sprzedaży biletów (w szt.) w poszczególnych kanałach dystrybucji:</w:t>
      </w:r>
    </w:p>
    <w:p w:rsidR="008C7751" w:rsidRPr="00E00B35" w:rsidRDefault="008C7751" w:rsidP="00BC64AB">
      <w:pPr>
        <w:pStyle w:val="14StanowiskoPodpisujacego"/>
        <w:numPr>
          <w:ilvl w:val="0"/>
          <w:numId w:val="237"/>
        </w:numPr>
        <w:suppressAutoHyphens/>
        <w:spacing w:after="0" w:line="312" w:lineRule="auto"/>
        <w:ind w:left="426" w:hanging="426"/>
        <w:jc w:val="left"/>
        <w:rPr>
          <w:sz w:val="20"/>
          <w:szCs w:val="20"/>
        </w:rPr>
      </w:pPr>
      <w:r w:rsidRPr="00E00B35">
        <w:rPr>
          <w:sz w:val="20"/>
          <w:szCs w:val="20"/>
        </w:rPr>
        <w:t>kasowniki - 14 366 903;</w:t>
      </w:r>
    </w:p>
    <w:p w:rsidR="008C7751" w:rsidRPr="00E00B35" w:rsidRDefault="008C7751" w:rsidP="00BC64AB">
      <w:pPr>
        <w:pStyle w:val="14StanowiskoPodpisujacego"/>
        <w:numPr>
          <w:ilvl w:val="0"/>
          <w:numId w:val="237"/>
        </w:numPr>
        <w:suppressAutoHyphens/>
        <w:spacing w:after="0" w:line="312" w:lineRule="auto"/>
        <w:ind w:left="426" w:hanging="426"/>
        <w:jc w:val="left"/>
        <w:rPr>
          <w:sz w:val="20"/>
          <w:szCs w:val="20"/>
        </w:rPr>
      </w:pPr>
      <w:r w:rsidRPr="00E00B35">
        <w:rPr>
          <w:sz w:val="20"/>
          <w:szCs w:val="20"/>
        </w:rPr>
        <w:t>automaty biletowe (na chodnikach i przystankach) – 4 264 843;</w:t>
      </w:r>
    </w:p>
    <w:p w:rsidR="008C7751" w:rsidRPr="00E00B35" w:rsidRDefault="008C7751" w:rsidP="00BC64AB">
      <w:pPr>
        <w:pStyle w:val="14StanowiskoPodpisujacego"/>
        <w:numPr>
          <w:ilvl w:val="0"/>
          <w:numId w:val="237"/>
        </w:numPr>
        <w:suppressAutoHyphens/>
        <w:spacing w:after="0" w:line="312" w:lineRule="auto"/>
        <w:ind w:left="426" w:hanging="426"/>
        <w:jc w:val="left"/>
        <w:rPr>
          <w:sz w:val="20"/>
          <w:szCs w:val="20"/>
        </w:rPr>
      </w:pPr>
      <w:r w:rsidRPr="00E00B35">
        <w:rPr>
          <w:sz w:val="20"/>
          <w:szCs w:val="20"/>
        </w:rPr>
        <w:t>punkty sprzedaży biletów (np. kioski) – 1 563 851;</w:t>
      </w:r>
    </w:p>
    <w:p w:rsidR="008C7751" w:rsidRPr="00E00B35" w:rsidRDefault="008C7751" w:rsidP="00BC64AB">
      <w:pPr>
        <w:pStyle w:val="14StanowiskoPodpisujacego"/>
        <w:numPr>
          <w:ilvl w:val="0"/>
          <w:numId w:val="237"/>
        </w:numPr>
        <w:suppressAutoHyphens/>
        <w:spacing w:after="0" w:line="312" w:lineRule="auto"/>
        <w:ind w:left="426" w:hanging="426"/>
        <w:jc w:val="left"/>
        <w:rPr>
          <w:sz w:val="20"/>
          <w:szCs w:val="20"/>
        </w:rPr>
      </w:pPr>
      <w:r w:rsidRPr="00E00B35">
        <w:rPr>
          <w:sz w:val="20"/>
          <w:szCs w:val="20"/>
        </w:rPr>
        <w:t>aplikacje mobilne 738 256;</w:t>
      </w:r>
    </w:p>
    <w:p w:rsidR="008C7751" w:rsidRPr="00E00B35" w:rsidRDefault="008C7751" w:rsidP="00BC64AB">
      <w:pPr>
        <w:pStyle w:val="14StanowiskoPodpisujacego"/>
        <w:numPr>
          <w:ilvl w:val="0"/>
          <w:numId w:val="237"/>
        </w:numPr>
        <w:suppressAutoHyphens/>
        <w:spacing w:after="0" w:line="312" w:lineRule="auto"/>
        <w:ind w:left="426" w:hanging="426"/>
        <w:jc w:val="left"/>
        <w:rPr>
          <w:sz w:val="20"/>
          <w:szCs w:val="20"/>
        </w:rPr>
      </w:pPr>
      <w:r w:rsidRPr="00E00B35">
        <w:rPr>
          <w:sz w:val="20"/>
          <w:szCs w:val="20"/>
        </w:rPr>
        <w:t>strona WWW – 90 170;</w:t>
      </w:r>
    </w:p>
    <w:p w:rsidR="008C7751" w:rsidRPr="00E00B35" w:rsidRDefault="008C7751" w:rsidP="00BC64AB">
      <w:pPr>
        <w:pStyle w:val="14StanowiskoPodpisujacego"/>
        <w:numPr>
          <w:ilvl w:val="0"/>
          <w:numId w:val="237"/>
        </w:numPr>
        <w:suppressAutoHyphens/>
        <w:spacing w:after="0" w:line="312" w:lineRule="auto"/>
        <w:ind w:left="426" w:hanging="426"/>
        <w:jc w:val="left"/>
        <w:rPr>
          <w:sz w:val="20"/>
          <w:szCs w:val="20"/>
        </w:rPr>
      </w:pPr>
      <w:r w:rsidRPr="00E00B35">
        <w:rPr>
          <w:sz w:val="20"/>
          <w:szCs w:val="20"/>
        </w:rPr>
        <w:t>sprzedaż hurtowa – 383 300.</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lastRenderedPageBreak/>
        <w:t xml:space="preserve">W poniższej tabeli przedstawiono dane porównawcze sprzedaży biletów z systemu URBANCARD Wrocławska Karta Miejska w roku 2019 i 2020: </w:t>
      </w:r>
    </w:p>
    <w:p w:rsidR="008C7751" w:rsidRPr="00E00B35" w:rsidRDefault="008C7751" w:rsidP="00E00B35">
      <w:pPr>
        <w:pStyle w:val="Legenda"/>
        <w:keepNext/>
        <w:spacing w:before="0" w:after="0" w:line="312" w:lineRule="auto"/>
        <w:rPr>
          <w:b/>
          <w:sz w:val="20"/>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Tabela </w:t>
      </w:r>
      <w:r w:rsidR="00573162" w:rsidRPr="00E00B35">
        <w:rPr>
          <w:b/>
          <w:sz w:val="20"/>
          <w:szCs w:val="20"/>
        </w:rPr>
        <w:fldChar w:fldCharType="begin"/>
      </w:r>
      <w:r w:rsidRPr="00E00B35">
        <w:rPr>
          <w:sz w:val="20"/>
          <w:szCs w:val="20"/>
        </w:rPr>
        <w:instrText xml:space="preserve"> SEQ Tabela \* ARABIC </w:instrText>
      </w:r>
      <w:r w:rsidR="00573162" w:rsidRPr="00E00B35">
        <w:rPr>
          <w:b/>
          <w:sz w:val="20"/>
          <w:szCs w:val="20"/>
        </w:rPr>
        <w:fldChar w:fldCharType="separate"/>
      </w:r>
      <w:r w:rsidR="008C054F">
        <w:rPr>
          <w:noProof/>
          <w:sz w:val="20"/>
          <w:szCs w:val="20"/>
        </w:rPr>
        <w:t>8</w:t>
      </w:r>
      <w:r w:rsidR="00573162" w:rsidRPr="00E00B35">
        <w:rPr>
          <w:b/>
          <w:sz w:val="20"/>
          <w:szCs w:val="20"/>
        </w:rPr>
        <w:fldChar w:fldCharType="end"/>
      </w:r>
      <w:r w:rsidRPr="00E00B35">
        <w:rPr>
          <w:sz w:val="20"/>
          <w:szCs w:val="20"/>
        </w:rPr>
        <w:t>. Porównanie sprzedaży biletów</w:t>
      </w:r>
    </w:p>
    <w:tbl>
      <w:tblPr>
        <w:tblW w:w="0" w:type="auto"/>
        <w:tblInd w:w="70" w:type="dxa"/>
        <w:tblLayout w:type="fixed"/>
        <w:tblCellMar>
          <w:left w:w="70" w:type="dxa"/>
          <w:right w:w="70" w:type="dxa"/>
        </w:tblCellMar>
        <w:tblLook w:val="0000"/>
      </w:tblPr>
      <w:tblGrid>
        <w:gridCol w:w="2556"/>
        <w:gridCol w:w="3118"/>
        <w:gridCol w:w="3398"/>
      </w:tblGrid>
      <w:tr w:rsidR="008C7751" w:rsidRPr="00E00B35" w:rsidTr="008C7751">
        <w:tc>
          <w:tcPr>
            <w:tcW w:w="2556" w:type="dxa"/>
            <w:tcBorders>
              <w:top w:val="single" w:sz="4" w:space="0" w:color="000000"/>
              <w:left w:val="single" w:sz="4" w:space="0" w:color="000000"/>
              <w:bottom w:val="single" w:sz="4" w:space="0" w:color="000000"/>
              <w:right w:val="nil"/>
            </w:tcBorders>
            <w:vAlign w:val="center"/>
          </w:tcPr>
          <w:p w:rsidR="008C7751" w:rsidRPr="00E00B35" w:rsidRDefault="008C7751" w:rsidP="00E00B35">
            <w:pPr>
              <w:autoSpaceDE w:val="0"/>
              <w:spacing w:after="0" w:line="312" w:lineRule="auto"/>
              <w:rPr>
                <w:bCs/>
                <w:color w:val="000000"/>
                <w:szCs w:val="20"/>
              </w:rPr>
            </w:pPr>
            <w:r w:rsidRPr="00E00B35">
              <w:rPr>
                <w:bCs/>
                <w:color w:val="000000"/>
                <w:szCs w:val="20"/>
              </w:rPr>
              <w:t>Rok</w:t>
            </w:r>
          </w:p>
        </w:tc>
        <w:tc>
          <w:tcPr>
            <w:tcW w:w="3118" w:type="dxa"/>
            <w:tcBorders>
              <w:top w:val="single" w:sz="4" w:space="0" w:color="000000"/>
              <w:left w:val="single" w:sz="4" w:space="0" w:color="000000"/>
              <w:bottom w:val="single" w:sz="4" w:space="0" w:color="000000"/>
              <w:right w:val="nil"/>
            </w:tcBorders>
            <w:vAlign w:val="center"/>
          </w:tcPr>
          <w:p w:rsidR="008C7751" w:rsidRPr="00E00B35" w:rsidRDefault="008C7751" w:rsidP="00E00B35">
            <w:pPr>
              <w:autoSpaceDE w:val="0"/>
              <w:spacing w:after="0" w:line="312" w:lineRule="auto"/>
              <w:rPr>
                <w:bCs/>
                <w:color w:val="000000"/>
                <w:szCs w:val="20"/>
              </w:rPr>
            </w:pPr>
            <w:r w:rsidRPr="00E00B35">
              <w:rPr>
                <w:bCs/>
                <w:color w:val="000000"/>
                <w:szCs w:val="20"/>
              </w:rPr>
              <w:t>Liczba biletów</w:t>
            </w:r>
          </w:p>
          <w:p w:rsidR="008C7751" w:rsidRPr="00E00B35" w:rsidRDefault="008C7751" w:rsidP="00E00B35">
            <w:pPr>
              <w:autoSpaceDE w:val="0"/>
              <w:spacing w:after="0" w:line="312" w:lineRule="auto"/>
              <w:rPr>
                <w:bCs/>
                <w:color w:val="000000"/>
                <w:szCs w:val="20"/>
              </w:rPr>
            </w:pPr>
            <w:r w:rsidRPr="00E00B35">
              <w:rPr>
                <w:bCs/>
                <w:color w:val="000000"/>
                <w:szCs w:val="20"/>
              </w:rPr>
              <w:t>[szt.]</w:t>
            </w:r>
          </w:p>
        </w:tc>
        <w:tc>
          <w:tcPr>
            <w:tcW w:w="3398"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autoSpaceDE w:val="0"/>
              <w:spacing w:after="0" w:line="312" w:lineRule="auto"/>
              <w:rPr>
                <w:bCs/>
                <w:color w:val="000000"/>
                <w:szCs w:val="20"/>
              </w:rPr>
            </w:pPr>
            <w:r w:rsidRPr="00E00B35">
              <w:rPr>
                <w:bCs/>
                <w:color w:val="000000"/>
                <w:szCs w:val="20"/>
              </w:rPr>
              <w:t>Wartość sprzedanych biletów</w:t>
            </w:r>
          </w:p>
          <w:p w:rsidR="008C7751" w:rsidRPr="00E00B35" w:rsidRDefault="008C7751" w:rsidP="00E00B35">
            <w:pPr>
              <w:autoSpaceDE w:val="0"/>
              <w:spacing w:after="0" w:line="312" w:lineRule="auto"/>
              <w:rPr>
                <w:szCs w:val="20"/>
              </w:rPr>
            </w:pPr>
            <w:r w:rsidRPr="00E00B35">
              <w:rPr>
                <w:bCs/>
                <w:color w:val="000000"/>
                <w:szCs w:val="20"/>
              </w:rPr>
              <w:t>[zł]</w:t>
            </w:r>
          </w:p>
        </w:tc>
      </w:tr>
      <w:tr w:rsidR="008C7751" w:rsidRPr="00E00B35" w:rsidTr="008C7751">
        <w:trPr>
          <w:trHeight w:val="481"/>
        </w:trPr>
        <w:tc>
          <w:tcPr>
            <w:tcW w:w="2556" w:type="dxa"/>
            <w:tcBorders>
              <w:top w:val="single" w:sz="4" w:space="0" w:color="000000"/>
              <w:left w:val="single" w:sz="4" w:space="0" w:color="000000"/>
              <w:bottom w:val="single" w:sz="4" w:space="0" w:color="000000"/>
              <w:right w:val="nil"/>
            </w:tcBorders>
            <w:vAlign w:val="center"/>
          </w:tcPr>
          <w:p w:rsidR="008C7751" w:rsidRPr="00E00B35" w:rsidRDefault="008C7751" w:rsidP="00E00B35">
            <w:pPr>
              <w:autoSpaceDE w:val="0"/>
              <w:spacing w:after="0" w:line="312" w:lineRule="auto"/>
              <w:rPr>
                <w:color w:val="000000"/>
                <w:szCs w:val="20"/>
              </w:rPr>
            </w:pPr>
            <w:r w:rsidRPr="00E00B35">
              <w:rPr>
                <w:bCs/>
                <w:color w:val="000000"/>
                <w:szCs w:val="20"/>
              </w:rPr>
              <w:t>2019</w:t>
            </w:r>
          </w:p>
        </w:tc>
        <w:tc>
          <w:tcPr>
            <w:tcW w:w="3118" w:type="dxa"/>
            <w:tcBorders>
              <w:top w:val="single" w:sz="4" w:space="0" w:color="000000"/>
              <w:left w:val="single" w:sz="4" w:space="0" w:color="000000"/>
              <w:bottom w:val="single" w:sz="4" w:space="0" w:color="000000"/>
              <w:right w:val="nil"/>
            </w:tcBorders>
            <w:vAlign w:val="center"/>
          </w:tcPr>
          <w:p w:rsidR="008C7751" w:rsidRPr="00E00B35" w:rsidRDefault="008C7751" w:rsidP="00E00B35">
            <w:pPr>
              <w:autoSpaceDE w:val="0"/>
              <w:spacing w:after="0" w:line="312" w:lineRule="auto"/>
              <w:rPr>
                <w:color w:val="000000"/>
                <w:szCs w:val="20"/>
              </w:rPr>
            </w:pPr>
            <w:r w:rsidRPr="00E00B35">
              <w:rPr>
                <w:color w:val="000000"/>
                <w:szCs w:val="20"/>
              </w:rPr>
              <w:t>34 950 100</w:t>
            </w:r>
          </w:p>
        </w:tc>
        <w:tc>
          <w:tcPr>
            <w:tcW w:w="3398"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autoSpaceDE w:val="0"/>
              <w:spacing w:after="0" w:line="312" w:lineRule="auto"/>
              <w:rPr>
                <w:szCs w:val="20"/>
              </w:rPr>
            </w:pPr>
            <w:r w:rsidRPr="00E00B35">
              <w:rPr>
                <w:color w:val="000000"/>
                <w:szCs w:val="20"/>
              </w:rPr>
              <w:t>171 449 177</w:t>
            </w:r>
          </w:p>
        </w:tc>
      </w:tr>
      <w:tr w:rsidR="008C7751" w:rsidRPr="00E00B35" w:rsidTr="008C7751">
        <w:trPr>
          <w:trHeight w:val="472"/>
        </w:trPr>
        <w:tc>
          <w:tcPr>
            <w:tcW w:w="2556" w:type="dxa"/>
            <w:tcBorders>
              <w:top w:val="single" w:sz="4" w:space="0" w:color="000000"/>
              <w:left w:val="single" w:sz="4" w:space="0" w:color="000000"/>
              <w:bottom w:val="single" w:sz="4" w:space="0" w:color="000000"/>
              <w:right w:val="nil"/>
            </w:tcBorders>
            <w:vAlign w:val="center"/>
          </w:tcPr>
          <w:p w:rsidR="008C7751" w:rsidRPr="00E00B35" w:rsidRDefault="008C7751" w:rsidP="00E00B35">
            <w:pPr>
              <w:autoSpaceDE w:val="0"/>
              <w:spacing w:after="0" w:line="312" w:lineRule="auto"/>
              <w:rPr>
                <w:color w:val="000000"/>
                <w:szCs w:val="20"/>
              </w:rPr>
            </w:pPr>
            <w:r w:rsidRPr="00E00B35">
              <w:rPr>
                <w:bCs/>
                <w:color w:val="000000"/>
                <w:szCs w:val="20"/>
              </w:rPr>
              <w:t>2020</w:t>
            </w:r>
          </w:p>
        </w:tc>
        <w:tc>
          <w:tcPr>
            <w:tcW w:w="3118" w:type="dxa"/>
            <w:tcBorders>
              <w:top w:val="single" w:sz="4" w:space="0" w:color="000000"/>
              <w:left w:val="single" w:sz="4" w:space="0" w:color="000000"/>
              <w:bottom w:val="single" w:sz="4" w:space="0" w:color="000000"/>
              <w:right w:val="nil"/>
            </w:tcBorders>
            <w:vAlign w:val="center"/>
          </w:tcPr>
          <w:p w:rsidR="008C7751" w:rsidRPr="00E00B35" w:rsidRDefault="008C7751" w:rsidP="00E00B35">
            <w:pPr>
              <w:autoSpaceDE w:val="0"/>
              <w:spacing w:after="0" w:line="312" w:lineRule="auto"/>
              <w:rPr>
                <w:color w:val="000000"/>
                <w:szCs w:val="20"/>
              </w:rPr>
            </w:pPr>
            <w:r w:rsidRPr="00E00B35">
              <w:rPr>
                <w:color w:val="000000"/>
                <w:szCs w:val="20"/>
              </w:rPr>
              <w:t>21 407 323</w:t>
            </w:r>
          </w:p>
        </w:tc>
        <w:tc>
          <w:tcPr>
            <w:tcW w:w="3398" w:type="dxa"/>
            <w:tcBorders>
              <w:top w:val="single" w:sz="4" w:space="0" w:color="000000"/>
              <w:left w:val="single" w:sz="4" w:space="0" w:color="000000"/>
              <w:bottom w:val="single" w:sz="4" w:space="0" w:color="000000"/>
              <w:right w:val="single" w:sz="4" w:space="0" w:color="000000"/>
            </w:tcBorders>
            <w:vAlign w:val="center"/>
          </w:tcPr>
          <w:p w:rsidR="008C7751" w:rsidRPr="00E00B35" w:rsidRDefault="008C7751" w:rsidP="00E00B35">
            <w:pPr>
              <w:autoSpaceDE w:val="0"/>
              <w:spacing w:after="0" w:line="312" w:lineRule="auto"/>
              <w:rPr>
                <w:szCs w:val="20"/>
              </w:rPr>
            </w:pPr>
            <w:r w:rsidRPr="00E00B35">
              <w:rPr>
                <w:color w:val="000000"/>
                <w:szCs w:val="20"/>
              </w:rPr>
              <w:t>103 668 992</w:t>
            </w:r>
          </w:p>
        </w:tc>
      </w:tr>
    </w:tbl>
    <w:p w:rsidR="008C7751" w:rsidRPr="00E00B35" w:rsidRDefault="008C7751" w:rsidP="00E00B35">
      <w:pPr>
        <w:spacing w:after="0" w:line="312" w:lineRule="auto"/>
        <w:rPr>
          <w:rFonts w:eastAsia="Calibri" w:cs="Verdana"/>
          <w:szCs w:val="20"/>
          <w:lang w:eastAsia="ar-SA"/>
        </w:rPr>
      </w:pP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 xml:space="preserve">W komunikacji międzygminnej organizowanej przez gminę Wrocław dla gmin Miękinia, Wisznia Mała i Długołęka sprzedano 305 510 szt. biletów jednorazowych oraz 9 018 szt. biletów okresowych. </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W ramach kontynuowanych umów na dystrybucję biletów aglomeracyjnych, które umożliwiają pasażerom korzystanie z komunikacji na terenie Wrocławia i gmin Czernica, Siechnice, Kobierzyce czy Kąty Wrocławskie, sprzedanych zostało łącznie 5 630 szt. biletów.</w:t>
      </w:r>
    </w:p>
    <w:p w:rsidR="008C7751" w:rsidRPr="00E00B35" w:rsidRDefault="008C7751" w:rsidP="00E00B35">
      <w:pPr>
        <w:spacing w:after="0" w:line="312" w:lineRule="auto"/>
        <w:rPr>
          <w:rFonts w:eastAsia="Calibri" w:cs="Verdana"/>
          <w:szCs w:val="20"/>
          <w:lang w:eastAsia="ar-SA"/>
        </w:rPr>
      </w:pPr>
      <w:r w:rsidRPr="00E00B35">
        <w:rPr>
          <w:rFonts w:eastAsia="Calibri" w:cs="Verdana"/>
          <w:szCs w:val="20"/>
          <w:lang w:eastAsia="ar-SA"/>
        </w:rPr>
        <w:t xml:space="preserve">Spadek sprzedaży biletów wynikał z pandemii COVID-19, licznych ograniczeń w przemieszczaniu się i limitów dostępnych miejsc w pojazdach. </w:t>
      </w:r>
    </w:p>
    <w:p w:rsidR="008C7751" w:rsidRPr="00E00B35" w:rsidRDefault="008C7751" w:rsidP="00E00B35">
      <w:pPr>
        <w:spacing w:after="0" w:line="312" w:lineRule="auto"/>
        <w:rPr>
          <w:rFonts w:eastAsia="Calibri" w:cs="Verdana"/>
          <w:szCs w:val="20"/>
          <w:lang w:eastAsia="ar-SA"/>
        </w:rPr>
      </w:pPr>
    </w:p>
    <w:p w:rsidR="008C7751" w:rsidRPr="00E00B35" w:rsidRDefault="008C7751" w:rsidP="00E00B35">
      <w:pPr>
        <w:pStyle w:val="14StanowiskoPodpisujacego"/>
        <w:numPr>
          <w:ilvl w:val="1"/>
          <w:numId w:val="23"/>
        </w:numPr>
        <w:tabs>
          <w:tab w:val="left" w:pos="567"/>
        </w:tabs>
        <w:suppressAutoHyphens/>
        <w:spacing w:after="0" w:line="312" w:lineRule="auto"/>
        <w:ind w:left="567" w:hanging="578"/>
        <w:jc w:val="left"/>
        <w:rPr>
          <w:b/>
          <w:bCs/>
          <w:sz w:val="20"/>
          <w:szCs w:val="20"/>
        </w:rPr>
      </w:pPr>
      <w:r w:rsidRPr="00E00B35">
        <w:rPr>
          <w:b/>
          <w:bCs/>
          <w:sz w:val="20"/>
          <w:szCs w:val="20"/>
        </w:rPr>
        <w:t>Inne zadania związane z emisją i dystrybucją biletów miejskiej komunikacji zbiorowej</w:t>
      </w:r>
    </w:p>
    <w:p w:rsidR="008C7751" w:rsidRPr="00E00B35" w:rsidRDefault="008C7751" w:rsidP="00E00B35">
      <w:pPr>
        <w:pStyle w:val="Tekstpodstawowy"/>
        <w:numPr>
          <w:ilvl w:val="0"/>
          <w:numId w:val="74"/>
        </w:numPr>
        <w:suppressAutoHyphens/>
        <w:spacing w:after="0" w:line="312" w:lineRule="auto"/>
        <w:ind w:left="567" w:hanging="567"/>
        <w:rPr>
          <w:szCs w:val="20"/>
        </w:rPr>
      </w:pPr>
      <w:r w:rsidRPr="00E00B35">
        <w:rPr>
          <w:szCs w:val="20"/>
        </w:rPr>
        <w:t>Realizowano umowę z Drukarnią Częstochowskie Zakłady Graficzne Sp. z o. o. na druk biletów miejskiej komunikacji zbiorowej, w ramach której zamówione zostały bilety mające obowiązywać w nowej taryfie od 1 stycznia 2021 r.;</w:t>
      </w:r>
    </w:p>
    <w:p w:rsidR="008C7751" w:rsidRPr="00E00B35" w:rsidRDefault="008C7751" w:rsidP="00E00B35">
      <w:pPr>
        <w:pStyle w:val="Tekstpodstawowy"/>
        <w:numPr>
          <w:ilvl w:val="0"/>
          <w:numId w:val="74"/>
        </w:numPr>
        <w:suppressAutoHyphens/>
        <w:spacing w:after="0" w:line="312" w:lineRule="auto"/>
        <w:ind w:left="567" w:hanging="567"/>
        <w:rPr>
          <w:szCs w:val="20"/>
        </w:rPr>
      </w:pPr>
      <w:r w:rsidRPr="00E00B35">
        <w:rPr>
          <w:szCs w:val="20"/>
        </w:rPr>
        <w:t xml:space="preserve">Udzielono zgody na bezpłatne przejazdy dzieci i młodzieży w okresie ferii </w:t>
      </w:r>
      <w:r w:rsidRPr="00E00B35">
        <w:rPr>
          <w:szCs w:val="20"/>
        </w:rPr>
        <w:br/>
        <w:t xml:space="preserve">i wakacji 10 instytucjom państwowym i samorządowym oraz organizacjom społecznym; </w:t>
      </w:r>
    </w:p>
    <w:p w:rsidR="008C7751" w:rsidRPr="00E00B35" w:rsidRDefault="008C7751" w:rsidP="00E00B35">
      <w:pPr>
        <w:pStyle w:val="Tekstpodstawowy"/>
        <w:numPr>
          <w:ilvl w:val="0"/>
          <w:numId w:val="74"/>
        </w:numPr>
        <w:suppressAutoHyphens/>
        <w:spacing w:after="0" w:line="312" w:lineRule="auto"/>
        <w:ind w:left="567" w:hanging="567"/>
        <w:rPr>
          <w:szCs w:val="20"/>
        </w:rPr>
      </w:pPr>
      <w:r w:rsidRPr="00E00B35">
        <w:rPr>
          <w:szCs w:val="20"/>
        </w:rPr>
        <w:t>Zawarto 2 umowy na wykupienie usługi przewozowej od gminy Wrocław przez MPK Sp. z o. o. oraz Mobilis Sp. z o. o.;</w:t>
      </w:r>
    </w:p>
    <w:p w:rsidR="008C7751" w:rsidRPr="00E00B35" w:rsidRDefault="008C7751" w:rsidP="00E00B35">
      <w:pPr>
        <w:pStyle w:val="Tekstpodstawowy"/>
        <w:numPr>
          <w:ilvl w:val="0"/>
          <w:numId w:val="74"/>
        </w:numPr>
        <w:suppressAutoHyphens/>
        <w:spacing w:after="0" w:line="312" w:lineRule="auto"/>
        <w:ind w:left="567" w:hanging="567"/>
        <w:rPr>
          <w:szCs w:val="20"/>
        </w:rPr>
      </w:pPr>
      <w:r w:rsidRPr="00E00B35">
        <w:rPr>
          <w:szCs w:val="20"/>
        </w:rPr>
        <w:t>Przygotowano projekt zarządzenia Prezydenta Wrocławia w sprawie wprowadzenia Regulaminu zawierania umowy przewozu środkami miejskiej komunikacji zbiorowej we Wrocławiu poprzez nabycie biletów przy pomocy kasowników, który został podpisany dnia 5 maja 2020 r. pod numerem 2940/20;</w:t>
      </w:r>
    </w:p>
    <w:p w:rsidR="008C7751" w:rsidRPr="00E00B35" w:rsidRDefault="008C7751" w:rsidP="00E00B35">
      <w:pPr>
        <w:pStyle w:val="Tekstpodstawowy"/>
        <w:numPr>
          <w:ilvl w:val="0"/>
          <w:numId w:val="74"/>
        </w:numPr>
        <w:suppressAutoHyphens/>
        <w:spacing w:after="0" w:line="312" w:lineRule="auto"/>
        <w:ind w:left="567" w:hanging="567"/>
        <w:rPr>
          <w:szCs w:val="20"/>
        </w:rPr>
      </w:pPr>
      <w:r w:rsidRPr="00E00B35">
        <w:rPr>
          <w:szCs w:val="20"/>
        </w:rPr>
        <w:t xml:space="preserve">Przeprowadzono audyt bezpieczeństwa systemu URBANCARD Wrocławska Karta Miejska we współpracy z Centrum Usług Informatycznych. Audytowano elementy infrastruktury składające się na całość rozwiązania systemu URBANCARD, tj. serwery, serwery aplikacji, aplikacje, serwery bazodanowe, urządzenia końcowe, ruch sieciowy, systemy operatorskie. </w:t>
      </w:r>
    </w:p>
    <w:p w:rsidR="008C7751" w:rsidRPr="00E00B35" w:rsidRDefault="008C7751" w:rsidP="00E00B35">
      <w:pPr>
        <w:pStyle w:val="Tekstpodstawowy"/>
        <w:tabs>
          <w:tab w:val="left" w:pos="284"/>
        </w:tabs>
        <w:spacing w:after="0" w:line="312" w:lineRule="auto"/>
        <w:rPr>
          <w:szCs w:val="20"/>
        </w:rPr>
      </w:pPr>
    </w:p>
    <w:p w:rsidR="008C7751" w:rsidRPr="00E00B35" w:rsidRDefault="008C7751" w:rsidP="00E00B35">
      <w:pPr>
        <w:pStyle w:val="14StanowiskoPodpisujacego"/>
        <w:numPr>
          <w:ilvl w:val="1"/>
          <w:numId w:val="23"/>
        </w:numPr>
        <w:tabs>
          <w:tab w:val="left" w:pos="567"/>
        </w:tabs>
        <w:suppressAutoHyphens/>
        <w:spacing w:after="0" w:line="312" w:lineRule="auto"/>
        <w:ind w:left="567" w:hanging="578"/>
        <w:jc w:val="left"/>
        <w:rPr>
          <w:b/>
          <w:bCs/>
          <w:sz w:val="20"/>
          <w:szCs w:val="20"/>
        </w:rPr>
      </w:pPr>
      <w:r w:rsidRPr="00E00B35">
        <w:rPr>
          <w:sz w:val="20"/>
          <w:szCs w:val="20"/>
        </w:rPr>
        <w:t xml:space="preserve"> </w:t>
      </w:r>
      <w:r w:rsidRPr="00E00B35">
        <w:rPr>
          <w:b/>
          <w:bCs/>
          <w:sz w:val="20"/>
          <w:szCs w:val="20"/>
        </w:rPr>
        <w:t>Prace nad koncepcją wspólnego biletu dla Aglomeracji Wrocławskiej</w:t>
      </w:r>
    </w:p>
    <w:p w:rsidR="008C7751" w:rsidRPr="00E00B35" w:rsidRDefault="008C7751" w:rsidP="00E00B35">
      <w:pPr>
        <w:pStyle w:val="Akapitzlist1"/>
        <w:spacing w:after="0" w:line="312" w:lineRule="auto"/>
        <w:ind w:left="0"/>
        <w:rPr>
          <w:color w:val="000000" w:themeColor="text1"/>
          <w:szCs w:val="20"/>
        </w:rPr>
      </w:pPr>
      <w:r w:rsidRPr="00E00B35">
        <w:rPr>
          <w:color w:val="000000" w:themeColor="text1"/>
          <w:szCs w:val="20"/>
        </w:rPr>
        <w:t xml:space="preserve">Wrocław wraz z gminami stowarzyszonymi w ramach Zintegrowanych Inwestycji Terytorialnych (15 samorządów aglomeracji wrocławskiej) podjęło współpracę na rzecz integracji biletowej. W lipcu 2020 roku w postępowaniu przetargowym został wyłoniony </w:t>
      </w:r>
      <w:r w:rsidRPr="00E00B35">
        <w:rPr>
          <w:color w:val="000000" w:themeColor="text1"/>
          <w:szCs w:val="20"/>
        </w:rPr>
        <w:lastRenderedPageBreak/>
        <w:t xml:space="preserve">Wykonawca, którego zadaniem jest przygotowanie opracowania pn. „Analiza funkcjonalno-finansowa opracowania i wdrożenia koncepcji wspólnego systemu biletowego we Wrocławskim Obszarze Funkcjonalnym”. </w:t>
      </w:r>
    </w:p>
    <w:p w:rsidR="008C7751" w:rsidRPr="00E00B35" w:rsidRDefault="008C7751" w:rsidP="00E00B35">
      <w:pPr>
        <w:pStyle w:val="Legenda"/>
        <w:keepNext/>
        <w:spacing w:before="0" w:after="0" w:line="312" w:lineRule="auto"/>
        <w:rPr>
          <w:b/>
          <w:sz w:val="20"/>
          <w:szCs w:val="20"/>
        </w:rPr>
      </w:pPr>
      <w:r w:rsidRPr="00E00B35">
        <w:rPr>
          <w:sz w:val="20"/>
          <w:szCs w:val="20"/>
        </w:rPr>
        <w:t xml:space="preserve">Rysunek </w:t>
      </w:r>
      <w:r w:rsidR="00573162" w:rsidRPr="00E00B35">
        <w:rPr>
          <w:b/>
          <w:sz w:val="20"/>
          <w:szCs w:val="20"/>
        </w:rPr>
        <w:fldChar w:fldCharType="begin"/>
      </w:r>
      <w:r w:rsidRPr="00E00B35">
        <w:rPr>
          <w:sz w:val="20"/>
          <w:szCs w:val="20"/>
        </w:rPr>
        <w:instrText xml:space="preserve"> SEQ Rysunek \* ARABIC </w:instrText>
      </w:r>
      <w:r w:rsidR="00573162" w:rsidRPr="00E00B35">
        <w:rPr>
          <w:b/>
          <w:sz w:val="20"/>
          <w:szCs w:val="20"/>
        </w:rPr>
        <w:fldChar w:fldCharType="separate"/>
      </w:r>
      <w:r w:rsidR="008C054F">
        <w:rPr>
          <w:noProof/>
          <w:sz w:val="20"/>
          <w:szCs w:val="20"/>
        </w:rPr>
        <w:t>16</w:t>
      </w:r>
      <w:r w:rsidR="00573162" w:rsidRPr="00E00B35">
        <w:rPr>
          <w:b/>
          <w:sz w:val="20"/>
          <w:szCs w:val="20"/>
        </w:rPr>
        <w:fldChar w:fldCharType="end"/>
      </w:r>
      <w:r w:rsidRPr="00E00B35">
        <w:rPr>
          <w:sz w:val="20"/>
          <w:szCs w:val="20"/>
        </w:rPr>
        <w:t>. Obszar opracowania analizy dot. wspólnego systemu biletowego</w:t>
      </w:r>
    </w:p>
    <w:p w:rsidR="008C7751" w:rsidRPr="00E00B35" w:rsidRDefault="008C7751" w:rsidP="00E00B35">
      <w:pPr>
        <w:pStyle w:val="Tekstpodstawowy"/>
        <w:tabs>
          <w:tab w:val="left" w:pos="284"/>
        </w:tabs>
        <w:spacing w:after="0" w:line="312" w:lineRule="auto"/>
        <w:rPr>
          <w:noProof/>
          <w:szCs w:val="20"/>
        </w:rPr>
      </w:pPr>
      <w:r w:rsidRPr="00E00B35">
        <w:rPr>
          <w:noProof/>
          <w:szCs w:val="20"/>
          <w:lang w:val="pl-PL" w:eastAsia="pl-PL" w:bidi="ar-SA"/>
        </w:rPr>
        <w:drawing>
          <wp:inline distT="0" distB="0" distL="0" distR="0">
            <wp:extent cx="4038600" cy="4019550"/>
            <wp:effectExtent l="19050" t="0" r="0" b="0"/>
            <wp:docPr id="27" name="Obraz 3" descr="Aglomeracja Wrocławska to jest obszary Gmin: Miejskiej Wrocław, Wiejskich Miękinia, Wisznia Mała, Długołęka, Czernica, Oleśnica, Żórawina, Kobierzyce oraz Miejsko- Wiejskich Oborniki Śląskie, Trzebnica, Jelcz- Laskowice, Siechnice, Sobótka, Katy Wrocław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37" cstate="print"/>
                    <a:srcRect r="31268"/>
                    <a:stretch>
                      <a:fillRect/>
                    </a:stretch>
                  </pic:blipFill>
                  <pic:spPr bwMode="auto">
                    <a:xfrm>
                      <a:off x="0" y="0"/>
                      <a:ext cx="4038600" cy="4019550"/>
                    </a:xfrm>
                    <a:prstGeom prst="rect">
                      <a:avLst/>
                    </a:prstGeom>
                    <a:noFill/>
                    <a:ln w="9525">
                      <a:noFill/>
                      <a:miter lim="800000"/>
                      <a:headEnd/>
                      <a:tailEnd/>
                    </a:ln>
                  </pic:spPr>
                </pic:pic>
              </a:graphicData>
            </a:graphic>
          </wp:inline>
        </w:drawing>
      </w:r>
    </w:p>
    <w:p w:rsidR="008C7751" w:rsidRPr="00E00B35" w:rsidRDefault="008C7751" w:rsidP="00E00B35">
      <w:pPr>
        <w:pStyle w:val="Tekstpodstawowy"/>
        <w:tabs>
          <w:tab w:val="left" w:pos="284"/>
        </w:tabs>
        <w:spacing w:after="0" w:line="312" w:lineRule="auto"/>
        <w:rPr>
          <w:rFonts w:cs="Verdana"/>
          <w:szCs w:val="20"/>
        </w:rPr>
      </w:pPr>
    </w:p>
    <w:p w:rsidR="008C7751" w:rsidRPr="00E00B35" w:rsidRDefault="008C7751" w:rsidP="00E00B35">
      <w:pPr>
        <w:pStyle w:val="Akapitzlist1"/>
        <w:spacing w:after="0" w:line="312" w:lineRule="auto"/>
        <w:ind w:left="0"/>
        <w:rPr>
          <w:color w:val="000000" w:themeColor="text1"/>
          <w:szCs w:val="20"/>
        </w:rPr>
      </w:pPr>
      <w:r w:rsidRPr="00E00B35">
        <w:rPr>
          <w:color w:val="000000" w:themeColor="text1"/>
          <w:szCs w:val="20"/>
        </w:rPr>
        <w:t>W wyniku przeprowadzonych prac i analiz obecnych uwarunkowań instytucjonalnych, formalnoprawnych, możliwości technicznych i finansowych zostaną przygotowane możliwe modele współpracy i rekomendacje dla gmin ZIT mające na celu przedstawienie propozycji wdrożenia wspólnego biletu. Dodatkowo w ramach tego opracowania powstanie wstępna koncepcja aglomeracyjnego multimodalnego planera podróży w postaci aplikacji mobilnej, uwzględniającego dostępne środki transportu. W opracowaniu uwzględniane są aspekty związane z integracją biletową w transporcie kolejowym. Opracowanie koncepcyjne będzie pierwszym etapem wdrożenia procesu integracji transportu na poziomie biletowo-taryfowym na obszarze aglomeracji. Będzie ono stanowiło podstawę do wypracowania wspólnej strategii integracji biletowej. Gmina Wrocław jest inicjatorem tego opracowania i liderem projektu. Opracowanie zlecone zostało przez Biuro ZIT, nadzór merytoryczny nad opracowaniem dokumentu sprawuje Wydział Transportu.</w:t>
      </w:r>
    </w:p>
    <w:p w:rsidR="00890136" w:rsidRPr="00E00B35" w:rsidRDefault="00890136" w:rsidP="00E00B35">
      <w:pPr>
        <w:pStyle w:val="Akapitzlist1"/>
        <w:spacing w:after="0" w:line="312" w:lineRule="auto"/>
        <w:ind w:left="0"/>
        <w:rPr>
          <w:color w:val="000000" w:themeColor="text1"/>
          <w:szCs w:val="20"/>
        </w:rPr>
      </w:pPr>
    </w:p>
    <w:p w:rsidR="008C7751" w:rsidRPr="00E00B35" w:rsidRDefault="008C7751" w:rsidP="00E00B35">
      <w:pPr>
        <w:pStyle w:val="Nagwek4"/>
        <w:spacing w:before="0" w:after="0" w:line="312" w:lineRule="auto"/>
        <w:rPr>
          <w:sz w:val="20"/>
          <w:szCs w:val="20"/>
        </w:rPr>
      </w:pPr>
      <w:bookmarkStart w:id="877" w:name="_Toc66358342"/>
      <w:r w:rsidRPr="00E00B35">
        <w:rPr>
          <w:sz w:val="20"/>
          <w:szCs w:val="20"/>
        </w:rPr>
        <w:t>Transport kolejowy</w:t>
      </w:r>
      <w:bookmarkEnd w:id="877"/>
    </w:p>
    <w:p w:rsidR="00890136" w:rsidRPr="00E00B35" w:rsidRDefault="00890136" w:rsidP="00E00B35">
      <w:pPr>
        <w:pStyle w:val="Nagwek4"/>
        <w:spacing w:before="0" w:after="0" w:line="312" w:lineRule="auto"/>
        <w:rPr>
          <w:sz w:val="20"/>
          <w:szCs w:val="20"/>
        </w:rPr>
      </w:pPr>
    </w:p>
    <w:p w:rsidR="008C7751" w:rsidRPr="00E00B35" w:rsidRDefault="008C7751" w:rsidP="00E00B35">
      <w:pPr>
        <w:tabs>
          <w:tab w:val="left" w:pos="567"/>
        </w:tabs>
        <w:suppressAutoHyphens/>
        <w:spacing w:after="0" w:line="312" w:lineRule="auto"/>
        <w:rPr>
          <w:rFonts w:eastAsia="Calibri" w:cs="Verdana"/>
          <w:b/>
          <w:vanish/>
          <w:szCs w:val="20"/>
          <w:lang w:eastAsia="ar-SA"/>
        </w:rPr>
      </w:pPr>
    </w:p>
    <w:p w:rsidR="008C7751" w:rsidRPr="00E00B35" w:rsidRDefault="008C7751" w:rsidP="00E00B35">
      <w:pPr>
        <w:pStyle w:val="14StanowiskoPodpisujacego"/>
        <w:numPr>
          <w:ilvl w:val="1"/>
          <w:numId w:val="93"/>
        </w:numPr>
        <w:tabs>
          <w:tab w:val="left" w:pos="567"/>
        </w:tabs>
        <w:suppressAutoHyphens/>
        <w:spacing w:after="0" w:line="312" w:lineRule="auto"/>
        <w:ind w:left="567" w:hanging="567"/>
        <w:jc w:val="left"/>
        <w:rPr>
          <w:b/>
          <w:sz w:val="20"/>
          <w:szCs w:val="20"/>
        </w:rPr>
      </w:pPr>
      <w:r w:rsidRPr="00E00B35">
        <w:rPr>
          <w:b/>
          <w:sz w:val="20"/>
          <w:szCs w:val="20"/>
        </w:rPr>
        <w:t>Honorowanie biletów i ulg komunikacji miejskiej Wrocławia w pociągach KD i POLREGIO na terenie Wrocławia</w:t>
      </w:r>
    </w:p>
    <w:p w:rsidR="008C7751" w:rsidRPr="00E00B35" w:rsidRDefault="008C7751" w:rsidP="00E00B35">
      <w:pPr>
        <w:pStyle w:val="Akapitzlist1"/>
        <w:spacing w:after="0" w:line="312" w:lineRule="auto"/>
        <w:ind w:left="0"/>
        <w:rPr>
          <w:color w:val="000000" w:themeColor="text1"/>
          <w:szCs w:val="20"/>
        </w:rPr>
      </w:pPr>
      <w:r w:rsidRPr="00E00B35">
        <w:rPr>
          <w:color w:val="000000" w:themeColor="text1"/>
          <w:szCs w:val="20"/>
        </w:rPr>
        <w:lastRenderedPageBreak/>
        <w:t xml:space="preserve">W warunkach pandemii COVID – 19 realizowano umowę z Kolejami Dolnośląskimi S.A. </w:t>
      </w:r>
      <w:r w:rsidRPr="00E00B35">
        <w:rPr>
          <w:color w:val="000000" w:themeColor="text1"/>
          <w:szCs w:val="20"/>
        </w:rPr>
        <w:br/>
        <w:t xml:space="preserve">i POLREGIO Sp. z o. o. o świadczenie usługi przewozu liniami kolejowymi na terenie Wrocławia, której przedmiotem jest przewóz w roku 2020 pasażerów miejskiej komunikacji zbiorowej pociągami ww. przewoźników kolejowych. </w:t>
      </w:r>
    </w:p>
    <w:p w:rsidR="008C7751" w:rsidRPr="00E00B35" w:rsidRDefault="008C7751" w:rsidP="00E00B35">
      <w:pPr>
        <w:pStyle w:val="Akapitzlist1"/>
        <w:spacing w:after="0" w:line="312" w:lineRule="auto"/>
        <w:ind w:left="0"/>
        <w:rPr>
          <w:color w:val="000000" w:themeColor="text1"/>
          <w:szCs w:val="20"/>
        </w:rPr>
      </w:pPr>
      <w:r w:rsidRPr="00E00B35">
        <w:rPr>
          <w:color w:val="000000" w:themeColor="text1"/>
          <w:szCs w:val="20"/>
        </w:rPr>
        <w:t>W początkowym okresie pandemii, planowane było przeprowadzenie badań liczby osób korzystających z przejazdów pociągami Kolei Dolnośląskich i POLREGIO, które z uwagi na wprowadzenie szczególnych środków bezpieczeństwa przez Rząd RP należało przesunąć na październik 2020. W tym celu uzgodniono nowy termin badań z przewoźnikami kolejowymi oraz firmą wykonującą badania i sporządzono aneksy do umów. Przeprowadzono badania, które stanowiły podstawę rozliczenia za ostatnie 3 miesiące 2020 r.</w:t>
      </w:r>
    </w:p>
    <w:p w:rsidR="008C7751" w:rsidRPr="00E00B35" w:rsidRDefault="008C7751" w:rsidP="00E00B35">
      <w:pPr>
        <w:pStyle w:val="Akapitzlist1"/>
        <w:spacing w:after="0" w:line="312" w:lineRule="auto"/>
        <w:ind w:left="0"/>
        <w:rPr>
          <w:color w:val="000000" w:themeColor="text1"/>
          <w:szCs w:val="20"/>
        </w:rPr>
      </w:pPr>
      <w:r w:rsidRPr="00E00B35">
        <w:rPr>
          <w:color w:val="000000" w:themeColor="text1"/>
          <w:szCs w:val="20"/>
        </w:rPr>
        <w:t xml:space="preserve">W trakcie realizacji umowy prowadzono bieżący monitoring sytuacji związanej z ograniczeniami w połączeniach kolejowych na terenie województwa oraz przeprowadzono własne obserwacje i badania napełnień na wybranych stacjach i przystankach kolejowych na terenie Wrocławia. </w:t>
      </w:r>
    </w:p>
    <w:p w:rsidR="00890136" w:rsidRPr="00E00B35" w:rsidRDefault="00890136" w:rsidP="00E00B35">
      <w:pPr>
        <w:pStyle w:val="14StanowiskoPodpisujacego"/>
        <w:tabs>
          <w:tab w:val="left" w:pos="567"/>
        </w:tabs>
        <w:suppressAutoHyphens/>
        <w:spacing w:after="0" w:line="312" w:lineRule="auto"/>
        <w:ind w:left="567"/>
        <w:jc w:val="left"/>
        <w:rPr>
          <w:b/>
          <w:sz w:val="20"/>
          <w:szCs w:val="20"/>
        </w:rPr>
      </w:pPr>
    </w:p>
    <w:p w:rsidR="008C7751" w:rsidRPr="00E00B35" w:rsidRDefault="008C7751" w:rsidP="00E00B35">
      <w:pPr>
        <w:pStyle w:val="14StanowiskoPodpisujacego"/>
        <w:numPr>
          <w:ilvl w:val="1"/>
          <w:numId w:val="93"/>
        </w:numPr>
        <w:tabs>
          <w:tab w:val="left" w:pos="567"/>
        </w:tabs>
        <w:suppressAutoHyphens/>
        <w:spacing w:after="0" w:line="312" w:lineRule="auto"/>
        <w:ind w:left="567" w:hanging="567"/>
        <w:jc w:val="left"/>
        <w:rPr>
          <w:b/>
          <w:sz w:val="20"/>
          <w:szCs w:val="20"/>
        </w:rPr>
      </w:pPr>
      <w:r w:rsidRPr="00E00B35">
        <w:rPr>
          <w:b/>
          <w:sz w:val="20"/>
          <w:szCs w:val="20"/>
        </w:rPr>
        <w:t xml:space="preserve">Bilet Zintegrowany </w:t>
      </w:r>
    </w:p>
    <w:p w:rsidR="008C7751" w:rsidRPr="00E00B35" w:rsidRDefault="008C7751" w:rsidP="00E00B35">
      <w:pPr>
        <w:pStyle w:val="Akapitzlist1"/>
        <w:spacing w:after="0" w:line="312" w:lineRule="auto"/>
        <w:ind w:left="0"/>
        <w:rPr>
          <w:color w:val="000000" w:themeColor="text1"/>
          <w:szCs w:val="20"/>
        </w:rPr>
      </w:pPr>
      <w:r w:rsidRPr="00E00B35">
        <w:rPr>
          <w:color w:val="000000" w:themeColor="text1"/>
          <w:szCs w:val="20"/>
        </w:rPr>
        <w:t>Kontynuowano umowę ze spółką POLREGIO Sp. z o. o. na dystrybucję 30-dniowych aglomeracyjnych imiennych biletów miejskiej komunikacji zbiorowej, wchodzących w skład Biletu Zintegrowanego, w ramach której sprzedano w 2020 roku 13 758 szt. biletów. Zawarto również porozumienie ze spółką i aneks do umowy regulujące zasady zwrotów biletów aglomeracyjnych przez pasażerów w związku z COVID-19.</w:t>
      </w:r>
    </w:p>
    <w:p w:rsidR="00890136" w:rsidRPr="00E00B35" w:rsidRDefault="00890136" w:rsidP="00E00B35">
      <w:pPr>
        <w:pStyle w:val="Akapitzlist1"/>
        <w:spacing w:after="0" w:line="312" w:lineRule="auto"/>
        <w:ind w:left="0"/>
        <w:rPr>
          <w:color w:val="000000" w:themeColor="text1"/>
          <w:szCs w:val="20"/>
        </w:rPr>
      </w:pPr>
    </w:p>
    <w:p w:rsidR="008C7751" w:rsidRPr="00E00B35" w:rsidRDefault="008C7751" w:rsidP="00E00B35">
      <w:pPr>
        <w:pStyle w:val="14StanowiskoPodpisujacego"/>
        <w:numPr>
          <w:ilvl w:val="1"/>
          <w:numId w:val="93"/>
        </w:numPr>
        <w:tabs>
          <w:tab w:val="left" w:pos="567"/>
        </w:tabs>
        <w:suppressAutoHyphens/>
        <w:spacing w:after="0" w:line="312" w:lineRule="auto"/>
        <w:ind w:left="567" w:hanging="567"/>
        <w:jc w:val="left"/>
        <w:rPr>
          <w:b/>
          <w:sz w:val="20"/>
          <w:szCs w:val="20"/>
        </w:rPr>
      </w:pPr>
      <w:r w:rsidRPr="00E00B35">
        <w:rPr>
          <w:b/>
          <w:sz w:val="20"/>
          <w:szCs w:val="20"/>
        </w:rPr>
        <w:t xml:space="preserve">Analiza uruchomienia pilotażowych miejskich połączeń kolejowych Wrocław Główny – Wrocław Leśnica </w:t>
      </w:r>
    </w:p>
    <w:p w:rsidR="008C7751" w:rsidRPr="00E00B35" w:rsidRDefault="008C7751" w:rsidP="00E00B35">
      <w:pPr>
        <w:spacing w:after="0" w:line="312" w:lineRule="auto"/>
        <w:rPr>
          <w:color w:val="000000" w:themeColor="text1"/>
          <w:szCs w:val="20"/>
        </w:rPr>
      </w:pPr>
      <w:r w:rsidRPr="00E00B35">
        <w:rPr>
          <w:color w:val="000000" w:themeColor="text1"/>
          <w:szCs w:val="20"/>
        </w:rPr>
        <w:t xml:space="preserve">Gmina Wrocław wspólnie ze spółką Koleje Dolnośląskie S.A. analizowała możliwość uruchomienia dodatkowych połączeń kolejowych na trasie z Leśnicy na Dworzec Główny. Analiza możliwości uruchomienia dodatkowych połączeń kolejowych w relacji Wrocław Główny – Wrocław Leśnica obejmowała w szczególności kwestie przepustowości linii kolejowej nr 275, dostępności taboru kolejowego będącego w zasobach Spółki KD oraz potencjalnego popytu na dodatkowe połączenia. W tym celu przeprowadzone zostały pomiary natężenia ruchu pasażerskiego na stacjach: Wrocław Leśnica, Wrocław Muchobór oraz Wrocław Nowy Dwór w celu oceny popytu na dodatkowe połączenia kolejowe. </w:t>
      </w:r>
    </w:p>
    <w:p w:rsidR="008C7751" w:rsidRPr="00E00B35" w:rsidRDefault="008C7751" w:rsidP="00E00B35">
      <w:pPr>
        <w:spacing w:after="0" w:line="312" w:lineRule="auto"/>
        <w:rPr>
          <w:color w:val="000000" w:themeColor="text1"/>
          <w:szCs w:val="20"/>
        </w:rPr>
      </w:pPr>
      <w:r w:rsidRPr="00E00B35">
        <w:rPr>
          <w:color w:val="000000" w:themeColor="text1"/>
          <w:szCs w:val="20"/>
        </w:rPr>
        <w:t xml:space="preserve">Po przeprowadzeniu analiz zdecydowano, iż wariant optymalny dla Miasta obejmuje uruchomienie dodatkowych 6 par pociągów: po 3 w godzinach szczytu porannego i popołudniowego. W związku z wydarzeniami z marca 2020 r. tj. wprowadzonym na terenie kraju stanem epidemii, w wyniku którego nastąpiło gwałtowne zmniejszenie liczby podróży odbywanych transportem publicznym uruchomienie dodatkowych połączeń kolejowych stało się mniej celowe (oprócz spadku podróżujących transportem publicznym istotnie zmniejszył się ruch samochodowy w mieście). Podjęto zatem decyzję o zmianie podejścia do projektu uruchomienia dodatkowych połączeń kolejowych na trasie Wrocław Leśnica - Wrocław Główny i ustalono iż kontynuacja prac nad nowymi połączeniami Wrocław Główny – Wrocław Leśnica będzie miała miejsce w ramach projektu Wrocławskiej Kolei Metropolitalnej, jako jedno z potencjalnych połączeń </w:t>
      </w:r>
      <w:r w:rsidRPr="00E00B35">
        <w:rPr>
          <w:color w:val="000000" w:themeColor="text1"/>
          <w:szCs w:val="20"/>
        </w:rPr>
        <w:lastRenderedPageBreak/>
        <w:t>wewnątrzmiejskich. Z</w:t>
      </w:r>
      <w:r w:rsidRPr="00E00B35">
        <w:rPr>
          <w:rFonts w:cs="Helv"/>
          <w:color w:val="000000"/>
          <w:szCs w:val="20"/>
        </w:rPr>
        <w:t xml:space="preserve"> </w:t>
      </w:r>
      <w:r w:rsidRPr="00E00B35">
        <w:rPr>
          <w:color w:val="000000" w:themeColor="text1"/>
          <w:szCs w:val="20"/>
        </w:rPr>
        <w:t xml:space="preserve">powodu ograniczeń infrastrukturalnych pomysł będzie analizowany również w szerszym kontekście tj. w ramach rozwoju Wrocławskiego Węzła Kolejowego. </w:t>
      </w:r>
    </w:p>
    <w:p w:rsidR="008C7751" w:rsidRPr="00E00B35" w:rsidRDefault="008C7751" w:rsidP="00E00B35">
      <w:pPr>
        <w:spacing w:after="0" w:line="312" w:lineRule="auto"/>
        <w:rPr>
          <w:color w:val="000000" w:themeColor="text1"/>
          <w:szCs w:val="20"/>
        </w:rPr>
      </w:pPr>
    </w:p>
    <w:p w:rsidR="008C7751" w:rsidRPr="00E00B35" w:rsidRDefault="008C7751" w:rsidP="00E00B35">
      <w:pPr>
        <w:pStyle w:val="14StanowiskoPodpisujacego"/>
        <w:numPr>
          <w:ilvl w:val="1"/>
          <w:numId w:val="93"/>
        </w:numPr>
        <w:tabs>
          <w:tab w:val="left" w:pos="567"/>
        </w:tabs>
        <w:suppressAutoHyphens/>
        <w:spacing w:after="0" w:line="312" w:lineRule="auto"/>
        <w:ind w:left="567" w:hanging="567"/>
        <w:jc w:val="left"/>
        <w:rPr>
          <w:b/>
          <w:sz w:val="20"/>
          <w:szCs w:val="20"/>
        </w:rPr>
      </w:pPr>
      <w:r w:rsidRPr="00E00B35">
        <w:rPr>
          <w:b/>
          <w:sz w:val="20"/>
          <w:szCs w:val="20"/>
        </w:rPr>
        <w:t>Wrocławska Kolej Metropolitalna</w:t>
      </w:r>
    </w:p>
    <w:p w:rsidR="008C7751" w:rsidRPr="00E00B35" w:rsidRDefault="008C7751" w:rsidP="00E00B35">
      <w:pPr>
        <w:spacing w:after="0" w:line="312" w:lineRule="auto"/>
        <w:rPr>
          <w:color w:val="000000" w:themeColor="text1"/>
          <w:szCs w:val="20"/>
        </w:rPr>
      </w:pPr>
      <w:r w:rsidRPr="00E00B35">
        <w:rPr>
          <w:color w:val="000000" w:themeColor="text1"/>
          <w:szCs w:val="20"/>
        </w:rPr>
        <w:t xml:space="preserve">Mając na uwadze rozwój transportu kolejowego nawiązano współpracę z Samorządami Wrocławskiego Obszaru Metropolitalnego szczebla gminnego i powiatowego w zakresie kolei aglomeracyjnej oraz zacieśniono współpracę w tym przedmiocie z Samorządem Województwa. Utworzono zespół roboczy składający się z przedstawicieli gmin i powiatów aglomeracji, zainteresowanych uruchomieniem Wrocławskiej Kolei Metropolitalnej. </w:t>
      </w:r>
    </w:p>
    <w:p w:rsidR="008C7751" w:rsidRPr="00E00B35" w:rsidRDefault="008C7751" w:rsidP="00E00B35">
      <w:pPr>
        <w:spacing w:after="0" w:line="312" w:lineRule="auto"/>
        <w:rPr>
          <w:color w:val="000000" w:themeColor="text1"/>
          <w:szCs w:val="20"/>
        </w:rPr>
      </w:pPr>
      <w:r w:rsidRPr="00E00B35">
        <w:rPr>
          <w:color w:val="000000" w:themeColor="text1"/>
          <w:szCs w:val="20"/>
        </w:rPr>
        <w:t xml:space="preserve">Celem projektu jest wyodrębnienie z sieci połączeń regionalnych, połączeń o charakterze aglomeracyjnym i miejskim. Liderem projektu jest Wrocław. </w:t>
      </w:r>
    </w:p>
    <w:p w:rsidR="008C7751" w:rsidRPr="00E00B35" w:rsidRDefault="008C7751" w:rsidP="00E00B35">
      <w:pPr>
        <w:spacing w:after="0" w:line="312" w:lineRule="auto"/>
        <w:rPr>
          <w:color w:val="000000" w:themeColor="text1"/>
          <w:szCs w:val="20"/>
        </w:rPr>
      </w:pPr>
      <w:r w:rsidRPr="00E00B35">
        <w:rPr>
          <w:color w:val="000000" w:themeColor="text1"/>
          <w:szCs w:val="20"/>
        </w:rPr>
        <w:t xml:space="preserve">Aktualnie Samorząd Województwa analizuje konkretne możliwości uruchamiania nowych połączeń, mając na uwadze istniejące obecnie ograniczenia w postaci przepustowości infrastruktury kolejowej oraz dostępności taboru kolejowego niezbędnego dla nowych przewozów. </w:t>
      </w:r>
    </w:p>
    <w:p w:rsidR="008C7751" w:rsidRPr="00E00B35" w:rsidRDefault="008C7751" w:rsidP="00E00B35">
      <w:pPr>
        <w:spacing w:after="0" w:line="312" w:lineRule="auto"/>
        <w:rPr>
          <w:color w:val="000000" w:themeColor="text1"/>
          <w:szCs w:val="20"/>
        </w:rPr>
      </w:pPr>
      <w:r w:rsidRPr="00E00B35">
        <w:rPr>
          <w:color w:val="000000" w:themeColor="text1"/>
          <w:szCs w:val="20"/>
        </w:rPr>
        <w:t xml:space="preserve">W zakresie uwarunkowań infrastrukturalnych WKM Wrocław współpracuje z Marszałkiem Województwa w celu pozyskania środków zewnętrznych na sfinansowanie rozwoju sieci kolejowej. Marszałek Województwa po uzyskaniu wstępnej gotowości Wrocławia do partycypacji w kosztach rozwoju sieci kolejowej zgłosił do programu „Kolej+” dwa projekty niezbędne do rozwoju połączeń w ramach WKM: </w:t>
      </w:r>
    </w:p>
    <w:p w:rsidR="008C7751" w:rsidRPr="00E00B35" w:rsidRDefault="008C7751" w:rsidP="00E00B35">
      <w:pPr>
        <w:pStyle w:val="Tekstpodstawowy"/>
        <w:numPr>
          <w:ilvl w:val="0"/>
          <w:numId w:val="72"/>
        </w:numPr>
        <w:suppressAutoHyphens/>
        <w:spacing w:after="0" w:line="312" w:lineRule="auto"/>
        <w:rPr>
          <w:szCs w:val="20"/>
        </w:rPr>
      </w:pPr>
      <w:r w:rsidRPr="00E00B35">
        <w:rPr>
          <w:szCs w:val="20"/>
        </w:rPr>
        <w:t>Projekt pn. "Poprawa jakości połączeń z Legnicy do Wrocławia na odcinku Środa Śląska – Wrocław", który zakłada wybudowanie podstawowej infrastruktury kolejowej w obrębie Wrocławskiego Węzła Kolejowego na odcinku Wrocław Świebodzki – Wrocław Muchobór, co pozwoli na uruchomienie nowych połączeń w ramach WKM na kierunkach Wrocław – Środa Śląska, Wrocław – Wołów oraz Wrocław – Jaworzyna Śląska;</w:t>
      </w:r>
    </w:p>
    <w:p w:rsidR="008C7751" w:rsidRPr="00E00B35" w:rsidRDefault="008C7751" w:rsidP="00E00B35">
      <w:pPr>
        <w:pStyle w:val="Tekstpodstawowy"/>
        <w:numPr>
          <w:ilvl w:val="0"/>
          <w:numId w:val="72"/>
        </w:numPr>
        <w:suppressAutoHyphens/>
        <w:spacing w:after="0" w:line="312" w:lineRule="auto"/>
        <w:rPr>
          <w:szCs w:val="20"/>
        </w:rPr>
      </w:pPr>
      <w:r w:rsidRPr="00E00B35">
        <w:rPr>
          <w:szCs w:val="20"/>
        </w:rPr>
        <w:t>Projekt pn. „Poprawa jakości połączeń Dzierżoniowa i powiatu dzierżoniowskiego z Wrocławiem dzięki wznowieniu ruchu na linii kolejowej nr 310 Kobierzyce - Piława Górna oraz odbudowie drugiego toru na odcinku linii kolejowej nr 285 Wrocław Główny - Kobierzyce".</w:t>
      </w:r>
    </w:p>
    <w:p w:rsidR="008C7751" w:rsidRPr="00E00B35" w:rsidRDefault="008C7751" w:rsidP="00E00B35">
      <w:pPr>
        <w:spacing w:after="0" w:line="312" w:lineRule="auto"/>
        <w:rPr>
          <w:color w:val="000000" w:themeColor="text1"/>
          <w:szCs w:val="20"/>
        </w:rPr>
      </w:pPr>
      <w:r w:rsidRPr="00E00B35">
        <w:rPr>
          <w:color w:val="000000" w:themeColor="text1"/>
          <w:szCs w:val="20"/>
        </w:rPr>
        <w:t xml:space="preserve">Aktualnie wnioski zostały zakwalifikowane do II etapu programu. Zadania planowane do realizacji do 2028 roku. </w:t>
      </w:r>
    </w:p>
    <w:p w:rsidR="008C7751" w:rsidRPr="00E00B35" w:rsidRDefault="008C7751" w:rsidP="00E00B35">
      <w:pPr>
        <w:spacing w:after="0" w:line="312" w:lineRule="auto"/>
        <w:rPr>
          <w:color w:val="000000" w:themeColor="text1"/>
          <w:szCs w:val="20"/>
        </w:rPr>
      </w:pPr>
    </w:p>
    <w:p w:rsidR="008C7751" w:rsidRPr="00E00B35" w:rsidRDefault="008C7751" w:rsidP="00E00B35">
      <w:pPr>
        <w:pStyle w:val="Nagwek4"/>
        <w:spacing w:before="0" w:after="0" w:line="312" w:lineRule="auto"/>
        <w:rPr>
          <w:sz w:val="20"/>
          <w:szCs w:val="20"/>
        </w:rPr>
      </w:pPr>
      <w:bookmarkStart w:id="878" w:name="_Toc66358343"/>
      <w:r w:rsidRPr="00E00B35">
        <w:rPr>
          <w:sz w:val="20"/>
          <w:szCs w:val="20"/>
        </w:rPr>
        <w:t>Transport drogowy osób i rzeczy</w:t>
      </w:r>
      <w:bookmarkEnd w:id="878"/>
    </w:p>
    <w:p w:rsidR="008C7751" w:rsidRPr="00E00B35" w:rsidRDefault="008C7751" w:rsidP="00E00B35">
      <w:pPr>
        <w:spacing w:after="0" w:line="312" w:lineRule="auto"/>
        <w:rPr>
          <w:color w:val="000000" w:themeColor="text1"/>
          <w:szCs w:val="20"/>
        </w:rPr>
      </w:pPr>
      <w:r w:rsidRPr="00E00B35">
        <w:rPr>
          <w:color w:val="000000" w:themeColor="text1"/>
          <w:szCs w:val="20"/>
        </w:rPr>
        <w:t>W oparciu o przepisy ustawy z dnia 6 września 2001 roku o transporcie drogowym (Dz. U. z 2019 r. poz. 2140 ze zm.) i ustawy z dnia 16 grudnia 2010 roku o publicznym transporcie zbiorowym w zakresie:</w:t>
      </w:r>
      <w:bookmarkStart w:id="879" w:name="_Toc63162285"/>
      <w:bookmarkStart w:id="880" w:name="_Toc63162325"/>
      <w:bookmarkStart w:id="881" w:name="_Toc63169475"/>
      <w:bookmarkStart w:id="882" w:name="_Toc63169578"/>
      <w:bookmarkStart w:id="883" w:name="_Toc63170034"/>
      <w:bookmarkStart w:id="884" w:name="_Toc63170135"/>
      <w:bookmarkStart w:id="885" w:name="_Toc63170231"/>
      <w:bookmarkStart w:id="886" w:name="_Toc63170327"/>
      <w:bookmarkStart w:id="887" w:name="_Toc63170434"/>
      <w:bookmarkStart w:id="888" w:name="_Toc63170543"/>
      <w:bookmarkStart w:id="889" w:name="_Toc63170882"/>
      <w:bookmarkStart w:id="890" w:name="_Toc63170991"/>
      <w:bookmarkStart w:id="891" w:name="_Toc63171100"/>
      <w:bookmarkStart w:id="892" w:name="_Toc63229219"/>
      <w:bookmarkStart w:id="893" w:name="_Toc63229327"/>
      <w:bookmarkStart w:id="894" w:name="_Toc63229435"/>
      <w:bookmarkStart w:id="895" w:name="_Toc63229543"/>
      <w:bookmarkStart w:id="896" w:name="_Toc63229649"/>
      <w:bookmarkStart w:id="897" w:name="_Toc63229741"/>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rsidR="008C7751" w:rsidRPr="00E00B35" w:rsidRDefault="008C7751" w:rsidP="00E00B35">
      <w:pPr>
        <w:spacing w:after="0" w:line="312" w:lineRule="auto"/>
        <w:rPr>
          <w:color w:val="000000" w:themeColor="text1"/>
          <w:szCs w:val="20"/>
        </w:rPr>
      </w:pPr>
    </w:p>
    <w:p w:rsidR="008C7751" w:rsidRPr="00E00B35" w:rsidRDefault="008C7751" w:rsidP="00E00B35">
      <w:pPr>
        <w:pStyle w:val="14StanowiskoPodpisujacego"/>
        <w:tabs>
          <w:tab w:val="left" w:pos="567"/>
        </w:tabs>
        <w:spacing w:after="0" w:line="312" w:lineRule="auto"/>
        <w:jc w:val="left"/>
        <w:rPr>
          <w:sz w:val="20"/>
          <w:szCs w:val="20"/>
        </w:rPr>
      </w:pPr>
      <w:r w:rsidRPr="00E00B35">
        <w:rPr>
          <w:sz w:val="20"/>
          <w:szCs w:val="20"/>
        </w:rPr>
        <w:t>Transport drogowy taksówką osobową</w:t>
      </w:r>
    </w:p>
    <w:p w:rsidR="008C7751" w:rsidRPr="00E00B35" w:rsidRDefault="008C7751" w:rsidP="00E00B35">
      <w:pPr>
        <w:pStyle w:val="Tekstpodstawowy"/>
        <w:numPr>
          <w:ilvl w:val="0"/>
          <w:numId w:val="75"/>
        </w:numPr>
        <w:suppressAutoHyphens/>
        <w:spacing w:after="0" w:line="312" w:lineRule="auto"/>
        <w:ind w:left="567" w:hanging="567"/>
        <w:rPr>
          <w:szCs w:val="20"/>
        </w:rPr>
      </w:pPr>
      <w:r w:rsidRPr="00E00B35">
        <w:rPr>
          <w:szCs w:val="20"/>
        </w:rPr>
        <w:t>Wydano licencje na transport drogowy taksówką osobową – 551;</w:t>
      </w:r>
    </w:p>
    <w:p w:rsidR="008C7751" w:rsidRPr="00E00B35" w:rsidRDefault="008C7751" w:rsidP="00E00B35">
      <w:pPr>
        <w:pStyle w:val="Tekstpodstawowy"/>
        <w:numPr>
          <w:ilvl w:val="0"/>
          <w:numId w:val="75"/>
        </w:numPr>
        <w:suppressAutoHyphens/>
        <w:spacing w:after="0" w:line="312" w:lineRule="auto"/>
        <w:ind w:left="567" w:hanging="567"/>
        <w:rPr>
          <w:szCs w:val="20"/>
        </w:rPr>
      </w:pPr>
      <w:r w:rsidRPr="00E00B35">
        <w:rPr>
          <w:szCs w:val="20"/>
        </w:rPr>
        <w:t>Udzielono wypisów z licencji na transport drogowy taksówką osobową – 1 530;</w:t>
      </w:r>
    </w:p>
    <w:p w:rsidR="008C7751" w:rsidRPr="00E00B35" w:rsidRDefault="008C7751" w:rsidP="00E00B35">
      <w:pPr>
        <w:pStyle w:val="Tekstpodstawowy"/>
        <w:numPr>
          <w:ilvl w:val="0"/>
          <w:numId w:val="75"/>
        </w:numPr>
        <w:suppressAutoHyphens/>
        <w:spacing w:after="0" w:line="312" w:lineRule="auto"/>
        <w:ind w:left="567" w:hanging="567"/>
        <w:rPr>
          <w:szCs w:val="20"/>
        </w:rPr>
      </w:pPr>
      <w:r w:rsidRPr="00E00B35">
        <w:rPr>
          <w:szCs w:val="20"/>
        </w:rPr>
        <w:t>Zgłoszono zmiany licencji w związku ze zmianą pojazdu, tablic rejestracyjnych, zmianą adresu lub wydaniem kolejnych wypisów – 253;</w:t>
      </w:r>
    </w:p>
    <w:p w:rsidR="008C7751" w:rsidRPr="00E00B35" w:rsidRDefault="008C7751" w:rsidP="00E00B35">
      <w:pPr>
        <w:pStyle w:val="Tekstpodstawowy"/>
        <w:numPr>
          <w:ilvl w:val="0"/>
          <w:numId w:val="75"/>
        </w:numPr>
        <w:suppressAutoHyphens/>
        <w:spacing w:after="0" w:line="312" w:lineRule="auto"/>
        <w:ind w:left="567" w:hanging="567"/>
        <w:rPr>
          <w:szCs w:val="20"/>
        </w:rPr>
      </w:pPr>
      <w:r w:rsidRPr="00E00B35">
        <w:rPr>
          <w:szCs w:val="20"/>
        </w:rPr>
        <w:t>Wydano inne decyzje administracyjne – 194.</w:t>
      </w:r>
    </w:p>
    <w:p w:rsidR="008C7751" w:rsidRPr="00E00B35" w:rsidRDefault="008C7751" w:rsidP="00E00B35">
      <w:pPr>
        <w:pStyle w:val="Nagwek3"/>
        <w:spacing w:after="0" w:line="312" w:lineRule="auto"/>
        <w:ind w:left="930"/>
        <w:rPr>
          <w:b w:val="0"/>
          <w:sz w:val="20"/>
        </w:rPr>
      </w:pPr>
    </w:p>
    <w:p w:rsidR="008C7751" w:rsidRPr="00E00B35" w:rsidRDefault="008C7751" w:rsidP="00E00B35">
      <w:pPr>
        <w:pStyle w:val="14StanowiskoPodpisujacego"/>
        <w:tabs>
          <w:tab w:val="left" w:pos="567"/>
        </w:tabs>
        <w:spacing w:after="0" w:line="312" w:lineRule="auto"/>
        <w:jc w:val="left"/>
        <w:rPr>
          <w:sz w:val="20"/>
          <w:szCs w:val="20"/>
        </w:rPr>
      </w:pPr>
      <w:r w:rsidRPr="00E00B35">
        <w:rPr>
          <w:sz w:val="20"/>
          <w:szCs w:val="20"/>
        </w:rPr>
        <w:t>Transport drogowy osób i rzeczy</w:t>
      </w:r>
    </w:p>
    <w:p w:rsidR="008C7751" w:rsidRPr="00E00B35" w:rsidRDefault="008C7751" w:rsidP="00E00B35">
      <w:pPr>
        <w:pStyle w:val="Tekstpodstawowy"/>
        <w:numPr>
          <w:ilvl w:val="0"/>
          <w:numId w:val="115"/>
        </w:numPr>
        <w:suppressAutoHyphens/>
        <w:spacing w:after="0" w:line="312" w:lineRule="auto"/>
        <w:ind w:left="567" w:hanging="567"/>
        <w:rPr>
          <w:szCs w:val="20"/>
        </w:rPr>
      </w:pPr>
      <w:r w:rsidRPr="00E00B35">
        <w:rPr>
          <w:szCs w:val="20"/>
        </w:rPr>
        <w:t>Wydano zaświadczenia na potrzeby własne – 42;</w:t>
      </w:r>
    </w:p>
    <w:p w:rsidR="008C7751" w:rsidRPr="00E00B35" w:rsidRDefault="008C7751" w:rsidP="00E00B35">
      <w:pPr>
        <w:pStyle w:val="Tekstpodstawowy"/>
        <w:numPr>
          <w:ilvl w:val="0"/>
          <w:numId w:val="115"/>
        </w:numPr>
        <w:suppressAutoHyphens/>
        <w:spacing w:after="0" w:line="312" w:lineRule="auto"/>
        <w:ind w:left="567" w:hanging="567"/>
        <w:rPr>
          <w:szCs w:val="20"/>
        </w:rPr>
      </w:pPr>
      <w:r w:rsidRPr="00E00B35">
        <w:rPr>
          <w:szCs w:val="20"/>
        </w:rPr>
        <w:t>Wydano zezwolenia na regularny przewóz osób – 13;</w:t>
      </w:r>
    </w:p>
    <w:p w:rsidR="008C7751" w:rsidRPr="00E00B35" w:rsidRDefault="008C7751" w:rsidP="00E00B35">
      <w:pPr>
        <w:pStyle w:val="Tekstpodstawowy"/>
        <w:numPr>
          <w:ilvl w:val="0"/>
          <w:numId w:val="115"/>
        </w:numPr>
        <w:suppressAutoHyphens/>
        <w:spacing w:after="0" w:line="312" w:lineRule="auto"/>
        <w:ind w:left="567" w:hanging="567"/>
        <w:rPr>
          <w:szCs w:val="20"/>
        </w:rPr>
      </w:pPr>
      <w:r w:rsidRPr="00E00B35">
        <w:rPr>
          <w:szCs w:val="20"/>
        </w:rPr>
        <w:t>Wydano zezwolenia na regularny specjalny przewóz osób – 10;</w:t>
      </w:r>
    </w:p>
    <w:p w:rsidR="008C7751" w:rsidRPr="00E00B35" w:rsidRDefault="008C7751" w:rsidP="00E00B35">
      <w:pPr>
        <w:pStyle w:val="Tekstpodstawowy"/>
        <w:numPr>
          <w:ilvl w:val="0"/>
          <w:numId w:val="115"/>
        </w:numPr>
        <w:suppressAutoHyphens/>
        <w:spacing w:after="0" w:line="312" w:lineRule="auto"/>
        <w:ind w:left="567" w:hanging="567"/>
        <w:rPr>
          <w:szCs w:val="20"/>
        </w:rPr>
      </w:pPr>
      <w:r w:rsidRPr="00E00B35">
        <w:rPr>
          <w:szCs w:val="20"/>
        </w:rPr>
        <w:t>Wydano licencje na krajowy transport drogowy rzeczy – 2;</w:t>
      </w:r>
    </w:p>
    <w:p w:rsidR="008C7751" w:rsidRPr="00E00B35" w:rsidRDefault="008C7751" w:rsidP="00E00B35">
      <w:pPr>
        <w:pStyle w:val="Tekstpodstawowy"/>
        <w:numPr>
          <w:ilvl w:val="0"/>
          <w:numId w:val="115"/>
        </w:numPr>
        <w:suppressAutoHyphens/>
        <w:spacing w:after="0" w:line="312" w:lineRule="auto"/>
        <w:ind w:left="567" w:hanging="567"/>
        <w:rPr>
          <w:szCs w:val="20"/>
        </w:rPr>
      </w:pPr>
      <w:r w:rsidRPr="00E00B35">
        <w:rPr>
          <w:szCs w:val="20"/>
        </w:rPr>
        <w:t>Wydano licencje na krajowy transport drogowy osób – 1;</w:t>
      </w:r>
    </w:p>
    <w:p w:rsidR="008C7751" w:rsidRPr="00E00B35" w:rsidRDefault="008C7751" w:rsidP="00E00B35">
      <w:pPr>
        <w:pStyle w:val="Tekstpodstawowy"/>
        <w:numPr>
          <w:ilvl w:val="0"/>
          <w:numId w:val="115"/>
        </w:numPr>
        <w:suppressAutoHyphens/>
        <w:spacing w:after="0" w:line="312" w:lineRule="auto"/>
        <w:ind w:left="567" w:hanging="567"/>
        <w:rPr>
          <w:szCs w:val="20"/>
        </w:rPr>
      </w:pPr>
      <w:r w:rsidRPr="00E00B35">
        <w:rPr>
          <w:szCs w:val="20"/>
        </w:rPr>
        <w:t>Wydano zaświadczenia na wykonywanie publicznego transportu zbiorowego - 617;</w:t>
      </w:r>
    </w:p>
    <w:p w:rsidR="008C7751" w:rsidRPr="00E00B35" w:rsidRDefault="008C7751" w:rsidP="00E00B35">
      <w:pPr>
        <w:pStyle w:val="Tekstpodstawowy"/>
        <w:numPr>
          <w:ilvl w:val="0"/>
          <w:numId w:val="115"/>
        </w:numPr>
        <w:suppressAutoHyphens/>
        <w:spacing w:after="0" w:line="312" w:lineRule="auto"/>
        <w:ind w:left="567" w:hanging="567"/>
        <w:rPr>
          <w:szCs w:val="20"/>
        </w:rPr>
      </w:pPr>
      <w:r w:rsidRPr="00E00B35">
        <w:rPr>
          <w:szCs w:val="20"/>
        </w:rPr>
        <w:t>Wydano zezwolenia na wykonywanie zawodu przewoźnika drogowego – 70;</w:t>
      </w:r>
    </w:p>
    <w:p w:rsidR="008C7751" w:rsidRPr="00E00B35" w:rsidRDefault="008C7751" w:rsidP="00E00B35">
      <w:pPr>
        <w:pStyle w:val="Tekstpodstawowy"/>
        <w:numPr>
          <w:ilvl w:val="0"/>
          <w:numId w:val="115"/>
        </w:numPr>
        <w:suppressAutoHyphens/>
        <w:spacing w:after="0" w:line="312" w:lineRule="auto"/>
        <w:ind w:left="567" w:hanging="567"/>
        <w:rPr>
          <w:szCs w:val="20"/>
        </w:rPr>
      </w:pPr>
      <w:r w:rsidRPr="00E00B35">
        <w:rPr>
          <w:szCs w:val="20"/>
        </w:rPr>
        <w:t>Wydano licencje na wykonywanie krajowego transportu drogowego w zakresie przewozu osób pojazdem samochodowym przeznaczonym konstrukcyjnie do przewozu powyżej 7 i nie więcej niż 9 osób łącznie z kierowcą – 12;</w:t>
      </w:r>
    </w:p>
    <w:p w:rsidR="008C7751" w:rsidRPr="00E00B35" w:rsidRDefault="008C7751" w:rsidP="00E00B35">
      <w:pPr>
        <w:pStyle w:val="Tekstpodstawowy"/>
        <w:numPr>
          <w:ilvl w:val="0"/>
          <w:numId w:val="115"/>
        </w:numPr>
        <w:suppressAutoHyphens/>
        <w:spacing w:after="0" w:line="312" w:lineRule="auto"/>
        <w:ind w:left="567" w:hanging="567"/>
        <w:rPr>
          <w:szCs w:val="20"/>
        </w:rPr>
      </w:pPr>
      <w:r w:rsidRPr="00E00B35">
        <w:rPr>
          <w:szCs w:val="20"/>
        </w:rPr>
        <w:t>Wydano licencje na wykonywanie transportu drogowego w zakresie pośrednictwa przy przewozie rzeczy – 37;</w:t>
      </w:r>
    </w:p>
    <w:p w:rsidR="008C7751" w:rsidRPr="00E00B35" w:rsidRDefault="008C7751" w:rsidP="00E00B35">
      <w:pPr>
        <w:pStyle w:val="Tekstpodstawowy"/>
        <w:numPr>
          <w:ilvl w:val="0"/>
          <w:numId w:val="115"/>
        </w:numPr>
        <w:suppressAutoHyphens/>
        <w:spacing w:after="0" w:line="312" w:lineRule="auto"/>
        <w:ind w:left="567" w:hanging="567"/>
        <w:rPr>
          <w:szCs w:val="20"/>
        </w:rPr>
      </w:pPr>
      <w:r w:rsidRPr="00E00B35">
        <w:rPr>
          <w:szCs w:val="20"/>
        </w:rPr>
        <w:t>Wydano licencje na wykonywanie krajowego transportu drogowego w zakresie przewozu osób samochodem osobowym – 6.</w:t>
      </w:r>
    </w:p>
    <w:p w:rsidR="008C7751" w:rsidRPr="00E00B35" w:rsidRDefault="008C7751" w:rsidP="00E00B35">
      <w:pPr>
        <w:pStyle w:val="Tekstpodstawowy"/>
        <w:suppressAutoHyphens/>
        <w:spacing w:after="0" w:line="312" w:lineRule="auto"/>
        <w:ind w:left="567"/>
        <w:rPr>
          <w:szCs w:val="20"/>
        </w:rPr>
      </w:pPr>
    </w:p>
    <w:p w:rsidR="008C7751" w:rsidRPr="00E00B35" w:rsidRDefault="008C7751" w:rsidP="00E00B35">
      <w:pPr>
        <w:pStyle w:val="Nagwek4"/>
        <w:spacing w:before="0" w:after="0" w:line="312" w:lineRule="auto"/>
        <w:rPr>
          <w:sz w:val="20"/>
          <w:szCs w:val="20"/>
        </w:rPr>
      </w:pPr>
      <w:bookmarkStart w:id="898" w:name="_Toc66358344"/>
      <w:r w:rsidRPr="00E00B35">
        <w:rPr>
          <w:sz w:val="20"/>
          <w:szCs w:val="20"/>
        </w:rPr>
        <w:t>Spłata należności z tytułu opłat za przejazd bez ważnego biletu</w:t>
      </w:r>
      <w:bookmarkEnd w:id="898"/>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Zgodnie z Uchwałą Nr LXI/1540/14 Rady Miejskiej Wrocławia z dnia 10 lipca 2014 roku w sprawie szczegółowych zasad, sposobu i trybu umarzania, odraczania lub rozkładania na raty spłaty należności pieniężnych mających charakter cywilnoprawny przypadających gminie Wrocław lub jej jednostkom podległym oraz wskazania organu i osób do tego uprawnionych, rozpatrzono 271 wnioski o umorzenie, odroczenie i rozłożenie na raty należności z tytułu opłat za przejazd bez ważnego biletu, w tym:</w:t>
      </w:r>
    </w:p>
    <w:p w:rsidR="008C7751" w:rsidRPr="00E00B35" w:rsidRDefault="008C7751" w:rsidP="00E00B35">
      <w:pPr>
        <w:pStyle w:val="Tekstpodstawowy"/>
        <w:numPr>
          <w:ilvl w:val="0"/>
          <w:numId w:val="73"/>
        </w:numPr>
        <w:suppressAutoHyphens/>
        <w:spacing w:after="0" w:line="312" w:lineRule="auto"/>
        <w:ind w:left="567" w:hanging="567"/>
        <w:rPr>
          <w:szCs w:val="20"/>
        </w:rPr>
      </w:pPr>
      <w:r w:rsidRPr="00E00B35">
        <w:rPr>
          <w:szCs w:val="20"/>
        </w:rPr>
        <w:t>Udzielono zgody na umorzenie w 35 przypadkach;</w:t>
      </w:r>
    </w:p>
    <w:p w:rsidR="008C7751" w:rsidRPr="00E00B35" w:rsidRDefault="008C7751" w:rsidP="00E00B35">
      <w:pPr>
        <w:pStyle w:val="Tekstpodstawowy"/>
        <w:numPr>
          <w:ilvl w:val="0"/>
          <w:numId w:val="73"/>
        </w:numPr>
        <w:suppressAutoHyphens/>
        <w:spacing w:after="0" w:line="312" w:lineRule="auto"/>
        <w:ind w:left="567" w:hanging="567"/>
        <w:rPr>
          <w:szCs w:val="20"/>
        </w:rPr>
      </w:pPr>
      <w:r w:rsidRPr="00E00B35">
        <w:rPr>
          <w:szCs w:val="20"/>
        </w:rPr>
        <w:t>Udzielono zgody na rozłożenie na raty należności w 28 przypadkach;</w:t>
      </w:r>
    </w:p>
    <w:p w:rsidR="008C7751" w:rsidRPr="00E00B35" w:rsidRDefault="008C7751" w:rsidP="00E00B35">
      <w:pPr>
        <w:pStyle w:val="Tekstpodstawowy"/>
        <w:numPr>
          <w:ilvl w:val="0"/>
          <w:numId w:val="73"/>
        </w:numPr>
        <w:suppressAutoHyphens/>
        <w:spacing w:after="0" w:line="312" w:lineRule="auto"/>
        <w:ind w:left="567" w:hanging="567"/>
        <w:rPr>
          <w:szCs w:val="20"/>
        </w:rPr>
      </w:pPr>
      <w:r w:rsidRPr="00E00B35">
        <w:rPr>
          <w:szCs w:val="20"/>
        </w:rPr>
        <w:t>Udzielono odmowy umorzenia, rozłożenia na raty, odroczenia lub pozostawiono bez rozpoznania w 41 przypadkach;</w:t>
      </w:r>
    </w:p>
    <w:p w:rsidR="008C7751" w:rsidRPr="00E00B35" w:rsidRDefault="008C7751" w:rsidP="00E00B35">
      <w:pPr>
        <w:pStyle w:val="Tekstpodstawowy"/>
        <w:numPr>
          <w:ilvl w:val="0"/>
          <w:numId w:val="73"/>
        </w:numPr>
        <w:suppressAutoHyphens/>
        <w:spacing w:after="0" w:line="312" w:lineRule="auto"/>
        <w:ind w:left="567" w:hanging="567"/>
        <w:rPr>
          <w:szCs w:val="20"/>
        </w:rPr>
      </w:pPr>
      <w:r w:rsidRPr="00E00B35">
        <w:rPr>
          <w:szCs w:val="20"/>
        </w:rPr>
        <w:t>w 167 przypadkach przekazano korespondencję od komorników i z sądów do MPK sp. z o. o.</w:t>
      </w:r>
    </w:p>
    <w:p w:rsidR="008C7751" w:rsidRPr="00E00B35" w:rsidRDefault="008C7751" w:rsidP="00E00B35">
      <w:pPr>
        <w:pStyle w:val="Tekstpodstawowy"/>
        <w:suppressAutoHyphens/>
        <w:spacing w:after="0" w:line="312" w:lineRule="auto"/>
        <w:ind w:left="567"/>
        <w:rPr>
          <w:szCs w:val="20"/>
        </w:rPr>
      </w:pPr>
    </w:p>
    <w:p w:rsidR="008C7751" w:rsidRPr="00E00B35" w:rsidRDefault="008C7751" w:rsidP="00E00B35">
      <w:pPr>
        <w:pStyle w:val="Nagwek4"/>
        <w:spacing w:before="0" w:after="0" w:line="312" w:lineRule="auto"/>
        <w:rPr>
          <w:sz w:val="20"/>
          <w:szCs w:val="20"/>
        </w:rPr>
      </w:pPr>
      <w:bookmarkStart w:id="899" w:name="_Toc66358345"/>
      <w:r w:rsidRPr="00E00B35">
        <w:rPr>
          <w:sz w:val="20"/>
          <w:szCs w:val="20"/>
        </w:rPr>
        <w:t>Nadzór nad kluczowymi inwestycj</w:t>
      </w:r>
      <w:bookmarkEnd w:id="860"/>
      <w:bookmarkEnd w:id="861"/>
      <w:bookmarkEnd w:id="862"/>
      <w:bookmarkEnd w:id="863"/>
      <w:bookmarkEnd w:id="864"/>
      <w:r w:rsidRPr="00E00B35">
        <w:rPr>
          <w:sz w:val="20"/>
          <w:szCs w:val="20"/>
        </w:rPr>
        <w:t>ami związanymi z transportem publicznym</w:t>
      </w:r>
      <w:bookmarkEnd w:id="865"/>
      <w:bookmarkEnd w:id="899"/>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Prowadzono stały, bieżący nadzór i monitoring stanu realizacji zadania inwestycyjnego na podstawie udziału w radach technicznych, pozyskiwanych informacji pisemnych, e-mailowych i telefonicznych oraz w oparciu o karty monitoringu projektów w ramach elektronicznego Systemu Monitoringu Projektów.</w:t>
      </w:r>
    </w:p>
    <w:p w:rsidR="00890136" w:rsidRPr="00E00B35" w:rsidRDefault="00890136" w:rsidP="00E00B35">
      <w:pPr>
        <w:pStyle w:val="HTML-wstpniesformatowany"/>
        <w:spacing w:after="0" w:line="312" w:lineRule="auto"/>
        <w:rPr>
          <w:rFonts w:ascii="Verdana" w:eastAsia="Times New Roman" w:hAnsi="Verdana"/>
          <w:color w:val="000000" w:themeColor="text1"/>
        </w:rPr>
      </w:pPr>
    </w:p>
    <w:p w:rsidR="008C7751" w:rsidRPr="00E00B35" w:rsidRDefault="008C7751" w:rsidP="00E00B35">
      <w:pPr>
        <w:pStyle w:val="14StanowiskoPodpisujacego"/>
        <w:numPr>
          <w:ilvl w:val="1"/>
          <w:numId w:val="121"/>
        </w:numPr>
        <w:tabs>
          <w:tab w:val="left" w:pos="567"/>
        </w:tabs>
        <w:suppressAutoHyphens/>
        <w:spacing w:after="0" w:line="312" w:lineRule="auto"/>
        <w:ind w:left="567" w:hanging="567"/>
        <w:jc w:val="left"/>
        <w:rPr>
          <w:b/>
          <w:sz w:val="20"/>
          <w:szCs w:val="20"/>
        </w:rPr>
      </w:pPr>
      <w:bookmarkStart w:id="900" w:name="_Toc32318674"/>
      <w:r w:rsidRPr="00E00B35">
        <w:rPr>
          <w:b/>
          <w:sz w:val="20"/>
          <w:szCs w:val="20"/>
        </w:rPr>
        <w:t>Budowa wydzielonej trasy autobusowo - tramwajowej łączącej osiedle Nowy Dwór z Centrum Wrocławia</w:t>
      </w:r>
      <w:bookmarkEnd w:id="900"/>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Zadanie jest realizowane przy udziale środków z Unii Europejskiej w ramach działania 6.1: Rozwój publicznego transportu zbiorowego w miastach oś priorytetowa VI: Rozwój niskoemisyjnego transportu zbiorowego w miastach, Programu Operacyjnego Infrastruktura i Środowisko 2014 – 2020. W 2020 roku podpisano kolejne aneksy terminowe i kwotowe z instytucją pośredniczącą, uwzględniające pandemię Covid-19.</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lastRenderedPageBreak/>
        <w:t>Etap I – odcinek od Placu Orląt Lwowskich do Parku Biznesu;</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Etap II – odcinek od Parku Biznesu do ul. Rogowskiej;</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Etap III – odcinek w ul. Rogowskiej do pętli na Nowym Dworze.</w:t>
      </w:r>
    </w:p>
    <w:p w:rsidR="008C7751" w:rsidRPr="00E00B35" w:rsidRDefault="008C7751" w:rsidP="00E00B35">
      <w:pPr>
        <w:spacing w:after="0" w:line="312" w:lineRule="auto"/>
        <w:rPr>
          <w:szCs w:val="20"/>
        </w:rPr>
      </w:pPr>
      <w:r w:rsidRPr="00E00B35">
        <w:rPr>
          <w:rStyle w:val="pogrubienieZnak"/>
          <w:szCs w:val="20"/>
        </w:rPr>
        <w:t>Poniesione w 2020 roku nakłady:</w:t>
      </w:r>
      <w:r w:rsidRPr="00E00B35">
        <w:rPr>
          <w:szCs w:val="20"/>
        </w:rPr>
        <w:t xml:space="preserve"> 108 959 tys. zł</w:t>
      </w:r>
    </w:p>
    <w:p w:rsidR="008C7751" w:rsidRPr="00E00B35" w:rsidRDefault="008C7751" w:rsidP="00E00B35">
      <w:pPr>
        <w:pStyle w:val="pogrubienie0"/>
        <w:spacing w:before="0" w:line="312" w:lineRule="auto"/>
        <w:jc w:val="left"/>
        <w:rPr>
          <w:b w:val="0"/>
        </w:rPr>
      </w:pPr>
      <w:r w:rsidRPr="00E00B35">
        <w:rPr>
          <w:b w:val="0"/>
        </w:rPr>
        <w:t>W roku 2020 zrealizowano:</w:t>
      </w:r>
    </w:p>
    <w:p w:rsidR="008C7751" w:rsidRPr="00E00B35" w:rsidRDefault="008C7751" w:rsidP="00E00B35">
      <w:pPr>
        <w:pStyle w:val="pogrubienie0"/>
        <w:spacing w:before="0" w:line="312" w:lineRule="auto"/>
        <w:jc w:val="left"/>
        <w:rPr>
          <w:b w:val="0"/>
          <w:shd w:val="clear" w:color="auto" w:fill="FFFF00"/>
        </w:rPr>
      </w:pPr>
      <w:r w:rsidRPr="00E00B35">
        <w:rPr>
          <w:b w:val="0"/>
          <w:highlight w:val="white"/>
          <w:shd w:val="clear" w:color="auto" w:fill="FFFF00"/>
        </w:rPr>
        <w:t>Etap I - Wykonano odcinek nawierzchni TAT od Placu Orląt Lwowskich do wiaduktu na ulicy Smoleckiej. Na pl. Orląt Lwowskich wprowadzono docelową organizację ruchu. Rozpoczęto budowę wiaduktu przy ul. Smoleckiej. Wykonano konstrukcje przyczółków, rozpoczęto wykonywanie płyty. Kontynuowano budowę nawierzchni TAT do pętli tramwajowej przy ul. Robotniczej. Połączono istniejącą nawierzchnię torową na pętli tramwajowej z torowiskiem TAT. Wykonano przejście dla pieszych w obrębie torów kolejowych. Zakończono budowę przyczółków i podpór wiaduktu nad torami kolejowymi w ul. Strzegomskiej. Osadzono i zmontowano przęsła wiaduktu nad torami kolejowymi. Wykonano fragment nawierzchni TAT na odcinku przy Wrocławskim Parku Biznesu.</w:t>
      </w:r>
      <w:r w:rsidRPr="00E00B35">
        <w:rPr>
          <w:b w:val="0"/>
          <w:shd w:val="clear" w:color="auto" w:fill="FFFF00"/>
        </w:rPr>
        <w:t xml:space="preserve"> </w:t>
      </w:r>
    </w:p>
    <w:p w:rsidR="008C7751" w:rsidRPr="00E00B35" w:rsidRDefault="008C7751" w:rsidP="00E00B35">
      <w:pPr>
        <w:pStyle w:val="pogrubienie0"/>
        <w:spacing w:before="0" w:line="312" w:lineRule="auto"/>
        <w:jc w:val="left"/>
        <w:rPr>
          <w:b w:val="0"/>
          <w:highlight w:val="white"/>
          <w:shd w:val="clear" w:color="auto" w:fill="FFFF00"/>
        </w:rPr>
      </w:pPr>
      <w:r w:rsidRPr="00E00B35">
        <w:rPr>
          <w:b w:val="0"/>
          <w:highlight w:val="white"/>
          <w:shd w:val="clear" w:color="auto" w:fill="FFFF00"/>
        </w:rPr>
        <w:t>Etap II - W IV kwartale 2020 r. rozstrzygnięto przetarg i podpisano umowę z wykonawcą kolejnego odcinka TAT. Wprowadzono organizację ruchu zastępczego w obrębie ulicy Strzegomskiej oraz przystąpiono do prac rozbiórkowych na odcinku II Etapu.</w:t>
      </w:r>
    </w:p>
    <w:p w:rsidR="008C7751" w:rsidRDefault="008C7751" w:rsidP="00E00B35">
      <w:pPr>
        <w:pStyle w:val="pogrubienie0"/>
        <w:spacing w:before="0" w:line="312" w:lineRule="auto"/>
        <w:jc w:val="left"/>
        <w:rPr>
          <w:b w:val="0"/>
          <w:highlight w:val="white"/>
          <w:shd w:val="clear" w:color="auto" w:fill="FFFF00"/>
        </w:rPr>
      </w:pPr>
      <w:r w:rsidRPr="00E00B35">
        <w:rPr>
          <w:b w:val="0"/>
          <w:highlight w:val="white"/>
          <w:shd w:val="clear" w:color="auto" w:fill="FFFF00"/>
        </w:rPr>
        <w:t>Etap III - Rozpoczęto projektowanie odcinka TAT w ul. Rogowskiej. Przyjęto i uzgodniono zarówno kształt trasy przebiegającej w ulicy Rogowskiej, jak też pętli znajdującej się przy przystanku kolejowym Nowy Dwór.</w:t>
      </w:r>
      <w:r w:rsidRPr="00E00B35">
        <w:rPr>
          <w:b w:val="0"/>
          <w:highlight w:val="white"/>
        </w:rPr>
        <w:t xml:space="preserve"> </w:t>
      </w:r>
      <w:r w:rsidRPr="00E00B35">
        <w:rPr>
          <w:b w:val="0"/>
          <w:highlight w:val="white"/>
          <w:shd w:val="clear" w:color="auto" w:fill="FFFF00"/>
        </w:rPr>
        <w:t>W listopadzie złożono wniosek o ZRID.</w:t>
      </w:r>
    </w:p>
    <w:p w:rsidR="00B1753A" w:rsidRPr="00E00B35" w:rsidRDefault="00B1753A" w:rsidP="00E00B35">
      <w:pPr>
        <w:pStyle w:val="pogrubienie0"/>
        <w:spacing w:before="0" w:line="312" w:lineRule="auto"/>
        <w:jc w:val="left"/>
        <w:rPr>
          <w:b w:val="0"/>
          <w:highlight w:val="white"/>
          <w:shd w:val="clear" w:color="auto" w:fill="FFFF0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Rysunek </w:t>
      </w:r>
      <w:r w:rsidR="00573162" w:rsidRPr="00E00B35">
        <w:rPr>
          <w:b/>
          <w:sz w:val="20"/>
          <w:szCs w:val="20"/>
        </w:rPr>
        <w:fldChar w:fldCharType="begin"/>
      </w:r>
      <w:r w:rsidRPr="00E00B35">
        <w:rPr>
          <w:sz w:val="20"/>
          <w:szCs w:val="20"/>
        </w:rPr>
        <w:instrText xml:space="preserve"> SEQ Rysunek \* ARABIC </w:instrText>
      </w:r>
      <w:r w:rsidR="00573162" w:rsidRPr="00E00B35">
        <w:rPr>
          <w:b/>
          <w:sz w:val="20"/>
          <w:szCs w:val="20"/>
        </w:rPr>
        <w:fldChar w:fldCharType="separate"/>
      </w:r>
      <w:r w:rsidR="008C054F">
        <w:rPr>
          <w:noProof/>
          <w:sz w:val="20"/>
          <w:szCs w:val="20"/>
        </w:rPr>
        <w:t>17</w:t>
      </w:r>
      <w:r w:rsidR="00573162" w:rsidRPr="00E00B35">
        <w:rPr>
          <w:b/>
          <w:sz w:val="20"/>
          <w:szCs w:val="20"/>
        </w:rPr>
        <w:fldChar w:fldCharType="end"/>
      </w:r>
      <w:r w:rsidRPr="00E00B35">
        <w:rPr>
          <w:sz w:val="20"/>
          <w:szCs w:val="20"/>
        </w:rPr>
        <w:t>. Schemat przebiegu trasy autobusowo - tramwajowej na Nowy Dwór</w:t>
      </w:r>
    </w:p>
    <w:p w:rsidR="008C7751" w:rsidRPr="00E00B35" w:rsidRDefault="008C7751" w:rsidP="00E00B35">
      <w:pPr>
        <w:pStyle w:val="pogrubienie0"/>
        <w:spacing w:before="0" w:line="312" w:lineRule="auto"/>
        <w:jc w:val="left"/>
        <w:rPr>
          <w:b w:val="0"/>
        </w:rPr>
      </w:pPr>
      <w:r w:rsidRPr="00E00B35">
        <w:rPr>
          <w:b w:val="0"/>
          <w:noProof/>
          <w:lang w:eastAsia="pl-PL"/>
        </w:rPr>
        <w:drawing>
          <wp:inline distT="0" distB="0" distL="0" distR="0">
            <wp:extent cx="5717062" cy="2523067"/>
            <wp:effectExtent l="19050" t="0" r="0" b="0"/>
            <wp:docPr id="29" name="Obraz 1" descr="Trasa autobusowo- tramwajowa (TAT) łącząca Nowy Dwór z centrum Wrocławia. Różnymi kolorami zaznaczono odcinki: fioletowe - TAT po istniejącej trasie,&#10;zielone - TAT po istniejącym BUS-pasie&#10;czerwone - nowe odcinki TAT&#10;niebieskie- istniejące torowisko do przebudowy.&#10;Oznaczono również dwa wiadukty oraz projektowane przystanki.&#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cstate="print"/>
                    <a:srcRect l="-15" t="-43" r="-15" b="-43"/>
                    <a:stretch>
                      <a:fillRect/>
                    </a:stretch>
                  </pic:blipFill>
                  <pic:spPr bwMode="auto">
                    <a:xfrm>
                      <a:off x="0" y="0"/>
                      <a:ext cx="5721966" cy="2525231"/>
                    </a:xfrm>
                    <a:prstGeom prst="rect">
                      <a:avLst/>
                    </a:prstGeom>
                    <a:solidFill>
                      <a:srgbClr val="FFFFFF"/>
                    </a:solidFill>
                    <a:ln w="9525">
                      <a:noFill/>
                      <a:miter lim="800000"/>
                      <a:headEnd/>
                      <a:tailEnd/>
                    </a:ln>
                  </pic:spPr>
                </pic:pic>
              </a:graphicData>
            </a:graphic>
          </wp:inline>
        </w:drawing>
      </w:r>
    </w:p>
    <w:p w:rsidR="008C7751" w:rsidRPr="00E00B35" w:rsidRDefault="008C7751" w:rsidP="00E00B35">
      <w:pPr>
        <w:pStyle w:val="Legenda"/>
        <w:keepNext/>
        <w:spacing w:before="0" w:after="0" w:line="312" w:lineRule="auto"/>
        <w:rPr>
          <w:b/>
          <w:sz w:val="20"/>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40</w:t>
      </w:r>
      <w:r w:rsidR="00573162" w:rsidRPr="00E00B35">
        <w:rPr>
          <w:b/>
          <w:sz w:val="20"/>
          <w:szCs w:val="20"/>
        </w:rPr>
        <w:fldChar w:fldCharType="end"/>
      </w:r>
      <w:r w:rsidRPr="00E00B35">
        <w:rPr>
          <w:sz w:val="20"/>
          <w:szCs w:val="20"/>
        </w:rPr>
        <w:t>. Widoczna konstrukcja nowego wiaduktu nad torami kolejowymi PKP</w:t>
      </w:r>
    </w:p>
    <w:p w:rsidR="008C7751" w:rsidRPr="00E00B35" w:rsidRDefault="008C7751" w:rsidP="00E00B35">
      <w:pPr>
        <w:spacing w:after="0" w:line="312" w:lineRule="auto"/>
        <w:rPr>
          <w:color w:val="E36C0A" w:themeColor="accent6" w:themeShade="BF"/>
          <w:szCs w:val="20"/>
        </w:rPr>
      </w:pPr>
      <w:r w:rsidRPr="00E00B35">
        <w:rPr>
          <w:noProof/>
          <w:color w:val="E36C0A" w:themeColor="accent6" w:themeShade="BF"/>
          <w:szCs w:val="20"/>
          <w:lang w:val="pl-PL" w:eastAsia="pl-PL" w:bidi="ar-SA"/>
        </w:rPr>
        <w:drawing>
          <wp:inline distT="0" distB="0" distL="0" distR="0">
            <wp:extent cx="5734050" cy="3562350"/>
            <wp:effectExtent l="19050" t="0" r="0" b="0"/>
            <wp:docPr id="30" name="Obraz 2" descr="Konstrukcja nowego wiaduktu dla tramwajów i autobusów nad torami kolejow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10108104719"/>
                    <pic:cNvPicPr>
                      <a:picLocks noChangeAspect="1" noChangeArrowheads="1"/>
                    </pic:cNvPicPr>
                  </pic:nvPicPr>
                  <pic:blipFill>
                    <a:blip r:embed="rId239" cstate="print"/>
                    <a:srcRect/>
                    <a:stretch>
                      <a:fillRect/>
                    </a:stretch>
                  </pic:blipFill>
                  <pic:spPr bwMode="auto">
                    <a:xfrm>
                      <a:off x="0" y="0"/>
                      <a:ext cx="5734050" cy="3562350"/>
                    </a:xfrm>
                    <a:prstGeom prst="rect">
                      <a:avLst/>
                    </a:prstGeom>
                    <a:noFill/>
                    <a:ln w="9525">
                      <a:noFill/>
                      <a:miter lim="800000"/>
                      <a:headEnd/>
                      <a:tailEnd/>
                    </a:ln>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41</w:t>
      </w:r>
      <w:r w:rsidR="00573162" w:rsidRPr="00E00B35">
        <w:rPr>
          <w:b/>
          <w:sz w:val="20"/>
          <w:szCs w:val="20"/>
        </w:rPr>
        <w:fldChar w:fldCharType="end"/>
      </w:r>
      <w:r w:rsidRPr="00E00B35">
        <w:rPr>
          <w:sz w:val="20"/>
          <w:szCs w:val="20"/>
        </w:rPr>
        <w:t>. Widoczna konstrukcja nowego wiaduktu nad torami kolejowymi PKP</w:t>
      </w:r>
    </w:p>
    <w:p w:rsidR="008C7751" w:rsidRPr="00E00B35" w:rsidRDefault="008C7751" w:rsidP="00E00B35">
      <w:pPr>
        <w:spacing w:after="0" w:line="312" w:lineRule="auto"/>
        <w:rPr>
          <w:color w:val="E36C0A" w:themeColor="accent6" w:themeShade="BF"/>
          <w:szCs w:val="20"/>
        </w:rPr>
      </w:pPr>
      <w:r w:rsidRPr="00E00B35">
        <w:rPr>
          <w:noProof/>
          <w:color w:val="E36C0A" w:themeColor="accent6" w:themeShade="BF"/>
          <w:szCs w:val="20"/>
          <w:lang w:val="pl-PL" w:eastAsia="pl-PL" w:bidi="ar-SA"/>
        </w:rPr>
        <w:drawing>
          <wp:inline distT="0" distB="0" distL="0" distR="0">
            <wp:extent cx="5664200" cy="3600450"/>
            <wp:effectExtent l="19050" t="0" r="0" b="0"/>
            <wp:docPr id="31" name="Obraz 84" descr="Konstrukcja nowego wiaduktu dla tramwajów i autobusów nad torami kolejowym. Widok z gó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40" cstate="print"/>
                    <a:srcRect l="13883" t="27186" r="37512" b="7941"/>
                    <a:stretch>
                      <a:fillRect/>
                    </a:stretch>
                  </pic:blipFill>
                  <pic:spPr bwMode="auto">
                    <a:xfrm>
                      <a:off x="0" y="0"/>
                      <a:ext cx="5667375" cy="3602468"/>
                    </a:xfrm>
                    <a:prstGeom prst="rect">
                      <a:avLst/>
                    </a:prstGeom>
                    <a:noFill/>
                    <a:ln w="9525">
                      <a:noFill/>
                      <a:miter lim="800000"/>
                      <a:headEnd/>
                      <a:tailEnd/>
                    </a:ln>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42</w:t>
      </w:r>
      <w:r w:rsidR="00573162" w:rsidRPr="00E00B35">
        <w:rPr>
          <w:b/>
          <w:sz w:val="20"/>
          <w:szCs w:val="20"/>
        </w:rPr>
        <w:fldChar w:fldCharType="end"/>
      </w:r>
      <w:r w:rsidRPr="00E00B35">
        <w:rPr>
          <w:sz w:val="20"/>
          <w:szCs w:val="20"/>
        </w:rPr>
        <w:t>. Nowa nawierzchnia placu Orląt Lwowskich w obrębie dworca kolejowego Wrocław Świebodzki, widoczne udogodnienia dla osób ze specjalnymi potrzebami</w:t>
      </w:r>
    </w:p>
    <w:p w:rsidR="008C7751" w:rsidRPr="00E00B35" w:rsidRDefault="008C7751" w:rsidP="00E00B35">
      <w:pPr>
        <w:spacing w:after="0" w:line="312" w:lineRule="auto"/>
        <w:rPr>
          <w:color w:val="E36C0A" w:themeColor="accent6" w:themeShade="BF"/>
          <w:szCs w:val="20"/>
        </w:rPr>
      </w:pPr>
      <w:r w:rsidRPr="00E00B35">
        <w:rPr>
          <w:noProof/>
          <w:color w:val="E36C0A" w:themeColor="accent6" w:themeShade="BF"/>
          <w:szCs w:val="20"/>
          <w:lang w:val="pl-PL" w:eastAsia="pl-PL" w:bidi="ar-SA"/>
        </w:rPr>
        <w:drawing>
          <wp:inline distT="0" distB="0" distL="0" distR="0">
            <wp:extent cx="5715000" cy="3562350"/>
            <wp:effectExtent l="19050" t="0" r="0" b="0"/>
            <wp:docPr id="32" name="Obraz 3" descr="Nawierzchnia chodnika przed przejściem dla pieszych, udogodnienia dla osób z niepełnosprawnościami: płytki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210108113203"/>
                    <pic:cNvPicPr>
                      <a:picLocks noChangeAspect="1" noChangeArrowheads="1"/>
                    </pic:cNvPicPr>
                  </pic:nvPicPr>
                  <pic:blipFill>
                    <a:blip r:embed="rId241" cstate="print"/>
                    <a:srcRect/>
                    <a:stretch>
                      <a:fillRect/>
                    </a:stretch>
                  </pic:blipFill>
                  <pic:spPr bwMode="auto">
                    <a:xfrm>
                      <a:off x="0" y="0"/>
                      <a:ext cx="5715000" cy="3562350"/>
                    </a:xfrm>
                    <a:prstGeom prst="rect">
                      <a:avLst/>
                    </a:prstGeom>
                    <a:noFill/>
                    <a:ln w="9525">
                      <a:noFill/>
                      <a:miter lim="800000"/>
                      <a:headEnd/>
                      <a:tailEnd/>
                    </a:ln>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43</w:t>
      </w:r>
      <w:r w:rsidR="00573162" w:rsidRPr="00E00B35">
        <w:rPr>
          <w:b/>
          <w:sz w:val="20"/>
          <w:szCs w:val="20"/>
        </w:rPr>
        <w:fldChar w:fldCharType="end"/>
      </w:r>
      <w:r w:rsidRPr="00E00B35">
        <w:rPr>
          <w:sz w:val="20"/>
          <w:szCs w:val="20"/>
        </w:rPr>
        <w:t>. Nowa nawierzchnia placu Orląt Lwowskich w obrębie dworca kolejowego Wrocław Świebodzki, widoczne udogodnienia dla osób ze specjalnymi potrzebami</w:t>
      </w:r>
    </w:p>
    <w:p w:rsidR="008C7751" w:rsidRPr="00E00B35" w:rsidRDefault="008C7751" w:rsidP="00E00B35">
      <w:pPr>
        <w:spacing w:after="0" w:line="312" w:lineRule="auto"/>
        <w:rPr>
          <w:color w:val="E36C0A" w:themeColor="accent6" w:themeShade="BF"/>
          <w:szCs w:val="20"/>
        </w:rPr>
      </w:pPr>
      <w:r w:rsidRPr="00E00B35">
        <w:rPr>
          <w:noProof/>
          <w:color w:val="E36C0A" w:themeColor="accent6" w:themeShade="BF"/>
          <w:szCs w:val="20"/>
          <w:lang w:val="pl-PL" w:eastAsia="pl-PL" w:bidi="ar-SA"/>
        </w:rPr>
        <w:drawing>
          <wp:inline distT="0" distB="0" distL="0" distR="0">
            <wp:extent cx="5715000" cy="3834486"/>
            <wp:effectExtent l="19050" t="0" r="0" b="0"/>
            <wp:docPr id="87" name="Obraz 87" descr="Widok z góry na pl. Orląt Lwowskich we Wrocławiu. Widoczne oznakowanie poziome jezdni, białe pasy, przejścia dla pieszych, powierzchnie wyłączone z ruchu oraz wymalowane na czerwono śluzy i drogi rower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42" cstate="print"/>
                    <a:srcRect l="20478" t="15294" r="15280" b="7941"/>
                    <a:stretch>
                      <a:fillRect/>
                    </a:stretch>
                  </pic:blipFill>
                  <pic:spPr bwMode="auto">
                    <a:xfrm>
                      <a:off x="0" y="0"/>
                      <a:ext cx="5717924" cy="3836448"/>
                    </a:xfrm>
                    <a:prstGeom prst="rect">
                      <a:avLst/>
                    </a:prstGeom>
                    <a:noFill/>
                    <a:ln w="9525">
                      <a:noFill/>
                      <a:miter lim="800000"/>
                      <a:headEnd/>
                      <a:tailEnd/>
                    </a:ln>
                  </pic:spPr>
                </pic:pic>
              </a:graphicData>
            </a:graphic>
          </wp:inline>
        </w:drawing>
      </w:r>
    </w:p>
    <w:p w:rsidR="00890136" w:rsidRPr="00E00B35" w:rsidRDefault="00890136" w:rsidP="00E00B35">
      <w:pPr>
        <w:spacing w:after="0" w:line="312" w:lineRule="auto"/>
        <w:rPr>
          <w:color w:val="E36C0A" w:themeColor="accent6" w:themeShade="BF"/>
          <w:szCs w:val="20"/>
        </w:rPr>
      </w:pPr>
    </w:p>
    <w:p w:rsidR="008C7751" w:rsidRPr="00E00B35" w:rsidRDefault="008C7751" w:rsidP="00E00B35">
      <w:pPr>
        <w:pStyle w:val="14StanowiskoPodpisujacego"/>
        <w:numPr>
          <w:ilvl w:val="1"/>
          <w:numId w:val="121"/>
        </w:numPr>
        <w:tabs>
          <w:tab w:val="left" w:pos="567"/>
        </w:tabs>
        <w:suppressAutoHyphens/>
        <w:spacing w:after="0" w:line="312" w:lineRule="auto"/>
        <w:ind w:left="567" w:hanging="567"/>
        <w:jc w:val="left"/>
        <w:rPr>
          <w:b/>
          <w:sz w:val="20"/>
          <w:szCs w:val="20"/>
        </w:rPr>
      </w:pPr>
      <w:bookmarkStart w:id="901" w:name="_Toc3977065"/>
      <w:bookmarkStart w:id="902" w:name="_Toc3977797"/>
      <w:bookmarkStart w:id="903" w:name="_Toc3978258"/>
      <w:bookmarkStart w:id="904" w:name="_Toc3978853"/>
      <w:bookmarkStart w:id="905" w:name="_Toc3979856"/>
      <w:bookmarkStart w:id="906" w:name="_Toc3981106"/>
      <w:bookmarkStart w:id="907" w:name="_Toc3981205"/>
      <w:bookmarkStart w:id="908" w:name="_Toc32318675"/>
      <w:bookmarkStart w:id="909" w:name="_Toc3981104"/>
      <w:bookmarkStart w:id="910" w:name="_Toc3981203"/>
      <w:r w:rsidRPr="00E00B35">
        <w:rPr>
          <w:b/>
          <w:sz w:val="20"/>
          <w:szCs w:val="20"/>
        </w:rPr>
        <w:t xml:space="preserve">Zintegrowany System Transportu Szynowego w Aglomeracji i we Wrocławiu - etap III </w:t>
      </w:r>
      <w:bookmarkEnd w:id="901"/>
      <w:bookmarkEnd w:id="902"/>
      <w:bookmarkEnd w:id="903"/>
      <w:bookmarkEnd w:id="904"/>
      <w:bookmarkEnd w:id="905"/>
      <w:bookmarkEnd w:id="906"/>
      <w:bookmarkEnd w:id="907"/>
      <w:bookmarkEnd w:id="908"/>
    </w:p>
    <w:p w:rsidR="008C7751" w:rsidRPr="00E00B35" w:rsidRDefault="008C7751" w:rsidP="00E00B35">
      <w:pPr>
        <w:pStyle w:val="HTML-wstpniesformatowany"/>
        <w:spacing w:after="0" w:line="312" w:lineRule="auto"/>
        <w:rPr>
          <w:rFonts w:ascii="Verdana" w:eastAsia="Times New Roman" w:hAnsi="Verdana"/>
          <w:iCs/>
          <w:color w:val="000000" w:themeColor="text1"/>
          <w:u w:val="single"/>
        </w:rPr>
      </w:pPr>
      <w:r w:rsidRPr="00E00B35">
        <w:rPr>
          <w:rFonts w:ascii="Verdana" w:eastAsia="Times New Roman" w:hAnsi="Verdana"/>
          <w:color w:val="000000" w:themeColor="text1"/>
        </w:rPr>
        <w:lastRenderedPageBreak/>
        <w:t>Zadanie jest realizowane przy udziale środków z Unii Europejskiej w ramach działania 6.1: Rozwój publicznego transportu zbiorowego w miastach oś priorytetowa VI: Rozwój niskoemisyjnego transportu zbiorowego w miastach, Programu Operacyjnego Infrastruktura i Środowisko 2014 – 2020.</w:t>
      </w:r>
      <w:r w:rsidRPr="00E00B35">
        <w:rPr>
          <w:rFonts w:ascii="Verdana" w:hAnsi="Verdana" w:cs="Verdana"/>
          <w:iCs/>
        </w:rPr>
        <w:t xml:space="preserve"> </w:t>
      </w:r>
      <w:r w:rsidRPr="00E00B35">
        <w:rPr>
          <w:rFonts w:ascii="Verdana" w:eastAsia="Times New Roman" w:hAnsi="Verdana"/>
          <w:iCs/>
          <w:color w:val="000000" w:themeColor="text1"/>
        </w:rPr>
        <w:t>W 2020 roku p</w:t>
      </w:r>
      <w:r w:rsidRPr="00E00B35">
        <w:rPr>
          <w:rFonts w:ascii="Verdana" w:eastAsia="Times New Roman" w:hAnsi="Verdana"/>
          <w:color w:val="000000" w:themeColor="text1"/>
        </w:rPr>
        <w:t>odpisano kolejne aneksy terminowe i kwotowe z instytucją pośredniczącą, uwzględniające pandemię Covid-19.</w:t>
      </w:r>
    </w:p>
    <w:p w:rsidR="008C7751" w:rsidRPr="00E00B35" w:rsidRDefault="008C7751" w:rsidP="00E00B35">
      <w:pPr>
        <w:spacing w:after="0" w:line="312" w:lineRule="auto"/>
        <w:rPr>
          <w:szCs w:val="20"/>
        </w:rPr>
      </w:pPr>
      <w:r w:rsidRPr="00E00B35">
        <w:rPr>
          <w:rStyle w:val="pogrubienieZnak"/>
          <w:szCs w:val="20"/>
        </w:rPr>
        <w:t>Poniesione w 2020 roku nakłady:</w:t>
      </w:r>
      <w:r w:rsidRPr="00E00B35">
        <w:rPr>
          <w:szCs w:val="20"/>
        </w:rPr>
        <w:t xml:space="preserve"> </w:t>
      </w:r>
      <w:r w:rsidRPr="00E00B35">
        <w:rPr>
          <w:rFonts w:cs="Helv"/>
          <w:szCs w:val="20"/>
        </w:rPr>
        <w:t xml:space="preserve">26 882,5 </w:t>
      </w:r>
      <w:r w:rsidRPr="00E00B35">
        <w:rPr>
          <w:szCs w:val="20"/>
        </w:rPr>
        <w:t>tys. zł</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rStyle w:val="pogrubienieZnak"/>
          <w:b w:val="0"/>
          <w:szCs w:val="20"/>
        </w:rPr>
      </w:pPr>
      <w:r w:rsidRPr="00E00B35">
        <w:rPr>
          <w:rStyle w:val="pogrubienieZnak"/>
          <w:szCs w:val="20"/>
        </w:rPr>
        <w:t>W roku 2020:</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Rozliczono zadanie pn. Przebudowa ul. Hubskiej - będące składową projektu ZSTS – etap III.</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W ramach zadania pn. Budowa trasy tramwajowej wzdłuż ulic Popowickiej - Starogroblowej - Długiej we Wrocławiu kontynuowano roboty budowlane dla podetapu IA, obejmujące rozbudowę układu drogowego wraz z budową torowiska na odcinku od wyjazdu z terenu centrum handlowego przy ul. Długiej, poza zjazd na teren Politechniki Wrocławskiej. Etap ten realizowany jest wspólnie z PKP PLK i jest podyktowany koniecznością koordynacji prac w obrębie przebudowywanego wiaduktu kolejowego przy planowanym przystanku kolejowym Wrocław Szczepin. Zadanie przewiduje integrację przystanku kolejowego z przystankiem tramwajowo-autobusowym. Zakończenie prac planowane jest na koniec II kw. 2021 r.</w:t>
      </w: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44</w:t>
      </w:r>
      <w:r w:rsidR="00573162" w:rsidRPr="00E00B35">
        <w:rPr>
          <w:b/>
          <w:sz w:val="20"/>
          <w:szCs w:val="20"/>
        </w:rPr>
        <w:fldChar w:fldCharType="end"/>
      </w:r>
      <w:r w:rsidRPr="00E00B35">
        <w:rPr>
          <w:sz w:val="20"/>
          <w:szCs w:val="20"/>
        </w:rPr>
        <w:t>. Trasa tramwajowa wzdłuż ul. Popowickiej – Starogroblowej – Długiej – etap IA</w:t>
      </w:r>
      <w:r w:rsidRPr="00E00B35">
        <w:rPr>
          <w:b/>
          <w:noProof/>
          <w:sz w:val="20"/>
          <w:szCs w:val="20"/>
          <w:lang w:val="pl-PL" w:eastAsia="pl-PL" w:bidi="ar-SA"/>
        </w:rPr>
        <w:drawing>
          <wp:inline distT="0" distB="0" distL="0" distR="0">
            <wp:extent cx="4538319" cy="3396429"/>
            <wp:effectExtent l="19050" t="0" r="0" b="0"/>
            <wp:docPr id="64" name="Obraz 1" descr="Plac budowy. Szyny tramwajowe ułożone na betonowej konstrukcji torów. Z lewej strony leżą gotowe do montażu betonowe podkłady tramwajowe. Widać ciężki sprzęt m.in. koparko- ładowar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D:\DANE\Moje dokumenty\Praca\ZSTS etap III\Długa_Popowicka_Budimex\Zdjęcia Popowice\2020.09.11\IMG_20200911_094428.jpg"/>
                    <pic:cNvPicPr>
                      <a:picLocks noChangeAspect="1" noChangeArrowheads="1"/>
                    </pic:cNvPicPr>
                  </pic:nvPicPr>
                  <pic:blipFill>
                    <a:blip r:embed="rId243" cstate="print"/>
                    <a:stretch>
                      <a:fillRect/>
                    </a:stretch>
                  </pic:blipFill>
                  <pic:spPr bwMode="auto">
                    <a:xfrm>
                      <a:off x="0" y="0"/>
                      <a:ext cx="4535219" cy="3394109"/>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szCs w:val="20"/>
        </w:rPr>
      </w:pPr>
      <w:r w:rsidRPr="00E00B35">
        <w:rPr>
          <w:szCs w:val="20"/>
        </w:rPr>
        <w:br w:type="page"/>
      </w:r>
    </w:p>
    <w:p w:rsidR="008C7751" w:rsidRPr="00E00B35" w:rsidRDefault="008C7751" w:rsidP="00E00B35">
      <w:pPr>
        <w:spacing w:after="0" w:line="312" w:lineRule="auto"/>
        <w:rPr>
          <w:bCs/>
          <w:szCs w:val="20"/>
        </w:rPr>
      </w:pPr>
      <w:r w:rsidRPr="00E00B35">
        <w:rPr>
          <w:bCs/>
          <w:szCs w:val="20"/>
        </w:rPr>
        <w:lastRenderedPageBreak/>
        <w:t xml:space="preserve">Fot. </w:t>
      </w:r>
      <w:r w:rsidR="00573162" w:rsidRPr="00E00B35">
        <w:rPr>
          <w:bCs/>
          <w:szCs w:val="20"/>
        </w:rPr>
        <w:fldChar w:fldCharType="begin"/>
      </w:r>
      <w:r w:rsidRPr="00E00B35">
        <w:rPr>
          <w:bCs/>
          <w:szCs w:val="20"/>
        </w:rPr>
        <w:instrText xml:space="preserve"> SEQ Fot. \* ARABIC </w:instrText>
      </w:r>
      <w:r w:rsidR="00573162" w:rsidRPr="00E00B35">
        <w:rPr>
          <w:bCs/>
          <w:szCs w:val="20"/>
        </w:rPr>
        <w:fldChar w:fldCharType="separate"/>
      </w:r>
      <w:r w:rsidR="008C054F">
        <w:rPr>
          <w:bCs/>
          <w:noProof/>
          <w:szCs w:val="20"/>
        </w:rPr>
        <w:t>45</w:t>
      </w:r>
      <w:r w:rsidR="00573162" w:rsidRPr="00E00B35">
        <w:rPr>
          <w:bCs/>
          <w:szCs w:val="20"/>
        </w:rPr>
        <w:fldChar w:fldCharType="end"/>
      </w:r>
      <w:r w:rsidRPr="00E00B35">
        <w:rPr>
          <w:bCs/>
          <w:szCs w:val="20"/>
        </w:rPr>
        <w:t>. Wiadukt kolejowy przy planowanym przystanku Wrocław Szczepin</w:t>
      </w:r>
    </w:p>
    <w:p w:rsidR="008C7751" w:rsidRPr="00E00B35" w:rsidRDefault="008C7751" w:rsidP="00E00B35">
      <w:pPr>
        <w:spacing w:after="0" w:line="312" w:lineRule="auto"/>
        <w:rPr>
          <w:strike/>
          <w:szCs w:val="20"/>
        </w:rPr>
      </w:pPr>
      <w:r w:rsidRPr="00E00B35">
        <w:rPr>
          <w:noProof/>
          <w:szCs w:val="20"/>
          <w:lang w:val="pl-PL" w:eastAsia="pl-PL" w:bidi="ar-SA"/>
        </w:rPr>
        <w:drawing>
          <wp:inline distT="0" distB="0" distL="0" distR="0">
            <wp:extent cx="4621046" cy="3364992"/>
            <wp:effectExtent l="19050" t="0" r="8104" b="0"/>
            <wp:docPr id="28" name="Obraz 3" descr="Plac budowy, widok na wiadukt kolejowy nad budowaną trasą tramwajo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D:\DANE\Moje dokumenty\Praca\ZSTS etap III\Długa_Popowicka_Budimex\Zdjęcia Popowice\2020.09.11\IMG_20200911_092656.jpg"/>
                    <pic:cNvPicPr>
                      <a:picLocks noChangeAspect="1" noChangeArrowheads="1"/>
                    </pic:cNvPicPr>
                  </pic:nvPicPr>
                  <pic:blipFill>
                    <a:blip r:embed="rId244" cstate="print"/>
                    <a:srcRect r="802" b="2714"/>
                    <a:stretch>
                      <a:fillRect/>
                    </a:stretch>
                  </pic:blipFill>
                  <pic:spPr bwMode="auto">
                    <a:xfrm>
                      <a:off x="0" y="0"/>
                      <a:ext cx="4622811" cy="3366277"/>
                    </a:xfrm>
                    <a:prstGeom prst="rect">
                      <a:avLst/>
                    </a:prstGeom>
                    <a:noFill/>
                    <a:ln w="9525">
                      <a:noFill/>
                      <a:miter lim="800000"/>
                      <a:headEnd/>
                      <a:tailEnd/>
                    </a:ln>
                  </pic:spPr>
                </pic:pic>
              </a:graphicData>
            </a:graphic>
          </wp:inline>
        </w:drawing>
      </w:r>
    </w:p>
    <w:p w:rsidR="008C7751" w:rsidRPr="00E00B35" w:rsidRDefault="008C7751" w:rsidP="00E00B35">
      <w:pPr>
        <w:pStyle w:val="HTML-wstpniesformatowany"/>
        <w:spacing w:after="0" w:line="312" w:lineRule="auto"/>
        <w:rPr>
          <w:rFonts w:ascii="Verdana" w:eastAsia="Times New Roman" w:hAnsi="Verdana"/>
          <w:color w:val="000000" w:themeColor="text1"/>
        </w:rPr>
      </w:pP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Dla podetapu IB i II przeprowadzono przetarg i podpisano umowę z Wykonawcą na roboty budowlane. Odcinek ten obejmuje zakres od ul. Ks. Witolda do centrum handlowego oraz od zjazdu na Politechnikę Wrocławską do ul. Milenijnej. W ramach tego odcinka wykonane zostanie torowisko tramwajowe wraz z trakcją i przystankami, odcinki ciągów pieszych i rowerowych, przebudowa sieci i kolizji. Wykonany zostanie także łuk tramwajowy na skrzyżowaniu Milenijna-Lotnicza.</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Planowane zakończenie prac w IV kw. 2022 r.</w:t>
      </w:r>
    </w:p>
    <w:p w:rsidR="008C7751" w:rsidRPr="00E00B35" w:rsidRDefault="008C7751" w:rsidP="00E00B35">
      <w:pPr>
        <w:pStyle w:val="Legenda"/>
        <w:keepNext/>
        <w:spacing w:before="0" w:after="0" w:line="312" w:lineRule="auto"/>
        <w:rPr>
          <w:b/>
          <w:sz w:val="20"/>
          <w:szCs w:val="20"/>
        </w:rPr>
      </w:pPr>
      <w:r w:rsidRPr="00E00B35">
        <w:rPr>
          <w:sz w:val="20"/>
          <w:szCs w:val="20"/>
        </w:rPr>
        <w:t xml:space="preserve">Rysunek </w:t>
      </w:r>
      <w:r w:rsidR="00573162" w:rsidRPr="00E00B35">
        <w:rPr>
          <w:b/>
          <w:sz w:val="20"/>
          <w:szCs w:val="20"/>
        </w:rPr>
        <w:fldChar w:fldCharType="begin"/>
      </w:r>
      <w:r w:rsidRPr="00E00B35">
        <w:rPr>
          <w:sz w:val="20"/>
          <w:szCs w:val="20"/>
        </w:rPr>
        <w:instrText xml:space="preserve"> SEQ Rysunek \* ARABIC </w:instrText>
      </w:r>
      <w:r w:rsidR="00573162" w:rsidRPr="00E00B35">
        <w:rPr>
          <w:b/>
          <w:sz w:val="20"/>
          <w:szCs w:val="20"/>
        </w:rPr>
        <w:fldChar w:fldCharType="separate"/>
      </w:r>
      <w:r w:rsidR="008C054F">
        <w:rPr>
          <w:noProof/>
          <w:sz w:val="20"/>
          <w:szCs w:val="20"/>
        </w:rPr>
        <w:t>18</w:t>
      </w:r>
      <w:r w:rsidR="00573162" w:rsidRPr="00E00B35">
        <w:rPr>
          <w:b/>
          <w:sz w:val="20"/>
          <w:szCs w:val="20"/>
        </w:rPr>
        <w:fldChar w:fldCharType="end"/>
      </w:r>
      <w:r w:rsidRPr="00E00B35">
        <w:rPr>
          <w:sz w:val="20"/>
          <w:szCs w:val="20"/>
        </w:rPr>
        <w:t>. Trasa tramwajowa wzdłuż ul. Popowickiej – Starogroblowej – Długiej – cały odcinek</w:t>
      </w:r>
    </w:p>
    <w:p w:rsidR="008C7751" w:rsidRPr="00E00B35" w:rsidRDefault="008C7751" w:rsidP="00E00B35">
      <w:pPr>
        <w:spacing w:after="0" w:line="312" w:lineRule="auto"/>
        <w:rPr>
          <w:strike/>
          <w:szCs w:val="20"/>
        </w:rPr>
      </w:pPr>
      <w:r w:rsidRPr="00E00B35">
        <w:rPr>
          <w:strike/>
          <w:noProof/>
          <w:szCs w:val="20"/>
          <w:lang w:val="pl-PL" w:eastAsia="pl-PL" w:bidi="ar-SA"/>
        </w:rPr>
        <w:drawing>
          <wp:inline distT="0" distB="0" distL="0" distR="0">
            <wp:extent cx="4596841" cy="2533268"/>
            <wp:effectExtent l="19050" t="0" r="0" b="0"/>
            <wp:docPr id="34" name="Obraz2" descr="Przebieg nowej trasy tramwajowej od ulicy Jagiełły, ulicą Długą, Popowicką do ulicy Milenijnej. Różnymi kolorami zaznaczono podetapy projektu:&#10;na fioletowo- podetap IA,&#10;na czerwono - podetap IB,&#10;na zielono- etap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2"/>
                    <pic:cNvPicPr>
                      <a:picLocks noChangeAspect="1" noChangeArrowheads="1"/>
                    </pic:cNvPicPr>
                  </pic:nvPicPr>
                  <pic:blipFill>
                    <a:blip r:embed="rId245" cstate="print"/>
                    <a:srcRect l="-5" t="-8" r="-5" b="-8"/>
                    <a:stretch>
                      <a:fillRect/>
                    </a:stretch>
                  </pic:blipFill>
                  <pic:spPr bwMode="auto">
                    <a:xfrm>
                      <a:off x="0" y="0"/>
                      <a:ext cx="4607147" cy="2538948"/>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strike/>
          <w:szCs w:val="20"/>
        </w:rPr>
      </w:pPr>
    </w:p>
    <w:p w:rsidR="008C7751" w:rsidRPr="00E00B35" w:rsidRDefault="008C7751" w:rsidP="00E00B35">
      <w:pPr>
        <w:pStyle w:val="14StanowiskoPodpisujacego"/>
        <w:numPr>
          <w:ilvl w:val="1"/>
          <w:numId w:val="121"/>
        </w:numPr>
        <w:tabs>
          <w:tab w:val="left" w:pos="567"/>
        </w:tabs>
        <w:suppressAutoHyphens/>
        <w:spacing w:after="0" w:line="312" w:lineRule="auto"/>
        <w:ind w:left="567" w:hanging="567"/>
        <w:jc w:val="left"/>
        <w:rPr>
          <w:b/>
          <w:sz w:val="20"/>
          <w:szCs w:val="20"/>
        </w:rPr>
      </w:pPr>
      <w:r w:rsidRPr="00E00B35">
        <w:rPr>
          <w:b/>
          <w:sz w:val="20"/>
          <w:szCs w:val="20"/>
        </w:rPr>
        <w:t xml:space="preserve">Zintegrowany System Transportu Szynowego w Aglomeracji i we Wrocławiu – etap IV: Budowa Mostów Chrobrego </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lastRenderedPageBreak/>
        <w:t>W roku sprawozdawczym rozstrzygnięto przetarg w formule „zaprojektuj i wybuduj” dla budowy nowych mostów Chrobrego. Mosty stanowią część planowanej trasy autobusowo-tramwajowej na Swojczyce i są pierwszą częścią realizacji tego zadania.</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Obecnie trwają prace projektowe. Planowane złożenie projektu do organu w celu uzyskania decyzji ZRiD II kw. 2021 r.</w:t>
      </w:r>
    </w:p>
    <w:p w:rsidR="008C7751" w:rsidRPr="00E00B35" w:rsidRDefault="008C7751" w:rsidP="00E00B35">
      <w:pPr>
        <w:pStyle w:val="pogrubienie0"/>
        <w:spacing w:before="0" w:line="312" w:lineRule="auto"/>
        <w:jc w:val="left"/>
        <w:rPr>
          <w:b w:val="0"/>
          <w:color w:val="000000" w:themeColor="text1"/>
        </w:rPr>
      </w:pPr>
      <w:r w:rsidRPr="00E00B35">
        <w:rPr>
          <w:b w:val="0"/>
          <w:color w:val="000000" w:themeColor="text1"/>
        </w:rPr>
        <w:t>Zakres zadania:</w:t>
      </w:r>
    </w:p>
    <w:p w:rsidR="008C7751" w:rsidRPr="00E00B35" w:rsidRDefault="008C7751" w:rsidP="00E00B35">
      <w:pPr>
        <w:pStyle w:val="Tekstpodstawowy"/>
        <w:numPr>
          <w:ilvl w:val="0"/>
          <w:numId w:val="26"/>
        </w:numPr>
        <w:suppressAutoHyphens/>
        <w:spacing w:after="0" w:line="312" w:lineRule="auto"/>
        <w:rPr>
          <w:szCs w:val="20"/>
        </w:rPr>
      </w:pPr>
      <w:r w:rsidRPr="00E00B35">
        <w:rPr>
          <w:szCs w:val="20"/>
        </w:rPr>
        <w:t>dwa obiekty mostowe łukowe,</w:t>
      </w:r>
    </w:p>
    <w:p w:rsidR="008C7751" w:rsidRPr="00E00B35" w:rsidRDefault="008C7751" w:rsidP="00E00B35">
      <w:pPr>
        <w:pStyle w:val="Tekstpodstawowy"/>
        <w:numPr>
          <w:ilvl w:val="0"/>
          <w:numId w:val="26"/>
        </w:numPr>
        <w:suppressAutoHyphens/>
        <w:spacing w:after="0" w:line="312" w:lineRule="auto"/>
        <w:rPr>
          <w:szCs w:val="20"/>
        </w:rPr>
      </w:pPr>
      <w:r w:rsidRPr="00E00B35">
        <w:rPr>
          <w:szCs w:val="20"/>
        </w:rPr>
        <w:t>przebudowa drogi wojewódzkiej od ul. Monte Cassino do ul. Mydlanej,</w:t>
      </w:r>
    </w:p>
    <w:p w:rsidR="008C7751" w:rsidRPr="00E00B35" w:rsidRDefault="008C7751" w:rsidP="00E00B35">
      <w:pPr>
        <w:pStyle w:val="Tekstpodstawowy"/>
        <w:numPr>
          <w:ilvl w:val="0"/>
          <w:numId w:val="26"/>
        </w:numPr>
        <w:suppressAutoHyphens/>
        <w:spacing w:after="0" w:line="312" w:lineRule="auto"/>
        <w:rPr>
          <w:szCs w:val="20"/>
        </w:rPr>
      </w:pPr>
      <w:r w:rsidRPr="00E00B35">
        <w:rPr>
          <w:szCs w:val="20"/>
        </w:rPr>
        <w:t>infrastruktura piesza i rowerowa,</w:t>
      </w:r>
    </w:p>
    <w:p w:rsidR="008C7751" w:rsidRPr="00E00B35" w:rsidRDefault="008C7751" w:rsidP="00E00B35">
      <w:pPr>
        <w:pStyle w:val="Tekstpodstawowy"/>
        <w:numPr>
          <w:ilvl w:val="0"/>
          <w:numId w:val="26"/>
        </w:numPr>
        <w:suppressAutoHyphens/>
        <w:spacing w:after="0" w:line="312" w:lineRule="auto"/>
        <w:rPr>
          <w:szCs w:val="20"/>
        </w:rPr>
      </w:pPr>
      <w:r w:rsidRPr="00E00B35">
        <w:rPr>
          <w:szCs w:val="20"/>
        </w:rPr>
        <w:t>infrastruktura techniczna - oświetlenie, MKT, przebudowa kolizji.</w:t>
      </w:r>
    </w:p>
    <w:p w:rsidR="008C7751" w:rsidRPr="00E00B35" w:rsidRDefault="008C7751" w:rsidP="00E00B35">
      <w:pPr>
        <w:pStyle w:val="Legenda"/>
        <w:keepNext/>
        <w:spacing w:before="0" w:after="0" w:line="312" w:lineRule="auto"/>
        <w:rPr>
          <w:b/>
          <w:sz w:val="20"/>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Rysunek </w:t>
      </w:r>
      <w:r w:rsidR="00573162" w:rsidRPr="00E00B35">
        <w:rPr>
          <w:b/>
          <w:sz w:val="20"/>
          <w:szCs w:val="20"/>
        </w:rPr>
        <w:fldChar w:fldCharType="begin"/>
      </w:r>
      <w:r w:rsidRPr="00E00B35">
        <w:rPr>
          <w:sz w:val="20"/>
          <w:szCs w:val="20"/>
        </w:rPr>
        <w:instrText xml:space="preserve"> SEQ Rysunek \* ARABIC </w:instrText>
      </w:r>
      <w:r w:rsidR="00573162" w:rsidRPr="00E00B35">
        <w:rPr>
          <w:b/>
          <w:sz w:val="20"/>
          <w:szCs w:val="20"/>
        </w:rPr>
        <w:fldChar w:fldCharType="separate"/>
      </w:r>
      <w:r w:rsidR="008C054F">
        <w:rPr>
          <w:noProof/>
          <w:sz w:val="20"/>
          <w:szCs w:val="20"/>
        </w:rPr>
        <w:t>19</w:t>
      </w:r>
      <w:r w:rsidR="00573162" w:rsidRPr="00E00B35">
        <w:rPr>
          <w:b/>
          <w:sz w:val="20"/>
          <w:szCs w:val="20"/>
        </w:rPr>
        <w:fldChar w:fldCharType="end"/>
      </w:r>
      <w:r w:rsidRPr="00E00B35">
        <w:rPr>
          <w:sz w:val="20"/>
          <w:szCs w:val="20"/>
        </w:rPr>
        <w:t>. Mosty Chrobrego - projekt budowlany</w:t>
      </w:r>
    </w:p>
    <w:p w:rsidR="008C7751" w:rsidRPr="00E00B35" w:rsidRDefault="008C7751" w:rsidP="00E00B35">
      <w:pPr>
        <w:pStyle w:val="HTML-wstpniesformatowany"/>
        <w:spacing w:after="0" w:line="312" w:lineRule="auto"/>
        <w:rPr>
          <w:rFonts w:ascii="Verdana" w:hAnsi="Verdana"/>
        </w:rPr>
      </w:pPr>
      <w:r w:rsidRPr="00E00B35">
        <w:rPr>
          <w:rFonts w:ascii="Verdana" w:hAnsi="Verdana"/>
          <w:noProof/>
          <w:lang w:val="pl-PL" w:eastAsia="pl-PL" w:bidi="ar-SA"/>
        </w:rPr>
        <w:drawing>
          <wp:inline distT="0" distB="0" distL="0" distR="0">
            <wp:extent cx="4699254" cy="2159326"/>
            <wp:effectExtent l="19050" t="0" r="6096" b="0"/>
            <wp:docPr id="35" name="Obraz 2" descr="Projekt budowlany Mostów Chrobr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D:\Users\umjaku02\Desktop\Mosty Chrobrego_projekt.jpg"/>
                    <pic:cNvPicPr>
                      <a:picLocks noChangeAspect="1" noChangeArrowheads="1"/>
                    </pic:cNvPicPr>
                  </pic:nvPicPr>
                  <pic:blipFill>
                    <a:blip r:embed="rId246" cstate="print"/>
                    <a:srcRect/>
                    <a:stretch>
                      <a:fillRect/>
                    </a:stretch>
                  </pic:blipFill>
                  <pic:spPr bwMode="auto">
                    <a:xfrm>
                      <a:off x="0" y="0"/>
                      <a:ext cx="4707131" cy="2162945"/>
                    </a:xfrm>
                    <a:prstGeom prst="rect">
                      <a:avLst/>
                    </a:prstGeom>
                    <a:noFill/>
                    <a:ln w="9525">
                      <a:noFill/>
                      <a:miter lim="800000"/>
                      <a:headEnd/>
                      <a:tailEnd/>
                    </a:ln>
                  </pic:spPr>
                </pic:pic>
              </a:graphicData>
            </a:graphic>
          </wp:inline>
        </w:drawing>
      </w:r>
    </w:p>
    <w:p w:rsidR="00890136" w:rsidRPr="00E00B35" w:rsidRDefault="00890136" w:rsidP="00E00B35">
      <w:pPr>
        <w:pStyle w:val="HTML-wstpniesformatowany"/>
        <w:spacing w:after="0" w:line="312" w:lineRule="auto"/>
        <w:rPr>
          <w:rFonts w:ascii="Verdana" w:hAnsi="Verdana"/>
        </w:rPr>
      </w:pPr>
    </w:p>
    <w:p w:rsidR="008C7751" w:rsidRPr="00E00B35" w:rsidRDefault="008C7751" w:rsidP="00E00B35">
      <w:pPr>
        <w:pStyle w:val="14StanowiskoPodpisujacego"/>
        <w:numPr>
          <w:ilvl w:val="1"/>
          <w:numId w:val="121"/>
        </w:numPr>
        <w:tabs>
          <w:tab w:val="left" w:pos="567"/>
        </w:tabs>
        <w:suppressAutoHyphens/>
        <w:spacing w:after="0" w:line="312" w:lineRule="auto"/>
        <w:ind w:left="567" w:hanging="567"/>
        <w:jc w:val="left"/>
        <w:rPr>
          <w:b/>
          <w:sz w:val="20"/>
          <w:szCs w:val="20"/>
        </w:rPr>
      </w:pPr>
      <w:bookmarkStart w:id="911" w:name="_Toc32318676"/>
      <w:bookmarkEnd w:id="909"/>
      <w:bookmarkEnd w:id="910"/>
      <w:r w:rsidRPr="00E00B35">
        <w:rPr>
          <w:b/>
          <w:sz w:val="20"/>
          <w:szCs w:val="20"/>
        </w:rPr>
        <w:t>Budowa systemu Parkuj i Jedź we Wrocławiu</w:t>
      </w:r>
      <w:bookmarkEnd w:id="911"/>
      <w:r w:rsidRPr="00E00B35">
        <w:rPr>
          <w:b/>
          <w:sz w:val="20"/>
          <w:szCs w:val="20"/>
        </w:rPr>
        <w:t xml:space="preserve"> – Etap II</w:t>
      </w:r>
    </w:p>
    <w:p w:rsidR="008C7751" w:rsidRPr="00E00B35" w:rsidRDefault="008C7751" w:rsidP="00E00B35">
      <w:pPr>
        <w:pStyle w:val="pogrubienie0"/>
        <w:spacing w:before="0" w:line="312" w:lineRule="auto"/>
        <w:jc w:val="left"/>
        <w:rPr>
          <w:b w:val="0"/>
        </w:rPr>
      </w:pPr>
      <w:r w:rsidRPr="00E00B35">
        <w:rPr>
          <w:b w:val="0"/>
        </w:rPr>
        <w:t>Cel zadania:</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 xml:space="preserve">Stworzenie systemu parkingów umożliwiających przesiadkę do pojazdów komunikacji miejskiej, w celu redukcji emisji transportowej oraz poprawy mobilności transportowej mieszkańców. </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Zadanie jest realizowane przy udziale środków z Unii Europejskiej w ramach działania 3.4: ”Wdrażanie strategii niskoemisyjnej”, poddziałanie nr 3.4.2: ”Wdrażanie strategii niskoemisyjnej” – ZIT WrOF Regionalnego Programu Operacyjnego Województwa Dolnośląskiego 2014-2020.</w:t>
      </w:r>
    </w:p>
    <w:p w:rsidR="008C7751" w:rsidRPr="00E00B35" w:rsidRDefault="008C7751" w:rsidP="00E00B35">
      <w:pPr>
        <w:spacing w:after="0" w:line="312" w:lineRule="auto"/>
        <w:rPr>
          <w:rFonts w:cs="Verdana"/>
          <w:szCs w:val="20"/>
        </w:rPr>
      </w:pPr>
      <w:r w:rsidRPr="00E00B35">
        <w:rPr>
          <w:rStyle w:val="pogrubienieZnak"/>
          <w:szCs w:val="20"/>
        </w:rPr>
        <w:t xml:space="preserve">Poniesione w 2020 roku nakłady: 280 tys. zł </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W 2020 roku kontynuowano rozbudowę systemu parkingowego. Do użytkowania oddano parking zlokalizowany przy stacji kolejowej Psie Pole (parking nr 4). Tym samym na koniec 2020r. w systemie Parkuj i Jedź udostępnionych zostało 2 218 miejsc postojowych.</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 xml:space="preserve">W ramach Etapu II - rozstrzygnięto przetargi na roboty budowlane w formule „zaprojektuj i wybuduj” w lokalizacjach: pętla Klecina, Fieldorfa, Kamiennogórska, stacja kolejowa Osobowice, Psie Pole parking nr 5. Planowany wzrost liczby miejsc postojowych o ponad 300 w tym 14 miejsc postojowych dla osób z niepełnosprawnościami. </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 xml:space="preserve">Obecnie parking przy pętli tramwajowej Osobowice oczekuje na odbiór, a w trzech lokalizacjach trwają roboty budowlane. Wszystkie parkingi zostaną wyposażone </w:t>
      </w:r>
      <w:r w:rsidRPr="00E00B35">
        <w:rPr>
          <w:rFonts w:ascii="Verdana" w:eastAsia="Times New Roman" w:hAnsi="Verdana"/>
          <w:color w:val="000000" w:themeColor="text1"/>
        </w:rPr>
        <w:lastRenderedPageBreak/>
        <w:t>w wideomonitoring, pętle indukcyjne zliczające pojazdy, na wybranych parkingach system dostępu do parkingu (szlabany), tablice Dynamicznej Informacji Pasażerskiej, oświetlenie oraz wygrodzenia. Termin zakończenia zadania IV kw. 2021 r.</w:t>
      </w:r>
    </w:p>
    <w:p w:rsidR="008C7751" w:rsidRPr="00E00B35" w:rsidRDefault="008C7751" w:rsidP="00E00B35">
      <w:pPr>
        <w:pStyle w:val="HTML-wstpniesformatowany"/>
        <w:spacing w:after="0" w:line="312" w:lineRule="auto"/>
        <w:rPr>
          <w:rFonts w:ascii="Verdana" w:eastAsia="Times New Roman" w:hAnsi="Verdana"/>
          <w:color w:val="000000" w:themeColor="text1"/>
        </w:rPr>
      </w:pPr>
    </w:p>
    <w:p w:rsidR="008C7751" w:rsidRPr="00E00B35" w:rsidRDefault="008C7751" w:rsidP="00E00B35">
      <w:pPr>
        <w:pStyle w:val="Legenda"/>
        <w:keepNext/>
        <w:spacing w:before="0" w:after="0" w:line="312" w:lineRule="auto"/>
        <w:rPr>
          <w:b/>
          <w:sz w:val="20"/>
          <w:szCs w:val="20"/>
        </w:rPr>
      </w:pPr>
      <w:r w:rsidRPr="00E00B35">
        <w:rPr>
          <w:sz w:val="20"/>
          <w:szCs w:val="20"/>
        </w:rPr>
        <w:t xml:space="preserve">Rysunek </w:t>
      </w:r>
      <w:r w:rsidR="00573162" w:rsidRPr="00E00B35">
        <w:rPr>
          <w:b/>
          <w:sz w:val="20"/>
          <w:szCs w:val="20"/>
        </w:rPr>
        <w:fldChar w:fldCharType="begin"/>
      </w:r>
      <w:r w:rsidRPr="00E00B35">
        <w:rPr>
          <w:sz w:val="20"/>
          <w:szCs w:val="20"/>
        </w:rPr>
        <w:instrText xml:space="preserve"> SEQ Rysunek \* ARABIC </w:instrText>
      </w:r>
      <w:r w:rsidR="00573162" w:rsidRPr="00E00B35">
        <w:rPr>
          <w:b/>
          <w:sz w:val="20"/>
          <w:szCs w:val="20"/>
        </w:rPr>
        <w:fldChar w:fldCharType="separate"/>
      </w:r>
      <w:r w:rsidR="008C054F">
        <w:rPr>
          <w:noProof/>
          <w:sz w:val="20"/>
          <w:szCs w:val="20"/>
        </w:rPr>
        <w:t>20</w:t>
      </w:r>
      <w:r w:rsidR="00573162" w:rsidRPr="00E00B35">
        <w:rPr>
          <w:b/>
          <w:sz w:val="20"/>
          <w:szCs w:val="20"/>
        </w:rPr>
        <w:fldChar w:fldCharType="end"/>
      </w:r>
      <w:r w:rsidRPr="00E00B35">
        <w:rPr>
          <w:sz w:val="20"/>
          <w:szCs w:val="20"/>
        </w:rPr>
        <w:t>. Nowe lokalizacje parkingów "Parkuj i Jedź" we Wrocławiu dla Etapu II</w:t>
      </w:r>
    </w:p>
    <w:p w:rsidR="008C7751" w:rsidRPr="00E00B35" w:rsidRDefault="008C7751" w:rsidP="00E00B35">
      <w:pPr>
        <w:spacing w:after="0" w:line="312" w:lineRule="auto"/>
        <w:rPr>
          <w:color w:val="E36C0A" w:themeColor="accent6" w:themeShade="BF"/>
          <w:szCs w:val="20"/>
        </w:rPr>
      </w:pPr>
      <w:r w:rsidRPr="00E00B35">
        <w:rPr>
          <w:noProof/>
          <w:color w:val="E36C0A" w:themeColor="accent6" w:themeShade="BF"/>
          <w:szCs w:val="20"/>
          <w:lang w:val="pl-PL" w:eastAsia="pl-PL" w:bidi="ar-SA"/>
        </w:rPr>
        <w:drawing>
          <wp:inline distT="0" distB="0" distL="0" distR="0">
            <wp:extent cx="5181600" cy="3843540"/>
            <wp:effectExtent l="19050" t="0" r="0" b="0"/>
            <wp:docPr id="43" name="Obraz 13" descr="Mapka Wrocławia z zaznaczonymi lokalizacjami nowych parkingów &quot;Parkuj i jedź&quot;. Czerwonym kółkiem oznaczono:&#10;1. ul. Kamiennogórska&#10;2. ul. Fieldorfa&#10;3. Osobowice- pętla&#10;4. Osobowice- stacja&#10;5. Psie Pole&#10;6. Wojnów&#10;7. Wojnów Wschodni&#10;8. Kle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p;R.jpg"/>
                    <pic:cNvPicPr/>
                  </pic:nvPicPr>
                  <pic:blipFill>
                    <a:blip r:embed="rId247" cstate="print"/>
                    <a:srcRect l="1322" t="3617" r="-45" b="2076"/>
                    <a:stretch>
                      <a:fillRect/>
                    </a:stretch>
                  </pic:blipFill>
                  <pic:spPr>
                    <a:xfrm>
                      <a:off x="0" y="0"/>
                      <a:ext cx="5184119" cy="3845409"/>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t xml:space="preserve">Rysunek </w:t>
      </w:r>
      <w:r w:rsidR="00573162" w:rsidRPr="00E00B35">
        <w:rPr>
          <w:b/>
          <w:sz w:val="20"/>
          <w:szCs w:val="20"/>
        </w:rPr>
        <w:fldChar w:fldCharType="begin"/>
      </w:r>
      <w:r w:rsidRPr="00E00B35">
        <w:rPr>
          <w:sz w:val="20"/>
          <w:szCs w:val="20"/>
        </w:rPr>
        <w:instrText xml:space="preserve"> SEQ Rysunek \* ARABIC </w:instrText>
      </w:r>
      <w:r w:rsidR="00573162" w:rsidRPr="00E00B35">
        <w:rPr>
          <w:b/>
          <w:sz w:val="20"/>
          <w:szCs w:val="20"/>
        </w:rPr>
        <w:fldChar w:fldCharType="separate"/>
      </w:r>
      <w:r w:rsidR="008C054F">
        <w:rPr>
          <w:noProof/>
          <w:sz w:val="20"/>
          <w:szCs w:val="20"/>
        </w:rPr>
        <w:t>21</w:t>
      </w:r>
      <w:r w:rsidR="00573162" w:rsidRPr="00E00B35">
        <w:rPr>
          <w:b/>
          <w:sz w:val="20"/>
          <w:szCs w:val="20"/>
        </w:rPr>
        <w:fldChar w:fldCharType="end"/>
      </w:r>
      <w:r w:rsidRPr="00E00B35">
        <w:rPr>
          <w:sz w:val="20"/>
          <w:szCs w:val="20"/>
        </w:rPr>
        <w:t>. Istniejące lokalizacje parkingów "Parkuj i Jedź" we Wrocławiu</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4935893" cy="3457575"/>
            <wp:effectExtent l="19050" t="0" r="0" b="0"/>
            <wp:docPr id="45" name="Obraz 1" descr="Na mapce Wrocławia przedstawiono lokalizacje istniejących parkingów &quot;Parkuj i jedź&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8" cstate="print"/>
                    <a:srcRect l="9739" t="12288" r="23631" b="4706"/>
                    <a:stretch>
                      <a:fillRect/>
                    </a:stretch>
                  </pic:blipFill>
                  <pic:spPr bwMode="auto">
                    <a:xfrm>
                      <a:off x="0" y="0"/>
                      <a:ext cx="4937191" cy="3458484"/>
                    </a:xfrm>
                    <a:prstGeom prst="rect">
                      <a:avLst/>
                    </a:prstGeom>
                    <a:noFill/>
                    <a:ln w="9525">
                      <a:noFill/>
                      <a:miter lim="800000"/>
                      <a:headEnd/>
                      <a:tailEnd/>
                    </a:ln>
                  </pic:spPr>
                </pic:pic>
              </a:graphicData>
            </a:graphic>
          </wp:inline>
        </w:drawing>
      </w:r>
      <w:r w:rsidRPr="00E00B35">
        <w:rPr>
          <w:szCs w:val="20"/>
        </w:rPr>
        <w:t xml:space="preserve"> </w:t>
      </w:r>
    </w:p>
    <w:p w:rsidR="00890136" w:rsidRPr="00E00B35" w:rsidRDefault="00890136" w:rsidP="00E00B35">
      <w:pPr>
        <w:spacing w:after="0" w:line="312" w:lineRule="auto"/>
        <w:rPr>
          <w:szCs w:val="20"/>
        </w:rPr>
      </w:pPr>
    </w:p>
    <w:p w:rsidR="008C7751" w:rsidRPr="00E00B35" w:rsidRDefault="008C7751" w:rsidP="00E00B35">
      <w:pPr>
        <w:pStyle w:val="Nagwek4"/>
        <w:spacing w:before="0" w:after="0" w:line="312" w:lineRule="auto"/>
        <w:rPr>
          <w:sz w:val="20"/>
          <w:szCs w:val="20"/>
        </w:rPr>
      </w:pPr>
      <w:bookmarkStart w:id="912" w:name="_Toc3981119"/>
      <w:bookmarkStart w:id="913" w:name="_Toc3981214"/>
      <w:bookmarkStart w:id="914" w:name="_Toc32318678"/>
      <w:bookmarkStart w:id="915" w:name="_Toc66358346"/>
      <w:r w:rsidRPr="00E00B35">
        <w:rPr>
          <w:sz w:val="20"/>
          <w:szCs w:val="20"/>
        </w:rPr>
        <w:lastRenderedPageBreak/>
        <w:t>Zarządzanie i organizacja ruchu drogowego</w:t>
      </w:r>
      <w:bookmarkEnd w:id="912"/>
      <w:bookmarkEnd w:id="913"/>
      <w:bookmarkEnd w:id="914"/>
      <w:bookmarkEnd w:id="915"/>
    </w:p>
    <w:p w:rsidR="008C7751" w:rsidRPr="00E00B35" w:rsidRDefault="008C7751" w:rsidP="00E00B35">
      <w:pPr>
        <w:spacing w:after="0" w:line="312" w:lineRule="auto"/>
        <w:rPr>
          <w:szCs w:val="20"/>
        </w:rPr>
      </w:pPr>
    </w:p>
    <w:p w:rsidR="008C7751" w:rsidRPr="00E00B35" w:rsidRDefault="008C7751" w:rsidP="00E00B35">
      <w:pPr>
        <w:pStyle w:val="14StanowiskoPodpisujacego"/>
        <w:numPr>
          <w:ilvl w:val="1"/>
          <w:numId w:val="122"/>
        </w:numPr>
        <w:tabs>
          <w:tab w:val="left" w:pos="567"/>
        </w:tabs>
        <w:suppressAutoHyphens/>
        <w:spacing w:after="0" w:line="312" w:lineRule="auto"/>
        <w:jc w:val="left"/>
        <w:rPr>
          <w:b/>
          <w:sz w:val="20"/>
          <w:szCs w:val="20"/>
        </w:rPr>
      </w:pPr>
      <w:bookmarkStart w:id="916" w:name="_Toc32318679"/>
      <w:r w:rsidRPr="00E00B35">
        <w:rPr>
          <w:b/>
          <w:sz w:val="20"/>
          <w:szCs w:val="20"/>
        </w:rPr>
        <w:t>Poprawa bezpieczeństwa i płynności ruchu</w:t>
      </w:r>
      <w:bookmarkEnd w:id="916"/>
    </w:p>
    <w:p w:rsidR="008C7751" w:rsidRPr="00E00B35" w:rsidRDefault="008C7751" w:rsidP="00E00B35">
      <w:pPr>
        <w:pStyle w:val="Tekstpodstawowy"/>
        <w:suppressAutoHyphens/>
        <w:spacing w:after="0" w:line="312" w:lineRule="auto"/>
        <w:rPr>
          <w:szCs w:val="20"/>
        </w:rPr>
      </w:pPr>
      <w:r w:rsidRPr="00E00B35">
        <w:rPr>
          <w:szCs w:val="20"/>
        </w:rPr>
        <w:t>W 2020 roku realizowano zadania w zakresie zarządzania i organizacji ruchu drogowego, prowadzono ciągły nadzór nad funkcjonowaniem ruchu w mieście poprzez obserwacje, objazdy, kontrole czasu przejazdu przez miasto.</w:t>
      </w:r>
    </w:p>
    <w:p w:rsidR="008C7751" w:rsidRPr="00E00B35" w:rsidRDefault="008C7751" w:rsidP="00E00B35">
      <w:pPr>
        <w:pStyle w:val="Tekstpodstawowy"/>
        <w:suppressAutoHyphens/>
        <w:spacing w:after="0" w:line="312" w:lineRule="auto"/>
        <w:rPr>
          <w:szCs w:val="20"/>
        </w:rPr>
      </w:pPr>
      <w:r w:rsidRPr="00E00B35">
        <w:rPr>
          <w:szCs w:val="20"/>
        </w:rPr>
        <w:t>Zatwierdzono 2 503 projektów organizacji ruchu, wydano 547 opinii w zakresie obsługi komunikacyjnej.</w:t>
      </w:r>
    </w:p>
    <w:p w:rsidR="008C7751" w:rsidRPr="00E00B35" w:rsidRDefault="008C7751" w:rsidP="00E00B35">
      <w:pPr>
        <w:pStyle w:val="Tekstpodstawowy"/>
        <w:suppressAutoHyphens/>
        <w:spacing w:after="0" w:line="312" w:lineRule="auto"/>
        <w:rPr>
          <w:szCs w:val="20"/>
        </w:rPr>
      </w:pPr>
      <w:r w:rsidRPr="00E00B35">
        <w:rPr>
          <w:szCs w:val="20"/>
        </w:rPr>
        <w:t>W ramach prac własnych opracowano i przekazano do realizacji do Zarządu Dróg i Utrzymania Miasta 216 projektów organizacji ruchu i korekt sygnalizacji świetlnej.</w:t>
      </w:r>
    </w:p>
    <w:p w:rsidR="00C220F1" w:rsidRPr="00E00B35" w:rsidRDefault="00C220F1" w:rsidP="00E00B35">
      <w:pPr>
        <w:pStyle w:val="Tekstpodstawowy"/>
        <w:suppressAutoHyphens/>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Zatwierdzono i opracowano projekty organizacji ruchu, które można podzielić na następujące grupy tematyczne:</w:t>
      </w:r>
    </w:p>
    <w:p w:rsidR="008C7751" w:rsidRPr="00E00B35" w:rsidRDefault="008C7751" w:rsidP="00E00B35">
      <w:pPr>
        <w:pStyle w:val="Tekstpodstawowy"/>
        <w:numPr>
          <w:ilvl w:val="0"/>
          <w:numId w:val="28"/>
        </w:numPr>
        <w:suppressAutoHyphens/>
        <w:spacing w:after="0" w:line="312" w:lineRule="auto"/>
        <w:ind w:left="567" w:hanging="567"/>
        <w:rPr>
          <w:szCs w:val="20"/>
        </w:rPr>
      </w:pPr>
      <w:r w:rsidRPr="00E00B35">
        <w:rPr>
          <w:szCs w:val="20"/>
        </w:rPr>
        <w:t>korekta oznakowania docelowego;</w:t>
      </w:r>
    </w:p>
    <w:p w:rsidR="008C7751" w:rsidRPr="00E00B35" w:rsidRDefault="008C7751" w:rsidP="00E00B35">
      <w:pPr>
        <w:pStyle w:val="Tekstpodstawowy"/>
        <w:numPr>
          <w:ilvl w:val="0"/>
          <w:numId w:val="28"/>
        </w:numPr>
        <w:suppressAutoHyphens/>
        <w:spacing w:after="0" w:line="312" w:lineRule="auto"/>
        <w:ind w:left="567" w:hanging="567"/>
        <w:rPr>
          <w:szCs w:val="20"/>
        </w:rPr>
      </w:pPr>
      <w:r w:rsidRPr="00E00B35">
        <w:rPr>
          <w:szCs w:val="20"/>
        </w:rPr>
        <w:t>korekta docelowych programów sygnalizacji świetlnej;</w:t>
      </w:r>
    </w:p>
    <w:p w:rsidR="008C7751" w:rsidRPr="00E00B35" w:rsidRDefault="008C7751" w:rsidP="00E00B35">
      <w:pPr>
        <w:pStyle w:val="Tekstpodstawowy"/>
        <w:numPr>
          <w:ilvl w:val="0"/>
          <w:numId w:val="28"/>
        </w:numPr>
        <w:suppressAutoHyphens/>
        <w:spacing w:after="0" w:line="312" w:lineRule="auto"/>
        <w:ind w:left="567" w:hanging="567"/>
        <w:rPr>
          <w:szCs w:val="20"/>
        </w:rPr>
      </w:pPr>
      <w:r w:rsidRPr="00E00B35">
        <w:rPr>
          <w:szCs w:val="20"/>
        </w:rPr>
        <w:t>projekty zastępczej organizacji ruchu i sygnalizacji świetlnej;</w:t>
      </w:r>
    </w:p>
    <w:p w:rsidR="008C7751" w:rsidRPr="00E00B35" w:rsidRDefault="008C7751" w:rsidP="00E00B35">
      <w:pPr>
        <w:pStyle w:val="Tekstpodstawowy"/>
        <w:numPr>
          <w:ilvl w:val="0"/>
          <w:numId w:val="28"/>
        </w:numPr>
        <w:suppressAutoHyphens/>
        <w:spacing w:after="0" w:line="312" w:lineRule="auto"/>
        <w:ind w:left="567" w:hanging="567"/>
        <w:rPr>
          <w:szCs w:val="20"/>
        </w:rPr>
      </w:pPr>
      <w:r w:rsidRPr="00E00B35">
        <w:rPr>
          <w:szCs w:val="20"/>
        </w:rPr>
        <w:t>projekty lokalizacji urządzeń bezpieczeństwa ruchu drogowego (słupki, bariery, lustra drogowe);</w:t>
      </w:r>
    </w:p>
    <w:p w:rsidR="008C7751" w:rsidRPr="00E00B35" w:rsidRDefault="008C7751" w:rsidP="00E00B35">
      <w:pPr>
        <w:pStyle w:val="Tekstpodstawowy"/>
        <w:numPr>
          <w:ilvl w:val="0"/>
          <w:numId w:val="28"/>
        </w:numPr>
        <w:suppressAutoHyphens/>
        <w:spacing w:after="0" w:line="312" w:lineRule="auto"/>
        <w:ind w:left="567" w:hanging="567"/>
        <w:rPr>
          <w:szCs w:val="20"/>
        </w:rPr>
      </w:pPr>
      <w:r w:rsidRPr="00E00B35">
        <w:rPr>
          <w:szCs w:val="20"/>
        </w:rPr>
        <w:t>projekty lokalizacji zastrzeżonych miejsc postojowych dla pojazdów osób niepełnosprawnych.</w:t>
      </w:r>
    </w:p>
    <w:p w:rsidR="00C220F1" w:rsidRPr="00E00B35" w:rsidRDefault="00C220F1" w:rsidP="00E00B35">
      <w:pPr>
        <w:pStyle w:val="Tekstpodstawowy"/>
        <w:suppressAutoHyphens/>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Opiniowano projekty w następującym zakresie:</w:t>
      </w:r>
    </w:p>
    <w:p w:rsidR="008C7751" w:rsidRPr="00E00B35" w:rsidRDefault="008C7751" w:rsidP="00E00B35">
      <w:pPr>
        <w:pStyle w:val="Tekstpodstawowy"/>
        <w:numPr>
          <w:ilvl w:val="0"/>
          <w:numId w:val="29"/>
        </w:numPr>
        <w:suppressAutoHyphens/>
        <w:spacing w:after="0" w:line="312" w:lineRule="auto"/>
        <w:ind w:left="567" w:hanging="567"/>
        <w:rPr>
          <w:szCs w:val="20"/>
        </w:rPr>
      </w:pPr>
      <w:r w:rsidRPr="00E00B35">
        <w:rPr>
          <w:szCs w:val="20"/>
        </w:rPr>
        <w:t xml:space="preserve">obsługi komunikacyjnej; </w:t>
      </w:r>
    </w:p>
    <w:p w:rsidR="008C7751" w:rsidRPr="00E00B35" w:rsidRDefault="008C7751" w:rsidP="00E00B35">
      <w:pPr>
        <w:pStyle w:val="Tekstpodstawowy"/>
        <w:numPr>
          <w:ilvl w:val="0"/>
          <w:numId w:val="29"/>
        </w:numPr>
        <w:suppressAutoHyphens/>
        <w:spacing w:after="0" w:line="312" w:lineRule="auto"/>
        <w:ind w:left="567" w:hanging="567"/>
        <w:rPr>
          <w:szCs w:val="20"/>
        </w:rPr>
      </w:pPr>
      <w:r w:rsidRPr="00E00B35">
        <w:rPr>
          <w:szCs w:val="20"/>
        </w:rPr>
        <w:t xml:space="preserve">lokalizacji ogródków letnich; </w:t>
      </w:r>
    </w:p>
    <w:p w:rsidR="008C7751" w:rsidRPr="00E00B35" w:rsidRDefault="008C7751" w:rsidP="00E00B35">
      <w:pPr>
        <w:pStyle w:val="Tekstpodstawowy"/>
        <w:numPr>
          <w:ilvl w:val="0"/>
          <w:numId w:val="29"/>
        </w:numPr>
        <w:suppressAutoHyphens/>
        <w:spacing w:after="0" w:line="312" w:lineRule="auto"/>
        <w:ind w:left="567" w:hanging="567"/>
        <w:rPr>
          <w:szCs w:val="20"/>
        </w:rPr>
      </w:pPr>
      <w:r w:rsidRPr="00E00B35">
        <w:rPr>
          <w:szCs w:val="20"/>
        </w:rPr>
        <w:t>lokalizacji reklam.</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 xml:space="preserve">Wydano: </w:t>
      </w:r>
    </w:p>
    <w:p w:rsidR="008C7751" w:rsidRPr="00E00B35" w:rsidRDefault="008C7751" w:rsidP="00E00B35">
      <w:pPr>
        <w:pStyle w:val="Tekstpodstawowy"/>
        <w:numPr>
          <w:ilvl w:val="0"/>
          <w:numId w:val="128"/>
        </w:numPr>
        <w:suppressAutoHyphens/>
        <w:spacing w:after="0" w:line="312" w:lineRule="auto"/>
        <w:ind w:left="567" w:hanging="567"/>
        <w:rPr>
          <w:szCs w:val="20"/>
        </w:rPr>
      </w:pPr>
      <w:r w:rsidRPr="00E00B35">
        <w:rPr>
          <w:szCs w:val="20"/>
        </w:rPr>
        <w:t>decyzje na wykorzystanie dróg w sposób szczególny;</w:t>
      </w:r>
    </w:p>
    <w:p w:rsidR="008C7751" w:rsidRPr="00E00B35" w:rsidRDefault="008C7751" w:rsidP="00E00B35">
      <w:pPr>
        <w:pStyle w:val="Tekstpodstawowy"/>
        <w:numPr>
          <w:ilvl w:val="0"/>
          <w:numId w:val="128"/>
        </w:numPr>
        <w:suppressAutoHyphens/>
        <w:spacing w:after="0" w:line="312" w:lineRule="auto"/>
        <w:ind w:left="567" w:hanging="567"/>
        <w:rPr>
          <w:szCs w:val="20"/>
        </w:rPr>
      </w:pPr>
      <w:r w:rsidRPr="00E00B35">
        <w:rPr>
          <w:szCs w:val="20"/>
        </w:rPr>
        <w:t>zezwolenia na przejazd pojazdem nienormatywnym;</w:t>
      </w:r>
    </w:p>
    <w:p w:rsidR="008C7751" w:rsidRPr="00E00B35" w:rsidRDefault="008C7751" w:rsidP="00E00B35">
      <w:pPr>
        <w:pStyle w:val="Tekstpodstawowy"/>
        <w:numPr>
          <w:ilvl w:val="0"/>
          <w:numId w:val="128"/>
        </w:numPr>
        <w:suppressAutoHyphens/>
        <w:spacing w:after="0" w:line="312" w:lineRule="auto"/>
        <w:ind w:left="567" w:hanging="567"/>
        <w:rPr>
          <w:szCs w:val="20"/>
        </w:rPr>
      </w:pPr>
      <w:r w:rsidRPr="00E00B35">
        <w:rPr>
          <w:szCs w:val="20"/>
        </w:rPr>
        <w:t>zezwolenia na całodobowy wjazd do Wrocławia dla pojazdów o dmc powyżej 18t;</w:t>
      </w:r>
    </w:p>
    <w:p w:rsidR="008C7751" w:rsidRPr="00E00B35" w:rsidRDefault="008C7751" w:rsidP="00E00B35">
      <w:pPr>
        <w:pStyle w:val="Tekstpodstawowy"/>
        <w:numPr>
          <w:ilvl w:val="0"/>
          <w:numId w:val="128"/>
        </w:numPr>
        <w:suppressAutoHyphens/>
        <w:spacing w:after="0" w:line="312" w:lineRule="auto"/>
        <w:ind w:left="567" w:hanging="567"/>
        <w:rPr>
          <w:szCs w:val="20"/>
        </w:rPr>
      </w:pPr>
      <w:r w:rsidRPr="00E00B35">
        <w:rPr>
          <w:szCs w:val="20"/>
        </w:rPr>
        <w:t>identyfikatory na dojazd do cmentarzy, w celu zaopatrzenia stoisk handlowych w okresie Wszystkich Świętych;</w:t>
      </w:r>
    </w:p>
    <w:p w:rsidR="008C7751" w:rsidRPr="00E00B35" w:rsidRDefault="008C7751" w:rsidP="00E00B35">
      <w:pPr>
        <w:pStyle w:val="Tekstpodstawowy"/>
        <w:numPr>
          <w:ilvl w:val="0"/>
          <w:numId w:val="128"/>
        </w:numPr>
        <w:suppressAutoHyphens/>
        <w:spacing w:after="0" w:line="312" w:lineRule="auto"/>
        <w:ind w:left="567" w:hanging="567"/>
        <w:rPr>
          <w:szCs w:val="20"/>
        </w:rPr>
      </w:pPr>
      <w:r w:rsidRPr="00E00B35">
        <w:rPr>
          <w:szCs w:val="20"/>
        </w:rPr>
        <w:t>identyfikatory uprawniające do wjazdu pod znak B-1 w ścisłym centrum Wrocławia.</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Koordynowano działania związane z organizacją ruchu w okresie Wszystkich Świętych w rejonie wrocławskich nekropolii.</w:t>
      </w:r>
    </w:p>
    <w:p w:rsidR="008C7751" w:rsidRPr="00E00B35" w:rsidRDefault="008C7751" w:rsidP="00E00B35">
      <w:pPr>
        <w:pStyle w:val="Tekstpodstawowy"/>
        <w:suppressAutoHyphens/>
        <w:spacing w:after="0" w:line="312" w:lineRule="auto"/>
        <w:rPr>
          <w:szCs w:val="20"/>
        </w:rPr>
      </w:pPr>
      <w:r w:rsidRPr="00E00B35">
        <w:rPr>
          <w:szCs w:val="20"/>
        </w:rPr>
        <w:t>Prowadzono ciągły nadzór nad funkcjonowaniem ruchu w mieście poprzez obserwacje, objazdy, kontrole czasu przejazdu przez miasto. W wyniku tych obserwacji podjęto działania mające na celu poprawę bezpieczeństwa i płynności ruchu uczestników ruchu drogowego poprzez:</w:t>
      </w:r>
    </w:p>
    <w:p w:rsidR="008C7751" w:rsidRPr="00E00B35" w:rsidRDefault="008C7751" w:rsidP="00E00B35">
      <w:pPr>
        <w:pStyle w:val="Tekstpodstawowy"/>
        <w:numPr>
          <w:ilvl w:val="0"/>
          <w:numId w:val="30"/>
        </w:numPr>
        <w:suppressAutoHyphens/>
        <w:spacing w:after="0" w:line="312" w:lineRule="auto"/>
        <w:ind w:left="567" w:hanging="567"/>
        <w:rPr>
          <w:szCs w:val="20"/>
        </w:rPr>
      </w:pPr>
      <w:r w:rsidRPr="00E00B35">
        <w:rPr>
          <w:szCs w:val="20"/>
        </w:rPr>
        <w:t>korekty programów sygnalizacji świetlnych - korekta długości (wydłużenie) otwarć dla pieszych lub rowerzystów;</w:t>
      </w:r>
    </w:p>
    <w:p w:rsidR="008C7751" w:rsidRPr="00E00B35" w:rsidRDefault="008C7751" w:rsidP="00E00B35">
      <w:pPr>
        <w:pStyle w:val="Tekstpodstawowy"/>
        <w:numPr>
          <w:ilvl w:val="0"/>
          <w:numId w:val="30"/>
        </w:numPr>
        <w:suppressAutoHyphens/>
        <w:spacing w:after="0" w:line="312" w:lineRule="auto"/>
        <w:ind w:left="567" w:hanging="567"/>
        <w:rPr>
          <w:szCs w:val="20"/>
        </w:rPr>
      </w:pPr>
      <w:r w:rsidRPr="00E00B35">
        <w:rPr>
          <w:szCs w:val="20"/>
        </w:rPr>
        <w:lastRenderedPageBreak/>
        <w:t>zmiany harmonogramów tygodniowej pracy sygnalizacji świetlnej polegające na wprowadzeniu wydłużeniu pracy sygnalizacji świetlnej, w celu poprawy bezpieczeństwa;</w:t>
      </w:r>
    </w:p>
    <w:p w:rsidR="008C7751" w:rsidRPr="00E00B35" w:rsidRDefault="008C7751" w:rsidP="00E00B35">
      <w:pPr>
        <w:pStyle w:val="Tekstpodstawowy"/>
        <w:numPr>
          <w:ilvl w:val="0"/>
          <w:numId w:val="30"/>
        </w:numPr>
        <w:suppressAutoHyphens/>
        <w:spacing w:after="0" w:line="312" w:lineRule="auto"/>
        <w:ind w:left="567" w:hanging="567"/>
        <w:rPr>
          <w:szCs w:val="20"/>
        </w:rPr>
      </w:pPr>
      <w:r w:rsidRPr="00E00B35">
        <w:rPr>
          <w:szCs w:val="20"/>
        </w:rPr>
        <w:t>zmiany programów sygnalizacji;</w:t>
      </w:r>
    </w:p>
    <w:p w:rsidR="008C7751" w:rsidRPr="00E00B35" w:rsidRDefault="008C7751" w:rsidP="00E00B35">
      <w:pPr>
        <w:pStyle w:val="Tekstpodstawowy"/>
        <w:numPr>
          <w:ilvl w:val="0"/>
          <w:numId w:val="30"/>
        </w:numPr>
        <w:suppressAutoHyphens/>
        <w:spacing w:after="0" w:line="312" w:lineRule="auto"/>
        <w:ind w:left="567" w:hanging="567"/>
        <w:rPr>
          <w:szCs w:val="20"/>
        </w:rPr>
      </w:pPr>
      <w:r w:rsidRPr="00E00B35">
        <w:rPr>
          <w:szCs w:val="20"/>
        </w:rPr>
        <w:t>wydłużenie na sygnalizatorach otwarć zezwalających na ruch pojazdom komunikacji zbiorowej na skrzyżowaniach;</w:t>
      </w:r>
    </w:p>
    <w:p w:rsidR="008C7751" w:rsidRPr="00E00B35" w:rsidRDefault="008C7751" w:rsidP="00E00B35">
      <w:pPr>
        <w:pStyle w:val="Tekstpodstawowy"/>
        <w:numPr>
          <w:ilvl w:val="0"/>
          <w:numId w:val="30"/>
        </w:numPr>
        <w:suppressAutoHyphens/>
        <w:spacing w:after="0" w:line="312" w:lineRule="auto"/>
        <w:ind w:left="567" w:hanging="567"/>
        <w:rPr>
          <w:szCs w:val="20"/>
        </w:rPr>
      </w:pPr>
      <w:r w:rsidRPr="00E00B35">
        <w:rPr>
          <w:szCs w:val="20"/>
        </w:rPr>
        <w:t xml:space="preserve">poprawę koordynacji pracy sygnalizacji; </w:t>
      </w:r>
    </w:p>
    <w:p w:rsidR="008C7751" w:rsidRPr="00E00B35" w:rsidRDefault="008C7751" w:rsidP="00E00B35">
      <w:pPr>
        <w:pStyle w:val="Tekstpodstawowy"/>
        <w:numPr>
          <w:ilvl w:val="0"/>
          <w:numId w:val="30"/>
        </w:numPr>
        <w:suppressAutoHyphens/>
        <w:spacing w:after="0" w:line="312" w:lineRule="auto"/>
        <w:ind w:left="567" w:hanging="567"/>
        <w:rPr>
          <w:szCs w:val="20"/>
        </w:rPr>
      </w:pPr>
      <w:r w:rsidRPr="00E00B35">
        <w:rPr>
          <w:szCs w:val="20"/>
        </w:rPr>
        <w:t>dopasowanie długości światła zielonego do aktualnego natężenia ruchu.</w:t>
      </w:r>
    </w:p>
    <w:p w:rsidR="008C7751" w:rsidRPr="00E00B35" w:rsidRDefault="008C7751" w:rsidP="00E00B35">
      <w:pPr>
        <w:pStyle w:val="Tekstpodstawowy"/>
        <w:suppressAutoHyphens/>
        <w:spacing w:after="0" w:line="312" w:lineRule="auto"/>
        <w:rPr>
          <w:szCs w:val="20"/>
        </w:rPr>
      </w:pPr>
      <w:r w:rsidRPr="00E00B35">
        <w:rPr>
          <w:szCs w:val="20"/>
        </w:rPr>
        <w:t>Zgodnie z wydanym w 2016 roku Zarządzeniem Prezydenta w sprawie zasad i trybu rozpatrywania wniosków o wyznaczenie dodatkowych miejsc postojowych, zastrzeżonych dla pojazdów osób niepełnosprawnych w 2020 roku sporządzono 39 projekty na lokalizację „kopert” w pasie dróg publicznych Wrocławia.</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14StanowiskoPodpisujacego"/>
        <w:numPr>
          <w:ilvl w:val="1"/>
          <w:numId w:val="122"/>
        </w:numPr>
        <w:tabs>
          <w:tab w:val="left" w:pos="567"/>
        </w:tabs>
        <w:suppressAutoHyphens/>
        <w:spacing w:after="0" w:line="312" w:lineRule="auto"/>
        <w:jc w:val="left"/>
        <w:rPr>
          <w:b/>
          <w:sz w:val="20"/>
          <w:szCs w:val="20"/>
        </w:rPr>
      </w:pPr>
      <w:bookmarkStart w:id="917" w:name="_Toc32318680"/>
      <w:r w:rsidRPr="00E00B35">
        <w:rPr>
          <w:b/>
          <w:sz w:val="20"/>
          <w:szCs w:val="20"/>
        </w:rPr>
        <w:t xml:space="preserve">Wjazd pojazdów ciężarowych do miasta </w:t>
      </w:r>
      <w:bookmarkEnd w:id="917"/>
    </w:p>
    <w:p w:rsidR="008C7751" w:rsidRPr="00E00B35" w:rsidRDefault="008C7751" w:rsidP="00E00B35">
      <w:pPr>
        <w:pStyle w:val="Tekstpodstawowy"/>
        <w:suppressAutoHyphens/>
        <w:spacing w:after="0" w:line="312" w:lineRule="auto"/>
        <w:rPr>
          <w:szCs w:val="20"/>
        </w:rPr>
      </w:pPr>
      <w:r w:rsidRPr="00E00B35">
        <w:rPr>
          <w:szCs w:val="20"/>
        </w:rPr>
        <w:t xml:space="preserve">W 2011 roku w celu poprawy bezpieczeństwa ruchu drogowego oraz usprawnienia miejskiej komunikacji, a także poprawy przepustowości dróg na obszarze Wrocławia wprowadzono w ciągu dróg krajowych organizację ruchu zakazującą wjazd do Wrocławia dla pojazdów ciężarowych o dopuszczalnej masie całkowitej powyżej 18 ton, w godzinach szczytu komunikacyjnego i w godzinach nocnych. Zgodnie z zasadami wydawania zezwoleń, które co roku podlegają modyfikacji, jedynie firmy transportowe spełniające określone warunki otrzymują przepustki uprawniające do wjazdu na teren miasta. </w:t>
      </w:r>
    </w:p>
    <w:p w:rsidR="008C7751" w:rsidRPr="00E00B35" w:rsidRDefault="008C7751" w:rsidP="00E00B35">
      <w:pPr>
        <w:pStyle w:val="Akapitzlist"/>
        <w:numPr>
          <w:ilvl w:val="0"/>
          <w:numId w:val="18"/>
        </w:numPr>
        <w:spacing w:after="0" w:line="312" w:lineRule="auto"/>
        <w:ind w:left="567" w:hanging="283"/>
        <w:rPr>
          <w:szCs w:val="20"/>
        </w:rPr>
      </w:pPr>
      <w:r w:rsidRPr="00E00B35">
        <w:rPr>
          <w:szCs w:val="20"/>
        </w:rPr>
        <w:t>2011 rok – 6 720 szt.</w:t>
      </w:r>
    </w:p>
    <w:p w:rsidR="008C7751" w:rsidRPr="00E00B35" w:rsidRDefault="008C7751" w:rsidP="00E00B35">
      <w:pPr>
        <w:pStyle w:val="Akapitzlist"/>
        <w:numPr>
          <w:ilvl w:val="0"/>
          <w:numId w:val="18"/>
        </w:numPr>
        <w:spacing w:after="0" w:line="312" w:lineRule="auto"/>
        <w:ind w:left="567" w:hanging="283"/>
        <w:rPr>
          <w:szCs w:val="20"/>
        </w:rPr>
      </w:pPr>
      <w:r w:rsidRPr="00E00B35">
        <w:rPr>
          <w:szCs w:val="20"/>
        </w:rPr>
        <w:t>2012 rok – 5 200 szt.</w:t>
      </w:r>
    </w:p>
    <w:p w:rsidR="008C7751" w:rsidRPr="00E00B35" w:rsidRDefault="008C7751" w:rsidP="00E00B35">
      <w:pPr>
        <w:pStyle w:val="Akapitzlist"/>
        <w:numPr>
          <w:ilvl w:val="0"/>
          <w:numId w:val="18"/>
        </w:numPr>
        <w:spacing w:after="0" w:line="312" w:lineRule="auto"/>
        <w:ind w:left="567" w:hanging="283"/>
        <w:rPr>
          <w:szCs w:val="20"/>
        </w:rPr>
      </w:pPr>
      <w:r w:rsidRPr="00E00B35">
        <w:rPr>
          <w:szCs w:val="20"/>
        </w:rPr>
        <w:t>2013 rok – 4 117 szt.</w:t>
      </w:r>
    </w:p>
    <w:p w:rsidR="008C7751" w:rsidRPr="00E00B35" w:rsidRDefault="008C7751" w:rsidP="00E00B35">
      <w:pPr>
        <w:pStyle w:val="Akapitzlist"/>
        <w:numPr>
          <w:ilvl w:val="0"/>
          <w:numId w:val="18"/>
        </w:numPr>
        <w:spacing w:after="0" w:line="312" w:lineRule="auto"/>
        <w:ind w:left="567" w:hanging="283"/>
        <w:rPr>
          <w:szCs w:val="20"/>
        </w:rPr>
      </w:pPr>
      <w:r w:rsidRPr="00E00B35">
        <w:rPr>
          <w:szCs w:val="20"/>
        </w:rPr>
        <w:t xml:space="preserve">2014 rok – 4 272 szt. </w:t>
      </w:r>
    </w:p>
    <w:p w:rsidR="008C7751" w:rsidRPr="00E00B35" w:rsidRDefault="008C7751" w:rsidP="00E00B35">
      <w:pPr>
        <w:pStyle w:val="Akapitzlist"/>
        <w:numPr>
          <w:ilvl w:val="0"/>
          <w:numId w:val="18"/>
        </w:numPr>
        <w:spacing w:after="0" w:line="312" w:lineRule="auto"/>
        <w:ind w:left="567" w:hanging="283"/>
        <w:rPr>
          <w:szCs w:val="20"/>
        </w:rPr>
      </w:pPr>
      <w:r w:rsidRPr="00E00B35">
        <w:rPr>
          <w:szCs w:val="20"/>
        </w:rPr>
        <w:t>2015 rok – 3 793 szt.</w:t>
      </w:r>
    </w:p>
    <w:p w:rsidR="008C7751" w:rsidRPr="00E00B35" w:rsidRDefault="008C7751" w:rsidP="00E00B35">
      <w:pPr>
        <w:pStyle w:val="Akapitzlist"/>
        <w:numPr>
          <w:ilvl w:val="0"/>
          <w:numId w:val="18"/>
        </w:numPr>
        <w:spacing w:after="0" w:line="312" w:lineRule="auto"/>
        <w:ind w:left="567" w:hanging="283"/>
        <w:rPr>
          <w:szCs w:val="20"/>
        </w:rPr>
      </w:pPr>
      <w:r w:rsidRPr="00E00B35">
        <w:rPr>
          <w:szCs w:val="20"/>
        </w:rPr>
        <w:t>2016 rok – 3 786 szt.</w:t>
      </w:r>
    </w:p>
    <w:p w:rsidR="008C7751" w:rsidRPr="00E00B35" w:rsidRDefault="008C7751" w:rsidP="00E00B35">
      <w:pPr>
        <w:pStyle w:val="Akapitzlist"/>
        <w:numPr>
          <w:ilvl w:val="0"/>
          <w:numId w:val="18"/>
        </w:numPr>
        <w:spacing w:after="0" w:line="312" w:lineRule="auto"/>
        <w:ind w:left="567" w:hanging="283"/>
        <w:rPr>
          <w:szCs w:val="20"/>
        </w:rPr>
      </w:pPr>
      <w:r w:rsidRPr="00E00B35">
        <w:rPr>
          <w:szCs w:val="20"/>
        </w:rPr>
        <w:t>2017 rok – 3 198 szt.</w:t>
      </w:r>
    </w:p>
    <w:p w:rsidR="008C7751" w:rsidRPr="00E00B35" w:rsidRDefault="008C7751" w:rsidP="00E00B35">
      <w:pPr>
        <w:pStyle w:val="Akapitzlist"/>
        <w:numPr>
          <w:ilvl w:val="0"/>
          <w:numId w:val="18"/>
        </w:numPr>
        <w:spacing w:after="0" w:line="312" w:lineRule="auto"/>
        <w:ind w:left="567" w:hanging="283"/>
        <w:rPr>
          <w:szCs w:val="20"/>
        </w:rPr>
      </w:pPr>
      <w:r w:rsidRPr="00E00B35">
        <w:rPr>
          <w:szCs w:val="20"/>
        </w:rPr>
        <w:t>2018 rok – 2 820 szt.</w:t>
      </w:r>
    </w:p>
    <w:p w:rsidR="008C7751" w:rsidRPr="00E00B35" w:rsidRDefault="008C7751" w:rsidP="00E00B35">
      <w:pPr>
        <w:pStyle w:val="Akapitzlist"/>
        <w:numPr>
          <w:ilvl w:val="0"/>
          <w:numId w:val="18"/>
        </w:numPr>
        <w:spacing w:after="0" w:line="312" w:lineRule="auto"/>
        <w:ind w:left="567" w:hanging="283"/>
        <w:rPr>
          <w:szCs w:val="20"/>
        </w:rPr>
      </w:pPr>
      <w:r w:rsidRPr="00E00B35">
        <w:rPr>
          <w:szCs w:val="20"/>
        </w:rPr>
        <w:t>2019 rok – 3 696 szt.</w:t>
      </w:r>
    </w:p>
    <w:p w:rsidR="008C7751" w:rsidRPr="00E00B35" w:rsidRDefault="008C7751" w:rsidP="00E00B35">
      <w:pPr>
        <w:pStyle w:val="Akapitzlist"/>
        <w:numPr>
          <w:ilvl w:val="0"/>
          <w:numId w:val="18"/>
        </w:numPr>
        <w:spacing w:after="0" w:line="312" w:lineRule="auto"/>
        <w:ind w:left="567" w:hanging="283"/>
        <w:rPr>
          <w:szCs w:val="20"/>
        </w:rPr>
      </w:pPr>
      <w:r w:rsidRPr="00E00B35">
        <w:rPr>
          <w:szCs w:val="20"/>
        </w:rPr>
        <w:t>2020 rok – 2 119 szt.</w:t>
      </w:r>
    </w:p>
    <w:p w:rsidR="00C220F1" w:rsidRPr="00E00B35" w:rsidRDefault="00C220F1" w:rsidP="00E00B35">
      <w:pPr>
        <w:pStyle w:val="Akapitzlist"/>
        <w:spacing w:after="0" w:line="312" w:lineRule="auto"/>
        <w:ind w:left="567"/>
        <w:rPr>
          <w:szCs w:val="20"/>
        </w:rPr>
      </w:pPr>
    </w:p>
    <w:p w:rsidR="008C7751" w:rsidRPr="00E00B35" w:rsidRDefault="008C7751" w:rsidP="00E00B35">
      <w:pPr>
        <w:pStyle w:val="14StanowiskoPodpisujacego"/>
        <w:numPr>
          <w:ilvl w:val="1"/>
          <w:numId w:val="122"/>
        </w:numPr>
        <w:tabs>
          <w:tab w:val="left" w:pos="567"/>
        </w:tabs>
        <w:suppressAutoHyphens/>
        <w:spacing w:after="0" w:line="312" w:lineRule="auto"/>
        <w:jc w:val="left"/>
        <w:rPr>
          <w:b/>
          <w:sz w:val="20"/>
          <w:szCs w:val="20"/>
        </w:rPr>
      </w:pPr>
      <w:bookmarkStart w:id="918" w:name="_Toc32318681"/>
      <w:r w:rsidRPr="00E00B35">
        <w:rPr>
          <w:b/>
          <w:sz w:val="20"/>
          <w:szCs w:val="20"/>
        </w:rPr>
        <w:t>Kategoryzacja dróg na terenie Wrocławia</w:t>
      </w:r>
      <w:bookmarkEnd w:id="918"/>
    </w:p>
    <w:p w:rsidR="008C7751" w:rsidRPr="00E00B35" w:rsidRDefault="008C7751" w:rsidP="00E00B35">
      <w:pPr>
        <w:pStyle w:val="Tekstpodstawowy"/>
        <w:suppressAutoHyphens/>
        <w:spacing w:after="0" w:line="312" w:lineRule="auto"/>
        <w:rPr>
          <w:szCs w:val="20"/>
        </w:rPr>
      </w:pPr>
      <w:r w:rsidRPr="00E00B35">
        <w:rPr>
          <w:szCs w:val="20"/>
        </w:rPr>
        <w:t>Celem zadania było porządkowanie stanów terenowo prawnych dróg na terenie Wrocławia głównie poprzez nadawanie drogom (ulicom) odpowiedniej kategorii wynikającej z ustawy o drogach publicznych.</w:t>
      </w:r>
    </w:p>
    <w:p w:rsidR="008C7751" w:rsidRPr="00E00B35" w:rsidRDefault="008C7751" w:rsidP="00E00B35">
      <w:pPr>
        <w:spacing w:after="0" w:line="312" w:lineRule="auto"/>
        <w:rPr>
          <w:szCs w:val="20"/>
          <w:lang w:eastAsia="pl-PL"/>
        </w:rPr>
      </w:pPr>
      <w:r w:rsidRPr="00E00B35">
        <w:rPr>
          <w:szCs w:val="20"/>
          <w:lang w:eastAsia="pl-PL"/>
        </w:rPr>
        <w:t>W ramach realizacji zadania:</w:t>
      </w:r>
    </w:p>
    <w:p w:rsidR="008C7751" w:rsidRPr="00E00B35" w:rsidRDefault="008C7751" w:rsidP="00E00B35">
      <w:pPr>
        <w:pStyle w:val="Tekstpodstawowy"/>
        <w:numPr>
          <w:ilvl w:val="0"/>
          <w:numId w:val="31"/>
        </w:numPr>
        <w:suppressAutoHyphens/>
        <w:spacing w:after="0" w:line="312" w:lineRule="auto"/>
        <w:ind w:left="567" w:hanging="567"/>
        <w:rPr>
          <w:szCs w:val="20"/>
        </w:rPr>
      </w:pPr>
      <w:r w:rsidRPr="00E00B35">
        <w:rPr>
          <w:szCs w:val="20"/>
        </w:rPr>
        <w:t>zebrano, oceniono i zweryfikowano materiały niezbędne dla przygotowania projektów uchwał Rady Miejskiej Wrocławia w sprawie działań dotyczących sieci dróg we Wrocławiu - obejmujących ustalanie i opiniowanie ich przebiegu, nadawanie lub zmianę kategorii, wyłączenia z użytkowania;</w:t>
      </w:r>
    </w:p>
    <w:p w:rsidR="008C7751" w:rsidRPr="00E00B35" w:rsidRDefault="008C7751" w:rsidP="00E00B35">
      <w:pPr>
        <w:pStyle w:val="Tekstpodstawowy"/>
        <w:numPr>
          <w:ilvl w:val="0"/>
          <w:numId w:val="31"/>
        </w:numPr>
        <w:suppressAutoHyphens/>
        <w:spacing w:after="0" w:line="312" w:lineRule="auto"/>
        <w:ind w:left="567" w:hanging="567"/>
        <w:rPr>
          <w:szCs w:val="20"/>
        </w:rPr>
      </w:pPr>
      <w:r w:rsidRPr="00E00B35">
        <w:rPr>
          <w:szCs w:val="20"/>
        </w:rPr>
        <w:t xml:space="preserve">prowadzono niezbędne uzgodnienia z: Wydziałami UMW, Zarządem Dróg i Utrzymania, Generalną Dyrekcją Dróg Krajowych i Autostrad, Urzędem Wojewódzkim, Urzędem Marszałkowskim, Urzędami gmin ościennych; </w:t>
      </w:r>
    </w:p>
    <w:p w:rsidR="008C7751" w:rsidRPr="00E00B35" w:rsidRDefault="008C7751" w:rsidP="00E00B35">
      <w:pPr>
        <w:pStyle w:val="Tekstpodstawowy"/>
        <w:numPr>
          <w:ilvl w:val="0"/>
          <w:numId w:val="31"/>
        </w:numPr>
        <w:suppressAutoHyphens/>
        <w:spacing w:after="0" w:line="312" w:lineRule="auto"/>
        <w:ind w:left="567" w:hanging="567"/>
        <w:rPr>
          <w:szCs w:val="20"/>
        </w:rPr>
      </w:pPr>
      <w:r w:rsidRPr="00E00B35">
        <w:rPr>
          <w:szCs w:val="20"/>
        </w:rPr>
        <w:lastRenderedPageBreak/>
        <w:t>zgłaszano oraz opiniowano konieczność regulacji stanów terenowo - prawnych pasów drogowych (konieczne podziały geodezyjne, prostowanie bądź uzupełnianie zapisów w ewidencji gruntów ZGKiKM lub w wykazie dróg ZDiUM).</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spacing w:after="0" w:line="312" w:lineRule="auto"/>
        <w:rPr>
          <w:szCs w:val="20"/>
          <w:lang w:eastAsia="pl-PL"/>
        </w:rPr>
      </w:pPr>
      <w:r w:rsidRPr="00E00B35">
        <w:rPr>
          <w:szCs w:val="20"/>
          <w:lang w:eastAsia="pl-PL"/>
        </w:rPr>
        <w:t xml:space="preserve">W efekcie powyższych działań doprowadzono, między innymi, do uchwalenia następujących aktów prawnych: </w:t>
      </w:r>
    </w:p>
    <w:p w:rsidR="008C7751" w:rsidRPr="00E00B35" w:rsidRDefault="008C7751" w:rsidP="00E00B35">
      <w:pPr>
        <w:pStyle w:val="Tekstpodstawowy"/>
        <w:numPr>
          <w:ilvl w:val="0"/>
          <w:numId w:val="123"/>
        </w:numPr>
        <w:suppressAutoHyphens/>
        <w:spacing w:after="0" w:line="312" w:lineRule="auto"/>
        <w:ind w:left="567" w:hanging="567"/>
        <w:rPr>
          <w:szCs w:val="20"/>
        </w:rPr>
      </w:pPr>
      <w:r w:rsidRPr="00E00B35">
        <w:rPr>
          <w:szCs w:val="20"/>
        </w:rPr>
        <w:t>Uchwała nr XXIII/626/20 RMW z dnia 27 maja 2020 r. w sprawie pozbawienia kategorii drogi gminnej i wyłączenia z użytkowania części ulicy Mazowieckiej i Wybrzeże Juliusza Słowackiego we Wrocławiu;</w:t>
      </w:r>
    </w:p>
    <w:p w:rsidR="008C7751" w:rsidRPr="00E00B35" w:rsidRDefault="008C7751" w:rsidP="00E00B35">
      <w:pPr>
        <w:pStyle w:val="Tekstpodstawowy"/>
        <w:numPr>
          <w:ilvl w:val="0"/>
          <w:numId w:val="123"/>
        </w:numPr>
        <w:suppressAutoHyphens/>
        <w:spacing w:after="0" w:line="312" w:lineRule="auto"/>
        <w:ind w:left="567" w:hanging="567"/>
        <w:rPr>
          <w:szCs w:val="20"/>
        </w:rPr>
      </w:pPr>
      <w:r w:rsidRPr="00E00B35">
        <w:rPr>
          <w:szCs w:val="20"/>
        </w:rPr>
        <w:t>Uchwała nr XXIII/627/2 RMW z dnia 27 maja 2020 r. w sprawie zaliczenia ulicy Mieszczańskiej we Wrocławiu do kategorii dróg gminnych;</w:t>
      </w:r>
    </w:p>
    <w:p w:rsidR="008C7751" w:rsidRPr="00E00B35" w:rsidRDefault="008C7751" w:rsidP="00E00B35">
      <w:pPr>
        <w:pStyle w:val="Tekstpodstawowy"/>
        <w:numPr>
          <w:ilvl w:val="0"/>
          <w:numId w:val="123"/>
        </w:numPr>
        <w:suppressAutoHyphens/>
        <w:spacing w:after="0" w:line="312" w:lineRule="auto"/>
        <w:ind w:left="567" w:hanging="567"/>
        <w:rPr>
          <w:szCs w:val="20"/>
        </w:rPr>
      </w:pPr>
      <w:r w:rsidRPr="00E00B35">
        <w:rPr>
          <w:szCs w:val="20"/>
        </w:rPr>
        <w:t>Uchwała nr XXVI/718/20 RMW z dnia 17 września 2020 r. w sprawie zaliczenia ulic we Wrocławiu do kategorii dróg gminnych;</w:t>
      </w:r>
    </w:p>
    <w:p w:rsidR="008C7751" w:rsidRPr="00E00B35" w:rsidRDefault="008C7751" w:rsidP="00E00B35">
      <w:pPr>
        <w:pStyle w:val="Tekstpodstawowy"/>
        <w:numPr>
          <w:ilvl w:val="0"/>
          <w:numId w:val="123"/>
        </w:numPr>
        <w:suppressAutoHyphens/>
        <w:spacing w:after="0" w:line="312" w:lineRule="auto"/>
        <w:ind w:left="567" w:hanging="567"/>
        <w:rPr>
          <w:szCs w:val="20"/>
        </w:rPr>
      </w:pPr>
      <w:r w:rsidRPr="00E00B35">
        <w:rPr>
          <w:szCs w:val="20"/>
        </w:rPr>
        <w:t>Uchwała nr XXVI/720/20 RMW z dnia 17 września 2020 r. w sprawie ustalenia przebiegu istniejących dróg gminnych we Wrocławiu;</w:t>
      </w:r>
    </w:p>
    <w:p w:rsidR="008C7751" w:rsidRPr="00E00B35" w:rsidRDefault="008C7751" w:rsidP="00E00B35">
      <w:pPr>
        <w:pStyle w:val="Tekstpodstawowy"/>
        <w:numPr>
          <w:ilvl w:val="0"/>
          <w:numId w:val="123"/>
        </w:numPr>
        <w:suppressAutoHyphens/>
        <w:spacing w:after="0" w:line="312" w:lineRule="auto"/>
        <w:ind w:left="567" w:hanging="567"/>
        <w:rPr>
          <w:szCs w:val="20"/>
        </w:rPr>
      </w:pPr>
      <w:r w:rsidRPr="00E00B35">
        <w:rPr>
          <w:szCs w:val="20"/>
        </w:rPr>
        <w:t>Uchwała nr XXVI/719/20 RMW z dnia 17 września 2020 r. w sprawie pozbawienia kategorii drogi gminnej i wyłączenia z użytkowania ulicy Kresowej i ulicy Józefa Gielniaka we Wrocławiu.</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pStyle w:val="14StanowiskoPodpisujacego"/>
        <w:numPr>
          <w:ilvl w:val="1"/>
          <w:numId w:val="122"/>
        </w:numPr>
        <w:tabs>
          <w:tab w:val="left" w:pos="567"/>
        </w:tabs>
        <w:suppressAutoHyphens/>
        <w:spacing w:after="0" w:line="312" w:lineRule="auto"/>
        <w:jc w:val="left"/>
        <w:rPr>
          <w:b/>
          <w:sz w:val="20"/>
          <w:szCs w:val="20"/>
        </w:rPr>
      </w:pPr>
      <w:bookmarkStart w:id="919" w:name="_Toc32318682"/>
      <w:r w:rsidRPr="00E00B35">
        <w:rPr>
          <w:b/>
          <w:sz w:val="20"/>
          <w:szCs w:val="20"/>
        </w:rPr>
        <w:t>Inne działania</w:t>
      </w:r>
      <w:bookmarkEnd w:id="919"/>
    </w:p>
    <w:p w:rsidR="008C7751" w:rsidRPr="00E00B35" w:rsidRDefault="008C7751" w:rsidP="00E00B35">
      <w:pPr>
        <w:pStyle w:val="Tekstpodstawowy"/>
        <w:suppressAutoHyphens/>
        <w:spacing w:after="0" w:line="312" w:lineRule="auto"/>
        <w:rPr>
          <w:szCs w:val="20"/>
        </w:rPr>
      </w:pPr>
      <w:r w:rsidRPr="00E00B35">
        <w:rPr>
          <w:szCs w:val="20"/>
        </w:rPr>
        <w:t xml:space="preserve">W 2020 roku wydano 230 sztuk identyfikatorów uprawniających do wjazdu pod znak B-1 na teren Ostrowa Tumskiego oraz ulic w ścisłym centrum Wrocławia. </w:t>
      </w:r>
    </w:p>
    <w:p w:rsidR="008C7751" w:rsidRPr="00E00B35" w:rsidRDefault="008C7751" w:rsidP="00E00B35">
      <w:pPr>
        <w:pStyle w:val="Tekstpodstawowy"/>
        <w:suppressAutoHyphens/>
        <w:spacing w:after="0" w:line="312" w:lineRule="auto"/>
        <w:rPr>
          <w:szCs w:val="20"/>
        </w:rPr>
      </w:pPr>
      <w:r w:rsidRPr="00E00B35">
        <w:rPr>
          <w:szCs w:val="20"/>
        </w:rPr>
        <w:t xml:space="preserve">W ramach wykonywanych zadań koordynowano i wprowadzano aplikację oznakowania tonażowego na terenie miasta. </w:t>
      </w:r>
    </w:p>
    <w:p w:rsidR="008C7751" w:rsidRPr="00E00B35" w:rsidRDefault="008C7751" w:rsidP="00E00B35">
      <w:pPr>
        <w:pStyle w:val="Tekstpodstawowy"/>
        <w:suppressAutoHyphens/>
        <w:spacing w:after="0" w:line="312" w:lineRule="auto"/>
        <w:rPr>
          <w:szCs w:val="20"/>
        </w:rPr>
      </w:pPr>
      <w:r w:rsidRPr="00E00B35">
        <w:rPr>
          <w:szCs w:val="20"/>
        </w:rPr>
        <w:t>Dwa razy w roku dokonuje się przeglądu poprawności oznakowania pionowego i poziomego, w wyniku którego wprowadzane są bieżące korekty oraz pomiar czasu przejazdu przez miasto po trasach: wschód – zachód; północ – południe.</w:t>
      </w:r>
    </w:p>
    <w:p w:rsidR="008C7751" w:rsidRPr="00E00B35" w:rsidRDefault="008C7751" w:rsidP="00E00B35">
      <w:pPr>
        <w:pStyle w:val="Tekstpodstawowy"/>
        <w:suppressAutoHyphens/>
        <w:spacing w:after="0" w:line="312" w:lineRule="auto"/>
        <w:rPr>
          <w:szCs w:val="20"/>
        </w:rPr>
      </w:pPr>
      <w:r w:rsidRPr="00E00B35">
        <w:rPr>
          <w:szCs w:val="20"/>
        </w:rPr>
        <w:t>Prowadzona jest ścisła współpraca z Komendą Miejską Policji w celu pozyskania danych dotyczących wypadków oraz kolizji na terenie miasta Wrocławia.</w:t>
      </w:r>
    </w:p>
    <w:p w:rsidR="008C7751" w:rsidRPr="00E00B35" w:rsidRDefault="008C7751" w:rsidP="00E00B35">
      <w:pPr>
        <w:pStyle w:val="Tekstpodstawowy"/>
        <w:suppressAutoHyphens/>
        <w:spacing w:after="0" w:line="312" w:lineRule="auto"/>
        <w:rPr>
          <w:szCs w:val="20"/>
        </w:rPr>
      </w:pPr>
      <w:r w:rsidRPr="00E00B35">
        <w:rPr>
          <w:szCs w:val="20"/>
        </w:rPr>
        <w:t>W 2020 r.:</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Wydano 2 503 zatwierdzenia do projektów technicznych organizacji ruchu w tym, 297 docelowych oraz 2 206 tymczasowych;</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 xml:space="preserve">Dokonano 305 odbiorów i kontroli oznakowania w pasie drogowym; </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Załatwiono 1 085 wniosków z zakresu organizacji ruchu;</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Wzięto udział w 200 naradach i spotkaniach dotyczących inżynierii ruchu 200;</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Przeprowadzono 36 Komisji Bezpieczeństwa Ruchu Drogowego;</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Podczas Komisji Bezpieczeństwa Ruchu Drogowego rozpatrzono 1 008 wniosków;</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Opracowano 216 projektów technicznych zmian organizacji ruchu docelowego oraz programów sygnalizacji świetlnej;</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Opracowano 39 projektów technicznych lokalizacji zastrzeżonych miejsc postojowych dla pojazdów osób niepełnosprawnych;</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Wydano 547 opinii w zakresie obsługi komunikacyjnej;</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Wydano 289 opinii w zakresie lokalizacji ogródków letnich;</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Wydano 17 opinii w zakresie lokalizacji reklam;</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lastRenderedPageBreak/>
        <w:t>Wydano 13 decyzji w sprawie wykorzystania dróg w sposób szczególny: w tym 7 pozytywnych, 1 negatywną, 2 umorzono ze względu na Covid-19, 3 postępowania zawieszono ze względu na Covid -19;</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Wydano 42 zezwolenia na przejazd pojazdem nienormatywnym;</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Wydano 2 119 zezwolenia na całodobowy wjazd do Wrocławia dla pojazdów o dmc powyżej 18 t;</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Wydano 42 identyfikatory na dojazd do cmentarzy, w celu zaopatrzenia stoisk handlowych w okresie Wszystkich Świętych;</w:t>
      </w:r>
    </w:p>
    <w:p w:rsidR="008C7751" w:rsidRPr="00E00B35" w:rsidRDefault="008C7751" w:rsidP="00E00B35">
      <w:pPr>
        <w:pStyle w:val="Tekstpodstawowy"/>
        <w:numPr>
          <w:ilvl w:val="0"/>
          <w:numId w:val="124"/>
        </w:numPr>
        <w:suppressAutoHyphens/>
        <w:spacing w:after="0" w:line="312" w:lineRule="auto"/>
        <w:ind w:left="567" w:hanging="567"/>
        <w:rPr>
          <w:szCs w:val="20"/>
        </w:rPr>
      </w:pPr>
      <w:r w:rsidRPr="00E00B35">
        <w:rPr>
          <w:szCs w:val="20"/>
        </w:rPr>
        <w:t>Wydano 230 identyfikatorów uprawniające do wjazdu pod znak B-1 w ścisłym centrum Wrocławia.</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Nagwek4"/>
        <w:spacing w:before="0" w:after="0" w:line="312" w:lineRule="auto"/>
        <w:rPr>
          <w:sz w:val="20"/>
          <w:szCs w:val="20"/>
        </w:rPr>
      </w:pPr>
      <w:bookmarkStart w:id="920" w:name="_Toc3981125"/>
      <w:bookmarkStart w:id="921" w:name="_Toc3981221"/>
      <w:bookmarkStart w:id="922" w:name="_Toc66358347"/>
      <w:bookmarkEnd w:id="920"/>
      <w:bookmarkEnd w:id="921"/>
      <w:r w:rsidRPr="00E00B35">
        <w:rPr>
          <w:sz w:val="20"/>
          <w:szCs w:val="20"/>
        </w:rPr>
        <w:t>Rewitalizacja linii kolejowej nr 292</w:t>
      </w:r>
      <w:bookmarkEnd w:id="922"/>
    </w:p>
    <w:p w:rsidR="008C7751" w:rsidRPr="00E00B35" w:rsidRDefault="008C7751" w:rsidP="00E00B35">
      <w:pPr>
        <w:pStyle w:val="pogrubienie0"/>
        <w:spacing w:before="0" w:line="312" w:lineRule="auto"/>
        <w:jc w:val="left"/>
        <w:rPr>
          <w:rFonts w:eastAsia="Times New Roman"/>
          <w:b w:val="0"/>
          <w:bCs w:val="0"/>
          <w:lang w:eastAsia="pl-PL"/>
        </w:rPr>
      </w:pPr>
      <w:r w:rsidRPr="00E00B35">
        <w:rPr>
          <w:rFonts w:eastAsia="Times New Roman"/>
          <w:b w:val="0"/>
          <w:bCs w:val="0"/>
          <w:lang w:eastAsia="pl-PL"/>
        </w:rPr>
        <w:t>Prace w ramach Projektu „Rewitalizacja linii kolejowej nr 292 na odcinku Jelcz Miłoszyce - Wrocław Sołtysowice w celu przywrócenia przewozów we WrOF”.</w:t>
      </w:r>
    </w:p>
    <w:p w:rsidR="008C7751" w:rsidRPr="00E00B35" w:rsidRDefault="008C7751" w:rsidP="00E00B35">
      <w:pPr>
        <w:pStyle w:val="pogrubienie0"/>
        <w:spacing w:before="0" w:line="312" w:lineRule="auto"/>
        <w:jc w:val="left"/>
        <w:rPr>
          <w:rFonts w:eastAsia="Times New Roman"/>
          <w:b w:val="0"/>
          <w:bCs w:val="0"/>
          <w:lang w:eastAsia="pl-PL"/>
        </w:rPr>
      </w:pPr>
    </w:p>
    <w:p w:rsidR="008C7751" w:rsidRPr="00E00B35" w:rsidRDefault="008C7751" w:rsidP="00E00B35">
      <w:pPr>
        <w:spacing w:after="0" w:line="312" w:lineRule="auto"/>
        <w:rPr>
          <w:szCs w:val="20"/>
          <w:lang w:eastAsia="pl-PL"/>
        </w:rPr>
      </w:pPr>
      <w:r w:rsidRPr="00E00B35">
        <w:rPr>
          <w:szCs w:val="20"/>
          <w:lang w:eastAsia="pl-PL"/>
        </w:rPr>
        <w:t xml:space="preserve">Zadanie jest realizowane przy udziale środków z Unii Europejskiej w ramach osi priorytetowej nr 5: Transport, działanie 5.2.: „System Transportu Kolejowego”, poddziałanie nr 5.2.2: „System Transportu Kolejowego” – ZIT WrOF Regionalnego Programu Operacyjnego Województwa Dolnośląskiego 2014 - 2020. </w:t>
      </w:r>
    </w:p>
    <w:p w:rsidR="008C7751" w:rsidRPr="00E00B35" w:rsidRDefault="008C7751" w:rsidP="00E00B35">
      <w:pPr>
        <w:spacing w:after="0" w:line="312" w:lineRule="auto"/>
        <w:rPr>
          <w:szCs w:val="20"/>
        </w:rPr>
      </w:pPr>
      <w:r w:rsidRPr="00E00B35">
        <w:rPr>
          <w:rStyle w:val="pogrubienieZnak"/>
          <w:szCs w:val="20"/>
        </w:rPr>
        <w:t>Poniesione w 2020 roku nakłady na całe zadanie:</w:t>
      </w:r>
      <w:r w:rsidRPr="00E00B35">
        <w:rPr>
          <w:szCs w:val="20"/>
        </w:rPr>
        <w:t xml:space="preserve"> </w:t>
      </w:r>
      <w:r w:rsidRPr="00E00B35">
        <w:rPr>
          <w:rFonts w:cs="Helv"/>
          <w:szCs w:val="20"/>
        </w:rPr>
        <w:t>363</w:t>
      </w:r>
      <w:r w:rsidRPr="00E00B35">
        <w:rPr>
          <w:szCs w:val="20"/>
        </w:rPr>
        <w:t xml:space="preserve"> tys. zł</w:t>
      </w:r>
    </w:p>
    <w:p w:rsidR="008C7751" w:rsidRPr="00E00B35" w:rsidRDefault="008C7751" w:rsidP="00E00B35">
      <w:pPr>
        <w:pStyle w:val="Tekstpodstawowy"/>
        <w:suppressAutoHyphens/>
        <w:spacing w:after="0" w:line="312" w:lineRule="auto"/>
        <w:rPr>
          <w:szCs w:val="20"/>
        </w:rPr>
      </w:pPr>
      <w:r w:rsidRPr="00E00B35">
        <w:rPr>
          <w:szCs w:val="20"/>
        </w:rPr>
        <w:t xml:space="preserve">W 2020 roku realizowano zadania w koordynacji z PKP PLK S.A. mające na celu przywrócenie przewozów pasażerskich we Wrocławskim Obszarze Funkcjonalnym. Zakres gminy Wrocław to budowa parkingów przesiadkowych dla samochodów i rowerów, dojść pieszych do przystanków kolejowych w trzech lokalizacjach: Wojnów, Wojnów Wschodni, Strachocin. Wyłoniono i podpisano umowy z Wykonawcami wszystkich trzech zadań w trybie "zaprojektuj i wybuduj". </w:t>
      </w:r>
    </w:p>
    <w:p w:rsidR="008C7751" w:rsidRPr="00E00B35" w:rsidRDefault="008C7751" w:rsidP="00E00B35">
      <w:pPr>
        <w:pStyle w:val="Tekstpodstawowy"/>
        <w:suppressAutoHyphens/>
        <w:spacing w:after="0" w:line="312" w:lineRule="auto"/>
        <w:rPr>
          <w:szCs w:val="20"/>
        </w:rPr>
      </w:pPr>
      <w:r w:rsidRPr="00E00B35">
        <w:rPr>
          <w:szCs w:val="20"/>
        </w:rPr>
        <w:t>Zadanie 1. Wrocław Wojnów, w ramach którego zostanie wybudowany parking wraz z dwoma zadaszonymi wiatami rowerowymi bezpośrednio przy peronie przystanku kolejowego oraz brakujący ciąg pieszy w ul. Przy Torze - zakończono projekt techniczny i uzyskano pozwolenie na budowę. Trwają roboty budowlane. Termin zakończenia kwiecień 2021 r.</w:t>
      </w:r>
    </w:p>
    <w:p w:rsidR="008C7751" w:rsidRPr="00E00B35" w:rsidRDefault="008C7751" w:rsidP="00E00B35">
      <w:pPr>
        <w:pStyle w:val="Tekstpodstawowy"/>
        <w:suppressAutoHyphens/>
        <w:spacing w:after="0" w:line="312" w:lineRule="auto"/>
        <w:rPr>
          <w:szCs w:val="20"/>
        </w:rPr>
      </w:pPr>
      <w:r w:rsidRPr="00E00B35">
        <w:rPr>
          <w:szCs w:val="20"/>
        </w:rPr>
        <w:t>Zadanie 2. Wrocław Strachocin, w ramach którego został wybudowany ciąg pieszy łączący istniejący chodnik w ul. Zagrodniczej z przystankiem kolejowym oraz wiata rowerowa - zakończono projekt techniczny, uzyskano pozwolenie na budowę oraz zakończono roboty budowlane.</w:t>
      </w:r>
    </w:p>
    <w:p w:rsidR="008C7751" w:rsidRPr="00E00B35" w:rsidRDefault="008C7751" w:rsidP="00E00B35">
      <w:pPr>
        <w:spacing w:after="0" w:line="312" w:lineRule="auto"/>
        <w:rPr>
          <w:szCs w:val="20"/>
          <w:lang w:eastAsia="pl-PL"/>
        </w:r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46</w:t>
      </w:r>
      <w:r w:rsidR="00573162" w:rsidRPr="00E00B35">
        <w:rPr>
          <w:b/>
          <w:sz w:val="20"/>
          <w:szCs w:val="20"/>
        </w:rPr>
        <w:fldChar w:fldCharType="end"/>
      </w:r>
      <w:r w:rsidRPr="00E00B35">
        <w:rPr>
          <w:sz w:val="20"/>
          <w:szCs w:val="20"/>
        </w:rPr>
        <w:t>. Ciąg pieszy łączący istniejący chodnik w ul. Zagrodniczej z przystankiem kolejowym oraz wiata rowerowa</w:t>
      </w:r>
    </w:p>
    <w:p w:rsidR="008C7751" w:rsidRPr="00E00B35" w:rsidRDefault="008C7751" w:rsidP="00E00B35">
      <w:pPr>
        <w:spacing w:after="0" w:line="312" w:lineRule="auto"/>
        <w:rPr>
          <w:rFonts w:cs="Verdana"/>
          <w:color w:val="E36C0A" w:themeColor="accent6" w:themeShade="BF"/>
          <w:szCs w:val="20"/>
        </w:rPr>
      </w:pPr>
      <w:r w:rsidRPr="00E00B35">
        <w:rPr>
          <w:rFonts w:cs="Verdana"/>
          <w:noProof/>
          <w:color w:val="E36C0A" w:themeColor="accent6" w:themeShade="BF"/>
          <w:szCs w:val="20"/>
          <w:lang w:val="pl-PL" w:eastAsia="pl-PL" w:bidi="ar-SA"/>
        </w:rPr>
        <w:drawing>
          <wp:inline distT="0" distB="0" distL="0" distR="0">
            <wp:extent cx="4143299" cy="3107819"/>
            <wp:effectExtent l="19050" t="0" r="0" b="0"/>
            <wp:docPr id="55" name="Obraz 3" descr="Nowy chodnik, słupki chodnikowe zamontowane dla bezpieczeństwa pieszych, wiata rowerowa. Nowa infrastruktura w okolicy przystanku kolejowego Wrocław Stracho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NE\Moje dokumenty\Praca\Linia kolejowa 292_Jelcz Laskowice\Wrocław Strachocin_chodnik+wiata\Zdjęcia po\IMG_20200924_123017.jpg"/>
                    <pic:cNvPicPr>
                      <a:picLocks noChangeAspect="1" noChangeArrowheads="1"/>
                    </pic:cNvPicPr>
                  </pic:nvPicPr>
                  <pic:blipFill>
                    <a:blip r:embed="rId249" cstate="print"/>
                    <a:srcRect/>
                    <a:stretch>
                      <a:fillRect/>
                    </a:stretch>
                  </pic:blipFill>
                  <pic:spPr bwMode="auto">
                    <a:xfrm>
                      <a:off x="0" y="0"/>
                      <a:ext cx="4152665" cy="3114845"/>
                    </a:xfrm>
                    <a:prstGeom prst="rect">
                      <a:avLst/>
                    </a:prstGeom>
                    <a:noFill/>
                    <a:ln w="9525">
                      <a:noFill/>
                      <a:miter lim="800000"/>
                      <a:headEnd/>
                      <a:tailEnd/>
                    </a:ln>
                  </pic:spPr>
                </pic:pic>
              </a:graphicData>
            </a:graphic>
          </wp:inline>
        </w:drawing>
      </w:r>
    </w:p>
    <w:p w:rsidR="008C7751" w:rsidRPr="00E00B35" w:rsidRDefault="008C7751" w:rsidP="00E00B35">
      <w:pPr>
        <w:pStyle w:val="Tekstpodstawowy"/>
        <w:suppressAutoHyphens/>
        <w:spacing w:after="0" w:line="312" w:lineRule="auto"/>
        <w:rPr>
          <w:szCs w:val="20"/>
        </w:rPr>
      </w:pPr>
      <w:r w:rsidRPr="00E00B35">
        <w:rPr>
          <w:szCs w:val="20"/>
        </w:rPr>
        <w:t>Zadanie 3. Wrocław Wojnów Wschodni, w ramach którego zostanie wybudowana droga dojazdowa do przystanku kolejowego dł. ok. 170 mb wraz z wykonaniem przyulicznych miejsc postojowych. Dla zadania uzyskano zgłoszenie robót oraz pozwolenie na budowę. Trwają roboty budowlane. Termin zakończenia kwiecień 2021 r.</w:t>
      </w:r>
    </w:p>
    <w:p w:rsidR="008C7751" w:rsidRPr="00E00B35" w:rsidRDefault="008C7751" w:rsidP="00E00B35">
      <w:pPr>
        <w:suppressAutoHyphens/>
        <w:spacing w:after="0" w:line="312" w:lineRule="auto"/>
        <w:rPr>
          <w:szCs w:val="20"/>
        </w:rPr>
      </w:pPr>
    </w:p>
    <w:p w:rsidR="008C7751" w:rsidRPr="00E00B35" w:rsidRDefault="008C7751" w:rsidP="00E00B35">
      <w:pPr>
        <w:pStyle w:val="Nagwek4"/>
        <w:spacing w:before="0" w:after="0" w:line="312" w:lineRule="auto"/>
        <w:rPr>
          <w:sz w:val="20"/>
          <w:szCs w:val="20"/>
        </w:rPr>
      </w:pPr>
      <w:bookmarkStart w:id="923" w:name="_Toc66358348"/>
      <w:r w:rsidRPr="00E00B35">
        <w:rPr>
          <w:sz w:val="20"/>
          <w:szCs w:val="20"/>
        </w:rPr>
        <w:t>Wrocławski Węzeł Kolejowy</w:t>
      </w:r>
      <w:bookmarkEnd w:id="923"/>
    </w:p>
    <w:p w:rsidR="008C7751" w:rsidRPr="00E00B35" w:rsidRDefault="008C7751" w:rsidP="00E00B35">
      <w:pPr>
        <w:pStyle w:val="pogrubienie0"/>
        <w:spacing w:before="0" w:line="312" w:lineRule="auto"/>
        <w:jc w:val="left"/>
        <w:rPr>
          <w:rFonts w:eastAsia="Times New Roman"/>
          <w:b w:val="0"/>
          <w:bCs w:val="0"/>
          <w:lang w:eastAsia="pl-PL"/>
        </w:rPr>
      </w:pPr>
      <w:r w:rsidRPr="00E00B35">
        <w:rPr>
          <w:rFonts w:eastAsia="Times New Roman"/>
          <w:b w:val="0"/>
          <w:bCs w:val="0"/>
          <w:lang w:eastAsia="pl-PL"/>
        </w:rPr>
        <w:t>W 2020 roku kontynuowano współpracę z PKP PLK oraz z wybranym projektantem „Studium wykonalności Wrocławskiego Węzła Kolejowego”. Dokument pozwoli na rozpoznanie potrzeb w zakresie inwestycji kolejowych na terenie aglomeracji wrocławskiej i ma być narzędziem do planowania przyszłych inwestycji kolejowych. W ramach współpracy gminy Wrocław w zakresie realizowanego projektu przygotowano wytyczne w zakresie potrzeb kolejowych, modelowań transportowych oraz analiz przestrzennych. Współpraca z PKP w zakresie rozwoju Wrocławskiego Węzła Kolejowego będzie kontynuowana w 2021 roku. Uczestniczono w konsultacjach w ramach:</w:t>
      </w:r>
    </w:p>
    <w:p w:rsidR="008C7751" w:rsidRPr="00E00B35" w:rsidRDefault="008C7751" w:rsidP="00E00B35">
      <w:pPr>
        <w:pStyle w:val="Tekstpodstawowy"/>
        <w:numPr>
          <w:ilvl w:val="0"/>
          <w:numId w:val="65"/>
        </w:numPr>
        <w:tabs>
          <w:tab w:val="left" w:pos="567"/>
        </w:tabs>
        <w:suppressAutoHyphens/>
        <w:spacing w:after="0" w:line="312" w:lineRule="auto"/>
        <w:ind w:left="567" w:hanging="567"/>
        <w:rPr>
          <w:szCs w:val="20"/>
        </w:rPr>
      </w:pPr>
      <w:r w:rsidRPr="00E00B35">
        <w:rPr>
          <w:szCs w:val="20"/>
        </w:rPr>
        <w:t>Studium Wykonalności dla C-E 59 – odcinek Święta Katarzyna – Wrocław Brochów – Wrocław Muchobór/ Wrocław Kuźniki w ramach projektu Wstępne Studium Wykonalności dla Wrocławskiego Węzła Kolejowego, który dotyczy rozwiązań pozwalających na poprawę parametrów technicznych, a poprzez to skrócenie czasu przejazdu, zwiększenie przepustowości linii oraz wyeliminowanie wąskich gardeł w korytarzu C-E 59.</w:t>
      </w:r>
    </w:p>
    <w:p w:rsidR="008C7751" w:rsidRPr="00E00B35" w:rsidRDefault="008C7751" w:rsidP="00E00B35">
      <w:pPr>
        <w:pStyle w:val="Tekstpodstawowy"/>
        <w:numPr>
          <w:ilvl w:val="0"/>
          <w:numId w:val="65"/>
        </w:numPr>
        <w:tabs>
          <w:tab w:val="left" w:pos="567"/>
        </w:tabs>
        <w:suppressAutoHyphens/>
        <w:spacing w:after="0" w:line="312" w:lineRule="auto"/>
        <w:ind w:left="567" w:hanging="567"/>
        <w:rPr>
          <w:szCs w:val="20"/>
        </w:rPr>
      </w:pPr>
      <w:r w:rsidRPr="00E00B35">
        <w:rPr>
          <w:szCs w:val="20"/>
        </w:rPr>
        <w:t>Studium Wykonalności dla C-E 59 – odcinek Grabiszyn – Rzepin, dotyczącego zwiększenia konkurencyjności transportu kolejowego na linii kolejowej nr 273.</w:t>
      </w:r>
    </w:p>
    <w:p w:rsidR="008C7751" w:rsidRPr="00E00B35" w:rsidRDefault="008C7751" w:rsidP="00E00B35">
      <w:pPr>
        <w:pStyle w:val="Tekstpodstawowy"/>
        <w:numPr>
          <w:ilvl w:val="0"/>
          <w:numId w:val="65"/>
        </w:numPr>
        <w:tabs>
          <w:tab w:val="left" w:pos="567"/>
        </w:tabs>
        <w:suppressAutoHyphens/>
        <w:spacing w:after="0" w:line="312" w:lineRule="auto"/>
        <w:ind w:left="567" w:hanging="567"/>
        <w:rPr>
          <w:szCs w:val="20"/>
        </w:rPr>
      </w:pPr>
      <w:r w:rsidRPr="00E00B35">
        <w:rPr>
          <w:szCs w:val="20"/>
        </w:rPr>
        <w:t xml:space="preserve">Programu Kolejowego Centralnego Portu Komunikacyjnego, który dotyczy planowanej sieci kolei dużych prędkości w ramach projektu Centralnego Portu Komunikacyjnego. </w:t>
      </w:r>
    </w:p>
    <w:p w:rsidR="008C7751" w:rsidRDefault="008C7751" w:rsidP="00E00B35">
      <w:pPr>
        <w:spacing w:after="0" w:line="312" w:lineRule="auto"/>
        <w:rPr>
          <w:szCs w:val="20"/>
          <w:lang w:eastAsia="pl-PL"/>
        </w:rPr>
      </w:pPr>
      <w:r w:rsidRPr="00E00B35">
        <w:rPr>
          <w:szCs w:val="20"/>
          <w:lang w:eastAsia="pl-PL"/>
        </w:rPr>
        <w:lastRenderedPageBreak/>
        <w:t>W IV kwartale 2020 r. z inicjatywy Prezydenta Wrocławia powołano Stół Kolejowy czyli interdyscyplinarny zespół do współpracy PKP i Miasta w bieżących i strategicznych tematach, dotyczących rozwoju węzła kolejowego. Do zadań Zespołu należy kompleksowy proces wymiany opinii oraz uzgodnień stanowisk między służbami Miasta oraz szeroko rozumianymi podmiotami Spółki PKP. Proces ten będzie miał miejsce w formie cyklicznych spotkań przedstawicieli obu Stron.</w:t>
      </w:r>
    </w:p>
    <w:p w:rsidR="00B1753A" w:rsidRPr="00E00B35" w:rsidRDefault="00B1753A" w:rsidP="00E00B35">
      <w:pPr>
        <w:spacing w:after="0" w:line="312" w:lineRule="auto"/>
        <w:rPr>
          <w:szCs w:val="20"/>
          <w:lang w:eastAsia="pl-PL"/>
        </w:rPr>
      </w:pPr>
    </w:p>
    <w:p w:rsidR="008C7751" w:rsidRPr="00E00B35" w:rsidRDefault="008C7751" w:rsidP="00BC64AB">
      <w:pPr>
        <w:pStyle w:val="Nagwek3"/>
        <w:numPr>
          <w:ilvl w:val="0"/>
          <w:numId w:val="235"/>
        </w:numPr>
        <w:spacing w:after="0" w:line="312" w:lineRule="auto"/>
        <w:rPr>
          <w:sz w:val="20"/>
        </w:rPr>
      </w:pPr>
      <w:bookmarkStart w:id="924" w:name="_Toc66358349"/>
      <w:r w:rsidRPr="00E00B35">
        <w:rPr>
          <w:sz w:val="20"/>
        </w:rPr>
        <w:t>PLANOWANIE TRANSPORTU I MOBILNOŚCI</w:t>
      </w:r>
      <w:bookmarkStart w:id="925" w:name="_Toc32318705"/>
      <w:bookmarkEnd w:id="924"/>
    </w:p>
    <w:p w:rsidR="008C7751" w:rsidRPr="00E00B35" w:rsidRDefault="008C7751" w:rsidP="00E00B35">
      <w:pPr>
        <w:spacing w:after="0" w:line="312" w:lineRule="auto"/>
        <w:rPr>
          <w:szCs w:val="20"/>
        </w:rPr>
      </w:pPr>
    </w:p>
    <w:p w:rsidR="008C7751" w:rsidRPr="00E00B35" w:rsidRDefault="008C7751" w:rsidP="00E00B35">
      <w:pPr>
        <w:pStyle w:val="Nagwek4"/>
        <w:spacing w:before="0" w:after="0" w:line="312" w:lineRule="auto"/>
        <w:rPr>
          <w:sz w:val="20"/>
          <w:szCs w:val="20"/>
        </w:rPr>
      </w:pPr>
      <w:bookmarkStart w:id="926" w:name="_Toc66358350"/>
      <w:r w:rsidRPr="00E00B35">
        <w:rPr>
          <w:sz w:val="20"/>
          <w:szCs w:val="20"/>
        </w:rPr>
        <w:t>Wrocławska Polityka Mobilności</w:t>
      </w:r>
      <w:bookmarkEnd w:id="926"/>
    </w:p>
    <w:p w:rsidR="008C7751" w:rsidRPr="00E00B35" w:rsidRDefault="008C7751" w:rsidP="00E00B35">
      <w:pPr>
        <w:pStyle w:val="Tekstpodstawowy"/>
        <w:numPr>
          <w:ilvl w:val="0"/>
          <w:numId w:val="32"/>
        </w:numPr>
        <w:suppressAutoHyphens/>
        <w:spacing w:after="0" w:line="312" w:lineRule="auto"/>
        <w:ind w:left="567" w:hanging="567"/>
        <w:rPr>
          <w:szCs w:val="20"/>
        </w:rPr>
      </w:pPr>
      <w:r w:rsidRPr="00E00B35">
        <w:rPr>
          <w:szCs w:val="20"/>
        </w:rPr>
        <w:t>Przygotowano podsumowanie mierników i czynników za 2019 rok, będących elementami bieżącego monitoringu Wrocławskiej Polityki Mobilności;</w:t>
      </w:r>
    </w:p>
    <w:p w:rsidR="008C7751" w:rsidRPr="00E00B35" w:rsidRDefault="008C7751" w:rsidP="00E00B35">
      <w:pPr>
        <w:pStyle w:val="Tekstpodstawowy"/>
        <w:numPr>
          <w:ilvl w:val="0"/>
          <w:numId w:val="32"/>
        </w:numPr>
        <w:suppressAutoHyphens/>
        <w:spacing w:after="0" w:line="312" w:lineRule="auto"/>
        <w:ind w:left="567" w:hanging="567"/>
        <w:rPr>
          <w:szCs w:val="20"/>
        </w:rPr>
      </w:pPr>
      <w:r w:rsidRPr="00E00B35">
        <w:rPr>
          <w:szCs w:val="20"/>
        </w:rPr>
        <w:t>Zaprezentowano wyniki monitoringu Wrocławskiej Polityki Mobilności na stronie Biuletynu Informacji Publicznej;</w:t>
      </w:r>
    </w:p>
    <w:p w:rsidR="008C7751" w:rsidRPr="00E00B35" w:rsidRDefault="008C7751" w:rsidP="00E00B35">
      <w:pPr>
        <w:pStyle w:val="Tekstpodstawowy"/>
        <w:numPr>
          <w:ilvl w:val="0"/>
          <w:numId w:val="32"/>
        </w:numPr>
        <w:suppressAutoHyphens/>
        <w:spacing w:after="0" w:line="312" w:lineRule="auto"/>
        <w:ind w:left="567" w:hanging="567"/>
        <w:rPr>
          <w:szCs w:val="20"/>
        </w:rPr>
      </w:pPr>
      <w:r w:rsidRPr="00E00B35">
        <w:rPr>
          <w:szCs w:val="20"/>
        </w:rPr>
        <w:t>Organizowano i brano udział w pracach Rady Społecznej ds. Polityki Rowerowej;</w:t>
      </w:r>
    </w:p>
    <w:p w:rsidR="008C7751" w:rsidRPr="00E00B35" w:rsidRDefault="008C7751" w:rsidP="00E00B35">
      <w:pPr>
        <w:pStyle w:val="Tekstpodstawowy"/>
        <w:numPr>
          <w:ilvl w:val="0"/>
          <w:numId w:val="32"/>
        </w:numPr>
        <w:suppressAutoHyphens/>
        <w:spacing w:after="0" w:line="312" w:lineRule="auto"/>
        <w:ind w:left="567" w:hanging="567"/>
        <w:rPr>
          <w:szCs w:val="20"/>
        </w:rPr>
      </w:pPr>
      <w:r w:rsidRPr="00E00B35">
        <w:rPr>
          <w:szCs w:val="20"/>
        </w:rPr>
        <w:t xml:space="preserve">Organizowano i brano udział w pracach Rady Społecznej ds. Mobilności. </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pStyle w:val="Nagwek4"/>
        <w:spacing w:before="0" w:after="0" w:line="312" w:lineRule="auto"/>
        <w:rPr>
          <w:sz w:val="20"/>
          <w:szCs w:val="20"/>
        </w:rPr>
      </w:pPr>
      <w:bookmarkStart w:id="927" w:name="_Toc66358351"/>
      <w:r w:rsidRPr="00E00B35">
        <w:rPr>
          <w:sz w:val="20"/>
          <w:szCs w:val="20"/>
        </w:rPr>
        <w:t>Plan Zrównoważonej Mobilności Miejskiej dla Wrocławia pod hasłem „Ruch Miasta”</w:t>
      </w:r>
      <w:bookmarkEnd w:id="927"/>
    </w:p>
    <w:p w:rsidR="008C7751" w:rsidRPr="00E00B35" w:rsidRDefault="008C7751" w:rsidP="00E00B35">
      <w:pPr>
        <w:pStyle w:val="Tekstpodstawowy"/>
        <w:numPr>
          <w:ilvl w:val="0"/>
          <w:numId w:val="120"/>
        </w:numPr>
        <w:suppressAutoHyphens/>
        <w:spacing w:after="0" w:line="312" w:lineRule="auto"/>
        <w:ind w:left="567" w:hanging="567"/>
        <w:rPr>
          <w:szCs w:val="20"/>
        </w:rPr>
      </w:pPr>
      <w:r w:rsidRPr="00E00B35">
        <w:rPr>
          <w:szCs w:val="20"/>
        </w:rPr>
        <w:t>Przygotowano monitoring Planu Zrównoważonej Mobilności Miejskiej, w tym zebrano dane za rok 2019 wraz z odniesieniem do roku bazowego, oraz przygotowano raport z działań przeprowadzonych w 2019 roku, które wpisują się w realizację celów szczegółowych zawartych w Planie Zrównoważonej Mobilności Miejskiej;</w:t>
      </w:r>
    </w:p>
    <w:p w:rsidR="008C7751" w:rsidRPr="00E00B35" w:rsidRDefault="008C7751" w:rsidP="00E00B35">
      <w:pPr>
        <w:pStyle w:val="Tekstpodstawowy"/>
        <w:numPr>
          <w:ilvl w:val="0"/>
          <w:numId w:val="120"/>
        </w:numPr>
        <w:suppressAutoHyphens/>
        <w:spacing w:after="0" w:line="312" w:lineRule="auto"/>
        <w:ind w:left="567" w:hanging="567"/>
        <w:rPr>
          <w:szCs w:val="20"/>
        </w:rPr>
      </w:pPr>
      <w:r w:rsidRPr="00E00B35">
        <w:rPr>
          <w:szCs w:val="20"/>
        </w:rPr>
        <w:t>Opublikowano wyniki monitoringu Planu Zrównoważonej Mobilności Miejskiej na stronie Biuletynu Informacji Publicznej;</w:t>
      </w:r>
    </w:p>
    <w:p w:rsidR="008C7751" w:rsidRPr="00E00B35" w:rsidRDefault="008C7751" w:rsidP="00E00B35">
      <w:pPr>
        <w:pStyle w:val="Tekstpodstawowy"/>
        <w:numPr>
          <w:ilvl w:val="0"/>
          <w:numId w:val="120"/>
        </w:numPr>
        <w:suppressAutoHyphens/>
        <w:spacing w:after="0" w:line="312" w:lineRule="auto"/>
        <w:ind w:left="567" w:hanging="567"/>
        <w:rPr>
          <w:szCs w:val="20"/>
        </w:rPr>
      </w:pPr>
      <w:r w:rsidRPr="00E00B35">
        <w:rPr>
          <w:szCs w:val="20"/>
        </w:rPr>
        <w:t>Zapewniono wsparcie przy przygotowaniu materiału prezentującego Wrocław jako finalistę konkursu „8TH SUMP Award”;</w:t>
      </w:r>
    </w:p>
    <w:p w:rsidR="008C7751" w:rsidRPr="00E00B35" w:rsidRDefault="008C7751" w:rsidP="00E00B35">
      <w:pPr>
        <w:pStyle w:val="Tekstpodstawowy"/>
        <w:numPr>
          <w:ilvl w:val="0"/>
          <w:numId w:val="120"/>
        </w:numPr>
        <w:suppressAutoHyphens/>
        <w:spacing w:after="0" w:line="312" w:lineRule="auto"/>
        <w:ind w:left="567" w:hanging="567"/>
        <w:rPr>
          <w:szCs w:val="20"/>
        </w:rPr>
      </w:pPr>
      <w:r w:rsidRPr="00E00B35">
        <w:rPr>
          <w:szCs w:val="20"/>
        </w:rPr>
        <w:t>Udzielono wywiadu dla Politechniki Gdańskiej na potrzeby projektu „Public Policy addressing health-related behaviours In Europe”, którego częścią jest przeprowadzenie badań i analizy dotyczącej wzorców i różnic w przyjęciu Sustainable Urban Mobility Plan w różnych krajach i miastach europejskich;</w:t>
      </w:r>
    </w:p>
    <w:p w:rsidR="008C7751" w:rsidRPr="00E00B35" w:rsidRDefault="008C7751" w:rsidP="00E00B35">
      <w:pPr>
        <w:pStyle w:val="Tekstpodstawowy"/>
        <w:numPr>
          <w:ilvl w:val="0"/>
          <w:numId w:val="120"/>
        </w:numPr>
        <w:suppressAutoHyphens/>
        <w:spacing w:after="0" w:line="312" w:lineRule="auto"/>
        <w:ind w:left="567" w:hanging="567"/>
        <w:rPr>
          <w:szCs w:val="20"/>
        </w:rPr>
      </w:pPr>
      <w:r w:rsidRPr="00E00B35">
        <w:rPr>
          <w:szCs w:val="20"/>
        </w:rPr>
        <w:t>Wydano opinię do koncepcji generycznego Opisu Przedmiotu Zamówienia na opracowanie SUMP w ramach udziału Wrocławia w pracach Rady Eksperckiej do spraw Planów Zrównoważonej Mobilności Miejskiej powołanej przy Ministerstwie Infrastruktury;</w:t>
      </w:r>
    </w:p>
    <w:p w:rsidR="008C7751" w:rsidRPr="00E00B35" w:rsidRDefault="008C7751" w:rsidP="00E00B35">
      <w:pPr>
        <w:pStyle w:val="Tekstpodstawowy"/>
        <w:numPr>
          <w:ilvl w:val="0"/>
          <w:numId w:val="120"/>
        </w:numPr>
        <w:suppressAutoHyphens/>
        <w:spacing w:after="0" w:line="312" w:lineRule="auto"/>
        <w:ind w:left="567" w:hanging="567"/>
        <w:rPr>
          <w:szCs w:val="20"/>
        </w:rPr>
      </w:pPr>
      <w:r w:rsidRPr="00E00B35">
        <w:rPr>
          <w:szCs w:val="20"/>
        </w:rPr>
        <w:t>Brano udział w warsztatach dotyczących „Opracowania Planu Zrównoważonej Mobilności dla Miejskiego Obszaru Funkcjonalnego Wrocławia”;</w:t>
      </w:r>
    </w:p>
    <w:p w:rsidR="008C7751" w:rsidRPr="00E00B35" w:rsidRDefault="008C7751" w:rsidP="00E00B35">
      <w:pPr>
        <w:pStyle w:val="Tekstpodstawowy"/>
        <w:numPr>
          <w:ilvl w:val="0"/>
          <w:numId w:val="120"/>
        </w:numPr>
        <w:suppressAutoHyphens/>
        <w:spacing w:after="0" w:line="312" w:lineRule="auto"/>
        <w:ind w:left="567" w:hanging="567"/>
        <w:rPr>
          <w:szCs w:val="20"/>
        </w:rPr>
      </w:pPr>
      <w:r w:rsidRPr="00E00B35">
        <w:rPr>
          <w:szCs w:val="20"/>
        </w:rPr>
        <w:t>Wysłano listy intencyjne Prezydenta Wrocławia do przedsiębiorców oraz uczelni zachęcające do sporządzenia planów mobilności.</w:t>
      </w:r>
    </w:p>
    <w:p w:rsidR="008C7751" w:rsidRPr="00E00B35" w:rsidRDefault="008C7751" w:rsidP="00E00B35">
      <w:pPr>
        <w:spacing w:after="0" w:line="312" w:lineRule="auto"/>
        <w:rPr>
          <w:szCs w:val="20"/>
          <w:lang w:eastAsia="pl-PL"/>
        </w:rPr>
      </w:pPr>
      <w:r w:rsidRPr="00E00B35">
        <w:rPr>
          <w:b/>
          <w:szCs w:val="20"/>
          <w:lang w:eastAsia="pl-PL"/>
        </w:rPr>
        <w:br w:type="page"/>
      </w:r>
    </w:p>
    <w:p w:rsidR="008C7751" w:rsidRPr="00E00B35" w:rsidRDefault="008C7751" w:rsidP="00E00B35">
      <w:pPr>
        <w:pStyle w:val="Nagwek4"/>
        <w:spacing w:before="0" w:after="0" w:line="312" w:lineRule="auto"/>
        <w:rPr>
          <w:sz w:val="20"/>
          <w:szCs w:val="20"/>
        </w:rPr>
      </w:pPr>
      <w:bookmarkStart w:id="928" w:name="_Toc66358352"/>
      <w:r w:rsidRPr="00E00B35">
        <w:rPr>
          <w:sz w:val="20"/>
          <w:szCs w:val="20"/>
        </w:rPr>
        <w:lastRenderedPageBreak/>
        <w:t>Panel Obywatelski</w:t>
      </w:r>
      <w:bookmarkEnd w:id="928"/>
    </w:p>
    <w:p w:rsidR="008C7751" w:rsidRPr="00E00B35" w:rsidRDefault="008C7751" w:rsidP="00E00B35">
      <w:pPr>
        <w:pStyle w:val="Tekstpodstawowy"/>
        <w:numPr>
          <w:ilvl w:val="0"/>
          <w:numId w:val="125"/>
        </w:numPr>
        <w:suppressAutoHyphens/>
        <w:spacing w:after="0" w:line="312" w:lineRule="auto"/>
        <w:ind w:left="567" w:hanging="567"/>
        <w:rPr>
          <w:szCs w:val="20"/>
        </w:rPr>
      </w:pPr>
      <w:r w:rsidRPr="00E00B35">
        <w:rPr>
          <w:szCs w:val="20"/>
        </w:rPr>
        <w:t>Uczestniczono w przygotowaniu merytorycznym pierwszego we Wrocławiu Panelu Obywatelskiego;</w:t>
      </w:r>
    </w:p>
    <w:p w:rsidR="008C7751" w:rsidRPr="00E00B35" w:rsidRDefault="008C7751" w:rsidP="00E00B35">
      <w:pPr>
        <w:pStyle w:val="Tekstpodstawowy"/>
        <w:numPr>
          <w:ilvl w:val="0"/>
          <w:numId w:val="125"/>
        </w:numPr>
        <w:suppressAutoHyphens/>
        <w:spacing w:after="0" w:line="312" w:lineRule="auto"/>
        <w:ind w:left="567" w:hanging="567"/>
        <w:rPr>
          <w:szCs w:val="20"/>
        </w:rPr>
      </w:pPr>
      <w:r w:rsidRPr="00E00B35">
        <w:rPr>
          <w:szCs w:val="20"/>
        </w:rPr>
        <w:t>Opracowano materiały merytoryczne do tematu panelu, takie jak prezentacje, analizy przestrzenne, materiały edukacyjne dla panelistów na Dni Edukacyjne;</w:t>
      </w:r>
    </w:p>
    <w:p w:rsidR="008C7751" w:rsidRPr="00E00B35" w:rsidRDefault="008C7751" w:rsidP="00E00B35">
      <w:pPr>
        <w:pStyle w:val="Tekstpodstawowy"/>
        <w:numPr>
          <w:ilvl w:val="0"/>
          <w:numId w:val="125"/>
        </w:numPr>
        <w:suppressAutoHyphens/>
        <w:spacing w:after="0" w:line="312" w:lineRule="auto"/>
        <w:ind w:left="567" w:hanging="567"/>
        <w:rPr>
          <w:szCs w:val="20"/>
        </w:rPr>
      </w:pPr>
      <w:r w:rsidRPr="00E00B35">
        <w:rPr>
          <w:szCs w:val="20"/>
        </w:rPr>
        <w:t>Uczestniczono w spotkaniach panelistów jako strona prezentująca merytorycznie odniesienie do tematów panelu;</w:t>
      </w:r>
    </w:p>
    <w:p w:rsidR="008C7751" w:rsidRPr="00E00B35" w:rsidRDefault="008C7751" w:rsidP="00E00B35">
      <w:pPr>
        <w:pStyle w:val="Tekstpodstawowy"/>
        <w:numPr>
          <w:ilvl w:val="0"/>
          <w:numId w:val="125"/>
        </w:numPr>
        <w:suppressAutoHyphens/>
        <w:spacing w:after="0" w:line="312" w:lineRule="auto"/>
        <w:ind w:left="567" w:hanging="567"/>
        <w:rPr>
          <w:szCs w:val="20"/>
        </w:rPr>
      </w:pPr>
      <w:r w:rsidRPr="00E00B35">
        <w:rPr>
          <w:szCs w:val="20"/>
        </w:rPr>
        <w:t>Brano udział w odniesieniu merytorycznym do rekomendacji przekazanych przez panelistów.</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pStyle w:val="Nagwek4"/>
        <w:spacing w:before="0" w:after="0" w:line="312" w:lineRule="auto"/>
        <w:rPr>
          <w:sz w:val="20"/>
          <w:szCs w:val="20"/>
        </w:rPr>
      </w:pPr>
      <w:bookmarkStart w:id="929" w:name="_Toc66358353"/>
      <w:r w:rsidRPr="00E00B35">
        <w:rPr>
          <w:sz w:val="20"/>
          <w:szCs w:val="20"/>
        </w:rPr>
        <w:t>Zagadnienia transportowe i mobilnościowe w planowaniu przestrzennym</w:t>
      </w:r>
      <w:bookmarkEnd w:id="929"/>
    </w:p>
    <w:p w:rsidR="00890136" w:rsidRPr="00E00B35" w:rsidRDefault="00890136" w:rsidP="00E00B35">
      <w:pPr>
        <w:pStyle w:val="Nagwek4"/>
        <w:spacing w:before="0" w:after="0" w:line="312" w:lineRule="auto"/>
        <w:rPr>
          <w:sz w:val="20"/>
          <w:szCs w:val="20"/>
        </w:rPr>
      </w:pPr>
    </w:p>
    <w:p w:rsidR="008C7751" w:rsidRPr="00E00B35" w:rsidRDefault="008C7751" w:rsidP="00E00B35">
      <w:pPr>
        <w:pStyle w:val="14StanowiskoPodpisujacego"/>
        <w:numPr>
          <w:ilvl w:val="1"/>
          <w:numId w:val="32"/>
        </w:numPr>
        <w:tabs>
          <w:tab w:val="left" w:pos="567"/>
        </w:tabs>
        <w:suppressAutoHyphens/>
        <w:spacing w:after="0" w:line="312" w:lineRule="auto"/>
        <w:ind w:left="567" w:hanging="567"/>
        <w:jc w:val="left"/>
        <w:rPr>
          <w:b/>
          <w:sz w:val="20"/>
          <w:szCs w:val="20"/>
        </w:rPr>
      </w:pPr>
      <w:r w:rsidRPr="00E00B35">
        <w:rPr>
          <w:b/>
          <w:sz w:val="20"/>
          <w:szCs w:val="20"/>
        </w:rPr>
        <w:t>Miejscowe plany zagospodarowania przestrzennego</w:t>
      </w:r>
    </w:p>
    <w:p w:rsidR="008C7751" w:rsidRPr="00E00B35" w:rsidRDefault="008C7751" w:rsidP="00E00B35">
      <w:pPr>
        <w:spacing w:after="0" w:line="312" w:lineRule="auto"/>
        <w:rPr>
          <w:szCs w:val="20"/>
        </w:rPr>
      </w:pPr>
      <w:r w:rsidRPr="00E00B35">
        <w:rPr>
          <w:szCs w:val="20"/>
        </w:rPr>
        <w:t xml:space="preserve">Na bieżąco współpracowano z Biurem Rozwoju Wrocławia przy opracowaniu miejscowych planów zagospodarowania przestrzennego oraz Studium uwarunkowań i kierunków zagospodarowania przestrzennego Wrocławia w zakresie transportu i infrastruktury technicznej. </w:t>
      </w:r>
    </w:p>
    <w:p w:rsidR="008C7751" w:rsidRPr="00E00B35" w:rsidRDefault="008C7751" w:rsidP="00E00B35">
      <w:pPr>
        <w:spacing w:after="0" w:line="312" w:lineRule="auto"/>
        <w:rPr>
          <w:szCs w:val="20"/>
        </w:rPr>
      </w:pPr>
      <w:r w:rsidRPr="00E00B35">
        <w:rPr>
          <w:szCs w:val="20"/>
        </w:rPr>
        <w:t>W roku sprawozdawczym przeprowadzono zadania w zakresie:</w:t>
      </w:r>
    </w:p>
    <w:p w:rsidR="008C7751" w:rsidRPr="00E00B35" w:rsidRDefault="008C7751" w:rsidP="00E00B35">
      <w:pPr>
        <w:pStyle w:val="Tekstpodstawowy"/>
        <w:numPr>
          <w:ilvl w:val="0"/>
          <w:numId w:val="34"/>
        </w:numPr>
        <w:suppressAutoHyphens/>
        <w:spacing w:after="0" w:line="312" w:lineRule="auto"/>
        <w:ind w:left="567" w:hanging="567"/>
        <w:rPr>
          <w:szCs w:val="20"/>
        </w:rPr>
      </w:pPr>
      <w:r w:rsidRPr="00E00B35">
        <w:rPr>
          <w:szCs w:val="20"/>
        </w:rPr>
        <w:t>Ciągłej współpracy w przygotowywaniu projektów uchwał w sprawie przystąpień do sporządzania projektów miejscowych planów zagospodarowania przestrzennego;</w:t>
      </w:r>
    </w:p>
    <w:p w:rsidR="008C7751" w:rsidRPr="00E00B35" w:rsidRDefault="008C7751" w:rsidP="00E00B35">
      <w:pPr>
        <w:pStyle w:val="Tekstpodstawowy"/>
        <w:numPr>
          <w:ilvl w:val="0"/>
          <w:numId w:val="34"/>
        </w:numPr>
        <w:suppressAutoHyphens/>
        <w:spacing w:after="0" w:line="312" w:lineRule="auto"/>
        <w:ind w:left="567" w:hanging="567"/>
        <w:rPr>
          <w:szCs w:val="20"/>
        </w:rPr>
      </w:pPr>
      <w:r w:rsidRPr="00E00B35">
        <w:rPr>
          <w:szCs w:val="20"/>
        </w:rPr>
        <w:t>Opracowania 25 analiz branżowych z zakresu komunikacji i infrastruktury technicznej do projektów miejscowych planów zagospodarowania przestrzennego;</w:t>
      </w:r>
    </w:p>
    <w:p w:rsidR="008C7751" w:rsidRPr="00E00B35" w:rsidRDefault="008C7751" w:rsidP="00E00B35">
      <w:pPr>
        <w:pStyle w:val="Tekstpodstawowy"/>
        <w:numPr>
          <w:ilvl w:val="0"/>
          <w:numId w:val="34"/>
        </w:numPr>
        <w:suppressAutoHyphens/>
        <w:spacing w:after="0" w:line="312" w:lineRule="auto"/>
        <w:ind w:left="567" w:hanging="567"/>
        <w:rPr>
          <w:szCs w:val="20"/>
        </w:rPr>
      </w:pPr>
      <w:r w:rsidRPr="00E00B35">
        <w:rPr>
          <w:szCs w:val="20"/>
        </w:rPr>
        <w:t>Opracowywania projektów miejscowych planów zagospodarowania przestrzennego w zakresie transportowym, mobilnościowym oraz infrastrukturalnym;</w:t>
      </w:r>
    </w:p>
    <w:p w:rsidR="008C7751" w:rsidRPr="00E00B35" w:rsidRDefault="008C7751" w:rsidP="00E00B35">
      <w:pPr>
        <w:pStyle w:val="Tekstpodstawowy"/>
        <w:numPr>
          <w:ilvl w:val="0"/>
          <w:numId w:val="34"/>
        </w:numPr>
        <w:suppressAutoHyphens/>
        <w:spacing w:after="0" w:line="312" w:lineRule="auto"/>
        <w:ind w:left="567" w:hanging="567"/>
        <w:rPr>
          <w:szCs w:val="20"/>
        </w:rPr>
      </w:pPr>
      <w:r w:rsidRPr="00E00B35">
        <w:rPr>
          <w:szCs w:val="20"/>
        </w:rPr>
        <w:t>Przygotowywania wniosków i opinii do projektów miejscowych planów zagospodarowania przestrzennego lub studium uwarunkowań i kierunków zagospodarowania przestrzennego gmin ościennych.</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pStyle w:val="14StanowiskoPodpisujacego"/>
        <w:numPr>
          <w:ilvl w:val="1"/>
          <w:numId w:val="32"/>
        </w:numPr>
        <w:tabs>
          <w:tab w:val="left" w:pos="567"/>
        </w:tabs>
        <w:suppressAutoHyphens/>
        <w:spacing w:after="0" w:line="312" w:lineRule="auto"/>
        <w:ind w:left="567" w:hanging="567"/>
        <w:jc w:val="left"/>
        <w:rPr>
          <w:b/>
          <w:sz w:val="20"/>
          <w:szCs w:val="20"/>
        </w:rPr>
      </w:pPr>
      <w:r w:rsidRPr="00E00B35">
        <w:rPr>
          <w:b/>
          <w:sz w:val="20"/>
          <w:szCs w:val="20"/>
        </w:rPr>
        <w:t xml:space="preserve">Analizy transportowo – przestrzenne związane z rozwojem przestrzennym miasta </w:t>
      </w:r>
    </w:p>
    <w:p w:rsidR="008C7751" w:rsidRPr="00E00B35" w:rsidRDefault="008C7751" w:rsidP="00E00B35">
      <w:pPr>
        <w:pStyle w:val="Tekstpodstawowy"/>
        <w:numPr>
          <w:ilvl w:val="0"/>
          <w:numId w:val="35"/>
        </w:numPr>
        <w:suppressAutoHyphens/>
        <w:spacing w:after="0" w:line="312" w:lineRule="auto"/>
        <w:ind w:left="567" w:hanging="567"/>
        <w:rPr>
          <w:szCs w:val="20"/>
        </w:rPr>
      </w:pPr>
      <w:r w:rsidRPr="00E00B35">
        <w:rPr>
          <w:szCs w:val="20"/>
        </w:rPr>
        <w:t>Wykonano oraz zaprezentowano jednostkom miejskim „Analizę predyspozycji terenów do zagospodarowania”, jako narzędzie wsparcia dla wydawanych decyzji administracyjnych i ustalania zakresu realizacji niezbędnego układu transportowego do uruchomienia inwestycji;</w:t>
      </w:r>
    </w:p>
    <w:p w:rsidR="008C7751" w:rsidRPr="00E00B35" w:rsidRDefault="008C7751" w:rsidP="00E00B35">
      <w:pPr>
        <w:pStyle w:val="Tekstpodstawowy"/>
        <w:numPr>
          <w:ilvl w:val="0"/>
          <w:numId w:val="35"/>
        </w:numPr>
        <w:suppressAutoHyphens/>
        <w:spacing w:after="0" w:line="312" w:lineRule="auto"/>
        <w:ind w:left="567" w:hanging="567"/>
        <w:rPr>
          <w:szCs w:val="20"/>
        </w:rPr>
      </w:pPr>
      <w:r w:rsidRPr="00E00B35">
        <w:rPr>
          <w:szCs w:val="20"/>
        </w:rPr>
        <w:t>Wydano wytyczne mobilnościowe do konkursu w ramach projektu Akupunktura Miasta dla tematu „Serce Celiny”, wzięto udział w warsztatach oraz wydano opinie do prac konkursowych;</w:t>
      </w:r>
    </w:p>
    <w:p w:rsidR="008C7751" w:rsidRPr="00E00B35" w:rsidRDefault="008C7751" w:rsidP="00E00B35">
      <w:pPr>
        <w:pStyle w:val="Tekstpodstawowy"/>
        <w:numPr>
          <w:ilvl w:val="0"/>
          <w:numId w:val="35"/>
        </w:numPr>
        <w:suppressAutoHyphens/>
        <w:spacing w:after="0" w:line="312" w:lineRule="auto"/>
        <w:ind w:left="567" w:hanging="567"/>
        <w:rPr>
          <w:szCs w:val="20"/>
        </w:rPr>
      </w:pPr>
      <w:r w:rsidRPr="00E00B35">
        <w:rPr>
          <w:szCs w:val="20"/>
        </w:rPr>
        <w:t>Wydano wytyczne mobilnościowe do projektu drugiej edycji Osiedli Kompletnych;</w:t>
      </w:r>
    </w:p>
    <w:p w:rsidR="008C7751" w:rsidRPr="00E00B35" w:rsidRDefault="008C7751" w:rsidP="00E00B35">
      <w:pPr>
        <w:pStyle w:val="Tekstpodstawowy"/>
        <w:numPr>
          <w:ilvl w:val="0"/>
          <w:numId w:val="35"/>
        </w:numPr>
        <w:suppressAutoHyphens/>
        <w:spacing w:after="0" w:line="312" w:lineRule="auto"/>
        <w:ind w:left="567" w:hanging="567"/>
        <w:rPr>
          <w:szCs w:val="20"/>
        </w:rPr>
      </w:pPr>
      <w:r w:rsidRPr="00E00B35">
        <w:rPr>
          <w:szCs w:val="20"/>
        </w:rPr>
        <w:t>Przekazano dane z zakresu mobilności do wskaźników bazowych monitorujących realizację Miejskiego Planu Adaptacji do Zmian Klimatu;</w:t>
      </w:r>
    </w:p>
    <w:p w:rsidR="008C7751" w:rsidRPr="00E00B35" w:rsidRDefault="008C7751" w:rsidP="00E00B35">
      <w:pPr>
        <w:pStyle w:val="Tekstpodstawowy"/>
        <w:numPr>
          <w:ilvl w:val="0"/>
          <w:numId w:val="35"/>
        </w:numPr>
        <w:suppressAutoHyphens/>
        <w:spacing w:after="0" w:line="312" w:lineRule="auto"/>
        <w:ind w:left="567" w:hanging="567"/>
        <w:rPr>
          <w:szCs w:val="20"/>
        </w:rPr>
      </w:pPr>
      <w:r w:rsidRPr="00E00B35">
        <w:rPr>
          <w:szCs w:val="20"/>
        </w:rPr>
        <w:t>Przekazano dane z zakresu mobilności do wskaźników bazowych Strategii 2030;</w:t>
      </w:r>
    </w:p>
    <w:p w:rsidR="008C7751" w:rsidRPr="00E00B35" w:rsidRDefault="008C7751" w:rsidP="00E00B35">
      <w:pPr>
        <w:pStyle w:val="Tekstpodstawowy"/>
        <w:numPr>
          <w:ilvl w:val="0"/>
          <w:numId w:val="35"/>
        </w:numPr>
        <w:suppressAutoHyphens/>
        <w:spacing w:after="0" w:line="312" w:lineRule="auto"/>
        <w:ind w:left="567" w:hanging="567"/>
        <w:rPr>
          <w:szCs w:val="20"/>
        </w:rPr>
      </w:pPr>
      <w:r w:rsidRPr="00E00B35">
        <w:rPr>
          <w:szCs w:val="20"/>
        </w:rPr>
        <w:t>Przygotowano prezentację dotyczącą polityki parkingowej w centrum miasta dla funkcji mieszkaniowej na podstawie dokumentów strategicznych, planistycznych oraz w odniesieniu do polityk miejskich w innych krajach;</w:t>
      </w:r>
    </w:p>
    <w:p w:rsidR="008C7751" w:rsidRPr="00E00B35" w:rsidRDefault="008C7751" w:rsidP="00E00B35">
      <w:pPr>
        <w:pStyle w:val="Tekstpodstawowy"/>
        <w:numPr>
          <w:ilvl w:val="0"/>
          <w:numId w:val="35"/>
        </w:numPr>
        <w:suppressAutoHyphens/>
        <w:spacing w:after="0" w:line="312" w:lineRule="auto"/>
        <w:ind w:left="567" w:hanging="567"/>
        <w:rPr>
          <w:szCs w:val="20"/>
        </w:rPr>
      </w:pPr>
      <w:r w:rsidRPr="00E00B35">
        <w:rPr>
          <w:szCs w:val="20"/>
        </w:rPr>
        <w:lastRenderedPageBreak/>
        <w:t>Wykonano szkice rozwiązań skrzyżowania ulicy Wyścigowej z aleją Karkonoską dla poprawy funkcjonowania obszaru rozwoju zabudowy;</w:t>
      </w:r>
    </w:p>
    <w:p w:rsidR="008C7751" w:rsidRPr="00E00B35" w:rsidRDefault="008C7751" w:rsidP="00E00B35">
      <w:pPr>
        <w:pStyle w:val="Tekstpodstawowy"/>
        <w:numPr>
          <w:ilvl w:val="0"/>
          <w:numId w:val="35"/>
        </w:numPr>
        <w:suppressAutoHyphens/>
        <w:spacing w:after="0" w:line="312" w:lineRule="auto"/>
        <w:ind w:left="567" w:hanging="567"/>
        <w:rPr>
          <w:szCs w:val="20"/>
        </w:rPr>
      </w:pPr>
      <w:r w:rsidRPr="00E00B35">
        <w:rPr>
          <w:szCs w:val="20"/>
        </w:rPr>
        <w:t>Przeprowadzono analizę możliwości wprowadzenia połączenia pieszo – rowerowego pomiędzy ulicą Gnieźnieńską, a ulicą Łowiecką równolegle do linii kolejowej numer 143, w związku z możliwą przebudową ciepłociągu na niezależny obiekt inżynierski;</w:t>
      </w:r>
    </w:p>
    <w:p w:rsidR="008C7751" w:rsidRPr="00E00B35" w:rsidRDefault="008C7751" w:rsidP="00E00B35">
      <w:pPr>
        <w:pStyle w:val="Tekstpodstawowy"/>
        <w:numPr>
          <w:ilvl w:val="0"/>
          <w:numId w:val="35"/>
        </w:numPr>
        <w:suppressAutoHyphens/>
        <w:spacing w:after="0" w:line="312" w:lineRule="auto"/>
        <w:ind w:left="567" w:hanging="567"/>
        <w:rPr>
          <w:szCs w:val="20"/>
        </w:rPr>
      </w:pPr>
      <w:r w:rsidRPr="00E00B35">
        <w:rPr>
          <w:szCs w:val="20"/>
        </w:rPr>
        <w:t>Przeprowadzono analizę rozwiązań tunelowych pod linią kolejową numer 143 dla polepszenia dostępności do przystanków komunikacji zbiorowej;</w:t>
      </w:r>
    </w:p>
    <w:p w:rsidR="008C7751" w:rsidRPr="00E00B35" w:rsidRDefault="008C7751" w:rsidP="00E00B35">
      <w:pPr>
        <w:pStyle w:val="Tekstpodstawowy"/>
        <w:numPr>
          <w:ilvl w:val="0"/>
          <w:numId w:val="35"/>
        </w:numPr>
        <w:suppressAutoHyphens/>
        <w:spacing w:after="0" w:line="312" w:lineRule="auto"/>
        <w:ind w:left="567" w:hanging="567"/>
        <w:rPr>
          <w:szCs w:val="20"/>
        </w:rPr>
      </w:pPr>
      <w:r w:rsidRPr="00E00B35">
        <w:rPr>
          <w:szCs w:val="20"/>
        </w:rPr>
        <w:t>Przygotowano analizę w zakresie poprawy dostępności osiedla Sołtysowice przy potencjalnym rozwoju terenów przy ulicy Poprzecznej;</w:t>
      </w:r>
    </w:p>
    <w:p w:rsidR="008C7751" w:rsidRPr="00E00B35" w:rsidRDefault="008C7751" w:rsidP="00E00B35">
      <w:pPr>
        <w:pStyle w:val="Tekstpodstawowy"/>
        <w:numPr>
          <w:ilvl w:val="0"/>
          <w:numId w:val="35"/>
        </w:numPr>
        <w:suppressAutoHyphens/>
        <w:spacing w:after="0" w:line="312" w:lineRule="auto"/>
        <w:ind w:left="567" w:hanging="567"/>
        <w:rPr>
          <w:szCs w:val="20"/>
        </w:rPr>
      </w:pPr>
      <w:r w:rsidRPr="00E00B35">
        <w:rPr>
          <w:szCs w:val="20"/>
        </w:rPr>
        <w:t>Kontynuowano prace nad rozwojem terenów inwestycyjnych w rejonie ulicy Zatorskiej. Przygotowano model inwestycyjny dla etapowego powstawania nowego układu komunikacyjnego dla obsługi osiedla.</w:t>
      </w:r>
    </w:p>
    <w:p w:rsidR="00C220F1" w:rsidRPr="00E00B35" w:rsidRDefault="00C220F1" w:rsidP="00E00B35">
      <w:pPr>
        <w:pStyle w:val="Tekstpodstawowy"/>
        <w:suppressAutoHyphens/>
        <w:spacing w:after="0" w:line="312" w:lineRule="auto"/>
        <w:ind w:left="567"/>
        <w:rPr>
          <w:szCs w:val="20"/>
        </w:rPr>
      </w:pPr>
    </w:p>
    <w:p w:rsidR="008C7751" w:rsidRPr="00E00B35" w:rsidRDefault="008C7751" w:rsidP="00E00B35">
      <w:pPr>
        <w:pStyle w:val="14StanowiskoPodpisujacego"/>
        <w:numPr>
          <w:ilvl w:val="1"/>
          <w:numId w:val="32"/>
        </w:numPr>
        <w:tabs>
          <w:tab w:val="left" w:pos="567"/>
        </w:tabs>
        <w:suppressAutoHyphens/>
        <w:spacing w:after="0" w:line="312" w:lineRule="auto"/>
        <w:ind w:left="567" w:hanging="567"/>
        <w:jc w:val="left"/>
        <w:rPr>
          <w:b/>
          <w:sz w:val="20"/>
          <w:szCs w:val="20"/>
        </w:rPr>
      </w:pPr>
      <w:r w:rsidRPr="00E00B35">
        <w:rPr>
          <w:b/>
          <w:sz w:val="20"/>
          <w:szCs w:val="20"/>
        </w:rPr>
        <w:t>Wytyczne i opiniowanie</w:t>
      </w:r>
    </w:p>
    <w:p w:rsidR="008C7751" w:rsidRPr="00E00B35" w:rsidRDefault="008C7751" w:rsidP="00E00B35">
      <w:pPr>
        <w:pStyle w:val="Tekstpodstawowy"/>
        <w:numPr>
          <w:ilvl w:val="0"/>
          <w:numId w:val="36"/>
        </w:numPr>
        <w:suppressAutoHyphens/>
        <w:spacing w:after="0" w:line="312" w:lineRule="auto"/>
        <w:ind w:left="567" w:hanging="567"/>
        <w:rPr>
          <w:szCs w:val="20"/>
        </w:rPr>
      </w:pPr>
      <w:r w:rsidRPr="00E00B35">
        <w:rPr>
          <w:szCs w:val="20"/>
        </w:rPr>
        <w:t>Uczestniczono w spotkaniach z jednostkami prowadzącymi projekty miejskie: Zarząd Dróg i Utrzymania Miasta, Wydział Inżynierii Miejskiej, Wrocławskie Inwestycje i Zarząd Inwestycji Miejskich w zakresie koordynacji planowanych zadań komunikacyjnych oraz sprawdzania zgodności inwestycji drogowych z planami rozwoju transportu i mobilności miejskiej;</w:t>
      </w:r>
    </w:p>
    <w:p w:rsidR="008C7751" w:rsidRPr="00E00B35" w:rsidRDefault="008C7751" w:rsidP="00E00B35">
      <w:pPr>
        <w:pStyle w:val="Tekstpodstawowy"/>
        <w:numPr>
          <w:ilvl w:val="0"/>
          <w:numId w:val="36"/>
        </w:numPr>
        <w:suppressAutoHyphens/>
        <w:spacing w:after="0" w:line="312" w:lineRule="auto"/>
        <w:ind w:left="567" w:hanging="567"/>
        <w:rPr>
          <w:szCs w:val="20"/>
        </w:rPr>
      </w:pPr>
      <w:r w:rsidRPr="00E00B35">
        <w:rPr>
          <w:szCs w:val="20"/>
        </w:rPr>
        <w:t>Wydano wytyczne oraz opinie do koncepcji oraz projektów dla ul. Szczecińskiej, Traktatowej, Otyńskiej, Koszarowej, Asfaltowej oraz Bolkowskiej;</w:t>
      </w:r>
    </w:p>
    <w:p w:rsidR="008C7751" w:rsidRPr="00E00B35" w:rsidRDefault="008C7751" w:rsidP="00E00B35">
      <w:pPr>
        <w:pStyle w:val="Tekstpodstawowy"/>
        <w:numPr>
          <w:ilvl w:val="0"/>
          <w:numId w:val="36"/>
        </w:numPr>
        <w:suppressAutoHyphens/>
        <w:spacing w:after="0" w:line="312" w:lineRule="auto"/>
        <w:ind w:left="567" w:hanging="567"/>
        <w:rPr>
          <w:szCs w:val="20"/>
        </w:rPr>
      </w:pPr>
      <w:r w:rsidRPr="00E00B35">
        <w:rPr>
          <w:szCs w:val="20"/>
        </w:rPr>
        <w:t>Prowadzono opiniowanie dokumentacji projektowej dla ul. Gajowickiej, wzięto udział w konsultacjach społecznych oraz merytorycznym opracowaniu raportu z konsultacji wraz z wskazaniem wytycznych do dalszego projektowania;</w:t>
      </w:r>
    </w:p>
    <w:p w:rsidR="008C7751" w:rsidRPr="00E00B35" w:rsidRDefault="008C7751" w:rsidP="00E00B35">
      <w:pPr>
        <w:pStyle w:val="Tekstpodstawowy"/>
        <w:numPr>
          <w:ilvl w:val="0"/>
          <w:numId w:val="36"/>
        </w:numPr>
        <w:suppressAutoHyphens/>
        <w:spacing w:after="0" w:line="312" w:lineRule="auto"/>
        <w:ind w:left="567" w:hanging="567"/>
        <w:rPr>
          <w:szCs w:val="20"/>
        </w:rPr>
      </w:pPr>
      <w:r w:rsidRPr="00E00B35">
        <w:rPr>
          <w:szCs w:val="20"/>
        </w:rPr>
        <w:t>Wzięto udział w spotkaniach oraz wydano opinie do rozwiązań w ramach zadania prowadzonego przez Dolnośląską Służbę Dróg i Kolei „Budowa drogi wojewódzkiej od węzła A4 Bielany Wrocławskie (ul. Karkonoska) do drogi wojewódzkiej nr 395 (do ronda Żerniki Wrocławskie) i do granicy Wrocławia (ul. Buforowa) – od skrzyżowania z ul. Grota-Roweckiego do węzła A4 Bielany Wrocławskie (ul. Karkonoska)”;</w:t>
      </w:r>
    </w:p>
    <w:p w:rsidR="008C7751" w:rsidRPr="00E00B35" w:rsidRDefault="008C7751" w:rsidP="00E00B35">
      <w:pPr>
        <w:pStyle w:val="Tekstpodstawowy"/>
        <w:numPr>
          <w:ilvl w:val="0"/>
          <w:numId w:val="36"/>
        </w:numPr>
        <w:suppressAutoHyphens/>
        <w:spacing w:after="0" w:line="312" w:lineRule="auto"/>
        <w:ind w:left="567" w:hanging="567"/>
        <w:rPr>
          <w:szCs w:val="20"/>
        </w:rPr>
      </w:pPr>
      <w:r w:rsidRPr="00E00B35">
        <w:rPr>
          <w:szCs w:val="20"/>
        </w:rPr>
        <w:t>Wydano opinię do zadania „Koncepcja zagospodarowania wód opadowych na terenie osiedla Lipa Piotrowska”;</w:t>
      </w:r>
    </w:p>
    <w:p w:rsidR="008C7751" w:rsidRPr="00E00B35" w:rsidRDefault="008C7751" w:rsidP="00E00B35">
      <w:pPr>
        <w:pStyle w:val="Tekstpodstawowy"/>
        <w:numPr>
          <w:ilvl w:val="0"/>
          <w:numId w:val="36"/>
        </w:numPr>
        <w:suppressAutoHyphens/>
        <w:spacing w:after="0" w:line="312" w:lineRule="auto"/>
        <w:ind w:left="567" w:hanging="567"/>
        <w:rPr>
          <w:szCs w:val="20"/>
        </w:rPr>
      </w:pPr>
      <w:r w:rsidRPr="00E00B35">
        <w:rPr>
          <w:szCs w:val="20"/>
        </w:rPr>
        <w:t>Wydano wytyczne mobilnościowe do zadania „Koncepcja rozbudowy kanalizacji sanitarnej, zagospodarowania wód opadowych oraz koncepcji drogowej wraz ze strefowaniem uzbrojenia podziemnego dla części osiedla Księże”;</w:t>
      </w:r>
    </w:p>
    <w:p w:rsidR="008C7751" w:rsidRPr="00E00B35" w:rsidRDefault="008C7751" w:rsidP="00E00B35">
      <w:pPr>
        <w:pStyle w:val="Tekstpodstawowy"/>
        <w:numPr>
          <w:ilvl w:val="0"/>
          <w:numId w:val="36"/>
        </w:numPr>
        <w:suppressAutoHyphens/>
        <w:spacing w:after="0" w:line="312" w:lineRule="auto"/>
        <w:ind w:left="567" w:hanging="567"/>
        <w:rPr>
          <w:szCs w:val="20"/>
        </w:rPr>
      </w:pPr>
      <w:r w:rsidRPr="00E00B35">
        <w:rPr>
          <w:szCs w:val="20"/>
        </w:rPr>
        <w:t>Wydano wytyczne, opracowano układ drogowy wraz z propozycją linii rozgraniczających do planowanej koncepcji zagospodarowania wód opadowych dla obszaru Marszowic;</w:t>
      </w:r>
    </w:p>
    <w:p w:rsidR="008C7751" w:rsidRPr="00E00B35" w:rsidRDefault="008C7751" w:rsidP="00E00B35">
      <w:pPr>
        <w:pStyle w:val="Tekstpodstawowy"/>
        <w:numPr>
          <w:ilvl w:val="0"/>
          <w:numId w:val="36"/>
        </w:numPr>
        <w:suppressAutoHyphens/>
        <w:spacing w:after="0" w:line="312" w:lineRule="auto"/>
        <w:ind w:left="567" w:hanging="567"/>
        <w:rPr>
          <w:szCs w:val="20"/>
        </w:rPr>
      </w:pPr>
      <w:r w:rsidRPr="00E00B35">
        <w:rPr>
          <w:szCs w:val="20"/>
        </w:rPr>
        <w:t>Przygotowano stanowisko i rekomendacje gminy Wrocław dla wstępnej koncepcji „Studium korytarzowego wraz z analizą techniczno – ekonomiczno – logistycznej rozbudowy/budowy autostrady A4 na odcinku Wrocław – Krzyżowa i studium korytarzowe S5 Sobótka – Bolków”. Brano dział w kolejnych etapach współpracy w temacie na poziomie aglomeracji i regionu;</w:t>
      </w:r>
    </w:p>
    <w:p w:rsidR="008C7751" w:rsidRPr="00E00B35" w:rsidRDefault="008C7751" w:rsidP="00E00B35">
      <w:pPr>
        <w:pStyle w:val="Tekstpodstawowy"/>
        <w:numPr>
          <w:ilvl w:val="0"/>
          <w:numId w:val="36"/>
        </w:numPr>
        <w:suppressAutoHyphens/>
        <w:spacing w:after="0" w:line="312" w:lineRule="auto"/>
        <w:ind w:left="567" w:hanging="567"/>
        <w:rPr>
          <w:szCs w:val="20"/>
        </w:rPr>
      </w:pPr>
      <w:r w:rsidRPr="00E00B35">
        <w:rPr>
          <w:szCs w:val="20"/>
        </w:rPr>
        <w:lastRenderedPageBreak/>
        <w:t xml:space="preserve">Przygotowano opinię „Koncepcji funkcjonalno-przestrzennej lotniczej Bazy Załadunkowo-Rozładunkowej APOD Wrocław – Strachowice w zakresie obsługi komunikacyjnej”. </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pStyle w:val="14StanowiskoPodpisujacego"/>
        <w:numPr>
          <w:ilvl w:val="1"/>
          <w:numId w:val="32"/>
        </w:numPr>
        <w:tabs>
          <w:tab w:val="left" w:pos="567"/>
        </w:tabs>
        <w:suppressAutoHyphens/>
        <w:spacing w:after="0" w:line="312" w:lineRule="auto"/>
        <w:ind w:left="567" w:hanging="567"/>
        <w:jc w:val="left"/>
        <w:rPr>
          <w:b/>
          <w:sz w:val="20"/>
          <w:szCs w:val="20"/>
        </w:rPr>
      </w:pPr>
      <w:r w:rsidRPr="00E00B35">
        <w:rPr>
          <w:b/>
          <w:sz w:val="20"/>
          <w:szCs w:val="20"/>
        </w:rPr>
        <w:t>Pozostałe działania</w:t>
      </w:r>
    </w:p>
    <w:p w:rsidR="008C7751" w:rsidRPr="00E00B35" w:rsidRDefault="008C7751" w:rsidP="00E00B35">
      <w:pPr>
        <w:pStyle w:val="Tekstpodstawowy"/>
        <w:numPr>
          <w:ilvl w:val="0"/>
          <w:numId w:val="116"/>
        </w:numPr>
        <w:suppressAutoHyphens/>
        <w:spacing w:after="0" w:line="312" w:lineRule="auto"/>
        <w:ind w:left="567" w:hanging="567"/>
        <w:rPr>
          <w:szCs w:val="20"/>
        </w:rPr>
      </w:pPr>
      <w:r w:rsidRPr="00E00B35">
        <w:rPr>
          <w:szCs w:val="20"/>
        </w:rPr>
        <w:t>Organizowano cykliczne spotkania koordynacyjne z Wydziałem Inżynierii Miejskiej, Zarządem Dróg i Utrzymania Miasta i Biurem Rozwoju Wrocławia w zakresie spójnego podejścia do rozwoju systemu transportowego w mieście;</w:t>
      </w:r>
    </w:p>
    <w:p w:rsidR="008C7751" w:rsidRPr="00E00B35" w:rsidRDefault="008C7751" w:rsidP="00E00B35">
      <w:pPr>
        <w:pStyle w:val="Tekstpodstawowy"/>
        <w:numPr>
          <w:ilvl w:val="0"/>
          <w:numId w:val="116"/>
        </w:numPr>
        <w:suppressAutoHyphens/>
        <w:spacing w:after="0" w:line="312" w:lineRule="auto"/>
        <w:ind w:left="567" w:hanging="567"/>
        <w:rPr>
          <w:szCs w:val="20"/>
        </w:rPr>
      </w:pPr>
      <w:r w:rsidRPr="00E00B35">
        <w:rPr>
          <w:szCs w:val="20"/>
        </w:rPr>
        <w:t>Wykonywano weryfikację projektów zgłoszonych przez Rady Osiedli w ramach Funduszu Osiedlowego;</w:t>
      </w:r>
    </w:p>
    <w:p w:rsidR="008C7751" w:rsidRPr="00E00B35" w:rsidRDefault="008C7751" w:rsidP="00E00B35">
      <w:pPr>
        <w:pStyle w:val="Tekstpodstawowy"/>
        <w:numPr>
          <w:ilvl w:val="0"/>
          <w:numId w:val="116"/>
        </w:numPr>
        <w:suppressAutoHyphens/>
        <w:spacing w:after="0" w:line="312" w:lineRule="auto"/>
        <w:ind w:left="567" w:hanging="567"/>
        <w:rPr>
          <w:szCs w:val="20"/>
        </w:rPr>
      </w:pPr>
      <w:r w:rsidRPr="00E00B35">
        <w:rPr>
          <w:szCs w:val="20"/>
        </w:rPr>
        <w:t>Uczestniczono w pracach „Zielonego Stołu”;</w:t>
      </w:r>
    </w:p>
    <w:p w:rsidR="008C7751" w:rsidRPr="00E00B35" w:rsidRDefault="008C7751" w:rsidP="00E00B35">
      <w:pPr>
        <w:pStyle w:val="Tekstpodstawowy"/>
        <w:numPr>
          <w:ilvl w:val="0"/>
          <w:numId w:val="116"/>
        </w:numPr>
        <w:suppressAutoHyphens/>
        <w:spacing w:after="0" w:line="312" w:lineRule="auto"/>
        <w:ind w:left="567" w:hanging="567"/>
        <w:rPr>
          <w:szCs w:val="20"/>
        </w:rPr>
      </w:pPr>
      <w:r w:rsidRPr="00E00B35">
        <w:rPr>
          <w:szCs w:val="20"/>
        </w:rPr>
        <w:t>Uczestniczono w pracach „Niebieskiego Stołu – tramwaj wodny”;</w:t>
      </w:r>
    </w:p>
    <w:p w:rsidR="008C7751" w:rsidRPr="00E00B35" w:rsidRDefault="008C7751" w:rsidP="00E00B35">
      <w:pPr>
        <w:pStyle w:val="Tekstpodstawowy"/>
        <w:numPr>
          <w:ilvl w:val="0"/>
          <w:numId w:val="116"/>
        </w:numPr>
        <w:suppressAutoHyphens/>
        <w:spacing w:after="0" w:line="312" w:lineRule="auto"/>
        <w:ind w:left="567" w:hanging="567"/>
        <w:rPr>
          <w:szCs w:val="20"/>
        </w:rPr>
      </w:pPr>
      <w:r w:rsidRPr="00E00B35">
        <w:rPr>
          <w:szCs w:val="20"/>
        </w:rPr>
        <w:t>Przygotowano stanowiska w kwestii przebiegu łącznika Kwidzyńska – Kowalska w kontekście petycji mieszkańców osiedla Nowe Kowale;</w:t>
      </w:r>
    </w:p>
    <w:p w:rsidR="008C7751" w:rsidRPr="00E00B35" w:rsidRDefault="008C7751" w:rsidP="00E00B35">
      <w:pPr>
        <w:pStyle w:val="Tekstpodstawowy"/>
        <w:numPr>
          <w:ilvl w:val="0"/>
          <w:numId w:val="116"/>
        </w:numPr>
        <w:suppressAutoHyphens/>
        <w:spacing w:after="0" w:line="312" w:lineRule="auto"/>
        <w:ind w:left="567" w:hanging="567"/>
        <w:rPr>
          <w:szCs w:val="20"/>
        </w:rPr>
      </w:pPr>
      <w:r w:rsidRPr="00E00B35">
        <w:rPr>
          <w:szCs w:val="20"/>
        </w:rPr>
        <w:t>Przygotowano i opublikowano na stronie wroclaw.pl prezentację „Mobilny Wrocław po pandemii”, która zwierała pakiet ułatwień dla wszystkich uczestników ruchu drogowego takiej, jak: wprowadzenie strefy tempo 30 na ulicy Świdnickiej, Sądowej i Świętego Mikołaja, otwarcie Rynku dla rowerzystów, czy kulminacja remontów torowisk;</w:t>
      </w:r>
    </w:p>
    <w:p w:rsidR="008C7751" w:rsidRPr="00E00B35" w:rsidRDefault="008C7751" w:rsidP="00E00B35">
      <w:pPr>
        <w:pStyle w:val="Tekstpodstawowy"/>
        <w:numPr>
          <w:ilvl w:val="0"/>
          <w:numId w:val="116"/>
        </w:numPr>
        <w:suppressAutoHyphens/>
        <w:spacing w:after="0" w:line="312" w:lineRule="auto"/>
        <w:ind w:left="567" w:hanging="567"/>
        <w:rPr>
          <w:szCs w:val="20"/>
        </w:rPr>
      </w:pPr>
      <w:r w:rsidRPr="00E00B35">
        <w:rPr>
          <w:szCs w:val="20"/>
        </w:rPr>
        <w:t>W ramach współpracy z Wydziałem Nabywania i Sprzedaży Nieruchomości przygotowywano projekty podziału i wydawano opinie dotyczące nieruchomości gminnych w zakresie wyznaczania terenu niezbędnego na rozbudowę układu komunikacyjnego, w tym poprawy standardów przemieszczanie się wzdłuż ulic dla pieszych i rowerzystów;</w:t>
      </w:r>
    </w:p>
    <w:p w:rsidR="008C7751" w:rsidRPr="00E00B35" w:rsidRDefault="008C7751" w:rsidP="00E00B35">
      <w:pPr>
        <w:pStyle w:val="Tekstpodstawowy"/>
        <w:numPr>
          <w:ilvl w:val="0"/>
          <w:numId w:val="116"/>
        </w:numPr>
        <w:suppressAutoHyphens/>
        <w:spacing w:after="0" w:line="312" w:lineRule="auto"/>
        <w:ind w:left="567" w:hanging="567"/>
        <w:rPr>
          <w:szCs w:val="20"/>
        </w:rPr>
      </w:pPr>
      <w:r w:rsidRPr="00E00B35">
        <w:rPr>
          <w:szCs w:val="20"/>
        </w:rPr>
        <w:t>W ramach współpracy z Wydziałem Architektury i Budownictwa wydawano opinie w zakresie komunikacyjnym i infrastrukturalnym;</w:t>
      </w:r>
    </w:p>
    <w:p w:rsidR="008C7751" w:rsidRPr="00E00B35" w:rsidRDefault="008C7751" w:rsidP="00E00B35">
      <w:pPr>
        <w:pStyle w:val="Tekstpodstawowy"/>
        <w:numPr>
          <w:ilvl w:val="0"/>
          <w:numId w:val="116"/>
        </w:numPr>
        <w:suppressAutoHyphens/>
        <w:spacing w:after="0" w:line="312" w:lineRule="auto"/>
        <w:ind w:left="567" w:hanging="567"/>
        <w:rPr>
          <w:szCs w:val="20"/>
        </w:rPr>
      </w:pPr>
      <w:r w:rsidRPr="00E00B35">
        <w:rPr>
          <w:szCs w:val="20"/>
        </w:rPr>
        <w:t>Udzielano wywiadów do radia i telewizji;</w:t>
      </w:r>
    </w:p>
    <w:p w:rsidR="008C7751" w:rsidRPr="00E00B35" w:rsidRDefault="008C7751" w:rsidP="00E00B35">
      <w:pPr>
        <w:pStyle w:val="Tekstpodstawowy"/>
        <w:numPr>
          <w:ilvl w:val="0"/>
          <w:numId w:val="116"/>
        </w:numPr>
        <w:suppressAutoHyphens/>
        <w:spacing w:after="0" w:line="312" w:lineRule="auto"/>
        <w:ind w:left="567" w:hanging="567"/>
        <w:rPr>
          <w:szCs w:val="20"/>
        </w:rPr>
      </w:pPr>
      <w:r w:rsidRPr="00E00B35">
        <w:rPr>
          <w:szCs w:val="20"/>
        </w:rPr>
        <w:t>Brano udział w jury w konkursie architektoniczno-urbanistycznym na „Koncepcję zespołu zabudowy wielorodzinnej i usługowej w obszarze pomiędzy ulicami Zatorską i Odolanowską”;</w:t>
      </w:r>
    </w:p>
    <w:p w:rsidR="008C7751" w:rsidRPr="00E00B35" w:rsidRDefault="008C7751" w:rsidP="00E00B35">
      <w:pPr>
        <w:pStyle w:val="Tekstpodstawowy"/>
        <w:numPr>
          <w:ilvl w:val="0"/>
          <w:numId w:val="116"/>
        </w:numPr>
        <w:suppressAutoHyphens/>
        <w:spacing w:after="0" w:line="312" w:lineRule="auto"/>
        <w:ind w:left="567" w:hanging="567"/>
        <w:rPr>
          <w:szCs w:val="20"/>
        </w:rPr>
      </w:pPr>
      <w:r w:rsidRPr="00E00B35">
        <w:rPr>
          <w:szCs w:val="20"/>
        </w:rPr>
        <w:t xml:space="preserve">Uczestniczono w warsztatach, seminariach, kongresach i konferencjach online „IV edycja Forum Rozwoju Miast”, „Miasta Świadome UrbanLab Gdynia” oraz „Introduction to Cargo Bike Policy Webinar”. </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pStyle w:val="Nagwek4"/>
        <w:spacing w:before="0" w:after="0" w:line="312" w:lineRule="auto"/>
        <w:rPr>
          <w:sz w:val="20"/>
          <w:szCs w:val="20"/>
        </w:rPr>
      </w:pPr>
      <w:bookmarkStart w:id="930" w:name="_Toc66358354"/>
      <w:r w:rsidRPr="00E00B35">
        <w:rPr>
          <w:sz w:val="20"/>
          <w:szCs w:val="20"/>
        </w:rPr>
        <w:t>Modelowania komunikacyjne oraz badania i analizy transportowe</w:t>
      </w:r>
      <w:bookmarkEnd w:id="930"/>
    </w:p>
    <w:p w:rsidR="00890136" w:rsidRPr="00E00B35" w:rsidRDefault="00890136" w:rsidP="00E00B35">
      <w:pPr>
        <w:pStyle w:val="Nagwek4"/>
        <w:spacing w:before="0" w:after="0" w:line="312" w:lineRule="auto"/>
        <w:rPr>
          <w:sz w:val="20"/>
          <w:szCs w:val="20"/>
        </w:rPr>
      </w:pPr>
    </w:p>
    <w:p w:rsidR="008C7751" w:rsidRPr="00E00B35" w:rsidRDefault="008C7751" w:rsidP="00E00B35">
      <w:pPr>
        <w:pStyle w:val="Styl1NagwkiGwne"/>
        <w:numPr>
          <w:ilvl w:val="1"/>
          <w:numId w:val="123"/>
        </w:numPr>
        <w:spacing w:line="312" w:lineRule="auto"/>
        <w:ind w:left="567" w:hanging="567"/>
        <w:jc w:val="left"/>
      </w:pPr>
      <w:r w:rsidRPr="00E00B35">
        <w:t>Działania analityczne wspomagające decyzje inwestycyjne w mieście</w:t>
      </w:r>
    </w:p>
    <w:p w:rsidR="008C7751" w:rsidRPr="00E00B35" w:rsidRDefault="008C7751" w:rsidP="00E00B35">
      <w:pPr>
        <w:pStyle w:val="Tekstpodstawowy"/>
        <w:numPr>
          <w:ilvl w:val="0"/>
          <w:numId w:val="117"/>
        </w:numPr>
        <w:suppressAutoHyphens/>
        <w:spacing w:after="0" w:line="312" w:lineRule="auto"/>
        <w:ind w:left="567" w:hanging="567"/>
        <w:rPr>
          <w:szCs w:val="20"/>
        </w:rPr>
      </w:pPr>
      <w:r w:rsidRPr="00E00B35">
        <w:rPr>
          <w:szCs w:val="20"/>
        </w:rPr>
        <w:t>Wykonano aktualizację modelu ruchu na podstawie danych z Kompleksowych Badań Ruchu 2018 oraz zapewniono jego bieżące utrzymanie;</w:t>
      </w:r>
    </w:p>
    <w:p w:rsidR="008C7751" w:rsidRPr="00E00B35" w:rsidRDefault="008C7751" w:rsidP="00E00B35">
      <w:pPr>
        <w:pStyle w:val="Tekstpodstawowy"/>
        <w:numPr>
          <w:ilvl w:val="0"/>
          <w:numId w:val="117"/>
        </w:numPr>
        <w:suppressAutoHyphens/>
        <w:spacing w:after="0" w:line="312" w:lineRule="auto"/>
        <w:ind w:left="567" w:hanging="567"/>
        <w:rPr>
          <w:szCs w:val="20"/>
        </w:rPr>
      </w:pPr>
      <w:r w:rsidRPr="00E00B35">
        <w:rPr>
          <w:szCs w:val="20"/>
        </w:rPr>
        <w:t>Kontynuowano współpracę z PKP PLK w zakresie prac koncepcyjnych i udostępniano zainteresowanym podmiotom Model Ruchu dla Wrocławia, w tym na potrzeby Wstępnego Studium Wykonalności dla Wrocławskiego Węzła Kolejowego;</w:t>
      </w:r>
    </w:p>
    <w:p w:rsidR="008C7751" w:rsidRPr="00E00B35" w:rsidRDefault="008C7751" w:rsidP="00E00B35">
      <w:pPr>
        <w:pStyle w:val="Tekstpodstawowy"/>
        <w:numPr>
          <w:ilvl w:val="0"/>
          <w:numId w:val="117"/>
        </w:numPr>
        <w:suppressAutoHyphens/>
        <w:spacing w:after="0" w:line="312" w:lineRule="auto"/>
        <w:ind w:left="567" w:hanging="567"/>
        <w:rPr>
          <w:szCs w:val="20"/>
        </w:rPr>
      </w:pPr>
      <w:r w:rsidRPr="00E00B35">
        <w:rPr>
          <w:szCs w:val="20"/>
        </w:rPr>
        <w:t xml:space="preserve">Wykonywano bieżące analizy na podstawie Modelu Ruchu dla Wrocławia na potrzeby zadań realizowanych przez różne Wydziały i Biura Urzędu Miejskiego </w:t>
      </w:r>
      <w:r w:rsidRPr="00E00B35">
        <w:rPr>
          <w:szCs w:val="20"/>
        </w:rPr>
        <w:lastRenderedPageBreak/>
        <w:t>Wrocławia oraz projektów realizowanych na zlecenie gminy Wrocław, w tym na potrzeby przygotowania dokumentacji projektowych;</w:t>
      </w:r>
    </w:p>
    <w:p w:rsidR="008C7751" w:rsidRPr="00E00B35" w:rsidRDefault="008C7751" w:rsidP="00E00B35">
      <w:pPr>
        <w:pStyle w:val="Tekstpodstawowy"/>
        <w:numPr>
          <w:ilvl w:val="0"/>
          <w:numId w:val="117"/>
        </w:numPr>
        <w:suppressAutoHyphens/>
        <w:spacing w:after="0" w:line="312" w:lineRule="auto"/>
        <w:ind w:left="567" w:hanging="567"/>
        <w:rPr>
          <w:szCs w:val="20"/>
        </w:rPr>
      </w:pPr>
      <w:r w:rsidRPr="00E00B35">
        <w:rPr>
          <w:szCs w:val="20"/>
        </w:rPr>
        <w:t>Opracowano prognozy ruchu dotyczące wybranych inwestycji;</w:t>
      </w:r>
    </w:p>
    <w:p w:rsidR="008C7751" w:rsidRPr="00E00B35" w:rsidRDefault="008C7751" w:rsidP="00E00B35">
      <w:pPr>
        <w:pStyle w:val="Tekstpodstawowy"/>
        <w:numPr>
          <w:ilvl w:val="0"/>
          <w:numId w:val="117"/>
        </w:numPr>
        <w:suppressAutoHyphens/>
        <w:spacing w:after="0" w:line="312" w:lineRule="auto"/>
        <w:ind w:left="567" w:hanging="567"/>
        <w:rPr>
          <w:szCs w:val="20"/>
        </w:rPr>
      </w:pPr>
      <w:r w:rsidRPr="00E00B35">
        <w:rPr>
          <w:szCs w:val="20"/>
        </w:rPr>
        <w:t>Wykonano analizy i przygotowywano dane ruchowe w odpowiedzi na wnioski podmiotów wewnętrznych.</w:t>
      </w:r>
    </w:p>
    <w:p w:rsidR="00C220F1" w:rsidRPr="00E00B35" w:rsidRDefault="00C220F1" w:rsidP="00E00B35">
      <w:pPr>
        <w:pStyle w:val="Tekstpodstawowy"/>
        <w:suppressAutoHyphens/>
        <w:spacing w:after="0" w:line="312" w:lineRule="auto"/>
        <w:ind w:left="567"/>
        <w:rPr>
          <w:szCs w:val="20"/>
        </w:rPr>
      </w:pPr>
    </w:p>
    <w:p w:rsidR="008C7751" w:rsidRPr="00E00B35" w:rsidRDefault="008C7751" w:rsidP="00E00B35">
      <w:pPr>
        <w:pStyle w:val="Styl1NagwkiGwne"/>
        <w:numPr>
          <w:ilvl w:val="1"/>
          <w:numId w:val="123"/>
        </w:numPr>
        <w:spacing w:line="312" w:lineRule="auto"/>
        <w:ind w:left="567" w:hanging="567"/>
        <w:jc w:val="left"/>
      </w:pPr>
      <w:r w:rsidRPr="00E00B35">
        <w:t>Pozostałe działania</w:t>
      </w:r>
    </w:p>
    <w:p w:rsidR="008C7751" w:rsidRPr="00E00B35" w:rsidRDefault="008C7751" w:rsidP="00E00B35">
      <w:pPr>
        <w:pStyle w:val="Tekstpodstawowy"/>
        <w:numPr>
          <w:ilvl w:val="0"/>
          <w:numId w:val="37"/>
        </w:numPr>
        <w:suppressAutoHyphens/>
        <w:spacing w:after="0" w:line="312" w:lineRule="auto"/>
        <w:ind w:left="567" w:hanging="567"/>
        <w:rPr>
          <w:szCs w:val="20"/>
        </w:rPr>
      </w:pPr>
      <w:r w:rsidRPr="00E00B35">
        <w:rPr>
          <w:szCs w:val="20"/>
        </w:rPr>
        <w:t>Wykonano analizy danych z Kompleksowych Badań Ruchu 2018, w tym przemieszczanie się studentów, podział zadań przewozowych w wybranych obszarach miasta czy analiza więźb ruchu;</w:t>
      </w:r>
    </w:p>
    <w:p w:rsidR="008C7751" w:rsidRPr="00E00B35" w:rsidRDefault="008C7751" w:rsidP="00E00B35">
      <w:pPr>
        <w:pStyle w:val="Tekstpodstawowy"/>
        <w:numPr>
          <w:ilvl w:val="0"/>
          <w:numId w:val="37"/>
        </w:numPr>
        <w:suppressAutoHyphens/>
        <w:spacing w:after="0" w:line="312" w:lineRule="auto"/>
        <w:ind w:left="567" w:hanging="567"/>
        <w:rPr>
          <w:szCs w:val="20"/>
        </w:rPr>
      </w:pPr>
      <w:r w:rsidRPr="00E00B35">
        <w:rPr>
          <w:szCs w:val="20"/>
        </w:rPr>
        <w:t>Współpracowano przy tworzeniu raportu podsumowującego projekt „Wrocław Bada Ruch”, którego celem było stworzenie i pilotaż narzędzia do bieżącego zbierania danych o podróżach mieszkańców osiedla Gądów Mały – Popowice Południowe. Projekt realizowano wspólnie z firmą SmartCitizen oraz Biurem Smart City;</w:t>
      </w:r>
    </w:p>
    <w:p w:rsidR="008C7751" w:rsidRPr="00E00B35" w:rsidRDefault="008C7751" w:rsidP="00E00B35">
      <w:pPr>
        <w:pStyle w:val="Tekstpodstawowy"/>
        <w:numPr>
          <w:ilvl w:val="0"/>
          <w:numId w:val="37"/>
        </w:numPr>
        <w:suppressAutoHyphens/>
        <w:spacing w:after="0" w:line="312" w:lineRule="auto"/>
        <w:ind w:left="567" w:hanging="567"/>
        <w:rPr>
          <w:szCs w:val="20"/>
        </w:rPr>
      </w:pPr>
      <w:r w:rsidRPr="00E00B35">
        <w:rPr>
          <w:szCs w:val="20"/>
        </w:rPr>
        <w:t>Przygotowano analizy dotyczące wielkości ruchu w trakcie pandemii oraz zaprezentowano je w trakcie warsztatów „Mobilny Wrocław po pandemii”;</w:t>
      </w:r>
    </w:p>
    <w:p w:rsidR="008C7751" w:rsidRPr="00E00B35" w:rsidRDefault="008C7751" w:rsidP="00E00B35">
      <w:pPr>
        <w:pStyle w:val="Tekstpodstawowy"/>
        <w:numPr>
          <w:ilvl w:val="0"/>
          <w:numId w:val="37"/>
        </w:numPr>
        <w:suppressAutoHyphens/>
        <w:spacing w:after="0" w:line="312" w:lineRule="auto"/>
        <w:ind w:left="567" w:hanging="567"/>
        <w:rPr>
          <w:szCs w:val="20"/>
        </w:rPr>
      </w:pPr>
      <w:r w:rsidRPr="00E00B35">
        <w:rPr>
          <w:szCs w:val="20"/>
        </w:rPr>
        <w:t>Uczestniczono w naukowym seminarium online „Korona – miasto” oraz w webinarium Polski Alarm Smogowy „Debata: Polacy o transporcie w miastach – jak zrealizować oczekiwania po pandemii?”.</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pStyle w:val="Nagwek4"/>
        <w:spacing w:before="0" w:after="0" w:line="312" w:lineRule="auto"/>
        <w:rPr>
          <w:sz w:val="20"/>
          <w:szCs w:val="20"/>
        </w:rPr>
      </w:pPr>
      <w:bookmarkStart w:id="931" w:name="_Toc66358355"/>
      <w:r w:rsidRPr="00E00B35">
        <w:rPr>
          <w:sz w:val="20"/>
          <w:szCs w:val="20"/>
        </w:rPr>
        <w:t>Planowanie transportu zbiorowego</w:t>
      </w:r>
      <w:bookmarkEnd w:id="931"/>
    </w:p>
    <w:p w:rsidR="00890136" w:rsidRPr="00E00B35" w:rsidRDefault="00890136" w:rsidP="00E00B35">
      <w:pPr>
        <w:pStyle w:val="Nagwek4"/>
        <w:spacing w:before="0" w:after="0" w:line="312" w:lineRule="auto"/>
        <w:rPr>
          <w:sz w:val="20"/>
          <w:szCs w:val="20"/>
        </w:rPr>
      </w:pPr>
    </w:p>
    <w:p w:rsidR="008C7751" w:rsidRPr="00E00B35" w:rsidRDefault="008C7751" w:rsidP="00E00B35">
      <w:pPr>
        <w:pStyle w:val="Styl1NagwkiGwne"/>
        <w:numPr>
          <w:ilvl w:val="1"/>
          <w:numId w:val="30"/>
        </w:numPr>
        <w:spacing w:line="312" w:lineRule="auto"/>
        <w:ind w:left="567" w:hanging="567"/>
        <w:jc w:val="left"/>
      </w:pPr>
      <w:r w:rsidRPr="00E00B35">
        <w:t>Projektowanie</w:t>
      </w:r>
    </w:p>
    <w:p w:rsidR="008C7751" w:rsidRPr="00E00B35" w:rsidRDefault="008C7751" w:rsidP="00E00B35">
      <w:pPr>
        <w:spacing w:after="0" w:line="312" w:lineRule="auto"/>
        <w:rPr>
          <w:szCs w:val="20"/>
        </w:rPr>
      </w:pPr>
      <w:r w:rsidRPr="00E00B35">
        <w:rPr>
          <w:szCs w:val="20"/>
        </w:rPr>
        <w:t xml:space="preserve">Brano udział w procesie projektowym sporządzania dokumentacji projektowych dla następujących projektów: </w:t>
      </w:r>
    </w:p>
    <w:p w:rsidR="008C7751" w:rsidRPr="00E00B35" w:rsidRDefault="008C7751" w:rsidP="00E00B35">
      <w:pPr>
        <w:pStyle w:val="Tekstpodstawowy"/>
        <w:numPr>
          <w:ilvl w:val="0"/>
          <w:numId w:val="38"/>
        </w:numPr>
        <w:suppressAutoHyphens/>
        <w:spacing w:after="0" w:line="312" w:lineRule="auto"/>
        <w:ind w:left="567" w:hanging="567"/>
        <w:rPr>
          <w:szCs w:val="20"/>
        </w:rPr>
      </w:pPr>
      <w:r w:rsidRPr="00E00B35">
        <w:rPr>
          <w:szCs w:val="20"/>
        </w:rPr>
        <w:t>Tramwaj na Jagodno;</w:t>
      </w:r>
    </w:p>
    <w:p w:rsidR="008C7751" w:rsidRPr="00E00B35" w:rsidRDefault="008C7751" w:rsidP="00E00B35">
      <w:pPr>
        <w:pStyle w:val="Tekstpodstawowy"/>
        <w:numPr>
          <w:ilvl w:val="0"/>
          <w:numId w:val="38"/>
        </w:numPr>
        <w:suppressAutoHyphens/>
        <w:spacing w:after="0" w:line="312" w:lineRule="auto"/>
        <w:ind w:left="567" w:hanging="567"/>
        <w:rPr>
          <w:szCs w:val="20"/>
        </w:rPr>
      </w:pPr>
      <w:r w:rsidRPr="00E00B35">
        <w:rPr>
          <w:szCs w:val="20"/>
        </w:rPr>
        <w:t>Budowa Mostów Chrobrego w ciągu drogi wojewódzkiej nr 455 we Wrocławiu;</w:t>
      </w:r>
    </w:p>
    <w:p w:rsidR="008C7751" w:rsidRPr="00E00B35" w:rsidRDefault="008C7751" w:rsidP="00E00B35">
      <w:pPr>
        <w:pStyle w:val="Tekstpodstawowy"/>
        <w:numPr>
          <w:ilvl w:val="0"/>
          <w:numId w:val="38"/>
        </w:numPr>
        <w:suppressAutoHyphens/>
        <w:spacing w:after="0" w:line="312" w:lineRule="auto"/>
        <w:ind w:left="567" w:hanging="567"/>
        <w:rPr>
          <w:szCs w:val="20"/>
        </w:rPr>
      </w:pPr>
      <w:r w:rsidRPr="00E00B35">
        <w:rPr>
          <w:szCs w:val="20"/>
        </w:rPr>
        <w:t>Budowa wydzielonej trasy autobusowo-tramwajowej łączącej osiedle Nowy Dwór z Centrum Wrocławia – etap III (odcinek w ul. Rogowskiej do pętli na Nowym Dworze).</w:t>
      </w:r>
    </w:p>
    <w:p w:rsidR="00C220F1" w:rsidRPr="00E00B35" w:rsidRDefault="00C220F1" w:rsidP="00E00B35">
      <w:pPr>
        <w:pStyle w:val="Tekstpodstawowy"/>
        <w:suppressAutoHyphens/>
        <w:spacing w:after="0" w:line="312" w:lineRule="auto"/>
        <w:ind w:left="567"/>
        <w:rPr>
          <w:szCs w:val="20"/>
        </w:rPr>
      </w:pPr>
    </w:p>
    <w:p w:rsidR="008C7751" w:rsidRPr="00E00B35" w:rsidRDefault="008C7751" w:rsidP="00E00B35">
      <w:pPr>
        <w:pStyle w:val="Styl1NagwkiGwne"/>
        <w:numPr>
          <w:ilvl w:val="1"/>
          <w:numId w:val="30"/>
        </w:numPr>
        <w:spacing w:line="312" w:lineRule="auto"/>
        <w:ind w:left="567" w:hanging="567"/>
        <w:jc w:val="left"/>
      </w:pPr>
      <w:r w:rsidRPr="00E00B35">
        <w:t>Nowe trasowanie linii tramwajowych i autobusowych</w:t>
      </w:r>
    </w:p>
    <w:p w:rsidR="008C7751" w:rsidRPr="00E00B35" w:rsidRDefault="008C7751" w:rsidP="00E00B35">
      <w:pPr>
        <w:pStyle w:val="Tekstpodstawowy"/>
        <w:numPr>
          <w:ilvl w:val="0"/>
          <w:numId w:val="39"/>
        </w:numPr>
        <w:suppressAutoHyphens/>
        <w:spacing w:after="0" w:line="312" w:lineRule="auto"/>
        <w:ind w:left="567" w:hanging="567"/>
        <w:rPr>
          <w:szCs w:val="20"/>
        </w:rPr>
      </w:pPr>
      <w:r w:rsidRPr="00E00B35">
        <w:rPr>
          <w:szCs w:val="20"/>
        </w:rPr>
        <w:t>Opracowano wstępną koncepcję nowego układu linii tramwajowych i autobusowych we Wrocławiu, który zakłada funkcjonowanie obecnie realizowanych inwestycji: trasy autobusowo-tramwajowej na Nowy Dwór oraz trasy tramwajowej przez Popowice;</w:t>
      </w:r>
    </w:p>
    <w:p w:rsidR="008C7751" w:rsidRPr="00E00B35" w:rsidRDefault="008C7751" w:rsidP="00E00B35">
      <w:pPr>
        <w:pStyle w:val="Tekstpodstawowy"/>
        <w:numPr>
          <w:ilvl w:val="0"/>
          <w:numId w:val="39"/>
        </w:numPr>
        <w:suppressAutoHyphens/>
        <w:spacing w:after="0" w:line="312" w:lineRule="auto"/>
        <w:ind w:left="567" w:hanging="567"/>
        <w:rPr>
          <w:szCs w:val="20"/>
        </w:rPr>
      </w:pPr>
      <w:r w:rsidRPr="00E00B35">
        <w:rPr>
          <w:szCs w:val="20"/>
        </w:rPr>
        <w:t>Opracowano raport zawierający opis metodologii przyjętych rozwiązań, założenia projektowe oraz zakres proponowanych zmian;</w:t>
      </w:r>
    </w:p>
    <w:p w:rsidR="008C7751" w:rsidRPr="00E00B35" w:rsidRDefault="008C7751" w:rsidP="00E00B35">
      <w:pPr>
        <w:pStyle w:val="Tekstpodstawowy"/>
        <w:numPr>
          <w:ilvl w:val="0"/>
          <w:numId w:val="39"/>
        </w:numPr>
        <w:suppressAutoHyphens/>
        <w:spacing w:after="0" w:line="312" w:lineRule="auto"/>
        <w:ind w:left="567" w:hanging="567"/>
        <w:rPr>
          <w:szCs w:val="20"/>
        </w:rPr>
      </w:pPr>
      <w:r w:rsidRPr="00E00B35">
        <w:rPr>
          <w:szCs w:val="20"/>
        </w:rPr>
        <w:t>Zlecono zespołowi zewnętrznych ekspertów koreferat dla przygotowanej koncepcji i uzyskano pozytywną opinię;</w:t>
      </w:r>
    </w:p>
    <w:p w:rsidR="008C7751" w:rsidRPr="00E00B35" w:rsidRDefault="008C7751" w:rsidP="00E00B35">
      <w:pPr>
        <w:pStyle w:val="Tekstpodstawowy"/>
        <w:numPr>
          <w:ilvl w:val="0"/>
          <w:numId w:val="39"/>
        </w:numPr>
        <w:suppressAutoHyphens/>
        <w:spacing w:after="0" w:line="312" w:lineRule="auto"/>
        <w:ind w:left="567" w:hanging="567"/>
        <w:rPr>
          <w:szCs w:val="20"/>
        </w:rPr>
      </w:pPr>
      <w:r w:rsidRPr="00E00B35">
        <w:rPr>
          <w:szCs w:val="20"/>
        </w:rPr>
        <w:t xml:space="preserve">Rozpoczęto przygotowania kolejnych etapów projektu, w tym rozmów ze Spółką MPK i przedstawienie koncepcji mieszkańcom. </w:t>
      </w:r>
    </w:p>
    <w:p w:rsidR="008C7751" w:rsidRPr="00E00B35" w:rsidRDefault="008C7751" w:rsidP="00E00B35">
      <w:pPr>
        <w:pStyle w:val="Tekstpodstawowy"/>
        <w:suppressAutoHyphens/>
        <w:spacing w:after="0" w:line="312" w:lineRule="auto"/>
        <w:ind w:left="567"/>
        <w:rPr>
          <w:szCs w:val="20"/>
        </w:rPr>
      </w:pPr>
    </w:p>
    <w:p w:rsidR="008C7751" w:rsidRPr="00E00B35" w:rsidRDefault="008C7751" w:rsidP="00E00B35">
      <w:pPr>
        <w:pStyle w:val="Styl1NagwkiGwne"/>
        <w:numPr>
          <w:ilvl w:val="1"/>
          <w:numId w:val="30"/>
        </w:numPr>
        <w:spacing w:line="312" w:lineRule="auto"/>
        <w:ind w:left="567" w:hanging="567"/>
        <w:jc w:val="left"/>
      </w:pPr>
      <w:r w:rsidRPr="00E00B35">
        <w:t>Usprawnienia dla transportu zbiorowego i koordynacja zmian</w:t>
      </w:r>
    </w:p>
    <w:p w:rsidR="008C7751" w:rsidRPr="00E00B35" w:rsidRDefault="008C7751" w:rsidP="00E00B35">
      <w:pPr>
        <w:spacing w:after="0" w:line="312" w:lineRule="auto"/>
        <w:rPr>
          <w:szCs w:val="20"/>
        </w:rPr>
      </w:pPr>
      <w:r w:rsidRPr="00E00B35">
        <w:rPr>
          <w:szCs w:val="20"/>
        </w:rPr>
        <w:lastRenderedPageBreak/>
        <w:t>W 2020 roku wprowadzono następujące nowe rozwiązania usprawniające funkcjonowanie komunikacji zbiorowej oraz poprawiające obsługę komunikacyjną osiedli:</w:t>
      </w:r>
    </w:p>
    <w:p w:rsidR="008C7751" w:rsidRPr="00E00B35" w:rsidRDefault="008C7751" w:rsidP="00E00B35">
      <w:pPr>
        <w:pStyle w:val="Tekstpodstawowy"/>
        <w:numPr>
          <w:ilvl w:val="0"/>
          <w:numId w:val="40"/>
        </w:numPr>
        <w:suppressAutoHyphens/>
        <w:spacing w:after="0" w:line="312" w:lineRule="auto"/>
        <w:ind w:left="567" w:hanging="567"/>
        <w:rPr>
          <w:szCs w:val="20"/>
        </w:rPr>
      </w:pPr>
      <w:r w:rsidRPr="00E00B35">
        <w:rPr>
          <w:szCs w:val="20"/>
        </w:rPr>
        <w:t>Uruchomienie 3 nowych linii autobusowych: 151 na trasie Pawłowice – Psie Pole – plac Grunwaldzki, 744 łączącej ulicę Wojszycką z pętlą tramwajową Krzyki oraz 941 w zakresie rozbudowy połączeń komunikacyjnych pomiędzy Wrocławiem, a miejscowościami na terenie gminy Długołęka;</w:t>
      </w:r>
    </w:p>
    <w:p w:rsidR="008C7751" w:rsidRPr="00E00B35" w:rsidRDefault="008C7751" w:rsidP="00E00B35">
      <w:pPr>
        <w:pStyle w:val="Tekstpodstawowy"/>
        <w:numPr>
          <w:ilvl w:val="0"/>
          <w:numId w:val="40"/>
        </w:numPr>
        <w:suppressAutoHyphens/>
        <w:spacing w:after="0" w:line="312" w:lineRule="auto"/>
        <w:ind w:left="567" w:hanging="567"/>
        <w:rPr>
          <w:szCs w:val="20"/>
        </w:rPr>
      </w:pPr>
      <w:r w:rsidRPr="00E00B35">
        <w:rPr>
          <w:szCs w:val="20"/>
        </w:rPr>
        <w:t>Zmiana tras 5 linii autobusowych: linię 127 wydłużono od pętli Kozanów przez ulicę Pilczycką i Maślicką do pętli przy ulicy Koziej, linię 130 skierowano od ulicy Bora-Komorowskiego do pętli na osiedlu Sobieskiego, linie 144 i 259 przedłużono od ulicy Wojszyckiej do pętli przy ulicy Zwycięskiej oraz linii 715 skierowano przez pętlę Sępolno dla ułatwienia przesiadek do komunikacji tramwajowej (linie 9, 17 i 33);</w:t>
      </w:r>
    </w:p>
    <w:p w:rsidR="008C7751" w:rsidRPr="00E00B35" w:rsidRDefault="008C7751" w:rsidP="00E00B35">
      <w:pPr>
        <w:pStyle w:val="Tekstpodstawowy"/>
        <w:numPr>
          <w:ilvl w:val="0"/>
          <w:numId w:val="40"/>
        </w:numPr>
        <w:suppressAutoHyphens/>
        <w:spacing w:after="0" w:line="312" w:lineRule="auto"/>
        <w:ind w:left="567" w:hanging="567"/>
        <w:rPr>
          <w:szCs w:val="20"/>
        </w:rPr>
      </w:pPr>
      <w:r w:rsidRPr="00E00B35">
        <w:rPr>
          <w:szCs w:val="20"/>
        </w:rPr>
        <w:t>Uruchomienie wybranych kursów linii 133 do Centrum Handlowego „Aleja Bielany”;</w:t>
      </w:r>
    </w:p>
    <w:p w:rsidR="008C7751" w:rsidRPr="00E00B35" w:rsidRDefault="008C7751" w:rsidP="00E00B35">
      <w:pPr>
        <w:pStyle w:val="Tekstpodstawowy"/>
        <w:numPr>
          <w:ilvl w:val="0"/>
          <w:numId w:val="40"/>
        </w:numPr>
        <w:suppressAutoHyphens/>
        <w:spacing w:after="0" w:line="312" w:lineRule="auto"/>
        <w:ind w:left="567" w:hanging="567"/>
        <w:rPr>
          <w:szCs w:val="20"/>
        </w:rPr>
      </w:pPr>
      <w:r w:rsidRPr="00E00B35">
        <w:rPr>
          <w:szCs w:val="20"/>
        </w:rPr>
        <w:t>Zwiększenie częstotliwości kursowania 4 linii autobusowych: 110, 116, 129 (w godzinach szczytowych) i 908 (w godzinach szczytowych);</w:t>
      </w:r>
    </w:p>
    <w:p w:rsidR="008C7751" w:rsidRPr="00E00B35" w:rsidRDefault="008C7751" w:rsidP="00E00B35">
      <w:pPr>
        <w:pStyle w:val="Tekstpodstawowy"/>
        <w:numPr>
          <w:ilvl w:val="0"/>
          <w:numId w:val="40"/>
        </w:numPr>
        <w:suppressAutoHyphens/>
        <w:spacing w:after="0" w:line="312" w:lineRule="auto"/>
        <w:ind w:left="567" w:hanging="567"/>
        <w:rPr>
          <w:szCs w:val="20"/>
        </w:rPr>
      </w:pPr>
      <w:r w:rsidRPr="00E00B35">
        <w:rPr>
          <w:szCs w:val="20"/>
        </w:rPr>
        <w:t>Uruchomienie nowych przystanków: „Bierutowska (Ośrodek zdrowia)” na linii 150 w obu kierunkach, „Strzegomska (Muzeum Współczesne)” na trasie przejazdu autobusów linii 106, 107, 109, 132, 142, 148 i 609, „Bierutowska 65” w trasie przejazdu autobusów 904, 914 i 924, „Ogród Botaniczny” w trasie przejazdu autobusów linii 111;</w:t>
      </w:r>
    </w:p>
    <w:p w:rsidR="008C7751" w:rsidRPr="00E00B35" w:rsidRDefault="008C7751" w:rsidP="00E00B35">
      <w:pPr>
        <w:pStyle w:val="Tekstpodstawowy"/>
        <w:numPr>
          <w:ilvl w:val="0"/>
          <w:numId w:val="40"/>
        </w:numPr>
        <w:suppressAutoHyphens/>
        <w:spacing w:after="0" w:line="312" w:lineRule="auto"/>
        <w:ind w:left="567" w:hanging="567"/>
        <w:rPr>
          <w:szCs w:val="20"/>
        </w:rPr>
      </w:pPr>
      <w:r w:rsidRPr="00E00B35">
        <w:rPr>
          <w:szCs w:val="20"/>
        </w:rPr>
        <w:t>Zmiana statusu przystanków „na żądanie” dla linii dziennych na przystanki stałe: „Wrocławski Park Przemysłowy” oraz „Katedra”.</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pStyle w:val="Styl1NagwkiGwne"/>
        <w:numPr>
          <w:ilvl w:val="1"/>
          <w:numId w:val="30"/>
        </w:numPr>
        <w:spacing w:line="312" w:lineRule="auto"/>
        <w:ind w:left="567" w:hanging="567"/>
        <w:jc w:val="left"/>
      </w:pPr>
      <w:r w:rsidRPr="00E00B35">
        <w:t>Pozostałe działania</w:t>
      </w:r>
    </w:p>
    <w:p w:rsidR="008C7751" w:rsidRPr="00E00B35" w:rsidRDefault="008C7751" w:rsidP="00E00B35">
      <w:pPr>
        <w:pStyle w:val="Tekstpodstawowy"/>
        <w:numPr>
          <w:ilvl w:val="0"/>
          <w:numId w:val="41"/>
        </w:numPr>
        <w:suppressAutoHyphens/>
        <w:spacing w:after="0" w:line="312" w:lineRule="auto"/>
        <w:ind w:left="567" w:hanging="567"/>
        <w:rPr>
          <w:szCs w:val="20"/>
        </w:rPr>
      </w:pPr>
      <w:r w:rsidRPr="00E00B35">
        <w:rPr>
          <w:szCs w:val="20"/>
        </w:rPr>
        <w:t>Wydano wytyczne do przebudowy przystanków tramwajowych w rejonie ulic Szewska i Teatralna, św. Katarzyny, Grabiszyńska, których celem będzie poprawa dostępności do transportu zbiorowego;</w:t>
      </w:r>
    </w:p>
    <w:p w:rsidR="008C7751" w:rsidRPr="00E00B35" w:rsidRDefault="008C7751" w:rsidP="00E00B35">
      <w:pPr>
        <w:pStyle w:val="Tekstpodstawowy"/>
        <w:numPr>
          <w:ilvl w:val="0"/>
          <w:numId w:val="41"/>
        </w:numPr>
        <w:suppressAutoHyphens/>
        <w:spacing w:after="0" w:line="312" w:lineRule="auto"/>
        <w:ind w:left="567" w:hanging="567"/>
        <w:rPr>
          <w:szCs w:val="20"/>
        </w:rPr>
      </w:pPr>
      <w:r w:rsidRPr="00E00B35">
        <w:rPr>
          <w:szCs w:val="20"/>
        </w:rPr>
        <w:t>Wydano wytyczne dla planowanej przebudowy infrastruktury przystankowej „Poprawa dostępności przystanków komunikacji zbiorowej oraz powiązań dla pieszych i rowerzystów w rejonie skrzyżowania ulic Dubois-Drobnera”;</w:t>
      </w:r>
    </w:p>
    <w:p w:rsidR="008C7751" w:rsidRPr="00E00B35" w:rsidRDefault="008C7751" w:rsidP="00E00B35">
      <w:pPr>
        <w:pStyle w:val="Tekstpodstawowy"/>
        <w:numPr>
          <w:ilvl w:val="0"/>
          <w:numId w:val="41"/>
        </w:numPr>
        <w:suppressAutoHyphens/>
        <w:spacing w:after="0" w:line="312" w:lineRule="auto"/>
        <w:ind w:left="567" w:hanging="567"/>
        <w:rPr>
          <w:szCs w:val="20"/>
        </w:rPr>
      </w:pPr>
      <w:r w:rsidRPr="00E00B35">
        <w:rPr>
          <w:szCs w:val="20"/>
        </w:rPr>
        <w:t>Rozpoczęto prace nad analizą węzłów przesiadkowych, w ramach której przeanalizowane będą wybrane główne węzły przesiadkowe. Ocenione zostaną elementy takie, jak wyposażenie przystanków, stan nawierzchni, dostępność dla osób z niepełnosprawnościami, stan techniczny nawierzchni, występujące konflikty przestrzenne i inne problemy związane z funkcjonowaniem różnych form transportu w rejonie węzła;</w:t>
      </w:r>
    </w:p>
    <w:p w:rsidR="008C7751" w:rsidRPr="00E00B35" w:rsidRDefault="008C7751" w:rsidP="00E00B35">
      <w:pPr>
        <w:pStyle w:val="Tekstpodstawowy"/>
        <w:numPr>
          <w:ilvl w:val="0"/>
          <w:numId w:val="41"/>
        </w:numPr>
        <w:suppressAutoHyphens/>
        <w:spacing w:after="0" w:line="312" w:lineRule="auto"/>
        <w:ind w:left="567" w:hanging="567"/>
        <w:rPr>
          <w:szCs w:val="20"/>
        </w:rPr>
      </w:pPr>
      <w:r w:rsidRPr="00E00B35">
        <w:rPr>
          <w:szCs w:val="20"/>
        </w:rPr>
        <w:t>Przeprowadzono spotkania z Radami Osiedli: Pawłowice, Gaj, Krzyki - Partynice, Jagodno, Psie Pole - Zawidawie, Lipa Piotrowska oraz Ołtaszyn, na których rozmawiano o rozwiązaniach usprawniających funkcjonowanie komunikacji zbiorowej na danych osiedlach. Efektem tych spotkań są wprowadzone w 2020 roku zmiany w obsłudze autobusowej;</w:t>
      </w:r>
    </w:p>
    <w:p w:rsidR="008C7751" w:rsidRPr="00E00B35" w:rsidRDefault="008C7751" w:rsidP="00E00B35">
      <w:pPr>
        <w:pStyle w:val="Tekstpodstawowy"/>
        <w:numPr>
          <w:ilvl w:val="0"/>
          <w:numId w:val="41"/>
        </w:numPr>
        <w:suppressAutoHyphens/>
        <w:spacing w:after="0" w:line="312" w:lineRule="auto"/>
        <w:ind w:left="567" w:hanging="567"/>
        <w:rPr>
          <w:szCs w:val="20"/>
        </w:rPr>
      </w:pPr>
      <w:r w:rsidRPr="00E00B35">
        <w:rPr>
          <w:szCs w:val="20"/>
        </w:rPr>
        <w:t xml:space="preserve">Brano udział w konsultacjach pomiędzy gminą Wrocław, Spółką PKP Polskie Linie Kolejowe S.A. oraz Marszałkiem Województwa Dolnośląskiego wydanego przez Ministerstwo Infrastruktury „Programu budowy/modernizacji 200 przystanków </w:t>
      </w:r>
      <w:r w:rsidRPr="00E00B35">
        <w:rPr>
          <w:szCs w:val="20"/>
        </w:rPr>
        <w:lastRenderedPageBreak/>
        <w:t>kolejowych na lata 2020 – 2025” w zakresie lokalizacji przystanków kolejowych w ciągu linii kolejowej numer 143;</w:t>
      </w:r>
    </w:p>
    <w:p w:rsidR="008C7751" w:rsidRPr="00E00B35" w:rsidRDefault="008C7751" w:rsidP="00E00B35">
      <w:pPr>
        <w:pStyle w:val="Tekstpodstawowy"/>
        <w:numPr>
          <w:ilvl w:val="0"/>
          <w:numId w:val="41"/>
        </w:numPr>
        <w:suppressAutoHyphens/>
        <w:spacing w:after="0" w:line="312" w:lineRule="auto"/>
        <w:rPr>
          <w:szCs w:val="20"/>
        </w:rPr>
      </w:pPr>
      <w:r w:rsidRPr="00E00B35">
        <w:rPr>
          <w:szCs w:val="20"/>
        </w:rPr>
        <w:t>Uczestniczono w pracach nad OPZ do „Planu zrównoważonego rozwoju publicznego transportu zbiorowego Wrocławia na lata 2023 – 2030”.</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pStyle w:val="Nagwek4"/>
        <w:spacing w:before="0" w:after="0" w:line="312" w:lineRule="auto"/>
        <w:rPr>
          <w:sz w:val="20"/>
          <w:szCs w:val="20"/>
        </w:rPr>
      </w:pPr>
      <w:bookmarkStart w:id="932" w:name="_Toc66358356"/>
      <w:r w:rsidRPr="00E00B35">
        <w:rPr>
          <w:sz w:val="20"/>
          <w:szCs w:val="20"/>
        </w:rPr>
        <w:t>Rozwój ruchu rowerowego</w:t>
      </w:r>
      <w:bookmarkEnd w:id="932"/>
    </w:p>
    <w:p w:rsidR="00890136" w:rsidRPr="00E00B35" w:rsidRDefault="00890136" w:rsidP="00E00B35">
      <w:pPr>
        <w:pStyle w:val="Nagwek4"/>
        <w:spacing w:before="0" w:after="0" w:line="312" w:lineRule="auto"/>
        <w:rPr>
          <w:sz w:val="20"/>
          <w:szCs w:val="20"/>
        </w:rPr>
      </w:pPr>
    </w:p>
    <w:p w:rsidR="008C7751" w:rsidRPr="00E00B35" w:rsidRDefault="008C7751" w:rsidP="00E00B35">
      <w:pPr>
        <w:pStyle w:val="Styl1NagwkiGwne"/>
        <w:numPr>
          <w:ilvl w:val="1"/>
          <w:numId w:val="120"/>
        </w:numPr>
        <w:spacing w:line="312" w:lineRule="auto"/>
        <w:ind w:left="567" w:hanging="567"/>
        <w:jc w:val="left"/>
      </w:pPr>
      <w:r w:rsidRPr="00E00B35">
        <w:t>Trasy rowerowe</w:t>
      </w:r>
    </w:p>
    <w:p w:rsidR="008C7751" w:rsidRPr="00E00B35" w:rsidRDefault="008C7751" w:rsidP="00E00B35">
      <w:pPr>
        <w:spacing w:after="0" w:line="312" w:lineRule="auto"/>
        <w:rPr>
          <w:szCs w:val="20"/>
        </w:rPr>
      </w:pPr>
      <w:r w:rsidRPr="00E00B35">
        <w:rPr>
          <w:szCs w:val="20"/>
        </w:rPr>
        <w:t xml:space="preserve">Budowa nowej i remont istniejącej infrastruktury dla rowerów to jedno z podstawowych narzędzi promowania aktywnej mobilności. Główny cel to ciągłe budowanie odcinków dróg dla rowerów, aby istniejącą infrastrukturę domknąć w spójną sieć. W 2020 roku zrealizowano łącznie około 32 km nowych tras rowerowych, w tym: 8,65 km tak zwanej „twardej infrastruktury”, 0,5 km kontrapasów i 23,22 km dopuszczonego kontraruchu. Jedną z ważniejszych inwestycji było wybudowanie trasy rowerowej łączącej ulice Dworcową, Podwale, Komuny Paryskiej i Krasińskiego, która spaja ścisłe centrum miasta. Z kolei budowa drogi dla rowerów na alei Karkonoskiej, na odcinku od ulicy Krzyckiej do gminy Kobierzyce stanowi przykład działania łączącego Wrocław z trasami rowerowymi gmin aglomeracji. Inwestycja jest w trakcie realizacji, a jej oddanie do użytku planuje się na wiosnę 2021 roku. W ramach realizacji ważnych powiązań pieszo - rowerowych zrealizowano pierwszy odcinek Promenady Krzyckiej na odcinku pomiędzy ulicą Spiską i Borowską. </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W ramach całego Programu Rowerowego w 2020 roku zrealizowano następujące zadania:</w:t>
      </w:r>
    </w:p>
    <w:p w:rsidR="008C7751" w:rsidRPr="00E00B35" w:rsidRDefault="008C7751" w:rsidP="00E00B35">
      <w:pPr>
        <w:pStyle w:val="Tekstpodstawowy"/>
        <w:numPr>
          <w:ilvl w:val="0"/>
          <w:numId w:val="42"/>
        </w:numPr>
        <w:suppressAutoHyphens/>
        <w:spacing w:after="0" w:line="312" w:lineRule="auto"/>
        <w:ind w:left="567" w:hanging="567"/>
        <w:rPr>
          <w:szCs w:val="20"/>
        </w:rPr>
      </w:pPr>
      <w:r w:rsidRPr="00E00B35">
        <w:rPr>
          <w:szCs w:val="20"/>
        </w:rPr>
        <w:t>Drogi dla rowerów i pieszych na ulicach: Fabryczna, Otyńska, Królewska, Żagańska, Krzywej Grobli oraz na osiedlu Gądów Mały;</w:t>
      </w:r>
    </w:p>
    <w:p w:rsidR="008C7751" w:rsidRPr="00E00B35" w:rsidRDefault="008C7751" w:rsidP="00E00B35">
      <w:pPr>
        <w:pStyle w:val="Tekstpodstawowy"/>
        <w:numPr>
          <w:ilvl w:val="0"/>
          <w:numId w:val="42"/>
        </w:numPr>
        <w:suppressAutoHyphens/>
        <w:spacing w:after="0" w:line="312" w:lineRule="auto"/>
        <w:ind w:left="567" w:hanging="567"/>
        <w:rPr>
          <w:szCs w:val="20"/>
        </w:rPr>
      </w:pPr>
      <w:r w:rsidRPr="00E00B35">
        <w:rPr>
          <w:szCs w:val="20"/>
        </w:rPr>
        <w:t>Jednokierunkowe drogi dla rowerów na ulicach: Swojczycka, Ludowa, Berenta, Strzegomska;</w:t>
      </w:r>
    </w:p>
    <w:p w:rsidR="008C7751" w:rsidRPr="00E00B35" w:rsidRDefault="008C7751" w:rsidP="00E00B35">
      <w:pPr>
        <w:pStyle w:val="Tekstpodstawowy"/>
        <w:numPr>
          <w:ilvl w:val="0"/>
          <w:numId w:val="42"/>
        </w:numPr>
        <w:suppressAutoHyphens/>
        <w:spacing w:after="0" w:line="312" w:lineRule="auto"/>
        <w:ind w:left="567" w:hanging="567"/>
        <w:rPr>
          <w:szCs w:val="20"/>
        </w:rPr>
      </w:pPr>
      <w:r w:rsidRPr="00E00B35">
        <w:rPr>
          <w:szCs w:val="20"/>
        </w:rPr>
        <w:t xml:space="preserve">Dwukierunkowe drogi dla rowerów na alei Karkonoskiej, ulicy Powstańców Śląskich, w ciągu drogi wojewódzkiej numer 342, wzdłuż trasy autobusowo-tramwajowej łączącej Nowy Dwór z Centrum Wrocławia; </w:t>
      </w:r>
    </w:p>
    <w:p w:rsidR="008C7751" w:rsidRPr="00E00B35" w:rsidRDefault="008C7751" w:rsidP="00E00B35">
      <w:pPr>
        <w:pStyle w:val="Tekstpodstawowy"/>
        <w:numPr>
          <w:ilvl w:val="0"/>
          <w:numId w:val="42"/>
        </w:numPr>
        <w:suppressAutoHyphens/>
        <w:spacing w:after="0" w:line="312" w:lineRule="auto"/>
        <w:ind w:left="567" w:hanging="567"/>
        <w:rPr>
          <w:szCs w:val="20"/>
        </w:rPr>
      </w:pPr>
      <w:r w:rsidRPr="00E00B35">
        <w:rPr>
          <w:szCs w:val="20"/>
        </w:rPr>
        <w:t>Kontrapas i pas ruchu dla rowerów na ulicy Strzegomskiej;</w:t>
      </w:r>
    </w:p>
    <w:p w:rsidR="008C7751" w:rsidRPr="00E00B35" w:rsidRDefault="008C7751" w:rsidP="00E00B35">
      <w:pPr>
        <w:pStyle w:val="Tekstpodstawowy"/>
        <w:numPr>
          <w:ilvl w:val="0"/>
          <w:numId w:val="42"/>
        </w:numPr>
        <w:suppressAutoHyphens/>
        <w:spacing w:after="0" w:line="312" w:lineRule="auto"/>
        <w:ind w:left="567" w:hanging="567"/>
        <w:rPr>
          <w:szCs w:val="20"/>
        </w:rPr>
      </w:pPr>
      <w:r w:rsidRPr="00E00B35">
        <w:rPr>
          <w:szCs w:val="20"/>
        </w:rPr>
        <w:t>Kładka dla pieszych i rowerów: wykonano remont kładki Siedleckiej;</w:t>
      </w:r>
    </w:p>
    <w:p w:rsidR="008C7751" w:rsidRPr="00E00B35" w:rsidRDefault="008C7751" w:rsidP="00E00B35">
      <w:pPr>
        <w:pStyle w:val="Tekstpodstawowy"/>
        <w:numPr>
          <w:ilvl w:val="0"/>
          <w:numId w:val="42"/>
        </w:numPr>
        <w:suppressAutoHyphens/>
        <w:spacing w:after="0" w:line="312" w:lineRule="auto"/>
        <w:ind w:left="567" w:hanging="567"/>
        <w:rPr>
          <w:szCs w:val="20"/>
        </w:rPr>
      </w:pPr>
      <w:r w:rsidRPr="00E00B35">
        <w:rPr>
          <w:szCs w:val="20"/>
        </w:rPr>
        <w:t>Kontraruch rowerowy na ponad 40 ulicach Wrocławia;</w:t>
      </w:r>
    </w:p>
    <w:p w:rsidR="008C7751" w:rsidRPr="00E00B35" w:rsidRDefault="008C7751" w:rsidP="00E00B35">
      <w:pPr>
        <w:pStyle w:val="Tekstpodstawowy"/>
        <w:numPr>
          <w:ilvl w:val="0"/>
          <w:numId w:val="42"/>
        </w:numPr>
        <w:suppressAutoHyphens/>
        <w:spacing w:after="0" w:line="312" w:lineRule="auto"/>
        <w:ind w:left="567" w:hanging="567"/>
        <w:rPr>
          <w:szCs w:val="20"/>
        </w:rPr>
      </w:pPr>
      <w:r w:rsidRPr="00E00B35">
        <w:rPr>
          <w:szCs w:val="20"/>
        </w:rPr>
        <w:t>Opracowano dokumentację projektową dla budowy kładki w ciągu ulic Francuska – Trawowa.</w:t>
      </w:r>
    </w:p>
    <w:p w:rsidR="008C7751" w:rsidRPr="00E00B35" w:rsidRDefault="008C7751" w:rsidP="00E00B35">
      <w:pPr>
        <w:pStyle w:val="Tekstpodstawowy"/>
        <w:suppressAutoHyphens/>
        <w:spacing w:after="0" w:line="312" w:lineRule="auto"/>
        <w:ind w:left="567" w:hanging="567"/>
        <w:rPr>
          <w:szCs w:val="20"/>
        </w:rPr>
      </w:pPr>
    </w:p>
    <w:p w:rsidR="008C7751" w:rsidRPr="00E00B35" w:rsidRDefault="008C7751" w:rsidP="00E00B35">
      <w:pPr>
        <w:pStyle w:val="Styl1NagwkiGwne"/>
        <w:numPr>
          <w:ilvl w:val="1"/>
          <w:numId w:val="120"/>
        </w:numPr>
        <w:spacing w:line="312" w:lineRule="auto"/>
        <w:ind w:left="567" w:hanging="567"/>
        <w:jc w:val="left"/>
      </w:pPr>
      <w:r w:rsidRPr="00E00B35">
        <w:t>Parkingi rowerowe B&amp;R</w:t>
      </w:r>
    </w:p>
    <w:p w:rsidR="008C7751" w:rsidRPr="00E00B35" w:rsidRDefault="008C7751" w:rsidP="00E00B35">
      <w:pPr>
        <w:spacing w:after="0" w:line="312" w:lineRule="auto"/>
        <w:rPr>
          <w:szCs w:val="20"/>
        </w:rPr>
      </w:pPr>
      <w:r w:rsidRPr="00E00B35">
        <w:rPr>
          <w:szCs w:val="20"/>
        </w:rPr>
        <w:t>W 2020 roku wybudowano dodatkową wiatę dla rowerów na parkingu Bike&amp;Ride na pętli tramwajowej Leśnica. Zwiększono tym samym liczbę miejsc parkingowych dla rowerów w ramach pętli do 40.</w:t>
      </w:r>
    </w:p>
    <w:p w:rsidR="008C7751" w:rsidRPr="00E00B35" w:rsidRDefault="008C7751" w:rsidP="00E00B35">
      <w:pPr>
        <w:spacing w:after="0" w:line="312" w:lineRule="auto"/>
        <w:rPr>
          <w:szCs w:val="20"/>
        </w:rPr>
      </w:pPr>
    </w:p>
    <w:p w:rsidR="008C7751" w:rsidRPr="00E00B35" w:rsidRDefault="008C7751" w:rsidP="00E00B35">
      <w:pPr>
        <w:pStyle w:val="Styl1NagwkiGwne"/>
        <w:numPr>
          <w:ilvl w:val="1"/>
          <w:numId w:val="120"/>
        </w:numPr>
        <w:spacing w:line="312" w:lineRule="auto"/>
        <w:ind w:left="567" w:hanging="567"/>
        <w:jc w:val="left"/>
      </w:pPr>
      <w:r w:rsidRPr="00E00B35">
        <w:t>Pomiary ruchu rowerowego</w:t>
      </w:r>
    </w:p>
    <w:p w:rsidR="008C7751" w:rsidRPr="00E00B35" w:rsidRDefault="008C7751" w:rsidP="00E00B35">
      <w:pPr>
        <w:spacing w:after="0" w:line="312" w:lineRule="auto"/>
        <w:rPr>
          <w:szCs w:val="20"/>
        </w:rPr>
      </w:pPr>
      <w:r w:rsidRPr="00E00B35">
        <w:rPr>
          <w:szCs w:val="20"/>
        </w:rPr>
        <w:t>Na wykonanie pomiarów ruchu rowerowego w 2020 roku wybrano Most Grunwaldzki oraz skrzyżowania ulic:</w:t>
      </w:r>
    </w:p>
    <w:p w:rsidR="008C7751" w:rsidRPr="00E00B35" w:rsidRDefault="008C7751" w:rsidP="00E00B35">
      <w:pPr>
        <w:pStyle w:val="Tekstpodstawowy"/>
        <w:numPr>
          <w:ilvl w:val="0"/>
          <w:numId w:val="43"/>
        </w:numPr>
        <w:suppressAutoHyphens/>
        <w:spacing w:after="0" w:line="312" w:lineRule="auto"/>
        <w:ind w:left="567" w:hanging="567"/>
        <w:rPr>
          <w:szCs w:val="20"/>
        </w:rPr>
      </w:pPr>
      <w:r w:rsidRPr="00E00B35">
        <w:rPr>
          <w:szCs w:val="20"/>
        </w:rPr>
        <w:lastRenderedPageBreak/>
        <w:t>Widok i Kazimierza Wielkiego oraz Świdnickiej i Kazimierza Wielkiego;</w:t>
      </w:r>
    </w:p>
    <w:p w:rsidR="008C7751" w:rsidRPr="00E00B35" w:rsidRDefault="008C7751" w:rsidP="00E00B35">
      <w:pPr>
        <w:pStyle w:val="Tekstpodstawowy"/>
        <w:numPr>
          <w:ilvl w:val="0"/>
          <w:numId w:val="43"/>
        </w:numPr>
        <w:suppressAutoHyphens/>
        <w:spacing w:after="0" w:line="312" w:lineRule="auto"/>
        <w:ind w:left="567" w:hanging="567"/>
        <w:rPr>
          <w:szCs w:val="20"/>
        </w:rPr>
      </w:pPr>
      <w:r w:rsidRPr="00E00B35">
        <w:rPr>
          <w:szCs w:val="20"/>
        </w:rPr>
        <w:t>Powstańców Śląskich i Swobodnej;</w:t>
      </w:r>
    </w:p>
    <w:p w:rsidR="008C7751" w:rsidRPr="00E00B35" w:rsidRDefault="008C7751" w:rsidP="00E00B35">
      <w:pPr>
        <w:pStyle w:val="Tekstpodstawowy"/>
        <w:numPr>
          <w:ilvl w:val="0"/>
          <w:numId w:val="43"/>
        </w:numPr>
        <w:suppressAutoHyphens/>
        <w:spacing w:after="0" w:line="312" w:lineRule="auto"/>
        <w:ind w:left="567" w:hanging="567"/>
        <w:rPr>
          <w:szCs w:val="20"/>
        </w:rPr>
      </w:pPr>
      <w:r w:rsidRPr="00E00B35">
        <w:rPr>
          <w:szCs w:val="20"/>
        </w:rPr>
        <w:t>Świętego Mikołaja i Nowy Świat;</w:t>
      </w:r>
    </w:p>
    <w:p w:rsidR="008C7751" w:rsidRPr="00E00B35" w:rsidRDefault="008C7751" w:rsidP="00E00B35">
      <w:pPr>
        <w:pStyle w:val="Tekstpodstawowy"/>
        <w:numPr>
          <w:ilvl w:val="0"/>
          <w:numId w:val="43"/>
        </w:numPr>
        <w:suppressAutoHyphens/>
        <w:spacing w:after="0" w:line="312" w:lineRule="auto"/>
        <w:ind w:left="567" w:hanging="567"/>
        <w:rPr>
          <w:szCs w:val="20"/>
        </w:rPr>
      </w:pPr>
      <w:r w:rsidRPr="00E00B35">
        <w:rPr>
          <w:szCs w:val="20"/>
        </w:rPr>
        <w:t>Legnickiej, Nabycińskiej i Rybackiej;</w:t>
      </w:r>
    </w:p>
    <w:p w:rsidR="008C7751" w:rsidRPr="00E00B35" w:rsidRDefault="008C7751" w:rsidP="00E00B35">
      <w:pPr>
        <w:pStyle w:val="Tekstpodstawowy"/>
        <w:numPr>
          <w:ilvl w:val="0"/>
          <w:numId w:val="43"/>
        </w:numPr>
        <w:suppressAutoHyphens/>
        <w:spacing w:after="0" w:line="312" w:lineRule="auto"/>
        <w:ind w:left="567" w:hanging="567"/>
        <w:rPr>
          <w:szCs w:val="20"/>
        </w:rPr>
      </w:pPr>
      <w:r w:rsidRPr="00E00B35">
        <w:rPr>
          <w:szCs w:val="20"/>
        </w:rPr>
        <w:t>Purkyniego i Wyszyńskiego;</w:t>
      </w:r>
    </w:p>
    <w:p w:rsidR="008C7751" w:rsidRPr="00E00B35" w:rsidRDefault="008C7751" w:rsidP="00E00B35">
      <w:pPr>
        <w:pStyle w:val="Tekstpodstawowy"/>
        <w:numPr>
          <w:ilvl w:val="0"/>
          <w:numId w:val="43"/>
        </w:numPr>
        <w:suppressAutoHyphens/>
        <w:spacing w:after="0" w:line="312" w:lineRule="auto"/>
        <w:ind w:left="567" w:hanging="567"/>
        <w:rPr>
          <w:szCs w:val="20"/>
        </w:rPr>
      </w:pPr>
      <w:r w:rsidRPr="00E00B35">
        <w:rPr>
          <w:szCs w:val="20"/>
        </w:rPr>
        <w:t>Grodzkiej z Mostem Uniwersyteckim;</w:t>
      </w:r>
    </w:p>
    <w:p w:rsidR="008C7751" w:rsidRPr="00E00B35" w:rsidRDefault="008C7751" w:rsidP="00E00B35">
      <w:pPr>
        <w:pStyle w:val="Tekstpodstawowy"/>
        <w:numPr>
          <w:ilvl w:val="0"/>
          <w:numId w:val="43"/>
        </w:numPr>
        <w:suppressAutoHyphens/>
        <w:spacing w:after="0" w:line="312" w:lineRule="auto"/>
        <w:ind w:left="567" w:hanging="567"/>
        <w:rPr>
          <w:szCs w:val="20"/>
        </w:rPr>
      </w:pPr>
      <w:r w:rsidRPr="00E00B35">
        <w:rPr>
          <w:szCs w:val="20"/>
        </w:rPr>
        <w:t>Piaskowej i Grodzkiej;</w:t>
      </w:r>
    </w:p>
    <w:p w:rsidR="008C7751" w:rsidRPr="00E00B35" w:rsidRDefault="008C7751" w:rsidP="00E00B35">
      <w:pPr>
        <w:pStyle w:val="Tekstpodstawowy"/>
        <w:numPr>
          <w:ilvl w:val="0"/>
          <w:numId w:val="43"/>
        </w:numPr>
        <w:suppressAutoHyphens/>
        <w:spacing w:after="0" w:line="312" w:lineRule="auto"/>
        <w:ind w:left="567" w:hanging="567"/>
        <w:rPr>
          <w:szCs w:val="20"/>
        </w:rPr>
      </w:pPr>
      <w:r w:rsidRPr="00E00B35">
        <w:rPr>
          <w:szCs w:val="20"/>
        </w:rPr>
        <w:t>Grabiszyńskiej i Piłsudskiego;</w:t>
      </w:r>
    </w:p>
    <w:p w:rsidR="008C7751" w:rsidRPr="00E00B35" w:rsidRDefault="008C7751" w:rsidP="00E00B35">
      <w:pPr>
        <w:pStyle w:val="Tekstpodstawowy"/>
        <w:numPr>
          <w:ilvl w:val="0"/>
          <w:numId w:val="43"/>
        </w:numPr>
        <w:suppressAutoHyphens/>
        <w:spacing w:after="0" w:line="312" w:lineRule="auto"/>
        <w:ind w:left="567" w:hanging="567"/>
        <w:rPr>
          <w:szCs w:val="20"/>
        </w:rPr>
      </w:pPr>
      <w:r w:rsidRPr="00E00B35">
        <w:rPr>
          <w:szCs w:val="20"/>
        </w:rPr>
        <w:t>Dworcowej i Piłsudskiego;</w:t>
      </w:r>
    </w:p>
    <w:p w:rsidR="008C7751" w:rsidRPr="00E00B35" w:rsidRDefault="008C7751" w:rsidP="00E00B35">
      <w:pPr>
        <w:pStyle w:val="Tekstpodstawowy"/>
        <w:numPr>
          <w:ilvl w:val="0"/>
          <w:numId w:val="43"/>
        </w:numPr>
        <w:suppressAutoHyphens/>
        <w:spacing w:after="0" w:line="312" w:lineRule="auto"/>
        <w:ind w:left="567" w:hanging="567"/>
        <w:rPr>
          <w:szCs w:val="20"/>
        </w:rPr>
      </w:pPr>
      <w:r w:rsidRPr="00E00B35">
        <w:rPr>
          <w:szCs w:val="20"/>
        </w:rPr>
        <w:t>Swobodnej i Borowskiej;</w:t>
      </w:r>
    </w:p>
    <w:p w:rsidR="008C7751" w:rsidRPr="00E00B35" w:rsidRDefault="008C7751" w:rsidP="00E00B35">
      <w:pPr>
        <w:pStyle w:val="Tekstpodstawowy"/>
        <w:numPr>
          <w:ilvl w:val="0"/>
          <w:numId w:val="43"/>
        </w:numPr>
        <w:suppressAutoHyphens/>
        <w:spacing w:after="0" w:line="312" w:lineRule="auto"/>
        <w:ind w:left="567" w:hanging="567"/>
        <w:rPr>
          <w:szCs w:val="20"/>
        </w:rPr>
      </w:pPr>
      <w:r w:rsidRPr="00E00B35">
        <w:rPr>
          <w:szCs w:val="20"/>
        </w:rPr>
        <w:t>Jedności Narodowej i Słowiańskiej.</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spacing w:after="0" w:line="312" w:lineRule="auto"/>
        <w:rPr>
          <w:szCs w:val="20"/>
        </w:rPr>
      </w:pPr>
      <w:r w:rsidRPr="00E00B35">
        <w:rPr>
          <w:szCs w:val="20"/>
        </w:rPr>
        <w:t>Badania pomiarowe wykonano w okresie zmniejszonej ruchliwości wrocławian z uwagi na pandemię COVID-19. Wiele zakładów pracy zdecydowało się na pracę zdalną, nie funkcjonowały szkoły podstawowe, średnie i uczelnie, zamknięto obiekty rekreacyjne oraz obowiązywały rządowe wytyczne wymuszające ograniczenia w przemieszczaniu. Dlatego wyniki pomiarów natężeń ruchu rowerowego nie są miarodajne do oceny tendencji rozwoju, ale są cennym źródłem informacji o zachodzących zmianach.</w:t>
      </w:r>
    </w:p>
    <w:p w:rsidR="008C7751" w:rsidRPr="00E00B35" w:rsidRDefault="008C7751" w:rsidP="00E00B35">
      <w:pPr>
        <w:spacing w:after="0" w:line="312" w:lineRule="auto"/>
        <w:rPr>
          <w:szCs w:val="20"/>
        </w:rPr>
      </w:pPr>
    </w:p>
    <w:p w:rsidR="008C7751" w:rsidRPr="00E00B35" w:rsidRDefault="008C7751" w:rsidP="00E00B35">
      <w:pPr>
        <w:pStyle w:val="Styl1NagwkiGwne"/>
        <w:numPr>
          <w:ilvl w:val="1"/>
          <w:numId w:val="120"/>
        </w:numPr>
        <w:spacing w:line="312" w:lineRule="auto"/>
        <w:ind w:left="567" w:hanging="567"/>
        <w:jc w:val="left"/>
      </w:pPr>
      <w:r w:rsidRPr="00E00B35">
        <w:t>Zadania związane z edukacją i promocją mobilności aktywnej</w:t>
      </w:r>
    </w:p>
    <w:p w:rsidR="008C7751" w:rsidRPr="00E00B35" w:rsidRDefault="008C7751" w:rsidP="00E00B35">
      <w:pPr>
        <w:pStyle w:val="Tekstpodstawowy"/>
        <w:suppressAutoHyphens/>
        <w:spacing w:after="0" w:line="312" w:lineRule="auto"/>
        <w:rPr>
          <w:szCs w:val="20"/>
        </w:rPr>
      </w:pPr>
      <w:r w:rsidRPr="00E00B35">
        <w:rPr>
          <w:szCs w:val="20"/>
        </w:rPr>
        <w:t>Rowerowa Szkoła Mobilności Aktywnej – zajęcia edukacyjne dla uczniów i nauczycieli szkół podstawowych</w:t>
      </w:r>
    </w:p>
    <w:p w:rsidR="008C7751" w:rsidRPr="00E00B35" w:rsidRDefault="008C7751" w:rsidP="00E00B35">
      <w:pPr>
        <w:spacing w:after="0" w:line="312" w:lineRule="auto"/>
        <w:rPr>
          <w:szCs w:val="20"/>
        </w:rPr>
      </w:pPr>
      <w:r w:rsidRPr="00E00B35">
        <w:rPr>
          <w:szCs w:val="20"/>
        </w:rPr>
        <w:t>W ramach prowadzonych zajęć przeszkolono 827 uczniów i 9 nauczycieli w zakresie zasad i zalet korzystania z roweru w mieście oraz bezpieczeństwa w ruchu drogowym. W trakcie pierwszej fali pandemii przekazano podręcznik dla nauczycieli oraz filmy edukacyjne w formie materiałów w wersji do nauki zdalnej dla uczniów szkół podstawowych.</w:t>
      </w:r>
    </w:p>
    <w:p w:rsidR="008C7751" w:rsidRPr="00E00B35" w:rsidRDefault="008C7751" w:rsidP="00E00B35">
      <w:pPr>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Rywalizacja rowerowa „W kółko kręcę”</w:t>
      </w:r>
    </w:p>
    <w:p w:rsidR="008C7751" w:rsidRPr="00E00B35" w:rsidRDefault="008C7751" w:rsidP="00E00B35">
      <w:pPr>
        <w:spacing w:after="0" w:line="312" w:lineRule="auto"/>
        <w:rPr>
          <w:szCs w:val="20"/>
        </w:rPr>
      </w:pPr>
      <w:r w:rsidRPr="00E00B35">
        <w:rPr>
          <w:szCs w:val="20"/>
        </w:rPr>
        <w:t>Pierwszy raz zorganizowano we Wrocławiu nową akcję promującą podróże rowerowe przez cały rok. Celem rywalizacji było przekonanie wrocławian do roweru jako całorocznego, szybkiego, zdrowego, taniego i niezależnego środka transportu po mieście. W rywalizacji wzięło aktywny udział 975 osób, które wykonały 49 948 przejazdów podczas których przejechało 316 890 kilometrów. Po zakończeniu rywalizacji przeprowadzono ankietę ewaluacyjną, którą wypełniło 383 uczestników. Na podstawie wyników wywnioskowano, że prowadzenie tego typu akcji ma sens i przyczynia się do zmiany nawyków transportowych. 47% ankietowanych uczestników wydłużyło czas korzystania z roweru o okres jesienny. 85% zdeklarowało chęć uczestniczenia w rywalizacji w przyszłym roku. 24% z nich przesiadło się z innego środka transportu na rower, aby wziąć udział w grze (40% z samochodu, a 60% z komunikacji miejskiej). Rywalizacja będzie kontynuowana w kolejnych latach.</w:t>
      </w:r>
    </w:p>
    <w:p w:rsidR="008C7751" w:rsidRPr="00E00B35" w:rsidRDefault="008C7751" w:rsidP="00E00B35">
      <w:pPr>
        <w:spacing w:after="0" w:line="312" w:lineRule="auto"/>
        <w:rPr>
          <w:szCs w:val="20"/>
          <w:lang w:eastAsia="pl-PL"/>
        </w:rPr>
      </w:pPr>
    </w:p>
    <w:p w:rsidR="008C7751" w:rsidRPr="00E00B35" w:rsidRDefault="008C7751" w:rsidP="00E00B35">
      <w:pPr>
        <w:spacing w:after="0" w:line="312" w:lineRule="auto"/>
        <w:rPr>
          <w:szCs w:val="20"/>
        </w:rPr>
      </w:pPr>
      <w:r w:rsidRPr="00E00B35">
        <w:rPr>
          <w:szCs w:val="20"/>
          <w:lang w:eastAsia="pl-PL"/>
        </w:rPr>
        <w:lastRenderedPageBreak/>
        <w:t xml:space="preserve">Fot. </w:t>
      </w:r>
      <w:r w:rsidR="00573162" w:rsidRPr="00E00B35">
        <w:rPr>
          <w:szCs w:val="20"/>
          <w:lang w:eastAsia="pl-PL"/>
        </w:rPr>
        <w:fldChar w:fldCharType="begin"/>
      </w:r>
      <w:r w:rsidRPr="00E00B35">
        <w:rPr>
          <w:szCs w:val="20"/>
          <w:lang w:eastAsia="pl-PL"/>
        </w:rPr>
        <w:instrText xml:space="preserve"> SEQ Fot. \* ARABIC </w:instrText>
      </w:r>
      <w:r w:rsidR="00573162" w:rsidRPr="00E00B35">
        <w:rPr>
          <w:szCs w:val="20"/>
          <w:lang w:eastAsia="pl-PL"/>
        </w:rPr>
        <w:fldChar w:fldCharType="separate"/>
      </w:r>
      <w:r w:rsidR="008C054F">
        <w:rPr>
          <w:noProof/>
          <w:szCs w:val="20"/>
          <w:lang w:eastAsia="pl-PL"/>
        </w:rPr>
        <w:t>47</w:t>
      </w:r>
      <w:r w:rsidR="00573162" w:rsidRPr="00E00B35">
        <w:rPr>
          <w:szCs w:val="20"/>
          <w:lang w:eastAsia="pl-PL"/>
        </w:rPr>
        <w:fldChar w:fldCharType="end"/>
      </w:r>
      <w:r w:rsidRPr="00E00B35">
        <w:rPr>
          <w:szCs w:val="20"/>
          <w:lang w:eastAsia="pl-PL"/>
        </w:rPr>
        <w:t>. Gala podsumowująca akcję „W kółko kręcę”, fot. Joanna Leja</w:t>
      </w:r>
      <w:r w:rsidRPr="00E00B35">
        <w:rPr>
          <w:noProof/>
          <w:szCs w:val="20"/>
          <w:lang w:val="pl-PL" w:eastAsia="pl-PL" w:bidi="ar-SA"/>
        </w:rPr>
        <w:drawing>
          <wp:inline distT="0" distB="0" distL="0" distR="0">
            <wp:extent cx="5361025" cy="3782286"/>
            <wp:effectExtent l="19050" t="0" r="0" b="0"/>
            <wp:docPr id="56" name="Obraz 1" descr="Zdjęcie z gali podsumowującej rywalizację rowerową „W kółko kręcę”. Stoisko z nagrodami dla uczestników rywalizacji oraz przedstawicieli Urzędu Miejskiego przygotowanych do rozdania nagród. Przed stoiskiem znajdują się trzy rowery, które są głównymi nagrod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RTA\RAPORT O STANIE MIASTA 2020\dane od kierowników\fot_1_Joanna Leja_Wkk.jpg"/>
                    <pic:cNvPicPr>
                      <a:picLocks noChangeAspect="1" noChangeArrowheads="1"/>
                    </pic:cNvPicPr>
                  </pic:nvPicPr>
                  <pic:blipFill>
                    <a:blip r:embed="rId250" cstate="print"/>
                    <a:srcRect/>
                    <a:stretch>
                      <a:fillRect/>
                    </a:stretch>
                  </pic:blipFill>
                  <pic:spPr bwMode="auto">
                    <a:xfrm>
                      <a:off x="0" y="0"/>
                      <a:ext cx="5368660" cy="3787672"/>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szCs w:val="20"/>
          <w:lang w:eastAsia="pl-PL"/>
        </w:rPr>
      </w:pPr>
    </w:p>
    <w:p w:rsidR="008C7751" w:rsidRPr="00E00B35" w:rsidRDefault="008C7751" w:rsidP="00E00B35">
      <w:pPr>
        <w:spacing w:after="0" w:line="312" w:lineRule="auto"/>
        <w:rPr>
          <w:szCs w:val="20"/>
          <w:lang w:eastAsia="pl-PL"/>
        </w:rPr>
      </w:pPr>
      <w:r w:rsidRPr="00E00B35">
        <w:rPr>
          <w:szCs w:val="20"/>
          <w:lang w:eastAsia="pl-PL"/>
        </w:rPr>
        <w:t xml:space="preserve">Fot. </w:t>
      </w:r>
      <w:r w:rsidR="00573162" w:rsidRPr="00E00B35">
        <w:rPr>
          <w:szCs w:val="20"/>
          <w:lang w:eastAsia="pl-PL"/>
        </w:rPr>
        <w:fldChar w:fldCharType="begin"/>
      </w:r>
      <w:r w:rsidRPr="00E00B35">
        <w:rPr>
          <w:szCs w:val="20"/>
          <w:lang w:eastAsia="pl-PL"/>
        </w:rPr>
        <w:instrText xml:space="preserve"> SEQ Fot. \* ARABIC </w:instrText>
      </w:r>
      <w:r w:rsidR="00573162" w:rsidRPr="00E00B35">
        <w:rPr>
          <w:szCs w:val="20"/>
          <w:lang w:eastAsia="pl-PL"/>
        </w:rPr>
        <w:fldChar w:fldCharType="separate"/>
      </w:r>
      <w:r w:rsidR="008C054F">
        <w:rPr>
          <w:noProof/>
          <w:szCs w:val="20"/>
          <w:lang w:eastAsia="pl-PL"/>
        </w:rPr>
        <w:t>48</w:t>
      </w:r>
      <w:r w:rsidR="00573162" w:rsidRPr="00E00B35">
        <w:rPr>
          <w:szCs w:val="20"/>
          <w:lang w:eastAsia="pl-PL"/>
        </w:rPr>
        <w:fldChar w:fldCharType="end"/>
      </w:r>
      <w:r w:rsidRPr="00E00B35">
        <w:rPr>
          <w:szCs w:val="20"/>
          <w:lang w:eastAsia="pl-PL"/>
        </w:rPr>
        <w:t>. Gala podsumowująca akcję „W kółko kręcę”, fot. Joanna Leja</w:t>
      </w:r>
    </w:p>
    <w:p w:rsidR="008C7751" w:rsidRPr="00E00B35" w:rsidRDefault="008C7751" w:rsidP="00E00B35">
      <w:pPr>
        <w:spacing w:after="0" w:line="312" w:lineRule="auto"/>
        <w:rPr>
          <w:szCs w:val="20"/>
        </w:rPr>
      </w:pPr>
      <w:r w:rsidRPr="00E00B35">
        <w:rPr>
          <w:noProof/>
          <w:szCs w:val="20"/>
          <w:lang w:val="pl-PL" w:eastAsia="pl-PL" w:bidi="ar-SA"/>
        </w:rPr>
        <w:drawing>
          <wp:inline distT="0" distB="0" distL="0" distR="0">
            <wp:extent cx="5408036" cy="3827721"/>
            <wp:effectExtent l="19050" t="0" r="2164" b="0"/>
            <wp:docPr id="57" name="Obraz 2" descr="Grupa kilkunastu ludzi, w tym organizatorów oraz uczestników rywalizacji &quot;W kółko kręcę&quot;. Uczestnicy trzymają otrzymane nagrody. Trzy osoby stoją z wygranymi rowe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RTA\RAPORT O STANIE MIASTA 2020\dane od kierowników\fot_2_Joanna Leja_Wkk.jpg"/>
                    <pic:cNvPicPr>
                      <a:picLocks noChangeAspect="1" noChangeArrowheads="1"/>
                    </pic:cNvPicPr>
                  </pic:nvPicPr>
                  <pic:blipFill>
                    <a:blip r:embed="rId251" cstate="print"/>
                    <a:srcRect/>
                    <a:stretch>
                      <a:fillRect/>
                    </a:stretch>
                  </pic:blipFill>
                  <pic:spPr bwMode="auto">
                    <a:xfrm>
                      <a:off x="0" y="0"/>
                      <a:ext cx="5416567" cy="3833759"/>
                    </a:xfrm>
                    <a:prstGeom prst="rect">
                      <a:avLst/>
                    </a:prstGeom>
                    <a:noFill/>
                    <a:ln w="9525">
                      <a:noFill/>
                      <a:miter lim="800000"/>
                      <a:headEnd/>
                      <a:tailEnd/>
                    </a:ln>
                  </pic:spPr>
                </pic:pic>
              </a:graphicData>
            </a:graphic>
          </wp:inline>
        </w:drawing>
      </w:r>
    </w:p>
    <w:p w:rsidR="008C7751" w:rsidRPr="00E00B35" w:rsidRDefault="008C7751" w:rsidP="00E00B35">
      <w:pPr>
        <w:spacing w:after="0" w:line="312" w:lineRule="auto"/>
        <w:rPr>
          <w:szCs w:val="20"/>
        </w:rPr>
      </w:pPr>
      <w:r w:rsidRPr="00E00B35">
        <w:rPr>
          <w:szCs w:val="20"/>
        </w:rPr>
        <w:br w:type="page"/>
      </w:r>
    </w:p>
    <w:p w:rsidR="008C7751" w:rsidRPr="00E00B35" w:rsidRDefault="008C7751" w:rsidP="00E00B35">
      <w:pPr>
        <w:pStyle w:val="Styl1NagwkiGwne"/>
        <w:numPr>
          <w:ilvl w:val="1"/>
          <w:numId w:val="120"/>
        </w:numPr>
        <w:spacing w:line="312" w:lineRule="auto"/>
        <w:ind w:left="567" w:hanging="567"/>
        <w:jc w:val="left"/>
      </w:pPr>
      <w:r w:rsidRPr="00E00B35">
        <w:lastRenderedPageBreak/>
        <w:t>Wrocławski Rower Miejski</w:t>
      </w:r>
    </w:p>
    <w:p w:rsidR="008C7751" w:rsidRPr="00E00B35" w:rsidRDefault="008C7751" w:rsidP="00E00B35">
      <w:pPr>
        <w:spacing w:after="0" w:line="312" w:lineRule="auto"/>
        <w:rPr>
          <w:szCs w:val="20"/>
        </w:rPr>
      </w:pPr>
      <w:r w:rsidRPr="00E00B35">
        <w:rPr>
          <w:szCs w:val="20"/>
        </w:rPr>
        <w:t>Rok 2020 to dziesiąty rok działalności systemu samoobsługowej wypożyczalni rowerów publicznych Wrocławski Rower Miejski. W przeciwieństwie do poprzednich lat tym razem system miał działać cały rok, jednak z powodu pandemii został przez parę tygodni wyłączony z użytkowania. W styczniu, lutym i grudniu udostępniono 665 rowerów, a w pozostałych miesiącach 2 665 rowerów. Liczba stacji pozostawała przez cały rok bez zmian i wynosiła 220. Wprowadzono nowe zasady użytkowania: opłaty w wysokości 5,00 zł za pozostawienie roweru poza stacją oraz wyłączenie z możliwości zwrotu roweru pewnych obszarów takich, jak lasy lub tereny kolejowe. W 2020 roku rowery wypożyczono 1 400 000 razy, a w systemie było zarejestrowanych 256 tys. użytkowników.</w:t>
      </w:r>
    </w:p>
    <w:p w:rsidR="008C7751" w:rsidRPr="00E00B35" w:rsidRDefault="008C7751" w:rsidP="00E00B35">
      <w:pPr>
        <w:spacing w:after="0" w:line="312" w:lineRule="auto"/>
        <w:rPr>
          <w:szCs w:val="20"/>
        </w:rPr>
      </w:pPr>
    </w:p>
    <w:p w:rsidR="008C7751" w:rsidRPr="00E00B35" w:rsidRDefault="008C7751" w:rsidP="00E00B35">
      <w:pPr>
        <w:pStyle w:val="Styl1NagwkiGwne"/>
        <w:numPr>
          <w:ilvl w:val="1"/>
          <w:numId w:val="120"/>
        </w:numPr>
        <w:spacing w:line="312" w:lineRule="auto"/>
        <w:ind w:left="567" w:hanging="567"/>
        <w:jc w:val="left"/>
      </w:pPr>
      <w:r w:rsidRPr="00E00B35">
        <w:t>Pozostałe działania</w:t>
      </w:r>
    </w:p>
    <w:p w:rsidR="008C7751" w:rsidRPr="00E00B35" w:rsidRDefault="008C7751" w:rsidP="00E00B35">
      <w:pPr>
        <w:pStyle w:val="Tekstpodstawowy"/>
        <w:numPr>
          <w:ilvl w:val="0"/>
          <w:numId w:val="44"/>
        </w:numPr>
        <w:suppressAutoHyphens/>
        <w:spacing w:after="0" w:line="312" w:lineRule="auto"/>
        <w:ind w:left="567" w:hanging="567"/>
        <w:rPr>
          <w:szCs w:val="20"/>
        </w:rPr>
      </w:pPr>
      <w:r w:rsidRPr="00E00B35">
        <w:rPr>
          <w:szCs w:val="20"/>
        </w:rPr>
        <w:t>Przygotowano wytyczne oznakowania tras rowerowych aglomeracji wrocławskiej;</w:t>
      </w:r>
    </w:p>
    <w:p w:rsidR="008C7751" w:rsidRPr="00E00B35" w:rsidRDefault="008C7751" w:rsidP="00E00B35">
      <w:pPr>
        <w:pStyle w:val="Tekstpodstawowy"/>
        <w:numPr>
          <w:ilvl w:val="0"/>
          <w:numId w:val="44"/>
        </w:numPr>
        <w:suppressAutoHyphens/>
        <w:spacing w:after="0" w:line="312" w:lineRule="auto"/>
        <w:ind w:left="567" w:hanging="567"/>
        <w:rPr>
          <w:szCs w:val="20"/>
        </w:rPr>
      </w:pPr>
      <w:r w:rsidRPr="00E00B35">
        <w:rPr>
          <w:szCs w:val="20"/>
        </w:rPr>
        <w:t>Rozpoczęto działania mające na celu współpracę z wrocławską Strażą Miejską w celu usprawnienia likwidacji wraków rowerowych;</w:t>
      </w:r>
    </w:p>
    <w:p w:rsidR="008C7751" w:rsidRPr="00E00B35" w:rsidRDefault="008C7751" w:rsidP="00E00B35">
      <w:pPr>
        <w:pStyle w:val="Tekstpodstawowy"/>
        <w:numPr>
          <w:ilvl w:val="0"/>
          <w:numId w:val="44"/>
        </w:numPr>
        <w:suppressAutoHyphens/>
        <w:spacing w:after="0" w:line="312" w:lineRule="auto"/>
        <w:ind w:left="567" w:hanging="567"/>
        <w:rPr>
          <w:szCs w:val="20"/>
        </w:rPr>
      </w:pPr>
      <w:r w:rsidRPr="00E00B35">
        <w:rPr>
          <w:szCs w:val="20"/>
        </w:rPr>
        <w:t>Przygotowano pakiet działań i prezentację „Rowerem w pandemii”;</w:t>
      </w:r>
    </w:p>
    <w:p w:rsidR="008C7751" w:rsidRPr="00E00B35" w:rsidRDefault="008C7751" w:rsidP="00E00B35">
      <w:pPr>
        <w:pStyle w:val="Tekstpodstawowy"/>
        <w:numPr>
          <w:ilvl w:val="0"/>
          <w:numId w:val="44"/>
        </w:numPr>
        <w:suppressAutoHyphens/>
        <w:spacing w:after="0" w:line="312" w:lineRule="auto"/>
        <w:ind w:left="567" w:hanging="567"/>
        <w:rPr>
          <w:szCs w:val="20"/>
        </w:rPr>
      </w:pPr>
      <w:r w:rsidRPr="00E00B35">
        <w:rPr>
          <w:szCs w:val="20"/>
        </w:rPr>
        <w:t>Przygotowanie projektu fragmentu Promenady Krzyckiej, w celu złożenia wniosku do programu LIFE.</w:t>
      </w:r>
    </w:p>
    <w:p w:rsidR="008C7751" w:rsidRPr="00E00B35" w:rsidRDefault="008C7751" w:rsidP="00E00B35">
      <w:pPr>
        <w:spacing w:after="0" w:line="312" w:lineRule="auto"/>
        <w:ind w:left="567" w:hanging="567"/>
        <w:contextualSpacing/>
        <w:rPr>
          <w:szCs w:val="20"/>
        </w:rPr>
      </w:pPr>
    </w:p>
    <w:p w:rsidR="008C7751" w:rsidRPr="00E00B35" w:rsidRDefault="008C7751" w:rsidP="00E00B35">
      <w:pPr>
        <w:pStyle w:val="Nagwek4"/>
        <w:spacing w:before="0" w:after="0" w:line="312" w:lineRule="auto"/>
        <w:rPr>
          <w:sz w:val="20"/>
          <w:szCs w:val="20"/>
        </w:rPr>
      </w:pPr>
      <w:bookmarkStart w:id="933" w:name="_Toc66358357"/>
      <w:r w:rsidRPr="00E00B35">
        <w:rPr>
          <w:sz w:val="20"/>
          <w:szCs w:val="20"/>
        </w:rPr>
        <w:t>Rozwój ruchu pieszego</w:t>
      </w:r>
      <w:bookmarkEnd w:id="933"/>
    </w:p>
    <w:p w:rsidR="00890136" w:rsidRPr="00E00B35" w:rsidRDefault="00890136" w:rsidP="00E00B35">
      <w:pPr>
        <w:pStyle w:val="Nagwek4"/>
        <w:spacing w:before="0" w:after="0" w:line="312" w:lineRule="auto"/>
        <w:rPr>
          <w:sz w:val="20"/>
          <w:szCs w:val="20"/>
        </w:rPr>
      </w:pPr>
    </w:p>
    <w:p w:rsidR="008C7751" w:rsidRPr="00E00B35" w:rsidRDefault="008C7751" w:rsidP="00E00B35">
      <w:pPr>
        <w:pStyle w:val="Styl1NagwkiGwne"/>
        <w:numPr>
          <w:ilvl w:val="1"/>
          <w:numId w:val="118"/>
        </w:numPr>
        <w:spacing w:line="312" w:lineRule="auto"/>
        <w:ind w:left="567" w:hanging="567"/>
        <w:jc w:val="left"/>
      </w:pPr>
      <w:r w:rsidRPr="00E00B35">
        <w:t>Program Ruchu Pieszego</w:t>
      </w:r>
    </w:p>
    <w:p w:rsidR="008C7751" w:rsidRPr="00E00B35" w:rsidRDefault="008C7751" w:rsidP="00E00B35">
      <w:pPr>
        <w:spacing w:after="0" w:line="312" w:lineRule="auto"/>
        <w:rPr>
          <w:szCs w:val="20"/>
        </w:rPr>
      </w:pPr>
      <w:r w:rsidRPr="00E00B35">
        <w:rPr>
          <w:szCs w:val="20"/>
        </w:rPr>
        <w:t xml:space="preserve">Potrzeby pieszych spełniane są poprzez wygodne dojścia do przystanków, likwidowanie barier architektonicznych czy tworzenie dobrej jakości przestrzeni publicznych. Najwięcej inwestycji w 2020 roku związanych było z wymianą nawierzchni chodników oraz budową nowych. Jednym z istotniejszych zadań było powstanie nowych przejść dla pieszych do peronów w ciągu ulicy Kazimierza Wielkiego. Ze względu na poprawę bezpieczeństwa pieszych wdrożono zmiany w organizacji ruchu na ulicy Wyszyńskiego. </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W 2020 roku w ramach Programu Ruchu Pieszego zrealizowano następujące zadania:</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t>Budowa chodników na ulicach: Bierutowskiej i Żmichowskiej;</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t>Remont chodników na ulicach: Dubrownickiej, Niedźwiedziej, Jesionowej, Grabiszyńskiej, Głogowskiej, Kruczej, Poświęckiej, Sołtysowickiej, Studziennej, Daszyńskiego i Miarki;</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t>Projekt budowy chodnika na ulicy Kurpiów;</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t>Budowa nowych przejść dla pieszych przy Zajezdni Dąbie na ulicy Wróblewskiego oraz Kazimierza Wielkiego;</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t>Budowa azyli na przejściu dla pieszych na ul. Średzkiej;</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t>Remont peronów tramwajowych na przystanku „Chełmońskiego”;</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t>Obniżenia krawężników;</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t>Ustawienie 24 ławek w 9 lokalizacjach zgłoszonych przez mieszkańców;</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t>Zmiana organizacji ruchu na ulicach: Jemiołowej - Żelazna, Wyszyńskiego, Olszewskiego – Norblina oraz Pocztowa – Sztabowa (mini rodno);</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lastRenderedPageBreak/>
        <w:t xml:space="preserve">Porządkowanie parkowania na Przedmieściu Świdnickim w kwartale ulic Grabiszyńskiej, Piłsudskiego, Zielińskiego i nasypu kolejowego; </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t>Projekty porządkowania parkowania na ulicy Mieleckiej, Ołbińskiej i Krętej;</w:t>
      </w:r>
    </w:p>
    <w:p w:rsidR="008C7751" w:rsidRPr="00E00B35" w:rsidRDefault="008C7751" w:rsidP="00E00B35">
      <w:pPr>
        <w:pStyle w:val="Tekstpodstawowy"/>
        <w:numPr>
          <w:ilvl w:val="0"/>
          <w:numId w:val="45"/>
        </w:numPr>
        <w:suppressAutoHyphens/>
        <w:spacing w:after="0" w:line="312" w:lineRule="auto"/>
        <w:ind w:left="567" w:hanging="567"/>
        <w:rPr>
          <w:szCs w:val="20"/>
        </w:rPr>
      </w:pPr>
      <w:r w:rsidRPr="00E00B35">
        <w:rPr>
          <w:szCs w:val="20"/>
        </w:rPr>
        <w:t>Projekty organizacji ruchu wyznaczenia płatnych miejsc postojowych na ulicy Sienkiewicza, Zaolziańskiej, Wrońskiego i Ziemowita oraz na obszarach Grunwaldzka – Piastowska – Sienkiewicza, Piłsudskiego – Tęczowa – Wysoka – Grabiszyńska.</w:t>
      </w:r>
    </w:p>
    <w:p w:rsidR="008C7751" w:rsidRPr="00E00B35" w:rsidRDefault="008C7751" w:rsidP="00E00B35">
      <w:pPr>
        <w:pStyle w:val="Tekstpodstawowy"/>
        <w:suppressAutoHyphens/>
        <w:spacing w:after="0" w:line="312" w:lineRule="auto"/>
        <w:ind w:left="567"/>
        <w:rPr>
          <w:szCs w:val="20"/>
        </w:rPr>
      </w:pPr>
    </w:p>
    <w:p w:rsidR="008C7751" w:rsidRPr="00E00B35" w:rsidRDefault="008C7751" w:rsidP="00E00B35">
      <w:pPr>
        <w:pStyle w:val="Styl1NagwkiGwne"/>
        <w:numPr>
          <w:ilvl w:val="1"/>
          <w:numId w:val="118"/>
        </w:numPr>
        <w:spacing w:line="312" w:lineRule="auto"/>
        <w:ind w:left="567" w:hanging="567"/>
        <w:jc w:val="left"/>
      </w:pPr>
      <w:r w:rsidRPr="00E00B35">
        <w:t>Szkolna Ulica</w:t>
      </w:r>
    </w:p>
    <w:p w:rsidR="008C7751" w:rsidRPr="00E00B35" w:rsidRDefault="008C7751" w:rsidP="00E00B35">
      <w:pPr>
        <w:spacing w:after="0" w:line="312" w:lineRule="auto"/>
        <w:rPr>
          <w:szCs w:val="20"/>
        </w:rPr>
      </w:pPr>
      <w:r w:rsidRPr="00E00B35">
        <w:rPr>
          <w:szCs w:val="20"/>
        </w:rPr>
        <w:t xml:space="preserve">W październiku 2020 roku uruchomiono pilotażowy program „Szkolna Ulica”, który obejmował dwie lokalizacje: Szkoła Podstawowa numer 34 na ulicy Gałczyńskiego i Szkoła Podstawowa numer 45 przy ulicy Krajewskiego. Projekt zakładał wyłączenie z ruchu samochodowego fragmentów ulic przylegających bezpośrednio do szkół na pół godziny przed rozpoczęciem lekcji, aby oddać je ruchowi pieszemu i rowerowemu oraz by jednocześnie umożliwić dzieciom bezpieczne dotarcie do szkoły. Realizacja pilotażu została poprzedzona kilkumiesięcznym przygotowaniu organizacyjnym, informacyjnym, a także obserwacjami, badaniami ankietowymi oraz zbieraniem opinii. Przeprowadzono badania ankietowe wśród dzieci i rodziców. Wypełniono 162 ankiet wstępnych oraz 75 ankiet końcowych. Przeprowadzono 3 tury badania ruchu pod szkołami - przed rozpoczęciem pilotażu, w pierwszych dniach zamknięcia ulic oraz w drugiej połowie października, gdy nie były rozstawiane bariery nożycowe. Na ul. Gałczyńskiego zaobserwowano, że po zdjęciu barier ruch aut pod szkołą znacząco zmniejszył się, a dzieci wraz z rodzicami zaczęły wykorzystywać jezdnię do jazdy rowerem, czy też do dojścia pieszego do szkoły. O 25% zmniejszyła się ogólna liczba aut w rejonie szkoły – z około 100 do 75. Kierowców, którzy w trakcie obserwacji złamali znak zakazu wjazdu było łącznie 26, w tym mniej niż połowa z nich odwoziła dzieci do szkoły. Zaplanowano kontynuację programu w kolejnych latach i rozszerzenie na inne szkoły. </w:t>
      </w:r>
    </w:p>
    <w:p w:rsidR="008C7751" w:rsidRPr="00E00B35" w:rsidRDefault="008C7751" w:rsidP="00E00B35">
      <w:pPr>
        <w:spacing w:after="0" w:line="312" w:lineRule="auto"/>
        <w:rPr>
          <w:szCs w:val="20"/>
        </w:rPr>
      </w:pPr>
    </w:p>
    <w:p w:rsidR="008C7751" w:rsidRPr="00E00B35" w:rsidRDefault="008C7751" w:rsidP="00E00B35">
      <w:pPr>
        <w:pStyle w:val="Styl1NagwkiGwne"/>
        <w:numPr>
          <w:ilvl w:val="1"/>
          <w:numId w:val="118"/>
        </w:numPr>
        <w:spacing w:line="312" w:lineRule="auto"/>
        <w:ind w:left="567" w:hanging="567"/>
        <w:jc w:val="left"/>
      </w:pPr>
      <w:r w:rsidRPr="00E00B35">
        <w:t>Pozostałe działania</w:t>
      </w:r>
    </w:p>
    <w:p w:rsidR="008C7751" w:rsidRPr="00E00B35" w:rsidRDefault="008C7751" w:rsidP="00E00B35">
      <w:pPr>
        <w:pStyle w:val="Tekstpodstawowy"/>
        <w:numPr>
          <w:ilvl w:val="0"/>
          <w:numId w:val="46"/>
        </w:numPr>
        <w:suppressAutoHyphens/>
        <w:spacing w:after="0" w:line="312" w:lineRule="auto"/>
        <w:ind w:left="567" w:hanging="567"/>
        <w:rPr>
          <w:szCs w:val="20"/>
        </w:rPr>
      </w:pPr>
      <w:r w:rsidRPr="00E00B35">
        <w:rPr>
          <w:szCs w:val="20"/>
        </w:rPr>
        <w:t>Uczestniczono w pracach projektowych, przygotowywaniu opinii i wytycznych dla zadań inwestycyjnych oraz planistycznych realizowanych przez gminę Wrocław i jej jednostki;</w:t>
      </w:r>
    </w:p>
    <w:p w:rsidR="008C7751" w:rsidRPr="00E00B35" w:rsidRDefault="008C7751" w:rsidP="00E00B35">
      <w:pPr>
        <w:pStyle w:val="Tekstpodstawowy"/>
        <w:numPr>
          <w:ilvl w:val="0"/>
          <w:numId w:val="46"/>
        </w:numPr>
        <w:suppressAutoHyphens/>
        <w:spacing w:after="0" w:line="312" w:lineRule="auto"/>
        <w:ind w:left="567" w:hanging="567"/>
        <w:rPr>
          <w:szCs w:val="20"/>
        </w:rPr>
      </w:pPr>
      <w:r w:rsidRPr="00E00B35">
        <w:rPr>
          <w:szCs w:val="20"/>
        </w:rPr>
        <w:t>Stosowano zasady określone w opracowaniu „Wrocławskie Standardy kształtowania przestrzeni miejskich przyjaznych pieszym”;</w:t>
      </w:r>
    </w:p>
    <w:p w:rsidR="008C7751" w:rsidRPr="00E00B35" w:rsidRDefault="008C7751" w:rsidP="00E00B35">
      <w:pPr>
        <w:pStyle w:val="Tekstpodstawowy"/>
        <w:numPr>
          <w:ilvl w:val="0"/>
          <w:numId w:val="46"/>
        </w:numPr>
        <w:suppressAutoHyphens/>
        <w:spacing w:after="0" w:line="312" w:lineRule="auto"/>
        <w:ind w:left="567" w:hanging="567"/>
        <w:rPr>
          <w:szCs w:val="20"/>
        </w:rPr>
      </w:pPr>
      <w:r w:rsidRPr="00E00B35">
        <w:rPr>
          <w:szCs w:val="20"/>
        </w:rPr>
        <w:t>Uczestniczono w procesie opiniowania projektów związanych z ruchem pieszym w ramach Wrocławskiego Budżetu Obywatelskiego oraz Funduszu Rad Osiedli.</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spacing w:after="0" w:line="312" w:lineRule="auto"/>
        <w:ind w:left="567" w:hanging="567"/>
        <w:contextualSpacing/>
        <w:rPr>
          <w:szCs w:val="20"/>
        </w:rPr>
      </w:pPr>
      <w:r w:rsidRPr="00E00B35">
        <w:rPr>
          <w:szCs w:val="20"/>
        </w:rPr>
        <w:t>Europejski Tydzień Zrównoważonego Transportu</w:t>
      </w:r>
    </w:p>
    <w:p w:rsidR="008C7751" w:rsidRPr="00E00B35" w:rsidRDefault="008C7751" w:rsidP="00E00B35">
      <w:pPr>
        <w:spacing w:after="0" w:line="312" w:lineRule="auto"/>
        <w:rPr>
          <w:szCs w:val="20"/>
        </w:rPr>
      </w:pPr>
      <w:r w:rsidRPr="00E00B35">
        <w:rPr>
          <w:szCs w:val="20"/>
        </w:rPr>
        <w:t xml:space="preserve">W 2020 roku gmina Wrocław po raz kolejny uczestniczyła w obchodach Europejskiego Tygodnia Zrównoważonego Transportu w dniach 16-22 września 2020 r. Z uwagi na ograniczenia wynikające z zagrożenia epidemiologicznego tegoroczne działania w ramach kampanii ograniczono wyłącznie do emisji w pojazdach transportu zbiorowego MPK Sp. z o. o. we Wrocławiu spotu przygotowanego przez Komisję Europejską. Spot promował zrównoważony transport miejski, a szczególnie motyw tegorocznej kampanii </w:t>
      </w:r>
      <w:r w:rsidRPr="00E00B35">
        <w:rPr>
          <w:szCs w:val="20"/>
        </w:rPr>
        <w:lastRenderedPageBreak/>
        <w:t>„Zeroemisyjna mobilność dla każdego”. Dodatkowo w ramach obchodów „Dnia bez samochodu” 22 września 2020 r. można było poruszać się komunikacją miejską za darmo.</w:t>
      </w:r>
    </w:p>
    <w:p w:rsidR="008C7751" w:rsidRPr="00E00B35" w:rsidRDefault="008C7751" w:rsidP="00E00B35">
      <w:pPr>
        <w:pStyle w:val="Akapitzlist"/>
        <w:tabs>
          <w:tab w:val="left" w:pos="567"/>
          <w:tab w:val="right" w:leader="dot" w:pos="9072"/>
        </w:tabs>
        <w:suppressAutoHyphens/>
        <w:spacing w:after="0" w:line="312" w:lineRule="auto"/>
        <w:ind w:right="283"/>
        <w:rPr>
          <w:szCs w:val="20"/>
        </w:rPr>
      </w:pPr>
    </w:p>
    <w:p w:rsidR="008C7751" w:rsidRPr="00E00B35" w:rsidRDefault="008C7751" w:rsidP="00E00B35">
      <w:pPr>
        <w:pStyle w:val="Nagwek5"/>
      </w:pPr>
      <w:bookmarkStart w:id="934" w:name="_Toc66358358"/>
      <w:bookmarkStart w:id="935" w:name="_Toc32318710"/>
      <w:bookmarkEnd w:id="925"/>
      <w:r w:rsidRPr="00E00B35">
        <w:t>Zadania w zakresie obsługi systemu płatnych miejsc postojowych</w:t>
      </w:r>
      <w:bookmarkEnd w:id="934"/>
    </w:p>
    <w:p w:rsidR="008C7751" w:rsidRPr="00E00B35" w:rsidRDefault="008C7751" w:rsidP="00E00B35">
      <w:pPr>
        <w:suppressAutoHyphens/>
        <w:spacing w:after="0" w:line="312" w:lineRule="auto"/>
        <w:rPr>
          <w:szCs w:val="20"/>
        </w:rPr>
      </w:pPr>
      <w:r w:rsidRPr="00E00B35">
        <w:rPr>
          <w:szCs w:val="20"/>
        </w:rPr>
        <w:t>Cel zadania:</w:t>
      </w:r>
    </w:p>
    <w:p w:rsidR="008C7751" w:rsidRPr="00E00B35" w:rsidRDefault="008C7751" w:rsidP="00E00B35">
      <w:pPr>
        <w:suppressAutoHyphens/>
        <w:spacing w:after="0" w:line="312" w:lineRule="auto"/>
        <w:rPr>
          <w:szCs w:val="20"/>
        </w:rPr>
      </w:pPr>
      <w:r w:rsidRPr="00E00B35">
        <w:rPr>
          <w:szCs w:val="20"/>
        </w:rPr>
        <w:t>Zarządzanie miejscami wyznaczonymi na postój pojazdów samochodowych na drogach publicznych w strefie płatnego parkowania oraz prowadzenie spraw z tym związanych, w tym pobieranie opłat za postój pojazdów samochodowych i wydawanie identyfikatorów, przeprowadzanie kontroli wnoszenia opłat za postój pojazdów samochodowych oraz pobieranie opłaty dodatkowej za nieuiszczenie opłaty za postój pojazdów samochodowych.</w:t>
      </w:r>
    </w:p>
    <w:p w:rsidR="008C7751" w:rsidRPr="00E00B35" w:rsidRDefault="008C7751" w:rsidP="00E00B35">
      <w:pPr>
        <w:suppressAutoHyphens/>
        <w:spacing w:after="0" w:line="312" w:lineRule="auto"/>
        <w:rPr>
          <w:szCs w:val="20"/>
        </w:rPr>
      </w:pPr>
    </w:p>
    <w:p w:rsidR="008C7751" w:rsidRPr="00E00B35" w:rsidRDefault="008C7751" w:rsidP="00E00B35">
      <w:pPr>
        <w:suppressAutoHyphens/>
        <w:spacing w:after="0" w:line="312" w:lineRule="auto"/>
        <w:ind w:right="1"/>
        <w:rPr>
          <w:szCs w:val="20"/>
        </w:rPr>
      </w:pPr>
      <w:r w:rsidRPr="00E00B35">
        <w:rPr>
          <w:szCs w:val="20"/>
        </w:rPr>
        <w:t>We Wrocławiu, na terenie obejmującym centrum miasta, w miejscach oznaczonych odpowiednimi znakami, obowiązują opłaty za postój samochodów. Strefa Płatnego Parkowania podzielona jest na 3 strefy (A, B oraz C). Granice stref zostały ustalone uchwałą Rady Miejskiej nr XLIX/1437/10 z dnia 22 kwietnia 2010 r. ze zmianami. Płatności można dokonywać bilonem, kartą Pay Pass i Pay Wave, BLIKiem, oraz smart fonem lub poprzez wykupienie abonamentu. Bez względu na sposób dokonywania płatności konieczne jest podanie numeru rejestracyjnego pojazdu, za którego postój wnoszona jest opłata. Z opłat zwolniony jest postój motocykli.</w:t>
      </w:r>
    </w:p>
    <w:p w:rsidR="008C7751" w:rsidRPr="00E00B35" w:rsidRDefault="008C7751" w:rsidP="00E00B35">
      <w:pPr>
        <w:suppressAutoHyphens/>
        <w:spacing w:after="0" w:line="312" w:lineRule="auto"/>
        <w:ind w:right="1"/>
        <w:rPr>
          <w:bCs/>
          <w:szCs w:val="20"/>
        </w:rPr>
      </w:pPr>
      <w:r w:rsidRPr="00E00B35">
        <w:rPr>
          <w:bCs/>
          <w:szCs w:val="20"/>
        </w:rPr>
        <w:t>Abonamenty oraz identyfikatory wydawane były od marca 2020 r., w związku pandemią, wyłącznie w Biurze Obsługi Interesanta w godzinach pracy biura.</w:t>
      </w:r>
    </w:p>
    <w:p w:rsidR="008C7751" w:rsidRPr="00E00B35" w:rsidRDefault="008C7751" w:rsidP="00E00B35">
      <w:pPr>
        <w:pStyle w:val="Legenda"/>
        <w:keepNext/>
        <w:spacing w:before="0" w:after="0" w:line="312" w:lineRule="auto"/>
        <w:rPr>
          <w:b/>
          <w:sz w:val="20"/>
          <w:szCs w:val="20"/>
        </w:rPr>
      </w:pPr>
      <w:r w:rsidRPr="00E00B35">
        <w:rPr>
          <w:sz w:val="20"/>
          <w:szCs w:val="20"/>
        </w:rPr>
        <w:t xml:space="preserve">Tabela </w:t>
      </w:r>
      <w:r w:rsidR="00573162" w:rsidRPr="00E00B35">
        <w:rPr>
          <w:b/>
          <w:sz w:val="20"/>
          <w:szCs w:val="20"/>
        </w:rPr>
        <w:fldChar w:fldCharType="begin"/>
      </w:r>
      <w:r w:rsidRPr="00E00B35">
        <w:rPr>
          <w:sz w:val="20"/>
          <w:szCs w:val="20"/>
        </w:rPr>
        <w:instrText xml:space="preserve"> SEQ Tabela \* ARABIC </w:instrText>
      </w:r>
      <w:r w:rsidR="00573162" w:rsidRPr="00E00B35">
        <w:rPr>
          <w:b/>
          <w:sz w:val="20"/>
          <w:szCs w:val="20"/>
        </w:rPr>
        <w:fldChar w:fldCharType="separate"/>
      </w:r>
      <w:r w:rsidR="008C054F">
        <w:rPr>
          <w:noProof/>
          <w:sz w:val="20"/>
          <w:szCs w:val="20"/>
        </w:rPr>
        <w:t>9</w:t>
      </w:r>
      <w:r w:rsidR="00573162" w:rsidRPr="00E00B35">
        <w:rPr>
          <w:b/>
          <w:sz w:val="20"/>
          <w:szCs w:val="20"/>
        </w:rPr>
        <w:fldChar w:fldCharType="end"/>
      </w:r>
      <w:r w:rsidRPr="00E00B35">
        <w:rPr>
          <w:sz w:val="20"/>
          <w:szCs w:val="20"/>
        </w:rPr>
        <w:t>. Liczba miejsc postojowych i sprzedanych abonamentów w latach 2017-2020</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1417"/>
        <w:gridCol w:w="1418"/>
        <w:gridCol w:w="1559"/>
        <w:gridCol w:w="1000"/>
        <w:gridCol w:w="1343"/>
        <w:gridCol w:w="1484"/>
        <w:gridCol w:w="992"/>
      </w:tblGrid>
      <w:tr w:rsidR="008C7751" w:rsidRPr="00E00B35" w:rsidTr="00C220F1">
        <w:tc>
          <w:tcPr>
            <w:tcW w:w="852" w:type="dxa"/>
          </w:tcPr>
          <w:p w:rsidR="008C7751" w:rsidRPr="00E00B35" w:rsidRDefault="008C7751" w:rsidP="00E00B35">
            <w:pPr>
              <w:suppressAutoHyphens/>
              <w:spacing w:after="0" w:line="312" w:lineRule="auto"/>
              <w:ind w:right="1"/>
              <w:rPr>
                <w:szCs w:val="20"/>
              </w:rPr>
            </w:pPr>
            <w:r w:rsidRPr="00E00B35">
              <w:rPr>
                <w:szCs w:val="20"/>
              </w:rPr>
              <w:t>Rok</w:t>
            </w:r>
          </w:p>
        </w:tc>
        <w:tc>
          <w:tcPr>
            <w:tcW w:w="1417" w:type="dxa"/>
          </w:tcPr>
          <w:p w:rsidR="008C7751" w:rsidRPr="00E00B35" w:rsidRDefault="008C7751" w:rsidP="00E00B35">
            <w:pPr>
              <w:suppressAutoHyphens/>
              <w:spacing w:after="0" w:line="312" w:lineRule="auto"/>
              <w:ind w:right="-87"/>
              <w:rPr>
                <w:szCs w:val="20"/>
              </w:rPr>
            </w:pPr>
            <w:r w:rsidRPr="00E00B35">
              <w:rPr>
                <w:szCs w:val="20"/>
              </w:rPr>
              <w:t>Liczba płatnych miejsc postojowych</w:t>
            </w:r>
          </w:p>
        </w:tc>
        <w:tc>
          <w:tcPr>
            <w:tcW w:w="3977" w:type="dxa"/>
            <w:gridSpan w:val="3"/>
          </w:tcPr>
          <w:p w:rsidR="008C7751" w:rsidRPr="00E00B35" w:rsidRDefault="008C7751" w:rsidP="00E00B35">
            <w:pPr>
              <w:suppressAutoHyphens/>
              <w:spacing w:after="0" w:line="312" w:lineRule="auto"/>
              <w:ind w:right="1"/>
              <w:rPr>
                <w:szCs w:val="20"/>
              </w:rPr>
            </w:pPr>
            <w:r w:rsidRPr="00E00B35">
              <w:rPr>
                <w:szCs w:val="20"/>
              </w:rPr>
              <w:t>Liczba wydanych abonamentów</w:t>
            </w:r>
          </w:p>
        </w:tc>
        <w:tc>
          <w:tcPr>
            <w:tcW w:w="3819" w:type="dxa"/>
            <w:gridSpan w:val="3"/>
          </w:tcPr>
          <w:p w:rsidR="008C7751" w:rsidRPr="00E00B35" w:rsidRDefault="008C7751" w:rsidP="00E00B35">
            <w:pPr>
              <w:suppressAutoHyphens/>
              <w:spacing w:after="0" w:line="312" w:lineRule="auto"/>
              <w:ind w:right="1"/>
              <w:rPr>
                <w:szCs w:val="20"/>
              </w:rPr>
            </w:pPr>
            <w:r w:rsidRPr="00E00B35">
              <w:rPr>
                <w:szCs w:val="20"/>
              </w:rPr>
              <w:t>Liczba wydanych abonamentów dla mieszkańców</w:t>
            </w:r>
          </w:p>
        </w:tc>
      </w:tr>
      <w:tr w:rsidR="008C7751" w:rsidRPr="00E00B35" w:rsidTr="00C220F1">
        <w:tc>
          <w:tcPr>
            <w:tcW w:w="852" w:type="dxa"/>
          </w:tcPr>
          <w:p w:rsidR="008C7751" w:rsidRPr="00E00B35" w:rsidRDefault="008C7751" w:rsidP="00E00B35">
            <w:pPr>
              <w:suppressAutoHyphens/>
              <w:spacing w:after="0" w:line="312" w:lineRule="auto"/>
              <w:ind w:right="1"/>
              <w:rPr>
                <w:szCs w:val="20"/>
              </w:rPr>
            </w:pPr>
            <w:r w:rsidRPr="00E00B35">
              <w:rPr>
                <w:szCs w:val="20"/>
              </w:rPr>
              <w:t>2017</w:t>
            </w:r>
          </w:p>
        </w:tc>
        <w:tc>
          <w:tcPr>
            <w:tcW w:w="1417" w:type="dxa"/>
          </w:tcPr>
          <w:p w:rsidR="008C7751" w:rsidRPr="00E00B35" w:rsidRDefault="008C7751" w:rsidP="00E00B35">
            <w:pPr>
              <w:suppressAutoHyphens/>
              <w:spacing w:after="0" w:line="312" w:lineRule="auto"/>
              <w:ind w:right="1"/>
              <w:rPr>
                <w:szCs w:val="20"/>
              </w:rPr>
            </w:pPr>
            <w:r w:rsidRPr="00E00B35">
              <w:rPr>
                <w:szCs w:val="20"/>
              </w:rPr>
              <w:t>4 272</w:t>
            </w:r>
          </w:p>
        </w:tc>
        <w:tc>
          <w:tcPr>
            <w:tcW w:w="1418" w:type="dxa"/>
          </w:tcPr>
          <w:p w:rsidR="008C7751" w:rsidRPr="00E00B35" w:rsidRDefault="008C7751" w:rsidP="00E00B35">
            <w:pPr>
              <w:suppressAutoHyphens/>
              <w:spacing w:after="0" w:line="312" w:lineRule="auto"/>
              <w:ind w:right="1"/>
              <w:rPr>
                <w:szCs w:val="20"/>
              </w:rPr>
            </w:pPr>
            <w:r w:rsidRPr="00E00B35">
              <w:rPr>
                <w:szCs w:val="20"/>
              </w:rPr>
              <w:t>6 870 tradycyjne</w:t>
            </w:r>
          </w:p>
        </w:tc>
        <w:tc>
          <w:tcPr>
            <w:tcW w:w="1559" w:type="dxa"/>
          </w:tcPr>
          <w:p w:rsidR="008C7751" w:rsidRPr="00E00B35" w:rsidRDefault="008C7751" w:rsidP="00E00B35">
            <w:pPr>
              <w:suppressAutoHyphens/>
              <w:spacing w:after="0" w:line="312" w:lineRule="auto"/>
              <w:ind w:right="1"/>
              <w:rPr>
                <w:szCs w:val="20"/>
              </w:rPr>
            </w:pPr>
            <w:r w:rsidRPr="00E00B35">
              <w:rPr>
                <w:szCs w:val="20"/>
              </w:rPr>
              <w:t>2 467 e-abonamenty</w:t>
            </w:r>
          </w:p>
        </w:tc>
        <w:tc>
          <w:tcPr>
            <w:tcW w:w="1000" w:type="dxa"/>
          </w:tcPr>
          <w:p w:rsidR="008C7751" w:rsidRPr="00E00B35" w:rsidRDefault="008C7751" w:rsidP="00E00B35">
            <w:pPr>
              <w:suppressAutoHyphens/>
              <w:spacing w:after="0" w:line="312" w:lineRule="auto"/>
              <w:ind w:right="1"/>
              <w:rPr>
                <w:szCs w:val="20"/>
              </w:rPr>
            </w:pPr>
            <w:r w:rsidRPr="00E00B35">
              <w:rPr>
                <w:szCs w:val="20"/>
              </w:rPr>
              <w:t>9 337 razem</w:t>
            </w:r>
          </w:p>
        </w:tc>
        <w:tc>
          <w:tcPr>
            <w:tcW w:w="1343" w:type="dxa"/>
          </w:tcPr>
          <w:p w:rsidR="008C7751" w:rsidRPr="00E00B35" w:rsidRDefault="008C7751" w:rsidP="00E00B35">
            <w:pPr>
              <w:suppressAutoHyphens/>
              <w:spacing w:after="0" w:line="312" w:lineRule="auto"/>
              <w:ind w:right="1"/>
              <w:rPr>
                <w:szCs w:val="20"/>
              </w:rPr>
            </w:pPr>
            <w:r w:rsidRPr="00E00B35">
              <w:rPr>
                <w:szCs w:val="20"/>
              </w:rPr>
              <w:t>2 800 tradycyjne</w:t>
            </w:r>
          </w:p>
        </w:tc>
        <w:tc>
          <w:tcPr>
            <w:tcW w:w="1484" w:type="dxa"/>
          </w:tcPr>
          <w:p w:rsidR="008C7751" w:rsidRPr="00E00B35" w:rsidRDefault="008C7751" w:rsidP="00E00B35">
            <w:pPr>
              <w:suppressAutoHyphens/>
              <w:spacing w:after="0" w:line="312" w:lineRule="auto"/>
              <w:ind w:right="1"/>
              <w:rPr>
                <w:szCs w:val="20"/>
              </w:rPr>
            </w:pPr>
            <w:r w:rsidRPr="00E00B35">
              <w:rPr>
                <w:szCs w:val="20"/>
              </w:rPr>
              <w:t>281 e-abonamenty</w:t>
            </w:r>
          </w:p>
        </w:tc>
        <w:tc>
          <w:tcPr>
            <w:tcW w:w="992" w:type="dxa"/>
          </w:tcPr>
          <w:p w:rsidR="008C7751" w:rsidRPr="00E00B35" w:rsidRDefault="008C7751" w:rsidP="00E00B35">
            <w:pPr>
              <w:suppressAutoHyphens/>
              <w:spacing w:after="0" w:line="312" w:lineRule="auto"/>
              <w:ind w:right="1"/>
              <w:rPr>
                <w:szCs w:val="20"/>
              </w:rPr>
            </w:pPr>
            <w:r w:rsidRPr="00E00B35">
              <w:rPr>
                <w:szCs w:val="20"/>
              </w:rPr>
              <w:t>3 081 razem</w:t>
            </w:r>
          </w:p>
        </w:tc>
      </w:tr>
      <w:tr w:rsidR="008C7751" w:rsidRPr="00E00B35" w:rsidTr="00C220F1">
        <w:tc>
          <w:tcPr>
            <w:tcW w:w="852" w:type="dxa"/>
          </w:tcPr>
          <w:p w:rsidR="008C7751" w:rsidRPr="00E00B35" w:rsidRDefault="008C7751" w:rsidP="00E00B35">
            <w:pPr>
              <w:suppressAutoHyphens/>
              <w:spacing w:after="0" w:line="312" w:lineRule="auto"/>
              <w:ind w:right="1"/>
              <w:rPr>
                <w:szCs w:val="20"/>
              </w:rPr>
            </w:pPr>
            <w:r w:rsidRPr="00E00B35">
              <w:rPr>
                <w:szCs w:val="20"/>
              </w:rPr>
              <w:t>2018</w:t>
            </w:r>
          </w:p>
        </w:tc>
        <w:tc>
          <w:tcPr>
            <w:tcW w:w="1417" w:type="dxa"/>
          </w:tcPr>
          <w:p w:rsidR="008C7751" w:rsidRPr="00E00B35" w:rsidRDefault="008C7751" w:rsidP="00E00B35">
            <w:pPr>
              <w:suppressAutoHyphens/>
              <w:spacing w:after="0" w:line="312" w:lineRule="auto"/>
              <w:ind w:right="1"/>
              <w:rPr>
                <w:szCs w:val="20"/>
              </w:rPr>
            </w:pPr>
            <w:r w:rsidRPr="00E00B35">
              <w:rPr>
                <w:szCs w:val="20"/>
              </w:rPr>
              <w:t>4 366</w:t>
            </w:r>
          </w:p>
        </w:tc>
        <w:tc>
          <w:tcPr>
            <w:tcW w:w="1418" w:type="dxa"/>
          </w:tcPr>
          <w:p w:rsidR="008C7751" w:rsidRPr="00E00B35" w:rsidRDefault="008C7751" w:rsidP="00E00B35">
            <w:pPr>
              <w:suppressAutoHyphens/>
              <w:spacing w:after="0" w:line="312" w:lineRule="auto"/>
              <w:ind w:right="1"/>
              <w:rPr>
                <w:szCs w:val="20"/>
              </w:rPr>
            </w:pPr>
            <w:r w:rsidRPr="00E00B35">
              <w:rPr>
                <w:szCs w:val="20"/>
              </w:rPr>
              <w:t>5 274 tradycyjne</w:t>
            </w:r>
          </w:p>
        </w:tc>
        <w:tc>
          <w:tcPr>
            <w:tcW w:w="1559" w:type="dxa"/>
          </w:tcPr>
          <w:p w:rsidR="008C7751" w:rsidRPr="00E00B35" w:rsidRDefault="008C7751" w:rsidP="00E00B35">
            <w:pPr>
              <w:suppressAutoHyphens/>
              <w:spacing w:after="0" w:line="312" w:lineRule="auto"/>
              <w:ind w:right="1"/>
              <w:rPr>
                <w:szCs w:val="20"/>
              </w:rPr>
            </w:pPr>
            <w:r w:rsidRPr="00E00B35">
              <w:rPr>
                <w:szCs w:val="20"/>
              </w:rPr>
              <w:t>4 378 e-abonamenty</w:t>
            </w:r>
          </w:p>
        </w:tc>
        <w:tc>
          <w:tcPr>
            <w:tcW w:w="1000" w:type="dxa"/>
          </w:tcPr>
          <w:p w:rsidR="008C7751" w:rsidRPr="00E00B35" w:rsidRDefault="008C7751" w:rsidP="00E00B35">
            <w:pPr>
              <w:suppressAutoHyphens/>
              <w:spacing w:after="0" w:line="312" w:lineRule="auto"/>
              <w:ind w:right="1"/>
              <w:rPr>
                <w:szCs w:val="20"/>
              </w:rPr>
            </w:pPr>
            <w:r w:rsidRPr="00E00B35">
              <w:rPr>
                <w:szCs w:val="20"/>
              </w:rPr>
              <w:t>9 652 razem</w:t>
            </w:r>
          </w:p>
        </w:tc>
        <w:tc>
          <w:tcPr>
            <w:tcW w:w="1343" w:type="dxa"/>
          </w:tcPr>
          <w:p w:rsidR="008C7751" w:rsidRPr="00E00B35" w:rsidRDefault="008C7751" w:rsidP="00E00B35">
            <w:pPr>
              <w:suppressAutoHyphens/>
              <w:spacing w:after="0" w:line="312" w:lineRule="auto"/>
              <w:ind w:right="1"/>
              <w:rPr>
                <w:szCs w:val="20"/>
              </w:rPr>
            </w:pPr>
            <w:r w:rsidRPr="00E00B35">
              <w:rPr>
                <w:szCs w:val="20"/>
              </w:rPr>
              <w:t>2 546 tradycyjne</w:t>
            </w:r>
          </w:p>
        </w:tc>
        <w:tc>
          <w:tcPr>
            <w:tcW w:w="1484" w:type="dxa"/>
          </w:tcPr>
          <w:p w:rsidR="008C7751" w:rsidRPr="00E00B35" w:rsidRDefault="008C7751" w:rsidP="00E00B35">
            <w:pPr>
              <w:suppressAutoHyphens/>
              <w:spacing w:after="0" w:line="312" w:lineRule="auto"/>
              <w:ind w:right="1"/>
              <w:rPr>
                <w:szCs w:val="20"/>
              </w:rPr>
            </w:pPr>
            <w:r w:rsidRPr="00E00B35">
              <w:rPr>
                <w:szCs w:val="20"/>
              </w:rPr>
              <w:t>512 e-abonamenty</w:t>
            </w:r>
          </w:p>
        </w:tc>
        <w:tc>
          <w:tcPr>
            <w:tcW w:w="992" w:type="dxa"/>
          </w:tcPr>
          <w:p w:rsidR="008C7751" w:rsidRPr="00E00B35" w:rsidRDefault="008C7751" w:rsidP="00E00B35">
            <w:pPr>
              <w:suppressAutoHyphens/>
              <w:spacing w:after="0" w:line="312" w:lineRule="auto"/>
              <w:ind w:right="1"/>
              <w:rPr>
                <w:szCs w:val="20"/>
              </w:rPr>
            </w:pPr>
            <w:r w:rsidRPr="00E00B35">
              <w:rPr>
                <w:szCs w:val="20"/>
              </w:rPr>
              <w:t>3 058 razem</w:t>
            </w:r>
          </w:p>
        </w:tc>
      </w:tr>
      <w:tr w:rsidR="008C7751" w:rsidRPr="00E00B35" w:rsidTr="00C220F1">
        <w:tc>
          <w:tcPr>
            <w:tcW w:w="852" w:type="dxa"/>
          </w:tcPr>
          <w:p w:rsidR="008C7751" w:rsidRPr="00E00B35" w:rsidRDefault="008C7751" w:rsidP="00E00B35">
            <w:pPr>
              <w:suppressAutoHyphens/>
              <w:spacing w:after="0" w:line="312" w:lineRule="auto"/>
              <w:ind w:right="1"/>
              <w:rPr>
                <w:szCs w:val="20"/>
              </w:rPr>
            </w:pPr>
            <w:r w:rsidRPr="00E00B35">
              <w:rPr>
                <w:szCs w:val="20"/>
              </w:rPr>
              <w:t>2019</w:t>
            </w:r>
          </w:p>
        </w:tc>
        <w:tc>
          <w:tcPr>
            <w:tcW w:w="1417" w:type="dxa"/>
          </w:tcPr>
          <w:p w:rsidR="008C7751" w:rsidRPr="00E00B35" w:rsidRDefault="008C7751" w:rsidP="00E00B35">
            <w:pPr>
              <w:suppressAutoHyphens/>
              <w:spacing w:after="0" w:line="312" w:lineRule="auto"/>
              <w:ind w:right="1"/>
              <w:rPr>
                <w:szCs w:val="20"/>
              </w:rPr>
            </w:pPr>
            <w:r w:rsidRPr="00E00B35">
              <w:rPr>
                <w:szCs w:val="20"/>
              </w:rPr>
              <w:t>4 606</w:t>
            </w:r>
          </w:p>
        </w:tc>
        <w:tc>
          <w:tcPr>
            <w:tcW w:w="1418" w:type="dxa"/>
          </w:tcPr>
          <w:p w:rsidR="008C7751" w:rsidRPr="00E00B35" w:rsidRDefault="008C7751" w:rsidP="00E00B35">
            <w:pPr>
              <w:suppressAutoHyphens/>
              <w:spacing w:after="0" w:line="312" w:lineRule="auto"/>
              <w:ind w:right="1"/>
              <w:rPr>
                <w:szCs w:val="20"/>
              </w:rPr>
            </w:pPr>
            <w:r w:rsidRPr="00E00B35">
              <w:rPr>
                <w:szCs w:val="20"/>
              </w:rPr>
              <w:t>4 124 tradycyjne</w:t>
            </w:r>
          </w:p>
        </w:tc>
        <w:tc>
          <w:tcPr>
            <w:tcW w:w="1559" w:type="dxa"/>
          </w:tcPr>
          <w:p w:rsidR="008C7751" w:rsidRPr="00E00B35" w:rsidRDefault="008C7751" w:rsidP="00E00B35">
            <w:pPr>
              <w:suppressAutoHyphens/>
              <w:spacing w:after="0" w:line="312" w:lineRule="auto"/>
              <w:ind w:right="1"/>
              <w:rPr>
                <w:szCs w:val="20"/>
              </w:rPr>
            </w:pPr>
            <w:r w:rsidRPr="00E00B35">
              <w:rPr>
                <w:szCs w:val="20"/>
              </w:rPr>
              <w:t>5 651 e-abonamenty</w:t>
            </w:r>
          </w:p>
        </w:tc>
        <w:tc>
          <w:tcPr>
            <w:tcW w:w="1000" w:type="dxa"/>
          </w:tcPr>
          <w:p w:rsidR="008C7751" w:rsidRPr="00E00B35" w:rsidRDefault="008C7751" w:rsidP="00E00B35">
            <w:pPr>
              <w:suppressAutoHyphens/>
              <w:spacing w:after="0" w:line="312" w:lineRule="auto"/>
              <w:ind w:right="1"/>
              <w:rPr>
                <w:szCs w:val="20"/>
              </w:rPr>
            </w:pPr>
            <w:r w:rsidRPr="00E00B35">
              <w:rPr>
                <w:szCs w:val="20"/>
              </w:rPr>
              <w:t>9 775 razem</w:t>
            </w:r>
          </w:p>
        </w:tc>
        <w:tc>
          <w:tcPr>
            <w:tcW w:w="1343" w:type="dxa"/>
          </w:tcPr>
          <w:p w:rsidR="008C7751" w:rsidRPr="00E00B35" w:rsidRDefault="008C7751" w:rsidP="00E00B35">
            <w:pPr>
              <w:suppressAutoHyphens/>
              <w:spacing w:after="0" w:line="312" w:lineRule="auto"/>
              <w:ind w:right="1"/>
              <w:rPr>
                <w:szCs w:val="20"/>
              </w:rPr>
            </w:pPr>
            <w:r w:rsidRPr="00E00B35">
              <w:rPr>
                <w:szCs w:val="20"/>
              </w:rPr>
              <w:t>2 431 tradycyjne</w:t>
            </w:r>
          </w:p>
        </w:tc>
        <w:tc>
          <w:tcPr>
            <w:tcW w:w="1484" w:type="dxa"/>
          </w:tcPr>
          <w:p w:rsidR="008C7751" w:rsidRPr="00E00B35" w:rsidRDefault="008C7751" w:rsidP="00E00B35">
            <w:pPr>
              <w:suppressAutoHyphens/>
              <w:spacing w:after="0" w:line="312" w:lineRule="auto"/>
              <w:ind w:right="1"/>
              <w:rPr>
                <w:szCs w:val="20"/>
              </w:rPr>
            </w:pPr>
            <w:r w:rsidRPr="00E00B35">
              <w:rPr>
                <w:szCs w:val="20"/>
              </w:rPr>
              <w:t>735 e-abonamenty</w:t>
            </w:r>
          </w:p>
        </w:tc>
        <w:tc>
          <w:tcPr>
            <w:tcW w:w="992" w:type="dxa"/>
          </w:tcPr>
          <w:p w:rsidR="008C7751" w:rsidRPr="00E00B35" w:rsidRDefault="008C7751" w:rsidP="00E00B35">
            <w:pPr>
              <w:suppressAutoHyphens/>
              <w:spacing w:after="0" w:line="312" w:lineRule="auto"/>
              <w:ind w:right="1"/>
              <w:rPr>
                <w:szCs w:val="20"/>
              </w:rPr>
            </w:pPr>
            <w:r w:rsidRPr="00E00B35">
              <w:rPr>
                <w:szCs w:val="20"/>
              </w:rPr>
              <w:t>3 166 razem</w:t>
            </w:r>
          </w:p>
        </w:tc>
      </w:tr>
      <w:tr w:rsidR="008C7751" w:rsidRPr="00E00B35" w:rsidTr="00C220F1">
        <w:tc>
          <w:tcPr>
            <w:tcW w:w="852" w:type="dxa"/>
          </w:tcPr>
          <w:p w:rsidR="008C7751" w:rsidRPr="00E00B35" w:rsidRDefault="008C7751" w:rsidP="00E00B35">
            <w:pPr>
              <w:suppressAutoHyphens/>
              <w:spacing w:after="0" w:line="312" w:lineRule="auto"/>
              <w:ind w:right="1"/>
              <w:rPr>
                <w:szCs w:val="20"/>
              </w:rPr>
            </w:pPr>
            <w:r w:rsidRPr="00E00B35">
              <w:rPr>
                <w:szCs w:val="20"/>
              </w:rPr>
              <w:t>2020</w:t>
            </w:r>
          </w:p>
        </w:tc>
        <w:tc>
          <w:tcPr>
            <w:tcW w:w="1417" w:type="dxa"/>
          </w:tcPr>
          <w:p w:rsidR="008C7751" w:rsidRPr="00E00B35" w:rsidRDefault="008C7751" w:rsidP="00E00B35">
            <w:pPr>
              <w:suppressAutoHyphens/>
              <w:spacing w:after="0" w:line="312" w:lineRule="auto"/>
              <w:ind w:right="1"/>
              <w:rPr>
                <w:szCs w:val="20"/>
              </w:rPr>
            </w:pPr>
            <w:r w:rsidRPr="00E00B35">
              <w:rPr>
                <w:szCs w:val="20"/>
              </w:rPr>
              <w:t>4 938</w:t>
            </w:r>
          </w:p>
        </w:tc>
        <w:tc>
          <w:tcPr>
            <w:tcW w:w="1418" w:type="dxa"/>
          </w:tcPr>
          <w:p w:rsidR="008C7751" w:rsidRPr="00E00B35" w:rsidRDefault="008C7751" w:rsidP="00E00B35">
            <w:pPr>
              <w:suppressAutoHyphens/>
              <w:spacing w:after="0" w:line="312" w:lineRule="auto"/>
              <w:ind w:right="1"/>
              <w:rPr>
                <w:szCs w:val="20"/>
              </w:rPr>
            </w:pPr>
            <w:r w:rsidRPr="00E00B35">
              <w:rPr>
                <w:szCs w:val="20"/>
              </w:rPr>
              <w:t>2 316 tradycyjne</w:t>
            </w:r>
          </w:p>
        </w:tc>
        <w:tc>
          <w:tcPr>
            <w:tcW w:w="1559" w:type="dxa"/>
          </w:tcPr>
          <w:p w:rsidR="008C7751" w:rsidRPr="00E00B35" w:rsidRDefault="008C7751" w:rsidP="00E00B35">
            <w:pPr>
              <w:suppressAutoHyphens/>
              <w:spacing w:after="0" w:line="312" w:lineRule="auto"/>
              <w:ind w:right="1"/>
              <w:rPr>
                <w:szCs w:val="20"/>
              </w:rPr>
            </w:pPr>
            <w:r w:rsidRPr="00E00B35">
              <w:rPr>
                <w:szCs w:val="20"/>
              </w:rPr>
              <w:t>5 182 e-abonamenty</w:t>
            </w:r>
          </w:p>
        </w:tc>
        <w:tc>
          <w:tcPr>
            <w:tcW w:w="1000" w:type="dxa"/>
          </w:tcPr>
          <w:p w:rsidR="008C7751" w:rsidRPr="00E00B35" w:rsidRDefault="008C7751" w:rsidP="00E00B35">
            <w:pPr>
              <w:suppressAutoHyphens/>
              <w:spacing w:after="0" w:line="312" w:lineRule="auto"/>
              <w:ind w:right="1"/>
              <w:rPr>
                <w:szCs w:val="20"/>
              </w:rPr>
            </w:pPr>
            <w:r w:rsidRPr="00E00B35">
              <w:rPr>
                <w:szCs w:val="20"/>
              </w:rPr>
              <w:t>7 498 razem</w:t>
            </w:r>
          </w:p>
        </w:tc>
        <w:tc>
          <w:tcPr>
            <w:tcW w:w="1343" w:type="dxa"/>
          </w:tcPr>
          <w:p w:rsidR="008C7751" w:rsidRPr="00E00B35" w:rsidRDefault="008C7751" w:rsidP="00E00B35">
            <w:pPr>
              <w:suppressAutoHyphens/>
              <w:spacing w:after="0" w:line="312" w:lineRule="auto"/>
              <w:ind w:right="1"/>
              <w:rPr>
                <w:szCs w:val="20"/>
              </w:rPr>
            </w:pPr>
            <w:r w:rsidRPr="00E00B35">
              <w:rPr>
                <w:szCs w:val="20"/>
              </w:rPr>
              <w:t>1 841 tradycyjne</w:t>
            </w:r>
          </w:p>
        </w:tc>
        <w:tc>
          <w:tcPr>
            <w:tcW w:w="1484" w:type="dxa"/>
          </w:tcPr>
          <w:p w:rsidR="008C7751" w:rsidRPr="00E00B35" w:rsidRDefault="008C7751" w:rsidP="00E00B35">
            <w:pPr>
              <w:suppressAutoHyphens/>
              <w:spacing w:after="0" w:line="312" w:lineRule="auto"/>
              <w:ind w:right="1"/>
              <w:rPr>
                <w:szCs w:val="20"/>
              </w:rPr>
            </w:pPr>
            <w:r w:rsidRPr="00E00B35">
              <w:rPr>
                <w:szCs w:val="20"/>
              </w:rPr>
              <w:t>1 629 e-abonamenty</w:t>
            </w:r>
          </w:p>
        </w:tc>
        <w:tc>
          <w:tcPr>
            <w:tcW w:w="992" w:type="dxa"/>
          </w:tcPr>
          <w:p w:rsidR="008C7751" w:rsidRPr="00E00B35" w:rsidRDefault="008C7751" w:rsidP="00E00B35">
            <w:pPr>
              <w:suppressAutoHyphens/>
              <w:spacing w:after="0" w:line="312" w:lineRule="auto"/>
              <w:ind w:right="1"/>
              <w:rPr>
                <w:szCs w:val="20"/>
              </w:rPr>
            </w:pPr>
            <w:r w:rsidRPr="00E00B35">
              <w:rPr>
                <w:szCs w:val="20"/>
              </w:rPr>
              <w:t>3 470 razem</w:t>
            </w:r>
          </w:p>
        </w:tc>
      </w:tr>
    </w:tbl>
    <w:p w:rsidR="008C7751" w:rsidRPr="00E00B35" w:rsidRDefault="008C7751" w:rsidP="00E00B35">
      <w:pPr>
        <w:suppressAutoHyphens/>
        <w:spacing w:after="0" w:line="312" w:lineRule="auto"/>
        <w:ind w:right="1"/>
        <w:rPr>
          <w:szCs w:val="20"/>
        </w:rPr>
      </w:pPr>
    </w:p>
    <w:p w:rsidR="008C7751" w:rsidRPr="00E00B35" w:rsidRDefault="008C7751" w:rsidP="00E00B35">
      <w:pPr>
        <w:suppressAutoHyphens/>
        <w:spacing w:after="0" w:line="312" w:lineRule="auto"/>
        <w:rPr>
          <w:szCs w:val="20"/>
        </w:rPr>
      </w:pPr>
      <w:r w:rsidRPr="00E00B35">
        <w:rPr>
          <w:szCs w:val="20"/>
        </w:rPr>
        <w:t>W roku 2020 z tytułu opłat za postój samochodów w Strefie Płatnego Parkowania osiągnięto dochody w wysokości 10 792,07 tys. zł. Koszt obsługi Systemu wyniósł 4 096,02 tys. zł, w tym wynagrodzenie operatora Systemu 3 908,25 tys. zł.</w:t>
      </w:r>
    </w:p>
    <w:p w:rsidR="008C7751" w:rsidRPr="00E00B35" w:rsidRDefault="008C7751" w:rsidP="00E00B35">
      <w:pPr>
        <w:pStyle w:val="Nagwek20"/>
        <w:spacing w:after="0" w:line="312" w:lineRule="auto"/>
        <w:rPr>
          <w:b w:val="0"/>
          <w:sz w:val="20"/>
          <w:szCs w:val="20"/>
        </w:rPr>
      </w:pPr>
    </w:p>
    <w:p w:rsidR="008C7751" w:rsidRPr="00E00B35" w:rsidRDefault="008C7751" w:rsidP="00E00B35">
      <w:pPr>
        <w:pStyle w:val="Nagwek4"/>
        <w:spacing w:before="0" w:after="0" w:line="312" w:lineRule="auto"/>
        <w:rPr>
          <w:sz w:val="20"/>
          <w:szCs w:val="20"/>
        </w:rPr>
      </w:pPr>
      <w:bookmarkStart w:id="936" w:name="_Toc66358359"/>
      <w:r w:rsidRPr="00E00B35">
        <w:rPr>
          <w:sz w:val="20"/>
          <w:szCs w:val="20"/>
        </w:rPr>
        <w:t>Elektromobilność</w:t>
      </w:r>
      <w:bookmarkEnd w:id="935"/>
      <w:bookmarkEnd w:id="936"/>
    </w:p>
    <w:p w:rsidR="008C7751" w:rsidRPr="00E00B35" w:rsidRDefault="008C7751" w:rsidP="00E00B35">
      <w:pPr>
        <w:pStyle w:val="Akapitzlist"/>
        <w:numPr>
          <w:ilvl w:val="1"/>
          <w:numId w:val="115"/>
        </w:numPr>
        <w:tabs>
          <w:tab w:val="left" w:pos="567"/>
          <w:tab w:val="right" w:leader="dot" w:pos="9062"/>
        </w:tabs>
        <w:suppressAutoHyphens/>
        <w:spacing w:after="0" w:line="312" w:lineRule="auto"/>
        <w:ind w:hanging="1080"/>
        <w:rPr>
          <w:b/>
          <w:vanish/>
          <w:szCs w:val="20"/>
        </w:rPr>
      </w:pPr>
      <w:bookmarkStart w:id="937" w:name="_Toc32318711"/>
      <w:r w:rsidRPr="00E00B35">
        <w:rPr>
          <w:b/>
          <w:szCs w:val="20"/>
        </w:rPr>
        <w:t>Wrocławska Strategia Rozwoju Elektromobilności</w:t>
      </w:r>
    </w:p>
    <w:p w:rsidR="008C7751" w:rsidRPr="00E00B35" w:rsidRDefault="008C7751" w:rsidP="00E00B35">
      <w:pPr>
        <w:spacing w:after="0" w:line="312" w:lineRule="auto"/>
        <w:rPr>
          <w:b/>
          <w:szCs w:val="20"/>
          <w:lang w:eastAsia="pl-PL"/>
        </w:rPr>
      </w:pPr>
    </w:p>
    <w:p w:rsidR="008C7751" w:rsidRPr="00E00B35" w:rsidRDefault="008C7751" w:rsidP="00E00B35">
      <w:pPr>
        <w:spacing w:after="0" w:line="312" w:lineRule="auto"/>
        <w:rPr>
          <w:szCs w:val="20"/>
          <w:lang w:eastAsia="pl-PL"/>
        </w:rPr>
      </w:pPr>
      <w:r w:rsidRPr="00E00B35">
        <w:rPr>
          <w:szCs w:val="20"/>
          <w:lang w:eastAsia="pl-PL"/>
        </w:rPr>
        <w:lastRenderedPageBreak/>
        <w:t xml:space="preserve">W dniu 23 lipca 2020 r. Wrocławska Strategia Rozwoju Elektromobilności została przyjęta uchwałą Rady Miejskiej Wrocławia nr XXV/675/20. Na opracowanie dokumentu uzyskano dotację z Narodowego Funduszu Ochrony Środowiska i Gospodarki Wodnej. Wartość umowy opiewała na kwotę 57,75 tys. zł brutto i w całości została sfinansowana ze środków zewnętrznych. </w:t>
      </w:r>
    </w:p>
    <w:p w:rsidR="008C7751" w:rsidRPr="00E00B35" w:rsidRDefault="008C7751" w:rsidP="00E00B35">
      <w:pPr>
        <w:spacing w:after="0" w:line="312" w:lineRule="auto"/>
        <w:rPr>
          <w:szCs w:val="20"/>
          <w:lang w:eastAsia="pl-PL"/>
        </w:rPr>
      </w:pPr>
      <w:r w:rsidRPr="00E00B35">
        <w:rPr>
          <w:szCs w:val="20"/>
          <w:lang w:eastAsia="pl-PL"/>
        </w:rPr>
        <w:t>Opracowanie to jest dokumentem o charakterze strategicznym, charakteryzującym takie elementy związane z mobilnością miejską jak: stan jakości powietrza, wpływ na zanieczyszczenie powietrza generowany przez ruch samochodowy, silne i słabe strony systemu komunikacyjnego, czy bezpieczeństwo dostaw energii elektrycznej w przypadku rosnącej konsumpcji przez pojazdy elektryczne. Głównym celem dokumentu jest określenie kierunków oczekiwanych zmian i podejmowanych działań związanych z elektromobilnością. Strategia zawiera zarówno propozycję nowych zadań i celów, jak i przytacza również te działania, które są podejmowane lub planowane przez władze miasta na bazie innych dokumentów strategicznych.</w:t>
      </w:r>
    </w:p>
    <w:p w:rsidR="008C7751" w:rsidRPr="00E00B35" w:rsidRDefault="008C7751" w:rsidP="00E00B35">
      <w:pPr>
        <w:spacing w:after="0" w:line="312" w:lineRule="auto"/>
        <w:rPr>
          <w:szCs w:val="20"/>
          <w:lang w:eastAsia="pl-PL"/>
        </w:rPr>
      </w:pPr>
    </w:p>
    <w:p w:rsidR="008C7751" w:rsidRPr="00E00B35" w:rsidRDefault="008C7751" w:rsidP="00E00B35">
      <w:pPr>
        <w:spacing w:after="0" w:line="312" w:lineRule="auto"/>
        <w:rPr>
          <w:szCs w:val="20"/>
          <w:lang w:eastAsia="pl-PL"/>
        </w:rPr>
      </w:pPr>
      <w:r w:rsidRPr="00E00B35">
        <w:rPr>
          <w:szCs w:val="20"/>
          <w:lang w:eastAsia="pl-PL"/>
        </w:rPr>
        <w:t>W ramach dokumentu wyznaczono następujące cele strategiczne:</w:t>
      </w:r>
    </w:p>
    <w:p w:rsidR="008C7751" w:rsidRPr="00E00B35" w:rsidRDefault="008C7751" w:rsidP="00E00B35">
      <w:pPr>
        <w:pStyle w:val="Tekstpodstawowy"/>
        <w:numPr>
          <w:ilvl w:val="0"/>
          <w:numId w:val="47"/>
        </w:numPr>
        <w:suppressAutoHyphens/>
        <w:spacing w:after="0" w:line="312" w:lineRule="auto"/>
        <w:ind w:left="567" w:hanging="567"/>
        <w:rPr>
          <w:szCs w:val="20"/>
        </w:rPr>
      </w:pPr>
      <w:r w:rsidRPr="00E00B35">
        <w:rPr>
          <w:szCs w:val="20"/>
        </w:rPr>
        <w:t>Zero- i niskoemisyjna komunikacja miejska (wprowadzenie pojazdów nisko- i zeroemisyjnych do obsługi zbiorowego transportu publicznego, rozwój komunikacji zbiorowej przyjaznej środowisku, osobom z niepełnosprawnościami oraz zintegrowanej z innymi formami transportu);</w:t>
      </w:r>
    </w:p>
    <w:p w:rsidR="008C7751" w:rsidRPr="00E00B35" w:rsidRDefault="008C7751" w:rsidP="00E00B35">
      <w:pPr>
        <w:pStyle w:val="Tekstpodstawowy"/>
        <w:numPr>
          <w:ilvl w:val="0"/>
          <w:numId w:val="47"/>
        </w:numPr>
        <w:suppressAutoHyphens/>
        <w:spacing w:after="0" w:line="312" w:lineRule="auto"/>
        <w:ind w:left="567" w:hanging="567"/>
        <w:rPr>
          <w:szCs w:val="20"/>
        </w:rPr>
      </w:pPr>
      <w:r w:rsidRPr="00E00B35">
        <w:rPr>
          <w:szCs w:val="20"/>
        </w:rPr>
        <w:t>Elektromobilny samorząd (wprowadzenie do samorządu tj. do UM Wrocławia oraz jednostek pomocniczych min. 30% pojazdów zeroemisyjnych, elementy elektromobilności w przetargach publicznych, promowanie i wspieranie inwestycji prywatnych w budowę ogólnodostępnych stacji ładowania pojazdów);</w:t>
      </w:r>
    </w:p>
    <w:p w:rsidR="008C7751" w:rsidRPr="00E00B35" w:rsidRDefault="008C7751" w:rsidP="00E00B35">
      <w:pPr>
        <w:pStyle w:val="Tekstpodstawowy"/>
        <w:numPr>
          <w:ilvl w:val="0"/>
          <w:numId w:val="47"/>
        </w:numPr>
        <w:suppressAutoHyphens/>
        <w:spacing w:after="0" w:line="312" w:lineRule="auto"/>
        <w:ind w:left="567" w:hanging="567"/>
        <w:rPr>
          <w:szCs w:val="20"/>
        </w:rPr>
      </w:pPr>
      <w:r w:rsidRPr="00E00B35">
        <w:rPr>
          <w:szCs w:val="20"/>
        </w:rPr>
        <w:t>Elektromobilny mieszkaniec (budowa społeczeństwa świadomego, jak decyzje o wyborze środka komunikacji wpływają na stan jakości powietrza, zatłoczenie na drogach czy dostępność miejsc parkingowych, jakie korzyści dla środowiska i mieszkańców przynosi wykorzystanie alternatywnych form transportu);</w:t>
      </w:r>
    </w:p>
    <w:p w:rsidR="008C7751" w:rsidRPr="00E00B35" w:rsidRDefault="008C7751" w:rsidP="00E00B35">
      <w:pPr>
        <w:pStyle w:val="Tekstpodstawowy"/>
        <w:numPr>
          <w:ilvl w:val="0"/>
          <w:numId w:val="47"/>
        </w:numPr>
        <w:suppressAutoHyphens/>
        <w:spacing w:after="0" w:line="312" w:lineRule="auto"/>
        <w:ind w:left="567" w:hanging="567"/>
        <w:rPr>
          <w:szCs w:val="20"/>
        </w:rPr>
      </w:pPr>
      <w:r w:rsidRPr="00E00B35">
        <w:rPr>
          <w:szCs w:val="20"/>
        </w:rPr>
        <w:t>Inteligentne miasto (rozszerzenie działania istniejącego już systemu ITS, w tym poprzez wykonanie planerów podróży dla elektromobilności, rozwój systemu zintegrowanego biletu oraz stworzenie systemu z mapą on - line miejskich punktów ładowania).</w:t>
      </w:r>
    </w:p>
    <w:p w:rsidR="008C7751" w:rsidRPr="00E00B35" w:rsidRDefault="008C7751" w:rsidP="00E00B35">
      <w:pPr>
        <w:spacing w:after="0" w:line="312" w:lineRule="auto"/>
        <w:rPr>
          <w:szCs w:val="20"/>
          <w:lang w:eastAsia="pl-PL"/>
        </w:rPr>
      </w:pPr>
    </w:p>
    <w:p w:rsidR="008C7751" w:rsidRPr="00E00B35" w:rsidRDefault="008C7751" w:rsidP="00E00B35">
      <w:pPr>
        <w:spacing w:after="0" w:line="312" w:lineRule="auto"/>
        <w:rPr>
          <w:szCs w:val="20"/>
          <w:lang w:eastAsia="pl-PL"/>
        </w:rPr>
      </w:pPr>
      <w:r w:rsidRPr="00E00B35">
        <w:rPr>
          <w:szCs w:val="20"/>
          <w:lang w:eastAsia="pl-PL"/>
        </w:rPr>
        <w:t>Wrocławska Strategia Rozwoju Elektromobilności stanowi dokument pomocniczy przy ubieganiu się o środki zewnętrzne na realizację zadań związanych z elektromobilnością.</w:t>
      </w:r>
    </w:p>
    <w:p w:rsidR="008C7751" w:rsidRPr="00E00B35" w:rsidRDefault="008C7751" w:rsidP="00E00B35">
      <w:pPr>
        <w:spacing w:after="0" w:line="312" w:lineRule="auto"/>
        <w:rPr>
          <w:szCs w:val="20"/>
          <w:lang w:eastAsia="pl-PL"/>
        </w:rPr>
      </w:pPr>
    </w:p>
    <w:p w:rsidR="008C7751" w:rsidRPr="00E00B35" w:rsidRDefault="008C7751" w:rsidP="00E00B35">
      <w:pPr>
        <w:spacing w:after="0" w:line="312" w:lineRule="auto"/>
        <w:rPr>
          <w:szCs w:val="20"/>
          <w:lang w:eastAsia="pl-PL"/>
        </w:rPr>
      </w:pPr>
      <w:r w:rsidRPr="00E00B35">
        <w:rPr>
          <w:szCs w:val="20"/>
          <w:lang w:eastAsia="pl-PL"/>
        </w:rPr>
        <w:t>W trakcie opracowywania dokumentu przeprowadzono dwuetapowe konsultacje społeczne. Pierwszy etap zakładał badania ankietowe mające na celu określenie preferencji, oczekiwań, potrzeb a także potencjalnych planów mieszkańców miasta w dziedzinie elektromobilności. W drugim etapie odbyło się webinarium, podczas którego zaprezentowany został projekt dokumentu, a następnie przeprowadzono sesję pytań i odpowiedzi. Uwagi do projektu dokumentu można było składać na specjalnie przygotowanym formularzu. Raport z konsultacji społecznych stanowi załącznik do dokumentu.</w:t>
      </w:r>
    </w:p>
    <w:p w:rsidR="008C7751" w:rsidRPr="00E00B35" w:rsidRDefault="008C7751" w:rsidP="00E00B35">
      <w:pPr>
        <w:spacing w:after="0" w:line="312" w:lineRule="auto"/>
        <w:rPr>
          <w:szCs w:val="20"/>
          <w:lang w:eastAsia="pl-PL"/>
        </w:rPr>
      </w:pPr>
    </w:p>
    <w:p w:rsidR="008C7751" w:rsidRPr="00E00B35" w:rsidRDefault="008C7751" w:rsidP="00E00B35">
      <w:pPr>
        <w:pStyle w:val="Akapitzlist"/>
        <w:numPr>
          <w:ilvl w:val="1"/>
          <w:numId w:val="115"/>
        </w:numPr>
        <w:tabs>
          <w:tab w:val="left" w:pos="567"/>
          <w:tab w:val="right" w:leader="dot" w:pos="9062"/>
        </w:tabs>
        <w:suppressAutoHyphens/>
        <w:spacing w:after="0" w:line="312" w:lineRule="auto"/>
        <w:ind w:hanging="1080"/>
        <w:rPr>
          <w:szCs w:val="20"/>
        </w:rPr>
      </w:pPr>
      <w:bookmarkStart w:id="938" w:name="_Toc32318712"/>
      <w:bookmarkEnd w:id="937"/>
      <w:r w:rsidRPr="00E00B35">
        <w:rPr>
          <w:szCs w:val="20"/>
        </w:rPr>
        <w:t>Wspieranie rozwoju elektromobilności</w:t>
      </w:r>
      <w:bookmarkEnd w:id="938"/>
    </w:p>
    <w:p w:rsidR="008C7751" w:rsidRPr="00E00B35" w:rsidRDefault="008C7751" w:rsidP="00E00B35">
      <w:pPr>
        <w:spacing w:after="0" w:line="312" w:lineRule="auto"/>
        <w:rPr>
          <w:szCs w:val="20"/>
          <w:lang w:eastAsia="pl-PL"/>
        </w:rPr>
      </w:pPr>
      <w:r w:rsidRPr="00E00B35">
        <w:rPr>
          <w:szCs w:val="20"/>
          <w:lang w:eastAsia="pl-PL"/>
        </w:rPr>
        <w:t>Gmina Wrocław należy do tych jednostek samorządu terytorialnego, na które przez ustawę z dnia 11 stycznia 2018 r. o elektromobilności i paliwach alternatywnych zostały nałożone liczne obowiązki. Gmina Wrocław jest zobowiązana m.in. do wykorzystywania autobusów zeroemisyjnych w transporcie miejskim, wykorzystania pojazdów elektrycznych do zadań publicznych, posiadania określonej liczby punktów ładowania, a także stwarzania warunków do wspierania rozwoju elektromobilności w mieście.</w:t>
      </w:r>
    </w:p>
    <w:p w:rsidR="008C7751" w:rsidRPr="00E00B35" w:rsidRDefault="008C7751" w:rsidP="00E00B35">
      <w:pPr>
        <w:pStyle w:val="pogrubienie0"/>
        <w:spacing w:before="0" w:line="312" w:lineRule="auto"/>
        <w:jc w:val="left"/>
        <w:rPr>
          <w:rFonts w:eastAsia="Times New Roman" w:cs="Arial"/>
          <w:b w:val="0"/>
          <w:bCs w:val="0"/>
          <w:lang w:eastAsia="pl-PL"/>
        </w:rPr>
      </w:pPr>
      <w:r w:rsidRPr="00E00B35">
        <w:rPr>
          <w:rFonts w:eastAsia="Times New Roman" w:cs="Arial"/>
          <w:b w:val="0"/>
          <w:bCs w:val="0"/>
          <w:lang w:eastAsia="pl-PL"/>
        </w:rPr>
        <w:t>Liczba pojazdów z napędem alternatywnym w roku 2019 to 417 sztuk + 447 skuterów elektrycznych, w 2020 było ich już 456 plus 442 skuterów elektrycznych. W 2019 roku po ulicach jeździło 4976 samochodów hybrydowych, natomiast w 2020 ta liczba wynosiła 8084.</w:t>
      </w:r>
    </w:p>
    <w:p w:rsidR="008C7751" w:rsidRPr="00E00B35" w:rsidRDefault="008C7751" w:rsidP="00E00B35">
      <w:pPr>
        <w:pStyle w:val="pogrubienie0"/>
        <w:spacing w:before="0" w:line="312" w:lineRule="auto"/>
        <w:jc w:val="left"/>
        <w:rPr>
          <w:rFonts w:eastAsia="Times New Roman" w:cs="Arial"/>
          <w:b w:val="0"/>
          <w:lang w:eastAsia="pl-PL"/>
        </w:rPr>
      </w:pPr>
      <w:r w:rsidRPr="00E00B35">
        <w:rPr>
          <w:rFonts w:eastAsia="Times New Roman" w:cs="Arial"/>
          <w:b w:val="0"/>
          <w:lang w:eastAsia="pl-PL"/>
        </w:rPr>
        <w:t>Jeśli chodzi o samochody zasilane gazem ziemnym to w roku 2019 ich liczba wynosiła 156, a w 2020 161. Liczba samochodów napędzanych wodorem wzrosła z dwóch w roku 2019 , do trzech w roku 2020.</w:t>
      </w:r>
    </w:p>
    <w:p w:rsidR="008C7751" w:rsidRPr="00E00B35" w:rsidRDefault="008C7751" w:rsidP="00E00B35">
      <w:pPr>
        <w:pStyle w:val="pogrubienie0"/>
        <w:spacing w:before="0" w:line="312" w:lineRule="auto"/>
        <w:jc w:val="left"/>
        <w:rPr>
          <w:rFonts w:eastAsia="Times New Roman"/>
          <w:b w:val="0"/>
          <w:bCs w:val="0"/>
          <w:lang w:eastAsia="pl-PL"/>
        </w:rPr>
      </w:pPr>
    </w:p>
    <w:p w:rsidR="008C7751" w:rsidRPr="00E00B35" w:rsidRDefault="008C7751" w:rsidP="00E00B35">
      <w:pPr>
        <w:pStyle w:val="pogrubienie0"/>
        <w:spacing w:before="0" w:line="312" w:lineRule="auto"/>
        <w:jc w:val="left"/>
        <w:rPr>
          <w:rFonts w:eastAsia="Times New Roman"/>
          <w:b w:val="0"/>
          <w:bCs w:val="0"/>
          <w:lang w:eastAsia="pl-PL"/>
        </w:rPr>
      </w:pPr>
      <w:r w:rsidRPr="00E00B35">
        <w:rPr>
          <w:rFonts w:eastAsia="Times New Roman"/>
          <w:b w:val="0"/>
          <w:bCs w:val="0"/>
          <w:lang w:eastAsia="pl-PL"/>
        </w:rPr>
        <w:t>Ogólnodostępne punkty ładowania pojazdów elektrycznych i na gaz ziemny.</w:t>
      </w:r>
    </w:p>
    <w:p w:rsidR="008C7751" w:rsidRPr="00E00B35" w:rsidRDefault="008C7751" w:rsidP="00E00B35">
      <w:pPr>
        <w:spacing w:after="0" w:line="312" w:lineRule="auto"/>
        <w:rPr>
          <w:szCs w:val="20"/>
          <w:lang w:eastAsia="pl-PL"/>
        </w:rPr>
      </w:pPr>
      <w:r w:rsidRPr="00E00B35">
        <w:rPr>
          <w:szCs w:val="20"/>
          <w:lang w:eastAsia="pl-PL"/>
        </w:rPr>
        <w:t xml:space="preserve">Gmina Wrocław podjęła współpracę z operatorem zewnętrznym, z którym wypracowano model współpracy polegający na udostępnieniu gruntów gminnych pod stacje ładowania pojazdów elektrycznych na preferencyjnych warunkach. </w:t>
      </w:r>
    </w:p>
    <w:p w:rsidR="008C7751" w:rsidRPr="00E00B35" w:rsidRDefault="008C7751" w:rsidP="00E00B35">
      <w:pPr>
        <w:spacing w:after="0" w:line="312" w:lineRule="auto"/>
        <w:rPr>
          <w:bCs/>
          <w:szCs w:val="20"/>
        </w:rPr>
      </w:pPr>
      <w:r w:rsidRPr="00E00B35">
        <w:rPr>
          <w:bCs/>
          <w:szCs w:val="20"/>
        </w:rPr>
        <w:t xml:space="preserve">W 2019 roku liczba punktów ładowania pojazdów elektrycznych wynosiła 123, natomiast w 2020 roku 131 w 42 lokalizacjach, w podziale na </w:t>
      </w:r>
    </w:p>
    <w:p w:rsidR="008C7751" w:rsidRPr="00E00B35" w:rsidRDefault="008C7751" w:rsidP="00BC64AB">
      <w:pPr>
        <w:pStyle w:val="Akapitzlist"/>
        <w:numPr>
          <w:ilvl w:val="0"/>
          <w:numId w:val="238"/>
        </w:numPr>
        <w:spacing w:after="0" w:line="312" w:lineRule="auto"/>
        <w:ind w:left="426" w:hanging="426"/>
        <w:rPr>
          <w:szCs w:val="20"/>
        </w:rPr>
      </w:pPr>
      <w:r w:rsidRPr="00E00B35">
        <w:rPr>
          <w:szCs w:val="20"/>
        </w:rPr>
        <w:t>54 punkty ogólnodostępne wg Ewidencji Infrastruktury Paliw Alternatywnych w 2019 roku, w tym 18 będących własnością gminy, a w 2020 roku - 48, w tym również 18 gminnych,</w:t>
      </w:r>
    </w:p>
    <w:p w:rsidR="008C7751" w:rsidRPr="00E00B35" w:rsidRDefault="008C7751" w:rsidP="00BC64AB">
      <w:pPr>
        <w:pStyle w:val="Akapitzlist"/>
        <w:numPr>
          <w:ilvl w:val="0"/>
          <w:numId w:val="238"/>
        </w:numPr>
        <w:spacing w:after="0" w:line="312" w:lineRule="auto"/>
        <w:ind w:left="426" w:hanging="426"/>
        <w:rPr>
          <w:szCs w:val="20"/>
        </w:rPr>
      </w:pPr>
      <w:r w:rsidRPr="00E00B35">
        <w:rPr>
          <w:szCs w:val="20"/>
        </w:rPr>
        <w:t>51 punktów działających według wewnętrznych regulaminów w 2019,  65 w 2020 roku.</w:t>
      </w:r>
    </w:p>
    <w:p w:rsidR="00C220F1" w:rsidRPr="00E00B35" w:rsidRDefault="00C220F1" w:rsidP="00E00B35">
      <w:pPr>
        <w:spacing w:after="0" w:line="312" w:lineRule="auto"/>
        <w:rPr>
          <w:szCs w:val="20"/>
        </w:rPr>
      </w:pPr>
    </w:p>
    <w:p w:rsidR="008C7751" w:rsidRPr="00E00B35" w:rsidRDefault="008C7751" w:rsidP="00E00B35">
      <w:pPr>
        <w:spacing w:after="0" w:line="312" w:lineRule="auto"/>
        <w:rPr>
          <w:szCs w:val="20"/>
        </w:rPr>
      </w:pPr>
      <w:r w:rsidRPr="00E00B35">
        <w:rPr>
          <w:szCs w:val="20"/>
        </w:rPr>
        <w:t xml:space="preserve">Zarówno w 2019, jak i w 2020 roku istniała jedna </w:t>
      </w:r>
      <w:r w:rsidRPr="00E00B35">
        <w:rPr>
          <w:bCs/>
          <w:szCs w:val="20"/>
        </w:rPr>
        <w:t>stacja tankowania gazem ziemnym.</w:t>
      </w:r>
    </w:p>
    <w:p w:rsidR="008C7751" w:rsidRPr="00E00B35" w:rsidRDefault="008C7751" w:rsidP="00E00B35">
      <w:pPr>
        <w:spacing w:after="0" w:line="312" w:lineRule="auto"/>
        <w:rPr>
          <w:szCs w:val="20"/>
          <w:lang w:eastAsia="pl-PL"/>
        </w:rPr>
      </w:pPr>
      <w:r w:rsidRPr="00E00B35">
        <w:rPr>
          <w:szCs w:val="20"/>
          <w:lang w:eastAsia="pl-PL"/>
        </w:rPr>
        <w:t>Ponadto w ramach prac nad wspieraniem rozwoju elektromobilności we Wrocławiu podjęto następujące działania:</w:t>
      </w:r>
    </w:p>
    <w:p w:rsidR="008C7751" w:rsidRPr="00E00B35" w:rsidRDefault="008C7751" w:rsidP="00E00B35">
      <w:pPr>
        <w:pStyle w:val="Tekstpodstawowy"/>
        <w:numPr>
          <w:ilvl w:val="0"/>
          <w:numId w:val="48"/>
        </w:numPr>
        <w:suppressAutoHyphens/>
        <w:spacing w:after="0" w:line="312" w:lineRule="auto"/>
        <w:ind w:left="567" w:hanging="567"/>
        <w:rPr>
          <w:szCs w:val="20"/>
        </w:rPr>
      </w:pPr>
      <w:r w:rsidRPr="00E00B35">
        <w:rPr>
          <w:szCs w:val="20"/>
        </w:rPr>
        <w:t>Przekazano informację do Ministerstwa Energii dotyczącą udziału procentowego pojazdów elektrycznych użytkowanych przez gminę Wrocław. W 2020 r. procentowy udział pojazdów elektrycznych w użytkowanej flocie pojazdów wyniósł 10,99%. Urząd Miejski Wrocławia i jego jednostki użytkują 10 pojazdów elektrycznych;</w:t>
      </w:r>
    </w:p>
    <w:p w:rsidR="008C7751" w:rsidRPr="00E00B35" w:rsidRDefault="008C7751" w:rsidP="00E00B35">
      <w:pPr>
        <w:pStyle w:val="Tekstpodstawowy"/>
        <w:numPr>
          <w:ilvl w:val="0"/>
          <w:numId w:val="48"/>
        </w:numPr>
        <w:suppressAutoHyphens/>
        <w:spacing w:after="0" w:line="312" w:lineRule="auto"/>
        <w:ind w:left="567" w:hanging="567"/>
        <w:rPr>
          <w:szCs w:val="20"/>
        </w:rPr>
      </w:pPr>
      <w:r w:rsidRPr="00E00B35">
        <w:rPr>
          <w:szCs w:val="20"/>
        </w:rPr>
        <w:t>Przekazano raport do Ministerstwa Aktywów Państwowych nt. liczby ogólnodostępnych punktów ładowania pojazdów elektrycznych;</w:t>
      </w:r>
    </w:p>
    <w:p w:rsidR="008C7751" w:rsidRPr="00E00B35" w:rsidRDefault="008C7751" w:rsidP="00E00B35">
      <w:pPr>
        <w:pStyle w:val="Tekstpodstawowy"/>
        <w:numPr>
          <w:ilvl w:val="0"/>
          <w:numId w:val="48"/>
        </w:numPr>
        <w:suppressAutoHyphens/>
        <w:spacing w:after="0" w:line="312" w:lineRule="auto"/>
        <w:ind w:left="567" w:hanging="567"/>
        <w:rPr>
          <w:szCs w:val="20"/>
        </w:rPr>
      </w:pPr>
      <w:r w:rsidRPr="00E00B35">
        <w:rPr>
          <w:szCs w:val="20"/>
        </w:rPr>
        <w:t>Sporządzono aktualizację Analizy kosztów i korzyści związanych z wykorzystaniem, przy świadczeniu usług komunikacji miejskiej, autobusów zeroemisyjnych ze względu na dynamicznie zmienioną sytuację rynkową powodowaną m.in. wzrostem cen energii elektrycznej, co przełożyło się na koszty eksploatacyjne zastosowania taboru elektrycznego oraz zmiany dostępnych źródeł finansowania zewnętrznego;</w:t>
      </w:r>
    </w:p>
    <w:p w:rsidR="008C7751" w:rsidRPr="00E00B35" w:rsidRDefault="008C7751" w:rsidP="00E00B35">
      <w:pPr>
        <w:pStyle w:val="Tekstpodstawowy"/>
        <w:numPr>
          <w:ilvl w:val="0"/>
          <w:numId w:val="48"/>
        </w:numPr>
        <w:suppressAutoHyphens/>
        <w:spacing w:after="0" w:line="312" w:lineRule="auto"/>
        <w:ind w:left="567" w:hanging="567"/>
        <w:rPr>
          <w:szCs w:val="20"/>
        </w:rPr>
      </w:pPr>
      <w:r w:rsidRPr="00E00B35">
        <w:rPr>
          <w:szCs w:val="20"/>
        </w:rPr>
        <w:t xml:space="preserve">Opiniowano projekt nowelizacji ustawy o elektromobilności i paliwach alternatywnych, również jako członek Unii Metropolii Polskich (przede wszystkim </w:t>
      </w:r>
      <w:r w:rsidRPr="00E00B35">
        <w:rPr>
          <w:szCs w:val="20"/>
        </w:rPr>
        <w:lastRenderedPageBreak/>
        <w:t xml:space="preserve">w zakresie tworzenia stref czystego transportu, przywilejów dla pojazdów używanych w ramach usługi współdzielenia oraz zapewnienia minimalnych udziałów pojazdów nisko- i zeroemisyjnych przy udzielaniu zamówień publicznych); </w:t>
      </w:r>
    </w:p>
    <w:p w:rsidR="008C7751" w:rsidRPr="00E00B35" w:rsidRDefault="008C7751" w:rsidP="00E00B35">
      <w:pPr>
        <w:pStyle w:val="Tekstpodstawowy"/>
        <w:numPr>
          <w:ilvl w:val="0"/>
          <w:numId w:val="48"/>
        </w:numPr>
        <w:suppressAutoHyphens/>
        <w:spacing w:after="0" w:line="312" w:lineRule="auto"/>
        <w:ind w:left="567" w:hanging="567"/>
        <w:rPr>
          <w:szCs w:val="20"/>
        </w:rPr>
      </w:pPr>
      <w:r w:rsidRPr="00E00B35">
        <w:rPr>
          <w:szCs w:val="20"/>
        </w:rPr>
        <w:t>Ustalono stawki za dzierżawę gruntów gminnych pod stację ładowania pojazdów elektrycznych w Zarządzeniu nr 4365/20 Prezydenta Wrocławia z dnia 31 grudnia 2020 r. w sprawie zasad wydzierżawiania i udostępniania nieruchomości stanowiących zasób gminy Wrocław oraz ustalania wysokości stawek czynszu za nieruchomości oddawane w dzierżawę i stawek opłat za korzystanie i udostępnianie tych nieruchomości w innej formie;</w:t>
      </w:r>
    </w:p>
    <w:p w:rsidR="008C7751" w:rsidRPr="00E00B35" w:rsidRDefault="008C7751" w:rsidP="00E00B35">
      <w:pPr>
        <w:pStyle w:val="Tekstpodstawowy"/>
        <w:numPr>
          <w:ilvl w:val="0"/>
          <w:numId w:val="48"/>
        </w:numPr>
        <w:suppressAutoHyphens/>
        <w:spacing w:after="0" w:line="312" w:lineRule="auto"/>
        <w:ind w:left="567" w:hanging="567"/>
        <w:rPr>
          <w:szCs w:val="20"/>
        </w:rPr>
      </w:pPr>
      <w:r w:rsidRPr="00E00B35">
        <w:rPr>
          <w:szCs w:val="20"/>
        </w:rPr>
        <w:t>Przeprowadzono wspólnie z MPK Sp. z o. o. niezbędne analizy do przygotowania wniosku o dofinansowanie na zakup 28 sztuk autobusów elektrycznych wraz z infrastrukturą ładowania w ramach programu „Zielony Transport Publiczny” realizowanego przez NFOŚiGW.</w:t>
      </w:r>
    </w:p>
    <w:p w:rsidR="008C7751" w:rsidRPr="00E00B35" w:rsidRDefault="008C7751" w:rsidP="00E00B35">
      <w:pPr>
        <w:pStyle w:val="Tekstpodstawowy"/>
        <w:suppressAutoHyphens/>
        <w:spacing w:after="0" w:line="312" w:lineRule="auto"/>
        <w:ind w:left="720"/>
        <w:rPr>
          <w:szCs w:val="20"/>
        </w:rPr>
      </w:pPr>
    </w:p>
    <w:p w:rsidR="008C7751" w:rsidRPr="00E00B35" w:rsidRDefault="00263B16" w:rsidP="00BC64AB">
      <w:pPr>
        <w:pStyle w:val="Nagwek3"/>
        <w:numPr>
          <w:ilvl w:val="0"/>
          <w:numId w:val="235"/>
        </w:numPr>
        <w:spacing w:after="0" w:line="312" w:lineRule="auto"/>
        <w:rPr>
          <w:sz w:val="20"/>
        </w:rPr>
      </w:pPr>
      <w:bookmarkStart w:id="939" w:name="_Toc66358360"/>
      <w:r>
        <w:rPr>
          <w:sz w:val="20"/>
          <w:lang w:val="pl-PL"/>
        </w:rPr>
        <w:t>B</w:t>
      </w:r>
      <w:r w:rsidR="008C7751" w:rsidRPr="00E00B35">
        <w:rPr>
          <w:sz w:val="20"/>
        </w:rPr>
        <w:t>UDŻET</w:t>
      </w:r>
      <w:bookmarkEnd w:id="939"/>
    </w:p>
    <w:p w:rsidR="00890136" w:rsidRPr="00E00B35" w:rsidRDefault="00890136" w:rsidP="00E00B35">
      <w:pPr>
        <w:pStyle w:val="Nagwek3"/>
        <w:spacing w:after="0" w:line="312" w:lineRule="auto"/>
        <w:ind w:left="720"/>
        <w:rPr>
          <w:sz w:val="20"/>
        </w:rPr>
      </w:pPr>
    </w:p>
    <w:p w:rsidR="008C7751" w:rsidRPr="00E00B35" w:rsidRDefault="008C7751" w:rsidP="00E00B35">
      <w:pPr>
        <w:pStyle w:val="Nagwek4"/>
        <w:spacing w:before="0" w:after="0" w:line="312" w:lineRule="auto"/>
        <w:rPr>
          <w:sz w:val="20"/>
          <w:szCs w:val="20"/>
        </w:rPr>
      </w:pPr>
      <w:bookmarkStart w:id="940" w:name="_Toc3902066"/>
      <w:bookmarkStart w:id="941" w:name="_Toc3902837"/>
      <w:bookmarkStart w:id="942" w:name="_Toc3971050"/>
      <w:bookmarkStart w:id="943" w:name="_Toc3977072"/>
      <w:bookmarkStart w:id="944" w:name="_Toc3977804"/>
      <w:bookmarkStart w:id="945" w:name="_Toc3978267"/>
      <w:bookmarkStart w:id="946" w:name="_Toc3978862"/>
      <w:bookmarkStart w:id="947" w:name="_Toc3979865"/>
      <w:bookmarkStart w:id="948" w:name="_Toc3981135"/>
      <w:bookmarkStart w:id="949" w:name="_Toc3981232"/>
      <w:bookmarkStart w:id="950" w:name="_Toc32318714"/>
      <w:bookmarkStart w:id="951" w:name="_Toc66358361"/>
      <w:r w:rsidRPr="00E00B35">
        <w:rPr>
          <w:sz w:val="20"/>
          <w:szCs w:val="20"/>
        </w:rPr>
        <w:t xml:space="preserve">Wieloletni Plan </w:t>
      </w:r>
      <w:bookmarkEnd w:id="940"/>
      <w:bookmarkEnd w:id="941"/>
      <w:bookmarkEnd w:id="942"/>
      <w:bookmarkEnd w:id="943"/>
      <w:bookmarkEnd w:id="944"/>
      <w:bookmarkEnd w:id="945"/>
      <w:bookmarkEnd w:id="946"/>
      <w:bookmarkEnd w:id="947"/>
      <w:bookmarkEnd w:id="948"/>
      <w:bookmarkEnd w:id="949"/>
      <w:bookmarkEnd w:id="950"/>
      <w:r w:rsidRPr="00E00B35">
        <w:rPr>
          <w:sz w:val="20"/>
          <w:szCs w:val="20"/>
        </w:rPr>
        <w:t>Finansowy na lata 2020-2044</w:t>
      </w:r>
      <w:bookmarkEnd w:id="951"/>
    </w:p>
    <w:p w:rsidR="008C7751" w:rsidRPr="00E00B35" w:rsidRDefault="008C7751" w:rsidP="00E00B35">
      <w:pPr>
        <w:spacing w:after="0" w:line="312" w:lineRule="auto"/>
        <w:rPr>
          <w:szCs w:val="20"/>
          <w:lang w:eastAsia="pl-PL"/>
        </w:rPr>
      </w:pPr>
      <w:r w:rsidRPr="00E00B35">
        <w:rPr>
          <w:szCs w:val="20"/>
          <w:lang w:eastAsia="pl-PL"/>
        </w:rPr>
        <w:t xml:space="preserve">Wieloletni Plan Finansowy został uchwalony uchwałą budżetową nr XVII/466/19 z dnia 18 grudnia 2019 r., z późniejszymi zmianami. </w:t>
      </w:r>
    </w:p>
    <w:p w:rsidR="008C7751" w:rsidRPr="00E00B35" w:rsidRDefault="008C7751" w:rsidP="00E00B35">
      <w:pPr>
        <w:pStyle w:val="Tekstpodstawowy"/>
        <w:numPr>
          <w:ilvl w:val="0"/>
          <w:numId w:val="66"/>
        </w:numPr>
        <w:suppressAutoHyphens/>
        <w:spacing w:after="0" w:line="312" w:lineRule="auto"/>
        <w:ind w:left="567" w:hanging="567"/>
        <w:rPr>
          <w:szCs w:val="20"/>
        </w:rPr>
      </w:pPr>
      <w:r w:rsidRPr="00E00B35">
        <w:rPr>
          <w:szCs w:val="20"/>
        </w:rPr>
        <w:t xml:space="preserve">§ 1 uchwały nr </w:t>
      </w:r>
      <w:hyperlink r:id="rId252" w:history="1">
        <w:r w:rsidRPr="00E00B35">
          <w:rPr>
            <w:szCs w:val="20"/>
          </w:rPr>
          <w:t>XXI/558/20</w:t>
        </w:r>
      </w:hyperlink>
      <w:r w:rsidRPr="00E00B35">
        <w:rPr>
          <w:szCs w:val="20"/>
        </w:rPr>
        <w:t xml:space="preserve"> RMW z 09.04.2020 r.</w:t>
      </w:r>
    </w:p>
    <w:p w:rsidR="008C7751" w:rsidRPr="00E00B35" w:rsidRDefault="008C7751" w:rsidP="00E00B35">
      <w:pPr>
        <w:pStyle w:val="Tekstpodstawowy"/>
        <w:numPr>
          <w:ilvl w:val="0"/>
          <w:numId w:val="66"/>
        </w:numPr>
        <w:suppressAutoHyphens/>
        <w:spacing w:after="0" w:line="312" w:lineRule="auto"/>
        <w:ind w:left="567" w:hanging="567"/>
        <w:rPr>
          <w:szCs w:val="20"/>
        </w:rPr>
      </w:pPr>
      <w:r w:rsidRPr="00E00B35">
        <w:rPr>
          <w:szCs w:val="20"/>
        </w:rPr>
        <w:t xml:space="preserve">§ 1 uchwały nr </w:t>
      </w:r>
      <w:hyperlink r:id="rId253" w:history="1">
        <w:r w:rsidRPr="00E00B35">
          <w:rPr>
            <w:szCs w:val="20"/>
          </w:rPr>
          <w:t>XXIII/622/20</w:t>
        </w:r>
      </w:hyperlink>
      <w:r w:rsidRPr="00E00B35">
        <w:rPr>
          <w:szCs w:val="20"/>
        </w:rPr>
        <w:t xml:space="preserve"> RMW z 27.05.2020 r.</w:t>
      </w:r>
    </w:p>
    <w:p w:rsidR="008C7751" w:rsidRPr="00E00B35" w:rsidRDefault="008C7751" w:rsidP="00E00B35">
      <w:pPr>
        <w:pStyle w:val="Tekstpodstawowy"/>
        <w:numPr>
          <w:ilvl w:val="0"/>
          <w:numId w:val="66"/>
        </w:numPr>
        <w:suppressAutoHyphens/>
        <w:spacing w:after="0" w:line="312" w:lineRule="auto"/>
        <w:ind w:left="567" w:hanging="567"/>
        <w:rPr>
          <w:szCs w:val="20"/>
        </w:rPr>
      </w:pPr>
      <w:r w:rsidRPr="00E00B35">
        <w:rPr>
          <w:szCs w:val="20"/>
        </w:rPr>
        <w:t xml:space="preserve">§ 1 uchwały nr </w:t>
      </w:r>
      <w:hyperlink r:id="rId254" w:history="1">
        <w:r w:rsidRPr="00E00B35">
          <w:rPr>
            <w:szCs w:val="20"/>
          </w:rPr>
          <w:t>XXV/664/20</w:t>
        </w:r>
      </w:hyperlink>
      <w:r w:rsidRPr="00E00B35">
        <w:rPr>
          <w:szCs w:val="20"/>
        </w:rPr>
        <w:t xml:space="preserve"> RMW z 23.07.2020 r.</w:t>
      </w:r>
    </w:p>
    <w:p w:rsidR="008C7751" w:rsidRPr="00E00B35" w:rsidRDefault="008C7751" w:rsidP="00E00B35">
      <w:pPr>
        <w:pStyle w:val="Tekstpodstawowy"/>
        <w:numPr>
          <w:ilvl w:val="0"/>
          <w:numId w:val="66"/>
        </w:numPr>
        <w:suppressAutoHyphens/>
        <w:spacing w:after="0" w:line="312" w:lineRule="auto"/>
        <w:ind w:left="567" w:hanging="567"/>
        <w:rPr>
          <w:szCs w:val="20"/>
        </w:rPr>
      </w:pPr>
      <w:r w:rsidRPr="00E00B35">
        <w:rPr>
          <w:szCs w:val="20"/>
        </w:rPr>
        <w:t xml:space="preserve">§ 1 uchwały nr </w:t>
      </w:r>
      <w:hyperlink r:id="rId255" w:history="1">
        <w:r w:rsidRPr="00E00B35">
          <w:rPr>
            <w:szCs w:val="20"/>
          </w:rPr>
          <w:t>XXVI/702/20</w:t>
        </w:r>
      </w:hyperlink>
      <w:r w:rsidRPr="00E00B35">
        <w:rPr>
          <w:szCs w:val="20"/>
        </w:rPr>
        <w:t xml:space="preserve"> RMW z 17.09.2020 r. </w:t>
      </w:r>
    </w:p>
    <w:p w:rsidR="008C7751" w:rsidRPr="00E00B35" w:rsidRDefault="008C7751" w:rsidP="00E00B35">
      <w:pPr>
        <w:pStyle w:val="Tekstpodstawowy"/>
        <w:numPr>
          <w:ilvl w:val="0"/>
          <w:numId w:val="66"/>
        </w:numPr>
        <w:suppressAutoHyphens/>
        <w:spacing w:after="0" w:line="312" w:lineRule="auto"/>
        <w:ind w:left="567" w:hanging="567"/>
        <w:rPr>
          <w:szCs w:val="20"/>
        </w:rPr>
      </w:pPr>
      <w:r w:rsidRPr="00E00B35">
        <w:rPr>
          <w:szCs w:val="20"/>
        </w:rPr>
        <w:t xml:space="preserve">§ 1 uchwały nr </w:t>
      </w:r>
      <w:hyperlink r:id="rId256" w:history="1">
        <w:r w:rsidRPr="00E00B35">
          <w:rPr>
            <w:szCs w:val="20"/>
          </w:rPr>
          <w:t>XXVIII/752/20</w:t>
        </w:r>
      </w:hyperlink>
      <w:r w:rsidRPr="00E00B35">
        <w:rPr>
          <w:szCs w:val="20"/>
        </w:rPr>
        <w:t xml:space="preserve"> RMW z 22.10.2020 r. </w:t>
      </w:r>
    </w:p>
    <w:p w:rsidR="008C7751" w:rsidRPr="00E00B35" w:rsidRDefault="008C7751" w:rsidP="00E00B35">
      <w:pPr>
        <w:pStyle w:val="Tekstpodstawowy"/>
        <w:numPr>
          <w:ilvl w:val="0"/>
          <w:numId w:val="66"/>
        </w:numPr>
        <w:suppressAutoHyphens/>
        <w:spacing w:after="0" w:line="312" w:lineRule="auto"/>
        <w:ind w:left="567" w:hanging="567"/>
        <w:rPr>
          <w:szCs w:val="20"/>
        </w:rPr>
      </w:pPr>
      <w:r w:rsidRPr="00E00B35">
        <w:rPr>
          <w:szCs w:val="20"/>
        </w:rPr>
        <w:t xml:space="preserve">§ 1 uchwały nr </w:t>
      </w:r>
      <w:hyperlink r:id="rId257" w:history="1">
        <w:r w:rsidRPr="00E00B35">
          <w:rPr>
            <w:szCs w:val="20"/>
          </w:rPr>
          <w:t>XXXI/786/20</w:t>
        </w:r>
      </w:hyperlink>
      <w:r w:rsidRPr="00E00B35">
        <w:rPr>
          <w:szCs w:val="20"/>
        </w:rPr>
        <w:t xml:space="preserve"> RMW z 20.11.2020 r.</w:t>
      </w:r>
    </w:p>
    <w:p w:rsidR="008C7751" w:rsidRPr="00E00B35" w:rsidRDefault="008C7751" w:rsidP="00E00B35">
      <w:pPr>
        <w:pStyle w:val="Tekstpodstawowy"/>
        <w:numPr>
          <w:ilvl w:val="0"/>
          <w:numId w:val="66"/>
        </w:numPr>
        <w:suppressAutoHyphens/>
        <w:spacing w:after="0" w:line="312" w:lineRule="auto"/>
        <w:ind w:left="567" w:hanging="567"/>
        <w:rPr>
          <w:szCs w:val="20"/>
        </w:rPr>
      </w:pPr>
      <w:r w:rsidRPr="00E00B35">
        <w:rPr>
          <w:szCs w:val="20"/>
        </w:rPr>
        <w:t xml:space="preserve">§ 1 uchwały nr </w:t>
      </w:r>
      <w:hyperlink r:id="rId258" w:history="1">
        <w:r w:rsidRPr="00E00B35">
          <w:rPr>
            <w:szCs w:val="20"/>
          </w:rPr>
          <w:t>XXXII/813/20</w:t>
        </w:r>
      </w:hyperlink>
      <w:r w:rsidRPr="00E00B35">
        <w:rPr>
          <w:szCs w:val="20"/>
        </w:rPr>
        <w:t xml:space="preserve"> RMW z 17.12.2020 r.</w:t>
      </w:r>
    </w:p>
    <w:p w:rsidR="008C7751" w:rsidRPr="00E00B35" w:rsidRDefault="008C7751" w:rsidP="00E00B35">
      <w:pPr>
        <w:pStyle w:val="Tekstpodstawowy2"/>
        <w:spacing w:after="0" w:line="312" w:lineRule="auto"/>
        <w:rPr>
          <w:sz w:val="20"/>
          <w:szCs w:val="20"/>
          <w:lang w:eastAsia="pl-PL"/>
        </w:rPr>
      </w:pPr>
    </w:p>
    <w:p w:rsidR="008C7751" w:rsidRPr="00E00B35" w:rsidRDefault="008C7751" w:rsidP="00E00B35">
      <w:pPr>
        <w:pStyle w:val="Tekstpodstawowy2"/>
        <w:spacing w:after="0" w:line="312" w:lineRule="auto"/>
        <w:rPr>
          <w:b w:val="0"/>
          <w:color w:val="auto"/>
          <w:sz w:val="20"/>
          <w:szCs w:val="20"/>
          <w:lang w:eastAsia="pl-PL"/>
        </w:rPr>
      </w:pPr>
      <w:r w:rsidRPr="00E00B35">
        <w:rPr>
          <w:b w:val="0"/>
          <w:color w:val="auto"/>
          <w:sz w:val="20"/>
          <w:szCs w:val="20"/>
          <w:lang w:eastAsia="pl-PL"/>
        </w:rPr>
        <w:t>Na wniosek jednostek wprowadzono 228 zmian dla zadań inwestycyjnych (17 zmian w marcu, 23 zmiany w maju, 28 zmian w lipcu, 29 zmian we wrześniu, 35 zmian w październiku, 49 zmian w listopadzie, 47 zmian w grudniu) wynikających z prowadzonego monitoringu realizacji inwestycji.</w:t>
      </w:r>
    </w:p>
    <w:p w:rsidR="008C7751" w:rsidRPr="00E00B35" w:rsidRDefault="008C7751" w:rsidP="00E00B35">
      <w:pPr>
        <w:pStyle w:val="Tekstpodstawowy2"/>
        <w:spacing w:after="0" w:line="312" w:lineRule="auto"/>
        <w:rPr>
          <w:b w:val="0"/>
          <w:color w:val="auto"/>
          <w:sz w:val="20"/>
          <w:szCs w:val="20"/>
        </w:rPr>
      </w:pPr>
    </w:p>
    <w:p w:rsidR="008C7751" w:rsidRPr="00E00B35" w:rsidRDefault="008C7751" w:rsidP="00E00B35">
      <w:pPr>
        <w:pStyle w:val="Tekstpodstawowy2"/>
        <w:spacing w:after="0" w:line="312" w:lineRule="auto"/>
        <w:rPr>
          <w:b w:val="0"/>
          <w:color w:val="auto"/>
          <w:sz w:val="20"/>
          <w:szCs w:val="20"/>
        </w:rPr>
      </w:pPr>
      <w:r w:rsidRPr="00E00B35">
        <w:rPr>
          <w:b w:val="0"/>
          <w:color w:val="auto"/>
          <w:sz w:val="20"/>
          <w:szCs w:val="20"/>
        </w:rPr>
        <w:t>Zmiany wynikały z prowadzonego monitoringu realizacji inwestycji i konieczności wprowadzenia do planu nowych zadań.</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W ciągu roku wprowadzono 2 nowe pozycje:</w:t>
      </w:r>
    </w:p>
    <w:p w:rsidR="008C7751" w:rsidRPr="00E00B35" w:rsidRDefault="008C7751" w:rsidP="00E00B35">
      <w:pPr>
        <w:pStyle w:val="Tekstpodstawowy"/>
        <w:numPr>
          <w:ilvl w:val="0"/>
          <w:numId w:val="67"/>
        </w:numPr>
        <w:suppressAutoHyphens/>
        <w:spacing w:after="0" w:line="312" w:lineRule="auto"/>
        <w:ind w:left="567" w:hanging="567"/>
        <w:rPr>
          <w:szCs w:val="20"/>
        </w:rPr>
      </w:pPr>
      <w:r w:rsidRPr="00E00B35">
        <w:rPr>
          <w:szCs w:val="20"/>
        </w:rPr>
        <w:t xml:space="preserve">Rozbudowa systemu zarządzania ruchem we Wrocławiu; </w:t>
      </w:r>
    </w:p>
    <w:p w:rsidR="008C7751" w:rsidRPr="00E00B35" w:rsidRDefault="008C7751" w:rsidP="00E00B35">
      <w:pPr>
        <w:pStyle w:val="Tekstpodstawowy"/>
        <w:numPr>
          <w:ilvl w:val="0"/>
          <w:numId w:val="67"/>
        </w:numPr>
        <w:suppressAutoHyphens/>
        <w:spacing w:after="0" w:line="312" w:lineRule="auto"/>
        <w:ind w:left="567" w:hanging="567"/>
        <w:rPr>
          <w:szCs w:val="20"/>
        </w:rPr>
      </w:pPr>
      <w:r w:rsidRPr="00E00B35">
        <w:rPr>
          <w:szCs w:val="20"/>
        </w:rPr>
        <w:t>Przebudowa i remont budynku przy ul. Na Grobli 14/16 na potrzeby siedziby Straży Miejskiej.</w:t>
      </w:r>
    </w:p>
    <w:p w:rsidR="008C7751" w:rsidRPr="00E00B35" w:rsidRDefault="008C7751" w:rsidP="00E00B35">
      <w:pPr>
        <w:pStyle w:val="NormalnyWeb"/>
        <w:tabs>
          <w:tab w:val="left" w:pos="180"/>
        </w:tabs>
        <w:spacing w:before="0" w:beforeAutospacing="0" w:after="0" w:afterAutospacing="0" w:line="312" w:lineRule="auto"/>
        <w:rPr>
          <w:szCs w:val="20"/>
        </w:rPr>
      </w:pPr>
      <w:r w:rsidRPr="00E00B35">
        <w:rPr>
          <w:szCs w:val="20"/>
        </w:rPr>
        <w:t>Wydzielono z pozycji „Ograniczenie emisji kominowej w zasobie mieszkaniowym gminy Wrocław poprzez likwidację węglowych źródeł ciepła” zadanie „Ograniczenie emisji kominowej w zasobie mieszkaniowym gminy Wrocław poprzez likwidację węglowych źródeł ciepła - etap 2”.</w:t>
      </w:r>
    </w:p>
    <w:p w:rsidR="008C7751" w:rsidRPr="00E00B35" w:rsidRDefault="008C7751" w:rsidP="00E00B35">
      <w:pPr>
        <w:pStyle w:val="NormalnyWeb"/>
        <w:tabs>
          <w:tab w:val="left" w:pos="180"/>
        </w:tabs>
        <w:spacing w:before="0" w:beforeAutospacing="0" w:after="0" w:afterAutospacing="0" w:line="312" w:lineRule="auto"/>
        <w:rPr>
          <w:szCs w:val="20"/>
        </w:rPr>
      </w:pPr>
      <w:r w:rsidRPr="00E00B35">
        <w:rPr>
          <w:szCs w:val="20"/>
        </w:rPr>
        <w:lastRenderedPageBreak/>
        <w:t>Wydzielono z pozycji „Ograniczenie emisji kominowej w zasobie mieszkaniowym gminy Wrocław poprzez likwidację węglowych źródeł ciepła” zadanie „Ograniczenie emisji kominowej w zasobie mieszkaniowym gminy Wrocław poprzez likwidację węglowych źródeł ciepła - etap 3”.</w:t>
      </w:r>
    </w:p>
    <w:p w:rsidR="008C7751" w:rsidRPr="00E00B35" w:rsidRDefault="008C7751" w:rsidP="00E00B35">
      <w:pPr>
        <w:pStyle w:val="NormalnyWeb"/>
        <w:tabs>
          <w:tab w:val="left" w:pos="180"/>
        </w:tabs>
        <w:spacing w:before="0" w:beforeAutospacing="0" w:after="0" w:afterAutospacing="0" w:line="312" w:lineRule="auto"/>
        <w:rPr>
          <w:szCs w:val="20"/>
        </w:rPr>
      </w:pPr>
      <w:r w:rsidRPr="00E00B35">
        <w:rPr>
          <w:szCs w:val="20"/>
        </w:rPr>
        <w:t>Po zmianach Załącznik nr 2 w latach planu 2020-2044 obejmuje 81 zadań w pozycji wydatki majątkowe na łączną kwotę 7 806 190 462 zł, z czego 23 zadania z dofinansowaniem unijnym na łączną kwotę 1 593 773 698 zł, w tym środki UE na kwotę w latach planu: 102 073 002 zł.</w:t>
      </w:r>
    </w:p>
    <w:p w:rsidR="008C7751" w:rsidRPr="00E00B35" w:rsidRDefault="008C7751" w:rsidP="00E00B35">
      <w:pPr>
        <w:spacing w:after="0" w:line="312" w:lineRule="auto"/>
        <w:rPr>
          <w:szCs w:val="20"/>
          <w:lang w:eastAsia="pl-PL"/>
        </w:rPr>
      </w:pPr>
    </w:p>
    <w:p w:rsidR="008C7751" w:rsidRPr="00E00B35" w:rsidRDefault="008C7751" w:rsidP="00E00B35">
      <w:pPr>
        <w:pStyle w:val="Nagwek4"/>
        <w:spacing w:before="0" w:after="0" w:line="312" w:lineRule="auto"/>
        <w:rPr>
          <w:sz w:val="20"/>
          <w:szCs w:val="20"/>
        </w:rPr>
      </w:pPr>
      <w:bookmarkStart w:id="952" w:name="_Toc3902067"/>
      <w:bookmarkStart w:id="953" w:name="_Toc3902838"/>
      <w:bookmarkStart w:id="954" w:name="_Toc3971051"/>
      <w:bookmarkStart w:id="955" w:name="_Toc3977073"/>
      <w:bookmarkStart w:id="956" w:name="_Toc3977805"/>
      <w:bookmarkStart w:id="957" w:name="_Toc3978268"/>
      <w:bookmarkStart w:id="958" w:name="_Toc3978863"/>
      <w:bookmarkStart w:id="959" w:name="_Toc3979866"/>
      <w:bookmarkStart w:id="960" w:name="_Toc3981136"/>
      <w:bookmarkStart w:id="961" w:name="_Toc3981233"/>
      <w:bookmarkStart w:id="962" w:name="_Toc32318715"/>
      <w:bookmarkStart w:id="963" w:name="_Toc66358362"/>
      <w:r w:rsidRPr="00E00B35">
        <w:rPr>
          <w:sz w:val="20"/>
          <w:szCs w:val="20"/>
        </w:rPr>
        <w:t>Przygotowanie projektu budżetu na 2020 rok</w:t>
      </w:r>
      <w:bookmarkEnd w:id="952"/>
      <w:bookmarkEnd w:id="953"/>
      <w:bookmarkEnd w:id="954"/>
      <w:bookmarkEnd w:id="955"/>
      <w:bookmarkEnd w:id="956"/>
      <w:bookmarkEnd w:id="957"/>
      <w:bookmarkEnd w:id="958"/>
      <w:bookmarkEnd w:id="959"/>
      <w:bookmarkEnd w:id="960"/>
      <w:bookmarkEnd w:id="961"/>
      <w:bookmarkEnd w:id="962"/>
      <w:bookmarkEnd w:id="963"/>
      <w:r w:rsidRPr="00E00B35">
        <w:rPr>
          <w:sz w:val="20"/>
          <w:szCs w:val="20"/>
        </w:rPr>
        <w:t xml:space="preserve"> </w:t>
      </w:r>
    </w:p>
    <w:p w:rsidR="008C7751" w:rsidRPr="00E00B35" w:rsidRDefault="008C7751" w:rsidP="00E00B35">
      <w:pPr>
        <w:spacing w:after="0" w:line="312" w:lineRule="auto"/>
        <w:rPr>
          <w:szCs w:val="20"/>
          <w:lang w:eastAsia="pl-PL"/>
        </w:rPr>
      </w:pPr>
      <w:r w:rsidRPr="00E00B35">
        <w:rPr>
          <w:szCs w:val="20"/>
          <w:lang w:eastAsia="pl-PL"/>
        </w:rPr>
        <w:t>Opracowano projekt budżetu w zakresie wydatków inwestycyjnych w oparciu o zapisy § 3 i § 8 Zarządzenia nr 3401/20 Prezydenta Wrocławia z dnia 10 lipca 2020 r. w sprawie opracowania przez miejskie jednostki organizacyjne, komórki organizacyjne Urzędu Miejskiego oraz jednostki miejskiej administracji zespolonej materiałów planistycznych do projektu budżetu na 2021 rok oraz Wieloletniej Prognozy Finansowej.</w:t>
      </w:r>
    </w:p>
    <w:p w:rsidR="008C7751" w:rsidRPr="00E00B35" w:rsidRDefault="008C7751" w:rsidP="00E00B35">
      <w:pPr>
        <w:pStyle w:val="HTML-wstpniesformatowany"/>
        <w:spacing w:after="0" w:line="312" w:lineRule="auto"/>
        <w:rPr>
          <w:rFonts w:ascii="Verdana" w:hAnsi="Verdana"/>
          <w:color w:val="000000" w:themeColor="text1"/>
          <w:lang w:eastAsia="pl-PL"/>
        </w:rPr>
      </w:pPr>
    </w:p>
    <w:p w:rsidR="008C7751" w:rsidRPr="00E00B35" w:rsidRDefault="008C7751" w:rsidP="00E00B35">
      <w:pPr>
        <w:pStyle w:val="HTML-wstpniesformatowany"/>
        <w:spacing w:after="0" w:line="312" w:lineRule="auto"/>
        <w:rPr>
          <w:rFonts w:ascii="Verdana" w:hAnsi="Verdana"/>
          <w:color w:val="000000" w:themeColor="text1"/>
          <w:lang w:eastAsia="pl-PL"/>
        </w:rPr>
      </w:pPr>
      <w:r w:rsidRPr="00E00B35">
        <w:rPr>
          <w:rFonts w:ascii="Verdana" w:hAnsi="Verdana"/>
          <w:color w:val="000000" w:themeColor="text1"/>
          <w:lang w:eastAsia="pl-PL"/>
        </w:rPr>
        <w:t>W projekcie budżetu 2021 wzięto pod uwagę przede wszystkim:</w:t>
      </w:r>
    </w:p>
    <w:p w:rsidR="008C7751" w:rsidRPr="00E00B35" w:rsidRDefault="008C7751" w:rsidP="00E00B35">
      <w:pPr>
        <w:pStyle w:val="Tekstpodstawowy"/>
        <w:numPr>
          <w:ilvl w:val="0"/>
          <w:numId w:val="68"/>
        </w:numPr>
        <w:suppressAutoHyphens/>
        <w:spacing w:after="0" w:line="312" w:lineRule="auto"/>
        <w:ind w:left="567" w:hanging="567"/>
        <w:rPr>
          <w:szCs w:val="20"/>
        </w:rPr>
      </w:pPr>
      <w:r w:rsidRPr="00E00B35">
        <w:rPr>
          <w:szCs w:val="20"/>
        </w:rPr>
        <w:t>zabezpieczenie środków na zadania kontynuowane;</w:t>
      </w:r>
    </w:p>
    <w:p w:rsidR="008C7751" w:rsidRPr="00E00B35" w:rsidRDefault="008C7751" w:rsidP="00E00B35">
      <w:pPr>
        <w:pStyle w:val="Tekstpodstawowy"/>
        <w:numPr>
          <w:ilvl w:val="0"/>
          <w:numId w:val="68"/>
        </w:numPr>
        <w:suppressAutoHyphens/>
        <w:spacing w:after="0" w:line="312" w:lineRule="auto"/>
        <w:ind w:left="567" w:hanging="567"/>
        <w:rPr>
          <w:szCs w:val="20"/>
        </w:rPr>
      </w:pPr>
      <w:r w:rsidRPr="00E00B35">
        <w:rPr>
          <w:szCs w:val="20"/>
        </w:rPr>
        <w:t>określone przez Wydział Finansowy planowane limity wydatków;</w:t>
      </w:r>
    </w:p>
    <w:p w:rsidR="008C7751" w:rsidRPr="00E00B35" w:rsidRDefault="008C7751" w:rsidP="00E00B35">
      <w:pPr>
        <w:pStyle w:val="Tekstpodstawowy"/>
        <w:numPr>
          <w:ilvl w:val="0"/>
          <w:numId w:val="68"/>
        </w:numPr>
        <w:suppressAutoHyphens/>
        <w:spacing w:after="0" w:line="312" w:lineRule="auto"/>
        <w:ind w:left="567" w:hanging="567"/>
        <w:rPr>
          <w:szCs w:val="20"/>
        </w:rPr>
      </w:pPr>
      <w:r w:rsidRPr="00E00B35">
        <w:rPr>
          <w:szCs w:val="20"/>
        </w:rPr>
        <w:t>zaktualizowane wartości zadań i ich lata realizacji.</w:t>
      </w:r>
    </w:p>
    <w:p w:rsidR="008C7751" w:rsidRPr="00E00B35" w:rsidRDefault="008C7751" w:rsidP="00E00B35">
      <w:pPr>
        <w:spacing w:after="0" w:line="312" w:lineRule="auto"/>
        <w:rPr>
          <w:szCs w:val="20"/>
        </w:rPr>
      </w:pPr>
    </w:p>
    <w:p w:rsidR="008C7751" w:rsidRPr="00E00B35" w:rsidRDefault="008C7751" w:rsidP="00E00B35">
      <w:pPr>
        <w:spacing w:after="0" w:line="312" w:lineRule="auto"/>
        <w:rPr>
          <w:szCs w:val="20"/>
          <w:lang w:eastAsia="pl-PL"/>
        </w:rPr>
      </w:pPr>
      <w:r w:rsidRPr="00E00B35">
        <w:rPr>
          <w:szCs w:val="20"/>
        </w:rPr>
        <w:t xml:space="preserve">Po przeanalizowaniu wszystkich danych oraz po konsultacjach z przedstawicielami poszczególnych departamentów i podległych im jednostek opracowano i przekazano do Skarbnika Miasta wstępny zbiorczy projekt wydatków inwestycyjnych (uwzględniający zarówno wydatki wieloletnie, jak i jednoroczne) skierowany do I czytania w dniu </w:t>
      </w:r>
      <w:r w:rsidRPr="00E00B35">
        <w:rPr>
          <w:szCs w:val="20"/>
          <w:lang w:eastAsia="pl-PL"/>
        </w:rPr>
        <w:t xml:space="preserve">20.11.2020 r. Zestawienie przedłożone do I czytania obejmowało łącznie 81 zadań na sumaryczną kwotę 1 007 138 122 zł, w tym środki gminy w 2021 roku na kwotę 882 440 820 zł. </w:t>
      </w:r>
    </w:p>
    <w:p w:rsidR="008C7751" w:rsidRPr="00E00B35" w:rsidRDefault="008C7751" w:rsidP="00E00B35">
      <w:pPr>
        <w:spacing w:after="0" w:line="312" w:lineRule="auto"/>
        <w:rPr>
          <w:szCs w:val="20"/>
          <w:lang w:eastAsia="pl-PL"/>
        </w:rPr>
      </w:pPr>
      <w:r w:rsidRPr="00E00B35">
        <w:rPr>
          <w:szCs w:val="20"/>
          <w:lang w:eastAsia="pl-PL"/>
        </w:rPr>
        <w:t>W związku w monitoringiem inwestycji i dokonanymi rozliczeniami finansowymi zadań realizowanych w roku 2020 opracowano autopoprawkę do Projektu Budżetu na 2021 rok, który został uchwalony w II czytaniu na Sesji Rady Miejskiej w dniu 17.12.2020 r.</w:t>
      </w:r>
    </w:p>
    <w:p w:rsidR="008C7751" w:rsidRPr="00E00B35" w:rsidRDefault="008C7751" w:rsidP="00E00B35">
      <w:pPr>
        <w:spacing w:after="0" w:line="312" w:lineRule="auto"/>
        <w:rPr>
          <w:szCs w:val="20"/>
          <w:lang w:eastAsia="pl-PL"/>
        </w:rPr>
      </w:pPr>
      <w:r w:rsidRPr="00E00B35">
        <w:rPr>
          <w:szCs w:val="20"/>
          <w:lang w:eastAsia="pl-PL"/>
        </w:rPr>
        <w:t>Uchwalony załącznik nr 3 obejmuje łącznie 90 zadań na sumaryczną kwotę 1 063 195 454 zł, w tym środki gminy w 2021 roku na kwotę 907 380 856 zł.</w:t>
      </w:r>
    </w:p>
    <w:p w:rsidR="008C7751" w:rsidRPr="00E00B35" w:rsidRDefault="008C7751" w:rsidP="00E00B35">
      <w:pPr>
        <w:spacing w:after="0" w:line="312" w:lineRule="auto"/>
        <w:rPr>
          <w:szCs w:val="20"/>
          <w:lang w:eastAsia="pl-PL"/>
        </w:rPr>
      </w:pPr>
    </w:p>
    <w:p w:rsidR="008C7751" w:rsidRPr="00E00B35" w:rsidRDefault="008C7751" w:rsidP="00E00B35">
      <w:pPr>
        <w:pStyle w:val="Nagwek4"/>
        <w:spacing w:before="0" w:after="0" w:line="312" w:lineRule="auto"/>
        <w:rPr>
          <w:sz w:val="20"/>
          <w:szCs w:val="20"/>
        </w:rPr>
      </w:pPr>
      <w:bookmarkStart w:id="964" w:name="_Toc3902068"/>
      <w:bookmarkStart w:id="965" w:name="_Toc3902839"/>
      <w:bookmarkStart w:id="966" w:name="_Toc3971052"/>
      <w:bookmarkStart w:id="967" w:name="_Toc3977074"/>
      <w:bookmarkStart w:id="968" w:name="_Toc3977806"/>
      <w:bookmarkStart w:id="969" w:name="_Toc3978269"/>
      <w:bookmarkStart w:id="970" w:name="_Toc3978864"/>
      <w:bookmarkStart w:id="971" w:name="_Toc3979867"/>
      <w:bookmarkStart w:id="972" w:name="_Toc3981137"/>
      <w:bookmarkStart w:id="973" w:name="_Toc3981234"/>
      <w:bookmarkStart w:id="974" w:name="_Toc32318716"/>
      <w:bookmarkStart w:id="975" w:name="_Toc66358363"/>
      <w:r w:rsidRPr="00E00B35">
        <w:rPr>
          <w:sz w:val="20"/>
          <w:szCs w:val="20"/>
        </w:rPr>
        <w:t>Prowadzenie monitoringu zadań inwestycyjnych zapisanych w budżecie 2020 roku</w:t>
      </w:r>
      <w:bookmarkEnd w:id="964"/>
      <w:bookmarkEnd w:id="965"/>
      <w:bookmarkEnd w:id="966"/>
      <w:bookmarkEnd w:id="967"/>
      <w:bookmarkEnd w:id="968"/>
      <w:bookmarkEnd w:id="969"/>
      <w:bookmarkEnd w:id="970"/>
      <w:bookmarkEnd w:id="971"/>
      <w:bookmarkEnd w:id="972"/>
      <w:bookmarkEnd w:id="973"/>
      <w:bookmarkEnd w:id="974"/>
      <w:bookmarkEnd w:id="975"/>
    </w:p>
    <w:p w:rsidR="008C7751" w:rsidRPr="00E00B35" w:rsidRDefault="008C7751" w:rsidP="00E00B35">
      <w:pPr>
        <w:pStyle w:val="Tekstpodstawowy"/>
        <w:suppressAutoHyphens/>
        <w:spacing w:after="0" w:line="312" w:lineRule="auto"/>
        <w:rPr>
          <w:szCs w:val="20"/>
        </w:rPr>
      </w:pPr>
      <w:r w:rsidRPr="00E00B35">
        <w:rPr>
          <w:szCs w:val="20"/>
        </w:rPr>
        <w:t>W ciągu 2020 roku prowadzono stały, bieżący monitoring stanu realizacji wszystkich zadań inwestycyjnych na podstawie informacji pisemnych, e-mailowych i telefonicznych oraz w oparciu o karty monitoringu projektów w ramach elektronicznego Systemu Monitoringu Projektów. Cyklicznie, co około 3 tygodnie odbywały się spotkania monitoringowe ze Spółką WI, ZIM oraz ZDiUM.</w:t>
      </w:r>
    </w:p>
    <w:p w:rsidR="008C7751" w:rsidRPr="00E00B35" w:rsidRDefault="008C7751" w:rsidP="00E00B35">
      <w:pPr>
        <w:pStyle w:val="Tekstpodstawowy"/>
        <w:suppressAutoHyphens/>
        <w:spacing w:after="0" w:line="312" w:lineRule="auto"/>
        <w:rPr>
          <w:szCs w:val="20"/>
        </w:rPr>
      </w:pPr>
      <w:r w:rsidRPr="00E00B35">
        <w:rPr>
          <w:szCs w:val="20"/>
        </w:rPr>
        <w:t xml:space="preserve">Monitoringowi w 2020 roku podlegały 163 zadania inwestycyjne, w tym: 77 dużych zadań inwestycyjnych wieloletnich i 86 zadań jednorocznych. W wyniku monitoringu zostało przeprowadzonych wiele zmian budżetowych. Większość zmian (dla zadań ujętych w WPF </w:t>
      </w:r>
      <w:r w:rsidRPr="00E00B35">
        <w:rPr>
          <w:szCs w:val="20"/>
        </w:rPr>
        <w:lastRenderedPageBreak/>
        <w:t xml:space="preserve">i zadań jednorocznych) była zaakceptowana na siedmiu Sesjach Rady Miejskiej natomiast niektóre zmiany (w zakresie zadań jednorocznych) wprowadzane były na bieżąco Zarządzeniami Prezydenta Wrocławia. </w:t>
      </w:r>
    </w:p>
    <w:p w:rsidR="008C7751" w:rsidRPr="00E00B35" w:rsidRDefault="008C7751" w:rsidP="00E00B35">
      <w:pPr>
        <w:pStyle w:val="Tekstpodstawowy"/>
        <w:suppressAutoHyphens/>
        <w:spacing w:after="0" w:line="312" w:lineRule="auto"/>
        <w:rPr>
          <w:szCs w:val="20"/>
        </w:rPr>
      </w:pPr>
      <w:r w:rsidRPr="00E00B35">
        <w:rPr>
          <w:szCs w:val="20"/>
        </w:rPr>
        <w:t>W ciągu roku opiniowano również zmiany budżetowe proponowane przez inne jednostki.</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Nagwek4"/>
        <w:spacing w:before="0" w:after="0" w:line="312" w:lineRule="auto"/>
        <w:rPr>
          <w:sz w:val="20"/>
          <w:szCs w:val="20"/>
        </w:rPr>
      </w:pPr>
      <w:bookmarkStart w:id="976" w:name="_Toc32318718"/>
      <w:bookmarkStart w:id="977" w:name="_Toc66358364"/>
      <w:r w:rsidRPr="00E00B35">
        <w:rPr>
          <w:sz w:val="20"/>
          <w:szCs w:val="20"/>
        </w:rPr>
        <w:t>Obsługa zadań inwestycyjnych powierzonych do realizacji Spółce W</w:t>
      </w:r>
      <w:bookmarkEnd w:id="976"/>
      <w:r w:rsidRPr="00E00B35">
        <w:rPr>
          <w:sz w:val="20"/>
          <w:szCs w:val="20"/>
        </w:rPr>
        <w:t>rocławskie Inwestycje (WI)</w:t>
      </w:r>
      <w:bookmarkEnd w:id="977"/>
    </w:p>
    <w:p w:rsidR="008C7751" w:rsidRPr="00E00B35" w:rsidRDefault="008C7751" w:rsidP="00E00B35">
      <w:pPr>
        <w:pStyle w:val="Tekstpodstawowy"/>
        <w:suppressAutoHyphens/>
        <w:spacing w:after="0" w:line="312" w:lineRule="auto"/>
        <w:rPr>
          <w:szCs w:val="20"/>
        </w:rPr>
      </w:pPr>
      <w:r w:rsidRPr="00E00B35">
        <w:rPr>
          <w:szCs w:val="20"/>
        </w:rPr>
        <w:t>Na podstawie zarządzenia nr 2170/15 Prezydenta Wrocławia z dnia 04.09.2015 r. Spółce WI zostało wydanych 9 nowych wskazań do realizacji dla zadań inwestycyjnych. W wyniku zgłoszonych zmian do harmonogramów realizacji poszczególnych zadań uzgodniono terminy realizacji inwestycji i wydano 50 aneksów do wskazań.</w:t>
      </w:r>
    </w:p>
    <w:p w:rsidR="008C7751" w:rsidRPr="00E00B35" w:rsidRDefault="008C7751" w:rsidP="00E00B35">
      <w:pPr>
        <w:pStyle w:val="Tekstpodstawowy"/>
        <w:suppressAutoHyphens/>
        <w:spacing w:after="0" w:line="312" w:lineRule="auto"/>
        <w:rPr>
          <w:szCs w:val="20"/>
        </w:rPr>
      </w:pPr>
      <w:r w:rsidRPr="00E00B35">
        <w:rPr>
          <w:szCs w:val="20"/>
        </w:rPr>
        <w:t xml:space="preserve">Spółka WI przedstawiła 4 raporty z wykonanych usług w poszczególnym kwartale 2020 r. Raporty zostały zweryfikowane pod katem osiągnięcia kamieni milowych i postępu rzeczowego dla 43 zadań powierzonych Spółce do realizacji. </w:t>
      </w:r>
    </w:p>
    <w:p w:rsidR="008C7751" w:rsidRPr="00E00B35" w:rsidRDefault="00C220F1" w:rsidP="00E00B35">
      <w:pPr>
        <w:pStyle w:val="Nagwek4"/>
        <w:spacing w:before="0" w:after="0" w:line="312" w:lineRule="auto"/>
        <w:rPr>
          <w:sz w:val="20"/>
          <w:szCs w:val="20"/>
        </w:rPr>
      </w:pPr>
      <w:bookmarkStart w:id="978" w:name="_Toc32318719"/>
      <w:bookmarkStart w:id="979" w:name="_Toc66358365"/>
      <w:r w:rsidRPr="00E00B35">
        <w:rPr>
          <w:sz w:val="20"/>
          <w:szCs w:val="20"/>
        </w:rPr>
        <w:br/>
      </w:r>
      <w:r w:rsidR="008C7751" w:rsidRPr="00E00B35">
        <w:rPr>
          <w:sz w:val="20"/>
          <w:szCs w:val="20"/>
        </w:rPr>
        <w:t>Opiniowanie wniosków o uruchomienie procedur przetargowych</w:t>
      </w:r>
      <w:bookmarkEnd w:id="978"/>
      <w:bookmarkEnd w:id="979"/>
    </w:p>
    <w:p w:rsidR="008C7751" w:rsidRPr="00E00B35" w:rsidRDefault="008C7751" w:rsidP="00E00B35">
      <w:pPr>
        <w:pStyle w:val="Tekstpodstawowy"/>
        <w:suppressAutoHyphens/>
        <w:spacing w:after="0" w:line="312" w:lineRule="auto"/>
        <w:rPr>
          <w:szCs w:val="20"/>
        </w:rPr>
      </w:pPr>
      <w:r w:rsidRPr="00E00B35">
        <w:rPr>
          <w:szCs w:val="20"/>
        </w:rPr>
        <w:t>W związku z wymogiem ściślejszego monitorowania zaciąganych przez gminę zobowiązań finansowych w zakresie wydatków inwestycyjnych wszystkie jednostki miejskie zostały zobligowane do występowania, przed uruchomieniem procedur przetargowych, o zgodę na ich uruchomienie do Dyrektora Departamentu Infrastruktury i Transportu. Wszystkie wnioski były poddane procedurze opiniowania.</w:t>
      </w:r>
    </w:p>
    <w:p w:rsidR="008C7751" w:rsidRPr="00E00B35" w:rsidRDefault="008C7751" w:rsidP="00E00B35">
      <w:pPr>
        <w:pStyle w:val="Bezodstpw"/>
        <w:spacing w:line="312" w:lineRule="auto"/>
        <w:rPr>
          <w:rFonts w:ascii="Verdana" w:hAnsi="Verdana"/>
          <w:sz w:val="20"/>
          <w:szCs w:val="20"/>
        </w:rPr>
      </w:pPr>
    </w:p>
    <w:p w:rsidR="008C7751" w:rsidRPr="00E00B35" w:rsidRDefault="008C7751" w:rsidP="00E00B35">
      <w:pPr>
        <w:pStyle w:val="Nagwek4"/>
        <w:spacing w:before="0" w:after="0" w:line="312" w:lineRule="auto"/>
        <w:rPr>
          <w:sz w:val="20"/>
          <w:szCs w:val="20"/>
        </w:rPr>
      </w:pPr>
      <w:bookmarkStart w:id="980" w:name="_Toc3981140"/>
      <w:bookmarkStart w:id="981" w:name="_Toc3981237"/>
      <w:bookmarkStart w:id="982" w:name="_Toc32318720"/>
      <w:bookmarkStart w:id="983" w:name="_Toc66358366"/>
      <w:r w:rsidRPr="00E00B35">
        <w:rPr>
          <w:sz w:val="20"/>
          <w:szCs w:val="20"/>
        </w:rPr>
        <w:t>Udzielanie ulg w spłacie niepodatkowych należności</w:t>
      </w:r>
      <w:bookmarkEnd w:id="980"/>
      <w:bookmarkEnd w:id="981"/>
      <w:bookmarkEnd w:id="982"/>
      <w:bookmarkEnd w:id="983"/>
    </w:p>
    <w:p w:rsidR="008C7751" w:rsidRPr="00E00B35" w:rsidRDefault="008C7751" w:rsidP="00E00B35">
      <w:pPr>
        <w:spacing w:after="0" w:line="312" w:lineRule="auto"/>
        <w:rPr>
          <w:szCs w:val="20"/>
          <w:lang w:eastAsia="pl-PL"/>
        </w:rPr>
      </w:pPr>
      <w:r w:rsidRPr="00E00B35">
        <w:rPr>
          <w:szCs w:val="20"/>
          <w:lang w:eastAsia="pl-PL"/>
        </w:rPr>
        <w:t xml:space="preserve">W 2020 r. wpłynęło 207 wniosków o udzielenie ulgi. Wydano 143 decyzje, na które przysługiwało prawo do odwołania do Samorządowego Kolegium Odwoławczego. </w:t>
      </w:r>
    </w:p>
    <w:p w:rsidR="008C7751" w:rsidRPr="00E00B35" w:rsidRDefault="008C7751" w:rsidP="00E00B35">
      <w:pPr>
        <w:spacing w:after="0" w:line="312" w:lineRule="auto"/>
        <w:rPr>
          <w:szCs w:val="20"/>
          <w:lang w:eastAsia="pl-PL"/>
        </w:rPr>
      </w:pPr>
      <w:r w:rsidRPr="00E00B35">
        <w:rPr>
          <w:szCs w:val="20"/>
          <w:lang w:eastAsia="pl-PL"/>
        </w:rPr>
        <w:t>Odwołano się od 6 decyzji, co stanowiło 4,20 % wszystkich wydanych decyzji, w tym:</w:t>
      </w:r>
    </w:p>
    <w:p w:rsidR="008C7751" w:rsidRPr="00E00B35" w:rsidRDefault="008C7751" w:rsidP="00BC64AB">
      <w:pPr>
        <w:pStyle w:val="Tekstpodstawowy"/>
        <w:numPr>
          <w:ilvl w:val="0"/>
          <w:numId w:val="239"/>
        </w:numPr>
        <w:suppressAutoHyphens/>
        <w:spacing w:after="0" w:line="312" w:lineRule="auto"/>
        <w:ind w:left="426" w:hanging="426"/>
        <w:rPr>
          <w:szCs w:val="20"/>
        </w:rPr>
      </w:pPr>
      <w:r w:rsidRPr="00E00B35">
        <w:rPr>
          <w:szCs w:val="20"/>
        </w:rPr>
        <w:t>2 decyzje utrzymano w mocy (1,40 % odwołań),</w:t>
      </w:r>
    </w:p>
    <w:p w:rsidR="008C7751" w:rsidRPr="00E00B35" w:rsidRDefault="008C7751" w:rsidP="00BC64AB">
      <w:pPr>
        <w:pStyle w:val="Tekstpodstawowy"/>
        <w:numPr>
          <w:ilvl w:val="0"/>
          <w:numId w:val="239"/>
        </w:numPr>
        <w:suppressAutoHyphens/>
        <w:spacing w:after="0" w:line="312" w:lineRule="auto"/>
        <w:ind w:left="426" w:hanging="426"/>
        <w:rPr>
          <w:szCs w:val="20"/>
        </w:rPr>
      </w:pPr>
      <w:r w:rsidRPr="00E00B35">
        <w:rPr>
          <w:szCs w:val="20"/>
        </w:rPr>
        <w:t>1 decyzję uchylono i przekazano sprawę do ponownego rozpatrzenia przez organ I instancji,</w:t>
      </w:r>
    </w:p>
    <w:p w:rsidR="008C7751" w:rsidRPr="00E00B35" w:rsidRDefault="008C7751" w:rsidP="00BC64AB">
      <w:pPr>
        <w:pStyle w:val="Tekstpodstawowy"/>
        <w:numPr>
          <w:ilvl w:val="0"/>
          <w:numId w:val="239"/>
        </w:numPr>
        <w:suppressAutoHyphens/>
        <w:spacing w:after="0" w:line="312" w:lineRule="auto"/>
        <w:ind w:left="426" w:hanging="426"/>
        <w:rPr>
          <w:szCs w:val="20"/>
        </w:rPr>
      </w:pPr>
      <w:r w:rsidRPr="00E00B35">
        <w:rPr>
          <w:szCs w:val="20"/>
        </w:rPr>
        <w:t>1 decyzję Samorządowe Kolegium Odwoławcze pismem Nr 4031/5/20 z dnia 01.07.2020 r. przekazało sprawę do organu I instancji do ponownego rozpatrzenia zgodnie z kompetencją,</w:t>
      </w:r>
    </w:p>
    <w:p w:rsidR="008C7751" w:rsidRPr="00E00B35" w:rsidRDefault="008C7751" w:rsidP="00BC64AB">
      <w:pPr>
        <w:pStyle w:val="Tekstpodstawowy"/>
        <w:numPr>
          <w:ilvl w:val="0"/>
          <w:numId w:val="239"/>
        </w:numPr>
        <w:suppressAutoHyphens/>
        <w:spacing w:after="0" w:line="312" w:lineRule="auto"/>
        <w:ind w:left="426" w:hanging="426"/>
        <w:rPr>
          <w:szCs w:val="20"/>
        </w:rPr>
      </w:pPr>
      <w:r w:rsidRPr="00E00B35">
        <w:rPr>
          <w:szCs w:val="20"/>
        </w:rPr>
        <w:t>rozpatrywanie 2 decyzji pozostaje w toku.</w:t>
      </w:r>
    </w:p>
    <w:p w:rsidR="00C220F1" w:rsidRPr="00E00B35" w:rsidRDefault="00C220F1" w:rsidP="00E00B35">
      <w:pPr>
        <w:pStyle w:val="Tekstpodstawowy"/>
        <w:suppressAutoHyphens/>
        <w:spacing w:after="0" w:line="312" w:lineRule="auto"/>
        <w:ind w:left="426"/>
        <w:rPr>
          <w:szCs w:val="20"/>
        </w:rPr>
      </w:pPr>
    </w:p>
    <w:p w:rsidR="008C7751" w:rsidRPr="00E00B35" w:rsidRDefault="008C7751" w:rsidP="00E00B35">
      <w:pPr>
        <w:spacing w:after="0" w:line="312" w:lineRule="auto"/>
        <w:rPr>
          <w:szCs w:val="20"/>
          <w:lang w:eastAsia="pl-PL"/>
        </w:rPr>
      </w:pPr>
      <w:r w:rsidRPr="00E00B35">
        <w:rPr>
          <w:szCs w:val="20"/>
          <w:lang w:eastAsia="pl-PL"/>
        </w:rPr>
        <w:t xml:space="preserve">Na dzień 31 grudnia 2020 r. Samorządowe Kolegium Odwoławcze nie wydało rozstrzygnięcia w sprawie 2 złożonych odwołań. </w:t>
      </w:r>
    </w:p>
    <w:p w:rsidR="008C7751" w:rsidRPr="00E00B35" w:rsidRDefault="008C7751" w:rsidP="00E00B35">
      <w:pPr>
        <w:spacing w:after="0" w:line="312" w:lineRule="auto"/>
        <w:rPr>
          <w:szCs w:val="20"/>
          <w:lang w:eastAsia="pl-PL"/>
        </w:rPr>
      </w:pPr>
      <w:r w:rsidRPr="00E00B35">
        <w:rPr>
          <w:szCs w:val="20"/>
          <w:lang w:eastAsia="pl-PL"/>
        </w:rPr>
        <w:t>W związku z prowadzonymi postępowaniami w 2020 roku dodatkowo:</w:t>
      </w:r>
    </w:p>
    <w:p w:rsidR="008C7751" w:rsidRPr="00E00B35" w:rsidRDefault="008C7751" w:rsidP="00E00B35">
      <w:pPr>
        <w:pStyle w:val="Tekstpodstawowy"/>
        <w:numPr>
          <w:ilvl w:val="0"/>
          <w:numId w:val="69"/>
        </w:numPr>
        <w:suppressAutoHyphens/>
        <w:spacing w:after="0" w:line="312" w:lineRule="auto"/>
        <w:ind w:left="567" w:hanging="567"/>
        <w:rPr>
          <w:szCs w:val="20"/>
        </w:rPr>
      </w:pPr>
      <w:r w:rsidRPr="00E00B35">
        <w:rPr>
          <w:szCs w:val="20"/>
        </w:rPr>
        <w:t>Wydano 20 zawiadomień o pozostawieniu sprawy bez rozpoznania;</w:t>
      </w:r>
    </w:p>
    <w:p w:rsidR="008C7751" w:rsidRPr="00E00B35" w:rsidRDefault="008C7751" w:rsidP="00E00B35">
      <w:pPr>
        <w:pStyle w:val="Tekstpodstawowy"/>
        <w:numPr>
          <w:ilvl w:val="0"/>
          <w:numId w:val="69"/>
        </w:numPr>
        <w:suppressAutoHyphens/>
        <w:spacing w:after="0" w:line="312" w:lineRule="auto"/>
        <w:ind w:left="567" w:hanging="567"/>
        <w:rPr>
          <w:szCs w:val="20"/>
        </w:rPr>
      </w:pPr>
      <w:r w:rsidRPr="00E00B35">
        <w:rPr>
          <w:szCs w:val="20"/>
        </w:rPr>
        <w:t>Wydano 1 postanowienie o odmowie wszczęcia postępowania;</w:t>
      </w:r>
    </w:p>
    <w:p w:rsidR="008C7751" w:rsidRPr="00E00B35" w:rsidRDefault="008C7751" w:rsidP="00E00B35">
      <w:pPr>
        <w:pStyle w:val="Tekstpodstawowy"/>
        <w:numPr>
          <w:ilvl w:val="0"/>
          <w:numId w:val="69"/>
        </w:numPr>
        <w:suppressAutoHyphens/>
        <w:spacing w:after="0" w:line="312" w:lineRule="auto"/>
        <w:ind w:left="567" w:hanging="567"/>
        <w:rPr>
          <w:szCs w:val="20"/>
        </w:rPr>
      </w:pPr>
      <w:r w:rsidRPr="00E00B35">
        <w:rPr>
          <w:szCs w:val="20"/>
        </w:rPr>
        <w:t>41 spraw rozpatrzono w innym trybie;</w:t>
      </w:r>
    </w:p>
    <w:p w:rsidR="008C7751" w:rsidRPr="00E00B35" w:rsidRDefault="008C7751" w:rsidP="00E00B35">
      <w:pPr>
        <w:pStyle w:val="Tekstpodstawowy"/>
        <w:numPr>
          <w:ilvl w:val="0"/>
          <w:numId w:val="69"/>
        </w:numPr>
        <w:suppressAutoHyphens/>
        <w:spacing w:after="0" w:line="312" w:lineRule="auto"/>
        <w:ind w:left="567" w:hanging="567"/>
        <w:rPr>
          <w:szCs w:val="20"/>
        </w:rPr>
      </w:pPr>
      <w:r w:rsidRPr="00E00B35">
        <w:rPr>
          <w:szCs w:val="20"/>
        </w:rPr>
        <w:t>Na dzień 31 grudnia 2020 r. 22 sprawy pozostały w toku.</w:t>
      </w:r>
    </w:p>
    <w:p w:rsidR="008C7751" w:rsidRPr="00E00B35" w:rsidRDefault="008C7751" w:rsidP="00E00B35">
      <w:pPr>
        <w:pStyle w:val="BZM1"/>
        <w:spacing w:after="0" w:line="312" w:lineRule="auto"/>
        <w:ind w:left="714" w:hanging="357"/>
        <w:rPr>
          <w:b w:val="0"/>
          <w:sz w:val="20"/>
          <w:szCs w:val="20"/>
        </w:rPr>
        <w:sectPr w:rsidR="008C7751" w:rsidRPr="00E00B35" w:rsidSect="008C7751">
          <w:pgSz w:w="11906" w:h="16838"/>
          <w:pgMar w:top="1417" w:right="1417" w:bottom="1417" w:left="1417" w:header="708" w:footer="708" w:gutter="0"/>
          <w:cols w:space="708"/>
          <w:docGrid w:linePitch="360"/>
        </w:sectPr>
      </w:pPr>
    </w:p>
    <w:p w:rsidR="008C7751" w:rsidRPr="00E00B35" w:rsidRDefault="00573162" w:rsidP="00BC64AB">
      <w:pPr>
        <w:pStyle w:val="Nagwek3"/>
        <w:numPr>
          <w:ilvl w:val="0"/>
          <w:numId w:val="235"/>
        </w:numPr>
        <w:spacing w:after="0" w:line="312" w:lineRule="auto"/>
        <w:rPr>
          <w:sz w:val="20"/>
        </w:rPr>
      </w:pPr>
      <w:hyperlink w:anchor="_Toc32318721" w:history="1">
        <w:bookmarkStart w:id="984" w:name="_Toc66358367"/>
        <w:r w:rsidR="008C7751" w:rsidRPr="00E00B35">
          <w:rPr>
            <w:sz w:val="20"/>
          </w:rPr>
          <w:t>EKSPLOATACJA</w:t>
        </w:r>
        <w:bookmarkEnd w:id="984"/>
      </w:hyperlink>
    </w:p>
    <w:p w:rsidR="00C536B9" w:rsidRPr="00E00B35" w:rsidRDefault="00C536B9" w:rsidP="00E00B35">
      <w:pPr>
        <w:pStyle w:val="Nagwek3"/>
        <w:spacing w:after="0" w:line="312" w:lineRule="auto"/>
        <w:ind w:left="720"/>
        <w:rPr>
          <w:sz w:val="20"/>
        </w:rPr>
      </w:pPr>
    </w:p>
    <w:p w:rsidR="008C7751" w:rsidRPr="00E00B35" w:rsidRDefault="00573162" w:rsidP="00E00B35">
      <w:pPr>
        <w:pStyle w:val="Nagwek4"/>
        <w:spacing w:before="0" w:after="0" w:line="312" w:lineRule="auto"/>
        <w:rPr>
          <w:sz w:val="20"/>
          <w:szCs w:val="20"/>
        </w:rPr>
      </w:pPr>
      <w:hyperlink w:anchor="_Toc32318722" w:history="1">
        <w:bookmarkStart w:id="985" w:name="_Toc66358368"/>
        <w:r w:rsidR="008C7751" w:rsidRPr="00E00B35">
          <w:rPr>
            <w:sz w:val="20"/>
            <w:szCs w:val="20"/>
          </w:rPr>
          <w:t>Nadzór nad działaniami eksploatacyjnymi Zarządu Dróg i Utrzymania Miasta</w:t>
        </w:r>
        <w:bookmarkEnd w:id="985"/>
      </w:hyperlink>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Jednostką odpowiedzialną za prawidłowe funkcjonowanie elementów infrastruktury drogowej na terenie gminy Wrocław jest Zarząd Dróg i Utrzymania we Wrocławiu. Departament w roku 2020 prowadził nadzór nad ZDiUM w zakresie bieżącego utrzymania oraz remontów w następujących obszarach eksploatacyjnych:</w:t>
      </w:r>
    </w:p>
    <w:p w:rsidR="008C7751" w:rsidRPr="00E00B35" w:rsidRDefault="008C7751" w:rsidP="00E00B35">
      <w:pPr>
        <w:pStyle w:val="Tekstpodstawowy"/>
        <w:numPr>
          <w:ilvl w:val="0"/>
          <w:numId w:val="49"/>
        </w:numPr>
        <w:suppressAutoHyphens/>
        <w:spacing w:after="0" w:line="312" w:lineRule="auto"/>
        <w:ind w:left="567" w:hanging="567"/>
        <w:rPr>
          <w:szCs w:val="20"/>
        </w:rPr>
      </w:pPr>
      <w:r w:rsidRPr="00E00B35">
        <w:rPr>
          <w:szCs w:val="20"/>
        </w:rPr>
        <w:t>Roboty drogowe;</w:t>
      </w:r>
    </w:p>
    <w:p w:rsidR="008C7751" w:rsidRPr="00E00B35" w:rsidRDefault="008C7751" w:rsidP="00E00B35">
      <w:pPr>
        <w:pStyle w:val="Tekstpodstawowy"/>
        <w:numPr>
          <w:ilvl w:val="0"/>
          <w:numId w:val="49"/>
        </w:numPr>
        <w:suppressAutoHyphens/>
        <w:spacing w:after="0" w:line="312" w:lineRule="auto"/>
        <w:ind w:left="567" w:hanging="567"/>
        <w:rPr>
          <w:szCs w:val="20"/>
        </w:rPr>
      </w:pPr>
      <w:r w:rsidRPr="00E00B35">
        <w:rPr>
          <w:szCs w:val="20"/>
        </w:rPr>
        <w:t>Remonty i utrzymanie obiektów inżynierskich;</w:t>
      </w:r>
    </w:p>
    <w:p w:rsidR="008C7751" w:rsidRPr="00E00B35" w:rsidRDefault="008C7751" w:rsidP="00E00B35">
      <w:pPr>
        <w:pStyle w:val="Tekstpodstawowy"/>
        <w:numPr>
          <w:ilvl w:val="0"/>
          <w:numId w:val="49"/>
        </w:numPr>
        <w:suppressAutoHyphens/>
        <w:spacing w:after="0" w:line="312" w:lineRule="auto"/>
        <w:ind w:left="567" w:hanging="567"/>
        <w:rPr>
          <w:szCs w:val="20"/>
        </w:rPr>
      </w:pPr>
      <w:r w:rsidRPr="00E00B35">
        <w:rPr>
          <w:szCs w:val="20"/>
        </w:rPr>
        <w:t>Odwodnienie drogowe i fontanny;</w:t>
      </w:r>
    </w:p>
    <w:p w:rsidR="008C7751" w:rsidRPr="00E00B35" w:rsidRDefault="008C7751" w:rsidP="00E00B35">
      <w:pPr>
        <w:pStyle w:val="Tekstpodstawowy"/>
        <w:numPr>
          <w:ilvl w:val="0"/>
          <w:numId w:val="49"/>
        </w:numPr>
        <w:suppressAutoHyphens/>
        <w:spacing w:after="0" w:line="312" w:lineRule="auto"/>
        <w:ind w:left="567" w:hanging="567"/>
        <w:rPr>
          <w:szCs w:val="20"/>
        </w:rPr>
      </w:pPr>
      <w:r w:rsidRPr="00E00B35">
        <w:rPr>
          <w:szCs w:val="20"/>
        </w:rPr>
        <w:t>Infrastruktura przystankowa;</w:t>
      </w:r>
    </w:p>
    <w:p w:rsidR="008C7751" w:rsidRPr="00E00B35" w:rsidRDefault="008C7751" w:rsidP="00E00B35">
      <w:pPr>
        <w:pStyle w:val="Tekstpodstawowy"/>
        <w:numPr>
          <w:ilvl w:val="0"/>
          <w:numId w:val="49"/>
        </w:numPr>
        <w:suppressAutoHyphens/>
        <w:spacing w:after="0" w:line="312" w:lineRule="auto"/>
        <w:ind w:left="567" w:hanging="567"/>
        <w:rPr>
          <w:szCs w:val="20"/>
        </w:rPr>
      </w:pPr>
      <w:r w:rsidRPr="00E00B35">
        <w:rPr>
          <w:szCs w:val="20"/>
        </w:rPr>
        <w:t>Utrzymanie pomników;</w:t>
      </w:r>
    </w:p>
    <w:p w:rsidR="008C7751" w:rsidRPr="00E00B35" w:rsidRDefault="008C7751" w:rsidP="00E00B35">
      <w:pPr>
        <w:pStyle w:val="Tekstpodstawowy"/>
        <w:numPr>
          <w:ilvl w:val="0"/>
          <w:numId w:val="49"/>
        </w:numPr>
        <w:suppressAutoHyphens/>
        <w:spacing w:after="0" w:line="312" w:lineRule="auto"/>
        <w:ind w:left="567" w:hanging="567"/>
        <w:rPr>
          <w:szCs w:val="20"/>
        </w:rPr>
      </w:pPr>
      <w:r w:rsidRPr="00E00B35">
        <w:rPr>
          <w:szCs w:val="20"/>
        </w:rPr>
        <w:t>Oświetlenie drogowe i iluminacje obiektowe;</w:t>
      </w:r>
    </w:p>
    <w:p w:rsidR="008C7751" w:rsidRPr="00E00B35" w:rsidRDefault="008C7751" w:rsidP="00E00B35">
      <w:pPr>
        <w:pStyle w:val="Tekstpodstawowy"/>
        <w:numPr>
          <w:ilvl w:val="0"/>
          <w:numId w:val="49"/>
        </w:numPr>
        <w:suppressAutoHyphens/>
        <w:spacing w:after="0" w:line="312" w:lineRule="auto"/>
        <w:ind w:left="567" w:hanging="567"/>
        <w:rPr>
          <w:szCs w:val="20"/>
        </w:rPr>
      </w:pPr>
      <w:r w:rsidRPr="00E00B35">
        <w:rPr>
          <w:szCs w:val="20"/>
        </w:rPr>
        <w:t>Utrzymanie i remonty szaletów w pasach drogowym i przejściach podziemnych;</w:t>
      </w:r>
    </w:p>
    <w:p w:rsidR="008C7751" w:rsidRPr="00E00B35" w:rsidRDefault="008C7751" w:rsidP="00E00B35">
      <w:pPr>
        <w:pStyle w:val="Tekstpodstawowy"/>
        <w:numPr>
          <w:ilvl w:val="0"/>
          <w:numId w:val="49"/>
        </w:numPr>
        <w:suppressAutoHyphens/>
        <w:spacing w:after="0" w:line="312" w:lineRule="auto"/>
        <w:ind w:left="567" w:hanging="567"/>
        <w:rPr>
          <w:szCs w:val="20"/>
        </w:rPr>
      </w:pPr>
      <w:r w:rsidRPr="00E00B35">
        <w:rPr>
          <w:szCs w:val="20"/>
        </w:rPr>
        <w:t>Utrzymanie elementów SIM i małej architektury;</w:t>
      </w:r>
    </w:p>
    <w:p w:rsidR="008C7751" w:rsidRPr="00E00B35" w:rsidRDefault="008C7751" w:rsidP="00E00B35">
      <w:pPr>
        <w:pStyle w:val="Tekstpodstawowy"/>
        <w:numPr>
          <w:ilvl w:val="0"/>
          <w:numId w:val="49"/>
        </w:numPr>
        <w:suppressAutoHyphens/>
        <w:spacing w:after="0" w:line="312" w:lineRule="auto"/>
        <w:ind w:left="567" w:hanging="567"/>
        <w:rPr>
          <w:szCs w:val="20"/>
        </w:rPr>
      </w:pPr>
      <w:r w:rsidRPr="00E00B35">
        <w:rPr>
          <w:szCs w:val="20"/>
        </w:rPr>
        <w:t>Remonty i konserwacja sieci trakcyjnej;</w:t>
      </w:r>
    </w:p>
    <w:p w:rsidR="008C7751" w:rsidRPr="00E00B35" w:rsidRDefault="008C7751" w:rsidP="00E00B35">
      <w:pPr>
        <w:pStyle w:val="Tekstpodstawowy"/>
        <w:numPr>
          <w:ilvl w:val="0"/>
          <w:numId w:val="49"/>
        </w:numPr>
        <w:suppressAutoHyphens/>
        <w:spacing w:after="0" w:line="312" w:lineRule="auto"/>
        <w:ind w:left="567" w:hanging="567"/>
        <w:rPr>
          <w:szCs w:val="20"/>
        </w:rPr>
      </w:pPr>
      <w:r w:rsidRPr="00E00B35">
        <w:rPr>
          <w:szCs w:val="20"/>
        </w:rPr>
        <w:t>Zadania Inżynierii Ruchu.</w:t>
      </w:r>
    </w:p>
    <w:p w:rsidR="008C7751" w:rsidRPr="00E00B35" w:rsidRDefault="00C220F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br/>
      </w:r>
      <w:r w:rsidR="008C7751" w:rsidRPr="00E00B35">
        <w:rPr>
          <w:rFonts w:ascii="Verdana" w:eastAsia="Times New Roman" w:hAnsi="Verdana"/>
          <w:color w:val="000000" w:themeColor="text1"/>
        </w:rPr>
        <w:t xml:space="preserve">Istotnym narzędziem sprawowanego nadzoru jest Plan Eksploatacji. Dokument stanowi kompendium informacji o prowadzonych przez Zarząd Dróg i Utrzymania Miasta działaniach eksploatacyjnych w obszarze zarządzania miejską infrastrukturą drogową. Zasadniczym celem opracowania Planu jest pozyskiwanie i wykorzystywanie na bieżąco wiedzy dotyczącej stanu realizacji zakresu rzeczowego zadań w poszczególnych obszarach eksploatacyjnych i efektywne zarządzanie środkami finansowymi dostępnymi na dany rok. Plan Eksploatacji jest nie tylko dokumentem pomocniczym przy realizacji standardowych działań skierowanych na utrzymanie dróg w mieście we właściwym stanie technicznym, ale również narzędziem do koordynowania i dostosowywania prac eksploatacyjnych do realizowanych lub planowanych inwestycji oraz usług komunalnych. </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 xml:space="preserve">Monitoring poziomu zaawansowania rzeczowego i finansowego Planu Eksploatacji w 2020 roku jest realizowany w cyklu półrocznym na podstawie sprawozdań składanych przez Zarząd Dróg i Utrzymania Miasta z wykonania planu według stanu na dzień 30 czerwca i 31 grudnia 2020 r. </w:t>
      </w:r>
    </w:p>
    <w:p w:rsidR="008C7751" w:rsidRPr="00E00B35" w:rsidRDefault="008C7751" w:rsidP="00E00B35">
      <w:pPr>
        <w:pStyle w:val="HTML-wstpniesformatowany"/>
        <w:spacing w:after="0" w:line="312" w:lineRule="auto"/>
        <w:rPr>
          <w:rFonts w:ascii="Verdana" w:eastAsia="Times New Roman" w:hAnsi="Verdana"/>
          <w:color w:val="000000" w:themeColor="text1"/>
        </w:rPr>
      </w:pPr>
      <w:r w:rsidRPr="00E00B35">
        <w:rPr>
          <w:rFonts w:ascii="Verdana" w:eastAsia="Times New Roman" w:hAnsi="Verdana"/>
          <w:color w:val="000000" w:themeColor="text1"/>
        </w:rPr>
        <w:t>Wnioski podsumowujące przebieg realizacji zaplanowanych działań eksploatacyjnych w roku 2020 będą uwzględnione w planowaniu zadań i wydatków na rok przyszły.</w:t>
      </w:r>
    </w:p>
    <w:p w:rsidR="00C536B9" w:rsidRPr="00E00B35" w:rsidRDefault="00C536B9" w:rsidP="00E00B35">
      <w:pPr>
        <w:pStyle w:val="Nagwek4"/>
        <w:spacing w:before="0" w:after="0" w:line="312" w:lineRule="auto"/>
        <w:rPr>
          <w:sz w:val="20"/>
          <w:szCs w:val="20"/>
        </w:rPr>
      </w:pPr>
    </w:p>
    <w:p w:rsidR="008C7751" w:rsidRPr="00E00B35" w:rsidRDefault="00573162" w:rsidP="00E00B35">
      <w:pPr>
        <w:pStyle w:val="Nagwek4"/>
        <w:spacing w:before="0" w:after="0" w:line="312" w:lineRule="auto"/>
        <w:rPr>
          <w:sz w:val="20"/>
          <w:szCs w:val="20"/>
        </w:rPr>
      </w:pPr>
      <w:hyperlink w:anchor="_Toc32318723" w:history="1">
        <w:bookmarkStart w:id="986" w:name="_Toc66358369"/>
        <w:r w:rsidR="008C7751" w:rsidRPr="00E00B35">
          <w:rPr>
            <w:sz w:val="20"/>
            <w:szCs w:val="20"/>
          </w:rPr>
          <w:t>Zadania w zakresie utrzymania dróg i infrastruktury</w:t>
        </w:r>
        <w:bookmarkEnd w:id="986"/>
      </w:hyperlink>
    </w:p>
    <w:p w:rsidR="008C7751" w:rsidRPr="00E00B35" w:rsidRDefault="008C7751" w:rsidP="00E00B35">
      <w:pPr>
        <w:suppressAutoHyphens/>
        <w:spacing w:after="0" w:line="312" w:lineRule="auto"/>
        <w:rPr>
          <w:szCs w:val="20"/>
        </w:rPr>
      </w:pPr>
      <w:r w:rsidRPr="00E00B35">
        <w:rPr>
          <w:szCs w:val="20"/>
        </w:rPr>
        <w:t xml:space="preserve">Cel zadania: </w:t>
      </w:r>
    </w:p>
    <w:p w:rsidR="008C7751" w:rsidRPr="00E00B35" w:rsidRDefault="008C7751" w:rsidP="00E00B35">
      <w:pPr>
        <w:suppressAutoHyphens/>
        <w:spacing w:after="0" w:line="312" w:lineRule="auto"/>
        <w:rPr>
          <w:szCs w:val="20"/>
        </w:rPr>
      </w:pPr>
      <w:r w:rsidRPr="00E00B35">
        <w:rPr>
          <w:szCs w:val="20"/>
        </w:rPr>
        <w:t xml:space="preserve">Dbanie o najwyższą jakość wrocławskich dróg i infrastruktury oraz estetykę miasta dla dobra mieszkańców i przyszłych pokoleń. </w:t>
      </w:r>
    </w:p>
    <w:p w:rsidR="008C7751" w:rsidRPr="00E00B35" w:rsidRDefault="008C7751" w:rsidP="00E00B35">
      <w:pPr>
        <w:suppressAutoHyphens/>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 xml:space="preserve">Poniesione nakłady w 2020 roku: 52 899 tys. zł </w:t>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W 2020 roku zrealizowano zadania, między innymi w zakresie:</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lastRenderedPageBreak/>
        <w:t>Eksploatacji i utrzymania obiektów inżynierskich, w tym elementów mostów, kładek, przepustów, przejść podziemnych, tuneli samochodowych, ekranów akustycznych, dźwigów osobowych;</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t>Eksploatacji i utrzymania systemu ITS;</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t>Eksploatacji i konserwacji odwodnienia drogowego;</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t>Utrzymania fontann;</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t>Utrzymania i konserwacji mebli miejskich w pasie drogowym;</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t>Utrzymania i konserwacji obiektów wyposażenia przystanków komunikacji zbiorowej;</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t>Eksploatacji i utrzymania miejskich kanałów technologicznych;</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t>Eksploatacji i konserwacji oświetlenia ulic, placów i dróg (w tym zakup energii elektrycznej i gazowej);</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t xml:space="preserve">Eksploatacji i konserwacji iluminacji obiektów budowlanych; </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t>Utrzymania i konserwacji pomników i form przestrzennych;</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t>Utrzymania szaletów w pasie drogowym;</w:t>
      </w:r>
    </w:p>
    <w:p w:rsidR="008C7751" w:rsidRPr="00E00B35" w:rsidRDefault="008C7751" w:rsidP="00E00B35">
      <w:pPr>
        <w:pStyle w:val="Tekstpodstawowy"/>
        <w:numPr>
          <w:ilvl w:val="0"/>
          <w:numId w:val="50"/>
        </w:numPr>
        <w:suppressAutoHyphens/>
        <w:spacing w:after="0" w:line="312" w:lineRule="auto"/>
        <w:ind w:left="567" w:hanging="567"/>
        <w:rPr>
          <w:szCs w:val="20"/>
        </w:rPr>
      </w:pPr>
      <w:r w:rsidRPr="00E00B35">
        <w:rPr>
          <w:szCs w:val="20"/>
        </w:rPr>
        <w:t>Inne zadania eksploatacyjne, w tym między innymi: wykonanie iluminacji świątecznej, konserwacja podświetlanych punktów informacyjnych, konserwacja tabliczek z nazwami ulic.</w:t>
      </w:r>
    </w:p>
    <w:p w:rsidR="008C7751" w:rsidRPr="00E00B35" w:rsidRDefault="008C7751" w:rsidP="00E00B35">
      <w:pPr>
        <w:pStyle w:val="Tekstpodstawowy"/>
        <w:suppressAutoHyphens/>
        <w:spacing w:after="0" w:line="312" w:lineRule="auto"/>
        <w:ind w:left="567"/>
        <w:rPr>
          <w:szCs w:val="20"/>
        </w:rPr>
      </w:pPr>
    </w:p>
    <w:p w:rsidR="008C7751" w:rsidRPr="00E00B35" w:rsidRDefault="008C7751" w:rsidP="00E00B35">
      <w:pPr>
        <w:pStyle w:val="Bezodstpw"/>
        <w:numPr>
          <w:ilvl w:val="1"/>
          <w:numId w:val="67"/>
        </w:numPr>
        <w:spacing w:line="312" w:lineRule="auto"/>
        <w:ind w:left="567" w:hanging="567"/>
        <w:rPr>
          <w:rFonts w:ascii="Verdana" w:hAnsi="Verdana"/>
          <w:b/>
          <w:sz w:val="20"/>
          <w:szCs w:val="20"/>
        </w:rPr>
      </w:pPr>
      <w:r w:rsidRPr="00E00B35">
        <w:rPr>
          <w:rFonts w:ascii="Verdana" w:hAnsi="Verdana"/>
          <w:b/>
          <w:sz w:val="20"/>
          <w:szCs w:val="20"/>
        </w:rPr>
        <w:t>Lokalne naprawy ubytków nawierzchni jezdni i chodników</w:t>
      </w:r>
    </w:p>
    <w:p w:rsidR="008C7751" w:rsidRPr="00E00B35" w:rsidRDefault="008C7751" w:rsidP="00E00B35">
      <w:pPr>
        <w:suppressAutoHyphens/>
        <w:spacing w:after="0" w:line="312" w:lineRule="auto"/>
        <w:rPr>
          <w:szCs w:val="20"/>
        </w:rPr>
      </w:pPr>
      <w:r w:rsidRPr="00E00B35">
        <w:rPr>
          <w:szCs w:val="20"/>
        </w:rPr>
        <w:t xml:space="preserve">Cel zadania: </w:t>
      </w:r>
    </w:p>
    <w:p w:rsidR="008C7751" w:rsidRPr="00E00B35" w:rsidRDefault="008C7751" w:rsidP="00E00B35">
      <w:pPr>
        <w:suppressAutoHyphens/>
        <w:spacing w:after="0" w:line="312" w:lineRule="auto"/>
        <w:rPr>
          <w:szCs w:val="20"/>
        </w:rPr>
      </w:pPr>
      <w:r w:rsidRPr="00E00B35">
        <w:rPr>
          <w:szCs w:val="20"/>
        </w:rPr>
        <w:t>Wykonanie remontów bitumicznych oraz brukarskich niezbędnych dla zachowania bezpieczeństwa ruchu kołowego i pieszego.</w:t>
      </w:r>
    </w:p>
    <w:p w:rsidR="008C7751" w:rsidRPr="00E00B35" w:rsidRDefault="008C7751" w:rsidP="00E00B35">
      <w:pPr>
        <w:suppressAutoHyphens/>
        <w:spacing w:after="0" w:line="312" w:lineRule="auto"/>
        <w:rPr>
          <w:szCs w:val="20"/>
        </w:rPr>
      </w:pPr>
    </w:p>
    <w:p w:rsidR="008C7751" w:rsidRPr="00E00B35" w:rsidRDefault="008C7751" w:rsidP="00E00B35">
      <w:pPr>
        <w:pStyle w:val="Tekstpodstawowy"/>
        <w:suppressAutoHyphens/>
        <w:spacing w:after="0" w:line="312" w:lineRule="auto"/>
        <w:rPr>
          <w:szCs w:val="20"/>
        </w:rPr>
      </w:pPr>
      <w:r w:rsidRPr="00E00B35">
        <w:rPr>
          <w:szCs w:val="20"/>
        </w:rPr>
        <w:t xml:space="preserve">Poniesione nakłady w 2020 roku: 9 481 tys. zł </w:t>
      </w:r>
    </w:p>
    <w:p w:rsidR="008C7751" w:rsidRPr="00E00B35" w:rsidRDefault="008C7751" w:rsidP="00E00B35">
      <w:pPr>
        <w:pStyle w:val="Tekstpodstawowy"/>
        <w:suppressAutoHyphens/>
        <w:spacing w:after="0" w:line="312" w:lineRule="auto"/>
        <w:rPr>
          <w:szCs w:val="20"/>
        </w:rPr>
      </w:pPr>
      <w:r w:rsidRPr="00E00B35">
        <w:rPr>
          <w:szCs w:val="20"/>
        </w:rPr>
        <w:t>Remonty nawierzchni bitumicznych</w:t>
      </w:r>
    </w:p>
    <w:p w:rsidR="008C7751" w:rsidRPr="00E00B35" w:rsidRDefault="008C7751" w:rsidP="00E00B35">
      <w:pPr>
        <w:suppressAutoHyphens/>
        <w:spacing w:after="0" w:line="312" w:lineRule="auto"/>
        <w:rPr>
          <w:szCs w:val="20"/>
        </w:rPr>
      </w:pPr>
      <w:r w:rsidRPr="00E00B35">
        <w:rPr>
          <w:szCs w:val="20"/>
        </w:rPr>
        <w:t xml:space="preserve">W roku 2020 wykonano: </w:t>
      </w:r>
    </w:p>
    <w:p w:rsidR="008C7751" w:rsidRPr="00E00B35" w:rsidRDefault="008C7751" w:rsidP="00E00B35">
      <w:pPr>
        <w:suppressAutoHyphens/>
        <w:spacing w:after="0" w:line="312" w:lineRule="auto"/>
        <w:rPr>
          <w:szCs w:val="20"/>
        </w:rPr>
      </w:pPr>
      <w:r w:rsidRPr="00E00B35">
        <w:rPr>
          <w:szCs w:val="20"/>
        </w:rPr>
        <w:t>39 797 m² napraw nawierzchni bitumicznych na podstawie zleceń za łączną kwotę 5 372 tys. zł, w tym na terenie:</w:t>
      </w:r>
    </w:p>
    <w:p w:rsidR="008C7751" w:rsidRPr="00E00B35" w:rsidRDefault="008C7751" w:rsidP="00E00B35">
      <w:pPr>
        <w:pStyle w:val="Tekstpodstawowy"/>
        <w:numPr>
          <w:ilvl w:val="0"/>
          <w:numId w:val="51"/>
        </w:numPr>
        <w:suppressAutoHyphens/>
        <w:spacing w:after="0" w:line="312" w:lineRule="auto"/>
        <w:ind w:left="567" w:hanging="567"/>
        <w:rPr>
          <w:szCs w:val="20"/>
        </w:rPr>
      </w:pPr>
      <w:r w:rsidRPr="00E00B35">
        <w:rPr>
          <w:szCs w:val="20"/>
        </w:rPr>
        <w:t>Dzielnicy Krzyki 8 723 m², za kwotę 1 383 tys. zł;</w:t>
      </w:r>
    </w:p>
    <w:p w:rsidR="008C7751" w:rsidRPr="00E00B35" w:rsidRDefault="008C7751" w:rsidP="00E00B35">
      <w:pPr>
        <w:pStyle w:val="Tekstpodstawowy"/>
        <w:numPr>
          <w:ilvl w:val="0"/>
          <w:numId w:val="51"/>
        </w:numPr>
        <w:suppressAutoHyphens/>
        <w:spacing w:after="0" w:line="312" w:lineRule="auto"/>
        <w:ind w:left="567" w:hanging="567"/>
        <w:rPr>
          <w:szCs w:val="20"/>
        </w:rPr>
      </w:pPr>
      <w:r w:rsidRPr="00E00B35">
        <w:rPr>
          <w:szCs w:val="20"/>
        </w:rPr>
        <w:t>Dzielnicy Psie Pole 12 206 m², za kwotę 1 595 tys. zł;</w:t>
      </w:r>
    </w:p>
    <w:p w:rsidR="008C7751" w:rsidRPr="00E00B35" w:rsidRDefault="008C7751" w:rsidP="00E00B35">
      <w:pPr>
        <w:pStyle w:val="Tekstpodstawowy"/>
        <w:numPr>
          <w:ilvl w:val="0"/>
          <w:numId w:val="51"/>
        </w:numPr>
        <w:suppressAutoHyphens/>
        <w:spacing w:after="0" w:line="312" w:lineRule="auto"/>
        <w:ind w:left="567" w:hanging="567"/>
        <w:rPr>
          <w:szCs w:val="20"/>
        </w:rPr>
      </w:pPr>
      <w:r w:rsidRPr="00E00B35">
        <w:rPr>
          <w:szCs w:val="20"/>
        </w:rPr>
        <w:t>Dzielnicy Fabryczna 14 564 m², za kwotę 1 813 tys. zł;</w:t>
      </w:r>
    </w:p>
    <w:p w:rsidR="008C7751" w:rsidRPr="00E00B35" w:rsidRDefault="008C7751" w:rsidP="00E00B35">
      <w:pPr>
        <w:pStyle w:val="Tekstpodstawowy"/>
        <w:numPr>
          <w:ilvl w:val="0"/>
          <w:numId w:val="51"/>
        </w:numPr>
        <w:suppressAutoHyphens/>
        <w:spacing w:after="0" w:line="312" w:lineRule="auto"/>
        <w:ind w:left="567" w:hanging="567"/>
        <w:rPr>
          <w:szCs w:val="20"/>
        </w:rPr>
      </w:pPr>
      <w:r w:rsidRPr="00E00B35">
        <w:rPr>
          <w:szCs w:val="20"/>
        </w:rPr>
        <w:t>Dzielnicy Stare Miasto i Śródmieście 4 304 m², za kwotę 581 tys. zł.</w:t>
      </w:r>
    </w:p>
    <w:p w:rsidR="008C7751" w:rsidRPr="00E00B35" w:rsidRDefault="008C7751" w:rsidP="00E00B35">
      <w:pPr>
        <w:pStyle w:val="Akapitzlist"/>
        <w:spacing w:after="0" w:line="312" w:lineRule="auto"/>
        <w:ind w:left="567" w:hanging="567"/>
        <w:contextualSpacing w:val="0"/>
        <w:rPr>
          <w:szCs w:val="20"/>
        </w:rPr>
      </w:pPr>
    </w:p>
    <w:p w:rsidR="008C7751" w:rsidRPr="00E00B35" w:rsidRDefault="008C7751" w:rsidP="00E00B35">
      <w:pPr>
        <w:pStyle w:val="Tekstpodstawowy"/>
        <w:suppressAutoHyphens/>
        <w:spacing w:after="0" w:line="312" w:lineRule="auto"/>
        <w:rPr>
          <w:szCs w:val="20"/>
        </w:rPr>
      </w:pPr>
      <w:r w:rsidRPr="00E00B35">
        <w:rPr>
          <w:szCs w:val="20"/>
        </w:rPr>
        <w:t>Remonty nawierzchni z kostki kamiennej i betonowej, płyt betonowych i kamiennych</w:t>
      </w:r>
    </w:p>
    <w:p w:rsidR="008C7751" w:rsidRPr="00E00B35" w:rsidRDefault="008C7751" w:rsidP="00E00B35">
      <w:pPr>
        <w:suppressAutoHyphens/>
        <w:spacing w:after="0" w:line="312" w:lineRule="auto"/>
        <w:rPr>
          <w:szCs w:val="20"/>
        </w:rPr>
      </w:pPr>
      <w:r w:rsidRPr="00E00B35">
        <w:rPr>
          <w:szCs w:val="20"/>
        </w:rPr>
        <w:t xml:space="preserve">W roku 2020 wykonano: </w:t>
      </w:r>
    </w:p>
    <w:p w:rsidR="008C7751" w:rsidRPr="00E00B35" w:rsidRDefault="008C7751" w:rsidP="00E00B35">
      <w:pPr>
        <w:spacing w:after="0" w:line="312" w:lineRule="auto"/>
        <w:rPr>
          <w:rFonts w:cs="Arial"/>
          <w:szCs w:val="20"/>
        </w:rPr>
      </w:pPr>
      <w:r w:rsidRPr="00E00B35">
        <w:rPr>
          <w:rFonts w:cs="Arial"/>
          <w:szCs w:val="20"/>
        </w:rPr>
        <w:t xml:space="preserve">8 983 </w:t>
      </w:r>
      <w:r w:rsidRPr="00E00B35">
        <w:rPr>
          <w:szCs w:val="20"/>
        </w:rPr>
        <w:t xml:space="preserve">m² </w:t>
      </w:r>
      <w:r w:rsidRPr="00E00B35">
        <w:rPr>
          <w:rFonts w:cs="Arial"/>
          <w:szCs w:val="20"/>
        </w:rPr>
        <w:t>napraw nawierzchni z kostki kamiennej i betonowej, płyt betonowych i kamiennych za łączną kwotę 2 968 tys. zł, w tym na terenie:</w:t>
      </w:r>
    </w:p>
    <w:p w:rsidR="008C7751" w:rsidRPr="00E00B35" w:rsidRDefault="008C7751" w:rsidP="00E00B35">
      <w:pPr>
        <w:pStyle w:val="Tekstpodstawowy"/>
        <w:numPr>
          <w:ilvl w:val="0"/>
          <w:numId w:val="52"/>
        </w:numPr>
        <w:suppressAutoHyphens/>
        <w:spacing w:after="0" w:line="312" w:lineRule="auto"/>
        <w:ind w:left="567" w:hanging="567"/>
        <w:rPr>
          <w:szCs w:val="20"/>
        </w:rPr>
      </w:pPr>
      <w:r w:rsidRPr="00E00B35">
        <w:rPr>
          <w:szCs w:val="20"/>
        </w:rPr>
        <w:t>Dzielnicy Krzyki 1 667 m², za kwotę 561 tys. zł;</w:t>
      </w:r>
    </w:p>
    <w:p w:rsidR="008C7751" w:rsidRPr="00E00B35" w:rsidRDefault="008C7751" w:rsidP="00E00B35">
      <w:pPr>
        <w:pStyle w:val="Tekstpodstawowy"/>
        <w:numPr>
          <w:ilvl w:val="0"/>
          <w:numId w:val="52"/>
        </w:numPr>
        <w:suppressAutoHyphens/>
        <w:spacing w:after="0" w:line="312" w:lineRule="auto"/>
        <w:ind w:left="567" w:hanging="567"/>
        <w:rPr>
          <w:szCs w:val="20"/>
        </w:rPr>
      </w:pPr>
      <w:r w:rsidRPr="00E00B35">
        <w:rPr>
          <w:szCs w:val="20"/>
        </w:rPr>
        <w:t>Dzielnicy Fabryczna 2 506 m², za kwotę 867 tys. zł;</w:t>
      </w:r>
    </w:p>
    <w:p w:rsidR="008C7751" w:rsidRPr="00E00B35" w:rsidRDefault="008C7751" w:rsidP="00E00B35">
      <w:pPr>
        <w:pStyle w:val="Tekstpodstawowy"/>
        <w:numPr>
          <w:ilvl w:val="0"/>
          <w:numId w:val="52"/>
        </w:numPr>
        <w:suppressAutoHyphens/>
        <w:spacing w:after="0" w:line="312" w:lineRule="auto"/>
        <w:ind w:left="567" w:hanging="567"/>
        <w:rPr>
          <w:szCs w:val="20"/>
        </w:rPr>
      </w:pPr>
      <w:r w:rsidRPr="00E00B35">
        <w:rPr>
          <w:szCs w:val="20"/>
        </w:rPr>
        <w:t>Dzielnicy Psie Pole 1 394 m², za kwotę 482 tys. zł;</w:t>
      </w:r>
    </w:p>
    <w:p w:rsidR="008C7751" w:rsidRPr="00E00B35" w:rsidRDefault="008C7751" w:rsidP="00E00B35">
      <w:pPr>
        <w:pStyle w:val="Tekstpodstawowy"/>
        <w:numPr>
          <w:ilvl w:val="0"/>
          <w:numId w:val="52"/>
        </w:numPr>
        <w:suppressAutoHyphens/>
        <w:spacing w:after="0" w:line="312" w:lineRule="auto"/>
        <w:ind w:left="567" w:hanging="567"/>
        <w:rPr>
          <w:szCs w:val="20"/>
        </w:rPr>
      </w:pPr>
      <w:r w:rsidRPr="00E00B35">
        <w:rPr>
          <w:szCs w:val="20"/>
        </w:rPr>
        <w:t>Dzielnicy Stare Miasto i Śródmieście 3 416 m², za kwotę 1 058 tys. zł.</w:t>
      </w:r>
    </w:p>
    <w:p w:rsidR="008C7751" w:rsidRPr="00E00B35" w:rsidRDefault="008C7751" w:rsidP="00E00B35">
      <w:pPr>
        <w:pStyle w:val="Tekstpodstawowy"/>
        <w:suppressAutoHyphens/>
        <w:spacing w:after="0" w:line="312" w:lineRule="auto"/>
        <w:ind w:left="720"/>
        <w:rPr>
          <w:szCs w:val="20"/>
        </w:rPr>
      </w:pPr>
    </w:p>
    <w:p w:rsidR="008C7751" w:rsidRPr="00E00B35" w:rsidRDefault="008C7751" w:rsidP="00E00B35">
      <w:pPr>
        <w:pStyle w:val="Tekstpodstawowy"/>
        <w:suppressAutoHyphens/>
        <w:spacing w:after="0" w:line="312" w:lineRule="auto"/>
        <w:rPr>
          <w:rFonts w:cs="Arial"/>
          <w:szCs w:val="20"/>
        </w:rPr>
      </w:pPr>
      <w:r w:rsidRPr="00E00B35">
        <w:rPr>
          <w:rFonts w:cs="Arial"/>
          <w:szCs w:val="20"/>
        </w:rPr>
        <w:t>Remonty nawierzchni chodników</w:t>
      </w:r>
    </w:p>
    <w:p w:rsidR="008C7751" w:rsidRPr="00E00B35" w:rsidRDefault="008C7751" w:rsidP="00E00B35">
      <w:pPr>
        <w:suppressAutoHyphens/>
        <w:spacing w:after="0" w:line="312" w:lineRule="auto"/>
        <w:rPr>
          <w:szCs w:val="20"/>
        </w:rPr>
      </w:pPr>
      <w:r w:rsidRPr="00E00B35">
        <w:rPr>
          <w:szCs w:val="20"/>
        </w:rPr>
        <w:lastRenderedPageBreak/>
        <w:t xml:space="preserve">W 2020 roku wykonano: </w:t>
      </w:r>
    </w:p>
    <w:p w:rsidR="008C7751" w:rsidRPr="00E00B35" w:rsidRDefault="008C7751" w:rsidP="00E00B35">
      <w:pPr>
        <w:pStyle w:val="Tekstpodstawowy"/>
        <w:spacing w:after="0" w:line="312" w:lineRule="auto"/>
        <w:rPr>
          <w:szCs w:val="20"/>
        </w:rPr>
      </w:pPr>
      <w:r w:rsidRPr="00E00B35">
        <w:rPr>
          <w:szCs w:val="20"/>
        </w:rPr>
        <w:t>Remonty 3 360,94 m² chodników przeznaczając na ten cel kwotę 1 141 tys. zł, w tym chodniki na ulicach Kozanowskiej przy Wiślanej (przystanki autobusowe), Inżynierskiej nr 49 od ronda do zjazdu oraz przy Szkole Podstawowej nr 109, Metalowców przy Stargardzkiej (przystanek autobusowy), Balzaka nr 24-30, Aleja Pracy przed ul. Grabiszyńską, Norweskiej, Horbaczewskiego 2, perony autobusowe przy ul. Orlińskiego, Struga, Piwnika Ponurego, Zielińskiego, Na Szańcach, Dubois 1-3, Barlickiego róg Nowowiejskiej, Kluczborska.</w:t>
      </w:r>
    </w:p>
    <w:p w:rsidR="008C7751" w:rsidRPr="00E00B35" w:rsidRDefault="008C7751" w:rsidP="00E00B35">
      <w:pPr>
        <w:pStyle w:val="Tekstpodstawowy"/>
        <w:spacing w:after="0" w:line="312" w:lineRule="auto"/>
        <w:rPr>
          <w:szCs w:val="20"/>
        </w:rPr>
        <w:sectPr w:rsidR="008C7751" w:rsidRPr="00E00B35" w:rsidSect="008C7751">
          <w:pgSz w:w="11906" w:h="16838"/>
          <w:pgMar w:top="1417" w:right="1417" w:bottom="1417" w:left="1417" w:header="708" w:footer="708" w:gutter="0"/>
          <w:cols w:space="708"/>
          <w:docGrid w:linePitch="3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49</w:t>
      </w:r>
      <w:r w:rsidR="00573162" w:rsidRPr="00E00B35">
        <w:rPr>
          <w:b/>
          <w:sz w:val="20"/>
          <w:szCs w:val="20"/>
        </w:rPr>
        <w:fldChar w:fldCharType="end"/>
      </w:r>
      <w:r w:rsidRPr="00E00B35">
        <w:rPr>
          <w:sz w:val="20"/>
          <w:szCs w:val="20"/>
        </w:rPr>
        <w:t>. Chodnik przy ul. Inżynierskiej - przed</w:t>
      </w:r>
    </w:p>
    <w:p w:rsidR="008C7751" w:rsidRPr="00E00B35" w:rsidRDefault="008C7751" w:rsidP="00E00B35">
      <w:pPr>
        <w:pStyle w:val="Tekstpodstawowy"/>
        <w:spacing w:after="0" w:line="312" w:lineRule="auto"/>
        <w:rPr>
          <w:szCs w:val="20"/>
        </w:rPr>
      </w:pPr>
      <w:r w:rsidRPr="00E00B35">
        <w:rPr>
          <w:noProof/>
          <w:szCs w:val="20"/>
          <w:lang w:val="pl-PL" w:eastAsia="pl-PL" w:bidi="ar-SA"/>
        </w:rPr>
        <w:drawing>
          <wp:inline distT="0" distB="0" distL="0" distR="0">
            <wp:extent cx="2862374" cy="2381693"/>
            <wp:effectExtent l="19050" t="0" r="0" b="0"/>
            <wp:docPr id="58" name="Obraz 8" descr="Nierówny i wąski chodnik wzdłuż u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nty_naw_beton_Inżynierska_przed.png"/>
                    <pic:cNvPicPr/>
                  </pic:nvPicPr>
                  <pic:blipFill>
                    <a:blip r:embed="rId259" cstate="print"/>
                    <a:srcRect r="26616"/>
                    <a:stretch>
                      <a:fillRect/>
                    </a:stretch>
                  </pic:blipFill>
                  <pic:spPr>
                    <a:xfrm>
                      <a:off x="0" y="0"/>
                      <a:ext cx="2862374" cy="2381693"/>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50</w:t>
      </w:r>
      <w:r w:rsidR="00573162" w:rsidRPr="00E00B35">
        <w:rPr>
          <w:b/>
          <w:sz w:val="20"/>
          <w:szCs w:val="20"/>
        </w:rPr>
        <w:fldChar w:fldCharType="end"/>
      </w:r>
      <w:r w:rsidRPr="00E00B35">
        <w:rPr>
          <w:sz w:val="20"/>
          <w:szCs w:val="20"/>
        </w:rPr>
        <w:t>. Chodnik przy ul. Inżynierskiej - po</w:t>
      </w:r>
    </w:p>
    <w:p w:rsidR="008C7751" w:rsidRPr="00E00B35" w:rsidRDefault="008C7751" w:rsidP="00E00B35">
      <w:pPr>
        <w:pStyle w:val="Tekstpodstawowy"/>
        <w:spacing w:after="0" w:line="312" w:lineRule="auto"/>
        <w:rPr>
          <w:szCs w:val="20"/>
        </w:rPr>
      </w:pPr>
      <w:r w:rsidRPr="00E00B35">
        <w:rPr>
          <w:noProof/>
          <w:szCs w:val="20"/>
          <w:lang w:val="pl-PL" w:eastAsia="pl-PL" w:bidi="ar-SA"/>
        </w:rPr>
        <w:drawing>
          <wp:inline distT="0" distB="0" distL="0" distR="0">
            <wp:extent cx="3170378" cy="2377870"/>
            <wp:effectExtent l="19050" t="0" r="0" b="0"/>
            <wp:docPr id="61" name="Obraz 14" descr="Chodnik wzdłuż ulicy, po remoncie, szeroki, nowe płytki chodnik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nty_naw_beton_Inżynierska_po.jpg"/>
                    <pic:cNvPicPr/>
                  </pic:nvPicPr>
                  <pic:blipFill>
                    <a:blip r:embed="rId260" cstate="print"/>
                    <a:stretch>
                      <a:fillRect/>
                    </a:stretch>
                  </pic:blipFill>
                  <pic:spPr>
                    <a:xfrm>
                      <a:off x="0" y="0"/>
                      <a:ext cx="3182364" cy="2386860"/>
                    </a:xfrm>
                    <a:prstGeom prst="rect">
                      <a:avLst/>
                    </a:prstGeom>
                  </pic:spPr>
                </pic:pic>
              </a:graphicData>
            </a:graphic>
          </wp:inline>
        </w:drawing>
      </w:r>
    </w:p>
    <w:p w:rsidR="008C7751" w:rsidRPr="00E00B35" w:rsidRDefault="008C7751" w:rsidP="00E00B35">
      <w:pPr>
        <w:pStyle w:val="Tekstpodstawowy"/>
        <w:spacing w:after="0" w:line="312" w:lineRule="auto"/>
        <w:rPr>
          <w:szCs w:val="20"/>
        </w:rPr>
      </w:pPr>
    </w:p>
    <w:p w:rsidR="00C536B9" w:rsidRPr="00E00B35" w:rsidRDefault="00C536B9" w:rsidP="00E00B35">
      <w:pPr>
        <w:pStyle w:val="Tekstpodstawowy"/>
        <w:spacing w:after="0" w:line="312" w:lineRule="auto"/>
        <w:rPr>
          <w:szCs w:val="20"/>
        </w:rPr>
        <w:sectPr w:rsidR="00C536B9" w:rsidRPr="00E00B35" w:rsidSect="008C7751">
          <w:type w:val="continuous"/>
          <w:pgSz w:w="11906" w:h="16838"/>
          <w:pgMar w:top="1417" w:right="1417" w:bottom="1417" w:left="1417" w:header="708" w:footer="708" w:gutter="0"/>
          <w:cols w:num="2" w:space="708"/>
          <w:docGrid w:linePitch="360"/>
        </w:sectPr>
      </w:pPr>
    </w:p>
    <w:p w:rsidR="008C7751" w:rsidRPr="00E00B35" w:rsidRDefault="008C7751" w:rsidP="00E00B35">
      <w:pPr>
        <w:pStyle w:val="Bezodstpw"/>
        <w:numPr>
          <w:ilvl w:val="1"/>
          <w:numId w:val="67"/>
        </w:numPr>
        <w:spacing w:line="312" w:lineRule="auto"/>
        <w:ind w:left="567" w:hanging="567"/>
        <w:rPr>
          <w:rFonts w:ascii="Verdana" w:hAnsi="Verdana"/>
          <w:b/>
          <w:sz w:val="20"/>
          <w:szCs w:val="20"/>
        </w:rPr>
      </w:pPr>
      <w:r w:rsidRPr="00E00B35">
        <w:rPr>
          <w:rFonts w:ascii="Verdana" w:hAnsi="Verdana"/>
          <w:b/>
          <w:sz w:val="20"/>
          <w:szCs w:val="20"/>
        </w:rPr>
        <w:lastRenderedPageBreak/>
        <w:t>Likwidacja spękań nawierzchni bitumicznych</w:t>
      </w:r>
    </w:p>
    <w:p w:rsidR="008C7751" w:rsidRPr="00E00B35" w:rsidRDefault="008C7751" w:rsidP="00E00B35">
      <w:pPr>
        <w:suppressAutoHyphens/>
        <w:spacing w:after="0" w:line="312" w:lineRule="auto"/>
        <w:rPr>
          <w:szCs w:val="20"/>
        </w:rPr>
      </w:pPr>
      <w:r w:rsidRPr="00E00B35">
        <w:rPr>
          <w:szCs w:val="20"/>
        </w:rPr>
        <w:t>Cel zadania:</w:t>
      </w:r>
    </w:p>
    <w:p w:rsidR="008C7751" w:rsidRPr="00E00B35" w:rsidRDefault="008C7751" w:rsidP="00E00B35">
      <w:pPr>
        <w:suppressAutoHyphens/>
        <w:spacing w:after="0" w:line="312" w:lineRule="auto"/>
        <w:rPr>
          <w:szCs w:val="20"/>
        </w:rPr>
      </w:pPr>
      <w:r w:rsidRPr="00E00B35">
        <w:rPr>
          <w:szCs w:val="20"/>
        </w:rPr>
        <w:t>Zapobieganie dalszej degradacji stanu technicznego nawierzchni i przedłużenie jej trwałości.</w:t>
      </w:r>
    </w:p>
    <w:p w:rsidR="008C7751" w:rsidRPr="00E00B35" w:rsidRDefault="008C7751" w:rsidP="00E00B35">
      <w:pPr>
        <w:pStyle w:val="Tekstpodstawowy"/>
        <w:suppressAutoHyphens/>
        <w:spacing w:after="0" w:line="312" w:lineRule="auto"/>
        <w:rPr>
          <w:szCs w:val="20"/>
        </w:rPr>
      </w:pPr>
      <w:r w:rsidRPr="00E00B35">
        <w:rPr>
          <w:szCs w:val="20"/>
        </w:rPr>
        <w:t xml:space="preserve">Poniesione nakłady w 2020 roku: 263 tys. zł </w:t>
      </w:r>
    </w:p>
    <w:p w:rsidR="008C7751" w:rsidRPr="00E00B35" w:rsidRDefault="008C7751" w:rsidP="00E00B35">
      <w:pPr>
        <w:suppressAutoHyphens/>
        <w:spacing w:after="0" w:line="312" w:lineRule="auto"/>
        <w:rPr>
          <w:szCs w:val="20"/>
        </w:rPr>
      </w:pPr>
      <w:r w:rsidRPr="00E00B35">
        <w:rPr>
          <w:szCs w:val="20"/>
        </w:rPr>
        <w:t xml:space="preserve">W 2020 roku wykonano: </w:t>
      </w:r>
    </w:p>
    <w:p w:rsidR="008C7751" w:rsidRPr="00E00B35" w:rsidRDefault="008C7751" w:rsidP="00E00B35">
      <w:pPr>
        <w:pStyle w:val="Tekstpodstawowy"/>
        <w:spacing w:after="0" w:line="312" w:lineRule="auto"/>
        <w:rPr>
          <w:szCs w:val="20"/>
        </w:rPr>
      </w:pPr>
      <w:r w:rsidRPr="00E00B35">
        <w:rPr>
          <w:szCs w:val="20"/>
        </w:rPr>
        <w:t>Likwidację 12 981 mb spękań nawierzchni bitumicznych. Prace wykonano na terenie:</w:t>
      </w:r>
    </w:p>
    <w:p w:rsidR="008C7751" w:rsidRPr="00E00B35" w:rsidRDefault="008C7751" w:rsidP="00E00B35">
      <w:pPr>
        <w:pStyle w:val="Tekstpodstawowy"/>
        <w:numPr>
          <w:ilvl w:val="0"/>
          <w:numId w:val="53"/>
        </w:numPr>
        <w:suppressAutoHyphens/>
        <w:spacing w:after="0" w:line="312" w:lineRule="auto"/>
        <w:ind w:left="567" w:hanging="567"/>
        <w:rPr>
          <w:szCs w:val="20"/>
        </w:rPr>
      </w:pPr>
      <w:r w:rsidRPr="00E00B35">
        <w:rPr>
          <w:szCs w:val="20"/>
        </w:rPr>
        <w:t>Dzielnicy Krzyki 907,50 mb (w ulicach: Wyścigowej, Powstańców Śląskich, Hallera);</w:t>
      </w:r>
    </w:p>
    <w:p w:rsidR="008C7751" w:rsidRPr="00E00B35" w:rsidRDefault="008C7751" w:rsidP="00E00B35">
      <w:pPr>
        <w:pStyle w:val="Tekstpodstawowy"/>
        <w:numPr>
          <w:ilvl w:val="0"/>
          <w:numId w:val="53"/>
        </w:numPr>
        <w:suppressAutoHyphens/>
        <w:spacing w:after="0" w:line="312" w:lineRule="auto"/>
        <w:ind w:left="567" w:hanging="567"/>
        <w:rPr>
          <w:szCs w:val="20"/>
        </w:rPr>
      </w:pPr>
      <w:r w:rsidRPr="00E00B35">
        <w:rPr>
          <w:szCs w:val="20"/>
        </w:rPr>
        <w:t>Dzielnicy Psie Pole 2 569 mb (w ulicach: Inspektowej, Osobowickiej, Żmigrodzkiej);</w:t>
      </w:r>
    </w:p>
    <w:p w:rsidR="008C7751" w:rsidRPr="00E00B35" w:rsidRDefault="008C7751" w:rsidP="00E00B35">
      <w:pPr>
        <w:pStyle w:val="Tekstpodstawowy"/>
        <w:numPr>
          <w:ilvl w:val="0"/>
          <w:numId w:val="53"/>
        </w:numPr>
        <w:suppressAutoHyphens/>
        <w:spacing w:after="0" w:line="312" w:lineRule="auto"/>
        <w:ind w:left="567" w:hanging="567"/>
        <w:rPr>
          <w:szCs w:val="20"/>
        </w:rPr>
      </w:pPr>
      <w:r w:rsidRPr="00E00B35">
        <w:rPr>
          <w:szCs w:val="20"/>
        </w:rPr>
        <w:t>Dzielnicy Fabryczna 5 035 mb (w ulicach: Karczemnej, Prackiej, Junackiej, Granicznej, Trawowej, Tyrmanda, Bukowskiego, Balzaka, Karmelkowej);</w:t>
      </w:r>
    </w:p>
    <w:p w:rsidR="008C7751" w:rsidRPr="00E00B35" w:rsidRDefault="008C7751" w:rsidP="00E00B35">
      <w:pPr>
        <w:pStyle w:val="Tekstpodstawowy"/>
        <w:numPr>
          <w:ilvl w:val="0"/>
          <w:numId w:val="53"/>
        </w:numPr>
        <w:suppressAutoHyphens/>
        <w:spacing w:after="0" w:line="312" w:lineRule="auto"/>
        <w:ind w:left="567" w:hanging="567"/>
        <w:rPr>
          <w:szCs w:val="20"/>
        </w:rPr>
      </w:pPr>
      <w:r w:rsidRPr="00E00B35">
        <w:rPr>
          <w:szCs w:val="20"/>
        </w:rPr>
        <w:t>Dzielnicy Stare Miasto i Śródmieście 4 470 mb (w ulicach: Kochanowskiego, Sienkiewicza, Drobnera, Jedności Narodowej, Grodzkiej, Piaskowej, Św. Katarzyny, Czesława Błogosławionego, Kazimierza Wielkiego, Podwale, Sądowej, Grabiszyńskiej, Zaporoskiej, Bożego Ciała, Widok, placu Jana Pawła II).</w:t>
      </w:r>
    </w:p>
    <w:p w:rsidR="008C7751" w:rsidRPr="00E00B35" w:rsidRDefault="008C7751" w:rsidP="00E00B35">
      <w:pPr>
        <w:pStyle w:val="Tekstpodstawowy"/>
        <w:suppressAutoHyphens/>
        <w:spacing w:after="0" w:line="312" w:lineRule="auto"/>
        <w:ind w:left="567"/>
        <w:rPr>
          <w:szCs w:val="20"/>
        </w:rPr>
        <w:sectPr w:rsidR="008C7751" w:rsidRPr="00E00B35" w:rsidSect="008C7751">
          <w:type w:val="continuous"/>
          <w:pgSz w:w="11906" w:h="16838"/>
          <w:pgMar w:top="1417" w:right="1417" w:bottom="1417" w:left="1417" w:header="708" w:footer="708" w:gutter="0"/>
          <w:cols w:space="708"/>
          <w:docGrid w:linePitch="360"/>
        </w:sectPr>
      </w:pPr>
    </w:p>
    <w:p w:rsidR="008C7751" w:rsidRPr="00E00B35" w:rsidRDefault="008C7751" w:rsidP="00E00B35">
      <w:pPr>
        <w:pStyle w:val="Legenda"/>
        <w:keepNext/>
        <w:spacing w:before="0" w:after="0" w:line="312" w:lineRule="auto"/>
        <w:rPr>
          <w:b/>
          <w:sz w:val="20"/>
          <w:szCs w:val="20"/>
        </w:rPr>
        <w:sectPr w:rsidR="008C7751" w:rsidRPr="00E00B35" w:rsidSect="008C7751">
          <w:type w:val="continuous"/>
          <w:pgSz w:w="11906" w:h="16838"/>
          <w:pgMar w:top="1417" w:right="1417" w:bottom="1417" w:left="1417" w:header="708" w:footer="708" w:gutter="0"/>
          <w:cols w:space="708"/>
          <w:docGrid w:linePitch="3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51</w:t>
      </w:r>
      <w:r w:rsidR="00573162" w:rsidRPr="00E00B35">
        <w:rPr>
          <w:b/>
          <w:sz w:val="20"/>
          <w:szCs w:val="20"/>
        </w:rPr>
        <w:fldChar w:fldCharType="end"/>
      </w:r>
      <w:r w:rsidRPr="00E00B35">
        <w:rPr>
          <w:sz w:val="20"/>
          <w:szCs w:val="20"/>
        </w:rPr>
        <w:t>. Likwidacja spękań bitumicznych</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2512009" cy="2636686"/>
            <wp:effectExtent l="19050" t="0" r="2591" b="0"/>
            <wp:docPr id="65" name="Obraz 54" descr="Pracujący w nocy robotnicy, wykonujący specjalistyczne prace, likwidujący spękania w jezdni na jednym pa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nty_naw_bitum_Rakowiecka_1.jpg"/>
                    <pic:cNvPicPr/>
                  </pic:nvPicPr>
                  <pic:blipFill>
                    <a:blip r:embed="rId261" cstate="print"/>
                    <a:stretch>
                      <a:fillRect/>
                    </a:stretch>
                  </pic:blipFill>
                  <pic:spPr>
                    <a:xfrm>
                      <a:off x="0" y="0"/>
                      <a:ext cx="2512340" cy="2637033"/>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52</w:t>
      </w:r>
      <w:r w:rsidR="00573162" w:rsidRPr="00E00B35">
        <w:rPr>
          <w:b/>
          <w:sz w:val="20"/>
          <w:szCs w:val="20"/>
        </w:rPr>
        <w:fldChar w:fldCharType="end"/>
      </w:r>
      <w:r w:rsidRPr="00E00B35">
        <w:rPr>
          <w:sz w:val="20"/>
          <w:szCs w:val="20"/>
        </w:rPr>
        <w:t>. Likwidacja spękań bitumicznych</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2219402" cy="2633472"/>
            <wp:effectExtent l="19050" t="0" r="9448" b="0"/>
            <wp:docPr id="67" name="Obraz 55" descr="Noc. Pracownik likwidujący spękania nawierzchni jezdni, siedzący na frezarce do szcze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nty_naw_bitum_Rakowiecka_2.jpg"/>
                    <pic:cNvPicPr/>
                  </pic:nvPicPr>
                  <pic:blipFill>
                    <a:blip r:embed="rId262" cstate="print"/>
                    <a:stretch>
                      <a:fillRect/>
                    </a:stretch>
                  </pic:blipFill>
                  <pic:spPr>
                    <a:xfrm>
                      <a:off x="0" y="0"/>
                      <a:ext cx="2219660" cy="2633778"/>
                    </a:xfrm>
                    <a:prstGeom prst="rect">
                      <a:avLst/>
                    </a:prstGeom>
                  </pic:spPr>
                </pic:pic>
              </a:graphicData>
            </a:graphic>
          </wp:inline>
        </w:drawing>
      </w:r>
    </w:p>
    <w:p w:rsidR="008C7751" w:rsidRPr="00E00B35" w:rsidRDefault="008C7751" w:rsidP="00E00B35">
      <w:pPr>
        <w:pStyle w:val="Bezodstpw"/>
        <w:spacing w:line="312" w:lineRule="auto"/>
        <w:rPr>
          <w:rFonts w:ascii="Verdana" w:hAnsi="Verdana"/>
          <w:sz w:val="20"/>
          <w:szCs w:val="20"/>
        </w:rPr>
        <w:sectPr w:rsidR="008C7751" w:rsidRPr="00E00B35" w:rsidSect="008C7751">
          <w:type w:val="continuous"/>
          <w:pgSz w:w="11906" w:h="16838"/>
          <w:pgMar w:top="1417" w:right="1417" w:bottom="1417" w:left="1417" w:header="708" w:footer="708" w:gutter="0"/>
          <w:cols w:num="2" w:space="708"/>
          <w:docGrid w:linePitch="360"/>
        </w:sectPr>
      </w:pPr>
    </w:p>
    <w:p w:rsidR="00263B16" w:rsidRDefault="00263B16" w:rsidP="00263B16">
      <w:pPr>
        <w:spacing w:after="0" w:line="312" w:lineRule="auto"/>
        <w:rPr>
          <w:szCs w:val="20"/>
        </w:rPr>
      </w:pPr>
    </w:p>
    <w:p w:rsidR="008C7751" w:rsidRPr="00E00B35" w:rsidRDefault="008C7751" w:rsidP="00263B16">
      <w:pPr>
        <w:spacing w:after="0" w:line="312" w:lineRule="auto"/>
        <w:rPr>
          <w:b/>
          <w:szCs w:val="20"/>
        </w:rPr>
      </w:pPr>
      <w:r w:rsidRPr="00E00B35">
        <w:rPr>
          <w:b/>
          <w:szCs w:val="20"/>
        </w:rPr>
        <w:t>Poprawa nawierzchni nieutwardzonych</w:t>
      </w:r>
    </w:p>
    <w:p w:rsidR="008C7751" w:rsidRPr="00E00B35" w:rsidRDefault="008C7751" w:rsidP="00E00B35">
      <w:pPr>
        <w:pStyle w:val="Styl1NagwkiGwne"/>
        <w:spacing w:line="312" w:lineRule="auto"/>
        <w:jc w:val="left"/>
        <w:rPr>
          <w:b w:val="0"/>
        </w:rPr>
      </w:pPr>
      <w:r w:rsidRPr="00E00B35">
        <w:rPr>
          <w:b w:val="0"/>
        </w:rPr>
        <w:t xml:space="preserve">Cel zadania: </w:t>
      </w:r>
    </w:p>
    <w:p w:rsidR="008C7751" w:rsidRPr="00E00B35" w:rsidRDefault="008C7751" w:rsidP="00E00B35">
      <w:pPr>
        <w:pStyle w:val="Styl1NagwkiGwne"/>
        <w:spacing w:line="312" w:lineRule="auto"/>
        <w:jc w:val="left"/>
        <w:rPr>
          <w:b w:val="0"/>
        </w:rPr>
      </w:pPr>
      <w:r w:rsidRPr="00E00B35">
        <w:rPr>
          <w:b w:val="0"/>
        </w:rPr>
        <w:t>poprawa dostępności nawierzchni zarówno dla pieszych, jak i pojazdów osobowych, eliminowanie zastoin wodnych i zabrudzeń mienia użytkowników drogi, a także zabrudzeń przyległych jezdni bitumicznych.</w:t>
      </w:r>
    </w:p>
    <w:p w:rsidR="008C7751" w:rsidRPr="00E00B35" w:rsidRDefault="008C7751" w:rsidP="00E00B35">
      <w:pPr>
        <w:pStyle w:val="Tekstpodstawowy"/>
        <w:suppressAutoHyphens/>
        <w:spacing w:after="0" w:line="312" w:lineRule="auto"/>
        <w:rPr>
          <w:szCs w:val="20"/>
        </w:rPr>
      </w:pPr>
      <w:r w:rsidRPr="00E00B35">
        <w:rPr>
          <w:szCs w:val="20"/>
        </w:rPr>
        <w:t xml:space="preserve">Poniesione nakłady w 2020 roku: 734 tys. zł </w:t>
      </w:r>
    </w:p>
    <w:p w:rsidR="008C7751" w:rsidRPr="00E00B35" w:rsidRDefault="008C7751" w:rsidP="00E00B35">
      <w:pPr>
        <w:pStyle w:val="Tekstpodstawowy"/>
        <w:suppressAutoHyphens/>
        <w:spacing w:after="0" w:line="312" w:lineRule="auto"/>
        <w:rPr>
          <w:szCs w:val="20"/>
        </w:rPr>
      </w:pPr>
      <w:r w:rsidRPr="00E00B35">
        <w:rPr>
          <w:szCs w:val="20"/>
        </w:rPr>
        <w:t>Równania nawierzchni nieutwardzonych</w:t>
      </w:r>
    </w:p>
    <w:p w:rsidR="008C7751" w:rsidRPr="00E00B35" w:rsidRDefault="008C7751" w:rsidP="00E00B35">
      <w:pPr>
        <w:suppressAutoHyphens/>
        <w:spacing w:after="0" w:line="312" w:lineRule="auto"/>
        <w:rPr>
          <w:szCs w:val="20"/>
        </w:rPr>
      </w:pPr>
      <w:r w:rsidRPr="00E00B35">
        <w:rPr>
          <w:szCs w:val="20"/>
        </w:rPr>
        <w:t xml:space="preserve">W 2020 roku wykonano: </w:t>
      </w:r>
    </w:p>
    <w:p w:rsidR="008C7751" w:rsidRPr="00E00B35" w:rsidRDefault="008C7751" w:rsidP="00E00B35">
      <w:pPr>
        <w:suppressAutoHyphens/>
        <w:spacing w:after="0" w:line="312" w:lineRule="auto"/>
        <w:rPr>
          <w:szCs w:val="20"/>
        </w:rPr>
      </w:pPr>
      <w:r w:rsidRPr="00E00B35">
        <w:rPr>
          <w:szCs w:val="20"/>
        </w:rPr>
        <w:t>Równania na powierzchni 11 292,31 m², za kwotę 553 tys. zł na terenie:</w:t>
      </w:r>
    </w:p>
    <w:p w:rsidR="008C7751" w:rsidRPr="00E00B35" w:rsidRDefault="008C7751" w:rsidP="00E00B35">
      <w:pPr>
        <w:pStyle w:val="Tekstpodstawowy"/>
        <w:numPr>
          <w:ilvl w:val="0"/>
          <w:numId w:val="54"/>
        </w:numPr>
        <w:suppressAutoHyphens/>
        <w:spacing w:after="0" w:line="312" w:lineRule="auto"/>
        <w:ind w:left="567" w:hanging="567"/>
        <w:rPr>
          <w:szCs w:val="20"/>
        </w:rPr>
      </w:pPr>
      <w:r w:rsidRPr="00E00B35">
        <w:rPr>
          <w:szCs w:val="20"/>
        </w:rPr>
        <w:t>Dzielnicy Krzyki 4 382,25 m² (ulice: Nektarowa, Babiego Lata, Pogodna, Zabrzańska, Na Niskich Łąkach-Łącznik, Radkowska, Sarnia);</w:t>
      </w:r>
    </w:p>
    <w:p w:rsidR="008C7751" w:rsidRPr="00E00B35" w:rsidRDefault="008C7751" w:rsidP="00E00B35">
      <w:pPr>
        <w:pStyle w:val="Tekstpodstawowy"/>
        <w:numPr>
          <w:ilvl w:val="0"/>
          <w:numId w:val="54"/>
        </w:numPr>
        <w:suppressAutoHyphens/>
        <w:spacing w:after="0" w:line="312" w:lineRule="auto"/>
        <w:ind w:left="567" w:hanging="567"/>
        <w:rPr>
          <w:szCs w:val="20"/>
        </w:rPr>
      </w:pPr>
      <w:r w:rsidRPr="00E00B35">
        <w:rPr>
          <w:szCs w:val="20"/>
        </w:rPr>
        <w:t>Dzielnicy Psie Pole 1 961,70 m² (ulice: Gostyńska, Zamkowa, Załęże, Meliorancka Południowa, Pawłowicka, Sołtysowicka, Spacerowa);</w:t>
      </w:r>
    </w:p>
    <w:p w:rsidR="008C7751" w:rsidRPr="00E00B35" w:rsidRDefault="008C7751" w:rsidP="00E00B35">
      <w:pPr>
        <w:pStyle w:val="Tekstpodstawowy"/>
        <w:numPr>
          <w:ilvl w:val="0"/>
          <w:numId w:val="54"/>
        </w:numPr>
        <w:suppressAutoHyphens/>
        <w:spacing w:after="0" w:line="312" w:lineRule="auto"/>
        <w:ind w:left="567" w:hanging="567"/>
        <w:rPr>
          <w:szCs w:val="20"/>
        </w:rPr>
      </w:pPr>
      <w:r w:rsidRPr="00E00B35">
        <w:rPr>
          <w:szCs w:val="20"/>
        </w:rPr>
        <w:t>Dzielnicy Fabryczna 4 948,36 m² (ulice: Jordanowska, Starograniczna, Łukowska, Białostocka, Miodowa, Zagłoby Onufrego, Lubska, Żarska, Sulistrowska, Szczecińska-sięgacz, Grabiszyńska-sięgacz, Urbanowicza, Stodolna, Modrzewiowa, Przednia, Nadrzeczna, Klecińska- sięgacz).</w:t>
      </w:r>
    </w:p>
    <w:p w:rsidR="00C220F1" w:rsidRPr="00E00B35" w:rsidRDefault="00C220F1" w:rsidP="00E00B35">
      <w:pPr>
        <w:pStyle w:val="Tekstpodstawowy"/>
        <w:suppressAutoHyphens/>
        <w:spacing w:after="0" w:line="312" w:lineRule="auto"/>
        <w:ind w:left="567"/>
        <w:rPr>
          <w:szCs w:val="20"/>
        </w:rPr>
      </w:pPr>
    </w:p>
    <w:p w:rsidR="008C7751" w:rsidRPr="00E00B35" w:rsidRDefault="008C7751" w:rsidP="00E00B35">
      <w:pPr>
        <w:pStyle w:val="Bezodstpw"/>
        <w:numPr>
          <w:ilvl w:val="1"/>
          <w:numId w:val="67"/>
        </w:numPr>
        <w:spacing w:line="312" w:lineRule="auto"/>
        <w:ind w:left="567" w:hanging="567"/>
        <w:rPr>
          <w:rFonts w:ascii="Verdana" w:hAnsi="Verdana"/>
          <w:b/>
          <w:sz w:val="20"/>
          <w:szCs w:val="20"/>
        </w:rPr>
      </w:pPr>
      <w:r w:rsidRPr="00E00B35">
        <w:rPr>
          <w:rFonts w:ascii="Verdana" w:hAnsi="Verdana"/>
          <w:b/>
          <w:sz w:val="20"/>
          <w:szCs w:val="20"/>
        </w:rPr>
        <w:t>Ścinka poboczy</w:t>
      </w:r>
    </w:p>
    <w:p w:rsidR="008C7751" w:rsidRPr="00E00B35" w:rsidRDefault="008C7751" w:rsidP="00E00B35">
      <w:pPr>
        <w:suppressAutoHyphens/>
        <w:spacing w:after="0" w:line="312" w:lineRule="auto"/>
        <w:rPr>
          <w:szCs w:val="20"/>
        </w:rPr>
      </w:pPr>
      <w:r w:rsidRPr="00E00B35">
        <w:rPr>
          <w:szCs w:val="20"/>
        </w:rPr>
        <w:t xml:space="preserve">W 2020 roku zrealizowano: </w:t>
      </w:r>
    </w:p>
    <w:p w:rsidR="008C7751" w:rsidRPr="00E00B35" w:rsidRDefault="008C7751" w:rsidP="00E00B35">
      <w:pPr>
        <w:suppressAutoHyphens/>
        <w:spacing w:after="0" w:line="312" w:lineRule="auto"/>
        <w:rPr>
          <w:szCs w:val="20"/>
        </w:rPr>
      </w:pPr>
      <w:r w:rsidRPr="00E00B35">
        <w:rPr>
          <w:szCs w:val="20"/>
        </w:rPr>
        <w:t>Ścinkę poboczy na powierzchni 5 395,85 m², na którą przeznaczono w budżecie 2020 roku kwotę 181 tys. zł, na terenie:</w:t>
      </w:r>
    </w:p>
    <w:p w:rsidR="008C7751" w:rsidRPr="00E00B35" w:rsidRDefault="008C7751" w:rsidP="00E00B35">
      <w:pPr>
        <w:pStyle w:val="Tekstpodstawowy"/>
        <w:numPr>
          <w:ilvl w:val="0"/>
          <w:numId w:val="55"/>
        </w:numPr>
        <w:suppressAutoHyphens/>
        <w:spacing w:after="0" w:line="312" w:lineRule="auto"/>
        <w:ind w:left="567" w:hanging="567"/>
        <w:rPr>
          <w:szCs w:val="20"/>
        </w:rPr>
      </w:pPr>
      <w:r w:rsidRPr="00E00B35">
        <w:rPr>
          <w:szCs w:val="20"/>
        </w:rPr>
        <w:t>Dzielnicy Psie Pole 1 950 m² (w ulicach: Widawskiej, Okulickiego);</w:t>
      </w:r>
    </w:p>
    <w:p w:rsidR="008C7751" w:rsidRPr="00E00B35" w:rsidRDefault="008C7751" w:rsidP="00E00B35">
      <w:pPr>
        <w:pStyle w:val="Tekstpodstawowy"/>
        <w:numPr>
          <w:ilvl w:val="0"/>
          <w:numId w:val="55"/>
        </w:numPr>
        <w:suppressAutoHyphens/>
        <w:spacing w:after="0" w:line="312" w:lineRule="auto"/>
        <w:ind w:left="567" w:hanging="567"/>
        <w:rPr>
          <w:szCs w:val="20"/>
        </w:rPr>
      </w:pPr>
      <w:r w:rsidRPr="00E00B35">
        <w:rPr>
          <w:szCs w:val="20"/>
        </w:rPr>
        <w:t>Dzielnicy Fabryczna 2 677,60 m² (w ulicach: Kosmonautów, Piołunowej, Szczecińskiej - sięgacz);</w:t>
      </w:r>
    </w:p>
    <w:p w:rsidR="008C7751" w:rsidRPr="00E00B35" w:rsidRDefault="008C7751" w:rsidP="00E00B35">
      <w:pPr>
        <w:pStyle w:val="Tekstpodstawowy"/>
        <w:numPr>
          <w:ilvl w:val="0"/>
          <w:numId w:val="55"/>
        </w:numPr>
        <w:suppressAutoHyphens/>
        <w:spacing w:after="0" w:line="312" w:lineRule="auto"/>
        <w:ind w:left="567" w:hanging="567"/>
        <w:rPr>
          <w:szCs w:val="20"/>
        </w:rPr>
      </w:pPr>
      <w:r w:rsidRPr="00E00B35">
        <w:rPr>
          <w:szCs w:val="20"/>
        </w:rPr>
        <w:t>Dzielnicy Krzyki 768,25 m² (w ulicach: Pięćdziesięciu Bohaterów, Mościckiego).</w:t>
      </w:r>
    </w:p>
    <w:p w:rsidR="00C536B9" w:rsidRPr="00E00B35" w:rsidRDefault="00C536B9" w:rsidP="00E00B35">
      <w:pPr>
        <w:pStyle w:val="Tekstpodstawowy"/>
        <w:suppressAutoHyphens/>
        <w:spacing w:after="0" w:line="312" w:lineRule="auto"/>
        <w:ind w:left="567"/>
        <w:rPr>
          <w:szCs w:val="20"/>
        </w:r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53</w:t>
      </w:r>
      <w:r w:rsidR="00573162" w:rsidRPr="00E00B35">
        <w:rPr>
          <w:b/>
          <w:sz w:val="20"/>
          <w:szCs w:val="20"/>
        </w:rPr>
        <w:fldChar w:fldCharType="end"/>
      </w:r>
      <w:r w:rsidRPr="00E00B35">
        <w:rPr>
          <w:sz w:val="20"/>
          <w:szCs w:val="20"/>
        </w:rPr>
        <w:t>. Ścinka poboczy ul. Kamieńskiego</w:t>
      </w:r>
    </w:p>
    <w:p w:rsidR="008C7751" w:rsidRPr="00E00B35" w:rsidRDefault="008C7751" w:rsidP="00E00B35">
      <w:pPr>
        <w:pStyle w:val="Tekstpodstawowy"/>
        <w:suppressAutoHyphens/>
        <w:spacing w:after="0" w:line="312" w:lineRule="auto"/>
        <w:rPr>
          <w:szCs w:val="20"/>
        </w:rPr>
      </w:pPr>
      <w:r w:rsidRPr="00E00B35">
        <w:rPr>
          <w:noProof/>
          <w:szCs w:val="20"/>
          <w:lang w:val="pl-PL" w:eastAsia="pl-PL" w:bidi="ar-SA"/>
        </w:rPr>
        <w:drawing>
          <wp:inline distT="0" distB="0" distL="0" distR="0">
            <wp:extent cx="3799484" cy="2849614"/>
            <wp:effectExtent l="19050" t="0" r="0" b="0"/>
            <wp:docPr id="81" name="Obraz 80" descr="Zdjęcie wykonane z perspektywy pasażera samochodu osobowego. Przed maską z prawej strony widać w części wykoszone pobocze drogi, pozostała część zarośnięta wysoką t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ścinka_poboczy_Kamieńskiewgo_po.JPG"/>
                    <pic:cNvPicPr/>
                  </pic:nvPicPr>
                  <pic:blipFill>
                    <a:blip r:embed="rId263" cstate="print"/>
                    <a:stretch>
                      <a:fillRect/>
                    </a:stretch>
                  </pic:blipFill>
                  <pic:spPr>
                    <a:xfrm>
                      <a:off x="0" y="0"/>
                      <a:ext cx="3801568" cy="2851177"/>
                    </a:xfrm>
                    <a:prstGeom prst="rect">
                      <a:avLst/>
                    </a:prstGeom>
                  </pic:spPr>
                </pic:pic>
              </a:graphicData>
            </a:graphic>
          </wp:inline>
        </w:drawing>
      </w:r>
    </w:p>
    <w:p w:rsidR="008C7751" w:rsidRPr="00E00B35" w:rsidRDefault="008C7751" w:rsidP="00E00B35">
      <w:pPr>
        <w:pStyle w:val="Tekstpodstawowy"/>
        <w:suppressAutoHyphens/>
        <w:spacing w:after="0" w:line="312" w:lineRule="auto"/>
        <w:rPr>
          <w:szCs w:val="20"/>
        </w:rPr>
      </w:pPr>
    </w:p>
    <w:p w:rsidR="008C7751" w:rsidRPr="00E00B35" w:rsidRDefault="008C7751" w:rsidP="00E00B35">
      <w:pPr>
        <w:pStyle w:val="Bezodstpw"/>
        <w:numPr>
          <w:ilvl w:val="1"/>
          <w:numId w:val="67"/>
        </w:numPr>
        <w:spacing w:line="312" w:lineRule="auto"/>
        <w:ind w:left="567" w:hanging="567"/>
        <w:rPr>
          <w:rFonts w:ascii="Verdana" w:hAnsi="Verdana"/>
          <w:b/>
          <w:sz w:val="20"/>
          <w:szCs w:val="20"/>
        </w:rPr>
      </w:pPr>
      <w:r w:rsidRPr="00E00B35">
        <w:rPr>
          <w:rFonts w:ascii="Verdana" w:hAnsi="Verdana"/>
          <w:b/>
          <w:sz w:val="20"/>
          <w:szCs w:val="20"/>
        </w:rPr>
        <w:t>Remonty obiektów inżynierskich</w:t>
      </w:r>
    </w:p>
    <w:p w:rsidR="008C7751" w:rsidRPr="00E00B35" w:rsidRDefault="008C7751" w:rsidP="00E00B35">
      <w:pPr>
        <w:pStyle w:val="Styl1NagwkiGwne"/>
        <w:spacing w:line="312" w:lineRule="auto"/>
        <w:jc w:val="left"/>
        <w:rPr>
          <w:b w:val="0"/>
        </w:rPr>
      </w:pPr>
      <w:r w:rsidRPr="00E00B35">
        <w:rPr>
          <w:b w:val="0"/>
        </w:rPr>
        <w:t xml:space="preserve">Cel zadania: </w:t>
      </w:r>
    </w:p>
    <w:p w:rsidR="008C7751" w:rsidRPr="00E00B35" w:rsidRDefault="008C7751" w:rsidP="00E00B35">
      <w:pPr>
        <w:pStyle w:val="Styl1NagwkiGwne"/>
        <w:spacing w:line="312" w:lineRule="auto"/>
        <w:jc w:val="left"/>
        <w:rPr>
          <w:b w:val="0"/>
        </w:rPr>
      </w:pPr>
      <w:r w:rsidRPr="00E00B35">
        <w:rPr>
          <w:b w:val="0"/>
        </w:rPr>
        <w:t>Naprawa i utrzymanie w niepogorszonym stanie obiektów inżynierskich.</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Poniesione nakłady w 2020 roku: 4 792 tys. zł</w:t>
      </w:r>
    </w:p>
    <w:p w:rsidR="008C7751" w:rsidRPr="00E00B35" w:rsidRDefault="008C7751" w:rsidP="00E00B35">
      <w:pPr>
        <w:pStyle w:val="Styl1NagwkiGwne"/>
        <w:spacing w:line="312" w:lineRule="auto"/>
        <w:jc w:val="left"/>
        <w:rPr>
          <w:b w:val="0"/>
        </w:rPr>
      </w:pPr>
    </w:p>
    <w:p w:rsidR="008C7751" w:rsidRPr="00E00B35" w:rsidRDefault="008C7751" w:rsidP="00E00B35">
      <w:pPr>
        <w:suppressAutoHyphens/>
        <w:spacing w:after="0" w:line="312" w:lineRule="auto"/>
        <w:rPr>
          <w:szCs w:val="20"/>
        </w:rPr>
      </w:pPr>
      <w:r w:rsidRPr="00E00B35">
        <w:rPr>
          <w:szCs w:val="20"/>
        </w:rPr>
        <w:t xml:space="preserve">W 2020 roku zrealizowano: </w:t>
      </w:r>
    </w:p>
    <w:p w:rsidR="008C7751" w:rsidRPr="00E00B35" w:rsidRDefault="008C7751" w:rsidP="00E00B35">
      <w:pPr>
        <w:suppressAutoHyphens/>
        <w:spacing w:after="0" w:line="312" w:lineRule="auto"/>
        <w:rPr>
          <w:szCs w:val="20"/>
        </w:rPr>
      </w:pPr>
      <w:r w:rsidRPr="00E00B35">
        <w:rPr>
          <w:szCs w:val="20"/>
        </w:rPr>
        <w:t xml:space="preserve">Bieżące i awaryjne remonty obiektów inżynierskich, które obejmowały: </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nowej izolacjo-nawierzchni na podjazdach kładki nad ulicą Na Ostatnim Groszu;</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Naprawę zabruków, rozbiórka uszkodzonego umocnienia stożków na Moście Chrobrego północnego;</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nawierzchni na chodnikach na Mostach Młyńskich;</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nawierzchni na wiadukcie w ciągu ul. Karkonoskiej;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cząstkowy nawierzchni chodnika oraz roboty interwencyjne związane z utrzymaniem obiektów na przejściu podziemnym ul. Oławska;</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cząstkowy nawierzchni bitumicznej na Moście Jagiellońskim północnym i południowym;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nawierzchni z kostki betonowej ciągu pieszego między przejściami podziemnymi 3 i 4 na pl. Społecznym;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Oczyszczenie sączków na Moście Grunwaldzkim;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elementów pomostu na Kładce Brochowskiej;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osłony wentylatora w tunelu samochodowym północnym w ciągu ul. Oławskiej;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odwodnienia liniowego oraz dojścia do przejścia podziemnego na ul. Młodych Techników;</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uszkodzonych elementów okładzin HPL w tunelu samochodowym południowym na pl. Dominikańskim;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lastRenderedPageBreak/>
        <w:t>Naprawę dylatacji w przejściu podziemnym na pl. Strzegomskim;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Instalację oświetleniowa LED w przejściu podziemnym nr 2 na pl. Społecznym;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kładek: Siedleckiej, nad al. Hallera, nad ul. Legnicką (Nabycińskiej);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rusztów żeliwnych na przejściu podziemnym Młodych Techników;</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izolacjo - nawierzchni na Moście Milenijnym;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dylatacji pozornych na Moście Milenijnym we Wrocławiu;</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krawężników granitowych na Moście Milenijnym;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nowych antykorozyjnych powłok malarskich na stalowych krawężnikach Mostów Mieszczańskich i Mostów Dmowskiego;</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krawężników na Moście Sikorskiego;</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uszkodzonych okładzin klinkierowych na ul. Osobowickiej;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Zabezpieczenie antykorozyjne balustrad na ul. Osobowickiej;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kamiennych okładzin na: murku na ul. Zaporoskiej, w przejściu podziemnym na pl. Strzegomskim, w przejściu podziemnym na pl. Jana Pawła II i przejściu podziemnym w ciągu ul. Młodych Techników;</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uszkodzonej balustrady na ul. Muchoborskiej;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nowych powłok malarskich na balustradach kładki Leśnickiej;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nowej powłoki antykorozyjnej betonowych konstrukcji kładki Leśnickiej;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uszkodzonych balustrad stalowych na przepuście na ul. Maślickiej;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umocnienia stożków przy kładce Żernickiej;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cząstkowy nawierzchni bitumicznej na estakadach Gądowianka, Klecińskich, Moście Marszowickim, Mostach Średzkich;</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cząstkowy stropów w przejściu podziemnym na pl. Jana Pawła II;</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nawierzchni Mostu Klecińskiego;</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zabezpieczenia antykorozyjnego balustrad stalowych;</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Naprawę odwodnienia na estakadzie Milenijnej prawobrzeżnej;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balustrady na ul. Kunickiego;</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dylatacji na moście Marszowickim oraz wiadukcie w ciągu ul. Lotniczej;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przyczółka na prawobrzeżnej estakadzie mostu Milenijnego;</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Mostu Zalipie;</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Montaż balustrad przy moście na ul. Dekarskiej;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Uszczelnienie szczelin na mostach Średzkich;</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osłony wentylatora w tunelu północnym na pl. Dominikańskim;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kładek Grudziądzkich;</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Czyszczenie sączków na Moście Grunwaldzkim;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nawierzchni z kostki betonowej między przejściem nr 2 i nr 3 na pl. Społecznym;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płyt chodnikowych wraz z kostką kamienną, naprawę balustrady, wykonanie powłok PCC, betonowanie skrzydeł na moście w ciągu ul. Piotra Skargi;</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nowej nawierzchni z żywicy na Kładce Słodowej;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nowego włazu ze stali na Moście Zwierzynieckim;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zabruków, malowanie balustrad, malowanie powierzchni betonowych na Moście Świątnickim;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lastRenderedPageBreak/>
        <w:t>Naprawę balustrady, betonowanie umocnienia brzegu, wykonanie nowych powłok na powierzchniach betonowych, uzupełnienie zadruków stożków na Moście Żabia ścieżka,</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Malowanie balustrad, malowanie powierzchni betonowych, naprawa dylatacji pionowych, wykonanie nowej izolacji z papy, wykonanie warstwy wiążącej z asfaltu twardo lanego, wycinanie nawierzchni ścieralnej na obiekcie i dojazdach, reprofilacja ubytków zaprawami PCC na Moście Sołtysowickim;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Remont kapitalny kładki Opatowickiej;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antykorozji betonu na Moście Oporowskim;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antykorozji konstrukcji stalowej na Moście Oporowskim;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pokryw dylatacji na mostach Jagielońskim i Trzebnickim;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Reprofilację ubytków zaprawami PCC, wykonanie powłok malarskich elementów betonowych, antykorozję balustrad, remont nawierzchni asfaltowej, uszczelnienie rys na Moście Kłokoczyckim;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obudowy stalowej nad wejściem do przejścia, wykonanie nowego muru oporowego od strony jezdni w Bramie Oławskiej;</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Naprawę płytek betonowych na Moście Uniwersyteckim;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Naprawy nawierzchni, uszczelnienie rys w nawierzchni na estakadzie w ciągu al. Jana III Sobieskiego;</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Naprawę drobnych uszkodzeń przy pomocy zapraw PCC na kładce dla pieszych nad ul. Wróblewskiego;</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spoinowania zabruków, wykonanie obrzeży, wymianę krawężników kamiennych, wykonanie antykorozji balustrad, reprofilacja ubytków zaprawami PCC, malowanie powierzchni betonowych, wykonanie dylatacji pozornych, wymianę uszkodzonych balustrad na Moście Polanowickim;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nawierzchni z żywic na chodniku, wymianę nawierzchni z kostki, reprofilacja ubytków zaprawami PCC na Moście Warszawskim;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okładzin kamiennych na chodniku na Moście Słodowym;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spoinowania zadruków, malowanie balustrad, malowanie powierzchni betonowych, wykonanie dylatacji pozornych, wymianę uszkodzonych balustrad na Moście Pawłowickim;</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Wymianę spalonego pomostu na Moście Świętej Klary;</w:t>
      </w:r>
    </w:p>
    <w:p w:rsidR="008C7751" w:rsidRPr="00E00B35" w:rsidRDefault="008C7751" w:rsidP="00E00B35">
      <w:pPr>
        <w:pStyle w:val="Tekstpodstawowy"/>
        <w:numPr>
          <w:ilvl w:val="0"/>
          <w:numId w:val="56"/>
        </w:numPr>
        <w:suppressAutoHyphens/>
        <w:spacing w:after="0" w:line="312" w:lineRule="auto"/>
        <w:ind w:left="567" w:hanging="567"/>
        <w:rPr>
          <w:szCs w:val="20"/>
        </w:rPr>
      </w:pPr>
      <w:r w:rsidRPr="00E00B35">
        <w:rPr>
          <w:szCs w:val="20"/>
        </w:rPr>
        <w:t>Wykonanie nowych pokryw stalowych włazów rewizyjnych na Moście Trzebnickim.</w:t>
      </w:r>
    </w:p>
    <w:p w:rsidR="008C7751" w:rsidRPr="00E00B35" w:rsidRDefault="008C7751" w:rsidP="00E00B35">
      <w:pPr>
        <w:suppressAutoHyphens/>
        <w:spacing w:after="0" w:line="312" w:lineRule="auto"/>
        <w:rPr>
          <w:spacing w:val="14"/>
          <w:szCs w:val="20"/>
        </w:rPr>
      </w:pPr>
    </w:p>
    <w:p w:rsidR="008C7751" w:rsidRPr="00E00B35" w:rsidRDefault="008C7751" w:rsidP="00E00B35">
      <w:pPr>
        <w:suppressAutoHyphens/>
        <w:spacing w:after="0" w:line="312" w:lineRule="auto"/>
        <w:rPr>
          <w:spacing w:val="14"/>
          <w:szCs w:val="20"/>
        </w:rPr>
        <w:sectPr w:rsidR="008C7751" w:rsidRPr="00E00B35" w:rsidSect="008C7751">
          <w:type w:val="continuous"/>
          <w:pgSz w:w="11906" w:h="16838"/>
          <w:pgMar w:top="1417" w:right="1417" w:bottom="1417" w:left="1417" w:header="708" w:footer="708" w:gutter="0"/>
          <w:cols w:space="708"/>
          <w:docGrid w:linePitch="3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54</w:t>
      </w:r>
      <w:r w:rsidR="00573162" w:rsidRPr="00E00B35">
        <w:rPr>
          <w:b/>
          <w:sz w:val="20"/>
          <w:szCs w:val="20"/>
        </w:rPr>
        <w:fldChar w:fldCharType="end"/>
      </w:r>
      <w:r w:rsidRPr="00E00B35">
        <w:rPr>
          <w:sz w:val="20"/>
          <w:szCs w:val="20"/>
        </w:rPr>
        <w:t>. Kładka Siedlecka – przed</w:t>
      </w:r>
    </w:p>
    <w:p w:rsidR="008C7751" w:rsidRPr="00E00B35" w:rsidRDefault="008C7751" w:rsidP="00E00B35">
      <w:pPr>
        <w:spacing w:after="0" w:line="312" w:lineRule="auto"/>
        <w:rPr>
          <w:szCs w:val="20"/>
        </w:rPr>
      </w:pPr>
    </w:p>
    <w:p w:rsidR="008C7751" w:rsidRPr="00E00B35" w:rsidRDefault="008C7751" w:rsidP="00E00B35">
      <w:pPr>
        <w:suppressAutoHyphens/>
        <w:spacing w:after="0" w:line="312" w:lineRule="auto"/>
        <w:rPr>
          <w:spacing w:val="14"/>
          <w:szCs w:val="20"/>
        </w:rPr>
      </w:pPr>
      <w:r w:rsidRPr="00E00B35">
        <w:rPr>
          <w:noProof/>
          <w:spacing w:val="14"/>
          <w:szCs w:val="20"/>
          <w:lang w:val="pl-PL" w:eastAsia="pl-PL" w:bidi="ar-SA"/>
        </w:rPr>
        <w:lastRenderedPageBreak/>
        <w:drawing>
          <wp:inline distT="0" distB="0" distL="0" distR="0">
            <wp:extent cx="2841109" cy="2466753"/>
            <wp:effectExtent l="19050" t="0" r="0" b="0"/>
            <wp:docPr id="68" name="Obraz 33" descr="Drewniana kładka, nadjeżdżający po niej rowerzysta. Stan przed inwestycj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nty_inżynierskie_kładka_Siedlecka_przed.jpg"/>
                    <pic:cNvPicPr/>
                  </pic:nvPicPr>
                  <pic:blipFill>
                    <a:blip r:embed="rId264" cstate="print"/>
                    <a:srcRect r="13612"/>
                    <a:stretch>
                      <a:fillRect/>
                    </a:stretch>
                  </pic:blipFill>
                  <pic:spPr>
                    <a:xfrm>
                      <a:off x="0" y="0"/>
                      <a:ext cx="2841109" cy="2466753"/>
                    </a:xfrm>
                    <a:prstGeom prst="rect">
                      <a:avLst/>
                    </a:prstGeom>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55</w:t>
      </w:r>
      <w:r w:rsidR="00573162" w:rsidRPr="00E00B35">
        <w:rPr>
          <w:b/>
          <w:sz w:val="20"/>
          <w:szCs w:val="20"/>
        </w:rPr>
        <w:fldChar w:fldCharType="end"/>
      </w:r>
      <w:r w:rsidRPr="00E00B35">
        <w:rPr>
          <w:sz w:val="20"/>
          <w:szCs w:val="20"/>
        </w:rPr>
        <w:t>. Kładka siedlecka w trakcie prac</w:t>
      </w:r>
    </w:p>
    <w:p w:rsidR="008C7751" w:rsidRPr="00E00B35" w:rsidRDefault="008C7751" w:rsidP="00E00B35">
      <w:pPr>
        <w:suppressAutoHyphens/>
        <w:spacing w:after="0" w:line="312" w:lineRule="auto"/>
        <w:rPr>
          <w:spacing w:val="14"/>
          <w:szCs w:val="20"/>
        </w:rPr>
      </w:pPr>
      <w:r w:rsidRPr="00E00B35">
        <w:rPr>
          <w:noProof/>
          <w:spacing w:val="14"/>
          <w:szCs w:val="20"/>
          <w:lang w:val="pl-PL" w:eastAsia="pl-PL" w:bidi="ar-SA"/>
        </w:rPr>
        <w:drawing>
          <wp:inline distT="0" distB="0" distL="0" distR="0">
            <wp:extent cx="2828670" cy="2573079"/>
            <wp:effectExtent l="19050" t="0" r="0" b="0"/>
            <wp:docPr id="70" name="Obraz 42" descr="Zdjęcie kładki od spodu w trakcie prac, widać na nim wzmocnienia konstru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nty_inżynierskie_kładka_Siedlecka_w_trakcie_2.jpg"/>
                    <pic:cNvPicPr/>
                  </pic:nvPicPr>
                  <pic:blipFill>
                    <a:blip r:embed="rId265" cstate="print"/>
                    <a:stretch>
                      <a:fillRect/>
                    </a:stretch>
                  </pic:blipFill>
                  <pic:spPr>
                    <a:xfrm>
                      <a:off x="0" y="0"/>
                      <a:ext cx="2827990" cy="2572460"/>
                    </a:xfrm>
                    <a:prstGeom prst="rect">
                      <a:avLst/>
                    </a:prstGeom>
                  </pic:spPr>
                </pic:pic>
              </a:graphicData>
            </a:graphic>
          </wp:inline>
        </w:drawing>
      </w:r>
    </w:p>
    <w:p w:rsidR="008C7751" w:rsidRPr="00E00B35" w:rsidRDefault="008C7751" w:rsidP="00E00B35">
      <w:pPr>
        <w:suppressAutoHyphens/>
        <w:spacing w:after="0" w:line="312" w:lineRule="auto"/>
        <w:rPr>
          <w:spacing w:val="14"/>
          <w:szCs w:val="20"/>
        </w:rPr>
      </w:pPr>
    </w:p>
    <w:p w:rsidR="008C7751" w:rsidRPr="00E00B35" w:rsidRDefault="008C7751" w:rsidP="00E00B35">
      <w:pPr>
        <w:suppressAutoHyphens/>
        <w:spacing w:after="0" w:line="312" w:lineRule="auto"/>
        <w:rPr>
          <w:spacing w:val="14"/>
          <w:szCs w:val="20"/>
        </w:rPr>
        <w:sectPr w:rsidR="008C7751" w:rsidRPr="00E00B35" w:rsidSect="008C7751">
          <w:type w:val="continuous"/>
          <w:pgSz w:w="11906" w:h="16838"/>
          <w:pgMar w:top="1417" w:right="1417" w:bottom="1417" w:left="1417" w:header="708" w:footer="708" w:gutter="0"/>
          <w:cols w:num="2" w:space="708"/>
          <w:docGrid w:linePitch="3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56</w:t>
      </w:r>
      <w:r w:rsidR="00573162" w:rsidRPr="00E00B35">
        <w:rPr>
          <w:b/>
          <w:sz w:val="20"/>
          <w:szCs w:val="20"/>
        </w:rPr>
        <w:fldChar w:fldCharType="end"/>
      </w:r>
      <w:r w:rsidRPr="00E00B35">
        <w:rPr>
          <w:sz w:val="20"/>
          <w:szCs w:val="20"/>
        </w:rPr>
        <w:t>. Pomost na Moście Świętej Klary</w:t>
      </w:r>
    </w:p>
    <w:p w:rsidR="008C7751" w:rsidRPr="00E00B35" w:rsidRDefault="008C7751" w:rsidP="00E00B35">
      <w:pPr>
        <w:suppressAutoHyphens/>
        <w:spacing w:after="0" w:line="312" w:lineRule="auto"/>
        <w:rPr>
          <w:spacing w:val="14"/>
          <w:szCs w:val="20"/>
        </w:rPr>
      </w:pPr>
      <w:r w:rsidRPr="00E00B35">
        <w:rPr>
          <w:noProof/>
          <w:spacing w:val="14"/>
          <w:szCs w:val="20"/>
          <w:lang w:val="pl-PL" w:eastAsia="pl-PL" w:bidi="ar-SA"/>
        </w:rPr>
        <w:drawing>
          <wp:inline distT="0" distB="0" distL="0" distR="0">
            <wp:extent cx="5677104" cy="3733800"/>
            <wp:effectExtent l="19050" t="0" r="0" b="0"/>
            <wp:docPr id="74" name="Obraz 6" descr="Most po naprawie, wymianie nadpalonego fragmentu pomostu i bari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nty_inżynierskie_most_św_Klary_po.jpg"/>
                    <pic:cNvPicPr/>
                  </pic:nvPicPr>
                  <pic:blipFill>
                    <a:blip r:embed="rId266" cstate="print"/>
                    <a:srcRect t="12304" r="-4"/>
                    <a:stretch>
                      <a:fillRect/>
                    </a:stretch>
                  </pic:blipFill>
                  <pic:spPr>
                    <a:xfrm>
                      <a:off x="0" y="0"/>
                      <a:ext cx="5677104" cy="3733800"/>
                    </a:xfrm>
                    <a:prstGeom prst="rect">
                      <a:avLst/>
                    </a:prstGeom>
                  </pic:spPr>
                </pic:pic>
              </a:graphicData>
            </a:graphic>
          </wp:inline>
        </w:drawing>
      </w:r>
    </w:p>
    <w:p w:rsidR="008C7751" w:rsidRPr="00E00B35" w:rsidRDefault="008C7751" w:rsidP="00E00B35">
      <w:pPr>
        <w:suppressAutoHyphens/>
        <w:spacing w:after="0" w:line="312" w:lineRule="auto"/>
        <w:rPr>
          <w:spacing w:val="14"/>
          <w:szCs w:val="20"/>
        </w:rPr>
      </w:pPr>
    </w:p>
    <w:p w:rsidR="008C7751" w:rsidRPr="00E00B35" w:rsidRDefault="008C7751" w:rsidP="00E00B35">
      <w:pPr>
        <w:spacing w:after="0" w:line="312" w:lineRule="auto"/>
        <w:rPr>
          <w:spacing w:val="14"/>
          <w:szCs w:val="20"/>
        </w:rPr>
      </w:pPr>
      <w:r w:rsidRPr="00E00B35">
        <w:rPr>
          <w:spacing w:val="14"/>
          <w:szCs w:val="20"/>
        </w:rPr>
        <w:br w:type="page"/>
      </w:r>
    </w:p>
    <w:p w:rsidR="008C7751" w:rsidRPr="00E00B35" w:rsidRDefault="008C7751" w:rsidP="00E00B35">
      <w:pPr>
        <w:suppressAutoHyphens/>
        <w:spacing w:after="0" w:line="312" w:lineRule="auto"/>
        <w:rPr>
          <w:spacing w:val="14"/>
          <w:szCs w:val="20"/>
        </w:rPr>
        <w:sectPr w:rsidR="008C7751" w:rsidRPr="00E00B35" w:rsidSect="008C7751">
          <w:type w:val="continuous"/>
          <w:pgSz w:w="11906" w:h="16838"/>
          <w:pgMar w:top="1417" w:right="1417" w:bottom="1417" w:left="1417" w:header="708" w:footer="708" w:gutter="0"/>
          <w:cols w:space="708"/>
          <w:docGrid w:linePitch="360"/>
        </w:sectPr>
      </w:pPr>
    </w:p>
    <w:p w:rsidR="008C7751" w:rsidRPr="00E00B35" w:rsidRDefault="008C7751" w:rsidP="00E00B35">
      <w:pPr>
        <w:pStyle w:val="Nagwek4"/>
        <w:spacing w:before="0" w:after="0" w:line="312" w:lineRule="auto"/>
        <w:rPr>
          <w:sz w:val="20"/>
          <w:szCs w:val="20"/>
        </w:rPr>
      </w:pPr>
      <w:bookmarkStart w:id="987" w:name="_Toc66358370"/>
      <w:r w:rsidRPr="00E00B35">
        <w:rPr>
          <w:sz w:val="20"/>
          <w:szCs w:val="20"/>
        </w:rPr>
        <w:lastRenderedPageBreak/>
        <w:t>Zadania w zakresie konserwacji i utrzymania elementów inżynierii ruchu</w:t>
      </w:r>
      <w:bookmarkEnd w:id="987"/>
    </w:p>
    <w:p w:rsidR="008C7751" w:rsidRPr="00E00B35" w:rsidRDefault="008C7751" w:rsidP="00E00B35">
      <w:pPr>
        <w:pStyle w:val="Styl1NagwkiGwne"/>
        <w:spacing w:line="312" w:lineRule="auto"/>
        <w:jc w:val="left"/>
        <w:rPr>
          <w:b w:val="0"/>
        </w:rPr>
      </w:pPr>
      <w:r w:rsidRPr="00E00B35">
        <w:rPr>
          <w:b w:val="0"/>
        </w:rPr>
        <w:t xml:space="preserve">Cel zadania: </w:t>
      </w:r>
    </w:p>
    <w:p w:rsidR="008C7751" w:rsidRPr="00E00B35" w:rsidRDefault="008C7751" w:rsidP="00E00B35">
      <w:pPr>
        <w:pStyle w:val="Styl1NagwkiGwne"/>
        <w:spacing w:line="312" w:lineRule="auto"/>
        <w:jc w:val="left"/>
        <w:rPr>
          <w:b w:val="0"/>
        </w:rPr>
      </w:pPr>
      <w:r w:rsidRPr="00E00B35">
        <w:rPr>
          <w:b w:val="0"/>
        </w:rPr>
        <w:t xml:space="preserve">Zapewnienie bezpieczeństwa wszystkich uczestników ruchu. </w:t>
      </w:r>
    </w:p>
    <w:p w:rsidR="008C7751" w:rsidRPr="00E00B35" w:rsidRDefault="008C7751" w:rsidP="00E00B35">
      <w:pPr>
        <w:pStyle w:val="Styl1NagwkiGwne"/>
        <w:spacing w:line="312" w:lineRule="auto"/>
        <w:jc w:val="left"/>
        <w:rPr>
          <w:b w:val="0"/>
        </w:rPr>
      </w:pPr>
    </w:p>
    <w:p w:rsidR="008C7751" w:rsidRPr="00E00B35" w:rsidRDefault="008C7751" w:rsidP="00E00B35">
      <w:pPr>
        <w:pStyle w:val="Styl1NagwkiGwne"/>
        <w:spacing w:line="312" w:lineRule="auto"/>
        <w:jc w:val="left"/>
        <w:rPr>
          <w:b w:val="0"/>
        </w:rPr>
      </w:pPr>
      <w:r w:rsidRPr="00E00B35">
        <w:rPr>
          <w:b w:val="0"/>
        </w:rPr>
        <w:t>Poniesione nakłady w 2020 roku: 17 947,73 tys. zł</w:t>
      </w:r>
    </w:p>
    <w:p w:rsidR="008C7751" w:rsidRPr="00E00B35" w:rsidRDefault="008C7751" w:rsidP="00E00B35">
      <w:pPr>
        <w:pStyle w:val="Styl1NagwkiGwne"/>
        <w:spacing w:line="312" w:lineRule="auto"/>
        <w:jc w:val="left"/>
        <w:rPr>
          <w:b w:val="0"/>
        </w:rPr>
      </w:pPr>
    </w:p>
    <w:p w:rsidR="008C7751" w:rsidRPr="00E00B35" w:rsidRDefault="008C7751" w:rsidP="00E00B35">
      <w:pPr>
        <w:suppressAutoHyphens/>
        <w:spacing w:after="0" w:line="312" w:lineRule="auto"/>
        <w:rPr>
          <w:szCs w:val="20"/>
        </w:rPr>
      </w:pPr>
      <w:r w:rsidRPr="00E00B35">
        <w:rPr>
          <w:szCs w:val="20"/>
        </w:rPr>
        <w:t xml:space="preserve">W 2020 roku zrealizowano: </w:t>
      </w:r>
    </w:p>
    <w:p w:rsidR="008C7751" w:rsidRPr="00E00B35" w:rsidRDefault="008C7751" w:rsidP="00E00B35">
      <w:pPr>
        <w:pStyle w:val="Tekstpodstawowy"/>
        <w:numPr>
          <w:ilvl w:val="0"/>
          <w:numId w:val="57"/>
        </w:numPr>
        <w:suppressAutoHyphens/>
        <w:spacing w:after="0" w:line="312" w:lineRule="auto"/>
        <w:ind w:left="567" w:hanging="567"/>
        <w:rPr>
          <w:szCs w:val="20"/>
        </w:rPr>
      </w:pPr>
      <w:r w:rsidRPr="00E00B35">
        <w:rPr>
          <w:szCs w:val="20"/>
        </w:rPr>
        <w:t>Zadania w sferze opiniodawczej i nadzorczej w zakresie:</w:t>
      </w:r>
    </w:p>
    <w:p w:rsidR="008C7751" w:rsidRPr="00E00B35" w:rsidRDefault="008C7751" w:rsidP="00BC64AB">
      <w:pPr>
        <w:pStyle w:val="Tekstpodstawowy"/>
        <w:numPr>
          <w:ilvl w:val="0"/>
          <w:numId w:val="239"/>
        </w:numPr>
        <w:suppressAutoHyphens/>
        <w:spacing w:after="0" w:line="312" w:lineRule="auto"/>
        <w:ind w:left="993" w:hanging="426"/>
        <w:rPr>
          <w:szCs w:val="20"/>
        </w:rPr>
      </w:pPr>
      <w:r w:rsidRPr="00E00B35">
        <w:rPr>
          <w:szCs w:val="20"/>
        </w:rPr>
        <w:t>właściwej koordynacji całości zagadnień związanych z problematyką inżynierii ruchu,</w:t>
      </w:r>
    </w:p>
    <w:p w:rsidR="008C7751" w:rsidRPr="00E00B35" w:rsidRDefault="008C7751" w:rsidP="00BC64AB">
      <w:pPr>
        <w:pStyle w:val="Tekstpodstawowy"/>
        <w:numPr>
          <w:ilvl w:val="0"/>
          <w:numId w:val="239"/>
        </w:numPr>
        <w:suppressAutoHyphens/>
        <w:spacing w:after="0" w:line="312" w:lineRule="auto"/>
        <w:ind w:left="993" w:hanging="426"/>
        <w:rPr>
          <w:szCs w:val="20"/>
        </w:rPr>
      </w:pPr>
      <w:r w:rsidRPr="00E00B35">
        <w:rPr>
          <w:szCs w:val="20"/>
        </w:rPr>
        <w:t>opiniowania dokumentacji projektowych w zakresie inżynierii ruchu,</w:t>
      </w:r>
    </w:p>
    <w:p w:rsidR="008C7751" w:rsidRPr="00E00B35" w:rsidRDefault="008C7751" w:rsidP="00BC64AB">
      <w:pPr>
        <w:pStyle w:val="Tekstpodstawowy"/>
        <w:numPr>
          <w:ilvl w:val="0"/>
          <w:numId w:val="239"/>
        </w:numPr>
        <w:suppressAutoHyphens/>
        <w:spacing w:after="0" w:line="312" w:lineRule="auto"/>
        <w:ind w:left="993" w:hanging="426"/>
        <w:rPr>
          <w:szCs w:val="20"/>
        </w:rPr>
      </w:pPr>
      <w:r w:rsidRPr="00E00B35">
        <w:rPr>
          <w:szCs w:val="20"/>
        </w:rPr>
        <w:t>wprowadzania tymczasowych ograniczeń w ruchu drogowym,</w:t>
      </w:r>
    </w:p>
    <w:p w:rsidR="008C7751" w:rsidRPr="00E00B35" w:rsidRDefault="008C7751" w:rsidP="00BC64AB">
      <w:pPr>
        <w:pStyle w:val="Tekstpodstawowy"/>
        <w:numPr>
          <w:ilvl w:val="0"/>
          <w:numId w:val="239"/>
        </w:numPr>
        <w:suppressAutoHyphens/>
        <w:spacing w:after="0" w:line="312" w:lineRule="auto"/>
        <w:ind w:left="993" w:hanging="426"/>
        <w:rPr>
          <w:szCs w:val="20"/>
        </w:rPr>
      </w:pPr>
      <w:r w:rsidRPr="00E00B35">
        <w:rPr>
          <w:szCs w:val="20"/>
        </w:rPr>
        <w:t>wdrażania zmian w docelowym oznakowaniu,</w:t>
      </w:r>
    </w:p>
    <w:p w:rsidR="008C7751" w:rsidRPr="00E00B35" w:rsidRDefault="008C7751" w:rsidP="00BC64AB">
      <w:pPr>
        <w:pStyle w:val="Tekstpodstawowy"/>
        <w:numPr>
          <w:ilvl w:val="0"/>
          <w:numId w:val="239"/>
        </w:numPr>
        <w:suppressAutoHyphens/>
        <w:spacing w:after="0" w:line="312" w:lineRule="auto"/>
        <w:ind w:left="993" w:hanging="426"/>
        <w:rPr>
          <w:szCs w:val="20"/>
        </w:rPr>
      </w:pPr>
      <w:r w:rsidRPr="00E00B35">
        <w:rPr>
          <w:szCs w:val="20"/>
        </w:rPr>
        <w:t>inicjowania nowych rozwiązań szczegółowych bądź ogólnych (w tym nowych tras komunikacyjnych) wraz z niezbędnymi analizami ruchowymi,</w:t>
      </w:r>
    </w:p>
    <w:p w:rsidR="008C7751" w:rsidRPr="00E00B35" w:rsidRDefault="008C7751" w:rsidP="00BC64AB">
      <w:pPr>
        <w:pStyle w:val="Tekstpodstawowy"/>
        <w:numPr>
          <w:ilvl w:val="0"/>
          <w:numId w:val="239"/>
        </w:numPr>
        <w:suppressAutoHyphens/>
        <w:spacing w:after="0" w:line="312" w:lineRule="auto"/>
        <w:ind w:left="993" w:hanging="426"/>
        <w:rPr>
          <w:szCs w:val="20"/>
        </w:rPr>
      </w:pPr>
      <w:r w:rsidRPr="00E00B35">
        <w:rPr>
          <w:szCs w:val="20"/>
        </w:rPr>
        <w:t>monitorowania i oceniania wprowadzonych zmian w organizacji ruchu,</w:t>
      </w:r>
    </w:p>
    <w:p w:rsidR="008C7751" w:rsidRPr="00E00B35" w:rsidRDefault="008C7751" w:rsidP="00BC64AB">
      <w:pPr>
        <w:pStyle w:val="Tekstpodstawowy"/>
        <w:numPr>
          <w:ilvl w:val="0"/>
          <w:numId w:val="239"/>
        </w:numPr>
        <w:suppressAutoHyphens/>
        <w:spacing w:after="0" w:line="312" w:lineRule="auto"/>
        <w:ind w:left="993" w:hanging="426"/>
        <w:rPr>
          <w:szCs w:val="20"/>
        </w:rPr>
      </w:pPr>
      <w:r w:rsidRPr="00E00B35">
        <w:rPr>
          <w:szCs w:val="20"/>
        </w:rPr>
        <w:t>przygotowywania projektów doraźnych zmian w organizacji ruchu.</w:t>
      </w:r>
    </w:p>
    <w:p w:rsidR="008C7751" w:rsidRPr="00E00B35" w:rsidRDefault="008C7751" w:rsidP="00E00B35">
      <w:pPr>
        <w:pStyle w:val="Tekstpodstawowy"/>
        <w:numPr>
          <w:ilvl w:val="0"/>
          <w:numId w:val="57"/>
        </w:numPr>
        <w:suppressAutoHyphens/>
        <w:spacing w:after="0" w:line="312" w:lineRule="auto"/>
        <w:ind w:left="567" w:hanging="567"/>
        <w:rPr>
          <w:szCs w:val="20"/>
        </w:rPr>
      </w:pPr>
      <w:r w:rsidRPr="00E00B35">
        <w:rPr>
          <w:szCs w:val="20"/>
        </w:rPr>
        <w:t>W sferze eksploatacyjnej, w zakresie właściwej realizacji zadań wynikających z bieżących potrzeb miasta szczególny nacisk położono na efektywne wykorzystanie przyznanych środków finansowych. Główne grupy zadań w sferze eksploatacji to:</w:t>
      </w:r>
    </w:p>
    <w:p w:rsidR="008C7751" w:rsidRPr="00E00B35" w:rsidRDefault="008C7751" w:rsidP="00BC64AB">
      <w:pPr>
        <w:pStyle w:val="Tekstpodstawowy"/>
        <w:numPr>
          <w:ilvl w:val="0"/>
          <w:numId w:val="239"/>
        </w:numPr>
        <w:suppressAutoHyphens/>
        <w:spacing w:after="0" w:line="312" w:lineRule="auto"/>
        <w:ind w:left="993" w:hanging="426"/>
        <w:rPr>
          <w:szCs w:val="20"/>
        </w:rPr>
      </w:pPr>
      <w:r w:rsidRPr="00E00B35">
        <w:rPr>
          <w:szCs w:val="20"/>
        </w:rPr>
        <w:t>oznakowanie poziome – wykonano oznakowanie w technologii cienkowarstwowej (99 805 m2) i w technologii grubowarstwowej (17 961 m2),</w:t>
      </w:r>
    </w:p>
    <w:p w:rsidR="008C7751" w:rsidRPr="00E00B35" w:rsidRDefault="008C7751" w:rsidP="00BC64AB">
      <w:pPr>
        <w:pStyle w:val="Tekstpodstawowy"/>
        <w:numPr>
          <w:ilvl w:val="0"/>
          <w:numId w:val="239"/>
        </w:numPr>
        <w:suppressAutoHyphens/>
        <w:spacing w:after="0" w:line="312" w:lineRule="auto"/>
        <w:ind w:left="993" w:hanging="426"/>
        <w:rPr>
          <w:szCs w:val="20"/>
        </w:rPr>
      </w:pPr>
      <w:r w:rsidRPr="00E00B35">
        <w:rPr>
          <w:szCs w:val="20"/>
        </w:rPr>
        <w:t>oznakowanie pionowe – wdrożono strefy ruchu uspokojonego (4 lokalizacje), rozszerzono strefy ruchu i zamieszkania (11 lokalizacji), wprowadzono lokalne ograniczenia w ruchu pojazdów ciężarowych (8 lokalizacji), wyznaczono i oznakowano miejsca postojowe (72 lokalizacji), wyznaczono i doznakowano przejścia dla pieszych (15 lokalizacji), zabezpieczono awarie w pasie drogowym (718 szt.),</w:t>
      </w:r>
    </w:p>
    <w:p w:rsidR="008C7751" w:rsidRPr="00E00B35" w:rsidRDefault="008C7751" w:rsidP="00BC64AB">
      <w:pPr>
        <w:pStyle w:val="Tekstpodstawowy"/>
        <w:numPr>
          <w:ilvl w:val="0"/>
          <w:numId w:val="239"/>
        </w:numPr>
        <w:suppressAutoHyphens/>
        <w:spacing w:after="0" w:line="312" w:lineRule="auto"/>
        <w:ind w:left="993" w:hanging="426"/>
        <w:rPr>
          <w:szCs w:val="20"/>
        </w:rPr>
      </w:pPr>
      <w:r w:rsidRPr="00E00B35">
        <w:rPr>
          <w:szCs w:val="20"/>
        </w:rPr>
        <w:t>sygnalizacja świetlna – wdrożono zmiany w programach sygnalizacji (30 lokalizacji),</w:t>
      </w:r>
    </w:p>
    <w:p w:rsidR="008C7751" w:rsidRPr="00E00B35" w:rsidRDefault="008C7751" w:rsidP="00BC64AB">
      <w:pPr>
        <w:pStyle w:val="Tekstpodstawowy"/>
        <w:numPr>
          <w:ilvl w:val="0"/>
          <w:numId w:val="239"/>
        </w:numPr>
        <w:suppressAutoHyphens/>
        <w:spacing w:after="0" w:line="312" w:lineRule="auto"/>
        <w:ind w:left="993" w:hanging="426"/>
        <w:rPr>
          <w:szCs w:val="20"/>
        </w:rPr>
      </w:pPr>
      <w:r w:rsidRPr="00E00B35">
        <w:rPr>
          <w:szCs w:val="20"/>
        </w:rPr>
        <w:t>urządzenia bezpieczeństwa ruchu drogowego – wprowadzono nowe elementy zabezpieczeń (126 lokalizacji), wymieniono elementy zabezpieczenia ruchu (48 lokalizacji).</w:t>
      </w:r>
    </w:p>
    <w:p w:rsidR="008C7751" w:rsidRPr="00E00B35" w:rsidRDefault="008C7751" w:rsidP="00E00B35">
      <w:pPr>
        <w:pStyle w:val="Akapitzlist"/>
        <w:spacing w:after="0" w:line="312" w:lineRule="auto"/>
        <w:ind w:left="1276"/>
        <w:rPr>
          <w:szCs w:val="20"/>
        </w:rPr>
      </w:pPr>
    </w:p>
    <w:p w:rsidR="008C7751" w:rsidRPr="00E00B35" w:rsidRDefault="008C7751" w:rsidP="00E00B35">
      <w:pPr>
        <w:pStyle w:val="Tekstpodstawowy"/>
        <w:suppressAutoHyphens/>
        <w:spacing w:after="0" w:line="312" w:lineRule="auto"/>
        <w:rPr>
          <w:szCs w:val="20"/>
        </w:rPr>
      </w:pPr>
      <w:r w:rsidRPr="00E00B35">
        <w:rPr>
          <w:szCs w:val="20"/>
        </w:rPr>
        <w:t>Osiągnięto następujące efekty:</w:t>
      </w:r>
    </w:p>
    <w:p w:rsidR="008C7751" w:rsidRPr="00E00B35" w:rsidRDefault="008C7751" w:rsidP="00E00B35">
      <w:pPr>
        <w:pStyle w:val="Tekstpodstawowy"/>
        <w:suppressAutoHyphens/>
        <w:spacing w:after="0" w:line="312" w:lineRule="auto"/>
        <w:ind w:right="1"/>
        <w:rPr>
          <w:szCs w:val="20"/>
        </w:rPr>
      </w:pPr>
      <w:r w:rsidRPr="00E00B35">
        <w:rPr>
          <w:szCs w:val="20"/>
        </w:rPr>
        <w:t xml:space="preserve">Realizowane zadania przyczyniły się do poprawy bezpieczeństwa ruchu drogowego wszystkich jego uczestników oraz zmniejszania jego uciążliwości. </w:t>
      </w:r>
    </w:p>
    <w:p w:rsidR="007C72F2" w:rsidRPr="00E00B35" w:rsidRDefault="007C72F2" w:rsidP="00E00B35">
      <w:pPr>
        <w:pStyle w:val="Tekstpodstawowy"/>
        <w:suppressAutoHyphens/>
        <w:spacing w:after="0" w:line="312" w:lineRule="auto"/>
        <w:ind w:right="1"/>
        <w:rPr>
          <w:szCs w:val="20"/>
        </w:rPr>
      </w:pPr>
    </w:p>
    <w:p w:rsidR="008C7751" w:rsidRPr="00E00B35" w:rsidRDefault="008C7751" w:rsidP="00E00B35">
      <w:pPr>
        <w:pStyle w:val="Nagwek4"/>
        <w:spacing w:before="0" w:after="0" w:line="312" w:lineRule="auto"/>
        <w:rPr>
          <w:sz w:val="20"/>
          <w:szCs w:val="20"/>
        </w:rPr>
      </w:pPr>
      <w:bookmarkStart w:id="988" w:name="_Toc32318735"/>
      <w:bookmarkStart w:id="989" w:name="_Toc66358371"/>
      <w:r w:rsidRPr="00E00B35">
        <w:rPr>
          <w:sz w:val="20"/>
          <w:szCs w:val="20"/>
        </w:rPr>
        <w:t>Zadania w zakresie torowisk tramwajowych</w:t>
      </w:r>
      <w:bookmarkEnd w:id="988"/>
      <w:r w:rsidRPr="00E00B35">
        <w:rPr>
          <w:sz w:val="20"/>
          <w:szCs w:val="20"/>
        </w:rPr>
        <w:t xml:space="preserve"> i sieci trakcyjnej</w:t>
      </w:r>
      <w:bookmarkEnd w:id="989"/>
    </w:p>
    <w:p w:rsidR="008C7751" w:rsidRPr="00E00B35" w:rsidRDefault="008C7751" w:rsidP="00E00B35">
      <w:pPr>
        <w:pStyle w:val="Tekstpodstawowy"/>
        <w:suppressAutoHyphens/>
        <w:spacing w:after="0" w:line="312" w:lineRule="auto"/>
        <w:ind w:right="1"/>
        <w:rPr>
          <w:szCs w:val="20"/>
        </w:rPr>
      </w:pPr>
      <w:r w:rsidRPr="00E00B35">
        <w:rPr>
          <w:szCs w:val="20"/>
        </w:rPr>
        <w:t>Zarządzeniem Prezydenta Wrocławia nr 3541/20, z dnia 31 lipca 2020 r., spółce Miejskie Przedsiębiorstwo Komunikacyjne powierzono zadania polegające na bieżącym utrzymaniu i modernizacji torowisk tramwajowych służących do świadczenia usług w zakresie komunikacji tramwajowej. Zadania w zakresie konserwacji i utrzymania sieci trakcyjnej realizuje Zarząd Dróg i Utrzymania Miasta.</w:t>
      </w:r>
    </w:p>
    <w:p w:rsidR="008C7751" w:rsidRPr="00E00B35" w:rsidRDefault="008C7751" w:rsidP="00E00B35">
      <w:pPr>
        <w:pStyle w:val="Tekstpodstawowy"/>
        <w:suppressAutoHyphens/>
        <w:spacing w:after="0" w:line="312" w:lineRule="auto"/>
        <w:ind w:right="1"/>
        <w:rPr>
          <w:szCs w:val="20"/>
        </w:rPr>
      </w:pPr>
      <w:bookmarkStart w:id="990" w:name="__RefHeading___Toc32318736"/>
      <w:bookmarkEnd w:id="990"/>
    </w:p>
    <w:p w:rsidR="008C7751" w:rsidRPr="00E00B35" w:rsidRDefault="008C7751" w:rsidP="00E00B35">
      <w:pPr>
        <w:pStyle w:val="Tekstpodstawowy"/>
        <w:suppressAutoHyphens/>
        <w:spacing w:after="0" w:line="312" w:lineRule="auto"/>
        <w:ind w:right="1"/>
        <w:rPr>
          <w:szCs w:val="20"/>
        </w:rPr>
      </w:pPr>
      <w:r w:rsidRPr="00E00B35">
        <w:rPr>
          <w:szCs w:val="20"/>
        </w:rPr>
        <w:t>W roku 2020 wykonano pomiary elementów nawierzchni torowej tj. geometrii toru i szyn oraz pomiarów położenia bocznego i występowania uderzeń linii napowietrznej firmie Deutzer Technische Kohle GmbH, który zawiera:</w:t>
      </w:r>
    </w:p>
    <w:p w:rsidR="008C7751" w:rsidRPr="00E00B35" w:rsidRDefault="008C7751" w:rsidP="00BC64AB">
      <w:pPr>
        <w:pStyle w:val="Tekstpodstawowy"/>
        <w:numPr>
          <w:ilvl w:val="0"/>
          <w:numId w:val="239"/>
        </w:numPr>
        <w:suppressAutoHyphens/>
        <w:spacing w:after="0" w:line="312" w:lineRule="auto"/>
        <w:ind w:left="426" w:hanging="426"/>
        <w:rPr>
          <w:szCs w:val="20"/>
        </w:rPr>
      </w:pPr>
      <w:r w:rsidRPr="00E00B35">
        <w:rPr>
          <w:szCs w:val="20"/>
        </w:rPr>
        <w:t>pomiar geometrii położenia szyn (5 parametrów, modyfikacja kolejowych metod oceny torowiska);</w:t>
      </w:r>
    </w:p>
    <w:p w:rsidR="008C7751" w:rsidRPr="00E00B35" w:rsidRDefault="008C7751" w:rsidP="00BC64AB">
      <w:pPr>
        <w:pStyle w:val="Tekstpodstawowy"/>
        <w:numPr>
          <w:ilvl w:val="0"/>
          <w:numId w:val="239"/>
        </w:numPr>
        <w:suppressAutoHyphens/>
        <w:spacing w:after="0" w:line="312" w:lineRule="auto"/>
        <w:ind w:left="426" w:hanging="426"/>
        <w:rPr>
          <w:szCs w:val="20"/>
        </w:rPr>
      </w:pPr>
      <w:r w:rsidRPr="00E00B35">
        <w:rPr>
          <w:szCs w:val="20"/>
        </w:rPr>
        <w:t>zużycie szyn;</w:t>
      </w:r>
    </w:p>
    <w:p w:rsidR="008C7751" w:rsidRPr="00E00B35" w:rsidRDefault="008C7751" w:rsidP="00BC64AB">
      <w:pPr>
        <w:pStyle w:val="Tekstpodstawowy"/>
        <w:numPr>
          <w:ilvl w:val="0"/>
          <w:numId w:val="239"/>
        </w:numPr>
        <w:suppressAutoHyphens/>
        <w:spacing w:after="0" w:line="312" w:lineRule="auto"/>
        <w:ind w:left="426" w:hanging="426"/>
        <w:rPr>
          <w:szCs w:val="20"/>
        </w:rPr>
      </w:pPr>
      <w:r w:rsidRPr="00E00B35">
        <w:rPr>
          <w:szCs w:val="20"/>
        </w:rPr>
        <w:t>pomiar zygzakowania sieci trakcyjnej i wysokości przewodów jezdnych;</w:t>
      </w:r>
    </w:p>
    <w:p w:rsidR="008C7751" w:rsidRPr="00E00B35" w:rsidRDefault="008C7751" w:rsidP="00BC64AB">
      <w:pPr>
        <w:pStyle w:val="Tekstpodstawowy"/>
        <w:numPr>
          <w:ilvl w:val="0"/>
          <w:numId w:val="239"/>
        </w:numPr>
        <w:suppressAutoHyphens/>
        <w:spacing w:after="0" w:line="312" w:lineRule="auto"/>
        <w:ind w:left="426" w:hanging="426"/>
        <w:rPr>
          <w:szCs w:val="20"/>
        </w:rPr>
      </w:pPr>
      <w:r w:rsidRPr="00E00B35">
        <w:rPr>
          <w:szCs w:val="20"/>
        </w:rPr>
        <w:t xml:space="preserve">pomiar uderzeń między przewodami jezdnymi a listwami stykowymi. </w:t>
      </w:r>
    </w:p>
    <w:p w:rsidR="008C7751" w:rsidRPr="00E00B35" w:rsidRDefault="008C7751" w:rsidP="00E00B35">
      <w:pPr>
        <w:pStyle w:val="Tekstpodstawowy"/>
        <w:suppressAutoHyphens/>
        <w:spacing w:after="0" w:line="312" w:lineRule="auto"/>
        <w:ind w:right="1"/>
        <w:rPr>
          <w:szCs w:val="20"/>
        </w:rPr>
      </w:pPr>
      <w:r w:rsidRPr="00E00B35">
        <w:rPr>
          <w:szCs w:val="20"/>
        </w:rPr>
        <w:t>Powstała dokumentacja będzie podstawą do bieżącego utrzymania infrastruktury torowej oraz planowania inwestycji i remontów. Ponadto służyć będzie optymalnemu wykorzystaniu torowisk dla potrzeb miejskiej komunikacji tramwajowej.</w:t>
      </w:r>
    </w:p>
    <w:p w:rsidR="00C536B9" w:rsidRPr="00E00B35" w:rsidRDefault="00C536B9" w:rsidP="00E00B35">
      <w:pPr>
        <w:pStyle w:val="Tekstpodstawowy"/>
        <w:suppressAutoHyphens/>
        <w:spacing w:after="0" w:line="312" w:lineRule="auto"/>
        <w:ind w:right="1"/>
        <w:rPr>
          <w:szCs w:val="20"/>
        </w:rPr>
      </w:pPr>
    </w:p>
    <w:p w:rsidR="008C7751" w:rsidRPr="00E00B35" w:rsidRDefault="008C7751" w:rsidP="00E00B35">
      <w:pPr>
        <w:pStyle w:val="Bezodstpw"/>
        <w:numPr>
          <w:ilvl w:val="1"/>
          <w:numId w:val="53"/>
        </w:numPr>
        <w:spacing w:line="312" w:lineRule="auto"/>
        <w:ind w:left="567" w:hanging="567"/>
        <w:rPr>
          <w:rFonts w:ascii="Verdana" w:hAnsi="Verdana"/>
          <w:b/>
          <w:sz w:val="20"/>
          <w:szCs w:val="20"/>
        </w:rPr>
      </w:pPr>
      <w:r w:rsidRPr="00E00B35">
        <w:rPr>
          <w:rFonts w:ascii="Verdana" w:hAnsi="Verdana"/>
          <w:b/>
          <w:sz w:val="20"/>
          <w:szCs w:val="20"/>
        </w:rPr>
        <w:t>Modernizacja torowisk tramwajowych</w:t>
      </w:r>
    </w:p>
    <w:p w:rsidR="008C7751" w:rsidRPr="00E00B35" w:rsidRDefault="008C7751" w:rsidP="00E00B35">
      <w:pPr>
        <w:pStyle w:val="Tekstpodstawowy"/>
        <w:suppressAutoHyphens/>
        <w:spacing w:after="0" w:line="312" w:lineRule="auto"/>
        <w:rPr>
          <w:szCs w:val="20"/>
        </w:rPr>
      </w:pPr>
      <w:r w:rsidRPr="00E00B35">
        <w:rPr>
          <w:szCs w:val="20"/>
        </w:rPr>
        <w:t>W 2020 roku w ramach zadań modernizacyjnych, w celu podniesienia bezpieczeństwa w ruchu tramwajowym wykonano modernizacje w 12 lokalizacjach.</w:t>
      </w:r>
    </w:p>
    <w:p w:rsidR="008C7751" w:rsidRPr="00E00B35" w:rsidRDefault="008C7751" w:rsidP="00E00B35">
      <w:pPr>
        <w:spacing w:after="0" w:line="312" w:lineRule="auto"/>
        <w:rPr>
          <w:szCs w:val="20"/>
          <w:lang w:eastAsia="pl-PL"/>
        </w:rPr>
      </w:pPr>
      <w:r w:rsidRPr="00E00B35">
        <w:rPr>
          <w:rStyle w:val="pogrubienieZnak"/>
          <w:szCs w:val="20"/>
        </w:rPr>
        <w:t>Poniesione w 2020 roku nakłady:</w:t>
      </w:r>
      <w:r w:rsidRPr="00E00B35">
        <w:rPr>
          <w:szCs w:val="20"/>
        </w:rPr>
        <w:t xml:space="preserve"> </w:t>
      </w:r>
      <w:r w:rsidRPr="00E00B35">
        <w:rPr>
          <w:szCs w:val="20"/>
          <w:lang w:eastAsia="pl-PL"/>
        </w:rPr>
        <w:t>28</w:t>
      </w:r>
      <w:r w:rsidRPr="00E00B35">
        <w:rPr>
          <w:szCs w:val="20"/>
        </w:rPr>
        <w:t xml:space="preserve"> 088 tys. zł,</w:t>
      </w:r>
      <w:r w:rsidRPr="00E00B35">
        <w:rPr>
          <w:szCs w:val="20"/>
          <w:lang w:eastAsia="pl-PL"/>
        </w:rPr>
        <w:t xml:space="preserve"> w tym z Funduszu Inwestycji Lokalnych 11 693 tys. zł.</w:t>
      </w:r>
    </w:p>
    <w:p w:rsidR="008C7751" w:rsidRPr="00E00B35" w:rsidRDefault="008C7751" w:rsidP="00E00B35">
      <w:pPr>
        <w:spacing w:after="0" w:line="312" w:lineRule="auto"/>
        <w:rPr>
          <w:szCs w:val="20"/>
        </w:rPr>
      </w:pPr>
    </w:p>
    <w:p w:rsidR="008C7751" w:rsidRPr="00E00B35" w:rsidRDefault="008C7751" w:rsidP="00E00B35">
      <w:pPr>
        <w:suppressAutoHyphens/>
        <w:spacing w:after="0" w:line="312" w:lineRule="auto"/>
        <w:rPr>
          <w:szCs w:val="20"/>
        </w:rPr>
      </w:pPr>
      <w:r w:rsidRPr="00E00B35">
        <w:rPr>
          <w:szCs w:val="20"/>
        </w:rPr>
        <w:t xml:space="preserve">W 2020 roku zrealizowano: </w:t>
      </w:r>
    </w:p>
    <w:p w:rsidR="008C7751" w:rsidRPr="00E00B35" w:rsidRDefault="008C7751" w:rsidP="00E00B35">
      <w:pPr>
        <w:pStyle w:val="Tekstpodstawowy"/>
        <w:numPr>
          <w:ilvl w:val="0"/>
          <w:numId w:val="58"/>
        </w:numPr>
        <w:suppressAutoHyphens/>
        <w:spacing w:after="0" w:line="312" w:lineRule="auto"/>
        <w:ind w:left="567" w:hanging="567"/>
        <w:rPr>
          <w:szCs w:val="20"/>
        </w:rPr>
      </w:pPr>
      <w:r w:rsidRPr="00E00B35">
        <w:rPr>
          <w:szCs w:val="20"/>
        </w:rPr>
        <w:t>Wymianę szyn i rozjazdów – 8 894 mb;</w:t>
      </w:r>
    </w:p>
    <w:p w:rsidR="008C7751" w:rsidRPr="00E00B35" w:rsidRDefault="008C7751" w:rsidP="00E00B35">
      <w:pPr>
        <w:pStyle w:val="Tekstpodstawowy"/>
        <w:numPr>
          <w:ilvl w:val="0"/>
          <w:numId w:val="58"/>
        </w:numPr>
        <w:suppressAutoHyphens/>
        <w:spacing w:after="0" w:line="312" w:lineRule="auto"/>
        <w:ind w:left="567" w:hanging="567"/>
        <w:rPr>
          <w:szCs w:val="20"/>
        </w:rPr>
      </w:pPr>
      <w:r w:rsidRPr="00E00B35">
        <w:rPr>
          <w:szCs w:val="20"/>
        </w:rPr>
        <w:t>Wymianę zwrotnic – 18 szt.;</w:t>
      </w:r>
    </w:p>
    <w:p w:rsidR="008C7751" w:rsidRPr="00E00B35" w:rsidRDefault="008C7751" w:rsidP="00E00B35">
      <w:pPr>
        <w:pStyle w:val="Tekstpodstawowy"/>
        <w:numPr>
          <w:ilvl w:val="0"/>
          <w:numId w:val="58"/>
        </w:numPr>
        <w:suppressAutoHyphens/>
        <w:spacing w:after="0" w:line="312" w:lineRule="auto"/>
        <w:ind w:left="567" w:hanging="567"/>
        <w:rPr>
          <w:szCs w:val="20"/>
        </w:rPr>
      </w:pPr>
      <w:r w:rsidRPr="00E00B35">
        <w:rPr>
          <w:szCs w:val="20"/>
        </w:rPr>
        <w:t>Wymianę warstw podbudowy, wzmacnianie podtorza – 8 250 m</w:t>
      </w:r>
      <w:r w:rsidRPr="00E00B35">
        <w:rPr>
          <w:szCs w:val="20"/>
          <w:vertAlign w:val="superscript"/>
        </w:rPr>
        <w:t>2</w:t>
      </w:r>
      <w:r w:rsidRPr="00E00B35">
        <w:rPr>
          <w:szCs w:val="20"/>
        </w:rPr>
        <w:t>;</w:t>
      </w:r>
    </w:p>
    <w:p w:rsidR="008C7751" w:rsidRPr="00E00B35" w:rsidRDefault="008C7751" w:rsidP="00E00B35">
      <w:pPr>
        <w:pStyle w:val="Tekstpodstawowy"/>
        <w:numPr>
          <w:ilvl w:val="0"/>
          <w:numId w:val="58"/>
        </w:numPr>
        <w:suppressAutoHyphens/>
        <w:spacing w:after="0" w:line="312" w:lineRule="auto"/>
        <w:ind w:left="567" w:hanging="567"/>
        <w:rPr>
          <w:szCs w:val="20"/>
        </w:rPr>
      </w:pPr>
      <w:r w:rsidRPr="00E00B35">
        <w:rPr>
          <w:szCs w:val="20"/>
        </w:rPr>
        <w:t>Wymianę nawierzchni asfaltowej, bitumicznej i z kostki kamiennej – 4 760 m</w:t>
      </w:r>
      <w:r w:rsidRPr="00E00B35">
        <w:rPr>
          <w:szCs w:val="20"/>
          <w:vertAlign w:val="superscript"/>
        </w:rPr>
        <w:t>2</w:t>
      </w:r>
      <w:r w:rsidRPr="00E00B35">
        <w:rPr>
          <w:szCs w:val="20"/>
        </w:rPr>
        <w:t>;</w:t>
      </w:r>
    </w:p>
    <w:p w:rsidR="008C7751" w:rsidRPr="00E00B35" w:rsidRDefault="008C7751" w:rsidP="00E00B35">
      <w:pPr>
        <w:pStyle w:val="Tekstpodstawowy"/>
        <w:numPr>
          <w:ilvl w:val="0"/>
          <w:numId w:val="58"/>
        </w:numPr>
        <w:suppressAutoHyphens/>
        <w:spacing w:after="0" w:line="312" w:lineRule="auto"/>
        <w:ind w:left="567" w:hanging="567"/>
        <w:rPr>
          <w:szCs w:val="20"/>
        </w:rPr>
      </w:pPr>
      <w:r w:rsidRPr="00E00B35">
        <w:rPr>
          <w:szCs w:val="20"/>
        </w:rPr>
        <w:t>Napawanie szyn – 56,0 mb;</w:t>
      </w:r>
    </w:p>
    <w:p w:rsidR="008C7751" w:rsidRPr="00E00B35" w:rsidRDefault="008C7751" w:rsidP="00E00B35">
      <w:pPr>
        <w:pStyle w:val="Tekstpodstawowy"/>
        <w:numPr>
          <w:ilvl w:val="0"/>
          <w:numId w:val="58"/>
        </w:numPr>
        <w:suppressAutoHyphens/>
        <w:spacing w:after="0" w:line="312" w:lineRule="auto"/>
        <w:ind w:left="567" w:hanging="567"/>
        <w:rPr>
          <w:szCs w:val="20"/>
        </w:rPr>
      </w:pPr>
      <w:r w:rsidRPr="00E00B35">
        <w:rPr>
          <w:szCs w:val="20"/>
        </w:rPr>
        <w:t>Na ul. Żmigrodzkiej i al. Hallera powstały zielone torowiska o dł. 1 200 mb.</w:t>
      </w:r>
    </w:p>
    <w:p w:rsidR="008C7751" w:rsidRPr="00E00B35" w:rsidRDefault="008C7751" w:rsidP="00E00B35">
      <w:pPr>
        <w:pStyle w:val="pogrubienie0"/>
        <w:spacing w:before="0" w:line="312" w:lineRule="auto"/>
        <w:jc w:val="left"/>
        <w:rPr>
          <w:b w:val="0"/>
        </w:rPr>
      </w:pPr>
      <w:r w:rsidRPr="00E00B35">
        <w:rPr>
          <w:b w:val="0"/>
        </w:rPr>
        <w:t>Zadania zakończone:</w:t>
      </w:r>
    </w:p>
    <w:p w:rsidR="008C7751" w:rsidRPr="00E00B35" w:rsidRDefault="008C7751" w:rsidP="00E00B35">
      <w:pPr>
        <w:pStyle w:val="Tekstpodstawowy"/>
        <w:numPr>
          <w:ilvl w:val="0"/>
          <w:numId w:val="59"/>
        </w:numPr>
        <w:suppressAutoHyphens/>
        <w:spacing w:after="0" w:line="312" w:lineRule="auto"/>
        <w:ind w:left="567" w:hanging="567"/>
        <w:rPr>
          <w:szCs w:val="20"/>
        </w:rPr>
      </w:pPr>
      <w:r w:rsidRPr="00E00B35">
        <w:rPr>
          <w:szCs w:val="20"/>
        </w:rPr>
        <w:t>Wymiana dwóch rozjazdów na skrzyżowaniu ul. Piłsudskiego – Świdnicka;</w:t>
      </w:r>
    </w:p>
    <w:p w:rsidR="008C7751" w:rsidRPr="00E00B35" w:rsidRDefault="008C7751" w:rsidP="00E00B35">
      <w:pPr>
        <w:pStyle w:val="Tekstpodstawowy"/>
        <w:numPr>
          <w:ilvl w:val="0"/>
          <w:numId w:val="59"/>
        </w:numPr>
        <w:suppressAutoHyphens/>
        <w:spacing w:after="0" w:line="312" w:lineRule="auto"/>
        <w:ind w:left="567" w:hanging="567"/>
        <w:rPr>
          <w:szCs w:val="20"/>
        </w:rPr>
      </w:pPr>
      <w:r w:rsidRPr="00E00B35">
        <w:rPr>
          <w:szCs w:val="20"/>
        </w:rPr>
        <w:t>Wymiana rozjazdu i skrzyżowania torowego na pl. Dominikańskim - rozjazd od strony ul. Św. Katarzyny;</w:t>
      </w:r>
    </w:p>
    <w:p w:rsidR="008C7751" w:rsidRPr="00E00B35" w:rsidRDefault="008C7751" w:rsidP="00E00B35">
      <w:pPr>
        <w:pStyle w:val="Tekstpodstawowy"/>
        <w:numPr>
          <w:ilvl w:val="0"/>
          <w:numId w:val="59"/>
        </w:numPr>
        <w:suppressAutoHyphens/>
        <w:spacing w:after="0" w:line="312" w:lineRule="auto"/>
        <w:ind w:left="567" w:hanging="567"/>
        <w:rPr>
          <w:szCs w:val="20"/>
        </w:rPr>
      </w:pPr>
      <w:r w:rsidRPr="00E00B35">
        <w:rPr>
          <w:szCs w:val="20"/>
        </w:rPr>
        <w:t xml:space="preserve">Wymiana rozjazdu ul. Piotra Skargi - ul. Teatralna rozjazd od ul. Kołłątaja; </w:t>
      </w:r>
    </w:p>
    <w:p w:rsidR="008C7751" w:rsidRPr="00E00B35" w:rsidRDefault="008C7751" w:rsidP="00E00B35">
      <w:pPr>
        <w:pStyle w:val="Tekstpodstawowy"/>
        <w:numPr>
          <w:ilvl w:val="0"/>
          <w:numId w:val="59"/>
        </w:numPr>
        <w:suppressAutoHyphens/>
        <w:spacing w:after="0" w:line="312" w:lineRule="auto"/>
        <w:ind w:left="567" w:hanging="567"/>
        <w:rPr>
          <w:szCs w:val="20"/>
        </w:rPr>
      </w:pPr>
      <w:r w:rsidRPr="00E00B35">
        <w:rPr>
          <w:szCs w:val="20"/>
        </w:rPr>
        <w:t>Wymiana rozjazdu na skrzyżowaniu ul. Podwale - Krupnicza - Sądowa, rozjazd na ul. Podwale od ul. Muzealnej;</w:t>
      </w:r>
    </w:p>
    <w:p w:rsidR="008C7751" w:rsidRPr="00E00B35" w:rsidRDefault="008C7751" w:rsidP="00E00B35">
      <w:pPr>
        <w:pStyle w:val="Tekstpodstawowy"/>
        <w:numPr>
          <w:ilvl w:val="0"/>
          <w:numId w:val="59"/>
        </w:numPr>
        <w:suppressAutoHyphens/>
        <w:spacing w:after="0" w:line="312" w:lineRule="auto"/>
        <w:ind w:left="567" w:hanging="567"/>
        <w:rPr>
          <w:szCs w:val="20"/>
        </w:rPr>
      </w:pPr>
      <w:r w:rsidRPr="00E00B35">
        <w:rPr>
          <w:szCs w:val="20"/>
        </w:rPr>
        <w:t>Wymiana rozjazdu na skrzyżowaniu ul. Świdnicka - Podwale (rozjazd od strony Opery oraz od strony pl. Teatralnego);</w:t>
      </w:r>
    </w:p>
    <w:p w:rsidR="008C7751" w:rsidRPr="00E00B35" w:rsidRDefault="008C7751" w:rsidP="00E00B35">
      <w:pPr>
        <w:pStyle w:val="Tekstpodstawowy"/>
        <w:numPr>
          <w:ilvl w:val="0"/>
          <w:numId w:val="59"/>
        </w:numPr>
        <w:suppressAutoHyphens/>
        <w:spacing w:after="0" w:line="312" w:lineRule="auto"/>
        <w:ind w:left="567" w:hanging="567"/>
        <w:rPr>
          <w:szCs w:val="20"/>
        </w:rPr>
      </w:pPr>
      <w:r w:rsidRPr="00E00B35">
        <w:rPr>
          <w:szCs w:val="20"/>
        </w:rPr>
        <w:t xml:space="preserve">Wymiana nawierzchni w torach i rozjazdach na Rondzie Reagana; </w:t>
      </w:r>
    </w:p>
    <w:p w:rsidR="008C7751" w:rsidRPr="00E00B35" w:rsidRDefault="008C7751" w:rsidP="00E00B35">
      <w:pPr>
        <w:pStyle w:val="Tekstpodstawowy"/>
        <w:numPr>
          <w:ilvl w:val="0"/>
          <w:numId w:val="59"/>
        </w:numPr>
        <w:suppressAutoHyphens/>
        <w:spacing w:after="0" w:line="312" w:lineRule="auto"/>
        <w:ind w:left="567" w:hanging="567"/>
        <w:rPr>
          <w:szCs w:val="20"/>
        </w:rPr>
      </w:pPr>
      <w:r w:rsidRPr="00E00B35">
        <w:rPr>
          <w:szCs w:val="20"/>
        </w:rPr>
        <w:t>Remont nawierzchni w torowisku Pomorska - Reymonta;</w:t>
      </w:r>
    </w:p>
    <w:p w:rsidR="008C7751" w:rsidRPr="00E00B35" w:rsidRDefault="008C7751" w:rsidP="00E00B35">
      <w:pPr>
        <w:pStyle w:val="Tekstpodstawowy"/>
        <w:numPr>
          <w:ilvl w:val="0"/>
          <w:numId w:val="59"/>
        </w:numPr>
        <w:suppressAutoHyphens/>
        <w:spacing w:after="0" w:line="312" w:lineRule="auto"/>
        <w:ind w:left="567" w:hanging="567"/>
        <w:rPr>
          <w:szCs w:val="20"/>
        </w:rPr>
      </w:pPr>
      <w:r w:rsidRPr="00E00B35">
        <w:rPr>
          <w:szCs w:val="20"/>
        </w:rPr>
        <w:t>Remont torowiska w ul. Żmigrodzkiej na odcinku od ul. Bałtyckiej do ul. Broniewskiego + od ul. Broniewskiego do ul. Na polance;</w:t>
      </w:r>
    </w:p>
    <w:p w:rsidR="008C7751" w:rsidRPr="00E00B35" w:rsidRDefault="008C7751" w:rsidP="00E00B35">
      <w:pPr>
        <w:pStyle w:val="Tekstpodstawowy"/>
        <w:numPr>
          <w:ilvl w:val="0"/>
          <w:numId w:val="59"/>
        </w:numPr>
        <w:suppressAutoHyphens/>
        <w:spacing w:after="0" w:line="312" w:lineRule="auto"/>
        <w:ind w:left="567" w:hanging="567"/>
        <w:rPr>
          <w:szCs w:val="20"/>
        </w:rPr>
      </w:pPr>
      <w:r w:rsidRPr="00E00B35">
        <w:rPr>
          <w:szCs w:val="20"/>
        </w:rPr>
        <w:t xml:space="preserve">Remont pętli Zawalna; </w:t>
      </w:r>
    </w:p>
    <w:p w:rsidR="008C7751" w:rsidRPr="00E00B35" w:rsidRDefault="008C7751" w:rsidP="00E00B35">
      <w:pPr>
        <w:pStyle w:val="Tekstpodstawowy"/>
        <w:numPr>
          <w:ilvl w:val="0"/>
          <w:numId w:val="59"/>
        </w:numPr>
        <w:suppressAutoHyphens/>
        <w:spacing w:after="0" w:line="312" w:lineRule="auto"/>
        <w:ind w:left="567" w:hanging="567"/>
        <w:rPr>
          <w:szCs w:val="20"/>
        </w:rPr>
      </w:pPr>
      <w:r w:rsidRPr="00E00B35">
        <w:rPr>
          <w:szCs w:val="20"/>
        </w:rPr>
        <w:t xml:space="preserve">Remont ul. Hallera od ul. Ojca Beyzyma do ul. Mieleckiej; </w:t>
      </w:r>
    </w:p>
    <w:p w:rsidR="008C7751" w:rsidRPr="00E00B35" w:rsidRDefault="008C7751" w:rsidP="00E00B35">
      <w:pPr>
        <w:pStyle w:val="Tekstpodstawowy"/>
        <w:numPr>
          <w:ilvl w:val="0"/>
          <w:numId w:val="59"/>
        </w:numPr>
        <w:suppressAutoHyphens/>
        <w:spacing w:after="0" w:line="312" w:lineRule="auto"/>
        <w:ind w:left="567" w:hanging="567"/>
        <w:rPr>
          <w:szCs w:val="20"/>
        </w:rPr>
      </w:pPr>
      <w:r w:rsidRPr="00E00B35">
        <w:rPr>
          <w:szCs w:val="20"/>
        </w:rPr>
        <w:t>Remont skrzyżowania Peronowa - Piłsudskiego - Kołłątaja (tory) - realizacja w trybie „zaprojektuj i wybuduj”.</w:t>
      </w:r>
    </w:p>
    <w:p w:rsidR="008C7751" w:rsidRPr="00E00B35" w:rsidRDefault="008C7751" w:rsidP="00E00B35">
      <w:pPr>
        <w:pStyle w:val="Tekstpodstawowy2"/>
        <w:spacing w:after="0" w:line="312" w:lineRule="auto"/>
        <w:ind w:left="360"/>
        <w:rPr>
          <w:sz w:val="20"/>
          <w:szCs w:val="20"/>
        </w:rPr>
      </w:pPr>
    </w:p>
    <w:p w:rsidR="008C7751" w:rsidRPr="00E00B35" w:rsidRDefault="008C7751" w:rsidP="00E00B35">
      <w:pPr>
        <w:pStyle w:val="pogrubienie0"/>
        <w:spacing w:before="0" w:line="312" w:lineRule="auto"/>
        <w:jc w:val="left"/>
        <w:rPr>
          <w:b w:val="0"/>
        </w:rPr>
      </w:pPr>
      <w:r w:rsidRPr="00E00B35">
        <w:rPr>
          <w:b w:val="0"/>
        </w:rPr>
        <w:lastRenderedPageBreak/>
        <w:t xml:space="preserve">Zadania kontynuowane: </w:t>
      </w:r>
    </w:p>
    <w:p w:rsidR="008C7751" w:rsidRPr="00E00B35" w:rsidRDefault="008C7751" w:rsidP="00E00B35">
      <w:pPr>
        <w:pStyle w:val="pogrubienie0"/>
        <w:spacing w:before="0" w:line="312" w:lineRule="auto"/>
        <w:jc w:val="left"/>
        <w:rPr>
          <w:b w:val="0"/>
        </w:rPr>
      </w:pPr>
      <w:r w:rsidRPr="00E00B35">
        <w:rPr>
          <w:b w:val="0"/>
        </w:rPr>
        <w:t>Remont torowiska w ul. Olszewskiego od Wróblewskiego - Zajezdnia VI do pętli Biskupin wraz z pętlą Biskupin – termin zakończenia – marzec 2021 r.</w:t>
      </w:r>
    </w:p>
    <w:p w:rsidR="008C7751" w:rsidRPr="00E00B35" w:rsidRDefault="008C7751" w:rsidP="00E00B35">
      <w:pPr>
        <w:pStyle w:val="pogrubienie0"/>
        <w:spacing w:before="0" w:line="312" w:lineRule="auto"/>
        <w:jc w:val="left"/>
        <w:rPr>
          <w:b w:val="0"/>
          <w:bCs w:val="0"/>
        </w:rPr>
      </w:pPr>
      <w:r w:rsidRPr="00E00B35">
        <w:rPr>
          <w:b w:val="0"/>
          <w:bCs w:val="0"/>
        </w:rPr>
        <w:t>Zlecono opracowanie dokumentacji projektowych celem realizacji inwestycji w kolejnych latach.</w:t>
      </w:r>
    </w:p>
    <w:p w:rsidR="008C7751" w:rsidRPr="00E00B35" w:rsidRDefault="008C7751" w:rsidP="00E00B35">
      <w:pPr>
        <w:pStyle w:val="pogrubienie0"/>
        <w:spacing w:before="0" w:line="312" w:lineRule="auto"/>
        <w:jc w:val="left"/>
        <w:rPr>
          <w:b w:val="0"/>
          <w:bCs w:val="0"/>
        </w:rPr>
      </w:pPr>
    </w:p>
    <w:p w:rsidR="008C7751" w:rsidRPr="00E00B35" w:rsidRDefault="008C7751" w:rsidP="00E00B35">
      <w:pPr>
        <w:pStyle w:val="Legenda"/>
        <w:keepNext/>
        <w:spacing w:before="0" w:after="0" w:line="312" w:lineRule="auto"/>
        <w:rPr>
          <w:b/>
          <w:sz w:val="20"/>
          <w:szCs w:val="20"/>
        </w:rPr>
        <w:sectPr w:rsidR="008C7751" w:rsidRPr="00E00B35" w:rsidSect="008C7751">
          <w:type w:val="continuous"/>
          <w:pgSz w:w="11906" w:h="16838"/>
          <w:pgMar w:top="1417" w:right="1417" w:bottom="1417" w:left="1417" w:header="708" w:footer="708" w:gutter="0"/>
          <w:cols w:space="708"/>
          <w:docGrid w:linePitch="360"/>
        </w:sectPr>
      </w:pPr>
    </w:p>
    <w:p w:rsidR="008C7751" w:rsidRPr="00E00B35" w:rsidRDefault="008C7751" w:rsidP="00E00B35">
      <w:pPr>
        <w:pStyle w:val="Legenda"/>
        <w:keepNext/>
        <w:spacing w:before="0" w:after="0" w:line="312" w:lineRule="auto"/>
        <w:rPr>
          <w:b/>
          <w:sz w:val="20"/>
          <w:szCs w:val="20"/>
        </w:rPr>
      </w:pPr>
      <w:r w:rsidRPr="00E00B35">
        <w:rPr>
          <w:sz w:val="20"/>
          <w:szCs w:val="20"/>
        </w:rPr>
        <w:lastRenderedPageBreak/>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57</w:t>
      </w:r>
      <w:r w:rsidR="00573162" w:rsidRPr="00E00B35">
        <w:rPr>
          <w:b/>
          <w:sz w:val="20"/>
          <w:szCs w:val="20"/>
        </w:rPr>
        <w:fldChar w:fldCharType="end"/>
      </w:r>
      <w:r w:rsidRPr="00E00B35">
        <w:rPr>
          <w:sz w:val="20"/>
          <w:szCs w:val="20"/>
        </w:rPr>
        <w:t>. Remont torowiska skrzyżowania Peronowa - Piłsudskiego – Kołłątaja</w:t>
      </w:r>
    </w:p>
    <w:p w:rsidR="008C7751" w:rsidRPr="00E00B35" w:rsidRDefault="008C7751" w:rsidP="00E00B35">
      <w:pPr>
        <w:pStyle w:val="pogrubienie0"/>
        <w:spacing w:before="0" w:line="312" w:lineRule="auto"/>
        <w:jc w:val="left"/>
        <w:rPr>
          <w:b w:val="0"/>
        </w:rPr>
      </w:pPr>
      <w:r w:rsidRPr="00E00B35">
        <w:rPr>
          <w:b w:val="0"/>
          <w:noProof/>
          <w:lang w:eastAsia="pl-PL"/>
        </w:rPr>
        <w:drawing>
          <wp:inline distT="0" distB="0" distL="0" distR="0">
            <wp:extent cx="2851922" cy="2668772"/>
            <wp:effectExtent l="19050" t="0" r="5578" b="0"/>
            <wp:docPr id="78" name="Obraz 4" descr="Nadjeżdżający tramwaj typy Skoda, nowe torowisko, rozjazdy i krzyżownice. Torowisko przebiega wzdłuż jednej z głównych ulic Wrocławia, zabudowanej po obu stronach kamienicami, biurowc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7" cstate="print"/>
                    <a:srcRect l="18330" t="13295" r="37236" b="12680"/>
                    <a:stretch>
                      <a:fillRect/>
                    </a:stretch>
                  </pic:blipFill>
                  <pic:spPr bwMode="auto">
                    <a:xfrm>
                      <a:off x="0" y="0"/>
                      <a:ext cx="2851922" cy="2668772"/>
                    </a:xfrm>
                    <a:prstGeom prst="rect">
                      <a:avLst/>
                    </a:prstGeom>
                    <a:noFill/>
                    <a:ln w="9525">
                      <a:noFill/>
                      <a:miter lim="800000"/>
                      <a:headEnd/>
                      <a:tailEnd/>
                    </a:ln>
                  </pic:spPr>
                </pic:pic>
              </a:graphicData>
            </a:graphic>
          </wp:inline>
        </w:drawing>
      </w:r>
    </w:p>
    <w:p w:rsidR="008C7751" w:rsidRPr="00E00B35" w:rsidRDefault="008C7751" w:rsidP="00E00B35">
      <w:pPr>
        <w:pStyle w:val="Legenda"/>
        <w:keepNext/>
        <w:spacing w:before="0" w:after="0" w:line="312" w:lineRule="auto"/>
        <w:rPr>
          <w:b/>
          <w:sz w:val="20"/>
          <w:szCs w:val="20"/>
        </w:rPr>
      </w:pPr>
      <w:r w:rsidRPr="00E00B35">
        <w:rPr>
          <w:sz w:val="20"/>
          <w:szCs w:val="20"/>
        </w:rPr>
        <w:t xml:space="preserve">Fot. </w:t>
      </w:r>
      <w:r w:rsidR="00573162" w:rsidRPr="00E00B35">
        <w:rPr>
          <w:b/>
          <w:sz w:val="20"/>
          <w:szCs w:val="20"/>
        </w:rPr>
        <w:fldChar w:fldCharType="begin"/>
      </w:r>
      <w:r w:rsidRPr="00E00B35">
        <w:rPr>
          <w:sz w:val="20"/>
          <w:szCs w:val="20"/>
        </w:rPr>
        <w:instrText xml:space="preserve"> SEQ Fot. \* ARABIC </w:instrText>
      </w:r>
      <w:r w:rsidR="00573162" w:rsidRPr="00E00B35">
        <w:rPr>
          <w:b/>
          <w:sz w:val="20"/>
          <w:szCs w:val="20"/>
        </w:rPr>
        <w:fldChar w:fldCharType="separate"/>
      </w:r>
      <w:r w:rsidR="008C054F">
        <w:rPr>
          <w:noProof/>
          <w:sz w:val="20"/>
          <w:szCs w:val="20"/>
        </w:rPr>
        <w:t>58</w:t>
      </w:r>
      <w:r w:rsidR="00573162" w:rsidRPr="00E00B35">
        <w:rPr>
          <w:b/>
          <w:sz w:val="20"/>
          <w:szCs w:val="20"/>
        </w:rPr>
        <w:fldChar w:fldCharType="end"/>
      </w:r>
      <w:r w:rsidRPr="00E00B35">
        <w:rPr>
          <w:sz w:val="20"/>
          <w:szCs w:val="20"/>
        </w:rPr>
        <w:t>. Remont torowiska w ul. Żmigrodzkiej wraz zielonym torowiskiem</w:t>
      </w:r>
    </w:p>
    <w:p w:rsidR="008C7751" w:rsidRPr="00E00B35" w:rsidRDefault="008C7751" w:rsidP="00E00B35">
      <w:pPr>
        <w:pStyle w:val="pogrubienie0"/>
        <w:spacing w:before="0" w:line="312" w:lineRule="auto"/>
        <w:jc w:val="left"/>
        <w:rPr>
          <w:b w:val="0"/>
        </w:rPr>
      </w:pPr>
      <w:r w:rsidRPr="00E00B35">
        <w:rPr>
          <w:b w:val="0"/>
          <w:noProof/>
          <w:lang w:eastAsia="pl-PL"/>
        </w:rPr>
        <w:drawing>
          <wp:inline distT="0" distB="0" distL="0" distR="0">
            <wp:extent cx="2933700" cy="2638425"/>
            <wp:effectExtent l="19050" t="0" r="0" b="0"/>
            <wp:docPr id="79" name="Obraz 7" descr="Fragment torowiska obsadzonego trawą tzw. zielonego, wyciszonego oraz przejścia przez tory, wyłożonego kostką z udogodnieniami dla osób z niepełnosprawności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8" cstate="print"/>
                    <a:srcRect l="18550" t="15425" r="18670" b="6797"/>
                    <a:stretch>
                      <a:fillRect/>
                    </a:stretch>
                  </pic:blipFill>
                  <pic:spPr bwMode="auto">
                    <a:xfrm>
                      <a:off x="0" y="0"/>
                      <a:ext cx="2938211" cy="2642482"/>
                    </a:xfrm>
                    <a:prstGeom prst="rect">
                      <a:avLst/>
                    </a:prstGeom>
                    <a:noFill/>
                    <a:ln w="9525">
                      <a:noFill/>
                      <a:miter lim="800000"/>
                      <a:headEnd/>
                      <a:tailEnd/>
                    </a:ln>
                  </pic:spPr>
                </pic:pic>
              </a:graphicData>
            </a:graphic>
          </wp:inline>
        </w:drawing>
      </w:r>
    </w:p>
    <w:p w:rsidR="008C7751" w:rsidRPr="00E00B35" w:rsidRDefault="008C7751" w:rsidP="00E00B35">
      <w:pPr>
        <w:pStyle w:val="pogrubienie0"/>
        <w:spacing w:before="0" w:line="312" w:lineRule="auto"/>
        <w:jc w:val="left"/>
        <w:rPr>
          <w:b w:val="0"/>
        </w:rPr>
      </w:pPr>
    </w:p>
    <w:p w:rsidR="008C7751" w:rsidRPr="00E00B35" w:rsidRDefault="008C7751" w:rsidP="00E00B35">
      <w:pPr>
        <w:pStyle w:val="Styl1NagwkiGwne"/>
        <w:numPr>
          <w:ilvl w:val="1"/>
          <w:numId w:val="17"/>
        </w:numPr>
        <w:spacing w:line="312" w:lineRule="auto"/>
        <w:jc w:val="left"/>
        <w:rPr>
          <w:b w:val="0"/>
        </w:rPr>
        <w:sectPr w:rsidR="008C7751" w:rsidRPr="00E00B35" w:rsidSect="008C7751">
          <w:type w:val="continuous"/>
          <w:pgSz w:w="11906" w:h="16838"/>
          <w:pgMar w:top="1417" w:right="1417" w:bottom="1417" w:left="1417" w:header="708" w:footer="708" w:gutter="0"/>
          <w:cols w:num="2" w:space="708"/>
          <w:docGrid w:linePitch="360"/>
        </w:sectPr>
      </w:pPr>
      <w:bookmarkStart w:id="991" w:name="_Toc32318738"/>
    </w:p>
    <w:p w:rsidR="008C7751" w:rsidRPr="00E00B35" w:rsidRDefault="008C7751" w:rsidP="00E00B35">
      <w:pPr>
        <w:pStyle w:val="Styl1NagwkiGwne"/>
        <w:numPr>
          <w:ilvl w:val="1"/>
          <w:numId w:val="53"/>
        </w:numPr>
        <w:spacing w:line="312" w:lineRule="auto"/>
        <w:ind w:left="567" w:hanging="567"/>
        <w:jc w:val="left"/>
      </w:pPr>
      <w:r w:rsidRPr="00E00B35">
        <w:lastRenderedPageBreak/>
        <w:t>Konserwacja torów i zwrotnic tramwajowych</w:t>
      </w:r>
      <w:bookmarkEnd w:id="991"/>
    </w:p>
    <w:p w:rsidR="008C7751" w:rsidRPr="00E00B35" w:rsidRDefault="008C7751" w:rsidP="00E00B35">
      <w:pPr>
        <w:pStyle w:val="Styl1NagwkiGwne"/>
        <w:spacing w:line="312" w:lineRule="auto"/>
        <w:ind w:left="720"/>
        <w:jc w:val="left"/>
        <w:rPr>
          <w:b w:val="0"/>
        </w:rPr>
      </w:pPr>
      <w:r w:rsidRPr="00E00B35">
        <w:rPr>
          <w:b w:val="0"/>
        </w:rPr>
        <w:t xml:space="preserve"> </w:t>
      </w:r>
    </w:p>
    <w:p w:rsidR="008C7751" w:rsidRPr="00E00B35" w:rsidRDefault="008C7751" w:rsidP="00E00B35">
      <w:pPr>
        <w:spacing w:after="0" w:line="312" w:lineRule="auto"/>
        <w:rPr>
          <w:szCs w:val="20"/>
        </w:rPr>
      </w:pPr>
      <w:r w:rsidRPr="00E00B35">
        <w:rPr>
          <w:rStyle w:val="pogrubienieZnak"/>
          <w:szCs w:val="20"/>
        </w:rPr>
        <w:t xml:space="preserve">Poniesione w 2020 roku nakłady: </w:t>
      </w:r>
      <w:r w:rsidRPr="00E00B35">
        <w:rPr>
          <w:szCs w:val="20"/>
        </w:rPr>
        <w:t>22 889 tys. zł</w:t>
      </w:r>
    </w:p>
    <w:p w:rsidR="008C7751" w:rsidRPr="00E00B35" w:rsidRDefault="008C7751" w:rsidP="00E00B35">
      <w:pPr>
        <w:pStyle w:val="pogrubienie0"/>
        <w:spacing w:before="0" w:line="312" w:lineRule="auto"/>
        <w:jc w:val="left"/>
        <w:rPr>
          <w:b w:val="0"/>
        </w:rPr>
      </w:pPr>
      <w:r w:rsidRPr="00E00B35">
        <w:rPr>
          <w:b w:val="0"/>
        </w:rPr>
        <w:t xml:space="preserve">W roku 2020 zrealizowano: </w:t>
      </w:r>
    </w:p>
    <w:p w:rsidR="008C7751" w:rsidRPr="00E00B35" w:rsidRDefault="008C7751" w:rsidP="00E00B35">
      <w:pPr>
        <w:pStyle w:val="Tekstpodstawowy"/>
        <w:numPr>
          <w:ilvl w:val="0"/>
          <w:numId w:val="60"/>
        </w:numPr>
        <w:suppressAutoHyphens/>
        <w:spacing w:after="0" w:line="312" w:lineRule="auto"/>
        <w:ind w:left="567" w:hanging="567"/>
        <w:rPr>
          <w:szCs w:val="20"/>
        </w:rPr>
      </w:pPr>
      <w:r w:rsidRPr="00E00B35">
        <w:rPr>
          <w:szCs w:val="20"/>
        </w:rPr>
        <w:t>Wymianę szyn i rozjazdów – 3 297 mb;</w:t>
      </w:r>
    </w:p>
    <w:p w:rsidR="008C7751" w:rsidRPr="00E00B35" w:rsidRDefault="008C7751" w:rsidP="00E00B35">
      <w:pPr>
        <w:pStyle w:val="Tekstpodstawowy"/>
        <w:numPr>
          <w:ilvl w:val="0"/>
          <w:numId w:val="60"/>
        </w:numPr>
        <w:suppressAutoHyphens/>
        <w:spacing w:after="0" w:line="312" w:lineRule="auto"/>
        <w:ind w:left="567" w:hanging="567"/>
        <w:rPr>
          <w:szCs w:val="20"/>
        </w:rPr>
      </w:pPr>
      <w:r w:rsidRPr="00E00B35">
        <w:rPr>
          <w:szCs w:val="20"/>
        </w:rPr>
        <w:t>Wymianę zwrotnic tramwajowych – 30 szt.;</w:t>
      </w:r>
    </w:p>
    <w:p w:rsidR="008C7751" w:rsidRPr="00E00B35" w:rsidRDefault="008C7751" w:rsidP="00E00B35">
      <w:pPr>
        <w:pStyle w:val="Tekstpodstawowy"/>
        <w:numPr>
          <w:ilvl w:val="0"/>
          <w:numId w:val="60"/>
        </w:numPr>
        <w:suppressAutoHyphens/>
        <w:spacing w:after="0" w:line="312" w:lineRule="auto"/>
        <w:ind w:left="567" w:hanging="567"/>
        <w:rPr>
          <w:szCs w:val="20"/>
        </w:rPr>
      </w:pPr>
      <w:r w:rsidRPr="00E00B35">
        <w:rPr>
          <w:szCs w:val="20"/>
        </w:rPr>
        <w:t>Wymianę napędu zwrotnicy – 5 szt.;</w:t>
      </w:r>
    </w:p>
    <w:p w:rsidR="008C7751" w:rsidRPr="00E00B35" w:rsidRDefault="008C7751" w:rsidP="00E00B35">
      <w:pPr>
        <w:pStyle w:val="Tekstpodstawowy"/>
        <w:numPr>
          <w:ilvl w:val="0"/>
          <w:numId w:val="60"/>
        </w:numPr>
        <w:suppressAutoHyphens/>
        <w:spacing w:after="0" w:line="312" w:lineRule="auto"/>
        <w:ind w:left="567" w:hanging="567"/>
        <w:rPr>
          <w:szCs w:val="20"/>
        </w:rPr>
      </w:pPr>
      <w:r w:rsidRPr="00E00B35">
        <w:rPr>
          <w:szCs w:val="20"/>
        </w:rPr>
        <w:t xml:space="preserve">Wymianę blokady torowej – 1szt.; </w:t>
      </w:r>
    </w:p>
    <w:p w:rsidR="008C7751" w:rsidRPr="00E00B35" w:rsidRDefault="008C7751" w:rsidP="00E00B35">
      <w:pPr>
        <w:pStyle w:val="Tekstpodstawowy"/>
        <w:numPr>
          <w:ilvl w:val="0"/>
          <w:numId w:val="60"/>
        </w:numPr>
        <w:suppressAutoHyphens/>
        <w:spacing w:after="0" w:line="312" w:lineRule="auto"/>
        <w:ind w:left="567" w:hanging="567"/>
        <w:rPr>
          <w:szCs w:val="20"/>
        </w:rPr>
      </w:pPr>
      <w:r w:rsidRPr="00E00B35">
        <w:rPr>
          <w:szCs w:val="20"/>
        </w:rPr>
        <w:t>Rozebranie i ułożenie nawierzchni, oraz jej remonty cząstkowe z mieszanek mineralno-asfaltowo-grysowych, asfaltu twardolanego, mieszankami na zimno – 274 m</w:t>
      </w:r>
      <w:r w:rsidRPr="00E00B35">
        <w:rPr>
          <w:szCs w:val="20"/>
          <w:vertAlign w:val="superscript"/>
        </w:rPr>
        <w:t>3</w:t>
      </w:r>
      <w:r w:rsidRPr="00E00B35">
        <w:rPr>
          <w:szCs w:val="20"/>
        </w:rPr>
        <w:t>;</w:t>
      </w:r>
    </w:p>
    <w:p w:rsidR="008C7751" w:rsidRPr="00E00B35" w:rsidRDefault="008C7751" w:rsidP="00E00B35">
      <w:pPr>
        <w:pStyle w:val="Tekstpodstawowy"/>
        <w:numPr>
          <w:ilvl w:val="0"/>
          <w:numId w:val="60"/>
        </w:numPr>
        <w:suppressAutoHyphens/>
        <w:spacing w:after="0" w:line="312" w:lineRule="auto"/>
        <w:ind w:left="567" w:hanging="567"/>
        <w:rPr>
          <w:szCs w:val="20"/>
        </w:rPr>
      </w:pPr>
      <w:r w:rsidRPr="00E00B35">
        <w:rPr>
          <w:szCs w:val="20"/>
        </w:rPr>
        <w:t>Wymianę nawierzchni z kostki kamiennej i betonowej – 1 018 m</w:t>
      </w:r>
      <w:r w:rsidRPr="00E00B35">
        <w:rPr>
          <w:szCs w:val="20"/>
          <w:vertAlign w:val="superscript"/>
        </w:rPr>
        <w:t>2</w:t>
      </w:r>
      <w:r w:rsidRPr="00E00B35">
        <w:rPr>
          <w:szCs w:val="20"/>
        </w:rPr>
        <w:t>;</w:t>
      </w:r>
    </w:p>
    <w:p w:rsidR="008C7751" w:rsidRPr="00E00B35" w:rsidRDefault="008C7751" w:rsidP="00E00B35">
      <w:pPr>
        <w:pStyle w:val="Tekstpodstawowy"/>
        <w:numPr>
          <w:ilvl w:val="0"/>
          <w:numId w:val="60"/>
        </w:numPr>
        <w:suppressAutoHyphens/>
        <w:spacing w:after="0" w:line="312" w:lineRule="auto"/>
        <w:ind w:left="567" w:hanging="567"/>
        <w:rPr>
          <w:szCs w:val="20"/>
        </w:rPr>
      </w:pPr>
      <w:r w:rsidRPr="00E00B35">
        <w:rPr>
          <w:szCs w:val="20"/>
        </w:rPr>
        <w:t>Wykonanie ław podszynowych z żywic – 1 206,8 mb;</w:t>
      </w:r>
    </w:p>
    <w:p w:rsidR="008C7751" w:rsidRPr="00E00B35" w:rsidRDefault="008C7751" w:rsidP="00E00B35">
      <w:pPr>
        <w:pStyle w:val="Tekstpodstawowy"/>
        <w:numPr>
          <w:ilvl w:val="0"/>
          <w:numId w:val="60"/>
        </w:numPr>
        <w:suppressAutoHyphens/>
        <w:spacing w:after="0" w:line="312" w:lineRule="auto"/>
        <w:ind w:left="567" w:hanging="567"/>
        <w:rPr>
          <w:szCs w:val="20"/>
        </w:rPr>
      </w:pPr>
      <w:r w:rsidRPr="00E00B35">
        <w:rPr>
          <w:szCs w:val="20"/>
        </w:rPr>
        <w:t>Wymiany podkładów tramwajowych oraz poprzeczek, śrub stopowych, podkładów itp. – 5 394 szt.</w:t>
      </w:r>
    </w:p>
    <w:p w:rsidR="008C7751" w:rsidRPr="00E00B35" w:rsidRDefault="008C7751" w:rsidP="00E00B35">
      <w:pPr>
        <w:pStyle w:val="pogrubienie0"/>
        <w:spacing w:before="0" w:line="312" w:lineRule="auto"/>
        <w:jc w:val="left"/>
        <w:rPr>
          <w:b w:val="0"/>
        </w:rPr>
      </w:pPr>
      <w:r w:rsidRPr="00E00B35">
        <w:rPr>
          <w:b w:val="0"/>
        </w:rPr>
        <w:t xml:space="preserve">W ramach zadań mających na celu podniesienie bezpieczeństwa w ruchu tramwajowym wykonano również: </w:t>
      </w:r>
    </w:p>
    <w:p w:rsidR="008C7751" w:rsidRPr="00E00B35" w:rsidRDefault="008C7751" w:rsidP="00E00B35">
      <w:pPr>
        <w:pStyle w:val="Tekstpodstawowy"/>
        <w:numPr>
          <w:ilvl w:val="0"/>
          <w:numId w:val="61"/>
        </w:numPr>
        <w:suppressAutoHyphens/>
        <w:spacing w:after="0" w:line="312" w:lineRule="auto"/>
        <w:ind w:left="567" w:hanging="567"/>
        <w:rPr>
          <w:szCs w:val="20"/>
        </w:rPr>
      </w:pPr>
      <w:r w:rsidRPr="00E00B35">
        <w:rPr>
          <w:szCs w:val="20"/>
        </w:rPr>
        <w:t>Szlifowanie korekcyjne szyn w torach tramwajowych, na realizację której wykorzystano 1 241 tys. zł;</w:t>
      </w:r>
    </w:p>
    <w:p w:rsidR="008C7751" w:rsidRPr="00E00B35" w:rsidRDefault="008C7751" w:rsidP="00E00B35">
      <w:pPr>
        <w:pStyle w:val="Tekstpodstawowy"/>
        <w:numPr>
          <w:ilvl w:val="0"/>
          <w:numId w:val="61"/>
        </w:numPr>
        <w:suppressAutoHyphens/>
        <w:spacing w:after="0" w:line="312" w:lineRule="auto"/>
        <w:ind w:left="567" w:hanging="567"/>
        <w:rPr>
          <w:szCs w:val="20"/>
        </w:rPr>
      </w:pPr>
      <w:r w:rsidRPr="00E00B35">
        <w:rPr>
          <w:szCs w:val="20"/>
        </w:rPr>
        <w:t>Napawanie szyn w torach tramwajowych i rozjazdów – koszt całkowity wykonanych prac 1 976 tys. zł;</w:t>
      </w:r>
    </w:p>
    <w:p w:rsidR="008C7751" w:rsidRPr="00E00B35" w:rsidRDefault="008C7751" w:rsidP="00E00B35">
      <w:pPr>
        <w:pStyle w:val="Tekstpodstawowy"/>
        <w:numPr>
          <w:ilvl w:val="0"/>
          <w:numId w:val="61"/>
        </w:numPr>
        <w:suppressAutoHyphens/>
        <w:spacing w:after="0" w:line="312" w:lineRule="auto"/>
        <w:ind w:left="567" w:hanging="567"/>
        <w:rPr>
          <w:szCs w:val="20"/>
        </w:rPr>
      </w:pPr>
      <w:r w:rsidRPr="00E00B35">
        <w:rPr>
          <w:szCs w:val="20"/>
        </w:rPr>
        <w:t>Regulację torów i podbijanie podkładów, na realizację których wykorzystano 787,2 tys. zł;</w:t>
      </w:r>
    </w:p>
    <w:p w:rsidR="008C7751" w:rsidRPr="00E00B35" w:rsidRDefault="008C7751" w:rsidP="00E00B35">
      <w:pPr>
        <w:pStyle w:val="Tekstpodstawowy"/>
        <w:numPr>
          <w:ilvl w:val="0"/>
          <w:numId w:val="61"/>
        </w:numPr>
        <w:suppressAutoHyphens/>
        <w:spacing w:after="0" w:line="312" w:lineRule="auto"/>
        <w:ind w:left="567" w:hanging="567"/>
        <w:rPr>
          <w:szCs w:val="20"/>
        </w:rPr>
      </w:pPr>
      <w:r w:rsidRPr="00E00B35">
        <w:rPr>
          <w:szCs w:val="20"/>
        </w:rPr>
        <w:t>Chemiczne odchwaszczanie niezabudowanych torowisk tramwajowych oraz koszenie trawy na torowiskach zielonych – koszt całkowity wykonanych prac 236 tys. zł.</w:t>
      </w:r>
    </w:p>
    <w:p w:rsidR="008C7751" w:rsidRPr="00E00B35" w:rsidRDefault="008C7751" w:rsidP="00E00B35">
      <w:pPr>
        <w:pStyle w:val="pogrubienie0"/>
        <w:spacing w:before="0" w:line="312" w:lineRule="auto"/>
        <w:jc w:val="left"/>
        <w:rPr>
          <w:b w:val="0"/>
        </w:rPr>
      </w:pPr>
      <w:r w:rsidRPr="00E00B35">
        <w:rPr>
          <w:b w:val="0"/>
        </w:rPr>
        <w:t xml:space="preserve">Osiągnięto następujące efekty: </w:t>
      </w:r>
    </w:p>
    <w:p w:rsidR="008C7751" w:rsidRPr="00E00B35" w:rsidRDefault="008C7751" w:rsidP="00E00B35">
      <w:pPr>
        <w:pStyle w:val="Tekstpodstawowy"/>
        <w:suppressAutoHyphens/>
        <w:spacing w:after="0" w:line="312" w:lineRule="auto"/>
        <w:ind w:right="1"/>
        <w:rPr>
          <w:szCs w:val="20"/>
        </w:rPr>
      </w:pPr>
      <w:r w:rsidRPr="00E00B35">
        <w:rPr>
          <w:szCs w:val="20"/>
        </w:rPr>
        <w:t>Wykonano konserwację torów i zwrotnic tramwajowych, polegającą na lokalnej naprawie torowisk - regulacji, stabilizacji szyn, wymianie szyn, iglic zwrotnic, krzyżownic tramwajowych, naprawie nawierzchni drogowej oraz czyszczeniu i konserwacji zwrotnic tramwajowych i utrzymywaniu w sprawności elektrycznych napędów mechanizmów nastawczych zwrotnic na terenie Wrocławia.</w:t>
      </w:r>
    </w:p>
    <w:p w:rsidR="00C536B9" w:rsidRPr="00E00B35" w:rsidRDefault="00C536B9" w:rsidP="00E00B35">
      <w:pPr>
        <w:pStyle w:val="Tekstpodstawowy"/>
        <w:suppressAutoHyphens/>
        <w:spacing w:after="0" w:line="312" w:lineRule="auto"/>
        <w:ind w:right="1"/>
        <w:rPr>
          <w:szCs w:val="20"/>
        </w:rPr>
      </w:pPr>
    </w:p>
    <w:p w:rsidR="008C7751" w:rsidRPr="00E00B35" w:rsidRDefault="008C7751" w:rsidP="00E00B35">
      <w:pPr>
        <w:pStyle w:val="Styl1NagwkiGwne"/>
        <w:numPr>
          <w:ilvl w:val="1"/>
          <w:numId w:val="53"/>
        </w:numPr>
        <w:spacing w:line="312" w:lineRule="auto"/>
        <w:ind w:left="567" w:hanging="567"/>
        <w:jc w:val="left"/>
      </w:pPr>
      <w:r w:rsidRPr="00E00B35">
        <w:t>Konserwacja i utrzymanie sieci trakcyjnej</w:t>
      </w:r>
    </w:p>
    <w:p w:rsidR="008C7751" w:rsidRPr="00E00B35" w:rsidRDefault="008C7751" w:rsidP="00E00B35">
      <w:pPr>
        <w:pStyle w:val="Styl1NagwkiGwne"/>
        <w:spacing w:line="312" w:lineRule="auto"/>
        <w:jc w:val="left"/>
        <w:rPr>
          <w:b w:val="0"/>
        </w:rPr>
      </w:pPr>
      <w:r w:rsidRPr="00E00B35">
        <w:rPr>
          <w:rStyle w:val="pogrubienieZnak"/>
        </w:rPr>
        <w:t>Poniesione w 2020 roku nakłady</w:t>
      </w:r>
      <w:r w:rsidRPr="00E00B35">
        <w:rPr>
          <w:b w:val="0"/>
        </w:rPr>
        <w:t>: 4 000 tys. zł</w:t>
      </w:r>
    </w:p>
    <w:p w:rsidR="008C7751" w:rsidRPr="00E00B35" w:rsidRDefault="008C7751" w:rsidP="00E00B35">
      <w:pPr>
        <w:suppressAutoHyphens/>
        <w:spacing w:after="0" w:line="312" w:lineRule="auto"/>
        <w:rPr>
          <w:szCs w:val="20"/>
        </w:rPr>
      </w:pPr>
      <w:r w:rsidRPr="00E00B35">
        <w:rPr>
          <w:szCs w:val="20"/>
        </w:rPr>
        <w:t xml:space="preserve">Zakres konserwacji sieci trakcyjnej obejmuje: </w:t>
      </w:r>
    </w:p>
    <w:p w:rsidR="008C7751" w:rsidRPr="00E00B35" w:rsidRDefault="008C7751" w:rsidP="00E00B35">
      <w:pPr>
        <w:pStyle w:val="Tekstpodstawowy"/>
        <w:numPr>
          <w:ilvl w:val="0"/>
          <w:numId w:val="62"/>
        </w:numPr>
        <w:suppressAutoHyphens/>
        <w:spacing w:after="0" w:line="312" w:lineRule="auto"/>
        <w:ind w:left="567" w:hanging="567"/>
        <w:rPr>
          <w:szCs w:val="20"/>
        </w:rPr>
      </w:pPr>
      <w:r w:rsidRPr="00E00B35">
        <w:rPr>
          <w:szCs w:val="20"/>
        </w:rPr>
        <w:t>Sieć trakcyjną: 199 747 mtp + długość nowo wybudowanej sieci trakcyjnej na pl. Orląt Lwowskich 420 mtp = 200 167 mpt;</w:t>
      </w:r>
    </w:p>
    <w:p w:rsidR="008C7751" w:rsidRPr="00E00B35" w:rsidRDefault="008C7751" w:rsidP="00E00B35">
      <w:pPr>
        <w:pStyle w:val="Tekstpodstawowy"/>
        <w:numPr>
          <w:ilvl w:val="0"/>
          <w:numId w:val="62"/>
        </w:numPr>
        <w:suppressAutoHyphens/>
        <w:spacing w:after="0" w:line="312" w:lineRule="auto"/>
        <w:ind w:left="567" w:hanging="567"/>
        <w:rPr>
          <w:szCs w:val="20"/>
        </w:rPr>
      </w:pPr>
      <w:r w:rsidRPr="00E00B35">
        <w:rPr>
          <w:szCs w:val="20"/>
        </w:rPr>
        <w:t>Układy sterowania zwrotnicami tramwajowymi: 40 szt.;</w:t>
      </w:r>
    </w:p>
    <w:p w:rsidR="008C7751" w:rsidRPr="00E00B35" w:rsidRDefault="008C7751" w:rsidP="00E00B35">
      <w:pPr>
        <w:pStyle w:val="Tekstpodstawowy"/>
        <w:numPr>
          <w:ilvl w:val="0"/>
          <w:numId w:val="62"/>
        </w:numPr>
        <w:suppressAutoHyphens/>
        <w:spacing w:after="0" w:line="312" w:lineRule="auto"/>
        <w:ind w:left="567" w:hanging="567"/>
        <w:rPr>
          <w:szCs w:val="20"/>
        </w:rPr>
      </w:pPr>
      <w:r w:rsidRPr="00E00B35">
        <w:rPr>
          <w:szCs w:val="20"/>
        </w:rPr>
        <w:t>Głowice kablowe: 722 szt.;</w:t>
      </w:r>
    </w:p>
    <w:p w:rsidR="008C7751" w:rsidRPr="00E00B35" w:rsidRDefault="008C7751" w:rsidP="00E00B35">
      <w:pPr>
        <w:pStyle w:val="Tekstpodstawowy"/>
        <w:numPr>
          <w:ilvl w:val="0"/>
          <w:numId w:val="62"/>
        </w:numPr>
        <w:suppressAutoHyphens/>
        <w:spacing w:after="0" w:line="312" w:lineRule="auto"/>
        <w:ind w:left="567" w:hanging="567"/>
        <w:rPr>
          <w:szCs w:val="20"/>
        </w:rPr>
      </w:pPr>
      <w:r w:rsidRPr="00E00B35">
        <w:rPr>
          <w:szCs w:val="20"/>
        </w:rPr>
        <w:t>Układy ochronne przeciwporażeniowe wiaduktów kolejowych – 8 szt.;</w:t>
      </w:r>
    </w:p>
    <w:p w:rsidR="008C7751" w:rsidRPr="00E00B35" w:rsidRDefault="008C7751" w:rsidP="00E00B35">
      <w:pPr>
        <w:pStyle w:val="Tekstpodstawowy"/>
        <w:numPr>
          <w:ilvl w:val="0"/>
          <w:numId w:val="62"/>
        </w:numPr>
        <w:suppressAutoHyphens/>
        <w:spacing w:after="0" w:line="312" w:lineRule="auto"/>
        <w:ind w:left="567" w:hanging="567"/>
        <w:rPr>
          <w:szCs w:val="20"/>
        </w:rPr>
      </w:pPr>
      <w:r w:rsidRPr="00E00B35">
        <w:rPr>
          <w:szCs w:val="20"/>
        </w:rPr>
        <w:t xml:space="preserve">Wyposażenie towarzyszące - linie kablowe trakcyjne: 354 870 mb. </w:t>
      </w:r>
    </w:p>
    <w:p w:rsidR="008C7751" w:rsidRPr="00E00B35" w:rsidRDefault="008C7751" w:rsidP="00E00B35">
      <w:pPr>
        <w:suppressAutoHyphens/>
        <w:spacing w:after="0" w:line="312" w:lineRule="auto"/>
        <w:rPr>
          <w:szCs w:val="20"/>
        </w:rPr>
      </w:pPr>
    </w:p>
    <w:p w:rsidR="008C7751" w:rsidRPr="00E00B35" w:rsidRDefault="008C7751" w:rsidP="00E00B35">
      <w:pPr>
        <w:suppressAutoHyphens/>
        <w:spacing w:after="0" w:line="312" w:lineRule="auto"/>
        <w:rPr>
          <w:szCs w:val="20"/>
        </w:rPr>
      </w:pPr>
      <w:r w:rsidRPr="00E00B35">
        <w:rPr>
          <w:szCs w:val="20"/>
        </w:rPr>
        <w:lastRenderedPageBreak/>
        <w:t>W ramach konserwacji sieci trakcyjnej wykonano:</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Naprawy awaryjne sieci trakcyjnej (wiadukt przy ul. Reymonta, wiadukt przy ul. Pułaskiego, ul. Różyckiego, Rondo Reagana);</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Demontaż dwóch szaf kablowych zasilania sieci trakcyjnej (przy ul. Krakowskiej);</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Tymczasowe zabezpieczenie sieci trakcyjnej (przy Młynie Maria);</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Wymianę izolatorów sekcyjnych (ul. Krakowska);</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Prace zabezpieczające sieć trakcyjną związane z przebudową sieci trakcyjnej na ul. Hallera;</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Prace zabezpieczające sieć trakcyjną związane z przebudową ul. Olszewskiego;</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Awaryjną naprawę kabla trakcyjnego G-7 przy moście Grunwaldzkim;</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Awaryjną naprawę kabli trakcyjnych B-3 przy ul. Wróblewskiego;</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Awaryjną wymianę słupa trakcyjnego przy ul. Szczecińskiej;</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Demontaż okablowania sygnalizacji na ul. Szewskiej;</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Awaryjne postawienie słupa trakcyjnego na ul. Na Polance;</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Awaryjne pionowanie słupa trakcyjnego na ul. Drobnera/Dubois;</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Montaż docelowy kotwienia sieci trakcyjnej ul. Św. Jadwigi (Młyn Maria);</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Sieć trakcyjną sztywną pod wiaduktem kolejowym ul. Pułaskiego;</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Wymianę przewodu jezdnego na łukach ul. Ruska/Kazimierza Wielkiego;</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Wymianę przewodu jezdnego na łukach na pl. Dominikańskim;</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Awaryjną naprawę kabli trakcyjnych E-10 na ul. Kamiennej;</w:t>
      </w:r>
    </w:p>
    <w:p w:rsidR="008C7751" w:rsidRPr="00E00B35" w:rsidRDefault="008C7751" w:rsidP="00E00B35">
      <w:pPr>
        <w:pStyle w:val="Tekstpodstawowy"/>
        <w:numPr>
          <w:ilvl w:val="0"/>
          <w:numId w:val="63"/>
        </w:numPr>
        <w:suppressAutoHyphens/>
        <w:spacing w:after="0" w:line="312" w:lineRule="auto"/>
        <w:ind w:left="567" w:hanging="567"/>
        <w:rPr>
          <w:szCs w:val="20"/>
        </w:rPr>
      </w:pPr>
      <w:r w:rsidRPr="00E00B35">
        <w:rPr>
          <w:szCs w:val="20"/>
        </w:rPr>
        <w:t xml:space="preserve">Awaryjną naprawę sieci trakcyjnej ul. Hallera/Ojca Beyzyma. </w:t>
      </w:r>
    </w:p>
    <w:p w:rsidR="008C7751" w:rsidRPr="00E00B35" w:rsidRDefault="008C7751" w:rsidP="00E00B35">
      <w:pPr>
        <w:pStyle w:val="Tekstpodstawowy"/>
        <w:suppressAutoHyphens/>
        <w:spacing w:after="0" w:line="312" w:lineRule="auto"/>
        <w:ind w:left="360"/>
        <w:rPr>
          <w:szCs w:val="20"/>
        </w:rPr>
      </w:pPr>
    </w:p>
    <w:p w:rsidR="008C7751" w:rsidRPr="00E00B35" w:rsidRDefault="008C7751" w:rsidP="00E00B35">
      <w:pPr>
        <w:pStyle w:val="Tekstpodstawowy"/>
        <w:suppressAutoHyphens/>
        <w:spacing w:after="0" w:line="312" w:lineRule="auto"/>
        <w:rPr>
          <w:szCs w:val="20"/>
        </w:rPr>
      </w:pPr>
      <w:r w:rsidRPr="00E00B35">
        <w:rPr>
          <w:szCs w:val="20"/>
        </w:rPr>
        <w:t>Osiągnięto następujące efekty:</w:t>
      </w:r>
    </w:p>
    <w:p w:rsidR="008C7751" w:rsidRPr="00E00B35" w:rsidRDefault="008C7751" w:rsidP="00E00B35">
      <w:pPr>
        <w:pStyle w:val="Tekstpodstawowy"/>
        <w:suppressAutoHyphens/>
        <w:spacing w:after="0" w:line="312" w:lineRule="auto"/>
        <w:ind w:right="1"/>
        <w:rPr>
          <w:szCs w:val="20"/>
        </w:rPr>
      </w:pPr>
      <w:r w:rsidRPr="00E00B35">
        <w:rPr>
          <w:szCs w:val="20"/>
        </w:rPr>
        <w:t>Realizowane zadania przyczyniły się do przedłużenia trwałości infrastruktury tramwajowej.</w:t>
      </w:r>
    </w:p>
    <w:p w:rsidR="0060070F" w:rsidRPr="00E00B35" w:rsidRDefault="0060070F"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C536B9" w:rsidRPr="00E00B35" w:rsidRDefault="00C536B9" w:rsidP="00E00B35">
      <w:pPr>
        <w:pStyle w:val="Nagwek3"/>
        <w:spacing w:after="0" w:line="312" w:lineRule="auto"/>
        <w:rPr>
          <w:strike/>
          <w:sz w:val="20"/>
          <w:lang w:val="pl-PL"/>
        </w:rPr>
      </w:pPr>
    </w:p>
    <w:p w:rsidR="00C536B9" w:rsidRPr="00E00B35" w:rsidRDefault="00C536B9" w:rsidP="00E00B35">
      <w:pPr>
        <w:pStyle w:val="Nagwek3"/>
        <w:spacing w:after="0" w:line="312" w:lineRule="auto"/>
        <w:rPr>
          <w:strike/>
          <w:sz w:val="20"/>
          <w:lang w:val="pl-PL"/>
        </w:rPr>
      </w:pPr>
    </w:p>
    <w:p w:rsidR="00C536B9" w:rsidRPr="00E00B35" w:rsidRDefault="00C536B9" w:rsidP="00E00B35">
      <w:pPr>
        <w:pStyle w:val="Nagwek3"/>
        <w:spacing w:after="0" w:line="312" w:lineRule="auto"/>
        <w:rPr>
          <w:strike/>
          <w:sz w:val="20"/>
          <w:lang w:val="pl-PL"/>
        </w:rPr>
      </w:pPr>
    </w:p>
    <w:p w:rsidR="00C536B9" w:rsidRPr="00E00B35" w:rsidRDefault="00C536B9" w:rsidP="00E00B35">
      <w:pPr>
        <w:pStyle w:val="Nagwek3"/>
        <w:spacing w:after="0" w:line="312" w:lineRule="auto"/>
        <w:rPr>
          <w:strike/>
          <w:sz w:val="20"/>
          <w:lang w:val="pl-PL"/>
        </w:rPr>
      </w:pPr>
    </w:p>
    <w:p w:rsidR="00C536B9" w:rsidRPr="00E00B35" w:rsidRDefault="00C536B9" w:rsidP="00E00B35">
      <w:pPr>
        <w:pStyle w:val="Nagwek3"/>
        <w:spacing w:after="0" w:line="312" w:lineRule="auto"/>
        <w:rPr>
          <w:strike/>
          <w:sz w:val="20"/>
          <w:lang w:val="pl-PL"/>
        </w:rPr>
      </w:pPr>
    </w:p>
    <w:p w:rsidR="00C536B9" w:rsidRPr="00E00B35" w:rsidRDefault="00C536B9" w:rsidP="00E00B35">
      <w:pPr>
        <w:pStyle w:val="Nagwek3"/>
        <w:spacing w:after="0" w:line="312" w:lineRule="auto"/>
        <w:rPr>
          <w:strike/>
          <w:sz w:val="20"/>
          <w:lang w:val="pl-PL"/>
        </w:rPr>
      </w:pPr>
    </w:p>
    <w:p w:rsidR="00C536B9" w:rsidRPr="00E00B35" w:rsidRDefault="00C536B9" w:rsidP="00E00B35">
      <w:pPr>
        <w:pStyle w:val="Nagwek3"/>
        <w:spacing w:after="0" w:line="312" w:lineRule="auto"/>
        <w:rPr>
          <w:strike/>
          <w:sz w:val="20"/>
          <w:lang w:val="pl-PL"/>
        </w:rPr>
      </w:pPr>
    </w:p>
    <w:p w:rsidR="00C536B9" w:rsidRPr="00E00B35" w:rsidRDefault="00C536B9" w:rsidP="00E00B35">
      <w:pPr>
        <w:pStyle w:val="Nagwek3"/>
        <w:spacing w:after="0" w:line="312" w:lineRule="auto"/>
        <w:rPr>
          <w:strike/>
          <w:sz w:val="20"/>
          <w:lang w:val="pl-PL"/>
        </w:rPr>
      </w:pPr>
    </w:p>
    <w:p w:rsidR="00C536B9" w:rsidRPr="00E00B35" w:rsidRDefault="00C536B9"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Default="007C72F2" w:rsidP="00E00B35">
      <w:pPr>
        <w:pStyle w:val="Nagwek3"/>
        <w:spacing w:after="0" w:line="312" w:lineRule="auto"/>
        <w:rPr>
          <w:strike/>
          <w:sz w:val="20"/>
          <w:lang w:val="pl-PL"/>
        </w:rPr>
      </w:pPr>
    </w:p>
    <w:p w:rsidR="00E04D72" w:rsidRDefault="00E04D72" w:rsidP="00E00B35">
      <w:pPr>
        <w:pStyle w:val="Nagwek3"/>
        <w:spacing w:after="0" w:line="312" w:lineRule="auto"/>
        <w:rPr>
          <w:strike/>
          <w:sz w:val="20"/>
          <w:lang w:val="pl-PL"/>
        </w:rPr>
      </w:pPr>
    </w:p>
    <w:p w:rsidR="00E04D72" w:rsidRDefault="00E04D72" w:rsidP="00E00B35">
      <w:pPr>
        <w:pStyle w:val="Nagwek3"/>
        <w:spacing w:after="0" w:line="312" w:lineRule="auto"/>
        <w:rPr>
          <w:strike/>
          <w:sz w:val="20"/>
          <w:lang w:val="pl-PL"/>
        </w:rPr>
      </w:pPr>
    </w:p>
    <w:p w:rsidR="00E04D72" w:rsidRPr="00E00B35" w:rsidRDefault="00E04D7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Default="007C72F2" w:rsidP="00E00B35">
      <w:pPr>
        <w:pStyle w:val="Nagwek3"/>
        <w:spacing w:after="0" w:line="312" w:lineRule="auto"/>
        <w:rPr>
          <w:strike/>
          <w:sz w:val="20"/>
          <w:lang w:val="pl-PL"/>
        </w:rPr>
      </w:pPr>
    </w:p>
    <w:p w:rsidR="00263B16" w:rsidRPr="00E00B35" w:rsidRDefault="00263B16"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0B35" w:rsidRDefault="007C72F2" w:rsidP="00E00B35">
      <w:pPr>
        <w:pStyle w:val="Nagwek3"/>
        <w:spacing w:after="0" w:line="312" w:lineRule="auto"/>
        <w:rPr>
          <w:strike/>
          <w:sz w:val="20"/>
          <w:lang w:val="pl-PL"/>
        </w:rPr>
      </w:pPr>
    </w:p>
    <w:p w:rsidR="007C72F2" w:rsidRPr="00E04D72" w:rsidRDefault="007C72F2" w:rsidP="00E04D72">
      <w:pPr>
        <w:pStyle w:val="Nagwek20"/>
      </w:pPr>
      <w:bookmarkStart w:id="992" w:name="_Toc78189485"/>
      <w:r w:rsidRPr="00E04D72">
        <w:t>DEPARTAMENT NIERUCHOMOŚCI I EKSPLOATACJI</w:t>
      </w:r>
      <w:bookmarkEnd w:id="992"/>
    </w:p>
    <w:p w:rsidR="007C72F2" w:rsidRPr="00E00B35" w:rsidRDefault="007C72F2" w:rsidP="00E00B35">
      <w:pPr>
        <w:pStyle w:val="Nagwek3"/>
        <w:spacing w:after="0" w:line="312" w:lineRule="auto"/>
        <w:rPr>
          <w:strike/>
          <w:sz w:val="20"/>
          <w:lang w:val="pl-PL"/>
        </w:rPr>
      </w:pPr>
    </w:p>
    <w:p w:rsidR="0060070F" w:rsidRPr="00E00B35" w:rsidRDefault="0060070F" w:rsidP="00E00B35">
      <w:pPr>
        <w:pStyle w:val="Nagwek3"/>
        <w:spacing w:after="0" w:line="312" w:lineRule="auto"/>
        <w:rPr>
          <w:strike/>
          <w:sz w:val="20"/>
          <w:lang w:val="pl-PL"/>
        </w:rPr>
      </w:pPr>
    </w:p>
    <w:p w:rsidR="0060070F" w:rsidRPr="00E00B35" w:rsidRDefault="0060070F" w:rsidP="00E00B35">
      <w:pPr>
        <w:pStyle w:val="Nagwek3"/>
        <w:spacing w:after="0" w:line="312" w:lineRule="auto"/>
        <w:rPr>
          <w:sz w:val="20"/>
        </w:rPr>
      </w:pPr>
      <w:r w:rsidRPr="00E00B35">
        <w:rPr>
          <w:sz w:val="20"/>
        </w:rPr>
        <w:t>GOSPODAROWANIE NIERUCHOMOŚCIAMI GMINY WROCŁAW</w:t>
      </w:r>
    </w:p>
    <w:p w:rsidR="0060070F" w:rsidRPr="00E00B35" w:rsidRDefault="0060070F" w:rsidP="00E00B35">
      <w:pPr>
        <w:pStyle w:val="Nagwek4"/>
        <w:spacing w:before="0" w:after="0" w:line="312" w:lineRule="auto"/>
        <w:rPr>
          <w:sz w:val="20"/>
          <w:szCs w:val="20"/>
        </w:rPr>
      </w:pPr>
      <w:r w:rsidRPr="00E00B35">
        <w:rPr>
          <w:sz w:val="20"/>
          <w:szCs w:val="20"/>
        </w:rPr>
        <w:t>Regulacje stanów prawnych i komunalizacja nieruchomości Gminy Wrocław</w:t>
      </w:r>
    </w:p>
    <w:p w:rsidR="0060070F" w:rsidRPr="00E00B35" w:rsidRDefault="0060070F" w:rsidP="00E00B35">
      <w:pPr>
        <w:pStyle w:val="Akapitzlist"/>
        <w:spacing w:after="0" w:line="312" w:lineRule="auto"/>
        <w:ind w:left="0"/>
        <w:rPr>
          <w:szCs w:val="20"/>
        </w:rPr>
      </w:pPr>
      <w:r w:rsidRPr="00E00B35">
        <w:rPr>
          <w:bCs/>
          <w:szCs w:val="20"/>
        </w:rPr>
        <w:t>Komunalizacja mienia</w:t>
      </w:r>
      <w:r w:rsidRPr="00E00B35">
        <w:rPr>
          <w:szCs w:val="20"/>
        </w:rPr>
        <w:t xml:space="preserve"> (nabywanie i regulowanie stanu prawego nieruchomości w trybie ustawy Przepisy wprowadzające ustawę o samorządzie terytorialnym i ustawę o pracownikach samorządowych, ustawy Przepisy wprowadzające ustawy reformujące administrację publiczną, ustawy o gospodarowaniu nieruchomościami rolnymi Skarbu Państwa):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prowadzone postępowania – 332</w:t>
      </w:r>
      <w:r w:rsidR="00836968" w:rsidRPr="00E00B35">
        <w:rPr>
          <w:szCs w:val="20"/>
        </w:rPr>
        <w:t>,</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pozostałe postępowania – 328</w:t>
      </w:r>
      <w:r w:rsidR="00836968" w:rsidRPr="00E00B35">
        <w:rPr>
          <w:szCs w:val="20"/>
        </w:rPr>
        <w:t>.</w:t>
      </w:r>
    </w:p>
    <w:p w:rsidR="0060070F" w:rsidRPr="00E00B35" w:rsidRDefault="00836968" w:rsidP="00E00B35">
      <w:pPr>
        <w:pStyle w:val="Akapitzlist"/>
        <w:spacing w:after="0" w:line="312" w:lineRule="auto"/>
        <w:ind w:left="0"/>
        <w:rPr>
          <w:szCs w:val="20"/>
        </w:rPr>
      </w:pPr>
      <w:r w:rsidRPr="00E00B35">
        <w:rPr>
          <w:bCs/>
          <w:szCs w:val="20"/>
        </w:rPr>
        <w:br/>
      </w:r>
      <w:r w:rsidR="0060070F" w:rsidRPr="00E00B35">
        <w:rPr>
          <w:bCs/>
          <w:szCs w:val="20"/>
        </w:rPr>
        <w:t>Regulacja stanów prawnych nieruchomości</w:t>
      </w:r>
      <w:r w:rsidR="0060070F" w:rsidRPr="00E00B35">
        <w:rPr>
          <w:b/>
          <w:bCs/>
          <w:szCs w:val="20"/>
        </w:rPr>
        <w:t xml:space="preserve"> </w:t>
      </w:r>
      <w:r w:rsidR="0060070F" w:rsidRPr="00E00B35">
        <w:rPr>
          <w:szCs w:val="20"/>
        </w:rPr>
        <w:t>(w tym m.in. zbywanie nieruchomości, ustalanie służebności, rozwiązywanie użytkowania wieczystego, ustanawianie tytułu prawnego po wygaśnięciu użytkowania wieczystego, naliczanie opłat z tytułu bezumownego korzystania, itp.):</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prowadzone postępowania – 67</w:t>
      </w:r>
      <w:r w:rsidR="00836968" w:rsidRPr="00E00B35">
        <w:rPr>
          <w:szCs w:val="20"/>
        </w:rPr>
        <w:t>,</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pozostałe postępowania – 55</w:t>
      </w:r>
      <w:r w:rsidR="00836968" w:rsidRPr="00E00B35">
        <w:rPr>
          <w:szCs w:val="20"/>
        </w:rPr>
        <w:t>.</w:t>
      </w:r>
    </w:p>
    <w:p w:rsidR="0060070F" w:rsidRPr="00E00B35" w:rsidRDefault="00836968" w:rsidP="00E00B35">
      <w:pPr>
        <w:pStyle w:val="Akapitzlist"/>
        <w:spacing w:after="0" w:line="312" w:lineRule="auto"/>
        <w:ind w:left="0"/>
        <w:rPr>
          <w:szCs w:val="20"/>
        </w:rPr>
      </w:pPr>
      <w:r w:rsidRPr="00E00B35">
        <w:rPr>
          <w:szCs w:val="20"/>
        </w:rPr>
        <w:br/>
      </w:r>
      <w:r w:rsidR="0060070F" w:rsidRPr="00E00B35">
        <w:rPr>
          <w:szCs w:val="20"/>
        </w:rPr>
        <w:t>Realizacja roszczeń osób prawnych i fizycznych do uzyskania prawa użytkowania wieczystego i własności budynku (zgodnie z art. 200, 201, 204, 207 i 208 ustawy o gospodarce nieruchomościami):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prowadzone postępowania – 4</w:t>
      </w:r>
      <w:r w:rsidR="00836968" w:rsidRPr="00E00B35">
        <w:rPr>
          <w:szCs w:val="20"/>
        </w:rPr>
        <w:t>,</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pozostałe postępowania – 3</w:t>
      </w:r>
      <w:r w:rsidR="00836968" w:rsidRPr="00E00B35">
        <w:rPr>
          <w:szCs w:val="20"/>
        </w:rPr>
        <w:t>.</w:t>
      </w:r>
    </w:p>
    <w:p w:rsidR="00836968" w:rsidRPr="00E00B35" w:rsidRDefault="00836968" w:rsidP="00E00B35">
      <w:pPr>
        <w:pStyle w:val="Akapitzlist"/>
        <w:spacing w:after="0" w:line="312" w:lineRule="auto"/>
        <w:ind w:left="0"/>
        <w:rPr>
          <w:bCs/>
          <w:szCs w:val="20"/>
        </w:rPr>
      </w:pPr>
    </w:p>
    <w:p w:rsidR="0060070F" w:rsidRPr="00E00B35" w:rsidRDefault="0060070F" w:rsidP="00E00B35">
      <w:pPr>
        <w:pStyle w:val="Akapitzlist"/>
        <w:spacing w:after="0" w:line="312" w:lineRule="auto"/>
        <w:ind w:left="0"/>
        <w:rPr>
          <w:bCs/>
          <w:szCs w:val="20"/>
        </w:rPr>
      </w:pPr>
      <w:r w:rsidRPr="00E00B35">
        <w:rPr>
          <w:bCs/>
          <w:szCs w:val="20"/>
        </w:rPr>
        <w:t>Prowadzenie spraw związanych z roszczeniami rewindykacyjnymi kościołów</w:t>
      </w:r>
      <w:r w:rsidRPr="00E00B35">
        <w:rPr>
          <w:b/>
          <w:bCs/>
          <w:szCs w:val="20"/>
        </w:rPr>
        <w:t xml:space="preserve"> </w:t>
      </w:r>
      <w:r w:rsidRPr="00E00B35">
        <w:rPr>
          <w:szCs w:val="20"/>
        </w:rPr>
        <w:t xml:space="preserve">(realizacja roszczeń związków wyznaniowych oraz innych osób na podstawie ustaw szczególnych w tym kontynuowanie postępowania ze Związkiem Gmin Wyznaniowych Żydowskich w RP odnośnie </w:t>
      </w:r>
      <w:r w:rsidRPr="00E00B35">
        <w:rPr>
          <w:bCs/>
          <w:szCs w:val="20"/>
        </w:rPr>
        <w:t>zakończenia</w:t>
      </w:r>
      <w:r w:rsidRPr="00E00B35">
        <w:rPr>
          <w:szCs w:val="20"/>
        </w:rPr>
        <w:t xml:space="preserve"> postępowań regulacyjnych prowadzonych przez Komisję </w:t>
      </w:r>
      <w:r w:rsidRPr="00E00B35">
        <w:rPr>
          <w:bCs/>
          <w:szCs w:val="20"/>
        </w:rPr>
        <w:t>Regulacyjną do Spraw Gmin Wyznaniowych Żydowskich):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prowadzone postępowania – 4</w:t>
      </w:r>
      <w:r w:rsidR="00836968" w:rsidRPr="00E00B35">
        <w:rPr>
          <w:szCs w:val="20"/>
        </w:rPr>
        <w:t>,</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pozostałe postępowania – 4</w:t>
      </w:r>
      <w:r w:rsidR="00836968" w:rsidRPr="00E00B35">
        <w:rPr>
          <w:szCs w:val="20"/>
        </w:rPr>
        <w:t>.</w:t>
      </w:r>
    </w:p>
    <w:p w:rsidR="00836968" w:rsidRPr="00E00B35" w:rsidRDefault="00836968" w:rsidP="00E00B35">
      <w:pPr>
        <w:pStyle w:val="Akapitzlist"/>
        <w:spacing w:after="0" w:line="312" w:lineRule="auto"/>
        <w:ind w:left="0"/>
        <w:rPr>
          <w:bCs/>
          <w:szCs w:val="20"/>
        </w:rPr>
      </w:pPr>
    </w:p>
    <w:p w:rsidR="0060070F" w:rsidRPr="00E00B35" w:rsidRDefault="0060070F" w:rsidP="00E00B35">
      <w:pPr>
        <w:pStyle w:val="Akapitzlist"/>
        <w:spacing w:after="0" w:line="312" w:lineRule="auto"/>
        <w:ind w:left="0"/>
        <w:rPr>
          <w:bCs/>
          <w:szCs w:val="20"/>
        </w:rPr>
      </w:pPr>
      <w:r w:rsidRPr="00E00B35">
        <w:rPr>
          <w:bCs/>
          <w:szCs w:val="20"/>
        </w:rPr>
        <w:t>Regulacja stanów prawnych nieruchomości związanych z rodzinnymi ogrodami działkowymi: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prowadzone postępowania – 19</w:t>
      </w:r>
      <w:r w:rsidR="00836968" w:rsidRPr="00E00B35">
        <w:rPr>
          <w:szCs w:val="20"/>
        </w:rPr>
        <w:t>,</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pozostałe postępowania – 15</w:t>
      </w:r>
      <w:r w:rsidR="00836968" w:rsidRPr="00E00B35">
        <w:rPr>
          <w:szCs w:val="20"/>
        </w:rPr>
        <w:t>.</w:t>
      </w:r>
    </w:p>
    <w:p w:rsidR="0060070F" w:rsidRPr="00E00B35" w:rsidRDefault="0060070F" w:rsidP="00E00B35">
      <w:pPr>
        <w:pStyle w:val="Akapitzlist"/>
        <w:spacing w:after="0" w:line="312" w:lineRule="auto"/>
        <w:ind w:left="0"/>
        <w:rPr>
          <w:bCs/>
          <w:szCs w:val="20"/>
        </w:rPr>
      </w:pPr>
    </w:p>
    <w:p w:rsidR="0060070F" w:rsidRPr="00E00B35" w:rsidRDefault="0060070F" w:rsidP="00E00B35">
      <w:pPr>
        <w:pStyle w:val="Akapitzlist"/>
        <w:spacing w:after="0" w:line="312" w:lineRule="auto"/>
        <w:ind w:left="0"/>
        <w:rPr>
          <w:szCs w:val="20"/>
        </w:rPr>
      </w:pPr>
      <w:r w:rsidRPr="00E00B35">
        <w:rPr>
          <w:bCs/>
          <w:szCs w:val="20"/>
        </w:rPr>
        <w:t>Prowadzenie postępowań administracyjnych w sprawie przekazania własności nieruchomości gruntowej, wchodzącej</w:t>
      </w:r>
      <w:r w:rsidRPr="00E00B35">
        <w:rPr>
          <w:szCs w:val="20"/>
        </w:rPr>
        <w:t xml:space="preserve"> uprzednio w skład gospodarstwa rolnego (postępowania w sprawie przekazania własności nieruchomości wchodzącej w skład gospodarstwa przekazanego Skarbowi Państwa i postępowań w sprawie przekazania własności  nieruchomości objętej prawem nieodpłatnego użytkowania z tytułu przekazania gospodarstwa Skarbowi Państwa):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lastRenderedPageBreak/>
        <w:t>prowadzone postępowania – 3</w:t>
      </w:r>
      <w:r w:rsidR="00836968" w:rsidRPr="00E00B35">
        <w:rPr>
          <w:szCs w:val="20"/>
        </w:rPr>
        <w:t>,</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pozostałe postępowania – 1</w:t>
      </w:r>
      <w:r w:rsidR="00836968" w:rsidRPr="00E00B35">
        <w:rPr>
          <w:szCs w:val="20"/>
        </w:rPr>
        <w:t>.</w:t>
      </w:r>
    </w:p>
    <w:p w:rsidR="0060070F" w:rsidRPr="00E00B35" w:rsidRDefault="0060070F" w:rsidP="00E00B35">
      <w:pPr>
        <w:spacing w:after="0" w:line="312" w:lineRule="auto"/>
        <w:rPr>
          <w:szCs w:val="20"/>
        </w:rPr>
      </w:pPr>
    </w:p>
    <w:p w:rsidR="0060070F" w:rsidRPr="00E00B35" w:rsidRDefault="0060070F" w:rsidP="00E00B35">
      <w:pPr>
        <w:pStyle w:val="Akapitzlist"/>
        <w:spacing w:after="0" w:line="312" w:lineRule="auto"/>
        <w:ind w:left="0"/>
        <w:rPr>
          <w:szCs w:val="20"/>
        </w:rPr>
      </w:pPr>
      <w:r w:rsidRPr="00E00B35">
        <w:rPr>
          <w:szCs w:val="20"/>
        </w:rPr>
        <w:t>Prowadzenie postępowań w sprawie ustalenia odszkodowania za nieruchomości, które przeszły na własność Gminy Wrocław w związku z wydaniem decyzji o realizacji inwestycji drogowych (w trybie ustawy o szczególnych zasadach przygotowania i realizacji inwestycji w zakresie dróg publicznych):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prowadzone postępowania – 132</w:t>
      </w:r>
      <w:r w:rsidR="00836968" w:rsidRPr="00E00B35">
        <w:rPr>
          <w:szCs w:val="20"/>
        </w:rPr>
        <w:t>,</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pozostałe postępowania – 100</w:t>
      </w:r>
      <w:r w:rsidR="00836968" w:rsidRPr="00E00B35">
        <w:rPr>
          <w:szCs w:val="20"/>
        </w:rPr>
        <w:t>.</w:t>
      </w:r>
    </w:p>
    <w:p w:rsidR="00836968" w:rsidRPr="00E00B35" w:rsidRDefault="00836968" w:rsidP="00E00B35">
      <w:pPr>
        <w:pStyle w:val="Akapitzlist"/>
        <w:spacing w:after="0" w:line="312" w:lineRule="auto"/>
        <w:ind w:left="0"/>
        <w:rPr>
          <w:szCs w:val="20"/>
        </w:rPr>
      </w:pPr>
    </w:p>
    <w:p w:rsidR="0060070F" w:rsidRPr="00E00B35" w:rsidRDefault="0060070F" w:rsidP="00E00B35">
      <w:pPr>
        <w:pStyle w:val="Akapitzlist"/>
        <w:spacing w:after="0" w:line="312" w:lineRule="auto"/>
        <w:ind w:left="0"/>
        <w:rPr>
          <w:szCs w:val="20"/>
        </w:rPr>
      </w:pPr>
      <w:r w:rsidRPr="00E00B35">
        <w:rPr>
          <w:szCs w:val="20"/>
        </w:rPr>
        <w:t>Reprezentowanie Gminy Wrocław w postępowaniach o zwrot wywłaszczonych nieruchomości: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prowadzone postępowania – 25</w:t>
      </w:r>
      <w:r w:rsidR="00836968" w:rsidRPr="00E00B35">
        <w:rPr>
          <w:szCs w:val="20"/>
        </w:rPr>
        <w:t>,</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pozostałe postępowania – 25</w:t>
      </w:r>
      <w:r w:rsidR="00836968" w:rsidRPr="00E00B35">
        <w:rPr>
          <w:szCs w:val="20"/>
        </w:rPr>
        <w:t>.</w:t>
      </w:r>
    </w:p>
    <w:p w:rsidR="00836968" w:rsidRPr="00E00B35" w:rsidRDefault="00836968" w:rsidP="00E00B35">
      <w:pPr>
        <w:pStyle w:val="Akapitzlist"/>
        <w:spacing w:after="0" w:line="312" w:lineRule="auto"/>
        <w:ind w:left="0"/>
        <w:rPr>
          <w:szCs w:val="20"/>
        </w:rPr>
      </w:pPr>
    </w:p>
    <w:p w:rsidR="0060070F" w:rsidRPr="00E00B35" w:rsidRDefault="0060070F" w:rsidP="00E00B35">
      <w:pPr>
        <w:pStyle w:val="Akapitzlist"/>
        <w:spacing w:after="0" w:line="312" w:lineRule="auto"/>
        <w:ind w:left="0"/>
        <w:rPr>
          <w:szCs w:val="20"/>
        </w:rPr>
      </w:pPr>
      <w:r w:rsidRPr="00E00B35">
        <w:rPr>
          <w:szCs w:val="20"/>
        </w:rPr>
        <w:t>Prowadzenie postępowań  o wydanie zaświadczeń (w trybie podstawie art. 217 k.p.a.):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prowadzone postępowania – 1</w:t>
      </w:r>
      <w:r w:rsidR="00836968" w:rsidRPr="00E00B35">
        <w:rPr>
          <w:szCs w:val="20"/>
        </w:rPr>
        <w:t>,</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pozostałe postępowania – 0</w:t>
      </w:r>
      <w:r w:rsidR="00836968" w:rsidRPr="00E00B35">
        <w:rPr>
          <w:szCs w:val="20"/>
        </w:rPr>
        <w:t>.</w:t>
      </w:r>
    </w:p>
    <w:p w:rsidR="0060070F" w:rsidRPr="00E00B35" w:rsidRDefault="0060070F" w:rsidP="00E00B35">
      <w:pPr>
        <w:pStyle w:val="Tekstpodstawowy"/>
        <w:suppressAutoHyphens/>
        <w:spacing w:after="0" w:line="312" w:lineRule="auto"/>
        <w:ind w:left="426"/>
        <w:rPr>
          <w:szCs w:val="20"/>
        </w:rPr>
      </w:pPr>
    </w:p>
    <w:p w:rsidR="0060070F" w:rsidRPr="00E00B35" w:rsidRDefault="0060070F" w:rsidP="00E00B35">
      <w:pPr>
        <w:pStyle w:val="Akapitzlist"/>
        <w:spacing w:after="0" w:line="312" w:lineRule="auto"/>
        <w:ind w:left="0"/>
        <w:rPr>
          <w:szCs w:val="20"/>
        </w:rPr>
      </w:pPr>
      <w:r w:rsidRPr="00E00B35">
        <w:rPr>
          <w:szCs w:val="20"/>
        </w:rPr>
        <w:t>Podejmowanie czynności prowadzących do usuwania stwierdzonych rozbieżności pomiędzy zapisami w ewidencji gruntów i budynków, a wpisami w księgach wieczystych: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prowadzone postępowania – 8</w:t>
      </w:r>
      <w:r w:rsidR="00AD331A" w:rsidRPr="00E00B35">
        <w:rPr>
          <w:szCs w:val="20"/>
        </w:rPr>
        <w:t>,</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pozostałe postępowania – 6</w:t>
      </w:r>
      <w:r w:rsidR="00AD331A" w:rsidRPr="00E00B35">
        <w:rPr>
          <w:szCs w:val="20"/>
        </w:rPr>
        <w:t>.</w:t>
      </w:r>
    </w:p>
    <w:p w:rsidR="00AD331A" w:rsidRPr="00E00B35" w:rsidRDefault="00AD331A" w:rsidP="00E00B35">
      <w:pPr>
        <w:pStyle w:val="Akapitzlist"/>
        <w:spacing w:after="0" w:line="312" w:lineRule="auto"/>
        <w:ind w:left="0"/>
        <w:rPr>
          <w:szCs w:val="20"/>
        </w:rPr>
      </w:pPr>
    </w:p>
    <w:p w:rsidR="0060070F" w:rsidRPr="00E00B35" w:rsidRDefault="0060070F" w:rsidP="00E00B35">
      <w:pPr>
        <w:pStyle w:val="Akapitzlist"/>
        <w:spacing w:after="0" w:line="312" w:lineRule="auto"/>
        <w:ind w:left="0"/>
        <w:rPr>
          <w:szCs w:val="20"/>
        </w:rPr>
      </w:pPr>
      <w:r w:rsidRPr="00E00B35">
        <w:rPr>
          <w:szCs w:val="20"/>
        </w:rPr>
        <w:t>Regulowanie zapisów w księgach wieczystych (w tym zakładanie ksiąg wieczystych, dokonywanie wpisó</w:t>
      </w:r>
      <w:r w:rsidR="00AD331A" w:rsidRPr="00E00B35">
        <w:rPr>
          <w:szCs w:val="20"/>
        </w:rPr>
        <w:t xml:space="preserve">w w księgach wieczystych, itd.) - </w:t>
      </w:r>
      <w:r w:rsidRPr="00E00B35">
        <w:rPr>
          <w:szCs w:val="20"/>
        </w:rPr>
        <w:t>ilość złożonych wniosków – 124</w:t>
      </w:r>
      <w:r w:rsidR="00AD331A" w:rsidRPr="00E00B35">
        <w:rPr>
          <w:szCs w:val="20"/>
        </w:rPr>
        <w:t>.</w:t>
      </w:r>
    </w:p>
    <w:p w:rsidR="0060070F" w:rsidRPr="00E00B35" w:rsidRDefault="0018356D" w:rsidP="00E00B35">
      <w:pPr>
        <w:pStyle w:val="Akapitzlist"/>
        <w:spacing w:after="0" w:line="312" w:lineRule="auto"/>
        <w:ind w:left="0"/>
        <w:rPr>
          <w:szCs w:val="20"/>
        </w:rPr>
      </w:pPr>
      <w:r w:rsidRPr="00E00B35">
        <w:rPr>
          <w:szCs w:val="20"/>
        </w:rPr>
        <w:br/>
      </w:r>
      <w:r w:rsidR="0060070F" w:rsidRPr="00E00B35">
        <w:rPr>
          <w:szCs w:val="20"/>
        </w:rPr>
        <w:t>Analiza pism organów nadzoru budowlanego i sądów administracyjnych (wydanych w toku postępowań z udziałem Gminy Wr</w:t>
      </w:r>
      <w:r w:rsidRPr="00E00B35">
        <w:rPr>
          <w:szCs w:val="20"/>
        </w:rPr>
        <w:t xml:space="preserve">ocław jako strony postępowania) - </w:t>
      </w:r>
      <w:r w:rsidR="0060070F" w:rsidRPr="00E00B35">
        <w:rPr>
          <w:szCs w:val="20"/>
        </w:rPr>
        <w:t>ilość przeanalizowanych pism – 149</w:t>
      </w:r>
      <w:r w:rsidRPr="00E00B35">
        <w:rPr>
          <w:szCs w:val="20"/>
        </w:rPr>
        <w:t>.</w:t>
      </w:r>
    </w:p>
    <w:p w:rsidR="0060070F" w:rsidRPr="00E00B35" w:rsidRDefault="0018356D" w:rsidP="00E00B35">
      <w:pPr>
        <w:pStyle w:val="Akapitzlist1"/>
        <w:spacing w:after="0" w:line="312" w:lineRule="auto"/>
        <w:ind w:left="0"/>
        <w:rPr>
          <w:szCs w:val="20"/>
        </w:rPr>
      </w:pPr>
      <w:r w:rsidRPr="00E00B35">
        <w:rPr>
          <w:szCs w:val="20"/>
        </w:rPr>
        <w:br/>
      </w:r>
      <w:r w:rsidR="0060070F" w:rsidRPr="00E00B35">
        <w:rPr>
          <w:szCs w:val="20"/>
        </w:rPr>
        <w:t>Ilość pism (z wyłączeniem korespondencji e-mail) sporządzonych w toku różnych postępowań (m. in. pisma w sprawie wyjaśnienia stanu prawnego nieruchomości, udzielenia informacji o możliwościach regulacji tytułu prawnego do nieruchomości; kierowano do różnych podmiotów wnioski o opinie lub podjęcie określonych działań prawnych, występowano w tych sprawach do Prezydenta Wrocławia z opisem, analizą prawną i</w:t>
      </w:r>
      <w:r w:rsidRPr="00E00B35">
        <w:rPr>
          <w:szCs w:val="20"/>
        </w:rPr>
        <w:t xml:space="preserve"> propozycją rozwiązań prawnych) - </w:t>
      </w:r>
      <w:r w:rsidR="0060070F" w:rsidRPr="00E00B35">
        <w:rPr>
          <w:szCs w:val="20"/>
        </w:rPr>
        <w:t>ilość sporządzonych pism – 826</w:t>
      </w:r>
      <w:r w:rsidRPr="00E00B35">
        <w:rPr>
          <w:szCs w:val="20"/>
        </w:rPr>
        <w:t>.</w:t>
      </w:r>
    </w:p>
    <w:p w:rsidR="0060070F" w:rsidRPr="00E00B35" w:rsidRDefault="0018356D" w:rsidP="00E00B35">
      <w:pPr>
        <w:pStyle w:val="Nagwek4"/>
        <w:spacing w:before="0" w:after="0" w:line="312" w:lineRule="auto"/>
        <w:rPr>
          <w:sz w:val="20"/>
          <w:szCs w:val="20"/>
        </w:rPr>
      </w:pPr>
      <w:r w:rsidRPr="00E00B35">
        <w:rPr>
          <w:sz w:val="20"/>
          <w:szCs w:val="20"/>
        </w:rPr>
        <w:br/>
      </w:r>
      <w:r w:rsidR="0060070F" w:rsidRPr="00E00B35">
        <w:rPr>
          <w:sz w:val="20"/>
          <w:szCs w:val="20"/>
        </w:rPr>
        <w:t>Opłaty z tytułu użytkowania wieczystego</w:t>
      </w:r>
    </w:p>
    <w:p w:rsidR="0060070F" w:rsidRPr="00E00B35" w:rsidRDefault="0060070F" w:rsidP="00E00B35">
      <w:pPr>
        <w:tabs>
          <w:tab w:val="left" w:pos="0"/>
        </w:tabs>
        <w:autoSpaceDE w:val="0"/>
        <w:autoSpaceDN w:val="0"/>
        <w:adjustRightInd w:val="0"/>
        <w:spacing w:after="0" w:line="312" w:lineRule="auto"/>
        <w:rPr>
          <w:rFonts w:cs="Verdana"/>
          <w:color w:val="000000"/>
          <w:szCs w:val="20"/>
        </w:rPr>
      </w:pPr>
      <w:r w:rsidRPr="00E00B35">
        <w:rPr>
          <w:szCs w:val="20"/>
        </w:rPr>
        <w:t>D</w:t>
      </w:r>
      <w:r w:rsidRPr="00E00B35">
        <w:rPr>
          <w:rFonts w:cs="Verdana"/>
          <w:color w:val="000000"/>
          <w:szCs w:val="20"/>
        </w:rPr>
        <w:t xml:space="preserve">okonano </w:t>
      </w:r>
      <w:r w:rsidRPr="00E00B35">
        <w:rPr>
          <w:rFonts w:cs="Verdana"/>
          <w:bCs/>
          <w:szCs w:val="20"/>
        </w:rPr>
        <w:t>104</w:t>
      </w:r>
      <w:r w:rsidRPr="00E00B35">
        <w:rPr>
          <w:rFonts w:cs="Verdana"/>
          <w:b/>
          <w:bCs/>
          <w:szCs w:val="20"/>
        </w:rPr>
        <w:t xml:space="preserve"> </w:t>
      </w:r>
      <w:r w:rsidRPr="00E00B35">
        <w:rPr>
          <w:rFonts w:cs="Verdana"/>
          <w:szCs w:val="20"/>
        </w:rPr>
        <w:t xml:space="preserve">wypowiedzeń wysokości opłaty rocznej z tytułu użytkowania wieczystego dotyczących </w:t>
      </w:r>
      <w:r w:rsidRPr="00E00B35">
        <w:rPr>
          <w:rFonts w:cs="Verdana"/>
          <w:bCs/>
          <w:szCs w:val="20"/>
        </w:rPr>
        <w:t>47</w:t>
      </w:r>
      <w:r w:rsidRPr="00E00B35">
        <w:rPr>
          <w:rFonts w:cs="Verdana"/>
          <w:color w:val="000000"/>
          <w:szCs w:val="20"/>
        </w:rPr>
        <w:t xml:space="preserve"> nieruchomości gruntowych.</w:t>
      </w:r>
    </w:p>
    <w:p w:rsidR="0060070F" w:rsidRPr="00E00B35" w:rsidRDefault="0060070F" w:rsidP="00E00B35">
      <w:pPr>
        <w:pStyle w:val="akapit"/>
        <w:spacing w:line="312" w:lineRule="auto"/>
        <w:rPr>
          <w:rFonts w:cs="Verdana"/>
          <w:szCs w:val="20"/>
        </w:rPr>
      </w:pPr>
      <w:r w:rsidRPr="00E00B35">
        <w:rPr>
          <w:szCs w:val="20"/>
        </w:rPr>
        <w:t>D</w:t>
      </w:r>
      <w:r w:rsidRPr="00E00B35">
        <w:rPr>
          <w:rFonts w:cs="Verdana"/>
          <w:szCs w:val="20"/>
        </w:rPr>
        <w:t xml:space="preserve">okonano z urzędu 246 zmian stawki procentowej opłaty rocznej z tytułu użytkowania wieczystego w trybie art. </w:t>
      </w:r>
      <w:r w:rsidRPr="00E00B35">
        <w:rPr>
          <w:szCs w:val="20"/>
        </w:rPr>
        <w:t xml:space="preserve">3 ust. 3 ustawy z dnia 31 stycznia 2019 r. o zmianie ustawy o gospodarce nieruchomościami oraz ustawy o przekształceniu prawa użytkowania </w:t>
      </w:r>
      <w:r w:rsidRPr="00E00B35">
        <w:rPr>
          <w:szCs w:val="20"/>
        </w:rPr>
        <w:lastRenderedPageBreak/>
        <w:t>wieczystego gruntów zabudowanych na cele mieszkaniowe w prawo własności tych gruntów</w:t>
      </w:r>
      <w:r w:rsidRPr="00E00B35">
        <w:rPr>
          <w:rFonts w:cs="Verdana"/>
          <w:szCs w:val="20"/>
        </w:rPr>
        <w:t>.</w:t>
      </w:r>
    </w:p>
    <w:p w:rsidR="0060070F" w:rsidRPr="00E00B35" w:rsidRDefault="0060070F" w:rsidP="00E00B35">
      <w:pPr>
        <w:tabs>
          <w:tab w:val="left" w:pos="0"/>
        </w:tabs>
        <w:autoSpaceDE w:val="0"/>
        <w:autoSpaceDN w:val="0"/>
        <w:adjustRightInd w:val="0"/>
        <w:spacing w:after="0" w:line="312" w:lineRule="auto"/>
        <w:rPr>
          <w:rFonts w:cs="Verdana"/>
          <w:szCs w:val="20"/>
        </w:rPr>
      </w:pPr>
    </w:p>
    <w:p w:rsidR="0060070F" w:rsidRPr="00E00B35" w:rsidRDefault="0060070F" w:rsidP="00E00B35">
      <w:pPr>
        <w:pStyle w:val="akapit"/>
        <w:spacing w:line="312" w:lineRule="auto"/>
        <w:rPr>
          <w:szCs w:val="20"/>
        </w:rPr>
      </w:pPr>
      <w:r w:rsidRPr="00E00B35">
        <w:rPr>
          <w:szCs w:val="20"/>
        </w:rPr>
        <w:t xml:space="preserve">Dokonano </w:t>
      </w:r>
      <w:r w:rsidRPr="00E00B35">
        <w:rPr>
          <w:bCs/>
          <w:szCs w:val="20"/>
        </w:rPr>
        <w:t>50</w:t>
      </w:r>
      <w:r w:rsidRPr="00E00B35">
        <w:rPr>
          <w:color w:val="FF0000"/>
          <w:szCs w:val="20"/>
        </w:rPr>
        <w:t xml:space="preserve"> </w:t>
      </w:r>
      <w:r w:rsidRPr="00E00B35">
        <w:rPr>
          <w:szCs w:val="20"/>
        </w:rPr>
        <w:t>określeń wysokości stawki procentowej opłaty rocznej z tytułu użytkowania wieczystego.</w:t>
      </w:r>
    </w:p>
    <w:p w:rsidR="0060070F" w:rsidRPr="00E00B35" w:rsidRDefault="0018356D" w:rsidP="00E00B35">
      <w:pPr>
        <w:pStyle w:val="akapit"/>
        <w:spacing w:line="312" w:lineRule="auto"/>
        <w:rPr>
          <w:rStyle w:val="lrzxr"/>
          <w:rFonts w:eastAsia="Calibri" w:cs="Verdana"/>
          <w:szCs w:val="20"/>
        </w:rPr>
      </w:pPr>
      <w:r w:rsidRPr="00E00B35">
        <w:rPr>
          <w:szCs w:val="20"/>
        </w:rPr>
        <w:br/>
      </w:r>
      <w:r w:rsidR="0060070F" w:rsidRPr="00E00B35">
        <w:rPr>
          <w:szCs w:val="20"/>
        </w:rPr>
        <w:t>Dokonano na wniosek użytkownika wieczystego 1 zmiany stawki procentowej opłaty rocznej z tytułu użytkowania wieczystego</w:t>
      </w:r>
      <w:r w:rsidR="0060070F" w:rsidRPr="00E00B35">
        <w:rPr>
          <w:rStyle w:val="lrzxr"/>
          <w:rFonts w:eastAsia="Calibri"/>
          <w:szCs w:val="20"/>
        </w:rPr>
        <w:t xml:space="preserve"> w trybie </w:t>
      </w:r>
      <w:r w:rsidR="0060070F" w:rsidRPr="00E00B35">
        <w:rPr>
          <w:bCs/>
          <w:szCs w:val="20"/>
        </w:rPr>
        <w:t xml:space="preserve">art. 221 ust. 1 ustawy </w:t>
      </w:r>
      <w:r w:rsidR="0060070F" w:rsidRPr="00E00B35">
        <w:rPr>
          <w:bCs/>
          <w:szCs w:val="20"/>
        </w:rPr>
        <w:br/>
        <w:t>o gospodarce nieruchomościami</w:t>
      </w:r>
      <w:r w:rsidR="0060070F" w:rsidRPr="00E00B35">
        <w:rPr>
          <w:rStyle w:val="lrzxr"/>
          <w:rFonts w:eastAsia="Calibri"/>
          <w:szCs w:val="20"/>
        </w:rPr>
        <w:t>.</w:t>
      </w:r>
    </w:p>
    <w:p w:rsidR="0060070F" w:rsidRPr="00E00B35" w:rsidRDefault="0018356D" w:rsidP="00E00B35">
      <w:pPr>
        <w:pStyle w:val="akapit"/>
        <w:spacing w:line="312" w:lineRule="auto"/>
        <w:rPr>
          <w:szCs w:val="20"/>
        </w:rPr>
      </w:pPr>
      <w:r w:rsidRPr="00E00B35">
        <w:rPr>
          <w:szCs w:val="20"/>
        </w:rPr>
        <w:br/>
      </w:r>
      <w:r w:rsidR="0060070F" w:rsidRPr="00E00B35">
        <w:rPr>
          <w:szCs w:val="20"/>
        </w:rPr>
        <w:t xml:space="preserve">Dokonano </w:t>
      </w:r>
      <w:r w:rsidR="0060070F" w:rsidRPr="00E00B35">
        <w:rPr>
          <w:bCs/>
          <w:szCs w:val="20"/>
        </w:rPr>
        <w:t>2</w:t>
      </w:r>
      <w:r w:rsidR="0060070F" w:rsidRPr="00E00B35">
        <w:rPr>
          <w:color w:val="FF0000"/>
          <w:szCs w:val="20"/>
        </w:rPr>
        <w:t xml:space="preserve"> </w:t>
      </w:r>
      <w:r w:rsidR="0060070F" w:rsidRPr="00E00B35">
        <w:rPr>
          <w:szCs w:val="20"/>
        </w:rPr>
        <w:t>ustaleń wysokości opłaty rocznej z tytułu użytkowania wieczystego.</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Dokonano 231 rozliczeń opłat rocznych należnych od osób fizycznych i prawnych, w związku z nabyciem przez te podmioty prawa użytkowania wieczystego gruntów, prawa własności lokali od deweloperów i spółdzielni mieszkaniowych.</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Reprezentowano Gminę Wrocław przed Samorządowym Kolegium Odwoławczym </w:t>
      </w:r>
      <w:r w:rsidRPr="00E00B35">
        <w:rPr>
          <w:szCs w:val="20"/>
        </w:rPr>
        <w:br/>
        <w:t xml:space="preserve">w postępowaniach dotyczących aktualizacji opłat rocznych – </w:t>
      </w:r>
      <w:r w:rsidRPr="00E00B35">
        <w:rPr>
          <w:bCs/>
          <w:szCs w:val="20"/>
        </w:rPr>
        <w:t>21</w:t>
      </w:r>
      <w:r w:rsidRPr="00E00B35">
        <w:rPr>
          <w:szCs w:val="20"/>
        </w:rPr>
        <w:t xml:space="preserve"> rozpraw.</w:t>
      </w:r>
    </w:p>
    <w:p w:rsidR="0060070F" w:rsidRPr="00E00B35" w:rsidRDefault="0060070F" w:rsidP="00E00B35">
      <w:pPr>
        <w:spacing w:after="0" w:line="312" w:lineRule="auto"/>
        <w:rPr>
          <w:color w:val="800000"/>
          <w:szCs w:val="20"/>
        </w:rPr>
      </w:pPr>
    </w:p>
    <w:p w:rsidR="0060070F" w:rsidRPr="00E00B35" w:rsidRDefault="0060070F" w:rsidP="00E00B35">
      <w:pPr>
        <w:spacing w:after="0" w:line="312" w:lineRule="auto"/>
        <w:rPr>
          <w:color w:val="800000"/>
          <w:szCs w:val="20"/>
        </w:rPr>
      </w:pPr>
      <w:r w:rsidRPr="00E00B35">
        <w:rPr>
          <w:noProof/>
          <w:color w:val="800000"/>
          <w:szCs w:val="20"/>
          <w:lang w:val="pl-PL" w:eastAsia="pl-PL" w:bidi="ar-SA"/>
        </w:rPr>
        <w:drawing>
          <wp:inline distT="0" distB="0" distL="0" distR="0">
            <wp:extent cx="5248275" cy="3600450"/>
            <wp:effectExtent l="0" t="0" r="0" b="0"/>
            <wp:docPr id="124" name="Obiekt 82" descr="Grafika obrazuje ilość wypowiedzeń opłaty rocznej w 2016 r. 2721, w 2017 r. 814, w 2018 r. 3718, w 2019 r. 50, w 2020 r. 104 oraz liczba zaktualizowanych nieruchomości w 2016 r. 176, w 2017 r. 115, w 2018 r. 162, w 2019 r. 37, w 2020 r. 47.&#10;Adnotacja do danych z 2019 r. - z dniem 1 stycznia 2019 r. zgodnie z art. 1 ust. 1 ustawy z dnia 20 lipca 2018 r. o przekształceniu prawa użytkowania wieczystego gruntów zabudowanych na cele mieszkaniowe w prawo własności tych gruntów nastąpiło przekształcenie gruntów z mocy prawa&#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9"/>
              </a:graphicData>
            </a:graphic>
          </wp:inline>
        </w:drawing>
      </w:r>
    </w:p>
    <w:p w:rsidR="0060070F" w:rsidRPr="00E00B35" w:rsidRDefault="0060070F" w:rsidP="00E00B35">
      <w:pPr>
        <w:pStyle w:val="akapit"/>
        <w:spacing w:line="312" w:lineRule="auto"/>
        <w:rPr>
          <w:szCs w:val="20"/>
        </w:rPr>
      </w:pPr>
      <w:r w:rsidRPr="00E00B35">
        <w:rPr>
          <w:szCs w:val="20"/>
        </w:rPr>
        <w:t xml:space="preserve">Z dniem 1 stycznia 2019 r. zgodnie z art. 1 ust. 1 ustawy z dnia 20 lipca 2018 r. </w:t>
      </w:r>
      <w:r w:rsidRPr="00E00B35">
        <w:rPr>
          <w:iCs/>
          <w:szCs w:val="20"/>
        </w:rPr>
        <w:t xml:space="preserve">o przekształceniu prawa użytkowania wieczystego gruntów zabudowanych na cele mieszkaniowe w prawo własności tych gruntów </w:t>
      </w:r>
      <w:r w:rsidRPr="00E00B35">
        <w:rPr>
          <w:szCs w:val="20"/>
        </w:rPr>
        <w:t xml:space="preserve">nastąpiło przekształcenie gruntów z mocy prawa. </w:t>
      </w:r>
    </w:p>
    <w:p w:rsidR="0060070F" w:rsidRPr="00E00B35" w:rsidRDefault="0060070F" w:rsidP="00E00B35">
      <w:pPr>
        <w:spacing w:after="0" w:line="312" w:lineRule="auto"/>
        <w:rPr>
          <w:szCs w:val="20"/>
        </w:rPr>
      </w:pPr>
    </w:p>
    <w:p w:rsidR="0060070F" w:rsidRPr="00E00B35" w:rsidRDefault="0060070F" w:rsidP="00E00B35">
      <w:pPr>
        <w:spacing w:after="0" w:line="312" w:lineRule="auto"/>
        <w:rPr>
          <w:color w:val="800000"/>
          <w:szCs w:val="20"/>
        </w:rPr>
      </w:pPr>
      <w:r w:rsidRPr="00E00B35">
        <w:rPr>
          <w:noProof/>
          <w:szCs w:val="20"/>
          <w:lang w:val="pl-PL" w:eastAsia="pl-PL" w:bidi="ar-SA"/>
        </w:rPr>
        <w:lastRenderedPageBreak/>
        <w:drawing>
          <wp:inline distT="0" distB="0" distL="0" distR="0">
            <wp:extent cx="4800600" cy="2743200"/>
            <wp:effectExtent l="0" t="0" r="0" b="0"/>
            <wp:docPr id="123" name="Obiekt 83" descr="Grafika obrazuje dochody z tytułu użytkowania wieczystego w 2016 r. 49 976 846 zł, w 2017 r. 49 836 088 zł, w 2018 r. 52 694 869 zł, w 2019 r. 43 713 812 zł, w 2020 r. 39 140 204 zł"/>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inline>
        </w:drawing>
      </w:r>
    </w:p>
    <w:p w:rsidR="0060070F" w:rsidRPr="00E00B35" w:rsidRDefault="0060070F" w:rsidP="00E00B35">
      <w:pPr>
        <w:pStyle w:val="Nagwek4"/>
        <w:spacing w:before="0" w:after="0" w:line="312" w:lineRule="auto"/>
        <w:rPr>
          <w:sz w:val="20"/>
          <w:szCs w:val="20"/>
        </w:rPr>
      </w:pPr>
      <w:r w:rsidRPr="00E00B35">
        <w:rPr>
          <w:sz w:val="20"/>
          <w:szCs w:val="20"/>
        </w:rPr>
        <w:t>Nadzór nad realizacją i przestrzeganiem umów użytkowania wieczystego</w:t>
      </w:r>
    </w:p>
    <w:p w:rsidR="0060070F" w:rsidRPr="00E00B35" w:rsidRDefault="0060070F" w:rsidP="00E00B35">
      <w:pPr>
        <w:pStyle w:val="akapit"/>
        <w:spacing w:line="312" w:lineRule="auto"/>
        <w:rPr>
          <w:szCs w:val="20"/>
        </w:rPr>
      </w:pPr>
      <w:r w:rsidRPr="00E00B35">
        <w:rPr>
          <w:szCs w:val="20"/>
        </w:rPr>
        <w:t>Monitorowaniem objęto 764 nieruchomości.</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Prowadzono 8 postępowań w sprawie zmiany terminów zagospodarowania nieruchomości oddanych w użytkowanie wieczyste.</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rStyle w:val="lrzxr"/>
          <w:rFonts w:eastAsia="Calibri" w:cs="Arial"/>
          <w:szCs w:val="20"/>
        </w:rPr>
      </w:pPr>
      <w:r w:rsidRPr="00E00B35">
        <w:rPr>
          <w:rStyle w:val="lrzxr"/>
          <w:rFonts w:eastAsia="Calibri" w:cs="Arial"/>
          <w:szCs w:val="20"/>
        </w:rPr>
        <w:t xml:space="preserve">Prowadzono 672 postępowania z urzędu o zmianę celu użytkowania wieczystego w trybie </w:t>
      </w:r>
      <w:r w:rsidRPr="00E00B35">
        <w:rPr>
          <w:bCs/>
          <w:szCs w:val="20"/>
        </w:rPr>
        <w:t>art. 73 ust. 2 ustawy o gospodarce nieruchomościami</w:t>
      </w:r>
      <w:r w:rsidRPr="00E00B35">
        <w:rPr>
          <w:rStyle w:val="lrzxr"/>
          <w:rFonts w:eastAsia="Calibri" w:cs="Arial"/>
          <w:szCs w:val="20"/>
        </w:rPr>
        <w:t>.</w:t>
      </w:r>
    </w:p>
    <w:p w:rsidR="0060070F" w:rsidRPr="00E00B35" w:rsidRDefault="0060070F" w:rsidP="00E00B35">
      <w:pPr>
        <w:pStyle w:val="akapit"/>
        <w:spacing w:line="312" w:lineRule="auto"/>
        <w:rPr>
          <w:rStyle w:val="lrzxr"/>
          <w:rFonts w:eastAsia="Calibri" w:cs="Arial"/>
          <w:szCs w:val="20"/>
        </w:rPr>
      </w:pPr>
    </w:p>
    <w:p w:rsidR="0060070F" w:rsidRPr="00E00B35" w:rsidRDefault="0060070F" w:rsidP="00E00B35">
      <w:pPr>
        <w:pStyle w:val="akapit"/>
        <w:spacing w:line="312" w:lineRule="auto"/>
        <w:rPr>
          <w:bCs/>
          <w:szCs w:val="20"/>
        </w:rPr>
      </w:pPr>
      <w:r w:rsidRPr="00E00B35">
        <w:rPr>
          <w:szCs w:val="20"/>
        </w:rPr>
        <w:t xml:space="preserve">Prowadzono 18 postępowań na wniosek </w:t>
      </w:r>
      <w:r w:rsidRPr="00E00B35">
        <w:rPr>
          <w:bCs/>
          <w:szCs w:val="20"/>
        </w:rPr>
        <w:t>użytkowników wieczystych</w:t>
      </w:r>
      <w:r w:rsidRPr="00E00B35">
        <w:rPr>
          <w:rStyle w:val="lrzxr"/>
          <w:rFonts w:eastAsia="Calibri" w:cs="Arial"/>
          <w:szCs w:val="20"/>
        </w:rPr>
        <w:t xml:space="preserve"> o zmianę celu użytkowania wieczystego w trybie </w:t>
      </w:r>
      <w:r w:rsidRPr="00E00B35">
        <w:rPr>
          <w:bCs/>
          <w:szCs w:val="20"/>
        </w:rPr>
        <w:t>art. 73 ust. 2 i 2b ustawy o gospodarce nieruchomościami.</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Podpisano </w:t>
      </w:r>
      <w:r w:rsidRPr="00E00B35">
        <w:rPr>
          <w:bCs/>
          <w:szCs w:val="20"/>
        </w:rPr>
        <w:t>381</w:t>
      </w:r>
      <w:r w:rsidRPr="00E00B35">
        <w:rPr>
          <w:szCs w:val="20"/>
        </w:rPr>
        <w:t xml:space="preserve"> protokołów uzgodnień w sprawie zmiany celu użytkowania wieczystego i stawki procentowej opłaty rocznej z tytułu użytkowania wieczystego w trybie art. 73 ust. 2f ustawy o gospodarce nieruchomościami.</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Rozpatrzono </w:t>
      </w:r>
      <w:r w:rsidRPr="00E00B35">
        <w:rPr>
          <w:bCs/>
          <w:szCs w:val="20"/>
        </w:rPr>
        <w:t>14</w:t>
      </w:r>
      <w:r w:rsidRPr="00E00B35">
        <w:rPr>
          <w:szCs w:val="20"/>
        </w:rPr>
        <w:t xml:space="preserve"> wniosków użytkowników wieczystych o wydanie oświadczeń zawierających zgodę na dokonanie wpisów w księgach wieczystych.</w:t>
      </w:r>
    </w:p>
    <w:p w:rsidR="0060070F" w:rsidRPr="00E00B35" w:rsidRDefault="0060070F" w:rsidP="00E00B35">
      <w:pPr>
        <w:pStyle w:val="Tekstpodstawowy2"/>
        <w:spacing w:after="0" w:line="312" w:lineRule="auto"/>
        <w:rPr>
          <w:color w:val="auto"/>
          <w:sz w:val="20"/>
          <w:szCs w:val="20"/>
        </w:rPr>
      </w:pPr>
    </w:p>
    <w:p w:rsidR="0060070F" w:rsidRPr="00E00B35" w:rsidRDefault="0060070F" w:rsidP="00E00B35">
      <w:pPr>
        <w:pStyle w:val="Nagwek4"/>
        <w:spacing w:before="0" w:after="0" w:line="312" w:lineRule="auto"/>
        <w:rPr>
          <w:sz w:val="20"/>
          <w:szCs w:val="20"/>
        </w:rPr>
      </w:pPr>
      <w:r w:rsidRPr="00E00B35">
        <w:rPr>
          <w:sz w:val="20"/>
          <w:szCs w:val="20"/>
        </w:rPr>
        <w:t>Przekształcenie prawa użytkowania wieczystego w prawo własności nieruchomości</w:t>
      </w:r>
    </w:p>
    <w:p w:rsidR="0060070F" w:rsidRPr="00E00B35" w:rsidRDefault="0060070F" w:rsidP="00E00B35">
      <w:pPr>
        <w:pStyle w:val="Akapitzlist1"/>
        <w:spacing w:after="0" w:line="312" w:lineRule="auto"/>
        <w:ind w:left="0"/>
        <w:rPr>
          <w:szCs w:val="20"/>
        </w:rPr>
      </w:pPr>
      <w:r w:rsidRPr="00E00B35">
        <w:rPr>
          <w:szCs w:val="20"/>
        </w:rPr>
        <w:t>W zakresie realizacji ustawy z dnia 20 lipca 2018 r. o przekształceniu prawa użytkowania wieczystego gruntów zabudowanych na cele mieszkaniowe w prawo własności tych gruntów:</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wydano 10 500 zaświadczeń potwierdzających przekształcenie prawa użytkowania wieczystego w prawo własności nieruchomości,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wydano 2 900 zaświadczeń potwierdzających wysokość i okres wnoszenia opłaty przekształceniowej,</w:t>
      </w:r>
    </w:p>
    <w:p w:rsidR="0060070F" w:rsidRPr="00E00B35" w:rsidRDefault="0060070F" w:rsidP="00BC64AB">
      <w:pPr>
        <w:pStyle w:val="Tekstpodstawowy"/>
        <w:numPr>
          <w:ilvl w:val="0"/>
          <w:numId w:val="239"/>
        </w:numPr>
        <w:suppressAutoHyphens/>
        <w:spacing w:after="0" w:line="312" w:lineRule="auto"/>
        <w:ind w:left="426" w:hanging="426"/>
        <w:rPr>
          <w:color w:val="000000"/>
          <w:szCs w:val="20"/>
        </w:rPr>
      </w:pPr>
      <w:r w:rsidRPr="00E00B35">
        <w:rPr>
          <w:color w:val="000000"/>
          <w:szCs w:val="20"/>
        </w:rPr>
        <w:t>wydano 9 700 Informacji o opłacie jednorazowej,</w:t>
      </w:r>
    </w:p>
    <w:p w:rsidR="0060070F" w:rsidRPr="00E00B35" w:rsidRDefault="0060070F" w:rsidP="00BC64AB">
      <w:pPr>
        <w:pStyle w:val="Tekstpodstawowy"/>
        <w:numPr>
          <w:ilvl w:val="0"/>
          <w:numId w:val="239"/>
        </w:numPr>
        <w:suppressAutoHyphens/>
        <w:spacing w:after="0" w:line="312" w:lineRule="auto"/>
        <w:ind w:left="426" w:hanging="426"/>
        <w:rPr>
          <w:color w:val="000000"/>
          <w:szCs w:val="20"/>
        </w:rPr>
      </w:pPr>
      <w:r w:rsidRPr="00E00B35">
        <w:rPr>
          <w:color w:val="000000"/>
          <w:szCs w:val="20"/>
        </w:rPr>
        <w:lastRenderedPageBreak/>
        <w:t>wydano 2 370 zaświadczeń o pomocy de minimis w związku z realizacją ww. ustawy.</w:t>
      </w:r>
    </w:p>
    <w:p w:rsidR="0060070F" w:rsidRPr="00E00B35" w:rsidRDefault="0018356D" w:rsidP="00E00B35">
      <w:pPr>
        <w:pStyle w:val="Akapitzlist1"/>
        <w:spacing w:after="0" w:line="312" w:lineRule="auto"/>
        <w:ind w:left="0"/>
        <w:rPr>
          <w:szCs w:val="20"/>
        </w:rPr>
      </w:pPr>
      <w:r w:rsidRPr="00E00B35">
        <w:rPr>
          <w:szCs w:val="20"/>
        </w:rPr>
        <w:br/>
      </w:r>
      <w:r w:rsidR="0060070F" w:rsidRPr="00E00B35">
        <w:rPr>
          <w:szCs w:val="20"/>
        </w:rPr>
        <w:t xml:space="preserve">W zakresie realizacji ustawy z dnia 29 lipca 2005 r. o przekształceniu prawa użytkowania wieczystego w prawo własności nieruchomości wydano </w:t>
      </w:r>
      <w:r w:rsidR="0060070F" w:rsidRPr="00E00B35">
        <w:rPr>
          <w:bCs/>
          <w:szCs w:val="20"/>
        </w:rPr>
        <w:t>25 decyzji</w:t>
      </w:r>
      <w:r w:rsidR="0060070F" w:rsidRPr="00E00B35">
        <w:rPr>
          <w:szCs w:val="20"/>
        </w:rPr>
        <w:t xml:space="preserve">, w tym </w:t>
      </w:r>
      <w:r w:rsidR="0060070F" w:rsidRPr="00E00B35">
        <w:rPr>
          <w:bCs/>
          <w:szCs w:val="20"/>
        </w:rPr>
        <w:t>6</w:t>
      </w:r>
      <w:r w:rsidR="0060070F" w:rsidRPr="00E00B35">
        <w:rPr>
          <w:szCs w:val="20"/>
        </w:rPr>
        <w:t xml:space="preserve"> decyzji o przekształceniu, </w:t>
      </w:r>
      <w:r w:rsidR="0060070F" w:rsidRPr="00E00B35">
        <w:rPr>
          <w:bCs/>
          <w:szCs w:val="20"/>
        </w:rPr>
        <w:t>19</w:t>
      </w:r>
      <w:r w:rsidR="0060070F" w:rsidRPr="00E00B35">
        <w:rPr>
          <w:szCs w:val="20"/>
        </w:rPr>
        <w:t xml:space="preserve"> decyzji zmieniających decyzje. Decyzje te dotyczyły osób fizycznych. Decyzji pozytywnych wydano: </w:t>
      </w:r>
    </w:p>
    <w:p w:rsidR="0060070F" w:rsidRPr="00E00B35" w:rsidRDefault="0060070F" w:rsidP="00BC64AB">
      <w:pPr>
        <w:pStyle w:val="Tekstpodstawowy"/>
        <w:numPr>
          <w:ilvl w:val="0"/>
          <w:numId w:val="239"/>
        </w:numPr>
        <w:suppressAutoHyphens/>
        <w:spacing w:after="0" w:line="312" w:lineRule="auto"/>
        <w:ind w:left="426" w:hanging="426"/>
        <w:rPr>
          <w:color w:val="000000"/>
          <w:szCs w:val="20"/>
        </w:rPr>
      </w:pPr>
      <w:r w:rsidRPr="00E00B35">
        <w:rPr>
          <w:color w:val="000000"/>
          <w:szCs w:val="20"/>
        </w:rPr>
        <w:t xml:space="preserve">w 2019 r. - 9, </w:t>
      </w:r>
    </w:p>
    <w:p w:rsidR="0060070F" w:rsidRPr="00E00B35" w:rsidRDefault="0060070F" w:rsidP="00BC64AB">
      <w:pPr>
        <w:pStyle w:val="Tekstpodstawowy"/>
        <w:numPr>
          <w:ilvl w:val="0"/>
          <w:numId w:val="239"/>
        </w:numPr>
        <w:suppressAutoHyphens/>
        <w:spacing w:after="0" w:line="312" w:lineRule="auto"/>
        <w:ind w:left="426" w:hanging="426"/>
        <w:rPr>
          <w:color w:val="000000"/>
          <w:szCs w:val="20"/>
        </w:rPr>
      </w:pPr>
      <w:r w:rsidRPr="00E00B35">
        <w:rPr>
          <w:color w:val="000000"/>
          <w:szCs w:val="20"/>
        </w:rPr>
        <w:t xml:space="preserve">w 2018 r. - 37, </w:t>
      </w:r>
    </w:p>
    <w:p w:rsidR="0060070F" w:rsidRPr="00E00B35" w:rsidRDefault="0060070F" w:rsidP="00BC64AB">
      <w:pPr>
        <w:pStyle w:val="Tekstpodstawowy"/>
        <w:numPr>
          <w:ilvl w:val="0"/>
          <w:numId w:val="239"/>
        </w:numPr>
        <w:suppressAutoHyphens/>
        <w:spacing w:after="0" w:line="312" w:lineRule="auto"/>
        <w:ind w:left="426" w:hanging="426"/>
        <w:rPr>
          <w:color w:val="000000"/>
          <w:szCs w:val="20"/>
        </w:rPr>
      </w:pPr>
      <w:r w:rsidRPr="00E00B35">
        <w:rPr>
          <w:color w:val="000000"/>
          <w:szCs w:val="20"/>
        </w:rPr>
        <w:t xml:space="preserve">w 2017 r. - 73, </w:t>
      </w:r>
    </w:p>
    <w:p w:rsidR="0060070F" w:rsidRPr="00E00B35" w:rsidRDefault="0060070F" w:rsidP="00BC64AB">
      <w:pPr>
        <w:pStyle w:val="Tekstpodstawowy"/>
        <w:numPr>
          <w:ilvl w:val="0"/>
          <w:numId w:val="239"/>
        </w:numPr>
        <w:suppressAutoHyphens/>
        <w:spacing w:after="0" w:line="312" w:lineRule="auto"/>
        <w:ind w:left="426" w:hanging="426"/>
        <w:rPr>
          <w:color w:val="000000"/>
          <w:szCs w:val="20"/>
        </w:rPr>
      </w:pPr>
      <w:r w:rsidRPr="00E00B35">
        <w:rPr>
          <w:color w:val="000000"/>
          <w:szCs w:val="20"/>
        </w:rPr>
        <w:t xml:space="preserve">w 2016 r. - 81. </w:t>
      </w:r>
    </w:p>
    <w:p w:rsidR="0018356D" w:rsidRPr="00E00B35" w:rsidRDefault="0018356D" w:rsidP="00E00B35">
      <w:pPr>
        <w:pStyle w:val="Tekstpodstawowy"/>
        <w:suppressAutoHyphens/>
        <w:spacing w:after="0" w:line="312" w:lineRule="auto"/>
        <w:ind w:left="426"/>
        <w:rPr>
          <w:color w:val="000000"/>
          <w:szCs w:val="20"/>
        </w:rPr>
      </w:pPr>
    </w:p>
    <w:p w:rsidR="0060070F" w:rsidRPr="00E00B35" w:rsidRDefault="0060070F" w:rsidP="00E00B35">
      <w:pPr>
        <w:pStyle w:val="Akapitzlist1"/>
        <w:spacing w:after="0" w:line="312" w:lineRule="auto"/>
        <w:ind w:left="0"/>
        <w:rPr>
          <w:szCs w:val="20"/>
        </w:rPr>
      </w:pPr>
      <w:r w:rsidRPr="00E00B35">
        <w:rPr>
          <w:szCs w:val="20"/>
        </w:rPr>
        <w:t>Decyzji uchylających, zmieniających, umarzających, odmownych wydano:</w:t>
      </w:r>
    </w:p>
    <w:p w:rsidR="0060070F" w:rsidRPr="00E00B35" w:rsidRDefault="0060070F" w:rsidP="00BC64AB">
      <w:pPr>
        <w:pStyle w:val="Tekstpodstawowy"/>
        <w:numPr>
          <w:ilvl w:val="0"/>
          <w:numId w:val="239"/>
        </w:numPr>
        <w:suppressAutoHyphens/>
        <w:spacing w:after="0" w:line="312" w:lineRule="auto"/>
        <w:ind w:left="426" w:hanging="426"/>
        <w:rPr>
          <w:color w:val="000000"/>
          <w:szCs w:val="20"/>
        </w:rPr>
      </w:pPr>
      <w:r w:rsidRPr="00E00B35">
        <w:rPr>
          <w:color w:val="000000"/>
          <w:szCs w:val="20"/>
        </w:rPr>
        <w:t>w 2019 r. - 373,</w:t>
      </w:r>
    </w:p>
    <w:p w:rsidR="0060070F" w:rsidRPr="00E00B35" w:rsidRDefault="0060070F" w:rsidP="00BC64AB">
      <w:pPr>
        <w:pStyle w:val="Tekstpodstawowy"/>
        <w:numPr>
          <w:ilvl w:val="0"/>
          <w:numId w:val="239"/>
        </w:numPr>
        <w:suppressAutoHyphens/>
        <w:spacing w:after="0" w:line="312" w:lineRule="auto"/>
        <w:ind w:left="426" w:hanging="426"/>
        <w:rPr>
          <w:color w:val="000000"/>
          <w:szCs w:val="20"/>
        </w:rPr>
      </w:pPr>
      <w:r w:rsidRPr="00E00B35">
        <w:rPr>
          <w:color w:val="000000"/>
          <w:szCs w:val="20"/>
        </w:rPr>
        <w:t>w 2018 r. - 59,</w:t>
      </w:r>
    </w:p>
    <w:p w:rsidR="0060070F" w:rsidRPr="00E00B35" w:rsidRDefault="0060070F" w:rsidP="00BC64AB">
      <w:pPr>
        <w:pStyle w:val="Tekstpodstawowy"/>
        <w:numPr>
          <w:ilvl w:val="0"/>
          <w:numId w:val="239"/>
        </w:numPr>
        <w:suppressAutoHyphens/>
        <w:spacing w:after="0" w:line="312" w:lineRule="auto"/>
        <w:ind w:left="426" w:hanging="426"/>
        <w:rPr>
          <w:color w:val="000000"/>
          <w:szCs w:val="20"/>
        </w:rPr>
      </w:pPr>
      <w:r w:rsidRPr="00E00B35">
        <w:rPr>
          <w:color w:val="000000"/>
          <w:szCs w:val="20"/>
        </w:rPr>
        <w:t>w 2017 r. - 59,</w:t>
      </w:r>
    </w:p>
    <w:p w:rsidR="0060070F" w:rsidRPr="00E00B35" w:rsidRDefault="0060070F" w:rsidP="00BC64AB">
      <w:pPr>
        <w:pStyle w:val="Tekstpodstawowy"/>
        <w:numPr>
          <w:ilvl w:val="0"/>
          <w:numId w:val="239"/>
        </w:numPr>
        <w:suppressAutoHyphens/>
        <w:spacing w:after="0" w:line="312" w:lineRule="auto"/>
        <w:ind w:left="426" w:hanging="426"/>
        <w:rPr>
          <w:color w:val="000000"/>
          <w:szCs w:val="20"/>
        </w:rPr>
      </w:pPr>
      <w:r w:rsidRPr="00E00B35">
        <w:rPr>
          <w:color w:val="000000"/>
          <w:szCs w:val="20"/>
        </w:rPr>
        <w:t xml:space="preserve">w 2016 r. - 74. </w:t>
      </w:r>
    </w:p>
    <w:p w:rsidR="0060070F" w:rsidRPr="00E00B35" w:rsidRDefault="0018356D" w:rsidP="00E00B35">
      <w:pPr>
        <w:pStyle w:val="Nagwek4"/>
        <w:spacing w:before="0" w:after="0" w:line="312" w:lineRule="auto"/>
        <w:rPr>
          <w:sz w:val="20"/>
          <w:szCs w:val="20"/>
        </w:rPr>
      </w:pPr>
      <w:r w:rsidRPr="00E00B35">
        <w:rPr>
          <w:sz w:val="20"/>
          <w:szCs w:val="20"/>
        </w:rPr>
        <w:br/>
      </w:r>
      <w:r w:rsidR="0060070F" w:rsidRPr="00E00B35">
        <w:rPr>
          <w:sz w:val="20"/>
          <w:szCs w:val="20"/>
        </w:rPr>
        <w:t>Dzierżawa gruntów gminnych</w:t>
      </w:r>
    </w:p>
    <w:p w:rsidR="0060070F" w:rsidRPr="00E00B35" w:rsidRDefault="0060070F" w:rsidP="00E00B35">
      <w:pPr>
        <w:pStyle w:val="Tekstpodstawowy"/>
        <w:spacing w:after="0" w:line="312" w:lineRule="auto"/>
        <w:rPr>
          <w:szCs w:val="20"/>
        </w:rPr>
      </w:pPr>
      <w:r w:rsidRPr="00E00B35">
        <w:rPr>
          <w:szCs w:val="20"/>
        </w:rPr>
        <w:t>Umowy dzierżawy lub użyczenia gruntów gminnych na dzień 31 grudnia 2020 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50"/>
        <w:gridCol w:w="900"/>
        <w:gridCol w:w="1440"/>
        <w:gridCol w:w="1440"/>
        <w:gridCol w:w="1584"/>
      </w:tblGrid>
      <w:tr w:rsidR="0060070F" w:rsidRPr="00E00B35" w:rsidTr="00252360">
        <w:trPr>
          <w:trHeight w:val="369"/>
        </w:trPr>
        <w:tc>
          <w:tcPr>
            <w:tcW w:w="3850" w:type="dxa"/>
            <w:tcBorders>
              <w:top w:val="single" w:sz="4" w:space="0" w:color="auto"/>
              <w:left w:val="single" w:sz="4" w:space="0" w:color="auto"/>
              <w:bottom w:val="single" w:sz="4" w:space="0" w:color="auto"/>
              <w:right w:val="single" w:sz="4" w:space="0" w:color="auto"/>
            </w:tcBorders>
            <w:shd w:val="clear" w:color="auto" w:fill="auto"/>
          </w:tcPr>
          <w:p w:rsidR="0060070F" w:rsidRPr="00E00B35" w:rsidRDefault="0060070F" w:rsidP="00E00B35">
            <w:pPr>
              <w:spacing w:after="0" w:line="312" w:lineRule="auto"/>
              <w:rPr>
                <w:szCs w:val="20"/>
              </w:rPr>
            </w:pPr>
          </w:p>
          <w:p w:rsidR="0060070F" w:rsidRPr="00E00B35" w:rsidRDefault="0060070F" w:rsidP="00E00B35">
            <w:pPr>
              <w:spacing w:after="0" w:line="312" w:lineRule="auto"/>
              <w:rPr>
                <w:bCs/>
                <w:szCs w:val="20"/>
              </w:rPr>
            </w:pPr>
            <w:r w:rsidRPr="00E00B35">
              <w:rPr>
                <w:bCs/>
                <w:szCs w:val="20"/>
              </w:rPr>
              <w:t>Rodzaj umowy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r w:rsidRPr="00E00B35">
              <w:rPr>
                <w:bCs/>
                <w:szCs w:val="20"/>
              </w:rPr>
              <w:t>Ilość</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p>
          <w:p w:rsidR="0060070F" w:rsidRPr="00E00B35" w:rsidRDefault="0060070F" w:rsidP="00E00B35">
            <w:pPr>
              <w:spacing w:after="0" w:line="312" w:lineRule="auto"/>
              <w:rPr>
                <w:bCs/>
                <w:szCs w:val="20"/>
              </w:rPr>
            </w:pPr>
            <w:r w:rsidRPr="00E00B35">
              <w:rPr>
                <w:bCs/>
                <w:szCs w:val="20"/>
              </w:rPr>
              <w:t>Powierzchnia [ha]</w:t>
            </w:r>
          </w:p>
          <w:p w:rsidR="0060070F" w:rsidRPr="00E00B35" w:rsidRDefault="0060070F" w:rsidP="00E00B35">
            <w:pPr>
              <w:spacing w:after="0" w:line="312" w:lineRule="auto"/>
              <w:rPr>
                <w:bCs/>
                <w:szCs w:val="20"/>
              </w:rPr>
            </w:pPr>
            <w:r w:rsidRPr="00E00B35">
              <w:rPr>
                <w:bCs/>
                <w:szCs w:val="20"/>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r w:rsidRPr="00E00B35">
              <w:rPr>
                <w:bCs/>
                <w:szCs w:val="20"/>
              </w:rPr>
              <w:t xml:space="preserve">Czynsz </w:t>
            </w:r>
          </w:p>
          <w:p w:rsidR="0060070F" w:rsidRPr="00E00B35" w:rsidRDefault="0060070F" w:rsidP="00E00B35">
            <w:pPr>
              <w:spacing w:after="0" w:line="312" w:lineRule="auto"/>
              <w:rPr>
                <w:bCs/>
                <w:szCs w:val="20"/>
              </w:rPr>
            </w:pPr>
            <w:r w:rsidRPr="00E00B35">
              <w:rPr>
                <w:bCs/>
                <w:szCs w:val="20"/>
              </w:rPr>
              <w:t xml:space="preserve">roczny </w:t>
            </w:r>
          </w:p>
          <w:p w:rsidR="0060070F" w:rsidRPr="00E00B35" w:rsidRDefault="0060070F" w:rsidP="00E00B35">
            <w:pPr>
              <w:spacing w:after="0" w:line="312" w:lineRule="auto"/>
              <w:rPr>
                <w:bCs/>
                <w:szCs w:val="20"/>
              </w:rPr>
            </w:pPr>
            <w:r w:rsidRPr="00E00B35">
              <w:rPr>
                <w:bCs/>
                <w:szCs w:val="20"/>
              </w:rPr>
              <w:t>(zł)</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r w:rsidRPr="00E00B35">
              <w:rPr>
                <w:bCs/>
                <w:szCs w:val="20"/>
              </w:rPr>
              <w:t xml:space="preserve">Czynsz  </w:t>
            </w:r>
          </w:p>
          <w:p w:rsidR="0060070F" w:rsidRPr="00E00B35" w:rsidRDefault="0060070F" w:rsidP="00E00B35">
            <w:pPr>
              <w:spacing w:after="0" w:line="312" w:lineRule="auto"/>
              <w:rPr>
                <w:bCs/>
                <w:szCs w:val="20"/>
              </w:rPr>
            </w:pPr>
            <w:r w:rsidRPr="00E00B35">
              <w:rPr>
                <w:bCs/>
                <w:szCs w:val="20"/>
              </w:rPr>
              <w:t>miesięczny (zł)</w:t>
            </w:r>
          </w:p>
        </w:tc>
      </w:tr>
      <w:tr w:rsidR="0060070F" w:rsidRPr="00E00B35" w:rsidTr="00252360">
        <w:trPr>
          <w:trHeight w:val="369"/>
        </w:trPr>
        <w:tc>
          <w:tcPr>
            <w:tcW w:w="385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pStyle w:val="Adreszwrotnynakopercie"/>
              <w:spacing w:line="312" w:lineRule="auto"/>
              <w:rPr>
                <w:rFonts w:ascii="Verdana" w:hAnsi="Verdana"/>
                <w:strike w:val="0"/>
              </w:rPr>
            </w:pPr>
            <w:r w:rsidRPr="00E00B35">
              <w:rPr>
                <w:rFonts w:ascii="Verdana" w:hAnsi="Verdana"/>
                <w:strike w:val="0"/>
              </w:rPr>
              <w:t>rolne</w:t>
            </w:r>
          </w:p>
        </w:tc>
        <w:tc>
          <w:tcPr>
            <w:tcW w:w="90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492</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89,3673</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34 416,02</w:t>
            </w:r>
          </w:p>
        </w:tc>
        <w:tc>
          <w:tcPr>
            <w:tcW w:w="1584"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0</w:t>
            </w:r>
          </w:p>
        </w:tc>
      </w:tr>
      <w:tr w:rsidR="0060070F" w:rsidRPr="00E00B35" w:rsidTr="00252360">
        <w:trPr>
          <w:trHeight w:val="369"/>
        </w:trPr>
        <w:tc>
          <w:tcPr>
            <w:tcW w:w="385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pod kioski i pawilony handlowe</w:t>
            </w:r>
          </w:p>
        </w:tc>
        <w:tc>
          <w:tcPr>
            <w:tcW w:w="90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424</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35,3352</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0</w:t>
            </w:r>
          </w:p>
        </w:tc>
        <w:tc>
          <w:tcPr>
            <w:tcW w:w="1584"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473 134,08</w:t>
            </w:r>
          </w:p>
        </w:tc>
      </w:tr>
      <w:tr w:rsidR="0060070F" w:rsidRPr="00E00B35" w:rsidTr="00252360">
        <w:trPr>
          <w:trHeight w:val="369"/>
        </w:trPr>
        <w:tc>
          <w:tcPr>
            <w:tcW w:w="385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parkingi, magazyny</w:t>
            </w:r>
          </w:p>
        </w:tc>
        <w:tc>
          <w:tcPr>
            <w:tcW w:w="90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166</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31,6075</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0</w:t>
            </w:r>
          </w:p>
        </w:tc>
        <w:tc>
          <w:tcPr>
            <w:tcW w:w="1584"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264 018,18</w:t>
            </w:r>
          </w:p>
        </w:tc>
      </w:tr>
      <w:tr w:rsidR="0060070F" w:rsidRPr="00E00B35" w:rsidTr="00252360">
        <w:trPr>
          <w:trHeight w:val="369"/>
        </w:trPr>
        <w:tc>
          <w:tcPr>
            <w:tcW w:w="385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bCs/>
                <w:szCs w:val="20"/>
              </w:rPr>
            </w:pPr>
            <w:r w:rsidRPr="00E00B35">
              <w:rPr>
                <w:szCs w:val="20"/>
              </w:rPr>
              <w:t>zieleń przydomowa, pola irygacyjne</w:t>
            </w:r>
          </w:p>
        </w:tc>
        <w:tc>
          <w:tcPr>
            <w:tcW w:w="90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481</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936,0584</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897 132,84</w:t>
            </w:r>
          </w:p>
        </w:tc>
        <w:tc>
          <w:tcPr>
            <w:tcW w:w="1584"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3 043,95</w:t>
            </w:r>
          </w:p>
        </w:tc>
      </w:tr>
      <w:tr w:rsidR="0060070F" w:rsidRPr="00E00B35" w:rsidTr="00252360">
        <w:trPr>
          <w:trHeight w:val="369"/>
        </w:trPr>
        <w:tc>
          <w:tcPr>
            <w:tcW w:w="385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Razem umowy dzierżawy</w:t>
            </w:r>
          </w:p>
        </w:tc>
        <w:tc>
          <w:tcPr>
            <w:tcW w:w="90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1563</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1092,3684</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931 548,86</w:t>
            </w:r>
          </w:p>
        </w:tc>
        <w:tc>
          <w:tcPr>
            <w:tcW w:w="1584"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740 196,21</w:t>
            </w:r>
          </w:p>
        </w:tc>
      </w:tr>
      <w:tr w:rsidR="0060070F" w:rsidRPr="00E00B35" w:rsidTr="00252360">
        <w:trPr>
          <w:trHeight w:val="369"/>
        </w:trPr>
        <w:tc>
          <w:tcPr>
            <w:tcW w:w="385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pStyle w:val="xl146"/>
              <w:spacing w:before="0" w:beforeAutospacing="0" w:after="0" w:afterAutospacing="0" w:line="312" w:lineRule="auto"/>
              <w:rPr>
                <w:rFonts w:ascii="Verdana" w:hAnsi="Verdana" w:cs="Times New Roman"/>
                <w:bCs/>
                <w:sz w:val="20"/>
                <w:szCs w:val="20"/>
              </w:rPr>
            </w:pPr>
            <w:r w:rsidRPr="00E00B35">
              <w:rPr>
                <w:rFonts w:ascii="Verdana" w:hAnsi="Verdana" w:cs="Times New Roman"/>
                <w:bCs/>
                <w:sz w:val="20"/>
                <w:szCs w:val="20"/>
              </w:rPr>
              <w:t>Umowy użyczenia</w:t>
            </w:r>
          </w:p>
        </w:tc>
        <w:tc>
          <w:tcPr>
            <w:tcW w:w="90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bCs/>
                <w:szCs w:val="20"/>
              </w:rPr>
            </w:pPr>
            <w:r w:rsidRPr="00E00B35">
              <w:rPr>
                <w:bCs/>
                <w:szCs w:val="20"/>
              </w:rPr>
              <w:t>42</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bCs/>
                <w:szCs w:val="20"/>
              </w:rPr>
            </w:pPr>
            <w:r w:rsidRPr="00E00B35">
              <w:rPr>
                <w:bCs/>
                <w:szCs w:val="20"/>
              </w:rPr>
              <w:t>56,9295</w:t>
            </w:r>
          </w:p>
        </w:tc>
        <w:tc>
          <w:tcPr>
            <w:tcW w:w="1440"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0</w:t>
            </w:r>
          </w:p>
        </w:tc>
        <w:tc>
          <w:tcPr>
            <w:tcW w:w="1584" w:type="dxa"/>
            <w:tcBorders>
              <w:top w:val="single" w:sz="4" w:space="0" w:color="auto"/>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szCs w:val="20"/>
              </w:rPr>
            </w:pPr>
            <w:r w:rsidRPr="00E00B35">
              <w:rPr>
                <w:szCs w:val="20"/>
              </w:rPr>
              <w:t>0</w:t>
            </w:r>
          </w:p>
        </w:tc>
      </w:tr>
    </w:tbl>
    <w:p w:rsidR="0060070F" w:rsidRPr="00E00B35" w:rsidRDefault="0060070F" w:rsidP="00E00B35">
      <w:pPr>
        <w:pStyle w:val="Adreszwrotnynakopercie"/>
        <w:spacing w:line="312" w:lineRule="auto"/>
        <w:rPr>
          <w:rFonts w:ascii="Verdana" w:hAnsi="Verdana"/>
        </w:rPr>
      </w:pPr>
    </w:p>
    <w:p w:rsidR="0060070F" w:rsidRPr="00E00B35" w:rsidRDefault="0060070F" w:rsidP="00E00B35">
      <w:pPr>
        <w:pStyle w:val="xl146"/>
        <w:spacing w:before="0" w:beforeAutospacing="0" w:after="0" w:afterAutospacing="0" w:line="312" w:lineRule="auto"/>
        <w:rPr>
          <w:rFonts w:ascii="Verdana" w:eastAsia="Times New Roman" w:hAnsi="Verdana" w:cs="Times New Roman"/>
          <w:bCs/>
          <w:sz w:val="20"/>
          <w:szCs w:val="20"/>
        </w:rPr>
      </w:pPr>
      <w:r w:rsidRPr="00E00B35">
        <w:rPr>
          <w:rFonts w:ascii="Verdana" w:eastAsia="Times New Roman" w:hAnsi="Verdana" w:cs="Times New Roman"/>
          <w:bCs/>
          <w:sz w:val="20"/>
          <w:szCs w:val="20"/>
        </w:rPr>
        <w:t>Umowy dzierżawy gruntów gminnych zawarte w 2020 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50"/>
        <w:gridCol w:w="900"/>
        <w:gridCol w:w="1440"/>
        <w:gridCol w:w="1440"/>
        <w:gridCol w:w="1584"/>
      </w:tblGrid>
      <w:tr w:rsidR="0060070F" w:rsidRPr="00E00B35" w:rsidTr="00252360">
        <w:trPr>
          <w:cantSplit/>
          <w:trHeight w:val="795"/>
        </w:trPr>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r w:rsidRPr="00E00B35">
              <w:rPr>
                <w:bCs/>
                <w:szCs w:val="20"/>
              </w:rPr>
              <w:t>Rodzaj umowy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r w:rsidRPr="00E00B35">
              <w:rPr>
                <w:bCs/>
                <w:szCs w:val="20"/>
              </w:rPr>
              <w:t>Ilość</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p>
          <w:p w:rsidR="0060070F" w:rsidRPr="00E00B35" w:rsidRDefault="0060070F" w:rsidP="00E00B35">
            <w:pPr>
              <w:spacing w:after="0" w:line="312" w:lineRule="auto"/>
              <w:rPr>
                <w:bCs/>
                <w:szCs w:val="20"/>
              </w:rPr>
            </w:pPr>
            <w:r w:rsidRPr="00E00B35">
              <w:rPr>
                <w:bCs/>
                <w:szCs w:val="20"/>
              </w:rPr>
              <w:t>Powierzchnia [ha]</w:t>
            </w:r>
          </w:p>
          <w:p w:rsidR="0060070F" w:rsidRPr="00E00B35" w:rsidRDefault="0060070F" w:rsidP="00E00B35">
            <w:pPr>
              <w:spacing w:after="0" w:line="312" w:lineRule="auto"/>
              <w:rPr>
                <w:bCs/>
                <w:szCs w:val="20"/>
              </w:rPr>
            </w:pPr>
            <w:r w:rsidRPr="00E00B35">
              <w:rPr>
                <w:bCs/>
                <w:szCs w:val="20"/>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r w:rsidRPr="00E00B35">
              <w:rPr>
                <w:bCs/>
                <w:szCs w:val="20"/>
              </w:rPr>
              <w:t xml:space="preserve">Czynsz </w:t>
            </w:r>
          </w:p>
          <w:p w:rsidR="0060070F" w:rsidRPr="00E00B35" w:rsidRDefault="0060070F" w:rsidP="00E00B35">
            <w:pPr>
              <w:spacing w:after="0" w:line="312" w:lineRule="auto"/>
              <w:rPr>
                <w:bCs/>
                <w:szCs w:val="20"/>
              </w:rPr>
            </w:pPr>
            <w:r w:rsidRPr="00E00B35">
              <w:rPr>
                <w:bCs/>
                <w:szCs w:val="20"/>
              </w:rPr>
              <w:t xml:space="preserve">roczny </w:t>
            </w:r>
          </w:p>
          <w:p w:rsidR="0060070F" w:rsidRPr="00E00B35" w:rsidRDefault="0060070F" w:rsidP="00E00B35">
            <w:pPr>
              <w:spacing w:after="0" w:line="312" w:lineRule="auto"/>
              <w:rPr>
                <w:bCs/>
                <w:szCs w:val="20"/>
              </w:rPr>
            </w:pPr>
            <w:r w:rsidRPr="00E00B35">
              <w:rPr>
                <w:bCs/>
                <w:szCs w:val="20"/>
              </w:rPr>
              <w:t>(zł)</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r w:rsidRPr="00E00B35">
              <w:rPr>
                <w:bCs/>
                <w:szCs w:val="20"/>
              </w:rPr>
              <w:t xml:space="preserve">Czynsz  </w:t>
            </w:r>
          </w:p>
          <w:p w:rsidR="0060070F" w:rsidRPr="00E00B35" w:rsidRDefault="0060070F" w:rsidP="00E00B35">
            <w:pPr>
              <w:spacing w:after="0" w:line="312" w:lineRule="auto"/>
              <w:rPr>
                <w:bCs/>
                <w:szCs w:val="20"/>
              </w:rPr>
            </w:pPr>
            <w:r w:rsidRPr="00E00B35">
              <w:rPr>
                <w:bCs/>
                <w:szCs w:val="20"/>
              </w:rPr>
              <w:t>miesięczny (zł)</w:t>
            </w:r>
          </w:p>
        </w:tc>
      </w:tr>
      <w:tr w:rsidR="0060070F" w:rsidRPr="00E00B35" w:rsidTr="00252360">
        <w:trPr>
          <w:cantSplit/>
          <w:trHeight w:val="369"/>
        </w:trPr>
        <w:tc>
          <w:tcPr>
            <w:tcW w:w="3850" w:type="dxa"/>
            <w:tcBorders>
              <w:top w:val="single" w:sz="4" w:space="0" w:color="auto"/>
              <w:left w:val="single" w:sz="4" w:space="0" w:color="auto"/>
              <w:bottom w:val="nil"/>
              <w:right w:val="single" w:sz="4" w:space="0" w:color="auto"/>
            </w:tcBorders>
            <w:shd w:val="clear" w:color="auto" w:fill="auto"/>
            <w:vAlign w:val="center"/>
          </w:tcPr>
          <w:p w:rsidR="0060070F" w:rsidRPr="00E00B35" w:rsidRDefault="0060070F" w:rsidP="00E00B35">
            <w:pPr>
              <w:pStyle w:val="Adreszwrotnynakopercie"/>
              <w:spacing w:line="312" w:lineRule="auto"/>
              <w:rPr>
                <w:rFonts w:ascii="Verdana" w:hAnsi="Verdana"/>
                <w:strike w:val="0"/>
              </w:rPr>
            </w:pPr>
            <w:r w:rsidRPr="00E00B35">
              <w:rPr>
                <w:rFonts w:ascii="Verdana" w:hAnsi="Verdana"/>
                <w:strike w:val="0"/>
              </w:rPr>
              <w:t>na cele rolne</w:t>
            </w:r>
          </w:p>
        </w:tc>
        <w:tc>
          <w:tcPr>
            <w:tcW w:w="900" w:type="dxa"/>
            <w:tcBorders>
              <w:top w:val="single" w:sz="4" w:space="0" w:color="auto"/>
              <w:left w:val="single" w:sz="4" w:space="0" w:color="auto"/>
              <w:bottom w:val="nil"/>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440" w:type="dxa"/>
            <w:tcBorders>
              <w:top w:val="single" w:sz="4" w:space="0" w:color="auto"/>
              <w:left w:val="single" w:sz="4" w:space="0" w:color="auto"/>
              <w:bottom w:val="nil"/>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440" w:type="dxa"/>
            <w:tcBorders>
              <w:top w:val="single" w:sz="4" w:space="0" w:color="auto"/>
              <w:left w:val="single" w:sz="4" w:space="0" w:color="auto"/>
              <w:bottom w:val="nil"/>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584" w:type="dxa"/>
            <w:tcBorders>
              <w:top w:val="single" w:sz="4" w:space="0" w:color="auto"/>
              <w:left w:val="single" w:sz="4" w:space="0" w:color="auto"/>
              <w:bottom w:val="nil"/>
              <w:right w:val="single" w:sz="4" w:space="0" w:color="auto"/>
            </w:tcBorders>
            <w:shd w:val="clear" w:color="auto" w:fill="auto"/>
            <w:vAlign w:val="center"/>
          </w:tcPr>
          <w:p w:rsidR="0060070F" w:rsidRPr="00E00B35" w:rsidRDefault="0060070F" w:rsidP="00E00B35">
            <w:pPr>
              <w:tabs>
                <w:tab w:val="left" w:pos="1440"/>
                <w:tab w:val="right" w:pos="1561"/>
              </w:tabs>
              <w:spacing w:after="0" w:line="312" w:lineRule="auto"/>
              <w:rPr>
                <w:szCs w:val="20"/>
              </w:rPr>
            </w:pPr>
            <w:r w:rsidRPr="00E00B35">
              <w:rPr>
                <w:szCs w:val="20"/>
              </w:rPr>
              <w:t>0</w:t>
            </w:r>
          </w:p>
        </w:tc>
      </w:tr>
      <w:tr w:rsidR="0060070F" w:rsidRPr="00E00B35" w:rsidTr="00252360">
        <w:trPr>
          <w:cantSplit/>
          <w:trHeight w:val="369"/>
        </w:trPr>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pod kioski i pawilony handlowe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24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0,5889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34 171,00</w:t>
            </w:r>
          </w:p>
        </w:tc>
      </w:tr>
      <w:tr w:rsidR="0060070F" w:rsidRPr="00E00B35" w:rsidTr="00252360">
        <w:trPr>
          <w:cantSplit/>
          <w:trHeight w:val="369"/>
        </w:trPr>
        <w:tc>
          <w:tcPr>
            <w:tcW w:w="3850" w:type="dxa"/>
            <w:tcBorders>
              <w:top w:val="single" w:sz="4" w:space="0" w:color="auto"/>
              <w:left w:val="single" w:sz="4" w:space="0" w:color="auto"/>
              <w:bottom w:val="nil"/>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na grunty zabudowane</w:t>
            </w:r>
          </w:p>
        </w:tc>
        <w:tc>
          <w:tcPr>
            <w:tcW w:w="900" w:type="dxa"/>
            <w:tcBorders>
              <w:top w:val="single" w:sz="4" w:space="0" w:color="auto"/>
              <w:left w:val="single" w:sz="4" w:space="0" w:color="auto"/>
              <w:bottom w:val="nil"/>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4</w:t>
            </w:r>
          </w:p>
        </w:tc>
        <w:tc>
          <w:tcPr>
            <w:tcW w:w="1440" w:type="dxa"/>
            <w:tcBorders>
              <w:top w:val="single" w:sz="4" w:space="0" w:color="auto"/>
              <w:left w:val="single" w:sz="4" w:space="0" w:color="auto"/>
              <w:bottom w:val="nil"/>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13,5087</w:t>
            </w:r>
          </w:p>
        </w:tc>
        <w:tc>
          <w:tcPr>
            <w:tcW w:w="1440" w:type="dxa"/>
            <w:tcBorders>
              <w:top w:val="single" w:sz="4" w:space="0" w:color="auto"/>
              <w:left w:val="single" w:sz="4" w:space="0" w:color="auto"/>
              <w:bottom w:val="nil"/>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584" w:type="dxa"/>
            <w:tcBorders>
              <w:top w:val="single" w:sz="4" w:space="0" w:color="auto"/>
              <w:left w:val="single" w:sz="4" w:space="0" w:color="auto"/>
              <w:bottom w:val="nil"/>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16 295,76</w:t>
            </w:r>
          </w:p>
        </w:tc>
      </w:tr>
      <w:tr w:rsidR="0060070F" w:rsidRPr="00E00B35" w:rsidTr="00252360">
        <w:trPr>
          <w:cantSplit/>
          <w:trHeight w:val="369"/>
        </w:trPr>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pod parkingi, magazyny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16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3,5079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58 150,00</w:t>
            </w:r>
          </w:p>
        </w:tc>
      </w:tr>
      <w:tr w:rsidR="0060070F" w:rsidRPr="00E00B35" w:rsidTr="00252360">
        <w:trPr>
          <w:cantSplit/>
          <w:trHeight w:val="369"/>
        </w:trPr>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pod trafostacje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tabs>
                <w:tab w:val="left" w:pos="1440"/>
                <w:tab w:val="right" w:pos="1561"/>
              </w:tabs>
              <w:spacing w:after="0" w:line="312" w:lineRule="auto"/>
              <w:rPr>
                <w:szCs w:val="20"/>
              </w:rPr>
            </w:pPr>
            <w:r w:rsidRPr="00E00B35">
              <w:rPr>
                <w:szCs w:val="20"/>
              </w:rPr>
              <w:t>0</w:t>
            </w:r>
          </w:p>
        </w:tc>
      </w:tr>
      <w:tr w:rsidR="0060070F" w:rsidRPr="00E00B35" w:rsidTr="00252360">
        <w:trPr>
          <w:cantSplit/>
          <w:trHeight w:val="369"/>
        </w:trPr>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zieleń przydomowa, pola irygacyjne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29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0,7273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4 960,00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r>
      <w:tr w:rsidR="0060070F" w:rsidRPr="00E00B35" w:rsidTr="00252360">
        <w:trPr>
          <w:cantSplit/>
          <w:trHeight w:val="369"/>
        </w:trPr>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lastRenderedPageBreak/>
              <w:t>Inne z VAT (z czynszem m-c)</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0,5676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20 811,00</w:t>
            </w:r>
          </w:p>
        </w:tc>
      </w:tr>
      <w:tr w:rsidR="0060070F" w:rsidRPr="00E00B35" w:rsidTr="00252360">
        <w:trPr>
          <w:cantSplit/>
          <w:trHeight w:val="369"/>
        </w:trPr>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Inne bez VAT (z czynszem rocznym)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tabs>
                <w:tab w:val="left" w:pos="1440"/>
                <w:tab w:val="right" w:pos="1561"/>
              </w:tabs>
              <w:spacing w:after="0" w:line="312" w:lineRule="auto"/>
              <w:rPr>
                <w:szCs w:val="20"/>
              </w:rPr>
            </w:pPr>
            <w:r w:rsidRPr="00E00B35">
              <w:rPr>
                <w:szCs w:val="20"/>
              </w:rPr>
              <w:t>0</w:t>
            </w:r>
          </w:p>
        </w:tc>
      </w:tr>
      <w:tr w:rsidR="0060070F" w:rsidRPr="00E00B35" w:rsidTr="00252360">
        <w:trPr>
          <w:cantSplit/>
          <w:trHeight w:val="369"/>
        </w:trPr>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Inne z VAT (z czynszem rocznym)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0,2034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1 180,00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r>
      <w:tr w:rsidR="0060070F" w:rsidRPr="00E00B35" w:rsidTr="00252360">
        <w:trPr>
          <w:cantSplit/>
          <w:trHeight w:val="369"/>
        </w:trPr>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Razem umowy dzierżawy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85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r w:rsidRPr="00E00B35">
              <w:rPr>
                <w:bCs/>
                <w:szCs w:val="20"/>
              </w:rPr>
              <w:t>19,1038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r w:rsidRPr="00E00B35">
              <w:rPr>
                <w:bCs/>
                <w:szCs w:val="20"/>
              </w:rPr>
              <w:t>6140,00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bCs/>
                <w:szCs w:val="20"/>
              </w:rPr>
            </w:pPr>
            <w:r w:rsidRPr="00E00B35">
              <w:rPr>
                <w:bCs/>
                <w:szCs w:val="20"/>
              </w:rPr>
              <w:t>129 427,76</w:t>
            </w:r>
          </w:p>
        </w:tc>
      </w:tr>
      <w:tr w:rsidR="0060070F" w:rsidRPr="00E00B35" w:rsidTr="00252360">
        <w:trPr>
          <w:cantSplit/>
          <w:trHeight w:val="369"/>
        </w:trPr>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Umowy użyczenia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0,0128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60070F" w:rsidRPr="00E00B35" w:rsidRDefault="0060070F" w:rsidP="00E00B35">
            <w:pPr>
              <w:spacing w:after="0" w:line="312" w:lineRule="auto"/>
              <w:rPr>
                <w:szCs w:val="20"/>
              </w:rPr>
            </w:pPr>
            <w:r w:rsidRPr="00E00B35">
              <w:rPr>
                <w:szCs w:val="20"/>
              </w:rPr>
              <w:t>0</w:t>
            </w:r>
          </w:p>
        </w:tc>
      </w:tr>
    </w:tbl>
    <w:p w:rsidR="0060070F" w:rsidRPr="00E00B35" w:rsidRDefault="0060070F" w:rsidP="00E00B35">
      <w:pPr>
        <w:spacing w:after="0" w:line="312" w:lineRule="auto"/>
        <w:rPr>
          <w:b/>
          <w:bCs/>
          <w:color w:val="800000"/>
          <w:szCs w:val="20"/>
        </w:rPr>
      </w:pPr>
    </w:p>
    <w:p w:rsidR="0060070F" w:rsidRPr="00E00B35" w:rsidRDefault="0060070F" w:rsidP="00E00B35">
      <w:pPr>
        <w:pStyle w:val="akapit"/>
        <w:spacing w:line="312" w:lineRule="auto"/>
        <w:rPr>
          <w:szCs w:val="20"/>
        </w:rPr>
      </w:pPr>
      <w:r w:rsidRPr="00E00B35">
        <w:rPr>
          <w:szCs w:val="20"/>
        </w:rPr>
        <w:t>Ilość umów dzierżaw gruntów gminnych zawartych na kioski i pawilony wynosiła w 2020 r. – 24, w 2019 r. – 16, w 2018 r. – 14, w 2017 r. – 31, w 2016 r. – 18.</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Ilość zawartych umów dzierżaw gruntów zabudowanych wynosiła w 2020 r. – 4, w 2019 r. – 1, w 2018 r. – 4, w 2017 r. – 7, w 2016 r. – 7.</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Ilość zawartych umów dzierżaw gruntów rolnych wynosiła w 2020 r. – 0, w 2019 r. – 4, w 2018 r. – 2, w 2017 r. – 3, w 2016 r. – 2.</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Ilość zawartych innych umów dzierżaw (zieleń, parkingi, trafostacje) wynosiła w 2020 r. – 57, w 2019 r. – 59, w 2018 r. – 81, w 2017 r. – 88, w 2016 r. – 54.</w:t>
      </w:r>
    </w:p>
    <w:p w:rsidR="0060070F" w:rsidRPr="00E00B35" w:rsidRDefault="0060070F" w:rsidP="00E00B35">
      <w:pPr>
        <w:pStyle w:val="akapit"/>
        <w:spacing w:line="312" w:lineRule="auto"/>
        <w:rPr>
          <w:b/>
          <w:bCs/>
          <w:szCs w:val="20"/>
        </w:rPr>
      </w:pPr>
    </w:p>
    <w:p w:rsidR="0060070F" w:rsidRPr="00E00B35" w:rsidRDefault="0060070F" w:rsidP="00E00B35">
      <w:pPr>
        <w:pStyle w:val="akapit"/>
        <w:spacing w:line="312" w:lineRule="auto"/>
        <w:rPr>
          <w:szCs w:val="20"/>
        </w:rPr>
      </w:pPr>
      <w:r w:rsidRPr="00E00B35">
        <w:rPr>
          <w:szCs w:val="20"/>
        </w:rPr>
        <w:t xml:space="preserve">Dokonano naliczeń </w:t>
      </w:r>
      <w:r w:rsidRPr="00E00B35">
        <w:rPr>
          <w:bCs/>
          <w:szCs w:val="20"/>
        </w:rPr>
        <w:t>opłat za korzystanie bez tytułu prawnego</w:t>
      </w:r>
      <w:r w:rsidRPr="00E00B35">
        <w:rPr>
          <w:szCs w:val="20"/>
        </w:rPr>
        <w:t xml:space="preserve"> z gruntu Gminy dla 80 podmiotów (3,0748 ha) na ogólną kwotę </w:t>
      </w:r>
      <w:r w:rsidRPr="00E00B35">
        <w:rPr>
          <w:bCs/>
          <w:szCs w:val="20"/>
        </w:rPr>
        <w:t>392 544,13 zł</w:t>
      </w:r>
      <w:r w:rsidRPr="00E00B35">
        <w:rPr>
          <w:szCs w:val="20"/>
        </w:rPr>
        <w:t xml:space="preserve"> netto.</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Sporządzono 18</w:t>
      </w:r>
      <w:r w:rsidRPr="00E00B35">
        <w:rPr>
          <w:bCs/>
          <w:szCs w:val="20"/>
        </w:rPr>
        <w:t xml:space="preserve"> protokołów czasowego udostępnienia gruntów</w:t>
      </w:r>
      <w:r w:rsidRPr="00E00B35">
        <w:rPr>
          <w:szCs w:val="20"/>
        </w:rPr>
        <w:t xml:space="preserve"> komunalnych (1,4838 ha) na rzecz inwestorów realizujących uzbrojenie podziemne związane z rozbudową telekomunikacji, energetyki, gazownictwa, wodociągów, ciepłownictwa itp., oraz pod zaplecza budów. Łączna kwota naliczonych opłat z tego tytułu wyniosła </w:t>
      </w:r>
      <w:r w:rsidRPr="00E00B35">
        <w:rPr>
          <w:bCs/>
          <w:szCs w:val="20"/>
        </w:rPr>
        <w:t>42 931,50 zł</w:t>
      </w:r>
      <w:r w:rsidRPr="00E00B35">
        <w:rPr>
          <w:szCs w:val="20"/>
        </w:rPr>
        <w:t xml:space="preserve">. </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Sporządzono 21</w:t>
      </w:r>
      <w:r w:rsidRPr="00E00B35">
        <w:rPr>
          <w:bCs/>
          <w:szCs w:val="20"/>
        </w:rPr>
        <w:t xml:space="preserve"> aneksów</w:t>
      </w:r>
      <w:r w:rsidRPr="00E00B35">
        <w:rPr>
          <w:szCs w:val="20"/>
        </w:rPr>
        <w:t xml:space="preserve"> zmieniających dzierżawioną powierzchnię, wysokość  czynszu, lub przedłużających termin dzierżawy. </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Sporządzono </w:t>
      </w:r>
      <w:r w:rsidRPr="00E00B35">
        <w:rPr>
          <w:bCs/>
          <w:szCs w:val="20"/>
        </w:rPr>
        <w:t>69 protokołów zdawczo-odbiorczych</w:t>
      </w:r>
      <w:r w:rsidRPr="00E00B35">
        <w:rPr>
          <w:b/>
          <w:bCs/>
          <w:szCs w:val="20"/>
        </w:rPr>
        <w:t>,</w:t>
      </w:r>
      <w:r w:rsidRPr="00E00B35">
        <w:rPr>
          <w:szCs w:val="20"/>
        </w:rPr>
        <w:t xml:space="preserve"> dotyczących przekazania nieruchomości do zarządzania do Zarządu Dróg i Utrzymania Miasta i Zarządu Zieleni Miejskiej.</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Sporządzono 106</w:t>
      </w:r>
      <w:r w:rsidRPr="00E00B35">
        <w:rPr>
          <w:bCs/>
          <w:szCs w:val="20"/>
        </w:rPr>
        <w:t xml:space="preserve"> zarządzeń Prezydenta</w:t>
      </w:r>
      <w:r w:rsidRPr="00E00B35">
        <w:rPr>
          <w:szCs w:val="20"/>
        </w:rPr>
        <w:t xml:space="preserve"> w sprawie oddania nieruchomości w dzierżawę, w trybie bezprzetargowym i przetargowym.</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Sporządzono </w:t>
      </w:r>
      <w:r w:rsidRPr="00E00B35">
        <w:rPr>
          <w:bCs/>
          <w:szCs w:val="20"/>
        </w:rPr>
        <w:t>2 zarządzenia Prezydenta</w:t>
      </w:r>
      <w:r w:rsidRPr="00E00B35">
        <w:rPr>
          <w:szCs w:val="20"/>
        </w:rPr>
        <w:t xml:space="preserve"> w sprawie wskazania Zarządu Zasobu Komunalnego lub innych jednostek miejskich, jako właściwych do przejęcia nieruchomości do zarządzania.</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Opracowano </w:t>
      </w:r>
      <w:r w:rsidRPr="00E00B35">
        <w:rPr>
          <w:bCs/>
          <w:szCs w:val="20"/>
        </w:rPr>
        <w:t>106</w:t>
      </w:r>
      <w:r w:rsidRPr="00E00B35">
        <w:rPr>
          <w:szCs w:val="20"/>
        </w:rPr>
        <w:t xml:space="preserve"> </w:t>
      </w:r>
      <w:r w:rsidRPr="00E00B35">
        <w:rPr>
          <w:bCs/>
          <w:szCs w:val="20"/>
        </w:rPr>
        <w:t>wykazów</w:t>
      </w:r>
      <w:r w:rsidRPr="00E00B35">
        <w:rPr>
          <w:szCs w:val="20"/>
        </w:rPr>
        <w:t xml:space="preserve"> </w:t>
      </w:r>
      <w:r w:rsidRPr="00E00B35">
        <w:rPr>
          <w:bCs/>
          <w:szCs w:val="20"/>
        </w:rPr>
        <w:t>informacyjnych</w:t>
      </w:r>
      <w:r w:rsidRPr="00E00B35">
        <w:rPr>
          <w:szCs w:val="20"/>
        </w:rPr>
        <w:t xml:space="preserve"> (3-tygodniowych), dotyczących oddania nieruchomości w dzierżawę w trybie bezprzetargowym i przetargowym.</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lastRenderedPageBreak/>
        <w:t xml:space="preserve">Przeprowadzono </w:t>
      </w:r>
      <w:r w:rsidRPr="00E00B35">
        <w:rPr>
          <w:bCs/>
          <w:szCs w:val="20"/>
        </w:rPr>
        <w:t>99</w:t>
      </w:r>
      <w:r w:rsidRPr="00E00B35">
        <w:rPr>
          <w:szCs w:val="20"/>
        </w:rPr>
        <w:t xml:space="preserve"> </w:t>
      </w:r>
      <w:r w:rsidRPr="00E00B35">
        <w:rPr>
          <w:bCs/>
          <w:szCs w:val="20"/>
        </w:rPr>
        <w:t>negocjacji</w:t>
      </w:r>
      <w:r w:rsidRPr="00E00B35">
        <w:rPr>
          <w:szCs w:val="20"/>
        </w:rPr>
        <w:t xml:space="preserve"> z dzierżawcami w zakresie szczegółowych warunków umownych jak też wysokości kwoty czynszu dzierżawnego.</w:t>
      </w:r>
    </w:p>
    <w:p w:rsidR="0060070F" w:rsidRPr="00E00B35" w:rsidRDefault="0060070F" w:rsidP="00E00B35">
      <w:pPr>
        <w:pStyle w:val="akapit"/>
        <w:spacing w:line="312" w:lineRule="auto"/>
        <w:rPr>
          <w:strike/>
          <w:szCs w:val="20"/>
        </w:rPr>
      </w:pPr>
    </w:p>
    <w:p w:rsidR="0060070F" w:rsidRPr="00E00B35" w:rsidRDefault="0060070F" w:rsidP="00E00B35">
      <w:pPr>
        <w:pStyle w:val="akapit"/>
        <w:spacing w:line="312" w:lineRule="auto"/>
        <w:rPr>
          <w:szCs w:val="20"/>
        </w:rPr>
      </w:pPr>
      <w:r w:rsidRPr="00E00B35">
        <w:rPr>
          <w:szCs w:val="20"/>
        </w:rPr>
        <w:t>W 2020 r. w związku z epidemią COVID-19 zostało złożonych 111 wniosków o obniżenie czynszu dzierżawnego. Sporządzono 56 aneksów obniżających czasowo wysokość czynszu dzierżawnego. Udzielono 56 dzierżawcom pomocy de minimis w związku z obniżeniem czynszu dzierżawnego.</w:t>
      </w:r>
    </w:p>
    <w:p w:rsidR="0060070F" w:rsidRPr="00E00B35" w:rsidRDefault="0060070F" w:rsidP="00E00B35">
      <w:pPr>
        <w:pStyle w:val="akapit"/>
        <w:spacing w:line="312" w:lineRule="auto"/>
        <w:rPr>
          <w:szCs w:val="20"/>
        </w:rPr>
      </w:pPr>
      <w:r w:rsidRPr="00E00B35">
        <w:rPr>
          <w:szCs w:val="20"/>
        </w:rPr>
        <w:t>Łączna kwota udzielonej pomocy de minimis wynosi  805 388,20 zł</w:t>
      </w:r>
      <w:r w:rsidRPr="00E00B35">
        <w:rPr>
          <w:b/>
          <w:szCs w:val="20"/>
        </w:rPr>
        <w:t xml:space="preserve"> </w:t>
      </w:r>
      <w:r w:rsidRPr="00E00B35">
        <w:rPr>
          <w:szCs w:val="20"/>
        </w:rPr>
        <w:t>(kwota utraconego czynszu).</w:t>
      </w:r>
    </w:p>
    <w:p w:rsidR="0018356D" w:rsidRPr="00E00B35" w:rsidRDefault="0018356D" w:rsidP="00E00B35">
      <w:pPr>
        <w:pStyle w:val="Nagwek20"/>
        <w:spacing w:after="0" w:line="312" w:lineRule="auto"/>
        <w:rPr>
          <w:sz w:val="20"/>
          <w:szCs w:val="20"/>
        </w:rPr>
      </w:pPr>
    </w:p>
    <w:p w:rsidR="0060070F" w:rsidRPr="00E00B35" w:rsidRDefault="0060070F" w:rsidP="00E00B35">
      <w:pPr>
        <w:pStyle w:val="Nagwek4"/>
        <w:spacing w:before="0" w:after="0" w:line="312" w:lineRule="auto"/>
        <w:rPr>
          <w:sz w:val="20"/>
          <w:szCs w:val="20"/>
        </w:rPr>
      </w:pPr>
      <w:r w:rsidRPr="00E00B35">
        <w:rPr>
          <w:sz w:val="20"/>
          <w:szCs w:val="20"/>
        </w:rPr>
        <w:t>Ustanawianie praw do nieruchomości</w:t>
      </w:r>
    </w:p>
    <w:p w:rsidR="0060070F" w:rsidRPr="00E00B35" w:rsidRDefault="0060070F" w:rsidP="00E00B35">
      <w:pPr>
        <w:pStyle w:val="akapit"/>
        <w:spacing w:line="312" w:lineRule="auto"/>
        <w:rPr>
          <w:bCs/>
          <w:szCs w:val="20"/>
        </w:rPr>
      </w:pPr>
      <w:r w:rsidRPr="00E00B35">
        <w:rPr>
          <w:bCs/>
          <w:szCs w:val="20"/>
        </w:rPr>
        <w:t xml:space="preserve">Sprzedaż lub ustanawianie prawa użytkowania wieczystego </w:t>
      </w:r>
      <w:r w:rsidRPr="00E00B35">
        <w:rPr>
          <w:szCs w:val="20"/>
        </w:rPr>
        <w:t xml:space="preserve">wraz z przeniesieniem własności znajdującej się na nieruchomości zabudowy oraz sporządzanie aneksów do umów: łącznie 75 spraw, zakończono 25 </w:t>
      </w:r>
      <w:r w:rsidRPr="00E00B35">
        <w:rPr>
          <w:bCs/>
          <w:szCs w:val="20"/>
        </w:rPr>
        <w:t>(</w:t>
      </w:r>
      <w:r w:rsidRPr="00E00B35">
        <w:rPr>
          <w:szCs w:val="20"/>
        </w:rPr>
        <w:t xml:space="preserve">w tym 3 </w:t>
      </w:r>
      <w:r w:rsidRPr="00E00B35">
        <w:rPr>
          <w:bCs/>
          <w:szCs w:val="20"/>
        </w:rPr>
        <w:t>zakończone umową)</w:t>
      </w:r>
      <w:r w:rsidRPr="00E00B35">
        <w:rPr>
          <w:szCs w:val="20"/>
        </w:rPr>
        <w:t xml:space="preserve">, </w:t>
      </w:r>
      <w:r w:rsidRPr="00E00B35">
        <w:rPr>
          <w:bCs/>
          <w:szCs w:val="20"/>
        </w:rPr>
        <w:t>w toku pozostało 50.</w:t>
      </w:r>
    </w:p>
    <w:p w:rsidR="0060070F" w:rsidRPr="00E00B35" w:rsidRDefault="0018356D" w:rsidP="00E00B35">
      <w:pPr>
        <w:pStyle w:val="Akapitzlist1"/>
        <w:spacing w:after="0" w:line="312" w:lineRule="auto"/>
        <w:ind w:left="0"/>
        <w:rPr>
          <w:szCs w:val="20"/>
        </w:rPr>
      </w:pPr>
      <w:r w:rsidRPr="00E00B35">
        <w:rPr>
          <w:strike/>
          <w:szCs w:val="20"/>
        </w:rPr>
        <w:br/>
      </w:r>
      <w:r w:rsidR="0060070F" w:rsidRPr="00E00B35">
        <w:rPr>
          <w:szCs w:val="20"/>
        </w:rPr>
        <w:t>Ustanawianie tytułu prawnego do nieruchomości na rzecz jednostek organizacyjnych gminy Wrocław w formie decyzji o oddaniu nieruchomości w trwały zarząd:</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decyzje ustanawiające trwały zarząd, wygaszające trwały zarząd, zmieniające decyzje o ustanowieniu trwałego zarządu, umarzające postępowania – 36</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postanowienia wydane w toku postępowań – 19</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zawiadomienia wydane w toku postępowania – 97</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zgody wydane trwałym zarządcom na wynajem, dzierżawę, użyczenie części nieruchomości osobom trzecim - 25</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informacje – 38.</w:t>
      </w:r>
    </w:p>
    <w:p w:rsidR="0060070F" w:rsidRPr="00E00B35" w:rsidRDefault="0018356D" w:rsidP="00E00B35">
      <w:pPr>
        <w:pStyle w:val="akapit"/>
        <w:spacing w:line="312" w:lineRule="auto"/>
        <w:rPr>
          <w:szCs w:val="20"/>
        </w:rPr>
      </w:pPr>
      <w:r w:rsidRPr="00E00B35">
        <w:rPr>
          <w:bCs/>
          <w:szCs w:val="20"/>
        </w:rPr>
        <w:br/>
      </w:r>
      <w:r w:rsidR="0060070F" w:rsidRPr="00E00B35">
        <w:rPr>
          <w:bCs/>
          <w:szCs w:val="20"/>
        </w:rPr>
        <w:t>Oddawanie nieruchomości</w:t>
      </w:r>
      <w:r w:rsidR="0060070F" w:rsidRPr="00E00B35">
        <w:rPr>
          <w:szCs w:val="20"/>
        </w:rPr>
        <w:t xml:space="preserve"> stanowiących własność gminy Wrocław i gminy Wrocław wykonującej zadania powiatu jako Miasta na prawach powiatu </w:t>
      </w:r>
      <w:r w:rsidR="0060070F" w:rsidRPr="00E00B35">
        <w:rPr>
          <w:bCs/>
          <w:szCs w:val="20"/>
        </w:rPr>
        <w:t>w użytkowanie lub wygaszanie użytkowania</w:t>
      </w:r>
      <w:r w:rsidR="0060070F" w:rsidRPr="00E00B35">
        <w:rPr>
          <w:szCs w:val="20"/>
        </w:rPr>
        <w:t xml:space="preserve">: łącznie </w:t>
      </w:r>
      <w:r w:rsidR="0060070F" w:rsidRPr="00E00B35">
        <w:rPr>
          <w:bCs/>
          <w:szCs w:val="20"/>
        </w:rPr>
        <w:t>17</w:t>
      </w:r>
      <w:r w:rsidR="0060070F" w:rsidRPr="00E00B35">
        <w:rPr>
          <w:szCs w:val="20"/>
        </w:rPr>
        <w:t xml:space="preserve"> spraw, zakończono </w:t>
      </w:r>
      <w:r w:rsidR="0060070F" w:rsidRPr="00E00B35">
        <w:rPr>
          <w:bCs/>
          <w:szCs w:val="20"/>
        </w:rPr>
        <w:t>7</w:t>
      </w:r>
      <w:r w:rsidR="0060070F" w:rsidRPr="00E00B35">
        <w:rPr>
          <w:szCs w:val="20"/>
        </w:rPr>
        <w:t xml:space="preserve"> (w tym </w:t>
      </w:r>
      <w:r w:rsidR="0060070F" w:rsidRPr="00E00B35">
        <w:rPr>
          <w:bCs/>
          <w:szCs w:val="20"/>
        </w:rPr>
        <w:t>3</w:t>
      </w:r>
      <w:r w:rsidR="0060070F" w:rsidRPr="00E00B35">
        <w:rPr>
          <w:szCs w:val="20"/>
        </w:rPr>
        <w:t xml:space="preserve"> zakończone umową ustanowienia), w toku pozostało 10 spraw.</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Wydanych protokołów uzgodnień: 61</w:t>
      </w:r>
      <w:r w:rsidRPr="00E00B35">
        <w:rPr>
          <w:bCs/>
          <w:szCs w:val="20"/>
        </w:rPr>
        <w:t>.</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Prowadzenie postępowań w celu ustanowienia </w:t>
      </w:r>
      <w:r w:rsidRPr="00E00B35">
        <w:rPr>
          <w:bCs/>
          <w:szCs w:val="20"/>
        </w:rPr>
        <w:t>służebności gruntowych i przesyłu</w:t>
      </w:r>
      <w:r w:rsidRPr="00E00B35">
        <w:rPr>
          <w:szCs w:val="20"/>
        </w:rPr>
        <w:t xml:space="preserve">: </w:t>
      </w:r>
    </w:p>
    <w:p w:rsidR="0060070F" w:rsidRPr="00E00B35" w:rsidRDefault="0060070F" w:rsidP="00E00B35">
      <w:pPr>
        <w:pStyle w:val="akapit"/>
        <w:spacing w:line="312" w:lineRule="auto"/>
        <w:rPr>
          <w:szCs w:val="20"/>
        </w:rPr>
      </w:pPr>
      <w:r w:rsidRPr="00E00B35">
        <w:rPr>
          <w:szCs w:val="20"/>
        </w:rPr>
        <w:t xml:space="preserve">Łącznie </w:t>
      </w:r>
      <w:r w:rsidRPr="00E00B35">
        <w:rPr>
          <w:bCs/>
          <w:szCs w:val="20"/>
        </w:rPr>
        <w:t>545</w:t>
      </w:r>
      <w:r w:rsidRPr="00E00B35">
        <w:rPr>
          <w:szCs w:val="20"/>
        </w:rPr>
        <w:t xml:space="preserve">, zakończono </w:t>
      </w:r>
      <w:r w:rsidRPr="00E00B35">
        <w:rPr>
          <w:bCs/>
          <w:szCs w:val="20"/>
        </w:rPr>
        <w:t>83</w:t>
      </w:r>
      <w:r w:rsidRPr="00E00B35">
        <w:rPr>
          <w:szCs w:val="20"/>
        </w:rPr>
        <w:t xml:space="preserve"> </w:t>
      </w:r>
      <w:r w:rsidRPr="00E00B35">
        <w:rPr>
          <w:bCs/>
          <w:szCs w:val="20"/>
        </w:rPr>
        <w:t>(w tym 28 zakończone umową)</w:t>
      </w:r>
      <w:r w:rsidRPr="00E00B35">
        <w:rPr>
          <w:szCs w:val="20"/>
        </w:rPr>
        <w:t>, w toku pozostało 462.</w:t>
      </w:r>
    </w:p>
    <w:p w:rsidR="0060070F" w:rsidRPr="00E00B35" w:rsidRDefault="0018356D" w:rsidP="00E00B35">
      <w:pPr>
        <w:pStyle w:val="akapit"/>
        <w:spacing w:line="312" w:lineRule="auto"/>
        <w:rPr>
          <w:szCs w:val="20"/>
        </w:rPr>
      </w:pPr>
      <w:r w:rsidRPr="00E00B35">
        <w:rPr>
          <w:szCs w:val="20"/>
        </w:rPr>
        <w:br/>
      </w:r>
      <w:r w:rsidR="0060070F" w:rsidRPr="00E00B35">
        <w:rPr>
          <w:szCs w:val="20"/>
        </w:rPr>
        <w:t>Dochody z tytułu ustanowionych służebności wynosiły w 2020 r. – 389 758 zł, w 2019 r. – 892 586 zł, w 2018 r. – 735 151 zł, w 2017 r. – 1 135 646 zł, w 2016 r. – 930 162 zł.</w:t>
      </w:r>
    </w:p>
    <w:p w:rsidR="0060070F" w:rsidRPr="00E00B35" w:rsidRDefault="0060070F" w:rsidP="00E00B35">
      <w:pPr>
        <w:pStyle w:val="akapit"/>
        <w:spacing w:line="312" w:lineRule="auto"/>
        <w:rPr>
          <w:b/>
          <w:bCs/>
          <w:strike/>
          <w:color w:val="800000"/>
          <w:szCs w:val="20"/>
        </w:rPr>
      </w:pPr>
    </w:p>
    <w:p w:rsidR="0060070F" w:rsidRPr="00E00B35" w:rsidRDefault="0060070F" w:rsidP="00E00B35">
      <w:pPr>
        <w:pStyle w:val="xl146"/>
        <w:spacing w:before="0" w:beforeAutospacing="0" w:after="0" w:afterAutospacing="0" w:line="312" w:lineRule="auto"/>
        <w:rPr>
          <w:rFonts w:ascii="Verdana" w:eastAsia="Times New Roman" w:hAnsi="Verdana" w:cs="Times New Roman"/>
          <w:sz w:val="20"/>
          <w:szCs w:val="20"/>
        </w:rPr>
      </w:pPr>
      <w:r w:rsidRPr="00E00B35">
        <w:rPr>
          <w:rFonts w:ascii="Verdana" w:eastAsia="Times New Roman" w:hAnsi="Verdana" w:cs="Times New Roman"/>
          <w:sz w:val="20"/>
          <w:szCs w:val="20"/>
        </w:rPr>
        <w:t>Umowy lub uzgodnienia zawarte w 2020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946"/>
        <w:gridCol w:w="720"/>
        <w:gridCol w:w="1620"/>
      </w:tblGrid>
      <w:tr w:rsidR="0060070F" w:rsidRPr="00E00B35" w:rsidTr="00252360">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Rodzaj umowy</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Ilość</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Łączna kwota do zapłaty [zł]</w:t>
            </w:r>
          </w:p>
        </w:tc>
      </w:tr>
      <w:tr w:rsidR="0060070F" w:rsidRPr="00E00B35" w:rsidTr="00252360">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lastRenderedPageBreak/>
              <w:t xml:space="preserve">Sprzedaż na rzecz użytkownika wieczystego </w:t>
            </w:r>
          </w:p>
          <w:p w:rsidR="0060070F" w:rsidRPr="00E00B35" w:rsidRDefault="0060070F" w:rsidP="00E00B35">
            <w:pPr>
              <w:spacing w:after="0" w:line="312" w:lineRule="auto"/>
              <w:rPr>
                <w:szCs w:val="20"/>
              </w:rPr>
            </w:pPr>
            <w:r w:rsidRPr="00E00B35">
              <w:rPr>
                <w:iCs/>
                <w:szCs w:val="20"/>
              </w:rPr>
              <w:t>(wykaz nieruchomości zawarto w tabeli A)</w:t>
            </w:r>
            <w:r w:rsidRPr="00E00B35">
              <w:rPr>
                <w:szCs w:val="2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5 838 306,70</w:t>
            </w:r>
          </w:p>
        </w:tc>
      </w:tr>
      <w:tr w:rsidR="0060070F" w:rsidRPr="00E00B35" w:rsidTr="00252360">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Sprzedaż w trybie bezprzetargowym</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2 380,05</w:t>
            </w:r>
          </w:p>
        </w:tc>
      </w:tr>
      <w:tr w:rsidR="0060070F" w:rsidRPr="00E00B35" w:rsidTr="00252360">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 xml:space="preserve">Użytkowanie </w:t>
            </w:r>
            <w:r w:rsidRPr="00E00B35">
              <w:rPr>
                <w:iCs/>
                <w:szCs w:val="20"/>
              </w:rPr>
              <w:t>(wykaz nieruchomości zawarto w tabeli B)</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6 068,39</w:t>
            </w:r>
          </w:p>
        </w:tc>
      </w:tr>
      <w:tr w:rsidR="0060070F" w:rsidRPr="00E00B35" w:rsidTr="00252360">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Uzgodnienia lokalizacji sieci infrastruktury technicznej</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61</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34 036,38</w:t>
            </w:r>
          </w:p>
        </w:tc>
      </w:tr>
      <w:tr w:rsidR="0060070F" w:rsidRPr="00E00B35" w:rsidTr="00252360">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Służebności gruntowe</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72 638,22</w:t>
            </w:r>
          </w:p>
        </w:tc>
      </w:tr>
      <w:tr w:rsidR="0060070F" w:rsidRPr="00E00B35" w:rsidTr="00252360">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tabs>
                <w:tab w:val="left" w:pos="2592"/>
              </w:tabs>
              <w:spacing w:after="0" w:line="312" w:lineRule="auto"/>
              <w:rPr>
                <w:szCs w:val="20"/>
              </w:rPr>
            </w:pPr>
            <w:r w:rsidRPr="00E00B35">
              <w:rPr>
                <w:szCs w:val="20"/>
              </w:rPr>
              <w:t>Służebności przesyłu</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25</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317 119,38</w:t>
            </w:r>
          </w:p>
        </w:tc>
      </w:tr>
      <w:tr w:rsidR="0060070F" w:rsidRPr="00E00B35" w:rsidTr="00252360">
        <w:trPr>
          <w:trHeight w:val="322"/>
        </w:trPr>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Razem</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95</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6 270 549,12</w:t>
            </w:r>
          </w:p>
        </w:tc>
      </w:tr>
    </w:tbl>
    <w:p w:rsidR="0060070F" w:rsidRPr="00E00B35" w:rsidRDefault="0060070F" w:rsidP="00E00B35">
      <w:pPr>
        <w:pStyle w:val="Tekstpodstawowy3"/>
        <w:spacing w:after="0" w:line="312" w:lineRule="auto"/>
        <w:rPr>
          <w:strike/>
          <w:sz w:val="20"/>
          <w:szCs w:val="20"/>
        </w:rPr>
      </w:pPr>
    </w:p>
    <w:p w:rsidR="0060070F" w:rsidRPr="00E00B35" w:rsidRDefault="0060070F" w:rsidP="00E00B35">
      <w:pPr>
        <w:pStyle w:val="Tekstpodstawowy3"/>
        <w:spacing w:after="0" w:line="312" w:lineRule="auto"/>
        <w:rPr>
          <w:sz w:val="20"/>
          <w:szCs w:val="20"/>
        </w:rPr>
      </w:pPr>
      <w:r w:rsidRPr="00E00B35">
        <w:rPr>
          <w:sz w:val="20"/>
          <w:szCs w:val="20"/>
        </w:rPr>
        <w:t>Tabela A – wykaz nieruchomości sprzedanych na rzecz użytkownika wieczystego (na podstawie art. 32 ust. 1 ustawy o gospodarce nieruchomościami)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33"/>
        <w:gridCol w:w="5438"/>
        <w:gridCol w:w="1796"/>
        <w:gridCol w:w="1519"/>
      </w:tblGrid>
      <w:tr w:rsidR="0060070F" w:rsidRPr="00E00B35" w:rsidTr="00252360">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Lp.</w:t>
            </w:r>
          </w:p>
        </w:tc>
        <w:tc>
          <w:tcPr>
            <w:tcW w:w="544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Adres nieruchomości</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Łączna kwota do zapłaty [zł]</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Powierzchnia [m</w:t>
            </w:r>
            <w:r w:rsidRPr="00E00B35">
              <w:rPr>
                <w:szCs w:val="20"/>
                <w:vertAlign w:val="superscript"/>
              </w:rPr>
              <w:t>2</w:t>
            </w:r>
            <w:r w:rsidRPr="00E00B35">
              <w:rPr>
                <w:szCs w:val="20"/>
              </w:rPr>
              <w:t>]</w:t>
            </w:r>
          </w:p>
        </w:tc>
      </w:tr>
      <w:tr w:rsidR="0060070F" w:rsidRPr="00E00B35" w:rsidTr="00252360">
        <w:trPr>
          <w:cantSplit/>
        </w:trPr>
        <w:tc>
          <w:tcPr>
            <w:tcW w:w="533" w:type="dxa"/>
            <w:tcBorders>
              <w:top w:val="single" w:sz="4" w:space="0" w:color="000000"/>
              <w:left w:val="single" w:sz="4" w:space="0" w:color="000000"/>
              <w:bottom w:val="single" w:sz="4" w:space="0" w:color="000000"/>
              <w:right w:val="single" w:sz="4" w:space="0" w:color="000000"/>
            </w:tcBorders>
          </w:tcPr>
          <w:p w:rsidR="0060070F" w:rsidRPr="00E00B35" w:rsidRDefault="0060070F" w:rsidP="00E00B35">
            <w:pPr>
              <w:spacing w:after="0" w:line="312" w:lineRule="auto"/>
              <w:rPr>
                <w:szCs w:val="20"/>
              </w:rPr>
            </w:pPr>
            <w:r w:rsidRPr="00E00B35">
              <w:rPr>
                <w:szCs w:val="20"/>
              </w:rPr>
              <w:t>1</w:t>
            </w:r>
          </w:p>
        </w:tc>
        <w:tc>
          <w:tcPr>
            <w:tcW w:w="544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pStyle w:val="xl146"/>
              <w:spacing w:before="0" w:beforeAutospacing="0" w:after="0" w:afterAutospacing="0" w:line="312" w:lineRule="auto"/>
              <w:rPr>
                <w:rFonts w:ascii="Verdana" w:eastAsia="Times New Roman" w:hAnsi="Verdana" w:cs="Times New Roman"/>
                <w:sz w:val="20"/>
                <w:szCs w:val="20"/>
              </w:rPr>
            </w:pPr>
            <w:r w:rsidRPr="00E00B35">
              <w:rPr>
                <w:rFonts w:ascii="Verdana" w:eastAsia="Times New Roman" w:hAnsi="Verdana" w:cs="Times New Roman"/>
                <w:sz w:val="20"/>
                <w:szCs w:val="20"/>
              </w:rPr>
              <w:t>ul. Bajana 32a</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41 635,00</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125</w:t>
            </w:r>
          </w:p>
        </w:tc>
      </w:tr>
      <w:tr w:rsidR="0060070F" w:rsidRPr="00E00B35" w:rsidTr="00252360">
        <w:trPr>
          <w:cantSplit/>
        </w:trPr>
        <w:tc>
          <w:tcPr>
            <w:tcW w:w="533" w:type="dxa"/>
            <w:tcBorders>
              <w:top w:val="single" w:sz="4" w:space="0" w:color="000000"/>
              <w:left w:val="single" w:sz="4" w:space="0" w:color="000000"/>
              <w:bottom w:val="single" w:sz="4" w:space="0" w:color="000000"/>
              <w:right w:val="single" w:sz="4" w:space="0" w:color="000000"/>
            </w:tcBorders>
          </w:tcPr>
          <w:p w:rsidR="0060070F" w:rsidRPr="00E00B35" w:rsidRDefault="0060070F" w:rsidP="00E00B35">
            <w:pPr>
              <w:spacing w:after="0" w:line="312" w:lineRule="auto"/>
              <w:rPr>
                <w:szCs w:val="20"/>
              </w:rPr>
            </w:pPr>
            <w:r w:rsidRPr="00E00B35">
              <w:rPr>
                <w:szCs w:val="20"/>
              </w:rPr>
              <w:t>2</w:t>
            </w:r>
          </w:p>
        </w:tc>
        <w:tc>
          <w:tcPr>
            <w:tcW w:w="5440"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ul. Włodkowica 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5 796 671,70</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60070F" w:rsidRPr="00E00B35" w:rsidRDefault="0060070F" w:rsidP="00E00B35">
            <w:pPr>
              <w:spacing w:after="0" w:line="312" w:lineRule="auto"/>
              <w:rPr>
                <w:szCs w:val="20"/>
              </w:rPr>
            </w:pPr>
            <w:r w:rsidRPr="00E00B35">
              <w:rPr>
                <w:szCs w:val="20"/>
              </w:rPr>
              <w:t>1988</w:t>
            </w:r>
          </w:p>
        </w:tc>
      </w:tr>
    </w:tbl>
    <w:p w:rsidR="0060070F" w:rsidRPr="00E00B35" w:rsidRDefault="0060070F" w:rsidP="00E00B35">
      <w:pPr>
        <w:pStyle w:val="Tekstpodstawowy3"/>
        <w:spacing w:after="0" w:line="312" w:lineRule="auto"/>
        <w:rPr>
          <w:strike/>
          <w:sz w:val="20"/>
          <w:szCs w:val="20"/>
        </w:rPr>
      </w:pPr>
    </w:p>
    <w:p w:rsidR="0060070F" w:rsidRPr="00E00B35" w:rsidRDefault="0060070F" w:rsidP="00E00B35">
      <w:pPr>
        <w:pStyle w:val="Tekstpodstawowy3"/>
        <w:spacing w:after="0" w:line="312" w:lineRule="auto"/>
        <w:rPr>
          <w:sz w:val="20"/>
          <w:szCs w:val="20"/>
        </w:rPr>
      </w:pPr>
      <w:r w:rsidRPr="00E00B35">
        <w:rPr>
          <w:sz w:val="20"/>
          <w:szCs w:val="20"/>
        </w:rPr>
        <w:t>Tabela B – wykaz nieruchomości oddanych w użytkowanie</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34"/>
        <w:gridCol w:w="5514"/>
        <w:gridCol w:w="3240"/>
      </w:tblGrid>
      <w:tr w:rsidR="0060070F" w:rsidRPr="00E00B35" w:rsidTr="00252360">
        <w:tc>
          <w:tcPr>
            <w:tcW w:w="534"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Lp.</w:t>
            </w:r>
          </w:p>
        </w:tc>
        <w:tc>
          <w:tcPr>
            <w:tcW w:w="5514"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Adres nieruchomości</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Opłata w 2020r. [zł]</w:t>
            </w:r>
          </w:p>
        </w:tc>
      </w:tr>
      <w:tr w:rsidR="0060070F" w:rsidRPr="00E00B35" w:rsidTr="00252360">
        <w:trPr>
          <w:trHeight w:hRule="exact" w:val="284"/>
        </w:trPr>
        <w:tc>
          <w:tcPr>
            <w:tcW w:w="534"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1</w:t>
            </w:r>
          </w:p>
        </w:tc>
        <w:tc>
          <w:tcPr>
            <w:tcW w:w="5514"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ul. Nowy Świat 32-40 (udział wynoszący 2489/10000)</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1 886,14</w:t>
            </w:r>
          </w:p>
        </w:tc>
      </w:tr>
      <w:tr w:rsidR="0060070F" w:rsidRPr="00E00B35" w:rsidTr="00252360">
        <w:trPr>
          <w:trHeight w:hRule="exact" w:val="284"/>
        </w:trPr>
        <w:tc>
          <w:tcPr>
            <w:tcW w:w="534"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2</w:t>
            </w:r>
          </w:p>
        </w:tc>
        <w:tc>
          <w:tcPr>
            <w:tcW w:w="5514"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ul. Samborska 3-5, ul. Samborska 7-9</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671,89 (płatne od 2021 r.)</w:t>
            </w:r>
          </w:p>
        </w:tc>
      </w:tr>
      <w:tr w:rsidR="0060070F" w:rsidRPr="00E00B35" w:rsidTr="00252360">
        <w:trPr>
          <w:trHeight w:hRule="exact" w:val="284"/>
        </w:trPr>
        <w:tc>
          <w:tcPr>
            <w:tcW w:w="534"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3</w:t>
            </w:r>
          </w:p>
        </w:tc>
        <w:tc>
          <w:tcPr>
            <w:tcW w:w="5514"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 xml:space="preserve">ul. Bierutowska </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rsidR="0060070F" w:rsidRPr="00E00B35" w:rsidRDefault="0060070F" w:rsidP="00E00B35">
            <w:pPr>
              <w:spacing w:after="0" w:line="312" w:lineRule="auto"/>
              <w:rPr>
                <w:szCs w:val="20"/>
              </w:rPr>
            </w:pPr>
            <w:r w:rsidRPr="00E00B35">
              <w:rPr>
                <w:szCs w:val="20"/>
              </w:rPr>
              <w:t>4 182,25                        4.182,25 zł</w:t>
            </w:r>
          </w:p>
        </w:tc>
      </w:tr>
    </w:tbl>
    <w:p w:rsidR="0060070F" w:rsidRPr="00E00B35" w:rsidRDefault="0060070F" w:rsidP="00E00B35">
      <w:pPr>
        <w:pStyle w:val="Tekstpodstawowywcity2"/>
        <w:tabs>
          <w:tab w:val="left" w:pos="0"/>
        </w:tabs>
        <w:spacing w:after="0" w:line="312" w:lineRule="auto"/>
        <w:ind w:left="0" w:firstLine="0"/>
        <w:rPr>
          <w:b/>
          <w:bCs w:val="0"/>
          <w:caps/>
          <w:strike/>
          <w:szCs w:val="20"/>
        </w:rPr>
      </w:pPr>
      <w:bookmarkStart w:id="993" w:name="OLE_LINK11"/>
    </w:p>
    <w:p w:rsidR="0060070F" w:rsidRPr="00E00B35" w:rsidRDefault="0060070F" w:rsidP="00E00B35">
      <w:pPr>
        <w:pStyle w:val="Nagwek4"/>
        <w:spacing w:before="0" w:after="0" w:line="312" w:lineRule="auto"/>
        <w:rPr>
          <w:sz w:val="20"/>
          <w:szCs w:val="20"/>
        </w:rPr>
      </w:pPr>
      <w:r w:rsidRPr="00E00B35">
        <w:rPr>
          <w:sz w:val="20"/>
          <w:szCs w:val="20"/>
        </w:rPr>
        <w:t>Opłata adiacencka z tytułu wzrostu wartości nieruchomości wywołanej jej podziałem geodezyjnym</w:t>
      </w:r>
    </w:p>
    <w:p w:rsidR="0060070F" w:rsidRPr="00E00B35" w:rsidRDefault="0060070F" w:rsidP="00E00B35">
      <w:pPr>
        <w:pStyle w:val="akapit"/>
        <w:spacing w:line="312" w:lineRule="auto"/>
        <w:rPr>
          <w:szCs w:val="20"/>
        </w:rPr>
      </w:pPr>
      <w:r w:rsidRPr="00E00B35">
        <w:rPr>
          <w:szCs w:val="20"/>
        </w:rPr>
        <w:t xml:space="preserve">Postępowania administracyjne w tym zakresie były prowadzone na podstawie art. 98a ustawy z dnia 21 sierpnia 1997 r. o gospodarce nieruchomościami (tekst jednolity Dz. U. z 2020 r., poz. 1990) oraz uchwały Nr XII/354/03 Rady Miejskiej Wrocławia z dnia 18 września 2003 r. w sprawie ustalenia stawki procentowej opłaty adiacenckiej i uchwały Nr XIV/329/07 z dnia 15 listopada 2007 r. w sprawie zmiany uchwały Nr XII/354/03 Rady Miejskiej Wrocławia w sprawie ustalenia stawki procentowej opłaty adiacenckiej. </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W 2020 r. przeanalizowano 337 ostatecznych decyzji Dyrektora Zarządu Geodezji, Kartografii i Katastru Miejskiego we Wrocławiu zatwierdzających podziały nieruchomości. Wszczęto i przeprowadzono 196 postępowań w sprawie ustalenia i pobrania opłat adiacenckich w związku ze wzrostem wartości nieruchomości wywołanym ich podziałem geodezyjnym, </w:t>
      </w:r>
      <w:r w:rsidRPr="00E00B35">
        <w:rPr>
          <w:bCs/>
          <w:szCs w:val="20"/>
        </w:rPr>
        <w:t>wydano 46 decyzji</w:t>
      </w:r>
      <w:r w:rsidRPr="00E00B35">
        <w:rPr>
          <w:szCs w:val="20"/>
        </w:rPr>
        <w:t xml:space="preserve">, z których </w:t>
      </w:r>
      <w:r w:rsidRPr="00E00B35">
        <w:rPr>
          <w:bCs/>
          <w:szCs w:val="20"/>
        </w:rPr>
        <w:t>44 stały się ostateczne</w:t>
      </w:r>
      <w:r w:rsidRPr="00E00B35">
        <w:rPr>
          <w:szCs w:val="20"/>
        </w:rPr>
        <w:t>, od 1 rozstrzygnięcia strona wniosła odwołanie do Samorządowego Kolegium Odwoławczego – w 1 przypadku sprawa została przekazana do ponownego rozpatrzenia. Pozostałe postępowania nie zostały jeszcze zakończone.</w:t>
      </w:r>
    </w:p>
    <w:p w:rsidR="0060070F" w:rsidRPr="00E00B35" w:rsidRDefault="0060070F" w:rsidP="00E00B35">
      <w:pPr>
        <w:pStyle w:val="Nagwek20"/>
        <w:spacing w:after="0" w:line="312" w:lineRule="auto"/>
        <w:ind w:left="720" w:hanging="720"/>
        <w:rPr>
          <w:caps/>
          <w:strike/>
          <w:sz w:val="20"/>
          <w:szCs w:val="20"/>
        </w:rPr>
      </w:pPr>
    </w:p>
    <w:p w:rsidR="0060070F" w:rsidRPr="00E00B35" w:rsidRDefault="0060070F" w:rsidP="00E00B35">
      <w:pPr>
        <w:pStyle w:val="Nagwek4"/>
        <w:spacing w:before="0" w:after="0" w:line="312" w:lineRule="auto"/>
        <w:rPr>
          <w:sz w:val="20"/>
          <w:szCs w:val="20"/>
        </w:rPr>
      </w:pPr>
      <w:r w:rsidRPr="00E00B35">
        <w:rPr>
          <w:sz w:val="20"/>
          <w:szCs w:val="20"/>
        </w:rPr>
        <w:t>Opłata planistyczna</w:t>
      </w:r>
    </w:p>
    <w:p w:rsidR="0060070F" w:rsidRPr="00E00B35" w:rsidRDefault="0060070F" w:rsidP="00E00B35">
      <w:pPr>
        <w:pStyle w:val="akapit"/>
        <w:spacing w:line="312" w:lineRule="auto"/>
        <w:rPr>
          <w:szCs w:val="20"/>
        </w:rPr>
      </w:pPr>
      <w:r w:rsidRPr="00E00B35">
        <w:rPr>
          <w:szCs w:val="20"/>
        </w:rPr>
        <w:t xml:space="preserve">Zasady ustalania opłaty planistycznej, określają przepisy ustawy z 27 marca 2003 r. o planowaniu i zagospodarowaniu przestrzennym </w:t>
      </w:r>
      <w:r w:rsidRPr="00E00B35">
        <w:rPr>
          <w:bCs/>
          <w:szCs w:val="20"/>
        </w:rPr>
        <w:t>(Dz. U. z 2020 r., poz. 293, ze zm.)</w:t>
      </w:r>
      <w:r w:rsidRPr="00E00B35">
        <w:rPr>
          <w:szCs w:val="20"/>
        </w:rPr>
        <w:t xml:space="preserve">. Opłata ta jest dochodem własnym gminy, a – zgodnie z dyspozycją ustawową - jej </w:t>
      </w:r>
      <w:r w:rsidRPr="00E00B35">
        <w:rPr>
          <w:szCs w:val="20"/>
        </w:rPr>
        <w:lastRenderedPageBreak/>
        <w:t>wysokość nie może być wyższa niż 30 % wzrostu wartości nieruchomości. Stawka procentowa opłaty jest określana w uchwałach Rady Miejskiej Wrocławia dotyczących uchwalenia miejscowych planów zagospodarowania przestrzennego.</w:t>
      </w:r>
    </w:p>
    <w:p w:rsidR="0060070F" w:rsidRPr="00E00B35" w:rsidRDefault="0060070F" w:rsidP="00E00B35">
      <w:pPr>
        <w:pStyle w:val="akapit"/>
        <w:spacing w:line="312" w:lineRule="auto"/>
        <w:rPr>
          <w:szCs w:val="20"/>
        </w:rPr>
      </w:pPr>
      <w:r w:rsidRPr="00E00B35">
        <w:rPr>
          <w:szCs w:val="20"/>
        </w:rPr>
        <w:t xml:space="preserve"> </w:t>
      </w:r>
    </w:p>
    <w:p w:rsidR="0060070F" w:rsidRPr="00E00B35" w:rsidRDefault="0060070F" w:rsidP="00E00B35">
      <w:pPr>
        <w:pStyle w:val="akapit"/>
        <w:spacing w:line="312" w:lineRule="auto"/>
        <w:rPr>
          <w:szCs w:val="20"/>
        </w:rPr>
      </w:pPr>
      <w:r w:rsidRPr="00E00B35">
        <w:rPr>
          <w:szCs w:val="20"/>
        </w:rPr>
        <w:t xml:space="preserve">W 2020 r. przeanalizowano łącznie </w:t>
      </w:r>
      <w:r w:rsidRPr="00E00B35">
        <w:rPr>
          <w:bCs/>
          <w:szCs w:val="20"/>
        </w:rPr>
        <w:t>14 406</w:t>
      </w:r>
      <w:r w:rsidRPr="00E00B35">
        <w:rPr>
          <w:szCs w:val="20"/>
        </w:rPr>
        <w:t xml:space="preserve"> aktów notarialnych dotyczących zbycia nieruchomości mogących powodować naliczenie opłaty planistycznej. W wyniku tej analizy wszczęto z urzędu 4 postępowania i 2 na wniosek strony przed zbyciem nieruchomości. W przeprowadzonych postępowań </w:t>
      </w:r>
      <w:r w:rsidRPr="00E00B35">
        <w:rPr>
          <w:bCs/>
          <w:szCs w:val="20"/>
        </w:rPr>
        <w:t>wydano 4 decyzje</w:t>
      </w:r>
      <w:r w:rsidRPr="00E00B35">
        <w:rPr>
          <w:b/>
          <w:bCs/>
          <w:szCs w:val="20"/>
        </w:rPr>
        <w:t xml:space="preserve"> </w:t>
      </w:r>
      <w:r w:rsidRPr="00E00B35">
        <w:rPr>
          <w:bCs/>
          <w:szCs w:val="20"/>
        </w:rPr>
        <w:t>(3</w:t>
      </w:r>
      <w:r w:rsidRPr="00E00B35">
        <w:rPr>
          <w:szCs w:val="20"/>
        </w:rPr>
        <w:t xml:space="preserve"> orzekające o ustaleniu jednorazowej opłaty planistycznej i 1 umarzającą postępowanie ze względu na brak wzrostu wartości). Z wydanych w 2020 r. decyzji </w:t>
      </w:r>
      <w:r w:rsidRPr="00E00B35">
        <w:rPr>
          <w:bCs/>
          <w:szCs w:val="20"/>
        </w:rPr>
        <w:t>4 stały się ostateczne</w:t>
      </w:r>
      <w:r w:rsidRPr="00E00B35">
        <w:rPr>
          <w:szCs w:val="20"/>
        </w:rPr>
        <w:t>. Pozostałe postępowania nie zostały jeszcze zakończone.</w:t>
      </w:r>
    </w:p>
    <w:p w:rsidR="0060070F" w:rsidRPr="00E00B35" w:rsidRDefault="0060070F" w:rsidP="00E00B35">
      <w:pPr>
        <w:pStyle w:val="Tekstpodstawowy3"/>
        <w:spacing w:after="0" w:line="312" w:lineRule="auto"/>
        <w:rPr>
          <w:strike/>
          <w:sz w:val="20"/>
          <w:szCs w:val="20"/>
        </w:rPr>
      </w:pPr>
    </w:p>
    <w:p w:rsidR="0060070F" w:rsidRPr="00E00B35" w:rsidRDefault="0060070F" w:rsidP="00E00B35">
      <w:pPr>
        <w:pStyle w:val="Nagwek4"/>
        <w:spacing w:before="0" w:after="0" w:line="312" w:lineRule="auto"/>
        <w:rPr>
          <w:sz w:val="20"/>
          <w:szCs w:val="20"/>
        </w:rPr>
      </w:pPr>
      <w:r w:rsidRPr="00E00B35">
        <w:rPr>
          <w:sz w:val="20"/>
          <w:szCs w:val="20"/>
        </w:rPr>
        <w:t>Odszkodowanie w związku z obniżeniem wartości nieruchomości wskutek uchwalenia planu miejscowego albo jego zmiany</w:t>
      </w:r>
    </w:p>
    <w:p w:rsidR="0060070F" w:rsidRPr="00E00B35" w:rsidRDefault="0060070F" w:rsidP="00E00B35">
      <w:pPr>
        <w:pStyle w:val="akapit"/>
        <w:spacing w:line="312" w:lineRule="auto"/>
        <w:rPr>
          <w:szCs w:val="20"/>
        </w:rPr>
      </w:pPr>
      <w:r w:rsidRPr="00E00B35">
        <w:rPr>
          <w:szCs w:val="20"/>
        </w:rPr>
        <w:t xml:space="preserve">W 2020 r. do Wydziału Nieruchomości Komunalnych wpłynęły 3 wnioski w sprawie wypłaty odszkodowania, </w:t>
      </w:r>
      <w:bookmarkStart w:id="994" w:name="OLE_LINK16"/>
      <w:r w:rsidRPr="00E00B35">
        <w:rPr>
          <w:szCs w:val="20"/>
        </w:rPr>
        <w:t>z czego 2 uznano za bezzasadn</w:t>
      </w:r>
      <w:bookmarkEnd w:id="994"/>
      <w:r w:rsidRPr="00E00B35">
        <w:rPr>
          <w:szCs w:val="20"/>
        </w:rPr>
        <w:t>e, a 1 sprawa jest w toku.</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Ilość wydanych decyzji w sprawie opłaty planistycznej wynosiła w 2016 r. – 33, w 2017 r. – 15, w 2018 r. – 16, w 2019 r. – 19, w 2020 r. – 4.</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Ilość wydanych decyzji w sprawie opłaty adiacenckiej wynosiła w 2016 r. – 53, w 2017 r. – 48, w 2018 r. – 41, w 2019 r. – 34, w 2020 r. – 46.</w:t>
      </w:r>
      <w:bookmarkEnd w:id="993"/>
    </w:p>
    <w:p w:rsidR="0060070F" w:rsidRPr="00E00B35" w:rsidRDefault="0018356D" w:rsidP="00E00B35">
      <w:pPr>
        <w:pStyle w:val="Nagwek4"/>
        <w:spacing w:before="0" w:after="0" w:line="312" w:lineRule="auto"/>
        <w:rPr>
          <w:sz w:val="20"/>
          <w:szCs w:val="20"/>
        </w:rPr>
      </w:pPr>
      <w:r w:rsidRPr="00E00B35">
        <w:rPr>
          <w:sz w:val="20"/>
          <w:szCs w:val="20"/>
        </w:rPr>
        <w:br/>
      </w:r>
      <w:r w:rsidR="0060070F" w:rsidRPr="00E00B35">
        <w:rPr>
          <w:sz w:val="20"/>
          <w:szCs w:val="20"/>
        </w:rPr>
        <w:t>Dochody Wydziału Nieruchomości Komunalnych</w:t>
      </w:r>
    </w:p>
    <w:p w:rsidR="0060070F" w:rsidRPr="00E00B35" w:rsidRDefault="0060070F" w:rsidP="00E00B35">
      <w:pPr>
        <w:pStyle w:val="Akapitzlist1"/>
        <w:spacing w:after="0" w:line="312" w:lineRule="auto"/>
        <w:ind w:left="0"/>
        <w:rPr>
          <w:szCs w:val="20"/>
        </w:rPr>
      </w:pPr>
      <w:r w:rsidRPr="00E00B35">
        <w:rPr>
          <w:szCs w:val="20"/>
        </w:rPr>
        <w:t xml:space="preserve">W 2020 r. plan dochodów Wydziału Nieruchomości Komunalnych wynosił </w:t>
      </w:r>
      <w:r w:rsidRPr="00E00B35">
        <w:rPr>
          <w:szCs w:val="20"/>
        </w:rPr>
        <w:br/>
      </w:r>
      <w:r w:rsidRPr="00E00B35">
        <w:rPr>
          <w:bCs/>
          <w:szCs w:val="20"/>
        </w:rPr>
        <w:t>65 705 000,00zł.</w:t>
      </w:r>
      <w:r w:rsidRPr="00E00B35">
        <w:rPr>
          <w:szCs w:val="20"/>
        </w:rPr>
        <w:t xml:space="preserve"> Wykonano </w:t>
      </w:r>
      <w:r w:rsidRPr="00E00B35">
        <w:rPr>
          <w:bCs/>
          <w:szCs w:val="20"/>
        </w:rPr>
        <w:t>119,33 %</w:t>
      </w:r>
      <w:r w:rsidRPr="00E00B35">
        <w:rPr>
          <w:szCs w:val="20"/>
        </w:rPr>
        <w:t xml:space="preserve"> założonego planu, w tym:</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trwały zarząd, użytkowanie, służebności – 1 058 186,21 zł</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użytkowanie wieczyste – 39 140 204,46 zł</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dzierżawy – 9 298 834,49 zł</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przekształcenie prawa użytkowania wieczystego w prawo własności – 18 393 423,58 zł</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sprzedaż składników majątkowych – 8 997 897,77 zł</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opłata planistyczna i adiacencka – 471 103,79 zł</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wpływy z różnych opłat, odsetki – 1 044 768,80 zł</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razem – 78 404 419,10 zł.</w:t>
      </w:r>
    </w:p>
    <w:p w:rsidR="0060070F" w:rsidRPr="00E00B35" w:rsidRDefault="0060070F" w:rsidP="00E00B35">
      <w:pPr>
        <w:pStyle w:val="akapit"/>
        <w:spacing w:line="312" w:lineRule="auto"/>
        <w:rPr>
          <w:szCs w:val="20"/>
        </w:rPr>
      </w:pPr>
      <w:r w:rsidRPr="00E00B35">
        <w:rPr>
          <w:szCs w:val="20"/>
        </w:rPr>
        <w:t>Łączne dochody Wydziału Nieruchomości Komunalnych wynosiły w 2016 r. – 90 271 tys. zł, w 2017 r. – 83 098 tys. zł, w 2018 – 82 625 tys. zł, w 2019 – 74 447 tys. zł, w 2020 r. – 78 404 tys. zł.</w:t>
      </w:r>
    </w:p>
    <w:p w:rsidR="0060070F" w:rsidRPr="00E00B35" w:rsidRDefault="0060070F" w:rsidP="00E00B35">
      <w:pPr>
        <w:pStyle w:val="Tekstpodstawowy3"/>
        <w:spacing w:after="0" w:line="312" w:lineRule="auto"/>
        <w:rPr>
          <w:b/>
          <w:caps/>
          <w:strike/>
          <w:sz w:val="20"/>
          <w:szCs w:val="20"/>
        </w:rPr>
      </w:pPr>
    </w:p>
    <w:p w:rsidR="0060070F" w:rsidRPr="00E00B35" w:rsidRDefault="0060070F" w:rsidP="00E00B35">
      <w:pPr>
        <w:pStyle w:val="Nagwek4"/>
        <w:spacing w:before="0" w:after="0" w:line="312" w:lineRule="auto"/>
        <w:rPr>
          <w:sz w:val="20"/>
          <w:szCs w:val="20"/>
        </w:rPr>
      </w:pPr>
      <w:r w:rsidRPr="00E00B35">
        <w:rPr>
          <w:sz w:val="20"/>
          <w:szCs w:val="20"/>
        </w:rPr>
        <w:t>Inne działania</w:t>
      </w:r>
    </w:p>
    <w:p w:rsidR="0060070F" w:rsidRPr="00E00B35" w:rsidRDefault="0060070F" w:rsidP="00E00B35">
      <w:pPr>
        <w:pStyle w:val="akapit"/>
        <w:spacing w:line="312" w:lineRule="auto"/>
        <w:rPr>
          <w:szCs w:val="20"/>
        </w:rPr>
      </w:pPr>
      <w:r w:rsidRPr="00E00B35">
        <w:rPr>
          <w:szCs w:val="20"/>
        </w:rPr>
        <w:t>Prowadzono sprawy związane z egzekucją obowiązków o charakterze niepieniężnym w zakresie zadań realizowanych przez Wydział:</w:t>
      </w:r>
    </w:p>
    <w:p w:rsidR="0060070F" w:rsidRPr="00E00B35" w:rsidRDefault="0060070F" w:rsidP="00E00B35">
      <w:pPr>
        <w:pStyle w:val="akapit"/>
        <w:spacing w:line="312" w:lineRule="auto"/>
        <w:rPr>
          <w:szCs w:val="20"/>
        </w:rPr>
      </w:pPr>
      <w:r w:rsidRPr="00E00B35">
        <w:rPr>
          <w:szCs w:val="20"/>
        </w:rPr>
        <w:t xml:space="preserve">W 2020 r. na podstawie prawomocnych wyroków sądowych skierowano </w:t>
      </w:r>
      <w:r w:rsidRPr="00E00B35">
        <w:rPr>
          <w:bCs/>
          <w:szCs w:val="20"/>
        </w:rPr>
        <w:t>1 wniosek egzekucyjny</w:t>
      </w:r>
      <w:r w:rsidRPr="00E00B35">
        <w:rPr>
          <w:szCs w:val="20"/>
        </w:rPr>
        <w:t xml:space="preserve"> do komornika o wydanie nieruchomości gminie Wrocław. </w:t>
      </w:r>
    </w:p>
    <w:p w:rsidR="0060070F" w:rsidRPr="00E00B35" w:rsidRDefault="0060070F" w:rsidP="00E00B35">
      <w:pPr>
        <w:pStyle w:val="akapit"/>
        <w:spacing w:line="312" w:lineRule="auto"/>
        <w:rPr>
          <w:szCs w:val="20"/>
        </w:rPr>
      </w:pPr>
      <w:r w:rsidRPr="00E00B35">
        <w:rPr>
          <w:szCs w:val="20"/>
        </w:rPr>
        <w:lastRenderedPageBreak/>
        <w:t xml:space="preserve">Prowadzono </w:t>
      </w:r>
      <w:r w:rsidRPr="00E00B35">
        <w:rPr>
          <w:bCs/>
          <w:szCs w:val="20"/>
        </w:rPr>
        <w:t>4 sprawy</w:t>
      </w:r>
      <w:r w:rsidRPr="00E00B35">
        <w:rPr>
          <w:szCs w:val="20"/>
        </w:rPr>
        <w:t xml:space="preserve"> z poprzednich lat, </w:t>
      </w:r>
      <w:r w:rsidRPr="00E00B35">
        <w:rPr>
          <w:bCs/>
          <w:szCs w:val="20"/>
        </w:rPr>
        <w:t>zakończono 1 postępowanie</w:t>
      </w:r>
      <w:r w:rsidRPr="00E00B35">
        <w:rPr>
          <w:szCs w:val="20"/>
        </w:rPr>
        <w:t>.</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Kontynuowano realizację 18 umów z poprzednich lat na wyceny nieruchomości dla potrzeb gminy Wrocław i Skarbu Państwa. Na podstawie zawartych umów zlecono </w:t>
      </w:r>
      <w:r w:rsidRPr="00E00B35">
        <w:rPr>
          <w:bCs/>
          <w:szCs w:val="20"/>
        </w:rPr>
        <w:t>406 operatów szacunkowych</w:t>
      </w:r>
      <w:r w:rsidRPr="00E00B35">
        <w:rPr>
          <w:szCs w:val="20"/>
        </w:rPr>
        <w:t xml:space="preserve"> między innymi w celu określenia wysokości pomocy </w:t>
      </w:r>
      <w:r w:rsidRPr="00E00B35">
        <w:rPr>
          <w:iCs/>
          <w:szCs w:val="20"/>
        </w:rPr>
        <w:t>de minimis</w:t>
      </w:r>
      <w:r w:rsidRPr="00E00B35">
        <w:rPr>
          <w:szCs w:val="20"/>
        </w:rPr>
        <w:t xml:space="preserve"> w związku z przekształceniem prawa użytkowania wieczystego w prawo własności.</w:t>
      </w:r>
    </w:p>
    <w:p w:rsidR="0060070F" w:rsidRPr="00E00B35" w:rsidRDefault="0060070F" w:rsidP="00E00B35">
      <w:pPr>
        <w:pStyle w:val="akapit"/>
        <w:spacing w:line="312" w:lineRule="auto"/>
        <w:rPr>
          <w:szCs w:val="20"/>
        </w:rPr>
      </w:pPr>
      <w:r w:rsidRPr="00E00B35">
        <w:rPr>
          <w:szCs w:val="20"/>
        </w:rPr>
        <w:t>W 2020 r. zawarto 1 umowę w zakresie usług prawnych, na podstawie art. 4 pkt 3 lit ea) ustawy Prawo zamówień publicznych.</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Opracowywano i wystawiano na podstawie zawartych umów faktury: za dzierżawę gruntu, wynikające z protokołów czasowego zajęcia nieruchomości, nałożonych opłat z tytułu bezumownego korzystania z gruntów Gminy. W 2020 r. wystawiono ponad 6 400 faktur VAT. W ramach realizacji ustawy o podatku VAT sporządzane są również miesięczne rejestry sprzedaży fakturowanej, korekt sprzedaży oraz rejestry zakupów.</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Kontynuowano prowadzenie ewidencji ilościowo-wartościowej nieruchomości gminnych, w „Systemie Gospodarowania Nieruchomościami”. W 2020 r. wprowadzano 75 spraw związanych z podziałem lub scaleniem nieruchomości, obsłużono w systemie 1 955 działek będących w użytkowaniu wieczystym, które na podstawie wydanych zaświadczeń przekształcono w prawo własności.</w:t>
      </w:r>
    </w:p>
    <w:p w:rsidR="0060070F" w:rsidRPr="00E00B35" w:rsidRDefault="0060070F" w:rsidP="00E00B35">
      <w:pPr>
        <w:pStyle w:val="11Trescpisma"/>
        <w:spacing w:before="0" w:after="0" w:line="312" w:lineRule="auto"/>
        <w:jc w:val="left"/>
        <w:rPr>
          <w:strike/>
          <w:szCs w:val="20"/>
        </w:rPr>
      </w:pPr>
    </w:p>
    <w:p w:rsidR="0060070F" w:rsidRPr="00E00B35" w:rsidRDefault="0060070F" w:rsidP="00E00B35">
      <w:pPr>
        <w:pStyle w:val="Nagwek3"/>
        <w:spacing w:after="0" w:line="312" w:lineRule="auto"/>
        <w:rPr>
          <w:sz w:val="20"/>
          <w:lang w:val="pl-PL"/>
        </w:rPr>
      </w:pPr>
      <w:r w:rsidRPr="00E00B35">
        <w:rPr>
          <w:sz w:val="20"/>
        </w:rPr>
        <w:t>GOSPODAROWANIE NIERUCHOMOŚCIAMI SKARBU PAŃSWA</w:t>
      </w:r>
    </w:p>
    <w:p w:rsidR="00C536B9" w:rsidRPr="00E00B35" w:rsidRDefault="00C536B9" w:rsidP="00E00B35">
      <w:pPr>
        <w:pStyle w:val="Nagwek3"/>
        <w:spacing w:after="0" w:line="312" w:lineRule="auto"/>
        <w:rPr>
          <w:sz w:val="20"/>
          <w:lang w:val="pl-PL"/>
        </w:rPr>
      </w:pPr>
    </w:p>
    <w:p w:rsidR="0060070F" w:rsidRPr="00E00B35" w:rsidRDefault="0060070F" w:rsidP="00E00B35">
      <w:pPr>
        <w:pStyle w:val="Nagwek4"/>
        <w:spacing w:before="0" w:after="0" w:line="312" w:lineRule="auto"/>
        <w:rPr>
          <w:sz w:val="20"/>
          <w:szCs w:val="20"/>
        </w:rPr>
      </w:pPr>
      <w:r w:rsidRPr="00E00B35">
        <w:rPr>
          <w:sz w:val="20"/>
          <w:szCs w:val="20"/>
        </w:rPr>
        <w:t>Regulacja stanów prawnych</w:t>
      </w:r>
    </w:p>
    <w:p w:rsidR="0060070F" w:rsidRPr="00E00B35" w:rsidRDefault="0060070F" w:rsidP="00E00B35">
      <w:pPr>
        <w:pStyle w:val="Akapitzlist1"/>
        <w:spacing w:after="0" w:line="312" w:lineRule="auto"/>
        <w:ind w:left="0"/>
        <w:rPr>
          <w:szCs w:val="20"/>
        </w:rPr>
      </w:pPr>
      <w:r w:rsidRPr="00E00B35">
        <w:rPr>
          <w:szCs w:val="20"/>
        </w:rPr>
        <w:t>Prowadzono między innymi postępowania wyszczególnione poniżej z podziałem na kategorie spraw:</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 wykonywanie, ograniczanie, pozbawianie praw do nieruchomości oraz zwrot nieruchomości,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 ustalenie odszkodowania za nieruchomości przejęte pod drogi publiczne,</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sprawach dotyczących trwałego zarządu,</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przekazane do załatwienia według właściwości,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 wydanie zaświadczeń,</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 przekształcenie prawa użytkowania wieczystego w prawo własności,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 wydanie zezwolenia na zakładanie, przeprowadzanie i wykonywanie na nieruchomościach  urządzeń technicznych,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 realizację roszczeń do nieruchomości.</w:t>
      </w:r>
    </w:p>
    <w:p w:rsidR="0060070F" w:rsidRPr="00E00B35" w:rsidRDefault="0060070F" w:rsidP="00E00B35">
      <w:pPr>
        <w:autoSpaceDE w:val="0"/>
        <w:autoSpaceDN w:val="0"/>
        <w:adjustRightInd w:val="0"/>
        <w:spacing w:after="0" w:line="312" w:lineRule="auto"/>
        <w:ind w:left="720"/>
        <w:rPr>
          <w:szCs w:val="20"/>
        </w:rPr>
      </w:pPr>
    </w:p>
    <w:p w:rsidR="0060070F" w:rsidRPr="00E00B35" w:rsidRDefault="0060070F" w:rsidP="00E00B35">
      <w:pPr>
        <w:pStyle w:val="akapit"/>
        <w:spacing w:line="312" w:lineRule="auto"/>
        <w:rPr>
          <w:szCs w:val="20"/>
        </w:rPr>
      </w:pPr>
      <w:r w:rsidRPr="00E00B35">
        <w:rPr>
          <w:szCs w:val="20"/>
        </w:rPr>
        <w:t xml:space="preserve">W związku z wejściem w życie nowelizacji ustawy o Krajowym Rejestrze Sądowym (Dz. U. z 2016 r., poz.687) – art. 25e ust. 1 i 10, na podstawie których Skarb Państwa nabywa nieodpłatnie z mocy prawa mienie pozostałe po wykreślonym podmiocie, którym właściciel lub użytkownik wieczysty nie rozporządził, a także w związku z treścią art. 9 ust. 2a-2j ustawy przepisy wprowadzające ustawę o Krajowym Rejestrze Sądowym, realizowano zadanie stwierdzania nabycia przez Skarb Państwa własności nieruchomości </w:t>
      </w:r>
      <w:r w:rsidRPr="00E00B35">
        <w:rPr>
          <w:szCs w:val="20"/>
        </w:rPr>
        <w:lastRenderedPageBreak/>
        <w:t>albo użytkowania wieczystego w drodze decyzji administracyjnej, ustalając właściwość ze względu na miejsce położenia nieruchomości.</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W 2020 r. prowadzono 40 postępowań w zakresie ustalania odszkodowań za przejęte lub zajęte nieruchomości  i zwrotów wywłaszczonych nieruchomości.</w:t>
      </w:r>
    </w:p>
    <w:p w:rsidR="0060070F" w:rsidRPr="00E00B35" w:rsidRDefault="0085407F" w:rsidP="00E00B35">
      <w:pPr>
        <w:pStyle w:val="akapit"/>
        <w:spacing w:line="312" w:lineRule="auto"/>
        <w:rPr>
          <w:szCs w:val="20"/>
        </w:rPr>
      </w:pPr>
      <w:r w:rsidRPr="00E00B35">
        <w:rPr>
          <w:szCs w:val="20"/>
        </w:rPr>
        <w:br/>
      </w:r>
      <w:r w:rsidR="0060070F" w:rsidRPr="00E00B35">
        <w:rPr>
          <w:szCs w:val="20"/>
        </w:rPr>
        <w:t>Rozpoznano  40 wniosków  o wydanie zaświadczenia w trybie art. 217 ustawy kodeks postępowania administracyjnego</w:t>
      </w:r>
    </w:p>
    <w:p w:rsidR="0060070F" w:rsidRPr="00E00B35" w:rsidRDefault="0085407F" w:rsidP="00E00B35">
      <w:pPr>
        <w:pStyle w:val="Akapitzlist1"/>
        <w:spacing w:after="0" w:line="312" w:lineRule="auto"/>
        <w:ind w:left="0"/>
        <w:rPr>
          <w:szCs w:val="20"/>
        </w:rPr>
      </w:pPr>
      <w:r w:rsidRPr="00E00B35">
        <w:rPr>
          <w:szCs w:val="20"/>
        </w:rPr>
        <w:br/>
      </w:r>
      <w:r w:rsidR="0060070F" w:rsidRPr="00E00B35">
        <w:rPr>
          <w:szCs w:val="20"/>
        </w:rPr>
        <w:t>Zakończone postępowania administracyjne z zakresu trwałego zarządu:</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ustanowienie trwałego zarządu – 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stwierdzenie przejścia w trwały zarząd – 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wygaszenie trwałego zarządu – 28</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odmowa wygaszenia trwałego zarządu – 1</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umorzenie postępowania – 3</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uchylenie decyzji – 1</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zmiana decyzji – 1</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udzielenie bonifikaty – 1</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aktualizacja opłaty z tytułu trwałego zarządu – 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zmiana stawki procentowej opłaty – 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przekształcenie trwałego zarządu – 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odmowa wygaszenia posiadania – 1</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razem – 36.</w:t>
      </w:r>
    </w:p>
    <w:p w:rsidR="0060070F" w:rsidRPr="00E00B35" w:rsidRDefault="0085407F" w:rsidP="00E00B35">
      <w:pPr>
        <w:pStyle w:val="akapit"/>
        <w:spacing w:line="312" w:lineRule="auto"/>
        <w:rPr>
          <w:szCs w:val="20"/>
        </w:rPr>
      </w:pPr>
      <w:r w:rsidRPr="00E00B35">
        <w:rPr>
          <w:szCs w:val="20"/>
        </w:rPr>
        <w:br/>
      </w:r>
      <w:r w:rsidR="0060070F" w:rsidRPr="00E00B35">
        <w:rPr>
          <w:szCs w:val="20"/>
        </w:rPr>
        <w:t>Na wnioski jednostek organizacyjnych wyrażono zgodę na zawarcie 17 umów dzierżawy, najmu lub użyczenia.</w:t>
      </w:r>
    </w:p>
    <w:p w:rsidR="0060070F" w:rsidRPr="00E00B35" w:rsidRDefault="0060070F" w:rsidP="00E00B35">
      <w:pPr>
        <w:pStyle w:val="akapit"/>
        <w:spacing w:line="312" w:lineRule="auto"/>
        <w:rPr>
          <w:szCs w:val="20"/>
        </w:rPr>
      </w:pPr>
    </w:p>
    <w:p w:rsidR="0060070F" w:rsidRPr="00E00B35" w:rsidRDefault="0060070F" w:rsidP="00E00B35">
      <w:pPr>
        <w:pStyle w:val="Akapitzlist1"/>
        <w:spacing w:after="0" w:line="312" w:lineRule="auto"/>
        <w:ind w:left="0"/>
        <w:rPr>
          <w:szCs w:val="20"/>
        </w:rPr>
      </w:pPr>
      <w:r w:rsidRPr="00E00B35">
        <w:rPr>
          <w:szCs w:val="20"/>
        </w:rPr>
        <w:t>Kontynuowano postępowania z wniosków jednostek organizacyjnych o stwierdzenie wygaśnięcia prawa trwałego zarządu:</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Dolnośląski Zarząd Melioracji i Urządzeń Wodnych – jeden wniosek obejmujący 762 działki geodezyjne – do rozpatrzenia pozostało 700,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Regionalny Zarząd Gospodarki Wodnej – jeden wniosek obejmujący 516 działek  geodezyjnych – do rozpatrzenia pozostało 15,</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Generalna Dyrekcja Dróg Krajowych i Autostrad – 16 wniosków obejmujących 162 działki geodezyjne.</w:t>
      </w:r>
    </w:p>
    <w:p w:rsidR="0060070F" w:rsidRPr="00E00B35" w:rsidRDefault="0060070F" w:rsidP="00BC64AB">
      <w:pPr>
        <w:pStyle w:val="Tekstpodstawowy"/>
        <w:numPr>
          <w:ilvl w:val="0"/>
          <w:numId w:val="239"/>
        </w:numPr>
        <w:suppressAutoHyphens/>
        <w:spacing w:after="0" w:line="312" w:lineRule="auto"/>
        <w:ind w:left="426" w:hanging="426"/>
        <w:rPr>
          <w:szCs w:val="20"/>
        </w:rPr>
      </w:pPr>
    </w:p>
    <w:p w:rsidR="0060070F" w:rsidRPr="00E00B35" w:rsidRDefault="0060070F" w:rsidP="00E00B35">
      <w:pPr>
        <w:pStyle w:val="akapit"/>
        <w:spacing w:line="312" w:lineRule="auto"/>
        <w:rPr>
          <w:szCs w:val="20"/>
        </w:rPr>
      </w:pPr>
      <w:r w:rsidRPr="00E00B35">
        <w:rPr>
          <w:szCs w:val="20"/>
        </w:rPr>
        <w:t xml:space="preserve">Sprawdzano zapisy ewidencji gruntów i ksiąg wieczystych, zamawiano zaświadczenia potwierdzające stan prawny w ewidencji gruntów oraz odpisy z ksiąg wieczystych, dokonywano szczegółowej i wnikliwej analizy zgromadzonych dokumentów. </w:t>
      </w:r>
    </w:p>
    <w:p w:rsidR="0060070F" w:rsidRPr="00E00B35" w:rsidRDefault="0060070F" w:rsidP="00E00B35">
      <w:pPr>
        <w:pStyle w:val="11Trescpisma"/>
        <w:spacing w:before="0" w:after="0" w:line="312" w:lineRule="auto"/>
        <w:jc w:val="left"/>
        <w:rPr>
          <w:strike/>
          <w:szCs w:val="20"/>
        </w:rPr>
      </w:pPr>
    </w:p>
    <w:p w:rsidR="0060070F" w:rsidRPr="00E00B35" w:rsidRDefault="0060070F" w:rsidP="00E00B35">
      <w:pPr>
        <w:pStyle w:val="Nagwek4"/>
        <w:spacing w:before="0" w:after="0" w:line="312" w:lineRule="auto"/>
        <w:rPr>
          <w:sz w:val="20"/>
          <w:szCs w:val="20"/>
        </w:rPr>
      </w:pPr>
      <w:r w:rsidRPr="00E00B35">
        <w:rPr>
          <w:sz w:val="20"/>
          <w:szCs w:val="20"/>
        </w:rPr>
        <w:t>Przekształcenia prawa użytkowania wieczystego w prawo własności</w:t>
      </w:r>
    </w:p>
    <w:p w:rsidR="0060070F" w:rsidRPr="00E00B35" w:rsidRDefault="0060070F" w:rsidP="00E00B35">
      <w:pPr>
        <w:pStyle w:val="akapit"/>
        <w:spacing w:line="312" w:lineRule="auto"/>
        <w:rPr>
          <w:szCs w:val="20"/>
        </w:rPr>
      </w:pPr>
      <w:r w:rsidRPr="00E00B35">
        <w:rPr>
          <w:szCs w:val="20"/>
        </w:rPr>
        <w:t xml:space="preserve">W  zakresie przekształcenia prawa użytkowania wieczystego w prawo własności w trybie postępowania administracyjnego na podstawie ustawy z 2005 r. w wyniku wyroku </w:t>
      </w:r>
      <w:r w:rsidRPr="00E00B35">
        <w:rPr>
          <w:szCs w:val="20"/>
        </w:rPr>
        <w:lastRenderedPageBreak/>
        <w:t>Trybunału Konstytucyjnego z dnia 10 marca 2015 r. sygn. akt K 29/13 nastąpił drastyczny spadek liczby wniosków o przekształcenie składanych przez osoby prawne jak też składanych przez osoby fizyczne w stosunku do nieruchomości przeznaczonych pod aktywność gospodarczą.</w:t>
      </w:r>
    </w:p>
    <w:p w:rsidR="0060070F" w:rsidRPr="00E00B35" w:rsidRDefault="0085407F" w:rsidP="00E00B35">
      <w:pPr>
        <w:pStyle w:val="Akapitzlist1"/>
        <w:spacing w:after="0" w:line="312" w:lineRule="auto"/>
        <w:ind w:left="0"/>
        <w:rPr>
          <w:szCs w:val="20"/>
        </w:rPr>
      </w:pPr>
      <w:r w:rsidRPr="00E00B35">
        <w:rPr>
          <w:szCs w:val="20"/>
        </w:rPr>
        <w:br/>
      </w:r>
      <w:r w:rsidR="0060070F" w:rsidRPr="00E00B35">
        <w:rPr>
          <w:szCs w:val="20"/>
        </w:rPr>
        <w:t>W 2020 r. rozpatrzono i wydano ogółem 17 decyzji w tym:</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przekształcenie prawa użytkowania wieczystego w prawo własności – decyzje pozytywne – 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decyzje odmowne – 1</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umorzenie postępowania – 3</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zmiana decyzji o przekształceniu – 11</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decyzje ustalające opłatę – 2</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razem - 17</w:t>
      </w:r>
    </w:p>
    <w:p w:rsidR="0060070F" w:rsidRPr="00E00B35" w:rsidRDefault="0085407F" w:rsidP="00E00B35">
      <w:pPr>
        <w:pStyle w:val="Nagwek4"/>
        <w:spacing w:before="0" w:after="0" w:line="312" w:lineRule="auto"/>
        <w:rPr>
          <w:sz w:val="20"/>
          <w:szCs w:val="20"/>
        </w:rPr>
      </w:pPr>
      <w:r w:rsidRPr="00E00B35">
        <w:rPr>
          <w:sz w:val="20"/>
          <w:szCs w:val="20"/>
        </w:rPr>
        <w:br/>
      </w:r>
      <w:r w:rsidR="0060070F" w:rsidRPr="00E00B35">
        <w:rPr>
          <w:sz w:val="20"/>
          <w:szCs w:val="20"/>
        </w:rPr>
        <w:t>Pozostałe czynności</w:t>
      </w:r>
    </w:p>
    <w:p w:rsidR="0060070F" w:rsidRPr="00E00B35" w:rsidRDefault="0060070F" w:rsidP="00E00B35">
      <w:pPr>
        <w:pStyle w:val="Akapitzlist1"/>
        <w:spacing w:after="0" w:line="312" w:lineRule="auto"/>
        <w:ind w:left="0"/>
        <w:rPr>
          <w:szCs w:val="20"/>
          <w:highlight w:val="green"/>
        </w:rPr>
      </w:pPr>
      <w:r w:rsidRPr="00E00B35">
        <w:rPr>
          <w:szCs w:val="20"/>
        </w:rPr>
        <w:t>W 2020 r. wydano łącznie 60 Postanowień, w tym o:</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odmowie wydania zaświadczenia,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odmowie wszczęcia postępowania w sprawie przekształcenia,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sprostowaniu oczywistej omyłki pisarskiej,</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podjęciu zawieszonego postępowania,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zawieszeniu postępowania w sprawie przekształcenia.</w:t>
      </w:r>
    </w:p>
    <w:p w:rsidR="0060070F" w:rsidRPr="00E00B35" w:rsidRDefault="0085407F" w:rsidP="00E00B35">
      <w:pPr>
        <w:pStyle w:val="akapit"/>
        <w:spacing w:line="312" w:lineRule="auto"/>
        <w:rPr>
          <w:szCs w:val="20"/>
        </w:rPr>
      </w:pPr>
      <w:r w:rsidRPr="00E00B35">
        <w:rPr>
          <w:szCs w:val="20"/>
        </w:rPr>
        <w:br/>
      </w:r>
      <w:r w:rsidR="0060070F" w:rsidRPr="00E00B35">
        <w:rPr>
          <w:szCs w:val="20"/>
        </w:rPr>
        <w:t>Prowadzono również postępowania ze wskazania przez Wojewodę, Prezydenta Wrocławia jako organu do prowadzenia sprawy w trybie administracyjnym, o ustalenie odszkodowania za nieruchomości położone poza granicami miasta Wrocławia. Aktualnie postępowania prowadzone są na różnym etapie.</w:t>
      </w:r>
    </w:p>
    <w:p w:rsidR="0060070F" w:rsidRPr="00E00B35" w:rsidRDefault="0060070F" w:rsidP="00E00B35">
      <w:pPr>
        <w:pStyle w:val="akapit"/>
        <w:spacing w:line="312" w:lineRule="auto"/>
        <w:rPr>
          <w:szCs w:val="20"/>
        </w:rPr>
      </w:pPr>
      <w:r w:rsidRPr="00E00B35">
        <w:rPr>
          <w:szCs w:val="20"/>
        </w:rPr>
        <w:t>Pracownicy działu uczestniczą również aktywnie w postępowaniach prowadzonych przez innego starostę, w których jako strona wskazywany jest Skarb Państwa reprezentowany przez Prezydenta Wrocławia wykonującego zadania zlecone z zakresu administracji rządowej.</w:t>
      </w:r>
    </w:p>
    <w:p w:rsidR="0060070F" w:rsidRPr="00E00B35" w:rsidRDefault="0060070F" w:rsidP="00E00B35">
      <w:pPr>
        <w:spacing w:after="0" w:line="312" w:lineRule="auto"/>
        <w:rPr>
          <w:b/>
          <w:bCs/>
          <w:szCs w:val="20"/>
          <w:u w:val="single"/>
        </w:rPr>
      </w:pPr>
    </w:p>
    <w:p w:rsidR="0060070F" w:rsidRPr="00E00B35" w:rsidRDefault="0060070F" w:rsidP="00E00B35">
      <w:pPr>
        <w:pStyle w:val="Nagwek4"/>
        <w:spacing w:before="0" w:after="0" w:line="312" w:lineRule="auto"/>
        <w:rPr>
          <w:sz w:val="20"/>
          <w:szCs w:val="20"/>
        </w:rPr>
      </w:pPr>
      <w:r w:rsidRPr="00E00B35">
        <w:rPr>
          <w:sz w:val="20"/>
          <w:szCs w:val="20"/>
        </w:rPr>
        <w:t>Sprawy związane z realizacją uprawnień „zabużańskich”</w:t>
      </w:r>
    </w:p>
    <w:p w:rsidR="0060070F" w:rsidRPr="00E00B35" w:rsidRDefault="0060070F" w:rsidP="00E00B35">
      <w:pPr>
        <w:pStyle w:val="akapit"/>
        <w:spacing w:line="312" w:lineRule="auto"/>
        <w:rPr>
          <w:szCs w:val="20"/>
        </w:rPr>
      </w:pPr>
      <w:r w:rsidRPr="00E00B35">
        <w:rPr>
          <w:szCs w:val="20"/>
        </w:rPr>
        <w:t>Prowadzono, jak w latach ubiegłych, postępowania wyjaśniające z wniosków wojewodów z terenu całego kraju o udzielenie informacji, czy osoby wymienione w piśmie nabyły prawo własności lub prawo użytkowania wieczystego nieruchomości Skarbu Państwa z zaliczeniem na poczet ceny (opłat z tytułu użytkowania wieczystego) wartości mienia nieruchomego pozostawionego poza obecnymi granicami Rzeczypospolitej Polskiej w związku z wojną rozpoczętą w 1939 r.</w:t>
      </w:r>
    </w:p>
    <w:p w:rsidR="0060070F" w:rsidRPr="00E00B35" w:rsidRDefault="0060070F" w:rsidP="00E00B35">
      <w:pPr>
        <w:pStyle w:val="akapit"/>
        <w:spacing w:line="312" w:lineRule="auto"/>
        <w:rPr>
          <w:szCs w:val="20"/>
        </w:rPr>
      </w:pPr>
      <w:r w:rsidRPr="00E00B35">
        <w:rPr>
          <w:szCs w:val="20"/>
        </w:rPr>
        <w:t xml:space="preserve">W celu udzielenia wnioskowanej przez wojewodów informacji przeprowadzana jest każdorazowo kwerenda archiwalnych dokumentów dotyczących nieruchomości położonych we Wrocławiu, które były lub są w posiadaniu osób wymienionych w piśmie: w oparciu o dane zawarte w piśmie Wojewody, dostępne rejestry i inne źródła informacji (tj. bazę danych ewidencji gruntów i budynków, bazę danych ewidencji ludności TD ELUD, rejestr osadniczych gospodarstw rolnych, rejestr złożonych dokumentów dot. </w:t>
      </w:r>
      <w:r w:rsidRPr="00E00B35">
        <w:rPr>
          <w:szCs w:val="20"/>
        </w:rPr>
        <w:lastRenderedPageBreak/>
        <w:t>„mienia zabużańskiego”, bazę aktów notarialnych, centralną bazę danych ksiąg wieczystych). Dokonywana następnie analiza dokumentów obejmuje akta Urzędu Miejskiego oraz akta ksiąg wieczystych. W sprawach skomplikowanych kierowane są pytania do Zarządu Geodezji, Kartografii i Katastru Miejskiego we Wrocławiu.</w:t>
      </w:r>
    </w:p>
    <w:p w:rsidR="0060070F" w:rsidRPr="00E00B35" w:rsidRDefault="0060070F" w:rsidP="00E00B35">
      <w:pPr>
        <w:pStyle w:val="akapit"/>
        <w:spacing w:line="312" w:lineRule="auto"/>
        <w:rPr>
          <w:szCs w:val="20"/>
        </w:rPr>
      </w:pPr>
      <w:r w:rsidRPr="00E00B35">
        <w:rPr>
          <w:szCs w:val="20"/>
        </w:rPr>
        <w:t>Na prośbę osób fizycznych przekazano wnioski o zarejestrowanie uprawnień do rekompensaty właściwym Wojewodom celem kontynuowania postępowania w sprawie potwierdzenia prawa do rekompensaty. Udzielano informacji osobom fizycznym dotyczącej prawa do rekompensaty za pozostawione mienie.</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Ogółem otrzymano 91 pism od wojewodów z terenu całego kraju oraz od osób fizycznych, na które udzielono 91 odpowiedzi. </w:t>
      </w:r>
    </w:p>
    <w:p w:rsidR="0060070F" w:rsidRPr="00E00B35" w:rsidRDefault="0060070F" w:rsidP="00E00B35">
      <w:pPr>
        <w:pStyle w:val="Tekstpodstawowy3"/>
        <w:spacing w:after="0" w:line="312" w:lineRule="auto"/>
        <w:rPr>
          <w:b/>
          <w:bCs/>
          <w:sz w:val="20"/>
          <w:szCs w:val="20"/>
        </w:rPr>
      </w:pPr>
    </w:p>
    <w:p w:rsidR="0060070F" w:rsidRPr="00E00B35" w:rsidRDefault="0060070F" w:rsidP="00E00B35">
      <w:pPr>
        <w:pStyle w:val="Nagwek4"/>
        <w:spacing w:before="0" w:after="0" w:line="312" w:lineRule="auto"/>
        <w:rPr>
          <w:sz w:val="20"/>
          <w:szCs w:val="20"/>
        </w:rPr>
      </w:pPr>
      <w:r w:rsidRPr="00E00B35">
        <w:rPr>
          <w:sz w:val="20"/>
          <w:szCs w:val="20"/>
        </w:rPr>
        <w:t>Zarządzanie nieruchomościami Skarbu Państwa</w:t>
      </w:r>
    </w:p>
    <w:p w:rsidR="0060070F" w:rsidRPr="00E00B35" w:rsidRDefault="0060070F" w:rsidP="00E00B35">
      <w:pPr>
        <w:pStyle w:val="Akapitzlist1"/>
        <w:spacing w:after="0" w:line="312" w:lineRule="auto"/>
        <w:ind w:left="0"/>
        <w:rPr>
          <w:szCs w:val="20"/>
        </w:rPr>
      </w:pPr>
      <w:r w:rsidRPr="00E00B35">
        <w:rPr>
          <w:szCs w:val="20"/>
        </w:rPr>
        <w:t>W okresie od 1 stycznia 2020 r. do 31 grudnia 2020 r. nieruchomości Skarbu Państwa zarządzane były przez zarządcę – do 6 września 2020 r. - Zespół Zarządców Nieruchomości sp. z o.o. na podstawie umowy z dnia 27 czerwca 2017 r. nr 1/2017 o zarządzanie nieruchomościami Skarbu Państwa, umowy z dnia 13 marca 2019 r. nr 1/2019 zawartej na 2 nieruchomości oraz umowy z dnia 13 listopada 2019 r. nr 2/2019 zawartej na 7 nieruchomości. Od 7 września 2020 r. do 31 grudnia 2020 r. – Stanisław Olszewski PUMAZ na podstawie umowy nr 1/2020 z dnia 27 września 2020 r., w wyniku przeprowadzonego postępowania o udzielenie zamówienia publicznego w trybie przetargu nieograniczonego zgodnie z ustawą z dnia 29 stycznia 2004 r. – prawo zamówień publicznych. Firma Stanisław Olszewski PUMAZ zarządza: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67 lokalami mieszkalnymi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15 lokalami użytkowymi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68 garażami</w:t>
      </w:r>
    </w:p>
    <w:p w:rsidR="0060070F" w:rsidRPr="00E00B35" w:rsidRDefault="0085407F" w:rsidP="00E00B35">
      <w:pPr>
        <w:pStyle w:val="Akapitzlist1"/>
        <w:spacing w:after="0" w:line="312" w:lineRule="auto"/>
        <w:ind w:left="0"/>
        <w:rPr>
          <w:szCs w:val="20"/>
        </w:rPr>
      </w:pPr>
      <w:r w:rsidRPr="00E00B35">
        <w:rPr>
          <w:szCs w:val="20"/>
        </w:rPr>
        <w:br/>
      </w:r>
      <w:r w:rsidR="0060070F" w:rsidRPr="00E00B35">
        <w:rPr>
          <w:szCs w:val="20"/>
        </w:rPr>
        <w:t>W ramach zadań związanych z zarządzaniem nieruchomościami podejmowano następujące czynności: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zawarto umowy ubezpieczenia mienia od ognia i innych żywiołów oraz ubezpieczenia od odpowiedzialności cywilnej dla nieruchomości, w których Skarb Państwa ma 100% udziałów własności,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dokonano analizy księgowo – finansowej i merytorycznej oraz przekazano do realizacji dokumentację księgowo – finansową dotyczącą zakupu mediów i usług do nieruchomości (m.in. utrzymanie czystości, naprawy i konserwacje, wywóz nieczystości stałych, remonty), prowadzono ewidencję księgową ww. dokumentów w systemie EOF – Elektroniczny Obieg Faktur UMW,</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 xml:space="preserve">prowadzono bieżącą korespondencję z dostawcami mediów i usług </w:t>
      </w:r>
      <w:r w:rsidRPr="00E00B35">
        <w:rPr>
          <w:szCs w:val="20"/>
        </w:rPr>
        <w:br/>
        <w:t>w sprawie korekt i błędnie wystawionych dokumentów finansowo – księgowych,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 xml:space="preserve">sporządzono deklaracje na podatek od nieruchomości za rok 2020 i korekty do 2019 roku, </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prowadzono postępowania w celu uregulowania tytułu prawnego do lokali mieszkalnych i użytkowych, w tym zawarcia kolejnych umów najmu z dotychczasowymi najemcami,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lastRenderedPageBreak/>
        <w:t>zawarto umowy na usługi utrzymania czystości i przeprowadzenie obowiązkowych przeglądów budowlanych w budynkach, w  których Skarb Państwa ma 100% udziałów własności,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na dzień 31 grudnia 2020 r. umowami najmu objętych było 56 lokali mieszkalnych, 2 lokale użytkowe,</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sporządzono sprawozdanie z gospodarowania zasobem na dzień 31 grudnia 2019 r. dla Wojewody Dolnośląskiego,</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sporządzono wykaz do Krajowego Zasobu Nieruchomości ze stanem zasobu na dzień 31 grudnia 2019 r. - wygenerowano dane dla 2 468 nieruchomości - uzupełniono informacje w 60 kolumnach zestawienia,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prowadzono i generowano raporty dotyczące oceny ryzyka w systemie e-risk,</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prowadzono czynności związane z rozpatrzeniem wniosków inwestorów o wydanie zgody na czasowe zajęcie nieruchomości Skarbu Państwa pod inwestycje liniowe i organizacje placów budowy: sporządzono 12 protokołów uzgodnień, sporządzono 13 protokołów zdawczo – odbiorczych,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okresie od 1 stycznia 2020 r. do 31 grudnia 2020 r. prowadzono 54 umowy dzierżawy nieruchomości, w tym zawarto 1 nową umowę dzierżawy.</w:t>
      </w:r>
    </w:p>
    <w:p w:rsidR="0060070F" w:rsidRPr="00E00B35" w:rsidRDefault="0060070F" w:rsidP="00E00B35">
      <w:pPr>
        <w:pStyle w:val="Akapitzlist1"/>
        <w:spacing w:after="0" w:line="312" w:lineRule="auto"/>
        <w:rPr>
          <w:szCs w:val="20"/>
        </w:rPr>
      </w:pPr>
    </w:p>
    <w:p w:rsidR="0060070F" w:rsidRPr="00E00B35" w:rsidRDefault="0060070F" w:rsidP="00E00B35">
      <w:pPr>
        <w:pStyle w:val="Nagwek4"/>
        <w:spacing w:before="0" w:after="0" w:line="312" w:lineRule="auto"/>
        <w:rPr>
          <w:sz w:val="20"/>
          <w:szCs w:val="20"/>
        </w:rPr>
      </w:pPr>
      <w:r w:rsidRPr="00E00B35">
        <w:rPr>
          <w:sz w:val="20"/>
          <w:szCs w:val="20"/>
        </w:rPr>
        <w:t xml:space="preserve">Zrealizowane remonty w budynkach Skarbu Państwa </w:t>
      </w:r>
    </w:p>
    <w:p w:rsidR="0060070F" w:rsidRPr="00E00B35" w:rsidRDefault="0060070F" w:rsidP="00E00B35">
      <w:pPr>
        <w:pStyle w:val="Akapitzlist1"/>
        <w:spacing w:after="0" w:line="312" w:lineRule="auto"/>
        <w:ind w:left="0"/>
        <w:rPr>
          <w:szCs w:val="20"/>
        </w:rPr>
      </w:pPr>
      <w:r w:rsidRPr="00E00B35">
        <w:rPr>
          <w:szCs w:val="20"/>
        </w:rPr>
        <w:t>W 2020 r. wykonano  prace remontowo-konserwacyjne:</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budynku przy ul. Gen. I. Połbina 1 d-h: wymiana poziomów ciepłej i zimnej wody wraz z zaworami w piwnicy –   10 457,63 zł, remont klatki schodowej 1h – 27 112,13 zł, remont klatki schodowej 1g – 28 978,16 zł, czyszczenie i naprawa rynien i rur spustowych – 16 295,98 zł, montaż oświetlenia w piwnicy i odnowienie lamperii z płytek ceramicznych – 5 281,13 zł,naprawa zapadniętego chodnika – 725,70 zł.</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 xml:space="preserve">w budynku  Podwale 76/77: remont balkonu z montażem studzienek – 27 429,00 zł, wymiana odcinka pionu wod – Kan wraz z odtworzeniem zabudowy – 25 227,89 zł, udrożnienie odcinka kanalizacji zewnętrznej - 5 828,26 zł, uzupełnienie dachówek – 1 234,34 zł, </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budynku przy ul. Księcia Witolda 16: naprawa ogrodzenia – 11 324,34 zł, wymiana drzwi balkonowych – 5 320,00 zł, wymiana odcinka instalacji wod – kan – 1 670,22 zł,</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budynku przy ul. Ofiar Oświęcimskich 12: wymiana, uszczelnienie i naprawa rur spustowych – 4 047,85 zł,</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budynku przy ul. Krasińskiego 29a: czyszczenie rynien – 1 646,49 zł,</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budynku przy ul. Słonecznej 55, Długołęka: zabezpieczenie ogrodzenia i drzwi wejściowych – 1 231,32 zł.</w:t>
      </w:r>
    </w:p>
    <w:p w:rsidR="0060070F" w:rsidRPr="00E00B35" w:rsidRDefault="0060070F" w:rsidP="00E00B35">
      <w:pPr>
        <w:autoSpaceDE w:val="0"/>
        <w:autoSpaceDN w:val="0"/>
        <w:adjustRightInd w:val="0"/>
        <w:spacing w:after="0" w:line="312" w:lineRule="auto"/>
        <w:ind w:left="708"/>
        <w:rPr>
          <w:rFonts w:cs="Verdana"/>
          <w:szCs w:val="20"/>
        </w:rPr>
      </w:pPr>
    </w:p>
    <w:p w:rsidR="0060070F" w:rsidRPr="00E00B35" w:rsidRDefault="0060070F" w:rsidP="00E00B35">
      <w:pPr>
        <w:pStyle w:val="Nagwek4"/>
        <w:spacing w:before="0" w:after="0" w:line="312" w:lineRule="auto"/>
        <w:rPr>
          <w:sz w:val="20"/>
          <w:szCs w:val="20"/>
        </w:rPr>
      </w:pPr>
      <w:r w:rsidRPr="00E00B35">
        <w:rPr>
          <w:sz w:val="20"/>
          <w:szCs w:val="20"/>
        </w:rPr>
        <w:t xml:space="preserve">Zakładanie ksiąg wieczystych dla nieruchomości Skarbu Państwa     </w:t>
      </w:r>
    </w:p>
    <w:p w:rsidR="0060070F" w:rsidRPr="00E00B35" w:rsidRDefault="0060070F" w:rsidP="00E00B35">
      <w:pPr>
        <w:pStyle w:val="akapit"/>
        <w:spacing w:line="312" w:lineRule="auto"/>
        <w:rPr>
          <w:szCs w:val="20"/>
        </w:rPr>
      </w:pPr>
      <w:r w:rsidRPr="00E00B35">
        <w:rPr>
          <w:szCs w:val="20"/>
        </w:rPr>
        <w:t xml:space="preserve">Realizując postanowienia ustawy z dnia 7 września 2007 r. o ujawnianiu w księgach wieczystych prawa własności nieruchomości Skarbu Państwa oraz jednostek samorządu terytorialnego (Dz. U. z 2012r. poz. 1460), kontynuowano składanie wniosków do sądu </w:t>
      </w:r>
      <w:r w:rsidRPr="00E00B35">
        <w:rPr>
          <w:szCs w:val="20"/>
        </w:rPr>
        <w:lastRenderedPageBreak/>
        <w:t>wieczystoksięgowego o założenie ksiąg wieczystych z wpisem własności Skarbu Państwa dla nieruchomości stanowiących zasób Skarbu Państwa, którym gospodaruje Prezydent jako wykonujący zadania z zakresu administracji rządowej. W tym celu wydano 2</w:t>
      </w:r>
      <w:r w:rsidRPr="00E00B35">
        <w:rPr>
          <w:b/>
          <w:szCs w:val="20"/>
        </w:rPr>
        <w:t xml:space="preserve"> </w:t>
      </w:r>
      <w:r w:rsidRPr="00E00B35">
        <w:rPr>
          <w:szCs w:val="20"/>
        </w:rPr>
        <w:t>zaświadczenia o przejściu nieruchomości na własność Skarbu Państwa na mocy art. 2 Dekretu z dnia 8 marca 1946 r. o majątkach opuszczonych i poniemieckich (Dz. U. Nr 13, poz. 87). W 2020 r. założono 8 ksiąg wieczystych, w 40 księgach wieczystych dokonano wpisów, rozpatrzono 29 wniosków w wyniku czego wyrażono 25 zgód na dokonanie wpisu przez użytkownika wieczystego w trybie art. 21 ustawy o księgach wieczystych i hipotece. Realizowano również zadania dotyczące badania stanów prawnych nieruchomości na podstawie wpisów w księgach wieczystych, uzyskiwano odpisy z ksiąg wieczystych dokumentujące stan prawny nieruchomości w prowadzonych w Wydziale Nieruchomości Skarbu Państwa postępowaniach administracyjnych.</w:t>
      </w:r>
    </w:p>
    <w:p w:rsidR="0060070F" w:rsidRPr="00E00B35" w:rsidRDefault="0060070F" w:rsidP="00E00B35">
      <w:pPr>
        <w:pStyle w:val="11Trescpisma"/>
        <w:spacing w:before="0" w:after="0" w:line="312" w:lineRule="auto"/>
        <w:jc w:val="left"/>
        <w:rPr>
          <w:szCs w:val="20"/>
        </w:rPr>
      </w:pPr>
    </w:p>
    <w:p w:rsidR="0060070F" w:rsidRPr="00E00B35" w:rsidRDefault="0060070F" w:rsidP="00E00B35">
      <w:pPr>
        <w:pStyle w:val="Nagwek4"/>
        <w:spacing w:before="0" w:after="0" w:line="312" w:lineRule="auto"/>
        <w:rPr>
          <w:sz w:val="20"/>
          <w:szCs w:val="20"/>
        </w:rPr>
      </w:pPr>
      <w:r w:rsidRPr="00E00B35">
        <w:rPr>
          <w:sz w:val="20"/>
          <w:szCs w:val="20"/>
        </w:rPr>
        <w:t>Pozostałe czynności</w:t>
      </w:r>
    </w:p>
    <w:p w:rsidR="0060070F" w:rsidRPr="00E00B35" w:rsidRDefault="0060070F" w:rsidP="00E00B35">
      <w:pPr>
        <w:pStyle w:val="akapit"/>
        <w:spacing w:line="312" w:lineRule="auto"/>
        <w:rPr>
          <w:szCs w:val="20"/>
        </w:rPr>
      </w:pPr>
      <w:r w:rsidRPr="00E00B35">
        <w:rPr>
          <w:szCs w:val="20"/>
        </w:rPr>
        <w:t>Kontynuowano prowadzenie rejestru nieruchomości przekazanych darowizną na realizację celów publicznych oraz darowizn dokonywanych pomiędzy Skarbem Państwa a jednostkami samorządu terytorialnego. Monitorowano sposób realizacji celów darowizny określonych w umowach.</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Kontynuowano postępowanie dotyczące stwierdzenia nieważności umowy darowizny nieruchomości położonej przy ulicy Sienkiewicza, z uwagi na sformułowany w umowie cel darowizny, w sposób budzący wątpliwości co do zgodności z przepisami ustawy o gospodarce nieruchomościami. Skarb Państwa w tym postępowaniu reprezentuje Prokuratoria Generalna w Warszawie, która skierowała sprawę do postępowania sądowego.</w:t>
      </w:r>
    </w:p>
    <w:p w:rsidR="0060070F" w:rsidRPr="00E00B35" w:rsidRDefault="0085407F" w:rsidP="00E00B35">
      <w:pPr>
        <w:pStyle w:val="Akapitzlist1"/>
        <w:spacing w:after="0" w:line="312" w:lineRule="auto"/>
        <w:ind w:left="0"/>
        <w:rPr>
          <w:szCs w:val="20"/>
        </w:rPr>
      </w:pPr>
      <w:r w:rsidRPr="00E00B35">
        <w:rPr>
          <w:szCs w:val="20"/>
        </w:rPr>
        <w:br/>
      </w:r>
      <w:r w:rsidR="0060070F" w:rsidRPr="00E00B35">
        <w:rPr>
          <w:szCs w:val="20"/>
        </w:rPr>
        <w:t xml:space="preserve">Prowadzono między innymi postępowania wyszczególnione poniżej z podziałem na kategorie: </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z zakresu wiedzy o nieruchomościach i jej aktualizacji,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 sprzedaż nieruchomości w trybie przetargowym oraz w trybie bezprzetargowym,</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sprawach przekazania nieruchomości do korzystania, w tym dzierżawę lub najem, użyczenie,</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 zezwolenie na czasowe zajęcie nieruchomości,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 zniesienie współwłasności,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przedmiocie przejęcia nieruchomości przez Skarb Państwa,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 xml:space="preserve">dotyczące wyjaśnienia, interpretacji, opinii, aktów prawnych, o udzielenie informacji publicznej, </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sprawie służebności gruntowych.</w:t>
      </w:r>
    </w:p>
    <w:p w:rsidR="0060070F" w:rsidRPr="00E00B35" w:rsidRDefault="0085407F" w:rsidP="00E00B35">
      <w:pPr>
        <w:pStyle w:val="Akapitzlist1"/>
        <w:spacing w:after="0" w:line="312" w:lineRule="auto"/>
        <w:ind w:left="0"/>
        <w:rPr>
          <w:szCs w:val="20"/>
        </w:rPr>
      </w:pPr>
      <w:r w:rsidRPr="00E00B35">
        <w:rPr>
          <w:szCs w:val="20"/>
        </w:rPr>
        <w:br/>
      </w:r>
      <w:r w:rsidR="0060070F" w:rsidRPr="00E00B35">
        <w:rPr>
          <w:szCs w:val="20"/>
        </w:rPr>
        <w:t>Umowy dotyczące nieruchomości Skarbu Państwa zawarte w 2020 r.:</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akty notarialne:</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sprzedaż prawa własności -1,</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umowa ustanowienia prawa użytkowania wieczystego – 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lastRenderedPageBreak/>
        <w:t>umowa zrównania terminów użytkowania wieczystego – 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ustanowienie służebności gruntowej lub przesyłu – 2,</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umowa zamiany – 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umowa darowizny – 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umowa użytkowania – 0,</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razem – 3,</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zwykła forma pisemna: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dzierżawa gruntu – 1,</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umowa najmu – 1,</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umowa użyczenia – 3,</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czasowe zajęcie gruntu – 14,</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obciążenie z tytułu bezumownego korzystania z gruntu – 17,</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razem – 36.</w:t>
      </w:r>
    </w:p>
    <w:p w:rsidR="0060070F" w:rsidRPr="00E00B35" w:rsidRDefault="0060070F" w:rsidP="00E00B35">
      <w:pPr>
        <w:pStyle w:val="akapit"/>
        <w:spacing w:line="312" w:lineRule="auto"/>
        <w:rPr>
          <w:szCs w:val="20"/>
        </w:rPr>
      </w:pPr>
      <w:r w:rsidRPr="00E00B35">
        <w:rPr>
          <w:szCs w:val="20"/>
        </w:rPr>
        <w:t>Kontynuowano przygotowanie nieruchomości Skarbu Państwa do zbycia w trybie bezprzetargowym oraz przetargowym.</w:t>
      </w:r>
    </w:p>
    <w:p w:rsidR="0060070F" w:rsidRPr="00E00B35" w:rsidRDefault="0060070F" w:rsidP="00E00B35">
      <w:pPr>
        <w:pStyle w:val="akapit"/>
        <w:spacing w:line="312" w:lineRule="auto"/>
        <w:rPr>
          <w:b/>
          <w:bCs/>
          <w:szCs w:val="20"/>
        </w:rPr>
      </w:pPr>
      <w:r w:rsidRPr="00E00B35">
        <w:rPr>
          <w:szCs w:val="20"/>
        </w:rPr>
        <w:t>Zawarto 3 umowy notarialnych na łączną kwotę 32 073,00</w:t>
      </w:r>
      <w:r w:rsidRPr="00E00B35">
        <w:rPr>
          <w:bCs/>
          <w:szCs w:val="20"/>
        </w:rPr>
        <w:t xml:space="preserve"> zł.</w:t>
      </w:r>
    </w:p>
    <w:p w:rsidR="0060070F" w:rsidRPr="00E00B35" w:rsidRDefault="0060070F" w:rsidP="00E00B35">
      <w:pPr>
        <w:spacing w:after="0" w:line="312" w:lineRule="auto"/>
        <w:rPr>
          <w:szCs w:val="20"/>
        </w:rPr>
      </w:pPr>
    </w:p>
    <w:p w:rsidR="0060070F" w:rsidRPr="00E00B35" w:rsidRDefault="0060070F" w:rsidP="00E00B35">
      <w:pPr>
        <w:pStyle w:val="Nagwek4"/>
        <w:spacing w:before="0" w:after="0" w:line="312" w:lineRule="auto"/>
        <w:rPr>
          <w:sz w:val="20"/>
          <w:szCs w:val="20"/>
        </w:rPr>
      </w:pPr>
      <w:r w:rsidRPr="00E00B35">
        <w:rPr>
          <w:sz w:val="20"/>
          <w:szCs w:val="20"/>
        </w:rPr>
        <w:t xml:space="preserve">Użytkowanie wieczyste </w:t>
      </w:r>
    </w:p>
    <w:p w:rsidR="0060070F" w:rsidRPr="00E00B35" w:rsidRDefault="0060070F" w:rsidP="00E00B35">
      <w:pPr>
        <w:pStyle w:val="akapit"/>
        <w:spacing w:line="312" w:lineRule="auto"/>
        <w:rPr>
          <w:szCs w:val="20"/>
        </w:rPr>
      </w:pPr>
      <w:r w:rsidRPr="00E00B35">
        <w:rPr>
          <w:szCs w:val="20"/>
        </w:rPr>
        <w:t>Prace związane z użytkowaniem wieczystym w 2020 r. zostały zdominowane przez przekształcenie prawa użytkowania wieczystego nieruchomości zabudowanych na cele mieszkaniowe w prawo własności tych gruntów. W 2019 r. wydano 99% zaświadczeń o przekształceniu, w związku z tym w 2020 r. realizowano przede wszystkim zgłoszenia zamiaru wniesienia opłaty jednorazowej. W sumie przesłano do mieszkańców 21 905 informacji o wysokości opłaty jednorazowej z uwzględnieniem właściwej bonifikaty. Przy czym w roku 2020 wpłynęło 4 838 zgłoszeń. Na dzień sporządzania sprawozdania stan realizacji zarejestrowanych zgłoszeń wynosi 95%. Ponadto wydano 1 282 zaświadczeń dla przedsiębiorców o udzielonej pomocy de minimis. Wydano 23 zaświadczenia na wniosek Deweloperów realizujących nowe inwestycje mieszkaniowe na gruntach Skarbu Państwa.</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noProof/>
          <w:szCs w:val="20"/>
        </w:rPr>
        <w:t>Kontynuowano czynności związane z dotychczasowymi zadaniami, jednakże z uwagi na stan epidemiologiczny ogłoszony w marcu, który spowodował ograniczenie działalności wielu branż gospodarki, a co za tym idzie pogorszenie sytuacji finansowej wielu użytkowników wieczystych,  dokonano jedynie 31 aktualizacji opłat za użytkowanie wieczyste gruntu, niemniej jednak przewidywany</w:t>
      </w:r>
      <w:r w:rsidRPr="00E00B35">
        <w:rPr>
          <w:szCs w:val="20"/>
        </w:rPr>
        <w:t xml:space="preserve"> wzrost opłat w stosunku do opłat wypowiadanych wynosi 7 613 786,00 zł.</w:t>
      </w:r>
    </w:p>
    <w:p w:rsidR="0060070F" w:rsidRPr="00E00B35" w:rsidRDefault="0085407F" w:rsidP="00E00B35">
      <w:pPr>
        <w:pStyle w:val="Akapitzlist1"/>
        <w:spacing w:after="0" w:line="312" w:lineRule="auto"/>
        <w:ind w:left="0"/>
        <w:rPr>
          <w:szCs w:val="20"/>
        </w:rPr>
      </w:pPr>
      <w:r w:rsidRPr="00E00B35">
        <w:rPr>
          <w:strike/>
          <w:szCs w:val="20"/>
        </w:rPr>
        <w:br/>
      </w:r>
      <w:r w:rsidR="0060070F" w:rsidRPr="00E00B35">
        <w:rPr>
          <w:szCs w:val="20"/>
        </w:rPr>
        <w:t>W sprawach dotyczących aktualizacji opłat rocznych z tytułu użytkowania wieczystego:</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przekazano akta 28 użytkowników wieczystych do rozpatrzenia przez Samorządowe Kolegium Odwoławcze, w związku ze złożonymi wnioskami, że aktualizacje są nieuzasadnione lub uzasadnione w innej wysokości,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lastRenderedPageBreak/>
        <w:t>uczestniczono w 48 rozprawach przed Samorządowym Kolegium Odwoławczym we Wrocławiu w sprawach dotyczących aktualizacji opłat z tytułu użytkowania i współużytkowania wieczystego,</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dokonano analizy 28 operatów szacunkowych sporządzonych w postępowaniach sądowych, dotyczących aktualizacji opłat z tytułu użytkowania wieczystego toczących się w sprawach z lat ubiegłych,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pracownicy uczestniczyli w charakterze świadków w 3 rozprawach sądowych.</w:t>
      </w:r>
    </w:p>
    <w:p w:rsidR="0060070F" w:rsidRPr="00E00B35" w:rsidRDefault="0060070F" w:rsidP="00E00B35">
      <w:pPr>
        <w:spacing w:after="0" w:line="312" w:lineRule="auto"/>
        <w:rPr>
          <w:szCs w:val="20"/>
        </w:rPr>
      </w:pPr>
      <w:r w:rsidRPr="00E00B35">
        <w:rPr>
          <w:szCs w:val="20"/>
        </w:rPr>
        <w:t>Wykonano 68</w:t>
      </w:r>
      <w:r w:rsidRPr="00E00B35">
        <w:rPr>
          <w:b/>
          <w:szCs w:val="20"/>
        </w:rPr>
        <w:t xml:space="preserve"> </w:t>
      </w:r>
      <w:r w:rsidRPr="00E00B35">
        <w:rPr>
          <w:szCs w:val="20"/>
        </w:rPr>
        <w:t xml:space="preserve">wizji w terenie, z czego 52 przeprowadzono w związku z prowadzonymi postępowaniami o przekształcenie lub dla potwierdzenia sposobu użytkowania gruntu, 16 było przeprowadzonych z udziałem biegłych sądowych, w trakcie postępowań sądowych. </w:t>
      </w:r>
    </w:p>
    <w:p w:rsidR="0060070F" w:rsidRPr="00E00B35" w:rsidRDefault="0060070F" w:rsidP="00E00B35">
      <w:pPr>
        <w:pStyle w:val="akapit"/>
        <w:spacing w:line="312" w:lineRule="auto"/>
        <w:rPr>
          <w:szCs w:val="20"/>
        </w:rPr>
      </w:pPr>
      <w:r w:rsidRPr="00E00B35">
        <w:rPr>
          <w:szCs w:val="20"/>
        </w:rPr>
        <w:t xml:space="preserve">Kontynuowano współpracę z Prokuratorią Generalną Rzeczpospolitej Polskiej przy postępowaniach prowadzonych w ramach wykonywanego przez Prokuratorię obowiązkowego zastępstwa procesowego w sprawach gdzie wartość przedmiotu sporu przekracza 75 000,00 zł. </w:t>
      </w:r>
    </w:p>
    <w:p w:rsidR="0060070F" w:rsidRPr="00E00B35" w:rsidRDefault="0085407F" w:rsidP="00E00B35">
      <w:pPr>
        <w:pStyle w:val="Akapitzlist1"/>
        <w:spacing w:after="0" w:line="312" w:lineRule="auto"/>
        <w:ind w:left="0"/>
        <w:rPr>
          <w:szCs w:val="20"/>
        </w:rPr>
      </w:pPr>
      <w:r w:rsidRPr="00E00B35">
        <w:rPr>
          <w:szCs w:val="20"/>
        </w:rPr>
        <w:br/>
      </w:r>
      <w:r w:rsidR="0060070F" w:rsidRPr="00E00B35">
        <w:rPr>
          <w:szCs w:val="20"/>
        </w:rPr>
        <w:t>W 2020 r. rozpatrywano wnioski o ulgi i bonifikaty od opłat z tytułu użytkowania wieczystego oraz własności w przypadku nieruchomości przekształconych: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wnioski o ulgi (odroczenie, raty, umorzenia) - 66 szt.,</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skierowano do Wojewody Dolnośląskiego 6 wniosków, popartych analizami kondycji finansowej podmiotów, o zawarcie ugody w sprawach rozłożenia na raty zaległości w opłatach z tytułu użytkowania wieczystego, w dwóch przypadkach Wojewoda wyraził zgodę na zaproponowane raty, pozostałe oczekują na rozpatrzenie,</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 xml:space="preserve">w związku z ogłoszeniem stanu epidemiologicznego, a co za tym idzie wprowadzeniem ustawami planów pomocowych dla przedsiębiorców w 2020 r. wpłynęło 6 wniosków, a z uwagi na dokonane wpłaty i na brak regulacji prawnych udzielono wyjaśnień. </w:t>
      </w:r>
    </w:p>
    <w:p w:rsidR="0060070F" w:rsidRPr="00E00B35" w:rsidRDefault="0085407F" w:rsidP="00E00B35">
      <w:pPr>
        <w:pStyle w:val="akapit"/>
        <w:spacing w:line="312" w:lineRule="auto"/>
        <w:rPr>
          <w:szCs w:val="20"/>
        </w:rPr>
      </w:pPr>
      <w:r w:rsidRPr="00E00B35">
        <w:rPr>
          <w:szCs w:val="20"/>
        </w:rPr>
        <w:br/>
      </w:r>
      <w:r w:rsidR="0060070F" w:rsidRPr="00E00B35">
        <w:rPr>
          <w:szCs w:val="20"/>
        </w:rPr>
        <w:t>Poniżej w zestawieniu tabelarycznym stan ich realizacji przed wejściem życie ustawy z dnia 19 czerwca 2020 r. o dopłatach do oprocentowania kredytów bankowych udzielanych przedsiębiorcom dotkniętym skutkami COVID-19 oraz o uproszczonym postępowaniu o zatwierdzenie układu w związku z wystąpieniem COVID-19 zmieniającej termin płatności na 31 stycznia 2021 r.</w:t>
      </w:r>
    </w:p>
    <w:p w:rsidR="0060070F" w:rsidRPr="00E00B35" w:rsidRDefault="0060070F" w:rsidP="00E00B35">
      <w:pPr>
        <w:pStyle w:val="akapit"/>
        <w:spacing w:line="312" w:lineRule="auto"/>
        <w:rPr>
          <w:szCs w:val="20"/>
        </w:rPr>
      </w:pPr>
    </w:p>
    <w:tbl>
      <w:tblPr>
        <w:tblW w:w="8300" w:type="dxa"/>
        <w:tblInd w:w="409" w:type="dxa"/>
        <w:tblCellMar>
          <w:left w:w="70" w:type="dxa"/>
          <w:right w:w="70" w:type="dxa"/>
        </w:tblCellMar>
        <w:tblLook w:val="04A0"/>
      </w:tblPr>
      <w:tblGrid>
        <w:gridCol w:w="435"/>
        <w:gridCol w:w="998"/>
        <w:gridCol w:w="998"/>
        <w:gridCol w:w="1001"/>
        <w:gridCol w:w="1761"/>
        <w:gridCol w:w="1562"/>
        <w:gridCol w:w="1545"/>
      </w:tblGrid>
      <w:tr w:rsidR="0060070F" w:rsidRPr="00E00B35" w:rsidTr="00252360">
        <w:trPr>
          <w:trHeight w:val="538"/>
        </w:trPr>
        <w:tc>
          <w:tcPr>
            <w:tcW w:w="8300" w:type="dxa"/>
            <w:gridSpan w:val="7"/>
            <w:tcBorders>
              <w:top w:val="nil"/>
              <w:left w:val="nil"/>
              <w:bottom w:val="nil"/>
              <w:right w:val="nil"/>
            </w:tcBorders>
            <w:noWrap/>
            <w:vAlign w:val="bottom"/>
            <w:hideMark/>
          </w:tcPr>
          <w:p w:rsidR="0060070F" w:rsidRPr="00E00B35" w:rsidRDefault="0060070F" w:rsidP="00E00B35">
            <w:pPr>
              <w:spacing w:after="0" w:line="312" w:lineRule="auto"/>
              <w:rPr>
                <w:rFonts w:cs="Arial"/>
                <w:bCs/>
                <w:szCs w:val="20"/>
              </w:rPr>
            </w:pPr>
            <w:r w:rsidRPr="00E00B35">
              <w:rPr>
                <w:rFonts w:cs="Arial"/>
                <w:bCs/>
                <w:szCs w:val="20"/>
              </w:rPr>
              <w:t>Użytkowanie wieczyste i przekształcenie na mocy decyzji administracyjnej</w:t>
            </w:r>
          </w:p>
        </w:tc>
      </w:tr>
      <w:tr w:rsidR="0060070F" w:rsidRPr="00E00B35" w:rsidTr="00252360">
        <w:trPr>
          <w:trHeight w:val="793"/>
        </w:trPr>
        <w:tc>
          <w:tcPr>
            <w:tcW w:w="3432" w:type="dxa"/>
            <w:gridSpan w:val="4"/>
            <w:tcBorders>
              <w:top w:val="single" w:sz="4" w:space="0" w:color="auto"/>
              <w:left w:val="single" w:sz="4" w:space="0" w:color="auto"/>
              <w:bottom w:val="single" w:sz="4" w:space="0" w:color="auto"/>
              <w:right w:val="single" w:sz="4" w:space="0" w:color="auto"/>
            </w:tcBorders>
            <w:vAlign w:val="bottom"/>
            <w:hideMark/>
          </w:tcPr>
          <w:p w:rsidR="0060070F" w:rsidRPr="00E00B35" w:rsidRDefault="0060070F" w:rsidP="00E00B35">
            <w:pPr>
              <w:spacing w:after="0" w:line="312" w:lineRule="auto"/>
              <w:rPr>
                <w:rFonts w:cs="Arial"/>
                <w:szCs w:val="20"/>
              </w:rPr>
            </w:pPr>
            <w:r w:rsidRPr="00E00B35">
              <w:rPr>
                <w:rFonts w:cs="Arial"/>
                <w:szCs w:val="20"/>
              </w:rPr>
              <w:t>charakter zmiany</w:t>
            </w:r>
          </w:p>
        </w:tc>
        <w:tc>
          <w:tcPr>
            <w:tcW w:w="1761" w:type="dxa"/>
            <w:tcBorders>
              <w:top w:val="single" w:sz="4" w:space="0" w:color="auto"/>
              <w:left w:val="nil"/>
              <w:bottom w:val="single" w:sz="4" w:space="0" w:color="auto"/>
              <w:right w:val="single" w:sz="4" w:space="0" w:color="auto"/>
            </w:tcBorders>
            <w:vAlign w:val="bottom"/>
            <w:hideMark/>
          </w:tcPr>
          <w:p w:rsidR="0060070F" w:rsidRPr="00E00B35" w:rsidRDefault="0060070F" w:rsidP="00E00B35">
            <w:pPr>
              <w:spacing w:after="0" w:line="312" w:lineRule="auto"/>
              <w:rPr>
                <w:rFonts w:cs="Arial"/>
                <w:szCs w:val="20"/>
              </w:rPr>
            </w:pPr>
            <w:r w:rsidRPr="00E00B35">
              <w:rPr>
                <w:rFonts w:cs="Arial"/>
                <w:szCs w:val="20"/>
              </w:rPr>
              <w:t>dochód ogółem</w:t>
            </w:r>
          </w:p>
        </w:tc>
        <w:tc>
          <w:tcPr>
            <w:tcW w:w="1562" w:type="dxa"/>
            <w:tcBorders>
              <w:top w:val="single" w:sz="4" w:space="0" w:color="auto"/>
              <w:left w:val="nil"/>
              <w:bottom w:val="single" w:sz="4" w:space="0" w:color="auto"/>
              <w:right w:val="single" w:sz="4" w:space="0" w:color="auto"/>
            </w:tcBorders>
            <w:vAlign w:val="bottom"/>
            <w:hideMark/>
          </w:tcPr>
          <w:p w:rsidR="0060070F" w:rsidRPr="00E00B35" w:rsidRDefault="0060070F" w:rsidP="00E00B35">
            <w:pPr>
              <w:spacing w:after="0" w:line="312" w:lineRule="auto"/>
              <w:rPr>
                <w:rFonts w:cs="Arial"/>
                <w:szCs w:val="20"/>
              </w:rPr>
            </w:pPr>
            <w:r w:rsidRPr="00E00B35">
              <w:rPr>
                <w:rFonts w:cs="Arial"/>
                <w:szCs w:val="20"/>
              </w:rPr>
              <w:t>75 % dochód Skarbu Państwa</w:t>
            </w:r>
          </w:p>
        </w:tc>
        <w:tc>
          <w:tcPr>
            <w:tcW w:w="1545" w:type="dxa"/>
            <w:tcBorders>
              <w:top w:val="single" w:sz="4" w:space="0" w:color="auto"/>
              <w:left w:val="nil"/>
              <w:bottom w:val="single" w:sz="4" w:space="0" w:color="auto"/>
              <w:right w:val="single" w:sz="4" w:space="0" w:color="auto"/>
            </w:tcBorders>
            <w:vAlign w:val="bottom"/>
            <w:hideMark/>
          </w:tcPr>
          <w:p w:rsidR="0060070F" w:rsidRPr="00E00B35" w:rsidRDefault="0060070F" w:rsidP="00E00B35">
            <w:pPr>
              <w:spacing w:after="0" w:line="312" w:lineRule="auto"/>
              <w:rPr>
                <w:rFonts w:cs="Arial"/>
                <w:szCs w:val="20"/>
              </w:rPr>
            </w:pPr>
            <w:r w:rsidRPr="00E00B35">
              <w:rPr>
                <w:rFonts w:cs="Arial"/>
                <w:szCs w:val="20"/>
              </w:rPr>
              <w:t>25 % dochód Gminy</w:t>
            </w:r>
          </w:p>
        </w:tc>
      </w:tr>
      <w:tr w:rsidR="0060070F" w:rsidRPr="00E00B35" w:rsidTr="00252360">
        <w:trPr>
          <w:trHeight w:val="1154"/>
        </w:trPr>
        <w:tc>
          <w:tcPr>
            <w:tcW w:w="3432" w:type="dxa"/>
            <w:gridSpan w:val="4"/>
            <w:tcBorders>
              <w:top w:val="single" w:sz="4" w:space="0" w:color="auto"/>
              <w:left w:val="single" w:sz="4" w:space="0" w:color="auto"/>
              <w:bottom w:val="single" w:sz="4" w:space="0" w:color="auto"/>
              <w:right w:val="single" w:sz="4" w:space="0" w:color="000000"/>
            </w:tcBorders>
            <w:vAlign w:val="bottom"/>
            <w:hideMark/>
          </w:tcPr>
          <w:p w:rsidR="0060070F" w:rsidRPr="00E00B35" w:rsidRDefault="0060070F" w:rsidP="00E00B35">
            <w:pPr>
              <w:spacing w:after="0" w:line="312" w:lineRule="auto"/>
              <w:rPr>
                <w:rFonts w:cs="Arial"/>
                <w:szCs w:val="20"/>
              </w:rPr>
            </w:pPr>
            <w:r w:rsidRPr="00E00B35">
              <w:rPr>
                <w:rFonts w:cs="Arial"/>
                <w:szCs w:val="20"/>
              </w:rPr>
              <w:t xml:space="preserve">kwota ogółem, związana ze wszystkimi wnioskami dotyczącymi zobowiązań cywilnoprawnych wobec Skarbu Państwa </w:t>
            </w:r>
          </w:p>
        </w:tc>
        <w:tc>
          <w:tcPr>
            <w:tcW w:w="1761" w:type="dxa"/>
            <w:tcBorders>
              <w:top w:val="nil"/>
              <w:left w:val="nil"/>
              <w:bottom w:val="single" w:sz="4" w:space="0" w:color="auto"/>
              <w:right w:val="single" w:sz="4" w:space="0" w:color="auto"/>
            </w:tcBorders>
            <w:vAlign w:val="bottom"/>
            <w:hideMark/>
          </w:tcPr>
          <w:p w:rsidR="0060070F" w:rsidRPr="00E00B35" w:rsidRDefault="0060070F" w:rsidP="00E00B35">
            <w:pPr>
              <w:spacing w:after="0" w:line="312" w:lineRule="auto"/>
              <w:rPr>
                <w:rFonts w:cs="Arial"/>
                <w:szCs w:val="20"/>
              </w:rPr>
            </w:pPr>
            <w:r w:rsidRPr="00E00B35">
              <w:rPr>
                <w:rFonts w:cs="Arial"/>
                <w:szCs w:val="20"/>
              </w:rPr>
              <w:t>11 286 388,41</w:t>
            </w:r>
          </w:p>
        </w:tc>
        <w:tc>
          <w:tcPr>
            <w:tcW w:w="1562" w:type="dxa"/>
            <w:tcBorders>
              <w:top w:val="nil"/>
              <w:left w:val="nil"/>
              <w:bottom w:val="single" w:sz="4" w:space="0" w:color="auto"/>
              <w:right w:val="single" w:sz="4" w:space="0" w:color="auto"/>
            </w:tcBorders>
            <w:noWrap/>
            <w:vAlign w:val="bottom"/>
            <w:hideMark/>
          </w:tcPr>
          <w:p w:rsidR="0060070F" w:rsidRPr="00E00B35" w:rsidRDefault="0060070F" w:rsidP="00E00B35">
            <w:pPr>
              <w:spacing w:after="0" w:line="312" w:lineRule="auto"/>
              <w:rPr>
                <w:rFonts w:cs="Arial"/>
                <w:szCs w:val="20"/>
              </w:rPr>
            </w:pPr>
            <w:r w:rsidRPr="00E00B35">
              <w:rPr>
                <w:rFonts w:cs="Arial"/>
                <w:szCs w:val="20"/>
              </w:rPr>
              <w:t>8 464 791,31</w:t>
            </w:r>
          </w:p>
        </w:tc>
        <w:tc>
          <w:tcPr>
            <w:tcW w:w="1545" w:type="dxa"/>
            <w:tcBorders>
              <w:top w:val="nil"/>
              <w:left w:val="nil"/>
              <w:bottom w:val="single" w:sz="4" w:space="0" w:color="auto"/>
              <w:right w:val="single" w:sz="4" w:space="0" w:color="auto"/>
            </w:tcBorders>
            <w:noWrap/>
            <w:vAlign w:val="bottom"/>
            <w:hideMark/>
          </w:tcPr>
          <w:p w:rsidR="0060070F" w:rsidRPr="00E00B35" w:rsidRDefault="0060070F" w:rsidP="00E00B35">
            <w:pPr>
              <w:spacing w:after="0" w:line="312" w:lineRule="auto"/>
              <w:rPr>
                <w:rFonts w:cs="Arial"/>
                <w:szCs w:val="20"/>
              </w:rPr>
            </w:pPr>
            <w:r w:rsidRPr="00E00B35">
              <w:rPr>
                <w:rFonts w:cs="Arial"/>
                <w:szCs w:val="20"/>
              </w:rPr>
              <w:t>2 821 597,10</w:t>
            </w:r>
          </w:p>
        </w:tc>
      </w:tr>
      <w:tr w:rsidR="0060070F" w:rsidRPr="00E00B35" w:rsidTr="00252360">
        <w:trPr>
          <w:trHeight w:val="523"/>
        </w:trPr>
        <w:tc>
          <w:tcPr>
            <w:tcW w:w="3432" w:type="dxa"/>
            <w:gridSpan w:val="4"/>
            <w:tcBorders>
              <w:top w:val="nil"/>
              <w:left w:val="single" w:sz="4" w:space="0" w:color="auto"/>
              <w:bottom w:val="single" w:sz="4" w:space="0" w:color="auto"/>
              <w:right w:val="single" w:sz="4" w:space="0" w:color="auto"/>
            </w:tcBorders>
            <w:vAlign w:val="bottom"/>
            <w:hideMark/>
          </w:tcPr>
          <w:p w:rsidR="0060070F" w:rsidRPr="00E00B35" w:rsidRDefault="0060070F" w:rsidP="00E00B35">
            <w:pPr>
              <w:spacing w:after="0" w:line="312" w:lineRule="auto"/>
              <w:rPr>
                <w:rFonts w:cs="Arial"/>
                <w:szCs w:val="20"/>
              </w:rPr>
            </w:pPr>
            <w:r w:rsidRPr="00E00B35">
              <w:rPr>
                <w:rFonts w:cs="Arial"/>
                <w:szCs w:val="20"/>
              </w:rPr>
              <w:lastRenderedPageBreak/>
              <w:t xml:space="preserve">wnioski o ulgę (odroczenie terminu lub rozłożenie na raty) w toku </w:t>
            </w:r>
          </w:p>
        </w:tc>
        <w:tc>
          <w:tcPr>
            <w:tcW w:w="1761" w:type="dxa"/>
            <w:tcBorders>
              <w:top w:val="nil"/>
              <w:left w:val="nil"/>
              <w:bottom w:val="single" w:sz="4" w:space="0" w:color="auto"/>
              <w:right w:val="single" w:sz="4" w:space="0" w:color="auto"/>
            </w:tcBorders>
            <w:vAlign w:val="bottom"/>
            <w:hideMark/>
          </w:tcPr>
          <w:p w:rsidR="0060070F" w:rsidRPr="00E00B35" w:rsidRDefault="0060070F" w:rsidP="00E00B35">
            <w:pPr>
              <w:spacing w:after="0" w:line="312" w:lineRule="auto"/>
              <w:rPr>
                <w:rFonts w:cs="Arial"/>
                <w:szCs w:val="20"/>
              </w:rPr>
            </w:pPr>
            <w:r w:rsidRPr="00E00B35">
              <w:rPr>
                <w:rFonts w:cs="Arial"/>
                <w:szCs w:val="20"/>
              </w:rPr>
              <w:t>5 152 305,07</w:t>
            </w:r>
          </w:p>
        </w:tc>
        <w:tc>
          <w:tcPr>
            <w:tcW w:w="1562" w:type="dxa"/>
            <w:tcBorders>
              <w:top w:val="nil"/>
              <w:left w:val="nil"/>
              <w:bottom w:val="single" w:sz="4" w:space="0" w:color="auto"/>
              <w:right w:val="single" w:sz="4" w:space="0" w:color="auto"/>
            </w:tcBorders>
            <w:noWrap/>
            <w:vAlign w:val="bottom"/>
            <w:hideMark/>
          </w:tcPr>
          <w:p w:rsidR="0060070F" w:rsidRPr="00E00B35" w:rsidRDefault="0060070F" w:rsidP="00E00B35">
            <w:pPr>
              <w:spacing w:after="0" w:line="312" w:lineRule="auto"/>
              <w:rPr>
                <w:rFonts w:cs="Arial"/>
                <w:szCs w:val="20"/>
              </w:rPr>
            </w:pPr>
            <w:r w:rsidRPr="00E00B35">
              <w:rPr>
                <w:rFonts w:cs="Arial"/>
                <w:szCs w:val="20"/>
              </w:rPr>
              <w:t>3 864 228,80</w:t>
            </w:r>
          </w:p>
        </w:tc>
        <w:tc>
          <w:tcPr>
            <w:tcW w:w="1545" w:type="dxa"/>
            <w:tcBorders>
              <w:top w:val="nil"/>
              <w:left w:val="nil"/>
              <w:bottom w:val="single" w:sz="4" w:space="0" w:color="auto"/>
              <w:right w:val="single" w:sz="4" w:space="0" w:color="auto"/>
            </w:tcBorders>
            <w:noWrap/>
            <w:vAlign w:val="bottom"/>
            <w:hideMark/>
          </w:tcPr>
          <w:p w:rsidR="0060070F" w:rsidRPr="00E00B35" w:rsidRDefault="0060070F" w:rsidP="00E00B35">
            <w:pPr>
              <w:spacing w:after="0" w:line="312" w:lineRule="auto"/>
              <w:rPr>
                <w:rFonts w:cs="Arial"/>
                <w:szCs w:val="20"/>
              </w:rPr>
            </w:pPr>
            <w:r w:rsidRPr="00E00B35">
              <w:rPr>
                <w:rFonts w:cs="Arial"/>
                <w:szCs w:val="20"/>
              </w:rPr>
              <w:t>1 288 076,27</w:t>
            </w:r>
          </w:p>
        </w:tc>
      </w:tr>
      <w:tr w:rsidR="0060070F" w:rsidRPr="00E00B35" w:rsidTr="00252360">
        <w:trPr>
          <w:trHeight w:val="456"/>
        </w:trPr>
        <w:tc>
          <w:tcPr>
            <w:tcW w:w="3432" w:type="dxa"/>
            <w:gridSpan w:val="4"/>
            <w:tcBorders>
              <w:top w:val="single" w:sz="4" w:space="0" w:color="auto"/>
              <w:left w:val="single" w:sz="4" w:space="0" w:color="auto"/>
              <w:bottom w:val="single" w:sz="4" w:space="0" w:color="auto"/>
              <w:right w:val="single" w:sz="4" w:space="0" w:color="auto"/>
            </w:tcBorders>
            <w:vAlign w:val="bottom"/>
            <w:hideMark/>
          </w:tcPr>
          <w:p w:rsidR="0060070F" w:rsidRPr="00E00B35" w:rsidRDefault="0060070F" w:rsidP="00E00B35">
            <w:pPr>
              <w:spacing w:after="0" w:line="312" w:lineRule="auto"/>
              <w:rPr>
                <w:rFonts w:cs="Arial"/>
                <w:szCs w:val="20"/>
              </w:rPr>
            </w:pPr>
            <w:r w:rsidRPr="00E00B35">
              <w:rPr>
                <w:rFonts w:cs="Arial"/>
                <w:szCs w:val="20"/>
              </w:rPr>
              <w:t>wnioski o umorzenie w toku - do Wojewody</w:t>
            </w:r>
          </w:p>
        </w:tc>
        <w:tc>
          <w:tcPr>
            <w:tcW w:w="1761" w:type="dxa"/>
            <w:tcBorders>
              <w:top w:val="nil"/>
              <w:left w:val="nil"/>
              <w:bottom w:val="single" w:sz="4" w:space="0" w:color="auto"/>
              <w:right w:val="single" w:sz="4" w:space="0" w:color="auto"/>
            </w:tcBorders>
            <w:vAlign w:val="bottom"/>
            <w:hideMark/>
          </w:tcPr>
          <w:p w:rsidR="0060070F" w:rsidRPr="00E00B35" w:rsidRDefault="0060070F" w:rsidP="00E00B35">
            <w:pPr>
              <w:spacing w:after="0" w:line="312" w:lineRule="auto"/>
              <w:rPr>
                <w:rFonts w:cs="Arial"/>
                <w:szCs w:val="20"/>
              </w:rPr>
            </w:pPr>
            <w:r w:rsidRPr="00E00B35">
              <w:rPr>
                <w:rFonts w:cs="Arial"/>
                <w:szCs w:val="20"/>
              </w:rPr>
              <w:t>981 002,38</w:t>
            </w:r>
          </w:p>
        </w:tc>
        <w:tc>
          <w:tcPr>
            <w:tcW w:w="1562" w:type="dxa"/>
            <w:tcBorders>
              <w:top w:val="nil"/>
              <w:left w:val="nil"/>
              <w:bottom w:val="single" w:sz="4" w:space="0" w:color="auto"/>
              <w:right w:val="single" w:sz="4" w:space="0" w:color="auto"/>
            </w:tcBorders>
            <w:noWrap/>
            <w:vAlign w:val="bottom"/>
            <w:hideMark/>
          </w:tcPr>
          <w:p w:rsidR="0060070F" w:rsidRPr="00E00B35" w:rsidRDefault="0060070F" w:rsidP="00E00B35">
            <w:pPr>
              <w:spacing w:after="0" w:line="312" w:lineRule="auto"/>
              <w:rPr>
                <w:rFonts w:cs="Arial"/>
                <w:szCs w:val="20"/>
              </w:rPr>
            </w:pPr>
            <w:r w:rsidRPr="00E00B35">
              <w:rPr>
                <w:rFonts w:cs="Arial"/>
                <w:szCs w:val="20"/>
              </w:rPr>
              <w:t>735 751,79</w:t>
            </w:r>
          </w:p>
        </w:tc>
        <w:tc>
          <w:tcPr>
            <w:tcW w:w="1545" w:type="dxa"/>
            <w:tcBorders>
              <w:top w:val="nil"/>
              <w:left w:val="nil"/>
              <w:bottom w:val="single" w:sz="4" w:space="0" w:color="auto"/>
              <w:right w:val="single" w:sz="4" w:space="0" w:color="auto"/>
            </w:tcBorders>
            <w:noWrap/>
            <w:vAlign w:val="bottom"/>
            <w:hideMark/>
          </w:tcPr>
          <w:p w:rsidR="0060070F" w:rsidRPr="00E00B35" w:rsidRDefault="0060070F" w:rsidP="00E00B35">
            <w:pPr>
              <w:spacing w:after="0" w:line="312" w:lineRule="auto"/>
              <w:rPr>
                <w:rFonts w:cs="Arial"/>
                <w:szCs w:val="20"/>
              </w:rPr>
            </w:pPr>
            <w:r w:rsidRPr="00E00B35">
              <w:rPr>
                <w:rFonts w:cs="Arial"/>
                <w:szCs w:val="20"/>
              </w:rPr>
              <w:t>245 250,60</w:t>
            </w:r>
          </w:p>
        </w:tc>
      </w:tr>
      <w:tr w:rsidR="0060070F" w:rsidRPr="00E00B35" w:rsidTr="00252360">
        <w:trPr>
          <w:trHeight w:val="510"/>
        </w:trPr>
        <w:tc>
          <w:tcPr>
            <w:tcW w:w="3432" w:type="dxa"/>
            <w:gridSpan w:val="4"/>
            <w:tcBorders>
              <w:top w:val="single" w:sz="4" w:space="0" w:color="auto"/>
              <w:left w:val="single" w:sz="4" w:space="0" w:color="auto"/>
              <w:bottom w:val="single" w:sz="4" w:space="0" w:color="auto"/>
              <w:right w:val="single" w:sz="4" w:space="0" w:color="auto"/>
            </w:tcBorders>
            <w:vAlign w:val="bottom"/>
            <w:hideMark/>
          </w:tcPr>
          <w:p w:rsidR="0060070F" w:rsidRPr="00E00B35" w:rsidRDefault="0060070F" w:rsidP="00E00B35">
            <w:pPr>
              <w:spacing w:after="0" w:line="312" w:lineRule="auto"/>
              <w:rPr>
                <w:rFonts w:cs="Arial"/>
                <w:szCs w:val="20"/>
              </w:rPr>
            </w:pPr>
            <w:r w:rsidRPr="00E00B35">
              <w:rPr>
                <w:rFonts w:cs="Arial"/>
                <w:szCs w:val="20"/>
              </w:rPr>
              <w:t>wnioski pozytywnie rozpatrzone (odroczenie, raty)</w:t>
            </w:r>
          </w:p>
        </w:tc>
        <w:tc>
          <w:tcPr>
            <w:tcW w:w="1761" w:type="dxa"/>
            <w:tcBorders>
              <w:top w:val="nil"/>
              <w:left w:val="nil"/>
              <w:bottom w:val="single" w:sz="4" w:space="0" w:color="auto"/>
              <w:right w:val="single" w:sz="4" w:space="0" w:color="auto"/>
            </w:tcBorders>
            <w:vAlign w:val="bottom"/>
            <w:hideMark/>
          </w:tcPr>
          <w:p w:rsidR="0060070F" w:rsidRPr="00E00B35" w:rsidRDefault="0060070F" w:rsidP="00E00B35">
            <w:pPr>
              <w:spacing w:after="0" w:line="312" w:lineRule="auto"/>
              <w:rPr>
                <w:rFonts w:cs="Arial"/>
                <w:szCs w:val="20"/>
              </w:rPr>
            </w:pPr>
            <w:r w:rsidRPr="00E00B35">
              <w:rPr>
                <w:rFonts w:cs="Arial"/>
                <w:szCs w:val="20"/>
              </w:rPr>
              <w:t>5 153 080,96</w:t>
            </w:r>
          </w:p>
        </w:tc>
        <w:tc>
          <w:tcPr>
            <w:tcW w:w="1562" w:type="dxa"/>
            <w:tcBorders>
              <w:top w:val="nil"/>
              <w:left w:val="nil"/>
              <w:bottom w:val="single" w:sz="4" w:space="0" w:color="auto"/>
              <w:right w:val="single" w:sz="4" w:space="0" w:color="auto"/>
            </w:tcBorders>
            <w:noWrap/>
            <w:vAlign w:val="bottom"/>
            <w:hideMark/>
          </w:tcPr>
          <w:p w:rsidR="0060070F" w:rsidRPr="00E00B35" w:rsidRDefault="0060070F" w:rsidP="00E00B35">
            <w:pPr>
              <w:spacing w:after="0" w:line="312" w:lineRule="auto"/>
              <w:rPr>
                <w:rFonts w:cs="Arial"/>
                <w:szCs w:val="20"/>
              </w:rPr>
            </w:pPr>
            <w:r w:rsidRPr="00E00B35">
              <w:rPr>
                <w:rFonts w:cs="Arial"/>
                <w:szCs w:val="20"/>
              </w:rPr>
              <w:t>3 864 810,72</w:t>
            </w:r>
          </w:p>
        </w:tc>
        <w:tc>
          <w:tcPr>
            <w:tcW w:w="1545" w:type="dxa"/>
            <w:tcBorders>
              <w:top w:val="nil"/>
              <w:left w:val="nil"/>
              <w:bottom w:val="single" w:sz="4" w:space="0" w:color="auto"/>
              <w:right w:val="single" w:sz="4" w:space="0" w:color="auto"/>
            </w:tcBorders>
            <w:noWrap/>
            <w:vAlign w:val="bottom"/>
            <w:hideMark/>
          </w:tcPr>
          <w:p w:rsidR="0060070F" w:rsidRPr="00E00B35" w:rsidRDefault="0060070F" w:rsidP="00E00B35">
            <w:pPr>
              <w:spacing w:after="0" w:line="312" w:lineRule="auto"/>
              <w:rPr>
                <w:rFonts w:cs="Arial"/>
                <w:szCs w:val="20"/>
              </w:rPr>
            </w:pPr>
            <w:r w:rsidRPr="00E00B35">
              <w:rPr>
                <w:rFonts w:cs="Arial"/>
                <w:szCs w:val="20"/>
              </w:rPr>
              <w:t>1 288 270,24</w:t>
            </w:r>
          </w:p>
        </w:tc>
      </w:tr>
      <w:tr w:rsidR="0060070F" w:rsidRPr="00E00B35" w:rsidTr="00252360">
        <w:trPr>
          <w:trHeight w:val="334"/>
        </w:trPr>
        <w:tc>
          <w:tcPr>
            <w:tcW w:w="435" w:type="dxa"/>
            <w:tcBorders>
              <w:top w:val="nil"/>
              <w:left w:val="nil"/>
              <w:bottom w:val="nil"/>
              <w:right w:val="nil"/>
            </w:tcBorders>
            <w:vAlign w:val="bottom"/>
            <w:hideMark/>
          </w:tcPr>
          <w:p w:rsidR="0060070F" w:rsidRPr="00E00B35" w:rsidRDefault="0060070F" w:rsidP="00E00B35">
            <w:pPr>
              <w:spacing w:after="0" w:line="312" w:lineRule="auto"/>
              <w:rPr>
                <w:rFonts w:cs="Arial"/>
                <w:szCs w:val="20"/>
              </w:rPr>
            </w:pPr>
          </w:p>
        </w:tc>
        <w:tc>
          <w:tcPr>
            <w:tcW w:w="998" w:type="dxa"/>
            <w:tcBorders>
              <w:top w:val="nil"/>
              <w:left w:val="nil"/>
              <w:bottom w:val="nil"/>
              <w:right w:val="nil"/>
            </w:tcBorders>
            <w:vAlign w:val="bottom"/>
            <w:hideMark/>
          </w:tcPr>
          <w:p w:rsidR="0060070F" w:rsidRPr="00E00B35" w:rsidRDefault="0060070F" w:rsidP="00E00B35">
            <w:pPr>
              <w:spacing w:after="0" w:line="312" w:lineRule="auto"/>
              <w:rPr>
                <w:szCs w:val="20"/>
              </w:rPr>
            </w:pPr>
          </w:p>
        </w:tc>
        <w:tc>
          <w:tcPr>
            <w:tcW w:w="998" w:type="dxa"/>
            <w:tcBorders>
              <w:top w:val="nil"/>
              <w:left w:val="nil"/>
              <w:bottom w:val="nil"/>
              <w:right w:val="nil"/>
            </w:tcBorders>
            <w:vAlign w:val="bottom"/>
            <w:hideMark/>
          </w:tcPr>
          <w:p w:rsidR="0060070F" w:rsidRPr="00E00B35" w:rsidRDefault="0060070F" w:rsidP="00E00B35">
            <w:pPr>
              <w:spacing w:after="0" w:line="312" w:lineRule="auto"/>
              <w:rPr>
                <w:szCs w:val="20"/>
              </w:rPr>
            </w:pPr>
          </w:p>
        </w:tc>
        <w:tc>
          <w:tcPr>
            <w:tcW w:w="1001" w:type="dxa"/>
            <w:tcBorders>
              <w:top w:val="nil"/>
              <w:left w:val="nil"/>
              <w:bottom w:val="nil"/>
              <w:right w:val="nil"/>
            </w:tcBorders>
            <w:vAlign w:val="bottom"/>
            <w:hideMark/>
          </w:tcPr>
          <w:p w:rsidR="0060070F" w:rsidRPr="00E00B35" w:rsidRDefault="0060070F" w:rsidP="00E00B35">
            <w:pPr>
              <w:spacing w:after="0" w:line="312" w:lineRule="auto"/>
              <w:rPr>
                <w:szCs w:val="20"/>
              </w:rPr>
            </w:pPr>
          </w:p>
        </w:tc>
        <w:tc>
          <w:tcPr>
            <w:tcW w:w="1761" w:type="dxa"/>
            <w:tcBorders>
              <w:top w:val="nil"/>
              <w:left w:val="nil"/>
              <w:bottom w:val="nil"/>
              <w:right w:val="nil"/>
            </w:tcBorders>
            <w:vAlign w:val="bottom"/>
            <w:hideMark/>
          </w:tcPr>
          <w:p w:rsidR="0060070F" w:rsidRPr="00E00B35" w:rsidRDefault="0060070F" w:rsidP="00E00B35">
            <w:pPr>
              <w:spacing w:after="0" w:line="312" w:lineRule="auto"/>
              <w:rPr>
                <w:szCs w:val="20"/>
              </w:rPr>
            </w:pPr>
          </w:p>
        </w:tc>
        <w:tc>
          <w:tcPr>
            <w:tcW w:w="1562" w:type="dxa"/>
            <w:tcBorders>
              <w:top w:val="nil"/>
              <w:left w:val="nil"/>
              <w:bottom w:val="nil"/>
              <w:right w:val="nil"/>
            </w:tcBorders>
            <w:vAlign w:val="bottom"/>
            <w:hideMark/>
          </w:tcPr>
          <w:p w:rsidR="0060070F" w:rsidRPr="00E00B35" w:rsidRDefault="0060070F" w:rsidP="00E00B35">
            <w:pPr>
              <w:spacing w:after="0" w:line="312" w:lineRule="auto"/>
              <w:rPr>
                <w:szCs w:val="20"/>
              </w:rPr>
            </w:pPr>
          </w:p>
        </w:tc>
        <w:tc>
          <w:tcPr>
            <w:tcW w:w="1545" w:type="dxa"/>
            <w:tcBorders>
              <w:top w:val="nil"/>
              <w:left w:val="nil"/>
              <w:bottom w:val="nil"/>
              <w:right w:val="nil"/>
            </w:tcBorders>
            <w:vAlign w:val="bottom"/>
            <w:hideMark/>
          </w:tcPr>
          <w:p w:rsidR="0060070F" w:rsidRPr="00E00B35" w:rsidRDefault="0060070F" w:rsidP="00E00B35">
            <w:pPr>
              <w:spacing w:after="0" w:line="312" w:lineRule="auto"/>
              <w:rPr>
                <w:szCs w:val="20"/>
              </w:rPr>
            </w:pPr>
          </w:p>
        </w:tc>
      </w:tr>
    </w:tbl>
    <w:p w:rsidR="0060070F" w:rsidRPr="00E00B35" w:rsidRDefault="0060070F" w:rsidP="00E00B35">
      <w:pPr>
        <w:pStyle w:val="akapit"/>
        <w:spacing w:line="312" w:lineRule="auto"/>
        <w:rPr>
          <w:szCs w:val="20"/>
        </w:rPr>
      </w:pPr>
      <w:r w:rsidRPr="00E00B35">
        <w:rPr>
          <w:szCs w:val="20"/>
        </w:rPr>
        <w:t>Z uwagi na przesunięcie terminu płatności opłaty rocznej z tytułu użytkowania wieczystego należnej za 2020 r. do dnia 31 stycznia 2021 r. nie udzielono pomocy publicznej.</w:t>
      </w:r>
    </w:p>
    <w:p w:rsidR="0060070F" w:rsidRPr="00E00B35" w:rsidRDefault="0085407F" w:rsidP="00E00B35">
      <w:pPr>
        <w:pStyle w:val="akapit"/>
        <w:spacing w:line="312" w:lineRule="auto"/>
        <w:rPr>
          <w:szCs w:val="20"/>
        </w:rPr>
      </w:pPr>
      <w:r w:rsidRPr="00E00B35">
        <w:rPr>
          <w:szCs w:val="20"/>
        </w:rPr>
        <w:br/>
      </w:r>
      <w:r w:rsidR="0060070F" w:rsidRPr="00E00B35">
        <w:rPr>
          <w:szCs w:val="20"/>
        </w:rPr>
        <w:t>Wystawiono 48 zaświadczeń de minimis korygujących udzieloną pomoc publiczną.</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Wystawiono 48 pism anulujących zgodę na zapłatę zobowiązania, w innym niż ustawowy, terminie płatności. </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Skierowano do Wojewody Dolnośląskiego 6 wniosków popartych analizami kondycji finansowej podmiotów, o zawarcie ugody w sprawach rozłożenia na raty zaległości w opłatach z tytułu użytkowania wieczystego. W dwóch przypadkach Wojewoda wyraził zgodę na zaproponowane raty, pozostałe oczekują na rozpatrzenie. </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Wystawiono 2 szt. zaświadczeń de minimis, potwierdzających uzyskaną pomoc de minimis.</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Wystąpiono do Wydziału Prawnego Urzędu Miejskiego Wrocławia oraz do Prokuratorii Generalnej o wydanie opinii prawnej w zakresie stosowania przepisów tarczy antykryzysowej.</w:t>
      </w:r>
    </w:p>
    <w:p w:rsidR="0060070F" w:rsidRPr="00E00B35" w:rsidRDefault="0060070F" w:rsidP="00E00B35">
      <w:pPr>
        <w:pStyle w:val="Nagwek"/>
        <w:tabs>
          <w:tab w:val="left" w:pos="708"/>
        </w:tabs>
        <w:spacing w:after="0" w:line="312" w:lineRule="auto"/>
        <w:rPr>
          <w:szCs w:val="20"/>
        </w:rPr>
      </w:pPr>
    </w:p>
    <w:p w:rsidR="0060070F" w:rsidRPr="00E00B35" w:rsidRDefault="0060070F" w:rsidP="00E00B35">
      <w:pPr>
        <w:pStyle w:val="Nagwek3"/>
        <w:spacing w:after="0" w:line="312" w:lineRule="auto"/>
        <w:rPr>
          <w:sz w:val="20"/>
          <w:lang w:val="pl-PL"/>
        </w:rPr>
      </w:pPr>
      <w:r w:rsidRPr="00E00B35">
        <w:rPr>
          <w:sz w:val="20"/>
        </w:rPr>
        <w:t>GOSPODAROWANIE MIESZKANIOWYM ZASOBEM GMINY</w:t>
      </w:r>
    </w:p>
    <w:p w:rsidR="00C536B9" w:rsidRPr="00E00B35" w:rsidRDefault="00C536B9" w:rsidP="00E00B35">
      <w:pPr>
        <w:pStyle w:val="Nagwek3"/>
        <w:spacing w:after="0" w:line="312" w:lineRule="auto"/>
        <w:rPr>
          <w:sz w:val="20"/>
          <w:lang w:val="pl-PL"/>
        </w:rPr>
      </w:pPr>
    </w:p>
    <w:p w:rsidR="0060070F" w:rsidRPr="00E00B35" w:rsidRDefault="0060070F" w:rsidP="00E00B35">
      <w:pPr>
        <w:pStyle w:val="akapit"/>
        <w:spacing w:line="312" w:lineRule="auto"/>
        <w:rPr>
          <w:bCs/>
          <w:szCs w:val="20"/>
        </w:rPr>
      </w:pPr>
      <w:r w:rsidRPr="00E00B35">
        <w:rPr>
          <w:szCs w:val="20"/>
        </w:rPr>
        <w:t>W 2020 r. gospodarowanie komunalnym zasobem lokali mieszkalnych realizowano jako zadanie własne Gminy z uwzględnieniem przepisów uchwały nr XV/420/19 Rady Miejskiej Wrocławia z dnia 21 listopada 2019 r. w sprawie „Wieloletniego programu gospodarowania mieszkaniowym zasobem Gminy Wrocław na lata 2020 – 2025”, uchwały nr XXXVII/2420/05 Rady Miejskiej Wrocławia</w:t>
      </w:r>
      <w:r w:rsidRPr="00E00B35">
        <w:rPr>
          <w:bCs/>
          <w:szCs w:val="20"/>
        </w:rPr>
        <w:t xml:space="preserve"> z dnia 21 kwietnia 2005 r. w sprawie zasad wynajmowania lokali mieszkalnych wchodzących w skład mieszkaniowego zasobu Gminy Wrocław </w:t>
      </w:r>
      <w:r w:rsidRPr="00E00B35">
        <w:rPr>
          <w:szCs w:val="20"/>
        </w:rPr>
        <w:t>zastąpionej uchwałą nr XXII/601/20 Rady Miejskiej Wrocławia z dnia 30 kwietnia 2020 r. w sprawie zasad wynajmowania lokali mieszkalnych wchodzących w skład mieszkaniowego zasobu Gminy Wrocław.</w:t>
      </w:r>
    </w:p>
    <w:p w:rsidR="0060070F" w:rsidRPr="00E00B35" w:rsidRDefault="0060070F" w:rsidP="00E00B35">
      <w:pPr>
        <w:autoSpaceDE w:val="0"/>
        <w:autoSpaceDN w:val="0"/>
        <w:adjustRightInd w:val="0"/>
        <w:spacing w:after="0" w:line="312" w:lineRule="auto"/>
        <w:rPr>
          <w:rFonts w:cs="Verdana"/>
          <w:szCs w:val="20"/>
        </w:rPr>
      </w:pPr>
    </w:p>
    <w:p w:rsidR="0060070F" w:rsidRPr="00E00B35" w:rsidRDefault="0060070F" w:rsidP="00E00B35">
      <w:pPr>
        <w:pStyle w:val="Nagwek4"/>
        <w:spacing w:before="0" w:after="0" w:line="312" w:lineRule="auto"/>
        <w:rPr>
          <w:sz w:val="20"/>
          <w:szCs w:val="20"/>
        </w:rPr>
      </w:pPr>
      <w:r w:rsidRPr="00E00B35">
        <w:rPr>
          <w:sz w:val="20"/>
          <w:szCs w:val="20"/>
        </w:rPr>
        <w:t>Polityka gospodarowania mieszkaniowym zasobem Gminy</w:t>
      </w:r>
    </w:p>
    <w:p w:rsidR="0060070F" w:rsidRPr="00E00B35" w:rsidRDefault="0060070F" w:rsidP="00E00B35">
      <w:pPr>
        <w:pStyle w:val="akapit"/>
        <w:spacing w:line="312" w:lineRule="auto"/>
        <w:rPr>
          <w:szCs w:val="20"/>
        </w:rPr>
      </w:pPr>
      <w:r w:rsidRPr="00E00B35">
        <w:rPr>
          <w:szCs w:val="20"/>
        </w:rPr>
        <w:t xml:space="preserve">W związku z nowelizacją ustawy z dnia 21 czerwca 2001 r. o ochronie praw lokatorów, mieszkaniowym zasobie gminy i o zmianie Kodeksu cywilnego, która weszła w życie 21 </w:t>
      </w:r>
      <w:r w:rsidRPr="00E00B35">
        <w:rPr>
          <w:szCs w:val="20"/>
        </w:rPr>
        <w:lastRenderedPageBreak/>
        <w:t>kwietnia 2019 r. w 2020 r. opracowano i przyjęto uchwałę nr XXII/601/20 Rady Miejskiej Wrocławia z dnia 30 kwietnia 2020 r. w sprawie zasad wynajmowania lokali mieszkalnych wchodzących w skład mieszkaniowego zasobu Gminy Wrocław. Na podstawie ww. uchwały przygotowano projekty zarządzeń wykonawczych tj., zarządzenie w sprawie procedury realizacji wniosków o zawarcie umowy najmu w odniesieniu do lokali stanowiących mieszkaniowy zasób Gminy oraz zarządzenie w sprawie powołania Komisji Weryfikacyjnej. W związku z powyższym opracowano nowe druki wniosków mieszkaniowych.</w:t>
      </w:r>
    </w:p>
    <w:p w:rsidR="0060070F" w:rsidRPr="00E00B35" w:rsidRDefault="0060070F" w:rsidP="00E00B35">
      <w:pPr>
        <w:pStyle w:val="akapit"/>
        <w:spacing w:line="312" w:lineRule="auto"/>
        <w:rPr>
          <w:rFonts w:cs="Verdana"/>
          <w:szCs w:val="20"/>
        </w:rPr>
      </w:pPr>
    </w:p>
    <w:p w:rsidR="0060070F" w:rsidRPr="00E00B35" w:rsidRDefault="0060070F" w:rsidP="00E00B35">
      <w:pPr>
        <w:pStyle w:val="akapit"/>
        <w:spacing w:line="312" w:lineRule="auto"/>
        <w:rPr>
          <w:rFonts w:cs="Verdana"/>
          <w:szCs w:val="20"/>
        </w:rPr>
      </w:pPr>
      <w:r w:rsidRPr="00E00B35">
        <w:rPr>
          <w:rFonts w:cs="Verdana"/>
          <w:szCs w:val="20"/>
        </w:rPr>
        <w:t>Realizując politykę czynszową gminy Wrocław, której celem jest dążenie do zrównoważenia wydatków na utrzymanie zasobu z dochodami z tytułu czynszów za najem lokali mieszkalnych, biorąc pod uwagę, nieustannie rosnące koszty utrzymania zasobu zaktualizowano stawkę bazową czynszu najmu oraz stawkę czynszu za najem socjalny. Zmiany dokonano zarządzeniem nr 2317/20 Prezydenta Wrocławia z dnia 2 stycznia 2020 r. w sprawie ustalenia wysokości stawki bazowej czynszu za najem lokali mieszkalnych stanowiących własność Gminy Wrocław.</w:t>
      </w:r>
    </w:p>
    <w:p w:rsidR="0060070F" w:rsidRPr="00E00B35" w:rsidRDefault="0085407F" w:rsidP="00E00B35">
      <w:pPr>
        <w:pStyle w:val="Akapitzlist1"/>
        <w:spacing w:after="0" w:line="312" w:lineRule="auto"/>
        <w:ind w:left="0"/>
        <w:rPr>
          <w:szCs w:val="20"/>
        </w:rPr>
      </w:pPr>
      <w:r w:rsidRPr="00E00B35">
        <w:rPr>
          <w:rFonts w:cs="Verdana"/>
          <w:color w:val="000000"/>
          <w:szCs w:val="20"/>
        </w:rPr>
        <w:br/>
      </w:r>
      <w:r w:rsidR="0060070F" w:rsidRPr="00E00B35">
        <w:rPr>
          <w:szCs w:val="20"/>
        </w:rPr>
        <w:t>Realizując program Prezydenta Wrocławia: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oddano do użytku aplikację zamiana-mieszkan.um.wroc.pl umożliwiającą zainteresowanym osobom składanie i zapoznawanie się z ofertami zamiany lokali mieszkalnych przez Internet. Aplikacja docelowo zastąpi całkowicie katalogi zamian prowadzone dotychczasowo w formie papierowej i zminimalizuje konieczność osobistego stawiennictwa w Urzędzie w trakcie realizowania procedury zamiany z kontrahentem,</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uchwale nr XXII/601/20 Rady Miejskiej Wrocławia z dnia 30 kwietnia 2020 r. w sprawie zasad wynajmowania lokali mieszkalnych wchodzących w skład mieszkaniowego zasobu Gminy Wrocław rozbudowano katalog możliwości zamiany lokali, co daje mieszkańcom większy potencjał poprawy ich warunków mieszkaniowych,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poszerzono możliwość ubiegania się o lokal z zasobu gminy Wrocław o nową kategorię mieszkania tj. lokal z najmem na czas nieoznaczony. Wprowadzono dodatkowe rozwiązania w zakresie regulacji tytułu prawnego do lokalu. Powyższe wpływa na poprawę dostępności lokali gminnych przeznaczonych na zaspokojenie potrzeb mieszkaniowych,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celu ułatwienia dostępu do informacji dotyczących procedur realizowanych przez Wydział utworzono domenę wlm.um.wroc.pl, która przekierowuje bezpośrednio do tych informacji, umieszczonych na stronie Biuletynu Informacji Publicznej Urzędu,</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ułatwiono możliwość uzyskania lokalu osobom dotkniętym bezdomnością będącym uczestnikami programów lub projektów realizowanych przy udziale Gminy.</w:t>
      </w:r>
    </w:p>
    <w:p w:rsidR="0060070F" w:rsidRPr="00E00B35" w:rsidRDefault="0060070F" w:rsidP="00E00B35">
      <w:pPr>
        <w:autoSpaceDE w:val="0"/>
        <w:autoSpaceDN w:val="0"/>
        <w:adjustRightInd w:val="0"/>
        <w:spacing w:after="0" w:line="312" w:lineRule="auto"/>
        <w:rPr>
          <w:rFonts w:cs="Verdana"/>
          <w:b/>
          <w:szCs w:val="20"/>
        </w:rPr>
      </w:pPr>
    </w:p>
    <w:p w:rsidR="0060070F" w:rsidRPr="00E00B35" w:rsidRDefault="0060070F" w:rsidP="00E00B35">
      <w:pPr>
        <w:pStyle w:val="Nagwek4"/>
        <w:spacing w:before="0" w:after="0" w:line="312" w:lineRule="auto"/>
        <w:rPr>
          <w:sz w:val="20"/>
          <w:szCs w:val="20"/>
        </w:rPr>
      </w:pPr>
      <w:r w:rsidRPr="00E00B35">
        <w:rPr>
          <w:sz w:val="20"/>
          <w:szCs w:val="20"/>
        </w:rPr>
        <w:t>Realizacja wniosków mieszkaniowych</w:t>
      </w:r>
    </w:p>
    <w:p w:rsidR="0060070F" w:rsidRPr="00E00B35" w:rsidRDefault="0060070F" w:rsidP="00E00B35">
      <w:pPr>
        <w:pStyle w:val="Akapitzlist1"/>
        <w:spacing w:after="0" w:line="312" w:lineRule="auto"/>
        <w:ind w:left="0"/>
        <w:rPr>
          <w:szCs w:val="20"/>
        </w:rPr>
      </w:pPr>
      <w:r w:rsidRPr="00E00B35">
        <w:rPr>
          <w:szCs w:val="20"/>
        </w:rPr>
        <w:t>W 2020 wpłynęło 2 278 wniosków o najem lokalu mieszkalnego, w tym:</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1 083 z tytułu prowadzonych postępowań dotyczących lokali zamieszkałych,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lastRenderedPageBreak/>
        <w:t>823 o najem lokalu przez osoby nie posiadające mieszkań, a ubiegające się o najem socjalny lokalu, lokal z najmem na czas nieoznaczony bądź do remontu,</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372 dotyczących przydzielenia lokalu zamiennego (z tytułu wykwaterowania bądź zamiany „z urzędu”).</w:t>
      </w:r>
    </w:p>
    <w:p w:rsidR="0060070F" w:rsidRPr="00E00B35" w:rsidRDefault="0085407F" w:rsidP="00E00B35">
      <w:pPr>
        <w:pStyle w:val="Akapitzlist1"/>
        <w:spacing w:after="0" w:line="312" w:lineRule="auto"/>
        <w:ind w:left="0"/>
        <w:rPr>
          <w:szCs w:val="20"/>
        </w:rPr>
      </w:pPr>
      <w:r w:rsidRPr="00E00B35">
        <w:rPr>
          <w:szCs w:val="20"/>
        </w:rPr>
        <w:br/>
      </w:r>
      <w:r w:rsidR="0060070F" w:rsidRPr="00E00B35">
        <w:rPr>
          <w:szCs w:val="20"/>
        </w:rPr>
        <w:t>Liczba wniosków, które wpłynęły w latach ubiegłych wyniosła: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2 490 w 2017 r.</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2 295 w 2018 r.</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3 121 w 2019 r.</w:t>
      </w:r>
    </w:p>
    <w:p w:rsidR="0060070F" w:rsidRPr="00E00B35" w:rsidRDefault="0085407F" w:rsidP="00E00B35">
      <w:pPr>
        <w:pStyle w:val="Akapitzlist1"/>
        <w:spacing w:after="0" w:line="312" w:lineRule="auto"/>
        <w:ind w:left="0"/>
        <w:rPr>
          <w:szCs w:val="20"/>
        </w:rPr>
      </w:pPr>
      <w:r w:rsidRPr="00E00B35">
        <w:rPr>
          <w:szCs w:val="20"/>
        </w:rPr>
        <w:br/>
      </w:r>
      <w:r w:rsidR="0060070F" w:rsidRPr="00E00B35">
        <w:rPr>
          <w:szCs w:val="20"/>
        </w:rPr>
        <w:t>W 2020 r. prowadzono postępowania: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dotyczące lokali zamieszkałych, w tym: likwidacja lokali wspólnie użytkowanych, przywrócenie tytułu prawnego po spłacie zadłużenia, wydanie tytułu prawnego do lokalu po zgonie dotychczasowego najemcy, wydanie tytułu prawnego po wyprowadzeniu się dotychczasowego najemcy, zmiana powierzchni i struktury lokalu (modernizacje i przebudowy, inwentaryzacje, korekty), zamiana lokali między kontrahentami, przedłużenie umowy o najem socjalny dotychczas zajmowanego lokalu, adaptacje;</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najmu lokalu na zasadach ogólnych, w tym: najem lokalu po wykonanym remoncie na koszt własny, najem socjalny lokalu, w tym realizacja list, najem socjalny lokalu i tymczasowego pomieszczenia w wyniku orzeczenia sądowego;</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zamiany dotychczas zajmowanego lokalu, w tym: wykwaterowania, zamiany „z urzędu”.</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W wyniku powyższych postępowań zakończono łącznie 1 541 spraw.</w:t>
      </w:r>
    </w:p>
    <w:p w:rsidR="0060070F" w:rsidRPr="00E00B35" w:rsidRDefault="0060070F" w:rsidP="00E00B35">
      <w:pPr>
        <w:pStyle w:val="akapit"/>
        <w:spacing w:line="312" w:lineRule="auto"/>
        <w:rPr>
          <w:szCs w:val="20"/>
        </w:rPr>
      </w:pPr>
      <w:r w:rsidRPr="00E00B35">
        <w:rPr>
          <w:szCs w:val="20"/>
        </w:rPr>
        <w:t>Skierowano łącznie 212 spraw do Zespołu Radców Prawnych oraz właściwych zarządców dotyczących wystąpienia na drogę postępowania sądowego w odniesieniu do spraw prowadzonych przez Wydział.</w:t>
      </w:r>
    </w:p>
    <w:p w:rsidR="0060070F" w:rsidRPr="00E00B35" w:rsidRDefault="0060070F" w:rsidP="00E00B35">
      <w:pPr>
        <w:pStyle w:val="akapit"/>
        <w:spacing w:line="312" w:lineRule="auto"/>
        <w:rPr>
          <w:szCs w:val="20"/>
        </w:rPr>
      </w:pPr>
      <w:r w:rsidRPr="00E00B35">
        <w:rPr>
          <w:szCs w:val="20"/>
        </w:rPr>
        <w:t>Przygotowano 26 projektów zarządzeń Prezydenta Wrocławia.</w:t>
      </w:r>
    </w:p>
    <w:p w:rsidR="0060070F" w:rsidRPr="00E00B35" w:rsidRDefault="0060070F" w:rsidP="00E00B35">
      <w:pPr>
        <w:autoSpaceDE w:val="0"/>
        <w:autoSpaceDN w:val="0"/>
        <w:adjustRightInd w:val="0"/>
        <w:spacing w:after="0" w:line="312" w:lineRule="auto"/>
        <w:rPr>
          <w:rFonts w:cs="Verdana"/>
          <w:szCs w:val="20"/>
        </w:rPr>
      </w:pPr>
    </w:p>
    <w:p w:rsidR="0060070F" w:rsidRPr="00E00B35" w:rsidRDefault="0060070F" w:rsidP="00E00B35">
      <w:pPr>
        <w:pStyle w:val="Nagwek4"/>
        <w:spacing w:before="0" w:after="0" w:line="312" w:lineRule="auto"/>
        <w:rPr>
          <w:sz w:val="20"/>
          <w:szCs w:val="20"/>
        </w:rPr>
      </w:pPr>
      <w:r w:rsidRPr="00E00B35">
        <w:rPr>
          <w:sz w:val="20"/>
          <w:szCs w:val="20"/>
        </w:rPr>
        <w:t>Gospodarowanie wolnymi lokalami mieszkaniowymi</w:t>
      </w:r>
    </w:p>
    <w:p w:rsidR="0060070F" w:rsidRPr="00E00B35" w:rsidRDefault="0060070F" w:rsidP="00E00B35">
      <w:pPr>
        <w:pStyle w:val="Akapitzlist1"/>
        <w:spacing w:after="0" w:line="312" w:lineRule="auto"/>
        <w:ind w:left="0"/>
        <w:rPr>
          <w:szCs w:val="20"/>
        </w:rPr>
      </w:pPr>
      <w:r w:rsidRPr="00E00B35">
        <w:rPr>
          <w:szCs w:val="20"/>
        </w:rPr>
        <w:t>W 2020 r. dysponowano 1 802 lokalami mieszkalnymi, w tym:</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1 792 z tzw. „ruchu ludności”,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10 w budynkach po kapitalnym remoncie.</w:t>
      </w:r>
    </w:p>
    <w:p w:rsidR="0060070F" w:rsidRPr="00E00B35" w:rsidRDefault="0060070F" w:rsidP="00E00B35">
      <w:pPr>
        <w:pStyle w:val="Tekstpodstawowy"/>
        <w:suppressAutoHyphens/>
        <w:spacing w:after="0" w:line="312" w:lineRule="auto"/>
        <w:ind w:left="426"/>
        <w:rPr>
          <w:szCs w:val="20"/>
        </w:rPr>
      </w:pPr>
    </w:p>
    <w:p w:rsidR="0060070F" w:rsidRPr="00E00B35" w:rsidRDefault="0060070F" w:rsidP="00E00B35">
      <w:pPr>
        <w:pStyle w:val="Akapitzlist1"/>
        <w:spacing w:after="0" w:line="312" w:lineRule="auto"/>
        <w:ind w:left="0"/>
        <w:rPr>
          <w:szCs w:val="20"/>
        </w:rPr>
      </w:pPr>
      <w:r w:rsidRPr="00E00B35">
        <w:rPr>
          <w:szCs w:val="20"/>
        </w:rPr>
        <w:t>Zagospodarowano 1 293 lokali mieszkalnych, w tym:</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1 283 z tzw. „ruchu ludności”,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10 w budynkach po kapitalnym remoncie.</w:t>
      </w:r>
    </w:p>
    <w:p w:rsidR="0060070F" w:rsidRPr="00E00B35" w:rsidRDefault="0085407F" w:rsidP="00E00B35">
      <w:pPr>
        <w:pStyle w:val="Akapitzlist1"/>
        <w:spacing w:after="0" w:line="312" w:lineRule="auto"/>
        <w:ind w:left="0"/>
        <w:rPr>
          <w:szCs w:val="20"/>
        </w:rPr>
      </w:pPr>
      <w:r w:rsidRPr="00E00B35">
        <w:rPr>
          <w:rFonts w:cs="Verdana"/>
          <w:b/>
          <w:szCs w:val="20"/>
        </w:rPr>
        <w:br/>
      </w:r>
      <w:r w:rsidR="0060070F" w:rsidRPr="00E00B35">
        <w:rPr>
          <w:szCs w:val="20"/>
        </w:rPr>
        <w:t>Według stanu na dzień 31 grudnia 2020 r. na kolejny rok pozostało do zagospodarowania 509 lokali mieszkalnych: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509 z tzw. „ruchu ludności”,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0 w budynkach po kapitalnym remoncie.</w:t>
      </w:r>
    </w:p>
    <w:p w:rsidR="0085407F" w:rsidRPr="00E00B35" w:rsidRDefault="0085407F" w:rsidP="00E00B35">
      <w:pPr>
        <w:pStyle w:val="Tekstpodstawowy"/>
        <w:suppressAutoHyphens/>
        <w:spacing w:after="0" w:line="312" w:lineRule="auto"/>
        <w:rPr>
          <w:szCs w:val="20"/>
        </w:rPr>
      </w:pPr>
    </w:p>
    <w:p w:rsidR="0060070F" w:rsidRPr="00E00B35" w:rsidRDefault="0060070F" w:rsidP="00E00B35">
      <w:pPr>
        <w:pStyle w:val="Tekstpodstawowy"/>
        <w:suppressAutoHyphens/>
        <w:spacing w:after="0" w:line="312" w:lineRule="auto"/>
        <w:rPr>
          <w:szCs w:val="20"/>
        </w:rPr>
      </w:pPr>
      <w:r w:rsidRPr="00E00B35">
        <w:rPr>
          <w:szCs w:val="20"/>
        </w:rPr>
        <w:lastRenderedPageBreak/>
        <w:t>Z wykazanych powyżej 509 lokali jedynie 384 nie posiada wad technicznych lub prawnych i może być wskazywane przyszłym najemcom.</w:t>
      </w:r>
    </w:p>
    <w:p w:rsidR="0060070F" w:rsidRPr="00E00B35" w:rsidRDefault="0085407F" w:rsidP="00E00B35">
      <w:pPr>
        <w:autoSpaceDE w:val="0"/>
        <w:autoSpaceDN w:val="0"/>
        <w:adjustRightInd w:val="0"/>
        <w:spacing w:after="0" w:line="312" w:lineRule="auto"/>
        <w:rPr>
          <w:szCs w:val="20"/>
        </w:rPr>
      </w:pPr>
      <w:r w:rsidRPr="00E00B35">
        <w:rPr>
          <w:szCs w:val="20"/>
        </w:rPr>
        <w:br/>
      </w:r>
      <w:r w:rsidR="0060070F" w:rsidRPr="00E00B35">
        <w:rPr>
          <w:szCs w:val="20"/>
        </w:rPr>
        <w:t>Gospodarowanie wolnymi lokalami w latach 2017 – 2020 przedstawia poniższa tabela.</w:t>
      </w:r>
    </w:p>
    <w:tbl>
      <w:tblPr>
        <w:tblW w:w="9140" w:type="dxa"/>
        <w:tblInd w:w="10" w:type="dxa"/>
        <w:tblLayout w:type="fixed"/>
        <w:tblCellMar>
          <w:left w:w="0" w:type="dxa"/>
          <w:right w:w="0" w:type="dxa"/>
        </w:tblCellMar>
        <w:tblLook w:val="0000"/>
      </w:tblPr>
      <w:tblGrid>
        <w:gridCol w:w="2620"/>
        <w:gridCol w:w="1630"/>
        <w:gridCol w:w="1630"/>
        <w:gridCol w:w="1630"/>
        <w:gridCol w:w="1630"/>
      </w:tblGrid>
      <w:tr w:rsidR="0060070F" w:rsidRPr="00E00B35" w:rsidTr="00252360">
        <w:trPr>
          <w:trHeight w:val="655"/>
        </w:trPr>
        <w:tc>
          <w:tcPr>
            <w:tcW w:w="2620" w:type="dxa"/>
            <w:tcBorders>
              <w:top w:val="single" w:sz="8" w:space="0" w:color="auto"/>
              <w:left w:val="single" w:sz="8" w:space="0" w:color="auto"/>
              <w:bottom w:val="single" w:sz="8" w:space="0" w:color="auto"/>
              <w:right w:val="single" w:sz="8" w:space="0" w:color="auto"/>
            </w:tcBorders>
            <w:vAlign w:val="center"/>
          </w:tcPr>
          <w:p w:rsidR="0060070F" w:rsidRPr="00E00B35" w:rsidRDefault="0060070F" w:rsidP="00E00B35">
            <w:pPr>
              <w:spacing w:after="0" w:line="312" w:lineRule="auto"/>
              <w:rPr>
                <w:rFonts w:eastAsia="Arial Unicode MS" w:cs="Arial"/>
                <w:bCs/>
                <w:szCs w:val="20"/>
              </w:rPr>
            </w:pPr>
            <w:r w:rsidRPr="00E00B35">
              <w:rPr>
                <w:rFonts w:cs="Arial"/>
                <w:bCs/>
                <w:szCs w:val="20"/>
              </w:rPr>
              <w:t>Wolne lokale</w:t>
            </w:r>
          </w:p>
        </w:tc>
        <w:tc>
          <w:tcPr>
            <w:tcW w:w="1630" w:type="dxa"/>
            <w:tcBorders>
              <w:top w:val="single" w:sz="8" w:space="0" w:color="auto"/>
              <w:left w:val="single" w:sz="4" w:space="0" w:color="auto"/>
              <w:bottom w:val="single" w:sz="8" w:space="0" w:color="auto"/>
              <w:right w:val="single" w:sz="4" w:space="0" w:color="auto"/>
            </w:tcBorders>
            <w:vAlign w:val="center"/>
          </w:tcPr>
          <w:p w:rsidR="0060070F" w:rsidRPr="00E00B35" w:rsidRDefault="0060070F" w:rsidP="00E00B35">
            <w:pPr>
              <w:spacing w:after="0" w:line="312" w:lineRule="auto"/>
              <w:rPr>
                <w:rFonts w:cs="Arial"/>
                <w:bCs/>
                <w:szCs w:val="20"/>
              </w:rPr>
            </w:pPr>
            <w:r w:rsidRPr="00E00B35">
              <w:rPr>
                <w:rFonts w:cs="Arial"/>
                <w:bCs/>
                <w:szCs w:val="20"/>
              </w:rPr>
              <w:t>2017</w:t>
            </w:r>
          </w:p>
        </w:tc>
        <w:tc>
          <w:tcPr>
            <w:tcW w:w="1630" w:type="dxa"/>
            <w:tcBorders>
              <w:top w:val="single" w:sz="8" w:space="0" w:color="auto"/>
              <w:left w:val="single" w:sz="4" w:space="0" w:color="auto"/>
              <w:bottom w:val="single" w:sz="8" w:space="0" w:color="auto"/>
              <w:right w:val="single" w:sz="4" w:space="0" w:color="auto"/>
            </w:tcBorders>
            <w:vAlign w:val="center"/>
          </w:tcPr>
          <w:p w:rsidR="0060070F" w:rsidRPr="00E00B35" w:rsidRDefault="0060070F" w:rsidP="00E00B35">
            <w:pPr>
              <w:spacing w:after="0" w:line="312" w:lineRule="auto"/>
              <w:rPr>
                <w:rFonts w:eastAsia="Arial Unicode MS" w:cs="Arial"/>
                <w:bCs/>
                <w:szCs w:val="20"/>
              </w:rPr>
            </w:pPr>
            <w:r w:rsidRPr="00E00B35">
              <w:rPr>
                <w:rFonts w:eastAsia="Arial Unicode MS" w:cs="Arial"/>
                <w:bCs/>
                <w:szCs w:val="20"/>
              </w:rPr>
              <w:t>2018</w:t>
            </w:r>
          </w:p>
        </w:tc>
        <w:tc>
          <w:tcPr>
            <w:tcW w:w="1630" w:type="dxa"/>
            <w:tcBorders>
              <w:top w:val="single" w:sz="8" w:space="0" w:color="auto"/>
              <w:left w:val="single" w:sz="4" w:space="0" w:color="auto"/>
              <w:bottom w:val="single" w:sz="8" w:space="0" w:color="auto"/>
              <w:right w:val="single" w:sz="4" w:space="0" w:color="auto"/>
            </w:tcBorders>
            <w:vAlign w:val="center"/>
          </w:tcPr>
          <w:p w:rsidR="0060070F" w:rsidRPr="00E00B35" w:rsidRDefault="0060070F" w:rsidP="00E00B35">
            <w:pPr>
              <w:spacing w:after="0" w:line="312" w:lineRule="auto"/>
              <w:rPr>
                <w:rFonts w:eastAsia="Arial Unicode MS" w:cs="Arial"/>
                <w:bCs/>
                <w:szCs w:val="20"/>
              </w:rPr>
            </w:pPr>
            <w:r w:rsidRPr="00E00B35">
              <w:rPr>
                <w:rFonts w:eastAsia="Arial Unicode MS" w:cs="Arial"/>
                <w:bCs/>
                <w:szCs w:val="20"/>
              </w:rPr>
              <w:t>2019</w:t>
            </w:r>
          </w:p>
        </w:tc>
        <w:tc>
          <w:tcPr>
            <w:tcW w:w="1630" w:type="dxa"/>
            <w:tcBorders>
              <w:top w:val="single" w:sz="8" w:space="0" w:color="auto"/>
              <w:left w:val="single" w:sz="4" w:space="0" w:color="auto"/>
              <w:bottom w:val="single" w:sz="8" w:space="0" w:color="auto"/>
              <w:right w:val="single" w:sz="4" w:space="0" w:color="auto"/>
            </w:tcBorders>
            <w:vAlign w:val="center"/>
          </w:tcPr>
          <w:p w:rsidR="0060070F" w:rsidRPr="00E00B35" w:rsidRDefault="0060070F" w:rsidP="00E00B35">
            <w:pPr>
              <w:spacing w:after="0" w:line="312" w:lineRule="auto"/>
              <w:rPr>
                <w:rFonts w:eastAsia="Arial Unicode MS" w:cs="Arial"/>
                <w:bCs/>
                <w:szCs w:val="20"/>
              </w:rPr>
            </w:pPr>
            <w:r w:rsidRPr="00E00B35">
              <w:rPr>
                <w:rFonts w:cs="Arial"/>
                <w:bCs/>
                <w:szCs w:val="20"/>
              </w:rPr>
              <w:t>2020</w:t>
            </w:r>
          </w:p>
        </w:tc>
      </w:tr>
      <w:tr w:rsidR="0060070F" w:rsidRPr="00E00B35" w:rsidTr="00252360">
        <w:trPr>
          <w:trHeight w:val="510"/>
        </w:trPr>
        <w:tc>
          <w:tcPr>
            <w:tcW w:w="2620" w:type="dxa"/>
            <w:tcBorders>
              <w:top w:val="nil"/>
              <w:left w:val="single" w:sz="8" w:space="0" w:color="auto"/>
              <w:bottom w:val="single" w:sz="4" w:space="0" w:color="auto"/>
              <w:right w:val="single" w:sz="8" w:space="0" w:color="auto"/>
            </w:tcBorders>
            <w:vAlign w:val="center"/>
          </w:tcPr>
          <w:p w:rsidR="0060070F" w:rsidRPr="00E00B35" w:rsidRDefault="0060070F" w:rsidP="00E00B35">
            <w:pPr>
              <w:spacing w:after="0" w:line="312" w:lineRule="auto"/>
              <w:rPr>
                <w:rFonts w:eastAsia="Arial Unicode MS" w:cs="Arial"/>
                <w:szCs w:val="20"/>
              </w:rPr>
            </w:pPr>
            <w:r w:rsidRPr="00E00B35">
              <w:rPr>
                <w:rFonts w:cs="Arial"/>
                <w:szCs w:val="20"/>
              </w:rPr>
              <w:t>Ogółem w dyspozycji</w:t>
            </w:r>
          </w:p>
        </w:tc>
        <w:tc>
          <w:tcPr>
            <w:tcW w:w="1630" w:type="dxa"/>
            <w:tcBorders>
              <w:top w:val="nil"/>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1801</w:t>
            </w:r>
          </w:p>
        </w:tc>
        <w:tc>
          <w:tcPr>
            <w:tcW w:w="1630" w:type="dxa"/>
            <w:tcBorders>
              <w:top w:val="nil"/>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2017</w:t>
            </w:r>
          </w:p>
        </w:tc>
        <w:tc>
          <w:tcPr>
            <w:tcW w:w="1630" w:type="dxa"/>
            <w:tcBorders>
              <w:top w:val="nil"/>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2039</w:t>
            </w:r>
          </w:p>
        </w:tc>
        <w:tc>
          <w:tcPr>
            <w:tcW w:w="1630" w:type="dxa"/>
            <w:tcBorders>
              <w:top w:val="nil"/>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1802</w:t>
            </w:r>
          </w:p>
        </w:tc>
      </w:tr>
      <w:tr w:rsidR="0060070F" w:rsidRPr="00E00B35" w:rsidTr="00252360">
        <w:trPr>
          <w:trHeight w:val="526"/>
        </w:trPr>
        <w:tc>
          <w:tcPr>
            <w:tcW w:w="2620" w:type="dxa"/>
            <w:tcBorders>
              <w:top w:val="nil"/>
              <w:left w:val="single" w:sz="8" w:space="0" w:color="auto"/>
              <w:bottom w:val="single" w:sz="4" w:space="0" w:color="auto"/>
              <w:right w:val="single" w:sz="8" w:space="0" w:color="auto"/>
            </w:tcBorders>
            <w:vAlign w:val="center"/>
          </w:tcPr>
          <w:p w:rsidR="0060070F" w:rsidRPr="00E00B35" w:rsidRDefault="0060070F" w:rsidP="00E00B35">
            <w:pPr>
              <w:spacing w:after="0" w:line="312" w:lineRule="auto"/>
              <w:rPr>
                <w:rFonts w:eastAsia="Arial Unicode MS" w:cs="Arial"/>
                <w:szCs w:val="20"/>
              </w:rPr>
            </w:pPr>
            <w:r w:rsidRPr="00E00B35">
              <w:rPr>
                <w:rFonts w:cs="Arial"/>
                <w:szCs w:val="20"/>
              </w:rPr>
              <w:t xml:space="preserve">Zagospodarowano  </w:t>
            </w:r>
          </w:p>
        </w:tc>
        <w:tc>
          <w:tcPr>
            <w:tcW w:w="1630" w:type="dxa"/>
            <w:tcBorders>
              <w:top w:val="nil"/>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1042</w:t>
            </w:r>
          </w:p>
        </w:tc>
        <w:tc>
          <w:tcPr>
            <w:tcW w:w="1630" w:type="dxa"/>
            <w:tcBorders>
              <w:top w:val="nil"/>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1352</w:t>
            </w:r>
          </w:p>
        </w:tc>
        <w:tc>
          <w:tcPr>
            <w:tcW w:w="1630" w:type="dxa"/>
            <w:tcBorders>
              <w:top w:val="nil"/>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1521</w:t>
            </w:r>
          </w:p>
        </w:tc>
        <w:tc>
          <w:tcPr>
            <w:tcW w:w="1630" w:type="dxa"/>
            <w:tcBorders>
              <w:top w:val="nil"/>
              <w:left w:val="single" w:sz="4" w:space="0" w:color="auto"/>
              <w:bottom w:val="single" w:sz="4"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1293</w:t>
            </w:r>
          </w:p>
        </w:tc>
      </w:tr>
      <w:tr w:rsidR="0060070F" w:rsidRPr="00E00B35" w:rsidTr="00252360">
        <w:trPr>
          <w:trHeight w:val="715"/>
        </w:trPr>
        <w:tc>
          <w:tcPr>
            <w:tcW w:w="2620" w:type="dxa"/>
            <w:tcBorders>
              <w:top w:val="nil"/>
              <w:left w:val="single" w:sz="8" w:space="0" w:color="auto"/>
              <w:bottom w:val="single" w:sz="8" w:space="0" w:color="auto"/>
              <w:right w:val="single" w:sz="8" w:space="0" w:color="auto"/>
            </w:tcBorders>
            <w:vAlign w:val="center"/>
          </w:tcPr>
          <w:p w:rsidR="0060070F" w:rsidRPr="00E00B35" w:rsidRDefault="0060070F" w:rsidP="00E00B35">
            <w:pPr>
              <w:spacing w:after="0" w:line="312" w:lineRule="auto"/>
              <w:rPr>
                <w:rFonts w:eastAsia="Arial Unicode MS" w:cs="Arial"/>
                <w:szCs w:val="20"/>
              </w:rPr>
            </w:pPr>
            <w:r w:rsidRPr="00E00B35">
              <w:rPr>
                <w:rFonts w:cs="Arial"/>
                <w:szCs w:val="20"/>
              </w:rPr>
              <w:t>Pozostało na kolejny rok</w:t>
            </w:r>
          </w:p>
        </w:tc>
        <w:tc>
          <w:tcPr>
            <w:tcW w:w="1630" w:type="dxa"/>
            <w:tcBorders>
              <w:top w:val="nil"/>
              <w:left w:val="single" w:sz="4" w:space="0" w:color="auto"/>
              <w:bottom w:val="single" w:sz="8"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759</w:t>
            </w:r>
          </w:p>
        </w:tc>
        <w:tc>
          <w:tcPr>
            <w:tcW w:w="1630" w:type="dxa"/>
            <w:tcBorders>
              <w:top w:val="nil"/>
              <w:left w:val="single" w:sz="4" w:space="0" w:color="auto"/>
              <w:bottom w:val="single" w:sz="8"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665</w:t>
            </w:r>
          </w:p>
        </w:tc>
        <w:tc>
          <w:tcPr>
            <w:tcW w:w="1630" w:type="dxa"/>
            <w:tcBorders>
              <w:top w:val="nil"/>
              <w:left w:val="single" w:sz="4" w:space="0" w:color="auto"/>
              <w:bottom w:val="single" w:sz="8"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518</w:t>
            </w:r>
          </w:p>
        </w:tc>
        <w:tc>
          <w:tcPr>
            <w:tcW w:w="1630" w:type="dxa"/>
            <w:tcBorders>
              <w:top w:val="nil"/>
              <w:left w:val="single" w:sz="4" w:space="0" w:color="auto"/>
              <w:bottom w:val="single" w:sz="8" w:space="0" w:color="auto"/>
              <w:right w:val="single" w:sz="4" w:space="0" w:color="auto"/>
            </w:tcBorders>
            <w:vAlign w:val="center"/>
          </w:tcPr>
          <w:p w:rsidR="0060070F" w:rsidRPr="00E00B35" w:rsidRDefault="0060070F" w:rsidP="00E00B35">
            <w:pPr>
              <w:spacing w:after="0" w:line="312" w:lineRule="auto"/>
              <w:rPr>
                <w:rFonts w:eastAsia="Arial Unicode MS" w:cs="Arial"/>
                <w:szCs w:val="20"/>
              </w:rPr>
            </w:pPr>
            <w:r w:rsidRPr="00E00B35">
              <w:rPr>
                <w:rFonts w:eastAsia="Arial Unicode MS" w:cs="Arial"/>
                <w:szCs w:val="20"/>
              </w:rPr>
              <w:t>509</w:t>
            </w:r>
          </w:p>
        </w:tc>
      </w:tr>
    </w:tbl>
    <w:p w:rsidR="0060070F" w:rsidRPr="00E00B35" w:rsidRDefault="0060070F" w:rsidP="00E00B35">
      <w:pPr>
        <w:autoSpaceDE w:val="0"/>
        <w:autoSpaceDN w:val="0"/>
        <w:adjustRightInd w:val="0"/>
        <w:spacing w:after="0" w:line="312" w:lineRule="auto"/>
        <w:rPr>
          <w:rFonts w:cs="Verdana"/>
          <w:szCs w:val="20"/>
        </w:rPr>
      </w:pPr>
    </w:p>
    <w:p w:rsidR="0060070F" w:rsidRPr="00E00B35" w:rsidRDefault="0060070F" w:rsidP="00E00B35">
      <w:pPr>
        <w:pStyle w:val="akapit"/>
        <w:spacing w:line="312" w:lineRule="auto"/>
        <w:rPr>
          <w:szCs w:val="20"/>
        </w:rPr>
      </w:pPr>
      <w:r w:rsidRPr="00E00B35">
        <w:rPr>
          <w:szCs w:val="20"/>
        </w:rPr>
        <w:t>W 2020 r. pozyskiwano lokale z tzw. „ruchu ludności” oraz w budynkach po przeprowadzonym kapitalnym remoncie.</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Lokale będące w dyspozycji pozostają w ciągłym obrocie i są na bieżąco wskazywane przyszłym najemcom oraz gminnym jednostkom organizacyjnym takim jak Miejski Ośrodek Pomocy Społecznej we Wrocławiu, na potrzeby związane z realizacją ich zadań.</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Podejmowane działania zmierzają do zadysponowania jak największej liczby wolnych lokali mieszkalnych. Jednak przebieg tego procesu jest utrudniony z uwagi na zły stan techniczny tych lokali, które w większości są zdewastowane, usytuowane na wysokich kondygnacjach (bez wind), w budynkach położonych w mało atrakcyjnych rejonach miasta. Efektem tego jest wielokrotność ich wskazywania w sytuacji odmowy przyjęcia przez przyszłego najemcę.</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Nie bez znaczenia pozostaje fakt, iż środki finansowe niezbędne na wykonanie w wolnych lokalach remontu są ograniczone a procedura związana z wyłonieniem wykonawcy remontu długotrwała.</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 xml:space="preserve">Należy zaznaczyć, że obecnie Wydział Lokali Mieszkalnych korzysta z </w:t>
      </w:r>
      <w:r w:rsidRPr="00E00B35">
        <w:rPr>
          <w:rFonts w:cs="Verdana,Bold"/>
          <w:bCs/>
          <w:szCs w:val="20"/>
        </w:rPr>
        <w:t>287</w:t>
      </w:r>
      <w:r w:rsidRPr="00E00B35">
        <w:rPr>
          <w:rFonts w:cs="Verdana,Bold"/>
          <w:b/>
          <w:bCs/>
          <w:szCs w:val="20"/>
        </w:rPr>
        <w:t xml:space="preserve"> </w:t>
      </w:r>
      <w:r w:rsidRPr="00E00B35">
        <w:rPr>
          <w:szCs w:val="20"/>
        </w:rPr>
        <w:t>mieszkań należących do Towarzystwa Budownictwa Społecznego Wrocław spółka z o.o. W powyższej liczbie zawiera się 57</w:t>
      </w:r>
      <w:r w:rsidRPr="00E00B35">
        <w:rPr>
          <w:b/>
          <w:szCs w:val="20"/>
        </w:rPr>
        <w:t xml:space="preserve"> </w:t>
      </w:r>
      <w:r w:rsidRPr="00E00B35">
        <w:rPr>
          <w:szCs w:val="20"/>
        </w:rPr>
        <w:t>lokali zlokalizowanych na osiedlu Nowe Żerniki, objętych programem mieszkań dla seniorów.</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Realizując zapisy Wieloletniego programu gospodarowania mieszkaniowym zasobem Gminy Wrocław na lata 2020 – 2025 dotyczące prywatyzacji mieszkań komunalnych - przekazano 85</w:t>
      </w:r>
      <w:r w:rsidRPr="00E00B35">
        <w:rPr>
          <w:b/>
          <w:szCs w:val="20"/>
        </w:rPr>
        <w:t xml:space="preserve"> </w:t>
      </w:r>
      <w:r w:rsidRPr="00E00B35">
        <w:rPr>
          <w:szCs w:val="20"/>
        </w:rPr>
        <w:t>lokali celem wprowadzenia ich do obrotu cywilnoprawnego, w tym 28</w:t>
      </w:r>
      <w:r w:rsidRPr="00E00B35">
        <w:rPr>
          <w:b/>
          <w:szCs w:val="20"/>
        </w:rPr>
        <w:t xml:space="preserve"> </w:t>
      </w:r>
      <w:r w:rsidRPr="00E00B35">
        <w:rPr>
          <w:szCs w:val="20"/>
        </w:rPr>
        <w:t>lokali o powierzchni powyżej 80 m</w:t>
      </w:r>
      <w:r w:rsidRPr="00E00B35">
        <w:rPr>
          <w:szCs w:val="20"/>
          <w:vertAlign w:val="superscript"/>
        </w:rPr>
        <w:t>2</w:t>
      </w:r>
      <w:r w:rsidRPr="00E00B35">
        <w:rPr>
          <w:szCs w:val="20"/>
        </w:rPr>
        <w:t>.</w:t>
      </w:r>
    </w:p>
    <w:p w:rsidR="0060070F" w:rsidRPr="00E00B35" w:rsidRDefault="0085407F" w:rsidP="00E00B35">
      <w:pPr>
        <w:pStyle w:val="Akapitzlist1"/>
        <w:spacing w:after="0" w:line="312" w:lineRule="auto"/>
        <w:ind w:left="0"/>
        <w:rPr>
          <w:szCs w:val="20"/>
        </w:rPr>
      </w:pPr>
      <w:r w:rsidRPr="00E00B35">
        <w:rPr>
          <w:rFonts w:cs="Verdana"/>
          <w:szCs w:val="20"/>
        </w:rPr>
        <w:br/>
      </w:r>
      <w:r w:rsidR="0060070F" w:rsidRPr="00E00B35">
        <w:rPr>
          <w:szCs w:val="20"/>
        </w:rPr>
        <w:t>Ponadto:</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przekazano 6 lokali Miejskiemu Ośrodkowi Pomocy Społecznej we Wrocławiu;</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lastRenderedPageBreak/>
        <w:t>przekazano 5 lokali dla repatriantów realizując uchwały Rady Miejskiej Wrocławia w tym przedmiocie;</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 xml:space="preserve">wydano 28 pism kierujących repatriantów do zawarcia umowy najmu lokalu mieszkalnego (realizacja uchwał z lat poprzednich). </w:t>
      </w:r>
    </w:p>
    <w:p w:rsidR="0060070F" w:rsidRPr="00E00B35" w:rsidRDefault="0060070F" w:rsidP="00E00B35">
      <w:pPr>
        <w:autoSpaceDE w:val="0"/>
        <w:autoSpaceDN w:val="0"/>
        <w:adjustRightInd w:val="0"/>
        <w:spacing w:after="0" w:line="312" w:lineRule="auto"/>
        <w:rPr>
          <w:rFonts w:cs="Verdana"/>
          <w:szCs w:val="20"/>
        </w:rPr>
      </w:pPr>
    </w:p>
    <w:p w:rsidR="0060070F" w:rsidRPr="00E00B35" w:rsidRDefault="0060070F" w:rsidP="00E00B35">
      <w:pPr>
        <w:pStyle w:val="Nagwek4"/>
        <w:spacing w:before="0" w:after="0" w:line="312" w:lineRule="auto"/>
        <w:rPr>
          <w:sz w:val="20"/>
          <w:szCs w:val="20"/>
        </w:rPr>
      </w:pPr>
      <w:r w:rsidRPr="00E00B35">
        <w:rPr>
          <w:sz w:val="20"/>
          <w:szCs w:val="20"/>
        </w:rPr>
        <w:t>Lokale objęte najmem socjalnym i tymczasowe pomieszczenia</w:t>
      </w:r>
    </w:p>
    <w:p w:rsidR="0060070F" w:rsidRPr="00E00B35" w:rsidRDefault="0060070F" w:rsidP="00E00B35">
      <w:pPr>
        <w:pStyle w:val="akapit"/>
        <w:spacing w:line="312" w:lineRule="auto"/>
        <w:rPr>
          <w:szCs w:val="20"/>
        </w:rPr>
      </w:pPr>
      <w:r w:rsidRPr="00E00B35">
        <w:rPr>
          <w:szCs w:val="20"/>
        </w:rPr>
        <w:t>Na dzień 31 grudnia 2020 r. 604 lokale były objęte umową najmu socjalnego. Do dnia 21 kwietnia 2019 r. gmina miała obowiązek wyodrębniania zasobu lokali socjalnych, a znacząco wyższa liczba lokali wchodzących w skład tego zasobu wykazywana w latach ubiegłych obejmowała wszystkie lokale przeznaczone na ten cel. Po zniesieniu wspomnianego obowiązku o statusie lokalu stanowi wyłącznie rodzaj zawartej i obowiązującej umowy.</w:t>
      </w:r>
    </w:p>
    <w:p w:rsidR="0060070F" w:rsidRPr="00E00B35" w:rsidRDefault="0060070F" w:rsidP="00E00B35">
      <w:pPr>
        <w:pStyle w:val="akapit"/>
        <w:spacing w:line="312" w:lineRule="auto"/>
        <w:rPr>
          <w:strike/>
          <w:szCs w:val="20"/>
        </w:rPr>
      </w:pPr>
    </w:p>
    <w:p w:rsidR="0060070F" w:rsidRPr="00E00B35" w:rsidRDefault="0060070F" w:rsidP="00E00B35">
      <w:pPr>
        <w:pStyle w:val="akapit"/>
        <w:spacing w:line="312" w:lineRule="auto"/>
        <w:rPr>
          <w:szCs w:val="20"/>
        </w:rPr>
      </w:pPr>
      <w:r w:rsidRPr="00E00B35">
        <w:rPr>
          <w:szCs w:val="20"/>
        </w:rPr>
        <w:t>Według stanu na dzień 31 grudnia 2020 r. zasób pomieszczeń tymczasowych wynosił 70 pomieszczeń.</w:t>
      </w:r>
    </w:p>
    <w:p w:rsidR="0060070F" w:rsidRPr="00E00B35" w:rsidRDefault="0060070F" w:rsidP="00E00B35">
      <w:pPr>
        <w:autoSpaceDE w:val="0"/>
        <w:autoSpaceDN w:val="0"/>
        <w:adjustRightInd w:val="0"/>
        <w:spacing w:after="0" w:line="312" w:lineRule="auto"/>
        <w:rPr>
          <w:rFonts w:cs="Verdana"/>
          <w:szCs w:val="20"/>
        </w:rPr>
      </w:pPr>
    </w:p>
    <w:p w:rsidR="0060070F" w:rsidRPr="00E00B35" w:rsidRDefault="0060070F" w:rsidP="00E00B35">
      <w:pPr>
        <w:pStyle w:val="Nagwek4"/>
        <w:spacing w:before="0" w:after="0" w:line="312" w:lineRule="auto"/>
        <w:rPr>
          <w:sz w:val="20"/>
          <w:szCs w:val="20"/>
        </w:rPr>
      </w:pPr>
      <w:r w:rsidRPr="00E00B35">
        <w:rPr>
          <w:sz w:val="20"/>
          <w:szCs w:val="20"/>
        </w:rPr>
        <w:t>Wyroki eksmisyjne</w:t>
      </w:r>
    </w:p>
    <w:p w:rsidR="0060070F" w:rsidRPr="00E00B35" w:rsidRDefault="0060070F" w:rsidP="00E00B35">
      <w:pPr>
        <w:pStyle w:val="Akapitzlist1"/>
        <w:spacing w:after="0" w:line="312" w:lineRule="auto"/>
        <w:ind w:left="0"/>
        <w:rPr>
          <w:szCs w:val="20"/>
        </w:rPr>
      </w:pPr>
      <w:r w:rsidRPr="00E00B35">
        <w:rPr>
          <w:szCs w:val="20"/>
        </w:rPr>
        <w:t>Zrealizowano 67 wyroków z powództwa podmiotów innych niż gmina Wrocław (spółdzielnie mieszkaniowe, instytucje oraz osoby fizyczne), z czego:</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31 wskutek wydania pisma kierującego do zawarcia umowy najmu socjalnego lokalu,</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34 wskutek odstąpienia wierzycieli od eksmisji,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2 wskutek wydania pisma kierującego do zawarcia umowy najmu pomieszczenia tymczasowego.</w:t>
      </w:r>
    </w:p>
    <w:p w:rsidR="0060070F" w:rsidRPr="00E00B35" w:rsidRDefault="0085407F" w:rsidP="00E00B35">
      <w:pPr>
        <w:autoSpaceDE w:val="0"/>
        <w:autoSpaceDN w:val="0"/>
        <w:adjustRightInd w:val="0"/>
        <w:spacing w:after="0" w:line="312" w:lineRule="auto"/>
        <w:rPr>
          <w:rFonts w:cs="Verdana"/>
          <w:szCs w:val="20"/>
        </w:rPr>
      </w:pPr>
      <w:r w:rsidRPr="00E00B35">
        <w:rPr>
          <w:rFonts w:cs="Verdana"/>
          <w:szCs w:val="20"/>
        </w:rPr>
        <w:br/>
      </w:r>
      <w:r w:rsidR="0060070F" w:rsidRPr="00E00B35">
        <w:rPr>
          <w:rFonts w:cs="Verdana"/>
          <w:szCs w:val="20"/>
        </w:rPr>
        <w:t>Ponadto podpisano 4 porozumienia z właścicielami lokali mieszkalnych, z których powództwa zapadły wyroki, o remont gminnych lokali w ramach najmu socjalnego, które zostaną wskazane do zasiedlenia osobom uprawnionym.</w:t>
      </w:r>
    </w:p>
    <w:p w:rsidR="0060070F" w:rsidRPr="00E00B35" w:rsidRDefault="0060070F" w:rsidP="00E00B35">
      <w:pPr>
        <w:pStyle w:val="Akapitzlist1"/>
        <w:spacing w:after="0" w:line="312" w:lineRule="auto"/>
        <w:ind w:left="0"/>
        <w:rPr>
          <w:szCs w:val="20"/>
        </w:rPr>
      </w:pPr>
      <w:r w:rsidRPr="00E00B35">
        <w:rPr>
          <w:szCs w:val="20"/>
        </w:rPr>
        <w:t>Zrealizowano 187</w:t>
      </w:r>
      <w:r w:rsidRPr="00E00B35">
        <w:rPr>
          <w:b/>
          <w:szCs w:val="20"/>
        </w:rPr>
        <w:t xml:space="preserve"> </w:t>
      </w:r>
      <w:r w:rsidRPr="00E00B35">
        <w:rPr>
          <w:szCs w:val="20"/>
        </w:rPr>
        <w:t>wyroków z powództwa gminy Wrocław, z czego:</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35 wskutek wydania pisma kierującego do zawarcia umowy najmu socjalnego lokalu,</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21 wskutek wydania pisma kierującego do zawarcia umowy najmu pomieszczenia tymczasowego,</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22 wskutek wydania pisma kierującego do zawarcia umowy najmu na dotychczas zajmowany lokal jako lokal objęty najmem socjalnym lub pomieszczenie tymczasowe,</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6 wskutek wydania pisma kierującego do zawarcia umowy najmu, na czas nieoznaczony na dotychczas zajmowany lokal jako lokal mieszkalny,</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103 lokale odzyskano wskutek dobrowolnego wydania, porzucenia lokalu, itp.</w:t>
      </w:r>
    </w:p>
    <w:p w:rsidR="0060070F" w:rsidRPr="00E00B35" w:rsidRDefault="0085407F" w:rsidP="00E00B35">
      <w:pPr>
        <w:pStyle w:val="Akapitzlist1"/>
        <w:spacing w:after="0" w:line="312" w:lineRule="auto"/>
        <w:ind w:left="0"/>
        <w:rPr>
          <w:szCs w:val="20"/>
        </w:rPr>
      </w:pPr>
      <w:r w:rsidRPr="00E00B35">
        <w:rPr>
          <w:szCs w:val="20"/>
        </w:rPr>
        <w:br/>
      </w:r>
      <w:r w:rsidR="0060070F" w:rsidRPr="00E00B35">
        <w:rPr>
          <w:szCs w:val="20"/>
        </w:rPr>
        <w:t>Na dzień 31 grudnia 2020 r. pozostało do realizacji 2 237 wyroków, obejmujących:</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1 105 wyroków sądowych z prawem do najmu socjalnego lokalu, w tym 891 z powództwa gminy Wrocław i 214 z powództwa innych podmiotów,</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771 wyroków sądowych z prawem do tymczasowego pomieszczenia, w tym 717 z powództwa gminy Wrocław i 54 z powództwa innych podmiotów,</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lastRenderedPageBreak/>
        <w:t>341 wyroków z powództwa gminy Wrocław z prawem do najmu socjalnego lokalu oraz tymczasowego pomieszczenia,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20 wyroków z powództwa gminy Wrocław bez prawa do najmu socjalnego lokalu oraz tymczasowego pomieszczenia.</w:t>
      </w:r>
    </w:p>
    <w:p w:rsidR="0060070F" w:rsidRPr="00E00B35" w:rsidRDefault="0085407F" w:rsidP="00E00B35">
      <w:pPr>
        <w:pStyle w:val="akapit"/>
        <w:spacing w:line="312" w:lineRule="auto"/>
        <w:rPr>
          <w:szCs w:val="20"/>
        </w:rPr>
      </w:pPr>
      <w:r w:rsidRPr="00E00B35">
        <w:rPr>
          <w:rFonts w:cs="Verdana"/>
          <w:szCs w:val="20"/>
        </w:rPr>
        <w:br/>
      </w:r>
      <w:r w:rsidR="0060070F" w:rsidRPr="00E00B35">
        <w:rPr>
          <w:rFonts w:cs="Verdana"/>
          <w:szCs w:val="20"/>
        </w:rPr>
        <w:t xml:space="preserve">Podkreślić należy, że zgodnie z przepisami ustawy </w:t>
      </w:r>
      <w:r w:rsidR="0060070F" w:rsidRPr="00E00B35">
        <w:rPr>
          <w:szCs w:val="20"/>
        </w:rPr>
        <w:t>z dnia 2 marca 2020 r. o szczególnych rozwiązaniach związanych z zapobieganiem, przeciwdziałaniem i zwalczaniem COVID-19 od dnia 14 marca 2020 r. nie wykonuje się eksmisji z lokali mieszkalnych, chyba że w wyroku zaznaczono, że dotyczy to przemocy w rodzinie.</w:t>
      </w:r>
    </w:p>
    <w:p w:rsidR="0060070F" w:rsidRPr="00E00B35" w:rsidRDefault="0060070F" w:rsidP="00E00B35">
      <w:pPr>
        <w:pStyle w:val="akapit"/>
        <w:spacing w:line="312" w:lineRule="auto"/>
        <w:rPr>
          <w:rFonts w:cs="Verdana"/>
          <w:szCs w:val="20"/>
        </w:rPr>
      </w:pPr>
    </w:p>
    <w:p w:rsidR="0060070F" w:rsidRPr="00E00B35" w:rsidRDefault="0060070F" w:rsidP="00E00B35">
      <w:pPr>
        <w:pStyle w:val="Nagwek4"/>
        <w:spacing w:before="0" w:after="0" w:line="312" w:lineRule="auto"/>
        <w:rPr>
          <w:sz w:val="20"/>
          <w:szCs w:val="20"/>
        </w:rPr>
      </w:pPr>
      <w:r w:rsidRPr="00E00B35">
        <w:rPr>
          <w:sz w:val="20"/>
          <w:szCs w:val="20"/>
        </w:rPr>
        <w:t>Odszkodowania</w:t>
      </w:r>
    </w:p>
    <w:p w:rsidR="0060070F" w:rsidRPr="00E00B35" w:rsidRDefault="0060070F" w:rsidP="00E00B35">
      <w:pPr>
        <w:pStyle w:val="akapit"/>
        <w:spacing w:line="312" w:lineRule="auto"/>
        <w:rPr>
          <w:szCs w:val="20"/>
        </w:rPr>
      </w:pPr>
      <w:r w:rsidRPr="00E00B35">
        <w:rPr>
          <w:szCs w:val="20"/>
        </w:rPr>
        <w:t>Wysokość odszkodowań wraz z odsetkami jakie gmina Wrocław w 2020 r. wypłaciła właścicielom lokali w związku z niedostarczeniem lokalu w ramach najmu socjalnego wynosiła: 1 695 807,37 zł.</w:t>
      </w:r>
    </w:p>
    <w:p w:rsidR="0060070F" w:rsidRPr="00E00B35" w:rsidRDefault="00250F30" w:rsidP="00E00B35">
      <w:pPr>
        <w:pStyle w:val="Akapitzlist1"/>
        <w:spacing w:after="0" w:line="312" w:lineRule="auto"/>
        <w:ind w:left="0"/>
        <w:rPr>
          <w:szCs w:val="20"/>
        </w:rPr>
      </w:pPr>
      <w:r w:rsidRPr="00E00B35">
        <w:rPr>
          <w:szCs w:val="20"/>
        </w:rPr>
        <w:br/>
      </w:r>
      <w:r w:rsidR="0060070F" w:rsidRPr="00E00B35">
        <w:rPr>
          <w:szCs w:val="20"/>
        </w:rPr>
        <w:t>Wysokość odszkodowań w latach ubiegłych wynosiła: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1 310 407,68 zł w 2017 r.,</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1 872 076,74 zł w 2018 r.,</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1 535 433,00 zł w 2019 r.</w:t>
      </w:r>
    </w:p>
    <w:p w:rsidR="0060070F" w:rsidRPr="00E00B35" w:rsidRDefault="0060070F" w:rsidP="00E00B35">
      <w:pPr>
        <w:autoSpaceDE w:val="0"/>
        <w:autoSpaceDN w:val="0"/>
        <w:adjustRightInd w:val="0"/>
        <w:spacing w:after="0" w:line="312" w:lineRule="auto"/>
        <w:rPr>
          <w:rFonts w:cs="Verdana"/>
          <w:szCs w:val="20"/>
        </w:rPr>
      </w:pPr>
    </w:p>
    <w:p w:rsidR="0060070F" w:rsidRPr="00E00B35" w:rsidRDefault="0060070F" w:rsidP="00E00B35">
      <w:pPr>
        <w:pStyle w:val="Nagwek4"/>
        <w:spacing w:before="0" w:after="0" w:line="312" w:lineRule="auto"/>
        <w:rPr>
          <w:sz w:val="20"/>
          <w:szCs w:val="20"/>
        </w:rPr>
      </w:pPr>
      <w:r w:rsidRPr="00E00B35">
        <w:rPr>
          <w:sz w:val="20"/>
          <w:szCs w:val="20"/>
        </w:rPr>
        <w:t>Wykwaterowania</w:t>
      </w:r>
    </w:p>
    <w:p w:rsidR="0060070F" w:rsidRPr="00E00B35" w:rsidRDefault="0060070F" w:rsidP="00E00B35">
      <w:pPr>
        <w:pStyle w:val="akapit"/>
        <w:spacing w:line="312" w:lineRule="auto"/>
        <w:rPr>
          <w:szCs w:val="20"/>
        </w:rPr>
      </w:pPr>
      <w:r w:rsidRPr="00E00B35">
        <w:rPr>
          <w:szCs w:val="20"/>
        </w:rPr>
        <w:t>W 2020 r. prowadzono wykwaterowania ze 119 budynków, z tego 21 budynków wykwaterowano w całości ze względu na zły stan techniczny.</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Ponadto wykwaterowano 15 najemców wraz z osobami uprawnionymi z pojedynczych lokali oraz dokonano 15 wykwaterowań z placówek oświatowych.</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Plan wykwaterowań wraz z dodatkowymi zobowiązaniami obejmował łącznie 141 budynków zakwalifikowanych do wykwaterowania.</w:t>
      </w:r>
    </w:p>
    <w:p w:rsidR="0060070F" w:rsidRPr="00E00B35" w:rsidRDefault="0060070F" w:rsidP="00E00B35">
      <w:pPr>
        <w:pStyle w:val="akapit"/>
        <w:spacing w:line="312" w:lineRule="auto"/>
        <w:rPr>
          <w:szCs w:val="20"/>
        </w:rPr>
      </w:pPr>
    </w:p>
    <w:p w:rsidR="0060070F" w:rsidRPr="00E00B35" w:rsidRDefault="0060070F" w:rsidP="00E00B35">
      <w:pPr>
        <w:pStyle w:val="akapit"/>
        <w:spacing w:line="312" w:lineRule="auto"/>
        <w:rPr>
          <w:szCs w:val="20"/>
        </w:rPr>
      </w:pPr>
      <w:r w:rsidRPr="00E00B35">
        <w:rPr>
          <w:szCs w:val="20"/>
        </w:rPr>
        <w:t>Na dzień 31 grudnia 2020 r. do wykwaterowania pozostało 120 budynków.</w:t>
      </w:r>
    </w:p>
    <w:p w:rsidR="0060070F" w:rsidRPr="00E00B35" w:rsidRDefault="0060070F" w:rsidP="00E00B35">
      <w:pPr>
        <w:autoSpaceDE w:val="0"/>
        <w:autoSpaceDN w:val="0"/>
        <w:adjustRightInd w:val="0"/>
        <w:spacing w:after="0" w:line="312" w:lineRule="auto"/>
        <w:rPr>
          <w:rFonts w:cs="Verdana"/>
          <w:szCs w:val="20"/>
        </w:rPr>
      </w:pPr>
    </w:p>
    <w:p w:rsidR="0060070F" w:rsidRPr="00E00B35" w:rsidRDefault="0060070F" w:rsidP="00E00B35">
      <w:pPr>
        <w:pStyle w:val="Nagwek4"/>
        <w:spacing w:before="0" w:after="0" w:line="312" w:lineRule="auto"/>
        <w:rPr>
          <w:sz w:val="20"/>
          <w:szCs w:val="20"/>
        </w:rPr>
      </w:pPr>
      <w:r w:rsidRPr="00E00B35">
        <w:rPr>
          <w:sz w:val="20"/>
          <w:szCs w:val="20"/>
        </w:rPr>
        <w:t>Przydział lokali mieszkalnych</w:t>
      </w:r>
    </w:p>
    <w:p w:rsidR="0060070F" w:rsidRPr="00E00B35" w:rsidRDefault="0060070F" w:rsidP="00E00B35">
      <w:pPr>
        <w:pStyle w:val="Akapitzlist1"/>
        <w:spacing w:after="0" w:line="312" w:lineRule="auto"/>
        <w:ind w:left="0"/>
        <w:rPr>
          <w:szCs w:val="20"/>
        </w:rPr>
      </w:pPr>
      <w:r w:rsidRPr="00E00B35">
        <w:rPr>
          <w:szCs w:val="20"/>
        </w:rPr>
        <w:t>Realizacja list osób uprawnionych do (na dzień 31 grudnia 2020 r.):</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 xml:space="preserve">mieszkania do remontu wykonywanego we własnym zakresie i na koszt przyszłego najemcy – zrealizowano (poprzez wydanie pisma kierującego do zawarcia umowy o remont) 195 spraw, w tym 62 sprawy z utworzonej w 2020 r. listy obejmującej 298 osób oraz 133 sprawy z analogicznych list z lat ubiegłych. </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najmu socjalnego lokalu – zrealizowano (poprzez wydanie pisma kierującego do zawarcia umowy najmu) 41 spraw, w tym 15 spraw z utworzonej w 2019 r. listy obejmującej 116 osób oraz 26 spraw z analogicznych list z lat ubiegłych. Jednocześnie na remont wskazanego i przyjętego lokalu oczekuje 135 wnioskodawców, w tym 61 z listy z 2019 r.</w:t>
      </w:r>
    </w:p>
    <w:p w:rsidR="0060070F" w:rsidRPr="00E00B35" w:rsidRDefault="0060070F" w:rsidP="00E00B35">
      <w:pPr>
        <w:autoSpaceDE w:val="0"/>
        <w:autoSpaceDN w:val="0"/>
        <w:adjustRightInd w:val="0"/>
        <w:spacing w:after="0" w:line="312" w:lineRule="auto"/>
        <w:rPr>
          <w:rFonts w:cs="Verdana"/>
          <w:szCs w:val="20"/>
        </w:rPr>
      </w:pPr>
    </w:p>
    <w:p w:rsidR="0060070F" w:rsidRPr="00E00B35" w:rsidRDefault="0060070F" w:rsidP="00E00B35">
      <w:pPr>
        <w:pStyle w:val="akapit"/>
        <w:spacing w:line="312" w:lineRule="auto"/>
        <w:rPr>
          <w:szCs w:val="20"/>
        </w:rPr>
      </w:pPr>
      <w:r w:rsidRPr="00E00B35">
        <w:rPr>
          <w:szCs w:val="20"/>
        </w:rPr>
        <w:lastRenderedPageBreak/>
        <w:t>Ponadto wydano 22 pisma kierujące do zawarcia umowy o remont lokalu wykonywanego we własnym zakresie i na koszt przyszłego najemcy w związku z przekroczeniem dochodu uprawniającego do najmu socjalnego oraz 158 pism kierujących do zawarcia umowy najmu lokalu po zakończonym remoncie wykonywanym we własnym zakresie i na koszt przyszłego najemcy.</w:t>
      </w:r>
    </w:p>
    <w:p w:rsidR="0060070F" w:rsidRPr="00E00B35" w:rsidRDefault="0060070F" w:rsidP="00E00B35">
      <w:pPr>
        <w:pStyle w:val="akapit"/>
        <w:spacing w:line="312" w:lineRule="auto"/>
        <w:rPr>
          <w:szCs w:val="20"/>
        </w:rPr>
      </w:pPr>
    </w:p>
    <w:p w:rsidR="0060070F" w:rsidRPr="00E00B35" w:rsidRDefault="0060070F" w:rsidP="00E00B35">
      <w:pPr>
        <w:pStyle w:val="Akapitzlist1"/>
        <w:spacing w:after="0" w:line="312" w:lineRule="auto"/>
        <w:ind w:left="0"/>
        <w:rPr>
          <w:szCs w:val="20"/>
        </w:rPr>
      </w:pPr>
      <w:r w:rsidRPr="00E00B35">
        <w:rPr>
          <w:szCs w:val="20"/>
        </w:rPr>
        <w:t xml:space="preserve">Na dzień 31 grudnia 2020 r. na pierwsze wskazanie lub kolejne wskazanie lokalu bądź skreślenie z listy oczekuje: </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16 wnioskodawców w ramach najmu socjalnego,</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243 wnioskodawców uprawnionych do otrzymania lokalu do remontu.</w:t>
      </w:r>
    </w:p>
    <w:p w:rsidR="0060070F" w:rsidRPr="00E00B35" w:rsidRDefault="0060070F" w:rsidP="00E00B35">
      <w:pPr>
        <w:pStyle w:val="Tekstpodstawowy"/>
        <w:suppressAutoHyphens/>
        <w:spacing w:after="0" w:line="312" w:lineRule="auto"/>
        <w:rPr>
          <w:szCs w:val="20"/>
        </w:rPr>
      </w:pPr>
      <w:r w:rsidRPr="00E00B35">
        <w:rPr>
          <w:szCs w:val="20"/>
        </w:rPr>
        <w:t>Liczby te obejmują również listy z lat ubiegłych.</w:t>
      </w:r>
    </w:p>
    <w:p w:rsidR="00250F30" w:rsidRPr="00E00B35" w:rsidRDefault="00250F30" w:rsidP="00E00B35">
      <w:pPr>
        <w:pStyle w:val="Akapitzlist1"/>
        <w:spacing w:after="0" w:line="312" w:lineRule="auto"/>
        <w:ind w:left="0"/>
        <w:rPr>
          <w:szCs w:val="20"/>
        </w:rPr>
      </w:pPr>
    </w:p>
    <w:p w:rsidR="0060070F" w:rsidRPr="00E00B35" w:rsidRDefault="0060070F" w:rsidP="00E00B35">
      <w:pPr>
        <w:pStyle w:val="Akapitzlist1"/>
        <w:spacing w:after="0" w:line="312" w:lineRule="auto"/>
        <w:ind w:left="0"/>
        <w:rPr>
          <w:szCs w:val="20"/>
        </w:rPr>
      </w:pPr>
      <w:r w:rsidRPr="00E00B35">
        <w:rPr>
          <w:szCs w:val="20"/>
        </w:rPr>
        <w:t>Na dzień 31 grudnia 2020 r. liczba wnioskodawców ubiegających się o umieszczenie na liście osób zakwalifikowanych do otrzymania lokalu wynosi 1973, w tym:</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860 ubiegających się o lokal w ramach najmu socjalnego,</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155 ubiegających się o lokal z najmem na czas nieoznaczony,</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958 ubiegających się o lokal do remontu.</w:t>
      </w:r>
    </w:p>
    <w:p w:rsidR="0060070F" w:rsidRPr="00E00B35" w:rsidRDefault="0060070F" w:rsidP="00E00B35">
      <w:pPr>
        <w:autoSpaceDE w:val="0"/>
        <w:autoSpaceDN w:val="0"/>
        <w:adjustRightInd w:val="0"/>
        <w:spacing w:after="0" w:line="312" w:lineRule="auto"/>
        <w:rPr>
          <w:rFonts w:cs="Verdana"/>
          <w:b/>
          <w:szCs w:val="20"/>
        </w:rPr>
      </w:pPr>
    </w:p>
    <w:p w:rsidR="0060070F" w:rsidRPr="00E00B35" w:rsidRDefault="0060070F" w:rsidP="00E00B35">
      <w:pPr>
        <w:pStyle w:val="Nagwek4"/>
        <w:spacing w:before="0" w:after="0" w:line="312" w:lineRule="auto"/>
        <w:rPr>
          <w:sz w:val="20"/>
          <w:szCs w:val="20"/>
        </w:rPr>
      </w:pPr>
      <w:r w:rsidRPr="00E00B35">
        <w:rPr>
          <w:sz w:val="20"/>
          <w:szCs w:val="20"/>
        </w:rPr>
        <w:t>Zamiany</w:t>
      </w:r>
    </w:p>
    <w:p w:rsidR="0060070F" w:rsidRPr="00E00B35" w:rsidRDefault="0060070F" w:rsidP="00E00B35">
      <w:pPr>
        <w:pStyle w:val="Akapitzlist1"/>
        <w:spacing w:after="0" w:line="312" w:lineRule="auto"/>
        <w:ind w:left="0"/>
        <w:rPr>
          <w:szCs w:val="20"/>
        </w:rPr>
      </w:pPr>
      <w:r w:rsidRPr="00E00B35">
        <w:rPr>
          <w:szCs w:val="20"/>
        </w:rPr>
        <w:t>Na dzień 31 grudnia 2020 r. zrealizowano 64 zamiany lokali, w tym:</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15 zamian między kontrahentami,</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49 zamian „z urzędu”.</w:t>
      </w:r>
    </w:p>
    <w:p w:rsidR="0060070F" w:rsidRPr="00E00B35" w:rsidRDefault="0060070F" w:rsidP="00E00B35">
      <w:pPr>
        <w:pStyle w:val="Tekstpodstawowy"/>
        <w:suppressAutoHyphens/>
        <w:spacing w:after="0" w:line="312" w:lineRule="auto"/>
        <w:ind w:left="426"/>
        <w:rPr>
          <w:szCs w:val="20"/>
        </w:rPr>
      </w:pPr>
    </w:p>
    <w:p w:rsidR="0060070F" w:rsidRPr="00E00B35" w:rsidRDefault="0060070F" w:rsidP="00E00B35">
      <w:pPr>
        <w:pStyle w:val="akapit"/>
        <w:spacing w:line="312" w:lineRule="auto"/>
        <w:rPr>
          <w:szCs w:val="20"/>
        </w:rPr>
      </w:pPr>
      <w:r w:rsidRPr="00E00B35">
        <w:rPr>
          <w:szCs w:val="20"/>
        </w:rPr>
        <w:t>W wyniku zamian między kontrahentami z tzw. „przejęciem długu” odzyskano zaległe należności w wysokości 52 207,65 zł.</w:t>
      </w:r>
    </w:p>
    <w:p w:rsidR="0060070F" w:rsidRPr="00E00B35" w:rsidRDefault="0085407F" w:rsidP="00E00B35">
      <w:pPr>
        <w:pStyle w:val="Akapitzlist1"/>
        <w:spacing w:after="0" w:line="312" w:lineRule="auto"/>
        <w:ind w:left="0"/>
        <w:rPr>
          <w:szCs w:val="20"/>
        </w:rPr>
      </w:pPr>
      <w:r w:rsidRPr="00E00B35">
        <w:rPr>
          <w:color w:val="000000"/>
          <w:szCs w:val="20"/>
        </w:rPr>
        <w:br/>
      </w:r>
      <w:r w:rsidR="0060070F" w:rsidRPr="00E00B35">
        <w:rPr>
          <w:szCs w:val="20"/>
        </w:rPr>
        <w:t>Wysokość odzyskanego zadłużenia w wyniku zamiany lokali w latach ubiegłych wynosiła:</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192 126,57 zł w 2017 r.,</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53 141,00 zł w 2018 r.,</w:t>
      </w:r>
    </w:p>
    <w:p w:rsidR="0060070F" w:rsidRPr="00E00B35" w:rsidRDefault="0060070F" w:rsidP="00BC64AB">
      <w:pPr>
        <w:pStyle w:val="Tekstpodstawowy"/>
        <w:numPr>
          <w:ilvl w:val="0"/>
          <w:numId w:val="239"/>
        </w:numPr>
        <w:suppressAutoHyphens/>
        <w:spacing w:after="0" w:line="312" w:lineRule="auto"/>
        <w:ind w:left="426" w:hanging="426"/>
        <w:rPr>
          <w:szCs w:val="20"/>
        </w:rPr>
      </w:pPr>
      <w:r w:rsidRPr="00E00B35">
        <w:rPr>
          <w:szCs w:val="20"/>
        </w:rPr>
        <w:t>284 811,24 zł w 2019 r.</w:t>
      </w:r>
    </w:p>
    <w:p w:rsidR="0060070F" w:rsidRPr="00E00B35" w:rsidRDefault="0060070F" w:rsidP="00E00B35">
      <w:pPr>
        <w:autoSpaceDE w:val="0"/>
        <w:autoSpaceDN w:val="0"/>
        <w:adjustRightInd w:val="0"/>
        <w:spacing w:after="0" w:line="312" w:lineRule="auto"/>
        <w:rPr>
          <w:color w:val="000000"/>
          <w:szCs w:val="20"/>
        </w:rPr>
      </w:pPr>
    </w:p>
    <w:p w:rsidR="0060070F" w:rsidRPr="00E00B35" w:rsidRDefault="0060070F" w:rsidP="00E00B35">
      <w:pPr>
        <w:pStyle w:val="akapit"/>
        <w:spacing w:line="312" w:lineRule="auto"/>
        <w:rPr>
          <w:szCs w:val="20"/>
        </w:rPr>
      </w:pPr>
      <w:r w:rsidRPr="00E00B35">
        <w:rPr>
          <w:szCs w:val="20"/>
        </w:rPr>
        <w:t>W ramach realizacji nowo wprowadzonej możliwości zamiany tj. zamiany na lokal większy pod warunkiem wykonania remontu we własnym zakresie i na własny koszt przyjęto 43 wnioski. W odniesieniu do 19 z nich wydano pisma kierujące do zawarcia umowy o remont.</w:t>
      </w:r>
    </w:p>
    <w:p w:rsidR="0060070F" w:rsidRPr="00E00B35" w:rsidRDefault="0060070F" w:rsidP="00E00B35">
      <w:pPr>
        <w:pStyle w:val="akapit"/>
        <w:spacing w:line="312" w:lineRule="auto"/>
        <w:rPr>
          <w:rFonts w:cs="Verdana"/>
          <w:szCs w:val="20"/>
        </w:rPr>
      </w:pPr>
    </w:p>
    <w:p w:rsidR="0060070F" w:rsidRPr="00E00B35" w:rsidRDefault="0060070F" w:rsidP="00E00B35">
      <w:pPr>
        <w:pStyle w:val="akapit"/>
        <w:spacing w:line="312" w:lineRule="auto"/>
        <w:rPr>
          <w:rFonts w:cs="Verdana"/>
          <w:szCs w:val="20"/>
        </w:rPr>
      </w:pPr>
      <w:r w:rsidRPr="00E00B35">
        <w:rPr>
          <w:rFonts w:cs="Verdana"/>
          <w:szCs w:val="20"/>
        </w:rPr>
        <w:t>Ponadto w ramach realizacji procedury zamiany mieszkań między kontrahentami przyjęto 97 ofert do katalogu zamian (w tym 60 umieszczono w aplikacji).</w:t>
      </w:r>
    </w:p>
    <w:p w:rsidR="0060070F" w:rsidRPr="00E00B35" w:rsidRDefault="0060070F" w:rsidP="00E00B35">
      <w:pPr>
        <w:pStyle w:val="akapit"/>
        <w:spacing w:line="312" w:lineRule="auto"/>
        <w:rPr>
          <w:rFonts w:cs="Verdana"/>
          <w:szCs w:val="20"/>
        </w:rPr>
      </w:pPr>
    </w:p>
    <w:p w:rsidR="0060070F" w:rsidRPr="00E00B35" w:rsidRDefault="0060070F" w:rsidP="00E00B35">
      <w:pPr>
        <w:pStyle w:val="akapit"/>
        <w:spacing w:line="312" w:lineRule="auto"/>
        <w:rPr>
          <w:rFonts w:cs="Verdana"/>
          <w:szCs w:val="20"/>
        </w:rPr>
      </w:pPr>
      <w:r w:rsidRPr="00E00B35">
        <w:rPr>
          <w:szCs w:val="20"/>
        </w:rPr>
        <w:t xml:space="preserve">Pomimo pandemii COVID-19 Wydział nieprzerwanie realizował swoje zadania, w tym prowadzono bezpośrednią obsługę klientów z zachowaniem obowiązujących w Urzędzie procedur bezpieczeństwa. Jednakże prowadzone przez Wydział statystyki wykazują mniejszą liczbę wpływającej korespondencji w zakresie wniosków i zgłoszeń wolnych </w:t>
      </w:r>
      <w:r w:rsidRPr="00E00B35">
        <w:rPr>
          <w:szCs w:val="20"/>
        </w:rPr>
        <w:lastRenderedPageBreak/>
        <w:t xml:space="preserve">lokali oraz wydłużenie terminów realizacji spraw, spowodowane sytuacją epidemiologiczną. </w:t>
      </w:r>
    </w:p>
    <w:p w:rsidR="0060070F" w:rsidRPr="00E00B35" w:rsidRDefault="0060070F" w:rsidP="00E00B35">
      <w:pPr>
        <w:pStyle w:val="11Trescpisma"/>
        <w:spacing w:before="0" w:after="0" w:line="312" w:lineRule="auto"/>
        <w:jc w:val="left"/>
        <w:rPr>
          <w:strike/>
          <w:szCs w:val="20"/>
        </w:rPr>
      </w:pPr>
    </w:p>
    <w:p w:rsidR="008C7751" w:rsidRPr="00E00B35" w:rsidRDefault="002C1BA7" w:rsidP="00E00B35">
      <w:pPr>
        <w:pStyle w:val="Nagwek3"/>
        <w:spacing w:after="0" w:line="312" w:lineRule="auto"/>
        <w:rPr>
          <w:sz w:val="20"/>
        </w:rPr>
      </w:pPr>
      <w:r w:rsidRPr="00E00B35">
        <w:rPr>
          <w:sz w:val="20"/>
        </w:rPr>
        <w:t>BIURO ZINTEGROWANYCH INWESTYCJI LOKALNYCH</w:t>
      </w:r>
    </w:p>
    <w:p w:rsidR="002C1BA7" w:rsidRPr="00E00B35" w:rsidRDefault="002C1BA7" w:rsidP="00E00B35">
      <w:pPr>
        <w:pStyle w:val="Nagwek4"/>
        <w:spacing w:before="0" w:after="0" w:line="312" w:lineRule="auto"/>
        <w:rPr>
          <w:sz w:val="20"/>
          <w:szCs w:val="20"/>
        </w:rPr>
      </w:pPr>
      <w:r w:rsidRPr="00E00B35">
        <w:rPr>
          <w:sz w:val="20"/>
          <w:szCs w:val="20"/>
        </w:rPr>
        <w:t>Sprawozdanie zgodnie z założeniami polityki społeczno-gospodarczej Wrocławia  Zintergrowanych Inwestycji Terytorialnych Wrocławskiego Obszaru Funkcjonalnego</w:t>
      </w:r>
    </w:p>
    <w:p w:rsidR="002C1BA7" w:rsidRPr="00E00B35" w:rsidRDefault="002C1BA7" w:rsidP="00E00B35">
      <w:pPr>
        <w:spacing w:after="0" w:line="312" w:lineRule="auto"/>
        <w:ind w:right="707"/>
        <w:rPr>
          <w:rFonts w:cs="Arial"/>
          <w:szCs w:val="20"/>
        </w:rPr>
      </w:pPr>
      <w:r w:rsidRPr="00E00B35">
        <w:rPr>
          <w:rFonts w:cs="Arial"/>
          <w:szCs w:val="20"/>
        </w:rPr>
        <w:t>Zgodnie z założeniami polityki społeczno-gospodarczej Wrocławia na 2020 r. w ramach strategicznych przedsięwzięć, Zintegrowane Inwestycje Terytorialne Wrocławskiego Obszaru Funkcjonalnego przeprowadziły następujące działania dotyczące czterech obszarów priorytetowych:</w:t>
      </w:r>
    </w:p>
    <w:p w:rsidR="002C1BA7" w:rsidRPr="00E00B35" w:rsidRDefault="002C1BA7" w:rsidP="00E00B35">
      <w:pPr>
        <w:spacing w:after="0" w:line="312" w:lineRule="auto"/>
        <w:ind w:right="707"/>
        <w:rPr>
          <w:rFonts w:cs="Arial"/>
          <w:szCs w:val="20"/>
        </w:rPr>
      </w:pPr>
    </w:p>
    <w:p w:rsidR="002C1BA7" w:rsidRPr="00E00B35" w:rsidRDefault="002C1BA7" w:rsidP="00BC64AB">
      <w:pPr>
        <w:pStyle w:val="Akapitzlist"/>
        <w:numPr>
          <w:ilvl w:val="0"/>
          <w:numId w:val="286"/>
        </w:numPr>
        <w:spacing w:after="0" w:line="312" w:lineRule="auto"/>
        <w:ind w:left="426" w:right="707" w:hanging="426"/>
        <w:rPr>
          <w:rFonts w:cs="Arial"/>
          <w:szCs w:val="20"/>
        </w:rPr>
      </w:pPr>
      <w:r w:rsidRPr="00E00B35">
        <w:rPr>
          <w:rFonts w:cs="Arial"/>
          <w:szCs w:val="20"/>
        </w:rPr>
        <w:t xml:space="preserve">W ramach </w:t>
      </w:r>
      <w:r w:rsidRPr="00E00B35">
        <w:rPr>
          <w:rFonts w:cs="Arial"/>
          <w:szCs w:val="20"/>
          <w:lang w:val="pl-PL"/>
        </w:rPr>
        <w:t>pierwszego</w:t>
      </w:r>
      <w:r w:rsidRPr="00E00B35">
        <w:rPr>
          <w:rFonts w:cs="Arial"/>
          <w:szCs w:val="20"/>
        </w:rPr>
        <w:t xml:space="preserve"> obszaru strategicznego </w:t>
      </w:r>
      <w:r w:rsidRPr="00E00B35">
        <w:rPr>
          <w:rFonts w:cs="Arial"/>
          <w:szCs w:val="20"/>
          <w:lang w:val="pl-PL"/>
        </w:rPr>
        <w:t>„</w:t>
      </w:r>
      <w:r w:rsidRPr="00E00B35">
        <w:rPr>
          <w:rFonts w:cs="Arial"/>
          <w:szCs w:val="20"/>
        </w:rPr>
        <w:t>Zielony Wrocław</w:t>
      </w:r>
      <w:r w:rsidRPr="00E00B35">
        <w:rPr>
          <w:rFonts w:cs="Arial"/>
          <w:szCs w:val="20"/>
          <w:lang w:val="pl-PL"/>
        </w:rPr>
        <w:t>”:</w:t>
      </w:r>
    </w:p>
    <w:p w:rsidR="002C1BA7" w:rsidRPr="00E00B35" w:rsidRDefault="002C1BA7" w:rsidP="00E00B35">
      <w:pPr>
        <w:pStyle w:val="Akapitzlist"/>
        <w:spacing w:after="0" w:line="312" w:lineRule="auto"/>
        <w:ind w:left="0" w:right="707"/>
        <w:rPr>
          <w:rFonts w:cs="Arial"/>
          <w:szCs w:val="20"/>
        </w:rPr>
      </w:pPr>
      <w:r w:rsidRPr="00E00B35">
        <w:rPr>
          <w:rFonts w:cs="Arial"/>
          <w:szCs w:val="20"/>
          <w:lang w:val="pl-PL"/>
        </w:rPr>
        <w:t>W</w:t>
      </w:r>
      <w:r w:rsidRPr="00E00B35">
        <w:rPr>
          <w:rFonts w:cs="Arial"/>
          <w:szCs w:val="20"/>
        </w:rPr>
        <w:t xml:space="preserve"> wyniku przeprowadzonych nabor</w:t>
      </w:r>
      <w:r w:rsidRPr="00E00B35">
        <w:rPr>
          <w:rFonts w:cs="Arial"/>
          <w:szCs w:val="20"/>
          <w:lang w:val="pl-PL"/>
        </w:rPr>
        <w:t>ów</w:t>
      </w:r>
      <w:r w:rsidRPr="00E00B35">
        <w:rPr>
          <w:rFonts w:cs="Arial"/>
          <w:szCs w:val="20"/>
        </w:rPr>
        <w:t xml:space="preserve"> wniosków o dofinansowanie projektów</w:t>
      </w:r>
      <w:r w:rsidRPr="00E00B35">
        <w:rPr>
          <w:rFonts w:cs="Arial"/>
          <w:szCs w:val="20"/>
          <w:lang w:val="pl-PL"/>
        </w:rPr>
        <w:t xml:space="preserve"> w latach 2019 i 2020 realizowanych na terenie </w:t>
      </w:r>
      <w:r w:rsidRPr="00E00B35">
        <w:rPr>
          <w:rFonts w:cs="Arial"/>
          <w:szCs w:val="20"/>
        </w:rPr>
        <w:t>Wrocławski</w:t>
      </w:r>
      <w:r w:rsidRPr="00E00B35">
        <w:rPr>
          <w:rFonts w:cs="Arial"/>
          <w:szCs w:val="20"/>
          <w:lang w:val="pl-PL"/>
        </w:rPr>
        <w:t>ego</w:t>
      </w:r>
      <w:r w:rsidRPr="00E00B35">
        <w:rPr>
          <w:rFonts w:cs="Arial"/>
          <w:szCs w:val="20"/>
        </w:rPr>
        <w:t xml:space="preserve"> Obszar</w:t>
      </w:r>
      <w:r w:rsidRPr="00E00B35">
        <w:rPr>
          <w:rFonts w:cs="Arial"/>
          <w:szCs w:val="20"/>
          <w:lang w:val="pl-PL"/>
        </w:rPr>
        <w:t>u</w:t>
      </w:r>
      <w:r w:rsidRPr="00E00B35">
        <w:rPr>
          <w:rFonts w:cs="Arial"/>
          <w:szCs w:val="20"/>
        </w:rPr>
        <w:t xml:space="preserve"> Funkcjonaln</w:t>
      </w:r>
      <w:r w:rsidRPr="00E00B35">
        <w:rPr>
          <w:rFonts w:cs="Arial"/>
          <w:szCs w:val="20"/>
          <w:lang w:val="pl-PL"/>
        </w:rPr>
        <w:t>ego</w:t>
      </w:r>
      <w:r w:rsidRPr="00E00B35">
        <w:rPr>
          <w:rFonts w:cs="Arial"/>
          <w:szCs w:val="20"/>
        </w:rPr>
        <w:t xml:space="preserve"> </w:t>
      </w:r>
      <w:r w:rsidRPr="00E00B35">
        <w:rPr>
          <w:rFonts w:cs="Arial"/>
          <w:szCs w:val="20"/>
          <w:lang w:val="pl-PL"/>
        </w:rPr>
        <w:t xml:space="preserve">w 2020 roku </w:t>
      </w:r>
      <w:r w:rsidRPr="00E00B35">
        <w:rPr>
          <w:rFonts w:cs="Arial"/>
          <w:szCs w:val="20"/>
        </w:rPr>
        <w:t xml:space="preserve">wybrano </w:t>
      </w:r>
      <w:r w:rsidRPr="00E00B35">
        <w:rPr>
          <w:rFonts w:cs="Arial"/>
          <w:szCs w:val="20"/>
          <w:lang w:val="pl-PL"/>
        </w:rPr>
        <w:t>do dofinansowania dwanaście</w:t>
      </w:r>
      <w:r w:rsidRPr="00E00B35">
        <w:rPr>
          <w:rFonts w:cs="Arial"/>
          <w:szCs w:val="20"/>
        </w:rPr>
        <w:t xml:space="preserve"> projektów o łącznej wartości ponad </w:t>
      </w:r>
      <w:r w:rsidRPr="00E00B35">
        <w:rPr>
          <w:rFonts w:cs="Arial"/>
          <w:szCs w:val="20"/>
          <w:lang w:val="pl-PL"/>
        </w:rPr>
        <w:t>142</w:t>
      </w:r>
      <w:r w:rsidRPr="00E00B35">
        <w:rPr>
          <w:rFonts w:cs="Arial"/>
          <w:szCs w:val="20"/>
        </w:rPr>
        <w:t xml:space="preserve"> mln zł, w tym </w:t>
      </w:r>
      <w:r w:rsidRPr="00E00B35">
        <w:rPr>
          <w:rFonts w:cs="Arial"/>
          <w:szCs w:val="20"/>
          <w:lang w:val="pl-PL"/>
        </w:rPr>
        <w:t>pięć</w:t>
      </w:r>
      <w:r w:rsidRPr="00E00B35">
        <w:rPr>
          <w:rFonts w:cs="Arial"/>
          <w:szCs w:val="20"/>
        </w:rPr>
        <w:t xml:space="preserve"> realizowan</w:t>
      </w:r>
      <w:r w:rsidRPr="00E00B35">
        <w:rPr>
          <w:rFonts w:cs="Arial"/>
          <w:szCs w:val="20"/>
          <w:lang w:val="pl-PL"/>
        </w:rPr>
        <w:t>ych</w:t>
      </w:r>
      <w:r w:rsidRPr="00E00B35">
        <w:rPr>
          <w:rFonts w:cs="Arial"/>
          <w:szCs w:val="20"/>
        </w:rPr>
        <w:t xml:space="preserve"> </w:t>
      </w:r>
      <w:r w:rsidRPr="00E00B35">
        <w:rPr>
          <w:rFonts w:cs="Arial"/>
          <w:szCs w:val="20"/>
          <w:lang w:val="pl-PL"/>
        </w:rPr>
        <w:t xml:space="preserve">tylko </w:t>
      </w:r>
      <w:r w:rsidRPr="00E00B35">
        <w:rPr>
          <w:rFonts w:cs="Arial"/>
          <w:szCs w:val="20"/>
        </w:rPr>
        <w:t xml:space="preserve">przez Gminę Wrocław o łącznej wartości </w:t>
      </w:r>
      <w:r w:rsidRPr="00E00B35">
        <w:rPr>
          <w:rFonts w:cs="Arial"/>
          <w:szCs w:val="20"/>
          <w:lang w:val="pl-PL"/>
        </w:rPr>
        <w:t>blisko</w:t>
      </w:r>
      <w:r w:rsidRPr="00E00B35">
        <w:rPr>
          <w:rFonts w:cs="Arial"/>
          <w:szCs w:val="20"/>
        </w:rPr>
        <w:t xml:space="preserve"> </w:t>
      </w:r>
      <w:r w:rsidRPr="00E00B35">
        <w:rPr>
          <w:rFonts w:cs="Arial"/>
          <w:szCs w:val="20"/>
          <w:lang w:val="pl-PL"/>
        </w:rPr>
        <w:t>40</w:t>
      </w:r>
      <w:r w:rsidRPr="00E00B35">
        <w:rPr>
          <w:rFonts w:cs="Arial"/>
          <w:szCs w:val="20"/>
        </w:rPr>
        <w:t xml:space="preserve"> mln zł.</w:t>
      </w:r>
      <w:r w:rsidRPr="00E00B35">
        <w:rPr>
          <w:rFonts w:cs="Arial"/>
          <w:szCs w:val="20"/>
          <w:lang w:val="pl-PL"/>
        </w:rPr>
        <w:t xml:space="preserve"> </w:t>
      </w:r>
      <w:r w:rsidRPr="00E00B35">
        <w:rPr>
          <w:rFonts w:cs="Arial"/>
          <w:szCs w:val="20"/>
        </w:rPr>
        <w:t>Projekty te realizowane były</w:t>
      </w:r>
      <w:r w:rsidRPr="00E00B35">
        <w:rPr>
          <w:rFonts w:cs="Arial"/>
          <w:szCs w:val="20"/>
          <w:lang w:val="pl-PL"/>
        </w:rPr>
        <w:t xml:space="preserve"> </w:t>
      </w:r>
      <w:r w:rsidRPr="00E00B35">
        <w:rPr>
          <w:rFonts w:cs="Arial"/>
          <w:szCs w:val="20"/>
        </w:rPr>
        <w:t>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w ramach Regionalnego Programu Operacyjnego dla Województwa Dolnośląskiego na lata 2014-2020, a wartość ich dofinansowania wyniosła </w:t>
      </w:r>
      <w:r w:rsidRPr="00E00B35">
        <w:rPr>
          <w:rFonts w:cs="Arial"/>
          <w:szCs w:val="20"/>
          <w:lang w:val="pl-PL"/>
        </w:rPr>
        <w:t>70</w:t>
      </w:r>
      <w:r w:rsidRPr="00E00B35">
        <w:rPr>
          <w:rFonts w:cs="Arial"/>
          <w:szCs w:val="20"/>
        </w:rPr>
        <w:t xml:space="preserve"> mln zł, w tym wartość projektów realizowanych przez Gminę Wrocław to ponad </w:t>
      </w:r>
      <w:r w:rsidRPr="00E00B35">
        <w:rPr>
          <w:rFonts w:cs="Arial"/>
          <w:szCs w:val="20"/>
          <w:lang w:val="pl-PL"/>
        </w:rPr>
        <w:t>53</w:t>
      </w:r>
      <w:r w:rsidRPr="00E00B35">
        <w:rPr>
          <w:rFonts w:cs="Arial"/>
          <w:szCs w:val="20"/>
        </w:rPr>
        <w:t xml:space="preserve"> mln zł.</w:t>
      </w:r>
    </w:p>
    <w:p w:rsidR="002C1BA7" w:rsidRPr="00E00B35" w:rsidRDefault="002C1BA7" w:rsidP="00BC64AB">
      <w:pPr>
        <w:pStyle w:val="Akapitzlist"/>
        <w:numPr>
          <w:ilvl w:val="0"/>
          <w:numId w:val="285"/>
        </w:numPr>
        <w:spacing w:after="0" w:line="312" w:lineRule="auto"/>
        <w:ind w:left="426" w:right="709" w:hanging="426"/>
        <w:contextualSpacing w:val="0"/>
        <w:rPr>
          <w:rFonts w:cs="Arial"/>
          <w:szCs w:val="20"/>
        </w:rPr>
      </w:pPr>
      <w:r w:rsidRPr="00E00B35">
        <w:rPr>
          <w:rFonts w:cs="Arial"/>
          <w:szCs w:val="20"/>
        </w:rPr>
        <w:t xml:space="preserve">dla całego ZIT WrOF </w:t>
      </w:r>
      <w:r w:rsidRPr="00E00B35">
        <w:rPr>
          <w:rFonts w:cs="Arial"/>
          <w:szCs w:val="20"/>
          <w:lang w:val="pl-PL"/>
        </w:rPr>
        <w:t>realizowanych jest</w:t>
      </w:r>
      <w:r w:rsidRPr="00E00B35">
        <w:rPr>
          <w:rFonts w:cs="Arial"/>
          <w:szCs w:val="20"/>
        </w:rPr>
        <w:t xml:space="preserve"> </w:t>
      </w:r>
      <w:r w:rsidRPr="00E00B35">
        <w:rPr>
          <w:rFonts w:cs="Arial"/>
          <w:szCs w:val="20"/>
          <w:lang w:val="pl-PL"/>
        </w:rPr>
        <w:t>sześć</w:t>
      </w:r>
      <w:r w:rsidRPr="00E00B35">
        <w:rPr>
          <w:rFonts w:cs="Arial"/>
          <w:szCs w:val="20"/>
        </w:rPr>
        <w:t xml:space="preserve"> projektów dotyczących ograniczenia emisji kominowej poprzez likwidację węglowych źródeł ciepła</w:t>
      </w:r>
      <w:r w:rsidRPr="00E00B35">
        <w:rPr>
          <w:rFonts w:cs="Arial"/>
          <w:b/>
          <w:szCs w:val="20"/>
        </w:rPr>
        <w:t xml:space="preserve"> – </w:t>
      </w:r>
      <w:r w:rsidRPr="00E00B35">
        <w:rPr>
          <w:rFonts w:cs="Arial"/>
          <w:szCs w:val="20"/>
        </w:rPr>
        <w:t>Łączna wartość projektów to ponad 71 mln zł, a wartość dofinansowania 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to </w:t>
      </w:r>
      <w:r w:rsidRPr="00E00B35">
        <w:rPr>
          <w:rFonts w:cs="Arial"/>
          <w:szCs w:val="20"/>
          <w:lang w:val="pl-PL"/>
        </w:rPr>
        <w:t>blisko</w:t>
      </w:r>
      <w:r w:rsidRPr="00E00B35">
        <w:rPr>
          <w:rFonts w:cs="Arial"/>
          <w:szCs w:val="20"/>
        </w:rPr>
        <w:t xml:space="preserve"> 4</w:t>
      </w:r>
      <w:r w:rsidRPr="00E00B35">
        <w:rPr>
          <w:rFonts w:cs="Arial"/>
          <w:szCs w:val="20"/>
          <w:lang w:val="pl-PL"/>
        </w:rPr>
        <w:t>7</w:t>
      </w:r>
      <w:r w:rsidRPr="00E00B35">
        <w:rPr>
          <w:rFonts w:cs="Arial"/>
          <w:szCs w:val="20"/>
        </w:rPr>
        <w:t xml:space="preserve"> mln zł. Trzy z nich są realizowane przez Gminę Wrocław – łączna wartość projektów</w:t>
      </w:r>
      <w:r w:rsidRPr="00E00B35">
        <w:rPr>
          <w:rFonts w:cs="Arial"/>
          <w:szCs w:val="20"/>
          <w:lang w:val="pl-PL"/>
        </w:rPr>
        <w:t xml:space="preserve"> </w:t>
      </w:r>
      <w:r w:rsidRPr="00E00B35">
        <w:rPr>
          <w:rFonts w:cs="Arial"/>
          <w:szCs w:val="20"/>
        </w:rPr>
        <w:t>to blisko 39 mln zł, a wartość dofinansowania ze środków UE to ponad 27 mln zł.</w:t>
      </w:r>
    </w:p>
    <w:p w:rsidR="002C1BA7" w:rsidRPr="00E00B35" w:rsidRDefault="002C1BA7" w:rsidP="00BC64AB">
      <w:pPr>
        <w:pStyle w:val="Akapitzlist"/>
        <w:numPr>
          <w:ilvl w:val="0"/>
          <w:numId w:val="285"/>
        </w:numPr>
        <w:spacing w:after="0" w:line="312" w:lineRule="auto"/>
        <w:ind w:left="426" w:right="709" w:hanging="426"/>
        <w:rPr>
          <w:rFonts w:cs="Arial"/>
          <w:szCs w:val="20"/>
        </w:rPr>
      </w:pPr>
      <w:r w:rsidRPr="00E00B35">
        <w:rPr>
          <w:rFonts w:cs="Arial"/>
          <w:szCs w:val="20"/>
        </w:rPr>
        <w:t xml:space="preserve">dla całego ZIT WrOF </w:t>
      </w:r>
      <w:r w:rsidRPr="00E00B35">
        <w:rPr>
          <w:rFonts w:cs="Arial"/>
          <w:szCs w:val="20"/>
          <w:lang w:val="pl-PL"/>
        </w:rPr>
        <w:t>podpisano umowy o dofinansowanie sześciu</w:t>
      </w:r>
      <w:r w:rsidRPr="00E00B35">
        <w:rPr>
          <w:rFonts w:cs="Arial"/>
          <w:szCs w:val="20"/>
        </w:rPr>
        <w:t xml:space="preserve"> projekt</w:t>
      </w:r>
      <w:r w:rsidRPr="00E00B35">
        <w:rPr>
          <w:rFonts w:cs="Arial"/>
          <w:szCs w:val="20"/>
          <w:lang w:val="pl-PL"/>
        </w:rPr>
        <w:t>ów</w:t>
      </w:r>
      <w:r w:rsidRPr="00E00B35">
        <w:rPr>
          <w:rFonts w:cs="Arial"/>
          <w:szCs w:val="20"/>
        </w:rPr>
        <w:t xml:space="preserve"> dotycząc</w:t>
      </w:r>
      <w:r w:rsidRPr="00E00B35">
        <w:rPr>
          <w:rFonts w:cs="Arial"/>
          <w:szCs w:val="20"/>
          <w:lang w:val="pl-PL"/>
        </w:rPr>
        <w:t>ych</w:t>
      </w:r>
      <w:r w:rsidRPr="00E00B35">
        <w:rPr>
          <w:rFonts w:cs="Arial"/>
          <w:szCs w:val="20"/>
        </w:rPr>
        <w:t xml:space="preserve"> budowy dróg rowerowych oraz infrastruktury Park&amp;Ride – łączna wartość projektów to blisko </w:t>
      </w:r>
      <w:r w:rsidRPr="00E00B35">
        <w:rPr>
          <w:rFonts w:cs="Arial"/>
          <w:szCs w:val="20"/>
          <w:lang w:val="pl-PL"/>
        </w:rPr>
        <w:t>71</w:t>
      </w:r>
      <w:r w:rsidRPr="00E00B35">
        <w:rPr>
          <w:rFonts w:cs="Arial"/>
          <w:szCs w:val="20"/>
        </w:rPr>
        <w:t xml:space="preserve"> mln zł,</w:t>
      </w:r>
      <w:r w:rsidRPr="00E00B35">
        <w:rPr>
          <w:rFonts w:cs="Arial"/>
          <w:szCs w:val="20"/>
          <w:lang w:val="pl-PL"/>
        </w:rPr>
        <w:t xml:space="preserve"> </w:t>
      </w:r>
      <w:r w:rsidRPr="00E00B35">
        <w:rPr>
          <w:rFonts w:cs="Arial"/>
          <w:szCs w:val="20"/>
        </w:rPr>
        <w:t>a wartość</w:t>
      </w:r>
      <w:r w:rsidRPr="00E00B35">
        <w:rPr>
          <w:rFonts w:cs="Arial"/>
          <w:b/>
          <w:szCs w:val="20"/>
        </w:rPr>
        <w:t xml:space="preserve"> </w:t>
      </w:r>
      <w:r w:rsidRPr="00E00B35">
        <w:rPr>
          <w:rFonts w:cs="Arial"/>
          <w:szCs w:val="20"/>
        </w:rPr>
        <w:t>dofinansowania 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to </w:t>
      </w:r>
      <w:r w:rsidRPr="00E00B35">
        <w:rPr>
          <w:rFonts w:cs="Arial"/>
          <w:szCs w:val="20"/>
          <w:lang w:val="pl-PL"/>
        </w:rPr>
        <w:t>ponad 54</w:t>
      </w:r>
      <w:r w:rsidRPr="00E00B35">
        <w:rPr>
          <w:rFonts w:cs="Arial"/>
          <w:szCs w:val="20"/>
        </w:rPr>
        <w:t xml:space="preserve"> mln zł. </w:t>
      </w:r>
      <w:r w:rsidRPr="00E00B35">
        <w:rPr>
          <w:rFonts w:cs="Arial"/>
          <w:szCs w:val="20"/>
          <w:lang w:val="pl-PL"/>
        </w:rPr>
        <w:t>Dwa</w:t>
      </w:r>
      <w:r w:rsidRPr="00E00B35">
        <w:rPr>
          <w:rFonts w:cs="Arial"/>
          <w:szCs w:val="20"/>
        </w:rPr>
        <w:t xml:space="preserve"> z nich </w:t>
      </w:r>
      <w:r w:rsidRPr="00E00B35">
        <w:rPr>
          <w:rFonts w:cs="Arial"/>
          <w:szCs w:val="20"/>
          <w:lang w:val="pl-PL"/>
        </w:rPr>
        <w:t xml:space="preserve">są </w:t>
      </w:r>
      <w:r w:rsidRPr="00E00B35">
        <w:rPr>
          <w:rFonts w:cs="Arial"/>
          <w:szCs w:val="20"/>
        </w:rPr>
        <w:t>realizowan</w:t>
      </w:r>
      <w:r w:rsidRPr="00E00B35">
        <w:rPr>
          <w:rFonts w:cs="Arial"/>
          <w:szCs w:val="20"/>
          <w:lang w:val="pl-PL"/>
        </w:rPr>
        <w:t xml:space="preserve">e </w:t>
      </w:r>
      <w:r w:rsidRPr="00E00B35">
        <w:rPr>
          <w:rFonts w:cs="Arial"/>
          <w:szCs w:val="20"/>
        </w:rPr>
        <w:t xml:space="preserve">przez Gminę Wrocław, a </w:t>
      </w:r>
      <w:r w:rsidRPr="00E00B35">
        <w:rPr>
          <w:rFonts w:cs="Arial"/>
          <w:szCs w:val="20"/>
          <w:lang w:val="pl-PL"/>
        </w:rPr>
        <w:t>ich</w:t>
      </w:r>
      <w:r w:rsidRPr="00E00B35">
        <w:rPr>
          <w:rFonts w:cs="Arial"/>
          <w:szCs w:val="20"/>
        </w:rPr>
        <w:t xml:space="preserve"> celem było zintegrowanie transportu rowerowego z komunikacją miejską – wartość projektów to </w:t>
      </w:r>
      <w:r w:rsidRPr="00E00B35">
        <w:rPr>
          <w:rFonts w:cs="Arial"/>
          <w:szCs w:val="20"/>
          <w:lang w:val="pl-PL"/>
        </w:rPr>
        <w:t>ponad</w:t>
      </w:r>
      <w:r w:rsidRPr="00E00B35">
        <w:rPr>
          <w:rFonts w:cs="Arial"/>
          <w:szCs w:val="20"/>
        </w:rPr>
        <w:t xml:space="preserve"> </w:t>
      </w:r>
      <w:r w:rsidRPr="00E00B35">
        <w:rPr>
          <w:rFonts w:cs="Arial"/>
          <w:szCs w:val="20"/>
          <w:lang w:val="pl-PL"/>
        </w:rPr>
        <w:t>31</w:t>
      </w:r>
      <w:r w:rsidRPr="00E00B35">
        <w:rPr>
          <w:rFonts w:cs="Arial"/>
          <w:szCs w:val="20"/>
        </w:rPr>
        <w:t xml:space="preserve"> mln zł, a wartość dofinansowania 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to ponad </w:t>
      </w:r>
      <w:r w:rsidRPr="00E00B35">
        <w:rPr>
          <w:rFonts w:cs="Arial"/>
          <w:szCs w:val="20"/>
          <w:lang w:val="pl-PL"/>
        </w:rPr>
        <w:t>26</w:t>
      </w:r>
      <w:r w:rsidRPr="00E00B35">
        <w:rPr>
          <w:rFonts w:cs="Arial"/>
          <w:szCs w:val="20"/>
        </w:rPr>
        <w:t xml:space="preserve"> mln zł. </w:t>
      </w:r>
    </w:p>
    <w:p w:rsidR="002C1BA7" w:rsidRPr="00E00B35" w:rsidRDefault="002C1BA7" w:rsidP="00E00B35">
      <w:pPr>
        <w:pStyle w:val="Akapitzlist"/>
        <w:spacing w:after="0" w:line="312" w:lineRule="auto"/>
        <w:ind w:left="0" w:right="709"/>
        <w:rPr>
          <w:rFonts w:cs="Arial"/>
          <w:szCs w:val="20"/>
          <w:lang w:val="pl-PL"/>
        </w:rPr>
      </w:pPr>
    </w:p>
    <w:p w:rsidR="002C1BA7" w:rsidRPr="00E00B35" w:rsidRDefault="002C1BA7" w:rsidP="00E00B35">
      <w:pPr>
        <w:pStyle w:val="Akapitzlist"/>
        <w:spacing w:after="0" w:line="312" w:lineRule="auto"/>
        <w:ind w:left="0" w:right="709"/>
        <w:rPr>
          <w:rFonts w:cs="Arial"/>
          <w:szCs w:val="20"/>
          <w:lang w:val="pl-PL"/>
        </w:rPr>
      </w:pPr>
      <w:r w:rsidRPr="00E00B35">
        <w:rPr>
          <w:rFonts w:cs="Arial"/>
          <w:szCs w:val="20"/>
        </w:rPr>
        <w:t xml:space="preserve">Ponadto, w </w:t>
      </w:r>
      <w:r w:rsidRPr="00E00B35">
        <w:rPr>
          <w:rFonts w:cs="Arial"/>
          <w:szCs w:val="20"/>
          <w:lang w:val="pl-PL"/>
        </w:rPr>
        <w:t>pierwszym</w:t>
      </w:r>
      <w:r w:rsidRPr="00E00B35">
        <w:rPr>
          <w:rFonts w:cs="Arial"/>
          <w:szCs w:val="20"/>
        </w:rPr>
        <w:t xml:space="preserve"> kwartale 2020 roku trwały prace grup roboczych powołanych w celu opracowania przedsięwzięć i koncepcji strategicznych z myślą o kolejnej perspektywie budżetowej Unii Europejskiej na lata 2021-2027. Ich realizacja jest uzależniona m.in. od zapisów przyszłych dokumentów programowych. Efektem tych prac było m.in. przyjęcie założeń następujących przedsięwzięć wpisujących się w obszar strategiczny </w:t>
      </w:r>
      <w:r w:rsidRPr="00E00B35">
        <w:rPr>
          <w:rFonts w:cs="Arial"/>
          <w:szCs w:val="20"/>
          <w:lang w:val="pl-PL"/>
        </w:rPr>
        <w:t>„</w:t>
      </w:r>
      <w:r w:rsidRPr="00E00B35">
        <w:rPr>
          <w:rFonts w:cs="Arial"/>
          <w:szCs w:val="20"/>
        </w:rPr>
        <w:t>Zielony Wrocław</w:t>
      </w:r>
      <w:r w:rsidRPr="00E00B35">
        <w:rPr>
          <w:rFonts w:cs="Arial"/>
          <w:szCs w:val="20"/>
          <w:lang w:val="pl-PL"/>
        </w:rPr>
        <w:t>”</w:t>
      </w:r>
      <w:r w:rsidRPr="00E00B35">
        <w:rPr>
          <w:rFonts w:cs="Arial"/>
          <w:szCs w:val="20"/>
        </w:rPr>
        <w:t>:</w:t>
      </w:r>
    </w:p>
    <w:p w:rsidR="002C1BA7" w:rsidRPr="00E00B35" w:rsidRDefault="002C1BA7" w:rsidP="00BC64AB">
      <w:pPr>
        <w:pStyle w:val="Tekstpodstawowy"/>
        <w:numPr>
          <w:ilvl w:val="0"/>
          <w:numId w:val="239"/>
        </w:numPr>
        <w:suppressAutoHyphens/>
        <w:spacing w:after="0" w:line="312" w:lineRule="auto"/>
        <w:ind w:left="426" w:hanging="426"/>
        <w:rPr>
          <w:szCs w:val="20"/>
        </w:rPr>
      </w:pPr>
      <w:r w:rsidRPr="00E00B35">
        <w:rPr>
          <w:szCs w:val="20"/>
        </w:rPr>
        <w:t xml:space="preserve">Efektywne gospodarowanie wodą na terenie Wrocławskiego Obszaru Funkcjonalnego, ZIELONE PŁUCA Wrocławskiego Obszary Funkcjonalnego – kompleksowy program </w:t>
      </w:r>
      <w:r w:rsidRPr="00E00B35">
        <w:rPr>
          <w:szCs w:val="20"/>
        </w:rPr>
        <w:lastRenderedPageBreak/>
        <w:t>rewitalizacji i tworzenia nowych terenów zielonych na terenie Metropolii Wrocławskiej;</w:t>
      </w:r>
    </w:p>
    <w:p w:rsidR="002C1BA7" w:rsidRPr="00E00B35" w:rsidRDefault="002C1BA7" w:rsidP="00BC64AB">
      <w:pPr>
        <w:pStyle w:val="Tekstpodstawowy"/>
        <w:numPr>
          <w:ilvl w:val="0"/>
          <w:numId w:val="239"/>
        </w:numPr>
        <w:suppressAutoHyphens/>
        <w:spacing w:after="0" w:line="312" w:lineRule="auto"/>
        <w:ind w:left="426" w:hanging="426"/>
        <w:rPr>
          <w:szCs w:val="20"/>
        </w:rPr>
      </w:pPr>
      <w:r w:rsidRPr="00E00B35">
        <w:rPr>
          <w:szCs w:val="20"/>
        </w:rPr>
        <w:t>Zagospodarowanie terenów zielonych na potrzeby rekreacji we Wrocławskim Obszarze Funkcjonalnym, ZIELONA ENERGIA – zastosowanie odnawialnych źródeł energii we Wrocławskim Obszarze Funkcjonalnym;</w:t>
      </w:r>
    </w:p>
    <w:p w:rsidR="002C1BA7" w:rsidRPr="00E00B35" w:rsidRDefault="002C1BA7" w:rsidP="00BC64AB">
      <w:pPr>
        <w:pStyle w:val="Tekstpodstawowy"/>
        <w:numPr>
          <w:ilvl w:val="0"/>
          <w:numId w:val="239"/>
        </w:numPr>
        <w:suppressAutoHyphens/>
        <w:spacing w:after="0" w:line="312" w:lineRule="auto"/>
        <w:ind w:left="426" w:hanging="426"/>
        <w:rPr>
          <w:szCs w:val="20"/>
        </w:rPr>
      </w:pPr>
      <w:r w:rsidRPr="00E00B35">
        <w:rPr>
          <w:szCs w:val="20"/>
        </w:rPr>
        <w:t>Program ograniczania niskiej emisji we Wrocławskim Obszarze Funkcjonalnym poprzez wymianę nieefektywnych źródeł ciepła;</w:t>
      </w:r>
    </w:p>
    <w:p w:rsidR="002C1BA7" w:rsidRPr="00E00B35" w:rsidRDefault="002C1BA7" w:rsidP="00BC64AB">
      <w:pPr>
        <w:pStyle w:val="Tekstpodstawowy"/>
        <w:numPr>
          <w:ilvl w:val="0"/>
          <w:numId w:val="239"/>
        </w:numPr>
        <w:suppressAutoHyphens/>
        <w:spacing w:after="0" w:line="312" w:lineRule="auto"/>
        <w:ind w:left="426" w:hanging="426"/>
        <w:rPr>
          <w:szCs w:val="20"/>
        </w:rPr>
      </w:pPr>
      <w:r w:rsidRPr="00E00B35">
        <w:rPr>
          <w:szCs w:val="20"/>
        </w:rPr>
        <w:t>Poprawa efektywności energetycznej budynków na terenie Wrocławskiego Obszaru Funkcjonalnego;</w:t>
      </w:r>
    </w:p>
    <w:p w:rsidR="002C1BA7" w:rsidRPr="00E00B35" w:rsidRDefault="002C1BA7" w:rsidP="00BC64AB">
      <w:pPr>
        <w:pStyle w:val="Tekstpodstawowy"/>
        <w:numPr>
          <w:ilvl w:val="0"/>
          <w:numId w:val="239"/>
        </w:numPr>
        <w:suppressAutoHyphens/>
        <w:spacing w:after="0" w:line="312" w:lineRule="auto"/>
        <w:ind w:left="426" w:hanging="426"/>
        <w:rPr>
          <w:szCs w:val="20"/>
        </w:rPr>
      </w:pPr>
      <w:r w:rsidRPr="00E00B35">
        <w:rPr>
          <w:szCs w:val="20"/>
        </w:rPr>
        <w:t>Kompleksowy program wymiany oświetlenia ulicznego na terenie Wrocławskiego Obszaru Funkcjonalnego;</w:t>
      </w:r>
    </w:p>
    <w:p w:rsidR="002C1BA7" w:rsidRPr="00E00B35" w:rsidRDefault="002C1BA7" w:rsidP="00BC64AB">
      <w:pPr>
        <w:pStyle w:val="Tekstpodstawowy"/>
        <w:numPr>
          <w:ilvl w:val="0"/>
          <w:numId w:val="239"/>
        </w:numPr>
        <w:suppressAutoHyphens/>
        <w:spacing w:after="0" w:line="312" w:lineRule="auto"/>
        <w:ind w:left="426" w:hanging="426"/>
        <w:rPr>
          <w:szCs w:val="20"/>
        </w:rPr>
      </w:pPr>
      <w:r w:rsidRPr="00E00B35">
        <w:rPr>
          <w:szCs w:val="20"/>
        </w:rPr>
        <w:t>Program budowy obiektów użyteczności publicznej o znacznie podwyższonych parametrach charakterystyki energetycznej na terenie Wrocławskiego Obszaru Funkcjonalnego.</w:t>
      </w:r>
    </w:p>
    <w:p w:rsidR="002C1BA7" w:rsidRPr="00E00B35" w:rsidRDefault="002C1BA7" w:rsidP="00E00B35">
      <w:pPr>
        <w:pStyle w:val="Akapitzlist"/>
        <w:spacing w:after="0" w:line="312" w:lineRule="auto"/>
        <w:ind w:left="0" w:right="707"/>
        <w:rPr>
          <w:rFonts w:cs="Arial"/>
          <w:color w:val="000000"/>
          <w:szCs w:val="20"/>
        </w:rPr>
      </w:pPr>
      <w:r w:rsidRPr="00E00B35">
        <w:rPr>
          <w:rFonts w:cs="Arial"/>
          <w:color w:val="000000"/>
          <w:szCs w:val="20"/>
        </w:rPr>
        <w:t>Wyżej wymienione działania wpisują się także w Strategię Wrocławia 2030 w kontekście realizacji Priorytetu: Jakość środowiska i przestrzeni miejskiej. Ponadto realizują Program Prezydenta Jacka Sutryka w aspekcie: Środowisko.</w:t>
      </w:r>
    </w:p>
    <w:p w:rsidR="002C1BA7" w:rsidRPr="00E00B35" w:rsidRDefault="002C1BA7" w:rsidP="00E00B35">
      <w:pPr>
        <w:pStyle w:val="Akapitzlist"/>
        <w:spacing w:after="0" w:line="312" w:lineRule="auto"/>
        <w:ind w:left="0" w:right="707"/>
        <w:rPr>
          <w:rFonts w:cs="Arial"/>
          <w:szCs w:val="20"/>
        </w:rPr>
      </w:pPr>
    </w:p>
    <w:p w:rsidR="002C1BA7" w:rsidRPr="00E00B35" w:rsidRDefault="002C1BA7" w:rsidP="00BC64AB">
      <w:pPr>
        <w:pStyle w:val="Akapitzlist"/>
        <w:numPr>
          <w:ilvl w:val="0"/>
          <w:numId w:val="286"/>
        </w:numPr>
        <w:spacing w:after="0" w:line="312" w:lineRule="auto"/>
        <w:ind w:left="426" w:right="707" w:hanging="426"/>
        <w:rPr>
          <w:rFonts w:cs="Arial"/>
          <w:color w:val="000000"/>
          <w:szCs w:val="20"/>
        </w:rPr>
      </w:pPr>
      <w:r w:rsidRPr="00E00B35">
        <w:rPr>
          <w:rFonts w:cs="Arial"/>
          <w:szCs w:val="20"/>
        </w:rPr>
        <w:t xml:space="preserve">W ramach drugiego obszaru strategicznego Mobilność wrocławian </w:t>
      </w:r>
    </w:p>
    <w:p w:rsidR="002C1BA7" w:rsidRPr="00E00B35" w:rsidRDefault="002C1BA7" w:rsidP="00E00B35">
      <w:pPr>
        <w:pStyle w:val="Akapitzlist"/>
        <w:spacing w:after="0" w:line="312" w:lineRule="auto"/>
        <w:ind w:left="0" w:right="709"/>
        <w:contextualSpacing w:val="0"/>
        <w:rPr>
          <w:rFonts w:cs="Arial"/>
          <w:color w:val="000000"/>
          <w:szCs w:val="20"/>
        </w:rPr>
      </w:pPr>
      <w:r w:rsidRPr="00E00B35">
        <w:rPr>
          <w:rFonts w:cs="Arial"/>
          <w:szCs w:val="20"/>
          <w:lang w:val="pl-PL"/>
        </w:rPr>
        <w:t>W</w:t>
      </w:r>
      <w:r w:rsidRPr="00E00B35">
        <w:rPr>
          <w:rFonts w:cs="Arial"/>
          <w:szCs w:val="20"/>
        </w:rPr>
        <w:t xml:space="preserve"> 2020 roku</w:t>
      </w:r>
      <w:r w:rsidRPr="00E00B35">
        <w:rPr>
          <w:rFonts w:cs="Arial"/>
          <w:szCs w:val="20"/>
          <w:lang w:val="pl-PL"/>
        </w:rPr>
        <w:t xml:space="preserve"> zrealizowano jeden</w:t>
      </w:r>
      <w:r w:rsidRPr="00E00B35">
        <w:rPr>
          <w:rFonts w:cs="Arial"/>
          <w:color w:val="000000"/>
          <w:szCs w:val="20"/>
          <w:lang w:val="pl-PL"/>
        </w:rPr>
        <w:t xml:space="preserve"> projekt dotyczący rozbudowy systemu zarządzania ruchem obejmujący nowe sygnalizacje świetne oraz wyświetlacze pomocnicze ITS </w:t>
      </w:r>
      <w:r w:rsidRPr="00E00B35">
        <w:rPr>
          <w:rFonts w:cs="Arial"/>
          <w:color w:val="000000"/>
          <w:szCs w:val="20"/>
          <w:lang w:val="pl-PL"/>
        </w:rPr>
        <w:br/>
        <w:t xml:space="preserve">i był on realizowany przez Gminę Wrocław. Projekt był zrealizowany w ramach Regionalnego Programu Operacyjnego dla Województwa Dolnośląskiego na lata 2014-2020. Wartość projektu to ponad 19 mln zł, a kwota dofinansowania ze środków </w:t>
      </w:r>
      <w:r w:rsidRPr="00E00B35">
        <w:rPr>
          <w:rFonts w:cs="Arial"/>
          <w:szCs w:val="20"/>
        </w:rPr>
        <w:t>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color w:val="000000"/>
          <w:szCs w:val="20"/>
          <w:lang w:val="pl-PL"/>
        </w:rPr>
        <w:t xml:space="preserve"> to ponad 13 mln zł.</w:t>
      </w:r>
    </w:p>
    <w:p w:rsidR="002C1BA7" w:rsidRPr="00E00B35" w:rsidRDefault="002C1BA7" w:rsidP="00E00B35">
      <w:pPr>
        <w:autoSpaceDE w:val="0"/>
        <w:autoSpaceDN w:val="0"/>
        <w:adjustRightInd w:val="0"/>
        <w:spacing w:after="0" w:line="312" w:lineRule="auto"/>
        <w:ind w:right="707"/>
        <w:rPr>
          <w:rFonts w:cs="Arial"/>
          <w:szCs w:val="20"/>
        </w:rPr>
      </w:pPr>
      <w:r w:rsidRPr="00E00B35">
        <w:rPr>
          <w:rFonts w:cs="Arial"/>
          <w:szCs w:val="20"/>
        </w:rPr>
        <w:t>W 2020 roku zakończono realizację projektu pn. „</w:t>
      </w:r>
      <w:r w:rsidRPr="00E00B35">
        <w:rPr>
          <w:rFonts w:cs="Arial"/>
          <w:i/>
          <w:szCs w:val="20"/>
        </w:rPr>
        <w:t>Modernizacja floty taboru tramwajowego we Wrocławiu pod względem polepszenia efektywności energetycznej oraz zapewnienia dostępności dla osób o ograniczonej sprawności poruszania - Etap 1A</w:t>
      </w:r>
      <w:r w:rsidRPr="00E00B35">
        <w:rPr>
          <w:rFonts w:cs="Arial"/>
          <w:szCs w:val="20"/>
        </w:rPr>
        <w:t xml:space="preserve">”, którego beneficjentem było Miejskie Przedsiębiorstwo Komunikacyjne Wrocław Sp. z o.o., w wyniku którego dostarczano 56 szt. tramwajów wraz z wyposażeniem dodatkowym i montażem tablic informacyjno-pamiątkowych. Wartość projektu to ponad 250,5 mln zł, a kwota dofinansowania </w:t>
      </w:r>
      <w:r w:rsidRPr="00E00B35">
        <w:rPr>
          <w:rFonts w:cs="Arial"/>
          <w:color w:val="000000"/>
          <w:szCs w:val="20"/>
        </w:rPr>
        <w:t xml:space="preserve">ze środków </w:t>
      </w:r>
      <w:r w:rsidRPr="00E00B35">
        <w:rPr>
          <w:rFonts w:cs="Arial"/>
          <w:szCs w:val="20"/>
        </w:rPr>
        <w:t>Unii Europejskiej wyniosła 159 mln zł. Projekt był dofinansowany z Programu Operacyjnego Infrastruktura i Środowisko na lata 2014-2020.</w:t>
      </w:r>
    </w:p>
    <w:p w:rsidR="002C1BA7" w:rsidRPr="00E00B35" w:rsidRDefault="002C1BA7" w:rsidP="00E00B35">
      <w:pPr>
        <w:autoSpaceDE w:val="0"/>
        <w:autoSpaceDN w:val="0"/>
        <w:adjustRightInd w:val="0"/>
        <w:spacing w:after="0" w:line="312" w:lineRule="auto"/>
        <w:ind w:right="707"/>
        <w:rPr>
          <w:rFonts w:cs="Arial"/>
          <w:szCs w:val="20"/>
        </w:rPr>
      </w:pPr>
    </w:p>
    <w:p w:rsidR="002C1BA7" w:rsidRPr="00E00B35" w:rsidRDefault="002C1BA7" w:rsidP="00E00B35">
      <w:pPr>
        <w:autoSpaceDE w:val="0"/>
        <w:autoSpaceDN w:val="0"/>
        <w:adjustRightInd w:val="0"/>
        <w:spacing w:after="0" w:line="312" w:lineRule="auto"/>
        <w:ind w:right="707"/>
        <w:rPr>
          <w:rFonts w:cs="Arial"/>
          <w:szCs w:val="20"/>
        </w:rPr>
      </w:pPr>
      <w:r w:rsidRPr="00E00B35">
        <w:rPr>
          <w:rFonts w:cs="Arial"/>
          <w:szCs w:val="20"/>
        </w:rPr>
        <w:t>W 2020 r. została zakończona realizacja projektu pn. „</w:t>
      </w:r>
      <w:r w:rsidRPr="00E00B35">
        <w:rPr>
          <w:rFonts w:cs="Arial"/>
          <w:i/>
          <w:szCs w:val="20"/>
        </w:rPr>
        <w:t xml:space="preserve">Przebudowa ul. Buforowej </w:t>
      </w:r>
      <w:r w:rsidRPr="00E00B35">
        <w:rPr>
          <w:rFonts w:cs="Arial"/>
          <w:i/>
          <w:szCs w:val="20"/>
        </w:rPr>
        <w:br/>
        <w:t>w ciągu drogi wojewódzkiej nr 395 we Wrocławiu - Etap 1”</w:t>
      </w:r>
      <w:r w:rsidRPr="00E00B35">
        <w:rPr>
          <w:rFonts w:cs="Arial"/>
          <w:szCs w:val="20"/>
        </w:rPr>
        <w:t xml:space="preserve">, którego wartość przekroczyła 89,5 mln zł, a kwota dofinansowania </w:t>
      </w:r>
      <w:r w:rsidRPr="00E00B35">
        <w:rPr>
          <w:rFonts w:cs="Arial"/>
          <w:color w:val="000000"/>
          <w:szCs w:val="20"/>
        </w:rPr>
        <w:t xml:space="preserve">ze środków </w:t>
      </w:r>
      <w:r w:rsidRPr="00E00B35">
        <w:rPr>
          <w:rFonts w:cs="Arial"/>
          <w:szCs w:val="20"/>
        </w:rPr>
        <w:t>Unii Europejskiej przekracza 59,1 mln zł. Projekt był finansowany z Regionalnego Programu Operacyjnego dla Województwa Dolnośląskiego na lata 2014-2020.</w:t>
      </w:r>
    </w:p>
    <w:p w:rsidR="002C1BA7" w:rsidRPr="00E00B35" w:rsidRDefault="002C1BA7" w:rsidP="00E00B35">
      <w:pPr>
        <w:autoSpaceDE w:val="0"/>
        <w:autoSpaceDN w:val="0"/>
        <w:adjustRightInd w:val="0"/>
        <w:spacing w:after="0" w:line="312" w:lineRule="auto"/>
        <w:ind w:right="707"/>
        <w:rPr>
          <w:rFonts w:cs="Arial"/>
          <w:szCs w:val="20"/>
        </w:rPr>
      </w:pPr>
    </w:p>
    <w:p w:rsidR="002C1BA7" w:rsidRPr="00E00B35" w:rsidRDefault="002C1BA7" w:rsidP="00E00B35">
      <w:pPr>
        <w:pStyle w:val="Akapitzlist"/>
        <w:autoSpaceDE w:val="0"/>
        <w:autoSpaceDN w:val="0"/>
        <w:adjustRightInd w:val="0"/>
        <w:spacing w:after="0" w:line="312" w:lineRule="auto"/>
        <w:ind w:left="0" w:right="707"/>
        <w:rPr>
          <w:rFonts w:cs="Arial"/>
          <w:color w:val="000000"/>
          <w:szCs w:val="20"/>
        </w:rPr>
      </w:pPr>
      <w:r w:rsidRPr="00E00B35">
        <w:rPr>
          <w:rFonts w:cs="Arial"/>
          <w:bCs/>
          <w:color w:val="000000"/>
          <w:szCs w:val="20"/>
        </w:rPr>
        <w:t>W roku 2020 Biuro Z</w:t>
      </w:r>
      <w:r w:rsidRPr="00E00B35">
        <w:rPr>
          <w:rFonts w:cs="Arial"/>
          <w:bCs/>
          <w:color w:val="000000"/>
          <w:szCs w:val="20"/>
          <w:lang w:val="pl-PL"/>
        </w:rPr>
        <w:t xml:space="preserve">integrowanych </w:t>
      </w:r>
      <w:r w:rsidRPr="00E00B35">
        <w:rPr>
          <w:rFonts w:cs="Arial"/>
          <w:bCs/>
          <w:color w:val="000000"/>
          <w:szCs w:val="20"/>
        </w:rPr>
        <w:t>I</w:t>
      </w:r>
      <w:r w:rsidRPr="00E00B35">
        <w:rPr>
          <w:rFonts w:cs="Arial"/>
          <w:bCs/>
          <w:color w:val="000000"/>
          <w:szCs w:val="20"/>
          <w:lang w:val="pl-PL"/>
        </w:rPr>
        <w:t xml:space="preserve">nwestycji </w:t>
      </w:r>
      <w:r w:rsidRPr="00E00B35">
        <w:rPr>
          <w:rFonts w:cs="Arial"/>
          <w:bCs/>
          <w:color w:val="000000"/>
          <w:szCs w:val="20"/>
        </w:rPr>
        <w:t>T</w:t>
      </w:r>
      <w:r w:rsidRPr="00E00B35">
        <w:rPr>
          <w:rFonts w:cs="Arial"/>
          <w:bCs/>
          <w:color w:val="000000"/>
          <w:szCs w:val="20"/>
          <w:lang w:val="pl-PL"/>
        </w:rPr>
        <w:t>erytorialnych</w:t>
      </w:r>
      <w:r w:rsidRPr="00E00B35">
        <w:rPr>
          <w:rFonts w:cs="Arial"/>
          <w:bCs/>
          <w:color w:val="000000"/>
          <w:szCs w:val="20"/>
        </w:rPr>
        <w:t xml:space="preserve"> Wr</w:t>
      </w:r>
      <w:r w:rsidRPr="00E00B35">
        <w:rPr>
          <w:rFonts w:cs="Arial"/>
          <w:bCs/>
          <w:color w:val="000000"/>
          <w:szCs w:val="20"/>
          <w:lang w:val="pl-PL"/>
        </w:rPr>
        <w:t xml:space="preserve">ocławskiego </w:t>
      </w:r>
      <w:r w:rsidRPr="00E00B35">
        <w:rPr>
          <w:rFonts w:cs="Arial"/>
          <w:bCs/>
          <w:color w:val="000000"/>
          <w:szCs w:val="20"/>
        </w:rPr>
        <w:t>O</w:t>
      </w:r>
      <w:r w:rsidRPr="00E00B35">
        <w:rPr>
          <w:rFonts w:cs="Arial"/>
          <w:bCs/>
          <w:color w:val="000000"/>
          <w:szCs w:val="20"/>
          <w:lang w:val="pl-PL"/>
        </w:rPr>
        <w:t xml:space="preserve">bszaru </w:t>
      </w:r>
      <w:r w:rsidRPr="00E00B35">
        <w:rPr>
          <w:rFonts w:cs="Arial"/>
          <w:bCs/>
          <w:color w:val="000000"/>
          <w:szCs w:val="20"/>
        </w:rPr>
        <w:t>F</w:t>
      </w:r>
      <w:r w:rsidRPr="00E00B35">
        <w:rPr>
          <w:rFonts w:cs="Arial"/>
          <w:bCs/>
          <w:color w:val="000000"/>
          <w:szCs w:val="20"/>
          <w:lang w:val="pl-PL"/>
        </w:rPr>
        <w:t>unkcjonalnego ogłosiło przetarg na</w:t>
      </w:r>
      <w:r w:rsidRPr="00E00B35">
        <w:rPr>
          <w:rFonts w:cs="Arial"/>
          <w:bCs/>
          <w:color w:val="000000"/>
          <w:szCs w:val="20"/>
        </w:rPr>
        <w:t xml:space="preserve"> opracowanie </w:t>
      </w:r>
      <w:r w:rsidRPr="00E00B35">
        <w:rPr>
          <w:rFonts w:cs="Arial"/>
          <w:bCs/>
          <w:color w:val="000000"/>
          <w:szCs w:val="20"/>
          <w:lang w:val="pl-PL"/>
        </w:rPr>
        <w:t xml:space="preserve">dokumentu pn. </w:t>
      </w:r>
      <w:r w:rsidRPr="00E00B35">
        <w:rPr>
          <w:rFonts w:cs="Arial"/>
          <w:szCs w:val="20"/>
        </w:rPr>
        <w:t>„</w:t>
      </w:r>
      <w:r w:rsidRPr="00E00B35">
        <w:rPr>
          <w:rFonts w:cs="Arial"/>
          <w:i/>
          <w:szCs w:val="20"/>
        </w:rPr>
        <w:t>Plan</w:t>
      </w:r>
      <w:r w:rsidRPr="00E00B35">
        <w:rPr>
          <w:rFonts w:cs="Arial"/>
          <w:i/>
          <w:szCs w:val="20"/>
          <w:lang w:val="pl-PL"/>
        </w:rPr>
        <w:t xml:space="preserve"> </w:t>
      </w:r>
      <w:r w:rsidRPr="00E00B35">
        <w:rPr>
          <w:rFonts w:cs="Arial"/>
          <w:i/>
          <w:szCs w:val="20"/>
        </w:rPr>
        <w:lastRenderedPageBreak/>
        <w:t xml:space="preserve">Zrównoważonej Mobilności dla Miejskiego Obszaru Funkcjonalnego Wrocławia”, wraz z wykonaniem strategicznej oceny oddziaływania na środowisko oraz promocją </w:t>
      </w:r>
      <w:r w:rsidRPr="00E00B35">
        <w:rPr>
          <w:rFonts w:cs="Arial"/>
          <w:szCs w:val="20"/>
        </w:rPr>
        <w:t>Plan</w:t>
      </w:r>
      <w:r w:rsidRPr="00E00B35">
        <w:rPr>
          <w:rFonts w:cs="Arial"/>
          <w:szCs w:val="20"/>
          <w:lang w:val="pl-PL"/>
        </w:rPr>
        <w:t xml:space="preserve">u </w:t>
      </w:r>
      <w:r w:rsidRPr="00E00B35">
        <w:rPr>
          <w:rFonts w:cs="Arial"/>
          <w:szCs w:val="20"/>
        </w:rPr>
        <w:t>Zrównoważonej Mobilności dla Miejskiego Obszaru Funkcjonalnego Wrocławia</w:t>
      </w:r>
      <w:r w:rsidRPr="00E00B35">
        <w:rPr>
          <w:rFonts w:cs="Arial"/>
          <w:color w:val="000000"/>
          <w:szCs w:val="20"/>
        </w:rPr>
        <w:t xml:space="preserve"> (</w:t>
      </w:r>
      <w:r w:rsidRPr="00E00B35">
        <w:rPr>
          <w:rFonts w:cs="Arial"/>
          <w:color w:val="000000"/>
          <w:szCs w:val="20"/>
          <w:lang w:val="pl-PL"/>
        </w:rPr>
        <w:t xml:space="preserve">z </w:t>
      </w:r>
      <w:r w:rsidRPr="00E00B35">
        <w:rPr>
          <w:rFonts w:cs="Arial"/>
          <w:color w:val="000000"/>
          <w:szCs w:val="20"/>
        </w:rPr>
        <w:t>ang</w:t>
      </w:r>
      <w:r w:rsidRPr="00E00B35">
        <w:rPr>
          <w:rFonts w:cs="Arial"/>
          <w:color w:val="000000"/>
          <w:szCs w:val="20"/>
          <w:lang w:val="pl-PL"/>
        </w:rPr>
        <w:t>ielskiego:</w:t>
      </w:r>
      <w:r w:rsidRPr="00E00B35">
        <w:rPr>
          <w:rFonts w:cs="Arial"/>
          <w:color w:val="000000"/>
          <w:szCs w:val="20"/>
        </w:rPr>
        <w:t xml:space="preserve"> Sustainable Urban Mobility Plan – </w:t>
      </w:r>
      <w:r w:rsidRPr="00E00B35">
        <w:rPr>
          <w:rFonts w:cs="Arial"/>
          <w:color w:val="000000"/>
          <w:szCs w:val="20"/>
          <w:lang w:val="pl-PL"/>
        </w:rPr>
        <w:t xml:space="preserve">tzw. </w:t>
      </w:r>
      <w:r w:rsidRPr="00E00B35">
        <w:rPr>
          <w:rFonts w:cs="Arial"/>
          <w:color w:val="000000"/>
          <w:szCs w:val="20"/>
        </w:rPr>
        <w:t>SUMP).</w:t>
      </w:r>
    </w:p>
    <w:p w:rsidR="002C1BA7" w:rsidRPr="00E00B35" w:rsidRDefault="002C1BA7" w:rsidP="00E00B35">
      <w:pPr>
        <w:autoSpaceDE w:val="0"/>
        <w:autoSpaceDN w:val="0"/>
        <w:adjustRightInd w:val="0"/>
        <w:spacing w:after="0" w:line="312" w:lineRule="auto"/>
        <w:ind w:right="707"/>
        <w:rPr>
          <w:rFonts w:cs="Arial"/>
          <w:szCs w:val="20"/>
        </w:rPr>
      </w:pPr>
      <w:r w:rsidRPr="00E00B35">
        <w:rPr>
          <w:rFonts w:cs="Arial"/>
          <w:bCs/>
          <w:color w:val="000000"/>
          <w:szCs w:val="20"/>
        </w:rPr>
        <w:t>SUMP</w:t>
      </w:r>
      <w:r w:rsidRPr="00E00B35">
        <w:rPr>
          <w:rFonts w:cs="Arial"/>
          <w:color w:val="000000"/>
          <w:szCs w:val="20"/>
        </w:rPr>
        <w:t xml:space="preserve"> zostanie opracowany dla trzydziesty ośmiu </w:t>
      </w:r>
      <w:r w:rsidRPr="00E00B35">
        <w:rPr>
          <w:rFonts w:cs="Arial"/>
          <w:bCs/>
          <w:color w:val="000000"/>
          <w:szCs w:val="20"/>
        </w:rPr>
        <w:t>gmin, w tym trzydzieści siedem gmin</w:t>
      </w:r>
      <w:r w:rsidRPr="00E00B35">
        <w:rPr>
          <w:rFonts w:cs="Arial"/>
          <w:color w:val="000000"/>
          <w:szCs w:val="20"/>
        </w:rPr>
        <w:t xml:space="preserve"> z obszaru województwa dolnośląskiego: Gminy Wrocław, Miasta i Gminy Bierutów, Gminy Brzeg Dolny, Gminy Jelcz-Laskowice, Gminy Kąty Wrocławskie, Gminy </w:t>
      </w:r>
      <w:r w:rsidRPr="00E00B35">
        <w:rPr>
          <w:rFonts w:cs="Arial"/>
          <w:szCs w:val="20"/>
        </w:rPr>
        <w:t>Międzybórz, Gminy Oborniki Śląskie, Gminy Prusice, Gminy Siechnice, Gminy Sobótka, Gminy</w:t>
      </w:r>
      <w:r w:rsidRPr="00E00B35">
        <w:rPr>
          <w:rFonts w:cs="Arial"/>
          <w:color w:val="000000"/>
          <w:szCs w:val="20"/>
        </w:rPr>
        <w:t xml:space="preserve"> Strzelin, Gminy Syców, Gminy Środa Śląska, Gminy Trzebnica, Gminy Wołów, Gminy Żmigród, Gminy Miasto Oleśnica, Gminy Miasto Oława, Gminy Borów, Gminy Czernica, Gminy Długołęka, Gminy Dobroszyce, Gminy Domaniów, Gminy Dziadowa Kłoda, Gminy Jordanów Śląski, Gminy Kobierzyce, Gminy Kostomłoty, Gminy Krośnice, Gminy Malczyce, Gminy Mietków, Gminy Miękinia, Gminy Oleśnica, Gminy Oława, Gminy Przeworno, Gminy Wisznia Mała, Gminy Zawonia, Gminy Żórawina oraz Gminy Brzeg z województwa opolskiego. Termin zakończenia opracowania dokumentu SUMP </w:t>
      </w:r>
      <w:r w:rsidRPr="00E00B35">
        <w:rPr>
          <w:rFonts w:cs="Arial"/>
          <w:szCs w:val="20"/>
        </w:rPr>
        <w:t>przewidziany jest na koniec 2021 roku.</w:t>
      </w:r>
    </w:p>
    <w:p w:rsidR="002C1BA7" w:rsidRPr="00E00B35" w:rsidRDefault="002C1BA7" w:rsidP="00E00B35">
      <w:pPr>
        <w:autoSpaceDE w:val="0"/>
        <w:autoSpaceDN w:val="0"/>
        <w:adjustRightInd w:val="0"/>
        <w:spacing w:after="0" w:line="312" w:lineRule="auto"/>
        <w:ind w:right="707"/>
        <w:rPr>
          <w:rFonts w:cs="Arial"/>
          <w:iCs/>
          <w:szCs w:val="20"/>
        </w:rPr>
      </w:pPr>
      <w:r w:rsidRPr="00E00B35">
        <w:rPr>
          <w:rFonts w:cs="Arial"/>
          <w:szCs w:val="20"/>
        </w:rPr>
        <w:t xml:space="preserve">Ponadto trwa opracowanie </w:t>
      </w:r>
      <w:r w:rsidRPr="00E00B35">
        <w:rPr>
          <w:rFonts w:cs="Arial"/>
          <w:color w:val="000000"/>
          <w:szCs w:val="20"/>
        </w:rPr>
        <w:t xml:space="preserve">dokumentu pn. </w:t>
      </w:r>
      <w:r w:rsidRPr="00E00B35">
        <w:rPr>
          <w:rFonts w:cs="Arial"/>
          <w:i/>
          <w:color w:val="000000"/>
          <w:szCs w:val="20"/>
        </w:rPr>
        <w:t xml:space="preserve">„Analiza funkcjonalno-finansowa opracowania i wdrożenia koncepcji wspólnego systemu biletowego we Wrocławskim Obszarze Funkcjonalnym”. </w:t>
      </w:r>
      <w:r w:rsidRPr="00E00B35">
        <w:rPr>
          <w:rFonts w:cs="Arial"/>
          <w:szCs w:val="20"/>
        </w:rPr>
        <w:t>W ramach realizacji zadania został stworzony dokument, w którym przeprowadzono analizę funkcjonalno-finansową systemów biletowych w obszarze publicznego transportu zbiorowego na terenie Wrocławskiego Obszaru Funkcjonalnego wraz ze wskazaniem możliwych wariantów wdrażania i funkcjonowania wspólnego systemu z uwzględnieniem wykorzystania jednego nośnika biletu. Dokument ten zawiera wstępną koncepcję wdrożenia i funkcjonowania systemu planowania podróży z funkcjonalnością sprzedaży biletów na terenie Wrocławskiego Obszaru Funkcjonalnego. Celem wskazanych działań jest poprawa atrakcyjności oferty publicznego transportu</w:t>
      </w:r>
      <w:r w:rsidRPr="00E00B35">
        <w:rPr>
          <w:rFonts w:cs="Arial"/>
          <w:color w:val="0066FF"/>
          <w:szCs w:val="20"/>
        </w:rPr>
        <w:t xml:space="preserve"> </w:t>
      </w:r>
      <w:r w:rsidRPr="00E00B35">
        <w:rPr>
          <w:rFonts w:cs="Arial"/>
          <w:szCs w:val="20"/>
        </w:rPr>
        <w:t>zbiorowego, która wpłynie na zwiększenie jego udziału w podróżach.</w:t>
      </w:r>
    </w:p>
    <w:p w:rsidR="002C1BA7" w:rsidRPr="00E00B35" w:rsidRDefault="002C1BA7" w:rsidP="00E00B35">
      <w:pPr>
        <w:pStyle w:val="Akapitzlist"/>
        <w:spacing w:after="0" w:line="312" w:lineRule="auto"/>
        <w:ind w:left="0" w:right="707"/>
        <w:contextualSpacing w:val="0"/>
        <w:rPr>
          <w:rFonts w:cs="Arial"/>
          <w:szCs w:val="20"/>
          <w:lang w:val="pl-PL"/>
        </w:rPr>
      </w:pPr>
      <w:r w:rsidRPr="00E00B35">
        <w:rPr>
          <w:rFonts w:cs="Arial"/>
          <w:szCs w:val="20"/>
        </w:rPr>
        <w:t xml:space="preserve">Dodatkowo, w </w:t>
      </w:r>
      <w:r w:rsidRPr="00E00B35">
        <w:rPr>
          <w:rFonts w:cs="Arial"/>
          <w:szCs w:val="20"/>
          <w:lang w:val="pl-PL"/>
        </w:rPr>
        <w:t>pierwszym</w:t>
      </w:r>
      <w:r w:rsidRPr="00E00B35">
        <w:rPr>
          <w:rFonts w:cs="Arial"/>
          <w:szCs w:val="20"/>
        </w:rPr>
        <w:t xml:space="preserve"> kwartale 2020 roku trwały prace grup roboczych powołanych przy Biurze Z</w:t>
      </w:r>
      <w:r w:rsidRPr="00E00B35">
        <w:rPr>
          <w:rFonts w:cs="Arial"/>
          <w:szCs w:val="20"/>
          <w:lang w:val="pl-PL"/>
        </w:rPr>
        <w:t xml:space="preserve">integrowanych </w:t>
      </w:r>
      <w:r w:rsidRPr="00E00B35">
        <w:rPr>
          <w:rFonts w:cs="Arial"/>
          <w:szCs w:val="20"/>
        </w:rPr>
        <w:t>I</w:t>
      </w:r>
      <w:r w:rsidRPr="00E00B35">
        <w:rPr>
          <w:rFonts w:cs="Arial"/>
          <w:szCs w:val="20"/>
          <w:lang w:val="pl-PL"/>
        </w:rPr>
        <w:t xml:space="preserve">nwestycji </w:t>
      </w:r>
      <w:r w:rsidRPr="00E00B35">
        <w:rPr>
          <w:rFonts w:cs="Arial"/>
          <w:szCs w:val="20"/>
        </w:rPr>
        <w:t>T</w:t>
      </w:r>
      <w:r w:rsidRPr="00E00B35">
        <w:rPr>
          <w:rFonts w:cs="Arial"/>
          <w:szCs w:val="20"/>
          <w:lang w:val="pl-PL"/>
        </w:rPr>
        <w:t xml:space="preserve">erytorialnych </w:t>
      </w:r>
      <w:r w:rsidRPr="00E00B35">
        <w:rPr>
          <w:rFonts w:cs="Arial"/>
          <w:szCs w:val="20"/>
        </w:rPr>
        <w:t>Wr</w:t>
      </w:r>
      <w:r w:rsidRPr="00E00B35">
        <w:rPr>
          <w:rFonts w:cs="Arial"/>
          <w:szCs w:val="20"/>
          <w:lang w:val="pl-PL"/>
        </w:rPr>
        <w:t xml:space="preserve">ocławskiego </w:t>
      </w:r>
      <w:r w:rsidRPr="00E00B35">
        <w:rPr>
          <w:rFonts w:cs="Arial"/>
          <w:szCs w:val="20"/>
        </w:rPr>
        <w:t>O</w:t>
      </w:r>
      <w:r w:rsidRPr="00E00B35">
        <w:rPr>
          <w:rFonts w:cs="Arial"/>
          <w:szCs w:val="20"/>
          <w:lang w:val="pl-PL"/>
        </w:rPr>
        <w:t xml:space="preserve">bszaru </w:t>
      </w:r>
      <w:r w:rsidRPr="00E00B35">
        <w:rPr>
          <w:rFonts w:cs="Arial"/>
          <w:szCs w:val="20"/>
        </w:rPr>
        <w:t>F</w:t>
      </w:r>
      <w:r w:rsidRPr="00E00B35">
        <w:rPr>
          <w:rFonts w:cs="Arial"/>
          <w:szCs w:val="20"/>
          <w:lang w:val="pl-PL"/>
        </w:rPr>
        <w:t>unkcjonalnego</w:t>
      </w:r>
      <w:r w:rsidRPr="00E00B35">
        <w:rPr>
          <w:rFonts w:cs="Arial"/>
          <w:szCs w:val="20"/>
        </w:rPr>
        <w:t xml:space="preserve"> w celu opracowania przedsięwzięć i koncepcji strategicznych z myślą o kolejnej perspektywie budżetowej UE na lata 2021-2027. Ich realizacja jest uzależniona m.in. od zapisów przyszłych dokumentów programowych. Efektem tych prac było m.in. przyjęcie założeń następujących przedsięwzięć wpisujących się w obszar strategiczny Mobilność wrocławian: Program poprawy mobilności na terenie Wrocławskiego Obszaru Funkcjonalnego poprzez wprowadzenie wspólnego biletu oraz budowę systemu węzłów przesiadkowych, Rozwój rowerowych korytarzy transportowych w Aglomeracji Wrocławskiej oraz Program rozwoju kolei aglomeracyjnej wokół Wrocławia.</w:t>
      </w:r>
    </w:p>
    <w:p w:rsidR="002C1BA7" w:rsidRPr="00E00B35" w:rsidRDefault="002C1BA7" w:rsidP="00E00B35">
      <w:pPr>
        <w:pStyle w:val="Akapitzlist"/>
        <w:spacing w:after="0" w:line="312" w:lineRule="auto"/>
        <w:ind w:left="0" w:right="707"/>
        <w:contextualSpacing w:val="0"/>
        <w:rPr>
          <w:rFonts w:cs="Arial"/>
          <w:szCs w:val="20"/>
          <w:lang w:val="pl-PL"/>
        </w:rPr>
      </w:pPr>
      <w:r w:rsidRPr="00E00B35">
        <w:rPr>
          <w:rFonts w:cs="Arial"/>
          <w:szCs w:val="20"/>
          <w:lang w:val="pl-PL"/>
        </w:rPr>
        <w:t xml:space="preserve">Kontynuacją tego działania było ogłoszenie przetargu na wyłonienie wykonawcy </w:t>
      </w:r>
      <w:r w:rsidRPr="00E00B35">
        <w:rPr>
          <w:rFonts w:cs="Arial"/>
          <w:szCs w:val="20"/>
        </w:rPr>
        <w:t>opracowani</w:t>
      </w:r>
      <w:r w:rsidRPr="00E00B35">
        <w:rPr>
          <w:rFonts w:cs="Arial"/>
          <w:szCs w:val="20"/>
          <w:lang w:val="pl-PL"/>
        </w:rPr>
        <w:t>a</w:t>
      </w:r>
      <w:r w:rsidRPr="00E00B35">
        <w:rPr>
          <w:rFonts w:cs="Arial"/>
          <w:szCs w:val="20"/>
        </w:rPr>
        <w:t xml:space="preserve"> dokumentu pn. „Plan Zrównoważonej Mobilności dla Miejskiego Obszaru Funkcjonalnego Wrocławia”, wraz z wykonaniem strategicznej oceny oddziaływania na środowisko oraz promocją Plan</w:t>
      </w:r>
      <w:r w:rsidRPr="00E00B35">
        <w:rPr>
          <w:rFonts w:cs="Arial"/>
          <w:szCs w:val="20"/>
          <w:lang w:val="pl-PL"/>
        </w:rPr>
        <w:t>u</w:t>
      </w:r>
      <w:r w:rsidRPr="00E00B35">
        <w:rPr>
          <w:rFonts w:cs="Arial"/>
          <w:szCs w:val="20"/>
        </w:rPr>
        <w:t xml:space="preserve"> Zrównoważonej Mobilności dla </w:t>
      </w:r>
      <w:r w:rsidRPr="00E00B35">
        <w:rPr>
          <w:rFonts w:cs="Arial"/>
          <w:szCs w:val="20"/>
        </w:rPr>
        <w:lastRenderedPageBreak/>
        <w:t>Miejskiego Obszaru Funkcjonalnego Wrocławia.</w:t>
      </w:r>
      <w:r w:rsidRPr="00E00B35">
        <w:rPr>
          <w:rFonts w:cs="Arial"/>
          <w:szCs w:val="20"/>
          <w:lang w:val="pl-PL"/>
        </w:rPr>
        <w:t xml:space="preserve"> C</w:t>
      </w:r>
      <w:r w:rsidRPr="00E00B35">
        <w:rPr>
          <w:rFonts w:cs="Arial"/>
          <w:szCs w:val="20"/>
        </w:rPr>
        <w:t xml:space="preserve">elem </w:t>
      </w:r>
      <w:r w:rsidRPr="00E00B35">
        <w:rPr>
          <w:rFonts w:cs="Arial"/>
          <w:szCs w:val="20"/>
          <w:lang w:val="pl-PL"/>
        </w:rPr>
        <w:t xml:space="preserve">opracowania jest </w:t>
      </w:r>
      <w:r w:rsidRPr="00E00B35">
        <w:rPr>
          <w:rFonts w:cs="Arial"/>
          <w:szCs w:val="20"/>
        </w:rPr>
        <w:t xml:space="preserve">wskazanie działań mających przyczynić się do </w:t>
      </w:r>
      <w:r w:rsidRPr="00E00B35">
        <w:rPr>
          <w:rFonts w:cs="Arial"/>
          <w:szCs w:val="20"/>
          <w:lang w:val="pl-PL"/>
        </w:rPr>
        <w:t>zmniejszenia zapotrzebowania na transport indywidualny, zwiększenia udziału przyjaznych środowisku środków transportu.</w:t>
      </w:r>
    </w:p>
    <w:p w:rsidR="002C1BA7" w:rsidRPr="00E00B35" w:rsidRDefault="002C1BA7" w:rsidP="00E00B35">
      <w:pPr>
        <w:pStyle w:val="Akapitzlist"/>
        <w:spacing w:after="0" w:line="312" w:lineRule="auto"/>
        <w:ind w:left="0" w:right="707"/>
        <w:contextualSpacing w:val="0"/>
        <w:rPr>
          <w:rFonts w:cs="Arial"/>
          <w:szCs w:val="20"/>
          <w:lang w:val="pl-PL"/>
        </w:rPr>
      </w:pPr>
      <w:r w:rsidRPr="00E00B35">
        <w:rPr>
          <w:rFonts w:cs="Arial"/>
          <w:szCs w:val="20"/>
        </w:rPr>
        <w:t>Wyżej wymienione działania wpisują się także w Strategię Wrocławia 2030 w kontekście realizacji Priorytetu: Mobilność. Ponadto realizują Program Prezydenta Jacka Sutryka</w:t>
      </w:r>
      <w:r w:rsidRPr="00E00B35">
        <w:rPr>
          <w:rFonts w:cs="Arial"/>
          <w:szCs w:val="20"/>
          <w:lang w:val="pl-PL"/>
        </w:rPr>
        <w:t xml:space="preserve"> </w:t>
      </w:r>
      <w:r w:rsidRPr="00E00B35">
        <w:rPr>
          <w:rFonts w:cs="Arial"/>
          <w:szCs w:val="20"/>
        </w:rPr>
        <w:t>w aspekcie Transportu i infrastruktury.</w:t>
      </w:r>
    </w:p>
    <w:p w:rsidR="002C1BA7" w:rsidRPr="00E00B35" w:rsidRDefault="002C1BA7" w:rsidP="00E00B35">
      <w:pPr>
        <w:pStyle w:val="Akapitzlist"/>
        <w:spacing w:after="0" w:line="312" w:lineRule="auto"/>
        <w:ind w:left="0" w:right="707"/>
        <w:contextualSpacing w:val="0"/>
        <w:rPr>
          <w:rFonts w:cs="Arial"/>
          <w:szCs w:val="20"/>
          <w:lang w:val="pl-PL"/>
        </w:rPr>
      </w:pPr>
    </w:p>
    <w:p w:rsidR="002C1BA7" w:rsidRPr="00E00B35" w:rsidRDefault="002C1BA7" w:rsidP="00BC64AB">
      <w:pPr>
        <w:pStyle w:val="Akapitzlist"/>
        <w:numPr>
          <w:ilvl w:val="0"/>
          <w:numId w:val="286"/>
        </w:numPr>
        <w:spacing w:after="0" w:line="312" w:lineRule="auto"/>
        <w:ind w:left="426" w:right="707" w:hanging="426"/>
        <w:rPr>
          <w:rFonts w:cs="Arial"/>
          <w:szCs w:val="20"/>
        </w:rPr>
      </w:pPr>
      <w:r w:rsidRPr="00E00B35">
        <w:rPr>
          <w:rFonts w:cs="Arial"/>
          <w:szCs w:val="20"/>
          <w:lang w:val="pl-PL"/>
        </w:rPr>
        <w:t>W ramach trzeciego</w:t>
      </w:r>
      <w:r w:rsidRPr="00E00B35">
        <w:rPr>
          <w:rFonts w:cs="Arial"/>
          <w:szCs w:val="20"/>
        </w:rPr>
        <w:t xml:space="preserve"> obszar</w:t>
      </w:r>
      <w:r w:rsidRPr="00E00B35">
        <w:rPr>
          <w:rFonts w:cs="Arial"/>
          <w:szCs w:val="20"/>
          <w:lang w:val="pl-PL"/>
        </w:rPr>
        <w:t>u</w:t>
      </w:r>
      <w:r w:rsidRPr="00E00B35">
        <w:rPr>
          <w:rFonts w:cs="Arial"/>
          <w:szCs w:val="20"/>
        </w:rPr>
        <w:t xml:space="preserve"> strategiczn</w:t>
      </w:r>
      <w:r w:rsidRPr="00E00B35">
        <w:rPr>
          <w:rFonts w:cs="Arial"/>
          <w:szCs w:val="20"/>
          <w:lang w:val="pl-PL"/>
        </w:rPr>
        <w:t>ego</w:t>
      </w:r>
      <w:r w:rsidRPr="00E00B35">
        <w:rPr>
          <w:rFonts w:cs="Arial"/>
          <w:szCs w:val="20"/>
        </w:rPr>
        <w:t xml:space="preserve"> </w:t>
      </w:r>
      <w:r w:rsidRPr="00E00B35">
        <w:rPr>
          <w:rFonts w:cs="Arial"/>
          <w:szCs w:val="20"/>
          <w:lang w:val="pl-PL"/>
        </w:rPr>
        <w:t>„</w:t>
      </w:r>
      <w:r w:rsidRPr="00E00B35">
        <w:rPr>
          <w:rFonts w:cs="Arial"/>
          <w:szCs w:val="20"/>
        </w:rPr>
        <w:t>Rozwój partycypacji, budowa kapitału społecznego i poprawa jakości życia</w:t>
      </w:r>
      <w:r w:rsidRPr="00E00B35">
        <w:rPr>
          <w:rFonts w:cs="Arial"/>
          <w:szCs w:val="20"/>
          <w:lang w:val="pl-PL"/>
        </w:rPr>
        <w:t>”</w:t>
      </w:r>
    </w:p>
    <w:p w:rsidR="002C1BA7" w:rsidRPr="00E00B35" w:rsidRDefault="002C1BA7" w:rsidP="00E00B35">
      <w:pPr>
        <w:spacing w:after="0" w:line="312" w:lineRule="auto"/>
        <w:ind w:right="707"/>
        <w:rPr>
          <w:rFonts w:cs="Arial"/>
          <w:szCs w:val="20"/>
          <w:lang w:eastAsia="pl-PL"/>
        </w:rPr>
      </w:pPr>
      <w:r w:rsidRPr="00E00B35">
        <w:rPr>
          <w:rFonts w:cs="Arial"/>
          <w:szCs w:val="20"/>
        </w:rPr>
        <w:t xml:space="preserve">W pierwszym kwartale 2020 roku trwały prace grup roboczych powołanych przy Biurze Zintegrowanych Inwestycji Terytorialnych Wrocławskiego Obszaru Funkcjonalnego w celu opracowania przedsięwzięć i koncepcji strategicznych z myślą o kolejnej perspektywie budżetowej Unii Europejskiej na lata 2021-2027. Ich realizacja jest uzależniona m.in. od zapisów przyszłych dokumentów programowych. Efektem tych prac było m.in. przyjęcie założeń jednego przedsięwzięcia wpisującego się w obszar strategiczny Rozwój partycypacji, budowa kapitału społecznego i poprawa jakości życia: </w:t>
      </w:r>
      <w:r w:rsidRPr="00E00B35">
        <w:rPr>
          <w:rFonts w:cs="Arial"/>
          <w:szCs w:val="20"/>
          <w:lang w:eastAsia="pl-PL"/>
        </w:rPr>
        <w:t>Rozwój usług opieki wytchnieniowej i usług asystenckich na terenie Wrocławskiego Obszaru Funkcjonalnego.</w:t>
      </w:r>
    </w:p>
    <w:p w:rsidR="002C1BA7" w:rsidRPr="00E00B35" w:rsidRDefault="002C1BA7" w:rsidP="00E00B35">
      <w:pPr>
        <w:pStyle w:val="Akapitzlist"/>
        <w:spacing w:after="0" w:line="312" w:lineRule="auto"/>
        <w:ind w:left="0" w:right="707"/>
        <w:rPr>
          <w:rFonts w:cs="Arial"/>
          <w:szCs w:val="20"/>
        </w:rPr>
      </w:pPr>
      <w:r w:rsidRPr="00E00B35">
        <w:rPr>
          <w:rFonts w:cs="Arial"/>
          <w:szCs w:val="20"/>
        </w:rPr>
        <w:t xml:space="preserve">Wyżej wymienione działania wpisują się także w Strategię Wrocławia 2030 w kontekście realizacji Priorytetu: </w:t>
      </w:r>
      <w:r w:rsidRPr="00E00B35">
        <w:rPr>
          <w:rFonts w:cs="Arial"/>
          <w:szCs w:val="20"/>
          <w:lang w:val="pl-PL"/>
        </w:rPr>
        <w:t>„</w:t>
      </w:r>
      <w:r w:rsidRPr="00E00B35">
        <w:rPr>
          <w:rFonts w:cs="Arial"/>
          <w:szCs w:val="20"/>
        </w:rPr>
        <w:t>Jakość środowiska i przestrzeni miejskiej</w:t>
      </w:r>
      <w:r w:rsidRPr="00E00B35">
        <w:rPr>
          <w:rFonts w:cs="Arial"/>
          <w:szCs w:val="20"/>
          <w:lang w:val="pl-PL"/>
        </w:rPr>
        <w:t>”</w:t>
      </w:r>
      <w:r w:rsidRPr="00E00B35">
        <w:rPr>
          <w:rFonts w:cs="Arial"/>
          <w:szCs w:val="20"/>
        </w:rPr>
        <w:t xml:space="preserve">. Ponadto realizują Program Prezydenta Jacka Sutryka w aspekcie: </w:t>
      </w:r>
      <w:r w:rsidRPr="00E00B35">
        <w:rPr>
          <w:rFonts w:cs="Arial"/>
          <w:szCs w:val="20"/>
          <w:lang w:val="pl-PL"/>
        </w:rPr>
        <w:t>„</w:t>
      </w:r>
      <w:r w:rsidRPr="00E00B35">
        <w:rPr>
          <w:rFonts w:cs="Arial"/>
          <w:szCs w:val="20"/>
        </w:rPr>
        <w:t>Przestrzeń</w:t>
      </w:r>
      <w:r w:rsidRPr="00E00B35">
        <w:rPr>
          <w:rFonts w:cs="Arial"/>
          <w:szCs w:val="20"/>
          <w:lang w:val="pl-PL"/>
        </w:rPr>
        <w:t>”</w:t>
      </w:r>
      <w:r w:rsidRPr="00E00B35">
        <w:rPr>
          <w:rFonts w:cs="Arial"/>
          <w:szCs w:val="20"/>
        </w:rPr>
        <w:t>.</w:t>
      </w:r>
    </w:p>
    <w:p w:rsidR="002C1BA7" w:rsidRPr="00E00B35" w:rsidRDefault="002C1BA7" w:rsidP="00E00B35">
      <w:pPr>
        <w:pStyle w:val="Akapitzlist"/>
        <w:spacing w:after="0" w:line="312" w:lineRule="auto"/>
        <w:ind w:left="0" w:right="707"/>
        <w:rPr>
          <w:rFonts w:cs="Arial"/>
          <w:szCs w:val="20"/>
          <w:lang w:val="pl-PL"/>
        </w:rPr>
      </w:pPr>
    </w:p>
    <w:p w:rsidR="002C1BA7" w:rsidRPr="00E00B35" w:rsidRDefault="002C1BA7" w:rsidP="00BC64AB">
      <w:pPr>
        <w:pStyle w:val="Akapitzlist"/>
        <w:numPr>
          <w:ilvl w:val="0"/>
          <w:numId w:val="286"/>
        </w:numPr>
        <w:spacing w:after="0" w:line="312" w:lineRule="auto"/>
        <w:ind w:left="426" w:right="707" w:hanging="426"/>
        <w:rPr>
          <w:rFonts w:cs="Arial"/>
          <w:szCs w:val="20"/>
          <w:lang w:val="pl-PL"/>
        </w:rPr>
      </w:pPr>
      <w:r w:rsidRPr="00E00B35">
        <w:rPr>
          <w:rFonts w:cs="Arial"/>
          <w:szCs w:val="20"/>
        </w:rPr>
        <w:t xml:space="preserve">W ramach </w:t>
      </w:r>
      <w:r w:rsidRPr="00E00B35">
        <w:rPr>
          <w:rFonts w:cs="Arial"/>
          <w:szCs w:val="20"/>
          <w:lang w:val="pl-PL"/>
        </w:rPr>
        <w:t>czwartego</w:t>
      </w:r>
      <w:r w:rsidRPr="00E00B35">
        <w:rPr>
          <w:rFonts w:cs="Arial"/>
          <w:szCs w:val="20"/>
        </w:rPr>
        <w:t xml:space="preserve"> obszaru strategicznego </w:t>
      </w:r>
      <w:r w:rsidRPr="00E00B35">
        <w:rPr>
          <w:rFonts w:cs="Arial"/>
          <w:szCs w:val="20"/>
          <w:lang w:val="pl-PL"/>
        </w:rPr>
        <w:t>„</w:t>
      </w:r>
      <w:r w:rsidRPr="00E00B35">
        <w:rPr>
          <w:rFonts w:cs="Arial"/>
          <w:szCs w:val="20"/>
        </w:rPr>
        <w:t>Edukacja, innowacje, gospodarka, rozwój</w:t>
      </w:r>
      <w:r w:rsidRPr="00E00B35">
        <w:rPr>
          <w:rFonts w:cs="Arial"/>
          <w:szCs w:val="20"/>
          <w:lang w:val="pl-PL"/>
        </w:rPr>
        <w:t xml:space="preserve">” </w:t>
      </w:r>
    </w:p>
    <w:p w:rsidR="002C1BA7" w:rsidRPr="00E00B35" w:rsidRDefault="002C1BA7" w:rsidP="00E00B35">
      <w:pPr>
        <w:pStyle w:val="Akapitzlist"/>
        <w:spacing w:after="0" w:line="312" w:lineRule="auto"/>
        <w:ind w:left="0" w:right="707"/>
        <w:rPr>
          <w:rFonts w:cs="Arial"/>
          <w:szCs w:val="20"/>
          <w:lang w:val="pl-PL"/>
        </w:rPr>
      </w:pPr>
      <w:r w:rsidRPr="00E00B35">
        <w:rPr>
          <w:rFonts w:cs="Arial"/>
          <w:szCs w:val="20"/>
          <w:lang w:val="pl-PL"/>
        </w:rPr>
        <w:t>W 2020 roku ogłoszono</w:t>
      </w:r>
      <w:r w:rsidRPr="00E00B35">
        <w:rPr>
          <w:rFonts w:cs="Arial"/>
          <w:szCs w:val="20"/>
        </w:rPr>
        <w:t xml:space="preserve"> </w:t>
      </w:r>
      <w:r w:rsidRPr="00E00B35">
        <w:rPr>
          <w:rFonts w:cs="Arial"/>
          <w:szCs w:val="20"/>
          <w:lang w:val="pl-PL"/>
        </w:rPr>
        <w:t>jeden</w:t>
      </w:r>
      <w:r w:rsidRPr="00E00B35">
        <w:rPr>
          <w:rFonts w:cs="Arial"/>
          <w:szCs w:val="20"/>
        </w:rPr>
        <w:t xml:space="preserve"> konkurs </w:t>
      </w:r>
      <w:r w:rsidRPr="00E00B35">
        <w:rPr>
          <w:rFonts w:cs="Arial"/>
          <w:szCs w:val="20"/>
          <w:lang w:val="pl-PL"/>
        </w:rPr>
        <w:t xml:space="preserve">dotyczący </w:t>
      </w:r>
      <w:r w:rsidRPr="00E00B35">
        <w:rPr>
          <w:rFonts w:cs="Arial"/>
          <w:szCs w:val="20"/>
        </w:rPr>
        <w:t>E-usług publiczn</w:t>
      </w:r>
      <w:r w:rsidRPr="00E00B35">
        <w:rPr>
          <w:rFonts w:cs="Arial"/>
          <w:szCs w:val="20"/>
          <w:lang w:val="pl-PL"/>
        </w:rPr>
        <w:t xml:space="preserve">ych z </w:t>
      </w:r>
      <w:r w:rsidRPr="00E00B35">
        <w:rPr>
          <w:rFonts w:cs="Arial"/>
          <w:szCs w:val="20"/>
        </w:rPr>
        <w:t>alokacj</w:t>
      </w:r>
      <w:r w:rsidRPr="00E00B35">
        <w:rPr>
          <w:rFonts w:cs="Arial"/>
          <w:szCs w:val="20"/>
          <w:lang w:val="pl-PL"/>
        </w:rPr>
        <w:t xml:space="preserve">ą środków </w:t>
      </w:r>
      <w:r w:rsidRPr="00E00B35">
        <w:rPr>
          <w:rFonts w:cs="Arial"/>
          <w:szCs w:val="20"/>
        </w:rPr>
        <w:t xml:space="preserve">ponad 20,6 mln zł. </w:t>
      </w:r>
      <w:r w:rsidRPr="00E00B35">
        <w:rPr>
          <w:rFonts w:cs="Arial"/>
          <w:szCs w:val="20"/>
          <w:lang w:val="pl-PL"/>
        </w:rPr>
        <w:t>Rozstrzygnięcie naboru planuje się na rok 2021.</w:t>
      </w:r>
    </w:p>
    <w:p w:rsidR="002C1BA7" w:rsidRPr="00E00B35" w:rsidRDefault="002C1BA7" w:rsidP="00E00B35">
      <w:pPr>
        <w:pStyle w:val="Akapitzlist"/>
        <w:spacing w:after="0" w:line="312" w:lineRule="auto"/>
        <w:ind w:left="0" w:right="707"/>
        <w:contextualSpacing w:val="0"/>
        <w:rPr>
          <w:rFonts w:cs="Arial"/>
          <w:szCs w:val="20"/>
          <w:lang w:val="pl-PL"/>
        </w:rPr>
      </w:pPr>
      <w:r w:rsidRPr="00E00B35">
        <w:rPr>
          <w:rFonts w:cs="Arial"/>
          <w:szCs w:val="20"/>
        </w:rPr>
        <w:t xml:space="preserve">Dodatkowo, w </w:t>
      </w:r>
      <w:r w:rsidRPr="00E00B35">
        <w:rPr>
          <w:rFonts w:cs="Arial"/>
          <w:szCs w:val="20"/>
          <w:lang w:val="pl-PL"/>
        </w:rPr>
        <w:t>pierwszym</w:t>
      </w:r>
      <w:r w:rsidRPr="00E00B35">
        <w:rPr>
          <w:rFonts w:cs="Arial"/>
          <w:szCs w:val="20"/>
        </w:rPr>
        <w:t xml:space="preserve"> kwartale 2020 roku trwały prace grup roboczych powołanych przy Biurze Zintegrowanych Inwestycji Terytorialnych Wrocławskiego Obszaru Funkcjonalnego w celu opracowania przedsięwzięć i koncepcji strategicznych z myślą o kolejnej perspektywie budżetowej Unii Europejskiej na lata 2021-2027. Efektem tych prac było m.in. przyjęcie założeń przedsięwzięć wpisujących się w obszar strategiczny Edukacja, innowacje, gospodarka, rozwój:</w:t>
      </w:r>
    </w:p>
    <w:p w:rsidR="002C1BA7" w:rsidRPr="00E00B35" w:rsidRDefault="002C1BA7" w:rsidP="00BC64AB">
      <w:pPr>
        <w:pStyle w:val="Tekstpodstawowy"/>
        <w:numPr>
          <w:ilvl w:val="0"/>
          <w:numId w:val="239"/>
        </w:numPr>
        <w:suppressAutoHyphens/>
        <w:spacing w:after="0" w:line="312" w:lineRule="auto"/>
        <w:ind w:left="426" w:hanging="426"/>
        <w:rPr>
          <w:szCs w:val="20"/>
        </w:rPr>
      </w:pPr>
      <w:r w:rsidRPr="00E00B35">
        <w:rPr>
          <w:szCs w:val="20"/>
        </w:rPr>
        <w:t>Budowa i rozbudowa placówek oświatowych na terenie Wrocławskiego Obszaru Funkcjonalnego, Wrocławska Oferta Edukacyjna – program uzupełniania zajęć szkolnych o zajęcia praktyczne realizowane w placówkach partnerskich;</w:t>
      </w:r>
    </w:p>
    <w:p w:rsidR="002C1BA7" w:rsidRPr="00E00B35" w:rsidRDefault="002C1BA7" w:rsidP="00BC64AB">
      <w:pPr>
        <w:pStyle w:val="Tekstpodstawowy"/>
        <w:numPr>
          <w:ilvl w:val="0"/>
          <w:numId w:val="239"/>
        </w:numPr>
        <w:suppressAutoHyphens/>
        <w:spacing w:after="0" w:line="312" w:lineRule="auto"/>
        <w:ind w:left="426" w:hanging="426"/>
        <w:rPr>
          <w:szCs w:val="20"/>
        </w:rPr>
      </w:pPr>
      <w:r w:rsidRPr="00E00B35">
        <w:rPr>
          <w:szCs w:val="20"/>
        </w:rPr>
        <w:t>Kompleksowy program doposażenia placówek oświatowych z terenu Wrocławskiego Obszaru Funkcjonalnego;</w:t>
      </w:r>
    </w:p>
    <w:p w:rsidR="002C1BA7" w:rsidRPr="00E00B35" w:rsidRDefault="002C1BA7" w:rsidP="00BC64AB">
      <w:pPr>
        <w:pStyle w:val="Tekstpodstawowy"/>
        <w:numPr>
          <w:ilvl w:val="0"/>
          <w:numId w:val="239"/>
        </w:numPr>
        <w:suppressAutoHyphens/>
        <w:spacing w:after="0" w:line="312" w:lineRule="auto"/>
        <w:ind w:left="426" w:hanging="426"/>
        <w:rPr>
          <w:szCs w:val="20"/>
        </w:rPr>
      </w:pPr>
      <w:r w:rsidRPr="00E00B35">
        <w:rPr>
          <w:szCs w:val="20"/>
        </w:rPr>
        <w:t>Wyrównywanie szans edukacyjnych poprzez program zajęć dodatkowych dla uczniów z terenu Wrocławskiego Obszaru Funkcjonalnego.</w:t>
      </w:r>
    </w:p>
    <w:p w:rsidR="002C1BA7" w:rsidRPr="00E00B35" w:rsidRDefault="002C1BA7" w:rsidP="00E00B35">
      <w:pPr>
        <w:pStyle w:val="Akapitzlist"/>
        <w:spacing w:after="0" w:line="312" w:lineRule="auto"/>
        <w:ind w:left="0" w:right="709"/>
        <w:contextualSpacing w:val="0"/>
        <w:rPr>
          <w:rFonts w:cs="Arial"/>
          <w:szCs w:val="20"/>
          <w:lang w:val="pl-PL"/>
        </w:rPr>
      </w:pPr>
      <w:r w:rsidRPr="00E00B35">
        <w:rPr>
          <w:rFonts w:cs="Arial"/>
          <w:szCs w:val="20"/>
          <w:lang w:val="pl-PL"/>
        </w:rPr>
        <w:t>Ponadto w</w:t>
      </w:r>
      <w:r w:rsidRPr="00E00B35">
        <w:rPr>
          <w:rFonts w:cs="Arial"/>
          <w:szCs w:val="20"/>
        </w:rPr>
        <w:t xml:space="preserve"> wyniku przeprowadzonych naborów wniosków o dofinansowanie </w:t>
      </w:r>
      <w:r w:rsidRPr="00E00B35">
        <w:rPr>
          <w:rFonts w:cs="Arial"/>
          <w:szCs w:val="20"/>
          <w:lang w:val="pl-PL"/>
        </w:rPr>
        <w:t xml:space="preserve">projektów </w:t>
      </w:r>
      <w:r w:rsidRPr="00E00B35">
        <w:rPr>
          <w:rFonts w:cs="Arial"/>
          <w:szCs w:val="20"/>
          <w:lang w:val="pl-PL"/>
        </w:rPr>
        <w:br/>
        <w:t xml:space="preserve">w dziedzinie edukacja </w:t>
      </w:r>
      <w:r w:rsidRPr="00E00B35">
        <w:rPr>
          <w:rFonts w:cs="Arial"/>
          <w:szCs w:val="20"/>
        </w:rPr>
        <w:t>realiz</w:t>
      </w:r>
      <w:r w:rsidRPr="00E00B35">
        <w:rPr>
          <w:rFonts w:cs="Arial"/>
          <w:szCs w:val="20"/>
          <w:lang w:val="pl-PL"/>
        </w:rPr>
        <w:t xml:space="preserve">owanych </w:t>
      </w:r>
      <w:r w:rsidRPr="00E00B35">
        <w:rPr>
          <w:rFonts w:cs="Arial"/>
          <w:szCs w:val="20"/>
        </w:rPr>
        <w:t>na</w:t>
      </w:r>
      <w:r w:rsidRPr="00E00B35">
        <w:rPr>
          <w:rFonts w:cs="Arial"/>
          <w:szCs w:val="20"/>
          <w:lang w:val="pl-PL"/>
        </w:rPr>
        <w:t xml:space="preserve"> terenie </w:t>
      </w:r>
      <w:r w:rsidRPr="00E00B35">
        <w:rPr>
          <w:rFonts w:cs="Arial"/>
          <w:szCs w:val="20"/>
        </w:rPr>
        <w:t>Wrocławski</w:t>
      </w:r>
      <w:r w:rsidRPr="00E00B35">
        <w:rPr>
          <w:rFonts w:cs="Arial"/>
          <w:szCs w:val="20"/>
          <w:lang w:val="pl-PL"/>
        </w:rPr>
        <w:t>ego</w:t>
      </w:r>
      <w:r w:rsidRPr="00E00B35">
        <w:rPr>
          <w:rFonts w:cs="Arial"/>
          <w:szCs w:val="20"/>
        </w:rPr>
        <w:t xml:space="preserve"> Obszar</w:t>
      </w:r>
      <w:r w:rsidRPr="00E00B35">
        <w:rPr>
          <w:rFonts w:cs="Arial"/>
          <w:szCs w:val="20"/>
          <w:lang w:val="pl-PL"/>
        </w:rPr>
        <w:t>u</w:t>
      </w:r>
      <w:r w:rsidRPr="00E00B35">
        <w:rPr>
          <w:rFonts w:cs="Arial"/>
          <w:szCs w:val="20"/>
        </w:rPr>
        <w:t xml:space="preserve"> Funkcjonaln</w:t>
      </w:r>
      <w:r w:rsidRPr="00E00B35">
        <w:rPr>
          <w:rFonts w:cs="Arial"/>
          <w:szCs w:val="20"/>
          <w:lang w:val="pl-PL"/>
        </w:rPr>
        <w:t xml:space="preserve">ego w 2020 r. </w:t>
      </w:r>
      <w:r w:rsidRPr="00E00B35">
        <w:rPr>
          <w:rFonts w:cs="Arial"/>
          <w:szCs w:val="20"/>
        </w:rPr>
        <w:t>wybrano</w:t>
      </w:r>
      <w:r w:rsidRPr="00E00B35">
        <w:rPr>
          <w:rFonts w:cs="Arial"/>
          <w:szCs w:val="20"/>
          <w:lang w:val="pl-PL"/>
        </w:rPr>
        <w:t xml:space="preserve"> trzynaście</w:t>
      </w:r>
      <w:r w:rsidRPr="00E00B35">
        <w:rPr>
          <w:rFonts w:cs="Arial"/>
          <w:szCs w:val="20"/>
        </w:rPr>
        <w:t xml:space="preserve"> projektów w tym </w:t>
      </w:r>
      <w:r w:rsidRPr="00E00B35">
        <w:rPr>
          <w:rFonts w:cs="Arial"/>
          <w:szCs w:val="20"/>
          <w:lang w:val="pl-PL"/>
        </w:rPr>
        <w:t>dwa</w:t>
      </w:r>
      <w:r w:rsidRPr="00E00B35">
        <w:rPr>
          <w:rFonts w:cs="Arial"/>
          <w:szCs w:val="20"/>
        </w:rPr>
        <w:t xml:space="preserve"> projekt</w:t>
      </w:r>
      <w:r w:rsidRPr="00E00B35">
        <w:rPr>
          <w:rFonts w:cs="Arial"/>
          <w:szCs w:val="20"/>
          <w:lang w:val="pl-PL"/>
        </w:rPr>
        <w:t>y</w:t>
      </w:r>
      <w:r w:rsidRPr="00E00B35">
        <w:rPr>
          <w:rFonts w:cs="Arial"/>
          <w:szCs w:val="20"/>
        </w:rPr>
        <w:t xml:space="preserve"> </w:t>
      </w:r>
      <w:r w:rsidRPr="00E00B35">
        <w:rPr>
          <w:rFonts w:cs="Arial"/>
          <w:szCs w:val="20"/>
        </w:rPr>
        <w:lastRenderedPageBreak/>
        <w:t>realizowan</w:t>
      </w:r>
      <w:r w:rsidRPr="00E00B35">
        <w:rPr>
          <w:rFonts w:cs="Arial"/>
          <w:szCs w:val="20"/>
          <w:lang w:val="pl-PL"/>
        </w:rPr>
        <w:t>e</w:t>
      </w:r>
      <w:r w:rsidRPr="00E00B35">
        <w:rPr>
          <w:rFonts w:cs="Arial"/>
          <w:szCs w:val="20"/>
        </w:rPr>
        <w:t xml:space="preserve"> </w:t>
      </w:r>
      <w:r w:rsidRPr="00E00B35">
        <w:rPr>
          <w:rFonts w:cs="Arial"/>
          <w:szCs w:val="20"/>
          <w:lang w:val="pl-PL"/>
        </w:rPr>
        <w:t xml:space="preserve">tylko </w:t>
      </w:r>
      <w:r w:rsidRPr="00E00B35">
        <w:rPr>
          <w:rFonts w:cs="Arial"/>
          <w:szCs w:val="20"/>
        </w:rPr>
        <w:t>przez Gminę Wrocław.</w:t>
      </w:r>
      <w:r w:rsidRPr="00E00B35">
        <w:rPr>
          <w:rFonts w:cs="Arial"/>
          <w:szCs w:val="20"/>
          <w:lang w:val="pl-PL"/>
        </w:rPr>
        <w:t xml:space="preserve"> </w:t>
      </w:r>
      <w:r w:rsidRPr="00E00B35">
        <w:rPr>
          <w:rFonts w:cs="Arial"/>
          <w:szCs w:val="20"/>
        </w:rPr>
        <w:t>Projekty realizowane były ze środków Regionalnego Programu Operacyjnego dla Województwa Dolnośląskiego na lata 2014-2020.</w:t>
      </w:r>
    </w:p>
    <w:p w:rsidR="002C1BA7" w:rsidRPr="00E00B35" w:rsidRDefault="002C1BA7" w:rsidP="00BC64AB">
      <w:pPr>
        <w:pStyle w:val="Akapitzlist"/>
        <w:numPr>
          <w:ilvl w:val="0"/>
          <w:numId w:val="287"/>
        </w:numPr>
        <w:spacing w:after="0" w:line="312" w:lineRule="auto"/>
        <w:ind w:left="426" w:right="709" w:hanging="426"/>
        <w:rPr>
          <w:rFonts w:cs="Arial"/>
          <w:szCs w:val="20"/>
          <w:lang w:val="pl-PL"/>
        </w:rPr>
      </w:pPr>
      <w:r w:rsidRPr="00E00B35">
        <w:rPr>
          <w:rFonts w:cs="Arial"/>
          <w:szCs w:val="20"/>
          <w:lang w:val="pl-PL"/>
        </w:rPr>
        <w:t xml:space="preserve">na </w:t>
      </w:r>
      <w:r w:rsidRPr="00E00B35">
        <w:rPr>
          <w:rFonts w:cs="Arial"/>
          <w:szCs w:val="20"/>
        </w:rPr>
        <w:t>obszarze</w:t>
      </w:r>
      <w:r w:rsidRPr="00E00B35">
        <w:rPr>
          <w:rFonts w:cs="Arial"/>
          <w:szCs w:val="20"/>
          <w:lang w:val="pl-PL"/>
        </w:rPr>
        <w:t xml:space="preserve"> </w:t>
      </w:r>
      <w:r w:rsidRPr="00E00B35">
        <w:rPr>
          <w:rFonts w:cs="Arial"/>
          <w:szCs w:val="20"/>
        </w:rPr>
        <w:t xml:space="preserve">całego Wrocławskiego Obszaru Funkcjonalnego </w:t>
      </w:r>
      <w:r w:rsidRPr="00E00B35">
        <w:rPr>
          <w:rFonts w:cs="Arial"/>
          <w:szCs w:val="20"/>
          <w:lang w:val="pl-PL"/>
        </w:rPr>
        <w:t>w trakcie realizacji jest siedem</w:t>
      </w:r>
      <w:r w:rsidRPr="00E00B35">
        <w:rPr>
          <w:rFonts w:cs="Arial"/>
          <w:szCs w:val="20"/>
        </w:rPr>
        <w:t xml:space="preserve"> projektów dotycząc</w:t>
      </w:r>
      <w:r w:rsidRPr="00E00B35">
        <w:rPr>
          <w:rFonts w:cs="Arial"/>
          <w:szCs w:val="20"/>
          <w:lang w:val="pl-PL"/>
        </w:rPr>
        <w:t>ych</w:t>
      </w:r>
      <w:r w:rsidRPr="00E00B35">
        <w:rPr>
          <w:rFonts w:cs="Arial"/>
          <w:szCs w:val="20"/>
        </w:rPr>
        <w:t xml:space="preserve"> </w:t>
      </w:r>
      <w:r w:rsidRPr="00E00B35">
        <w:rPr>
          <w:rFonts w:cs="Arial"/>
          <w:szCs w:val="20"/>
          <w:lang w:val="pl-PL"/>
        </w:rPr>
        <w:t>z</w:t>
      </w:r>
      <w:r w:rsidRPr="00E00B35">
        <w:rPr>
          <w:rFonts w:cs="Arial"/>
          <w:szCs w:val="20"/>
        </w:rPr>
        <w:t>apewnieni</w:t>
      </w:r>
      <w:r w:rsidRPr="00E00B35">
        <w:rPr>
          <w:rFonts w:cs="Arial"/>
          <w:szCs w:val="20"/>
          <w:lang w:val="pl-PL"/>
        </w:rPr>
        <w:t>a</w:t>
      </w:r>
      <w:r w:rsidRPr="00E00B35">
        <w:rPr>
          <w:rFonts w:cs="Arial"/>
          <w:szCs w:val="20"/>
        </w:rPr>
        <w:t xml:space="preserve"> równego dostępu do wysokiej jakości edukacji przedszkolnej</w:t>
      </w:r>
      <w:r w:rsidRPr="00E00B35">
        <w:rPr>
          <w:rFonts w:cs="Arial"/>
          <w:b/>
          <w:szCs w:val="20"/>
          <w:lang w:val="pl-PL"/>
        </w:rPr>
        <w:t xml:space="preserve"> </w:t>
      </w:r>
      <w:r w:rsidRPr="00E00B35">
        <w:rPr>
          <w:rFonts w:cs="Arial"/>
          <w:szCs w:val="20"/>
          <w:lang w:val="pl-PL"/>
        </w:rPr>
        <w:t xml:space="preserve">poprzez utworzenie nowych miejsc pracy i doposażenie placówek – </w:t>
      </w:r>
      <w:r w:rsidRPr="00E00B35">
        <w:rPr>
          <w:rFonts w:cs="Arial"/>
          <w:szCs w:val="20"/>
        </w:rPr>
        <w:t xml:space="preserve">łączna wartość projektów to </w:t>
      </w:r>
      <w:r w:rsidRPr="00E00B35">
        <w:rPr>
          <w:rFonts w:cs="Arial"/>
          <w:szCs w:val="20"/>
          <w:lang w:val="pl-PL"/>
        </w:rPr>
        <w:t>blisko 10</w:t>
      </w:r>
      <w:r w:rsidRPr="00E00B35">
        <w:rPr>
          <w:rFonts w:cs="Arial"/>
          <w:szCs w:val="20"/>
        </w:rPr>
        <w:t xml:space="preserve"> mln zł, a wartość</w:t>
      </w:r>
      <w:r w:rsidRPr="00E00B35">
        <w:rPr>
          <w:rFonts w:cs="Arial"/>
          <w:b/>
          <w:szCs w:val="20"/>
        </w:rPr>
        <w:t xml:space="preserve"> </w:t>
      </w:r>
      <w:r w:rsidRPr="00E00B35">
        <w:rPr>
          <w:rFonts w:cs="Arial"/>
          <w:szCs w:val="20"/>
        </w:rPr>
        <w:t>dofinansowania 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to </w:t>
      </w:r>
      <w:r w:rsidRPr="00E00B35">
        <w:rPr>
          <w:rFonts w:cs="Arial"/>
          <w:szCs w:val="20"/>
          <w:lang w:val="pl-PL"/>
        </w:rPr>
        <w:t xml:space="preserve">blisko 9 </w:t>
      </w:r>
      <w:r w:rsidRPr="00E00B35">
        <w:rPr>
          <w:rFonts w:cs="Arial"/>
          <w:szCs w:val="20"/>
        </w:rPr>
        <w:t>mln zł.</w:t>
      </w:r>
      <w:r w:rsidRPr="00E00B35">
        <w:rPr>
          <w:rFonts w:cs="Arial"/>
          <w:szCs w:val="20"/>
          <w:lang w:val="pl-PL"/>
        </w:rPr>
        <w:t xml:space="preserve"> Jeden projekt z</w:t>
      </w:r>
      <w:r w:rsidRPr="00E00B35">
        <w:rPr>
          <w:rFonts w:cs="Arial"/>
          <w:szCs w:val="20"/>
        </w:rPr>
        <w:t>realizowan</w:t>
      </w:r>
      <w:r w:rsidRPr="00E00B35">
        <w:rPr>
          <w:rFonts w:cs="Arial"/>
          <w:szCs w:val="20"/>
          <w:lang w:val="pl-PL"/>
        </w:rPr>
        <w:t>y</w:t>
      </w:r>
      <w:r w:rsidRPr="00E00B35">
        <w:rPr>
          <w:rFonts w:cs="Arial"/>
          <w:szCs w:val="20"/>
        </w:rPr>
        <w:t xml:space="preserve"> był przez Gminę Wrocław o wartości ponad </w:t>
      </w:r>
      <w:r w:rsidRPr="00E00B35">
        <w:rPr>
          <w:rFonts w:cs="Arial"/>
          <w:szCs w:val="20"/>
          <w:lang w:val="pl-PL"/>
        </w:rPr>
        <w:t>4,5</w:t>
      </w:r>
      <w:r w:rsidRPr="00E00B35">
        <w:rPr>
          <w:rFonts w:cs="Arial"/>
          <w:szCs w:val="20"/>
        </w:rPr>
        <w:t xml:space="preserve"> mln zł, a wartość dofinansowania 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to </w:t>
      </w:r>
      <w:r w:rsidRPr="00E00B35">
        <w:rPr>
          <w:rFonts w:cs="Arial"/>
          <w:szCs w:val="20"/>
          <w:lang w:val="pl-PL"/>
        </w:rPr>
        <w:t>blisko 4</w:t>
      </w:r>
      <w:r w:rsidRPr="00E00B35">
        <w:rPr>
          <w:rFonts w:cs="Arial"/>
          <w:szCs w:val="20"/>
        </w:rPr>
        <w:t xml:space="preserve"> mln zł. </w:t>
      </w:r>
      <w:r w:rsidRPr="00E00B35">
        <w:rPr>
          <w:rFonts w:cs="Arial"/>
          <w:szCs w:val="20"/>
          <w:lang w:val="pl-PL"/>
        </w:rPr>
        <w:t xml:space="preserve">Sześć projektów zostało zrealizowanych na terenie Gminy Wrocław przez jednostki inne niż Gmina Wrocław - </w:t>
      </w:r>
      <w:r w:rsidRPr="00E00B35">
        <w:rPr>
          <w:rFonts w:cs="Arial"/>
          <w:szCs w:val="20"/>
        </w:rPr>
        <w:t xml:space="preserve">łączna wartość projektów to </w:t>
      </w:r>
      <w:r w:rsidRPr="00E00B35">
        <w:rPr>
          <w:rFonts w:cs="Arial"/>
          <w:szCs w:val="20"/>
          <w:lang w:val="pl-PL"/>
        </w:rPr>
        <w:t>ponad</w:t>
      </w:r>
      <w:r w:rsidRPr="00E00B35">
        <w:rPr>
          <w:rFonts w:cs="Arial"/>
          <w:szCs w:val="20"/>
        </w:rPr>
        <w:t xml:space="preserve"> </w:t>
      </w:r>
      <w:r w:rsidRPr="00E00B35">
        <w:rPr>
          <w:rFonts w:cs="Arial"/>
          <w:szCs w:val="20"/>
          <w:lang w:val="pl-PL"/>
        </w:rPr>
        <w:t>5</w:t>
      </w:r>
      <w:r w:rsidRPr="00E00B35">
        <w:rPr>
          <w:rFonts w:cs="Arial"/>
          <w:szCs w:val="20"/>
        </w:rPr>
        <w:t xml:space="preserve"> mln zł, a wartość</w:t>
      </w:r>
      <w:r w:rsidRPr="00E00B35">
        <w:rPr>
          <w:rFonts w:cs="Arial"/>
          <w:b/>
          <w:szCs w:val="20"/>
        </w:rPr>
        <w:t xml:space="preserve"> </w:t>
      </w:r>
      <w:r w:rsidRPr="00E00B35">
        <w:rPr>
          <w:rFonts w:cs="Arial"/>
          <w:szCs w:val="20"/>
        </w:rPr>
        <w:t>dofinansowania 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to </w:t>
      </w:r>
      <w:r w:rsidRPr="00E00B35">
        <w:rPr>
          <w:rFonts w:cs="Arial"/>
          <w:szCs w:val="20"/>
          <w:lang w:val="pl-PL"/>
        </w:rPr>
        <w:t>ponad 4,5</w:t>
      </w:r>
      <w:r w:rsidRPr="00E00B35">
        <w:rPr>
          <w:rFonts w:cs="Arial"/>
          <w:szCs w:val="20"/>
        </w:rPr>
        <w:t xml:space="preserve"> mln zł.</w:t>
      </w:r>
    </w:p>
    <w:p w:rsidR="002C1BA7" w:rsidRPr="00E00B35" w:rsidRDefault="002C1BA7" w:rsidP="00BC64AB">
      <w:pPr>
        <w:pStyle w:val="Akapitzlist"/>
        <w:numPr>
          <w:ilvl w:val="0"/>
          <w:numId w:val="287"/>
        </w:numPr>
        <w:spacing w:after="0" w:line="312" w:lineRule="auto"/>
        <w:ind w:left="426" w:right="709" w:hanging="426"/>
        <w:rPr>
          <w:rFonts w:cs="Arial"/>
          <w:szCs w:val="20"/>
          <w:lang w:val="pl-PL"/>
        </w:rPr>
      </w:pPr>
      <w:r w:rsidRPr="00E00B35">
        <w:rPr>
          <w:rFonts w:cs="Arial"/>
          <w:szCs w:val="20"/>
          <w:lang w:val="pl-PL"/>
        </w:rPr>
        <w:t xml:space="preserve">na obszarze </w:t>
      </w:r>
      <w:r w:rsidRPr="00E00B35">
        <w:rPr>
          <w:rFonts w:cs="Arial"/>
          <w:szCs w:val="20"/>
        </w:rPr>
        <w:t xml:space="preserve">całego Wrocławskiego Obszaru Funkcjonalnego </w:t>
      </w:r>
      <w:r w:rsidRPr="00E00B35">
        <w:rPr>
          <w:rFonts w:cs="Arial"/>
          <w:szCs w:val="20"/>
          <w:lang w:val="pl-PL"/>
        </w:rPr>
        <w:t>realizowano pięć</w:t>
      </w:r>
      <w:r w:rsidRPr="00E00B35">
        <w:rPr>
          <w:rFonts w:cs="Arial"/>
          <w:szCs w:val="20"/>
        </w:rPr>
        <w:t xml:space="preserve"> projektów dotycząc</w:t>
      </w:r>
      <w:r w:rsidRPr="00E00B35">
        <w:rPr>
          <w:rFonts w:cs="Arial"/>
          <w:szCs w:val="20"/>
          <w:lang w:val="pl-PL"/>
        </w:rPr>
        <w:t>ych</w:t>
      </w:r>
      <w:r w:rsidRPr="00E00B35">
        <w:rPr>
          <w:rFonts w:cs="Arial"/>
          <w:szCs w:val="20"/>
        </w:rPr>
        <w:t xml:space="preserve"> </w:t>
      </w:r>
      <w:r w:rsidRPr="00E00B35">
        <w:rPr>
          <w:rFonts w:cs="Arial"/>
          <w:szCs w:val="20"/>
          <w:lang w:val="pl-PL"/>
        </w:rPr>
        <w:t>zwiększenia umiejętności zawodowych uczniów szkół prowadzących kształcenie zawodowe</w:t>
      </w:r>
      <w:r w:rsidRPr="00E00B35">
        <w:rPr>
          <w:rFonts w:cs="Arial"/>
          <w:szCs w:val="20"/>
        </w:rPr>
        <w:t xml:space="preserve"> – łączna wartość projektów to </w:t>
      </w:r>
      <w:r w:rsidRPr="00E00B35">
        <w:rPr>
          <w:rFonts w:cs="Arial"/>
          <w:szCs w:val="20"/>
          <w:lang w:val="pl-PL"/>
        </w:rPr>
        <w:t>ponad</w:t>
      </w:r>
      <w:r w:rsidRPr="00E00B35">
        <w:rPr>
          <w:rFonts w:cs="Arial"/>
          <w:szCs w:val="20"/>
        </w:rPr>
        <w:t xml:space="preserve"> </w:t>
      </w:r>
      <w:r w:rsidRPr="00E00B35">
        <w:rPr>
          <w:rFonts w:cs="Arial"/>
          <w:szCs w:val="20"/>
          <w:lang w:val="pl-PL"/>
        </w:rPr>
        <w:t>6,2</w:t>
      </w:r>
      <w:r w:rsidRPr="00E00B35">
        <w:rPr>
          <w:rFonts w:cs="Arial"/>
          <w:szCs w:val="20"/>
        </w:rPr>
        <w:t xml:space="preserve"> mln zł, a wartość</w:t>
      </w:r>
      <w:r w:rsidRPr="00E00B35">
        <w:rPr>
          <w:rFonts w:cs="Arial"/>
          <w:b/>
          <w:szCs w:val="20"/>
        </w:rPr>
        <w:t xml:space="preserve"> </w:t>
      </w:r>
      <w:r w:rsidRPr="00E00B35">
        <w:rPr>
          <w:rFonts w:cs="Arial"/>
          <w:szCs w:val="20"/>
        </w:rPr>
        <w:t>dofinansowania 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to </w:t>
      </w:r>
      <w:r w:rsidRPr="00E00B35">
        <w:rPr>
          <w:rFonts w:cs="Arial"/>
          <w:szCs w:val="20"/>
          <w:lang w:val="pl-PL"/>
        </w:rPr>
        <w:t>ponad 5</w:t>
      </w:r>
      <w:r w:rsidRPr="00E00B35">
        <w:rPr>
          <w:rFonts w:cs="Arial"/>
          <w:szCs w:val="20"/>
        </w:rPr>
        <w:t xml:space="preserve"> mln zł.</w:t>
      </w:r>
      <w:r w:rsidRPr="00E00B35">
        <w:rPr>
          <w:rFonts w:cs="Arial"/>
          <w:szCs w:val="20"/>
          <w:lang w:val="pl-PL"/>
        </w:rPr>
        <w:t xml:space="preserve"> Jeden projekt </w:t>
      </w:r>
      <w:r w:rsidRPr="00E00B35">
        <w:rPr>
          <w:rFonts w:cs="Arial"/>
          <w:szCs w:val="20"/>
        </w:rPr>
        <w:t>realizowan</w:t>
      </w:r>
      <w:r w:rsidRPr="00E00B35">
        <w:rPr>
          <w:rFonts w:cs="Arial"/>
          <w:szCs w:val="20"/>
          <w:lang w:val="pl-PL"/>
        </w:rPr>
        <w:t>y</w:t>
      </w:r>
      <w:r w:rsidRPr="00E00B35">
        <w:rPr>
          <w:rFonts w:cs="Arial"/>
          <w:szCs w:val="20"/>
        </w:rPr>
        <w:t xml:space="preserve"> był przez Gminę Wrocław o wartości </w:t>
      </w:r>
      <w:r w:rsidRPr="00E00B35">
        <w:rPr>
          <w:rFonts w:cs="Arial"/>
          <w:szCs w:val="20"/>
          <w:lang w:val="pl-PL"/>
        </w:rPr>
        <w:t>blisko</w:t>
      </w:r>
      <w:r w:rsidRPr="00E00B35">
        <w:rPr>
          <w:rFonts w:cs="Arial"/>
          <w:szCs w:val="20"/>
        </w:rPr>
        <w:t xml:space="preserve"> </w:t>
      </w:r>
      <w:r w:rsidRPr="00E00B35">
        <w:rPr>
          <w:rFonts w:cs="Arial"/>
          <w:szCs w:val="20"/>
          <w:lang w:val="pl-PL"/>
        </w:rPr>
        <w:br/>
        <w:t>2</w:t>
      </w:r>
      <w:r w:rsidRPr="00E00B35">
        <w:rPr>
          <w:rFonts w:cs="Arial"/>
          <w:szCs w:val="20"/>
        </w:rPr>
        <w:t xml:space="preserve"> mln zł, a wartość dofinansowania 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to </w:t>
      </w:r>
      <w:r w:rsidRPr="00E00B35">
        <w:rPr>
          <w:rFonts w:cs="Arial"/>
          <w:szCs w:val="20"/>
          <w:lang w:val="pl-PL"/>
        </w:rPr>
        <w:t>blisko 1,5</w:t>
      </w:r>
      <w:r w:rsidRPr="00E00B35">
        <w:rPr>
          <w:rFonts w:cs="Arial"/>
          <w:szCs w:val="20"/>
        </w:rPr>
        <w:t xml:space="preserve"> mln zł. </w:t>
      </w:r>
      <w:r w:rsidRPr="00E00B35">
        <w:rPr>
          <w:rFonts w:cs="Arial"/>
          <w:szCs w:val="20"/>
          <w:lang w:val="pl-PL"/>
        </w:rPr>
        <w:t xml:space="preserve">Trzy projekty zostały zrealizowane na terenie Gminy Wrocław przez jednostki inne niż Gmina Wrocław - </w:t>
      </w:r>
      <w:r w:rsidRPr="00E00B35">
        <w:rPr>
          <w:rFonts w:cs="Arial"/>
          <w:szCs w:val="20"/>
        </w:rPr>
        <w:t xml:space="preserve">łączna wartość projektów to </w:t>
      </w:r>
      <w:r w:rsidRPr="00E00B35">
        <w:rPr>
          <w:rFonts w:cs="Arial"/>
          <w:szCs w:val="20"/>
          <w:lang w:val="pl-PL"/>
        </w:rPr>
        <w:t>ponad</w:t>
      </w:r>
      <w:r w:rsidRPr="00E00B35">
        <w:rPr>
          <w:rFonts w:cs="Arial"/>
          <w:szCs w:val="20"/>
        </w:rPr>
        <w:t xml:space="preserve"> </w:t>
      </w:r>
      <w:r w:rsidRPr="00E00B35">
        <w:rPr>
          <w:rFonts w:cs="Arial"/>
          <w:szCs w:val="20"/>
          <w:lang w:val="pl-PL"/>
        </w:rPr>
        <w:t>3</w:t>
      </w:r>
      <w:r w:rsidRPr="00E00B35">
        <w:rPr>
          <w:rFonts w:cs="Arial"/>
          <w:szCs w:val="20"/>
        </w:rPr>
        <w:t xml:space="preserve"> mln zł, a wartość</w:t>
      </w:r>
      <w:r w:rsidRPr="00E00B35">
        <w:rPr>
          <w:rFonts w:cs="Arial"/>
          <w:b/>
          <w:szCs w:val="20"/>
        </w:rPr>
        <w:t xml:space="preserve"> </w:t>
      </w:r>
      <w:r w:rsidRPr="00E00B35">
        <w:rPr>
          <w:rFonts w:cs="Arial"/>
          <w:szCs w:val="20"/>
        </w:rPr>
        <w:t>dofinansowania 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to </w:t>
      </w:r>
      <w:r w:rsidRPr="00E00B35">
        <w:rPr>
          <w:rFonts w:cs="Arial"/>
          <w:szCs w:val="20"/>
          <w:lang w:val="pl-PL"/>
        </w:rPr>
        <w:t>blisko 3</w:t>
      </w:r>
      <w:r w:rsidRPr="00E00B35">
        <w:rPr>
          <w:rFonts w:cs="Arial"/>
          <w:szCs w:val="20"/>
        </w:rPr>
        <w:t xml:space="preserve"> mln zł.</w:t>
      </w:r>
    </w:p>
    <w:p w:rsidR="002C1BA7" w:rsidRPr="00E00B35" w:rsidRDefault="002C1BA7" w:rsidP="00E00B35">
      <w:pPr>
        <w:pStyle w:val="Akapitzlist"/>
        <w:spacing w:after="0" w:line="312" w:lineRule="auto"/>
        <w:ind w:left="0" w:right="707"/>
        <w:rPr>
          <w:rFonts w:cs="Arial"/>
          <w:szCs w:val="20"/>
          <w:lang w:val="pl-PL"/>
        </w:rPr>
      </w:pPr>
    </w:p>
    <w:p w:rsidR="002C1BA7" w:rsidRPr="00E00B35" w:rsidRDefault="002C1BA7" w:rsidP="00E00B35">
      <w:pPr>
        <w:pStyle w:val="Akapitzlist"/>
        <w:spacing w:after="0" w:line="312" w:lineRule="auto"/>
        <w:ind w:left="0" w:right="707"/>
        <w:rPr>
          <w:rFonts w:cs="Arial"/>
          <w:szCs w:val="20"/>
        </w:rPr>
      </w:pPr>
      <w:r w:rsidRPr="00E00B35">
        <w:rPr>
          <w:rFonts w:cs="Arial"/>
          <w:szCs w:val="20"/>
        </w:rPr>
        <w:t xml:space="preserve">Ponadto, w wyniku przeprowadzonych naborów wniosków o dofinansowanie </w:t>
      </w:r>
      <w:r w:rsidRPr="00E00B35">
        <w:rPr>
          <w:rFonts w:cs="Arial"/>
          <w:szCs w:val="20"/>
          <w:lang w:val="pl-PL"/>
        </w:rPr>
        <w:t xml:space="preserve">dedykowanych dla </w:t>
      </w:r>
      <w:r w:rsidRPr="00E00B35">
        <w:rPr>
          <w:rFonts w:cs="Arial"/>
          <w:szCs w:val="20"/>
        </w:rPr>
        <w:t xml:space="preserve">innowacyjnych przedsiębiorstw realizujących swoje projekty na terenie Wrocławskiego Obszaru Funkcjonalnego w 2020 r. </w:t>
      </w:r>
      <w:r w:rsidRPr="00E00B35">
        <w:rPr>
          <w:rFonts w:cs="Arial"/>
          <w:szCs w:val="20"/>
          <w:lang w:val="pl-PL"/>
        </w:rPr>
        <w:t>zrealizowano</w:t>
      </w:r>
      <w:r w:rsidRPr="00E00B35">
        <w:rPr>
          <w:rFonts w:cs="Arial"/>
          <w:szCs w:val="20"/>
        </w:rPr>
        <w:t xml:space="preserve"> </w:t>
      </w:r>
      <w:r w:rsidRPr="00E00B35">
        <w:rPr>
          <w:rFonts w:cs="Arial"/>
          <w:szCs w:val="20"/>
          <w:lang w:val="pl-PL"/>
        </w:rPr>
        <w:t>dziesięć</w:t>
      </w:r>
      <w:r w:rsidRPr="00E00B35">
        <w:rPr>
          <w:rFonts w:cs="Arial"/>
          <w:szCs w:val="20"/>
        </w:rPr>
        <w:t xml:space="preserve"> projektów, w tym </w:t>
      </w:r>
      <w:r w:rsidRPr="00E00B35">
        <w:rPr>
          <w:rFonts w:cs="Arial"/>
          <w:szCs w:val="20"/>
          <w:lang w:val="pl-PL"/>
        </w:rPr>
        <w:t>siedem</w:t>
      </w:r>
      <w:r w:rsidRPr="00E00B35">
        <w:rPr>
          <w:rFonts w:cs="Arial"/>
          <w:szCs w:val="20"/>
        </w:rPr>
        <w:t xml:space="preserve"> realizowanych na terenie Gminy Wrocław. </w:t>
      </w:r>
    </w:p>
    <w:p w:rsidR="002C1BA7" w:rsidRPr="00E00B35" w:rsidRDefault="002C1BA7" w:rsidP="00E00B35">
      <w:pPr>
        <w:pStyle w:val="Akapitzlist"/>
        <w:spacing w:after="0" w:line="312" w:lineRule="auto"/>
        <w:ind w:left="0" w:right="707"/>
        <w:rPr>
          <w:rFonts w:cs="Arial"/>
          <w:szCs w:val="20"/>
        </w:rPr>
      </w:pPr>
      <w:r w:rsidRPr="00E00B35">
        <w:rPr>
          <w:rFonts w:cs="Arial"/>
          <w:szCs w:val="20"/>
        </w:rPr>
        <w:t>Beneficjentami byli prywatni przedsiębiorcy.</w:t>
      </w:r>
    </w:p>
    <w:p w:rsidR="002C1BA7" w:rsidRPr="00E00B35" w:rsidRDefault="002C1BA7" w:rsidP="00E00B35">
      <w:pPr>
        <w:pStyle w:val="Akapitzlist"/>
        <w:spacing w:after="0" w:line="312" w:lineRule="auto"/>
        <w:ind w:left="0" w:right="707"/>
        <w:rPr>
          <w:rFonts w:cs="Arial"/>
          <w:szCs w:val="20"/>
          <w:lang w:val="pl-PL"/>
        </w:rPr>
      </w:pPr>
      <w:r w:rsidRPr="00E00B35">
        <w:rPr>
          <w:rFonts w:cs="Arial"/>
          <w:szCs w:val="20"/>
        </w:rPr>
        <w:t>Łączna wartość projektów to ponad 22 mln zł.</w:t>
      </w:r>
    </w:p>
    <w:p w:rsidR="002C1BA7" w:rsidRPr="00E00B35" w:rsidRDefault="002C1BA7" w:rsidP="00E00B35">
      <w:pPr>
        <w:pStyle w:val="Akapitzlist"/>
        <w:spacing w:after="0" w:line="312" w:lineRule="auto"/>
        <w:ind w:left="0" w:right="707"/>
        <w:rPr>
          <w:rFonts w:cs="Arial"/>
          <w:szCs w:val="20"/>
        </w:rPr>
      </w:pPr>
      <w:r w:rsidRPr="00E00B35">
        <w:rPr>
          <w:rFonts w:cs="Arial"/>
          <w:szCs w:val="20"/>
        </w:rPr>
        <w:t>Wartość dofinansowania 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to ponad 13 mln zł.</w:t>
      </w:r>
    </w:p>
    <w:p w:rsidR="002C1BA7" w:rsidRPr="00E00B35" w:rsidRDefault="002C1BA7" w:rsidP="00E00B35">
      <w:pPr>
        <w:pStyle w:val="Akapitzlist"/>
        <w:spacing w:after="0" w:line="312" w:lineRule="auto"/>
        <w:ind w:left="0" w:right="707"/>
        <w:rPr>
          <w:rFonts w:cs="Arial"/>
          <w:szCs w:val="20"/>
        </w:rPr>
      </w:pPr>
      <w:r w:rsidRPr="00E00B35">
        <w:rPr>
          <w:rFonts w:cs="Arial"/>
          <w:szCs w:val="20"/>
        </w:rPr>
        <w:t>Łączna wartość projektów realizowanych na terenie Gminy Wrocław to blisko 15 mln zł. Wartość dofinansowania ze środków U</w:t>
      </w:r>
      <w:r w:rsidRPr="00E00B35">
        <w:rPr>
          <w:rFonts w:cs="Arial"/>
          <w:szCs w:val="20"/>
          <w:lang w:val="pl-PL"/>
        </w:rPr>
        <w:t xml:space="preserve">nii </w:t>
      </w:r>
      <w:r w:rsidRPr="00E00B35">
        <w:rPr>
          <w:rFonts w:cs="Arial"/>
          <w:szCs w:val="20"/>
        </w:rPr>
        <w:t>E</w:t>
      </w:r>
      <w:r w:rsidRPr="00E00B35">
        <w:rPr>
          <w:rFonts w:cs="Arial"/>
          <w:szCs w:val="20"/>
          <w:lang w:val="pl-PL"/>
        </w:rPr>
        <w:t>uropejskiej</w:t>
      </w:r>
      <w:r w:rsidRPr="00E00B35">
        <w:rPr>
          <w:rFonts w:cs="Arial"/>
          <w:szCs w:val="20"/>
        </w:rPr>
        <w:t xml:space="preserve"> projektów realizowanych na terenie Gminy Wrocław to  blisko 10 mln zł.</w:t>
      </w:r>
    </w:p>
    <w:p w:rsidR="002C1BA7" w:rsidRPr="00E00B35" w:rsidRDefault="002C1BA7" w:rsidP="00E00B35">
      <w:pPr>
        <w:pStyle w:val="Akapitzlist"/>
        <w:spacing w:after="0" w:line="312" w:lineRule="auto"/>
        <w:ind w:left="0" w:right="707"/>
        <w:rPr>
          <w:szCs w:val="20"/>
        </w:rPr>
      </w:pPr>
      <w:r w:rsidRPr="00E00B35">
        <w:rPr>
          <w:rFonts w:cs="Arial"/>
          <w:szCs w:val="20"/>
        </w:rPr>
        <w:t xml:space="preserve">Wyżej wymienione działania wpisują się także w Strategię Wrocławia 2030 w kontekście misji realizacji Priorytetów Gospodarka kreatywna i innowacyjna powiązana z nauką. Ponadto realizują Program Prezydenta Jacka Sutryka w aspekcie: Przestrzeń, Edukacja i kultura, Innowacje i przedsiębiorczość. </w:t>
      </w:r>
    </w:p>
    <w:p w:rsidR="008C7751" w:rsidRPr="00E00B35" w:rsidRDefault="008C7751" w:rsidP="00E00B35">
      <w:pPr>
        <w:spacing w:after="0" w:line="312" w:lineRule="auto"/>
        <w:rPr>
          <w:szCs w:val="20"/>
        </w:rPr>
      </w:pPr>
    </w:p>
    <w:p w:rsidR="00FF46DF" w:rsidRDefault="00FF46DF"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szCs w:val="20"/>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0B35">
      <w:pPr>
        <w:spacing w:after="0" w:line="312" w:lineRule="auto"/>
        <w:rPr>
          <w:b/>
          <w:bCs/>
          <w:szCs w:val="20"/>
          <w:lang w:eastAsia="pl-PL"/>
        </w:rPr>
      </w:pPr>
    </w:p>
    <w:p w:rsidR="00E04D72" w:rsidRDefault="00E04D72" w:rsidP="00E04D72">
      <w:pPr>
        <w:pStyle w:val="Nagwek20"/>
        <w:rPr>
          <w:szCs w:val="20"/>
        </w:rPr>
      </w:pPr>
      <w:bookmarkStart w:id="995" w:name="_Toc78189486"/>
      <w:r w:rsidRPr="00FF2C6D">
        <w:t>DECYZJE ADMINISTRACYJNE</w:t>
      </w:r>
      <w:r>
        <w:t xml:space="preserve"> WYDANE PRZEZ KOMÓRKI UMW</w:t>
      </w:r>
      <w:bookmarkEnd w:id="995"/>
    </w:p>
    <w:p w:rsidR="00E04D72" w:rsidRDefault="00E04D72" w:rsidP="00E00B35">
      <w:pPr>
        <w:spacing w:after="0" w:line="312" w:lineRule="auto"/>
        <w:rPr>
          <w:szCs w:val="20"/>
        </w:rPr>
        <w:sectPr w:rsidR="00E04D72" w:rsidSect="008C7751">
          <w:footerReference w:type="even" r:id="rId271"/>
          <w:footerReference w:type="default" r:id="rId272"/>
          <w:pgSz w:w="11906" w:h="16838" w:code="9"/>
          <w:pgMar w:top="1418" w:right="1418" w:bottom="1418" w:left="1418" w:header="709" w:footer="709" w:gutter="0"/>
          <w:cols w:space="708"/>
          <w:titlePg/>
          <w:docGrid w:linePitch="360"/>
        </w:sectPr>
      </w:pPr>
    </w:p>
    <w:p w:rsidR="00E04D72" w:rsidRDefault="00E04D72" w:rsidP="00E04D72">
      <w:pPr>
        <w:jc w:val="right"/>
        <w:rPr>
          <w:rFonts w:cs="Arial"/>
          <w:szCs w:val="20"/>
          <w:lang w:eastAsia="pl-PL"/>
        </w:rPr>
      </w:pPr>
    </w:p>
    <w:p w:rsidR="00E04D72" w:rsidRDefault="00E04D72" w:rsidP="008C054F">
      <w:pPr>
        <w:pStyle w:val="Nagwek3"/>
        <w:jc w:val="center"/>
      </w:pPr>
      <w:r w:rsidRPr="00FF2C6D">
        <w:t xml:space="preserve">DECYZJE ADMINISTRACYJNE WYDANE PRZEZ </w:t>
      </w:r>
      <w:r>
        <w:t>DEPARTAMENT OBSŁUGI I ADMINISTRACJI</w:t>
      </w:r>
    </w:p>
    <w:p w:rsidR="00E04D72" w:rsidRDefault="00E04D72" w:rsidP="00E04D72">
      <w:pPr>
        <w:jc w:val="right"/>
        <w:rPr>
          <w:rFonts w:cs="Arial"/>
          <w:szCs w:val="20"/>
          <w:lang w:eastAsia="pl-PL"/>
        </w:rPr>
      </w:pPr>
    </w:p>
    <w:p w:rsidR="00E04D72" w:rsidRDefault="00E04D72" w:rsidP="00E04D72">
      <w:pPr>
        <w:jc w:val="center"/>
        <w:rPr>
          <w:b/>
          <w:bCs/>
          <w:szCs w:val="20"/>
        </w:rPr>
      </w:pPr>
      <w:r>
        <w:rPr>
          <w:b/>
          <w:bCs/>
          <w:noProof/>
          <w:szCs w:val="20"/>
          <w:lang w:eastAsia="pl-PL"/>
        </w:rPr>
        <w:drawing>
          <wp:inline distT="0" distB="0" distL="0" distR="0">
            <wp:extent cx="8999566" cy="4591050"/>
            <wp:effectExtent l="19050" t="0" r="0" b="0"/>
            <wp:docPr id="856" name="Obraz 804" descr="TABELA_d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_doa.png"/>
                    <pic:cNvPicPr/>
                  </pic:nvPicPr>
                  <pic:blipFill>
                    <a:blip r:embed="rId273" cstate="print"/>
                    <a:stretch>
                      <a:fillRect/>
                    </a:stretch>
                  </pic:blipFill>
                  <pic:spPr>
                    <a:xfrm>
                      <a:off x="0" y="0"/>
                      <a:ext cx="9024029" cy="4603530"/>
                    </a:xfrm>
                    <a:prstGeom prst="rect">
                      <a:avLst/>
                    </a:prstGeom>
                  </pic:spPr>
                </pic:pic>
              </a:graphicData>
            </a:graphic>
          </wp:inline>
        </w:drawing>
      </w:r>
    </w:p>
    <w:p w:rsidR="00E04D72" w:rsidRDefault="00E04D72" w:rsidP="00E04D72">
      <w:pPr>
        <w:jc w:val="center"/>
        <w:rPr>
          <w:b/>
          <w:bCs/>
          <w:szCs w:val="20"/>
          <w:lang w:eastAsia="pl-PL"/>
        </w:rPr>
      </w:pPr>
    </w:p>
    <w:p w:rsidR="00E04D72" w:rsidRDefault="00E04D72" w:rsidP="008C054F">
      <w:pPr>
        <w:pStyle w:val="Nagwek3"/>
        <w:jc w:val="center"/>
      </w:pPr>
      <w:r w:rsidRPr="00FF2C6D">
        <w:t xml:space="preserve">DECYZJE ADMINISTRACYJNE WYDANE PRZEZ </w:t>
      </w:r>
      <w:r>
        <w:t>DEPARTAMENT STRATEGII I ROZWOJU MIASTA</w:t>
      </w:r>
    </w:p>
    <w:p w:rsidR="00E04D72" w:rsidRPr="004265B5" w:rsidRDefault="00E04D72" w:rsidP="00E04D72">
      <w:pPr>
        <w:rPr>
          <w:szCs w:val="20"/>
        </w:rPr>
      </w:pPr>
    </w:p>
    <w:tbl>
      <w:tblPr>
        <w:tblStyle w:val="Tabela-Siatka"/>
        <w:tblW w:w="15080" w:type="dxa"/>
        <w:jc w:val="center"/>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672"/>
        <w:gridCol w:w="1134"/>
        <w:gridCol w:w="826"/>
        <w:gridCol w:w="798"/>
        <w:gridCol w:w="910"/>
        <w:gridCol w:w="881"/>
        <w:gridCol w:w="896"/>
        <w:gridCol w:w="924"/>
        <w:gridCol w:w="854"/>
        <w:gridCol w:w="756"/>
        <w:gridCol w:w="924"/>
        <w:gridCol w:w="924"/>
        <w:gridCol w:w="951"/>
        <w:gridCol w:w="980"/>
        <w:gridCol w:w="882"/>
        <w:gridCol w:w="768"/>
      </w:tblGrid>
      <w:tr w:rsidR="00E04D72" w:rsidRPr="00651D20" w:rsidTr="00B65FD4">
        <w:trPr>
          <w:jc w:val="center"/>
        </w:trPr>
        <w:tc>
          <w:tcPr>
            <w:tcW w:w="1672" w:type="dxa"/>
            <w:vMerge w:val="restart"/>
            <w:vAlign w:val="center"/>
          </w:tcPr>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Nazwa komórki</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organizacyjnej</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Urzędu/miejskiej</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jednostki</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organizacyjnej</w:t>
            </w:r>
          </w:p>
          <w:p w:rsidR="00E04D72" w:rsidRPr="00651D20" w:rsidRDefault="00E04D72" w:rsidP="00B65FD4">
            <w:pPr>
              <w:jc w:val="center"/>
              <w:rPr>
                <w:rFonts w:cs="Arial"/>
                <w:sz w:val="16"/>
                <w:szCs w:val="16"/>
                <w:lang w:eastAsia="pl-PL"/>
              </w:rPr>
            </w:pPr>
            <w:r w:rsidRPr="00651D20">
              <w:rPr>
                <w:rFonts w:cs="Verdana"/>
                <w:sz w:val="16"/>
                <w:szCs w:val="16"/>
              </w:rPr>
              <w:t>Gminy</w:t>
            </w:r>
          </w:p>
        </w:tc>
        <w:tc>
          <w:tcPr>
            <w:tcW w:w="1134" w:type="dxa"/>
            <w:vMerge w:val="restart"/>
            <w:vAlign w:val="center"/>
          </w:tcPr>
          <w:p w:rsidR="00E04D72" w:rsidRPr="00651D20" w:rsidRDefault="00E04D72" w:rsidP="00B65FD4">
            <w:pPr>
              <w:autoSpaceDE w:val="0"/>
              <w:autoSpaceDN w:val="0"/>
              <w:adjustRightInd w:val="0"/>
              <w:jc w:val="center"/>
              <w:rPr>
                <w:rFonts w:cs="Verdana"/>
                <w:sz w:val="16"/>
                <w:szCs w:val="16"/>
              </w:rPr>
            </w:pPr>
            <w:r>
              <w:rPr>
                <w:rFonts w:cs="Verdana"/>
                <w:sz w:val="16"/>
                <w:szCs w:val="16"/>
              </w:rPr>
              <w:t>Liczba</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wydanych</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decyzji</w:t>
            </w:r>
          </w:p>
          <w:p w:rsidR="00E04D72" w:rsidRPr="00651D20" w:rsidRDefault="00E04D72" w:rsidP="00B65FD4">
            <w:pPr>
              <w:jc w:val="center"/>
              <w:rPr>
                <w:rFonts w:cs="Arial"/>
                <w:sz w:val="16"/>
                <w:szCs w:val="16"/>
                <w:lang w:eastAsia="pl-PL"/>
              </w:rPr>
            </w:pPr>
            <w:r w:rsidRPr="00651D20">
              <w:rPr>
                <w:rFonts w:cs="Verdana"/>
                <w:sz w:val="16"/>
                <w:szCs w:val="16"/>
              </w:rPr>
              <w:t>ogółem</w:t>
            </w:r>
          </w:p>
        </w:tc>
        <w:tc>
          <w:tcPr>
            <w:tcW w:w="1624" w:type="dxa"/>
            <w:gridSpan w:val="2"/>
            <w:vAlign w:val="center"/>
          </w:tcPr>
          <w:p w:rsidR="00E04D72" w:rsidRPr="00651D20" w:rsidRDefault="00E04D72" w:rsidP="00B65FD4">
            <w:pPr>
              <w:autoSpaceDE w:val="0"/>
              <w:autoSpaceDN w:val="0"/>
              <w:adjustRightInd w:val="0"/>
              <w:jc w:val="center"/>
              <w:rPr>
                <w:rFonts w:cs="Verdana"/>
                <w:sz w:val="16"/>
                <w:szCs w:val="16"/>
              </w:rPr>
            </w:pPr>
            <w:r>
              <w:rPr>
                <w:rFonts w:cs="Verdana"/>
                <w:sz w:val="16"/>
                <w:szCs w:val="16"/>
              </w:rPr>
              <w:t>Liczba</w:t>
            </w:r>
            <w:r w:rsidRPr="00651D20">
              <w:rPr>
                <w:rFonts w:cs="Verdana"/>
                <w:sz w:val="16"/>
                <w:szCs w:val="16"/>
              </w:rPr>
              <w:t xml:space="preserve"> decyzji</w:t>
            </w:r>
          </w:p>
          <w:p w:rsidR="00E04D72" w:rsidRPr="00651D20" w:rsidRDefault="00E04D72" w:rsidP="00B65FD4">
            <w:pPr>
              <w:jc w:val="center"/>
              <w:rPr>
                <w:rFonts w:cs="Arial"/>
                <w:sz w:val="16"/>
                <w:szCs w:val="16"/>
                <w:lang w:eastAsia="pl-PL"/>
              </w:rPr>
            </w:pPr>
            <w:r w:rsidRPr="00651D20">
              <w:rPr>
                <w:rFonts w:cs="Verdana"/>
                <w:sz w:val="16"/>
                <w:szCs w:val="16"/>
              </w:rPr>
              <w:t>zaskarżonych</w:t>
            </w:r>
          </w:p>
        </w:tc>
        <w:tc>
          <w:tcPr>
            <w:tcW w:w="5221" w:type="dxa"/>
            <w:gridSpan w:val="6"/>
            <w:vAlign w:val="center"/>
          </w:tcPr>
          <w:p w:rsidR="00E04D72" w:rsidRDefault="00E04D72" w:rsidP="00B65FD4">
            <w:pPr>
              <w:pStyle w:val="Akapitzlist"/>
              <w:autoSpaceDE w:val="0"/>
              <w:autoSpaceDN w:val="0"/>
              <w:adjustRightInd w:val="0"/>
              <w:rPr>
                <w:rFonts w:cs="Verdana"/>
                <w:sz w:val="16"/>
                <w:szCs w:val="16"/>
              </w:rPr>
            </w:pPr>
          </w:p>
          <w:p w:rsidR="00E04D72" w:rsidRPr="00651D20" w:rsidRDefault="00E04D72" w:rsidP="00BC64AB">
            <w:pPr>
              <w:pStyle w:val="Akapitzlist"/>
              <w:numPr>
                <w:ilvl w:val="0"/>
                <w:numId w:val="297"/>
              </w:numPr>
              <w:autoSpaceDE w:val="0"/>
              <w:autoSpaceDN w:val="0"/>
              <w:adjustRightInd w:val="0"/>
              <w:spacing w:after="0" w:line="240" w:lineRule="auto"/>
              <w:jc w:val="center"/>
              <w:rPr>
                <w:rFonts w:cs="Verdana"/>
                <w:sz w:val="16"/>
                <w:szCs w:val="16"/>
              </w:rPr>
            </w:pPr>
            <w:r>
              <w:rPr>
                <w:rFonts w:cs="Verdana"/>
                <w:sz w:val="16"/>
                <w:szCs w:val="16"/>
              </w:rPr>
              <w:t>Liczba</w:t>
            </w:r>
            <w:r w:rsidRPr="00651D20">
              <w:rPr>
                <w:rFonts w:cs="Verdana"/>
                <w:sz w:val="16"/>
                <w:szCs w:val="16"/>
              </w:rPr>
              <w:t xml:space="preserve"> decyzji zaskarżonych do Samorządowego Kolegium Odwoławczego</w:t>
            </w:r>
          </w:p>
          <w:p w:rsidR="00E04D72" w:rsidRPr="00651D20" w:rsidRDefault="00E04D72" w:rsidP="00B65FD4">
            <w:pPr>
              <w:autoSpaceDE w:val="0"/>
              <w:autoSpaceDN w:val="0"/>
              <w:adjustRightInd w:val="0"/>
              <w:jc w:val="center"/>
              <w:rPr>
                <w:rFonts w:cs="Arial"/>
                <w:sz w:val="16"/>
                <w:szCs w:val="16"/>
                <w:lang w:eastAsia="pl-PL"/>
              </w:rPr>
            </w:pPr>
          </w:p>
        </w:tc>
        <w:tc>
          <w:tcPr>
            <w:tcW w:w="5429" w:type="dxa"/>
            <w:gridSpan w:val="6"/>
            <w:vAlign w:val="center"/>
          </w:tcPr>
          <w:p w:rsidR="00E04D72" w:rsidRPr="00651D20" w:rsidRDefault="00E04D72" w:rsidP="00B65FD4">
            <w:pPr>
              <w:jc w:val="center"/>
              <w:rPr>
                <w:rFonts w:cs="Arial"/>
                <w:sz w:val="16"/>
                <w:szCs w:val="16"/>
                <w:lang w:eastAsia="pl-PL"/>
              </w:rPr>
            </w:pPr>
            <w:r w:rsidRPr="00651D20">
              <w:rPr>
                <w:rFonts w:cs="Verdana"/>
                <w:sz w:val="16"/>
                <w:szCs w:val="16"/>
              </w:rPr>
              <w:t xml:space="preserve">1) </w:t>
            </w:r>
            <w:r>
              <w:rPr>
                <w:rFonts w:cs="Verdana"/>
                <w:sz w:val="16"/>
                <w:szCs w:val="16"/>
              </w:rPr>
              <w:t>Liczba</w:t>
            </w:r>
            <w:r w:rsidRPr="00651D20">
              <w:rPr>
                <w:rFonts w:cs="Verdana"/>
                <w:sz w:val="16"/>
                <w:szCs w:val="16"/>
              </w:rPr>
              <w:t xml:space="preserve"> decyzji zaskarżonych </w:t>
            </w:r>
            <w:r>
              <w:rPr>
                <w:rFonts w:cs="Verdana"/>
                <w:sz w:val="16"/>
                <w:szCs w:val="16"/>
              </w:rPr>
              <w:t>w Ministerstwie Kultury i Dziedzictwa Narodowego</w:t>
            </w:r>
          </w:p>
        </w:tc>
      </w:tr>
      <w:tr w:rsidR="00E04D72" w:rsidRPr="00651D20" w:rsidTr="00B65FD4">
        <w:trPr>
          <w:jc w:val="center"/>
        </w:trPr>
        <w:tc>
          <w:tcPr>
            <w:tcW w:w="1672" w:type="dxa"/>
            <w:vMerge/>
            <w:vAlign w:val="center"/>
          </w:tcPr>
          <w:p w:rsidR="00E04D72" w:rsidRPr="00651D20" w:rsidRDefault="00E04D72" w:rsidP="00B65FD4">
            <w:pPr>
              <w:jc w:val="center"/>
              <w:rPr>
                <w:rFonts w:cs="Arial"/>
                <w:sz w:val="16"/>
                <w:szCs w:val="16"/>
                <w:lang w:eastAsia="pl-PL"/>
              </w:rPr>
            </w:pPr>
          </w:p>
        </w:tc>
        <w:tc>
          <w:tcPr>
            <w:tcW w:w="1134" w:type="dxa"/>
            <w:vMerge/>
            <w:vAlign w:val="center"/>
          </w:tcPr>
          <w:p w:rsidR="00E04D72" w:rsidRPr="00651D20" w:rsidRDefault="00E04D72" w:rsidP="00B65FD4">
            <w:pPr>
              <w:jc w:val="center"/>
              <w:rPr>
                <w:rFonts w:cs="Arial"/>
                <w:sz w:val="16"/>
                <w:szCs w:val="16"/>
                <w:lang w:eastAsia="pl-PL"/>
              </w:rPr>
            </w:pPr>
          </w:p>
        </w:tc>
        <w:tc>
          <w:tcPr>
            <w:tcW w:w="826" w:type="dxa"/>
            <w:vMerge w:val="restart"/>
            <w:vAlign w:val="center"/>
          </w:tcPr>
          <w:p w:rsidR="00E04D72" w:rsidRPr="00651D20" w:rsidRDefault="00E04D72" w:rsidP="00B65FD4">
            <w:pPr>
              <w:jc w:val="center"/>
              <w:rPr>
                <w:rFonts w:cs="Arial"/>
                <w:sz w:val="16"/>
                <w:szCs w:val="16"/>
                <w:lang w:eastAsia="pl-PL"/>
              </w:rPr>
            </w:pPr>
            <w:r w:rsidRPr="00651D20">
              <w:rPr>
                <w:rFonts w:cs="Arial"/>
                <w:sz w:val="16"/>
                <w:szCs w:val="16"/>
                <w:lang w:eastAsia="pl-PL"/>
              </w:rPr>
              <w:t>ogółem</w:t>
            </w:r>
          </w:p>
        </w:tc>
        <w:tc>
          <w:tcPr>
            <w:tcW w:w="798" w:type="dxa"/>
            <w:vMerge w:val="restart"/>
            <w:vAlign w:val="center"/>
          </w:tcPr>
          <w:p w:rsidR="00E04D72" w:rsidRDefault="00E04D72" w:rsidP="00B65FD4">
            <w:pPr>
              <w:jc w:val="center"/>
              <w:rPr>
                <w:rFonts w:cs="Arial"/>
                <w:sz w:val="16"/>
                <w:szCs w:val="16"/>
                <w:lang w:eastAsia="pl-PL"/>
              </w:rPr>
            </w:pPr>
            <w:r w:rsidRPr="00651D20">
              <w:rPr>
                <w:rFonts w:cs="Arial"/>
                <w:sz w:val="16"/>
                <w:szCs w:val="16"/>
                <w:lang w:eastAsia="pl-PL"/>
              </w:rPr>
              <w:t>udział</w:t>
            </w:r>
          </w:p>
          <w:p w:rsidR="00E04D72" w:rsidRPr="00651D20" w:rsidRDefault="00E04D72" w:rsidP="00B65FD4">
            <w:pPr>
              <w:jc w:val="center"/>
              <w:rPr>
                <w:rFonts w:cs="Arial"/>
                <w:sz w:val="16"/>
                <w:szCs w:val="16"/>
                <w:lang w:eastAsia="pl-PL"/>
              </w:rPr>
            </w:pPr>
            <w:r w:rsidRPr="00651D20">
              <w:rPr>
                <w:rFonts w:cs="Arial"/>
                <w:sz w:val="16"/>
                <w:szCs w:val="16"/>
                <w:lang w:eastAsia="pl-PL"/>
              </w:rPr>
              <w:t>%</w:t>
            </w:r>
          </w:p>
        </w:tc>
        <w:tc>
          <w:tcPr>
            <w:tcW w:w="5221" w:type="dxa"/>
            <w:gridSpan w:val="6"/>
            <w:vAlign w:val="center"/>
          </w:tcPr>
          <w:p w:rsidR="00E04D72" w:rsidRPr="00651D20" w:rsidRDefault="00E04D72" w:rsidP="00B65FD4">
            <w:pPr>
              <w:jc w:val="center"/>
              <w:rPr>
                <w:rFonts w:cs="Arial"/>
                <w:sz w:val="16"/>
                <w:szCs w:val="16"/>
                <w:lang w:eastAsia="pl-PL"/>
              </w:rPr>
            </w:pPr>
            <w:r w:rsidRPr="00651D20">
              <w:rPr>
                <w:rFonts w:cs="Verdana"/>
                <w:sz w:val="16"/>
                <w:szCs w:val="16"/>
              </w:rPr>
              <w:t>2) Udział procentowy</w:t>
            </w:r>
          </w:p>
        </w:tc>
        <w:tc>
          <w:tcPr>
            <w:tcW w:w="5429" w:type="dxa"/>
            <w:gridSpan w:val="6"/>
            <w:vAlign w:val="center"/>
          </w:tcPr>
          <w:p w:rsidR="00E04D72" w:rsidRPr="00651D20" w:rsidRDefault="00E04D72" w:rsidP="00B65FD4">
            <w:pPr>
              <w:jc w:val="center"/>
              <w:rPr>
                <w:rFonts w:cs="Arial"/>
                <w:sz w:val="16"/>
                <w:szCs w:val="16"/>
                <w:lang w:eastAsia="pl-PL"/>
              </w:rPr>
            </w:pPr>
            <w:r w:rsidRPr="00651D20">
              <w:rPr>
                <w:rFonts w:cs="Verdana"/>
                <w:sz w:val="16"/>
                <w:szCs w:val="16"/>
              </w:rPr>
              <w:t>2) Udział procentowy</w:t>
            </w:r>
          </w:p>
        </w:tc>
      </w:tr>
      <w:tr w:rsidR="00E04D72" w:rsidRPr="008879B5" w:rsidTr="00B65FD4">
        <w:trPr>
          <w:trHeight w:val="696"/>
          <w:jc w:val="center"/>
        </w:trPr>
        <w:tc>
          <w:tcPr>
            <w:tcW w:w="1672" w:type="dxa"/>
            <w:vMerge/>
            <w:vAlign w:val="center"/>
          </w:tcPr>
          <w:p w:rsidR="00E04D72" w:rsidRPr="00651D20" w:rsidRDefault="00E04D72" w:rsidP="00B65FD4">
            <w:pPr>
              <w:jc w:val="center"/>
              <w:rPr>
                <w:rFonts w:cs="Arial"/>
                <w:sz w:val="16"/>
                <w:szCs w:val="16"/>
                <w:lang w:eastAsia="pl-PL"/>
              </w:rPr>
            </w:pPr>
          </w:p>
        </w:tc>
        <w:tc>
          <w:tcPr>
            <w:tcW w:w="1134" w:type="dxa"/>
            <w:vMerge/>
            <w:vAlign w:val="center"/>
          </w:tcPr>
          <w:p w:rsidR="00E04D72" w:rsidRPr="00651D20" w:rsidRDefault="00E04D72" w:rsidP="00B65FD4">
            <w:pPr>
              <w:jc w:val="center"/>
              <w:rPr>
                <w:rFonts w:cs="Arial"/>
                <w:sz w:val="16"/>
                <w:szCs w:val="16"/>
                <w:lang w:eastAsia="pl-PL"/>
              </w:rPr>
            </w:pPr>
          </w:p>
        </w:tc>
        <w:tc>
          <w:tcPr>
            <w:tcW w:w="826" w:type="dxa"/>
            <w:vMerge/>
            <w:vAlign w:val="center"/>
          </w:tcPr>
          <w:p w:rsidR="00E04D72" w:rsidRPr="00651D20" w:rsidRDefault="00E04D72" w:rsidP="00B65FD4">
            <w:pPr>
              <w:jc w:val="center"/>
              <w:rPr>
                <w:rFonts w:cs="Arial"/>
                <w:sz w:val="16"/>
                <w:szCs w:val="16"/>
                <w:lang w:eastAsia="pl-PL"/>
              </w:rPr>
            </w:pPr>
          </w:p>
        </w:tc>
        <w:tc>
          <w:tcPr>
            <w:tcW w:w="798" w:type="dxa"/>
            <w:vMerge/>
            <w:vAlign w:val="center"/>
          </w:tcPr>
          <w:p w:rsidR="00E04D72" w:rsidRPr="00651D20" w:rsidRDefault="00E04D72" w:rsidP="00B65FD4">
            <w:pPr>
              <w:jc w:val="center"/>
              <w:rPr>
                <w:rFonts w:cs="Arial"/>
                <w:sz w:val="16"/>
                <w:szCs w:val="16"/>
                <w:lang w:eastAsia="pl-PL"/>
              </w:rPr>
            </w:pPr>
          </w:p>
        </w:tc>
        <w:tc>
          <w:tcPr>
            <w:tcW w:w="910" w:type="dxa"/>
            <w:vAlign w:val="center"/>
          </w:tcPr>
          <w:p w:rsidR="00E04D72" w:rsidRPr="00651D20" w:rsidRDefault="00E04D72" w:rsidP="00B65FD4">
            <w:pPr>
              <w:ind w:left="-108" w:right="-108"/>
              <w:jc w:val="center"/>
              <w:rPr>
                <w:rFonts w:cs="Arial"/>
                <w:sz w:val="10"/>
                <w:szCs w:val="10"/>
                <w:lang w:eastAsia="pl-PL"/>
              </w:rPr>
            </w:pPr>
            <w:r w:rsidRPr="00651D20">
              <w:rPr>
                <w:rFonts w:cs="Arial"/>
                <w:sz w:val="10"/>
                <w:szCs w:val="10"/>
                <w:lang w:eastAsia="pl-PL"/>
              </w:rPr>
              <w:t xml:space="preserve">utrzymanych </w:t>
            </w:r>
            <w:r>
              <w:rPr>
                <w:rFonts w:cs="Arial"/>
                <w:sz w:val="10"/>
                <w:szCs w:val="10"/>
                <w:lang w:eastAsia="pl-PL"/>
              </w:rPr>
              <w:br/>
            </w:r>
            <w:r w:rsidRPr="00651D20">
              <w:rPr>
                <w:rFonts w:cs="Arial"/>
                <w:sz w:val="10"/>
                <w:szCs w:val="10"/>
                <w:lang w:eastAsia="pl-PL"/>
              </w:rPr>
              <w:t>w</w:t>
            </w:r>
            <w:r w:rsidRPr="008879B5">
              <w:rPr>
                <w:rFonts w:cs="Arial"/>
                <w:sz w:val="10"/>
                <w:szCs w:val="10"/>
                <w:lang w:eastAsia="pl-PL"/>
              </w:rPr>
              <w:t xml:space="preserve"> </w:t>
            </w:r>
            <w:r w:rsidRPr="00651D20">
              <w:rPr>
                <w:rFonts w:cs="Arial"/>
                <w:sz w:val="10"/>
                <w:szCs w:val="10"/>
                <w:lang w:eastAsia="pl-PL"/>
              </w:rPr>
              <w:t>mocy</w:t>
            </w:r>
          </w:p>
          <w:p w:rsidR="00E04D72" w:rsidRPr="008879B5" w:rsidRDefault="00E04D72" w:rsidP="00B65FD4">
            <w:pPr>
              <w:jc w:val="center"/>
              <w:rPr>
                <w:rFonts w:cs="Arial"/>
                <w:sz w:val="10"/>
                <w:szCs w:val="10"/>
                <w:lang w:eastAsia="pl-PL"/>
              </w:rPr>
            </w:pPr>
          </w:p>
        </w:tc>
        <w:tc>
          <w:tcPr>
            <w:tcW w:w="881" w:type="dxa"/>
            <w:vAlign w:val="center"/>
          </w:tcPr>
          <w:p w:rsidR="00E04D72" w:rsidRPr="00651D20" w:rsidRDefault="00E04D72" w:rsidP="00B65FD4">
            <w:pPr>
              <w:ind w:left="-80" w:right="-122"/>
              <w:jc w:val="center"/>
              <w:rPr>
                <w:rFonts w:cs="Arial"/>
                <w:sz w:val="10"/>
                <w:szCs w:val="10"/>
                <w:lang w:eastAsia="pl-PL"/>
              </w:rPr>
            </w:pPr>
            <w:r w:rsidRPr="00651D20">
              <w:rPr>
                <w:rFonts w:cs="Arial"/>
                <w:sz w:val="10"/>
                <w:szCs w:val="10"/>
                <w:lang w:eastAsia="pl-PL"/>
              </w:rPr>
              <w:t>uchylonych i</w:t>
            </w:r>
            <w:r w:rsidRPr="008879B5">
              <w:rPr>
                <w:rFonts w:cs="Arial"/>
                <w:sz w:val="10"/>
                <w:szCs w:val="10"/>
                <w:lang w:eastAsia="pl-PL"/>
              </w:rPr>
              <w:t xml:space="preserve"> </w:t>
            </w:r>
            <w:r w:rsidRPr="00651D20">
              <w:rPr>
                <w:rFonts w:cs="Arial"/>
                <w:sz w:val="10"/>
                <w:szCs w:val="10"/>
                <w:lang w:eastAsia="pl-PL"/>
              </w:rPr>
              <w:t>zmienionych</w:t>
            </w:r>
          </w:p>
          <w:p w:rsidR="00E04D72" w:rsidRPr="008879B5" w:rsidRDefault="00E04D72" w:rsidP="00B65FD4">
            <w:pPr>
              <w:ind w:left="-108" w:right="-122"/>
              <w:jc w:val="center"/>
              <w:rPr>
                <w:rFonts w:cs="Arial"/>
                <w:sz w:val="10"/>
                <w:szCs w:val="10"/>
                <w:lang w:eastAsia="pl-PL"/>
              </w:rPr>
            </w:pPr>
          </w:p>
        </w:tc>
        <w:tc>
          <w:tcPr>
            <w:tcW w:w="896" w:type="dxa"/>
            <w:vAlign w:val="center"/>
          </w:tcPr>
          <w:p w:rsidR="00E04D72" w:rsidRPr="00651D20" w:rsidRDefault="00E04D72" w:rsidP="00B65FD4">
            <w:pPr>
              <w:ind w:left="-108" w:right="-108"/>
              <w:jc w:val="center"/>
              <w:rPr>
                <w:rFonts w:cs="Arial"/>
                <w:sz w:val="10"/>
                <w:szCs w:val="10"/>
                <w:lang w:eastAsia="pl-PL"/>
              </w:rPr>
            </w:pPr>
            <w:r w:rsidRPr="00651D20">
              <w:rPr>
                <w:rFonts w:cs="Arial"/>
                <w:sz w:val="10"/>
                <w:szCs w:val="10"/>
                <w:lang w:eastAsia="pl-PL"/>
              </w:rPr>
              <w:t xml:space="preserve">uchylonych </w:t>
            </w:r>
            <w:r w:rsidRPr="008879B5">
              <w:rPr>
                <w:rFonts w:cs="Arial"/>
                <w:sz w:val="10"/>
                <w:szCs w:val="10"/>
                <w:lang w:eastAsia="pl-PL"/>
              </w:rPr>
              <w:t>i</w:t>
            </w:r>
          </w:p>
          <w:p w:rsidR="00E04D72" w:rsidRPr="00651D20" w:rsidRDefault="00E04D72" w:rsidP="00B65FD4">
            <w:pPr>
              <w:ind w:left="-94" w:right="-108"/>
              <w:jc w:val="center"/>
              <w:rPr>
                <w:rFonts w:cs="Arial"/>
                <w:sz w:val="10"/>
                <w:szCs w:val="10"/>
                <w:lang w:eastAsia="pl-PL"/>
              </w:rPr>
            </w:pPr>
            <w:r w:rsidRPr="00651D20">
              <w:rPr>
                <w:rFonts w:cs="Arial"/>
                <w:sz w:val="10"/>
                <w:szCs w:val="10"/>
                <w:lang w:eastAsia="pl-PL"/>
              </w:rPr>
              <w:t>przekazanych</w:t>
            </w:r>
          </w:p>
          <w:p w:rsidR="00E04D72" w:rsidRPr="00651D20" w:rsidRDefault="00E04D72" w:rsidP="00B65FD4">
            <w:pPr>
              <w:ind w:right="-94"/>
              <w:jc w:val="center"/>
              <w:rPr>
                <w:rFonts w:cs="Arial"/>
                <w:sz w:val="10"/>
                <w:szCs w:val="10"/>
                <w:lang w:eastAsia="pl-PL"/>
              </w:rPr>
            </w:pPr>
            <w:r w:rsidRPr="00651D20">
              <w:rPr>
                <w:rFonts w:cs="Arial"/>
                <w:sz w:val="10"/>
                <w:szCs w:val="10"/>
                <w:lang w:eastAsia="pl-PL"/>
              </w:rPr>
              <w:t>do</w:t>
            </w:r>
            <w:r w:rsidRPr="008879B5">
              <w:rPr>
                <w:rFonts w:cs="Arial"/>
                <w:sz w:val="10"/>
                <w:szCs w:val="10"/>
                <w:lang w:eastAsia="pl-PL"/>
              </w:rPr>
              <w:t xml:space="preserve"> </w:t>
            </w:r>
            <w:r w:rsidRPr="00651D20">
              <w:rPr>
                <w:rFonts w:cs="Arial"/>
                <w:sz w:val="10"/>
                <w:szCs w:val="10"/>
                <w:lang w:eastAsia="pl-PL"/>
              </w:rPr>
              <w:t>ponownego</w:t>
            </w:r>
          </w:p>
          <w:p w:rsidR="00E04D72" w:rsidRPr="008879B5" w:rsidRDefault="00E04D72" w:rsidP="00B65FD4">
            <w:pPr>
              <w:jc w:val="center"/>
              <w:rPr>
                <w:rFonts w:cs="Arial"/>
                <w:sz w:val="10"/>
                <w:szCs w:val="10"/>
                <w:lang w:eastAsia="pl-PL"/>
              </w:rPr>
            </w:pPr>
            <w:r w:rsidRPr="00651D20">
              <w:rPr>
                <w:rFonts w:cs="Arial"/>
                <w:sz w:val="10"/>
                <w:szCs w:val="10"/>
                <w:lang w:eastAsia="pl-PL"/>
              </w:rPr>
              <w:t>rozpoznania</w:t>
            </w:r>
          </w:p>
        </w:tc>
        <w:tc>
          <w:tcPr>
            <w:tcW w:w="924"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 xml:space="preserve">uchylonych i </w:t>
            </w:r>
          </w:p>
          <w:p w:rsidR="00E04D72" w:rsidRPr="00651D20" w:rsidRDefault="00E04D72" w:rsidP="00B65FD4">
            <w:pPr>
              <w:jc w:val="center"/>
              <w:rPr>
                <w:rFonts w:cs="Arial"/>
                <w:sz w:val="10"/>
                <w:szCs w:val="10"/>
                <w:lang w:eastAsia="pl-PL"/>
              </w:rPr>
            </w:pPr>
            <w:r w:rsidRPr="00651D20">
              <w:rPr>
                <w:rFonts w:cs="Arial"/>
                <w:sz w:val="10"/>
                <w:szCs w:val="10"/>
                <w:lang w:eastAsia="pl-PL"/>
              </w:rPr>
              <w:t xml:space="preserve">umarzających </w:t>
            </w:r>
          </w:p>
          <w:p w:rsidR="00E04D72" w:rsidRPr="00651D20" w:rsidRDefault="00E04D72" w:rsidP="00B65FD4">
            <w:pPr>
              <w:ind w:left="-108" w:right="-108"/>
              <w:jc w:val="center"/>
              <w:rPr>
                <w:rFonts w:cs="Arial"/>
                <w:sz w:val="10"/>
                <w:szCs w:val="10"/>
                <w:lang w:eastAsia="pl-PL"/>
              </w:rPr>
            </w:pPr>
            <w:r w:rsidRPr="00651D20">
              <w:rPr>
                <w:rFonts w:cs="Arial"/>
                <w:sz w:val="10"/>
                <w:szCs w:val="10"/>
                <w:lang w:eastAsia="pl-PL"/>
              </w:rPr>
              <w:t>postępowanie I</w:t>
            </w:r>
            <w:r>
              <w:rPr>
                <w:rFonts w:cs="Arial"/>
                <w:sz w:val="10"/>
                <w:szCs w:val="10"/>
                <w:lang w:eastAsia="pl-PL"/>
              </w:rPr>
              <w:t> </w:t>
            </w:r>
            <w:r w:rsidRPr="00651D20">
              <w:rPr>
                <w:rFonts w:cs="Arial"/>
                <w:sz w:val="10"/>
                <w:szCs w:val="10"/>
                <w:lang w:eastAsia="pl-PL"/>
              </w:rPr>
              <w:t xml:space="preserve">instancji lub </w:t>
            </w:r>
          </w:p>
          <w:p w:rsidR="00E04D72" w:rsidRPr="008879B5" w:rsidRDefault="00E04D72" w:rsidP="00B65FD4">
            <w:pPr>
              <w:jc w:val="center"/>
              <w:rPr>
                <w:rFonts w:cs="Arial"/>
                <w:sz w:val="10"/>
                <w:szCs w:val="10"/>
                <w:lang w:eastAsia="pl-PL"/>
              </w:rPr>
            </w:pPr>
            <w:r w:rsidRPr="00651D20">
              <w:rPr>
                <w:rFonts w:cs="Arial"/>
                <w:sz w:val="10"/>
                <w:szCs w:val="10"/>
                <w:lang w:eastAsia="pl-PL"/>
              </w:rPr>
              <w:t>odwoławcze</w:t>
            </w:r>
          </w:p>
        </w:tc>
        <w:tc>
          <w:tcPr>
            <w:tcW w:w="854"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 xml:space="preserve">stwierdzenie </w:t>
            </w:r>
          </w:p>
          <w:p w:rsidR="00E04D72" w:rsidRPr="00651D20" w:rsidRDefault="00E04D72" w:rsidP="00B65FD4">
            <w:pPr>
              <w:jc w:val="center"/>
              <w:rPr>
                <w:rFonts w:cs="Arial"/>
                <w:sz w:val="10"/>
                <w:szCs w:val="10"/>
                <w:lang w:eastAsia="pl-PL"/>
              </w:rPr>
            </w:pPr>
            <w:r w:rsidRPr="00651D20">
              <w:rPr>
                <w:rFonts w:cs="Arial"/>
                <w:sz w:val="10"/>
                <w:szCs w:val="10"/>
                <w:lang w:eastAsia="pl-PL"/>
              </w:rPr>
              <w:t>nieważności</w:t>
            </w:r>
          </w:p>
          <w:p w:rsidR="00E04D72" w:rsidRPr="008879B5" w:rsidRDefault="00E04D72" w:rsidP="00B65FD4">
            <w:pPr>
              <w:jc w:val="center"/>
              <w:rPr>
                <w:rFonts w:cs="Arial"/>
                <w:sz w:val="10"/>
                <w:szCs w:val="10"/>
                <w:lang w:eastAsia="pl-PL"/>
              </w:rPr>
            </w:pPr>
          </w:p>
        </w:tc>
        <w:tc>
          <w:tcPr>
            <w:tcW w:w="756"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inne</w:t>
            </w:r>
          </w:p>
          <w:p w:rsidR="00E04D72" w:rsidRPr="008879B5" w:rsidRDefault="00E04D72" w:rsidP="00B65FD4">
            <w:pPr>
              <w:jc w:val="center"/>
              <w:rPr>
                <w:rFonts w:cs="Arial"/>
                <w:sz w:val="10"/>
                <w:szCs w:val="10"/>
                <w:lang w:eastAsia="pl-PL"/>
              </w:rPr>
            </w:pPr>
          </w:p>
        </w:tc>
        <w:tc>
          <w:tcPr>
            <w:tcW w:w="924" w:type="dxa"/>
            <w:vAlign w:val="center"/>
          </w:tcPr>
          <w:p w:rsidR="00E04D72" w:rsidRPr="00651D20" w:rsidRDefault="00E04D72" w:rsidP="00B65FD4">
            <w:pPr>
              <w:ind w:left="-108" w:right="-108"/>
              <w:jc w:val="center"/>
              <w:rPr>
                <w:rFonts w:cs="Arial"/>
                <w:sz w:val="10"/>
                <w:szCs w:val="10"/>
                <w:lang w:eastAsia="pl-PL"/>
              </w:rPr>
            </w:pPr>
            <w:r w:rsidRPr="00651D20">
              <w:rPr>
                <w:rFonts w:cs="Arial"/>
                <w:sz w:val="10"/>
                <w:szCs w:val="10"/>
                <w:lang w:eastAsia="pl-PL"/>
              </w:rPr>
              <w:t xml:space="preserve">utrzymanych </w:t>
            </w:r>
            <w:r>
              <w:rPr>
                <w:rFonts w:cs="Arial"/>
                <w:sz w:val="10"/>
                <w:szCs w:val="10"/>
                <w:lang w:eastAsia="pl-PL"/>
              </w:rPr>
              <w:br/>
            </w:r>
            <w:r w:rsidRPr="00651D20">
              <w:rPr>
                <w:rFonts w:cs="Arial"/>
                <w:sz w:val="10"/>
                <w:szCs w:val="10"/>
                <w:lang w:eastAsia="pl-PL"/>
              </w:rPr>
              <w:t>w</w:t>
            </w:r>
            <w:r w:rsidRPr="008879B5">
              <w:rPr>
                <w:rFonts w:cs="Arial"/>
                <w:sz w:val="10"/>
                <w:szCs w:val="10"/>
                <w:lang w:eastAsia="pl-PL"/>
              </w:rPr>
              <w:t xml:space="preserve"> </w:t>
            </w:r>
            <w:r w:rsidRPr="00651D20">
              <w:rPr>
                <w:rFonts w:cs="Arial"/>
                <w:sz w:val="10"/>
                <w:szCs w:val="10"/>
                <w:lang w:eastAsia="pl-PL"/>
              </w:rPr>
              <w:t>mocy</w:t>
            </w:r>
          </w:p>
          <w:p w:rsidR="00E04D72" w:rsidRPr="008879B5" w:rsidRDefault="00E04D72" w:rsidP="00B65FD4">
            <w:pPr>
              <w:jc w:val="center"/>
              <w:rPr>
                <w:rFonts w:cs="Arial"/>
                <w:sz w:val="10"/>
                <w:szCs w:val="10"/>
                <w:lang w:eastAsia="pl-PL"/>
              </w:rPr>
            </w:pPr>
          </w:p>
        </w:tc>
        <w:tc>
          <w:tcPr>
            <w:tcW w:w="924" w:type="dxa"/>
            <w:vAlign w:val="center"/>
          </w:tcPr>
          <w:p w:rsidR="00E04D72" w:rsidRPr="00651D20" w:rsidRDefault="00E04D72" w:rsidP="00B65FD4">
            <w:pPr>
              <w:ind w:left="-80" w:right="-122"/>
              <w:jc w:val="center"/>
              <w:rPr>
                <w:rFonts w:cs="Arial"/>
                <w:sz w:val="10"/>
                <w:szCs w:val="10"/>
                <w:lang w:eastAsia="pl-PL"/>
              </w:rPr>
            </w:pPr>
            <w:r w:rsidRPr="00651D20">
              <w:rPr>
                <w:rFonts w:cs="Arial"/>
                <w:sz w:val="10"/>
                <w:szCs w:val="10"/>
                <w:lang w:eastAsia="pl-PL"/>
              </w:rPr>
              <w:t>uchylonych i</w:t>
            </w:r>
            <w:r w:rsidRPr="008879B5">
              <w:rPr>
                <w:rFonts w:cs="Arial"/>
                <w:sz w:val="10"/>
                <w:szCs w:val="10"/>
                <w:lang w:eastAsia="pl-PL"/>
              </w:rPr>
              <w:t xml:space="preserve"> </w:t>
            </w:r>
            <w:r w:rsidRPr="00651D20">
              <w:rPr>
                <w:rFonts w:cs="Arial"/>
                <w:sz w:val="10"/>
                <w:szCs w:val="10"/>
                <w:lang w:eastAsia="pl-PL"/>
              </w:rPr>
              <w:t>zmienionych</w:t>
            </w:r>
          </w:p>
          <w:p w:rsidR="00E04D72" w:rsidRPr="008879B5" w:rsidRDefault="00E04D72" w:rsidP="00B65FD4">
            <w:pPr>
              <w:ind w:left="-108" w:right="-122"/>
              <w:jc w:val="center"/>
              <w:rPr>
                <w:rFonts w:cs="Arial"/>
                <w:sz w:val="10"/>
                <w:szCs w:val="10"/>
                <w:lang w:eastAsia="pl-PL"/>
              </w:rPr>
            </w:pPr>
          </w:p>
        </w:tc>
        <w:tc>
          <w:tcPr>
            <w:tcW w:w="951" w:type="dxa"/>
            <w:vAlign w:val="center"/>
          </w:tcPr>
          <w:p w:rsidR="00E04D72" w:rsidRPr="00651D20" w:rsidRDefault="00E04D72" w:rsidP="00B65FD4">
            <w:pPr>
              <w:ind w:left="-108" w:right="-122"/>
              <w:jc w:val="center"/>
              <w:rPr>
                <w:rFonts w:cs="Arial"/>
                <w:sz w:val="10"/>
                <w:szCs w:val="10"/>
                <w:lang w:eastAsia="pl-PL"/>
              </w:rPr>
            </w:pPr>
            <w:r w:rsidRPr="00651D20">
              <w:rPr>
                <w:rFonts w:cs="Arial"/>
                <w:sz w:val="10"/>
                <w:szCs w:val="10"/>
                <w:lang w:eastAsia="pl-PL"/>
              </w:rPr>
              <w:t xml:space="preserve">uchylonych </w:t>
            </w:r>
            <w:r w:rsidRPr="008879B5">
              <w:rPr>
                <w:rFonts w:cs="Arial"/>
                <w:sz w:val="10"/>
                <w:szCs w:val="10"/>
                <w:lang w:eastAsia="pl-PL"/>
              </w:rPr>
              <w:t>i</w:t>
            </w:r>
          </w:p>
          <w:p w:rsidR="00E04D72" w:rsidRPr="00651D20" w:rsidRDefault="00E04D72" w:rsidP="00B65FD4">
            <w:pPr>
              <w:ind w:left="-94" w:right="-108"/>
              <w:jc w:val="center"/>
              <w:rPr>
                <w:rFonts w:cs="Arial"/>
                <w:sz w:val="10"/>
                <w:szCs w:val="10"/>
                <w:lang w:eastAsia="pl-PL"/>
              </w:rPr>
            </w:pPr>
            <w:r w:rsidRPr="00651D20">
              <w:rPr>
                <w:rFonts w:cs="Arial"/>
                <w:sz w:val="10"/>
                <w:szCs w:val="10"/>
                <w:lang w:eastAsia="pl-PL"/>
              </w:rPr>
              <w:t>przekazanych</w:t>
            </w:r>
          </w:p>
          <w:p w:rsidR="00E04D72" w:rsidRPr="00651D20" w:rsidRDefault="00E04D72" w:rsidP="00B65FD4">
            <w:pPr>
              <w:ind w:right="-94"/>
              <w:jc w:val="center"/>
              <w:rPr>
                <w:rFonts w:cs="Arial"/>
                <w:sz w:val="10"/>
                <w:szCs w:val="10"/>
                <w:lang w:eastAsia="pl-PL"/>
              </w:rPr>
            </w:pPr>
            <w:r w:rsidRPr="00651D20">
              <w:rPr>
                <w:rFonts w:cs="Arial"/>
                <w:sz w:val="10"/>
                <w:szCs w:val="10"/>
                <w:lang w:eastAsia="pl-PL"/>
              </w:rPr>
              <w:t>do</w:t>
            </w:r>
            <w:r w:rsidRPr="008879B5">
              <w:rPr>
                <w:rFonts w:cs="Arial"/>
                <w:sz w:val="10"/>
                <w:szCs w:val="10"/>
                <w:lang w:eastAsia="pl-PL"/>
              </w:rPr>
              <w:t xml:space="preserve"> </w:t>
            </w:r>
            <w:r w:rsidRPr="00651D20">
              <w:rPr>
                <w:rFonts w:cs="Arial"/>
                <w:sz w:val="10"/>
                <w:szCs w:val="10"/>
                <w:lang w:eastAsia="pl-PL"/>
              </w:rPr>
              <w:t>ponownego</w:t>
            </w:r>
          </w:p>
          <w:p w:rsidR="00E04D72" w:rsidRPr="008879B5" w:rsidRDefault="00E04D72" w:rsidP="00B65FD4">
            <w:pPr>
              <w:jc w:val="center"/>
              <w:rPr>
                <w:rFonts w:cs="Arial"/>
                <w:sz w:val="10"/>
                <w:szCs w:val="10"/>
                <w:lang w:eastAsia="pl-PL"/>
              </w:rPr>
            </w:pPr>
            <w:r w:rsidRPr="00651D20">
              <w:rPr>
                <w:rFonts w:cs="Arial"/>
                <w:sz w:val="10"/>
                <w:szCs w:val="10"/>
                <w:lang w:eastAsia="pl-PL"/>
              </w:rPr>
              <w:t>rozpoznania</w:t>
            </w:r>
          </w:p>
        </w:tc>
        <w:tc>
          <w:tcPr>
            <w:tcW w:w="980"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 xml:space="preserve">uchylonych i </w:t>
            </w:r>
          </w:p>
          <w:p w:rsidR="00E04D72" w:rsidRPr="00651D20" w:rsidRDefault="00E04D72" w:rsidP="00B65FD4">
            <w:pPr>
              <w:jc w:val="center"/>
              <w:rPr>
                <w:rFonts w:cs="Arial"/>
                <w:sz w:val="10"/>
                <w:szCs w:val="10"/>
                <w:lang w:eastAsia="pl-PL"/>
              </w:rPr>
            </w:pPr>
            <w:r w:rsidRPr="00651D20">
              <w:rPr>
                <w:rFonts w:cs="Arial"/>
                <w:sz w:val="10"/>
                <w:szCs w:val="10"/>
                <w:lang w:eastAsia="pl-PL"/>
              </w:rPr>
              <w:t xml:space="preserve">umarzających </w:t>
            </w:r>
          </w:p>
          <w:p w:rsidR="00E04D72" w:rsidRPr="00651D20" w:rsidRDefault="00E04D72" w:rsidP="00B65FD4">
            <w:pPr>
              <w:ind w:left="-108" w:right="-108"/>
              <w:jc w:val="center"/>
              <w:rPr>
                <w:rFonts w:cs="Arial"/>
                <w:sz w:val="10"/>
                <w:szCs w:val="10"/>
                <w:lang w:eastAsia="pl-PL"/>
              </w:rPr>
            </w:pPr>
            <w:r w:rsidRPr="00651D20">
              <w:rPr>
                <w:rFonts w:cs="Arial"/>
                <w:sz w:val="10"/>
                <w:szCs w:val="10"/>
                <w:lang w:eastAsia="pl-PL"/>
              </w:rPr>
              <w:t>postępowanie I</w:t>
            </w:r>
            <w:r>
              <w:rPr>
                <w:rFonts w:cs="Arial"/>
                <w:sz w:val="10"/>
                <w:szCs w:val="10"/>
                <w:lang w:eastAsia="pl-PL"/>
              </w:rPr>
              <w:t> </w:t>
            </w:r>
            <w:r w:rsidRPr="00651D20">
              <w:rPr>
                <w:rFonts w:cs="Arial"/>
                <w:sz w:val="10"/>
                <w:szCs w:val="10"/>
                <w:lang w:eastAsia="pl-PL"/>
              </w:rPr>
              <w:t xml:space="preserve">instancji lub </w:t>
            </w:r>
          </w:p>
          <w:p w:rsidR="00E04D72" w:rsidRPr="008879B5" w:rsidRDefault="00E04D72" w:rsidP="00B65FD4">
            <w:pPr>
              <w:jc w:val="center"/>
              <w:rPr>
                <w:rFonts w:cs="Arial"/>
                <w:sz w:val="10"/>
                <w:szCs w:val="10"/>
                <w:lang w:eastAsia="pl-PL"/>
              </w:rPr>
            </w:pPr>
            <w:r w:rsidRPr="00651D20">
              <w:rPr>
                <w:rFonts w:cs="Arial"/>
                <w:sz w:val="10"/>
                <w:szCs w:val="10"/>
                <w:lang w:eastAsia="pl-PL"/>
              </w:rPr>
              <w:t>odwoławcze</w:t>
            </w:r>
          </w:p>
        </w:tc>
        <w:tc>
          <w:tcPr>
            <w:tcW w:w="882"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 xml:space="preserve">stwierdzenie </w:t>
            </w:r>
          </w:p>
          <w:p w:rsidR="00E04D72" w:rsidRPr="00651D20" w:rsidRDefault="00E04D72" w:rsidP="00B65FD4">
            <w:pPr>
              <w:jc w:val="center"/>
              <w:rPr>
                <w:rFonts w:cs="Arial"/>
                <w:sz w:val="10"/>
                <w:szCs w:val="10"/>
                <w:lang w:eastAsia="pl-PL"/>
              </w:rPr>
            </w:pPr>
            <w:r w:rsidRPr="00651D20">
              <w:rPr>
                <w:rFonts w:cs="Arial"/>
                <w:sz w:val="10"/>
                <w:szCs w:val="10"/>
                <w:lang w:eastAsia="pl-PL"/>
              </w:rPr>
              <w:t>nieważności</w:t>
            </w:r>
          </w:p>
          <w:p w:rsidR="00E04D72" w:rsidRPr="008879B5" w:rsidRDefault="00E04D72" w:rsidP="00B65FD4">
            <w:pPr>
              <w:jc w:val="center"/>
              <w:rPr>
                <w:rFonts w:cs="Arial"/>
                <w:sz w:val="10"/>
                <w:szCs w:val="10"/>
                <w:lang w:eastAsia="pl-PL"/>
              </w:rPr>
            </w:pPr>
          </w:p>
        </w:tc>
        <w:tc>
          <w:tcPr>
            <w:tcW w:w="768"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inne</w:t>
            </w:r>
          </w:p>
          <w:p w:rsidR="00E04D72" w:rsidRPr="008879B5" w:rsidRDefault="00E04D72" w:rsidP="00B65FD4">
            <w:pPr>
              <w:jc w:val="center"/>
              <w:rPr>
                <w:rFonts w:cs="Arial"/>
                <w:sz w:val="10"/>
                <w:szCs w:val="10"/>
                <w:lang w:eastAsia="pl-PL"/>
              </w:rPr>
            </w:pPr>
          </w:p>
        </w:tc>
      </w:tr>
      <w:tr w:rsidR="00E04D72" w:rsidRPr="00651D20" w:rsidTr="00B65FD4">
        <w:trPr>
          <w:jc w:val="center"/>
        </w:trPr>
        <w:tc>
          <w:tcPr>
            <w:tcW w:w="1672"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Biuro Miejskiego Konserwatora Zabytków we Wrocławiu</w:t>
            </w:r>
          </w:p>
        </w:tc>
        <w:tc>
          <w:tcPr>
            <w:tcW w:w="1134"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1442</w:t>
            </w:r>
          </w:p>
        </w:tc>
        <w:tc>
          <w:tcPr>
            <w:tcW w:w="826"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10</w:t>
            </w:r>
          </w:p>
        </w:tc>
        <w:tc>
          <w:tcPr>
            <w:tcW w:w="798"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0,69</w:t>
            </w:r>
          </w:p>
        </w:tc>
        <w:tc>
          <w:tcPr>
            <w:tcW w:w="910" w:type="dxa"/>
          </w:tcPr>
          <w:p w:rsidR="00E04D72" w:rsidRPr="00651D20" w:rsidRDefault="00E04D72" w:rsidP="00B65FD4">
            <w:pPr>
              <w:jc w:val="center"/>
              <w:rPr>
                <w:rFonts w:cs="Arial"/>
                <w:sz w:val="16"/>
                <w:szCs w:val="16"/>
                <w:lang w:eastAsia="pl-PL"/>
              </w:rPr>
            </w:pPr>
          </w:p>
        </w:tc>
        <w:tc>
          <w:tcPr>
            <w:tcW w:w="881" w:type="dxa"/>
          </w:tcPr>
          <w:p w:rsidR="00E04D72" w:rsidRPr="00651D20" w:rsidRDefault="00E04D72" w:rsidP="00B65FD4">
            <w:pPr>
              <w:jc w:val="center"/>
              <w:rPr>
                <w:rFonts w:cs="Arial"/>
                <w:sz w:val="16"/>
                <w:szCs w:val="16"/>
                <w:lang w:eastAsia="pl-PL"/>
              </w:rPr>
            </w:pPr>
          </w:p>
        </w:tc>
        <w:tc>
          <w:tcPr>
            <w:tcW w:w="896" w:type="dxa"/>
          </w:tcPr>
          <w:p w:rsidR="00E04D72" w:rsidRPr="00651D20" w:rsidRDefault="00E04D72" w:rsidP="00B65FD4">
            <w:pPr>
              <w:jc w:val="center"/>
              <w:rPr>
                <w:rFonts w:cs="Arial"/>
                <w:sz w:val="16"/>
                <w:szCs w:val="16"/>
                <w:lang w:eastAsia="pl-PL"/>
              </w:rPr>
            </w:pPr>
          </w:p>
        </w:tc>
        <w:tc>
          <w:tcPr>
            <w:tcW w:w="924" w:type="dxa"/>
          </w:tcPr>
          <w:p w:rsidR="00E04D72" w:rsidRPr="00651D20" w:rsidRDefault="00E04D72" w:rsidP="00B65FD4">
            <w:pPr>
              <w:jc w:val="center"/>
              <w:rPr>
                <w:rFonts w:cs="Arial"/>
                <w:sz w:val="16"/>
                <w:szCs w:val="16"/>
                <w:lang w:eastAsia="pl-PL"/>
              </w:rPr>
            </w:pPr>
          </w:p>
        </w:tc>
        <w:tc>
          <w:tcPr>
            <w:tcW w:w="854" w:type="dxa"/>
          </w:tcPr>
          <w:p w:rsidR="00E04D72" w:rsidRPr="00651D20" w:rsidRDefault="00E04D72" w:rsidP="00B65FD4">
            <w:pPr>
              <w:jc w:val="center"/>
              <w:rPr>
                <w:rFonts w:cs="Arial"/>
                <w:sz w:val="16"/>
                <w:szCs w:val="16"/>
                <w:lang w:eastAsia="pl-PL"/>
              </w:rPr>
            </w:pPr>
          </w:p>
        </w:tc>
        <w:tc>
          <w:tcPr>
            <w:tcW w:w="756" w:type="dxa"/>
          </w:tcPr>
          <w:p w:rsidR="00E04D72" w:rsidRPr="00651D20" w:rsidRDefault="00E04D72" w:rsidP="00B65FD4">
            <w:pPr>
              <w:jc w:val="center"/>
              <w:rPr>
                <w:rFonts w:cs="Arial"/>
                <w:sz w:val="16"/>
                <w:szCs w:val="16"/>
                <w:lang w:eastAsia="pl-PL"/>
              </w:rPr>
            </w:pPr>
          </w:p>
        </w:tc>
        <w:tc>
          <w:tcPr>
            <w:tcW w:w="924" w:type="dxa"/>
          </w:tcPr>
          <w:p w:rsidR="00E04D72" w:rsidRPr="00651D20" w:rsidRDefault="00E04D72" w:rsidP="00B65FD4">
            <w:pPr>
              <w:rPr>
                <w:rFonts w:cs="Arial"/>
                <w:sz w:val="16"/>
                <w:szCs w:val="16"/>
                <w:lang w:eastAsia="pl-PL"/>
              </w:rPr>
            </w:pPr>
          </w:p>
        </w:tc>
        <w:tc>
          <w:tcPr>
            <w:tcW w:w="924" w:type="dxa"/>
          </w:tcPr>
          <w:p w:rsidR="00E04D72" w:rsidRPr="00651D20" w:rsidRDefault="00E04D72" w:rsidP="00B65FD4">
            <w:pPr>
              <w:jc w:val="center"/>
              <w:rPr>
                <w:rFonts w:cs="Arial"/>
                <w:sz w:val="16"/>
                <w:szCs w:val="16"/>
                <w:lang w:eastAsia="pl-PL"/>
              </w:rPr>
            </w:pPr>
          </w:p>
        </w:tc>
        <w:tc>
          <w:tcPr>
            <w:tcW w:w="951" w:type="dxa"/>
          </w:tcPr>
          <w:p w:rsidR="00E04D72" w:rsidRPr="00651D20" w:rsidRDefault="00E04D72" w:rsidP="00B65FD4">
            <w:pPr>
              <w:rPr>
                <w:rFonts w:cs="Arial"/>
                <w:sz w:val="16"/>
                <w:szCs w:val="16"/>
                <w:lang w:eastAsia="pl-PL"/>
              </w:rPr>
            </w:pPr>
          </w:p>
        </w:tc>
        <w:tc>
          <w:tcPr>
            <w:tcW w:w="980" w:type="dxa"/>
          </w:tcPr>
          <w:p w:rsidR="00E04D72" w:rsidRPr="00651D20" w:rsidRDefault="00E04D72" w:rsidP="00B65FD4">
            <w:pPr>
              <w:jc w:val="center"/>
              <w:rPr>
                <w:rFonts w:cs="Arial"/>
                <w:sz w:val="16"/>
                <w:szCs w:val="16"/>
                <w:lang w:eastAsia="pl-PL"/>
              </w:rPr>
            </w:pPr>
          </w:p>
        </w:tc>
        <w:tc>
          <w:tcPr>
            <w:tcW w:w="882" w:type="dxa"/>
          </w:tcPr>
          <w:p w:rsidR="00E04D72" w:rsidRPr="00651D20" w:rsidRDefault="00E04D72" w:rsidP="00B65FD4">
            <w:pPr>
              <w:jc w:val="center"/>
              <w:rPr>
                <w:rFonts w:cs="Arial"/>
                <w:sz w:val="16"/>
                <w:szCs w:val="16"/>
                <w:lang w:eastAsia="pl-PL"/>
              </w:rPr>
            </w:pPr>
          </w:p>
        </w:tc>
        <w:tc>
          <w:tcPr>
            <w:tcW w:w="768" w:type="dxa"/>
          </w:tcPr>
          <w:p w:rsidR="00E04D72" w:rsidRPr="00651D20" w:rsidRDefault="00E04D72" w:rsidP="00B65FD4">
            <w:pPr>
              <w:jc w:val="center"/>
              <w:rPr>
                <w:rFonts w:cs="Arial"/>
                <w:sz w:val="16"/>
                <w:szCs w:val="16"/>
                <w:lang w:eastAsia="pl-PL"/>
              </w:rPr>
            </w:pPr>
          </w:p>
        </w:tc>
      </w:tr>
      <w:tr w:rsidR="00E04D72" w:rsidRPr="00651D20" w:rsidTr="00B65FD4">
        <w:trPr>
          <w:jc w:val="center"/>
        </w:trPr>
        <w:tc>
          <w:tcPr>
            <w:tcW w:w="1672" w:type="dxa"/>
            <w:vMerge/>
          </w:tcPr>
          <w:p w:rsidR="00E04D72" w:rsidRPr="00651D20" w:rsidRDefault="00E04D72" w:rsidP="00B65FD4">
            <w:pPr>
              <w:jc w:val="center"/>
              <w:rPr>
                <w:rFonts w:cs="Arial"/>
                <w:sz w:val="16"/>
                <w:szCs w:val="16"/>
                <w:lang w:eastAsia="pl-PL"/>
              </w:rPr>
            </w:pPr>
          </w:p>
        </w:tc>
        <w:tc>
          <w:tcPr>
            <w:tcW w:w="1134" w:type="dxa"/>
            <w:vMerge/>
          </w:tcPr>
          <w:p w:rsidR="00E04D72" w:rsidRPr="00651D20" w:rsidRDefault="00E04D72" w:rsidP="00B65FD4">
            <w:pPr>
              <w:jc w:val="center"/>
              <w:rPr>
                <w:rFonts w:cs="Arial"/>
                <w:sz w:val="16"/>
                <w:szCs w:val="16"/>
                <w:lang w:eastAsia="pl-PL"/>
              </w:rPr>
            </w:pPr>
          </w:p>
        </w:tc>
        <w:tc>
          <w:tcPr>
            <w:tcW w:w="826" w:type="dxa"/>
            <w:vMerge/>
          </w:tcPr>
          <w:p w:rsidR="00E04D72" w:rsidRPr="00651D20" w:rsidRDefault="00E04D72" w:rsidP="00B65FD4">
            <w:pPr>
              <w:jc w:val="center"/>
              <w:rPr>
                <w:rFonts w:cs="Arial"/>
                <w:sz w:val="16"/>
                <w:szCs w:val="16"/>
                <w:lang w:eastAsia="pl-PL"/>
              </w:rPr>
            </w:pPr>
          </w:p>
        </w:tc>
        <w:tc>
          <w:tcPr>
            <w:tcW w:w="798" w:type="dxa"/>
            <w:vMerge/>
          </w:tcPr>
          <w:p w:rsidR="00E04D72" w:rsidRPr="00651D20" w:rsidRDefault="00E04D72" w:rsidP="00B65FD4">
            <w:pPr>
              <w:jc w:val="center"/>
              <w:rPr>
                <w:rFonts w:cs="Arial"/>
                <w:sz w:val="16"/>
                <w:szCs w:val="16"/>
                <w:lang w:eastAsia="pl-PL"/>
              </w:rPr>
            </w:pPr>
          </w:p>
        </w:tc>
        <w:tc>
          <w:tcPr>
            <w:tcW w:w="910" w:type="dxa"/>
          </w:tcPr>
          <w:p w:rsidR="00E04D72" w:rsidRPr="00651D20" w:rsidRDefault="00E04D72" w:rsidP="00B65FD4">
            <w:pPr>
              <w:jc w:val="center"/>
              <w:rPr>
                <w:rFonts w:cs="Arial"/>
                <w:sz w:val="16"/>
                <w:szCs w:val="16"/>
                <w:lang w:eastAsia="pl-PL"/>
              </w:rPr>
            </w:pPr>
          </w:p>
        </w:tc>
        <w:tc>
          <w:tcPr>
            <w:tcW w:w="881" w:type="dxa"/>
          </w:tcPr>
          <w:p w:rsidR="00E04D72" w:rsidRPr="00651D20" w:rsidRDefault="00E04D72" w:rsidP="00B65FD4">
            <w:pPr>
              <w:jc w:val="center"/>
              <w:rPr>
                <w:rFonts w:cs="Arial"/>
                <w:sz w:val="16"/>
                <w:szCs w:val="16"/>
                <w:lang w:eastAsia="pl-PL"/>
              </w:rPr>
            </w:pPr>
          </w:p>
        </w:tc>
        <w:tc>
          <w:tcPr>
            <w:tcW w:w="896" w:type="dxa"/>
          </w:tcPr>
          <w:p w:rsidR="00E04D72" w:rsidRPr="00651D20" w:rsidRDefault="00E04D72" w:rsidP="00B65FD4">
            <w:pPr>
              <w:jc w:val="center"/>
              <w:rPr>
                <w:rFonts w:cs="Arial"/>
                <w:sz w:val="16"/>
                <w:szCs w:val="16"/>
                <w:lang w:eastAsia="pl-PL"/>
              </w:rPr>
            </w:pPr>
          </w:p>
        </w:tc>
        <w:tc>
          <w:tcPr>
            <w:tcW w:w="924" w:type="dxa"/>
          </w:tcPr>
          <w:p w:rsidR="00E04D72" w:rsidRPr="00651D20" w:rsidRDefault="00E04D72" w:rsidP="00B65FD4">
            <w:pPr>
              <w:jc w:val="center"/>
              <w:rPr>
                <w:rFonts w:cs="Arial"/>
                <w:sz w:val="16"/>
                <w:szCs w:val="16"/>
                <w:lang w:eastAsia="pl-PL"/>
              </w:rPr>
            </w:pPr>
          </w:p>
        </w:tc>
        <w:tc>
          <w:tcPr>
            <w:tcW w:w="854" w:type="dxa"/>
          </w:tcPr>
          <w:p w:rsidR="00E04D72" w:rsidRPr="00651D20" w:rsidRDefault="00E04D72" w:rsidP="00B65FD4">
            <w:pPr>
              <w:jc w:val="center"/>
              <w:rPr>
                <w:rFonts w:cs="Arial"/>
                <w:sz w:val="16"/>
                <w:szCs w:val="16"/>
                <w:lang w:eastAsia="pl-PL"/>
              </w:rPr>
            </w:pPr>
          </w:p>
        </w:tc>
        <w:tc>
          <w:tcPr>
            <w:tcW w:w="756" w:type="dxa"/>
          </w:tcPr>
          <w:p w:rsidR="00E04D72" w:rsidRPr="00651D20" w:rsidRDefault="00E04D72" w:rsidP="00B65FD4">
            <w:pPr>
              <w:jc w:val="center"/>
              <w:rPr>
                <w:rFonts w:cs="Arial"/>
                <w:sz w:val="16"/>
                <w:szCs w:val="16"/>
                <w:lang w:eastAsia="pl-PL"/>
              </w:rPr>
            </w:pPr>
          </w:p>
        </w:tc>
        <w:tc>
          <w:tcPr>
            <w:tcW w:w="924" w:type="dxa"/>
          </w:tcPr>
          <w:p w:rsidR="00E04D72" w:rsidRPr="00651D20" w:rsidRDefault="00E04D72" w:rsidP="00B65FD4">
            <w:pPr>
              <w:jc w:val="center"/>
              <w:rPr>
                <w:rFonts w:cs="Arial"/>
                <w:sz w:val="16"/>
                <w:szCs w:val="16"/>
                <w:lang w:eastAsia="pl-PL"/>
              </w:rPr>
            </w:pPr>
            <w:r>
              <w:rPr>
                <w:rFonts w:cs="Arial"/>
                <w:sz w:val="16"/>
                <w:szCs w:val="16"/>
                <w:lang w:eastAsia="pl-PL"/>
              </w:rPr>
              <w:t>1</w:t>
            </w:r>
          </w:p>
        </w:tc>
        <w:tc>
          <w:tcPr>
            <w:tcW w:w="924" w:type="dxa"/>
          </w:tcPr>
          <w:p w:rsidR="00E04D72" w:rsidRPr="00651D20" w:rsidRDefault="00E04D72" w:rsidP="00B65FD4">
            <w:pPr>
              <w:jc w:val="center"/>
              <w:rPr>
                <w:rFonts w:cs="Arial"/>
                <w:sz w:val="16"/>
                <w:szCs w:val="16"/>
                <w:lang w:eastAsia="pl-PL"/>
              </w:rPr>
            </w:pPr>
          </w:p>
        </w:tc>
        <w:tc>
          <w:tcPr>
            <w:tcW w:w="951" w:type="dxa"/>
          </w:tcPr>
          <w:p w:rsidR="00E04D72" w:rsidRPr="00651D20" w:rsidRDefault="00E04D72" w:rsidP="00B65FD4">
            <w:pPr>
              <w:jc w:val="center"/>
              <w:rPr>
                <w:rFonts w:cs="Arial"/>
                <w:sz w:val="16"/>
                <w:szCs w:val="16"/>
                <w:lang w:eastAsia="pl-PL"/>
              </w:rPr>
            </w:pPr>
            <w:r>
              <w:rPr>
                <w:rFonts w:cs="Arial"/>
                <w:sz w:val="16"/>
                <w:szCs w:val="16"/>
                <w:lang w:eastAsia="pl-PL"/>
              </w:rPr>
              <w:t>5</w:t>
            </w:r>
          </w:p>
        </w:tc>
        <w:tc>
          <w:tcPr>
            <w:tcW w:w="980" w:type="dxa"/>
          </w:tcPr>
          <w:p w:rsidR="00E04D72" w:rsidRPr="00651D20" w:rsidRDefault="00E04D72" w:rsidP="00B65FD4">
            <w:pPr>
              <w:jc w:val="center"/>
              <w:rPr>
                <w:rFonts w:cs="Arial"/>
                <w:sz w:val="16"/>
                <w:szCs w:val="16"/>
                <w:lang w:eastAsia="pl-PL"/>
              </w:rPr>
            </w:pPr>
          </w:p>
        </w:tc>
        <w:tc>
          <w:tcPr>
            <w:tcW w:w="882" w:type="dxa"/>
          </w:tcPr>
          <w:p w:rsidR="00E04D72" w:rsidRPr="00651D20" w:rsidRDefault="00E04D72" w:rsidP="00B65FD4">
            <w:pPr>
              <w:jc w:val="center"/>
              <w:rPr>
                <w:rFonts w:cs="Arial"/>
                <w:sz w:val="16"/>
                <w:szCs w:val="16"/>
                <w:lang w:eastAsia="pl-PL"/>
              </w:rPr>
            </w:pPr>
          </w:p>
        </w:tc>
        <w:tc>
          <w:tcPr>
            <w:tcW w:w="768" w:type="dxa"/>
          </w:tcPr>
          <w:p w:rsidR="00E04D72" w:rsidRPr="00651D20" w:rsidRDefault="00E04D72" w:rsidP="00B65FD4">
            <w:pPr>
              <w:jc w:val="center"/>
              <w:rPr>
                <w:rFonts w:cs="Arial"/>
                <w:sz w:val="16"/>
                <w:szCs w:val="16"/>
                <w:lang w:eastAsia="pl-PL"/>
              </w:rPr>
            </w:pPr>
          </w:p>
        </w:tc>
      </w:tr>
      <w:tr w:rsidR="00E04D72" w:rsidRPr="00651D20" w:rsidTr="00B65FD4">
        <w:trPr>
          <w:jc w:val="center"/>
        </w:trPr>
        <w:tc>
          <w:tcPr>
            <w:tcW w:w="1672"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 xml:space="preserve">Wydział Architektury </w:t>
            </w:r>
            <w:r>
              <w:rPr>
                <w:rFonts w:cs="Arial"/>
                <w:sz w:val="16"/>
                <w:szCs w:val="16"/>
                <w:lang w:eastAsia="pl-PL"/>
              </w:rPr>
              <w:br/>
              <w:t>i Budownictwa</w:t>
            </w:r>
          </w:p>
        </w:tc>
        <w:tc>
          <w:tcPr>
            <w:tcW w:w="1134"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5434</w:t>
            </w:r>
          </w:p>
        </w:tc>
        <w:tc>
          <w:tcPr>
            <w:tcW w:w="826"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145</w:t>
            </w:r>
          </w:p>
        </w:tc>
        <w:tc>
          <w:tcPr>
            <w:tcW w:w="798"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2,67</w:t>
            </w:r>
          </w:p>
        </w:tc>
        <w:tc>
          <w:tcPr>
            <w:tcW w:w="910" w:type="dxa"/>
          </w:tcPr>
          <w:p w:rsidR="00E04D72" w:rsidRPr="00651D20" w:rsidRDefault="00E04D72" w:rsidP="00B65FD4">
            <w:pPr>
              <w:jc w:val="center"/>
              <w:rPr>
                <w:rFonts w:cs="Arial"/>
                <w:sz w:val="16"/>
                <w:szCs w:val="16"/>
                <w:lang w:eastAsia="pl-PL"/>
              </w:rPr>
            </w:pPr>
            <w:r>
              <w:rPr>
                <w:rFonts w:cs="Arial"/>
                <w:sz w:val="16"/>
                <w:szCs w:val="16"/>
                <w:lang w:eastAsia="pl-PL"/>
              </w:rPr>
              <w:t>24</w:t>
            </w:r>
          </w:p>
        </w:tc>
        <w:tc>
          <w:tcPr>
            <w:tcW w:w="881" w:type="dxa"/>
          </w:tcPr>
          <w:p w:rsidR="00E04D72" w:rsidRPr="00651D20" w:rsidRDefault="00E04D72" w:rsidP="00B65FD4">
            <w:pPr>
              <w:jc w:val="center"/>
              <w:rPr>
                <w:rFonts w:cs="Arial"/>
                <w:sz w:val="16"/>
                <w:szCs w:val="16"/>
                <w:lang w:eastAsia="pl-PL"/>
              </w:rPr>
            </w:pPr>
            <w:r>
              <w:rPr>
                <w:rFonts w:cs="Arial"/>
                <w:sz w:val="16"/>
                <w:szCs w:val="16"/>
                <w:lang w:eastAsia="pl-PL"/>
              </w:rPr>
              <w:t>0</w:t>
            </w:r>
          </w:p>
        </w:tc>
        <w:tc>
          <w:tcPr>
            <w:tcW w:w="896" w:type="dxa"/>
          </w:tcPr>
          <w:p w:rsidR="00E04D72" w:rsidRPr="00651D20" w:rsidRDefault="00E04D72" w:rsidP="00B65FD4">
            <w:pPr>
              <w:jc w:val="center"/>
              <w:rPr>
                <w:rFonts w:cs="Arial"/>
                <w:sz w:val="16"/>
                <w:szCs w:val="16"/>
                <w:lang w:eastAsia="pl-PL"/>
              </w:rPr>
            </w:pPr>
            <w:r>
              <w:rPr>
                <w:rFonts w:cs="Arial"/>
                <w:sz w:val="16"/>
                <w:szCs w:val="16"/>
                <w:lang w:eastAsia="pl-PL"/>
              </w:rPr>
              <w:t>32</w:t>
            </w:r>
          </w:p>
        </w:tc>
        <w:tc>
          <w:tcPr>
            <w:tcW w:w="924" w:type="dxa"/>
          </w:tcPr>
          <w:p w:rsidR="00E04D72" w:rsidRPr="00651D20" w:rsidRDefault="00E04D72" w:rsidP="00B65FD4">
            <w:pPr>
              <w:jc w:val="center"/>
              <w:rPr>
                <w:rFonts w:cs="Arial"/>
                <w:sz w:val="16"/>
                <w:szCs w:val="16"/>
                <w:lang w:eastAsia="pl-PL"/>
              </w:rPr>
            </w:pPr>
            <w:r>
              <w:rPr>
                <w:rFonts w:cs="Arial"/>
                <w:sz w:val="16"/>
                <w:szCs w:val="16"/>
                <w:lang w:eastAsia="pl-PL"/>
              </w:rPr>
              <w:t>1</w:t>
            </w:r>
          </w:p>
        </w:tc>
        <w:tc>
          <w:tcPr>
            <w:tcW w:w="854" w:type="dxa"/>
          </w:tcPr>
          <w:p w:rsidR="00E04D72" w:rsidRPr="00651D20" w:rsidRDefault="00E04D72" w:rsidP="00B65FD4">
            <w:pPr>
              <w:jc w:val="center"/>
              <w:rPr>
                <w:rFonts w:cs="Arial"/>
                <w:sz w:val="16"/>
                <w:szCs w:val="16"/>
                <w:lang w:eastAsia="pl-PL"/>
              </w:rPr>
            </w:pPr>
            <w:r>
              <w:rPr>
                <w:rFonts w:cs="Arial"/>
                <w:sz w:val="16"/>
                <w:szCs w:val="16"/>
                <w:lang w:eastAsia="pl-PL"/>
              </w:rPr>
              <w:t>0</w:t>
            </w:r>
          </w:p>
        </w:tc>
        <w:tc>
          <w:tcPr>
            <w:tcW w:w="756" w:type="dxa"/>
          </w:tcPr>
          <w:p w:rsidR="00E04D72" w:rsidRPr="00651D20" w:rsidRDefault="00E04D72" w:rsidP="00B65FD4">
            <w:pPr>
              <w:jc w:val="center"/>
              <w:rPr>
                <w:rFonts w:cs="Arial"/>
                <w:sz w:val="16"/>
                <w:szCs w:val="16"/>
                <w:lang w:eastAsia="pl-PL"/>
              </w:rPr>
            </w:pPr>
            <w:r>
              <w:rPr>
                <w:rFonts w:cs="Arial"/>
                <w:sz w:val="16"/>
                <w:szCs w:val="16"/>
                <w:lang w:eastAsia="pl-PL"/>
              </w:rPr>
              <w:t>0</w:t>
            </w:r>
          </w:p>
        </w:tc>
        <w:tc>
          <w:tcPr>
            <w:tcW w:w="924" w:type="dxa"/>
          </w:tcPr>
          <w:p w:rsidR="00E04D72" w:rsidRPr="00651D20" w:rsidRDefault="00E04D72" w:rsidP="00B65FD4">
            <w:pPr>
              <w:jc w:val="center"/>
              <w:rPr>
                <w:rFonts w:cs="Arial"/>
                <w:sz w:val="16"/>
                <w:szCs w:val="16"/>
                <w:lang w:eastAsia="pl-PL"/>
              </w:rPr>
            </w:pPr>
            <w:r>
              <w:rPr>
                <w:rFonts w:cs="Arial"/>
                <w:sz w:val="16"/>
                <w:szCs w:val="16"/>
                <w:lang w:eastAsia="pl-PL"/>
              </w:rPr>
              <w:t>7</w:t>
            </w:r>
          </w:p>
        </w:tc>
        <w:tc>
          <w:tcPr>
            <w:tcW w:w="924" w:type="dxa"/>
          </w:tcPr>
          <w:p w:rsidR="00E04D72" w:rsidRPr="00651D20" w:rsidRDefault="00E04D72" w:rsidP="00B65FD4">
            <w:pPr>
              <w:jc w:val="center"/>
              <w:rPr>
                <w:rFonts w:cs="Arial"/>
                <w:sz w:val="16"/>
                <w:szCs w:val="16"/>
                <w:lang w:eastAsia="pl-PL"/>
              </w:rPr>
            </w:pPr>
            <w:r>
              <w:rPr>
                <w:rFonts w:cs="Arial"/>
                <w:sz w:val="16"/>
                <w:szCs w:val="16"/>
                <w:lang w:eastAsia="pl-PL"/>
              </w:rPr>
              <w:t>0</w:t>
            </w:r>
          </w:p>
        </w:tc>
        <w:tc>
          <w:tcPr>
            <w:tcW w:w="951" w:type="dxa"/>
          </w:tcPr>
          <w:p w:rsidR="00E04D72" w:rsidRPr="00651D20" w:rsidRDefault="00E04D72" w:rsidP="00B65FD4">
            <w:pPr>
              <w:jc w:val="center"/>
              <w:rPr>
                <w:rFonts w:cs="Arial"/>
                <w:sz w:val="16"/>
                <w:szCs w:val="16"/>
                <w:lang w:eastAsia="pl-PL"/>
              </w:rPr>
            </w:pPr>
            <w:r>
              <w:rPr>
                <w:rFonts w:cs="Arial"/>
                <w:sz w:val="16"/>
                <w:szCs w:val="16"/>
                <w:lang w:eastAsia="pl-PL"/>
              </w:rPr>
              <w:t>1</w:t>
            </w:r>
          </w:p>
        </w:tc>
        <w:tc>
          <w:tcPr>
            <w:tcW w:w="980" w:type="dxa"/>
          </w:tcPr>
          <w:p w:rsidR="00E04D72" w:rsidRPr="00651D20" w:rsidRDefault="00E04D72" w:rsidP="00B65FD4">
            <w:pPr>
              <w:jc w:val="center"/>
              <w:rPr>
                <w:rFonts w:cs="Arial"/>
                <w:sz w:val="16"/>
                <w:szCs w:val="16"/>
                <w:lang w:eastAsia="pl-PL"/>
              </w:rPr>
            </w:pPr>
            <w:r>
              <w:rPr>
                <w:rFonts w:cs="Arial"/>
                <w:sz w:val="16"/>
                <w:szCs w:val="16"/>
                <w:lang w:eastAsia="pl-PL"/>
              </w:rPr>
              <w:t>2</w:t>
            </w:r>
          </w:p>
        </w:tc>
        <w:tc>
          <w:tcPr>
            <w:tcW w:w="882" w:type="dxa"/>
          </w:tcPr>
          <w:p w:rsidR="00E04D72" w:rsidRPr="00651D20" w:rsidRDefault="00E04D72" w:rsidP="00B65FD4">
            <w:pPr>
              <w:jc w:val="center"/>
              <w:rPr>
                <w:rFonts w:cs="Arial"/>
                <w:sz w:val="16"/>
                <w:szCs w:val="16"/>
                <w:lang w:eastAsia="pl-PL"/>
              </w:rPr>
            </w:pPr>
            <w:r>
              <w:rPr>
                <w:rFonts w:cs="Arial"/>
                <w:sz w:val="16"/>
                <w:szCs w:val="16"/>
                <w:lang w:eastAsia="pl-PL"/>
              </w:rPr>
              <w:t>0</w:t>
            </w:r>
          </w:p>
        </w:tc>
        <w:tc>
          <w:tcPr>
            <w:tcW w:w="768" w:type="dxa"/>
          </w:tcPr>
          <w:p w:rsidR="00E04D72" w:rsidRPr="00651D20" w:rsidRDefault="00E04D72" w:rsidP="00B65FD4">
            <w:pPr>
              <w:jc w:val="center"/>
              <w:rPr>
                <w:rFonts w:cs="Arial"/>
                <w:sz w:val="16"/>
                <w:szCs w:val="16"/>
                <w:lang w:eastAsia="pl-PL"/>
              </w:rPr>
            </w:pPr>
            <w:r>
              <w:rPr>
                <w:rFonts w:cs="Arial"/>
                <w:sz w:val="16"/>
                <w:szCs w:val="16"/>
                <w:lang w:eastAsia="pl-PL"/>
              </w:rPr>
              <w:t>4</w:t>
            </w:r>
          </w:p>
        </w:tc>
      </w:tr>
      <w:tr w:rsidR="00E04D72" w:rsidRPr="00651D20" w:rsidTr="00B65FD4">
        <w:trPr>
          <w:jc w:val="center"/>
        </w:trPr>
        <w:tc>
          <w:tcPr>
            <w:tcW w:w="1672" w:type="dxa"/>
            <w:vMerge/>
          </w:tcPr>
          <w:p w:rsidR="00E04D72" w:rsidRPr="00651D20" w:rsidRDefault="00E04D72" w:rsidP="00B65FD4">
            <w:pPr>
              <w:jc w:val="center"/>
              <w:rPr>
                <w:rFonts w:cs="Arial"/>
                <w:sz w:val="16"/>
                <w:szCs w:val="16"/>
                <w:lang w:eastAsia="pl-PL"/>
              </w:rPr>
            </w:pPr>
          </w:p>
        </w:tc>
        <w:tc>
          <w:tcPr>
            <w:tcW w:w="1134" w:type="dxa"/>
            <w:vMerge/>
          </w:tcPr>
          <w:p w:rsidR="00E04D72" w:rsidRPr="00651D20" w:rsidRDefault="00E04D72" w:rsidP="00B65FD4">
            <w:pPr>
              <w:jc w:val="center"/>
              <w:rPr>
                <w:rFonts w:cs="Arial"/>
                <w:sz w:val="16"/>
                <w:szCs w:val="16"/>
                <w:lang w:eastAsia="pl-PL"/>
              </w:rPr>
            </w:pPr>
          </w:p>
        </w:tc>
        <w:tc>
          <w:tcPr>
            <w:tcW w:w="826" w:type="dxa"/>
            <w:vMerge/>
          </w:tcPr>
          <w:p w:rsidR="00E04D72" w:rsidRPr="00651D20" w:rsidRDefault="00E04D72" w:rsidP="00B65FD4">
            <w:pPr>
              <w:jc w:val="center"/>
              <w:rPr>
                <w:rFonts w:cs="Arial"/>
                <w:sz w:val="16"/>
                <w:szCs w:val="16"/>
                <w:lang w:eastAsia="pl-PL"/>
              </w:rPr>
            </w:pPr>
          </w:p>
        </w:tc>
        <w:tc>
          <w:tcPr>
            <w:tcW w:w="798" w:type="dxa"/>
            <w:vMerge/>
          </w:tcPr>
          <w:p w:rsidR="00E04D72" w:rsidRPr="00651D20" w:rsidRDefault="00E04D72" w:rsidP="00B65FD4">
            <w:pPr>
              <w:jc w:val="center"/>
              <w:rPr>
                <w:rFonts w:cs="Arial"/>
                <w:sz w:val="16"/>
                <w:szCs w:val="16"/>
                <w:lang w:eastAsia="pl-PL"/>
              </w:rPr>
            </w:pPr>
          </w:p>
        </w:tc>
        <w:tc>
          <w:tcPr>
            <w:tcW w:w="910" w:type="dxa"/>
          </w:tcPr>
          <w:p w:rsidR="00E04D72" w:rsidRPr="00651D20" w:rsidRDefault="00E04D72" w:rsidP="00B65FD4">
            <w:pPr>
              <w:jc w:val="center"/>
              <w:rPr>
                <w:rFonts w:cs="Arial"/>
                <w:sz w:val="16"/>
                <w:szCs w:val="16"/>
                <w:lang w:eastAsia="pl-PL"/>
              </w:rPr>
            </w:pPr>
            <w:r>
              <w:rPr>
                <w:rFonts w:cs="Arial"/>
                <w:sz w:val="16"/>
                <w:szCs w:val="16"/>
                <w:lang w:eastAsia="pl-PL"/>
              </w:rPr>
              <w:t>31,58%</w:t>
            </w:r>
          </w:p>
        </w:tc>
        <w:tc>
          <w:tcPr>
            <w:tcW w:w="881" w:type="dxa"/>
          </w:tcPr>
          <w:p w:rsidR="00E04D72" w:rsidRPr="00651D20" w:rsidRDefault="00E04D72" w:rsidP="00B65FD4">
            <w:pPr>
              <w:jc w:val="center"/>
              <w:rPr>
                <w:rFonts w:cs="Arial"/>
                <w:sz w:val="16"/>
                <w:szCs w:val="16"/>
                <w:lang w:eastAsia="pl-PL"/>
              </w:rPr>
            </w:pPr>
            <w:r>
              <w:rPr>
                <w:rFonts w:cs="Arial"/>
                <w:sz w:val="16"/>
                <w:szCs w:val="16"/>
                <w:lang w:eastAsia="pl-PL"/>
              </w:rPr>
              <w:t>0</w:t>
            </w:r>
          </w:p>
        </w:tc>
        <w:tc>
          <w:tcPr>
            <w:tcW w:w="896" w:type="dxa"/>
          </w:tcPr>
          <w:p w:rsidR="00E04D72" w:rsidRPr="00651D20" w:rsidRDefault="00E04D72" w:rsidP="00B65FD4">
            <w:pPr>
              <w:jc w:val="center"/>
              <w:rPr>
                <w:rFonts w:cs="Arial"/>
                <w:sz w:val="16"/>
                <w:szCs w:val="16"/>
                <w:lang w:eastAsia="pl-PL"/>
              </w:rPr>
            </w:pPr>
            <w:r>
              <w:rPr>
                <w:rFonts w:cs="Arial"/>
                <w:sz w:val="16"/>
                <w:szCs w:val="16"/>
                <w:lang w:eastAsia="pl-PL"/>
              </w:rPr>
              <w:t>42,11%</w:t>
            </w:r>
          </w:p>
        </w:tc>
        <w:tc>
          <w:tcPr>
            <w:tcW w:w="924" w:type="dxa"/>
          </w:tcPr>
          <w:p w:rsidR="00E04D72" w:rsidRPr="00651D20" w:rsidRDefault="00E04D72" w:rsidP="00B65FD4">
            <w:pPr>
              <w:jc w:val="center"/>
              <w:rPr>
                <w:rFonts w:cs="Arial"/>
                <w:sz w:val="16"/>
                <w:szCs w:val="16"/>
                <w:lang w:eastAsia="pl-PL"/>
              </w:rPr>
            </w:pPr>
            <w:r>
              <w:rPr>
                <w:rFonts w:cs="Arial"/>
                <w:sz w:val="16"/>
                <w:szCs w:val="16"/>
                <w:lang w:eastAsia="pl-PL"/>
              </w:rPr>
              <w:t>1,31%</w:t>
            </w:r>
          </w:p>
        </w:tc>
        <w:tc>
          <w:tcPr>
            <w:tcW w:w="854" w:type="dxa"/>
          </w:tcPr>
          <w:p w:rsidR="00E04D72" w:rsidRPr="00651D20" w:rsidRDefault="00E04D72" w:rsidP="00B65FD4">
            <w:pPr>
              <w:jc w:val="center"/>
              <w:rPr>
                <w:rFonts w:cs="Arial"/>
                <w:sz w:val="16"/>
                <w:szCs w:val="16"/>
                <w:lang w:eastAsia="pl-PL"/>
              </w:rPr>
            </w:pPr>
            <w:r>
              <w:rPr>
                <w:rFonts w:cs="Arial"/>
                <w:sz w:val="16"/>
                <w:szCs w:val="16"/>
                <w:lang w:eastAsia="pl-PL"/>
              </w:rPr>
              <w:t>0</w:t>
            </w:r>
          </w:p>
        </w:tc>
        <w:tc>
          <w:tcPr>
            <w:tcW w:w="756" w:type="dxa"/>
          </w:tcPr>
          <w:p w:rsidR="00E04D72" w:rsidRPr="00651D20" w:rsidRDefault="00E04D72" w:rsidP="00B65FD4">
            <w:pPr>
              <w:jc w:val="center"/>
              <w:rPr>
                <w:rFonts w:cs="Arial"/>
                <w:sz w:val="16"/>
                <w:szCs w:val="16"/>
                <w:lang w:eastAsia="pl-PL"/>
              </w:rPr>
            </w:pPr>
            <w:r>
              <w:rPr>
                <w:rFonts w:cs="Arial"/>
                <w:sz w:val="16"/>
                <w:szCs w:val="16"/>
                <w:lang w:eastAsia="pl-PL"/>
              </w:rPr>
              <w:t>0</w:t>
            </w:r>
          </w:p>
        </w:tc>
        <w:tc>
          <w:tcPr>
            <w:tcW w:w="924" w:type="dxa"/>
          </w:tcPr>
          <w:p w:rsidR="00E04D72" w:rsidRPr="00651D20" w:rsidRDefault="00E04D72" w:rsidP="00B65FD4">
            <w:pPr>
              <w:jc w:val="center"/>
              <w:rPr>
                <w:rFonts w:cs="Arial"/>
                <w:sz w:val="16"/>
                <w:szCs w:val="16"/>
                <w:lang w:eastAsia="pl-PL"/>
              </w:rPr>
            </w:pPr>
            <w:r>
              <w:rPr>
                <w:rFonts w:cs="Arial"/>
                <w:sz w:val="16"/>
                <w:szCs w:val="16"/>
                <w:lang w:eastAsia="pl-PL"/>
              </w:rPr>
              <w:t>10,14%</w:t>
            </w:r>
          </w:p>
        </w:tc>
        <w:tc>
          <w:tcPr>
            <w:tcW w:w="924" w:type="dxa"/>
          </w:tcPr>
          <w:p w:rsidR="00E04D72" w:rsidRPr="00651D20" w:rsidRDefault="00E04D72" w:rsidP="00B65FD4">
            <w:pPr>
              <w:jc w:val="center"/>
              <w:rPr>
                <w:rFonts w:cs="Arial"/>
                <w:sz w:val="16"/>
                <w:szCs w:val="16"/>
                <w:lang w:eastAsia="pl-PL"/>
              </w:rPr>
            </w:pPr>
            <w:r>
              <w:rPr>
                <w:rFonts w:cs="Arial"/>
                <w:sz w:val="16"/>
                <w:szCs w:val="16"/>
                <w:lang w:eastAsia="pl-PL"/>
              </w:rPr>
              <w:t>0</w:t>
            </w:r>
          </w:p>
        </w:tc>
        <w:tc>
          <w:tcPr>
            <w:tcW w:w="951" w:type="dxa"/>
          </w:tcPr>
          <w:p w:rsidR="00E04D72" w:rsidRPr="00651D20" w:rsidRDefault="00E04D72" w:rsidP="00B65FD4">
            <w:pPr>
              <w:jc w:val="center"/>
              <w:rPr>
                <w:rFonts w:cs="Arial"/>
                <w:sz w:val="16"/>
                <w:szCs w:val="16"/>
                <w:lang w:eastAsia="pl-PL"/>
              </w:rPr>
            </w:pPr>
            <w:r>
              <w:rPr>
                <w:rFonts w:cs="Arial"/>
                <w:sz w:val="16"/>
                <w:szCs w:val="16"/>
                <w:lang w:eastAsia="pl-PL"/>
              </w:rPr>
              <w:t>1,45%</w:t>
            </w:r>
          </w:p>
        </w:tc>
        <w:tc>
          <w:tcPr>
            <w:tcW w:w="980" w:type="dxa"/>
          </w:tcPr>
          <w:p w:rsidR="00E04D72" w:rsidRPr="00651D20" w:rsidRDefault="00E04D72" w:rsidP="00B65FD4">
            <w:pPr>
              <w:jc w:val="center"/>
              <w:rPr>
                <w:rFonts w:cs="Arial"/>
                <w:sz w:val="16"/>
                <w:szCs w:val="16"/>
                <w:lang w:eastAsia="pl-PL"/>
              </w:rPr>
            </w:pPr>
            <w:r>
              <w:rPr>
                <w:rFonts w:cs="Arial"/>
                <w:sz w:val="16"/>
                <w:szCs w:val="16"/>
                <w:lang w:eastAsia="pl-PL"/>
              </w:rPr>
              <w:t>2,90%</w:t>
            </w:r>
          </w:p>
        </w:tc>
        <w:tc>
          <w:tcPr>
            <w:tcW w:w="882" w:type="dxa"/>
          </w:tcPr>
          <w:p w:rsidR="00E04D72" w:rsidRPr="00651D20" w:rsidRDefault="00E04D72" w:rsidP="00B65FD4">
            <w:pPr>
              <w:jc w:val="center"/>
              <w:rPr>
                <w:rFonts w:cs="Arial"/>
                <w:sz w:val="16"/>
                <w:szCs w:val="16"/>
                <w:lang w:eastAsia="pl-PL"/>
              </w:rPr>
            </w:pPr>
            <w:r>
              <w:rPr>
                <w:rFonts w:cs="Arial"/>
                <w:sz w:val="16"/>
                <w:szCs w:val="16"/>
                <w:lang w:eastAsia="pl-PL"/>
              </w:rPr>
              <w:t>0</w:t>
            </w:r>
          </w:p>
        </w:tc>
        <w:tc>
          <w:tcPr>
            <w:tcW w:w="768" w:type="dxa"/>
          </w:tcPr>
          <w:p w:rsidR="00E04D72" w:rsidRPr="00651D20" w:rsidRDefault="00E04D72" w:rsidP="00B65FD4">
            <w:pPr>
              <w:jc w:val="center"/>
              <w:rPr>
                <w:rFonts w:cs="Arial"/>
                <w:sz w:val="16"/>
                <w:szCs w:val="16"/>
                <w:lang w:eastAsia="pl-PL"/>
              </w:rPr>
            </w:pPr>
            <w:r>
              <w:rPr>
                <w:rFonts w:cs="Arial"/>
                <w:sz w:val="16"/>
                <w:szCs w:val="16"/>
                <w:lang w:eastAsia="pl-PL"/>
              </w:rPr>
              <w:t>5,80%</w:t>
            </w:r>
          </w:p>
        </w:tc>
      </w:tr>
    </w:tbl>
    <w:p w:rsidR="00E04D72" w:rsidRDefault="00E04D72" w:rsidP="00E04D72">
      <w:pPr>
        <w:rPr>
          <w:szCs w:val="20"/>
        </w:rPr>
      </w:pPr>
    </w:p>
    <w:p w:rsidR="00E04D72" w:rsidRDefault="00E04D72" w:rsidP="00E04D72">
      <w:pPr>
        <w:rPr>
          <w:szCs w:val="20"/>
        </w:rPr>
      </w:pPr>
    </w:p>
    <w:p w:rsidR="00E04D72" w:rsidRDefault="00E04D72" w:rsidP="00E04D72">
      <w:pPr>
        <w:jc w:val="center"/>
        <w:rPr>
          <w:b/>
          <w:bCs/>
          <w:szCs w:val="20"/>
          <w:lang w:eastAsia="pl-PL"/>
        </w:rPr>
      </w:pPr>
    </w:p>
    <w:p w:rsidR="00E04D72" w:rsidRDefault="00E04D72" w:rsidP="00E04D72">
      <w:pPr>
        <w:jc w:val="center"/>
        <w:rPr>
          <w:b/>
          <w:bCs/>
          <w:szCs w:val="20"/>
          <w:lang w:eastAsia="pl-PL"/>
        </w:rPr>
      </w:pPr>
    </w:p>
    <w:p w:rsidR="00E04D72" w:rsidRDefault="00E04D72" w:rsidP="00E04D72">
      <w:pPr>
        <w:jc w:val="center"/>
        <w:rPr>
          <w:b/>
          <w:bCs/>
          <w:szCs w:val="20"/>
          <w:lang w:eastAsia="pl-PL"/>
        </w:rPr>
      </w:pPr>
    </w:p>
    <w:p w:rsidR="00E04D72" w:rsidRDefault="00E04D72" w:rsidP="00E04D72">
      <w:pPr>
        <w:jc w:val="center"/>
        <w:rPr>
          <w:b/>
          <w:bCs/>
          <w:szCs w:val="20"/>
          <w:lang w:eastAsia="pl-PL"/>
        </w:rPr>
      </w:pPr>
    </w:p>
    <w:p w:rsidR="00E04D72" w:rsidRDefault="00E04D72" w:rsidP="008C054F">
      <w:pPr>
        <w:pStyle w:val="Nagwek3"/>
        <w:jc w:val="center"/>
      </w:pPr>
      <w:r w:rsidRPr="00FF2C6D">
        <w:t xml:space="preserve">DECYZJE ADMINISTRACYJNE WYDANE PRZEZ </w:t>
      </w:r>
      <w:r>
        <w:t>DEPARTAMENT EDUKACJI</w:t>
      </w:r>
    </w:p>
    <w:p w:rsidR="00E04D72" w:rsidRDefault="00E04D72" w:rsidP="00E04D72">
      <w:pPr>
        <w:rPr>
          <w:szCs w:val="20"/>
        </w:rPr>
      </w:pPr>
    </w:p>
    <w:tbl>
      <w:tblPr>
        <w:tblStyle w:val="Tabela-Siatka"/>
        <w:tblW w:w="150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672"/>
        <w:gridCol w:w="1134"/>
        <w:gridCol w:w="826"/>
        <w:gridCol w:w="798"/>
        <w:gridCol w:w="910"/>
        <w:gridCol w:w="881"/>
        <w:gridCol w:w="896"/>
        <w:gridCol w:w="924"/>
        <w:gridCol w:w="854"/>
        <w:gridCol w:w="756"/>
        <w:gridCol w:w="924"/>
        <w:gridCol w:w="924"/>
        <w:gridCol w:w="951"/>
        <w:gridCol w:w="980"/>
        <w:gridCol w:w="882"/>
        <w:gridCol w:w="768"/>
      </w:tblGrid>
      <w:tr w:rsidR="00E04D72" w:rsidRPr="00651D20" w:rsidTr="00B65FD4">
        <w:trPr>
          <w:jc w:val="center"/>
        </w:trPr>
        <w:tc>
          <w:tcPr>
            <w:tcW w:w="1672" w:type="dxa"/>
            <w:vMerge w:val="restart"/>
            <w:vAlign w:val="center"/>
          </w:tcPr>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Nazwa komórki</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organizacyjnej</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Urzędu/miejskiej</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jednostki</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organizacyjnej</w:t>
            </w:r>
          </w:p>
          <w:p w:rsidR="00E04D72" w:rsidRPr="00651D20" w:rsidRDefault="00E04D72" w:rsidP="00B65FD4">
            <w:pPr>
              <w:jc w:val="center"/>
              <w:rPr>
                <w:rFonts w:cs="Arial"/>
                <w:sz w:val="16"/>
                <w:szCs w:val="16"/>
                <w:lang w:eastAsia="pl-PL"/>
              </w:rPr>
            </w:pPr>
            <w:r w:rsidRPr="00651D20">
              <w:rPr>
                <w:rFonts w:cs="Verdana"/>
                <w:sz w:val="16"/>
                <w:szCs w:val="16"/>
              </w:rPr>
              <w:t>Gminy</w:t>
            </w:r>
          </w:p>
        </w:tc>
        <w:tc>
          <w:tcPr>
            <w:tcW w:w="1134" w:type="dxa"/>
            <w:vMerge w:val="restart"/>
            <w:vAlign w:val="center"/>
          </w:tcPr>
          <w:p w:rsidR="00E04D72" w:rsidRPr="00651D20" w:rsidRDefault="00E04D72" w:rsidP="00B65FD4">
            <w:pPr>
              <w:autoSpaceDE w:val="0"/>
              <w:autoSpaceDN w:val="0"/>
              <w:adjustRightInd w:val="0"/>
              <w:jc w:val="center"/>
              <w:rPr>
                <w:rFonts w:cs="Verdana"/>
                <w:sz w:val="16"/>
                <w:szCs w:val="16"/>
              </w:rPr>
            </w:pPr>
            <w:r>
              <w:rPr>
                <w:rFonts w:cs="Verdana"/>
                <w:sz w:val="16"/>
                <w:szCs w:val="16"/>
              </w:rPr>
              <w:t>Liczba</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wydanych</w:t>
            </w:r>
          </w:p>
          <w:p w:rsidR="00E04D72" w:rsidRPr="00651D20" w:rsidRDefault="00E04D72" w:rsidP="00B65FD4">
            <w:pPr>
              <w:autoSpaceDE w:val="0"/>
              <w:autoSpaceDN w:val="0"/>
              <w:adjustRightInd w:val="0"/>
              <w:jc w:val="center"/>
              <w:rPr>
                <w:rFonts w:cs="Verdana"/>
                <w:sz w:val="16"/>
                <w:szCs w:val="16"/>
              </w:rPr>
            </w:pPr>
            <w:r w:rsidRPr="00651D20">
              <w:rPr>
                <w:rFonts w:cs="Verdana"/>
                <w:sz w:val="16"/>
                <w:szCs w:val="16"/>
              </w:rPr>
              <w:t>decyzji</w:t>
            </w:r>
          </w:p>
          <w:p w:rsidR="00E04D72" w:rsidRPr="00651D20" w:rsidRDefault="00E04D72" w:rsidP="00B65FD4">
            <w:pPr>
              <w:jc w:val="center"/>
              <w:rPr>
                <w:rFonts w:cs="Arial"/>
                <w:sz w:val="16"/>
                <w:szCs w:val="16"/>
                <w:lang w:eastAsia="pl-PL"/>
              </w:rPr>
            </w:pPr>
            <w:r w:rsidRPr="00651D20">
              <w:rPr>
                <w:rFonts w:cs="Verdana"/>
                <w:sz w:val="16"/>
                <w:szCs w:val="16"/>
              </w:rPr>
              <w:t>ogółem</w:t>
            </w:r>
          </w:p>
        </w:tc>
        <w:tc>
          <w:tcPr>
            <w:tcW w:w="1624" w:type="dxa"/>
            <w:gridSpan w:val="2"/>
            <w:vAlign w:val="center"/>
          </w:tcPr>
          <w:p w:rsidR="00E04D72" w:rsidRPr="00651D20" w:rsidRDefault="00E04D72" w:rsidP="00B65FD4">
            <w:pPr>
              <w:autoSpaceDE w:val="0"/>
              <w:autoSpaceDN w:val="0"/>
              <w:adjustRightInd w:val="0"/>
              <w:jc w:val="center"/>
              <w:rPr>
                <w:rFonts w:cs="Verdana"/>
                <w:sz w:val="16"/>
                <w:szCs w:val="16"/>
              </w:rPr>
            </w:pPr>
            <w:r>
              <w:rPr>
                <w:rFonts w:cs="Verdana"/>
                <w:sz w:val="16"/>
                <w:szCs w:val="16"/>
              </w:rPr>
              <w:t>Liczba</w:t>
            </w:r>
            <w:r w:rsidRPr="00651D20">
              <w:rPr>
                <w:rFonts w:cs="Verdana"/>
                <w:sz w:val="16"/>
                <w:szCs w:val="16"/>
              </w:rPr>
              <w:t xml:space="preserve"> decyzji</w:t>
            </w:r>
          </w:p>
          <w:p w:rsidR="00E04D72" w:rsidRPr="00651D20" w:rsidRDefault="00E04D72" w:rsidP="00B65FD4">
            <w:pPr>
              <w:jc w:val="center"/>
              <w:rPr>
                <w:rFonts w:cs="Arial"/>
                <w:sz w:val="16"/>
                <w:szCs w:val="16"/>
                <w:lang w:eastAsia="pl-PL"/>
              </w:rPr>
            </w:pPr>
            <w:r w:rsidRPr="00651D20">
              <w:rPr>
                <w:rFonts w:cs="Verdana"/>
                <w:sz w:val="16"/>
                <w:szCs w:val="16"/>
              </w:rPr>
              <w:t>zaskarżonych</w:t>
            </w:r>
          </w:p>
        </w:tc>
        <w:tc>
          <w:tcPr>
            <w:tcW w:w="5221" w:type="dxa"/>
            <w:gridSpan w:val="6"/>
            <w:vAlign w:val="center"/>
          </w:tcPr>
          <w:p w:rsidR="00E04D72" w:rsidRDefault="00E04D72" w:rsidP="00B65FD4">
            <w:pPr>
              <w:pStyle w:val="Akapitzlist"/>
              <w:autoSpaceDE w:val="0"/>
              <w:autoSpaceDN w:val="0"/>
              <w:adjustRightInd w:val="0"/>
              <w:rPr>
                <w:rFonts w:cs="Verdana"/>
                <w:sz w:val="16"/>
                <w:szCs w:val="16"/>
              </w:rPr>
            </w:pPr>
          </w:p>
          <w:p w:rsidR="00E04D72" w:rsidRPr="00651D20" w:rsidRDefault="00E04D72" w:rsidP="00BC64AB">
            <w:pPr>
              <w:pStyle w:val="Akapitzlist"/>
              <w:numPr>
                <w:ilvl w:val="0"/>
                <w:numId w:val="298"/>
              </w:numPr>
              <w:autoSpaceDE w:val="0"/>
              <w:autoSpaceDN w:val="0"/>
              <w:adjustRightInd w:val="0"/>
              <w:spacing w:after="0" w:line="240" w:lineRule="auto"/>
              <w:jc w:val="center"/>
              <w:rPr>
                <w:rFonts w:cs="Verdana"/>
                <w:sz w:val="16"/>
                <w:szCs w:val="16"/>
              </w:rPr>
            </w:pPr>
            <w:r>
              <w:rPr>
                <w:rFonts w:cs="Verdana"/>
                <w:sz w:val="16"/>
                <w:szCs w:val="16"/>
              </w:rPr>
              <w:t>Liczba</w:t>
            </w:r>
            <w:r w:rsidRPr="00651D20">
              <w:rPr>
                <w:rFonts w:cs="Verdana"/>
                <w:sz w:val="16"/>
                <w:szCs w:val="16"/>
              </w:rPr>
              <w:t xml:space="preserve"> decyzji zaskarżonych do Samorządowego Kolegium Odwoławczego</w:t>
            </w:r>
          </w:p>
          <w:p w:rsidR="00E04D72" w:rsidRPr="00651D20" w:rsidRDefault="00E04D72" w:rsidP="00B65FD4">
            <w:pPr>
              <w:autoSpaceDE w:val="0"/>
              <w:autoSpaceDN w:val="0"/>
              <w:adjustRightInd w:val="0"/>
              <w:jc w:val="center"/>
              <w:rPr>
                <w:rFonts w:cs="Arial"/>
                <w:sz w:val="16"/>
                <w:szCs w:val="16"/>
                <w:lang w:eastAsia="pl-PL"/>
              </w:rPr>
            </w:pPr>
          </w:p>
        </w:tc>
        <w:tc>
          <w:tcPr>
            <w:tcW w:w="5429" w:type="dxa"/>
            <w:gridSpan w:val="6"/>
            <w:vAlign w:val="center"/>
          </w:tcPr>
          <w:p w:rsidR="00E04D72" w:rsidRPr="00651D20" w:rsidRDefault="00E04D72" w:rsidP="00B65FD4">
            <w:pPr>
              <w:jc w:val="center"/>
              <w:rPr>
                <w:rFonts w:cs="Arial"/>
                <w:sz w:val="16"/>
                <w:szCs w:val="16"/>
                <w:lang w:eastAsia="pl-PL"/>
              </w:rPr>
            </w:pPr>
            <w:r w:rsidRPr="00651D20">
              <w:rPr>
                <w:rFonts w:cs="Verdana"/>
                <w:sz w:val="16"/>
                <w:szCs w:val="16"/>
              </w:rPr>
              <w:t xml:space="preserve">1) </w:t>
            </w:r>
            <w:r>
              <w:rPr>
                <w:rFonts w:cs="Verdana"/>
                <w:sz w:val="16"/>
                <w:szCs w:val="16"/>
              </w:rPr>
              <w:t>Liczba</w:t>
            </w:r>
            <w:r w:rsidRPr="00651D20">
              <w:rPr>
                <w:rFonts w:cs="Verdana"/>
                <w:sz w:val="16"/>
                <w:szCs w:val="16"/>
              </w:rPr>
              <w:t xml:space="preserve"> decyzji zaskarżonych do Wojewody</w:t>
            </w:r>
          </w:p>
        </w:tc>
      </w:tr>
      <w:tr w:rsidR="00E04D72" w:rsidRPr="00651D20" w:rsidTr="00B65FD4">
        <w:trPr>
          <w:jc w:val="center"/>
        </w:trPr>
        <w:tc>
          <w:tcPr>
            <w:tcW w:w="1672" w:type="dxa"/>
            <w:vMerge/>
            <w:vAlign w:val="center"/>
          </w:tcPr>
          <w:p w:rsidR="00E04D72" w:rsidRPr="00651D20" w:rsidRDefault="00E04D72" w:rsidP="00B65FD4">
            <w:pPr>
              <w:jc w:val="center"/>
              <w:rPr>
                <w:rFonts w:cs="Arial"/>
                <w:sz w:val="16"/>
                <w:szCs w:val="16"/>
                <w:lang w:eastAsia="pl-PL"/>
              </w:rPr>
            </w:pPr>
          </w:p>
        </w:tc>
        <w:tc>
          <w:tcPr>
            <w:tcW w:w="1134" w:type="dxa"/>
            <w:vMerge/>
            <w:vAlign w:val="center"/>
          </w:tcPr>
          <w:p w:rsidR="00E04D72" w:rsidRPr="00651D20" w:rsidRDefault="00E04D72" w:rsidP="00B65FD4">
            <w:pPr>
              <w:jc w:val="center"/>
              <w:rPr>
                <w:rFonts w:cs="Arial"/>
                <w:sz w:val="16"/>
                <w:szCs w:val="16"/>
                <w:lang w:eastAsia="pl-PL"/>
              </w:rPr>
            </w:pPr>
          </w:p>
        </w:tc>
        <w:tc>
          <w:tcPr>
            <w:tcW w:w="826" w:type="dxa"/>
            <w:vMerge w:val="restart"/>
            <w:vAlign w:val="center"/>
          </w:tcPr>
          <w:p w:rsidR="00E04D72" w:rsidRPr="00651D20" w:rsidRDefault="00E04D72" w:rsidP="00B65FD4">
            <w:pPr>
              <w:jc w:val="center"/>
              <w:rPr>
                <w:rFonts w:cs="Arial"/>
                <w:sz w:val="16"/>
                <w:szCs w:val="16"/>
                <w:lang w:eastAsia="pl-PL"/>
              </w:rPr>
            </w:pPr>
            <w:r w:rsidRPr="00651D20">
              <w:rPr>
                <w:rFonts w:cs="Arial"/>
                <w:sz w:val="16"/>
                <w:szCs w:val="16"/>
                <w:lang w:eastAsia="pl-PL"/>
              </w:rPr>
              <w:t>ogółem</w:t>
            </w:r>
          </w:p>
        </w:tc>
        <w:tc>
          <w:tcPr>
            <w:tcW w:w="798" w:type="dxa"/>
            <w:vMerge w:val="restart"/>
            <w:vAlign w:val="center"/>
          </w:tcPr>
          <w:p w:rsidR="00E04D72" w:rsidRPr="00651D20" w:rsidRDefault="00E04D72" w:rsidP="00B65FD4">
            <w:pPr>
              <w:jc w:val="center"/>
              <w:rPr>
                <w:rFonts w:cs="Arial"/>
                <w:sz w:val="16"/>
                <w:szCs w:val="16"/>
                <w:lang w:eastAsia="pl-PL"/>
              </w:rPr>
            </w:pPr>
            <w:r w:rsidRPr="00651D20">
              <w:rPr>
                <w:rFonts w:cs="Arial"/>
                <w:sz w:val="16"/>
                <w:szCs w:val="16"/>
                <w:lang w:eastAsia="pl-PL"/>
              </w:rPr>
              <w:t>udział%</w:t>
            </w:r>
          </w:p>
        </w:tc>
        <w:tc>
          <w:tcPr>
            <w:tcW w:w="5221" w:type="dxa"/>
            <w:gridSpan w:val="6"/>
            <w:vAlign w:val="center"/>
          </w:tcPr>
          <w:p w:rsidR="00E04D72" w:rsidRPr="00651D20" w:rsidRDefault="00E04D72" w:rsidP="00B65FD4">
            <w:pPr>
              <w:jc w:val="center"/>
              <w:rPr>
                <w:rFonts w:cs="Arial"/>
                <w:sz w:val="16"/>
                <w:szCs w:val="16"/>
                <w:lang w:eastAsia="pl-PL"/>
              </w:rPr>
            </w:pPr>
            <w:r w:rsidRPr="00651D20">
              <w:rPr>
                <w:rFonts w:cs="Verdana"/>
                <w:sz w:val="16"/>
                <w:szCs w:val="16"/>
              </w:rPr>
              <w:t>2) Udział procentowy</w:t>
            </w:r>
          </w:p>
        </w:tc>
        <w:tc>
          <w:tcPr>
            <w:tcW w:w="5429" w:type="dxa"/>
            <w:gridSpan w:val="6"/>
            <w:vAlign w:val="center"/>
          </w:tcPr>
          <w:p w:rsidR="00E04D72" w:rsidRPr="00651D20" w:rsidRDefault="00E04D72" w:rsidP="00B65FD4">
            <w:pPr>
              <w:jc w:val="center"/>
              <w:rPr>
                <w:rFonts w:cs="Arial"/>
                <w:sz w:val="16"/>
                <w:szCs w:val="16"/>
                <w:lang w:eastAsia="pl-PL"/>
              </w:rPr>
            </w:pPr>
            <w:r w:rsidRPr="00651D20">
              <w:rPr>
                <w:rFonts w:cs="Verdana"/>
                <w:sz w:val="16"/>
                <w:szCs w:val="16"/>
              </w:rPr>
              <w:t>2) Udział procentowy</w:t>
            </w:r>
          </w:p>
        </w:tc>
      </w:tr>
      <w:tr w:rsidR="00E04D72" w:rsidRPr="008879B5" w:rsidTr="00B65FD4">
        <w:trPr>
          <w:jc w:val="center"/>
        </w:trPr>
        <w:tc>
          <w:tcPr>
            <w:tcW w:w="1672" w:type="dxa"/>
            <w:vMerge/>
            <w:vAlign w:val="center"/>
          </w:tcPr>
          <w:p w:rsidR="00E04D72" w:rsidRPr="00651D20" w:rsidRDefault="00E04D72" w:rsidP="00B65FD4">
            <w:pPr>
              <w:jc w:val="center"/>
              <w:rPr>
                <w:rFonts w:cs="Arial"/>
                <w:sz w:val="16"/>
                <w:szCs w:val="16"/>
                <w:lang w:eastAsia="pl-PL"/>
              </w:rPr>
            </w:pPr>
          </w:p>
        </w:tc>
        <w:tc>
          <w:tcPr>
            <w:tcW w:w="1134" w:type="dxa"/>
            <w:vMerge/>
            <w:vAlign w:val="center"/>
          </w:tcPr>
          <w:p w:rsidR="00E04D72" w:rsidRPr="00651D20" w:rsidRDefault="00E04D72" w:rsidP="00B65FD4">
            <w:pPr>
              <w:jc w:val="center"/>
              <w:rPr>
                <w:rFonts w:cs="Arial"/>
                <w:sz w:val="16"/>
                <w:szCs w:val="16"/>
                <w:lang w:eastAsia="pl-PL"/>
              </w:rPr>
            </w:pPr>
          </w:p>
        </w:tc>
        <w:tc>
          <w:tcPr>
            <w:tcW w:w="826" w:type="dxa"/>
            <w:vMerge/>
            <w:vAlign w:val="center"/>
          </w:tcPr>
          <w:p w:rsidR="00E04D72" w:rsidRPr="00651D20" w:rsidRDefault="00E04D72" w:rsidP="00B65FD4">
            <w:pPr>
              <w:jc w:val="center"/>
              <w:rPr>
                <w:rFonts w:cs="Arial"/>
                <w:sz w:val="16"/>
                <w:szCs w:val="16"/>
                <w:lang w:eastAsia="pl-PL"/>
              </w:rPr>
            </w:pPr>
          </w:p>
        </w:tc>
        <w:tc>
          <w:tcPr>
            <w:tcW w:w="798" w:type="dxa"/>
            <w:vMerge/>
            <w:vAlign w:val="center"/>
          </w:tcPr>
          <w:p w:rsidR="00E04D72" w:rsidRPr="00651D20" w:rsidRDefault="00E04D72" w:rsidP="00B65FD4">
            <w:pPr>
              <w:jc w:val="center"/>
              <w:rPr>
                <w:rFonts w:cs="Arial"/>
                <w:sz w:val="16"/>
                <w:szCs w:val="16"/>
                <w:lang w:eastAsia="pl-PL"/>
              </w:rPr>
            </w:pPr>
          </w:p>
        </w:tc>
        <w:tc>
          <w:tcPr>
            <w:tcW w:w="910" w:type="dxa"/>
            <w:vAlign w:val="center"/>
          </w:tcPr>
          <w:p w:rsidR="00E04D72" w:rsidRPr="00651D20" w:rsidRDefault="00E04D72" w:rsidP="00B65FD4">
            <w:pPr>
              <w:ind w:left="-108" w:right="-108"/>
              <w:jc w:val="center"/>
              <w:rPr>
                <w:rFonts w:cs="Arial"/>
                <w:sz w:val="10"/>
                <w:szCs w:val="10"/>
                <w:lang w:eastAsia="pl-PL"/>
              </w:rPr>
            </w:pPr>
            <w:r w:rsidRPr="00651D20">
              <w:rPr>
                <w:rFonts w:cs="Arial"/>
                <w:sz w:val="10"/>
                <w:szCs w:val="10"/>
                <w:lang w:eastAsia="pl-PL"/>
              </w:rPr>
              <w:t xml:space="preserve">utrzymanych </w:t>
            </w:r>
            <w:r>
              <w:rPr>
                <w:rFonts w:cs="Arial"/>
                <w:sz w:val="10"/>
                <w:szCs w:val="10"/>
                <w:lang w:eastAsia="pl-PL"/>
              </w:rPr>
              <w:br/>
            </w:r>
            <w:r w:rsidRPr="00651D20">
              <w:rPr>
                <w:rFonts w:cs="Arial"/>
                <w:sz w:val="10"/>
                <w:szCs w:val="10"/>
                <w:lang w:eastAsia="pl-PL"/>
              </w:rPr>
              <w:t>w</w:t>
            </w:r>
            <w:r w:rsidRPr="008879B5">
              <w:rPr>
                <w:rFonts w:cs="Arial"/>
                <w:sz w:val="10"/>
                <w:szCs w:val="10"/>
                <w:lang w:eastAsia="pl-PL"/>
              </w:rPr>
              <w:t xml:space="preserve"> </w:t>
            </w:r>
            <w:r w:rsidRPr="00651D20">
              <w:rPr>
                <w:rFonts w:cs="Arial"/>
                <w:sz w:val="10"/>
                <w:szCs w:val="10"/>
                <w:lang w:eastAsia="pl-PL"/>
              </w:rPr>
              <w:t>mocy</w:t>
            </w:r>
          </w:p>
          <w:p w:rsidR="00E04D72" w:rsidRPr="008879B5" w:rsidRDefault="00E04D72" w:rsidP="00B65FD4">
            <w:pPr>
              <w:jc w:val="center"/>
              <w:rPr>
                <w:rFonts w:cs="Arial"/>
                <w:sz w:val="10"/>
                <w:szCs w:val="10"/>
                <w:lang w:eastAsia="pl-PL"/>
              </w:rPr>
            </w:pPr>
          </w:p>
        </w:tc>
        <w:tc>
          <w:tcPr>
            <w:tcW w:w="881" w:type="dxa"/>
            <w:vAlign w:val="center"/>
          </w:tcPr>
          <w:p w:rsidR="00E04D72" w:rsidRPr="00651D20" w:rsidRDefault="00E04D72" w:rsidP="00B65FD4">
            <w:pPr>
              <w:ind w:left="-80" w:right="-122"/>
              <w:jc w:val="center"/>
              <w:rPr>
                <w:rFonts w:cs="Arial"/>
                <w:sz w:val="10"/>
                <w:szCs w:val="10"/>
                <w:lang w:eastAsia="pl-PL"/>
              </w:rPr>
            </w:pPr>
            <w:r w:rsidRPr="00651D20">
              <w:rPr>
                <w:rFonts w:cs="Arial"/>
                <w:sz w:val="10"/>
                <w:szCs w:val="10"/>
                <w:lang w:eastAsia="pl-PL"/>
              </w:rPr>
              <w:t>uchylonych i</w:t>
            </w:r>
            <w:r w:rsidRPr="008879B5">
              <w:rPr>
                <w:rFonts w:cs="Arial"/>
                <w:sz w:val="10"/>
                <w:szCs w:val="10"/>
                <w:lang w:eastAsia="pl-PL"/>
              </w:rPr>
              <w:t xml:space="preserve"> </w:t>
            </w:r>
            <w:r w:rsidRPr="00651D20">
              <w:rPr>
                <w:rFonts w:cs="Arial"/>
                <w:sz w:val="10"/>
                <w:szCs w:val="10"/>
                <w:lang w:eastAsia="pl-PL"/>
              </w:rPr>
              <w:t>zmienionych</w:t>
            </w:r>
          </w:p>
          <w:p w:rsidR="00E04D72" w:rsidRPr="008879B5" w:rsidRDefault="00E04D72" w:rsidP="00B65FD4">
            <w:pPr>
              <w:ind w:left="-108" w:right="-122"/>
              <w:jc w:val="center"/>
              <w:rPr>
                <w:rFonts w:cs="Arial"/>
                <w:sz w:val="10"/>
                <w:szCs w:val="10"/>
                <w:lang w:eastAsia="pl-PL"/>
              </w:rPr>
            </w:pPr>
          </w:p>
        </w:tc>
        <w:tc>
          <w:tcPr>
            <w:tcW w:w="896" w:type="dxa"/>
            <w:vAlign w:val="center"/>
          </w:tcPr>
          <w:p w:rsidR="00E04D72" w:rsidRPr="00651D20" w:rsidRDefault="00E04D72" w:rsidP="00B65FD4">
            <w:pPr>
              <w:ind w:left="-108" w:right="-108"/>
              <w:jc w:val="center"/>
              <w:rPr>
                <w:rFonts w:cs="Arial"/>
                <w:sz w:val="10"/>
                <w:szCs w:val="10"/>
                <w:lang w:eastAsia="pl-PL"/>
              </w:rPr>
            </w:pPr>
            <w:r w:rsidRPr="00651D20">
              <w:rPr>
                <w:rFonts w:cs="Arial"/>
                <w:sz w:val="10"/>
                <w:szCs w:val="10"/>
                <w:lang w:eastAsia="pl-PL"/>
              </w:rPr>
              <w:t xml:space="preserve">uchylonych </w:t>
            </w:r>
            <w:r w:rsidRPr="008879B5">
              <w:rPr>
                <w:rFonts w:cs="Arial"/>
                <w:sz w:val="10"/>
                <w:szCs w:val="10"/>
                <w:lang w:eastAsia="pl-PL"/>
              </w:rPr>
              <w:t>i</w:t>
            </w:r>
          </w:p>
          <w:p w:rsidR="00E04D72" w:rsidRPr="00651D20" w:rsidRDefault="00E04D72" w:rsidP="00B65FD4">
            <w:pPr>
              <w:ind w:left="-94" w:right="-108"/>
              <w:jc w:val="center"/>
              <w:rPr>
                <w:rFonts w:cs="Arial"/>
                <w:sz w:val="10"/>
                <w:szCs w:val="10"/>
                <w:lang w:eastAsia="pl-PL"/>
              </w:rPr>
            </w:pPr>
            <w:r w:rsidRPr="00651D20">
              <w:rPr>
                <w:rFonts w:cs="Arial"/>
                <w:sz w:val="10"/>
                <w:szCs w:val="10"/>
                <w:lang w:eastAsia="pl-PL"/>
              </w:rPr>
              <w:t>przekazanych</w:t>
            </w:r>
          </w:p>
          <w:p w:rsidR="00E04D72" w:rsidRPr="00651D20" w:rsidRDefault="00E04D72" w:rsidP="00B65FD4">
            <w:pPr>
              <w:ind w:right="-94"/>
              <w:jc w:val="center"/>
              <w:rPr>
                <w:rFonts w:cs="Arial"/>
                <w:sz w:val="10"/>
                <w:szCs w:val="10"/>
                <w:lang w:eastAsia="pl-PL"/>
              </w:rPr>
            </w:pPr>
            <w:r w:rsidRPr="00651D20">
              <w:rPr>
                <w:rFonts w:cs="Arial"/>
                <w:sz w:val="10"/>
                <w:szCs w:val="10"/>
                <w:lang w:eastAsia="pl-PL"/>
              </w:rPr>
              <w:t>do</w:t>
            </w:r>
            <w:r w:rsidRPr="008879B5">
              <w:rPr>
                <w:rFonts w:cs="Arial"/>
                <w:sz w:val="10"/>
                <w:szCs w:val="10"/>
                <w:lang w:eastAsia="pl-PL"/>
              </w:rPr>
              <w:t xml:space="preserve"> </w:t>
            </w:r>
            <w:r w:rsidRPr="00651D20">
              <w:rPr>
                <w:rFonts w:cs="Arial"/>
                <w:sz w:val="10"/>
                <w:szCs w:val="10"/>
                <w:lang w:eastAsia="pl-PL"/>
              </w:rPr>
              <w:t>ponownego</w:t>
            </w:r>
          </w:p>
          <w:p w:rsidR="00E04D72" w:rsidRPr="008879B5" w:rsidRDefault="00E04D72" w:rsidP="00B65FD4">
            <w:pPr>
              <w:jc w:val="center"/>
              <w:rPr>
                <w:rFonts w:cs="Arial"/>
                <w:sz w:val="10"/>
                <w:szCs w:val="10"/>
                <w:lang w:eastAsia="pl-PL"/>
              </w:rPr>
            </w:pPr>
            <w:r w:rsidRPr="00651D20">
              <w:rPr>
                <w:rFonts w:cs="Arial"/>
                <w:sz w:val="10"/>
                <w:szCs w:val="10"/>
                <w:lang w:eastAsia="pl-PL"/>
              </w:rPr>
              <w:t>rozpoznania</w:t>
            </w:r>
          </w:p>
        </w:tc>
        <w:tc>
          <w:tcPr>
            <w:tcW w:w="924"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 xml:space="preserve">uchylonych i </w:t>
            </w:r>
          </w:p>
          <w:p w:rsidR="00E04D72" w:rsidRPr="00651D20" w:rsidRDefault="00E04D72" w:rsidP="00B65FD4">
            <w:pPr>
              <w:jc w:val="center"/>
              <w:rPr>
                <w:rFonts w:cs="Arial"/>
                <w:sz w:val="10"/>
                <w:szCs w:val="10"/>
                <w:lang w:eastAsia="pl-PL"/>
              </w:rPr>
            </w:pPr>
            <w:r w:rsidRPr="00651D20">
              <w:rPr>
                <w:rFonts w:cs="Arial"/>
                <w:sz w:val="10"/>
                <w:szCs w:val="10"/>
                <w:lang w:eastAsia="pl-PL"/>
              </w:rPr>
              <w:t xml:space="preserve">umarzających </w:t>
            </w:r>
          </w:p>
          <w:p w:rsidR="00E04D72" w:rsidRPr="00651D20" w:rsidRDefault="00E04D72" w:rsidP="00B65FD4">
            <w:pPr>
              <w:ind w:left="-108" w:right="-108"/>
              <w:jc w:val="center"/>
              <w:rPr>
                <w:rFonts w:cs="Arial"/>
                <w:sz w:val="10"/>
                <w:szCs w:val="10"/>
                <w:lang w:eastAsia="pl-PL"/>
              </w:rPr>
            </w:pPr>
            <w:r w:rsidRPr="00651D20">
              <w:rPr>
                <w:rFonts w:cs="Arial"/>
                <w:sz w:val="10"/>
                <w:szCs w:val="10"/>
                <w:lang w:eastAsia="pl-PL"/>
              </w:rPr>
              <w:t>postępowanie I</w:t>
            </w:r>
            <w:r>
              <w:rPr>
                <w:rFonts w:cs="Arial"/>
                <w:sz w:val="10"/>
                <w:szCs w:val="10"/>
                <w:lang w:eastAsia="pl-PL"/>
              </w:rPr>
              <w:t> </w:t>
            </w:r>
            <w:r w:rsidRPr="00651D20">
              <w:rPr>
                <w:rFonts w:cs="Arial"/>
                <w:sz w:val="10"/>
                <w:szCs w:val="10"/>
                <w:lang w:eastAsia="pl-PL"/>
              </w:rPr>
              <w:t xml:space="preserve">instancji lub </w:t>
            </w:r>
          </w:p>
          <w:p w:rsidR="00E04D72" w:rsidRPr="008879B5" w:rsidRDefault="00E04D72" w:rsidP="00B65FD4">
            <w:pPr>
              <w:jc w:val="center"/>
              <w:rPr>
                <w:rFonts w:cs="Arial"/>
                <w:sz w:val="10"/>
                <w:szCs w:val="10"/>
                <w:lang w:eastAsia="pl-PL"/>
              </w:rPr>
            </w:pPr>
            <w:r w:rsidRPr="00651D20">
              <w:rPr>
                <w:rFonts w:cs="Arial"/>
                <w:sz w:val="10"/>
                <w:szCs w:val="10"/>
                <w:lang w:eastAsia="pl-PL"/>
              </w:rPr>
              <w:t>odwoławcze</w:t>
            </w:r>
          </w:p>
        </w:tc>
        <w:tc>
          <w:tcPr>
            <w:tcW w:w="854"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 xml:space="preserve">stwierdzenie </w:t>
            </w:r>
          </w:p>
          <w:p w:rsidR="00E04D72" w:rsidRPr="00651D20" w:rsidRDefault="00E04D72" w:rsidP="00B65FD4">
            <w:pPr>
              <w:jc w:val="center"/>
              <w:rPr>
                <w:rFonts w:cs="Arial"/>
                <w:sz w:val="10"/>
                <w:szCs w:val="10"/>
                <w:lang w:eastAsia="pl-PL"/>
              </w:rPr>
            </w:pPr>
            <w:r w:rsidRPr="00651D20">
              <w:rPr>
                <w:rFonts w:cs="Arial"/>
                <w:sz w:val="10"/>
                <w:szCs w:val="10"/>
                <w:lang w:eastAsia="pl-PL"/>
              </w:rPr>
              <w:t>nieważności</w:t>
            </w:r>
          </w:p>
          <w:p w:rsidR="00E04D72" w:rsidRPr="008879B5" w:rsidRDefault="00E04D72" w:rsidP="00B65FD4">
            <w:pPr>
              <w:jc w:val="center"/>
              <w:rPr>
                <w:rFonts w:cs="Arial"/>
                <w:sz w:val="10"/>
                <w:szCs w:val="10"/>
                <w:lang w:eastAsia="pl-PL"/>
              </w:rPr>
            </w:pPr>
          </w:p>
        </w:tc>
        <w:tc>
          <w:tcPr>
            <w:tcW w:w="756"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inne</w:t>
            </w:r>
          </w:p>
          <w:p w:rsidR="00E04D72" w:rsidRPr="008879B5" w:rsidRDefault="00E04D72" w:rsidP="00B65FD4">
            <w:pPr>
              <w:jc w:val="center"/>
              <w:rPr>
                <w:rFonts w:cs="Arial"/>
                <w:sz w:val="10"/>
                <w:szCs w:val="10"/>
                <w:lang w:eastAsia="pl-PL"/>
              </w:rPr>
            </w:pPr>
          </w:p>
        </w:tc>
        <w:tc>
          <w:tcPr>
            <w:tcW w:w="924" w:type="dxa"/>
            <w:vAlign w:val="center"/>
          </w:tcPr>
          <w:p w:rsidR="00E04D72" w:rsidRPr="00651D20" w:rsidRDefault="00E04D72" w:rsidP="00B65FD4">
            <w:pPr>
              <w:ind w:left="-108" w:right="-108"/>
              <w:jc w:val="center"/>
              <w:rPr>
                <w:rFonts w:cs="Arial"/>
                <w:sz w:val="10"/>
                <w:szCs w:val="10"/>
                <w:lang w:eastAsia="pl-PL"/>
              </w:rPr>
            </w:pPr>
            <w:r w:rsidRPr="00651D20">
              <w:rPr>
                <w:rFonts w:cs="Arial"/>
                <w:sz w:val="10"/>
                <w:szCs w:val="10"/>
                <w:lang w:eastAsia="pl-PL"/>
              </w:rPr>
              <w:t xml:space="preserve">utrzymanych </w:t>
            </w:r>
            <w:r>
              <w:rPr>
                <w:rFonts w:cs="Arial"/>
                <w:sz w:val="10"/>
                <w:szCs w:val="10"/>
                <w:lang w:eastAsia="pl-PL"/>
              </w:rPr>
              <w:br/>
            </w:r>
            <w:r w:rsidRPr="00651D20">
              <w:rPr>
                <w:rFonts w:cs="Arial"/>
                <w:sz w:val="10"/>
                <w:szCs w:val="10"/>
                <w:lang w:eastAsia="pl-PL"/>
              </w:rPr>
              <w:t>w</w:t>
            </w:r>
            <w:r w:rsidRPr="008879B5">
              <w:rPr>
                <w:rFonts w:cs="Arial"/>
                <w:sz w:val="10"/>
                <w:szCs w:val="10"/>
                <w:lang w:eastAsia="pl-PL"/>
              </w:rPr>
              <w:t xml:space="preserve"> </w:t>
            </w:r>
            <w:r w:rsidRPr="00651D20">
              <w:rPr>
                <w:rFonts w:cs="Arial"/>
                <w:sz w:val="10"/>
                <w:szCs w:val="10"/>
                <w:lang w:eastAsia="pl-PL"/>
              </w:rPr>
              <w:t>mocy</w:t>
            </w:r>
          </w:p>
          <w:p w:rsidR="00E04D72" w:rsidRPr="008879B5" w:rsidRDefault="00E04D72" w:rsidP="00B65FD4">
            <w:pPr>
              <w:jc w:val="center"/>
              <w:rPr>
                <w:rFonts w:cs="Arial"/>
                <w:sz w:val="10"/>
                <w:szCs w:val="10"/>
                <w:lang w:eastAsia="pl-PL"/>
              </w:rPr>
            </w:pPr>
          </w:p>
        </w:tc>
        <w:tc>
          <w:tcPr>
            <w:tcW w:w="924" w:type="dxa"/>
            <w:vAlign w:val="center"/>
          </w:tcPr>
          <w:p w:rsidR="00E04D72" w:rsidRPr="00651D20" w:rsidRDefault="00E04D72" w:rsidP="00B65FD4">
            <w:pPr>
              <w:ind w:left="-80" w:right="-122"/>
              <w:jc w:val="center"/>
              <w:rPr>
                <w:rFonts w:cs="Arial"/>
                <w:sz w:val="10"/>
                <w:szCs w:val="10"/>
                <w:lang w:eastAsia="pl-PL"/>
              </w:rPr>
            </w:pPr>
            <w:r w:rsidRPr="00651D20">
              <w:rPr>
                <w:rFonts w:cs="Arial"/>
                <w:sz w:val="10"/>
                <w:szCs w:val="10"/>
                <w:lang w:eastAsia="pl-PL"/>
              </w:rPr>
              <w:t>uchylonych i</w:t>
            </w:r>
            <w:r w:rsidRPr="008879B5">
              <w:rPr>
                <w:rFonts w:cs="Arial"/>
                <w:sz w:val="10"/>
                <w:szCs w:val="10"/>
                <w:lang w:eastAsia="pl-PL"/>
              </w:rPr>
              <w:t xml:space="preserve"> </w:t>
            </w:r>
            <w:r w:rsidRPr="00651D20">
              <w:rPr>
                <w:rFonts w:cs="Arial"/>
                <w:sz w:val="10"/>
                <w:szCs w:val="10"/>
                <w:lang w:eastAsia="pl-PL"/>
              </w:rPr>
              <w:t>zmienionych</w:t>
            </w:r>
          </w:p>
          <w:p w:rsidR="00E04D72" w:rsidRPr="008879B5" w:rsidRDefault="00E04D72" w:rsidP="00B65FD4">
            <w:pPr>
              <w:ind w:left="-108" w:right="-122"/>
              <w:jc w:val="center"/>
              <w:rPr>
                <w:rFonts w:cs="Arial"/>
                <w:sz w:val="10"/>
                <w:szCs w:val="10"/>
                <w:lang w:eastAsia="pl-PL"/>
              </w:rPr>
            </w:pPr>
          </w:p>
        </w:tc>
        <w:tc>
          <w:tcPr>
            <w:tcW w:w="951" w:type="dxa"/>
            <w:vAlign w:val="center"/>
          </w:tcPr>
          <w:p w:rsidR="00E04D72" w:rsidRPr="00651D20" w:rsidRDefault="00E04D72" w:rsidP="00B65FD4">
            <w:pPr>
              <w:ind w:left="-108" w:right="-122"/>
              <w:jc w:val="center"/>
              <w:rPr>
                <w:rFonts w:cs="Arial"/>
                <w:sz w:val="10"/>
                <w:szCs w:val="10"/>
                <w:lang w:eastAsia="pl-PL"/>
              </w:rPr>
            </w:pPr>
            <w:r w:rsidRPr="00651D20">
              <w:rPr>
                <w:rFonts w:cs="Arial"/>
                <w:sz w:val="10"/>
                <w:szCs w:val="10"/>
                <w:lang w:eastAsia="pl-PL"/>
              </w:rPr>
              <w:t xml:space="preserve">uchylonych </w:t>
            </w:r>
            <w:r w:rsidRPr="008879B5">
              <w:rPr>
                <w:rFonts w:cs="Arial"/>
                <w:sz w:val="10"/>
                <w:szCs w:val="10"/>
                <w:lang w:eastAsia="pl-PL"/>
              </w:rPr>
              <w:t>i</w:t>
            </w:r>
          </w:p>
          <w:p w:rsidR="00E04D72" w:rsidRPr="00651D20" w:rsidRDefault="00E04D72" w:rsidP="00B65FD4">
            <w:pPr>
              <w:ind w:left="-94" w:right="-108"/>
              <w:jc w:val="center"/>
              <w:rPr>
                <w:rFonts w:cs="Arial"/>
                <w:sz w:val="10"/>
                <w:szCs w:val="10"/>
                <w:lang w:eastAsia="pl-PL"/>
              </w:rPr>
            </w:pPr>
            <w:r w:rsidRPr="00651D20">
              <w:rPr>
                <w:rFonts w:cs="Arial"/>
                <w:sz w:val="10"/>
                <w:szCs w:val="10"/>
                <w:lang w:eastAsia="pl-PL"/>
              </w:rPr>
              <w:t>przekazanych</w:t>
            </w:r>
          </w:p>
          <w:p w:rsidR="00E04D72" w:rsidRPr="00651D20" w:rsidRDefault="00E04D72" w:rsidP="00B65FD4">
            <w:pPr>
              <w:ind w:right="-94"/>
              <w:jc w:val="center"/>
              <w:rPr>
                <w:rFonts w:cs="Arial"/>
                <w:sz w:val="10"/>
                <w:szCs w:val="10"/>
                <w:lang w:eastAsia="pl-PL"/>
              </w:rPr>
            </w:pPr>
            <w:r w:rsidRPr="00651D20">
              <w:rPr>
                <w:rFonts w:cs="Arial"/>
                <w:sz w:val="10"/>
                <w:szCs w:val="10"/>
                <w:lang w:eastAsia="pl-PL"/>
              </w:rPr>
              <w:t>do</w:t>
            </w:r>
            <w:r w:rsidRPr="008879B5">
              <w:rPr>
                <w:rFonts w:cs="Arial"/>
                <w:sz w:val="10"/>
                <w:szCs w:val="10"/>
                <w:lang w:eastAsia="pl-PL"/>
              </w:rPr>
              <w:t xml:space="preserve"> </w:t>
            </w:r>
            <w:r w:rsidRPr="00651D20">
              <w:rPr>
                <w:rFonts w:cs="Arial"/>
                <w:sz w:val="10"/>
                <w:szCs w:val="10"/>
                <w:lang w:eastAsia="pl-PL"/>
              </w:rPr>
              <w:t>ponownego</w:t>
            </w:r>
          </w:p>
          <w:p w:rsidR="00E04D72" w:rsidRPr="008879B5" w:rsidRDefault="00E04D72" w:rsidP="00B65FD4">
            <w:pPr>
              <w:jc w:val="center"/>
              <w:rPr>
                <w:rFonts w:cs="Arial"/>
                <w:sz w:val="10"/>
                <w:szCs w:val="10"/>
                <w:lang w:eastAsia="pl-PL"/>
              </w:rPr>
            </w:pPr>
            <w:r w:rsidRPr="00651D20">
              <w:rPr>
                <w:rFonts w:cs="Arial"/>
                <w:sz w:val="10"/>
                <w:szCs w:val="10"/>
                <w:lang w:eastAsia="pl-PL"/>
              </w:rPr>
              <w:t>rozpoznania</w:t>
            </w:r>
          </w:p>
        </w:tc>
        <w:tc>
          <w:tcPr>
            <w:tcW w:w="980"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 xml:space="preserve">uchylonych i </w:t>
            </w:r>
          </w:p>
          <w:p w:rsidR="00E04D72" w:rsidRPr="00651D20" w:rsidRDefault="00E04D72" w:rsidP="00B65FD4">
            <w:pPr>
              <w:jc w:val="center"/>
              <w:rPr>
                <w:rFonts w:cs="Arial"/>
                <w:sz w:val="10"/>
                <w:szCs w:val="10"/>
                <w:lang w:eastAsia="pl-PL"/>
              </w:rPr>
            </w:pPr>
            <w:r w:rsidRPr="00651D20">
              <w:rPr>
                <w:rFonts w:cs="Arial"/>
                <w:sz w:val="10"/>
                <w:szCs w:val="10"/>
                <w:lang w:eastAsia="pl-PL"/>
              </w:rPr>
              <w:t xml:space="preserve">umarzających </w:t>
            </w:r>
          </w:p>
          <w:p w:rsidR="00E04D72" w:rsidRPr="00651D20" w:rsidRDefault="00E04D72" w:rsidP="00B65FD4">
            <w:pPr>
              <w:ind w:left="-108" w:right="-108"/>
              <w:jc w:val="center"/>
              <w:rPr>
                <w:rFonts w:cs="Arial"/>
                <w:sz w:val="10"/>
                <w:szCs w:val="10"/>
                <w:lang w:eastAsia="pl-PL"/>
              </w:rPr>
            </w:pPr>
            <w:r w:rsidRPr="00651D20">
              <w:rPr>
                <w:rFonts w:cs="Arial"/>
                <w:sz w:val="10"/>
                <w:szCs w:val="10"/>
                <w:lang w:eastAsia="pl-PL"/>
              </w:rPr>
              <w:t>postępowanie I</w:t>
            </w:r>
            <w:r>
              <w:rPr>
                <w:rFonts w:cs="Arial"/>
                <w:sz w:val="10"/>
                <w:szCs w:val="10"/>
                <w:lang w:eastAsia="pl-PL"/>
              </w:rPr>
              <w:t> </w:t>
            </w:r>
            <w:r w:rsidRPr="00651D20">
              <w:rPr>
                <w:rFonts w:cs="Arial"/>
                <w:sz w:val="10"/>
                <w:szCs w:val="10"/>
                <w:lang w:eastAsia="pl-PL"/>
              </w:rPr>
              <w:t xml:space="preserve">instancji lub </w:t>
            </w:r>
          </w:p>
          <w:p w:rsidR="00E04D72" w:rsidRPr="008879B5" w:rsidRDefault="00E04D72" w:rsidP="00B65FD4">
            <w:pPr>
              <w:jc w:val="center"/>
              <w:rPr>
                <w:rFonts w:cs="Arial"/>
                <w:sz w:val="10"/>
                <w:szCs w:val="10"/>
                <w:lang w:eastAsia="pl-PL"/>
              </w:rPr>
            </w:pPr>
            <w:r w:rsidRPr="00651D20">
              <w:rPr>
                <w:rFonts w:cs="Arial"/>
                <w:sz w:val="10"/>
                <w:szCs w:val="10"/>
                <w:lang w:eastAsia="pl-PL"/>
              </w:rPr>
              <w:t>odwoławcze</w:t>
            </w:r>
          </w:p>
        </w:tc>
        <w:tc>
          <w:tcPr>
            <w:tcW w:w="882"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 xml:space="preserve">stwierdzenie </w:t>
            </w:r>
          </w:p>
          <w:p w:rsidR="00E04D72" w:rsidRPr="00651D20" w:rsidRDefault="00E04D72" w:rsidP="00B65FD4">
            <w:pPr>
              <w:jc w:val="center"/>
              <w:rPr>
                <w:rFonts w:cs="Arial"/>
                <w:sz w:val="10"/>
                <w:szCs w:val="10"/>
                <w:lang w:eastAsia="pl-PL"/>
              </w:rPr>
            </w:pPr>
            <w:r w:rsidRPr="00651D20">
              <w:rPr>
                <w:rFonts w:cs="Arial"/>
                <w:sz w:val="10"/>
                <w:szCs w:val="10"/>
                <w:lang w:eastAsia="pl-PL"/>
              </w:rPr>
              <w:t>nieważności</w:t>
            </w:r>
          </w:p>
          <w:p w:rsidR="00E04D72" w:rsidRPr="008879B5" w:rsidRDefault="00E04D72" w:rsidP="00B65FD4">
            <w:pPr>
              <w:jc w:val="center"/>
              <w:rPr>
                <w:rFonts w:cs="Arial"/>
                <w:sz w:val="10"/>
                <w:szCs w:val="10"/>
                <w:lang w:eastAsia="pl-PL"/>
              </w:rPr>
            </w:pPr>
          </w:p>
        </w:tc>
        <w:tc>
          <w:tcPr>
            <w:tcW w:w="768" w:type="dxa"/>
            <w:vAlign w:val="center"/>
          </w:tcPr>
          <w:p w:rsidR="00E04D72" w:rsidRPr="00651D20" w:rsidRDefault="00E04D72" w:rsidP="00B65FD4">
            <w:pPr>
              <w:jc w:val="center"/>
              <w:rPr>
                <w:rFonts w:cs="Arial"/>
                <w:sz w:val="10"/>
                <w:szCs w:val="10"/>
                <w:lang w:eastAsia="pl-PL"/>
              </w:rPr>
            </w:pPr>
            <w:r w:rsidRPr="00651D20">
              <w:rPr>
                <w:rFonts w:cs="Arial"/>
                <w:sz w:val="10"/>
                <w:szCs w:val="10"/>
                <w:lang w:eastAsia="pl-PL"/>
              </w:rPr>
              <w:t>inne</w:t>
            </w:r>
          </w:p>
          <w:p w:rsidR="00E04D72" w:rsidRPr="008879B5" w:rsidRDefault="00E04D72" w:rsidP="00B65FD4">
            <w:pPr>
              <w:jc w:val="center"/>
              <w:rPr>
                <w:rFonts w:cs="Arial"/>
                <w:sz w:val="10"/>
                <w:szCs w:val="10"/>
                <w:lang w:eastAsia="pl-PL"/>
              </w:rPr>
            </w:pPr>
          </w:p>
        </w:tc>
      </w:tr>
      <w:tr w:rsidR="00E04D72" w:rsidRPr="00651D20" w:rsidTr="00B65FD4">
        <w:trPr>
          <w:jc w:val="center"/>
        </w:trPr>
        <w:tc>
          <w:tcPr>
            <w:tcW w:w="1672"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Departament Edukacji</w:t>
            </w:r>
          </w:p>
        </w:tc>
        <w:tc>
          <w:tcPr>
            <w:tcW w:w="1134"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426</w:t>
            </w:r>
          </w:p>
        </w:tc>
        <w:tc>
          <w:tcPr>
            <w:tcW w:w="826"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7</w:t>
            </w:r>
          </w:p>
        </w:tc>
        <w:tc>
          <w:tcPr>
            <w:tcW w:w="798" w:type="dxa"/>
            <w:vMerge w:val="restart"/>
          </w:tcPr>
          <w:p w:rsidR="00E04D72" w:rsidRPr="00651D20" w:rsidRDefault="00E04D72" w:rsidP="00B65FD4">
            <w:pPr>
              <w:jc w:val="center"/>
              <w:rPr>
                <w:rFonts w:cs="Arial"/>
                <w:sz w:val="16"/>
                <w:szCs w:val="16"/>
                <w:lang w:eastAsia="pl-PL"/>
              </w:rPr>
            </w:pPr>
            <w:r>
              <w:rPr>
                <w:rFonts w:cs="Arial"/>
                <w:sz w:val="16"/>
                <w:szCs w:val="16"/>
                <w:lang w:eastAsia="pl-PL"/>
              </w:rPr>
              <w:t>1,6%</w:t>
            </w:r>
          </w:p>
        </w:tc>
        <w:tc>
          <w:tcPr>
            <w:tcW w:w="910" w:type="dxa"/>
          </w:tcPr>
          <w:p w:rsidR="00E04D72" w:rsidRPr="00651D20" w:rsidRDefault="00E04D72" w:rsidP="00B65FD4">
            <w:pPr>
              <w:jc w:val="center"/>
              <w:rPr>
                <w:rFonts w:cs="Arial"/>
                <w:sz w:val="16"/>
                <w:szCs w:val="16"/>
                <w:lang w:eastAsia="pl-PL"/>
              </w:rPr>
            </w:pPr>
          </w:p>
        </w:tc>
        <w:tc>
          <w:tcPr>
            <w:tcW w:w="881" w:type="dxa"/>
          </w:tcPr>
          <w:p w:rsidR="00E04D72" w:rsidRPr="00651D20" w:rsidRDefault="00E04D72" w:rsidP="00B65FD4">
            <w:pPr>
              <w:jc w:val="center"/>
              <w:rPr>
                <w:rFonts w:cs="Arial"/>
                <w:sz w:val="16"/>
                <w:szCs w:val="16"/>
                <w:lang w:eastAsia="pl-PL"/>
              </w:rPr>
            </w:pPr>
          </w:p>
        </w:tc>
        <w:tc>
          <w:tcPr>
            <w:tcW w:w="896" w:type="dxa"/>
          </w:tcPr>
          <w:p w:rsidR="00E04D72" w:rsidRPr="00651D20" w:rsidRDefault="00E04D72" w:rsidP="00B65FD4">
            <w:pPr>
              <w:jc w:val="center"/>
              <w:rPr>
                <w:rFonts w:cs="Arial"/>
                <w:sz w:val="16"/>
                <w:szCs w:val="16"/>
                <w:lang w:eastAsia="pl-PL"/>
              </w:rPr>
            </w:pPr>
          </w:p>
        </w:tc>
        <w:tc>
          <w:tcPr>
            <w:tcW w:w="924" w:type="dxa"/>
          </w:tcPr>
          <w:p w:rsidR="00E04D72" w:rsidRPr="00651D20" w:rsidRDefault="00E04D72" w:rsidP="00B65FD4">
            <w:pPr>
              <w:jc w:val="center"/>
              <w:rPr>
                <w:rFonts w:cs="Arial"/>
                <w:sz w:val="16"/>
                <w:szCs w:val="16"/>
                <w:lang w:eastAsia="pl-PL"/>
              </w:rPr>
            </w:pPr>
            <w:r>
              <w:rPr>
                <w:rFonts w:cs="Arial"/>
                <w:sz w:val="16"/>
                <w:szCs w:val="16"/>
                <w:lang w:eastAsia="pl-PL"/>
              </w:rPr>
              <w:t>4</w:t>
            </w:r>
          </w:p>
        </w:tc>
        <w:tc>
          <w:tcPr>
            <w:tcW w:w="854" w:type="dxa"/>
          </w:tcPr>
          <w:p w:rsidR="00E04D72" w:rsidRPr="00651D20" w:rsidRDefault="00E04D72" w:rsidP="00B65FD4">
            <w:pPr>
              <w:jc w:val="center"/>
              <w:rPr>
                <w:rFonts w:cs="Arial"/>
                <w:sz w:val="16"/>
                <w:szCs w:val="16"/>
                <w:lang w:eastAsia="pl-PL"/>
              </w:rPr>
            </w:pPr>
          </w:p>
        </w:tc>
        <w:tc>
          <w:tcPr>
            <w:tcW w:w="756" w:type="dxa"/>
          </w:tcPr>
          <w:p w:rsidR="00E04D72" w:rsidRPr="00651D20" w:rsidRDefault="00E04D72" w:rsidP="00B65FD4">
            <w:pPr>
              <w:jc w:val="center"/>
              <w:rPr>
                <w:rFonts w:cs="Arial"/>
                <w:sz w:val="16"/>
                <w:szCs w:val="16"/>
                <w:lang w:eastAsia="pl-PL"/>
              </w:rPr>
            </w:pPr>
          </w:p>
        </w:tc>
        <w:tc>
          <w:tcPr>
            <w:tcW w:w="924" w:type="dxa"/>
          </w:tcPr>
          <w:p w:rsidR="00E04D72" w:rsidRPr="00651D20" w:rsidRDefault="00E04D72" w:rsidP="00B65FD4">
            <w:pPr>
              <w:jc w:val="center"/>
              <w:rPr>
                <w:rFonts w:cs="Arial"/>
                <w:sz w:val="16"/>
                <w:szCs w:val="16"/>
                <w:lang w:eastAsia="pl-PL"/>
              </w:rPr>
            </w:pPr>
          </w:p>
        </w:tc>
        <w:tc>
          <w:tcPr>
            <w:tcW w:w="924" w:type="dxa"/>
          </w:tcPr>
          <w:p w:rsidR="00E04D72" w:rsidRPr="00651D20" w:rsidRDefault="00E04D72" w:rsidP="00B65FD4">
            <w:pPr>
              <w:jc w:val="center"/>
              <w:rPr>
                <w:rFonts w:cs="Arial"/>
                <w:sz w:val="16"/>
                <w:szCs w:val="16"/>
                <w:lang w:eastAsia="pl-PL"/>
              </w:rPr>
            </w:pPr>
          </w:p>
        </w:tc>
        <w:tc>
          <w:tcPr>
            <w:tcW w:w="951" w:type="dxa"/>
          </w:tcPr>
          <w:p w:rsidR="00E04D72" w:rsidRPr="00651D20" w:rsidRDefault="00E04D72" w:rsidP="00B65FD4">
            <w:pPr>
              <w:jc w:val="center"/>
              <w:rPr>
                <w:rFonts w:cs="Arial"/>
                <w:sz w:val="16"/>
                <w:szCs w:val="16"/>
                <w:lang w:eastAsia="pl-PL"/>
              </w:rPr>
            </w:pPr>
          </w:p>
        </w:tc>
        <w:tc>
          <w:tcPr>
            <w:tcW w:w="980" w:type="dxa"/>
          </w:tcPr>
          <w:p w:rsidR="00E04D72" w:rsidRPr="00651D20" w:rsidRDefault="00E04D72" w:rsidP="00B65FD4">
            <w:pPr>
              <w:jc w:val="center"/>
              <w:rPr>
                <w:rFonts w:cs="Arial"/>
                <w:sz w:val="16"/>
                <w:szCs w:val="16"/>
                <w:lang w:eastAsia="pl-PL"/>
              </w:rPr>
            </w:pPr>
          </w:p>
        </w:tc>
        <w:tc>
          <w:tcPr>
            <w:tcW w:w="882" w:type="dxa"/>
          </w:tcPr>
          <w:p w:rsidR="00E04D72" w:rsidRPr="00651D20" w:rsidRDefault="00E04D72" w:rsidP="00B65FD4">
            <w:pPr>
              <w:jc w:val="center"/>
              <w:rPr>
                <w:rFonts w:cs="Arial"/>
                <w:sz w:val="16"/>
                <w:szCs w:val="16"/>
                <w:lang w:eastAsia="pl-PL"/>
              </w:rPr>
            </w:pPr>
          </w:p>
        </w:tc>
        <w:tc>
          <w:tcPr>
            <w:tcW w:w="768" w:type="dxa"/>
          </w:tcPr>
          <w:p w:rsidR="00E04D72" w:rsidRPr="00651D20" w:rsidRDefault="00E04D72" w:rsidP="00B65FD4">
            <w:pPr>
              <w:jc w:val="center"/>
              <w:rPr>
                <w:rFonts w:cs="Arial"/>
                <w:sz w:val="16"/>
                <w:szCs w:val="16"/>
                <w:lang w:eastAsia="pl-PL"/>
              </w:rPr>
            </w:pPr>
          </w:p>
        </w:tc>
      </w:tr>
      <w:tr w:rsidR="00E04D72" w:rsidRPr="00651D20" w:rsidTr="00B65FD4">
        <w:trPr>
          <w:jc w:val="center"/>
        </w:trPr>
        <w:tc>
          <w:tcPr>
            <w:tcW w:w="1672" w:type="dxa"/>
            <w:vMerge/>
          </w:tcPr>
          <w:p w:rsidR="00E04D72" w:rsidRPr="00651D20" w:rsidRDefault="00E04D72" w:rsidP="00B65FD4">
            <w:pPr>
              <w:jc w:val="center"/>
              <w:rPr>
                <w:rFonts w:cs="Arial"/>
                <w:sz w:val="16"/>
                <w:szCs w:val="16"/>
                <w:lang w:eastAsia="pl-PL"/>
              </w:rPr>
            </w:pPr>
          </w:p>
        </w:tc>
        <w:tc>
          <w:tcPr>
            <w:tcW w:w="1134" w:type="dxa"/>
            <w:vMerge/>
          </w:tcPr>
          <w:p w:rsidR="00E04D72" w:rsidRPr="00651D20" w:rsidRDefault="00E04D72" w:rsidP="00B65FD4">
            <w:pPr>
              <w:jc w:val="center"/>
              <w:rPr>
                <w:rFonts w:cs="Arial"/>
                <w:sz w:val="16"/>
                <w:szCs w:val="16"/>
                <w:lang w:eastAsia="pl-PL"/>
              </w:rPr>
            </w:pPr>
          </w:p>
        </w:tc>
        <w:tc>
          <w:tcPr>
            <w:tcW w:w="826" w:type="dxa"/>
            <w:vMerge/>
          </w:tcPr>
          <w:p w:rsidR="00E04D72" w:rsidRPr="00651D20" w:rsidRDefault="00E04D72" w:rsidP="00B65FD4">
            <w:pPr>
              <w:jc w:val="center"/>
              <w:rPr>
                <w:rFonts w:cs="Arial"/>
                <w:sz w:val="16"/>
                <w:szCs w:val="16"/>
                <w:lang w:eastAsia="pl-PL"/>
              </w:rPr>
            </w:pPr>
          </w:p>
        </w:tc>
        <w:tc>
          <w:tcPr>
            <w:tcW w:w="798" w:type="dxa"/>
            <w:vMerge/>
          </w:tcPr>
          <w:p w:rsidR="00E04D72" w:rsidRPr="00651D20" w:rsidRDefault="00E04D72" w:rsidP="00B65FD4">
            <w:pPr>
              <w:jc w:val="center"/>
              <w:rPr>
                <w:rFonts w:cs="Arial"/>
                <w:sz w:val="16"/>
                <w:szCs w:val="16"/>
                <w:lang w:eastAsia="pl-PL"/>
              </w:rPr>
            </w:pPr>
          </w:p>
        </w:tc>
        <w:tc>
          <w:tcPr>
            <w:tcW w:w="910" w:type="dxa"/>
          </w:tcPr>
          <w:p w:rsidR="00E04D72" w:rsidRPr="00651D20" w:rsidRDefault="00E04D72" w:rsidP="00B65FD4">
            <w:pPr>
              <w:jc w:val="center"/>
              <w:rPr>
                <w:rFonts w:cs="Arial"/>
                <w:sz w:val="16"/>
                <w:szCs w:val="16"/>
                <w:lang w:eastAsia="pl-PL"/>
              </w:rPr>
            </w:pPr>
          </w:p>
        </w:tc>
        <w:tc>
          <w:tcPr>
            <w:tcW w:w="881" w:type="dxa"/>
          </w:tcPr>
          <w:p w:rsidR="00E04D72" w:rsidRPr="00651D20" w:rsidRDefault="00E04D72" w:rsidP="00B65FD4">
            <w:pPr>
              <w:jc w:val="center"/>
              <w:rPr>
                <w:rFonts w:cs="Arial"/>
                <w:sz w:val="16"/>
                <w:szCs w:val="16"/>
                <w:lang w:eastAsia="pl-PL"/>
              </w:rPr>
            </w:pPr>
          </w:p>
        </w:tc>
        <w:tc>
          <w:tcPr>
            <w:tcW w:w="896" w:type="dxa"/>
          </w:tcPr>
          <w:p w:rsidR="00E04D72" w:rsidRPr="00651D20" w:rsidRDefault="00E04D72" w:rsidP="00B65FD4">
            <w:pPr>
              <w:jc w:val="center"/>
              <w:rPr>
                <w:rFonts w:cs="Arial"/>
                <w:sz w:val="16"/>
                <w:szCs w:val="16"/>
                <w:lang w:eastAsia="pl-PL"/>
              </w:rPr>
            </w:pPr>
          </w:p>
        </w:tc>
        <w:tc>
          <w:tcPr>
            <w:tcW w:w="924" w:type="dxa"/>
          </w:tcPr>
          <w:p w:rsidR="00E04D72" w:rsidRPr="00651D20" w:rsidRDefault="00E04D72" w:rsidP="00B65FD4">
            <w:pPr>
              <w:jc w:val="center"/>
              <w:rPr>
                <w:rFonts w:cs="Arial"/>
                <w:sz w:val="16"/>
                <w:szCs w:val="16"/>
                <w:lang w:eastAsia="pl-PL"/>
              </w:rPr>
            </w:pPr>
            <w:r>
              <w:rPr>
                <w:rFonts w:cs="Arial"/>
                <w:sz w:val="16"/>
                <w:szCs w:val="16"/>
                <w:lang w:eastAsia="pl-PL"/>
              </w:rPr>
              <w:t>57,1%</w:t>
            </w:r>
          </w:p>
        </w:tc>
        <w:tc>
          <w:tcPr>
            <w:tcW w:w="854" w:type="dxa"/>
          </w:tcPr>
          <w:p w:rsidR="00E04D72" w:rsidRPr="00651D20" w:rsidRDefault="00E04D72" w:rsidP="00B65FD4">
            <w:pPr>
              <w:jc w:val="center"/>
              <w:rPr>
                <w:rFonts w:cs="Arial"/>
                <w:sz w:val="16"/>
                <w:szCs w:val="16"/>
                <w:lang w:eastAsia="pl-PL"/>
              </w:rPr>
            </w:pPr>
          </w:p>
        </w:tc>
        <w:tc>
          <w:tcPr>
            <w:tcW w:w="756" w:type="dxa"/>
          </w:tcPr>
          <w:p w:rsidR="00E04D72" w:rsidRPr="00651D20" w:rsidRDefault="00E04D72" w:rsidP="00B65FD4">
            <w:pPr>
              <w:jc w:val="center"/>
              <w:rPr>
                <w:rFonts w:cs="Arial"/>
                <w:sz w:val="16"/>
                <w:szCs w:val="16"/>
                <w:lang w:eastAsia="pl-PL"/>
              </w:rPr>
            </w:pPr>
          </w:p>
        </w:tc>
        <w:tc>
          <w:tcPr>
            <w:tcW w:w="924" w:type="dxa"/>
          </w:tcPr>
          <w:p w:rsidR="00E04D72" w:rsidRPr="00651D20" w:rsidRDefault="00E04D72" w:rsidP="00B65FD4">
            <w:pPr>
              <w:jc w:val="center"/>
              <w:rPr>
                <w:rFonts w:cs="Arial"/>
                <w:sz w:val="16"/>
                <w:szCs w:val="16"/>
                <w:lang w:eastAsia="pl-PL"/>
              </w:rPr>
            </w:pPr>
          </w:p>
        </w:tc>
        <w:tc>
          <w:tcPr>
            <w:tcW w:w="924" w:type="dxa"/>
          </w:tcPr>
          <w:p w:rsidR="00E04D72" w:rsidRPr="00651D20" w:rsidRDefault="00E04D72" w:rsidP="00B65FD4">
            <w:pPr>
              <w:jc w:val="center"/>
              <w:rPr>
                <w:rFonts w:cs="Arial"/>
                <w:sz w:val="16"/>
                <w:szCs w:val="16"/>
                <w:lang w:eastAsia="pl-PL"/>
              </w:rPr>
            </w:pPr>
          </w:p>
        </w:tc>
        <w:tc>
          <w:tcPr>
            <w:tcW w:w="951" w:type="dxa"/>
          </w:tcPr>
          <w:p w:rsidR="00E04D72" w:rsidRPr="00651D20" w:rsidRDefault="00E04D72" w:rsidP="00B65FD4">
            <w:pPr>
              <w:jc w:val="center"/>
              <w:rPr>
                <w:rFonts w:cs="Arial"/>
                <w:sz w:val="16"/>
                <w:szCs w:val="16"/>
                <w:lang w:eastAsia="pl-PL"/>
              </w:rPr>
            </w:pPr>
          </w:p>
        </w:tc>
        <w:tc>
          <w:tcPr>
            <w:tcW w:w="980" w:type="dxa"/>
          </w:tcPr>
          <w:p w:rsidR="00E04D72" w:rsidRPr="00651D20" w:rsidRDefault="00E04D72" w:rsidP="00B65FD4">
            <w:pPr>
              <w:jc w:val="center"/>
              <w:rPr>
                <w:rFonts w:cs="Arial"/>
                <w:sz w:val="16"/>
                <w:szCs w:val="16"/>
                <w:lang w:eastAsia="pl-PL"/>
              </w:rPr>
            </w:pPr>
          </w:p>
        </w:tc>
        <w:tc>
          <w:tcPr>
            <w:tcW w:w="882" w:type="dxa"/>
          </w:tcPr>
          <w:p w:rsidR="00E04D72" w:rsidRPr="00651D20" w:rsidRDefault="00E04D72" w:rsidP="00B65FD4">
            <w:pPr>
              <w:jc w:val="center"/>
              <w:rPr>
                <w:rFonts w:cs="Arial"/>
                <w:sz w:val="16"/>
                <w:szCs w:val="16"/>
                <w:lang w:eastAsia="pl-PL"/>
              </w:rPr>
            </w:pPr>
          </w:p>
        </w:tc>
        <w:tc>
          <w:tcPr>
            <w:tcW w:w="768" w:type="dxa"/>
          </w:tcPr>
          <w:p w:rsidR="00E04D72" w:rsidRPr="00651D20" w:rsidRDefault="00E04D72" w:rsidP="00B65FD4">
            <w:pPr>
              <w:jc w:val="center"/>
              <w:rPr>
                <w:rFonts w:cs="Arial"/>
                <w:sz w:val="16"/>
                <w:szCs w:val="16"/>
                <w:lang w:eastAsia="pl-PL"/>
              </w:rPr>
            </w:pPr>
          </w:p>
        </w:tc>
      </w:tr>
    </w:tbl>
    <w:p w:rsidR="00E04D72" w:rsidRDefault="00E04D72" w:rsidP="00E04D72">
      <w:pPr>
        <w:rPr>
          <w:szCs w:val="20"/>
        </w:rPr>
      </w:pPr>
    </w:p>
    <w:p w:rsidR="00E04D72" w:rsidRDefault="00E04D72" w:rsidP="00E04D72">
      <w:pPr>
        <w:rPr>
          <w:szCs w:val="20"/>
        </w:rPr>
      </w:pPr>
    </w:p>
    <w:p w:rsidR="00E04D72" w:rsidRDefault="00E04D72" w:rsidP="00E04D72">
      <w:pPr>
        <w:rPr>
          <w:szCs w:val="20"/>
        </w:rPr>
      </w:pPr>
    </w:p>
    <w:p w:rsidR="00E04D72" w:rsidRDefault="00E04D72" w:rsidP="00E04D72">
      <w:pPr>
        <w:rPr>
          <w:szCs w:val="20"/>
        </w:rPr>
      </w:pPr>
    </w:p>
    <w:p w:rsidR="00E04D72" w:rsidRDefault="00E04D72" w:rsidP="00E04D72">
      <w:pPr>
        <w:rPr>
          <w:szCs w:val="20"/>
        </w:rPr>
      </w:pPr>
    </w:p>
    <w:p w:rsidR="00E04D72" w:rsidRDefault="00E04D72" w:rsidP="00E04D72">
      <w:pPr>
        <w:rPr>
          <w:szCs w:val="20"/>
        </w:rPr>
      </w:pPr>
    </w:p>
    <w:p w:rsidR="00E04D72" w:rsidRDefault="00E04D72" w:rsidP="00E04D72">
      <w:pPr>
        <w:rPr>
          <w:szCs w:val="20"/>
        </w:rPr>
      </w:pPr>
    </w:p>
    <w:p w:rsidR="00E04D72" w:rsidRDefault="00E04D72" w:rsidP="00E04D72">
      <w:pPr>
        <w:rPr>
          <w:szCs w:val="20"/>
        </w:rPr>
      </w:pPr>
    </w:p>
    <w:p w:rsidR="008C054F" w:rsidRDefault="008C054F" w:rsidP="00E04D72">
      <w:pPr>
        <w:jc w:val="center"/>
        <w:rPr>
          <w:b/>
          <w:bCs/>
          <w:szCs w:val="20"/>
          <w:lang w:eastAsia="pl-PL"/>
        </w:rPr>
      </w:pPr>
    </w:p>
    <w:p w:rsidR="008C054F" w:rsidRDefault="00E04D72" w:rsidP="008C054F">
      <w:pPr>
        <w:pStyle w:val="Nagwek3"/>
        <w:jc w:val="center"/>
      </w:pPr>
      <w:r w:rsidRPr="00FF2C6D">
        <w:t xml:space="preserve">DECYZJE ADMINISTRACYJNE WYDANE PRZEZ </w:t>
      </w:r>
      <w:r>
        <w:t>DEPARTAMENT SPRAW SPOŁECZNYCH</w:t>
      </w:r>
    </w:p>
    <w:p w:rsidR="00E04D72" w:rsidRDefault="00E04D72" w:rsidP="00E04D72">
      <w:pPr>
        <w:jc w:val="center"/>
        <w:rPr>
          <w:b/>
          <w:bCs/>
          <w:szCs w:val="20"/>
          <w:lang w:eastAsia="pl-PL"/>
        </w:rPr>
      </w:pPr>
      <w:r>
        <w:rPr>
          <w:b/>
          <w:bCs/>
          <w:noProof/>
          <w:szCs w:val="20"/>
          <w:lang w:eastAsia="pl-PL"/>
        </w:rPr>
        <w:drawing>
          <wp:inline distT="0" distB="0" distL="0" distR="0">
            <wp:extent cx="8163204" cy="4810125"/>
            <wp:effectExtent l="19050" t="0" r="9246" b="0"/>
            <wp:docPr id="857" name="Obraz 148" descr="decyzje_D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yzje_DSS.png"/>
                    <pic:cNvPicPr/>
                  </pic:nvPicPr>
                  <pic:blipFill>
                    <a:blip r:embed="rId274" cstate="print"/>
                    <a:stretch>
                      <a:fillRect/>
                    </a:stretch>
                  </pic:blipFill>
                  <pic:spPr>
                    <a:xfrm>
                      <a:off x="0" y="0"/>
                      <a:ext cx="8167579" cy="4812703"/>
                    </a:xfrm>
                    <a:prstGeom prst="rect">
                      <a:avLst/>
                    </a:prstGeom>
                  </pic:spPr>
                </pic:pic>
              </a:graphicData>
            </a:graphic>
          </wp:inline>
        </w:drawing>
      </w:r>
    </w:p>
    <w:tbl>
      <w:tblPr>
        <w:tblW w:w="15347" w:type="dxa"/>
        <w:tblInd w:w="-661" w:type="dxa"/>
        <w:tblCellMar>
          <w:left w:w="70" w:type="dxa"/>
          <w:right w:w="70" w:type="dxa"/>
        </w:tblCellMar>
        <w:tblLook w:val="04A0"/>
      </w:tblPr>
      <w:tblGrid>
        <w:gridCol w:w="1501"/>
        <w:gridCol w:w="942"/>
        <w:gridCol w:w="820"/>
        <w:gridCol w:w="920"/>
        <w:gridCol w:w="960"/>
        <w:gridCol w:w="960"/>
        <w:gridCol w:w="965"/>
        <w:gridCol w:w="977"/>
        <w:gridCol w:w="960"/>
        <w:gridCol w:w="760"/>
        <w:gridCol w:w="960"/>
        <w:gridCol w:w="960"/>
        <w:gridCol w:w="965"/>
        <w:gridCol w:w="977"/>
        <w:gridCol w:w="960"/>
        <w:gridCol w:w="760"/>
      </w:tblGrid>
      <w:tr w:rsidR="00E04D72" w:rsidRPr="00FF2C6D" w:rsidTr="00B65FD4">
        <w:trPr>
          <w:trHeight w:val="510"/>
        </w:trPr>
        <w:tc>
          <w:tcPr>
            <w:tcW w:w="15347" w:type="dxa"/>
            <w:gridSpan w:val="16"/>
            <w:tcBorders>
              <w:top w:val="nil"/>
              <w:left w:val="nil"/>
              <w:bottom w:val="single" w:sz="4" w:space="0" w:color="auto"/>
              <w:right w:val="nil"/>
            </w:tcBorders>
            <w:shd w:val="clear" w:color="auto" w:fill="auto"/>
            <w:noWrap/>
            <w:vAlign w:val="center"/>
            <w:hideMark/>
          </w:tcPr>
          <w:p w:rsidR="008C054F" w:rsidRDefault="008C054F" w:rsidP="008C054F">
            <w:pPr>
              <w:pStyle w:val="Nagwek3"/>
              <w:jc w:val="center"/>
              <w:rPr>
                <w:lang w:val="pl-PL"/>
              </w:rPr>
            </w:pPr>
          </w:p>
          <w:p w:rsidR="00E04D72" w:rsidRDefault="00E04D72" w:rsidP="008C054F">
            <w:pPr>
              <w:pStyle w:val="Nagwek3"/>
              <w:jc w:val="center"/>
            </w:pPr>
            <w:r w:rsidRPr="00FF2C6D">
              <w:t xml:space="preserve">DECYZJE ADMINISTRACYJNE WYDANE PRZEZ </w:t>
            </w:r>
            <w:r>
              <w:t>DEPARTAMENT ZRÓWNOWAŻONEGO ROZWOJU</w:t>
            </w:r>
          </w:p>
          <w:p w:rsidR="00E04D72" w:rsidRPr="00FF2C6D" w:rsidRDefault="00E04D72" w:rsidP="008C054F">
            <w:pPr>
              <w:pStyle w:val="Nagwek3"/>
              <w:jc w:val="center"/>
            </w:pPr>
          </w:p>
        </w:tc>
      </w:tr>
      <w:tr w:rsidR="00E04D72" w:rsidRPr="00FF2C6D" w:rsidTr="00B65FD4">
        <w:trPr>
          <w:trHeight w:val="1050"/>
        </w:trPr>
        <w:tc>
          <w:tcPr>
            <w:tcW w:w="1501" w:type="dxa"/>
            <w:vMerge w:val="restart"/>
            <w:tcBorders>
              <w:top w:val="nil"/>
              <w:left w:val="single" w:sz="4" w:space="0" w:color="auto"/>
              <w:bottom w:val="single" w:sz="4" w:space="0" w:color="auto"/>
              <w:right w:val="single" w:sz="4" w:space="0" w:color="auto"/>
            </w:tcBorders>
            <w:shd w:val="clear" w:color="auto" w:fill="auto"/>
            <w:vAlign w:val="center"/>
            <w:hideMark/>
          </w:tcPr>
          <w:p w:rsidR="00E04D72" w:rsidRPr="00FF2C6D" w:rsidRDefault="00E04D72" w:rsidP="00B65FD4">
            <w:pPr>
              <w:jc w:val="center"/>
              <w:rPr>
                <w:sz w:val="16"/>
                <w:szCs w:val="16"/>
                <w:lang w:eastAsia="pl-PL"/>
              </w:rPr>
            </w:pPr>
            <w:r w:rsidRPr="00FF2C6D">
              <w:rPr>
                <w:sz w:val="16"/>
                <w:szCs w:val="16"/>
                <w:lang w:eastAsia="pl-PL"/>
              </w:rPr>
              <w:t>Nazwa komórki organizacyjnej Urzędu/miejskiej jednostki organizacyjnej Gminy</w:t>
            </w:r>
          </w:p>
        </w:tc>
        <w:tc>
          <w:tcPr>
            <w:tcW w:w="942" w:type="dxa"/>
            <w:vMerge w:val="restart"/>
            <w:tcBorders>
              <w:top w:val="nil"/>
              <w:left w:val="single" w:sz="4" w:space="0" w:color="auto"/>
              <w:bottom w:val="single" w:sz="4" w:space="0" w:color="auto"/>
              <w:right w:val="single" w:sz="4" w:space="0" w:color="auto"/>
            </w:tcBorders>
            <w:shd w:val="clear" w:color="auto" w:fill="auto"/>
            <w:vAlign w:val="center"/>
            <w:hideMark/>
          </w:tcPr>
          <w:p w:rsidR="00E04D72" w:rsidRPr="00FF2C6D" w:rsidRDefault="00E04D72" w:rsidP="00B65FD4">
            <w:pPr>
              <w:jc w:val="center"/>
              <w:rPr>
                <w:sz w:val="16"/>
                <w:szCs w:val="16"/>
                <w:lang w:eastAsia="pl-PL"/>
              </w:rPr>
            </w:pPr>
            <w:r w:rsidRPr="00FF2C6D">
              <w:rPr>
                <w:sz w:val="16"/>
                <w:szCs w:val="16"/>
                <w:lang w:eastAsia="pl-PL"/>
              </w:rPr>
              <w:t>Ilość wydanych decyzji ogółem</w:t>
            </w:r>
          </w:p>
        </w:tc>
        <w:tc>
          <w:tcPr>
            <w:tcW w:w="1740" w:type="dxa"/>
            <w:gridSpan w:val="2"/>
            <w:tcBorders>
              <w:top w:val="single" w:sz="4" w:space="0" w:color="auto"/>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6"/>
                <w:szCs w:val="16"/>
                <w:lang w:eastAsia="pl-PL"/>
              </w:rPr>
            </w:pPr>
            <w:r w:rsidRPr="00FF2C6D">
              <w:rPr>
                <w:sz w:val="16"/>
                <w:szCs w:val="16"/>
                <w:lang w:eastAsia="pl-PL"/>
              </w:rPr>
              <w:t>Ilość decyzji zaskarżonych</w:t>
            </w:r>
          </w:p>
        </w:tc>
        <w:tc>
          <w:tcPr>
            <w:tcW w:w="5582" w:type="dxa"/>
            <w:gridSpan w:val="6"/>
            <w:tcBorders>
              <w:top w:val="single" w:sz="4" w:space="0" w:color="auto"/>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6"/>
                <w:szCs w:val="16"/>
                <w:lang w:eastAsia="pl-PL"/>
              </w:rPr>
            </w:pPr>
            <w:r w:rsidRPr="00FF2C6D">
              <w:rPr>
                <w:sz w:val="16"/>
                <w:szCs w:val="16"/>
                <w:lang w:eastAsia="pl-PL"/>
              </w:rPr>
              <w:t>1) Ilość decyzji zaskarżonych do Samorządowego Kolegium Odwoławczego</w:t>
            </w:r>
          </w:p>
        </w:tc>
        <w:tc>
          <w:tcPr>
            <w:tcW w:w="5582" w:type="dxa"/>
            <w:gridSpan w:val="6"/>
            <w:tcBorders>
              <w:top w:val="single" w:sz="4" w:space="0" w:color="auto"/>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6"/>
                <w:szCs w:val="16"/>
                <w:lang w:eastAsia="pl-PL"/>
              </w:rPr>
            </w:pPr>
            <w:r w:rsidRPr="00FF2C6D">
              <w:rPr>
                <w:sz w:val="16"/>
                <w:szCs w:val="16"/>
                <w:lang w:eastAsia="pl-PL"/>
              </w:rPr>
              <w:t>1) Ilość decyzji zaskarżonych do Wojewody</w:t>
            </w:r>
          </w:p>
        </w:tc>
      </w:tr>
      <w:tr w:rsidR="00E04D72" w:rsidRPr="00FF2C6D" w:rsidTr="00B65FD4">
        <w:trPr>
          <w:trHeight w:val="255"/>
        </w:trPr>
        <w:tc>
          <w:tcPr>
            <w:tcW w:w="1501" w:type="dxa"/>
            <w:vMerge/>
            <w:tcBorders>
              <w:top w:val="nil"/>
              <w:left w:val="single" w:sz="4" w:space="0" w:color="auto"/>
              <w:bottom w:val="single" w:sz="4" w:space="0" w:color="auto"/>
              <w:right w:val="single" w:sz="4" w:space="0" w:color="auto"/>
            </w:tcBorders>
            <w:vAlign w:val="center"/>
            <w:hideMark/>
          </w:tcPr>
          <w:p w:rsidR="00E04D72" w:rsidRPr="00FF2C6D" w:rsidRDefault="00E04D72" w:rsidP="00B65FD4">
            <w:pPr>
              <w:rPr>
                <w:sz w:val="16"/>
                <w:szCs w:val="16"/>
                <w:lang w:eastAsia="pl-PL"/>
              </w:rPr>
            </w:pPr>
          </w:p>
        </w:tc>
        <w:tc>
          <w:tcPr>
            <w:tcW w:w="942" w:type="dxa"/>
            <w:vMerge/>
            <w:tcBorders>
              <w:top w:val="nil"/>
              <w:left w:val="single" w:sz="4" w:space="0" w:color="auto"/>
              <w:bottom w:val="single" w:sz="4" w:space="0" w:color="auto"/>
              <w:right w:val="single" w:sz="4" w:space="0" w:color="auto"/>
            </w:tcBorders>
            <w:vAlign w:val="center"/>
            <w:hideMark/>
          </w:tcPr>
          <w:p w:rsidR="00E04D72" w:rsidRPr="00FF2C6D" w:rsidRDefault="00E04D72" w:rsidP="00B65FD4">
            <w:pPr>
              <w:rPr>
                <w:sz w:val="16"/>
                <w:szCs w:val="16"/>
                <w:lang w:eastAsia="pl-PL"/>
              </w:rPr>
            </w:pP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E04D72" w:rsidRPr="00FF2C6D" w:rsidRDefault="00E04D72" w:rsidP="00B65FD4">
            <w:pPr>
              <w:jc w:val="center"/>
              <w:rPr>
                <w:sz w:val="16"/>
                <w:szCs w:val="16"/>
                <w:lang w:eastAsia="pl-PL"/>
              </w:rPr>
            </w:pPr>
            <w:r w:rsidRPr="00FF2C6D">
              <w:rPr>
                <w:sz w:val="16"/>
                <w:szCs w:val="16"/>
                <w:lang w:eastAsia="pl-PL"/>
              </w:rPr>
              <w:t>ogółem</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E04D72" w:rsidRPr="00FF2C6D" w:rsidRDefault="00E04D72" w:rsidP="00B65FD4">
            <w:pPr>
              <w:jc w:val="center"/>
              <w:rPr>
                <w:sz w:val="16"/>
                <w:szCs w:val="16"/>
                <w:lang w:eastAsia="pl-PL"/>
              </w:rPr>
            </w:pPr>
            <w:r w:rsidRPr="00FF2C6D">
              <w:rPr>
                <w:sz w:val="16"/>
                <w:szCs w:val="16"/>
                <w:lang w:eastAsia="pl-PL"/>
              </w:rPr>
              <w:t>udział%</w:t>
            </w:r>
          </w:p>
        </w:tc>
        <w:tc>
          <w:tcPr>
            <w:tcW w:w="5582" w:type="dxa"/>
            <w:gridSpan w:val="6"/>
            <w:tcBorders>
              <w:top w:val="single" w:sz="4" w:space="0" w:color="auto"/>
              <w:left w:val="nil"/>
              <w:bottom w:val="single" w:sz="4" w:space="0" w:color="auto"/>
              <w:right w:val="single" w:sz="4" w:space="0" w:color="auto"/>
            </w:tcBorders>
            <w:shd w:val="clear" w:color="auto" w:fill="auto"/>
            <w:noWrap/>
            <w:vAlign w:val="bottom"/>
            <w:hideMark/>
          </w:tcPr>
          <w:p w:rsidR="00E04D72" w:rsidRPr="00FF2C6D" w:rsidRDefault="00E04D72" w:rsidP="00B65FD4">
            <w:pPr>
              <w:jc w:val="center"/>
              <w:rPr>
                <w:sz w:val="16"/>
                <w:szCs w:val="16"/>
                <w:lang w:eastAsia="pl-PL"/>
              </w:rPr>
            </w:pPr>
            <w:r w:rsidRPr="00FF2C6D">
              <w:rPr>
                <w:sz w:val="16"/>
                <w:szCs w:val="16"/>
                <w:lang w:eastAsia="pl-PL"/>
              </w:rPr>
              <w:t>2) Udział procentowy</w:t>
            </w:r>
          </w:p>
        </w:tc>
        <w:tc>
          <w:tcPr>
            <w:tcW w:w="5582" w:type="dxa"/>
            <w:gridSpan w:val="6"/>
            <w:tcBorders>
              <w:top w:val="single" w:sz="4" w:space="0" w:color="auto"/>
              <w:left w:val="nil"/>
              <w:bottom w:val="single" w:sz="4" w:space="0" w:color="auto"/>
              <w:right w:val="single" w:sz="4" w:space="0" w:color="auto"/>
            </w:tcBorders>
            <w:shd w:val="clear" w:color="auto" w:fill="auto"/>
            <w:noWrap/>
            <w:vAlign w:val="bottom"/>
            <w:hideMark/>
          </w:tcPr>
          <w:p w:rsidR="00E04D72" w:rsidRPr="00FF2C6D" w:rsidRDefault="00E04D72" w:rsidP="00B65FD4">
            <w:pPr>
              <w:jc w:val="center"/>
              <w:rPr>
                <w:sz w:val="16"/>
                <w:szCs w:val="16"/>
                <w:lang w:eastAsia="pl-PL"/>
              </w:rPr>
            </w:pPr>
            <w:r w:rsidRPr="00FF2C6D">
              <w:rPr>
                <w:sz w:val="16"/>
                <w:szCs w:val="16"/>
                <w:lang w:eastAsia="pl-PL"/>
              </w:rPr>
              <w:t>2) Udział procentowy</w:t>
            </w:r>
          </w:p>
        </w:tc>
      </w:tr>
      <w:tr w:rsidR="00E04D72" w:rsidRPr="00FF2C6D" w:rsidTr="00B65FD4">
        <w:trPr>
          <w:trHeight w:val="825"/>
        </w:trPr>
        <w:tc>
          <w:tcPr>
            <w:tcW w:w="1501" w:type="dxa"/>
            <w:vMerge/>
            <w:tcBorders>
              <w:top w:val="nil"/>
              <w:left w:val="single" w:sz="4" w:space="0" w:color="auto"/>
              <w:bottom w:val="single" w:sz="4" w:space="0" w:color="auto"/>
              <w:right w:val="single" w:sz="4" w:space="0" w:color="auto"/>
            </w:tcBorders>
            <w:vAlign w:val="center"/>
            <w:hideMark/>
          </w:tcPr>
          <w:p w:rsidR="00E04D72" w:rsidRPr="00FF2C6D" w:rsidRDefault="00E04D72" w:rsidP="00B65FD4">
            <w:pPr>
              <w:rPr>
                <w:sz w:val="16"/>
                <w:szCs w:val="16"/>
                <w:lang w:eastAsia="pl-PL"/>
              </w:rPr>
            </w:pPr>
          </w:p>
        </w:tc>
        <w:tc>
          <w:tcPr>
            <w:tcW w:w="942" w:type="dxa"/>
            <w:vMerge/>
            <w:tcBorders>
              <w:top w:val="nil"/>
              <w:left w:val="single" w:sz="4" w:space="0" w:color="auto"/>
              <w:bottom w:val="single" w:sz="4" w:space="0" w:color="auto"/>
              <w:right w:val="single" w:sz="4" w:space="0" w:color="auto"/>
            </w:tcBorders>
            <w:vAlign w:val="center"/>
            <w:hideMark/>
          </w:tcPr>
          <w:p w:rsidR="00E04D72" w:rsidRPr="00FF2C6D" w:rsidRDefault="00E04D72" w:rsidP="00B65FD4">
            <w:pPr>
              <w:rPr>
                <w:sz w:val="16"/>
                <w:szCs w:val="16"/>
                <w:lang w:eastAsia="pl-PL"/>
              </w:rPr>
            </w:pPr>
          </w:p>
        </w:tc>
        <w:tc>
          <w:tcPr>
            <w:tcW w:w="820" w:type="dxa"/>
            <w:vMerge/>
            <w:tcBorders>
              <w:top w:val="nil"/>
              <w:left w:val="single" w:sz="4" w:space="0" w:color="auto"/>
              <w:bottom w:val="single" w:sz="4" w:space="0" w:color="auto"/>
              <w:right w:val="single" w:sz="4" w:space="0" w:color="auto"/>
            </w:tcBorders>
            <w:vAlign w:val="center"/>
            <w:hideMark/>
          </w:tcPr>
          <w:p w:rsidR="00E04D72" w:rsidRPr="00FF2C6D" w:rsidRDefault="00E04D72" w:rsidP="00B65FD4">
            <w:pPr>
              <w:rPr>
                <w:sz w:val="16"/>
                <w:szCs w:val="16"/>
                <w:lang w:eastAsia="pl-PL"/>
              </w:rPr>
            </w:pPr>
          </w:p>
        </w:tc>
        <w:tc>
          <w:tcPr>
            <w:tcW w:w="920" w:type="dxa"/>
            <w:vMerge/>
            <w:tcBorders>
              <w:top w:val="nil"/>
              <w:left w:val="single" w:sz="4" w:space="0" w:color="auto"/>
              <w:bottom w:val="single" w:sz="4" w:space="0" w:color="auto"/>
              <w:right w:val="single" w:sz="4" w:space="0" w:color="auto"/>
            </w:tcBorders>
            <w:vAlign w:val="center"/>
            <w:hideMark/>
          </w:tcPr>
          <w:p w:rsidR="00E04D72" w:rsidRPr="00FF2C6D" w:rsidRDefault="00E04D72" w:rsidP="00B65FD4">
            <w:pPr>
              <w:rPr>
                <w:sz w:val="16"/>
                <w:szCs w:val="16"/>
                <w:lang w:eastAsia="pl-PL"/>
              </w:rPr>
            </w:pPr>
          </w:p>
        </w:tc>
        <w:tc>
          <w:tcPr>
            <w:tcW w:w="960" w:type="dxa"/>
            <w:tcBorders>
              <w:top w:val="nil"/>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2"/>
                <w:szCs w:val="12"/>
                <w:lang w:eastAsia="pl-PL"/>
              </w:rPr>
            </w:pPr>
            <w:r w:rsidRPr="00FF2C6D">
              <w:rPr>
                <w:sz w:val="12"/>
                <w:szCs w:val="12"/>
                <w:lang w:eastAsia="pl-PL"/>
              </w:rPr>
              <w:t>utrzymanych w mocy</w:t>
            </w:r>
          </w:p>
        </w:tc>
        <w:tc>
          <w:tcPr>
            <w:tcW w:w="960" w:type="dxa"/>
            <w:tcBorders>
              <w:top w:val="nil"/>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2"/>
                <w:szCs w:val="12"/>
                <w:lang w:eastAsia="pl-PL"/>
              </w:rPr>
            </w:pPr>
            <w:r w:rsidRPr="00FF2C6D">
              <w:rPr>
                <w:sz w:val="12"/>
                <w:szCs w:val="12"/>
                <w:lang w:eastAsia="pl-PL"/>
              </w:rPr>
              <w:t>uchylonych i zmienionych</w:t>
            </w:r>
          </w:p>
        </w:tc>
        <w:tc>
          <w:tcPr>
            <w:tcW w:w="965" w:type="dxa"/>
            <w:tcBorders>
              <w:top w:val="nil"/>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2"/>
                <w:szCs w:val="12"/>
                <w:lang w:eastAsia="pl-PL"/>
              </w:rPr>
            </w:pPr>
            <w:r w:rsidRPr="00FF2C6D">
              <w:rPr>
                <w:sz w:val="12"/>
                <w:szCs w:val="12"/>
                <w:lang w:eastAsia="pl-PL"/>
              </w:rPr>
              <w:t>uchylonych i przekazanych do ponownego rozpoznania</w:t>
            </w:r>
          </w:p>
        </w:tc>
        <w:tc>
          <w:tcPr>
            <w:tcW w:w="977" w:type="dxa"/>
            <w:tcBorders>
              <w:top w:val="nil"/>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2"/>
                <w:szCs w:val="12"/>
                <w:lang w:eastAsia="pl-PL"/>
              </w:rPr>
            </w:pPr>
            <w:r w:rsidRPr="00FF2C6D">
              <w:rPr>
                <w:sz w:val="12"/>
                <w:szCs w:val="12"/>
                <w:lang w:eastAsia="pl-PL"/>
              </w:rPr>
              <w:t>uchylonych i umarzających postępowanie I instancji lub odwoławcze</w:t>
            </w:r>
          </w:p>
        </w:tc>
        <w:tc>
          <w:tcPr>
            <w:tcW w:w="960" w:type="dxa"/>
            <w:tcBorders>
              <w:top w:val="nil"/>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2"/>
                <w:szCs w:val="12"/>
                <w:lang w:eastAsia="pl-PL"/>
              </w:rPr>
            </w:pPr>
            <w:r w:rsidRPr="00FF2C6D">
              <w:rPr>
                <w:sz w:val="12"/>
                <w:szCs w:val="12"/>
                <w:lang w:eastAsia="pl-PL"/>
              </w:rPr>
              <w:t>stwierdzenie nieważności</w:t>
            </w:r>
          </w:p>
        </w:tc>
        <w:tc>
          <w:tcPr>
            <w:tcW w:w="760" w:type="dxa"/>
            <w:tcBorders>
              <w:top w:val="nil"/>
              <w:left w:val="nil"/>
              <w:bottom w:val="single" w:sz="4" w:space="0" w:color="auto"/>
              <w:right w:val="single" w:sz="4" w:space="0" w:color="auto"/>
            </w:tcBorders>
            <w:shd w:val="clear" w:color="auto" w:fill="auto"/>
            <w:noWrap/>
            <w:vAlign w:val="center"/>
            <w:hideMark/>
          </w:tcPr>
          <w:p w:rsidR="00E04D72" w:rsidRPr="00FF2C6D" w:rsidRDefault="00E04D72" w:rsidP="00B65FD4">
            <w:pPr>
              <w:jc w:val="center"/>
              <w:rPr>
                <w:sz w:val="12"/>
                <w:szCs w:val="12"/>
                <w:lang w:eastAsia="pl-PL"/>
              </w:rPr>
            </w:pPr>
            <w:r w:rsidRPr="00FF2C6D">
              <w:rPr>
                <w:sz w:val="12"/>
                <w:szCs w:val="12"/>
                <w:lang w:eastAsia="pl-PL"/>
              </w:rPr>
              <w:t>inne</w:t>
            </w:r>
          </w:p>
        </w:tc>
        <w:tc>
          <w:tcPr>
            <w:tcW w:w="960" w:type="dxa"/>
            <w:tcBorders>
              <w:top w:val="nil"/>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2"/>
                <w:szCs w:val="12"/>
                <w:lang w:eastAsia="pl-PL"/>
              </w:rPr>
            </w:pPr>
            <w:r w:rsidRPr="00FF2C6D">
              <w:rPr>
                <w:sz w:val="12"/>
                <w:szCs w:val="12"/>
                <w:lang w:eastAsia="pl-PL"/>
              </w:rPr>
              <w:t>utrzymanych w mocy</w:t>
            </w:r>
          </w:p>
        </w:tc>
        <w:tc>
          <w:tcPr>
            <w:tcW w:w="960" w:type="dxa"/>
            <w:tcBorders>
              <w:top w:val="nil"/>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2"/>
                <w:szCs w:val="12"/>
                <w:lang w:eastAsia="pl-PL"/>
              </w:rPr>
            </w:pPr>
            <w:r w:rsidRPr="00FF2C6D">
              <w:rPr>
                <w:sz w:val="12"/>
                <w:szCs w:val="12"/>
                <w:lang w:eastAsia="pl-PL"/>
              </w:rPr>
              <w:t>uchylonych i zmienionych</w:t>
            </w:r>
          </w:p>
        </w:tc>
        <w:tc>
          <w:tcPr>
            <w:tcW w:w="965" w:type="dxa"/>
            <w:tcBorders>
              <w:top w:val="nil"/>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2"/>
                <w:szCs w:val="12"/>
                <w:lang w:eastAsia="pl-PL"/>
              </w:rPr>
            </w:pPr>
            <w:r w:rsidRPr="00FF2C6D">
              <w:rPr>
                <w:sz w:val="12"/>
                <w:szCs w:val="12"/>
                <w:lang w:eastAsia="pl-PL"/>
              </w:rPr>
              <w:t>uchylonych i przekazanych do ponownego rozpoznania</w:t>
            </w:r>
          </w:p>
        </w:tc>
        <w:tc>
          <w:tcPr>
            <w:tcW w:w="977" w:type="dxa"/>
            <w:tcBorders>
              <w:top w:val="nil"/>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2"/>
                <w:szCs w:val="12"/>
                <w:lang w:eastAsia="pl-PL"/>
              </w:rPr>
            </w:pPr>
            <w:r w:rsidRPr="00FF2C6D">
              <w:rPr>
                <w:sz w:val="12"/>
                <w:szCs w:val="12"/>
                <w:lang w:eastAsia="pl-PL"/>
              </w:rPr>
              <w:t>uchylonych i umarzających postępowanie I instancji lub odwoławcze</w:t>
            </w:r>
          </w:p>
        </w:tc>
        <w:tc>
          <w:tcPr>
            <w:tcW w:w="960" w:type="dxa"/>
            <w:tcBorders>
              <w:top w:val="nil"/>
              <w:left w:val="nil"/>
              <w:bottom w:val="single" w:sz="4" w:space="0" w:color="auto"/>
              <w:right w:val="single" w:sz="4" w:space="0" w:color="auto"/>
            </w:tcBorders>
            <w:shd w:val="clear" w:color="auto" w:fill="auto"/>
            <w:vAlign w:val="center"/>
            <w:hideMark/>
          </w:tcPr>
          <w:p w:rsidR="00E04D72" w:rsidRPr="00FF2C6D" w:rsidRDefault="00E04D72" w:rsidP="00B65FD4">
            <w:pPr>
              <w:jc w:val="center"/>
              <w:rPr>
                <w:sz w:val="12"/>
                <w:szCs w:val="12"/>
                <w:lang w:eastAsia="pl-PL"/>
              </w:rPr>
            </w:pPr>
            <w:r w:rsidRPr="00FF2C6D">
              <w:rPr>
                <w:sz w:val="12"/>
                <w:szCs w:val="12"/>
                <w:lang w:eastAsia="pl-PL"/>
              </w:rPr>
              <w:t>stwierdzenie nieważności</w:t>
            </w:r>
          </w:p>
        </w:tc>
        <w:tc>
          <w:tcPr>
            <w:tcW w:w="760" w:type="dxa"/>
            <w:tcBorders>
              <w:top w:val="nil"/>
              <w:left w:val="nil"/>
              <w:bottom w:val="single" w:sz="4" w:space="0" w:color="auto"/>
              <w:right w:val="single" w:sz="4" w:space="0" w:color="auto"/>
            </w:tcBorders>
            <w:shd w:val="clear" w:color="auto" w:fill="auto"/>
            <w:noWrap/>
            <w:vAlign w:val="center"/>
            <w:hideMark/>
          </w:tcPr>
          <w:p w:rsidR="00E04D72" w:rsidRPr="00FF2C6D" w:rsidRDefault="00E04D72" w:rsidP="00B65FD4">
            <w:pPr>
              <w:jc w:val="center"/>
              <w:rPr>
                <w:sz w:val="12"/>
                <w:szCs w:val="12"/>
                <w:lang w:eastAsia="pl-PL"/>
              </w:rPr>
            </w:pPr>
            <w:r w:rsidRPr="00FF2C6D">
              <w:rPr>
                <w:sz w:val="12"/>
                <w:szCs w:val="12"/>
                <w:lang w:eastAsia="pl-PL"/>
              </w:rPr>
              <w:t>inne</w:t>
            </w:r>
          </w:p>
        </w:tc>
      </w:tr>
      <w:tr w:rsidR="00E04D72" w:rsidRPr="00FF2C6D" w:rsidTr="00B65FD4">
        <w:trPr>
          <w:trHeight w:val="300"/>
        </w:trPr>
        <w:tc>
          <w:tcPr>
            <w:tcW w:w="1501" w:type="dxa"/>
            <w:vMerge w:val="restart"/>
            <w:tcBorders>
              <w:top w:val="nil"/>
              <w:left w:val="single" w:sz="4" w:space="0" w:color="auto"/>
              <w:bottom w:val="nil"/>
              <w:right w:val="single" w:sz="4" w:space="0" w:color="auto"/>
            </w:tcBorders>
            <w:shd w:val="clear" w:color="auto" w:fill="auto"/>
            <w:noWrap/>
            <w:vAlign w:val="bottom"/>
            <w:hideMark/>
          </w:tcPr>
          <w:p w:rsidR="00E04D72" w:rsidRPr="00FF2C6D" w:rsidRDefault="00E04D72" w:rsidP="00B65FD4">
            <w:pPr>
              <w:jc w:val="center"/>
              <w:rPr>
                <w:szCs w:val="20"/>
                <w:lang w:eastAsia="pl-PL"/>
              </w:rPr>
            </w:pPr>
            <w:r w:rsidRPr="00FF2C6D">
              <w:rPr>
                <w:szCs w:val="20"/>
                <w:lang w:eastAsia="pl-PL"/>
              </w:rPr>
              <w:t>WSR</w:t>
            </w:r>
          </w:p>
        </w:tc>
        <w:tc>
          <w:tcPr>
            <w:tcW w:w="942" w:type="dxa"/>
            <w:vMerge w:val="restart"/>
            <w:tcBorders>
              <w:top w:val="nil"/>
              <w:left w:val="single" w:sz="4" w:space="0" w:color="auto"/>
              <w:bottom w:val="nil"/>
              <w:right w:val="single" w:sz="4" w:space="0" w:color="auto"/>
            </w:tcBorders>
            <w:shd w:val="clear" w:color="auto" w:fill="auto"/>
            <w:noWrap/>
            <w:vAlign w:val="bottom"/>
            <w:hideMark/>
          </w:tcPr>
          <w:p w:rsidR="00E04D72" w:rsidRPr="00FF2C6D" w:rsidRDefault="00E04D72" w:rsidP="00B65FD4">
            <w:pPr>
              <w:jc w:val="center"/>
              <w:rPr>
                <w:szCs w:val="20"/>
                <w:lang w:eastAsia="pl-PL"/>
              </w:rPr>
            </w:pPr>
            <w:r w:rsidRPr="00FF2C6D">
              <w:rPr>
                <w:szCs w:val="20"/>
                <w:lang w:eastAsia="pl-PL"/>
              </w:rPr>
              <w:t>1767</w:t>
            </w:r>
          </w:p>
        </w:tc>
        <w:tc>
          <w:tcPr>
            <w:tcW w:w="820" w:type="dxa"/>
            <w:vMerge w:val="restart"/>
            <w:tcBorders>
              <w:top w:val="nil"/>
              <w:left w:val="single" w:sz="4" w:space="0" w:color="auto"/>
              <w:bottom w:val="nil"/>
              <w:right w:val="single" w:sz="4" w:space="0" w:color="auto"/>
            </w:tcBorders>
            <w:shd w:val="clear" w:color="auto" w:fill="auto"/>
            <w:noWrap/>
            <w:vAlign w:val="bottom"/>
            <w:hideMark/>
          </w:tcPr>
          <w:p w:rsidR="00E04D72" w:rsidRPr="00FF2C6D" w:rsidRDefault="00E04D72" w:rsidP="00B65FD4">
            <w:pPr>
              <w:jc w:val="center"/>
              <w:rPr>
                <w:szCs w:val="20"/>
                <w:lang w:eastAsia="pl-PL"/>
              </w:rPr>
            </w:pPr>
            <w:r w:rsidRPr="00FF2C6D">
              <w:rPr>
                <w:szCs w:val="20"/>
                <w:lang w:eastAsia="pl-PL"/>
              </w:rPr>
              <w:t>32</w:t>
            </w:r>
          </w:p>
        </w:tc>
        <w:tc>
          <w:tcPr>
            <w:tcW w:w="920" w:type="dxa"/>
            <w:vMerge w:val="restart"/>
            <w:tcBorders>
              <w:top w:val="nil"/>
              <w:left w:val="single" w:sz="4" w:space="0" w:color="auto"/>
              <w:bottom w:val="nil"/>
              <w:right w:val="single" w:sz="4" w:space="0" w:color="auto"/>
            </w:tcBorders>
            <w:shd w:val="clear" w:color="auto" w:fill="auto"/>
            <w:noWrap/>
            <w:vAlign w:val="bottom"/>
            <w:hideMark/>
          </w:tcPr>
          <w:p w:rsidR="00E04D72" w:rsidRPr="00FF2C6D" w:rsidRDefault="00E04D72" w:rsidP="00B65FD4">
            <w:pPr>
              <w:jc w:val="center"/>
              <w:rPr>
                <w:szCs w:val="20"/>
                <w:lang w:eastAsia="pl-PL"/>
              </w:rPr>
            </w:pPr>
            <w:r w:rsidRPr="00FF2C6D">
              <w:rPr>
                <w:szCs w:val="20"/>
                <w:lang w:eastAsia="pl-PL"/>
              </w:rPr>
              <w:t>1,81%</w:t>
            </w: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jc w:val="right"/>
              <w:rPr>
                <w:szCs w:val="20"/>
                <w:lang w:eastAsia="pl-PL"/>
              </w:rPr>
            </w:pPr>
            <w:r w:rsidRPr="00FF2C6D">
              <w:rPr>
                <w:szCs w:val="20"/>
                <w:lang w:eastAsia="pl-PL"/>
              </w:rPr>
              <w:t>11</w:t>
            </w: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jc w:val="right"/>
              <w:rPr>
                <w:szCs w:val="20"/>
                <w:lang w:eastAsia="pl-PL"/>
              </w:rPr>
            </w:pPr>
            <w:r w:rsidRPr="00FF2C6D">
              <w:rPr>
                <w:szCs w:val="20"/>
                <w:lang w:eastAsia="pl-PL"/>
              </w:rPr>
              <w:t>4</w:t>
            </w:r>
          </w:p>
        </w:tc>
        <w:tc>
          <w:tcPr>
            <w:tcW w:w="965"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jc w:val="right"/>
              <w:rPr>
                <w:szCs w:val="20"/>
                <w:lang w:eastAsia="pl-PL"/>
              </w:rPr>
            </w:pPr>
            <w:r w:rsidRPr="00FF2C6D">
              <w:rPr>
                <w:szCs w:val="20"/>
                <w:lang w:eastAsia="pl-PL"/>
              </w:rPr>
              <w:t>7</w:t>
            </w:r>
          </w:p>
        </w:tc>
        <w:tc>
          <w:tcPr>
            <w:tcW w:w="977"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jc w:val="right"/>
              <w:rPr>
                <w:szCs w:val="20"/>
                <w:lang w:eastAsia="pl-PL"/>
              </w:rPr>
            </w:pPr>
            <w:r w:rsidRPr="00FF2C6D">
              <w:rPr>
                <w:szCs w:val="2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760"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jc w:val="right"/>
              <w:rPr>
                <w:szCs w:val="20"/>
                <w:lang w:eastAsia="pl-PL"/>
              </w:rPr>
            </w:pPr>
            <w:r w:rsidRPr="00FF2C6D">
              <w:rPr>
                <w:szCs w:val="20"/>
                <w:lang w:eastAsia="pl-PL"/>
              </w:rPr>
              <w:t>9</w:t>
            </w: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965"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977"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760" w:type="dxa"/>
            <w:tcBorders>
              <w:top w:val="nil"/>
              <w:left w:val="nil"/>
              <w:bottom w:val="single" w:sz="4" w:space="0" w:color="auto"/>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r>
      <w:tr w:rsidR="00E04D72" w:rsidRPr="00FF2C6D" w:rsidTr="00B65FD4">
        <w:trPr>
          <w:trHeight w:val="300"/>
        </w:trPr>
        <w:tc>
          <w:tcPr>
            <w:tcW w:w="1501" w:type="dxa"/>
            <w:vMerge/>
            <w:tcBorders>
              <w:top w:val="nil"/>
              <w:left w:val="single" w:sz="4" w:space="0" w:color="auto"/>
              <w:bottom w:val="nil"/>
              <w:right w:val="single" w:sz="4" w:space="0" w:color="auto"/>
            </w:tcBorders>
            <w:vAlign w:val="center"/>
            <w:hideMark/>
          </w:tcPr>
          <w:p w:rsidR="00E04D72" w:rsidRPr="00FF2C6D" w:rsidRDefault="00E04D72" w:rsidP="00B65FD4">
            <w:pPr>
              <w:rPr>
                <w:szCs w:val="20"/>
                <w:lang w:eastAsia="pl-PL"/>
              </w:rPr>
            </w:pPr>
          </w:p>
        </w:tc>
        <w:tc>
          <w:tcPr>
            <w:tcW w:w="942" w:type="dxa"/>
            <w:vMerge/>
            <w:tcBorders>
              <w:top w:val="nil"/>
              <w:left w:val="single" w:sz="4" w:space="0" w:color="auto"/>
              <w:bottom w:val="nil"/>
              <w:right w:val="single" w:sz="4" w:space="0" w:color="auto"/>
            </w:tcBorders>
            <w:vAlign w:val="center"/>
            <w:hideMark/>
          </w:tcPr>
          <w:p w:rsidR="00E04D72" w:rsidRPr="00FF2C6D" w:rsidRDefault="00E04D72" w:rsidP="00B65FD4">
            <w:pPr>
              <w:rPr>
                <w:szCs w:val="20"/>
                <w:lang w:eastAsia="pl-PL"/>
              </w:rPr>
            </w:pPr>
          </w:p>
        </w:tc>
        <w:tc>
          <w:tcPr>
            <w:tcW w:w="820" w:type="dxa"/>
            <w:vMerge/>
            <w:tcBorders>
              <w:top w:val="nil"/>
              <w:left w:val="single" w:sz="4" w:space="0" w:color="auto"/>
              <w:bottom w:val="nil"/>
              <w:right w:val="single" w:sz="4" w:space="0" w:color="auto"/>
            </w:tcBorders>
            <w:vAlign w:val="center"/>
            <w:hideMark/>
          </w:tcPr>
          <w:p w:rsidR="00E04D72" w:rsidRPr="00FF2C6D" w:rsidRDefault="00E04D72" w:rsidP="00B65FD4">
            <w:pPr>
              <w:rPr>
                <w:szCs w:val="20"/>
                <w:lang w:eastAsia="pl-PL"/>
              </w:rPr>
            </w:pPr>
          </w:p>
        </w:tc>
        <w:tc>
          <w:tcPr>
            <w:tcW w:w="920" w:type="dxa"/>
            <w:vMerge/>
            <w:tcBorders>
              <w:top w:val="nil"/>
              <w:left w:val="single" w:sz="4" w:space="0" w:color="auto"/>
              <w:bottom w:val="nil"/>
              <w:right w:val="single" w:sz="4" w:space="0" w:color="auto"/>
            </w:tcBorders>
            <w:vAlign w:val="center"/>
            <w:hideMark/>
          </w:tcPr>
          <w:p w:rsidR="00E04D72" w:rsidRPr="00FF2C6D" w:rsidRDefault="00E04D72" w:rsidP="00B65FD4">
            <w:pPr>
              <w:rPr>
                <w:szCs w:val="20"/>
                <w:lang w:eastAsia="pl-PL"/>
              </w:rPr>
            </w:pPr>
          </w:p>
        </w:tc>
        <w:tc>
          <w:tcPr>
            <w:tcW w:w="960" w:type="dxa"/>
            <w:tcBorders>
              <w:top w:val="nil"/>
              <w:left w:val="nil"/>
              <w:bottom w:val="nil"/>
              <w:right w:val="single" w:sz="4" w:space="0" w:color="auto"/>
            </w:tcBorders>
            <w:shd w:val="clear" w:color="auto" w:fill="auto"/>
            <w:noWrap/>
            <w:vAlign w:val="bottom"/>
            <w:hideMark/>
          </w:tcPr>
          <w:p w:rsidR="00E04D72" w:rsidRPr="00FF2C6D" w:rsidRDefault="00E04D72" w:rsidP="00B65FD4">
            <w:pPr>
              <w:jc w:val="right"/>
              <w:rPr>
                <w:szCs w:val="20"/>
                <w:lang w:eastAsia="pl-PL"/>
              </w:rPr>
            </w:pPr>
            <w:r w:rsidRPr="00FF2C6D">
              <w:rPr>
                <w:szCs w:val="20"/>
                <w:lang w:eastAsia="pl-PL"/>
              </w:rPr>
              <w:t>0,62</w:t>
            </w:r>
          </w:p>
        </w:tc>
        <w:tc>
          <w:tcPr>
            <w:tcW w:w="960" w:type="dxa"/>
            <w:tcBorders>
              <w:top w:val="nil"/>
              <w:left w:val="nil"/>
              <w:bottom w:val="nil"/>
              <w:right w:val="single" w:sz="4" w:space="0" w:color="auto"/>
            </w:tcBorders>
            <w:shd w:val="clear" w:color="auto" w:fill="auto"/>
            <w:noWrap/>
            <w:vAlign w:val="bottom"/>
            <w:hideMark/>
          </w:tcPr>
          <w:p w:rsidR="00E04D72" w:rsidRPr="00FF2C6D" w:rsidRDefault="00E04D72" w:rsidP="00B65FD4">
            <w:pPr>
              <w:jc w:val="right"/>
              <w:rPr>
                <w:szCs w:val="20"/>
                <w:lang w:eastAsia="pl-PL"/>
              </w:rPr>
            </w:pPr>
            <w:r w:rsidRPr="00FF2C6D">
              <w:rPr>
                <w:szCs w:val="20"/>
                <w:lang w:eastAsia="pl-PL"/>
              </w:rPr>
              <w:t>0,22</w:t>
            </w:r>
          </w:p>
        </w:tc>
        <w:tc>
          <w:tcPr>
            <w:tcW w:w="965" w:type="dxa"/>
            <w:tcBorders>
              <w:top w:val="nil"/>
              <w:left w:val="nil"/>
              <w:bottom w:val="nil"/>
              <w:right w:val="single" w:sz="4" w:space="0" w:color="auto"/>
            </w:tcBorders>
            <w:shd w:val="clear" w:color="auto" w:fill="auto"/>
            <w:noWrap/>
            <w:vAlign w:val="bottom"/>
            <w:hideMark/>
          </w:tcPr>
          <w:p w:rsidR="00E04D72" w:rsidRPr="00FF2C6D" w:rsidRDefault="00E04D72" w:rsidP="00B65FD4">
            <w:pPr>
              <w:jc w:val="right"/>
              <w:rPr>
                <w:szCs w:val="20"/>
                <w:lang w:eastAsia="pl-PL"/>
              </w:rPr>
            </w:pPr>
            <w:r w:rsidRPr="00FF2C6D">
              <w:rPr>
                <w:szCs w:val="20"/>
                <w:lang w:eastAsia="pl-PL"/>
              </w:rPr>
              <w:t>0,39</w:t>
            </w:r>
          </w:p>
        </w:tc>
        <w:tc>
          <w:tcPr>
            <w:tcW w:w="977" w:type="dxa"/>
            <w:tcBorders>
              <w:top w:val="nil"/>
              <w:left w:val="nil"/>
              <w:bottom w:val="nil"/>
              <w:right w:val="single" w:sz="4" w:space="0" w:color="auto"/>
            </w:tcBorders>
            <w:shd w:val="clear" w:color="auto" w:fill="auto"/>
            <w:noWrap/>
            <w:vAlign w:val="bottom"/>
            <w:hideMark/>
          </w:tcPr>
          <w:p w:rsidR="00E04D72" w:rsidRPr="00FF2C6D" w:rsidRDefault="00E04D72" w:rsidP="00B65FD4">
            <w:pPr>
              <w:jc w:val="right"/>
              <w:rPr>
                <w:szCs w:val="20"/>
                <w:lang w:eastAsia="pl-PL"/>
              </w:rPr>
            </w:pPr>
            <w:r w:rsidRPr="00FF2C6D">
              <w:rPr>
                <w:szCs w:val="20"/>
                <w:lang w:eastAsia="pl-PL"/>
              </w:rPr>
              <w:t>0,06</w:t>
            </w:r>
          </w:p>
        </w:tc>
        <w:tc>
          <w:tcPr>
            <w:tcW w:w="960" w:type="dxa"/>
            <w:tcBorders>
              <w:top w:val="nil"/>
              <w:left w:val="nil"/>
              <w:bottom w:val="nil"/>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760" w:type="dxa"/>
            <w:tcBorders>
              <w:top w:val="nil"/>
              <w:left w:val="nil"/>
              <w:bottom w:val="nil"/>
              <w:right w:val="single" w:sz="4" w:space="0" w:color="auto"/>
            </w:tcBorders>
            <w:shd w:val="clear" w:color="auto" w:fill="auto"/>
            <w:noWrap/>
            <w:vAlign w:val="bottom"/>
            <w:hideMark/>
          </w:tcPr>
          <w:p w:rsidR="00E04D72" w:rsidRPr="00FF2C6D" w:rsidRDefault="00E04D72" w:rsidP="00B65FD4">
            <w:pPr>
              <w:jc w:val="right"/>
              <w:rPr>
                <w:szCs w:val="20"/>
                <w:lang w:eastAsia="pl-PL"/>
              </w:rPr>
            </w:pPr>
            <w:r w:rsidRPr="00FF2C6D">
              <w:rPr>
                <w:szCs w:val="20"/>
                <w:lang w:eastAsia="pl-PL"/>
              </w:rPr>
              <w:t>0,51</w:t>
            </w:r>
          </w:p>
        </w:tc>
        <w:tc>
          <w:tcPr>
            <w:tcW w:w="960" w:type="dxa"/>
            <w:tcBorders>
              <w:top w:val="nil"/>
              <w:left w:val="nil"/>
              <w:bottom w:val="nil"/>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960" w:type="dxa"/>
            <w:tcBorders>
              <w:top w:val="nil"/>
              <w:left w:val="nil"/>
              <w:bottom w:val="nil"/>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965" w:type="dxa"/>
            <w:tcBorders>
              <w:top w:val="nil"/>
              <w:left w:val="nil"/>
              <w:bottom w:val="nil"/>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977" w:type="dxa"/>
            <w:tcBorders>
              <w:top w:val="nil"/>
              <w:left w:val="nil"/>
              <w:bottom w:val="nil"/>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960" w:type="dxa"/>
            <w:tcBorders>
              <w:top w:val="nil"/>
              <w:left w:val="nil"/>
              <w:bottom w:val="nil"/>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c>
          <w:tcPr>
            <w:tcW w:w="760" w:type="dxa"/>
            <w:tcBorders>
              <w:top w:val="nil"/>
              <w:left w:val="nil"/>
              <w:bottom w:val="nil"/>
              <w:right w:val="single" w:sz="4" w:space="0" w:color="auto"/>
            </w:tcBorders>
            <w:shd w:val="clear" w:color="auto" w:fill="auto"/>
            <w:noWrap/>
            <w:vAlign w:val="bottom"/>
            <w:hideMark/>
          </w:tcPr>
          <w:p w:rsidR="00E04D72" w:rsidRPr="00FF2C6D" w:rsidRDefault="00E04D72" w:rsidP="00B65FD4">
            <w:pPr>
              <w:rPr>
                <w:szCs w:val="20"/>
                <w:lang w:eastAsia="pl-PL"/>
              </w:rPr>
            </w:pPr>
            <w:r w:rsidRPr="00FF2C6D">
              <w:rPr>
                <w:szCs w:val="20"/>
                <w:lang w:eastAsia="pl-PL"/>
              </w:rPr>
              <w:t> </w:t>
            </w:r>
          </w:p>
        </w:tc>
      </w:tr>
      <w:tr w:rsidR="00E04D72" w:rsidRPr="00C703B4" w:rsidTr="00B65FD4">
        <w:trPr>
          <w:trHeight w:val="300"/>
        </w:trPr>
        <w:tc>
          <w:tcPr>
            <w:tcW w:w="1501" w:type="dxa"/>
            <w:vMerge w:val="restart"/>
            <w:tcBorders>
              <w:top w:val="single" w:sz="8" w:space="0" w:color="auto"/>
              <w:left w:val="single" w:sz="4" w:space="0" w:color="auto"/>
              <w:bottom w:val="single" w:sz="4" w:space="0" w:color="000000"/>
              <w:right w:val="single" w:sz="4" w:space="0" w:color="auto"/>
            </w:tcBorders>
            <w:shd w:val="clear" w:color="auto" w:fill="auto"/>
            <w:noWrap/>
            <w:vAlign w:val="bottom"/>
            <w:hideMark/>
          </w:tcPr>
          <w:p w:rsidR="00E04D72" w:rsidRPr="00C703B4" w:rsidRDefault="00E04D72" w:rsidP="00B65FD4">
            <w:pPr>
              <w:jc w:val="center"/>
              <w:rPr>
                <w:bCs/>
                <w:szCs w:val="20"/>
                <w:lang w:eastAsia="pl-PL"/>
              </w:rPr>
            </w:pPr>
            <w:r w:rsidRPr="00C703B4">
              <w:rPr>
                <w:bCs/>
                <w:szCs w:val="20"/>
                <w:lang w:eastAsia="pl-PL"/>
              </w:rPr>
              <w:t xml:space="preserve">Razem DZR: </w:t>
            </w:r>
          </w:p>
        </w:tc>
        <w:tc>
          <w:tcPr>
            <w:tcW w:w="942" w:type="dxa"/>
            <w:vMerge w:val="restart"/>
            <w:tcBorders>
              <w:top w:val="single" w:sz="8" w:space="0" w:color="auto"/>
              <w:left w:val="single" w:sz="4" w:space="0" w:color="auto"/>
              <w:bottom w:val="single" w:sz="4" w:space="0" w:color="000000"/>
              <w:right w:val="single" w:sz="4" w:space="0" w:color="auto"/>
            </w:tcBorders>
            <w:shd w:val="clear" w:color="auto" w:fill="auto"/>
            <w:noWrap/>
            <w:vAlign w:val="bottom"/>
            <w:hideMark/>
          </w:tcPr>
          <w:p w:rsidR="00E04D72" w:rsidRPr="00C703B4" w:rsidRDefault="00E04D72" w:rsidP="00B65FD4">
            <w:pPr>
              <w:jc w:val="center"/>
              <w:rPr>
                <w:bCs/>
                <w:szCs w:val="20"/>
                <w:lang w:eastAsia="pl-PL"/>
              </w:rPr>
            </w:pPr>
            <w:r w:rsidRPr="00C703B4">
              <w:rPr>
                <w:bCs/>
                <w:szCs w:val="20"/>
                <w:lang w:eastAsia="pl-PL"/>
              </w:rPr>
              <w:t>1767</w:t>
            </w:r>
          </w:p>
        </w:tc>
        <w:tc>
          <w:tcPr>
            <w:tcW w:w="820" w:type="dxa"/>
            <w:vMerge w:val="restart"/>
            <w:tcBorders>
              <w:top w:val="single" w:sz="8" w:space="0" w:color="auto"/>
              <w:left w:val="single" w:sz="4" w:space="0" w:color="auto"/>
              <w:bottom w:val="single" w:sz="4" w:space="0" w:color="000000"/>
              <w:right w:val="single" w:sz="4" w:space="0" w:color="auto"/>
            </w:tcBorders>
            <w:shd w:val="clear" w:color="auto" w:fill="auto"/>
            <w:noWrap/>
            <w:vAlign w:val="bottom"/>
            <w:hideMark/>
          </w:tcPr>
          <w:p w:rsidR="00E04D72" w:rsidRPr="00C703B4" w:rsidRDefault="00E04D72" w:rsidP="00B65FD4">
            <w:pPr>
              <w:jc w:val="center"/>
              <w:rPr>
                <w:bCs/>
                <w:szCs w:val="20"/>
                <w:lang w:eastAsia="pl-PL"/>
              </w:rPr>
            </w:pPr>
            <w:r w:rsidRPr="00C703B4">
              <w:rPr>
                <w:bCs/>
                <w:szCs w:val="20"/>
                <w:lang w:eastAsia="pl-PL"/>
              </w:rPr>
              <w:t>32</w:t>
            </w:r>
          </w:p>
        </w:tc>
        <w:tc>
          <w:tcPr>
            <w:tcW w:w="920" w:type="dxa"/>
            <w:vMerge w:val="restart"/>
            <w:tcBorders>
              <w:top w:val="single" w:sz="8" w:space="0" w:color="auto"/>
              <w:left w:val="single" w:sz="4" w:space="0" w:color="auto"/>
              <w:bottom w:val="single" w:sz="4" w:space="0" w:color="000000"/>
              <w:right w:val="single" w:sz="4" w:space="0" w:color="auto"/>
            </w:tcBorders>
            <w:shd w:val="clear" w:color="auto" w:fill="auto"/>
            <w:noWrap/>
            <w:vAlign w:val="bottom"/>
            <w:hideMark/>
          </w:tcPr>
          <w:p w:rsidR="00E04D72" w:rsidRPr="00C703B4" w:rsidRDefault="00E04D72" w:rsidP="00B65FD4">
            <w:pPr>
              <w:jc w:val="center"/>
              <w:rPr>
                <w:bCs/>
                <w:szCs w:val="20"/>
                <w:lang w:eastAsia="pl-PL"/>
              </w:rPr>
            </w:pPr>
            <w:r w:rsidRPr="00C703B4">
              <w:rPr>
                <w:bCs/>
                <w:szCs w:val="20"/>
                <w:lang w:eastAsia="pl-PL"/>
              </w:rPr>
              <w:t>1,81%</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jc w:val="right"/>
              <w:rPr>
                <w:bCs/>
                <w:szCs w:val="20"/>
                <w:lang w:eastAsia="pl-PL"/>
              </w:rPr>
            </w:pPr>
            <w:r w:rsidRPr="00C703B4">
              <w:rPr>
                <w:bCs/>
                <w:szCs w:val="20"/>
                <w:lang w:eastAsia="pl-PL"/>
              </w:rPr>
              <w:t>11</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jc w:val="right"/>
              <w:rPr>
                <w:bCs/>
                <w:szCs w:val="20"/>
                <w:lang w:eastAsia="pl-PL"/>
              </w:rPr>
            </w:pPr>
            <w:r w:rsidRPr="00C703B4">
              <w:rPr>
                <w:bCs/>
                <w:szCs w:val="20"/>
                <w:lang w:eastAsia="pl-PL"/>
              </w:rPr>
              <w:t>4</w:t>
            </w:r>
          </w:p>
        </w:tc>
        <w:tc>
          <w:tcPr>
            <w:tcW w:w="965"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jc w:val="right"/>
              <w:rPr>
                <w:bCs/>
                <w:szCs w:val="20"/>
                <w:lang w:eastAsia="pl-PL"/>
              </w:rPr>
            </w:pPr>
            <w:r w:rsidRPr="00C703B4">
              <w:rPr>
                <w:bCs/>
                <w:szCs w:val="20"/>
                <w:lang w:eastAsia="pl-PL"/>
              </w:rPr>
              <w:t>7</w:t>
            </w:r>
          </w:p>
        </w:tc>
        <w:tc>
          <w:tcPr>
            <w:tcW w:w="977"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jc w:val="right"/>
              <w:rPr>
                <w:bCs/>
                <w:szCs w:val="20"/>
                <w:lang w:eastAsia="pl-PL"/>
              </w:rPr>
            </w:pPr>
            <w:r w:rsidRPr="00C703B4">
              <w:rPr>
                <w:bCs/>
                <w:szCs w:val="20"/>
                <w:lang w:eastAsia="pl-PL"/>
              </w:rPr>
              <w:t>1</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rPr>
                <w:bCs/>
                <w:szCs w:val="20"/>
                <w:lang w:eastAsia="pl-PL"/>
              </w:rPr>
            </w:pPr>
            <w:r w:rsidRPr="00C703B4">
              <w:rPr>
                <w:bCs/>
                <w:szCs w:val="20"/>
                <w:lang w:eastAsia="pl-PL"/>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jc w:val="right"/>
              <w:rPr>
                <w:bCs/>
                <w:szCs w:val="20"/>
                <w:lang w:eastAsia="pl-PL"/>
              </w:rPr>
            </w:pPr>
            <w:r w:rsidRPr="00C703B4">
              <w:rPr>
                <w:bCs/>
                <w:szCs w:val="20"/>
                <w:lang w:eastAsia="pl-PL"/>
              </w:rPr>
              <w:t>9</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c>
          <w:tcPr>
            <w:tcW w:w="965"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c>
          <w:tcPr>
            <w:tcW w:w="977"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r>
      <w:tr w:rsidR="00E04D72" w:rsidRPr="00C703B4" w:rsidTr="00B65FD4">
        <w:trPr>
          <w:trHeight w:val="300"/>
        </w:trPr>
        <w:tc>
          <w:tcPr>
            <w:tcW w:w="1501" w:type="dxa"/>
            <w:vMerge/>
            <w:tcBorders>
              <w:top w:val="single" w:sz="8" w:space="0" w:color="auto"/>
              <w:left w:val="single" w:sz="4" w:space="0" w:color="auto"/>
              <w:bottom w:val="single" w:sz="4" w:space="0" w:color="000000"/>
              <w:right w:val="single" w:sz="4" w:space="0" w:color="auto"/>
            </w:tcBorders>
            <w:vAlign w:val="center"/>
            <w:hideMark/>
          </w:tcPr>
          <w:p w:rsidR="00E04D72" w:rsidRPr="00C703B4" w:rsidRDefault="00E04D72" w:rsidP="00B65FD4">
            <w:pPr>
              <w:rPr>
                <w:bCs/>
                <w:szCs w:val="20"/>
                <w:lang w:eastAsia="pl-PL"/>
              </w:rPr>
            </w:pPr>
          </w:p>
        </w:tc>
        <w:tc>
          <w:tcPr>
            <w:tcW w:w="942" w:type="dxa"/>
            <w:vMerge/>
            <w:tcBorders>
              <w:top w:val="single" w:sz="8" w:space="0" w:color="auto"/>
              <w:left w:val="single" w:sz="4" w:space="0" w:color="auto"/>
              <w:bottom w:val="single" w:sz="4" w:space="0" w:color="000000"/>
              <w:right w:val="single" w:sz="4" w:space="0" w:color="auto"/>
            </w:tcBorders>
            <w:vAlign w:val="center"/>
            <w:hideMark/>
          </w:tcPr>
          <w:p w:rsidR="00E04D72" w:rsidRPr="00C703B4" w:rsidRDefault="00E04D72" w:rsidP="00B65FD4">
            <w:pPr>
              <w:rPr>
                <w:bCs/>
                <w:szCs w:val="20"/>
                <w:lang w:eastAsia="pl-PL"/>
              </w:rPr>
            </w:pPr>
          </w:p>
        </w:tc>
        <w:tc>
          <w:tcPr>
            <w:tcW w:w="820" w:type="dxa"/>
            <w:vMerge/>
            <w:tcBorders>
              <w:top w:val="single" w:sz="8" w:space="0" w:color="auto"/>
              <w:left w:val="single" w:sz="4" w:space="0" w:color="auto"/>
              <w:bottom w:val="single" w:sz="4" w:space="0" w:color="000000"/>
              <w:right w:val="single" w:sz="4" w:space="0" w:color="auto"/>
            </w:tcBorders>
            <w:vAlign w:val="center"/>
            <w:hideMark/>
          </w:tcPr>
          <w:p w:rsidR="00E04D72" w:rsidRPr="00C703B4" w:rsidRDefault="00E04D72" w:rsidP="00B65FD4">
            <w:pPr>
              <w:rPr>
                <w:bCs/>
                <w:szCs w:val="20"/>
                <w:lang w:eastAsia="pl-PL"/>
              </w:rPr>
            </w:pPr>
          </w:p>
        </w:tc>
        <w:tc>
          <w:tcPr>
            <w:tcW w:w="920" w:type="dxa"/>
            <w:vMerge/>
            <w:tcBorders>
              <w:top w:val="single" w:sz="8" w:space="0" w:color="auto"/>
              <w:left w:val="single" w:sz="4" w:space="0" w:color="auto"/>
              <w:bottom w:val="single" w:sz="4" w:space="0" w:color="000000"/>
              <w:right w:val="single" w:sz="4" w:space="0" w:color="auto"/>
            </w:tcBorders>
            <w:vAlign w:val="center"/>
            <w:hideMark/>
          </w:tcPr>
          <w:p w:rsidR="00E04D72" w:rsidRPr="00C703B4" w:rsidRDefault="00E04D72" w:rsidP="00B65FD4">
            <w:pPr>
              <w:rPr>
                <w:bCs/>
                <w:szCs w:val="20"/>
                <w:lang w:eastAsia="pl-PL"/>
              </w:rPr>
            </w:pP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jc w:val="right"/>
              <w:rPr>
                <w:bCs/>
                <w:szCs w:val="20"/>
                <w:lang w:eastAsia="pl-PL"/>
              </w:rPr>
            </w:pPr>
            <w:r w:rsidRPr="00C703B4">
              <w:rPr>
                <w:bCs/>
                <w:szCs w:val="20"/>
                <w:lang w:eastAsia="pl-PL"/>
              </w:rPr>
              <w:t>0,62</w:t>
            </w: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jc w:val="right"/>
              <w:rPr>
                <w:bCs/>
                <w:szCs w:val="20"/>
                <w:lang w:eastAsia="pl-PL"/>
              </w:rPr>
            </w:pPr>
            <w:r w:rsidRPr="00C703B4">
              <w:rPr>
                <w:bCs/>
                <w:szCs w:val="20"/>
                <w:lang w:eastAsia="pl-PL"/>
              </w:rPr>
              <w:t>0,22</w:t>
            </w:r>
          </w:p>
        </w:tc>
        <w:tc>
          <w:tcPr>
            <w:tcW w:w="965"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jc w:val="right"/>
              <w:rPr>
                <w:bCs/>
                <w:szCs w:val="20"/>
                <w:lang w:eastAsia="pl-PL"/>
              </w:rPr>
            </w:pPr>
            <w:r w:rsidRPr="00C703B4">
              <w:rPr>
                <w:bCs/>
                <w:szCs w:val="20"/>
                <w:lang w:eastAsia="pl-PL"/>
              </w:rPr>
              <w:t>0,39</w:t>
            </w:r>
          </w:p>
        </w:tc>
        <w:tc>
          <w:tcPr>
            <w:tcW w:w="977"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jc w:val="right"/>
              <w:rPr>
                <w:bCs/>
                <w:szCs w:val="20"/>
                <w:lang w:eastAsia="pl-PL"/>
              </w:rPr>
            </w:pPr>
            <w:r w:rsidRPr="00C703B4">
              <w:rPr>
                <w:bCs/>
                <w:szCs w:val="20"/>
                <w:lang w:eastAsia="pl-PL"/>
              </w:rPr>
              <w:t>0,06</w:t>
            </w: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rPr>
                <w:bCs/>
                <w:szCs w:val="20"/>
                <w:lang w:eastAsia="pl-PL"/>
              </w:rPr>
            </w:pPr>
            <w:r w:rsidRPr="00C703B4">
              <w:rPr>
                <w:bCs/>
                <w:szCs w:val="20"/>
                <w:lang w:eastAsia="pl-PL"/>
              </w:rPr>
              <w:t> </w:t>
            </w:r>
          </w:p>
        </w:tc>
        <w:tc>
          <w:tcPr>
            <w:tcW w:w="760"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jc w:val="right"/>
              <w:rPr>
                <w:bCs/>
                <w:szCs w:val="20"/>
                <w:lang w:eastAsia="pl-PL"/>
              </w:rPr>
            </w:pPr>
            <w:r w:rsidRPr="00C703B4">
              <w:rPr>
                <w:bCs/>
                <w:szCs w:val="20"/>
                <w:lang w:eastAsia="pl-PL"/>
              </w:rPr>
              <w:t>0,51</w:t>
            </w: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c>
          <w:tcPr>
            <w:tcW w:w="965"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c>
          <w:tcPr>
            <w:tcW w:w="977"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c>
          <w:tcPr>
            <w:tcW w:w="760" w:type="dxa"/>
            <w:tcBorders>
              <w:top w:val="nil"/>
              <w:left w:val="nil"/>
              <w:bottom w:val="single" w:sz="4" w:space="0" w:color="auto"/>
              <w:right w:val="single" w:sz="4" w:space="0" w:color="auto"/>
            </w:tcBorders>
            <w:shd w:val="clear" w:color="auto" w:fill="auto"/>
            <w:noWrap/>
            <w:vAlign w:val="bottom"/>
            <w:hideMark/>
          </w:tcPr>
          <w:p w:rsidR="00E04D72" w:rsidRPr="00C703B4" w:rsidRDefault="00E04D72" w:rsidP="00B65FD4">
            <w:pPr>
              <w:rPr>
                <w:szCs w:val="20"/>
                <w:lang w:eastAsia="pl-PL"/>
              </w:rPr>
            </w:pPr>
            <w:r w:rsidRPr="00C703B4">
              <w:rPr>
                <w:szCs w:val="20"/>
                <w:lang w:eastAsia="pl-PL"/>
              </w:rPr>
              <w:t> </w:t>
            </w:r>
          </w:p>
        </w:tc>
      </w:tr>
    </w:tbl>
    <w:p w:rsidR="00E04D72" w:rsidRPr="004265B5" w:rsidRDefault="00E04D72" w:rsidP="00E04D72">
      <w:pPr>
        <w:rPr>
          <w:szCs w:val="20"/>
        </w:rPr>
      </w:pPr>
    </w:p>
    <w:p w:rsidR="00E04D72" w:rsidRDefault="00E04D72" w:rsidP="00E04D72">
      <w:pPr>
        <w:jc w:val="center"/>
        <w:rPr>
          <w:b/>
          <w:bCs/>
          <w:szCs w:val="20"/>
        </w:rPr>
      </w:pPr>
    </w:p>
    <w:p w:rsidR="00E04D72" w:rsidRDefault="00E04D72" w:rsidP="00E04D72">
      <w:pPr>
        <w:jc w:val="center"/>
        <w:rPr>
          <w:b/>
          <w:bCs/>
          <w:szCs w:val="20"/>
        </w:rPr>
      </w:pPr>
    </w:p>
    <w:p w:rsidR="00E04D72" w:rsidRDefault="00E04D72" w:rsidP="00E04D72">
      <w:pPr>
        <w:jc w:val="center"/>
        <w:rPr>
          <w:b/>
          <w:bCs/>
          <w:szCs w:val="20"/>
        </w:rPr>
      </w:pPr>
    </w:p>
    <w:p w:rsidR="00E04D72" w:rsidRDefault="00E04D72" w:rsidP="00E04D72">
      <w:pPr>
        <w:jc w:val="center"/>
        <w:rPr>
          <w:b/>
          <w:bCs/>
          <w:szCs w:val="20"/>
        </w:rPr>
      </w:pPr>
    </w:p>
    <w:p w:rsidR="00E04D72" w:rsidRDefault="00E04D72" w:rsidP="00E04D72">
      <w:pPr>
        <w:jc w:val="center"/>
        <w:rPr>
          <w:b/>
          <w:bCs/>
          <w:szCs w:val="20"/>
        </w:rPr>
      </w:pPr>
    </w:p>
    <w:p w:rsidR="00E04D72" w:rsidRDefault="00E04D72" w:rsidP="00E04D72">
      <w:pPr>
        <w:jc w:val="center"/>
        <w:rPr>
          <w:b/>
          <w:bCs/>
          <w:szCs w:val="20"/>
        </w:rPr>
      </w:pPr>
    </w:p>
    <w:p w:rsidR="00E04D72" w:rsidRPr="00C703B4" w:rsidRDefault="00E04D72" w:rsidP="008C054F">
      <w:pPr>
        <w:pStyle w:val="Nagwek3"/>
        <w:rPr>
          <w:rFonts w:eastAsia="Times New Roman"/>
          <w:lang w:eastAsia="pl-PL"/>
        </w:rPr>
      </w:pPr>
      <w:r w:rsidRPr="00C703B4">
        <w:t>DECYZJE ADMINISTRACYJNE WYDANE PRZEZ DEPARTAMENT INFRASTRUKTURY I TRANSPORTU</w:t>
      </w:r>
    </w:p>
    <w:p w:rsidR="00E04D72" w:rsidRDefault="00E04D72" w:rsidP="00E04D72">
      <w:pPr>
        <w:jc w:val="center"/>
        <w:rPr>
          <w:rFonts w:cs="Arial"/>
          <w:sz w:val="18"/>
          <w:szCs w:val="18"/>
          <w:lang w:eastAsia="pl-PL"/>
        </w:rPr>
      </w:pPr>
    </w:p>
    <w:p w:rsidR="00E04D72" w:rsidRDefault="00E04D72" w:rsidP="00E04D72">
      <w:pPr>
        <w:jc w:val="center"/>
        <w:rPr>
          <w:rFonts w:cs="Arial"/>
          <w:sz w:val="18"/>
          <w:szCs w:val="18"/>
          <w:lang w:eastAsia="pl-PL"/>
        </w:rPr>
      </w:pPr>
    </w:p>
    <w:p w:rsidR="00E04D72" w:rsidRPr="00894B15" w:rsidRDefault="00E04D72" w:rsidP="00E04D72"/>
    <w:p w:rsidR="00E04D72" w:rsidRDefault="00E04D72" w:rsidP="00E04D72">
      <w:pPr>
        <w:rPr>
          <w:szCs w:val="20"/>
        </w:rPr>
      </w:pPr>
    </w:p>
    <w:tbl>
      <w:tblPr>
        <w:tblStyle w:val="Tabela-Siatka"/>
        <w:tblpPr w:leftFromText="141" w:rightFromText="141" w:vertAnchor="page" w:horzAnchor="margin" w:tblpXSpec="center" w:tblpY="2641"/>
        <w:tblW w:w="15877" w:type="dxa"/>
        <w:tblLayout w:type="fixed"/>
        <w:tblLook w:val="04A0"/>
      </w:tblPr>
      <w:tblGrid>
        <w:gridCol w:w="1985"/>
        <w:gridCol w:w="1134"/>
        <w:gridCol w:w="851"/>
        <w:gridCol w:w="709"/>
        <w:gridCol w:w="850"/>
        <w:gridCol w:w="992"/>
        <w:gridCol w:w="993"/>
        <w:gridCol w:w="1134"/>
        <w:gridCol w:w="850"/>
        <w:gridCol w:w="851"/>
        <w:gridCol w:w="850"/>
        <w:gridCol w:w="851"/>
        <w:gridCol w:w="1134"/>
        <w:gridCol w:w="992"/>
        <w:gridCol w:w="992"/>
        <w:gridCol w:w="709"/>
      </w:tblGrid>
      <w:tr w:rsidR="00E04D72" w:rsidRPr="00894B15" w:rsidTr="008C054F">
        <w:trPr>
          <w:trHeight w:val="841"/>
          <w:tblHeader/>
        </w:trPr>
        <w:tc>
          <w:tcPr>
            <w:tcW w:w="1985" w:type="dxa"/>
            <w:vMerge w:val="restart"/>
            <w:hideMark/>
          </w:tcPr>
          <w:p w:rsidR="00E04D72" w:rsidRPr="000A0C2A" w:rsidRDefault="00E04D72" w:rsidP="00B65FD4">
            <w:pPr>
              <w:autoSpaceDE w:val="0"/>
              <w:autoSpaceDN w:val="0"/>
              <w:adjustRightInd w:val="0"/>
              <w:jc w:val="center"/>
              <w:rPr>
                <w:rFonts w:cs="Verdana"/>
                <w:sz w:val="16"/>
                <w:szCs w:val="16"/>
              </w:rPr>
            </w:pPr>
            <w:r w:rsidRPr="000A0C2A">
              <w:rPr>
                <w:rFonts w:cs="Verdana"/>
                <w:sz w:val="16"/>
                <w:szCs w:val="16"/>
              </w:rPr>
              <w:t xml:space="preserve">Nazwa komórki organizacyjnej Urzędu/miejskiej </w:t>
            </w:r>
            <w:r w:rsidRPr="000A0C2A">
              <w:rPr>
                <w:rFonts w:cs="Verdana"/>
                <w:sz w:val="16"/>
                <w:szCs w:val="16"/>
              </w:rPr>
              <w:lastRenderedPageBreak/>
              <w:t>jednostki organizacyjnej Gminy</w:t>
            </w:r>
          </w:p>
        </w:tc>
        <w:tc>
          <w:tcPr>
            <w:tcW w:w="1134" w:type="dxa"/>
            <w:vMerge w:val="restart"/>
            <w:hideMark/>
          </w:tcPr>
          <w:p w:rsidR="00E04D72" w:rsidRPr="000A0C2A" w:rsidRDefault="00E04D72" w:rsidP="00B65FD4">
            <w:pPr>
              <w:autoSpaceDE w:val="0"/>
              <w:autoSpaceDN w:val="0"/>
              <w:adjustRightInd w:val="0"/>
              <w:jc w:val="center"/>
              <w:rPr>
                <w:rFonts w:cs="Verdana"/>
                <w:sz w:val="16"/>
                <w:szCs w:val="16"/>
              </w:rPr>
            </w:pPr>
            <w:r w:rsidRPr="000A0C2A">
              <w:rPr>
                <w:rFonts w:cs="Verdana"/>
                <w:sz w:val="16"/>
                <w:szCs w:val="16"/>
              </w:rPr>
              <w:lastRenderedPageBreak/>
              <w:t xml:space="preserve">Liczba wydanych decyzji </w:t>
            </w:r>
            <w:r w:rsidRPr="000A0C2A">
              <w:rPr>
                <w:rFonts w:cs="Verdana"/>
                <w:sz w:val="16"/>
                <w:szCs w:val="16"/>
              </w:rPr>
              <w:lastRenderedPageBreak/>
              <w:t>ogółem</w:t>
            </w:r>
          </w:p>
        </w:tc>
        <w:tc>
          <w:tcPr>
            <w:tcW w:w="1560" w:type="dxa"/>
            <w:gridSpan w:val="2"/>
            <w:hideMark/>
          </w:tcPr>
          <w:p w:rsidR="00E04D72" w:rsidRPr="000A0C2A" w:rsidRDefault="00E04D72" w:rsidP="00B65FD4">
            <w:pPr>
              <w:autoSpaceDE w:val="0"/>
              <w:autoSpaceDN w:val="0"/>
              <w:adjustRightInd w:val="0"/>
              <w:jc w:val="center"/>
              <w:rPr>
                <w:rFonts w:cs="Verdana"/>
                <w:sz w:val="16"/>
                <w:szCs w:val="16"/>
              </w:rPr>
            </w:pPr>
            <w:r w:rsidRPr="000A0C2A">
              <w:rPr>
                <w:rFonts w:cs="Verdana"/>
                <w:sz w:val="16"/>
                <w:szCs w:val="16"/>
              </w:rPr>
              <w:lastRenderedPageBreak/>
              <w:t>Liczba decyzji zaskarżonych</w:t>
            </w:r>
          </w:p>
        </w:tc>
        <w:tc>
          <w:tcPr>
            <w:tcW w:w="5670" w:type="dxa"/>
            <w:gridSpan w:val="6"/>
            <w:hideMark/>
          </w:tcPr>
          <w:p w:rsidR="00E04D72" w:rsidRPr="000A0C2A" w:rsidRDefault="00E04D72" w:rsidP="00B65FD4">
            <w:pPr>
              <w:autoSpaceDE w:val="0"/>
              <w:autoSpaceDN w:val="0"/>
              <w:adjustRightInd w:val="0"/>
              <w:jc w:val="center"/>
              <w:rPr>
                <w:rFonts w:cs="Verdana"/>
                <w:sz w:val="16"/>
                <w:szCs w:val="16"/>
              </w:rPr>
            </w:pPr>
            <w:r w:rsidRPr="000A0C2A">
              <w:rPr>
                <w:rFonts w:cs="Verdana"/>
                <w:sz w:val="16"/>
                <w:szCs w:val="16"/>
              </w:rPr>
              <w:t>Liczba decyzji zaskarżonych                                                                            do Samorządowego Kolegium Odwoławczego</w:t>
            </w:r>
          </w:p>
        </w:tc>
        <w:tc>
          <w:tcPr>
            <w:tcW w:w="5528" w:type="dxa"/>
            <w:gridSpan w:val="6"/>
            <w:hideMark/>
          </w:tcPr>
          <w:p w:rsidR="00E04D72" w:rsidRPr="000A0C2A" w:rsidRDefault="00E04D72" w:rsidP="00B65FD4">
            <w:pPr>
              <w:autoSpaceDE w:val="0"/>
              <w:autoSpaceDN w:val="0"/>
              <w:adjustRightInd w:val="0"/>
              <w:jc w:val="center"/>
              <w:rPr>
                <w:rFonts w:cs="Verdana"/>
                <w:sz w:val="16"/>
                <w:szCs w:val="16"/>
              </w:rPr>
            </w:pPr>
            <w:r w:rsidRPr="000A0C2A">
              <w:rPr>
                <w:rFonts w:cs="Verdana"/>
                <w:sz w:val="16"/>
                <w:szCs w:val="16"/>
              </w:rPr>
              <w:t>Liczba decyzji zaskarżonych                                                                                          do Wojewody</w:t>
            </w:r>
          </w:p>
        </w:tc>
      </w:tr>
      <w:tr w:rsidR="00E04D72" w:rsidRPr="00894B15" w:rsidTr="008C054F">
        <w:trPr>
          <w:trHeight w:val="255"/>
          <w:tblHeader/>
        </w:trPr>
        <w:tc>
          <w:tcPr>
            <w:tcW w:w="1985" w:type="dxa"/>
            <w:vMerge/>
            <w:hideMark/>
          </w:tcPr>
          <w:p w:rsidR="00E04D72" w:rsidRPr="000A0C2A" w:rsidRDefault="00E04D72" w:rsidP="00B65FD4">
            <w:pPr>
              <w:autoSpaceDE w:val="0"/>
              <w:autoSpaceDN w:val="0"/>
              <w:adjustRightInd w:val="0"/>
              <w:jc w:val="center"/>
              <w:rPr>
                <w:rFonts w:cs="Verdana"/>
                <w:sz w:val="16"/>
                <w:szCs w:val="16"/>
              </w:rPr>
            </w:pPr>
          </w:p>
        </w:tc>
        <w:tc>
          <w:tcPr>
            <w:tcW w:w="1134" w:type="dxa"/>
            <w:vMerge/>
            <w:hideMark/>
          </w:tcPr>
          <w:p w:rsidR="00E04D72" w:rsidRPr="000A0C2A" w:rsidRDefault="00E04D72" w:rsidP="00B65FD4">
            <w:pPr>
              <w:autoSpaceDE w:val="0"/>
              <w:autoSpaceDN w:val="0"/>
              <w:adjustRightInd w:val="0"/>
              <w:jc w:val="center"/>
              <w:rPr>
                <w:rFonts w:cs="Verdana"/>
                <w:sz w:val="16"/>
                <w:szCs w:val="16"/>
              </w:rPr>
            </w:pPr>
          </w:p>
        </w:tc>
        <w:tc>
          <w:tcPr>
            <w:tcW w:w="851" w:type="dxa"/>
            <w:vMerge w:val="restart"/>
            <w:hideMark/>
          </w:tcPr>
          <w:p w:rsidR="00E04D72" w:rsidRPr="000A0C2A" w:rsidRDefault="00E04D72" w:rsidP="00B65FD4">
            <w:pPr>
              <w:autoSpaceDE w:val="0"/>
              <w:autoSpaceDN w:val="0"/>
              <w:adjustRightInd w:val="0"/>
              <w:jc w:val="center"/>
              <w:rPr>
                <w:rFonts w:cs="Verdana"/>
                <w:sz w:val="16"/>
                <w:szCs w:val="16"/>
              </w:rPr>
            </w:pPr>
            <w:r w:rsidRPr="000A0C2A">
              <w:rPr>
                <w:rFonts w:cs="Verdana"/>
                <w:sz w:val="16"/>
                <w:szCs w:val="16"/>
              </w:rPr>
              <w:t>ogółem</w:t>
            </w:r>
          </w:p>
        </w:tc>
        <w:tc>
          <w:tcPr>
            <w:tcW w:w="709" w:type="dxa"/>
            <w:vMerge w:val="restart"/>
            <w:hideMark/>
          </w:tcPr>
          <w:p w:rsidR="00E04D72" w:rsidRPr="000A0C2A" w:rsidRDefault="00E04D72" w:rsidP="00B65FD4">
            <w:pPr>
              <w:autoSpaceDE w:val="0"/>
              <w:autoSpaceDN w:val="0"/>
              <w:adjustRightInd w:val="0"/>
              <w:jc w:val="center"/>
              <w:rPr>
                <w:rFonts w:cs="Verdana"/>
                <w:sz w:val="16"/>
                <w:szCs w:val="16"/>
              </w:rPr>
            </w:pPr>
            <w:r w:rsidRPr="000A0C2A">
              <w:rPr>
                <w:rFonts w:cs="Verdana"/>
                <w:sz w:val="16"/>
                <w:szCs w:val="16"/>
              </w:rPr>
              <w:t>udział%</w:t>
            </w:r>
          </w:p>
        </w:tc>
        <w:tc>
          <w:tcPr>
            <w:tcW w:w="5670" w:type="dxa"/>
            <w:gridSpan w:val="6"/>
            <w:noWrap/>
            <w:hideMark/>
          </w:tcPr>
          <w:p w:rsidR="00E04D72" w:rsidRPr="000A0C2A" w:rsidRDefault="00E04D72" w:rsidP="00B65FD4">
            <w:pPr>
              <w:autoSpaceDE w:val="0"/>
              <w:autoSpaceDN w:val="0"/>
              <w:adjustRightInd w:val="0"/>
              <w:jc w:val="center"/>
              <w:rPr>
                <w:rFonts w:cs="Verdana"/>
                <w:sz w:val="16"/>
                <w:szCs w:val="16"/>
              </w:rPr>
            </w:pPr>
            <w:r w:rsidRPr="000A0C2A">
              <w:rPr>
                <w:rFonts w:cs="Verdana"/>
                <w:sz w:val="16"/>
                <w:szCs w:val="16"/>
              </w:rPr>
              <w:t>Udział procentowy</w:t>
            </w:r>
          </w:p>
        </w:tc>
        <w:tc>
          <w:tcPr>
            <w:tcW w:w="5528" w:type="dxa"/>
            <w:gridSpan w:val="6"/>
            <w:noWrap/>
            <w:hideMark/>
          </w:tcPr>
          <w:p w:rsidR="00E04D72" w:rsidRPr="000A0C2A" w:rsidRDefault="00E04D72" w:rsidP="00B65FD4">
            <w:pPr>
              <w:autoSpaceDE w:val="0"/>
              <w:autoSpaceDN w:val="0"/>
              <w:adjustRightInd w:val="0"/>
              <w:jc w:val="center"/>
              <w:rPr>
                <w:rFonts w:cs="Verdana"/>
                <w:sz w:val="16"/>
                <w:szCs w:val="16"/>
              </w:rPr>
            </w:pPr>
            <w:r w:rsidRPr="000A0C2A">
              <w:rPr>
                <w:rFonts w:cs="Verdana"/>
                <w:sz w:val="16"/>
                <w:szCs w:val="16"/>
              </w:rPr>
              <w:t>Udział procentowy</w:t>
            </w:r>
          </w:p>
        </w:tc>
      </w:tr>
      <w:tr w:rsidR="00E04D72" w:rsidRPr="00894B15" w:rsidTr="008C054F">
        <w:trPr>
          <w:trHeight w:val="885"/>
          <w:tblHeader/>
        </w:trPr>
        <w:tc>
          <w:tcPr>
            <w:tcW w:w="1985" w:type="dxa"/>
            <w:vMerge/>
            <w:hideMark/>
          </w:tcPr>
          <w:p w:rsidR="00E04D72" w:rsidRPr="000A0C2A" w:rsidRDefault="00E04D72" w:rsidP="00B65FD4">
            <w:pPr>
              <w:autoSpaceDE w:val="0"/>
              <w:autoSpaceDN w:val="0"/>
              <w:adjustRightInd w:val="0"/>
              <w:jc w:val="center"/>
              <w:rPr>
                <w:rFonts w:cs="Verdana"/>
                <w:sz w:val="16"/>
                <w:szCs w:val="16"/>
              </w:rPr>
            </w:pPr>
          </w:p>
        </w:tc>
        <w:tc>
          <w:tcPr>
            <w:tcW w:w="1134" w:type="dxa"/>
            <w:vMerge/>
            <w:hideMark/>
          </w:tcPr>
          <w:p w:rsidR="00E04D72" w:rsidRPr="000A0C2A" w:rsidRDefault="00E04D72" w:rsidP="00B65FD4">
            <w:pPr>
              <w:autoSpaceDE w:val="0"/>
              <w:autoSpaceDN w:val="0"/>
              <w:adjustRightInd w:val="0"/>
              <w:jc w:val="center"/>
              <w:rPr>
                <w:rFonts w:cs="Verdana"/>
                <w:sz w:val="16"/>
                <w:szCs w:val="16"/>
              </w:rPr>
            </w:pPr>
          </w:p>
        </w:tc>
        <w:tc>
          <w:tcPr>
            <w:tcW w:w="851" w:type="dxa"/>
            <w:vMerge/>
            <w:hideMark/>
          </w:tcPr>
          <w:p w:rsidR="00E04D72" w:rsidRPr="000A0C2A" w:rsidRDefault="00E04D72" w:rsidP="00B65FD4">
            <w:pPr>
              <w:autoSpaceDE w:val="0"/>
              <w:autoSpaceDN w:val="0"/>
              <w:adjustRightInd w:val="0"/>
              <w:jc w:val="center"/>
              <w:rPr>
                <w:rFonts w:cs="Verdana"/>
                <w:sz w:val="16"/>
                <w:szCs w:val="16"/>
              </w:rPr>
            </w:pPr>
          </w:p>
        </w:tc>
        <w:tc>
          <w:tcPr>
            <w:tcW w:w="709" w:type="dxa"/>
            <w:vMerge/>
            <w:hideMark/>
          </w:tcPr>
          <w:p w:rsidR="00E04D72" w:rsidRPr="000A0C2A" w:rsidRDefault="00E04D72" w:rsidP="00B65FD4">
            <w:pPr>
              <w:autoSpaceDE w:val="0"/>
              <w:autoSpaceDN w:val="0"/>
              <w:adjustRightInd w:val="0"/>
              <w:jc w:val="center"/>
              <w:rPr>
                <w:rFonts w:cs="Verdana"/>
                <w:sz w:val="16"/>
                <w:szCs w:val="16"/>
              </w:rPr>
            </w:pPr>
          </w:p>
        </w:tc>
        <w:tc>
          <w:tcPr>
            <w:tcW w:w="850" w:type="dxa"/>
            <w:hideMark/>
          </w:tcPr>
          <w:p w:rsidR="00E04D72" w:rsidRPr="000A0C2A" w:rsidRDefault="00E04D72" w:rsidP="00B65FD4">
            <w:pPr>
              <w:ind w:left="-108" w:right="-108"/>
              <w:jc w:val="center"/>
              <w:rPr>
                <w:rFonts w:cs="Arial"/>
                <w:sz w:val="10"/>
                <w:szCs w:val="10"/>
                <w:lang w:eastAsia="pl-PL"/>
              </w:rPr>
            </w:pPr>
            <w:r w:rsidRPr="000A0C2A">
              <w:rPr>
                <w:rFonts w:cs="Arial"/>
                <w:sz w:val="10"/>
                <w:szCs w:val="10"/>
                <w:lang w:eastAsia="pl-PL"/>
              </w:rPr>
              <w:t xml:space="preserve">utrzymanych </w:t>
            </w:r>
            <w:r w:rsidRPr="000A0C2A">
              <w:rPr>
                <w:rFonts w:cs="Arial"/>
                <w:sz w:val="10"/>
                <w:szCs w:val="10"/>
                <w:lang w:eastAsia="pl-PL"/>
              </w:rPr>
              <w:br/>
              <w:t>w mocy</w:t>
            </w:r>
          </w:p>
        </w:tc>
        <w:tc>
          <w:tcPr>
            <w:tcW w:w="992" w:type="dxa"/>
            <w:hideMark/>
          </w:tcPr>
          <w:p w:rsidR="00E04D72" w:rsidRPr="000A0C2A" w:rsidRDefault="00E04D72" w:rsidP="00B65FD4">
            <w:pPr>
              <w:ind w:left="-108" w:right="-108"/>
              <w:jc w:val="center"/>
              <w:rPr>
                <w:rFonts w:cs="Arial"/>
                <w:sz w:val="10"/>
                <w:szCs w:val="10"/>
                <w:lang w:eastAsia="pl-PL"/>
              </w:rPr>
            </w:pPr>
            <w:r>
              <w:rPr>
                <w:rFonts w:cs="Arial"/>
                <w:sz w:val="10"/>
                <w:szCs w:val="10"/>
                <w:lang w:eastAsia="pl-PL"/>
              </w:rPr>
              <w:t>uchylonych       i </w:t>
            </w:r>
            <w:r w:rsidRPr="000A0C2A">
              <w:rPr>
                <w:rFonts w:cs="Arial"/>
                <w:sz w:val="10"/>
                <w:szCs w:val="10"/>
                <w:lang w:eastAsia="pl-PL"/>
              </w:rPr>
              <w:t>zmienionych</w:t>
            </w:r>
          </w:p>
        </w:tc>
        <w:tc>
          <w:tcPr>
            <w:tcW w:w="993" w:type="dxa"/>
            <w:hideMark/>
          </w:tcPr>
          <w:p w:rsidR="00E04D72" w:rsidRPr="000A0C2A" w:rsidRDefault="00E04D72" w:rsidP="00B65FD4">
            <w:pPr>
              <w:ind w:left="-108" w:right="-108"/>
              <w:jc w:val="center"/>
              <w:rPr>
                <w:rFonts w:cs="Arial"/>
                <w:sz w:val="10"/>
                <w:szCs w:val="10"/>
                <w:lang w:eastAsia="pl-PL"/>
              </w:rPr>
            </w:pPr>
            <w:r>
              <w:rPr>
                <w:rFonts w:cs="Arial"/>
                <w:sz w:val="10"/>
                <w:szCs w:val="10"/>
                <w:lang w:eastAsia="pl-PL"/>
              </w:rPr>
              <w:t>uchylonych i przekazanych do </w:t>
            </w:r>
            <w:r w:rsidRPr="000A0C2A">
              <w:rPr>
                <w:rFonts w:cs="Arial"/>
                <w:sz w:val="10"/>
                <w:szCs w:val="10"/>
                <w:lang w:eastAsia="pl-PL"/>
              </w:rPr>
              <w:t>ponownego rozpoznania</w:t>
            </w:r>
          </w:p>
        </w:tc>
        <w:tc>
          <w:tcPr>
            <w:tcW w:w="1134" w:type="dxa"/>
            <w:hideMark/>
          </w:tcPr>
          <w:p w:rsidR="00E04D72" w:rsidRPr="000A0C2A" w:rsidRDefault="00E04D72" w:rsidP="00B65FD4">
            <w:pPr>
              <w:ind w:left="-108" w:right="-108"/>
              <w:jc w:val="center"/>
              <w:rPr>
                <w:rFonts w:cs="Arial"/>
                <w:sz w:val="10"/>
                <w:szCs w:val="10"/>
                <w:lang w:eastAsia="pl-PL"/>
              </w:rPr>
            </w:pPr>
            <w:r w:rsidRPr="000A0C2A">
              <w:rPr>
                <w:rFonts w:cs="Arial"/>
                <w:sz w:val="10"/>
                <w:szCs w:val="10"/>
                <w:lang w:eastAsia="pl-PL"/>
              </w:rPr>
              <w:t xml:space="preserve">uchylonych </w:t>
            </w:r>
            <w:r>
              <w:rPr>
                <w:rFonts w:cs="Arial"/>
                <w:sz w:val="10"/>
                <w:szCs w:val="10"/>
                <w:lang w:eastAsia="pl-PL"/>
              </w:rPr>
              <w:t>i umarzających postępowanie I </w:t>
            </w:r>
            <w:r w:rsidRPr="000A0C2A">
              <w:rPr>
                <w:rFonts w:cs="Arial"/>
                <w:sz w:val="10"/>
                <w:szCs w:val="10"/>
                <w:lang w:eastAsia="pl-PL"/>
              </w:rPr>
              <w:t>instancji lub odwoławcze</w:t>
            </w:r>
          </w:p>
        </w:tc>
        <w:tc>
          <w:tcPr>
            <w:tcW w:w="850" w:type="dxa"/>
            <w:hideMark/>
          </w:tcPr>
          <w:p w:rsidR="00E04D72" w:rsidRPr="000A0C2A" w:rsidRDefault="00E04D72" w:rsidP="00B65FD4">
            <w:pPr>
              <w:ind w:left="-108" w:right="-108"/>
              <w:jc w:val="center"/>
              <w:rPr>
                <w:rFonts w:cs="Arial"/>
                <w:sz w:val="10"/>
                <w:szCs w:val="10"/>
                <w:lang w:eastAsia="pl-PL"/>
              </w:rPr>
            </w:pPr>
            <w:r w:rsidRPr="000A0C2A">
              <w:rPr>
                <w:rFonts w:cs="Arial"/>
                <w:sz w:val="10"/>
                <w:szCs w:val="10"/>
                <w:lang w:eastAsia="pl-PL"/>
              </w:rPr>
              <w:t>stwierdzenie nieważności</w:t>
            </w:r>
          </w:p>
        </w:tc>
        <w:tc>
          <w:tcPr>
            <w:tcW w:w="851" w:type="dxa"/>
            <w:noWrap/>
            <w:hideMark/>
          </w:tcPr>
          <w:p w:rsidR="00E04D72" w:rsidRPr="000A0C2A" w:rsidRDefault="00E04D72" w:rsidP="00B65FD4">
            <w:pPr>
              <w:ind w:left="-108" w:right="-108"/>
              <w:jc w:val="center"/>
              <w:rPr>
                <w:rFonts w:cs="Arial"/>
                <w:sz w:val="10"/>
                <w:szCs w:val="10"/>
                <w:lang w:eastAsia="pl-PL"/>
              </w:rPr>
            </w:pPr>
            <w:r w:rsidRPr="000A0C2A">
              <w:rPr>
                <w:rFonts w:cs="Arial"/>
                <w:sz w:val="10"/>
                <w:szCs w:val="10"/>
                <w:lang w:eastAsia="pl-PL"/>
              </w:rPr>
              <w:t>inne</w:t>
            </w:r>
          </w:p>
        </w:tc>
        <w:tc>
          <w:tcPr>
            <w:tcW w:w="850" w:type="dxa"/>
            <w:hideMark/>
          </w:tcPr>
          <w:p w:rsidR="00E04D72" w:rsidRPr="000A0C2A" w:rsidRDefault="00E04D72" w:rsidP="00B65FD4">
            <w:pPr>
              <w:ind w:left="-108" w:right="-108"/>
              <w:jc w:val="center"/>
              <w:rPr>
                <w:rFonts w:cs="Arial"/>
                <w:sz w:val="10"/>
                <w:szCs w:val="10"/>
                <w:lang w:eastAsia="pl-PL"/>
              </w:rPr>
            </w:pPr>
            <w:r w:rsidRPr="000A0C2A">
              <w:rPr>
                <w:rFonts w:cs="Arial"/>
                <w:sz w:val="10"/>
                <w:szCs w:val="10"/>
                <w:lang w:eastAsia="pl-PL"/>
              </w:rPr>
              <w:t>utrzymanych    w mocy</w:t>
            </w:r>
          </w:p>
        </w:tc>
        <w:tc>
          <w:tcPr>
            <w:tcW w:w="851" w:type="dxa"/>
            <w:hideMark/>
          </w:tcPr>
          <w:p w:rsidR="00E04D72" w:rsidRPr="000A0C2A" w:rsidRDefault="00E04D72" w:rsidP="00B65FD4">
            <w:pPr>
              <w:ind w:left="-108" w:right="-108"/>
              <w:jc w:val="center"/>
              <w:rPr>
                <w:rFonts w:cs="Arial"/>
                <w:sz w:val="10"/>
                <w:szCs w:val="10"/>
                <w:lang w:eastAsia="pl-PL"/>
              </w:rPr>
            </w:pPr>
            <w:r>
              <w:rPr>
                <w:rFonts w:cs="Arial"/>
                <w:sz w:val="10"/>
                <w:szCs w:val="10"/>
                <w:lang w:eastAsia="pl-PL"/>
              </w:rPr>
              <w:t>uchylonych      i </w:t>
            </w:r>
            <w:r w:rsidRPr="000A0C2A">
              <w:rPr>
                <w:rFonts w:cs="Arial"/>
                <w:sz w:val="10"/>
                <w:szCs w:val="10"/>
                <w:lang w:eastAsia="pl-PL"/>
              </w:rPr>
              <w:t>zmienionych</w:t>
            </w:r>
          </w:p>
        </w:tc>
        <w:tc>
          <w:tcPr>
            <w:tcW w:w="1134" w:type="dxa"/>
            <w:hideMark/>
          </w:tcPr>
          <w:p w:rsidR="00E04D72" w:rsidRPr="000A0C2A" w:rsidRDefault="00E04D72" w:rsidP="00B65FD4">
            <w:pPr>
              <w:ind w:left="-108" w:right="-108"/>
              <w:jc w:val="center"/>
              <w:rPr>
                <w:rFonts w:cs="Arial"/>
                <w:sz w:val="10"/>
                <w:szCs w:val="10"/>
                <w:lang w:eastAsia="pl-PL"/>
              </w:rPr>
            </w:pPr>
            <w:r>
              <w:rPr>
                <w:rFonts w:cs="Arial"/>
                <w:sz w:val="10"/>
                <w:szCs w:val="10"/>
                <w:lang w:eastAsia="pl-PL"/>
              </w:rPr>
              <w:t>uchylonych i </w:t>
            </w:r>
            <w:r w:rsidRPr="000A0C2A">
              <w:rPr>
                <w:rFonts w:cs="Arial"/>
                <w:sz w:val="10"/>
                <w:szCs w:val="10"/>
                <w:lang w:eastAsia="pl-PL"/>
              </w:rPr>
              <w:t>przekazanych do ponownego rozpoznania</w:t>
            </w:r>
          </w:p>
        </w:tc>
        <w:tc>
          <w:tcPr>
            <w:tcW w:w="992" w:type="dxa"/>
            <w:hideMark/>
          </w:tcPr>
          <w:p w:rsidR="00E04D72" w:rsidRPr="000A0C2A" w:rsidRDefault="00E04D72" w:rsidP="00B65FD4">
            <w:pPr>
              <w:ind w:left="-108" w:right="-108"/>
              <w:jc w:val="center"/>
              <w:rPr>
                <w:rFonts w:cs="Arial"/>
                <w:sz w:val="10"/>
                <w:szCs w:val="10"/>
                <w:lang w:eastAsia="pl-PL"/>
              </w:rPr>
            </w:pPr>
            <w:r w:rsidRPr="000A0C2A">
              <w:rPr>
                <w:rFonts w:cs="Arial"/>
                <w:sz w:val="10"/>
                <w:szCs w:val="10"/>
                <w:lang w:eastAsia="pl-PL"/>
              </w:rPr>
              <w:t>uchylonyc</w:t>
            </w:r>
            <w:r>
              <w:rPr>
                <w:rFonts w:cs="Arial"/>
                <w:sz w:val="10"/>
                <w:szCs w:val="10"/>
                <w:lang w:eastAsia="pl-PL"/>
              </w:rPr>
              <w:t>h i umarzających postępowanie I </w:t>
            </w:r>
            <w:r w:rsidRPr="000A0C2A">
              <w:rPr>
                <w:rFonts w:cs="Arial"/>
                <w:sz w:val="10"/>
                <w:szCs w:val="10"/>
                <w:lang w:eastAsia="pl-PL"/>
              </w:rPr>
              <w:t>instancji lub odwoławcze</w:t>
            </w:r>
          </w:p>
        </w:tc>
        <w:tc>
          <w:tcPr>
            <w:tcW w:w="992" w:type="dxa"/>
            <w:hideMark/>
          </w:tcPr>
          <w:p w:rsidR="00E04D72" w:rsidRPr="000A0C2A" w:rsidRDefault="00E04D72" w:rsidP="00B65FD4">
            <w:pPr>
              <w:ind w:left="-108" w:right="-108"/>
              <w:jc w:val="center"/>
              <w:rPr>
                <w:rFonts w:cs="Arial"/>
                <w:sz w:val="10"/>
                <w:szCs w:val="10"/>
                <w:lang w:eastAsia="pl-PL"/>
              </w:rPr>
            </w:pPr>
            <w:r w:rsidRPr="000A0C2A">
              <w:rPr>
                <w:rFonts w:cs="Arial"/>
                <w:sz w:val="10"/>
                <w:szCs w:val="10"/>
                <w:lang w:eastAsia="pl-PL"/>
              </w:rPr>
              <w:t>stwierdzenie nieważności</w:t>
            </w:r>
          </w:p>
        </w:tc>
        <w:tc>
          <w:tcPr>
            <w:tcW w:w="709" w:type="dxa"/>
            <w:noWrap/>
            <w:hideMark/>
          </w:tcPr>
          <w:p w:rsidR="00E04D72" w:rsidRPr="000A0C2A" w:rsidRDefault="00E04D72" w:rsidP="00B65FD4">
            <w:pPr>
              <w:ind w:left="-108" w:right="-108"/>
              <w:jc w:val="center"/>
              <w:rPr>
                <w:rFonts w:cs="Arial"/>
                <w:sz w:val="10"/>
                <w:szCs w:val="10"/>
                <w:lang w:eastAsia="pl-PL"/>
              </w:rPr>
            </w:pPr>
            <w:r w:rsidRPr="000A0C2A">
              <w:rPr>
                <w:rFonts w:cs="Arial"/>
                <w:sz w:val="10"/>
                <w:szCs w:val="10"/>
                <w:lang w:eastAsia="pl-PL"/>
              </w:rPr>
              <w:t>inne</w:t>
            </w:r>
          </w:p>
        </w:tc>
      </w:tr>
      <w:tr w:rsidR="00E04D72" w:rsidRPr="00894B15" w:rsidTr="00B65FD4">
        <w:trPr>
          <w:trHeight w:val="300"/>
        </w:trPr>
        <w:tc>
          <w:tcPr>
            <w:tcW w:w="1985" w:type="dxa"/>
            <w:vMerge w:val="restart"/>
            <w:hideMark/>
          </w:tcPr>
          <w:p w:rsidR="00E04D72" w:rsidRPr="000A0C2A" w:rsidRDefault="00E04D72" w:rsidP="00B65FD4">
            <w:pPr>
              <w:rPr>
                <w:sz w:val="16"/>
                <w:szCs w:val="16"/>
              </w:rPr>
            </w:pPr>
            <w:r w:rsidRPr="000A0C2A">
              <w:rPr>
                <w:sz w:val="16"/>
                <w:szCs w:val="16"/>
              </w:rPr>
              <w:t>Wydział Inżynierii Miejskiej</w:t>
            </w:r>
          </w:p>
        </w:tc>
        <w:tc>
          <w:tcPr>
            <w:tcW w:w="1134" w:type="dxa"/>
            <w:vMerge w:val="restart"/>
            <w:noWrap/>
            <w:hideMark/>
          </w:tcPr>
          <w:p w:rsidR="00E04D72" w:rsidRPr="000A0C2A" w:rsidRDefault="00E04D72" w:rsidP="00B65FD4">
            <w:pPr>
              <w:jc w:val="center"/>
              <w:rPr>
                <w:sz w:val="16"/>
                <w:szCs w:val="16"/>
              </w:rPr>
            </w:pPr>
            <w:r w:rsidRPr="000A0C2A">
              <w:rPr>
                <w:sz w:val="16"/>
                <w:szCs w:val="16"/>
              </w:rPr>
              <w:t>156</w:t>
            </w:r>
          </w:p>
        </w:tc>
        <w:tc>
          <w:tcPr>
            <w:tcW w:w="851" w:type="dxa"/>
            <w:vMerge w:val="restart"/>
            <w:noWrap/>
            <w:hideMark/>
          </w:tcPr>
          <w:p w:rsidR="00E04D72" w:rsidRPr="000A0C2A" w:rsidRDefault="00E04D72" w:rsidP="00B65FD4">
            <w:pPr>
              <w:jc w:val="center"/>
              <w:rPr>
                <w:sz w:val="16"/>
                <w:szCs w:val="16"/>
              </w:rPr>
            </w:pPr>
            <w:r w:rsidRPr="000A0C2A">
              <w:rPr>
                <w:sz w:val="16"/>
                <w:szCs w:val="16"/>
              </w:rPr>
              <w:t>6</w:t>
            </w:r>
          </w:p>
        </w:tc>
        <w:tc>
          <w:tcPr>
            <w:tcW w:w="709" w:type="dxa"/>
            <w:vMerge w:val="restart"/>
            <w:noWrap/>
            <w:hideMark/>
          </w:tcPr>
          <w:p w:rsidR="00E04D72" w:rsidRPr="000A0C2A" w:rsidRDefault="00E04D72" w:rsidP="00B65FD4">
            <w:pPr>
              <w:jc w:val="center"/>
              <w:rPr>
                <w:sz w:val="16"/>
                <w:szCs w:val="16"/>
              </w:rPr>
            </w:pPr>
            <w:r w:rsidRPr="000A0C2A">
              <w:rPr>
                <w:sz w:val="16"/>
                <w:szCs w:val="16"/>
              </w:rPr>
              <w:t>3,85%</w:t>
            </w:r>
          </w:p>
        </w:tc>
        <w:tc>
          <w:tcPr>
            <w:tcW w:w="850" w:type="dxa"/>
            <w:noWrap/>
            <w:hideMark/>
          </w:tcPr>
          <w:p w:rsidR="00E04D72" w:rsidRPr="000A0C2A" w:rsidRDefault="00E04D72" w:rsidP="00B65FD4">
            <w:pPr>
              <w:jc w:val="center"/>
              <w:rPr>
                <w:sz w:val="16"/>
                <w:szCs w:val="16"/>
              </w:rPr>
            </w:pPr>
            <w:r w:rsidRPr="000A0C2A">
              <w:rPr>
                <w:sz w:val="16"/>
                <w:szCs w:val="16"/>
              </w:rPr>
              <w:t>2</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3" w:type="dxa"/>
            <w:noWrap/>
            <w:hideMark/>
          </w:tcPr>
          <w:p w:rsidR="00E04D72" w:rsidRPr="000A0C2A" w:rsidRDefault="00E04D72" w:rsidP="00B65FD4">
            <w:pPr>
              <w:jc w:val="center"/>
              <w:rPr>
                <w:sz w:val="16"/>
                <w:szCs w:val="16"/>
              </w:rPr>
            </w:pPr>
            <w:r w:rsidRPr="000A0C2A">
              <w:rPr>
                <w:sz w:val="16"/>
                <w:szCs w:val="16"/>
              </w:rPr>
              <w:t>1</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3</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300"/>
        </w:trPr>
        <w:tc>
          <w:tcPr>
            <w:tcW w:w="1985" w:type="dxa"/>
            <w:vMerge/>
            <w:hideMark/>
          </w:tcPr>
          <w:p w:rsidR="00E04D72" w:rsidRPr="000A0C2A" w:rsidRDefault="00E04D72" w:rsidP="00B65FD4">
            <w:pPr>
              <w:rPr>
                <w:sz w:val="16"/>
                <w:szCs w:val="16"/>
              </w:rPr>
            </w:pPr>
          </w:p>
        </w:tc>
        <w:tc>
          <w:tcPr>
            <w:tcW w:w="1134" w:type="dxa"/>
            <w:vMerge/>
            <w:hideMark/>
          </w:tcPr>
          <w:p w:rsidR="00E04D72" w:rsidRPr="000A0C2A" w:rsidRDefault="00E04D72" w:rsidP="00B65FD4">
            <w:pPr>
              <w:jc w:val="center"/>
              <w:rPr>
                <w:sz w:val="16"/>
                <w:szCs w:val="16"/>
              </w:rPr>
            </w:pPr>
          </w:p>
        </w:tc>
        <w:tc>
          <w:tcPr>
            <w:tcW w:w="851" w:type="dxa"/>
            <w:vMerge/>
            <w:hideMark/>
          </w:tcPr>
          <w:p w:rsidR="00E04D72" w:rsidRPr="000A0C2A" w:rsidRDefault="00E04D72" w:rsidP="00B65FD4">
            <w:pPr>
              <w:jc w:val="center"/>
              <w:rPr>
                <w:sz w:val="16"/>
                <w:szCs w:val="16"/>
              </w:rPr>
            </w:pPr>
          </w:p>
        </w:tc>
        <w:tc>
          <w:tcPr>
            <w:tcW w:w="709" w:type="dxa"/>
            <w:vMerge/>
            <w:hideMark/>
          </w:tcPr>
          <w:p w:rsidR="00E04D72" w:rsidRPr="000A0C2A" w:rsidRDefault="00E04D72" w:rsidP="00B65FD4">
            <w:pPr>
              <w:jc w:val="center"/>
              <w:rPr>
                <w:sz w:val="16"/>
                <w:szCs w:val="16"/>
              </w:rPr>
            </w:pPr>
          </w:p>
        </w:tc>
        <w:tc>
          <w:tcPr>
            <w:tcW w:w="850" w:type="dxa"/>
            <w:noWrap/>
            <w:hideMark/>
          </w:tcPr>
          <w:p w:rsidR="00E04D72" w:rsidRPr="000A0C2A" w:rsidRDefault="00E04D72" w:rsidP="00B65FD4">
            <w:pPr>
              <w:jc w:val="center"/>
              <w:rPr>
                <w:sz w:val="16"/>
                <w:szCs w:val="16"/>
              </w:rPr>
            </w:pPr>
            <w:r w:rsidRPr="000A0C2A">
              <w:rPr>
                <w:sz w:val="16"/>
                <w:szCs w:val="16"/>
              </w:rPr>
              <w:t>1,28%</w:t>
            </w:r>
          </w:p>
        </w:tc>
        <w:tc>
          <w:tcPr>
            <w:tcW w:w="992" w:type="dxa"/>
            <w:noWrap/>
            <w:hideMark/>
          </w:tcPr>
          <w:p w:rsidR="00E04D72" w:rsidRPr="000A0C2A" w:rsidRDefault="00E04D72" w:rsidP="00B65FD4">
            <w:pPr>
              <w:jc w:val="center"/>
              <w:rPr>
                <w:sz w:val="16"/>
                <w:szCs w:val="16"/>
              </w:rPr>
            </w:pPr>
            <w:r w:rsidRPr="000A0C2A">
              <w:rPr>
                <w:sz w:val="16"/>
                <w:szCs w:val="16"/>
              </w:rPr>
              <w:t>0,00%</w:t>
            </w:r>
          </w:p>
        </w:tc>
        <w:tc>
          <w:tcPr>
            <w:tcW w:w="993" w:type="dxa"/>
            <w:noWrap/>
            <w:hideMark/>
          </w:tcPr>
          <w:p w:rsidR="00E04D72" w:rsidRPr="000A0C2A" w:rsidRDefault="00E04D72" w:rsidP="00B65FD4">
            <w:pPr>
              <w:jc w:val="center"/>
              <w:rPr>
                <w:sz w:val="16"/>
                <w:szCs w:val="16"/>
              </w:rPr>
            </w:pPr>
            <w:r w:rsidRPr="000A0C2A">
              <w:rPr>
                <w:sz w:val="16"/>
                <w:szCs w:val="16"/>
              </w:rPr>
              <w:t>0,64%</w:t>
            </w:r>
          </w:p>
        </w:tc>
        <w:tc>
          <w:tcPr>
            <w:tcW w:w="1134" w:type="dxa"/>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0,00%</w:t>
            </w:r>
          </w:p>
        </w:tc>
        <w:tc>
          <w:tcPr>
            <w:tcW w:w="851" w:type="dxa"/>
            <w:noWrap/>
            <w:hideMark/>
          </w:tcPr>
          <w:p w:rsidR="00E04D72" w:rsidRPr="000A0C2A" w:rsidRDefault="00E04D72" w:rsidP="00B65FD4">
            <w:pPr>
              <w:jc w:val="center"/>
              <w:rPr>
                <w:sz w:val="16"/>
                <w:szCs w:val="16"/>
              </w:rPr>
            </w:pPr>
            <w:r w:rsidRPr="000A0C2A">
              <w:rPr>
                <w:sz w:val="16"/>
                <w:szCs w:val="16"/>
              </w:rPr>
              <w:t>1,92%</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300"/>
        </w:trPr>
        <w:tc>
          <w:tcPr>
            <w:tcW w:w="1985" w:type="dxa"/>
            <w:vMerge w:val="restart"/>
            <w:hideMark/>
          </w:tcPr>
          <w:p w:rsidR="00E04D72" w:rsidRPr="000A0C2A" w:rsidRDefault="00E04D72" w:rsidP="00B65FD4">
            <w:pPr>
              <w:rPr>
                <w:sz w:val="16"/>
                <w:szCs w:val="16"/>
              </w:rPr>
            </w:pPr>
            <w:r w:rsidRPr="000A0C2A">
              <w:rPr>
                <w:sz w:val="16"/>
                <w:szCs w:val="16"/>
              </w:rPr>
              <w:t>Wydział Transportu</w:t>
            </w:r>
          </w:p>
        </w:tc>
        <w:tc>
          <w:tcPr>
            <w:tcW w:w="1134" w:type="dxa"/>
            <w:vMerge w:val="restart"/>
            <w:noWrap/>
            <w:hideMark/>
          </w:tcPr>
          <w:p w:rsidR="00E04D72" w:rsidRPr="000A0C2A" w:rsidRDefault="00E04D72" w:rsidP="00B65FD4">
            <w:pPr>
              <w:jc w:val="center"/>
              <w:rPr>
                <w:sz w:val="16"/>
                <w:szCs w:val="16"/>
              </w:rPr>
            </w:pPr>
            <w:r w:rsidRPr="000A0C2A">
              <w:rPr>
                <w:sz w:val="16"/>
                <w:szCs w:val="16"/>
              </w:rPr>
              <w:t>930</w:t>
            </w:r>
          </w:p>
        </w:tc>
        <w:tc>
          <w:tcPr>
            <w:tcW w:w="851" w:type="dxa"/>
            <w:vMerge w:val="restart"/>
            <w:noWrap/>
            <w:hideMark/>
          </w:tcPr>
          <w:p w:rsidR="00E04D72" w:rsidRPr="000A0C2A" w:rsidRDefault="00E04D72" w:rsidP="00B65FD4">
            <w:pPr>
              <w:jc w:val="center"/>
              <w:rPr>
                <w:sz w:val="16"/>
                <w:szCs w:val="16"/>
              </w:rPr>
            </w:pPr>
            <w:r w:rsidRPr="000A0C2A">
              <w:rPr>
                <w:sz w:val="16"/>
                <w:szCs w:val="16"/>
              </w:rPr>
              <w:t>0</w:t>
            </w:r>
          </w:p>
        </w:tc>
        <w:tc>
          <w:tcPr>
            <w:tcW w:w="709" w:type="dxa"/>
            <w:vMerge w:val="restart"/>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3"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300"/>
        </w:trPr>
        <w:tc>
          <w:tcPr>
            <w:tcW w:w="1985" w:type="dxa"/>
            <w:vMerge/>
            <w:hideMark/>
          </w:tcPr>
          <w:p w:rsidR="00E04D72" w:rsidRPr="000A0C2A" w:rsidRDefault="00E04D72" w:rsidP="00B65FD4">
            <w:pPr>
              <w:rPr>
                <w:sz w:val="16"/>
                <w:szCs w:val="16"/>
              </w:rPr>
            </w:pPr>
          </w:p>
        </w:tc>
        <w:tc>
          <w:tcPr>
            <w:tcW w:w="1134" w:type="dxa"/>
            <w:vMerge/>
            <w:hideMark/>
          </w:tcPr>
          <w:p w:rsidR="00E04D72" w:rsidRPr="000A0C2A" w:rsidRDefault="00E04D72" w:rsidP="00B65FD4">
            <w:pPr>
              <w:jc w:val="center"/>
              <w:rPr>
                <w:sz w:val="16"/>
                <w:szCs w:val="16"/>
              </w:rPr>
            </w:pPr>
          </w:p>
        </w:tc>
        <w:tc>
          <w:tcPr>
            <w:tcW w:w="851" w:type="dxa"/>
            <w:vMerge/>
            <w:hideMark/>
          </w:tcPr>
          <w:p w:rsidR="00E04D72" w:rsidRPr="000A0C2A" w:rsidRDefault="00E04D72" w:rsidP="00B65FD4">
            <w:pPr>
              <w:jc w:val="center"/>
              <w:rPr>
                <w:sz w:val="16"/>
                <w:szCs w:val="16"/>
              </w:rPr>
            </w:pPr>
          </w:p>
        </w:tc>
        <w:tc>
          <w:tcPr>
            <w:tcW w:w="709" w:type="dxa"/>
            <w:vMerge/>
            <w:hideMark/>
          </w:tcPr>
          <w:p w:rsidR="00E04D72" w:rsidRPr="000A0C2A" w:rsidRDefault="00E04D72" w:rsidP="00B65FD4">
            <w:pPr>
              <w:jc w:val="center"/>
              <w:rPr>
                <w:sz w:val="16"/>
                <w:szCs w:val="16"/>
              </w:rPr>
            </w:pPr>
          </w:p>
        </w:tc>
        <w:tc>
          <w:tcPr>
            <w:tcW w:w="850" w:type="dxa"/>
            <w:noWrap/>
            <w:hideMark/>
          </w:tcPr>
          <w:p w:rsidR="00E04D72" w:rsidRPr="000A0C2A" w:rsidRDefault="00E04D72" w:rsidP="00B65FD4">
            <w:pPr>
              <w:jc w:val="center"/>
              <w:rPr>
                <w:sz w:val="16"/>
                <w:szCs w:val="16"/>
              </w:rPr>
            </w:pPr>
            <w:r w:rsidRPr="000A0C2A">
              <w:rPr>
                <w:sz w:val="16"/>
                <w:szCs w:val="16"/>
              </w:rPr>
              <w:t>0,00%</w:t>
            </w:r>
          </w:p>
        </w:tc>
        <w:tc>
          <w:tcPr>
            <w:tcW w:w="992" w:type="dxa"/>
            <w:noWrap/>
            <w:hideMark/>
          </w:tcPr>
          <w:p w:rsidR="00E04D72" w:rsidRPr="000A0C2A" w:rsidRDefault="00E04D72" w:rsidP="00B65FD4">
            <w:pPr>
              <w:jc w:val="center"/>
              <w:rPr>
                <w:sz w:val="16"/>
                <w:szCs w:val="16"/>
              </w:rPr>
            </w:pPr>
            <w:r w:rsidRPr="000A0C2A">
              <w:rPr>
                <w:sz w:val="16"/>
                <w:szCs w:val="16"/>
              </w:rPr>
              <w:t>0,00%</w:t>
            </w:r>
          </w:p>
        </w:tc>
        <w:tc>
          <w:tcPr>
            <w:tcW w:w="993" w:type="dxa"/>
            <w:noWrap/>
            <w:hideMark/>
          </w:tcPr>
          <w:p w:rsidR="00E04D72" w:rsidRPr="000A0C2A" w:rsidRDefault="00E04D72" w:rsidP="00B65FD4">
            <w:pPr>
              <w:jc w:val="center"/>
              <w:rPr>
                <w:sz w:val="16"/>
                <w:szCs w:val="16"/>
              </w:rPr>
            </w:pPr>
            <w:r w:rsidRPr="000A0C2A">
              <w:rPr>
                <w:sz w:val="16"/>
                <w:szCs w:val="16"/>
              </w:rPr>
              <w:t>0,00%</w:t>
            </w:r>
          </w:p>
        </w:tc>
        <w:tc>
          <w:tcPr>
            <w:tcW w:w="1134" w:type="dxa"/>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0,00%</w:t>
            </w:r>
          </w:p>
        </w:tc>
        <w:tc>
          <w:tcPr>
            <w:tcW w:w="851" w:type="dxa"/>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300"/>
        </w:trPr>
        <w:tc>
          <w:tcPr>
            <w:tcW w:w="1985" w:type="dxa"/>
            <w:vMerge w:val="restart"/>
            <w:noWrap/>
            <w:hideMark/>
          </w:tcPr>
          <w:p w:rsidR="00E04D72" w:rsidRPr="000A0C2A" w:rsidRDefault="00E04D72" w:rsidP="00B65FD4">
            <w:pPr>
              <w:rPr>
                <w:sz w:val="16"/>
                <w:szCs w:val="16"/>
              </w:rPr>
            </w:pPr>
            <w:r w:rsidRPr="000A0C2A">
              <w:rPr>
                <w:sz w:val="16"/>
                <w:szCs w:val="16"/>
              </w:rPr>
              <w:t>Biuro Zrównoważonej Mobilności</w:t>
            </w:r>
          </w:p>
        </w:tc>
        <w:tc>
          <w:tcPr>
            <w:tcW w:w="1134" w:type="dxa"/>
            <w:vMerge w:val="restart"/>
            <w:noWrap/>
            <w:hideMark/>
          </w:tcPr>
          <w:p w:rsidR="00E04D72" w:rsidRPr="000A0C2A" w:rsidRDefault="00E04D72" w:rsidP="00B65FD4">
            <w:pPr>
              <w:jc w:val="center"/>
              <w:rPr>
                <w:sz w:val="16"/>
                <w:szCs w:val="16"/>
              </w:rPr>
            </w:pPr>
            <w:r w:rsidRPr="000A0C2A">
              <w:rPr>
                <w:sz w:val="16"/>
                <w:szCs w:val="16"/>
              </w:rPr>
              <w:t>0</w:t>
            </w:r>
          </w:p>
        </w:tc>
        <w:tc>
          <w:tcPr>
            <w:tcW w:w="851" w:type="dxa"/>
            <w:vMerge w:val="restart"/>
            <w:noWrap/>
            <w:hideMark/>
          </w:tcPr>
          <w:p w:rsidR="00E04D72" w:rsidRPr="000A0C2A" w:rsidRDefault="00E04D72" w:rsidP="00B65FD4">
            <w:pPr>
              <w:jc w:val="center"/>
              <w:rPr>
                <w:sz w:val="16"/>
                <w:szCs w:val="16"/>
              </w:rPr>
            </w:pPr>
            <w:r w:rsidRPr="000A0C2A">
              <w:rPr>
                <w:sz w:val="16"/>
                <w:szCs w:val="16"/>
              </w:rPr>
              <w:t>0</w:t>
            </w:r>
          </w:p>
        </w:tc>
        <w:tc>
          <w:tcPr>
            <w:tcW w:w="709" w:type="dxa"/>
            <w:vMerge w:val="restart"/>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3"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300"/>
        </w:trPr>
        <w:tc>
          <w:tcPr>
            <w:tcW w:w="1985" w:type="dxa"/>
            <w:vMerge/>
            <w:hideMark/>
          </w:tcPr>
          <w:p w:rsidR="00E04D72" w:rsidRPr="000A0C2A" w:rsidRDefault="00E04D72" w:rsidP="00B65FD4">
            <w:pPr>
              <w:rPr>
                <w:sz w:val="16"/>
                <w:szCs w:val="16"/>
              </w:rPr>
            </w:pPr>
          </w:p>
        </w:tc>
        <w:tc>
          <w:tcPr>
            <w:tcW w:w="1134" w:type="dxa"/>
            <w:vMerge/>
            <w:hideMark/>
          </w:tcPr>
          <w:p w:rsidR="00E04D72" w:rsidRPr="000A0C2A" w:rsidRDefault="00E04D72" w:rsidP="00B65FD4">
            <w:pPr>
              <w:jc w:val="center"/>
              <w:rPr>
                <w:sz w:val="16"/>
                <w:szCs w:val="16"/>
              </w:rPr>
            </w:pPr>
          </w:p>
        </w:tc>
        <w:tc>
          <w:tcPr>
            <w:tcW w:w="851" w:type="dxa"/>
            <w:vMerge/>
            <w:hideMark/>
          </w:tcPr>
          <w:p w:rsidR="00E04D72" w:rsidRPr="000A0C2A" w:rsidRDefault="00E04D72" w:rsidP="00B65FD4">
            <w:pPr>
              <w:jc w:val="center"/>
              <w:rPr>
                <w:sz w:val="16"/>
                <w:szCs w:val="16"/>
              </w:rPr>
            </w:pPr>
          </w:p>
        </w:tc>
        <w:tc>
          <w:tcPr>
            <w:tcW w:w="709" w:type="dxa"/>
            <w:vMerge/>
            <w:hideMark/>
          </w:tcPr>
          <w:p w:rsidR="00E04D72" w:rsidRPr="000A0C2A" w:rsidRDefault="00E04D72" w:rsidP="00B65FD4">
            <w:pPr>
              <w:jc w:val="center"/>
              <w:rPr>
                <w:sz w:val="16"/>
                <w:szCs w:val="16"/>
              </w:rPr>
            </w:pPr>
          </w:p>
        </w:tc>
        <w:tc>
          <w:tcPr>
            <w:tcW w:w="850" w:type="dxa"/>
            <w:noWrap/>
            <w:hideMark/>
          </w:tcPr>
          <w:p w:rsidR="00E04D72" w:rsidRPr="000A0C2A" w:rsidRDefault="00E04D72" w:rsidP="00B65FD4">
            <w:pPr>
              <w:jc w:val="center"/>
              <w:rPr>
                <w:sz w:val="16"/>
                <w:szCs w:val="16"/>
              </w:rPr>
            </w:pPr>
            <w:r w:rsidRPr="000A0C2A">
              <w:rPr>
                <w:sz w:val="16"/>
                <w:szCs w:val="16"/>
              </w:rPr>
              <w:t>0,00%</w:t>
            </w:r>
          </w:p>
        </w:tc>
        <w:tc>
          <w:tcPr>
            <w:tcW w:w="992" w:type="dxa"/>
            <w:noWrap/>
            <w:hideMark/>
          </w:tcPr>
          <w:p w:rsidR="00E04D72" w:rsidRPr="000A0C2A" w:rsidRDefault="00E04D72" w:rsidP="00B65FD4">
            <w:pPr>
              <w:jc w:val="center"/>
              <w:rPr>
                <w:sz w:val="16"/>
                <w:szCs w:val="16"/>
              </w:rPr>
            </w:pPr>
            <w:r w:rsidRPr="000A0C2A">
              <w:rPr>
                <w:sz w:val="16"/>
                <w:szCs w:val="16"/>
              </w:rPr>
              <w:t>0,00%</w:t>
            </w:r>
          </w:p>
        </w:tc>
        <w:tc>
          <w:tcPr>
            <w:tcW w:w="993" w:type="dxa"/>
            <w:noWrap/>
            <w:hideMark/>
          </w:tcPr>
          <w:p w:rsidR="00E04D72" w:rsidRPr="000A0C2A" w:rsidRDefault="00E04D72" w:rsidP="00B65FD4">
            <w:pPr>
              <w:jc w:val="center"/>
              <w:rPr>
                <w:sz w:val="16"/>
                <w:szCs w:val="16"/>
              </w:rPr>
            </w:pPr>
            <w:r w:rsidRPr="000A0C2A">
              <w:rPr>
                <w:sz w:val="16"/>
                <w:szCs w:val="16"/>
              </w:rPr>
              <w:t>0,00%</w:t>
            </w:r>
          </w:p>
        </w:tc>
        <w:tc>
          <w:tcPr>
            <w:tcW w:w="1134" w:type="dxa"/>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0,00%</w:t>
            </w:r>
          </w:p>
        </w:tc>
        <w:tc>
          <w:tcPr>
            <w:tcW w:w="851" w:type="dxa"/>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300"/>
        </w:trPr>
        <w:tc>
          <w:tcPr>
            <w:tcW w:w="1985" w:type="dxa"/>
            <w:vMerge w:val="restart"/>
            <w:noWrap/>
            <w:hideMark/>
          </w:tcPr>
          <w:p w:rsidR="00E04D72" w:rsidRPr="000A0C2A" w:rsidRDefault="00E04D72" w:rsidP="00B65FD4">
            <w:pPr>
              <w:rPr>
                <w:sz w:val="16"/>
                <w:szCs w:val="16"/>
              </w:rPr>
            </w:pPr>
            <w:r w:rsidRPr="000A0C2A">
              <w:rPr>
                <w:sz w:val="16"/>
                <w:szCs w:val="16"/>
              </w:rPr>
              <w:t>Biuro Obsługi Infrastrukturalnej</w:t>
            </w:r>
          </w:p>
        </w:tc>
        <w:tc>
          <w:tcPr>
            <w:tcW w:w="1134" w:type="dxa"/>
            <w:vMerge w:val="restart"/>
            <w:noWrap/>
            <w:hideMark/>
          </w:tcPr>
          <w:p w:rsidR="00E04D72" w:rsidRPr="000A0C2A" w:rsidRDefault="00E04D72" w:rsidP="00B65FD4">
            <w:pPr>
              <w:jc w:val="center"/>
              <w:rPr>
                <w:sz w:val="16"/>
                <w:szCs w:val="16"/>
              </w:rPr>
            </w:pPr>
            <w:r w:rsidRPr="000A0C2A">
              <w:rPr>
                <w:sz w:val="16"/>
                <w:szCs w:val="16"/>
              </w:rPr>
              <w:t>0</w:t>
            </w:r>
          </w:p>
        </w:tc>
        <w:tc>
          <w:tcPr>
            <w:tcW w:w="851" w:type="dxa"/>
            <w:vMerge w:val="restart"/>
            <w:noWrap/>
            <w:hideMark/>
          </w:tcPr>
          <w:p w:rsidR="00E04D72" w:rsidRPr="000A0C2A" w:rsidRDefault="00E04D72" w:rsidP="00B65FD4">
            <w:pPr>
              <w:jc w:val="center"/>
              <w:rPr>
                <w:sz w:val="16"/>
                <w:szCs w:val="16"/>
              </w:rPr>
            </w:pPr>
            <w:r w:rsidRPr="000A0C2A">
              <w:rPr>
                <w:sz w:val="16"/>
                <w:szCs w:val="16"/>
              </w:rPr>
              <w:t>0</w:t>
            </w:r>
          </w:p>
        </w:tc>
        <w:tc>
          <w:tcPr>
            <w:tcW w:w="709" w:type="dxa"/>
            <w:vMerge w:val="restart"/>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3"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300"/>
        </w:trPr>
        <w:tc>
          <w:tcPr>
            <w:tcW w:w="1985" w:type="dxa"/>
            <w:vMerge/>
            <w:hideMark/>
          </w:tcPr>
          <w:p w:rsidR="00E04D72" w:rsidRPr="000A0C2A" w:rsidRDefault="00E04D72" w:rsidP="00B65FD4">
            <w:pPr>
              <w:rPr>
                <w:sz w:val="16"/>
                <w:szCs w:val="16"/>
              </w:rPr>
            </w:pPr>
          </w:p>
        </w:tc>
        <w:tc>
          <w:tcPr>
            <w:tcW w:w="1134" w:type="dxa"/>
            <w:vMerge/>
            <w:hideMark/>
          </w:tcPr>
          <w:p w:rsidR="00E04D72" w:rsidRPr="000A0C2A" w:rsidRDefault="00E04D72" w:rsidP="00B65FD4">
            <w:pPr>
              <w:jc w:val="center"/>
              <w:rPr>
                <w:sz w:val="16"/>
                <w:szCs w:val="16"/>
              </w:rPr>
            </w:pPr>
          </w:p>
        </w:tc>
        <w:tc>
          <w:tcPr>
            <w:tcW w:w="851" w:type="dxa"/>
            <w:vMerge/>
            <w:hideMark/>
          </w:tcPr>
          <w:p w:rsidR="00E04D72" w:rsidRPr="000A0C2A" w:rsidRDefault="00E04D72" w:rsidP="00B65FD4">
            <w:pPr>
              <w:jc w:val="center"/>
              <w:rPr>
                <w:sz w:val="16"/>
                <w:szCs w:val="16"/>
              </w:rPr>
            </w:pPr>
          </w:p>
        </w:tc>
        <w:tc>
          <w:tcPr>
            <w:tcW w:w="709" w:type="dxa"/>
            <w:vMerge/>
            <w:hideMark/>
          </w:tcPr>
          <w:p w:rsidR="00E04D72" w:rsidRPr="000A0C2A" w:rsidRDefault="00E04D72" w:rsidP="00B65FD4">
            <w:pPr>
              <w:jc w:val="center"/>
              <w:rPr>
                <w:sz w:val="16"/>
                <w:szCs w:val="16"/>
              </w:rPr>
            </w:pPr>
          </w:p>
        </w:tc>
        <w:tc>
          <w:tcPr>
            <w:tcW w:w="850" w:type="dxa"/>
            <w:noWrap/>
            <w:hideMark/>
          </w:tcPr>
          <w:p w:rsidR="00E04D72" w:rsidRPr="000A0C2A" w:rsidRDefault="00E04D72" w:rsidP="00B65FD4">
            <w:pPr>
              <w:jc w:val="center"/>
              <w:rPr>
                <w:sz w:val="16"/>
                <w:szCs w:val="16"/>
              </w:rPr>
            </w:pPr>
            <w:r w:rsidRPr="000A0C2A">
              <w:rPr>
                <w:sz w:val="16"/>
                <w:szCs w:val="16"/>
              </w:rPr>
              <w:t>0,00%</w:t>
            </w:r>
          </w:p>
        </w:tc>
        <w:tc>
          <w:tcPr>
            <w:tcW w:w="992" w:type="dxa"/>
            <w:noWrap/>
            <w:hideMark/>
          </w:tcPr>
          <w:p w:rsidR="00E04D72" w:rsidRPr="000A0C2A" w:rsidRDefault="00E04D72" w:rsidP="00B65FD4">
            <w:pPr>
              <w:jc w:val="center"/>
              <w:rPr>
                <w:sz w:val="16"/>
                <w:szCs w:val="16"/>
              </w:rPr>
            </w:pPr>
            <w:r w:rsidRPr="000A0C2A">
              <w:rPr>
                <w:sz w:val="16"/>
                <w:szCs w:val="16"/>
              </w:rPr>
              <w:t>0,00%</w:t>
            </w:r>
          </w:p>
        </w:tc>
        <w:tc>
          <w:tcPr>
            <w:tcW w:w="993" w:type="dxa"/>
            <w:noWrap/>
            <w:hideMark/>
          </w:tcPr>
          <w:p w:rsidR="00E04D72" w:rsidRPr="000A0C2A" w:rsidRDefault="00E04D72" w:rsidP="00B65FD4">
            <w:pPr>
              <w:jc w:val="center"/>
              <w:rPr>
                <w:sz w:val="16"/>
                <w:szCs w:val="16"/>
              </w:rPr>
            </w:pPr>
            <w:r w:rsidRPr="000A0C2A">
              <w:rPr>
                <w:sz w:val="16"/>
                <w:szCs w:val="16"/>
              </w:rPr>
              <w:t>0,00%</w:t>
            </w:r>
          </w:p>
        </w:tc>
        <w:tc>
          <w:tcPr>
            <w:tcW w:w="1134" w:type="dxa"/>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0,00%</w:t>
            </w:r>
          </w:p>
        </w:tc>
        <w:tc>
          <w:tcPr>
            <w:tcW w:w="851" w:type="dxa"/>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300"/>
        </w:trPr>
        <w:tc>
          <w:tcPr>
            <w:tcW w:w="1985" w:type="dxa"/>
            <w:vMerge w:val="restart"/>
            <w:noWrap/>
            <w:hideMark/>
          </w:tcPr>
          <w:p w:rsidR="00E04D72" w:rsidRPr="000A0C2A" w:rsidRDefault="00E04D72" w:rsidP="00B65FD4">
            <w:pPr>
              <w:rPr>
                <w:sz w:val="16"/>
                <w:szCs w:val="16"/>
              </w:rPr>
            </w:pPr>
            <w:r w:rsidRPr="000A0C2A">
              <w:rPr>
                <w:sz w:val="16"/>
                <w:szCs w:val="16"/>
              </w:rPr>
              <w:t>Zarząd Dróg i Utrzymania Miasta</w:t>
            </w:r>
          </w:p>
        </w:tc>
        <w:tc>
          <w:tcPr>
            <w:tcW w:w="1134" w:type="dxa"/>
            <w:vMerge w:val="restart"/>
            <w:noWrap/>
            <w:hideMark/>
          </w:tcPr>
          <w:p w:rsidR="00E04D72" w:rsidRPr="000A0C2A" w:rsidRDefault="00E04D72" w:rsidP="00B65FD4">
            <w:pPr>
              <w:jc w:val="center"/>
              <w:rPr>
                <w:sz w:val="16"/>
                <w:szCs w:val="16"/>
              </w:rPr>
            </w:pPr>
            <w:r w:rsidRPr="000A0C2A">
              <w:rPr>
                <w:sz w:val="16"/>
                <w:szCs w:val="16"/>
              </w:rPr>
              <w:t>10 582</w:t>
            </w:r>
          </w:p>
        </w:tc>
        <w:tc>
          <w:tcPr>
            <w:tcW w:w="851" w:type="dxa"/>
            <w:vMerge w:val="restart"/>
            <w:noWrap/>
            <w:hideMark/>
          </w:tcPr>
          <w:p w:rsidR="00E04D72" w:rsidRPr="000A0C2A" w:rsidRDefault="00E04D72" w:rsidP="00B65FD4">
            <w:pPr>
              <w:jc w:val="center"/>
              <w:rPr>
                <w:sz w:val="16"/>
                <w:szCs w:val="16"/>
              </w:rPr>
            </w:pPr>
            <w:r w:rsidRPr="000A0C2A">
              <w:rPr>
                <w:sz w:val="16"/>
                <w:szCs w:val="16"/>
              </w:rPr>
              <w:t>8</w:t>
            </w:r>
          </w:p>
        </w:tc>
        <w:tc>
          <w:tcPr>
            <w:tcW w:w="709" w:type="dxa"/>
            <w:vMerge w:val="restart"/>
            <w:noWrap/>
            <w:hideMark/>
          </w:tcPr>
          <w:p w:rsidR="00E04D72" w:rsidRPr="000A0C2A" w:rsidRDefault="00E04D72" w:rsidP="00B65FD4">
            <w:pPr>
              <w:jc w:val="center"/>
              <w:rPr>
                <w:sz w:val="16"/>
                <w:szCs w:val="16"/>
              </w:rPr>
            </w:pPr>
            <w:r w:rsidRPr="000A0C2A">
              <w:rPr>
                <w:sz w:val="16"/>
                <w:szCs w:val="16"/>
              </w:rPr>
              <w:t>0,08%</w:t>
            </w:r>
          </w:p>
        </w:tc>
        <w:tc>
          <w:tcPr>
            <w:tcW w:w="850" w:type="dxa"/>
            <w:noWrap/>
            <w:hideMark/>
          </w:tcPr>
          <w:p w:rsidR="00E04D72" w:rsidRPr="000A0C2A" w:rsidRDefault="00E04D72" w:rsidP="00B65FD4">
            <w:pPr>
              <w:jc w:val="center"/>
              <w:rPr>
                <w:sz w:val="16"/>
                <w:szCs w:val="16"/>
              </w:rPr>
            </w:pPr>
            <w:r w:rsidRPr="000A0C2A">
              <w:rPr>
                <w:sz w:val="16"/>
                <w:szCs w:val="16"/>
              </w:rPr>
              <w:t>1</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3" w:type="dxa"/>
            <w:noWrap/>
            <w:hideMark/>
          </w:tcPr>
          <w:p w:rsidR="00E04D72" w:rsidRPr="000A0C2A" w:rsidRDefault="00E04D72" w:rsidP="00B65FD4">
            <w:pPr>
              <w:jc w:val="center"/>
              <w:rPr>
                <w:sz w:val="16"/>
                <w:szCs w:val="16"/>
              </w:rPr>
            </w:pPr>
            <w:r w:rsidRPr="000A0C2A">
              <w:rPr>
                <w:sz w:val="16"/>
                <w:szCs w:val="16"/>
              </w:rPr>
              <w:t>6</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1</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300"/>
        </w:trPr>
        <w:tc>
          <w:tcPr>
            <w:tcW w:w="1985" w:type="dxa"/>
            <w:vMerge/>
            <w:hideMark/>
          </w:tcPr>
          <w:p w:rsidR="00E04D72" w:rsidRPr="000A0C2A" w:rsidRDefault="00E04D72" w:rsidP="00B65FD4">
            <w:pPr>
              <w:rPr>
                <w:sz w:val="16"/>
                <w:szCs w:val="16"/>
              </w:rPr>
            </w:pPr>
          </w:p>
        </w:tc>
        <w:tc>
          <w:tcPr>
            <w:tcW w:w="1134" w:type="dxa"/>
            <w:vMerge/>
            <w:hideMark/>
          </w:tcPr>
          <w:p w:rsidR="00E04D72" w:rsidRPr="000A0C2A" w:rsidRDefault="00E04D72" w:rsidP="00B65FD4">
            <w:pPr>
              <w:jc w:val="center"/>
              <w:rPr>
                <w:sz w:val="16"/>
                <w:szCs w:val="16"/>
              </w:rPr>
            </w:pPr>
          </w:p>
        </w:tc>
        <w:tc>
          <w:tcPr>
            <w:tcW w:w="851" w:type="dxa"/>
            <w:vMerge/>
            <w:hideMark/>
          </w:tcPr>
          <w:p w:rsidR="00E04D72" w:rsidRPr="000A0C2A" w:rsidRDefault="00E04D72" w:rsidP="00B65FD4">
            <w:pPr>
              <w:jc w:val="center"/>
              <w:rPr>
                <w:sz w:val="16"/>
                <w:szCs w:val="16"/>
              </w:rPr>
            </w:pPr>
          </w:p>
        </w:tc>
        <w:tc>
          <w:tcPr>
            <w:tcW w:w="709" w:type="dxa"/>
            <w:vMerge/>
            <w:hideMark/>
          </w:tcPr>
          <w:p w:rsidR="00E04D72" w:rsidRPr="000A0C2A" w:rsidRDefault="00E04D72" w:rsidP="00B65FD4">
            <w:pPr>
              <w:jc w:val="center"/>
              <w:rPr>
                <w:sz w:val="16"/>
                <w:szCs w:val="16"/>
              </w:rPr>
            </w:pPr>
          </w:p>
        </w:tc>
        <w:tc>
          <w:tcPr>
            <w:tcW w:w="850" w:type="dxa"/>
            <w:noWrap/>
            <w:hideMark/>
          </w:tcPr>
          <w:p w:rsidR="00E04D72" w:rsidRPr="000A0C2A" w:rsidRDefault="00E04D72" w:rsidP="00B65FD4">
            <w:pPr>
              <w:jc w:val="center"/>
              <w:rPr>
                <w:sz w:val="16"/>
                <w:szCs w:val="16"/>
              </w:rPr>
            </w:pPr>
            <w:r w:rsidRPr="000A0C2A">
              <w:rPr>
                <w:sz w:val="16"/>
                <w:szCs w:val="16"/>
              </w:rPr>
              <w:t>0,01%</w:t>
            </w:r>
          </w:p>
        </w:tc>
        <w:tc>
          <w:tcPr>
            <w:tcW w:w="992" w:type="dxa"/>
            <w:noWrap/>
            <w:hideMark/>
          </w:tcPr>
          <w:p w:rsidR="00E04D72" w:rsidRPr="000A0C2A" w:rsidRDefault="00E04D72" w:rsidP="00B65FD4">
            <w:pPr>
              <w:jc w:val="center"/>
              <w:rPr>
                <w:sz w:val="16"/>
                <w:szCs w:val="16"/>
              </w:rPr>
            </w:pPr>
            <w:r w:rsidRPr="000A0C2A">
              <w:rPr>
                <w:sz w:val="16"/>
                <w:szCs w:val="16"/>
              </w:rPr>
              <w:t>0,00%</w:t>
            </w:r>
          </w:p>
        </w:tc>
        <w:tc>
          <w:tcPr>
            <w:tcW w:w="993" w:type="dxa"/>
            <w:noWrap/>
            <w:hideMark/>
          </w:tcPr>
          <w:p w:rsidR="00E04D72" w:rsidRPr="000A0C2A" w:rsidRDefault="00E04D72" w:rsidP="00B65FD4">
            <w:pPr>
              <w:jc w:val="center"/>
              <w:rPr>
                <w:sz w:val="16"/>
                <w:szCs w:val="16"/>
              </w:rPr>
            </w:pPr>
            <w:r w:rsidRPr="000A0C2A">
              <w:rPr>
                <w:sz w:val="16"/>
                <w:szCs w:val="16"/>
              </w:rPr>
              <w:t>0,06%</w:t>
            </w:r>
          </w:p>
        </w:tc>
        <w:tc>
          <w:tcPr>
            <w:tcW w:w="1134" w:type="dxa"/>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0,00%</w:t>
            </w:r>
          </w:p>
        </w:tc>
        <w:tc>
          <w:tcPr>
            <w:tcW w:w="851" w:type="dxa"/>
            <w:noWrap/>
            <w:hideMark/>
          </w:tcPr>
          <w:p w:rsidR="00E04D72" w:rsidRPr="000A0C2A" w:rsidRDefault="00E04D72" w:rsidP="00B65FD4">
            <w:pPr>
              <w:jc w:val="center"/>
              <w:rPr>
                <w:sz w:val="16"/>
                <w:szCs w:val="16"/>
              </w:rPr>
            </w:pPr>
            <w:r w:rsidRPr="000A0C2A">
              <w:rPr>
                <w:sz w:val="16"/>
                <w:szCs w:val="16"/>
              </w:rPr>
              <w:t>0,01%</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255"/>
        </w:trPr>
        <w:tc>
          <w:tcPr>
            <w:tcW w:w="1985" w:type="dxa"/>
            <w:vMerge w:val="restart"/>
            <w:noWrap/>
            <w:hideMark/>
          </w:tcPr>
          <w:p w:rsidR="00E04D72" w:rsidRPr="000A0C2A" w:rsidRDefault="00E04D72" w:rsidP="00B65FD4">
            <w:pPr>
              <w:rPr>
                <w:sz w:val="16"/>
                <w:szCs w:val="16"/>
              </w:rPr>
            </w:pPr>
            <w:r w:rsidRPr="000A0C2A">
              <w:rPr>
                <w:sz w:val="16"/>
                <w:szCs w:val="16"/>
              </w:rPr>
              <w:t>Zarząd Inwestycji Miejskich</w:t>
            </w:r>
          </w:p>
        </w:tc>
        <w:tc>
          <w:tcPr>
            <w:tcW w:w="1134" w:type="dxa"/>
            <w:vMerge w:val="restart"/>
            <w:noWrap/>
            <w:hideMark/>
          </w:tcPr>
          <w:p w:rsidR="00E04D72" w:rsidRPr="000A0C2A" w:rsidRDefault="00E04D72" w:rsidP="00B65FD4">
            <w:pPr>
              <w:jc w:val="center"/>
              <w:rPr>
                <w:sz w:val="16"/>
                <w:szCs w:val="16"/>
              </w:rPr>
            </w:pPr>
            <w:r w:rsidRPr="000A0C2A">
              <w:rPr>
                <w:sz w:val="16"/>
                <w:szCs w:val="16"/>
              </w:rPr>
              <w:t>0</w:t>
            </w:r>
          </w:p>
        </w:tc>
        <w:tc>
          <w:tcPr>
            <w:tcW w:w="851" w:type="dxa"/>
            <w:vMerge w:val="restart"/>
            <w:noWrap/>
            <w:hideMark/>
          </w:tcPr>
          <w:p w:rsidR="00E04D72" w:rsidRPr="000A0C2A" w:rsidRDefault="00E04D72" w:rsidP="00B65FD4">
            <w:pPr>
              <w:jc w:val="center"/>
              <w:rPr>
                <w:sz w:val="16"/>
                <w:szCs w:val="16"/>
              </w:rPr>
            </w:pPr>
            <w:r w:rsidRPr="000A0C2A">
              <w:rPr>
                <w:sz w:val="16"/>
                <w:szCs w:val="16"/>
              </w:rPr>
              <w:t>0</w:t>
            </w:r>
          </w:p>
        </w:tc>
        <w:tc>
          <w:tcPr>
            <w:tcW w:w="709" w:type="dxa"/>
            <w:vMerge w:val="restart"/>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3"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270"/>
        </w:trPr>
        <w:tc>
          <w:tcPr>
            <w:tcW w:w="1985" w:type="dxa"/>
            <w:vMerge/>
            <w:hideMark/>
          </w:tcPr>
          <w:p w:rsidR="00E04D72" w:rsidRPr="000A0C2A" w:rsidRDefault="00E04D72" w:rsidP="00B65FD4">
            <w:pPr>
              <w:rPr>
                <w:sz w:val="16"/>
                <w:szCs w:val="16"/>
              </w:rPr>
            </w:pPr>
          </w:p>
        </w:tc>
        <w:tc>
          <w:tcPr>
            <w:tcW w:w="1134" w:type="dxa"/>
            <w:vMerge/>
            <w:hideMark/>
          </w:tcPr>
          <w:p w:rsidR="00E04D72" w:rsidRPr="000A0C2A" w:rsidRDefault="00E04D72" w:rsidP="00B65FD4">
            <w:pPr>
              <w:jc w:val="center"/>
              <w:rPr>
                <w:sz w:val="16"/>
                <w:szCs w:val="16"/>
              </w:rPr>
            </w:pPr>
          </w:p>
        </w:tc>
        <w:tc>
          <w:tcPr>
            <w:tcW w:w="851" w:type="dxa"/>
            <w:vMerge/>
            <w:hideMark/>
          </w:tcPr>
          <w:p w:rsidR="00E04D72" w:rsidRPr="000A0C2A" w:rsidRDefault="00E04D72" w:rsidP="00B65FD4">
            <w:pPr>
              <w:jc w:val="center"/>
              <w:rPr>
                <w:sz w:val="16"/>
                <w:szCs w:val="16"/>
              </w:rPr>
            </w:pPr>
          </w:p>
        </w:tc>
        <w:tc>
          <w:tcPr>
            <w:tcW w:w="709" w:type="dxa"/>
            <w:vMerge/>
            <w:hideMark/>
          </w:tcPr>
          <w:p w:rsidR="00E04D72" w:rsidRPr="000A0C2A" w:rsidRDefault="00E04D72" w:rsidP="00B65FD4">
            <w:pPr>
              <w:jc w:val="center"/>
              <w:rPr>
                <w:sz w:val="16"/>
                <w:szCs w:val="16"/>
              </w:rPr>
            </w:pPr>
          </w:p>
        </w:tc>
        <w:tc>
          <w:tcPr>
            <w:tcW w:w="850" w:type="dxa"/>
            <w:noWrap/>
            <w:hideMark/>
          </w:tcPr>
          <w:p w:rsidR="00E04D72" w:rsidRPr="000A0C2A" w:rsidRDefault="00E04D72" w:rsidP="00B65FD4">
            <w:pPr>
              <w:jc w:val="center"/>
              <w:rPr>
                <w:sz w:val="16"/>
                <w:szCs w:val="16"/>
              </w:rPr>
            </w:pPr>
            <w:r w:rsidRPr="000A0C2A">
              <w:rPr>
                <w:sz w:val="16"/>
                <w:szCs w:val="16"/>
              </w:rPr>
              <w:t>0,00%</w:t>
            </w:r>
          </w:p>
        </w:tc>
        <w:tc>
          <w:tcPr>
            <w:tcW w:w="992" w:type="dxa"/>
            <w:noWrap/>
            <w:hideMark/>
          </w:tcPr>
          <w:p w:rsidR="00E04D72" w:rsidRPr="000A0C2A" w:rsidRDefault="00E04D72" w:rsidP="00B65FD4">
            <w:pPr>
              <w:jc w:val="center"/>
              <w:rPr>
                <w:sz w:val="16"/>
                <w:szCs w:val="16"/>
              </w:rPr>
            </w:pPr>
            <w:r w:rsidRPr="000A0C2A">
              <w:rPr>
                <w:sz w:val="16"/>
                <w:szCs w:val="16"/>
              </w:rPr>
              <w:t>0,00%</w:t>
            </w:r>
          </w:p>
        </w:tc>
        <w:tc>
          <w:tcPr>
            <w:tcW w:w="993" w:type="dxa"/>
            <w:noWrap/>
            <w:hideMark/>
          </w:tcPr>
          <w:p w:rsidR="00E04D72" w:rsidRPr="000A0C2A" w:rsidRDefault="00E04D72" w:rsidP="00B65FD4">
            <w:pPr>
              <w:jc w:val="center"/>
              <w:rPr>
                <w:sz w:val="16"/>
                <w:szCs w:val="16"/>
              </w:rPr>
            </w:pPr>
            <w:r w:rsidRPr="000A0C2A">
              <w:rPr>
                <w:sz w:val="16"/>
                <w:szCs w:val="16"/>
              </w:rPr>
              <w:t>0,00%</w:t>
            </w:r>
          </w:p>
        </w:tc>
        <w:tc>
          <w:tcPr>
            <w:tcW w:w="1134" w:type="dxa"/>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0,00%</w:t>
            </w:r>
          </w:p>
        </w:tc>
        <w:tc>
          <w:tcPr>
            <w:tcW w:w="851" w:type="dxa"/>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255"/>
        </w:trPr>
        <w:tc>
          <w:tcPr>
            <w:tcW w:w="1985" w:type="dxa"/>
            <w:vMerge w:val="restart"/>
            <w:noWrap/>
            <w:hideMark/>
          </w:tcPr>
          <w:p w:rsidR="00E04D72" w:rsidRPr="000A0C2A" w:rsidRDefault="00E04D72" w:rsidP="00B65FD4">
            <w:pPr>
              <w:rPr>
                <w:bCs/>
                <w:sz w:val="16"/>
                <w:szCs w:val="16"/>
              </w:rPr>
            </w:pPr>
            <w:r w:rsidRPr="000A0C2A">
              <w:rPr>
                <w:bCs/>
                <w:sz w:val="16"/>
                <w:szCs w:val="16"/>
              </w:rPr>
              <w:t>Razem DIT</w:t>
            </w:r>
          </w:p>
        </w:tc>
        <w:tc>
          <w:tcPr>
            <w:tcW w:w="1134" w:type="dxa"/>
            <w:vMerge w:val="restart"/>
            <w:noWrap/>
            <w:hideMark/>
          </w:tcPr>
          <w:p w:rsidR="00E04D72" w:rsidRPr="000A0C2A" w:rsidRDefault="00E04D72" w:rsidP="00B65FD4">
            <w:pPr>
              <w:jc w:val="center"/>
              <w:rPr>
                <w:bCs/>
                <w:sz w:val="16"/>
                <w:szCs w:val="16"/>
              </w:rPr>
            </w:pPr>
            <w:r w:rsidRPr="000A0C2A">
              <w:rPr>
                <w:bCs/>
                <w:sz w:val="16"/>
                <w:szCs w:val="16"/>
              </w:rPr>
              <w:t>11 668</w:t>
            </w:r>
          </w:p>
        </w:tc>
        <w:tc>
          <w:tcPr>
            <w:tcW w:w="851" w:type="dxa"/>
            <w:vMerge w:val="restart"/>
            <w:noWrap/>
            <w:hideMark/>
          </w:tcPr>
          <w:p w:rsidR="00E04D72" w:rsidRPr="000A0C2A" w:rsidRDefault="00E04D72" w:rsidP="00B65FD4">
            <w:pPr>
              <w:jc w:val="center"/>
              <w:rPr>
                <w:bCs/>
                <w:sz w:val="16"/>
                <w:szCs w:val="16"/>
              </w:rPr>
            </w:pPr>
            <w:r w:rsidRPr="000A0C2A">
              <w:rPr>
                <w:bCs/>
                <w:sz w:val="16"/>
                <w:szCs w:val="16"/>
              </w:rPr>
              <w:t>14</w:t>
            </w:r>
          </w:p>
        </w:tc>
        <w:tc>
          <w:tcPr>
            <w:tcW w:w="709" w:type="dxa"/>
            <w:vMerge w:val="restart"/>
            <w:noWrap/>
            <w:hideMark/>
          </w:tcPr>
          <w:p w:rsidR="00E04D72" w:rsidRPr="000A0C2A" w:rsidRDefault="00E04D72" w:rsidP="00B65FD4">
            <w:pPr>
              <w:jc w:val="center"/>
              <w:rPr>
                <w:sz w:val="16"/>
                <w:szCs w:val="16"/>
              </w:rPr>
            </w:pPr>
            <w:r w:rsidRPr="000A0C2A">
              <w:rPr>
                <w:sz w:val="16"/>
                <w:szCs w:val="16"/>
              </w:rPr>
              <w:t>0,12%</w:t>
            </w:r>
          </w:p>
        </w:tc>
        <w:tc>
          <w:tcPr>
            <w:tcW w:w="850" w:type="dxa"/>
            <w:noWrap/>
            <w:hideMark/>
          </w:tcPr>
          <w:p w:rsidR="00E04D72" w:rsidRPr="000A0C2A" w:rsidRDefault="00E04D72" w:rsidP="00B65FD4">
            <w:pPr>
              <w:jc w:val="center"/>
              <w:rPr>
                <w:sz w:val="16"/>
                <w:szCs w:val="16"/>
              </w:rPr>
            </w:pPr>
            <w:r w:rsidRPr="000A0C2A">
              <w:rPr>
                <w:sz w:val="16"/>
                <w:szCs w:val="16"/>
              </w:rPr>
              <w:t>3</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3" w:type="dxa"/>
            <w:noWrap/>
            <w:hideMark/>
          </w:tcPr>
          <w:p w:rsidR="00E04D72" w:rsidRPr="000A0C2A" w:rsidRDefault="00E04D72" w:rsidP="00B65FD4">
            <w:pPr>
              <w:jc w:val="center"/>
              <w:rPr>
                <w:sz w:val="16"/>
                <w:szCs w:val="16"/>
              </w:rPr>
            </w:pPr>
            <w:r w:rsidRPr="000A0C2A">
              <w:rPr>
                <w:sz w:val="16"/>
                <w:szCs w:val="16"/>
              </w:rPr>
              <w:t>7</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4</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r w:rsidR="00E04D72" w:rsidRPr="00894B15" w:rsidTr="00B65FD4">
        <w:trPr>
          <w:trHeight w:val="270"/>
        </w:trPr>
        <w:tc>
          <w:tcPr>
            <w:tcW w:w="1985" w:type="dxa"/>
            <w:vMerge/>
            <w:hideMark/>
          </w:tcPr>
          <w:p w:rsidR="00E04D72" w:rsidRPr="00894B15" w:rsidRDefault="00E04D72" w:rsidP="00B65FD4">
            <w:pPr>
              <w:rPr>
                <w:b/>
                <w:bCs/>
              </w:rPr>
            </w:pPr>
          </w:p>
        </w:tc>
        <w:tc>
          <w:tcPr>
            <w:tcW w:w="1134" w:type="dxa"/>
            <w:vMerge/>
            <w:hideMark/>
          </w:tcPr>
          <w:p w:rsidR="00E04D72" w:rsidRPr="000A0C2A" w:rsidRDefault="00E04D72" w:rsidP="00B65FD4">
            <w:pPr>
              <w:rPr>
                <w:bCs/>
                <w:sz w:val="16"/>
                <w:szCs w:val="16"/>
              </w:rPr>
            </w:pPr>
          </w:p>
        </w:tc>
        <w:tc>
          <w:tcPr>
            <w:tcW w:w="851" w:type="dxa"/>
            <w:vMerge/>
            <w:hideMark/>
          </w:tcPr>
          <w:p w:rsidR="00E04D72" w:rsidRPr="000A0C2A" w:rsidRDefault="00E04D72" w:rsidP="00B65FD4">
            <w:pPr>
              <w:rPr>
                <w:bCs/>
                <w:sz w:val="16"/>
                <w:szCs w:val="16"/>
              </w:rPr>
            </w:pPr>
          </w:p>
        </w:tc>
        <w:tc>
          <w:tcPr>
            <w:tcW w:w="709" w:type="dxa"/>
            <w:vMerge/>
            <w:hideMark/>
          </w:tcPr>
          <w:p w:rsidR="00E04D72" w:rsidRPr="000A0C2A" w:rsidRDefault="00E04D72" w:rsidP="00B65FD4">
            <w:pPr>
              <w:rPr>
                <w:sz w:val="16"/>
                <w:szCs w:val="16"/>
              </w:rPr>
            </w:pPr>
          </w:p>
        </w:tc>
        <w:tc>
          <w:tcPr>
            <w:tcW w:w="850" w:type="dxa"/>
            <w:noWrap/>
            <w:hideMark/>
          </w:tcPr>
          <w:p w:rsidR="00E04D72" w:rsidRPr="000A0C2A" w:rsidRDefault="00E04D72" w:rsidP="00B65FD4">
            <w:pPr>
              <w:jc w:val="center"/>
              <w:rPr>
                <w:sz w:val="16"/>
                <w:szCs w:val="16"/>
              </w:rPr>
            </w:pPr>
            <w:r w:rsidRPr="000A0C2A">
              <w:rPr>
                <w:sz w:val="16"/>
                <w:szCs w:val="16"/>
              </w:rPr>
              <w:t>0,03%</w:t>
            </w:r>
          </w:p>
        </w:tc>
        <w:tc>
          <w:tcPr>
            <w:tcW w:w="992" w:type="dxa"/>
            <w:noWrap/>
            <w:hideMark/>
          </w:tcPr>
          <w:p w:rsidR="00E04D72" w:rsidRPr="000A0C2A" w:rsidRDefault="00E04D72" w:rsidP="00B65FD4">
            <w:pPr>
              <w:jc w:val="center"/>
              <w:rPr>
                <w:sz w:val="16"/>
                <w:szCs w:val="16"/>
              </w:rPr>
            </w:pPr>
            <w:r w:rsidRPr="000A0C2A">
              <w:rPr>
                <w:sz w:val="16"/>
                <w:szCs w:val="16"/>
              </w:rPr>
              <w:t>0,00%</w:t>
            </w:r>
          </w:p>
        </w:tc>
        <w:tc>
          <w:tcPr>
            <w:tcW w:w="993" w:type="dxa"/>
            <w:noWrap/>
            <w:hideMark/>
          </w:tcPr>
          <w:p w:rsidR="00E04D72" w:rsidRPr="000A0C2A" w:rsidRDefault="00E04D72" w:rsidP="00B65FD4">
            <w:pPr>
              <w:jc w:val="center"/>
              <w:rPr>
                <w:sz w:val="16"/>
                <w:szCs w:val="16"/>
              </w:rPr>
            </w:pPr>
            <w:r w:rsidRPr="000A0C2A">
              <w:rPr>
                <w:sz w:val="16"/>
                <w:szCs w:val="16"/>
              </w:rPr>
              <w:t>0,06%</w:t>
            </w:r>
          </w:p>
        </w:tc>
        <w:tc>
          <w:tcPr>
            <w:tcW w:w="1134" w:type="dxa"/>
            <w:noWrap/>
            <w:hideMark/>
          </w:tcPr>
          <w:p w:rsidR="00E04D72" w:rsidRPr="000A0C2A" w:rsidRDefault="00E04D72" w:rsidP="00B65FD4">
            <w:pPr>
              <w:jc w:val="center"/>
              <w:rPr>
                <w:sz w:val="16"/>
                <w:szCs w:val="16"/>
              </w:rPr>
            </w:pPr>
            <w:r w:rsidRPr="000A0C2A">
              <w:rPr>
                <w:sz w:val="16"/>
                <w:szCs w:val="16"/>
              </w:rPr>
              <w:t>0,00%</w:t>
            </w:r>
          </w:p>
        </w:tc>
        <w:tc>
          <w:tcPr>
            <w:tcW w:w="850" w:type="dxa"/>
            <w:noWrap/>
            <w:hideMark/>
          </w:tcPr>
          <w:p w:rsidR="00E04D72" w:rsidRPr="000A0C2A" w:rsidRDefault="00E04D72" w:rsidP="00B65FD4">
            <w:pPr>
              <w:jc w:val="center"/>
              <w:rPr>
                <w:sz w:val="16"/>
                <w:szCs w:val="16"/>
              </w:rPr>
            </w:pPr>
            <w:r w:rsidRPr="000A0C2A">
              <w:rPr>
                <w:sz w:val="16"/>
                <w:szCs w:val="16"/>
              </w:rPr>
              <w:t>0,00%</w:t>
            </w:r>
          </w:p>
        </w:tc>
        <w:tc>
          <w:tcPr>
            <w:tcW w:w="851" w:type="dxa"/>
            <w:noWrap/>
            <w:hideMark/>
          </w:tcPr>
          <w:p w:rsidR="00E04D72" w:rsidRPr="000A0C2A" w:rsidRDefault="00E04D72" w:rsidP="00B65FD4">
            <w:pPr>
              <w:jc w:val="center"/>
              <w:rPr>
                <w:sz w:val="16"/>
                <w:szCs w:val="16"/>
              </w:rPr>
            </w:pPr>
            <w:r w:rsidRPr="000A0C2A">
              <w:rPr>
                <w:sz w:val="16"/>
                <w:szCs w:val="16"/>
              </w:rPr>
              <w:t>0,03%</w:t>
            </w:r>
          </w:p>
        </w:tc>
        <w:tc>
          <w:tcPr>
            <w:tcW w:w="850" w:type="dxa"/>
            <w:noWrap/>
            <w:hideMark/>
          </w:tcPr>
          <w:p w:rsidR="00E04D72" w:rsidRPr="000A0C2A" w:rsidRDefault="00E04D72" w:rsidP="00B65FD4">
            <w:pPr>
              <w:jc w:val="center"/>
              <w:rPr>
                <w:sz w:val="16"/>
                <w:szCs w:val="16"/>
              </w:rPr>
            </w:pPr>
            <w:r w:rsidRPr="000A0C2A">
              <w:rPr>
                <w:sz w:val="16"/>
                <w:szCs w:val="16"/>
              </w:rPr>
              <w:t>0</w:t>
            </w:r>
          </w:p>
        </w:tc>
        <w:tc>
          <w:tcPr>
            <w:tcW w:w="851" w:type="dxa"/>
            <w:noWrap/>
            <w:hideMark/>
          </w:tcPr>
          <w:p w:rsidR="00E04D72" w:rsidRPr="000A0C2A" w:rsidRDefault="00E04D72" w:rsidP="00B65FD4">
            <w:pPr>
              <w:jc w:val="center"/>
              <w:rPr>
                <w:sz w:val="16"/>
                <w:szCs w:val="16"/>
              </w:rPr>
            </w:pPr>
            <w:r w:rsidRPr="000A0C2A">
              <w:rPr>
                <w:sz w:val="16"/>
                <w:szCs w:val="16"/>
              </w:rPr>
              <w:t>0</w:t>
            </w:r>
          </w:p>
        </w:tc>
        <w:tc>
          <w:tcPr>
            <w:tcW w:w="1134"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992" w:type="dxa"/>
            <w:noWrap/>
            <w:hideMark/>
          </w:tcPr>
          <w:p w:rsidR="00E04D72" w:rsidRPr="000A0C2A" w:rsidRDefault="00E04D72" w:rsidP="00B65FD4">
            <w:pPr>
              <w:jc w:val="center"/>
              <w:rPr>
                <w:sz w:val="16"/>
                <w:szCs w:val="16"/>
              </w:rPr>
            </w:pPr>
            <w:r w:rsidRPr="000A0C2A">
              <w:rPr>
                <w:sz w:val="16"/>
                <w:szCs w:val="16"/>
              </w:rPr>
              <w:t>0</w:t>
            </w:r>
          </w:p>
        </w:tc>
        <w:tc>
          <w:tcPr>
            <w:tcW w:w="709" w:type="dxa"/>
            <w:noWrap/>
            <w:hideMark/>
          </w:tcPr>
          <w:p w:rsidR="00E04D72" w:rsidRPr="000A0C2A" w:rsidRDefault="00E04D72" w:rsidP="00B65FD4">
            <w:pPr>
              <w:jc w:val="center"/>
              <w:rPr>
                <w:sz w:val="16"/>
                <w:szCs w:val="16"/>
              </w:rPr>
            </w:pPr>
            <w:r w:rsidRPr="000A0C2A">
              <w:rPr>
                <w:sz w:val="16"/>
                <w:szCs w:val="16"/>
              </w:rPr>
              <w:t>0</w:t>
            </w:r>
          </w:p>
        </w:tc>
      </w:tr>
    </w:tbl>
    <w:p w:rsidR="00E04D72" w:rsidRDefault="00E04D72" w:rsidP="00E04D72">
      <w:pPr>
        <w:rPr>
          <w:szCs w:val="20"/>
        </w:rPr>
      </w:pPr>
    </w:p>
    <w:p w:rsidR="00E04D72" w:rsidRDefault="00E04D72" w:rsidP="00E04D72">
      <w:pPr>
        <w:rPr>
          <w:szCs w:val="20"/>
        </w:rPr>
      </w:pPr>
    </w:p>
    <w:p w:rsidR="00E04D72" w:rsidRDefault="00E04D72" w:rsidP="00E04D72">
      <w:pPr>
        <w:rPr>
          <w:szCs w:val="20"/>
        </w:rPr>
      </w:pPr>
    </w:p>
    <w:p w:rsidR="00E04D72" w:rsidRDefault="00E04D72" w:rsidP="00E04D72">
      <w:pPr>
        <w:rPr>
          <w:szCs w:val="20"/>
        </w:rPr>
      </w:pPr>
    </w:p>
    <w:p w:rsidR="00E04D72" w:rsidRDefault="00E04D72" w:rsidP="00E04D72">
      <w:pPr>
        <w:rPr>
          <w:szCs w:val="20"/>
        </w:rPr>
      </w:pPr>
    </w:p>
    <w:p w:rsidR="00E04D72" w:rsidRDefault="00E04D72" w:rsidP="008C054F">
      <w:pPr>
        <w:pStyle w:val="Nagwek3"/>
        <w:jc w:val="center"/>
      </w:pPr>
      <w:r w:rsidRPr="00C703B4">
        <w:t>DECYZJE ADMINISTRACYJNE WYDANE PRZEZ DEPARTAMENT NIERUCHOMOŚCI I EKSPLOATACJI</w:t>
      </w:r>
    </w:p>
    <w:tbl>
      <w:tblPr>
        <w:tblW w:w="15304"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46"/>
        <w:gridCol w:w="942"/>
        <w:gridCol w:w="731"/>
        <w:gridCol w:w="810"/>
        <w:gridCol w:w="960"/>
        <w:gridCol w:w="954"/>
        <w:gridCol w:w="965"/>
        <w:gridCol w:w="977"/>
        <w:gridCol w:w="936"/>
        <w:gridCol w:w="940"/>
        <w:gridCol w:w="954"/>
        <w:gridCol w:w="916"/>
        <w:gridCol w:w="965"/>
        <w:gridCol w:w="977"/>
        <w:gridCol w:w="894"/>
        <w:gridCol w:w="937"/>
      </w:tblGrid>
      <w:tr w:rsidR="00E04D72" w:rsidRPr="00C703B4" w:rsidTr="00B65FD4">
        <w:trPr>
          <w:trHeight w:val="1050"/>
        </w:trPr>
        <w:tc>
          <w:tcPr>
            <w:tcW w:w="1446" w:type="dxa"/>
            <w:vMerge w:val="restart"/>
            <w:shd w:val="clear" w:color="auto" w:fill="auto"/>
            <w:vAlign w:val="center"/>
            <w:hideMark/>
          </w:tcPr>
          <w:p w:rsidR="00E04D72" w:rsidRPr="00C703B4" w:rsidRDefault="00E04D72" w:rsidP="00B65FD4">
            <w:pPr>
              <w:jc w:val="center"/>
              <w:rPr>
                <w:sz w:val="16"/>
                <w:szCs w:val="16"/>
                <w:lang w:eastAsia="pl-PL"/>
              </w:rPr>
            </w:pPr>
            <w:r w:rsidRPr="00C703B4">
              <w:rPr>
                <w:sz w:val="16"/>
                <w:szCs w:val="16"/>
                <w:lang w:eastAsia="pl-PL"/>
              </w:rPr>
              <w:t>Nazwa komórki organizacyjnej Urzędu/miejskie jednostki organizacyjnej Gminy</w:t>
            </w:r>
          </w:p>
        </w:tc>
        <w:tc>
          <w:tcPr>
            <w:tcW w:w="942" w:type="dxa"/>
            <w:vMerge w:val="restart"/>
            <w:shd w:val="clear" w:color="auto" w:fill="auto"/>
            <w:vAlign w:val="center"/>
            <w:hideMark/>
          </w:tcPr>
          <w:p w:rsidR="00E04D72" w:rsidRPr="00C703B4" w:rsidRDefault="00E04D72" w:rsidP="00B65FD4">
            <w:pPr>
              <w:jc w:val="center"/>
              <w:rPr>
                <w:sz w:val="16"/>
                <w:szCs w:val="16"/>
                <w:lang w:eastAsia="pl-PL"/>
              </w:rPr>
            </w:pPr>
            <w:r w:rsidRPr="00C703B4">
              <w:rPr>
                <w:sz w:val="16"/>
                <w:szCs w:val="16"/>
                <w:lang w:eastAsia="pl-PL"/>
              </w:rPr>
              <w:t>Ilość wydanych decyzji ogółem</w:t>
            </w:r>
          </w:p>
        </w:tc>
        <w:tc>
          <w:tcPr>
            <w:tcW w:w="1541" w:type="dxa"/>
            <w:gridSpan w:val="2"/>
            <w:shd w:val="clear" w:color="auto" w:fill="auto"/>
            <w:vAlign w:val="center"/>
            <w:hideMark/>
          </w:tcPr>
          <w:p w:rsidR="00E04D72" w:rsidRPr="00C703B4" w:rsidRDefault="00E04D72" w:rsidP="00B65FD4">
            <w:pPr>
              <w:jc w:val="center"/>
              <w:rPr>
                <w:sz w:val="16"/>
                <w:szCs w:val="16"/>
                <w:lang w:eastAsia="pl-PL"/>
              </w:rPr>
            </w:pPr>
            <w:r w:rsidRPr="00C703B4">
              <w:rPr>
                <w:sz w:val="16"/>
                <w:szCs w:val="16"/>
                <w:lang w:eastAsia="pl-PL"/>
              </w:rPr>
              <w:t>Ilość decyzji zaskarżonych</w:t>
            </w:r>
          </w:p>
        </w:tc>
        <w:tc>
          <w:tcPr>
            <w:tcW w:w="5732" w:type="dxa"/>
            <w:gridSpan w:val="6"/>
            <w:shd w:val="clear" w:color="auto" w:fill="auto"/>
            <w:vAlign w:val="center"/>
            <w:hideMark/>
          </w:tcPr>
          <w:p w:rsidR="00E04D72" w:rsidRPr="00C703B4" w:rsidRDefault="00E04D72" w:rsidP="00B65FD4">
            <w:pPr>
              <w:jc w:val="center"/>
              <w:rPr>
                <w:sz w:val="16"/>
                <w:szCs w:val="16"/>
                <w:lang w:eastAsia="pl-PL"/>
              </w:rPr>
            </w:pPr>
            <w:r w:rsidRPr="00C703B4">
              <w:rPr>
                <w:sz w:val="16"/>
                <w:szCs w:val="16"/>
                <w:lang w:eastAsia="pl-PL"/>
              </w:rPr>
              <w:t>1) Ilość decyzji zaskarżonych do Samorządowego Kolegium Odwoławczego</w:t>
            </w:r>
          </w:p>
        </w:tc>
        <w:tc>
          <w:tcPr>
            <w:tcW w:w="5643" w:type="dxa"/>
            <w:gridSpan w:val="6"/>
            <w:shd w:val="clear" w:color="auto" w:fill="auto"/>
            <w:vAlign w:val="center"/>
            <w:hideMark/>
          </w:tcPr>
          <w:p w:rsidR="00E04D72" w:rsidRPr="00C703B4" w:rsidRDefault="00E04D72" w:rsidP="00B65FD4">
            <w:pPr>
              <w:jc w:val="center"/>
              <w:rPr>
                <w:sz w:val="16"/>
                <w:szCs w:val="16"/>
                <w:lang w:eastAsia="pl-PL"/>
              </w:rPr>
            </w:pPr>
            <w:r w:rsidRPr="00C703B4">
              <w:rPr>
                <w:sz w:val="16"/>
                <w:szCs w:val="16"/>
                <w:lang w:eastAsia="pl-PL"/>
              </w:rPr>
              <w:t>1) Ilość decyzji zaskarżonych do Wojewody</w:t>
            </w:r>
          </w:p>
        </w:tc>
      </w:tr>
      <w:tr w:rsidR="00E04D72" w:rsidRPr="00C703B4" w:rsidTr="00B65FD4">
        <w:trPr>
          <w:trHeight w:val="255"/>
        </w:trPr>
        <w:tc>
          <w:tcPr>
            <w:tcW w:w="1446" w:type="dxa"/>
            <w:vMerge/>
            <w:vAlign w:val="center"/>
            <w:hideMark/>
          </w:tcPr>
          <w:p w:rsidR="00E04D72" w:rsidRPr="00C703B4" w:rsidRDefault="00E04D72" w:rsidP="00B65FD4">
            <w:pPr>
              <w:rPr>
                <w:sz w:val="16"/>
                <w:szCs w:val="16"/>
                <w:lang w:eastAsia="pl-PL"/>
              </w:rPr>
            </w:pPr>
          </w:p>
        </w:tc>
        <w:tc>
          <w:tcPr>
            <w:tcW w:w="942" w:type="dxa"/>
            <w:vMerge/>
            <w:vAlign w:val="center"/>
            <w:hideMark/>
          </w:tcPr>
          <w:p w:rsidR="00E04D72" w:rsidRPr="00C703B4" w:rsidRDefault="00E04D72" w:rsidP="00B65FD4">
            <w:pPr>
              <w:rPr>
                <w:sz w:val="16"/>
                <w:szCs w:val="16"/>
                <w:lang w:eastAsia="pl-PL"/>
              </w:rPr>
            </w:pPr>
          </w:p>
        </w:tc>
        <w:tc>
          <w:tcPr>
            <w:tcW w:w="731" w:type="dxa"/>
            <w:vMerge w:val="restart"/>
            <w:shd w:val="clear" w:color="auto" w:fill="auto"/>
            <w:vAlign w:val="center"/>
            <w:hideMark/>
          </w:tcPr>
          <w:p w:rsidR="00E04D72" w:rsidRPr="00C703B4" w:rsidRDefault="00E04D72" w:rsidP="00B65FD4">
            <w:pPr>
              <w:jc w:val="center"/>
              <w:rPr>
                <w:sz w:val="16"/>
                <w:szCs w:val="16"/>
                <w:lang w:eastAsia="pl-PL"/>
              </w:rPr>
            </w:pPr>
            <w:r w:rsidRPr="00C703B4">
              <w:rPr>
                <w:sz w:val="16"/>
                <w:szCs w:val="16"/>
                <w:lang w:eastAsia="pl-PL"/>
              </w:rPr>
              <w:t>ogółem</w:t>
            </w:r>
          </w:p>
        </w:tc>
        <w:tc>
          <w:tcPr>
            <w:tcW w:w="810" w:type="dxa"/>
            <w:vMerge w:val="restart"/>
            <w:shd w:val="clear" w:color="auto" w:fill="auto"/>
            <w:vAlign w:val="center"/>
            <w:hideMark/>
          </w:tcPr>
          <w:p w:rsidR="00E04D72" w:rsidRPr="00C703B4" w:rsidRDefault="00E04D72" w:rsidP="00B65FD4">
            <w:pPr>
              <w:jc w:val="center"/>
              <w:rPr>
                <w:sz w:val="16"/>
                <w:szCs w:val="16"/>
                <w:lang w:eastAsia="pl-PL"/>
              </w:rPr>
            </w:pPr>
            <w:r w:rsidRPr="00C703B4">
              <w:rPr>
                <w:sz w:val="16"/>
                <w:szCs w:val="16"/>
                <w:lang w:eastAsia="pl-PL"/>
              </w:rPr>
              <w:t>udział%</w:t>
            </w:r>
          </w:p>
        </w:tc>
        <w:tc>
          <w:tcPr>
            <w:tcW w:w="5732" w:type="dxa"/>
            <w:gridSpan w:val="6"/>
            <w:shd w:val="clear" w:color="auto" w:fill="auto"/>
            <w:noWrap/>
            <w:vAlign w:val="bottom"/>
            <w:hideMark/>
          </w:tcPr>
          <w:p w:rsidR="00E04D72" w:rsidRPr="00C703B4" w:rsidRDefault="00E04D72" w:rsidP="00B65FD4">
            <w:pPr>
              <w:jc w:val="center"/>
              <w:rPr>
                <w:sz w:val="16"/>
                <w:szCs w:val="16"/>
                <w:lang w:eastAsia="pl-PL"/>
              </w:rPr>
            </w:pPr>
            <w:r w:rsidRPr="00C703B4">
              <w:rPr>
                <w:sz w:val="16"/>
                <w:szCs w:val="16"/>
                <w:lang w:eastAsia="pl-PL"/>
              </w:rPr>
              <w:t>2) Udział procentowy</w:t>
            </w:r>
          </w:p>
        </w:tc>
        <w:tc>
          <w:tcPr>
            <w:tcW w:w="5643" w:type="dxa"/>
            <w:gridSpan w:val="6"/>
            <w:shd w:val="clear" w:color="auto" w:fill="auto"/>
            <w:noWrap/>
            <w:vAlign w:val="bottom"/>
            <w:hideMark/>
          </w:tcPr>
          <w:p w:rsidR="00E04D72" w:rsidRPr="00C703B4" w:rsidRDefault="00E04D72" w:rsidP="00B65FD4">
            <w:pPr>
              <w:jc w:val="center"/>
              <w:rPr>
                <w:sz w:val="16"/>
                <w:szCs w:val="16"/>
                <w:lang w:eastAsia="pl-PL"/>
              </w:rPr>
            </w:pPr>
            <w:r w:rsidRPr="00C703B4">
              <w:rPr>
                <w:sz w:val="16"/>
                <w:szCs w:val="16"/>
                <w:lang w:eastAsia="pl-PL"/>
              </w:rPr>
              <w:t>2) Udział procentowy</w:t>
            </w:r>
          </w:p>
        </w:tc>
      </w:tr>
      <w:tr w:rsidR="00E04D72" w:rsidRPr="00C703B4" w:rsidTr="00B65FD4">
        <w:trPr>
          <w:trHeight w:val="825"/>
        </w:trPr>
        <w:tc>
          <w:tcPr>
            <w:tcW w:w="1446" w:type="dxa"/>
            <w:vMerge/>
            <w:vAlign w:val="center"/>
            <w:hideMark/>
          </w:tcPr>
          <w:p w:rsidR="00E04D72" w:rsidRPr="00C703B4" w:rsidRDefault="00E04D72" w:rsidP="00B65FD4">
            <w:pPr>
              <w:rPr>
                <w:sz w:val="16"/>
                <w:szCs w:val="16"/>
                <w:lang w:eastAsia="pl-PL"/>
              </w:rPr>
            </w:pPr>
          </w:p>
        </w:tc>
        <w:tc>
          <w:tcPr>
            <w:tcW w:w="942" w:type="dxa"/>
            <w:vMerge/>
            <w:vAlign w:val="center"/>
            <w:hideMark/>
          </w:tcPr>
          <w:p w:rsidR="00E04D72" w:rsidRPr="00C703B4" w:rsidRDefault="00E04D72" w:rsidP="00B65FD4">
            <w:pPr>
              <w:rPr>
                <w:sz w:val="16"/>
                <w:szCs w:val="16"/>
                <w:lang w:eastAsia="pl-PL"/>
              </w:rPr>
            </w:pPr>
          </w:p>
        </w:tc>
        <w:tc>
          <w:tcPr>
            <w:tcW w:w="731" w:type="dxa"/>
            <w:vMerge/>
            <w:vAlign w:val="center"/>
            <w:hideMark/>
          </w:tcPr>
          <w:p w:rsidR="00E04D72" w:rsidRPr="00C703B4" w:rsidRDefault="00E04D72" w:rsidP="00B65FD4">
            <w:pPr>
              <w:rPr>
                <w:sz w:val="16"/>
                <w:szCs w:val="16"/>
                <w:lang w:eastAsia="pl-PL"/>
              </w:rPr>
            </w:pPr>
          </w:p>
        </w:tc>
        <w:tc>
          <w:tcPr>
            <w:tcW w:w="810" w:type="dxa"/>
            <w:vMerge/>
            <w:vAlign w:val="center"/>
            <w:hideMark/>
          </w:tcPr>
          <w:p w:rsidR="00E04D72" w:rsidRPr="00C703B4" w:rsidRDefault="00E04D72" w:rsidP="00B65FD4">
            <w:pPr>
              <w:rPr>
                <w:sz w:val="16"/>
                <w:szCs w:val="16"/>
                <w:lang w:eastAsia="pl-PL"/>
              </w:rPr>
            </w:pPr>
          </w:p>
        </w:tc>
        <w:tc>
          <w:tcPr>
            <w:tcW w:w="960" w:type="dxa"/>
            <w:shd w:val="clear" w:color="auto" w:fill="auto"/>
            <w:vAlign w:val="center"/>
            <w:hideMark/>
          </w:tcPr>
          <w:p w:rsidR="00E04D72" w:rsidRPr="00C703B4" w:rsidRDefault="00E04D72" w:rsidP="00B65FD4">
            <w:pPr>
              <w:jc w:val="center"/>
              <w:rPr>
                <w:sz w:val="12"/>
                <w:szCs w:val="12"/>
                <w:lang w:eastAsia="pl-PL"/>
              </w:rPr>
            </w:pPr>
            <w:r w:rsidRPr="00C703B4">
              <w:rPr>
                <w:sz w:val="12"/>
                <w:szCs w:val="12"/>
                <w:lang w:eastAsia="pl-PL"/>
              </w:rPr>
              <w:t>utrzymanych w mocy</w:t>
            </w:r>
          </w:p>
        </w:tc>
        <w:tc>
          <w:tcPr>
            <w:tcW w:w="954" w:type="dxa"/>
            <w:shd w:val="clear" w:color="auto" w:fill="auto"/>
            <w:vAlign w:val="center"/>
            <w:hideMark/>
          </w:tcPr>
          <w:p w:rsidR="00E04D72" w:rsidRPr="00C703B4" w:rsidRDefault="00E04D72" w:rsidP="00B65FD4">
            <w:pPr>
              <w:jc w:val="center"/>
              <w:rPr>
                <w:sz w:val="12"/>
                <w:szCs w:val="12"/>
                <w:lang w:eastAsia="pl-PL"/>
              </w:rPr>
            </w:pPr>
            <w:r w:rsidRPr="00C703B4">
              <w:rPr>
                <w:sz w:val="12"/>
                <w:szCs w:val="12"/>
                <w:lang w:eastAsia="pl-PL"/>
              </w:rPr>
              <w:t>uchylonych i zmienionych</w:t>
            </w:r>
          </w:p>
        </w:tc>
        <w:tc>
          <w:tcPr>
            <w:tcW w:w="965" w:type="dxa"/>
            <w:shd w:val="clear" w:color="auto" w:fill="auto"/>
            <w:vAlign w:val="center"/>
            <w:hideMark/>
          </w:tcPr>
          <w:p w:rsidR="00E04D72" w:rsidRPr="00C703B4" w:rsidRDefault="00E04D72" w:rsidP="00B65FD4">
            <w:pPr>
              <w:jc w:val="center"/>
              <w:rPr>
                <w:sz w:val="12"/>
                <w:szCs w:val="12"/>
                <w:lang w:eastAsia="pl-PL"/>
              </w:rPr>
            </w:pPr>
            <w:r w:rsidRPr="00C703B4">
              <w:rPr>
                <w:sz w:val="12"/>
                <w:szCs w:val="12"/>
                <w:lang w:eastAsia="pl-PL"/>
              </w:rPr>
              <w:t>uchylonych i przekazanych do ponownego rozpoznania</w:t>
            </w:r>
          </w:p>
        </w:tc>
        <w:tc>
          <w:tcPr>
            <w:tcW w:w="977" w:type="dxa"/>
            <w:shd w:val="clear" w:color="auto" w:fill="auto"/>
            <w:vAlign w:val="center"/>
            <w:hideMark/>
          </w:tcPr>
          <w:p w:rsidR="00E04D72" w:rsidRPr="00C703B4" w:rsidRDefault="00E04D72" w:rsidP="00B65FD4">
            <w:pPr>
              <w:jc w:val="center"/>
              <w:rPr>
                <w:sz w:val="12"/>
                <w:szCs w:val="12"/>
                <w:lang w:eastAsia="pl-PL"/>
              </w:rPr>
            </w:pPr>
            <w:r w:rsidRPr="00C703B4">
              <w:rPr>
                <w:sz w:val="12"/>
                <w:szCs w:val="12"/>
                <w:lang w:eastAsia="pl-PL"/>
              </w:rPr>
              <w:t>uchylonych i umarzających postępowanie I instancji lub odwoławcze</w:t>
            </w:r>
          </w:p>
        </w:tc>
        <w:tc>
          <w:tcPr>
            <w:tcW w:w="936" w:type="dxa"/>
            <w:shd w:val="clear" w:color="auto" w:fill="auto"/>
            <w:vAlign w:val="center"/>
            <w:hideMark/>
          </w:tcPr>
          <w:p w:rsidR="00E04D72" w:rsidRPr="00C703B4" w:rsidRDefault="00E04D72" w:rsidP="00B65FD4">
            <w:pPr>
              <w:jc w:val="center"/>
              <w:rPr>
                <w:sz w:val="12"/>
                <w:szCs w:val="12"/>
                <w:lang w:eastAsia="pl-PL"/>
              </w:rPr>
            </w:pPr>
            <w:r w:rsidRPr="00C703B4">
              <w:rPr>
                <w:sz w:val="12"/>
                <w:szCs w:val="12"/>
                <w:lang w:eastAsia="pl-PL"/>
              </w:rPr>
              <w:t>stwierdzenie nieważności</w:t>
            </w:r>
          </w:p>
        </w:tc>
        <w:tc>
          <w:tcPr>
            <w:tcW w:w="940" w:type="dxa"/>
            <w:shd w:val="clear" w:color="auto" w:fill="auto"/>
            <w:noWrap/>
            <w:vAlign w:val="center"/>
            <w:hideMark/>
          </w:tcPr>
          <w:p w:rsidR="00E04D72" w:rsidRPr="00C703B4" w:rsidRDefault="00E04D72" w:rsidP="00B65FD4">
            <w:pPr>
              <w:jc w:val="center"/>
              <w:rPr>
                <w:sz w:val="12"/>
                <w:szCs w:val="12"/>
                <w:lang w:eastAsia="pl-PL"/>
              </w:rPr>
            </w:pPr>
            <w:r w:rsidRPr="00C703B4">
              <w:rPr>
                <w:sz w:val="12"/>
                <w:szCs w:val="12"/>
                <w:lang w:eastAsia="pl-PL"/>
              </w:rPr>
              <w:t>inne</w:t>
            </w:r>
          </w:p>
        </w:tc>
        <w:tc>
          <w:tcPr>
            <w:tcW w:w="954" w:type="dxa"/>
            <w:shd w:val="clear" w:color="auto" w:fill="auto"/>
            <w:vAlign w:val="center"/>
            <w:hideMark/>
          </w:tcPr>
          <w:p w:rsidR="00E04D72" w:rsidRPr="00C703B4" w:rsidRDefault="00E04D72" w:rsidP="00B65FD4">
            <w:pPr>
              <w:jc w:val="center"/>
              <w:rPr>
                <w:sz w:val="12"/>
                <w:szCs w:val="12"/>
                <w:lang w:eastAsia="pl-PL"/>
              </w:rPr>
            </w:pPr>
            <w:r w:rsidRPr="00C703B4">
              <w:rPr>
                <w:sz w:val="12"/>
                <w:szCs w:val="12"/>
                <w:lang w:eastAsia="pl-PL"/>
              </w:rPr>
              <w:t>utrzymanych w mocy</w:t>
            </w:r>
          </w:p>
        </w:tc>
        <w:tc>
          <w:tcPr>
            <w:tcW w:w="916" w:type="dxa"/>
            <w:shd w:val="clear" w:color="auto" w:fill="auto"/>
            <w:vAlign w:val="center"/>
            <w:hideMark/>
          </w:tcPr>
          <w:p w:rsidR="00E04D72" w:rsidRPr="00C703B4" w:rsidRDefault="00E04D72" w:rsidP="00B65FD4">
            <w:pPr>
              <w:jc w:val="center"/>
              <w:rPr>
                <w:sz w:val="12"/>
                <w:szCs w:val="12"/>
                <w:lang w:eastAsia="pl-PL"/>
              </w:rPr>
            </w:pPr>
            <w:r w:rsidRPr="00C703B4">
              <w:rPr>
                <w:sz w:val="12"/>
                <w:szCs w:val="12"/>
                <w:lang w:eastAsia="pl-PL"/>
              </w:rPr>
              <w:t>uchylonych i zmienionych</w:t>
            </w:r>
          </w:p>
        </w:tc>
        <w:tc>
          <w:tcPr>
            <w:tcW w:w="965" w:type="dxa"/>
            <w:shd w:val="clear" w:color="auto" w:fill="auto"/>
            <w:vAlign w:val="center"/>
            <w:hideMark/>
          </w:tcPr>
          <w:p w:rsidR="00E04D72" w:rsidRPr="00C703B4" w:rsidRDefault="00E04D72" w:rsidP="00B65FD4">
            <w:pPr>
              <w:jc w:val="center"/>
              <w:rPr>
                <w:sz w:val="12"/>
                <w:szCs w:val="12"/>
                <w:lang w:eastAsia="pl-PL"/>
              </w:rPr>
            </w:pPr>
            <w:r w:rsidRPr="00C703B4">
              <w:rPr>
                <w:sz w:val="12"/>
                <w:szCs w:val="12"/>
                <w:lang w:eastAsia="pl-PL"/>
              </w:rPr>
              <w:t>uchylonych i przekazanych do ponownego rozpoznania</w:t>
            </w:r>
          </w:p>
        </w:tc>
        <w:tc>
          <w:tcPr>
            <w:tcW w:w="977" w:type="dxa"/>
            <w:shd w:val="clear" w:color="auto" w:fill="auto"/>
            <w:vAlign w:val="center"/>
            <w:hideMark/>
          </w:tcPr>
          <w:p w:rsidR="00E04D72" w:rsidRPr="00C703B4" w:rsidRDefault="00E04D72" w:rsidP="00B65FD4">
            <w:pPr>
              <w:jc w:val="center"/>
              <w:rPr>
                <w:sz w:val="12"/>
                <w:szCs w:val="12"/>
                <w:lang w:eastAsia="pl-PL"/>
              </w:rPr>
            </w:pPr>
            <w:r w:rsidRPr="00C703B4">
              <w:rPr>
                <w:sz w:val="12"/>
                <w:szCs w:val="12"/>
                <w:lang w:eastAsia="pl-PL"/>
              </w:rPr>
              <w:t>uchylonych i umarzających postępowanie I instancji lub odwoławcze</w:t>
            </w:r>
          </w:p>
        </w:tc>
        <w:tc>
          <w:tcPr>
            <w:tcW w:w="894" w:type="dxa"/>
            <w:shd w:val="clear" w:color="auto" w:fill="auto"/>
            <w:vAlign w:val="center"/>
            <w:hideMark/>
          </w:tcPr>
          <w:p w:rsidR="00E04D72" w:rsidRPr="00C703B4" w:rsidRDefault="00E04D72" w:rsidP="00B65FD4">
            <w:pPr>
              <w:jc w:val="center"/>
              <w:rPr>
                <w:sz w:val="12"/>
                <w:szCs w:val="12"/>
                <w:lang w:eastAsia="pl-PL"/>
              </w:rPr>
            </w:pPr>
            <w:r w:rsidRPr="00C703B4">
              <w:rPr>
                <w:sz w:val="12"/>
                <w:szCs w:val="12"/>
                <w:lang w:eastAsia="pl-PL"/>
              </w:rPr>
              <w:t>stwierdzenie nieważności</w:t>
            </w:r>
          </w:p>
        </w:tc>
        <w:tc>
          <w:tcPr>
            <w:tcW w:w="937" w:type="dxa"/>
            <w:shd w:val="clear" w:color="auto" w:fill="auto"/>
            <w:noWrap/>
            <w:vAlign w:val="center"/>
            <w:hideMark/>
          </w:tcPr>
          <w:p w:rsidR="00E04D72" w:rsidRPr="00C703B4" w:rsidRDefault="00E04D72" w:rsidP="00B65FD4">
            <w:pPr>
              <w:jc w:val="center"/>
              <w:rPr>
                <w:sz w:val="12"/>
                <w:szCs w:val="12"/>
                <w:lang w:eastAsia="pl-PL"/>
              </w:rPr>
            </w:pPr>
            <w:r w:rsidRPr="00C703B4">
              <w:rPr>
                <w:sz w:val="12"/>
                <w:szCs w:val="12"/>
                <w:lang w:eastAsia="pl-PL"/>
              </w:rPr>
              <w:t>inne</w:t>
            </w:r>
          </w:p>
        </w:tc>
      </w:tr>
      <w:tr w:rsidR="00E04D72" w:rsidRPr="00C703B4" w:rsidTr="00B65FD4">
        <w:trPr>
          <w:trHeight w:val="300"/>
        </w:trPr>
        <w:tc>
          <w:tcPr>
            <w:tcW w:w="1446" w:type="dxa"/>
            <w:vMerge w:val="restart"/>
            <w:shd w:val="clear" w:color="auto" w:fill="auto"/>
            <w:noWrap/>
            <w:vAlign w:val="bottom"/>
            <w:hideMark/>
          </w:tcPr>
          <w:p w:rsidR="00E04D72" w:rsidRPr="00C703B4" w:rsidRDefault="00E04D72" w:rsidP="00B65FD4">
            <w:pPr>
              <w:jc w:val="center"/>
              <w:rPr>
                <w:szCs w:val="20"/>
                <w:lang w:eastAsia="pl-PL"/>
              </w:rPr>
            </w:pPr>
            <w:r w:rsidRPr="00C703B4">
              <w:rPr>
                <w:szCs w:val="20"/>
                <w:lang w:eastAsia="pl-PL"/>
              </w:rPr>
              <w:t>WSP</w:t>
            </w:r>
          </w:p>
        </w:tc>
        <w:tc>
          <w:tcPr>
            <w:tcW w:w="942" w:type="dxa"/>
            <w:vMerge w:val="restart"/>
            <w:shd w:val="clear" w:color="auto" w:fill="auto"/>
            <w:noWrap/>
            <w:vAlign w:val="bottom"/>
            <w:hideMark/>
          </w:tcPr>
          <w:p w:rsidR="00E04D72" w:rsidRPr="00C703B4" w:rsidRDefault="00E04D72" w:rsidP="00B65FD4">
            <w:pPr>
              <w:jc w:val="center"/>
              <w:rPr>
                <w:szCs w:val="20"/>
                <w:lang w:eastAsia="pl-PL"/>
              </w:rPr>
            </w:pPr>
            <w:r w:rsidRPr="00C703B4">
              <w:rPr>
                <w:szCs w:val="20"/>
                <w:lang w:eastAsia="pl-PL"/>
              </w:rPr>
              <w:t>56</w:t>
            </w:r>
          </w:p>
        </w:tc>
        <w:tc>
          <w:tcPr>
            <w:tcW w:w="731" w:type="dxa"/>
            <w:vMerge w:val="restart"/>
            <w:shd w:val="clear" w:color="auto" w:fill="auto"/>
            <w:noWrap/>
            <w:vAlign w:val="bottom"/>
            <w:hideMark/>
          </w:tcPr>
          <w:p w:rsidR="00E04D72" w:rsidRPr="00C703B4" w:rsidRDefault="00E04D72" w:rsidP="00B65FD4">
            <w:pPr>
              <w:jc w:val="center"/>
              <w:rPr>
                <w:szCs w:val="20"/>
                <w:lang w:eastAsia="pl-PL"/>
              </w:rPr>
            </w:pPr>
            <w:r w:rsidRPr="00C703B4">
              <w:rPr>
                <w:szCs w:val="20"/>
                <w:lang w:eastAsia="pl-PL"/>
              </w:rPr>
              <w:t>3</w:t>
            </w:r>
          </w:p>
        </w:tc>
        <w:tc>
          <w:tcPr>
            <w:tcW w:w="810" w:type="dxa"/>
            <w:vMerge w:val="restart"/>
            <w:shd w:val="clear" w:color="auto" w:fill="auto"/>
            <w:noWrap/>
            <w:vAlign w:val="bottom"/>
            <w:hideMark/>
          </w:tcPr>
          <w:p w:rsidR="00E04D72" w:rsidRPr="00C703B4" w:rsidRDefault="00E04D72" w:rsidP="00B65FD4">
            <w:pPr>
              <w:jc w:val="center"/>
              <w:rPr>
                <w:szCs w:val="20"/>
                <w:lang w:eastAsia="pl-PL"/>
              </w:rPr>
            </w:pPr>
            <w:r w:rsidRPr="00C703B4">
              <w:rPr>
                <w:szCs w:val="20"/>
                <w:lang w:eastAsia="pl-PL"/>
              </w:rPr>
              <w:t>5,36%</w:t>
            </w:r>
          </w:p>
        </w:tc>
        <w:tc>
          <w:tcPr>
            <w:tcW w:w="96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3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4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1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89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3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3</w:t>
            </w:r>
          </w:p>
        </w:tc>
      </w:tr>
      <w:tr w:rsidR="00E04D72" w:rsidRPr="00C703B4" w:rsidTr="00B65FD4">
        <w:trPr>
          <w:trHeight w:val="300"/>
        </w:trPr>
        <w:tc>
          <w:tcPr>
            <w:tcW w:w="1446" w:type="dxa"/>
            <w:vMerge/>
            <w:vAlign w:val="center"/>
            <w:hideMark/>
          </w:tcPr>
          <w:p w:rsidR="00E04D72" w:rsidRPr="00C703B4" w:rsidRDefault="00E04D72" w:rsidP="00B65FD4">
            <w:pPr>
              <w:rPr>
                <w:szCs w:val="20"/>
                <w:lang w:eastAsia="pl-PL"/>
              </w:rPr>
            </w:pPr>
          </w:p>
        </w:tc>
        <w:tc>
          <w:tcPr>
            <w:tcW w:w="942" w:type="dxa"/>
            <w:vMerge/>
            <w:vAlign w:val="center"/>
            <w:hideMark/>
          </w:tcPr>
          <w:p w:rsidR="00E04D72" w:rsidRPr="00C703B4" w:rsidRDefault="00E04D72" w:rsidP="00B65FD4">
            <w:pPr>
              <w:rPr>
                <w:szCs w:val="20"/>
                <w:lang w:eastAsia="pl-PL"/>
              </w:rPr>
            </w:pPr>
          </w:p>
        </w:tc>
        <w:tc>
          <w:tcPr>
            <w:tcW w:w="731" w:type="dxa"/>
            <w:vMerge/>
            <w:vAlign w:val="center"/>
            <w:hideMark/>
          </w:tcPr>
          <w:p w:rsidR="00E04D72" w:rsidRPr="00C703B4" w:rsidRDefault="00E04D72" w:rsidP="00B65FD4">
            <w:pPr>
              <w:rPr>
                <w:szCs w:val="20"/>
                <w:lang w:eastAsia="pl-PL"/>
              </w:rPr>
            </w:pPr>
          </w:p>
        </w:tc>
        <w:tc>
          <w:tcPr>
            <w:tcW w:w="810" w:type="dxa"/>
            <w:vMerge/>
            <w:vAlign w:val="center"/>
            <w:hideMark/>
          </w:tcPr>
          <w:p w:rsidR="00E04D72" w:rsidRPr="00C703B4" w:rsidRDefault="00E04D72" w:rsidP="00B65FD4">
            <w:pPr>
              <w:rPr>
                <w:szCs w:val="20"/>
                <w:lang w:eastAsia="pl-PL"/>
              </w:rPr>
            </w:pPr>
          </w:p>
        </w:tc>
        <w:tc>
          <w:tcPr>
            <w:tcW w:w="96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3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4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1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89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3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100%</w:t>
            </w:r>
          </w:p>
        </w:tc>
      </w:tr>
      <w:tr w:rsidR="00E04D72" w:rsidRPr="00C703B4" w:rsidTr="00B65FD4">
        <w:trPr>
          <w:trHeight w:val="300"/>
        </w:trPr>
        <w:tc>
          <w:tcPr>
            <w:tcW w:w="1446" w:type="dxa"/>
            <w:vMerge w:val="restart"/>
            <w:shd w:val="clear" w:color="auto" w:fill="auto"/>
            <w:noWrap/>
            <w:vAlign w:val="bottom"/>
            <w:hideMark/>
          </w:tcPr>
          <w:p w:rsidR="00E04D72" w:rsidRPr="00C703B4" w:rsidRDefault="00E04D72" w:rsidP="00B65FD4">
            <w:pPr>
              <w:jc w:val="center"/>
              <w:rPr>
                <w:szCs w:val="20"/>
                <w:lang w:eastAsia="pl-PL"/>
              </w:rPr>
            </w:pPr>
            <w:r w:rsidRPr="00C703B4">
              <w:rPr>
                <w:szCs w:val="20"/>
                <w:lang w:eastAsia="pl-PL"/>
              </w:rPr>
              <w:t>WNK</w:t>
            </w:r>
          </w:p>
        </w:tc>
        <w:tc>
          <w:tcPr>
            <w:tcW w:w="942" w:type="dxa"/>
            <w:vMerge w:val="restart"/>
            <w:shd w:val="clear" w:color="auto" w:fill="auto"/>
            <w:noWrap/>
            <w:vAlign w:val="bottom"/>
            <w:hideMark/>
          </w:tcPr>
          <w:p w:rsidR="00E04D72" w:rsidRPr="00C703B4" w:rsidRDefault="00E04D72" w:rsidP="00B65FD4">
            <w:pPr>
              <w:jc w:val="center"/>
              <w:rPr>
                <w:szCs w:val="20"/>
                <w:lang w:eastAsia="pl-PL"/>
              </w:rPr>
            </w:pPr>
            <w:r w:rsidRPr="00C703B4">
              <w:rPr>
                <w:szCs w:val="20"/>
                <w:lang w:eastAsia="pl-PL"/>
              </w:rPr>
              <w:t>131</w:t>
            </w:r>
          </w:p>
        </w:tc>
        <w:tc>
          <w:tcPr>
            <w:tcW w:w="731" w:type="dxa"/>
            <w:vMerge w:val="restart"/>
            <w:shd w:val="clear" w:color="auto" w:fill="auto"/>
            <w:noWrap/>
            <w:vAlign w:val="bottom"/>
            <w:hideMark/>
          </w:tcPr>
          <w:p w:rsidR="00E04D72" w:rsidRPr="00C703B4" w:rsidRDefault="00E04D72" w:rsidP="00B65FD4">
            <w:pPr>
              <w:jc w:val="center"/>
              <w:rPr>
                <w:szCs w:val="20"/>
                <w:lang w:eastAsia="pl-PL"/>
              </w:rPr>
            </w:pPr>
            <w:r w:rsidRPr="00C703B4">
              <w:rPr>
                <w:szCs w:val="20"/>
                <w:lang w:eastAsia="pl-PL"/>
              </w:rPr>
              <w:t>7</w:t>
            </w:r>
          </w:p>
        </w:tc>
        <w:tc>
          <w:tcPr>
            <w:tcW w:w="810" w:type="dxa"/>
            <w:vMerge w:val="restart"/>
            <w:shd w:val="clear" w:color="auto" w:fill="auto"/>
            <w:noWrap/>
            <w:vAlign w:val="bottom"/>
            <w:hideMark/>
          </w:tcPr>
          <w:p w:rsidR="00E04D72" w:rsidRPr="00C703B4" w:rsidRDefault="00E04D72" w:rsidP="00B65FD4">
            <w:pPr>
              <w:jc w:val="center"/>
              <w:rPr>
                <w:szCs w:val="20"/>
                <w:lang w:eastAsia="pl-PL"/>
              </w:rPr>
            </w:pPr>
            <w:r w:rsidRPr="00C703B4">
              <w:rPr>
                <w:szCs w:val="20"/>
                <w:lang w:eastAsia="pl-PL"/>
              </w:rPr>
              <w:t>5,34%</w:t>
            </w:r>
          </w:p>
        </w:tc>
        <w:tc>
          <w:tcPr>
            <w:tcW w:w="96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1</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2</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3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4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4</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1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89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3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r>
      <w:tr w:rsidR="00E04D72" w:rsidRPr="00C703B4" w:rsidTr="00B65FD4">
        <w:trPr>
          <w:trHeight w:val="300"/>
        </w:trPr>
        <w:tc>
          <w:tcPr>
            <w:tcW w:w="1446" w:type="dxa"/>
            <w:vMerge/>
            <w:vAlign w:val="center"/>
            <w:hideMark/>
          </w:tcPr>
          <w:p w:rsidR="00E04D72" w:rsidRPr="00C703B4" w:rsidRDefault="00E04D72" w:rsidP="00B65FD4">
            <w:pPr>
              <w:rPr>
                <w:szCs w:val="20"/>
                <w:lang w:eastAsia="pl-PL"/>
              </w:rPr>
            </w:pPr>
          </w:p>
        </w:tc>
        <w:tc>
          <w:tcPr>
            <w:tcW w:w="942" w:type="dxa"/>
            <w:vMerge/>
            <w:vAlign w:val="center"/>
            <w:hideMark/>
          </w:tcPr>
          <w:p w:rsidR="00E04D72" w:rsidRPr="00C703B4" w:rsidRDefault="00E04D72" w:rsidP="00B65FD4">
            <w:pPr>
              <w:rPr>
                <w:szCs w:val="20"/>
                <w:lang w:eastAsia="pl-PL"/>
              </w:rPr>
            </w:pPr>
          </w:p>
        </w:tc>
        <w:tc>
          <w:tcPr>
            <w:tcW w:w="731" w:type="dxa"/>
            <w:vMerge/>
            <w:vAlign w:val="center"/>
            <w:hideMark/>
          </w:tcPr>
          <w:p w:rsidR="00E04D72" w:rsidRPr="00C703B4" w:rsidRDefault="00E04D72" w:rsidP="00B65FD4">
            <w:pPr>
              <w:rPr>
                <w:szCs w:val="20"/>
                <w:lang w:eastAsia="pl-PL"/>
              </w:rPr>
            </w:pPr>
          </w:p>
        </w:tc>
        <w:tc>
          <w:tcPr>
            <w:tcW w:w="810" w:type="dxa"/>
            <w:vMerge/>
            <w:vAlign w:val="center"/>
            <w:hideMark/>
          </w:tcPr>
          <w:p w:rsidR="00E04D72" w:rsidRPr="00C703B4" w:rsidRDefault="00E04D72" w:rsidP="00B65FD4">
            <w:pPr>
              <w:rPr>
                <w:szCs w:val="20"/>
                <w:lang w:eastAsia="pl-PL"/>
              </w:rPr>
            </w:pPr>
          </w:p>
        </w:tc>
        <w:tc>
          <w:tcPr>
            <w:tcW w:w="96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14,29%</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28,57%</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3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4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57,14%</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1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89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3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r>
      <w:tr w:rsidR="00E04D72" w:rsidRPr="00C703B4" w:rsidTr="00B65FD4">
        <w:trPr>
          <w:trHeight w:val="300"/>
        </w:trPr>
        <w:tc>
          <w:tcPr>
            <w:tcW w:w="1446" w:type="dxa"/>
            <w:vMerge w:val="restart"/>
            <w:shd w:val="clear" w:color="auto" w:fill="auto"/>
            <w:noWrap/>
            <w:vAlign w:val="bottom"/>
            <w:hideMark/>
          </w:tcPr>
          <w:p w:rsidR="00E04D72" w:rsidRPr="00C703B4" w:rsidRDefault="00E04D72" w:rsidP="00B65FD4">
            <w:pPr>
              <w:jc w:val="center"/>
              <w:rPr>
                <w:b/>
                <w:bCs/>
                <w:szCs w:val="20"/>
                <w:lang w:eastAsia="pl-PL"/>
              </w:rPr>
            </w:pPr>
            <w:r w:rsidRPr="00C703B4">
              <w:rPr>
                <w:b/>
                <w:bCs/>
                <w:szCs w:val="20"/>
                <w:lang w:eastAsia="pl-PL"/>
              </w:rPr>
              <w:t>RAZEM</w:t>
            </w:r>
          </w:p>
        </w:tc>
        <w:tc>
          <w:tcPr>
            <w:tcW w:w="942" w:type="dxa"/>
            <w:vMerge w:val="restart"/>
            <w:shd w:val="clear" w:color="auto" w:fill="auto"/>
            <w:noWrap/>
            <w:vAlign w:val="bottom"/>
            <w:hideMark/>
          </w:tcPr>
          <w:p w:rsidR="00E04D72" w:rsidRPr="00C703B4" w:rsidRDefault="00E04D72" w:rsidP="00B65FD4">
            <w:pPr>
              <w:jc w:val="center"/>
              <w:rPr>
                <w:szCs w:val="20"/>
                <w:lang w:eastAsia="pl-PL"/>
              </w:rPr>
            </w:pPr>
            <w:r w:rsidRPr="00C703B4">
              <w:rPr>
                <w:szCs w:val="20"/>
                <w:lang w:eastAsia="pl-PL"/>
              </w:rPr>
              <w:t>187</w:t>
            </w:r>
          </w:p>
        </w:tc>
        <w:tc>
          <w:tcPr>
            <w:tcW w:w="731" w:type="dxa"/>
            <w:vMerge w:val="restart"/>
            <w:shd w:val="clear" w:color="auto" w:fill="auto"/>
            <w:noWrap/>
            <w:vAlign w:val="bottom"/>
            <w:hideMark/>
          </w:tcPr>
          <w:p w:rsidR="00E04D72" w:rsidRPr="00C703B4" w:rsidRDefault="00E04D72" w:rsidP="00B65FD4">
            <w:pPr>
              <w:jc w:val="center"/>
              <w:rPr>
                <w:szCs w:val="20"/>
                <w:lang w:eastAsia="pl-PL"/>
              </w:rPr>
            </w:pPr>
            <w:r w:rsidRPr="00C703B4">
              <w:rPr>
                <w:szCs w:val="20"/>
                <w:lang w:eastAsia="pl-PL"/>
              </w:rPr>
              <w:t>10</w:t>
            </w:r>
          </w:p>
        </w:tc>
        <w:tc>
          <w:tcPr>
            <w:tcW w:w="810" w:type="dxa"/>
            <w:vMerge w:val="restart"/>
            <w:shd w:val="clear" w:color="auto" w:fill="auto"/>
            <w:noWrap/>
            <w:vAlign w:val="bottom"/>
            <w:hideMark/>
          </w:tcPr>
          <w:p w:rsidR="00E04D72" w:rsidRPr="00C703B4" w:rsidRDefault="00E04D72" w:rsidP="00B65FD4">
            <w:pPr>
              <w:jc w:val="center"/>
              <w:rPr>
                <w:szCs w:val="20"/>
                <w:lang w:eastAsia="pl-PL"/>
              </w:rPr>
            </w:pPr>
            <w:r w:rsidRPr="00C703B4">
              <w:rPr>
                <w:szCs w:val="20"/>
                <w:lang w:eastAsia="pl-PL"/>
              </w:rPr>
              <w:t>5,35%</w:t>
            </w:r>
          </w:p>
        </w:tc>
        <w:tc>
          <w:tcPr>
            <w:tcW w:w="96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1</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2</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3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4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4</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1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89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w:t>
            </w:r>
          </w:p>
        </w:tc>
        <w:tc>
          <w:tcPr>
            <w:tcW w:w="93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3</w:t>
            </w:r>
          </w:p>
        </w:tc>
      </w:tr>
      <w:tr w:rsidR="00E04D72" w:rsidRPr="00C703B4" w:rsidTr="00B65FD4">
        <w:trPr>
          <w:trHeight w:val="300"/>
        </w:trPr>
        <w:tc>
          <w:tcPr>
            <w:tcW w:w="1446" w:type="dxa"/>
            <w:vMerge/>
            <w:vAlign w:val="center"/>
            <w:hideMark/>
          </w:tcPr>
          <w:p w:rsidR="00E04D72" w:rsidRPr="00C703B4" w:rsidRDefault="00E04D72" w:rsidP="00B65FD4">
            <w:pPr>
              <w:rPr>
                <w:b/>
                <w:bCs/>
                <w:szCs w:val="20"/>
                <w:lang w:eastAsia="pl-PL"/>
              </w:rPr>
            </w:pPr>
          </w:p>
        </w:tc>
        <w:tc>
          <w:tcPr>
            <w:tcW w:w="942" w:type="dxa"/>
            <w:vMerge/>
            <w:vAlign w:val="center"/>
            <w:hideMark/>
          </w:tcPr>
          <w:p w:rsidR="00E04D72" w:rsidRPr="00C703B4" w:rsidRDefault="00E04D72" w:rsidP="00B65FD4">
            <w:pPr>
              <w:rPr>
                <w:szCs w:val="20"/>
                <w:lang w:eastAsia="pl-PL"/>
              </w:rPr>
            </w:pPr>
          </w:p>
        </w:tc>
        <w:tc>
          <w:tcPr>
            <w:tcW w:w="731" w:type="dxa"/>
            <w:vMerge/>
            <w:vAlign w:val="center"/>
            <w:hideMark/>
          </w:tcPr>
          <w:p w:rsidR="00E04D72" w:rsidRPr="00C703B4" w:rsidRDefault="00E04D72" w:rsidP="00B65FD4">
            <w:pPr>
              <w:rPr>
                <w:szCs w:val="20"/>
                <w:lang w:eastAsia="pl-PL"/>
              </w:rPr>
            </w:pPr>
          </w:p>
        </w:tc>
        <w:tc>
          <w:tcPr>
            <w:tcW w:w="810" w:type="dxa"/>
            <w:vMerge/>
            <w:vAlign w:val="center"/>
            <w:hideMark/>
          </w:tcPr>
          <w:p w:rsidR="00E04D72" w:rsidRPr="00C703B4" w:rsidRDefault="00E04D72" w:rsidP="00B65FD4">
            <w:pPr>
              <w:rPr>
                <w:szCs w:val="20"/>
                <w:lang w:eastAsia="pl-PL"/>
              </w:rPr>
            </w:pPr>
          </w:p>
        </w:tc>
        <w:tc>
          <w:tcPr>
            <w:tcW w:w="96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10,00%</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20,00%</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3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40"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40,00%</w:t>
            </w:r>
          </w:p>
        </w:tc>
        <w:tc>
          <w:tcPr>
            <w:tcW w:w="95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16"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65"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7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894"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0,00</w:t>
            </w:r>
          </w:p>
        </w:tc>
        <w:tc>
          <w:tcPr>
            <w:tcW w:w="937" w:type="dxa"/>
            <w:shd w:val="clear" w:color="auto" w:fill="auto"/>
            <w:noWrap/>
            <w:vAlign w:val="bottom"/>
            <w:hideMark/>
          </w:tcPr>
          <w:p w:rsidR="00E04D72" w:rsidRPr="00C703B4" w:rsidRDefault="00E04D72" w:rsidP="00B65FD4">
            <w:pPr>
              <w:jc w:val="right"/>
              <w:rPr>
                <w:szCs w:val="20"/>
                <w:lang w:eastAsia="pl-PL"/>
              </w:rPr>
            </w:pPr>
            <w:r w:rsidRPr="00C703B4">
              <w:rPr>
                <w:szCs w:val="20"/>
                <w:lang w:eastAsia="pl-PL"/>
              </w:rPr>
              <w:t>30,00%</w:t>
            </w:r>
          </w:p>
        </w:tc>
      </w:tr>
      <w:tr w:rsidR="00E04D72" w:rsidRPr="00C703B4" w:rsidTr="00B65FD4">
        <w:trPr>
          <w:trHeight w:val="300"/>
        </w:trPr>
        <w:tc>
          <w:tcPr>
            <w:tcW w:w="1446" w:type="dxa"/>
            <w:vMerge w:val="restart"/>
            <w:shd w:val="clear" w:color="auto" w:fill="auto"/>
            <w:noWrap/>
            <w:vAlign w:val="bottom"/>
            <w:hideMark/>
          </w:tcPr>
          <w:p w:rsidR="00E04D72" w:rsidRPr="00C703B4" w:rsidRDefault="00E04D72" w:rsidP="00B65FD4">
            <w:pPr>
              <w:jc w:val="center"/>
              <w:rPr>
                <w:szCs w:val="20"/>
                <w:lang w:eastAsia="pl-PL"/>
              </w:rPr>
            </w:pPr>
          </w:p>
        </w:tc>
        <w:tc>
          <w:tcPr>
            <w:tcW w:w="942" w:type="dxa"/>
            <w:vMerge w:val="restart"/>
            <w:shd w:val="clear" w:color="auto" w:fill="auto"/>
            <w:noWrap/>
            <w:vAlign w:val="bottom"/>
            <w:hideMark/>
          </w:tcPr>
          <w:p w:rsidR="00E04D72" w:rsidRPr="00C703B4" w:rsidRDefault="00E04D72" w:rsidP="00B65FD4">
            <w:pPr>
              <w:jc w:val="center"/>
              <w:rPr>
                <w:szCs w:val="20"/>
                <w:lang w:eastAsia="pl-PL"/>
              </w:rPr>
            </w:pPr>
          </w:p>
        </w:tc>
        <w:tc>
          <w:tcPr>
            <w:tcW w:w="731" w:type="dxa"/>
            <w:vMerge w:val="restart"/>
            <w:shd w:val="clear" w:color="auto" w:fill="auto"/>
            <w:noWrap/>
            <w:vAlign w:val="bottom"/>
            <w:hideMark/>
          </w:tcPr>
          <w:p w:rsidR="00E04D72" w:rsidRPr="00C703B4" w:rsidRDefault="00E04D72" w:rsidP="00B65FD4">
            <w:pPr>
              <w:jc w:val="center"/>
              <w:rPr>
                <w:szCs w:val="20"/>
                <w:lang w:eastAsia="pl-PL"/>
              </w:rPr>
            </w:pPr>
          </w:p>
        </w:tc>
        <w:tc>
          <w:tcPr>
            <w:tcW w:w="810" w:type="dxa"/>
            <w:vMerge w:val="restart"/>
            <w:shd w:val="clear" w:color="auto" w:fill="auto"/>
            <w:noWrap/>
            <w:vAlign w:val="bottom"/>
            <w:hideMark/>
          </w:tcPr>
          <w:p w:rsidR="00E04D72" w:rsidRPr="00C703B4" w:rsidRDefault="00E04D72" w:rsidP="00B65FD4">
            <w:pPr>
              <w:jc w:val="center"/>
              <w:rPr>
                <w:szCs w:val="20"/>
                <w:lang w:eastAsia="pl-PL"/>
              </w:rPr>
            </w:pPr>
          </w:p>
        </w:tc>
        <w:tc>
          <w:tcPr>
            <w:tcW w:w="960" w:type="dxa"/>
            <w:shd w:val="clear" w:color="auto" w:fill="auto"/>
            <w:noWrap/>
            <w:vAlign w:val="bottom"/>
            <w:hideMark/>
          </w:tcPr>
          <w:p w:rsidR="00E04D72" w:rsidRPr="00C703B4" w:rsidRDefault="00E04D72" w:rsidP="00B65FD4">
            <w:pPr>
              <w:rPr>
                <w:szCs w:val="20"/>
                <w:lang w:eastAsia="pl-PL"/>
              </w:rPr>
            </w:pPr>
          </w:p>
        </w:tc>
        <w:tc>
          <w:tcPr>
            <w:tcW w:w="954" w:type="dxa"/>
            <w:shd w:val="clear" w:color="auto" w:fill="auto"/>
            <w:noWrap/>
            <w:vAlign w:val="bottom"/>
            <w:hideMark/>
          </w:tcPr>
          <w:p w:rsidR="00E04D72" w:rsidRPr="00C703B4" w:rsidRDefault="00E04D72" w:rsidP="00B65FD4">
            <w:pPr>
              <w:rPr>
                <w:szCs w:val="20"/>
                <w:lang w:eastAsia="pl-PL"/>
              </w:rPr>
            </w:pPr>
          </w:p>
        </w:tc>
        <w:tc>
          <w:tcPr>
            <w:tcW w:w="965" w:type="dxa"/>
            <w:shd w:val="clear" w:color="auto" w:fill="auto"/>
            <w:noWrap/>
            <w:vAlign w:val="bottom"/>
            <w:hideMark/>
          </w:tcPr>
          <w:p w:rsidR="00E04D72" w:rsidRPr="00C703B4" w:rsidRDefault="00E04D72" w:rsidP="00B65FD4">
            <w:pPr>
              <w:rPr>
                <w:szCs w:val="20"/>
                <w:lang w:eastAsia="pl-PL"/>
              </w:rPr>
            </w:pPr>
          </w:p>
        </w:tc>
        <w:tc>
          <w:tcPr>
            <w:tcW w:w="977" w:type="dxa"/>
            <w:shd w:val="clear" w:color="auto" w:fill="auto"/>
            <w:noWrap/>
            <w:vAlign w:val="bottom"/>
            <w:hideMark/>
          </w:tcPr>
          <w:p w:rsidR="00E04D72" w:rsidRPr="00C703B4" w:rsidRDefault="00E04D72" w:rsidP="00B65FD4">
            <w:pPr>
              <w:rPr>
                <w:szCs w:val="20"/>
                <w:lang w:eastAsia="pl-PL"/>
              </w:rPr>
            </w:pPr>
          </w:p>
        </w:tc>
        <w:tc>
          <w:tcPr>
            <w:tcW w:w="936" w:type="dxa"/>
            <w:shd w:val="clear" w:color="auto" w:fill="auto"/>
            <w:noWrap/>
            <w:vAlign w:val="bottom"/>
            <w:hideMark/>
          </w:tcPr>
          <w:p w:rsidR="00E04D72" w:rsidRPr="00C703B4" w:rsidRDefault="00E04D72" w:rsidP="00B65FD4">
            <w:pPr>
              <w:rPr>
                <w:szCs w:val="20"/>
                <w:lang w:eastAsia="pl-PL"/>
              </w:rPr>
            </w:pPr>
          </w:p>
        </w:tc>
        <w:tc>
          <w:tcPr>
            <w:tcW w:w="940" w:type="dxa"/>
            <w:shd w:val="clear" w:color="auto" w:fill="auto"/>
            <w:noWrap/>
            <w:vAlign w:val="bottom"/>
            <w:hideMark/>
          </w:tcPr>
          <w:p w:rsidR="00E04D72" w:rsidRPr="00C703B4" w:rsidRDefault="00E04D72" w:rsidP="00B65FD4">
            <w:pPr>
              <w:rPr>
                <w:szCs w:val="20"/>
                <w:lang w:eastAsia="pl-PL"/>
              </w:rPr>
            </w:pPr>
          </w:p>
        </w:tc>
        <w:tc>
          <w:tcPr>
            <w:tcW w:w="954" w:type="dxa"/>
            <w:shd w:val="clear" w:color="auto" w:fill="auto"/>
            <w:noWrap/>
            <w:vAlign w:val="bottom"/>
            <w:hideMark/>
          </w:tcPr>
          <w:p w:rsidR="00E04D72" w:rsidRPr="00C703B4" w:rsidRDefault="00E04D72" w:rsidP="00B65FD4">
            <w:pPr>
              <w:rPr>
                <w:szCs w:val="20"/>
                <w:lang w:eastAsia="pl-PL"/>
              </w:rPr>
            </w:pPr>
          </w:p>
        </w:tc>
        <w:tc>
          <w:tcPr>
            <w:tcW w:w="916" w:type="dxa"/>
            <w:shd w:val="clear" w:color="auto" w:fill="auto"/>
            <w:noWrap/>
            <w:vAlign w:val="bottom"/>
            <w:hideMark/>
          </w:tcPr>
          <w:p w:rsidR="00E04D72" w:rsidRPr="00C703B4" w:rsidRDefault="00E04D72" w:rsidP="00B65FD4">
            <w:pPr>
              <w:rPr>
                <w:szCs w:val="20"/>
                <w:lang w:eastAsia="pl-PL"/>
              </w:rPr>
            </w:pPr>
          </w:p>
        </w:tc>
        <w:tc>
          <w:tcPr>
            <w:tcW w:w="965" w:type="dxa"/>
            <w:shd w:val="clear" w:color="auto" w:fill="auto"/>
            <w:noWrap/>
            <w:vAlign w:val="bottom"/>
            <w:hideMark/>
          </w:tcPr>
          <w:p w:rsidR="00E04D72" w:rsidRPr="00C703B4" w:rsidRDefault="00E04D72" w:rsidP="00B65FD4">
            <w:pPr>
              <w:rPr>
                <w:szCs w:val="20"/>
                <w:lang w:eastAsia="pl-PL"/>
              </w:rPr>
            </w:pPr>
          </w:p>
        </w:tc>
        <w:tc>
          <w:tcPr>
            <w:tcW w:w="977" w:type="dxa"/>
            <w:shd w:val="clear" w:color="auto" w:fill="auto"/>
            <w:noWrap/>
            <w:vAlign w:val="bottom"/>
            <w:hideMark/>
          </w:tcPr>
          <w:p w:rsidR="00E04D72" w:rsidRPr="00C703B4" w:rsidRDefault="00E04D72" w:rsidP="00B65FD4">
            <w:pPr>
              <w:rPr>
                <w:szCs w:val="20"/>
                <w:lang w:eastAsia="pl-PL"/>
              </w:rPr>
            </w:pPr>
          </w:p>
        </w:tc>
        <w:tc>
          <w:tcPr>
            <w:tcW w:w="894" w:type="dxa"/>
            <w:shd w:val="clear" w:color="auto" w:fill="auto"/>
            <w:noWrap/>
            <w:vAlign w:val="bottom"/>
            <w:hideMark/>
          </w:tcPr>
          <w:p w:rsidR="00E04D72" w:rsidRPr="00C703B4" w:rsidRDefault="00E04D72" w:rsidP="00B65FD4">
            <w:pPr>
              <w:rPr>
                <w:szCs w:val="20"/>
                <w:lang w:eastAsia="pl-PL"/>
              </w:rPr>
            </w:pPr>
          </w:p>
        </w:tc>
        <w:tc>
          <w:tcPr>
            <w:tcW w:w="937" w:type="dxa"/>
            <w:shd w:val="clear" w:color="auto" w:fill="auto"/>
            <w:noWrap/>
            <w:vAlign w:val="bottom"/>
            <w:hideMark/>
          </w:tcPr>
          <w:p w:rsidR="00E04D72" w:rsidRPr="00C703B4" w:rsidRDefault="00E04D72" w:rsidP="00B65FD4">
            <w:pPr>
              <w:rPr>
                <w:szCs w:val="20"/>
                <w:lang w:eastAsia="pl-PL"/>
              </w:rPr>
            </w:pPr>
          </w:p>
        </w:tc>
      </w:tr>
      <w:tr w:rsidR="00E04D72" w:rsidRPr="00C703B4" w:rsidTr="00B65FD4">
        <w:trPr>
          <w:trHeight w:val="300"/>
        </w:trPr>
        <w:tc>
          <w:tcPr>
            <w:tcW w:w="1446" w:type="dxa"/>
            <w:vMerge/>
            <w:vAlign w:val="center"/>
            <w:hideMark/>
          </w:tcPr>
          <w:p w:rsidR="00E04D72" w:rsidRPr="00C703B4" w:rsidRDefault="00E04D72" w:rsidP="00B65FD4">
            <w:pPr>
              <w:rPr>
                <w:szCs w:val="20"/>
                <w:lang w:eastAsia="pl-PL"/>
              </w:rPr>
            </w:pPr>
          </w:p>
        </w:tc>
        <w:tc>
          <w:tcPr>
            <w:tcW w:w="942" w:type="dxa"/>
            <w:vMerge/>
            <w:vAlign w:val="center"/>
            <w:hideMark/>
          </w:tcPr>
          <w:p w:rsidR="00E04D72" w:rsidRPr="00C703B4" w:rsidRDefault="00E04D72" w:rsidP="00B65FD4">
            <w:pPr>
              <w:rPr>
                <w:szCs w:val="20"/>
                <w:lang w:eastAsia="pl-PL"/>
              </w:rPr>
            </w:pPr>
          </w:p>
        </w:tc>
        <w:tc>
          <w:tcPr>
            <w:tcW w:w="731" w:type="dxa"/>
            <w:vMerge/>
            <w:vAlign w:val="center"/>
            <w:hideMark/>
          </w:tcPr>
          <w:p w:rsidR="00E04D72" w:rsidRPr="00C703B4" w:rsidRDefault="00E04D72" w:rsidP="00B65FD4">
            <w:pPr>
              <w:rPr>
                <w:szCs w:val="20"/>
                <w:lang w:eastAsia="pl-PL"/>
              </w:rPr>
            </w:pPr>
          </w:p>
        </w:tc>
        <w:tc>
          <w:tcPr>
            <w:tcW w:w="810" w:type="dxa"/>
            <w:vMerge/>
            <w:vAlign w:val="center"/>
            <w:hideMark/>
          </w:tcPr>
          <w:p w:rsidR="00E04D72" w:rsidRPr="00C703B4" w:rsidRDefault="00E04D72" w:rsidP="00B65FD4">
            <w:pPr>
              <w:rPr>
                <w:szCs w:val="20"/>
                <w:lang w:eastAsia="pl-PL"/>
              </w:rPr>
            </w:pPr>
          </w:p>
        </w:tc>
        <w:tc>
          <w:tcPr>
            <w:tcW w:w="960" w:type="dxa"/>
            <w:shd w:val="clear" w:color="auto" w:fill="auto"/>
            <w:noWrap/>
            <w:vAlign w:val="bottom"/>
            <w:hideMark/>
          </w:tcPr>
          <w:p w:rsidR="00E04D72" w:rsidRPr="00C703B4" w:rsidRDefault="00E04D72" w:rsidP="00B65FD4">
            <w:pPr>
              <w:rPr>
                <w:szCs w:val="20"/>
                <w:lang w:eastAsia="pl-PL"/>
              </w:rPr>
            </w:pPr>
          </w:p>
        </w:tc>
        <w:tc>
          <w:tcPr>
            <w:tcW w:w="954" w:type="dxa"/>
            <w:shd w:val="clear" w:color="auto" w:fill="auto"/>
            <w:noWrap/>
            <w:vAlign w:val="bottom"/>
            <w:hideMark/>
          </w:tcPr>
          <w:p w:rsidR="00E04D72" w:rsidRPr="00C703B4" w:rsidRDefault="00E04D72" w:rsidP="00B65FD4">
            <w:pPr>
              <w:rPr>
                <w:szCs w:val="20"/>
                <w:lang w:eastAsia="pl-PL"/>
              </w:rPr>
            </w:pPr>
          </w:p>
        </w:tc>
        <w:tc>
          <w:tcPr>
            <w:tcW w:w="965" w:type="dxa"/>
            <w:shd w:val="clear" w:color="auto" w:fill="auto"/>
            <w:noWrap/>
            <w:vAlign w:val="bottom"/>
            <w:hideMark/>
          </w:tcPr>
          <w:p w:rsidR="00E04D72" w:rsidRPr="00C703B4" w:rsidRDefault="00E04D72" w:rsidP="00B65FD4">
            <w:pPr>
              <w:rPr>
                <w:szCs w:val="20"/>
                <w:lang w:eastAsia="pl-PL"/>
              </w:rPr>
            </w:pPr>
          </w:p>
        </w:tc>
        <w:tc>
          <w:tcPr>
            <w:tcW w:w="977" w:type="dxa"/>
            <w:shd w:val="clear" w:color="auto" w:fill="auto"/>
            <w:noWrap/>
            <w:vAlign w:val="bottom"/>
            <w:hideMark/>
          </w:tcPr>
          <w:p w:rsidR="00E04D72" w:rsidRPr="00C703B4" w:rsidRDefault="00E04D72" w:rsidP="00B65FD4">
            <w:pPr>
              <w:rPr>
                <w:szCs w:val="20"/>
                <w:lang w:eastAsia="pl-PL"/>
              </w:rPr>
            </w:pPr>
          </w:p>
        </w:tc>
        <w:tc>
          <w:tcPr>
            <w:tcW w:w="936" w:type="dxa"/>
            <w:shd w:val="clear" w:color="auto" w:fill="auto"/>
            <w:noWrap/>
            <w:vAlign w:val="bottom"/>
            <w:hideMark/>
          </w:tcPr>
          <w:p w:rsidR="00E04D72" w:rsidRPr="00C703B4" w:rsidRDefault="00E04D72" w:rsidP="00B65FD4">
            <w:pPr>
              <w:rPr>
                <w:szCs w:val="20"/>
                <w:lang w:eastAsia="pl-PL"/>
              </w:rPr>
            </w:pPr>
          </w:p>
        </w:tc>
        <w:tc>
          <w:tcPr>
            <w:tcW w:w="940" w:type="dxa"/>
            <w:shd w:val="clear" w:color="auto" w:fill="auto"/>
            <w:noWrap/>
            <w:vAlign w:val="bottom"/>
            <w:hideMark/>
          </w:tcPr>
          <w:p w:rsidR="00E04D72" w:rsidRPr="00C703B4" w:rsidRDefault="00E04D72" w:rsidP="00B65FD4">
            <w:pPr>
              <w:rPr>
                <w:szCs w:val="20"/>
                <w:lang w:eastAsia="pl-PL"/>
              </w:rPr>
            </w:pPr>
          </w:p>
        </w:tc>
        <w:tc>
          <w:tcPr>
            <w:tcW w:w="954" w:type="dxa"/>
            <w:shd w:val="clear" w:color="auto" w:fill="auto"/>
            <w:noWrap/>
            <w:vAlign w:val="bottom"/>
            <w:hideMark/>
          </w:tcPr>
          <w:p w:rsidR="00E04D72" w:rsidRPr="00C703B4" w:rsidRDefault="00E04D72" w:rsidP="00B65FD4">
            <w:pPr>
              <w:rPr>
                <w:szCs w:val="20"/>
                <w:lang w:eastAsia="pl-PL"/>
              </w:rPr>
            </w:pPr>
          </w:p>
        </w:tc>
        <w:tc>
          <w:tcPr>
            <w:tcW w:w="916" w:type="dxa"/>
            <w:shd w:val="clear" w:color="auto" w:fill="auto"/>
            <w:noWrap/>
            <w:vAlign w:val="bottom"/>
            <w:hideMark/>
          </w:tcPr>
          <w:p w:rsidR="00E04D72" w:rsidRPr="00C703B4" w:rsidRDefault="00E04D72" w:rsidP="00B65FD4">
            <w:pPr>
              <w:rPr>
                <w:szCs w:val="20"/>
                <w:lang w:eastAsia="pl-PL"/>
              </w:rPr>
            </w:pPr>
          </w:p>
        </w:tc>
        <w:tc>
          <w:tcPr>
            <w:tcW w:w="965" w:type="dxa"/>
            <w:shd w:val="clear" w:color="auto" w:fill="auto"/>
            <w:noWrap/>
            <w:vAlign w:val="bottom"/>
            <w:hideMark/>
          </w:tcPr>
          <w:p w:rsidR="00E04D72" w:rsidRPr="00C703B4" w:rsidRDefault="00E04D72" w:rsidP="00B65FD4">
            <w:pPr>
              <w:rPr>
                <w:szCs w:val="20"/>
                <w:lang w:eastAsia="pl-PL"/>
              </w:rPr>
            </w:pPr>
          </w:p>
        </w:tc>
        <w:tc>
          <w:tcPr>
            <w:tcW w:w="977" w:type="dxa"/>
            <w:shd w:val="clear" w:color="auto" w:fill="auto"/>
            <w:noWrap/>
            <w:vAlign w:val="bottom"/>
            <w:hideMark/>
          </w:tcPr>
          <w:p w:rsidR="00E04D72" w:rsidRPr="00C703B4" w:rsidRDefault="00E04D72" w:rsidP="00B65FD4">
            <w:pPr>
              <w:rPr>
                <w:szCs w:val="20"/>
                <w:lang w:eastAsia="pl-PL"/>
              </w:rPr>
            </w:pPr>
          </w:p>
        </w:tc>
        <w:tc>
          <w:tcPr>
            <w:tcW w:w="894" w:type="dxa"/>
            <w:shd w:val="clear" w:color="auto" w:fill="auto"/>
            <w:noWrap/>
            <w:vAlign w:val="bottom"/>
            <w:hideMark/>
          </w:tcPr>
          <w:p w:rsidR="00E04D72" w:rsidRPr="00C703B4" w:rsidRDefault="00E04D72" w:rsidP="00B65FD4">
            <w:pPr>
              <w:rPr>
                <w:szCs w:val="20"/>
                <w:lang w:eastAsia="pl-PL"/>
              </w:rPr>
            </w:pPr>
          </w:p>
        </w:tc>
        <w:tc>
          <w:tcPr>
            <w:tcW w:w="937" w:type="dxa"/>
            <w:shd w:val="clear" w:color="auto" w:fill="auto"/>
            <w:noWrap/>
            <w:vAlign w:val="bottom"/>
            <w:hideMark/>
          </w:tcPr>
          <w:p w:rsidR="00E04D72" w:rsidRPr="00C703B4" w:rsidRDefault="00E04D72" w:rsidP="00B65FD4">
            <w:pPr>
              <w:rPr>
                <w:szCs w:val="20"/>
                <w:lang w:eastAsia="pl-PL"/>
              </w:rPr>
            </w:pPr>
          </w:p>
        </w:tc>
      </w:tr>
    </w:tbl>
    <w:p w:rsidR="00E04D72" w:rsidRPr="00E00B35" w:rsidRDefault="00E04D72" w:rsidP="008C054F">
      <w:pPr>
        <w:spacing w:after="0" w:line="312" w:lineRule="auto"/>
        <w:rPr>
          <w:szCs w:val="20"/>
        </w:rPr>
      </w:pPr>
    </w:p>
    <w:sectPr w:rsidR="00E04D72" w:rsidRPr="00E00B35" w:rsidSect="00E04D72">
      <w:pgSz w:w="16838" w:h="11906" w:orient="landscape"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4AB" w:rsidRDefault="00BC64AB" w:rsidP="00802604">
      <w:pPr>
        <w:spacing w:after="0" w:line="240" w:lineRule="auto"/>
      </w:pPr>
      <w:r>
        <w:separator/>
      </w:r>
    </w:p>
  </w:endnote>
  <w:endnote w:type="continuationSeparator" w:id="0">
    <w:p w:rsidR="00BC64AB" w:rsidRDefault="00BC64AB" w:rsidP="00802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ont415">
    <w:altName w:val="Times New Roman"/>
    <w:charset w:val="EE"/>
    <w:family w:val="auto"/>
    <w:pitch w:val="variable"/>
    <w:sig w:usb0="00000000" w:usb1="00000000" w:usb2="00000000" w:usb3="00000000" w:csb0="00000000"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Arial Unicode MS"/>
    <w:charset w:val="EE"/>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font314">
    <w:altName w:val="Times New Roman"/>
    <w:charset w:val="EE"/>
    <w:family w:val="auto"/>
    <w:pitch w:val="variable"/>
    <w:sig w:usb0="00000000" w:usb1="00000000" w:usb2="00000000" w:usb3="00000000" w:csb0="00000000" w:csb1="00000000"/>
  </w:font>
  <w:font w:name="ScalaSansPro-Regular">
    <w:altName w:val="Arial"/>
    <w:charset w:val="00"/>
    <w:family w:val="swiss"/>
    <w:pitch w:val="default"/>
    <w:sig w:usb0="00000007" w:usb1="00000000" w:usb2="00000000" w:usb3="00000000" w:csb0="00000003" w:csb1="00000000"/>
  </w:font>
  <w:font w:name="Bookman Old Style">
    <w:panose1 w:val="02050604050505020204"/>
    <w:charset w:val="EE"/>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imes New Roman1">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00000000" w:usb1="500078FF" w:usb2="00000021" w:usb3="00000000" w:csb0="000001BF" w:csb1="00000000"/>
  </w:font>
  <w:font w:name="Merriweather Light">
    <w:altName w:val="Times New Roman"/>
    <w:panose1 w:val="00000000000000000000"/>
    <w:charset w:val="00"/>
    <w:family w:val="roman"/>
    <w:notTrueType/>
    <w:pitch w:val="default"/>
    <w:sig w:usb0="00000003" w:usb1="00000000" w:usb2="00000000" w:usb3="00000000" w:csb0="00000001" w:csb1="00000000"/>
  </w:font>
  <w:font w:name="StarSymbol">
    <w:altName w:val="Arial Unicode MS"/>
    <w:charset w:val="80"/>
    <w:family w:val="auto"/>
    <w:pitch w:val="default"/>
    <w:sig w:usb0="00000000" w:usb1="00000000" w:usb2="00000000" w:usb3="00000000" w:csb0="00000000" w:csb1="00000000"/>
  </w:font>
  <w:font w:name="Bitstream Vera Sans Mono">
    <w:charset w:val="EE"/>
    <w:family w:val="modern"/>
    <w:pitch w:val="fixed"/>
    <w:sig w:usb0="00000000" w:usb1="00000000" w:usb2="00000000" w:usb3="00000000" w:csb0="00000000" w:csb1="00000000"/>
  </w:font>
  <w:font w:name="Times New (W1)">
    <w:altName w:val="Times New Roman"/>
    <w:charset w:val="EE"/>
    <w:family w:val="roman"/>
    <w:pitch w:val="variable"/>
    <w:sig w:usb0="20002A87" w:usb1="80000000" w:usb2="00000008" w:usb3="00000000" w:csb0="000001FF" w:csb1="00000000"/>
  </w:font>
  <w:font w:name="Helvetica Neue">
    <w:altName w:val="Corbel"/>
    <w:charset w:val="00"/>
    <w:family w:val="auto"/>
    <w:pitch w:val="variable"/>
    <w:sig w:usb0="00000003" w:usb1="500079DB" w:usb2="00000010" w:usb3="00000000" w:csb0="00000001" w:csb1="00000000"/>
  </w:font>
  <w:font w:name="Humnst777CnEU">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Raleway-Regular">
    <w:altName w:val="MS Mincho"/>
    <w:panose1 w:val="00000000000000000000"/>
    <w:charset w:val="80"/>
    <w:family w:val="auto"/>
    <w:notTrueType/>
    <w:pitch w:val="default"/>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Bold">
    <w:charset w:val="EE"/>
    <w:family w:val="auto"/>
    <w:pitch w:val="variable"/>
    <w:sig w:usb0="00000000" w:usb1="00000000" w:usb2="00000000" w:usb3="00000000" w:csb0="00000000" w:csb1="00000000"/>
  </w:font>
  <w:font w:name="NimbusSanL-Bold">
    <w:altName w:val="Times New Roman"/>
    <w:charset w:val="EE"/>
    <w:family w:val="auto"/>
    <w:pitch w:val="default"/>
    <w:sig w:usb0="00000000" w:usb1="00000000" w:usb2="00000000" w:usb3="00000000" w:csb0="00000000" w:csb1="00000000"/>
  </w:font>
  <w:font w:name="NimbusSanL-Regu">
    <w:altName w:val="Times New Roman"/>
    <w:charset w:val="EE"/>
    <w:family w:val="auto"/>
    <w:pitch w:val="default"/>
    <w:sig w:usb0="00000000" w:usb1="00000000" w:usb2="00000000" w:usb3="00000000" w:csb0="00000000" w:csb1="00000000"/>
  </w:font>
  <w:font w:name="BatangChe">
    <w:charset w:val="81"/>
    <w:family w:val="modern"/>
    <w:pitch w:val="fixed"/>
    <w:sig w:usb0="B00002AF" w:usb1="69D77CFB" w:usb2="00000030" w:usb3="00000000" w:csb0="0008009F" w:csb1="00000000"/>
  </w:font>
  <w:font w:name="Verdana,Bold">
    <w:panose1 w:val="00000000000000000000"/>
    <w:charset w:val="EE"/>
    <w:family w:val="auto"/>
    <w:notTrueType/>
    <w:pitch w:val="default"/>
    <w:sig w:usb0="00000005" w:usb1="00000000" w:usb2="00000000" w:usb3="00000000" w:csb0="00000002" w:csb1="00000000"/>
  </w:font>
  <w:font w:name="DejaVuSerifCondensed-Bold">
    <w:panose1 w:val="00000000000000000000"/>
    <w:charset w:val="EE"/>
    <w:family w:val="auto"/>
    <w:notTrueType/>
    <w:pitch w:val="default"/>
    <w:sig w:usb0="00000005" w:usb1="00000000" w:usb2="00000000" w:usb3="00000000" w:csb0="00000002" w:csb1="00000000"/>
  </w:font>
  <w:font w:name="DejaVuSerifCondensed">
    <w:panose1 w:val="00000000000000000000"/>
    <w:charset w:val="EE"/>
    <w:family w:val="auto"/>
    <w:notTrueType/>
    <w:pitch w:val="default"/>
    <w:sig w:usb0="00000005" w:usb1="00000000" w:usb2="00000000" w:usb3="00000000" w:csb0="00000002" w:csb1="00000000"/>
  </w:font>
  <w:font w:name="Jannon10Pro-Bold">
    <w:altName w:val="MS Mincho"/>
    <w:panose1 w:val="00000000000000000000"/>
    <w:charset w:val="80"/>
    <w:family w:val="roman"/>
    <w:notTrueType/>
    <w:pitch w:val="default"/>
    <w:sig w:usb0="00000001" w:usb1="08070000" w:usb2="00000010" w:usb3="00000000" w:csb0="00020000" w:csb1="00000000"/>
  </w:font>
  <w:font w:name="NSimSun">
    <w:panose1 w:val="02010609030101010101"/>
    <w:charset w:val="86"/>
    <w:family w:val="modern"/>
    <w:pitch w:val="fixed"/>
    <w:sig w:usb0="00000283" w:usb1="288F0000" w:usb2="00000016" w:usb3="00000000" w:csb0="00040001" w:csb1="00000000"/>
  </w:font>
  <w:font w:name="Nimbus Roman No9 L">
    <w:altName w:val="Times New Roman"/>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Helv;Arial">
    <w:altName w:val="Arial"/>
    <w:panose1 w:val="00000000000000000000"/>
    <w:charset w:val="00"/>
    <w:family w:val="roman"/>
    <w:notTrueType/>
    <w:pitch w:val="default"/>
    <w:sig w:usb0="00000000" w:usb1="00000000" w:usb2="00000000" w:usb3="00000000" w:csb0="00000000" w:csb1="00000000"/>
  </w:font>
  <w:font w:name="Quicksand">
    <w:altName w:val="Times New Roman"/>
    <w:charset w:val="00"/>
    <w:family w:val="auto"/>
    <w:pitch w:val="default"/>
    <w:sig w:usb0="00000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53A" w:rsidRPr="00CA14AB" w:rsidRDefault="00B1753A" w:rsidP="00CA14AB">
    <w:r w:rsidRPr="00CA14AB">
      <w:fldChar w:fldCharType="begin"/>
    </w:r>
    <w:r w:rsidRPr="00CA14AB">
      <w:instrText xml:space="preserve">PAGE  </w:instrText>
    </w:r>
    <w:r w:rsidRPr="00CA14AB">
      <w:fldChar w:fldCharType="end"/>
    </w:r>
  </w:p>
  <w:p w:rsidR="00B1753A" w:rsidRPr="00CA14AB" w:rsidRDefault="00B1753A" w:rsidP="00CA14A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010081"/>
      <w:docPartObj>
        <w:docPartGallery w:val="Page Numbers (Bottom of Page)"/>
        <w:docPartUnique/>
      </w:docPartObj>
    </w:sdtPr>
    <w:sdtContent>
      <w:p w:rsidR="00B1753A" w:rsidRDefault="00B1753A">
        <w:pPr>
          <w:pStyle w:val="Stopka"/>
          <w:jc w:val="center"/>
        </w:pPr>
        <w:fldSimple w:instr=" PAGE   \* MERGEFORMAT ">
          <w:r w:rsidR="00861124">
            <w:rPr>
              <w:noProof/>
            </w:rPr>
            <w:t>2</w:t>
          </w:r>
        </w:fldSimple>
      </w:p>
    </w:sdtContent>
  </w:sdt>
  <w:p w:rsidR="00B1753A" w:rsidRDefault="00B1753A">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53A" w:rsidRPr="00B56BD1" w:rsidRDefault="00B1753A">
    <w:pPr>
      <w:pStyle w:val="Stopka"/>
      <w:jc w:val="center"/>
    </w:pPr>
    <w:fldSimple w:instr="PAGE   \* MERGEFORMAT">
      <w:r>
        <w:rPr>
          <w:noProof/>
        </w:rPr>
        <w:t>18</w:t>
      </w:r>
    </w:fldSimple>
  </w:p>
  <w:p w:rsidR="00B1753A" w:rsidRDefault="00B1753A">
    <w:pPr>
      <w:pStyle w:val="Stopk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53A" w:rsidRPr="00B1753A" w:rsidRDefault="00B1753A">
    <w:pPr>
      <w:pStyle w:val="Stopka"/>
      <w:jc w:val="center"/>
      <w:rPr>
        <w:szCs w:val="20"/>
      </w:rPr>
    </w:pPr>
    <w:r w:rsidRPr="00B1753A">
      <w:rPr>
        <w:szCs w:val="20"/>
      </w:rPr>
      <w:fldChar w:fldCharType="begin"/>
    </w:r>
    <w:r w:rsidRPr="00B1753A">
      <w:rPr>
        <w:szCs w:val="20"/>
      </w:rPr>
      <w:instrText>PAGE   \* MERGEFORMAT</w:instrText>
    </w:r>
    <w:r w:rsidRPr="00B1753A">
      <w:rPr>
        <w:szCs w:val="20"/>
      </w:rPr>
      <w:fldChar w:fldCharType="separate"/>
    </w:r>
    <w:r w:rsidR="00861124">
      <w:rPr>
        <w:noProof/>
        <w:szCs w:val="20"/>
      </w:rPr>
      <w:t>1023</w:t>
    </w:r>
    <w:r w:rsidRPr="00B1753A">
      <w:rPr>
        <w:szCs w:val="20"/>
      </w:rPr>
      <w:fldChar w:fldCharType="end"/>
    </w:r>
  </w:p>
  <w:p w:rsidR="00B1753A" w:rsidRDefault="00B1753A" w:rsidP="006D3493">
    <w:pPr>
      <w:pStyle w:val="Stopka"/>
      <w:tabs>
        <w:tab w:val="clear" w:pos="9072"/>
        <w:tab w:val="right" w:pos="9070"/>
      </w:tabs>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53A" w:rsidRDefault="00B1753A">
    <w:pPr>
      <w:pStyle w:val="Stopka"/>
      <w:jc w:val="center"/>
    </w:pPr>
    <w:fldSimple w:instr=" PAGE   \* MERGEFORMAT ">
      <w:r w:rsidR="00861124">
        <w:rPr>
          <w:noProof/>
        </w:rPr>
        <w:t>1176</w:t>
      </w:r>
    </w:fldSimple>
  </w:p>
  <w:p w:rsidR="00B1753A" w:rsidRDefault="00B1753A">
    <w:pPr>
      <w:pStyle w:val="Stopk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835897"/>
      <w:docPartObj>
        <w:docPartGallery w:val="Page Numbers (Bottom of Page)"/>
        <w:docPartUnique/>
      </w:docPartObj>
    </w:sdtPr>
    <w:sdtContent>
      <w:p w:rsidR="00B1753A" w:rsidRPr="00DF5A4F" w:rsidRDefault="00B1753A">
        <w:pPr>
          <w:pStyle w:val="Stopka"/>
          <w:jc w:val="center"/>
        </w:pPr>
        <w:r w:rsidRPr="00F52AAB">
          <w:rPr>
            <w:sz w:val="18"/>
            <w:szCs w:val="18"/>
          </w:rPr>
          <w:fldChar w:fldCharType="begin"/>
        </w:r>
        <w:r w:rsidRPr="00F52AAB">
          <w:rPr>
            <w:sz w:val="18"/>
            <w:szCs w:val="18"/>
          </w:rPr>
          <w:instrText xml:space="preserve"> PAGE   \* MERGEFORMAT </w:instrText>
        </w:r>
        <w:r w:rsidRPr="00F52AAB">
          <w:rPr>
            <w:sz w:val="18"/>
            <w:szCs w:val="18"/>
          </w:rPr>
          <w:fldChar w:fldCharType="separate"/>
        </w:r>
        <w:r w:rsidR="00861124">
          <w:rPr>
            <w:noProof/>
            <w:sz w:val="18"/>
            <w:szCs w:val="18"/>
          </w:rPr>
          <w:t>1142</w:t>
        </w:r>
        <w:r w:rsidRPr="00F52AAB">
          <w:rPr>
            <w:sz w:val="18"/>
            <w:szCs w:val="18"/>
          </w:rPr>
          <w:fldChar w:fldCharType="end"/>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53A" w:rsidRDefault="00B1753A">
    <w:pPr>
      <w:pStyle w:val="Stopka"/>
      <w:framePr w:wrap="around" w:vAnchor="text" w:hAnchor="margin" w:xAlign="center" w:y="1"/>
      <w:rPr>
        <w:rStyle w:val="Numerstrony"/>
        <w:rFonts w:eastAsia="Calibri"/>
      </w:rPr>
    </w:pPr>
    <w:r>
      <w:rPr>
        <w:rStyle w:val="Numerstrony"/>
        <w:rFonts w:eastAsia="Calibri"/>
      </w:rPr>
      <w:fldChar w:fldCharType="begin"/>
    </w:r>
    <w:r>
      <w:rPr>
        <w:rStyle w:val="Numerstrony"/>
        <w:rFonts w:eastAsia="Calibri"/>
      </w:rPr>
      <w:instrText xml:space="preserve">PAGE  </w:instrText>
    </w:r>
    <w:r>
      <w:rPr>
        <w:rStyle w:val="Numerstrony"/>
        <w:rFonts w:eastAsia="Calibri"/>
      </w:rPr>
      <w:fldChar w:fldCharType="end"/>
    </w:r>
  </w:p>
  <w:p w:rsidR="00B1753A" w:rsidRDefault="00B1753A">
    <w:pPr>
      <w:pStyle w:val="Stopk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53A" w:rsidRDefault="00B1753A">
    <w:pPr>
      <w:pStyle w:val="Stopka"/>
      <w:framePr w:wrap="around" w:vAnchor="text" w:hAnchor="margin" w:xAlign="center" w:y="1"/>
      <w:rPr>
        <w:rStyle w:val="Numerstrony"/>
        <w:rFonts w:eastAsia="Calibri"/>
        <w:sz w:val="16"/>
      </w:rPr>
    </w:pPr>
    <w:r>
      <w:rPr>
        <w:rStyle w:val="Numerstrony"/>
        <w:rFonts w:eastAsia="Calibri"/>
        <w:sz w:val="16"/>
      </w:rPr>
      <w:fldChar w:fldCharType="begin"/>
    </w:r>
    <w:r>
      <w:rPr>
        <w:rStyle w:val="Numerstrony"/>
        <w:rFonts w:eastAsia="Calibri"/>
        <w:sz w:val="16"/>
      </w:rPr>
      <w:instrText xml:space="preserve">PAGE  </w:instrText>
    </w:r>
    <w:r>
      <w:rPr>
        <w:rStyle w:val="Numerstrony"/>
        <w:rFonts w:eastAsia="Calibri"/>
        <w:sz w:val="16"/>
      </w:rPr>
      <w:fldChar w:fldCharType="separate"/>
    </w:r>
    <w:r w:rsidR="00861124">
      <w:rPr>
        <w:rStyle w:val="Numerstrony"/>
        <w:rFonts w:eastAsia="Calibri"/>
        <w:noProof/>
        <w:sz w:val="16"/>
      </w:rPr>
      <w:t>1183</w:t>
    </w:r>
    <w:r>
      <w:rPr>
        <w:rStyle w:val="Numerstrony"/>
        <w:rFonts w:eastAsia="Calibri"/>
        <w:sz w:val="16"/>
      </w:rPr>
      <w:fldChar w:fldCharType="end"/>
    </w:r>
  </w:p>
  <w:p w:rsidR="00B1753A" w:rsidRDefault="00B1753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4AB" w:rsidRDefault="00BC64AB" w:rsidP="00802604">
      <w:pPr>
        <w:spacing w:after="0" w:line="240" w:lineRule="auto"/>
      </w:pPr>
      <w:r>
        <w:separator/>
      </w:r>
    </w:p>
  </w:footnote>
  <w:footnote w:type="continuationSeparator" w:id="0">
    <w:p w:rsidR="00BC64AB" w:rsidRDefault="00BC64AB" w:rsidP="008026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9C4C374"/>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FFFFFF89"/>
    <w:multiLevelType w:val="singleLevel"/>
    <w:tmpl w:val="22406B62"/>
    <w:lvl w:ilvl="0">
      <w:start w:val="1"/>
      <w:numFmt w:val="bullet"/>
      <w:pStyle w:val="Listapunktowana"/>
      <w:lvlText w:val=""/>
      <w:lvlJc w:val="left"/>
      <w:pPr>
        <w:tabs>
          <w:tab w:val="num" w:pos="360"/>
        </w:tabs>
        <w:ind w:left="360" w:hanging="360"/>
      </w:pPr>
      <w:rPr>
        <w:rFonts w:ascii="Symbol" w:hAnsi="Symbol" w:hint="default"/>
      </w:rPr>
    </w:lvl>
  </w:abstractNum>
  <w:abstractNum w:abstractNumId="2">
    <w:nsid w:val="00F86112"/>
    <w:multiLevelType w:val="multilevel"/>
    <w:tmpl w:val="70A28652"/>
    <w:lvl w:ilvl="0">
      <w:start w:val="1"/>
      <w:numFmt w:val="decimal"/>
      <w:lvlText w:val="%1)"/>
      <w:lvlJc w:val="left"/>
      <w:pPr>
        <w:tabs>
          <w:tab w:val="num" w:pos="720"/>
        </w:tabs>
        <w:ind w:left="720" w:hanging="360"/>
      </w:pPr>
      <w:rPr>
        <w:rFonts w:ascii="Verdana" w:hAnsi="Verdana" w:cs="Verdana"/>
        <w:sz w:val="2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017C1241"/>
    <w:multiLevelType w:val="hybridMultilevel"/>
    <w:tmpl w:val="041CFE84"/>
    <w:lvl w:ilvl="0" w:tplc="4FD63794">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
    <w:nsid w:val="018F75CC"/>
    <w:multiLevelType w:val="hybridMultilevel"/>
    <w:tmpl w:val="A356CA54"/>
    <w:lvl w:ilvl="0" w:tplc="2106692C">
      <w:start w:val="1"/>
      <w:numFmt w:val="bullet"/>
      <w:lvlText w:val=""/>
      <w:lvlJc w:val="left"/>
      <w:pPr>
        <w:ind w:left="720" w:hanging="360"/>
      </w:pPr>
      <w:rPr>
        <w:rFonts w:ascii="Symbol" w:hAnsi="Symbol"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22C71EB"/>
    <w:multiLevelType w:val="hybridMultilevel"/>
    <w:tmpl w:val="041CFE84"/>
    <w:lvl w:ilvl="0" w:tplc="04150003">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7876A980"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
    <w:nsid w:val="03080293"/>
    <w:multiLevelType w:val="hybridMultilevel"/>
    <w:tmpl w:val="041CFE84"/>
    <w:lvl w:ilvl="0" w:tplc="C72EBC2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3BA37C6"/>
    <w:multiLevelType w:val="multilevel"/>
    <w:tmpl w:val="EB34E6FA"/>
    <w:lvl w:ilvl="0">
      <w:start w:val="1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nsid w:val="03CD0715"/>
    <w:multiLevelType w:val="hybridMultilevel"/>
    <w:tmpl w:val="CF1A99E2"/>
    <w:name w:val="WW8Num82"/>
    <w:lvl w:ilvl="0" w:tplc="EBF4B288">
      <w:start w:val="1"/>
      <w:numFmt w:val="none"/>
      <w:lvlText w:val="*"/>
      <w:lvlJc w:val="left"/>
      <w:pPr>
        <w:tabs>
          <w:tab w:val="num" w:pos="1260"/>
        </w:tabs>
        <w:ind w:left="12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3F57677"/>
    <w:multiLevelType w:val="hybridMultilevel"/>
    <w:tmpl w:val="12E6665E"/>
    <w:lvl w:ilvl="0" w:tplc="21066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4205E77"/>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1">
    <w:nsid w:val="05827B5B"/>
    <w:multiLevelType w:val="hybridMultilevel"/>
    <w:tmpl w:val="5FA6DC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05A00888"/>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3">
    <w:nsid w:val="05E310D8"/>
    <w:multiLevelType w:val="hybridMultilevel"/>
    <w:tmpl w:val="DC16CE8C"/>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687228E"/>
    <w:multiLevelType w:val="hybridMultilevel"/>
    <w:tmpl w:val="4AA291EA"/>
    <w:lvl w:ilvl="0" w:tplc="28384A94">
      <w:start w:val="1"/>
      <w:numFmt w:val="lowerLetter"/>
      <w:lvlText w:val="%1)"/>
      <w:lvlJc w:val="left"/>
      <w:pPr>
        <w:ind w:left="720" w:hanging="360"/>
      </w:pPr>
      <w:rPr>
        <w:rFonts w:ascii="Verdana" w:eastAsia="Times New Roman" w:hAnsi="Verdana"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68A1410"/>
    <w:multiLevelType w:val="hybridMultilevel"/>
    <w:tmpl w:val="BC40880A"/>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7C11F3E"/>
    <w:multiLevelType w:val="hybridMultilevel"/>
    <w:tmpl w:val="90A473FC"/>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07E91369"/>
    <w:multiLevelType w:val="hybridMultilevel"/>
    <w:tmpl w:val="041CFE84"/>
    <w:lvl w:ilvl="0" w:tplc="04150003">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8">
    <w:nsid w:val="089D20D1"/>
    <w:multiLevelType w:val="hybridMultilevel"/>
    <w:tmpl w:val="72A0D4DE"/>
    <w:lvl w:ilvl="0" w:tplc="09961726">
      <w:start w:val="1"/>
      <w:numFmt w:val="upperLetter"/>
      <w:pStyle w:val="Dzialrozdzial"/>
      <w:lvlText w:val="%1."/>
      <w:lvlJc w:val="left"/>
      <w:pPr>
        <w:ind w:left="717"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8C3608D"/>
    <w:multiLevelType w:val="multilevel"/>
    <w:tmpl w:val="ADDC7AB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09040411"/>
    <w:multiLevelType w:val="hybridMultilevel"/>
    <w:tmpl w:val="F37C71D2"/>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90A6FC7"/>
    <w:multiLevelType w:val="hybridMultilevel"/>
    <w:tmpl w:val="041CFE84"/>
    <w:lvl w:ilvl="0" w:tplc="CBF4E17C">
      <w:start w:val="1"/>
      <w:numFmt w:val="decimal"/>
      <w:lvlText w:val="%1."/>
      <w:lvlJc w:val="left"/>
      <w:pPr>
        <w:ind w:left="720" w:hanging="360"/>
      </w:pPr>
      <w:rPr>
        <w:b w:val="0"/>
        <w:sz w:val="20"/>
        <w:szCs w:val="20"/>
      </w:rPr>
    </w:lvl>
    <w:lvl w:ilvl="1" w:tplc="E098AAD0" w:tentative="1">
      <w:start w:val="1"/>
      <w:numFmt w:val="lowerLetter"/>
      <w:lvlText w:val="%2."/>
      <w:lvlJc w:val="left"/>
      <w:pPr>
        <w:ind w:left="1440" w:hanging="360"/>
      </w:pPr>
    </w:lvl>
    <w:lvl w:ilvl="2" w:tplc="83AE1E1E" w:tentative="1">
      <w:start w:val="1"/>
      <w:numFmt w:val="lowerRoman"/>
      <w:lvlText w:val="%3."/>
      <w:lvlJc w:val="right"/>
      <w:pPr>
        <w:ind w:left="2160" w:hanging="180"/>
      </w:pPr>
    </w:lvl>
    <w:lvl w:ilvl="3" w:tplc="D3C4B7F4" w:tentative="1">
      <w:start w:val="1"/>
      <w:numFmt w:val="decimal"/>
      <w:lvlText w:val="%4."/>
      <w:lvlJc w:val="left"/>
      <w:pPr>
        <w:ind w:left="2880" w:hanging="360"/>
      </w:pPr>
    </w:lvl>
    <w:lvl w:ilvl="4" w:tplc="B4C2FEDC" w:tentative="1">
      <w:start w:val="1"/>
      <w:numFmt w:val="lowerLetter"/>
      <w:lvlText w:val="%5."/>
      <w:lvlJc w:val="left"/>
      <w:pPr>
        <w:ind w:left="3600" w:hanging="360"/>
      </w:pPr>
    </w:lvl>
    <w:lvl w:ilvl="5" w:tplc="CCEADA6E" w:tentative="1">
      <w:start w:val="1"/>
      <w:numFmt w:val="lowerRoman"/>
      <w:lvlText w:val="%6."/>
      <w:lvlJc w:val="right"/>
      <w:pPr>
        <w:ind w:left="4320" w:hanging="180"/>
      </w:pPr>
    </w:lvl>
    <w:lvl w:ilvl="6" w:tplc="6E787DD4" w:tentative="1">
      <w:start w:val="1"/>
      <w:numFmt w:val="decimal"/>
      <w:lvlText w:val="%7."/>
      <w:lvlJc w:val="left"/>
      <w:pPr>
        <w:ind w:left="5040" w:hanging="360"/>
      </w:pPr>
    </w:lvl>
    <w:lvl w:ilvl="7" w:tplc="C928BF3A" w:tentative="1">
      <w:start w:val="1"/>
      <w:numFmt w:val="lowerLetter"/>
      <w:lvlText w:val="%8."/>
      <w:lvlJc w:val="left"/>
      <w:pPr>
        <w:ind w:left="5760" w:hanging="360"/>
      </w:pPr>
    </w:lvl>
    <w:lvl w:ilvl="8" w:tplc="B8448142" w:tentative="1">
      <w:start w:val="1"/>
      <w:numFmt w:val="lowerRoman"/>
      <w:lvlText w:val="%9."/>
      <w:lvlJc w:val="right"/>
      <w:pPr>
        <w:ind w:left="6480" w:hanging="180"/>
      </w:pPr>
    </w:lvl>
  </w:abstractNum>
  <w:abstractNum w:abstractNumId="22">
    <w:nsid w:val="092F0648"/>
    <w:multiLevelType w:val="hybridMultilevel"/>
    <w:tmpl w:val="041CFE84"/>
    <w:lvl w:ilvl="0" w:tplc="C72EBC2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0A10303B"/>
    <w:multiLevelType w:val="hybridMultilevel"/>
    <w:tmpl w:val="041CFE84"/>
    <w:lvl w:ilvl="0" w:tplc="04150003">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4">
    <w:nsid w:val="0A870F95"/>
    <w:multiLevelType w:val="hybridMultilevel"/>
    <w:tmpl w:val="EABE34A8"/>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B26635A"/>
    <w:multiLevelType w:val="hybridMultilevel"/>
    <w:tmpl w:val="9CF62004"/>
    <w:lvl w:ilvl="0" w:tplc="FFFFFFFF">
      <w:start w:val="1"/>
      <w:numFmt w:val="bullet"/>
      <w:lvlText w:val="-"/>
      <w:lvlJc w:val="left"/>
      <w:pPr>
        <w:ind w:left="1287" w:hanging="360"/>
      </w:pPr>
      <w:rPr>
        <w:rFonts w:ascii="Courier New" w:hAnsi="Courier New" w:hint="default"/>
        <w:b w:val="0"/>
        <w:sz w:val="26"/>
        <w:szCs w:val="26"/>
      </w:rPr>
    </w:lvl>
    <w:lvl w:ilvl="1" w:tplc="04150019" w:tentative="1">
      <w:start w:val="1"/>
      <w:numFmt w:val="bullet"/>
      <w:lvlText w:val="o"/>
      <w:lvlJc w:val="left"/>
      <w:pPr>
        <w:ind w:left="2007" w:hanging="360"/>
      </w:pPr>
      <w:rPr>
        <w:rFonts w:ascii="Courier New" w:hAnsi="Courier New" w:cs="Courier New" w:hint="default"/>
      </w:rPr>
    </w:lvl>
    <w:lvl w:ilvl="2" w:tplc="0415001B" w:tentative="1">
      <w:start w:val="1"/>
      <w:numFmt w:val="bullet"/>
      <w:lvlText w:val=""/>
      <w:lvlJc w:val="left"/>
      <w:pPr>
        <w:ind w:left="2727" w:hanging="360"/>
      </w:pPr>
      <w:rPr>
        <w:rFonts w:ascii="Wingdings" w:hAnsi="Wingdings" w:hint="default"/>
      </w:rPr>
    </w:lvl>
    <w:lvl w:ilvl="3" w:tplc="0415000F" w:tentative="1">
      <w:start w:val="1"/>
      <w:numFmt w:val="bullet"/>
      <w:lvlText w:val=""/>
      <w:lvlJc w:val="left"/>
      <w:pPr>
        <w:ind w:left="3447" w:hanging="360"/>
      </w:pPr>
      <w:rPr>
        <w:rFonts w:ascii="Symbol" w:hAnsi="Symbol" w:hint="default"/>
      </w:rPr>
    </w:lvl>
    <w:lvl w:ilvl="4" w:tplc="04150019" w:tentative="1">
      <w:start w:val="1"/>
      <w:numFmt w:val="bullet"/>
      <w:lvlText w:val="o"/>
      <w:lvlJc w:val="left"/>
      <w:pPr>
        <w:ind w:left="4167" w:hanging="360"/>
      </w:pPr>
      <w:rPr>
        <w:rFonts w:ascii="Courier New" w:hAnsi="Courier New" w:cs="Courier New" w:hint="default"/>
      </w:rPr>
    </w:lvl>
    <w:lvl w:ilvl="5" w:tplc="0415001B" w:tentative="1">
      <w:start w:val="1"/>
      <w:numFmt w:val="bullet"/>
      <w:lvlText w:val=""/>
      <w:lvlJc w:val="left"/>
      <w:pPr>
        <w:ind w:left="4887" w:hanging="360"/>
      </w:pPr>
      <w:rPr>
        <w:rFonts w:ascii="Wingdings" w:hAnsi="Wingdings" w:hint="default"/>
      </w:rPr>
    </w:lvl>
    <w:lvl w:ilvl="6" w:tplc="0415000F" w:tentative="1">
      <w:start w:val="1"/>
      <w:numFmt w:val="bullet"/>
      <w:lvlText w:val=""/>
      <w:lvlJc w:val="left"/>
      <w:pPr>
        <w:ind w:left="5607" w:hanging="360"/>
      </w:pPr>
      <w:rPr>
        <w:rFonts w:ascii="Symbol" w:hAnsi="Symbol" w:hint="default"/>
      </w:rPr>
    </w:lvl>
    <w:lvl w:ilvl="7" w:tplc="04150019" w:tentative="1">
      <w:start w:val="1"/>
      <w:numFmt w:val="bullet"/>
      <w:lvlText w:val="o"/>
      <w:lvlJc w:val="left"/>
      <w:pPr>
        <w:ind w:left="6327" w:hanging="360"/>
      </w:pPr>
      <w:rPr>
        <w:rFonts w:ascii="Courier New" w:hAnsi="Courier New" w:cs="Courier New" w:hint="default"/>
      </w:rPr>
    </w:lvl>
    <w:lvl w:ilvl="8" w:tplc="0415001B" w:tentative="1">
      <w:start w:val="1"/>
      <w:numFmt w:val="bullet"/>
      <w:lvlText w:val=""/>
      <w:lvlJc w:val="left"/>
      <w:pPr>
        <w:ind w:left="7047" w:hanging="360"/>
      </w:pPr>
      <w:rPr>
        <w:rFonts w:ascii="Wingdings" w:hAnsi="Wingdings" w:hint="default"/>
      </w:rPr>
    </w:lvl>
  </w:abstractNum>
  <w:abstractNum w:abstractNumId="26">
    <w:nsid w:val="0BFD28F5"/>
    <w:multiLevelType w:val="hybridMultilevel"/>
    <w:tmpl w:val="041CFE84"/>
    <w:lvl w:ilvl="0" w:tplc="4FD63794">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7">
    <w:nsid w:val="0C2A4DE9"/>
    <w:multiLevelType w:val="hybridMultilevel"/>
    <w:tmpl w:val="8AAEC0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0C2C2986"/>
    <w:multiLevelType w:val="hybridMultilevel"/>
    <w:tmpl w:val="041CFE84"/>
    <w:lvl w:ilvl="0" w:tplc="C72EBC2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0CCC1D2A"/>
    <w:multiLevelType w:val="hybridMultilevel"/>
    <w:tmpl w:val="90B630DC"/>
    <w:lvl w:ilvl="0" w:tplc="04150001">
      <w:start w:val="1"/>
      <w:numFmt w:val="decimal"/>
      <w:lvlText w:val="%1."/>
      <w:lvlJc w:val="left"/>
      <w:pPr>
        <w:ind w:left="720" w:hanging="360"/>
      </w:pPr>
      <w:rPr>
        <w:rFonts w:hint="default"/>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0">
    <w:nsid w:val="0D983367"/>
    <w:multiLevelType w:val="hybridMultilevel"/>
    <w:tmpl w:val="50B6ECCC"/>
    <w:lvl w:ilvl="0" w:tplc="04150001">
      <w:start w:val="1"/>
      <w:numFmt w:val="bullet"/>
      <w:lvlText w:val=""/>
      <w:lvlJc w:val="left"/>
      <w:pPr>
        <w:ind w:left="1781" w:hanging="360"/>
      </w:pPr>
      <w:rPr>
        <w:rFonts w:ascii="Symbol" w:hAnsi="Symbol" w:hint="default"/>
      </w:rPr>
    </w:lvl>
    <w:lvl w:ilvl="1" w:tplc="04150003" w:tentative="1">
      <w:start w:val="1"/>
      <w:numFmt w:val="bullet"/>
      <w:lvlText w:val="o"/>
      <w:lvlJc w:val="left"/>
      <w:pPr>
        <w:ind w:left="2501" w:hanging="360"/>
      </w:pPr>
      <w:rPr>
        <w:rFonts w:ascii="Courier New" w:hAnsi="Courier New" w:cs="Courier New" w:hint="default"/>
      </w:rPr>
    </w:lvl>
    <w:lvl w:ilvl="2" w:tplc="04150005" w:tentative="1">
      <w:start w:val="1"/>
      <w:numFmt w:val="bullet"/>
      <w:lvlText w:val=""/>
      <w:lvlJc w:val="left"/>
      <w:pPr>
        <w:ind w:left="3221" w:hanging="360"/>
      </w:pPr>
      <w:rPr>
        <w:rFonts w:ascii="Wingdings" w:hAnsi="Wingdings" w:hint="default"/>
      </w:rPr>
    </w:lvl>
    <w:lvl w:ilvl="3" w:tplc="04150001" w:tentative="1">
      <w:start w:val="1"/>
      <w:numFmt w:val="bullet"/>
      <w:lvlText w:val=""/>
      <w:lvlJc w:val="left"/>
      <w:pPr>
        <w:ind w:left="3941" w:hanging="360"/>
      </w:pPr>
      <w:rPr>
        <w:rFonts w:ascii="Symbol" w:hAnsi="Symbol" w:hint="default"/>
      </w:rPr>
    </w:lvl>
    <w:lvl w:ilvl="4" w:tplc="04150003" w:tentative="1">
      <w:start w:val="1"/>
      <w:numFmt w:val="bullet"/>
      <w:lvlText w:val="o"/>
      <w:lvlJc w:val="left"/>
      <w:pPr>
        <w:ind w:left="4661" w:hanging="360"/>
      </w:pPr>
      <w:rPr>
        <w:rFonts w:ascii="Courier New" w:hAnsi="Courier New" w:cs="Courier New" w:hint="default"/>
      </w:rPr>
    </w:lvl>
    <w:lvl w:ilvl="5" w:tplc="04150005" w:tentative="1">
      <w:start w:val="1"/>
      <w:numFmt w:val="bullet"/>
      <w:lvlText w:val=""/>
      <w:lvlJc w:val="left"/>
      <w:pPr>
        <w:ind w:left="5381" w:hanging="360"/>
      </w:pPr>
      <w:rPr>
        <w:rFonts w:ascii="Wingdings" w:hAnsi="Wingdings" w:hint="default"/>
      </w:rPr>
    </w:lvl>
    <w:lvl w:ilvl="6" w:tplc="04150001" w:tentative="1">
      <w:start w:val="1"/>
      <w:numFmt w:val="bullet"/>
      <w:lvlText w:val=""/>
      <w:lvlJc w:val="left"/>
      <w:pPr>
        <w:ind w:left="6101" w:hanging="360"/>
      </w:pPr>
      <w:rPr>
        <w:rFonts w:ascii="Symbol" w:hAnsi="Symbol" w:hint="default"/>
      </w:rPr>
    </w:lvl>
    <w:lvl w:ilvl="7" w:tplc="04150003" w:tentative="1">
      <w:start w:val="1"/>
      <w:numFmt w:val="bullet"/>
      <w:lvlText w:val="o"/>
      <w:lvlJc w:val="left"/>
      <w:pPr>
        <w:ind w:left="6821" w:hanging="360"/>
      </w:pPr>
      <w:rPr>
        <w:rFonts w:ascii="Courier New" w:hAnsi="Courier New" w:cs="Courier New" w:hint="default"/>
      </w:rPr>
    </w:lvl>
    <w:lvl w:ilvl="8" w:tplc="04150005" w:tentative="1">
      <w:start w:val="1"/>
      <w:numFmt w:val="bullet"/>
      <w:lvlText w:val=""/>
      <w:lvlJc w:val="left"/>
      <w:pPr>
        <w:ind w:left="7541" w:hanging="360"/>
      </w:pPr>
      <w:rPr>
        <w:rFonts w:ascii="Wingdings" w:hAnsi="Wingdings" w:hint="default"/>
      </w:rPr>
    </w:lvl>
  </w:abstractNum>
  <w:abstractNum w:abstractNumId="31">
    <w:nsid w:val="0E4F1EB9"/>
    <w:multiLevelType w:val="hybridMultilevel"/>
    <w:tmpl w:val="A846F4AE"/>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0E6208B4"/>
    <w:multiLevelType w:val="hybridMultilevel"/>
    <w:tmpl w:val="76ECD792"/>
    <w:lvl w:ilvl="0" w:tplc="04150011">
      <w:start w:val="1"/>
      <w:numFmt w:val="decimal"/>
      <w:lvlText w:val="%1."/>
      <w:lvlJc w:val="left"/>
      <w:pPr>
        <w:ind w:left="360" w:hanging="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0EFC0116"/>
    <w:multiLevelType w:val="hybridMultilevel"/>
    <w:tmpl w:val="9978071E"/>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0F8B7E7F"/>
    <w:multiLevelType w:val="hybridMultilevel"/>
    <w:tmpl w:val="212C1EFE"/>
    <w:lvl w:ilvl="0" w:tplc="04150017">
      <w:start w:val="1"/>
      <w:numFmt w:val="lowerLetter"/>
      <w:lvlText w:val="%1)"/>
      <w:lvlJc w:val="left"/>
      <w:pPr>
        <w:ind w:left="1440" w:hanging="360"/>
      </w:pPr>
    </w:lvl>
    <w:lvl w:ilvl="1" w:tplc="04150003" w:tentative="1">
      <w:start w:val="1"/>
      <w:numFmt w:val="lowerLetter"/>
      <w:lvlText w:val="%2."/>
      <w:lvlJc w:val="left"/>
      <w:pPr>
        <w:ind w:left="2160" w:hanging="360"/>
      </w:pPr>
    </w:lvl>
    <w:lvl w:ilvl="2" w:tplc="04150005" w:tentative="1">
      <w:start w:val="1"/>
      <w:numFmt w:val="lowerRoman"/>
      <w:lvlText w:val="%3."/>
      <w:lvlJc w:val="right"/>
      <w:pPr>
        <w:ind w:left="2880" w:hanging="180"/>
      </w:pPr>
    </w:lvl>
    <w:lvl w:ilvl="3" w:tplc="04150001" w:tentative="1">
      <w:start w:val="1"/>
      <w:numFmt w:val="decimal"/>
      <w:lvlText w:val="%4."/>
      <w:lvlJc w:val="left"/>
      <w:pPr>
        <w:ind w:left="3600" w:hanging="360"/>
      </w:pPr>
    </w:lvl>
    <w:lvl w:ilvl="4" w:tplc="04150003" w:tentative="1">
      <w:start w:val="1"/>
      <w:numFmt w:val="lowerLetter"/>
      <w:lvlText w:val="%5."/>
      <w:lvlJc w:val="left"/>
      <w:pPr>
        <w:ind w:left="4320" w:hanging="360"/>
      </w:pPr>
    </w:lvl>
    <w:lvl w:ilvl="5" w:tplc="04150005" w:tentative="1">
      <w:start w:val="1"/>
      <w:numFmt w:val="lowerRoman"/>
      <w:lvlText w:val="%6."/>
      <w:lvlJc w:val="right"/>
      <w:pPr>
        <w:ind w:left="5040" w:hanging="180"/>
      </w:pPr>
    </w:lvl>
    <w:lvl w:ilvl="6" w:tplc="04150001" w:tentative="1">
      <w:start w:val="1"/>
      <w:numFmt w:val="decimal"/>
      <w:lvlText w:val="%7."/>
      <w:lvlJc w:val="left"/>
      <w:pPr>
        <w:ind w:left="5760" w:hanging="360"/>
      </w:pPr>
    </w:lvl>
    <w:lvl w:ilvl="7" w:tplc="04150003" w:tentative="1">
      <w:start w:val="1"/>
      <w:numFmt w:val="lowerLetter"/>
      <w:lvlText w:val="%8."/>
      <w:lvlJc w:val="left"/>
      <w:pPr>
        <w:ind w:left="6480" w:hanging="360"/>
      </w:pPr>
    </w:lvl>
    <w:lvl w:ilvl="8" w:tplc="04150005" w:tentative="1">
      <w:start w:val="1"/>
      <w:numFmt w:val="lowerRoman"/>
      <w:lvlText w:val="%9."/>
      <w:lvlJc w:val="right"/>
      <w:pPr>
        <w:ind w:left="7200" w:hanging="180"/>
      </w:pPr>
    </w:lvl>
  </w:abstractNum>
  <w:abstractNum w:abstractNumId="35">
    <w:nsid w:val="10291BEF"/>
    <w:multiLevelType w:val="hybridMultilevel"/>
    <w:tmpl w:val="041CFE84"/>
    <w:lvl w:ilvl="0" w:tplc="04150003">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6">
    <w:nsid w:val="10497122"/>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37">
    <w:nsid w:val="106B02A9"/>
    <w:multiLevelType w:val="hybridMultilevel"/>
    <w:tmpl w:val="041CFE84"/>
    <w:lvl w:ilvl="0" w:tplc="FB384F2C">
      <w:start w:val="1"/>
      <w:numFmt w:val="decimal"/>
      <w:lvlText w:val="%1."/>
      <w:lvlJc w:val="left"/>
      <w:pPr>
        <w:ind w:left="720" w:hanging="360"/>
      </w:pPr>
      <w:rPr>
        <w:b w:val="0"/>
        <w:sz w:val="20"/>
        <w:szCs w:val="20"/>
      </w:rPr>
    </w:lvl>
    <w:lvl w:ilvl="1" w:tplc="D02E1BBC" w:tentative="1">
      <w:start w:val="1"/>
      <w:numFmt w:val="lowerLetter"/>
      <w:lvlText w:val="%2."/>
      <w:lvlJc w:val="left"/>
      <w:pPr>
        <w:ind w:left="1440" w:hanging="360"/>
      </w:pPr>
    </w:lvl>
    <w:lvl w:ilvl="2" w:tplc="857A0D92" w:tentative="1">
      <w:start w:val="1"/>
      <w:numFmt w:val="lowerRoman"/>
      <w:lvlText w:val="%3."/>
      <w:lvlJc w:val="right"/>
      <w:pPr>
        <w:ind w:left="2160" w:hanging="180"/>
      </w:pPr>
    </w:lvl>
    <w:lvl w:ilvl="3" w:tplc="0DC21948" w:tentative="1">
      <w:start w:val="1"/>
      <w:numFmt w:val="decimal"/>
      <w:lvlText w:val="%4."/>
      <w:lvlJc w:val="left"/>
      <w:pPr>
        <w:ind w:left="2880" w:hanging="360"/>
      </w:pPr>
    </w:lvl>
    <w:lvl w:ilvl="4" w:tplc="477844B2" w:tentative="1">
      <w:start w:val="1"/>
      <w:numFmt w:val="lowerLetter"/>
      <w:lvlText w:val="%5."/>
      <w:lvlJc w:val="left"/>
      <w:pPr>
        <w:ind w:left="3600" w:hanging="360"/>
      </w:pPr>
    </w:lvl>
    <w:lvl w:ilvl="5" w:tplc="AB9295CC" w:tentative="1">
      <w:start w:val="1"/>
      <w:numFmt w:val="lowerRoman"/>
      <w:lvlText w:val="%6."/>
      <w:lvlJc w:val="right"/>
      <w:pPr>
        <w:ind w:left="4320" w:hanging="180"/>
      </w:pPr>
    </w:lvl>
    <w:lvl w:ilvl="6" w:tplc="4050CE96" w:tentative="1">
      <w:start w:val="1"/>
      <w:numFmt w:val="decimal"/>
      <w:lvlText w:val="%7."/>
      <w:lvlJc w:val="left"/>
      <w:pPr>
        <w:ind w:left="5040" w:hanging="360"/>
      </w:pPr>
    </w:lvl>
    <w:lvl w:ilvl="7" w:tplc="E174BC8C" w:tentative="1">
      <w:start w:val="1"/>
      <w:numFmt w:val="lowerLetter"/>
      <w:lvlText w:val="%8."/>
      <w:lvlJc w:val="left"/>
      <w:pPr>
        <w:ind w:left="5760" w:hanging="360"/>
      </w:pPr>
    </w:lvl>
    <w:lvl w:ilvl="8" w:tplc="ED381D16" w:tentative="1">
      <w:start w:val="1"/>
      <w:numFmt w:val="lowerRoman"/>
      <w:lvlText w:val="%9."/>
      <w:lvlJc w:val="right"/>
      <w:pPr>
        <w:ind w:left="6480" w:hanging="180"/>
      </w:pPr>
    </w:lvl>
  </w:abstractNum>
  <w:abstractNum w:abstractNumId="38">
    <w:nsid w:val="10EC72FC"/>
    <w:multiLevelType w:val="hybridMultilevel"/>
    <w:tmpl w:val="041CFE84"/>
    <w:lvl w:ilvl="0" w:tplc="C72EBC2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1DF5761"/>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40">
    <w:nsid w:val="125A3744"/>
    <w:multiLevelType w:val="hybridMultilevel"/>
    <w:tmpl w:val="C0B67BB8"/>
    <w:lvl w:ilvl="0" w:tplc="2106692C">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12FC6FBD"/>
    <w:multiLevelType w:val="hybridMultilevel"/>
    <w:tmpl w:val="EC840D3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38166D9"/>
    <w:multiLevelType w:val="hybridMultilevel"/>
    <w:tmpl w:val="D1900DF4"/>
    <w:lvl w:ilvl="0" w:tplc="04150003">
      <w:start w:val="1"/>
      <w:numFmt w:val="bullet"/>
      <w:lvlText w:val="o"/>
      <w:lvlJc w:val="left"/>
      <w:pPr>
        <w:ind w:left="927" w:hanging="360"/>
      </w:pPr>
      <w:rPr>
        <w:rFonts w:ascii="Courier New" w:hAnsi="Courier New" w:cs="Courier New"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nsid w:val="138174A2"/>
    <w:multiLevelType w:val="hybridMultilevel"/>
    <w:tmpl w:val="041CFE84"/>
    <w:lvl w:ilvl="0" w:tplc="04150003">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4">
    <w:nsid w:val="13A900CE"/>
    <w:multiLevelType w:val="hybridMultilevel"/>
    <w:tmpl w:val="2AB8242C"/>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13C4756F"/>
    <w:multiLevelType w:val="hybridMultilevel"/>
    <w:tmpl w:val="01E0268E"/>
    <w:lvl w:ilvl="0" w:tplc="502E84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13E9164B"/>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47">
    <w:nsid w:val="14135B08"/>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48">
    <w:nsid w:val="14BD3885"/>
    <w:multiLevelType w:val="hybridMultilevel"/>
    <w:tmpl w:val="90B630DC"/>
    <w:lvl w:ilvl="0" w:tplc="04150001">
      <w:start w:val="1"/>
      <w:numFmt w:val="decimal"/>
      <w:lvlText w:val="%1."/>
      <w:lvlJc w:val="left"/>
      <w:pPr>
        <w:ind w:left="720" w:hanging="360"/>
      </w:pPr>
      <w:rPr>
        <w:rFonts w:hint="default"/>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9">
    <w:nsid w:val="155C240F"/>
    <w:multiLevelType w:val="hybridMultilevel"/>
    <w:tmpl w:val="3168E9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61974DB"/>
    <w:multiLevelType w:val="hybridMultilevel"/>
    <w:tmpl w:val="79680E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66F5A49"/>
    <w:multiLevelType w:val="multilevel"/>
    <w:tmpl w:val="EA86D92A"/>
    <w:lvl w:ilvl="0">
      <w:start w:val="1"/>
      <w:numFmt w:val="decimal"/>
      <w:lvlText w:val="%1."/>
      <w:lvlJc w:val="left"/>
      <w:pPr>
        <w:ind w:left="720" w:hanging="360"/>
      </w:pPr>
      <w:rPr>
        <w:b w:val="0"/>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2">
    <w:nsid w:val="16E878EA"/>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53">
    <w:nsid w:val="171C5272"/>
    <w:multiLevelType w:val="hybridMultilevel"/>
    <w:tmpl w:val="8D2C43D6"/>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17217F77"/>
    <w:multiLevelType w:val="hybridMultilevel"/>
    <w:tmpl w:val="7ED890E2"/>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2106692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174A1D25"/>
    <w:multiLevelType w:val="multilevel"/>
    <w:tmpl w:val="49849D44"/>
    <w:lvl w:ilvl="0">
      <w:start w:val="1"/>
      <w:numFmt w:val="decimal"/>
      <w:lvlText w:val="%1."/>
      <w:lvlJc w:val="left"/>
      <w:pPr>
        <w:ind w:left="360"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56">
    <w:nsid w:val="175678C5"/>
    <w:multiLevelType w:val="hybridMultilevel"/>
    <w:tmpl w:val="5F56DEF6"/>
    <w:lvl w:ilvl="0" w:tplc="2C70085A">
      <w:start w:val="1"/>
      <w:numFmt w:val="decimal"/>
      <w:lvlText w:val="%1."/>
      <w:lvlJc w:val="left"/>
      <w:pPr>
        <w:ind w:left="720" w:hanging="360"/>
      </w:pPr>
      <w:rPr>
        <w:rFonts w:hint="default"/>
        <w:b w:val="0"/>
        <w:sz w:val="20"/>
        <w:szCs w:val="20"/>
      </w:rPr>
    </w:lvl>
    <w:lvl w:ilvl="1" w:tplc="9F784F34" w:tentative="1">
      <w:start w:val="1"/>
      <w:numFmt w:val="lowerLetter"/>
      <w:lvlText w:val="%2."/>
      <w:lvlJc w:val="left"/>
      <w:pPr>
        <w:ind w:left="1440" w:hanging="360"/>
      </w:pPr>
    </w:lvl>
    <w:lvl w:ilvl="2" w:tplc="050C1742" w:tentative="1">
      <w:start w:val="1"/>
      <w:numFmt w:val="lowerRoman"/>
      <w:lvlText w:val="%3."/>
      <w:lvlJc w:val="right"/>
      <w:pPr>
        <w:ind w:left="2160" w:hanging="180"/>
      </w:pPr>
    </w:lvl>
    <w:lvl w:ilvl="3" w:tplc="891EEB20" w:tentative="1">
      <w:start w:val="1"/>
      <w:numFmt w:val="decimal"/>
      <w:lvlText w:val="%4."/>
      <w:lvlJc w:val="left"/>
      <w:pPr>
        <w:ind w:left="2880" w:hanging="360"/>
      </w:pPr>
    </w:lvl>
    <w:lvl w:ilvl="4" w:tplc="B57CCA3E" w:tentative="1">
      <w:start w:val="1"/>
      <w:numFmt w:val="lowerLetter"/>
      <w:lvlText w:val="%5."/>
      <w:lvlJc w:val="left"/>
      <w:pPr>
        <w:ind w:left="3600" w:hanging="360"/>
      </w:pPr>
    </w:lvl>
    <w:lvl w:ilvl="5" w:tplc="4D7E5D70" w:tentative="1">
      <w:start w:val="1"/>
      <w:numFmt w:val="lowerRoman"/>
      <w:lvlText w:val="%6."/>
      <w:lvlJc w:val="right"/>
      <w:pPr>
        <w:ind w:left="4320" w:hanging="180"/>
      </w:pPr>
    </w:lvl>
    <w:lvl w:ilvl="6" w:tplc="F7C6125A" w:tentative="1">
      <w:start w:val="1"/>
      <w:numFmt w:val="decimal"/>
      <w:lvlText w:val="%7."/>
      <w:lvlJc w:val="left"/>
      <w:pPr>
        <w:ind w:left="5040" w:hanging="360"/>
      </w:pPr>
    </w:lvl>
    <w:lvl w:ilvl="7" w:tplc="52B2C786" w:tentative="1">
      <w:start w:val="1"/>
      <w:numFmt w:val="lowerLetter"/>
      <w:lvlText w:val="%8."/>
      <w:lvlJc w:val="left"/>
      <w:pPr>
        <w:ind w:left="5760" w:hanging="360"/>
      </w:pPr>
    </w:lvl>
    <w:lvl w:ilvl="8" w:tplc="E606EF3A" w:tentative="1">
      <w:start w:val="1"/>
      <w:numFmt w:val="lowerRoman"/>
      <w:lvlText w:val="%9."/>
      <w:lvlJc w:val="right"/>
      <w:pPr>
        <w:ind w:left="6480" w:hanging="180"/>
      </w:pPr>
    </w:lvl>
  </w:abstractNum>
  <w:abstractNum w:abstractNumId="57">
    <w:nsid w:val="1784612D"/>
    <w:multiLevelType w:val="hybridMultilevel"/>
    <w:tmpl w:val="9D704864"/>
    <w:lvl w:ilvl="0" w:tplc="21066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17A018D9"/>
    <w:multiLevelType w:val="hybridMultilevel"/>
    <w:tmpl w:val="041CFE84"/>
    <w:lvl w:ilvl="0" w:tplc="C98C983A">
      <w:start w:val="1"/>
      <w:numFmt w:val="decimal"/>
      <w:lvlText w:val="%1."/>
      <w:lvlJc w:val="left"/>
      <w:pPr>
        <w:ind w:left="720" w:hanging="360"/>
      </w:pPr>
      <w:rPr>
        <w:b w:val="0"/>
        <w:sz w:val="20"/>
        <w:szCs w:val="20"/>
      </w:rPr>
    </w:lvl>
    <w:lvl w:ilvl="1" w:tplc="499408F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17AC49B6"/>
    <w:multiLevelType w:val="hybridMultilevel"/>
    <w:tmpl w:val="1B8E6396"/>
    <w:lvl w:ilvl="0" w:tplc="C72EBC2A">
      <w:start w:val="1"/>
      <w:numFmt w:val="bullet"/>
      <w:lvlText w:val=""/>
      <w:lvlJc w:val="left"/>
      <w:pPr>
        <w:ind w:left="360" w:hanging="360"/>
      </w:pPr>
      <w:rPr>
        <w:rFonts w:ascii="Symbol" w:hAnsi="Symbol" w:hint="default"/>
      </w:rPr>
    </w:lvl>
    <w:lvl w:ilvl="1" w:tplc="04150019" w:tentative="1">
      <w:start w:val="1"/>
      <w:numFmt w:val="bullet"/>
      <w:lvlText w:val="o"/>
      <w:lvlJc w:val="left"/>
      <w:pPr>
        <w:ind w:left="1080" w:hanging="360"/>
      </w:pPr>
      <w:rPr>
        <w:rFonts w:ascii="Courier New" w:hAnsi="Courier New" w:cs="Courier New" w:hint="default"/>
      </w:rPr>
    </w:lvl>
    <w:lvl w:ilvl="2" w:tplc="0415001B" w:tentative="1">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60">
    <w:nsid w:val="17E3218C"/>
    <w:multiLevelType w:val="hybridMultilevel"/>
    <w:tmpl w:val="65585D28"/>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181F00E2"/>
    <w:multiLevelType w:val="hybridMultilevel"/>
    <w:tmpl w:val="480EA38C"/>
    <w:lvl w:ilvl="0" w:tplc="B0AA01BE">
      <w:start w:val="1"/>
      <w:numFmt w:val="lowerLetter"/>
      <w:lvlText w:val="%1)"/>
      <w:lvlJc w:val="left"/>
      <w:pPr>
        <w:ind w:left="720" w:hanging="360"/>
      </w:pPr>
      <w:rPr>
        <w:rFonts w:ascii="Verdana" w:hAnsi="Verdana"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2">
    <w:nsid w:val="183C5FB1"/>
    <w:multiLevelType w:val="hybridMultilevel"/>
    <w:tmpl w:val="CCDCB22C"/>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18534E1A"/>
    <w:multiLevelType w:val="hybridMultilevel"/>
    <w:tmpl w:val="2520A352"/>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19034D29"/>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65">
    <w:nsid w:val="193C37CE"/>
    <w:multiLevelType w:val="hybridMultilevel"/>
    <w:tmpl w:val="2AB481FE"/>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19B20517"/>
    <w:multiLevelType w:val="hybridMultilevel"/>
    <w:tmpl w:val="C908C080"/>
    <w:lvl w:ilvl="0" w:tplc="04150003">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nsid w:val="1A101DF2"/>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68">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9">
    <w:nsid w:val="1B204031"/>
    <w:multiLevelType w:val="hybridMultilevel"/>
    <w:tmpl w:val="9D8EEE66"/>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1BD3199B"/>
    <w:multiLevelType w:val="hybridMultilevel"/>
    <w:tmpl w:val="1B6EB230"/>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1BE973C7"/>
    <w:multiLevelType w:val="hybridMultilevel"/>
    <w:tmpl w:val="ED5ED8F6"/>
    <w:lvl w:ilvl="0" w:tplc="04150001">
      <w:start w:val="1"/>
      <w:numFmt w:val="bullet"/>
      <w:lvlText w:val="-"/>
      <w:lvlJc w:val="left"/>
      <w:pPr>
        <w:ind w:left="360" w:hanging="360"/>
      </w:pPr>
      <w:rPr>
        <w:rFonts w:ascii="Courier New" w:hAnsi="Courier New" w:hint="default"/>
        <w:b w:val="0"/>
        <w:sz w:val="26"/>
        <w:szCs w:val="26"/>
      </w:rPr>
    </w:lvl>
    <w:lvl w:ilvl="1" w:tplc="04150019" w:tentative="1">
      <w:start w:val="1"/>
      <w:numFmt w:val="bullet"/>
      <w:lvlText w:val="o"/>
      <w:lvlJc w:val="left"/>
      <w:pPr>
        <w:ind w:left="1080" w:hanging="360"/>
      </w:pPr>
      <w:rPr>
        <w:rFonts w:ascii="Courier New" w:hAnsi="Courier New" w:cs="Courier New" w:hint="default"/>
      </w:rPr>
    </w:lvl>
    <w:lvl w:ilvl="2" w:tplc="0415001B" w:tentative="1">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72">
    <w:nsid w:val="1C2B5B51"/>
    <w:multiLevelType w:val="hybridMultilevel"/>
    <w:tmpl w:val="FAE82A80"/>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1C8316D1"/>
    <w:multiLevelType w:val="hybridMultilevel"/>
    <w:tmpl w:val="041CFE84"/>
    <w:lvl w:ilvl="0" w:tplc="4FD63794">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4">
    <w:nsid w:val="1C8B4507"/>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75">
    <w:nsid w:val="1CE701A7"/>
    <w:multiLevelType w:val="hybridMultilevel"/>
    <w:tmpl w:val="4558C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1CF51512"/>
    <w:multiLevelType w:val="hybridMultilevel"/>
    <w:tmpl w:val="23B2ED28"/>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1CFB71CD"/>
    <w:multiLevelType w:val="hybridMultilevel"/>
    <w:tmpl w:val="3522E558"/>
    <w:lvl w:ilvl="0" w:tplc="1F7E6EC0">
      <w:start w:val="1"/>
      <w:numFmt w:val="bullet"/>
      <w:lvlText w:val=""/>
      <w:lvlJc w:val="left"/>
      <w:pPr>
        <w:ind w:left="360" w:hanging="360"/>
      </w:pPr>
      <w:rPr>
        <w:rFonts w:ascii="Symbol" w:hAnsi="Symbol" w:hint="default"/>
      </w:rPr>
    </w:lvl>
    <w:lvl w:ilvl="1" w:tplc="1AAEFF60" w:tentative="1">
      <w:start w:val="1"/>
      <w:numFmt w:val="bullet"/>
      <w:lvlText w:val="o"/>
      <w:lvlJc w:val="left"/>
      <w:pPr>
        <w:ind w:left="1080" w:hanging="360"/>
      </w:pPr>
      <w:rPr>
        <w:rFonts w:ascii="Courier New" w:hAnsi="Courier New" w:cs="Courier New" w:hint="default"/>
      </w:rPr>
    </w:lvl>
    <w:lvl w:ilvl="2" w:tplc="9E2EECC8" w:tentative="1">
      <w:start w:val="1"/>
      <w:numFmt w:val="bullet"/>
      <w:lvlText w:val=""/>
      <w:lvlJc w:val="left"/>
      <w:pPr>
        <w:ind w:left="1800" w:hanging="360"/>
      </w:pPr>
      <w:rPr>
        <w:rFonts w:ascii="Wingdings" w:hAnsi="Wingdings" w:hint="default"/>
      </w:rPr>
    </w:lvl>
    <w:lvl w:ilvl="3" w:tplc="57F0E716" w:tentative="1">
      <w:start w:val="1"/>
      <w:numFmt w:val="bullet"/>
      <w:lvlText w:val=""/>
      <w:lvlJc w:val="left"/>
      <w:pPr>
        <w:ind w:left="2520" w:hanging="360"/>
      </w:pPr>
      <w:rPr>
        <w:rFonts w:ascii="Symbol" w:hAnsi="Symbol" w:hint="default"/>
      </w:rPr>
    </w:lvl>
    <w:lvl w:ilvl="4" w:tplc="CDD4EC08" w:tentative="1">
      <w:start w:val="1"/>
      <w:numFmt w:val="bullet"/>
      <w:lvlText w:val="o"/>
      <w:lvlJc w:val="left"/>
      <w:pPr>
        <w:ind w:left="3240" w:hanging="360"/>
      </w:pPr>
      <w:rPr>
        <w:rFonts w:ascii="Courier New" w:hAnsi="Courier New" w:cs="Courier New" w:hint="default"/>
      </w:rPr>
    </w:lvl>
    <w:lvl w:ilvl="5" w:tplc="8632922A" w:tentative="1">
      <w:start w:val="1"/>
      <w:numFmt w:val="bullet"/>
      <w:lvlText w:val=""/>
      <w:lvlJc w:val="left"/>
      <w:pPr>
        <w:ind w:left="3960" w:hanging="360"/>
      </w:pPr>
      <w:rPr>
        <w:rFonts w:ascii="Wingdings" w:hAnsi="Wingdings" w:hint="default"/>
      </w:rPr>
    </w:lvl>
    <w:lvl w:ilvl="6" w:tplc="ED7C4A0A" w:tentative="1">
      <w:start w:val="1"/>
      <w:numFmt w:val="bullet"/>
      <w:lvlText w:val=""/>
      <w:lvlJc w:val="left"/>
      <w:pPr>
        <w:ind w:left="4680" w:hanging="360"/>
      </w:pPr>
      <w:rPr>
        <w:rFonts w:ascii="Symbol" w:hAnsi="Symbol" w:hint="default"/>
      </w:rPr>
    </w:lvl>
    <w:lvl w:ilvl="7" w:tplc="B9D6D638" w:tentative="1">
      <w:start w:val="1"/>
      <w:numFmt w:val="bullet"/>
      <w:lvlText w:val="o"/>
      <w:lvlJc w:val="left"/>
      <w:pPr>
        <w:ind w:left="5400" w:hanging="360"/>
      </w:pPr>
      <w:rPr>
        <w:rFonts w:ascii="Courier New" w:hAnsi="Courier New" w:cs="Courier New" w:hint="default"/>
      </w:rPr>
    </w:lvl>
    <w:lvl w:ilvl="8" w:tplc="9C2859B4" w:tentative="1">
      <w:start w:val="1"/>
      <w:numFmt w:val="bullet"/>
      <w:lvlText w:val=""/>
      <w:lvlJc w:val="left"/>
      <w:pPr>
        <w:ind w:left="6120" w:hanging="360"/>
      </w:pPr>
      <w:rPr>
        <w:rFonts w:ascii="Wingdings" w:hAnsi="Wingdings" w:hint="default"/>
      </w:rPr>
    </w:lvl>
  </w:abstractNum>
  <w:abstractNum w:abstractNumId="78">
    <w:nsid w:val="1D16120E"/>
    <w:multiLevelType w:val="hybridMultilevel"/>
    <w:tmpl w:val="B4EEBF14"/>
    <w:lvl w:ilvl="0" w:tplc="A66E7A26">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9">
    <w:nsid w:val="1DA60ED6"/>
    <w:multiLevelType w:val="hybridMultilevel"/>
    <w:tmpl w:val="041CFE84"/>
    <w:lvl w:ilvl="0" w:tplc="04150001">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80">
    <w:nsid w:val="1DB560D3"/>
    <w:multiLevelType w:val="hybridMultilevel"/>
    <w:tmpl w:val="041CFE84"/>
    <w:lvl w:ilvl="0" w:tplc="C72EBC2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1E50077D"/>
    <w:multiLevelType w:val="hybridMultilevel"/>
    <w:tmpl w:val="ED0440F0"/>
    <w:lvl w:ilvl="0" w:tplc="FFFFFFFF">
      <w:start w:val="1"/>
      <w:numFmt w:val="bullet"/>
      <w:lvlText w:val="-"/>
      <w:lvlJc w:val="left"/>
      <w:pPr>
        <w:ind w:left="1080" w:hanging="360"/>
      </w:pPr>
      <w:rPr>
        <w:rFonts w:ascii="Courier New" w:hAnsi="Courier New" w:hint="default"/>
        <w:b w:val="0"/>
        <w:sz w:val="26"/>
        <w:szCs w:val="26"/>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2">
    <w:nsid w:val="1E9856F3"/>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83">
    <w:nsid w:val="1F30196D"/>
    <w:multiLevelType w:val="hybridMultilevel"/>
    <w:tmpl w:val="4BC659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203C4E4B"/>
    <w:multiLevelType w:val="hybridMultilevel"/>
    <w:tmpl w:val="041CFE84"/>
    <w:lvl w:ilvl="0" w:tplc="04150001">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85">
    <w:nsid w:val="204D5DDE"/>
    <w:multiLevelType w:val="hybridMultilevel"/>
    <w:tmpl w:val="B8AE747C"/>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21EC0EDC"/>
    <w:multiLevelType w:val="hybridMultilevel"/>
    <w:tmpl w:val="5F584118"/>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22A84DE5"/>
    <w:multiLevelType w:val="hybridMultilevel"/>
    <w:tmpl w:val="242E3EAA"/>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22F7194E"/>
    <w:multiLevelType w:val="hybridMultilevel"/>
    <w:tmpl w:val="F48E7314"/>
    <w:lvl w:ilvl="0" w:tplc="04150001">
      <w:start w:val="1"/>
      <w:numFmt w:val="bullet"/>
      <w:lvlText w:val=""/>
      <w:lvlJc w:val="left"/>
      <w:pPr>
        <w:ind w:left="1080" w:hanging="360"/>
      </w:pPr>
      <w:rPr>
        <w:rFonts w:ascii="Symbol" w:hAnsi="Symbol" w:hint="default"/>
      </w:rPr>
    </w:lvl>
    <w:lvl w:ilvl="1" w:tplc="C3760ADC"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nsid w:val="234712D4"/>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90">
    <w:nsid w:val="2355331A"/>
    <w:multiLevelType w:val="hybridMultilevel"/>
    <w:tmpl w:val="8F148814"/>
    <w:lvl w:ilvl="0" w:tplc="21066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23EE159E"/>
    <w:multiLevelType w:val="hybridMultilevel"/>
    <w:tmpl w:val="EC4A8AFE"/>
    <w:lvl w:ilvl="0" w:tplc="FFFFFFFF">
      <w:start w:val="1"/>
      <w:numFmt w:val="bullet"/>
      <w:lvlText w:val="-"/>
      <w:lvlJc w:val="left"/>
      <w:pPr>
        <w:ind w:left="360" w:hanging="360"/>
      </w:pPr>
      <w:rPr>
        <w:rFonts w:ascii="Courier New" w:hAnsi="Courier New" w:hint="default"/>
        <w:b w:val="0"/>
        <w:sz w:val="26"/>
        <w:szCs w:val="26"/>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245D315E"/>
    <w:multiLevelType w:val="multilevel"/>
    <w:tmpl w:val="48A6695A"/>
    <w:lvl w:ilvl="0">
      <w:start w:val="1"/>
      <w:numFmt w:val="decimal"/>
      <w:lvlText w:val="%1."/>
      <w:lvlJc w:val="left"/>
      <w:pPr>
        <w:ind w:left="720" w:hanging="360"/>
      </w:pPr>
      <w:rPr>
        <w:b w:val="0"/>
        <w:sz w:val="20"/>
        <w:szCs w:val="20"/>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2160" w:hanging="180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93">
    <w:nsid w:val="24A22666"/>
    <w:multiLevelType w:val="hybridMultilevel"/>
    <w:tmpl w:val="AD1A7088"/>
    <w:lvl w:ilvl="0" w:tplc="21066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24ED3FD2"/>
    <w:multiLevelType w:val="hybridMultilevel"/>
    <w:tmpl w:val="041CFE84"/>
    <w:lvl w:ilvl="0" w:tplc="3F2A7D0A">
      <w:start w:val="1"/>
      <w:numFmt w:val="decimal"/>
      <w:lvlText w:val="%1."/>
      <w:lvlJc w:val="left"/>
      <w:pPr>
        <w:ind w:left="720" w:hanging="360"/>
      </w:pPr>
      <w:rPr>
        <w:b w:val="0"/>
        <w:sz w:val="20"/>
        <w:szCs w:val="20"/>
      </w:rPr>
    </w:lvl>
    <w:lvl w:ilvl="1" w:tplc="5AA6F61C" w:tentative="1">
      <w:start w:val="1"/>
      <w:numFmt w:val="lowerLetter"/>
      <w:lvlText w:val="%2."/>
      <w:lvlJc w:val="left"/>
      <w:pPr>
        <w:ind w:left="1440" w:hanging="360"/>
      </w:pPr>
    </w:lvl>
    <w:lvl w:ilvl="2" w:tplc="2A2080A2" w:tentative="1">
      <w:start w:val="1"/>
      <w:numFmt w:val="lowerRoman"/>
      <w:lvlText w:val="%3."/>
      <w:lvlJc w:val="right"/>
      <w:pPr>
        <w:ind w:left="2160" w:hanging="180"/>
      </w:pPr>
    </w:lvl>
    <w:lvl w:ilvl="3" w:tplc="6A0CE820" w:tentative="1">
      <w:start w:val="1"/>
      <w:numFmt w:val="decimal"/>
      <w:lvlText w:val="%4."/>
      <w:lvlJc w:val="left"/>
      <w:pPr>
        <w:ind w:left="2880" w:hanging="360"/>
      </w:pPr>
    </w:lvl>
    <w:lvl w:ilvl="4" w:tplc="A592438E" w:tentative="1">
      <w:start w:val="1"/>
      <w:numFmt w:val="lowerLetter"/>
      <w:lvlText w:val="%5."/>
      <w:lvlJc w:val="left"/>
      <w:pPr>
        <w:ind w:left="3600" w:hanging="360"/>
      </w:pPr>
    </w:lvl>
    <w:lvl w:ilvl="5" w:tplc="15EC576E" w:tentative="1">
      <w:start w:val="1"/>
      <w:numFmt w:val="lowerRoman"/>
      <w:lvlText w:val="%6."/>
      <w:lvlJc w:val="right"/>
      <w:pPr>
        <w:ind w:left="4320" w:hanging="180"/>
      </w:pPr>
    </w:lvl>
    <w:lvl w:ilvl="6" w:tplc="9202BB34" w:tentative="1">
      <w:start w:val="1"/>
      <w:numFmt w:val="decimal"/>
      <w:lvlText w:val="%7."/>
      <w:lvlJc w:val="left"/>
      <w:pPr>
        <w:ind w:left="5040" w:hanging="360"/>
      </w:pPr>
    </w:lvl>
    <w:lvl w:ilvl="7" w:tplc="65D28238" w:tentative="1">
      <w:start w:val="1"/>
      <w:numFmt w:val="lowerLetter"/>
      <w:lvlText w:val="%8."/>
      <w:lvlJc w:val="left"/>
      <w:pPr>
        <w:ind w:left="5760" w:hanging="360"/>
      </w:pPr>
    </w:lvl>
    <w:lvl w:ilvl="8" w:tplc="20A0DCA6" w:tentative="1">
      <w:start w:val="1"/>
      <w:numFmt w:val="lowerRoman"/>
      <w:lvlText w:val="%9."/>
      <w:lvlJc w:val="right"/>
      <w:pPr>
        <w:ind w:left="6480" w:hanging="180"/>
      </w:pPr>
    </w:lvl>
  </w:abstractNum>
  <w:abstractNum w:abstractNumId="95">
    <w:nsid w:val="25CC4948"/>
    <w:multiLevelType w:val="hybridMultilevel"/>
    <w:tmpl w:val="11926890"/>
    <w:lvl w:ilvl="0" w:tplc="04150001">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nsid w:val="25D101A6"/>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97">
    <w:nsid w:val="25F1579A"/>
    <w:multiLevelType w:val="hybridMultilevel"/>
    <w:tmpl w:val="F7DEB5E0"/>
    <w:lvl w:ilvl="0" w:tplc="FFFFFFFF">
      <w:start w:val="1"/>
      <w:numFmt w:val="bullet"/>
      <w:lvlText w:val="-"/>
      <w:lvlJc w:val="left"/>
      <w:pPr>
        <w:ind w:left="720" w:hanging="360"/>
      </w:pPr>
      <w:rPr>
        <w:rFonts w:ascii="Courier New" w:hAnsi="Courier New" w:hint="default"/>
        <w:b w:val="0"/>
        <w:sz w:val="26"/>
        <w:szCs w:val="26"/>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26216C98"/>
    <w:multiLevelType w:val="hybridMultilevel"/>
    <w:tmpl w:val="041CFE84"/>
    <w:lvl w:ilvl="0" w:tplc="28AA859C">
      <w:start w:val="1"/>
      <w:numFmt w:val="decimal"/>
      <w:lvlText w:val="%1."/>
      <w:lvlJc w:val="left"/>
      <w:pPr>
        <w:ind w:left="720" w:hanging="360"/>
      </w:pPr>
      <w:rPr>
        <w:b w:val="0"/>
        <w:sz w:val="20"/>
        <w:szCs w:val="20"/>
      </w:rPr>
    </w:lvl>
    <w:lvl w:ilvl="1" w:tplc="2926213C" w:tentative="1">
      <w:start w:val="1"/>
      <w:numFmt w:val="lowerLetter"/>
      <w:lvlText w:val="%2."/>
      <w:lvlJc w:val="left"/>
      <w:pPr>
        <w:ind w:left="1440" w:hanging="360"/>
      </w:pPr>
    </w:lvl>
    <w:lvl w:ilvl="2" w:tplc="7F7A0734" w:tentative="1">
      <w:start w:val="1"/>
      <w:numFmt w:val="lowerRoman"/>
      <w:lvlText w:val="%3."/>
      <w:lvlJc w:val="right"/>
      <w:pPr>
        <w:ind w:left="2160" w:hanging="180"/>
      </w:pPr>
    </w:lvl>
    <w:lvl w:ilvl="3" w:tplc="A01CFCBE" w:tentative="1">
      <w:start w:val="1"/>
      <w:numFmt w:val="decimal"/>
      <w:lvlText w:val="%4."/>
      <w:lvlJc w:val="left"/>
      <w:pPr>
        <w:ind w:left="2880" w:hanging="360"/>
      </w:pPr>
    </w:lvl>
    <w:lvl w:ilvl="4" w:tplc="9F38D808" w:tentative="1">
      <w:start w:val="1"/>
      <w:numFmt w:val="lowerLetter"/>
      <w:lvlText w:val="%5."/>
      <w:lvlJc w:val="left"/>
      <w:pPr>
        <w:ind w:left="3600" w:hanging="360"/>
      </w:pPr>
    </w:lvl>
    <w:lvl w:ilvl="5" w:tplc="26527142" w:tentative="1">
      <w:start w:val="1"/>
      <w:numFmt w:val="lowerRoman"/>
      <w:lvlText w:val="%6."/>
      <w:lvlJc w:val="right"/>
      <w:pPr>
        <w:ind w:left="4320" w:hanging="180"/>
      </w:pPr>
    </w:lvl>
    <w:lvl w:ilvl="6" w:tplc="936C2052" w:tentative="1">
      <w:start w:val="1"/>
      <w:numFmt w:val="decimal"/>
      <w:lvlText w:val="%7."/>
      <w:lvlJc w:val="left"/>
      <w:pPr>
        <w:ind w:left="5040" w:hanging="360"/>
      </w:pPr>
    </w:lvl>
    <w:lvl w:ilvl="7" w:tplc="5914E0CC" w:tentative="1">
      <w:start w:val="1"/>
      <w:numFmt w:val="lowerLetter"/>
      <w:lvlText w:val="%8."/>
      <w:lvlJc w:val="left"/>
      <w:pPr>
        <w:ind w:left="5760" w:hanging="360"/>
      </w:pPr>
    </w:lvl>
    <w:lvl w:ilvl="8" w:tplc="88B4D17C" w:tentative="1">
      <w:start w:val="1"/>
      <w:numFmt w:val="lowerRoman"/>
      <w:lvlText w:val="%9."/>
      <w:lvlJc w:val="right"/>
      <w:pPr>
        <w:ind w:left="6480" w:hanging="180"/>
      </w:pPr>
    </w:lvl>
  </w:abstractNum>
  <w:abstractNum w:abstractNumId="99">
    <w:nsid w:val="26802F62"/>
    <w:multiLevelType w:val="hybridMultilevel"/>
    <w:tmpl w:val="BADC20E8"/>
    <w:lvl w:ilvl="0" w:tplc="FFFFFFFF">
      <w:start w:val="1"/>
      <w:numFmt w:val="bullet"/>
      <w:lvlText w:val="-"/>
      <w:lvlJc w:val="left"/>
      <w:pPr>
        <w:ind w:left="720" w:hanging="360"/>
      </w:pPr>
      <w:rPr>
        <w:rFonts w:ascii="Courier New" w:hAnsi="Courier New" w:hint="default"/>
        <w:b w:val="0"/>
        <w:sz w:val="26"/>
        <w:szCs w:val="26"/>
      </w:rPr>
    </w:lvl>
    <w:lvl w:ilvl="1" w:tplc="6F7C55C6" w:tentative="1">
      <w:start w:val="1"/>
      <w:numFmt w:val="bullet"/>
      <w:lvlText w:val="o"/>
      <w:lvlJc w:val="left"/>
      <w:pPr>
        <w:ind w:left="1440" w:hanging="360"/>
      </w:pPr>
      <w:rPr>
        <w:rFonts w:ascii="Courier New" w:hAnsi="Courier New" w:cs="Courier New" w:hint="default"/>
      </w:rPr>
    </w:lvl>
    <w:lvl w:ilvl="2" w:tplc="FD8C89F2" w:tentative="1">
      <w:start w:val="1"/>
      <w:numFmt w:val="bullet"/>
      <w:lvlText w:val=""/>
      <w:lvlJc w:val="left"/>
      <w:pPr>
        <w:ind w:left="2160" w:hanging="360"/>
      </w:pPr>
      <w:rPr>
        <w:rFonts w:ascii="Wingdings" w:hAnsi="Wingdings" w:hint="default"/>
      </w:rPr>
    </w:lvl>
    <w:lvl w:ilvl="3" w:tplc="9FF6245E" w:tentative="1">
      <w:start w:val="1"/>
      <w:numFmt w:val="bullet"/>
      <w:lvlText w:val=""/>
      <w:lvlJc w:val="left"/>
      <w:pPr>
        <w:ind w:left="2880" w:hanging="360"/>
      </w:pPr>
      <w:rPr>
        <w:rFonts w:ascii="Symbol" w:hAnsi="Symbol" w:hint="default"/>
      </w:rPr>
    </w:lvl>
    <w:lvl w:ilvl="4" w:tplc="856C033A" w:tentative="1">
      <w:start w:val="1"/>
      <w:numFmt w:val="bullet"/>
      <w:lvlText w:val="o"/>
      <w:lvlJc w:val="left"/>
      <w:pPr>
        <w:ind w:left="3600" w:hanging="360"/>
      </w:pPr>
      <w:rPr>
        <w:rFonts w:ascii="Courier New" w:hAnsi="Courier New" w:cs="Courier New" w:hint="default"/>
      </w:rPr>
    </w:lvl>
    <w:lvl w:ilvl="5" w:tplc="3F2E399E" w:tentative="1">
      <w:start w:val="1"/>
      <w:numFmt w:val="bullet"/>
      <w:lvlText w:val=""/>
      <w:lvlJc w:val="left"/>
      <w:pPr>
        <w:ind w:left="4320" w:hanging="360"/>
      </w:pPr>
      <w:rPr>
        <w:rFonts w:ascii="Wingdings" w:hAnsi="Wingdings" w:hint="default"/>
      </w:rPr>
    </w:lvl>
    <w:lvl w:ilvl="6" w:tplc="AC7A6128" w:tentative="1">
      <w:start w:val="1"/>
      <w:numFmt w:val="bullet"/>
      <w:lvlText w:val=""/>
      <w:lvlJc w:val="left"/>
      <w:pPr>
        <w:ind w:left="5040" w:hanging="360"/>
      </w:pPr>
      <w:rPr>
        <w:rFonts w:ascii="Symbol" w:hAnsi="Symbol" w:hint="default"/>
      </w:rPr>
    </w:lvl>
    <w:lvl w:ilvl="7" w:tplc="BDE6C96C" w:tentative="1">
      <w:start w:val="1"/>
      <w:numFmt w:val="bullet"/>
      <w:lvlText w:val="o"/>
      <w:lvlJc w:val="left"/>
      <w:pPr>
        <w:ind w:left="5760" w:hanging="360"/>
      </w:pPr>
      <w:rPr>
        <w:rFonts w:ascii="Courier New" w:hAnsi="Courier New" w:cs="Courier New" w:hint="default"/>
      </w:rPr>
    </w:lvl>
    <w:lvl w:ilvl="8" w:tplc="EFCC20A4" w:tentative="1">
      <w:start w:val="1"/>
      <w:numFmt w:val="bullet"/>
      <w:lvlText w:val=""/>
      <w:lvlJc w:val="left"/>
      <w:pPr>
        <w:ind w:left="6480" w:hanging="360"/>
      </w:pPr>
      <w:rPr>
        <w:rFonts w:ascii="Wingdings" w:hAnsi="Wingdings" w:hint="default"/>
      </w:rPr>
    </w:lvl>
  </w:abstractNum>
  <w:abstractNum w:abstractNumId="100">
    <w:nsid w:val="26EF6743"/>
    <w:multiLevelType w:val="hybridMultilevel"/>
    <w:tmpl w:val="66E26DE2"/>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26FD67F6"/>
    <w:multiLevelType w:val="hybridMultilevel"/>
    <w:tmpl w:val="4FD8873C"/>
    <w:lvl w:ilvl="0" w:tplc="C72EBC2A">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02">
    <w:nsid w:val="2760371B"/>
    <w:multiLevelType w:val="hybridMultilevel"/>
    <w:tmpl w:val="8F2C2E98"/>
    <w:lvl w:ilvl="0" w:tplc="2106692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3">
    <w:nsid w:val="27A04D49"/>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04">
    <w:nsid w:val="28337372"/>
    <w:multiLevelType w:val="hybridMultilevel"/>
    <w:tmpl w:val="E2B2425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284E01D5"/>
    <w:multiLevelType w:val="hybridMultilevel"/>
    <w:tmpl w:val="041CFE84"/>
    <w:lvl w:ilvl="0" w:tplc="06E4AA70">
      <w:start w:val="1"/>
      <w:numFmt w:val="decimal"/>
      <w:lvlText w:val="%1."/>
      <w:lvlJc w:val="left"/>
      <w:pPr>
        <w:ind w:left="720" w:hanging="360"/>
      </w:pPr>
      <w:rPr>
        <w:b w:val="0"/>
        <w:sz w:val="20"/>
        <w:szCs w:val="20"/>
      </w:rPr>
    </w:lvl>
    <w:lvl w:ilvl="1" w:tplc="37DEBEFA" w:tentative="1">
      <w:start w:val="1"/>
      <w:numFmt w:val="lowerLetter"/>
      <w:lvlText w:val="%2."/>
      <w:lvlJc w:val="left"/>
      <w:pPr>
        <w:ind w:left="1440" w:hanging="360"/>
      </w:pPr>
    </w:lvl>
    <w:lvl w:ilvl="2" w:tplc="1082BB20" w:tentative="1">
      <w:start w:val="1"/>
      <w:numFmt w:val="lowerRoman"/>
      <w:lvlText w:val="%3."/>
      <w:lvlJc w:val="right"/>
      <w:pPr>
        <w:ind w:left="2160" w:hanging="180"/>
      </w:pPr>
    </w:lvl>
    <w:lvl w:ilvl="3" w:tplc="4FD412A0" w:tentative="1">
      <w:start w:val="1"/>
      <w:numFmt w:val="decimal"/>
      <w:lvlText w:val="%4."/>
      <w:lvlJc w:val="left"/>
      <w:pPr>
        <w:ind w:left="2880" w:hanging="360"/>
      </w:pPr>
    </w:lvl>
    <w:lvl w:ilvl="4" w:tplc="C87CB54C" w:tentative="1">
      <w:start w:val="1"/>
      <w:numFmt w:val="lowerLetter"/>
      <w:lvlText w:val="%5."/>
      <w:lvlJc w:val="left"/>
      <w:pPr>
        <w:ind w:left="3600" w:hanging="360"/>
      </w:pPr>
    </w:lvl>
    <w:lvl w:ilvl="5" w:tplc="BF12C698" w:tentative="1">
      <w:start w:val="1"/>
      <w:numFmt w:val="lowerRoman"/>
      <w:lvlText w:val="%6."/>
      <w:lvlJc w:val="right"/>
      <w:pPr>
        <w:ind w:left="4320" w:hanging="180"/>
      </w:pPr>
    </w:lvl>
    <w:lvl w:ilvl="6" w:tplc="64FEF378" w:tentative="1">
      <w:start w:val="1"/>
      <w:numFmt w:val="decimal"/>
      <w:lvlText w:val="%7."/>
      <w:lvlJc w:val="left"/>
      <w:pPr>
        <w:ind w:left="5040" w:hanging="360"/>
      </w:pPr>
    </w:lvl>
    <w:lvl w:ilvl="7" w:tplc="F21822CA" w:tentative="1">
      <w:start w:val="1"/>
      <w:numFmt w:val="lowerLetter"/>
      <w:lvlText w:val="%8."/>
      <w:lvlJc w:val="left"/>
      <w:pPr>
        <w:ind w:left="5760" w:hanging="360"/>
      </w:pPr>
    </w:lvl>
    <w:lvl w:ilvl="8" w:tplc="F1501386" w:tentative="1">
      <w:start w:val="1"/>
      <w:numFmt w:val="lowerRoman"/>
      <w:lvlText w:val="%9."/>
      <w:lvlJc w:val="right"/>
      <w:pPr>
        <w:ind w:left="6480" w:hanging="180"/>
      </w:pPr>
    </w:lvl>
  </w:abstractNum>
  <w:abstractNum w:abstractNumId="106">
    <w:nsid w:val="28C11E01"/>
    <w:multiLevelType w:val="hybridMultilevel"/>
    <w:tmpl w:val="041CFE84"/>
    <w:lvl w:ilvl="0" w:tplc="C72EBC2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29252715"/>
    <w:multiLevelType w:val="hybridMultilevel"/>
    <w:tmpl w:val="041CFE84"/>
    <w:lvl w:ilvl="0" w:tplc="C72EBC2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292772C7"/>
    <w:multiLevelType w:val="hybridMultilevel"/>
    <w:tmpl w:val="3806C924"/>
    <w:lvl w:ilvl="0" w:tplc="04150003">
      <w:start w:val="1"/>
      <w:numFmt w:val="bullet"/>
      <w:lvlText w:val="o"/>
      <w:lvlJc w:val="left"/>
      <w:pPr>
        <w:ind w:left="927" w:hanging="360"/>
      </w:pPr>
      <w:rPr>
        <w:rFonts w:ascii="Courier New" w:hAnsi="Courier New" w:cs="Courier New"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09">
    <w:nsid w:val="29D752E6"/>
    <w:multiLevelType w:val="hybridMultilevel"/>
    <w:tmpl w:val="376EDBD2"/>
    <w:lvl w:ilvl="0" w:tplc="C72EBC2A">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10">
    <w:nsid w:val="2A251220"/>
    <w:multiLevelType w:val="multilevel"/>
    <w:tmpl w:val="A36E1E8E"/>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720"/>
      </w:pPr>
      <w:rPr>
        <w:rFonts w:eastAsiaTheme="minorEastAsia" w:cstheme="minorBidi" w:hint="default"/>
        <w:b/>
        <w:color w:val="000000" w:themeColor="text1"/>
      </w:rPr>
    </w:lvl>
    <w:lvl w:ilvl="2">
      <w:start w:val="1"/>
      <w:numFmt w:val="bullet"/>
      <w:lvlText w:val=""/>
      <w:lvlJc w:val="left"/>
      <w:pPr>
        <w:ind w:left="1440" w:hanging="1080"/>
      </w:pPr>
      <w:rPr>
        <w:rFonts w:ascii="Symbol" w:hAnsi="Symbol" w:hint="default"/>
        <w:b/>
        <w:color w:val="000000" w:themeColor="text1"/>
        <w:sz w:val="20"/>
        <w:szCs w:val="20"/>
      </w:rPr>
    </w:lvl>
    <w:lvl w:ilvl="3">
      <w:start w:val="1"/>
      <w:numFmt w:val="decimal"/>
      <w:isLgl/>
      <w:lvlText w:val="%1.%2.%3.%4."/>
      <w:lvlJc w:val="left"/>
      <w:pPr>
        <w:ind w:left="1440" w:hanging="1080"/>
      </w:pPr>
      <w:rPr>
        <w:rFonts w:eastAsiaTheme="minorEastAsia" w:cstheme="minorBidi" w:hint="default"/>
        <w:b w:val="0"/>
        <w:color w:val="000000" w:themeColor="text1"/>
      </w:rPr>
    </w:lvl>
    <w:lvl w:ilvl="4">
      <w:start w:val="1"/>
      <w:numFmt w:val="decimal"/>
      <w:isLgl/>
      <w:lvlText w:val="%1.%2.%3.%4.%5."/>
      <w:lvlJc w:val="left"/>
      <w:pPr>
        <w:ind w:left="1800" w:hanging="1440"/>
      </w:pPr>
      <w:rPr>
        <w:rFonts w:eastAsiaTheme="minorEastAsia" w:cstheme="minorBidi" w:hint="default"/>
        <w:b w:val="0"/>
        <w:color w:val="000000" w:themeColor="text1"/>
      </w:rPr>
    </w:lvl>
    <w:lvl w:ilvl="5">
      <w:start w:val="1"/>
      <w:numFmt w:val="decimal"/>
      <w:isLgl/>
      <w:lvlText w:val="%1.%2.%3.%4.%5.%6."/>
      <w:lvlJc w:val="left"/>
      <w:pPr>
        <w:ind w:left="2160" w:hanging="1800"/>
      </w:pPr>
      <w:rPr>
        <w:rFonts w:eastAsiaTheme="minorEastAsia" w:cstheme="minorBidi" w:hint="default"/>
        <w:b w:val="0"/>
        <w:color w:val="000000" w:themeColor="text1"/>
      </w:rPr>
    </w:lvl>
    <w:lvl w:ilvl="6">
      <w:start w:val="1"/>
      <w:numFmt w:val="decimal"/>
      <w:isLgl/>
      <w:lvlText w:val="%1.%2.%3.%4.%5.%6.%7."/>
      <w:lvlJc w:val="left"/>
      <w:pPr>
        <w:ind w:left="2160" w:hanging="1800"/>
      </w:pPr>
      <w:rPr>
        <w:rFonts w:eastAsiaTheme="minorEastAsia" w:cstheme="minorBidi" w:hint="default"/>
        <w:b w:val="0"/>
        <w:color w:val="000000" w:themeColor="text1"/>
      </w:rPr>
    </w:lvl>
    <w:lvl w:ilvl="7">
      <w:start w:val="1"/>
      <w:numFmt w:val="decimal"/>
      <w:isLgl/>
      <w:lvlText w:val="%1.%2.%3.%4.%5.%6.%7.%8."/>
      <w:lvlJc w:val="left"/>
      <w:pPr>
        <w:ind w:left="2520" w:hanging="2160"/>
      </w:pPr>
      <w:rPr>
        <w:rFonts w:eastAsiaTheme="minorEastAsia" w:cstheme="minorBidi" w:hint="default"/>
        <w:b w:val="0"/>
        <w:color w:val="000000" w:themeColor="text1"/>
      </w:rPr>
    </w:lvl>
    <w:lvl w:ilvl="8">
      <w:start w:val="1"/>
      <w:numFmt w:val="decimal"/>
      <w:isLgl/>
      <w:lvlText w:val="%1.%2.%3.%4.%5.%6.%7.%8.%9."/>
      <w:lvlJc w:val="left"/>
      <w:pPr>
        <w:ind w:left="2880" w:hanging="2520"/>
      </w:pPr>
      <w:rPr>
        <w:rFonts w:eastAsiaTheme="minorEastAsia" w:cstheme="minorBidi" w:hint="default"/>
        <w:b w:val="0"/>
        <w:color w:val="000000" w:themeColor="text1"/>
      </w:rPr>
    </w:lvl>
  </w:abstractNum>
  <w:abstractNum w:abstractNumId="111">
    <w:nsid w:val="2A402457"/>
    <w:multiLevelType w:val="hybridMultilevel"/>
    <w:tmpl w:val="E2EAC928"/>
    <w:lvl w:ilvl="0" w:tplc="4EB04FE0">
      <w:start w:val="1"/>
      <w:numFmt w:val="bullet"/>
      <w:lvlText w:val="-"/>
      <w:lvlJc w:val="left"/>
      <w:pPr>
        <w:tabs>
          <w:tab w:val="num" w:pos="720"/>
        </w:tabs>
        <w:ind w:left="720" w:hanging="360"/>
      </w:pPr>
      <w:rPr>
        <w:rFonts w:ascii="Times New Roman" w:hAnsi="Times New Roman" w:cs="Times New Roman" w:hint="default"/>
      </w:rPr>
    </w:lvl>
    <w:lvl w:ilvl="1" w:tplc="EB84DDE6">
      <w:start w:val="1"/>
      <w:numFmt w:val="bullet"/>
      <w:lvlText w:val=""/>
      <w:lvlJc w:val="left"/>
      <w:pPr>
        <w:tabs>
          <w:tab w:val="num" w:pos="1440"/>
        </w:tabs>
        <w:ind w:left="1440" w:hanging="360"/>
      </w:pPr>
      <w:rPr>
        <w:rFonts w:ascii="Wingdings" w:hAnsi="Wingdings"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2">
    <w:nsid w:val="2B8D06E9"/>
    <w:multiLevelType w:val="hybridMultilevel"/>
    <w:tmpl w:val="9B94F3B2"/>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2C0D33EA"/>
    <w:multiLevelType w:val="hybridMultilevel"/>
    <w:tmpl w:val="BDC26306"/>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nsid w:val="2C3E0C5F"/>
    <w:multiLevelType w:val="multilevel"/>
    <w:tmpl w:val="BE60E4CC"/>
    <w:lvl w:ilvl="0">
      <w:start w:val="1"/>
      <w:numFmt w:val="decimal"/>
      <w:lvlText w:val="%1."/>
      <w:lvlJc w:val="left"/>
      <w:pPr>
        <w:ind w:left="720" w:hanging="360"/>
      </w:pPr>
      <w:rPr>
        <w:b w:val="0"/>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5">
    <w:nsid w:val="2C8F3380"/>
    <w:multiLevelType w:val="hybridMultilevel"/>
    <w:tmpl w:val="C31230D4"/>
    <w:lvl w:ilvl="0" w:tplc="21066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nsid w:val="2D363680"/>
    <w:multiLevelType w:val="hybridMultilevel"/>
    <w:tmpl w:val="F5380BF6"/>
    <w:lvl w:ilvl="0" w:tplc="D09A3C94">
      <w:start w:val="1"/>
      <w:numFmt w:val="decimal"/>
      <w:lvlText w:val="%1."/>
      <w:lvlJc w:val="left"/>
      <w:pPr>
        <w:ind w:left="720" w:hanging="360"/>
      </w:pPr>
      <w:rPr>
        <w:rFonts w:hint="default"/>
      </w:rPr>
    </w:lvl>
    <w:lvl w:ilvl="1" w:tplc="551807D8" w:tentative="1">
      <w:start w:val="1"/>
      <w:numFmt w:val="bullet"/>
      <w:lvlText w:val="o"/>
      <w:lvlJc w:val="left"/>
      <w:pPr>
        <w:ind w:left="1440" w:hanging="360"/>
      </w:pPr>
      <w:rPr>
        <w:rFonts w:ascii="Courier New" w:hAnsi="Courier New" w:cs="Courier New" w:hint="default"/>
      </w:rPr>
    </w:lvl>
    <w:lvl w:ilvl="2" w:tplc="6D70BA12" w:tentative="1">
      <w:start w:val="1"/>
      <w:numFmt w:val="bullet"/>
      <w:lvlText w:val=""/>
      <w:lvlJc w:val="left"/>
      <w:pPr>
        <w:ind w:left="2160" w:hanging="360"/>
      </w:pPr>
      <w:rPr>
        <w:rFonts w:ascii="Wingdings" w:hAnsi="Wingdings" w:hint="default"/>
      </w:rPr>
    </w:lvl>
    <w:lvl w:ilvl="3" w:tplc="E1EA8A24" w:tentative="1">
      <w:start w:val="1"/>
      <w:numFmt w:val="bullet"/>
      <w:lvlText w:val=""/>
      <w:lvlJc w:val="left"/>
      <w:pPr>
        <w:ind w:left="2880" w:hanging="360"/>
      </w:pPr>
      <w:rPr>
        <w:rFonts w:ascii="Symbol" w:hAnsi="Symbol" w:hint="default"/>
      </w:rPr>
    </w:lvl>
    <w:lvl w:ilvl="4" w:tplc="036CB47E" w:tentative="1">
      <w:start w:val="1"/>
      <w:numFmt w:val="bullet"/>
      <w:lvlText w:val="o"/>
      <w:lvlJc w:val="left"/>
      <w:pPr>
        <w:ind w:left="3600" w:hanging="360"/>
      </w:pPr>
      <w:rPr>
        <w:rFonts w:ascii="Courier New" w:hAnsi="Courier New" w:cs="Courier New" w:hint="default"/>
      </w:rPr>
    </w:lvl>
    <w:lvl w:ilvl="5" w:tplc="C2E2E930" w:tentative="1">
      <w:start w:val="1"/>
      <w:numFmt w:val="bullet"/>
      <w:lvlText w:val=""/>
      <w:lvlJc w:val="left"/>
      <w:pPr>
        <w:ind w:left="4320" w:hanging="360"/>
      </w:pPr>
      <w:rPr>
        <w:rFonts w:ascii="Wingdings" w:hAnsi="Wingdings" w:hint="default"/>
      </w:rPr>
    </w:lvl>
    <w:lvl w:ilvl="6" w:tplc="99446F4E" w:tentative="1">
      <w:start w:val="1"/>
      <w:numFmt w:val="bullet"/>
      <w:lvlText w:val=""/>
      <w:lvlJc w:val="left"/>
      <w:pPr>
        <w:ind w:left="5040" w:hanging="360"/>
      </w:pPr>
      <w:rPr>
        <w:rFonts w:ascii="Symbol" w:hAnsi="Symbol" w:hint="default"/>
      </w:rPr>
    </w:lvl>
    <w:lvl w:ilvl="7" w:tplc="9C223620" w:tentative="1">
      <w:start w:val="1"/>
      <w:numFmt w:val="bullet"/>
      <w:lvlText w:val="o"/>
      <w:lvlJc w:val="left"/>
      <w:pPr>
        <w:ind w:left="5760" w:hanging="360"/>
      </w:pPr>
      <w:rPr>
        <w:rFonts w:ascii="Courier New" w:hAnsi="Courier New" w:cs="Courier New" w:hint="default"/>
      </w:rPr>
    </w:lvl>
    <w:lvl w:ilvl="8" w:tplc="E482DE90" w:tentative="1">
      <w:start w:val="1"/>
      <w:numFmt w:val="bullet"/>
      <w:lvlText w:val=""/>
      <w:lvlJc w:val="left"/>
      <w:pPr>
        <w:ind w:left="6480" w:hanging="360"/>
      </w:pPr>
      <w:rPr>
        <w:rFonts w:ascii="Wingdings" w:hAnsi="Wingdings" w:hint="default"/>
      </w:rPr>
    </w:lvl>
  </w:abstractNum>
  <w:abstractNum w:abstractNumId="117">
    <w:nsid w:val="2DAC6092"/>
    <w:multiLevelType w:val="hybridMultilevel"/>
    <w:tmpl w:val="DC30D4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2E2E4450"/>
    <w:multiLevelType w:val="hybridMultilevel"/>
    <w:tmpl w:val="E03879D8"/>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nsid w:val="2E6A5495"/>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20">
    <w:nsid w:val="2E890895"/>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21">
    <w:nsid w:val="2E925549"/>
    <w:multiLevelType w:val="hybridMultilevel"/>
    <w:tmpl w:val="25AEF78A"/>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2EB8744B"/>
    <w:multiLevelType w:val="hybridMultilevel"/>
    <w:tmpl w:val="674EBC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2EEB3C8C"/>
    <w:multiLevelType w:val="multilevel"/>
    <w:tmpl w:val="CD1C27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nsid w:val="2EF227AB"/>
    <w:multiLevelType w:val="hybridMultilevel"/>
    <w:tmpl w:val="2A5A02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nsid w:val="2FF1705A"/>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26">
    <w:nsid w:val="303D50E9"/>
    <w:multiLevelType w:val="hybridMultilevel"/>
    <w:tmpl w:val="8ABA625E"/>
    <w:lvl w:ilvl="0" w:tplc="21066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nsid w:val="307C3A7B"/>
    <w:multiLevelType w:val="hybridMultilevel"/>
    <w:tmpl w:val="90E2AF4E"/>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315844E0"/>
    <w:multiLevelType w:val="hybridMultilevel"/>
    <w:tmpl w:val="041CFE84"/>
    <w:lvl w:ilvl="0" w:tplc="C3760ADC">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29">
    <w:nsid w:val="31AE1E71"/>
    <w:multiLevelType w:val="hybridMultilevel"/>
    <w:tmpl w:val="9844FA4C"/>
    <w:lvl w:ilvl="0" w:tplc="66B48F0C">
      <w:start w:val="5"/>
      <w:numFmt w:val="bullet"/>
      <w:lvlText w:val="-"/>
      <w:lvlJc w:val="left"/>
      <w:pPr>
        <w:tabs>
          <w:tab w:val="num" w:pos="720"/>
        </w:tabs>
        <w:ind w:left="720" w:hanging="360"/>
      </w:pPr>
      <w:rPr>
        <w:rFonts w:ascii="Times New Roman" w:hAnsi="Times New Roman" w:cs="Times New Roman" w:hint="default"/>
        <w:b/>
        <w:i w:val="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0">
    <w:nsid w:val="31E8548C"/>
    <w:multiLevelType w:val="hybridMultilevel"/>
    <w:tmpl w:val="8A1E1DF2"/>
    <w:lvl w:ilvl="0" w:tplc="2106692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nsid w:val="32396BE1"/>
    <w:multiLevelType w:val="hybridMultilevel"/>
    <w:tmpl w:val="C77A1068"/>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nsid w:val="32CD229A"/>
    <w:multiLevelType w:val="hybridMultilevel"/>
    <w:tmpl w:val="662894DE"/>
    <w:lvl w:ilvl="0" w:tplc="21066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nsid w:val="32DA1BEF"/>
    <w:multiLevelType w:val="hybridMultilevel"/>
    <w:tmpl w:val="041CFE84"/>
    <w:lvl w:ilvl="0" w:tplc="DAFC9362">
      <w:start w:val="1"/>
      <w:numFmt w:val="decimal"/>
      <w:lvlText w:val="%1."/>
      <w:lvlJc w:val="left"/>
      <w:pPr>
        <w:ind w:left="720" w:hanging="360"/>
      </w:pPr>
      <w:rPr>
        <w:b w:val="0"/>
        <w:sz w:val="20"/>
        <w:szCs w:val="20"/>
      </w:rPr>
    </w:lvl>
    <w:lvl w:ilvl="1" w:tplc="7B24A480" w:tentative="1">
      <w:start w:val="1"/>
      <w:numFmt w:val="lowerLetter"/>
      <w:lvlText w:val="%2."/>
      <w:lvlJc w:val="left"/>
      <w:pPr>
        <w:ind w:left="1440" w:hanging="360"/>
      </w:pPr>
    </w:lvl>
    <w:lvl w:ilvl="2" w:tplc="33469586" w:tentative="1">
      <w:start w:val="1"/>
      <w:numFmt w:val="lowerRoman"/>
      <w:lvlText w:val="%3."/>
      <w:lvlJc w:val="right"/>
      <w:pPr>
        <w:ind w:left="2160" w:hanging="180"/>
      </w:pPr>
    </w:lvl>
    <w:lvl w:ilvl="3" w:tplc="9920D41E" w:tentative="1">
      <w:start w:val="1"/>
      <w:numFmt w:val="decimal"/>
      <w:lvlText w:val="%4."/>
      <w:lvlJc w:val="left"/>
      <w:pPr>
        <w:ind w:left="2880" w:hanging="360"/>
      </w:pPr>
    </w:lvl>
    <w:lvl w:ilvl="4" w:tplc="304AF164" w:tentative="1">
      <w:start w:val="1"/>
      <w:numFmt w:val="lowerLetter"/>
      <w:lvlText w:val="%5."/>
      <w:lvlJc w:val="left"/>
      <w:pPr>
        <w:ind w:left="3600" w:hanging="360"/>
      </w:pPr>
    </w:lvl>
    <w:lvl w:ilvl="5" w:tplc="0930C78A" w:tentative="1">
      <w:start w:val="1"/>
      <w:numFmt w:val="lowerRoman"/>
      <w:lvlText w:val="%6."/>
      <w:lvlJc w:val="right"/>
      <w:pPr>
        <w:ind w:left="4320" w:hanging="180"/>
      </w:pPr>
    </w:lvl>
    <w:lvl w:ilvl="6" w:tplc="99666F0C" w:tentative="1">
      <w:start w:val="1"/>
      <w:numFmt w:val="decimal"/>
      <w:lvlText w:val="%7."/>
      <w:lvlJc w:val="left"/>
      <w:pPr>
        <w:ind w:left="5040" w:hanging="360"/>
      </w:pPr>
    </w:lvl>
    <w:lvl w:ilvl="7" w:tplc="86C6DE94" w:tentative="1">
      <w:start w:val="1"/>
      <w:numFmt w:val="lowerLetter"/>
      <w:lvlText w:val="%8."/>
      <w:lvlJc w:val="left"/>
      <w:pPr>
        <w:ind w:left="5760" w:hanging="360"/>
      </w:pPr>
    </w:lvl>
    <w:lvl w:ilvl="8" w:tplc="8F3A2382" w:tentative="1">
      <w:start w:val="1"/>
      <w:numFmt w:val="lowerRoman"/>
      <w:lvlText w:val="%9."/>
      <w:lvlJc w:val="right"/>
      <w:pPr>
        <w:ind w:left="6480" w:hanging="180"/>
      </w:pPr>
    </w:lvl>
  </w:abstractNum>
  <w:abstractNum w:abstractNumId="134">
    <w:nsid w:val="32DD7B45"/>
    <w:multiLevelType w:val="hybridMultilevel"/>
    <w:tmpl w:val="E138C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32E41EC6"/>
    <w:multiLevelType w:val="hybridMultilevel"/>
    <w:tmpl w:val="041CFE84"/>
    <w:lvl w:ilvl="0" w:tplc="C3760ADC">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36">
    <w:nsid w:val="33033EF6"/>
    <w:multiLevelType w:val="multilevel"/>
    <w:tmpl w:val="91A83D5A"/>
    <w:lvl w:ilvl="0">
      <w:start w:val="1"/>
      <w:numFmt w:val="decimal"/>
      <w:lvlText w:val="%1."/>
      <w:lvlJc w:val="left"/>
      <w:pPr>
        <w:ind w:left="720" w:hanging="360"/>
      </w:pPr>
      <w:rPr>
        <w:b w:val="0"/>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7">
    <w:nsid w:val="33824248"/>
    <w:multiLevelType w:val="hybridMultilevel"/>
    <w:tmpl w:val="2D28C88C"/>
    <w:lvl w:ilvl="0" w:tplc="21066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nsid w:val="346F4844"/>
    <w:multiLevelType w:val="multilevel"/>
    <w:tmpl w:val="33D872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nsid w:val="34E204E2"/>
    <w:multiLevelType w:val="multilevel"/>
    <w:tmpl w:val="B5E6CBFE"/>
    <w:lvl w:ilvl="0">
      <w:start w:val="1"/>
      <w:numFmt w:val="decimal"/>
      <w:lvlText w:val="%1."/>
      <w:lvlJc w:val="left"/>
      <w:pPr>
        <w:ind w:left="720" w:hanging="360"/>
      </w:pPr>
      <w:rPr>
        <w:rFonts w:hint="default"/>
        <w:b w:val="0"/>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0">
    <w:nsid w:val="35554DE9"/>
    <w:multiLevelType w:val="hybridMultilevel"/>
    <w:tmpl w:val="83B2EC82"/>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358864C6"/>
    <w:multiLevelType w:val="hybridMultilevel"/>
    <w:tmpl w:val="98D6C2A2"/>
    <w:lvl w:ilvl="0" w:tplc="C72EBC2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2">
    <w:nsid w:val="35FC4B1F"/>
    <w:multiLevelType w:val="hybridMultilevel"/>
    <w:tmpl w:val="34983664"/>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361B7944"/>
    <w:multiLevelType w:val="hybridMultilevel"/>
    <w:tmpl w:val="041CFE84"/>
    <w:lvl w:ilvl="0" w:tplc="2D22C086">
      <w:start w:val="1"/>
      <w:numFmt w:val="decimal"/>
      <w:lvlText w:val="%1."/>
      <w:lvlJc w:val="left"/>
      <w:pPr>
        <w:ind w:left="720" w:hanging="360"/>
      </w:pPr>
      <w:rPr>
        <w:b w:val="0"/>
        <w:sz w:val="20"/>
        <w:szCs w:val="20"/>
      </w:rPr>
    </w:lvl>
    <w:lvl w:ilvl="1" w:tplc="7500F0F8" w:tentative="1">
      <w:start w:val="1"/>
      <w:numFmt w:val="lowerLetter"/>
      <w:lvlText w:val="%2."/>
      <w:lvlJc w:val="left"/>
      <w:pPr>
        <w:ind w:left="1440" w:hanging="360"/>
      </w:pPr>
    </w:lvl>
    <w:lvl w:ilvl="2" w:tplc="0764E292" w:tentative="1">
      <w:start w:val="1"/>
      <w:numFmt w:val="lowerRoman"/>
      <w:lvlText w:val="%3."/>
      <w:lvlJc w:val="right"/>
      <w:pPr>
        <w:ind w:left="2160" w:hanging="180"/>
      </w:pPr>
    </w:lvl>
    <w:lvl w:ilvl="3" w:tplc="7598D9B2" w:tentative="1">
      <w:start w:val="1"/>
      <w:numFmt w:val="decimal"/>
      <w:lvlText w:val="%4."/>
      <w:lvlJc w:val="left"/>
      <w:pPr>
        <w:ind w:left="2880" w:hanging="360"/>
      </w:pPr>
    </w:lvl>
    <w:lvl w:ilvl="4" w:tplc="2BC0D556" w:tentative="1">
      <w:start w:val="1"/>
      <w:numFmt w:val="lowerLetter"/>
      <w:lvlText w:val="%5."/>
      <w:lvlJc w:val="left"/>
      <w:pPr>
        <w:ind w:left="3600" w:hanging="360"/>
      </w:pPr>
    </w:lvl>
    <w:lvl w:ilvl="5" w:tplc="04266C2A" w:tentative="1">
      <w:start w:val="1"/>
      <w:numFmt w:val="lowerRoman"/>
      <w:lvlText w:val="%6."/>
      <w:lvlJc w:val="right"/>
      <w:pPr>
        <w:ind w:left="4320" w:hanging="180"/>
      </w:pPr>
    </w:lvl>
    <w:lvl w:ilvl="6" w:tplc="E6D62CCE" w:tentative="1">
      <w:start w:val="1"/>
      <w:numFmt w:val="decimal"/>
      <w:lvlText w:val="%7."/>
      <w:lvlJc w:val="left"/>
      <w:pPr>
        <w:ind w:left="5040" w:hanging="360"/>
      </w:pPr>
    </w:lvl>
    <w:lvl w:ilvl="7" w:tplc="28E6672C" w:tentative="1">
      <w:start w:val="1"/>
      <w:numFmt w:val="lowerLetter"/>
      <w:lvlText w:val="%8."/>
      <w:lvlJc w:val="left"/>
      <w:pPr>
        <w:ind w:left="5760" w:hanging="360"/>
      </w:pPr>
    </w:lvl>
    <w:lvl w:ilvl="8" w:tplc="A24827FA" w:tentative="1">
      <w:start w:val="1"/>
      <w:numFmt w:val="lowerRoman"/>
      <w:lvlText w:val="%9."/>
      <w:lvlJc w:val="right"/>
      <w:pPr>
        <w:ind w:left="6480" w:hanging="180"/>
      </w:pPr>
    </w:lvl>
  </w:abstractNum>
  <w:abstractNum w:abstractNumId="144">
    <w:nsid w:val="381D723E"/>
    <w:multiLevelType w:val="hybridMultilevel"/>
    <w:tmpl w:val="83887A0C"/>
    <w:lvl w:ilvl="0" w:tplc="999ED15C">
      <w:start w:val="1"/>
      <w:numFmt w:val="lowerLetter"/>
      <w:lvlText w:val="%1)"/>
      <w:lvlJc w:val="left"/>
      <w:pPr>
        <w:ind w:left="720" w:hanging="360"/>
      </w:pPr>
      <w:rPr>
        <w:rFonts w:ascii="Verdana" w:hAnsi="Verdana" w:cs="Times New Roman" w:hint="default"/>
        <w:b w:val="0"/>
        <w:bCs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45">
    <w:nsid w:val="39AA78F9"/>
    <w:multiLevelType w:val="hybridMultilevel"/>
    <w:tmpl w:val="C9381600"/>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nsid w:val="39F23CE7"/>
    <w:multiLevelType w:val="hybridMultilevel"/>
    <w:tmpl w:val="041CFE84"/>
    <w:lvl w:ilvl="0" w:tplc="C72EBC2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3A0B6756"/>
    <w:multiLevelType w:val="hybridMultilevel"/>
    <w:tmpl w:val="3A1244B0"/>
    <w:lvl w:ilvl="0" w:tplc="04150003">
      <w:start w:val="1"/>
      <w:numFmt w:val="bullet"/>
      <w:lvlText w:val="o"/>
      <w:lvlJc w:val="left"/>
      <w:pPr>
        <w:ind w:left="1146" w:hanging="360"/>
      </w:pPr>
      <w:rPr>
        <w:rFonts w:ascii="Courier New" w:hAnsi="Courier New" w:cs="Courier New"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8">
    <w:nsid w:val="3B600D5A"/>
    <w:multiLevelType w:val="hybridMultilevel"/>
    <w:tmpl w:val="EB4E8F7C"/>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nsid w:val="3D122072"/>
    <w:multiLevelType w:val="hybridMultilevel"/>
    <w:tmpl w:val="041CFE84"/>
    <w:lvl w:ilvl="0" w:tplc="C72EBC2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3D1334DF"/>
    <w:multiLevelType w:val="hybridMultilevel"/>
    <w:tmpl w:val="33D49A54"/>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nsid w:val="3D2869A2"/>
    <w:multiLevelType w:val="hybridMultilevel"/>
    <w:tmpl w:val="97480AD4"/>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nsid w:val="3D6D32BD"/>
    <w:multiLevelType w:val="hybridMultilevel"/>
    <w:tmpl w:val="041CFE84"/>
    <w:lvl w:ilvl="0" w:tplc="04150003">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53">
    <w:nsid w:val="3DA226C4"/>
    <w:multiLevelType w:val="hybridMultilevel"/>
    <w:tmpl w:val="DEA86F2E"/>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nsid w:val="3DA92FF2"/>
    <w:multiLevelType w:val="hybridMultilevel"/>
    <w:tmpl w:val="041CFE84"/>
    <w:lvl w:ilvl="0" w:tplc="04150001">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55">
    <w:nsid w:val="3DB75CAE"/>
    <w:multiLevelType w:val="hybridMultilevel"/>
    <w:tmpl w:val="9698EB22"/>
    <w:lvl w:ilvl="0" w:tplc="04150003">
      <w:start w:val="1"/>
      <w:numFmt w:val="bullet"/>
      <w:lvlText w:val="o"/>
      <w:lvlJc w:val="left"/>
      <w:pPr>
        <w:ind w:left="1852" w:hanging="360"/>
      </w:pPr>
      <w:rPr>
        <w:rFonts w:ascii="Courier New" w:hAnsi="Courier New" w:cs="Courier New" w:hint="default"/>
      </w:rPr>
    </w:lvl>
    <w:lvl w:ilvl="1" w:tplc="04150003" w:tentative="1">
      <w:start w:val="1"/>
      <w:numFmt w:val="bullet"/>
      <w:lvlText w:val="o"/>
      <w:lvlJc w:val="left"/>
      <w:pPr>
        <w:ind w:left="2572" w:hanging="360"/>
      </w:pPr>
      <w:rPr>
        <w:rFonts w:ascii="Courier New" w:hAnsi="Courier New" w:cs="Courier New" w:hint="default"/>
      </w:rPr>
    </w:lvl>
    <w:lvl w:ilvl="2" w:tplc="04150005" w:tentative="1">
      <w:start w:val="1"/>
      <w:numFmt w:val="bullet"/>
      <w:lvlText w:val=""/>
      <w:lvlJc w:val="left"/>
      <w:pPr>
        <w:ind w:left="3292" w:hanging="360"/>
      </w:pPr>
      <w:rPr>
        <w:rFonts w:ascii="Wingdings" w:hAnsi="Wingdings" w:hint="default"/>
      </w:rPr>
    </w:lvl>
    <w:lvl w:ilvl="3" w:tplc="04150001" w:tentative="1">
      <w:start w:val="1"/>
      <w:numFmt w:val="bullet"/>
      <w:lvlText w:val=""/>
      <w:lvlJc w:val="left"/>
      <w:pPr>
        <w:ind w:left="4012" w:hanging="360"/>
      </w:pPr>
      <w:rPr>
        <w:rFonts w:ascii="Symbol" w:hAnsi="Symbol" w:hint="default"/>
      </w:rPr>
    </w:lvl>
    <w:lvl w:ilvl="4" w:tplc="04150003" w:tentative="1">
      <w:start w:val="1"/>
      <w:numFmt w:val="bullet"/>
      <w:lvlText w:val="o"/>
      <w:lvlJc w:val="left"/>
      <w:pPr>
        <w:ind w:left="4732" w:hanging="360"/>
      </w:pPr>
      <w:rPr>
        <w:rFonts w:ascii="Courier New" w:hAnsi="Courier New" w:cs="Courier New" w:hint="default"/>
      </w:rPr>
    </w:lvl>
    <w:lvl w:ilvl="5" w:tplc="04150005" w:tentative="1">
      <w:start w:val="1"/>
      <w:numFmt w:val="bullet"/>
      <w:lvlText w:val=""/>
      <w:lvlJc w:val="left"/>
      <w:pPr>
        <w:ind w:left="5452" w:hanging="360"/>
      </w:pPr>
      <w:rPr>
        <w:rFonts w:ascii="Wingdings" w:hAnsi="Wingdings" w:hint="default"/>
      </w:rPr>
    </w:lvl>
    <w:lvl w:ilvl="6" w:tplc="04150001" w:tentative="1">
      <w:start w:val="1"/>
      <w:numFmt w:val="bullet"/>
      <w:lvlText w:val=""/>
      <w:lvlJc w:val="left"/>
      <w:pPr>
        <w:ind w:left="6172" w:hanging="360"/>
      </w:pPr>
      <w:rPr>
        <w:rFonts w:ascii="Symbol" w:hAnsi="Symbol" w:hint="default"/>
      </w:rPr>
    </w:lvl>
    <w:lvl w:ilvl="7" w:tplc="04150003" w:tentative="1">
      <w:start w:val="1"/>
      <w:numFmt w:val="bullet"/>
      <w:lvlText w:val="o"/>
      <w:lvlJc w:val="left"/>
      <w:pPr>
        <w:ind w:left="6892" w:hanging="360"/>
      </w:pPr>
      <w:rPr>
        <w:rFonts w:ascii="Courier New" w:hAnsi="Courier New" w:cs="Courier New" w:hint="default"/>
      </w:rPr>
    </w:lvl>
    <w:lvl w:ilvl="8" w:tplc="04150005" w:tentative="1">
      <w:start w:val="1"/>
      <w:numFmt w:val="bullet"/>
      <w:lvlText w:val=""/>
      <w:lvlJc w:val="left"/>
      <w:pPr>
        <w:ind w:left="7612" w:hanging="360"/>
      </w:pPr>
      <w:rPr>
        <w:rFonts w:ascii="Wingdings" w:hAnsi="Wingdings" w:hint="default"/>
      </w:rPr>
    </w:lvl>
  </w:abstractNum>
  <w:abstractNum w:abstractNumId="156">
    <w:nsid w:val="3DC85A34"/>
    <w:multiLevelType w:val="hybridMultilevel"/>
    <w:tmpl w:val="97B45A06"/>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nsid w:val="3F1B3D2F"/>
    <w:multiLevelType w:val="hybridMultilevel"/>
    <w:tmpl w:val="E7AA1FE0"/>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nsid w:val="3F8C30BF"/>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59">
    <w:nsid w:val="410942B8"/>
    <w:multiLevelType w:val="hybridMultilevel"/>
    <w:tmpl w:val="90B630DC"/>
    <w:lvl w:ilvl="0" w:tplc="04150001">
      <w:start w:val="1"/>
      <w:numFmt w:val="decimal"/>
      <w:lvlText w:val="%1."/>
      <w:lvlJc w:val="left"/>
      <w:pPr>
        <w:ind w:left="720" w:hanging="360"/>
      </w:pPr>
      <w:rPr>
        <w:rFonts w:hint="default"/>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60">
    <w:nsid w:val="41E24354"/>
    <w:multiLevelType w:val="hybridMultilevel"/>
    <w:tmpl w:val="6A12ABF2"/>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nsid w:val="41FC2963"/>
    <w:multiLevelType w:val="hybridMultilevel"/>
    <w:tmpl w:val="041CFE84"/>
    <w:lvl w:ilvl="0" w:tplc="8E20C2C2">
      <w:start w:val="1"/>
      <w:numFmt w:val="decimal"/>
      <w:lvlText w:val="%1."/>
      <w:lvlJc w:val="left"/>
      <w:pPr>
        <w:ind w:left="720" w:hanging="360"/>
      </w:pPr>
      <w:rPr>
        <w:b w:val="0"/>
        <w:sz w:val="20"/>
        <w:szCs w:val="20"/>
      </w:rPr>
    </w:lvl>
    <w:lvl w:ilvl="1" w:tplc="45DA48CC" w:tentative="1">
      <w:start w:val="1"/>
      <w:numFmt w:val="lowerLetter"/>
      <w:lvlText w:val="%2."/>
      <w:lvlJc w:val="left"/>
      <w:pPr>
        <w:ind w:left="1440" w:hanging="360"/>
      </w:pPr>
    </w:lvl>
    <w:lvl w:ilvl="2" w:tplc="218410CE" w:tentative="1">
      <w:start w:val="1"/>
      <w:numFmt w:val="lowerRoman"/>
      <w:lvlText w:val="%3."/>
      <w:lvlJc w:val="right"/>
      <w:pPr>
        <w:ind w:left="2160" w:hanging="180"/>
      </w:pPr>
    </w:lvl>
    <w:lvl w:ilvl="3" w:tplc="310CF442" w:tentative="1">
      <w:start w:val="1"/>
      <w:numFmt w:val="decimal"/>
      <w:lvlText w:val="%4."/>
      <w:lvlJc w:val="left"/>
      <w:pPr>
        <w:ind w:left="2880" w:hanging="360"/>
      </w:pPr>
    </w:lvl>
    <w:lvl w:ilvl="4" w:tplc="32322FCC" w:tentative="1">
      <w:start w:val="1"/>
      <w:numFmt w:val="lowerLetter"/>
      <w:lvlText w:val="%5."/>
      <w:lvlJc w:val="left"/>
      <w:pPr>
        <w:ind w:left="3600" w:hanging="360"/>
      </w:pPr>
    </w:lvl>
    <w:lvl w:ilvl="5" w:tplc="FCA60BC6" w:tentative="1">
      <w:start w:val="1"/>
      <w:numFmt w:val="lowerRoman"/>
      <w:lvlText w:val="%6."/>
      <w:lvlJc w:val="right"/>
      <w:pPr>
        <w:ind w:left="4320" w:hanging="180"/>
      </w:pPr>
    </w:lvl>
    <w:lvl w:ilvl="6" w:tplc="0FA47B42" w:tentative="1">
      <w:start w:val="1"/>
      <w:numFmt w:val="decimal"/>
      <w:lvlText w:val="%7."/>
      <w:lvlJc w:val="left"/>
      <w:pPr>
        <w:ind w:left="5040" w:hanging="360"/>
      </w:pPr>
    </w:lvl>
    <w:lvl w:ilvl="7" w:tplc="229C040E" w:tentative="1">
      <w:start w:val="1"/>
      <w:numFmt w:val="lowerLetter"/>
      <w:lvlText w:val="%8."/>
      <w:lvlJc w:val="left"/>
      <w:pPr>
        <w:ind w:left="5760" w:hanging="360"/>
      </w:pPr>
    </w:lvl>
    <w:lvl w:ilvl="8" w:tplc="D81C2DD0" w:tentative="1">
      <w:start w:val="1"/>
      <w:numFmt w:val="lowerRoman"/>
      <w:lvlText w:val="%9."/>
      <w:lvlJc w:val="right"/>
      <w:pPr>
        <w:ind w:left="6480" w:hanging="180"/>
      </w:pPr>
    </w:lvl>
  </w:abstractNum>
  <w:abstractNum w:abstractNumId="162">
    <w:nsid w:val="43654A8F"/>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63">
    <w:nsid w:val="44373C49"/>
    <w:multiLevelType w:val="hybridMultilevel"/>
    <w:tmpl w:val="480EA38C"/>
    <w:lvl w:ilvl="0" w:tplc="B0AA01BE">
      <w:start w:val="1"/>
      <w:numFmt w:val="lowerLetter"/>
      <w:lvlText w:val="%1)"/>
      <w:lvlJc w:val="left"/>
      <w:pPr>
        <w:ind w:left="720" w:hanging="360"/>
      </w:pPr>
      <w:rPr>
        <w:rFonts w:ascii="Verdana" w:hAnsi="Verdana"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64">
    <w:nsid w:val="44385EBE"/>
    <w:multiLevelType w:val="hybridMultilevel"/>
    <w:tmpl w:val="041CFE84"/>
    <w:lvl w:ilvl="0" w:tplc="04150001">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65">
    <w:nsid w:val="44647451"/>
    <w:multiLevelType w:val="hybridMultilevel"/>
    <w:tmpl w:val="2DFEC638"/>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nsid w:val="44B45EFC"/>
    <w:multiLevelType w:val="multilevel"/>
    <w:tmpl w:val="45D6A584"/>
    <w:lvl w:ilvl="0">
      <w:start w:val="1"/>
      <w:numFmt w:val="decimal"/>
      <w:lvlText w:val="%1."/>
      <w:lvlJc w:val="left"/>
      <w:pPr>
        <w:ind w:left="720" w:hanging="360"/>
      </w:pPr>
      <w:rPr>
        <w:b w:val="0"/>
        <w:sz w:val="20"/>
        <w:szCs w:val="20"/>
      </w:rPr>
    </w:lvl>
    <w:lvl w:ilvl="1">
      <w:start w:val="1"/>
      <w:numFmt w:val="decimal"/>
      <w:isLgl/>
      <w:lvlText w:val="%1.%2."/>
      <w:lvlJc w:val="left"/>
      <w:pPr>
        <w:ind w:left="1080" w:hanging="720"/>
      </w:pPr>
      <w:rPr>
        <w:rFonts w:asciiTheme="minorHAnsi" w:eastAsiaTheme="minorHAnsi" w:hAnsiTheme="minorHAnsi" w:cstheme="minorBidi" w:hint="default"/>
        <w:color w:val="auto"/>
        <w:sz w:val="22"/>
      </w:rPr>
    </w:lvl>
    <w:lvl w:ilvl="2">
      <w:start w:val="1"/>
      <w:numFmt w:val="decimal"/>
      <w:isLgl/>
      <w:lvlText w:val="%1.%2.%3."/>
      <w:lvlJc w:val="left"/>
      <w:pPr>
        <w:ind w:left="1080" w:hanging="720"/>
      </w:pPr>
      <w:rPr>
        <w:rFonts w:asciiTheme="minorHAnsi" w:eastAsiaTheme="minorHAnsi" w:hAnsiTheme="minorHAnsi" w:cstheme="minorBidi" w:hint="default"/>
        <w:color w:val="auto"/>
        <w:sz w:val="22"/>
      </w:rPr>
    </w:lvl>
    <w:lvl w:ilvl="3">
      <w:start w:val="1"/>
      <w:numFmt w:val="decimal"/>
      <w:isLgl/>
      <w:lvlText w:val="%1.%2.%3.%4."/>
      <w:lvlJc w:val="left"/>
      <w:pPr>
        <w:ind w:left="1440" w:hanging="1080"/>
      </w:pPr>
      <w:rPr>
        <w:rFonts w:asciiTheme="minorHAnsi" w:eastAsiaTheme="minorHAnsi" w:hAnsiTheme="minorHAnsi" w:cstheme="minorBidi" w:hint="default"/>
        <w:color w:val="auto"/>
        <w:sz w:val="22"/>
      </w:rPr>
    </w:lvl>
    <w:lvl w:ilvl="4">
      <w:start w:val="1"/>
      <w:numFmt w:val="decimal"/>
      <w:isLgl/>
      <w:lvlText w:val="%1.%2.%3.%4.%5."/>
      <w:lvlJc w:val="left"/>
      <w:pPr>
        <w:ind w:left="1800" w:hanging="1440"/>
      </w:pPr>
      <w:rPr>
        <w:rFonts w:asciiTheme="minorHAnsi" w:eastAsiaTheme="minorHAnsi" w:hAnsiTheme="minorHAnsi" w:cstheme="minorBidi" w:hint="default"/>
        <w:color w:val="auto"/>
        <w:sz w:val="22"/>
      </w:rPr>
    </w:lvl>
    <w:lvl w:ilvl="5">
      <w:start w:val="1"/>
      <w:numFmt w:val="decimal"/>
      <w:isLgl/>
      <w:lvlText w:val="%1.%2.%3.%4.%5.%6."/>
      <w:lvlJc w:val="left"/>
      <w:pPr>
        <w:ind w:left="1800" w:hanging="1440"/>
      </w:pPr>
      <w:rPr>
        <w:rFonts w:asciiTheme="minorHAnsi" w:eastAsiaTheme="minorHAnsi" w:hAnsiTheme="minorHAnsi" w:cstheme="minorBidi" w:hint="default"/>
        <w:color w:val="auto"/>
        <w:sz w:val="22"/>
      </w:rPr>
    </w:lvl>
    <w:lvl w:ilvl="6">
      <w:start w:val="1"/>
      <w:numFmt w:val="decimal"/>
      <w:isLgl/>
      <w:lvlText w:val="%1.%2.%3.%4.%5.%6.%7."/>
      <w:lvlJc w:val="left"/>
      <w:pPr>
        <w:ind w:left="2160" w:hanging="1800"/>
      </w:pPr>
      <w:rPr>
        <w:rFonts w:asciiTheme="minorHAnsi" w:eastAsiaTheme="minorHAnsi" w:hAnsiTheme="minorHAnsi" w:cstheme="minorBidi" w:hint="default"/>
        <w:color w:val="auto"/>
        <w:sz w:val="22"/>
      </w:rPr>
    </w:lvl>
    <w:lvl w:ilvl="7">
      <w:start w:val="1"/>
      <w:numFmt w:val="decimal"/>
      <w:isLgl/>
      <w:lvlText w:val="%1.%2.%3.%4.%5.%6.%7.%8."/>
      <w:lvlJc w:val="left"/>
      <w:pPr>
        <w:ind w:left="2520" w:hanging="2160"/>
      </w:pPr>
      <w:rPr>
        <w:rFonts w:asciiTheme="minorHAnsi" w:eastAsiaTheme="minorHAnsi" w:hAnsiTheme="minorHAnsi" w:cstheme="minorBidi" w:hint="default"/>
        <w:color w:val="auto"/>
        <w:sz w:val="22"/>
      </w:rPr>
    </w:lvl>
    <w:lvl w:ilvl="8">
      <w:start w:val="1"/>
      <w:numFmt w:val="decimal"/>
      <w:isLgl/>
      <w:lvlText w:val="%1.%2.%3.%4.%5.%6.%7.%8.%9."/>
      <w:lvlJc w:val="left"/>
      <w:pPr>
        <w:ind w:left="2520" w:hanging="2160"/>
      </w:pPr>
      <w:rPr>
        <w:rFonts w:asciiTheme="minorHAnsi" w:eastAsiaTheme="minorHAnsi" w:hAnsiTheme="minorHAnsi" w:cstheme="minorBidi" w:hint="default"/>
        <w:color w:val="auto"/>
        <w:sz w:val="22"/>
      </w:rPr>
    </w:lvl>
  </w:abstractNum>
  <w:abstractNum w:abstractNumId="167">
    <w:nsid w:val="44EB2A12"/>
    <w:multiLevelType w:val="multilevel"/>
    <w:tmpl w:val="48A6695A"/>
    <w:lvl w:ilvl="0">
      <w:start w:val="1"/>
      <w:numFmt w:val="decimal"/>
      <w:lvlText w:val="%1."/>
      <w:lvlJc w:val="left"/>
      <w:pPr>
        <w:ind w:left="720" w:hanging="360"/>
      </w:pPr>
      <w:rPr>
        <w:b w:val="0"/>
        <w:sz w:val="20"/>
        <w:szCs w:val="20"/>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2160" w:hanging="180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68">
    <w:nsid w:val="45A04BCF"/>
    <w:multiLevelType w:val="hybridMultilevel"/>
    <w:tmpl w:val="041CFE84"/>
    <w:lvl w:ilvl="0" w:tplc="F26481DE">
      <w:start w:val="1"/>
      <w:numFmt w:val="decimal"/>
      <w:lvlText w:val="%1."/>
      <w:lvlJc w:val="left"/>
      <w:pPr>
        <w:ind w:left="720" w:hanging="360"/>
      </w:pPr>
      <w:rPr>
        <w:b w:val="0"/>
        <w:sz w:val="20"/>
        <w:szCs w:val="20"/>
      </w:rPr>
    </w:lvl>
    <w:lvl w:ilvl="1" w:tplc="C2FE03B0" w:tentative="1">
      <w:start w:val="1"/>
      <w:numFmt w:val="lowerLetter"/>
      <w:lvlText w:val="%2."/>
      <w:lvlJc w:val="left"/>
      <w:pPr>
        <w:ind w:left="1440" w:hanging="360"/>
      </w:pPr>
    </w:lvl>
    <w:lvl w:ilvl="2" w:tplc="EF145AF4" w:tentative="1">
      <w:start w:val="1"/>
      <w:numFmt w:val="lowerRoman"/>
      <w:lvlText w:val="%3."/>
      <w:lvlJc w:val="right"/>
      <w:pPr>
        <w:ind w:left="2160" w:hanging="180"/>
      </w:pPr>
    </w:lvl>
    <w:lvl w:ilvl="3" w:tplc="D23CCFDA" w:tentative="1">
      <w:start w:val="1"/>
      <w:numFmt w:val="decimal"/>
      <w:lvlText w:val="%4."/>
      <w:lvlJc w:val="left"/>
      <w:pPr>
        <w:ind w:left="2880" w:hanging="360"/>
      </w:pPr>
    </w:lvl>
    <w:lvl w:ilvl="4" w:tplc="60762B46" w:tentative="1">
      <w:start w:val="1"/>
      <w:numFmt w:val="lowerLetter"/>
      <w:lvlText w:val="%5."/>
      <w:lvlJc w:val="left"/>
      <w:pPr>
        <w:ind w:left="3600" w:hanging="360"/>
      </w:pPr>
    </w:lvl>
    <w:lvl w:ilvl="5" w:tplc="9270605C" w:tentative="1">
      <w:start w:val="1"/>
      <w:numFmt w:val="lowerRoman"/>
      <w:lvlText w:val="%6."/>
      <w:lvlJc w:val="right"/>
      <w:pPr>
        <w:ind w:left="4320" w:hanging="180"/>
      </w:pPr>
    </w:lvl>
    <w:lvl w:ilvl="6" w:tplc="2C54082E" w:tentative="1">
      <w:start w:val="1"/>
      <w:numFmt w:val="decimal"/>
      <w:lvlText w:val="%7."/>
      <w:lvlJc w:val="left"/>
      <w:pPr>
        <w:ind w:left="5040" w:hanging="360"/>
      </w:pPr>
    </w:lvl>
    <w:lvl w:ilvl="7" w:tplc="3670F35C" w:tentative="1">
      <w:start w:val="1"/>
      <w:numFmt w:val="lowerLetter"/>
      <w:lvlText w:val="%8."/>
      <w:lvlJc w:val="left"/>
      <w:pPr>
        <w:ind w:left="5760" w:hanging="360"/>
      </w:pPr>
    </w:lvl>
    <w:lvl w:ilvl="8" w:tplc="CFB6F412" w:tentative="1">
      <w:start w:val="1"/>
      <w:numFmt w:val="lowerRoman"/>
      <w:lvlText w:val="%9."/>
      <w:lvlJc w:val="right"/>
      <w:pPr>
        <w:ind w:left="6480" w:hanging="180"/>
      </w:pPr>
    </w:lvl>
  </w:abstractNum>
  <w:abstractNum w:abstractNumId="169">
    <w:nsid w:val="4611358F"/>
    <w:multiLevelType w:val="hybridMultilevel"/>
    <w:tmpl w:val="3E68A60E"/>
    <w:lvl w:ilvl="0" w:tplc="502E843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nsid w:val="462E12CA"/>
    <w:multiLevelType w:val="hybridMultilevel"/>
    <w:tmpl w:val="95B02E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46655CBA"/>
    <w:multiLevelType w:val="hybridMultilevel"/>
    <w:tmpl w:val="4D7E66E8"/>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nsid w:val="46AE47E0"/>
    <w:multiLevelType w:val="hybridMultilevel"/>
    <w:tmpl w:val="041CFE84"/>
    <w:lvl w:ilvl="0" w:tplc="C72EBC2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46D63A04"/>
    <w:multiLevelType w:val="hybridMultilevel"/>
    <w:tmpl w:val="B6742D24"/>
    <w:lvl w:ilvl="0" w:tplc="21066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nsid w:val="46DC3C12"/>
    <w:multiLevelType w:val="hybridMultilevel"/>
    <w:tmpl w:val="582E6EAA"/>
    <w:lvl w:ilvl="0" w:tplc="21066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nsid w:val="46EC0C17"/>
    <w:multiLevelType w:val="hybridMultilevel"/>
    <w:tmpl w:val="F564B632"/>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nsid w:val="46FA1E46"/>
    <w:multiLevelType w:val="hybridMultilevel"/>
    <w:tmpl w:val="2C3666BE"/>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47670FEA"/>
    <w:multiLevelType w:val="hybridMultilevel"/>
    <w:tmpl w:val="93908F4A"/>
    <w:lvl w:ilvl="0" w:tplc="547C6C24">
      <w:start w:val="1"/>
      <w:numFmt w:val="bullet"/>
      <w:lvlText w:val=""/>
      <w:lvlJc w:val="left"/>
      <w:pPr>
        <w:ind w:left="1579" w:hanging="360"/>
      </w:pPr>
      <w:rPr>
        <w:rFonts w:ascii="Symbol" w:hAnsi="Symbol" w:hint="default"/>
      </w:rPr>
    </w:lvl>
    <w:lvl w:ilvl="1" w:tplc="2C02D7E2" w:tentative="1">
      <w:start w:val="1"/>
      <w:numFmt w:val="bullet"/>
      <w:lvlText w:val="o"/>
      <w:lvlJc w:val="left"/>
      <w:pPr>
        <w:ind w:left="2299" w:hanging="360"/>
      </w:pPr>
      <w:rPr>
        <w:rFonts w:ascii="Courier New" w:hAnsi="Courier New" w:cs="Courier New" w:hint="default"/>
      </w:rPr>
    </w:lvl>
    <w:lvl w:ilvl="2" w:tplc="A274ADAA" w:tentative="1">
      <w:start w:val="1"/>
      <w:numFmt w:val="bullet"/>
      <w:lvlText w:val=""/>
      <w:lvlJc w:val="left"/>
      <w:pPr>
        <w:ind w:left="3019" w:hanging="360"/>
      </w:pPr>
      <w:rPr>
        <w:rFonts w:ascii="Wingdings" w:hAnsi="Wingdings" w:hint="default"/>
      </w:rPr>
    </w:lvl>
    <w:lvl w:ilvl="3" w:tplc="CD66506C" w:tentative="1">
      <w:start w:val="1"/>
      <w:numFmt w:val="bullet"/>
      <w:lvlText w:val=""/>
      <w:lvlJc w:val="left"/>
      <w:pPr>
        <w:ind w:left="3739" w:hanging="360"/>
      </w:pPr>
      <w:rPr>
        <w:rFonts w:ascii="Symbol" w:hAnsi="Symbol" w:hint="default"/>
      </w:rPr>
    </w:lvl>
    <w:lvl w:ilvl="4" w:tplc="C95C5EDC" w:tentative="1">
      <w:start w:val="1"/>
      <w:numFmt w:val="bullet"/>
      <w:lvlText w:val="o"/>
      <w:lvlJc w:val="left"/>
      <w:pPr>
        <w:ind w:left="4459" w:hanging="360"/>
      </w:pPr>
      <w:rPr>
        <w:rFonts w:ascii="Courier New" w:hAnsi="Courier New" w:cs="Courier New" w:hint="default"/>
      </w:rPr>
    </w:lvl>
    <w:lvl w:ilvl="5" w:tplc="973A088A" w:tentative="1">
      <w:start w:val="1"/>
      <w:numFmt w:val="bullet"/>
      <w:lvlText w:val=""/>
      <w:lvlJc w:val="left"/>
      <w:pPr>
        <w:ind w:left="5179" w:hanging="360"/>
      </w:pPr>
      <w:rPr>
        <w:rFonts w:ascii="Wingdings" w:hAnsi="Wingdings" w:hint="default"/>
      </w:rPr>
    </w:lvl>
    <w:lvl w:ilvl="6" w:tplc="D736E19E" w:tentative="1">
      <w:start w:val="1"/>
      <w:numFmt w:val="bullet"/>
      <w:lvlText w:val=""/>
      <w:lvlJc w:val="left"/>
      <w:pPr>
        <w:ind w:left="5899" w:hanging="360"/>
      </w:pPr>
      <w:rPr>
        <w:rFonts w:ascii="Symbol" w:hAnsi="Symbol" w:hint="default"/>
      </w:rPr>
    </w:lvl>
    <w:lvl w:ilvl="7" w:tplc="26587356" w:tentative="1">
      <w:start w:val="1"/>
      <w:numFmt w:val="bullet"/>
      <w:lvlText w:val="o"/>
      <w:lvlJc w:val="left"/>
      <w:pPr>
        <w:ind w:left="6619" w:hanging="360"/>
      </w:pPr>
      <w:rPr>
        <w:rFonts w:ascii="Courier New" w:hAnsi="Courier New" w:cs="Courier New" w:hint="default"/>
      </w:rPr>
    </w:lvl>
    <w:lvl w:ilvl="8" w:tplc="2850FEF4" w:tentative="1">
      <w:start w:val="1"/>
      <w:numFmt w:val="bullet"/>
      <w:lvlText w:val=""/>
      <w:lvlJc w:val="left"/>
      <w:pPr>
        <w:ind w:left="7339" w:hanging="360"/>
      </w:pPr>
      <w:rPr>
        <w:rFonts w:ascii="Wingdings" w:hAnsi="Wingdings" w:hint="default"/>
      </w:rPr>
    </w:lvl>
  </w:abstractNum>
  <w:abstractNum w:abstractNumId="178">
    <w:nsid w:val="48203D22"/>
    <w:multiLevelType w:val="hybridMultilevel"/>
    <w:tmpl w:val="3252E372"/>
    <w:lvl w:ilvl="0" w:tplc="12989320">
      <w:start w:val="1"/>
      <w:numFmt w:val="lowerLetter"/>
      <w:lvlText w:val="%1)"/>
      <w:lvlJc w:val="left"/>
      <w:pPr>
        <w:tabs>
          <w:tab w:val="num" w:pos="720"/>
        </w:tabs>
        <w:ind w:left="700" w:hanging="340"/>
      </w:pPr>
      <w:rPr>
        <w:rFonts w:ascii="Verdana" w:hAnsi="Verdana" w:cs="Times New Roman" w:hint="default"/>
        <w:b w:val="0"/>
        <w:bCs w:val="0"/>
        <w:color w:val="auto"/>
      </w:rPr>
    </w:lvl>
    <w:lvl w:ilvl="1" w:tplc="05C21F30">
      <w:start w:val="1"/>
      <w:numFmt w:val="lowerLetter"/>
      <w:lvlText w:val="%2."/>
      <w:lvlJc w:val="left"/>
      <w:pPr>
        <w:tabs>
          <w:tab w:val="num" w:pos="1440"/>
        </w:tabs>
        <w:ind w:left="1440" w:hanging="360"/>
      </w:pPr>
      <w:rPr>
        <w:rFonts w:ascii="Times New Roman" w:hAnsi="Times New Roman" w:cs="Times New Roman" w:hint="default"/>
      </w:rPr>
    </w:lvl>
    <w:lvl w:ilvl="2" w:tplc="6B40DDDA">
      <w:start w:val="2"/>
      <w:numFmt w:val="bullet"/>
      <w:lvlText w:val="-"/>
      <w:lvlJc w:val="left"/>
      <w:pPr>
        <w:tabs>
          <w:tab w:val="num" w:pos="2340"/>
        </w:tabs>
        <w:ind w:left="2340" w:hanging="360"/>
      </w:pPr>
      <w:rPr>
        <w:rFonts w:ascii="Times New Roman" w:eastAsia="Times New Roman" w:hAnsi="Times New Roman"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79">
    <w:nsid w:val="48231EEE"/>
    <w:multiLevelType w:val="hybridMultilevel"/>
    <w:tmpl w:val="320E973C"/>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nsid w:val="48396F58"/>
    <w:multiLevelType w:val="hybridMultilevel"/>
    <w:tmpl w:val="862E25D0"/>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nsid w:val="48442E37"/>
    <w:multiLevelType w:val="hybridMultilevel"/>
    <w:tmpl w:val="E138C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485B13BF"/>
    <w:multiLevelType w:val="multilevel"/>
    <w:tmpl w:val="6602CCBC"/>
    <w:lvl w:ilvl="0">
      <w:start w:val="1"/>
      <w:numFmt w:val="decimal"/>
      <w:lvlText w:val="%1."/>
      <w:lvlJc w:val="left"/>
      <w:pPr>
        <w:ind w:left="720" w:hanging="360"/>
      </w:pPr>
      <w:rPr>
        <w:b w:val="0"/>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3">
    <w:nsid w:val="48B7648A"/>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84">
    <w:nsid w:val="4A9C0837"/>
    <w:multiLevelType w:val="hybridMultilevel"/>
    <w:tmpl w:val="041CFE84"/>
    <w:lvl w:ilvl="0" w:tplc="EEDCF26A">
      <w:start w:val="1"/>
      <w:numFmt w:val="decimal"/>
      <w:lvlText w:val="%1."/>
      <w:lvlJc w:val="left"/>
      <w:pPr>
        <w:ind w:left="720" w:hanging="360"/>
      </w:pPr>
      <w:rPr>
        <w:b w:val="0"/>
        <w:sz w:val="20"/>
        <w:szCs w:val="20"/>
      </w:rPr>
    </w:lvl>
    <w:lvl w:ilvl="1" w:tplc="5F5E137C" w:tentative="1">
      <w:start w:val="1"/>
      <w:numFmt w:val="lowerLetter"/>
      <w:lvlText w:val="%2."/>
      <w:lvlJc w:val="left"/>
      <w:pPr>
        <w:ind w:left="1440" w:hanging="360"/>
      </w:pPr>
    </w:lvl>
    <w:lvl w:ilvl="2" w:tplc="F24269EC" w:tentative="1">
      <w:start w:val="1"/>
      <w:numFmt w:val="lowerRoman"/>
      <w:lvlText w:val="%3."/>
      <w:lvlJc w:val="right"/>
      <w:pPr>
        <w:ind w:left="2160" w:hanging="180"/>
      </w:pPr>
    </w:lvl>
    <w:lvl w:ilvl="3" w:tplc="D9C2944C" w:tentative="1">
      <w:start w:val="1"/>
      <w:numFmt w:val="decimal"/>
      <w:lvlText w:val="%4."/>
      <w:lvlJc w:val="left"/>
      <w:pPr>
        <w:ind w:left="2880" w:hanging="360"/>
      </w:pPr>
    </w:lvl>
    <w:lvl w:ilvl="4" w:tplc="9EC2EBEC" w:tentative="1">
      <w:start w:val="1"/>
      <w:numFmt w:val="lowerLetter"/>
      <w:lvlText w:val="%5."/>
      <w:lvlJc w:val="left"/>
      <w:pPr>
        <w:ind w:left="3600" w:hanging="360"/>
      </w:pPr>
    </w:lvl>
    <w:lvl w:ilvl="5" w:tplc="6D42FD62" w:tentative="1">
      <w:start w:val="1"/>
      <w:numFmt w:val="lowerRoman"/>
      <w:lvlText w:val="%6."/>
      <w:lvlJc w:val="right"/>
      <w:pPr>
        <w:ind w:left="4320" w:hanging="180"/>
      </w:pPr>
    </w:lvl>
    <w:lvl w:ilvl="6" w:tplc="35E28340" w:tentative="1">
      <w:start w:val="1"/>
      <w:numFmt w:val="decimal"/>
      <w:lvlText w:val="%7."/>
      <w:lvlJc w:val="left"/>
      <w:pPr>
        <w:ind w:left="5040" w:hanging="360"/>
      </w:pPr>
    </w:lvl>
    <w:lvl w:ilvl="7" w:tplc="C2D87F66" w:tentative="1">
      <w:start w:val="1"/>
      <w:numFmt w:val="lowerLetter"/>
      <w:lvlText w:val="%8."/>
      <w:lvlJc w:val="left"/>
      <w:pPr>
        <w:ind w:left="5760" w:hanging="360"/>
      </w:pPr>
    </w:lvl>
    <w:lvl w:ilvl="8" w:tplc="DE7A7F10" w:tentative="1">
      <w:start w:val="1"/>
      <w:numFmt w:val="lowerRoman"/>
      <w:lvlText w:val="%9."/>
      <w:lvlJc w:val="right"/>
      <w:pPr>
        <w:ind w:left="6480" w:hanging="180"/>
      </w:pPr>
    </w:lvl>
  </w:abstractNum>
  <w:abstractNum w:abstractNumId="185">
    <w:nsid w:val="4AFB4126"/>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86">
    <w:nsid w:val="4CCE4D5B"/>
    <w:multiLevelType w:val="hybridMultilevel"/>
    <w:tmpl w:val="041CFE84"/>
    <w:lvl w:ilvl="0" w:tplc="3A703D8A">
      <w:start w:val="1"/>
      <w:numFmt w:val="decimal"/>
      <w:lvlText w:val="%1."/>
      <w:lvlJc w:val="left"/>
      <w:pPr>
        <w:ind w:left="720" w:hanging="360"/>
      </w:pPr>
      <w:rPr>
        <w:b w:val="0"/>
        <w:sz w:val="20"/>
        <w:szCs w:val="20"/>
      </w:rPr>
    </w:lvl>
    <w:lvl w:ilvl="1" w:tplc="52B45D22" w:tentative="1">
      <w:start w:val="1"/>
      <w:numFmt w:val="lowerLetter"/>
      <w:lvlText w:val="%2."/>
      <w:lvlJc w:val="left"/>
      <w:pPr>
        <w:ind w:left="1440" w:hanging="360"/>
      </w:pPr>
    </w:lvl>
    <w:lvl w:ilvl="2" w:tplc="7334FE0A" w:tentative="1">
      <w:start w:val="1"/>
      <w:numFmt w:val="lowerRoman"/>
      <w:lvlText w:val="%3."/>
      <w:lvlJc w:val="right"/>
      <w:pPr>
        <w:ind w:left="2160" w:hanging="180"/>
      </w:pPr>
    </w:lvl>
    <w:lvl w:ilvl="3" w:tplc="69AA1E12" w:tentative="1">
      <w:start w:val="1"/>
      <w:numFmt w:val="decimal"/>
      <w:lvlText w:val="%4."/>
      <w:lvlJc w:val="left"/>
      <w:pPr>
        <w:ind w:left="2880" w:hanging="360"/>
      </w:pPr>
    </w:lvl>
    <w:lvl w:ilvl="4" w:tplc="EA50B6AC" w:tentative="1">
      <w:start w:val="1"/>
      <w:numFmt w:val="lowerLetter"/>
      <w:lvlText w:val="%5."/>
      <w:lvlJc w:val="left"/>
      <w:pPr>
        <w:ind w:left="3600" w:hanging="360"/>
      </w:pPr>
    </w:lvl>
    <w:lvl w:ilvl="5" w:tplc="5BB82A4E" w:tentative="1">
      <w:start w:val="1"/>
      <w:numFmt w:val="lowerRoman"/>
      <w:lvlText w:val="%6."/>
      <w:lvlJc w:val="right"/>
      <w:pPr>
        <w:ind w:left="4320" w:hanging="180"/>
      </w:pPr>
    </w:lvl>
    <w:lvl w:ilvl="6" w:tplc="4624261A" w:tentative="1">
      <w:start w:val="1"/>
      <w:numFmt w:val="decimal"/>
      <w:lvlText w:val="%7."/>
      <w:lvlJc w:val="left"/>
      <w:pPr>
        <w:ind w:left="5040" w:hanging="360"/>
      </w:pPr>
    </w:lvl>
    <w:lvl w:ilvl="7" w:tplc="216696C2" w:tentative="1">
      <w:start w:val="1"/>
      <w:numFmt w:val="lowerLetter"/>
      <w:lvlText w:val="%8."/>
      <w:lvlJc w:val="left"/>
      <w:pPr>
        <w:ind w:left="5760" w:hanging="360"/>
      </w:pPr>
    </w:lvl>
    <w:lvl w:ilvl="8" w:tplc="F66EA19C" w:tentative="1">
      <w:start w:val="1"/>
      <w:numFmt w:val="lowerRoman"/>
      <w:lvlText w:val="%9."/>
      <w:lvlJc w:val="right"/>
      <w:pPr>
        <w:ind w:left="6480" w:hanging="180"/>
      </w:pPr>
    </w:lvl>
  </w:abstractNum>
  <w:abstractNum w:abstractNumId="187">
    <w:nsid w:val="4CF52A34"/>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88">
    <w:nsid w:val="4EC058BB"/>
    <w:multiLevelType w:val="hybridMultilevel"/>
    <w:tmpl w:val="041CFE84"/>
    <w:lvl w:ilvl="0" w:tplc="04150001">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89">
    <w:nsid w:val="4FCA4A74"/>
    <w:multiLevelType w:val="hybridMultilevel"/>
    <w:tmpl w:val="EE908DE4"/>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nsid w:val="503137E5"/>
    <w:multiLevelType w:val="hybridMultilevel"/>
    <w:tmpl w:val="28D0264E"/>
    <w:lvl w:ilvl="0" w:tplc="04150003">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1">
    <w:nsid w:val="504A6706"/>
    <w:multiLevelType w:val="hybridMultilevel"/>
    <w:tmpl w:val="225EF2F0"/>
    <w:lvl w:ilvl="0" w:tplc="21066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nsid w:val="50952356"/>
    <w:multiLevelType w:val="hybridMultilevel"/>
    <w:tmpl w:val="ADD453A8"/>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nsid w:val="51027C7F"/>
    <w:multiLevelType w:val="hybridMultilevel"/>
    <w:tmpl w:val="B7781B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526F235E"/>
    <w:multiLevelType w:val="hybridMultilevel"/>
    <w:tmpl w:val="8026C50E"/>
    <w:lvl w:ilvl="0" w:tplc="A66E7A26">
      <w:start w:val="1"/>
      <w:numFmt w:val="decimal"/>
      <w:lvlText w:val="%1."/>
      <w:lvlJc w:val="left"/>
      <w:pPr>
        <w:tabs>
          <w:tab w:val="num" w:pos="360"/>
        </w:tabs>
        <w:ind w:left="36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95">
    <w:nsid w:val="52D453F5"/>
    <w:multiLevelType w:val="hybridMultilevel"/>
    <w:tmpl w:val="6134831C"/>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nsid w:val="52FD0E2C"/>
    <w:multiLevelType w:val="multilevel"/>
    <w:tmpl w:val="76EA4D68"/>
    <w:lvl w:ilvl="0">
      <w:start w:val="1"/>
      <w:numFmt w:val="decimal"/>
      <w:lvlText w:val="%1."/>
      <w:lvlJc w:val="left"/>
      <w:pPr>
        <w:ind w:left="720" w:hanging="360"/>
      </w:pPr>
      <w:rPr>
        <w:b w:val="0"/>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7">
    <w:nsid w:val="53582059"/>
    <w:multiLevelType w:val="hybridMultilevel"/>
    <w:tmpl w:val="5C70CB86"/>
    <w:lvl w:ilvl="0" w:tplc="2106692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8">
    <w:nsid w:val="537D1B27"/>
    <w:multiLevelType w:val="hybridMultilevel"/>
    <w:tmpl w:val="DABE24B6"/>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nsid w:val="5483763B"/>
    <w:multiLevelType w:val="hybridMultilevel"/>
    <w:tmpl w:val="1C4A8EC4"/>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nsid w:val="54C96CD0"/>
    <w:multiLevelType w:val="multilevel"/>
    <w:tmpl w:val="44886906"/>
    <w:lvl w:ilvl="0">
      <w:start w:val="1"/>
      <w:numFmt w:val="decimal"/>
      <w:lvlText w:val="%1."/>
      <w:lvlJc w:val="left"/>
      <w:pPr>
        <w:ind w:left="720" w:hanging="360"/>
      </w:pPr>
      <w:rPr>
        <w:b w:val="0"/>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1">
    <w:nsid w:val="55B96FD4"/>
    <w:multiLevelType w:val="hybridMultilevel"/>
    <w:tmpl w:val="EC14666C"/>
    <w:lvl w:ilvl="0" w:tplc="04150003">
      <w:start w:val="1"/>
      <w:numFmt w:val="bullet"/>
      <w:lvlText w:val="o"/>
      <w:lvlJc w:val="left"/>
      <w:pPr>
        <w:ind w:left="-1552" w:hanging="360"/>
      </w:pPr>
      <w:rPr>
        <w:rFonts w:ascii="Courier New" w:hAnsi="Courier New" w:cs="Courier New" w:hint="default"/>
      </w:rPr>
    </w:lvl>
    <w:lvl w:ilvl="1" w:tplc="04150003" w:tentative="1">
      <w:start w:val="1"/>
      <w:numFmt w:val="bullet"/>
      <w:lvlText w:val="o"/>
      <w:lvlJc w:val="left"/>
      <w:pPr>
        <w:ind w:left="-832" w:hanging="360"/>
      </w:pPr>
      <w:rPr>
        <w:rFonts w:ascii="Courier New" w:hAnsi="Courier New" w:cs="Courier New" w:hint="default"/>
      </w:rPr>
    </w:lvl>
    <w:lvl w:ilvl="2" w:tplc="04150005" w:tentative="1">
      <w:start w:val="1"/>
      <w:numFmt w:val="bullet"/>
      <w:lvlText w:val=""/>
      <w:lvlJc w:val="left"/>
      <w:pPr>
        <w:ind w:left="-112" w:hanging="360"/>
      </w:pPr>
      <w:rPr>
        <w:rFonts w:ascii="Wingdings" w:hAnsi="Wingdings" w:hint="default"/>
      </w:rPr>
    </w:lvl>
    <w:lvl w:ilvl="3" w:tplc="04150001" w:tentative="1">
      <w:start w:val="1"/>
      <w:numFmt w:val="bullet"/>
      <w:lvlText w:val=""/>
      <w:lvlJc w:val="left"/>
      <w:pPr>
        <w:ind w:left="608" w:hanging="360"/>
      </w:pPr>
      <w:rPr>
        <w:rFonts w:ascii="Symbol" w:hAnsi="Symbol" w:hint="default"/>
      </w:rPr>
    </w:lvl>
    <w:lvl w:ilvl="4" w:tplc="04150003" w:tentative="1">
      <w:start w:val="1"/>
      <w:numFmt w:val="bullet"/>
      <w:lvlText w:val="o"/>
      <w:lvlJc w:val="left"/>
      <w:pPr>
        <w:ind w:left="1328" w:hanging="360"/>
      </w:pPr>
      <w:rPr>
        <w:rFonts w:ascii="Courier New" w:hAnsi="Courier New" w:cs="Courier New" w:hint="default"/>
      </w:rPr>
    </w:lvl>
    <w:lvl w:ilvl="5" w:tplc="04150005" w:tentative="1">
      <w:start w:val="1"/>
      <w:numFmt w:val="bullet"/>
      <w:lvlText w:val=""/>
      <w:lvlJc w:val="left"/>
      <w:pPr>
        <w:ind w:left="2048" w:hanging="360"/>
      </w:pPr>
      <w:rPr>
        <w:rFonts w:ascii="Wingdings" w:hAnsi="Wingdings" w:hint="default"/>
      </w:rPr>
    </w:lvl>
    <w:lvl w:ilvl="6" w:tplc="04150001" w:tentative="1">
      <w:start w:val="1"/>
      <w:numFmt w:val="bullet"/>
      <w:lvlText w:val=""/>
      <w:lvlJc w:val="left"/>
      <w:pPr>
        <w:ind w:left="2768" w:hanging="360"/>
      </w:pPr>
      <w:rPr>
        <w:rFonts w:ascii="Symbol" w:hAnsi="Symbol" w:hint="default"/>
      </w:rPr>
    </w:lvl>
    <w:lvl w:ilvl="7" w:tplc="04150003" w:tentative="1">
      <w:start w:val="1"/>
      <w:numFmt w:val="bullet"/>
      <w:lvlText w:val="o"/>
      <w:lvlJc w:val="left"/>
      <w:pPr>
        <w:ind w:left="3488" w:hanging="360"/>
      </w:pPr>
      <w:rPr>
        <w:rFonts w:ascii="Courier New" w:hAnsi="Courier New" w:cs="Courier New" w:hint="default"/>
      </w:rPr>
    </w:lvl>
    <w:lvl w:ilvl="8" w:tplc="04150005" w:tentative="1">
      <w:start w:val="1"/>
      <w:numFmt w:val="bullet"/>
      <w:lvlText w:val=""/>
      <w:lvlJc w:val="left"/>
      <w:pPr>
        <w:ind w:left="4208" w:hanging="360"/>
      </w:pPr>
      <w:rPr>
        <w:rFonts w:ascii="Wingdings" w:hAnsi="Wingdings" w:hint="default"/>
      </w:rPr>
    </w:lvl>
  </w:abstractNum>
  <w:abstractNum w:abstractNumId="202">
    <w:nsid w:val="56096AE7"/>
    <w:multiLevelType w:val="multilevel"/>
    <w:tmpl w:val="2EE8FDA6"/>
    <w:lvl w:ilvl="0">
      <w:start w:val="1"/>
      <w:numFmt w:val="upperRoman"/>
      <w:pStyle w:val="BZM1"/>
      <w:lvlText w:val="%1."/>
      <w:lvlJc w:val="right"/>
      <w:pPr>
        <w:ind w:left="720" w:hanging="360"/>
      </w:pPr>
    </w:lvl>
    <w:lvl w:ilvl="1">
      <w:start w:val="6"/>
      <w:numFmt w:val="decimal"/>
      <w:isLgl/>
      <w:lvlText w:val="%1.%2."/>
      <w:lvlJc w:val="left"/>
      <w:pPr>
        <w:ind w:left="1080" w:hanging="720"/>
      </w:pPr>
      <w:rPr>
        <w:rFonts w:hint="default"/>
      </w:rPr>
    </w:lvl>
    <w:lvl w:ilvl="2">
      <w:start w:val="1"/>
      <w:numFmt w:val="decimal"/>
      <w:lvlText w:val="4.7.%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3">
    <w:nsid w:val="56F94C27"/>
    <w:multiLevelType w:val="hybridMultilevel"/>
    <w:tmpl w:val="920072CA"/>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nsid w:val="57E53D8D"/>
    <w:multiLevelType w:val="hybridMultilevel"/>
    <w:tmpl w:val="90B630DC"/>
    <w:lvl w:ilvl="0" w:tplc="04150001">
      <w:start w:val="1"/>
      <w:numFmt w:val="decimal"/>
      <w:lvlText w:val="%1."/>
      <w:lvlJc w:val="left"/>
      <w:pPr>
        <w:ind w:left="720" w:hanging="360"/>
      </w:pPr>
      <w:rPr>
        <w:rFonts w:hint="default"/>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05">
    <w:nsid w:val="57F8036B"/>
    <w:multiLevelType w:val="hybridMultilevel"/>
    <w:tmpl w:val="B394DCE2"/>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nsid w:val="585867A9"/>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207">
    <w:nsid w:val="586E389A"/>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208">
    <w:nsid w:val="59124E4A"/>
    <w:multiLevelType w:val="hybridMultilevel"/>
    <w:tmpl w:val="90B630DC"/>
    <w:lvl w:ilvl="0" w:tplc="04150001">
      <w:start w:val="1"/>
      <w:numFmt w:val="decimal"/>
      <w:lvlText w:val="%1."/>
      <w:lvlJc w:val="left"/>
      <w:pPr>
        <w:ind w:left="720" w:hanging="360"/>
      </w:pPr>
      <w:rPr>
        <w:rFonts w:hint="default"/>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09">
    <w:nsid w:val="598A562D"/>
    <w:multiLevelType w:val="hybridMultilevel"/>
    <w:tmpl w:val="5F2A32D8"/>
    <w:lvl w:ilvl="0" w:tplc="04150001">
      <w:start w:val="1"/>
      <w:numFmt w:val="decimal"/>
      <w:lvlText w:val="%1."/>
      <w:lvlJc w:val="left"/>
      <w:pPr>
        <w:tabs>
          <w:tab w:val="num" w:pos="360"/>
        </w:tabs>
        <w:ind w:left="360" w:hanging="360"/>
      </w:pPr>
      <w:rPr>
        <w:rFonts w:hint="default"/>
      </w:rPr>
    </w:lvl>
    <w:lvl w:ilvl="1" w:tplc="04150003">
      <w:start w:val="1"/>
      <w:numFmt w:val="lowerLetter"/>
      <w:lvlText w:val="%2."/>
      <w:lvlJc w:val="left"/>
      <w:pPr>
        <w:tabs>
          <w:tab w:val="num" w:pos="1080"/>
        </w:tabs>
        <w:ind w:left="1080" w:hanging="360"/>
      </w:pPr>
    </w:lvl>
    <w:lvl w:ilvl="2" w:tplc="04150005">
      <w:start w:val="1"/>
      <w:numFmt w:val="lowerRoman"/>
      <w:lvlText w:val="%3."/>
      <w:lvlJc w:val="right"/>
      <w:pPr>
        <w:tabs>
          <w:tab w:val="num" w:pos="1800"/>
        </w:tabs>
        <w:ind w:left="1800" w:hanging="180"/>
      </w:pPr>
    </w:lvl>
    <w:lvl w:ilvl="3" w:tplc="04150001" w:tentative="1">
      <w:start w:val="1"/>
      <w:numFmt w:val="decimal"/>
      <w:lvlText w:val="%4."/>
      <w:lvlJc w:val="left"/>
      <w:pPr>
        <w:tabs>
          <w:tab w:val="num" w:pos="2520"/>
        </w:tabs>
        <w:ind w:left="2520" w:hanging="360"/>
      </w:pPr>
    </w:lvl>
    <w:lvl w:ilvl="4" w:tplc="04150003" w:tentative="1">
      <w:start w:val="1"/>
      <w:numFmt w:val="lowerLetter"/>
      <w:lvlText w:val="%5."/>
      <w:lvlJc w:val="left"/>
      <w:pPr>
        <w:tabs>
          <w:tab w:val="num" w:pos="3240"/>
        </w:tabs>
        <w:ind w:left="3240" w:hanging="360"/>
      </w:pPr>
    </w:lvl>
    <w:lvl w:ilvl="5" w:tplc="04150005" w:tentative="1">
      <w:start w:val="1"/>
      <w:numFmt w:val="lowerRoman"/>
      <w:lvlText w:val="%6."/>
      <w:lvlJc w:val="right"/>
      <w:pPr>
        <w:tabs>
          <w:tab w:val="num" w:pos="3960"/>
        </w:tabs>
        <w:ind w:left="3960" w:hanging="180"/>
      </w:pPr>
    </w:lvl>
    <w:lvl w:ilvl="6" w:tplc="04150001" w:tentative="1">
      <w:start w:val="1"/>
      <w:numFmt w:val="decimal"/>
      <w:lvlText w:val="%7."/>
      <w:lvlJc w:val="left"/>
      <w:pPr>
        <w:tabs>
          <w:tab w:val="num" w:pos="4680"/>
        </w:tabs>
        <w:ind w:left="4680" w:hanging="360"/>
      </w:pPr>
    </w:lvl>
    <w:lvl w:ilvl="7" w:tplc="04150003" w:tentative="1">
      <w:start w:val="1"/>
      <w:numFmt w:val="lowerLetter"/>
      <w:lvlText w:val="%8."/>
      <w:lvlJc w:val="left"/>
      <w:pPr>
        <w:tabs>
          <w:tab w:val="num" w:pos="5400"/>
        </w:tabs>
        <w:ind w:left="5400" w:hanging="360"/>
      </w:pPr>
    </w:lvl>
    <w:lvl w:ilvl="8" w:tplc="04150005" w:tentative="1">
      <w:start w:val="1"/>
      <w:numFmt w:val="lowerRoman"/>
      <w:lvlText w:val="%9."/>
      <w:lvlJc w:val="right"/>
      <w:pPr>
        <w:tabs>
          <w:tab w:val="num" w:pos="6120"/>
        </w:tabs>
        <w:ind w:left="6120" w:hanging="180"/>
      </w:pPr>
    </w:lvl>
  </w:abstractNum>
  <w:abstractNum w:abstractNumId="210">
    <w:nsid w:val="59D622D9"/>
    <w:multiLevelType w:val="hybridMultilevel"/>
    <w:tmpl w:val="77743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nsid w:val="59F01A61"/>
    <w:multiLevelType w:val="multilevel"/>
    <w:tmpl w:val="BE60E4CC"/>
    <w:lvl w:ilvl="0">
      <w:start w:val="1"/>
      <w:numFmt w:val="decimal"/>
      <w:lvlText w:val="%1."/>
      <w:lvlJc w:val="left"/>
      <w:pPr>
        <w:ind w:left="720" w:hanging="360"/>
      </w:pPr>
      <w:rPr>
        <w:b w:val="0"/>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2">
    <w:nsid w:val="59F609D7"/>
    <w:multiLevelType w:val="hybridMultilevel"/>
    <w:tmpl w:val="6C242960"/>
    <w:lvl w:ilvl="0" w:tplc="04150003">
      <w:start w:val="1"/>
      <w:numFmt w:val="bullet"/>
      <w:lvlText w:val="o"/>
      <w:lvlJc w:val="left"/>
      <w:pPr>
        <w:tabs>
          <w:tab w:val="num" w:pos="927"/>
        </w:tabs>
        <w:ind w:left="927" w:hanging="360"/>
      </w:pPr>
      <w:rPr>
        <w:rFonts w:ascii="Courier New" w:hAnsi="Courier New" w:cs="Courier New" w:hint="default"/>
        <w:color w:val="auto"/>
      </w:rPr>
    </w:lvl>
    <w:lvl w:ilvl="1" w:tplc="04150017">
      <w:start w:val="1"/>
      <w:numFmt w:val="lowerLetter"/>
      <w:lvlText w:val="%2)"/>
      <w:lvlJc w:val="left"/>
      <w:pPr>
        <w:tabs>
          <w:tab w:val="num" w:pos="1647"/>
        </w:tabs>
        <w:ind w:left="1647" w:hanging="360"/>
      </w:pPr>
      <w:rPr>
        <w:rFonts w:hint="default"/>
      </w:rPr>
    </w:lvl>
    <w:lvl w:ilvl="2" w:tplc="1E5C23F2">
      <w:start w:val="1"/>
      <w:numFmt w:val="decimal"/>
      <w:lvlText w:val="%3."/>
      <w:lvlJc w:val="left"/>
      <w:pPr>
        <w:ind w:left="2547" w:hanging="360"/>
      </w:pPr>
      <w:rPr>
        <w:rFonts w:hint="default"/>
      </w:r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213">
    <w:nsid w:val="5A023609"/>
    <w:multiLevelType w:val="hybridMultilevel"/>
    <w:tmpl w:val="041CFE84"/>
    <w:lvl w:ilvl="0" w:tplc="04150001">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14">
    <w:nsid w:val="5A1B17E5"/>
    <w:multiLevelType w:val="hybridMultilevel"/>
    <w:tmpl w:val="041CFE84"/>
    <w:lvl w:ilvl="0" w:tplc="9C863C96">
      <w:start w:val="1"/>
      <w:numFmt w:val="decimal"/>
      <w:lvlText w:val="%1."/>
      <w:lvlJc w:val="left"/>
      <w:pPr>
        <w:ind w:left="720" w:hanging="360"/>
      </w:pPr>
      <w:rPr>
        <w:b w:val="0"/>
        <w:sz w:val="20"/>
        <w:szCs w:val="20"/>
      </w:rPr>
    </w:lvl>
    <w:lvl w:ilvl="1" w:tplc="A66AABF2" w:tentative="1">
      <w:start w:val="1"/>
      <w:numFmt w:val="lowerLetter"/>
      <w:lvlText w:val="%2."/>
      <w:lvlJc w:val="left"/>
      <w:pPr>
        <w:ind w:left="1440" w:hanging="360"/>
      </w:pPr>
    </w:lvl>
    <w:lvl w:ilvl="2" w:tplc="0658C962" w:tentative="1">
      <w:start w:val="1"/>
      <w:numFmt w:val="lowerRoman"/>
      <w:lvlText w:val="%3."/>
      <w:lvlJc w:val="right"/>
      <w:pPr>
        <w:ind w:left="2160" w:hanging="180"/>
      </w:pPr>
    </w:lvl>
    <w:lvl w:ilvl="3" w:tplc="4788A260" w:tentative="1">
      <w:start w:val="1"/>
      <w:numFmt w:val="decimal"/>
      <w:lvlText w:val="%4."/>
      <w:lvlJc w:val="left"/>
      <w:pPr>
        <w:ind w:left="2880" w:hanging="360"/>
      </w:pPr>
    </w:lvl>
    <w:lvl w:ilvl="4" w:tplc="C87A9D8A" w:tentative="1">
      <w:start w:val="1"/>
      <w:numFmt w:val="lowerLetter"/>
      <w:lvlText w:val="%5."/>
      <w:lvlJc w:val="left"/>
      <w:pPr>
        <w:ind w:left="3600" w:hanging="360"/>
      </w:pPr>
    </w:lvl>
    <w:lvl w:ilvl="5" w:tplc="1E5E75E8" w:tentative="1">
      <w:start w:val="1"/>
      <w:numFmt w:val="lowerRoman"/>
      <w:lvlText w:val="%6."/>
      <w:lvlJc w:val="right"/>
      <w:pPr>
        <w:ind w:left="4320" w:hanging="180"/>
      </w:pPr>
    </w:lvl>
    <w:lvl w:ilvl="6" w:tplc="CC6A84D0" w:tentative="1">
      <w:start w:val="1"/>
      <w:numFmt w:val="decimal"/>
      <w:lvlText w:val="%7."/>
      <w:lvlJc w:val="left"/>
      <w:pPr>
        <w:ind w:left="5040" w:hanging="360"/>
      </w:pPr>
    </w:lvl>
    <w:lvl w:ilvl="7" w:tplc="B84014C0" w:tentative="1">
      <w:start w:val="1"/>
      <w:numFmt w:val="lowerLetter"/>
      <w:lvlText w:val="%8."/>
      <w:lvlJc w:val="left"/>
      <w:pPr>
        <w:ind w:left="5760" w:hanging="360"/>
      </w:pPr>
    </w:lvl>
    <w:lvl w:ilvl="8" w:tplc="8E409D6C" w:tentative="1">
      <w:start w:val="1"/>
      <w:numFmt w:val="lowerRoman"/>
      <w:lvlText w:val="%9."/>
      <w:lvlJc w:val="right"/>
      <w:pPr>
        <w:ind w:left="6480" w:hanging="180"/>
      </w:pPr>
    </w:lvl>
  </w:abstractNum>
  <w:abstractNum w:abstractNumId="215">
    <w:nsid w:val="5A344EFB"/>
    <w:multiLevelType w:val="hybridMultilevel"/>
    <w:tmpl w:val="90B630DC"/>
    <w:lvl w:ilvl="0" w:tplc="04150001">
      <w:start w:val="1"/>
      <w:numFmt w:val="decimal"/>
      <w:lvlText w:val="%1."/>
      <w:lvlJc w:val="left"/>
      <w:pPr>
        <w:ind w:left="720" w:hanging="360"/>
      </w:pPr>
      <w:rPr>
        <w:rFonts w:hint="default"/>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16">
    <w:nsid w:val="5A4961A6"/>
    <w:multiLevelType w:val="hybridMultilevel"/>
    <w:tmpl w:val="90B630DC"/>
    <w:lvl w:ilvl="0" w:tplc="04150001">
      <w:start w:val="1"/>
      <w:numFmt w:val="decimal"/>
      <w:lvlText w:val="%1."/>
      <w:lvlJc w:val="left"/>
      <w:pPr>
        <w:ind w:left="720" w:hanging="360"/>
      </w:pPr>
      <w:rPr>
        <w:rFonts w:hint="default"/>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17">
    <w:nsid w:val="5A7622BD"/>
    <w:multiLevelType w:val="hybridMultilevel"/>
    <w:tmpl w:val="E138C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nsid w:val="5A8C63B3"/>
    <w:multiLevelType w:val="hybridMultilevel"/>
    <w:tmpl w:val="E138C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nsid w:val="5C9051DF"/>
    <w:multiLevelType w:val="hybridMultilevel"/>
    <w:tmpl w:val="5C6E7492"/>
    <w:lvl w:ilvl="0" w:tplc="89D65204">
      <w:start w:val="1"/>
      <w:numFmt w:val="bullet"/>
      <w:lvlText w:val=""/>
      <w:lvlJc w:val="left"/>
      <w:pPr>
        <w:ind w:left="1146" w:hanging="360"/>
      </w:pPr>
      <w:rPr>
        <w:rFonts w:ascii="Symbol" w:hAnsi="Symbol" w:hint="default"/>
      </w:rPr>
    </w:lvl>
    <w:lvl w:ilvl="1" w:tplc="04150019" w:tentative="1">
      <w:start w:val="1"/>
      <w:numFmt w:val="bullet"/>
      <w:lvlText w:val="o"/>
      <w:lvlJc w:val="left"/>
      <w:pPr>
        <w:ind w:left="1866" w:hanging="360"/>
      </w:pPr>
      <w:rPr>
        <w:rFonts w:ascii="Courier New" w:hAnsi="Courier New" w:cs="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cs="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cs="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220">
    <w:nsid w:val="5CCF2F7F"/>
    <w:multiLevelType w:val="hybridMultilevel"/>
    <w:tmpl w:val="5F56DEF6"/>
    <w:lvl w:ilvl="0" w:tplc="89D65204">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nsid w:val="5CE50D45"/>
    <w:multiLevelType w:val="hybridMultilevel"/>
    <w:tmpl w:val="041CFE84"/>
    <w:lvl w:ilvl="0" w:tplc="89D65204">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nsid w:val="5D1243F0"/>
    <w:multiLevelType w:val="hybridMultilevel"/>
    <w:tmpl w:val="CEAC4AB0"/>
    <w:lvl w:ilvl="0" w:tplc="2106692C">
      <w:start w:val="1"/>
      <w:numFmt w:val="bullet"/>
      <w:lvlText w:val=""/>
      <w:lvlJc w:val="left"/>
      <w:pPr>
        <w:ind w:left="720" w:hanging="360"/>
      </w:pPr>
      <w:rPr>
        <w:rFonts w:ascii="Symbol" w:hAnsi="Symbol" w:hint="default"/>
      </w:rPr>
    </w:lvl>
    <w:lvl w:ilvl="1" w:tplc="B3DEE876">
      <w:start w:val="36"/>
      <w:numFmt w:val="bullet"/>
      <w:lvlText w:val="-"/>
      <w:lvlJc w:val="left"/>
      <w:pPr>
        <w:ind w:left="1440" w:hanging="360"/>
      </w:pPr>
      <w:rPr>
        <w:rFonts w:ascii="Verdana" w:eastAsia="Calibri" w:hAnsi="Verdana"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nsid w:val="5DF30D0D"/>
    <w:multiLevelType w:val="multilevel"/>
    <w:tmpl w:val="B388044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4">
    <w:nsid w:val="5E077B87"/>
    <w:multiLevelType w:val="multilevel"/>
    <w:tmpl w:val="48A6695A"/>
    <w:lvl w:ilvl="0">
      <w:start w:val="1"/>
      <w:numFmt w:val="decimal"/>
      <w:lvlText w:val="%1."/>
      <w:lvlJc w:val="left"/>
      <w:pPr>
        <w:ind w:left="720" w:hanging="360"/>
      </w:pPr>
      <w:rPr>
        <w:b w:val="0"/>
        <w:sz w:val="20"/>
        <w:szCs w:val="20"/>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2160" w:hanging="180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25">
    <w:nsid w:val="5E6644A7"/>
    <w:multiLevelType w:val="hybridMultilevel"/>
    <w:tmpl w:val="F0BE58CA"/>
    <w:lvl w:ilvl="0" w:tplc="5BD21ABA">
      <w:start w:val="1"/>
      <w:numFmt w:val="bullet"/>
      <w:lvlText w:val="-"/>
      <w:lvlJc w:val="left"/>
      <w:pPr>
        <w:ind w:left="360" w:hanging="360"/>
      </w:pPr>
      <w:rPr>
        <w:rFonts w:ascii="Courier New" w:hAnsi="Courier New" w:hint="default"/>
        <w:b w:val="0"/>
        <w:sz w:val="26"/>
        <w:szCs w:val="26"/>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26">
    <w:nsid w:val="5ECE60C9"/>
    <w:multiLevelType w:val="hybridMultilevel"/>
    <w:tmpl w:val="041CFE84"/>
    <w:lvl w:ilvl="0" w:tplc="04150001">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27">
    <w:nsid w:val="5F062397"/>
    <w:multiLevelType w:val="hybridMultilevel"/>
    <w:tmpl w:val="041CFE84"/>
    <w:lvl w:ilvl="0">
      <w:start w:val="1"/>
      <w:numFmt w:val="decimal"/>
      <w:lvlText w:val="%1."/>
      <w:lvlJc w:val="left"/>
      <w:pPr>
        <w:ind w:left="720" w:hanging="360"/>
      </w:pPr>
      <w:rPr>
        <w:b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8">
    <w:nsid w:val="6007475A"/>
    <w:multiLevelType w:val="hybridMultilevel"/>
    <w:tmpl w:val="2344356A"/>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nsid w:val="60473FFF"/>
    <w:multiLevelType w:val="hybridMultilevel"/>
    <w:tmpl w:val="041CFE84"/>
    <w:lvl w:ilvl="0" w:tplc="BD88C148">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30">
    <w:nsid w:val="609745D6"/>
    <w:multiLevelType w:val="multilevel"/>
    <w:tmpl w:val="AA4A74F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231">
    <w:nsid w:val="615A06E6"/>
    <w:multiLevelType w:val="hybridMultilevel"/>
    <w:tmpl w:val="C79ADFE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2">
    <w:nsid w:val="61B41270"/>
    <w:multiLevelType w:val="hybridMultilevel"/>
    <w:tmpl w:val="083E7D50"/>
    <w:lvl w:ilvl="0" w:tplc="9AA2C7EA">
      <w:start w:val="1"/>
      <w:numFmt w:val="bullet"/>
      <w:lvlText w:val="-"/>
      <w:lvlJc w:val="left"/>
      <w:pPr>
        <w:ind w:left="360" w:hanging="360"/>
      </w:pPr>
      <w:rPr>
        <w:rFonts w:ascii="Courier New" w:hAnsi="Courier New" w:hint="default"/>
        <w:b w:val="0"/>
        <w:sz w:val="26"/>
        <w:szCs w:val="26"/>
      </w:rPr>
    </w:lvl>
    <w:lvl w:ilvl="1" w:tplc="DA66209E" w:tentative="1">
      <w:start w:val="1"/>
      <w:numFmt w:val="bullet"/>
      <w:lvlText w:val="o"/>
      <w:lvlJc w:val="left"/>
      <w:pPr>
        <w:ind w:left="1440" w:hanging="360"/>
      </w:pPr>
      <w:rPr>
        <w:rFonts w:ascii="Courier New" w:hAnsi="Courier New" w:cs="Courier New" w:hint="default"/>
      </w:rPr>
    </w:lvl>
    <w:lvl w:ilvl="2" w:tplc="CDF83C00" w:tentative="1">
      <w:start w:val="1"/>
      <w:numFmt w:val="bullet"/>
      <w:lvlText w:val=""/>
      <w:lvlJc w:val="left"/>
      <w:pPr>
        <w:ind w:left="2160" w:hanging="360"/>
      </w:pPr>
      <w:rPr>
        <w:rFonts w:ascii="Wingdings" w:hAnsi="Wingdings" w:hint="default"/>
      </w:rPr>
    </w:lvl>
    <w:lvl w:ilvl="3" w:tplc="5E60E546" w:tentative="1">
      <w:start w:val="1"/>
      <w:numFmt w:val="bullet"/>
      <w:lvlText w:val=""/>
      <w:lvlJc w:val="left"/>
      <w:pPr>
        <w:ind w:left="2880" w:hanging="360"/>
      </w:pPr>
      <w:rPr>
        <w:rFonts w:ascii="Symbol" w:hAnsi="Symbol" w:hint="default"/>
      </w:rPr>
    </w:lvl>
    <w:lvl w:ilvl="4" w:tplc="6C5C9028" w:tentative="1">
      <w:start w:val="1"/>
      <w:numFmt w:val="bullet"/>
      <w:lvlText w:val="o"/>
      <w:lvlJc w:val="left"/>
      <w:pPr>
        <w:ind w:left="3600" w:hanging="360"/>
      </w:pPr>
      <w:rPr>
        <w:rFonts w:ascii="Courier New" w:hAnsi="Courier New" w:cs="Courier New" w:hint="default"/>
      </w:rPr>
    </w:lvl>
    <w:lvl w:ilvl="5" w:tplc="D58A9882" w:tentative="1">
      <w:start w:val="1"/>
      <w:numFmt w:val="bullet"/>
      <w:lvlText w:val=""/>
      <w:lvlJc w:val="left"/>
      <w:pPr>
        <w:ind w:left="4320" w:hanging="360"/>
      </w:pPr>
      <w:rPr>
        <w:rFonts w:ascii="Wingdings" w:hAnsi="Wingdings" w:hint="default"/>
      </w:rPr>
    </w:lvl>
    <w:lvl w:ilvl="6" w:tplc="32C03EF8" w:tentative="1">
      <w:start w:val="1"/>
      <w:numFmt w:val="bullet"/>
      <w:lvlText w:val=""/>
      <w:lvlJc w:val="left"/>
      <w:pPr>
        <w:ind w:left="5040" w:hanging="360"/>
      </w:pPr>
      <w:rPr>
        <w:rFonts w:ascii="Symbol" w:hAnsi="Symbol" w:hint="default"/>
      </w:rPr>
    </w:lvl>
    <w:lvl w:ilvl="7" w:tplc="04687822" w:tentative="1">
      <w:start w:val="1"/>
      <w:numFmt w:val="bullet"/>
      <w:lvlText w:val="o"/>
      <w:lvlJc w:val="left"/>
      <w:pPr>
        <w:ind w:left="5760" w:hanging="360"/>
      </w:pPr>
      <w:rPr>
        <w:rFonts w:ascii="Courier New" w:hAnsi="Courier New" w:cs="Courier New" w:hint="default"/>
      </w:rPr>
    </w:lvl>
    <w:lvl w:ilvl="8" w:tplc="2D4E6416" w:tentative="1">
      <w:start w:val="1"/>
      <w:numFmt w:val="bullet"/>
      <w:lvlText w:val=""/>
      <w:lvlJc w:val="left"/>
      <w:pPr>
        <w:ind w:left="6480" w:hanging="360"/>
      </w:pPr>
      <w:rPr>
        <w:rFonts w:ascii="Wingdings" w:hAnsi="Wingdings" w:hint="default"/>
      </w:rPr>
    </w:lvl>
  </w:abstractNum>
  <w:abstractNum w:abstractNumId="233">
    <w:nsid w:val="61FA0B0C"/>
    <w:multiLevelType w:val="hybridMultilevel"/>
    <w:tmpl w:val="E96EA4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nsid w:val="62B22036"/>
    <w:multiLevelType w:val="multilevel"/>
    <w:tmpl w:val="C08C6162"/>
    <w:lvl w:ilvl="0">
      <w:start w:val="1"/>
      <w:numFmt w:val="decimal"/>
      <w:lvlText w:val="%1."/>
      <w:lvlJc w:val="left"/>
      <w:pPr>
        <w:ind w:left="720" w:hanging="360"/>
      </w:pPr>
      <w:rPr>
        <w:b w:val="0"/>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5">
    <w:nsid w:val="639B0D31"/>
    <w:multiLevelType w:val="hybridMultilevel"/>
    <w:tmpl w:val="918AD1DC"/>
    <w:lvl w:ilvl="0" w:tplc="80863C44">
      <w:start w:val="1"/>
      <w:numFmt w:val="bullet"/>
      <w:lvlText w:val="-"/>
      <w:lvlJc w:val="left"/>
      <w:pPr>
        <w:ind w:left="360" w:hanging="360"/>
      </w:pPr>
      <w:rPr>
        <w:rFonts w:ascii="Courier New" w:hAnsi="Courier New" w:hint="default"/>
        <w:b w:val="0"/>
        <w:sz w:val="26"/>
        <w:szCs w:val="26"/>
      </w:rPr>
    </w:lvl>
    <w:lvl w:ilvl="1" w:tplc="54B629CE" w:tentative="1">
      <w:start w:val="1"/>
      <w:numFmt w:val="bullet"/>
      <w:lvlText w:val="o"/>
      <w:lvlJc w:val="left"/>
      <w:pPr>
        <w:ind w:left="1440" w:hanging="360"/>
      </w:pPr>
      <w:rPr>
        <w:rFonts w:ascii="Courier New" w:hAnsi="Courier New" w:cs="Courier New" w:hint="default"/>
      </w:rPr>
    </w:lvl>
    <w:lvl w:ilvl="2" w:tplc="4552C620" w:tentative="1">
      <w:start w:val="1"/>
      <w:numFmt w:val="bullet"/>
      <w:lvlText w:val=""/>
      <w:lvlJc w:val="left"/>
      <w:pPr>
        <w:ind w:left="2160" w:hanging="360"/>
      </w:pPr>
      <w:rPr>
        <w:rFonts w:ascii="Wingdings" w:hAnsi="Wingdings" w:hint="default"/>
      </w:rPr>
    </w:lvl>
    <w:lvl w:ilvl="3" w:tplc="48D45700" w:tentative="1">
      <w:start w:val="1"/>
      <w:numFmt w:val="bullet"/>
      <w:lvlText w:val=""/>
      <w:lvlJc w:val="left"/>
      <w:pPr>
        <w:ind w:left="2880" w:hanging="360"/>
      </w:pPr>
      <w:rPr>
        <w:rFonts w:ascii="Symbol" w:hAnsi="Symbol" w:hint="default"/>
      </w:rPr>
    </w:lvl>
    <w:lvl w:ilvl="4" w:tplc="25083174" w:tentative="1">
      <w:start w:val="1"/>
      <w:numFmt w:val="bullet"/>
      <w:lvlText w:val="o"/>
      <w:lvlJc w:val="left"/>
      <w:pPr>
        <w:ind w:left="3600" w:hanging="360"/>
      </w:pPr>
      <w:rPr>
        <w:rFonts w:ascii="Courier New" w:hAnsi="Courier New" w:cs="Courier New" w:hint="default"/>
      </w:rPr>
    </w:lvl>
    <w:lvl w:ilvl="5" w:tplc="97563AF2" w:tentative="1">
      <w:start w:val="1"/>
      <w:numFmt w:val="bullet"/>
      <w:lvlText w:val=""/>
      <w:lvlJc w:val="left"/>
      <w:pPr>
        <w:ind w:left="4320" w:hanging="360"/>
      </w:pPr>
      <w:rPr>
        <w:rFonts w:ascii="Wingdings" w:hAnsi="Wingdings" w:hint="default"/>
      </w:rPr>
    </w:lvl>
    <w:lvl w:ilvl="6" w:tplc="DDEAEC38" w:tentative="1">
      <w:start w:val="1"/>
      <w:numFmt w:val="bullet"/>
      <w:lvlText w:val=""/>
      <w:lvlJc w:val="left"/>
      <w:pPr>
        <w:ind w:left="5040" w:hanging="360"/>
      </w:pPr>
      <w:rPr>
        <w:rFonts w:ascii="Symbol" w:hAnsi="Symbol" w:hint="default"/>
      </w:rPr>
    </w:lvl>
    <w:lvl w:ilvl="7" w:tplc="E10E59B0" w:tentative="1">
      <w:start w:val="1"/>
      <w:numFmt w:val="bullet"/>
      <w:lvlText w:val="o"/>
      <w:lvlJc w:val="left"/>
      <w:pPr>
        <w:ind w:left="5760" w:hanging="360"/>
      </w:pPr>
      <w:rPr>
        <w:rFonts w:ascii="Courier New" w:hAnsi="Courier New" w:cs="Courier New" w:hint="default"/>
      </w:rPr>
    </w:lvl>
    <w:lvl w:ilvl="8" w:tplc="25685D9C" w:tentative="1">
      <w:start w:val="1"/>
      <w:numFmt w:val="bullet"/>
      <w:lvlText w:val=""/>
      <w:lvlJc w:val="left"/>
      <w:pPr>
        <w:ind w:left="6480" w:hanging="360"/>
      </w:pPr>
      <w:rPr>
        <w:rFonts w:ascii="Wingdings" w:hAnsi="Wingdings" w:hint="default"/>
      </w:rPr>
    </w:lvl>
  </w:abstractNum>
  <w:abstractNum w:abstractNumId="236">
    <w:nsid w:val="644F0812"/>
    <w:multiLevelType w:val="hybridMultilevel"/>
    <w:tmpl w:val="A0C88F9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908EFB92">
      <w:start w:val="36"/>
      <w:numFmt w:val="bullet"/>
      <w:lvlText w:val="•"/>
      <w:lvlJc w:val="left"/>
      <w:pPr>
        <w:ind w:left="2160" w:hanging="360"/>
      </w:pPr>
      <w:rPr>
        <w:rFonts w:ascii="Verdana" w:eastAsia="Times New Roman" w:hAnsi="Verdana"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nsid w:val="65326C14"/>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238">
    <w:nsid w:val="65471690"/>
    <w:multiLevelType w:val="hybridMultilevel"/>
    <w:tmpl w:val="041CFE84"/>
    <w:lvl w:ilvl="0" w:tplc="BD88C148">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39">
    <w:nsid w:val="661A4332"/>
    <w:multiLevelType w:val="hybridMultilevel"/>
    <w:tmpl w:val="161C700C"/>
    <w:lvl w:ilvl="0">
      <w:start w:val="1"/>
      <w:numFmt w:val="bullet"/>
      <w:lvlText w:val="-"/>
      <w:lvlJc w:val="left"/>
      <w:pPr>
        <w:ind w:left="360" w:hanging="360"/>
      </w:pPr>
      <w:rPr>
        <w:rFonts w:ascii="Courier New" w:hAnsi="Courier New" w:hint="default"/>
        <w:b w:val="0"/>
        <w:sz w:val="26"/>
        <w:szCs w:val="2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0">
    <w:nsid w:val="67347866"/>
    <w:multiLevelType w:val="hybridMultilevel"/>
    <w:tmpl w:val="4704F590"/>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nsid w:val="68B956E9"/>
    <w:multiLevelType w:val="hybridMultilevel"/>
    <w:tmpl w:val="041CFE84"/>
    <w:lvl w:ilvl="0" w:tplc="04150001">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42">
    <w:nsid w:val="68E030BF"/>
    <w:multiLevelType w:val="hybridMultilevel"/>
    <w:tmpl w:val="30024A92"/>
    <w:lvl w:ilvl="0">
      <w:start w:val="1"/>
      <w:numFmt w:val="bullet"/>
      <w:lvlText w:val="-"/>
      <w:lvlJc w:val="left"/>
      <w:pPr>
        <w:ind w:left="360" w:hanging="360"/>
      </w:pPr>
      <w:rPr>
        <w:rFonts w:ascii="Courier New" w:hAnsi="Courier New" w:hint="default"/>
        <w:b w:val="0"/>
        <w:sz w:val="26"/>
        <w:szCs w:val="26"/>
      </w:rPr>
    </w:lvl>
    <w:lvl w:ilvl="1">
      <w:start w:val="30"/>
      <w:numFmt w:val="bullet"/>
      <w:lvlText w:val="•"/>
      <w:lvlJc w:val="left"/>
      <w:pPr>
        <w:ind w:left="1785" w:hanging="705"/>
      </w:pPr>
      <w:rPr>
        <w:rFonts w:ascii="Verdana" w:eastAsia="Times New Roman" w:hAnsi="Verdana"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3">
    <w:nsid w:val="69E124CE"/>
    <w:multiLevelType w:val="hybridMultilevel"/>
    <w:tmpl w:val="56F8E416"/>
    <w:lvl w:ilvl="0" w:tplc="FFFFFFFF">
      <w:start w:val="1"/>
      <w:numFmt w:val="bullet"/>
      <w:lvlText w:val="-"/>
      <w:lvlJc w:val="left"/>
      <w:pPr>
        <w:ind w:left="720" w:hanging="360"/>
      </w:pPr>
      <w:rPr>
        <w:rFonts w:ascii="Courier New" w:hAnsi="Courier New" w:hint="default"/>
        <w:b w:val="0"/>
        <w:sz w:val="26"/>
        <w:szCs w:val="26"/>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69FC35F1"/>
    <w:multiLevelType w:val="hybridMultilevel"/>
    <w:tmpl w:val="3FA63DB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nsid w:val="6A4F34B7"/>
    <w:multiLevelType w:val="hybridMultilevel"/>
    <w:tmpl w:val="0FD009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nsid w:val="6A9530C9"/>
    <w:multiLevelType w:val="hybridMultilevel"/>
    <w:tmpl w:val="7C8A2F52"/>
    <w:lvl w:ilvl="0" w:tplc="FFFFFFFF">
      <w:start w:val="1"/>
      <w:numFmt w:val="bullet"/>
      <w:lvlText w:val="-"/>
      <w:lvlJc w:val="left"/>
      <w:pPr>
        <w:ind w:left="720" w:hanging="360"/>
      </w:pPr>
      <w:rPr>
        <w:rFonts w:ascii="Courier New" w:hAnsi="Courier New" w:hint="default"/>
        <w:b w:val="0"/>
        <w:sz w:val="26"/>
        <w:szCs w:val="26"/>
      </w:rPr>
    </w:lvl>
    <w:lvl w:ilvl="1" w:tplc="594085E0"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47">
    <w:nsid w:val="6B9456BC"/>
    <w:multiLevelType w:val="hybridMultilevel"/>
    <w:tmpl w:val="6F627F26"/>
    <w:lvl w:ilvl="0" w:tplc="BD88C148">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nsid w:val="6BF43537"/>
    <w:multiLevelType w:val="hybridMultilevel"/>
    <w:tmpl w:val="041CFE84"/>
    <w:lvl w:ilvl="0" w:tplc="FFFFFFFF">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49">
    <w:nsid w:val="6C0E26DA"/>
    <w:multiLevelType w:val="hybridMultilevel"/>
    <w:tmpl w:val="E06ADB16"/>
    <w:lvl w:ilvl="0" w:tplc="2106692C">
      <w:start w:val="1"/>
      <w:numFmt w:val="ordinal"/>
      <w:lvlText w:val="%1"/>
      <w:lvlJc w:val="center"/>
      <w:pPr>
        <w:ind w:left="752"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50">
    <w:nsid w:val="6C183175"/>
    <w:multiLevelType w:val="hybridMultilevel"/>
    <w:tmpl w:val="041CFE84"/>
    <w:lvl w:ilvl="0" w:tplc="C72EBC2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nsid w:val="6C221E52"/>
    <w:multiLevelType w:val="hybridMultilevel"/>
    <w:tmpl w:val="B5E49B72"/>
    <w:lvl w:ilvl="0" w:tplc="FFFFFFFF">
      <w:start w:val="1"/>
      <w:numFmt w:val="bullet"/>
      <w:lvlText w:val="o"/>
      <w:lvlJc w:val="left"/>
      <w:pPr>
        <w:ind w:left="1566" w:hanging="360"/>
      </w:pPr>
      <w:rPr>
        <w:rFonts w:ascii="Courier New" w:hAnsi="Courier New" w:cs="Courier New" w:hint="default"/>
      </w:rPr>
    </w:lvl>
    <w:lvl w:ilvl="1" w:tplc="04150003">
      <w:start w:val="1"/>
      <w:numFmt w:val="decimal"/>
      <w:lvlText w:val="%2."/>
      <w:lvlJc w:val="left"/>
      <w:pPr>
        <w:tabs>
          <w:tab w:val="num" w:pos="2286"/>
        </w:tabs>
        <w:ind w:left="2286" w:hanging="360"/>
      </w:pPr>
    </w:lvl>
    <w:lvl w:ilvl="2" w:tplc="04150005">
      <w:start w:val="1"/>
      <w:numFmt w:val="decimal"/>
      <w:lvlText w:val="%3."/>
      <w:lvlJc w:val="left"/>
      <w:pPr>
        <w:tabs>
          <w:tab w:val="num" w:pos="3006"/>
        </w:tabs>
        <w:ind w:left="3006" w:hanging="360"/>
      </w:pPr>
    </w:lvl>
    <w:lvl w:ilvl="3" w:tplc="04150001">
      <w:start w:val="1"/>
      <w:numFmt w:val="decimal"/>
      <w:lvlText w:val="%4."/>
      <w:lvlJc w:val="left"/>
      <w:pPr>
        <w:tabs>
          <w:tab w:val="num" w:pos="3726"/>
        </w:tabs>
        <w:ind w:left="3726" w:hanging="360"/>
      </w:pPr>
    </w:lvl>
    <w:lvl w:ilvl="4" w:tplc="04150003">
      <w:start w:val="1"/>
      <w:numFmt w:val="decimal"/>
      <w:lvlText w:val="%5."/>
      <w:lvlJc w:val="left"/>
      <w:pPr>
        <w:tabs>
          <w:tab w:val="num" w:pos="4446"/>
        </w:tabs>
        <w:ind w:left="4446" w:hanging="360"/>
      </w:pPr>
    </w:lvl>
    <w:lvl w:ilvl="5" w:tplc="04150005">
      <w:start w:val="1"/>
      <w:numFmt w:val="decimal"/>
      <w:lvlText w:val="%6."/>
      <w:lvlJc w:val="left"/>
      <w:pPr>
        <w:tabs>
          <w:tab w:val="num" w:pos="5166"/>
        </w:tabs>
        <w:ind w:left="5166" w:hanging="360"/>
      </w:pPr>
    </w:lvl>
    <w:lvl w:ilvl="6" w:tplc="04150001">
      <w:start w:val="1"/>
      <w:numFmt w:val="decimal"/>
      <w:lvlText w:val="%7."/>
      <w:lvlJc w:val="left"/>
      <w:pPr>
        <w:tabs>
          <w:tab w:val="num" w:pos="5886"/>
        </w:tabs>
        <w:ind w:left="5886" w:hanging="360"/>
      </w:pPr>
    </w:lvl>
    <w:lvl w:ilvl="7" w:tplc="04150003">
      <w:start w:val="1"/>
      <w:numFmt w:val="decimal"/>
      <w:lvlText w:val="%8."/>
      <w:lvlJc w:val="left"/>
      <w:pPr>
        <w:tabs>
          <w:tab w:val="num" w:pos="6606"/>
        </w:tabs>
        <w:ind w:left="6606" w:hanging="360"/>
      </w:pPr>
    </w:lvl>
    <w:lvl w:ilvl="8" w:tplc="04150005">
      <w:start w:val="1"/>
      <w:numFmt w:val="decimal"/>
      <w:lvlText w:val="%9."/>
      <w:lvlJc w:val="left"/>
      <w:pPr>
        <w:tabs>
          <w:tab w:val="num" w:pos="7326"/>
        </w:tabs>
        <w:ind w:left="7326" w:hanging="360"/>
      </w:pPr>
    </w:lvl>
  </w:abstractNum>
  <w:abstractNum w:abstractNumId="252">
    <w:nsid w:val="6C246757"/>
    <w:multiLevelType w:val="multilevel"/>
    <w:tmpl w:val="D1D461D0"/>
    <w:lvl w:ilvl="0">
      <w:start w:val="1"/>
      <w:numFmt w:val="decimal"/>
      <w:lvlText w:val="%1."/>
      <w:lvlJc w:val="left"/>
      <w:pPr>
        <w:ind w:left="360" w:hanging="360"/>
      </w:pPr>
      <w:rPr>
        <w:rFonts w:hint="default"/>
      </w:rPr>
    </w:lvl>
    <w:lvl w:ilvl="1">
      <w:start w:val="1"/>
      <w:numFmt w:val="decimal"/>
      <w:pStyle w:val="nagwek2"/>
      <w:isLgl/>
      <w:lvlText w:val="%1.%2."/>
      <w:lvlJc w:val="left"/>
      <w:pPr>
        <w:ind w:left="72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53">
    <w:nsid w:val="6CBA5977"/>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254">
    <w:nsid w:val="6DBC1AA5"/>
    <w:multiLevelType w:val="hybridMultilevel"/>
    <w:tmpl w:val="9F40C7A0"/>
    <w:lvl w:ilvl="0" w:tplc="C72EBC2A">
      <w:start w:val="1"/>
      <w:numFmt w:val="bullet"/>
      <w:lvlText w:val="-"/>
      <w:lvlJc w:val="left"/>
      <w:pPr>
        <w:ind w:left="360" w:hanging="360"/>
      </w:pPr>
      <w:rPr>
        <w:rFonts w:ascii="Courier New" w:hAnsi="Courier New" w:hint="default"/>
        <w:b w:val="0"/>
        <w:sz w:val="26"/>
        <w:szCs w:val="26"/>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55">
    <w:nsid w:val="6DCE44BE"/>
    <w:multiLevelType w:val="hybridMultilevel"/>
    <w:tmpl w:val="75B88620"/>
    <w:lvl w:ilvl="0" w:tplc="04150001">
      <w:start w:val="1"/>
      <w:numFmt w:val="bullet"/>
      <w:lvlText w:val="-"/>
      <w:lvlJc w:val="left"/>
      <w:pPr>
        <w:ind w:left="360" w:hanging="360"/>
      </w:pPr>
      <w:rPr>
        <w:rFonts w:ascii="Courier New" w:hAnsi="Courier New" w:hint="default"/>
        <w:b w:val="0"/>
        <w:sz w:val="26"/>
        <w:szCs w:val="26"/>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nsid w:val="6E340D63"/>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257">
    <w:nsid w:val="6E3B158E"/>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258">
    <w:nsid w:val="6E5E5C3E"/>
    <w:multiLevelType w:val="hybridMultilevel"/>
    <w:tmpl w:val="EFD2D59C"/>
    <w:lvl w:ilvl="0" w:tplc="1AD0185C">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nsid w:val="6E6E2E8A"/>
    <w:multiLevelType w:val="multilevel"/>
    <w:tmpl w:val="6756E9C2"/>
    <w:lvl w:ilvl="0">
      <w:start w:val="1"/>
      <w:numFmt w:val="decimal"/>
      <w:lvlText w:val="%1."/>
      <w:lvlJc w:val="left"/>
      <w:pPr>
        <w:ind w:left="720" w:hanging="360"/>
      </w:pPr>
      <w:rPr>
        <w:b w:val="0"/>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0">
    <w:nsid w:val="6EB602C7"/>
    <w:multiLevelType w:val="hybridMultilevel"/>
    <w:tmpl w:val="AEBCF9C8"/>
    <w:lvl w:ilvl="0" w:tplc="BD88C148">
      <w:start w:val="1"/>
      <w:numFmt w:val="bullet"/>
      <w:lvlText w:val="o"/>
      <w:lvlJc w:val="left"/>
      <w:pPr>
        <w:tabs>
          <w:tab w:val="num" w:pos="927"/>
        </w:tabs>
        <w:ind w:left="927" w:hanging="360"/>
      </w:pPr>
      <w:rPr>
        <w:rFonts w:ascii="Courier New" w:hAnsi="Courier New" w:hint="default"/>
      </w:rPr>
    </w:lvl>
    <w:lvl w:ilvl="1" w:tplc="04150003">
      <w:start w:val="1"/>
      <w:numFmt w:val="bullet"/>
      <w:lvlText w:val="o"/>
      <w:lvlJc w:val="left"/>
      <w:pPr>
        <w:tabs>
          <w:tab w:val="num" w:pos="1287"/>
        </w:tabs>
        <w:ind w:left="1287" w:hanging="360"/>
      </w:pPr>
      <w:rPr>
        <w:rFonts w:ascii="Courier New" w:hAnsi="Courier New" w:cs="Times New Roman" w:hint="default"/>
      </w:rPr>
    </w:lvl>
    <w:lvl w:ilvl="2" w:tplc="04150005">
      <w:start w:val="1"/>
      <w:numFmt w:val="bullet"/>
      <w:lvlText w:val="-"/>
      <w:lvlJc w:val="left"/>
      <w:pPr>
        <w:tabs>
          <w:tab w:val="num" w:pos="2010"/>
        </w:tabs>
        <w:ind w:left="2010" w:hanging="363"/>
      </w:pPr>
      <w:rPr>
        <w:rFonts w:ascii="Times New Roman" w:hAnsi="Times New Roman" w:cs="Times New Roman" w:hint="default"/>
      </w:rPr>
    </w:lvl>
    <w:lvl w:ilvl="3" w:tplc="04150001">
      <w:start w:val="1"/>
      <w:numFmt w:val="bullet"/>
      <w:lvlText w:val="o"/>
      <w:lvlJc w:val="left"/>
      <w:pPr>
        <w:tabs>
          <w:tab w:val="num" w:pos="2727"/>
        </w:tabs>
        <w:ind w:left="2727" w:hanging="360"/>
      </w:pPr>
      <w:rPr>
        <w:rFonts w:ascii="Courier New" w:hAnsi="Courier New" w:cs="Times New Roman" w:hint="default"/>
      </w:rPr>
    </w:lvl>
    <w:lvl w:ilvl="4" w:tplc="04150003">
      <w:start w:val="1"/>
      <w:numFmt w:val="bullet"/>
      <w:lvlText w:val="-"/>
      <w:lvlJc w:val="left"/>
      <w:pPr>
        <w:tabs>
          <w:tab w:val="num" w:pos="3450"/>
        </w:tabs>
        <w:ind w:left="3450" w:hanging="363"/>
      </w:pPr>
      <w:rPr>
        <w:rFonts w:ascii="Times New Roman" w:hAnsi="Times New Roman" w:cs="Times New Roman" w:hint="default"/>
      </w:rPr>
    </w:lvl>
    <w:lvl w:ilvl="5" w:tplc="04150005">
      <w:start w:val="1"/>
      <w:numFmt w:val="bullet"/>
      <w:lvlText w:val="o"/>
      <w:lvlJc w:val="left"/>
      <w:pPr>
        <w:tabs>
          <w:tab w:val="num" w:pos="4167"/>
        </w:tabs>
        <w:ind w:left="4167" w:hanging="360"/>
      </w:pPr>
      <w:rPr>
        <w:rFonts w:ascii="Courier New" w:hAnsi="Courier New" w:cs="Times New Roman" w:hint="default"/>
      </w:rPr>
    </w:lvl>
    <w:lvl w:ilvl="6" w:tplc="04150001">
      <w:start w:val="1"/>
      <w:numFmt w:val="bullet"/>
      <w:lvlText w:val="-"/>
      <w:lvlJc w:val="left"/>
      <w:pPr>
        <w:tabs>
          <w:tab w:val="num" w:pos="4890"/>
        </w:tabs>
        <w:ind w:left="4890" w:hanging="363"/>
      </w:pPr>
      <w:rPr>
        <w:rFonts w:ascii="Times New Roman" w:hAnsi="Times New Roman" w:cs="Times New Roman" w:hint="default"/>
      </w:rPr>
    </w:lvl>
    <w:lvl w:ilvl="7" w:tplc="04150003">
      <w:start w:val="1"/>
      <w:numFmt w:val="bullet"/>
      <w:lvlText w:val=""/>
      <w:lvlJc w:val="left"/>
      <w:pPr>
        <w:tabs>
          <w:tab w:val="num" w:pos="5607"/>
        </w:tabs>
        <w:ind w:left="5607" w:hanging="360"/>
      </w:pPr>
      <w:rPr>
        <w:rFonts w:ascii="Wingdings" w:hAnsi="Wingdings" w:hint="default"/>
      </w:rPr>
    </w:lvl>
    <w:lvl w:ilvl="8" w:tplc="04150005">
      <w:start w:val="1"/>
      <w:numFmt w:val="bullet"/>
      <w:lvlText w:val="o"/>
      <w:lvlJc w:val="left"/>
      <w:pPr>
        <w:tabs>
          <w:tab w:val="num" w:pos="6327"/>
        </w:tabs>
        <w:ind w:left="6327" w:hanging="360"/>
      </w:pPr>
      <w:rPr>
        <w:rFonts w:ascii="Courier New" w:hAnsi="Courier New" w:cs="Times New Roman" w:hint="default"/>
      </w:rPr>
    </w:lvl>
  </w:abstractNum>
  <w:abstractNum w:abstractNumId="261">
    <w:nsid w:val="6F073018"/>
    <w:multiLevelType w:val="hybridMultilevel"/>
    <w:tmpl w:val="868885DC"/>
    <w:lvl w:ilvl="0" w:tplc="502E84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nsid w:val="70C75534"/>
    <w:multiLevelType w:val="hybridMultilevel"/>
    <w:tmpl w:val="90B630DC"/>
    <w:lvl w:ilvl="0">
      <w:start w:val="1"/>
      <w:numFmt w:val="decimal"/>
      <w:lvlText w:val="%1."/>
      <w:lvlJc w:val="left"/>
      <w:pPr>
        <w:ind w:left="720" w:hanging="360"/>
      </w:pPr>
      <w:rPr>
        <w:rFonts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3">
    <w:nsid w:val="713E232A"/>
    <w:multiLevelType w:val="hybridMultilevel"/>
    <w:tmpl w:val="509E33BA"/>
    <w:lvl w:ilvl="0" w:tplc="BD88C1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nsid w:val="71CF566F"/>
    <w:multiLevelType w:val="hybridMultilevel"/>
    <w:tmpl w:val="DC30D4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nsid w:val="71FE78F7"/>
    <w:multiLevelType w:val="hybridMultilevel"/>
    <w:tmpl w:val="C4FA673E"/>
    <w:lvl w:ilvl="0" w:tplc="04150003">
      <w:start w:val="1"/>
      <w:numFmt w:val="bullet"/>
      <w:lvlText w:val="o"/>
      <w:lvlJc w:val="left"/>
      <w:pPr>
        <w:tabs>
          <w:tab w:val="num" w:pos="1204"/>
        </w:tabs>
        <w:ind w:left="1204" w:hanging="360"/>
      </w:pPr>
      <w:rPr>
        <w:rFonts w:ascii="Courier New" w:hAnsi="Courier New" w:cs="Courier New" w:hint="default"/>
      </w:rPr>
    </w:lvl>
    <w:lvl w:ilvl="1" w:tplc="04150003" w:tentative="1">
      <w:start w:val="1"/>
      <w:numFmt w:val="bullet"/>
      <w:lvlText w:val="o"/>
      <w:lvlJc w:val="left"/>
      <w:pPr>
        <w:tabs>
          <w:tab w:val="num" w:pos="1924"/>
        </w:tabs>
        <w:ind w:left="1924" w:hanging="360"/>
      </w:pPr>
      <w:rPr>
        <w:rFonts w:ascii="Courier New" w:hAnsi="Courier New" w:hint="default"/>
      </w:rPr>
    </w:lvl>
    <w:lvl w:ilvl="2" w:tplc="CCD6E5A6" w:tentative="1">
      <w:start w:val="1"/>
      <w:numFmt w:val="bullet"/>
      <w:lvlText w:val=""/>
      <w:lvlJc w:val="left"/>
      <w:pPr>
        <w:tabs>
          <w:tab w:val="num" w:pos="2644"/>
        </w:tabs>
        <w:ind w:left="2644" w:hanging="360"/>
      </w:pPr>
      <w:rPr>
        <w:rFonts w:ascii="Wingdings" w:hAnsi="Wingdings" w:hint="default"/>
      </w:rPr>
    </w:lvl>
    <w:lvl w:ilvl="3" w:tplc="04150003" w:tentative="1">
      <w:start w:val="1"/>
      <w:numFmt w:val="bullet"/>
      <w:lvlText w:val=""/>
      <w:lvlJc w:val="left"/>
      <w:pPr>
        <w:tabs>
          <w:tab w:val="num" w:pos="3364"/>
        </w:tabs>
        <w:ind w:left="3364" w:hanging="360"/>
      </w:pPr>
      <w:rPr>
        <w:rFonts w:ascii="Symbol" w:hAnsi="Symbol" w:hint="default"/>
      </w:rPr>
    </w:lvl>
    <w:lvl w:ilvl="4" w:tplc="CCD6E5A6" w:tentative="1">
      <w:start w:val="1"/>
      <w:numFmt w:val="bullet"/>
      <w:lvlText w:val="o"/>
      <w:lvlJc w:val="left"/>
      <w:pPr>
        <w:tabs>
          <w:tab w:val="num" w:pos="4084"/>
        </w:tabs>
        <w:ind w:left="4084" w:hanging="360"/>
      </w:pPr>
      <w:rPr>
        <w:rFonts w:ascii="Courier New" w:hAnsi="Courier New" w:hint="default"/>
      </w:rPr>
    </w:lvl>
    <w:lvl w:ilvl="5" w:tplc="04150003" w:tentative="1">
      <w:start w:val="1"/>
      <w:numFmt w:val="bullet"/>
      <w:lvlText w:val=""/>
      <w:lvlJc w:val="left"/>
      <w:pPr>
        <w:tabs>
          <w:tab w:val="num" w:pos="4804"/>
        </w:tabs>
        <w:ind w:left="4804" w:hanging="360"/>
      </w:pPr>
      <w:rPr>
        <w:rFonts w:ascii="Wingdings" w:hAnsi="Wingdings" w:hint="default"/>
      </w:rPr>
    </w:lvl>
    <w:lvl w:ilvl="6" w:tplc="CCD6E5A6" w:tentative="1">
      <w:start w:val="1"/>
      <w:numFmt w:val="bullet"/>
      <w:lvlText w:val=""/>
      <w:lvlJc w:val="left"/>
      <w:pPr>
        <w:tabs>
          <w:tab w:val="num" w:pos="5524"/>
        </w:tabs>
        <w:ind w:left="5524" w:hanging="360"/>
      </w:pPr>
      <w:rPr>
        <w:rFonts w:ascii="Symbol" w:hAnsi="Symbol" w:hint="default"/>
      </w:rPr>
    </w:lvl>
    <w:lvl w:ilvl="7" w:tplc="04150005" w:tentative="1">
      <w:start w:val="1"/>
      <w:numFmt w:val="bullet"/>
      <w:lvlText w:val="o"/>
      <w:lvlJc w:val="left"/>
      <w:pPr>
        <w:tabs>
          <w:tab w:val="num" w:pos="6244"/>
        </w:tabs>
        <w:ind w:left="6244" w:hanging="360"/>
      </w:pPr>
      <w:rPr>
        <w:rFonts w:ascii="Courier New" w:hAnsi="Courier New" w:hint="default"/>
      </w:rPr>
    </w:lvl>
    <w:lvl w:ilvl="8" w:tplc="04150003" w:tentative="1">
      <w:start w:val="1"/>
      <w:numFmt w:val="bullet"/>
      <w:lvlText w:val=""/>
      <w:lvlJc w:val="left"/>
      <w:pPr>
        <w:tabs>
          <w:tab w:val="num" w:pos="6964"/>
        </w:tabs>
        <w:ind w:left="6964" w:hanging="360"/>
      </w:pPr>
      <w:rPr>
        <w:rFonts w:ascii="Wingdings" w:hAnsi="Wingdings" w:hint="default"/>
      </w:rPr>
    </w:lvl>
  </w:abstractNum>
  <w:abstractNum w:abstractNumId="266">
    <w:nsid w:val="7200277D"/>
    <w:multiLevelType w:val="hybridMultilevel"/>
    <w:tmpl w:val="041CFE84"/>
    <w:lvl w:ilvl="0" w:tplc="04150001">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67">
    <w:nsid w:val="724E6B9C"/>
    <w:multiLevelType w:val="hybridMultilevel"/>
    <w:tmpl w:val="041CFE84"/>
    <w:lvl w:ilvl="0" w:tplc="04150001">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68">
    <w:nsid w:val="728F3396"/>
    <w:multiLevelType w:val="hybridMultilevel"/>
    <w:tmpl w:val="8A9CFF8C"/>
    <w:lvl w:ilvl="0" w:tplc="2106692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9">
    <w:nsid w:val="72CD0584"/>
    <w:multiLevelType w:val="hybridMultilevel"/>
    <w:tmpl w:val="9BDCC812"/>
    <w:lvl w:ilvl="0" w:tplc="BD88C148">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nsid w:val="72EC1CC5"/>
    <w:multiLevelType w:val="hybridMultilevel"/>
    <w:tmpl w:val="041CFE84"/>
    <w:lvl w:ilvl="0" w:tplc="9D7AF3B6">
      <w:start w:val="1"/>
      <w:numFmt w:val="decimal"/>
      <w:lvlText w:val="%1."/>
      <w:lvlJc w:val="left"/>
      <w:pPr>
        <w:ind w:left="720" w:hanging="360"/>
      </w:pPr>
      <w:rPr>
        <w:b w:val="0"/>
        <w:sz w:val="20"/>
        <w:szCs w:val="20"/>
      </w:rPr>
    </w:lvl>
    <w:lvl w:ilvl="1" w:tplc="1C707E00" w:tentative="1">
      <w:start w:val="1"/>
      <w:numFmt w:val="lowerLetter"/>
      <w:lvlText w:val="%2."/>
      <w:lvlJc w:val="left"/>
      <w:pPr>
        <w:ind w:left="1440" w:hanging="360"/>
      </w:pPr>
    </w:lvl>
    <w:lvl w:ilvl="2" w:tplc="48D2EE3C" w:tentative="1">
      <w:start w:val="1"/>
      <w:numFmt w:val="lowerRoman"/>
      <w:lvlText w:val="%3."/>
      <w:lvlJc w:val="right"/>
      <w:pPr>
        <w:ind w:left="2160" w:hanging="180"/>
      </w:pPr>
    </w:lvl>
    <w:lvl w:ilvl="3" w:tplc="1768334A" w:tentative="1">
      <w:start w:val="1"/>
      <w:numFmt w:val="decimal"/>
      <w:lvlText w:val="%4."/>
      <w:lvlJc w:val="left"/>
      <w:pPr>
        <w:ind w:left="2880" w:hanging="360"/>
      </w:pPr>
    </w:lvl>
    <w:lvl w:ilvl="4" w:tplc="F5265AEA" w:tentative="1">
      <w:start w:val="1"/>
      <w:numFmt w:val="lowerLetter"/>
      <w:lvlText w:val="%5."/>
      <w:lvlJc w:val="left"/>
      <w:pPr>
        <w:ind w:left="3600" w:hanging="360"/>
      </w:pPr>
    </w:lvl>
    <w:lvl w:ilvl="5" w:tplc="5E9AC6C2" w:tentative="1">
      <w:start w:val="1"/>
      <w:numFmt w:val="lowerRoman"/>
      <w:lvlText w:val="%6."/>
      <w:lvlJc w:val="right"/>
      <w:pPr>
        <w:ind w:left="4320" w:hanging="180"/>
      </w:pPr>
    </w:lvl>
    <w:lvl w:ilvl="6" w:tplc="83D4FFAA" w:tentative="1">
      <w:start w:val="1"/>
      <w:numFmt w:val="decimal"/>
      <w:lvlText w:val="%7."/>
      <w:lvlJc w:val="left"/>
      <w:pPr>
        <w:ind w:left="5040" w:hanging="360"/>
      </w:pPr>
    </w:lvl>
    <w:lvl w:ilvl="7" w:tplc="A01842C0" w:tentative="1">
      <w:start w:val="1"/>
      <w:numFmt w:val="lowerLetter"/>
      <w:lvlText w:val="%8."/>
      <w:lvlJc w:val="left"/>
      <w:pPr>
        <w:ind w:left="5760" w:hanging="360"/>
      </w:pPr>
    </w:lvl>
    <w:lvl w:ilvl="8" w:tplc="321A76A0" w:tentative="1">
      <w:start w:val="1"/>
      <w:numFmt w:val="lowerRoman"/>
      <w:lvlText w:val="%9."/>
      <w:lvlJc w:val="right"/>
      <w:pPr>
        <w:ind w:left="6480" w:hanging="180"/>
      </w:pPr>
    </w:lvl>
  </w:abstractNum>
  <w:abstractNum w:abstractNumId="271">
    <w:nsid w:val="731D667D"/>
    <w:multiLevelType w:val="hybridMultilevel"/>
    <w:tmpl w:val="417E1020"/>
    <w:lvl w:ilvl="0" w:tplc="BD88C148">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nsid w:val="74CC090F"/>
    <w:multiLevelType w:val="hybridMultilevel"/>
    <w:tmpl w:val="EC840D3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3">
    <w:nsid w:val="74F47399"/>
    <w:multiLevelType w:val="hybridMultilevel"/>
    <w:tmpl w:val="F1D29FC4"/>
    <w:lvl w:ilvl="0" w:tplc="76F05720">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nsid w:val="75772151"/>
    <w:multiLevelType w:val="hybridMultilevel"/>
    <w:tmpl w:val="CBCAA522"/>
    <w:lvl w:ilvl="0" w:tplc="04150003">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5">
    <w:nsid w:val="75F753F2"/>
    <w:multiLevelType w:val="hybridMultilevel"/>
    <w:tmpl w:val="5338E366"/>
    <w:lvl w:ilvl="0" w:tplc="BD88C148">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nsid w:val="761B3466"/>
    <w:multiLevelType w:val="hybridMultilevel"/>
    <w:tmpl w:val="CF4A02D8"/>
    <w:lvl w:ilvl="0" w:tplc="9078B200">
      <w:start w:val="1"/>
      <w:numFmt w:val="bullet"/>
      <w:lvlText w:val="-"/>
      <w:lvlJc w:val="left"/>
      <w:pPr>
        <w:ind w:left="360" w:hanging="360"/>
      </w:pPr>
      <w:rPr>
        <w:rFonts w:ascii="Courier New" w:hAnsi="Courier New" w:hint="default"/>
        <w:b w:val="0"/>
        <w:sz w:val="26"/>
        <w:szCs w:val="26"/>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77">
    <w:nsid w:val="763A645B"/>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278">
    <w:nsid w:val="766D11F3"/>
    <w:multiLevelType w:val="hybridMultilevel"/>
    <w:tmpl w:val="A5E4C10A"/>
    <w:lvl w:ilvl="0" w:tplc="FFFFFFFF">
      <w:start w:val="1"/>
      <w:numFmt w:val="ordinal"/>
      <w:lvlText w:val="%1"/>
      <w:lvlJc w:val="center"/>
      <w:pPr>
        <w:ind w:left="360" w:hanging="72"/>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79">
    <w:nsid w:val="76A972BA"/>
    <w:multiLevelType w:val="hybridMultilevel"/>
    <w:tmpl w:val="7C4CE11A"/>
    <w:lvl w:ilvl="0" w:tplc="C72EBC2A">
      <w:start w:val="1"/>
      <w:numFmt w:val="bullet"/>
      <w:lvlText w:val="-"/>
      <w:lvlJc w:val="left"/>
      <w:pPr>
        <w:ind w:left="720" w:hanging="360"/>
      </w:pPr>
      <w:rPr>
        <w:rFonts w:ascii="Courier New" w:hAnsi="Courier New" w:hint="default"/>
        <w:b w:val="0"/>
        <w:sz w:val="26"/>
        <w:szCs w:val="26"/>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80">
    <w:nsid w:val="76CB124F"/>
    <w:multiLevelType w:val="hybridMultilevel"/>
    <w:tmpl w:val="03D41CCA"/>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1">
    <w:nsid w:val="76DD4CCD"/>
    <w:multiLevelType w:val="hybridMultilevel"/>
    <w:tmpl w:val="3F6691E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2">
    <w:nsid w:val="77AA757F"/>
    <w:multiLevelType w:val="hybridMultilevel"/>
    <w:tmpl w:val="C7302466"/>
    <w:lvl w:ilvl="0">
      <w:start w:val="1"/>
      <w:numFmt w:val="bullet"/>
      <w:lvlText w:val="-"/>
      <w:lvlJc w:val="left"/>
      <w:pPr>
        <w:ind w:left="360" w:hanging="360"/>
      </w:pPr>
      <w:rPr>
        <w:rFonts w:ascii="Courier New" w:hAnsi="Courier New" w:hint="default"/>
        <w:b w:val="0"/>
        <w:sz w:val="26"/>
        <w:szCs w:val="2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3">
    <w:nsid w:val="78151E2E"/>
    <w:multiLevelType w:val="hybridMultilevel"/>
    <w:tmpl w:val="C9124ECA"/>
    <w:lvl w:ilvl="0" w:tplc="FFFFFFFF">
      <w:start w:val="1"/>
      <w:numFmt w:val="decimal"/>
      <w:lvlText w:val="%1."/>
      <w:lvlJc w:val="left"/>
      <w:pPr>
        <w:ind w:left="720" w:hanging="360"/>
      </w:pPr>
      <w:rPr>
        <w:rFonts w:ascii="Verdana" w:hAnsi="Verdana" w:cs="Times New Roman" w:hint="default"/>
      </w:rPr>
    </w:lvl>
    <w:lvl w:ilvl="1" w:tplc="04150003">
      <w:start w:val="1"/>
      <w:numFmt w:val="lowerLetter"/>
      <w:lvlText w:val="%2."/>
      <w:lvlJc w:val="left"/>
      <w:pPr>
        <w:ind w:left="1440" w:hanging="360"/>
      </w:pPr>
      <w:rPr>
        <w:rFonts w:ascii="Times New Roman" w:hAnsi="Times New Roman" w:cs="Times New Roman"/>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284">
    <w:nsid w:val="78936CA8"/>
    <w:multiLevelType w:val="hybridMultilevel"/>
    <w:tmpl w:val="0BB6B08C"/>
    <w:lvl w:ilvl="0" w:tplc="FFFFFFFF">
      <w:start w:val="1"/>
      <w:numFmt w:val="decimal"/>
      <w:pStyle w:val="Dzialpodrozdial1"/>
      <w:lvlText w:val="%1."/>
      <w:lvlJc w:val="left"/>
      <w:pPr>
        <w:ind w:left="717" w:hanging="360"/>
      </w:pPr>
    </w:lvl>
    <w:lvl w:ilvl="1" w:tplc="8B687D58">
      <w:start w:val="1"/>
      <w:numFmt w:val="bullet"/>
      <w:lvlText w:val=""/>
      <w:lvlJc w:val="left"/>
      <w:pPr>
        <w:tabs>
          <w:tab w:val="num" w:pos="1437"/>
        </w:tabs>
        <w:ind w:left="1437" w:hanging="360"/>
      </w:pPr>
      <w:rPr>
        <w:rFonts w:ascii="Symbol" w:hAnsi="Symbol" w:hint="default"/>
      </w:rPr>
    </w:lvl>
    <w:lvl w:ilvl="2" w:tplc="099C1C62" w:tentative="1">
      <w:start w:val="1"/>
      <w:numFmt w:val="lowerRoman"/>
      <w:lvlText w:val="%3."/>
      <w:lvlJc w:val="right"/>
      <w:pPr>
        <w:ind w:left="2157" w:hanging="180"/>
      </w:pPr>
    </w:lvl>
    <w:lvl w:ilvl="3" w:tplc="43AEED94" w:tentative="1">
      <w:start w:val="1"/>
      <w:numFmt w:val="decimal"/>
      <w:lvlText w:val="%4."/>
      <w:lvlJc w:val="left"/>
      <w:pPr>
        <w:ind w:left="2877" w:hanging="360"/>
      </w:pPr>
    </w:lvl>
    <w:lvl w:ilvl="4" w:tplc="078AA112" w:tentative="1">
      <w:start w:val="1"/>
      <w:numFmt w:val="lowerLetter"/>
      <w:lvlText w:val="%5."/>
      <w:lvlJc w:val="left"/>
      <w:pPr>
        <w:ind w:left="3597" w:hanging="360"/>
      </w:pPr>
    </w:lvl>
    <w:lvl w:ilvl="5" w:tplc="AE822880" w:tentative="1">
      <w:start w:val="1"/>
      <w:numFmt w:val="lowerRoman"/>
      <w:lvlText w:val="%6."/>
      <w:lvlJc w:val="right"/>
      <w:pPr>
        <w:ind w:left="4317" w:hanging="180"/>
      </w:pPr>
    </w:lvl>
    <w:lvl w:ilvl="6" w:tplc="0C52FA4A" w:tentative="1">
      <w:start w:val="1"/>
      <w:numFmt w:val="decimal"/>
      <w:lvlText w:val="%7."/>
      <w:lvlJc w:val="left"/>
      <w:pPr>
        <w:ind w:left="5037" w:hanging="360"/>
      </w:pPr>
    </w:lvl>
    <w:lvl w:ilvl="7" w:tplc="A63A92F8" w:tentative="1">
      <w:start w:val="1"/>
      <w:numFmt w:val="lowerLetter"/>
      <w:lvlText w:val="%8."/>
      <w:lvlJc w:val="left"/>
      <w:pPr>
        <w:ind w:left="5757" w:hanging="360"/>
      </w:pPr>
    </w:lvl>
    <w:lvl w:ilvl="8" w:tplc="B10A39EC" w:tentative="1">
      <w:start w:val="1"/>
      <w:numFmt w:val="lowerRoman"/>
      <w:lvlText w:val="%9."/>
      <w:lvlJc w:val="right"/>
      <w:pPr>
        <w:ind w:left="6477" w:hanging="180"/>
      </w:pPr>
    </w:lvl>
  </w:abstractNum>
  <w:abstractNum w:abstractNumId="285">
    <w:nsid w:val="791576CA"/>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286">
    <w:nsid w:val="792D00BF"/>
    <w:multiLevelType w:val="hybridMultilevel"/>
    <w:tmpl w:val="B78E760C"/>
    <w:lvl w:ilvl="0" w:tplc="C72EBC2A">
      <w:start w:val="1"/>
      <w:numFmt w:val="bullet"/>
      <w:lvlText w:val=""/>
      <w:lvlJc w:val="left"/>
      <w:pPr>
        <w:ind w:left="360" w:hanging="360"/>
      </w:pPr>
      <w:rPr>
        <w:rFonts w:ascii="Symbol" w:hAnsi="Symbol" w:hint="default"/>
      </w:rPr>
    </w:lvl>
    <w:lvl w:ilvl="1" w:tplc="04150019" w:tentative="1">
      <w:start w:val="1"/>
      <w:numFmt w:val="bullet"/>
      <w:lvlText w:val="o"/>
      <w:lvlJc w:val="left"/>
      <w:pPr>
        <w:ind w:left="1080" w:hanging="360"/>
      </w:pPr>
      <w:rPr>
        <w:rFonts w:ascii="Courier New" w:hAnsi="Courier New" w:cs="Courier New" w:hint="default"/>
      </w:rPr>
    </w:lvl>
    <w:lvl w:ilvl="2" w:tplc="0415001B" w:tentative="1">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287">
    <w:nsid w:val="79E64C48"/>
    <w:multiLevelType w:val="hybridMultilevel"/>
    <w:tmpl w:val="041CFE84"/>
    <w:lvl w:ilvl="0" w:tplc="FFFFFFFF">
      <w:start w:val="1"/>
      <w:numFmt w:val="decimal"/>
      <w:lvlText w:val="%1."/>
      <w:lvlJc w:val="left"/>
      <w:pPr>
        <w:ind w:left="720" w:hanging="360"/>
      </w:pPr>
      <w:rPr>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88">
    <w:nsid w:val="79FB7279"/>
    <w:multiLevelType w:val="hybridMultilevel"/>
    <w:tmpl w:val="041CFE84"/>
    <w:lvl w:ilvl="0" w:tplc="2DC4042E">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nsid w:val="7A474690"/>
    <w:multiLevelType w:val="hybridMultilevel"/>
    <w:tmpl w:val="9844FE6E"/>
    <w:lvl w:ilvl="0" w:tplc="04150003">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nsid w:val="7AC82059"/>
    <w:multiLevelType w:val="multilevel"/>
    <w:tmpl w:val="E7BA8792"/>
    <w:lvl w:ilvl="0">
      <w:start w:val="1"/>
      <w:numFmt w:val="decimal"/>
      <w:lvlText w:val="%1."/>
      <w:lvlJc w:val="left"/>
      <w:pPr>
        <w:ind w:left="720" w:hanging="360"/>
      </w:pPr>
      <w:rPr>
        <w:b w:val="0"/>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1">
    <w:nsid w:val="7AFE4490"/>
    <w:multiLevelType w:val="multilevel"/>
    <w:tmpl w:val="2C7AB1D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720"/>
      </w:pPr>
      <w:rPr>
        <w:rFonts w:eastAsiaTheme="minorEastAsia" w:cstheme="minorBidi" w:hint="default"/>
        <w:b/>
        <w:color w:val="000000" w:themeColor="text1"/>
      </w:rPr>
    </w:lvl>
    <w:lvl w:ilvl="2">
      <w:start w:val="1"/>
      <w:numFmt w:val="bullet"/>
      <w:lvlText w:val=""/>
      <w:lvlJc w:val="left"/>
      <w:pPr>
        <w:ind w:left="1440" w:hanging="1080"/>
      </w:pPr>
      <w:rPr>
        <w:rFonts w:ascii="Symbol" w:hAnsi="Symbol" w:hint="default"/>
        <w:b/>
        <w:color w:val="000000" w:themeColor="text1"/>
        <w:sz w:val="20"/>
        <w:szCs w:val="20"/>
      </w:rPr>
    </w:lvl>
    <w:lvl w:ilvl="3">
      <w:start w:val="1"/>
      <w:numFmt w:val="decimal"/>
      <w:isLgl/>
      <w:lvlText w:val="%1.%2.%3.%4."/>
      <w:lvlJc w:val="left"/>
      <w:pPr>
        <w:ind w:left="1440" w:hanging="1080"/>
      </w:pPr>
      <w:rPr>
        <w:rFonts w:eastAsiaTheme="minorEastAsia" w:cstheme="minorBidi" w:hint="default"/>
        <w:b w:val="0"/>
        <w:color w:val="000000" w:themeColor="text1"/>
      </w:rPr>
    </w:lvl>
    <w:lvl w:ilvl="4">
      <w:start w:val="1"/>
      <w:numFmt w:val="decimal"/>
      <w:isLgl/>
      <w:lvlText w:val="%1.%2.%3.%4.%5."/>
      <w:lvlJc w:val="left"/>
      <w:pPr>
        <w:ind w:left="1800" w:hanging="1440"/>
      </w:pPr>
      <w:rPr>
        <w:rFonts w:eastAsiaTheme="minorEastAsia" w:cstheme="minorBidi" w:hint="default"/>
        <w:b w:val="0"/>
        <w:color w:val="000000" w:themeColor="text1"/>
      </w:rPr>
    </w:lvl>
    <w:lvl w:ilvl="5">
      <w:start w:val="1"/>
      <w:numFmt w:val="decimal"/>
      <w:isLgl/>
      <w:lvlText w:val="%1.%2.%3.%4.%5.%6."/>
      <w:lvlJc w:val="left"/>
      <w:pPr>
        <w:ind w:left="2160" w:hanging="1800"/>
      </w:pPr>
      <w:rPr>
        <w:rFonts w:eastAsiaTheme="minorEastAsia" w:cstheme="minorBidi" w:hint="default"/>
        <w:b w:val="0"/>
        <w:color w:val="000000" w:themeColor="text1"/>
      </w:rPr>
    </w:lvl>
    <w:lvl w:ilvl="6">
      <w:start w:val="1"/>
      <w:numFmt w:val="decimal"/>
      <w:isLgl/>
      <w:lvlText w:val="%1.%2.%3.%4.%5.%6.%7."/>
      <w:lvlJc w:val="left"/>
      <w:pPr>
        <w:ind w:left="2160" w:hanging="1800"/>
      </w:pPr>
      <w:rPr>
        <w:rFonts w:eastAsiaTheme="minorEastAsia" w:cstheme="minorBidi" w:hint="default"/>
        <w:b w:val="0"/>
        <w:color w:val="000000" w:themeColor="text1"/>
      </w:rPr>
    </w:lvl>
    <w:lvl w:ilvl="7">
      <w:start w:val="1"/>
      <w:numFmt w:val="decimal"/>
      <w:isLgl/>
      <w:lvlText w:val="%1.%2.%3.%4.%5.%6.%7.%8."/>
      <w:lvlJc w:val="left"/>
      <w:pPr>
        <w:ind w:left="2520" w:hanging="2160"/>
      </w:pPr>
      <w:rPr>
        <w:rFonts w:eastAsiaTheme="minorEastAsia" w:cstheme="minorBidi" w:hint="default"/>
        <w:b w:val="0"/>
        <w:color w:val="000000" w:themeColor="text1"/>
      </w:rPr>
    </w:lvl>
    <w:lvl w:ilvl="8">
      <w:start w:val="1"/>
      <w:numFmt w:val="decimal"/>
      <w:isLgl/>
      <w:lvlText w:val="%1.%2.%3.%4.%5.%6.%7.%8.%9."/>
      <w:lvlJc w:val="left"/>
      <w:pPr>
        <w:ind w:left="2880" w:hanging="2520"/>
      </w:pPr>
      <w:rPr>
        <w:rFonts w:eastAsiaTheme="minorEastAsia" w:cstheme="minorBidi" w:hint="default"/>
        <w:b w:val="0"/>
        <w:color w:val="000000" w:themeColor="text1"/>
      </w:rPr>
    </w:lvl>
  </w:abstractNum>
  <w:abstractNum w:abstractNumId="292">
    <w:nsid w:val="7C650C17"/>
    <w:multiLevelType w:val="hybridMultilevel"/>
    <w:tmpl w:val="E4BED3FA"/>
    <w:lvl w:ilvl="0" w:tplc="04150001">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nsid w:val="7CDF4E46"/>
    <w:multiLevelType w:val="hybridMultilevel"/>
    <w:tmpl w:val="167848D4"/>
    <w:lvl w:ilvl="0" w:tplc="BD88C148">
      <w:start w:val="1"/>
      <w:numFmt w:val="decimal"/>
      <w:lvlText w:val="%1."/>
      <w:lvlJc w:val="left"/>
      <w:pPr>
        <w:tabs>
          <w:tab w:val="num" w:pos="420"/>
        </w:tabs>
        <w:ind w:left="420" w:hanging="360"/>
      </w:pPr>
      <w:rPr>
        <w:rFonts w:hint="default"/>
      </w:rPr>
    </w:lvl>
    <w:lvl w:ilvl="1" w:tplc="04150003">
      <w:start w:val="1"/>
      <w:numFmt w:val="bullet"/>
      <w:lvlText w:val="o"/>
      <w:lvlJc w:val="left"/>
      <w:pPr>
        <w:tabs>
          <w:tab w:val="num" w:pos="1140"/>
        </w:tabs>
        <w:ind w:left="1140" w:hanging="360"/>
      </w:pPr>
      <w:rPr>
        <w:rFonts w:ascii="Courier New" w:hAnsi="Courier New" w:cs="Courier New" w:hint="default"/>
      </w:rPr>
    </w:lvl>
    <w:lvl w:ilvl="2" w:tplc="04150005">
      <w:start w:val="1"/>
      <w:numFmt w:val="bullet"/>
      <w:lvlText w:val=""/>
      <w:lvlJc w:val="left"/>
      <w:pPr>
        <w:tabs>
          <w:tab w:val="num" w:pos="1860"/>
        </w:tabs>
        <w:ind w:left="1860" w:hanging="180"/>
      </w:pPr>
      <w:rPr>
        <w:rFonts w:ascii="Symbol" w:hAnsi="Symbol" w:hint="default"/>
      </w:rPr>
    </w:lvl>
    <w:lvl w:ilvl="3" w:tplc="04150001" w:tentative="1">
      <w:start w:val="1"/>
      <w:numFmt w:val="decimal"/>
      <w:lvlText w:val="%4."/>
      <w:lvlJc w:val="left"/>
      <w:pPr>
        <w:tabs>
          <w:tab w:val="num" w:pos="2580"/>
        </w:tabs>
        <w:ind w:left="2580" w:hanging="360"/>
      </w:pPr>
    </w:lvl>
    <w:lvl w:ilvl="4" w:tplc="04150003" w:tentative="1">
      <w:start w:val="1"/>
      <w:numFmt w:val="lowerLetter"/>
      <w:lvlText w:val="%5."/>
      <w:lvlJc w:val="left"/>
      <w:pPr>
        <w:tabs>
          <w:tab w:val="num" w:pos="3300"/>
        </w:tabs>
        <w:ind w:left="3300" w:hanging="360"/>
      </w:pPr>
    </w:lvl>
    <w:lvl w:ilvl="5" w:tplc="04150005" w:tentative="1">
      <w:start w:val="1"/>
      <w:numFmt w:val="lowerRoman"/>
      <w:lvlText w:val="%6."/>
      <w:lvlJc w:val="right"/>
      <w:pPr>
        <w:tabs>
          <w:tab w:val="num" w:pos="4020"/>
        </w:tabs>
        <w:ind w:left="4020" w:hanging="180"/>
      </w:pPr>
    </w:lvl>
    <w:lvl w:ilvl="6" w:tplc="04150001" w:tentative="1">
      <w:start w:val="1"/>
      <w:numFmt w:val="decimal"/>
      <w:lvlText w:val="%7."/>
      <w:lvlJc w:val="left"/>
      <w:pPr>
        <w:tabs>
          <w:tab w:val="num" w:pos="4740"/>
        </w:tabs>
        <w:ind w:left="4740" w:hanging="360"/>
      </w:pPr>
    </w:lvl>
    <w:lvl w:ilvl="7" w:tplc="04150003" w:tentative="1">
      <w:start w:val="1"/>
      <w:numFmt w:val="lowerLetter"/>
      <w:lvlText w:val="%8."/>
      <w:lvlJc w:val="left"/>
      <w:pPr>
        <w:tabs>
          <w:tab w:val="num" w:pos="5460"/>
        </w:tabs>
        <w:ind w:left="5460" w:hanging="360"/>
      </w:pPr>
    </w:lvl>
    <w:lvl w:ilvl="8" w:tplc="04150005" w:tentative="1">
      <w:start w:val="1"/>
      <w:numFmt w:val="lowerRoman"/>
      <w:lvlText w:val="%9."/>
      <w:lvlJc w:val="right"/>
      <w:pPr>
        <w:tabs>
          <w:tab w:val="num" w:pos="6180"/>
        </w:tabs>
        <w:ind w:left="6180" w:hanging="180"/>
      </w:pPr>
    </w:lvl>
  </w:abstractNum>
  <w:abstractNum w:abstractNumId="294">
    <w:nsid w:val="7D352410"/>
    <w:multiLevelType w:val="hybridMultilevel"/>
    <w:tmpl w:val="5F56DEF6"/>
    <w:lvl w:ilvl="0" w:tplc="FFFFFFFF">
      <w:start w:val="1"/>
      <w:numFmt w:val="decimal"/>
      <w:lvlText w:val="%1."/>
      <w:lvlJc w:val="left"/>
      <w:pPr>
        <w:ind w:left="720" w:hanging="360"/>
      </w:pPr>
      <w:rPr>
        <w:rFonts w:hint="default"/>
        <w:b w:val="0"/>
        <w:sz w:val="20"/>
        <w:szCs w:val="2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95">
    <w:nsid w:val="7DD7074D"/>
    <w:multiLevelType w:val="multilevel"/>
    <w:tmpl w:val="49849D44"/>
    <w:lvl w:ilvl="0">
      <w:start w:val="1"/>
      <w:numFmt w:val="decimal"/>
      <w:lvlText w:val="%1."/>
      <w:lvlJc w:val="left"/>
      <w:pPr>
        <w:ind w:left="644" w:hanging="360"/>
      </w:pPr>
      <w:rPr>
        <w:rFonts w:hint="default"/>
        <w:sz w:val="20"/>
        <w:szCs w:val="2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296">
    <w:nsid w:val="7FA95BE6"/>
    <w:multiLevelType w:val="hybridMultilevel"/>
    <w:tmpl w:val="8E1ADE44"/>
    <w:lvl w:ilvl="0" w:tplc="FFFFFFFF">
      <w:start w:val="1"/>
      <w:numFmt w:val="bullet"/>
      <w:lvlText w:val="-"/>
      <w:lvlJc w:val="left"/>
      <w:pPr>
        <w:ind w:left="360" w:hanging="360"/>
      </w:pPr>
      <w:rPr>
        <w:rFonts w:ascii="Courier New" w:hAnsi="Courier New" w:hint="default"/>
        <w:b w:val="0"/>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nsid w:val="7FD8607E"/>
    <w:multiLevelType w:val="hybridMultilevel"/>
    <w:tmpl w:val="90B630DC"/>
    <w:lvl w:ilvl="0" w:tplc="2E283C08">
      <w:start w:val="1"/>
      <w:numFmt w:val="decimal"/>
      <w:lvlText w:val="%1."/>
      <w:lvlJc w:val="left"/>
      <w:pPr>
        <w:ind w:left="720" w:hanging="360"/>
      </w:pPr>
      <w:rPr>
        <w:rFonts w:hint="default"/>
        <w:sz w:val="20"/>
        <w:szCs w:val="20"/>
      </w:rPr>
    </w:lvl>
    <w:lvl w:ilvl="1" w:tplc="04150003" w:tentative="1">
      <w:start w:val="1"/>
      <w:numFmt w:val="lowerLetter"/>
      <w:lvlText w:val="%2."/>
      <w:lvlJc w:val="left"/>
      <w:pPr>
        <w:ind w:left="1440" w:hanging="360"/>
      </w:pPr>
    </w:lvl>
    <w:lvl w:ilvl="2" w:tplc="04150001"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nsid w:val="7FE84744"/>
    <w:multiLevelType w:val="hybridMultilevel"/>
    <w:tmpl w:val="41F48B16"/>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num w:numId="1">
    <w:abstractNumId w:val="209"/>
  </w:num>
  <w:num w:numId="2">
    <w:abstractNumId w:val="32"/>
  </w:num>
  <w:num w:numId="3">
    <w:abstractNumId w:val="249"/>
  </w:num>
  <w:num w:numId="4">
    <w:abstractNumId w:val="123"/>
  </w:num>
  <w:num w:numId="5">
    <w:abstractNumId w:val="278"/>
  </w:num>
  <w:num w:numId="6">
    <w:abstractNumId w:val="194"/>
  </w:num>
  <w:num w:numId="7">
    <w:abstractNumId w:val="95"/>
  </w:num>
  <w:num w:numId="8">
    <w:abstractNumId w:val="71"/>
  </w:num>
  <w:num w:numId="9">
    <w:abstractNumId w:val="255"/>
  </w:num>
  <w:num w:numId="10">
    <w:abstractNumId w:val="297"/>
  </w:num>
  <w:num w:numId="11">
    <w:abstractNumId w:val="298"/>
  </w:num>
  <w:num w:numId="12">
    <w:abstractNumId w:val="101"/>
  </w:num>
  <w:num w:numId="13">
    <w:abstractNumId w:val="88"/>
  </w:num>
  <w:num w:numId="14">
    <w:abstractNumId w:val="78"/>
  </w:num>
  <w:num w:numId="15">
    <w:abstractNumId w:val="251"/>
  </w:num>
  <w:num w:numId="16">
    <w:abstractNumId w:val="252"/>
  </w:num>
  <w:num w:numId="17">
    <w:abstractNumId w:val="110"/>
  </w:num>
  <w:num w:numId="18">
    <w:abstractNumId w:val="291"/>
  </w:num>
  <w:num w:numId="19">
    <w:abstractNumId w:val="186"/>
  </w:num>
  <w:num w:numId="20">
    <w:abstractNumId w:val="84"/>
  </w:num>
  <w:num w:numId="21">
    <w:abstractNumId w:val="166"/>
  </w:num>
  <w:num w:numId="22">
    <w:abstractNumId w:val="143"/>
  </w:num>
  <w:num w:numId="23">
    <w:abstractNumId w:val="224"/>
  </w:num>
  <w:num w:numId="24">
    <w:abstractNumId w:val="58"/>
  </w:num>
  <w:num w:numId="25">
    <w:abstractNumId w:val="182"/>
  </w:num>
  <w:num w:numId="26">
    <w:abstractNumId w:val="184"/>
  </w:num>
  <w:num w:numId="27">
    <w:abstractNumId w:val="80"/>
  </w:num>
  <w:num w:numId="28">
    <w:abstractNumId w:val="26"/>
  </w:num>
  <w:num w:numId="29">
    <w:abstractNumId w:val="161"/>
  </w:num>
  <w:num w:numId="30">
    <w:abstractNumId w:val="136"/>
  </w:num>
  <w:num w:numId="31">
    <w:abstractNumId w:val="23"/>
  </w:num>
  <w:num w:numId="32">
    <w:abstractNumId w:val="114"/>
  </w:num>
  <w:num w:numId="33">
    <w:abstractNumId w:val="234"/>
  </w:num>
  <w:num w:numId="34">
    <w:abstractNumId w:val="226"/>
  </w:num>
  <w:num w:numId="35">
    <w:abstractNumId w:val="21"/>
  </w:num>
  <w:num w:numId="36">
    <w:abstractNumId w:val="51"/>
  </w:num>
  <w:num w:numId="37">
    <w:abstractNumId w:val="133"/>
  </w:num>
  <w:num w:numId="38">
    <w:abstractNumId w:val="172"/>
  </w:num>
  <w:num w:numId="39">
    <w:abstractNumId w:val="266"/>
  </w:num>
  <w:num w:numId="40">
    <w:abstractNumId w:val="94"/>
  </w:num>
  <w:num w:numId="41">
    <w:abstractNumId w:val="6"/>
  </w:num>
  <w:num w:numId="42">
    <w:abstractNumId w:val="79"/>
  </w:num>
  <w:num w:numId="43">
    <w:abstractNumId w:val="22"/>
  </w:num>
  <w:num w:numId="44">
    <w:abstractNumId w:val="5"/>
  </w:num>
  <w:num w:numId="45">
    <w:abstractNumId w:val="288"/>
  </w:num>
  <w:num w:numId="46">
    <w:abstractNumId w:val="241"/>
  </w:num>
  <w:num w:numId="47">
    <w:abstractNumId w:val="43"/>
  </w:num>
  <w:num w:numId="48">
    <w:abstractNumId w:val="250"/>
  </w:num>
  <w:num w:numId="49">
    <w:abstractNumId w:val="154"/>
  </w:num>
  <w:num w:numId="50">
    <w:abstractNumId w:val="248"/>
  </w:num>
  <w:num w:numId="51">
    <w:abstractNumId w:val="135"/>
  </w:num>
  <w:num w:numId="52">
    <w:abstractNumId w:val="238"/>
  </w:num>
  <w:num w:numId="53">
    <w:abstractNumId w:val="200"/>
  </w:num>
  <w:num w:numId="54">
    <w:abstractNumId w:val="106"/>
  </w:num>
  <w:num w:numId="55">
    <w:abstractNumId w:val="3"/>
  </w:num>
  <w:num w:numId="56">
    <w:abstractNumId w:val="28"/>
  </w:num>
  <w:num w:numId="57">
    <w:abstractNumId w:val="164"/>
  </w:num>
  <w:num w:numId="58">
    <w:abstractNumId w:val="128"/>
  </w:num>
  <w:num w:numId="59">
    <w:abstractNumId w:val="214"/>
  </w:num>
  <w:num w:numId="60">
    <w:abstractNumId w:val="152"/>
  </w:num>
  <w:num w:numId="61">
    <w:abstractNumId w:val="98"/>
  </w:num>
  <w:num w:numId="62">
    <w:abstractNumId w:val="38"/>
  </w:num>
  <w:num w:numId="63">
    <w:abstractNumId w:val="73"/>
  </w:num>
  <w:num w:numId="64">
    <w:abstractNumId w:val="146"/>
  </w:num>
  <w:num w:numId="65">
    <w:abstractNumId w:val="213"/>
  </w:num>
  <w:num w:numId="66">
    <w:abstractNumId w:val="294"/>
  </w:num>
  <w:num w:numId="67">
    <w:abstractNumId w:val="139"/>
  </w:num>
  <w:num w:numId="68">
    <w:abstractNumId w:val="56"/>
  </w:num>
  <w:num w:numId="69">
    <w:abstractNumId w:val="220"/>
  </w:num>
  <w:num w:numId="70">
    <w:abstractNumId w:val="168"/>
  </w:num>
  <w:num w:numId="71">
    <w:abstractNumId w:val="290"/>
  </w:num>
  <w:num w:numId="72">
    <w:abstractNumId w:val="17"/>
  </w:num>
  <w:num w:numId="73">
    <w:abstractNumId w:val="267"/>
  </w:num>
  <w:num w:numId="74">
    <w:abstractNumId w:val="227"/>
  </w:num>
  <w:num w:numId="75">
    <w:abstractNumId w:val="149"/>
  </w:num>
  <w:num w:numId="76">
    <w:abstractNumId w:val="1"/>
  </w:num>
  <w:num w:numId="77">
    <w:abstractNumId w:val="257"/>
  </w:num>
  <w:num w:numId="78">
    <w:abstractNumId w:val="120"/>
  </w:num>
  <w:num w:numId="79">
    <w:abstractNumId w:val="256"/>
  </w:num>
  <w:num w:numId="80">
    <w:abstractNumId w:val="230"/>
  </w:num>
  <w:num w:numId="81">
    <w:abstractNumId w:val="207"/>
  </w:num>
  <w:num w:numId="82">
    <w:abstractNumId w:val="237"/>
  </w:num>
  <w:num w:numId="83">
    <w:abstractNumId w:val="119"/>
  </w:num>
  <w:num w:numId="84">
    <w:abstractNumId w:val="89"/>
  </w:num>
  <w:num w:numId="85">
    <w:abstractNumId w:val="67"/>
  </w:num>
  <w:num w:numId="86">
    <w:abstractNumId w:val="162"/>
  </w:num>
  <w:num w:numId="87">
    <w:abstractNumId w:val="36"/>
  </w:num>
  <w:num w:numId="88">
    <w:abstractNumId w:val="125"/>
  </w:num>
  <w:num w:numId="89">
    <w:abstractNumId w:val="277"/>
  </w:num>
  <w:num w:numId="90">
    <w:abstractNumId w:val="74"/>
  </w:num>
  <w:num w:numId="91">
    <w:abstractNumId w:val="12"/>
  </w:num>
  <w:num w:numId="92">
    <w:abstractNumId w:val="183"/>
  </w:num>
  <w:num w:numId="93">
    <w:abstractNumId w:val="55"/>
  </w:num>
  <w:num w:numId="94">
    <w:abstractNumId w:val="158"/>
  </w:num>
  <w:num w:numId="95">
    <w:abstractNumId w:val="82"/>
  </w:num>
  <w:num w:numId="96">
    <w:abstractNumId w:val="285"/>
  </w:num>
  <w:num w:numId="97">
    <w:abstractNumId w:val="107"/>
  </w:num>
  <w:num w:numId="98">
    <w:abstractNumId w:val="188"/>
  </w:num>
  <w:num w:numId="99">
    <w:abstractNumId w:val="103"/>
  </w:num>
  <w:num w:numId="100">
    <w:abstractNumId w:val="47"/>
  </w:num>
  <w:num w:numId="101">
    <w:abstractNumId w:val="253"/>
  </w:num>
  <w:num w:numId="102">
    <w:abstractNumId w:val="185"/>
  </w:num>
  <w:num w:numId="103">
    <w:abstractNumId w:val="46"/>
  </w:num>
  <w:num w:numId="104">
    <w:abstractNumId w:val="295"/>
  </w:num>
  <w:num w:numId="105">
    <w:abstractNumId w:val="221"/>
  </w:num>
  <w:num w:numId="106">
    <w:abstractNumId w:val="287"/>
  </w:num>
  <w:num w:numId="107">
    <w:abstractNumId w:val="64"/>
  </w:num>
  <w:num w:numId="108">
    <w:abstractNumId w:val="187"/>
  </w:num>
  <w:num w:numId="109">
    <w:abstractNumId w:val="92"/>
  </w:num>
  <w:num w:numId="110">
    <w:abstractNumId w:val="167"/>
  </w:num>
  <w:num w:numId="111">
    <w:abstractNumId w:val="39"/>
  </w:num>
  <w:num w:numId="112">
    <w:abstractNumId w:val="52"/>
  </w:num>
  <w:num w:numId="113">
    <w:abstractNumId w:val="10"/>
  </w:num>
  <w:num w:numId="114">
    <w:abstractNumId w:val="206"/>
  </w:num>
  <w:num w:numId="115">
    <w:abstractNumId w:val="196"/>
  </w:num>
  <w:num w:numId="116">
    <w:abstractNumId w:val="105"/>
  </w:num>
  <w:num w:numId="117">
    <w:abstractNumId w:val="229"/>
  </w:num>
  <w:num w:numId="118">
    <w:abstractNumId w:val="223"/>
  </w:num>
  <w:num w:numId="119">
    <w:abstractNumId w:val="202"/>
  </w:num>
  <w:num w:numId="120">
    <w:abstractNumId w:val="211"/>
  </w:num>
  <w:num w:numId="121">
    <w:abstractNumId w:val="7"/>
  </w:num>
  <w:num w:numId="122">
    <w:abstractNumId w:val="19"/>
  </w:num>
  <w:num w:numId="123">
    <w:abstractNumId w:val="259"/>
  </w:num>
  <w:num w:numId="124">
    <w:abstractNumId w:val="270"/>
  </w:num>
  <w:num w:numId="125">
    <w:abstractNumId w:val="96"/>
  </w:num>
  <w:num w:numId="126">
    <w:abstractNumId w:val="116"/>
  </w:num>
  <w:num w:numId="127">
    <w:abstractNumId w:val="35"/>
  </w:num>
  <w:num w:numId="128">
    <w:abstractNumId w:val="37"/>
  </w:num>
  <w:num w:numId="129">
    <w:abstractNumId w:val="231"/>
  </w:num>
  <w:num w:numId="130">
    <w:abstractNumId w:val="72"/>
  </w:num>
  <w:num w:numId="131">
    <w:abstractNumId w:val="109"/>
  </w:num>
  <w:num w:numId="132">
    <w:abstractNumId w:val="281"/>
  </w:num>
  <w:num w:numId="133">
    <w:abstractNumId w:val="141"/>
  </w:num>
  <w:num w:numId="134">
    <w:abstractNumId w:val="66"/>
  </w:num>
  <w:num w:numId="135">
    <w:abstractNumId w:val="245"/>
  </w:num>
  <w:num w:numId="136">
    <w:abstractNumId w:val="77"/>
  </w:num>
  <w:num w:numId="137">
    <w:abstractNumId w:val="190"/>
  </w:num>
  <w:num w:numId="138">
    <w:abstractNumId w:val="280"/>
  </w:num>
  <w:num w:numId="139">
    <w:abstractNumId w:val="59"/>
  </w:num>
  <w:num w:numId="140">
    <w:abstractNumId w:val="274"/>
  </w:num>
  <w:num w:numId="141">
    <w:abstractNumId w:val="11"/>
  </w:num>
  <w:num w:numId="142">
    <w:abstractNumId w:val="263"/>
  </w:num>
  <w:num w:numId="143">
    <w:abstractNumId w:val="83"/>
  </w:num>
  <w:num w:numId="144">
    <w:abstractNumId w:val="286"/>
  </w:num>
  <w:num w:numId="145">
    <w:abstractNumId w:val="177"/>
  </w:num>
  <w:num w:numId="146">
    <w:abstractNumId w:val="34"/>
  </w:num>
  <w:num w:numId="147">
    <w:abstractNumId w:val="27"/>
  </w:num>
  <w:num w:numId="148">
    <w:abstractNumId w:val="29"/>
  </w:num>
  <w:num w:numId="149">
    <w:abstractNumId w:val="215"/>
  </w:num>
  <w:num w:numId="150">
    <w:abstractNumId w:val="159"/>
  </w:num>
  <w:num w:numId="151">
    <w:abstractNumId w:val="216"/>
  </w:num>
  <w:num w:numId="152">
    <w:abstractNumId w:val="48"/>
  </w:num>
  <w:num w:numId="153">
    <w:abstractNumId w:val="208"/>
  </w:num>
  <w:num w:numId="154">
    <w:abstractNumId w:val="262"/>
  </w:num>
  <w:num w:numId="155">
    <w:abstractNumId w:val="204"/>
  </w:num>
  <w:num w:numId="156">
    <w:abstractNumId w:val="9"/>
  </w:num>
  <w:num w:numId="157">
    <w:abstractNumId w:val="130"/>
  </w:num>
  <w:num w:numId="158">
    <w:abstractNumId w:val="90"/>
  </w:num>
  <w:num w:numId="159">
    <w:abstractNumId w:val="174"/>
  </w:num>
  <w:num w:numId="160">
    <w:abstractNumId w:val="173"/>
  </w:num>
  <w:num w:numId="161">
    <w:abstractNumId w:val="244"/>
  </w:num>
  <w:num w:numId="162">
    <w:abstractNumId w:val="240"/>
  </w:num>
  <w:num w:numId="163">
    <w:abstractNumId w:val="296"/>
  </w:num>
  <w:num w:numId="164">
    <w:abstractNumId w:val="156"/>
  </w:num>
  <w:num w:numId="165">
    <w:abstractNumId w:val="31"/>
  </w:num>
  <w:num w:numId="166">
    <w:abstractNumId w:val="292"/>
  </w:num>
  <w:num w:numId="167">
    <w:abstractNumId w:val="180"/>
  </w:num>
  <w:num w:numId="168">
    <w:abstractNumId w:val="15"/>
  </w:num>
  <w:num w:numId="169">
    <w:abstractNumId w:val="195"/>
  </w:num>
  <w:num w:numId="170">
    <w:abstractNumId w:val="87"/>
  </w:num>
  <w:num w:numId="171">
    <w:abstractNumId w:val="121"/>
  </w:num>
  <w:num w:numId="172">
    <w:abstractNumId w:val="179"/>
  </w:num>
  <w:num w:numId="173">
    <w:abstractNumId w:val="289"/>
  </w:num>
  <w:num w:numId="174">
    <w:abstractNumId w:val="70"/>
  </w:num>
  <w:num w:numId="175">
    <w:abstractNumId w:val="254"/>
  </w:num>
  <w:num w:numId="176">
    <w:abstractNumId w:val="118"/>
  </w:num>
  <w:num w:numId="177">
    <w:abstractNumId w:val="171"/>
  </w:num>
  <w:num w:numId="178">
    <w:abstractNumId w:val="271"/>
  </w:num>
  <w:num w:numId="179">
    <w:abstractNumId w:val="100"/>
  </w:num>
  <w:num w:numId="180">
    <w:abstractNumId w:val="65"/>
  </w:num>
  <w:num w:numId="181">
    <w:abstractNumId w:val="33"/>
  </w:num>
  <w:num w:numId="182">
    <w:abstractNumId w:val="165"/>
  </w:num>
  <w:num w:numId="183">
    <w:abstractNumId w:val="225"/>
  </w:num>
  <w:num w:numId="184">
    <w:abstractNumId w:val="148"/>
  </w:num>
  <w:num w:numId="185">
    <w:abstractNumId w:val="199"/>
  </w:num>
  <w:num w:numId="186">
    <w:abstractNumId w:val="205"/>
  </w:num>
  <w:num w:numId="187">
    <w:abstractNumId w:val="140"/>
  </w:num>
  <w:num w:numId="188">
    <w:abstractNumId w:val="112"/>
  </w:num>
  <w:num w:numId="189">
    <w:abstractNumId w:val="127"/>
  </w:num>
  <w:num w:numId="190">
    <w:abstractNumId w:val="157"/>
  </w:num>
  <w:num w:numId="191">
    <w:abstractNumId w:val="16"/>
  </w:num>
  <w:num w:numId="192">
    <w:abstractNumId w:val="192"/>
  </w:num>
  <w:num w:numId="193">
    <w:abstractNumId w:val="189"/>
  </w:num>
  <w:num w:numId="194">
    <w:abstractNumId w:val="24"/>
  </w:num>
  <w:num w:numId="195">
    <w:abstractNumId w:val="69"/>
  </w:num>
  <w:num w:numId="196">
    <w:abstractNumId w:val="131"/>
  </w:num>
  <w:num w:numId="197">
    <w:abstractNumId w:val="13"/>
  </w:num>
  <w:num w:numId="198">
    <w:abstractNumId w:val="145"/>
  </w:num>
  <w:num w:numId="199">
    <w:abstractNumId w:val="282"/>
  </w:num>
  <w:num w:numId="200">
    <w:abstractNumId w:val="76"/>
  </w:num>
  <w:num w:numId="201">
    <w:abstractNumId w:val="86"/>
  </w:num>
  <w:num w:numId="202">
    <w:abstractNumId w:val="63"/>
  </w:num>
  <w:num w:numId="203">
    <w:abstractNumId w:val="153"/>
  </w:num>
  <w:num w:numId="204">
    <w:abstractNumId w:val="247"/>
  </w:num>
  <w:num w:numId="205">
    <w:abstractNumId w:val="150"/>
  </w:num>
  <w:num w:numId="206">
    <w:abstractNumId w:val="232"/>
  </w:num>
  <w:num w:numId="207">
    <w:abstractNumId w:val="151"/>
  </w:num>
  <w:num w:numId="208">
    <w:abstractNumId w:val="60"/>
  </w:num>
  <w:num w:numId="209">
    <w:abstractNumId w:val="44"/>
  </w:num>
  <w:num w:numId="210">
    <w:abstractNumId w:val="276"/>
  </w:num>
  <w:num w:numId="211">
    <w:abstractNumId w:val="239"/>
  </w:num>
  <w:num w:numId="212">
    <w:abstractNumId w:val="273"/>
  </w:num>
  <w:num w:numId="213">
    <w:abstractNumId w:val="198"/>
  </w:num>
  <w:num w:numId="214">
    <w:abstractNumId w:val="235"/>
  </w:num>
  <w:num w:numId="215">
    <w:abstractNumId w:val="242"/>
  </w:num>
  <w:num w:numId="216">
    <w:abstractNumId w:val="142"/>
  </w:num>
  <w:num w:numId="217">
    <w:abstractNumId w:val="113"/>
  </w:num>
  <w:num w:numId="218">
    <w:abstractNumId w:val="275"/>
  </w:num>
  <w:num w:numId="219">
    <w:abstractNumId w:val="176"/>
  </w:num>
  <w:num w:numId="220">
    <w:abstractNumId w:val="53"/>
  </w:num>
  <w:num w:numId="221">
    <w:abstractNumId w:val="62"/>
  </w:num>
  <w:num w:numId="222">
    <w:abstractNumId w:val="91"/>
  </w:num>
  <w:num w:numId="223">
    <w:abstractNumId w:val="175"/>
  </w:num>
  <w:num w:numId="224">
    <w:abstractNumId w:val="203"/>
  </w:num>
  <w:num w:numId="225">
    <w:abstractNumId w:val="85"/>
  </w:num>
  <w:num w:numId="226">
    <w:abstractNumId w:val="20"/>
  </w:num>
  <w:num w:numId="227">
    <w:abstractNumId w:val="160"/>
  </w:num>
  <w:num w:numId="228">
    <w:abstractNumId w:val="269"/>
  </w:num>
  <w:num w:numId="229">
    <w:abstractNumId w:val="4"/>
  </w:num>
  <w:num w:numId="230">
    <w:abstractNumId w:val="137"/>
  </w:num>
  <w:num w:numId="231">
    <w:abstractNumId w:val="191"/>
  </w:num>
  <w:num w:numId="232">
    <w:abstractNumId w:val="93"/>
  </w:num>
  <w:num w:numId="233">
    <w:abstractNumId w:val="57"/>
  </w:num>
  <w:num w:numId="234">
    <w:abstractNumId w:val="228"/>
  </w:num>
  <w:num w:numId="235">
    <w:abstractNumId w:val="104"/>
  </w:num>
  <w:num w:numId="236">
    <w:abstractNumId w:val="25"/>
  </w:num>
  <w:num w:numId="237">
    <w:abstractNumId w:val="279"/>
  </w:num>
  <w:num w:numId="238">
    <w:abstractNumId w:val="99"/>
  </w:num>
  <w:num w:numId="239">
    <w:abstractNumId w:val="246"/>
  </w:num>
  <w:num w:numId="240">
    <w:abstractNumId w:val="68"/>
    <w:lvlOverride w:ilvl="0">
      <w:startOverride w:val="1"/>
    </w:lvlOverride>
  </w:num>
  <w:num w:numId="241">
    <w:abstractNumId w:val="0"/>
  </w:num>
  <w:num w:numId="242">
    <w:abstractNumId w:val="260"/>
  </w:num>
  <w:num w:numId="243">
    <w:abstractNumId w:val="111"/>
  </w:num>
  <w:num w:numId="244">
    <w:abstractNumId w:val="155"/>
  </w:num>
  <w:num w:numId="245">
    <w:abstractNumId w:val="97"/>
  </w:num>
  <w:num w:numId="246">
    <w:abstractNumId w:val="212"/>
  </w:num>
  <w:num w:numId="247">
    <w:abstractNumId w:val="265"/>
  </w:num>
  <w:num w:numId="248">
    <w:abstractNumId w:val="293"/>
  </w:num>
  <w:num w:numId="249">
    <w:abstractNumId w:val="30"/>
  </w:num>
  <w:num w:numId="250">
    <w:abstractNumId w:val="42"/>
  </w:num>
  <w:num w:numId="251">
    <w:abstractNumId w:val="201"/>
  </w:num>
  <w:num w:numId="252">
    <w:abstractNumId w:val="108"/>
  </w:num>
  <w:num w:numId="253">
    <w:abstractNumId w:val="81"/>
  </w:num>
  <w:num w:numId="254">
    <w:abstractNumId w:val="18"/>
  </w:num>
  <w:num w:numId="255">
    <w:abstractNumId w:val="284"/>
  </w:num>
  <w:num w:numId="256">
    <w:abstractNumId w:val="14"/>
  </w:num>
  <w:num w:numId="257">
    <w:abstractNumId w:val="2"/>
  </w:num>
  <w:num w:numId="258">
    <w:abstractNumId w:val="210"/>
  </w:num>
  <w:num w:numId="259">
    <w:abstractNumId w:val="170"/>
  </w:num>
  <w:num w:numId="260">
    <w:abstractNumId w:val="243"/>
  </w:num>
  <w:num w:numId="261">
    <w:abstractNumId w:val="102"/>
  </w:num>
  <w:num w:numId="262">
    <w:abstractNumId w:val="219"/>
  </w:num>
  <w:num w:numId="263">
    <w:abstractNumId w:val="132"/>
  </w:num>
  <w:num w:numId="264">
    <w:abstractNumId w:val="40"/>
  </w:num>
  <w:num w:numId="265">
    <w:abstractNumId w:val="283"/>
  </w:num>
  <w:num w:numId="266">
    <w:abstractNumId w:val="178"/>
  </w:num>
  <w:num w:numId="267">
    <w:abstractNumId w:val="163"/>
  </w:num>
  <w:num w:numId="268">
    <w:abstractNumId w:val="144"/>
  </w:num>
  <w:num w:numId="269">
    <w:abstractNumId w:val="61"/>
  </w:num>
  <w:num w:numId="270">
    <w:abstractNumId w:val="217"/>
  </w:num>
  <w:num w:numId="271">
    <w:abstractNumId w:val="181"/>
  </w:num>
  <w:num w:numId="272">
    <w:abstractNumId w:val="218"/>
  </w:num>
  <w:num w:numId="273">
    <w:abstractNumId w:val="134"/>
  </w:num>
  <w:num w:numId="274">
    <w:abstractNumId w:val="169"/>
  </w:num>
  <w:num w:numId="275">
    <w:abstractNumId w:val="129"/>
  </w:num>
  <w:num w:numId="276">
    <w:abstractNumId w:val="45"/>
  </w:num>
  <w:num w:numId="277">
    <w:abstractNumId w:val="261"/>
  </w:num>
  <w:num w:numId="278">
    <w:abstractNumId w:val="258"/>
  </w:num>
  <w:num w:numId="279">
    <w:abstractNumId w:val="147"/>
  </w:num>
  <w:num w:numId="280">
    <w:abstractNumId w:val="50"/>
  </w:num>
  <w:num w:numId="281">
    <w:abstractNumId w:val="122"/>
  </w:num>
  <w:num w:numId="282">
    <w:abstractNumId w:val="233"/>
  </w:num>
  <w:num w:numId="283">
    <w:abstractNumId w:val="49"/>
  </w:num>
  <w:num w:numId="284">
    <w:abstractNumId w:val="197"/>
  </w:num>
  <w:num w:numId="285">
    <w:abstractNumId w:val="41"/>
  </w:num>
  <w:num w:numId="286">
    <w:abstractNumId w:val="193"/>
  </w:num>
  <w:num w:numId="287">
    <w:abstractNumId w:val="272"/>
  </w:num>
  <w:num w:numId="288">
    <w:abstractNumId w:val="138"/>
  </w:num>
  <w:num w:numId="289">
    <w:abstractNumId w:val="124"/>
  </w:num>
  <w:num w:numId="290">
    <w:abstractNumId w:val="115"/>
  </w:num>
  <w:num w:numId="291">
    <w:abstractNumId w:val="222"/>
  </w:num>
  <w:num w:numId="292">
    <w:abstractNumId w:val="75"/>
  </w:num>
  <w:num w:numId="293">
    <w:abstractNumId w:val="236"/>
  </w:num>
  <w:num w:numId="294">
    <w:abstractNumId w:val="268"/>
  </w:num>
  <w:num w:numId="295">
    <w:abstractNumId w:val="54"/>
  </w:num>
  <w:num w:numId="296">
    <w:abstractNumId w:val="126"/>
  </w:num>
  <w:num w:numId="297">
    <w:abstractNumId w:val="264"/>
  </w:num>
  <w:num w:numId="298">
    <w:abstractNumId w:val="117"/>
  </w:num>
  <w:numIdMacAtCleanup w:val="2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rsids>
    <w:rsidRoot w:val="008C7751"/>
    <w:rsid w:val="00000B36"/>
    <w:rsid w:val="00011EC7"/>
    <w:rsid w:val="00044CC5"/>
    <w:rsid w:val="00056D34"/>
    <w:rsid w:val="0007217B"/>
    <w:rsid w:val="000A175C"/>
    <w:rsid w:val="000F2026"/>
    <w:rsid w:val="00134DDF"/>
    <w:rsid w:val="001426C9"/>
    <w:rsid w:val="0018356D"/>
    <w:rsid w:val="001C0779"/>
    <w:rsid w:val="001C170D"/>
    <w:rsid w:val="001D7978"/>
    <w:rsid w:val="001E1346"/>
    <w:rsid w:val="001F4CB6"/>
    <w:rsid w:val="001F7163"/>
    <w:rsid w:val="00211817"/>
    <w:rsid w:val="00221843"/>
    <w:rsid w:val="00236534"/>
    <w:rsid w:val="00250F30"/>
    <w:rsid w:val="00252360"/>
    <w:rsid w:val="00263B16"/>
    <w:rsid w:val="00264873"/>
    <w:rsid w:val="00283205"/>
    <w:rsid w:val="002944F8"/>
    <w:rsid w:val="002C1BA7"/>
    <w:rsid w:val="002D2715"/>
    <w:rsid w:val="002E46F1"/>
    <w:rsid w:val="002E7294"/>
    <w:rsid w:val="002F38DA"/>
    <w:rsid w:val="0037108F"/>
    <w:rsid w:val="003779D7"/>
    <w:rsid w:val="003A0DF9"/>
    <w:rsid w:val="003A58ED"/>
    <w:rsid w:val="003D14BB"/>
    <w:rsid w:val="003D38EB"/>
    <w:rsid w:val="00401AAE"/>
    <w:rsid w:val="00436BC1"/>
    <w:rsid w:val="004438D9"/>
    <w:rsid w:val="00446A3A"/>
    <w:rsid w:val="004629CA"/>
    <w:rsid w:val="00481A31"/>
    <w:rsid w:val="004863D6"/>
    <w:rsid w:val="00494FD1"/>
    <w:rsid w:val="004A7F1B"/>
    <w:rsid w:val="0053400D"/>
    <w:rsid w:val="00544448"/>
    <w:rsid w:val="00573162"/>
    <w:rsid w:val="005B50AD"/>
    <w:rsid w:val="005C3E0C"/>
    <w:rsid w:val="005D3FB0"/>
    <w:rsid w:val="005E1BE7"/>
    <w:rsid w:val="005E6C69"/>
    <w:rsid w:val="0060070F"/>
    <w:rsid w:val="00604CD2"/>
    <w:rsid w:val="006079B5"/>
    <w:rsid w:val="006219D8"/>
    <w:rsid w:val="00661172"/>
    <w:rsid w:val="0068595E"/>
    <w:rsid w:val="006A1583"/>
    <w:rsid w:val="006A488E"/>
    <w:rsid w:val="006A5FEE"/>
    <w:rsid w:val="006C1E97"/>
    <w:rsid w:val="006C7858"/>
    <w:rsid w:val="006D3493"/>
    <w:rsid w:val="006F0842"/>
    <w:rsid w:val="00702986"/>
    <w:rsid w:val="00765196"/>
    <w:rsid w:val="00786751"/>
    <w:rsid w:val="00786FF6"/>
    <w:rsid w:val="007903FB"/>
    <w:rsid w:val="007A4D59"/>
    <w:rsid w:val="007C72F2"/>
    <w:rsid w:val="00802604"/>
    <w:rsid w:val="00810FC8"/>
    <w:rsid w:val="00815F93"/>
    <w:rsid w:val="0082271B"/>
    <w:rsid w:val="00836968"/>
    <w:rsid w:val="00837847"/>
    <w:rsid w:val="0085407F"/>
    <w:rsid w:val="00861124"/>
    <w:rsid w:val="00884BFE"/>
    <w:rsid w:val="00890136"/>
    <w:rsid w:val="008927AB"/>
    <w:rsid w:val="00896F97"/>
    <w:rsid w:val="008C054F"/>
    <w:rsid w:val="008C07BA"/>
    <w:rsid w:val="008C1022"/>
    <w:rsid w:val="008C7751"/>
    <w:rsid w:val="0090227D"/>
    <w:rsid w:val="00923EB5"/>
    <w:rsid w:val="00933852"/>
    <w:rsid w:val="00971361"/>
    <w:rsid w:val="00974CAE"/>
    <w:rsid w:val="009A1F58"/>
    <w:rsid w:val="009A5BCE"/>
    <w:rsid w:val="009D5510"/>
    <w:rsid w:val="009F75D3"/>
    <w:rsid w:val="00A11E45"/>
    <w:rsid w:val="00A5627F"/>
    <w:rsid w:val="00A821A9"/>
    <w:rsid w:val="00AA02EB"/>
    <w:rsid w:val="00AB51FD"/>
    <w:rsid w:val="00AC69AA"/>
    <w:rsid w:val="00AD331A"/>
    <w:rsid w:val="00B1753A"/>
    <w:rsid w:val="00B65FD4"/>
    <w:rsid w:val="00B716A6"/>
    <w:rsid w:val="00B86812"/>
    <w:rsid w:val="00BC64AB"/>
    <w:rsid w:val="00BD18B3"/>
    <w:rsid w:val="00BE6C24"/>
    <w:rsid w:val="00C20C16"/>
    <w:rsid w:val="00C220F1"/>
    <w:rsid w:val="00C463E4"/>
    <w:rsid w:val="00C536B9"/>
    <w:rsid w:val="00CA14AB"/>
    <w:rsid w:val="00CD5048"/>
    <w:rsid w:val="00CD6DA6"/>
    <w:rsid w:val="00CE6735"/>
    <w:rsid w:val="00D0755E"/>
    <w:rsid w:val="00D54BD9"/>
    <w:rsid w:val="00DC2D5B"/>
    <w:rsid w:val="00DC464F"/>
    <w:rsid w:val="00DD3FD5"/>
    <w:rsid w:val="00DF0FA2"/>
    <w:rsid w:val="00E00B35"/>
    <w:rsid w:val="00E00DA1"/>
    <w:rsid w:val="00E04D72"/>
    <w:rsid w:val="00E062F3"/>
    <w:rsid w:val="00E21DE4"/>
    <w:rsid w:val="00E25689"/>
    <w:rsid w:val="00E34F9A"/>
    <w:rsid w:val="00E41C3A"/>
    <w:rsid w:val="00E46FA5"/>
    <w:rsid w:val="00E52E33"/>
    <w:rsid w:val="00E601BB"/>
    <w:rsid w:val="00E90A4F"/>
    <w:rsid w:val="00E953D8"/>
    <w:rsid w:val="00E96768"/>
    <w:rsid w:val="00EB0146"/>
    <w:rsid w:val="00F038F7"/>
    <w:rsid w:val="00F1117A"/>
    <w:rsid w:val="00F11E03"/>
    <w:rsid w:val="00F408D9"/>
    <w:rsid w:val="00F52FA3"/>
    <w:rsid w:val="00F563B2"/>
    <w:rsid w:val="00F90072"/>
    <w:rsid w:val="00F91829"/>
    <w:rsid w:val="00FF46DF"/>
    <w:rsid w:val="00FF6C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table of figures" w:uiPriority="0"/>
    <w:lsdException w:name="envelope return" w:uiPriority="0"/>
    <w:lsdException w:name="page number" w:uiPriority="0" w:qFormat="1"/>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qFormat/>
    <w:rsid w:val="0060070F"/>
    <w:pPr>
      <w:spacing w:after="200" w:line="276" w:lineRule="auto"/>
    </w:pPr>
    <w:rPr>
      <w:rFonts w:ascii="Verdana" w:eastAsia="Times New Roman" w:hAnsi="Verdana"/>
      <w:szCs w:val="22"/>
      <w:lang w:val="en-US" w:eastAsia="en-US" w:bidi="en-US"/>
    </w:rPr>
  </w:style>
  <w:style w:type="paragraph" w:styleId="Nagwek1">
    <w:name w:val="heading 1"/>
    <w:basedOn w:val="Normalny"/>
    <w:link w:val="Nagwek1Znak"/>
    <w:uiPriority w:val="9"/>
    <w:qFormat/>
    <w:rsid w:val="001E1346"/>
    <w:pPr>
      <w:keepNext/>
      <w:keepLines/>
      <w:spacing w:before="240"/>
      <w:outlineLvl w:val="0"/>
    </w:pPr>
    <w:rPr>
      <w:rFonts w:eastAsia="font415"/>
      <w:b/>
      <w:bCs/>
      <w:sz w:val="28"/>
      <w:szCs w:val="28"/>
    </w:rPr>
  </w:style>
  <w:style w:type="paragraph" w:styleId="Nagwek20">
    <w:name w:val="heading 2"/>
    <w:basedOn w:val="Normalny"/>
    <w:link w:val="Nagwek2Znak"/>
    <w:uiPriority w:val="9"/>
    <w:qFormat/>
    <w:rsid w:val="00E00B35"/>
    <w:pPr>
      <w:outlineLvl w:val="1"/>
    </w:pPr>
    <w:rPr>
      <w:b/>
      <w:bCs/>
      <w:sz w:val="24"/>
      <w:szCs w:val="36"/>
      <w:lang w:eastAsia="pl-PL"/>
    </w:rPr>
  </w:style>
  <w:style w:type="paragraph" w:styleId="Nagwek3">
    <w:name w:val="heading 3"/>
    <w:basedOn w:val="Normalny"/>
    <w:link w:val="Nagwek3Znak"/>
    <w:uiPriority w:val="9"/>
    <w:qFormat/>
    <w:rsid w:val="0060070F"/>
    <w:pPr>
      <w:keepNext/>
      <w:keepLines/>
      <w:widowControl w:val="0"/>
      <w:outlineLvl w:val="2"/>
    </w:pPr>
    <w:rPr>
      <w:rFonts w:eastAsia="font415" w:cs="Arial"/>
      <w:b/>
      <w:bCs/>
      <w:sz w:val="24"/>
      <w:szCs w:val="20"/>
      <w:lang w:val="zh-CN" w:eastAsia="zh-CN"/>
    </w:rPr>
  </w:style>
  <w:style w:type="paragraph" w:styleId="Nagwek4">
    <w:name w:val="heading 4"/>
    <w:basedOn w:val="Normalny"/>
    <w:link w:val="Nagwek4Znak"/>
    <w:uiPriority w:val="9"/>
    <w:qFormat/>
    <w:rsid w:val="001E1346"/>
    <w:pPr>
      <w:keepNext/>
      <w:keepLines/>
      <w:spacing w:before="40"/>
      <w:outlineLvl w:val="3"/>
    </w:pPr>
    <w:rPr>
      <w:rFonts w:eastAsia="font415"/>
      <w:b/>
      <w:iCs/>
      <w:sz w:val="22"/>
    </w:rPr>
  </w:style>
  <w:style w:type="paragraph" w:styleId="Nagwek5">
    <w:name w:val="heading 5"/>
    <w:basedOn w:val="Normalny"/>
    <w:link w:val="Nagwek5Znak"/>
    <w:qFormat/>
    <w:rsid w:val="001F7163"/>
    <w:pPr>
      <w:keepNext/>
      <w:keepLines/>
      <w:spacing w:after="0" w:line="312" w:lineRule="auto"/>
      <w:outlineLvl w:val="4"/>
    </w:pPr>
    <w:rPr>
      <w:rFonts w:eastAsia="font415"/>
      <w:b/>
    </w:rPr>
  </w:style>
  <w:style w:type="paragraph" w:styleId="Nagwek6">
    <w:name w:val="heading 6"/>
    <w:basedOn w:val="Normalny"/>
    <w:link w:val="Nagwek6Znak"/>
    <w:qFormat/>
    <w:rsid w:val="00EB0146"/>
    <w:pPr>
      <w:keepNext/>
      <w:keepLines/>
      <w:spacing w:before="40"/>
      <w:outlineLvl w:val="5"/>
    </w:pPr>
    <w:rPr>
      <w:rFonts w:ascii="Cambria" w:eastAsia="font415" w:hAnsi="Cambria"/>
      <w:color w:val="243F60"/>
    </w:rPr>
  </w:style>
  <w:style w:type="paragraph" w:styleId="Nagwek7">
    <w:name w:val="heading 7"/>
    <w:basedOn w:val="Normalny"/>
    <w:link w:val="Nagwek7Znak"/>
    <w:qFormat/>
    <w:rsid w:val="00EB0146"/>
    <w:pPr>
      <w:keepNext/>
      <w:keepLines/>
      <w:spacing w:before="200"/>
      <w:outlineLvl w:val="6"/>
    </w:pPr>
    <w:rPr>
      <w:rFonts w:ascii="Cambria" w:eastAsia="font415" w:hAnsi="Cambria"/>
      <w:i/>
      <w:iCs/>
      <w:color w:val="404040"/>
    </w:rPr>
  </w:style>
  <w:style w:type="paragraph" w:styleId="Nagwek8">
    <w:name w:val="heading 8"/>
    <w:basedOn w:val="Normalny"/>
    <w:link w:val="Nagwek8Znak"/>
    <w:qFormat/>
    <w:rsid w:val="00EB0146"/>
    <w:pPr>
      <w:keepNext/>
      <w:keepLines/>
      <w:spacing w:before="200"/>
      <w:outlineLvl w:val="7"/>
    </w:pPr>
    <w:rPr>
      <w:rFonts w:ascii="Cambria" w:eastAsia="font415" w:hAnsi="Cambria"/>
      <w:color w:val="404040"/>
      <w:szCs w:val="20"/>
    </w:rPr>
  </w:style>
  <w:style w:type="paragraph" w:styleId="Nagwek9">
    <w:name w:val="heading 9"/>
    <w:basedOn w:val="Normalny"/>
    <w:next w:val="Normalny"/>
    <w:link w:val="Nagwek9Znak"/>
    <w:unhideWhenUsed/>
    <w:qFormat/>
    <w:rsid w:val="008C7751"/>
    <w:pPr>
      <w:keepNext/>
      <w:keepLines/>
      <w:spacing w:before="200" w:after="0"/>
      <w:outlineLvl w:val="8"/>
    </w:pPr>
    <w:rPr>
      <w:rFonts w:ascii="Cambria" w:hAnsi="Cambria"/>
      <w:i/>
      <w:iCs/>
      <w:color w:val="40404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1E1346"/>
    <w:rPr>
      <w:rFonts w:ascii="Verdana" w:eastAsia="font415" w:hAnsi="Verdana"/>
      <w:b/>
      <w:bCs/>
      <w:sz w:val="28"/>
      <w:szCs w:val="28"/>
      <w:lang w:val="en-US" w:eastAsia="en-US" w:bidi="en-US"/>
    </w:rPr>
  </w:style>
  <w:style w:type="character" w:customStyle="1" w:styleId="Nagwek2Znak">
    <w:name w:val="Nagłówek 2 Znak"/>
    <w:basedOn w:val="Domylnaczcionkaakapitu"/>
    <w:link w:val="Nagwek20"/>
    <w:uiPriority w:val="9"/>
    <w:rsid w:val="00E00B35"/>
    <w:rPr>
      <w:rFonts w:ascii="Verdana" w:eastAsia="Times New Roman" w:hAnsi="Verdana"/>
      <w:b/>
      <w:bCs/>
      <w:sz w:val="24"/>
      <w:szCs w:val="36"/>
      <w:lang w:val="en-US" w:bidi="en-US"/>
    </w:rPr>
  </w:style>
  <w:style w:type="character" w:customStyle="1" w:styleId="Nagwek3Znak">
    <w:name w:val="Nagłówek 3 Znak"/>
    <w:basedOn w:val="Domylnaczcionkaakapitu"/>
    <w:link w:val="Nagwek3"/>
    <w:uiPriority w:val="9"/>
    <w:rsid w:val="0060070F"/>
    <w:rPr>
      <w:rFonts w:ascii="Verdana" w:eastAsia="font415" w:hAnsi="Verdana" w:cs="Arial"/>
      <w:b/>
      <w:bCs/>
      <w:sz w:val="24"/>
      <w:lang w:val="zh-CN" w:eastAsia="zh-CN" w:bidi="en-US"/>
    </w:rPr>
  </w:style>
  <w:style w:type="character" w:customStyle="1" w:styleId="Nagwek4Znak">
    <w:name w:val="Nagłówek 4 Znak"/>
    <w:basedOn w:val="Domylnaczcionkaakapitu"/>
    <w:link w:val="Nagwek4"/>
    <w:uiPriority w:val="9"/>
    <w:rsid w:val="001E1346"/>
    <w:rPr>
      <w:rFonts w:ascii="Verdana" w:eastAsia="font415" w:hAnsi="Verdana"/>
      <w:b/>
      <w:iCs/>
      <w:sz w:val="22"/>
      <w:szCs w:val="22"/>
      <w:lang w:val="en-US" w:eastAsia="en-US" w:bidi="en-US"/>
    </w:rPr>
  </w:style>
  <w:style w:type="character" w:customStyle="1" w:styleId="Nagwek5Znak">
    <w:name w:val="Nagłówek 5 Znak"/>
    <w:basedOn w:val="Domylnaczcionkaakapitu"/>
    <w:link w:val="Nagwek5"/>
    <w:rsid w:val="001F7163"/>
    <w:rPr>
      <w:rFonts w:ascii="Verdana" w:eastAsia="font415" w:hAnsi="Verdana"/>
      <w:b/>
      <w:szCs w:val="22"/>
      <w:lang w:val="en-US" w:eastAsia="en-US" w:bidi="en-US"/>
    </w:rPr>
  </w:style>
  <w:style w:type="character" w:customStyle="1" w:styleId="Nagwek6Znak">
    <w:name w:val="Nagłówek 6 Znak"/>
    <w:basedOn w:val="Domylnaczcionkaakapitu"/>
    <w:link w:val="Nagwek6"/>
    <w:uiPriority w:val="9"/>
    <w:rsid w:val="00EB0146"/>
    <w:rPr>
      <w:rFonts w:ascii="Cambria" w:eastAsia="font415" w:hAnsi="Cambria" w:cs="font415"/>
      <w:color w:val="243F60"/>
      <w:kern w:val="1"/>
      <w:szCs w:val="22"/>
      <w:lang w:eastAsia="en-US"/>
    </w:rPr>
  </w:style>
  <w:style w:type="character" w:customStyle="1" w:styleId="Nagwek7Znak">
    <w:name w:val="Nagłówek 7 Znak"/>
    <w:basedOn w:val="Domylnaczcionkaakapitu"/>
    <w:link w:val="Nagwek7"/>
    <w:rsid w:val="00EB0146"/>
    <w:rPr>
      <w:rFonts w:ascii="Cambria" w:eastAsia="font415" w:hAnsi="Cambria" w:cs="font415"/>
      <w:i/>
      <w:iCs/>
      <w:color w:val="404040"/>
      <w:kern w:val="1"/>
      <w:sz w:val="22"/>
      <w:szCs w:val="22"/>
      <w:lang w:eastAsia="en-US"/>
    </w:rPr>
  </w:style>
  <w:style w:type="character" w:customStyle="1" w:styleId="Nagwek8Znak">
    <w:name w:val="Nagłówek 8 Znak"/>
    <w:basedOn w:val="Domylnaczcionkaakapitu"/>
    <w:link w:val="Nagwek8"/>
    <w:rsid w:val="00EB0146"/>
    <w:rPr>
      <w:rFonts w:ascii="Cambria" w:eastAsia="font415" w:hAnsi="Cambria" w:cs="font415"/>
      <w:color w:val="404040"/>
      <w:kern w:val="1"/>
      <w:lang w:eastAsia="en-US"/>
    </w:rPr>
  </w:style>
  <w:style w:type="character" w:customStyle="1" w:styleId="Nagwek9Znak">
    <w:name w:val="Nagłówek 9 Znak"/>
    <w:basedOn w:val="Domylnaczcionkaakapitu"/>
    <w:link w:val="Nagwek9"/>
    <w:uiPriority w:val="9"/>
    <w:rsid w:val="008C7751"/>
    <w:rPr>
      <w:rFonts w:ascii="Cambria" w:eastAsia="Times New Roman" w:hAnsi="Cambria"/>
      <w:i/>
      <w:iCs/>
      <w:color w:val="404040"/>
      <w:lang w:val="en-US" w:eastAsia="en-US" w:bidi="en-US"/>
    </w:rPr>
  </w:style>
  <w:style w:type="paragraph" w:styleId="Legenda">
    <w:name w:val="caption"/>
    <w:basedOn w:val="Normalny"/>
    <w:qFormat/>
    <w:rsid w:val="00EB0146"/>
    <w:pPr>
      <w:suppressLineNumbers/>
      <w:spacing w:before="120" w:after="120"/>
    </w:pPr>
    <w:rPr>
      <w:rFonts w:cs="Arial"/>
      <w:i/>
      <w:iCs/>
      <w:sz w:val="24"/>
      <w:szCs w:val="24"/>
    </w:rPr>
  </w:style>
  <w:style w:type="paragraph" w:styleId="Tytu">
    <w:name w:val="Title"/>
    <w:aliases w:val="Tekst opisu"/>
    <w:basedOn w:val="Normalny"/>
    <w:link w:val="TytuZnak"/>
    <w:qFormat/>
    <w:rsid w:val="00EB0146"/>
    <w:pPr>
      <w:jc w:val="center"/>
    </w:pPr>
    <w:rPr>
      <w:b/>
      <w:szCs w:val="16"/>
      <w:lang w:val="en-GB" w:eastAsia="pl-PL"/>
    </w:rPr>
  </w:style>
  <w:style w:type="character" w:customStyle="1" w:styleId="TytuZnak">
    <w:name w:val="Tytuł Znak"/>
    <w:aliases w:val="Tekst opisu Znak"/>
    <w:basedOn w:val="Domylnaczcionkaakapitu"/>
    <w:link w:val="Tytu"/>
    <w:rsid w:val="00EB0146"/>
    <w:rPr>
      <w:rFonts w:ascii="Verdana" w:hAnsi="Verdana"/>
      <w:b/>
      <w:kern w:val="1"/>
      <w:sz w:val="22"/>
      <w:szCs w:val="16"/>
      <w:lang w:val="en-GB"/>
    </w:rPr>
  </w:style>
  <w:style w:type="paragraph" w:styleId="Podtytu">
    <w:name w:val="Subtitle"/>
    <w:basedOn w:val="Normalny"/>
    <w:link w:val="PodtytuZnak"/>
    <w:autoRedefine/>
    <w:uiPriority w:val="99"/>
    <w:qFormat/>
    <w:rsid w:val="00EB0146"/>
    <w:rPr>
      <w:rFonts w:eastAsia="Andale Sans UI"/>
      <w:b/>
      <w:bCs/>
      <w:szCs w:val="20"/>
      <w:lang w:eastAsia="pl-PL"/>
    </w:rPr>
  </w:style>
  <w:style w:type="character" w:customStyle="1" w:styleId="PodtytuZnak">
    <w:name w:val="Podtytuł Znak"/>
    <w:basedOn w:val="Domylnaczcionkaakapitu"/>
    <w:link w:val="Podtytu"/>
    <w:uiPriority w:val="99"/>
    <w:rsid w:val="00EB0146"/>
    <w:rPr>
      <w:rFonts w:ascii="Verdana" w:eastAsia="Andale Sans UI" w:hAnsi="Verdana"/>
      <w:b/>
      <w:bCs/>
      <w:kern w:val="1"/>
      <w:sz w:val="22"/>
    </w:rPr>
  </w:style>
  <w:style w:type="character" w:styleId="Pogrubienie">
    <w:name w:val="Strong"/>
    <w:uiPriority w:val="22"/>
    <w:qFormat/>
    <w:rsid w:val="00EB0146"/>
    <w:rPr>
      <w:b/>
      <w:bCs/>
    </w:rPr>
  </w:style>
  <w:style w:type="character" w:styleId="Uwydatnienie">
    <w:name w:val="Emphasis"/>
    <w:aliases w:val="punktowanie"/>
    <w:uiPriority w:val="20"/>
    <w:qFormat/>
    <w:rsid w:val="00EB0146"/>
    <w:rPr>
      <w:i/>
      <w:iCs/>
    </w:rPr>
  </w:style>
  <w:style w:type="paragraph" w:styleId="Bezodstpw">
    <w:name w:val="No Spacing"/>
    <w:aliases w:val="litery"/>
    <w:uiPriority w:val="1"/>
    <w:qFormat/>
    <w:rsid w:val="00EB0146"/>
    <w:rPr>
      <w:rFonts w:ascii="Calibri" w:hAnsi="Calibri"/>
      <w:sz w:val="22"/>
      <w:szCs w:val="22"/>
      <w:lang w:eastAsia="en-US"/>
    </w:rPr>
  </w:style>
  <w:style w:type="paragraph" w:styleId="Akapitzlist">
    <w:name w:val="List Paragraph"/>
    <w:aliases w:val="Grubetytuły,Numerowanie,Akapit z listą BS,BulletC,Obiekt,Akapit z listą31,TRAKO Akapit z listą,normalny tekst,Akapit z listą11,Kolorowa lista — akcent 11"/>
    <w:basedOn w:val="Normalny"/>
    <w:qFormat/>
    <w:rsid w:val="00EB0146"/>
    <w:pPr>
      <w:ind w:left="720"/>
      <w:contextualSpacing/>
    </w:pPr>
  </w:style>
  <w:style w:type="character" w:customStyle="1" w:styleId="Heading1Char">
    <w:name w:val="Heading 1 Char"/>
    <w:locked/>
    <w:rsid w:val="008C7751"/>
    <w:rPr>
      <w:rFonts w:ascii="Verdana" w:eastAsia="Calibri" w:hAnsi="Verdana" w:cs="Arial"/>
      <w:b/>
      <w:bCs/>
      <w:color w:val="0000FF"/>
      <w:sz w:val="16"/>
      <w:szCs w:val="16"/>
      <w:lang w:val="pl-PL" w:eastAsia="pl-PL" w:bidi="ar-SA"/>
    </w:rPr>
  </w:style>
  <w:style w:type="character" w:customStyle="1" w:styleId="Heading2Char">
    <w:name w:val="Heading 2 Char"/>
    <w:locked/>
    <w:rsid w:val="008C7751"/>
    <w:rPr>
      <w:rFonts w:ascii="Cambria" w:eastAsia="Calibri" w:hAnsi="Cambria"/>
      <w:b/>
      <w:bCs/>
      <w:color w:val="4F81BD"/>
      <w:sz w:val="26"/>
      <w:szCs w:val="26"/>
      <w:lang w:val="pl-PL" w:eastAsia="en-US" w:bidi="ar-SA"/>
    </w:rPr>
  </w:style>
  <w:style w:type="character" w:customStyle="1" w:styleId="Heading3Char">
    <w:name w:val="Heading 3 Char"/>
    <w:locked/>
    <w:rsid w:val="008C7751"/>
    <w:rPr>
      <w:rFonts w:ascii="Verdana" w:eastAsia="Calibri" w:hAnsi="Verdana"/>
      <w:b/>
      <w:bCs/>
      <w:color w:val="FF0000"/>
      <w:sz w:val="16"/>
      <w:szCs w:val="16"/>
      <w:lang w:val="pl-PL" w:eastAsia="pl-PL" w:bidi="ar-SA"/>
    </w:rPr>
  </w:style>
  <w:style w:type="character" w:customStyle="1" w:styleId="Heading4Char">
    <w:name w:val="Heading 4 Char"/>
    <w:locked/>
    <w:rsid w:val="008C7751"/>
    <w:rPr>
      <w:rFonts w:ascii="Verdana" w:eastAsia="Calibri" w:hAnsi="Verdana"/>
      <w:b/>
      <w:bCs/>
      <w:sz w:val="18"/>
      <w:szCs w:val="16"/>
      <w:lang w:val="pl-PL" w:eastAsia="pl-PL" w:bidi="ar-SA"/>
    </w:rPr>
  </w:style>
  <w:style w:type="character" w:customStyle="1" w:styleId="Heading5Char">
    <w:name w:val="Heading 5 Char"/>
    <w:locked/>
    <w:rsid w:val="008C7751"/>
    <w:rPr>
      <w:rFonts w:ascii="Cambria" w:eastAsia="Calibri" w:hAnsi="Cambria"/>
      <w:color w:val="243F60"/>
      <w:sz w:val="22"/>
      <w:szCs w:val="22"/>
      <w:lang w:val="pl-PL" w:eastAsia="en-US" w:bidi="ar-SA"/>
    </w:rPr>
  </w:style>
  <w:style w:type="character" w:customStyle="1" w:styleId="Heading6Char">
    <w:name w:val="Heading 6 Char"/>
    <w:locked/>
    <w:rsid w:val="008C7751"/>
    <w:rPr>
      <w:rFonts w:ascii="Verdana" w:eastAsia="Calibri" w:hAnsi="Verdana"/>
      <w:b/>
      <w:bCs/>
      <w:color w:val="FF0000"/>
      <w:lang w:val="pl-PL" w:eastAsia="pl-PL" w:bidi="ar-SA"/>
    </w:rPr>
  </w:style>
  <w:style w:type="character" w:customStyle="1" w:styleId="Heading7Char">
    <w:name w:val="Heading 7 Char"/>
    <w:locked/>
    <w:rsid w:val="008C7751"/>
    <w:rPr>
      <w:rFonts w:eastAsia="Calibri"/>
      <w:b/>
      <w:bCs/>
      <w:sz w:val="24"/>
      <w:szCs w:val="24"/>
      <w:u w:val="single"/>
      <w:lang w:val="pl-PL" w:eastAsia="pl-PL" w:bidi="ar-SA"/>
    </w:rPr>
  </w:style>
  <w:style w:type="character" w:customStyle="1" w:styleId="Heading8Char">
    <w:name w:val="Heading 8 Char"/>
    <w:locked/>
    <w:rsid w:val="008C7751"/>
    <w:rPr>
      <w:rFonts w:ascii="Cambria" w:eastAsia="Calibri" w:hAnsi="Cambria"/>
      <w:color w:val="404040"/>
      <w:lang w:val="pl-PL" w:eastAsia="en-US" w:bidi="ar-SA"/>
    </w:rPr>
  </w:style>
  <w:style w:type="character" w:customStyle="1" w:styleId="Heading9Char">
    <w:name w:val="Heading 9 Char"/>
    <w:locked/>
    <w:rsid w:val="008C7751"/>
    <w:rPr>
      <w:rFonts w:ascii="Cambria" w:eastAsia="Calibri" w:hAnsi="Cambria"/>
      <w:i/>
      <w:iCs/>
      <w:color w:val="404040"/>
      <w:lang w:val="pl-PL" w:eastAsia="en-US" w:bidi="ar-SA"/>
    </w:rPr>
  </w:style>
  <w:style w:type="paragraph" w:customStyle="1" w:styleId="11TrescpismaZnak">
    <w:name w:val="@11.Tresc_pisma Znak"/>
    <w:basedOn w:val="Normalny"/>
    <w:next w:val="Normalny"/>
    <w:rsid w:val="008C7751"/>
    <w:pPr>
      <w:jc w:val="both"/>
    </w:pPr>
    <w:rPr>
      <w:rFonts w:cs="Verdana"/>
      <w:szCs w:val="20"/>
    </w:rPr>
  </w:style>
  <w:style w:type="paragraph" w:customStyle="1" w:styleId="kasia">
    <w:name w:val="kasia"/>
    <w:basedOn w:val="Normalny"/>
    <w:rsid w:val="008C7751"/>
  </w:style>
  <w:style w:type="paragraph" w:styleId="Tekstkomentarza">
    <w:name w:val="annotation text"/>
    <w:basedOn w:val="Normalny"/>
    <w:link w:val="TekstkomentarzaZnak"/>
    <w:uiPriority w:val="99"/>
    <w:rsid w:val="008C7751"/>
    <w:rPr>
      <w:szCs w:val="20"/>
    </w:rPr>
  </w:style>
  <w:style w:type="character" w:customStyle="1" w:styleId="TekstkomentarzaZnak">
    <w:name w:val="Tekst komentarza Znak"/>
    <w:basedOn w:val="Domylnaczcionkaakapitu"/>
    <w:link w:val="Tekstkomentarza"/>
    <w:uiPriority w:val="99"/>
    <w:rsid w:val="008C7751"/>
    <w:rPr>
      <w:rFonts w:ascii="Calibri" w:eastAsia="Times New Roman" w:hAnsi="Calibri"/>
      <w:lang w:val="en-US" w:eastAsia="en-US" w:bidi="en-US"/>
    </w:rPr>
  </w:style>
  <w:style w:type="character" w:customStyle="1" w:styleId="Tekstpodstawowywcity2Znak">
    <w:name w:val="Tekst podstawowy wcięty 2 Znak"/>
    <w:basedOn w:val="Domylnaczcionkaakapitu"/>
    <w:link w:val="Tekstpodstawowywcity2"/>
    <w:rsid w:val="008C7751"/>
    <w:rPr>
      <w:rFonts w:ascii="Verdana" w:eastAsia="Times New Roman" w:hAnsi="Verdana"/>
      <w:bCs/>
      <w:szCs w:val="22"/>
      <w:lang w:val="en-US" w:eastAsia="en-US" w:bidi="en-US"/>
    </w:rPr>
  </w:style>
  <w:style w:type="paragraph" w:styleId="Tekstpodstawowywcity2">
    <w:name w:val="Body Text Indent 2"/>
    <w:basedOn w:val="Normalny"/>
    <w:link w:val="Tekstpodstawowywcity2Znak"/>
    <w:rsid w:val="008C7751"/>
    <w:pPr>
      <w:spacing w:after="120" w:line="360" w:lineRule="auto"/>
      <w:ind w:left="426" w:hanging="426"/>
    </w:pPr>
    <w:rPr>
      <w:bCs/>
    </w:rPr>
  </w:style>
  <w:style w:type="character" w:customStyle="1" w:styleId="BodyTextIndent2Char">
    <w:name w:val="Body Text Indent 2 Char"/>
    <w:locked/>
    <w:rsid w:val="008C7751"/>
    <w:rPr>
      <w:rFonts w:ascii="Verdana" w:hAnsi="Verdana"/>
      <w:bCs/>
      <w:szCs w:val="22"/>
      <w:lang w:val="pl-PL" w:eastAsia="en-US" w:bidi="ar-SA"/>
    </w:rPr>
  </w:style>
  <w:style w:type="paragraph" w:styleId="NormalnyWeb">
    <w:name w:val="Normal (Web)"/>
    <w:basedOn w:val="Normalny"/>
    <w:uiPriority w:val="99"/>
    <w:rsid w:val="008C7751"/>
    <w:pPr>
      <w:spacing w:before="100" w:beforeAutospacing="1" w:after="100" w:afterAutospacing="1"/>
    </w:pPr>
  </w:style>
  <w:style w:type="paragraph" w:customStyle="1" w:styleId="DSStresprawozdania">
    <w:name w:val="DSS treść sprawozdania"/>
    <w:basedOn w:val="11TrescpismaZnak"/>
    <w:rsid w:val="008C7751"/>
  </w:style>
  <w:style w:type="paragraph" w:customStyle="1" w:styleId="SprawozdanieDSSZnakZnak">
    <w:name w:val="Sprawozdanie DSS Znak Znak"/>
    <w:basedOn w:val="Normalny"/>
    <w:rsid w:val="008C7751"/>
    <w:pPr>
      <w:tabs>
        <w:tab w:val="num" w:pos="643"/>
      </w:tabs>
      <w:ind w:left="360" w:hanging="360"/>
      <w:jc w:val="both"/>
    </w:pPr>
  </w:style>
  <w:style w:type="paragraph" w:customStyle="1" w:styleId="18Zalacznikilista">
    <w:name w:val="@18.Zalaczniki_lista"/>
    <w:basedOn w:val="Normalny"/>
    <w:rsid w:val="008C7751"/>
    <w:pPr>
      <w:tabs>
        <w:tab w:val="num" w:pos="360"/>
      </w:tabs>
      <w:ind w:left="714" w:hanging="357"/>
      <w:jc w:val="both"/>
    </w:pPr>
    <w:rPr>
      <w:sz w:val="16"/>
      <w:szCs w:val="18"/>
    </w:rPr>
  </w:style>
  <w:style w:type="paragraph" w:styleId="Tekstpodstawowy">
    <w:name w:val="Body Text"/>
    <w:aliases w:val="Znak, Znak,Tekst podstawowy-bold,standardowy-tabelka,Body Text Char2,Body Text Char1 Char1,Body Text Char4 Char Char,Body Text Char1 Char1 Char1 Char,Body Text Char3 Char Char Char Char1,Body Text Char2 Char Char Char Char Char1,b,bt"/>
    <w:basedOn w:val="Normalny"/>
    <w:link w:val="TekstpodstawowyZnak"/>
    <w:rsid w:val="008C7751"/>
    <w:pPr>
      <w:spacing w:after="120"/>
    </w:pPr>
  </w:style>
  <w:style w:type="character" w:customStyle="1" w:styleId="TekstpodstawowyZnak">
    <w:name w:val="Tekst podstawowy Znak"/>
    <w:aliases w:val="Znak Znak1, Znak Znak,Tekst podstawowy-bold Znak,standardowy-tabelka Znak,Body Text Char2 Znak,Body Text Char1 Char1 Znak,Body Text Char4 Char Char Znak,Body Text Char1 Char1 Char1 Char Znak,b Znak,bt Znak"/>
    <w:basedOn w:val="Domylnaczcionkaakapitu"/>
    <w:link w:val="Tekstpodstawowy"/>
    <w:qFormat/>
    <w:rsid w:val="008C7751"/>
    <w:rPr>
      <w:rFonts w:ascii="Calibri" w:eastAsia="Times New Roman" w:hAnsi="Calibri"/>
      <w:sz w:val="22"/>
      <w:szCs w:val="22"/>
      <w:lang w:val="en-US" w:eastAsia="en-US" w:bidi="en-US"/>
    </w:rPr>
  </w:style>
  <w:style w:type="character" w:customStyle="1" w:styleId="BodyTextChar">
    <w:name w:val="Body Text Char"/>
    <w:aliases w:val="Znak Char"/>
    <w:locked/>
    <w:rsid w:val="008C7751"/>
    <w:rPr>
      <w:rFonts w:eastAsia="Calibri"/>
      <w:sz w:val="24"/>
      <w:szCs w:val="24"/>
      <w:lang w:val="pl-PL" w:eastAsia="pl-PL" w:bidi="ar-SA"/>
    </w:rPr>
  </w:style>
  <w:style w:type="paragraph" w:customStyle="1" w:styleId="Bezodstpw1">
    <w:name w:val="Bez odstępów1"/>
    <w:aliases w:val="punkty,Punktator"/>
    <w:rsid w:val="008C7751"/>
    <w:pPr>
      <w:spacing w:after="200" w:line="276" w:lineRule="auto"/>
    </w:pPr>
    <w:rPr>
      <w:rFonts w:ascii="Calibri" w:hAnsi="Calibri"/>
      <w:sz w:val="22"/>
      <w:szCs w:val="22"/>
      <w:lang w:eastAsia="en-US"/>
    </w:rPr>
  </w:style>
  <w:style w:type="paragraph" w:styleId="Tekstdymka">
    <w:name w:val="Balloon Text"/>
    <w:basedOn w:val="Normalny"/>
    <w:link w:val="TekstdymkaZnak"/>
    <w:uiPriority w:val="99"/>
    <w:rsid w:val="008C7751"/>
    <w:rPr>
      <w:rFonts w:ascii="Tahoma" w:hAnsi="Tahoma" w:cs="Tahoma"/>
      <w:sz w:val="16"/>
      <w:szCs w:val="16"/>
    </w:rPr>
  </w:style>
  <w:style w:type="character" w:customStyle="1" w:styleId="TekstdymkaZnak">
    <w:name w:val="Tekst dymka Znak"/>
    <w:basedOn w:val="Domylnaczcionkaakapitu"/>
    <w:link w:val="Tekstdymka"/>
    <w:uiPriority w:val="99"/>
    <w:rsid w:val="008C7751"/>
    <w:rPr>
      <w:rFonts w:ascii="Tahoma" w:eastAsia="Times New Roman" w:hAnsi="Tahoma" w:cs="Tahoma"/>
      <w:sz w:val="16"/>
      <w:szCs w:val="16"/>
      <w:lang w:val="en-US" w:eastAsia="en-US" w:bidi="en-US"/>
    </w:rPr>
  </w:style>
  <w:style w:type="character" w:customStyle="1" w:styleId="BalloonTextChar">
    <w:name w:val="Balloon Text Char"/>
    <w:locked/>
    <w:rsid w:val="008C7751"/>
    <w:rPr>
      <w:rFonts w:ascii="Tahoma" w:hAnsi="Tahoma" w:cs="Tahoma"/>
      <w:sz w:val="16"/>
      <w:szCs w:val="16"/>
      <w:lang w:val="pl-PL" w:eastAsia="en-US" w:bidi="ar-SA"/>
    </w:rPr>
  </w:style>
  <w:style w:type="paragraph" w:customStyle="1" w:styleId="Akapitzlist1">
    <w:name w:val="Akapit z listą1"/>
    <w:basedOn w:val="Normalny"/>
    <w:link w:val="Akapitzlist1Znak"/>
    <w:uiPriority w:val="99"/>
    <w:qFormat/>
    <w:rsid w:val="008C7751"/>
    <w:pPr>
      <w:ind w:left="720"/>
    </w:pPr>
  </w:style>
  <w:style w:type="character" w:customStyle="1" w:styleId="Akapitzlist1Znak">
    <w:name w:val="Akapit z listą1 Znak"/>
    <w:link w:val="Akapitzlist1"/>
    <w:rsid w:val="0060070F"/>
    <w:rPr>
      <w:rFonts w:ascii="Calibri" w:eastAsia="Times New Roman" w:hAnsi="Calibri"/>
      <w:sz w:val="22"/>
      <w:szCs w:val="22"/>
      <w:lang w:val="en-US" w:eastAsia="en-US" w:bidi="en-US"/>
    </w:rPr>
  </w:style>
  <w:style w:type="paragraph" w:customStyle="1" w:styleId="Sprawozdanie">
    <w:name w:val="Sprawozdanie"/>
    <w:basedOn w:val="Akapitzlist1"/>
    <w:rsid w:val="008C7751"/>
    <w:pPr>
      <w:ind w:left="0"/>
      <w:jc w:val="both"/>
      <w:outlineLvl w:val="0"/>
    </w:pPr>
  </w:style>
  <w:style w:type="character" w:customStyle="1" w:styleId="11TrescpismaZnakZnak">
    <w:name w:val="@11.Tresc_pisma Znak Znak"/>
    <w:rsid w:val="008C7751"/>
    <w:rPr>
      <w:rFonts w:ascii="Verdana" w:hAnsi="Verdana"/>
      <w:lang w:val="pl-PL" w:eastAsia="pl-PL"/>
    </w:rPr>
  </w:style>
  <w:style w:type="paragraph" w:customStyle="1" w:styleId="xl75">
    <w:name w:val="xl75"/>
    <w:basedOn w:val="Normalny"/>
    <w:rsid w:val="008C7751"/>
    <w:pPr>
      <w:pBdr>
        <w:left w:val="single" w:sz="4" w:space="0" w:color="auto"/>
        <w:bottom w:val="single" w:sz="4" w:space="0" w:color="auto"/>
        <w:right w:val="single" w:sz="4" w:space="0" w:color="auto"/>
      </w:pBdr>
      <w:spacing w:before="100" w:beforeAutospacing="1" w:after="100" w:afterAutospacing="1"/>
      <w:jc w:val="right"/>
    </w:pPr>
    <w:rPr>
      <w:rFonts w:eastAsia="Arial Unicode MS" w:cs="Arial Unicode MS"/>
      <w:sz w:val="16"/>
      <w:szCs w:val="16"/>
    </w:rPr>
  </w:style>
  <w:style w:type="paragraph" w:customStyle="1" w:styleId="xl77">
    <w:name w:val="xl77"/>
    <w:basedOn w:val="Normalny"/>
    <w:rsid w:val="008C77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s="Arial Unicode MS"/>
      <w:sz w:val="16"/>
      <w:szCs w:val="16"/>
    </w:rPr>
  </w:style>
  <w:style w:type="paragraph" w:customStyle="1" w:styleId="xl82">
    <w:name w:val="xl82"/>
    <w:basedOn w:val="Normalny"/>
    <w:rsid w:val="008C7751"/>
    <w:pPr>
      <w:spacing w:before="100" w:beforeAutospacing="1" w:after="100" w:afterAutospacing="1"/>
    </w:pPr>
    <w:rPr>
      <w:rFonts w:eastAsia="Arial Unicode MS" w:cs="Arial Unicode MS"/>
      <w:sz w:val="16"/>
      <w:szCs w:val="16"/>
    </w:rPr>
  </w:style>
  <w:style w:type="paragraph" w:customStyle="1" w:styleId="xl83">
    <w:name w:val="xl83"/>
    <w:basedOn w:val="Normalny"/>
    <w:rsid w:val="008C7751"/>
    <w:pPr>
      <w:pBdr>
        <w:left w:val="single" w:sz="8" w:space="0" w:color="auto"/>
        <w:right w:val="single" w:sz="8" w:space="0" w:color="auto"/>
      </w:pBdr>
      <w:spacing w:before="100" w:beforeAutospacing="1" w:after="100" w:afterAutospacing="1"/>
      <w:jc w:val="center"/>
    </w:pPr>
    <w:rPr>
      <w:rFonts w:eastAsia="Arial Unicode MS" w:cs="Arial Unicode MS"/>
      <w:sz w:val="16"/>
      <w:szCs w:val="16"/>
    </w:rPr>
  </w:style>
  <w:style w:type="paragraph" w:customStyle="1" w:styleId="Default">
    <w:name w:val="Default"/>
    <w:rsid w:val="008C7751"/>
    <w:pPr>
      <w:autoSpaceDE w:val="0"/>
      <w:autoSpaceDN w:val="0"/>
      <w:adjustRightInd w:val="0"/>
      <w:spacing w:after="200" w:line="276" w:lineRule="auto"/>
    </w:pPr>
    <w:rPr>
      <w:rFonts w:ascii="Calibri" w:hAnsi="Calibri"/>
      <w:color w:val="000000"/>
      <w:sz w:val="24"/>
      <w:szCs w:val="24"/>
    </w:rPr>
  </w:style>
  <w:style w:type="character" w:customStyle="1" w:styleId="apple-converted-space">
    <w:name w:val="apple-converted-space"/>
    <w:rsid w:val="008C7751"/>
    <w:rPr>
      <w:rFonts w:cs="Times New Roman"/>
    </w:rPr>
  </w:style>
  <w:style w:type="character" w:styleId="Hipercze">
    <w:name w:val="Hyperlink"/>
    <w:uiPriority w:val="99"/>
    <w:rsid w:val="008C7751"/>
    <w:rPr>
      <w:rFonts w:cs="Times New Roman"/>
      <w:color w:val="0000FF"/>
      <w:u w:val="single"/>
    </w:rPr>
  </w:style>
  <w:style w:type="paragraph" w:styleId="Tekstpodstawowywcity">
    <w:name w:val="Body Text Indent"/>
    <w:basedOn w:val="Normalny"/>
    <w:link w:val="TekstpodstawowywcityZnak"/>
    <w:rsid w:val="008C7751"/>
    <w:pPr>
      <w:spacing w:after="120"/>
      <w:ind w:left="283"/>
    </w:pPr>
  </w:style>
  <w:style w:type="character" w:customStyle="1" w:styleId="TekstpodstawowywcityZnak">
    <w:name w:val="Tekst podstawowy wcięty Znak"/>
    <w:basedOn w:val="Domylnaczcionkaakapitu"/>
    <w:link w:val="Tekstpodstawowywcity"/>
    <w:qFormat/>
    <w:rsid w:val="008C7751"/>
    <w:rPr>
      <w:rFonts w:ascii="Calibri" w:eastAsia="Times New Roman" w:hAnsi="Calibri"/>
      <w:sz w:val="22"/>
      <w:szCs w:val="22"/>
      <w:lang w:val="en-US" w:eastAsia="en-US" w:bidi="en-US"/>
    </w:rPr>
  </w:style>
  <w:style w:type="character" w:customStyle="1" w:styleId="BodyTextIndentChar">
    <w:name w:val="Body Text Indent Char"/>
    <w:locked/>
    <w:rsid w:val="008C7751"/>
    <w:rPr>
      <w:rFonts w:ascii="Calibri" w:hAnsi="Calibri"/>
      <w:sz w:val="22"/>
      <w:szCs w:val="22"/>
      <w:lang w:val="pl-PL" w:eastAsia="en-US" w:bidi="ar-SA"/>
    </w:rPr>
  </w:style>
  <w:style w:type="character" w:styleId="Numerstrony">
    <w:name w:val="page number"/>
    <w:qFormat/>
    <w:rsid w:val="008C7751"/>
    <w:rPr>
      <w:rFonts w:cs="Times New Roman"/>
    </w:rPr>
  </w:style>
  <w:style w:type="paragraph" w:styleId="Stopka">
    <w:name w:val="footer"/>
    <w:basedOn w:val="Normalny"/>
    <w:link w:val="StopkaZnak"/>
    <w:uiPriority w:val="99"/>
    <w:rsid w:val="008C7751"/>
    <w:pPr>
      <w:tabs>
        <w:tab w:val="center" w:pos="4536"/>
        <w:tab w:val="right" w:pos="9072"/>
      </w:tabs>
    </w:pPr>
  </w:style>
  <w:style w:type="character" w:customStyle="1" w:styleId="StopkaZnak">
    <w:name w:val="Stopka Znak"/>
    <w:basedOn w:val="Domylnaczcionkaakapitu"/>
    <w:link w:val="Stopka"/>
    <w:uiPriority w:val="99"/>
    <w:rsid w:val="008C7751"/>
    <w:rPr>
      <w:rFonts w:ascii="Calibri" w:eastAsia="Times New Roman" w:hAnsi="Calibri"/>
      <w:sz w:val="22"/>
      <w:szCs w:val="22"/>
      <w:lang w:val="en-US" w:eastAsia="en-US" w:bidi="en-US"/>
    </w:rPr>
  </w:style>
  <w:style w:type="character" w:customStyle="1" w:styleId="FooterChar">
    <w:name w:val="Footer Char"/>
    <w:locked/>
    <w:rsid w:val="008C7751"/>
    <w:rPr>
      <w:rFonts w:ascii="Calibri" w:hAnsi="Calibri"/>
      <w:sz w:val="22"/>
      <w:szCs w:val="22"/>
      <w:lang w:val="pl-PL" w:eastAsia="en-US" w:bidi="ar-SA"/>
    </w:rPr>
  </w:style>
  <w:style w:type="character" w:customStyle="1" w:styleId="PlandokumentuZnak">
    <w:name w:val="Plan dokumentu Znak"/>
    <w:aliases w:val="Znak Znak Znak2"/>
    <w:basedOn w:val="Domylnaczcionkaakapitu"/>
    <w:link w:val="Plandokumentu"/>
    <w:uiPriority w:val="99"/>
    <w:semiHidden/>
    <w:rsid w:val="008C7751"/>
    <w:rPr>
      <w:rFonts w:ascii="Tahoma" w:eastAsia="Times New Roman" w:hAnsi="Tahoma"/>
      <w:sz w:val="16"/>
      <w:szCs w:val="16"/>
      <w:lang w:val="en-US" w:eastAsia="ar-SA" w:bidi="en-US"/>
    </w:rPr>
  </w:style>
  <w:style w:type="paragraph" w:styleId="Plandokumentu">
    <w:name w:val="Document Map"/>
    <w:aliases w:val="Znak Znak"/>
    <w:basedOn w:val="Normalny"/>
    <w:link w:val="PlandokumentuZnak"/>
    <w:uiPriority w:val="99"/>
    <w:rsid w:val="008C7751"/>
    <w:pPr>
      <w:suppressAutoHyphens/>
      <w:overflowPunct w:val="0"/>
      <w:autoSpaceDE w:val="0"/>
      <w:jc w:val="both"/>
      <w:textAlignment w:val="baseline"/>
    </w:pPr>
    <w:rPr>
      <w:rFonts w:ascii="Tahoma" w:hAnsi="Tahoma"/>
      <w:sz w:val="16"/>
      <w:szCs w:val="16"/>
      <w:lang w:eastAsia="ar-SA"/>
    </w:rPr>
  </w:style>
  <w:style w:type="paragraph" w:styleId="Tematkomentarza">
    <w:name w:val="annotation subject"/>
    <w:basedOn w:val="Tekstkomentarza"/>
    <w:next w:val="Tekstkomentarza"/>
    <w:link w:val="TematkomentarzaZnak"/>
    <w:uiPriority w:val="99"/>
    <w:rsid w:val="008C7751"/>
    <w:rPr>
      <w:b/>
      <w:bCs/>
    </w:rPr>
  </w:style>
  <w:style w:type="character" w:customStyle="1" w:styleId="TematkomentarzaZnak">
    <w:name w:val="Temat komentarza Znak"/>
    <w:basedOn w:val="TekstkomentarzaZnak"/>
    <w:link w:val="Tematkomentarza"/>
    <w:uiPriority w:val="99"/>
    <w:rsid w:val="008C7751"/>
    <w:rPr>
      <w:b/>
      <w:bCs/>
    </w:rPr>
  </w:style>
  <w:style w:type="character" w:customStyle="1" w:styleId="CommentSubjectChar">
    <w:name w:val="Comment Subject Char"/>
    <w:locked/>
    <w:rsid w:val="008C7751"/>
    <w:rPr>
      <w:rFonts w:eastAsia="Calibri"/>
      <w:b/>
      <w:bCs/>
      <w:lang w:val="pl-PL" w:eastAsia="pl-PL" w:bidi="ar-SA"/>
    </w:rPr>
  </w:style>
  <w:style w:type="paragraph" w:styleId="Tekstpodstawowywcity3">
    <w:name w:val="Body Text Indent 3"/>
    <w:basedOn w:val="Normalny"/>
    <w:link w:val="Tekstpodstawowywcity3Znak"/>
    <w:rsid w:val="008C7751"/>
    <w:pPr>
      <w:ind w:left="1440"/>
      <w:jc w:val="both"/>
    </w:pPr>
  </w:style>
  <w:style w:type="character" w:customStyle="1" w:styleId="Tekstpodstawowywcity3Znak">
    <w:name w:val="Tekst podstawowy wcięty 3 Znak"/>
    <w:basedOn w:val="Domylnaczcionkaakapitu"/>
    <w:link w:val="Tekstpodstawowywcity3"/>
    <w:uiPriority w:val="99"/>
    <w:rsid w:val="008C7751"/>
    <w:rPr>
      <w:rFonts w:ascii="Verdana" w:eastAsia="Times New Roman" w:hAnsi="Verdana"/>
      <w:szCs w:val="22"/>
      <w:lang w:val="en-US" w:eastAsia="en-US" w:bidi="en-US"/>
    </w:rPr>
  </w:style>
  <w:style w:type="character" w:customStyle="1" w:styleId="BodyTextIndent3Char">
    <w:name w:val="Body Text Indent 3 Char"/>
    <w:locked/>
    <w:rsid w:val="008C7751"/>
    <w:rPr>
      <w:rFonts w:ascii="Verdana" w:eastAsia="Calibri" w:hAnsi="Verdana"/>
      <w:szCs w:val="24"/>
      <w:lang w:val="pl-PL" w:eastAsia="pl-PL" w:bidi="ar-SA"/>
    </w:rPr>
  </w:style>
  <w:style w:type="paragraph" w:styleId="Tekstpodstawowy2">
    <w:name w:val="Body Text 2"/>
    <w:basedOn w:val="Normalny"/>
    <w:link w:val="Tekstpodstawowy2Znak"/>
    <w:uiPriority w:val="99"/>
    <w:rsid w:val="008C7751"/>
    <w:rPr>
      <w:b/>
      <w:bCs/>
      <w:color w:val="1F497D"/>
      <w:sz w:val="72"/>
      <w:szCs w:val="72"/>
    </w:rPr>
  </w:style>
  <w:style w:type="character" w:customStyle="1" w:styleId="Tekstpodstawowy2Znak">
    <w:name w:val="Tekst podstawowy 2 Znak"/>
    <w:basedOn w:val="Domylnaczcionkaakapitu"/>
    <w:link w:val="Tekstpodstawowy2"/>
    <w:uiPriority w:val="99"/>
    <w:rsid w:val="008C7751"/>
    <w:rPr>
      <w:rFonts w:ascii="Verdana" w:eastAsia="Times New Roman" w:hAnsi="Verdana"/>
      <w:b/>
      <w:bCs/>
      <w:color w:val="1F497D"/>
      <w:sz w:val="72"/>
      <w:szCs w:val="72"/>
      <w:lang w:val="en-US" w:eastAsia="en-US" w:bidi="en-US"/>
    </w:rPr>
  </w:style>
  <w:style w:type="character" w:customStyle="1" w:styleId="BodyText2Char">
    <w:name w:val="Body Text 2 Char"/>
    <w:locked/>
    <w:rsid w:val="008C7751"/>
    <w:rPr>
      <w:rFonts w:ascii="Verdana" w:eastAsia="Calibri" w:hAnsi="Verdana"/>
      <w:b/>
      <w:bCs/>
      <w:color w:val="1F497D"/>
      <w:sz w:val="72"/>
      <w:szCs w:val="72"/>
      <w:lang w:val="pl-PL" w:eastAsia="pl-PL" w:bidi="ar-SA"/>
    </w:rPr>
  </w:style>
  <w:style w:type="paragraph" w:customStyle="1" w:styleId="MAGDASprawozdanieDSSDSSDSS">
    <w:name w:val="MAGDASprawozdanie DSS DSS DSS"/>
    <w:basedOn w:val="Normalny"/>
    <w:next w:val="11TrescpismaZnak"/>
    <w:rsid w:val="008C7751"/>
    <w:pPr>
      <w:jc w:val="both"/>
    </w:pPr>
    <w:rPr>
      <w:szCs w:val="20"/>
    </w:rPr>
  </w:style>
  <w:style w:type="paragraph" w:styleId="Tekstpodstawowy3">
    <w:name w:val="Body Text 3"/>
    <w:basedOn w:val="Normalny"/>
    <w:link w:val="Tekstpodstawowy3Znak"/>
    <w:uiPriority w:val="99"/>
    <w:rsid w:val="008C7751"/>
    <w:pPr>
      <w:spacing w:after="120"/>
    </w:pPr>
    <w:rPr>
      <w:sz w:val="16"/>
      <w:szCs w:val="16"/>
    </w:rPr>
  </w:style>
  <w:style w:type="character" w:customStyle="1" w:styleId="Tekstpodstawowy3Znak">
    <w:name w:val="Tekst podstawowy 3 Znak"/>
    <w:basedOn w:val="Domylnaczcionkaakapitu"/>
    <w:link w:val="Tekstpodstawowy3"/>
    <w:uiPriority w:val="99"/>
    <w:rsid w:val="008C7751"/>
    <w:rPr>
      <w:rFonts w:ascii="Calibri" w:eastAsia="Times New Roman" w:hAnsi="Calibri"/>
      <w:sz w:val="16"/>
      <w:szCs w:val="16"/>
      <w:lang w:val="en-US" w:eastAsia="en-US" w:bidi="en-US"/>
    </w:rPr>
  </w:style>
  <w:style w:type="character" w:customStyle="1" w:styleId="BodyText3Char">
    <w:name w:val="Body Text 3 Char"/>
    <w:locked/>
    <w:rsid w:val="008C7751"/>
    <w:rPr>
      <w:rFonts w:eastAsia="Calibri"/>
      <w:sz w:val="16"/>
      <w:szCs w:val="16"/>
      <w:lang w:val="pl-PL" w:eastAsia="pl-PL" w:bidi="ar-SA"/>
    </w:rPr>
  </w:style>
  <w:style w:type="paragraph" w:customStyle="1" w:styleId="15Spraweprowadzi">
    <w:name w:val="@15.Sprawe_prowadzi"/>
    <w:basedOn w:val="Normalny"/>
    <w:rsid w:val="008C7751"/>
    <w:pPr>
      <w:jc w:val="both"/>
    </w:pPr>
    <w:rPr>
      <w:sz w:val="16"/>
      <w:szCs w:val="18"/>
    </w:rPr>
  </w:style>
  <w:style w:type="paragraph" w:customStyle="1" w:styleId="youthaffcent">
    <w:name w:val="youth.af.f.cent"/>
    <w:basedOn w:val="Normalny"/>
    <w:rsid w:val="008C7751"/>
    <w:pPr>
      <w:keepNext/>
      <w:tabs>
        <w:tab w:val="left" w:pos="284"/>
      </w:tabs>
      <w:spacing w:before="60" w:after="60"/>
      <w:jc w:val="center"/>
    </w:pPr>
    <w:rPr>
      <w:rFonts w:ascii="Arial" w:hAnsi="Arial"/>
      <w:szCs w:val="20"/>
    </w:rPr>
  </w:style>
  <w:style w:type="paragraph" w:customStyle="1" w:styleId="Index">
    <w:name w:val="Index"/>
    <w:basedOn w:val="Normalny"/>
    <w:rsid w:val="008C7751"/>
    <w:pPr>
      <w:widowControl w:val="0"/>
      <w:suppressLineNumbers/>
      <w:suppressAutoHyphens/>
    </w:pPr>
    <w:rPr>
      <w:rFonts w:cs="Lucida Sans Unicode"/>
      <w:szCs w:val="20"/>
    </w:rPr>
  </w:style>
  <w:style w:type="paragraph" w:styleId="HTML-wstpniesformatowany">
    <w:name w:val="HTML Preformatted"/>
    <w:basedOn w:val="Normalny"/>
    <w:link w:val="HTML-wstpniesformatowanyZnak"/>
    <w:uiPriority w:val="99"/>
    <w:rsid w:val="008C7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character" w:customStyle="1" w:styleId="HTML-wstpniesformatowanyZnak">
    <w:name w:val="HTML - wstępnie sformatowany Znak"/>
    <w:basedOn w:val="Domylnaczcionkaakapitu"/>
    <w:link w:val="HTML-wstpniesformatowany"/>
    <w:uiPriority w:val="99"/>
    <w:rsid w:val="008C7751"/>
    <w:rPr>
      <w:rFonts w:ascii="Arial Unicode MS" w:eastAsia="Arial Unicode MS" w:hAnsi="Arial Unicode MS" w:cs="Arial Unicode MS"/>
      <w:lang w:val="en-US" w:eastAsia="en-US" w:bidi="en-US"/>
    </w:rPr>
  </w:style>
  <w:style w:type="character" w:customStyle="1" w:styleId="HTMLPreformattedChar">
    <w:name w:val="HTML Preformatted Char"/>
    <w:locked/>
    <w:rsid w:val="008C7751"/>
    <w:rPr>
      <w:rFonts w:ascii="Arial Unicode MS" w:eastAsia="Arial Unicode MS" w:hAnsi="Arial Unicode MS" w:cs="Arial Unicode MS"/>
      <w:lang w:val="pl-PL" w:eastAsia="pl-PL" w:bidi="ar-SA"/>
    </w:rPr>
  </w:style>
  <w:style w:type="paragraph" w:styleId="Nagwek">
    <w:name w:val="header"/>
    <w:basedOn w:val="Normalny"/>
    <w:link w:val="NagwekZnak"/>
    <w:uiPriority w:val="99"/>
    <w:rsid w:val="008C7751"/>
    <w:pPr>
      <w:tabs>
        <w:tab w:val="center" w:pos="4536"/>
        <w:tab w:val="right" w:pos="9072"/>
      </w:tabs>
    </w:pPr>
  </w:style>
  <w:style w:type="character" w:customStyle="1" w:styleId="NagwekZnak">
    <w:name w:val="Nagłówek Znak"/>
    <w:basedOn w:val="Domylnaczcionkaakapitu"/>
    <w:link w:val="Nagwek"/>
    <w:uiPriority w:val="99"/>
    <w:rsid w:val="008C7751"/>
    <w:rPr>
      <w:rFonts w:ascii="Calibri" w:eastAsia="Times New Roman" w:hAnsi="Calibri"/>
      <w:sz w:val="22"/>
      <w:szCs w:val="22"/>
      <w:lang w:val="en-US" w:eastAsia="en-US" w:bidi="en-US"/>
    </w:rPr>
  </w:style>
  <w:style w:type="character" w:customStyle="1" w:styleId="HeaderChar">
    <w:name w:val="Header Char"/>
    <w:locked/>
    <w:rsid w:val="008C7751"/>
    <w:rPr>
      <w:rFonts w:eastAsia="Calibri"/>
      <w:sz w:val="24"/>
      <w:szCs w:val="24"/>
      <w:lang w:val="pl-PL" w:eastAsia="pl-PL" w:bidi="ar-SA"/>
    </w:rPr>
  </w:style>
  <w:style w:type="character" w:customStyle="1" w:styleId="TitleChar">
    <w:name w:val="Title Char"/>
    <w:locked/>
    <w:rsid w:val="008C7751"/>
    <w:rPr>
      <w:rFonts w:eastAsia="Calibri"/>
      <w:sz w:val="36"/>
      <w:szCs w:val="24"/>
      <w:lang w:val="pl-PL" w:eastAsia="pl-PL" w:bidi="ar-SA"/>
    </w:rPr>
  </w:style>
  <w:style w:type="paragraph" w:customStyle="1" w:styleId="pkt1">
    <w:name w:val="pkt1"/>
    <w:basedOn w:val="Normalny"/>
    <w:rsid w:val="008C7751"/>
    <w:pPr>
      <w:spacing w:before="60" w:after="60"/>
      <w:ind w:left="850" w:hanging="425"/>
      <w:jc w:val="both"/>
    </w:pPr>
    <w:rPr>
      <w:szCs w:val="20"/>
    </w:rPr>
  </w:style>
  <w:style w:type="character" w:customStyle="1" w:styleId="SubtitleChar">
    <w:name w:val="Subtitle Char"/>
    <w:locked/>
    <w:rsid w:val="008C7751"/>
    <w:rPr>
      <w:rFonts w:ascii="Verdana" w:eastAsia="Calibri" w:hAnsi="Verdana"/>
      <w:b/>
      <w:bCs/>
      <w:lang w:val="pl-PL" w:eastAsia="pl-PL" w:bidi="ar-SA"/>
    </w:rPr>
  </w:style>
  <w:style w:type="character" w:customStyle="1" w:styleId="apple-style-span">
    <w:name w:val="apple-style-span"/>
    <w:rsid w:val="008C7751"/>
    <w:rPr>
      <w:rFonts w:ascii="Verdana" w:hAnsi="Verdana" w:cs="Verdana"/>
      <w:lang w:val="pl-PL" w:eastAsia="pl-PL" w:bidi="ar-SA"/>
    </w:rPr>
  </w:style>
  <w:style w:type="paragraph" w:styleId="Tekstprzypisudolnego">
    <w:name w:val="footnote text"/>
    <w:basedOn w:val="Normalny"/>
    <w:link w:val="TekstprzypisudolnegoZnak"/>
    <w:uiPriority w:val="99"/>
    <w:rsid w:val="008C7751"/>
    <w:rPr>
      <w:szCs w:val="20"/>
    </w:rPr>
  </w:style>
  <w:style w:type="character" w:customStyle="1" w:styleId="TekstprzypisudolnegoZnak">
    <w:name w:val="Tekst przypisu dolnego Znak"/>
    <w:basedOn w:val="Domylnaczcionkaakapitu"/>
    <w:link w:val="Tekstprzypisudolnego"/>
    <w:uiPriority w:val="99"/>
    <w:rsid w:val="008C7751"/>
    <w:rPr>
      <w:rFonts w:ascii="Calibri" w:eastAsia="Times New Roman" w:hAnsi="Calibri"/>
      <w:lang w:val="en-US" w:eastAsia="en-US" w:bidi="en-US"/>
    </w:rPr>
  </w:style>
  <w:style w:type="paragraph" w:customStyle="1" w:styleId="11Trescpisma">
    <w:name w:val="@11.Tresc_pisma"/>
    <w:basedOn w:val="Normalny"/>
    <w:rsid w:val="008C7751"/>
    <w:pPr>
      <w:spacing w:before="180"/>
      <w:jc w:val="both"/>
    </w:pPr>
    <w:rPr>
      <w:szCs w:val="18"/>
    </w:rPr>
  </w:style>
  <w:style w:type="character" w:customStyle="1" w:styleId="11TrescpismaZnak1">
    <w:name w:val="@11.Tresc_pisma Znak1"/>
    <w:locked/>
    <w:rsid w:val="008C7751"/>
    <w:rPr>
      <w:rFonts w:ascii="Verdana" w:eastAsia="Calibri" w:hAnsi="Verdana"/>
      <w:szCs w:val="18"/>
      <w:lang w:val="pl-PL" w:eastAsia="pl-PL" w:bidi="ar-SA"/>
    </w:rPr>
  </w:style>
  <w:style w:type="paragraph" w:styleId="Tekstprzypisukocowego">
    <w:name w:val="endnote text"/>
    <w:basedOn w:val="Normalny"/>
    <w:link w:val="TekstprzypisukocowegoZnak"/>
    <w:rsid w:val="008C7751"/>
    <w:rPr>
      <w:szCs w:val="20"/>
    </w:rPr>
  </w:style>
  <w:style w:type="character" w:customStyle="1" w:styleId="TekstprzypisukocowegoZnak">
    <w:name w:val="Tekst przypisu końcowego Znak"/>
    <w:basedOn w:val="Domylnaczcionkaakapitu"/>
    <w:link w:val="Tekstprzypisukocowego"/>
    <w:rsid w:val="008C7751"/>
    <w:rPr>
      <w:rFonts w:ascii="Calibri" w:eastAsia="Times New Roman" w:hAnsi="Calibri"/>
      <w:lang w:val="en-US" w:eastAsia="en-US" w:bidi="en-US"/>
    </w:rPr>
  </w:style>
  <w:style w:type="paragraph" w:customStyle="1" w:styleId="09Dotyczy">
    <w:name w:val="@09.Dotyczy"/>
    <w:basedOn w:val="11Trescpisma"/>
    <w:rsid w:val="008C7751"/>
    <w:pPr>
      <w:spacing w:before="120" w:after="120"/>
    </w:pPr>
    <w:rPr>
      <w:sz w:val="16"/>
    </w:rPr>
  </w:style>
  <w:style w:type="paragraph" w:customStyle="1" w:styleId="Normalny1">
    <w:name w:val="Normalny1"/>
    <w:rsid w:val="008C7751"/>
    <w:pPr>
      <w:suppressAutoHyphens/>
      <w:spacing w:after="200" w:line="276" w:lineRule="auto"/>
    </w:pPr>
    <w:rPr>
      <w:rFonts w:ascii="Calibri" w:eastAsia="Times New Roman" w:hAnsi="Calibri"/>
      <w:color w:val="000000"/>
      <w:kern w:val="2"/>
      <w:sz w:val="22"/>
      <w:szCs w:val="22"/>
      <w:lang w:eastAsia="ar-SA"/>
    </w:rPr>
  </w:style>
  <w:style w:type="paragraph" w:customStyle="1" w:styleId="PODPUNKTYMagda">
    <w:name w:val="PODPUNKTY Magda"/>
    <w:basedOn w:val="11TrescpismaZnak"/>
    <w:rsid w:val="008C7751"/>
    <w:rPr>
      <w:rFonts w:eastAsia="Arial Unicode MS"/>
      <w:b/>
    </w:rPr>
  </w:style>
  <w:style w:type="character" w:customStyle="1" w:styleId="MAGDAPODPUNKTYZnak">
    <w:name w:val="MAGDA PODPUNKTY Znak"/>
    <w:rsid w:val="008C7751"/>
    <w:rPr>
      <w:rFonts w:ascii="Verdana" w:eastAsia="Arial Unicode MS" w:hAnsi="Verdana"/>
      <w:b/>
      <w:lang w:val="pl-PL" w:eastAsia="pl-PL"/>
    </w:rPr>
  </w:style>
  <w:style w:type="character" w:customStyle="1" w:styleId="PodpisZnak">
    <w:name w:val="Podpis Znak"/>
    <w:basedOn w:val="Domylnaczcionkaakapitu"/>
    <w:link w:val="Podpis"/>
    <w:semiHidden/>
    <w:rsid w:val="008C7751"/>
    <w:rPr>
      <w:rFonts w:ascii="Verdana" w:eastAsia="Times New Roman" w:hAnsi="Verdana" w:cs="Tahoma"/>
      <w:i/>
      <w:iCs/>
      <w:sz w:val="22"/>
      <w:szCs w:val="22"/>
      <w:lang w:val="en-US" w:eastAsia="ar-SA" w:bidi="en-US"/>
    </w:rPr>
  </w:style>
  <w:style w:type="paragraph" w:styleId="Podpis">
    <w:name w:val="Signature"/>
    <w:basedOn w:val="Normalny"/>
    <w:link w:val="PodpisZnak"/>
    <w:semiHidden/>
    <w:rsid w:val="008C7751"/>
    <w:pPr>
      <w:suppressLineNumbers/>
      <w:suppressAutoHyphens/>
      <w:overflowPunct w:val="0"/>
      <w:autoSpaceDE w:val="0"/>
      <w:spacing w:before="120" w:after="120"/>
      <w:jc w:val="both"/>
      <w:textAlignment w:val="baseline"/>
    </w:pPr>
    <w:rPr>
      <w:rFonts w:cs="Tahoma"/>
      <w:i/>
      <w:iCs/>
      <w:lang w:eastAsia="ar-SA"/>
    </w:rPr>
  </w:style>
  <w:style w:type="character" w:customStyle="1" w:styleId="SignatureChar">
    <w:name w:val="Signature Char"/>
    <w:locked/>
    <w:rsid w:val="008C7751"/>
    <w:rPr>
      <w:rFonts w:ascii="Verdana" w:eastAsia="Calibri" w:hAnsi="Verdana" w:cs="Tahoma"/>
      <w:i/>
      <w:iCs/>
      <w:sz w:val="24"/>
      <w:szCs w:val="24"/>
      <w:lang w:val="pl-PL" w:eastAsia="ar-SA" w:bidi="ar-SA"/>
    </w:rPr>
  </w:style>
  <w:style w:type="paragraph" w:customStyle="1" w:styleId="DSSRozdzianowy">
    <w:name w:val="DSS Rozdział nowy"/>
    <w:basedOn w:val="Normalny"/>
    <w:next w:val="Tekstpodstawowy"/>
    <w:rsid w:val="008C7751"/>
    <w:pPr>
      <w:keepNext/>
      <w:suppressAutoHyphens/>
      <w:overflowPunct w:val="0"/>
      <w:autoSpaceDE w:val="0"/>
      <w:jc w:val="both"/>
      <w:textAlignment w:val="baseline"/>
    </w:pPr>
    <w:rPr>
      <w:rFonts w:cs="Arial"/>
      <w:b/>
      <w:szCs w:val="20"/>
      <w:lang w:eastAsia="ar-SA"/>
    </w:rPr>
  </w:style>
  <w:style w:type="paragraph" w:customStyle="1" w:styleId="Normal">
    <w:name w:val="[Normal]"/>
    <w:rsid w:val="008C7751"/>
    <w:pPr>
      <w:widowControl w:val="0"/>
      <w:spacing w:after="200" w:line="276" w:lineRule="auto"/>
    </w:pPr>
    <w:rPr>
      <w:rFonts w:ascii="Arial" w:eastAsia="Times New Roman" w:hAnsi="Arial" w:cs="Arial"/>
      <w:sz w:val="24"/>
      <w:szCs w:val="22"/>
      <w:lang w:val="zh-CN" w:eastAsia="zh-CN"/>
    </w:rPr>
  </w:style>
  <w:style w:type="character" w:customStyle="1" w:styleId="NormalZnak">
    <w:name w:val="[Normal] Znak"/>
    <w:locked/>
    <w:rsid w:val="008C7751"/>
    <w:rPr>
      <w:rFonts w:ascii="Arial" w:hAnsi="Arial" w:cs="Arial"/>
      <w:sz w:val="24"/>
      <w:lang w:val="zh-CN" w:eastAsia="zh-CN" w:bidi="ar-SA"/>
    </w:rPr>
  </w:style>
  <w:style w:type="paragraph" w:customStyle="1" w:styleId="Normalny2">
    <w:name w:val="Normalny2"/>
    <w:basedOn w:val="Normal"/>
    <w:rsid w:val="008C7751"/>
    <w:rPr>
      <w:rFonts w:ascii="Times New Roman" w:eastAsia="Calibri" w:hAnsi="Times New Roman"/>
    </w:rPr>
  </w:style>
  <w:style w:type="character" w:customStyle="1" w:styleId="Normalny2Znak">
    <w:name w:val="Normalny2 Znak"/>
    <w:locked/>
    <w:rsid w:val="008C7751"/>
    <w:rPr>
      <w:rFonts w:ascii="Arial" w:eastAsia="Calibri" w:hAnsi="Arial" w:cs="Arial"/>
      <w:sz w:val="24"/>
      <w:lang w:val="zh-CN" w:eastAsia="zh-CN" w:bidi="ar-SA"/>
    </w:rPr>
  </w:style>
  <w:style w:type="paragraph" w:customStyle="1" w:styleId="Nagwek61">
    <w:name w:val="Nagłówek 61"/>
    <w:basedOn w:val="Normalny2"/>
    <w:next w:val="Stopka1"/>
    <w:rsid w:val="008C7751"/>
    <w:pPr>
      <w:keepNext/>
      <w:jc w:val="both"/>
    </w:pPr>
    <w:rPr>
      <w:rFonts w:ascii="Verdana" w:eastAsia="Times New Roman" w:hAnsi="Verdana"/>
      <w:b/>
      <w:sz w:val="20"/>
    </w:rPr>
  </w:style>
  <w:style w:type="paragraph" w:customStyle="1" w:styleId="Stopka1">
    <w:name w:val="Stopka1"/>
    <w:basedOn w:val="Normalny2"/>
    <w:rsid w:val="008C7751"/>
    <w:pPr>
      <w:tabs>
        <w:tab w:val="center" w:pos="4536"/>
        <w:tab w:val="right" w:pos="9072"/>
      </w:tabs>
    </w:pPr>
  </w:style>
  <w:style w:type="character" w:customStyle="1" w:styleId="Nagwek61Znak">
    <w:name w:val="Nagłówek 61 Znak"/>
    <w:locked/>
    <w:rsid w:val="008C7751"/>
    <w:rPr>
      <w:rFonts w:ascii="Verdana" w:eastAsia="Calibri" w:hAnsi="Verdana" w:cs="Arial"/>
      <w:b/>
      <w:sz w:val="24"/>
      <w:lang w:val="zh-CN" w:eastAsia="zh-CN" w:bidi="ar-SA"/>
    </w:rPr>
  </w:style>
  <w:style w:type="character" w:customStyle="1" w:styleId="style6">
    <w:name w:val="style6"/>
    <w:rsid w:val="008C7751"/>
    <w:rPr>
      <w:rFonts w:cs="Times New Roman"/>
    </w:rPr>
  </w:style>
  <w:style w:type="character" w:customStyle="1" w:styleId="usercontent">
    <w:name w:val="usercontent"/>
    <w:rsid w:val="008C7751"/>
    <w:rPr>
      <w:rFonts w:cs="Times New Roman"/>
    </w:rPr>
  </w:style>
  <w:style w:type="paragraph" w:customStyle="1" w:styleId="Textbody">
    <w:name w:val="Text body"/>
    <w:basedOn w:val="Normalny"/>
    <w:rsid w:val="008C7751"/>
    <w:pPr>
      <w:suppressAutoHyphens/>
      <w:jc w:val="center"/>
      <w:textAlignment w:val="baseline"/>
    </w:pPr>
    <w:rPr>
      <w:rFonts w:cs="Arial"/>
      <w:b/>
      <w:bCs/>
      <w:kern w:val="1"/>
      <w:lang w:eastAsia="ar-SA"/>
    </w:rPr>
  </w:style>
  <w:style w:type="character" w:customStyle="1" w:styleId="StrongEmphasis">
    <w:name w:val="Strong Emphasis"/>
    <w:rsid w:val="008C7751"/>
    <w:rPr>
      <w:b/>
    </w:rPr>
  </w:style>
  <w:style w:type="paragraph" w:customStyle="1" w:styleId="Zawartotabeli">
    <w:name w:val="Zawartość tabeli"/>
    <w:basedOn w:val="Normalny"/>
    <w:rsid w:val="008C7751"/>
    <w:pPr>
      <w:widowControl w:val="0"/>
      <w:suppressLineNumbers/>
      <w:suppressAutoHyphens/>
    </w:pPr>
    <w:rPr>
      <w:rFonts w:eastAsia="SimSun"/>
      <w:kern w:val="1"/>
      <w:lang w:eastAsia="hi-IN" w:bidi="hi-IN"/>
    </w:rPr>
  </w:style>
  <w:style w:type="character" w:customStyle="1" w:styleId="datafield">
    <w:name w:val="datafield"/>
    <w:rsid w:val="008C7751"/>
    <w:rPr>
      <w:rFonts w:cs="Times New Roman"/>
    </w:rPr>
  </w:style>
  <w:style w:type="paragraph" w:customStyle="1" w:styleId="14StanowiskoPodpisujacego">
    <w:name w:val="@14.StanowiskoPodpisujacego"/>
    <w:basedOn w:val="11Trescpisma"/>
    <w:rsid w:val="008C7751"/>
    <w:pPr>
      <w:spacing w:before="0"/>
    </w:pPr>
    <w:rPr>
      <w:sz w:val="18"/>
    </w:rPr>
  </w:style>
  <w:style w:type="character" w:customStyle="1" w:styleId="14StanowiskoPodpisujacegoZnak">
    <w:name w:val="@14.StanowiskoPodpisujacego Znak"/>
    <w:locked/>
    <w:rsid w:val="008C7751"/>
    <w:rPr>
      <w:rFonts w:ascii="Verdana" w:eastAsia="Calibri" w:hAnsi="Verdana"/>
      <w:sz w:val="18"/>
      <w:szCs w:val="18"/>
      <w:lang w:val="pl-PL" w:eastAsia="pl-PL" w:bidi="ar-SA"/>
    </w:rPr>
  </w:style>
  <w:style w:type="paragraph" w:customStyle="1" w:styleId="MAGDAPODPUNKTY">
    <w:name w:val="MAGDA PODPUNKTY"/>
    <w:basedOn w:val="11TrescpismaZnak"/>
    <w:rsid w:val="008C7751"/>
    <w:rPr>
      <w:rFonts w:eastAsia="Arial Unicode MS"/>
      <w:b/>
    </w:rPr>
  </w:style>
  <w:style w:type="paragraph" w:customStyle="1" w:styleId="xl34">
    <w:name w:val="xl34"/>
    <w:basedOn w:val="Normalny"/>
    <w:rsid w:val="008C775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character" w:customStyle="1" w:styleId="ZwykytekstZnak">
    <w:name w:val="Zwykły tekst Znak"/>
    <w:basedOn w:val="Domylnaczcionkaakapitu"/>
    <w:link w:val="Zwykytekst"/>
    <w:rsid w:val="008C7751"/>
    <w:rPr>
      <w:rFonts w:ascii="Courier New" w:eastAsia="Times New Roman" w:hAnsi="Courier New"/>
      <w:lang w:bidi="en-US"/>
    </w:rPr>
  </w:style>
  <w:style w:type="paragraph" w:styleId="Zwykytekst">
    <w:name w:val="Plain Text"/>
    <w:basedOn w:val="Normalny"/>
    <w:link w:val="ZwykytekstZnak"/>
    <w:unhideWhenUsed/>
    <w:rsid w:val="008C7751"/>
    <w:rPr>
      <w:rFonts w:ascii="Courier New" w:hAnsi="Courier New"/>
      <w:szCs w:val="20"/>
      <w:lang w:val="pl-PL" w:eastAsia="pl-PL"/>
    </w:rPr>
  </w:style>
  <w:style w:type="paragraph" w:customStyle="1" w:styleId="p1">
    <w:name w:val="p1"/>
    <w:basedOn w:val="Normalny"/>
    <w:rsid w:val="008C7751"/>
    <w:pPr>
      <w:spacing w:before="100" w:beforeAutospacing="1" w:after="100" w:afterAutospacing="1"/>
    </w:pPr>
  </w:style>
  <w:style w:type="paragraph" w:customStyle="1" w:styleId="Normal1">
    <w:name w:val="Normal1"/>
    <w:basedOn w:val="Normalny"/>
    <w:rsid w:val="008C7751"/>
    <w:pPr>
      <w:widowControl w:val="0"/>
    </w:pPr>
    <w:rPr>
      <w:rFonts w:ascii="Arial" w:hAnsi="Arial" w:cs="Arial"/>
      <w:lang w:val="zh-CN" w:eastAsia="zh-CN"/>
    </w:rPr>
  </w:style>
  <w:style w:type="character" w:customStyle="1" w:styleId="ZnakZnak3">
    <w:name w:val="Znak Znak3"/>
    <w:rsid w:val="008C7751"/>
    <w:rPr>
      <w:sz w:val="22"/>
      <w:szCs w:val="22"/>
      <w:lang w:eastAsia="en-US"/>
    </w:rPr>
  </w:style>
  <w:style w:type="character" w:customStyle="1" w:styleId="Default20Paragraph20Font">
    <w:name w:val="Default_20_Paragraph_20_Font"/>
    <w:rsid w:val="008C7751"/>
  </w:style>
  <w:style w:type="paragraph" w:customStyle="1" w:styleId="Normalny4">
    <w:name w:val="Normalny4"/>
    <w:basedOn w:val="Normalny"/>
    <w:rsid w:val="008C7751"/>
    <w:pPr>
      <w:widowControl w:val="0"/>
    </w:pPr>
    <w:rPr>
      <w:rFonts w:cs="Arial"/>
      <w:szCs w:val="20"/>
      <w:lang w:val="zh-CN" w:eastAsia="zh-CN"/>
    </w:rPr>
  </w:style>
  <w:style w:type="paragraph" w:customStyle="1" w:styleId="Normalny3">
    <w:name w:val="Normalny3"/>
    <w:basedOn w:val="Normalny"/>
    <w:rsid w:val="008C7751"/>
    <w:pPr>
      <w:widowControl w:val="0"/>
      <w:suppressAutoHyphens/>
      <w:spacing w:line="100" w:lineRule="atLeast"/>
    </w:pPr>
    <w:rPr>
      <w:rFonts w:cs="Arial"/>
      <w:szCs w:val="20"/>
      <w:lang w:val="zh-CN" w:eastAsia="ar-SA"/>
    </w:rPr>
  </w:style>
  <w:style w:type="character" w:customStyle="1" w:styleId="ZnakZnak2">
    <w:name w:val="Znak Znak2"/>
    <w:rsid w:val="008C7751"/>
    <w:rPr>
      <w:rFonts w:ascii="Courier New" w:eastAsia="Times New Roman" w:hAnsi="Courier New" w:cs="Courier New"/>
    </w:rPr>
  </w:style>
  <w:style w:type="paragraph" w:customStyle="1" w:styleId="04StanowiskoAdresata">
    <w:name w:val="@04.StanowiskoAdresata"/>
    <w:basedOn w:val="Normalny"/>
    <w:rsid w:val="008C7751"/>
    <w:pPr>
      <w:spacing w:after="100"/>
      <w:jc w:val="both"/>
    </w:pPr>
    <w:rPr>
      <w:bCs/>
      <w:szCs w:val="20"/>
    </w:rPr>
  </w:style>
  <w:style w:type="character" w:customStyle="1" w:styleId="st1">
    <w:name w:val="st1"/>
    <w:rsid w:val="008C7751"/>
    <w:rPr>
      <w:rFonts w:cs="Times New Roman"/>
    </w:rPr>
  </w:style>
  <w:style w:type="character" w:customStyle="1" w:styleId="ZnakZnak26">
    <w:name w:val="Znak Znak26"/>
    <w:rsid w:val="008C7751"/>
    <w:rPr>
      <w:rFonts w:ascii="Verdana" w:hAnsi="Verdana" w:cs="Arial"/>
      <w:b/>
      <w:bCs/>
      <w:color w:val="0000FF"/>
      <w:sz w:val="16"/>
      <w:szCs w:val="16"/>
      <w:lang w:val="pl-PL" w:eastAsia="pl-PL" w:bidi="ar-SA"/>
    </w:rPr>
  </w:style>
  <w:style w:type="character" w:customStyle="1" w:styleId="ZnakZnak25">
    <w:name w:val="Znak Znak25"/>
    <w:rsid w:val="008C7751"/>
    <w:rPr>
      <w:rFonts w:ascii="Cambria" w:hAnsi="Cambria"/>
      <w:b/>
      <w:bCs/>
      <w:color w:val="4F81BD"/>
      <w:sz w:val="26"/>
      <w:szCs w:val="26"/>
      <w:lang w:val="pl-PL" w:eastAsia="en-US" w:bidi="ar-SA"/>
    </w:rPr>
  </w:style>
  <w:style w:type="character" w:customStyle="1" w:styleId="ZnakZnak24">
    <w:name w:val="Znak Znak24"/>
    <w:rsid w:val="008C7751"/>
    <w:rPr>
      <w:rFonts w:ascii="Verdana" w:hAnsi="Verdana"/>
      <w:b/>
      <w:bCs/>
      <w:color w:val="FF0000"/>
      <w:sz w:val="16"/>
      <w:szCs w:val="16"/>
      <w:lang w:val="pl-PL" w:eastAsia="pl-PL" w:bidi="ar-SA"/>
    </w:rPr>
  </w:style>
  <w:style w:type="character" w:customStyle="1" w:styleId="ZnakZnak23">
    <w:name w:val="Znak Znak23"/>
    <w:rsid w:val="008C7751"/>
    <w:rPr>
      <w:rFonts w:ascii="Verdana" w:hAnsi="Verdana"/>
      <w:b/>
      <w:bCs/>
      <w:sz w:val="18"/>
      <w:szCs w:val="16"/>
      <w:lang w:val="pl-PL" w:eastAsia="pl-PL" w:bidi="ar-SA"/>
    </w:rPr>
  </w:style>
  <w:style w:type="character" w:customStyle="1" w:styleId="ZnakZnak22">
    <w:name w:val="Znak Znak22"/>
    <w:rsid w:val="008C7751"/>
    <w:rPr>
      <w:rFonts w:ascii="Cambria" w:hAnsi="Cambria"/>
      <w:color w:val="243F60"/>
      <w:sz w:val="22"/>
      <w:szCs w:val="22"/>
      <w:lang w:val="pl-PL" w:eastAsia="en-US" w:bidi="ar-SA"/>
    </w:rPr>
  </w:style>
  <w:style w:type="character" w:customStyle="1" w:styleId="ZnakZnak21">
    <w:name w:val="Znak Znak21"/>
    <w:rsid w:val="008C7751"/>
    <w:rPr>
      <w:rFonts w:ascii="Verdana" w:hAnsi="Verdana"/>
      <w:b/>
      <w:bCs/>
      <w:color w:val="FF0000"/>
      <w:lang w:val="pl-PL" w:eastAsia="pl-PL" w:bidi="ar-SA"/>
    </w:rPr>
  </w:style>
  <w:style w:type="character" w:customStyle="1" w:styleId="ZnakZnak20">
    <w:name w:val="Znak Znak20"/>
    <w:rsid w:val="008C7751"/>
    <w:rPr>
      <w:b/>
      <w:bCs/>
      <w:sz w:val="24"/>
      <w:szCs w:val="24"/>
      <w:u w:val="single"/>
      <w:lang w:val="pl-PL" w:eastAsia="pl-PL" w:bidi="ar-SA"/>
    </w:rPr>
  </w:style>
  <w:style w:type="character" w:customStyle="1" w:styleId="ZnakZnak19">
    <w:name w:val="Znak Znak19"/>
    <w:rsid w:val="008C7751"/>
    <w:rPr>
      <w:rFonts w:ascii="Cambria" w:hAnsi="Cambria"/>
      <w:color w:val="404040"/>
      <w:lang w:val="pl-PL" w:eastAsia="en-US" w:bidi="ar-SA"/>
    </w:rPr>
  </w:style>
  <w:style w:type="character" w:customStyle="1" w:styleId="ZnakZnak18">
    <w:name w:val="Znak Znak18"/>
    <w:rsid w:val="008C7751"/>
    <w:rPr>
      <w:rFonts w:ascii="Cambria" w:hAnsi="Cambria"/>
      <w:i/>
      <w:iCs/>
      <w:color w:val="404040"/>
      <w:lang w:val="pl-PL" w:eastAsia="en-US" w:bidi="ar-SA"/>
    </w:rPr>
  </w:style>
  <w:style w:type="character" w:customStyle="1" w:styleId="BezodstpwZnak">
    <w:name w:val="Bez odstępów Znak"/>
    <w:uiPriority w:val="1"/>
    <w:rsid w:val="008C7751"/>
    <w:rPr>
      <w:rFonts w:eastAsia="Times New Roman"/>
      <w:sz w:val="22"/>
      <w:szCs w:val="22"/>
      <w:lang w:val="pl-PL" w:eastAsia="en-US" w:bidi="ar-SA"/>
    </w:rPr>
  </w:style>
  <w:style w:type="character" w:customStyle="1" w:styleId="ZnakZnak17">
    <w:name w:val="Znak Znak17"/>
    <w:rsid w:val="008C7751"/>
    <w:rPr>
      <w:rFonts w:ascii="Tahoma" w:eastAsia="Calibri" w:hAnsi="Tahoma" w:cs="Tahoma"/>
      <w:sz w:val="16"/>
      <w:szCs w:val="16"/>
      <w:lang w:val="pl-PL" w:eastAsia="en-US" w:bidi="ar-SA"/>
    </w:rPr>
  </w:style>
  <w:style w:type="character" w:customStyle="1" w:styleId="kasiaZnak">
    <w:name w:val="kasia Znak"/>
    <w:rsid w:val="008C7751"/>
    <w:rPr>
      <w:rFonts w:ascii="Verdana" w:hAnsi="Verdana"/>
    </w:rPr>
  </w:style>
  <w:style w:type="character" w:customStyle="1" w:styleId="AkapitzlistZnak">
    <w:name w:val="Akapit z listą Znak"/>
    <w:aliases w:val="Grubetytuły Znak,Numerowanie Znak,Akapit z listą BS Znak,BulletC Znak,Obiekt Znak,List Paragraph1 Znak,Akapit z listą31 Znak,TRAKO Akapit z listą Znak,normalny tekst Znak,Akapit z listą11 Znak,Kolorowa lista — akcent 11 Znak"/>
    <w:basedOn w:val="Domylnaczcionkaakapitu"/>
    <w:uiPriority w:val="99"/>
    <w:qFormat/>
    <w:rsid w:val="008C7751"/>
  </w:style>
  <w:style w:type="character" w:customStyle="1" w:styleId="SprawozdanieZnak">
    <w:name w:val="Sprawozdanie Znak"/>
    <w:rsid w:val="008C7751"/>
    <w:rPr>
      <w:rFonts w:ascii="Verdana" w:hAnsi="Verdana"/>
    </w:rPr>
  </w:style>
  <w:style w:type="paragraph" w:customStyle="1" w:styleId="xl69">
    <w:name w:val="xl69"/>
    <w:basedOn w:val="Normalny"/>
    <w:rsid w:val="008C77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Unicode MS"/>
      <w:sz w:val="16"/>
      <w:szCs w:val="16"/>
    </w:rPr>
  </w:style>
  <w:style w:type="paragraph" w:customStyle="1" w:styleId="xl70">
    <w:name w:val="xl70"/>
    <w:basedOn w:val="Normalny"/>
    <w:rsid w:val="008C77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s="Arial Unicode MS"/>
      <w:sz w:val="16"/>
      <w:szCs w:val="16"/>
    </w:rPr>
  </w:style>
  <w:style w:type="paragraph" w:customStyle="1" w:styleId="xl71">
    <w:name w:val="xl71"/>
    <w:basedOn w:val="Normalny"/>
    <w:rsid w:val="008C77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Unicode MS"/>
      <w:sz w:val="16"/>
      <w:szCs w:val="16"/>
    </w:rPr>
  </w:style>
  <w:style w:type="paragraph" w:customStyle="1" w:styleId="xl72">
    <w:name w:val="xl72"/>
    <w:basedOn w:val="Normalny"/>
    <w:rsid w:val="008C77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cs="Arial Unicode MS"/>
      <w:sz w:val="16"/>
      <w:szCs w:val="16"/>
    </w:rPr>
  </w:style>
  <w:style w:type="paragraph" w:customStyle="1" w:styleId="xl73">
    <w:name w:val="xl73"/>
    <w:basedOn w:val="Normalny"/>
    <w:rsid w:val="008C7751"/>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Unicode MS"/>
      <w:sz w:val="16"/>
      <w:szCs w:val="16"/>
    </w:rPr>
  </w:style>
  <w:style w:type="paragraph" w:customStyle="1" w:styleId="xl74">
    <w:name w:val="xl74"/>
    <w:basedOn w:val="Normalny"/>
    <w:rsid w:val="008C7751"/>
    <w:pPr>
      <w:spacing w:before="100" w:beforeAutospacing="1" w:after="100" w:afterAutospacing="1"/>
      <w:textAlignment w:val="center"/>
    </w:pPr>
    <w:rPr>
      <w:rFonts w:eastAsia="Arial Unicode MS" w:cs="Arial Unicode MS"/>
      <w:sz w:val="16"/>
      <w:szCs w:val="16"/>
    </w:rPr>
  </w:style>
  <w:style w:type="paragraph" w:customStyle="1" w:styleId="xl76">
    <w:name w:val="xl76"/>
    <w:basedOn w:val="Normalny"/>
    <w:rsid w:val="008C775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cs="Arial Unicode MS"/>
      <w:sz w:val="16"/>
      <w:szCs w:val="16"/>
    </w:rPr>
  </w:style>
  <w:style w:type="paragraph" w:customStyle="1" w:styleId="xl78">
    <w:name w:val="xl78"/>
    <w:basedOn w:val="Normalny"/>
    <w:rsid w:val="008C77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s="Arial Unicode MS"/>
      <w:sz w:val="16"/>
      <w:szCs w:val="16"/>
    </w:rPr>
  </w:style>
  <w:style w:type="paragraph" w:customStyle="1" w:styleId="xl79">
    <w:name w:val="xl79"/>
    <w:basedOn w:val="Normalny"/>
    <w:rsid w:val="008C7751"/>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cs="Arial Unicode MS"/>
      <w:sz w:val="16"/>
      <w:szCs w:val="16"/>
    </w:rPr>
  </w:style>
  <w:style w:type="paragraph" w:customStyle="1" w:styleId="xl80">
    <w:name w:val="xl80"/>
    <w:basedOn w:val="Normalny"/>
    <w:rsid w:val="008C7751"/>
    <w:pPr>
      <w:pBdr>
        <w:top w:val="single" w:sz="4" w:space="0" w:color="auto"/>
        <w:left w:val="single" w:sz="4" w:space="0" w:color="auto"/>
        <w:bottom w:val="single" w:sz="4" w:space="0" w:color="auto"/>
      </w:pBdr>
      <w:spacing w:before="100" w:beforeAutospacing="1" w:after="100" w:afterAutospacing="1"/>
      <w:jc w:val="right"/>
      <w:textAlignment w:val="center"/>
    </w:pPr>
    <w:rPr>
      <w:rFonts w:eastAsia="Arial Unicode MS" w:cs="Arial Unicode MS"/>
      <w:sz w:val="16"/>
      <w:szCs w:val="16"/>
    </w:rPr>
  </w:style>
  <w:style w:type="paragraph" w:customStyle="1" w:styleId="xl81">
    <w:name w:val="xl81"/>
    <w:basedOn w:val="Normalny"/>
    <w:rsid w:val="008C7751"/>
    <w:pPr>
      <w:pBdr>
        <w:top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cs="Arial Unicode MS"/>
      <w:sz w:val="16"/>
      <w:szCs w:val="16"/>
    </w:rPr>
  </w:style>
  <w:style w:type="paragraph" w:customStyle="1" w:styleId="xl116">
    <w:name w:val="xl116"/>
    <w:basedOn w:val="Normalny"/>
    <w:rsid w:val="008C7751"/>
    <w:pPr>
      <w:pBdr>
        <w:top w:val="single" w:sz="4" w:space="0" w:color="auto"/>
        <w:left w:val="single" w:sz="8" w:space="0" w:color="auto"/>
        <w:right w:val="single" w:sz="8" w:space="0" w:color="auto"/>
      </w:pBdr>
      <w:spacing w:before="100" w:beforeAutospacing="1" w:after="100" w:afterAutospacing="1"/>
      <w:jc w:val="center"/>
      <w:textAlignment w:val="center"/>
    </w:pPr>
    <w:rPr>
      <w:rFonts w:eastAsia="Arial Unicode MS" w:cs="Arial Unicode MS"/>
      <w:sz w:val="16"/>
      <w:szCs w:val="16"/>
    </w:rPr>
  </w:style>
  <w:style w:type="paragraph" w:customStyle="1" w:styleId="Tekstdymka1">
    <w:name w:val="Tekst dymka1"/>
    <w:basedOn w:val="Normalny"/>
    <w:rsid w:val="008C7751"/>
    <w:rPr>
      <w:rFonts w:ascii="Tahoma" w:hAnsi="Tahoma" w:cs="Tahoma"/>
      <w:sz w:val="16"/>
      <w:szCs w:val="16"/>
    </w:rPr>
  </w:style>
  <w:style w:type="character" w:customStyle="1" w:styleId="ZnakZnakZnak">
    <w:name w:val="Znak Znak Znak"/>
    <w:rsid w:val="008C7751"/>
    <w:rPr>
      <w:rFonts w:ascii="Verdana" w:hAnsi="Verdana"/>
      <w:b/>
      <w:bCs/>
      <w:color w:val="993300"/>
      <w:szCs w:val="24"/>
      <w:lang w:val="pl-PL" w:eastAsia="pl-PL" w:bidi="ar-SA"/>
    </w:rPr>
  </w:style>
  <w:style w:type="character" w:customStyle="1" w:styleId="ZnakZnak12">
    <w:name w:val="Znak Znak12"/>
    <w:rsid w:val="008C7751"/>
    <w:rPr>
      <w:b/>
      <w:bCs/>
      <w:lang w:val="pl-PL" w:eastAsia="pl-PL" w:bidi="ar-SA"/>
    </w:rPr>
  </w:style>
  <w:style w:type="character" w:customStyle="1" w:styleId="ZnakZnak10">
    <w:name w:val="Znak Znak10"/>
    <w:rsid w:val="008C7751"/>
    <w:rPr>
      <w:rFonts w:ascii="Verdana" w:hAnsi="Verdana"/>
      <w:b/>
      <w:bCs/>
      <w:color w:val="1F497D"/>
      <w:sz w:val="72"/>
      <w:szCs w:val="72"/>
      <w:lang w:val="pl-PL" w:eastAsia="pl-PL" w:bidi="ar-SA"/>
    </w:rPr>
  </w:style>
  <w:style w:type="character" w:customStyle="1" w:styleId="MAGDASprawozdanieDSSDSSDSSZnak">
    <w:name w:val="MAGDASprawozdanie DSS DSS DSS Znak"/>
    <w:rsid w:val="008C7751"/>
    <w:rPr>
      <w:rFonts w:ascii="Verdana" w:hAnsi="Verdana"/>
      <w:lang w:val="pl-PL" w:eastAsia="pl-PL" w:bidi="ar-SA"/>
    </w:rPr>
  </w:style>
  <w:style w:type="character" w:customStyle="1" w:styleId="ZnakZnak9">
    <w:name w:val="Znak Znak9"/>
    <w:rsid w:val="008C7751"/>
    <w:rPr>
      <w:sz w:val="16"/>
      <w:szCs w:val="16"/>
      <w:lang w:val="pl-PL" w:eastAsia="pl-PL" w:bidi="ar-SA"/>
    </w:rPr>
  </w:style>
  <w:style w:type="character" w:customStyle="1" w:styleId="glownaboki1">
    <w:name w:val="glownaboki1"/>
    <w:rsid w:val="008C7751"/>
    <w:rPr>
      <w:vanish w:val="0"/>
      <w:webHidden w:val="0"/>
      <w:color w:val="000000"/>
      <w:sz w:val="17"/>
      <w:szCs w:val="17"/>
      <w:specVanish w:val="0"/>
    </w:rPr>
  </w:style>
  <w:style w:type="character" w:customStyle="1" w:styleId="ZnakZnak6">
    <w:name w:val="Znak Znak6"/>
    <w:rsid w:val="008C7751"/>
    <w:rPr>
      <w:sz w:val="36"/>
      <w:szCs w:val="24"/>
      <w:lang w:val="pl-PL" w:eastAsia="pl-PL" w:bidi="ar-SA"/>
    </w:rPr>
  </w:style>
  <w:style w:type="character" w:customStyle="1" w:styleId="ZnakZnak5">
    <w:name w:val="Znak Znak5"/>
    <w:rsid w:val="008C7751"/>
    <w:rPr>
      <w:rFonts w:ascii="Verdana" w:hAnsi="Verdana"/>
      <w:b/>
      <w:bCs/>
      <w:lang w:val="pl-PL" w:eastAsia="pl-PL" w:bidi="ar-SA"/>
    </w:rPr>
  </w:style>
  <w:style w:type="character" w:customStyle="1" w:styleId="Domylnaczcionkaakapitu1">
    <w:name w:val="Domyślna czcionka akapitu1"/>
    <w:rsid w:val="008C7751"/>
  </w:style>
  <w:style w:type="paragraph" w:customStyle="1" w:styleId="10Szanowny">
    <w:name w:val="@10.Szanowny"/>
    <w:basedOn w:val="Normalny"/>
    <w:next w:val="Normalny"/>
    <w:rsid w:val="008C7751"/>
    <w:pPr>
      <w:spacing w:before="180"/>
      <w:jc w:val="both"/>
    </w:pPr>
    <w:rPr>
      <w:szCs w:val="18"/>
    </w:rPr>
  </w:style>
  <w:style w:type="paragraph" w:customStyle="1" w:styleId="Tabela">
    <w:name w:val="Tabela"/>
    <w:next w:val="Normalny"/>
    <w:rsid w:val="008C7751"/>
    <w:pPr>
      <w:autoSpaceDE w:val="0"/>
      <w:autoSpaceDN w:val="0"/>
      <w:adjustRightInd w:val="0"/>
      <w:spacing w:after="200" w:line="276" w:lineRule="auto"/>
    </w:pPr>
    <w:rPr>
      <w:rFonts w:ascii="font314" w:eastAsia="Times New Roman" w:hAnsi="font314"/>
      <w:sz w:val="22"/>
      <w:szCs w:val="22"/>
    </w:rPr>
  </w:style>
  <w:style w:type="paragraph" w:customStyle="1" w:styleId="Tekstpodstawowy21">
    <w:name w:val="Tekst podstawowy 21"/>
    <w:basedOn w:val="Normalny"/>
    <w:rsid w:val="008C7751"/>
    <w:pPr>
      <w:suppressAutoHyphens/>
    </w:pPr>
    <w:rPr>
      <w:lang w:eastAsia="ar-SA"/>
    </w:rPr>
  </w:style>
  <w:style w:type="character" w:customStyle="1" w:styleId="normalny0">
    <w:name w:val="normalny"/>
    <w:basedOn w:val="Domylnaczcionkaakapitu"/>
    <w:rsid w:val="008C7751"/>
  </w:style>
  <w:style w:type="paragraph" w:customStyle="1" w:styleId="xl29">
    <w:name w:val="xl29"/>
    <w:basedOn w:val="Normalny"/>
    <w:rsid w:val="008C77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Unicode MS"/>
      <w:b/>
      <w:bCs/>
    </w:rPr>
  </w:style>
  <w:style w:type="paragraph" w:customStyle="1" w:styleId="program">
    <w:name w:val="program"/>
    <w:basedOn w:val="Normalny"/>
    <w:rsid w:val="008C7751"/>
    <w:pPr>
      <w:spacing w:before="40"/>
      <w:ind w:left="100" w:right="100"/>
    </w:pPr>
    <w:rPr>
      <w:color w:val="000000"/>
      <w:szCs w:val="20"/>
    </w:rPr>
  </w:style>
  <w:style w:type="character" w:customStyle="1" w:styleId="il">
    <w:name w:val="il"/>
    <w:basedOn w:val="Domylnaczcionkaakapitu"/>
    <w:rsid w:val="008C7751"/>
  </w:style>
  <w:style w:type="character" w:customStyle="1" w:styleId="Tytu1">
    <w:name w:val="Tytuł1"/>
    <w:basedOn w:val="Domylnaczcionkaakapitu"/>
    <w:rsid w:val="008C7751"/>
  </w:style>
  <w:style w:type="character" w:customStyle="1" w:styleId="textexposedshow">
    <w:name w:val="text_exposed_show"/>
    <w:basedOn w:val="Domylnaczcionkaakapitu"/>
    <w:rsid w:val="008C7751"/>
  </w:style>
  <w:style w:type="character" w:customStyle="1" w:styleId="A7">
    <w:name w:val="A7"/>
    <w:uiPriority w:val="99"/>
    <w:rsid w:val="008C7751"/>
    <w:rPr>
      <w:color w:val="000000"/>
      <w:sz w:val="12"/>
      <w:szCs w:val="12"/>
    </w:rPr>
  </w:style>
  <w:style w:type="paragraph" w:customStyle="1" w:styleId="Pa7">
    <w:name w:val="Pa7"/>
    <w:basedOn w:val="Normalny"/>
    <w:next w:val="Normalny"/>
    <w:rsid w:val="008C7751"/>
    <w:pPr>
      <w:autoSpaceDE w:val="0"/>
      <w:autoSpaceDN w:val="0"/>
      <w:adjustRightInd w:val="0"/>
      <w:spacing w:line="181" w:lineRule="atLeast"/>
    </w:pPr>
    <w:rPr>
      <w:rFonts w:ascii="ScalaSansPro-Regular" w:hAnsi="ScalaSansPro-Regular"/>
    </w:rPr>
  </w:style>
  <w:style w:type="character" w:customStyle="1" w:styleId="artistposition">
    <w:name w:val="artistposition"/>
    <w:rsid w:val="008C7751"/>
  </w:style>
  <w:style w:type="paragraph" w:customStyle="1" w:styleId="Tekstkomentarza1">
    <w:name w:val="Tekst komentarza1"/>
    <w:basedOn w:val="Normalny"/>
    <w:rsid w:val="008C7751"/>
    <w:pPr>
      <w:widowControl w:val="0"/>
      <w:suppressAutoHyphens/>
    </w:pPr>
    <w:rPr>
      <w:szCs w:val="20"/>
      <w:lang w:eastAsia="pl-PL"/>
    </w:rPr>
  </w:style>
  <w:style w:type="character" w:customStyle="1" w:styleId="verdana91">
    <w:name w:val="verdana91"/>
    <w:rsid w:val="008C7751"/>
    <w:rPr>
      <w:rFonts w:ascii="Verdana" w:hAnsi="Verdana" w:hint="default"/>
      <w:sz w:val="18"/>
      <w:szCs w:val="18"/>
    </w:rPr>
  </w:style>
  <w:style w:type="paragraph" w:customStyle="1" w:styleId="Indeks">
    <w:name w:val="Indeks"/>
    <w:basedOn w:val="Normalny"/>
    <w:rsid w:val="008C7751"/>
    <w:pPr>
      <w:suppressLineNumbers/>
      <w:suppressAutoHyphens/>
    </w:pPr>
    <w:rPr>
      <w:rFonts w:eastAsia="Lucida Sans Unicode" w:cs="Tahoma"/>
      <w:lang w:val="ru-RU"/>
    </w:rPr>
  </w:style>
  <w:style w:type="paragraph" w:customStyle="1" w:styleId="12Zwyrazamiszacunku">
    <w:name w:val="@12.Z_wyrazami_szacunku"/>
    <w:basedOn w:val="Normalny"/>
    <w:next w:val="Normalny"/>
    <w:rsid w:val="008C7751"/>
    <w:pPr>
      <w:spacing w:before="360"/>
    </w:pPr>
    <w:rPr>
      <w:szCs w:val="20"/>
    </w:rPr>
  </w:style>
  <w:style w:type="paragraph" w:customStyle="1" w:styleId="Tekstpodstawowy22">
    <w:name w:val="Tekst podstawowy 22"/>
    <w:basedOn w:val="Normalny"/>
    <w:rsid w:val="008C7751"/>
    <w:pPr>
      <w:widowControl w:val="0"/>
      <w:overflowPunct w:val="0"/>
      <w:autoSpaceDE w:val="0"/>
      <w:autoSpaceDN w:val="0"/>
      <w:adjustRightInd w:val="0"/>
      <w:jc w:val="both"/>
      <w:textAlignment w:val="baseline"/>
    </w:pPr>
    <w:rPr>
      <w:szCs w:val="20"/>
    </w:rPr>
  </w:style>
  <w:style w:type="paragraph" w:customStyle="1" w:styleId="Standard">
    <w:name w:val="Standard"/>
    <w:rsid w:val="008C7751"/>
    <w:pPr>
      <w:widowControl w:val="0"/>
      <w:suppressAutoHyphens/>
      <w:spacing w:after="200" w:line="276" w:lineRule="auto"/>
    </w:pPr>
    <w:rPr>
      <w:rFonts w:ascii="Calibri" w:eastAsia="SimSun" w:hAnsi="Calibri"/>
      <w:kern w:val="2"/>
      <w:sz w:val="24"/>
      <w:szCs w:val="24"/>
      <w:lang w:eastAsia="hi-IN"/>
    </w:rPr>
  </w:style>
  <w:style w:type="character" w:customStyle="1" w:styleId="left">
    <w:name w:val="left"/>
    <w:basedOn w:val="Domylnaczcionkaakapitu"/>
    <w:rsid w:val="008C7751"/>
  </w:style>
  <w:style w:type="paragraph" w:customStyle="1" w:styleId="Styl11TrescpismaZnakDalekiWschdCalibriDolewejPrz">
    <w:name w:val="Styl @11.Tresc_pisma Znak + (Daleki Wschód) Calibri Do lewej Prz..."/>
    <w:basedOn w:val="11TrescpismaZnak"/>
    <w:rsid w:val="008C7751"/>
    <w:pPr>
      <w:jc w:val="left"/>
    </w:pPr>
  </w:style>
  <w:style w:type="character" w:customStyle="1" w:styleId="txtfgtxt11txtdgtxtlinkblue">
    <w:name w:val="txt_fg txt_11 txt_dg txt_linkblue"/>
    <w:basedOn w:val="Domylnaczcionkaakapitu"/>
    <w:rsid w:val="008C7751"/>
  </w:style>
  <w:style w:type="paragraph" w:customStyle="1" w:styleId="MAGDAMAGDAMAGDATRE">
    <w:name w:val="MAGDA MAGDA MAGDA TREŚĆ"/>
    <w:basedOn w:val="11TrescpismaZnak"/>
    <w:rsid w:val="008C7751"/>
  </w:style>
  <w:style w:type="character" w:customStyle="1" w:styleId="MAGDAMAGDAMAGDATREZnak">
    <w:name w:val="MAGDA MAGDA MAGDA TREŚĆ Znak"/>
    <w:rsid w:val="008C7751"/>
    <w:rPr>
      <w:rFonts w:ascii="Verdana" w:hAnsi="Verdana" w:cs="Verdana"/>
      <w:lang w:val="pl-PL" w:eastAsia="pl-PL" w:bidi="ar-SA"/>
    </w:rPr>
  </w:style>
  <w:style w:type="paragraph" w:customStyle="1" w:styleId="19Dowiadomosci">
    <w:name w:val="@19.Do_wiadomosci"/>
    <w:basedOn w:val="Normalny"/>
    <w:rsid w:val="008C7751"/>
    <w:pPr>
      <w:spacing w:before="180"/>
      <w:jc w:val="both"/>
    </w:pPr>
    <w:rPr>
      <w:sz w:val="16"/>
      <w:szCs w:val="18"/>
    </w:rPr>
  </w:style>
  <w:style w:type="character" w:customStyle="1" w:styleId="Domylnaczcionkaakapitu0">
    <w:name w:val="Domy?lna czcionka akapitu"/>
    <w:rsid w:val="008C7751"/>
  </w:style>
  <w:style w:type="character" w:customStyle="1" w:styleId="Nagwek1znak0">
    <w:name w:val="Nag?ówek 1 (znak)"/>
    <w:rsid w:val="008C7751"/>
    <w:rPr>
      <w:rFonts w:ascii="Cambria" w:hAnsi="Cambria"/>
      <w:b/>
      <w:color w:val="FFFFFF"/>
      <w:sz w:val="44"/>
      <w:lang w:val="en-US"/>
    </w:rPr>
  </w:style>
  <w:style w:type="character" w:customStyle="1" w:styleId="Nagwek2znak0">
    <w:name w:val="Nag?ówek 2 (znak)"/>
    <w:rsid w:val="008C7751"/>
    <w:rPr>
      <w:rFonts w:ascii="Cambria" w:hAnsi="Cambria"/>
      <w:color w:val="FFFFFF"/>
      <w:sz w:val="36"/>
      <w:lang w:val="en-US"/>
    </w:rPr>
  </w:style>
  <w:style w:type="paragraph" w:customStyle="1" w:styleId="MAGDANAGWEK">
    <w:name w:val="MAGDA NAGŁÓWEK"/>
    <w:basedOn w:val="Normalny"/>
    <w:next w:val="Tekstpodstawowy"/>
    <w:rsid w:val="008C7751"/>
    <w:pPr>
      <w:keepNext/>
      <w:suppressAutoHyphens/>
      <w:overflowPunct w:val="0"/>
      <w:autoSpaceDE w:val="0"/>
      <w:jc w:val="both"/>
      <w:textAlignment w:val="baseline"/>
    </w:pPr>
    <w:rPr>
      <w:rFonts w:cs="Arial"/>
      <w:b/>
      <w:szCs w:val="20"/>
      <w:lang w:eastAsia="ar-SA"/>
    </w:rPr>
  </w:style>
  <w:style w:type="paragraph" w:customStyle="1" w:styleId="HTML-wstpniesformatowany0">
    <w:name w:val="HTML - wst?pnie sformatowany"/>
    <w:basedOn w:val="Normalny"/>
    <w:rsid w:val="008C7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jc w:val="both"/>
      <w:textAlignment w:val="baseline"/>
    </w:pPr>
    <w:rPr>
      <w:rFonts w:ascii="Arial Unicode MS" w:eastAsia="Arial Unicode MS" w:hAnsi="Arial Unicode MS" w:cs="Arial"/>
      <w:szCs w:val="20"/>
      <w:lang w:eastAsia="ar-SA"/>
    </w:rPr>
  </w:style>
  <w:style w:type="paragraph" w:customStyle="1" w:styleId="nagwek10">
    <w:name w:val="nag?ówek 1"/>
    <w:basedOn w:val="Normalny"/>
    <w:next w:val="Normalny"/>
    <w:rsid w:val="008C7751"/>
    <w:pPr>
      <w:suppressAutoHyphens/>
      <w:overflowPunct w:val="0"/>
      <w:autoSpaceDE w:val="0"/>
      <w:jc w:val="center"/>
      <w:textAlignment w:val="baseline"/>
    </w:pPr>
    <w:rPr>
      <w:rFonts w:ascii="Cambria" w:hAnsi="Cambria" w:cs="Arial"/>
      <w:b/>
      <w:color w:val="FFFFFF"/>
      <w:sz w:val="44"/>
      <w:szCs w:val="20"/>
      <w:lang w:eastAsia="ar-SA"/>
    </w:rPr>
  </w:style>
  <w:style w:type="paragraph" w:customStyle="1" w:styleId="Informacje">
    <w:name w:val="Informacje"/>
    <w:basedOn w:val="Normalny"/>
    <w:rsid w:val="008C7751"/>
    <w:pPr>
      <w:suppressAutoHyphens/>
      <w:overflowPunct w:val="0"/>
      <w:autoSpaceDE w:val="0"/>
      <w:jc w:val="center"/>
      <w:textAlignment w:val="baseline"/>
    </w:pPr>
    <w:rPr>
      <w:rFonts w:cs="Arial"/>
      <w:color w:val="FFFFFF"/>
      <w:szCs w:val="20"/>
      <w:lang w:eastAsia="ar-SA"/>
    </w:rPr>
  </w:style>
  <w:style w:type="paragraph" w:customStyle="1" w:styleId="nagwek21">
    <w:name w:val="nag?ówek 2"/>
    <w:basedOn w:val="Informacje"/>
    <w:next w:val="Normalny"/>
    <w:rsid w:val="008C7751"/>
    <w:rPr>
      <w:rFonts w:ascii="Cambria" w:hAnsi="Cambria"/>
      <w:sz w:val="36"/>
    </w:rPr>
  </w:style>
  <w:style w:type="paragraph" w:customStyle="1" w:styleId="Zawartoramki">
    <w:name w:val="Zawarto?? ramki"/>
    <w:basedOn w:val="Tekstpodstawowy"/>
    <w:rsid w:val="008C7751"/>
    <w:pPr>
      <w:suppressAutoHyphens/>
      <w:overflowPunct w:val="0"/>
      <w:autoSpaceDE w:val="0"/>
      <w:spacing w:after="0"/>
      <w:jc w:val="both"/>
      <w:textAlignment w:val="baseline"/>
    </w:pPr>
    <w:rPr>
      <w:rFonts w:ascii="Bookman Old Style" w:hAnsi="Bookman Old Style" w:cs="Arial"/>
      <w:spacing w:val="40"/>
      <w:sz w:val="14"/>
      <w:szCs w:val="20"/>
      <w:lang w:eastAsia="ar-SA"/>
    </w:rPr>
  </w:style>
  <w:style w:type="paragraph" w:customStyle="1" w:styleId="Zawartoramki0">
    <w:name w:val="Zawartość ramki"/>
    <w:basedOn w:val="Tekstpodstawowy"/>
    <w:rsid w:val="008C7751"/>
    <w:pPr>
      <w:suppressAutoHyphens/>
      <w:overflowPunct w:val="0"/>
      <w:autoSpaceDE w:val="0"/>
      <w:spacing w:after="0"/>
      <w:jc w:val="both"/>
      <w:textAlignment w:val="baseline"/>
    </w:pPr>
    <w:rPr>
      <w:rFonts w:ascii="Bookman Old Style" w:hAnsi="Bookman Old Style" w:cs="Arial"/>
      <w:spacing w:val="40"/>
      <w:sz w:val="14"/>
      <w:szCs w:val="20"/>
      <w:lang w:eastAsia="ar-SA"/>
    </w:rPr>
  </w:style>
  <w:style w:type="paragraph" w:customStyle="1" w:styleId="DecimalAligned">
    <w:name w:val="Decimal Aligned"/>
    <w:basedOn w:val="Normalny"/>
    <w:rsid w:val="008C7751"/>
    <w:pPr>
      <w:tabs>
        <w:tab w:val="decimal" w:pos="360"/>
      </w:tabs>
      <w:jc w:val="both"/>
    </w:pPr>
  </w:style>
  <w:style w:type="character" w:styleId="Wyrnieniedelikatne">
    <w:name w:val="Subtle Emphasis"/>
    <w:uiPriority w:val="19"/>
    <w:qFormat/>
    <w:rsid w:val="008C7751"/>
    <w:rPr>
      <w:i/>
      <w:iCs/>
      <w:color w:val="808080"/>
    </w:rPr>
  </w:style>
  <w:style w:type="paragraph" w:customStyle="1" w:styleId="western">
    <w:name w:val="western"/>
    <w:basedOn w:val="Normalny"/>
    <w:rsid w:val="008C7751"/>
    <w:pPr>
      <w:spacing w:before="100" w:beforeAutospacing="1" w:after="100" w:afterAutospacing="1"/>
      <w:jc w:val="both"/>
    </w:pPr>
    <w:rPr>
      <w:rFonts w:ascii="Bookman Old Style" w:hAnsi="Bookman Old Style" w:cs="Arial"/>
      <w:sz w:val="14"/>
      <w:szCs w:val="14"/>
    </w:rPr>
  </w:style>
  <w:style w:type="paragraph" w:styleId="Nagwekspisutreci">
    <w:name w:val="TOC Heading"/>
    <w:basedOn w:val="Nagwek1"/>
    <w:next w:val="Normalny"/>
    <w:uiPriority w:val="39"/>
    <w:unhideWhenUsed/>
    <w:qFormat/>
    <w:rsid w:val="008C7751"/>
    <w:pPr>
      <w:spacing w:before="480"/>
      <w:outlineLvl w:val="9"/>
    </w:pPr>
    <w:rPr>
      <w:rFonts w:ascii="Cambria" w:eastAsia="Times New Roman" w:hAnsi="Cambria"/>
      <w:color w:val="365F91"/>
    </w:rPr>
  </w:style>
  <w:style w:type="paragraph" w:styleId="Spistreci9">
    <w:name w:val="toc 9"/>
    <w:basedOn w:val="Normalny"/>
    <w:next w:val="Normalny"/>
    <w:autoRedefine/>
    <w:uiPriority w:val="39"/>
    <w:unhideWhenUsed/>
    <w:rsid w:val="008C7751"/>
    <w:pPr>
      <w:spacing w:after="100"/>
      <w:ind w:left="1760"/>
    </w:pPr>
  </w:style>
  <w:style w:type="character" w:styleId="Wyrnienieintensywne">
    <w:name w:val="Intense Emphasis"/>
    <w:uiPriority w:val="21"/>
    <w:rsid w:val="008C7751"/>
    <w:rPr>
      <w:b/>
      <w:bCs/>
      <w:i/>
      <w:iCs/>
      <w:color w:val="4F81BD"/>
    </w:rPr>
  </w:style>
  <w:style w:type="paragraph" w:customStyle="1" w:styleId="P10">
    <w:name w:val="P1"/>
    <w:basedOn w:val="Normalny"/>
    <w:rsid w:val="008C7751"/>
    <w:pPr>
      <w:widowControl w:val="0"/>
      <w:adjustRightInd w:val="0"/>
      <w:jc w:val="center"/>
    </w:pPr>
    <w:rPr>
      <w:rFonts w:eastAsia="SimSun" w:cs="Mangal"/>
      <w:b/>
      <w:sz w:val="28"/>
      <w:szCs w:val="20"/>
    </w:rPr>
  </w:style>
  <w:style w:type="paragraph" w:customStyle="1" w:styleId="P4">
    <w:name w:val="P4"/>
    <w:basedOn w:val="Normalny"/>
    <w:rsid w:val="008C7751"/>
    <w:pPr>
      <w:widowControl w:val="0"/>
      <w:adjustRightInd w:val="0"/>
    </w:pPr>
    <w:rPr>
      <w:rFonts w:eastAsia="SimSun" w:cs="Mangal"/>
      <w:b/>
      <w:szCs w:val="20"/>
    </w:rPr>
  </w:style>
  <w:style w:type="paragraph" w:customStyle="1" w:styleId="P5">
    <w:name w:val="P5"/>
    <w:basedOn w:val="Normalny"/>
    <w:rsid w:val="008C7751"/>
    <w:pPr>
      <w:widowControl w:val="0"/>
      <w:adjustRightInd w:val="0"/>
    </w:pPr>
    <w:rPr>
      <w:rFonts w:eastAsia="SimSun" w:cs="Mangal"/>
      <w:szCs w:val="20"/>
    </w:rPr>
  </w:style>
  <w:style w:type="character" w:customStyle="1" w:styleId="T1">
    <w:name w:val="T1"/>
    <w:rsid w:val="008C7751"/>
  </w:style>
  <w:style w:type="character" w:customStyle="1" w:styleId="T2">
    <w:name w:val="T2"/>
    <w:rsid w:val="008C7751"/>
    <w:rPr>
      <w:sz w:val="20"/>
    </w:rPr>
  </w:style>
  <w:style w:type="character" w:customStyle="1" w:styleId="T3">
    <w:name w:val="T3"/>
    <w:rsid w:val="008C7751"/>
    <w:rPr>
      <w:rFonts w:ascii="Times New Roman1" w:hAnsi="Times New Roman1" w:hint="default"/>
    </w:rPr>
  </w:style>
  <w:style w:type="character" w:customStyle="1" w:styleId="T4">
    <w:name w:val="T4"/>
    <w:rsid w:val="008C7751"/>
    <w:rPr>
      <w:rFonts w:ascii="Times New Roman1" w:hAnsi="Times New Roman1" w:hint="default"/>
    </w:rPr>
  </w:style>
  <w:style w:type="character" w:customStyle="1" w:styleId="Teksttreci">
    <w:name w:val="Tekst treści_"/>
    <w:locked/>
    <w:rsid w:val="008C7751"/>
    <w:rPr>
      <w:rFonts w:ascii="Verdana" w:eastAsia="Verdana" w:hAnsi="Verdana"/>
      <w:spacing w:val="10"/>
      <w:sz w:val="19"/>
      <w:szCs w:val="19"/>
      <w:lang w:bidi="ar-SA"/>
    </w:rPr>
  </w:style>
  <w:style w:type="paragraph" w:customStyle="1" w:styleId="Teksttreci0">
    <w:name w:val="Tekst treści"/>
    <w:basedOn w:val="Normalny"/>
    <w:rsid w:val="008C7751"/>
    <w:pPr>
      <w:widowControl w:val="0"/>
      <w:shd w:val="clear" w:color="auto" w:fill="FFFFFF"/>
      <w:spacing w:line="274" w:lineRule="exact"/>
      <w:ind w:hanging="2760"/>
      <w:jc w:val="both"/>
    </w:pPr>
    <w:rPr>
      <w:rFonts w:eastAsia="Verdana"/>
      <w:spacing w:val="10"/>
      <w:sz w:val="19"/>
      <w:szCs w:val="19"/>
    </w:rPr>
  </w:style>
  <w:style w:type="character" w:customStyle="1" w:styleId="Nagwek11">
    <w:name w:val="Nagłówek #1_"/>
    <w:locked/>
    <w:rsid w:val="008C7751"/>
    <w:rPr>
      <w:rFonts w:ascii="Verdana" w:eastAsia="Verdana" w:hAnsi="Verdana"/>
      <w:b/>
      <w:bCs/>
      <w:sz w:val="18"/>
      <w:szCs w:val="18"/>
      <w:lang w:bidi="ar-SA"/>
    </w:rPr>
  </w:style>
  <w:style w:type="paragraph" w:customStyle="1" w:styleId="Nagwek12">
    <w:name w:val="Nagłówek #1"/>
    <w:basedOn w:val="Normalny"/>
    <w:rsid w:val="008C7751"/>
    <w:pPr>
      <w:widowControl w:val="0"/>
      <w:shd w:val="clear" w:color="auto" w:fill="FFFFFF"/>
      <w:spacing w:line="245" w:lineRule="exact"/>
      <w:ind w:firstLine="820"/>
      <w:jc w:val="both"/>
      <w:outlineLvl w:val="0"/>
    </w:pPr>
    <w:rPr>
      <w:rFonts w:eastAsia="Verdana"/>
      <w:b/>
      <w:bCs/>
      <w:sz w:val="18"/>
      <w:szCs w:val="18"/>
    </w:rPr>
  </w:style>
  <w:style w:type="character" w:customStyle="1" w:styleId="TeksttreciPogrubienie">
    <w:name w:val="Tekst treści + Pogrubienie"/>
    <w:rsid w:val="008C7751"/>
    <w:rPr>
      <w:rFonts w:ascii="Verdana" w:eastAsia="Verdana" w:hAnsi="Verdana" w:cs="Verdana"/>
      <w:b/>
      <w:bCs/>
      <w:i w:val="0"/>
      <w:iCs w:val="0"/>
      <w:smallCaps w:val="0"/>
      <w:strike w:val="0"/>
      <w:dstrike w:val="0"/>
      <w:color w:val="000000"/>
      <w:spacing w:val="0"/>
      <w:w w:val="100"/>
      <w:position w:val="0"/>
      <w:sz w:val="18"/>
      <w:szCs w:val="18"/>
      <w:u w:val="none"/>
      <w:effect w:val="none"/>
      <w:shd w:val="clear" w:color="auto" w:fill="FFFFFF"/>
      <w:lang w:val="pl-PL"/>
    </w:rPr>
  </w:style>
  <w:style w:type="character" w:customStyle="1" w:styleId="paragraphpunkt">
    <w:name w:val="paragraphpunkt"/>
    <w:basedOn w:val="Domylnaczcionkaakapitu"/>
    <w:rsid w:val="008C7751"/>
  </w:style>
  <w:style w:type="character" w:customStyle="1" w:styleId="akapitdomyslny">
    <w:name w:val="akapitdomyslny"/>
    <w:basedOn w:val="Domylnaczcionkaakapitu"/>
    <w:rsid w:val="008C7751"/>
  </w:style>
  <w:style w:type="character" w:customStyle="1" w:styleId="artykul">
    <w:name w:val="artykul"/>
    <w:basedOn w:val="Domylnaczcionkaakapitu"/>
    <w:rsid w:val="008C7751"/>
  </w:style>
  <w:style w:type="character" w:customStyle="1" w:styleId="akapitustep">
    <w:name w:val="akapitustep"/>
    <w:basedOn w:val="Domylnaczcionkaakapitu"/>
    <w:rsid w:val="008C7751"/>
  </w:style>
  <w:style w:type="character" w:customStyle="1" w:styleId="st">
    <w:name w:val="st"/>
    <w:basedOn w:val="Domylnaczcionkaakapitu"/>
    <w:rsid w:val="008C7751"/>
  </w:style>
  <w:style w:type="paragraph" w:customStyle="1" w:styleId="Stopka2">
    <w:name w:val="Stopka2"/>
    <w:basedOn w:val="Normalny3"/>
    <w:rsid w:val="008C7751"/>
    <w:pPr>
      <w:tabs>
        <w:tab w:val="center" w:pos="4536"/>
        <w:tab w:val="right" w:pos="9072"/>
      </w:tabs>
      <w:suppressAutoHyphens w:val="0"/>
      <w:spacing w:line="240" w:lineRule="auto"/>
    </w:pPr>
    <w:rPr>
      <w:lang w:eastAsia="zh-CN"/>
    </w:rPr>
  </w:style>
  <w:style w:type="paragraph" w:customStyle="1" w:styleId="Nagwek110">
    <w:name w:val="Nagłówek 11"/>
    <w:basedOn w:val="Normalny3"/>
    <w:next w:val="Stopka2"/>
    <w:uiPriority w:val="9"/>
    <w:rsid w:val="008C7751"/>
    <w:pPr>
      <w:keepNext/>
      <w:suppressAutoHyphens w:val="0"/>
      <w:spacing w:before="240" w:after="60" w:line="240" w:lineRule="auto"/>
    </w:pPr>
    <w:rPr>
      <w:rFonts w:ascii="Arial" w:eastAsia="Arial" w:hAnsi="Arial"/>
      <w:b/>
      <w:sz w:val="32"/>
      <w:lang w:eastAsia="zh-CN"/>
    </w:rPr>
  </w:style>
  <w:style w:type="paragraph" w:customStyle="1" w:styleId="Nagwek62">
    <w:name w:val="Nagłówek 62"/>
    <w:basedOn w:val="Normalny3"/>
    <w:next w:val="Stopka2"/>
    <w:rsid w:val="008C7751"/>
    <w:pPr>
      <w:keepNext/>
      <w:suppressAutoHyphens w:val="0"/>
      <w:spacing w:line="240" w:lineRule="auto"/>
      <w:jc w:val="both"/>
    </w:pPr>
    <w:rPr>
      <w:rFonts w:eastAsia="Verdana"/>
      <w:b/>
      <w:lang w:eastAsia="zh-CN"/>
    </w:rPr>
  </w:style>
  <w:style w:type="paragraph" w:customStyle="1" w:styleId="Nagwek91">
    <w:name w:val="Nagłówek 91"/>
    <w:basedOn w:val="Normalny3"/>
    <w:next w:val="Stopka2"/>
    <w:rsid w:val="008C7751"/>
    <w:pPr>
      <w:keepNext/>
      <w:suppressAutoHyphens w:val="0"/>
      <w:spacing w:line="240" w:lineRule="auto"/>
    </w:pPr>
    <w:rPr>
      <w:rFonts w:eastAsia="Verdana"/>
      <w:b/>
      <w:color w:val="FF00FF"/>
      <w:lang w:eastAsia="zh-CN"/>
    </w:rPr>
  </w:style>
  <w:style w:type="paragraph" w:customStyle="1" w:styleId="Tekstkomentarza2">
    <w:name w:val="Tekst komentarza2"/>
    <w:basedOn w:val="Normalny3"/>
    <w:rsid w:val="008C7751"/>
    <w:pPr>
      <w:suppressAutoHyphens w:val="0"/>
      <w:spacing w:line="240" w:lineRule="auto"/>
    </w:pPr>
    <w:rPr>
      <w:lang w:eastAsia="zh-CN"/>
    </w:rPr>
  </w:style>
  <w:style w:type="paragraph" w:customStyle="1" w:styleId="Tekstpodstawowy1">
    <w:name w:val="Tekst podstawowy1"/>
    <w:basedOn w:val="Normalny3"/>
    <w:rsid w:val="008C7751"/>
    <w:pPr>
      <w:suppressAutoHyphens w:val="0"/>
      <w:spacing w:after="120" w:line="240" w:lineRule="auto"/>
    </w:pPr>
    <w:rPr>
      <w:lang w:eastAsia="zh-CN"/>
    </w:rPr>
  </w:style>
  <w:style w:type="paragraph" w:customStyle="1" w:styleId="Tekstpodstawowy31">
    <w:name w:val="Tekst podstawowy 31"/>
    <w:basedOn w:val="Normalny3"/>
    <w:rsid w:val="008C7751"/>
    <w:pPr>
      <w:suppressAutoHyphens w:val="0"/>
      <w:spacing w:line="240" w:lineRule="auto"/>
      <w:jc w:val="both"/>
    </w:pPr>
    <w:rPr>
      <w:rFonts w:eastAsia="Verdana"/>
      <w:lang w:eastAsia="zh-CN"/>
    </w:rPr>
  </w:style>
  <w:style w:type="paragraph" w:customStyle="1" w:styleId="Nagwek31">
    <w:name w:val="Nagłówek 31"/>
    <w:basedOn w:val="Normalny3"/>
    <w:next w:val="Stopka2"/>
    <w:rsid w:val="008C7751"/>
    <w:pPr>
      <w:keepNext/>
      <w:suppressAutoHyphens w:val="0"/>
      <w:spacing w:before="240" w:after="60" w:line="240" w:lineRule="auto"/>
    </w:pPr>
    <w:rPr>
      <w:rFonts w:ascii="Arial" w:eastAsia="Arial" w:hAnsi="Arial"/>
      <w:b/>
      <w:sz w:val="26"/>
      <w:lang w:eastAsia="zh-CN"/>
    </w:rPr>
  </w:style>
  <w:style w:type="paragraph" w:customStyle="1" w:styleId="Nagwek41">
    <w:name w:val="Nagłówek 41"/>
    <w:basedOn w:val="Normalny3"/>
    <w:next w:val="Stopka2"/>
    <w:rsid w:val="008C7751"/>
    <w:pPr>
      <w:keepNext/>
      <w:keepLines/>
      <w:suppressAutoHyphens w:val="0"/>
      <w:spacing w:before="200" w:line="240" w:lineRule="auto"/>
    </w:pPr>
    <w:rPr>
      <w:rFonts w:ascii="Cambria" w:eastAsia="Cambria" w:hAnsi="Cambria"/>
      <w:b/>
      <w:i/>
      <w:color w:val="4F81BD"/>
      <w:lang w:eastAsia="zh-CN"/>
    </w:rPr>
  </w:style>
  <w:style w:type="paragraph" w:customStyle="1" w:styleId="HTML-wstpniesformatowany1">
    <w:name w:val="HTML - wstępnie sformatowany1"/>
    <w:basedOn w:val="Normalny3"/>
    <w:rsid w:val="008C7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uppressAutoHyphens w:val="0"/>
      <w:spacing w:line="240" w:lineRule="auto"/>
    </w:pPr>
    <w:rPr>
      <w:rFonts w:ascii="Courier New" w:eastAsia="Courier New" w:hAnsi="Courier New"/>
      <w:lang w:eastAsia="zh-CN"/>
    </w:rPr>
  </w:style>
  <w:style w:type="paragraph" w:customStyle="1" w:styleId="NormalnyWeb1">
    <w:name w:val="Normalny (Web)1"/>
    <w:basedOn w:val="Normalny3"/>
    <w:rsid w:val="008C7751"/>
    <w:pPr>
      <w:suppressAutoHyphens w:val="0"/>
      <w:spacing w:before="100" w:after="100" w:line="240" w:lineRule="auto"/>
    </w:pPr>
    <w:rPr>
      <w:lang w:eastAsia="zh-CN"/>
    </w:rPr>
  </w:style>
  <w:style w:type="paragraph" w:customStyle="1" w:styleId="Nagwek210">
    <w:name w:val="Nagłówek 21"/>
    <w:basedOn w:val="Normalny3"/>
    <w:next w:val="Stopka2"/>
    <w:rsid w:val="008C7751"/>
    <w:pPr>
      <w:keepNext/>
      <w:suppressAutoHyphens w:val="0"/>
      <w:spacing w:before="240" w:after="60" w:line="240" w:lineRule="auto"/>
    </w:pPr>
    <w:rPr>
      <w:rFonts w:ascii="Arial" w:eastAsia="Arial" w:hAnsi="Arial"/>
      <w:b/>
      <w:i/>
      <w:sz w:val="28"/>
      <w:lang w:eastAsia="zh-CN"/>
    </w:rPr>
  </w:style>
  <w:style w:type="paragraph" w:customStyle="1" w:styleId="Nagwek71">
    <w:name w:val="Nagłówek 71"/>
    <w:basedOn w:val="Normalny3"/>
    <w:next w:val="Stopka2"/>
    <w:rsid w:val="008C7751"/>
    <w:pPr>
      <w:keepNext/>
      <w:keepLines/>
      <w:suppressAutoHyphens w:val="0"/>
      <w:spacing w:before="200" w:line="240" w:lineRule="auto"/>
    </w:pPr>
    <w:rPr>
      <w:rFonts w:ascii="Cambria" w:eastAsia="Cambria" w:hAnsi="Cambria"/>
      <w:i/>
      <w:color w:val="404040"/>
      <w:lang w:eastAsia="zh-CN"/>
    </w:rPr>
  </w:style>
  <w:style w:type="paragraph" w:customStyle="1" w:styleId="Nagwek13">
    <w:name w:val="Nagłówek1"/>
    <w:basedOn w:val="Normalny3"/>
    <w:rsid w:val="008C7751"/>
    <w:pPr>
      <w:tabs>
        <w:tab w:val="center" w:pos="4536"/>
        <w:tab w:val="right" w:pos="9072"/>
      </w:tabs>
      <w:suppressAutoHyphens w:val="0"/>
      <w:spacing w:line="240" w:lineRule="auto"/>
    </w:pPr>
    <w:rPr>
      <w:lang w:eastAsia="zh-CN"/>
    </w:rPr>
  </w:style>
  <w:style w:type="character" w:customStyle="1" w:styleId="Pogrubienie1">
    <w:name w:val="Pogrubienie1"/>
    <w:rsid w:val="008C7751"/>
    <w:rPr>
      <w:b/>
    </w:rPr>
  </w:style>
  <w:style w:type="character" w:customStyle="1" w:styleId="Hipercze1">
    <w:name w:val="Hiperłącze1"/>
    <w:rsid w:val="008C7751"/>
    <w:rPr>
      <w:color w:val="0000FF"/>
      <w:u w:val="single"/>
    </w:rPr>
  </w:style>
  <w:style w:type="character" w:customStyle="1" w:styleId="Odwoaniedokomentarza1">
    <w:name w:val="Odwołanie do komentarza1"/>
    <w:rsid w:val="008C7751"/>
    <w:rPr>
      <w:sz w:val="16"/>
    </w:rPr>
  </w:style>
  <w:style w:type="character" w:customStyle="1" w:styleId="Absatz-Standardschriftart">
    <w:name w:val="Absatz-Standardschriftart"/>
    <w:basedOn w:val="Domylnaczcionkaakapitu"/>
    <w:rsid w:val="008C7751"/>
  </w:style>
  <w:style w:type="character" w:customStyle="1" w:styleId="Nagwek1Znak1">
    <w:name w:val="Nagłówek 1 Znak1"/>
    <w:rsid w:val="008C7751"/>
    <w:rPr>
      <w:rFonts w:ascii="Verdana" w:eastAsia="Times New Roman" w:hAnsi="Verdana" w:cs="Times New Roman"/>
      <w:b/>
      <w:bCs/>
      <w:sz w:val="24"/>
      <w:szCs w:val="24"/>
    </w:rPr>
  </w:style>
  <w:style w:type="paragraph" w:customStyle="1" w:styleId="08Sygnaturapisma">
    <w:name w:val="@08.Sygnatura_pisma"/>
    <w:basedOn w:val="Normalny"/>
    <w:next w:val="Normalny"/>
    <w:rsid w:val="008C7751"/>
    <w:pPr>
      <w:spacing w:before="180" w:after="120"/>
      <w:jc w:val="both"/>
    </w:pPr>
    <w:rPr>
      <w:sz w:val="16"/>
      <w:szCs w:val="18"/>
    </w:rPr>
  </w:style>
  <w:style w:type="character" w:customStyle="1" w:styleId="dc">
    <w:name w:val="dc"/>
    <w:basedOn w:val="Domylnaczcionkaakapitu"/>
    <w:rsid w:val="008C7751"/>
  </w:style>
  <w:style w:type="character" w:customStyle="1" w:styleId="wx">
    <w:name w:val="wx"/>
    <w:basedOn w:val="Domylnaczcionkaakapitu"/>
    <w:rsid w:val="008C7751"/>
  </w:style>
  <w:style w:type="character" w:customStyle="1" w:styleId="SprawozdanieDSSZnakZnakZnak">
    <w:name w:val="Sprawozdanie DSS Znak Znak Znak"/>
    <w:rsid w:val="008C7751"/>
    <w:rPr>
      <w:rFonts w:ascii="Verdana" w:hAnsi="Verdana"/>
      <w:szCs w:val="24"/>
      <w:lang w:val="pl-PL" w:eastAsia="pl-PL" w:bidi="ar-SA"/>
    </w:rPr>
  </w:style>
  <w:style w:type="paragraph" w:customStyle="1" w:styleId="HTML-wstpniesformatowany2">
    <w:name w:val="HTML - wstępnie sformatowany2"/>
    <w:basedOn w:val="Normalny3"/>
    <w:rsid w:val="008C7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uppressAutoHyphens w:val="0"/>
      <w:spacing w:line="276" w:lineRule="auto"/>
    </w:pPr>
    <w:rPr>
      <w:rFonts w:ascii="Courier New" w:eastAsia="Courier New" w:hAnsi="Courier New"/>
      <w:lang w:eastAsia="zh-CN"/>
    </w:rPr>
  </w:style>
  <w:style w:type="paragraph" w:customStyle="1" w:styleId="Heading11">
    <w:name w:val="Heading 11"/>
    <w:basedOn w:val="Normal1"/>
    <w:next w:val="Normalny"/>
    <w:rsid w:val="008C7751"/>
    <w:pPr>
      <w:keepNext/>
      <w:spacing w:before="240" w:after="60"/>
    </w:pPr>
    <w:rPr>
      <w:b/>
      <w:bCs/>
      <w:sz w:val="32"/>
      <w:szCs w:val="32"/>
    </w:rPr>
  </w:style>
  <w:style w:type="paragraph" w:customStyle="1" w:styleId="Heading41">
    <w:name w:val="Heading 41"/>
    <w:basedOn w:val="Normal1"/>
    <w:next w:val="Normalny"/>
    <w:rsid w:val="008C7751"/>
    <w:pPr>
      <w:keepNext/>
      <w:keepLines/>
      <w:spacing w:before="200"/>
    </w:pPr>
    <w:rPr>
      <w:rFonts w:ascii="Cambria" w:hAnsi="Cambria" w:cs="Cambria"/>
      <w:b/>
      <w:bCs/>
      <w:i/>
      <w:iCs/>
    </w:rPr>
  </w:style>
  <w:style w:type="paragraph" w:customStyle="1" w:styleId="Akapitzlist3">
    <w:name w:val="Akapit z listą3"/>
    <w:basedOn w:val="Normalny"/>
    <w:rsid w:val="008C7751"/>
    <w:pPr>
      <w:ind w:left="720"/>
    </w:pPr>
    <w:rPr>
      <w:rFonts w:eastAsia="MS Mincho" w:cs="Calibri"/>
    </w:rPr>
  </w:style>
  <w:style w:type="paragraph" w:customStyle="1" w:styleId="Bezodstpw2">
    <w:name w:val="Bez odstępów2"/>
    <w:rsid w:val="008C7751"/>
    <w:pPr>
      <w:spacing w:after="200" w:line="276" w:lineRule="auto"/>
    </w:pPr>
    <w:rPr>
      <w:rFonts w:ascii="Calibri" w:eastAsia="Times New Roman" w:hAnsi="Calibri" w:cs="Calibri"/>
      <w:sz w:val="22"/>
      <w:szCs w:val="22"/>
      <w:lang w:eastAsia="en-US"/>
    </w:rPr>
  </w:style>
  <w:style w:type="character" w:customStyle="1" w:styleId="ZnakZnak15">
    <w:name w:val="Znak Znak15"/>
    <w:locked/>
    <w:rsid w:val="008C7751"/>
    <w:rPr>
      <w:rFonts w:ascii="Verdana" w:hAnsi="Verdana" w:cs="Times New Roman"/>
      <w:bCs/>
      <w:sz w:val="22"/>
      <w:szCs w:val="22"/>
      <w:lang w:val="pl-PL" w:eastAsia="en-US" w:bidi="ar-SA"/>
    </w:rPr>
  </w:style>
  <w:style w:type="character" w:customStyle="1" w:styleId="ZnakZnakZnak1">
    <w:name w:val="Znak Znak Znak1"/>
    <w:locked/>
    <w:rsid w:val="008C7751"/>
    <w:rPr>
      <w:rFonts w:eastAsia="Times New Roman" w:cs="Times New Roman"/>
      <w:sz w:val="24"/>
      <w:szCs w:val="24"/>
      <w:lang w:val="pl-PL" w:eastAsia="pl-PL" w:bidi="ar-SA"/>
    </w:rPr>
  </w:style>
  <w:style w:type="character" w:customStyle="1" w:styleId="ZnakZnak14">
    <w:name w:val="Znak Znak14"/>
    <w:locked/>
    <w:rsid w:val="008C7751"/>
    <w:rPr>
      <w:rFonts w:ascii="Tahoma" w:hAnsi="Tahoma" w:cs="Tahoma"/>
      <w:sz w:val="16"/>
      <w:szCs w:val="16"/>
      <w:lang w:val="pl-PL" w:eastAsia="en-US" w:bidi="ar-SA"/>
    </w:rPr>
  </w:style>
  <w:style w:type="character" w:customStyle="1" w:styleId="ZnakZnak13">
    <w:name w:val="Znak Znak13"/>
    <w:locked/>
    <w:rsid w:val="008C7751"/>
    <w:rPr>
      <w:rFonts w:ascii="Calibri" w:hAnsi="Calibri" w:cs="Times New Roman"/>
      <w:sz w:val="22"/>
      <w:szCs w:val="22"/>
      <w:lang w:val="pl-PL" w:eastAsia="en-US" w:bidi="ar-SA"/>
    </w:rPr>
  </w:style>
  <w:style w:type="character" w:customStyle="1" w:styleId="ZnakZnak11">
    <w:name w:val="Znak Znak11"/>
    <w:locked/>
    <w:rsid w:val="008C7751"/>
    <w:rPr>
      <w:rFonts w:eastAsia="Times New Roman" w:cs="Times New Roman"/>
      <w:b/>
      <w:bCs/>
      <w:lang w:val="pl-PL" w:eastAsia="pl-PL" w:bidi="ar-SA"/>
    </w:rPr>
  </w:style>
  <w:style w:type="character" w:customStyle="1" w:styleId="ZnakZnak8">
    <w:name w:val="Znak Znak8"/>
    <w:locked/>
    <w:rsid w:val="008C7751"/>
    <w:rPr>
      <w:rFonts w:eastAsia="Times New Roman" w:cs="Times New Roman"/>
      <w:sz w:val="16"/>
      <w:szCs w:val="16"/>
      <w:lang w:val="pl-PL" w:eastAsia="pl-PL" w:bidi="ar-SA"/>
    </w:rPr>
  </w:style>
  <w:style w:type="paragraph" w:customStyle="1" w:styleId="Akapitzlist2">
    <w:name w:val="Akapit z listą2"/>
    <w:basedOn w:val="Normalny"/>
    <w:rsid w:val="008C7751"/>
    <w:pPr>
      <w:ind w:left="720"/>
    </w:pPr>
  </w:style>
  <w:style w:type="paragraph" w:customStyle="1" w:styleId="Normal2">
    <w:name w:val="Normal2"/>
    <w:basedOn w:val="Normalny"/>
    <w:rsid w:val="008C7751"/>
    <w:pPr>
      <w:widowControl w:val="0"/>
      <w:suppressAutoHyphens/>
      <w:spacing w:line="100" w:lineRule="atLeast"/>
    </w:pPr>
    <w:rPr>
      <w:rFonts w:eastAsia="MS Mincho" w:cs="Arial"/>
      <w:szCs w:val="20"/>
      <w:lang w:val="zh-CN" w:eastAsia="ar-SA"/>
    </w:rPr>
  </w:style>
  <w:style w:type="paragraph" w:customStyle="1" w:styleId="BalloonText1">
    <w:name w:val="Balloon Text1"/>
    <w:basedOn w:val="Normalny"/>
    <w:rsid w:val="008C7751"/>
    <w:rPr>
      <w:rFonts w:ascii="Tahoma" w:eastAsia="MS Mincho" w:hAnsi="Tahoma" w:cs="Tahoma"/>
      <w:sz w:val="16"/>
      <w:szCs w:val="16"/>
    </w:rPr>
  </w:style>
  <w:style w:type="character" w:customStyle="1" w:styleId="DefaultParagraphFont1">
    <w:name w:val="Default Paragraph Font1"/>
    <w:rsid w:val="008C7751"/>
  </w:style>
  <w:style w:type="paragraph" w:customStyle="1" w:styleId="BodyText21">
    <w:name w:val="Body Text 21"/>
    <w:basedOn w:val="Normalny"/>
    <w:rsid w:val="008C7751"/>
    <w:pPr>
      <w:widowControl w:val="0"/>
      <w:overflowPunct w:val="0"/>
      <w:autoSpaceDE w:val="0"/>
      <w:autoSpaceDN w:val="0"/>
      <w:adjustRightInd w:val="0"/>
      <w:jc w:val="both"/>
      <w:textAlignment w:val="baseline"/>
    </w:pPr>
    <w:rPr>
      <w:rFonts w:eastAsia="MS Mincho"/>
      <w:szCs w:val="20"/>
    </w:rPr>
  </w:style>
  <w:style w:type="character" w:customStyle="1" w:styleId="Wyrnieniedelikatne1">
    <w:name w:val="Wyróżnienie delikatne1"/>
    <w:rsid w:val="008C7751"/>
    <w:rPr>
      <w:rFonts w:ascii="Verdana" w:hAnsi="Verdana"/>
      <w:b/>
      <w:color w:val="auto"/>
      <w:sz w:val="22"/>
      <w:lang w:val="pl-PL"/>
    </w:rPr>
  </w:style>
  <w:style w:type="paragraph" w:customStyle="1" w:styleId="Nagwekspisutreci1">
    <w:name w:val="Nagłówek spisu treści1"/>
    <w:basedOn w:val="Nagwek1"/>
    <w:next w:val="Normalny"/>
    <w:rsid w:val="008C7751"/>
    <w:pPr>
      <w:spacing w:before="480"/>
      <w:outlineLvl w:val="9"/>
    </w:pPr>
    <w:rPr>
      <w:rFonts w:ascii="Cambria" w:eastAsia="MS Mincho" w:hAnsi="Cambria"/>
      <w:b w:val="0"/>
      <w:i/>
      <w:color w:val="365F91"/>
    </w:rPr>
  </w:style>
  <w:style w:type="character" w:customStyle="1" w:styleId="Wyrnienieintensywne1">
    <w:name w:val="Wyróżnienie intensywne1"/>
    <w:rsid w:val="008C7751"/>
    <w:rPr>
      <w:b/>
      <w:i/>
      <w:color w:val="4F81BD"/>
    </w:rPr>
  </w:style>
  <w:style w:type="paragraph" w:customStyle="1" w:styleId="Title1">
    <w:name w:val="Title1"/>
    <w:basedOn w:val="Normal2"/>
    <w:rsid w:val="008C7751"/>
    <w:pPr>
      <w:suppressAutoHyphens w:val="0"/>
      <w:spacing w:line="240" w:lineRule="auto"/>
      <w:jc w:val="center"/>
    </w:pPr>
    <w:rPr>
      <w:rFonts w:eastAsia="Times New Roman"/>
      <w:sz w:val="32"/>
      <w:lang w:eastAsia="zh-CN"/>
    </w:rPr>
  </w:style>
  <w:style w:type="paragraph" w:customStyle="1" w:styleId="BodyText1">
    <w:name w:val="Body Text1"/>
    <w:basedOn w:val="Normal2"/>
    <w:rsid w:val="008C7751"/>
    <w:pPr>
      <w:suppressAutoHyphens w:val="0"/>
      <w:spacing w:after="120" w:line="240" w:lineRule="auto"/>
    </w:pPr>
    <w:rPr>
      <w:lang w:eastAsia="zh-CN"/>
    </w:rPr>
  </w:style>
  <w:style w:type="paragraph" w:customStyle="1" w:styleId="BodyText31">
    <w:name w:val="Body Text 31"/>
    <w:basedOn w:val="Normal2"/>
    <w:rsid w:val="008C7751"/>
    <w:pPr>
      <w:suppressAutoHyphens w:val="0"/>
      <w:spacing w:line="240" w:lineRule="auto"/>
      <w:jc w:val="both"/>
    </w:pPr>
    <w:rPr>
      <w:rFonts w:eastAsia="Times New Roman"/>
      <w:lang w:eastAsia="zh-CN"/>
    </w:rPr>
  </w:style>
  <w:style w:type="paragraph" w:customStyle="1" w:styleId="HTMLPreformatted1">
    <w:name w:val="HTML Preformatted1"/>
    <w:basedOn w:val="Normal2"/>
    <w:rsid w:val="008C7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uppressAutoHyphens w:val="0"/>
      <w:spacing w:line="240" w:lineRule="auto"/>
    </w:pPr>
    <w:rPr>
      <w:rFonts w:ascii="Courier New" w:eastAsia="Times New Roman" w:hAnsi="Courier New"/>
      <w:lang w:eastAsia="zh-CN"/>
    </w:rPr>
  </w:style>
  <w:style w:type="paragraph" w:customStyle="1" w:styleId="NormalWeb1">
    <w:name w:val="Normal (Web)1"/>
    <w:basedOn w:val="Normal2"/>
    <w:rsid w:val="008C7751"/>
    <w:pPr>
      <w:suppressAutoHyphens w:val="0"/>
      <w:spacing w:before="100" w:after="100" w:line="240" w:lineRule="auto"/>
    </w:pPr>
    <w:rPr>
      <w:lang w:eastAsia="zh-CN"/>
    </w:rPr>
  </w:style>
  <w:style w:type="character" w:customStyle="1" w:styleId="Strong1">
    <w:name w:val="Strong1"/>
    <w:rsid w:val="008C7751"/>
    <w:rPr>
      <w:rFonts w:cs="Times New Roman"/>
      <w:b/>
    </w:rPr>
  </w:style>
  <w:style w:type="character" w:customStyle="1" w:styleId="Hyperlink1">
    <w:name w:val="Hyperlink1"/>
    <w:rsid w:val="008C7751"/>
    <w:rPr>
      <w:rFonts w:cs="Times New Roman"/>
      <w:color w:val="0000FF"/>
      <w:u w:val="single"/>
    </w:rPr>
  </w:style>
  <w:style w:type="paragraph" w:customStyle="1" w:styleId="Nagwek120">
    <w:name w:val="Nagłówek 12"/>
    <w:basedOn w:val="Normalny3"/>
    <w:next w:val="Normalny"/>
    <w:rsid w:val="008C7751"/>
    <w:pPr>
      <w:keepNext/>
      <w:suppressAutoHyphens w:val="0"/>
      <w:spacing w:before="240" w:after="60" w:line="276" w:lineRule="auto"/>
    </w:pPr>
    <w:rPr>
      <w:rFonts w:ascii="Arial" w:eastAsia="Arial" w:hAnsi="Arial"/>
      <w:b/>
      <w:sz w:val="32"/>
      <w:lang w:eastAsia="zh-CN"/>
    </w:rPr>
  </w:style>
  <w:style w:type="paragraph" w:customStyle="1" w:styleId="ListParagraph1">
    <w:name w:val="List Paragraph1"/>
    <w:basedOn w:val="Normalny"/>
    <w:rsid w:val="008C7751"/>
    <w:pPr>
      <w:ind w:left="720"/>
    </w:pPr>
    <w:rPr>
      <w:rFonts w:cs="Calibri"/>
    </w:rPr>
  </w:style>
  <w:style w:type="paragraph" w:customStyle="1" w:styleId="16Sporzadzil">
    <w:name w:val="@16.Sporzadzil"/>
    <w:basedOn w:val="Normalny"/>
    <w:rsid w:val="008C7751"/>
    <w:pPr>
      <w:jc w:val="both"/>
    </w:pPr>
    <w:rPr>
      <w:rFonts w:eastAsia="MS Mincho" w:cs="Verdana"/>
      <w:sz w:val="16"/>
      <w:szCs w:val="16"/>
    </w:rPr>
  </w:style>
  <w:style w:type="character" w:customStyle="1" w:styleId="ZnakZnak50">
    <w:name w:val="Znak Znak50"/>
    <w:locked/>
    <w:rsid w:val="008C7751"/>
    <w:rPr>
      <w:rFonts w:ascii="Verdana" w:eastAsia="Calibri" w:hAnsi="Verdana" w:cs="Arial"/>
      <w:b/>
      <w:bCs/>
      <w:color w:val="0000FF"/>
      <w:sz w:val="16"/>
      <w:szCs w:val="16"/>
      <w:lang w:val="pl-PL" w:eastAsia="pl-PL" w:bidi="ar-SA"/>
    </w:rPr>
  </w:style>
  <w:style w:type="character" w:customStyle="1" w:styleId="ZnakZnak49">
    <w:name w:val="Znak Znak49"/>
    <w:locked/>
    <w:rsid w:val="008C7751"/>
    <w:rPr>
      <w:rFonts w:ascii="Cambria" w:eastAsia="Calibri" w:hAnsi="Cambria"/>
      <w:b/>
      <w:bCs/>
      <w:color w:val="4F81BD"/>
      <w:sz w:val="26"/>
      <w:szCs w:val="26"/>
      <w:lang w:val="pl-PL" w:eastAsia="en-US" w:bidi="ar-SA"/>
    </w:rPr>
  </w:style>
  <w:style w:type="character" w:customStyle="1" w:styleId="ZnakZnak48">
    <w:name w:val="Znak Znak48"/>
    <w:locked/>
    <w:rsid w:val="008C7751"/>
    <w:rPr>
      <w:rFonts w:ascii="Verdana" w:eastAsia="Calibri" w:hAnsi="Verdana"/>
      <w:b/>
      <w:bCs/>
      <w:color w:val="FF0000"/>
      <w:sz w:val="16"/>
      <w:szCs w:val="16"/>
      <w:lang w:val="pl-PL" w:eastAsia="pl-PL" w:bidi="ar-SA"/>
    </w:rPr>
  </w:style>
  <w:style w:type="character" w:customStyle="1" w:styleId="ZnakZnak47">
    <w:name w:val="Znak Znak47"/>
    <w:locked/>
    <w:rsid w:val="008C7751"/>
    <w:rPr>
      <w:rFonts w:ascii="Verdana" w:eastAsia="Calibri" w:hAnsi="Verdana"/>
      <w:b/>
      <w:bCs/>
      <w:sz w:val="18"/>
      <w:szCs w:val="16"/>
      <w:lang w:val="pl-PL" w:eastAsia="pl-PL" w:bidi="ar-SA"/>
    </w:rPr>
  </w:style>
  <w:style w:type="character" w:customStyle="1" w:styleId="ZnakZnak46">
    <w:name w:val="Znak Znak46"/>
    <w:locked/>
    <w:rsid w:val="008C7751"/>
    <w:rPr>
      <w:rFonts w:ascii="Cambria" w:eastAsia="Calibri" w:hAnsi="Cambria"/>
      <w:color w:val="243F60"/>
      <w:sz w:val="22"/>
      <w:szCs w:val="22"/>
      <w:lang w:val="pl-PL" w:eastAsia="en-US" w:bidi="ar-SA"/>
    </w:rPr>
  </w:style>
  <w:style w:type="character" w:customStyle="1" w:styleId="ZnakZnak45">
    <w:name w:val="Znak Znak45"/>
    <w:locked/>
    <w:rsid w:val="008C7751"/>
    <w:rPr>
      <w:rFonts w:ascii="Verdana" w:eastAsia="Calibri" w:hAnsi="Verdana"/>
      <w:b/>
      <w:bCs/>
      <w:color w:val="FF0000"/>
      <w:lang w:val="pl-PL" w:eastAsia="pl-PL" w:bidi="ar-SA"/>
    </w:rPr>
  </w:style>
  <w:style w:type="character" w:customStyle="1" w:styleId="ZnakZnak44">
    <w:name w:val="Znak Znak44"/>
    <w:locked/>
    <w:rsid w:val="008C7751"/>
    <w:rPr>
      <w:rFonts w:eastAsia="Calibri"/>
      <w:b/>
      <w:bCs/>
      <w:sz w:val="24"/>
      <w:szCs w:val="24"/>
      <w:u w:val="single"/>
      <w:lang w:val="pl-PL" w:eastAsia="pl-PL" w:bidi="ar-SA"/>
    </w:rPr>
  </w:style>
  <w:style w:type="character" w:customStyle="1" w:styleId="ZnakZnak43">
    <w:name w:val="Znak Znak43"/>
    <w:locked/>
    <w:rsid w:val="008C7751"/>
    <w:rPr>
      <w:rFonts w:ascii="Cambria" w:eastAsia="Calibri" w:hAnsi="Cambria"/>
      <w:color w:val="404040"/>
      <w:lang w:val="pl-PL" w:eastAsia="en-US" w:bidi="ar-SA"/>
    </w:rPr>
  </w:style>
  <w:style w:type="character" w:customStyle="1" w:styleId="ZnakZnak42">
    <w:name w:val="Znak Znak42"/>
    <w:locked/>
    <w:rsid w:val="008C7751"/>
    <w:rPr>
      <w:rFonts w:ascii="Cambria" w:eastAsia="Calibri" w:hAnsi="Cambria"/>
      <w:i/>
      <w:iCs/>
      <w:color w:val="404040"/>
      <w:lang w:val="pl-PL" w:eastAsia="en-US" w:bidi="ar-SA"/>
    </w:rPr>
  </w:style>
  <w:style w:type="character" w:customStyle="1" w:styleId="ZnakZnak40">
    <w:name w:val="Znak Znak40"/>
    <w:locked/>
    <w:rsid w:val="008C7751"/>
    <w:rPr>
      <w:rFonts w:ascii="Tahoma" w:hAnsi="Tahoma" w:cs="Tahoma"/>
      <w:sz w:val="16"/>
      <w:szCs w:val="16"/>
      <w:lang w:val="pl-PL" w:eastAsia="en-US" w:bidi="ar-SA"/>
    </w:rPr>
  </w:style>
  <w:style w:type="character" w:customStyle="1" w:styleId="ZnakZnak39">
    <w:name w:val="Znak Znak39"/>
    <w:locked/>
    <w:rsid w:val="008C7751"/>
    <w:rPr>
      <w:rFonts w:ascii="Calibri" w:hAnsi="Calibri"/>
      <w:sz w:val="22"/>
      <w:szCs w:val="22"/>
      <w:lang w:val="pl-PL" w:eastAsia="en-US" w:bidi="ar-SA"/>
    </w:rPr>
  </w:style>
  <w:style w:type="character" w:customStyle="1" w:styleId="ZnakZnak38">
    <w:name w:val="Znak Znak38"/>
    <w:locked/>
    <w:rsid w:val="008C7751"/>
    <w:rPr>
      <w:rFonts w:ascii="Calibri" w:hAnsi="Calibri"/>
      <w:sz w:val="22"/>
      <w:szCs w:val="22"/>
      <w:lang w:val="pl-PL" w:eastAsia="en-US" w:bidi="ar-SA"/>
    </w:rPr>
  </w:style>
  <w:style w:type="character" w:customStyle="1" w:styleId="ZnakZnak37">
    <w:name w:val="Znak Znak37"/>
    <w:locked/>
    <w:rsid w:val="008C7751"/>
    <w:rPr>
      <w:rFonts w:eastAsia="Calibri"/>
      <w:b/>
      <w:bCs/>
      <w:lang w:val="pl-PL" w:eastAsia="pl-PL" w:bidi="ar-SA"/>
    </w:rPr>
  </w:style>
  <w:style w:type="character" w:customStyle="1" w:styleId="ZnakZnak36">
    <w:name w:val="Znak Znak36"/>
    <w:locked/>
    <w:rsid w:val="008C7751"/>
    <w:rPr>
      <w:rFonts w:ascii="Verdana" w:eastAsia="Calibri" w:hAnsi="Verdana"/>
      <w:szCs w:val="24"/>
      <w:lang w:val="pl-PL" w:eastAsia="pl-PL" w:bidi="ar-SA"/>
    </w:rPr>
  </w:style>
  <w:style w:type="character" w:customStyle="1" w:styleId="ZnakZnak35">
    <w:name w:val="Znak Znak35"/>
    <w:locked/>
    <w:rsid w:val="008C7751"/>
    <w:rPr>
      <w:rFonts w:ascii="Verdana" w:eastAsia="Calibri" w:hAnsi="Verdana"/>
      <w:b/>
      <w:bCs/>
      <w:color w:val="1F497D"/>
      <w:sz w:val="72"/>
      <w:szCs w:val="72"/>
      <w:lang w:val="pl-PL" w:eastAsia="pl-PL" w:bidi="ar-SA"/>
    </w:rPr>
  </w:style>
  <w:style w:type="character" w:customStyle="1" w:styleId="ZnakZnak34">
    <w:name w:val="Znak Znak34"/>
    <w:locked/>
    <w:rsid w:val="008C7751"/>
    <w:rPr>
      <w:rFonts w:eastAsia="Calibri"/>
      <w:sz w:val="16"/>
      <w:szCs w:val="16"/>
      <w:lang w:val="pl-PL" w:eastAsia="pl-PL" w:bidi="ar-SA"/>
    </w:rPr>
  </w:style>
  <w:style w:type="character" w:customStyle="1" w:styleId="ZnakZnak33">
    <w:name w:val="Znak Znak33"/>
    <w:locked/>
    <w:rsid w:val="008C7751"/>
    <w:rPr>
      <w:rFonts w:ascii="Arial Unicode MS" w:eastAsia="Arial Unicode MS" w:hAnsi="Arial Unicode MS" w:cs="Arial Unicode MS"/>
      <w:lang w:val="pl-PL" w:eastAsia="pl-PL" w:bidi="ar-SA"/>
    </w:rPr>
  </w:style>
  <w:style w:type="character" w:customStyle="1" w:styleId="ZnakZnak32">
    <w:name w:val="Znak Znak32"/>
    <w:locked/>
    <w:rsid w:val="008C7751"/>
    <w:rPr>
      <w:rFonts w:eastAsia="Calibri"/>
      <w:sz w:val="24"/>
      <w:szCs w:val="24"/>
      <w:lang w:val="pl-PL" w:eastAsia="pl-PL" w:bidi="ar-SA"/>
    </w:rPr>
  </w:style>
  <w:style w:type="character" w:customStyle="1" w:styleId="ZnakZnak31">
    <w:name w:val="Znak Znak31"/>
    <w:locked/>
    <w:rsid w:val="008C7751"/>
    <w:rPr>
      <w:rFonts w:eastAsia="Calibri"/>
      <w:sz w:val="36"/>
      <w:szCs w:val="24"/>
      <w:lang w:val="pl-PL" w:eastAsia="pl-PL" w:bidi="ar-SA"/>
    </w:rPr>
  </w:style>
  <w:style w:type="character" w:customStyle="1" w:styleId="ZnakZnak30">
    <w:name w:val="Znak Znak30"/>
    <w:locked/>
    <w:rsid w:val="008C7751"/>
    <w:rPr>
      <w:rFonts w:ascii="Verdana" w:eastAsia="Calibri" w:hAnsi="Verdana"/>
      <w:b/>
      <w:bCs/>
      <w:lang w:val="pl-PL" w:eastAsia="pl-PL" w:bidi="ar-SA"/>
    </w:rPr>
  </w:style>
  <w:style w:type="character" w:customStyle="1" w:styleId="ZnakZnak27">
    <w:name w:val="Znak Znak27"/>
    <w:locked/>
    <w:rsid w:val="008C7751"/>
    <w:rPr>
      <w:rFonts w:ascii="Verdana" w:eastAsia="Calibri" w:hAnsi="Verdana" w:cs="Tahoma"/>
      <w:i/>
      <w:iCs/>
      <w:sz w:val="24"/>
      <w:szCs w:val="24"/>
      <w:lang w:val="pl-PL" w:eastAsia="ar-SA" w:bidi="ar-SA"/>
    </w:rPr>
  </w:style>
  <w:style w:type="character" w:customStyle="1" w:styleId="PlainTextChar">
    <w:name w:val="Plain Text Char"/>
    <w:locked/>
    <w:rsid w:val="008C7751"/>
    <w:rPr>
      <w:rFonts w:ascii="Courier New" w:hAnsi="Courier New"/>
    </w:rPr>
  </w:style>
  <w:style w:type="character" w:customStyle="1" w:styleId="TekstpodstawowywcityZnak1">
    <w:name w:val="Tekst podstawowy wcięty Znak1"/>
    <w:locked/>
    <w:rsid w:val="008C7751"/>
    <w:rPr>
      <w:rFonts w:ascii="Calibri" w:hAnsi="Calibri"/>
      <w:sz w:val="22"/>
      <w:szCs w:val="22"/>
      <w:lang w:val="pl-PL" w:eastAsia="en-US" w:bidi="ar-SA"/>
    </w:rPr>
  </w:style>
  <w:style w:type="character" w:customStyle="1" w:styleId="StopkaZnak1">
    <w:name w:val="Stopka Znak1"/>
    <w:locked/>
    <w:rsid w:val="008C7751"/>
    <w:rPr>
      <w:rFonts w:ascii="Calibri" w:hAnsi="Calibri"/>
      <w:sz w:val="22"/>
      <w:szCs w:val="22"/>
      <w:lang w:val="pl-PL" w:eastAsia="en-US" w:bidi="ar-SA"/>
    </w:rPr>
  </w:style>
  <w:style w:type="character" w:customStyle="1" w:styleId="TytuZnak1">
    <w:name w:val="Tytuł Znak1"/>
    <w:locked/>
    <w:rsid w:val="008C7751"/>
    <w:rPr>
      <w:rFonts w:eastAsia="Calibri"/>
      <w:sz w:val="36"/>
      <w:szCs w:val="24"/>
      <w:lang w:val="pl-PL" w:eastAsia="pl-PL" w:bidi="ar-SA"/>
    </w:rPr>
  </w:style>
  <w:style w:type="paragraph" w:customStyle="1" w:styleId="m7549096723915389020gmail-m-5584485856410954511m-7813913183399645522sprawozdanie">
    <w:name w:val="m_7549096723915389020gmail-m_-5584485856410954511m_-7813913183399645522sprawozdanie"/>
    <w:basedOn w:val="Normalny"/>
    <w:rsid w:val="008C7751"/>
    <w:pPr>
      <w:spacing w:before="100" w:beforeAutospacing="1" w:after="100" w:afterAutospacing="1"/>
    </w:pPr>
  </w:style>
  <w:style w:type="character" w:customStyle="1" w:styleId="TekstpodstawowywcityZnak2">
    <w:name w:val="Tekst podstawowy wcięty Znak2"/>
    <w:locked/>
    <w:rsid w:val="008C7751"/>
    <w:rPr>
      <w:rFonts w:ascii="Calibri" w:eastAsia="Times New Roman" w:hAnsi="Calibri"/>
      <w:sz w:val="22"/>
      <w:szCs w:val="22"/>
      <w:lang w:eastAsia="en-US"/>
    </w:rPr>
  </w:style>
  <w:style w:type="paragraph" w:customStyle="1" w:styleId="Akapitzlist4">
    <w:name w:val="Akapit z listą4"/>
    <w:basedOn w:val="Normalny"/>
    <w:rsid w:val="008C7751"/>
    <w:pPr>
      <w:ind w:left="720"/>
    </w:pPr>
  </w:style>
  <w:style w:type="paragraph" w:customStyle="1" w:styleId="Akapitzlist13">
    <w:name w:val="Akapit z listą13"/>
    <w:basedOn w:val="Normalny"/>
    <w:rsid w:val="008C7751"/>
    <w:pPr>
      <w:ind w:left="720"/>
    </w:pPr>
    <w:rPr>
      <w:rFonts w:cs="Calibri"/>
    </w:rPr>
  </w:style>
  <w:style w:type="character" w:customStyle="1" w:styleId="FontStyle22">
    <w:name w:val="Font Style22"/>
    <w:rsid w:val="008C7751"/>
    <w:rPr>
      <w:rFonts w:ascii="Segoe UI" w:hAnsi="Segoe UI" w:cs="Segoe UI"/>
      <w:spacing w:val="-10"/>
      <w:sz w:val="32"/>
    </w:rPr>
  </w:style>
  <w:style w:type="character" w:customStyle="1" w:styleId="divider">
    <w:name w:val="divider"/>
    <w:basedOn w:val="Domylnaczcionkaakapitu"/>
    <w:rsid w:val="008C7751"/>
  </w:style>
  <w:style w:type="character" w:customStyle="1" w:styleId="fbcomnum">
    <w:name w:val="fb_com_num"/>
    <w:basedOn w:val="Domylnaczcionkaakapitu"/>
    <w:rsid w:val="008C7751"/>
  </w:style>
  <w:style w:type="character" w:customStyle="1" w:styleId="fbcommentscount">
    <w:name w:val="fb_comments_count"/>
    <w:basedOn w:val="Domylnaczcionkaakapitu"/>
    <w:rsid w:val="008C7751"/>
  </w:style>
  <w:style w:type="paragraph" w:customStyle="1" w:styleId="Akapitzlist14">
    <w:name w:val="Akapit z listą14"/>
    <w:basedOn w:val="Normalny"/>
    <w:rsid w:val="008C7751"/>
    <w:pPr>
      <w:ind w:left="720"/>
    </w:pPr>
    <w:rPr>
      <w:rFonts w:cs="Calibri"/>
    </w:rPr>
  </w:style>
  <w:style w:type="paragraph" w:styleId="Spistreci2">
    <w:name w:val="toc 2"/>
    <w:basedOn w:val="Normalny"/>
    <w:next w:val="Normalny"/>
    <w:autoRedefine/>
    <w:uiPriority w:val="39"/>
    <w:unhideWhenUsed/>
    <w:rsid w:val="008C7751"/>
    <w:pPr>
      <w:tabs>
        <w:tab w:val="right" w:leader="dot" w:pos="9060"/>
      </w:tabs>
      <w:ind w:left="240"/>
    </w:pPr>
  </w:style>
  <w:style w:type="paragraph" w:styleId="Spistreci1">
    <w:name w:val="toc 1"/>
    <w:basedOn w:val="Normalny"/>
    <w:next w:val="Normalny"/>
    <w:link w:val="Spistreci1Znak"/>
    <w:autoRedefine/>
    <w:uiPriority w:val="39"/>
    <w:unhideWhenUsed/>
    <w:rsid w:val="008C7751"/>
    <w:pPr>
      <w:tabs>
        <w:tab w:val="left" w:pos="426"/>
        <w:tab w:val="left" w:pos="567"/>
        <w:tab w:val="right" w:leader="dot" w:pos="9060"/>
      </w:tabs>
    </w:pPr>
  </w:style>
  <w:style w:type="character" w:customStyle="1" w:styleId="Spistreci1Znak">
    <w:name w:val="Spis treści 1 Znak"/>
    <w:basedOn w:val="BZM1Znak"/>
    <w:link w:val="Spistreci1"/>
    <w:uiPriority w:val="39"/>
    <w:rsid w:val="008C7751"/>
    <w:rPr>
      <w:rFonts w:eastAsia="Times New Roman"/>
      <w:szCs w:val="22"/>
    </w:rPr>
  </w:style>
  <w:style w:type="character" w:customStyle="1" w:styleId="BZM1Znak">
    <w:name w:val="BZM_1 Znak"/>
    <w:basedOn w:val="Nagwek1Znak"/>
    <w:link w:val="BZM1"/>
    <w:rsid w:val="008C7751"/>
    <w:rPr>
      <w:b/>
      <w:bCs/>
      <w:sz w:val="22"/>
    </w:rPr>
  </w:style>
  <w:style w:type="paragraph" w:customStyle="1" w:styleId="BZM1">
    <w:name w:val="BZM_1"/>
    <w:basedOn w:val="Nagwek1"/>
    <w:next w:val="Normalny"/>
    <w:link w:val="BZM1Znak"/>
    <w:rsid w:val="008C7751"/>
    <w:pPr>
      <w:numPr>
        <w:numId w:val="119"/>
      </w:numPr>
      <w:spacing w:before="0"/>
    </w:pPr>
    <w:rPr>
      <w:sz w:val="22"/>
    </w:rPr>
  </w:style>
  <w:style w:type="paragraph" w:styleId="Spistreci3">
    <w:name w:val="toc 3"/>
    <w:basedOn w:val="Normalny"/>
    <w:next w:val="Normalny"/>
    <w:autoRedefine/>
    <w:uiPriority w:val="39"/>
    <w:unhideWhenUsed/>
    <w:rsid w:val="008C7751"/>
    <w:pPr>
      <w:spacing w:after="100"/>
      <w:ind w:left="440"/>
    </w:pPr>
  </w:style>
  <w:style w:type="paragraph" w:styleId="Spistreci6">
    <w:name w:val="toc 6"/>
    <w:basedOn w:val="Normalny"/>
    <w:next w:val="Normalny"/>
    <w:autoRedefine/>
    <w:uiPriority w:val="39"/>
    <w:unhideWhenUsed/>
    <w:rsid w:val="008C7751"/>
    <w:pPr>
      <w:tabs>
        <w:tab w:val="left" w:pos="851"/>
        <w:tab w:val="right" w:leader="dot" w:pos="9060"/>
      </w:tabs>
      <w:spacing w:line="360" w:lineRule="auto"/>
      <w:ind w:left="567"/>
    </w:pPr>
  </w:style>
  <w:style w:type="paragraph" w:styleId="Spistreci5">
    <w:name w:val="toc 5"/>
    <w:basedOn w:val="Normalny"/>
    <w:next w:val="Normalny"/>
    <w:autoRedefine/>
    <w:uiPriority w:val="39"/>
    <w:unhideWhenUsed/>
    <w:rsid w:val="008C7751"/>
    <w:pPr>
      <w:ind w:left="960"/>
    </w:pPr>
  </w:style>
  <w:style w:type="character" w:customStyle="1" w:styleId="normaltextrun">
    <w:name w:val="normaltextrun"/>
    <w:rsid w:val="008C7751"/>
  </w:style>
  <w:style w:type="paragraph" w:customStyle="1" w:styleId="paragraph">
    <w:name w:val="paragraph"/>
    <w:basedOn w:val="Normalny"/>
    <w:rsid w:val="008C7751"/>
    <w:pPr>
      <w:spacing w:before="100" w:beforeAutospacing="1" w:after="100" w:afterAutospacing="1"/>
    </w:pPr>
  </w:style>
  <w:style w:type="character" w:customStyle="1" w:styleId="eop">
    <w:name w:val="eop"/>
    <w:rsid w:val="008C7751"/>
  </w:style>
  <w:style w:type="paragraph" w:customStyle="1" w:styleId="02Instytucja2">
    <w:name w:val="@02.Instytucja2"/>
    <w:basedOn w:val="Normalny"/>
    <w:next w:val="Normalny"/>
    <w:rsid w:val="008C7751"/>
    <w:pPr>
      <w:spacing w:after="100"/>
      <w:jc w:val="both"/>
    </w:pPr>
    <w:rPr>
      <w:bCs/>
      <w:szCs w:val="20"/>
    </w:rPr>
  </w:style>
  <w:style w:type="paragraph" w:styleId="Cytat">
    <w:name w:val="Quote"/>
    <w:basedOn w:val="Normalny"/>
    <w:next w:val="Normalny"/>
    <w:link w:val="CytatZnak"/>
    <w:uiPriority w:val="29"/>
    <w:rsid w:val="008C7751"/>
    <w:rPr>
      <w:i/>
      <w:iCs/>
      <w:color w:val="000000"/>
    </w:rPr>
  </w:style>
  <w:style w:type="character" w:customStyle="1" w:styleId="CytatZnak">
    <w:name w:val="Cytat Znak"/>
    <w:basedOn w:val="Domylnaczcionkaakapitu"/>
    <w:link w:val="Cytat"/>
    <w:uiPriority w:val="29"/>
    <w:rsid w:val="008C7751"/>
    <w:rPr>
      <w:rFonts w:ascii="Calibri" w:eastAsia="Times New Roman" w:hAnsi="Calibri"/>
      <w:i/>
      <w:iCs/>
      <w:color w:val="000000"/>
      <w:sz w:val="22"/>
      <w:szCs w:val="22"/>
      <w:lang w:val="en-US" w:eastAsia="en-US" w:bidi="en-US"/>
    </w:rPr>
  </w:style>
  <w:style w:type="paragraph" w:styleId="Cytatintensywny">
    <w:name w:val="Intense Quote"/>
    <w:basedOn w:val="Normalny"/>
    <w:next w:val="Normalny"/>
    <w:link w:val="CytatintensywnyZnak"/>
    <w:uiPriority w:val="30"/>
    <w:rsid w:val="008C7751"/>
    <w:pPr>
      <w:pBdr>
        <w:bottom w:val="single" w:sz="4" w:space="4" w:color="4F81BD"/>
      </w:pBdr>
      <w:spacing w:before="200" w:after="280"/>
      <w:ind w:left="936" w:right="936"/>
    </w:pPr>
    <w:rPr>
      <w:b/>
      <w:bCs/>
      <w:i/>
      <w:iCs/>
      <w:color w:val="4F81BD"/>
    </w:rPr>
  </w:style>
  <w:style w:type="character" w:customStyle="1" w:styleId="CytatintensywnyZnak">
    <w:name w:val="Cytat intensywny Znak"/>
    <w:basedOn w:val="Domylnaczcionkaakapitu"/>
    <w:link w:val="Cytatintensywny"/>
    <w:uiPriority w:val="30"/>
    <w:rsid w:val="008C7751"/>
    <w:rPr>
      <w:rFonts w:ascii="Calibri" w:eastAsia="Times New Roman" w:hAnsi="Calibri"/>
      <w:b/>
      <w:bCs/>
      <w:i/>
      <w:iCs/>
      <w:color w:val="4F81BD"/>
      <w:sz w:val="22"/>
      <w:szCs w:val="22"/>
      <w:lang w:val="en-US" w:eastAsia="en-US" w:bidi="en-US"/>
    </w:rPr>
  </w:style>
  <w:style w:type="character" w:styleId="Odwoaniedelikatne">
    <w:name w:val="Subtle Reference"/>
    <w:uiPriority w:val="31"/>
    <w:rsid w:val="008C7751"/>
    <w:rPr>
      <w:smallCaps/>
      <w:color w:val="C0504D"/>
      <w:u w:val="single"/>
    </w:rPr>
  </w:style>
  <w:style w:type="character" w:styleId="Odwoanieintensywne">
    <w:name w:val="Intense Reference"/>
    <w:uiPriority w:val="32"/>
    <w:rsid w:val="008C7751"/>
    <w:rPr>
      <w:b/>
      <w:bCs/>
      <w:smallCaps/>
      <w:color w:val="C0504D"/>
      <w:spacing w:val="5"/>
      <w:u w:val="single"/>
    </w:rPr>
  </w:style>
  <w:style w:type="character" w:styleId="Tytuksiki">
    <w:name w:val="Book Title"/>
    <w:uiPriority w:val="33"/>
    <w:rsid w:val="008C7751"/>
    <w:rPr>
      <w:b/>
      <w:bCs/>
      <w:smallCaps/>
      <w:spacing w:val="5"/>
    </w:rPr>
  </w:style>
  <w:style w:type="paragraph" w:customStyle="1" w:styleId="01Instytucja1">
    <w:name w:val="@01.Instytucja1"/>
    <w:basedOn w:val="Normalny"/>
    <w:next w:val="Normalny"/>
    <w:rsid w:val="008C7751"/>
    <w:pPr>
      <w:spacing w:after="0" w:line="240" w:lineRule="auto"/>
      <w:jc w:val="both"/>
    </w:pPr>
    <w:rPr>
      <w:bCs/>
      <w:szCs w:val="20"/>
      <w:lang w:val="pl-PL" w:eastAsia="pl-PL" w:bidi="ar-SA"/>
    </w:rPr>
  </w:style>
  <w:style w:type="paragraph" w:customStyle="1" w:styleId="Styl1">
    <w:name w:val="Styl1"/>
    <w:basedOn w:val="Tekstpodstawowy2"/>
    <w:rsid w:val="008C7751"/>
    <w:pPr>
      <w:spacing w:after="0" w:line="240" w:lineRule="auto"/>
    </w:pPr>
    <w:rPr>
      <w:b w:val="0"/>
      <w:color w:val="auto"/>
      <w:sz w:val="24"/>
      <w:szCs w:val="24"/>
      <w:lang w:val="pl-PL" w:eastAsia="pl-PL" w:bidi="ar-SA"/>
    </w:rPr>
  </w:style>
  <w:style w:type="paragraph" w:customStyle="1" w:styleId="font5">
    <w:name w:val="font5"/>
    <w:basedOn w:val="Normalny"/>
    <w:rsid w:val="008C7751"/>
    <w:pPr>
      <w:spacing w:before="100" w:beforeAutospacing="1" w:after="100" w:afterAutospacing="1" w:line="240" w:lineRule="auto"/>
    </w:pPr>
    <w:rPr>
      <w:rFonts w:eastAsia="Arial Unicode MS" w:cs="Arial Unicode MS"/>
      <w:szCs w:val="20"/>
      <w:lang w:val="pl-PL" w:eastAsia="pl-PL" w:bidi="ar-SA"/>
    </w:rPr>
  </w:style>
  <w:style w:type="paragraph" w:customStyle="1" w:styleId="font6">
    <w:name w:val="font6"/>
    <w:basedOn w:val="Normalny"/>
    <w:rsid w:val="008C7751"/>
    <w:pPr>
      <w:spacing w:before="100" w:beforeAutospacing="1" w:after="100" w:afterAutospacing="1" w:line="240" w:lineRule="auto"/>
    </w:pPr>
    <w:rPr>
      <w:rFonts w:eastAsia="Arial Unicode MS" w:cs="Arial Unicode MS"/>
      <w:szCs w:val="20"/>
      <w:lang w:val="pl-PL" w:eastAsia="pl-PL" w:bidi="ar-SA"/>
    </w:rPr>
  </w:style>
  <w:style w:type="paragraph" w:customStyle="1" w:styleId="xl65">
    <w:name w:val="xl65"/>
    <w:basedOn w:val="Normalny"/>
    <w:rsid w:val="008C7751"/>
    <w:pPr>
      <w:spacing w:before="100" w:beforeAutospacing="1" w:after="100" w:afterAutospacing="1" w:line="240" w:lineRule="auto"/>
      <w:textAlignment w:val="center"/>
    </w:pPr>
    <w:rPr>
      <w:rFonts w:eastAsia="Arial Unicode MS" w:cs="Arial Unicode MS"/>
      <w:sz w:val="24"/>
      <w:szCs w:val="24"/>
      <w:lang w:val="pl-PL" w:eastAsia="pl-PL" w:bidi="ar-SA"/>
    </w:rPr>
  </w:style>
  <w:style w:type="paragraph" w:customStyle="1" w:styleId="xl66">
    <w:name w:val="xl66"/>
    <w:basedOn w:val="Normalny"/>
    <w:rsid w:val="008C7751"/>
    <w:pPr>
      <w:spacing w:before="100" w:beforeAutospacing="1" w:after="100" w:afterAutospacing="1" w:line="240" w:lineRule="auto"/>
      <w:jc w:val="center"/>
      <w:textAlignment w:val="center"/>
    </w:pPr>
    <w:rPr>
      <w:rFonts w:eastAsia="Arial Unicode MS" w:cs="Arial Unicode MS"/>
      <w:sz w:val="24"/>
      <w:szCs w:val="24"/>
      <w:lang w:val="pl-PL" w:eastAsia="pl-PL" w:bidi="ar-SA"/>
    </w:rPr>
  </w:style>
  <w:style w:type="paragraph" w:customStyle="1" w:styleId="xl67">
    <w:name w:val="xl67"/>
    <w:basedOn w:val="Normalny"/>
    <w:rsid w:val="008C7751"/>
    <w:pPr>
      <w:spacing w:before="100" w:beforeAutospacing="1" w:after="100" w:afterAutospacing="1" w:line="240" w:lineRule="auto"/>
      <w:jc w:val="center"/>
      <w:textAlignment w:val="center"/>
    </w:pPr>
    <w:rPr>
      <w:rFonts w:eastAsia="Arial Unicode MS" w:cs="Arial Unicode MS"/>
      <w:sz w:val="24"/>
      <w:szCs w:val="24"/>
      <w:lang w:val="pl-PL" w:eastAsia="pl-PL" w:bidi="ar-SA"/>
    </w:rPr>
  </w:style>
  <w:style w:type="paragraph" w:customStyle="1" w:styleId="xl68">
    <w:name w:val="xl68"/>
    <w:basedOn w:val="Normalny"/>
    <w:rsid w:val="008C7751"/>
    <w:pPr>
      <w:pBdr>
        <w:right w:val="single" w:sz="4" w:space="0" w:color="auto"/>
      </w:pBdr>
      <w:spacing w:before="100" w:beforeAutospacing="1" w:after="100" w:afterAutospacing="1" w:line="240" w:lineRule="auto"/>
      <w:jc w:val="center"/>
      <w:textAlignment w:val="center"/>
    </w:pPr>
    <w:rPr>
      <w:rFonts w:eastAsia="Arial Unicode MS" w:cs="Arial Unicode MS"/>
      <w:sz w:val="24"/>
      <w:szCs w:val="24"/>
      <w:lang w:val="pl-PL" w:eastAsia="pl-PL" w:bidi="ar-SA"/>
    </w:rPr>
  </w:style>
  <w:style w:type="paragraph" w:customStyle="1" w:styleId="xl84">
    <w:name w:val="xl84"/>
    <w:basedOn w:val="Normalny"/>
    <w:rsid w:val="008C7751"/>
    <w:pPr>
      <w:pBdr>
        <w:top w:val="single" w:sz="4" w:space="0" w:color="auto"/>
        <w:left w:val="single" w:sz="4" w:space="0" w:color="auto"/>
      </w:pBdr>
      <w:shd w:val="clear" w:color="auto" w:fill="FFFF00"/>
      <w:spacing w:before="100" w:beforeAutospacing="1" w:after="100" w:afterAutospacing="1" w:line="240" w:lineRule="auto"/>
      <w:jc w:val="center"/>
      <w:textAlignment w:val="center"/>
    </w:pPr>
    <w:rPr>
      <w:rFonts w:eastAsia="Arial Unicode MS" w:cs="Arial Unicode MS"/>
      <w:sz w:val="24"/>
      <w:szCs w:val="24"/>
      <w:lang w:val="pl-PL" w:eastAsia="pl-PL" w:bidi="ar-SA"/>
    </w:rPr>
  </w:style>
  <w:style w:type="paragraph" w:customStyle="1" w:styleId="xl85">
    <w:name w:val="xl85"/>
    <w:basedOn w:val="Normalny"/>
    <w:rsid w:val="008C7751"/>
    <w:pPr>
      <w:pBdr>
        <w:left w:val="single" w:sz="4" w:space="0" w:color="auto"/>
      </w:pBdr>
      <w:shd w:val="clear" w:color="auto" w:fill="FFFF00"/>
      <w:spacing w:before="100" w:beforeAutospacing="1" w:after="100" w:afterAutospacing="1" w:line="240" w:lineRule="auto"/>
      <w:jc w:val="center"/>
      <w:textAlignment w:val="center"/>
    </w:pPr>
    <w:rPr>
      <w:rFonts w:eastAsia="Arial Unicode MS" w:cs="Arial Unicode MS"/>
      <w:sz w:val="24"/>
      <w:szCs w:val="24"/>
      <w:lang w:val="pl-PL" w:eastAsia="pl-PL" w:bidi="ar-SA"/>
    </w:rPr>
  </w:style>
  <w:style w:type="paragraph" w:customStyle="1" w:styleId="xl86">
    <w:name w:val="xl86"/>
    <w:basedOn w:val="Normalny"/>
    <w:rsid w:val="008C7751"/>
    <w:pPr>
      <w:pBdr>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eastAsia="Arial Unicode MS" w:cs="Arial Unicode MS"/>
      <w:sz w:val="24"/>
      <w:szCs w:val="24"/>
      <w:lang w:val="pl-PL" w:eastAsia="pl-PL" w:bidi="ar-SA"/>
    </w:rPr>
  </w:style>
  <w:style w:type="paragraph" w:customStyle="1" w:styleId="xl87">
    <w:name w:val="xl87"/>
    <w:basedOn w:val="Normalny"/>
    <w:rsid w:val="008C775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Arial Unicode MS" w:cs="Arial Unicode MS"/>
      <w:b/>
      <w:bCs/>
      <w:sz w:val="24"/>
      <w:szCs w:val="24"/>
      <w:lang w:val="pl-PL" w:eastAsia="pl-PL" w:bidi="ar-SA"/>
    </w:rPr>
  </w:style>
  <w:style w:type="paragraph" w:customStyle="1" w:styleId="xl88">
    <w:name w:val="xl88"/>
    <w:basedOn w:val="Normalny"/>
    <w:rsid w:val="008C775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Arial Unicode MS" w:cs="Arial Unicode MS"/>
      <w:b/>
      <w:bCs/>
      <w:sz w:val="24"/>
      <w:szCs w:val="24"/>
      <w:lang w:val="pl-PL" w:eastAsia="pl-PL" w:bidi="ar-SA"/>
    </w:rPr>
  </w:style>
  <w:style w:type="paragraph" w:customStyle="1" w:styleId="Tekstpodstawowywcity21">
    <w:name w:val="Tekst podstawowy wcięty 21"/>
    <w:basedOn w:val="Normalny"/>
    <w:rsid w:val="008C7751"/>
    <w:pPr>
      <w:suppressAutoHyphens/>
      <w:spacing w:after="0" w:line="240" w:lineRule="auto"/>
      <w:ind w:firstLine="708"/>
      <w:jc w:val="both"/>
    </w:pPr>
    <w:rPr>
      <w:rFonts w:cs="Verdana"/>
      <w:szCs w:val="24"/>
      <w:lang w:val="pl-PL" w:eastAsia="ar-SA" w:bidi="ar-SA"/>
    </w:rPr>
  </w:style>
  <w:style w:type="paragraph" w:customStyle="1" w:styleId="Tekstpodstawowywcity31">
    <w:name w:val="Tekst podstawowy wcięty 31"/>
    <w:basedOn w:val="Normalny"/>
    <w:rsid w:val="008C7751"/>
    <w:pPr>
      <w:suppressAutoHyphens/>
      <w:spacing w:after="0" w:line="240" w:lineRule="auto"/>
      <w:ind w:firstLine="708"/>
      <w:jc w:val="both"/>
    </w:pPr>
    <w:rPr>
      <w:rFonts w:cs="Verdana"/>
      <w:szCs w:val="20"/>
      <w:lang w:val="pl-PL" w:eastAsia="zh-CN" w:bidi="ar-SA"/>
    </w:rPr>
  </w:style>
  <w:style w:type="paragraph" w:customStyle="1" w:styleId="DomylnieLTGliederung1">
    <w:name w:val="Domy?lnie~LT~Gliederung 1"/>
    <w:rsid w:val="008C7751"/>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20"/>
    </w:pPr>
    <w:rPr>
      <w:rFonts w:ascii="Arial" w:eastAsia="Tahoma" w:hAnsi="Arial" w:cs="Liberation Sans"/>
      <w:color w:val="000000"/>
      <w:sz w:val="48"/>
      <w:szCs w:val="24"/>
      <w:lang w:eastAsia="zh-CN" w:bidi="hi-IN"/>
    </w:rPr>
  </w:style>
  <w:style w:type="paragraph" w:customStyle="1" w:styleId="dtn">
    <w:name w:val="dtn"/>
    <w:basedOn w:val="Normalny"/>
    <w:rsid w:val="008C7751"/>
    <w:pPr>
      <w:spacing w:before="100" w:beforeAutospacing="1" w:after="100" w:afterAutospacing="1" w:line="240" w:lineRule="auto"/>
    </w:pPr>
    <w:rPr>
      <w:rFonts w:ascii="Times New Roman" w:hAnsi="Times New Roman"/>
      <w:sz w:val="24"/>
      <w:szCs w:val="24"/>
      <w:lang w:val="pl-PL" w:eastAsia="pl-PL" w:bidi="ar-SA"/>
    </w:rPr>
  </w:style>
  <w:style w:type="character" w:customStyle="1" w:styleId="A1">
    <w:name w:val="A1"/>
    <w:rsid w:val="008C7751"/>
    <w:rPr>
      <w:color w:val="000000"/>
      <w:sz w:val="22"/>
      <w:szCs w:val="22"/>
    </w:rPr>
  </w:style>
  <w:style w:type="character" w:styleId="Odwoanieprzypisukocowego">
    <w:name w:val="endnote reference"/>
    <w:basedOn w:val="Domylnaczcionkaakapitu"/>
    <w:unhideWhenUsed/>
    <w:rsid w:val="008C7751"/>
    <w:rPr>
      <w:vertAlign w:val="superscript"/>
    </w:rPr>
  </w:style>
  <w:style w:type="character" w:customStyle="1" w:styleId="A3">
    <w:name w:val="A3"/>
    <w:uiPriority w:val="99"/>
    <w:rsid w:val="008C7751"/>
    <w:rPr>
      <w:rFonts w:cs="Merriweather Light"/>
      <w:color w:val="000000"/>
      <w:sz w:val="16"/>
      <w:szCs w:val="16"/>
    </w:rPr>
  </w:style>
  <w:style w:type="character" w:customStyle="1" w:styleId="acopre">
    <w:name w:val="acopre"/>
    <w:basedOn w:val="Domylnaczcionkaakapitu"/>
    <w:rsid w:val="008C7751"/>
  </w:style>
  <w:style w:type="paragraph" w:customStyle="1" w:styleId="DSstandard">
    <w:name w:val="DS standard"/>
    <w:basedOn w:val="Normalny"/>
    <w:rsid w:val="008C7751"/>
    <w:pPr>
      <w:spacing w:before="120" w:after="120" w:line="240" w:lineRule="auto"/>
      <w:jc w:val="both"/>
    </w:pPr>
    <w:rPr>
      <w:rFonts w:ascii="Times New Roman" w:hAnsi="Times New Roman"/>
      <w:sz w:val="24"/>
      <w:szCs w:val="20"/>
      <w:lang w:val="pl-PL" w:eastAsia="pl-PL" w:bidi="ar-SA"/>
    </w:rPr>
  </w:style>
  <w:style w:type="paragraph" w:customStyle="1" w:styleId="StylTekstpodstawowyWyjustowanyPierwszywiersz1cmPrzed">
    <w:name w:val="Styl Tekst podstawowy + Wyjustowany Pierwszy wiersz:  1 cm Przed..."/>
    <w:basedOn w:val="Tekstpodstawowy"/>
    <w:rsid w:val="008C7751"/>
    <w:pPr>
      <w:spacing w:after="0" w:line="360" w:lineRule="auto"/>
      <w:ind w:firstLine="567"/>
      <w:jc w:val="both"/>
    </w:pPr>
    <w:rPr>
      <w:rFonts w:ascii="Times New Roman" w:hAnsi="Times New Roman"/>
      <w:bCs/>
      <w:color w:val="000000"/>
      <w:kern w:val="28"/>
      <w:sz w:val="24"/>
      <w:szCs w:val="20"/>
      <w:lang w:val="pl-PL" w:eastAsia="pl-PL" w:bidi="ar-SA"/>
    </w:rPr>
  </w:style>
  <w:style w:type="paragraph" w:customStyle="1" w:styleId="13Podpisujacypismo">
    <w:name w:val="@13.Podpisujacy_pismo"/>
    <w:basedOn w:val="Normalny"/>
    <w:next w:val="Normalny"/>
    <w:rsid w:val="008C7751"/>
    <w:pPr>
      <w:spacing w:before="540" w:after="0" w:line="240" w:lineRule="auto"/>
      <w:jc w:val="both"/>
    </w:pPr>
    <w:rPr>
      <w:szCs w:val="18"/>
      <w:lang w:val="pl-PL" w:eastAsia="pl-PL" w:bidi="ar-SA"/>
    </w:rPr>
  </w:style>
  <w:style w:type="character" w:customStyle="1" w:styleId="FontStyle151">
    <w:name w:val="Font Style151"/>
    <w:basedOn w:val="Domylnaczcionkaakapitu"/>
    <w:rsid w:val="008C7751"/>
    <w:rPr>
      <w:rFonts w:ascii="Times New Roman" w:hAnsi="Times New Roman" w:cs="Times New Roman"/>
      <w:b/>
      <w:bCs/>
      <w:sz w:val="20"/>
      <w:szCs w:val="20"/>
    </w:rPr>
  </w:style>
  <w:style w:type="character" w:customStyle="1" w:styleId="trcrboxheaderspan">
    <w:name w:val="trc_rbox_header_span"/>
    <w:basedOn w:val="Domylnaczcionkaakapitu"/>
    <w:rsid w:val="008C7751"/>
  </w:style>
  <w:style w:type="character" w:customStyle="1" w:styleId="branding59">
    <w:name w:val="branding59"/>
    <w:basedOn w:val="Domylnaczcionkaakapitu"/>
    <w:rsid w:val="008C7751"/>
  </w:style>
  <w:style w:type="character" w:customStyle="1" w:styleId="video-label21">
    <w:name w:val="video-label21"/>
    <w:basedOn w:val="Domylnaczcionkaakapitu"/>
    <w:rsid w:val="008C7751"/>
  </w:style>
  <w:style w:type="character" w:customStyle="1" w:styleId="cption">
    <w:name w:val="cption"/>
    <w:basedOn w:val="Domylnaczcionkaakapitu"/>
    <w:rsid w:val="008C7751"/>
  </w:style>
  <w:style w:type="character" w:customStyle="1" w:styleId="rppposttype">
    <w:name w:val="rpp_posttype"/>
    <w:basedOn w:val="Domylnaczcionkaakapitu"/>
    <w:rsid w:val="008C7751"/>
  </w:style>
  <w:style w:type="character" w:customStyle="1" w:styleId="rppcat">
    <w:name w:val="rpp_cat"/>
    <w:basedOn w:val="Domylnaczcionkaakapitu"/>
    <w:rsid w:val="008C7751"/>
  </w:style>
  <w:style w:type="character" w:customStyle="1" w:styleId="aq14fc">
    <w:name w:val="aq14fc"/>
    <w:basedOn w:val="Domylnaczcionkaakapitu"/>
    <w:rsid w:val="008C7751"/>
  </w:style>
  <w:style w:type="character" w:customStyle="1" w:styleId="r-i4byipk3w0">
    <w:name w:val="r-i4byipk3w__0"/>
    <w:basedOn w:val="Domylnaczcionkaakapitu"/>
    <w:rsid w:val="008C7751"/>
  </w:style>
  <w:style w:type="character" w:customStyle="1" w:styleId="yhemcb">
    <w:name w:val="yhemcb"/>
    <w:basedOn w:val="Domylnaczcionkaakapitu"/>
    <w:rsid w:val="008C7751"/>
  </w:style>
  <w:style w:type="character" w:customStyle="1" w:styleId="w8qarf">
    <w:name w:val="w8qarf"/>
    <w:basedOn w:val="Domylnaczcionkaakapitu"/>
    <w:rsid w:val="008C7751"/>
  </w:style>
  <w:style w:type="character" w:customStyle="1" w:styleId="lrzxr">
    <w:name w:val="lrzxr"/>
    <w:basedOn w:val="Domylnaczcionkaakapitu"/>
    <w:rsid w:val="008C7751"/>
  </w:style>
  <w:style w:type="character" w:customStyle="1" w:styleId="tlou0b">
    <w:name w:val="tlou0b"/>
    <w:basedOn w:val="Domylnaczcionkaakapitu"/>
    <w:rsid w:val="008C7751"/>
  </w:style>
  <w:style w:type="character" w:customStyle="1" w:styleId="sr-only">
    <w:name w:val="sr-only"/>
    <w:basedOn w:val="Domylnaczcionkaakapitu"/>
    <w:rsid w:val="008C7751"/>
  </w:style>
  <w:style w:type="character" w:customStyle="1" w:styleId="ad-label">
    <w:name w:val="ad-label"/>
    <w:basedOn w:val="Domylnaczcionkaakapitu"/>
    <w:rsid w:val="008C7751"/>
  </w:style>
  <w:style w:type="paragraph" w:customStyle="1" w:styleId="pageboxlead">
    <w:name w:val="pagebox__lead"/>
    <w:basedOn w:val="Normalny"/>
    <w:rsid w:val="008C7751"/>
    <w:pPr>
      <w:spacing w:before="100" w:beforeAutospacing="1" w:after="100" w:afterAutospacing="1" w:line="240" w:lineRule="auto"/>
    </w:pPr>
    <w:rPr>
      <w:rFonts w:ascii="Times New Roman" w:hAnsi="Times New Roman"/>
      <w:sz w:val="24"/>
      <w:szCs w:val="24"/>
      <w:lang w:val="pl-PL" w:eastAsia="pl-PL" w:bidi="ar-SA"/>
    </w:rPr>
  </w:style>
  <w:style w:type="paragraph" w:customStyle="1" w:styleId="nagwek2">
    <w:name w:val="nagłówek2"/>
    <w:basedOn w:val="Normalny"/>
    <w:link w:val="nagwek2Znak1"/>
    <w:rsid w:val="008C7751"/>
    <w:pPr>
      <w:numPr>
        <w:ilvl w:val="1"/>
        <w:numId w:val="16"/>
      </w:numPr>
      <w:spacing w:after="240" w:line="240" w:lineRule="auto"/>
    </w:pPr>
    <w:rPr>
      <w:rFonts w:eastAsiaTheme="minorHAnsi" w:cstheme="minorBidi"/>
      <w:b/>
      <w:szCs w:val="20"/>
      <w:lang w:val="pl-PL" w:bidi="ar-SA"/>
    </w:rPr>
  </w:style>
  <w:style w:type="character" w:customStyle="1" w:styleId="nagwek2Znak1">
    <w:name w:val="nagłówek2 Znak"/>
    <w:basedOn w:val="Domylnaczcionkaakapitu"/>
    <w:link w:val="nagwek2"/>
    <w:rsid w:val="008C7751"/>
    <w:rPr>
      <w:rFonts w:ascii="Verdana" w:eastAsiaTheme="minorHAnsi" w:hAnsi="Verdana" w:cstheme="minorBidi"/>
      <w:b/>
      <w:lang w:eastAsia="en-US"/>
    </w:rPr>
  </w:style>
  <w:style w:type="paragraph" w:customStyle="1" w:styleId="Tytubloku">
    <w:name w:val="Tytuł bloku"/>
    <w:basedOn w:val="Nagwek20"/>
    <w:link w:val="TytublokuZnak"/>
    <w:rsid w:val="008C7751"/>
    <w:pPr>
      <w:tabs>
        <w:tab w:val="left" w:pos="567"/>
        <w:tab w:val="right" w:leader="dot" w:pos="9062"/>
      </w:tabs>
      <w:ind w:left="570" w:hanging="570"/>
    </w:pPr>
    <w:rPr>
      <w:rFonts w:eastAsiaTheme="minorHAnsi" w:cstheme="minorBidi"/>
      <w:bCs w:val="0"/>
      <w:sz w:val="20"/>
      <w:szCs w:val="20"/>
      <w:lang w:eastAsia="en-US"/>
    </w:rPr>
  </w:style>
  <w:style w:type="character" w:customStyle="1" w:styleId="TytublokuZnak">
    <w:name w:val="Tytuł bloku Znak"/>
    <w:basedOn w:val="Nagwek2Znak"/>
    <w:link w:val="Tytubloku"/>
    <w:rsid w:val="008C7751"/>
    <w:rPr>
      <w:rFonts w:eastAsiaTheme="minorHAnsi" w:cstheme="minorBidi"/>
      <w:b/>
      <w:lang w:eastAsia="en-US"/>
    </w:rPr>
  </w:style>
  <w:style w:type="paragraph" w:customStyle="1" w:styleId="standardowaczcionkaRaportu">
    <w:name w:val="standardowa czcionka Raportu"/>
    <w:basedOn w:val="Nagwek20"/>
    <w:link w:val="standardowaczcionkaRaportuZnak"/>
    <w:rsid w:val="008C7751"/>
    <w:pPr>
      <w:tabs>
        <w:tab w:val="left" w:pos="567"/>
        <w:tab w:val="right" w:leader="dot" w:pos="9062"/>
      </w:tabs>
      <w:ind w:left="567" w:hanging="567"/>
    </w:pPr>
    <w:rPr>
      <w:rFonts w:eastAsiaTheme="minorHAnsi" w:cstheme="minorBidi"/>
      <w:b w:val="0"/>
      <w:bCs w:val="0"/>
      <w:sz w:val="20"/>
      <w:szCs w:val="20"/>
      <w:lang w:eastAsia="en-US"/>
    </w:rPr>
  </w:style>
  <w:style w:type="character" w:customStyle="1" w:styleId="standardowaczcionkaRaportuZnak">
    <w:name w:val="standardowa czcionka Raportu Znak"/>
    <w:basedOn w:val="TytublokuZnak"/>
    <w:link w:val="standardowaczcionkaRaportu"/>
    <w:rsid w:val="008C7751"/>
  </w:style>
  <w:style w:type="paragraph" w:customStyle="1" w:styleId="Styl1NagwkiGwne">
    <w:name w:val="Styl1Nagłówki Główne"/>
    <w:basedOn w:val="Normalny"/>
    <w:link w:val="Styl1NagwkiGwneZnak"/>
    <w:rsid w:val="008C7751"/>
    <w:pPr>
      <w:tabs>
        <w:tab w:val="left" w:pos="567"/>
        <w:tab w:val="right" w:leader="dot" w:pos="9062"/>
      </w:tabs>
      <w:suppressAutoHyphens/>
      <w:spacing w:after="0" w:line="240" w:lineRule="auto"/>
      <w:jc w:val="both"/>
    </w:pPr>
    <w:rPr>
      <w:rFonts w:eastAsiaTheme="minorHAnsi" w:cstheme="minorBidi"/>
      <w:b/>
      <w:szCs w:val="20"/>
      <w:lang w:val="pl-PL" w:bidi="ar-SA"/>
    </w:rPr>
  </w:style>
  <w:style w:type="character" w:customStyle="1" w:styleId="Styl1NagwkiGwneZnak">
    <w:name w:val="Styl1Nagłówki Główne Znak"/>
    <w:basedOn w:val="Domylnaczcionkaakapitu"/>
    <w:link w:val="Styl1NagwkiGwne"/>
    <w:rsid w:val="008C7751"/>
    <w:rPr>
      <w:rFonts w:ascii="Verdana" w:eastAsiaTheme="minorHAnsi" w:hAnsi="Verdana" w:cstheme="minorBidi"/>
      <w:b/>
      <w:lang w:eastAsia="en-US"/>
    </w:rPr>
  </w:style>
  <w:style w:type="paragraph" w:customStyle="1" w:styleId="pogrubienie0">
    <w:name w:val="pogrubienie"/>
    <w:basedOn w:val="Normalny"/>
    <w:link w:val="pogrubienieZnak"/>
    <w:rsid w:val="008C7751"/>
    <w:pPr>
      <w:spacing w:before="120" w:after="0" w:line="240" w:lineRule="auto"/>
      <w:jc w:val="both"/>
    </w:pPr>
    <w:rPr>
      <w:rFonts w:eastAsia="Calibri"/>
      <w:b/>
      <w:bCs/>
      <w:szCs w:val="20"/>
      <w:lang w:val="pl-PL" w:bidi="ar-SA"/>
    </w:rPr>
  </w:style>
  <w:style w:type="character" w:customStyle="1" w:styleId="pogrubienieZnak">
    <w:name w:val="pogrubienie Znak"/>
    <w:basedOn w:val="Domylnaczcionkaakapitu"/>
    <w:link w:val="pogrubienie0"/>
    <w:rsid w:val="008C7751"/>
    <w:rPr>
      <w:rFonts w:ascii="Verdana" w:hAnsi="Verdana"/>
      <w:b/>
      <w:bCs/>
      <w:lang w:eastAsia="en-US"/>
    </w:rPr>
  </w:style>
  <w:style w:type="paragraph" w:styleId="Listapunktowana">
    <w:name w:val="List Bullet"/>
    <w:basedOn w:val="Normalny"/>
    <w:unhideWhenUsed/>
    <w:rsid w:val="008C7751"/>
    <w:pPr>
      <w:numPr>
        <w:numId w:val="76"/>
      </w:numPr>
      <w:spacing w:after="0" w:line="240" w:lineRule="auto"/>
    </w:pPr>
    <w:rPr>
      <w:szCs w:val="24"/>
      <w:lang w:val="pl-PL" w:eastAsia="pl-PL" w:bidi="ar-SA"/>
    </w:rPr>
  </w:style>
  <w:style w:type="paragraph" w:customStyle="1" w:styleId="verdena">
    <w:name w:val="verdena"/>
    <w:basedOn w:val="Normalny"/>
    <w:autoRedefine/>
    <w:rsid w:val="008C7751"/>
    <w:pPr>
      <w:tabs>
        <w:tab w:val="left" w:pos="284"/>
      </w:tabs>
      <w:spacing w:before="120" w:after="120"/>
      <w:jc w:val="both"/>
    </w:pPr>
    <w:rPr>
      <w:rFonts w:eastAsia="Calibri"/>
      <w:b/>
      <w:lang w:val="pl-PL" w:bidi="ar-SA"/>
    </w:rPr>
  </w:style>
  <w:style w:type="character" w:styleId="Odwoanieprzypisudolnego">
    <w:name w:val="footnote reference"/>
    <w:uiPriority w:val="99"/>
    <w:rsid w:val="008C7751"/>
    <w:rPr>
      <w:vertAlign w:val="superscript"/>
    </w:rPr>
  </w:style>
  <w:style w:type="character" w:customStyle="1" w:styleId="NagwekZnak1">
    <w:name w:val="Nagłówek Znak1"/>
    <w:locked/>
    <w:rsid w:val="008C7751"/>
    <w:rPr>
      <w:rFonts w:ascii="Verdana" w:hAnsi="Verdana"/>
      <w:sz w:val="22"/>
      <w:szCs w:val="24"/>
    </w:rPr>
  </w:style>
  <w:style w:type="paragraph" w:styleId="Spistreci4">
    <w:name w:val="toc 4"/>
    <w:basedOn w:val="Normalny"/>
    <w:next w:val="Normalny"/>
    <w:autoRedefine/>
    <w:uiPriority w:val="39"/>
    <w:unhideWhenUsed/>
    <w:rsid w:val="008C7751"/>
    <w:pPr>
      <w:spacing w:after="0"/>
      <w:ind w:left="660"/>
    </w:pPr>
    <w:rPr>
      <w:rFonts w:asciiTheme="minorHAnsi" w:eastAsiaTheme="minorHAnsi" w:hAnsiTheme="minorHAnsi" w:cstheme="minorHAnsi"/>
      <w:sz w:val="18"/>
      <w:szCs w:val="18"/>
      <w:lang w:val="pl-PL" w:bidi="ar-SA"/>
    </w:rPr>
  </w:style>
  <w:style w:type="paragraph" w:styleId="Spistreci7">
    <w:name w:val="toc 7"/>
    <w:basedOn w:val="Normalny"/>
    <w:next w:val="Normalny"/>
    <w:autoRedefine/>
    <w:uiPriority w:val="39"/>
    <w:unhideWhenUsed/>
    <w:rsid w:val="008C7751"/>
    <w:pPr>
      <w:spacing w:after="0"/>
      <w:ind w:left="1320"/>
    </w:pPr>
    <w:rPr>
      <w:rFonts w:asciiTheme="minorHAnsi" w:eastAsiaTheme="minorHAnsi" w:hAnsiTheme="minorHAnsi" w:cstheme="minorHAnsi"/>
      <w:sz w:val="18"/>
      <w:szCs w:val="18"/>
      <w:lang w:val="pl-PL" w:bidi="ar-SA"/>
    </w:rPr>
  </w:style>
  <w:style w:type="paragraph" w:styleId="Spistreci8">
    <w:name w:val="toc 8"/>
    <w:basedOn w:val="Normalny"/>
    <w:next w:val="Normalny"/>
    <w:autoRedefine/>
    <w:uiPriority w:val="39"/>
    <w:unhideWhenUsed/>
    <w:rsid w:val="008C7751"/>
    <w:pPr>
      <w:spacing w:after="0"/>
      <w:ind w:left="1540"/>
    </w:pPr>
    <w:rPr>
      <w:rFonts w:asciiTheme="minorHAnsi" w:eastAsiaTheme="minorHAnsi" w:hAnsiTheme="minorHAnsi" w:cstheme="minorHAnsi"/>
      <w:sz w:val="18"/>
      <w:szCs w:val="18"/>
      <w:lang w:val="pl-PL" w:bidi="ar-SA"/>
    </w:rPr>
  </w:style>
  <w:style w:type="table" w:styleId="Tabela-Siatka">
    <w:name w:val="Table Grid"/>
    <w:basedOn w:val="Standardowy"/>
    <w:uiPriority w:val="59"/>
    <w:rsid w:val="006F084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Jasnalista1">
    <w:name w:val="Jasna lista1"/>
    <w:basedOn w:val="Standardowy"/>
    <w:uiPriority w:val="61"/>
    <w:rsid w:val="006F0842"/>
    <w:rPr>
      <w:rFonts w:ascii="Calibri" w:eastAsia="Times New Roman"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dreszwrotnynakopercie">
    <w:name w:val="envelope return"/>
    <w:basedOn w:val="Normalny"/>
    <w:semiHidden/>
    <w:rsid w:val="0060070F"/>
    <w:pPr>
      <w:spacing w:after="0" w:line="240" w:lineRule="auto"/>
    </w:pPr>
    <w:rPr>
      <w:rFonts w:ascii="Arial" w:hAnsi="Arial"/>
      <w:strike/>
      <w:szCs w:val="20"/>
      <w:lang w:val="pl-PL" w:eastAsia="pl-PL" w:bidi="ar-SA"/>
    </w:rPr>
  </w:style>
  <w:style w:type="paragraph" w:customStyle="1" w:styleId="xl146">
    <w:name w:val="xl146"/>
    <w:basedOn w:val="Normalny"/>
    <w:rsid w:val="0060070F"/>
    <w:pPr>
      <w:spacing w:before="100" w:beforeAutospacing="1" w:after="100" w:afterAutospacing="1" w:line="240" w:lineRule="auto"/>
    </w:pPr>
    <w:rPr>
      <w:rFonts w:ascii="Arial" w:eastAsia="Arial Unicode MS" w:hAnsi="Arial" w:cs="Arial"/>
      <w:sz w:val="18"/>
      <w:szCs w:val="18"/>
      <w:lang w:val="pl-PL" w:eastAsia="pl-PL" w:bidi="ar-SA"/>
    </w:rPr>
  </w:style>
  <w:style w:type="paragraph" w:customStyle="1" w:styleId="Akapitzlist5">
    <w:name w:val="Akapit z listą5"/>
    <w:basedOn w:val="Normalny"/>
    <w:rsid w:val="0060070F"/>
    <w:pPr>
      <w:ind w:left="720"/>
    </w:pPr>
    <w:rPr>
      <w:lang w:val="pl-PL" w:eastAsia="pl-PL" w:bidi="ar-SA"/>
    </w:rPr>
  </w:style>
  <w:style w:type="paragraph" w:customStyle="1" w:styleId="akapit">
    <w:name w:val="akapit"/>
    <w:basedOn w:val="Normalny"/>
    <w:link w:val="akapitZnak"/>
    <w:qFormat/>
    <w:rsid w:val="0060070F"/>
    <w:pPr>
      <w:spacing w:after="0"/>
    </w:pPr>
    <w:rPr>
      <w:rFonts w:cs="Symbol"/>
      <w:color w:val="000000"/>
      <w:szCs w:val="24"/>
      <w:lang w:val="pl-PL" w:eastAsia="pl-PL" w:bidi="ar-SA"/>
    </w:rPr>
  </w:style>
  <w:style w:type="character" w:customStyle="1" w:styleId="akapitZnak">
    <w:name w:val="akapit Znak"/>
    <w:link w:val="akapit"/>
    <w:rsid w:val="0060070F"/>
    <w:rPr>
      <w:rFonts w:ascii="Verdana" w:eastAsia="Times New Roman" w:hAnsi="Verdana" w:cs="Symbol"/>
      <w:color w:val="000000"/>
      <w:szCs w:val="24"/>
    </w:rPr>
  </w:style>
  <w:style w:type="paragraph" w:customStyle="1" w:styleId="xl49">
    <w:name w:val="xl49"/>
    <w:basedOn w:val="Normalny"/>
    <w:rsid w:val="00E96768"/>
    <w:pPr>
      <w:spacing w:before="100" w:beforeAutospacing="1" w:after="100" w:afterAutospacing="1" w:line="240" w:lineRule="auto"/>
      <w:jc w:val="center"/>
    </w:pPr>
    <w:rPr>
      <w:rFonts w:ascii="Times New Roman" w:eastAsia="Arial Unicode MS" w:hAnsi="Times New Roman"/>
      <w:sz w:val="22"/>
      <w:lang w:val="pl-PL" w:eastAsia="pl-PL" w:bidi="ar-SA"/>
    </w:rPr>
  </w:style>
  <w:style w:type="paragraph" w:customStyle="1" w:styleId="xl36">
    <w:name w:val="xl36"/>
    <w:basedOn w:val="Normalny"/>
    <w:rsid w:val="00E9676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Arial Unicode MS" w:hAnsi="Arial" w:cs="Arial Unicode MS"/>
      <w:b/>
      <w:bCs/>
      <w:sz w:val="24"/>
      <w:szCs w:val="24"/>
      <w:lang w:val="pl-PL" w:eastAsia="pl-PL" w:bidi="ar-SA"/>
    </w:rPr>
  </w:style>
  <w:style w:type="character" w:customStyle="1" w:styleId="WW8Num5z0">
    <w:name w:val="WW8Num5z0"/>
    <w:rsid w:val="00E96768"/>
    <w:rPr>
      <w:rFonts w:ascii="Symbol" w:hAnsi="Symbol" w:cs="StarSymbol"/>
      <w:sz w:val="18"/>
      <w:szCs w:val="18"/>
    </w:rPr>
  </w:style>
  <w:style w:type="character" w:customStyle="1" w:styleId="WW-Absatz-Standardschriftart">
    <w:name w:val="WW-Absatz-Standardschriftart"/>
    <w:rsid w:val="00E96768"/>
  </w:style>
  <w:style w:type="paragraph" w:customStyle="1" w:styleId="07Datapisma">
    <w:name w:val="@07.Data_pisma"/>
    <w:basedOn w:val="11Trescpisma"/>
    <w:next w:val="08Sygnaturapisma"/>
    <w:rsid w:val="00E96768"/>
    <w:pPr>
      <w:spacing w:before="360" w:after="0" w:line="240" w:lineRule="auto"/>
      <w:jc w:val="right"/>
    </w:pPr>
    <w:rPr>
      <w:sz w:val="18"/>
      <w:szCs w:val="20"/>
      <w:lang w:val="pl-PL" w:eastAsia="pl-PL" w:bidi="ar-SA"/>
    </w:rPr>
  </w:style>
  <w:style w:type="paragraph" w:customStyle="1" w:styleId="20Dowiadomoscilista">
    <w:name w:val="@20.Do_wiadomosci_lista"/>
    <w:basedOn w:val="11Trescpisma"/>
    <w:rsid w:val="00E96768"/>
    <w:pPr>
      <w:numPr>
        <w:numId w:val="240"/>
      </w:numPr>
      <w:spacing w:before="0" w:after="0" w:line="240" w:lineRule="auto"/>
      <w:ind w:left="714" w:hanging="357"/>
    </w:pPr>
    <w:rPr>
      <w:sz w:val="16"/>
      <w:lang w:val="pl-PL" w:eastAsia="pl-PL" w:bidi="ar-SA"/>
    </w:rPr>
  </w:style>
  <w:style w:type="character" w:customStyle="1" w:styleId="WW8Num4z0">
    <w:name w:val="WW8Num4z0"/>
    <w:rsid w:val="00E96768"/>
    <w:rPr>
      <w:rFonts w:ascii="Symbol" w:hAnsi="Symbol" w:cs="StarSymbol"/>
      <w:sz w:val="18"/>
      <w:szCs w:val="18"/>
    </w:rPr>
  </w:style>
  <w:style w:type="character" w:customStyle="1" w:styleId="WW-Absatz-Standardschriftart1">
    <w:name w:val="WW-Absatz-Standardschriftart1"/>
    <w:rsid w:val="00E96768"/>
  </w:style>
  <w:style w:type="character" w:customStyle="1" w:styleId="WW-Absatz-Standardschriftart11">
    <w:name w:val="WW-Absatz-Standardschriftart11"/>
    <w:rsid w:val="00E96768"/>
  </w:style>
  <w:style w:type="character" w:customStyle="1" w:styleId="WW8Num6z0">
    <w:name w:val="WW8Num6z0"/>
    <w:rsid w:val="00E96768"/>
    <w:rPr>
      <w:rFonts w:ascii="Symbol" w:hAnsi="Symbol" w:cs="StarSymbol"/>
      <w:sz w:val="18"/>
      <w:szCs w:val="18"/>
    </w:rPr>
  </w:style>
  <w:style w:type="character" w:customStyle="1" w:styleId="WW8Num7z0">
    <w:name w:val="WW8Num7z0"/>
    <w:rsid w:val="00E96768"/>
    <w:rPr>
      <w:rFonts w:ascii="Symbol" w:hAnsi="Symbol" w:cs="StarSymbol"/>
      <w:sz w:val="18"/>
      <w:szCs w:val="18"/>
    </w:rPr>
  </w:style>
  <w:style w:type="character" w:customStyle="1" w:styleId="WW8Num8z0">
    <w:name w:val="WW8Num8z0"/>
    <w:rsid w:val="00E96768"/>
    <w:rPr>
      <w:rFonts w:ascii="Symbol" w:hAnsi="Symbol" w:cs="StarSymbol"/>
      <w:sz w:val="18"/>
      <w:szCs w:val="18"/>
    </w:rPr>
  </w:style>
  <w:style w:type="character" w:customStyle="1" w:styleId="WW8Num9z0">
    <w:name w:val="WW8Num9z0"/>
    <w:rsid w:val="00E96768"/>
    <w:rPr>
      <w:rFonts w:ascii="Symbol" w:hAnsi="Symbol" w:cs="StarSymbol"/>
      <w:sz w:val="18"/>
      <w:szCs w:val="18"/>
    </w:rPr>
  </w:style>
  <w:style w:type="character" w:customStyle="1" w:styleId="WW-Absatz-Standardschriftart111">
    <w:name w:val="WW-Absatz-Standardschriftart111"/>
    <w:rsid w:val="00E96768"/>
  </w:style>
  <w:style w:type="character" w:customStyle="1" w:styleId="Domylnaczcionkaakapitu4">
    <w:name w:val="Domyślna czcionka akapitu4"/>
    <w:rsid w:val="00E96768"/>
  </w:style>
  <w:style w:type="character" w:customStyle="1" w:styleId="WW-Absatz-Standardschriftart1111">
    <w:name w:val="WW-Absatz-Standardschriftart1111"/>
    <w:rsid w:val="00E96768"/>
  </w:style>
  <w:style w:type="character" w:customStyle="1" w:styleId="Domylnaczcionkaakapitu3">
    <w:name w:val="Domyślna czcionka akapitu3"/>
    <w:rsid w:val="00E96768"/>
  </w:style>
  <w:style w:type="character" w:customStyle="1" w:styleId="WW-Absatz-Standardschriftart11111">
    <w:name w:val="WW-Absatz-Standardschriftart11111"/>
    <w:rsid w:val="00E96768"/>
  </w:style>
  <w:style w:type="character" w:customStyle="1" w:styleId="WW-Absatz-Standardschriftart111111">
    <w:name w:val="WW-Absatz-Standardschriftart111111"/>
    <w:rsid w:val="00E96768"/>
  </w:style>
  <w:style w:type="character" w:customStyle="1" w:styleId="WW-Absatz-Standardschriftart1111111">
    <w:name w:val="WW-Absatz-Standardschriftart1111111"/>
    <w:rsid w:val="00E96768"/>
  </w:style>
  <w:style w:type="character" w:customStyle="1" w:styleId="WW-Absatz-Standardschriftart11111111">
    <w:name w:val="WW-Absatz-Standardschriftart11111111"/>
    <w:rsid w:val="00E96768"/>
  </w:style>
  <w:style w:type="character" w:customStyle="1" w:styleId="WW-Absatz-Standardschriftart111111111">
    <w:name w:val="WW-Absatz-Standardschriftart111111111"/>
    <w:rsid w:val="00E96768"/>
  </w:style>
  <w:style w:type="character" w:customStyle="1" w:styleId="WW-Absatz-Standardschriftart1111111111">
    <w:name w:val="WW-Absatz-Standardschriftart1111111111"/>
    <w:rsid w:val="00E96768"/>
  </w:style>
  <w:style w:type="character" w:customStyle="1" w:styleId="WW-Absatz-Standardschriftart11111111111">
    <w:name w:val="WW-Absatz-Standardschriftart11111111111"/>
    <w:rsid w:val="00E96768"/>
  </w:style>
  <w:style w:type="character" w:customStyle="1" w:styleId="WW-Absatz-Standardschriftart111111111111">
    <w:name w:val="WW-Absatz-Standardschriftart111111111111"/>
    <w:rsid w:val="00E96768"/>
  </w:style>
  <w:style w:type="character" w:customStyle="1" w:styleId="WW-Absatz-Standardschriftart1111111111111">
    <w:name w:val="WW-Absatz-Standardschriftart1111111111111"/>
    <w:rsid w:val="00E96768"/>
  </w:style>
  <w:style w:type="character" w:customStyle="1" w:styleId="WW-Absatz-Standardschriftart11111111111111">
    <w:name w:val="WW-Absatz-Standardschriftart11111111111111"/>
    <w:rsid w:val="00E96768"/>
  </w:style>
  <w:style w:type="character" w:customStyle="1" w:styleId="WW-Absatz-Standardschriftart111111111111111">
    <w:name w:val="WW-Absatz-Standardschriftart111111111111111"/>
    <w:rsid w:val="00E96768"/>
  </w:style>
  <w:style w:type="character" w:customStyle="1" w:styleId="WW-Absatz-Standardschriftart1111111111111111">
    <w:name w:val="WW-Absatz-Standardschriftart1111111111111111"/>
    <w:rsid w:val="00E96768"/>
  </w:style>
  <w:style w:type="character" w:customStyle="1" w:styleId="WW-Absatz-Standardschriftart11111111111111111">
    <w:name w:val="WW-Absatz-Standardschriftart11111111111111111"/>
    <w:rsid w:val="00E96768"/>
  </w:style>
  <w:style w:type="character" w:customStyle="1" w:styleId="WW-Absatz-Standardschriftart111111111111111111">
    <w:name w:val="WW-Absatz-Standardschriftart111111111111111111"/>
    <w:rsid w:val="00E96768"/>
  </w:style>
  <w:style w:type="character" w:customStyle="1" w:styleId="WW-Absatz-Standardschriftart1111111111111111111">
    <w:name w:val="WW-Absatz-Standardschriftart1111111111111111111"/>
    <w:rsid w:val="00E96768"/>
  </w:style>
  <w:style w:type="character" w:customStyle="1" w:styleId="WW-Absatz-Standardschriftart11111111111111111111">
    <w:name w:val="WW-Absatz-Standardschriftart11111111111111111111"/>
    <w:rsid w:val="00E96768"/>
  </w:style>
  <w:style w:type="character" w:customStyle="1" w:styleId="WW-Absatz-Standardschriftart111111111111111111111">
    <w:name w:val="WW-Absatz-Standardschriftart111111111111111111111"/>
    <w:rsid w:val="00E96768"/>
  </w:style>
  <w:style w:type="character" w:customStyle="1" w:styleId="Domylnaczcionkaakapitu2">
    <w:name w:val="Domyślna czcionka akapitu2"/>
    <w:rsid w:val="00E96768"/>
  </w:style>
  <w:style w:type="character" w:customStyle="1" w:styleId="WW-Absatz-Standardschriftart1111111111111111111111">
    <w:name w:val="WW-Absatz-Standardschriftart1111111111111111111111"/>
    <w:rsid w:val="00E96768"/>
  </w:style>
  <w:style w:type="character" w:customStyle="1" w:styleId="Znakinumeracji">
    <w:name w:val="Znaki numeracji"/>
    <w:rsid w:val="00E96768"/>
    <w:rPr>
      <w:rFonts w:ascii="Verdana" w:hAnsi="Verdana"/>
      <w:sz w:val="22"/>
      <w:szCs w:val="24"/>
    </w:rPr>
  </w:style>
  <w:style w:type="character" w:customStyle="1" w:styleId="Symbolewypunktowania">
    <w:name w:val="Symbole wypunktowania"/>
    <w:rsid w:val="00E96768"/>
    <w:rPr>
      <w:rFonts w:ascii="StarSymbol" w:eastAsia="StarSymbol" w:hAnsi="StarSymbol" w:cs="StarSymbol"/>
      <w:sz w:val="18"/>
      <w:szCs w:val="18"/>
    </w:rPr>
  </w:style>
  <w:style w:type="paragraph" w:customStyle="1" w:styleId="Nagwek40">
    <w:name w:val="Nagłówek4"/>
    <w:basedOn w:val="Normalny"/>
    <w:next w:val="Tekstpodstawowy"/>
    <w:rsid w:val="00E96768"/>
    <w:pPr>
      <w:keepNext/>
      <w:suppressAutoHyphens/>
      <w:spacing w:before="240" w:after="120" w:line="240" w:lineRule="auto"/>
    </w:pPr>
    <w:rPr>
      <w:rFonts w:ascii="Arial" w:eastAsia="Lucida Sans Unicode" w:hAnsi="Arial" w:cs="Tahoma"/>
      <w:sz w:val="28"/>
      <w:szCs w:val="28"/>
      <w:lang w:val="pl-PL" w:eastAsia="ar-SA" w:bidi="ar-SA"/>
    </w:rPr>
  </w:style>
  <w:style w:type="paragraph" w:customStyle="1" w:styleId="Podpis4">
    <w:name w:val="Podpis4"/>
    <w:basedOn w:val="Normalny"/>
    <w:rsid w:val="00E96768"/>
    <w:pPr>
      <w:suppressLineNumbers/>
      <w:suppressAutoHyphens/>
      <w:spacing w:before="120" w:after="120" w:line="240" w:lineRule="auto"/>
    </w:pPr>
    <w:rPr>
      <w:rFonts w:ascii="Times New Roman" w:hAnsi="Times New Roman" w:cs="Tahoma"/>
      <w:i/>
      <w:iCs/>
      <w:sz w:val="24"/>
      <w:szCs w:val="24"/>
      <w:lang w:val="pl-PL" w:eastAsia="ar-SA" w:bidi="ar-SA"/>
    </w:rPr>
  </w:style>
  <w:style w:type="paragraph" w:customStyle="1" w:styleId="Nagwek30">
    <w:name w:val="Nagłówek3"/>
    <w:basedOn w:val="Normalny"/>
    <w:next w:val="Tekstpodstawowy"/>
    <w:rsid w:val="00E96768"/>
    <w:pPr>
      <w:keepNext/>
      <w:suppressAutoHyphens/>
      <w:spacing w:before="240" w:after="120" w:line="240" w:lineRule="auto"/>
    </w:pPr>
    <w:rPr>
      <w:rFonts w:ascii="Arial" w:eastAsia="Lucida Sans Unicode" w:hAnsi="Arial" w:cs="Tahoma"/>
      <w:sz w:val="28"/>
      <w:szCs w:val="28"/>
      <w:lang w:val="pl-PL" w:eastAsia="ar-SA" w:bidi="ar-SA"/>
    </w:rPr>
  </w:style>
  <w:style w:type="paragraph" w:customStyle="1" w:styleId="Podpis3">
    <w:name w:val="Podpis3"/>
    <w:basedOn w:val="Normalny"/>
    <w:rsid w:val="00E96768"/>
    <w:pPr>
      <w:suppressLineNumbers/>
      <w:suppressAutoHyphens/>
      <w:spacing w:before="120" w:after="120" w:line="240" w:lineRule="auto"/>
    </w:pPr>
    <w:rPr>
      <w:rFonts w:ascii="Times New Roman" w:hAnsi="Times New Roman" w:cs="Tahoma"/>
      <w:i/>
      <w:iCs/>
      <w:sz w:val="24"/>
      <w:szCs w:val="24"/>
      <w:lang w:val="pl-PL" w:eastAsia="ar-SA" w:bidi="ar-SA"/>
    </w:rPr>
  </w:style>
  <w:style w:type="paragraph" w:customStyle="1" w:styleId="Nagwek22">
    <w:name w:val="Nagłówek2"/>
    <w:basedOn w:val="Normalny"/>
    <w:next w:val="Tekstpodstawowy"/>
    <w:rsid w:val="00E96768"/>
    <w:pPr>
      <w:keepNext/>
      <w:suppressAutoHyphens/>
      <w:spacing w:before="240" w:after="120" w:line="240" w:lineRule="auto"/>
    </w:pPr>
    <w:rPr>
      <w:rFonts w:ascii="Arial" w:eastAsia="Lucida Sans Unicode" w:hAnsi="Arial" w:cs="Tahoma"/>
      <w:sz w:val="28"/>
      <w:szCs w:val="28"/>
      <w:lang w:val="pl-PL" w:eastAsia="ar-SA" w:bidi="ar-SA"/>
    </w:rPr>
  </w:style>
  <w:style w:type="paragraph" w:customStyle="1" w:styleId="Podpis2">
    <w:name w:val="Podpis2"/>
    <w:basedOn w:val="Normalny"/>
    <w:rsid w:val="00E96768"/>
    <w:pPr>
      <w:suppressLineNumbers/>
      <w:suppressAutoHyphens/>
      <w:spacing w:before="120" w:after="120" w:line="240" w:lineRule="auto"/>
    </w:pPr>
    <w:rPr>
      <w:rFonts w:ascii="Times New Roman" w:hAnsi="Times New Roman" w:cs="Tahoma"/>
      <w:i/>
      <w:iCs/>
      <w:sz w:val="24"/>
      <w:szCs w:val="24"/>
      <w:lang w:val="pl-PL" w:eastAsia="ar-SA" w:bidi="ar-SA"/>
    </w:rPr>
  </w:style>
  <w:style w:type="paragraph" w:customStyle="1" w:styleId="Podpis1">
    <w:name w:val="Podpis1"/>
    <w:basedOn w:val="Normalny"/>
    <w:rsid w:val="00E96768"/>
    <w:pPr>
      <w:suppressLineNumbers/>
      <w:suppressAutoHyphens/>
      <w:spacing w:before="120" w:after="120" w:line="240" w:lineRule="auto"/>
    </w:pPr>
    <w:rPr>
      <w:rFonts w:ascii="Times New Roman" w:hAnsi="Times New Roman" w:cs="Tahoma"/>
      <w:i/>
      <w:iCs/>
      <w:sz w:val="24"/>
      <w:szCs w:val="24"/>
      <w:lang w:val="pl-PL" w:eastAsia="ar-SA" w:bidi="ar-SA"/>
    </w:rPr>
  </w:style>
  <w:style w:type="paragraph" w:customStyle="1" w:styleId="Nagwektabeli">
    <w:name w:val="Nagłówek tabeli"/>
    <w:basedOn w:val="Zawartotabeli"/>
    <w:rsid w:val="00E96768"/>
    <w:pPr>
      <w:widowControl/>
      <w:spacing w:after="0" w:line="240" w:lineRule="auto"/>
      <w:jc w:val="center"/>
    </w:pPr>
    <w:rPr>
      <w:rFonts w:ascii="Times New Roman" w:eastAsia="Times New Roman" w:hAnsi="Times New Roman"/>
      <w:b/>
      <w:bCs/>
      <w:kern w:val="0"/>
      <w:sz w:val="24"/>
      <w:szCs w:val="24"/>
      <w:lang w:val="pl-PL" w:eastAsia="ar-SA" w:bidi="ar-SA"/>
    </w:rPr>
  </w:style>
  <w:style w:type="paragraph" w:styleId="Listapunktowana2">
    <w:name w:val="List Bullet 2"/>
    <w:basedOn w:val="Normalny"/>
    <w:autoRedefine/>
    <w:semiHidden/>
    <w:rsid w:val="00E96768"/>
    <w:pPr>
      <w:numPr>
        <w:numId w:val="241"/>
      </w:numPr>
      <w:spacing w:after="0" w:line="240" w:lineRule="auto"/>
    </w:pPr>
    <w:rPr>
      <w:rFonts w:ascii="Times New Roman" w:hAnsi="Times New Roman"/>
      <w:sz w:val="24"/>
      <w:szCs w:val="24"/>
      <w:lang w:val="pl-PL" w:eastAsia="pl-PL" w:bidi="ar-SA"/>
    </w:rPr>
  </w:style>
  <w:style w:type="paragraph" w:styleId="Lista2">
    <w:name w:val="List 2"/>
    <w:basedOn w:val="Normalny"/>
    <w:semiHidden/>
    <w:rsid w:val="00E96768"/>
    <w:pPr>
      <w:spacing w:after="0" w:line="240" w:lineRule="auto"/>
      <w:ind w:left="566" w:hanging="283"/>
    </w:pPr>
    <w:rPr>
      <w:rFonts w:ascii="Times New Roman" w:hAnsi="Times New Roman"/>
      <w:sz w:val="24"/>
      <w:szCs w:val="24"/>
      <w:lang w:val="pl-PL" w:eastAsia="pl-PL" w:bidi="ar-SA"/>
    </w:rPr>
  </w:style>
  <w:style w:type="paragraph" w:styleId="Lista-kontynuacja2">
    <w:name w:val="List Continue 2"/>
    <w:basedOn w:val="Normalny"/>
    <w:semiHidden/>
    <w:rsid w:val="00E96768"/>
    <w:pPr>
      <w:spacing w:after="120" w:line="240" w:lineRule="auto"/>
      <w:ind w:left="566"/>
    </w:pPr>
    <w:rPr>
      <w:rFonts w:ascii="Times New Roman" w:hAnsi="Times New Roman"/>
      <w:sz w:val="24"/>
      <w:szCs w:val="24"/>
      <w:lang w:val="pl-PL" w:eastAsia="pl-PL" w:bidi="ar-SA"/>
    </w:rPr>
  </w:style>
  <w:style w:type="paragraph" w:styleId="Lista">
    <w:name w:val="List"/>
    <w:basedOn w:val="Tekstpodstawowy"/>
    <w:semiHidden/>
    <w:rsid w:val="00E96768"/>
    <w:pPr>
      <w:suppressAutoHyphens/>
      <w:spacing w:line="240" w:lineRule="auto"/>
    </w:pPr>
    <w:rPr>
      <w:rFonts w:ascii="Times New Roman" w:hAnsi="Times New Roman" w:cs="Tahoma"/>
      <w:sz w:val="24"/>
      <w:szCs w:val="24"/>
      <w:lang w:val="pl-PL" w:eastAsia="ar-SA" w:bidi="ar-SA"/>
    </w:rPr>
  </w:style>
  <w:style w:type="paragraph" w:styleId="Lista-kontynuacja">
    <w:name w:val="List Continue"/>
    <w:basedOn w:val="Normalny"/>
    <w:semiHidden/>
    <w:rsid w:val="00E96768"/>
    <w:pPr>
      <w:spacing w:after="120" w:line="240" w:lineRule="auto"/>
      <w:ind w:left="283"/>
    </w:pPr>
    <w:rPr>
      <w:rFonts w:ascii="Times New Roman" w:hAnsi="Times New Roman"/>
      <w:sz w:val="24"/>
      <w:szCs w:val="24"/>
      <w:lang w:val="pl-PL" w:eastAsia="pl-PL" w:bidi="ar-SA"/>
    </w:rPr>
  </w:style>
  <w:style w:type="paragraph" w:customStyle="1" w:styleId="06Adresmiasto">
    <w:name w:val="@06.Adres_miasto"/>
    <w:basedOn w:val="Normalny"/>
    <w:next w:val="07Datapisma"/>
    <w:rsid w:val="00E96768"/>
    <w:pPr>
      <w:spacing w:after="180" w:line="240" w:lineRule="auto"/>
      <w:jc w:val="both"/>
    </w:pPr>
    <w:rPr>
      <w:sz w:val="18"/>
      <w:szCs w:val="18"/>
      <w:lang w:val="pl-PL" w:eastAsia="pl-PL" w:bidi="ar-SA"/>
    </w:rPr>
  </w:style>
  <w:style w:type="paragraph" w:customStyle="1" w:styleId="03ImieiNazwisko">
    <w:name w:val="@03.Imie_i_Nazwisko"/>
    <w:basedOn w:val="Normalny"/>
    <w:next w:val="04StanowiskoAdresata"/>
    <w:rsid w:val="00E96768"/>
    <w:pPr>
      <w:spacing w:before="180" w:after="0" w:line="240" w:lineRule="auto"/>
      <w:jc w:val="both"/>
    </w:pPr>
    <w:rPr>
      <w:szCs w:val="18"/>
      <w:lang w:val="pl-PL" w:eastAsia="pl-PL" w:bidi="ar-SA"/>
    </w:rPr>
  </w:style>
  <w:style w:type="paragraph" w:customStyle="1" w:styleId="05Adresulica">
    <w:name w:val="@05.Adres_ulica"/>
    <w:basedOn w:val="Normalny"/>
    <w:next w:val="06Adresmiasto"/>
    <w:rsid w:val="00E96768"/>
    <w:pPr>
      <w:spacing w:before="180" w:after="0" w:line="240" w:lineRule="auto"/>
      <w:jc w:val="both"/>
    </w:pPr>
    <w:rPr>
      <w:sz w:val="18"/>
      <w:szCs w:val="18"/>
      <w:lang w:val="pl-PL" w:eastAsia="pl-PL" w:bidi="ar-SA"/>
    </w:rPr>
  </w:style>
  <w:style w:type="paragraph" w:customStyle="1" w:styleId="xl26">
    <w:name w:val="xl26"/>
    <w:basedOn w:val="Normalny"/>
    <w:rsid w:val="00E96768"/>
    <w:pPr>
      <w:spacing w:before="100" w:beforeAutospacing="1" w:after="100" w:afterAutospacing="1" w:line="240" w:lineRule="auto"/>
      <w:jc w:val="center"/>
      <w:textAlignment w:val="center"/>
    </w:pPr>
    <w:rPr>
      <w:rFonts w:ascii="Times New Roman" w:eastAsia="Arial Unicode MS" w:hAnsi="Times New Roman"/>
      <w:sz w:val="24"/>
      <w:szCs w:val="24"/>
      <w:lang w:val="pl-PL" w:eastAsia="pl-PL" w:bidi="ar-SA"/>
    </w:rPr>
  </w:style>
  <w:style w:type="paragraph" w:customStyle="1" w:styleId="xl45">
    <w:name w:val="xl45"/>
    <w:basedOn w:val="Normalny"/>
    <w:rsid w:val="00E96768"/>
    <w:pPr>
      <w:pBdr>
        <w:top w:val="double" w:sz="6" w:space="0" w:color="auto"/>
        <w:left w:val="double" w:sz="6" w:space="0" w:color="auto"/>
        <w:bottom w:val="double" w:sz="6" w:space="0" w:color="auto"/>
      </w:pBdr>
      <w:spacing w:before="100" w:beforeAutospacing="1" w:after="100" w:afterAutospacing="1" w:line="240" w:lineRule="auto"/>
      <w:jc w:val="center"/>
      <w:textAlignment w:val="center"/>
    </w:pPr>
    <w:rPr>
      <w:rFonts w:ascii="Arial" w:eastAsia="Arial Unicode MS" w:hAnsi="Arial" w:cs="Arial"/>
      <w:b/>
      <w:bCs/>
      <w:color w:val="339966"/>
      <w:sz w:val="18"/>
      <w:szCs w:val="18"/>
      <w:lang w:val="pl-PL" w:eastAsia="pl-PL" w:bidi="ar-SA"/>
    </w:rPr>
  </w:style>
  <w:style w:type="paragraph" w:customStyle="1" w:styleId="xl24">
    <w:name w:val="xl24"/>
    <w:basedOn w:val="Normalny"/>
    <w:rsid w:val="00E96768"/>
    <w:pPr>
      <w:shd w:val="clear" w:color="auto" w:fill="CCFFFF"/>
      <w:spacing w:before="100" w:beforeAutospacing="1" w:after="100" w:afterAutospacing="1" w:line="240" w:lineRule="auto"/>
      <w:textAlignment w:val="center"/>
    </w:pPr>
    <w:rPr>
      <w:rFonts w:ascii="Arial" w:eastAsia="Arial Unicode MS" w:hAnsi="Arial" w:cs="Arial"/>
      <w:b/>
      <w:bCs/>
      <w:sz w:val="28"/>
      <w:szCs w:val="28"/>
      <w:lang w:val="pl-PL" w:eastAsia="pl-PL" w:bidi="ar-SA"/>
    </w:rPr>
  </w:style>
  <w:style w:type="paragraph" w:customStyle="1" w:styleId="xl25">
    <w:name w:val="xl25"/>
    <w:basedOn w:val="Normalny"/>
    <w:rsid w:val="00E96768"/>
    <w:pPr>
      <w:spacing w:before="100" w:beforeAutospacing="1" w:after="100" w:afterAutospacing="1" w:line="240" w:lineRule="auto"/>
      <w:textAlignment w:val="center"/>
    </w:pPr>
    <w:rPr>
      <w:rFonts w:ascii="Arial Unicode MS" w:eastAsia="Arial Unicode MS" w:hAnsi="Arial Unicode MS" w:cs="Arial Unicode MS"/>
      <w:sz w:val="24"/>
      <w:szCs w:val="24"/>
      <w:lang w:val="pl-PL" w:eastAsia="pl-PL" w:bidi="ar-SA"/>
    </w:rPr>
  </w:style>
  <w:style w:type="paragraph" w:customStyle="1" w:styleId="xl27">
    <w:name w:val="xl27"/>
    <w:basedOn w:val="Normalny"/>
    <w:rsid w:val="00E96768"/>
    <w:pPr>
      <w:pBdr>
        <w:bottom w:val="single" w:sz="4" w:space="0" w:color="auto"/>
      </w:pBdr>
      <w:spacing w:before="100" w:beforeAutospacing="1" w:after="100" w:afterAutospacing="1" w:line="240" w:lineRule="auto"/>
      <w:textAlignment w:val="center"/>
    </w:pPr>
    <w:rPr>
      <w:rFonts w:ascii="Arial" w:eastAsia="Arial Unicode MS" w:hAnsi="Arial" w:cs="Arial"/>
      <w:b/>
      <w:bCs/>
      <w:i/>
      <w:iCs/>
      <w:sz w:val="16"/>
      <w:szCs w:val="16"/>
      <w:lang w:val="pl-PL" w:eastAsia="pl-PL" w:bidi="ar-SA"/>
    </w:rPr>
  </w:style>
  <w:style w:type="paragraph" w:customStyle="1" w:styleId="xl28">
    <w:name w:val="xl28"/>
    <w:basedOn w:val="Normalny"/>
    <w:rsid w:val="00E9676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30">
    <w:name w:val="xl30"/>
    <w:basedOn w:val="Normalny"/>
    <w:rsid w:val="00E96768"/>
    <w:pPr>
      <w:pBdr>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pl-PL" w:eastAsia="pl-PL" w:bidi="ar-SA"/>
    </w:rPr>
  </w:style>
  <w:style w:type="paragraph" w:customStyle="1" w:styleId="xl31">
    <w:name w:val="xl31"/>
    <w:basedOn w:val="Normalny"/>
    <w:rsid w:val="00E96768"/>
    <w:pPr>
      <w:spacing w:before="100" w:beforeAutospacing="1" w:after="100" w:afterAutospacing="1" w:line="240" w:lineRule="auto"/>
      <w:textAlignment w:val="center"/>
    </w:pPr>
    <w:rPr>
      <w:rFonts w:ascii="Arial" w:eastAsia="Arial Unicode MS" w:hAnsi="Arial" w:cs="Arial"/>
      <w:b/>
      <w:bCs/>
      <w:i/>
      <w:iCs/>
      <w:sz w:val="16"/>
      <w:szCs w:val="16"/>
      <w:lang w:val="pl-PL" w:eastAsia="pl-PL" w:bidi="ar-SA"/>
    </w:rPr>
  </w:style>
  <w:style w:type="paragraph" w:customStyle="1" w:styleId="xl32">
    <w:name w:val="xl32"/>
    <w:basedOn w:val="Normalny"/>
    <w:rsid w:val="00E96768"/>
    <w:pPr>
      <w:pBdr>
        <w:left w:val="single" w:sz="8"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33">
    <w:name w:val="xl33"/>
    <w:basedOn w:val="Normalny"/>
    <w:rsid w:val="00E96768"/>
    <w:pPr>
      <w:pBdr>
        <w:right w:val="single" w:sz="4" w:space="0" w:color="auto"/>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35">
    <w:name w:val="xl35"/>
    <w:basedOn w:val="Normalny"/>
    <w:rsid w:val="00E96768"/>
    <w:pPr>
      <w:pBdr>
        <w:right w:val="single" w:sz="8" w:space="0" w:color="auto"/>
      </w:pBdr>
      <w:spacing w:before="100" w:beforeAutospacing="1" w:after="100" w:afterAutospacing="1" w:line="240" w:lineRule="auto"/>
      <w:jc w:val="center"/>
      <w:textAlignment w:val="center"/>
    </w:pPr>
    <w:rPr>
      <w:rFonts w:ascii="Arial" w:eastAsia="Arial Unicode MS" w:hAnsi="Arial" w:cs="Arial"/>
      <w:sz w:val="24"/>
      <w:szCs w:val="24"/>
      <w:lang w:val="pl-PL" w:eastAsia="pl-PL" w:bidi="ar-SA"/>
    </w:rPr>
  </w:style>
  <w:style w:type="paragraph" w:customStyle="1" w:styleId="xl37">
    <w:name w:val="xl37"/>
    <w:basedOn w:val="Normalny"/>
    <w:rsid w:val="00E96768"/>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color w:val="FF0000"/>
      <w:sz w:val="16"/>
      <w:szCs w:val="16"/>
      <w:lang w:val="pl-PL" w:eastAsia="pl-PL" w:bidi="ar-SA"/>
    </w:rPr>
  </w:style>
  <w:style w:type="paragraph" w:customStyle="1" w:styleId="xl38">
    <w:name w:val="xl38"/>
    <w:basedOn w:val="Normalny"/>
    <w:rsid w:val="00E96768"/>
    <w:pPr>
      <w:shd w:val="clear" w:color="auto" w:fill="CCFFFF"/>
      <w:spacing w:before="100" w:beforeAutospacing="1" w:after="100" w:afterAutospacing="1" w:line="240" w:lineRule="auto"/>
      <w:textAlignment w:val="center"/>
    </w:pPr>
    <w:rPr>
      <w:rFonts w:ascii="Arial" w:eastAsia="Arial Unicode MS" w:hAnsi="Arial" w:cs="Arial"/>
      <w:sz w:val="24"/>
      <w:szCs w:val="24"/>
      <w:lang w:val="pl-PL" w:eastAsia="pl-PL" w:bidi="ar-SA"/>
    </w:rPr>
  </w:style>
  <w:style w:type="paragraph" w:customStyle="1" w:styleId="xl39">
    <w:name w:val="xl39"/>
    <w:basedOn w:val="Normalny"/>
    <w:rsid w:val="00E96768"/>
    <w:pPr>
      <w:spacing w:before="100" w:beforeAutospacing="1" w:after="100" w:afterAutospacing="1" w:line="240" w:lineRule="auto"/>
      <w:textAlignment w:val="center"/>
    </w:pPr>
    <w:rPr>
      <w:rFonts w:ascii="Times New Roman" w:eastAsia="Arial Unicode MS" w:hAnsi="Times New Roman"/>
      <w:sz w:val="24"/>
      <w:szCs w:val="24"/>
      <w:lang w:val="pl-PL" w:eastAsia="pl-PL" w:bidi="ar-SA"/>
    </w:rPr>
  </w:style>
  <w:style w:type="paragraph" w:customStyle="1" w:styleId="xl40">
    <w:name w:val="xl40"/>
    <w:basedOn w:val="Normalny"/>
    <w:rsid w:val="00E96768"/>
    <w:pPr>
      <w:pBdr>
        <w:top w:val="single" w:sz="4" w:space="0" w:color="auto"/>
        <w:bottom w:val="single" w:sz="4" w:space="0" w:color="auto"/>
      </w:pBdr>
      <w:spacing w:before="100" w:beforeAutospacing="1" w:after="100" w:afterAutospacing="1" w:line="240" w:lineRule="auto"/>
      <w:textAlignment w:val="center"/>
    </w:pPr>
    <w:rPr>
      <w:rFonts w:ascii="Arial" w:eastAsia="Arial Unicode MS" w:hAnsi="Arial" w:cs="Arial"/>
      <w:b/>
      <w:bCs/>
      <w:i/>
      <w:iCs/>
      <w:sz w:val="16"/>
      <w:szCs w:val="16"/>
      <w:lang w:val="pl-PL" w:eastAsia="pl-PL" w:bidi="ar-SA"/>
    </w:rPr>
  </w:style>
  <w:style w:type="paragraph" w:customStyle="1" w:styleId="xl41">
    <w:name w:val="xl41"/>
    <w:basedOn w:val="Normalny"/>
    <w:rsid w:val="00E967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42">
    <w:name w:val="xl42"/>
    <w:basedOn w:val="Normalny"/>
    <w:rsid w:val="00E967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pl-PL" w:eastAsia="pl-PL" w:bidi="ar-SA"/>
    </w:rPr>
  </w:style>
  <w:style w:type="paragraph" w:customStyle="1" w:styleId="xl43">
    <w:name w:val="xl43"/>
    <w:basedOn w:val="Normalny"/>
    <w:rsid w:val="00E96768"/>
    <w:pPr>
      <w:pBdr>
        <w:right w:val="single" w:sz="8" w:space="0" w:color="auto"/>
      </w:pBdr>
      <w:spacing w:before="100" w:beforeAutospacing="1" w:after="100" w:afterAutospacing="1" w:line="240" w:lineRule="auto"/>
      <w:textAlignment w:val="center"/>
    </w:pPr>
    <w:rPr>
      <w:rFonts w:ascii="Arial" w:eastAsia="Arial Unicode MS" w:hAnsi="Arial" w:cs="Arial"/>
      <w:color w:val="FF0000"/>
      <w:sz w:val="24"/>
      <w:szCs w:val="24"/>
      <w:lang w:val="pl-PL" w:eastAsia="pl-PL" w:bidi="ar-SA"/>
    </w:rPr>
  </w:style>
  <w:style w:type="paragraph" w:customStyle="1" w:styleId="xl44">
    <w:name w:val="xl44"/>
    <w:basedOn w:val="Normalny"/>
    <w:rsid w:val="00E96768"/>
    <w:pPr>
      <w:spacing w:before="100" w:beforeAutospacing="1" w:after="100" w:afterAutospacing="1" w:line="240" w:lineRule="auto"/>
      <w:jc w:val="center"/>
      <w:textAlignment w:val="center"/>
    </w:pPr>
    <w:rPr>
      <w:rFonts w:ascii="Times New Roman" w:eastAsia="Arial Unicode MS" w:hAnsi="Times New Roman"/>
      <w:sz w:val="24"/>
      <w:szCs w:val="24"/>
      <w:lang w:val="pl-PL" w:eastAsia="pl-PL" w:bidi="ar-SA"/>
    </w:rPr>
  </w:style>
  <w:style w:type="paragraph" w:customStyle="1" w:styleId="xl46">
    <w:name w:val="xl46"/>
    <w:basedOn w:val="Normalny"/>
    <w:rsid w:val="00E96768"/>
    <w:pPr>
      <w:pBdr>
        <w:top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color w:val="339966"/>
      <w:sz w:val="18"/>
      <w:szCs w:val="18"/>
      <w:lang w:val="pl-PL" w:eastAsia="pl-PL" w:bidi="ar-SA"/>
    </w:rPr>
  </w:style>
  <w:style w:type="paragraph" w:customStyle="1" w:styleId="xl47">
    <w:name w:val="xl47"/>
    <w:basedOn w:val="Normalny"/>
    <w:rsid w:val="00E96768"/>
    <w:pPr>
      <w:pBdr>
        <w:top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color w:val="339966"/>
      <w:sz w:val="24"/>
      <w:szCs w:val="24"/>
      <w:lang w:val="pl-PL" w:eastAsia="pl-PL" w:bidi="ar-SA"/>
    </w:rPr>
  </w:style>
  <w:style w:type="paragraph" w:customStyle="1" w:styleId="xl48">
    <w:name w:val="xl48"/>
    <w:basedOn w:val="Normalny"/>
    <w:rsid w:val="00E96768"/>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Arial Unicode MS" w:hAnsi="Arial" w:cs="Arial"/>
      <w:b/>
      <w:bCs/>
      <w:color w:val="0000FF"/>
      <w:sz w:val="12"/>
      <w:szCs w:val="12"/>
      <w:lang w:val="pl-PL" w:eastAsia="pl-PL" w:bidi="ar-SA"/>
    </w:rPr>
  </w:style>
  <w:style w:type="paragraph" w:customStyle="1" w:styleId="xl50">
    <w:name w:val="xl50"/>
    <w:basedOn w:val="Normalny"/>
    <w:rsid w:val="00E96768"/>
    <w:pPr>
      <w:pBdr>
        <w:left w:val="single" w:sz="4" w:space="0" w:color="auto"/>
        <w:bottom w:val="single" w:sz="4" w:space="0" w:color="auto"/>
      </w:pBdr>
      <w:spacing w:before="100" w:beforeAutospacing="1" w:after="100" w:afterAutospacing="1" w:line="240" w:lineRule="auto"/>
      <w:textAlignment w:val="center"/>
    </w:pPr>
    <w:rPr>
      <w:rFonts w:ascii="Arial" w:eastAsia="Arial Unicode MS" w:hAnsi="Arial" w:cs="Arial"/>
      <w:b/>
      <w:bCs/>
      <w:i/>
      <w:iCs/>
      <w:sz w:val="16"/>
      <w:szCs w:val="16"/>
      <w:lang w:val="pl-PL" w:eastAsia="pl-PL" w:bidi="ar-SA"/>
    </w:rPr>
  </w:style>
  <w:style w:type="paragraph" w:customStyle="1" w:styleId="xl51">
    <w:name w:val="xl51"/>
    <w:basedOn w:val="Normalny"/>
    <w:rsid w:val="00E9676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52">
    <w:name w:val="xl52"/>
    <w:basedOn w:val="Normalny"/>
    <w:rsid w:val="00E96768"/>
    <w:pPr>
      <w:spacing w:before="100" w:beforeAutospacing="1" w:after="100" w:afterAutospacing="1" w:line="240" w:lineRule="auto"/>
      <w:textAlignment w:val="center"/>
    </w:pPr>
    <w:rPr>
      <w:rFonts w:ascii="Arial Unicode MS" w:eastAsia="Arial Unicode MS" w:hAnsi="Arial Unicode MS" w:cs="Arial Unicode MS"/>
      <w:sz w:val="24"/>
      <w:szCs w:val="24"/>
      <w:lang w:val="pl-PL" w:eastAsia="pl-PL" w:bidi="ar-SA"/>
    </w:rPr>
  </w:style>
  <w:style w:type="paragraph" w:customStyle="1" w:styleId="xl53">
    <w:name w:val="xl53"/>
    <w:basedOn w:val="Normalny"/>
    <w:rsid w:val="00E9676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54">
    <w:name w:val="xl54"/>
    <w:basedOn w:val="Normalny"/>
    <w:rsid w:val="00E96768"/>
    <w:pPr>
      <w:spacing w:before="100" w:beforeAutospacing="1" w:after="100" w:afterAutospacing="1" w:line="240" w:lineRule="auto"/>
      <w:jc w:val="center"/>
      <w:textAlignment w:val="center"/>
    </w:pPr>
    <w:rPr>
      <w:rFonts w:ascii="Arial" w:eastAsia="Arial Unicode MS" w:hAnsi="Arial" w:cs="Arial"/>
      <w:b/>
      <w:bCs/>
      <w:color w:val="339966"/>
      <w:sz w:val="14"/>
      <w:szCs w:val="14"/>
      <w:lang w:val="pl-PL" w:eastAsia="pl-PL" w:bidi="ar-SA"/>
    </w:rPr>
  </w:style>
  <w:style w:type="paragraph" w:customStyle="1" w:styleId="xl55">
    <w:name w:val="xl55"/>
    <w:basedOn w:val="Normalny"/>
    <w:rsid w:val="00E96768"/>
    <w:pPr>
      <w:spacing w:before="100" w:beforeAutospacing="1" w:after="100" w:afterAutospacing="1" w:line="240" w:lineRule="auto"/>
      <w:jc w:val="center"/>
      <w:textAlignment w:val="center"/>
    </w:pPr>
    <w:rPr>
      <w:rFonts w:ascii="Arial" w:eastAsia="Arial Unicode MS" w:hAnsi="Arial" w:cs="Arial"/>
      <w:b/>
      <w:bCs/>
      <w:color w:val="339966"/>
      <w:sz w:val="24"/>
      <w:szCs w:val="24"/>
      <w:lang w:val="pl-PL" w:eastAsia="pl-PL" w:bidi="ar-SA"/>
    </w:rPr>
  </w:style>
  <w:style w:type="paragraph" w:customStyle="1" w:styleId="xl56">
    <w:name w:val="xl56"/>
    <w:basedOn w:val="Normalny"/>
    <w:rsid w:val="00E96768"/>
    <w:pPr>
      <w:pBdr>
        <w:top w:val="single" w:sz="4" w:space="0" w:color="auto"/>
        <w:left w:val="single" w:sz="4" w:space="0" w:color="000000"/>
        <w:bottom w:val="single" w:sz="4" w:space="0" w:color="auto"/>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57">
    <w:name w:val="xl57"/>
    <w:basedOn w:val="Normalny"/>
    <w:rsid w:val="00E96768"/>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Arial Unicode MS" w:hAnsi="Arial" w:cs="Arial"/>
      <w:b/>
      <w:bCs/>
      <w:sz w:val="16"/>
      <w:szCs w:val="16"/>
      <w:lang w:val="pl-PL" w:eastAsia="pl-PL" w:bidi="ar-SA"/>
    </w:rPr>
  </w:style>
  <w:style w:type="paragraph" w:customStyle="1" w:styleId="xl58">
    <w:name w:val="xl58"/>
    <w:basedOn w:val="Normalny"/>
    <w:rsid w:val="00E96768"/>
    <w:pPr>
      <w:pBdr>
        <w:right w:val="single" w:sz="4" w:space="0" w:color="auto"/>
      </w:pBdr>
      <w:spacing w:before="100" w:beforeAutospacing="1" w:after="100" w:afterAutospacing="1" w:line="240" w:lineRule="auto"/>
      <w:textAlignment w:val="center"/>
    </w:pPr>
    <w:rPr>
      <w:rFonts w:ascii="Arial" w:eastAsia="Arial Unicode MS" w:hAnsi="Arial" w:cs="Arial"/>
      <w:b/>
      <w:bCs/>
      <w:sz w:val="28"/>
      <w:szCs w:val="28"/>
      <w:lang w:val="pl-PL" w:eastAsia="pl-PL" w:bidi="ar-SA"/>
    </w:rPr>
  </w:style>
  <w:style w:type="paragraph" w:customStyle="1" w:styleId="xl59">
    <w:name w:val="xl59"/>
    <w:basedOn w:val="Normalny"/>
    <w:rsid w:val="00E96768"/>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Arial Unicode MS" w:hAnsi="Arial" w:cs="Arial"/>
      <w:color w:val="0000FF"/>
      <w:sz w:val="14"/>
      <w:szCs w:val="14"/>
      <w:lang w:val="pl-PL" w:eastAsia="pl-PL" w:bidi="ar-SA"/>
    </w:rPr>
  </w:style>
  <w:style w:type="paragraph" w:customStyle="1" w:styleId="xl60">
    <w:name w:val="xl60"/>
    <w:basedOn w:val="Normalny"/>
    <w:rsid w:val="00E96768"/>
    <w:pPr>
      <w:pBdr>
        <w:left w:val="single" w:sz="4" w:space="0" w:color="auto"/>
        <w:right w:val="single" w:sz="8" w:space="0" w:color="auto"/>
      </w:pBdr>
      <w:spacing w:before="100" w:beforeAutospacing="1" w:after="100" w:afterAutospacing="1" w:line="240" w:lineRule="auto"/>
      <w:jc w:val="center"/>
      <w:textAlignment w:val="center"/>
    </w:pPr>
    <w:rPr>
      <w:rFonts w:ascii="Arial" w:eastAsia="Arial Unicode MS" w:hAnsi="Arial" w:cs="Arial"/>
      <w:color w:val="0000FF"/>
      <w:sz w:val="14"/>
      <w:szCs w:val="14"/>
      <w:lang w:val="pl-PL" w:eastAsia="pl-PL" w:bidi="ar-SA"/>
    </w:rPr>
  </w:style>
  <w:style w:type="paragraph" w:customStyle="1" w:styleId="xl61">
    <w:name w:val="xl61"/>
    <w:basedOn w:val="Normalny"/>
    <w:rsid w:val="00E96768"/>
    <w:pPr>
      <w:pBdr>
        <w:left w:val="single" w:sz="4"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Arial Unicode MS" w:hAnsi="Arial" w:cs="Arial"/>
      <w:color w:val="0000FF"/>
      <w:sz w:val="14"/>
      <w:szCs w:val="14"/>
      <w:lang w:val="pl-PL" w:eastAsia="pl-PL" w:bidi="ar-SA"/>
    </w:rPr>
  </w:style>
  <w:style w:type="paragraph" w:customStyle="1" w:styleId="xl62">
    <w:name w:val="xl62"/>
    <w:basedOn w:val="Normalny"/>
    <w:rsid w:val="00E9676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Arial Unicode MS" w:hAnsi="Arial" w:cs="Arial"/>
      <w:color w:val="0000FF"/>
      <w:sz w:val="14"/>
      <w:szCs w:val="14"/>
      <w:lang w:val="pl-PL" w:eastAsia="pl-PL" w:bidi="ar-SA"/>
    </w:rPr>
  </w:style>
  <w:style w:type="paragraph" w:customStyle="1" w:styleId="xl63">
    <w:name w:val="xl63"/>
    <w:basedOn w:val="Normalny"/>
    <w:rsid w:val="00E96768"/>
    <w:pPr>
      <w:pBdr>
        <w:top w:val="single" w:sz="4" w:space="0" w:color="auto"/>
        <w:bottom w:val="single" w:sz="4" w:space="0" w:color="auto"/>
      </w:pBdr>
      <w:spacing w:before="100" w:beforeAutospacing="1" w:after="100" w:afterAutospacing="1" w:line="240" w:lineRule="auto"/>
      <w:jc w:val="center"/>
      <w:textAlignment w:val="center"/>
    </w:pPr>
    <w:rPr>
      <w:rFonts w:ascii="Arial" w:eastAsia="Arial Unicode MS" w:hAnsi="Arial" w:cs="Arial"/>
      <w:color w:val="0000FF"/>
      <w:sz w:val="14"/>
      <w:szCs w:val="14"/>
      <w:lang w:val="pl-PL" w:eastAsia="pl-PL" w:bidi="ar-SA"/>
    </w:rPr>
  </w:style>
  <w:style w:type="paragraph" w:customStyle="1" w:styleId="xl64">
    <w:name w:val="xl64"/>
    <w:basedOn w:val="Normalny"/>
    <w:rsid w:val="00E967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color w:val="0000FF"/>
      <w:sz w:val="14"/>
      <w:szCs w:val="14"/>
      <w:lang w:val="pl-PL" w:eastAsia="pl-PL" w:bidi="ar-SA"/>
    </w:rPr>
  </w:style>
  <w:style w:type="paragraph" w:customStyle="1" w:styleId="xl89">
    <w:name w:val="xl89"/>
    <w:basedOn w:val="Normalny"/>
    <w:rsid w:val="00E96768"/>
    <w:pPr>
      <w:pBdr>
        <w:left w:val="single" w:sz="4" w:space="0" w:color="000000"/>
        <w:bottom w:val="single" w:sz="4" w:space="0" w:color="000000"/>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90">
    <w:name w:val="xl90"/>
    <w:basedOn w:val="Normalny"/>
    <w:rsid w:val="00E96768"/>
    <w:pPr>
      <w:pBdr>
        <w:bottom w:val="single" w:sz="4" w:space="0" w:color="000000"/>
        <w:right w:val="single" w:sz="4" w:space="0" w:color="000000"/>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91">
    <w:name w:val="xl91"/>
    <w:basedOn w:val="Normalny"/>
    <w:rsid w:val="00E9676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92">
    <w:name w:val="xl92"/>
    <w:basedOn w:val="Normalny"/>
    <w:rsid w:val="00E96768"/>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93">
    <w:name w:val="xl93"/>
    <w:basedOn w:val="Normalny"/>
    <w:rsid w:val="00E96768"/>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94">
    <w:name w:val="xl94"/>
    <w:basedOn w:val="Normalny"/>
    <w:rsid w:val="00E96768"/>
    <w:pPr>
      <w:pBdr>
        <w:top w:val="single" w:sz="4" w:space="0" w:color="000000"/>
        <w:left w:val="single" w:sz="4" w:space="0" w:color="000000"/>
        <w:bottom w:val="single" w:sz="4" w:space="0" w:color="auto"/>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95">
    <w:name w:val="xl95"/>
    <w:basedOn w:val="Normalny"/>
    <w:rsid w:val="00E96768"/>
    <w:pPr>
      <w:pBdr>
        <w:top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Arial" w:eastAsia="Arial Unicode MS" w:hAnsi="Arial" w:cs="Arial"/>
      <w:sz w:val="16"/>
      <w:szCs w:val="16"/>
      <w:lang w:val="pl-PL" w:eastAsia="pl-PL" w:bidi="ar-SA"/>
    </w:rPr>
  </w:style>
  <w:style w:type="paragraph" w:customStyle="1" w:styleId="xl96">
    <w:name w:val="xl96"/>
    <w:basedOn w:val="Normalny"/>
    <w:rsid w:val="00E96768"/>
    <w:pPr>
      <w:pBdr>
        <w:left w:val="single" w:sz="4" w:space="0" w:color="000000"/>
      </w:pBdr>
      <w:spacing w:before="100" w:beforeAutospacing="1" w:after="100" w:afterAutospacing="1" w:line="240" w:lineRule="auto"/>
      <w:textAlignment w:val="center"/>
    </w:pPr>
    <w:rPr>
      <w:rFonts w:ascii="Arial" w:eastAsia="Arial Unicode MS" w:hAnsi="Arial" w:cs="Arial"/>
      <w:i/>
      <w:iCs/>
      <w:sz w:val="12"/>
      <w:szCs w:val="12"/>
      <w:lang w:val="pl-PL" w:eastAsia="pl-PL" w:bidi="ar-SA"/>
    </w:rPr>
  </w:style>
  <w:style w:type="paragraph" w:customStyle="1" w:styleId="xl97">
    <w:name w:val="xl97"/>
    <w:basedOn w:val="Normalny"/>
    <w:rsid w:val="00E96768"/>
    <w:pPr>
      <w:spacing w:before="100" w:beforeAutospacing="1" w:after="100" w:afterAutospacing="1" w:line="240" w:lineRule="auto"/>
      <w:textAlignment w:val="center"/>
    </w:pPr>
    <w:rPr>
      <w:rFonts w:ascii="Arial" w:eastAsia="Arial Unicode MS" w:hAnsi="Arial" w:cs="Arial"/>
      <w:i/>
      <w:iCs/>
      <w:sz w:val="12"/>
      <w:szCs w:val="12"/>
      <w:lang w:val="pl-PL" w:eastAsia="pl-PL" w:bidi="ar-SA"/>
    </w:rPr>
  </w:style>
  <w:style w:type="paragraph" w:customStyle="1" w:styleId="xl98">
    <w:name w:val="xl98"/>
    <w:basedOn w:val="Normalny"/>
    <w:rsid w:val="00E96768"/>
    <w:pPr>
      <w:pBdr>
        <w:left w:val="single" w:sz="4" w:space="0" w:color="000000"/>
      </w:pBdr>
      <w:spacing w:before="100" w:beforeAutospacing="1" w:after="100" w:afterAutospacing="1" w:line="240" w:lineRule="auto"/>
      <w:textAlignment w:val="center"/>
    </w:pPr>
    <w:rPr>
      <w:rFonts w:ascii="Arial" w:eastAsia="Arial Unicode MS" w:hAnsi="Arial" w:cs="Arial"/>
      <w:i/>
      <w:iCs/>
      <w:sz w:val="12"/>
      <w:szCs w:val="12"/>
      <w:lang w:val="pl-PL" w:eastAsia="pl-PL" w:bidi="ar-SA"/>
    </w:rPr>
  </w:style>
  <w:style w:type="paragraph" w:customStyle="1" w:styleId="xl99">
    <w:name w:val="xl99"/>
    <w:basedOn w:val="Normalny"/>
    <w:rsid w:val="00E96768"/>
    <w:pPr>
      <w:spacing w:before="100" w:beforeAutospacing="1" w:after="100" w:afterAutospacing="1" w:line="240" w:lineRule="auto"/>
      <w:textAlignment w:val="center"/>
    </w:pPr>
    <w:rPr>
      <w:rFonts w:ascii="Arial" w:eastAsia="Arial Unicode MS" w:hAnsi="Arial" w:cs="Arial"/>
      <w:i/>
      <w:iCs/>
      <w:sz w:val="12"/>
      <w:szCs w:val="12"/>
      <w:lang w:val="pl-PL" w:eastAsia="pl-PL" w:bidi="ar-SA"/>
    </w:rPr>
  </w:style>
  <w:style w:type="character" w:customStyle="1" w:styleId="fontmediumbold">
    <w:name w:val="fontmediumbold"/>
    <w:basedOn w:val="Domylnaczcionkaakapitu"/>
    <w:rsid w:val="00E96768"/>
  </w:style>
  <w:style w:type="paragraph" w:customStyle="1" w:styleId="Tekstpodstawowywcity1">
    <w:name w:val="Tekst podstawowy wcięty1"/>
    <w:basedOn w:val="Normalny"/>
    <w:rsid w:val="00E96768"/>
    <w:pPr>
      <w:widowControl w:val="0"/>
      <w:autoSpaceDE w:val="0"/>
      <w:autoSpaceDN w:val="0"/>
      <w:adjustRightInd w:val="0"/>
      <w:spacing w:after="0" w:line="240" w:lineRule="auto"/>
      <w:ind w:left="1080"/>
      <w:jc w:val="both"/>
    </w:pPr>
    <w:rPr>
      <w:rFonts w:ascii="Bookman Old Style" w:hAnsi="Bookman Old Style"/>
      <w:sz w:val="28"/>
      <w:szCs w:val="28"/>
      <w:lang w:val="pl-PL" w:eastAsia="pl-PL" w:bidi="ar-SA"/>
    </w:rPr>
  </w:style>
  <w:style w:type="paragraph" w:styleId="Tekstblokowy">
    <w:name w:val="Block Text"/>
    <w:basedOn w:val="Normalny"/>
    <w:uiPriority w:val="99"/>
    <w:rsid w:val="00E96768"/>
    <w:pPr>
      <w:spacing w:after="0" w:line="240" w:lineRule="auto"/>
      <w:ind w:left="360" w:right="-108"/>
      <w:jc w:val="both"/>
    </w:pPr>
    <w:rPr>
      <w:color w:val="FF0000"/>
      <w:szCs w:val="24"/>
      <w:lang w:val="pl-PL" w:eastAsia="pl-PL" w:bidi="ar-SA"/>
    </w:rPr>
  </w:style>
  <w:style w:type="paragraph" w:customStyle="1" w:styleId="Tekstwstpniesformatowany">
    <w:name w:val="Tekst wstępnie sformatowany"/>
    <w:basedOn w:val="Normalny"/>
    <w:rsid w:val="00E96768"/>
    <w:pPr>
      <w:suppressAutoHyphens/>
      <w:spacing w:after="0" w:line="240" w:lineRule="auto"/>
    </w:pPr>
    <w:rPr>
      <w:rFonts w:ascii="Courier New" w:eastAsia="Bitstream Vera Sans Mono" w:hAnsi="Courier New" w:cs="Courier New"/>
      <w:szCs w:val="20"/>
      <w:lang w:val="pl-PL" w:eastAsia="pl-PL" w:bidi="ar-SA"/>
    </w:rPr>
  </w:style>
  <w:style w:type="paragraph" w:customStyle="1" w:styleId="WW-Normal">
    <w:name w:val="WW-Normal"/>
    <w:rsid w:val="00E96768"/>
    <w:pPr>
      <w:suppressAutoHyphens/>
      <w:autoSpaceDE w:val="0"/>
    </w:pPr>
    <w:rPr>
      <w:rFonts w:eastAsia="Times New Roman"/>
      <w:color w:val="000000"/>
      <w:sz w:val="24"/>
      <w:szCs w:val="24"/>
      <w:lang w:eastAsia="zh-CN"/>
    </w:rPr>
  </w:style>
  <w:style w:type="character" w:customStyle="1" w:styleId="h2">
    <w:name w:val="h2"/>
    <w:basedOn w:val="Domylnaczcionkaakapitu"/>
    <w:rsid w:val="00E96768"/>
  </w:style>
  <w:style w:type="paragraph" w:customStyle="1" w:styleId="O">
    <w:name w:val="O"/>
    <w:basedOn w:val="Normalny"/>
    <w:rsid w:val="00E96768"/>
    <w:pPr>
      <w:spacing w:after="0" w:line="240" w:lineRule="auto"/>
    </w:pPr>
    <w:rPr>
      <w:rFonts w:ascii="Times New Roman" w:hAnsi="Times New Roman"/>
      <w:sz w:val="24"/>
      <w:szCs w:val="20"/>
      <w:lang w:val="pl-PL" w:eastAsia="pl-PL" w:bidi="ar-SA"/>
    </w:rPr>
  </w:style>
  <w:style w:type="paragraph" w:customStyle="1" w:styleId="Tekstpodstawowywcity0">
    <w:name w:val="Tekst podstawowy wci?ty"/>
    <w:basedOn w:val="Normalny"/>
    <w:rsid w:val="00E96768"/>
    <w:pPr>
      <w:widowControl w:val="0"/>
      <w:spacing w:after="0" w:line="240" w:lineRule="auto"/>
      <w:ind w:right="51"/>
      <w:jc w:val="both"/>
    </w:pPr>
    <w:rPr>
      <w:rFonts w:ascii="Times New Roman" w:hAnsi="Times New Roman"/>
      <w:sz w:val="24"/>
      <w:szCs w:val="20"/>
      <w:lang w:val="pl-PL" w:eastAsia="pl-PL" w:bidi="ar-SA"/>
    </w:rPr>
  </w:style>
  <w:style w:type="paragraph" w:customStyle="1" w:styleId="contact-position">
    <w:name w:val="contact-position"/>
    <w:basedOn w:val="Normalny"/>
    <w:rsid w:val="00E96768"/>
    <w:pPr>
      <w:spacing w:before="100" w:beforeAutospacing="1" w:after="100" w:afterAutospacing="1" w:line="240" w:lineRule="auto"/>
    </w:pPr>
    <w:rPr>
      <w:rFonts w:ascii="Times New Roman" w:hAnsi="Times New Roman"/>
      <w:sz w:val="24"/>
      <w:szCs w:val="24"/>
      <w:lang w:val="pl-PL" w:eastAsia="pl-PL" w:bidi="ar-SA"/>
    </w:rPr>
  </w:style>
  <w:style w:type="paragraph" w:customStyle="1" w:styleId="TableContents">
    <w:name w:val="Table Contents"/>
    <w:basedOn w:val="Standard"/>
    <w:rsid w:val="00E96768"/>
    <w:pPr>
      <w:widowControl/>
      <w:suppressLineNumbers/>
      <w:spacing w:after="0" w:line="240" w:lineRule="auto"/>
      <w:textAlignment w:val="baseline"/>
    </w:pPr>
    <w:rPr>
      <w:rFonts w:ascii="Times New Roman" w:eastAsia="Times New Roman" w:hAnsi="Times New Roman"/>
      <w:lang w:eastAsia="zh-CN"/>
    </w:rPr>
  </w:style>
  <w:style w:type="paragraph" w:customStyle="1" w:styleId="Tematkomentarza1">
    <w:name w:val="Temat komentarza1"/>
    <w:basedOn w:val="Tekstkomentarza"/>
    <w:next w:val="Tekstkomentarza"/>
    <w:rsid w:val="00E96768"/>
    <w:pPr>
      <w:spacing w:line="240" w:lineRule="auto"/>
    </w:pPr>
    <w:rPr>
      <w:rFonts w:ascii="Calibri" w:hAnsi="Calibri"/>
      <w:b/>
      <w:bCs/>
      <w:lang w:val="pl-PL" w:bidi="ar-SA"/>
    </w:rPr>
  </w:style>
  <w:style w:type="paragraph" w:customStyle="1" w:styleId="Footer">
    <w:name w:val="Footer"/>
    <w:basedOn w:val="Normalny"/>
    <w:rsid w:val="00E96768"/>
    <w:pPr>
      <w:tabs>
        <w:tab w:val="center" w:pos="4536"/>
        <w:tab w:val="right" w:pos="9072"/>
      </w:tabs>
      <w:suppressAutoHyphens/>
      <w:spacing w:after="0" w:line="240" w:lineRule="auto"/>
    </w:pPr>
    <w:rPr>
      <w:rFonts w:ascii="Times New Roman" w:hAnsi="Times New Roman"/>
      <w:color w:val="00000A"/>
      <w:sz w:val="24"/>
      <w:szCs w:val="24"/>
      <w:lang w:val="pl-PL" w:eastAsia="zh-CN" w:bidi="ar-SA"/>
    </w:rPr>
  </w:style>
  <w:style w:type="paragraph" w:customStyle="1" w:styleId="Tekstpodstawowywcity20">
    <w:name w:val="Tekst podstawowy wcięty2"/>
    <w:basedOn w:val="Normalny"/>
    <w:rsid w:val="00E96768"/>
    <w:pPr>
      <w:widowControl w:val="0"/>
      <w:autoSpaceDE w:val="0"/>
      <w:autoSpaceDN w:val="0"/>
      <w:adjustRightInd w:val="0"/>
      <w:spacing w:after="0" w:line="240" w:lineRule="auto"/>
      <w:ind w:left="1080"/>
      <w:jc w:val="both"/>
    </w:pPr>
    <w:rPr>
      <w:rFonts w:ascii="Bookman Old Style" w:hAnsi="Bookman Old Style"/>
      <w:sz w:val="28"/>
      <w:szCs w:val="28"/>
      <w:lang w:val="pl-PL" w:eastAsia="pl-PL" w:bidi="ar-SA"/>
    </w:rPr>
  </w:style>
  <w:style w:type="character" w:customStyle="1" w:styleId="EndnoteTextChar">
    <w:name w:val="Endnote Text Char"/>
    <w:basedOn w:val="Domylnaczcionkaakapitu"/>
    <w:rsid w:val="007A4D59"/>
    <w:rPr>
      <w:rFonts w:ascii="Times New (W1)" w:hAnsi="Times New (W1)" w:cs="Times New Roman"/>
      <w:b/>
      <w:sz w:val="20"/>
      <w:szCs w:val="20"/>
      <w:lang w:eastAsia="pl-PL"/>
    </w:rPr>
  </w:style>
  <w:style w:type="paragraph" w:customStyle="1" w:styleId="Tekstdymka2">
    <w:name w:val="Tekst dymka2"/>
    <w:basedOn w:val="Normalny"/>
    <w:rsid w:val="007A4D59"/>
    <w:pPr>
      <w:spacing w:after="0" w:line="240" w:lineRule="auto"/>
    </w:pPr>
    <w:rPr>
      <w:rFonts w:ascii="Tahoma" w:hAnsi="Tahoma" w:cs="Tahoma"/>
      <w:b/>
      <w:sz w:val="16"/>
      <w:szCs w:val="16"/>
      <w:lang w:val="pl-PL" w:eastAsia="pl-PL" w:bidi="ar-SA"/>
    </w:rPr>
  </w:style>
  <w:style w:type="character" w:customStyle="1" w:styleId="ListParagraphChar">
    <w:name w:val="List Paragraph Char"/>
    <w:aliases w:val="BulletC Char,Obiekt Char,List Paragraph1 Char,Akapit z listą31 Char,Numerowanie Char,Akapit z listą BS Char"/>
    <w:basedOn w:val="Domylnaczcionkaakapitu"/>
    <w:rsid w:val="007A4D59"/>
    <w:rPr>
      <w:rFonts w:ascii="Times New (W1)" w:hAnsi="Times New (W1)" w:cs="Times New Roman"/>
      <w:b/>
      <w:sz w:val="16"/>
      <w:szCs w:val="16"/>
      <w:lang w:eastAsia="pl-PL"/>
    </w:rPr>
  </w:style>
  <w:style w:type="paragraph" w:customStyle="1" w:styleId="Tekstpodstawowywcity30">
    <w:name w:val="Tekst podstawowy wcięty3"/>
    <w:basedOn w:val="Normalny"/>
    <w:rsid w:val="007A4D59"/>
    <w:pPr>
      <w:tabs>
        <w:tab w:val="num" w:pos="720"/>
      </w:tabs>
      <w:suppressAutoHyphens/>
      <w:spacing w:after="0" w:line="240" w:lineRule="auto"/>
      <w:ind w:left="708" w:hanging="64"/>
      <w:jc w:val="both"/>
    </w:pPr>
    <w:rPr>
      <w:szCs w:val="20"/>
      <w:lang w:val="pl-PL" w:eastAsia="pl-PL" w:bidi="ar-SA"/>
    </w:rPr>
  </w:style>
  <w:style w:type="character" w:customStyle="1" w:styleId="FootnoteTextChar">
    <w:name w:val="Footnote Text Char"/>
    <w:basedOn w:val="Domylnaczcionkaakapitu"/>
    <w:rsid w:val="007A4D59"/>
    <w:rPr>
      <w:rFonts w:ascii="Times New (W1)" w:hAnsi="Times New (W1)" w:cs="Times New Roman"/>
      <w:b/>
      <w:sz w:val="20"/>
      <w:szCs w:val="20"/>
      <w:lang w:eastAsia="pl-PL"/>
    </w:rPr>
  </w:style>
  <w:style w:type="character" w:customStyle="1" w:styleId="FontStyle74">
    <w:name w:val="Font Style74"/>
    <w:basedOn w:val="Domylnaczcionkaakapitu"/>
    <w:rsid w:val="007A4D59"/>
    <w:rPr>
      <w:rFonts w:ascii="Verdana" w:hAnsi="Verdana" w:cs="Verdana"/>
      <w:sz w:val="18"/>
      <w:szCs w:val="18"/>
    </w:rPr>
  </w:style>
  <w:style w:type="character" w:customStyle="1" w:styleId="CommentTextChar">
    <w:name w:val="Comment Text Char"/>
    <w:basedOn w:val="Domylnaczcionkaakapitu"/>
    <w:rsid w:val="007A4D59"/>
    <w:rPr>
      <w:rFonts w:ascii="Times New Roman" w:hAnsi="Times New Roman" w:cs="Times New Roman"/>
      <w:sz w:val="20"/>
      <w:szCs w:val="20"/>
    </w:rPr>
  </w:style>
  <w:style w:type="paragraph" w:customStyle="1" w:styleId="ANSEE">
    <w:name w:val="ANSEE"/>
    <w:basedOn w:val="Normalny"/>
    <w:qFormat/>
    <w:rsid w:val="007A4D59"/>
    <w:pPr>
      <w:widowControl w:val="0"/>
      <w:tabs>
        <w:tab w:val="left" w:pos="1800"/>
        <w:tab w:val="left" w:pos="2660"/>
        <w:tab w:val="left" w:pos="3080"/>
        <w:tab w:val="left" w:pos="4640"/>
        <w:tab w:val="left" w:pos="5880"/>
        <w:tab w:val="left" w:pos="6280"/>
        <w:tab w:val="left" w:pos="7340"/>
        <w:tab w:val="left" w:pos="8360"/>
      </w:tabs>
      <w:suppressAutoHyphens/>
      <w:autoSpaceDE w:val="0"/>
      <w:autoSpaceDN w:val="0"/>
      <w:adjustRightInd w:val="0"/>
      <w:spacing w:before="3" w:after="0" w:line="360" w:lineRule="auto"/>
      <w:ind w:firstLine="708"/>
      <w:jc w:val="both"/>
    </w:pPr>
    <w:rPr>
      <w:rFonts w:ascii="Times New Roman" w:eastAsia="MS Mincho" w:hAnsi="Times New Roman"/>
      <w:sz w:val="24"/>
      <w:szCs w:val="24"/>
      <w:lang w:val="pl-PL" w:eastAsia="ar-SA" w:bidi="ar-SA"/>
    </w:rPr>
  </w:style>
  <w:style w:type="character" w:customStyle="1" w:styleId="ANSEEZnak">
    <w:name w:val="ANSEE Znak"/>
    <w:rsid w:val="007A4D59"/>
    <w:rPr>
      <w:rFonts w:ascii="Times New Roman" w:eastAsia="MS Mincho" w:hAnsi="Times New Roman"/>
      <w:sz w:val="24"/>
      <w:lang w:eastAsia="ar-SA" w:bidi="ar-SA"/>
    </w:rPr>
  </w:style>
  <w:style w:type="paragraph" w:customStyle="1" w:styleId="txtlead">
    <w:name w:val="txtlead"/>
    <w:basedOn w:val="Normalny"/>
    <w:rsid w:val="007A4D59"/>
    <w:pPr>
      <w:spacing w:before="100" w:beforeAutospacing="1" w:after="100" w:afterAutospacing="1" w:line="240" w:lineRule="auto"/>
    </w:pPr>
    <w:rPr>
      <w:rFonts w:ascii="Times New Roman" w:hAnsi="Times New Roman"/>
      <w:sz w:val="24"/>
      <w:szCs w:val="24"/>
      <w:lang w:val="pl-PL" w:eastAsia="pl-PL" w:bidi="ar-SA"/>
    </w:rPr>
  </w:style>
  <w:style w:type="character" w:customStyle="1" w:styleId="info-list-value-uzasadnienie">
    <w:name w:val="info-list-value-uzasadnienie"/>
    <w:basedOn w:val="Domylnaczcionkaakapitu"/>
    <w:rsid w:val="007A4D59"/>
  </w:style>
  <w:style w:type="paragraph" w:styleId="Spisilustracji">
    <w:name w:val="table of figures"/>
    <w:aliases w:val="Tab."/>
    <w:basedOn w:val="Normalny"/>
    <w:next w:val="Normalny"/>
    <w:unhideWhenUsed/>
    <w:rsid w:val="007A4D59"/>
    <w:pPr>
      <w:spacing w:after="0" w:line="240" w:lineRule="auto"/>
    </w:pPr>
    <w:rPr>
      <w:rFonts w:ascii="Times New Roman" w:hAnsi="Times New Roman"/>
      <w:sz w:val="24"/>
      <w:szCs w:val="24"/>
      <w:lang w:val="pl-PL" w:eastAsia="pl-PL" w:bidi="ar-SA"/>
    </w:rPr>
  </w:style>
  <w:style w:type="paragraph" w:customStyle="1" w:styleId="Dzialrozdzial">
    <w:name w:val="@Dzial_rozdzial"/>
    <w:basedOn w:val="Normalny"/>
    <w:link w:val="DzialrozdzialZnak"/>
    <w:qFormat/>
    <w:rsid w:val="007A4D59"/>
    <w:pPr>
      <w:keepNext/>
      <w:numPr>
        <w:numId w:val="254"/>
      </w:numPr>
      <w:tabs>
        <w:tab w:val="left" w:pos="360"/>
      </w:tabs>
      <w:spacing w:before="240" w:after="60" w:line="240" w:lineRule="auto"/>
      <w:ind w:left="357" w:hanging="357"/>
      <w:jc w:val="both"/>
      <w:outlineLvl w:val="3"/>
    </w:pPr>
    <w:rPr>
      <w:b/>
      <w:bCs/>
      <w:iCs/>
      <w:color w:val="000000"/>
      <w:sz w:val="24"/>
      <w:szCs w:val="20"/>
      <w:lang w:bidi="ar-SA"/>
    </w:rPr>
  </w:style>
  <w:style w:type="character" w:customStyle="1" w:styleId="DzialrozdzialZnak">
    <w:name w:val="@Dzial_rozdzial Znak"/>
    <w:link w:val="Dzialrozdzial"/>
    <w:rsid w:val="007A4D59"/>
    <w:rPr>
      <w:rFonts w:ascii="Verdana" w:eastAsia="Times New Roman" w:hAnsi="Verdana"/>
      <w:b/>
      <w:bCs/>
      <w:iCs/>
      <w:color w:val="000000"/>
      <w:sz w:val="24"/>
      <w:lang w:val="en-US" w:eastAsia="en-US"/>
    </w:rPr>
  </w:style>
  <w:style w:type="paragraph" w:customStyle="1" w:styleId="Dzia">
    <w:name w:val="Dział"/>
    <w:basedOn w:val="Zwykytekst"/>
    <w:link w:val="DziaZnak"/>
    <w:qFormat/>
    <w:rsid w:val="007A4D59"/>
    <w:pPr>
      <w:spacing w:before="60" w:after="0" w:line="240" w:lineRule="auto"/>
      <w:jc w:val="both"/>
    </w:pPr>
    <w:rPr>
      <w:rFonts w:ascii="Verdana" w:hAnsi="Verdana"/>
      <w:color w:val="000000"/>
      <w:sz w:val="28"/>
      <w:lang w:bidi="ar-SA"/>
    </w:rPr>
  </w:style>
  <w:style w:type="character" w:customStyle="1" w:styleId="DziaZnak">
    <w:name w:val="Dział Znak"/>
    <w:link w:val="Dzia"/>
    <w:rsid w:val="007A4D59"/>
    <w:rPr>
      <w:rFonts w:ascii="Verdana" w:eastAsia="Times New Roman" w:hAnsi="Verdana"/>
      <w:color w:val="000000"/>
      <w:sz w:val="28"/>
    </w:rPr>
  </w:style>
  <w:style w:type="character" w:customStyle="1" w:styleId="GenRapStyle0">
    <w:name w:val="GenRap Style 0"/>
    <w:rsid w:val="007A4D59"/>
    <w:rPr>
      <w:rFonts w:ascii="Times New Roman" w:hAnsi="Times New Roman" w:cs="Times New Roman"/>
      <w:color w:val="000000"/>
      <w:sz w:val="22"/>
    </w:rPr>
  </w:style>
  <w:style w:type="paragraph" w:customStyle="1" w:styleId="Mapa">
    <w:name w:val="Mapa"/>
    <w:basedOn w:val="Normalny"/>
    <w:rsid w:val="007A4D59"/>
    <w:pPr>
      <w:spacing w:after="0" w:line="240" w:lineRule="auto"/>
      <w:jc w:val="both"/>
    </w:pPr>
    <w:rPr>
      <w:sz w:val="22"/>
      <w:szCs w:val="20"/>
      <w:lang w:val="pl-PL" w:eastAsia="pl-PL" w:bidi="ar-SA"/>
    </w:rPr>
  </w:style>
  <w:style w:type="paragraph" w:customStyle="1" w:styleId="Dzialpodrozdial1">
    <w:name w:val="@Dzial_podrozdial1"/>
    <w:basedOn w:val="Dzialrozdzial"/>
    <w:link w:val="Dzialpodrozdial1Znak"/>
    <w:qFormat/>
    <w:rsid w:val="007A4D59"/>
    <w:pPr>
      <w:numPr>
        <w:numId w:val="255"/>
      </w:numPr>
      <w:spacing w:before="180"/>
      <w:ind w:left="357" w:hanging="357"/>
      <w:outlineLvl w:val="4"/>
    </w:pPr>
    <w:rPr>
      <w:sz w:val="22"/>
    </w:rPr>
  </w:style>
  <w:style w:type="character" w:customStyle="1" w:styleId="Dzialpodrozdial1Znak">
    <w:name w:val="@Dzial_podrozdial1 Znak"/>
    <w:link w:val="Dzialpodrozdial1"/>
    <w:rsid w:val="007A4D59"/>
    <w:rPr>
      <w:rFonts w:ascii="Verdana" w:eastAsia="Times New Roman" w:hAnsi="Verdana"/>
      <w:b/>
      <w:bCs/>
      <w:iCs/>
      <w:color w:val="000000"/>
      <w:sz w:val="22"/>
      <w:lang w:val="en-US" w:eastAsia="en-US"/>
    </w:rPr>
  </w:style>
  <w:style w:type="paragraph" w:customStyle="1" w:styleId="Dzial">
    <w:name w:val="@Dzial"/>
    <w:basedOn w:val="Nagwek20"/>
    <w:link w:val="DzialZnak"/>
    <w:qFormat/>
    <w:rsid w:val="007A4D59"/>
    <w:pPr>
      <w:keepNext/>
      <w:pageBreakBefore/>
      <w:spacing w:after="240" w:line="240" w:lineRule="auto"/>
      <w:jc w:val="both"/>
    </w:pPr>
    <w:rPr>
      <w:iCs/>
      <w:color w:val="000000"/>
      <w:sz w:val="28"/>
      <w:szCs w:val="28"/>
      <w:lang w:bidi="ar-SA"/>
    </w:rPr>
  </w:style>
  <w:style w:type="character" w:customStyle="1" w:styleId="DzialZnak">
    <w:name w:val="@Dzial Znak"/>
    <w:link w:val="Dzial"/>
    <w:rsid w:val="007A4D59"/>
    <w:rPr>
      <w:rFonts w:ascii="Verdana" w:eastAsia="Times New Roman" w:hAnsi="Verdana"/>
      <w:b/>
      <w:bCs/>
      <w:iCs/>
      <w:color w:val="000000"/>
      <w:sz w:val="28"/>
      <w:szCs w:val="28"/>
    </w:rPr>
  </w:style>
  <w:style w:type="character" w:customStyle="1" w:styleId="ZwykytekstZnak1">
    <w:name w:val="Zwykły tekst Znak1"/>
    <w:locked/>
    <w:rsid w:val="007A4D59"/>
    <w:rPr>
      <w:rFonts w:ascii="Verdana" w:eastAsia="Calibri" w:hAnsi="Verdana"/>
      <w:sz w:val="28"/>
    </w:rPr>
  </w:style>
  <w:style w:type="paragraph" w:customStyle="1" w:styleId="listparagraphcxspdrugie">
    <w:name w:val="listparagraphcxspdrugie"/>
    <w:basedOn w:val="Normalny"/>
    <w:rsid w:val="007A4D59"/>
    <w:pPr>
      <w:spacing w:before="100" w:beforeAutospacing="1" w:after="100" w:afterAutospacing="1" w:line="240" w:lineRule="auto"/>
    </w:pPr>
    <w:rPr>
      <w:rFonts w:ascii="Times New Roman" w:hAnsi="Times New Roman"/>
      <w:sz w:val="24"/>
      <w:szCs w:val="24"/>
      <w:lang w:val="pl-PL" w:eastAsia="pl-PL" w:bidi="ar-SA"/>
    </w:rPr>
  </w:style>
  <w:style w:type="paragraph" w:customStyle="1" w:styleId="listparagraphcxsppierwsze">
    <w:name w:val="listparagraphcxsppierwsze"/>
    <w:basedOn w:val="Normalny"/>
    <w:rsid w:val="007A4D59"/>
    <w:pPr>
      <w:spacing w:before="100" w:beforeAutospacing="1" w:after="100" w:afterAutospacing="1" w:line="240" w:lineRule="auto"/>
    </w:pPr>
    <w:rPr>
      <w:rFonts w:ascii="Times New Roman" w:hAnsi="Times New Roman"/>
      <w:sz w:val="24"/>
      <w:szCs w:val="24"/>
      <w:lang w:val="pl-PL" w:eastAsia="pl-PL" w:bidi="ar-SA"/>
    </w:rPr>
  </w:style>
  <w:style w:type="paragraph" w:customStyle="1" w:styleId="listparagraphcxspnazwisko">
    <w:name w:val="listparagraphcxspnazwisko"/>
    <w:basedOn w:val="Normalny"/>
    <w:rsid w:val="007A4D59"/>
    <w:pPr>
      <w:spacing w:before="100" w:beforeAutospacing="1" w:after="100" w:afterAutospacing="1" w:line="240" w:lineRule="auto"/>
    </w:pPr>
    <w:rPr>
      <w:rFonts w:ascii="Times New Roman" w:hAnsi="Times New Roman"/>
      <w:sz w:val="24"/>
      <w:szCs w:val="24"/>
      <w:lang w:val="pl-PL" w:eastAsia="pl-PL" w:bidi="ar-SA"/>
    </w:rPr>
  </w:style>
  <w:style w:type="paragraph" w:customStyle="1" w:styleId="Mapadokumentu">
    <w:name w:val="Mapa dokumentu"/>
    <w:basedOn w:val="Normalny"/>
    <w:semiHidden/>
    <w:rsid w:val="007A4D59"/>
    <w:pPr>
      <w:shd w:val="clear" w:color="auto" w:fill="000080"/>
      <w:spacing w:after="0" w:line="240" w:lineRule="auto"/>
      <w:jc w:val="both"/>
    </w:pPr>
    <w:rPr>
      <w:rFonts w:ascii="Tahoma" w:hAnsi="Tahoma" w:cs="Tahoma"/>
      <w:szCs w:val="20"/>
      <w:lang w:val="pl-PL" w:eastAsia="pl-PL" w:bidi="ar-SA"/>
    </w:rPr>
  </w:style>
  <w:style w:type="character" w:customStyle="1" w:styleId="highlight">
    <w:name w:val="highlight"/>
    <w:basedOn w:val="Domylnaczcionkaakapitu"/>
    <w:rsid w:val="007A4D59"/>
  </w:style>
  <w:style w:type="character" w:customStyle="1" w:styleId="apple-tab-span">
    <w:name w:val="apple-tab-span"/>
    <w:basedOn w:val="Domylnaczcionkaakapitu"/>
    <w:rsid w:val="007A4D59"/>
  </w:style>
  <w:style w:type="paragraph" w:styleId="Poprawka">
    <w:name w:val="Revision"/>
    <w:hidden/>
    <w:uiPriority w:val="99"/>
    <w:semiHidden/>
    <w:rsid w:val="007A4D59"/>
    <w:rPr>
      <w:rFonts w:ascii="Times New (W1)" w:eastAsia="Times New Roman" w:hAnsi="Times New (W1)"/>
      <w:b/>
      <w:sz w:val="16"/>
      <w:szCs w:val="16"/>
    </w:rPr>
  </w:style>
  <w:style w:type="paragraph" w:customStyle="1" w:styleId="normal0">
    <w:name w:val="normal"/>
    <w:uiPriority w:val="99"/>
    <w:rsid w:val="00BE6C24"/>
    <w:pPr>
      <w:spacing w:line="276" w:lineRule="auto"/>
    </w:pPr>
    <w:rPr>
      <w:rFonts w:ascii="Arial" w:eastAsiaTheme="minorEastAsia" w:hAnsi="Arial" w:cs="Arial"/>
      <w:sz w:val="22"/>
      <w:szCs w:val="22"/>
    </w:rPr>
  </w:style>
  <w:style w:type="paragraph" w:customStyle="1" w:styleId="Pa0">
    <w:name w:val="Pa0"/>
    <w:basedOn w:val="Normalny"/>
    <w:next w:val="Normalny"/>
    <w:uiPriority w:val="99"/>
    <w:rsid w:val="006C7858"/>
    <w:pPr>
      <w:autoSpaceDE w:val="0"/>
      <w:autoSpaceDN w:val="0"/>
      <w:adjustRightInd w:val="0"/>
      <w:spacing w:after="0" w:line="201" w:lineRule="atLeast"/>
    </w:pPr>
    <w:rPr>
      <w:rFonts w:eastAsia="Calibri"/>
      <w:sz w:val="24"/>
      <w:szCs w:val="24"/>
      <w:lang w:val="pl-PL" w:bidi="ar-SA"/>
    </w:rPr>
  </w:style>
  <w:style w:type="character" w:styleId="Odwoaniedokomentarza">
    <w:name w:val="annotation reference"/>
    <w:basedOn w:val="Domylnaczcionkaakapitu"/>
    <w:uiPriority w:val="99"/>
    <w:semiHidden/>
    <w:unhideWhenUsed/>
    <w:rsid w:val="006C7858"/>
    <w:rPr>
      <w:sz w:val="16"/>
      <w:szCs w:val="16"/>
    </w:rPr>
  </w:style>
  <w:style w:type="character" w:customStyle="1" w:styleId="tlid-translation">
    <w:name w:val="tlid-translation"/>
    <w:basedOn w:val="Domylnaczcionkaakapitu"/>
    <w:rsid w:val="00B86812"/>
  </w:style>
  <w:style w:type="paragraph" w:customStyle="1" w:styleId="p2">
    <w:name w:val="p2"/>
    <w:basedOn w:val="Normalny"/>
    <w:rsid w:val="00B86812"/>
    <w:pPr>
      <w:spacing w:after="0" w:line="240" w:lineRule="auto"/>
      <w:jc w:val="both"/>
    </w:pPr>
    <w:rPr>
      <w:rFonts w:ascii="Helvetica Neue" w:eastAsia="Calibri" w:hAnsi="Helvetica Neue"/>
      <w:sz w:val="18"/>
      <w:szCs w:val="18"/>
      <w:lang w:val="pl-PL" w:eastAsia="pl-PL" w:bidi="ar-SA"/>
    </w:rPr>
  </w:style>
  <w:style w:type="paragraph" w:customStyle="1" w:styleId="p3">
    <w:name w:val="p3"/>
    <w:basedOn w:val="Normalny"/>
    <w:rsid w:val="00B86812"/>
    <w:pPr>
      <w:spacing w:after="0" w:line="240" w:lineRule="auto"/>
    </w:pPr>
    <w:rPr>
      <w:rFonts w:ascii="Helvetica Neue" w:eastAsia="Calibri" w:hAnsi="Helvetica Neue"/>
      <w:sz w:val="18"/>
      <w:szCs w:val="18"/>
      <w:lang w:val="pl-PL" w:eastAsia="pl-PL" w:bidi="ar-SA"/>
    </w:rPr>
  </w:style>
  <w:style w:type="character" w:customStyle="1" w:styleId="hgkelc">
    <w:name w:val="hgkelc"/>
    <w:basedOn w:val="Domylnaczcionkaakapitu"/>
    <w:rsid w:val="00B86812"/>
  </w:style>
  <w:style w:type="character" w:customStyle="1" w:styleId="A0">
    <w:name w:val="A0"/>
    <w:uiPriority w:val="99"/>
    <w:rsid w:val="00B86812"/>
    <w:rPr>
      <w:rFonts w:ascii="Humnst777CnEU" w:hAnsi="Humnst777CnEU" w:cs="Humnst777CnEU" w:hint="default"/>
      <w:color w:val="000000"/>
      <w:sz w:val="18"/>
      <w:szCs w:val="18"/>
    </w:rPr>
  </w:style>
</w:styles>
</file>

<file path=word/webSettings.xml><?xml version="1.0" encoding="utf-8"?>
<w:webSettings xmlns:r="http://schemas.openxmlformats.org/officeDocument/2006/relationships" xmlns:w="http://schemas.openxmlformats.org/wordprocessingml/2006/main">
  <w:divs>
    <w:div w:id="142102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34.jpeg"/><Relationship Id="rId21" Type="http://schemas.openxmlformats.org/officeDocument/2006/relationships/image" Target="media/image6.png"/><Relationship Id="rId42" Type="http://schemas.openxmlformats.org/officeDocument/2006/relationships/hyperlink" Target="https://dziennikustaw.gov.pl/DU/2020/1916" TargetMode="External"/><Relationship Id="rId63" Type="http://schemas.openxmlformats.org/officeDocument/2006/relationships/hyperlink" Target="http://www.klubmil.pl/muzyka/koncerty-w-2020-roku" TargetMode="External"/><Relationship Id="rId84" Type="http://schemas.openxmlformats.org/officeDocument/2006/relationships/image" Target="media/image16.jpeg"/><Relationship Id="rId138" Type="http://schemas.openxmlformats.org/officeDocument/2006/relationships/image" Target="media/image45.png"/><Relationship Id="rId159" Type="http://schemas.openxmlformats.org/officeDocument/2006/relationships/image" Target="media/image58.jpeg"/><Relationship Id="rId170" Type="http://schemas.openxmlformats.org/officeDocument/2006/relationships/image" Target="media/image69.jpeg"/><Relationship Id="rId191" Type="http://schemas.openxmlformats.org/officeDocument/2006/relationships/image" Target="media/image84.jpeg"/><Relationship Id="rId205" Type="http://schemas.openxmlformats.org/officeDocument/2006/relationships/image" Target="media/image98.jpeg"/><Relationship Id="rId226" Type="http://schemas.openxmlformats.org/officeDocument/2006/relationships/chart" Target="charts/chart11.xml"/><Relationship Id="rId247" Type="http://schemas.openxmlformats.org/officeDocument/2006/relationships/image" Target="media/image136.jpeg"/><Relationship Id="rId107" Type="http://schemas.openxmlformats.org/officeDocument/2006/relationships/image" Target="media/image24.jpeg"/><Relationship Id="rId268" Type="http://schemas.openxmlformats.org/officeDocument/2006/relationships/image" Target="media/image150.jpeg"/><Relationship Id="rId11" Type="http://schemas.openxmlformats.org/officeDocument/2006/relationships/hyperlink" Target="https://www.facebook.com/hashtag/volleywroc%C5%82aw?__eep__=6" TargetMode="External"/><Relationship Id="rId32" Type="http://schemas.openxmlformats.org/officeDocument/2006/relationships/hyperlink" Target="https://www.wroclaw.pl/biznes/wroclawski-pakiet-pomocowy-dla-przedsiebiorcow-zasady-ulgi-odroczenia-platnosci" TargetMode="External"/><Relationship Id="rId53" Type="http://schemas.openxmlformats.org/officeDocument/2006/relationships/hyperlink" Target="http://www.biennalewroclaw.pl/" TargetMode="External"/><Relationship Id="rId74" Type="http://schemas.openxmlformats.org/officeDocument/2006/relationships/hyperlink" Target="http://www.wroclaw.pl/rozmawia/konsultacje-projektow-organizacji-ruchu" TargetMode="External"/><Relationship Id="rId128" Type="http://schemas.openxmlformats.org/officeDocument/2006/relationships/hyperlink" Target="http://www.wroclaw.pl" TargetMode="External"/><Relationship Id="rId149" Type="http://schemas.openxmlformats.org/officeDocument/2006/relationships/hyperlink" Target="https://www.radiorodzina.pl/wszystkie-audycje/ekspert-radzi-zmien-piec/" TargetMode="External"/><Relationship Id="rId5" Type="http://schemas.openxmlformats.org/officeDocument/2006/relationships/webSettings" Target="webSettings.xml"/><Relationship Id="rId95" Type="http://schemas.openxmlformats.org/officeDocument/2006/relationships/hyperlink" Target="http://www.seniorzy.wroclaw.pl/grafik-zajecia-online" TargetMode="External"/><Relationship Id="rId160" Type="http://schemas.openxmlformats.org/officeDocument/2006/relationships/image" Target="media/image59.jpeg"/><Relationship Id="rId181" Type="http://schemas.openxmlformats.org/officeDocument/2006/relationships/image" Target="media/image80.jpeg"/><Relationship Id="rId216" Type="http://schemas.openxmlformats.org/officeDocument/2006/relationships/image" Target="media/image109.jpeg"/><Relationship Id="rId237" Type="http://schemas.openxmlformats.org/officeDocument/2006/relationships/image" Target="media/image126.png"/><Relationship Id="rId258" Type="http://schemas.openxmlformats.org/officeDocument/2006/relationships/hyperlink" Target="javascript:OpenNewForm(92,'sesja=XXXII&amp;numer=813&amp;rok=20&amp;typ=1','XXXII/813/20')" TargetMode="External"/><Relationship Id="rId22" Type="http://schemas.openxmlformats.org/officeDocument/2006/relationships/hyperlink" Target="https://nowymarketing.pl/a/25596,wroclaw-automatyzuje-komunikacje-z-mieszkancami-na-temat-koronawirusa" TargetMode="External"/><Relationship Id="rId43" Type="http://schemas.openxmlformats.org/officeDocument/2006/relationships/hyperlink" Target="http://zgkikm.wroc.pl/e-uslugi/" TargetMode="External"/><Relationship Id="rId64" Type="http://schemas.openxmlformats.org/officeDocument/2006/relationships/hyperlink" Target="http://www.wroclaw.pl/rozmawia/jak-zmienic-gajowicka" TargetMode="External"/><Relationship Id="rId118" Type="http://schemas.openxmlformats.org/officeDocument/2006/relationships/image" Target="media/image35.jpeg"/><Relationship Id="rId139" Type="http://schemas.openxmlformats.org/officeDocument/2006/relationships/image" Target="media/image46.png"/><Relationship Id="rId85" Type="http://schemas.openxmlformats.org/officeDocument/2006/relationships/image" Target="media/image17.jpeg"/><Relationship Id="rId150" Type="http://schemas.openxmlformats.org/officeDocument/2006/relationships/hyperlink" Target="https://zmienpiec.pl/baza-instalatorow-wyszukiwarka" TargetMode="External"/><Relationship Id="rId171" Type="http://schemas.openxmlformats.org/officeDocument/2006/relationships/image" Target="media/image70.jpeg"/><Relationship Id="rId192" Type="http://schemas.openxmlformats.org/officeDocument/2006/relationships/image" Target="media/image85.jpeg"/><Relationship Id="rId206" Type="http://schemas.openxmlformats.org/officeDocument/2006/relationships/image" Target="media/image99.jpeg"/><Relationship Id="rId227" Type="http://schemas.openxmlformats.org/officeDocument/2006/relationships/image" Target="media/image117.jpeg"/><Relationship Id="rId248" Type="http://schemas.openxmlformats.org/officeDocument/2006/relationships/image" Target="media/image137.png"/><Relationship Id="rId269" Type="http://schemas.openxmlformats.org/officeDocument/2006/relationships/chart" Target="charts/chart12.xml"/><Relationship Id="rId12" Type="http://schemas.openxmlformats.org/officeDocument/2006/relationships/image" Target="media/image1.png"/><Relationship Id="rId33" Type="http://schemas.openxmlformats.org/officeDocument/2006/relationships/hyperlink" Target="https://www.wroclaw.pl/nasz-wroclaw/" TargetMode="External"/><Relationship Id="rId108" Type="http://schemas.openxmlformats.org/officeDocument/2006/relationships/image" Target="media/image25.jpeg"/><Relationship Id="rId129" Type="http://schemas.openxmlformats.org/officeDocument/2006/relationships/image" Target="media/image43.png"/><Relationship Id="rId54" Type="http://schemas.openxmlformats.org/officeDocument/2006/relationships/hyperlink" Target="http://www.doradcy-wroclaw.pl" TargetMode="External"/><Relationship Id="rId75" Type="http://schemas.openxmlformats.org/officeDocument/2006/relationships/hyperlink" Target="http://www.wroclaw.pl/rozmawia/konsultacje-projektow-organizacji-ruchu" TargetMode="External"/><Relationship Id="rId96" Type="http://schemas.openxmlformats.org/officeDocument/2006/relationships/hyperlink" Target="http://www.iwroclaw.pl/ngo-admin/contest/9574" TargetMode="External"/><Relationship Id="rId140" Type="http://schemas.openxmlformats.org/officeDocument/2006/relationships/image" Target="media/image47.jpeg"/><Relationship Id="rId161" Type="http://schemas.openxmlformats.org/officeDocument/2006/relationships/image" Target="media/image60.jpeg"/><Relationship Id="rId182" Type="http://schemas.openxmlformats.org/officeDocument/2006/relationships/image" Target="media/image81.png"/><Relationship Id="rId217" Type="http://schemas.openxmlformats.org/officeDocument/2006/relationships/image" Target="media/image110.jpeg"/><Relationship Id="rId6" Type="http://schemas.openxmlformats.org/officeDocument/2006/relationships/footnotes" Target="footnotes.xml"/><Relationship Id="rId238" Type="http://schemas.openxmlformats.org/officeDocument/2006/relationships/image" Target="media/image127.jpeg"/><Relationship Id="rId259" Type="http://schemas.openxmlformats.org/officeDocument/2006/relationships/image" Target="media/image141.png"/><Relationship Id="rId23" Type="http://schemas.openxmlformats.org/officeDocument/2006/relationships/hyperlink" Target="https://www.wroclaw.pl/portal/miejski-rzecznik-konsumentow-we-wroclawiu" TargetMode="External"/><Relationship Id="rId119" Type="http://schemas.openxmlformats.org/officeDocument/2006/relationships/image" Target="media/image36.jpeg"/><Relationship Id="rId270" Type="http://schemas.openxmlformats.org/officeDocument/2006/relationships/chart" Target="charts/chart13.xml"/><Relationship Id="rId44" Type="http://schemas.openxmlformats.org/officeDocument/2006/relationships/hyperlink" Target="http://wrosystem.um.wroc.pl/beta_4/webdisk/205676/0299ru08z.pdf" TargetMode="External"/><Relationship Id="rId60" Type="http://schemas.openxmlformats.org/officeDocument/2006/relationships/hyperlink" Target="https://libra.ibuk.pl/" TargetMode="External"/><Relationship Id="rId65" Type="http://schemas.openxmlformats.org/officeDocument/2006/relationships/hyperlink" Target="http://www.wroclaw.pl/rozmawia/jak-urzadzic-doline-olszowki-i-park-krzycki" TargetMode="External"/><Relationship Id="rId81" Type="http://schemas.openxmlformats.org/officeDocument/2006/relationships/hyperlink" Target="https://lubimyczytac.pl/autor/104828/jadwiga-urbanik" TargetMode="External"/><Relationship Id="rId86" Type="http://schemas.openxmlformats.org/officeDocument/2006/relationships/image" Target="media/image18.jpeg"/><Relationship Id="rId130" Type="http://schemas.openxmlformats.org/officeDocument/2006/relationships/chart" Target="charts/chart8.xml"/><Relationship Id="rId135" Type="http://schemas.openxmlformats.org/officeDocument/2006/relationships/hyperlink" Target="https://www.mops.wroclaw.pl/aktualnosci/informacje/1559-jak-radzic-sibie-w-sytuacji-stresujacej-koronawirus-a-zdrowie-psychiczne" TargetMode="External"/><Relationship Id="rId151" Type="http://schemas.openxmlformats.org/officeDocument/2006/relationships/hyperlink" Target="https://zmienpiec.pl/baza-instalatorow-wyszukiwarka" TargetMode="External"/><Relationship Id="rId156" Type="http://schemas.openxmlformats.org/officeDocument/2006/relationships/hyperlink" Target="https://www.wroclaw.pl/srodowisko/zasady-dofinansowania-wyjazdow-ekologicznych." TargetMode="External"/><Relationship Id="rId177" Type="http://schemas.openxmlformats.org/officeDocument/2006/relationships/image" Target="media/image76.png"/><Relationship Id="rId198" Type="http://schemas.openxmlformats.org/officeDocument/2006/relationships/image" Target="media/image91.jpeg"/><Relationship Id="rId172" Type="http://schemas.openxmlformats.org/officeDocument/2006/relationships/image" Target="media/image71.jpeg"/><Relationship Id="rId193" Type="http://schemas.openxmlformats.org/officeDocument/2006/relationships/image" Target="media/image86.jpeg"/><Relationship Id="rId202" Type="http://schemas.openxmlformats.org/officeDocument/2006/relationships/image" Target="media/image95.jpeg"/><Relationship Id="rId207" Type="http://schemas.openxmlformats.org/officeDocument/2006/relationships/image" Target="media/image100.jpeg"/><Relationship Id="rId223" Type="http://schemas.openxmlformats.org/officeDocument/2006/relationships/image" Target="media/image116.jpeg"/><Relationship Id="rId228" Type="http://schemas.openxmlformats.org/officeDocument/2006/relationships/image" Target="media/image118.jpeg"/><Relationship Id="rId244" Type="http://schemas.openxmlformats.org/officeDocument/2006/relationships/image" Target="media/image133.jpeg"/><Relationship Id="rId249" Type="http://schemas.openxmlformats.org/officeDocument/2006/relationships/image" Target="media/image138.jpeg"/><Relationship Id="rId13" Type="http://schemas.openxmlformats.org/officeDocument/2006/relationships/image" Target="media/image2.png"/><Relationship Id="rId18" Type="http://schemas.openxmlformats.org/officeDocument/2006/relationships/image" Target="media/image3.png"/><Relationship Id="rId39" Type="http://schemas.openxmlformats.org/officeDocument/2006/relationships/hyperlink" Target="https://geoportal.wroclaw.pl/" TargetMode="External"/><Relationship Id="rId109" Type="http://schemas.openxmlformats.org/officeDocument/2006/relationships/image" Target="media/image26.jpeg"/><Relationship Id="rId260" Type="http://schemas.openxmlformats.org/officeDocument/2006/relationships/image" Target="media/image142.jpeg"/><Relationship Id="rId265" Type="http://schemas.openxmlformats.org/officeDocument/2006/relationships/image" Target="media/image147.jpeg"/><Relationship Id="rId34" Type="http://schemas.openxmlformats.org/officeDocument/2006/relationships/hyperlink" Target="https://przyjazne-deklaracje.pl/wroclaw/" TargetMode="External"/><Relationship Id="rId50" Type="http://schemas.openxmlformats.org/officeDocument/2006/relationships/chart" Target="charts/chart6.xml"/><Relationship Id="rId55" Type="http://schemas.openxmlformats.org/officeDocument/2006/relationships/hyperlink" Target="http://www.doradcy-wroclaw.pl" TargetMode="External"/><Relationship Id="rId76" Type="http://schemas.openxmlformats.org/officeDocument/2006/relationships/hyperlink" Target="http://www.wroclaw.pl/rozmawia/centra-aktywnosci-lokalnej" TargetMode="External"/><Relationship Id="rId97" Type="http://schemas.openxmlformats.org/officeDocument/2006/relationships/hyperlink" Target="http://www.wielokultury.wroclaw.pl" TargetMode="External"/><Relationship Id="rId104" Type="http://schemas.openxmlformats.org/officeDocument/2006/relationships/hyperlink" Target="http://www.kampaniaprzemoc.pl/" TargetMode="External"/><Relationship Id="rId120" Type="http://schemas.openxmlformats.org/officeDocument/2006/relationships/image" Target="media/image37.jpeg"/><Relationship Id="rId125" Type="http://schemas.openxmlformats.org/officeDocument/2006/relationships/image" Target="media/image41.jpeg"/><Relationship Id="rId141" Type="http://schemas.openxmlformats.org/officeDocument/2006/relationships/image" Target="media/image48.jpeg"/><Relationship Id="rId146" Type="http://schemas.openxmlformats.org/officeDocument/2006/relationships/hyperlink" Target="https://zmienpiec.pl/projekty-unijne" TargetMode="External"/><Relationship Id="rId167" Type="http://schemas.openxmlformats.org/officeDocument/2006/relationships/image" Target="media/image66.jpeg"/><Relationship Id="rId188"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hyperlink" Target="http://www.wroclaw.pl/rozmawia/jak-ma-wygladac-wspolpraca-miasta-z-ngo-w-2021" TargetMode="External"/><Relationship Id="rId92" Type="http://schemas.openxmlformats.org/officeDocument/2006/relationships/hyperlink" Target="http://wroclaw.pl/" TargetMode="External"/><Relationship Id="rId162" Type="http://schemas.openxmlformats.org/officeDocument/2006/relationships/image" Target="media/image61.jpeg"/><Relationship Id="rId183" Type="http://schemas.openxmlformats.org/officeDocument/2006/relationships/hyperlink" Target="https://www.wroclaw.pl/portal/formularze-piesi-rowery" TargetMode="External"/><Relationship Id="rId213" Type="http://schemas.openxmlformats.org/officeDocument/2006/relationships/image" Target="media/image106.jpeg"/><Relationship Id="rId218" Type="http://schemas.openxmlformats.org/officeDocument/2006/relationships/image" Target="media/image111.jpeg"/><Relationship Id="rId234" Type="http://schemas.openxmlformats.org/officeDocument/2006/relationships/hyperlink" Target="http://www.urbancard.pl/" TargetMode="External"/><Relationship Id="rId239" Type="http://schemas.openxmlformats.org/officeDocument/2006/relationships/image" Target="media/image128.jpeg"/><Relationship Id="rId2" Type="http://schemas.openxmlformats.org/officeDocument/2006/relationships/numbering" Target="numbering.xml"/><Relationship Id="rId29" Type="http://schemas.openxmlformats.org/officeDocument/2006/relationships/image" Target="media/image11.png"/><Relationship Id="rId250" Type="http://schemas.openxmlformats.org/officeDocument/2006/relationships/image" Target="media/image139.jpeg"/><Relationship Id="rId255" Type="http://schemas.openxmlformats.org/officeDocument/2006/relationships/hyperlink" Target="javascript:OpenNewForm(92,'sesja=XXVI&amp;numer=702&amp;rok=20&amp;typ=1','XXVI/702/20')" TargetMode="External"/><Relationship Id="rId271" Type="http://schemas.openxmlformats.org/officeDocument/2006/relationships/footer" Target="footer7.xml"/><Relationship Id="rId276" Type="http://schemas.openxmlformats.org/officeDocument/2006/relationships/theme" Target="theme/theme1.xml"/><Relationship Id="rId24" Type="http://schemas.openxmlformats.org/officeDocument/2006/relationships/hyperlink" Target="http://www.bez-kolejki.um.wroc.pl" TargetMode="External"/><Relationship Id="rId40" Type="http://schemas.openxmlformats.org/officeDocument/2006/relationships/hyperlink" Target="mailto:sip@um.wroc.pl" TargetMode="External"/><Relationship Id="rId45" Type="http://schemas.openxmlformats.org/officeDocument/2006/relationships/hyperlink" Target="https://www.wroclaw.pl/prezydent-wroclawia/100-prac-jacek-sutryk" TargetMode="External"/><Relationship Id="rId66" Type="http://schemas.openxmlformats.org/officeDocument/2006/relationships/hyperlink" Target="http://www.wroclaw.pl/rozmawia/jak-zazielenic-ulice-zeromskiego" TargetMode="External"/><Relationship Id="rId87" Type="http://schemas.openxmlformats.org/officeDocument/2006/relationships/image" Target="media/image19.jpeg"/><Relationship Id="rId110" Type="http://schemas.openxmlformats.org/officeDocument/2006/relationships/image" Target="media/image27.png"/><Relationship Id="rId115" Type="http://schemas.openxmlformats.org/officeDocument/2006/relationships/image" Target="media/image32.jpeg"/><Relationship Id="rId131" Type="http://schemas.openxmlformats.org/officeDocument/2006/relationships/hyperlink" Target="http://www.niepe&#322;nosprawnik.pl" TargetMode="External"/><Relationship Id="rId136" Type="http://schemas.openxmlformats.org/officeDocument/2006/relationships/hyperlink" Target="https://www.mops.wroclaw.pl/formy-pomocy/pomoc-uslugowa/asystent-rodziny/1644-zostan-rodzina-wspierajaca" TargetMode="External"/><Relationship Id="rId157" Type="http://schemas.openxmlformats.org/officeDocument/2006/relationships/image" Target="media/image56.jpeg"/><Relationship Id="rId178" Type="http://schemas.openxmlformats.org/officeDocument/2006/relationships/image" Target="media/image77.emf"/><Relationship Id="rId61" Type="http://schemas.openxmlformats.org/officeDocument/2006/relationships/chart" Target="charts/chart7.xml"/><Relationship Id="rId82" Type="http://schemas.openxmlformats.org/officeDocument/2006/relationships/hyperlink" Target="http://www.wroclaw.pl/wuwa" TargetMode="External"/><Relationship Id="rId152" Type="http://schemas.openxmlformats.org/officeDocument/2006/relationships/image" Target="media/image53.jpeg"/><Relationship Id="rId173" Type="http://schemas.openxmlformats.org/officeDocument/2006/relationships/image" Target="media/image72.jpeg"/><Relationship Id="rId194" Type="http://schemas.openxmlformats.org/officeDocument/2006/relationships/image" Target="media/image87.jpeg"/><Relationship Id="rId199" Type="http://schemas.openxmlformats.org/officeDocument/2006/relationships/image" Target="media/image92.jpeg"/><Relationship Id="rId203" Type="http://schemas.openxmlformats.org/officeDocument/2006/relationships/image" Target="media/image96.jpeg"/><Relationship Id="rId208" Type="http://schemas.openxmlformats.org/officeDocument/2006/relationships/image" Target="media/image101.jpeg"/><Relationship Id="rId229" Type="http://schemas.openxmlformats.org/officeDocument/2006/relationships/image" Target="media/image119.jpeg"/><Relationship Id="rId19" Type="http://schemas.openxmlformats.org/officeDocument/2006/relationships/image" Target="media/image4.png"/><Relationship Id="rId224" Type="http://schemas.openxmlformats.org/officeDocument/2006/relationships/chart" Target="charts/chart9.xml"/><Relationship Id="rId240" Type="http://schemas.openxmlformats.org/officeDocument/2006/relationships/image" Target="media/image129.png"/><Relationship Id="rId245" Type="http://schemas.openxmlformats.org/officeDocument/2006/relationships/image" Target="media/image134.jpeg"/><Relationship Id="rId261" Type="http://schemas.openxmlformats.org/officeDocument/2006/relationships/image" Target="media/image143.jpeg"/><Relationship Id="rId266" Type="http://schemas.openxmlformats.org/officeDocument/2006/relationships/image" Target="media/image148.jpeg"/><Relationship Id="rId14" Type="http://schemas.openxmlformats.org/officeDocument/2006/relationships/hyperlink" Target="https://www.facebook.com/hashtag/%C5%BCyczliwywyk%C5%82ad?__eep__=6&amp;__cft__%5b0%5d=AZUgv-TbiwuNc1lNTFA2FGTMCTf1J5V6wWIdiIsSN6oDYFs5-SgqHV3RxThjRNPkfKxlyOiV2YYaKuz0NaHrJE9eGbxLyLZtPmG127AVu4pm6G9YyiS-CIA9XMRU9gwuMt5M0ie22t6miiiQ6FliTclN&amp;__tn__=q" TargetMode="External"/><Relationship Id="rId30" Type="http://schemas.openxmlformats.org/officeDocument/2006/relationships/chart" Target="charts/chart1.xml"/><Relationship Id="rId35" Type="http://schemas.openxmlformats.org/officeDocument/2006/relationships/image" Target="media/image12.png"/><Relationship Id="rId56" Type="http://schemas.openxmlformats.org/officeDocument/2006/relationships/hyperlink" Target="http://www.ppp4.wroc.pl/index.php/226-poradnik-dla-rodzicow-jak-sobie-radzic-z-lekiem-dzieci-w-obliczu-zagrozenia-epidemia-koronawirusa" TargetMode="External"/><Relationship Id="rId77" Type="http://schemas.openxmlformats.org/officeDocument/2006/relationships/hyperlink" Target="http://www.divercity4.pl" TargetMode="External"/><Relationship Id="rId100" Type="http://schemas.openxmlformats.org/officeDocument/2006/relationships/hyperlink" Target="https://www.facebook.com/WielokulturyWroclaw/?modal=admin_todo_tour" TargetMode="External"/><Relationship Id="rId105" Type="http://schemas.openxmlformats.org/officeDocument/2006/relationships/hyperlink" Target="http://www.psychotekst.pl/" TargetMode="External"/><Relationship Id="rId126" Type="http://schemas.openxmlformats.org/officeDocument/2006/relationships/hyperlink" Target="http://www.wroclaw.pl" TargetMode="External"/><Relationship Id="rId147" Type="http://schemas.openxmlformats.org/officeDocument/2006/relationships/hyperlink" Target="https://zmienpiec.pl/spotkania-online-ekspert-radzi-zmien-piec-wroclaw" TargetMode="External"/><Relationship Id="rId168" Type="http://schemas.openxmlformats.org/officeDocument/2006/relationships/image" Target="media/image67.emf"/><Relationship Id="rId8" Type="http://schemas.openxmlformats.org/officeDocument/2006/relationships/hyperlink" Target="https://www.facebook.com/visitwro/" TargetMode="External"/><Relationship Id="rId51" Type="http://schemas.openxmlformats.org/officeDocument/2006/relationships/hyperlink" Target="http://www.wroclaw.pl/portal/edukacja-online" TargetMode="External"/><Relationship Id="rId72" Type="http://schemas.openxmlformats.org/officeDocument/2006/relationships/hyperlink" Target="http://www.wroclaw.pl/rozmawia/ruszaja-konsultacje-w-sprawie-statutow-wroclawskich-osiedli" TargetMode="External"/><Relationship Id="rId93" Type="http://schemas.openxmlformats.org/officeDocument/2006/relationships/hyperlink" Target="http://www.wroclaw.pl/rozmawia" TargetMode="External"/><Relationship Id="rId98" Type="http://schemas.openxmlformats.org/officeDocument/2006/relationships/hyperlink" Target="https://www.wielokultury.wroclaw.pl/wromigrant/" TargetMode="External"/><Relationship Id="rId121" Type="http://schemas.openxmlformats.org/officeDocument/2006/relationships/image" Target="media/image38.jpeg"/><Relationship Id="rId142" Type="http://schemas.openxmlformats.org/officeDocument/2006/relationships/image" Target="media/image49.png"/><Relationship Id="rId163" Type="http://schemas.openxmlformats.org/officeDocument/2006/relationships/image" Target="media/image62.jpeg"/><Relationship Id="rId184" Type="http://schemas.openxmlformats.org/officeDocument/2006/relationships/hyperlink" Target="http://air.wroclaw.pios.gov.pl" TargetMode="External"/><Relationship Id="rId189" Type="http://schemas.openxmlformats.org/officeDocument/2006/relationships/image" Target="media/image82.jpeg"/><Relationship Id="rId219" Type="http://schemas.openxmlformats.org/officeDocument/2006/relationships/image" Target="media/image112.jpeg"/><Relationship Id="rId3" Type="http://schemas.openxmlformats.org/officeDocument/2006/relationships/styles" Target="styles.xml"/><Relationship Id="rId214" Type="http://schemas.openxmlformats.org/officeDocument/2006/relationships/image" Target="media/image107.jpeg"/><Relationship Id="rId230" Type="http://schemas.openxmlformats.org/officeDocument/2006/relationships/image" Target="media/image120.jpeg"/><Relationship Id="rId235" Type="http://schemas.openxmlformats.org/officeDocument/2006/relationships/image" Target="media/image124.jpeg"/><Relationship Id="rId251" Type="http://schemas.openxmlformats.org/officeDocument/2006/relationships/image" Target="media/image140.jpeg"/><Relationship Id="rId256" Type="http://schemas.openxmlformats.org/officeDocument/2006/relationships/hyperlink" Target="javascript:OpenNewForm(92,'sesja=XXVIII&amp;numer=752&amp;rok=20&amp;typ=1','XXVIII/752/20')" TargetMode="External"/><Relationship Id="rId25" Type="http://schemas.openxmlformats.org/officeDocument/2006/relationships/image" Target="media/image7.png"/><Relationship Id="rId46" Type="http://schemas.openxmlformats.org/officeDocument/2006/relationships/hyperlink" Target="http://www.wroclaw.pl/edukacja" TargetMode="External"/><Relationship Id="rId67" Type="http://schemas.openxmlformats.org/officeDocument/2006/relationships/hyperlink" Target="http://www.wroclaw.pl/rozmawia/podworko-sw-macieja" TargetMode="External"/><Relationship Id="rId116" Type="http://schemas.openxmlformats.org/officeDocument/2006/relationships/image" Target="media/image33.jpeg"/><Relationship Id="rId137" Type="http://schemas.openxmlformats.org/officeDocument/2006/relationships/image" Target="media/image44.png"/><Relationship Id="rId158" Type="http://schemas.openxmlformats.org/officeDocument/2006/relationships/image" Target="media/image57.jpeg"/><Relationship Id="rId272" Type="http://schemas.openxmlformats.org/officeDocument/2006/relationships/footer" Target="footer8.xml"/><Relationship Id="rId20" Type="http://schemas.openxmlformats.org/officeDocument/2006/relationships/image" Target="media/image5.png"/><Relationship Id="rId41" Type="http://schemas.openxmlformats.org/officeDocument/2006/relationships/hyperlink" Target="http://www.geoportal.wroclaw.pl/mpzp/" TargetMode="External"/><Relationship Id="rId62" Type="http://schemas.openxmlformats.org/officeDocument/2006/relationships/hyperlink" Target="http://www.wroclaw.pl" TargetMode="External"/><Relationship Id="rId83" Type="http://schemas.openxmlformats.org/officeDocument/2006/relationships/image" Target="media/image15.jpeg"/><Relationship Id="rId88" Type="http://schemas.openxmlformats.org/officeDocument/2006/relationships/image" Target="media/image20.jpeg"/><Relationship Id="rId111" Type="http://schemas.openxmlformats.org/officeDocument/2006/relationships/image" Target="media/image28.jpeg"/><Relationship Id="rId132" Type="http://schemas.openxmlformats.org/officeDocument/2006/relationships/hyperlink" Target="http://www.niepe&#322;nosprawnik.pl" TargetMode="External"/><Relationship Id="rId153" Type="http://schemas.openxmlformats.org/officeDocument/2006/relationships/image" Target="media/image54.jpeg"/><Relationship Id="rId174" Type="http://schemas.openxmlformats.org/officeDocument/2006/relationships/image" Target="media/image73.jpeg"/><Relationship Id="rId179" Type="http://schemas.openxmlformats.org/officeDocument/2006/relationships/image" Target="media/image78.emf"/><Relationship Id="rId195" Type="http://schemas.openxmlformats.org/officeDocument/2006/relationships/image" Target="media/image88.jpeg"/><Relationship Id="rId209" Type="http://schemas.openxmlformats.org/officeDocument/2006/relationships/image" Target="media/image102.jpeg"/><Relationship Id="rId190" Type="http://schemas.openxmlformats.org/officeDocument/2006/relationships/image" Target="media/image83.jpeg"/><Relationship Id="rId204" Type="http://schemas.openxmlformats.org/officeDocument/2006/relationships/image" Target="media/image97.jpeg"/><Relationship Id="rId220" Type="http://schemas.openxmlformats.org/officeDocument/2006/relationships/image" Target="media/image113.jpeg"/><Relationship Id="rId225" Type="http://schemas.openxmlformats.org/officeDocument/2006/relationships/chart" Target="charts/chart10.xml"/><Relationship Id="rId241" Type="http://schemas.openxmlformats.org/officeDocument/2006/relationships/image" Target="media/image130.jpeg"/><Relationship Id="rId246" Type="http://schemas.openxmlformats.org/officeDocument/2006/relationships/image" Target="media/image135.jpeg"/><Relationship Id="rId267" Type="http://schemas.openxmlformats.org/officeDocument/2006/relationships/image" Target="media/image149.png"/><Relationship Id="rId15" Type="http://schemas.openxmlformats.org/officeDocument/2006/relationships/hyperlink" Target="https://www.polskieszlaki.pl/wycieczki/relacja,12691,spacer-po-wroclawiu-z-krasnalami-historia-i-cudna-architektura.html" TargetMode="External"/><Relationship Id="rId36" Type="http://schemas.openxmlformats.org/officeDocument/2006/relationships/chart" Target="charts/chart2.xml"/><Relationship Id="rId57" Type="http://schemas.openxmlformats.org/officeDocument/2006/relationships/hyperlink" Target="http://www.wroclaw.pl" TargetMode="External"/><Relationship Id="rId106" Type="http://schemas.openxmlformats.org/officeDocument/2006/relationships/image" Target="media/image23.jpeg"/><Relationship Id="rId127" Type="http://schemas.openxmlformats.org/officeDocument/2006/relationships/image" Target="media/image42.jpeg"/><Relationship Id="rId262" Type="http://schemas.openxmlformats.org/officeDocument/2006/relationships/image" Target="media/image144.jpeg"/><Relationship Id="rId10" Type="http://schemas.openxmlformats.org/officeDocument/2006/relationships/hyperlink" Target="https://www.wroclaw.pl/portal/75-lat-powojennego-wroclawia" TargetMode="External"/><Relationship Id="rId31" Type="http://schemas.openxmlformats.org/officeDocument/2006/relationships/hyperlink" Target="https://www.wroclaw.pl/biznes/centrum-wsparcia-przedsiebiorcow" TargetMode="External"/><Relationship Id="rId52" Type="http://schemas.openxmlformats.org/officeDocument/2006/relationships/hyperlink" Target="http://www.matematyka.wroc.pl" TargetMode="External"/><Relationship Id="rId73" Type="http://schemas.openxmlformats.org/officeDocument/2006/relationships/hyperlink" Target="http://www.wroclaw.pl/rozmawia/konsultacje-projektow-organizacji-ruchu" TargetMode="External"/><Relationship Id="rId78" Type="http://schemas.openxmlformats.org/officeDocument/2006/relationships/image" Target="media/image13.png"/><Relationship Id="rId94" Type="http://schemas.openxmlformats.org/officeDocument/2006/relationships/hyperlink" Target="http://www.seniorzy.wroclaw.pl" TargetMode="External"/><Relationship Id="rId99" Type="http://schemas.openxmlformats.org/officeDocument/2006/relationships/hyperlink" Target="https://www.wielokultury.wroclaw.pl/wromigrant/" TargetMode="External"/><Relationship Id="rId101" Type="http://schemas.openxmlformats.org/officeDocument/2006/relationships/hyperlink" Target="https://www.facebook.com/WielokulturyWroclaw/?modal=admin_todo_tour" TargetMode="External"/><Relationship Id="rId122" Type="http://schemas.openxmlformats.org/officeDocument/2006/relationships/image" Target="media/image39.jpeg"/><Relationship Id="rId143" Type="http://schemas.openxmlformats.org/officeDocument/2006/relationships/image" Target="media/image50.png"/><Relationship Id="rId148" Type="http://schemas.openxmlformats.org/officeDocument/2006/relationships/hyperlink" Target="https://wroclaw.tvp.pl/49063511/zmien-piec" TargetMode="External"/><Relationship Id="rId164" Type="http://schemas.openxmlformats.org/officeDocument/2006/relationships/image" Target="media/image63.png"/><Relationship Id="rId169" Type="http://schemas.openxmlformats.org/officeDocument/2006/relationships/image" Target="media/image68.emf"/><Relationship Id="rId18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facebook.com/l.php?u=http%3A%2F%2FWroclaw.pl%2FTV%3Ffbclid%3DIwAR1Jognio8CgDoyPngwJpQP9n6bKulTtOLYgxWXfK6GWcblcIC8j2baUUaw&amp;h=AT0aoX8rqWSm_tKBFtbCYU5gX78rbwH16D-vcMBgPwmWiiCnYjDWtVHzyY_CcDWiHP4AxygTfNwpqAVXQRORfBzyfA4poMmQqxpfXXwOsOuRjlaYEasq6PZZ6rTv-9Qga8w" TargetMode="External"/><Relationship Id="rId180" Type="http://schemas.openxmlformats.org/officeDocument/2006/relationships/image" Target="media/image79.emf"/><Relationship Id="rId210" Type="http://schemas.openxmlformats.org/officeDocument/2006/relationships/image" Target="media/image103.jpeg"/><Relationship Id="rId215" Type="http://schemas.openxmlformats.org/officeDocument/2006/relationships/image" Target="media/image108.jpeg"/><Relationship Id="rId236" Type="http://schemas.openxmlformats.org/officeDocument/2006/relationships/image" Target="media/image125.jpeg"/><Relationship Id="rId257" Type="http://schemas.openxmlformats.org/officeDocument/2006/relationships/hyperlink" Target="javascript:OpenNewForm(92,'sesja=XXXI&amp;numer=786&amp;rok=20&amp;typ=1','XXXI/786/20')" TargetMode="External"/><Relationship Id="rId26" Type="http://schemas.openxmlformats.org/officeDocument/2006/relationships/image" Target="media/image8.png"/><Relationship Id="rId231" Type="http://schemas.openxmlformats.org/officeDocument/2006/relationships/image" Target="media/image121.jpeg"/><Relationship Id="rId252" Type="http://schemas.openxmlformats.org/officeDocument/2006/relationships/hyperlink" Target="javascript:OpenNewForm(92,'sesja=XXI&amp;numer=558&amp;rok=20&amp;typ=1','XXI/558/20')" TargetMode="External"/><Relationship Id="rId273" Type="http://schemas.openxmlformats.org/officeDocument/2006/relationships/image" Target="media/image151.png"/><Relationship Id="rId47" Type="http://schemas.openxmlformats.org/officeDocument/2006/relationships/chart" Target="charts/chart3.xml"/><Relationship Id="rId68" Type="http://schemas.openxmlformats.org/officeDocument/2006/relationships/hyperlink" Target="http://www.wroclaw.pl/rozmawia/jak-urzadzic-osiedle-kompletne" TargetMode="External"/><Relationship Id="rId89" Type="http://schemas.openxmlformats.org/officeDocument/2006/relationships/image" Target="media/image21.jpeg"/><Relationship Id="rId112" Type="http://schemas.openxmlformats.org/officeDocument/2006/relationships/image" Target="media/image29.jpeg"/><Relationship Id="rId133" Type="http://schemas.openxmlformats.org/officeDocument/2006/relationships/footer" Target="footer1.xml"/><Relationship Id="rId154" Type="http://schemas.openxmlformats.org/officeDocument/2006/relationships/image" Target="media/image55.jpeg"/><Relationship Id="rId175" Type="http://schemas.openxmlformats.org/officeDocument/2006/relationships/image" Target="media/image74.jpeg"/><Relationship Id="rId196" Type="http://schemas.openxmlformats.org/officeDocument/2006/relationships/image" Target="media/image89.jpeg"/><Relationship Id="rId200" Type="http://schemas.openxmlformats.org/officeDocument/2006/relationships/image" Target="media/image93.jpeg"/><Relationship Id="rId16" Type="http://schemas.openxmlformats.org/officeDocument/2006/relationships/hyperlink" Target="https://www.facebook.com/visitwro/" TargetMode="External"/><Relationship Id="rId221" Type="http://schemas.openxmlformats.org/officeDocument/2006/relationships/image" Target="media/image114.jpeg"/><Relationship Id="rId242" Type="http://schemas.openxmlformats.org/officeDocument/2006/relationships/image" Target="media/image131.png"/><Relationship Id="rId263" Type="http://schemas.openxmlformats.org/officeDocument/2006/relationships/image" Target="media/image145.jpeg"/><Relationship Id="rId37" Type="http://schemas.openxmlformats.org/officeDocument/2006/relationships/hyperlink" Target="https://www.wroclaw.pl/biznes/files/dokumenty/858/Przewodnik%20PWP.pdf" TargetMode="External"/><Relationship Id="rId58" Type="http://schemas.openxmlformats.org/officeDocument/2006/relationships/hyperlink" Target="http://www.wroclaw.pl" TargetMode="External"/><Relationship Id="rId79" Type="http://schemas.openxmlformats.org/officeDocument/2006/relationships/image" Target="media/image14.jpeg"/><Relationship Id="rId102" Type="http://schemas.openxmlformats.org/officeDocument/2006/relationships/hyperlink" Target="https://www.facebook.com/wromigrant/?modal=admin_todo_tour" TargetMode="External"/><Relationship Id="rId123" Type="http://schemas.openxmlformats.org/officeDocument/2006/relationships/image" Target="media/image40.jpeg"/><Relationship Id="rId144" Type="http://schemas.openxmlformats.org/officeDocument/2006/relationships/image" Target="media/image51.png"/><Relationship Id="rId90" Type="http://schemas.openxmlformats.org/officeDocument/2006/relationships/image" Target="media/image22.jpeg"/><Relationship Id="rId165" Type="http://schemas.openxmlformats.org/officeDocument/2006/relationships/image" Target="media/image64.emf"/><Relationship Id="rId186" Type="http://schemas.openxmlformats.org/officeDocument/2006/relationships/footer" Target="footer4.xml"/><Relationship Id="rId211" Type="http://schemas.openxmlformats.org/officeDocument/2006/relationships/image" Target="media/image104.jpeg"/><Relationship Id="rId232" Type="http://schemas.openxmlformats.org/officeDocument/2006/relationships/image" Target="media/image122.jpeg"/><Relationship Id="rId253" Type="http://schemas.openxmlformats.org/officeDocument/2006/relationships/hyperlink" Target="javascript:OpenNewForm(92,'sesja=XXIII&amp;numer=622&amp;rok=20&amp;typ=1','XXIII/622/20')" TargetMode="External"/><Relationship Id="rId274" Type="http://schemas.openxmlformats.org/officeDocument/2006/relationships/image" Target="media/image152.png"/><Relationship Id="rId27" Type="http://schemas.openxmlformats.org/officeDocument/2006/relationships/image" Target="media/image9.jpeg"/><Relationship Id="rId48" Type="http://schemas.openxmlformats.org/officeDocument/2006/relationships/chart" Target="charts/chart4.xml"/><Relationship Id="rId69" Type="http://schemas.openxmlformats.org/officeDocument/2006/relationships/hyperlink" Target="https://www.wroclaw.pl/rozmawia/jak-urzadzic-podworko" TargetMode="External"/><Relationship Id="rId113" Type="http://schemas.openxmlformats.org/officeDocument/2006/relationships/image" Target="media/image30.jpeg"/><Relationship Id="rId134" Type="http://schemas.openxmlformats.org/officeDocument/2006/relationships/footer" Target="footer2.xml"/><Relationship Id="rId80" Type="http://schemas.openxmlformats.org/officeDocument/2006/relationships/hyperlink" Target="https://lubimyczytac.pl/autor/104829/grazyna-hryncewicz-lamber" TargetMode="External"/><Relationship Id="rId155" Type="http://schemas.openxmlformats.org/officeDocument/2006/relationships/hyperlink" Target="file:///D:\Users\ummakl01.UM\Desktop\&#8226;%09https:\www.wroclaw.pl\srodowisko\dofinansowanie-programow-ekologicznych" TargetMode="External"/><Relationship Id="rId176" Type="http://schemas.openxmlformats.org/officeDocument/2006/relationships/image" Target="media/image75.jpeg"/><Relationship Id="rId197" Type="http://schemas.openxmlformats.org/officeDocument/2006/relationships/image" Target="media/image90.jpeg"/><Relationship Id="rId201" Type="http://schemas.openxmlformats.org/officeDocument/2006/relationships/image" Target="media/image94.jpeg"/><Relationship Id="rId222" Type="http://schemas.openxmlformats.org/officeDocument/2006/relationships/image" Target="media/image115.jpeg"/><Relationship Id="rId243" Type="http://schemas.openxmlformats.org/officeDocument/2006/relationships/image" Target="media/image132.jpeg"/><Relationship Id="rId264" Type="http://schemas.openxmlformats.org/officeDocument/2006/relationships/image" Target="media/image146.jpeg"/><Relationship Id="rId17" Type="http://schemas.openxmlformats.org/officeDocument/2006/relationships/hyperlink" Target="http://visitwroclaw.eu" TargetMode="External"/><Relationship Id="rId38" Type="http://schemas.openxmlformats.org/officeDocument/2006/relationships/hyperlink" Target="http://www.geoportal.wroclaw.pl" TargetMode="External"/><Relationship Id="rId59" Type="http://schemas.openxmlformats.org/officeDocument/2006/relationships/hyperlink" Target="http://www.wroclaw.pl" TargetMode="External"/><Relationship Id="rId103" Type="http://schemas.openxmlformats.org/officeDocument/2006/relationships/hyperlink" Target="http://www.klinikaendometriozy.pl/" TargetMode="External"/><Relationship Id="rId124" Type="http://schemas.openxmlformats.org/officeDocument/2006/relationships/hyperlink" Target="http://www.wroclaw.pl" TargetMode="External"/><Relationship Id="rId70" Type="http://schemas.openxmlformats.org/officeDocument/2006/relationships/hyperlink" Target="http://www.wroclaw.pl/rozmawia/jakie-podworko-przy-hallera" TargetMode="External"/><Relationship Id="rId91" Type="http://schemas.openxmlformats.org/officeDocument/2006/relationships/hyperlink" Target="https://wro-ngo.pl/abecadlo-dialogu/" TargetMode="External"/><Relationship Id="rId145" Type="http://schemas.openxmlformats.org/officeDocument/2006/relationships/image" Target="media/image52.png"/><Relationship Id="rId166" Type="http://schemas.openxmlformats.org/officeDocument/2006/relationships/image" Target="media/image65.jpeg"/><Relationship Id="rId187" Type="http://schemas.openxmlformats.org/officeDocument/2006/relationships/footer" Target="footer5.xml"/><Relationship Id="rId1" Type="http://schemas.openxmlformats.org/officeDocument/2006/relationships/customXml" Target="../customXml/item1.xml"/><Relationship Id="rId212" Type="http://schemas.openxmlformats.org/officeDocument/2006/relationships/image" Target="media/image105.jpeg"/><Relationship Id="rId233" Type="http://schemas.openxmlformats.org/officeDocument/2006/relationships/image" Target="media/image123.jpeg"/><Relationship Id="rId254" Type="http://schemas.openxmlformats.org/officeDocument/2006/relationships/hyperlink" Target="javascript:OpenNewForm(92,'sesja=XXV&amp;numer=664&amp;rok=20&amp;typ=1','XXV/664/20')" TargetMode="External"/><Relationship Id="rId28" Type="http://schemas.openxmlformats.org/officeDocument/2006/relationships/image" Target="media/image10.png"/><Relationship Id="rId49" Type="http://schemas.openxmlformats.org/officeDocument/2006/relationships/chart" Target="charts/chart5.xml"/><Relationship Id="rId114" Type="http://schemas.openxmlformats.org/officeDocument/2006/relationships/image" Target="media/image31.jpeg"/><Relationship Id="rId27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umwsfi01.um.wroc\usr\umizsa01\ULGI%20-%20sprawozdania\Raport%20dla%20Prezydenta%20za%202020%20r\wykres%20-%201.xls"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Umwsfi01\wtr$\wszyscy\ZT\07%20HURTOWNIA%20DANYCH\08%20Hurtownia%20danych%202020\Praca%20przewozowa%20do%20Sprawozdania%20%20za%202020.xlsx" TargetMode="External"/><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oleObject" Target="file:///\\Umwsfi01\wtr$\wszyscy\ZT\07%20HURTOWNIA%20DANYCH\08%20Hurtownia%20danych%202020\Praca%20przewozowa%20do%20Sprawozdania%20%20za%202020.xlsx" TargetMode="External"/><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1" Type="http://schemas.openxmlformats.org/officeDocument/2006/relationships/package" Target="../embeddings/Arkusz_programu_Microsoft_Office_Excel3.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Arkusz_programu_Microsoft_Office_Excel4.xlsx"/></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Office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user\Desktop\dsrk2020.xls"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Office_Excel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user\Desktop\dsrk2020.xls"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user\Desktop\dsrk2020.xls"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Dorota\AppData\Local\Temp\wykres%20tabela%20wykonanie%20bud&#380;et.xls"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C:\Users\magdalena.ejchart\Desktop\praca%20zdalna%20od%2018.01.2021\sprawozdanie%20MOPS%20za%202020\cz&#261;stkowe%20MOPS\wykresy%20zad%20zlecone%20G%20i%20P.xlsx"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oleObject" Target="file:///\\Umwsfi01\wtr$\wszyscy\ZT\07%20HURTOWNIA%20DANYCH\08%20Hurtownia%20danych%202020\Praca%20przewozowa%20do%20Sprawozdania%20%20za%202020.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style val="26"/>
  <c:chart>
    <c:plotArea>
      <c:layout>
        <c:manualLayout>
          <c:layoutTarget val="inner"/>
          <c:xMode val="edge"/>
          <c:yMode val="edge"/>
          <c:x val="0.11305774278215273"/>
          <c:y val="7.4548702245552628E-2"/>
          <c:w val="0.48416447944007251"/>
          <c:h val="0.8326195683872849"/>
        </c:manualLayout>
      </c:layout>
      <c:barChart>
        <c:barDir val="col"/>
        <c:grouping val="clustered"/>
        <c:ser>
          <c:idx val="0"/>
          <c:order val="0"/>
          <c:tx>
            <c:strRef>
              <c:f>Arkusz1!$C$33</c:f>
              <c:strCache>
                <c:ptCount val="1"/>
                <c:pt idx="0">
                  <c:v>należności podatkowe</c:v>
                </c:pt>
              </c:strCache>
            </c:strRef>
          </c:tx>
          <c:cat>
            <c:strRef>
              <c:f>Arkusz1!$B$34:$B$38</c:f>
              <c:strCache>
                <c:ptCount val="5"/>
                <c:pt idx="0">
                  <c:v>rok 2016</c:v>
                </c:pt>
                <c:pt idx="1">
                  <c:v>rok 2017</c:v>
                </c:pt>
                <c:pt idx="2">
                  <c:v>rok 2018</c:v>
                </c:pt>
                <c:pt idx="3">
                  <c:v>rok 2019</c:v>
                </c:pt>
                <c:pt idx="4">
                  <c:v>rok 2020</c:v>
                </c:pt>
              </c:strCache>
            </c:strRef>
          </c:cat>
          <c:val>
            <c:numRef>
              <c:f>Arkusz1!$C$34:$C$38</c:f>
              <c:numCache>
                <c:formatCode>0.00%</c:formatCode>
                <c:ptCount val="5"/>
                <c:pt idx="0">
                  <c:v>0.55000000000000004</c:v>
                </c:pt>
                <c:pt idx="1">
                  <c:v>0.53</c:v>
                </c:pt>
                <c:pt idx="2">
                  <c:v>0.43000000000000038</c:v>
                </c:pt>
                <c:pt idx="3">
                  <c:v>0.45</c:v>
                </c:pt>
                <c:pt idx="4">
                  <c:v>0.630000000000004</c:v>
                </c:pt>
              </c:numCache>
            </c:numRef>
          </c:val>
        </c:ser>
        <c:ser>
          <c:idx val="1"/>
          <c:order val="1"/>
          <c:tx>
            <c:strRef>
              <c:f>Arkusz1!$D$33</c:f>
              <c:strCache>
                <c:ptCount val="1"/>
                <c:pt idx="0">
                  <c:v>należności za gospodarowanie odpadami komunalnymi</c:v>
                </c:pt>
              </c:strCache>
            </c:strRef>
          </c:tx>
          <c:cat>
            <c:strRef>
              <c:f>Arkusz1!$B$34:$B$38</c:f>
              <c:strCache>
                <c:ptCount val="5"/>
                <c:pt idx="0">
                  <c:v>rok 2016</c:v>
                </c:pt>
                <c:pt idx="1">
                  <c:v>rok 2017</c:v>
                </c:pt>
                <c:pt idx="2">
                  <c:v>rok 2018</c:v>
                </c:pt>
                <c:pt idx="3">
                  <c:v>rok 2019</c:v>
                </c:pt>
                <c:pt idx="4">
                  <c:v>rok 2020</c:v>
                </c:pt>
              </c:strCache>
            </c:strRef>
          </c:cat>
          <c:val>
            <c:numRef>
              <c:f>Arkusz1!$D$34:$D$38</c:f>
              <c:numCache>
                <c:formatCode>General</c:formatCode>
                <c:ptCount val="5"/>
                <c:pt idx="2" formatCode="0.00%">
                  <c:v>0.15000000000000024</c:v>
                </c:pt>
                <c:pt idx="3" formatCode="0.00%">
                  <c:v>0.15000000000000024</c:v>
                </c:pt>
                <c:pt idx="4" formatCode="0.00%">
                  <c:v>5.0000000000000114E-2</c:v>
                </c:pt>
              </c:numCache>
            </c:numRef>
          </c:val>
        </c:ser>
        <c:ser>
          <c:idx val="2"/>
          <c:order val="2"/>
          <c:tx>
            <c:strRef>
              <c:f>Arkusz1!$E$33</c:f>
              <c:strCache>
                <c:ptCount val="1"/>
                <c:pt idx="0">
                  <c:v>należności niepodatkowe</c:v>
                </c:pt>
              </c:strCache>
            </c:strRef>
          </c:tx>
          <c:cat>
            <c:strRef>
              <c:f>Arkusz1!$B$34:$B$38</c:f>
              <c:strCache>
                <c:ptCount val="5"/>
                <c:pt idx="0">
                  <c:v>rok 2016</c:v>
                </c:pt>
                <c:pt idx="1">
                  <c:v>rok 2017</c:v>
                </c:pt>
                <c:pt idx="2">
                  <c:v>rok 2018</c:v>
                </c:pt>
                <c:pt idx="3">
                  <c:v>rok 2019</c:v>
                </c:pt>
                <c:pt idx="4">
                  <c:v>rok 2020</c:v>
                </c:pt>
              </c:strCache>
            </c:strRef>
          </c:cat>
          <c:val>
            <c:numRef>
              <c:f>Arkusz1!$E$34:$E$38</c:f>
              <c:numCache>
                <c:formatCode>0.00%</c:formatCode>
                <c:ptCount val="5"/>
                <c:pt idx="0">
                  <c:v>0.32000000000000201</c:v>
                </c:pt>
                <c:pt idx="1">
                  <c:v>0.15000000000000024</c:v>
                </c:pt>
                <c:pt idx="2">
                  <c:v>0.15000000000000024</c:v>
                </c:pt>
                <c:pt idx="3">
                  <c:v>0.18000000000000024</c:v>
                </c:pt>
                <c:pt idx="4">
                  <c:v>9.0000000000000066E-2</c:v>
                </c:pt>
              </c:numCache>
            </c:numRef>
          </c:val>
        </c:ser>
        <c:ser>
          <c:idx val="3"/>
          <c:order val="3"/>
          <c:tx>
            <c:strRef>
              <c:f>Arkusz1!$F$33</c:f>
              <c:strCache>
                <c:ptCount val="1"/>
                <c:pt idx="0">
                  <c:v>należności cywilnoprawne</c:v>
                </c:pt>
              </c:strCache>
            </c:strRef>
          </c:tx>
          <c:cat>
            <c:strRef>
              <c:f>Arkusz1!$B$34:$B$38</c:f>
              <c:strCache>
                <c:ptCount val="5"/>
                <c:pt idx="0">
                  <c:v>rok 2016</c:v>
                </c:pt>
                <c:pt idx="1">
                  <c:v>rok 2017</c:v>
                </c:pt>
                <c:pt idx="2">
                  <c:v>rok 2018</c:v>
                </c:pt>
                <c:pt idx="3">
                  <c:v>rok 2019</c:v>
                </c:pt>
                <c:pt idx="4">
                  <c:v>rok 2020</c:v>
                </c:pt>
              </c:strCache>
            </c:strRef>
          </c:cat>
          <c:val>
            <c:numRef>
              <c:f>Arkusz1!$F$34:$F$38</c:f>
              <c:numCache>
                <c:formatCode>0.00%</c:formatCode>
                <c:ptCount val="5"/>
                <c:pt idx="0">
                  <c:v>0.13</c:v>
                </c:pt>
                <c:pt idx="1">
                  <c:v>0.32000000000000201</c:v>
                </c:pt>
                <c:pt idx="2">
                  <c:v>0.27</c:v>
                </c:pt>
                <c:pt idx="3">
                  <c:v>0.22000000000000039</c:v>
                </c:pt>
                <c:pt idx="4">
                  <c:v>0.23</c:v>
                </c:pt>
              </c:numCache>
            </c:numRef>
          </c:val>
        </c:ser>
        <c:axId val="487557376"/>
        <c:axId val="487563264"/>
      </c:barChart>
      <c:catAx>
        <c:axId val="487557376"/>
        <c:scaling>
          <c:orientation val="minMax"/>
        </c:scaling>
        <c:axPos val="b"/>
        <c:numFmt formatCode="General" sourceLinked="1"/>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87563264"/>
        <c:crosses val="autoZero"/>
        <c:auto val="1"/>
        <c:lblAlgn val="ctr"/>
        <c:lblOffset val="100"/>
      </c:catAx>
      <c:valAx>
        <c:axId val="487563264"/>
        <c:scaling>
          <c:orientation val="minMax"/>
        </c:scaling>
        <c:axPos val="l"/>
        <c:majorGridlines/>
        <c:numFmt formatCode="0.00%" sourceLinked="1"/>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87557376"/>
        <c:crosses val="autoZero"/>
        <c:crossBetween val="between"/>
      </c:valAx>
    </c:plotArea>
    <c:legend>
      <c:legendPos val="r"/>
      <c:layout>
        <c:manualLayout>
          <c:xMode val="edge"/>
          <c:yMode val="edge"/>
          <c:x val="0.65833333333333721"/>
          <c:y val="2.3264800233304172E-3"/>
          <c:w val="0.34166666666666956"/>
          <c:h val="0.78238407699037615"/>
        </c:manualLayout>
      </c:layout>
      <c:txPr>
        <a:bodyPr/>
        <a:lstStyle/>
        <a:p>
          <a:pPr>
            <a:defRPr sz="920" b="0" i="0" u="none" strike="noStrike" baseline="0">
              <a:solidFill>
                <a:srgbClr val="000000"/>
              </a:solidFill>
              <a:latin typeface="Calibri"/>
              <a:ea typeface="Calibri"/>
              <a:cs typeface="Calibri"/>
            </a:defRPr>
          </a:pPr>
          <a:endParaRPr lang="pl-PL"/>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pl-PL"/>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title>
      <c:tx>
        <c:rich>
          <a:bodyPr/>
          <a:lstStyle/>
          <a:p>
            <a:pPr>
              <a:defRPr sz="1100">
                <a:latin typeface="Verdana" pitchFamily="34" charset="0"/>
                <a:ea typeface="Verdana" pitchFamily="34" charset="0"/>
                <a:cs typeface="Verdana" pitchFamily="34" charset="0"/>
              </a:defRPr>
            </a:pPr>
            <a:r>
              <a:rPr lang="en-US" sz="1100">
                <a:latin typeface="Verdana" pitchFamily="34" charset="0"/>
                <a:ea typeface="Verdana" pitchFamily="34" charset="0"/>
                <a:cs typeface="Verdana" pitchFamily="34" charset="0"/>
              </a:rPr>
              <a:t>Autobusy</a:t>
            </a:r>
            <a:r>
              <a:rPr lang="pl-PL" sz="1100">
                <a:latin typeface="Verdana" pitchFamily="34" charset="0"/>
                <a:ea typeface="Verdana" pitchFamily="34" charset="0"/>
                <a:cs typeface="Verdana" pitchFamily="34" charset="0"/>
              </a:rPr>
              <a:t> MPK</a:t>
            </a:r>
            <a:r>
              <a:rPr lang="en-US" sz="1100">
                <a:latin typeface="Verdana" pitchFamily="34" charset="0"/>
                <a:ea typeface="Verdana" pitchFamily="34" charset="0"/>
                <a:cs typeface="Verdana" pitchFamily="34" charset="0"/>
              </a:rPr>
              <a:t> - </a:t>
            </a:r>
            <a:r>
              <a:rPr lang="pl-PL" sz="1100">
                <a:latin typeface="Verdana" pitchFamily="34" charset="0"/>
                <a:ea typeface="Verdana" pitchFamily="34" charset="0"/>
                <a:cs typeface="Verdana" pitchFamily="34" charset="0"/>
              </a:rPr>
              <a:t>p</a:t>
            </a:r>
            <a:r>
              <a:rPr lang="en-US" sz="1100">
                <a:latin typeface="Verdana" pitchFamily="34" charset="0"/>
                <a:ea typeface="Verdana" pitchFamily="34" charset="0"/>
                <a:cs typeface="Verdana" pitchFamily="34" charset="0"/>
              </a:rPr>
              <a:t>raca przewozowa</a:t>
            </a:r>
          </a:p>
        </c:rich>
      </c:tx>
    </c:title>
    <c:plotArea>
      <c:layout/>
      <c:barChart>
        <c:barDir val="col"/>
        <c:grouping val="clustered"/>
        <c:ser>
          <c:idx val="1"/>
          <c:order val="0"/>
          <c:tx>
            <c:strRef>
              <c:f>Arkusz1!$C$25</c:f>
              <c:strCache>
                <c:ptCount val="1"/>
                <c:pt idx="0">
                  <c:v>Autobusy - Praca przewozowa</c:v>
                </c:pt>
              </c:strCache>
            </c:strRef>
          </c:tx>
          <c:cat>
            <c:numRef>
              <c:f>Arkusz1!$B$26:$B$31</c:f>
              <c:numCache>
                <c:formatCode>General</c:formatCode>
                <c:ptCount val="6"/>
                <c:pt idx="0">
                  <c:v>2015</c:v>
                </c:pt>
                <c:pt idx="1">
                  <c:v>2016</c:v>
                </c:pt>
                <c:pt idx="2">
                  <c:v>2017</c:v>
                </c:pt>
                <c:pt idx="3">
                  <c:v>2018</c:v>
                </c:pt>
                <c:pt idx="4">
                  <c:v>2019</c:v>
                </c:pt>
                <c:pt idx="5">
                  <c:v>2020</c:v>
                </c:pt>
              </c:numCache>
            </c:numRef>
          </c:cat>
          <c:val>
            <c:numRef>
              <c:f>Arkusz1!$C$26:$C$31</c:f>
              <c:numCache>
                <c:formatCode>#,##0</c:formatCode>
                <c:ptCount val="6"/>
                <c:pt idx="0">
                  <c:v>23893095</c:v>
                </c:pt>
                <c:pt idx="1">
                  <c:v>23946778.710000001</c:v>
                </c:pt>
                <c:pt idx="2">
                  <c:v>24218302.25</c:v>
                </c:pt>
                <c:pt idx="3">
                  <c:v>25291946.43</c:v>
                </c:pt>
                <c:pt idx="4">
                  <c:v>25983977.010000005</c:v>
                </c:pt>
                <c:pt idx="5">
                  <c:v>28986323.539999999</c:v>
                </c:pt>
              </c:numCache>
            </c:numRef>
          </c:val>
          <c:extLst xmlns:c16r2="http://schemas.microsoft.com/office/drawing/2015/06/chart">
            <c:ext xmlns:c16="http://schemas.microsoft.com/office/drawing/2014/chart" uri="{C3380CC4-5D6E-409C-BE32-E72D297353CC}">
              <c16:uniqueId val="{00000000-9361-4D9E-AB02-245623266DF9}"/>
            </c:ext>
          </c:extLst>
        </c:ser>
        <c:axId val="519462272"/>
        <c:axId val="519472256"/>
      </c:barChart>
      <c:catAx>
        <c:axId val="519462272"/>
        <c:scaling>
          <c:orientation val="minMax"/>
        </c:scaling>
        <c:axPos val="b"/>
        <c:numFmt formatCode="General" sourceLinked="1"/>
        <c:tickLblPos val="nextTo"/>
        <c:crossAx val="519472256"/>
        <c:crosses val="autoZero"/>
        <c:auto val="1"/>
        <c:lblAlgn val="ctr"/>
        <c:lblOffset val="100"/>
      </c:catAx>
      <c:valAx>
        <c:axId val="519472256"/>
        <c:scaling>
          <c:orientation val="minMax"/>
        </c:scaling>
        <c:axPos val="l"/>
        <c:majorGridlines/>
        <c:numFmt formatCode="#,##0" sourceLinked="1"/>
        <c:tickLblPos val="nextTo"/>
        <c:crossAx val="519462272"/>
        <c:crosses val="autoZero"/>
        <c:crossBetween val="between"/>
      </c:valAx>
    </c:plotArea>
    <c:plotVisOnly val="1"/>
    <c:dispBlanksAs val="gap"/>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title>
      <c:tx>
        <c:rich>
          <a:bodyPr/>
          <a:lstStyle/>
          <a:p>
            <a:pPr>
              <a:defRPr sz="1050">
                <a:latin typeface="Verdana" pitchFamily="34" charset="0"/>
                <a:ea typeface="Verdana" pitchFamily="34" charset="0"/>
                <a:cs typeface="Verdana" pitchFamily="34" charset="0"/>
              </a:defRPr>
            </a:pPr>
            <a:r>
              <a:rPr lang="pl-PL" sz="1050">
                <a:latin typeface="Verdana" pitchFamily="34" charset="0"/>
                <a:ea typeface="Verdana" pitchFamily="34" charset="0"/>
                <a:cs typeface="Verdana" pitchFamily="34" charset="0"/>
              </a:rPr>
              <a:t>Komunikacja miejska i podmiejska - praca przewozowa</a:t>
            </a:r>
          </a:p>
        </c:rich>
      </c:tx>
    </c:title>
    <c:plotArea>
      <c:layout/>
      <c:barChart>
        <c:barDir val="col"/>
        <c:grouping val="clustered"/>
        <c:ser>
          <c:idx val="1"/>
          <c:order val="0"/>
          <c:tx>
            <c:strRef>
              <c:f>Arkusz1!$C$43</c:f>
              <c:strCache>
                <c:ptCount val="1"/>
                <c:pt idx="0">
                  <c:v>Autobusy strefowe- Praca przewozowa</c:v>
                </c:pt>
              </c:strCache>
            </c:strRef>
          </c:tx>
          <c:cat>
            <c:numRef>
              <c:f>Arkusz1!$B$44:$B$49</c:f>
              <c:numCache>
                <c:formatCode>General</c:formatCode>
                <c:ptCount val="6"/>
                <c:pt idx="0">
                  <c:v>2015</c:v>
                </c:pt>
                <c:pt idx="1">
                  <c:v>2016</c:v>
                </c:pt>
                <c:pt idx="2">
                  <c:v>2017</c:v>
                </c:pt>
                <c:pt idx="3">
                  <c:v>2018</c:v>
                </c:pt>
                <c:pt idx="4">
                  <c:v>2019</c:v>
                </c:pt>
                <c:pt idx="5">
                  <c:v>2020</c:v>
                </c:pt>
              </c:numCache>
            </c:numRef>
          </c:cat>
          <c:val>
            <c:numRef>
              <c:f>Arkusz1!$C$44:$C$49</c:f>
              <c:numCache>
                <c:formatCode>#,##0</c:formatCode>
                <c:ptCount val="6"/>
                <c:pt idx="0">
                  <c:v>2843388</c:v>
                </c:pt>
                <c:pt idx="1">
                  <c:v>2968456</c:v>
                </c:pt>
                <c:pt idx="2">
                  <c:v>3091519</c:v>
                </c:pt>
                <c:pt idx="3">
                  <c:v>3381845</c:v>
                </c:pt>
                <c:pt idx="4">
                  <c:v>2762676.71</c:v>
                </c:pt>
                <c:pt idx="5">
                  <c:v>2949461.44</c:v>
                </c:pt>
              </c:numCache>
            </c:numRef>
          </c:val>
          <c:extLst xmlns:c16r2="http://schemas.microsoft.com/office/drawing/2015/06/chart">
            <c:ext xmlns:c16="http://schemas.microsoft.com/office/drawing/2014/chart" uri="{C3380CC4-5D6E-409C-BE32-E72D297353CC}">
              <c16:uniqueId val="{00000000-EE0A-40FF-BB19-4E2ACABC5592}"/>
            </c:ext>
          </c:extLst>
        </c:ser>
        <c:axId val="519496448"/>
        <c:axId val="519497984"/>
      </c:barChart>
      <c:catAx>
        <c:axId val="519496448"/>
        <c:scaling>
          <c:orientation val="minMax"/>
        </c:scaling>
        <c:axPos val="b"/>
        <c:numFmt formatCode="General" sourceLinked="1"/>
        <c:tickLblPos val="nextTo"/>
        <c:crossAx val="519497984"/>
        <c:crosses val="autoZero"/>
        <c:auto val="1"/>
        <c:lblAlgn val="ctr"/>
        <c:lblOffset val="100"/>
      </c:catAx>
      <c:valAx>
        <c:axId val="519497984"/>
        <c:scaling>
          <c:orientation val="minMax"/>
        </c:scaling>
        <c:axPos val="l"/>
        <c:majorGridlines/>
        <c:numFmt formatCode="#,##0" sourceLinked="1"/>
        <c:tickLblPos val="nextTo"/>
        <c:crossAx val="519496448"/>
        <c:crosses val="autoZero"/>
        <c:crossBetween val="between"/>
      </c:valAx>
    </c:plotArea>
    <c:plotVisOnly val="1"/>
    <c:dispBlanksAs val="gap"/>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lang val="pl-PL"/>
  <c:chart>
    <c:title>
      <c:tx>
        <c:rich>
          <a:bodyPr/>
          <a:lstStyle/>
          <a:p>
            <a:pPr>
              <a:defRPr sz="900" b="1" i="0" u="none" strike="noStrike" baseline="0">
                <a:solidFill>
                  <a:srgbClr val="000000"/>
                </a:solidFill>
                <a:latin typeface="Verdana"/>
                <a:ea typeface="Verdana"/>
                <a:cs typeface="Verdana"/>
              </a:defRPr>
            </a:pPr>
            <a:r>
              <a:rPr lang="pl-PL"/>
              <a:t>Ilość wypowiedzeń opłaty rocznej /  liczba zaktualizowanych nieruchomości  w latach 2016-2020</a:t>
            </a:r>
          </a:p>
        </c:rich>
      </c:tx>
      <c:layout>
        <c:manualLayout>
          <c:xMode val="edge"/>
          <c:yMode val="edge"/>
          <c:x val="0.10166358595194097"/>
          <c:y val="0"/>
        </c:manualLayout>
      </c:layout>
      <c:spPr>
        <a:noFill/>
        <a:ln w="25399">
          <a:noFill/>
        </a:ln>
      </c:spPr>
    </c:title>
    <c:view3D>
      <c:rotX val="2"/>
      <c:hPercent val="65"/>
      <c:rotY val="2"/>
      <c:depthPercent val="500"/>
      <c:rAngAx val="1"/>
    </c:view3D>
    <c:floor>
      <c:spPr>
        <a:noFill/>
        <a:ln w="9525">
          <a:noFill/>
        </a:ln>
      </c:spPr>
    </c:floor>
    <c:sideWall>
      <c:spPr>
        <a:noFill/>
        <a:ln w="25400">
          <a:noFill/>
        </a:ln>
      </c:spPr>
    </c:sideWall>
    <c:backWall>
      <c:spPr>
        <a:noFill/>
        <a:ln w="25400">
          <a:noFill/>
        </a:ln>
      </c:spPr>
    </c:backWall>
    <c:plotArea>
      <c:layout>
        <c:manualLayout>
          <c:layoutTarget val="inner"/>
          <c:xMode val="edge"/>
          <c:yMode val="edge"/>
          <c:x val="0.19038817005545286"/>
          <c:y val="0.11956521739130439"/>
          <c:w val="0.74861367837338355"/>
          <c:h val="0.71195652173913049"/>
        </c:manualLayout>
      </c:layout>
      <c:bar3DChart>
        <c:barDir val="col"/>
        <c:grouping val="standard"/>
        <c:ser>
          <c:idx val="0"/>
          <c:order val="0"/>
          <c:tx>
            <c:strRef>
              <c:f>Sheet1!$A$2</c:f>
              <c:strCache>
                <c:ptCount val="1"/>
                <c:pt idx="0">
                  <c:v>ilość nieruchomości</c:v>
                </c:pt>
              </c:strCache>
            </c:strRef>
          </c:tx>
          <c:spPr>
            <a:solidFill>
              <a:srgbClr val="FFCC99"/>
            </a:solidFill>
            <a:ln w="12700">
              <a:solidFill>
                <a:srgbClr val="000000"/>
              </a:solidFill>
              <a:prstDash val="solid"/>
            </a:ln>
          </c:spPr>
          <c:dLbls>
            <c:dLbl>
              <c:idx val="0"/>
              <c:layout>
                <c:manualLayout>
                  <c:x val="2.0155727076278752E-2"/>
                  <c:y val="1.9811847190599103E-2"/>
                </c:manualLayout>
              </c:layout>
              <c:showVal val="1"/>
            </c:dLbl>
            <c:dLbl>
              <c:idx val="1"/>
              <c:layout>
                <c:manualLayout>
                  <c:x val="1.874167210525508E-2"/>
                  <c:y val="1.6538876179125035E-2"/>
                </c:manualLayout>
              </c:layout>
              <c:showVal val="1"/>
            </c:dLbl>
            <c:dLbl>
              <c:idx val="2"/>
              <c:layout>
                <c:manualLayout>
                  <c:x val="1.1782330627761782E-2"/>
                  <c:y val="1.5719627739769301E-2"/>
                </c:manualLayout>
              </c:layout>
              <c:showVal val="1"/>
            </c:dLbl>
            <c:dLbl>
              <c:idx val="3"/>
              <c:layout>
                <c:manualLayout>
                  <c:x val="1.1706477520459401E-2"/>
                  <c:y val="1.159611389156092E-2"/>
                </c:manualLayout>
              </c:layout>
              <c:showVal val="1"/>
            </c:dLbl>
            <c:dLbl>
              <c:idx val="4"/>
              <c:layout>
                <c:manualLayout>
                  <c:x val="1.3989280220414835E-2"/>
                  <c:y val="2.3447778568741803E-2"/>
                </c:manualLayout>
              </c:layout>
              <c:showVal val="1"/>
            </c:dLbl>
            <c:spPr>
              <a:noFill/>
              <a:ln w="25399">
                <a:noFill/>
              </a:ln>
            </c:spPr>
            <c:txPr>
              <a:bodyPr/>
              <a:lstStyle/>
              <a:p>
                <a:pPr>
                  <a:defRPr sz="900" b="1" i="0" u="none" strike="noStrike" baseline="0">
                    <a:solidFill>
                      <a:srgbClr val="000000"/>
                    </a:solidFill>
                    <a:latin typeface="Arial"/>
                    <a:ea typeface="Arial"/>
                    <a:cs typeface="Arial"/>
                  </a:defRPr>
                </a:pPr>
                <a:endParaRPr lang="pl-PL"/>
              </a:p>
            </c:txPr>
            <c:showVal val="1"/>
          </c:dLbls>
          <c:cat>
            <c:strRef>
              <c:f>Sheet1!$B$1:$F$1</c:f>
              <c:strCache>
                <c:ptCount val="5"/>
                <c:pt idx="0">
                  <c:v>2016</c:v>
                </c:pt>
                <c:pt idx="1">
                  <c:v>2017</c:v>
                </c:pt>
                <c:pt idx="2">
                  <c:v>2018</c:v>
                </c:pt>
                <c:pt idx="3">
                  <c:v>2019*</c:v>
                </c:pt>
                <c:pt idx="4">
                  <c:v>2020</c:v>
                </c:pt>
              </c:strCache>
            </c:strRef>
          </c:cat>
          <c:val>
            <c:numRef>
              <c:f>Sheet1!$B$2:$F$2</c:f>
              <c:numCache>
                <c:formatCode>General</c:formatCode>
                <c:ptCount val="5"/>
                <c:pt idx="0">
                  <c:v>176</c:v>
                </c:pt>
                <c:pt idx="1">
                  <c:v>115</c:v>
                </c:pt>
                <c:pt idx="2">
                  <c:v>162</c:v>
                </c:pt>
                <c:pt idx="3">
                  <c:v>37</c:v>
                </c:pt>
                <c:pt idx="4">
                  <c:v>47</c:v>
                </c:pt>
              </c:numCache>
            </c:numRef>
          </c:val>
        </c:ser>
        <c:ser>
          <c:idx val="1"/>
          <c:order val="1"/>
          <c:tx>
            <c:strRef>
              <c:f>Sheet1!$A$3</c:f>
              <c:strCache>
                <c:ptCount val="1"/>
                <c:pt idx="0">
                  <c:v>ilość wypowiedzeń</c:v>
                </c:pt>
              </c:strCache>
            </c:strRef>
          </c:tx>
          <c:spPr>
            <a:solidFill>
              <a:srgbClr val="339966"/>
            </a:solidFill>
            <a:ln w="12700">
              <a:solidFill>
                <a:srgbClr val="000000"/>
              </a:solidFill>
              <a:prstDash val="solid"/>
            </a:ln>
          </c:spPr>
          <c:dLbls>
            <c:dLbl>
              <c:idx val="0"/>
              <c:layout>
                <c:manualLayout>
                  <c:x val="3.1671130812799292E-2"/>
                  <c:y val="-5.3798885042751113E-2"/>
                </c:manualLayout>
              </c:layout>
              <c:showVal val="1"/>
            </c:dLbl>
            <c:dLbl>
              <c:idx val="1"/>
              <c:layout>
                <c:manualLayout>
                  <c:x val="2.2352942989251331E-2"/>
                  <c:y val="-5.3576586441187408E-2"/>
                </c:manualLayout>
              </c:layout>
              <c:showVal val="1"/>
            </c:dLbl>
            <c:dLbl>
              <c:idx val="2"/>
              <c:layout>
                <c:manualLayout>
                  <c:x val="3.4388307377221115E-2"/>
                  <c:y val="-5.371443303886541E-2"/>
                </c:manualLayout>
              </c:layout>
              <c:showVal val="1"/>
            </c:dLbl>
            <c:dLbl>
              <c:idx val="3"/>
              <c:layout>
                <c:manualLayout>
                  <c:x val="2.6408321417394742E-2"/>
                  <c:y val="-5.2518584633442507E-2"/>
                </c:manualLayout>
              </c:layout>
              <c:showVal val="1"/>
            </c:dLbl>
            <c:dLbl>
              <c:idx val="4"/>
              <c:layout>
                <c:manualLayout>
                  <c:x val="3.4746637595588548E-2"/>
                  <c:y val="-3.3628679869122546E-2"/>
                </c:manualLayout>
              </c:layout>
              <c:showVal val="1"/>
            </c:dLbl>
            <c:spPr>
              <a:noFill/>
              <a:ln w="25399">
                <a:noFill/>
              </a:ln>
            </c:spPr>
            <c:txPr>
              <a:bodyPr/>
              <a:lstStyle/>
              <a:p>
                <a:pPr>
                  <a:defRPr sz="900" b="1" i="0" u="none" strike="noStrike" baseline="0">
                    <a:solidFill>
                      <a:srgbClr val="000000"/>
                    </a:solidFill>
                    <a:latin typeface="Arial"/>
                    <a:ea typeface="Arial"/>
                    <a:cs typeface="Arial"/>
                  </a:defRPr>
                </a:pPr>
                <a:endParaRPr lang="pl-PL"/>
              </a:p>
            </c:txPr>
            <c:showVal val="1"/>
          </c:dLbls>
          <c:cat>
            <c:strRef>
              <c:f>Sheet1!$B$1:$F$1</c:f>
              <c:strCache>
                <c:ptCount val="5"/>
                <c:pt idx="0">
                  <c:v>2016</c:v>
                </c:pt>
                <c:pt idx="1">
                  <c:v>2017</c:v>
                </c:pt>
                <c:pt idx="2">
                  <c:v>2018</c:v>
                </c:pt>
                <c:pt idx="3">
                  <c:v>2019*</c:v>
                </c:pt>
                <c:pt idx="4">
                  <c:v>2020</c:v>
                </c:pt>
              </c:strCache>
            </c:strRef>
          </c:cat>
          <c:val>
            <c:numRef>
              <c:f>Sheet1!$B$3:$F$3</c:f>
              <c:numCache>
                <c:formatCode>General</c:formatCode>
                <c:ptCount val="5"/>
                <c:pt idx="0">
                  <c:v>2721</c:v>
                </c:pt>
                <c:pt idx="1">
                  <c:v>814</c:v>
                </c:pt>
                <c:pt idx="2">
                  <c:v>3718</c:v>
                </c:pt>
                <c:pt idx="3">
                  <c:v>50</c:v>
                </c:pt>
                <c:pt idx="4">
                  <c:v>104</c:v>
                </c:pt>
              </c:numCache>
            </c:numRef>
          </c:val>
        </c:ser>
        <c:gapDepth val="0"/>
        <c:shape val="box"/>
        <c:axId val="793599360"/>
        <c:axId val="933905536"/>
        <c:axId val="265284672"/>
      </c:bar3DChart>
      <c:catAx>
        <c:axId val="793599360"/>
        <c:scaling>
          <c:orientation val="minMax"/>
        </c:scaling>
        <c:axPos val="b"/>
        <c:numFmt formatCode="General" sourceLinked="1"/>
        <c:tickLblPos val="low"/>
        <c:spPr>
          <a:ln w="9525">
            <a:noFill/>
          </a:ln>
        </c:spPr>
        <c:txPr>
          <a:bodyPr rot="0" vert="horz"/>
          <a:lstStyle/>
          <a:p>
            <a:pPr>
              <a:defRPr sz="1050" b="0" i="0" u="none" strike="noStrike" baseline="0">
                <a:solidFill>
                  <a:srgbClr val="000000"/>
                </a:solidFill>
                <a:latin typeface="Arial"/>
                <a:ea typeface="Arial"/>
                <a:cs typeface="Arial"/>
              </a:defRPr>
            </a:pPr>
            <a:endParaRPr lang="pl-PL"/>
          </a:p>
        </c:txPr>
        <c:crossAx val="933905536"/>
        <c:crosses val="autoZero"/>
        <c:auto val="1"/>
        <c:lblAlgn val="ctr"/>
        <c:lblOffset val="100"/>
        <c:tickLblSkip val="1"/>
        <c:tickMarkSkip val="1"/>
      </c:catAx>
      <c:valAx>
        <c:axId val="933905536"/>
        <c:scaling>
          <c:orientation val="minMax"/>
        </c:scaling>
        <c:axPos val="l"/>
        <c:numFmt formatCode="General" sourceLinked="1"/>
        <c:tickLblPos val="nextTo"/>
        <c:spPr>
          <a:ln w="3175">
            <a:solidFill>
              <a:srgbClr val="000000"/>
            </a:solidFill>
            <a:prstDash val="solid"/>
          </a:ln>
        </c:spPr>
        <c:txPr>
          <a:bodyPr rot="0" vert="horz"/>
          <a:lstStyle/>
          <a:p>
            <a:pPr>
              <a:defRPr sz="1050" b="0" i="0" u="none" strike="noStrike" baseline="0">
                <a:solidFill>
                  <a:srgbClr val="000000"/>
                </a:solidFill>
                <a:latin typeface="Arial"/>
                <a:ea typeface="Arial"/>
                <a:cs typeface="Arial"/>
              </a:defRPr>
            </a:pPr>
            <a:endParaRPr lang="pl-PL"/>
          </a:p>
        </c:txPr>
        <c:crossAx val="793599360"/>
        <c:crosses val="autoZero"/>
        <c:crossBetween val="between"/>
        <c:majorUnit val="1000"/>
      </c:valAx>
      <c:serAx>
        <c:axId val="265284672"/>
        <c:scaling>
          <c:orientation val="minMax"/>
        </c:scaling>
        <c:delete val="1"/>
        <c:axPos val="b"/>
        <c:tickLblPos val="none"/>
        <c:crossAx val="933905536"/>
        <c:crosses val="autoZero"/>
      </c:serAx>
      <c:spPr>
        <a:noFill/>
        <a:ln w="25399">
          <a:noFill/>
        </a:ln>
      </c:spPr>
    </c:plotArea>
    <c:legend>
      <c:legendPos val="r"/>
      <c:layout>
        <c:manualLayout>
          <c:xMode val="edge"/>
          <c:yMode val="edge"/>
          <c:x val="0.23105360443622924"/>
          <c:y val="0.83152173913043481"/>
          <c:w val="0.46580406654343831"/>
          <c:h val="6.25E-2"/>
        </c:manualLayout>
      </c:layout>
      <c:spPr>
        <a:solidFill>
          <a:srgbClr val="FFFFFF"/>
        </a:solidFill>
        <a:ln w="3175">
          <a:solidFill>
            <a:srgbClr val="000000"/>
          </a:solidFill>
          <a:prstDash val="solid"/>
        </a:ln>
      </c:spPr>
      <c:txPr>
        <a:bodyPr/>
        <a:lstStyle/>
        <a:p>
          <a:pPr>
            <a:defRPr sz="805" b="0" i="0" u="none" strike="noStrike" baseline="0">
              <a:solidFill>
                <a:srgbClr val="000000"/>
              </a:solidFill>
              <a:latin typeface="Arial"/>
              <a:ea typeface="Arial"/>
              <a:cs typeface="Arial"/>
            </a:defRPr>
          </a:pPr>
          <a:endParaRPr lang="pl-PL"/>
        </a:p>
      </c:txPr>
    </c:legend>
    <c:plotVisOnly val="1"/>
    <c:dispBlanksAs val="gap"/>
  </c:chart>
  <c:spPr>
    <a:noFill/>
    <a:ln>
      <a:noFill/>
    </a:ln>
  </c:spPr>
  <c:txPr>
    <a:bodyPr/>
    <a:lstStyle/>
    <a:p>
      <a:pPr>
        <a:defRPr sz="875" b="0" i="0" u="none" strike="noStrike" baseline="0">
          <a:solidFill>
            <a:srgbClr val="000000"/>
          </a:solidFill>
          <a:latin typeface="Arial"/>
          <a:ea typeface="Arial"/>
          <a:cs typeface="Arial"/>
        </a:defRPr>
      </a:pPr>
      <a:endParaRPr lang="pl-PL"/>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pl-PL"/>
  <c:chart>
    <c:title>
      <c:tx>
        <c:rich>
          <a:bodyPr/>
          <a:lstStyle/>
          <a:p>
            <a:pPr>
              <a:defRPr sz="900" b="1" i="0" u="none" strike="noStrike" baseline="0">
                <a:solidFill>
                  <a:srgbClr val="000000"/>
                </a:solidFill>
                <a:latin typeface="Verdana"/>
                <a:ea typeface="Verdana"/>
                <a:cs typeface="Verdana"/>
              </a:defRPr>
            </a:pPr>
            <a:r>
              <a:rPr lang="pl-PL"/>
              <a:t>Dochody z tytułu użytkowania wieczystego w latach          2016-2020</a:t>
            </a:r>
          </a:p>
        </c:rich>
      </c:tx>
      <c:layout>
        <c:manualLayout>
          <c:xMode val="edge"/>
          <c:yMode val="edge"/>
          <c:x val="0.10526315789473686"/>
          <c:y val="4.3165467625899283E-2"/>
        </c:manualLayout>
      </c:layout>
      <c:spPr>
        <a:noFill/>
        <a:ln w="25400">
          <a:noFill/>
        </a:ln>
      </c:spPr>
    </c:title>
    <c:view3D>
      <c:hPercent val="46"/>
      <c:depthPercent val="100"/>
      <c:rAngAx val="1"/>
    </c:view3D>
    <c:floor>
      <c:spPr>
        <a:solidFill>
          <a:srgbClr val="FFFFFF"/>
        </a:solidFill>
        <a:ln w="3175">
          <a:solidFill>
            <a:srgbClr val="000000"/>
          </a:solidFill>
          <a:prstDash val="solid"/>
        </a:ln>
      </c:spPr>
    </c:floor>
    <c:sideWall>
      <c:spPr>
        <a:solidFill>
          <a:srgbClr val="FFFFFF"/>
        </a:solidFill>
        <a:ln w="12700">
          <a:solidFill>
            <a:srgbClr val="808080"/>
          </a:solidFill>
          <a:prstDash val="solid"/>
        </a:ln>
      </c:spPr>
    </c:sideWall>
    <c:backWall>
      <c:spPr>
        <a:solidFill>
          <a:srgbClr val="FFFFFF"/>
        </a:solidFill>
        <a:ln w="12700">
          <a:solidFill>
            <a:srgbClr val="808080"/>
          </a:solidFill>
          <a:prstDash val="solid"/>
        </a:ln>
      </c:spPr>
    </c:backWall>
    <c:plotArea>
      <c:layout>
        <c:manualLayout>
          <c:layoutTarget val="inner"/>
          <c:xMode val="edge"/>
          <c:yMode val="edge"/>
          <c:x val="1.8218623481781375E-2"/>
          <c:y val="0.18345323741007213"/>
          <c:w val="0.96153846153846168"/>
          <c:h val="0.69424460431654722"/>
        </c:manualLayout>
      </c:layout>
      <c:bar3DChart>
        <c:barDir val="col"/>
        <c:grouping val="clustered"/>
        <c:ser>
          <c:idx val="0"/>
          <c:order val="0"/>
          <c:tx>
            <c:strRef>
              <c:f>Sheet1!$A$2</c:f>
              <c:strCache>
                <c:ptCount val="1"/>
              </c:strCache>
            </c:strRef>
          </c:tx>
          <c:spPr>
            <a:solidFill>
              <a:srgbClr val="9999FF"/>
            </a:solidFill>
            <a:ln w="12700">
              <a:solidFill>
                <a:srgbClr val="000000"/>
              </a:solidFill>
              <a:prstDash val="solid"/>
            </a:ln>
          </c:spPr>
          <c:dLbls>
            <c:dLbl>
              <c:idx val="0"/>
              <c:layout>
                <c:manualLayout>
                  <c:x val="-5.7538716904650738E-3"/>
                  <c:y val="0.34970658119173981"/>
                </c:manualLayout>
              </c:layout>
              <c:numFmt formatCode="#,##0\ \z\ł" sourceLinked="0"/>
              <c:spPr>
                <a:noFill/>
                <a:ln w="25400">
                  <a:noFill/>
                </a:ln>
              </c:spPr>
              <c:txPr>
                <a:bodyPr rot="-5400000" vert="horz"/>
                <a:lstStyle/>
                <a:p>
                  <a:pPr algn="ctr">
                    <a:defRPr sz="950" b="1" i="0" u="none" strike="noStrike" baseline="0">
                      <a:solidFill>
                        <a:srgbClr val="000000"/>
                      </a:solidFill>
                      <a:latin typeface="Arial CE"/>
                      <a:ea typeface="Arial CE"/>
                      <a:cs typeface="Arial CE"/>
                    </a:defRPr>
                  </a:pPr>
                  <a:endParaRPr lang="pl-PL"/>
                </a:p>
              </c:txPr>
              <c:showVal val="1"/>
            </c:dLbl>
            <c:dLbl>
              <c:idx val="1"/>
              <c:layout>
                <c:manualLayout>
                  <c:x val="-4.0159428452010704E-3"/>
                  <c:y val="0.34099950485805586"/>
                </c:manualLayout>
              </c:layout>
              <c:numFmt formatCode="#,##0\ \z\ł" sourceLinked="0"/>
              <c:spPr>
                <a:noFill/>
                <a:ln w="25400">
                  <a:noFill/>
                </a:ln>
              </c:spPr>
              <c:txPr>
                <a:bodyPr rot="-5400000" vert="horz"/>
                <a:lstStyle/>
                <a:p>
                  <a:pPr algn="ctr">
                    <a:defRPr sz="950" b="1" i="0" u="none" strike="noStrike" baseline="0">
                      <a:solidFill>
                        <a:srgbClr val="000000"/>
                      </a:solidFill>
                      <a:latin typeface="Arial CE"/>
                      <a:ea typeface="Arial CE"/>
                      <a:cs typeface="Arial CE"/>
                    </a:defRPr>
                  </a:pPr>
                  <a:endParaRPr lang="pl-PL"/>
                </a:p>
              </c:txPr>
              <c:showVal val="1"/>
            </c:dLbl>
            <c:dLbl>
              <c:idx val="2"/>
              <c:layout>
                <c:manualLayout>
                  <c:x val="-4.3023054979125994E-3"/>
                  <c:y val="0.35251798561151082"/>
                </c:manualLayout>
              </c:layout>
              <c:numFmt formatCode="#,##0\ \z\ł" sourceLinked="0"/>
              <c:spPr>
                <a:noFill/>
                <a:ln w="25400">
                  <a:noFill/>
                </a:ln>
              </c:spPr>
              <c:txPr>
                <a:bodyPr rot="-5400000" vert="horz"/>
                <a:lstStyle/>
                <a:p>
                  <a:pPr algn="ctr">
                    <a:defRPr sz="950" b="1" i="0" u="none" strike="noStrike" baseline="0">
                      <a:solidFill>
                        <a:srgbClr val="000000"/>
                      </a:solidFill>
                      <a:latin typeface="Arial CE"/>
                      <a:ea typeface="Arial CE"/>
                      <a:cs typeface="Arial CE"/>
                    </a:defRPr>
                  </a:pPr>
                  <a:endParaRPr lang="pl-PL"/>
                </a:p>
              </c:txPr>
              <c:showVal val="1"/>
            </c:dLbl>
            <c:dLbl>
              <c:idx val="3"/>
              <c:layout>
                <c:manualLayout>
                  <c:x val="-2.5643766526484589E-3"/>
                  <c:y val="0.34714543588226537"/>
                </c:manualLayout>
              </c:layout>
              <c:numFmt formatCode="#,##0\ \z\ł" sourceLinked="0"/>
              <c:spPr>
                <a:noFill/>
                <a:ln w="25400">
                  <a:noFill/>
                </a:ln>
              </c:spPr>
              <c:txPr>
                <a:bodyPr rot="-5400000" vert="horz"/>
                <a:lstStyle/>
                <a:p>
                  <a:pPr algn="ctr">
                    <a:defRPr sz="950" b="1" i="0" u="none" strike="noStrike" baseline="0">
                      <a:solidFill>
                        <a:srgbClr val="000000"/>
                      </a:solidFill>
                      <a:latin typeface="Arial CE"/>
                      <a:ea typeface="Arial CE"/>
                      <a:cs typeface="Arial CE"/>
                    </a:defRPr>
                  </a:pPr>
                  <a:endParaRPr lang="pl-PL"/>
                </a:p>
              </c:txPr>
              <c:showVal val="1"/>
            </c:dLbl>
            <c:dLbl>
              <c:idx val="4"/>
              <c:layout>
                <c:manualLayout>
                  <c:x val="-8.2644780738436998E-4"/>
                  <c:y val="0.34115772473884431"/>
                </c:manualLayout>
              </c:layout>
              <c:numFmt formatCode="#,##0\ \z\ł" sourceLinked="0"/>
              <c:spPr>
                <a:noFill/>
                <a:ln w="25400">
                  <a:noFill/>
                </a:ln>
              </c:spPr>
              <c:txPr>
                <a:bodyPr rot="-5400000" vert="horz"/>
                <a:lstStyle/>
                <a:p>
                  <a:pPr algn="ctr">
                    <a:defRPr sz="950" b="1" i="0" u="none" strike="noStrike" baseline="0">
                      <a:solidFill>
                        <a:srgbClr val="000000"/>
                      </a:solidFill>
                      <a:latin typeface="Arial CE"/>
                      <a:ea typeface="Arial CE"/>
                      <a:cs typeface="Arial CE"/>
                    </a:defRPr>
                  </a:pPr>
                  <a:endParaRPr lang="pl-PL"/>
                </a:p>
              </c:txPr>
              <c:showVal val="1"/>
            </c:dLbl>
            <c:numFmt formatCode="#,##0\ \z\ł" sourceLinked="0"/>
            <c:spPr>
              <a:noFill/>
              <a:ln w="25400">
                <a:noFill/>
              </a:ln>
            </c:spPr>
            <c:txPr>
              <a:bodyPr rot="-5400000" vert="horz"/>
              <a:lstStyle/>
              <a:p>
                <a:pPr algn="ctr">
                  <a:defRPr sz="850" b="0" i="0" u="none" strike="noStrike" baseline="0">
                    <a:solidFill>
                      <a:srgbClr val="000000"/>
                    </a:solidFill>
                    <a:latin typeface="Arial CE"/>
                    <a:ea typeface="Arial CE"/>
                    <a:cs typeface="Arial CE"/>
                  </a:defRPr>
                </a:pPr>
                <a:endParaRPr lang="pl-PL"/>
              </a:p>
            </c:txPr>
            <c:showVal val="1"/>
          </c:dLbls>
          <c:cat>
            <c:numRef>
              <c:f>Sheet1!$B$1:$F$1</c:f>
              <c:numCache>
                <c:formatCode>General</c:formatCode>
                <c:ptCount val="5"/>
                <c:pt idx="0">
                  <c:v>2016</c:v>
                </c:pt>
                <c:pt idx="1">
                  <c:v>2017</c:v>
                </c:pt>
                <c:pt idx="2">
                  <c:v>2018</c:v>
                </c:pt>
                <c:pt idx="3">
                  <c:v>2019</c:v>
                </c:pt>
                <c:pt idx="4">
                  <c:v>2020</c:v>
                </c:pt>
              </c:numCache>
            </c:numRef>
          </c:cat>
          <c:val>
            <c:numRef>
              <c:f>Sheet1!$B$2:$F$2</c:f>
              <c:numCache>
                <c:formatCode>General</c:formatCode>
                <c:ptCount val="5"/>
                <c:pt idx="0">
                  <c:v>49976846</c:v>
                </c:pt>
                <c:pt idx="1">
                  <c:v>49836088</c:v>
                </c:pt>
                <c:pt idx="2">
                  <c:v>52694869</c:v>
                </c:pt>
                <c:pt idx="3">
                  <c:v>43713812</c:v>
                </c:pt>
                <c:pt idx="4">
                  <c:v>39140204</c:v>
                </c:pt>
              </c:numCache>
            </c:numRef>
          </c:val>
        </c:ser>
        <c:gapDepth val="0"/>
        <c:shape val="box"/>
        <c:axId val="487711872"/>
        <c:axId val="487713408"/>
        <c:axId val="0"/>
      </c:bar3DChart>
      <c:catAx>
        <c:axId val="487711872"/>
        <c:scaling>
          <c:orientation val="minMax"/>
        </c:scaling>
        <c:axPos val="b"/>
        <c:numFmt formatCode="@" sourceLinked="0"/>
        <c:tickLblPos val="low"/>
        <c:spPr>
          <a:ln w="3175">
            <a:solidFill>
              <a:srgbClr val="000000"/>
            </a:solidFill>
            <a:prstDash val="solid"/>
          </a:ln>
        </c:spPr>
        <c:txPr>
          <a:bodyPr rot="0" vert="horz"/>
          <a:lstStyle/>
          <a:p>
            <a:pPr>
              <a:defRPr sz="850" b="1" i="0" u="none" strike="noStrike" baseline="0">
                <a:solidFill>
                  <a:srgbClr val="000000"/>
                </a:solidFill>
                <a:latin typeface="Arial CE"/>
                <a:ea typeface="Arial CE"/>
                <a:cs typeface="Arial CE"/>
              </a:defRPr>
            </a:pPr>
            <a:endParaRPr lang="pl-PL"/>
          </a:p>
        </c:txPr>
        <c:crossAx val="487713408"/>
        <c:crosses val="autoZero"/>
        <c:auto val="1"/>
        <c:lblAlgn val="ctr"/>
        <c:lblOffset val="100"/>
        <c:tickLblSkip val="1"/>
        <c:tickMarkSkip val="1"/>
      </c:catAx>
      <c:valAx>
        <c:axId val="487713408"/>
        <c:scaling>
          <c:orientation val="minMax"/>
        </c:scaling>
        <c:delete val="1"/>
        <c:axPos val="l"/>
        <c:numFmt formatCode="General" sourceLinked="1"/>
        <c:tickLblPos val="none"/>
        <c:crossAx val="487711872"/>
        <c:crosses val="autoZero"/>
        <c:crossBetween val="between"/>
        <c:minorUnit val="2000000"/>
      </c:valAx>
      <c:spPr>
        <a:noFill/>
        <a:ln w="25400">
          <a:noFill/>
        </a:ln>
      </c:spPr>
    </c:plotArea>
    <c:plotVisOnly val="1"/>
    <c:dispBlanksAs val="gap"/>
  </c:chart>
  <c:spPr>
    <a:noFill/>
    <a:ln>
      <a:noFill/>
    </a:ln>
  </c:spPr>
  <c:txPr>
    <a:bodyPr/>
    <a:lstStyle/>
    <a:p>
      <a:pPr>
        <a:defRPr sz="1200" b="1" i="0" u="none" strike="noStrike" baseline="0">
          <a:solidFill>
            <a:srgbClr val="000000"/>
          </a:solidFill>
          <a:latin typeface="Arial CE"/>
          <a:ea typeface="Arial CE"/>
          <a:cs typeface="Arial CE"/>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view3D>
      <c:hPercent val="41"/>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1990668740279895E-2"/>
          <c:y val="5.0167224080267594E-2"/>
          <c:w val="0.95800933125972065"/>
          <c:h val="0.72575250836120397"/>
        </c:manualLayout>
      </c:layout>
      <c:bar3DChart>
        <c:barDir val="col"/>
        <c:grouping val="clustered"/>
        <c:ser>
          <c:idx val="0"/>
          <c:order val="0"/>
          <c:tx>
            <c:strRef>
              <c:f>Sheet1!$A$2</c:f>
              <c:strCache>
                <c:ptCount val="1"/>
                <c:pt idx="0">
                  <c:v>2015</c:v>
                </c:pt>
              </c:strCache>
            </c:strRef>
          </c:tx>
          <c:spPr>
            <a:solidFill>
              <a:srgbClr val="9999FF"/>
            </a:solidFill>
            <a:ln w="12704">
              <a:solidFill>
                <a:srgbClr val="000000"/>
              </a:solidFill>
              <a:prstDash val="solid"/>
            </a:ln>
          </c:spPr>
          <c:cat>
            <c:strRef>
              <c:f>Sheet1!$B$1:$P$1</c:f>
              <c:strCache>
                <c:ptCount val="15"/>
                <c:pt idx="0">
                  <c:v>Jarmark Bożonarodzeniowy</c:v>
                </c:pt>
                <c:pt idx="1">
                  <c:v>Jarmark Świętojański</c:v>
                </c:pt>
                <c:pt idx="2">
                  <c:v>Jarmark Ekologiczny</c:v>
                </c:pt>
                <c:pt idx="3">
                  <c:v>Kiermasz Wszystkich Świętych</c:v>
                </c:pt>
                <c:pt idx="4">
                  <c:v>Jarmark Włoski</c:v>
                </c:pt>
                <c:pt idx="5">
                  <c:v>Świąteczny Zlot Food Trucków</c:v>
                </c:pt>
                <c:pt idx="6">
                  <c:v>Targowisko - Lotnicza*</c:v>
                </c:pt>
                <c:pt idx="7">
                  <c:v>Targowisko - Żmigrodzka*</c:v>
                </c:pt>
                <c:pt idx="8">
                  <c:v>Targowisko - Ptasia</c:v>
                </c:pt>
                <c:pt idx="9">
                  <c:v>Targowisko - Skoczylasa</c:v>
                </c:pt>
                <c:pt idx="10">
                  <c:v>Targowisko - Komandorska</c:v>
                </c:pt>
                <c:pt idx="11">
                  <c:v>Targowisko - Niedźwiedzia*</c:v>
                </c:pt>
                <c:pt idx="12">
                  <c:v>Targowisko - Jemiołowa</c:v>
                </c:pt>
                <c:pt idx="13">
                  <c:v>Handel okrężny - całoroczny*</c:v>
                </c:pt>
                <c:pt idx="14">
                  <c:v>Handel okrężny - miejsca sezonowe*</c:v>
                </c:pt>
              </c:strCache>
            </c:strRef>
          </c:cat>
          <c:val>
            <c:numRef>
              <c:f>Sheet1!$B$2:$P$2</c:f>
              <c:numCache>
                <c:formatCode>General</c:formatCode>
                <c:ptCount val="15"/>
                <c:pt idx="0">
                  <c:v>150</c:v>
                </c:pt>
                <c:pt idx="1">
                  <c:v>55</c:v>
                </c:pt>
                <c:pt idx="2">
                  <c:v>30</c:v>
                </c:pt>
                <c:pt idx="3">
                  <c:v>69</c:v>
                </c:pt>
                <c:pt idx="4">
                  <c:v>20</c:v>
                </c:pt>
                <c:pt idx="5">
                  <c:v>0</c:v>
                </c:pt>
                <c:pt idx="6">
                  <c:v>47</c:v>
                </c:pt>
                <c:pt idx="7">
                  <c:v>60</c:v>
                </c:pt>
                <c:pt idx="8">
                  <c:v>30</c:v>
                </c:pt>
                <c:pt idx="9">
                  <c:v>30</c:v>
                </c:pt>
                <c:pt idx="10">
                  <c:v>120</c:v>
                </c:pt>
                <c:pt idx="11">
                  <c:v>120</c:v>
                </c:pt>
                <c:pt idx="12">
                  <c:v>0</c:v>
                </c:pt>
                <c:pt idx="13">
                  <c:v>57</c:v>
                </c:pt>
                <c:pt idx="14">
                  <c:v>87</c:v>
                </c:pt>
              </c:numCache>
            </c:numRef>
          </c:val>
        </c:ser>
        <c:ser>
          <c:idx val="1"/>
          <c:order val="1"/>
          <c:tx>
            <c:strRef>
              <c:f>Sheet1!$A$3</c:f>
              <c:strCache>
                <c:ptCount val="1"/>
                <c:pt idx="0">
                  <c:v>2016</c:v>
                </c:pt>
              </c:strCache>
            </c:strRef>
          </c:tx>
          <c:spPr>
            <a:solidFill>
              <a:srgbClr val="993366"/>
            </a:solidFill>
            <a:ln w="12704">
              <a:solidFill>
                <a:srgbClr val="000000"/>
              </a:solidFill>
              <a:prstDash val="solid"/>
            </a:ln>
          </c:spPr>
          <c:cat>
            <c:strRef>
              <c:f>Sheet1!$B$1:$P$1</c:f>
              <c:strCache>
                <c:ptCount val="15"/>
                <c:pt idx="0">
                  <c:v>Jarmark Bożonarodzeniowy</c:v>
                </c:pt>
                <c:pt idx="1">
                  <c:v>Jarmark Świętojański</c:v>
                </c:pt>
                <c:pt idx="2">
                  <c:v>Jarmark Ekologiczny</c:v>
                </c:pt>
                <c:pt idx="3">
                  <c:v>Kiermasz Wszystkich Świętych</c:v>
                </c:pt>
                <c:pt idx="4">
                  <c:v>Jarmark Włoski</c:v>
                </c:pt>
                <c:pt idx="5">
                  <c:v>Świąteczny Zlot Food Trucków</c:v>
                </c:pt>
                <c:pt idx="6">
                  <c:v>Targowisko - Lotnicza*</c:v>
                </c:pt>
                <c:pt idx="7">
                  <c:v>Targowisko - Żmigrodzka*</c:v>
                </c:pt>
                <c:pt idx="8">
                  <c:v>Targowisko - Ptasia</c:v>
                </c:pt>
                <c:pt idx="9">
                  <c:v>Targowisko - Skoczylasa</c:v>
                </c:pt>
                <c:pt idx="10">
                  <c:v>Targowisko - Komandorska</c:v>
                </c:pt>
                <c:pt idx="11">
                  <c:v>Targowisko - Niedźwiedzia*</c:v>
                </c:pt>
                <c:pt idx="12">
                  <c:v>Targowisko - Jemiołowa</c:v>
                </c:pt>
                <c:pt idx="13">
                  <c:v>Handel okrężny - całoroczny*</c:v>
                </c:pt>
                <c:pt idx="14">
                  <c:v>Handel okrężny - miejsca sezonowe*</c:v>
                </c:pt>
              </c:strCache>
            </c:strRef>
          </c:cat>
          <c:val>
            <c:numRef>
              <c:f>Sheet1!$B$3:$P$3</c:f>
              <c:numCache>
                <c:formatCode>General</c:formatCode>
                <c:ptCount val="15"/>
                <c:pt idx="0">
                  <c:v>160</c:v>
                </c:pt>
                <c:pt idx="1">
                  <c:v>61</c:v>
                </c:pt>
                <c:pt idx="2">
                  <c:v>30</c:v>
                </c:pt>
                <c:pt idx="3">
                  <c:v>69</c:v>
                </c:pt>
                <c:pt idx="4">
                  <c:v>20</c:v>
                </c:pt>
                <c:pt idx="5">
                  <c:v>0</c:v>
                </c:pt>
                <c:pt idx="6">
                  <c:v>47</c:v>
                </c:pt>
                <c:pt idx="7">
                  <c:v>60</c:v>
                </c:pt>
                <c:pt idx="8">
                  <c:v>30</c:v>
                </c:pt>
                <c:pt idx="9">
                  <c:v>30</c:v>
                </c:pt>
                <c:pt idx="10">
                  <c:v>120</c:v>
                </c:pt>
                <c:pt idx="11">
                  <c:v>120</c:v>
                </c:pt>
                <c:pt idx="12">
                  <c:v>0</c:v>
                </c:pt>
                <c:pt idx="13">
                  <c:v>57</c:v>
                </c:pt>
                <c:pt idx="14">
                  <c:v>87</c:v>
                </c:pt>
              </c:numCache>
            </c:numRef>
          </c:val>
        </c:ser>
        <c:ser>
          <c:idx val="2"/>
          <c:order val="2"/>
          <c:tx>
            <c:strRef>
              <c:f>Sheet1!$A$4</c:f>
              <c:strCache>
                <c:ptCount val="1"/>
                <c:pt idx="0">
                  <c:v>2017</c:v>
                </c:pt>
              </c:strCache>
            </c:strRef>
          </c:tx>
          <c:spPr>
            <a:solidFill>
              <a:srgbClr val="FFFFCC"/>
            </a:solidFill>
            <a:ln w="12704">
              <a:solidFill>
                <a:srgbClr val="000000"/>
              </a:solidFill>
              <a:prstDash val="solid"/>
            </a:ln>
          </c:spPr>
          <c:cat>
            <c:strRef>
              <c:f>Sheet1!$B$1:$P$1</c:f>
              <c:strCache>
                <c:ptCount val="15"/>
                <c:pt idx="0">
                  <c:v>Jarmark Bożonarodzeniowy</c:v>
                </c:pt>
                <c:pt idx="1">
                  <c:v>Jarmark Świętojański</c:v>
                </c:pt>
                <c:pt idx="2">
                  <c:v>Jarmark Ekologiczny</c:v>
                </c:pt>
                <c:pt idx="3">
                  <c:v>Kiermasz Wszystkich Świętych</c:v>
                </c:pt>
                <c:pt idx="4">
                  <c:v>Jarmark Włoski</c:v>
                </c:pt>
                <c:pt idx="5">
                  <c:v>Świąteczny Zlot Food Trucków</c:v>
                </c:pt>
                <c:pt idx="6">
                  <c:v>Targowisko - Lotnicza*</c:v>
                </c:pt>
                <c:pt idx="7">
                  <c:v>Targowisko - Żmigrodzka*</c:v>
                </c:pt>
                <c:pt idx="8">
                  <c:v>Targowisko - Ptasia</c:v>
                </c:pt>
                <c:pt idx="9">
                  <c:v>Targowisko - Skoczylasa</c:v>
                </c:pt>
                <c:pt idx="10">
                  <c:v>Targowisko - Komandorska</c:v>
                </c:pt>
                <c:pt idx="11">
                  <c:v>Targowisko - Niedźwiedzia*</c:v>
                </c:pt>
                <c:pt idx="12">
                  <c:v>Targowisko - Jemiołowa</c:v>
                </c:pt>
                <c:pt idx="13">
                  <c:v>Handel okrężny - całoroczny*</c:v>
                </c:pt>
                <c:pt idx="14">
                  <c:v>Handel okrężny - miejsca sezonowe*</c:v>
                </c:pt>
              </c:strCache>
            </c:strRef>
          </c:cat>
          <c:val>
            <c:numRef>
              <c:f>Sheet1!$B$4:$P$4</c:f>
              <c:numCache>
                <c:formatCode>General</c:formatCode>
                <c:ptCount val="15"/>
                <c:pt idx="0">
                  <c:v>180</c:v>
                </c:pt>
                <c:pt idx="1">
                  <c:v>64</c:v>
                </c:pt>
                <c:pt idx="2">
                  <c:v>0</c:v>
                </c:pt>
                <c:pt idx="3">
                  <c:v>69</c:v>
                </c:pt>
                <c:pt idx="4">
                  <c:v>0</c:v>
                </c:pt>
                <c:pt idx="5">
                  <c:v>0</c:v>
                </c:pt>
                <c:pt idx="6">
                  <c:v>47</c:v>
                </c:pt>
                <c:pt idx="7">
                  <c:v>60</c:v>
                </c:pt>
                <c:pt idx="8">
                  <c:v>30</c:v>
                </c:pt>
                <c:pt idx="9">
                  <c:v>30</c:v>
                </c:pt>
                <c:pt idx="10">
                  <c:v>120</c:v>
                </c:pt>
                <c:pt idx="11">
                  <c:v>120</c:v>
                </c:pt>
                <c:pt idx="12">
                  <c:v>0</c:v>
                </c:pt>
                <c:pt idx="13">
                  <c:v>54</c:v>
                </c:pt>
                <c:pt idx="14">
                  <c:v>76</c:v>
                </c:pt>
              </c:numCache>
            </c:numRef>
          </c:val>
        </c:ser>
        <c:ser>
          <c:idx val="3"/>
          <c:order val="3"/>
          <c:tx>
            <c:strRef>
              <c:f>Sheet1!$A$5</c:f>
              <c:strCache>
                <c:ptCount val="1"/>
                <c:pt idx="0">
                  <c:v>2018</c:v>
                </c:pt>
              </c:strCache>
            </c:strRef>
          </c:tx>
          <c:spPr>
            <a:solidFill>
              <a:srgbClr val="CCFFFF"/>
            </a:solidFill>
            <a:ln w="12704">
              <a:solidFill>
                <a:srgbClr val="000000"/>
              </a:solidFill>
              <a:prstDash val="solid"/>
            </a:ln>
          </c:spPr>
          <c:cat>
            <c:strRef>
              <c:f>Sheet1!$B$1:$P$1</c:f>
              <c:strCache>
                <c:ptCount val="15"/>
                <c:pt idx="0">
                  <c:v>Jarmark Bożonarodzeniowy</c:v>
                </c:pt>
                <c:pt idx="1">
                  <c:v>Jarmark Świętojański</c:v>
                </c:pt>
                <c:pt idx="2">
                  <c:v>Jarmark Ekologiczny</c:v>
                </c:pt>
                <c:pt idx="3">
                  <c:v>Kiermasz Wszystkich Świętych</c:v>
                </c:pt>
                <c:pt idx="4">
                  <c:v>Jarmark Włoski</c:v>
                </c:pt>
                <c:pt idx="5">
                  <c:v>Świąteczny Zlot Food Trucków</c:v>
                </c:pt>
                <c:pt idx="6">
                  <c:v>Targowisko - Lotnicza*</c:v>
                </c:pt>
                <c:pt idx="7">
                  <c:v>Targowisko - Żmigrodzka*</c:v>
                </c:pt>
                <c:pt idx="8">
                  <c:v>Targowisko - Ptasia</c:v>
                </c:pt>
                <c:pt idx="9">
                  <c:v>Targowisko - Skoczylasa</c:v>
                </c:pt>
                <c:pt idx="10">
                  <c:v>Targowisko - Komandorska</c:v>
                </c:pt>
                <c:pt idx="11">
                  <c:v>Targowisko - Niedźwiedzia*</c:v>
                </c:pt>
                <c:pt idx="12">
                  <c:v>Targowisko - Jemiołowa</c:v>
                </c:pt>
                <c:pt idx="13">
                  <c:v>Handel okrężny - całoroczny*</c:v>
                </c:pt>
                <c:pt idx="14">
                  <c:v>Handel okrężny - miejsca sezonowe*</c:v>
                </c:pt>
              </c:strCache>
            </c:strRef>
          </c:cat>
          <c:val>
            <c:numRef>
              <c:f>Sheet1!$B$5:$P$5</c:f>
              <c:numCache>
                <c:formatCode>General</c:formatCode>
                <c:ptCount val="15"/>
                <c:pt idx="0">
                  <c:v>190</c:v>
                </c:pt>
                <c:pt idx="1">
                  <c:v>64</c:v>
                </c:pt>
                <c:pt idx="2">
                  <c:v>0</c:v>
                </c:pt>
                <c:pt idx="3">
                  <c:v>69</c:v>
                </c:pt>
                <c:pt idx="4">
                  <c:v>20</c:v>
                </c:pt>
                <c:pt idx="5">
                  <c:v>0</c:v>
                </c:pt>
                <c:pt idx="6">
                  <c:v>47</c:v>
                </c:pt>
                <c:pt idx="7">
                  <c:v>60</c:v>
                </c:pt>
                <c:pt idx="8">
                  <c:v>30</c:v>
                </c:pt>
                <c:pt idx="9">
                  <c:v>30</c:v>
                </c:pt>
                <c:pt idx="10">
                  <c:v>120</c:v>
                </c:pt>
                <c:pt idx="11">
                  <c:v>120</c:v>
                </c:pt>
                <c:pt idx="12">
                  <c:v>0</c:v>
                </c:pt>
                <c:pt idx="13">
                  <c:v>54</c:v>
                </c:pt>
                <c:pt idx="14">
                  <c:v>76</c:v>
                </c:pt>
              </c:numCache>
            </c:numRef>
          </c:val>
        </c:ser>
        <c:ser>
          <c:idx val="4"/>
          <c:order val="4"/>
          <c:tx>
            <c:strRef>
              <c:f>Sheet1!$A$6</c:f>
              <c:strCache>
                <c:ptCount val="1"/>
                <c:pt idx="0">
                  <c:v>2019</c:v>
                </c:pt>
              </c:strCache>
            </c:strRef>
          </c:tx>
          <c:spPr>
            <a:solidFill>
              <a:srgbClr val="660066"/>
            </a:solidFill>
            <a:ln w="12704">
              <a:solidFill>
                <a:srgbClr val="000000"/>
              </a:solidFill>
              <a:prstDash val="solid"/>
            </a:ln>
          </c:spPr>
          <c:cat>
            <c:strRef>
              <c:f>Sheet1!$B$1:$P$1</c:f>
              <c:strCache>
                <c:ptCount val="15"/>
                <c:pt idx="0">
                  <c:v>Jarmark Bożonarodzeniowy</c:v>
                </c:pt>
                <c:pt idx="1">
                  <c:v>Jarmark Świętojański</c:v>
                </c:pt>
                <c:pt idx="2">
                  <c:v>Jarmark Ekologiczny</c:v>
                </c:pt>
                <c:pt idx="3">
                  <c:v>Kiermasz Wszystkich Świętych</c:v>
                </c:pt>
                <c:pt idx="4">
                  <c:v>Jarmark Włoski</c:v>
                </c:pt>
                <c:pt idx="5">
                  <c:v>Świąteczny Zlot Food Trucków</c:v>
                </c:pt>
                <c:pt idx="6">
                  <c:v>Targowisko - Lotnicza*</c:v>
                </c:pt>
                <c:pt idx="7">
                  <c:v>Targowisko - Żmigrodzka*</c:v>
                </c:pt>
                <c:pt idx="8">
                  <c:v>Targowisko - Ptasia</c:v>
                </c:pt>
                <c:pt idx="9">
                  <c:v>Targowisko - Skoczylasa</c:v>
                </c:pt>
                <c:pt idx="10">
                  <c:v>Targowisko - Komandorska</c:v>
                </c:pt>
                <c:pt idx="11">
                  <c:v>Targowisko - Niedźwiedzia*</c:v>
                </c:pt>
                <c:pt idx="12">
                  <c:v>Targowisko - Jemiołowa</c:v>
                </c:pt>
                <c:pt idx="13">
                  <c:v>Handel okrężny - całoroczny*</c:v>
                </c:pt>
                <c:pt idx="14">
                  <c:v>Handel okrężny - miejsca sezonowe*</c:v>
                </c:pt>
              </c:strCache>
            </c:strRef>
          </c:cat>
          <c:val>
            <c:numRef>
              <c:f>Sheet1!$B$6:$P$6</c:f>
              <c:numCache>
                <c:formatCode>General</c:formatCode>
                <c:ptCount val="15"/>
                <c:pt idx="0">
                  <c:v>213</c:v>
                </c:pt>
                <c:pt idx="1">
                  <c:v>70</c:v>
                </c:pt>
                <c:pt idx="2">
                  <c:v>0</c:v>
                </c:pt>
                <c:pt idx="3">
                  <c:v>69</c:v>
                </c:pt>
                <c:pt idx="4">
                  <c:v>17</c:v>
                </c:pt>
                <c:pt idx="5">
                  <c:v>14</c:v>
                </c:pt>
                <c:pt idx="6">
                  <c:v>47</c:v>
                </c:pt>
                <c:pt idx="7">
                  <c:v>60</c:v>
                </c:pt>
                <c:pt idx="8">
                  <c:v>30</c:v>
                </c:pt>
                <c:pt idx="9">
                  <c:v>30</c:v>
                </c:pt>
                <c:pt idx="10">
                  <c:v>120</c:v>
                </c:pt>
                <c:pt idx="11">
                  <c:v>120</c:v>
                </c:pt>
                <c:pt idx="12">
                  <c:v>35</c:v>
                </c:pt>
                <c:pt idx="13">
                  <c:v>54</c:v>
                </c:pt>
                <c:pt idx="14">
                  <c:v>83</c:v>
                </c:pt>
              </c:numCache>
            </c:numRef>
          </c:val>
        </c:ser>
        <c:ser>
          <c:idx val="5"/>
          <c:order val="5"/>
          <c:tx>
            <c:strRef>
              <c:f>Sheet1!$A$7</c:f>
              <c:strCache>
                <c:ptCount val="1"/>
                <c:pt idx="0">
                  <c:v>2020</c:v>
                </c:pt>
              </c:strCache>
            </c:strRef>
          </c:tx>
          <c:spPr>
            <a:solidFill>
              <a:srgbClr val="FF8080"/>
            </a:solidFill>
            <a:ln w="12704">
              <a:solidFill>
                <a:srgbClr val="000000"/>
              </a:solidFill>
              <a:prstDash val="solid"/>
            </a:ln>
          </c:spPr>
          <c:cat>
            <c:strRef>
              <c:f>Sheet1!$B$1:$P$1</c:f>
              <c:strCache>
                <c:ptCount val="15"/>
                <c:pt idx="0">
                  <c:v>Jarmark Bożonarodzeniowy</c:v>
                </c:pt>
                <c:pt idx="1">
                  <c:v>Jarmark Świętojański</c:v>
                </c:pt>
                <c:pt idx="2">
                  <c:v>Jarmark Ekologiczny</c:v>
                </c:pt>
                <c:pt idx="3">
                  <c:v>Kiermasz Wszystkich Świętych</c:v>
                </c:pt>
                <c:pt idx="4">
                  <c:v>Jarmark Włoski</c:v>
                </c:pt>
                <c:pt idx="5">
                  <c:v>Świąteczny Zlot Food Trucków</c:v>
                </c:pt>
                <c:pt idx="6">
                  <c:v>Targowisko - Lotnicza*</c:v>
                </c:pt>
                <c:pt idx="7">
                  <c:v>Targowisko - Żmigrodzka*</c:v>
                </c:pt>
                <c:pt idx="8">
                  <c:v>Targowisko - Ptasia</c:v>
                </c:pt>
                <c:pt idx="9">
                  <c:v>Targowisko - Skoczylasa</c:v>
                </c:pt>
                <c:pt idx="10">
                  <c:v>Targowisko - Komandorska</c:v>
                </c:pt>
                <c:pt idx="11">
                  <c:v>Targowisko - Niedźwiedzia*</c:v>
                </c:pt>
                <c:pt idx="12">
                  <c:v>Targowisko - Jemiołowa</c:v>
                </c:pt>
                <c:pt idx="13">
                  <c:v>Handel okrężny - całoroczny*</c:v>
                </c:pt>
                <c:pt idx="14">
                  <c:v>Handel okrężny - miejsca sezonowe*</c:v>
                </c:pt>
              </c:strCache>
            </c:strRef>
          </c:cat>
          <c:val>
            <c:numRef>
              <c:f>Sheet1!$B$7:$P$7</c:f>
              <c:numCache>
                <c:formatCode>General</c:formatCode>
                <c:ptCount val="15"/>
                <c:pt idx="0">
                  <c:v>0</c:v>
                </c:pt>
                <c:pt idx="3">
                  <c:v>69</c:v>
                </c:pt>
                <c:pt idx="6">
                  <c:v>47</c:v>
                </c:pt>
                <c:pt idx="7">
                  <c:v>60</c:v>
                </c:pt>
                <c:pt idx="8">
                  <c:v>30</c:v>
                </c:pt>
                <c:pt idx="9">
                  <c:v>30</c:v>
                </c:pt>
                <c:pt idx="10">
                  <c:v>120</c:v>
                </c:pt>
                <c:pt idx="11">
                  <c:v>120</c:v>
                </c:pt>
                <c:pt idx="12">
                  <c:v>35</c:v>
                </c:pt>
                <c:pt idx="13">
                  <c:v>59</c:v>
                </c:pt>
                <c:pt idx="14">
                  <c:v>86</c:v>
                </c:pt>
              </c:numCache>
            </c:numRef>
          </c:val>
        </c:ser>
        <c:gapDepth val="0"/>
        <c:shape val="box"/>
        <c:axId val="487579008"/>
        <c:axId val="487580800"/>
        <c:axId val="0"/>
      </c:bar3DChart>
      <c:catAx>
        <c:axId val="487579008"/>
        <c:scaling>
          <c:orientation val="minMax"/>
        </c:scaling>
        <c:axPos val="b"/>
        <c:numFmt formatCode="General" sourceLinked="1"/>
        <c:tickLblPos val="low"/>
        <c:spPr>
          <a:ln w="3175">
            <a:solidFill>
              <a:srgbClr val="000000"/>
            </a:solidFill>
            <a:prstDash val="solid"/>
          </a:ln>
        </c:spPr>
        <c:txPr>
          <a:bodyPr rot="0" vert="horz"/>
          <a:lstStyle/>
          <a:p>
            <a:pPr>
              <a:defRPr sz="500" b="0" i="0" u="none" strike="noStrike" baseline="0">
                <a:solidFill>
                  <a:srgbClr val="000000"/>
                </a:solidFill>
                <a:latin typeface="Verdana"/>
                <a:ea typeface="Verdana"/>
                <a:cs typeface="Verdana"/>
              </a:defRPr>
            </a:pPr>
            <a:endParaRPr lang="pl-PL"/>
          </a:p>
        </c:txPr>
        <c:crossAx val="487580800"/>
        <c:crosses val="autoZero"/>
        <c:auto val="1"/>
        <c:lblAlgn val="ctr"/>
        <c:lblOffset val="100"/>
        <c:tickLblSkip val="2"/>
        <c:tickMarkSkip val="1"/>
      </c:catAx>
      <c:valAx>
        <c:axId val="48758080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500" b="0" i="0" u="none" strike="noStrike" baseline="0">
                <a:solidFill>
                  <a:srgbClr val="000000"/>
                </a:solidFill>
                <a:latin typeface="Verdana"/>
                <a:ea typeface="Verdana"/>
                <a:cs typeface="Verdana"/>
              </a:defRPr>
            </a:pPr>
            <a:endParaRPr lang="pl-PL"/>
          </a:p>
        </c:txPr>
        <c:crossAx val="487579008"/>
        <c:crosses val="autoZero"/>
        <c:crossBetween val="between"/>
      </c:valAx>
      <c:spPr>
        <a:noFill/>
        <a:ln w="25420">
          <a:noFill/>
        </a:ln>
      </c:spPr>
    </c:plotArea>
    <c:legend>
      <c:legendPos val="b"/>
      <c:layout>
        <c:manualLayout>
          <c:xMode val="edge"/>
          <c:yMode val="edge"/>
          <c:x val="0.36702955608809767"/>
          <c:y val="0.9364548494983278"/>
          <c:w val="0.26905136857892775"/>
          <c:h val="5.351170568561836E-2"/>
        </c:manualLayout>
      </c:layout>
      <c:spPr>
        <a:noFill/>
        <a:ln w="3175">
          <a:solidFill>
            <a:srgbClr val="000000"/>
          </a:solidFill>
          <a:prstDash val="solid"/>
        </a:ln>
      </c:spPr>
      <c:txPr>
        <a:bodyPr/>
        <a:lstStyle/>
        <a:p>
          <a:pPr>
            <a:defRPr sz="460" b="0" i="0" u="none" strike="noStrike" baseline="0">
              <a:solidFill>
                <a:srgbClr val="000000"/>
              </a:solidFill>
              <a:latin typeface="Verdana"/>
              <a:ea typeface="Verdana"/>
              <a:cs typeface="Verdana"/>
            </a:defRPr>
          </a:pPr>
          <a:endParaRPr lang="pl-PL"/>
        </a:p>
      </c:txPr>
    </c:legend>
    <c:plotVisOnly val="1"/>
    <c:dispBlanksAs val="gap"/>
  </c:chart>
  <c:spPr>
    <a:noFill/>
    <a:ln>
      <a:noFill/>
    </a:ln>
  </c:spPr>
  <c:txPr>
    <a:bodyPr/>
    <a:lstStyle/>
    <a:p>
      <a:pPr>
        <a:defRPr sz="801" b="0" i="0" u="none" strike="noStrike" baseline="0">
          <a:solidFill>
            <a:srgbClr val="000000"/>
          </a:solidFill>
          <a:latin typeface="Verdana"/>
          <a:ea typeface="Verdana"/>
          <a:cs typeface="Verdana"/>
        </a:defRPr>
      </a:pPr>
      <a:endParaRPr lang="pl-PL"/>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title>
      <c:layout>
        <c:manualLayout>
          <c:xMode val="edge"/>
          <c:yMode val="edge"/>
          <c:x val="0.25459553410607472"/>
          <c:y val="0"/>
        </c:manualLayout>
      </c:layout>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pl-PL"/>
        </a:p>
      </c:tx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7620710378492468"/>
          <c:y val="0.16024965336670491"/>
          <c:w val="0.71144872077906152"/>
          <c:h val="0.65499215038156311"/>
        </c:manualLayout>
      </c:layout>
      <c:pie3DChart>
        <c:varyColors val="1"/>
        <c:ser>
          <c:idx val="0"/>
          <c:order val="0"/>
          <c:tx>
            <c:strRef>
              <c:f>dsrk2020!$B$502</c:f>
              <c:strCache>
                <c:ptCount val="1"/>
                <c:pt idx="0">
                  <c:v>Lczba form doskonalenia</c:v>
                </c:pt>
              </c:strCache>
            </c:strRef>
          </c:tx>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910-4852-9C49-61C21364D3A8}"/>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A910-4852-9C49-61C21364D3A8}"/>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A910-4852-9C49-61C21364D3A8}"/>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A910-4852-9C49-61C21364D3A8}"/>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A910-4852-9C49-61C21364D3A8}"/>
              </c:ext>
            </c:extLst>
          </c:dPt>
          <c:dPt>
            <c:idx val="5"/>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A910-4852-9C49-61C21364D3A8}"/>
              </c:ext>
            </c:extLst>
          </c:dPt>
          <c:dPt>
            <c:idx val="6"/>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A910-4852-9C49-61C21364D3A8}"/>
              </c:ext>
            </c:extLst>
          </c:dPt>
          <c:dPt>
            <c:idx val="7"/>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A910-4852-9C49-61C21364D3A8}"/>
              </c:ext>
            </c:extLst>
          </c:dPt>
          <c:dPt>
            <c:idx val="8"/>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1-A910-4852-9C49-61C21364D3A8}"/>
              </c:ext>
            </c:extLst>
          </c:dPt>
          <c:dLbls>
            <c:dLbl>
              <c:idx val="0"/>
              <c:layout>
                <c:manualLayout>
                  <c:x val="2.4922118380062312E-2"/>
                  <c:y val="-9.401707819889039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l-PL"/>
                </a:p>
              </c:txPr>
              <c:dLblPos val="bestFit"/>
              <c:showVal val="1"/>
              <c:showCatName val="1"/>
              <c:extLst xmlns:c16r2="http://schemas.microsoft.com/office/drawing/2015/06/chart">
                <c:ext xmlns:c16="http://schemas.microsoft.com/office/drawing/2014/chart" uri="{C3380CC4-5D6E-409C-BE32-E72D297353CC}">
                  <c16:uniqueId val="{00000001-A910-4852-9C49-61C21364D3A8}"/>
                </c:ext>
                <c:ext xmlns:c15="http://schemas.microsoft.com/office/drawing/2012/chart" uri="{CE6537A1-D6FC-4f65-9D91-7224C49458BB}"/>
              </c:extLst>
            </c:dLbl>
            <c:dLbl>
              <c:idx val="1"/>
              <c:layout>
                <c:manualLayout>
                  <c:x val="3.2710280373831661E-2"/>
                  <c:y val="9.615382997613752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pl-PL"/>
                </a:p>
              </c:txPr>
              <c:dLblPos val="bestFit"/>
              <c:showVal val="1"/>
              <c:showCatName val="1"/>
              <c:extLst xmlns:c16r2="http://schemas.microsoft.com/office/drawing/2015/06/chart">
                <c:ext xmlns:c16="http://schemas.microsoft.com/office/drawing/2014/chart" uri="{C3380CC4-5D6E-409C-BE32-E72D297353CC}">
                  <c16:uniqueId val="{00000003-A910-4852-9C49-61C21364D3A8}"/>
                </c:ext>
                <c:ext xmlns:c15="http://schemas.microsoft.com/office/drawing/2012/chart" uri="{CE6537A1-D6FC-4f65-9D91-7224C49458BB}"/>
              </c:extLst>
            </c:dLbl>
            <c:dLbl>
              <c:idx val="2"/>
              <c:layout>
                <c:manualLayout>
                  <c:x val="4.6728971962616932E-2"/>
                  <c:y val="8.119656753540502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pl-PL"/>
                </a:p>
              </c:txPr>
              <c:dLblPos val="bestFit"/>
              <c:showVal val="1"/>
              <c:showCatName val="1"/>
              <c:extLst xmlns:c16r2="http://schemas.microsoft.com/office/drawing/2015/06/chart">
                <c:ext xmlns:c16="http://schemas.microsoft.com/office/drawing/2014/chart" uri="{C3380CC4-5D6E-409C-BE32-E72D297353CC}">
                  <c16:uniqueId val="{00000005-A910-4852-9C49-61C21364D3A8}"/>
                </c:ext>
                <c:ext xmlns:c15="http://schemas.microsoft.com/office/drawing/2012/chart" uri="{CE6537A1-D6FC-4f65-9D91-7224C49458BB}"/>
              </c:extLst>
            </c:dLbl>
            <c:dLbl>
              <c:idx val="3"/>
              <c:layout>
                <c:manualLayout>
                  <c:x val="-2.3364485981308337E-2"/>
                  <c:y val="8.547007108990001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pl-PL"/>
                </a:p>
              </c:txPr>
              <c:dLblPos val="bestFit"/>
              <c:showVal val="1"/>
              <c:showCatName val="1"/>
              <c:extLst xmlns:c16r2="http://schemas.microsoft.com/office/drawing/2015/06/chart">
                <c:ext xmlns:c16="http://schemas.microsoft.com/office/drawing/2014/chart" uri="{C3380CC4-5D6E-409C-BE32-E72D297353CC}">
                  <c16:uniqueId val="{00000007-A910-4852-9C49-61C21364D3A8}"/>
                </c:ext>
                <c:ext xmlns:c15="http://schemas.microsoft.com/office/drawing/2012/chart" uri="{CE6537A1-D6FC-4f65-9D91-7224C49458BB}"/>
              </c:extLst>
            </c:dLbl>
            <c:dLbl>
              <c:idx val="4"/>
              <c:layout>
                <c:manualLayout>
                  <c:x val="-7.7881619937694956E-3"/>
                  <c:y val="8.760682286714745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pl-PL"/>
                </a:p>
              </c:txPr>
              <c:dLblPos val="bestFit"/>
              <c:showVal val="1"/>
              <c:showCatName val="1"/>
              <c:extLst xmlns:c16r2="http://schemas.microsoft.com/office/drawing/2015/06/chart">
                <c:ext xmlns:c16="http://schemas.microsoft.com/office/drawing/2014/chart" uri="{C3380CC4-5D6E-409C-BE32-E72D297353CC}">
                  <c16:uniqueId val="{00000009-A910-4852-9C49-61C21364D3A8}"/>
                </c:ext>
                <c:ext xmlns:c15="http://schemas.microsoft.com/office/drawing/2012/chart" uri="{CE6537A1-D6FC-4f65-9D91-7224C49458BB}"/>
              </c:extLst>
            </c:dLbl>
            <c:dLbl>
              <c:idx val="5"/>
              <c:layout>
                <c:manualLayout>
                  <c:x val="-1.5576323987538939E-2"/>
                  <c:y val="4.273503554494999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pl-PL"/>
                </a:p>
              </c:txPr>
              <c:dLblPos val="bestFit"/>
              <c:showVal val="1"/>
              <c:showCatName val="1"/>
              <c:extLst xmlns:c16r2="http://schemas.microsoft.com/office/drawing/2015/06/chart">
                <c:ext xmlns:c16="http://schemas.microsoft.com/office/drawing/2014/chart" uri="{C3380CC4-5D6E-409C-BE32-E72D297353CC}">
                  <c16:uniqueId val="{0000000B-A910-4852-9C49-61C21364D3A8}"/>
                </c:ext>
                <c:ext xmlns:c15="http://schemas.microsoft.com/office/drawing/2012/chart" uri="{CE6537A1-D6FC-4f65-9D91-7224C49458BB}"/>
              </c:extLst>
            </c:dLbl>
            <c:dLbl>
              <c:idx val="6"/>
              <c:layout>
                <c:manualLayout>
                  <c:x val="0"/>
                  <c:y val="-9.401707819889039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pl-PL"/>
                </a:p>
              </c:txPr>
              <c:dLblPos val="bestFit"/>
              <c:showVal val="1"/>
              <c:showCatName val="1"/>
              <c:extLst xmlns:c16r2="http://schemas.microsoft.com/office/drawing/2015/06/chart">
                <c:ext xmlns:c16="http://schemas.microsoft.com/office/drawing/2014/chart" uri="{C3380CC4-5D6E-409C-BE32-E72D297353CC}">
                  <c16:uniqueId val="{0000000D-A910-4852-9C49-61C21364D3A8}"/>
                </c:ext>
                <c:ext xmlns:c15="http://schemas.microsoft.com/office/drawing/2012/chart" uri="{CE6537A1-D6FC-4f65-9D91-7224C49458BB}"/>
              </c:extLst>
            </c:dLbl>
            <c:dLbl>
              <c:idx val="7"/>
              <c:layout>
                <c:manualLayout>
                  <c:x val="0"/>
                  <c:y val="-6.837605687191998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pl-PL"/>
                </a:p>
              </c:txPr>
              <c:dLblPos val="bestFit"/>
              <c:showVal val="1"/>
              <c:showCatName val="1"/>
              <c:extLst xmlns:c16r2="http://schemas.microsoft.com/office/drawing/2015/06/chart">
                <c:ext xmlns:c16="http://schemas.microsoft.com/office/drawing/2014/chart" uri="{C3380CC4-5D6E-409C-BE32-E72D297353CC}">
                  <c16:uniqueId val="{0000000F-A910-4852-9C49-61C21364D3A8}"/>
                </c:ext>
                <c:ext xmlns:c15="http://schemas.microsoft.com/office/drawing/2012/chart" uri="{CE6537A1-D6FC-4f65-9D91-7224C49458BB}"/>
              </c:extLst>
            </c:dLbl>
            <c:dLbl>
              <c:idx val="8"/>
              <c:layout>
                <c:manualLayout>
                  <c:x val="-1.8691588785046769E-2"/>
                  <c:y val="-2.991452488146497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pl-PL"/>
                </a:p>
              </c:txPr>
              <c:dLblPos val="bestFit"/>
              <c:showVal val="1"/>
              <c:showCatName val="1"/>
              <c:extLst xmlns:c16r2="http://schemas.microsoft.com/office/drawing/2015/06/chart">
                <c:ext xmlns:c16="http://schemas.microsoft.com/office/drawing/2014/chart" uri="{C3380CC4-5D6E-409C-BE32-E72D297353CC}">
                  <c16:uniqueId val="{00000011-A910-4852-9C49-61C21364D3A8}"/>
                </c:ext>
                <c:ext xmlns:c15="http://schemas.microsoft.com/office/drawing/2012/chart" uri="{CE6537A1-D6FC-4f65-9D91-7224C49458BB}"/>
              </c:extLst>
            </c:dLbl>
            <c:spPr>
              <a:noFill/>
              <a:ln>
                <a:noFill/>
              </a:ln>
              <a:effectLst/>
            </c:spPr>
            <c:dLblPos val="outEnd"/>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dsrk2020!$A$503:$A$511</c:f>
              <c:strCache>
                <c:ptCount val="9"/>
                <c:pt idx="0">
                  <c:v>Wszystkie poziomy edukacyjne</c:v>
                </c:pt>
                <c:pt idx="1">
                  <c:v>Przedszkole</c:v>
                </c:pt>
                <c:pt idx="2">
                  <c:v>Przedszkole+ szkoła podstawowa I-III</c:v>
                </c:pt>
                <c:pt idx="3">
                  <c:v>Przedszkole+ szkoła podstawowa I-VIII</c:v>
                </c:pt>
                <c:pt idx="4">
                  <c:v>Szkoła podstawowa I-III</c:v>
                </c:pt>
                <c:pt idx="5">
                  <c:v>Szkoła podstawowa IV-VIII</c:v>
                </c:pt>
                <c:pt idx="6">
                  <c:v>Szkoła podstawowa IV-VIII + szkoła ponadpodstawowa</c:v>
                </c:pt>
                <c:pt idx="7">
                  <c:v>Szkoła podstawowa +szkoła ponadpodstawowa</c:v>
                </c:pt>
                <c:pt idx="8">
                  <c:v>szkoła ponadpodstawowa</c:v>
                </c:pt>
              </c:strCache>
            </c:strRef>
          </c:cat>
          <c:val>
            <c:numRef>
              <c:f>dsrk2020!$B$503:$B$511</c:f>
              <c:numCache>
                <c:formatCode>General</c:formatCode>
                <c:ptCount val="9"/>
                <c:pt idx="0">
                  <c:v>152</c:v>
                </c:pt>
                <c:pt idx="1">
                  <c:v>77</c:v>
                </c:pt>
                <c:pt idx="2">
                  <c:v>31</c:v>
                </c:pt>
                <c:pt idx="3">
                  <c:v>15</c:v>
                </c:pt>
                <c:pt idx="4">
                  <c:v>56</c:v>
                </c:pt>
                <c:pt idx="5">
                  <c:v>16</c:v>
                </c:pt>
                <c:pt idx="6">
                  <c:v>33</c:v>
                </c:pt>
                <c:pt idx="7">
                  <c:v>48</c:v>
                </c:pt>
                <c:pt idx="8">
                  <c:v>70</c:v>
                </c:pt>
              </c:numCache>
            </c:numRef>
          </c:val>
          <c:extLst xmlns:c16r2="http://schemas.microsoft.com/office/drawing/2015/06/chart">
            <c:ext xmlns:c16="http://schemas.microsoft.com/office/drawing/2014/chart" uri="{C3380CC4-5D6E-409C-BE32-E72D297353CC}">
              <c16:uniqueId val="{00000012-A910-4852-9C49-61C21364D3A8}"/>
            </c:ext>
          </c:extLst>
        </c:ser>
        <c:dLbls>
          <c:showVal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1" b="1" i="0" u="none" strike="noStrike" kern="1200" cap="all" baseline="0">
                <a:solidFill>
                  <a:schemeClr val="tx1">
                    <a:lumMod val="65000"/>
                    <a:lumOff val="35000"/>
                  </a:schemeClr>
                </a:solidFill>
                <a:latin typeface="+mn-lt"/>
                <a:ea typeface="+mn-ea"/>
                <a:cs typeface="+mn-cs"/>
              </a:defRPr>
            </a:pPr>
            <a:r>
              <a:rPr lang="pl-PL"/>
              <a:t>LIczba form doskonalenia</a:t>
            </a:r>
          </a:p>
        </c:rich>
      </c:tx>
      <c:layout>
        <c:manualLayout>
          <c:xMode val="edge"/>
          <c:yMode val="edge"/>
          <c:x val="0.26053599917657355"/>
          <c:y val="1.2165414807020093E-2"/>
        </c:manualLayout>
      </c:layout>
      <c:spPr>
        <a:noFill/>
        <a:ln w="25412">
          <a:noFill/>
        </a:ln>
      </c:spPr>
    </c:title>
    <c:view3D>
      <c:rotX val="30"/>
      <c:perspective val="0"/>
    </c:view3D>
    <c:plotArea>
      <c:layout/>
      <c:pie3DChart>
        <c:varyColors val="1"/>
        <c:ser>
          <c:idx val="0"/>
          <c:order val="0"/>
          <c:tx>
            <c:strRef>
              <c:f>dsrk2020!$H$1</c:f>
              <c:strCache>
                <c:ptCount val="1"/>
                <c:pt idx="0">
                  <c:v>Lczba form doskonalenia</c:v>
                </c:pt>
              </c:strCache>
            </c:strRef>
          </c:tx>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6"/>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7"/>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8"/>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 2056</a:t>
                    </a:r>
                  </a:p>
                </c:rich>
              </c:tx>
              <c:spPr>
                <a:noFill/>
                <a:ln w="25412">
                  <a:noFill/>
                </a:ln>
              </c:spPr>
              <c:dLblPos val="outEnd"/>
              <c:extLst>
                <c:ext xmlns:c15="http://schemas.microsoft.com/office/drawing/2012/chart" uri="{CE6537A1-D6FC-4f65-9D91-7224C49458BB}"/>
              </c:extLst>
            </c:dLbl>
            <c:dLbl>
              <c:idx val="1"/>
              <c:layout>
                <c:manualLayout>
                  <c:x val="6.7177213489184567E-2"/>
                  <c:y val="-0.14483212639894669"/>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 1058</a:t>
                    </a:r>
                  </a:p>
                </c:rich>
              </c:tx>
              <c:spPr>
                <a:noFill/>
                <a:ln w="25412">
                  <a:noFill/>
                </a:ln>
              </c:spPr>
              <c:dLblPos val="bestFit"/>
              <c:extLst>
                <c:ext xmlns:c15="http://schemas.microsoft.com/office/drawing/2012/chart" uri="{CE6537A1-D6FC-4f65-9D91-7224C49458BB}"/>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 523</a:t>
                    </a:r>
                  </a:p>
                </c:rich>
              </c:tx>
              <c:spPr>
                <a:noFill/>
                <a:ln w="25412">
                  <a:noFill/>
                </a:ln>
              </c:spPr>
              <c:dLblPos val="outEnd"/>
              <c:extLst>
                <c:ext xmlns:c15="http://schemas.microsoft.com/office/drawing/2012/chart" uri="{CE6537A1-D6FC-4f65-9D91-7224C49458BB}"/>
              </c:extLst>
            </c:dLbl>
            <c:dLbl>
              <c:idx val="3"/>
              <c:layout>
                <c:manualLayout>
                  <c:x val="9.5510983763132766E-3"/>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 334</a:t>
                    </a:r>
                  </a:p>
                </c:rich>
              </c:tx>
              <c:spPr>
                <a:noFill/>
                <a:ln w="25412">
                  <a:noFill/>
                </a:ln>
              </c:spPr>
              <c:dLblPos val="bestFit"/>
              <c:extLst>
                <c:ext xmlns:c15="http://schemas.microsoft.com/office/drawing/2012/chart" uri="{CE6537A1-D6FC-4f65-9D91-7224C49458BB}"/>
              </c:extLst>
            </c:dLbl>
            <c:dLbl>
              <c:idx val="4"/>
              <c:layout>
                <c:manualLayout>
                  <c:x val="-1.432664756446991E-2"/>
                  <c:y val="1.622060534149647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 1231</a:t>
                    </a:r>
                  </a:p>
                </c:rich>
              </c:tx>
              <c:spPr>
                <a:noFill/>
                <a:ln w="25412">
                  <a:noFill/>
                </a:ln>
              </c:spPr>
              <c:dLblPos val="bestFit"/>
              <c:extLst>
                <c:ext xmlns:c15="http://schemas.microsoft.com/office/drawing/2012/chart" uri="{CE6537A1-D6FC-4f65-9D91-7224C49458BB}"/>
              </c:extLst>
            </c:dLbl>
            <c:dLbl>
              <c:idx val="5"/>
              <c:layout>
                <c:manualLayout>
                  <c:x val="0"/>
                  <c:y val="2.499825181468013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 523</a:t>
                    </a:r>
                  </a:p>
                </c:rich>
              </c:tx>
              <c:spPr>
                <a:noFill/>
                <a:ln w="25412">
                  <a:noFill/>
                </a:ln>
              </c:spPr>
              <c:dLblPos val="bestFit"/>
              <c:extLst>
                <c:ext xmlns:c15="http://schemas.microsoft.com/office/drawing/2012/chart" uri="{CE6537A1-D6FC-4f65-9D91-7224C49458BB}"/>
              </c:extLst>
            </c:dLbl>
            <c:dLbl>
              <c:idx val="6"/>
              <c:layout>
                <c:manualLayout>
                  <c:x val="7.1633237822349843E-3"/>
                  <c:y val="-7.8999341672152695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 751</a:t>
                    </a:r>
                  </a:p>
                </c:rich>
              </c:tx>
              <c:spPr>
                <a:noFill/>
                <a:ln w="25412">
                  <a:noFill/>
                </a:ln>
              </c:spPr>
              <c:dLblPos val="bestFit"/>
              <c:extLst>
                <c:ext xmlns:c15="http://schemas.microsoft.com/office/drawing/2012/chart" uri="{CE6537A1-D6FC-4f65-9D91-7224C49458BB}"/>
              </c:extLst>
            </c:dLbl>
            <c:dLbl>
              <c:idx val="7"/>
              <c:layout>
                <c:manualLayout>
                  <c:x val="3.2245062474808676E-2"/>
                  <c:y val="-7.8999341672152695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 2605</a:t>
                    </a:r>
                  </a:p>
                </c:rich>
              </c:tx>
              <c:spPr>
                <a:noFill/>
                <a:ln w="25412">
                  <a:noFill/>
                </a:ln>
              </c:spPr>
              <c:dLblPos val="bestFit"/>
              <c:extLst>
                <c:ext xmlns:c15="http://schemas.microsoft.com/office/drawing/2012/chart" uri="{CE6537A1-D6FC-4f65-9D91-7224C49458BB}"/>
              </c:extLst>
            </c:dLbl>
            <c:dLbl>
              <c:idx val="8"/>
              <c:layout>
                <c:manualLayout>
                  <c:x val="8.8969867266295771E-2"/>
                  <c:y val="-4.3888523151195983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 1275</a:t>
                    </a:r>
                  </a:p>
                </c:rich>
              </c:tx>
              <c:spPr>
                <a:noFill/>
                <a:ln w="25412">
                  <a:noFill/>
                </a:ln>
              </c:spPr>
              <c:dLblPos val="bestFit"/>
              <c:extLst>
                <c:ext xmlns:c15="http://schemas.microsoft.com/office/drawing/2012/chart" uri="{CE6537A1-D6FC-4f65-9D91-7224C49458BB}"/>
              </c:extLst>
            </c:dLbl>
            <c:spPr>
              <a:noFill/>
              <a:ln w="25412">
                <a:noFill/>
              </a:ln>
            </c:spPr>
            <c:dLblPos val="outEnd"/>
            <c:showCatName val="1"/>
            <c:showLeaderLines val="1"/>
            <c:leaderLines>
              <c:spPr>
                <a:ln w="9529"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dsrk2020!$G$2:$G$10</c:f>
              <c:strCache>
                <c:ptCount val="9"/>
                <c:pt idx="0">
                  <c:v>Wszystkie poziomy edukacyjne</c:v>
                </c:pt>
                <c:pt idx="1">
                  <c:v>Przedszkole</c:v>
                </c:pt>
                <c:pt idx="2">
                  <c:v>Przedszkole+ szkoła podstawowa I-III</c:v>
                </c:pt>
                <c:pt idx="3">
                  <c:v>Przedszkole+ szkoła podstawowa I-VIII</c:v>
                </c:pt>
                <c:pt idx="4">
                  <c:v>Szkoła podstawowa I-III</c:v>
                </c:pt>
                <c:pt idx="5">
                  <c:v>Szkoła podstawowa IV-VIII</c:v>
                </c:pt>
                <c:pt idx="6">
                  <c:v>Szkoła podstawowa IV-VIII + szkoła ponadpodstawowa</c:v>
                </c:pt>
                <c:pt idx="7">
                  <c:v>Szkoła podstawowa +szkoła ponadpodstawowa</c:v>
                </c:pt>
                <c:pt idx="8">
                  <c:v>szkoła ponadpodstawowa</c:v>
                </c:pt>
              </c:strCache>
            </c:strRef>
          </c:cat>
          <c:val>
            <c:numRef>
              <c:f>dsrk2020!$H$2:$H$10</c:f>
              <c:numCache>
                <c:formatCode>General</c:formatCode>
                <c:ptCount val="9"/>
                <c:pt idx="0">
                  <c:v>152</c:v>
                </c:pt>
                <c:pt idx="1">
                  <c:v>77</c:v>
                </c:pt>
                <c:pt idx="2">
                  <c:v>31</c:v>
                </c:pt>
                <c:pt idx="3">
                  <c:v>15</c:v>
                </c:pt>
                <c:pt idx="4">
                  <c:v>56</c:v>
                </c:pt>
                <c:pt idx="5">
                  <c:v>16</c:v>
                </c:pt>
                <c:pt idx="6">
                  <c:v>33</c:v>
                </c:pt>
                <c:pt idx="7">
                  <c:v>48</c:v>
                </c:pt>
                <c:pt idx="8">
                  <c:v>70</c:v>
                </c:pt>
              </c:numCache>
            </c:numRef>
          </c:val>
        </c:ser>
      </c:pie3DChart>
      <c:spPr>
        <a:noFill/>
        <a:ln w="25412">
          <a:noFill/>
        </a:ln>
      </c:spPr>
    </c:plotArea>
    <c:plotVisOnly val="1"/>
    <c:dispBlanksAs val="zero"/>
  </c:chart>
  <c:spPr>
    <a:solidFill>
      <a:schemeClr val="bg1"/>
    </a:solidFill>
    <a:ln w="9529" cap="flat" cmpd="sng" algn="ctr">
      <a:solidFill>
        <a:schemeClr val="tx1">
          <a:lumMod val="15000"/>
          <a:lumOff val="85000"/>
        </a:schemeClr>
      </a:solidFill>
      <a:round/>
    </a:ln>
    <a:effectLst/>
  </c:spPr>
  <c:txPr>
    <a:bodyPr/>
    <a:lstStyle/>
    <a:p>
      <a:pPr>
        <a:defRPr/>
      </a:pPr>
      <a:endParaRPr lang="pl-PL"/>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plotArea>
      <c:layout/>
      <c:barChart>
        <c:barDir val="col"/>
        <c:grouping val="clustered"/>
        <c:ser>
          <c:idx val="0"/>
          <c:order val="0"/>
          <c:tx>
            <c:strRef>
              <c:f>Arkusz2!$B$1</c:f>
              <c:strCache>
                <c:ptCount val="1"/>
                <c:pt idx="0">
                  <c:v>Liczba form</c:v>
                </c:pt>
              </c:strCache>
            </c:strRef>
          </c:tx>
          <c:spPr>
            <a:solidFill>
              <a:schemeClr val="accent1"/>
            </a:solidFill>
            <a:ln>
              <a:noFill/>
            </a:ln>
            <a:effectLst/>
          </c:spPr>
          <c:cat>
            <c:strRef>
              <c:f>Arkusz2!$A$2:$A$12</c:f>
              <c:strCache>
                <c:ptCount val="11"/>
                <c:pt idx="0">
                  <c:v>Profilaktyka uzależnień w szkołach i placówkach oświatowych</c:v>
                </c:pt>
                <c:pt idx="1">
                  <c:v>Wychowanie do wartości przez kształtowanie postaw obywatelskich i patriotycznych</c:v>
                </c:pt>
                <c:pt idx="2">
                  <c:v>Wdrażanie nowej podstawy programowej kształcenia ogólnego w szkołach podstawowych i ponadpodstawowych</c:v>
                </c:pt>
                <c:pt idx="3">
                  <c:v>Rozwijanie kompetencji matematycznych uczniów</c:v>
                </c:pt>
                <c:pt idx="4">
                  <c:v>Rozwijanie kreatywności, przedsiębiorczości i kompetencji cyfrowych uczniów, w tym bezpieczne i celowe wykorzystywanie technologii informacyjno-komunikacyjnych w realizacji podstawy programowej kształcenia ogólnego</c:v>
                </c:pt>
                <c:pt idx="5">
                  <c:v>Wdrażanie nowej podstawy programowej w szkołach ponadpodstawowych ze szczególnym uwzględnieniem edukacji przyrodniczej i matematycznej. Rozwijanie samodzielności, innowacyjności i kreatywności uczniów</c:v>
                </c:pt>
                <c:pt idx="6">
                  <c:v>Wdrażanie zmian w kształceniu zawodowym, ze szczególnym uwzględnieniem kształcenia osób dorosłych</c:v>
                </c:pt>
                <c:pt idx="7">
                  <c:v>Zapewnienie wysokiej jakości kształcenia oraz wsparcia psychologiczno-pedagogicznego wszystkim uczniom z uwzględnieniem zróżnicowania ich potrzeb rozwojowych i  edukacyjnych</c:v>
                </c:pt>
                <c:pt idx="8">
                  <c:v>Wykorzystanie w procesach edukacyjnych narzędzi i zasobów cyfrowych oraz metod kształcenia na odległość. Bezpieczne i efektywne korzystanie z technologii cyfrowych</c:v>
                </c:pt>
                <c:pt idx="9">
                  <c:v>Działania wychowawcze szkoły. Wychowanie do wartości, kształtowanie postaw i respektowanie norm społecznych</c:v>
                </c:pt>
                <c:pt idx="10">
                  <c:v>Uwzględnienie w procesach edukacyjnych wymagań egzaminacyjnych dotyczących egzaminu ósmoklasisty i egzaminu maturalnego przeprowadzanego w  roku 2021</c:v>
                </c:pt>
              </c:strCache>
            </c:strRef>
          </c:cat>
          <c:val>
            <c:numRef>
              <c:f>Arkusz2!$B$2:$B$12</c:f>
              <c:numCache>
                <c:formatCode>General</c:formatCode>
                <c:ptCount val="11"/>
                <c:pt idx="0">
                  <c:v>4</c:v>
                </c:pt>
                <c:pt idx="1">
                  <c:v>21</c:v>
                </c:pt>
                <c:pt idx="2">
                  <c:v>24</c:v>
                </c:pt>
                <c:pt idx="3">
                  <c:v>14</c:v>
                </c:pt>
                <c:pt idx="4">
                  <c:v>36</c:v>
                </c:pt>
                <c:pt idx="5">
                  <c:v>28</c:v>
                </c:pt>
                <c:pt idx="6">
                  <c:v>24</c:v>
                </c:pt>
                <c:pt idx="7">
                  <c:v>52</c:v>
                </c:pt>
                <c:pt idx="8">
                  <c:v>125</c:v>
                </c:pt>
                <c:pt idx="9">
                  <c:v>75</c:v>
                </c:pt>
                <c:pt idx="10">
                  <c:v>14</c:v>
                </c:pt>
              </c:numCache>
            </c:numRef>
          </c:val>
          <c:extLst xmlns:c16r2="http://schemas.microsoft.com/office/drawing/2015/06/chart">
            <c:ext xmlns:c16="http://schemas.microsoft.com/office/drawing/2014/chart" uri="{C3380CC4-5D6E-409C-BE32-E72D297353CC}">
              <c16:uniqueId val="{00000000-BF34-430B-A4A3-6EA2C3E627A2}"/>
            </c:ext>
          </c:extLst>
        </c:ser>
        <c:gapWidth val="219"/>
        <c:overlap val="-27"/>
        <c:axId val="496308224"/>
        <c:axId val="496309760"/>
      </c:barChart>
      <c:catAx>
        <c:axId val="4963082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309760"/>
        <c:crosses val="autoZero"/>
        <c:auto val="1"/>
        <c:lblAlgn val="ctr"/>
        <c:lblOffset val="100"/>
      </c:catAx>
      <c:valAx>
        <c:axId val="4963097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30822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plotArea>
      <c:layout/>
      <c:barChart>
        <c:barDir val="col"/>
        <c:grouping val="clustered"/>
        <c:ser>
          <c:idx val="0"/>
          <c:order val="0"/>
          <c:tx>
            <c:strRef>
              <c:f>Arkusz2!$C$1</c:f>
              <c:strCache>
                <c:ptCount val="1"/>
                <c:pt idx="0">
                  <c:v>Liczba przeszkolonych nauczycieli</c:v>
                </c:pt>
              </c:strCache>
            </c:strRef>
          </c:tx>
          <c:spPr>
            <a:solidFill>
              <a:schemeClr val="accent1"/>
            </a:solidFill>
            <a:ln>
              <a:noFill/>
            </a:ln>
            <a:effectLst/>
          </c:spPr>
          <c:cat>
            <c:strRef>
              <c:f>Arkusz2!$A$2:$A$12</c:f>
              <c:strCache>
                <c:ptCount val="11"/>
                <c:pt idx="0">
                  <c:v>Profilaktyka uzależnień w szkołach i placówkach oświatowych</c:v>
                </c:pt>
                <c:pt idx="1">
                  <c:v>Wychowanie do wartości przez kształtowanie postaw obywatelskich i patriotycznych</c:v>
                </c:pt>
                <c:pt idx="2">
                  <c:v>Wdrażanie nowej podstawy programowej kształcenia ogólnego w szkołach podstawowych i ponadpodstawowych</c:v>
                </c:pt>
                <c:pt idx="3">
                  <c:v>Rozwijanie kompetencji matematycznych uczniów</c:v>
                </c:pt>
                <c:pt idx="4">
                  <c:v>Rozwijanie kreatywności, przedsiębiorczości i kompetencji cyfrowych uczniów, w tym bezpieczne i celowe wykorzystywanie technologii informacyjno-komunikacyjnych w realizacji podstawy programowej kształcenia ogólnego</c:v>
                </c:pt>
                <c:pt idx="5">
                  <c:v>Wdrażanie nowej podstawy programowej w szkołach ponadpodstawowych ze szczególnym uwzględnieniem edukacji przyrodniczej i matematycznej. Rozwijanie samodzielności, innowacyjności i kreatywności uczniów</c:v>
                </c:pt>
                <c:pt idx="6">
                  <c:v>Wdrażanie zmian w kształceniu zawodowym, ze szczególnym uwzględnieniem kształcenia osób dorosłych</c:v>
                </c:pt>
                <c:pt idx="7">
                  <c:v>Zapewnienie wysokiej jakości kształcenia oraz wsparcia psychologiczno-pedagogicznego wszystkim uczniom z uwzględnieniem zróżnicowania ich potrzeb rozwojowych i  edukacyjnych</c:v>
                </c:pt>
                <c:pt idx="8">
                  <c:v>Wykorzystanie w procesach edukacyjnych narzędzi i zasobów cyfrowych oraz metod kształcenia na odległość. Bezpieczne i efektywne korzystanie z technologii cyfrowych</c:v>
                </c:pt>
                <c:pt idx="9">
                  <c:v>Działania wychowawcze szkoły. Wychowanie do wartości, kształtowanie postaw i respektowanie norm społecznych</c:v>
                </c:pt>
                <c:pt idx="10">
                  <c:v>Uwzględnienie w procesach edukacyjnych wymagań egzaminacyjnych dotyczących egzaminu ósmoklasisty i egzaminu maturalnego przeprowadzanego w  roku 2021</c:v>
                </c:pt>
              </c:strCache>
            </c:strRef>
          </c:cat>
          <c:val>
            <c:numRef>
              <c:f>Arkusz2!$C$2:$C$12</c:f>
              <c:numCache>
                <c:formatCode>General</c:formatCode>
                <c:ptCount val="11"/>
                <c:pt idx="0">
                  <c:v>275</c:v>
                </c:pt>
                <c:pt idx="1">
                  <c:v>320</c:v>
                </c:pt>
                <c:pt idx="2">
                  <c:v>280</c:v>
                </c:pt>
                <c:pt idx="3">
                  <c:v>136</c:v>
                </c:pt>
                <c:pt idx="4">
                  <c:v>461</c:v>
                </c:pt>
                <c:pt idx="5">
                  <c:v>572</c:v>
                </c:pt>
                <c:pt idx="6">
                  <c:v>378</c:v>
                </c:pt>
                <c:pt idx="7">
                  <c:v>1273</c:v>
                </c:pt>
                <c:pt idx="8">
                  <c:v>3193</c:v>
                </c:pt>
                <c:pt idx="9">
                  <c:v>1577</c:v>
                </c:pt>
                <c:pt idx="10">
                  <c:v>127</c:v>
                </c:pt>
              </c:numCache>
            </c:numRef>
          </c:val>
          <c:extLst xmlns:c16r2="http://schemas.microsoft.com/office/drawing/2015/06/chart">
            <c:ext xmlns:c16="http://schemas.microsoft.com/office/drawing/2014/chart" uri="{C3380CC4-5D6E-409C-BE32-E72D297353CC}">
              <c16:uniqueId val="{00000000-8CA8-448B-90C7-51731A54338E}"/>
            </c:ext>
          </c:extLst>
        </c:ser>
        <c:gapWidth val="219"/>
        <c:overlap val="-27"/>
        <c:axId val="496322432"/>
        <c:axId val="496323968"/>
      </c:barChart>
      <c:catAx>
        <c:axId val="4963224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323968"/>
        <c:crosses val="autoZero"/>
        <c:auto val="1"/>
        <c:lblAlgn val="ctr"/>
        <c:lblOffset val="100"/>
      </c:catAx>
      <c:valAx>
        <c:axId val="4963239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3224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8.5902765061344075E-2"/>
          <c:y val="4.3341213553979505E-2"/>
          <c:w val="0.51238799365195542"/>
          <c:h val="0.83431184577105089"/>
        </c:manualLayout>
      </c:layout>
      <c:barChart>
        <c:barDir val="bar"/>
        <c:grouping val="clustered"/>
        <c:ser>
          <c:idx val="0"/>
          <c:order val="0"/>
          <c:tx>
            <c:strRef>
              <c:f>Arkusz5!$C$2</c:f>
              <c:strCache>
                <c:ptCount val="1"/>
                <c:pt idx="0">
                  <c:v>rezerwa ESK</c:v>
                </c:pt>
              </c:strCache>
            </c:strRef>
          </c:tx>
          <c:cat>
            <c:strRef>
              <c:f>Arkusz5!$B$3:$B$11</c:f>
              <c:strCache>
                <c:ptCount val="8"/>
                <c:pt idx="0">
                  <c:v>2020 r.</c:v>
                </c:pt>
                <c:pt idx="1">
                  <c:v>2019 r.</c:v>
                </c:pt>
                <c:pt idx="2">
                  <c:v>2018 r.</c:v>
                </c:pt>
                <c:pt idx="3">
                  <c:v>2017 r.</c:v>
                </c:pt>
                <c:pt idx="4">
                  <c:v>2016 r.</c:v>
                </c:pt>
                <c:pt idx="5">
                  <c:v>2015 r.</c:v>
                </c:pt>
                <c:pt idx="6">
                  <c:v>2014 r.</c:v>
                </c:pt>
                <c:pt idx="7">
                  <c:v>2013 r.</c:v>
                </c:pt>
              </c:strCache>
            </c:strRef>
          </c:cat>
          <c:val>
            <c:numRef>
              <c:f>Arkusz5!$C$3:$C$11</c:f>
              <c:numCache>
                <c:formatCode>General</c:formatCode>
                <c:ptCount val="9"/>
                <c:pt idx="4" formatCode="#,##0.00\ &quot;zł&quot;">
                  <c:v>22936000</c:v>
                </c:pt>
                <c:pt idx="5" formatCode="#,##0.00\ &quot;zł&quot;">
                  <c:v>17000000</c:v>
                </c:pt>
              </c:numCache>
            </c:numRef>
          </c:val>
        </c:ser>
        <c:ser>
          <c:idx val="1"/>
          <c:order val="1"/>
          <c:tx>
            <c:strRef>
              <c:f>Arkusz5!$D$2</c:f>
              <c:strCache>
                <c:ptCount val="1"/>
                <c:pt idx="0">
                  <c:v>dotacja bieżąca ( w tym rezerwa ESK)</c:v>
                </c:pt>
              </c:strCache>
            </c:strRef>
          </c:tx>
          <c:dLbls>
            <c:dLbl>
              <c:idx val="0"/>
              <c:layout>
                <c:manualLayout>
                  <c:x val="-3.7986704653371383E-3"/>
                  <c:y val="8.2559339525284069E-3"/>
                </c:manualLayout>
              </c:layout>
              <c:spPr/>
              <c:txPr>
                <a:bodyPr/>
                <a:lstStyle/>
                <a:p>
                  <a:pPr>
                    <a:defRPr/>
                  </a:pPr>
                  <a:endParaRPr lang="pl-PL"/>
                </a:p>
              </c:txPr>
              <c:dLblPos val="outEnd"/>
              <c:showVal val="1"/>
            </c:dLbl>
            <c:dLbl>
              <c:idx val="1"/>
              <c:layout>
                <c:manualLayout>
                  <c:x val="0"/>
                  <c:y val="-4.1279669762641072E-3"/>
                </c:manualLayout>
              </c:layout>
              <c:spPr/>
              <c:txPr>
                <a:bodyPr/>
                <a:lstStyle/>
                <a:p>
                  <a:pPr>
                    <a:defRPr/>
                  </a:pPr>
                  <a:endParaRPr lang="pl-PL"/>
                </a:p>
              </c:txPr>
              <c:dLblPos val="outEnd"/>
              <c:showVal val="1"/>
            </c:dLbl>
            <c:dLbl>
              <c:idx val="2"/>
              <c:layout>
                <c:manualLayout>
                  <c:x val="0"/>
                  <c:y val="0"/>
                </c:manualLayout>
              </c:layout>
              <c:spPr/>
              <c:txPr>
                <a:bodyPr/>
                <a:lstStyle/>
                <a:p>
                  <a:pPr>
                    <a:defRPr/>
                  </a:pPr>
                  <a:endParaRPr lang="pl-PL"/>
                </a:p>
              </c:txPr>
              <c:dLblPos val="outEnd"/>
              <c:showVal val="1"/>
            </c:dLbl>
            <c:showVal val="1"/>
          </c:dLbls>
          <c:cat>
            <c:strRef>
              <c:f>Arkusz5!$B$3:$B$11</c:f>
              <c:strCache>
                <c:ptCount val="8"/>
                <c:pt idx="0">
                  <c:v>2020 r.</c:v>
                </c:pt>
                <c:pt idx="1">
                  <c:v>2019 r.</c:v>
                </c:pt>
                <c:pt idx="2">
                  <c:v>2018 r.</c:v>
                </c:pt>
                <c:pt idx="3">
                  <c:v>2017 r.</c:v>
                </c:pt>
                <c:pt idx="4">
                  <c:v>2016 r.</c:v>
                </c:pt>
                <c:pt idx="5">
                  <c:v>2015 r.</c:v>
                </c:pt>
                <c:pt idx="6">
                  <c:v>2014 r.</c:v>
                </c:pt>
                <c:pt idx="7">
                  <c:v>2013 r.</c:v>
                </c:pt>
              </c:strCache>
            </c:strRef>
          </c:cat>
          <c:val>
            <c:numRef>
              <c:f>Arkusz5!$D$3:$D$11</c:f>
              <c:numCache>
                <c:formatCode>#,##0.00\ "zł";[Red]\-#,##0.00\ "zł"</c:formatCode>
                <c:ptCount val="9"/>
                <c:pt idx="0">
                  <c:v>154998284</c:v>
                </c:pt>
                <c:pt idx="1">
                  <c:v>145603323</c:v>
                </c:pt>
                <c:pt idx="2" formatCode="#,##0.00\ &quot;zł&quot;">
                  <c:v>138667427</c:v>
                </c:pt>
                <c:pt idx="3" formatCode="#,##0.00\ &quot;zł&quot;">
                  <c:v>122166856</c:v>
                </c:pt>
                <c:pt idx="4" formatCode="#,##0.00\ &quot;zł&quot;">
                  <c:v>139815017</c:v>
                </c:pt>
                <c:pt idx="5" formatCode="#,##0.00\ &quot;zł&quot;">
                  <c:v>137490304</c:v>
                </c:pt>
                <c:pt idx="6" formatCode="#,##0.00\ &quot;zł&quot;">
                  <c:v>124448213</c:v>
                </c:pt>
                <c:pt idx="7" formatCode="#,##0.00\ &quot;zł&quot;">
                  <c:v>110692360</c:v>
                </c:pt>
              </c:numCache>
            </c:numRef>
          </c:val>
        </c:ser>
        <c:dLbls>
          <c:showVal val="1"/>
        </c:dLbls>
        <c:gapWidth val="75"/>
        <c:axId val="496342528"/>
        <c:axId val="496344064"/>
      </c:barChart>
      <c:catAx>
        <c:axId val="496342528"/>
        <c:scaling>
          <c:orientation val="minMax"/>
        </c:scaling>
        <c:axPos val="l"/>
        <c:numFmt formatCode="General" sourceLinked="1"/>
        <c:majorTickMark val="none"/>
        <c:tickLblPos val="nextTo"/>
        <c:crossAx val="496344064"/>
        <c:crosses val="autoZero"/>
        <c:auto val="1"/>
        <c:lblAlgn val="ctr"/>
        <c:lblOffset val="100"/>
      </c:catAx>
      <c:valAx>
        <c:axId val="496344064"/>
        <c:scaling>
          <c:orientation val="minMax"/>
        </c:scaling>
        <c:axPos val="b"/>
        <c:numFmt formatCode="General" sourceLinked="1"/>
        <c:majorTickMark val="none"/>
        <c:tickLblPos val="nextTo"/>
        <c:crossAx val="496342528"/>
        <c:crosses val="autoZero"/>
        <c:crossBetween val="between"/>
      </c:valAx>
    </c:plotArea>
    <c:legend>
      <c:legendPos val="r"/>
      <c:layout>
        <c:manualLayout>
          <c:xMode val="edge"/>
          <c:yMode val="edge"/>
          <c:x val="0.24186087707952814"/>
          <c:y val="0.85062545373317933"/>
          <c:w val="0.5151171564722633"/>
          <c:h val="8.2049229661895082E-2"/>
        </c:manualLayout>
      </c:layout>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r>
              <a:rPr lang="pl-PL" sz="1100">
                <a:solidFill>
                  <a:sysClr val="windowText" lastClr="000000"/>
                </a:solidFill>
                <a:latin typeface="Verdana" panose="020B0604030504040204" pitchFamily="34" charset="0"/>
                <a:ea typeface="Verdana" panose="020B0604030504040204" pitchFamily="34" charset="0"/>
              </a:rPr>
              <a:t>W 2020 roku na realizację zadań nadzorowanych przez MOPS wydatkowano 911 144 160,96zł </a:t>
            </a:r>
          </a:p>
          <a:p>
            <a:pPr>
              <a:defRPr sz="11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r>
              <a:rPr lang="pl-PL" sz="1100">
                <a:solidFill>
                  <a:sysClr val="windowText" lastClr="000000"/>
                </a:solidFill>
                <a:latin typeface="Verdana" panose="020B0604030504040204" pitchFamily="34" charset="0"/>
                <a:ea typeface="Verdana" panose="020B0604030504040204" pitchFamily="34" charset="0"/>
              </a:rPr>
              <a:t>- w tym na realizację poszczególnych zadań przeznaczono: </a:t>
            </a:r>
          </a:p>
        </c:rich>
      </c:tx>
      <c:spPr>
        <a:noFill/>
        <a:ln>
          <a:noFill/>
        </a:ln>
        <a:effectLst/>
      </c:spPr>
    </c:title>
    <c:plotArea>
      <c:layout>
        <c:manualLayout>
          <c:layoutTarget val="inner"/>
          <c:xMode val="edge"/>
          <c:yMode val="edge"/>
          <c:x val="0.12058674117348249"/>
          <c:y val="0.21471753373839753"/>
          <c:w val="0.49000931335196035"/>
          <c:h val="0.71148875780148191"/>
        </c:manualLayout>
      </c:layout>
      <c:pieChart>
        <c:varyColors val="1"/>
        <c:ser>
          <c:idx val="0"/>
          <c:order val="0"/>
          <c:dPt>
            <c:idx val="0"/>
            <c:spPr>
              <a:solidFill>
                <a:schemeClr val="accent1"/>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6ABE-4275-AE07-CEA11B36B142}"/>
              </c:ext>
            </c:extLst>
          </c:dPt>
          <c:dPt>
            <c:idx val="1"/>
            <c:spPr>
              <a:solidFill>
                <a:schemeClr val="accent2"/>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6ABE-4275-AE07-CEA11B36B142}"/>
              </c:ext>
            </c:extLst>
          </c:dPt>
          <c:dPt>
            <c:idx val="2"/>
            <c:spPr>
              <a:solidFill>
                <a:schemeClr val="accent3"/>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5-6ABE-4275-AE07-CEA11B36B142}"/>
              </c:ext>
            </c:extLst>
          </c:dPt>
          <c:dPt>
            <c:idx val="3"/>
            <c:spPr>
              <a:solidFill>
                <a:schemeClr val="accent4"/>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7-6ABE-4275-AE07-CEA11B36B142}"/>
              </c:ext>
            </c:extLst>
          </c:dPt>
          <c:dPt>
            <c:idx val="4"/>
            <c:spPr>
              <a:solidFill>
                <a:schemeClr val="accent5"/>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9-6ABE-4275-AE07-CEA11B36B14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Percent val="1"/>
            <c:extLst xmlns:c16r2="http://schemas.microsoft.com/office/drawing/2015/06/chart">
              <c:ext xmlns:c15="http://schemas.microsoft.com/office/drawing/2012/chart" uri="{CE6537A1-D6FC-4f65-9D91-7224C49458BB}"/>
            </c:extLst>
          </c:dLbls>
          <c:cat>
            <c:strRef>
              <c:f>Arkusz4!$A$2:$A$6</c:f>
              <c:strCache>
                <c:ptCount val="5"/>
                <c:pt idx="0">
                  <c:v>Zadania zlecone Gminie</c:v>
                </c:pt>
                <c:pt idx="1">
                  <c:v>Zadania własne Gminy</c:v>
                </c:pt>
                <c:pt idx="2">
                  <c:v>Zadania zlecone Powiatowi</c:v>
                </c:pt>
                <c:pt idx="3">
                  <c:v>Zadania własne Powiatu</c:v>
                </c:pt>
                <c:pt idx="4">
                  <c:v>PFRON</c:v>
                </c:pt>
              </c:strCache>
            </c:strRef>
          </c:cat>
          <c:val>
            <c:numRef>
              <c:f>Arkusz4!$B$2:$B$6</c:f>
              <c:numCache>
                <c:formatCode>0%</c:formatCode>
                <c:ptCount val="5"/>
                <c:pt idx="0">
                  <c:v>0.8200000000000004</c:v>
                </c:pt>
                <c:pt idx="1">
                  <c:v>0.12000000000000002</c:v>
                </c:pt>
                <c:pt idx="2">
                  <c:v>1.0000000000000005E-2</c:v>
                </c:pt>
                <c:pt idx="3">
                  <c:v>3.0000000000000002E-2</c:v>
                </c:pt>
                <c:pt idx="4">
                  <c:v>2.0000000000000011E-2</c:v>
                </c:pt>
              </c:numCache>
            </c:numRef>
          </c:val>
          <c:extLst xmlns:c16r2="http://schemas.microsoft.com/office/drawing/2015/06/chart">
            <c:ext xmlns:c16="http://schemas.microsoft.com/office/drawing/2014/chart" uri="{C3380CC4-5D6E-409C-BE32-E72D297353CC}">
              <c16:uniqueId val="{0000000A-6ABE-4275-AE07-CEA11B36B142}"/>
            </c:ext>
          </c:extLst>
        </c:ser>
        <c:ser>
          <c:idx val="1"/>
          <c:order val="1"/>
          <c:tx>
            <c:strRef>
              <c:f>Arkusz4!$A$1</c:f>
              <c:strCache>
                <c:ptCount val="1"/>
                <c:pt idx="0">
                  <c:v>W 2020 na realizację zadań nadzorowanych przez MOPS wydatkowano kwotę 911 144 160,96 zł - w tym na realizację poszczególnych zadań przeznaczono:</c:v>
                </c:pt>
              </c:strCache>
            </c:strRef>
          </c:tx>
          <c:dPt>
            <c:idx val="0"/>
            <c:spPr>
              <a:solidFill>
                <a:schemeClr val="accent1"/>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C-6ABE-4275-AE07-CEA11B36B14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Percent val="1"/>
            <c:extLst xmlns:c16r2="http://schemas.microsoft.com/office/drawing/2015/06/chart">
              <c:ext xmlns:c15="http://schemas.microsoft.com/office/drawing/2012/chart" uri="{CE6537A1-D6FC-4f65-9D91-7224C49458BB}"/>
            </c:extLst>
          </c:dLbls>
          <c:val>
            <c:numLit>
              <c:formatCode>General</c:formatCode>
              <c:ptCount val="1"/>
              <c:pt idx="0">
                <c:v>1</c:v>
              </c:pt>
            </c:numLit>
          </c:val>
          <c:extLst xmlns:c16r2="http://schemas.microsoft.com/office/drawing/2015/06/chart">
            <c:ext xmlns:c16="http://schemas.microsoft.com/office/drawing/2014/chart" uri="{C3380CC4-5D6E-409C-BE32-E72D297353CC}">
              <c16:uniqueId val="{0000000D-6ABE-4275-AE07-CEA11B36B142}"/>
            </c:ext>
          </c:extLst>
        </c:ser>
        <c:dLbls>
          <c:showPercent val="1"/>
        </c:dLbls>
        <c:firstSliceAng val="0"/>
      </c:pieChart>
      <c:spPr>
        <a:noFill/>
        <a:ln>
          <a:noFill/>
        </a:ln>
        <a:effectLst/>
      </c:spPr>
    </c:plotArea>
    <c:legend>
      <c:legendPos val="b"/>
      <c:layout>
        <c:manualLayout>
          <c:xMode val="edge"/>
          <c:yMode val="edge"/>
          <c:x val="0.65176733553467159"/>
          <c:y val="0.28951097621708427"/>
          <c:w val="0.32227178054356131"/>
          <c:h val="0.57830514564550062"/>
        </c:manualLayout>
      </c:layout>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pl-PL"/>
        </a:p>
      </c:txPr>
    </c:legend>
    <c:plotVisOnly val="1"/>
    <c:dispBlanksAs val="zero"/>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pl-PL"/>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title>
      <c:tx>
        <c:rich>
          <a:bodyPr/>
          <a:lstStyle/>
          <a:p>
            <a:pPr>
              <a:defRPr/>
            </a:pPr>
            <a:r>
              <a:rPr lang="en-US" sz="1100">
                <a:latin typeface="Verdana" pitchFamily="34" charset="0"/>
                <a:ea typeface="Verdana" pitchFamily="34" charset="0"/>
                <a:cs typeface="Verdana" pitchFamily="34" charset="0"/>
              </a:rPr>
              <a:t>Tramwaje</a:t>
            </a:r>
            <a:r>
              <a:rPr lang="pl-PL" sz="1100">
                <a:latin typeface="Verdana" pitchFamily="34" charset="0"/>
                <a:ea typeface="Verdana" pitchFamily="34" charset="0"/>
                <a:cs typeface="Verdana" pitchFamily="34" charset="0"/>
              </a:rPr>
              <a:t> MPK</a:t>
            </a:r>
            <a:r>
              <a:rPr lang="en-US" sz="1100">
                <a:latin typeface="Verdana" pitchFamily="34" charset="0"/>
                <a:ea typeface="Verdana" pitchFamily="34" charset="0"/>
                <a:cs typeface="Verdana" pitchFamily="34" charset="0"/>
              </a:rPr>
              <a:t> - </a:t>
            </a:r>
            <a:r>
              <a:rPr lang="pl-PL" sz="1100">
                <a:latin typeface="Verdana" pitchFamily="34" charset="0"/>
                <a:ea typeface="Verdana" pitchFamily="34" charset="0"/>
                <a:cs typeface="Verdana" pitchFamily="34" charset="0"/>
              </a:rPr>
              <a:t>p</a:t>
            </a:r>
            <a:r>
              <a:rPr lang="en-US" sz="1100">
                <a:latin typeface="Verdana" pitchFamily="34" charset="0"/>
                <a:ea typeface="Verdana" pitchFamily="34" charset="0"/>
                <a:cs typeface="Verdana" pitchFamily="34" charset="0"/>
              </a:rPr>
              <a:t>raca przewozowa</a:t>
            </a:r>
          </a:p>
        </c:rich>
      </c:tx>
    </c:title>
    <c:plotArea>
      <c:layout/>
      <c:barChart>
        <c:barDir val="col"/>
        <c:grouping val="clustered"/>
        <c:ser>
          <c:idx val="1"/>
          <c:order val="0"/>
          <c:tx>
            <c:strRef>
              <c:f>Arkusz1!$C$7</c:f>
              <c:strCache>
                <c:ptCount val="1"/>
                <c:pt idx="0">
                  <c:v>Tramwaje - Praca przewozowa</c:v>
                </c:pt>
              </c:strCache>
            </c:strRef>
          </c:tx>
          <c:cat>
            <c:numRef>
              <c:f>Arkusz1!$B$8:$B$13</c:f>
              <c:numCache>
                <c:formatCode>General</c:formatCode>
                <c:ptCount val="6"/>
                <c:pt idx="0">
                  <c:v>2015</c:v>
                </c:pt>
                <c:pt idx="1">
                  <c:v>2016</c:v>
                </c:pt>
                <c:pt idx="2">
                  <c:v>2017</c:v>
                </c:pt>
                <c:pt idx="3">
                  <c:v>2018</c:v>
                </c:pt>
                <c:pt idx="4">
                  <c:v>2019</c:v>
                </c:pt>
                <c:pt idx="5">
                  <c:v>2020</c:v>
                </c:pt>
              </c:numCache>
            </c:numRef>
          </c:cat>
          <c:val>
            <c:numRef>
              <c:f>Arkusz1!$C$8:$C$13</c:f>
              <c:numCache>
                <c:formatCode>#,##0</c:formatCode>
                <c:ptCount val="6"/>
                <c:pt idx="0">
                  <c:v>12716431.91</c:v>
                </c:pt>
                <c:pt idx="1">
                  <c:v>12959491.08</c:v>
                </c:pt>
                <c:pt idx="2">
                  <c:v>13246281.550000004</c:v>
                </c:pt>
                <c:pt idx="3">
                  <c:v>13187899.279999983</c:v>
                </c:pt>
                <c:pt idx="4">
                  <c:v>13680298.189999985</c:v>
                </c:pt>
                <c:pt idx="5">
                  <c:v>13709676.029999983</c:v>
                </c:pt>
              </c:numCache>
            </c:numRef>
          </c:val>
          <c:extLst xmlns:c16r2="http://schemas.microsoft.com/office/drawing/2015/06/chart">
            <c:ext xmlns:c16="http://schemas.microsoft.com/office/drawing/2014/chart" uri="{C3380CC4-5D6E-409C-BE32-E72D297353CC}">
              <c16:uniqueId val="{00000000-D7CB-4FB4-97DA-97C8DBA80306}"/>
            </c:ext>
          </c:extLst>
        </c:ser>
        <c:axId val="503105792"/>
        <c:axId val="519454720"/>
      </c:barChart>
      <c:catAx>
        <c:axId val="503105792"/>
        <c:scaling>
          <c:orientation val="minMax"/>
        </c:scaling>
        <c:axPos val="b"/>
        <c:numFmt formatCode="General" sourceLinked="1"/>
        <c:tickLblPos val="nextTo"/>
        <c:crossAx val="519454720"/>
        <c:crosses val="autoZero"/>
        <c:auto val="1"/>
        <c:lblAlgn val="ctr"/>
        <c:lblOffset val="100"/>
      </c:catAx>
      <c:valAx>
        <c:axId val="519454720"/>
        <c:scaling>
          <c:orientation val="minMax"/>
        </c:scaling>
        <c:axPos val="l"/>
        <c:majorGridlines/>
        <c:numFmt formatCode="#,##0" sourceLinked="1"/>
        <c:tickLblPos val="nextTo"/>
        <c:crossAx val="503105792"/>
        <c:crosses val="autoZero"/>
        <c:crossBetween val="between"/>
      </c:valAx>
    </c:plotArea>
    <c:plotVisOnly val="1"/>
    <c:dispBlanksAs val="gap"/>
  </c:chart>
  <c:externalData r:id="rId2"/>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FB6710-F858-4EC6-88B1-D65C85E44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1183</Pages>
  <Words>382510</Words>
  <Characters>2295062</Characters>
  <Application>Microsoft Office Word</Application>
  <DocSecurity>0</DocSecurity>
  <Lines>19125</Lines>
  <Paragraphs>5344</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2672228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ummakl01</dc:creator>
  <cp:lastModifiedBy>ummakl01</cp:lastModifiedBy>
  <cp:revision>4</cp:revision>
  <cp:lastPrinted>2021-07-26T07:26:00Z</cp:lastPrinted>
  <dcterms:created xsi:type="dcterms:W3CDTF">2021-07-26T07:37:00Z</dcterms:created>
  <dcterms:modified xsi:type="dcterms:W3CDTF">2021-07-26T08:57:00Z</dcterms:modified>
</cp:coreProperties>
</file>